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DA4" w:rsidRDefault="00243DA4" w:rsidP="000B3F97">
      <w:pPr>
        <w:jc w:val="center"/>
        <w:rPr>
          <w:rFonts w:ascii="Verdana" w:hAnsi="Verdana"/>
          <w:b/>
          <w:sz w:val="22"/>
          <w:szCs w:val="22"/>
        </w:rPr>
      </w:pPr>
    </w:p>
    <w:p w:rsidR="000B3F97" w:rsidRPr="00D41B81" w:rsidRDefault="000B3F97" w:rsidP="000B3F97">
      <w:pPr>
        <w:jc w:val="center"/>
        <w:rPr>
          <w:rFonts w:ascii="Verdana" w:hAnsi="Verdana"/>
          <w:b/>
          <w:sz w:val="22"/>
          <w:szCs w:val="22"/>
        </w:rPr>
      </w:pPr>
      <w:r w:rsidRPr="00D41B81">
        <w:rPr>
          <w:rFonts w:ascii="Verdana" w:hAnsi="Verdana"/>
          <w:b/>
          <w:sz w:val="22"/>
          <w:szCs w:val="22"/>
        </w:rPr>
        <w:t>Corte Interamericana de Direitos Humanos</w:t>
      </w:r>
    </w:p>
    <w:p w:rsidR="000B3F97" w:rsidRPr="00D41B81" w:rsidRDefault="000B3F97" w:rsidP="000B3F97">
      <w:pPr>
        <w:jc w:val="center"/>
        <w:rPr>
          <w:rFonts w:ascii="Verdana" w:hAnsi="Verdana"/>
          <w:b/>
          <w:sz w:val="22"/>
          <w:szCs w:val="22"/>
        </w:rPr>
      </w:pPr>
    </w:p>
    <w:p w:rsidR="000B3F97" w:rsidRPr="00D41B81" w:rsidRDefault="000B3F97" w:rsidP="000B3F97">
      <w:pPr>
        <w:tabs>
          <w:tab w:val="left" w:pos="6946"/>
        </w:tabs>
        <w:jc w:val="center"/>
        <w:rPr>
          <w:rFonts w:ascii="Verdana" w:hAnsi="Verdana"/>
          <w:b/>
          <w:sz w:val="22"/>
          <w:szCs w:val="22"/>
        </w:rPr>
      </w:pPr>
      <w:r w:rsidRPr="00D41B81">
        <w:rPr>
          <w:rFonts w:ascii="Verdana" w:hAnsi="Verdana"/>
          <w:b/>
          <w:sz w:val="22"/>
          <w:szCs w:val="22"/>
        </w:rPr>
        <w:t xml:space="preserve">Caso da Comunidade Mayagna </w:t>
      </w:r>
      <w:r w:rsidR="00C60678" w:rsidRPr="00C60678">
        <w:rPr>
          <w:rFonts w:ascii="Verdana" w:hAnsi="Verdana"/>
          <w:b/>
          <w:sz w:val="22"/>
          <w:szCs w:val="22"/>
        </w:rPr>
        <w:t>(</w:t>
      </w:r>
      <w:r w:rsidRPr="00D41B81">
        <w:rPr>
          <w:rFonts w:ascii="Verdana" w:hAnsi="Verdana"/>
          <w:b/>
          <w:sz w:val="22"/>
          <w:szCs w:val="22"/>
        </w:rPr>
        <w:t>Sumo</w:t>
      </w:r>
      <w:r w:rsidR="00C60678" w:rsidRPr="00C60678">
        <w:rPr>
          <w:rFonts w:ascii="Verdana" w:hAnsi="Verdana"/>
          <w:b/>
          <w:sz w:val="22"/>
          <w:szCs w:val="22"/>
        </w:rPr>
        <w:t>)</w:t>
      </w:r>
      <w:r w:rsidRPr="00D41B81">
        <w:rPr>
          <w:rFonts w:ascii="Verdana" w:hAnsi="Verdana"/>
          <w:b/>
          <w:sz w:val="22"/>
          <w:szCs w:val="22"/>
        </w:rPr>
        <w:t xml:space="preserve"> Awas Tingni</w:t>
      </w:r>
    </w:p>
    <w:p w:rsidR="000B3F97" w:rsidRPr="00D41B81" w:rsidRDefault="000B3F97" w:rsidP="000B3F97">
      <w:pPr>
        <w:jc w:val="center"/>
        <w:rPr>
          <w:rFonts w:ascii="Verdana" w:hAnsi="Verdana"/>
          <w:b/>
          <w:sz w:val="22"/>
          <w:szCs w:val="22"/>
        </w:rPr>
      </w:pPr>
      <w:r w:rsidRPr="00D41B81">
        <w:rPr>
          <w:rFonts w:ascii="Verdana" w:hAnsi="Verdana"/>
          <w:b/>
          <w:sz w:val="22"/>
          <w:szCs w:val="22"/>
        </w:rPr>
        <w:t>Vs. Nicarágua</w:t>
      </w:r>
    </w:p>
    <w:p w:rsidR="000B3F97" w:rsidRPr="00D41B81" w:rsidRDefault="000B3F97" w:rsidP="000B3F97">
      <w:pPr>
        <w:jc w:val="center"/>
        <w:rPr>
          <w:rFonts w:ascii="Verdana" w:hAnsi="Verdana"/>
          <w:b/>
          <w:sz w:val="22"/>
          <w:szCs w:val="22"/>
        </w:rPr>
      </w:pPr>
    </w:p>
    <w:p w:rsidR="000B3F97" w:rsidRPr="00D41B81" w:rsidRDefault="000B3F97" w:rsidP="000B3F97">
      <w:pPr>
        <w:jc w:val="center"/>
        <w:rPr>
          <w:rFonts w:ascii="Verdana" w:hAnsi="Verdana"/>
          <w:b/>
          <w:sz w:val="22"/>
          <w:szCs w:val="22"/>
        </w:rPr>
      </w:pPr>
      <w:r w:rsidRPr="00D41B81">
        <w:rPr>
          <w:rFonts w:ascii="Verdana" w:hAnsi="Verdana"/>
          <w:b/>
          <w:sz w:val="22"/>
          <w:szCs w:val="22"/>
        </w:rPr>
        <w:t>Sentença de 31 de agosto de 2001</w:t>
      </w:r>
    </w:p>
    <w:p w:rsidR="000B3F97" w:rsidRPr="00D41B81" w:rsidRDefault="00C60678" w:rsidP="000B3F97">
      <w:pPr>
        <w:jc w:val="center"/>
        <w:rPr>
          <w:rFonts w:ascii="Verdana" w:hAnsi="Verdana"/>
          <w:b/>
          <w:i/>
          <w:sz w:val="20"/>
        </w:rPr>
      </w:pPr>
      <w:r w:rsidRPr="00C60678">
        <w:rPr>
          <w:rFonts w:ascii="Verdana" w:hAnsi="Verdana"/>
          <w:b/>
          <w:sz w:val="20"/>
        </w:rPr>
        <w:t>(</w:t>
      </w:r>
      <w:r w:rsidR="000B3F97" w:rsidRPr="00D41B81">
        <w:rPr>
          <w:rFonts w:ascii="Verdana" w:hAnsi="Verdana"/>
          <w:b/>
          <w:i/>
          <w:sz w:val="20"/>
        </w:rPr>
        <w:t>Mérito, Reparações e Custas</w:t>
      </w:r>
      <w:proofErr w:type="gramStart"/>
      <w:r w:rsidRPr="00C60678">
        <w:rPr>
          <w:rFonts w:ascii="Verdana" w:hAnsi="Verdana"/>
          <w:b/>
          <w:sz w:val="20"/>
        </w:rPr>
        <w:t>)</w:t>
      </w:r>
      <w:proofErr w:type="gramEnd"/>
    </w:p>
    <w:p w:rsidR="000B3F97" w:rsidRPr="00D41B81" w:rsidRDefault="000B3F97" w:rsidP="000B3F97">
      <w:pPr>
        <w:jc w:val="both"/>
        <w:rPr>
          <w:rFonts w:ascii="Verdana" w:hAnsi="Verdana"/>
          <w:i/>
          <w:sz w:val="20"/>
        </w:rPr>
      </w:pPr>
    </w:p>
    <w:p w:rsidR="000B3F97" w:rsidRPr="00D41B81" w:rsidRDefault="000B3F97" w:rsidP="000B3F97">
      <w:pPr>
        <w:jc w:val="both"/>
        <w:rPr>
          <w:rFonts w:ascii="Verdana" w:hAnsi="Verdana"/>
          <w:sz w:val="20"/>
        </w:rPr>
      </w:pPr>
      <w:r w:rsidRPr="00D41B81">
        <w:rPr>
          <w:rFonts w:ascii="Verdana" w:hAnsi="Verdana"/>
          <w:sz w:val="20"/>
        </w:rPr>
        <w:t xml:space="preserve">No caso da Comunidade Mayagna </w:t>
      </w:r>
      <w:r w:rsidR="00C60678" w:rsidRPr="00C60678">
        <w:rPr>
          <w:rFonts w:ascii="Verdana" w:hAnsi="Verdana"/>
          <w:sz w:val="20"/>
        </w:rPr>
        <w:t>(</w:t>
      </w:r>
      <w:r w:rsidRPr="00D41B81">
        <w:rPr>
          <w:rFonts w:ascii="Verdana" w:hAnsi="Verdana"/>
          <w:sz w:val="20"/>
        </w:rPr>
        <w:t>Sumo</w:t>
      </w:r>
      <w:r w:rsidR="00C60678" w:rsidRPr="00C60678">
        <w:rPr>
          <w:rFonts w:ascii="Verdana" w:hAnsi="Verdana"/>
          <w:sz w:val="20"/>
        </w:rPr>
        <w:t>)</w:t>
      </w:r>
      <w:r w:rsidRPr="00D41B81">
        <w:rPr>
          <w:rFonts w:ascii="Verdana" w:hAnsi="Verdana"/>
          <w:sz w:val="20"/>
        </w:rPr>
        <w:t xml:space="preserve"> Awas Tingni </w:t>
      </w:r>
      <w:r w:rsidR="00C60678" w:rsidRPr="00C60678">
        <w:rPr>
          <w:rFonts w:ascii="Verdana" w:hAnsi="Verdana"/>
          <w:sz w:val="20"/>
        </w:rPr>
        <w:t>(</w:t>
      </w:r>
      <w:r w:rsidRPr="00D41B81">
        <w:rPr>
          <w:rFonts w:ascii="Verdana" w:hAnsi="Verdana"/>
          <w:sz w:val="20"/>
        </w:rPr>
        <w:t xml:space="preserve">doravante </w:t>
      </w:r>
      <w:r w:rsidR="00DD7D69" w:rsidRPr="00D41B81">
        <w:rPr>
          <w:rFonts w:ascii="Verdana" w:hAnsi="Verdana"/>
          <w:sz w:val="20"/>
        </w:rPr>
        <w:t xml:space="preserve">denominada </w:t>
      </w:r>
      <w:r w:rsidRPr="00D41B81">
        <w:rPr>
          <w:rFonts w:ascii="Verdana" w:hAnsi="Verdana"/>
          <w:sz w:val="20"/>
        </w:rPr>
        <w:t>“a Comunidade”, “a Comunidade Mayagna”, “a Comunidade Awas Tingni” ou “Awas Tingni”</w:t>
      </w:r>
      <w:r w:rsidR="00C60678" w:rsidRPr="00C60678">
        <w:rPr>
          <w:rFonts w:ascii="Verdana" w:hAnsi="Verdana"/>
          <w:sz w:val="20"/>
        </w:rPr>
        <w:t>)</w:t>
      </w:r>
      <w:r w:rsidRPr="00D41B81">
        <w:rPr>
          <w:rFonts w:ascii="Verdana" w:hAnsi="Verdana"/>
          <w:sz w:val="20"/>
        </w:rPr>
        <w:t xml:space="preserve">, </w:t>
      </w:r>
    </w:p>
    <w:p w:rsidR="000B3F97" w:rsidRPr="00D41B81" w:rsidRDefault="000B3F97" w:rsidP="000B3F97">
      <w:pPr>
        <w:jc w:val="both"/>
        <w:rPr>
          <w:rFonts w:ascii="Verdana" w:hAnsi="Verdana"/>
          <w:sz w:val="20"/>
        </w:rPr>
      </w:pPr>
    </w:p>
    <w:p w:rsidR="000B3F97" w:rsidRPr="00D41B81" w:rsidRDefault="000B3F97" w:rsidP="000B3F97">
      <w:pPr>
        <w:jc w:val="both"/>
        <w:rPr>
          <w:rFonts w:ascii="Verdana" w:hAnsi="Verdana"/>
          <w:sz w:val="20"/>
        </w:rPr>
      </w:pPr>
      <w:proofErr w:type="gramStart"/>
      <w:r w:rsidRPr="00D41B81">
        <w:rPr>
          <w:rFonts w:ascii="Verdana" w:hAnsi="Verdana"/>
          <w:sz w:val="20"/>
        </w:rPr>
        <w:t>a</w:t>
      </w:r>
      <w:proofErr w:type="gramEnd"/>
      <w:r w:rsidRPr="00D41B81">
        <w:rPr>
          <w:rFonts w:ascii="Verdana" w:hAnsi="Verdana"/>
          <w:sz w:val="20"/>
        </w:rPr>
        <w:t xml:space="preserve"> Corte Interamericana de Direitos Humanos </w:t>
      </w:r>
      <w:r w:rsidR="00C60678" w:rsidRPr="00C60678">
        <w:rPr>
          <w:rFonts w:ascii="Verdana" w:hAnsi="Verdana"/>
          <w:sz w:val="20"/>
        </w:rPr>
        <w:t>(</w:t>
      </w:r>
      <w:r w:rsidRPr="00D41B81">
        <w:rPr>
          <w:rFonts w:ascii="Verdana" w:hAnsi="Verdana"/>
          <w:sz w:val="20"/>
        </w:rPr>
        <w:t xml:space="preserve">doravante </w:t>
      </w:r>
      <w:r w:rsidR="00DD7D69" w:rsidRPr="00D41B81">
        <w:rPr>
          <w:rFonts w:ascii="Verdana" w:hAnsi="Verdana"/>
          <w:sz w:val="20"/>
        </w:rPr>
        <w:t xml:space="preserve">denominada </w:t>
      </w:r>
      <w:r w:rsidRPr="00D41B81">
        <w:rPr>
          <w:rFonts w:ascii="Verdana" w:hAnsi="Verdana"/>
          <w:sz w:val="20"/>
        </w:rPr>
        <w:t>“a Corte”, “a Corte Interamericana” ou “o Tribunal”</w:t>
      </w:r>
      <w:r w:rsidR="00C60678" w:rsidRPr="00C60678">
        <w:rPr>
          <w:rFonts w:ascii="Verdana" w:hAnsi="Verdana"/>
          <w:sz w:val="20"/>
        </w:rPr>
        <w:t>)</w:t>
      </w:r>
      <w:r w:rsidRPr="00D41B81">
        <w:rPr>
          <w:rFonts w:ascii="Verdana" w:hAnsi="Verdana"/>
          <w:sz w:val="20"/>
        </w:rPr>
        <w:t>, integrada pelos seguintes juízes:</w:t>
      </w:r>
    </w:p>
    <w:p w:rsidR="000B3F97" w:rsidRPr="00D41B81" w:rsidRDefault="000B3F97" w:rsidP="000B3F97">
      <w:pPr>
        <w:jc w:val="both"/>
        <w:rPr>
          <w:rFonts w:ascii="Verdana" w:hAnsi="Verdana"/>
          <w:sz w:val="20"/>
        </w:rPr>
      </w:pPr>
    </w:p>
    <w:p w:rsidR="000B3F97" w:rsidRPr="00D41B81" w:rsidRDefault="000B3F97" w:rsidP="000B3F97">
      <w:pPr>
        <w:ind w:firstLine="720"/>
        <w:jc w:val="both"/>
        <w:rPr>
          <w:rFonts w:ascii="Verdana" w:hAnsi="Verdana"/>
          <w:sz w:val="20"/>
        </w:rPr>
      </w:pPr>
      <w:r w:rsidRPr="00D41B81">
        <w:rPr>
          <w:rFonts w:ascii="Verdana" w:hAnsi="Verdana"/>
          <w:sz w:val="20"/>
        </w:rPr>
        <w:t>Antônio A. Cançado Trindade, Presidente;</w:t>
      </w:r>
    </w:p>
    <w:p w:rsidR="000B3F97" w:rsidRPr="00D41B81" w:rsidRDefault="000B3F97" w:rsidP="000B3F97">
      <w:pPr>
        <w:ind w:left="720"/>
        <w:jc w:val="both"/>
        <w:rPr>
          <w:rFonts w:ascii="Verdana" w:hAnsi="Verdana"/>
          <w:sz w:val="20"/>
        </w:rPr>
      </w:pPr>
      <w:r w:rsidRPr="00D41B81">
        <w:rPr>
          <w:rFonts w:ascii="Verdana" w:hAnsi="Verdana"/>
          <w:sz w:val="20"/>
        </w:rPr>
        <w:t>Máximo Pacheco Gómez, Vice-Presidente;</w:t>
      </w:r>
    </w:p>
    <w:p w:rsidR="000B3F97" w:rsidRPr="00D41B81" w:rsidRDefault="000B3F97" w:rsidP="000B3F97">
      <w:pPr>
        <w:ind w:left="720"/>
        <w:jc w:val="both"/>
        <w:rPr>
          <w:rFonts w:ascii="Verdana" w:hAnsi="Verdana"/>
          <w:sz w:val="20"/>
        </w:rPr>
      </w:pPr>
      <w:r w:rsidRPr="00D41B81">
        <w:rPr>
          <w:rFonts w:ascii="Verdana" w:hAnsi="Verdana"/>
          <w:sz w:val="20"/>
        </w:rPr>
        <w:t>Hernán Salgado Pesantes, Juiz;</w:t>
      </w:r>
    </w:p>
    <w:p w:rsidR="000B3F97" w:rsidRPr="00D41B81" w:rsidRDefault="000B3F97" w:rsidP="000B3F97">
      <w:pPr>
        <w:ind w:left="720"/>
        <w:jc w:val="both"/>
        <w:rPr>
          <w:rFonts w:ascii="Verdana" w:hAnsi="Verdana"/>
          <w:sz w:val="20"/>
        </w:rPr>
      </w:pPr>
      <w:r w:rsidRPr="00D41B81">
        <w:rPr>
          <w:rFonts w:ascii="Verdana" w:hAnsi="Verdana"/>
          <w:sz w:val="20"/>
        </w:rPr>
        <w:t>Oliver Jackman, Juiz;</w:t>
      </w:r>
    </w:p>
    <w:p w:rsidR="000B3F97" w:rsidRPr="00D41B81" w:rsidRDefault="000B3F97" w:rsidP="000B3F97">
      <w:pPr>
        <w:ind w:left="720"/>
        <w:jc w:val="both"/>
        <w:rPr>
          <w:rFonts w:ascii="Verdana" w:hAnsi="Verdana"/>
          <w:sz w:val="20"/>
        </w:rPr>
      </w:pPr>
      <w:r w:rsidRPr="00D41B81">
        <w:rPr>
          <w:rFonts w:ascii="Verdana" w:hAnsi="Verdana"/>
          <w:sz w:val="20"/>
        </w:rPr>
        <w:t>Alirio Abreu Burelli, Juiz;</w:t>
      </w:r>
    </w:p>
    <w:p w:rsidR="000B3F97" w:rsidRPr="00D41B81" w:rsidRDefault="000B3F97" w:rsidP="000B3F97">
      <w:pPr>
        <w:ind w:left="720"/>
        <w:jc w:val="both"/>
        <w:rPr>
          <w:rFonts w:ascii="Verdana" w:hAnsi="Verdana"/>
          <w:sz w:val="20"/>
        </w:rPr>
      </w:pPr>
      <w:r w:rsidRPr="00D41B81">
        <w:rPr>
          <w:rFonts w:ascii="Verdana" w:hAnsi="Verdana"/>
          <w:sz w:val="20"/>
        </w:rPr>
        <w:t>Sergio García Ramírez, Juiz;</w:t>
      </w:r>
    </w:p>
    <w:p w:rsidR="000B3F97" w:rsidRPr="00D41B81" w:rsidRDefault="000B3F97" w:rsidP="000B3F97">
      <w:pPr>
        <w:ind w:left="720"/>
        <w:jc w:val="both"/>
        <w:rPr>
          <w:rFonts w:ascii="Verdana" w:hAnsi="Verdana"/>
          <w:sz w:val="20"/>
        </w:rPr>
      </w:pPr>
      <w:r w:rsidRPr="00D41B81">
        <w:rPr>
          <w:rFonts w:ascii="Verdana" w:hAnsi="Verdana"/>
          <w:sz w:val="20"/>
        </w:rPr>
        <w:t xml:space="preserve">Carlos Vicente de Roux Rengifo, Juiz, </w:t>
      </w:r>
      <w:proofErr w:type="gramStart"/>
      <w:r w:rsidRPr="00D41B81">
        <w:rPr>
          <w:rFonts w:ascii="Verdana" w:hAnsi="Verdana"/>
          <w:sz w:val="20"/>
        </w:rPr>
        <w:t>e</w:t>
      </w:r>
      <w:proofErr w:type="gramEnd"/>
    </w:p>
    <w:p w:rsidR="000B3F97" w:rsidRPr="00D41B81" w:rsidRDefault="000B3F97" w:rsidP="000B3F97">
      <w:pPr>
        <w:ind w:left="720"/>
        <w:jc w:val="both"/>
        <w:rPr>
          <w:rFonts w:ascii="Verdana" w:hAnsi="Verdana"/>
          <w:i/>
          <w:sz w:val="20"/>
          <w:lang w:val="es-ES"/>
        </w:rPr>
      </w:pPr>
      <w:r w:rsidRPr="00D41B81">
        <w:rPr>
          <w:rFonts w:ascii="Verdana" w:hAnsi="Verdana"/>
          <w:sz w:val="20"/>
          <w:lang w:val="es-ES"/>
        </w:rPr>
        <w:t xml:space="preserve">Alejandro Montiel Argüello, Juiz </w:t>
      </w:r>
      <w:r w:rsidRPr="00D41B81">
        <w:rPr>
          <w:rFonts w:ascii="Verdana" w:hAnsi="Verdana"/>
          <w:i/>
          <w:sz w:val="20"/>
          <w:lang w:val="es-ES"/>
        </w:rPr>
        <w:t>ad hoc;</w:t>
      </w:r>
    </w:p>
    <w:p w:rsidR="000B3F97" w:rsidRPr="00D41B81" w:rsidRDefault="000B3F97" w:rsidP="000B3F97">
      <w:pPr>
        <w:jc w:val="both"/>
        <w:rPr>
          <w:rFonts w:ascii="Verdana" w:hAnsi="Verdana"/>
          <w:sz w:val="20"/>
          <w:lang w:val="es-ES"/>
        </w:rPr>
      </w:pPr>
    </w:p>
    <w:p w:rsidR="000B3F97" w:rsidRPr="00D41B81" w:rsidRDefault="000B3F97" w:rsidP="000B3F97">
      <w:pPr>
        <w:jc w:val="both"/>
        <w:rPr>
          <w:rFonts w:ascii="Verdana" w:hAnsi="Verdana"/>
          <w:sz w:val="20"/>
        </w:rPr>
      </w:pPr>
      <w:proofErr w:type="gramStart"/>
      <w:r w:rsidRPr="00D41B81">
        <w:rPr>
          <w:rFonts w:ascii="Verdana" w:hAnsi="Verdana"/>
          <w:sz w:val="20"/>
        </w:rPr>
        <w:t>presentes</w:t>
      </w:r>
      <w:proofErr w:type="gramEnd"/>
      <w:r w:rsidRPr="00D41B81">
        <w:rPr>
          <w:rFonts w:ascii="Verdana" w:hAnsi="Verdana"/>
          <w:sz w:val="20"/>
        </w:rPr>
        <w:t xml:space="preserve">, ademais, </w:t>
      </w:r>
    </w:p>
    <w:p w:rsidR="000B3F97" w:rsidRPr="00D41B81" w:rsidRDefault="000B3F97" w:rsidP="000B3F97">
      <w:pPr>
        <w:jc w:val="both"/>
        <w:rPr>
          <w:rFonts w:ascii="Verdana" w:hAnsi="Verdana"/>
          <w:sz w:val="20"/>
        </w:rPr>
      </w:pPr>
    </w:p>
    <w:p w:rsidR="000B3F97" w:rsidRPr="00D41B81" w:rsidRDefault="000B3F97" w:rsidP="000B3F97">
      <w:pPr>
        <w:ind w:left="720"/>
        <w:jc w:val="both"/>
        <w:rPr>
          <w:rFonts w:ascii="Verdana" w:hAnsi="Verdana"/>
          <w:sz w:val="20"/>
        </w:rPr>
      </w:pPr>
      <w:r w:rsidRPr="00D41B81">
        <w:rPr>
          <w:rFonts w:ascii="Verdana" w:hAnsi="Verdana"/>
          <w:sz w:val="20"/>
        </w:rPr>
        <w:t xml:space="preserve">Manuel E. Ventura Robles, Secretário, </w:t>
      </w:r>
      <w:proofErr w:type="gramStart"/>
      <w:r w:rsidRPr="00D41B81">
        <w:rPr>
          <w:rFonts w:ascii="Verdana" w:hAnsi="Verdana"/>
          <w:sz w:val="20"/>
        </w:rPr>
        <w:t>e</w:t>
      </w:r>
      <w:proofErr w:type="gramEnd"/>
    </w:p>
    <w:p w:rsidR="000B3F97" w:rsidRPr="00D41B81" w:rsidRDefault="000B3F97" w:rsidP="000B3F97">
      <w:pPr>
        <w:ind w:left="720"/>
        <w:jc w:val="both"/>
        <w:rPr>
          <w:rFonts w:ascii="Verdana" w:hAnsi="Verdana"/>
          <w:sz w:val="20"/>
        </w:rPr>
      </w:pPr>
      <w:r w:rsidRPr="00D41B81">
        <w:rPr>
          <w:rFonts w:ascii="Verdana" w:hAnsi="Verdana"/>
          <w:sz w:val="20"/>
        </w:rPr>
        <w:t xml:space="preserve">Pablo Saavedra Alessandri, Secretário </w:t>
      </w:r>
      <w:r w:rsidR="00CB4F2C">
        <w:rPr>
          <w:rFonts w:ascii="Verdana" w:hAnsi="Verdana"/>
          <w:sz w:val="20"/>
        </w:rPr>
        <w:t>A</w:t>
      </w:r>
      <w:r w:rsidRPr="00D41B81">
        <w:rPr>
          <w:rFonts w:ascii="Verdana" w:hAnsi="Verdana"/>
          <w:sz w:val="20"/>
        </w:rPr>
        <w:t>djunto,</w:t>
      </w:r>
    </w:p>
    <w:p w:rsidR="000B3F97" w:rsidRPr="00D41B81" w:rsidRDefault="000B3F97" w:rsidP="000B3F97">
      <w:pPr>
        <w:jc w:val="both"/>
        <w:rPr>
          <w:rFonts w:ascii="Verdana" w:hAnsi="Verdana"/>
          <w:sz w:val="20"/>
        </w:rPr>
      </w:pPr>
    </w:p>
    <w:p w:rsidR="000B3F97" w:rsidRPr="00D41B81" w:rsidRDefault="000B3F97" w:rsidP="000B3F97">
      <w:pPr>
        <w:jc w:val="both"/>
        <w:rPr>
          <w:rFonts w:ascii="Verdana" w:hAnsi="Verdana"/>
          <w:sz w:val="20"/>
        </w:rPr>
      </w:pPr>
      <w:proofErr w:type="gramStart"/>
      <w:r w:rsidRPr="00D41B81">
        <w:rPr>
          <w:rFonts w:ascii="Verdana" w:hAnsi="Verdana"/>
          <w:sz w:val="20"/>
        </w:rPr>
        <w:t>de</w:t>
      </w:r>
      <w:proofErr w:type="gramEnd"/>
      <w:r w:rsidRPr="00D41B81">
        <w:rPr>
          <w:rFonts w:ascii="Verdana" w:hAnsi="Verdana"/>
          <w:sz w:val="20"/>
        </w:rPr>
        <w:t xml:space="preserve"> acordo com os artigos 29 e 55 do Regulamento da Corte </w:t>
      </w:r>
      <w:r w:rsidR="00C60678" w:rsidRPr="00C60678">
        <w:rPr>
          <w:rFonts w:ascii="Verdana" w:hAnsi="Verdana"/>
          <w:sz w:val="20"/>
        </w:rPr>
        <w:t>(</w:t>
      </w:r>
      <w:r w:rsidRPr="00D41B81">
        <w:rPr>
          <w:rFonts w:ascii="Verdana" w:hAnsi="Verdana"/>
          <w:sz w:val="20"/>
        </w:rPr>
        <w:t>doravante</w:t>
      </w:r>
      <w:r w:rsidR="00DD7D69" w:rsidRPr="00D41B81">
        <w:rPr>
          <w:rFonts w:ascii="Verdana" w:hAnsi="Verdana"/>
          <w:sz w:val="20"/>
        </w:rPr>
        <w:t xml:space="preserve"> denominado</w:t>
      </w:r>
      <w:r w:rsidRPr="00D41B81">
        <w:rPr>
          <w:rFonts w:ascii="Verdana" w:hAnsi="Verdana"/>
          <w:sz w:val="20"/>
        </w:rPr>
        <w:t xml:space="preserve"> “o Regulamento”</w:t>
      </w:r>
      <w:r w:rsidR="00C60678" w:rsidRPr="00C60678">
        <w:rPr>
          <w:rFonts w:ascii="Verdana" w:hAnsi="Verdana"/>
          <w:sz w:val="20"/>
        </w:rPr>
        <w:t>)</w:t>
      </w:r>
      <w:r w:rsidRPr="00D41B81">
        <w:rPr>
          <w:rStyle w:val="Refdenotaalpie"/>
          <w:rFonts w:ascii="Verdana" w:hAnsi="Verdana"/>
          <w:sz w:val="20"/>
        </w:rPr>
        <w:footnoteReference w:customMarkFollows="1" w:id="1"/>
        <w:t>*</w:t>
      </w:r>
      <w:r w:rsidRPr="00D41B81">
        <w:rPr>
          <w:rFonts w:ascii="Verdana" w:hAnsi="Verdana"/>
          <w:sz w:val="20"/>
        </w:rPr>
        <w:t>, profere a seguinte Sentença sobre o presente caso.</w:t>
      </w:r>
    </w:p>
    <w:p w:rsidR="000B3F97" w:rsidRPr="00D41B81" w:rsidRDefault="000B3F97" w:rsidP="000B3F97">
      <w:pPr>
        <w:jc w:val="both"/>
        <w:rPr>
          <w:rFonts w:ascii="Verdana" w:hAnsi="Verdana"/>
          <w:b/>
          <w:caps/>
          <w:sz w:val="20"/>
        </w:rPr>
      </w:pPr>
    </w:p>
    <w:p w:rsidR="000B3F97" w:rsidRPr="00D41B81" w:rsidRDefault="000B3F97" w:rsidP="000B3F97">
      <w:pPr>
        <w:jc w:val="center"/>
        <w:rPr>
          <w:rFonts w:ascii="Verdana" w:hAnsi="Verdana"/>
          <w:b/>
          <w:caps/>
          <w:sz w:val="20"/>
        </w:rPr>
      </w:pPr>
      <w:r w:rsidRPr="00D41B81">
        <w:rPr>
          <w:rFonts w:ascii="Verdana" w:hAnsi="Verdana"/>
          <w:b/>
          <w:caps/>
          <w:sz w:val="20"/>
        </w:rPr>
        <w:t>I</w:t>
      </w:r>
    </w:p>
    <w:p w:rsidR="000B3F97" w:rsidRPr="00BD40F0" w:rsidRDefault="000B3F97" w:rsidP="000B3F97">
      <w:pPr>
        <w:jc w:val="center"/>
        <w:rPr>
          <w:rFonts w:ascii="Verdana" w:hAnsi="Verdana"/>
          <w:b/>
          <w:caps/>
          <w:sz w:val="20"/>
        </w:rPr>
      </w:pPr>
      <w:r w:rsidRPr="00D41B81">
        <w:rPr>
          <w:rFonts w:ascii="Verdana" w:hAnsi="Verdana"/>
          <w:b/>
          <w:caps/>
          <w:sz w:val="20"/>
        </w:rPr>
        <w:t>Introdução da Causa</w:t>
      </w:r>
    </w:p>
    <w:p w:rsidR="000B3F97" w:rsidRPr="00BD40F0" w:rsidRDefault="000B3F97" w:rsidP="000B3F97">
      <w:pPr>
        <w:jc w:val="center"/>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1.</w:t>
      </w:r>
      <w:r w:rsidRPr="00BD40F0">
        <w:rPr>
          <w:rFonts w:ascii="Verdana" w:hAnsi="Verdana"/>
          <w:sz w:val="20"/>
        </w:rPr>
        <w:tab/>
        <w:t xml:space="preserve">Em </w:t>
      </w:r>
      <w:proofErr w:type="gramStart"/>
      <w:r w:rsidRPr="00BD40F0">
        <w:rPr>
          <w:rFonts w:ascii="Verdana" w:hAnsi="Verdana"/>
          <w:sz w:val="20"/>
        </w:rPr>
        <w:t>4</w:t>
      </w:r>
      <w:proofErr w:type="gramEnd"/>
      <w:r w:rsidRPr="00BD40F0">
        <w:rPr>
          <w:rFonts w:ascii="Verdana" w:hAnsi="Verdana"/>
          <w:sz w:val="20"/>
        </w:rPr>
        <w:t xml:space="preserve"> de junho de 1998, a Comissão Interamericana de Direitos Humanos </w:t>
      </w:r>
      <w:r w:rsidR="00C60678" w:rsidRPr="00C60678">
        <w:rPr>
          <w:rFonts w:ascii="Verdana" w:hAnsi="Verdana"/>
          <w:sz w:val="20"/>
        </w:rPr>
        <w:t>(</w:t>
      </w:r>
      <w:r w:rsidRPr="00BD40F0">
        <w:rPr>
          <w:rFonts w:ascii="Verdana" w:hAnsi="Verdana"/>
          <w:sz w:val="20"/>
        </w:rPr>
        <w:t>doravante</w:t>
      </w:r>
      <w:r w:rsidR="00DD7D69">
        <w:rPr>
          <w:rFonts w:ascii="Verdana" w:hAnsi="Verdana"/>
          <w:sz w:val="20"/>
        </w:rPr>
        <w:t xml:space="preserve"> denominada</w:t>
      </w:r>
      <w:r w:rsidRPr="00BD40F0">
        <w:rPr>
          <w:rFonts w:ascii="Verdana" w:hAnsi="Verdana"/>
          <w:sz w:val="20"/>
        </w:rPr>
        <w:t xml:space="preserve"> “a Comissão” ou “a Comissão Interamericana”</w:t>
      </w:r>
      <w:r w:rsidR="00C60678" w:rsidRPr="00C60678">
        <w:rPr>
          <w:rFonts w:ascii="Verdana" w:hAnsi="Verdana"/>
          <w:sz w:val="20"/>
        </w:rPr>
        <w:t>)</w:t>
      </w:r>
      <w:r w:rsidRPr="00BD40F0">
        <w:rPr>
          <w:rFonts w:ascii="Verdana" w:hAnsi="Verdana"/>
          <w:sz w:val="20"/>
        </w:rPr>
        <w:t xml:space="preserve"> apresentou </w:t>
      </w:r>
      <w:r w:rsidR="002A016A">
        <w:rPr>
          <w:rFonts w:ascii="Verdana" w:hAnsi="Verdana"/>
          <w:sz w:val="20"/>
        </w:rPr>
        <w:t>à</w:t>
      </w:r>
      <w:r w:rsidRPr="00BD40F0">
        <w:rPr>
          <w:rFonts w:ascii="Verdana" w:hAnsi="Verdana"/>
          <w:sz w:val="20"/>
        </w:rPr>
        <w:t xml:space="preserve"> Corte uma demanda contra o Estado da Nicarágua </w:t>
      </w:r>
      <w:r w:rsidR="00C60678" w:rsidRPr="00C60678">
        <w:rPr>
          <w:rFonts w:ascii="Verdana" w:hAnsi="Verdana"/>
          <w:sz w:val="20"/>
        </w:rPr>
        <w:t>(</w:t>
      </w:r>
      <w:r w:rsidRPr="00BD40F0">
        <w:rPr>
          <w:rFonts w:ascii="Verdana" w:hAnsi="Verdana"/>
          <w:sz w:val="20"/>
        </w:rPr>
        <w:t>doravante</w:t>
      </w:r>
      <w:r w:rsidR="00DD7D69">
        <w:rPr>
          <w:rFonts w:ascii="Verdana" w:hAnsi="Verdana"/>
          <w:sz w:val="20"/>
        </w:rPr>
        <w:t xml:space="preserve"> denominado</w:t>
      </w:r>
      <w:r w:rsidRPr="00BD40F0">
        <w:rPr>
          <w:rFonts w:ascii="Verdana" w:hAnsi="Verdana"/>
          <w:sz w:val="20"/>
        </w:rPr>
        <w:t xml:space="preserve"> “o Estado” ou “Nicarágua”</w:t>
      </w:r>
      <w:r w:rsidR="00C60678" w:rsidRPr="00C60678">
        <w:rPr>
          <w:rFonts w:ascii="Verdana" w:hAnsi="Verdana"/>
          <w:sz w:val="20"/>
        </w:rPr>
        <w:t>)</w:t>
      </w:r>
      <w:r w:rsidRPr="00BD40F0">
        <w:rPr>
          <w:rFonts w:ascii="Verdana" w:hAnsi="Verdana"/>
          <w:sz w:val="20"/>
        </w:rPr>
        <w:t xml:space="preserve"> que se originou na denúncia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BD40F0">
        <w:rPr>
          <w:rFonts w:ascii="Verdana" w:hAnsi="Verdana"/>
          <w:sz w:val="20"/>
        </w:rPr>
        <w:t>11.577, recebida na Secretaria da Comissão em 2 de outubro de 1995.</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2.</w:t>
      </w:r>
      <w:r w:rsidRPr="00BD40F0">
        <w:rPr>
          <w:rFonts w:ascii="Verdana" w:hAnsi="Verdana"/>
          <w:sz w:val="20"/>
        </w:rPr>
        <w:tab/>
        <w:t xml:space="preserve">Em sua demanda, a Comissão invocou os artigos 50 e 51 da Convenção Americana sobre Direitos Humanos </w:t>
      </w:r>
      <w:r w:rsidR="00C60678" w:rsidRPr="00C60678">
        <w:rPr>
          <w:rFonts w:ascii="Verdana" w:hAnsi="Verdana"/>
          <w:sz w:val="20"/>
        </w:rPr>
        <w:t>(</w:t>
      </w:r>
      <w:r w:rsidRPr="00BD40F0">
        <w:rPr>
          <w:rFonts w:ascii="Verdana" w:hAnsi="Verdana"/>
          <w:sz w:val="20"/>
        </w:rPr>
        <w:t xml:space="preserve">doravante </w:t>
      </w:r>
      <w:r w:rsidR="00DD7D69">
        <w:rPr>
          <w:rFonts w:ascii="Verdana" w:hAnsi="Verdana"/>
          <w:sz w:val="20"/>
        </w:rPr>
        <w:t xml:space="preserve">denominada </w:t>
      </w:r>
      <w:r w:rsidRPr="00BD40F0">
        <w:rPr>
          <w:rFonts w:ascii="Verdana" w:hAnsi="Verdana"/>
          <w:sz w:val="20"/>
        </w:rPr>
        <w:t>“a Convenção Americana” ou “a Convenção”</w:t>
      </w:r>
      <w:r w:rsidR="00C60678" w:rsidRPr="00C60678">
        <w:rPr>
          <w:rFonts w:ascii="Verdana" w:hAnsi="Verdana"/>
          <w:sz w:val="20"/>
        </w:rPr>
        <w:t>)</w:t>
      </w:r>
      <w:r w:rsidRPr="00BD40F0">
        <w:rPr>
          <w:rFonts w:ascii="Verdana" w:hAnsi="Verdana"/>
          <w:sz w:val="20"/>
        </w:rPr>
        <w:t xml:space="preserve"> e os artigos 32 e seguintes do Regulamento.</w:t>
      </w:r>
      <w:r w:rsidR="00850A3F">
        <w:rPr>
          <w:rFonts w:ascii="Verdana" w:hAnsi="Verdana"/>
          <w:sz w:val="20"/>
        </w:rPr>
        <w:t xml:space="preserve"> </w:t>
      </w:r>
      <w:r w:rsidRPr="00BD40F0">
        <w:rPr>
          <w:rFonts w:ascii="Verdana" w:hAnsi="Verdana"/>
          <w:sz w:val="20"/>
        </w:rPr>
        <w:t xml:space="preserve">A Comissão apresentou este caso com o fim de que a Corte decidisse se o Estado violou os artigos </w:t>
      </w:r>
      <w:proofErr w:type="gramStart"/>
      <w:r w:rsidRPr="00BD40F0">
        <w:rPr>
          <w:rFonts w:ascii="Verdana" w:hAnsi="Verdana"/>
          <w:sz w:val="20"/>
        </w:rPr>
        <w:t>1</w:t>
      </w:r>
      <w:proofErr w:type="gramEnd"/>
      <w:r w:rsidRPr="00BD40F0">
        <w:rPr>
          <w:rFonts w:ascii="Verdana" w:hAnsi="Verdana"/>
          <w:sz w:val="20"/>
        </w:rPr>
        <w:t xml:space="preserve"> </w:t>
      </w:r>
      <w:r w:rsidR="00C60678" w:rsidRPr="00C60678">
        <w:rPr>
          <w:rFonts w:ascii="Verdana" w:hAnsi="Verdana"/>
          <w:sz w:val="20"/>
        </w:rPr>
        <w:t>(</w:t>
      </w:r>
      <w:r w:rsidRPr="00BD40F0">
        <w:rPr>
          <w:rFonts w:ascii="Verdana" w:hAnsi="Verdana"/>
          <w:sz w:val="20"/>
        </w:rPr>
        <w:t>Obrigação de Respeitar os Direitos</w:t>
      </w:r>
      <w:r w:rsidR="00C60678" w:rsidRPr="00C60678">
        <w:rPr>
          <w:rFonts w:ascii="Verdana" w:hAnsi="Verdana"/>
          <w:sz w:val="20"/>
        </w:rPr>
        <w:t>)</w:t>
      </w:r>
      <w:r w:rsidRPr="00BD40F0">
        <w:rPr>
          <w:rFonts w:ascii="Verdana" w:hAnsi="Verdana"/>
          <w:sz w:val="20"/>
        </w:rPr>
        <w:t xml:space="preserve">, 2 </w:t>
      </w:r>
      <w:r w:rsidR="00C60678" w:rsidRPr="00C60678">
        <w:rPr>
          <w:rFonts w:ascii="Verdana" w:hAnsi="Verdana"/>
          <w:sz w:val="20"/>
        </w:rPr>
        <w:t>(</w:t>
      </w:r>
      <w:r w:rsidRPr="00BD40F0">
        <w:rPr>
          <w:rFonts w:ascii="Verdana" w:hAnsi="Verdana"/>
          <w:sz w:val="20"/>
        </w:rPr>
        <w:t>Dever de Adotar Disposições de Direito Interno</w:t>
      </w:r>
      <w:r w:rsidR="00C60678" w:rsidRPr="00C60678">
        <w:rPr>
          <w:rFonts w:ascii="Verdana" w:hAnsi="Verdana"/>
          <w:sz w:val="20"/>
        </w:rPr>
        <w:t>)</w:t>
      </w:r>
      <w:r w:rsidRPr="00BD40F0">
        <w:rPr>
          <w:rFonts w:ascii="Verdana" w:hAnsi="Verdana"/>
          <w:sz w:val="20"/>
        </w:rPr>
        <w:t xml:space="preserve">, 21 </w:t>
      </w:r>
      <w:r w:rsidR="00C60678" w:rsidRPr="00C60678">
        <w:rPr>
          <w:rFonts w:ascii="Verdana" w:hAnsi="Verdana"/>
          <w:sz w:val="20"/>
        </w:rPr>
        <w:t>(</w:t>
      </w:r>
      <w:r w:rsidRPr="00BD40F0">
        <w:rPr>
          <w:rFonts w:ascii="Verdana" w:hAnsi="Verdana"/>
          <w:sz w:val="20"/>
        </w:rPr>
        <w:t>Direito à Propriedade Privada</w:t>
      </w:r>
      <w:r w:rsidR="00C60678" w:rsidRPr="00C60678">
        <w:rPr>
          <w:rFonts w:ascii="Verdana" w:hAnsi="Verdana"/>
          <w:sz w:val="20"/>
        </w:rPr>
        <w:t>)</w:t>
      </w:r>
      <w:r w:rsidRPr="00BD40F0">
        <w:rPr>
          <w:rFonts w:ascii="Verdana" w:hAnsi="Verdana"/>
          <w:sz w:val="20"/>
        </w:rPr>
        <w:t xml:space="preserve"> e 25 </w:t>
      </w:r>
      <w:r w:rsidR="00C60678" w:rsidRPr="00C60678">
        <w:rPr>
          <w:rFonts w:ascii="Verdana" w:hAnsi="Verdana"/>
          <w:sz w:val="20"/>
        </w:rPr>
        <w:t>(</w:t>
      </w:r>
      <w:r w:rsidRPr="00BD40F0">
        <w:rPr>
          <w:rFonts w:ascii="Verdana" w:hAnsi="Verdana"/>
          <w:sz w:val="20"/>
        </w:rPr>
        <w:t xml:space="preserve">Proteção </w:t>
      </w:r>
      <w:r w:rsidRPr="00BD40F0">
        <w:rPr>
          <w:rFonts w:ascii="Verdana" w:hAnsi="Verdana"/>
          <w:sz w:val="20"/>
        </w:rPr>
        <w:lastRenderedPageBreak/>
        <w:t>Judicial</w:t>
      </w:r>
      <w:r w:rsidR="00C60678" w:rsidRPr="00C60678">
        <w:rPr>
          <w:rFonts w:ascii="Verdana" w:hAnsi="Verdana"/>
          <w:sz w:val="20"/>
        </w:rPr>
        <w:t>)</w:t>
      </w:r>
      <w:r w:rsidRPr="00BD40F0">
        <w:rPr>
          <w:rFonts w:ascii="Verdana" w:hAnsi="Verdana"/>
          <w:sz w:val="20"/>
        </w:rPr>
        <w:t xml:space="preserve"> da Convenção, em razão de que a Nicarágua não demarcou as terras</w:t>
      </w:r>
      <w:r w:rsidR="002C6A59">
        <w:rPr>
          <w:rFonts w:ascii="Verdana" w:hAnsi="Verdana"/>
          <w:sz w:val="20"/>
        </w:rPr>
        <w:t xml:space="preserve"> </w:t>
      </w:r>
      <w:r w:rsidR="00680924">
        <w:rPr>
          <w:rFonts w:ascii="Verdana" w:hAnsi="Verdana"/>
          <w:sz w:val="20"/>
        </w:rPr>
        <w:t>comunais</w:t>
      </w:r>
      <w:r w:rsidR="00680924" w:rsidRPr="00BD40F0">
        <w:rPr>
          <w:rFonts w:ascii="Verdana" w:hAnsi="Verdana"/>
          <w:sz w:val="20"/>
        </w:rPr>
        <w:t xml:space="preserve"> </w:t>
      </w:r>
      <w:r w:rsidRPr="00BD40F0">
        <w:rPr>
          <w:rFonts w:ascii="Verdana" w:hAnsi="Verdana"/>
          <w:sz w:val="20"/>
        </w:rPr>
        <w:t>da Comunidade Awas Tingni, nem tomou medidas efetivas que assegur</w:t>
      </w:r>
      <w:r w:rsidR="00E82516">
        <w:rPr>
          <w:rFonts w:ascii="Verdana" w:hAnsi="Verdana"/>
          <w:sz w:val="20"/>
        </w:rPr>
        <w:t>ass</w:t>
      </w:r>
      <w:r w:rsidRPr="00BD40F0">
        <w:rPr>
          <w:rFonts w:ascii="Verdana" w:hAnsi="Verdana"/>
          <w:sz w:val="20"/>
        </w:rPr>
        <w:t xml:space="preserve">em os direitos de propriedade da Comunidade em suas terras ancestrais e recursos naturais, </w:t>
      </w:r>
      <w:r w:rsidR="00C6474D">
        <w:rPr>
          <w:rFonts w:ascii="Verdana" w:hAnsi="Verdana"/>
          <w:sz w:val="20"/>
        </w:rPr>
        <w:t>bem como</w:t>
      </w:r>
      <w:r w:rsidRPr="00BD40F0">
        <w:rPr>
          <w:rFonts w:ascii="Verdana" w:hAnsi="Verdana"/>
          <w:sz w:val="20"/>
        </w:rPr>
        <w:t xml:space="preserve"> por haver </w:t>
      </w:r>
      <w:r w:rsidR="002A016A">
        <w:rPr>
          <w:rFonts w:ascii="Verdana" w:hAnsi="Verdana"/>
          <w:sz w:val="20"/>
        </w:rPr>
        <w:t xml:space="preserve">outorgado </w:t>
      </w:r>
      <w:r w:rsidRPr="00BD40F0">
        <w:rPr>
          <w:rFonts w:ascii="Verdana" w:hAnsi="Verdana"/>
          <w:sz w:val="20"/>
        </w:rPr>
        <w:t xml:space="preserve">uma concessão nas terras da Comunidade sem seu consentimento e </w:t>
      </w:r>
      <w:r w:rsidR="002A016A">
        <w:rPr>
          <w:rFonts w:ascii="Verdana" w:hAnsi="Verdana"/>
          <w:sz w:val="20"/>
        </w:rPr>
        <w:t xml:space="preserve">por </w:t>
      </w:r>
      <w:r w:rsidRPr="00BD40F0">
        <w:rPr>
          <w:rFonts w:ascii="Verdana" w:hAnsi="Verdana"/>
          <w:sz w:val="20"/>
        </w:rPr>
        <w:t xml:space="preserve">não haver garantido um recurso efetivo para responder às reclamações da Comunidade sobre seus direitos de propriedade.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3.</w:t>
      </w:r>
      <w:r w:rsidRPr="00BD40F0">
        <w:rPr>
          <w:rFonts w:ascii="Verdana" w:hAnsi="Verdana"/>
          <w:sz w:val="20"/>
        </w:rPr>
        <w:tab/>
        <w:t>Igualmente, a Comissão solicitou à Corte que declara</w:t>
      </w:r>
      <w:r w:rsidR="00B22658">
        <w:rPr>
          <w:rFonts w:ascii="Verdana" w:hAnsi="Verdana"/>
          <w:sz w:val="20"/>
        </w:rPr>
        <w:t>sse</w:t>
      </w:r>
      <w:r w:rsidRPr="00BD40F0">
        <w:rPr>
          <w:rFonts w:ascii="Verdana" w:hAnsi="Verdana"/>
          <w:sz w:val="20"/>
        </w:rPr>
        <w:t xml:space="preserve"> que o Estado deve estabelecer um procedimento jurídico que permita a rápida demarcação e o reconhecimento oficial dos direitos de propriedade da Comunidade Mayagna, </w:t>
      </w:r>
      <w:r w:rsidR="00C6474D">
        <w:rPr>
          <w:rFonts w:ascii="Verdana" w:hAnsi="Verdana"/>
          <w:sz w:val="20"/>
        </w:rPr>
        <w:t>bem como</w:t>
      </w:r>
      <w:r w:rsidRPr="00BD40F0">
        <w:rPr>
          <w:rFonts w:ascii="Verdana" w:hAnsi="Verdana"/>
          <w:sz w:val="20"/>
        </w:rPr>
        <w:t xml:space="preserve"> a</w:t>
      </w:r>
      <w:r w:rsidR="00E82516">
        <w:rPr>
          <w:rFonts w:ascii="Verdana" w:hAnsi="Verdana"/>
          <w:sz w:val="20"/>
        </w:rPr>
        <w:t>bster</w:t>
      </w:r>
      <w:r w:rsidR="002A016A">
        <w:rPr>
          <w:rFonts w:ascii="Verdana" w:hAnsi="Verdana"/>
          <w:sz w:val="20"/>
        </w:rPr>
        <w:t>-se</w:t>
      </w:r>
      <w:r w:rsidRPr="00BD40F0">
        <w:rPr>
          <w:rFonts w:ascii="Verdana" w:hAnsi="Verdana"/>
          <w:sz w:val="20"/>
        </w:rPr>
        <w:t xml:space="preserve"> de </w:t>
      </w:r>
      <w:r w:rsidR="002A016A">
        <w:rPr>
          <w:rFonts w:ascii="Verdana" w:hAnsi="Verdana"/>
          <w:sz w:val="20"/>
        </w:rPr>
        <w:t xml:space="preserve">outorgar </w:t>
      </w:r>
      <w:r w:rsidRPr="00BD40F0">
        <w:rPr>
          <w:rFonts w:ascii="Verdana" w:hAnsi="Verdana"/>
          <w:sz w:val="20"/>
        </w:rPr>
        <w:t xml:space="preserve">ou considerar a </w:t>
      </w:r>
      <w:r w:rsidR="002A016A">
        <w:rPr>
          <w:rFonts w:ascii="Verdana" w:hAnsi="Verdana"/>
          <w:sz w:val="20"/>
        </w:rPr>
        <w:t xml:space="preserve">outorga </w:t>
      </w:r>
      <w:r w:rsidRPr="00BD40F0">
        <w:rPr>
          <w:rFonts w:ascii="Verdana" w:hAnsi="Verdana"/>
          <w:sz w:val="20"/>
        </w:rPr>
        <w:t>de qualquer concessão para o aproveitamento de recursos naturais nas terras usadas e ocupadas por Awas Tingni</w:t>
      </w:r>
      <w:r w:rsidR="00C632BC">
        <w:rPr>
          <w:rFonts w:ascii="Verdana" w:hAnsi="Verdana"/>
          <w:sz w:val="20"/>
        </w:rPr>
        <w:t>,</w:t>
      </w:r>
      <w:r w:rsidRPr="00BD40F0">
        <w:rPr>
          <w:rFonts w:ascii="Verdana" w:hAnsi="Verdana"/>
          <w:sz w:val="20"/>
        </w:rPr>
        <w:t xml:space="preserve"> até que se resolva a questão da </w:t>
      </w:r>
      <w:r w:rsidR="00B22658">
        <w:rPr>
          <w:rFonts w:ascii="Verdana" w:hAnsi="Verdana"/>
          <w:sz w:val="20"/>
        </w:rPr>
        <w:t>posse</w:t>
      </w:r>
      <w:r w:rsidRPr="00BD40F0">
        <w:rPr>
          <w:rFonts w:ascii="Verdana" w:hAnsi="Verdana"/>
          <w:sz w:val="20"/>
        </w:rPr>
        <w:t xml:space="preserve"> da terra que afeta </w:t>
      </w:r>
      <w:r w:rsidR="00B22658">
        <w:rPr>
          <w:rFonts w:ascii="Verdana" w:hAnsi="Verdana"/>
          <w:sz w:val="20"/>
        </w:rPr>
        <w:t>a</w:t>
      </w:r>
      <w:r w:rsidRPr="00BD40F0">
        <w:rPr>
          <w:rFonts w:ascii="Verdana" w:hAnsi="Verdana"/>
          <w:sz w:val="20"/>
        </w:rPr>
        <w:t xml:space="preserve"> Comunidade.</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4.</w:t>
      </w:r>
      <w:r w:rsidRPr="00BD40F0">
        <w:rPr>
          <w:rFonts w:ascii="Verdana" w:hAnsi="Verdana"/>
          <w:sz w:val="20"/>
        </w:rPr>
        <w:tab/>
        <w:t xml:space="preserve">Finalmente, a Comissão solicitou à Corte que condene o Estado a pagar uma indenização compensatória equitativa pelos danos materiais e morais que a Comunidade sofreu, e ao pagamento das custas e gastos gerados na tramitação do caso na jurisdição interna e </w:t>
      </w:r>
      <w:r w:rsidR="00DD7D69">
        <w:rPr>
          <w:rFonts w:ascii="Verdana" w:hAnsi="Verdana"/>
          <w:sz w:val="20"/>
        </w:rPr>
        <w:t>per</w:t>
      </w:r>
      <w:r w:rsidRPr="00BD40F0">
        <w:rPr>
          <w:rFonts w:ascii="Verdana" w:hAnsi="Verdana"/>
          <w:sz w:val="20"/>
        </w:rPr>
        <w:t xml:space="preserve">ante o Sistema Interamericano. </w:t>
      </w:r>
    </w:p>
    <w:p w:rsidR="000B3F97" w:rsidRPr="00BD40F0" w:rsidRDefault="000B3F97" w:rsidP="000B3F97">
      <w:pPr>
        <w:jc w:val="center"/>
        <w:rPr>
          <w:rFonts w:ascii="Verdana" w:hAnsi="Verdana"/>
          <w:b/>
          <w:caps/>
          <w:sz w:val="20"/>
        </w:rPr>
      </w:pPr>
    </w:p>
    <w:p w:rsidR="000B3F97" w:rsidRPr="00BD40F0" w:rsidRDefault="000B3F97" w:rsidP="000B3F97">
      <w:pPr>
        <w:jc w:val="center"/>
        <w:rPr>
          <w:rFonts w:ascii="Verdana" w:hAnsi="Verdana"/>
          <w:b/>
          <w:caps/>
          <w:sz w:val="20"/>
        </w:rPr>
      </w:pPr>
      <w:r w:rsidRPr="00BD40F0">
        <w:rPr>
          <w:rFonts w:ascii="Verdana" w:hAnsi="Verdana"/>
          <w:b/>
          <w:caps/>
          <w:sz w:val="20"/>
        </w:rPr>
        <w:t>II</w:t>
      </w:r>
    </w:p>
    <w:p w:rsidR="000B3F97" w:rsidRPr="00BD40F0" w:rsidRDefault="000B3F97" w:rsidP="000B3F97">
      <w:pPr>
        <w:jc w:val="center"/>
        <w:rPr>
          <w:rFonts w:ascii="Verdana" w:hAnsi="Verdana"/>
          <w:b/>
          <w:caps/>
          <w:sz w:val="20"/>
        </w:rPr>
      </w:pPr>
      <w:r w:rsidRPr="00BD40F0">
        <w:rPr>
          <w:rFonts w:ascii="Verdana" w:hAnsi="Verdana"/>
          <w:b/>
          <w:caps/>
          <w:sz w:val="20"/>
        </w:rPr>
        <w:t>COMPETÊNCIA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5.</w:t>
      </w:r>
      <w:r w:rsidRPr="00BD40F0">
        <w:rPr>
          <w:rFonts w:ascii="Verdana" w:hAnsi="Verdana"/>
          <w:sz w:val="20"/>
        </w:rPr>
        <w:tab/>
        <w:t xml:space="preserve">A Nicarágua é </w:t>
      </w:r>
      <w:proofErr w:type="gramStart"/>
      <w:r w:rsidRPr="00BD40F0">
        <w:rPr>
          <w:rFonts w:ascii="Verdana" w:hAnsi="Verdana"/>
          <w:sz w:val="20"/>
        </w:rPr>
        <w:t>Estado</w:t>
      </w:r>
      <w:proofErr w:type="gramEnd"/>
      <w:r w:rsidRPr="00BD40F0">
        <w:rPr>
          <w:rFonts w:ascii="Verdana" w:hAnsi="Verdana"/>
          <w:sz w:val="20"/>
        </w:rPr>
        <w:t xml:space="preserve"> Parte na Convenção Americana desde 25 de setembro de 1979 e reconheceu a competência contenciosa da Corte em 12 de fevereiro de 1991.</w:t>
      </w:r>
      <w:r w:rsidR="00850A3F">
        <w:rPr>
          <w:rFonts w:ascii="Verdana" w:hAnsi="Verdana"/>
          <w:sz w:val="20"/>
        </w:rPr>
        <w:t xml:space="preserve"> </w:t>
      </w:r>
      <w:r w:rsidRPr="00BD40F0">
        <w:rPr>
          <w:rFonts w:ascii="Verdana" w:hAnsi="Verdana"/>
          <w:sz w:val="20"/>
        </w:rPr>
        <w:t>Portanto, a Corte é competente para conhecer do presente caso, nos termos do artigo 62.3 da Convenção.</w:t>
      </w:r>
    </w:p>
    <w:p w:rsidR="000B3F97" w:rsidRPr="00BD40F0" w:rsidRDefault="000B3F97" w:rsidP="000B3F97">
      <w:pPr>
        <w:jc w:val="both"/>
        <w:rPr>
          <w:rFonts w:ascii="Verdana" w:hAnsi="Verdana"/>
          <w:b/>
          <w:sz w:val="20"/>
        </w:rPr>
      </w:pPr>
    </w:p>
    <w:p w:rsidR="000B3F97" w:rsidRPr="00BD40F0" w:rsidRDefault="000B3F97" w:rsidP="000B3F97">
      <w:pPr>
        <w:jc w:val="center"/>
        <w:rPr>
          <w:rFonts w:ascii="Verdana" w:hAnsi="Verdana"/>
          <w:b/>
          <w:caps/>
          <w:sz w:val="20"/>
        </w:rPr>
      </w:pPr>
      <w:r w:rsidRPr="00BD40F0">
        <w:rPr>
          <w:rFonts w:ascii="Verdana" w:hAnsi="Verdana"/>
          <w:b/>
          <w:caps/>
          <w:sz w:val="20"/>
        </w:rPr>
        <w:t>III</w:t>
      </w:r>
    </w:p>
    <w:p w:rsidR="000B3F97" w:rsidRPr="00BD40F0" w:rsidRDefault="000B3F97" w:rsidP="000B3F97">
      <w:pPr>
        <w:jc w:val="center"/>
        <w:rPr>
          <w:rFonts w:ascii="Verdana" w:hAnsi="Verdana"/>
          <w:b/>
          <w:caps/>
          <w:sz w:val="20"/>
        </w:rPr>
      </w:pPr>
      <w:r w:rsidRPr="00BD40F0">
        <w:rPr>
          <w:rFonts w:ascii="Verdana" w:hAnsi="Verdana"/>
          <w:b/>
          <w:caps/>
          <w:sz w:val="20"/>
        </w:rPr>
        <w:t>Procedimento PERAnte a Comissão</w:t>
      </w:r>
    </w:p>
    <w:p w:rsidR="000B3F97" w:rsidRPr="00BD40F0" w:rsidRDefault="000B3F97" w:rsidP="000B3F97">
      <w:pPr>
        <w:jc w:val="center"/>
        <w:rPr>
          <w:rFonts w:ascii="Verdana" w:hAnsi="Verdana"/>
          <w:b/>
          <w:caps/>
          <w:sz w:val="20"/>
        </w:rPr>
      </w:pPr>
    </w:p>
    <w:p w:rsidR="000B3F97" w:rsidRPr="00BD40F0" w:rsidRDefault="000B3F97" w:rsidP="000B3F97">
      <w:pPr>
        <w:jc w:val="both"/>
        <w:rPr>
          <w:rFonts w:ascii="Verdana" w:hAnsi="Verdana"/>
          <w:b/>
          <w:sz w:val="20"/>
        </w:rPr>
      </w:pPr>
      <w:r w:rsidRPr="00BD40F0">
        <w:rPr>
          <w:rFonts w:ascii="Verdana" w:hAnsi="Verdana"/>
          <w:sz w:val="20"/>
        </w:rPr>
        <w:t>6.</w:t>
      </w:r>
      <w:r w:rsidRPr="00BD40F0">
        <w:rPr>
          <w:rFonts w:ascii="Verdana" w:hAnsi="Verdana"/>
          <w:sz w:val="20"/>
        </w:rPr>
        <w:tab/>
        <w:t xml:space="preserve">Em </w:t>
      </w:r>
      <w:proofErr w:type="gramStart"/>
      <w:r w:rsidRPr="00BD40F0">
        <w:rPr>
          <w:rFonts w:ascii="Verdana" w:hAnsi="Verdana"/>
          <w:sz w:val="20"/>
        </w:rPr>
        <w:t>2</w:t>
      </w:r>
      <w:proofErr w:type="gramEnd"/>
      <w:r w:rsidRPr="00BD40F0">
        <w:rPr>
          <w:rFonts w:ascii="Verdana" w:hAnsi="Verdana"/>
          <w:sz w:val="20"/>
        </w:rPr>
        <w:t xml:space="preserve"> de outubro de 1995, a Comissão Interamericana recebeu em sua Secretaria uma denúncia apresentada pelo senhor Jaime Castillo Felipe, Síndico da Comunidade, </w:t>
      </w:r>
      <w:r w:rsidR="002A016A">
        <w:rPr>
          <w:rFonts w:ascii="Verdana" w:hAnsi="Verdana"/>
          <w:sz w:val="20"/>
        </w:rPr>
        <w:t xml:space="preserve">em seu nome </w:t>
      </w:r>
      <w:r w:rsidRPr="00BD40F0">
        <w:rPr>
          <w:rFonts w:ascii="Verdana" w:hAnsi="Verdana"/>
          <w:sz w:val="20"/>
        </w:rPr>
        <w:t>e em representação desta.</w:t>
      </w:r>
      <w:r w:rsidR="00850A3F">
        <w:rPr>
          <w:rFonts w:ascii="Verdana" w:hAnsi="Verdana"/>
          <w:sz w:val="20"/>
        </w:rPr>
        <w:t xml:space="preserve"> </w:t>
      </w:r>
      <w:r w:rsidRPr="00BD40F0">
        <w:rPr>
          <w:rFonts w:ascii="Verdana" w:hAnsi="Verdana"/>
          <w:sz w:val="20"/>
        </w:rPr>
        <w:t>Nesta denúncia</w:t>
      </w:r>
      <w:r w:rsidR="00C632BC">
        <w:rPr>
          <w:rFonts w:ascii="Verdana" w:hAnsi="Verdana"/>
          <w:sz w:val="20"/>
        </w:rPr>
        <w:t>,</w:t>
      </w:r>
      <w:r w:rsidRPr="00BD40F0">
        <w:rPr>
          <w:rFonts w:ascii="Verdana" w:hAnsi="Verdana"/>
          <w:sz w:val="20"/>
        </w:rPr>
        <w:t xml:space="preserve"> também foi solicitada a adoção de medidas cautelares, em virtude de que o Estado </w:t>
      </w:r>
      <w:r w:rsidR="002A016A" w:rsidRPr="00BD40F0">
        <w:rPr>
          <w:rFonts w:ascii="Verdana" w:hAnsi="Verdana"/>
          <w:sz w:val="20"/>
        </w:rPr>
        <w:t xml:space="preserve">supostamente </w:t>
      </w:r>
      <w:r w:rsidRPr="00BD40F0">
        <w:rPr>
          <w:rFonts w:ascii="Verdana" w:hAnsi="Verdana"/>
          <w:sz w:val="20"/>
        </w:rPr>
        <w:t xml:space="preserve">dispor-se-ia a </w:t>
      </w:r>
      <w:r w:rsidR="002A016A">
        <w:rPr>
          <w:rFonts w:ascii="Verdana" w:hAnsi="Verdana"/>
          <w:sz w:val="20"/>
        </w:rPr>
        <w:t xml:space="preserve">outorgar </w:t>
      </w:r>
      <w:r w:rsidRPr="00BD40F0">
        <w:rPr>
          <w:rFonts w:ascii="Verdana" w:hAnsi="Verdana"/>
          <w:sz w:val="20"/>
        </w:rPr>
        <w:t xml:space="preserve">uma concessão à empresa </w:t>
      </w:r>
      <w:r w:rsidRPr="00BD40F0">
        <w:rPr>
          <w:rFonts w:ascii="Verdana" w:hAnsi="Verdana"/>
          <w:i/>
          <w:sz w:val="20"/>
        </w:rPr>
        <w:t xml:space="preserve">Sol </w:t>
      </w:r>
      <w:proofErr w:type="gramStart"/>
      <w:r w:rsidRPr="00BD40F0">
        <w:rPr>
          <w:rFonts w:ascii="Verdana" w:hAnsi="Verdana"/>
          <w:i/>
          <w:sz w:val="20"/>
        </w:rPr>
        <w:t>del</w:t>
      </w:r>
      <w:proofErr w:type="gramEnd"/>
      <w:r w:rsidRPr="00BD40F0">
        <w:rPr>
          <w:rFonts w:ascii="Verdana" w:hAnsi="Verdana"/>
          <w:i/>
          <w:sz w:val="20"/>
        </w:rPr>
        <w:t xml:space="preserve"> Caribe</w:t>
      </w:r>
      <w:r w:rsidRPr="00BD40F0">
        <w:rPr>
          <w:rFonts w:ascii="Verdana" w:hAnsi="Verdana"/>
          <w:sz w:val="20"/>
        </w:rPr>
        <w:t xml:space="preserve">, S.A. </w:t>
      </w:r>
      <w:r w:rsidR="00C60678" w:rsidRPr="00C60678">
        <w:rPr>
          <w:rFonts w:ascii="Verdana" w:hAnsi="Verdana"/>
          <w:sz w:val="20"/>
        </w:rPr>
        <w:t>(</w:t>
      </w:r>
      <w:r w:rsidRPr="00BD40F0">
        <w:rPr>
          <w:rFonts w:ascii="Verdana" w:hAnsi="Verdana"/>
          <w:sz w:val="20"/>
        </w:rPr>
        <w:t>SOLCARSA</w:t>
      </w:r>
      <w:r w:rsidR="00C60678" w:rsidRPr="00C60678">
        <w:rPr>
          <w:rFonts w:ascii="Verdana" w:hAnsi="Verdana"/>
          <w:sz w:val="20"/>
        </w:rPr>
        <w:t>)</w:t>
      </w:r>
      <w:r w:rsidRPr="00BD40F0">
        <w:rPr>
          <w:rFonts w:ascii="Verdana" w:hAnsi="Verdana"/>
          <w:sz w:val="20"/>
        </w:rPr>
        <w:t xml:space="preserve"> </w:t>
      </w:r>
      <w:r w:rsidR="00C60678" w:rsidRPr="00C60678">
        <w:rPr>
          <w:rFonts w:ascii="Verdana" w:hAnsi="Verdana"/>
          <w:sz w:val="20"/>
        </w:rPr>
        <w:t>(</w:t>
      </w:r>
      <w:r w:rsidRPr="00BD40F0">
        <w:rPr>
          <w:rFonts w:ascii="Verdana" w:hAnsi="Verdana"/>
          <w:sz w:val="20"/>
        </w:rPr>
        <w:t xml:space="preserve">doravante </w:t>
      </w:r>
      <w:r w:rsidR="00DD7D69">
        <w:rPr>
          <w:rFonts w:ascii="Verdana" w:hAnsi="Verdana"/>
          <w:sz w:val="20"/>
        </w:rPr>
        <w:t xml:space="preserve">denominada </w:t>
      </w:r>
      <w:r w:rsidRPr="00BD40F0">
        <w:rPr>
          <w:rFonts w:ascii="Verdana" w:hAnsi="Verdana"/>
          <w:sz w:val="20"/>
        </w:rPr>
        <w:t>“SOLCARSA”</w:t>
      </w:r>
      <w:r w:rsidR="00C60678" w:rsidRPr="00C60678">
        <w:rPr>
          <w:rFonts w:ascii="Verdana" w:hAnsi="Verdana"/>
          <w:sz w:val="20"/>
        </w:rPr>
        <w:t>)</w:t>
      </w:r>
      <w:r w:rsidRPr="00BD40F0">
        <w:rPr>
          <w:rFonts w:ascii="Verdana" w:hAnsi="Verdana"/>
          <w:sz w:val="20"/>
        </w:rPr>
        <w:t xml:space="preserve"> para começar a exploração de madeira nas terras </w:t>
      </w:r>
      <w:r w:rsidR="00664426">
        <w:rPr>
          <w:rFonts w:ascii="Verdana" w:hAnsi="Verdana"/>
          <w:sz w:val="20"/>
        </w:rPr>
        <w:t>comunitárias</w:t>
      </w:r>
      <w:r w:rsidRPr="00BD40F0">
        <w:rPr>
          <w:rFonts w:ascii="Verdana" w:hAnsi="Verdana"/>
          <w:sz w:val="20"/>
        </w:rPr>
        <w:t>.</w:t>
      </w:r>
      <w:r w:rsidR="00850A3F">
        <w:rPr>
          <w:rFonts w:ascii="Verdana" w:hAnsi="Verdana"/>
          <w:sz w:val="20"/>
        </w:rPr>
        <w:t xml:space="preserve"> </w:t>
      </w:r>
      <w:r w:rsidRPr="00BD40F0">
        <w:rPr>
          <w:rFonts w:ascii="Verdana" w:hAnsi="Verdana"/>
          <w:sz w:val="20"/>
        </w:rPr>
        <w:t>No dia 6 do mesmo mês e ano</w:t>
      </w:r>
      <w:r w:rsidR="00475801">
        <w:rPr>
          <w:rFonts w:ascii="Verdana" w:hAnsi="Verdana"/>
          <w:sz w:val="20"/>
        </w:rPr>
        <w:t>,</w:t>
      </w:r>
      <w:r w:rsidRPr="00BD40F0">
        <w:rPr>
          <w:rFonts w:ascii="Verdana" w:hAnsi="Verdana"/>
          <w:sz w:val="20"/>
        </w:rPr>
        <w:t xml:space="preserve"> a Comissão acusou </w:t>
      </w:r>
      <w:r w:rsidR="002A016A">
        <w:rPr>
          <w:rFonts w:ascii="Verdana" w:hAnsi="Verdana"/>
          <w:sz w:val="20"/>
        </w:rPr>
        <w:t xml:space="preserve">o recebimento </w:t>
      </w:r>
      <w:r w:rsidRPr="00BD40F0">
        <w:rPr>
          <w:rFonts w:ascii="Verdana" w:hAnsi="Verdana"/>
          <w:sz w:val="20"/>
        </w:rPr>
        <w:t xml:space="preserve">desta comunicação.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7.</w:t>
      </w:r>
      <w:r w:rsidRPr="00BD40F0">
        <w:rPr>
          <w:rFonts w:ascii="Verdana" w:hAnsi="Verdana"/>
          <w:sz w:val="20"/>
        </w:rPr>
        <w:tab/>
        <w:t xml:space="preserve">Em </w:t>
      </w:r>
      <w:proofErr w:type="gramStart"/>
      <w:r w:rsidRPr="00BD40F0">
        <w:rPr>
          <w:rFonts w:ascii="Verdana" w:hAnsi="Verdana"/>
          <w:sz w:val="20"/>
        </w:rPr>
        <w:t>3</w:t>
      </w:r>
      <w:proofErr w:type="gramEnd"/>
      <w:r w:rsidRPr="00BD40F0">
        <w:rPr>
          <w:rFonts w:ascii="Verdana" w:hAnsi="Verdana"/>
          <w:sz w:val="20"/>
        </w:rPr>
        <w:t xml:space="preserve"> de dezembro de 1995 e em 4 de janeiro de 1996, a Comissão recebeu escritos mediante os quais </w:t>
      </w:r>
      <w:r w:rsidR="00F6292B">
        <w:rPr>
          <w:rFonts w:ascii="Verdana" w:hAnsi="Verdana"/>
          <w:sz w:val="20"/>
        </w:rPr>
        <w:t xml:space="preserve">foi reiterado </w:t>
      </w:r>
      <w:r w:rsidR="00DD7D69">
        <w:rPr>
          <w:rFonts w:ascii="Verdana" w:hAnsi="Verdana"/>
          <w:sz w:val="20"/>
        </w:rPr>
        <w:t>o pedido</w:t>
      </w:r>
      <w:r w:rsidRPr="00BD40F0">
        <w:rPr>
          <w:rFonts w:ascii="Verdana" w:hAnsi="Verdana"/>
          <w:sz w:val="20"/>
        </w:rPr>
        <w:t xml:space="preserve"> de medidas cautelares a que faz referência o parágrafo anterior.</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8.</w:t>
      </w:r>
      <w:r w:rsidRPr="00BD40F0">
        <w:rPr>
          <w:rFonts w:ascii="Verdana" w:hAnsi="Verdana"/>
          <w:sz w:val="20"/>
        </w:rPr>
        <w:tab/>
        <w:t xml:space="preserve">Em 19 de janeiro de 1996, os peticionários solicitaram uma audiência à Comissão, mas esta lhes informou que não seria </w:t>
      </w:r>
      <w:r w:rsidRPr="00030FBE">
        <w:rPr>
          <w:rFonts w:ascii="Verdana" w:hAnsi="Verdana"/>
          <w:sz w:val="20"/>
        </w:rPr>
        <w:t>possível concedê-la.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9.</w:t>
      </w:r>
      <w:r w:rsidRPr="00BD40F0">
        <w:rPr>
          <w:rFonts w:ascii="Verdana" w:hAnsi="Verdana"/>
          <w:sz w:val="20"/>
        </w:rPr>
        <w:tab/>
        <w:t xml:space="preserve">Em </w:t>
      </w:r>
      <w:proofErr w:type="gramStart"/>
      <w:r w:rsidRPr="00BD40F0">
        <w:rPr>
          <w:rFonts w:ascii="Verdana" w:hAnsi="Verdana"/>
          <w:sz w:val="20"/>
        </w:rPr>
        <w:t>5</w:t>
      </w:r>
      <w:proofErr w:type="gramEnd"/>
      <w:r w:rsidRPr="00BD40F0">
        <w:rPr>
          <w:rFonts w:ascii="Verdana" w:hAnsi="Verdana"/>
          <w:sz w:val="20"/>
        </w:rPr>
        <w:t xml:space="preserve"> de fevereiro de 1996, a Comissão iniciou a tramitação do caso e enviou ao Estado as partes pertinentes da petiç</w:t>
      </w:r>
      <w:r w:rsidR="00030FBE">
        <w:rPr>
          <w:rFonts w:ascii="Verdana" w:hAnsi="Verdana"/>
          <w:sz w:val="20"/>
        </w:rPr>
        <w:t>ão, solicitando a este que envia</w:t>
      </w:r>
      <w:r w:rsidR="00475801">
        <w:rPr>
          <w:rFonts w:ascii="Verdana" w:hAnsi="Verdana"/>
          <w:sz w:val="20"/>
        </w:rPr>
        <w:t>sse</w:t>
      </w:r>
      <w:r w:rsidRPr="00BD40F0">
        <w:rPr>
          <w:rFonts w:ascii="Verdana" w:hAnsi="Verdana"/>
          <w:sz w:val="20"/>
        </w:rPr>
        <w:t xml:space="preserve"> a informação correspondente em um prazo de 90 dias.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10.</w:t>
      </w:r>
      <w:r w:rsidRPr="00BD40F0">
        <w:rPr>
          <w:rFonts w:ascii="Verdana" w:hAnsi="Verdana"/>
          <w:sz w:val="20"/>
        </w:rPr>
        <w:tab/>
        <w:t xml:space="preserve">Em 13 de março de 1996, o senhor James Anaya, representante </w:t>
      </w:r>
      <w:r w:rsidR="00F6292B">
        <w:rPr>
          <w:rFonts w:ascii="Verdana" w:hAnsi="Verdana"/>
          <w:sz w:val="20"/>
        </w:rPr>
        <w:t xml:space="preserve">jurídico </w:t>
      </w:r>
      <w:r w:rsidRPr="00BD40F0">
        <w:rPr>
          <w:rFonts w:ascii="Verdana" w:hAnsi="Verdana"/>
          <w:sz w:val="20"/>
        </w:rPr>
        <w:t xml:space="preserve">da Comunidade, apresentou à Comissão dois artigos de imprensa referentes à </w:t>
      </w:r>
      <w:r w:rsidR="002A016A">
        <w:rPr>
          <w:rFonts w:ascii="Verdana" w:hAnsi="Verdana"/>
          <w:sz w:val="20"/>
        </w:rPr>
        <w:t>outorga</w:t>
      </w:r>
      <w:r w:rsidR="002A016A" w:rsidRPr="00BD40F0">
        <w:rPr>
          <w:rFonts w:ascii="Verdana" w:hAnsi="Verdana"/>
          <w:sz w:val="20"/>
        </w:rPr>
        <w:t xml:space="preserve"> </w:t>
      </w:r>
      <w:r w:rsidRPr="00BD40F0">
        <w:rPr>
          <w:rFonts w:ascii="Verdana" w:hAnsi="Verdana"/>
          <w:sz w:val="20"/>
        </w:rPr>
        <w:t xml:space="preserve">da concessão </w:t>
      </w:r>
      <w:r w:rsidR="00F9417A">
        <w:rPr>
          <w:rFonts w:ascii="Verdana" w:hAnsi="Verdana"/>
          <w:sz w:val="20"/>
        </w:rPr>
        <w:t>à</w:t>
      </w:r>
      <w:r w:rsidRPr="00BD40F0">
        <w:rPr>
          <w:rFonts w:ascii="Verdana" w:hAnsi="Verdana"/>
          <w:sz w:val="20"/>
        </w:rPr>
        <w:t xml:space="preserve"> SOLCARSA e uma carta enviada pelo Ministro d</w:t>
      </w:r>
      <w:r w:rsidR="00F9417A">
        <w:rPr>
          <w:rFonts w:ascii="Verdana" w:hAnsi="Verdana"/>
          <w:sz w:val="20"/>
        </w:rPr>
        <w:t>o</w:t>
      </w:r>
      <w:r w:rsidRPr="00BD40F0">
        <w:rPr>
          <w:rFonts w:ascii="Verdana" w:hAnsi="Verdana"/>
          <w:sz w:val="20"/>
        </w:rPr>
        <w:t xml:space="preserve"> Ambiente e </w:t>
      </w:r>
      <w:r w:rsidRPr="00BD40F0">
        <w:rPr>
          <w:rFonts w:ascii="Verdana" w:hAnsi="Verdana"/>
          <w:sz w:val="20"/>
        </w:rPr>
        <w:lastRenderedPageBreak/>
        <w:t>Recursos Naturais ao Presidente d</w:t>
      </w:r>
      <w:r w:rsidR="00F9417A">
        <w:rPr>
          <w:rFonts w:ascii="Verdana" w:hAnsi="Verdana"/>
          <w:sz w:val="20"/>
        </w:rPr>
        <w:t>a</w:t>
      </w:r>
      <w:r w:rsidRPr="00BD40F0">
        <w:rPr>
          <w:rFonts w:ascii="Verdana" w:hAnsi="Verdana"/>
          <w:sz w:val="20"/>
        </w:rPr>
        <w:t xml:space="preserve"> SOLCARSA, na qu</w:t>
      </w:r>
      <w:r w:rsidR="002A016A">
        <w:rPr>
          <w:rFonts w:ascii="Verdana" w:hAnsi="Verdana"/>
          <w:sz w:val="20"/>
        </w:rPr>
        <w:t>al</w:t>
      </w:r>
      <w:r w:rsidRPr="00BD40F0">
        <w:rPr>
          <w:rFonts w:ascii="Verdana" w:hAnsi="Verdana"/>
          <w:sz w:val="20"/>
        </w:rPr>
        <w:t xml:space="preserve"> lhe informava que </w:t>
      </w:r>
      <w:r w:rsidR="00030FBE">
        <w:rPr>
          <w:rFonts w:ascii="Verdana" w:hAnsi="Verdana"/>
          <w:sz w:val="20"/>
        </w:rPr>
        <w:t>o</w:t>
      </w:r>
      <w:r w:rsidRPr="00BD40F0">
        <w:rPr>
          <w:rFonts w:ascii="Verdana" w:hAnsi="Verdana"/>
          <w:sz w:val="20"/>
        </w:rPr>
        <w:t xml:space="preserve"> “</w:t>
      </w:r>
      <w:r w:rsidR="00030FBE">
        <w:rPr>
          <w:rFonts w:ascii="Verdana" w:hAnsi="Verdana"/>
          <w:sz w:val="20"/>
        </w:rPr>
        <w:t>pedido</w:t>
      </w:r>
      <w:r w:rsidRPr="00BD40F0">
        <w:rPr>
          <w:rFonts w:ascii="Verdana" w:hAnsi="Verdana"/>
          <w:sz w:val="20"/>
        </w:rPr>
        <w:t xml:space="preserve"> de concessão florestal </w:t>
      </w:r>
      <w:proofErr w:type="gramStart"/>
      <w:r w:rsidRPr="00BD40F0">
        <w:rPr>
          <w:rFonts w:ascii="Verdana" w:hAnsi="Verdana"/>
          <w:sz w:val="20"/>
        </w:rPr>
        <w:t>esta[</w:t>
      </w:r>
      <w:proofErr w:type="gramEnd"/>
      <w:r w:rsidRPr="00BD40F0">
        <w:rPr>
          <w:rFonts w:ascii="Verdana" w:hAnsi="Verdana"/>
          <w:sz w:val="20"/>
        </w:rPr>
        <w:t xml:space="preserve">va] em trâmite[,] </w:t>
      </w:r>
      <w:r w:rsidR="002A016A">
        <w:rPr>
          <w:rFonts w:ascii="Verdana" w:hAnsi="Verdana"/>
          <w:sz w:val="20"/>
        </w:rPr>
        <w:t xml:space="preserve">e </w:t>
      </w:r>
      <w:r w:rsidRPr="00BD40F0">
        <w:rPr>
          <w:rFonts w:ascii="Verdana" w:hAnsi="Verdana"/>
          <w:sz w:val="20"/>
        </w:rPr>
        <w:t xml:space="preserve">o que falta[va] e[ra] assinar o contrato de concessão”, e que o </w:t>
      </w:r>
      <w:r w:rsidR="002A016A">
        <w:rPr>
          <w:rFonts w:ascii="Verdana" w:hAnsi="Verdana"/>
          <w:sz w:val="20"/>
        </w:rPr>
        <w:t xml:space="preserve">principal </w:t>
      </w:r>
      <w:r w:rsidRPr="00BD40F0">
        <w:rPr>
          <w:rFonts w:ascii="Verdana" w:hAnsi="Verdana"/>
          <w:sz w:val="20"/>
        </w:rPr>
        <w:t>obstáculo</w:t>
      </w:r>
      <w:r w:rsidR="00850A3F">
        <w:rPr>
          <w:rFonts w:ascii="Verdana" w:hAnsi="Verdana"/>
          <w:sz w:val="20"/>
        </w:rPr>
        <w:t xml:space="preserve"> </w:t>
      </w:r>
      <w:r w:rsidR="002A016A">
        <w:rPr>
          <w:rFonts w:ascii="Verdana" w:hAnsi="Verdana"/>
          <w:sz w:val="20"/>
        </w:rPr>
        <w:t xml:space="preserve">eram </w:t>
      </w:r>
      <w:r w:rsidRPr="00BD40F0">
        <w:rPr>
          <w:rFonts w:ascii="Verdana" w:hAnsi="Verdana"/>
          <w:sz w:val="20"/>
        </w:rPr>
        <w:t>as reclamações da Comunidade.</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11.</w:t>
      </w:r>
      <w:r w:rsidRPr="00BD40F0">
        <w:rPr>
          <w:rFonts w:ascii="Verdana" w:hAnsi="Verdana"/>
          <w:sz w:val="20"/>
        </w:rPr>
        <w:tab/>
        <w:t xml:space="preserve">Mediante comunicação de 28 de março de 1996, os peticionários enviaram à Comissão um projeto de “memorando de entendimento” para chegar a uma solução amistosa no caso, documento que, segundo o senhor James </w:t>
      </w:r>
      <w:r w:rsidR="00F6292B">
        <w:rPr>
          <w:rFonts w:ascii="Verdana" w:hAnsi="Verdana"/>
          <w:sz w:val="20"/>
        </w:rPr>
        <w:t>Anaya, representante jurídico</w:t>
      </w:r>
      <w:r w:rsidRPr="00BD40F0">
        <w:rPr>
          <w:rFonts w:ascii="Verdana" w:hAnsi="Verdana"/>
          <w:sz w:val="20"/>
        </w:rPr>
        <w:t xml:space="preserve"> da Comunidade, havia sido apresentado aos Ministros das Relações Exteriores e do Ambiente e Recursos Naturais.</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12.</w:t>
      </w:r>
      <w:r w:rsidRPr="00BD40F0">
        <w:rPr>
          <w:rFonts w:ascii="Verdana" w:hAnsi="Verdana"/>
          <w:sz w:val="20"/>
        </w:rPr>
        <w:tab/>
        <w:t xml:space="preserve">Em 17 de abril de 1996, o senhor James </w:t>
      </w:r>
      <w:r w:rsidR="00F6292B">
        <w:rPr>
          <w:rFonts w:ascii="Verdana" w:hAnsi="Verdana"/>
          <w:sz w:val="20"/>
        </w:rPr>
        <w:t>Anaya, representante jurídico</w:t>
      </w:r>
      <w:r w:rsidRPr="00BD40F0">
        <w:rPr>
          <w:rFonts w:ascii="Verdana" w:hAnsi="Verdana"/>
          <w:sz w:val="20"/>
        </w:rPr>
        <w:t xml:space="preserve"> da Comunidade, apresentou um documento mediante o qual outras comunidades indígenas da Região Autônoma Atlântico Norte </w:t>
      </w:r>
      <w:r w:rsidR="00C60678" w:rsidRPr="00C60678">
        <w:rPr>
          <w:rFonts w:ascii="Verdana" w:hAnsi="Verdana"/>
          <w:sz w:val="20"/>
        </w:rPr>
        <w:t>(</w:t>
      </w:r>
      <w:r w:rsidRPr="00BD40F0">
        <w:rPr>
          <w:rFonts w:ascii="Verdana" w:hAnsi="Verdana"/>
          <w:sz w:val="20"/>
        </w:rPr>
        <w:t>doravante</w:t>
      </w:r>
      <w:r w:rsidR="00DD7D69">
        <w:rPr>
          <w:rFonts w:ascii="Verdana" w:hAnsi="Verdana"/>
          <w:sz w:val="20"/>
        </w:rPr>
        <w:t xml:space="preserve"> </w:t>
      </w:r>
      <w:r w:rsidR="00DD7D69" w:rsidRPr="00030FBE">
        <w:rPr>
          <w:rFonts w:ascii="Verdana" w:hAnsi="Verdana"/>
          <w:sz w:val="20"/>
        </w:rPr>
        <w:t xml:space="preserve">denominada </w:t>
      </w:r>
      <w:r w:rsidRPr="00030FBE">
        <w:rPr>
          <w:rFonts w:ascii="Verdana" w:hAnsi="Verdana"/>
          <w:sz w:val="20"/>
        </w:rPr>
        <w:t>“a RAAN”</w:t>
      </w:r>
      <w:r w:rsidR="00C60678" w:rsidRPr="00C60678">
        <w:rPr>
          <w:rFonts w:ascii="Verdana" w:hAnsi="Verdana"/>
          <w:sz w:val="20"/>
        </w:rPr>
        <w:t>)</w:t>
      </w:r>
      <w:r w:rsidRPr="00030FBE">
        <w:rPr>
          <w:rFonts w:ascii="Verdana" w:hAnsi="Verdana"/>
          <w:sz w:val="20"/>
        </w:rPr>
        <w:t xml:space="preserve"> e o Movimento Indígena da Região Autônoma Atlântico Sul </w:t>
      </w:r>
      <w:r w:rsidR="00C60678" w:rsidRPr="00C60678">
        <w:rPr>
          <w:rFonts w:ascii="Verdana" w:hAnsi="Verdana"/>
          <w:sz w:val="20"/>
        </w:rPr>
        <w:t>(</w:t>
      </w:r>
      <w:r w:rsidRPr="00030FBE">
        <w:rPr>
          <w:rFonts w:ascii="Verdana" w:hAnsi="Verdana"/>
          <w:sz w:val="20"/>
        </w:rPr>
        <w:t>RAAS</w:t>
      </w:r>
      <w:r w:rsidR="00C60678" w:rsidRPr="00C60678">
        <w:rPr>
          <w:rFonts w:ascii="Verdana" w:hAnsi="Verdana"/>
          <w:sz w:val="20"/>
        </w:rPr>
        <w:t>)</w:t>
      </w:r>
      <w:r w:rsidRPr="00030FBE">
        <w:rPr>
          <w:rFonts w:ascii="Verdana" w:hAnsi="Verdana"/>
          <w:sz w:val="20"/>
        </w:rPr>
        <w:t xml:space="preserve"> </w:t>
      </w:r>
      <w:r w:rsidR="006D7F76">
        <w:rPr>
          <w:rFonts w:ascii="Verdana" w:hAnsi="Verdana"/>
          <w:sz w:val="20"/>
        </w:rPr>
        <w:t>aderiam</w:t>
      </w:r>
      <w:r w:rsidR="007D5956">
        <w:rPr>
          <w:rFonts w:ascii="Verdana" w:hAnsi="Verdana"/>
          <w:sz w:val="20"/>
        </w:rPr>
        <w:t xml:space="preserve"> </w:t>
      </w:r>
      <w:r w:rsidRPr="00030FBE">
        <w:rPr>
          <w:rFonts w:ascii="Verdana" w:hAnsi="Verdana"/>
          <w:sz w:val="20"/>
        </w:rPr>
        <w:t xml:space="preserve">à petição apresentada </w:t>
      </w:r>
      <w:r w:rsidR="00DD7D69" w:rsidRPr="00030FBE">
        <w:rPr>
          <w:rFonts w:ascii="Verdana" w:hAnsi="Verdana"/>
          <w:sz w:val="20"/>
        </w:rPr>
        <w:t>per</w:t>
      </w:r>
      <w:r w:rsidRPr="00030FBE">
        <w:rPr>
          <w:rFonts w:ascii="Verdana" w:hAnsi="Verdana"/>
          <w:sz w:val="20"/>
        </w:rPr>
        <w:t>ante a Comissão.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13.</w:t>
      </w:r>
      <w:r w:rsidRPr="00BD40F0">
        <w:rPr>
          <w:rFonts w:ascii="Verdana" w:hAnsi="Verdana"/>
          <w:sz w:val="20"/>
        </w:rPr>
        <w:tab/>
        <w:t xml:space="preserve">Em </w:t>
      </w:r>
      <w:proofErr w:type="gramStart"/>
      <w:r w:rsidRPr="00BD40F0">
        <w:rPr>
          <w:rFonts w:ascii="Verdana" w:hAnsi="Verdana"/>
          <w:sz w:val="20"/>
        </w:rPr>
        <w:t>3</w:t>
      </w:r>
      <w:proofErr w:type="gramEnd"/>
      <w:r w:rsidRPr="00BD40F0">
        <w:rPr>
          <w:rFonts w:ascii="Verdana" w:hAnsi="Verdana"/>
          <w:sz w:val="20"/>
        </w:rPr>
        <w:t xml:space="preserve"> de maio de 1996</w:t>
      </w:r>
      <w:r w:rsidR="0008725F">
        <w:rPr>
          <w:rFonts w:ascii="Verdana" w:hAnsi="Verdana"/>
          <w:sz w:val="20"/>
        </w:rPr>
        <w:t>,</w:t>
      </w:r>
      <w:r w:rsidR="000D5D17">
        <w:rPr>
          <w:rFonts w:ascii="Verdana" w:hAnsi="Verdana"/>
          <w:sz w:val="20"/>
        </w:rPr>
        <w:t xml:space="preserve"> </w:t>
      </w:r>
      <w:r w:rsidRPr="00BD40F0">
        <w:rPr>
          <w:rFonts w:ascii="Verdana" w:hAnsi="Verdana"/>
          <w:sz w:val="20"/>
        </w:rPr>
        <w:t xml:space="preserve">foi realizada uma reunião informal entre os peticionários, o Estado e a Comissão com o fim de alcançar uma solução amistosa sobre este caso. No dia 6 do mesmo mês e ano, a Comissão </w:t>
      </w:r>
      <w:r w:rsidR="00F9417A">
        <w:rPr>
          <w:rFonts w:ascii="Verdana" w:hAnsi="Verdana"/>
          <w:sz w:val="20"/>
        </w:rPr>
        <w:t>colocou-se à</w:t>
      </w:r>
      <w:r w:rsidRPr="00BD40F0">
        <w:rPr>
          <w:rFonts w:ascii="Verdana" w:hAnsi="Verdana"/>
          <w:sz w:val="20"/>
        </w:rPr>
        <w:t xml:space="preserve"> disposição das partes para procurar esta solução e </w:t>
      </w:r>
      <w:r w:rsidR="00F9417A">
        <w:rPr>
          <w:rFonts w:ascii="Verdana" w:hAnsi="Verdana"/>
          <w:sz w:val="20"/>
        </w:rPr>
        <w:t xml:space="preserve">concedeu-lhes </w:t>
      </w:r>
      <w:r w:rsidRPr="00BD40F0">
        <w:rPr>
          <w:rFonts w:ascii="Verdana" w:hAnsi="Verdana"/>
          <w:sz w:val="20"/>
        </w:rPr>
        <w:t>um prazo de 30 dias para que envia</w:t>
      </w:r>
      <w:r w:rsidR="00F9417A">
        <w:rPr>
          <w:rFonts w:ascii="Verdana" w:hAnsi="Verdana"/>
          <w:sz w:val="20"/>
        </w:rPr>
        <w:t>ssem</w:t>
      </w:r>
      <w:r w:rsidRPr="00BD40F0">
        <w:rPr>
          <w:rFonts w:ascii="Verdana" w:hAnsi="Verdana"/>
          <w:sz w:val="20"/>
        </w:rPr>
        <w:t xml:space="preserve"> sua resposta a esse respeito.</w:t>
      </w:r>
      <w:r w:rsidR="00850A3F">
        <w:rPr>
          <w:rFonts w:ascii="Verdana" w:hAnsi="Verdana"/>
          <w:sz w:val="20"/>
        </w:rPr>
        <w:t xml:space="preserve"> </w:t>
      </w:r>
      <w:r w:rsidRPr="00BD40F0">
        <w:rPr>
          <w:rFonts w:ascii="Verdana" w:hAnsi="Verdana"/>
          <w:sz w:val="20"/>
        </w:rPr>
        <w:t xml:space="preserve">Em </w:t>
      </w:r>
      <w:proofErr w:type="gramStart"/>
      <w:r w:rsidRPr="00BD40F0">
        <w:rPr>
          <w:rFonts w:ascii="Verdana" w:hAnsi="Verdana"/>
          <w:sz w:val="20"/>
        </w:rPr>
        <w:t>8</w:t>
      </w:r>
      <w:proofErr w:type="gramEnd"/>
      <w:r w:rsidRPr="00BD40F0">
        <w:rPr>
          <w:rFonts w:ascii="Verdana" w:hAnsi="Verdana"/>
          <w:sz w:val="20"/>
        </w:rPr>
        <w:t xml:space="preserve"> e 20 de maio de 1996, os peticionários e o Estado, respectivamente, </w:t>
      </w:r>
      <w:r w:rsidR="002A016A">
        <w:rPr>
          <w:rFonts w:ascii="Verdana" w:hAnsi="Verdana"/>
          <w:sz w:val="20"/>
        </w:rPr>
        <w:t>concordaram com</w:t>
      </w:r>
      <w:r w:rsidRPr="00BD40F0">
        <w:rPr>
          <w:rFonts w:ascii="Verdana" w:hAnsi="Verdana"/>
          <w:sz w:val="20"/>
        </w:rPr>
        <w:t xml:space="preserve"> essa proposta.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14.</w:t>
      </w:r>
      <w:r w:rsidRPr="00BD40F0">
        <w:rPr>
          <w:rFonts w:ascii="Verdana" w:hAnsi="Verdana"/>
          <w:sz w:val="20"/>
        </w:rPr>
        <w:tab/>
        <w:t>Em 20 de junho de 1996</w:t>
      </w:r>
      <w:r w:rsidR="00122742">
        <w:rPr>
          <w:rFonts w:ascii="Verdana" w:hAnsi="Verdana"/>
          <w:sz w:val="20"/>
        </w:rPr>
        <w:t>,</w:t>
      </w:r>
      <w:r w:rsidRPr="00BD40F0">
        <w:rPr>
          <w:rFonts w:ascii="Verdana" w:hAnsi="Verdana"/>
          <w:sz w:val="20"/>
        </w:rPr>
        <w:t xml:space="preserve"> foi realizada uma segunda reunião entre os peticionários, o Estado e a Comissão.</w:t>
      </w:r>
      <w:r w:rsidR="00850A3F">
        <w:rPr>
          <w:rFonts w:ascii="Verdana" w:hAnsi="Verdana"/>
          <w:sz w:val="20"/>
        </w:rPr>
        <w:t xml:space="preserve"> </w:t>
      </w:r>
      <w:r w:rsidRPr="00BD40F0">
        <w:rPr>
          <w:rFonts w:ascii="Verdana" w:hAnsi="Verdana"/>
          <w:sz w:val="20"/>
        </w:rPr>
        <w:t xml:space="preserve">Nesta reunião, a Nicarágua </w:t>
      </w:r>
      <w:r w:rsidR="00E82516">
        <w:rPr>
          <w:rFonts w:ascii="Verdana" w:hAnsi="Verdana"/>
          <w:sz w:val="20"/>
        </w:rPr>
        <w:t>recusou</w:t>
      </w:r>
      <w:r w:rsidRPr="00BD40F0">
        <w:rPr>
          <w:rFonts w:ascii="Verdana" w:hAnsi="Verdana"/>
          <w:sz w:val="20"/>
        </w:rPr>
        <w:t xml:space="preserve"> o projeto de “memorando de entendimento” apresentado pelos peticionários </w:t>
      </w:r>
      <w:r w:rsidR="00C60678" w:rsidRPr="00C60678">
        <w:rPr>
          <w:rFonts w:ascii="Verdana" w:hAnsi="Verdana"/>
          <w:sz w:val="20"/>
        </w:rPr>
        <w:t>(</w:t>
      </w:r>
      <w:r w:rsidRPr="00BD40F0">
        <w:rPr>
          <w:rFonts w:ascii="Verdana" w:hAnsi="Verdana"/>
          <w:sz w:val="20"/>
        </w:rPr>
        <w:t xml:space="preserve">par. 11 </w:t>
      </w:r>
      <w:r w:rsidRPr="00BD40F0">
        <w:rPr>
          <w:rFonts w:ascii="Verdana" w:hAnsi="Verdana"/>
          <w:i/>
          <w:sz w:val="20"/>
        </w:rPr>
        <w:t>supra</w:t>
      </w:r>
      <w:r w:rsidR="00C60678" w:rsidRPr="00C60678">
        <w:rPr>
          <w:rFonts w:ascii="Verdana" w:hAnsi="Verdana"/>
          <w:sz w:val="20"/>
        </w:rPr>
        <w:t>)</w:t>
      </w:r>
      <w:r w:rsidRPr="00BD40F0">
        <w:rPr>
          <w:rFonts w:ascii="Verdana" w:hAnsi="Verdana"/>
          <w:sz w:val="20"/>
        </w:rPr>
        <w:t>.</w:t>
      </w:r>
      <w:r w:rsidR="00850A3F">
        <w:rPr>
          <w:rFonts w:ascii="Verdana" w:hAnsi="Verdana"/>
          <w:sz w:val="20"/>
        </w:rPr>
        <w:t xml:space="preserve"> </w:t>
      </w:r>
      <w:r w:rsidRPr="00BD40F0">
        <w:rPr>
          <w:rFonts w:ascii="Verdana" w:hAnsi="Verdana"/>
          <w:sz w:val="20"/>
        </w:rPr>
        <w:t>Por sua vez, propuseram que uma delegação da Comissão visita</w:t>
      </w:r>
      <w:r w:rsidR="000D5D17">
        <w:rPr>
          <w:rFonts w:ascii="Verdana" w:hAnsi="Verdana"/>
          <w:sz w:val="20"/>
        </w:rPr>
        <w:t>sse</w:t>
      </w:r>
      <w:r w:rsidRPr="00BD40F0">
        <w:rPr>
          <w:rFonts w:ascii="Verdana" w:hAnsi="Verdana"/>
          <w:sz w:val="20"/>
        </w:rPr>
        <w:t xml:space="preserve"> a Nicarágua para dialogar com as partes.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15.</w:t>
      </w:r>
      <w:r w:rsidRPr="00BD40F0">
        <w:rPr>
          <w:rFonts w:ascii="Verdana" w:hAnsi="Verdana"/>
          <w:sz w:val="20"/>
        </w:rPr>
        <w:tab/>
        <w:t xml:space="preserve">Em </w:t>
      </w:r>
      <w:proofErr w:type="gramStart"/>
      <w:r w:rsidRPr="00BD40F0">
        <w:rPr>
          <w:rFonts w:ascii="Verdana" w:hAnsi="Verdana"/>
          <w:sz w:val="20"/>
        </w:rPr>
        <w:t>3</w:t>
      </w:r>
      <w:proofErr w:type="gramEnd"/>
      <w:r w:rsidRPr="00BD40F0">
        <w:rPr>
          <w:rFonts w:ascii="Verdana" w:hAnsi="Verdana"/>
          <w:sz w:val="20"/>
        </w:rPr>
        <w:t xml:space="preserve"> de outubro de 1996</w:t>
      </w:r>
      <w:r w:rsidR="00EB6D96">
        <w:rPr>
          <w:rFonts w:ascii="Verdana" w:hAnsi="Verdana"/>
          <w:sz w:val="20"/>
        </w:rPr>
        <w:t>,</w:t>
      </w:r>
      <w:r w:rsidRPr="00BD40F0">
        <w:rPr>
          <w:rFonts w:ascii="Verdana" w:hAnsi="Verdana"/>
          <w:sz w:val="20"/>
        </w:rPr>
        <w:t xml:space="preserve"> foi realizada uma terceira reunião entre os peticionários, o Estado e a Comissão.</w:t>
      </w:r>
      <w:r w:rsidR="00850A3F">
        <w:rPr>
          <w:rFonts w:ascii="Verdana" w:hAnsi="Verdana"/>
          <w:sz w:val="20"/>
        </w:rPr>
        <w:t xml:space="preserve"> </w:t>
      </w:r>
      <w:r w:rsidRPr="00BD40F0">
        <w:rPr>
          <w:rFonts w:ascii="Verdana" w:hAnsi="Verdana"/>
          <w:sz w:val="20"/>
        </w:rPr>
        <w:t xml:space="preserve">Nesta, os peticionários solicitaram ao Estado que não </w:t>
      </w:r>
      <w:r w:rsidR="002A016A">
        <w:rPr>
          <w:rFonts w:ascii="Verdana" w:hAnsi="Verdana"/>
          <w:sz w:val="20"/>
        </w:rPr>
        <w:t xml:space="preserve">outorgasse </w:t>
      </w:r>
      <w:r w:rsidRPr="00BD40F0">
        <w:rPr>
          <w:rFonts w:ascii="Verdana" w:hAnsi="Verdana"/>
          <w:sz w:val="20"/>
        </w:rPr>
        <w:t>mais concessões na zona, que inicia</w:t>
      </w:r>
      <w:r w:rsidR="000D5D17">
        <w:rPr>
          <w:rFonts w:ascii="Verdana" w:hAnsi="Verdana"/>
          <w:sz w:val="20"/>
        </w:rPr>
        <w:t>sse</w:t>
      </w:r>
      <w:r w:rsidRPr="00BD40F0">
        <w:rPr>
          <w:rFonts w:ascii="Verdana" w:hAnsi="Verdana"/>
          <w:sz w:val="20"/>
        </w:rPr>
        <w:t xml:space="preserve"> o processo de demarcação das terras da Comunidade e </w:t>
      </w:r>
      <w:r w:rsidR="002A016A">
        <w:rPr>
          <w:rFonts w:ascii="Verdana" w:hAnsi="Verdana"/>
          <w:sz w:val="20"/>
        </w:rPr>
        <w:t xml:space="preserve">as </w:t>
      </w:r>
      <w:r w:rsidRPr="00BD40F0">
        <w:rPr>
          <w:rFonts w:ascii="Verdana" w:hAnsi="Verdana"/>
          <w:sz w:val="20"/>
        </w:rPr>
        <w:t>diferencia</w:t>
      </w:r>
      <w:r w:rsidR="000D5D17">
        <w:rPr>
          <w:rFonts w:ascii="Verdana" w:hAnsi="Verdana"/>
          <w:sz w:val="20"/>
        </w:rPr>
        <w:t>sse</w:t>
      </w:r>
      <w:r w:rsidRPr="00BD40F0">
        <w:rPr>
          <w:rFonts w:ascii="Verdana" w:hAnsi="Verdana"/>
          <w:sz w:val="20"/>
        </w:rPr>
        <w:t xml:space="preserve"> </w:t>
      </w:r>
      <w:r w:rsidR="00030FBE">
        <w:rPr>
          <w:rFonts w:ascii="Verdana" w:hAnsi="Verdana"/>
          <w:sz w:val="20"/>
        </w:rPr>
        <w:t>das terras estatais.</w:t>
      </w:r>
      <w:r w:rsidR="00850A3F">
        <w:rPr>
          <w:rFonts w:ascii="Verdana" w:hAnsi="Verdana"/>
          <w:sz w:val="20"/>
        </w:rPr>
        <w:t xml:space="preserve"> </w:t>
      </w:r>
      <w:r w:rsidR="00030FBE">
        <w:rPr>
          <w:rFonts w:ascii="Verdana" w:hAnsi="Verdana"/>
          <w:sz w:val="20"/>
        </w:rPr>
        <w:t>Por sua vez</w:t>
      </w:r>
      <w:r w:rsidRPr="00BD40F0">
        <w:rPr>
          <w:rFonts w:ascii="Verdana" w:hAnsi="Verdana"/>
          <w:sz w:val="20"/>
        </w:rPr>
        <w:t xml:space="preserve">, o Estado apresentou alguns documentos probatórios, anunciou a criação da Comissão Nacional de Demarcação e convidou os peticionários a participar nela.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16.</w:t>
      </w:r>
      <w:r w:rsidRPr="00BD40F0">
        <w:rPr>
          <w:rFonts w:ascii="Verdana" w:hAnsi="Verdana"/>
          <w:sz w:val="20"/>
        </w:rPr>
        <w:tab/>
        <w:t xml:space="preserve">Em </w:t>
      </w:r>
      <w:proofErr w:type="gramStart"/>
      <w:r w:rsidRPr="00BD40F0">
        <w:rPr>
          <w:rFonts w:ascii="Verdana" w:hAnsi="Verdana"/>
          <w:sz w:val="20"/>
        </w:rPr>
        <w:t>5</w:t>
      </w:r>
      <w:proofErr w:type="gramEnd"/>
      <w:r w:rsidRPr="00BD40F0">
        <w:rPr>
          <w:rFonts w:ascii="Verdana" w:hAnsi="Verdana"/>
          <w:sz w:val="20"/>
        </w:rPr>
        <w:t xml:space="preserve"> de março de 1997, os peticionários reiteraram à Comissão </w:t>
      </w:r>
      <w:r w:rsidR="00DD7D69">
        <w:rPr>
          <w:rFonts w:ascii="Verdana" w:hAnsi="Verdana"/>
          <w:sz w:val="20"/>
        </w:rPr>
        <w:t>seu</w:t>
      </w:r>
      <w:r w:rsidRPr="00BD40F0">
        <w:rPr>
          <w:rFonts w:ascii="Verdana" w:hAnsi="Verdana"/>
          <w:sz w:val="20"/>
        </w:rPr>
        <w:t xml:space="preserve"> </w:t>
      </w:r>
      <w:r w:rsidR="00DD7D69">
        <w:rPr>
          <w:rFonts w:ascii="Verdana" w:hAnsi="Verdana"/>
          <w:sz w:val="20"/>
        </w:rPr>
        <w:t>pedido</w:t>
      </w:r>
      <w:r w:rsidRPr="00BD40F0">
        <w:rPr>
          <w:rFonts w:ascii="Verdana" w:hAnsi="Verdana"/>
          <w:sz w:val="20"/>
        </w:rPr>
        <w:t xml:space="preserve"> de medidas cautelares </w:t>
      </w:r>
      <w:r w:rsidR="00C60678" w:rsidRPr="00C60678">
        <w:rPr>
          <w:rFonts w:ascii="Verdana" w:hAnsi="Verdana"/>
          <w:sz w:val="20"/>
        </w:rPr>
        <w:t>(</w:t>
      </w:r>
      <w:r w:rsidRPr="00BD40F0">
        <w:rPr>
          <w:rFonts w:ascii="Verdana" w:hAnsi="Verdana"/>
          <w:sz w:val="20"/>
        </w:rPr>
        <w:t>pars. 6 e 7</w:t>
      </w:r>
      <w:r w:rsidRPr="00BD40F0">
        <w:rPr>
          <w:rFonts w:ascii="Verdana" w:hAnsi="Verdana"/>
          <w:i/>
          <w:sz w:val="20"/>
        </w:rPr>
        <w:t xml:space="preserve"> supra</w:t>
      </w:r>
      <w:r w:rsidR="00C60678" w:rsidRPr="00C60678">
        <w:rPr>
          <w:rFonts w:ascii="Verdana" w:hAnsi="Verdana"/>
          <w:sz w:val="20"/>
        </w:rPr>
        <w:t>)</w:t>
      </w:r>
      <w:r w:rsidRPr="00BD40F0">
        <w:rPr>
          <w:rFonts w:ascii="Verdana" w:hAnsi="Verdana"/>
          <w:sz w:val="20"/>
        </w:rPr>
        <w:t xml:space="preserve"> ante a ameaça do início das operações florestais nas terras indígenas e, no dia 12 do mesmo mês e ano, a Comissão </w:t>
      </w:r>
      <w:r w:rsidR="000D5D17">
        <w:rPr>
          <w:rFonts w:ascii="Verdana" w:hAnsi="Verdana"/>
          <w:sz w:val="20"/>
        </w:rPr>
        <w:t>concedeu</w:t>
      </w:r>
      <w:r w:rsidRPr="00BD40F0">
        <w:rPr>
          <w:rFonts w:ascii="Verdana" w:hAnsi="Verdana"/>
          <w:sz w:val="20"/>
        </w:rPr>
        <w:t xml:space="preserve"> ao Estado um prazo de 15 dias para que apresenta</w:t>
      </w:r>
      <w:r w:rsidR="000D5D17">
        <w:rPr>
          <w:rFonts w:ascii="Verdana" w:hAnsi="Verdana"/>
          <w:sz w:val="20"/>
        </w:rPr>
        <w:t>sse</w:t>
      </w:r>
      <w:r w:rsidRPr="00BD40F0">
        <w:rPr>
          <w:rFonts w:ascii="Verdana" w:hAnsi="Verdana"/>
          <w:sz w:val="20"/>
        </w:rPr>
        <w:t xml:space="preserve"> um relatório a esse respeito.</w:t>
      </w:r>
      <w:r w:rsidR="00850A3F">
        <w:rPr>
          <w:rFonts w:ascii="Verdana" w:hAnsi="Verdana"/>
          <w:sz w:val="20"/>
        </w:rPr>
        <w:t xml:space="preserve"> </w:t>
      </w:r>
      <w:r w:rsidRPr="00BD40F0">
        <w:rPr>
          <w:rFonts w:ascii="Verdana" w:hAnsi="Verdana"/>
          <w:sz w:val="20"/>
        </w:rPr>
        <w:t xml:space="preserve">Em 20 de março de 1997, a Nicarágua solicitou à Comissão uma extensão de 30 dias para responder a </w:t>
      </w:r>
      <w:r w:rsidR="00DD7D69">
        <w:rPr>
          <w:rFonts w:ascii="Verdana" w:hAnsi="Verdana"/>
          <w:sz w:val="20"/>
        </w:rPr>
        <w:t xml:space="preserve">seu pedido, </w:t>
      </w:r>
      <w:r w:rsidR="002A016A">
        <w:rPr>
          <w:rFonts w:ascii="Verdana" w:hAnsi="Verdana"/>
          <w:sz w:val="20"/>
        </w:rPr>
        <w:t>a</w:t>
      </w:r>
      <w:r w:rsidR="00DD7D69">
        <w:rPr>
          <w:rFonts w:ascii="Verdana" w:hAnsi="Verdana"/>
          <w:sz w:val="20"/>
        </w:rPr>
        <w:t xml:space="preserve"> qual foi concedid</w:t>
      </w:r>
      <w:r w:rsidR="002A016A">
        <w:rPr>
          <w:rFonts w:ascii="Verdana" w:hAnsi="Verdana"/>
          <w:sz w:val="20"/>
        </w:rPr>
        <w:t>a</w:t>
      </w:r>
      <w:r w:rsidRPr="00BD40F0">
        <w:rPr>
          <w:rFonts w:ascii="Verdana" w:hAnsi="Verdana"/>
          <w:sz w:val="20"/>
        </w:rPr>
        <w:t>.</w:t>
      </w:r>
    </w:p>
    <w:p w:rsidR="000B3F97" w:rsidRPr="00BD40F0" w:rsidRDefault="000B3F97" w:rsidP="000B3F97">
      <w:pPr>
        <w:jc w:val="both"/>
        <w:rPr>
          <w:rFonts w:ascii="Verdana" w:hAnsi="Verdana"/>
          <w:sz w:val="20"/>
        </w:rPr>
      </w:pPr>
    </w:p>
    <w:p w:rsidR="000B3F97" w:rsidRDefault="000B3F97" w:rsidP="000B3F97">
      <w:pPr>
        <w:jc w:val="both"/>
        <w:rPr>
          <w:rFonts w:ascii="Verdana" w:hAnsi="Verdana"/>
          <w:sz w:val="20"/>
        </w:rPr>
      </w:pPr>
      <w:r w:rsidRPr="00BD40F0">
        <w:rPr>
          <w:rFonts w:ascii="Verdana" w:hAnsi="Verdana"/>
          <w:sz w:val="20"/>
        </w:rPr>
        <w:t>17.</w:t>
      </w:r>
      <w:r w:rsidRPr="00BD40F0">
        <w:rPr>
          <w:rFonts w:ascii="Verdana" w:hAnsi="Verdana"/>
          <w:sz w:val="20"/>
        </w:rPr>
        <w:tab/>
        <w:t xml:space="preserve">Em </w:t>
      </w:r>
      <w:proofErr w:type="gramStart"/>
      <w:r w:rsidRPr="00BD40F0">
        <w:rPr>
          <w:rFonts w:ascii="Verdana" w:hAnsi="Verdana"/>
          <w:sz w:val="20"/>
        </w:rPr>
        <w:t>3</w:t>
      </w:r>
      <w:proofErr w:type="gramEnd"/>
      <w:r w:rsidRPr="00BD40F0">
        <w:rPr>
          <w:rFonts w:ascii="Verdana" w:hAnsi="Verdana"/>
          <w:sz w:val="20"/>
        </w:rPr>
        <w:t xml:space="preserve"> de abril de 1997, os peticionários informaram à Comissão sobre a decisão da </w:t>
      </w:r>
      <w:r w:rsidR="002A016A">
        <w:rPr>
          <w:rFonts w:ascii="Verdana" w:hAnsi="Verdana"/>
          <w:sz w:val="20"/>
        </w:rPr>
        <w:t xml:space="preserve">Sala Constitucional </w:t>
      </w:r>
      <w:r w:rsidRPr="00BD40F0">
        <w:rPr>
          <w:rFonts w:ascii="Verdana" w:hAnsi="Verdana"/>
          <w:sz w:val="20"/>
        </w:rPr>
        <w:t xml:space="preserve">da Corte Suprema de Justiça da Nicarágua de 27 de fevereiro de 1997, que resolveu o recurso de amparo interposto por membros do Conselho Regional da RAAN e declarou a inconstitucionalidade da </w:t>
      </w:r>
      <w:r w:rsidR="002A016A">
        <w:rPr>
          <w:rFonts w:ascii="Verdana" w:hAnsi="Verdana"/>
          <w:sz w:val="20"/>
        </w:rPr>
        <w:t>concessão outorgada</w:t>
      </w:r>
      <w:r w:rsidRPr="00BD40F0">
        <w:rPr>
          <w:rFonts w:ascii="Verdana" w:hAnsi="Verdana"/>
          <w:sz w:val="20"/>
        </w:rPr>
        <w:t xml:space="preserve"> pelo Ministério d</w:t>
      </w:r>
      <w:r w:rsidR="000D5D17">
        <w:rPr>
          <w:rFonts w:ascii="Verdana" w:hAnsi="Verdana"/>
          <w:sz w:val="20"/>
        </w:rPr>
        <w:t>o</w:t>
      </w:r>
      <w:r w:rsidRPr="00BD40F0">
        <w:rPr>
          <w:rFonts w:ascii="Verdana" w:hAnsi="Verdana"/>
          <w:sz w:val="20"/>
        </w:rPr>
        <w:t xml:space="preserve"> Ambiente e Recursos Naturais </w:t>
      </w:r>
      <w:r w:rsidR="00C60678" w:rsidRPr="00C60678">
        <w:rPr>
          <w:rFonts w:ascii="Verdana" w:hAnsi="Verdana"/>
          <w:sz w:val="20"/>
        </w:rPr>
        <w:t>(</w:t>
      </w:r>
      <w:r w:rsidRPr="00BD40F0">
        <w:rPr>
          <w:rFonts w:ascii="Verdana" w:hAnsi="Verdana"/>
          <w:sz w:val="20"/>
        </w:rPr>
        <w:t xml:space="preserve">doravante </w:t>
      </w:r>
      <w:r w:rsidR="00DD7D69">
        <w:rPr>
          <w:rFonts w:ascii="Verdana" w:hAnsi="Verdana"/>
          <w:sz w:val="20"/>
        </w:rPr>
        <w:t xml:space="preserve">denominado </w:t>
      </w:r>
      <w:r w:rsidRPr="00BD40F0">
        <w:rPr>
          <w:rFonts w:ascii="Verdana" w:hAnsi="Verdana"/>
          <w:sz w:val="20"/>
        </w:rPr>
        <w:t>“MARENA”</w:t>
      </w:r>
      <w:r w:rsidR="00C60678" w:rsidRPr="00C60678">
        <w:rPr>
          <w:rFonts w:ascii="Verdana" w:hAnsi="Verdana"/>
          <w:sz w:val="20"/>
        </w:rPr>
        <w:t>)</w:t>
      </w:r>
      <w:r w:rsidRPr="00BD40F0">
        <w:rPr>
          <w:rFonts w:ascii="Verdana" w:hAnsi="Verdana"/>
          <w:sz w:val="20"/>
        </w:rPr>
        <w:t xml:space="preserve"> </w:t>
      </w:r>
      <w:r w:rsidR="000D5D17">
        <w:rPr>
          <w:rFonts w:ascii="Verdana" w:hAnsi="Verdana"/>
          <w:sz w:val="20"/>
        </w:rPr>
        <w:t>à</w:t>
      </w:r>
      <w:r w:rsidRPr="00BD40F0">
        <w:rPr>
          <w:rFonts w:ascii="Verdana" w:hAnsi="Verdana"/>
          <w:sz w:val="20"/>
        </w:rPr>
        <w:t xml:space="preserve"> SOLCARSA, em razão de que não contava com a aprovação do Conselho Regional da RAAN, tal como indica o artigo 181 da Constituição nicaraguense.</w:t>
      </w:r>
      <w:r w:rsidR="00850A3F">
        <w:rPr>
          <w:rFonts w:ascii="Verdana" w:hAnsi="Verdana"/>
          <w:sz w:val="20"/>
        </w:rPr>
        <w:t xml:space="preserve"> </w:t>
      </w:r>
      <w:r w:rsidRPr="00BD40F0">
        <w:rPr>
          <w:rFonts w:ascii="Verdana" w:hAnsi="Verdana"/>
          <w:sz w:val="20"/>
        </w:rPr>
        <w:t>Também informaram que o Estado não havia suspendido a concessão.</w:t>
      </w:r>
    </w:p>
    <w:p w:rsidR="000D5D17" w:rsidRPr="00BD40F0" w:rsidRDefault="000D5D1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lastRenderedPageBreak/>
        <w:t>18.</w:t>
      </w:r>
      <w:r w:rsidRPr="00BD40F0">
        <w:rPr>
          <w:rFonts w:ascii="Verdana" w:hAnsi="Verdana"/>
          <w:sz w:val="20"/>
        </w:rPr>
        <w:tab/>
        <w:t xml:space="preserve">Em 23 de abril de 1997, a Nicarágua solicitou à Comissão que </w:t>
      </w:r>
      <w:r w:rsidR="002A016A">
        <w:rPr>
          <w:rFonts w:ascii="Verdana" w:hAnsi="Verdana"/>
          <w:sz w:val="20"/>
        </w:rPr>
        <w:t>rejeitasse</w:t>
      </w:r>
      <w:r w:rsidR="002A016A" w:rsidRPr="00BD40F0">
        <w:rPr>
          <w:rFonts w:ascii="Verdana" w:hAnsi="Verdana"/>
          <w:sz w:val="20"/>
        </w:rPr>
        <w:t xml:space="preserve"> </w:t>
      </w:r>
      <w:r w:rsidRPr="00BD40F0">
        <w:rPr>
          <w:rFonts w:ascii="Verdana" w:hAnsi="Verdana"/>
          <w:sz w:val="20"/>
        </w:rPr>
        <w:t xml:space="preserve">as medidas cautelares solicitadas pelos peticionários </w:t>
      </w:r>
      <w:r w:rsidR="00C60678" w:rsidRPr="00C60678">
        <w:rPr>
          <w:rFonts w:ascii="Verdana" w:hAnsi="Verdana"/>
          <w:sz w:val="20"/>
        </w:rPr>
        <w:t>(</w:t>
      </w:r>
      <w:r w:rsidRPr="00BD40F0">
        <w:rPr>
          <w:rFonts w:ascii="Verdana" w:hAnsi="Verdana"/>
          <w:sz w:val="20"/>
        </w:rPr>
        <w:t xml:space="preserve">pars. </w:t>
      </w:r>
      <w:proofErr w:type="gramStart"/>
      <w:r w:rsidRPr="00BD40F0">
        <w:rPr>
          <w:rFonts w:ascii="Verdana" w:hAnsi="Verdana"/>
          <w:sz w:val="20"/>
        </w:rPr>
        <w:t xml:space="preserve">6, 7 e 16 </w:t>
      </w:r>
      <w:r w:rsidRPr="00BD40F0">
        <w:rPr>
          <w:rFonts w:ascii="Verdana" w:hAnsi="Verdana"/>
          <w:i/>
          <w:sz w:val="20"/>
        </w:rPr>
        <w:t>supra</w:t>
      </w:r>
      <w:proofErr w:type="gramEnd"/>
      <w:r w:rsidR="00C60678" w:rsidRPr="00C60678">
        <w:rPr>
          <w:rFonts w:ascii="Verdana" w:hAnsi="Verdana"/>
          <w:sz w:val="20"/>
        </w:rPr>
        <w:t>)</w:t>
      </w:r>
      <w:r w:rsidRPr="00BD40F0">
        <w:rPr>
          <w:rFonts w:ascii="Verdana" w:hAnsi="Verdana"/>
          <w:sz w:val="20"/>
        </w:rPr>
        <w:t xml:space="preserve">, com fundamento na sentença proferida pela </w:t>
      </w:r>
      <w:r w:rsidR="002A016A">
        <w:rPr>
          <w:rFonts w:ascii="Verdana" w:hAnsi="Verdana"/>
          <w:sz w:val="20"/>
        </w:rPr>
        <w:t xml:space="preserve">Sala Constitucional </w:t>
      </w:r>
      <w:r w:rsidRPr="00BD40F0">
        <w:rPr>
          <w:rFonts w:ascii="Verdana" w:hAnsi="Verdana"/>
          <w:sz w:val="20"/>
        </w:rPr>
        <w:t>da Corte Suprema de Justiça, a qual se comprometia a cumprir.</w:t>
      </w:r>
      <w:r w:rsidR="00850A3F">
        <w:rPr>
          <w:rFonts w:ascii="Verdana" w:hAnsi="Verdana"/>
          <w:sz w:val="20"/>
        </w:rPr>
        <w:t xml:space="preserve"> </w:t>
      </w:r>
      <w:r w:rsidRPr="00BD40F0">
        <w:rPr>
          <w:rFonts w:ascii="Verdana" w:hAnsi="Verdana"/>
          <w:sz w:val="20"/>
        </w:rPr>
        <w:t xml:space="preserve">Entretanto, em 11 de junho do mesmo ano, os peticionários informaram à Comissão que o Estado e </w:t>
      </w:r>
      <w:r w:rsidR="000D5D17">
        <w:rPr>
          <w:rFonts w:ascii="Verdana" w:hAnsi="Verdana"/>
          <w:sz w:val="20"/>
        </w:rPr>
        <w:t xml:space="preserve">a </w:t>
      </w:r>
      <w:r w:rsidRPr="00BD40F0">
        <w:rPr>
          <w:rFonts w:ascii="Verdana" w:hAnsi="Verdana"/>
          <w:sz w:val="20"/>
        </w:rPr>
        <w:t xml:space="preserve">SOLCARSA continuavam atuando como se a concessão fosse válida, apesar da sentença da </w:t>
      </w:r>
      <w:r w:rsidR="002A016A">
        <w:rPr>
          <w:rFonts w:ascii="Verdana" w:hAnsi="Verdana"/>
          <w:sz w:val="20"/>
        </w:rPr>
        <w:t xml:space="preserve">Sala Constitucional </w:t>
      </w:r>
      <w:r w:rsidRPr="00BD40F0">
        <w:rPr>
          <w:rFonts w:ascii="Verdana" w:hAnsi="Verdana"/>
          <w:sz w:val="20"/>
        </w:rPr>
        <w:t>da Corte Suprema de Justiça.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19.</w:t>
      </w:r>
      <w:r w:rsidRPr="00BD40F0">
        <w:rPr>
          <w:rFonts w:ascii="Verdana" w:hAnsi="Verdana"/>
          <w:sz w:val="20"/>
        </w:rPr>
        <w:tab/>
        <w:t xml:space="preserve">Em audiência realizada na Comissão em </w:t>
      </w:r>
      <w:proofErr w:type="gramStart"/>
      <w:r w:rsidRPr="00BD40F0">
        <w:rPr>
          <w:rFonts w:ascii="Verdana" w:hAnsi="Verdana"/>
          <w:sz w:val="20"/>
        </w:rPr>
        <w:t>8</w:t>
      </w:r>
      <w:proofErr w:type="gramEnd"/>
      <w:r w:rsidRPr="00BD40F0">
        <w:rPr>
          <w:rFonts w:ascii="Verdana" w:hAnsi="Verdana"/>
          <w:sz w:val="20"/>
        </w:rPr>
        <w:t xml:space="preserve"> de outubro de 1997, os peticionários indicaram que prosseguiam as operações florestais nas terras da Comunidade e solicitaram à Comissão que observa</w:t>
      </w:r>
      <w:r w:rsidR="003142EE">
        <w:rPr>
          <w:rFonts w:ascii="Verdana" w:hAnsi="Verdana"/>
          <w:sz w:val="20"/>
        </w:rPr>
        <w:t>sse</w:t>
      </w:r>
      <w:r w:rsidRPr="00BD40F0">
        <w:rPr>
          <w:rFonts w:ascii="Verdana" w:hAnsi="Verdana"/>
          <w:sz w:val="20"/>
        </w:rPr>
        <w:t xml:space="preserve"> a situação </w:t>
      </w:r>
      <w:r w:rsidRPr="00BD40F0">
        <w:rPr>
          <w:rFonts w:ascii="Verdana" w:hAnsi="Verdana"/>
          <w:i/>
          <w:sz w:val="20"/>
        </w:rPr>
        <w:t>in situ</w:t>
      </w:r>
      <w:r w:rsidRPr="00BD40F0">
        <w:rPr>
          <w:rFonts w:ascii="Verdana" w:hAnsi="Verdana"/>
          <w:sz w:val="20"/>
        </w:rPr>
        <w:t>.</w:t>
      </w:r>
      <w:r w:rsidR="00850A3F">
        <w:rPr>
          <w:rFonts w:ascii="Verdana" w:hAnsi="Verdana"/>
          <w:sz w:val="20"/>
        </w:rPr>
        <w:t xml:space="preserve"> </w:t>
      </w:r>
      <w:r w:rsidRPr="00BD40F0">
        <w:rPr>
          <w:rFonts w:ascii="Verdana" w:hAnsi="Verdana"/>
          <w:sz w:val="20"/>
        </w:rPr>
        <w:t xml:space="preserve">Em 27 de outubro do mesmo ano, três dias antes da visita programada pela Comissão </w:t>
      </w:r>
      <w:r w:rsidR="003142EE">
        <w:rPr>
          <w:rFonts w:ascii="Verdana" w:hAnsi="Verdana"/>
          <w:sz w:val="20"/>
        </w:rPr>
        <w:t>à</w:t>
      </w:r>
      <w:r w:rsidRPr="00BD40F0">
        <w:rPr>
          <w:rFonts w:ascii="Verdana" w:hAnsi="Verdana"/>
          <w:sz w:val="20"/>
        </w:rPr>
        <w:t xml:space="preserve"> Nicarágua, o Estado informou à Comissão que não era necessária esta visita, em razão de que preparava um relatório adicional a esse respeito.</w:t>
      </w:r>
      <w:r w:rsidR="00850A3F">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20.</w:t>
      </w:r>
      <w:r w:rsidRPr="00BD40F0">
        <w:rPr>
          <w:rFonts w:ascii="Verdana" w:hAnsi="Verdana"/>
          <w:sz w:val="20"/>
        </w:rPr>
        <w:tab/>
        <w:t>Em 31 de outubro de 1997, a Comissão solicitou ao Estado que adota</w:t>
      </w:r>
      <w:r w:rsidR="003142EE">
        <w:rPr>
          <w:rFonts w:ascii="Verdana" w:hAnsi="Verdana"/>
          <w:sz w:val="20"/>
        </w:rPr>
        <w:t>sse</w:t>
      </w:r>
      <w:r w:rsidRPr="00BD40F0">
        <w:rPr>
          <w:rFonts w:ascii="Verdana" w:hAnsi="Verdana"/>
          <w:sz w:val="20"/>
        </w:rPr>
        <w:t xml:space="preserve"> as medidas cautelares </w:t>
      </w:r>
      <w:r w:rsidR="00C60678" w:rsidRPr="00C60678">
        <w:rPr>
          <w:rFonts w:ascii="Verdana" w:hAnsi="Verdana"/>
          <w:sz w:val="20"/>
        </w:rPr>
        <w:t>(</w:t>
      </w:r>
      <w:r w:rsidRPr="00BD40F0">
        <w:rPr>
          <w:rFonts w:ascii="Verdana" w:hAnsi="Verdana"/>
          <w:sz w:val="20"/>
        </w:rPr>
        <w:t xml:space="preserve">pars. 6, 7, 16 e 18 </w:t>
      </w:r>
      <w:proofErr w:type="gramStart"/>
      <w:r w:rsidRPr="00BD40F0">
        <w:rPr>
          <w:rFonts w:ascii="Verdana" w:hAnsi="Verdana"/>
          <w:i/>
          <w:sz w:val="20"/>
        </w:rPr>
        <w:t>supra</w:t>
      </w:r>
      <w:proofErr w:type="gramEnd"/>
      <w:r w:rsidR="00C60678" w:rsidRPr="00C60678">
        <w:rPr>
          <w:rFonts w:ascii="Verdana" w:hAnsi="Verdana"/>
          <w:sz w:val="20"/>
        </w:rPr>
        <w:t>)</w:t>
      </w:r>
      <w:r w:rsidRPr="00BD40F0">
        <w:rPr>
          <w:rFonts w:ascii="Verdana" w:hAnsi="Verdana"/>
          <w:sz w:val="20"/>
        </w:rPr>
        <w:t xml:space="preserve"> que fossem necessá</w:t>
      </w:r>
      <w:r w:rsidR="00E208A8">
        <w:rPr>
          <w:rFonts w:ascii="Verdana" w:hAnsi="Verdana"/>
          <w:sz w:val="20"/>
        </w:rPr>
        <w:t xml:space="preserve">rias para suspender a </w:t>
      </w:r>
      <w:r w:rsidR="002A016A">
        <w:rPr>
          <w:rFonts w:ascii="Verdana" w:hAnsi="Verdana"/>
          <w:sz w:val="20"/>
        </w:rPr>
        <w:t>concessão</w:t>
      </w:r>
      <w:r w:rsidR="002C6A59">
        <w:rPr>
          <w:rFonts w:ascii="Verdana" w:hAnsi="Verdana"/>
          <w:sz w:val="20"/>
        </w:rPr>
        <w:t xml:space="preserve"> </w:t>
      </w:r>
      <w:r w:rsidR="00122742">
        <w:rPr>
          <w:rFonts w:ascii="Verdana" w:hAnsi="Verdana"/>
          <w:sz w:val="20"/>
        </w:rPr>
        <w:t xml:space="preserve">outorgada </w:t>
      </w:r>
      <w:r w:rsidR="003142EE">
        <w:rPr>
          <w:rFonts w:ascii="Verdana" w:hAnsi="Verdana"/>
          <w:sz w:val="20"/>
        </w:rPr>
        <w:t>à</w:t>
      </w:r>
      <w:r w:rsidRPr="00BD40F0">
        <w:rPr>
          <w:rFonts w:ascii="Verdana" w:hAnsi="Verdana"/>
          <w:sz w:val="20"/>
        </w:rPr>
        <w:t xml:space="preserve"> SOLCARSA, e fixou um prazo de 30 dias para que a Nicarágua informasse sobre aquelas medidas.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21.</w:t>
      </w:r>
      <w:r w:rsidRPr="00BD40F0">
        <w:rPr>
          <w:rFonts w:ascii="Verdana" w:hAnsi="Verdana"/>
          <w:sz w:val="20"/>
        </w:rPr>
        <w:tab/>
        <w:t xml:space="preserve">Em </w:t>
      </w:r>
      <w:proofErr w:type="gramStart"/>
      <w:r w:rsidRPr="00BD40F0">
        <w:rPr>
          <w:rFonts w:ascii="Verdana" w:hAnsi="Verdana"/>
          <w:sz w:val="20"/>
        </w:rPr>
        <w:t>5</w:t>
      </w:r>
      <w:proofErr w:type="gramEnd"/>
      <w:r w:rsidRPr="00BD40F0">
        <w:rPr>
          <w:rFonts w:ascii="Verdana" w:hAnsi="Verdana"/>
          <w:sz w:val="20"/>
        </w:rPr>
        <w:t xml:space="preserve"> de novembro de 1997, o Estado solicitou à Comissão que encerra</w:t>
      </w:r>
      <w:r w:rsidR="003142EE">
        <w:rPr>
          <w:rFonts w:ascii="Verdana" w:hAnsi="Verdana"/>
          <w:sz w:val="20"/>
        </w:rPr>
        <w:t>sse</w:t>
      </w:r>
      <w:r w:rsidRPr="00BD40F0">
        <w:rPr>
          <w:rFonts w:ascii="Verdana" w:hAnsi="Verdana"/>
          <w:sz w:val="20"/>
        </w:rPr>
        <w:t xml:space="preserve"> o caso, baseado em que o Conselho Regional da RAAN havia ratificado a aprovação da </w:t>
      </w:r>
      <w:r w:rsidR="002A016A">
        <w:rPr>
          <w:rFonts w:ascii="Verdana" w:hAnsi="Verdana"/>
          <w:sz w:val="20"/>
        </w:rPr>
        <w:t>concessão outorgada</w:t>
      </w:r>
      <w:r w:rsidR="003142EE">
        <w:rPr>
          <w:rFonts w:ascii="Verdana" w:hAnsi="Verdana"/>
          <w:sz w:val="20"/>
        </w:rPr>
        <w:t xml:space="preserve"> à</w:t>
      </w:r>
      <w:r w:rsidRPr="00BD40F0">
        <w:rPr>
          <w:rFonts w:ascii="Verdana" w:hAnsi="Verdana"/>
          <w:sz w:val="20"/>
        </w:rPr>
        <w:t xml:space="preserve"> SOLCARSA, </w:t>
      </w:r>
      <w:r w:rsidR="003142EE">
        <w:rPr>
          <w:rFonts w:ascii="Verdana" w:hAnsi="Verdana"/>
          <w:sz w:val="20"/>
        </w:rPr>
        <w:t>a</w:t>
      </w:r>
      <w:r w:rsidRPr="00BD40F0">
        <w:rPr>
          <w:rFonts w:ascii="Verdana" w:hAnsi="Verdana"/>
          <w:sz w:val="20"/>
        </w:rPr>
        <w:t xml:space="preserve"> qual corrigiu o “erro de forma” cometido e, deste modo</w:t>
      </w:r>
      <w:r w:rsidR="003142EE">
        <w:rPr>
          <w:rFonts w:ascii="Verdana" w:hAnsi="Verdana"/>
          <w:sz w:val="20"/>
        </w:rPr>
        <w:t>,</w:t>
      </w:r>
      <w:r w:rsidRPr="00BD40F0">
        <w:rPr>
          <w:rFonts w:ascii="Verdana" w:hAnsi="Verdana"/>
          <w:sz w:val="20"/>
        </w:rPr>
        <w:t xml:space="preserve"> </w:t>
      </w:r>
      <w:r w:rsidR="002A016A">
        <w:rPr>
          <w:rFonts w:ascii="Verdana" w:hAnsi="Verdana"/>
          <w:sz w:val="20"/>
        </w:rPr>
        <w:t>tornou-se</w:t>
      </w:r>
      <w:r w:rsidR="002A016A" w:rsidRPr="00BD40F0">
        <w:rPr>
          <w:rFonts w:ascii="Verdana" w:hAnsi="Verdana"/>
          <w:sz w:val="20"/>
        </w:rPr>
        <w:t xml:space="preserve"> </w:t>
      </w:r>
      <w:r w:rsidRPr="00BD40F0">
        <w:rPr>
          <w:rFonts w:ascii="Verdana" w:hAnsi="Verdana"/>
          <w:sz w:val="20"/>
        </w:rPr>
        <w:t>vigente a concessão.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22.</w:t>
      </w:r>
      <w:r w:rsidRPr="00BD40F0">
        <w:rPr>
          <w:rFonts w:ascii="Verdana" w:hAnsi="Verdana"/>
          <w:sz w:val="20"/>
        </w:rPr>
        <w:tab/>
        <w:t>Em 17 de novembro de 1997, os peticionários manifestaram à Comissão que o ponto central da denúncia era a falta de proteção por parte da Nicarágua dos direitos da Comunidade sobre suas terras ancestrais, situação que ainda permanecia vigente.</w:t>
      </w:r>
      <w:r w:rsidR="00850A3F">
        <w:rPr>
          <w:rFonts w:ascii="Verdana" w:hAnsi="Verdana"/>
          <w:sz w:val="20"/>
        </w:rPr>
        <w:t xml:space="preserve"> </w:t>
      </w:r>
      <w:r w:rsidRPr="00BD40F0">
        <w:rPr>
          <w:rFonts w:ascii="Verdana" w:hAnsi="Verdana"/>
          <w:sz w:val="20"/>
        </w:rPr>
        <w:t xml:space="preserve">Igualmente, com </w:t>
      </w:r>
      <w:r w:rsidR="00E208A8">
        <w:rPr>
          <w:rFonts w:ascii="Verdana" w:hAnsi="Verdana"/>
          <w:sz w:val="20"/>
        </w:rPr>
        <w:t>relação</w:t>
      </w:r>
      <w:r w:rsidRPr="00BD40F0">
        <w:rPr>
          <w:rFonts w:ascii="Verdana" w:hAnsi="Verdana"/>
          <w:sz w:val="20"/>
        </w:rPr>
        <w:t xml:space="preserve"> à ratificação do Conselho Regional da RAAN da </w:t>
      </w:r>
      <w:r w:rsidR="002A016A">
        <w:rPr>
          <w:rFonts w:ascii="Verdana" w:hAnsi="Verdana"/>
          <w:sz w:val="20"/>
        </w:rPr>
        <w:t>concessão outorgada</w:t>
      </w:r>
      <w:r w:rsidR="00797DF2">
        <w:rPr>
          <w:rFonts w:ascii="Verdana" w:hAnsi="Verdana"/>
          <w:sz w:val="20"/>
        </w:rPr>
        <w:t xml:space="preserve"> à</w:t>
      </w:r>
      <w:r w:rsidRPr="00BD40F0">
        <w:rPr>
          <w:rFonts w:ascii="Verdana" w:hAnsi="Verdana"/>
          <w:sz w:val="20"/>
        </w:rPr>
        <w:t xml:space="preserve"> SOLCARSA, indicaram que este Conselho era parte da organização político-administrativa do Estado e que havia atuado sem </w:t>
      </w:r>
      <w:r w:rsidR="00797DF2">
        <w:rPr>
          <w:rFonts w:ascii="Verdana" w:hAnsi="Verdana"/>
          <w:sz w:val="20"/>
        </w:rPr>
        <w:t>levar</w:t>
      </w:r>
      <w:r w:rsidRPr="00BD40F0">
        <w:rPr>
          <w:rFonts w:ascii="Verdana" w:hAnsi="Verdana"/>
          <w:sz w:val="20"/>
        </w:rPr>
        <w:t xml:space="preserve"> em conta os direitos territoriais da Comunidade.</w:t>
      </w:r>
      <w:r w:rsidR="00850A3F">
        <w:rPr>
          <w:rFonts w:ascii="Verdana" w:hAnsi="Verdana"/>
          <w:sz w:val="20"/>
        </w:rPr>
        <w:t xml:space="preserve"> </w:t>
      </w:r>
      <w:r w:rsidRPr="00BD40F0">
        <w:rPr>
          <w:rFonts w:ascii="Verdana" w:hAnsi="Verdana"/>
          <w:sz w:val="20"/>
        </w:rPr>
        <w:t>Finalmente, solicitaram à Comissão que presta</w:t>
      </w:r>
      <w:r w:rsidR="00797DF2">
        <w:rPr>
          <w:rFonts w:ascii="Verdana" w:hAnsi="Verdana"/>
          <w:sz w:val="20"/>
        </w:rPr>
        <w:t>sse</w:t>
      </w:r>
      <w:r w:rsidRPr="00BD40F0">
        <w:rPr>
          <w:rFonts w:ascii="Verdana" w:hAnsi="Verdana"/>
          <w:sz w:val="20"/>
        </w:rPr>
        <w:t xml:space="preserve"> um relatório de acordo com o artigo 50 da Convenção.</w:t>
      </w:r>
      <w:r w:rsidR="00850A3F">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23.</w:t>
      </w:r>
      <w:r w:rsidRPr="00BD40F0">
        <w:rPr>
          <w:rFonts w:ascii="Verdana" w:hAnsi="Verdana"/>
          <w:sz w:val="20"/>
        </w:rPr>
        <w:tab/>
        <w:t xml:space="preserve">Em </w:t>
      </w:r>
      <w:proofErr w:type="gramStart"/>
      <w:r w:rsidRPr="00BD40F0">
        <w:rPr>
          <w:rFonts w:ascii="Verdana" w:hAnsi="Verdana"/>
          <w:sz w:val="20"/>
        </w:rPr>
        <w:t>4</w:t>
      </w:r>
      <w:proofErr w:type="gramEnd"/>
      <w:r w:rsidRPr="00BD40F0">
        <w:rPr>
          <w:rFonts w:ascii="Verdana" w:hAnsi="Verdana"/>
          <w:sz w:val="20"/>
        </w:rPr>
        <w:t xml:space="preserve"> de dezembro de 1997, o Estado enviou uma comunicação à Comissão, na qu</w:t>
      </w:r>
      <w:r w:rsidR="002A016A">
        <w:rPr>
          <w:rFonts w:ascii="Verdana" w:hAnsi="Verdana"/>
          <w:sz w:val="20"/>
        </w:rPr>
        <w:t>al</w:t>
      </w:r>
      <w:r w:rsidRPr="00BD40F0">
        <w:rPr>
          <w:rFonts w:ascii="Verdana" w:hAnsi="Verdana"/>
          <w:sz w:val="20"/>
        </w:rPr>
        <w:t xml:space="preserve"> indicou que os peticionários haviam interposto, em 7 de novembro de 1997, um recurso de amparo </w:t>
      </w:r>
      <w:r w:rsidR="002A016A">
        <w:rPr>
          <w:rFonts w:ascii="Verdana" w:hAnsi="Verdana"/>
          <w:sz w:val="20"/>
        </w:rPr>
        <w:t>per</w:t>
      </w:r>
      <w:r w:rsidRPr="00BD40F0">
        <w:rPr>
          <w:rFonts w:ascii="Verdana" w:hAnsi="Verdana"/>
          <w:sz w:val="20"/>
        </w:rPr>
        <w:t>ante o Tribunal de Apelações de Matagalpa com o fim de que aquele declara</w:t>
      </w:r>
      <w:r w:rsidR="00797DF2">
        <w:rPr>
          <w:rFonts w:ascii="Verdana" w:hAnsi="Verdana"/>
          <w:sz w:val="20"/>
        </w:rPr>
        <w:t>sse</w:t>
      </w:r>
      <w:r w:rsidRPr="00BD40F0">
        <w:rPr>
          <w:rFonts w:ascii="Verdana" w:hAnsi="Verdana"/>
          <w:sz w:val="20"/>
        </w:rPr>
        <w:t xml:space="preserve"> nula a </w:t>
      </w:r>
      <w:r w:rsidR="002A016A">
        <w:rPr>
          <w:rFonts w:ascii="Verdana" w:hAnsi="Verdana"/>
          <w:sz w:val="20"/>
        </w:rPr>
        <w:t>concessão outorgada</w:t>
      </w:r>
      <w:r w:rsidR="00797DF2">
        <w:rPr>
          <w:rFonts w:ascii="Verdana" w:hAnsi="Verdana"/>
          <w:sz w:val="20"/>
        </w:rPr>
        <w:t xml:space="preserve"> à</w:t>
      </w:r>
      <w:r w:rsidRPr="00BD40F0">
        <w:rPr>
          <w:rFonts w:ascii="Verdana" w:hAnsi="Verdana"/>
          <w:sz w:val="20"/>
        </w:rPr>
        <w:t xml:space="preserve"> SOLCARSA.</w:t>
      </w:r>
      <w:r w:rsidR="00850A3F">
        <w:rPr>
          <w:rFonts w:ascii="Verdana" w:hAnsi="Verdana"/>
          <w:sz w:val="20"/>
        </w:rPr>
        <w:t xml:space="preserve"> </w:t>
      </w:r>
      <w:r w:rsidRPr="00BD40F0">
        <w:rPr>
          <w:rFonts w:ascii="Verdana" w:hAnsi="Verdana"/>
          <w:sz w:val="20"/>
        </w:rPr>
        <w:t xml:space="preserve">Por isso, a Nicarágua alegou que não se haviam esgotado os recursos internos e invocou a aplicação dos artigos 46 da Convenção e 37 do Regulamento da Comissão. </w:t>
      </w:r>
    </w:p>
    <w:p w:rsidR="000B3F97" w:rsidRPr="00BD40F0" w:rsidRDefault="000B3F97" w:rsidP="000B3F97">
      <w:pPr>
        <w:jc w:val="both"/>
        <w:rPr>
          <w:rFonts w:ascii="Verdana" w:hAnsi="Verdana"/>
          <w:sz w:val="20"/>
        </w:rPr>
      </w:pPr>
    </w:p>
    <w:p w:rsidR="000B3F97" w:rsidRPr="00BD40F0" w:rsidRDefault="000B3F97" w:rsidP="008535F5">
      <w:pPr>
        <w:jc w:val="both"/>
        <w:rPr>
          <w:rFonts w:ascii="Verdana" w:hAnsi="Verdana"/>
          <w:sz w:val="20"/>
        </w:rPr>
      </w:pPr>
      <w:r w:rsidRPr="00BD40F0">
        <w:rPr>
          <w:rFonts w:ascii="Verdana" w:hAnsi="Verdana"/>
          <w:sz w:val="20"/>
        </w:rPr>
        <w:t>24.</w:t>
      </w:r>
      <w:r w:rsidRPr="00BD40F0">
        <w:rPr>
          <w:rFonts w:ascii="Verdana" w:hAnsi="Verdana"/>
          <w:sz w:val="20"/>
        </w:rPr>
        <w:tab/>
        <w:t xml:space="preserve">Em </w:t>
      </w:r>
      <w:proofErr w:type="gramStart"/>
      <w:r w:rsidRPr="00BD40F0">
        <w:rPr>
          <w:rFonts w:ascii="Verdana" w:hAnsi="Verdana"/>
          <w:sz w:val="20"/>
        </w:rPr>
        <w:t>2</w:t>
      </w:r>
      <w:proofErr w:type="gramEnd"/>
      <w:r w:rsidRPr="00BD40F0">
        <w:rPr>
          <w:rFonts w:ascii="Verdana" w:hAnsi="Verdana"/>
          <w:sz w:val="20"/>
        </w:rPr>
        <w:t xml:space="preserve"> de março de 1998, o Estado comunicou à Comissão que</w:t>
      </w:r>
      <w:r w:rsidR="00582F8C">
        <w:rPr>
          <w:rFonts w:ascii="Verdana" w:hAnsi="Verdana"/>
          <w:sz w:val="20"/>
        </w:rPr>
        <w:t>,</w:t>
      </w:r>
      <w:r w:rsidRPr="00BD40F0">
        <w:rPr>
          <w:rFonts w:ascii="Verdana" w:hAnsi="Verdana"/>
          <w:sz w:val="20"/>
        </w:rPr>
        <w:t xml:space="preserve"> em 22 de janeiro do mesmo ano</w:t>
      </w:r>
      <w:r w:rsidR="00582F8C">
        <w:rPr>
          <w:rFonts w:ascii="Verdana" w:hAnsi="Verdana"/>
          <w:sz w:val="20"/>
        </w:rPr>
        <w:t>,</w:t>
      </w:r>
      <w:r w:rsidRPr="00BD40F0">
        <w:rPr>
          <w:rFonts w:ascii="Verdana" w:hAnsi="Verdana"/>
          <w:sz w:val="20"/>
        </w:rPr>
        <w:t xml:space="preserve"> os peticionários haviam apresentado </w:t>
      </w:r>
      <w:r w:rsidR="00DD7D69">
        <w:rPr>
          <w:rFonts w:ascii="Verdana" w:hAnsi="Verdana"/>
          <w:sz w:val="20"/>
        </w:rPr>
        <w:t>per</w:t>
      </w:r>
      <w:r w:rsidRPr="00BD40F0">
        <w:rPr>
          <w:rFonts w:ascii="Verdana" w:hAnsi="Verdana"/>
          <w:sz w:val="20"/>
        </w:rPr>
        <w:t xml:space="preserve">ante a Corte Suprema de Justiça </w:t>
      </w:r>
      <w:r w:rsidR="00DD7D69">
        <w:rPr>
          <w:rFonts w:ascii="Verdana" w:hAnsi="Verdana"/>
          <w:sz w:val="20"/>
        </w:rPr>
        <w:t>um pedido</w:t>
      </w:r>
      <w:r w:rsidRPr="00BD40F0">
        <w:rPr>
          <w:rFonts w:ascii="Verdana" w:hAnsi="Verdana"/>
          <w:sz w:val="20"/>
        </w:rPr>
        <w:t xml:space="preserve"> de execução da sentença de 27 de fevereiro de 1997</w:t>
      </w:r>
      <w:r w:rsidR="00582F8C">
        <w:rPr>
          <w:rFonts w:ascii="Verdana" w:hAnsi="Verdana"/>
          <w:sz w:val="20"/>
        </w:rPr>
        <w:t>,</w:t>
      </w:r>
      <w:r w:rsidRPr="00BD40F0">
        <w:rPr>
          <w:rFonts w:ascii="Verdana" w:hAnsi="Verdana"/>
          <w:sz w:val="20"/>
        </w:rPr>
        <w:t xml:space="preserve"> proferida por </w:t>
      </w:r>
      <w:r w:rsidR="003F030E">
        <w:rPr>
          <w:rFonts w:ascii="Verdana" w:hAnsi="Verdana"/>
          <w:sz w:val="20"/>
        </w:rPr>
        <w:t>aquele</w:t>
      </w:r>
      <w:r w:rsidRPr="00BD40F0">
        <w:rPr>
          <w:rFonts w:ascii="Verdana" w:hAnsi="Verdana"/>
          <w:sz w:val="20"/>
        </w:rPr>
        <w:t xml:space="preserve"> tribunal </w:t>
      </w:r>
      <w:r w:rsidR="00C60678" w:rsidRPr="00C60678">
        <w:rPr>
          <w:rFonts w:ascii="Verdana" w:hAnsi="Verdana"/>
          <w:sz w:val="20"/>
        </w:rPr>
        <w:t>(</w:t>
      </w:r>
      <w:r w:rsidRPr="00BD40F0">
        <w:rPr>
          <w:rFonts w:ascii="Verdana" w:hAnsi="Verdana"/>
          <w:sz w:val="20"/>
        </w:rPr>
        <w:t xml:space="preserve">par. 17 </w:t>
      </w:r>
      <w:r w:rsidRPr="00BD40F0">
        <w:rPr>
          <w:rFonts w:ascii="Verdana" w:hAnsi="Verdana"/>
          <w:i/>
          <w:sz w:val="20"/>
        </w:rPr>
        <w:t>supra</w:t>
      </w:r>
      <w:r w:rsidR="00C60678" w:rsidRPr="00C60678">
        <w:rPr>
          <w:rFonts w:ascii="Verdana" w:hAnsi="Verdana"/>
          <w:sz w:val="20"/>
        </w:rPr>
        <w:t>)</w:t>
      </w:r>
      <w:r w:rsidRPr="00BD40F0">
        <w:rPr>
          <w:rFonts w:ascii="Verdana" w:hAnsi="Verdana"/>
          <w:sz w:val="20"/>
        </w:rPr>
        <w:t>.</w:t>
      </w:r>
      <w:r w:rsidR="00850A3F">
        <w:rPr>
          <w:rFonts w:ascii="Verdana" w:hAnsi="Verdana"/>
          <w:sz w:val="20"/>
        </w:rPr>
        <w:t xml:space="preserve"> </w:t>
      </w:r>
      <w:r w:rsidRPr="00BD40F0">
        <w:rPr>
          <w:rFonts w:ascii="Verdana" w:hAnsi="Verdana"/>
          <w:sz w:val="20"/>
        </w:rPr>
        <w:t>Nesta oportunidade</w:t>
      </w:r>
      <w:r w:rsidR="00582F8C">
        <w:rPr>
          <w:rFonts w:ascii="Verdana" w:hAnsi="Verdana"/>
          <w:sz w:val="20"/>
        </w:rPr>
        <w:t>,</w:t>
      </w:r>
      <w:r w:rsidRPr="00BD40F0">
        <w:rPr>
          <w:rFonts w:ascii="Verdana" w:hAnsi="Verdana"/>
          <w:sz w:val="20"/>
        </w:rPr>
        <w:t xml:space="preserve"> a Nicarágua reiterou sua posição no sentido de que não se haviam esgotado os recursos internos e solicitou à Comissão que se abstive</w:t>
      </w:r>
      <w:r w:rsidR="00797DF2">
        <w:rPr>
          <w:rFonts w:ascii="Verdana" w:hAnsi="Verdana"/>
          <w:sz w:val="20"/>
        </w:rPr>
        <w:t>sse</w:t>
      </w:r>
      <w:r w:rsidRPr="00BD40F0">
        <w:rPr>
          <w:rFonts w:ascii="Verdana" w:hAnsi="Verdana"/>
          <w:sz w:val="20"/>
        </w:rPr>
        <w:t xml:space="preserve"> de continuar conhecendo do caso.</w:t>
      </w:r>
    </w:p>
    <w:p w:rsidR="000B3F97" w:rsidRPr="00BD40F0" w:rsidRDefault="000B3F97" w:rsidP="000B3F97">
      <w:pPr>
        <w:jc w:val="both"/>
        <w:rPr>
          <w:rFonts w:ascii="Verdana" w:hAnsi="Verdana"/>
          <w:sz w:val="20"/>
        </w:rPr>
      </w:pPr>
    </w:p>
    <w:p w:rsidR="000B3F97" w:rsidRPr="00E93BA1" w:rsidRDefault="000B3F97" w:rsidP="000B3F97">
      <w:pPr>
        <w:jc w:val="both"/>
        <w:rPr>
          <w:rFonts w:ascii="Verdana" w:hAnsi="Verdana"/>
          <w:b/>
          <w:sz w:val="20"/>
        </w:rPr>
      </w:pPr>
      <w:r w:rsidRPr="00BD40F0">
        <w:rPr>
          <w:rFonts w:ascii="Verdana" w:hAnsi="Verdana"/>
          <w:sz w:val="20"/>
        </w:rPr>
        <w:t>25.</w:t>
      </w:r>
      <w:r w:rsidRPr="00BD40F0">
        <w:rPr>
          <w:rFonts w:ascii="Verdana" w:hAnsi="Verdana"/>
          <w:sz w:val="20"/>
        </w:rPr>
        <w:tab/>
        <w:t xml:space="preserve">Em </w:t>
      </w:r>
      <w:proofErr w:type="gramStart"/>
      <w:r w:rsidRPr="00BD40F0">
        <w:rPr>
          <w:rFonts w:ascii="Verdana" w:hAnsi="Verdana"/>
          <w:sz w:val="20"/>
        </w:rPr>
        <w:t>3</w:t>
      </w:r>
      <w:proofErr w:type="gramEnd"/>
      <w:r w:rsidRPr="00BD40F0">
        <w:rPr>
          <w:rFonts w:ascii="Verdana" w:hAnsi="Verdana"/>
          <w:sz w:val="20"/>
        </w:rPr>
        <w:t xml:space="preserve"> de março de 1998, a Comissão Interamericana aprovou o Relatório</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BD40F0">
        <w:rPr>
          <w:rFonts w:ascii="Verdana" w:hAnsi="Verdana"/>
          <w:sz w:val="20"/>
        </w:rPr>
        <w:t xml:space="preserve">27/98, que foi transmitido ao Estado no dia 6 do mesmo mês e ano, e </w:t>
      </w:r>
      <w:r w:rsidR="00797DF2">
        <w:rPr>
          <w:rFonts w:ascii="Verdana" w:hAnsi="Verdana"/>
          <w:sz w:val="20"/>
        </w:rPr>
        <w:t>concedeu à</w:t>
      </w:r>
      <w:r w:rsidRPr="00BD40F0">
        <w:rPr>
          <w:rFonts w:ascii="Verdana" w:hAnsi="Verdana"/>
          <w:sz w:val="20"/>
        </w:rPr>
        <w:t xml:space="preserve"> Nicarágua um prazo de dois meses para que informasse sobre as medidas que houvesse adotado para dar cumprimento às recomendações.</w:t>
      </w:r>
      <w:r w:rsidR="00850A3F">
        <w:rPr>
          <w:rFonts w:ascii="Verdana" w:hAnsi="Verdana"/>
          <w:sz w:val="20"/>
        </w:rPr>
        <w:t xml:space="preserve"> </w:t>
      </w:r>
      <w:r w:rsidRPr="00BD40F0">
        <w:rPr>
          <w:rFonts w:ascii="Verdana" w:hAnsi="Verdana"/>
          <w:sz w:val="20"/>
        </w:rPr>
        <w:t xml:space="preserve">Neste Relatório, a Comissão concluiu: </w:t>
      </w:r>
    </w:p>
    <w:p w:rsidR="002A016A" w:rsidRDefault="002A016A" w:rsidP="000B3F97">
      <w:pPr>
        <w:ind w:left="720" w:right="702"/>
        <w:jc w:val="both"/>
        <w:rPr>
          <w:rFonts w:ascii="Verdana" w:hAnsi="Verdana"/>
          <w:sz w:val="20"/>
        </w:rPr>
      </w:pPr>
    </w:p>
    <w:p w:rsidR="000B3F97" w:rsidRPr="00CB4F2C" w:rsidRDefault="000B3F97" w:rsidP="000B3F97">
      <w:pPr>
        <w:ind w:left="720" w:right="702"/>
        <w:jc w:val="both"/>
        <w:rPr>
          <w:rFonts w:ascii="Verdana" w:hAnsi="Verdana"/>
          <w:sz w:val="18"/>
          <w:szCs w:val="18"/>
        </w:rPr>
      </w:pPr>
      <w:r w:rsidRPr="00CB4F2C">
        <w:rPr>
          <w:rFonts w:ascii="Verdana" w:hAnsi="Verdana"/>
          <w:sz w:val="18"/>
          <w:szCs w:val="18"/>
        </w:rPr>
        <w:t>141.</w:t>
      </w:r>
      <w:r w:rsidRPr="00CB4F2C">
        <w:rPr>
          <w:rFonts w:ascii="Verdana" w:hAnsi="Verdana"/>
          <w:sz w:val="18"/>
          <w:szCs w:val="18"/>
        </w:rPr>
        <w:tab/>
      </w:r>
      <w:r w:rsidR="002A016A" w:rsidRPr="00CB4F2C">
        <w:rPr>
          <w:rFonts w:ascii="Verdana" w:hAnsi="Verdana"/>
          <w:sz w:val="18"/>
          <w:szCs w:val="18"/>
        </w:rPr>
        <w:t xml:space="preserve">Com </w:t>
      </w:r>
      <w:r w:rsidRPr="00CB4F2C">
        <w:rPr>
          <w:rFonts w:ascii="Verdana" w:hAnsi="Verdana"/>
          <w:sz w:val="18"/>
          <w:szCs w:val="18"/>
        </w:rPr>
        <w:t xml:space="preserve">base </w:t>
      </w:r>
      <w:r w:rsidR="002A016A" w:rsidRPr="00CB4F2C">
        <w:rPr>
          <w:rFonts w:ascii="Verdana" w:hAnsi="Verdana"/>
          <w:sz w:val="18"/>
          <w:szCs w:val="18"/>
        </w:rPr>
        <w:t>n</w:t>
      </w:r>
      <w:r w:rsidRPr="00CB4F2C">
        <w:rPr>
          <w:rFonts w:ascii="Verdana" w:hAnsi="Verdana"/>
          <w:sz w:val="18"/>
          <w:szCs w:val="18"/>
        </w:rPr>
        <w:t>as ações e omissões examinadas, [...</w:t>
      </w:r>
      <w:proofErr w:type="gramStart"/>
      <w:r w:rsidRPr="00CB4F2C">
        <w:rPr>
          <w:rFonts w:ascii="Verdana" w:hAnsi="Verdana"/>
          <w:sz w:val="18"/>
          <w:szCs w:val="18"/>
        </w:rPr>
        <w:t>]o</w:t>
      </w:r>
      <w:proofErr w:type="gramEnd"/>
      <w:r w:rsidRPr="00CB4F2C">
        <w:rPr>
          <w:rFonts w:ascii="Verdana" w:hAnsi="Verdana"/>
          <w:sz w:val="18"/>
          <w:szCs w:val="18"/>
        </w:rPr>
        <w:t xml:space="preserve"> Estado da Nicarágua não cumpriu suas obrigações sob a Convenção Americana de Direitos Humanos.</w:t>
      </w:r>
      <w:r w:rsidR="00850A3F">
        <w:rPr>
          <w:rFonts w:ascii="Verdana" w:hAnsi="Verdana"/>
          <w:sz w:val="18"/>
          <w:szCs w:val="18"/>
        </w:rPr>
        <w:t xml:space="preserve"> </w:t>
      </w:r>
      <w:r w:rsidRPr="00CB4F2C">
        <w:rPr>
          <w:rFonts w:ascii="Verdana" w:hAnsi="Verdana"/>
          <w:sz w:val="18"/>
          <w:szCs w:val="18"/>
        </w:rPr>
        <w:t xml:space="preserve">O Estado da Nicarágua não demarcou as terras </w:t>
      </w:r>
      <w:r w:rsidR="00664426" w:rsidRPr="00CB4F2C">
        <w:rPr>
          <w:rFonts w:ascii="Verdana" w:hAnsi="Verdana"/>
          <w:sz w:val="18"/>
          <w:szCs w:val="18"/>
        </w:rPr>
        <w:t xml:space="preserve">comunitárias </w:t>
      </w:r>
      <w:r w:rsidRPr="00CB4F2C">
        <w:rPr>
          <w:rFonts w:ascii="Verdana" w:hAnsi="Verdana"/>
          <w:sz w:val="18"/>
          <w:szCs w:val="18"/>
        </w:rPr>
        <w:t>da Comunidade Awas Tingni, nem de outras comunidades indígenas.</w:t>
      </w:r>
      <w:r w:rsidR="00850A3F">
        <w:rPr>
          <w:rFonts w:ascii="Verdana" w:hAnsi="Verdana"/>
          <w:sz w:val="18"/>
          <w:szCs w:val="18"/>
        </w:rPr>
        <w:t xml:space="preserve"> </w:t>
      </w:r>
      <w:r w:rsidRPr="00CB4F2C">
        <w:rPr>
          <w:rFonts w:ascii="Verdana" w:hAnsi="Verdana"/>
          <w:sz w:val="18"/>
          <w:szCs w:val="18"/>
        </w:rPr>
        <w:t>Tampouco tomou medidas efetivas que assegurem os direitos de propriedade da Comunidade em suas terras.</w:t>
      </w:r>
      <w:r w:rsidR="00850A3F">
        <w:rPr>
          <w:rFonts w:ascii="Verdana" w:hAnsi="Verdana"/>
          <w:sz w:val="18"/>
          <w:szCs w:val="18"/>
        </w:rPr>
        <w:t xml:space="preserve"> </w:t>
      </w:r>
      <w:r w:rsidRPr="00CB4F2C">
        <w:rPr>
          <w:rFonts w:ascii="Verdana" w:hAnsi="Verdana"/>
          <w:sz w:val="18"/>
          <w:szCs w:val="18"/>
        </w:rPr>
        <w:t xml:space="preserve">Esta omissão por parte do Estado constitui uma violação dos artigos 1, 2, e 21 da Convenção, os </w:t>
      </w:r>
      <w:proofErr w:type="gramStart"/>
      <w:r w:rsidRPr="00CB4F2C">
        <w:rPr>
          <w:rFonts w:ascii="Verdana" w:hAnsi="Verdana"/>
          <w:sz w:val="18"/>
          <w:szCs w:val="18"/>
        </w:rPr>
        <w:t xml:space="preserve">quais </w:t>
      </w:r>
      <w:r w:rsidR="006A5FA5" w:rsidRPr="00CB4F2C">
        <w:rPr>
          <w:rFonts w:ascii="Verdana" w:hAnsi="Verdana"/>
          <w:sz w:val="18"/>
          <w:szCs w:val="18"/>
        </w:rPr>
        <w:t>,</w:t>
      </w:r>
      <w:proofErr w:type="gramEnd"/>
      <w:r w:rsidRPr="00CB4F2C">
        <w:rPr>
          <w:rFonts w:ascii="Verdana" w:hAnsi="Verdana"/>
          <w:sz w:val="18"/>
          <w:szCs w:val="18"/>
        </w:rPr>
        <w:t>em seu conjunto</w:t>
      </w:r>
      <w:r w:rsidR="006A5FA5" w:rsidRPr="00CB4F2C">
        <w:rPr>
          <w:rFonts w:ascii="Verdana" w:hAnsi="Verdana"/>
          <w:sz w:val="18"/>
          <w:szCs w:val="18"/>
        </w:rPr>
        <w:t>,</w:t>
      </w:r>
      <w:r w:rsidRPr="00CB4F2C">
        <w:rPr>
          <w:rFonts w:ascii="Verdana" w:hAnsi="Verdana"/>
          <w:sz w:val="18"/>
          <w:szCs w:val="18"/>
        </w:rPr>
        <w:t xml:space="preserve"> estabelecem o direito a estas medidas efetivas.</w:t>
      </w:r>
      <w:r w:rsidR="00850A3F">
        <w:rPr>
          <w:rFonts w:ascii="Verdana" w:hAnsi="Verdana"/>
          <w:sz w:val="18"/>
          <w:szCs w:val="18"/>
        </w:rPr>
        <w:t xml:space="preserve"> </w:t>
      </w:r>
      <w:r w:rsidRPr="00CB4F2C">
        <w:rPr>
          <w:rFonts w:ascii="Verdana" w:hAnsi="Verdana"/>
          <w:sz w:val="18"/>
          <w:szCs w:val="18"/>
        </w:rPr>
        <w:t xml:space="preserve">Os artigos </w:t>
      </w:r>
      <w:proofErr w:type="gramStart"/>
      <w:r w:rsidRPr="00CB4F2C">
        <w:rPr>
          <w:rFonts w:ascii="Verdana" w:hAnsi="Verdana"/>
          <w:sz w:val="18"/>
          <w:szCs w:val="18"/>
        </w:rPr>
        <w:t>1</w:t>
      </w:r>
      <w:proofErr w:type="gramEnd"/>
      <w:r w:rsidRPr="00CB4F2C">
        <w:rPr>
          <w:rFonts w:ascii="Verdana" w:hAnsi="Verdana"/>
          <w:sz w:val="18"/>
          <w:szCs w:val="18"/>
        </w:rPr>
        <w:t xml:space="preserve"> e 2 obrigam os Estados a tomar as medidas necessárias para implementar os direitos contidos na Convenção.</w:t>
      </w:r>
    </w:p>
    <w:p w:rsidR="000B3F97" w:rsidRPr="00CB4F2C" w:rsidRDefault="000B3F97" w:rsidP="000B3F97">
      <w:pPr>
        <w:ind w:right="702"/>
        <w:jc w:val="both"/>
        <w:rPr>
          <w:rFonts w:ascii="Verdana" w:hAnsi="Verdana"/>
          <w:sz w:val="18"/>
          <w:szCs w:val="18"/>
        </w:rPr>
      </w:pPr>
    </w:p>
    <w:p w:rsidR="000B3F97" w:rsidRPr="00CB4F2C" w:rsidRDefault="000B3F97" w:rsidP="000B3F97">
      <w:pPr>
        <w:ind w:left="720" w:right="702"/>
        <w:jc w:val="both"/>
        <w:rPr>
          <w:rFonts w:ascii="Verdana" w:hAnsi="Verdana"/>
          <w:sz w:val="18"/>
          <w:szCs w:val="18"/>
        </w:rPr>
      </w:pPr>
      <w:r w:rsidRPr="00CB4F2C">
        <w:rPr>
          <w:rFonts w:ascii="Verdana" w:hAnsi="Verdana"/>
          <w:sz w:val="18"/>
          <w:szCs w:val="18"/>
        </w:rPr>
        <w:t>142.</w:t>
      </w:r>
      <w:r w:rsidRPr="00CB4F2C">
        <w:rPr>
          <w:rFonts w:ascii="Verdana" w:hAnsi="Verdana"/>
          <w:sz w:val="18"/>
          <w:szCs w:val="18"/>
        </w:rPr>
        <w:tab/>
        <w:t xml:space="preserve">O Estado da Nicarágua é responsável por [violar o] direito à propriedade de forma ativa, consagrado no artigo 21 da Convenção, ao </w:t>
      </w:r>
      <w:r w:rsidR="002A016A" w:rsidRPr="00CB4F2C">
        <w:rPr>
          <w:rFonts w:ascii="Verdana" w:hAnsi="Verdana"/>
          <w:sz w:val="18"/>
          <w:szCs w:val="18"/>
        </w:rPr>
        <w:t xml:space="preserve">outorgar uma concessão </w:t>
      </w:r>
      <w:r w:rsidRPr="00CB4F2C">
        <w:rPr>
          <w:rFonts w:ascii="Verdana" w:hAnsi="Verdana"/>
          <w:sz w:val="18"/>
          <w:szCs w:val="18"/>
        </w:rPr>
        <w:t>à companhia SOLCARSA para realizar</w:t>
      </w:r>
      <w:r w:rsidR="00237416" w:rsidRPr="00CB4F2C">
        <w:rPr>
          <w:rFonts w:ascii="Verdana" w:hAnsi="Verdana"/>
          <w:sz w:val="18"/>
          <w:szCs w:val="18"/>
        </w:rPr>
        <w:t xml:space="preserve"> nas terras [de</w:t>
      </w:r>
      <w:r w:rsidRPr="00CB4F2C">
        <w:rPr>
          <w:rFonts w:ascii="Verdana" w:hAnsi="Verdana"/>
          <w:sz w:val="18"/>
          <w:szCs w:val="18"/>
        </w:rPr>
        <w:t>] Awas Tingni trabalhos de construção de estradas e de exploração madeireira, sem o consentimento da Comunidade Awas Tingni.</w:t>
      </w:r>
    </w:p>
    <w:p w:rsidR="000B3F97" w:rsidRPr="00CB4F2C" w:rsidRDefault="000B3F97" w:rsidP="000B3F97">
      <w:pPr>
        <w:ind w:right="702"/>
        <w:jc w:val="both"/>
        <w:rPr>
          <w:rFonts w:ascii="Verdana" w:hAnsi="Verdana"/>
          <w:sz w:val="18"/>
          <w:szCs w:val="18"/>
        </w:rPr>
      </w:pPr>
    </w:p>
    <w:p w:rsidR="000B3F97" w:rsidRPr="00CB4F2C" w:rsidRDefault="000B3F97" w:rsidP="000B3F97">
      <w:pPr>
        <w:ind w:left="720" w:right="702"/>
        <w:jc w:val="both"/>
        <w:rPr>
          <w:rFonts w:ascii="Verdana" w:hAnsi="Verdana"/>
          <w:sz w:val="18"/>
          <w:szCs w:val="18"/>
        </w:rPr>
      </w:pPr>
      <w:r w:rsidRPr="00CB4F2C">
        <w:rPr>
          <w:rFonts w:ascii="Verdana" w:hAnsi="Verdana"/>
          <w:sz w:val="18"/>
          <w:szCs w:val="18"/>
        </w:rPr>
        <w:t>143.</w:t>
      </w:r>
      <w:r w:rsidRPr="00CB4F2C">
        <w:rPr>
          <w:rFonts w:ascii="Verdana" w:hAnsi="Verdana"/>
          <w:sz w:val="18"/>
          <w:szCs w:val="18"/>
        </w:rPr>
        <w:tab/>
      </w:r>
      <w:proofErr w:type="gramStart"/>
      <w:r w:rsidRPr="00CB4F2C">
        <w:rPr>
          <w:rFonts w:ascii="Verdana" w:hAnsi="Verdana"/>
          <w:sz w:val="18"/>
          <w:szCs w:val="18"/>
        </w:rPr>
        <w:t>[</w:t>
      </w:r>
      <w:proofErr w:type="gramEnd"/>
      <w:r w:rsidRPr="00CB4F2C">
        <w:rPr>
          <w:rFonts w:ascii="Verdana" w:hAnsi="Verdana"/>
          <w:sz w:val="18"/>
          <w:szCs w:val="18"/>
        </w:rPr>
        <w:t>...]o Estado da Nicarágua não garantiu um recurso efetivo para responder às reclamações da Comunidade Awas Tingni sobre seus direitos a terras e recursos naturais, de acordo com o artigo 25 da Convenção.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Igualmente, a Comissão recomendou </w:t>
      </w:r>
      <w:r w:rsidR="0043272B">
        <w:rPr>
          <w:rFonts w:ascii="Verdana" w:hAnsi="Verdana"/>
          <w:sz w:val="20"/>
        </w:rPr>
        <w:t>à</w:t>
      </w:r>
      <w:r w:rsidRPr="00BD40F0">
        <w:rPr>
          <w:rFonts w:ascii="Verdana" w:hAnsi="Verdana"/>
          <w:sz w:val="20"/>
        </w:rPr>
        <w:t xml:space="preserve"> Nicarágua que:</w:t>
      </w:r>
    </w:p>
    <w:p w:rsidR="000B3F97" w:rsidRPr="00BD40F0" w:rsidRDefault="000B3F97" w:rsidP="000B3F97">
      <w:pPr>
        <w:jc w:val="both"/>
        <w:rPr>
          <w:rFonts w:ascii="Verdana" w:hAnsi="Verdana"/>
          <w:b/>
          <w:i/>
          <w:sz w:val="20"/>
        </w:rPr>
      </w:pPr>
    </w:p>
    <w:p w:rsidR="000B3F97" w:rsidRPr="00CB4F2C" w:rsidRDefault="000B3F97" w:rsidP="000B3F97">
      <w:pPr>
        <w:ind w:left="720" w:right="702"/>
        <w:jc w:val="both"/>
        <w:rPr>
          <w:rFonts w:ascii="Verdana" w:hAnsi="Verdana"/>
          <w:sz w:val="18"/>
          <w:szCs w:val="18"/>
        </w:rPr>
      </w:pPr>
      <w:proofErr w:type="gramStart"/>
      <w:r w:rsidRPr="00CB4F2C">
        <w:rPr>
          <w:rFonts w:ascii="Verdana" w:hAnsi="Verdana"/>
          <w:sz w:val="18"/>
          <w:szCs w:val="18"/>
        </w:rPr>
        <w:t>a.</w:t>
      </w:r>
      <w:proofErr w:type="gramEnd"/>
      <w:r w:rsidRPr="00CB4F2C">
        <w:rPr>
          <w:rFonts w:ascii="Verdana" w:hAnsi="Verdana"/>
          <w:sz w:val="18"/>
          <w:szCs w:val="18"/>
        </w:rPr>
        <w:tab/>
        <w:t>Estabele[ce</w:t>
      </w:r>
      <w:r w:rsidR="0043272B" w:rsidRPr="00CB4F2C">
        <w:rPr>
          <w:rFonts w:ascii="Verdana" w:hAnsi="Verdana"/>
          <w:sz w:val="18"/>
          <w:szCs w:val="18"/>
        </w:rPr>
        <w:t>sse</w:t>
      </w:r>
      <w:r w:rsidRPr="00CB4F2C">
        <w:rPr>
          <w:rFonts w:ascii="Verdana" w:hAnsi="Verdana"/>
          <w:sz w:val="18"/>
          <w:szCs w:val="18"/>
        </w:rPr>
        <w:t>] um procedimento em seu ordenamento jurídico, aceitável às comunidades indígenas envolvidas, que t[ivesse] como resultado a rápida demarcação e o reconh</w:t>
      </w:r>
      <w:r w:rsidR="00237416" w:rsidRPr="00CB4F2C">
        <w:rPr>
          <w:rFonts w:ascii="Verdana" w:hAnsi="Verdana"/>
          <w:sz w:val="18"/>
          <w:szCs w:val="18"/>
        </w:rPr>
        <w:t>ecimento oficial do território de</w:t>
      </w:r>
      <w:r w:rsidRPr="00CB4F2C">
        <w:rPr>
          <w:rFonts w:ascii="Verdana" w:hAnsi="Verdana"/>
          <w:sz w:val="18"/>
          <w:szCs w:val="18"/>
        </w:rPr>
        <w:t xml:space="preserve"> Awas Tingni e dos territórios de outras comunidades da Costa Atlântica;</w:t>
      </w:r>
    </w:p>
    <w:p w:rsidR="000B3F97" w:rsidRPr="00CB4F2C" w:rsidRDefault="000B3F97" w:rsidP="000B3F97">
      <w:pPr>
        <w:ind w:right="702"/>
        <w:jc w:val="both"/>
        <w:rPr>
          <w:rFonts w:ascii="Verdana" w:hAnsi="Verdana"/>
          <w:sz w:val="18"/>
          <w:szCs w:val="18"/>
        </w:rPr>
      </w:pPr>
    </w:p>
    <w:p w:rsidR="000B3F97" w:rsidRPr="00CB4F2C" w:rsidRDefault="000B3F97" w:rsidP="000B3F97">
      <w:pPr>
        <w:ind w:left="720" w:right="702"/>
        <w:jc w:val="both"/>
        <w:rPr>
          <w:rFonts w:ascii="Verdana" w:hAnsi="Verdana"/>
          <w:sz w:val="18"/>
          <w:szCs w:val="18"/>
        </w:rPr>
      </w:pPr>
      <w:proofErr w:type="gramStart"/>
      <w:r w:rsidRPr="00CB4F2C">
        <w:rPr>
          <w:rFonts w:ascii="Verdana" w:hAnsi="Verdana"/>
          <w:sz w:val="18"/>
          <w:szCs w:val="18"/>
        </w:rPr>
        <w:t>b.</w:t>
      </w:r>
      <w:proofErr w:type="gramEnd"/>
      <w:r w:rsidRPr="00CB4F2C">
        <w:rPr>
          <w:rFonts w:ascii="Verdana" w:hAnsi="Verdana"/>
          <w:sz w:val="18"/>
          <w:szCs w:val="18"/>
        </w:rPr>
        <w:tab/>
        <w:t>Suspend[e</w:t>
      </w:r>
      <w:r w:rsidR="0043272B" w:rsidRPr="00CB4F2C">
        <w:rPr>
          <w:rFonts w:ascii="Verdana" w:hAnsi="Verdana"/>
          <w:sz w:val="18"/>
          <w:szCs w:val="18"/>
        </w:rPr>
        <w:t>sse</w:t>
      </w:r>
      <w:r w:rsidRPr="00CB4F2C">
        <w:rPr>
          <w:rFonts w:ascii="Verdana" w:hAnsi="Verdana"/>
          <w:sz w:val="18"/>
          <w:szCs w:val="18"/>
        </w:rPr>
        <w:t>]</w:t>
      </w:r>
      <w:r w:rsidR="00122742" w:rsidRPr="00CB4F2C">
        <w:rPr>
          <w:rFonts w:ascii="Verdana" w:hAnsi="Verdana"/>
          <w:sz w:val="18"/>
          <w:szCs w:val="18"/>
        </w:rPr>
        <w:t>,</w:t>
      </w:r>
      <w:r w:rsidRPr="00CB4F2C">
        <w:rPr>
          <w:rFonts w:ascii="Verdana" w:hAnsi="Verdana"/>
          <w:sz w:val="18"/>
          <w:szCs w:val="18"/>
        </w:rPr>
        <w:t xml:space="preserve"> </w:t>
      </w:r>
      <w:r w:rsidR="002A016A" w:rsidRPr="00CB4F2C">
        <w:rPr>
          <w:rFonts w:ascii="Verdana" w:hAnsi="Verdana"/>
          <w:sz w:val="18"/>
          <w:szCs w:val="18"/>
        </w:rPr>
        <w:t xml:space="preserve">com </w:t>
      </w:r>
      <w:r w:rsidRPr="00CB4F2C">
        <w:rPr>
          <w:rFonts w:ascii="Verdana" w:hAnsi="Verdana"/>
          <w:sz w:val="18"/>
          <w:szCs w:val="18"/>
        </w:rPr>
        <w:t xml:space="preserve">a maior brevidade, toda atividade relativa à concessão madeireira </w:t>
      </w:r>
      <w:r w:rsidR="002A016A" w:rsidRPr="00CB4F2C">
        <w:rPr>
          <w:rFonts w:ascii="Verdana" w:hAnsi="Verdana"/>
          <w:sz w:val="18"/>
          <w:szCs w:val="18"/>
        </w:rPr>
        <w:t xml:space="preserve">outorgada </w:t>
      </w:r>
      <w:r w:rsidR="0043272B" w:rsidRPr="00CB4F2C">
        <w:rPr>
          <w:rFonts w:ascii="Verdana" w:hAnsi="Verdana"/>
          <w:sz w:val="18"/>
          <w:szCs w:val="18"/>
        </w:rPr>
        <w:t>à</w:t>
      </w:r>
      <w:r w:rsidRPr="00CB4F2C">
        <w:rPr>
          <w:rFonts w:ascii="Verdana" w:hAnsi="Verdana"/>
          <w:sz w:val="18"/>
          <w:szCs w:val="18"/>
        </w:rPr>
        <w:t xml:space="preserve"> SOLCARSA pelo Estado dentro das terras </w:t>
      </w:r>
      <w:r w:rsidR="00664426" w:rsidRPr="00CB4F2C">
        <w:rPr>
          <w:rFonts w:ascii="Verdana" w:hAnsi="Verdana"/>
          <w:sz w:val="18"/>
          <w:szCs w:val="18"/>
        </w:rPr>
        <w:t xml:space="preserve">comunitárias </w:t>
      </w:r>
      <w:r w:rsidR="00237416" w:rsidRPr="00CB4F2C">
        <w:rPr>
          <w:rFonts w:ascii="Verdana" w:hAnsi="Verdana"/>
          <w:sz w:val="18"/>
          <w:szCs w:val="18"/>
        </w:rPr>
        <w:t xml:space="preserve">de </w:t>
      </w:r>
      <w:r w:rsidRPr="00CB4F2C">
        <w:rPr>
          <w:rFonts w:ascii="Verdana" w:hAnsi="Verdana"/>
          <w:sz w:val="18"/>
          <w:szCs w:val="18"/>
        </w:rPr>
        <w:t xml:space="preserve">Awas Tingni, até que a questão da posse da terra que afeta </w:t>
      </w:r>
      <w:r w:rsidR="0043272B" w:rsidRPr="00CB4F2C">
        <w:rPr>
          <w:rFonts w:ascii="Verdana" w:hAnsi="Verdana"/>
          <w:sz w:val="18"/>
          <w:szCs w:val="18"/>
        </w:rPr>
        <w:t>a</w:t>
      </w:r>
      <w:r w:rsidRPr="00CB4F2C">
        <w:rPr>
          <w:rFonts w:ascii="Verdana" w:hAnsi="Verdana"/>
          <w:sz w:val="18"/>
          <w:szCs w:val="18"/>
        </w:rPr>
        <w:t>s comunidades indígenas h[ouvesse] sido r</w:t>
      </w:r>
      <w:r w:rsidR="0043272B" w:rsidRPr="00CB4F2C">
        <w:rPr>
          <w:rFonts w:ascii="Verdana" w:hAnsi="Verdana"/>
          <w:sz w:val="18"/>
          <w:szCs w:val="18"/>
        </w:rPr>
        <w:t xml:space="preserve">esolvida, ou que se h[ouvesse] </w:t>
      </w:r>
      <w:r w:rsidRPr="00CB4F2C">
        <w:rPr>
          <w:rFonts w:ascii="Verdana" w:hAnsi="Verdana"/>
          <w:sz w:val="18"/>
          <w:szCs w:val="18"/>
        </w:rPr>
        <w:t>chegado a um acordo específico entre o Estado e a Comunidade Awas Tingni; []</w:t>
      </w:r>
    </w:p>
    <w:p w:rsidR="000B3F97" w:rsidRPr="00CB4F2C" w:rsidRDefault="000B3F97" w:rsidP="000B3F97">
      <w:pPr>
        <w:ind w:right="702"/>
        <w:jc w:val="both"/>
        <w:rPr>
          <w:rFonts w:ascii="Verdana" w:hAnsi="Verdana"/>
          <w:sz w:val="18"/>
          <w:szCs w:val="18"/>
        </w:rPr>
      </w:pPr>
    </w:p>
    <w:p w:rsidR="000B3F97" w:rsidRPr="00CB4F2C" w:rsidRDefault="000B3F97" w:rsidP="000B3F97">
      <w:pPr>
        <w:ind w:left="720" w:right="702"/>
        <w:jc w:val="both"/>
        <w:rPr>
          <w:rFonts w:ascii="Verdana" w:hAnsi="Verdana"/>
          <w:sz w:val="18"/>
          <w:szCs w:val="18"/>
        </w:rPr>
      </w:pPr>
      <w:proofErr w:type="gramStart"/>
      <w:r w:rsidRPr="00CB4F2C">
        <w:rPr>
          <w:rFonts w:ascii="Verdana" w:hAnsi="Verdana"/>
          <w:sz w:val="18"/>
          <w:szCs w:val="18"/>
        </w:rPr>
        <w:t>c.</w:t>
      </w:r>
      <w:proofErr w:type="gramEnd"/>
      <w:r w:rsidRPr="00CB4F2C">
        <w:rPr>
          <w:rFonts w:ascii="Verdana" w:hAnsi="Verdana"/>
          <w:sz w:val="18"/>
          <w:szCs w:val="18"/>
        </w:rPr>
        <w:tab/>
        <w:t>Inici</w:t>
      </w:r>
      <w:r w:rsidR="0043272B" w:rsidRPr="00CB4F2C">
        <w:rPr>
          <w:rFonts w:ascii="Verdana" w:hAnsi="Verdana"/>
          <w:sz w:val="18"/>
          <w:szCs w:val="18"/>
        </w:rPr>
        <w:t>[asse]</w:t>
      </w:r>
      <w:r w:rsidRPr="00CB4F2C">
        <w:rPr>
          <w:rFonts w:ascii="Verdana" w:hAnsi="Verdana"/>
          <w:sz w:val="18"/>
          <w:szCs w:val="18"/>
        </w:rPr>
        <w:t xml:space="preserve"> no prazo de um mês um diálogo com a Comunidade Awas Tingni, a fim de determinar sob qu[e] circunstâncias </w:t>
      </w:r>
      <w:r w:rsidR="0043272B" w:rsidRPr="00CB4F2C">
        <w:rPr>
          <w:rFonts w:ascii="Verdana" w:hAnsi="Verdana"/>
          <w:sz w:val="18"/>
          <w:szCs w:val="18"/>
        </w:rPr>
        <w:t>seria</w:t>
      </w:r>
      <w:r w:rsidRPr="00CB4F2C">
        <w:rPr>
          <w:rFonts w:ascii="Verdana" w:hAnsi="Verdana"/>
          <w:sz w:val="18"/>
          <w:szCs w:val="18"/>
        </w:rPr>
        <w:t xml:space="preserve"> po[ssível] chegar a um acordo entre o Estado e a Comunidade Awas Tingni.</w:t>
      </w:r>
    </w:p>
    <w:p w:rsidR="000B3F97" w:rsidRPr="00BD40F0" w:rsidRDefault="000B3F97" w:rsidP="000B3F97">
      <w:pPr>
        <w:ind w:right="702"/>
        <w:jc w:val="both"/>
        <w:rPr>
          <w:rFonts w:ascii="Verdana" w:hAnsi="Verdana"/>
          <w:sz w:val="20"/>
        </w:rPr>
      </w:pPr>
    </w:p>
    <w:p w:rsidR="0043272B" w:rsidRPr="00E93BA1" w:rsidRDefault="000B3F97" w:rsidP="000B3F97">
      <w:pPr>
        <w:jc w:val="both"/>
        <w:rPr>
          <w:rFonts w:ascii="Verdana" w:hAnsi="Verdana"/>
          <w:sz w:val="20"/>
        </w:rPr>
      </w:pPr>
      <w:r w:rsidRPr="00BD40F0">
        <w:rPr>
          <w:rFonts w:ascii="Verdana" w:hAnsi="Verdana"/>
          <w:sz w:val="20"/>
        </w:rPr>
        <w:t>26.</w:t>
      </w:r>
      <w:r w:rsidRPr="00BD40F0">
        <w:rPr>
          <w:rFonts w:ascii="Verdana" w:hAnsi="Verdana"/>
          <w:sz w:val="20"/>
        </w:rPr>
        <w:tab/>
        <w:t xml:space="preserve">Em </w:t>
      </w:r>
      <w:proofErr w:type="gramStart"/>
      <w:r w:rsidRPr="00BD40F0">
        <w:rPr>
          <w:rFonts w:ascii="Verdana" w:hAnsi="Verdana"/>
          <w:sz w:val="20"/>
        </w:rPr>
        <w:t>7</w:t>
      </w:r>
      <w:proofErr w:type="gramEnd"/>
      <w:r w:rsidRPr="00BD40F0">
        <w:rPr>
          <w:rFonts w:ascii="Verdana" w:hAnsi="Verdana"/>
          <w:sz w:val="20"/>
        </w:rPr>
        <w:t xml:space="preserve"> de maio de 1998, a Comissão Interamericana recebeu a resposta do Estado.</w:t>
      </w:r>
      <w:r w:rsidR="00850A3F">
        <w:rPr>
          <w:rFonts w:ascii="Verdana" w:hAnsi="Verdana"/>
          <w:sz w:val="20"/>
        </w:rPr>
        <w:t xml:space="preserve"> </w:t>
      </w:r>
      <w:r w:rsidRPr="00BD40F0">
        <w:rPr>
          <w:rFonts w:ascii="Verdana" w:hAnsi="Verdana"/>
          <w:sz w:val="20"/>
        </w:rPr>
        <w:t xml:space="preserve">A Comissão indicou que, mesmo que esta resposta </w:t>
      </w:r>
      <w:r w:rsidR="0043272B">
        <w:rPr>
          <w:rFonts w:ascii="Verdana" w:hAnsi="Verdana"/>
          <w:sz w:val="20"/>
        </w:rPr>
        <w:t>tinha sido</w:t>
      </w:r>
      <w:r w:rsidRPr="00BD40F0">
        <w:rPr>
          <w:rFonts w:ascii="Verdana" w:hAnsi="Verdana"/>
          <w:sz w:val="20"/>
        </w:rPr>
        <w:t xml:space="preserve"> apresentada extemporaneamente, analisaria seu conteúdo para ser acrescentado a</w:t>
      </w:r>
      <w:r w:rsidR="002A016A">
        <w:rPr>
          <w:rFonts w:ascii="Verdana" w:hAnsi="Verdana"/>
          <w:sz w:val="20"/>
        </w:rPr>
        <w:t>os</w:t>
      </w:r>
      <w:r w:rsidRPr="00BD40F0">
        <w:rPr>
          <w:rFonts w:ascii="Verdana" w:hAnsi="Verdana"/>
          <w:sz w:val="20"/>
        </w:rPr>
        <w:t xml:space="preserve"> autos.</w:t>
      </w:r>
      <w:r w:rsidR="00850A3F">
        <w:rPr>
          <w:rFonts w:ascii="Verdana" w:hAnsi="Verdana"/>
          <w:sz w:val="20"/>
        </w:rPr>
        <w:t xml:space="preserve"> </w:t>
      </w:r>
      <w:r w:rsidRPr="00BD40F0">
        <w:rPr>
          <w:rFonts w:ascii="Verdana" w:hAnsi="Verdana"/>
          <w:sz w:val="20"/>
        </w:rPr>
        <w:t xml:space="preserve">A respeito das recomendações da Comissão Interamericana, a Nicarágua manifestou que: </w:t>
      </w:r>
    </w:p>
    <w:p w:rsidR="00E93BA1" w:rsidRDefault="00E93BA1" w:rsidP="000B3F97">
      <w:pPr>
        <w:ind w:left="720" w:right="702"/>
        <w:jc w:val="both"/>
        <w:rPr>
          <w:rFonts w:ascii="Verdana" w:hAnsi="Verdana"/>
          <w:sz w:val="20"/>
        </w:rPr>
      </w:pPr>
    </w:p>
    <w:p w:rsidR="000B3F97" w:rsidRPr="00850A3F" w:rsidRDefault="000B3F97" w:rsidP="000B3F97">
      <w:pPr>
        <w:ind w:left="720" w:right="702"/>
        <w:jc w:val="both"/>
        <w:rPr>
          <w:rFonts w:ascii="Verdana" w:hAnsi="Verdana"/>
          <w:sz w:val="18"/>
          <w:szCs w:val="18"/>
        </w:rPr>
      </w:pPr>
      <w:proofErr w:type="gramStart"/>
      <w:r w:rsidRPr="00850A3F">
        <w:rPr>
          <w:rFonts w:ascii="Verdana" w:hAnsi="Verdana"/>
          <w:sz w:val="18"/>
          <w:szCs w:val="18"/>
        </w:rPr>
        <w:t>a</w:t>
      </w:r>
      <w:proofErr w:type="gramEnd"/>
      <w:r w:rsidR="00C60678" w:rsidRPr="00C60678">
        <w:rPr>
          <w:rFonts w:ascii="Verdana" w:hAnsi="Verdana"/>
          <w:sz w:val="18"/>
          <w:szCs w:val="18"/>
        </w:rPr>
        <w:t>)</w:t>
      </w:r>
      <w:r w:rsidRPr="00850A3F">
        <w:rPr>
          <w:rFonts w:ascii="Verdana" w:hAnsi="Verdana"/>
          <w:sz w:val="18"/>
          <w:szCs w:val="18"/>
        </w:rPr>
        <w:tab/>
        <w:t xml:space="preserve"> A fim de dar cumprimento </w:t>
      </w:r>
      <w:r w:rsidR="0043272B" w:rsidRPr="00850A3F">
        <w:rPr>
          <w:rFonts w:ascii="Verdana" w:hAnsi="Verdana"/>
          <w:sz w:val="18"/>
          <w:szCs w:val="18"/>
        </w:rPr>
        <w:t>às</w:t>
      </w:r>
      <w:r w:rsidRPr="00850A3F">
        <w:rPr>
          <w:rFonts w:ascii="Verdana" w:hAnsi="Verdana"/>
          <w:sz w:val="18"/>
          <w:szCs w:val="18"/>
        </w:rPr>
        <w:t xml:space="preserve"> recomendações da [Comissão] em relação a estabelecer um procedimento jurídico aceitável às comunidades indígenas envolvidas que t[ive</w:t>
      </w:r>
      <w:r w:rsidR="0043272B" w:rsidRPr="00850A3F">
        <w:rPr>
          <w:rFonts w:ascii="Verdana" w:hAnsi="Verdana"/>
          <w:sz w:val="18"/>
          <w:szCs w:val="18"/>
        </w:rPr>
        <w:t>sse</w:t>
      </w:r>
      <w:r w:rsidRPr="00850A3F">
        <w:rPr>
          <w:rFonts w:ascii="Verdana" w:hAnsi="Verdana"/>
          <w:sz w:val="18"/>
          <w:szCs w:val="18"/>
        </w:rPr>
        <w:t>] como resultado a demarcação e o reconh</w:t>
      </w:r>
      <w:r w:rsidR="00237416" w:rsidRPr="00850A3F">
        <w:rPr>
          <w:rFonts w:ascii="Verdana" w:hAnsi="Verdana"/>
          <w:sz w:val="18"/>
          <w:szCs w:val="18"/>
        </w:rPr>
        <w:t>ecimento oficial do território de</w:t>
      </w:r>
      <w:r w:rsidRPr="00850A3F">
        <w:rPr>
          <w:rFonts w:ascii="Verdana" w:hAnsi="Verdana"/>
          <w:sz w:val="18"/>
          <w:szCs w:val="18"/>
        </w:rPr>
        <w:t xml:space="preserve"> Awas Tingni e de outras comunidades da Costa Atlântica, o Governo da Nicarágua conta com uma Comissão Nacional para a Demarcação das Terras das Comunidades Indígenas da Costa Atlântica.</w:t>
      </w:r>
    </w:p>
    <w:p w:rsidR="000B3F97" w:rsidRPr="00850A3F" w:rsidRDefault="000B3F97" w:rsidP="000B3F97">
      <w:pPr>
        <w:ind w:right="702"/>
        <w:jc w:val="both"/>
        <w:rPr>
          <w:rFonts w:ascii="Verdana" w:hAnsi="Verdana"/>
          <w:sz w:val="18"/>
          <w:szCs w:val="18"/>
        </w:rPr>
      </w:pPr>
    </w:p>
    <w:p w:rsidR="000B3F97" w:rsidRPr="00850A3F" w:rsidRDefault="000B3F97" w:rsidP="000B3F97">
      <w:pPr>
        <w:ind w:left="720" w:right="702"/>
        <w:jc w:val="both"/>
        <w:rPr>
          <w:rFonts w:ascii="Verdana" w:hAnsi="Verdana"/>
          <w:sz w:val="18"/>
          <w:szCs w:val="18"/>
        </w:rPr>
      </w:pPr>
      <w:r w:rsidRPr="00850A3F">
        <w:rPr>
          <w:rFonts w:ascii="Verdana" w:hAnsi="Verdana"/>
          <w:sz w:val="18"/>
          <w:szCs w:val="18"/>
        </w:rPr>
        <w:t xml:space="preserve">Com este mesmo objetivo, </w:t>
      </w:r>
      <w:r w:rsidR="00DB2DD9" w:rsidRPr="00850A3F">
        <w:rPr>
          <w:rFonts w:ascii="Verdana" w:hAnsi="Verdana"/>
          <w:sz w:val="18"/>
          <w:szCs w:val="18"/>
        </w:rPr>
        <w:t>[... procedeu]-se</w:t>
      </w:r>
      <w:r w:rsidRPr="00850A3F">
        <w:rPr>
          <w:rFonts w:ascii="Verdana" w:hAnsi="Verdana"/>
          <w:sz w:val="18"/>
          <w:szCs w:val="18"/>
        </w:rPr>
        <w:t xml:space="preserve"> a preparar um Projeto de Lei de Propriedade</w:t>
      </w:r>
      <w:r w:rsidR="002C6A59">
        <w:rPr>
          <w:rFonts w:ascii="Verdana" w:hAnsi="Verdana"/>
          <w:sz w:val="18"/>
          <w:szCs w:val="18"/>
        </w:rPr>
        <w:t xml:space="preserve"> </w:t>
      </w:r>
      <w:r w:rsidR="00F81BA0" w:rsidRPr="00850A3F">
        <w:rPr>
          <w:rFonts w:ascii="Verdana" w:hAnsi="Verdana"/>
          <w:sz w:val="18"/>
          <w:szCs w:val="18"/>
        </w:rPr>
        <w:t>Comunitária</w:t>
      </w:r>
      <w:r w:rsidRPr="00850A3F">
        <w:rPr>
          <w:rFonts w:ascii="Verdana" w:hAnsi="Verdana"/>
          <w:sz w:val="18"/>
          <w:szCs w:val="18"/>
        </w:rPr>
        <w:t xml:space="preserve"> Indígena que tem três componentes:</w:t>
      </w:r>
    </w:p>
    <w:p w:rsidR="000B3F97" w:rsidRPr="00850A3F" w:rsidRDefault="000B3F97" w:rsidP="000B3F97">
      <w:pPr>
        <w:ind w:left="720" w:right="702"/>
        <w:jc w:val="both"/>
        <w:rPr>
          <w:rFonts w:ascii="Verdana" w:hAnsi="Verdana"/>
          <w:sz w:val="18"/>
          <w:szCs w:val="18"/>
        </w:rPr>
      </w:pPr>
      <w:r w:rsidRPr="00850A3F">
        <w:rPr>
          <w:rFonts w:ascii="Verdana" w:hAnsi="Verdana"/>
          <w:sz w:val="18"/>
          <w:szCs w:val="18"/>
        </w:rPr>
        <w:t>1.</w:t>
      </w:r>
      <w:r w:rsidRPr="00850A3F">
        <w:rPr>
          <w:rFonts w:ascii="Verdana" w:hAnsi="Verdana"/>
          <w:sz w:val="18"/>
          <w:szCs w:val="18"/>
        </w:rPr>
        <w:tab/>
        <w:t>Estabelecer o relativo à acreditação das comunidades indígenas e de suas autoridades.</w:t>
      </w:r>
    </w:p>
    <w:p w:rsidR="000B3F97" w:rsidRPr="00850A3F" w:rsidRDefault="000B3F97" w:rsidP="000B3F97">
      <w:pPr>
        <w:ind w:left="720" w:right="702"/>
        <w:jc w:val="both"/>
        <w:rPr>
          <w:rFonts w:ascii="Verdana" w:hAnsi="Verdana"/>
          <w:sz w:val="18"/>
          <w:szCs w:val="18"/>
        </w:rPr>
      </w:pPr>
      <w:r w:rsidRPr="00850A3F">
        <w:rPr>
          <w:rFonts w:ascii="Verdana" w:hAnsi="Verdana"/>
          <w:sz w:val="18"/>
          <w:szCs w:val="18"/>
        </w:rPr>
        <w:t>2.</w:t>
      </w:r>
      <w:r w:rsidRPr="00850A3F">
        <w:rPr>
          <w:rFonts w:ascii="Verdana" w:hAnsi="Verdana"/>
          <w:sz w:val="18"/>
          <w:szCs w:val="18"/>
        </w:rPr>
        <w:tab/>
        <w:t>Proceder à delimitação e titulação das propriedades.</w:t>
      </w:r>
    </w:p>
    <w:p w:rsidR="007D1EB1" w:rsidRDefault="000B3F97" w:rsidP="00E93BA1">
      <w:pPr>
        <w:ind w:left="720" w:right="702"/>
        <w:jc w:val="both"/>
        <w:rPr>
          <w:rFonts w:ascii="Verdana" w:hAnsi="Verdana"/>
          <w:sz w:val="18"/>
          <w:szCs w:val="18"/>
        </w:rPr>
      </w:pPr>
      <w:r w:rsidRPr="00850A3F">
        <w:rPr>
          <w:rFonts w:ascii="Verdana" w:hAnsi="Verdana"/>
          <w:sz w:val="18"/>
          <w:szCs w:val="18"/>
        </w:rPr>
        <w:lastRenderedPageBreak/>
        <w:t>3.</w:t>
      </w:r>
      <w:r w:rsidRPr="00850A3F">
        <w:rPr>
          <w:rFonts w:ascii="Verdana" w:hAnsi="Verdana"/>
          <w:sz w:val="18"/>
          <w:szCs w:val="18"/>
        </w:rPr>
        <w:tab/>
      </w:r>
      <w:proofErr w:type="gramStart"/>
      <w:r w:rsidRPr="00850A3F">
        <w:rPr>
          <w:rFonts w:ascii="Verdana" w:hAnsi="Verdana"/>
          <w:sz w:val="18"/>
          <w:szCs w:val="18"/>
        </w:rPr>
        <w:t>Soluci[</w:t>
      </w:r>
      <w:proofErr w:type="gramEnd"/>
      <w:r w:rsidRPr="00850A3F">
        <w:rPr>
          <w:rFonts w:ascii="Verdana" w:hAnsi="Verdana"/>
          <w:sz w:val="18"/>
          <w:szCs w:val="18"/>
        </w:rPr>
        <w:t>onar o c]onflito.</w:t>
      </w:r>
    </w:p>
    <w:p w:rsidR="00850A3F" w:rsidRPr="00850A3F" w:rsidRDefault="00850A3F" w:rsidP="00E93BA1">
      <w:pPr>
        <w:ind w:left="720" w:right="702"/>
        <w:jc w:val="both"/>
        <w:rPr>
          <w:rFonts w:ascii="Verdana" w:hAnsi="Verdana"/>
          <w:sz w:val="18"/>
          <w:szCs w:val="18"/>
        </w:rPr>
      </w:pPr>
    </w:p>
    <w:p w:rsidR="000B3F97" w:rsidRPr="00850A3F" w:rsidRDefault="000B3F97" w:rsidP="000B3F97">
      <w:pPr>
        <w:ind w:left="720" w:right="702"/>
        <w:jc w:val="both"/>
        <w:rPr>
          <w:rFonts w:ascii="Verdana" w:hAnsi="Verdana"/>
          <w:sz w:val="18"/>
          <w:szCs w:val="18"/>
        </w:rPr>
      </w:pPr>
      <w:r w:rsidRPr="00850A3F">
        <w:rPr>
          <w:rFonts w:ascii="Verdana" w:hAnsi="Verdana"/>
          <w:sz w:val="18"/>
          <w:szCs w:val="18"/>
        </w:rPr>
        <w:t xml:space="preserve">Este projeto de lei pressupõe dar uma solução </w:t>
      </w:r>
      <w:r w:rsidR="00A20E65">
        <w:rPr>
          <w:rFonts w:ascii="Verdana" w:hAnsi="Verdana"/>
          <w:sz w:val="18"/>
          <w:szCs w:val="18"/>
        </w:rPr>
        <w:t>jurídica</w:t>
      </w:r>
      <w:r w:rsidRPr="00850A3F">
        <w:rPr>
          <w:rFonts w:ascii="Verdana" w:hAnsi="Verdana"/>
          <w:sz w:val="18"/>
          <w:szCs w:val="18"/>
        </w:rPr>
        <w:t xml:space="preserve"> </w:t>
      </w:r>
      <w:r w:rsidR="002A016A" w:rsidRPr="00850A3F">
        <w:rPr>
          <w:rFonts w:ascii="Verdana" w:hAnsi="Verdana"/>
          <w:sz w:val="18"/>
          <w:szCs w:val="18"/>
        </w:rPr>
        <w:t>à</w:t>
      </w:r>
      <w:r w:rsidRPr="00850A3F">
        <w:rPr>
          <w:rFonts w:ascii="Verdana" w:hAnsi="Verdana"/>
          <w:sz w:val="18"/>
          <w:szCs w:val="18"/>
        </w:rPr>
        <w:t xml:space="preserve"> propriedade indígena ou de minorias étnicas.</w:t>
      </w:r>
      <w:r w:rsidR="00850A3F">
        <w:rPr>
          <w:rFonts w:ascii="Verdana" w:hAnsi="Verdana"/>
          <w:sz w:val="18"/>
          <w:szCs w:val="18"/>
        </w:rPr>
        <w:t xml:space="preserve"> </w:t>
      </w:r>
      <w:r w:rsidR="002A016A" w:rsidRPr="00850A3F">
        <w:rPr>
          <w:rFonts w:ascii="Verdana" w:hAnsi="Verdana"/>
          <w:sz w:val="18"/>
          <w:szCs w:val="18"/>
        </w:rPr>
        <w:t>O r</w:t>
      </w:r>
      <w:r w:rsidRPr="00850A3F">
        <w:rPr>
          <w:rFonts w:ascii="Verdana" w:hAnsi="Verdana"/>
          <w:sz w:val="18"/>
          <w:szCs w:val="18"/>
        </w:rPr>
        <w:t>eferido projeto será consultado com a sociedade civil</w:t>
      </w:r>
      <w:r w:rsidR="009C4E56" w:rsidRPr="00850A3F">
        <w:rPr>
          <w:rFonts w:ascii="Verdana" w:hAnsi="Verdana"/>
          <w:sz w:val="18"/>
          <w:szCs w:val="18"/>
        </w:rPr>
        <w:t>,</w:t>
      </w:r>
      <w:r w:rsidRPr="00850A3F">
        <w:rPr>
          <w:rFonts w:ascii="Verdana" w:hAnsi="Verdana"/>
          <w:sz w:val="18"/>
          <w:szCs w:val="18"/>
        </w:rPr>
        <w:t xml:space="preserve"> e</w:t>
      </w:r>
      <w:r w:rsidR="009C4E56" w:rsidRPr="00850A3F">
        <w:rPr>
          <w:rFonts w:ascii="Verdana" w:hAnsi="Verdana"/>
          <w:sz w:val="18"/>
          <w:szCs w:val="18"/>
        </w:rPr>
        <w:t>,</w:t>
      </w:r>
      <w:r w:rsidR="00A20E65">
        <w:rPr>
          <w:rFonts w:ascii="Verdana" w:hAnsi="Verdana"/>
          <w:sz w:val="18"/>
          <w:szCs w:val="18"/>
        </w:rPr>
        <w:t xml:space="preserve"> uma vez consensu</w:t>
      </w:r>
      <w:r w:rsidRPr="00850A3F">
        <w:rPr>
          <w:rFonts w:ascii="Verdana" w:hAnsi="Verdana"/>
          <w:sz w:val="18"/>
          <w:szCs w:val="18"/>
        </w:rPr>
        <w:t>ado</w:t>
      </w:r>
      <w:r w:rsidR="009C4E56" w:rsidRPr="00850A3F">
        <w:rPr>
          <w:rFonts w:ascii="Verdana" w:hAnsi="Verdana"/>
          <w:sz w:val="18"/>
          <w:szCs w:val="18"/>
        </w:rPr>
        <w:t>,</w:t>
      </w:r>
      <w:r w:rsidRPr="00850A3F">
        <w:rPr>
          <w:rFonts w:ascii="Verdana" w:hAnsi="Verdana"/>
          <w:sz w:val="18"/>
          <w:szCs w:val="18"/>
        </w:rPr>
        <w:t xml:space="preserve"> será apresentado à Assembleia Nacional para sua discussão e posterior aprovação.</w:t>
      </w:r>
      <w:r w:rsidR="00850A3F">
        <w:rPr>
          <w:rFonts w:ascii="Verdana" w:hAnsi="Verdana"/>
          <w:sz w:val="18"/>
          <w:szCs w:val="18"/>
        </w:rPr>
        <w:t xml:space="preserve"> </w:t>
      </w:r>
      <w:r w:rsidRPr="00850A3F">
        <w:rPr>
          <w:rFonts w:ascii="Verdana" w:hAnsi="Verdana"/>
          <w:sz w:val="18"/>
          <w:szCs w:val="18"/>
        </w:rPr>
        <w:t xml:space="preserve">O prazo </w:t>
      </w:r>
      <w:r w:rsidR="00E93BA1" w:rsidRPr="00850A3F">
        <w:rPr>
          <w:rFonts w:ascii="Verdana" w:hAnsi="Verdana"/>
          <w:sz w:val="18"/>
          <w:szCs w:val="18"/>
        </w:rPr>
        <w:t>aproximado</w:t>
      </w:r>
      <w:r w:rsidR="00A20E65">
        <w:rPr>
          <w:rFonts w:ascii="Verdana" w:hAnsi="Verdana"/>
          <w:sz w:val="18"/>
          <w:szCs w:val="18"/>
        </w:rPr>
        <w:t xml:space="preserve"> para todo este processo é de</w:t>
      </w:r>
      <w:r w:rsidR="003B037A" w:rsidRPr="00850A3F">
        <w:rPr>
          <w:rFonts w:ascii="Verdana" w:hAnsi="Verdana"/>
          <w:sz w:val="18"/>
          <w:szCs w:val="18"/>
        </w:rPr>
        <w:t xml:space="preserve"> cerca de</w:t>
      </w:r>
      <w:r w:rsidR="009C4E56" w:rsidRPr="00850A3F">
        <w:rPr>
          <w:rFonts w:ascii="Verdana" w:hAnsi="Verdana"/>
          <w:sz w:val="18"/>
          <w:szCs w:val="18"/>
        </w:rPr>
        <w:t xml:space="preserve"> </w:t>
      </w:r>
      <w:r w:rsidR="00850A3F">
        <w:rPr>
          <w:rFonts w:ascii="Verdana" w:hAnsi="Verdana"/>
          <w:sz w:val="18"/>
          <w:szCs w:val="18"/>
        </w:rPr>
        <w:t>três</w:t>
      </w:r>
      <w:r w:rsidR="009C4E56" w:rsidRPr="00850A3F">
        <w:rPr>
          <w:rFonts w:ascii="Verdana" w:hAnsi="Verdana"/>
          <w:sz w:val="18"/>
          <w:szCs w:val="18"/>
        </w:rPr>
        <w:t xml:space="preserve"> meses</w:t>
      </w:r>
      <w:r w:rsidR="00850A3F">
        <w:rPr>
          <w:rFonts w:ascii="Verdana" w:hAnsi="Verdana"/>
          <w:sz w:val="18"/>
          <w:szCs w:val="18"/>
        </w:rPr>
        <w:t xml:space="preserve"> </w:t>
      </w:r>
      <w:r w:rsidRPr="00850A3F">
        <w:rPr>
          <w:rFonts w:ascii="Verdana" w:hAnsi="Verdana"/>
          <w:sz w:val="18"/>
          <w:szCs w:val="18"/>
        </w:rPr>
        <w:t>a partir desta data.</w:t>
      </w:r>
    </w:p>
    <w:p w:rsidR="000B3F97" w:rsidRPr="00850A3F" w:rsidRDefault="000B3F97" w:rsidP="000B3F97">
      <w:pPr>
        <w:ind w:right="702"/>
        <w:jc w:val="both"/>
        <w:rPr>
          <w:rFonts w:ascii="Verdana" w:hAnsi="Verdana"/>
          <w:sz w:val="18"/>
          <w:szCs w:val="18"/>
        </w:rPr>
      </w:pPr>
    </w:p>
    <w:p w:rsidR="000B3F97" w:rsidRPr="00850A3F" w:rsidRDefault="000B3F97" w:rsidP="000B3F97">
      <w:pPr>
        <w:ind w:left="720" w:right="702"/>
        <w:jc w:val="both"/>
        <w:rPr>
          <w:rFonts w:ascii="Verdana" w:hAnsi="Verdana"/>
          <w:sz w:val="18"/>
          <w:szCs w:val="18"/>
        </w:rPr>
      </w:pPr>
      <w:proofErr w:type="gramStart"/>
      <w:r w:rsidRPr="00850A3F">
        <w:rPr>
          <w:rFonts w:ascii="Verdana" w:hAnsi="Verdana"/>
          <w:sz w:val="18"/>
          <w:szCs w:val="18"/>
        </w:rPr>
        <w:t>b</w:t>
      </w:r>
      <w:r w:rsidR="00C60678" w:rsidRPr="00C60678">
        <w:rPr>
          <w:rFonts w:ascii="Verdana" w:hAnsi="Verdana"/>
          <w:sz w:val="18"/>
          <w:szCs w:val="18"/>
        </w:rPr>
        <w:t>)</w:t>
      </w:r>
      <w:proofErr w:type="gramEnd"/>
      <w:r w:rsidRPr="00850A3F">
        <w:rPr>
          <w:rFonts w:ascii="Verdana" w:hAnsi="Verdana"/>
          <w:sz w:val="18"/>
          <w:szCs w:val="18"/>
        </w:rPr>
        <w:tab/>
        <w:t xml:space="preserve">Em relação à recomendação de suspender toda atividade relativa à concessão madeireira </w:t>
      </w:r>
      <w:r w:rsidR="002A016A" w:rsidRPr="00850A3F">
        <w:rPr>
          <w:rFonts w:ascii="Verdana" w:hAnsi="Verdana"/>
          <w:sz w:val="18"/>
          <w:szCs w:val="18"/>
        </w:rPr>
        <w:t>outorgada</w:t>
      </w:r>
      <w:r w:rsidR="00850A3F">
        <w:rPr>
          <w:rFonts w:ascii="Verdana" w:hAnsi="Verdana"/>
          <w:sz w:val="18"/>
          <w:szCs w:val="18"/>
        </w:rPr>
        <w:t xml:space="preserve"> </w:t>
      </w:r>
      <w:r w:rsidR="007D1EB1" w:rsidRPr="00850A3F">
        <w:rPr>
          <w:rFonts w:ascii="Verdana" w:hAnsi="Verdana"/>
          <w:sz w:val="18"/>
          <w:szCs w:val="18"/>
        </w:rPr>
        <w:t>à</w:t>
      </w:r>
      <w:r w:rsidRPr="00850A3F">
        <w:rPr>
          <w:rFonts w:ascii="Verdana" w:hAnsi="Verdana"/>
          <w:sz w:val="18"/>
          <w:szCs w:val="18"/>
        </w:rPr>
        <w:t xml:space="preserve"> SOLCARSA e cumprir a sentença da Corte Suprema de Justiça, o Governo da Nicarágua cancelou </w:t>
      </w:r>
      <w:r w:rsidR="002A016A" w:rsidRPr="00850A3F">
        <w:rPr>
          <w:rFonts w:ascii="Verdana" w:hAnsi="Verdana"/>
          <w:sz w:val="18"/>
          <w:szCs w:val="18"/>
        </w:rPr>
        <w:t xml:space="preserve">esta concessão </w:t>
      </w:r>
      <w:r w:rsidRPr="00850A3F">
        <w:rPr>
          <w:rFonts w:ascii="Verdana" w:hAnsi="Verdana"/>
          <w:sz w:val="18"/>
          <w:szCs w:val="18"/>
        </w:rPr>
        <w:t>em 16 de fevereiro de 1998 e no mesmo dia</w:t>
      </w:r>
      <w:r w:rsidR="00DF416D" w:rsidRPr="00850A3F">
        <w:rPr>
          <w:rFonts w:ascii="Verdana" w:hAnsi="Verdana"/>
          <w:sz w:val="18"/>
          <w:szCs w:val="18"/>
        </w:rPr>
        <w:t xml:space="preserve"> notificou</w:t>
      </w:r>
      <w:r w:rsidRPr="00850A3F">
        <w:rPr>
          <w:rFonts w:ascii="Verdana" w:hAnsi="Verdana"/>
          <w:sz w:val="18"/>
          <w:szCs w:val="18"/>
        </w:rPr>
        <w:t xml:space="preserve"> o Senhor Michael Kang, Gerente Geral d</w:t>
      </w:r>
      <w:r w:rsidR="007D1EB1" w:rsidRPr="00850A3F">
        <w:rPr>
          <w:rFonts w:ascii="Verdana" w:hAnsi="Verdana"/>
          <w:sz w:val="18"/>
          <w:szCs w:val="18"/>
        </w:rPr>
        <w:t>a</w:t>
      </w:r>
      <w:r w:rsidRPr="00850A3F">
        <w:rPr>
          <w:rFonts w:ascii="Verdana" w:hAnsi="Verdana"/>
          <w:sz w:val="18"/>
          <w:szCs w:val="18"/>
        </w:rPr>
        <w:t xml:space="preserve"> SOLCARSA[,] que a partir dessa data a concessão </w:t>
      </w:r>
      <w:r w:rsidR="002A016A" w:rsidRPr="00850A3F">
        <w:rPr>
          <w:rFonts w:ascii="Verdana" w:hAnsi="Verdana"/>
          <w:sz w:val="18"/>
          <w:szCs w:val="18"/>
        </w:rPr>
        <w:t xml:space="preserve">se tornava </w:t>
      </w:r>
      <w:r w:rsidRPr="00850A3F">
        <w:rPr>
          <w:rFonts w:ascii="Verdana" w:hAnsi="Verdana"/>
          <w:sz w:val="18"/>
          <w:szCs w:val="18"/>
        </w:rPr>
        <w:t>sem efeito e sem nenhum valor.</w:t>
      </w:r>
      <w:r w:rsidR="00850A3F">
        <w:rPr>
          <w:rFonts w:ascii="Verdana" w:hAnsi="Verdana"/>
          <w:sz w:val="18"/>
          <w:szCs w:val="18"/>
        </w:rPr>
        <w:t xml:space="preserve"> </w:t>
      </w:r>
      <w:r w:rsidRPr="00850A3F">
        <w:rPr>
          <w:rFonts w:ascii="Verdana" w:hAnsi="Verdana"/>
          <w:sz w:val="18"/>
          <w:szCs w:val="18"/>
        </w:rPr>
        <w:t>Igualmente, foi comunicado que ordena</w:t>
      </w:r>
      <w:r w:rsidR="00493BA4" w:rsidRPr="00850A3F">
        <w:rPr>
          <w:rFonts w:ascii="Verdana" w:hAnsi="Verdana"/>
          <w:sz w:val="18"/>
          <w:szCs w:val="18"/>
        </w:rPr>
        <w:t>sse</w:t>
      </w:r>
      <w:r w:rsidRPr="00850A3F">
        <w:rPr>
          <w:rFonts w:ascii="Verdana" w:hAnsi="Verdana"/>
          <w:sz w:val="18"/>
          <w:szCs w:val="18"/>
        </w:rPr>
        <w:t xml:space="preserve"> a suspensão de toda ação, </w:t>
      </w:r>
      <w:proofErr w:type="gramStart"/>
      <w:r w:rsidRPr="00850A3F">
        <w:rPr>
          <w:rFonts w:ascii="Verdana" w:hAnsi="Verdana"/>
          <w:sz w:val="18"/>
          <w:szCs w:val="18"/>
        </w:rPr>
        <w:t xml:space="preserve">sob </w:t>
      </w:r>
      <w:r w:rsidR="002A016A" w:rsidRPr="00850A3F">
        <w:rPr>
          <w:rFonts w:ascii="Verdana" w:hAnsi="Verdana"/>
          <w:sz w:val="18"/>
          <w:szCs w:val="18"/>
        </w:rPr>
        <w:t>pena</w:t>
      </w:r>
      <w:proofErr w:type="gramEnd"/>
      <w:r w:rsidR="002A016A" w:rsidRPr="00850A3F">
        <w:rPr>
          <w:rFonts w:ascii="Verdana" w:hAnsi="Verdana"/>
          <w:sz w:val="18"/>
          <w:szCs w:val="18"/>
        </w:rPr>
        <w:t xml:space="preserve"> </w:t>
      </w:r>
      <w:r w:rsidRPr="00850A3F">
        <w:rPr>
          <w:rFonts w:ascii="Verdana" w:hAnsi="Verdana"/>
          <w:sz w:val="18"/>
          <w:szCs w:val="18"/>
        </w:rPr>
        <w:t xml:space="preserve">de violar o artigo 167 da Constituição Política e </w:t>
      </w:r>
      <w:r w:rsidR="00624DF5" w:rsidRPr="00850A3F">
        <w:rPr>
          <w:rFonts w:ascii="Verdana" w:hAnsi="Verdana"/>
          <w:sz w:val="18"/>
          <w:szCs w:val="18"/>
        </w:rPr>
        <w:t>se fazer</w:t>
      </w:r>
      <w:r w:rsidRPr="00850A3F">
        <w:rPr>
          <w:rFonts w:ascii="Verdana" w:hAnsi="Verdana"/>
          <w:sz w:val="18"/>
          <w:szCs w:val="18"/>
        </w:rPr>
        <w:t xml:space="preserve"> merecedor de interpor </w:t>
      </w:r>
      <w:r w:rsidR="00493BA4" w:rsidRPr="00850A3F">
        <w:rPr>
          <w:rFonts w:ascii="Verdana" w:hAnsi="Verdana"/>
          <w:sz w:val="18"/>
          <w:szCs w:val="18"/>
        </w:rPr>
        <w:t>contra si</w:t>
      </w:r>
      <w:r w:rsidRPr="00850A3F">
        <w:rPr>
          <w:rFonts w:ascii="Verdana" w:hAnsi="Verdana"/>
          <w:sz w:val="18"/>
          <w:szCs w:val="18"/>
        </w:rPr>
        <w:t xml:space="preserve"> indistintamente a ação civil e penal.</w:t>
      </w:r>
    </w:p>
    <w:p w:rsidR="000B3F97" w:rsidRPr="00850A3F" w:rsidRDefault="000B3F97" w:rsidP="000B3F97">
      <w:pPr>
        <w:ind w:left="720" w:right="702"/>
        <w:jc w:val="both"/>
        <w:rPr>
          <w:rFonts w:ascii="Verdana" w:hAnsi="Verdana"/>
          <w:sz w:val="18"/>
          <w:szCs w:val="18"/>
        </w:rPr>
      </w:pPr>
    </w:p>
    <w:p w:rsidR="000B3F97" w:rsidRPr="00850A3F" w:rsidRDefault="000B3F97" w:rsidP="000B3F97">
      <w:pPr>
        <w:ind w:left="720" w:right="702"/>
        <w:jc w:val="both"/>
        <w:rPr>
          <w:rFonts w:ascii="Verdana" w:hAnsi="Verdana"/>
          <w:sz w:val="18"/>
          <w:szCs w:val="18"/>
        </w:rPr>
      </w:pPr>
      <w:proofErr w:type="gramStart"/>
      <w:r w:rsidRPr="00850A3F">
        <w:rPr>
          <w:rFonts w:ascii="Verdana" w:hAnsi="Verdana"/>
          <w:sz w:val="18"/>
          <w:szCs w:val="18"/>
        </w:rPr>
        <w:t>c</w:t>
      </w:r>
      <w:r w:rsidR="00C60678" w:rsidRPr="00C60678">
        <w:rPr>
          <w:rFonts w:ascii="Verdana" w:hAnsi="Verdana"/>
          <w:sz w:val="18"/>
          <w:szCs w:val="18"/>
        </w:rPr>
        <w:t>)</w:t>
      </w:r>
      <w:proofErr w:type="gramEnd"/>
      <w:r w:rsidRPr="00850A3F">
        <w:rPr>
          <w:rFonts w:ascii="Verdana" w:hAnsi="Verdana"/>
          <w:sz w:val="18"/>
          <w:szCs w:val="18"/>
        </w:rPr>
        <w:tab/>
        <w:t xml:space="preserve">A respeito da recomendação de iniciar um diálogo com a [C]omunidade de Awas Tingni, o Governo da Nicarágua tem a firme vontade de dar uma solução global a todas as comunidades indígenas da [C]osta [A]tlântica, no contexto do projeto de lei de propriedade </w:t>
      </w:r>
      <w:r w:rsidR="00B35357" w:rsidRPr="00850A3F">
        <w:rPr>
          <w:rFonts w:ascii="Verdana" w:hAnsi="Verdana"/>
          <w:sz w:val="18"/>
          <w:szCs w:val="18"/>
        </w:rPr>
        <w:t>comunitária</w:t>
      </w:r>
      <w:r w:rsidRPr="00850A3F">
        <w:rPr>
          <w:rFonts w:ascii="Verdana" w:hAnsi="Verdana"/>
          <w:sz w:val="18"/>
          <w:szCs w:val="18"/>
        </w:rPr>
        <w:t>, para o qual será feita também uma ampla consulta com estas comunidades.</w:t>
      </w:r>
    </w:p>
    <w:p w:rsidR="000B3F97" w:rsidRPr="00BD40F0" w:rsidRDefault="000B3F97" w:rsidP="000B3F97">
      <w:pPr>
        <w:ind w:right="702"/>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27.</w:t>
      </w:r>
      <w:r w:rsidRPr="00BD40F0">
        <w:rPr>
          <w:rFonts w:ascii="Verdana" w:hAnsi="Verdana"/>
          <w:sz w:val="20"/>
        </w:rPr>
        <w:tab/>
        <w:t xml:space="preserve">Em relação </w:t>
      </w:r>
      <w:r w:rsidR="002A016A">
        <w:rPr>
          <w:rFonts w:ascii="Verdana" w:hAnsi="Verdana"/>
          <w:sz w:val="20"/>
        </w:rPr>
        <w:t>à</w:t>
      </w:r>
      <w:r w:rsidRPr="00BD40F0">
        <w:rPr>
          <w:rFonts w:ascii="Verdana" w:hAnsi="Verdana"/>
          <w:sz w:val="20"/>
        </w:rPr>
        <w:t>s conclusões contidas no Relatório</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BD40F0">
        <w:rPr>
          <w:rFonts w:ascii="Verdana" w:hAnsi="Verdana"/>
          <w:sz w:val="20"/>
        </w:rPr>
        <w:t>27/98, o Estado nicaraguense expressou seu reconhecimento dos direitos das comunidades indígenas, consagrados em sua Constituição</w:t>
      </w:r>
      <w:r w:rsidR="00C265B6">
        <w:rPr>
          <w:rFonts w:ascii="Verdana" w:hAnsi="Verdana"/>
          <w:sz w:val="20"/>
        </w:rPr>
        <w:t>,</w:t>
      </w:r>
      <w:r w:rsidRPr="00BD40F0">
        <w:rPr>
          <w:rFonts w:ascii="Verdana" w:hAnsi="Verdana"/>
          <w:sz w:val="20"/>
        </w:rPr>
        <w:t xml:space="preserve"> e outras normas legislativas.</w:t>
      </w:r>
      <w:r w:rsidR="00850A3F">
        <w:rPr>
          <w:rFonts w:ascii="Verdana" w:hAnsi="Verdana"/>
          <w:sz w:val="20"/>
        </w:rPr>
        <w:t xml:space="preserve"> </w:t>
      </w:r>
      <w:r w:rsidRPr="00BD40F0">
        <w:rPr>
          <w:rFonts w:ascii="Verdana" w:hAnsi="Verdana"/>
          <w:sz w:val="20"/>
        </w:rPr>
        <w:t xml:space="preserve">Ademais, indicou </w:t>
      </w:r>
      <w:proofErr w:type="gramStart"/>
      <w:r w:rsidRPr="00BD40F0">
        <w:rPr>
          <w:rFonts w:ascii="Verdana" w:hAnsi="Verdana"/>
          <w:sz w:val="20"/>
        </w:rPr>
        <w:t>que</w:t>
      </w:r>
      <w:proofErr w:type="gramEnd"/>
    </w:p>
    <w:p w:rsidR="000B3F97" w:rsidRPr="00BD40F0" w:rsidRDefault="000B3F97" w:rsidP="000B3F97">
      <w:pPr>
        <w:jc w:val="both"/>
        <w:rPr>
          <w:rFonts w:ascii="Verdana" w:hAnsi="Verdana"/>
          <w:sz w:val="20"/>
        </w:rPr>
      </w:pPr>
    </w:p>
    <w:p w:rsidR="000B3F97" w:rsidRPr="00850A3F" w:rsidRDefault="000B3F97" w:rsidP="000B3F97">
      <w:pPr>
        <w:ind w:left="720" w:right="702"/>
        <w:jc w:val="both"/>
        <w:rPr>
          <w:rFonts w:ascii="Verdana" w:hAnsi="Verdana"/>
          <w:sz w:val="18"/>
          <w:szCs w:val="18"/>
        </w:rPr>
      </w:pPr>
      <w:proofErr w:type="gramStart"/>
      <w:r w:rsidRPr="00850A3F">
        <w:rPr>
          <w:rFonts w:ascii="Verdana" w:hAnsi="Verdana"/>
          <w:sz w:val="18"/>
          <w:szCs w:val="18"/>
        </w:rPr>
        <w:t>deu</w:t>
      </w:r>
      <w:proofErr w:type="gramEnd"/>
      <w:r w:rsidRPr="00850A3F">
        <w:rPr>
          <w:rFonts w:ascii="Verdana" w:hAnsi="Verdana"/>
          <w:sz w:val="18"/>
          <w:szCs w:val="18"/>
        </w:rPr>
        <w:t xml:space="preserve"> fiel cumprimento às anteriores disposições legais, e portanto, sua atuação foi conforme o ordenamento jurídico nacional e o que estabelecem as normas e procedimentos da Convenção [Americana sobre] Direitos Humanos.</w:t>
      </w:r>
      <w:r w:rsidR="00850A3F">
        <w:rPr>
          <w:rFonts w:ascii="Verdana" w:hAnsi="Verdana"/>
          <w:sz w:val="18"/>
          <w:szCs w:val="18"/>
        </w:rPr>
        <w:t xml:space="preserve"> </w:t>
      </w:r>
      <w:r w:rsidRPr="00850A3F">
        <w:rPr>
          <w:rFonts w:ascii="Verdana" w:hAnsi="Verdana"/>
          <w:sz w:val="18"/>
          <w:szCs w:val="18"/>
        </w:rPr>
        <w:t>Por sua vez, a Comunidade de Awas Tingni exerceu seus direitos consignados na lei e teve acesso aos recursos que a mesma lhe confere.</w:t>
      </w:r>
      <w:r w:rsidR="002C6A59">
        <w:rPr>
          <w:rFonts w:ascii="Verdana" w:hAnsi="Verdana"/>
          <w:sz w:val="18"/>
          <w:szCs w:val="18"/>
        </w:rPr>
        <w:t xml:space="preserve"> </w:t>
      </w:r>
    </w:p>
    <w:p w:rsidR="000B3F97" w:rsidRPr="00BD40F0" w:rsidRDefault="000B3F97" w:rsidP="000B3F97">
      <w:pPr>
        <w:ind w:left="720" w:right="702"/>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Finalmente, a Nicarágua solicitou à Comissão Interamericana que de</w:t>
      </w:r>
      <w:r w:rsidR="00174E65">
        <w:rPr>
          <w:rFonts w:ascii="Verdana" w:hAnsi="Verdana"/>
          <w:sz w:val="20"/>
        </w:rPr>
        <w:t>sse</w:t>
      </w:r>
      <w:r w:rsidRPr="00BD40F0">
        <w:rPr>
          <w:rFonts w:ascii="Verdana" w:hAnsi="Verdana"/>
          <w:sz w:val="20"/>
        </w:rPr>
        <w:t xml:space="preserve"> por concluído o presente caso.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28.</w:t>
      </w:r>
      <w:r w:rsidRPr="00BD40F0">
        <w:rPr>
          <w:rFonts w:ascii="Verdana" w:hAnsi="Verdana"/>
          <w:sz w:val="20"/>
        </w:rPr>
        <w:tab/>
        <w:t>Em 28 de maio de 1998, a Comissão decidiu apresentar o caso perante a Corte.</w:t>
      </w:r>
    </w:p>
    <w:p w:rsidR="000B3F97" w:rsidRPr="00BD40F0" w:rsidRDefault="000B3F97" w:rsidP="000B3F97">
      <w:pPr>
        <w:jc w:val="both"/>
        <w:rPr>
          <w:rFonts w:ascii="Verdana" w:hAnsi="Verdana"/>
          <w:b/>
          <w:caps/>
          <w:sz w:val="20"/>
        </w:rPr>
      </w:pPr>
    </w:p>
    <w:p w:rsidR="000B3F97" w:rsidRPr="00BD40F0" w:rsidRDefault="000B3F97" w:rsidP="000B3F97">
      <w:pPr>
        <w:jc w:val="center"/>
        <w:rPr>
          <w:rFonts w:ascii="Verdana" w:hAnsi="Verdana"/>
          <w:b/>
          <w:caps/>
          <w:sz w:val="20"/>
        </w:rPr>
      </w:pPr>
      <w:r w:rsidRPr="00BD40F0">
        <w:rPr>
          <w:rFonts w:ascii="Verdana" w:hAnsi="Verdana"/>
          <w:b/>
          <w:caps/>
          <w:sz w:val="20"/>
        </w:rPr>
        <w:t>IV</w:t>
      </w:r>
    </w:p>
    <w:p w:rsidR="000B3F97" w:rsidRPr="00BD40F0" w:rsidRDefault="000B3F97" w:rsidP="000B3F97">
      <w:pPr>
        <w:jc w:val="center"/>
        <w:rPr>
          <w:rFonts w:ascii="Verdana" w:hAnsi="Verdana"/>
          <w:b/>
          <w:caps/>
          <w:sz w:val="20"/>
        </w:rPr>
      </w:pPr>
      <w:r w:rsidRPr="00BD40F0">
        <w:rPr>
          <w:rFonts w:ascii="Verdana" w:hAnsi="Verdana"/>
          <w:b/>
          <w:caps/>
          <w:sz w:val="20"/>
        </w:rPr>
        <w:t>Procedimento PERAnte a Corte</w:t>
      </w:r>
    </w:p>
    <w:p w:rsidR="000B3F97" w:rsidRPr="00BD40F0" w:rsidRDefault="000B3F97" w:rsidP="000B3F97">
      <w:pPr>
        <w:jc w:val="center"/>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29.</w:t>
      </w:r>
      <w:r w:rsidRPr="00BD40F0">
        <w:rPr>
          <w:rFonts w:ascii="Verdana" w:hAnsi="Verdana"/>
          <w:sz w:val="20"/>
        </w:rPr>
        <w:tab/>
        <w:t xml:space="preserve">A Comissão apresentou a demanda perante a Corte em </w:t>
      </w:r>
      <w:proofErr w:type="gramStart"/>
      <w:r w:rsidRPr="00BD40F0">
        <w:rPr>
          <w:rFonts w:ascii="Verdana" w:hAnsi="Verdana"/>
          <w:sz w:val="20"/>
        </w:rPr>
        <w:t>4</w:t>
      </w:r>
      <w:proofErr w:type="gramEnd"/>
      <w:r w:rsidRPr="00BD40F0">
        <w:rPr>
          <w:rFonts w:ascii="Verdana" w:hAnsi="Verdana"/>
          <w:sz w:val="20"/>
        </w:rPr>
        <w:t xml:space="preserve"> de junho de 1998.</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30.</w:t>
      </w:r>
      <w:r w:rsidRPr="00BD40F0">
        <w:rPr>
          <w:rFonts w:ascii="Verdana" w:hAnsi="Verdana"/>
          <w:sz w:val="20"/>
        </w:rPr>
        <w:tab/>
        <w:t xml:space="preserve">A Comissão designou </w:t>
      </w:r>
      <w:r w:rsidR="009F18E7">
        <w:rPr>
          <w:rFonts w:ascii="Verdana" w:hAnsi="Verdana"/>
          <w:sz w:val="20"/>
        </w:rPr>
        <w:t xml:space="preserve">como </w:t>
      </w:r>
      <w:r w:rsidRPr="00BD40F0">
        <w:rPr>
          <w:rFonts w:ascii="Verdana" w:hAnsi="Verdana"/>
          <w:sz w:val="20"/>
        </w:rPr>
        <w:t xml:space="preserve">delegados, os senhores Claudio Grossman e Hélio Bicudo; </w:t>
      </w:r>
      <w:r w:rsidR="009F18E7">
        <w:rPr>
          <w:rFonts w:ascii="Verdana" w:hAnsi="Verdana"/>
          <w:sz w:val="20"/>
        </w:rPr>
        <w:t xml:space="preserve">como </w:t>
      </w:r>
      <w:r w:rsidRPr="00BD40F0">
        <w:rPr>
          <w:rFonts w:ascii="Verdana" w:hAnsi="Verdana"/>
          <w:sz w:val="20"/>
        </w:rPr>
        <w:t xml:space="preserve">assessores jurídicos, os senhores David Padilla, Hernando Valencia e Bertha Santoscoy, e </w:t>
      </w:r>
      <w:r w:rsidR="009F18E7">
        <w:rPr>
          <w:rFonts w:ascii="Verdana" w:hAnsi="Verdana"/>
          <w:sz w:val="20"/>
        </w:rPr>
        <w:t xml:space="preserve">como </w:t>
      </w:r>
      <w:r w:rsidRPr="00BD40F0">
        <w:rPr>
          <w:rFonts w:ascii="Verdana" w:hAnsi="Verdana"/>
          <w:sz w:val="20"/>
        </w:rPr>
        <w:t xml:space="preserve">assistentes, os senhores James Anaya, Todd Crider e María Luisa Acosta Castellón.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31.</w:t>
      </w:r>
      <w:r w:rsidRPr="00BD40F0">
        <w:rPr>
          <w:rFonts w:ascii="Verdana" w:hAnsi="Verdana"/>
          <w:sz w:val="20"/>
        </w:rPr>
        <w:tab/>
        <w:t xml:space="preserve">Em 19 de junho de 1998, a Secretaria da Corte </w:t>
      </w:r>
      <w:r w:rsidR="00C60678" w:rsidRPr="00C60678">
        <w:rPr>
          <w:rFonts w:ascii="Verdana" w:hAnsi="Verdana"/>
          <w:sz w:val="20"/>
        </w:rPr>
        <w:t>(</w:t>
      </w:r>
      <w:r w:rsidRPr="00BD40F0">
        <w:rPr>
          <w:rFonts w:ascii="Verdana" w:hAnsi="Verdana"/>
          <w:sz w:val="20"/>
        </w:rPr>
        <w:t xml:space="preserve">doravante </w:t>
      </w:r>
      <w:r w:rsidR="00DD7D69">
        <w:rPr>
          <w:rFonts w:ascii="Verdana" w:hAnsi="Verdana"/>
          <w:sz w:val="20"/>
        </w:rPr>
        <w:t xml:space="preserve">denominada </w:t>
      </w:r>
      <w:r w:rsidRPr="00BD40F0">
        <w:rPr>
          <w:rFonts w:ascii="Verdana" w:hAnsi="Verdana"/>
          <w:sz w:val="20"/>
        </w:rPr>
        <w:t>“a Secretaria”</w:t>
      </w:r>
      <w:r w:rsidR="00C60678" w:rsidRPr="00C60678">
        <w:rPr>
          <w:rFonts w:ascii="Verdana" w:hAnsi="Verdana"/>
          <w:sz w:val="20"/>
        </w:rPr>
        <w:t>)</w:t>
      </w:r>
      <w:r w:rsidRPr="00BD40F0">
        <w:rPr>
          <w:rFonts w:ascii="Verdana" w:hAnsi="Verdana"/>
          <w:sz w:val="20"/>
        </w:rPr>
        <w:t xml:space="preserve">, </w:t>
      </w:r>
      <w:r w:rsidR="00A20E65">
        <w:rPr>
          <w:rFonts w:ascii="Verdana" w:hAnsi="Verdana"/>
          <w:sz w:val="20"/>
        </w:rPr>
        <w:t>após um</w:t>
      </w:r>
      <w:r w:rsidR="009F18E7">
        <w:rPr>
          <w:rFonts w:ascii="Verdana" w:hAnsi="Verdana"/>
          <w:sz w:val="20"/>
        </w:rPr>
        <w:t xml:space="preserve"> </w:t>
      </w:r>
      <w:r w:rsidRPr="00BD40F0">
        <w:rPr>
          <w:rFonts w:ascii="Verdana" w:hAnsi="Verdana"/>
          <w:sz w:val="20"/>
        </w:rPr>
        <w:t xml:space="preserve">exame preliminar da demanda realizado pelo Presidente da Corte </w:t>
      </w:r>
      <w:r w:rsidR="00C60678" w:rsidRPr="00C60678">
        <w:rPr>
          <w:rFonts w:ascii="Verdana" w:hAnsi="Verdana"/>
          <w:sz w:val="20"/>
        </w:rPr>
        <w:t>(</w:t>
      </w:r>
      <w:r w:rsidRPr="00BD40F0">
        <w:rPr>
          <w:rFonts w:ascii="Verdana" w:hAnsi="Verdana"/>
          <w:sz w:val="20"/>
        </w:rPr>
        <w:t>doravante</w:t>
      </w:r>
      <w:r w:rsidR="00DD7D69">
        <w:rPr>
          <w:rFonts w:ascii="Verdana" w:hAnsi="Verdana"/>
          <w:sz w:val="20"/>
        </w:rPr>
        <w:t xml:space="preserve"> denominado</w:t>
      </w:r>
      <w:r w:rsidRPr="00BD40F0">
        <w:rPr>
          <w:rFonts w:ascii="Verdana" w:hAnsi="Verdana"/>
          <w:sz w:val="20"/>
        </w:rPr>
        <w:t xml:space="preserve"> “o Presidente”</w:t>
      </w:r>
      <w:r w:rsidR="00C60678" w:rsidRPr="00C60678">
        <w:rPr>
          <w:rFonts w:ascii="Verdana" w:hAnsi="Verdana"/>
          <w:sz w:val="20"/>
        </w:rPr>
        <w:t>)</w:t>
      </w:r>
      <w:r w:rsidRPr="00BD40F0">
        <w:rPr>
          <w:rFonts w:ascii="Verdana" w:hAnsi="Verdana"/>
          <w:sz w:val="20"/>
        </w:rPr>
        <w:t xml:space="preserve">, a notificou ao </w:t>
      </w:r>
      <w:r w:rsidRPr="00DF416D">
        <w:rPr>
          <w:rFonts w:ascii="Verdana" w:hAnsi="Verdana"/>
          <w:sz w:val="20"/>
        </w:rPr>
        <w:t>Estado informando-lhe</w:t>
      </w:r>
      <w:r w:rsidRPr="00BD40F0">
        <w:rPr>
          <w:rFonts w:ascii="Verdana" w:hAnsi="Verdana"/>
          <w:sz w:val="20"/>
        </w:rPr>
        <w:t xml:space="preserve"> igualmente sobre os prazos </w:t>
      </w:r>
      <w:r w:rsidRPr="00DF416D">
        <w:rPr>
          <w:rFonts w:ascii="Verdana" w:hAnsi="Verdana"/>
          <w:sz w:val="20"/>
        </w:rPr>
        <w:t>para contestá-la,</w:t>
      </w:r>
      <w:r w:rsidRPr="00BD40F0">
        <w:rPr>
          <w:rFonts w:ascii="Verdana" w:hAnsi="Verdana"/>
          <w:sz w:val="20"/>
        </w:rPr>
        <w:t xml:space="preserve"> opor exceções preliminares e nomear sua representação.</w:t>
      </w:r>
      <w:r w:rsidR="00850A3F">
        <w:rPr>
          <w:rFonts w:ascii="Verdana" w:hAnsi="Verdana"/>
          <w:sz w:val="20"/>
        </w:rPr>
        <w:t xml:space="preserve"> </w:t>
      </w:r>
      <w:r w:rsidR="000931BE">
        <w:rPr>
          <w:rFonts w:ascii="Verdana" w:hAnsi="Verdana"/>
          <w:sz w:val="20"/>
        </w:rPr>
        <w:t>Além disso</w:t>
      </w:r>
      <w:r w:rsidRPr="00BD40F0">
        <w:rPr>
          <w:rFonts w:ascii="Verdana" w:hAnsi="Verdana"/>
          <w:sz w:val="20"/>
        </w:rPr>
        <w:t xml:space="preserve">, </w:t>
      </w:r>
      <w:r w:rsidR="009F18E7">
        <w:rPr>
          <w:rFonts w:ascii="Verdana" w:hAnsi="Verdana"/>
          <w:sz w:val="20"/>
        </w:rPr>
        <w:t xml:space="preserve">o Estado </w:t>
      </w:r>
      <w:r w:rsidRPr="00BD40F0">
        <w:rPr>
          <w:rFonts w:ascii="Verdana" w:hAnsi="Verdana"/>
          <w:sz w:val="20"/>
        </w:rPr>
        <w:t xml:space="preserve">foi convidado a designar um Juiz </w:t>
      </w:r>
      <w:r w:rsidRPr="00BD40F0">
        <w:rPr>
          <w:rFonts w:ascii="Verdana" w:hAnsi="Verdana"/>
          <w:i/>
          <w:sz w:val="20"/>
        </w:rPr>
        <w:t>ad hoc</w:t>
      </w:r>
      <w:r w:rsidRPr="00BD40F0">
        <w:rPr>
          <w:rFonts w:ascii="Verdana" w:hAnsi="Verdana"/>
          <w:sz w:val="20"/>
        </w:rPr>
        <w:t>.</w:t>
      </w:r>
      <w:r w:rsidR="00850A3F">
        <w:rPr>
          <w:rFonts w:ascii="Verdana" w:hAnsi="Verdana"/>
          <w:sz w:val="20"/>
        </w:rPr>
        <w:t xml:space="preserve"> </w:t>
      </w:r>
      <w:r w:rsidR="00174E65">
        <w:rPr>
          <w:rFonts w:ascii="Verdana" w:hAnsi="Verdana"/>
          <w:sz w:val="20"/>
        </w:rPr>
        <w:lastRenderedPageBreak/>
        <w:t>Ne</w:t>
      </w:r>
      <w:r w:rsidRPr="00BD40F0">
        <w:rPr>
          <w:rFonts w:ascii="Verdana" w:hAnsi="Verdana"/>
          <w:sz w:val="20"/>
        </w:rPr>
        <w:t>sse mesmo dia, a Secretaria solicitou à Comissão que envia</w:t>
      </w:r>
      <w:r w:rsidR="00174E65">
        <w:rPr>
          <w:rFonts w:ascii="Verdana" w:hAnsi="Verdana"/>
          <w:sz w:val="20"/>
        </w:rPr>
        <w:t>sse</w:t>
      </w:r>
      <w:r w:rsidRPr="00BD40F0">
        <w:rPr>
          <w:rFonts w:ascii="Verdana" w:hAnsi="Verdana"/>
          <w:sz w:val="20"/>
        </w:rPr>
        <w:t xml:space="preserve"> algumas folhas dos anexos à demanda que estavam ilegíveis.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32.</w:t>
      </w:r>
      <w:r w:rsidRPr="00BD40F0">
        <w:rPr>
          <w:rFonts w:ascii="Verdana" w:hAnsi="Verdana"/>
          <w:sz w:val="20"/>
        </w:rPr>
        <w:tab/>
        <w:t xml:space="preserve">Em </w:t>
      </w:r>
      <w:proofErr w:type="gramStart"/>
      <w:r w:rsidRPr="00BD40F0">
        <w:rPr>
          <w:rFonts w:ascii="Verdana" w:hAnsi="Verdana"/>
          <w:sz w:val="20"/>
        </w:rPr>
        <w:t>2</w:t>
      </w:r>
      <w:proofErr w:type="gramEnd"/>
      <w:r w:rsidRPr="00BD40F0">
        <w:rPr>
          <w:rFonts w:ascii="Verdana" w:hAnsi="Verdana"/>
          <w:sz w:val="20"/>
        </w:rPr>
        <w:t xml:space="preserve"> de julho de 1998, a Nicarágua designou o senhor Alejandro Montiel Argüello como Juiz </w:t>
      </w:r>
      <w:r w:rsidRPr="00BD40F0">
        <w:rPr>
          <w:rFonts w:ascii="Verdana" w:hAnsi="Verdana"/>
          <w:i/>
          <w:sz w:val="20"/>
        </w:rPr>
        <w:t>ad hoc</w:t>
      </w:r>
      <w:r w:rsidRPr="00BD40F0">
        <w:rPr>
          <w:rFonts w:ascii="Verdana" w:hAnsi="Verdana"/>
          <w:sz w:val="20"/>
        </w:rPr>
        <w:t xml:space="preserve"> e o senhor Edmundo Castillo Salazar como agente.</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b/>
          <w:i/>
          <w:sz w:val="20"/>
        </w:rPr>
      </w:pPr>
      <w:r w:rsidRPr="00BD40F0">
        <w:rPr>
          <w:rFonts w:ascii="Verdana" w:hAnsi="Verdana"/>
          <w:sz w:val="20"/>
        </w:rPr>
        <w:t>33.</w:t>
      </w:r>
      <w:r w:rsidRPr="00BD40F0">
        <w:rPr>
          <w:rFonts w:ascii="Verdana" w:hAnsi="Verdana"/>
          <w:sz w:val="20"/>
        </w:rPr>
        <w:tab/>
        <w:t>No mesmo dia</w:t>
      </w:r>
      <w:r w:rsidR="006D3915">
        <w:rPr>
          <w:rFonts w:ascii="Verdana" w:hAnsi="Verdana"/>
          <w:sz w:val="20"/>
        </w:rPr>
        <w:t>,</w:t>
      </w:r>
      <w:r w:rsidRPr="00BD40F0">
        <w:rPr>
          <w:rFonts w:ascii="Verdana" w:hAnsi="Verdana"/>
          <w:sz w:val="20"/>
        </w:rPr>
        <w:t xml:space="preserve"> a Comissão apresentou à Corte cópias das folhas dos</w:t>
      </w:r>
      <w:r w:rsidRPr="00BD40F0">
        <w:rPr>
          <w:rFonts w:ascii="Verdana" w:hAnsi="Verdana"/>
          <w:b/>
          <w:sz w:val="20"/>
        </w:rPr>
        <w:t xml:space="preserve"> </w:t>
      </w:r>
      <w:r w:rsidRPr="00BD40F0">
        <w:rPr>
          <w:rFonts w:ascii="Verdana" w:hAnsi="Verdana"/>
          <w:sz w:val="20"/>
        </w:rPr>
        <w:t xml:space="preserve">anexos da demanda solicitadas pela Secretaria </w:t>
      </w:r>
      <w:r w:rsidR="00C60678" w:rsidRPr="00C60678">
        <w:rPr>
          <w:rFonts w:ascii="Verdana" w:hAnsi="Verdana"/>
          <w:sz w:val="20"/>
        </w:rPr>
        <w:t>(</w:t>
      </w:r>
      <w:r w:rsidRPr="00BD40F0">
        <w:rPr>
          <w:rFonts w:ascii="Verdana" w:hAnsi="Verdana"/>
          <w:sz w:val="20"/>
        </w:rPr>
        <w:t xml:space="preserve">par. 31 </w:t>
      </w:r>
      <w:r w:rsidRPr="00BD40F0">
        <w:rPr>
          <w:rFonts w:ascii="Verdana" w:hAnsi="Verdana"/>
          <w:i/>
          <w:sz w:val="20"/>
        </w:rPr>
        <w:t>supra</w:t>
      </w:r>
      <w:r w:rsidR="00C60678" w:rsidRPr="00C60678">
        <w:rPr>
          <w:rFonts w:ascii="Verdana" w:hAnsi="Verdana"/>
          <w:sz w:val="20"/>
        </w:rPr>
        <w:t>)</w:t>
      </w:r>
      <w:r w:rsidRPr="00BD40F0">
        <w:rPr>
          <w:rFonts w:ascii="Verdana" w:hAnsi="Verdana"/>
          <w:sz w:val="20"/>
        </w:rPr>
        <w:t xml:space="preserve">, </w:t>
      </w:r>
      <w:r w:rsidR="00C6474D">
        <w:rPr>
          <w:rFonts w:ascii="Verdana" w:hAnsi="Verdana"/>
          <w:sz w:val="20"/>
        </w:rPr>
        <w:t>bem como</w:t>
      </w:r>
      <w:r w:rsidRPr="00BD40F0">
        <w:rPr>
          <w:rFonts w:ascii="Verdana" w:hAnsi="Verdana"/>
          <w:sz w:val="20"/>
        </w:rPr>
        <w:t xml:space="preserve"> os endereços e as procurações dos representantes das vítimas, com exceção da procuração concedida ao senhor Todd Crider, a qual foi enviada em 24 de julho de 1998.</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b/>
          <w:i/>
          <w:sz w:val="20"/>
        </w:rPr>
      </w:pPr>
      <w:r w:rsidRPr="00BD40F0">
        <w:rPr>
          <w:rFonts w:ascii="Verdana" w:hAnsi="Verdana"/>
          <w:sz w:val="20"/>
        </w:rPr>
        <w:t>34.</w:t>
      </w:r>
      <w:r w:rsidRPr="00BD40F0">
        <w:rPr>
          <w:rFonts w:ascii="Verdana" w:hAnsi="Verdana"/>
          <w:sz w:val="20"/>
        </w:rPr>
        <w:tab/>
        <w:t xml:space="preserve">Em 18 de agosto de 1998, o Estado acreditou como assessores </w:t>
      </w:r>
      <w:r w:rsidR="00103AF0">
        <w:rPr>
          <w:rFonts w:ascii="Verdana" w:hAnsi="Verdana"/>
          <w:sz w:val="20"/>
        </w:rPr>
        <w:t>jurídicos</w:t>
      </w:r>
      <w:r w:rsidRPr="00BD40F0">
        <w:rPr>
          <w:rFonts w:ascii="Verdana" w:hAnsi="Verdana"/>
          <w:sz w:val="20"/>
        </w:rPr>
        <w:t xml:space="preserve"> os senhores Rosenaldo J. Castro S. e Bertha Marina Argüello.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35.</w:t>
      </w:r>
      <w:r w:rsidRPr="00BD40F0">
        <w:rPr>
          <w:rFonts w:ascii="Verdana" w:hAnsi="Verdana"/>
          <w:sz w:val="20"/>
        </w:rPr>
        <w:tab/>
        <w:t xml:space="preserve">Em 19 de agosto de 1998, a Nicarágua interpôs a exceção preliminar de não esgotamento dos recursos da jurisdição interna, </w:t>
      </w:r>
      <w:r w:rsidR="009F18E7">
        <w:rPr>
          <w:rFonts w:ascii="Verdana" w:hAnsi="Verdana"/>
          <w:sz w:val="20"/>
        </w:rPr>
        <w:t xml:space="preserve">em conformidade com </w:t>
      </w:r>
      <w:r w:rsidRPr="00BD40F0">
        <w:rPr>
          <w:rFonts w:ascii="Verdana" w:hAnsi="Verdana"/>
          <w:sz w:val="20"/>
        </w:rPr>
        <w:t>os artigos 46 e 47 da Convenção, e solicitou que a Corte declara</w:t>
      </w:r>
      <w:r w:rsidR="00125721">
        <w:rPr>
          <w:rFonts w:ascii="Verdana" w:hAnsi="Verdana"/>
          <w:sz w:val="20"/>
        </w:rPr>
        <w:t>sse</w:t>
      </w:r>
      <w:r w:rsidR="009F18E7">
        <w:rPr>
          <w:rFonts w:ascii="Verdana" w:hAnsi="Verdana"/>
          <w:sz w:val="20"/>
        </w:rPr>
        <w:t xml:space="preserve"> a demanda</w:t>
      </w:r>
      <w:r w:rsidRPr="00BD40F0">
        <w:rPr>
          <w:rFonts w:ascii="Verdana" w:hAnsi="Verdana"/>
          <w:sz w:val="20"/>
        </w:rPr>
        <w:t xml:space="preserve"> inadmissível.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36.</w:t>
      </w:r>
      <w:r w:rsidRPr="00BD40F0">
        <w:rPr>
          <w:rFonts w:ascii="Verdana" w:hAnsi="Verdana"/>
          <w:sz w:val="20"/>
        </w:rPr>
        <w:tab/>
        <w:t>Em 25 de setembro de 1998, a Comissão apresentou suas observações à exceção preliminar interposta pelo Estado.</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b/>
          <w:i/>
          <w:sz w:val="20"/>
        </w:rPr>
      </w:pPr>
      <w:r w:rsidRPr="00BD40F0">
        <w:rPr>
          <w:rFonts w:ascii="Verdana" w:hAnsi="Verdana"/>
          <w:sz w:val="20"/>
        </w:rPr>
        <w:t>37.</w:t>
      </w:r>
      <w:r w:rsidRPr="00BD40F0">
        <w:rPr>
          <w:rFonts w:ascii="Verdana" w:hAnsi="Verdana"/>
          <w:sz w:val="20"/>
        </w:rPr>
        <w:tab/>
        <w:t xml:space="preserve">Em 19 de outubro de 1998, o Estado apresentou a contestação à demanda.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DF416D">
        <w:rPr>
          <w:rFonts w:ascii="Verdana" w:hAnsi="Verdana"/>
          <w:sz w:val="20"/>
        </w:rPr>
        <w:t>38.</w:t>
      </w:r>
      <w:r w:rsidRPr="00DF416D">
        <w:rPr>
          <w:rFonts w:ascii="Verdana" w:hAnsi="Verdana"/>
          <w:sz w:val="20"/>
        </w:rPr>
        <w:tab/>
        <w:t xml:space="preserve">Em 27 de janeiro de 1999, a Organização de Síndicos Indígenas do Caribe Nicaraguense </w:t>
      </w:r>
      <w:r w:rsidR="00C60678" w:rsidRPr="00C60678">
        <w:rPr>
          <w:rFonts w:ascii="Verdana" w:hAnsi="Verdana"/>
          <w:sz w:val="20"/>
        </w:rPr>
        <w:t>(</w:t>
      </w:r>
      <w:r w:rsidRPr="00DF416D">
        <w:rPr>
          <w:rFonts w:ascii="Verdana" w:hAnsi="Verdana"/>
          <w:sz w:val="20"/>
        </w:rPr>
        <w:t>OSICAN</w:t>
      </w:r>
      <w:r w:rsidR="00C60678" w:rsidRPr="00C60678">
        <w:rPr>
          <w:rFonts w:ascii="Verdana" w:hAnsi="Verdana"/>
          <w:sz w:val="20"/>
        </w:rPr>
        <w:t>)</w:t>
      </w:r>
      <w:r w:rsidRPr="00DF416D">
        <w:rPr>
          <w:rFonts w:ascii="Verdana" w:hAnsi="Verdana"/>
          <w:sz w:val="20"/>
        </w:rPr>
        <w:t xml:space="preserve"> apresentou um escrito </w:t>
      </w:r>
      <w:r w:rsidR="00906A65" w:rsidRPr="00DF416D">
        <w:rPr>
          <w:rFonts w:ascii="Verdana" w:hAnsi="Verdana"/>
          <w:sz w:val="20"/>
        </w:rPr>
        <w:t xml:space="preserve">na </w:t>
      </w:r>
      <w:r w:rsidRPr="00DF416D">
        <w:rPr>
          <w:rFonts w:ascii="Verdana" w:hAnsi="Verdana"/>
          <w:sz w:val="20"/>
        </w:rPr>
        <w:t xml:space="preserve">qualidade de </w:t>
      </w:r>
      <w:r w:rsidRPr="00DF416D">
        <w:rPr>
          <w:rFonts w:ascii="Verdana" w:hAnsi="Verdana"/>
          <w:i/>
          <w:sz w:val="20"/>
        </w:rPr>
        <w:t>amicus curiae</w:t>
      </w:r>
      <w:r w:rsidRPr="00DF416D">
        <w:rPr>
          <w:rFonts w:ascii="Verdana" w:hAnsi="Verdana"/>
          <w:sz w:val="20"/>
        </w:rPr>
        <w:t>.</w:t>
      </w:r>
      <w:r w:rsidR="00850A3F">
        <w:rPr>
          <w:rFonts w:ascii="Verdana" w:hAnsi="Verdana"/>
          <w:sz w:val="20"/>
        </w:rPr>
        <w:t xml:space="preserve"> </w:t>
      </w:r>
      <w:r w:rsidRPr="00DF416D">
        <w:rPr>
          <w:rFonts w:ascii="Verdana" w:hAnsi="Verdana"/>
          <w:sz w:val="20"/>
        </w:rPr>
        <w:t xml:space="preserve">Em </w:t>
      </w:r>
      <w:proofErr w:type="gramStart"/>
      <w:r w:rsidRPr="00DF416D">
        <w:rPr>
          <w:rFonts w:ascii="Verdana" w:hAnsi="Verdana"/>
          <w:sz w:val="20"/>
        </w:rPr>
        <w:t>4</w:t>
      </w:r>
      <w:proofErr w:type="gramEnd"/>
      <w:r w:rsidRPr="00DF416D">
        <w:rPr>
          <w:rFonts w:ascii="Verdana" w:hAnsi="Verdana"/>
          <w:sz w:val="20"/>
        </w:rPr>
        <w:t xml:space="preserve"> de fevereiro de 1999</w:t>
      </w:r>
      <w:r w:rsidR="00103AF0">
        <w:rPr>
          <w:rFonts w:ascii="Verdana" w:hAnsi="Verdana"/>
          <w:sz w:val="20"/>
        </w:rPr>
        <w:t>,</w:t>
      </w:r>
      <w:r w:rsidRPr="00DF416D">
        <w:rPr>
          <w:rFonts w:ascii="Verdana" w:hAnsi="Verdana"/>
          <w:sz w:val="20"/>
        </w:rPr>
        <w:t xml:space="preserve"> foi recebida na Secretaria uma nota do senhor Eduardo Conrado Poveda, </w:t>
      </w:r>
      <w:r w:rsidR="00103AF0">
        <w:rPr>
          <w:rFonts w:ascii="Verdana" w:hAnsi="Verdana"/>
          <w:sz w:val="20"/>
        </w:rPr>
        <w:t>por meio</w:t>
      </w:r>
      <w:r w:rsidRPr="00DF416D">
        <w:rPr>
          <w:rFonts w:ascii="Verdana" w:hAnsi="Verdana"/>
          <w:sz w:val="20"/>
        </w:rPr>
        <w:t xml:space="preserve"> </w:t>
      </w:r>
      <w:r w:rsidR="00103AF0">
        <w:rPr>
          <w:rFonts w:ascii="Verdana" w:hAnsi="Verdana"/>
          <w:sz w:val="20"/>
        </w:rPr>
        <w:t>d</w:t>
      </w:r>
      <w:r w:rsidRPr="00DF416D">
        <w:rPr>
          <w:rFonts w:ascii="Verdana" w:hAnsi="Verdana"/>
          <w:sz w:val="20"/>
        </w:rPr>
        <w:t>a qual se aderiu</w:t>
      </w:r>
      <w:r w:rsidR="00DF416D" w:rsidRPr="00DF416D">
        <w:rPr>
          <w:rFonts w:ascii="Verdana" w:hAnsi="Verdana"/>
          <w:sz w:val="20"/>
        </w:rPr>
        <w:t xml:space="preserve"> </w:t>
      </w:r>
      <w:r w:rsidRPr="00DF416D">
        <w:rPr>
          <w:rFonts w:ascii="Verdana" w:hAnsi="Verdana"/>
          <w:sz w:val="20"/>
        </w:rPr>
        <w:t xml:space="preserve">ao anterior escrito de </w:t>
      </w:r>
      <w:r w:rsidRPr="00DF416D">
        <w:rPr>
          <w:rFonts w:ascii="Verdana" w:hAnsi="Verdana"/>
          <w:i/>
          <w:sz w:val="20"/>
        </w:rPr>
        <w:t>amicus curiae.</w:t>
      </w:r>
    </w:p>
    <w:p w:rsidR="000B3F97" w:rsidRPr="00BD40F0" w:rsidRDefault="000B3F97" w:rsidP="000B3F97">
      <w:pPr>
        <w:jc w:val="both"/>
        <w:rPr>
          <w:rFonts w:ascii="Verdana" w:hAnsi="Verdana"/>
          <w:i/>
          <w:sz w:val="20"/>
        </w:rPr>
      </w:pPr>
    </w:p>
    <w:p w:rsidR="000B3F97" w:rsidRPr="00BD40F0" w:rsidRDefault="000B3F97" w:rsidP="000B3F97">
      <w:pPr>
        <w:jc w:val="both"/>
        <w:rPr>
          <w:rFonts w:ascii="Verdana" w:hAnsi="Verdana"/>
          <w:sz w:val="20"/>
        </w:rPr>
      </w:pPr>
      <w:r w:rsidRPr="00BD40F0">
        <w:rPr>
          <w:rFonts w:ascii="Verdana" w:hAnsi="Verdana"/>
          <w:sz w:val="20"/>
        </w:rPr>
        <w:t>39.</w:t>
      </w:r>
      <w:r w:rsidRPr="00BD40F0">
        <w:rPr>
          <w:rFonts w:ascii="Verdana" w:hAnsi="Verdana"/>
          <w:sz w:val="20"/>
        </w:rPr>
        <w:tab/>
        <w:t xml:space="preserve">Em 15 de março de 1999, a Secretaria solicitou ao Estado o envio de diversos documentos oferecidos como anexos nos escritos de contestação de demanda e de exceções preliminares que não haviam sido apresentados em seu momento. Do escrito de contestação da demanda foram solicitadas as: folhas 129 e 130 do </w:t>
      </w:r>
      <w:proofErr w:type="gramStart"/>
      <w:r w:rsidRPr="00BD40F0">
        <w:rPr>
          <w:rFonts w:ascii="Verdana" w:hAnsi="Verdana"/>
          <w:sz w:val="20"/>
        </w:rPr>
        <w:t>anexo 10</w:t>
      </w:r>
      <w:proofErr w:type="gramEnd"/>
      <w:r w:rsidRPr="00BD40F0">
        <w:rPr>
          <w:rFonts w:ascii="Verdana" w:hAnsi="Verdana"/>
          <w:sz w:val="20"/>
        </w:rPr>
        <w:t xml:space="preserve">; mapas e descrições físicas oferecidas no anexo 15, </w:t>
      </w:r>
      <w:r w:rsidR="00C6474D">
        <w:rPr>
          <w:rFonts w:ascii="Verdana" w:hAnsi="Verdana"/>
          <w:sz w:val="20"/>
        </w:rPr>
        <w:t>bem como</w:t>
      </w:r>
      <w:r w:rsidRPr="00BD40F0">
        <w:rPr>
          <w:rFonts w:ascii="Verdana" w:hAnsi="Verdana"/>
          <w:sz w:val="20"/>
        </w:rPr>
        <w:t xml:space="preserve"> documentos relativos à titulação de </w:t>
      </w:r>
      <w:r w:rsidR="00237416">
        <w:rPr>
          <w:rFonts w:ascii="Verdana" w:hAnsi="Verdana"/>
          <w:sz w:val="20"/>
        </w:rPr>
        <w:t>comunidades vizinhas de</w:t>
      </w:r>
      <w:r w:rsidRPr="00BD40F0">
        <w:rPr>
          <w:rFonts w:ascii="Verdana" w:hAnsi="Verdana"/>
          <w:sz w:val="20"/>
        </w:rPr>
        <w:t xml:space="preserve"> Awas Tingni oferecidos nesse mesmo anexo.</w:t>
      </w:r>
      <w:r w:rsidR="00850A3F">
        <w:rPr>
          <w:rFonts w:ascii="Verdana" w:hAnsi="Verdana"/>
          <w:sz w:val="20"/>
        </w:rPr>
        <w:t xml:space="preserve"> </w:t>
      </w:r>
      <w:r w:rsidRPr="00BD40F0">
        <w:rPr>
          <w:rFonts w:ascii="Verdana" w:hAnsi="Verdana"/>
          <w:sz w:val="20"/>
        </w:rPr>
        <w:t xml:space="preserve">Do </w:t>
      </w:r>
      <w:proofErr w:type="gramStart"/>
      <w:r w:rsidRPr="00BD40F0">
        <w:rPr>
          <w:rFonts w:ascii="Verdana" w:hAnsi="Verdana"/>
          <w:sz w:val="20"/>
        </w:rPr>
        <w:t>anexo 10</w:t>
      </w:r>
      <w:proofErr w:type="gramEnd"/>
      <w:r w:rsidRPr="00BD40F0">
        <w:rPr>
          <w:rFonts w:ascii="Verdana" w:hAnsi="Verdana"/>
          <w:sz w:val="20"/>
        </w:rPr>
        <w:t xml:space="preserve"> do escrito de exceções preliminares foram solicitados os seguintes documentos: projeções aproximadas da localização geográfica da área pretend</w:t>
      </w:r>
      <w:r w:rsidR="009F18E7">
        <w:rPr>
          <w:rFonts w:ascii="Verdana" w:hAnsi="Verdana"/>
          <w:sz w:val="20"/>
        </w:rPr>
        <w:t xml:space="preserve">ida pela </w:t>
      </w:r>
      <w:r w:rsidRPr="00BD40F0">
        <w:rPr>
          <w:rFonts w:ascii="Verdana" w:hAnsi="Verdana"/>
          <w:sz w:val="20"/>
        </w:rPr>
        <w:t xml:space="preserve">Comunidade Awas Tingni, </w:t>
      </w:r>
      <w:r w:rsidR="00906A65">
        <w:rPr>
          <w:rFonts w:ascii="Verdana" w:hAnsi="Verdana"/>
          <w:sz w:val="20"/>
        </w:rPr>
        <w:t>reivindicações</w:t>
      </w:r>
      <w:r w:rsidRPr="00BD40F0">
        <w:rPr>
          <w:rFonts w:ascii="Verdana" w:hAnsi="Verdana"/>
          <w:sz w:val="20"/>
        </w:rPr>
        <w:t xml:space="preserve"> de outras comunidades, </w:t>
      </w:r>
      <w:r w:rsidR="00270E5C">
        <w:rPr>
          <w:rFonts w:ascii="Verdana" w:hAnsi="Verdana"/>
          <w:sz w:val="20"/>
        </w:rPr>
        <w:t>mapas de sobreposição</w:t>
      </w:r>
      <w:r w:rsidRPr="00BD40F0">
        <w:rPr>
          <w:rFonts w:ascii="Verdana" w:hAnsi="Verdana"/>
          <w:sz w:val="20"/>
        </w:rPr>
        <w:t xml:space="preserve"> de </w:t>
      </w:r>
      <w:r w:rsidR="00906A65">
        <w:rPr>
          <w:rFonts w:ascii="Verdana" w:hAnsi="Verdana"/>
          <w:sz w:val="20"/>
        </w:rPr>
        <w:t>reivindicações</w:t>
      </w:r>
      <w:r w:rsidRPr="00BD40F0">
        <w:rPr>
          <w:rFonts w:ascii="Verdana" w:hAnsi="Verdana"/>
          <w:sz w:val="20"/>
        </w:rPr>
        <w:t xml:space="preserve">, </w:t>
      </w:r>
      <w:r w:rsidR="00992C08" w:rsidRPr="00992C08">
        <w:rPr>
          <w:rFonts w:ascii="Verdana" w:hAnsi="Verdana"/>
          <w:i/>
          <w:sz w:val="20"/>
        </w:rPr>
        <w:t>ejidos</w:t>
      </w:r>
      <w:r w:rsidRPr="00BD40F0">
        <w:rPr>
          <w:rFonts w:ascii="Verdana" w:hAnsi="Verdana"/>
          <w:sz w:val="20"/>
        </w:rPr>
        <w:t xml:space="preserve">, terras nacionais e outras ilustrações pertinentes ao caso; certidão do Instituto Nicaraguense de Reforma Agrária </w:t>
      </w:r>
      <w:r w:rsidR="00C60678" w:rsidRPr="00C60678">
        <w:rPr>
          <w:rFonts w:ascii="Verdana" w:hAnsi="Verdana"/>
          <w:sz w:val="20"/>
        </w:rPr>
        <w:t>(</w:t>
      </w:r>
      <w:r w:rsidRPr="00BD40F0">
        <w:rPr>
          <w:rFonts w:ascii="Verdana" w:hAnsi="Verdana"/>
          <w:sz w:val="20"/>
        </w:rPr>
        <w:t xml:space="preserve">doravante </w:t>
      </w:r>
      <w:r w:rsidR="00DD7D69">
        <w:rPr>
          <w:rFonts w:ascii="Verdana" w:hAnsi="Verdana"/>
          <w:sz w:val="20"/>
        </w:rPr>
        <w:t xml:space="preserve">denominado </w:t>
      </w:r>
      <w:r w:rsidRPr="00BD40F0">
        <w:rPr>
          <w:rFonts w:ascii="Verdana" w:hAnsi="Verdana"/>
          <w:sz w:val="20"/>
        </w:rPr>
        <w:t>“INRA”</w:t>
      </w:r>
      <w:r w:rsidR="00C60678" w:rsidRPr="00C60678">
        <w:rPr>
          <w:rFonts w:ascii="Verdana" w:hAnsi="Verdana"/>
          <w:sz w:val="20"/>
        </w:rPr>
        <w:t>)</w:t>
      </w:r>
      <w:r w:rsidRPr="00BD40F0">
        <w:rPr>
          <w:rFonts w:ascii="Verdana" w:hAnsi="Verdana"/>
          <w:sz w:val="20"/>
        </w:rPr>
        <w:t xml:space="preserve"> em relação </w:t>
      </w:r>
      <w:r w:rsidR="00C34B7D">
        <w:rPr>
          <w:rFonts w:ascii="Verdana" w:hAnsi="Verdana"/>
          <w:sz w:val="20"/>
        </w:rPr>
        <w:t>ao</w:t>
      </w:r>
      <w:r w:rsidR="00270E5C">
        <w:rPr>
          <w:rFonts w:ascii="Verdana" w:hAnsi="Verdana"/>
          <w:sz w:val="20"/>
        </w:rPr>
        <w:t xml:space="preserve"> pedido</w:t>
      </w:r>
      <w:r w:rsidRPr="00BD40F0">
        <w:rPr>
          <w:rFonts w:ascii="Verdana" w:hAnsi="Verdana"/>
          <w:sz w:val="20"/>
        </w:rPr>
        <w:t xml:space="preserve"> de titulação da Comunidade Awas Tingni; Constituição Política da Nicarágua; certidões de artigos de Códigos de Leis da Nicarágua, Leis e Decretos pertinentes, e certidão do atuado por instituições de organismos do Governo Central, organismos descentralizados ou entes autônomos e outras instituições da Assembleia Nacional e da Corte Suprema de Justiça da Nicarágua.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40.</w:t>
      </w:r>
      <w:r w:rsidRPr="00BD40F0">
        <w:rPr>
          <w:rFonts w:ascii="Verdana" w:hAnsi="Verdana"/>
          <w:sz w:val="20"/>
        </w:rPr>
        <w:tab/>
        <w:t>Em 26 de maio de 1999, o Est</w:t>
      </w:r>
      <w:r w:rsidR="00992C08">
        <w:rPr>
          <w:rFonts w:ascii="Verdana" w:hAnsi="Verdana"/>
          <w:sz w:val="20"/>
        </w:rPr>
        <w:t>ado apresentou um escrito ao qual</w:t>
      </w:r>
      <w:r w:rsidRPr="00BD40F0">
        <w:rPr>
          <w:rFonts w:ascii="Verdana" w:hAnsi="Verdana"/>
          <w:sz w:val="20"/>
        </w:rPr>
        <w:t xml:space="preserve"> anexou os seguintes documentos: Constituição Política da Nicarágua com suas reformas, Lei de Amparo,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BD40F0">
        <w:rPr>
          <w:rFonts w:ascii="Verdana" w:hAnsi="Verdana"/>
          <w:sz w:val="20"/>
        </w:rPr>
        <w:t xml:space="preserve">290 e páginas 8984 a 8989 do Diário Oficial </w:t>
      </w:r>
      <w:r w:rsidRPr="00BD40F0">
        <w:rPr>
          <w:rFonts w:ascii="Verdana" w:hAnsi="Verdana"/>
          <w:i/>
          <w:sz w:val="20"/>
        </w:rPr>
        <w:t>La Gaceta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BD40F0">
        <w:rPr>
          <w:rFonts w:ascii="Verdana" w:hAnsi="Verdana"/>
          <w:sz w:val="20"/>
        </w:rPr>
        <w:t>205 de 30 de outubro de 1998.</w:t>
      </w:r>
      <w:r w:rsidR="00850A3F">
        <w:rPr>
          <w:rFonts w:ascii="Verdana" w:hAnsi="Verdana"/>
          <w:sz w:val="20"/>
        </w:rPr>
        <w:t xml:space="preserve"> </w:t>
      </w:r>
      <w:r w:rsidRPr="00BD40F0">
        <w:rPr>
          <w:rFonts w:ascii="Verdana" w:hAnsi="Verdana"/>
          <w:sz w:val="20"/>
        </w:rPr>
        <w:t xml:space="preserve">No mesmo escrito, a Nicarágua manifestou que não apresentaria os mapas e descrições </w:t>
      </w:r>
      <w:r w:rsidR="00C6474D" w:rsidRPr="00BD40F0">
        <w:rPr>
          <w:rFonts w:ascii="Verdana" w:hAnsi="Verdana"/>
          <w:sz w:val="20"/>
        </w:rPr>
        <w:t>físicas</w:t>
      </w:r>
      <w:r w:rsidR="00850A3F">
        <w:rPr>
          <w:rFonts w:ascii="Verdana" w:hAnsi="Verdana"/>
          <w:sz w:val="20"/>
        </w:rPr>
        <w:t>,</w:t>
      </w:r>
      <w:r w:rsidR="00C6474D" w:rsidRPr="00BD40F0">
        <w:rPr>
          <w:rFonts w:ascii="Verdana" w:hAnsi="Verdana"/>
          <w:sz w:val="20"/>
        </w:rPr>
        <w:t xml:space="preserve"> oferecid</w:t>
      </w:r>
      <w:r w:rsidR="009F18E7">
        <w:rPr>
          <w:rFonts w:ascii="Verdana" w:hAnsi="Verdana"/>
          <w:sz w:val="20"/>
        </w:rPr>
        <w:t>o</w:t>
      </w:r>
      <w:r w:rsidR="00C6474D" w:rsidRPr="00BD40F0">
        <w:rPr>
          <w:rFonts w:ascii="Verdana" w:hAnsi="Verdana"/>
          <w:sz w:val="20"/>
        </w:rPr>
        <w:t>s</w:t>
      </w:r>
      <w:r w:rsidRPr="00BD40F0">
        <w:rPr>
          <w:rFonts w:ascii="Verdana" w:hAnsi="Verdana"/>
          <w:sz w:val="20"/>
        </w:rPr>
        <w:t xml:space="preserve"> como anexo 15 em seu escrito de contestação da demanda, porquanto “os mapas apresentados com o escrito de exceções preliminares demonstram a localização geográfica da área pretendida pela </w:t>
      </w:r>
      <w:r w:rsidRPr="00BD40F0">
        <w:rPr>
          <w:rFonts w:ascii="Verdana" w:hAnsi="Verdana"/>
          <w:sz w:val="20"/>
        </w:rPr>
        <w:lastRenderedPageBreak/>
        <w:t xml:space="preserve">Comunidade, </w:t>
      </w:r>
      <w:r w:rsidR="00ED668F">
        <w:rPr>
          <w:rFonts w:ascii="Verdana" w:hAnsi="Verdana"/>
          <w:sz w:val="20"/>
        </w:rPr>
        <w:t>reivindicações</w:t>
      </w:r>
      <w:r w:rsidRPr="00BD40F0">
        <w:rPr>
          <w:rFonts w:ascii="Verdana" w:hAnsi="Verdana"/>
          <w:sz w:val="20"/>
        </w:rPr>
        <w:t xml:space="preserve"> de outras comunidades, descrições físicas etc.”.</w:t>
      </w:r>
      <w:r w:rsidR="00850A3F">
        <w:rPr>
          <w:rFonts w:ascii="Verdana" w:hAnsi="Verdana"/>
          <w:sz w:val="20"/>
        </w:rPr>
        <w:t xml:space="preserve"> </w:t>
      </w:r>
      <w:r w:rsidR="00ED668F">
        <w:rPr>
          <w:rFonts w:ascii="Verdana" w:hAnsi="Verdana"/>
          <w:sz w:val="20"/>
        </w:rPr>
        <w:t>I</w:t>
      </w:r>
      <w:r w:rsidRPr="00BD40F0">
        <w:rPr>
          <w:rFonts w:ascii="Verdana" w:hAnsi="Verdana"/>
          <w:sz w:val="20"/>
        </w:rPr>
        <w:t xml:space="preserve">gualmente, expressou que não apresentaria a certidão do INRA referente </w:t>
      </w:r>
      <w:r w:rsidR="00270E5C">
        <w:rPr>
          <w:rFonts w:ascii="Verdana" w:hAnsi="Verdana"/>
          <w:sz w:val="20"/>
        </w:rPr>
        <w:t>ao pedido</w:t>
      </w:r>
      <w:r w:rsidRPr="00BD40F0">
        <w:rPr>
          <w:rFonts w:ascii="Verdana" w:hAnsi="Verdana"/>
          <w:sz w:val="20"/>
        </w:rPr>
        <w:t xml:space="preserve"> de titulação da C</w:t>
      </w:r>
      <w:r w:rsidR="00270E5C">
        <w:rPr>
          <w:rFonts w:ascii="Verdana" w:hAnsi="Verdana"/>
          <w:sz w:val="20"/>
        </w:rPr>
        <w:t>omunidade Awas Tingni, oferecida</w:t>
      </w:r>
      <w:r w:rsidRPr="00BD40F0">
        <w:rPr>
          <w:rFonts w:ascii="Verdana" w:hAnsi="Verdana"/>
          <w:sz w:val="20"/>
        </w:rPr>
        <w:t xml:space="preserve"> como anexo 10 do escrito de exceções preliminares, “porquanto no mesmo escrito [...]</w:t>
      </w:r>
      <w:r w:rsidR="00270E5C">
        <w:rPr>
          <w:rFonts w:ascii="Verdana" w:hAnsi="Verdana"/>
          <w:sz w:val="20"/>
        </w:rPr>
        <w:t xml:space="preserve"> </w:t>
      </w:r>
      <w:r w:rsidR="008C113F">
        <w:rPr>
          <w:rFonts w:ascii="Verdana" w:hAnsi="Verdana"/>
          <w:sz w:val="20"/>
        </w:rPr>
        <w:t>foi incluída</w:t>
      </w:r>
      <w:r w:rsidRPr="00BD40F0">
        <w:rPr>
          <w:rFonts w:ascii="Verdana" w:hAnsi="Verdana"/>
          <w:sz w:val="20"/>
        </w:rPr>
        <w:t xml:space="preserve"> </w:t>
      </w:r>
      <w:r w:rsidR="00E719DD">
        <w:rPr>
          <w:rFonts w:ascii="Verdana" w:hAnsi="Verdana"/>
          <w:sz w:val="20"/>
        </w:rPr>
        <w:t>declaração</w:t>
      </w:r>
      <w:r w:rsidRPr="00BD40F0">
        <w:rPr>
          <w:rFonts w:ascii="Verdana" w:hAnsi="Verdana"/>
          <w:sz w:val="20"/>
        </w:rPr>
        <w:t xml:space="preserve"> desta instituição, sobre o mesmo assunto, de data de </w:t>
      </w:r>
      <w:proofErr w:type="gramStart"/>
      <w:r w:rsidRPr="00BD40F0">
        <w:rPr>
          <w:rFonts w:ascii="Verdana" w:hAnsi="Verdana"/>
          <w:sz w:val="20"/>
        </w:rPr>
        <w:t>5</w:t>
      </w:r>
      <w:proofErr w:type="gramEnd"/>
      <w:r w:rsidRPr="00BD40F0">
        <w:rPr>
          <w:rFonts w:ascii="Verdana" w:hAnsi="Verdana"/>
          <w:sz w:val="20"/>
        </w:rPr>
        <w:t xml:space="preserve"> de agosto de 1998”. Igualmente, quanto às folhas 129 e 130 do </w:t>
      </w:r>
      <w:proofErr w:type="gramStart"/>
      <w:r w:rsidRPr="00BD40F0">
        <w:rPr>
          <w:rFonts w:ascii="Verdana" w:hAnsi="Verdana"/>
          <w:sz w:val="20"/>
        </w:rPr>
        <w:t>anexo 10</w:t>
      </w:r>
      <w:proofErr w:type="gramEnd"/>
      <w:r w:rsidRPr="00BD40F0">
        <w:rPr>
          <w:rFonts w:ascii="Verdana" w:hAnsi="Verdana"/>
          <w:sz w:val="20"/>
        </w:rPr>
        <w:t xml:space="preserve"> do escrito de contestação da demanda, </w:t>
      </w:r>
      <w:r w:rsidR="00243DA4">
        <w:rPr>
          <w:rFonts w:ascii="Verdana" w:hAnsi="Verdana"/>
          <w:sz w:val="20"/>
        </w:rPr>
        <w:t>afirmou</w:t>
      </w:r>
      <w:r w:rsidRPr="00BD40F0">
        <w:rPr>
          <w:rFonts w:ascii="Verdana" w:hAnsi="Verdana"/>
          <w:sz w:val="20"/>
        </w:rPr>
        <w:t xml:space="preserve"> que este anexo realmente</w:t>
      </w:r>
      <w:r w:rsidR="00270E5C">
        <w:rPr>
          <w:rFonts w:ascii="Verdana" w:hAnsi="Verdana"/>
          <w:sz w:val="20"/>
        </w:rPr>
        <w:t xml:space="preserve"> </w:t>
      </w:r>
      <w:r w:rsidR="00270E5C" w:rsidRPr="00BD40F0">
        <w:rPr>
          <w:rFonts w:ascii="Verdana" w:hAnsi="Verdana"/>
          <w:sz w:val="20"/>
        </w:rPr>
        <w:t>finalizava</w:t>
      </w:r>
      <w:r w:rsidRPr="00BD40F0">
        <w:rPr>
          <w:rFonts w:ascii="Verdana" w:hAnsi="Verdana"/>
          <w:sz w:val="20"/>
        </w:rPr>
        <w:t xml:space="preserve"> na página 128.</w:t>
      </w:r>
      <w:r w:rsidR="00850A3F">
        <w:rPr>
          <w:rFonts w:ascii="Verdana" w:hAnsi="Verdana"/>
          <w:sz w:val="20"/>
        </w:rPr>
        <w:t xml:space="preserve"> </w:t>
      </w:r>
      <w:r w:rsidRPr="00BD40F0">
        <w:rPr>
          <w:rFonts w:ascii="Verdana" w:hAnsi="Verdana"/>
          <w:sz w:val="20"/>
        </w:rPr>
        <w:t>No que</w:t>
      </w:r>
      <w:r w:rsidR="002C6A59">
        <w:rPr>
          <w:rFonts w:ascii="Verdana" w:hAnsi="Verdana"/>
          <w:sz w:val="20"/>
        </w:rPr>
        <w:t xml:space="preserve"> </w:t>
      </w:r>
      <w:r w:rsidR="004D5FC8">
        <w:rPr>
          <w:rFonts w:ascii="Verdana" w:hAnsi="Verdana"/>
          <w:sz w:val="20"/>
        </w:rPr>
        <w:t xml:space="preserve">concerne </w:t>
      </w:r>
      <w:r w:rsidRPr="00BD40F0">
        <w:rPr>
          <w:rFonts w:ascii="Verdana" w:hAnsi="Verdana"/>
          <w:sz w:val="20"/>
        </w:rPr>
        <w:t>aos documentos referentes à titulação de outras comunidades indígenas, indicou que,</w:t>
      </w:r>
      <w:r w:rsidR="002C6A59">
        <w:rPr>
          <w:rFonts w:ascii="Verdana" w:hAnsi="Verdana"/>
          <w:sz w:val="20"/>
        </w:rPr>
        <w:t xml:space="preserve"> </w:t>
      </w:r>
      <w:r w:rsidR="004D5FC8">
        <w:rPr>
          <w:rFonts w:ascii="Verdana" w:hAnsi="Verdana"/>
          <w:sz w:val="20"/>
        </w:rPr>
        <w:t>considera</w:t>
      </w:r>
      <w:r w:rsidR="006D3915">
        <w:rPr>
          <w:rFonts w:ascii="Verdana" w:hAnsi="Verdana"/>
          <w:sz w:val="20"/>
        </w:rPr>
        <w:t xml:space="preserve">ndo-os </w:t>
      </w:r>
      <w:r w:rsidRPr="00BD40F0">
        <w:rPr>
          <w:rFonts w:ascii="Verdana" w:hAnsi="Verdana"/>
          <w:sz w:val="20"/>
        </w:rPr>
        <w:t>oportuno</w:t>
      </w:r>
      <w:r w:rsidR="006D3915">
        <w:rPr>
          <w:rFonts w:ascii="Verdana" w:hAnsi="Verdana"/>
          <w:sz w:val="20"/>
        </w:rPr>
        <w:t>s</w:t>
      </w:r>
      <w:r w:rsidRPr="00BD40F0">
        <w:rPr>
          <w:rFonts w:ascii="Verdana" w:hAnsi="Verdana"/>
          <w:sz w:val="20"/>
        </w:rPr>
        <w:t>, os apresentaria em um momento processual posterior.</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41.</w:t>
      </w:r>
      <w:r w:rsidRPr="00BD40F0">
        <w:rPr>
          <w:rFonts w:ascii="Verdana" w:hAnsi="Verdana"/>
          <w:sz w:val="20"/>
        </w:rPr>
        <w:tab/>
        <w:t xml:space="preserve">Em 28 de maio de 1999, a organização </w:t>
      </w:r>
      <w:r w:rsidRPr="00BD40F0">
        <w:rPr>
          <w:rFonts w:ascii="Verdana" w:hAnsi="Verdana"/>
          <w:i/>
          <w:sz w:val="20"/>
        </w:rPr>
        <w:t xml:space="preserve">Assembly of First Nations </w:t>
      </w:r>
      <w:r w:rsidR="00C60678" w:rsidRPr="00C60678">
        <w:rPr>
          <w:rFonts w:ascii="Verdana" w:hAnsi="Verdana"/>
          <w:sz w:val="20"/>
        </w:rPr>
        <w:t>(</w:t>
      </w:r>
      <w:r w:rsidRPr="00BD40F0">
        <w:rPr>
          <w:rFonts w:ascii="Verdana" w:hAnsi="Verdana"/>
          <w:i/>
          <w:sz w:val="20"/>
        </w:rPr>
        <w:t>AFN</w:t>
      </w:r>
      <w:r w:rsidR="00C60678" w:rsidRPr="00C60678">
        <w:rPr>
          <w:rFonts w:ascii="Verdana" w:hAnsi="Verdana"/>
          <w:sz w:val="20"/>
        </w:rPr>
        <w:t>)</w:t>
      </w:r>
      <w:r w:rsidR="00992C08">
        <w:rPr>
          <w:rFonts w:ascii="Verdana" w:hAnsi="Verdana"/>
          <w:sz w:val="20"/>
        </w:rPr>
        <w:t>,</w:t>
      </w:r>
      <w:r w:rsidRPr="00BD40F0">
        <w:rPr>
          <w:rFonts w:ascii="Verdana" w:hAnsi="Verdana"/>
          <w:sz w:val="20"/>
        </w:rPr>
        <w:t xml:space="preserve"> do Canadá, apresentou um escrito em idioma inglês, </w:t>
      </w:r>
      <w:r w:rsidR="00B26C50">
        <w:rPr>
          <w:rFonts w:ascii="Verdana" w:hAnsi="Verdana"/>
          <w:sz w:val="20"/>
        </w:rPr>
        <w:t>na</w:t>
      </w:r>
      <w:r w:rsidRPr="00BD40F0">
        <w:rPr>
          <w:rFonts w:ascii="Verdana" w:hAnsi="Verdana"/>
          <w:sz w:val="20"/>
        </w:rPr>
        <w:t xml:space="preserve"> qualidade de </w:t>
      </w:r>
      <w:r w:rsidRPr="00BD40F0">
        <w:rPr>
          <w:rFonts w:ascii="Verdana" w:hAnsi="Verdana"/>
          <w:i/>
          <w:sz w:val="20"/>
        </w:rPr>
        <w:t>amicus curiae.</w:t>
      </w:r>
      <w:r w:rsidR="00850A3F">
        <w:rPr>
          <w:rFonts w:ascii="Verdana" w:hAnsi="Verdana"/>
          <w:i/>
          <w:sz w:val="20"/>
        </w:rPr>
        <w:t xml:space="preserve"> </w:t>
      </w:r>
      <w:r w:rsidRPr="00BD40F0">
        <w:rPr>
          <w:rFonts w:ascii="Verdana" w:hAnsi="Verdana"/>
          <w:sz w:val="20"/>
        </w:rPr>
        <w:t>Em fevereiro de 2000</w:t>
      </w:r>
      <w:r w:rsidR="005C707D">
        <w:rPr>
          <w:rFonts w:ascii="Verdana" w:hAnsi="Verdana"/>
          <w:sz w:val="20"/>
        </w:rPr>
        <w:t>,</w:t>
      </w:r>
      <w:r w:rsidRPr="00BD40F0">
        <w:rPr>
          <w:rFonts w:ascii="Verdana" w:hAnsi="Verdana"/>
          <w:sz w:val="20"/>
        </w:rPr>
        <w:t xml:space="preserve"> foi apresentada a versão em espanhol deste documento.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42.</w:t>
      </w:r>
      <w:r w:rsidRPr="00BD40F0">
        <w:rPr>
          <w:rFonts w:ascii="Verdana" w:hAnsi="Verdana"/>
          <w:sz w:val="20"/>
        </w:rPr>
        <w:tab/>
        <w:t xml:space="preserve">Em 31 de maio de 1999, a organização </w:t>
      </w:r>
      <w:r w:rsidRPr="00BD40F0">
        <w:rPr>
          <w:rFonts w:ascii="Verdana" w:hAnsi="Verdana"/>
          <w:i/>
          <w:sz w:val="20"/>
        </w:rPr>
        <w:t>International Human Rights Law Group</w:t>
      </w:r>
      <w:r w:rsidRPr="00BD40F0">
        <w:rPr>
          <w:rFonts w:ascii="Verdana" w:hAnsi="Verdana"/>
          <w:sz w:val="20"/>
        </w:rPr>
        <w:t xml:space="preserve"> apresentou um escrito em idioma inglês, </w:t>
      </w:r>
      <w:r w:rsidR="00992C08">
        <w:rPr>
          <w:rFonts w:ascii="Verdana" w:hAnsi="Verdana"/>
          <w:sz w:val="20"/>
        </w:rPr>
        <w:t xml:space="preserve">na qualidade </w:t>
      </w:r>
      <w:r w:rsidRPr="00BD40F0">
        <w:rPr>
          <w:rFonts w:ascii="Verdana" w:hAnsi="Verdana"/>
          <w:sz w:val="20"/>
        </w:rPr>
        <w:t xml:space="preserve">de </w:t>
      </w:r>
      <w:r w:rsidRPr="00BD40F0">
        <w:rPr>
          <w:rFonts w:ascii="Verdana" w:hAnsi="Verdana"/>
          <w:i/>
          <w:sz w:val="20"/>
        </w:rPr>
        <w:t xml:space="preserve">amicus curiae. </w:t>
      </w:r>
    </w:p>
    <w:p w:rsidR="000B3F97" w:rsidRPr="00BD40F0" w:rsidRDefault="000B3F97" w:rsidP="000B3F97">
      <w:pPr>
        <w:jc w:val="both"/>
        <w:rPr>
          <w:rFonts w:ascii="Verdana" w:hAnsi="Verdana"/>
          <w:i/>
          <w:sz w:val="20"/>
        </w:rPr>
      </w:pPr>
    </w:p>
    <w:p w:rsidR="000B3F97" w:rsidRPr="00BD40F0" w:rsidRDefault="000B3F97" w:rsidP="000B3F97">
      <w:pPr>
        <w:jc w:val="both"/>
        <w:rPr>
          <w:rFonts w:ascii="Verdana" w:hAnsi="Verdana"/>
          <w:sz w:val="20"/>
        </w:rPr>
      </w:pPr>
      <w:r w:rsidRPr="00BD40F0">
        <w:rPr>
          <w:rFonts w:ascii="Verdana" w:hAnsi="Verdana"/>
          <w:sz w:val="20"/>
        </w:rPr>
        <w:t>43.</w:t>
      </w:r>
      <w:r w:rsidRPr="00BD40F0">
        <w:rPr>
          <w:rFonts w:ascii="Verdana" w:hAnsi="Verdana"/>
          <w:sz w:val="20"/>
        </w:rPr>
        <w:tab/>
        <w:t>Em 31 de maio de 1999</w:t>
      </w:r>
      <w:r w:rsidR="005C707D">
        <w:rPr>
          <w:rFonts w:ascii="Verdana" w:hAnsi="Verdana"/>
          <w:sz w:val="20"/>
        </w:rPr>
        <w:t>,</w:t>
      </w:r>
      <w:r w:rsidRPr="00BD40F0">
        <w:rPr>
          <w:rFonts w:ascii="Verdana" w:hAnsi="Verdana"/>
          <w:sz w:val="20"/>
        </w:rPr>
        <w:t xml:space="preserve"> foi realizada uma audiência pública sobre exceções preliminares na sede da Corte.</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44.</w:t>
      </w:r>
      <w:r w:rsidRPr="00BD40F0">
        <w:rPr>
          <w:rFonts w:ascii="Verdana" w:hAnsi="Verdana"/>
          <w:sz w:val="20"/>
        </w:rPr>
        <w:tab/>
        <w:t xml:space="preserve">Em 1° de fevereiro de 2000, a Corte proferiu Sentença de exceções preliminares, </w:t>
      </w:r>
      <w:r w:rsidR="009F18E7">
        <w:rPr>
          <w:rFonts w:ascii="Verdana" w:hAnsi="Verdana"/>
          <w:sz w:val="20"/>
        </w:rPr>
        <w:t>por meio d</w:t>
      </w:r>
      <w:r w:rsidRPr="00BD40F0">
        <w:rPr>
          <w:rFonts w:ascii="Verdana" w:hAnsi="Verdana"/>
          <w:sz w:val="20"/>
        </w:rPr>
        <w:t xml:space="preserve">a qual </w:t>
      </w:r>
      <w:r w:rsidR="00075EC7">
        <w:rPr>
          <w:rFonts w:ascii="Verdana" w:hAnsi="Verdana"/>
          <w:sz w:val="20"/>
        </w:rPr>
        <w:t>rejeitou</w:t>
      </w:r>
      <w:r w:rsidRPr="00BD40F0">
        <w:rPr>
          <w:rFonts w:ascii="Verdana" w:hAnsi="Verdana"/>
          <w:sz w:val="20"/>
        </w:rPr>
        <w:t xml:space="preserve"> a exceção preliminar interposta pela Nicarágua.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45.</w:t>
      </w:r>
      <w:r w:rsidRPr="00BD40F0">
        <w:rPr>
          <w:rFonts w:ascii="Verdana" w:hAnsi="Verdana"/>
          <w:sz w:val="20"/>
        </w:rPr>
        <w:tab/>
        <w:t xml:space="preserve">Em </w:t>
      </w:r>
      <w:proofErr w:type="gramStart"/>
      <w:r w:rsidRPr="00BD40F0">
        <w:rPr>
          <w:rFonts w:ascii="Verdana" w:hAnsi="Verdana"/>
          <w:sz w:val="20"/>
        </w:rPr>
        <w:t>2</w:t>
      </w:r>
      <w:proofErr w:type="gramEnd"/>
      <w:r w:rsidRPr="00BD40F0">
        <w:rPr>
          <w:rFonts w:ascii="Verdana" w:hAnsi="Verdana"/>
          <w:sz w:val="20"/>
        </w:rPr>
        <w:t xml:space="preserve"> de fevereiro de 2000, a Secretaria solicitou à Comissão o envio da lista definitiva das testemunhas e peritos </w:t>
      </w:r>
      <w:r w:rsidR="00C6474D">
        <w:rPr>
          <w:rFonts w:ascii="Verdana" w:hAnsi="Verdana"/>
          <w:sz w:val="20"/>
        </w:rPr>
        <w:t>propostos</w:t>
      </w:r>
      <w:r w:rsidRPr="00BD40F0">
        <w:rPr>
          <w:rFonts w:ascii="Verdana" w:hAnsi="Verdana"/>
          <w:sz w:val="20"/>
        </w:rPr>
        <w:t xml:space="preserve"> por ela para comparecer na audiência pública sobre o mérito do caso.</w:t>
      </w:r>
      <w:r w:rsidR="00850A3F">
        <w:rPr>
          <w:rFonts w:ascii="Verdana" w:hAnsi="Verdana"/>
          <w:sz w:val="20"/>
        </w:rPr>
        <w:t xml:space="preserve"> </w:t>
      </w:r>
      <w:r w:rsidRPr="00BD40F0">
        <w:rPr>
          <w:rFonts w:ascii="Verdana" w:hAnsi="Verdana"/>
          <w:sz w:val="20"/>
        </w:rPr>
        <w:t>No dia 18 do mesmo mês e ano, a Comissão apresentou esta informação.</w:t>
      </w:r>
    </w:p>
    <w:p w:rsidR="000B3F97" w:rsidRPr="00BD40F0" w:rsidRDefault="000B3F97" w:rsidP="000B3F97">
      <w:pPr>
        <w:jc w:val="both"/>
        <w:rPr>
          <w:rFonts w:ascii="Verdana" w:hAnsi="Verdana"/>
          <w:b/>
          <w:i/>
          <w:sz w:val="20"/>
        </w:rPr>
      </w:pPr>
    </w:p>
    <w:p w:rsidR="000B3F97" w:rsidRPr="00BD40F0" w:rsidRDefault="000B3F97" w:rsidP="000B3F97">
      <w:pPr>
        <w:jc w:val="both"/>
        <w:rPr>
          <w:rFonts w:ascii="Verdana" w:hAnsi="Verdana"/>
          <w:b/>
          <w:sz w:val="20"/>
        </w:rPr>
      </w:pPr>
      <w:r w:rsidRPr="00BD40F0">
        <w:rPr>
          <w:rFonts w:ascii="Verdana" w:hAnsi="Verdana"/>
          <w:sz w:val="20"/>
        </w:rPr>
        <w:t>46.</w:t>
      </w:r>
      <w:r w:rsidRPr="00BD40F0">
        <w:rPr>
          <w:rFonts w:ascii="Verdana" w:hAnsi="Verdana"/>
          <w:sz w:val="20"/>
        </w:rPr>
        <w:tab/>
        <w:t xml:space="preserve">Em 20 de março de 2000, o Presidente proferiu uma Resolução mediante a qual convocou </w:t>
      </w:r>
      <w:r w:rsidR="009F18E7">
        <w:rPr>
          <w:rFonts w:ascii="Verdana" w:hAnsi="Verdana"/>
          <w:sz w:val="20"/>
        </w:rPr>
        <w:t>a</w:t>
      </w:r>
      <w:r w:rsidRPr="00BD40F0">
        <w:rPr>
          <w:rFonts w:ascii="Verdana" w:hAnsi="Verdana"/>
          <w:sz w:val="20"/>
        </w:rPr>
        <w:t xml:space="preserve"> Comissão Interamericana e o Estado a uma audiência pública sobre o mérito, que seria realizada na sede da Corte em 13 de junho de 2000.</w:t>
      </w:r>
      <w:r w:rsidRPr="00BD40F0">
        <w:rPr>
          <w:rFonts w:ascii="Verdana" w:hAnsi="Verdana"/>
          <w:b/>
          <w:i/>
          <w:sz w:val="20"/>
        </w:rPr>
        <w:t xml:space="preserve"> </w:t>
      </w:r>
      <w:r w:rsidRPr="00BD40F0">
        <w:rPr>
          <w:rFonts w:ascii="Verdana" w:hAnsi="Verdana"/>
          <w:sz w:val="20"/>
        </w:rPr>
        <w:t>Esta audiência pública não foi realizada em razão das reduções orçamentárias que determinaram que a Corte suspendesse seu XLVIII Período Ordinário de Sessões, no qu</w:t>
      </w:r>
      <w:r w:rsidR="009F18E7">
        <w:rPr>
          <w:rFonts w:ascii="Verdana" w:hAnsi="Verdana"/>
          <w:sz w:val="20"/>
        </w:rPr>
        <w:t xml:space="preserve">al seria realizada </w:t>
      </w:r>
      <w:r w:rsidRPr="00BD40F0">
        <w:rPr>
          <w:rFonts w:ascii="Verdana" w:hAnsi="Verdana"/>
          <w:sz w:val="20"/>
        </w:rPr>
        <w:t>esta audiência.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47.</w:t>
      </w:r>
      <w:r w:rsidRPr="00BD40F0">
        <w:rPr>
          <w:rFonts w:ascii="Verdana" w:hAnsi="Verdana"/>
          <w:sz w:val="20"/>
        </w:rPr>
        <w:tab/>
        <w:t xml:space="preserve">Em </w:t>
      </w:r>
      <w:proofErr w:type="gramStart"/>
      <w:r w:rsidRPr="00BD40F0">
        <w:rPr>
          <w:rFonts w:ascii="Verdana" w:hAnsi="Verdana"/>
          <w:sz w:val="20"/>
        </w:rPr>
        <w:t>7</w:t>
      </w:r>
      <w:proofErr w:type="gramEnd"/>
      <w:r w:rsidRPr="00BD40F0">
        <w:rPr>
          <w:rFonts w:ascii="Verdana" w:hAnsi="Verdana"/>
          <w:sz w:val="20"/>
        </w:rPr>
        <w:t xml:space="preserve"> de abril de 2000, o Estado enviou um escrito indicando “os nomes das pessoas que explicar[iam] o conteúdo e alcance dos documentos probatórios oportunamente oferecidos”, com o fim de que as seguintes pessoas fossem </w:t>
      </w:r>
      <w:r w:rsidR="00C6474D">
        <w:rPr>
          <w:rFonts w:ascii="Verdana" w:hAnsi="Verdana"/>
          <w:sz w:val="20"/>
        </w:rPr>
        <w:t>recebidas</w:t>
      </w:r>
      <w:r w:rsidRPr="00BD40F0">
        <w:rPr>
          <w:rFonts w:ascii="Verdana" w:hAnsi="Verdana"/>
          <w:sz w:val="20"/>
        </w:rPr>
        <w:t xml:space="preserve"> </w:t>
      </w:r>
      <w:r w:rsidR="00B26C50">
        <w:rPr>
          <w:rFonts w:ascii="Verdana" w:hAnsi="Verdana"/>
          <w:sz w:val="20"/>
        </w:rPr>
        <w:t>na</w:t>
      </w:r>
      <w:r w:rsidRPr="00BD40F0">
        <w:rPr>
          <w:rFonts w:ascii="Verdana" w:hAnsi="Verdana"/>
          <w:sz w:val="20"/>
        </w:rPr>
        <w:t xml:space="preserve"> qualidade de testemunhas e peritos na audiência pública sobre o mérito do presente caso: senhores Marco Antonio Centeno Caffarena, Diretor do Escritório de Titulação Rural; Uriel Vanegas, Diretor da Secretaria de Demarcação Territorial do Conselho Regional da RAAN; Gonzalo Medina, assessor e especialista em Geod</w:t>
      </w:r>
      <w:r w:rsidR="00B26C50">
        <w:rPr>
          <w:rFonts w:ascii="Verdana" w:hAnsi="Verdana"/>
          <w:sz w:val="20"/>
        </w:rPr>
        <w:t>é</w:t>
      </w:r>
      <w:r w:rsidRPr="00BD40F0">
        <w:rPr>
          <w:rFonts w:ascii="Verdana" w:hAnsi="Verdana"/>
          <w:sz w:val="20"/>
        </w:rPr>
        <w:t>sia e Cartografia do Instituto Nicaraguense de Estudos Territoriais, e María Nella Rocha, Procuradora Especial do Meio Ambiente da Procuradoria Geral da República.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Os argumentos apresentados pelo Estado neste escrito indicam que as intervenções das testemunhas e dos peritos propostos contribuiriam a estabelecer:</w:t>
      </w:r>
    </w:p>
    <w:p w:rsidR="000B3F97" w:rsidRPr="00BD40F0" w:rsidRDefault="000B3F97" w:rsidP="000B3F97">
      <w:pPr>
        <w:jc w:val="both"/>
        <w:rPr>
          <w:rFonts w:ascii="Verdana" w:hAnsi="Verdana"/>
          <w:sz w:val="20"/>
        </w:rPr>
      </w:pPr>
    </w:p>
    <w:p w:rsidR="000B3F97" w:rsidRPr="00850A3F" w:rsidRDefault="000B3F97" w:rsidP="000B3F97">
      <w:pPr>
        <w:ind w:left="720" w:right="702"/>
        <w:jc w:val="both"/>
        <w:rPr>
          <w:rFonts w:ascii="Verdana" w:hAnsi="Verdana"/>
          <w:sz w:val="18"/>
          <w:szCs w:val="18"/>
        </w:rPr>
      </w:pPr>
      <w:r w:rsidRPr="00850A3F">
        <w:rPr>
          <w:rFonts w:ascii="Verdana" w:hAnsi="Verdana"/>
          <w:sz w:val="18"/>
          <w:szCs w:val="18"/>
        </w:rPr>
        <w:t>a</w:t>
      </w:r>
      <w:r w:rsidR="00C60678" w:rsidRPr="00C60678">
        <w:rPr>
          <w:rFonts w:ascii="Verdana" w:hAnsi="Verdana"/>
          <w:sz w:val="18"/>
          <w:szCs w:val="18"/>
        </w:rPr>
        <w:t>)</w:t>
      </w:r>
      <w:r w:rsidR="00850A3F">
        <w:rPr>
          <w:rFonts w:ascii="Verdana" w:hAnsi="Verdana"/>
          <w:sz w:val="18"/>
          <w:szCs w:val="18"/>
        </w:rPr>
        <w:t xml:space="preserve"> </w:t>
      </w:r>
      <w:r w:rsidRPr="00850A3F">
        <w:rPr>
          <w:rFonts w:ascii="Verdana" w:hAnsi="Verdana"/>
          <w:sz w:val="18"/>
          <w:szCs w:val="18"/>
        </w:rPr>
        <w:tab/>
        <w:t xml:space="preserve">o prejuízo resultante para os direitos de propriedade das comunidades indígenas vizinhas à Comunidade Mayagna de Awas Tingni, </w:t>
      </w:r>
      <w:r w:rsidR="009F18E7" w:rsidRPr="00850A3F">
        <w:rPr>
          <w:rFonts w:ascii="Verdana" w:hAnsi="Verdana"/>
          <w:sz w:val="18"/>
          <w:szCs w:val="18"/>
        </w:rPr>
        <w:t xml:space="preserve">no caso de que </w:t>
      </w:r>
      <w:r w:rsidR="009F18E7" w:rsidRPr="00850A3F">
        <w:rPr>
          <w:rFonts w:ascii="Verdana" w:hAnsi="Verdana"/>
          <w:sz w:val="18"/>
          <w:szCs w:val="18"/>
        </w:rPr>
        <w:lastRenderedPageBreak/>
        <w:t xml:space="preserve">proceda à </w:t>
      </w:r>
      <w:r w:rsidRPr="00850A3F">
        <w:rPr>
          <w:rFonts w:ascii="Verdana" w:hAnsi="Verdana"/>
          <w:sz w:val="18"/>
          <w:szCs w:val="18"/>
        </w:rPr>
        <w:t xml:space="preserve">titulação </w:t>
      </w:r>
      <w:r w:rsidR="009F18E7" w:rsidRPr="00850A3F">
        <w:rPr>
          <w:rFonts w:ascii="Verdana" w:hAnsi="Verdana"/>
          <w:sz w:val="18"/>
          <w:szCs w:val="18"/>
        </w:rPr>
        <w:t>d</w:t>
      </w:r>
      <w:r w:rsidRPr="00850A3F">
        <w:rPr>
          <w:rFonts w:ascii="Verdana" w:hAnsi="Verdana"/>
          <w:sz w:val="18"/>
          <w:szCs w:val="18"/>
        </w:rPr>
        <w:t>a superfície desproporciona</w:t>
      </w:r>
      <w:r w:rsidR="0069682D" w:rsidRPr="00850A3F">
        <w:rPr>
          <w:rFonts w:ascii="Verdana" w:hAnsi="Verdana"/>
          <w:sz w:val="18"/>
          <w:szCs w:val="18"/>
        </w:rPr>
        <w:t>l</w:t>
      </w:r>
      <w:r w:rsidRPr="00850A3F">
        <w:rPr>
          <w:rFonts w:ascii="Verdana" w:hAnsi="Verdana"/>
          <w:sz w:val="18"/>
          <w:szCs w:val="18"/>
        </w:rPr>
        <w:t xml:space="preserve"> pretendida por esta </w:t>
      </w:r>
      <w:proofErr w:type="gramStart"/>
      <w:r w:rsidRPr="00850A3F">
        <w:rPr>
          <w:rFonts w:ascii="Verdana" w:hAnsi="Verdana"/>
          <w:sz w:val="18"/>
          <w:szCs w:val="18"/>
        </w:rPr>
        <w:t>Comunidade[</w:t>
      </w:r>
      <w:proofErr w:type="gramEnd"/>
      <w:r w:rsidRPr="00850A3F">
        <w:rPr>
          <w:rFonts w:ascii="Verdana" w:hAnsi="Verdana"/>
          <w:sz w:val="18"/>
          <w:szCs w:val="18"/>
        </w:rPr>
        <w:t>;]</w:t>
      </w:r>
    </w:p>
    <w:p w:rsidR="000B3F97" w:rsidRPr="00850A3F" w:rsidRDefault="000B3F97" w:rsidP="000B3F97">
      <w:pPr>
        <w:ind w:left="720" w:right="702"/>
        <w:jc w:val="both"/>
        <w:rPr>
          <w:rFonts w:ascii="Verdana" w:hAnsi="Verdana"/>
          <w:sz w:val="18"/>
          <w:szCs w:val="18"/>
        </w:rPr>
      </w:pPr>
    </w:p>
    <w:p w:rsidR="000B3F97" w:rsidRPr="00850A3F" w:rsidRDefault="000B3F97" w:rsidP="000B3F97">
      <w:pPr>
        <w:ind w:left="720" w:right="702"/>
        <w:jc w:val="both"/>
        <w:rPr>
          <w:rFonts w:ascii="Verdana" w:hAnsi="Verdana"/>
          <w:sz w:val="18"/>
          <w:szCs w:val="18"/>
        </w:rPr>
      </w:pPr>
      <w:r w:rsidRPr="00850A3F">
        <w:rPr>
          <w:rFonts w:ascii="Verdana" w:hAnsi="Verdana"/>
          <w:sz w:val="18"/>
          <w:szCs w:val="18"/>
        </w:rPr>
        <w:t>b</w:t>
      </w:r>
      <w:r w:rsidR="00C60678" w:rsidRPr="00C60678">
        <w:rPr>
          <w:rFonts w:ascii="Verdana" w:hAnsi="Verdana"/>
          <w:sz w:val="18"/>
          <w:szCs w:val="18"/>
        </w:rPr>
        <w:t>)</w:t>
      </w:r>
      <w:r w:rsidR="00850A3F">
        <w:rPr>
          <w:rFonts w:ascii="Verdana" w:hAnsi="Verdana"/>
          <w:sz w:val="18"/>
          <w:szCs w:val="18"/>
        </w:rPr>
        <w:t xml:space="preserve"> </w:t>
      </w:r>
      <w:r w:rsidRPr="00850A3F">
        <w:rPr>
          <w:rFonts w:ascii="Verdana" w:hAnsi="Verdana"/>
          <w:sz w:val="18"/>
          <w:szCs w:val="18"/>
        </w:rPr>
        <w:tab/>
        <w:t xml:space="preserve">o prejuízo que resultará para </w:t>
      </w:r>
      <w:r w:rsidR="00B26C50" w:rsidRPr="00850A3F">
        <w:rPr>
          <w:rFonts w:ascii="Verdana" w:hAnsi="Verdana"/>
          <w:sz w:val="18"/>
          <w:szCs w:val="18"/>
        </w:rPr>
        <w:t>as reivindicações</w:t>
      </w:r>
      <w:r w:rsidRPr="00850A3F">
        <w:rPr>
          <w:rFonts w:ascii="Verdana" w:hAnsi="Verdana"/>
          <w:sz w:val="18"/>
          <w:szCs w:val="18"/>
        </w:rPr>
        <w:t xml:space="preserve"> de terras do resto das comunidades indígenas existentes na Costa Atlântica da Nicarágua, </w:t>
      </w:r>
      <w:r w:rsidR="009F18E7" w:rsidRPr="00850A3F">
        <w:rPr>
          <w:rFonts w:ascii="Verdana" w:hAnsi="Verdana"/>
          <w:sz w:val="18"/>
          <w:szCs w:val="18"/>
        </w:rPr>
        <w:t xml:space="preserve">se for atribuída </w:t>
      </w:r>
      <w:r w:rsidRPr="00850A3F">
        <w:rPr>
          <w:rFonts w:ascii="Verdana" w:hAnsi="Verdana"/>
          <w:sz w:val="18"/>
          <w:szCs w:val="18"/>
        </w:rPr>
        <w:t>à Comunidade Indígena de Awas Tingni a superfície desproporciona</w:t>
      </w:r>
      <w:r w:rsidR="0069682D" w:rsidRPr="00850A3F">
        <w:rPr>
          <w:rFonts w:ascii="Verdana" w:hAnsi="Verdana"/>
          <w:sz w:val="18"/>
          <w:szCs w:val="18"/>
        </w:rPr>
        <w:t>l</w:t>
      </w:r>
      <w:r w:rsidRPr="00850A3F">
        <w:rPr>
          <w:rFonts w:ascii="Verdana" w:hAnsi="Verdana"/>
          <w:sz w:val="18"/>
          <w:szCs w:val="18"/>
        </w:rPr>
        <w:t xml:space="preserve"> que pretende;</w:t>
      </w:r>
    </w:p>
    <w:p w:rsidR="000B3F97" w:rsidRPr="00850A3F" w:rsidRDefault="000B3F97" w:rsidP="000B3F97">
      <w:pPr>
        <w:ind w:left="720" w:right="702"/>
        <w:jc w:val="both"/>
        <w:rPr>
          <w:rFonts w:ascii="Verdana" w:hAnsi="Verdana"/>
          <w:sz w:val="18"/>
          <w:szCs w:val="18"/>
        </w:rPr>
      </w:pPr>
    </w:p>
    <w:p w:rsidR="000B3F97" w:rsidRPr="00850A3F" w:rsidRDefault="000B3F97" w:rsidP="000B3F97">
      <w:pPr>
        <w:ind w:left="720" w:right="702"/>
        <w:jc w:val="both"/>
        <w:rPr>
          <w:rFonts w:ascii="Verdana" w:hAnsi="Verdana"/>
          <w:b/>
          <w:sz w:val="18"/>
          <w:szCs w:val="18"/>
        </w:rPr>
      </w:pPr>
      <w:r w:rsidRPr="00850A3F">
        <w:rPr>
          <w:rFonts w:ascii="Verdana" w:hAnsi="Verdana"/>
          <w:sz w:val="18"/>
          <w:szCs w:val="18"/>
        </w:rPr>
        <w:t>c</w:t>
      </w:r>
      <w:r w:rsidR="00C60678" w:rsidRPr="00C60678">
        <w:rPr>
          <w:rFonts w:ascii="Verdana" w:hAnsi="Verdana"/>
          <w:sz w:val="18"/>
          <w:szCs w:val="18"/>
        </w:rPr>
        <w:t>)</w:t>
      </w:r>
      <w:r w:rsidR="00850A3F">
        <w:rPr>
          <w:rFonts w:ascii="Verdana" w:hAnsi="Verdana"/>
          <w:sz w:val="18"/>
          <w:szCs w:val="18"/>
        </w:rPr>
        <w:t xml:space="preserve"> </w:t>
      </w:r>
      <w:r w:rsidRPr="00850A3F">
        <w:rPr>
          <w:rFonts w:ascii="Verdana" w:hAnsi="Verdana"/>
          <w:sz w:val="18"/>
          <w:szCs w:val="18"/>
        </w:rPr>
        <w:tab/>
        <w:t xml:space="preserve">o interesse do Estado em conduzir um processo de titulação equânime e objetivo das terras das Comunidades Indígenas que salvaguarde os direitos de cada uma das Comunidades; argumentos expostos nos escritos de Exceções Preliminares e Contestação da Demanda e suportados documentalmente por meio dos Anexos referidos.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48.</w:t>
      </w:r>
      <w:r w:rsidRPr="00BD40F0">
        <w:rPr>
          <w:rFonts w:ascii="Verdana" w:hAnsi="Verdana"/>
          <w:sz w:val="20"/>
        </w:rPr>
        <w:tab/>
        <w:t>Em 13 de abril de 2000, a Comissão enviou um escrito no qu</w:t>
      </w:r>
      <w:r w:rsidR="009F18E7">
        <w:rPr>
          <w:rFonts w:ascii="Verdana" w:hAnsi="Verdana"/>
          <w:sz w:val="20"/>
        </w:rPr>
        <w:t>al</w:t>
      </w:r>
      <w:r w:rsidRPr="00BD40F0">
        <w:rPr>
          <w:rFonts w:ascii="Verdana" w:hAnsi="Verdana"/>
          <w:sz w:val="20"/>
        </w:rPr>
        <w:t xml:space="preserve"> solicitou à Corte que ordena</w:t>
      </w:r>
      <w:r w:rsidR="00282D2D">
        <w:rPr>
          <w:rFonts w:ascii="Verdana" w:hAnsi="Verdana"/>
          <w:sz w:val="20"/>
        </w:rPr>
        <w:t>sse</w:t>
      </w:r>
      <w:r w:rsidRPr="00BD40F0">
        <w:rPr>
          <w:rFonts w:ascii="Verdana" w:hAnsi="Verdana"/>
          <w:sz w:val="20"/>
        </w:rPr>
        <w:t xml:space="preserve"> ao Estado que adota</w:t>
      </w:r>
      <w:r w:rsidR="00282D2D">
        <w:rPr>
          <w:rFonts w:ascii="Verdana" w:hAnsi="Verdana"/>
          <w:sz w:val="20"/>
        </w:rPr>
        <w:t>sse</w:t>
      </w:r>
      <w:r w:rsidRPr="00BD40F0">
        <w:rPr>
          <w:rFonts w:ascii="Verdana" w:hAnsi="Verdana"/>
          <w:sz w:val="20"/>
        </w:rPr>
        <w:t xml:space="preserve"> “as medidas necessárias para assegurar que seus funcionários não atuem de maneira que tenda a pressionar </w:t>
      </w:r>
      <w:r w:rsidR="00282D2D">
        <w:rPr>
          <w:rFonts w:ascii="Verdana" w:hAnsi="Verdana"/>
          <w:sz w:val="20"/>
        </w:rPr>
        <w:t>a</w:t>
      </w:r>
      <w:r w:rsidRPr="00BD40F0">
        <w:rPr>
          <w:rFonts w:ascii="Verdana" w:hAnsi="Verdana"/>
          <w:sz w:val="20"/>
        </w:rPr>
        <w:t xml:space="preserve"> Comunidade a renunciar a sua demanda, ou que tenda a interferir na relação entre a Comunidade e seus </w:t>
      </w:r>
      <w:proofErr w:type="gramStart"/>
      <w:r w:rsidRPr="00BD40F0">
        <w:rPr>
          <w:rFonts w:ascii="Verdana" w:hAnsi="Verdana"/>
          <w:sz w:val="20"/>
        </w:rPr>
        <w:t>advogados[</w:t>
      </w:r>
      <w:proofErr w:type="gramEnd"/>
      <w:r w:rsidRPr="00BD40F0">
        <w:rPr>
          <w:rFonts w:ascii="Verdana" w:hAnsi="Verdana"/>
          <w:sz w:val="20"/>
        </w:rPr>
        <w:t>, e…] que deixe de tentar negociar com os membros da Comunidade sem que haja um acordo ou entendimento prévio com a Comissão e a Corte a esse respeito”.</w:t>
      </w:r>
      <w:r w:rsidR="00850A3F">
        <w:rPr>
          <w:rFonts w:ascii="Verdana" w:hAnsi="Verdana"/>
          <w:sz w:val="20"/>
        </w:rPr>
        <w:t xml:space="preserve"> </w:t>
      </w:r>
      <w:r w:rsidR="009F18E7">
        <w:rPr>
          <w:rFonts w:ascii="Verdana" w:hAnsi="Verdana"/>
          <w:sz w:val="20"/>
        </w:rPr>
        <w:t>Em a</w:t>
      </w:r>
      <w:r w:rsidRPr="00BD40F0">
        <w:rPr>
          <w:rFonts w:ascii="Verdana" w:hAnsi="Verdana"/>
          <w:sz w:val="20"/>
        </w:rPr>
        <w:t>nexo, apresentou um escrito de 12 de abril de 2000</w:t>
      </w:r>
      <w:r w:rsidR="005C707D">
        <w:rPr>
          <w:rFonts w:ascii="Verdana" w:hAnsi="Verdana"/>
          <w:sz w:val="20"/>
        </w:rPr>
        <w:t>,</w:t>
      </w:r>
      <w:r w:rsidRPr="00BD40F0">
        <w:rPr>
          <w:rFonts w:ascii="Verdana" w:hAnsi="Verdana"/>
          <w:sz w:val="20"/>
        </w:rPr>
        <w:t xml:space="preserve"> encaminhado pelo senhor James </w:t>
      </w:r>
      <w:r w:rsidR="00F6292B">
        <w:rPr>
          <w:rFonts w:ascii="Verdana" w:hAnsi="Verdana"/>
          <w:sz w:val="20"/>
        </w:rPr>
        <w:t>Anaya, representante jurídico</w:t>
      </w:r>
      <w:r w:rsidRPr="00BD40F0">
        <w:rPr>
          <w:rFonts w:ascii="Verdana" w:hAnsi="Verdana"/>
          <w:sz w:val="20"/>
        </w:rPr>
        <w:t xml:space="preserve"> da Comunidade, ao senhor Jorge E. Taiana, Secretário Executivo da Comissão, que continha como anexo o relatório elaborado pela senhora María Luisa Acosta Castellón sobre a reunião entre funcionários do Estado e a Comunidade Awas Tingni, realizada nos dias 30 e 31 de março de 2000 nos escritórios da Chancelaria da Nicarágua.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49.</w:t>
      </w:r>
      <w:r w:rsidRPr="00BD40F0">
        <w:rPr>
          <w:rFonts w:ascii="Verdana" w:hAnsi="Verdana"/>
          <w:sz w:val="20"/>
        </w:rPr>
        <w:tab/>
        <w:t>Em 14 de abril de 2000, a Secretaria concedeu um prazo de 30 dias ao Estado para que apresentasse suas observações ao escrito anterior.</w:t>
      </w:r>
      <w:r w:rsidR="00850A3F">
        <w:rPr>
          <w:rFonts w:ascii="Verdana" w:hAnsi="Verdana"/>
          <w:sz w:val="20"/>
        </w:rPr>
        <w:t xml:space="preserve"> </w:t>
      </w:r>
      <w:r w:rsidRPr="00BD40F0">
        <w:rPr>
          <w:rFonts w:ascii="Verdana" w:hAnsi="Verdana"/>
          <w:sz w:val="20"/>
        </w:rPr>
        <w:t xml:space="preserve">Em 10 de maio do mesmo ano, a Nicarágua </w:t>
      </w:r>
      <w:r w:rsidR="00243DA4">
        <w:rPr>
          <w:rFonts w:ascii="Verdana" w:hAnsi="Verdana"/>
          <w:sz w:val="20"/>
        </w:rPr>
        <w:t>afirmou</w:t>
      </w:r>
      <w:r w:rsidRPr="00BD40F0">
        <w:rPr>
          <w:rFonts w:ascii="Verdana" w:hAnsi="Verdana"/>
          <w:sz w:val="20"/>
        </w:rPr>
        <w:t xml:space="preserve"> que não tinha exercido nenhuma pressão sobre a Comunidade</w:t>
      </w:r>
      <w:r w:rsidR="008F59DB">
        <w:rPr>
          <w:rFonts w:ascii="Verdana" w:hAnsi="Verdana"/>
          <w:sz w:val="20"/>
        </w:rPr>
        <w:t>,</w:t>
      </w:r>
      <w:r w:rsidRPr="00BD40F0">
        <w:rPr>
          <w:rFonts w:ascii="Verdana" w:hAnsi="Verdana"/>
          <w:sz w:val="20"/>
        </w:rPr>
        <w:t xml:space="preserve"> nem interferido em suas relações com seus representantes </w:t>
      </w:r>
      <w:r w:rsidR="005B76F3">
        <w:rPr>
          <w:rFonts w:ascii="Verdana" w:hAnsi="Verdana"/>
          <w:sz w:val="20"/>
        </w:rPr>
        <w:t>jurídicos</w:t>
      </w:r>
      <w:r w:rsidRPr="00BD40F0">
        <w:rPr>
          <w:rFonts w:ascii="Verdana" w:hAnsi="Verdana"/>
          <w:sz w:val="20"/>
        </w:rPr>
        <w:t xml:space="preserve">. Ademais, </w:t>
      </w:r>
      <w:r w:rsidR="00243DA4">
        <w:rPr>
          <w:rFonts w:ascii="Verdana" w:hAnsi="Verdana"/>
          <w:sz w:val="20"/>
        </w:rPr>
        <w:t>afirmou</w:t>
      </w:r>
      <w:r w:rsidRPr="00BD40F0">
        <w:rPr>
          <w:rFonts w:ascii="Verdana" w:hAnsi="Verdana"/>
          <w:sz w:val="20"/>
        </w:rPr>
        <w:t xml:space="preserve"> sua disposição de procurar uma solução amigável através de conversações diretas e exclusivas com a Comissão. </w:t>
      </w:r>
      <w:r w:rsidR="009F18E7">
        <w:rPr>
          <w:rFonts w:ascii="Verdana" w:hAnsi="Verdana"/>
          <w:sz w:val="20"/>
        </w:rPr>
        <w:t>Em a</w:t>
      </w:r>
      <w:r w:rsidRPr="00BD40F0">
        <w:rPr>
          <w:rFonts w:ascii="Verdana" w:hAnsi="Verdana"/>
          <w:sz w:val="20"/>
        </w:rPr>
        <w:t xml:space="preserve">nexo, apresentou um documento com data de </w:t>
      </w:r>
      <w:proofErr w:type="gramStart"/>
      <w:r w:rsidRPr="00BD40F0">
        <w:rPr>
          <w:rFonts w:ascii="Verdana" w:hAnsi="Verdana"/>
          <w:sz w:val="20"/>
        </w:rPr>
        <w:t>3</w:t>
      </w:r>
      <w:proofErr w:type="gramEnd"/>
      <w:r w:rsidRPr="00BD40F0">
        <w:rPr>
          <w:rFonts w:ascii="Verdana" w:hAnsi="Verdana"/>
          <w:sz w:val="20"/>
        </w:rPr>
        <w:t xml:space="preserve"> de fevereiro de 2000</w:t>
      </w:r>
      <w:r w:rsidR="005B76F3">
        <w:rPr>
          <w:rFonts w:ascii="Verdana" w:hAnsi="Verdana"/>
          <w:sz w:val="20"/>
        </w:rPr>
        <w:t>,</w:t>
      </w:r>
      <w:r w:rsidR="00850A3F">
        <w:rPr>
          <w:rFonts w:ascii="Verdana" w:hAnsi="Verdana"/>
          <w:sz w:val="20"/>
        </w:rPr>
        <w:t xml:space="preserve"> </w:t>
      </w:r>
      <w:r w:rsidR="00C6474D">
        <w:rPr>
          <w:rFonts w:ascii="Verdana" w:hAnsi="Verdana"/>
          <w:sz w:val="20"/>
        </w:rPr>
        <w:t>intitulado</w:t>
      </w:r>
      <w:r w:rsidR="004B4FEB">
        <w:rPr>
          <w:rFonts w:ascii="Verdana" w:hAnsi="Verdana"/>
          <w:sz w:val="20"/>
        </w:rPr>
        <w:t xml:space="preserve"> </w:t>
      </w:r>
      <w:r w:rsidRPr="00BD40F0">
        <w:rPr>
          <w:rFonts w:ascii="Verdana" w:hAnsi="Verdana"/>
          <w:sz w:val="20"/>
        </w:rPr>
        <w:t>“ata de nomeação de representantes dos habitantes que formam o grupo étnico Mayagna da Comunidade de Awas Tingni, Município de Wa[s]pam, Rio Coco, RAAN”.</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50.</w:t>
      </w:r>
      <w:r w:rsidRPr="00BD40F0">
        <w:rPr>
          <w:rFonts w:ascii="Verdana" w:hAnsi="Verdana"/>
          <w:sz w:val="20"/>
        </w:rPr>
        <w:tab/>
        <w:t xml:space="preserve">Em 10 de maio de 2000, a Comissão enviou um escrito </w:t>
      </w:r>
      <w:r w:rsidR="005B76F3">
        <w:rPr>
          <w:rFonts w:ascii="Verdana" w:hAnsi="Verdana"/>
          <w:sz w:val="20"/>
        </w:rPr>
        <w:t xml:space="preserve">no qual </w:t>
      </w:r>
      <w:r w:rsidRPr="00BD40F0">
        <w:rPr>
          <w:rFonts w:ascii="Verdana" w:hAnsi="Verdana"/>
          <w:sz w:val="20"/>
        </w:rPr>
        <w:t xml:space="preserve">expressou que a Nicarágua, em sua contestação à demanda, não havia </w:t>
      </w:r>
      <w:r w:rsidR="00C6474D">
        <w:rPr>
          <w:rFonts w:ascii="Verdana" w:hAnsi="Verdana"/>
          <w:sz w:val="20"/>
        </w:rPr>
        <w:t>proposto</w:t>
      </w:r>
      <w:r w:rsidRPr="00BD40F0">
        <w:rPr>
          <w:rFonts w:ascii="Verdana" w:hAnsi="Verdana"/>
          <w:sz w:val="20"/>
        </w:rPr>
        <w:t xml:space="preserve"> testemunhas ou peritos. Ademais, acrescentou que o Estado não havia alegado força maior</w:t>
      </w:r>
      <w:r w:rsidR="00532F2C">
        <w:rPr>
          <w:rFonts w:ascii="Verdana" w:hAnsi="Verdana"/>
          <w:sz w:val="20"/>
        </w:rPr>
        <w:t>,</w:t>
      </w:r>
      <w:r w:rsidRPr="00BD40F0">
        <w:rPr>
          <w:rFonts w:ascii="Verdana" w:hAnsi="Verdana"/>
          <w:sz w:val="20"/>
        </w:rPr>
        <w:t xml:space="preserve"> nem outros motivos que justifica</w:t>
      </w:r>
      <w:r w:rsidR="00282D2D">
        <w:rPr>
          <w:rFonts w:ascii="Verdana" w:hAnsi="Verdana"/>
          <w:sz w:val="20"/>
        </w:rPr>
        <w:t>ssem</w:t>
      </w:r>
      <w:r w:rsidRPr="00BD40F0">
        <w:rPr>
          <w:rFonts w:ascii="Verdana" w:hAnsi="Verdana"/>
          <w:sz w:val="20"/>
        </w:rPr>
        <w:t xml:space="preserve"> a admissão de provas não indicadas em sua contestação, </w:t>
      </w:r>
      <w:r w:rsidR="00243DA4">
        <w:rPr>
          <w:rFonts w:ascii="Verdana" w:hAnsi="Verdana"/>
          <w:sz w:val="20"/>
        </w:rPr>
        <w:t>de modo que</w:t>
      </w:r>
      <w:r w:rsidRPr="00BD40F0">
        <w:rPr>
          <w:rFonts w:ascii="Verdana" w:hAnsi="Verdana"/>
          <w:sz w:val="20"/>
        </w:rPr>
        <w:t xml:space="preserve"> solicitou à Corte que declara</w:t>
      </w:r>
      <w:r w:rsidR="00D44966">
        <w:rPr>
          <w:rFonts w:ascii="Verdana" w:hAnsi="Verdana"/>
          <w:sz w:val="20"/>
        </w:rPr>
        <w:t>s</w:t>
      </w:r>
      <w:r w:rsidR="00282D2D">
        <w:rPr>
          <w:rFonts w:ascii="Verdana" w:hAnsi="Verdana"/>
          <w:sz w:val="20"/>
        </w:rPr>
        <w:t>se</w:t>
      </w:r>
      <w:r w:rsidRPr="00BD40F0">
        <w:rPr>
          <w:rFonts w:ascii="Verdana" w:hAnsi="Verdana"/>
          <w:sz w:val="20"/>
        </w:rPr>
        <w:t xml:space="preserve"> improcedente a convocatória das testemunhas e dos peritos propostos pela Nicarágua </w:t>
      </w:r>
      <w:r w:rsidR="00C60678" w:rsidRPr="00C60678">
        <w:rPr>
          <w:rFonts w:ascii="Verdana" w:hAnsi="Verdana"/>
          <w:sz w:val="20"/>
        </w:rPr>
        <w:t>(</w:t>
      </w:r>
      <w:r w:rsidRPr="00BD40F0">
        <w:rPr>
          <w:rFonts w:ascii="Verdana" w:hAnsi="Verdana"/>
          <w:sz w:val="20"/>
        </w:rPr>
        <w:t xml:space="preserve">par. 47 </w:t>
      </w:r>
      <w:r w:rsidRPr="00BD40F0">
        <w:rPr>
          <w:rFonts w:ascii="Verdana" w:hAnsi="Verdana"/>
          <w:i/>
          <w:sz w:val="20"/>
        </w:rPr>
        <w:t>supra</w:t>
      </w:r>
      <w:r w:rsidR="00C60678" w:rsidRPr="00C60678">
        <w:rPr>
          <w:rFonts w:ascii="Verdana" w:hAnsi="Verdana"/>
          <w:sz w:val="20"/>
        </w:rPr>
        <w:t>)</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51.</w:t>
      </w:r>
      <w:r w:rsidRPr="00BD40F0">
        <w:rPr>
          <w:rFonts w:ascii="Verdana" w:hAnsi="Verdana"/>
          <w:sz w:val="20"/>
        </w:rPr>
        <w:tab/>
        <w:t>Em 1° de junho de 2000, a Secretaria solicitou ao Estado que apresentasse, o mais tardar no dia 15 de junho do mesmo ano, os fundamentos ou comentários sobre seu oferecimento de testemunhas e peritos, para que o Presidente considera</w:t>
      </w:r>
      <w:r w:rsidR="00282D2D">
        <w:rPr>
          <w:rFonts w:ascii="Verdana" w:hAnsi="Verdana"/>
          <w:sz w:val="20"/>
        </w:rPr>
        <w:t>sse</w:t>
      </w:r>
      <w:r w:rsidRPr="00BD40F0">
        <w:rPr>
          <w:rFonts w:ascii="Verdana" w:hAnsi="Verdana"/>
          <w:sz w:val="20"/>
        </w:rPr>
        <w:t xml:space="preserve"> sua admissibilidade.</w:t>
      </w:r>
      <w:r w:rsidR="00850A3F">
        <w:rPr>
          <w:rFonts w:ascii="Verdana" w:hAnsi="Verdana"/>
          <w:b/>
          <w:sz w:val="20"/>
        </w:rPr>
        <w:t xml:space="preserve"> </w:t>
      </w:r>
      <w:r w:rsidRPr="00BD40F0">
        <w:rPr>
          <w:rFonts w:ascii="Verdana" w:hAnsi="Verdana"/>
          <w:sz w:val="20"/>
        </w:rPr>
        <w:t xml:space="preserve">Igualmente, mediante Resolução de 18 de agosto de 2000, a Corte reiterou ao Estado </w:t>
      </w:r>
      <w:r w:rsidR="00F36166">
        <w:rPr>
          <w:rFonts w:ascii="Verdana" w:hAnsi="Verdana"/>
          <w:sz w:val="20"/>
        </w:rPr>
        <w:t>o pedido</w:t>
      </w:r>
      <w:r w:rsidRPr="00BD40F0">
        <w:rPr>
          <w:rFonts w:ascii="Verdana" w:hAnsi="Verdana"/>
          <w:sz w:val="20"/>
        </w:rPr>
        <w:t xml:space="preserve"> de que apresentasse os fundamentos que motivaram a proposta extemporânea de testemunhas e peritos </w:t>
      </w:r>
      <w:r w:rsidR="00C60678" w:rsidRPr="00C60678">
        <w:rPr>
          <w:rFonts w:ascii="Verdana" w:hAnsi="Verdana"/>
          <w:sz w:val="20"/>
        </w:rPr>
        <w:t>(</w:t>
      </w:r>
      <w:r w:rsidRPr="00BD40F0">
        <w:rPr>
          <w:rFonts w:ascii="Verdana" w:hAnsi="Verdana"/>
          <w:sz w:val="20"/>
        </w:rPr>
        <w:t xml:space="preserve">par. 47 </w:t>
      </w:r>
      <w:r w:rsidRPr="00BD40F0">
        <w:rPr>
          <w:rFonts w:ascii="Verdana" w:hAnsi="Verdana"/>
          <w:i/>
          <w:sz w:val="20"/>
        </w:rPr>
        <w:t>supra</w:t>
      </w:r>
      <w:r w:rsidR="00C60678" w:rsidRPr="00C60678">
        <w:rPr>
          <w:rFonts w:ascii="Verdana" w:hAnsi="Verdana"/>
          <w:sz w:val="20"/>
        </w:rPr>
        <w:t>)</w:t>
      </w:r>
      <w:r w:rsidRPr="00BD40F0">
        <w:rPr>
          <w:rFonts w:ascii="Verdana" w:hAnsi="Verdana"/>
          <w:sz w:val="20"/>
        </w:rPr>
        <w:t xml:space="preserve">; ademais, </w:t>
      </w:r>
      <w:r w:rsidR="008C113F">
        <w:rPr>
          <w:rFonts w:ascii="Verdana" w:hAnsi="Verdana"/>
          <w:sz w:val="20"/>
        </w:rPr>
        <w:t xml:space="preserve">solicitou-lhe </w:t>
      </w:r>
      <w:r w:rsidRPr="00BD40F0">
        <w:rPr>
          <w:rFonts w:ascii="Verdana" w:hAnsi="Verdana"/>
          <w:sz w:val="20"/>
        </w:rPr>
        <w:t>que especifica</w:t>
      </w:r>
      <w:r w:rsidR="008C113F">
        <w:rPr>
          <w:rFonts w:ascii="Verdana" w:hAnsi="Verdana"/>
          <w:sz w:val="20"/>
        </w:rPr>
        <w:t>sse</w:t>
      </w:r>
      <w:r w:rsidRPr="00BD40F0">
        <w:rPr>
          <w:rFonts w:ascii="Verdana" w:hAnsi="Verdana"/>
          <w:sz w:val="20"/>
        </w:rPr>
        <w:t xml:space="preserve"> que pessoas foram oferecidas para prestar declaração na qualidade de testemunhas e quem </w:t>
      </w:r>
      <w:r w:rsidR="008C113F">
        <w:rPr>
          <w:rFonts w:ascii="Verdana" w:hAnsi="Verdana"/>
          <w:sz w:val="20"/>
        </w:rPr>
        <w:t>na</w:t>
      </w:r>
      <w:r w:rsidRPr="00BD40F0">
        <w:rPr>
          <w:rFonts w:ascii="Verdana" w:hAnsi="Verdana"/>
          <w:sz w:val="20"/>
        </w:rPr>
        <w:t xml:space="preserve"> qualidade de peritos.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lastRenderedPageBreak/>
        <w:t>52.</w:t>
      </w:r>
      <w:r w:rsidRPr="00BD40F0">
        <w:rPr>
          <w:rFonts w:ascii="Verdana" w:hAnsi="Verdana"/>
          <w:sz w:val="20"/>
        </w:rPr>
        <w:tab/>
        <w:t xml:space="preserve">Em 31 de maio de 2000, o escritório de advocacia Hutchins, Soroka &amp; Dionne apresentou um escrito de </w:t>
      </w:r>
      <w:r w:rsidRPr="00BD40F0">
        <w:rPr>
          <w:rFonts w:ascii="Verdana" w:hAnsi="Verdana"/>
          <w:i/>
          <w:sz w:val="20"/>
        </w:rPr>
        <w:t>amicus curiae</w:t>
      </w:r>
      <w:r w:rsidRPr="00BD40F0">
        <w:rPr>
          <w:rFonts w:ascii="Verdana" w:hAnsi="Verdana"/>
          <w:sz w:val="20"/>
        </w:rPr>
        <w:t xml:space="preserve"> em idioma inglês, em representação da Comunidade Indígena Mohawks de Akwesasne.</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53.</w:t>
      </w:r>
      <w:r w:rsidRPr="00BD40F0">
        <w:rPr>
          <w:rFonts w:ascii="Verdana" w:hAnsi="Verdana"/>
          <w:sz w:val="20"/>
        </w:rPr>
        <w:tab/>
        <w:t xml:space="preserve">Em </w:t>
      </w:r>
      <w:proofErr w:type="gramStart"/>
      <w:r w:rsidRPr="00BD40F0">
        <w:rPr>
          <w:rFonts w:ascii="Verdana" w:hAnsi="Verdana"/>
          <w:sz w:val="20"/>
        </w:rPr>
        <w:t>5</w:t>
      </w:r>
      <w:proofErr w:type="gramEnd"/>
      <w:r w:rsidRPr="00BD40F0">
        <w:rPr>
          <w:rFonts w:ascii="Verdana" w:hAnsi="Verdana"/>
          <w:sz w:val="20"/>
        </w:rPr>
        <w:t xml:space="preserve"> de setembro de 2000, o Estado apresentou uma comunicação mediante a qual informou que as pessoas indicadas em seu escrito de 7 de abril de 2000 </w:t>
      </w:r>
      <w:r w:rsidR="00C60678" w:rsidRPr="00C60678">
        <w:rPr>
          <w:rFonts w:ascii="Verdana" w:hAnsi="Verdana"/>
          <w:sz w:val="20"/>
        </w:rPr>
        <w:t>(</w:t>
      </w:r>
      <w:r w:rsidRPr="00BD40F0">
        <w:rPr>
          <w:rFonts w:ascii="Verdana" w:hAnsi="Verdana"/>
          <w:sz w:val="20"/>
        </w:rPr>
        <w:t xml:space="preserve">par. 47 </w:t>
      </w:r>
      <w:r w:rsidRPr="00BD40F0">
        <w:rPr>
          <w:rFonts w:ascii="Verdana" w:hAnsi="Verdana"/>
          <w:i/>
          <w:sz w:val="20"/>
        </w:rPr>
        <w:t>supra</w:t>
      </w:r>
      <w:r w:rsidR="00C60678" w:rsidRPr="00C60678">
        <w:rPr>
          <w:rFonts w:ascii="Verdana" w:hAnsi="Verdana"/>
          <w:sz w:val="20"/>
        </w:rPr>
        <w:t>)</w:t>
      </w:r>
      <w:r w:rsidRPr="00BD40F0">
        <w:rPr>
          <w:rFonts w:ascii="Verdana" w:hAnsi="Verdana"/>
          <w:sz w:val="20"/>
        </w:rPr>
        <w:t xml:space="preserve"> haviam sido propostas na qualidade de peritos.</w:t>
      </w:r>
      <w:r w:rsidR="00850A3F">
        <w:rPr>
          <w:rFonts w:ascii="Verdana" w:hAnsi="Verdana"/>
          <w:sz w:val="20"/>
        </w:rPr>
        <w:t xml:space="preserve"> </w:t>
      </w:r>
      <w:r w:rsidRPr="00BD40F0">
        <w:rPr>
          <w:rFonts w:ascii="Verdana" w:hAnsi="Verdana"/>
          <w:sz w:val="20"/>
        </w:rPr>
        <w:t>No dia seguinte, seguindo instruções do Presidente, a Secretaria pediu à Comissão que envia</w:t>
      </w:r>
      <w:r w:rsidR="008C113F">
        <w:rPr>
          <w:rFonts w:ascii="Verdana" w:hAnsi="Verdana"/>
          <w:sz w:val="20"/>
        </w:rPr>
        <w:t>sse</w:t>
      </w:r>
      <w:r w:rsidRPr="00BD40F0">
        <w:rPr>
          <w:rFonts w:ascii="Verdana" w:hAnsi="Verdana"/>
          <w:sz w:val="20"/>
        </w:rPr>
        <w:t xml:space="preserve"> suas observações a</w:t>
      </w:r>
      <w:r w:rsidR="009F18E7">
        <w:rPr>
          <w:rFonts w:ascii="Verdana" w:hAnsi="Verdana"/>
          <w:sz w:val="20"/>
        </w:rPr>
        <w:t>o</w:t>
      </w:r>
      <w:r w:rsidRPr="00BD40F0">
        <w:rPr>
          <w:rFonts w:ascii="Verdana" w:hAnsi="Verdana"/>
          <w:sz w:val="20"/>
        </w:rPr>
        <w:t xml:space="preserve"> referido escrito, </w:t>
      </w:r>
      <w:r w:rsidR="00C6474D">
        <w:rPr>
          <w:rFonts w:ascii="Verdana" w:hAnsi="Verdana"/>
          <w:sz w:val="20"/>
        </w:rPr>
        <w:t>bem como</w:t>
      </w:r>
      <w:r w:rsidRPr="00BD40F0">
        <w:rPr>
          <w:rFonts w:ascii="Verdana" w:hAnsi="Verdana"/>
          <w:sz w:val="20"/>
        </w:rPr>
        <w:t xml:space="preserve"> sua lista definitiva de t</w:t>
      </w:r>
      <w:r w:rsidR="005B76F3">
        <w:rPr>
          <w:rFonts w:ascii="Verdana" w:hAnsi="Verdana"/>
          <w:sz w:val="20"/>
        </w:rPr>
        <w:t>estemunhas e peritos, para o que</w:t>
      </w:r>
      <w:r w:rsidRPr="00BD40F0">
        <w:rPr>
          <w:rFonts w:ascii="Verdana" w:hAnsi="Verdana"/>
          <w:sz w:val="20"/>
        </w:rPr>
        <w:t xml:space="preserve"> concedeu prazo até o dia 12 de setembro de 2000.</w:t>
      </w:r>
    </w:p>
    <w:p w:rsidR="000B3F97" w:rsidRPr="00BD40F0" w:rsidRDefault="000B3F97" w:rsidP="000B3F97">
      <w:pPr>
        <w:jc w:val="both"/>
        <w:rPr>
          <w:rFonts w:ascii="Verdana" w:hAnsi="Verdana"/>
          <w:b/>
          <w:i/>
          <w:sz w:val="20"/>
        </w:rPr>
      </w:pPr>
    </w:p>
    <w:p w:rsidR="000B3F97" w:rsidRPr="00BD40F0" w:rsidRDefault="000B3F97" w:rsidP="000B3F97">
      <w:pPr>
        <w:jc w:val="both"/>
        <w:rPr>
          <w:rFonts w:ascii="Verdana" w:hAnsi="Verdana"/>
          <w:b/>
          <w:i/>
          <w:sz w:val="20"/>
        </w:rPr>
      </w:pPr>
      <w:r w:rsidRPr="00BD40F0">
        <w:rPr>
          <w:rFonts w:ascii="Verdana" w:hAnsi="Verdana"/>
          <w:sz w:val="20"/>
        </w:rPr>
        <w:t>54.</w:t>
      </w:r>
      <w:r w:rsidRPr="00BD40F0">
        <w:rPr>
          <w:rFonts w:ascii="Verdana" w:hAnsi="Verdana"/>
          <w:sz w:val="20"/>
        </w:rPr>
        <w:tab/>
        <w:t>No dia 12 de setembro de 2000, a Comissão enviou uma nota na qu</w:t>
      </w:r>
      <w:r w:rsidR="009F18E7">
        <w:rPr>
          <w:rFonts w:ascii="Verdana" w:hAnsi="Verdana"/>
          <w:sz w:val="20"/>
        </w:rPr>
        <w:t>al</w:t>
      </w:r>
      <w:r w:rsidRPr="00BD40F0">
        <w:rPr>
          <w:rFonts w:ascii="Verdana" w:hAnsi="Verdana"/>
          <w:sz w:val="20"/>
        </w:rPr>
        <w:t xml:space="preserve"> manteve </w:t>
      </w:r>
      <w:r w:rsidR="00F36166">
        <w:rPr>
          <w:rFonts w:ascii="Verdana" w:hAnsi="Verdana"/>
          <w:sz w:val="20"/>
        </w:rPr>
        <w:t>seu pedido</w:t>
      </w:r>
      <w:r w:rsidRPr="00BD40F0">
        <w:rPr>
          <w:rFonts w:ascii="Verdana" w:hAnsi="Verdana"/>
          <w:sz w:val="20"/>
        </w:rPr>
        <w:t xml:space="preserve"> de que </w:t>
      </w:r>
      <w:r w:rsidR="008C113F">
        <w:rPr>
          <w:rFonts w:ascii="Verdana" w:hAnsi="Verdana"/>
          <w:sz w:val="20"/>
        </w:rPr>
        <w:t xml:space="preserve">fosse declarada </w:t>
      </w:r>
      <w:r w:rsidRPr="00BD40F0">
        <w:rPr>
          <w:rFonts w:ascii="Verdana" w:hAnsi="Verdana"/>
          <w:sz w:val="20"/>
        </w:rPr>
        <w:t>improcedente a nomeação de peritos propostos pelo Estado, em razão de que este último não indicou os motivos que fundamentavam a proposta extemporânea.</w:t>
      </w:r>
      <w:r w:rsidR="00850A3F">
        <w:rPr>
          <w:rFonts w:ascii="Verdana" w:hAnsi="Verdana"/>
          <w:sz w:val="20"/>
        </w:rPr>
        <w:t xml:space="preserve"> </w:t>
      </w:r>
      <w:r w:rsidRPr="00BD40F0">
        <w:rPr>
          <w:rFonts w:ascii="Verdana" w:hAnsi="Verdana"/>
          <w:sz w:val="20"/>
        </w:rPr>
        <w:t>Na mesma nota, a Comissão apresentou a lista definitiva de suas testemunhas e peritos, na qu</w:t>
      </w:r>
      <w:r w:rsidR="009F18E7">
        <w:rPr>
          <w:rFonts w:ascii="Verdana" w:hAnsi="Verdana"/>
          <w:sz w:val="20"/>
        </w:rPr>
        <w:t>al</w:t>
      </w:r>
      <w:r w:rsidRPr="00BD40F0">
        <w:rPr>
          <w:rFonts w:ascii="Verdana" w:hAnsi="Verdana"/>
          <w:sz w:val="20"/>
        </w:rPr>
        <w:t xml:space="preserve"> incluiu o senhor Theodore Macdonald Jr. na qualidade de perito, que na demanda havia sido proposto como testemunha.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55.</w:t>
      </w:r>
      <w:r w:rsidRPr="00BD40F0">
        <w:rPr>
          <w:rFonts w:ascii="Verdana" w:hAnsi="Verdana"/>
          <w:sz w:val="20"/>
        </w:rPr>
        <w:tab/>
        <w:t xml:space="preserve">Mediante Resolução de 14 de setembro de 2000, o Presidente decidiu que o oferecimento de prova efetuado pelo Estado em </w:t>
      </w:r>
      <w:proofErr w:type="gramStart"/>
      <w:r w:rsidRPr="00BD40F0">
        <w:rPr>
          <w:rFonts w:ascii="Verdana" w:hAnsi="Verdana"/>
          <w:sz w:val="20"/>
        </w:rPr>
        <w:t>7</w:t>
      </w:r>
      <w:proofErr w:type="gramEnd"/>
      <w:r w:rsidRPr="00BD40F0">
        <w:rPr>
          <w:rFonts w:ascii="Verdana" w:hAnsi="Verdana"/>
          <w:sz w:val="20"/>
        </w:rPr>
        <w:t xml:space="preserve"> de abril de 2000 </w:t>
      </w:r>
      <w:r w:rsidR="00C60678" w:rsidRPr="00C60678">
        <w:rPr>
          <w:rFonts w:ascii="Verdana" w:hAnsi="Verdana"/>
          <w:sz w:val="20"/>
        </w:rPr>
        <w:t>(</w:t>
      </w:r>
      <w:r w:rsidRPr="00BD40F0">
        <w:rPr>
          <w:rFonts w:ascii="Verdana" w:hAnsi="Verdana"/>
          <w:sz w:val="20"/>
        </w:rPr>
        <w:t xml:space="preserve">par. 47 </w:t>
      </w:r>
      <w:r w:rsidRPr="00BD40F0">
        <w:rPr>
          <w:rFonts w:ascii="Verdana" w:hAnsi="Verdana"/>
          <w:i/>
          <w:sz w:val="20"/>
        </w:rPr>
        <w:t>supra</w:t>
      </w:r>
      <w:r w:rsidR="00C60678" w:rsidRPr="00C60678">
        <w:rPr>
          <w:rFonts w:ascii="Verdana" w:hAnsi="Verdana"/>
          <w:sz w:val="20"/>
        </w:rPr>
        <w:t>)</w:t>
      </w:r>
      <w:r w:rsidRPr="00BD40F0">
        <w:rPr>
          <w:rFonts w:ascii="Verdana" w:hAnsi="Verdana"/>
          <w:i/>
          <w:sz w:val="20"/>
        </w:rPr>
        <w:t xml:space="preserve"> </w:t>
      </w:r>
      <w:r w:rsidRPr="00BD40F0">
        <w:rPr>
          <w:rFonts w:ascii="Verdana" w:hAnsi="Verdana"/>
          <w:sz w:val="20"/>
        </w:rPr>
        <w:t xml:space="preserve">era extemporâneo; entretanto, como prova para melhor resolver, </w:t>
      </w:r>
      <w:r w:rsidR="005B76F3">
        <w:rPr>
          <w:rFonts w:ascii="Verdana" w:hAnsi="Verdana"/>
          <w:sz w:val="20"/>
        </w:rPr>
        <w:t>de acordo com</w:t>
      </w:r>
      <w:r w:rsidRPr="00BD40F0">
        <w:rPr>
          <w:rFonts w:ascii="Verdana" w:hAnsi="Verdana"/>
          <w:sz w:val="20"/>
        </w:rPr>
        <w:t xml:space="preserve"> o artigo 44.1 do Regulamento, convocou o senhor Marco Antonio Centeno Caffarena para que comparece</w:t>
      </w:r>
      <w:r w:rsidR="008C113F">
        <w:rPr>
          <w:rFonts w:ascii="Verdana" w:hAnsi="Verdana"/>
          <w:sz w:val="20"/>
        </w:rPr>
        <w:t>sse</w:t>
      </w:r>
      <w:r w:rsidRPr="00BD40F0">
        <w:rPr>
          <w:rFonts w:ascii="Verdana" w:hAnsi="Verdana"/>
          <w:sz w:val="20"/>
        </w:rPr>
        <w:t xml:space="preserve"> perante a Corte na qualidade de testemunha.</w:t>
      </w:r>
      <w:r w:rsidR="002C6A59">
        <w:rPr>
          <w:rFonts w:ascii="Verdana" w:hAnsi="Verdana"/>
          <w:sz w:val="20"/>
        </w:rPr>
        <w:t xml:space="preserve"> </w:t>
      </w:r>
      <w:r w:rsidRPr="00BD40F0">
        <w:rPr>
          <w:rFonts w:ascii="Verdana" w:hAnsi="Verdana"/>
          <w:sz w:val="20"/>
        </w:rPr>
        <w:t xml:space="preserve">Ademais, o Presidente </w:t>
      </w:r>
      <w:r w:rsidR="00E82516">
        <w:rPr>
          <w:rFonts w:ascii="Verdana" w:hAnsi="Verdana"/>
          <w:sz w:val="20"/>
        </w:rPr>
        <w:t>recusou</w:t>
      </w:r>
      <w:r w:rsidRPr="00BD40F0">
        <w:rPr>
          <w:rFonts w:ascii="Verdana" w:hAnsi="Verdana"/>
          <w:sz w:val="20"/>
        </w:rPr>
        <w:t xml:space="preserve"> a proposta feita pela Comissão de que o senhor Theodore Macdonald Jr. atua</w:t>
      </w:r>
      <w:r w:rsidR="008C113F">
        <w:rPr>
          <w:rFonts w:ascii="Verdana" w:hAnsi="Verdana"/>
          <w:sz w:val="20"/>
        </w:rPr>
        <w:t>sse</w:t>
      </w:r>
      <w:r w:rsidRPr="00BD40F0">
        <w:rPr>
          <w:rFonts w:ascii="Verdana" w:hAnsi="Verdana"/>
          <w:sz w:val="20"/>
        </w:rPr>
        <w:t xml:space="preserve"> como perito, por ser extemporâne</w:t>
      </w:r>
      <w:r w:rsidR="005B76F3">
        <w:rPr>
          <w:rFonts w:ascii="Verdana" w:hAnsi="Verdana"/>
          <w:sz w:val="20"/>
        </w:rPr>
        <w:t>a,</w:t>
      </w:r>
      <w:r w:rsidRPr="00BD40F0">
        <w:rPr>
          <w:rFonts w:ascii="Verdana" w:hAnsi="Verdana"/>
          <w:sz w:val="20"/>
        </w:rPr>
        <w:t xml:space="preserve"> e </w:t>
      </w:r>
      <w:r w:rsidR="005B76F3">
        <w:rPr>
          <w:rFonts w:ascii="Verdana" w:hAnsi="Verdana"/>
          <w:sz w:val="20"/>
        </w:rPr>
        <w:t xml:space="preserve">este </w:t>
      </w:r>
      <w:r w:rsidRPr="00BD40F0">
        <w:rPr>
          <w:rFonts w:ascii="Verdana" w:hAnsi="Verdana"/>
          <w:sz w:val="20"/>
        </w:rPr>
        <w:t>foi admitido na qualidade de testemunha, tal como havia sido proposto originalmente.</w:t>
      </w:r>
      <w:r w:rsidR="00850A3F">
        <w:rPr>
          <w:rFonts w:ascii="Verdana" w:hAnsi="Verdana"/>
          <w:sz w:val="20"/>
        </w:rPr>
        <w:t xml:space="preserve"> </w:t>
      </w:r>
      <w:r w:rsidRPr="00BD40F0">
        <w:rPr>
          <w:rFonts w:ascii="Verdana" w:hAnsi="Verdana"/>
          <w:sz w:val="20"/>
        </w:rPr>
        <w:t xml:space="preserve">Igualmente, o Presidente citou </w:t>
      </w:r>
      <w:r w:rsidR="008C113F">
        <w:rPr>
          <w:rFonts w:ascii="Verdana" w:hAnsi="Verdana"/>
          <w:sz w:val="20"/>
        </w:rPr>
        <w:t>as</w:t>
      </w:r>
      <w:r w:rsidRPr="00BD40F0">
        <w:rPr>
          <w:rFonts w:ascii="Verdana" w:hAnsi="Verdana"/>
          <w:sz w:val="20"/>
        </w:rPr>
        <w:t xml:space="preserve"> testemunhas Jaime Castillo Felipe, Charly Webster Mclean Cornelio, Wilfredo Mclean Salvador, Brooklyn Rivera Bryan, Humberto Thompson Sang, Guillermo Castilleja e Galio Claudio Enrique Gurdián Gurdián, e os peritos Lottie Marie Cunningham de Aguirre, Charles Rice Hale, Roque de Jesús Roldán Ortega e Rodolfo Stavenhagen Gruenbaum, todos propostos pela Comissão em sua demanda, para que presta</w:t>
      </w:r>
      <w:r w:rsidR="00653E68">
        <w:rPr>
          <w:rFonts w:ascii="Verdana" w:hAnsi="Verdana"/>
          <w:sz w:val="20"/>
        </w:rPr>
        <w:t>ssem</w:t>
      </w:r>
      <w:r w:rsidRPr="00BD40F0">
        <w:rPr>
          <w:rFonts w:ascii="Verdana" w:hAnsi="Verdana"/>
          <w:sz w:val="20"/>
        </w:rPr>
        <w:t xml:space="preserve"> declaração na audiência pública sobre o mérito do caso, que seria realizada na sede da Corte em 16 de novembro de 2000.</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56.</w:t>
      </w:r>
      <w:r w:rsidRPr="00BD40F0">
        <w:rPr>
          <w:rFonts w:ascii="Verdana" w:hAnsi="Verdana"/>
          <w:sz w:val="20"/>
        </w:rPr>
        <w:tab/>
        <w:t xml:space="preserve">Em </w:t>
      </w:r>
      <w:proofErr w:type="gramStart"/>
      <w:r w:rsidRPr="00BD40F0">
        <w:rPr>
          <w:rFonts w:ascii="Verdana" w:hAnsi="Verdana"/>
          <w:sz w:val="20"/>
        </w:rPr>
        <w:t>5</w:t>
      </w:r>
      <w:proofErr w:type="gramEnd"/>
      <w:r w:rsidRPr="00BD40F0">
        <w:rPr>
          <w:rFonts w:ascii="Verdana" w:hAnsi="Verdana"/>
          <w:sz w:val="20"/>
        </w:rPr>
        <w:t xml:space="preserve"> de outubro de 2000, a Comissão apresentou um escrito, mediante o qual solicitou à Corte seus bons ofícios para que a audiência pública sobre o mérito fosse realizada na sede da Corte Suprema de Justiça da Costa Rica, em razão do grande número de pessoas que haviam expressado interesse em assistir a esta audiência.</w:t>
      </w:r>
    </w:p>
    <w:p w:rsidR="000B3F97" w:rsidRPr="00BD40F0" w:rsidRDefault="000B3F97" w:rsidP="000B3F97">
      <w:pPr>
        <w:jc w:val="both"/>
        <w:rPr>
          <w:rFonts w:ascii="Verdana" w:hAnsi="Verdana"/>
          <w:b/>
          <w:i/>
          <w:sz w:val="20"/>
        </w:rPr>
      </w:pPr>
    </w:p>
    <w:p w:rsidR="000B3F97" w:rsidRPr="00BD40F0" w:rsidRDefault="000B3F97" w:rsidP="000B3F97">
      <w:pPr>
        <w:jc w:val="both"/>
        <w:rPr>
          <w:rFonts w:ascii="Verdana" w:hAnsi="Verdana"/>
          <w:sz w:val="20"/>
        </w:rPr>
      </w:pPr>
      <w:r w:rsidRPr="00BD40F0">
        <w:rPr>
          <w:rFonts w:ascii="Verdana" w:hAnsi="Verdana"/>
          <w:sz w:val="20"/>
        </w:rPr>
        <w:t>57.</w:t>
      </w:r>
      <w:r w:rsidRPr="00BD40F0">
        <w:rPr>
          <w:rFonts w:ascii="Verdana" w:hAnsi="Verdana"/>
          <w:sz w:val="20"/>
        </w:rPr>
        <w:tab/>
        <w:t>Em 20 de outubro de 2000, o Presidente proferiu uma Resolução mediante a qual informou à Comissão e ao Estado que a audiência pública convocada por Resolução de 14 de setembro de 2000, seria realizada na sede do Tribunal Superior Eleitora</w:t>
      </w:r>
      <w:r w:rsidR="00653E68">
        <w:rPr>
          <w:rFonts w:ascii="Verdana" w:hAnsi="Verdana"/>
          <w:sz w:val="20"/>
        </w:rPr>
        <w:t>l</w:t>
      </w:r>
      <w:r w:rsidRPr="00BD40F0">
        <w:rPr>
          <w:rFonts w:ascii="Verdana" w:hAnsi="Verdana"/>
          <w:sz w:val="20"/>
        </w:rPr>
        <w:t xml:space="preserve"> da Costa Rica, a partir das </w:t>
      </w:r>
      <w:proofErr w:type="gramStart"/>
      <w:r w:rsidRPr="00BD40F0">
        <w:rPr>
          <w:rFonts w:ascii="Verdana" w:hAnsi="Verdana"/>
          <w:sz w:val="20"/>
        </w:rPr>
        <w:t>16:00</w:t>
      </w:r>
      <w:proofErr w:type="gramEnd"/>
      <w:r w:rsidRPr="00BD40F0">
        <w:rPr>
          <w:rFonts w:ascii="Verdana" w:hAnsi="Verdana"/>
          <w:sz w:val="20"/>
        </w:rPr>
        <w:t xml:space="preserve"> horas do dia 16 de novembro de 2000, com o fim de receber as declarações e relatórios, respectivamente, das testemunhas e peritos já convocados.</w:t>
      </w:r>
    </w:p>
    <w:p w:rsidR="000B3F97" w:rsidRPr="00BD40F0" w:rsidRDefault="000B3F97" w:rsidP="000B3F97">
      <w:pPr>
        <w:jc w:val="both"/>
        <w:rPr>
          <w:rFonts w:ascii="Verdana" w:hAnsi="Verdana"/>
          <w:b/>
          <w:i/>
          <w:sz w:val="20"/>
        </w:rPr>
      </w:pPr>
    </w:p>
    <w:p w:rsidR="000B3F97" w:rsidRDefault="000B3F97" w:rsidP="000B3F97">
      <w:pPr>
        <w:jc w:val="both"/>
        <w:rPr>
          <w:rFonts w:ascii="Verdana" w:hAnsi="Verdana"/>
          <w:sz w:val="20"/>
        </w:rPr>
      </w:pPr>
      <w:r w:rsidRPr="00BD40F0">
        <w:rPr>
          <w:rFonts w:ascii="Verdana" w:hAnsi="Verdana"/>
          <w:sz w:val="20"/>
        </w:rPr>
        <w:t>58.</w:t>
      </w:r>
      <w:r w:rsidRPr="00BD40F0">
        <w:rPr>
          <w:rFonts w:ascii="Verdana" w:hAnsi="Verdana"/>
          <w:sz w:val="20"/>
        </w:rPr>
        <w:tab/>
        <w:t>Em 26 de outubro de 2000, o Estado enviou um escrito no qu</w:t>
      </w:r>
      <w:r w:rsidR="009F18E7">
        <w:rPr>
          <w:rFonts w:ascii="Verdana" w:hAnsi="Verdana"/>
          <w:sz w:val="20"/>
        </w:rPr>
        <w:t>al</w:t>
      </w:r>
      <w:r w:rsidRPr="00BD40F0">
        <w:rPr>
          <w:rFonts w:ascii="Verdana" w:hAnsi="Verdana"/>
          <w:sz w:val="20"/>
        </w:rPr>
        <w:t xml:space="preserve"> pediu à Corte que </w:t>
      </w:r>
      <w:r w:rsidR="00E82516">
        <w:rPr>
          <w:rFonts w:ascii="Verdana" w:hAnsi="Verdana"/>
          <w:sz w:val="20"/>
        </w:rPr>
        <w:t>recusa</w:t>
      </w:r>
      <w:r w:rsidR="00E82516" w:rsidRPr="00BD40F0">
        <w:rPr>
          <w:rFonts w:ascii="Verdana" w:hAnsi="Verdana"/>
          <w:sz w:val="20"/>
        </w:rPr>
        <w:t>s</w:t>
      </w:r>
      <w:r w:rsidR="00E82516">
        <w:rPr>
          <w:rFonts w:ascii="Verdana" w:hAnsi="Verdana"/>
          <w:sz w:val="20"/>
        </w:rPr>
        <w:t>se</w:t>
      </w:r>
      <w:r w:rsidRPr="00BD40F0">
        <w:rPr>
          <w:rFonts w:ascii="Verdana" w:hAnsi="Verdana"/>
          <w:sz w:val="20"/>
        </w:rPr>
        <w:t xml:space="preserve"> </w:t>
      </w:r>
      <w:r w:rsidR="00F36166">
        <w:rPr>
          <w:rFonts w:ascii="Verdana" w:hAnsi="Verdana"/>
          <w:sz w:val="20"/>
        </w:rPr>
        <w:t>o pedido</w:t>
      </w:r>
      <w:r w:rsidRPr="00BD40F0">
        <w:rPr>
          <w:rFonts w:ascii="Verdana" w:hAnsi="Verdana"/>
          <w:sz w:val="20"/>
        </w:rPr>
        <w:t xml:space="preserve"> da Comissão de realizar a audiência pública sobre o mérito na sede da Corte Suprema de Justiça da Costa Rica, por considerar que as razões alegadas eram “puramente especulativas” e que não constituíam “motivo jurídico suficiente para justificar a transferência de tais audiências”.</w:t>
      </w:r>
    </w:p>
    <w:p w:rsidR="009F18E7" w:rsidRPr="00D44966" w:rsidRDefault="009F18E7" w:rsidP="000B3F97">
      <w:pPr>
        <w:jc w:val="both"/>
        <w:rPr>
          <w:rFonts w:ascii="Verdana" w:hAnsi="Verdana"/>
          <w:b/>
          <w:i/>
          <w:sz w:val="20"/>
        </w:rPr>
      </w:pPr>
    </w:p>
    <w:p w:rsidR="000B3F97" w:rsidRPr="00BD40F0" w:rsidRDefault="000B3F97" w:rsidP="000B3F97">
      <w:pPr>
        <w:jc w:val="both"/>
        <w:rPr>
          <w:rFonts w:ascii="Verdana" w:hAnsi="Verdana"/>
          <w:sz w:val="20"/>
        </w:rPr>
      </w:pPr>
      <w:r w:rsidRPr="00BD40F0">
        <w:rPr>
          <w:rFonts w:ascii="Verdana" w:hAnsi="Verdana"/>
          <w:sz w:val="20"/>
        </w:rPr>
        <w:t>59.</w:t>
      </w:r>
      <w:r w:rsidRPr="00BD40F0">
        <w:rPr>
          <w:rFonts w:ascii="Verdana" w:hAnsi="Verdana"/>
          <w:sz w:val="20"/>
        </w:rPr>
        <w:tab/>
        <w:t xml:space="preserve">Em 27 de outubro de 2000, a Comissão enviou um escrito que continha uma lista de 19 membros da Comunidade Awas Tingni que assistiriam à audiência pública na qualidade de observadores.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60.</w:t>
      </w:r>
      <w:r w:rsidRPr="00BD40F0">
        <w:rPr>
          <w:rFonts w:ascii="Verdana" w:hAnsi="Verdana"/>
          <w:sz w:val="20"/>
        </w:rPr>
        <w:tab/>
        <w:t>Nesse mesmo dia, o Presidente proferiu uma Resolução na qu</w:t>
      </w:r>
      <w:r w:rsidR="009F18E7">
        <w:rPr>
          <w:rFonts w:ascii="Verdana" w:hAnsi="Verdana"/>
          <w:sz w:val="20"/>
        </w:rPr>
        <w:t>al</w:t>
      </w:r>
      <w:r w:rsidRPr="00BD40F0">
        <w:rPr>
          <w:rFonts w:ascii="Verdana" w:hAnsi="Verdana"/>
          <w:sz w:val="20"/>
        </w:rPr>
        <w:t xml:space="preserve"> considerou</w:t>
      </w:r>
      <w:r w:rsidRPr="00BD40F0">
        <w:rPr>
          <w:rFonts w:ascii="Verdana" w:hAnsi="Verdana"/>
          <w:b/>
          <w:sz w:val="20"/>
        </w:rPr>
        <w:t xml:space="preserve"> </w:t>
      </w:r>
      <w:r w:rsidRPr="00BD40F0">
        <w:rPr>
          <w:rFonts w:ascii="Verdana" w:hAnsi="Verdana"/>
          <w:sz w:val="20"/>
        </w:rPr>
        <w:t>que, em razão de que o Estado havia solicitado que a audiência pública sobre o mérito fos</w:t>
      </w:r>
      <w:r w:rsidR="00D44966">
        <w:rPr>
          <w:rFonts w:ascii="Verdana" w:hAnsi="Verdana"/>
          <w:sz w:val="20"/>
        </w:rPr>
        <w:t>se realizada na sede da Corte e</w:t>
      </w:r>
      <w:r w:rsidR="00653E68">
        <w:rPr>
          <w:rFonts w:ascii="Verdana" w:hAnsi="Verdana"/>
          <w:sz w:val="20"/>
        </w:rPr>
        <w:t xml:space="preserve"> de</w:t>
      </w:r>
      <w:r w:rsidRPr="00BD40F0">
        <w:rPr>
          <w:rFonts w:ascii="Verdana" w:hAnsi="Verdana"/>
          <w:sz w:val="20"/>
        </w:rPr>
        <w:t xml:space="preserve"> que o número de membros da Comunidade Mayagna que assistiriam à mesma, segundo a Comissão, era muito menor que </w:t>
      </w:r>
      <w:proofErr w:type="gramStart"/>
      <w:r w:rsidRPr="00BD40F0">
        <w:rPr>
          <w:rFonts w:ascii="Verdana" w:hAnsi="Verdana"/>
          <w:sz w:val="20"/>
        </w:rPr>
        <w:t>o originalmente previsto, não</w:t>
      </w:r>
      <w:proofErr w:type="gramEnd"/>
      <w:r w:rsidRPr="00BD40F0">
        <w:rPr>
          <w:rFonts w:ascii="Verdana" w:hAnsi="Verdana"/>
          <w:sz w:val="20"/>
        </w:rPr>
        <w:t xml:space="preserve"> existia o motivo considerado para realizar a audiência pública fora da sede do Tribunal e, por isso, decidiu que </w:t>
      </w:r>
      <w:r w:rsidR="00653E68">
        <w:rPr>
          <w:rFonts w:ascii="Verdana" w:hAnsi="Verdana"/>
          <w:sz w:val="20"/>
        </w:rPr>
        <w:t>ela</w:t>
      </w:r>
      <w:r w:rsidRPr="00BD40F0">
        <w:rPr>
          <w:rFonts w:ascii="Verdana" w:hAnsi="Verdana"/>
          <w:sz w:val="20"/>
        </w:rPr>
        <w:t xml:space="preserve"> fosse realizada na sede da Corte, no mesmo dia e no mesmo horário estabelecidos em sua Resolução de 20 de outubro de 2000 </w:t>
      </w:r>
      <w:r w:rsidR="00C60678" w:rsidRPr="00C60678">
        <w:rPr>
          <w:rFonts w:ascii="Verdana" w:hAnsi="Verdana"/>
          <w:sz w:val="20"/>
        </w:rPr>
        <w:t>(</w:t>
      </w:r>
      <w:r w:rsidRPr="00BD40F0">
        <w:rPr>
          <w:rFonts w:ascii="Verdana" w:hAnsi="Verdana"/>
          <w:sz w:val="20"/>
        </w:rPr>
        <w:t xml:space="preserve">par. 57 </w:t>
      </w:r>
      <w:r w:rsidRPr="00BD40F0">
        <w:rPr>
          <w:rFonts w:ascii="Verdana" w:hAnsi="Verdana"/>
          <w:i/>
          <w:sz w:val="20"/>
        </w:rPr>
        <w:t>supra</w:t>
      </w:r>
      <w:r w:rsidR="00C60678" w:rsidRPr="00C60678">
        <w:rPr>
          <w:rFonts w:ascii="Verdana" w:hAnsi="Verdana"/>
          <w:sz w:val="20"/>
        </w:rPr>
        <w:t>)</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61.</w:t>
      </w:r>
      <w:r w:rsidRPr="00BD40F0">
        <w:rPr>
          <w:rFonts w:ascii="Verdana" w:hAnsi="Verdana"/>
          <w:sz w:val="20"/>
        </w:rPr>
        <w:tab/>
        <w:t xml:space="preserve">No mês de novembro de 2000, o senhor Robert A. Williams Jr., em representação da organização </w:t>
      </w:r>
      <w:r w:rsidRPr="00BD40F0">
        <w:rPr>
          <w:rFonts w:ascii="Verdana" w:hAnsi="Verdana"/>
          <w:i/>
          <w:sz w:val="20"/>
        </w:rPr>
        <w:t xml:space="preserve">National Congress of American Indians </w:t>
      </w:r>
      <w:r w:rsidR="00C60678" w:rsidRPr="00C60678">
        <w:rPr>
          <w:rFonts w:ascii="Verdana" w:hAnsi="Verdana"/>
          <w:sz w:val="20"/>
        </w:rPr>
        <w:t>(</w:t>
      </w:r>
      <w:r w:rsidRPr="00BD40F0">
        <w:rPr>
          <w:rFonts w:ascii="Verdana" w:hAnsi="Verdana"/>
          <w:i/>
          <w:sz w:val="20"/>
        </w:rPr>
        <w:t>NCAI</w:t>
      </w:r>
      <w:r w:rsidR="00C60678" w:rsidRPr="00C60678">
        <w:rPr>
          <w:rFonts w:ascii="Verdana" w:hAnsi="Verdana"/>
          <w:sz w:val="20"/>
        </w:rPr>
        <w:t>)</w:t>
      </w:r>
      <w:r w:rsidRPr="00BD40F0">
        <w:rPr>
          <w:rFonts w:ascii="Verdana" w:hAnsi="Verdana"/>
          <w:i/>
          <w:sz w:val="20"/>
        </w:rPr>
        <w:t xml:space="preserve">, </w:t>
      </w:r>
      <w:r w:rsidRPr="00BD40F0">
        <w:rPr>
          <w:rFonts w:ascii="Verdana" w:hAnsi="Verdana"/>
          <w:sz w:val="20"/>
        </w:rPr>
        <w:t xml:space="preserve">apresentou um escrito, em idioma inglês, na qualidade de </w:t>
      </w:r>
      <w:r w:rsidRPr="00BD40F0">
        <w:rPr>
          <w:rFonts w:ascii="Verdana" w:hAnsi="Verdana"/>
          <w:i/>
          <w:sz w:val="20"/>
        </w:rPr>
        <w:t>amicus curiae.</w:t>
      </w:r>
    </w:p>
    <w:p w:rsidR="000B3F97" w:rsidRPr="00BD40F0" w:rsidRDefault="000B3F97" w:rsidP="000B3F97">
      <w:pPr>
        <w:jc w:val="both"/>
        <w:rPr>
          <w:rFonts w:ascii="Verdana" w:hAnsi="Verdana"/>
          <w:sz w:val="20"/>
        </w:rPr>
      </w:pPr>
    </w:p>
    <w:p w:rsidR="000B3F97" w:rsidRDefault="000B3F97" w:rsidP="000B3F97">
      <w:pPr>
        <w:jc w:val="both"/>
        <w:rPr>
          <w:rFonts w:ascii="Verdana" w:hAnsi="Verdana"/>
          <w:sz w:val="20"/>
        </w:rPr>
      </w:pPr>
      <w:r w:rsidRPr="00BD40F0">
        <w:rPr>
          <w:rFonts w:ascii="Verdana" w:hAnsi="Verdana"/>
          <w:sz w:val="20"/>
        </w:rPr>
        <w:t>62.</w:t>
      </w:r>
      <w:r w:rsidRPr="00BD40F0">
        <w:rPr>
          <w:rFonts w:ascii="Verdana" w:hAnsi="Verdana"/>
          <w:sz w:val="20"/>
        </w:rPr>
        <w:tab/>
        <w:t>Nos dias 16, 17 e 18 de novembro de 2000, a Corte recebeu, em audiência pública sobre o mérito, as declarações das testemunhas e dos peritos propostos pela Comissão e a declaração da testemunha convocada pela Corte conforme o artigo 44.1 do Regulamento.</w:t>
      </w:r>
      <w:r w:rsidR="00850A3F">
        <w:rPr>
          <w:rFonts w:ascii="Verdana" w:hAnsi="Verdana"/>
          <w:sz w:val="20"/>
        </w:rPr>
        <w:t xml:space="preserve"> </w:t>
      </w:r>
      <w:r w:rsidRPr="00BD40F0">
        <w:rPr>
          <w:rFonts w:ascii="Verdana" w:hAnsi="Verdana"/>
          <w:sz w:val="20"/>
        </w:rPr>
        <w:t>Ademais, a Corte escutou as alegações finais orais das partes.</w:t>
      </w:r>
    </w:p>
    <w:p w:rsidR="008A6EDB" w:rsidRPr="00BD40F0" w:rsidRDefault="008A6EDB" w:rsidP="000B3F97">
      <w:pPr>
        <w:jc w:val="both"/>
        <w:rPr>
          <w:rFonts w:ascii="Verdana" w:hAnsi="Verdana"/>
          <w:sz w:val="20"/>
        </w:rPr>
      </w:pPr>
    </w:p>
    <w:p w:rsidR="000B3F97" w:rsidRPr="00D44966" w:rsidRDefault="000B3F97" w:rsidP="000B3F97">
      <w:pPr>
        <w:jc w:val="both"/>
        <w:rPr>
          <w:rFonts w:ascii="Verdana" w:hAnsi="Verdana"/>
          <w:sz w:val="20"/>
        </w:rPr>
      </w:pPr>
      <w:r w:rsidRPr="00D44966">
        <w:rPr>
          <w:rFonts w:ascii="Verdana" w:hAnsi="Verdana"/>
          <w:sz w:val="20"/>
        </w:rPr>
        <w:t>Compareceram perante a Corte:</w:t>
      </w:r>
    </w:p>
    <w:p w:rsidR="000B3F97" w:rsidRPr="00D44966" w:rsidRDefault="000B3F97" w:rsidP="000B3F97">
      <w:pPr>
        <w:jc w:val="both"/>
        <w:rPr>
          <w:rFonts w:ascii="Verdana" w:hAnsi="Verdana"/>
          <w:sz w:val="20"/>
        </w:rPr>
      </w:pPr>
    </w:p>
    <w:p w:rsidR="000B3F97" w:rsidRPr="00D44966" w:rsidRDefault="000B3F97" w:rsidP="000B3F97">
      <w:pPr>
        <w:jc w:val="both"/>
        <w:rPr>
          <w:rFonts w:ascii="Verdana" w:hAnsi="Verdana"/>
          <w:sz w:val="20"/>
        </w:rPr>
      </w:pPr>
      <w:r w:rsidRPr="00D44966">
        <w:rPr>
          <w:rFonts w:ascii="Verdana" w:hAnsi="Verdana"/>
          <w:sz w:val="20"/>
        </w:rPr>
        <w:t>Pela Comissão Interamericana de Direitos Humanos:</w:t>
      </w:r>
    </w:p>
    <w:p w:rsidR="000B3F97" w:rsidRPr="00D44966" w:rsidRDefault="000B3F97" w:rsidP="000B3F97">
      <w:pPr>
        <w:jc w:val="both"/>
        <w:rPr>
          <w:rFonts w:ascii="Verdana" w:hAnsi="Verdana"/>
          <w:sz w:val="20"/>
        </w:rPr>
      </w:pPr>
    </w:p>
    <w:p w:rsidR="000B3F97" w:rsidRPr="00D44966" w:rsidRDefault="000B3F97" w:rsidP="000B3F97">
      <w:pPr>
        <w:ind w:left="720"/>
        <w:jc w:val="both"/>
        <w:rPr>
          <w:rFonts w:ascii="Verdana" w:hAnsi="Verdana"/>
          <w:sz w:val="20"/>
        </w:rPr>
      </w:pPr>
      <w:r w:rsidRPr="00D44966">
        <w:rPr>
          <w:rFonts w:ascii="Verdana" w:hAnsi="Verdana"/>
          <w:sz w:val="20"/>
        </w:rPr>
        <w:t xml:space="preserve">Hélio Bicudo, delegado; </w:t>
      </w:r>
    </w:p>
    <w:p w:rsidR="000B3F97" w:rsidRPr="00D44966" w:rsidRDefault="000B3F97" w:rsidP="000B3F97">
      <w:pPr>
        <w:ind w:left="720"/>
        <w:jc w:val="both"/>
        <w:rPr>
          <w:rFonts w:ascii="Verdana" w:hAnsi="Verdana"/>
          <w:sz w:val="20"/>
        </w:rPr>
      </w:pPr>
      <w:r w:rsidRPr="00D44966">
        <w:rPr>
          <w:rFonts w:ascii="Verdana" w:hAnsi="Verdana"/>
          <w:sz w:val="20"/>
        </w:rPr>
        <w:t>Claudio Grossman, delegado;</w:t>
      </w:r>
    </w:p>
    <w:p w:rsidR="000B3F97" w:rsidRPr="00D44966" w:rsidRDefault="000B3F97" w:rsidP="000B3F97">
      <w:pPr>
        <w:ind w:left="720"/>
        <w:jc w:val="both"/>
        <w:rPr>
          <w:rFonts w:ascii="Verdana" w:hAnsi="Verdana"/>
          <w:sz w:val="20"/>
        </w:rPr>
      </w:pPr>
      <w:r w:rsidRPr="00D44966">
        <w:rPr>
          <w:rFonts w:ascii="Verdana" w:hAnsi="Verdana"/>
          <w:sz w:val="20"/>
        </w:rPr>
        <w:t xml:space="preserve">Bertha Santoscoy, advogada; </w:t>
      </w:r>
      <w:proofErr w:type="gramStart"/>
      <w:r w:rsidRPr="00D44966">
        <w:rPr>
          <w:rFonts w:ascii="Verdana" w:hAnsi="Verdana"/>
          <w:sz w:val="20"/>
        </w:rPr>
        <w:t>e</w:t>
      </w:r>
      <w:proofErr w:type="gramEnd"/>
    </w:p>
    <w:p w:rsidR="000B3F97" w:rsidRPr="00D44966" w:rsidRDefault="000B3F97" w:rsidP="000B3F97">
      <w:pPr>
        <w:ind w:left="720"/>
        <w:jc w:val="both"/>
        <w:rPr>
          <w:rFonts w:ascii="Verdana" w:hAnsi="Verdana"/>
          <w:sz w:val="20"/>
        </w:rPr>
      </w:pPr>
      <w:r w:rsidRPr="00D44966">
        <w:rPr>
          <w:rFonts w:ascii="Verdana" w:hAnsi="Verdana"/>
          <w:sz w:val="20"/>
        </w:rPr>
        <w:t>James Anaya, assistente.</w:t>
      </w:r>
    </w:p>
    <w:p w:rsidR="000B3F97" w:rsidRPr="00D44966" w:rsidRDefault="000B3F97" w:rsidP="000B3F97">
      <w:pPr>
        <w:jc w:val="both"/>
        <w:rPr>
          <w:rFonts w:ascii="Verdana" w:hAnsi="Verdana"/>
          <w:sz w:val="20"/>
        </w:rPr>
      </w:pPr>
    </w:p>
    <w:p w:rsidR="000B3F97" w:rsidRPr="00D44966" w:rsidRDefault="000B3F97" w:rsidP="000B3F97">
      <w:pPr>
        <w:jc w:val="both"/>
        <w:rPr>
          <w:rFonts w:ascii="Verdana" w:hAnsi="Verdana"/>
          <w:sz w:val="20"/>
        </w:rPr>
      </w:pPr>
      <w:r w:rsidRPr="00D44966">
        <w:rPr>
          <w:rFonts w:ascii="Verdana" w:hAnsi="Verdana"/>
          <w:sz w:val="20"/>
        </w:rPr>
        <w:t>Pelo Estado da Nicarágua:</w:t>
      </w:r>
    </w:p>
    <w:p w:rsidR="000B3F97" w:rsidRPr="00D44966" w:rsidRDefault="000B3F97" w:rsidP="000B3F97">
      <w:pPr>
        <w:jc w:val="both"/>
        <w:rPr>
          <w:rFonts w:ascii="Verdana" w:hAnsi="Verdana"/>
          <w:sz w:val="20"/>
        </w:rPr>
      </w:pPr>
    </w:p>
    <w:p w:rsidR="000B3F97" w:rsidRPr="00D44966" w:rsidRDefault="000B3F97" w:rsidP="000B3F97">
      <w:pPr>
        <w:ind w:left="720"/>
        <w:jc w:val="both"/>
        <w:rPr>
          <w:rFonts w:ascii="Verdana" w:hAnsi="Verdana"/>
          <w:sz w:val="20"/>
        </w:rPr>
      </w:pPr>
      <w:r w:rsidRPr="00D44966">
        <w:rPr>
          <w:rFonts w:ascii="Verdana" w:hAnsi="Verdana"/>
          <w:sz w:val="20"/>
        </w:rPr>
        <w:t>Edmundo Castillo Salazar, agente;</w:t>
      </w:r>
    </w:p>
    <w:p w:rsidR="000B3F97" w:rsidRPr="00D44966" w:rsidRDefault="000B3F97" w:rsidP="000B3F97">
      <w:pPr>
        <w:ind w:left="720"/>
        <w:jc w:val="both"/>
        <w:rPr>
          <w:rFonts w:ascii="Verdana" w:hAnsi="Verdana"/>
          <w:sz w:val="20"/>
        </w:rPr>
      </w:pPr>
      <w:r w:rsidRPr="00D44966">
        <w:rPr>
          <w:rFonts w:ascii="Verdana" w:hAnsi="Verdana"/>
          <w:sz w:val="20"/>
        </w:rPr>
        <w:t>Rosenaldo Castro, assessor;</w:t>
      </w:r>
    </w:p>
    <w:p w:rsidR="000B3F97" w:rsidRPr="00D44966" w:rsidRDefault="000B3F97" w:rsidP="000B3F97">
      <w:pPr>
        <w:ind w:left="720"/>
        <w:jc w:val="both"/>
        <w:rPr>
          <w:rFonts w:ascii="Verdana" w:hAnsi="Verdana"/>
          <w:sz w:val="20"/>
        </w:rPr>
      </w:pPr>
      <w:r w:rsidRPr="00D44966">
        <w:rPr>
          <w:rFonts w:ascii="Verdana" w:hAnsi="Verdana"/>
          <w:sz w:val="20"/>
        </w:rPr>
        <w:t xml:space="preserve">Betsy Baltodano, assessora; </w:t>
      </w:r>
      <w:proofErr w:type="gramStart"/>
      <w:r w:rsidRPr="00D44966">
        <w:rPr>
          <w:rFonts w:ascii="Verdana" w:hAnsi="Verdana"/>
          <w:sz w:val="20"/>
        </w:rPr>
        <w:t>e</w:t>
      </w:r>
      <w:proofErr w:type="gramEnd"/>
      <w:r w:rsidRPr="00D44966">
        <w:rPr>
          <w:rFonts w:ascii="Verdana" w:hAnsi="Verdana"/>
          <w:sz w:val="20"/>
        </w:rPr>
        <w:t xml:space="preserve"> </w:t>
      </w:r>
    </w:p>
    <w:p w:rsidR="000B3F97" w:rsidRPr="00D44966" w:rsidRDefault="000B3F97" w:rsidP="000B3F97">
      <w:pPr>
        <w:ind w:left="720"/>
        <w:jc w:val="both"/>
        <w:rPr>
          <w:rFonts w:ascii="Verdana" w:hAnsi="Verdana"/>
          <w:sz w:val="20"/>
        </w:rPr>
      </w:pPr>
      <w:r w:rsidRPr="00D44966">
        <w:rPr>
          <w:rFonts w:ascii="Verdana" w:hAnsi="Verdana"/>
          <w:sz w:val="20"/>
        </w:rPr>
        <w:t>Ligia Margarita Guevara, assessora.</w:t>
      </w:r>
    </w:p>
    <w:p w:rsidR="000B3F97" w:rsidRPr="00D44966" w:rsidRDefault="000B3F97" w:rsidP="000B3F97">
      <w:pPr>
        <w:jc w:val="both"/>
        <w:rPr>
          <w:rFonts w:ascii="Verdana" w:hAnsi="Verdana"/>
          <w:sz w:val="20"/>
        </w:rPr>
      </w:pPr>
    </w:p>
    <w:p w:rsidR="000B3F97" w:rsidRPr="00D44966" w:rsidRDefault="000B3F97" w:rsidP="000B3F97">
      <w:pPr>
        <w:jc w:val="both"/>
        <w:rPr>
          <w:rFonts w:ascii="Verdana" w:hAnsi="Verdana"/>
          <w:sz w:val="20"/>
        </w:rPr>
      </w:pPr>
      <w:r w:rsidRPr="00D44966">
        <w:rPr>
          <w:rFonts w:ascii="Verdana" w:hAnsi="Verdana"/>
          <w:sz w:val="20"/>
        </w:rPr>
        <w:t>Testemunhas propostas pela Comissão Interamericana de Direitos Humanos:</w:t>
      </w:r>
    </w:p>
    <w:p w:rsidR="000B3F97" w:rsidRPr="00D44966" w:rsidRDefault="000B3F97" w:rsidP="000B3F97">
      <w:pPr>
        <w:ind w:left="720"/>
        <w:jc w:val="both"/>
        <w:rPr>
          <w:rFonts w:ascii="Verdana" w:hAnsi="Verdana"/>
          <w:sz w:val="20"/>
        </w:rPr>
      </w:pPr>
    </w:p>
    <w:p w:rsidR="000B3F97" w:rsidRPr="00BD105C" w:rsidRDefault="000B3F97" w:rsidP="000B3F97">
      <w:pPr>
        <w:ind w:left="720"/>
        <w:jc w:val="both"/>
        <w:rPr>
          <w:rFonts w:ascii="Verdana" w:hAnsi="Verdana"/>
          <w:sz w:val="20"/>
          <w:lang w:val="en-US"/>
        </w:rPr>
      </w:pPr>
      <w:r w:rsidRPr="00BD105C">
        <w:rPr>
          <w:rFonts w:ascii="Verdana" w:hAnsi="Verdana"/>
          <w:sz w:val="20"/>
          <w:lang w:val="en-US"/>
        </w:rPr>
        <w:t xml:space="preserve">Jaime Castillo Felipe </w:t>
      </w:r>
      <w:r w:rsidR="00C60678" w:rsidRPr="00C60678">
        <w:rPr>
          <w:rFonts w:ascii="Verdana" w:hAnsi="Verdana"/>
          <w:sz w:val="20"/>
          <w:lang w:val="en-US"/>
        </w:rPr>
        <w:t>(</w:t>
      </w:r>
      <w:r w:rsidRPr="00BD105C">
        <w:rPr>
          <w:rFonts w:ascii="Verdana" w:hAnsi="Verdana"/>
          <w:sz w:val="20"/>
          <w:lang w:val="en-US"/>
        </w:rPr>
        <w:t>Intérprete: Modesto José Frank Wilson</w:t>
      </w:r>
      <w:r w:rsidR="00C60678" w:rsidRPr="00C60678">
        <w:rPr>
          <w:rFonts w:ascii="Verdana" w:hAnsi="Verdana"/>
          <w:sz w:val="20"/>
          <w:lang w:val="en-US"/>
        </w:rPr>
        <w:t>)</w:t>
      </w:r>
      <w:r w:rsidRPr="00BD105C">
        <w:rPr>
          <w:rFonts w:ascii="Verdana" w:hAnsi="Verdana"/>
          <w:sz w:val="20"/>
          <w:lang w:val="en-US"/>
        </w:rPr>
        <w:t>;</w:t>
      </w:r>
    </w:p>
    <w:p w:rsidR="000B3F97" w:rsidRPr="00D44966" w:rsidRDefault="000B3F97" w:rsidP="000B3F97">
      <w:pPr>
        <w:ind w:left="720"/>
        <w:jc w:val="both"/>
        <w:rPr>
          <w:rFonts w:ascii="Verdana" w:hAnsi="Verdana"/>
          <w:sz w:val="20"/>
          <w:lang w:val="en-US"/>
        </w:rPr>
      </w:pPr>
      <w:r w:rsidRPr="00D44966">
        <w:rPr>
          <w:rFonts w:ascii="Verdana" w:hAnsi="Verdana"/>
          <w:sz w:val="20"/>
          <w:lang w:val="en-US"/>
        </w:rPr>
        <w:t>Charly Webster Mclean Cornelio;</w:t>
      </w:r>
    </w:p>
    <w:p w:rsidR="000B3F97" w:rsidRPr="00D44966" w:rsidRDefault="000B3F97" w:rsidP="000B3F97">
      <w:pPr>
        <w:ind w:left="720"/>
        <w:jc w:val="both"/>
        <w:rPr>
          <w:rFonts w:ascii="Verdana" w:hAnsi="Verdana"/>
          <w:sz w:val="20"/>
          <w:lang w:val="en-US"/>
        </w:rPr>
      </w:pPr>
      <w:r w:rsidRPr="00D44966">
        <w:rPr>
          <w:rFonts w:ascii="Verdana" w:hAnsi="Verdana"/>
          <w:sz w:val="20"/>
          <w:lang w:val="en-US"/>
        </w:rPr>
        <w:t>Theodore Macdonald Jr.;</w:t>
      </w:r>
    </w:p>
    <w:p w:rsidR="000B3F97" w:rsidRPr="00D44966" w:rsidRDefault="000B3F97" w:rsidP="000B3F97">
      <w:pPr>
        <w:ind w:left="720"/>
        <w:jc w:val="both"/>
        <w:rPr>
          <w:rFonts w:ascii="Verdana" w:hAnsi="Verdana"/>
          <w:sz w:val="20"/>
          <w:lang w:val="en-US"/>
        </w:rPr>
      </w:pPr>
      <w:r w:rsidRPr="00D44966">
        <w:rPr>
          <w:rFonts w:ascii="Verdana" w:hAnsi="Verdana"/>
          <w:sz w:val="20"/>
          <w:lang w:val="en-US"/>
        </w:rPr>
        <w:t>Guillermo Castilleja;</w:t>
      </w:r>
    </w:p>
    <w:p w:rsidR="000B3F97" w:rsidRPr="00D44966" w:rsidRDefault="000B3F97" w:rsidP="000B3F97">
      <w:pPr>
        <w:ind w:left="720"/>
        <w:jc w:val="both"/>
        <w:rPr>
          <w:rFonts w:ascii="Verdana" w:hAnsi="Verdana"/>
          <w:sz w:val="20"/>
          <w:lang w:val="en-US"/>
        </w:rPr>
      </w:pPr>
      <w:r w:rsidRPr="00D44966">
        <w:rPr>
          <w:rFonts w:ascii="Verdana" w:hAnsi="Verdana"/>
          <w:sz w:val="20"/>
          <w:lang w:val="en-US"/>
        </w:rPr>
        <w:t>Galio Claudio Enrique Gurdián Gurdián;</w:t>
      </w:r>
    </w:p>
    <w:p w:rsidR="000B3F97" w:rsidRPr="00D44966" w:rsidRDefault="000B3F97" w:rsidP="000B3F97">
      <w:pPr>
        <w:ind w:left="720"/>
        <w:jc w:val="both"/>
        <w:rPr>
          <w:rFonts w:ascii="Verdana" w:hAnsi="Verdana"/>
          <w:sz w:val="20"/>
          <w:lang w:val="en-US"/>
        </w:rPr>
      </w:pPr>
      <w:r w:rsidRPr="00D44966">
        <w:rPr>
          <w:rFonts w:ascii="Verdana" w:hAnsi="Verdana"/>
          <w:sz w:val="20"/>
          <w:lang w:val="en-US"/>
        </w:rPr>
        <w:t>Brooklyn Rivera Bryan;</w:t>
      </w:r>
    </w:p>
    <w:p w:rsidR="000B3F97" w:rsidRPr="00D44966" w:rsidRDefault="000B3F97" w:rsidP="000B3F97">
      <w:pPr>
        <w:ind w:left="720"/>
        <w:jc w:val="both"/>
        <w:rPr>
          <w:rFonts w:ascii="Verdana" w:hAnsi="Verdana"/>
          <w:sz w:val="20"/>
        </w:rPr>
      </w:pPr>
      <w:r w:rsidRPr="00D44966">
        <w:rPr>
          <w:rFonts w:ascii="Verdana" w:hAnsi="Verdana"/>
          <w:sz w:val="20"/>
        </w:rPr>
        <w:t xml:space="preserve">Humberto Thompson Sang; </w:t>
      </w:r>
      <w:proofErr w:type="gramStart"/>
      <w:r w:rsidRPr="00D44966">
        <w:rPr>
          <w:rFonts w:ascii="Verdana" w:hAnsi="Verdana"/>
          <w:sz w:val="20"/>
        </w:rPr>
        <w:t>e</w:t>
      </w:r>
      <w:proofErr w:type="gramEnd"/>
    </w:p>
    <w:p w:rsidR="000B3F97" w:rsidRPr="00D44966" w:rsidRDefault="000B3F97" w:rsidP="000B3F97">
      <w:pPr>
        <w:ind w:left="720"/>
        <w:jc w:val="both"/>
        <w:rPr>
          <w:rFonts w:ascii="Verdana" w:hAnsi="Verdana"/>
          <w:sz w:val="20"/>
        </w:rPr>
      </w:pPr>
      <w:r w:rsidRPr="00D44966">
        <w:rPr>
          <w:rFonts w:ascii="Verdana" w:hAnsi="Verdana"/>
          <w:sz w:val="20"/>
        </w:rPr>
        <w:t>Wilfredo Mclean Salvador.</w:t>
      </w:r>
    </w:p>
    <w:p w:rsidR="000B3F97" w:rsidRPr="00D44966" w:rsidRDefault="000B3F97" w:rsidP="000B3F97">
      <w:pPr>
        <w:jc w:val="both"/>
        <w:rPr>
          <w:rFonts w:ascii="Verdana" w:hAnsi="Verdana"/>
          <w:sz w:val="20"/>
        </w:rPr>
      </w:pPr>
    </w:p>
    <w:p w:rsidR="000B3F97" w:rsidRPr="00D44966" w:rsidRDefault="000B3F97" w:rsidP="000B3F97">
      <w:pPr>
        <w:jc w:val="both"/>
        <w:rPr>
          <w:rFonts w:ascii="Verdana" w:hAnsi="Verdana"/>
          <w:sz w:val="20"/>
        </w:rPr>
      </w:pPr>
      <w:r w:rsidRPr="00D44966">
        <w:rPr>
          <w:rFonts w:ascii="Verdana" w:hAnsi="Verdana"/>
          <w:sz w:val="20"/>
        </w:rPr>
        <w:t>Peritos propostos pela Comissão Interamericana de Direitos Humanos:</w:t>
      </w:r>
    </w:p>
    <w:p w:rsidR="000B3F97" w:rsidRPr="00D44966" w:rsidRDefault="000B3F97" w:rsidP="000B3F97">
      <w:pPr>
        <w:jc w:val="both"/>
        <w:rPr>
          <w:rFonts w:ascii="Verdana" w:hAnsi="Verdana"/>
          <w:sz w:val="20"/>
        </w:rPr>
      </w:pPr>
    </w:p>
    <w:p w:rsidR="000B3F97" w:rsidRPr="00D44966" w:rsidRDefault="000B3F97" w:rsidP="000B3F97">
      <w:pPr>
        <w:ind w:left="720"/>
        <w:jc w:val="both"/>
        <w:rPr>
          <w:rFonts w:ascii="Verdana" w:hAnsi="Verdana"/>
          <w:sz w:val="20"/>
        </w:rPr>
      </w:pPr>
      <w:r w:rsidRPr="00D44966">
        <w:rPr>
          <w:rFonts w:ascii="Verdana" w:hAnsi="Verdana"/>
          <w:sz w:val="20"/>
        </w:rPr>
        <w:t>Rodolfo Stavenhagen Gruenbaum;</w:t>
      </w:r>
    </w:p>
    <w:p w:rsidR="000B3F97" w:rsidRPr="00D44966" w:rsidRDefault="000B3F97" w:rsidP="000B3F97">
      <w:pPr>
        <w:ind w:left="720"/>
        <w:jc w:val="both"/>
        <w:rPr>
          <w:rFonts w:ascii="Verdana" w:hAnsi="Verdana"/>
          <w:sz w:val="20"/>
        </w:rPr>
      </w:pPr>
      <w:r w:rsidRPr="00D44966">
        <w:rPr>
          <w:rFonts w:ascii="Verdana" w:hAnsi="Verdana"/>
          <w:sz w:val="20"/>
        </w:rPr>
        <w:lastRenderedPageBreak/>
        <w:t>Charles Rice Hale;</w:t>
      </w:r>
    </w:p>
    <w:p w:rsidR="000B3F97" w:rsidRPr="00D44966" w:rsidRDefault="000B3F97" w:rsidP="000B3F97">
      <w:pPr>
        <w:ind w:left="720"/>
        <w:jc w:val="both"/>
        <w:rPr>
          <w:rFonts w:ascii="Verdana" w:hAnsi="Verdana"/>
          <w:sz w:val="20"/>
        </w:rPr>
      </w:pPr>
      <w:r w:rsidRPr="00D44966">
        <w:rPr>
          <w:rFonts w:ascii="Verdana" w:hAnsi="Verdana"/>
          <w:sz w:val="20"/>
        </w:rPr>
        <w:t xml:space="preserve">Roque de Jesús Roldán Ortega; </w:t>
      </w:r>
      <w:proofErr w:type="gramStart"/>
      <w:r w:rsidRPr="00D44966">
        <w:rPr>
          <w:rFonts w:ascii="Verdana" w:hAnsi="Verdana"/>
          <w:sz w:val="20"/>
        </w:rPr>
        <w:t>e</w:t>
      </w:r>
      <w:proofErr w:type="gramEnd"/>
    </w:p>
    <w:p w:rsidR="000B3F97" w:rsidRPr="00D44966" w:rsidRDefault="000B3F97" w:rsidP="000B3F97">
      <w:pPr>
        <w:ind w:left="720"/>
        <w:jc w:val="both"/>
        <w:rPr>
          <w:rFonts w:ascii="Verdana" w:hAnsi="Verdana"/>
          <w:sz w:val="20"/>
        </w:rPr>
      </w:pPr>
      <w:r w:rsidRPr="00D44966">
        <w:rPr>
          <w:rFonts w:ascii="Verdana" w:hAnsi="Verdana"/>
          <w:sz w:val="20"/>
        </w:rPr>
        <w:t>Lottie Marie Cunningham de Aguirre.</w:t>
      </w:r>
    </w:p>
    <w:p w:rsidR="000B3F97" w:rsidRPr="00D44966" w:rsidRDefault="000B3F97" w:rsidP="000B3F97">
      <w:pPr>
        <w:jc w:val="both"/>
        <w:rPr>
          <w:rFonts w:ascii="Verdana" w:hAnsi="Verdana"/>
          <w:sz w:val="20"/>
        </w:rPr>
      </w:pPr>
    </w:p>
    <w:p w:rsidR="000B3F97" w:rsidRPr="00D44966" w:rsidRDefault="000B3F97" w:rsidP="000B3F97">
      <w:pPr>
        <w:jc w:val="both"/>
        <w:rPr>
          <w:rFonts w:ascii="Verdana" w:hAnsi="Verdana"/>
          <w:sz w:val="20"/>
        </w:rPr>
      </w:pPr>
      <w:r w:rsidRPr="00D44966">
        <w:rPr>
          <w:rFonts w:ascii="Verdana" w:hAnsi="Verdana"/>
          <w:sz w:val="20"/>
        </w:rPr>
        <w:t>Testemunha convocada pela Corte Interame</w:t>
      </w:r>
      <w:r w:rsidR="00446AD9">
        <w:rPr>
          <w:rFonts w:ascii="Verdana" w:hAnsi="Verdana"/>
          <w:sz w:val="20"/>
        </w:rPr>
        <w:t xml:space="preserve">ricana de Direitos Humanos </w:t>
      </w:r>
      <w:r w:rsidR="00C60678" w:rsidRPr="00C60678">
        <w:rPr>
          <w:rFonts w:ascii="Verdana" w:hAnsi="Verdana"/>
          <w:sz w:val="20"/>
        </w:rPr>
        <w:t>(</w:t>
      </w:r>
      <w:r w:rsidR="00446AD9">
        <w:rPr>
          <w:rFonts w:ascii="Verdana" w:hAnsi="Verdana"/>
          <w:sz w:val="20"/>
        </w:rPr>
        <w:t>artigo</w:t>
      </w:r>
      <w:r w:rsidRPr="00D44966">
        <w:rPr>
          <w:rFonts w:ascii="Verdana" w:hAnsi="Verdana"/>
          <w:sz w:val="20"/>
        </w:rPr>
        <w:t xml:space="preserve"> 44.1 do Regulamento</w:t>
      </w:r>
      <w:r w:rsidR="00C60678" w:rsidRPr="00C60678">
        <w:rPr>
          <w:rFonts w:ascii="Verdana" w:hAnsi="Verdana"/>
          <w:sz w:val="20"/>
        </w:rPr>
        <w:t>)</w:t>
      </w:r>
      <w:r w:rsidRPr="00D44966">
        <w:rPr>
          <w:rFonts w:ascii="Verdana" w:hAnsi="Verdana"/>
          <w:sz w:val="20"/>
        </w:rPr>
        <w:t>:</w:t>
      </w:r>
    </w:p>
    <w:p w:rsidR="000B3F97" w:rsidRPr="00D44966" w:rsidRDefault="000B3F97" w:rsidP="000B3F97">
      <w:pPr>
        <w:jc w:val="both"/>
        <w:rPr>
          <w:rFonts w:ascii="Verdana" w:hAnsi="Verdana"/>
          <w:sz w:val="20"/>
        </w:rPr>
      </w:pPr>
    </w:p>
    <w:p w:rsidR="000B3F97" w:rsidRPr="00BD40F0" w:rsidRDefault="000B3F97" w:rsidP="000B3F97">
      <w:pPr>
        <w:ind w:firstLine="720"/>
        <w:jc w:val="both"/>
        <w:rPr>
          <w:rFonts w:ascii="Verdana" w:hAnsi="Verdana"/>
          <w:sz w:val="20"/>
        </w:rPr>
      </w:pPr>
      <w:r w:rsidRPr="00D44966">
        <w:rPr>
          <w:rFonts w:ascii="Verdana" w:hAnsi="Verdana"/>
          <w:sz w:val="20"/>
        </w:rPr>
        <w:t>Marco Antonio Centeno Caffarena.</w:t>
      </w:r>
    </w:p>
    <w:p w:rsidR="000B3F97" w:rsidRPr="00BD40F0" w:rsidRDefault="000B3F97" w:rsidP="000B3F97">
      <w:pPr>
        <w:ind w:firstLine="720"/>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63.</w:t>
      </w:r>
      <w:r w:rsidRPr="00BD40F0">
        <w:rPr>
          <w:rFonts w:ascii="Verdana" w:hAnsi="Verdana"/>
          <w:sz w:val="20"/>
        </w:rPr>
        <w:tab/>
        <w:t xml:space="preserve">Durante seu comparecimento na audiência pública sobre o mérito do caso no dia 17 de novembro de 2000, o senhor Marco Antonio Centeno Caffarena ofereceu vários documentos </w:t>
      </w:r>
      <w:r w:rsidR="003D616E">
        <w:rPr>
          <w:rFonts w:ascii="Verdana" w:hAnsi="Verdana"/>
          <w:sz w:val="20"/>
        </w:rPr>
        <w:t>para fundamentar seu testemunho,</w:t>
      </w:r>
      <w:r w:rsidRPr="00BD40F0">
        <w:rPr>
          <w:rFonts w:ascii="Verdana" w:hAnsi="Verdana"/>
          <w:sz w:val="20"/>
        </w:rPr>
        <w:t xml:space="preserve"> e em 21 de novembro de 2000 apresentou oito documentos </w:t>
      </w:r>
      <w:r w:rsidR="00C60678" w:rsidRPr="00C60678">
        <w:rPr>
          <w:rFonts w:ascii="Verdana" w:hAnsi="Verdana"/>
          <w:sz w:val="20"/>
        </w:rPr>
        <w:t>(</w:t>
      </w:r>
      <w:r w:rsidRPr="00BD40F0">
        <w:rPr>
          <w:rFonts w:ascii="Verdana" w:hAnsi="Verdana"/>
          <w:sz w:val="20"/>
        </w:rPr>
        <w:t xml:space="preserve">pars. 79 e 95 </w:t>
      </w:r>
      <w:r w:rsidRPr="00BD40F0">
        <w:rPr>
          <w:rFonts w:ascii="Verdana" w:hAnsi="Verdana"/>
          <w:i/>
          <w:sz w:val="20"/>
        </w:rPr>
        <w:t>infra</w:t>
      </w:r>
      <w:r w:rsidR="00C60678" w:rsidRPr="00C60678">
        <w:rPr>
          <w:rFonts w:ascii="Verdana" w:hAnsi="Verdana"/>
          <w:sz w:val="20"/>
        </w:rPr>
        <w:t>)</w:t>
      </w:r>
      <w:r w:rsidRPr="00BD40F0">
        <w:rPr>
          <w:rFonts w:ascii="Verdana" w:hAnsi="Verdana"/>
          <w:sz w:val="20"/>
        </w:rPr>
        <w:t>.</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64.</w:t>
      </w:r>
      <w:r w:rsidRPr="00BD40F0">
        <w:rPr>
          <w:rFonts w:ascii="Verdana" w:hAnsi="Verdana"/>
          <w:b/>
          <w:sz w:val="20"/>
        </w:rPr>
        <w:tab/>
      </w:r>
      <w:r w:rsidRPr="00BD40F0">
        <w:rPr>
          <w:rFonts w:ascii="Verdana" w:hAnsi="Verdana"/>
          <w:sz w:val="20"/>
        </w:rPr>
        <w:t xml:space="preserve">Em 24 de novembro de 2000, </w:t>
      </w:r>
      <w:r w:rsidR="003D616E">
        <w:rPr>
          <w:rFonts w:ascii="Verdana" w:hAnsi="Verdana"/>
          <w:sz w:val="20"/>
        </w:rPr>
        <w:t>de acordo com</w:t>
      </w:r>
      <w:r w:rsidRPr="00BD40F0">
        <w:rPr>
          <w:rFonts w:ascii="Verdana" w:hAnsi="Verdana"/>
          <w:sz w:val="20"/>
        </w:rPr>
        <w:t xml:space="preserve"> o artigo 44 de seu Regulamento, a Corte resolveu que era útil agregar ao acervo probatório do presente caso os seguintes documentos oferecidos pelo senhor Marco Antonio Centeno Caffarena: cópia certificada por notário público da certidão de 22 de fevereiro de 1983 da inscrição </w:t>
      </w:r>
      <w:r w:rsidR="009F18E7">
        <w:rPr>
          <w:rFonts w:ascii="Verdana" w:hAnsi="Verdana"/>
          <w:sz w:val="20"/>
        </w:rPr>
        <w:t>n</w:t>
      </w:r>
      <w:r w:rsidRPr="00BD40F0">
        <w:rPr>
          <w:rFonts w:ascii="Verdana" w:hAnsi="Verdana"/>
          <w:sz w:val="20"/>
        </w:rPr>
        <w:t>o Registro Público da Propriedade Imóvel do Departamento de Zelaya de 10 de fevereiro de 1917 da propriedade</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BD40F0">
        <w:rPr>
          <w:rFonts w:ascii="Verdana" w:hAnsi="Verdana"/>
          <w:sz w:val="20"/>
        </w:rPr>
        <w:t xml:space="preserve">2.111, e parecer etnográfico </w:t>
      </w:r>
      <w:r w:rsidR="003D616E">
        <w:rPr>
          <w:rFonts w:ascii="Verdana" w:hAnsi="Verdana"/>
          <w:sz w:val="20"/>
        </w:rPr>
        <w:t>realizado</w:t>
      </w:r>
      <w:r w:rsidRPr="00BD40F0">
        <w:rPr>
          <w:rFonts w:ascii="Verdana" w:hAnsi="Verdana"/>
          <w:sz w:val="20"/>
        </w:rPr>
        <w:t xml:space="preserve"> pelo senhor Ramiro García Vásquez sobre o documento elaborado por Theodore Macdonald, </w:t>
      </w:r>
      <w:r w:rsidR="00C6474D">
        <w:rPr>
          <w:rFonts w:ascii="Verdana" w:hAnsi="Verdana"/>
          <w:sz w:val="20"/>
        </w:rPr>
        <w:t>intitulado</w:t>
      </w:r>
      <w:r w:rsidR="003D616E">
        <w:rPr>
          <w:rFonts w:ascii="Verdana" w:hAnsi="Verdana"/>
          <w:sz w:val="20"/>
        </w:rPr>
        <w:t xml:space="preserve"> </w:t>
      </w:r>
      <w:r w:rsidRPr="00BD40F0">
        <w:rPr>
          <w:rFonts w:ascii="Verdana" w:hAnsi="Verdana"/>
          <w:sz w:val="20"/>
        </w:rPr>
        <w:t>“Awas Tingni um E</w:t>
      </w:r>
      <w:r w:rsidR="008A6EDB">
        <w:rPr>
          <w:rFonts w:ascii="Verdana" w:hAnsi="Verdana"/>
          <w:sz w:val="20"/>
        </w:rPr>
        <w:t>studo Etnográfico da Comunidade</w:t>
      </w:r>
      <w:r w:rsidR="003D616E">
        <w:rPr>
          <w:rFonts w:ascii="Verdana" w:hAnsi="Verdana"/>
          <w:sz w:val="20"/>
        </w:rPr>
        <w:t xml:space="preserve"> e seu Território” </w:t>
      </w:r>
      <w:r w:rsidR="00C60678" w:rsidRPr="00C60678">
        <w:rPr>
          <w:rFonts w:ascii="Verdana" w:hAnsi="Verdana"/>
          <w:sz w:val="20"/>
        </w:rPr>
        <w:t>(</w:t>
      </w:r>
      <w:r w:rsidRPr="00BD40F0">
        <w:rPr>
          <w:rFonts w:ascii="Verdana" w:hAnsi="Verdana"/>
          <w:sz w:val="20"/>
        </w:rPr>
        <w:t>pars. 79</w:t>
      </w:r>
      <w:r w:rsidR="00850A3F">
        <w:rPr>
          <w:rFonts w:ascii="Verdana" w:hAnsi="Verdana"/>
          <w:sz w:val="20"/>
        </w:rPr>
        <w:t xml:space="preserve"> </w:t>
      </w:r>
      <w:r w:rsidRPr="00BD40F0">
        <w:rPr>
          <w:rFonts w:ascii="Verdana" w:hAnsi="Verdana"/>
          <w:sz w:val="20"/>
        </w:rPr>
        <w:t>e</w:t>
      </w:r>
      <w:r w:rsidR="00850A3F">
        <w:rPr>
          <w:rFonts w:ascii="Verdana" w:hAnsi="Verdana"/>
          <w:sz w:val="20"/>
        </w:rPr>
        <w:t xml:space="preserve"> </w:t>
      </w:r>
      <w:r w:rsidRPr="00BD40F0">
        <w:rPr>
          <w:rFonts w:ascii="Verdana" w:hAnsi="Verdana"/>
          <w:sz w:val="20"/>
        </w:rPr>
        <w:t xml:space="preserve">95 </w:t>
      </w:r>
      <w:r w:rsidRPr="003D616E">
        <w:rPr>
          <w:rFonts w:ascii="Verdana" w:hAnsi="Verdana"/>
          <w:i/>
          <w:sz w:val="20"/>
        </w:rPr>
        <w:t>infra</w:t>
      </w:r>
      <w:r w:rsidR="00C60678" w:rsidRPr="00C60678">
        <w:rPr>
          <w:rFonts w:ascii="Verdana" w:hAnsi="Verdana"/>
          <w:sz w:val="20"/>
        </w:rPr>
        <w:t>)</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Ademais, a Corte requereu ao Estado que, o mais tardar em 15 de dezembro de 2000, apresenta</w:t>
      </w:r>
      <w:r w:rsidR="008A6EDB">
        <w:rPr>
          <w:rFonts w:ascii="Verdana" w:hAnsi="Verdana"/>
          <w:sz w:val="20"/>
        </w:rPr>
        <w:t>sse</w:t>
      </w:r>
      <w:r w:rsidRPr="00BD40F0">
        <w:rPr>
          <w:rFonts w:ascii="Verdana" w:hAnsi="Verdana"/>
          <w:sz w:val="20"/>
        </w:rPr>
        <w:t xml:space="preserve"> cópia da totalidade do estudo </w:t>
      </w:r>
      <w:r w:rsidR="00C6474D">
        <w:rPr>
          <w:rFonts w:ascii="Verdana" w:hAnsi="Verdana"/>
          <w:sz w:val="20"/>
        </w:rPr>
        <w:t>intitulado</w:t>
      </w:r>
      <w:r w:rsidRPr="00BD40F0">
        <w:rPr>
          <w:rFonts w:ascii="Verdana" w:hAnsi="Verdana"/>
          <w:sz w:val="20"/>
        </w:rPr>
        <w:t xml:space="preserve"> “Diagnóstico da </w:t>
      </w:r>
      <w:r w:rsidR="008A6EDB">
        <w:rPr>
          <w:rFonts w:ascii="Verdana" w:hAnsi="Verdana"/>
          <w:sz w:val="20"/>
        </w:rPr>
        <w:t>posse</w:t>
      </w:r>
      <w:r w:rsidRPr="00BD40F0">
        <w:rPr>
          <w:rFonts w:ascii="Verdana" w:hAnsi="Verdana"/>
          <w:sz w:val="20"/>
        </w:rPr>
        <w:t xml:space="preserve"> da terra das comunidades indígenas da Costa Atlântica”, elaborado pelo </w:t>
      </w:r>
      <w:r w:rsidRPr="00BD40F0">
        <w:rPr>
          <w:rFonts w:ascii="Verdana" w:hAnsi="Verdana"/>
          <w:i/>
          <w:sz w:val="20"/>
        </w:rPr>
        <w:t>Central American and Caribbean Research Council</w:t>
      </w:r>
      <w:r w:rsidRPr="00BD40F0">
        <w:rPr>
          <w:rFonts w:ascii="Verdana" w:hAnsi="Verdana"/>
          <w:sz w:val="20"/>
        </w:rPr>
        <w:t>.</w:t>
      </w:r>
    </w:p>
    <w:p w:rsidR="000B3F97" w:rsidRPr="00BD40F0" w:rsidRDefault="000B3F97" w:rsidP="000B3F97">
      <w:pPr>
        <w:jc w:val="both"/>
        <w:rPr>
          <w:rFonts w:ascii="Verdana" w:hAnsi="Verdana"/>
          <w:b/>
          <w:i/>
          <w:sz w:val="20"/>
        </w:rPr>
      </w:pPr>
    </w:p>
    <w:p w:rsidR="000B3F97" w:rsidRPr="00BD40F0" w:rsidRDefault="000B3F97" w:rsidP="000B3F97">
      <w:pPr>
        <w:jc w:val="both"/>
        <w:rPr>
          <w:rFonts w:ascii="Verdana" w:hAnsi="Verdana"/>
          <w:sz w:val="20"/>
        </w:rPr>
      </w:pPr>
      <w:r w:rsidRPr="00BD40F0">
        <w:rPr>
          <w:rFonts w:ascii="Verdana" w:hAnsi="Verdana"/>
          <w:sz w:val="20"/>
        </w:rPr>
        <w:t>65.</w:t>
      </w:r>
      <w:r w:rsidRPr="00BD40F0">
        <w:rPr>
          <w:rFonts w:ascii="Verdana" w:hAnsi="Verdana"/>
          <w:sz w:val="20"/>
        </w:rPr>
        <w:tab/>
        <w:t>Em 20 de dezembro de 2000, o Estado apresentou, em cumprimento do requerido pela Corte na Resolução indicada no parágra</w:t>
      </w:r>
      <w:r w:rsidR="0036472C">
        <w:rPr>
          <w:rFonts w:ascii="Verdana" w:hAnsi="Verdana"/>
          <w:sz w:val="20"/>
        </w:rPr>
        <w:t>fo anterior, cópia do Contexto G</w:t>
      </w:r>
      <w:r w:rsidRPr="00BD40F0">
        <w:rPr>
          <w:rFonts w:ascii="Verdana" w:hAnsi="Verdana"/>
          <w:sz w:val="20"/>
        </w:rPr>
        <w:t xml:space="preserve">eral, Resumo </w:t>
      </w:r>
      <w:r w:rsidR="0036472C">
        <w:rPr>
          <w:rFonts w:ascii="Verdana" w:hAnsi="Verdana"/>
          <w:sz w:val="20"/>
        </w:rPr>
        <w:t>E</w:t>
      </w:r>
      <w:r w:rsidRPr="00BD40F0">
        <w:rPr>
          <w:rFonts w:ascii="Verdana" w:hAnsi="Verdana"/>
          <w:sz w:val="20"/>
        </w:rPr>
        <w:t xml:space="preserve">xecutivo e Relatório Final do documento </w:t>
      </w:r>
      <w:r w:rsidR="00C6474D">
        <w:rPr>
          <w:rFonts w:ascii="Verdana" w:hAnsi="Verdana"/>
          <w:sz w:val="20"/>
        </w:rPr>
        <w:t>intitulado</w:t>
      </w:r>
      <w:r w:rsidR="003D616E">
        <w:rPr>
          <w:rFonts w:ascii="Verdana" w:hAnsi="Verdana"/>
          <w:sz w:val="20"/>
        </w:rPr>
        <w:t xml:space="preserve"> </w:t>
      </w:r>
      <w:r w:rsidRPr="00BD40F0">
        <w:rPr>
          <w:rFonts w:ascii="Verdana" w:hAnsi="Verdana"/>
          <w:sz w:val="20"/>
        </w:rPr>
        <w:t xml:space="preserve">“Diagnóstico geral sobre a </w:t>
      </w:r>
      <w:r w:rsidR="008A6EDB">
        <w:rPr>
          <w:rFonts w:ascii="Verdana" w:hAnsi="Verdana"/>
          <w:sz w:val="20"/>
        </w:rPr>
        <w:t>posse</w:t>
      </w:r>
      <w:r w:rsidRPr="00BD40F0">
        <w:rPr>
          <w:rFonts w:ascii="Verdana" w:hAnsi="Verdana"/>
          <w:sz w:val="20"/>
        </w:rPr>
        <w:t xml:space="preserve"> da terra nas comunidades indígenas da Costa Atlântica”, elaborado pelo </w:t>
      </w:r>
      <w:r w:rsidRPr="00BD40F0">
        <w:rPr>
          <w:rFonts w:ascii="Verdana" w:hAnsi="Verdana"/>
          <w:i/>
          <w:sz w:val="20"/>
        </w:rPr>
        <w:t>Central American and Caribbean Research Council</w:t>
      </w:r>
      <w:r w:rsidRPr="00BD40F0">
        <w:rPr>
          <w:rFonts w:ascii="Verdana" w:hAnsi="Verdana"/>
          <w:sz w:val="20"/>
        </w:rPr>
        <w:t xml:space="preserve"> </w:t>
      </w:r>
      <w:r w:rsidR="00C60678" w:rsidRPr="00C60678">
        <w:rPr>
          <w:rFonts w:ascii="Verdana" w:hAnsi="Verdana"/>
          <w:sz w:val="20"/>
        </w:rPr>
        <w:t>(</w:t>
      </w:r>
      <w:r w:rsidRPr="00BD40F0">
        <w:rPr>
          <w:rFonts w:ascii="Verdana" w:hAnsi="Verdana"/>
          <w:sz w:val="20"/>
        </w:rPr>
        <w:t xml:space="preserve">par. 80 e 96 </w:t>
      </w:r>
      <w:r w:rsidRPr="00BD40F0">
        <w:rPr>
          <w:rFonts w:ascii="Verdana" w:hAnsi="Verdana"/>
          <w:i/>
          <w:sz w:val="20"/>
        </w:rPr>
        <w:t>infra</w:t>
      </w:r>
      <w:r w:rsidR="00C60678" w:rsidRPr="00C60678">
        <w:rPr>
          <w:rFonts w:ascii="Verdana" w:hAnsi="Verdana"/>
          <w:sz w:val="20"/>
        </w:rPr>
        <w:t>)</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66.</w:t>
      </w:r>
      <w:r w:rsidRPr="00BD40F0">
        <w:rPr>
          <w:rFonts w:ascii="Verdana" w:hAnsi="Verdana"/>
          <w:sz w:val="20"/>
        </w:rPr>
        <w:tab/>
        <w:t>Em 29 de janeiro de 2001, a Comissão apresentou uma nota na qu</w:t>
      </w:r>
      <w:r w:rsidR="009F18E7">
        <w:rPr>
          <w:rFonts w:ascii="Verdana" w:hAnsi="Verdana"/>
          <w:sz w:val="20"/>
        </w:rPr>
        <w:t>al</w:t>
      </w:r>
      <w:r w:rsidRPr="00BD40F0">
        <w:rPr>
          <w:rFonts w:ascii="Verdana" w:hAnsi="Verdana"/>
          <w:sz w:val="20"/>
        </w:rPr>
        <w:t xml:space="preserve"> acompanhou três documentos: comentários de Theodore Macdonald de 20 de janeiro de 2001, e comentários de Charles Rice Hale de </w:t>
      </w:r>
      <w:proofErr w:type="gramStart"/>
      <w:r w:rsidRPr="00BD40F0">
        <w:rPr>
          <w:rFonts w:ascii="Verdana" w:hAnsi="Verdana"/>
          <w:sz w:val="20"/>
        </w:rPr>
        <w:t>7</w:t>
      </w:r>
      <w:proofErr w:type="gramEnd"/>
      <w:r w:rsidRPr="00BD40F0">
        <w:rPr>
          <w:rFonts w:ascii="Verdana" w:hAnsi="Verdana"/>
          <w:sz w:val="20"/>
        </w:rPr>
        <w:t xml:space="preserve"> de janeiro de 2001, ambos com respeito ao parecer etnográfico elaborado por Ramiro García Vásquez sobre o documento elaborado por Theodore Macdonald </w:t>
      </w:r>
      <w:r w:rsidR="003D616E">
        <w:rPr>
          <w:rFonts w:ascii="Verdana" w:hAnsi="Verdana"/>
          <w:sz w:val="20"/>
        </w:rPr>
        <w:t>intitulado</w:t>
      </w:r>
      <w:r w:rsidRPr="00BD40F0">
        <w:rPr>
          <w:rFonts w:ascii="Verdana" w:hAnsi="Verdana"/>
          <w:sz w:val="20"/>
        </w:rPr>
        <w:t xml:space="preserve"> “Awas Tingni um Estudo Etnográfico da Comunidade e seu Território”</w:t>
      </w:r>
      <w:r w:rsidR="008A6EDB">
        <w:rPr>
          <w:rFonts w:ascii="Verdana" w:hAnsi="Verdana"/>
          <w:sz w:val="20"/>
        </w:rPr>
        <w:t xml:space="preserve"> </w:t>
      </w:r>
      <w:r w:rsidR="00C60678" w:rsidRPr="00C60678">
        <w:rPr>
          <w:rFonts w:ascii="Verdana" w:hAnsi="Verdana"/>
          <w:sz w:val="20"/>
        </w:rPr>
        <w:t>(</w:t>
      </w:r>
      <w:r w:rsidRPr="00BD40F0">
        <w:rPr>
          <w:rFonts w:ascii="Verdana" w:hAnsi="Verdana"/>
          <w:sz w:val="20"/>
        </w:rPr>
        <w:t xml:space="preserve">pars. 81 e 97 </w:t>
      </w:r>
      <w:r w:rsidRPr="00BD40F0">
        <w:rPr>
          <w:rFonts w:ascii="Verdana" w:hAnsi="Verdana"/>
          <w:i/>
          <w:sz w:val="20"/>
        </w:rPr>
        <w:t>infra</w:t>
      </w:r>
      <w:r w:rsidR="00C60678" w:rsidRPr="00C60678">
        <w:rPr>
          <w:rFonts w:ascii="Verdana" w:hAnsi="Verdana"/>
          <w:sz w:val="20"/>
        </w:rPr>
        <w:t>)</w:t>
      </w:r>
      <w:r w:rsidRPr="00BD40F0">
        <w:rPr>
          <w:rFonts w:ascii="Verdana" w:hAnsi="Verdana"/>
          <w:sz w:val="20"/>
        </w:rPr>
        <w:t xml:space="preserve">; e cópia do documento </w:t>
      </w:r>
      <w:r w:rsidR="00C6474D">
        <w:rPr>
          <w:rFonts w:ascii="Verdana" w:hAnsi="Verdana"/>
          <w:sz w:val="20"/>
        </w:rPr>
        <w:t>intitulado</w:t>
      </w:r>
      <w:r w:rsidR="003D616E">
        <w:rPr>
          <w:rFonts w:ascii="Verdana" w:hAnsi="Verdana"/>
          <w:sz w:val="20"/>
        </w:rPr>
        <w:t xml:space="preserve"> </w:t>
      </w:r>
      <w:r w:rsidRPr="00BD40F0">
        <w:rPr>
          <w:rFonts w:ascii="Verdana" w:hAnsi="Verdana"/>
          <w:sz w:val="20"/>
        </w:rPr>
        <w:t>“Awas Tingni Um Estudo Etnográfico da Comunidade e seu Território. Relatório 1999”.</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67.</w:t>
      </w:r>
      <w:r w:rsidRPr="00BD40F0">
        <w:rPr>
          <w:rFonts w:ascii="Verdana" w:hAnsi="Verdana"/>
          <w:b/>
          <w:sz w:val="20"/>
        </w:rPr>
        <w:tab/>
      </w:r>
      <w:r w:rsidRPr="00BD40F0">
        <w:rPr>
          <w:rFonts w:ascii="Verdana" w:hAnsi="Verdana"/>
          <w:sz w:val="20"/>
        </w:rPr>
        <w:t>Em 21 de junho de 2001, seguindo instruções do Presidente, a Secretaria concedeu à Comissão e ao Estado prazo até 23 de julho do mesmo ano para apresentar seus escritos de alegações finais.</w:t>
      </w:r>
      <w:r w:rsidR="00850A3F">
        <w:rPr>
          <w:rFonts w:ascii="Verdana" w:hAnsi="Verdana"/>
          <w:b/>
          <w:sz w:val="20"/>
        </w:rPr>
        <w:t xml:space="preserve"> </w:t>
      </w:r>
      <w:r w:rsidRPr="00BD40F0">
        <w:rPr>
          <w:rFonts w:ascii="Verdana" w:hAnsi="Verdana"/>
          <w:sz w:val="20"/>
        </w:rPr>
        <w:t xml:space="preserve">Em </w:t>
      </w:r>
      <w:proofErr w:type="gramStart"/>
      <w:r w:rsidRPr="00BD40F0">
        <w:rPr>
          <w:rFonts w:ascii="Verdana" w:hAnsi="Verdana"/>
          <w:sz w:val="20"/>
        </w:rPr>
        <w:t>3</w:t>
      </w:r>
      <w:proofErr w:type="gramEnd"/>
      <w:r w:rsidRPr="00BD40F0">
        <w:rPr>
          <w:rFonts w:ascii="Verdana" w:hAnsi="Verdana"/>
          <w:sz w:val="20"/>
        </w:rPr>
        <w:t xml:space="preserve"> de julho de 2001, a Comissão solicitou extensão até 10 de agosto do mesmo ano para a apresentação de seu escrito.</w:t>
      </w:r>
      <w:r w:rsidR="00850A3F">
        <w:rPr>
          <w:rFonts w:ascii="Verdana" w:hAnsi="Verdana"/>
          <w:sz w:val="20"/>
        </w:rPr>
        <w:t xml:space="preserve"> </w:t>
      </w:r>
      <w:r w:rsidRPr="00BD40F0">
        <w:rPr>
          <w:rFonts w:ascii="Verdana" w:hAnsi="Verdana"/>
          <w:sz w:val="20"/>
        </w:rPr>
        <w:t xml:space="preserve">Em </w:t>
      </w:r>
      <w:proofErr w:type="gramStart"/>
      <w:r w:rsidRPr="00BD40F0">
        <w:rPr>
          <w:rFonts w:ascii="Verdana" w:hAnsi="Verdana"/>
          <w:sz w:val="20"/>
        </w:rPr>
        <w:t>6</w:t>
      </w:r>
      <w:proofErr w:type="gramEnd"/>
      <w:r w:rsidRPr="00BD40F0">
        <w:rPr>
          <w:rFonts w:ascii="Verdana" w:hAnsi="Verdana"/>
          <w:sz w:val="20"/>
        </w:rPr>
        <w:t xml:space="preserve"> de julho de 2001, seguindo instruções do Presidente, a Secretaria</w:t>
      </w:r>
      <w:r w:rsidR="00850A3F">
        <w:rPr>
          <w:rFonts w:ascii="Verdana" w:hAnsi="Verdana"/>
          <w:sz w:val="20"/>
        </w:rPr>
        <w:t xml:space="preserve"> </w:t>
      </w:r>
      <w:r w:rsidRPr="00BD40F0">
        <w:rPr>
          <w:rFonts w:ascii="Verdana" w:hAnsi="Verdana"/>
          <w:sz w:val="20"/>
        </w:rPr>
        <w:t>informou à Comissão e ao Estado que havia sido concedida a extensão solicitada.</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68.</w:t>
      </w:r>
      <w:r w:rsidRPr="00BD40F0">
        <w:rPr>
          <w:rFonts w:ascii="Verdana" w:hAnsi="Verdana"/>
          <w:sz w:val="20"/>
        </w:rPr>
        <w:tab/>
        <w:t xml:space="preserve">Mediante nota de 31 de julho de 2001, seguindo instruções do Presidente e </w:t>
      </w:r>
      <w:r w:rsidR="003D616E">
        <w:rPr>
          <w:rFonts w:ascii="Verdana" w:hAnsi="Verdana"/>
          <w:sz w:val="20"/>
        </w:rPr>
        <w:t>de acordo com o</w:t>
      </w:r>
      <w:r w:rsidRPr="00BD40F0">
        <w:rPr>
          <w:rFonts w:ascii="Verdana" w:hAnsi="Verdana"/>
          <w:sz w:val="20"/>
        </w:rPr>
        <w:t xml:space="preserve"> artigo 44 do Regulamento, a Secretaria solicitou à Comissão que </w:t>
      </w:r>
      <w:r w:rsidRPr="00BD40F0">
        <w:rPr>
          <w:rFonts w:ascii="Verdana" w:hAnsi="Verdana"/>
          <w:sz w:val="20"/>
        </w:rPr>
        <w:lastRenderedPageBreak/>
        <w:t>apresenta</w:t>
      </w:r>
      <w:r w:rsidR="008A6EDB">
        <w:rPr>
          <w:rFonts w:ascii="Verdana" w:hAnsi="Verdana"/>
          <w:sz w:val="20"/>
        </w:rPr>
        <w:t>sse</w:t>
      </w:r>
      <w:r w:rsidRPr="00BD40F0">
        <w:rPr>
          <w:rFonts w:ascii="Verdana" w:hAnsi="Verdana"/>
          <w:sz w:val="20"/>
        </w:rPr>
        <w:t xml:space="preserve"> os documentos de prova e as alegações que </w:t>
      </w:r>
      <w:r w:rsidR="00C67EA2">
        <w:rPr>
          <w:rFonts w:ascii="Verdana" w:hAnsi="Verdana"/>
          <w:sz w:val="20"/>
        </w:rPr>
        <w:t>confirma</w:t>
      </w:r>
      <w:r w:rsidR="008A6EDB">
        <w:rPr>
          <w:rFonts w:ascii="Verdana" w:hAnsi="Verdana"/>
          <w:sz w:val="20"/>
        </w:rPr>
        <w:t>ssem</w:t>
      </w:r>
      <w:r w:rsidRPr="00BD40F0">
        <w:rPr>
          <w:rFonts w:ascii="Verdana" w:hAnsi="Verdana"/>
          <w:sz w:val="20"/>
        </w:rPr>
        <w:t xml:space="preserve"> </w:t>
      </w:r>
      <w:r w:rsidR="00AF29CE">
        <w:rPr>
          <w:rFonts w:ascii="Verdana" w:hAnsi="Verdana"/>
          <w:sz w:val="20"/>
        </w:rPr>
        <w:t>o pedido</w:t>
      </w:r>
      <w:r w:rsidRPr="00BD40F0">
        <w:rPr>
          <w:rFonts w:ascii="Verdana" w:hAnsi="Verdana"/>
          <w:sz w:val="20"/>
        </w:rPr>
        <w:t xml:space="preserve"> de pagamento de reparaç</w:t>
      </w:r>
      <w:r w:rsidR="00AF29CE">
        <w:rPr>
          <w:rFonts w:ascii="Verdana" w:hAnsi="Verdana"/>
          <w:sz w:val="20"/>
        </w:rPr>
        <w:t>ões, custas e gastos apresentado</w:t>
      </w:r>
      <w:r w:rsidRPr="00BD40F0">
        <w:rPr>
          <w:rFonts w:ascii="Verdana" w:hAnsi="Verdana"/>
          <w:sz w:val="20"/>
        </w:rPr>
        <w:t xml:space="preserve"> pela Comissão no ponto petitório de sua demanda </w:t>
      </w:r>
      <w:r w:rsidR="00C60678" w:rsidRPr="00C60678">
        <w:rPr>
          <w:rFonts w:ascii="Verdana" w:hAnsi="Verdana"/>
          <w:sz w:val="20"/>
        </w:rPr>
        <w:t>(</w:t>
      </w:r>
      <w:r w:rsidRPr="00BD40F0">
        <w:rPr>
          <w:rFonts w:ascii="Verdana" w:hAnsi="Verdana"/>
          <w:sz w:val="20"/>
        </w:rPr>
        <w:t xml:space="preserve">par. 4 </w:t>
      </w:r>
      <w:r w:rsidRPr="00BD40F0">
        <w:rPr>
          <w:rFonts w:ascii="Verdana" w:hAnsi="Verdana"/>
          <w:i/>
          <w:sz w:val="20"/>
        </w:rPr>
        <w:t>supra</w:t>
      </w:r>
      <w:r w:rsidR="00C60678" w:rsidRPr="00C60678">
        <w:rPr>
          <w:rFonts w:ascii="Verdana" w:hAnsi="Verdana"/>
          <w:sz w:val="20"/>
        </w:rPr>
        <w:t>)</w:t>
      </w:r>
      <w:r w:rsidRPr="00BD40F0">
        <w:rPr>
          <w:rFonts w:ascii="Verdana" w:hAnsi="Verdana"/>
          <w:sz w:val="20"/>
        </w:rPr>
        <w:t xml:space="preserve">, </w:t>
      </w:r>
      <w:r w:rsidR="009F18E7">
        <w:rPr>
          <w:rFonts w:ascii="Verdana" w:hAnsi="Verdana"/>
          <w:sz w:val="20"/>
        </w:rPr>
        <w:t>e</w:t>
      </w:r>
      <w:r w:rsidR="00850A3F">
        <w:rPr>
          <w:rFonts w:ascii="Verdana" w:hAnsi="Verdana"/>
          <w:sz w:val="20"/>
        </w:rPr>
        <w:t xml:space="preserve"> </w:t>
      </w:r>
      <w:r w:rsidRPr="00BD40F0">
        <w:rPr>
          <w:rFonts w:ascii="Verdana" w:hAnsi="Verdana"/>
          <w:sz w:val="20"/>
        </w:rPr>
        <w:t>concedeu prazo até o dia 10 de agosto de 2001.</w:t>
      </w:r>
      <w:r w:rsidR="00850A3F">
        <w:rPr>
          <w:rFonts w:ascii="Verdana" w:hAnsi="Verdana"/>
          <w:sz w:val="20"/>
        </w:rPr>
        <w:t xml:space="preserve"> </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69.</w:t>
      </w:r>
      <w:r w:rsidRPr="00BD40F0">
        <w:rPr>
          <w:rFonts w:ascii="Verdana" w:hAnsi="Verdana"/>
          <w:sz w:val="20"/>
        </w:rPr>
        <w:tab/>
        <w:t>Em 31 de julho de 2001, seguindo instruções da Corte e conforme o artigo 44 do Regulamento</w:t>
      </w:r>
      <w:r w:rsidRPr="00707832">
        <w:rPr>
          <w:rFonts w:ascii="Verdana" w:hAnsi="Verdana"/>
          <w:sz w:val="20"/>
        </w:rPr>
        <w:t xml:space="preserve">, a Secretaria concedeu prazo </w:t>
      </w:r>
      <w:r w:rsidR="008A6EDB" w:rsidRPr="00707832">
        <w:rPr>
          <w:rFonts w:ascii="Verdana" w:hAnsi="Verdana"/>
          <w:sz w:val="20"/>
        </w:rPr>
        <w:t>à</w:t>
      </w:r>
      <w:r w:rsidRPr="00707832">
        <w:rPr>
          <w:rFonts w:ascii="Verdana" w:hAnsi="Verdana"/>
          <w:sz w:val="20"/>
        </w:rPr>
        <w:t xml:space="preserve"> Nicarágua até o dia 13 de agosto de 2001 para que </w:t>
      </w:r>
      <w:r w:rsidR="00707832" w:rsidRPr="00707832">
        <w:rPr>
          <w:rFonts w:ascii="Verdana" w:hAnsi="Verdana"/>
          <w:sz w:val="20"/>
        </w:rPr>
        <w:t>fosse enviada</w:t>
      </w:r>
      <w:r w:rsidRPr="00707832">
        <w:rPr>
          <w:rFonts w:ascii="Verdana" w:hAnsi="Verdana"/>
          <w:sz w:val="20"/>
        </w:rPr>
        <w:t xml:space="preserve"> como</w:t>
      </w:r>
      <w:r w:rsidRPr="00BD40F0">
        <w:rPr>
          <w:rFonts w:ascii="Verdana" w:hAnsi="Verdana"/>
          <w:sz w:val="20"/>
        </w:rPr>
        <w:t xml:space="preserve"> prova para melhor resolver, a seguinte documentação: títulos de propriedade existentes da Comunidade Awas Tingni </w:t>
      </w:r>
      <w:r w:rsidR="00C60678" w:rsidRPr="00C60678">
        <w:rPr>
          <w:rFonts w:ascii="Verdana" w:hAnsi="Verdana"/>
          <w:sz w:val="20"/>
        </w:rPr>
        <w:t>(</w:t>
      </w:r>
      <w:r w:rsidRPr="00BD40F0">
        <w:rPr>
          <w:rFonts w:ascii="Verdana" w:hAnsi="Verdana"/>
          <w:sz w:val="20"/>
        </w:rPr>
        <w:t>Comunidade Mayagna</w:t>
      </w:r>
      <w:r w:rsidR="00C60678" w:rsidRPr="00C60678">
        <w:rPr>
          <w:rFonts w:ascii="Verdana" w:hAnsi="Verdana"/>
          <w:sz w:val="20"/>
        </w:rPr>
        <w:t>)</w:t>
      </w:r>
      <w:r w:rsidRPr="00BD40F0">
        <w:rPr>
          <w:rFonts w:ascii="Verdana" w:hAnsi="Verdana"/>
          <w:sz w:val="20"/>
        </w:rPr>
        <w:t xml:space="preserve">; das </w:t>
      </w:r>
      <w:r w:rsidRPr="00A21CDE">
        <w:rPr>
          <w:rFonts w:ascii="Verdana" w:hAnsi="Verdana"/>
          <w:sz w:val="20"/>
        </w:rPr>
        <w:t>Dez Comunidades</w:t>
      </w:r>
      <w:r w:rsidRPr="00BD40F0">
        <w:rPr>
          <w:rFonts w:ascii="Verdana" w:hAnsi="Verdana"/>
          <w:sz w:val="20"/>
        </w:rPr>
        <w:t xml:space="preserve"> </w:t>
      </w:r>
      <w:r w:rsidR="00C60678" w:rsidRPr="00C60678">
        <w:rPr>
          <w:rFonts w:ascii="Verdana" w:hAnsi="Verdana"/>
          <w:sz w:val="20"/>
        </w:rPr>
        <w:t>(</w:t>
      </w:r>
      <w:r w:rsidRPr="00BD40F0">
        <w:rPr>
          <w:rFonts w:ascii="Verdana" w:hAnsi="Verdana"/>
          <w:sz w:val="20"/>
        </w:rPr>
        <w:t>Comunidade Miskita</w:t>
      </w:r>
      <w:r w:rsidR="00C60678" w:rsidRPr="00C60678">
        <w:rPr>
          <w:rFonts w:ascii="Verdana" w:hAnsi="Verdana"/>
          <w:sz w:val="20"/>
        </w:rPr>
        <w:t>)</w:t>
      </w:r>
      <w:r w:rsidRPr="00BD40F0">
        <w:rPr>
          <w:rFonts w:ascii="Verdana" w:hAnsi="Verdana"/>
          <w:sz w:val="20"/>
        </w:rPr>
        <w:t xml:space="preserve">; da Comunidade Indígena de Tasba Raya </w:t>
      </w:r>
      <w:r w:rsidR="00C60678" w:rsidRPr="00C60678">
        <w:rPr>
          <w:rFonts w:ascii="Verdana" w:hAnsi="Verdana"/>
          <w:sz w:val="20"/>
        </w:rPr>
        <w:t>(</w:t>
      </w:r>
      <w:r w:rsidRPr="00BD40F0">
        <w:rPr>
          <w:rFonts w:ascii="Verdana" w:hAnsi="Verdana"/>
          <w:sz w:val="20"/>
        </w:rPr>
        <w:t>também conhecida como Seis Comunidades</w:t>
      </w:r>
      <w:r w:rsidR="00C60678" w:rsidRPr="00C60678">
        <w:rPr>
          <w:rFonts w:ascii="Verdana" w:hAnsi="Verdana"/>
          <w:sz w:val="20"/>
        </w:rPr>
        <w:t>)</w:t>
      </w:r>
      <w:r w:rsidRPr="00BD40F0">
        <w:rPr>
          <w:rFonts w:ascii="Verdana" w:hAnsi="Verdana"/>
          <w:sz w:val="20"/>
        </w:rPr>
        <w:t xml:space="preserve">, que inclui as comunidades de Miguel Bikan, Wisconsin, Esperanza, Francia Sirpi, Santa Clara e Tasba Pain </w:t>
      </w:r>
      <w:r w:rsidR="00C60678" w:rsidRPr="00C60678">
        <w:rPr>
          <w:rFonts w:ascii="Verdana" w:hAnsi="Verdana"/>
          <w:sz w:val="20"/>
        </w:rPr>
        <w:t>(</w:t>
      </w:r>
      <w:r w:rsidRPr="00BD40F0">
        <w:rPr>
          <w:rFonts w:ascii="Verdana" w:hAnsi="Verdana"/>
          <w:sz w:val="20"/>
        </w:rPr>
        <w:t>Comunidades Miskitas,</w:t>
      </w:r>
      <w:r w:rsidR="00C60678" w:rsidRPr="00C60678">
        <w:rPr>
          <w:rFonts w:ascii="Verdana" w:hAnsi="Verdana"/>
          <w:sz w:val="20"/>
        </w:rPr>
        <w:t>)</w:t>
      </w:r>
      <w:r w:rsidRPr="00BD40F0">
        <w:rPr>
          <w:rFonts w:ascii="Verdana" w:hAnsi="Verdana"/>
          <w:sz w:val="20"/>
        </w:rPr>
        <w:t xml:space="preserve"> e da Comunidade Indígena de Karatá </w:t>
      </w:r>
      <w:r w:rsidR="00C60678" w:rsidRPr="00C60678">
        <w:rPr>
          <w:rFonts w:ascii="Verdana" w:hAnsi="Verdana"/>
          <w:sz w:val="20"/>
        </w:rPr>
        <w:t>(</w:t>
      </w:r>
      <w:r w:rsidRPr="00BD40F0">
        <w:rPr>
          <w:rFonts w:ascii="Verdana" w:hAnsi="Verdana"/>
          <w:sz w:val="20"/>
        </w:rPr>
        <w:t>Comunidade Miskita</w:t>
      </w:r>
      <w:r w:rsidR="00C60678" w:rsidRPr="00C60678">
        <w:rPr>
          <w:rFonts w:ascii="Verdana" w:hAnsi="Verdana"/>
          <w:sz w:val="20"/>
        </w:rPr>
        <w:t>)</w:t>
      </w:r>
      <w:r w:rsidRPr="00BD40F0">
        <w:rPr>
          <w:rFonts w:ascii="Verdana" w:hAnsi="Verdana"/>
          <w:sz w:val="20"/>
        </w:rPr>
        <w:t>.</w:t>
      </w:r>
      <w:r w:rsidR="00850A3F">
        <w:rPr>
          <w:rFonts w:ascii="Verdana" w:hAnsi="Verdana"/>
          <w:b/>
          <w:sz w:val="20"/>
        </w:rPr>
        <w:t xml:space="preserve"> </w:t>
      </w:r>
      <w:r w:rsidRPr="00BD40F0">
        <w:rPr>
          <w:rFonts w:ascii="Verdana" w:hAnsi="Verdana"/>
          <w:sz w:val="20"/>
        </w:rPr>
        <w:t>Estes documentos não foram apresentados à Corte.</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b/>
          <w:sz w:val="20"/>
        </w:rPr>
      </w:pPr>
      <w:r w:rsidRPr="00BD40F0">
        <w:rPr>
          <w:rFonts w:ascii="Verdana" w:hAnsi="Verdana"/>
          <w:sz w:val="20"/>
        </w:rPr>
        <w:t>70.</w:t>
      </w:r>
      <w:r w:rsidRPr="00BD40F0">
        <w:rPr>
          <w:rFonts w:ascii="Verdana" w:hAnsi="Verdana"/>
          <w:sz w:val="20"/>
        </w:rPr>
        <w:tab/>
        <w:t xml:space="preserve">Em </w:t>
      </w:r>
      <w:proofErr w:type="gramStart"/>
      <w:r w:rsidRPr="00BD40F0">
        <w:rPr>
          <w:rFonts w:ascii="Verdana" w:hAnsi="Verdana"/>
          <w:sz w:val="20"/>
        </w:rPr>
        <w:t>8</w:t>
      </w:r>
      <w:proofErr w:type="gramEnd"/>
      <w:r w:rsidRPr="00BD40F0">
        <w:rPr>
          <w:rFonts w:ascii="Verdana" w:hAnsi="Verdana"/>
          <w:sz w:val="20"/>
        </w:rPr>
        <w:t xml:space="preserve"> de agosto de 2001, o Estado apresentou uma objeção a que fosse </w:t>
      </w:r>
      <w:r w:rsidR="00914F3B">
        <w:rPr>
          <w:rFonts w:ascii="Verdana" w:hAnsi="Verdana"/>
          <w:sz w:val="20"/>
        </w:rPr>
        <w:t>concedida</w:t>
      </w:r>
      <w:r w:rsidRPr="00BD40F0">
        <w:rPr>
          <w:rFonts w:ascii="Verdana" w:hAnsi="Verdana"/>
          <w:sz w:val="20"/>
        </w:rPr>
        <w:t xml:space="preserve"> às partes a possibilidade de apresentar alegações finais escritas e solicitou que, </w:t>
      </w:r>
      <w:r w:rsidRPr="00707832">
        <w:rPr>
          <w:rFonts w:ascii="Verdana" w:hAnsi="Verdana"/>
          <w:sz w:val="20"/>
        </w:rPr>
        <w:t>caso a Corte decidisse seguir adiante com a admissão destas alegações, fosse concedida uma</w:t>
      </w:r>
      <w:r w:rsidRPr="00BD40F0">
        <w:rPr>
          <w:rFonts w:ascii="Verdana" w:hAnsi="Verdana"/>
          <w:sz w:val="20"/>
        </w:rPr>
        <w:t xml:space="preserve"> extensão para sua apresentação até o dia 10 de setembro de 2001.</w:t>
      </w:r>
      <w:r w:rsidR="00850A3F">
        <w:rPr>
          <w:rFonts w:ascii="Verdana" w:hAnsi="Verdana"/>
          <w:sz w:val="20"/>
        </w:rPr>
        <w:t xml:space="preserve"> </w:t>
      </w:r>
      <w:r w:rsidRPr="00707832">
        <w:rPr>
          <w:rFonts w:ascii="Verdana" w:hAnsi="Verdana"/>
          <w:sz w:val="20"/>
        </w:rPr>
        <w:t xml:space="preserve">No dia seguinte, seguindo instruções do Presidente, a Secretaria informou ao Estado que </w:t>
      </w:r>
      <w:proofErr w:type="gramStart"/>
      <w:r w:rsidRPr="00707832">
        <w:rPr>
          <w:rFonts w:ascii="Verdana" w:hAnsi="Verdana"/>
          <w:sz w:val="20"/>
        </w:rPr>
        <w:t>tem sido</w:t>
      </w:r>
      <w:proofErr w:type="gramEnd"/>
      <w:r w:rsidRPr="00707832">
        <w:rPr>
          <w:rFonts w:ascii="Verdana" w:hAnsi="Verdana"/>
          <w:sz w:val="20"/>
        </w:rPr>
        <w:t xml:space="preserve"> prática</w:t>
      </w:r>
      <w:r w:rsidRPr="00BD40F0">
        <w:rPr>
          <w:rFonts w:ascii="Verdana" w:hAnsi="Verdana"/>
          <w:sz w:val="20"/>
        </w:rPr>
        <w:t xml:space="preserve"> constante e uniforme da Corte conceder às partes a oportunidade de apresentar alegações finais escritas, entendidas estas como um resumo das posições das partes manifestadas na audiência pública sobre o mérito, no ente</w:t>
      </w:r>
      <w:r w:rsidR="00914F3B">
        <w:rPr>
          <w:rFonts w:ascii="Verdana" w:hAnsi="Verdana"/>
          <w:sz w:val="20"/>
        </w:rPr>
        <w:t>n</w:t>
      </w:r>
      <w:r w:rsidRPr="00BD40F0">
        <w:rPr>
          <w:rFonts w:ascii="Verdana" w:hAnsi="Verdana"/>
          <w:sz w:val="20"/>
        </w:rPr>
        <w:t>dimento de que estes escritos não estão sujeitos a observações adicionais contraditórias das partes.</w:t>
      </w:r>
      <w:r w:rsidR="00850A3F">
        <w:rPr>
          <w:rFonts w:ascii="Verdana" w:hAnsi="Verdana"/>
          <w:sz w:val="20"/>
        </w:rPr>
        <w:t xml:space="preserve"> </w:t>
      </w:r>
      <w:r w:rsidRPr="00BD40F0">
        <w:rPr>
          <w:rFonts w:ascii="Verdana" w:hAnsi="Verdana"/>
          <w:sz w:val="20"/>
        </w:rPr>
        <w:t xml:space="preserve">Em relação </w:t>
      </w:r>
      <w:r w:rsidR="00C34B7D">
        <w:rPr>
          <w:rFonts w:ascii="Verdana" w:hAnsi="Verdana"/>
          <w:sz w:val="20"/>
        </w:rPr>
        <w:t>ao</w:t>
      </w:r>
      <w:r w:rsidR="00707832">
        <w:rPr>
          <w:rFonts w:ascii="Verdana" w:hAnsi="Verdana"/>
          <w:sz w:val="20"/>
        </w:rPr>
        <w:t xml:space="preserve"> pedido</w:t>
      </w:r>
      <w:r w:rsidRPr="00BD40F0">
        <w:rPr>
          <w:rFonts w:ascii="Verdana" w:hAnsi="Verdana"/>
          <w:sz w:val="20"/>
        </w:rPr>
        <w:t xml:space="preserve"> de extensão para a apresentação das alegações finais do Estado, a Secretaria manifestou a este que, seguindo instruções do Presidente, em atenção ao tempo que as partes </w:t>
      </w:r>
      <w:r w:rsidR="0036472C" w:rsidRPr="00BD40F0">
        <w:rPr>
          <w:rFonts w:ascii="Verdana" w:hAnsi="Verdana"/>
          <w:sz w:val="20"/>
        </w:rPr>
        <w:t xml:space="preserve">tiveram </w:t>
      </w:r>
      <w:r w:rsidRPr="00BD40F0">
        <w:rPr>
          <w:rFonts w:ascii="Verdana" w:hAnsi="Verdana"/>
          <w:sz w:val="20"/>
        </w:rPr>
        <w:t xml:space="preserve">para apresentar suas alegações finais escritas, e com o fim de não </w:t>
      </w:r>
      <w:r w:rsidR="0036472C">
        <w:rPr>
          <w:rFonts w:ascii="Verdana" w:hAnsi="Verdana"/>
          <w:sz w:val="20"/>
        </w:rPr>
        <w:t>prejudicar</w:t>
      </w:r>
      <w:r w:rsidRPr="00BD40F0">
        <w:rPr>
          <w:rFonts w:ascii="Verdana" w:hAnsi="Verdana"/>
          <w:sz w:val="20"/>
        </w:rPr>
        <w:t xml:space="preserve"> o equilíbrio que deve </w:t>
      </w:r>
      <w:r w:rsidR="0036472C" w:rsidRPr="00BD40F0">
        <w:rPr>
          <w:rFonts w:ascii="Verdana" w:hAnsi="Verdana"/>
          <w:sz w:val="20"/>
        </w:rPr>
        <w:t xml:space="preserve">o Tribunal </w:t>
      </w:r>
      <w:r w:rsidR="0036472C">
        <w:rPr>
          <w:rFonts w:ascii="Verdana" w:hAnsi="Verdana"/>
          <w:sz w:val="20"/>
        </w:rPr>
        <w:t>res</w:t>
      </w:r>
      <w:r w:rsidRPr="00BD40F0">
        <w:rPr>
          <w:rFonts w:ascii="Verdana" w:hAnsi="Verdana"/>
          <w:sz w:val="20"/>
        </w:rPr>
        <w:t xml:space="preserve">guardar entre a proteção dos direitos humanos, a segurança jurídica e a equidade processual, </w:t>
      </w:r>
      <w:r w:rsidR="009F18E7">
        <w:rPr>
          <w:rFonts w:ascii="Verdana" w:hAnsi="Verdana"/>
          <w:sz w:val="20"/>
        </w:rPr>
        <w:t>foi</w:t>
      </w:r>
      <w:r w:rsidR="009F18E7" w:rsidRPr="00BD40F0">
        <w:rPr>
          <w:rFonts w:ascii="Verdana" w:hAnsi="Verdana"/>
          <w:sz w:val="20"/>
        </w:rPr>
        <w:t xml:space="preserve"> </w:t>
      </w:r>
      <w:r w:rsidRPr="00BD40F0">
        <w:rPr>
          <w:rFonts w:ascii="Verdana" w:hAnsi="Verdana"/>
          <w:sz w:val="20"/>
        </w:rPr>
        <w:t xml:space="preserve">concedido um prazo improrrogável para ambas as partes até o dia 17 de agosto de 2001. </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71.</w:t>
      </w:r>
      <w:r w:rsidRPr="00BD40F0">
        <w:rPr>
          <w:rFonts w:ascii="Verdana" w:hAnsi="Verdana"/>
          <w:sz w:val="20"/>
        </w:rPr>
        <w:tab/>
        <w:t xml:space="preserve">Em 10 de agosto de 2001, a Comissão apresentou seu escrito de alegações finais, ao qual </w:t>
      </w:r>
      <w:r w:rsidR="00914F3B">
        <w:rPr>
          <w:rFonts w:ascii="Verdana" w:hAnsi="Verdana"/>
          <w:sz w:val="20"/>
        </w:rPr>
        <w:t>incluiu</w:t>
      </w:r>
      <w:r w:rsidRPr="00BD40F0">
        <w:rPr>
          <w:rFonts w:ascii="Verdana" w:hAnsi="Verdana"/>
          <w:sz w:val="20"/>
        </w:rPr>
        <w:t xml:space="preserve"> um anexo </w:t>
      </w:r>
      <w:r w:rsidR="00C60678" w:rsidRPr="00C60678">
        <w:rPr>
          <w:rFonts w:ascii="Verdana" w:hAnsi="Verdana"/>
          <w:sz w:val="20"/>
        </w:rPr>
        <w:t>(</w:t>
      </w:r>
      <w:r w:rsidRPr="00BD40F0">
        <w:rPr>
          <w:rFonts w:ascii="Verdana" w:hAnsi="Verdana"/>
          <w:sz w:val="20"/>
        </w:rPr>
        <w:t xml:space="preserve">par. 82 </w:t>
      </w:r>
      <w:r w:rsidRPr="00BD40F0">
        <w:rPr>
          <w:rFonts w:ascii="Verdana" w:hAnsi="Verdana"/>
          <w:i/>
          <w:sz w:val="20"/>
        </w:rPr>
        <w:t>infra</w:t>
      </w:r>
      <w:r w:rsidR="00C60678" w:rsidRPr="00C60678">
        <w:rPr>
          <w:rFonts w:ascii="Verdana" w:hAnsi="Verdana"/>
          <w:sz w:val="20"/>
        </w:rPr>
        <w:t>)</w:t>
      </w:r>
      <w:r w:rsidRPr="00BD40F0">
        <w:rPr>
          <w:rFonts w:ascii="Verdana" w:hAnsi="Verdana"/>
          <w:sz w:val="20"/>
        </w:rPr>
        <w:t xml:space="preserve">. </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72.</w:t>
      </w:r>
      <w:r w:rsidRPr="00BD40F0">
        <w:rPr>
          <w:rFonts w:ascii="Verdana" w:hAnsi="Verdana"/>
          <w:sz w:val="20"/>
        </w:rPr>
        <w:tab/>
        <w:t xml:space="preserve">Em 17 de agosto de 2001, a Nicarágua apresentou seu escrito de alegações finais.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73.</w:t>
      </w:r>
      <w:r w:rsidRPr="00BD40F0">
        <w:rPr>
          <w:rFonts w:ascii="Verdana" w:hAnsi="Verdana"/>
          <w:sz w:val="20"/>
        </w:rPr>
        <w:tab/>
        <w:t xml:space="preserve">Em 22 de agosto de 2001, a Comissão apresentou extemporaneamente o escrito referente às reparações, custas e gastos </w:t>
      </w:r>
      <w:r w:rsidR="00C60678" w:rsidRPr="00C60678">
        <w:rPr>
          <w:rFonts w:ascii="Verdana" w:hAnsi="Verdana"/>
          <w:sz w:val="20"/>
        </w:rPr>
        <w:t>(</w:t>
      </w:r>
      <w:r w:rsidRPr="00BD40F0">
        <w:rPr>
          <w:rFonts w:ascii="Verdana" w:hAnsi="Verdana"/>
          <w:sz w:val="20"/>
        </w:rPr>
        <w:t xml:space="preserve">par. 159 </w:t>
      </w:r>
      <w:r w:rsidRPr="00BD40F0">
        <w:rPr>
          <w:rFonts w:ascii="Verdana" w:hAnsi="Verdana"/>
          <w:i/>
          <w:sz w:val="20"/>
        </w:rPr>
        <w:t>infra</w:t>
      </w:r>
      <w:r w:rsidR="00C60678" w:rsidRPr="00C60678">
        <w:rPr>
          <w:rFonts w:ascii="Verdana" w:hAnsi="Verdana"/>
          <w:sz w:val="20"/>
        </w:rPr>
        <w:t>)</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74.</w:t>
      </w:r>
      <w:r w:rsidRPr="00BD40F0">
        <w:rPr>
          <w:rFonts w:ascii="Verdana" w:hAnsi="Verdana"/>
          <w:sz w:val="20"/>
        </w:rPr>
        <w:tab/>
        <w:t>Em 25 de agosto de 2001, o Estado solicitou à Corte que se abstive</w:t>
      </w:r>
      <w:r w:rsidR="00914F3B">
        <w:rPr>
          <w:rFonts w:ascii="Verdana" w:hAnsi="Verdana"/>
          <w:sz w:val="20"/>
        </w:rPr>
        <w:t>sse</w:t>
      </w:r>
      <w:r w:rsidRPr="00BD40F0">
        <w:rPr>
          <w:rFonts w:ascii="Verdana" w:hAnsi="Verdana"/>
          <w:sz w:val="20"/>
        </w:rPr>
        <w:t xml:space="preserve"> de conhecer o escrito </w:t>
      </w:r>
      <w:r w:rsidR="00C6474D">
        <w:rPr>
          <w:rFonts w:ascii="Verdana" w:hAnsi="Verdana"/>
          <w:sz w:val="20"/>
        </w:rPr>
        <w:t>enviado</w:t>
      </w:r>
      <w:r w:rsidRPr="00BD40F0">
        <w:rPr>
          <w:rFonts w:ascii="Verdana" w:hAnsi="Verdana"/>
          <w:sz w:val="20"/>
        </w:rPr>
        <w:t xml:space="preserve"> pela Comissão sobre reparações, custas e gastos, por haver sido apresentado extemporaneamente.</w:t>
      </w:r>
    </w:p>
    <w:p w:rsidR="000B3F97" w:rsidRPr="00BD40F0" w:rsidRDefault="000B3F97" w:rsidP="000B3F97">
      <w:pPr>
        <w:jc w:val="center"/>
        <w:rPr>
          <w:rFonts w:ascii="Verdana" w:hAnsi="Verdana"/>
          <w:b/>
          <w:caps/>
          <w:sz w:val="20"/>
        </w:rPr>
      </w:pPr>
    </w:p>
    <w:p w:rsidR="000B3F97" w:rsidRPr="00BD40F0" w:rsidRDefault="000B3F97" w:rsidP="000B3F97">
      <w:pPr>
        <w:jc w:val="center"/>
        <w:rPr>
          <w:rFonts w:ascii="Verdana" w:hAnsi="Verdana"/>
          <w:b/>
          <w:caps/>
          <w:sz w:val="20"/>
        </w:rPr>
      </w:pPr>
      <w:r w:rsidRPr="00BD40F0">
        <w:rPr>
          <w:rFonts w:ascii="Verdana" w:hAnsi="Verdana"/>
          <w:b/>
          <w:caps/>
          <w:sz w:val="20"/>
        </w:rPr>
        <w:t>V</w:t>
      </w:r>
    </w:p>
    <w:p w:rsidR="000B3F97" w:rsidRPr="00BD40F0" w:rsidRDefault="000B3F97" w:rsidP="000B3F97">
      <w:pPr>
        <w:jc w:val="center"/>
        <w:rPr>
          <w:rFonts w:ascii="Verdana" w:hAnsi="Verdana"/>
          <w:b/>
          <w:caps/>
          <w:sz w:val="20"/>
        </w:rPr>
      </w:pPr>
      <w:r w:rsidRPr="00BD40F0">
        <w:rPr>
          <w:rFonts w:ascii="Verdana" w:hAnsi="Verdana"/>
          <w:b/>
          <w:caps/>
          <w:sz w:val="20"/>
        </w:rPr>
        <w:t>A Prova</w:t>
      </w:r>
    </w:p>
    <w:p w:rsidR="000B3F97" w:rsidRPr="00BD40F0" w:rsidRDefault="000B3F97" w:rsidP="000B3F97">
      <w:pPr>
        <w:jc w:val="center"/>
        <w:rPr>
          <w:rFonts w:ascii="Verdana" w:hAnsi="Verdana"/>
          <w:b/>
          <w:caps/>
          <w:sz w:val="20"/>
        </w:rPr>
      </w:pPr>
    </w:p>
    <w:p w:rsidR="000B3F97" w:rsidRDefault="00707832" w:rsidP="00707832">
      <w:pPr>
        <w:jc w:val="center"/>
        <w:rPr>
          <w:rFonts w:ascii="Verdana" w:hAnsi="Verdana"/>
          <w:b/>
          <w:caps/>
          <w:smallCaps/>
          <w:sz w:val="20"/>
        </w:rPr>
      </w:pPr>
      <w:r>
        <w:rPr>
          <w:rFonts w:ascii="Verdana" w:hAnsi="Verdana"/>
          <w:b/>
          <w:caps/>
          <w:smallCaps/>
          <w:sz w:val="20"/>
        </w:rPr>
        <w:t>A</w:t>
      </w:r>
      <w:r w:rsidR="00C60678" w:rsidRPr="00C60678">
        <w:rPr>
          <w:rFonts w:ascii="Verdana" w:hAnsi="Verdana"/>
          <w:b/>
          <w:caps/>
          <w:smallCaps/>
          <w:sz w:val="20"/>
        </w:rPr>
        <w:t>)</w:t>
      </w:r>
      <w:r>
        <w:rPr>
          <w:rFonts w:ascii="Verdana" w:hAnsi="Verdana"/>
          <w:b/>
          <w:caps/>
          <w:smallCaps/>
          <w:sz w:val="20"/>
        </w:rPr>
        <w:t xml:space="preserve"> Prova Documental</w:t>
      </w:r>
    </w:p>
    <w:p w:rsidR="009F18E7" w:rsidRPr="00707832" w:rsidRDefault="009F18E7" w:rsidP="00707832">
      <w:pPr>
        <w:jc w:val="center"/>
        <w:rPr>
          <w:rFonts w:ascii="Verdana" w:hAnsi="Verdana"/>
          <w:b/>
          <w:caps/>
          <w:smallCaps/>
          <w:sz w:val="20"/>
        </w:rPr>
      </w:pPr>
    </w:p>
    <w:p w:rsidR="000B3F97" w:rsidRPr="00BD40F0" w:rsidRDefault="000B3F97" w:rsidP="000B3F97">
      <w:pPr>
        <w:jc w:val="both"/>
        <w:rPr>
          <w:rFonts w:ascii="Verdana" w:hAnsi="Verdana"/>
          <w:sz w:val="20"/>
        </w:rPr>
      </w:pPr>
      <w:r w:rsidRPr="00BD40F0">
        <w:rPr>
          <w:rFonts w:ascii="Verdana" w:hAnsi="Verdana"/>
          <w:sz w:val="20"/>
        </w:rPr>
        <w:lastRenderedPageBreak/>
        <w:t>75.</w:t>
      </w:r>
      <w:r w:rsidRPr="00BD40F0">
        <w:rPr>
          <w:rFonts w:ascii="Verdana" w:hAnsi="Verdana"/>
          <w:sz w:val="20"/>
        </w:rPr>
        <w:tab/>
        <w:t xml:space="preserve">Com o escrito de demanda </w:t>
      </w:r>
      <w:r w:rsidR="00C60678" w:rsidRPr="00C60678">
        <w:rPr>
          <w:rFonts w:ascii="Verdana" w:hAnsi="Verdana"/>
          <w:sz w:val="20"/>
        </w:rPr>
        <w:t>(</w:t>
      </w:r>
      <w:r w:rsidRPr="00BD40F0">
        <w:rPr>
          <w:rFonts w:ascii="Verdana" w:hAnsi="Verdana"/>
          <w:sz w:val="20"/>
        </w:rPr>
        <w:t xml:space="preserve">pars. </w:t>
      </w:r>
      <w:proofErr w:type="gramStart"/>
      <w:r w:rsidRPr="00BD40F0">
        <w:rPr>
          <w:rFonts w:ascii="Verdana" w:hAnsi="Verdana"/>
          <w:sz w:val="20"/>
        </w:rPr>
        <w:t>1</w:t>
      </w:r>
      <w:proofErr w:type="gramEnd"/>
      <w:r w:rsidRPr="00BD40F0">
        <w:rPr>
          <w:rFonts w:ascii="Verdana" w:hAnsi="Verdana"/>
          <w:sz w:val="20"/>
        </w:rPr>
        <w:t xml:space="preserve"> e 29 </w:t>
      </w:r>
      <w:r w:rsidRPr="00BD40F0">
        <w:rPr>
          <w:rFonts w:ascii="Verdana" w:hAnsi="Verdana"/>
          <w:i/>
          <w:sz w:val="20"/>
        </w:rPr>
        <w:t>supra</w:t>
      </w:r>
      <w:r w:rsidR="00C60678" w:rsidRPr="00C60678">
        <w:rPr>
          <w:rFonts w:ascii="Verdana" w:hAnsi="Verdana"/>
          <w:sz w:val="20"/>
        </w:rPr>
        <w:t>)</w:t>
      </w:r>
      <w:r w:rsidRPr="00BD40F0">
        <w:rPr>
          <w:rFonts w:ascii="Verdana" w:hAnsi="Verdana"/>
          <w:sz w:val="20"/>
        </w:rPr>
        <w:t>, a Comissão Interamericana apresentou cópia de 58 documentos</w:t>
      </w:r>
      <w:r w:rsidR="00850A3F">
        <w:rPr>
          <w:rFonts w:ascii="Verdana" w:hAnsi="Verdana"/>
          <w:sz w:val="20"/>
        </w:rPr>
        <w:t>,</w:t>
      </w:r>
      <w:r w:rsidRPr="00BD40F0">
        <w:rPr>
          <w:rFonts w:ascii="Verdana" w:hAnsi="Verdana"/>
          <w:sz w:val="20"/>
        </w:rPr>
        <w:t xml:space="preserve"> </w:t>
      </w:r>
      <w:r w:rsidR="00914F3B">
        <w:rPr>
          <w:rFonts w:ascii="Verdana" w:hAnsi="Verdana"/>
          <w:sz w:val="20"/>
        </w:rPr>
        <w:t>contidos</w:t>
      </w:r>
      <w:r w:rsidRPr="00BD40F0">
        <w:rPr>
          <w:rFonts w:ascii="Verdana" w:hAnsi="Verdana"/>
          <w:sz w:val="20"/>
        </w:rPr>
        <w:t xml:space="preserve"> em 50 anexos.</w:t>
      </w:r>
      <w:r w:rsidRPr="00BD40F0">
        <w:rPr>
          <w:rStyle w:val="Refdenotaalpie"/>
          <w:rFonts w:ascii="Verdana" w:hAnsi="Verdana"/>
          <w:sz w:val="20"/>
        </w:rPr>
        <w:footnoteReference w:id="2"/>
      </w:r>
      <w:r w:rsidRPr="00BD40F0">
        <w:rPr>
          <w:rFonts w:ascii="Verdana" w:hAnsi="Verdana"/>
          <w:sz w:val="20"/>
        </w:rPr>
        <w:tab/>
      </w:r>
    </w:p>
    <w:p w:rsidR="00F36166" w:rsidRDefault="000B3F97" w:rsidP="000B3F97">
      <w:pPr>
        <w:jc w:val="both"/>
        <w:rPr>
          <w:rFonts w:ascii="Verdana" w:hAnsi="Verdana"/>
          <w:sz w:val="20"/>
        </w:rPr>
      </w:pPr>
      <w:r w:rsidRPr="00BD40F0">
        <w:rPr>
          <w:rFonts w:ascii="Verdana" w:hAnsi="Verdana"/>
          <w:sz w:val="20"/>
        </w:rPr>
        <w:lastRenderedPageBreak/>
        <w:t>76.</w:t>
      </w:r>
      <w:r w:rsidRPr="00BD40F0">
        <w:rPr>
          <w:rFonts w:ascii="Verdana" w:hAnsi="Verdana"/>
          <w:sz w:val="20"/>
        </w:rPr>
        <w:tab/>
        <w:t xml:space="preserve">Ao apresentar sua contestação à demanda </w:t>
      </w:r>
      <w:r w:rsidR="00C60678" w:rsidRPr="00C60678">
        <w:rPr>
          <w:rFonts w:ascii="Verdana" w:hAnsi="Verdana"/>
          <w:sz w:val="20"/>
        </w:rPr>
        <w:t>(</w:t>
      </w:r>
      <w:r w:rsidRPr="00BD40F0">
        <w:rPr>
          <w:rFonts w:ascii="Verdana" w:hAnsi="Verdana"/>
          <w:sz w:val="20"/>
        </w:rPr>
        <w:t xml:space="preserve">par. 37 </w:t>
      </w:r>
      <w:r w:rsidRPr="00BD40F0">
        <w:rPr>
          <w:rFonts w:ascii="Verdana" w:hAnsi="Verdana"/>
          <w:i/>
          <w:sz w:val="20"/>
        </w:rPr>
        <w:t>supra</w:t>
      </w:r>
      <w:r w:rsidR="00C60678" w:rsidRPr="00C60678">
        <w:rPr>
          <w:rFonts w:ascii="Verdana" w:hAnsi="Verdana"/>
          <w:sz w:val="20"/>
        </w:rPr>
        <w:t>)</w:t>
      </w:r>
      <w:r w:rsidRPr="00BD40F0">
        <w:rPr>
          <w:rFonts w:ascii="Verdana" w:hAnsi="Verdana"/>
          <w:sz w:val="20"/>
        </w:rPr>
        <w:t xml:space="preserve">, o Estado anexou cópia de 16 documentos </w:t>
      </w:r>
      <w:r w:rsidR="002B1DF6">
        <w:rPr>
          <w:rFonts w:ascii="Verdana" w:hAnsi="Verdana"/>
          <w:sz w:val="20"/>
        </w:rPr>
        <w:t>contidos</w:t>
      </w:r>
      <w:r w:rsidRPr="00BD40F0">
        <w:rPr>
          <w:rFonts w:ascii="Verdana" w:hAnsi="Verdana"/>
          <w:sz w:val="20"/>
        </w:rPr>
        <w:t xml:space="preserve"> em 14 anexos.</w:t>
      </w:r>
      <w:proofErr w:type="gramStart"/>
      <w:r w:rsidRPr="00BD40F0">
        <w:rPr>
          <w:rStyle w:val="Refdenotaalpie"/>
          <w:rFonts w:ascii="Verdana" w:hAnsi="Verdana"/>
          <w:sz w:val="20"/>
        </w:rPr>
        <w:footnoteReference w:id="3"/>
      </w:r>
      <w:proofErr w:type="gramEnd"/>
      <w:r w:rsidRPr="00BD40F0">
        <w:rPr>
          <w:rFonts w:ascii="Verdana" w:hAnsi="Verdana"/>
          <w:sz w:val="20"/>
        </w:rPr>
        <w:t xml:space="preserve"> </w:t>
      </w:r>
    </w:p>
    <w:p w:rsidR="009F18E7" w:rsidRDefault="009F18E7" w:rsidP="000B3F97">
      <w:pPr>
        <w:jc w:val="both"/>
        <w:rPr>
          <w:rFonts w:ascii="Verdana" w:hAnsi="Verdana"/>
          <w:sz w:val="20"/>
        </w:rPr>
      </w:pPr>
    </w:p>
    <w:p w:rsidR="000B3F97" w:rsidRPr="00A21CDE" w:rsidRDefault="000B3F97" w:rsidP="000B3F97">
      <w:pPr>
        <w:jc w:val="both"/>
        <w:rPr>
          <w:rFonts w:ascii="Verdana" w:hAnsi="Verdana"/>
          <w:sz w:val="20"/>
        </w:rPr>
      </w:pPr>
      <w:r w:rsidRPr="00BD40F0">
        <w:rPr>
          <w:rFonts w:ascii="Verdana" w:hAnsi="Verdana"/>
          <w:sz w:val="20"/>
        </w:rPr>
        <w:t>77.</w:t>
      </w:r>
      <w:r w:rsidRPr="00BD40F0">
        <w:rPr>
          <w:rFonts w:ascii="Verdana" w:hAnsi="Verdana"/>
          <w:sz w:val="20"/>
        </w:rPr>
        <w:tab/>
        <w:t>Durante a etapa de exceções preliminares</w:t>
      </w:r>
      <w:r w:rsidR="002B1DF6">
        <w:rPr>
          <w:rFonts w:ascii="Verdana" w:hAnsi="Verdana"/>
          <w:sz w:val="20"/>
        </w:rPr>
        <w:t>,</w:t>
      </w:r>
      <w:r w:rsidRPr="00BD40F0">
        <w:rPr>
          <w:rFonts w:ascii="Verdana" w:hAnsi="Verdana"/>
          <w:sz w:val="20"/>
        </w:rPr>
        <w:t xml:space="preserve"> o Estado apresentou cópia de 26 documentos.</w:t>
      </w:r>
      <w:proofErr w:type="gramStart"/>
      <w:r w:rsidRPr="00BD40F0">
        <w:rPr>
          <w:rStyle w:val="Refdenotaalpie"/>
          <w:rFonts w:ascii="Verdana" w:hAnsi="Verdana"/>
          <w:sz w:val="20"/>
        </w:rPr>
        <w:footnoteReference w:id="4"/>
      </w:r>
      <w:proofErr w:type="gramEnd"/>
      <w:r w:rsidR="00850A3F">
        <w:rPr>
          <w:rFonts w:ascii="Verdana" w:hAnsi="Verdana"/>
          <w:sz w:val="20"/>
        </w:rPr>
        <w:t xml:space="preserve"> </w:t>
      </w:r>
    </w:p>
    <w:p w:rsidR="000B3F97" w:rsidRDefault="000B3F97" w:rsidP="000B3F97">
      <w:pPr>
        <w:jc w:val="both"/>
        <w:rPr>
          <w:rFonts w:ascii="Verdana" w:hAnsi="Verdana"/>
          <w:sz w:val="20"/>
        </w:rPr>
      </w:pPr>
      <w:r w:rsidRPr="00BD40F0">
        <w:rPr>
          <w:rFonts w:ascii="Verdana" w:hAnsi="Verdana"/>
          <w:sz w:val="20"/>
        </w:rPr>
        <w:lastRenderedPageBreak/>
        <w:t>78.</w:t>
      </w:r>
      <w:r w:rsidRPr="00BD40F0">
        <w:rPr>
          <w:rFonts w:ascii="Verdana" w:hAnsi="Verdana"/>
          <w:sz w:val="20"/>
        </w:rPr>
        <w:tab/>
        <w:t xml:space="preserve">A Comissão apresentou cópia de 27 documentos durante a etapa de exceções preliminares. </w:t>
      </w:r>
      <w:r w:rsidRPr="00BD40F0">
        <w:rPr>
          <w:rStyle w:val="Refdenotaalpie"/>
          <w:rFonts w:ascii="Verdana" w:hAnsi="Verdana"/>
          <w:sz w:val="20"/>
        </w:rPr>
        <w:footnoteReference w:id="5"/>
      </w:r>
      <w:r w:rsidRPr="00BD40F0">
        <w:rPr>
          <w:rFonts w:ascii="Verdana" w:hAnsi="Verdana"/>
          <w:sz w:val="20"/>
        </w:rPr>
        <w:t xml:space="preserve"> </w:t>
      </w:r>
    </w:p>
    <w:p w:rsidR="00A21CDE" w:rsidRPr="00BD40F0" w:rsidRDefault="00A21CDE" w:rsidP="000B3F97">
      <w:pPr>
        <w:jc w:val="both"/>
        <w:rPr>
          <w:rFonts w:ascii="Verdana" w:hAnsi="Verdana"/>
          <w:sz w:val="20"/>
        </w:rPr>
      </w:pPr>
    </w:p>
    <w:p w:rsidR="000B3F97" w:rsidRDefault="000B3F97" w:rsidP="000B3F97">
      <w:pPr>
        <w:jc w:val="both"/>
        <w:rPr>
          <w:rFonts w:ascii="Verdana" w:hAnsi="Verdana"/>
          <w:sz w:val="20"/>
        </w:rPr>
      </w:pPr>
      <w:r w:rsidRPr="00BD40F0">
        <w:rPr>
          <w:rFonts w:ascii="Verdana" w:hAnsi="Verdana"/>
          <w:sz w:val="20"/>
        </w:rPr>
        <w:t>79.</w:t>
      </w:r>
      <w:r w:rsidRPr="00BD40F0">
        <w:rPr>
          <w:rFonts w:ascii="Verdana" w:hAnsi="Verdana"/>
          <w:sz w:val="20"/>
        </w:rPr>
        <w:tab/>
        <w:t xml:space="preserve">Em 21 de novembro de 2000, </w:t>
      </w:r>
      <w:proofErr w:type="gramStart"/>
      <w:r w:rsidRPr="00BD40F0">
        <w:rPr>
          <w:rFonts w:ascii="Verdana" w:hAnsi="Verdana"/>
          <w:sz w:val="20"/>
        </w:rPr>
        <w:t>o senhor Marco</w:t>
      </w:r>
      <w:proofErr w:type="gramEnd"/>
      <w:r w:rsidRPr="00BD40F0">
        <w:rPr>
          <w:rFonts w:ascii="Verdana" w:hAnsi="Verdana"/>
          <w:sz w:val="20"/>
        </w:rPr>
        <w:t xml:space="preserve"> Antonio Centeno Caffarena, Diretor Geral do Escritório de Titulação Rural da Nicarágua, enviou cópia de </w:t>
      </w:r>
      <w:r w:rsidR="00C60678">
        <w:rPr>
          <w:rFonts w:ascii="Verdana" w:hAnsi="Verdana"/>
          <w:sz w:val="20"/>
        </w:rPr>
        <w:t xml:space="preserve">oito </w:t>
      </w:r>
      <w:r w:rsidRPr="00BD40F0">
        <w:rPr>
          <w:rFonts w:ascii="Verdana" w:hAnsi="Verdana"/>
          <w:sz w:val="20"/>
        </w:rPr>
        <w:t xml:space="preserve">documentos </w:t>
      </w:r>
      <w:r w:rsidR="00C60678" w:rsidRPr="00C60678">
        <w:rPr>
          <w:rFonts w:ascii="Verdana" w:hAnsi="Verdana"/>
          <w:sz w:val="20"/>
        </w:rPr>
        <w:t>(</w:t>
      </w:r>
      <w:r w:rsidRPr="00BD40F0">
        <w:rPr>
          <w:rFonts w:ascii="Verdana" w:hAnsi="Verdana"/>
          <w:sz w:val="20"/>
        </w:rPr>
        <w:t xml:space="preserve">pars. 63 e 64 </w:t>
      </w:r>
      <w:r w:rsidRPr="00BD40F0">
        <w:rPr>
          <w:rFonts w:ascii="Verdana" w:hAnsi="Verdana"/>
          <w:i/>
          <w:sz w:val="20"/>
        </w:rPr>
        <w:t>supra</w:t>
      </w:r>
      <w:r w:rsidR="00C60678" w:rsidRPr="00C60678">
        <w:rPr>
          <w:rFonts w:ascii="Verdana" w:hAnsi="Verdana"/>
          <w:sz w:val="20"/>
        </w:rPr>
        <w:t>)</w:t>
      </w:r>
      <w:r w:rsidRPr="00BD40F0">
        <w:rPr>
          <w:rFonts w:ascii="Verdana" w:hAnsi="Verdana"/>
          <w:sz w:val="20"/>
        </w:rPr>
        <w:t>.</w:t>
      </w:r>
      <w:r w:rsidRPr="00BD40F0">
        <w:rPr>
          <w:rStyle w:val="Refdenotaalpie"/>
          <w:rFonts w:ascii="Verdana" w:hAnsi="Verdana"/>
          <w:sz w:val="20"/>
        </w:rPr>
        <w:footnoteReference w:id="6"/>
      </w:r>
      <w:r w:rsidRPr="00BD40F0">
        <w:rPr>
          <w:rFonts w:ascii="Verdana" w:hAnsi="Verdana"/>
          <w:sz w:val="20"/>
        </w:rPr>
        <w:t xml:space="preserve"> </w:t>
      </w:r>
    </w:p>
    <w:p w:rsidR="009F18E7" w:rsidRPr="00BD40F0" w:rsidRDefault="009F18E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80.</w:t>
      </w:r>
      <w:r w:rsidRPr="00BD40F0">
        <w:rPr>
          <w:rFonts w:ascii="Verdana" w:hAnsi="Verdana"/>
          <w:sz w:val="20"/>
        </w:rPr>
        <w:tab/>
        <w:t xml:space="preserve">Em 20 de dezembro de 2000, </w:t>
      </w:r>
      <w:r w:rsidR="00F441A6">
        <w:rPr>
          <w:rFonts w:ascii="Verdana" w:hAnsi="Verdana"/>
          <w:sz w:val="20"/>
        </w:rPr>
        <w:t>a</w:t>
      </w:r>
      <w:r w:rsidR="00F36166">
        <w:rPr>
          <w:rFonts w:ascii="Verdana" w:hAnsi="Verdana"/>
          <w:sz w:val="20"/>
        </w:rPr>
        <w:t xml:space="preserve"> pedido</w:t>
      </w:r>
      <w:r w:rsidRPr="00BD40F0">
        <w:rPr>
          <w:rFonts w:ascii="Verdana" w:hAnsi="Verdana"/>
          <w:sz w:val="20"/>
        </w:rPr>
        <w:t xml:space="preserve"> da Corte, o Estado apresentou cópia de um documento </w:t>
      </w:r>
      <w:r w:rsidR="00C60678" w:rsidRPr="00C60678">
        <w:rPr>
          <w:rFonts w:ascii="Verdana" w:hAnsi="Verdana"/>
          <w:sz w:val="20"/>
        </w:rPr>
        <w:t>(</w:t>
      </w:r>
      <w:r w:rsidRPr="00BD40F0">
        <w:rPr>
          <w:rFonts w:ascii="Verdana" w:hAnsi="Verdana"/>
          <w:sz w:val="20"/>
        </w:rPr>
        <w:t xml:space="preserve">par. 65 </w:t>
      </w:r>
      <w:r w:rsidRPr="00BD40F0">
        <w:rPr>
          <w:rFonts w:ascii="Verdana" w:hAnsi="Verdana"/>
          <w:i/>
          <w:sz w:val="20"/>
        </w:rPr>
        <w:t>supra</w:t>
      </w:r>
      <w:r w:rsidR="00C60678" w:rsidRPr="00C60678">
        <w:rPr>
          <w:rFonts w:ascii="Verdana" w:hAnsi="Verdana"/>
          <w:sz w:val="20"/>
        </w:rPr>
        <w:t>)</w:t>
      </w:r>
      <w:r w:rsidRPr="00BD40F0">
        <w:rPr>
          <w:rFonts w:ascii="Verdana" w:hAnsi="Verdana"/>
          <w:sz w:val="20"/>
        </w:rPr>
        <w:t>.</w:t>
      </w:r>
      <w:proofErr w:type="gramStart"/>
      <w:r w:rsidRPr="00BD40F0">
        <w:rPr>
          <w:rStyle w:val="Refdenotaalpie"/>
          <w:rFonts w:ascii="Verdana" w:hAnsi="Verdana"/>
          <w:sz w:val="20"/>
        </w:rPr>
        <w:footnoteReference w:id="7"/>
      </w:r>
      <w:proofErr w:type="gramEnd"/>
      <w:r w:rsidRPr="00BD40F0">
        <w:rPr>
          <w:rFonts w:ascii="Verdana" w:hAnsi="Verdana"/>
          <w:b/>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i/>
          <w:sz w:val="20"/>
        </w:rPr>
      </w:pPr>
      <w:r w:rsidRPr="00BD40F0">
        <w:rPr>
          <w:rFonts w:ascii="Verdana" w:hAnsi="Verdana"/>
          <w:sz w:val="20"/>
        </w:rPr>
        <w:t>81.</w:t>
      </w:r>
      <w:r w:rsidRPr="00BD40F0">
        <w:rPr>
          <w:rFonts w:ascii="Verdana" w:hAnsi="Verdana"/>
          <w:sz w:val="20"/>
        </w:rPr>
        <w:tab/>
        <w:t xml:space="preserve">Mediante nota de 29 de janeiro de 2001, a Comissão ofereceu </w:t>
      </w:r>
      <w:r w:rsidR="00F441A6">
        <w:rPr>
          <w:rFonts w:ascii="Verdana" w:hAnsi="Verdana"/>
          <w:sz w:val="20"/>
        </w:rPr>
        <w:t>três</w:t>
      </w:r>
      <w:r w:rsidRPr="00BD40F0">
        <w:rPr>
          <w:rFonts w:ascii="Verdana" w:hAnsi="Verdana"/>
          <w:sz w:val="20"/>
        </w:rPr>
        <w:t xml:space="preserve"> documentos </w:t>
      </w:r>
      <w:r w:rsidR="00C60678" w:rsidRPr="00C60678">
        <w:rPr>
          <w:rFonts w:ascii="Verdana" w:hAnsi="Verdana"/>
          <w:sz w:val="20"/>
        </w:rPr>
        <w:t>(</w:t>
      </w:r>
      <w:r w:rsidRPr="00BD40F0">
        <w:rPr>
          <w:rFonts w:ascii="Verdana" w:hAnsi="Verdana"/>
          <w:sz w:val="20"/>
        </w:rPr>
        <w:t xml:space="preserve">par. 66 </w:t>
      </w:r>
      <w:r w:rsidRPr="00BD40F0">
        <w:rPr>
          <w:rFonts w:ascii="Verdana" w:hAnsi="Verdana"/>
          <w:i/>
          <w:sz w:val="20"/>
        </w:rPr>
        <w:t>supra</w:t>
      </w:r>
      <w:r w:rsidR="00C60678" w:rsidRPr="00C60678">
        <w:rPr>
          <w:rFonts w:ascii="Verdana" w:hAnsi="Verdana"/>
          <w:sz w:val="20"/>
        </w:rPr>
        <w:t>)</w:t>
      </w:r>
      <w:r w:rsidR="00F441A6">
        <w:rPr>
          <w:rFonts w:ascii="Verdana" w:hAnsi="Verdana"/>
          <w:sz w:val="20"/>
        </w:rPr>
        <w:t>.</w:t>
      </w:r>
      <w:proofErr w:type="gramStart"/>
      <w:r w:rsidRPr="00BD40F0">
        <w:rPr>
          <w:rStyle w:val="Refdenotaalpie"/>
          <w:rFonts w:ascii="Verdana" w:hAnsi="Verdana"/>
          <w:sz w:val="20"/>
        </w:rPr>
        <w:footnoteReference w:id="8"/>
      </w:r>
      <w:proofErr w:type="gramEnd"/>
      <w:r w:rsidRPr="00BD40F0">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82.</w:t>
      </w:r>
      <w:r w:rsidRPr="00BD40F0">
        <w:rPr>
          <w:rFonts w:ascii="Verdana" w:hAnsi="Verdana"/>
          <w:sz w:val="20"/>
        </w:rPr>
        <w:tab/>
        <w:t>Em 10 de agosto de 2001, junt</w:t>
      </w:r>
      <w:r w:rsidR="009F18E7">
        <w:rPr>
          <w:rFonts w:ascii="Verdana" w:hAnsi="Verdana"/>
          <w:sz w:val="20"/>
        </w:rPr>
        <w:t>amente</w:t>
      </w:r>
      <w:r w:rsidRPr="00BD40F0">
        <w:rPr>
          <w:rFonts w:ascii="Verdana" w:hAnsi="Verdana"/>
          <w:sz w:val="20"/>
        </w:rPr>
        <w:t xml:space="preserve"> com o escrito de alegações finais, a Comissão apresentou um documento como anexo a</w:t>
      </w:r>
      <w:r w:rsidR="009F18E7">
        <w:rPr>
          <w:rFonts w:ascii="Verdana" w:hAnsi="Verdana"/>
          <w:sz w:val="20"/>
        </w:rPr>
        <w:t>o</w:t>
      </w:r>
      <w:r w:rsidRPr="00BD40F0">
        <w:rPr>
          <w:rFonts w:ascii="Verdana" w:hAnsi="Verdana"/>
          <w:sz w:val="20"/>
        </w:rPr>
        <w:t xml:space="preserve"> referido escrito </w:t>
      </w:r>
      <w:r w:rsidR="00C60678" w:rsidRPr="00C60678">
        <w:rPr>
          <w:rFonts w:ascii="Verdana" w:hAnsi="Verdana"/>
          <w:sz w:val="20"/>
        </w:rPr>
        <w:t>(</w:t>
      </w:r>
      <w:r w:rsidRPr="00BD40F0">
        <w:rPr>
          <w:rFonts w:ascii="Verdana" w:hAnsi="Verdana"/>
          <w:sz w:val="20"/>
        </w:rPr>
        <w:t xml:space="preserve">par. 71 </w:t>
      </w:r>
      <w:r w:rsidRPr="00BD40F0">
        <w:rPr>
          <w:rFonts w:ascii="Verdana" w:hAnsi="Verdana"/>
          <w:i/>
          <w:sz w:val="20"/>
        </w:rPr>
        <w:t>supra</w:t>
      </w:r>
      <w:r w:rsidR="00C60678" w:rsidRPr="00C60678">
        <w:rPr>
          <w:rFonts w:ascii="Verdana" w:hAnsi="Verdana"/>
          <w:sz w:val="20"/>
        </w:rPr>
        <w:t>)</w:t>
      </w:r>
      <w:r w:rsidRPr="00BD40F0">
        <w:rPr>
          <w:rFonts w:ascii="Verdana" w:hAnsi="Verdana"/>
          <w:sz w:val="20"/>
        </w:rPr>
        <w:t>.</w:t>
      </w:r>
      <w:proofErr w:type="gramStart"/>
      <w:r w:rsidRPr="00BD40F0">
        <w:rPr>
          <w:rStyle w:val="Refdenotaalpie"/>
          <w:rFonts w:ascii="Verdana" w:hAnsi="Verdana"/>
          <w:sz w:val="20"/>
        </w:rPr>
        <w:footnoteReference w:id="9"/>
      </w:r>
      <w:proofErr w:type="gramEnd"/>
    </w:p>
    <w:p w:rsidR="000B3F97" w:rsidRPr="00BD40F0" w:rsidRDefault="000B3F97" w:rsidP="000B3F97">
      <w:pPr>
        <w:jc w:val="both"/>
        <w:rPr>
          <w:rFonts w:ascii="Verdana" w:hAnsi="Verdana"/>
          <w:sz w:val="20"/>
        </w:rPr>
      </w:pPr>
    </w:p>
    <w:p w:rsidR="000B3F97" w:rsidRPr="00BD40F0" w:rsidRDefault="000B3F97" w:rsidP="000B3F97">
      <w:pPr>
        <w:jc w:val="center"/>
        <w:rPr>
          <w:rFonts w:ascii="Verdana" w:hAnsi="Verdana"/>
          <w:b/>
          <w:caps/>
          <w:sz w:val="20"/>
        </w:rPr>
      </w:pPr>
      <w:proofErr w:type="gramStart"/>
      <w:r w:rsidRPr="00BD40F0">
        <w:rPr>
          <w:rFonts w:ascii="Verdana" w:hAnsi="Verdana"/>
          <w:b/>
          <w:caps/>
          <w:sz w:val="20"/>
        </w:rPr>
        <w:t>B</w:t>
      </w:r>
      <w:r w:rsidR="00C60678" w:rsidRPr="00C60678">
        <w:rPr>
          <w:rFonts w:ascii="Verdana" w:hAnsi="Verdana"/>
          <w:b/>
          <w:caps/>
          <w:sz w:val="20"/>
        </w:rPr>
        <w:t>)</w:t>
      </w:r>
      <w:proofErr w:type="gramEnd"/>
      <w:r w:rsidRPr="00BD40F0">
        <w:rPr>
          <w:rFonts w:ascii="Verdana" w:hAnsi="Verdana"/>
          <w:b/>
          <w:caps/>
          <w:sz w:val="20"/>
        </w:rPr>
        <w:tab/>
        <w:t xml:space="preserve">Prova </w:t>
      </w:r>
      <w:r w:rsidRPr="00BD40F0">
        <w:rPr>
          <w:rFonts w:ascii="Verdana" w:hAnsi="Verdana"/>
          <w:b/>
          <w:sz w:val="20"/>
        </w:rPr>
        <w:t>TESTEMUNHAL E</w:t>
      </w:r>
      <w:r w:rsidRPr="00BD40F0">
        <w:rPr>
          <w:rFonts w:ascii="Verdana" w:hAnsi="Verdana"/>
          <w:b/>
          <w:caps/>
          <w:sz w:val="20"/>
        </w:rPr>
        <w:t xml:space="preserve"> Pericial</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83.</w:t>
      </w:r>
      <w:r w:rsidRPr="00BD40F0">
        <w:rPr>
          <w:rFonts w:ascii="Verdana" w:hAnsi="Verdana"/>
          <w:sz w:val="20"/>
        </w:rPr>
        <w:tab/>
        <w:t xml:space="preserve">Na audiência pública realizada nos dias 16, 17 e 18 de novembro de 2000 </w:t>
      </w:r>
      <w:r w:rsidR="00C60678" w:rsidRPr="00C60678">
        <w:rPr>
          <w:rFonts w:ascii="Verdana" w:hAnsi="Verdana"/>
          <w:sz w:val="20"/>
        </w:rPr>
        <w:t>(</w:t>
      </w:r>
      <w:r w:rsidRPr="00BD40F0">
        <w:rPr>
          <w:rFonts w:ascii="Verdana" w:hAnsi="Verdana"/>
          <w:sz w:val="20"/>
        </w:rPr>
        <w:t xml:space="preserve">par. 62 </w:t>
      </w:r>
      <w:r w:rsidRPr="00BD40F0">
        <w:rPr>
          <w:rFonts w:ascii="Verdana" w:hAnsi="Verdana"/>
          <w:i/>
          <w:sz w:val="20"/>
        </w:rPr>
        <w:t>supra</w:t>
      </w:r>
      <w:r w:rsidR="00C60678" w:rsidRPr="00C60678">
        <w:rPr>
          <w:rFonts w:ascii="Verdana" w:hAnsi="Verdana"/>
          <w:sz w:val="20"/>
        </w:rPr>
        <w:t>)</w:t>
      </w:r>
      <w:r w:rsidRPr="00BD40F0">
        <w:rPr>
          <w:rFonts w:ascii="Verdana" w:hAnsi="Verdana"/>
          <w:sz w:val="20"/>
        </w:rPr>
        <w:t xml:space="preserve">, a Corte recebeu as declarações de oito testemunhas e </w:t>
      </w:r>
      <w:r w:rsidR="009F18E7">
        <w:rPr>
          <w:rFonts w:ascii="Verdana" w:hAnsi="Verdana"/>
          <w:sz w:val="20"/>
        </w:rPr>
        <w:t xml:space="preserve">de </w:t>
      </w:r>
      <w:r w:rsidRPr="00BD40F0">
        <w:rPr>
          <w:rFonts w:ascii="Verdana" w:hAnsi="Verdana"/>
          <w:sz w:val="20"/>
        </w:rPr>
        <w:t xml:space="preserve">quatro </w:t>
      </w:r>
      <w:r w:rsidRPr="00BD40F0">
        <w:rPr>
          <w:rFonts w:ascii="Verdana" w:hAnsi="Verdana"/>
          <w:sz w:val="20"/>
        </w:rPr>
        <w:lastRenderedPageBreak/>
        <w:t xml:space="preserve">peritos propostos pela Comissão Interamericana, </w:t>
      </w:r>
      <w:r w:rsidR="00C6474D">
        <w:rPr>
          <w:rFonts w:ascii="Verdana" w:hAnsi="Verdana"/>
          <w:sz w:val="20"/>
        </w:rPr>
        <w:t>bem como</w:t>
      </w:r>
      <w:r w:rsidRPr="00BD40F0">
        <w:rPr>
          <w:rFonts w:ascii="Verdana" w:hAnsi="Verdana"/>
          <w:sz w:val="20"/>
        </w:rPr>
        <w:t xml:space="preserve"> a declaração de uma testemunha convocada pelo Tribunal em uso das faculdades indicadas no artigo 44.1 do Regulamento. </w:t>
      </w:r>
      <w:r w:rsidR="00FD01CB">
        <w:rPr>
          <w:rFonts w:ascii="Verdana" w:hAnsi="Verdana"/>
          <w:sz w:val="20"/>
        </w:rPr>
        <w:t>As r</w:t>
      </w:r>
      <w:r w:rsidRPr="00BD40F0">
        <w:rPr>
          <w:rFonts w:ascii="Verdana" w:hAnsi="Verdana"/>
          <w:sz w:val="20"/>
        </w:rPr>
        <w:t>eferidas declarações são sintetizadas a seguir, na ordem em que foram produzidas:</w:t>
      </w:r>
    </w:p>
    <w:p w:rsidR="000B3F97" w:rsidRPr="00BD40F0" w:rsidRDefault="000B3F97" w:rsidP="000B3F97">
      <w:pPr>
        <w:jc w:val="both"/>
        <w:rPr>
          <w:rFonts w:ascii="Verdana" w:hAnsi="Verdana"/>
          <w:sz w:val="20"/>
        </w:rPr>
      </w:pPr>
    </w:p>
    <w:p w:rsidR="000B3F97" w:rsidRPr="00BD40F0" w:rsidRDefault="000B3F97" w:rsidP="000B3F97">
      <w:pPr>
        <w:ind w:left="720"/>
        <w:jc w:val="both"/>
        <w:rPr>
          <w:rFonts w:ascii="Verdana" w:hAnsi="Verdana"/>
          <w:b/>
          <w:sz w:val="20"/>
        </w:rPr>
      </w:pPr>
      <w:proofErr w:type="gramStart"/>
      <w:r w:rsidRPr="00BD40F0">
        <w:rPr>
          <w:rFonts w:ascii="Verdana" w:hAnsi="Verdana"/>
          <w:b/>
          <w:sz w:val="20"/>
        </w:rPr>
        <w:t>a.</w:t>
      </w:r>
      <w:proofErr w:type="gramEnd"/>
      <w:r w:rsidRPr="00BD40F0">
        <w:rPr>
          <w:rFonts w:ascii="Verdana" w:hAnsi="Verdana"/>
          <w:b/>
          <w:sz w:val="20"/>
        </w:rPr>
        <w:tab/>
        <w:t>Testemunho de Jaime Castillo Felipe, membro da Comunidade Awas Ti</w:t>
      </w:r>
      <w:r w:rsidR="002B1DF6">
        <w:rPr>
          <w:rFonts w:ascii="Verdana" w:hAnsi="Verdana"/>
          <w:b/>
          <w:sz w:val="20"/>
        </w:rPr>
        <w:t xml:space="preserve">ngni </w:t>
      </w:r>
      <w:r w:rsidR="00C60678" w:rsidRPr="00C60678">
        <w:rPr>
          <w:rFonts w:ascii="Verdana" w:hAnsi="Verdana"/>
          <w:b/>
          <w:sz w:val="20"/>
        </w:rPr>
        <w:t>(</w:t>
      </w:r>
      <w:r w:rsidR="002B1DF6">
        <w:rPr>
          <w:rFonts w:ascii="Verdana" w:hAnsi="Verdana"/>
          <w:b/>
          <w:sz w:val="20"/>
        </w:rPr>
        <w:t xml:space="preserve">Intérprete: Modesto José </w:t>
      </w:r>
      <w:r w:rsidRPr="00BD40F0">
        <w:rPr>
          <w:rFonts w:ascii="Verdana" w:hAnsi="Verdana"/>
          <w:b/>
          <w:sz w:val="20"/>
        </w:rPr>
        <w:t>Frank Wilson</w:t>
      </w:r>
      <w:r w:rsidR="00C60678" w:rsidRPr="00C60678">
        <w:rPr>
          <w:rFonts w:ascii="Verdana" w:hAnsi="Verdana"/>
          <w:b/>
          <w:sz w:val="20"/>
        </w:rPr>
        <w:t>)</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Nasceu em Awas Tingni</w:t>
      </w:r>
      <w:r w:rsidR="00F45F6C">
        <w:rPr>
          <w:rFonts w:ascii="Verdana" w:hAnsi="Verdana"/>
          <w:sz w:val="20"/>
        </w:rPr>
        <w:t>,</w:t>
      </w:r>
      <w:r w:rsidRPr="00BD40F0">
        <w:rPr>
          <w:rFonts w:ascii="Verdana" w:hAnsi="Verdana"/>
          <w:sz w:val="20"/>
        </w:rPr>
        <w:t xml:space="preserve"> em 15 de junho de 1964</w:t>
      </w:r>
      <w:r w:rsidR="00F45F6C">
        <w:rPr>
          <w:rFonts w:ascii="Verdana" w:hAnsi="Verdana"/>
          <w:sz w:val="20"/>
        </w:rPr>
        <w:t>,</w:t>
      </w:r>
      <w:r w:rsidRPr="00BD40F0">
        <w:rPr>
          <w:rFonts w:ascii="Verdana" w:hAnsi="Verdana"/>
          <w:sz w:val="20"/>
        </w:rPr>
        <w:t xml:space="preserve"> e atualmente reside na Comunidade Awas Tingni.</w:t>
      </w:r>
      <w:r w:rsidR="00850A3F">
        <w:rPr>
          <w:rFonts w:ascii="Verdana" w:hAnsi="Verdana"/>
          <w:sz w:val="20"/>
        </w:rPr>
        <w:t xml:space="preserve"> </w:t>
      </w:r>
      <w:r w:rsidRPr="00BD40F0">
        <w:rPr>
          <w:rFonts w:ascii="Verdana" w:hAnsi="Verdana"/>
          <w:sz w:val="20"/>
        </w:rPr>
        <w:t>Pertence à etnia Mayagna e sua língua materna é a “Sumo Mayagna”.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Os outros membros da Comunidade Awas Tingni são Sumos também.</w:t>
      </w:r>
      <w:r w:rsidR="00850A3F">
        <w:rPr>
          <w:rFonts w:ascii="Verdana" w:hAnsi="Verdana"/>
          <w:sz w:val="20"/>
        </w:rPr>
        <w:t xml:space="preserve"> </w:t>
      </w:r>
      <w:r w:rsidRPr="00BD40F0">
        <w:rPr>
          <w:rFonts w:ascii="Verdana" w:hAnsi="Verdana"/>
          <w:sz w:val="20"/>
        </w:rPr>
        <w:t>É verdade que na Comunidade existem pessoas que não são da etnia Mayagna, mas são poucas, que chegaram a viver aí ou formaram casal com membros da Comunidade.</w:t>
      </w:r>
      <w:r w:rsidR="00850A3F">
        <w:rPr>
          <w:rFonts w:ascii="Verdana" w:hAnsi="Verdana"/>
          <w:sz w:val="20"/>
        </w:rPr>
        <w:t xml:space="preserve"> </w:t>
      </w:r>
      <w:r w:rsidR="002B1DF6">
        <w:rPr>
          <w:rFonts w:ascii="Verdana" w:hAnsi="Verdana"/>
          <w:sz w:val="20"/>
        </w:rPr>
        <w:t>Estão e</w:t>
      </w:r>
      <w:r w:rsidRPr="00BD40F0">
        <w:rPr>
          <w:rFonts w:ascii="Verdana" w:hAnsi="Verdana"/>
          <w:sz w:val="20"/>
        </w:rPr>
        <w:t xml:space="preserve">m Awas Tingni </w:t>
      </w:r>
      <w:r w:rsidR="002B1DF6">
        <w:rPr>
          <w:rFonts w:ascii="Verdana" w:hAnsi="Verdana"/>
          <w:sz w:val="20"/>
        </w:rPr>
        <w:t>há</w:t>
      </w:r>
      <w:r w:rsidRPr="00BD40F0">
        <w:rPr>
          <w:rFonts w:ascii="Verdana" w:hAnsi="Verdana"/>
          <w:sz w:val="20"/>
        </w:rPr>
        <w:t xml:space="preserve"> mais de </w:t>
      </w:r>
      <w:r w:rsidR="002C6A59">
        <w:rPr>
          <w:rFonts w:ascii="Verdana" w:hAnsi="Verdana"/>
          <w:sz w:val="20"/>
        </w:rPr>
        <w:t>50</w:t>
      </w:r>
      <w:r w:rsidRPr="00BD40F0">
        <w:rPr>
          <w:rFonts w:ascii="Verdana" w:hAnsi="Verdana"/>
          <w:sz w:val="20"/>
        </w:rPr>
        <w:t xml:space="preserve"> anos e anteriormente viviam em Tuburús.</w:t>
      </w:r>
      <w:r w:rsidR="00850A3F">
        <w:rPr>
          <w:rFonts w:ascii="Verdana" w:hAnsi="Verdana"/>
          <w:sz w:val="20"/>
        </w:rPr>
        <w:t xml:space="preserve"> </w:t>
      </w:r>
      <w:r w:rsidRPr="00BD40F0">
        <w:rPr>
          <w:rFonts w:ascii="Verdana" w:hAnsi="Verdana"/>
          <w:sz w:val="20"/>
        </w:rPr>
        <w:t>Não sabe exatamente em que ano foi formad</w:t>
      </w:r>
      <w:r w:rsidR="00FD01CB">
        <w:rPr>
          <w:rFonts w:ascii="Verdana" w:hAnsi="Verdana"/>
          <w:sz w:val="20"/>
        </w:rPr>
        <w:t>a</w:t>
      </w:r>
      <w:r w:rsidR="00850A3F">
        <w:rPr>
          <w:rFonts w:ascii="Verdana" w:hAnsi="Verdana"/>
          <w:sz w:val="20"/>
        </w:rPr>
        <w:t xml:space="preserve"> </w:t>
      </w:r>
      <w:r w:rsidR="00FD01CB">
        <w:rPr>
          <w:rFonts w:ascii="Verdana" w:hAnsi="Verdana"/>
          <w:sz w:val="20"/>
        </w:rPr>
        <w:t>a</w:t>
      </w:r>
      <w:r w:rsidRPr="00BD40F0">
        <w:rPr>
          <w:rFonts w:ascii="Verdana" w:hAnsi="Verdana"/>
          <w:sz w:val="20"/>
        </w:rPr>
        <w:t xml:space="preserve"> </w:t>
      </w:r>
      <w:r w:rsidR="00FD01CB">
        <w:rPr>
          <w:rFonts w:ascii="Verdana" w:hAnsi="Verdana"/>
          <w:sz w:val="20"/>
        </w:rPr>
        <w:t>aldeia</w:t>
      </w:r>
      <w:r w:rsidR="00FD01CB" w:rsidRPr="00BD40F0">
        <w:rPr>
          <w:rFonts w:ascii="Verdana" w:hAnsi="Verdana"/>
          <w:sz w:val="20"/>
        </w:rPr>
        <w:t xml:space="preserve"> </w:t>
      </w:r>
      <w:r w:rsidRPr="00BD40F0">
        <w:rPr>
          <w:rFonts w:ascii="Verdana" w:hAnsi="Verdana"/>
          <w:sz w:val="20"/>
        </w:rPr>
        <w:t>de Awas Tingni.</w:t>
      </w:r>
      <w:r w:rsidR="00850A3F">
        <w:rPr>
          <w:rFonts w:ascii="Verdana" w:hAnsi="Verdana"/>
          <w:sz w:val="20"/>
        </w:rPr>
        <w:t xml:space="preserve"> </w:t>
      </w:r>
      <w:r w:rsidRPr="00BD40F0">
        <w:rPr>
          <w:rFonts w:ascii="Verdana" w:hAnsi="Verdana"/>
          <w:sz w:val="20"/>
        </w:rPr>
        <w:t>São os donos da terra na qu</w:t>
      </w:r>
      <w:r w:rsidR="00FD01CB">
        <w:rPr>
          <w:rFonts w:ascii="Verdana" w:hAnsi="Verdana"/>
          <w:sz w:val="20"/>
        </w:rPr>
        <w:t>al</w:t>
      </w:r>
      <w:r w:rsidRPr="00BD40F0">
        <w:rPr>
          <w:rFonts w:ascii="Verdana" w:hAnsi="Verdana"/>
          <w:sz w:val="20"/>
        </w:rPr>
        <w:t xml:space="preserve"> habitam</w:t>
      </w:r>
      <w:r w:rsidR="00CD6E69">
        <w:rPr>
          <w:rFonts w:ascii="Verdana" w:hAnsi="Verdana"/>
          <w:sz w:val="20"/>
        </w:rPr>
        <w:t>,</w:t>
      </w:r>
      <w:r w:rsidRPr="00BD40F0">
        <w:rPr>
          <w:rFonts w:ascii="Verdana" w:hAnsi="Verdana"/>
          <w:sz w:val="20"/>
        </w:rPr>
        <w:t xml:space="preserve"> porque </w:t>
      </w:r>
      <w:r w:rsidR="00857A6B">
        <w:rPr>
          <w:rFonts w:ascii="Verdana" w:hAnsi="Verdana"/>
          <w:sz w:val="20"/>
        </w:rPr>
        <w:t>viveram</w:t>
      </w:r>
      <w:r w:rsidRPr="00BD40F0">
        <w:rPr>
          <w:rFonts w:ascii="Verdana" w:hAnsi="Verdana"/>
          <w:sz w:val="20"/>
        </w:rPr>
        <w:t xml:space="preserve"> no território por mais de 300 anos</w:t>
      </w:r>
      <w:r w:rsidR="003D3C71">
        <w:rPr>
          <w:rFonts w:ascii="Verdana" w:hAnsi="Verdana"/>
          <w:sz w:val="20"/>
        </w:rPr>
        <w:t>,</w:t>
      </w:r>
      <w:r w:rsidRPr="00BD40F0">
        <w:rPr>
          <w:rFonts w:ascii="Verdana" w:hAnsi="Verdana"/>
          <w:sz w:val="20"/>
        </w:rPr>
        <w:t xml:space="preserve"> e isso se pode demo</w:t>
      </w:r>
      <w:r w:rsidR="00857A6B">
        <w:rPr>
          <w:rFonts w:ascii="Verdana" w:hAnsi="Verdana"/>
          <w:sz w:val="20"/>
        </w:rPr>
        <w:t>n</w:t>
      </w:r>
      <w:r w:rsidRPr="00BD40F0">
        <w:rPr>
          <w:rFonts w:ascii="Verdana" w:hAnsi="Verdana"/>
          <w:sz w:val="20"/>
        </w:rPr>
        <w:t xml:space="preserve">strar </w:t>
      </w:r>
      <w:r w:rsidR="00B0629E">
        <w:rPr>
          <w:rFonts w:ascii="Verdana" w:hAnsi="Verdana"/>
          <w:sz w:val="20"/>
        </w:rPr>
        <w:t xml:space="preserve">devido à existência de </w:t>
      </w:r>
      <w:r w:rsidRPr="00BD40F0">
        <w:rPr>
          <w:rFonts w:ascii="Verdana" w:hAnsi="Verdana"/>
          <w:sz w:val="20"/>
        </w:rPr>
        <w:t>lugares históricos</w:t>
      </w:r>
      <w:r w:rsidR="003D3C71">
        <w:rPr>
          <w:rFonts w:ascii="Verdana" w:hAnsi="Verdana"/>
          <w:sz w:val="20"/>
        </w:rPr>
        <w:t>,</w:t>
      </w:r>
      <w:r w:rsidR="00F45F6C">
        <w:rPr>
          <w:rFonts w:ascii="Verdana" w:hAnsi="Verdana"/>
          <w:sz w:val="20"/>
        </w:rPr>
        <w:t xml:space="preserve"> </w:t>
      </w:r>
      <w:r w:rsidR="003D3C71">
        <w:rPr>
          <w:rFonts w:ascii="Verdana" w:hAnsi="Verdana"/>
          <w:sz w:val="20"/>
        </w:rPr>
        <w:t xml:space="preserve">bem como porque </w:t>
      </w:r>
      <w:proofErr w:type="gramStart"/>
      <w:r w:rsidR="003D3C71">
        <w:rPr>
          <w:rFonts w:ascii="Verdana" w:hAnsi="Verdana"/>
          <w:sz w:val="20"/>
        </w:rPr>
        <w:t>desenvolv</w:t>
      </w:r>
      <w:r w:rsidR="00F45F6C">
        <w:rPr>
          <w:rFonts w:ascii="Verdana" w:hAnsi="Verdana"/>
          <w:sz w:val="20"/>
        </w:rPr>
        <w:t>e-se</w:t>
      </w:r>
      <w:proofErr w:type="gramEnd"/>
      <w:r w:rsidR="003D3C71">
        <w:rPr>
          <w:rFonts w:ascii="Verdana" w:hAnsi="Verdana"/>
          <w:sz w:val="20"/>
        </w:rPr>
        <w:t xml:space="preserve"> trabalho nesse território</w:t>
      </w:r>
      <w:r w:rsidRPr="00BD40F0">
        <w:rPr>
          <w:rFonts w:ascii="Verdana" w:hAnsi="Verdana"/>
          <w:sz w:val="20"/>
        </w:rPr>
        <w:t>.</w:t>
      </w:r>
      <w:r w:rsidR="00850A3F">
        <w:rPr>
          <w:rFonts w:ascii="Verdana" w:hAnsi="Verdana"/>
          <w:sz w:val="20"/>
        </w:rPr>
        <w:t xml:space="preserve"> </w:t>
      </w:r>
      <w:r w:rsidRPr="00BD40F0">
        <w:rPr>
          <w:rFonts w:ascii="Verdana" w:hAnsi="Verdana"/>
          <w:sz w:val="20"/>
        </w:rPr>
        <w:t>Houve membros da Comunidade de Tilba-Lupia que viveram em Awas Tingni.</w:t>
      </w:r>
      <w:r w:rsidR="00850A3F">
        <w:rPr>
          <w:rFonts w:ascii="Verdana" w:hAnsi="Verdana"/>
          <w:sz w:val="20"/>
        </w:rPr>
        <w:t xml:space="preserve"> </w:t>
      </w:r>
      <w:r w:rsidR="000A4568">
        <w:rPr>
          <w:rFonts w:ascii="Verdana" w:hAnsi="Verdana"/>
          <w:sz w:val="20"/>
        </w:rPr>
        <w:t>A testemunha</w:t>
      </w:r>
      <w:r w:rsidR="0046181A">
        <w:rPr>
          <w:rFonts w:ascii="Verdana" w:hAnsi="Verdana"/>
          <w:sz w:val="20"/>
        </w:rPr>
        <w:t xml:space="preserve"> poderia </w:t>
      </w:r>
      <w:r w:rsidRPr="00BD40F0">
        <w:rPr>
          <w:rFonts w:ascii="Verdana" w:hAnsi="Verdana"/>
          <w:sz w:val="20"/>
        </w:rPr>
        <w:t xml:space="preserve">indicar </w:t>
      </w:r>
      <w:r w:rsidR="001D348E">
        <w:rPr>
          <w:rFonts w:ascii="Verdana" w:hAnsi="Verdana"/>
          <w:sz w:val="20"/>
        </w:rPr>
        <w:t>qu</w:t>
      </w:r>
      <w:r w:rsidR="00FD01CB">
        <w:rPr>
          <w:rFonts w:ascii="Verdana" w:hAnsi="Verdana"/>
          <w:sz w:val="20"/>
        </w:rPr>
        <w:t>ais</w:t>
      </w:r>
      <w:r w:rsidRPr="00BD40F0">
        <w:rPr>
          <w:rFonts w:ascii="Verdana" w:hAnsi="Verdana"/>
          <w:sz w:val="20"/>
        </w:rPr>
        <w:t xml:space="preserve"> pessoas compõem a Comunidade.</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Foi síndico da Comunidade Awas Tingni de 1991 a 1996.</w:t>
      </w:r>
      <w:r w:rsidR="00850A3F">
        <w:rPr>
          <w:rFonts w:ascii="Verdana" w:hAnsi="Verdana"/>
          <w:sz w:val="20"/>
        </w:rPr>
        <w:t xml:space="preserve"> </w:t>
      </w:r>
      <w:r w:rsidRPr="00BD40F0">
        <w:rPr>
          <w:rFonts w:ascii="Verdana" w:hAnsi="Verdana"/>
          <w:sz w:val="20"/>
        </w:rPr>
        <w:t xml:space="preserve">Síndico é quem se ocupa de solucionar os conflitos que possam surgir na comunidade, </w:t>
      </w:r>
      <w:r w:rsidR="00C6474D">
        <w:rPr>
          <w:rFonts w:ascii="Verdana" w:hAnsi="Verdana"/>
          <w:sz w:val="20"/>
        </w:rPr>
        <w:t>bem como</w:t>
      </w:r>
      <w:r w:rsidRPr="00BD40F0">
        <w:rPr>
          <w:rFonts w:ascii="Verdana" w:hAnsi="Verdana"/>
          <w:sz w:val="20"/>
        </w:rPr>
        <w:t xml:space="preserve"> quem faz gestões, em coordenação com as autoridades comunais, </w:t>
      </w:r>
      <w:r w:rsidR="00DD7D69">
        <w:rPr>
          <w:rFonts w:ascii="Verdana" w:hAnsi="Verdana"/>
          <w:sz w:val="20"/>
        </w:rPr>
        <w:t>per</w:t>
      </w:r>
      <w:r w:rsidRPr="00BD40F0">
        <w:rPr>
          <w:rFonts w:ascii="Verdana" w:hAnsi="Verdana"/>
          <w:sz w:val="20"/>
        </w:rPr>
        <w:t>ante as instâncias estatais.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Durante o tempo em que foi síndico</w:t>
      </w:r>
      <w:r w:rsidR="003D3C71">
        <w:rPr>
          <w:rFonts w:ascii="Verdana" w:hAnsi="Verdana"/>
          <w:sz w:val="20"/>
        </w:rPr>
        <w:t>,</w:t>
      </w:r>
      <w:r w:rsidRPr="00BD40F0">
        <w:rPr>
          <w:rFonts w:ascii="Verdana" w:hAnsi="Verdana"/>
          <w:sz w:val="20"/>
        </w:rPr>
        <w:t xml:space="preserve"> administrou ante o INRA a titulação ou demarcação das terras </w:t>
      </w:r>
      <w:r w:rsidR="00FD01CB">
        <w:rPr>
          <w:rFonts w:ascii="Verdana" w:hAnsi="Verdana"/>
          <w:sz w:val="20"/>
        </w:rPr>
        <w:t>a</w:t>
      </w:r>
      <w:r w:rsidR="00FD01CB" w:rsidRPr="00BD40F0">
        <w:rPr>
          <w:rFonts w:ascii="Verdana" w:hAnsi="Verdana"/>
          <w:sz w:val="20"/>
        </w:rPr>
        <w:t xml:space="preserve"> </w:t>
      </w:r>
      <w:r w:rsidRPr="00BD40F0">
        <w:rPr>
          <w:rFonts w:ascii="Verdana" w:hAnsi="Verdana"/>
          <w:sz w:val="20"/>
        </w:rPr>
        <w:t xml:space="preserve">favor da Comunidade, mas essas gestões foram </w:t>
      </w:r>
      <w:r w:rsidR="002C6A59">
        <w:rPr>
          <w:rFonts w:ascii="Verdana" w:hAnsi="Verdana"/>
          <w:sz w:val="20"/>
        </w:rPr>
        <w:t>infrutíferas</w:t>
      </w:r>
      <w:r w:rsidRPr="00BD40F0">
        <w:rPr>
          <w:rFonts w:ascii="Verdana" w:hAnsi="Verdana"/>
          <w:sz w:val="20"/>
        </w:rPr>
        <w:t xml:space="preserve">, </w:t>
      </w:r>
      <w:r w:rsidR="003D3C71">
        <w:rPr>
          <w:rFonts w:ascii="Verdana" w:hAnsi="Verdana"/>
          <w:sz w:val="20"/>
        </w:rPr>
        <w:t xml:space="preserve">haja vista que </w:t>
      </w:r>
      <w:r w:rsidRPr="00BD40F0">
        <w:rPr>
          <w:rFonts w:ascii="Verdana" w:hAnsi="Verdana"/>
          <w:sz w:val="20"/>
        </w:rPr>
        <w:t xml:space="preserve">não </w:t>
      </w:r>
      <w:r w:rsidR="00980C63">
        <w:rPr>
          <w:rFonts w:ascii="Verdana" w:hAnsi="Verdana"/>
          <w:sz w:val="20"/>
        </w:rPr>
        <w:t>obteve</w:t>
      </w:r>
      <w:r w:rsidRPr="00BD40F0">
        <w:rPr>
          <w:rFonts w:ascii="Verdana" w:hAnsi="Verdana"/>
          <w:sz w:val="20"/>
        </w:rPr>
        <w:t xml:space="preserve"> resposta</w:t>
      </w:r>
      <w:r w:rsidR="00A33BB1">
        <w:rPr>
          <w:rFonts w:ascii="Verdana" w:hAnsi="Verdana"/>
          <w:sz w:val="20"/>
        </w:rPr>
        <w:t xml:space="preserve"> até o presente momento</w:t>
      </w:r>
      <w:r w:rsidRPr="00BD40F0">
        <w:rPr>
          <w:rFonts w:ascii="Verdana" w:hAnsi="Verdana"/>
          <w:sz w:val="20"/>
        </w:rPr>
        <w:t>.</w:t>
      </w:r>
      <w:r w:rsidR="00850A3F">
        <w:rPr>
          <w:rFonts w:ascii="Verdana" w:hAnsi="Verdana"/>
          <w:sz w:val="20"/>
        </w:rPr>
        <w:t xml:space="preserve"> </w:t>
      </w:r>
      <w:r w:rsidRPr="00BD40F0">
        <w:rPr>
          <w:rFonts w:ascii="Verdana" w:hAnsi="Verdana"/>
          <w:sz w:val="20"/>
        </w:rPr>
        <w:t>Em 12 de março de 1996</w:t>
      </w:r>
      <w:r w:rsidR="00326CD1">
        <w:rPr>
          <w:rFonts w:ascii="Verdana" w:hAnsi="Verdana"/>
          <w:sz w:val="20"/>
        </w:rPr>
        <w:t>,</w:t>
      </w:r>
      <w:r w:rsidRPr="00BD40F0">
        <w:rPr>
          <w:rFonts w:ascii="Verdana" w:hAnsi="Verdana"/>
          <w:sz w:val="20"/>
        </w:rPr>
        <w:t xml:space="preserve"> realizou uma gestão ante o Governo Regional da RA</w:t>
      </w:r>
      <w:r w:rsidR="00970F44">
        <w:rPr>
          <w:rFonts w:ascii="Verdana" w:hAnsi="Verdana"/>
          <w:sz w:val="20"/>
        </w:rPr>
        <w:t>A</w:t>
      </w:r>
      <w:r w:rsidRPr="00BD40F0">
        <w:rPr>
          <w:rFonts w:ascii="Verdana" w:hAnsi="Verdana"/>
          <w:sz w:val="20"/>
        </w:rPr>
        <w:t>N.</w:t>
      </w:r>
      <w:r w:rsidR="00850A3F">
        <w:rPr>
          <w:rFonts w:ascii="Verdana" w:hAnsi="Verdana"/>
          <w:sz w:val="20"/>
        </w:rPr>
        <w:t xml:space="preserve"> </w:t>
      </w:r>
      <w:r w:rsidRPr="00BD40F0">
        <w:rPr>
          <w:rFonts w:ascii="Verdana" w:hAnsi="Verdana"/>
          <w:sz w:val="20"/>
        </w:rPr>
        <w:t xml:space="preserve">A resposta das autoridades foi que iriam estudar </w:t>
      </w:r>
      <w:r w:rsidR="00970F44">
        <w:rPr>
          <w:rFonts w:ascii="Verdana" w:hAnsi="Verdana"/>
          <w:sz w:val="20"/>
        </w:rPr>
        <w:t>seu pedido</w:t>
      </w:r>
      <w:r w:rsidRPr="00BD40F0">
        <w:rPr>
          <w:rFonts w:ascii="Verdana" w:hAnsi="Verdana"/>
          <w:sz w:val="20"/>
        </w:rPr>
        <w:t xml:space="preserve">, mas não </w:t>
      </w:r>
      <w:r w:rsidR="00980C63">
        <w:rPr>
          <w:rFonts w:ascii="Verdana" w:hAnsi="Verdana"/>
          <w:sz w:val="20"/>
        </w:rPr>
        <w:t>recebeu</w:t>
      </w:r>
      <w:r w:rsidRPr="00BD40F0">
        <w:rPr>
          <w:rFonts w:ascii="Verdana" w:hAnsi="Verdana"/>
          <w:sz w:val="20"/>
        </w:rPr>
        <w:t xml:space="preserve"> nenhuma </w:t>
      </w:r>
      <w:r w:rsidR="00857A6B">
        <w:rPr>
          <w:rFonts w:ascii="Verdana" w:hAnsi="Verdana"/>
          <w:sz w:val="20"/>
        </w:rPr>
        <w:t>resposta</w:t>
      </w:r>
      <w:r w:rsidRPr="00BD40F0">
        <w:rPr>
          <w:rFonts w:ascii="Verdana" w:hAnsi="Verdana"/>
          <w:sz w:val="20"/>
        </w:rPr>
        <w:t xml:space="preserve"> a esse respeito.</w:t>
      </w:r>
      <w:r w:rsidR="00850A3F">
        <w:rPr>
          <w:rFonts w:ascii="Verdana" w:hAnsi="Verdana"/>
          <w:sz w:val="20"/>
        </w:rPr>
        <w:t xml:space="preserve"> </w:t>
      </w:r>
      <w:r w:rsidRPr="00BD40F0">
        <w:rPr>
          <w:rFonts w:ascii="Verdana" w:hAnsi="Verdana"/>
          <w:sz w:val="20"/>
        </w:rPr>
        <w:t>Nessa oportunidade</w:t>
      </w:r>
      <w:r w:rsidR="00DB39E6">
        <w:rPr>
          <w:rFonts w:ascii="Verdana" w:hAnsi="Verdana"/>
          <w:sz w:val="20"/>
        </w:rPr>
        <w:t>,</w:t>
      </w:r>
      <w:r w:rsidRPr="00BD40F0">
        <w:rPr>
          <w:rFonts w:ascii="Verdana" w:hAnsi="Verdana"/>
          <w:sz w:val="20"/>
        </w:rPr>
        <w:t xml:space="preserve"> apresentou mapas da Comunidade, o censo da população de Awas Tingni e um documento referente ao territóri</w:t>
      </w:r>
      <w:r w:rsidR="00970F44">
        <w:rPr>
          <w:rFonts w:ascii="Verdana" w:hAnsi="Verdana"/>
          <w:sz w:val="20"/>
        </w:rPr>
        <w:t>o da Comunidade realizado pelo D</w:t>
      </w:r>
      <w:r w:rsidRPr="00BD40F0">
        <w:rPr>
          <w:rFonts w:ascii="Verdana" w:hAnsi="Verdana"/>
          <w:sz w:val="20"/>
        </w:rPr>
        <w:t>outor Theodore Macdonald, da Universidade de Harvard.</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Ele e os membros da Comunidade vivem da agricultura, da caça e da pesca, entre outras atividades.</w:t>
      </w:r>
      <w:r w:rsidR="00850A3F">
        <w:rPr>
          <w:rFonts w:ascii="Verdana" w:hAnsi="Verdana"/>
          <w:sz w:val="20"/>
        </w:rPr>
        <w:t xml:space="preserve"> </w:t>
      </w:r>
      <w:r w:rsidRPr="00BD40F0">
        <w:rPr>
          <w:rFonts w:ascii="Verdana" w:hAnsi="Verdana"/>
          <w:sz w:val="20"/>
        </w:rPr>
        <w:t>Para caçar</w:t>
      </w:r>
      <w:r w:rsidR="0045758D">
        <w:rPr>
          <w:rFonts w:ascii="Verdana" w:hAnsi="Verdana"/>
          <w:sz w:val="20"/>
        </w:rPr>
        <w:t>,</w:t>
      </w:r>
      <w:r w:rsidRPr="00BD40F0">
        <w:rPr>
          <w:rFonts w:ascii="Verdana" w:hAnsi="Verdana"/>
          <w:sz w:val="20"/>
        </w:rPr>
        <w:t xml:space="preserve"> realizam uma viagem de 15 dias.</w:t>
      </w:r>
      <w:r w:rsidR="00850A3F">
        <w:rPr>
          <w:rFonts w:ascii="Verdana" w:hAnsi="Verdana"/>
          <w:sz w:val="20"/>
        </w:rPr>
        <w:t xml:space="preserve"> </w:t>
      </w:r>
      <w:r w:rsidRPr="00BD40F0">
        <w:rPr>
          <w:rFonts w:ascii="Verdana" w:hAnsi="Verdana"/>
          <w:sz w:val="20"/>
        </w:rPr>
        <w:t>A Comunidade seleciona o que cons</w:t>
      </w:r>
      <w:r w:rsidR="00857A6B">
        <w:rPr>
          <w:rFonts w:ascii="Verdana" w:hAnsi="Verdana"/>
          <w:sz w:val="20"/>
        </w:rPr>
        <w:t>o</w:t>
      </w:r>
      <w:r w:rsidR="00970F44">
        <w:rPr>
          <w:rFonts w:ascii="Verdana" w:hAnsi="Verdana"/>
          <w:sz w:val="20"/>
        </w:rPr>
        <w:t>me e</w:t>
      </w:r>
      <w:r w:rsidR="00591ECA">
        <w:rPr>
          <w:rFonts w:ascii="Verdana" w:hAnsi="Verdana"/>
          <w:sz w:val="20"/>
        </w:rPr>
        <w:t>,</w:t>
      </w:r>
      <w:r w:rsidR="00970F44">
        <w:rPr>
          <w:rFonts w:ascii="Verdana" w:hAnsi="Verdana"/>
          <w:sz w:val="20"/>
        </w:rPr>
        <w:t xml:space="preserve"> </w:t>
      </w:r>
      <w:r w:rsidR="00591ECA">
        <w:rPr>
          <w:rFonts w:ascii="Verdana" w:hAnsi="Verdana"/>
          <w:sz w:val="20"/>
        </w:rPr>
        <w:t>dessa forma,</w:t>
      </w:r>
      <w:r w:rsidR="00970F44">
        <w:rPr>
          <w:rFonts w:ascii="Verdana" w:hAnsi="Verdana"/>
          <w:sz w:val="20"/>
        </w:rPr>
        <w:t xml:space="preserve"> não destr</w:t>
      </w:r>
      <w:r w:rsidR="00857A6B">
        <w:rPr>
          <w:rFonts w:ascii="Verdana" w:hAnsi="Verdana"/>
          <w:sz w:val="20"/>
        </w:rPr>
        <w:t>ói os recursos naturais.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As terras são ocupadas e exploradas por toda a Comunidade. Ninguém é individualmente dono da terra, os recursos desta são coletivos.</w:t>
      </w:r>
      <w:r w:rsidR="00850A3F">
        <w:rPr>
          <w:rFonts w:ascii="Verdana" w:hAnsi="Verdana"/>
          <w:sz w:val="20"/>
        </w:rPr>
        <w:t xml:space="preserve"> </w:t>
      </w:r>
      <w:r w:rsidRPr="00BD40F0">
        <w:rPr>
          <w:rFonts w:ascii="Verdana" w:hAnsi="Verdana"/>
          <w:sz w:val="20"/>
        </w:rPr>
        <w:t>Se a pessoa não pertence à Comunidade</w:t>
      </w:r>
      <w:r w:rsidR="00675FDF">
        <w:rPr>
          <w:rFonts w:ascii="Verdana" w:hAnsi="Verdana"/>
          <w:sz w:val="20"/>
        </w:rPr>
        <w:t>,</w:t>
      </w:r>
      <w:r w:rsidRPr="00BD40F0">
        <w:rPr>
          <w:rFonts w:ascii="Verdana" w:hAnsi="Verdana"/>
          <w:sz w:val="20"/>
        </w:rPr>
        <w:t xml:space="preserve"> não pode explorar a terra.</w:t>
      </w:r>
      <w:r w:rsidR="00850A3F">
        <w:rPr>
          <w:rFonts w:ascii="Verdana" w:hAnsi="Verdana"/>
          <w:sz w:val="20"/>
        </w:rPr>
        <w:t xml:space="preserve"> </w:t>
      </w:r>
      <w:r w:rsidRPr="00BD40F0">
        <w:rPr>
          <w:rFonts w:ascii="Verdana" w:hAnsi="Verdana"/>
          <w:sz w:val="20"/>
        </w:rPr>
        <w:t>N</w:t>
      </w:r>
      <w:r w:rsidR="00970F44">
        <w:rPr>
          <w:rFonts w:ascii="Verdana" w:hAnsi="Verdana"/>
          <w:sz w:val="20"/>
        </w:rPr>
        <w:t xml:space="preserve">ão existe o direito de expulsar </w:t>
      </w:r>
      <w:r w:rsidRPr="00BD40F0">
        <w:rPr>
          <w:rFonts w:ascii="Verdana" w:hAnsi="Verdana"/>
          <w:sz w:val="20"/>
        </w:rPr>
        <w:t>alguém da Comunidade.</w:t>
      </w:r>
      <w:r w:rsidR="00850A3F">
        <w:rPr>
          <w:rFonts w:ascii="Verdana" w:hAnsi="Verdana"/>
          <w:sz w:val="20"/>
        </w:rPr>
        <w:t xml:space="preserve"> </w:t>
      </w:r>
      <w:r w:rsidRPr="00BD40F0">
        <w:rPr>
          <w:rFonts w:ascii="Verdana" w:hAnsi="Verdana"/>
          <w:sz w:val="20"/>
        </w:rPr>
        <w:t>Para negar o direito ao uso da terra a algum dos membros da Comunidade, o assunto tem que ser considerado e decidido pelo</w:t>
      </w:r>
      <w:r w:rsidR="00FD01CB">
        <w:rPr>
          <w:rFonts w:ascii="Verdana" w:hAnsi="Verdana"/>
          <w:sz w:val="20"/>
        </w:rPr>
        <w:t xml:space="preserve"> seu</w:t>
      </w:r>
      <w:r w:rsidRPr="00BD40F0">
        <w:rPr>
          <w:rFonts w:ascii="Verdana" w:hAnsi="Verdana"/>
          <w:sz w:val="20"/>
        </w:rPr>
        <w:t xml:space="preserve"> conselho.</w:t>
      </w:r>
      <w:r w:rsidR="00850A3F">
        <w:rPr>
          <w:rFonts w:ascii="Verdana" w:hAnsi="Verdana"/>
          <w:sz w:val="20"/>
        </w:rPr>
        <w:t xml:space="preserve"> </w:t>
      </w:r>
      <w:r w:rsidRPr="00BD40F0">
        <w:rPr>
          <w:rFonts w:ascii="Verdana" w:hAnsi="Verdana"/>
          <w:sz w:val="20"/>
        </w:rPr>
        <w:t>Quando uma pessoa morre</w:t>
      </w:r>
      <w:r w:rsidR="00675FDF">
        <w:rPr>
          <w:rFonts w:ascii="Verdana" w:hAnsi="Verdana"/>
          <w:sz w:val="20"/>
        </w:rPr>
        <w:t>,</w:t>
      </w:r>
      <w:r w:rsidRPr="00BD40F0">
        <w:rPr>
          <w:rFonts w:ascii="Verdana" w:hAnsi="Verdana"/>
          <w:sz w:val="20"/>
        </w:rPr>
        <w:t xml:space="preserve"> seus familiares </w:t>
      </w:r>
      <w:r w:rsidR="00675FDF">
        <w:rPr>
          <w:rFonts w:ascii="Verdana" w:hAnsi="Verdana"/>
          <w:sz w:val="20"/>
        </w:rPr>
        <w:t>tornam-se</w:t>
      </w:r>
      <w:r w:rsidR="00675FDF" w:rsidRPr="00BD40F0">
        <w:rPr>
          <w:rFonts w:ascii="Verdana" w:hAnsi="Verdana"/>
          <w:sz w:val="20"/>
        </w:rPr>
        <w:t xml:space="preserve"> </w:t>
      </w:r>
      <w:r w:rsidRPr="00BD40F0">
        <w:rPr>
          <w:rFonts w:ascii="Verdana" w:hAnsi="Verdana"/>
          <w:sz w:val="20"/>
        </w:rPr>
        <w:t xml:space="preserve">donos daquelas coisas que </w:t>
      </w:r>
      <w:r w:rsidR="001D348E" w:rsidRPr="00BD40F0">
        <w:rPr>
          <w:rFonts w:ascii="Verdana" w:hAnsi="Verdana"/>
          <w:sz w:val="20"/>
        </w:rPr>
        <w:t>poss</w:t>
      </w:r>
      <w:r w:rsidR="001D348E">
        <w:rPr>
          <w:rFonts w:ascii="Verdana" w:hAnsi="Verdana"/>
          <w:sz w:val="20"/>
        </w:rPr>
        <w:t>uía</w:t>
      </w:r>
      <w:r w:rsidRPr="00BD40F0">
        <w:rPr>
          <w:rFonts w:ascii="Verdana" w:hAnsi="Verdana"/>
          <w:sz w:val="20"/>
        </w:rPr>
        <w:t xml:space="preserve"> o </w:t>
      </w:r>
      <w:r w:rsidR="00857A6B">
        <w:rPr>
          <w:rFonts w:ascii="Verdana" w:hAnsi="Verdana"/>
          <w:sz w:val="20"/>
        </w:rPr>
        <w:t>morto</w:t>
      </w:r>
      <w:r w:rsidRPr="00BD40F0">
        <w:rPr>
          <w:rFonts w:ascii="Verdana" w:hAnsi="Verdana"/>
          <w:sz w:val="20"/>
        </w:rPr>
        <w:t>.</w:t>
      </w:r>
      <w:r w:rsidR="00850A3F">
        <w:rPr>
          <w:rFonts w:ascii="Verdana" w:hAnsi="Verdana"/>
          <w:sz w:val="20"/>
        </w:rPr>
        <w:t xml:space="preserve"> </w:t>
      </w:r>
      <w:r w:rsidRPr="00BD40F0">
        <w:rPr>
          <w:rFonts w:ascii="Verdana" w:hAnsi="Verdana"/>
          <w:sz w:val="20"/>
        </w:rPr>
        <w:t>Mas, ao ser</w:t>
      </w:r>
      <w:r w:rsidR="002C6A59">
        <w:rPr>
          <w:rFonts w:ascii="Verdana" w:hAnsi="Verdana"/>
          <w:sz w:val="20"/>
        </w:rPr>
        <w:t>em</w:t>
      </w:r>
      <w:r w:rsidRPr="00BD40F0">
        <w:rPr>
          <w:rFonts w:ascii="Verdana" w:hAnsi="Verdana"/>
          <w:sz w:val="20"/>
        </w:rPr>
        <w:t xml:space="preserve"> </w:t>
      </w:r>
      <w:proofErr w:type="gramStart"/>
      <w:r w:rsidRPr="00BD40F0">
        <w:rPr>
          <w:rFonts w:ascii="Verdana" w:hAnsi="Verdana"/>
          <w:sz w:val="20"/>
        </w:rPr>
        <w:t>as terras propriedade coletiva da Comunidade</w:t>
      </w:r>
      <w:proofErr w:type="gramEnd"/>
      <w:r w:rsidRPr="00BD40F0">
        <w:rPr>
          <w:rFonts w:ascii="Verdana" w:hAnsi="Verdana"/>
          <w:sz w:val="20"/>
        </w:rPr>
        <w:t xml:space="preserve">, não há maneira de que um membro transmita a outro livremente os direitos que </w:t>
      </w:r>
      <w:r w:rsidR="00FD01CB">
        <w:rPr>
          <w:rFonts w:ascii="Verdana" w:hAnsi="Verdana"/>
          <w:sz w:val="20"/>
        </w:rPr>
        <w:t>possui</w:t>
      </w:r>
      <w:r w:rsidR="00850A3F">
        <w:rPr>
          <w:rFonts w:ascii="Verdana" w:hAnsi="Verdana"/>
          <w:sz w:val="20"/>
        </w:rPr>
        <w:t xml:space="preserve"> </w:t>
      </w:r>
      <w:r w:rsidRPr="00BD40F0">
        <w:rPr>
          <w:rFonts w:ascii="Verdana" w:hAnsi="Verdana"/>
          <w:sz w:val="20"/>
        </w:rPr>
        <w:t xml:space="preserve">em relação </w:t>
      </w:r>
      <w:r w:rsidR="00C34B7D">
        <w:rPr>
          <w:rFonts w:ascii="Verdana" w:hAnsi="Verdana"/>
          <w:sz w:val="20"/>
        </w:rPr>
        <w:t>a</w:t>
      </w:r>
      <w:r w:rsidRPr="00BD40F0">
        <w:rPr>
          <w:rFonts w:ascii="Verdana" w:hAnsi="Verdana"/>
          <w:sz w:val="20"/>
        </w:rPr>
        <w:t xml:space="preserve">o </w:t>
      </w:r>
      <w:r w:rsidR="00FD01CB">
        <w:rPr>
          <w:rFonts w:ascii="Verdana" w:hAnsi="Verdana"/>
          <w:sz w:val="20"/>
        </w:rPr>
        <w:t xml:space="preserve">seu </w:t>
      </w:r>
      <w:r w:rsidRPr="00BD40F0">
        <w:rPr>
          <w:rFonts w:ascii="Verdana" w:hAnsi="Verdana"/>
          <w:sz w:val="20"/>
        </w:rPr>
        <w:t>uso.</w:t>
      </w:r>
      <w:r w:rsidR="00850A3F">
        <w:rPr>
          <w:rFonts w:ascii="Verdana" w:hAnsi="Verdana"/>
          <w:sz w:val="20"/>
        </w:rPr>
        <w:t xml:space="preserve"> </w:t>
      </w:r>
    </w:p>
    <w:p w:rsidR="000B3F97" w:rsidRPr="00BD40F0" w:rsidRDefault="00C34B7D" w:rsidP="00C34B7D">
      <w:pPr>
        <w:tabs>
          <w:tab w:val="left" w:pos="7263"/>
        </w:tabs>
        <w:jc w:val="both"/>
        <w:rPr>
          <w:rFonts w:ascii="Verdana" w:hAnsi="Verdana"/>
          <w:sz w:val="20"/>
        </w:rPr>
      </w:pPr>
      <w:r>
        <w:rPr>
          <w:rFonts w:ascii="Verdana" w:hAnsi="Verdana"/>
          <w:sz w:val="20"/>
        </w:rPr>
        <w:tab/>
      </w:r>
    </w:p>
    <w:p w:rsidR="000B3F97" w:rsidRPr="00BD40F0" w:rsidRDefault="000B3F97" w:rsidP="000B3F97">
      <w:pPr>
        <w:jc w:val="both"/>
        <w:rPr>
          <w:rFonts w:ascii="Verdana" w:hAnsi="Verdana"/>
          <w:sz w:val="20"/>
        </w:rPr>
      </w:pPr>
      <w:r w:rsidRPr="00BD40F0">
        <w:rPr>
          <w:rFonts w:ascii="Verdana" w:hAnsi="Verdana"/>
          <w:sz w:val="20"/>
        </w:rPr>
        <w:t>Não tem conhecimento s</w:t>
      </w:r>
      <w:r w:rsidR="00857A6B">
        <w:rPr>
          <w:rFonts w:ascii="Verdana" w:hAnsi="Verdana"/>
          <w:sz w:val="20"/>
        </w:rPr>
        <w:t>e</w:t>
      </w:r>
      <w:r w:rsidRPr="00BD40F0">
        <w:rPr>
          <w:rFonts w:ascii="Verdana" w:hAnsi="Verdana"/>
          <w:sz w:val="20"/>
        </w:rPr>
        <w:t xml:space="preserve"> seus antepassados haviam obtido algum título de propriedade.</w:t>
      </w:r>
      <w:r w:rsidR="00850A3F">
        <w:rPr>
          <w:rFonts w:ascii="Verdana" w:hAnsi="Verdana"/>
          <w:sz w:val="20"/>
        </w:rPr>
        <w:t xml:space="preserve"> </w:t>
      </w:r>
      <w:r w:rsidR="000E5B41">
        <w:rPr>
          <w:rFonts w:ascii="Verdana" w:hAnsi="Verdana"/>
          <w:sz w:val="20"/>
        </w:rPr>
        <w:t>No momento</w:t>
      </w:r>
      <w:r w:rsidRPr="00BD40F0">
        <w:rPr>
          <w:rFonts w:ascii="Verdana" w:hAnsi="Verdana"/>
          <w:sz w:val="20"/>
        </w:rPr>
        <w:t xml:space="preserve"> em que </w:t>
      </w:r>
      <w:r w:rsidR="00857A6B">
        <w:rPr>
          <w:rFonts w:ascii="Verdana" w:hAnsi="Verdana"/>
          <w:sz w:val="20"/>
        </w:rPr>
        <w:t>foi realizado</w:t>
      </w:r>
      <w:r w:rsidRPr="00BD40F0">
        <w:rPr>
          <w:rFonts w:ascii="Verdana" w:hAnsi="Verdana"/>
          <w:sz w:val="20"/>
        </w:rPr>
        <w:t xml:space="preserve"> um convênio entre a empresa </w:t>
      </w:r>
      <w:r w:rsidRPr="00BD40F0">
        <w:rPr>
          <w:rFonts w:ascii="Verdana" w:hAnsi="Verdana"/>
          <w:sz w:val="20"/>
        </w:rPr>
        <w:lastRenderedPageBreak/>
        <w:t xml:space="preserve">madeireira </w:t>
      </w:r>
      <w:r w:rsidRPr="000E5B41">
        <w:rPr>
          <w:rFonts w:ascii="Verdana" w:hAnsi="Verdana"/>
          <w:i/>
          <w:sz w:val="20"/>
        </w:rPr>
        <w:t>Made</w:t>
      </w:r>
      <w:r w:rsidR="000E5B41" w:rsidRPr="000E5B41">
        <w:rPr>
          <w:rFonts w:ascii="Verdana" w:hAnsi="Verdana"/>
          <w:i/>
          <w:sz w:val="20"/>
        </w:rPr>
        <w:t>ras y Derivados de Nicara</w:t>
      </w:r>
      <w:r w:rsidRPr="000E5B41">
        <w:rPr>
          <w:rFonts w:ascii="Verdana" w:hAnsi="Verdana"/>
          <w:i/>
          <w:sz w:val="20"/>
        </w:rPr>
        <w:t>gua S.A.</w:t>
      </w:r>
      <w:r w:rsidRPr="00BD40F0">
        <w:rPr>
          <w:rFonts w:ascii="Verdana" w:hAnsi="Verdana"/>
          <w:sz w:val="20"/>
        </w:rPr>
        <w:t xml:space="preserve"> </w:t>
      </w:r>
      <w:r w:rsidR="00C60678" w:rsidRPr="00C60678">
        <w:rPr>
          <w:rFonts w:ascii="Verdana" w:hAnsi="Verdana"/>
          <w:sz w:val="20"/>
        </w:rPr>
        <w:t>(</w:t>
      </w:r>
      <w:r w:rsidRPr="00BD40F0">
        <w:rPr>
          <w:rFonts w:ascii="Verdana" w:hAnsi="Verdana"/>
          <w:sz w:val="20"/>
        </w:rPr>
        <w:t>MADENSA</w:t>
      </w:r>
      <w:r w:rsidR="00C60678" w:rsidRPr="00C60678">
        <w:rPr>
          <w:rFonts w:ascii="Verdana" w:hAnsi="Verdana"/>
          <w:sz w:val="20"/>
        </w:rPr>
        <w:t>)</w:t>
      </w:r>
      <w:r w:rsidRPr="00BD40F0">
        <w:rPr>
          <w:rFonts w:ascii="Verdana" w:hAnsi="Verdana"/>
          <w:sz w:val="20"/>
        </w:rPr>
        <w:t xml:space="preserve"> </w:t>
      </w:r>
      <w:r w:rsidR="00C60678" w:rsidRPr="00C60678">
        <w:rPr>
          <w:rFonts w:ascii="Verdana" w:hAnsi="Verdana"/>
          <w:sz w:val="20"/>
        </w:rPr>
        <w:t>(</w:t>
      </w:r>
      <w:r w:rsidRPr="00BD40F0">
        <w:rPr>
          <w:rFonts w:ascii="Verdana" w:hAnsi="Verdana"/>
          <w:sz w:val="20"/>
        </w:rPr>
        <w:t>doravante “MADENSA”</w:t>
      </w:r>
      <w:r w:rsidR="00C60678" w:rsidRPr="00C60678">
        <w:rPr>
          <w:rFonts w:ascii="Verdana" w:hAnsi="Verdana"/>
          <w:sz w:val="20"/>
        </w:rPr>
        <w:t>)</w:t>
      </w:r>
      <w:r w:rsidRPr="00BD40F0">
        <w:rPr>
          <w:rFonts w:ascii="Verdana" w:hAnsi="Verdana"/>
          <w:sz w:val="20"/>
        </w:rPr>
        <w:t xml:space="preserve"> e a Comunidade, no ano de 1992, esta última afirmou que tinha título de propriedade reconhecido pelo Governo Central e pelo Governo Nacional, </w:t>
      </w:r>
      <w:r w:rsidR="00745E46">
        <w:rPr>
          <w:rFonts w:ascii="Verdana" w:hAnsi="Verdana"/>
          <w:sz w:val="20"/>
        </w:rPr>
        <w:t xml:space="preserve">pois </w:t>
      </w:r>
      <w:r w:rsidRPr="00BD40F0">
        <w:rPr>
          <w:rFonts w:ascii="Verdana" w:hAnsi="Verdana"/>
          <w:sz w:val="20"/>
        </w:rPr>
        <w:t xml:space="preserve">a testemunha e os demais membros da Comunidade </w:t>
      </w:r>
      <w:r w:rsidRPr="000E5B41">
        <w:rPr>
          <w:rFonts w:ascii="Verdana" w:hAnsi="Verdana"/>
          <w:sz w:val="20"/>
        </w:rPr>
        <w:t>sentem-se como verdadeiros</w:t>
      </w:r>
      <w:r w:rsidRPr="00BD40F0">
        <w:rPr>
          <w:rFonts w:ascii="Verdana" w:hAnsi="Verdana"/>
          <w:sz w:val="20"/>
        </w:rPr>
        <w:t xml:space="preserve"> donos das terras, em razão de que </w:t>
      </w:r>
      <w:r w:rsidR="003D0B90">
        <w:rPr>
          <w:rFonts w:ascii="Verdana" w:hAnsi="Verdana"/>
          <w:sz w:val="20"/>
        </w:rPr>
        <w:t>nela residem</w:t>
      </w:r>
      <w:r w:rsidR="002C6A59" w:rsidRPr="002C6A59">
        <w:rPr>
          <w:rFonts w:ascii="Verdana" w:hAnsi="Verdana"/>
          <w:sz w:val="20"/>
        </w:rPr>
        <w:t xml:space="preserve"> </w:t>
      </w:r>
      <w:r w:rsidR="002C6A59">
        <w:rPr>
          <w:rFonts w:ascii="Verdana" w:hAnsi="Verdana"/>
          <w:sz w:val="20"/>
        </w:rPr>
        <w:t>há mais de 500 anos</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A Comunidade apresentou a demanda perante a Comissão Interamericana porque necessita </w:t>
      </w:r>
      <w:r w:rsidR="00857A6B">
        <w:rPr>
          <w:rFonts w:ascii="Verdana" w:hAnsi="Verdana"/>
          <w:sz w:val="20"/>
        </w:rPr>
        <w:t>do</w:t>
      </w:r>
      <w:r w:rsidRPr="00BD40F0">
        <w:rPr>
          <w:rFonts w:ascii="Verdana" w:hAnsi="Verdana"/>
          <w:sz w:val="20"/>
        </w:rPr>
        <w:t xml:space="preserve"> título de propriedade </w:t>
      </w:r>
      <w:r w:rsidR="00FD01CB" w:rsidRPr="00BD40F0">
        <w:rPr>
          <w:rFonts w:ascii="Verdana" w:hAnsi="Verdana"/>
          <w:sz w:val="20"/>
        </w:rPr>
        <w:t>solicit</w:t>
      </w:r>
      <w:r w:rsidR="00FD01CB">
        <w:rPr>
          <w:rFonts w:ascii="Verdana" w:hAnsi="Verdana"/>
          <w:sz w:val="20"/>
        </w:rPr>
        <w:t>ada</w:t>
      </w:r>
      <w:r w:rsidR="00FD01CB" w:rsidRPr="00BD40F0">
        <w:rPr>
          <w:rFonts w:ascii="Verdana" w:hAnsi="Verdana"/>
          <w:sz w:val="20"/>
        </w:rPr>
        <w:t xml:space="preserve"> </w:t>
      </w:r>
      <w:r w:rsidRPr="00BD40F0">
        <w:rPr>
          <w:rFonts w:ascii="Verdana" w:hAnsi="Verdana"/>
          <w:sz w:val="20"/>
        </w:rPr>
        <w:t>em várias oportunidades e nunca obteve resposta do Estado. Esperam ter uma resposta baseada na justiça e no direito das comunidades indígenas.</w:t>
      </w:r>
      <w:r w:rsidR="00850A3F">
        <w:rPr>
          <w:rFonts w:ascii="Verdana" w:hAnsi="Verdana"/>
          <w:sz w:val="20"/>
        </w:rPr>
        <w:t xml:space="preserve"> </w:t>
      </w:r>
      <w:r w:rsidRPr="00BD40F0">
        <w:rPr>
          <w:rFonts w:ascii="Verdana" w:hAnsi="Verdana"/>
          <w:sz w:val="20"/>
        </w:rPr>
        <w:t xml:space="preserve">Inicialmente, o propósito era resolver de forma amistosa </w:t>
      </w:r>
      <w:r w:rsidR="00857A6B">
        <w:rPr>
          <w:rFonts w:ascii="Verdana" w:hAnsi="Verdana"/>
          <w:sz w:val="20"/>
        </w:rPr>
        <w:t>a reivindicação</w:t>
      </w:r>
      <w:r w:rsidRPr="00BD40F0">
        <w:rPr>
          <w:rFonts w:ascii="Verdana" w:hAnsi="Verdana"/>
          <w:sz w:val="20"/>
        </w:rPr>
        <w:t xml:space="preserve"> da terra, mas agora, uma vez esgotados todos os mecanismos e havendo chegado à instância da Corte Interamericana, espera sua decisão para que </w:t>
      </w:r>
      <w:r w:rsidR="00857A6B">
        <w:rPr>
          <w:rFonts w:ascii="Verdana" w:hAnsi="Verdana"/>
          <w:sz w:val="20"/>
        </w:rPr>
        <w:t>seja posto</w:t>
      </w:r>
      <w:r w:rsidRPr="00BD40F0">
        <w:rPr>
          <w:rFonts w:ascii="Verdana" w:hAnsi="Verdana"/>
          <w:sz w:val="20"/>
        </w:rPr>
        <w:t xml:space="preserve"> fim ao conflito.</w:t>
      </w:r>
    </w:p>
    <w:p w:rsidR="000B3F97" w:rsidRPr="00BD40F0" w:rsidRDefault="000B3F97" w:rsidP="000B3F97">
      <w:pPr>
        <w:jc w:val="both"/>
        <w:rPr>
          <w:rFonts w:ascii="Verdana" w:hAnsi="Verdana"/>
          <w:sz w:val="20"/>
        </w:rPr>
      </w:pPr>
    </w:p>
    <w:p w:rsidR="000B3F97" w:rsidRPr="00BD40F0" w:rsidRDefault="000B3F97" w:rsidP="000B3F97">
      <w:pPr>
        <w:ind w:left="720"/>
        <w:jc w:val="both"/>
        <w:rPr>
          <w:rFonts w:ascii="Verdana" w:hAnsi="Verdana"/>
          <w:b/>
          <w:sz w:val="20"/>
        </w:rPr>
      </w:pPr>
      <w:proofErr w:type="gramStart"/>
      <w:r w:rsidRPr="00BD40F0">
        <w:rPr>
          <w:rFonts w:ascii="Verdana" w:hAnsi="Verdana"/>
          <w:b/>
          <w:sz w:val="20"/>
        </w:rPr>
        <w:t>b.</w:t>
      </w:r>
      <w:proofErr w:type="gramEnd"/>
      <w:r w:rsidRPr="00BD40F0">
        <w:rPr>
          <w:rFonts w:ascii="Verdana" w:hAnsi="Verdana"/>
          <w:b/>
          <w:sz w:val="20"/>
        </w:rPr>
        <w:tab/>
        <w:t>Testemunho de Charly Webster Mclean Cornelio, Secretário da Comissão Territorial de Awas Tingni</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Nasceu em Awas Tingni, Nicarágua, e é membro da Comunidade Mayagna, que significa no idioma mayagna “filho do sol”. Ocupou o cargo de Responsável </w:t>
      </w:r>
      <w:r w:rsidR="001B5FDF">
        <w:rPr>
          <w:rFonts w:ascii="Verdana" w:hAnsi="Verdana"/>
          <w:sz w:val="20"/>
        </w:rPr>
        <w:t>pela Floresta</w:t>
      </w:r>
      <w:r w:rsidRPr="00BD40F0">
        <w:rPr>
          <w:rFonts w:ascii="Verdana" w:hAnsi="Verdana"/>
          <w:sz w:val="20"/>
        </w:rPr>
        <w:t xml:space="preserve"> dentro da Comunidade, </w:t>
      </w:r>
      <w:r w:rsidR="00243DA4">
        <w:rPr>
          <w:rFonts w:ascii="Verdana" w:hAnsi="Verdana"/>
          <w:sz w:val="20"/>
        </w:rPr>
        <w:t>razão pela qual</w:t>
      </w:r>
      <w:r w:rsidRPr="00BD40F0">
        <w:rPr>
          <w:rFonts w:ascii="Verdana" w:hAnsi="Verdana"/>
          <w:sz w:val="20"/>
        </w:rPr>
        <w:t xml:space="preserve"> protegia </w:t>
      </w:r>
      <w:r w:rsidR="001B5FDF">
        <w:rPr>
          <w:rFonts w:ascii="Verdana" w:hAnsi="Verdana"/>
          <w:sz w:val="20"/>
        </w:rPr>
        <w:t>a floresta</w:t>
      </w:r>
      <w:r w:rsidRPr="00BD40F0">
        <w:rPr>
          <w:rFonts w:ascii="Verdana" w:hAnsi="Verdana"/>
          <w:sz w:val="20"/>
        </w:rPr>
        <w:t xml:space="preserve"> dos danos e cuidava </w:t>
      </w:r>
      <w:r w:rsidR="001B5FDF">
        <w:rPr>
          <w:rFonts w:ascii="Verdana" w:hAnsi="Verdana"/>
          <w:sz w:val="20"/>
        </w:rPr>
        <w:t>d</w:t>
      </w:r>
      <w:r w:rsidRPr="00BD40F0">
        <w:rPr>
          <w:rFonts w:ascii="Verdana" w:hAnsi="Verdana"/>
          <w:sz w:val="20"/>
        </w:rPr>
        <w:t>os animais. Atualmente, ocupa o cargo de Secretário da Comissão Territorial de Awas Tingni e, em 1991, participou junto com os demais líderes da Comunidade na elaboração do mapa que indica os limites territoriais da Comunidade Mayagna.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A Comunidade à qu</w:t>
      </w:r>
      <w:r w:rsidR="00FD01CB">
        <w:rPr>
          <w:rFonts w:ascii="Verdana" w:hAnsi="Verdana"/>
          <w:sz w:val="20"/>
        </w:rPr>
        <w:t>al</w:t>
      </w:r>
      <w:r w:rsidRPr="00BD40F0">
        <w:rPr>
          <w:rFonts w:ascii="Verdana" w:hAnsi="Verdana"/>
          <w:sz w:val="20"/>
        </w:rPr>
        <w:t xml:space="preserve"> pertence </w:t>
      </w:r>
      <w:r w:rsidR="002C6A59">
        <w:rPr>
          <w:rFonts w:ascii="Verdana" w:hAnsi="Verdana"/>
          <w:sz w:val="20"/>
        </w:rPr>
        <w:t>possui</w:t>
      </w:r>
      <w:r w:rsidRPr="00BD40F0">
        <w:rPr>
          <w:rFonts w:ascii="Verdana" w:hAnsi="Verdana"/>
          <w:sz w:val="20"/>
        </w:rPr>
        <w:t xml:space="preserve"> 1.016 habitantes,</w:t>
      </w:r>
      <w:r w:rsidR="00817FD3">
        <w:rPr>
          <w:rFonts w:ascii="Verdana" w:hAnsi="Verdana"/>
          <w:sz w:val="20"/>
        </w:rPr>
        <w:t xml:space="preserve"> e é</w:t>
      </w:r>
      <w:r w:rsidRPr="00BD40F0">
        <w:rPr>
          <w:rFonts w:ascii="Verdana" w:hAnsi="Verdana"/>
          <w:sz w:val="20"/>
        </w:rPr>
        <w:t xml:space="preserve"> integrada por 208 famílias; somente quatro famílias estão formadas pelo casamento de homens mis</w:t>
      </w:r>
      <w:r w:rsidR="004E183D">
        <w:rPr>
          <w:rFonts w:ascii="Verdana" w:hAnsi="Verdana"/>
          <w:sz w:val="20"/>
        </w:rPr>
        <w:t>k</w:t>
      </w:r>
      <w:r w:rsidRPr="00BD40F0">
        <w:rPr>
          <w:rFonts w:ascii="Verdana" w:hAnsi="Verdana"/>
          <w:sz w:val="20"/>
        </w:rPr>
        <w:t>itos e mulheres mayagna.</w:t>
      </w:r>
      <w:r w:rsidR="00850A3F">
        <w:rPr>
          <w:rFonts w:ascii="Verdana" w:hAnsi="Verdana"/>
          <w:sz w:val="20"/>
        </w:rPr>
        <w:t xml:space="preserve"> </w:t>
      </w:r>
      <w:r w:rsidRPr="00BD40F0">
        <w:rPr>
          <w:rFonts w:ascii="Verdana" w:hAnsi="Verdana"/>
          <w:sz w:val="20"/>
        </w:rPr>
        <w:t>O número de habitantes foi estabelecido por um censo elaborado recentemente pelos líderes da Comunidade.</w:t>
      </w:r>
      <w:r w:rsidR="00850A3F">
        <w:rPr>
          <w:rFonts w:ascii="Verdana" w:hAnsi="Verdana"/>
          <w:sz w:val="20"/>
        </w:rPr>
        <w:t xml:space="preserve"> </w:t>
      </w:r>
      <w:r w:rsidRPr="00BD40F0">
        <w:rPr>
          <w:rFonts w:ascii="Verdana" w:hAnsi="Verdana"/>
          <w:sz w:val="20"/>
        </w:rPr>
        <w:t>Segundo um censo realizado anos atrás, as cifras apresentadas pelo Estado indicam que o número de membros da Comunidade oscila entre 300 e 400, mas essa cifra não é a atual.</w:t>
      </w:r>
      <w:r w:rsidRPr="00BD40F0">
        <w:rPr>
          <w:rFonts w:ascii="Verdana" w:hAnsi="Verdana"/>
          <w:b/>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A luta dos mayagna para </w:t>
      </w:r>
      <w:r w:rsidR="005C2F2F">
        <w:rPr>
          <w:rFonts w:ascii="Verdana" w:hAnsi="Verdana"/>
          <w:sz w:val="20"/>
        </w:rPr>
        <w:t>conseguir</w:t>
      </w:r>
      <w:r w:rsidRPr="00BD40F0">
        <w:rPr>
          <w:rFonts w:ascii="Verdana" w:hAnsi="Verdana"/>
          <w:sz w:val="20"/>
        </w:rPr>
        <w:t xml:space="preserve"> que o Estado reconheça o direito histórico que </w:t>
      </w:r>
      <w:r w:rsidR="00FD01CB">
        <w:rPr>
          <w:rFonts w:ascii="Verdana" w:hAnsi="Verdana"/>
          <w:sz w:val="20"/>
        </w:rPr>
        <w:t>possuem</w:t>
      </w:r>
      <w:r w:rsidR="00FD01CB" w:rsidRPr="00BD40F0">
        <w:rPr>
          <w:rFonts w:ascii="Verdana" w:hAnsi="Verdana"/>
          <w:sz w:val="20"/>
        </w:rPr>
        <w:t xml:space="preserve"> </w:t>
      </w:r>
      <w:r w:rsidRPr="00BD40F0">
        <w:rPr>
          <w:rFonts w:ascii="Verdana" w:hAnsi="Verdana"/>
          <w:sz w:val="20"/>
        </w:rPr>
        <w:t>sobre suas terras data de muito tempo atrás.</w:t>
      </w:r>
      <w:r w:rsidR="00850A3F">
        <w:rPr>
          <w:rFonts w:ascii="Verdana" w:hAnsi="Verdana"/>
          <w:sz w:val="20"/>
        </w:rPr>
        <w:t xml:space="preserve"> </w:t>
      </w:r>
      <w:r w:rsidRPr="00BD40F0">
        <w:rPr>
          <w:rFonts w:ascii="Verdana" w:hAnsi="Verdana"/>
          <w:sz w:val="20"/>
        </w:rPr>
        <w:t>Dentro d</w:t>
      </w:r>
      <w:r w:rsidR="001B5FDF">
        <w:rPr>
          <w:rFonts w:ascii="Verdana" w:hAnsi="Verdana"/>
          <w:sz w:val="20"/>
        </w:rPr>
        <w:t>a</w:t>
      </w:r>
      <w:r w:rsidRPr="00BD40F0">
        <w:rPr>
          <w:rFonts w:ascii="Verdana" w:hAnsi="Verdana"/>
          <w:sz w:val="20"/>
        </w:rPr>
        <w:t>s últim</w:t>
      </w:r>
      <w:r w:rsidR="001B5FDF">
        <w:rPr>
          <w:rFonts w:ascii="Verdana" w:hAnsi="Verdana"/>
          <w:sz w:val="20"/>
        </w:rPr>
        <w:t>a</w:t>
      </w:r>
      <w:r w:rsidRPr="00BD40F0">
        <w:rPr>
          <w:rFonts w:ascii="Verdana" w:hAnsi="Verdana"/>
          <w:sz w:val="20"/>
        </w:rPr>
        <w:t xml:space="preserve">s </w:t>
      </w:r>
      <w:r w:rsidR="001B5FDF">
        <w:rPr>
          <w:rFonts w:ascii="Verdana" w:hAnsi="Verdana"/>
          <w:sz w:val="20"/>
        </w:rPr>
        <w:t>tentativas</w:t>
      </w:r>
      <w:r w:rsidRPr="00BD40F0">
        <w:rPr>
          <w:rFonts w:ascii="Verdana" w:hAnsi="Verdana"/>
          <w:sz w:val="20"/>
        </w:rPr>
        <w:t xml:space="preserve"> que realizaram para obter o respeito ao direito a suas terras está </w:t>
      </w:r>
      <w:proofErr w:type="gramStart"/>
      <w:r w:rsidRPr="00BD40F0">
        <w:rPr>
          <w:rFonts w:ascii="Verdana" w:hAnsi="Verdana"/>
          <w:sz w:val="20"/>
        </w:rPr>
        <w:t>a</w:t>
      </w:r>
      <w:proofErr w:type="gramEnd"/>
      <w:r w:rsidRPr="00BD40F0">
        <w:rPr>
          <w:rFonts w:ascii="Verdana" w:hAnsi="Verdana"/>
          <w:sz w:val="20"/>
        </w:rPr>
        <w:t xml:space="preserve"> elaboração, sem assessoria,</w:t>
      </w:r>
      <w:r w:rsidRPr="00BD40F0">
        <w:rPr>
          <w:rFonts w:ascii="Verdana" w:hAnsi="Verdana"/>
          <w:b/>
          <w:sz w:val="20"/>
        </w:rPr>
        <w:t xml:space="preserve"> </w:t>
      </w:r>
      <w:r w:rsidRPr="00BD40F0">
        <w:rPr>
          <w:rFonts w:ascii="Verdana" w:hAnsi="Verdana"/>
          <w:sz w:val="20"/>
        </w:rPr>
        <w:t xml:space="preserve">de um documento </w:t>
      </w:r>
      <w:r w:rsidR="00C6474D">
        <w:rPr>
          <w:rFonts w:ascii="Verdana" w:hAnsi="Verdana"/>
          <w:sz w:val="20"/>
        </w:rPr>
        <w:t>intitulado</w:t>
      </w:r>
      <w:r w:rsidR="000E5B41">
        <w:rPr>
          <w:rFonts w:ascii="Verdana" w:hAnsi="Verdana"/>
          <w:sz w:val="20"/>
        </w:rPr>
        <w:t xml:space="preserve"> </w:t>
      </w:r>
      <w:r w:rsidRPr="00BD40F0">
        <w:rPr>
          <w:rFonts w:ascii="Verdana" w:hAnsi="Verdana"/>
          <w:sz w:val="20"/>
        </w:rPr>
        <w:t>“</w:t>
      </w:r>
      <w:r w:rsidR="000E5B41" w:rsidRPr="000E5B41">
        <w:rPr>
          <w:rFonts w:ascii="Verdana" w:hAnsi="Verdana"/>
          <w:sz w:val="20"/>
        </w:rPr>
        <w:t>Lut</w:t>
      </w:r>
      <w:r w:rsidRPr="000E5B41">
        <w:rPr>
          <w:rFonts w:ascii="Verdana" w:hAnsi="Verdana"/>
          <w:sz w:val="20"/>
        </w:rPr>
        <w:t>ando para Mayagna Sumo</w:t>
      </w:r>
      <w:r w:rsidRPr="00BD40F0">
        <w:rPr>
          <w:rFonts w:ascii="Verdana" w:hAnsi="Verdana"/>
          <w:sz w:val="20"/>
        </w:rPr>
        <w:t>”, no qual pedem ao Estado que reconheça seu direito de propriedade.</w:t>
      </w:r>
      <w:r w:rsidR="00850A3F">
        <w:rPr>
          <w:rFonts w:ascii="Verdana" w:hAnsi="Verdana"/>
          <w:sz w:val="20"/>
        </w:rPr>
        <w:t xml:space="preserve"> </w:t>
      </w:r>
      <w:r w:rsidRPr="00BD40F0">
        <w:rPr>
          <w:rFonts w:ascii="Verdana" w:hAnsi="Verdana"/>
          <w:sz w:val="20"/>
        </w:rPr>
        <w:t>Esse documento foi colocado em conhecimento do então delegado do INRA, senhor Alberto Escobar. Posteriormente</w:t>
      </w:r>
      <w:r w:rsidR="001F72D4">
        <w:rPr>
          <w:rFonts w:ascii="Verdana" w:hAnsi="Verdana"/>
          <w:sz w:val="20"/>
        </w:rPr>
        <w:t>,</w:t>
      </w:r>
      <w:r w:rsidRPr="00BD40F0">
        <w:rPr>
          <w:rFonts w:ascii="Verdana" w:hAnsi="Verdana"/>
          <w:sz w:val="20"/>
        </w:rPr>
        <w:t xml:space="preserve"> </w:t>
      </w:r>
      <w:r w:rsidR="001F72D4">
        <w:rPr>
          <w:rFonts w:ascii="Verdana" w:hAnsi="Verdana"/>
          <w:sz w:val="20"/>
        </w:rPr>
        <w:t>dirigiram-se</w:t>
      </w:r>
      <w:r w:rsidR="002C6A59">
        <w:rPr>
          <w:rFonts w:ascii="Verdana" w:hAnsi="Verdana"/>
          <w:sz w:val="20"/>
        </w:rPr>
        <w:t xml:space="preserve"> </w:t>
      </w:r>
      <w:r w:rsidR="00F45F6C">
        <w:rPr>
          <w:rFonts w:ascii="Verdana" w:hAnsi="Verdana"/>
          <w:sz w:val="20"/>
        </w:rPr>
        <w:t>a</w:t>
      </w:r>
      <w:r w:rsidR="001B5FDF">
        <w:rPr>
          <w:rFonts w:ascii="Verdana" w:hAnsi="Verdana"/>
          <w:sz w:val="20"/>
        </w:rPr>
        <w:t xml:space="preserve"> </w:t>
      </w:r>
      <w:r w:rsidRPr="00BD40F0">
        <w:rPr>
          <w:rFonts w:ascii="Verdana" w:hAnsi="Verdana"/>
          <w:sz w:val="20"/>
        </w:rPr>
        <w:t>Managua para dialogar com o Ministro do INRA, mas não obtiveram a titulação de sua terra.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Em 1992, a Comunidade assinou um contrato com a empresa MADENSA, sem contar com assessoria.</w:t>
      </w:r>
      <w:r w:rsidR="00850A3F">
        <w:rPr>
          <w:rFonts w:ascii="Verdana" w:hAnsi="Verdana"/>
          <w:sz w:val="20"/>
        </w:rPr>
        <w:t xml:space="preserve"> </w:t>
      </w:r>
      <w:r w:rsidRPr="00BD40F0">
        <w:rPr>
          <w:rFonts w:ascii="Verdana" w:hAnsi="Verdana"/>
          <w:sz w:val="20"/>
        </w:rPr>
        <w:t>Os líderes da Comunidade manifestaram aos representantes d</w:t>
      </w:r>
      <w:r w:rsidR="001B5FDF">
        <w:rPr>
          <w:rFonts w:ascii="Verdana" w:hAnsi="Verdana"/>
          <w:sz w:val="20"/>
        </w:rPr>
        <w:t>a</w:t>
      </w:r>
      <w:r w:rsidRPr="00BD40F0">
        <w:rPr>
          <w:rFonts w:ascii="Verdana" w:hAnsi="Verdana"/>
          <w:sz w:val="20"/>
        </w:rPr>
        <w:t xml:space="preserve"> MADENSA que tinham título sobre essas terras no sentido de que tinham direito a elas por sua posse histórica.</w:t>
      </w:r>
      <w:r w:rsidR="00850A3F">
        <w:rPr>
          <w:rFonts w:ascii="Verdana" w:hAnsi="Verdana"/>
          <w:sz w:val="20"/>
        </w:rPr>
        <w:t xml:space="preserve"> </w:t>
      </w:r>
      <w:r w:rsidRPr="00BD40F0">
        <w:rPr>
          <w:rFonts w:ascii="Verdana" w:hAnsi="Verdana"/>
          <w:sz w:val="20"/>
        </w:rPr>
        <w:t xml:space="preserve">Depois assinaram outro convênio com </w:t>
      </w:r>
      <w:r w:rsidR="001B5FDF">
        <w:rPr>
          <w:rFonts w:ascii="Verdana" w:hAnsi="Verdana"/>
          <w:sz w:val="20"/>
        </w:rPr>
        <w:t xml:space="preserve">a </w:t>
      </w:r>
      <w:r w:rsidRPr="00BD40F0">
        <w:rPr>
          <w:rFonts w:ascii="Verdana" w:hAnsi="Verdana"/>
          <w:sz w:val="20"/>
        </w:rPr>
        <w:t xml:space="preserve">MADENSA, contando com assessoria e com a participação do MARENA, o qual adquiriu o compromisso de ajudar </w:t>
      </w:r>
      <w:r w:rsidR="001B5FDF">
        <w:rPr>
          <w:rFonts w:ascii="Verdana" w:hAnsi="Verdana"/>
          <w:sz w:val="20"/>
        </w:rPr>
        <w:t>a</w:t>
      </w:r>
      <w:r w:rsidRPr="00BD40F0">
        <w:rPr>
          <w:rFonts w:ascii="Verdana" w:hAnsi="Verdana"/>
          <w:sz w:val="20"/>
        </w:rPr>
        <w:t xml:space="preserve"> Comunidade na demarcação de seu território, mas is</w:t>
      </w:r>
      <w:r w:rsidR="005C2F2F">
        <w:rPr>
          <w:rFonts w:ascii="Verdana" w:hAnsi="Verdana"/>
          <w:sz w:val="20"/>
        </w:rPr>
        <w:t>s</w:t>
      </w:r>
      <w:r w:rsidRPr="00BD40F0">
        <w:rPr>
          <w:rFonts w:ascii="Verdana" w:hAnsi="Verdana"/>
          <w:sz w:val="20"/>
        </w:rPr>
        <w:t>o não foi cumprido.</w:t>
      </w:r>
    </w:p>
    <w:p w:rsidR="000B3F97" w:rsidRPr="00BD40F0" w:rsidRDefault="000B3F97" w:rsidP="000B3F97">
      <w:pPr>
        <w:jc w:val="both"/>
        <w:rPr>
          <w:rFonts w:ascii="Verdana" w:hAnsi="Verdana"/>
          <w:sz w:val="20"/>
        </w:rPr>
      </w:pPr>
    </w:p>
    <w:p w:rsidR="000B3F97" w:rsidRDefault="000B3F97" w:rsidP="000B3F97">
      <w:pPr>
        <w:jc w:val="both"/>
        <w:rPr>
          <w:rFonts w:ascii="Verdana" w:hAnsi="Verdana"/>
          <w:sz w:val="20"/>
        </w:rPr>
      </w:pPr>
      <w:r w:rsidRPr="00BD40F0">
        <w:rPr>
          <w:rFonts w:ascii="Verdana" w:hAnsi="Verdana"/>
          <w:sz w:val="20"/>
        </w:rPr>
        <w:t xml:space="preserve">Depois, o Estado </w:t>
      </w:r>
      <w:r w:rsidR="00FD01CB">
        <w:rPr>
          <w:rFonts w:ascii="Verdana" w:hAnsi="Verdana"/>
          <w:sz w:val="20"/>
        </w:rPr>
        <w:t>outorgou</w:t>
      </w:r>
      <w:r w:rsidR="00FD01CB" w:rsidRPr="00BD40F0">
        <w:rPr>
          <w:rFonts w:ascii="Verdana" w:hAnsi="Verdana"/>
          <w:sz w:val="20"/>
        </w:rPr>
        <w:t xml:space="preserve"> </w:t>
      </w:r>
      <w:r w:rsidRPr="00BD40F0">
        <w:rPr>
          <w:rFonts w:ascii="Verdana" w:hAnsi="Verdana"/>
          <w:sz w:val="20"/>
        </w:rPr>
        <w:t xml:space="preserve">uma concessão à empresa SOLCARSA. Sua inconformidade com </w:t>
      </w:r>
      <w:r w:rsidR="000E5B41">
        <w:rPr>
          <w:rFonts w:ascii="Verdana" w:hAnsi="Verdana"/>
          <w:sz w:val="20"/>
        </w:rPr>
        <w:t>esta</w:t>
      </w:r>
      <w:r w:rsidRPr="00BD40F0">
        <w:rPr>
          <w:rFonts w:ascii="Verdana" w:hAnsi="Verdana"/>
          <w:sz w:val="20"/>
        </w:rPr>
        <w:t xml:space="preserve"> concessão está baseada em que o Estado não realizou uma consulta prévia à Comunidade para determinar a conveniência da concessão e, </w:t>
      </w:r>
      <w:r w:rsidR="005C2F2F">
        <w:rPr>
          <w:rFonts w:ascii="Verdana" w:hAnsi="Verdana"/>
          <w:sz w:val="20"/>
        </w:rPr>
        <w:t>além disso</w:t>
      </w:r>
      <w:r w:rsidRPr="00BD40F0">
        <w:rPr>
          <w:rFonts w:ascii="Verdana" w:hAnsi="Verdana"/>
          <w:sz w:val="20"/>
        </w:rPr>
        <w:t>, porque as obras d</w:t>
      </w:r>
      <w:r w:rsidR="001B5FDF">
        <w:rPr>
          <w:rFonts w:ascii="Verdana" w:hAnsi="Verdana"/>
          <w:sz w:val="20"/>
        </w:rPr>
        <w:t>a</w:t>
      </w:r>
      <w:r w:rsidRPr="00BD40F0">
        <w:rPr>
          <w:rFonts w:ascii="Verdana" w:hAnsi="Verdana"/>
          <w:sz w:val="20"/>
        </w:rPr>
        <w:t xml:space="preserve"> SOLCARSA seriam desenvolvidas em</w:t>
      </w:r>
      <w:r w:rsidR="00237416">
        <w:rPr>
          <w:rFonts w:ascii="Verdana" w:hAnsi="Verdana"/>
          <w:sz w:val="20"/>
        </w:rPr>
        <w:t xml:space="preserve"> 62.000 hectares do </w:t>
      </w:r>
      <w:r w:rsidR="00237416">
        <w:rPr>
          <w:rFonts w:ascii="Verdana" w:hAnsi="Verdana"/>
          <w:sz w:val="20"/>
        </w:rPr>
        <w:lastRenderedPageBreak/>
        <w:t>território de</w:t>
      </w:r>
      <w:r w:rsidRPr="00BD40F0">
        <w:rPr>
          <w:rFonts w:ascii="Verdana" w:hAnsi="Verdana"/>
          <w:sz w:val="20"/>
        </w:rPr>
        <w:t xml:space="preserve"> Awas Tingni. Portanto, a Comunidade reagiu e realizou uma Assembleia Geral</w:t>
      </w:r>
      <w:r w:rsidR="00BD2EAC">
        <w:rPr>
          <w:rFonts w:ascii="Verdana" w:hAnsi="Verdana"/>
          <w:sz w:val="20"/>
        </w:rPr>
        <w:t>,</w:t>
      </w:r>
      <w:r w:rsidRPr="00BD40F0">
        <w:rPr>
          <w:rFonts w:ascii="Verdana" w:hAnsi="Verdana"/>
          <w:sz w:val="20"/>
        </w:rPr>
        <w:t xml:space="preserve"> na qual decidiu elaborar uma carta para demandar o Estado.</w:t>
      </w:r>
    </w:p>
    <w:p w:rsidR="001B5FDF" w:rsidRPr="00BD40F0" w:rsidRDefault="001B5FDF"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Os líderes da Comunidade, para alcançar o respeito de seu território</w:t>
      </w:r>
      <w:r w:rsidR="001B5FDF">
        <w:rPr>
          <w:rFonts w:ascii="Verdana" w:hAnsi="Verdana"/>
          <w:sz w:val="20"/>
        </w:rPr>
        <w:t>,</w:t>
      </w:r>
      <w:r w:rsidRPr="00BD40F0">
        <w:rPr>
          <w:rFonts w:ascii="Verdana" w:hAnsi="Verdana"/>
          <w:sz w:val="20"/>
        </w:rPr>
        <w:t xml:space="preserve"> elaboraram um mapa.</w:t>
      </w:r>
      <w:r w:rsidR="00850A3F">
        <w:rPr>
          <w:rFonts w:ascii="Verdana" w:hAnsi="Verdana"/>
          <w:sz w:val="20"/>
        </w:rPr>
        <w:t xml:space="preserve"> </w:t>
      </w:r>
      <w:r w:rsidRPr="00BD40F0">
        <w:rPr>
          <w:rFonts w:ascii="Verdana" w:hAnsi="Verdana"/>
          <w:sz w:val="20"/>
        </w:rPr>
        <w:t xml:space="preserve">A Comunidade tem 13 </w:t>
      </w:r>
      <w:r w:rsidR="00FD01CB">
        <w:rPr>
          <w:rFonts w:ascii="Verdana" w:hAnsi="Verdana"/>
          <w:sz w:val="20"/>
        </w:rPr>
        <w:t>quilômetros</w:t>
      </w:r>
      <w:r w:rsidRPr="00BD40F0">
        <w:rPr>
          <w:rFonts w:ascii="Verdana" w:hAnsi="Verdana"/>
          <w:sz w:val="20"/>
        </w:rPr>
        <w:t xml:space="preserve"> dentro da montanha, está localizada </w:t>
      </w:r>
      <w:r w:rsidR="001B5FDF">
        <w:rPr>
          <w:rFonts w:ascii="Verdana" w:hAnsi="Verdana"/>
          <w:sz w:val="20"/>
        </w:rPr>
        <w:t>a partir de</w:t>
      </w:r>
      <w:r w:rsidRPr="00BD40F0">
        <w:rPr>
          <w:rFonts w:ascii="Verdana" w:hAnsi="Verdana"/>
          <w:sz w:val="20"/>
        </w:rPr>
        <w:t xml:space="preserve"> Puerto Cabezas, 21 </w:t>
      </w:r>
      <w:r w:rsidR="00FD01CB">
        <w:rPr>
          <w:rFonts w:ascii="Verdana" w:hAnsi="Verdana"/>
          <w:sz w:val="20"/>
        </w:rPr>
        <w:t>quilômetros</w:t>
      </w:r>
      <w:r w:rsidRPr="00BD40F0">
        <w:rPr>
          <w:rFonts w:ascii="Verdana" w:hAnsi="Verdana"/>
          <w:sz w:val="20"/>
        </w:rPr>
        <w:t xml:space="preserve"> </w:t>
      </w:r>
      <w:r w:rsidR="001B5FDF">
        <w:rPr>
          <w:rFonts w:ascii="Verdana" w:hAnsi="Verdana"/>
          <w:sz w:val="20"/>
        </w:rPr>
        <w:t>a</w:t>
      </w:r>
      <w:r w:rsidRPr="00BD40F0">
        <w:rPr>
          <w:rFonts w:ascii="Verdana" w:hAnsi="Verdana"/>
          <w:sz w:val="20"/>
        </w:rPr>
        <w:t>o lado do município de Waspám, e</w:t>
      </w:r>
      <w:r w:rsidR="00C96AA9">
        <w:rPr>
          <w:rFonts w:ascii="Verdana" w:hAnsi="Verdana"/>
          <w:sz w:val="20"/>
        </w:rPr>
        <w:t>,</w:t>
      </w:r>
      <w:r w:rsidRPr="00BD40F0">
        <w:rPr>
          <w:rFonts w:ascii="Verdana" w:hAnsi="Verdana"/>
          <w:sz w:val="20"/>
        </w:rPr>
        <w:t xml:space="preserve"> segundo o mapa</w:t>
      </w:r>
      <w:r w:rsidR="001B5FDF">
        <w:rPr>
          <w:rFonts w:ascii="Verdana" w:hAnsi="Verdana"/>
          <w:sz w:val="20"/>
        </w:rPr>
        <w:t>,</w:t>
      </w:r>
      <w:r w:rsidRPr="00BD40F0">
        <w:rPr>
          <w:rFonts w:ascii="Verdana" w:hAnsi="Verdana"/>
          <w:sz w:val="20"/>
        </w:rPr>
        <w:t xml:space="preserve"> suas fronteiras estão dentro dos seguintes limites: </w:t>
      </w:r>
      <w:r w:rsidR="00DA4CB4">
        <w:rPr>
          <w:rFonts w:ascii="Verdana" w:hAnsi="Verdana"/>
          <w:sz w:val="20"/>
        </w:rPr>
        <w:t>a partir de</w:t>
      </w:r>
      <w:r w:rsidRPr="00BD40F0">
        <w:rPr>
          <w:rFonts w:ascii="Verdana" w:hAnsi="Verdana"/>
          <w:sz w:val="20"/>
        </w:rPr>
        <w:t xml:space="preserve"> Caño Coco Lano</w:t>
      </w:r>
      <w:r w:rsidR="00C96AA9">
        <w:rPr>
          <w:rFonts w:ascii="Verdana" w:hAnsi="Verdana"/>
          <w:sz w:val="20"/>
        </w:rPr>
        <w:t>,</w:t>
      </w:r>
      <w:r w:rsidRPr="00BD40F0">
        <w:rPr>
          <w:rFonts w:ascii="Verdana" w:hAnsi="Verdana"/>
          <w:sz w:val="20"/>
        </w:rPr>
        <w:t xml:space="preserve"> passa por Kisak Lainí, por Suku Was, Kalwa, Kitan Mukni, Kuru Was, Kiamak, Caño Turuh Wasni, Caño Rawa Was, Tunjlan Tuna até Kuah Sahna.</w:t>
      </w:r>
      <w:r w:rsidR="00850A3F">
        <w:rPr>
          <w:rFonts w:ascii="Verdana" w:hAnsi="Verdana"/>
          <w:sz w:val="20"/>
        </w:rPr>
        <w:t xml:space="preserve"> </w:t>
      </w:r>
      <w:r w:rsidRPr="00BD40F0">
        <w:rPr>
          <w:rFonts w:ascii="Verdana" w:hAnsi="Verdana"/>
          <w:sz w:val="20"/>
        </w:rPr>
        <w:t>Este mapa mostra a área que estão reclamando.</w:t>
      </w:r>
      <w:r w:rsidR="00850A3F">
        <w:rPr>
          <w:rFonts w:ascii="Verdana" w:hAnsi="Verdana"/>
          <w:sz w:val="20"/>
        </w:rPr>
        <w:t xml:space="preserve"> </w:t>
      </w:r>
      <w:r w:rsidRPr="00BD40F0">
        <w:rPr>
          <w:rFonts w:ascii="Verdana" w:hAnsi="Verdana"/>
          <w:sz w:val="20"/>
        </w:rPr>
        <w:t>Os líderes d</w:t>
      </w:r>
      <w:r w:rsidR="00DA4CB4">
        <w:rPr>
          <w:rFonts w:ascii="Verdana" w:hAnsi="Verdana"/>
          <w:sz w:val="20"/>
        </w:rPr>
        <w:t>a</w:t>
      </w:r>
      <w:r w:rsidRPr="00BD40F0">
        <w:rPr>
          <w:rFonts w:ascii="Verdana" w:hAnsi="Verdana"/>
          <w:sz w:val="20"/>
        </w:rPr>
        <w:t xml:space="preserve"> Comunidade </w:t>
      </w:r>
      <w:r w:rsidR="00DA4CB4">
        <w:rPr>
          <w:rFonts w:ascii="Verdana" w:hAnsi="Verdana"/>
          <w:sz w:val="20"/>
        </w:rPr>
        <w:t xml:space="preserve">fizeram </w:t>
      </w:r>
      <w:r w:rsidRPr="00BD40F0">
        <w:rPr>
          <w:rFonts w:ascii="Verdana" w:hAnsi="Verdana"/>
          <w:sz w:val="20"/>
        </w:rPr>
        <w:t xml:space="preserve">referência a seu território e não </w:t>
      </w:r>
      <w:r w:rsidR="00DA4CB4">
        <w:rPr>
          <w:rFonts w:ascii="Verdana" w:hAnsi="Verdana"/>
          <w:sz w:val="20"/>
        </w:rPr>
        <w:t xml:space="preserve">falaram </w:t>
      </w:r>
      <w:r w:rsidRPr="00BD40F0">
        <w:rPr>
          <w:rFonts w:ascii="Verdana" w:hAnsi="Verdana"/>
          <w:sz w:val="20"/>
        </w:rPr>
        <w:t>de hectares.</w:t>
      </w:r>
      <w:r w:rsidR="00850A3F">
        <w:rPr>
          <w:rFonts w:ascii="Verdana" w:hAnsi="Verdana"/>
          <w:sz w:val="20"/>
        </w:rPr>
        <w:t xml:space="preserve"> </w:t>
      </w:r>
      <w:r w:rsidRPr="00BD40F0">
        <w:rPr>
          <w:rFonts w:ascii="Verdana" w:hAnsi="Verdana"/>
          <w:sz w:val="20"/>
        </w:rPr>
        <w:t xml:space="preserve">Desconhece que os </w:t>
      </w:r>
      <w:r w:rsidR="00DB0AB2">
        <w:rPr>
          <w:rFonts w:ascii="Verdana" w:hAnsi="Verdana"/>
          <w:sz w:val="20"/>
        </w:rPr>
        <w:t>D</w:t>
      </w:r>
      <w:r w:rsidRPr="00BD40F0">
        <w:rPr>
          <w:rFonts w:ascii="Verdana" w:hAnsi="Verdana"/>
          <w:sz w:val="20"/>
        </w:rPr>
        <w:t xml:space="preserve">outores Anaya e </w:t>
      </w:r>
      <w:proofErr w:type="gramStart"/>
      <w:r w:rsidRPr="00BD40F0">
        <w:rPr>
          <w:rFonts w:ascii="Verdana" w:hAnsi="Verdana"/>
          <w:sz w:val="20"/>
        </w:rPr>
        <w:t>Acosta</w:t>
      </w:r>
      <w:r w:rsidR="00DA4CB4">
        <w:rPr>
          <w:rFonts w:ascii="Verdana" w:hAnsi="Verdana"/>
          <w:sz w:val="20"/>
        </w:rPr>
        <w:t>,</w:t>
      </w:r>
      <w:proofErr w:type="gramEnd"/>
      <w:r w:rsidRPr="00BD40F0">
        <w:rPr>
          <w:rFonts w:ascii="Verdana" w:hAnsi="Verdana"/>
          <w:sz w:val="20"/>
        </w:rPr>
        <w:t xml:space="preserve"> no ano de 1993</w:t>
      </w:r>
      <w:r w:rsidR="00DA4CB4">
        <w:rPr>
          <w:rFonts w:ascii="Verdana" w:hAnsi="Verdana"/>
          <w:sz w:val="20"/>
        </w:rPr>
        <w:t>,</w:t>
      </w:r>
      <w:r w:rsidRPr="00BD40F0">
        <w:rPr>
          <w:rFonts w:ascii="Verdana" w:hAnsi="Verdana"/>
          <w:sz w:val="20"/>
        </w:rPr>
        <w:t xml:space="preserve"> tenham solicitado um título de propriedade </w:t>
      </w:r>
      <w:r w:rsidR="00DA4CB4">
        <w:rPr>
          <w:rFonts w:ascii="Verdana" w:hAnsi="Verdana"/>
          <w:sz w:val="20"/>
        </w:rPr>
        <w:t>de</w:t>
      </w:r>
      <w:r w:rsidRPr="00BD40F0">
        <w:rPr>
          <w:rFonts w:ascii="Verdana" w:hAnsi="Verdana"/>
          <w:sz w:val="20"/>
        </w:rPr>
        <w:t xml:space="preserve"> 16.000 hectares para a Comunidade.</w:t>
      </w:r>
      <w:r w:rsidR="00850A3F">
        <w:rPr>
          <w:rFonts w:ascii="Verdana" w:hAnsi="Verdana"/>
          <w:sz w:val="20"/>
        </w:rPr>
        <w:t xml:space="preserve"> </w:t>
      </w:r>
      <w:r w:rsidRPr="00BD40F0">
        <w:rPr>
          <w:rFonts w:ascii="Verdana" w:hAnsi="Verdana"/>
          <w:sz w:val="20"/>
        </w:rPr>
        <w:t>Por sua vez, o Estado afirmou que a extensão do território reclamado pelos Mayagna é excessiva, tendo em conta o número de membros da Comunidade estabelecido pelo censo oficial, e que a área reclamada por esta Comunidade não guarda proporção com a área efetivamente ocupada por ela.</w:t>
      </w:r>
      <w:r w:rsidR="00850A3F">
        <w:rPr>
          <w:rFonts w:ascii="Verdana" w:hAnsi="Verdana"/>
          <w:sz w:val="20"/>
        </w:rPr>
        <w:t xml:space="preserve"> </w:t>
      </w:r>
      <w:r w:rsidRPr="00BD40F0">
        <w:rPr>
          <w:rFonts w:ascii="Verdana" w:hAnsi="Verdana"/>
          <w:sz w:val="20"/>
        </w:rPr>
        <w:t xml:space="preserve">Os Mayagna </w:t>
      </w:r>
      <w:r w:rsidR="00DA4CB4">
        <w:rPr>
          <w:rFonts w:ascii="Verdana" w:hAnsi="Verdana"/>
          <w:sz w:val="20"/>
        </w:rPr>
        <w:t>tiveram</w:t>
      </w:r>
      <w:r w:rsidRPr="00BD40F0">
        <w:rPr>
          <w:rFonts w:ascii="Verdana" w:hAnsi="Verdana"/>
          <w:sz w:val="20"/>
        </w:rPr>
        <w:t xml:space="preserve"> alguns conflitos por </w:t>
      </w:r>
      <w:r w:rsidR="00DA4CB4">
        <w:rPr>
          <w:rFonts w:ascii="Verdana" w:hAnsi="Verdana"/>
          <w:sz w:val="20"/>
        </w:rPr>
        <w:t>reivindicações</w:t>
      </w:r>
      <w:r w:rsidRPr="00BD40F0">
        <w:rPr>
          <w:rFonts w:ascii="Verdana" w:hAnsi="Verdana"/>
          <w:sz w:val="20"/>
        </w:rPr>
        <w:t xml:space="preserve"> de terras com as comunidades Francia Sirpi, Santa Clara e Esperanza, os quais foram resolvidos </w:t>
      </w:r>
      <w:r w:rsidRPr="00A04137">
        <w:rPr>
          <w:rFonts w:ascii="Verdana" w:hAnsi="Verdana"/>
          <w:sz w:val="20"/>
        </w:rPr>
        <w:t>pacificamente.</w:t>
      </w:r>
      <w:r w:rsidR="00850A3F">
        <w:rPr>
          <w:rFonts w:ascii="Verdana" w:hAnsi="Verdana"/>
          <w:sz w:val="20"/>
        </w:rPr>
        <w:t xml:space="preserve"> </w:t>
      </w:r>
      <w:r w:rsidRPr="00A04137">
        <w:rPr>
          <w:rFonts w:ascii="Verdana" w:hAnsi="Verdana"/>
          <w:sz w:val="20"/>
        </w:rPr>
        <w:t xml:space="preserve">Segundo o Estado, parte de seu território é reclamado pelos grupos das Dezoito Comunidades e das Dez Comunidades, </w:t>
      </w:r>
      <w:r w:rsidR="00DA4CB4" w:rsidRPr="00A04137">
        <w:rPr>
          <w:rFonts w:ascii="Verdana" w:hAnsi="Verdana"/>
          <w:sz w:val="20"/>
        </w:rPr>
        <w:t>o</w:t>
      </w:r>
      <w:r w:rsidRPr="00A04137">
        <w:rPr>
          <w:rFonts w:ascii="Verdana" w:hAnsi="Verdana"/>
          <w:sz w:val="20"/>
        </w:rPr>
        <w:t xml:space="preserve">s quais afirmam serem possuidores desde antes que </w:t>
      </w:r>
      <w:r w:rsidR="00DA4CB4" w:rsidRPr="00A04137">
        <w:rPr>
          <w:rFonts w:ascii="Verdana" w:hAnsi="Verdana"/>
          <w:sz w:val="20"/>
        </w:rPr>
        <w:t>chegassem</w:t>
      </w:r>
      <w:r w:rsidRPr="00A04137">
        <w:rPr>
          <w:rFonts w:ascii="Verdana" w:hAnsi="Verdana"/>
          <w:sz w:val="20"/>
        </w:rPr>
        <w:t xml:space="preserve"> os Mayagna, e que como gesto de boa vontade lhes </w:t>
      </w:r>
      <w:proofErr w:type="gramStart"/>
      <w:r w:rsidRPr="00A04137">
        <w:rPr>
          <w:rFonts w:ascii="Verdana" w:hAnsi="Verdana"/>
          <w:sz w:val="20"/>
        </w:rPr>
        <w:t>permitiram</w:t>
      </w:r>
      <w:proofErr w:type="gramEnd"/>
      <w:r w:rsidRPr="00A04137">
        <w:rPr>
          <w:rFonts w:ascii="Verdana" w:hAnsi="Verdana"/>
          <w:sz w:val="20"/>
        </w:rPr>
        <w:t xml:space="preserve"> assentar-se em seu território</w:t>
      </w:r>
      <w:r w:rsidRPr="00BD40F0">
        <w:rPr>
          <w:rFonts w:ascii="Verdana" w:hAnsi="Verdana"/>
          <w:sz w:val="20"/>
        </w:rPr>
        <w:t>.</w:t>
      </w:r>
      <w:r w:rsidR="00850A3F">
        <w:rPr>
          <w:rFonts w:ascii="Verdana" w:hAnsi="Verdana"/>
          <w:sz w:val="20"/>
        </w:rPr>
        <w:t xml:space="preserve"> </w:t>
      </w:r>
      <w:r w:rsidRPr="00BD40F0">
        <w:rPr>
          <w:rFonts w:ascii="Verdana" w:hAnsi="Verdana"/>
          <w:sz w:val="20"/>
        </w:rPr>
        <w:t xml:space="preserve">Diante de tal afirmação, indica a testemunha que os territórios destas comunidades ficam muito distantes dos de Awas Tingni e que, portanto, não entendem porque se fala de conflito de terras, se não </w:t>
      </w:r>
      <w:r w:rsidR="005C2F2F">
        <w:rPr>
          <w:rFonts w:ascii="Verdana" w:hAnsi="Verdana"/>
          <w:sz w:val="20"/>
        </w:rPr>
        <w:t>existe</w:t>
      </w:r>
      <w:r w:rsidRPr="00BD40F0">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Esclarece que para chegar </w:t>
      </w:r>
      <w:r w:rsidR="00630EC8">
        <w:rPr>
          <w:rFonts w:ascii="Verdana" w:hAnsi="Verdana"/>
          <w:sz w:val="20"/>
        </w:rPr>
        <w:t>do</w:t>
      </w:r>
      <w:r w:rsidRPr="00BD40F0">
        <w:rPr>
          <w:rFonts w:ascii="Verdana" w:hAnsi="Verdana"/>
          <w:sz w:val="20"/>
        </w:rPr>
        <w:t xml:space="preserve"> povoado de Awas Tingni, onde está a maioria da Comunidade, até Tuburús, também habitada por membros da Comunidade Mayagna, devem deslocar-se </w:t>
      </w:r>
      <w:r w:rsidR="00B56241">
        <w:rPr>
          <w:rFonts w:ascii="Verdana" w:hAnsi="Verdana"/>
          <w:sz w:val="20"/>
        </w:rPr>
        <w:t>por meio de</w:t>
      </w:r>
      <w:r w:rsidRPr="00BD40F0">
        <w:rPr>
          <w:rFonts w:ascii="Verdana" w:hAnsi="Verdana"/>
          <w:sz w:val="20"/>
        </w:rPr>
        <w:t xml:space="preserve"> “</w:t>
      </w:r>
      <w:r w:rsidRPr="00A04137">
        <w:rPr>
          <w:rFonts w:ascii="Verdana" w:hAnsi="Verdana"/>
          <w:i/>
          <w:sz w:val="20"/>
        </w:rPr>
        <w:t>pipantes</w:t>
      </w:r>
      <w:r w:rsidRPr="00BD40F0">
        <w:rPr>
          <w:rFonts w:ascii="Verdana" w:hAnsi="Verdana"/>
          <w:sz w:val="20"/>
        </w:rPr>
        <w:t>”, um</w:t>
      </w:r>
      <w:r w:rsidR="00B56241">
        <w:rPr>
          <w:rFonts w:ascii="Verdana" w:hAnsi="Verdana"/>
          <w:sz w:val="20"/>
        </w:rPr>
        <w:t xml:space="preserve"> tipo </w:t>
      </w:r>
      <w:r w:rsidR="001D348E">
        <w:rPr>
          <w:rFonts w:ascii="Verdana" w:hAnsi="Verdana"/>
          <w:sz w:val="20"/>
        </w:rPr>
        <w:t>de canoas impulsionadas a r</w:t>
      </w:r>
      <w:r w:rsidR="00F45F6C">
        <w:rPr>
          <w:rFonts w:ascii="Verdana" w:hAnsi="Verdana"/>
          <w:sz w:val="20"/>
        </w:rPr>
        <w:t>emo, e demoram</w:t>
      </w:r>
      <w:r w:rsidR="00F04B0B">
        <w:rPr>
          <w:rFonts w:ascii="Verdana" w:hAnsi="Verdana"/>
          <w:sz w:val="20"/>
        </w:rPr>
        <w:t>,</w:t>
      </w:r>
      <w:r w:rsidR="00B56241">
        <w:rPr>
          <w:rFonts w:ascii="Verdana" w:hAnsi="Verdana"/>
          <w:sz w:val="20"/>
        </w:rPr>
        <w:t xml:space="preserve"> </w:t>
      </w:r>
      <w:r w:rsidRPr="00BD40F0">
        <w:rPr>
          <w:rFonts w:ascii="Verdana" w:hAnsi="Verdana"/>
          <w:sz w:val="20"/>
        </w:rPr>
        <w:t xml:space="preserve">em tempo </w:t>
      </w:r>
      <w:r w:rsidR="001D348E">
        <w:rPr>
          <w:rFonts w:ascii="Verdana" w:hAnsi="Verdana"/>
          <w:sz w:val="20"/>
        </w:rPr>
        <w:t>de seca</w:t>
      </w:r>
      <w:r w:rsidR="00F04B0B">
        <w:rPr>
          <w:rFonts w:ascii="Verdana" w:hAnsi="Verdana"/>
          <w:sz w:val="20"/>
        </w:rPr>
        <w:t>,</w:t>
      </w:r>
      <w:r w:rsidRPr="00BD40F0">
        <w:rPr>
          <w:rFonts w:ascii="Verdana" w:hAnsi="Verdana"/>
          <w:sz w:val="20"/>
        </w:rPr>
        <w:t xml:space="preserve"> um dia e meio, e no inverno, dois dias e meio.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CA392C">
        <w:rPr>
          <w:rFonts w:ascii="Verdana" w:hAnsi="Verdana"/>
          <w:sz w:val="20"/>
        </w:rPr>
        <w:t xml:space="preserve">O território dos Mayagna é vital para seu desenvolvimento cultural, religioso e familiar, e para sua própria subsistência, pois realizam trabalhos de caça </w:t>
      </w:r>
      <w:r w:rsidR="00C60678" w:rsidRPr="00C60678">
        <w:rPr>
          <w:rFonts w:ascii="Verdana" w:hAnsi="Verdana"/>
          <w:sz w:val="20"/>
        </w:rPr>
        <w:t>(</w:t>
      </w:r>
      <w:r w:rsidRPr="00CA392C">
        <w:rPr>
          <w:rFonts w:ascii="Verdana" w:hAnsi="Verdana"/>
          <w:sz w:val="20"/>
        </w:rPr>
        <w:t>caçam “</w:t>
      </w:r>
      <w:r w:rsidR="00630EC8" w:rsidRPr="00CA392C">
        <w:rPr>
          <w:rFonts w:ascii="Verdana" w:hAnsi="Verdana"/>
          <w:sz w:val="20"/>
        </w:rPr>
        <w:t>catetos</w:t>
      </w:r>
      <w:r w:rsidRPr="00CA392C">
        <w:rPr>
          <w:rFonts w:ascii="Verdana" w:hAnsi="Verdana"/>
          <w:sz w:val="20"/>
        </w:rPr>
        <w:t>”</w:t>
      </w:r>
      <w:r w:rsidR="00C60678" w:rsidRPr="00C60678">
        <w:rPr>
          <w:rFonts w:ascii="Verdana" w:hAnsi="Verdana"/>
          <w:sz w:val="20"/>
        </w:rPr>
        <w:t>)</w:t>
      </w:r>
      <w:r w:rsidRPr="00CA392C">
        <w:rPr>
          <w:rFonts w:ascii="Verdana" w:hAnsi="Verdana"/>
          <w:sz w:val="20"/>
        </w:rPr>
        <w:t xml:space="preserve"> e pesca </w:t>
      </w:r>
      <w:r w:rsidR="00C60678" w:rsidRPr="00C60678">
        <w:rPr>
          <w:rFonts w:ascii="Verdana" w:hAnsi="Verdana"/>
          <w:sz w:val="20"/>
        </w:rPr>
        <w:t>(</w:t>
      </w:r>
      <w:r w:rsidRPr="00CA392C">
        <w:rPr>
          <w:rFonts w:ascii="Verdana" w:hAnsi="Verdana"/>
          <w:sz w:val="20"/>
        </w:rPr>
        <w:t>deslocando-se ao longo do Rio Wawa</w:t>
      </w:r>
      <w:r w:rsidR="00C60678" w:rsidRPr="00C60678">
        <w:rPr>
          <w:rFonts w:ascii="Verdana" w:hAnsi="Verdana"/>
          <w:sz w:val="20"/>
        </w:rPr>
        <w:t>)</w:t>
      </w:r>
      <w:r w:rsidRPr="00CA392C">
        <w:rPr>
          <w:rFonts w:ascii="Verdana" w:hAnsi="Verdana"/>
          <w:sz w:val="20"/>
        </w:rPr>
        <w:t xml:space="preserve"> e, ademais, cultivam a terra.</w:t>
      </w:r>
      <w:r w:rsidR="00850A3F">
        <w:rPr>
          <w:rFonts w:ascii="Verdana" w:hAnsi="Verdana"/>
          <w:sz w:val="20"/>
        </w:rPr>
        <w:t xml:space="preserve"> </w:t>
      </w:r>
      <w:r w:rsidRPr="00CA392C">
        <w:rPr>
          <w:rFonts w:ascii="Verdana" w:hAnsi="Verdana"/>
          <w:sz w:val="20"/>
        </w:rPr>
        <w:t>É um direito de todo membro da Comunidade trabalhar a terra, caçar, pescar e coletar plantas medicinais; entretanto, está proibida a venda e a privatização destes recursos.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 território é sagrado</w:t>
      </w:r>
      <w:r w:rsidR="00B56241" w:rsidRPr="00B56241">
        <w:rPr>
          <w:rFonts w:ascii="Verdana" w:hAnsi="Verdana"/>
          <w:sz w:val="20"/>
        </w:rPr>
        <w:t xml:space="preserve"> </w:t>
      </w:r>
      <w:r w:rsidR="00B56241" w:rsidRPr="00BD40F0">
        <w:rPr>
          <w:rFonts w:ascii="Verdana" w:hAnsi="Verdana"/>
          <w:sz w:val="20"/>
        </w:rPr>
        <w:t>para eles</w:t>
      </w:r>
      <w:r w:rsidRPr="00BD40F0">
        <w:rPr>
          <w:rFonts w:ascii="Verdana" w:hAnsi="Verdana"/>
          <w:sz w:val="20"/>
        </w:rPr>
        <w:t>, e ao longo deste estão vári</w:t>
      </w:r>
      <w:r w:rsidR="00512F9F">
        <w:rPr>
          <w:rFonts w:ascii="Verdana" w:hAnsi="Verdana"/>
          <w:sz w:val="20"/>
        </w:rPr>
        <w:t>as</w:t>
      </w:r>
      <w:r w:rsidRPr="00BD40F0">
        <w:rPr>
          <w:rFonts w:ascii="Verdana" w:hAnsi="Verdana"/>
          <w:sz w:val="20"/>
        </w:rPr>
        <w:t xml:space="preserve"> </w:t>
      </w:r>
      <w:r w:rsidR="00512F9F">
        <w:rPr>
          <w:rFonts w:ascii="Verdana" w:hAnsi="Verdana"/>
          <w:sz w:val="20"/>
        </w:rPr>
        <w:t>colinas</w:t>
      </w:r>
      <w:r w:rsidRPr="00BD40F0">
        <w:rPr>
          <w:rFonts w:ascii="Verdana" w:hAnsi="Verdana"/>
          <w:sz w:val="20"/>
        </w:rPr>
        <w:t xml:space="preserve"> de grande importância religiosa, como o </w:t>
      </w:r>
      <w:r w:rsidRPr="00CA392C">
        <w:rPr>
          <w:rFonts w:ascii="Verdana" w:hAnsi="Verdana"/>
          <w:i/>
          <w:sz w:val="20"/>
        </w:rPr>
        <w:t>Cerro Mono</w:t>
      </w:r>
      <w:r w:rsidRPr="00BD40F0">
        <w:rPr>
          <w:rFonts w:ascii="Verdana" w:hAnsi="Verdana"/>
          <w:sz w:val="20"/>
        </w:rPr>
        <w:t xml:space="preserve">, o </w:t>
      </w:r>
      <w:r w:rsidRPr="00CA392C">
        <w:rPr>
          <w:rFonts w:ascii="Verdana" w:hAnsi="Verdana"/>
          <w:i/>
          <w:sz w:val="20"/>
        </w:rPr>
        <w:t>Cerro Urus Asang</w:t>
      </w:r>
      <w:r w:rsidRPr="00BD40F0">
        <w:rPr>
          <w:rFonts w:ascii="Verdana" w:hAnsi="Verdana"/>
          <w:sz w:val="20"/>
        </w:rPr>
        <w:t xml:space="preserve">, o </w:t>
      </w:r>
      <w:r w:rsidRPr="00CA392C">
        <w:rPr>
          <w:rFonts w:ascii="Verdana" w:hAnsi="Verdana"/>
          <w:i/>
          <w:sz w:val="20"/>
        </w:rPr>
        <w:t>Kiamak</w:t>
      </w:r>
      <w:r w:rsidRPr="00BD40F0">
        <w:rPr>
          <w:rFonts w:ascii="Verdana" w:hAnsi="Verdana"/>
          <w:sz w:val="20"/>
        </w:rPr>
        <w:t xml:space="preserve"> e o </w:t>
      </w:r>
      <w:r w:rsidRPr="001D348E">
        <w:rPr>
          <w:rFonts w:ascii="Verdana" w:hAnsi="Verdana"/>
          <w:sz w:val="20"/>
        </w:rPr>
        <w:t>Cerro Quitirís.</w:t>
      </w:r>
      <w:r w:rsidRPr="00BD40F0">
        <w:rPr>
          <w:rFonts w:ascii="Verdana" w:hAnsi="Verdana"/>
          <w:sz w:val="20"/>
        </w:rPr>
        <w:t xml:space="preserve"> </w:t>
      </w:r>
      <w:r w:rsidR="00B56241">
        <w:rPr>
          <w:rFonts w:ascii="Verdana" w:hAnsi="Verdana"/>
          <w:sz w:val="20"/>
        </w:rPr>
        <w:t>Também e</w:t>
      </w:r>
      <w:r w:rsidRPr="00BD40F0">
        <w:rPr>
          <w:rFonts w:ascii="Verdana" w:hAnsi="Verdana"/>
          <w:sz w:val="20"/>
        </w:rPr>
        <w:t>xistem outros lugares sagrados, nos quais a Comunidade tem árvores frut</w:t>
      </w:r>
      <w:r w:rsidR="00630EC8">
        <w:rPr>
          <w:rFonts w:ascii="Verdana" w:hAnsi="Verdana"/>
          <w:sz w:val="20"/>
        </w:rPr>
        <w:t>íferas</w:t>
      </w:r>
      <w:r w:rsidRPr="00BD40F0">
        <w:rPr>
          <w:rFonts w:ascii="Verdana" w:hAnsi="Verdana"/>
          <w:sz w:val="20"/>
        </w:rPr>
        <w:t xml:space="preserve"> de pupunha, limão e abacate.</w:t>
      </w:r>
      <w:r w:rsidR="00850A3F">
        <w:rPr>
          <w:rFonts w:ascii="Verdana" w:hAnsi="Verdana"/>
          <w:sz w:val="20"/>
        </w:rPr>
        <w:t xml:space="preserve"> </w:t>
      </w:r>
      <w:r w:rsidRPr="00BD40F0">
        <w:rPr>
          <w:rFonts w:ascii="Verdana" w:hAnsi="Verdana"/>
          <w:sz w:val="20"/>
        </w:rPr>
        <w:t>Quando os habitantes de Awas Tingni passam por estes lugares, que datam de 300 séculos, segundo o que seu avô lhe</w:t>
      </w:r>
      <w:r w:rsidR="00E66CA9">
        <w:rPr>
          <w:rFonts w:ascii="Verdana" w:hAnsi="Verdana"/>
          <w:sz w:val="20"/>
        </w:rPr>
        <w:t>s</w:t>
      </w:r>
      <w:r w:rsidRPr="00BD40F0">
        <w:rPr>
          <w:rFonts w:ascii="Verdana" w:hAnsi="Verdana"/>
          <w:sz w:val="20"/>
        </w:rPr>
        <w:t xml:space="preserve"> dizia, o fazem em silêncio</w:t>
      </w:r>
      <w:r w:rsidR="00E66CA9">
        <w:rPr>
          <w:rFonts w:ascii="Verdana" w:hAnsi="Verdana"/>
          <w:sz w:val="20"/>
        </w:rPr>
        <w:t>,</w:t>
      </w:r>
      <w:r w:rsidRPr="00BD40F0">
        <w:rPr>
          <w:rFonts w:ascii="Verdana" w:hAnsi="Verdana"/>
          <w:sz w:val="20"/>
        </w:rPr>
        <w:t xml:space="preserve"> como sinal de respeito a seus mortos</w:t>
      </w:r>
      <w:r w:rsidR="00E66CA9">
        <w:rPr>
          <w:rFonts w:ascii="Verdana" w:hAnsi="Verdana"/>
          <w:sz w:val="20"/>
        </w:rPr>
        <w:t>,</w:t>
      </w:r>
      <w:r w:rsidRPr="00BD40F0">
        <w:rPr>
          <w:rFonts w:ascii="Verdana" w:hAnsi="Verdana"/>
          <w:sz w:val="20"/>
        </w:rPr>
        <w:t xml:space="preserve"> e cumprimentam Asangpas Muigeni, o espírito </w:t>
      </w:r>
      <w:r w:rsidRPr="00630EC8">
        <w:rPr>
          <w:rFonts w:ascii="Verdana" w:hAnsi="Verdana"/>
          <w:sz w:val="20"/>
        </w:rPr>
        <w:t xml:space="preserve">do </w:t>
      </w:r>
      <w:r w:rsidR="00630EC8">
        <w:rPr>
          <w:rFonts w:ascii="Verdana" w:hAnsi="Verdana"/>
          <w:sz w:val="20"/>
        </w:rPr>
        <w:t>monte</w:t>
      </w:r>
      <w:r w:rsidRPr="00BD40F0">
        <w:rPr>
          <w:rFonts w:ascii="Verdana" w:hAnsi="Verdana"/>
          <w:sz w:val="20"/>
        </w:rPr>
        <w:t>, que vive debaixo d</w:t>
      </w:r>
      <w:r w:rsidR="00512F9F">
        <w:rPr>
          <w:rFonts w:ascii="Verdana" w:hAnsi="Verdana"/>
          <w:sz w:val="20"/>
        </w:rPr>
        <w:t>a</w:t>
      </w:r>
      <w:r w:rsidRPr="00BD40F0">
        <w:rPr>
          <w:rFonts w:ascii="Verdana" w:hAnsi="Verdana"/>
          <w:sz w:val="20"/>
        </w:rPr>
        <w:t xml:space="preserve">s </w:t>
      </w:r>
      <w:r w:rsidR="00512F9F">
        <w:rPr>
          <w:rFonts w:ascii="Verdana" w:hAnsi="Verdana"/>
          <w:sz w:val="20"/>
        </w:rPr>
        <w:t>colinas</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ind w:firstLine="720"/>
        <w:jc w:val="both"/>
        <w:rPr>
          <w:rFonts w:ascii="Verdana" w:hAnsi="Verdana"/>
          <w:b/>
          <w:sz w:val="20"/>
        </w:rPr>
      </w:pPr>
      <w:proofErr w:type="gramStart"/>
      <w:r w:rsidRPr="00BD40F0">
        <w:rPr>
          <w:rFonts w:ascii="Verdana" w:hAnsi="Verdana"/>
          <w:b/>
          <w:sz w:val="20"/>
        </w:rPr>
        <w:t>c.</w:t>
      </w:r>
      <w:proofErr w:type="gramEnd"/>
      <w:r w:rsidRPr="00BD40F0">
        <w:rPr>
          <w:rFonts w:ascii="Verdana" w:hAnsi="Verdana"/>
          <w:b/>
          <w:sz w:val="20"/>
        </w:rPr>
        <w:tab/>
        <w:t>Testemunho de Theodore Macdonald Jr., antropólogo</w:t>
      </w:r>
    </w:p>
    <w:p w:rsidR="00CA392C" w:rsidRDefault="00CA392C" w:rsidP="000B3F97">
      <w:pPr>
        <w:jc w:val="both"/>
        <w:rPr>
          <w:rFonts w:ascii="Verdana" w:hAnsi="Verdana"/>
          <w:sz w:val="20"/>
        </w:rPr>
      </w:pPr>
    </w:p>
    <w:p w:rsidR="000B3F97" w:rsidRDefault="00512F9F" w:rsidP="000B3F97">
      <w:pPr>
        <w:jc w:val="both"/>
        <w:rPr>
          <w:rFonts w:ascii="Verdana" w:hAnsi="Verdana"/>
          <w:sz w:val="20"/>
        </w:rPr>
      </w:pPr>
      <w:r>
        <w:rPr>
          <w:rFonts w:ascii="Verdana" w:hAnsi="Verdana"/>
          <w:sz w:val="20"/>
        </w:rPr>
        <w:t>Esteve</w:t>
      </w:r>
      <w:r w:rsidR="000B3F97" w:rsidRPr="00BD40F0">
        <w:rPr>
          <w:rFonts w:ascii="Verdana" w:hAnsi="Verdana"/>
          <w:sz w:val="20"/>
        </w:rPr>
        <w:t xml:space="preserve"> em contato com a Comunidade Awas Tingni. Fez três visitas à Comunidade, em março e julho do ano de 1995 e em janeiro de 1999.</w:t>
      </w:r>
      <w:r w:rsidR="00850A3F">
        <w:rPr>
          <w:rFonts w:ascii="Verdana" w:hAnsi="Verdana"/>
          <w:sz w:val="20"/>
        </w:rPr>
        <w:t xml:space="preserve"> </w:t>
      </w:r>
      <w:r w:rsidR="000B3F97" w:rsidRPr="00BD40F0">
        <w:rPr>
          <w:rFonts w:ascii="Verdana" w:hAnsi="Verdana"/>
          <w:sz w:val="20"/>
        </w:rPr>
        <w:t>O objetivo destas visitas era estudar a relação entre as pessoas do assentamento de Awas Ting</w:t>
      </w:r>
      <w:r w:rsidR="00B56241">
        <w:rPr>
          <w:rFonts w:ascii="Verdana" w:hAnsi="Verdana"/>
          <w:sz w:val="20"/>
        </w:rPr>
        <w:t xml:space="preserve">ni e a terra que </w:t>
      </w:r>
      <w:proofErr w:type="gramStart"/>
      <w:r w:rsidR="00B56241">
        <w:rPr>
          <w:rFonts w:ascii="Verdana" w:hAnsi="Verdana"/>
          <w:sz w:val="20"/>
        </w:rPr>
        <w:t>utilizam,</w:t>
      </w:r>
      <w:proofErr w:type="gramEnd"/>
      <w:r w:rsidR="00B56241">
        <w:rPr>
          <w:rFonts w:ascii="Verdana" w:hAnsi="Verdana"/>
          <w:sz w:val="20"/>
        </w:rPr>
        <w:t xml:space="preserve"> o que</w:t>
      </w:r>
      <w:r w:rsidR="000B3F97" w:rsidRPr="00BD40F0">
        <w:rPr>
          <w:rFonts w:ascii="Verdana" w:hAnsi="Verdana"/>
          <w:sz w:val="20"/>
        </w:rPr>
        <w:t xml:space="preserve"> requeria</w:t>
      </w:r>
      <w:r w:rsidR="002C6A59">
        <w:rPr>
          <w:rFonts w:ascii="Verdana" w:hAnsi="Verdana"/>
          <w:sz w:val="20"/>
        </w:rPr>
        <w:t xml:space="preserve"> </w:t>
      </w:r>
      <w:r w:rsidR="000B3F97" w:rsidRPr="00BD40F0">
        <w:rPr>
          <w:rFonts w:ascii="Verdana" w:hAnsi="Verdana"/>
          <w:sz w:val="20"/>
        </w:rPr>
        <w:t>um estudo sociopolítico e histórico,</w:t>
      </w:r>
      <w:r w:rsidR="002C6A59">
        <w:rPr>
          <w:rFonts w:ascii="Verdana" w:hAnsi="Verdana"/>
          <w:sz w:val="20"/>
        </w:rPr>
        <w:t xml:space="preserve"> </w:t>
      </w:r>
      <w:r w:rsidR="00B467E0">
        <w:rPr>
          <w:rFonts w:ascii="Verdana" w:hAnsi="Verdana"/>
          <w:sz w:val="20"/>
        </w:rPr>
        <w:t>bem como</w:t>
      </w:r>
      <w:r w:rsidR="000B3F97" w:rsidRPr="00BD40F0">
        <w:rPr>
          <w:rFonts w:ascii="Verdana" w:hAnsi="Verdana"/>
          <w:sz w:val="20"/>
        </w:rPr>
        <w:t xml:space="preserve"> </w:t>
      </w:r>
      <w:r w:rsidR="00FD01CB">
        <w:rPr>
          <w:rFonts w:ascii="Verdana" w:hAnsi="Verdana"/>
          <w:sz w:val="20"/>
        </w:rPr>
        <w:t>pesquisas</w:t>
      </w:r>
      <w:r w:rsidR="000B3F97" w:rsidRPr="00BD40F0">
        <w:rPr>
          <w:rFonts w:ascii="Verdana" w:hAnsi="Verdana"/>
          <w:sz w:val="20"/>
        </w:rPr>
        <w:t>.</w:t>
      </w:r>
      <w:r w:rsidR="00850A3F">
        <w:rPr>
          <w:rFonts w:ascii="Verdana" w:hAnsi="Verdana"/>
          <w:sz w:val="20"/>
        </w:rPr>
        <w:t xml:space="preserve"> </w:t>
      </w:r>
      <w:r>
        <w:rPr>
          <w:rFonts w:ascii="Verdana" w:hAnsi="Verdana"/>
          <w:sz w:val="20"/>
        </w:rPr>
        <w:t>Começou</w:t>
      </w:r>
      <w:r w:rsidR="000B3F97" w:rsidRPr="00BD40F0">
        <w:rPr>
          <w:rFonts w:ascii="Verdana" w:hAnsi="Verdana"/>
          <w:sz w:val="20"/>
        </w:rPr>
        <w:t xml:space="preserve"> a trabalhar neste estudo graças a um projeto financiado pelo </w:t>
      </w:r>
      <w:r w:rsidR="000B3F97" w:rsidRPr="00BD40F0">
        <w:rPr>
          <w:rFonts w:ascii="Verdana" w:hAnsi="Verdana"/>
          <w:sz w:val="20"/>
        </w:rPr>
        <w:lastRenderedPageBreak/>
        <w:t xml:space="preserve">Fundo Mundial para a Natureza, </w:t>
      </w:r>
      <w:r w:rsidR="000B3F97" w:rsidRPr="00BD40F0">
        <w:rPr>
          <w:rFonts w:ascii="Verdana" w:hAnsi="Verdana"/>
          <w:i/>
          <w:sz w:val="20"/>
        </w:rPr>
        <w:t>World Wildlife Fund</w:t>
      </w:r>
      <w:r w:rsidR="000B3F97" w:rsidRPr="00BD40F0">
        <w:rPr>
          <w:rFonts w:ascii="Verdana" w:hAnsi="Verdana"/>
          <w:sz w:val="20"/>
        </w:rPr>
        <w:t>. Eles contrataram a Universidade de Iowa</w:t>
      </w:r>
      <w:r w:rsidR="00D8679C">
        <w:rPr>
          <w:rFonts w:ascii="Verdana" w:hAnsi="Verdana"/>
          <w:sz w:val="20"/>
        </w:rPr>
        <w:t>,</w:t>
      </w:r>
      <w:r w:rsidR="001D348E">
        <w:rPr>
          <w:rFonts w:ascii="Verdana" w:hAnsi="Verdana"/>
          <w:sz w:val="20"/>
        </w:rPr>
        <w:t xml:space="preserve"> </w:t>
      </w:r>
      <w:r w:rsidR="000B3F97" w:rsidRPr="00BD40F0">
        <w:rPr>
          <w:rFonts w:ascii="Verdana" w:hAnsi="Verdana"/>
          <w:sz w:val="20"/>
        </w:rPr>
        <w:t>e esta universidade o contratou para fazer esse trabalho.</w:t>
      </w:r>
    </w:p>
    <w:p w:rsidR="00FD01CB" w:rsidRPr="00BD40F0" w:rsidRDefault="00FD01CB" w:rsidP="000B3F97">
      <w:pPr>
        <w:jc w:val="both"/>
        <w:rPr>
          <w:rFonts w:ascii="Verdana" w:hAnsi="Verdana"/>
          <w:sz w:val="20"/>
        </w:rPr>
      </w:pPr>
    </w:p>
    <w:p w:rsidR="000B3F97" w:rsidRDefault="000B3F97" w:rsidP="000B3F97">
      <w:pPr>
        <w:jc w:val="both"/>
        <w:rPr>
          <w:rFonts w:ascii="Verdana" w:hAnsi="Verdana"/>
          <w:sz w:val="20"/>
        </w:rPr>
      </w:pPr>
      <w:r w:rsidRPr="00BD40F0">
        <w:rPr>
          <w:rFonts w:ascii="Verdana" w:hAnsi="Verdana"/>
          <w:sz w:val="20"/>
        </w:rPr>
        <w:t>Os resultados do estudo que realizou com a Comunidade Awas Tingni foram documentados, primeiro como relatório preliminar, em 1996, no qu</w:t>
      </w:r>
      <w:r w:rsidR="00FD01CB">
        <w:rPr>
          <w:rFonts w:ascii="Verdana" w:hAnsi="Verdana"/>
          <w:sz w:val="20"/>
        </w:rPr>
        <w:t>al</w:t>
      </w:r>
      <w:r w:rsidRPr="00BD40F0">
        <w:rPr>
          <w:rFonts w:ascii="Verdana" w:hAnsi="Verdana"/>
          <w:sz w:val="20"/>
        </w:rPr>
        <w:t xml:space="preserve"> apresentou um mapa das terras do assentamento de Awas Tingni, e depois em outr</w:t>
      </w:r>
      <w:r w:rsidR="00512F9F">
        <w:rPr>
          <w:rFonts w:ascii="Verdana" w:hAnsi="Verdana"/>
          <w:sz w:val="20"/>
        </w:rPr>
        <w:t>o relatório de janeiro de 1999.</w:t>
      </w:r>
      <w:r w:rsidRPr="00BD40F0">
        <w:rPr>
          <w:rFonts w:ascii="Verdana" w:hAnsi="Verdana"/>
          <w:sz w:val="20"/>
        </w:rPr>
        <w:t xml:space="preserve"> O propósito de fazer este último relatório foi ampliar o relatório de 1996, já que esse</w:t>
      </w:r>
      <w:r w:rsidR="002C6A59">
        <w:rPr>
          <w:rFonts w:ascii="Verdana" w:hAnsi="Verdana"/>
          <w:sz w:val="20"/>
        </w:rPr>
        <w:t xml:space="preserve"> </w:t>
      </w:r>
      <w:r w:rsidR="00D8679C">
        <w:rPr>
          <w:rFonts w:ascii="Verdana" w:hAnsi="Verdana"/>
          <w:sz w:val="20"/>
        </w:rPr>
        <w:t>teve caráter preliminar,</w:t>
      </w:r>
      <w:r w:rsidRPr="00BD40F0">
        <w:rPr>
          <w:rFonts w:ascii="Verdana" w:hAnsi="Verdana"/>
          <w:sz w:val="20"/>
        </w:rPr>
        <w:t xml:space="preserve"> e, </w:t>
      </w:r>
      <w:r w:rsidR="00B45C45">
        <w:rPr>
          <w:rFonts w:ascii="Verdana" w:hAnsi="Verdana"/>
          <w:sz w:val="20"/>
        </w:rPr>
        <w:t>além disso</w:t>
      </w:r>
      <w:r w:rsidRPr="00BD40F0">
        <w:rPr>
          <w:rFonts w:ascii="Verdana" w:hAnsi="Verdana"/>
          <w:sz w:val="20"/>
        </w:rPr>
        <w:t>, porque</w:t>
      </w:r>
      <w:r w:rsidR="00D8679C">
        <w:rPr>
          <w:rFonts w:ascii="Verdana" w:hAnsi="Verdana"/>
          <w:sz w:val="20"/>
        </w:rPr>
        <w:t>,</w:t>
      </w:r>
      <w:r w:rsidRPr="00BD40F0">
        <w:rPr>
          <w:rFonts w:ascii="Verdana" w:hAnsi="Verdana"/>
          <w:sz w:val="20"/>
        </w:rPr>
        <w:t xml:space="preserve"> ao retornar</w:t>
      </w:r>
      <w:r w:rsidR="00D8679C">
        <w:rPr>
          <w:rFonts w:ascii="Verdana" w:hAnsi="Verdana"/>
          <w:sz w:val="20"/>
        </w:rPr>
        <w:t>,</w:t>
      </w:r>
      <w:r w:rsidR="002C6A59">
        <w:rPr>
          <w:rFonts w:ascii="Verdana" w:hAnsi="Verdana"/>
          <w:sz w:val="20"/>
        </w:rPr>
        <w:t xml:space="preserve"> </w:t>
      </w:r>
      <w:r w:rsidR="00D8679C">
        <w:rPr>
          <w:rFonts w:ascii="Verdana" w:hAnsi="Verdana"/>
          <w:sz w:val="20"/>
        </w:rPr>
        <w:t>deu-se</w:t>
      </w:r>
      <w:r w:rsidR="00512F9F">
        <w:rPr>
          <w:rFonts w:ascii="Verdana" w:hAnsi="Verdana"/>
          <w:sz w:val="20"/>
        </w:rPr>
        <w:t xml:space="preserve"> conta</w:t>
      </w:r>
      <w:r w:rsidRPr="00BD40F0">
        <w:rPr>
          <w:rFonts w:ascii="Verdana" w:hAnsi="Verdana"/>
          <w:sz w:val="20"/>
        </w:rPr>
        <w:t xml:space="preserve"> </w:t>
      </w:r>
      <w:r w:rsidR="00D8679C">
        <w:rPr>
          <w:rFonts w:ascii="Verdana" w:hAnsi="Verdana"/>
          <w:sz w:val="20"/>
        </w:rPr>
        <w:t xml:space="preserve">de </w:t>
      </w:r>
      <w:r w:rsidRPr="00BD40F0">
        <w:rPr>
          <w:rFonts w:ascii="Verdana" w:hAnsi="Verdana"/>
          <w:sz w:val="20"/>
        </w:rPr>
        <w:t>que havia muitas coisas que queria conhecer da h</w:t>
      </w:r>
      <w:r w:rsidR="00512F9F">
        <w:rPr>
          <w:rFonts w:ascii="Verdana" w:hAnsi="Verdana"/>
          <w:sz w:val="20"/>
        </w:rPr>
        <w:t xml:space="preserve">istória da Comunidade Mayagna. </w:t>
      </w:r>
      <w:r w:rsidRPr="00BD40F0">
        <w:rPr>
          <w:rFonts w:ascii="Verdana" w:hAnsi="Verdana"/>
          <w:sz w:val="20"/>
        </w:rPr>
        <w:t>Entre esses dois relatórios não existem contradições,</w:t>
      </w:r>
      <w:r w:rsidR="002A79D6">
        <w:rPr>
          <w:rFonts w:ascii="Verdana" w:hAnsi="Verdana"/>
          <w:sz w:val="20"/>
        </w:rPr>
        <w:t xml:space="preserve"> embora</w:t>
      </w:r>
      <w:r w:rsidRPr="00BD40F0">
        <w:rPr>
          <w:rFonts w:ascii="Verdana" w:hAnsi="Verdana"/>
          <w:sz w:val="20"/>
        </w:rPr>
        <w:t xml:space="preserve"> no segundo</w:t>
      </w:r>
      <w:r w:rsidR="002C6A59">
        <w:rPr>
          <w:rFonts w:ascii="Verdana" w:hAnsi="Verdana"/>
          <w:sz w:val="20"/>
        </w:rPr>
        <w:t xml:space="preserve"> </w:t>
      </w:r>
      <w:r w:rsidR="002A79D6">
        <w:rPr>
          <w:rFonts w:ascii="Verdana" w:hAnsi="Verdana"/>
          <w:sz w:val="20"/>
        </w:rPr>
        <w:t>tenha se aprofundado</w:t>
      </w:r>
      <w:r w:rsidR="002C6A59">
        <w:rPr>
          <w:rFonts w:ascii="Verdana" w:hAnsi="Verdana"/>
          <w:sz w:val="20"/>
        </w:rPr>
        <w:t xml:space="preserve"> </w:t>
      </w:r>
      <w:r w:rsidR="001D348E">
        <w:rPr>
          <w:rFonts w:ascii="Verdana" w:hAnsi="Verdana"/>
          <w:sz w:val="20"/>
        </w:rPr>
        <w:t xml:space="preserve">do </w:t>
      </w:r>
      <w:r w:rsidRPr="00BD40F0">
        <w:rPr>
          <w:rFonts w:ascii="Verdana" w:hAnsi="Verdana"/>
          <w:sz w:val="20"/>
        </w:rPr>
        <w:t>ponto de vista etnográfico</w:t>
      </w:r>
      <w:r w:rsidR="00676C81">
        <w:rPr>
          <w:rFonts w:ascii="Verdana" w:hAnsi="Verdana"/>
          <w:sz w:val="20"/>
        </w:rPr>
        <w:t>,</w:t>
      </w:r>
      <w:r w:rsidR="002C6A59">
        <w:rPr>
          <w:rFonts w:ascii="Verdana" w:hAnsi="Verdana"/>
          <w:sz w:val="20"/>
        </w:rPr>
        <w:t xml:space="preserve"> </w:t>
      </w:r>
      <w:r w:rsidR="00676C81">
        <w:rPr>
          <w:rFonts w:ascii="Verdana" w:hAnsi="Verdana"/>
          <w:sz w:val="20"/>
        </w:rPr>
        <w:t>de modo a obter</w:t>
      </w:r>
      <w:r w:rsidRPr="00BD40F0">
        <w:rPr>
          <w:rFonts w:ascii="Verdana" w:hAnsi="Verdana"/>
          <w:sz w:val="20"/>
        </w:rPr>
        <w:t xml:space="preserve"> maiores detalhes para respaldar o estudo.</w:t>
      </w:r>
    </w:p>
    <w:p w:rsidR="00512F9F" w:rsidRPr="00BD40F0" w:rsidRDefault="00512F9F"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 Comunidade Awas Tingni elaborou um mapa,</w:t>
      </w:r>
      <w:r w:rsidR="002C6A59">
        <w:rPr>
          <w:rFonts w:ascii="Verdana" w:hAnsi="Verdana"/>
          <w:sz w:val="20"/>
        </w:rPr>
        <w:t xml:space="preserve"> </w:t>
      </w:r>
      <w:r w:rsidR="00BF2535">
        <w:rPr>
          <w:rFonts w:ascii="Verdana" w:hAnsi="Verdana"/>
          <w:sz w:val="20"/>
        </w:rPr>
        <w:t>aproximadamente no ano de 1992</w:t>
      </w:r>
      <w:r w:rsidRPr="00BD40F0">
        <w:rPr>
          <w:rFonts w:ascii="Verdana" w:hAnsi="Verdana"/>
          <w:sz w:val="20"/>
        </w:rPr>
        <w:t>,</w:t>
      </w:r>
      <w:r w:rsidR="00CA392C">
        <w:rPr>
          <w:rFonts w:ascii="Verdana" w:hAnsi="Verdana"/>
          <w:sz w:val="20"/>
        </w:rPr>
        <w:t xml:space="preserve"> sem contar com sua assessoria, </w:t>
      </w:r>
      <w:r w:rsidR="00512F9F">
        <w:rPr>
          <w:rFonts w:ascii="Verdana" w:hAnsi="Verdana"/>
          <w:sz w:val="20"/>
        </w:rPr>
        <w:t>realizaram-no</w:t>
      </w:r>
      <w:r w:rsidRPr="00BD40F0">
        <w:rPr>
          <w:rFonts w:ascii="Verdana" w:hAnsi="Verdana"/>
          <w:sz w:val="20"/>
        </w:rPr>
        <w:t xml:space="preserve"> por si mesmos e o apresentaram</w:t>
      </w:r>
      <w:r w:rsidR="002C6A59">
        <w:rPr>
          <w:rFonts w:ascii="Verdana" w:hAnsi="Verdana"/>
          <w:sz w:val="20"/>
        </w:rPr>
        <w:t xml:space="preserve"> </w:t>
      </w:r>
      <w:r w:rsidR="008465C3">
        <w:rPr>
          <w:rFonts w:ascii="Verdana" w:hAnsi="Verdana"/>
          <w:sz w:val="20"/>
        </w:rPr>
        <w:t>quando começou</w:t>
      </w:r>
      <w:r w:rsidRPr="00BD40F0">
        <w:rPr>
          <w:rFonts w:ascii="Verdana" w:hAnsi="Verdana"/>
          <w:sz w:val="20"/>
        </w:rPr>
        <w:t xml:space="preserve"> o estudo da testemunha.</w:t>
      </w:r>
      <w:r w:rsidR="00850A3F">
        <w:rPr>
          <w:rFonts w:ascii="Verdana" w:hAnsi="Verdana"/>
          <w:sz w:val="20"/>
        </w:rPr>
        <w:t xml:space="preserve"> </w:t>
      </w:r>
      <w:r w:rsidRPr="00BD40F0">
        <w:rPr>
          <w:rFonts w:ascii="Verdana" w:hAnsi="Verdana"/>
          <w:sz w:val="20"/>
        </w:rPr>
        <w:t xml:space="preserve">Segundo os Mayagna, esse mapa representa o território que lhes pertence. Neste mapa é possível ver a fronteira, o lugar onde se assenta a comunidade principal, onde </w:t>
      </w:r>
      <w:r w:rsidR="001D348E">
        <w:rPr>
          <w:rFonts w:ascii="Verdana" w:hAnsi="Verdana"/>
          <w:sz w:val="20"/>
        </w:rPr>
        <w:t>estão localizadas</w:t>
      </w:r>
      <w:r w:rsidRPr="00BD40F0">
        <w:rPr>
          <w:rFonts w:ascii="Verdana" w:hAnsi="Verdana"/>
          <w:sz w:val="20"/>
        </w:rPr>
        <w:t xml:space="preserve"> outras comunidades, os lugares sagrados e outros lugares mais </w:t>
      </w:r>
      <w:r w:rsidR="00512F9F">
        <w:rPr>
          <w:rFonts w:ascii="Verdana" w:hAnsi="Verdana"/>
          <w:sz w:val="20"/>
        </w:rPr>
        <w:t>antigos nos qu</w:t>
      </w:r>
      <w:r w:rsidR="00FD01CB">
        <w:rPr>
          <w:rFonts w:ascii="Verdana" w:hAnsi="Verdana"/>
          <w:sz w:val="20"/>
        </w:rPr>
        <w:t>ais</w:t>
      </w:r>
      <w:r w:rsidR="00512F9F">
        <w:rPr>
          <w:rFonts w:ascii="Verdana" w:hAnsi="Verdana"/>
          <w:sz w:val="20"/>
        </w:rPr>
        <w:t xml:space="preserve"> viveram antes. </w:t>
      </w:r>
      <w:r w:rsidRPr="00BD40F0">
        <w:rPr>
          <w:rFonts w:ascii="Verdana" w:hAnsi="Verdana"/>
          <w:sz w:val="20"/>
        </w:rPr>
        <w:t xml:space="preserve">Também se vê o Rio Wawa, que corre </w:t>
      </w:r>
      <w:r w:rsidR="00512F9F">
        <w:rPr>
          <w:rFonts w:ascii="Verdana" w:hAnsi="Verdana"/>
          <w:sz w:val="20"/>
        </w:rPr>
        <w:t>a partir do</w:t>
      </w:r>
      <w:r w:rsidRPr="00BD40F0">
        <w:rPr>
          <w:rFonts w:ascii="Verdana" w:hAnsi="Verdana"/>
          <w:sz w:val="20"/>
        </w:rPr>
        <w:t xml:space="preserve"> oeste e chega à Costa Atlântica.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6A6A0A">
        <w:rPr>
          <w:rFonts w:ascii="Verdana" w:hAnsi="Verdana"/>
          <w:sz w:val="20"/>
        </w:rPr>
        <w:t>Há outros dois mapas elaborados pela testemunha. O primeiro deles foi elaborado em 1996</w:t>
      </w:r>
      <w:r w:rsidR="00CA392C" w:rsidRPr="006A6A0A">
        <w:rPr>
          <w:rFonts w:ascii="Verdana" w:hAnsi="Verdana"/>
          <w:sz w:val="20"/>
        </w:rPr>
        <w:t>,</w:t>
      </w:r>
      <w:r w:rsidRPr="006A6A0A">
        <w:rPr>
          <w:rFonts w:ascii="Verdana" w:hAnsi="Verdana"/>
          <w:sz w:val="20"/>
        </w:rPr>
        <w:t xml:space="preserve"> com um sistema de comput</w:t>
      </w:r>
      <w:r w:rsidR="00512F9F" w:rsidRPr="006A6A0A">
        <w:rPr>
          <w:rFonts w:ascii="Verdana" w:hAnsi="Verdana"/>
          <w:sz w:val="20"/>
        </w:rPr>
        <w:t>ação</w:t>
      </w:r>
      <w:r w:rsidRPr="006A6A0A">
        <w:rPr>
          <w:rFonts w:ascii="Verdana" w:hAnsi="Verdana"/>
          <w:sz w:val="20"/>
        </w:rPr>
        <w:t xml:space="preserve"> chamado Sistema de Informação Geográfica </w:t>
      </w:r>
      <w:r w:rsidR="00C60678" w:rsidRPr="00C60678">
        <w:rPr>
          <w:rFonts w:ascii="Verdana" w:hAnsi="Verdana"/>
          <w:sz w:val="20"/>
        </w:rPr>
        <w:t>(</w:t>
      </w:r>
      <w:r w:rsidRPr="006A6A0A">
        <w:rPr>
          <w:rFonts w:ascii="Verdana" w:hAnsi="Verdana"/>
          <w:sz w:val="20"/>
        </w:rPr>
        <w:t>GIS, sigla em inglês</w:t>
      </w:r>
      <w:r w:rsidR="00C60678" w:rsidRPr="00C60678">
        <w:rPr>
          <w:rFonts w:ascii="Verdana" w:hAnsi="Verdana"/>
          <w:sz w:val="20"/>
        </w:rPr>
        <w:t>)</w:t>
      </w:r>
      <w:r w:rsidRPr="006A6A0A">
        <w:rPr>
          <w:rFonts w:ascii="Verdana" w:hAnsi="Verdana"/>
          <w:sz w:val="20"/>
        </w:rPr>
        <w:t>. O que fez foi colocar os dados e elementos reco</w:t>
      </w:r>
      <w:r w:rsidR="00FD01CB">
        <w:rPr>
          <w:rFonts w:ascii="Verdana" w:hAnsi="Verdana"/>
          <w:sz w:val="20"/>
        </w:rPr>
        <w:t>m</w:t>
      </w:r>
      <w:r w:rsidRPr="006A6A0A">
        <w:rPr>
          <w:rFonts w:ascii="Verdana" w:hAnsi="Verdana"/>
          <w:sz w:val="20"/>
        </w:rPr>
        <w:t>pilados pela Comunidade para determinar o território em toda sua extensão.</w:t>
      </w:r>
      <w:r w:rsidR="00850A3F">
        <w:rPr>
          <w:rFonts w:ascii="Verdana" w:hAnsi="Verdana"/>
          <w:sz w:val="20"/>
        </w:rPr>
        <w:t xml:space="preserve"> </w:t>
      </w:r>
      <w:r w:rsidRPr="006A6A0A">
        <w:rPr>
          <w:rFonts w:ascii="Verdana" w:hAnsi="Verdana"/>
          <w:sz w:val="20"/>
        </w:rPr>
        <w:t>Nesse mapa é possível observar o assentamento da Comunidade Awas Tingni, o Rio Wawa, Tuburús, os lugares</w:t>
      </w:r>
      <w:r w:rsidR="003B631E" w:rsidRPr="006A6A0A">
        <w:rPr>
          <w:rFonts w:ascii="Verdana" w:hAnsi="Verdana"/>
          <w:sz w:val="20"/>
        </w:rPr>
        <w:t xml:space="preserve"> sagrados e também a fronteira. </w:t>
      </w:r>
      <w:r w:rsidRPr="006A6A0A">
        <w:rPr>
          <w:rFonts w:ascii="Verdana" w:hAnsi="Verdana"/>
          <w:sz w:val="20"/>
        </w:rPr>
        <w:t>O segundo mapa</w:t>
      </w:r>
      <w:r w:rsidR="00EB7888">
        <w:rPr>
          <w:rFonts w:ascii="Verdana" w:hAnsi="Verdana"/>
          <w:sz w:val="20"/>
        </w:rPr>
        <w:t>,</w:t>
      </w:r>
      <w:r w:rsidRPr="006A6A0A">
        <w:rPr>
          <w:rFonts w:ascii="Verdana" w:hAnsi="Verdana"/>
          <w:sz w:val="20"/>
        </w:rPr>
        <w:t xml:space="preserve"> preparado em 1999</w:t>
      </w:r>
      <w:r w:rsidR="00EB7888">
        <w:rPr>
          <w:rFonts w:ascii="Verdana" w:hAnsi="Verdana"/>
          <w:sz w:val="20"/>
        </w:rPr>
        <w:t>,</w:t>
      </w:r>
      <w:r w:rsidRPr="006A6A0A">
        <w:rPr>
          <w:rFonts w:ascii="Verdana" w:hAnsi="Verdana"/>
          <w:sz w:val="20"/>
        </w:rPr>
        <w:t xml:space="preserve"> é quase igual. A diferença principal é que está feito </w:t>
      </w:r>
      <w:r w:rsidR="00FD01CB">
        <w:rPr>
          <w:rFonts w:ascii="Verdana" w:hAnsi="Verdana"/>
          <w:sz w:val="20"/>
        </w:rPr>
        <w:t>à</w:t>
      </w:r>
      <w:r w:rsidRPr="006A6A0A">
        <w:rPr>
          <w:rFonts w:ascii="Verdana" w:hAnsi="Verdana"/>
          <w:sz w:val="20"/>
        </w:rPr>
        <w:t xml:space="preserve"> mão, mas ambos os mapas são baseados na mesma informação.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A metodologia para a elaboração do mapa foi a seguinte: primeiro </w:t>
      </w:r>
      <w:r w:rsidR="003B631E">
        <w:rPr>
          <w:rFonts w:ascii="Verdana" w:hAnsi="Verdana"/>
          <w:sz w:val="20"/>
        </w:rPr>
        <w:t>se iniciou</w:t>
      </w:r>
      <w:r w:rsidRPr="00BD40F0">
        <w:rPr>
          <w:rFonts w:ascii="Verdana" w:hAnsi="Verdana"/>
          <w:sz w:val="20"/>
        </w:rPr>
        <w:t xml:space="preserve"> na Comunidade Awas Tingni com um Sistema de </w:t>
      </w:r>
      <w:r w:rsidR="003B631E">
        <w:rPr>
          <w:rFonts w:ascii="Verdana" w:hAnsi="Verdana"/>
          <w:sz w:val="20"/>
        </w:rPr>
        <w:t>Posicionamento</w:t>
      </w:r>
      <w:r w:rsidRPr="00BD40F0">
        <w:rPr>
          <w:rFonts w:ascii="Verdana" w:hAnsi="Verdana"/>
          <w:sz w:val="20"/>
        </w:rPr>
        <w:t xml:space="preserve"> Geográfic</w:t>
      </w:r>
      <w:r w:rsidR="003B631E">
        <w:rPr>
          <w:rFonts w:ascii="Verdana" w:hAnsi="Verdana"/>
          <w:sz w:val="20"/>
        </w:rPr>
        <w:t>o</w:t>
      </w:r>
      <w:r w:rsidRPr="00BD40F0">
        <w:rPr>
          <w:rFonts w:ascii="Verdana" w:hAnsi="Verdana"/>
          <w:sz w:val="20"/>
        </w:rPr>
        <w:t xml:space="preserve"> </w:t>
      </w:r>
      <w:r w:rsidR="00C60678" w:rsidRPr="00C60678">
        <w:rPr>
          <w:rFonts w:ascii="Verdana" w:hAnsi="Verdana"/>
          <w:sz w:val="20"/>
        </w:rPr>
        <w:t>(</w:t>
      </w:r>
      <w:r w:rsidRPr="00BD40F0">
        <w:rPr>
          <w:rFonts w:ascii="Verdana" w:hAnsi="Verdana"/>
          <w:sz w:val="20"/>
        </w:rPr>
        <w:t>GPS, sigla em ingl</w:t>
      </w:r>
      <w:r w:rsidR="00FD01CB">
        <w:rPr>
          <w:rFonts w:ascii="Verdana" w:hAnsi="Verdana"/>
          <w:sz w:val="20"/>
        </w:rPr>
        <w:t>ê</w:t>
      </w:r>
      <w:r w:rsidRPr="00BD40F0">
        <w:rPr>
          <w:rFonts w:ascii="Verdana" w:hAnsi="Verdana"/>
          <w:sz w:val="20"/>
        </w:rPr>
        <w:t>s</w:t>
      </w:r>
      <w:r w:rsidR="00C60678" w:rsidRPr="00C60678">
        <w:rPr>
          <w:rFonts w:ascii="Verdana" w:hAnsi="Verdana"/>
          <w:sz w:val="20"/>
        </w:rPr>
        <w:t>)</w:t>
      </w:r>
      <w:r w:rsidRPr="00BD40F0">
        <w:rPr>
          <w:rFonts w:ascii="Verdana" w:hAnsi="Verdana"/>
          <w:sz w:val="20"/>
        </w:rPr>
        <w:t>, que trabalha com base em satélites.</w:t>
      </w:r>
      <w:r w:rsidR="003B631E">
        <w:rPr>
          <w:rFonts w:ascii="Verdana" w:hAnsi="Verdana"/>
          <w:sz w:val="20"/>
        </w:rPr>
        <w:t xml:space="preserve"> </w:t>
      </w:r>
      <w:r w:rsidRPr="00BD40F0">
        <w:rPr>
          <w:rFonts w:ascii="Verdana" w:hAnsi="Verdana"/>
          <w:sz w:val="20"/>
        </w:rPr>
        <w:t>Na primeira etapa</w:t>
      </w:r>
      <w:r w:rsidR="003B631E">
        <w:rPr>
          <w:rFonts w:ascii="Verdana" w:hAnsi="Verdana"/>
          <w:sz w:val="20"/>
        </w:rPr>
        <w:t>,</w:t>
      </w:r>
      <w:r w:rsidR="002C6A59">
        <w:rPr>
          <w:rFonts w:ascii="Verdana" w:hAnsi="Verdana"/>
          <w:sz w:val="20"/>
        </w:rPr>
        <w:t xml:space="preserve"> </w:t>
      </w:r>
      <w:r w:rsidR="003D0C61">
        <w:rPr>
          <w:rFonts w:ascii="Verdana" w:hAnsi="Verdana"/>
          <w:sz w:val="20"/>
        </w:rPr>
        <w:t>subiu o Rio Wawa com cinco membros da comunidade</w:t>
      </w:r>
      <w:r w:rsidRPr="00BD40F0">
        <w:rPr>
          <w:rFonts w:ascii="Verdana" w:hAnsi="Verdana"/>
          <w:sz w:val="20"/>
        </w:rPr>
        <w:t>, para tomar dados sobre o uso da terra em todo o território e para confirmar a informação que haviam recebido da Comunidade.</w:t>
      </w:r>
      <w:r w:rsidR="00850A3F">
        <w:rPr>
          <w:rFonts w:ascii="Verdana" w:hAnsi="Verdana"/>
          <w:sz w:val="20"/>
        </w:rPr>
        <w:t xml:space="preserve"> </w:t>
      </w:r>
      <w:r w:rsidRPr="00BD40F0">
        <w:rPr>
          <w:rFonts w:ascii="Verdana" w:hAnsi="Verdana"/>
          <w:sz w:val="20"/>
        </w:rPr>
        <w:t>Na segunda etapa, os membros da Comunidade</w:t>
      </w:r>
      <w:r w:rsidR="003B631E">
        <w:rPr>
          <w:rFonts w:ascii="Verdana" w:hAnsi="Verdana"/>
          <w:sz w:val="20"/>
        </w:rPr>
        <w:t>,</w:t>
      </w:r>
      <w:r w:rsidRPr="00BD40F0">
        <w:rPr>
          <w:rFonts w:ascii="Verdana" w:hAnsi="Verdana"/>
          <w:sz w:val="20"/>
        </w:rPr>
        <w:t xml:space="preserve"> depois de haver recebido u</w:t>
      </w:r>
      <w:r w:rsidR="003B631E">
        <w:rPr>
          <w:rFonts w:ascii="Verdana" w:hAnsi="Verdana"/>
          <w:sz w:val="20"/>
        </w:rPr>
        <w:t>m</w:t>
      </w:r>
      <w:r w:rsidRPr="00BD40F0">
        <w:rPr>
          <w:rFonts w:ascii="Verdana" w:hAnsi="Verdana"/>
          <w:sz w:val="20"/>
        </w:rPr>
        <w:t>a capacitação por parte da testemunha</w:t>
      </w:r>
      <w:r w:rsidR="003B631E">
        <w:rPr>
          <w:rFonts w:ascii="Verdana" w:hAnsi="Verdana"/>
          <w:sz w:val="20"/>
        </w:rPr>
        <w:t>,</w:t>
      </w:r>
      <w:r w:rsidRPr="00BD40F0">
        <w:rPr>
          <w:rFonts w:ascii="Verdana" w:hAnsi="Verdana"/>
          <w:sz w:val="20"/>
        </w:rPr>
        <w:t xml:space="preserve"> </w:t>
      </w:r>
      <w:r w:rsidR="003B631E">
        <w:rPr>
          <w:rFonts w:ascii="Verdana" w:hAnsi="Verdana"/>
          <w:sz w:val="20"/>
        </w:rPr>
        <w:t>per</w:t>
      </w:r>
      <w:r w:rsidRPr="00BD40F0">
        <w:rPr>
          <w:rFonts w:ascii="Verdana" w:hAnsi="Verdana"/>
          <w:sz w:val="20"/>
        </w:rPr>
        <w:t>correram o território com o apar</w:t>
      </w:r>
      <w:r w:rsidR="003B631E">
        <w:rPr>
          <w:rFonts w:ascii="Verdana" w:hAnsi="Verdana"/>
          <w:sz w:val="20"/>
        </w:rPr>
        <w:t xml:space="preserve">elho GPS. </w:t>
      </w:r>
      <w:r w:rsidRPr="00BD40F0">
        <w:rPr>
          <w:rFonts w:ascii="Verdana" w:hAnsi="Verdana"/>
          <w:sz w:val="20"/>
        </w:rPr>
        <w:t xml:space="preserve">Eles registraram mais de 150 pontos de referência nessas visitas.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Para realizar o trabalho de localização de pontos de referência a fim de elaborar o mapa</w:t>
      </w:r>
      <w:r w:rsidR="00B56241">
        <w:rPr>
          <w:rFonts w:ascii="Verdana" w:hAnsi="Verdana"/>
          <w:sz w:val="20"/>
        </w:rPr>
        <w:t>,</w:t>
      </w:r>
      <w:r w:rsidRPr="00BD40F0">
        <w:rPr>
          <w:rFonts w:ascii="Verdana" w:hAnsi="Verdana"/>
          <w:sz w:val="20"/>
        </w:rPr>
        <w:t xml:space="preserve"> foram capacitados dois jovens da Comunidade.</w:t>
      </w:r>
      <w:r w:rsidR="00850A3F">
        <w:rPr>
          <w:rFonts w:ascii="Verdana" w:hAnsi="Verdana"/>
          <w:sz w:val="20"/>
        </w:rPr>
        <w:t xml:space="preserve"> </w:t>
      </w:r>
      <w:r w:rsidRPr="00BD40F0">
        <w:rPr>
          <w:rFonts w:ascii="Verdana" w:hAnsi="Verdana"/>
          <w:sz w:val="20"/>
        </w:rPr>
        <w:t xml:space="preserve">Assim, sua elaboração no campo </w:t>
      </w:r>
      <w:r w:rsidR="004147B2">
        <w:rPr>
          <w:rFonts w:ascii="Verdana" w:hAnsi="Verdana"/>
          <w:sz w:val="20"/>
        </w:rPr>
        <w:t>foi feita pelos</w:t>
      </w:r>
      <w:r w:rsidRPr="00BD40F0">
        <w:rPr>
          <w:rFonts w:ascii="Verdana" w:hAnsi="Verdana"/>
          <w:sz w:val="20"/>
        </w:rPr>
        <w:t xml:space="preserve"> indígenas de Awas Tingni. Uma vez </w:t>
      </w:r>
      <w:r w:rsidR="003B631E">
        <w:rPr>
          <w:rFonts w:ascii="Verdana" w:hAnsi="Verdana"/>
          <w:sz w:val="20"/>
        </w:rPr>
        <w:t>colocada</w:t>
      </w:r>
      <w:r w:rsidRPr="00BD40F0">
        <w:rPr>
          <w:rFonts w:ascii="Verdana" w:hAnsi="Verdana"/>
          <w:sz w:val="20"/>
        </w:rPr>
        <w:t xml:space="preserve"> essa informação no sistema de localização de pontos não há forma de ser manipulada.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Os pontos de referência obtidos foram </w:t>
      </w:r>
      <w:r w:rsidR="00D00FA9">
        <w:rPr>
          <w:rFonts w:ascii="Verdana" w:hAnsi="Verdana"/>
          <w:sz w:val="20"/>
        </w:rPr>
        <w:t>traçados</w:t>
      </w:r>
      <w:r w:rsidRPr="00BD40F0">
        <w:rPr>
          <w:rFonts w:ascii="Verdana" w:hAnsi="Verdana"/>
          <w:sz w:val="20"/>
        </w:rPr>
        <w:t xml:space="preserve"> em um mapa base, elaborado por um cartógrafo profissional</w:t>
      </w:r>
      <w:r w:rsidRPr="00BD40F0">
        <w:rPr>
          <w:rFonts w:ascii="Verdana" w:hAnsi="Verdana"/>
          <w:b/>
          <w:sz w:val="20"/>
        </w:rPr>
        <w:t xml:space="preserve"> </w:t>
      </w:r>
      <w:r w:rsidR="00C60678" w:rsidRPr="00C60678">
        <w:rPr>
          <w:rFonts w:ascii="Verdana" w:hAnsi="Verdana"/>
          <w:sz w:val="20"/>
        </w:rPr>
        <w:t>(</w:t>
      </w:r>
      <w:r w:rsidRPr="00BD40F0">
        <w:rPr>
          <w:rFonts w:ascii="Verdana" w:hAnsi="Verdana"/>
          <w:sz w:val="20"/>
        </w:rPr>
        <w:t>estudante de direito da Universidade de Harvard, que havia aprendido a manejar o Sistema de Informação Geográfica -GIS, sigla em inglês- e que era um especialista em computação</w:t>
      </w:r>
      <w:r w:rsidR="00C60678" w:rsidRPr="00C60678">
        <w:rPr>
          <w:rFonts w:ascii="Verdana" w:hAnsi="Verdana"/>
          <w:sz w:val="20"/>
        </w:rPr>
        <w:t>)</w:t>
      </w:r>
      <w:r w:rsidRPr="00BD40F0">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Para falar dos Mayagna como comunidade</w:t>
      </w:r>
      <w:r w:rsidR="007A6BAA">
        <w:rPr>
          <w:rFonts w:ascii="Verdana" w:hAnsi="Verdana"/>
          <w:sz w:val="20"/>
        </w:rPr>
        <w:t>,</w:t>
      </w:r>
      <w:r w:rsidRPr="00BD40F0">
        <w:rPr>
          <w:rFonts w:ascii="Verdana" w:hAnsi="Verdana"/>
          <w:sz w:val="20"/>
        </w:rPr>
        <w:t xml:space="preserve"> </w:t>
      </w:r>
      <w:r w:rsidR="00FD01CB">
        <w:rPr>
          <w:rFonts w:ascii="Verdana" w:hAnsi="Verdana"/>
          <w:sz w:val="20"/>
        </w:rPr>
        <w:t xml:space="preserve">tudo </w:t>
      </w:r>
      <w:r w:rsidRPr="00BD40F0">
        <w:rPr>
          <w:rFonts w:ascii="Verdana" w:hAnsi="Verdana"/>
          <w:sz w:val="20"/>
        </w:rPr>
        <w:t xml:space="preserve">tem </w:t>
      </w:r>
      <w:r w:rsidR="00FD01CB">
        <w:rPr>
          <w:rFonts w:ascii="Verdana" w:hAnsi="Verdana"/>
          <w:sz w:val="20"/>
        </w:rPr>
        <w:t xml:space="preserve">de </w:t>
      </w:r>
      <w:r w:rsidRPr="00BD40F0">
        <w:rPr>
          <w:rFonts w:ascii="Verdana" w:hAnsi="Verdana"/>
          <w:sz w:val="20"/>
        </w:rPr>
        <w:t>ser visto como um processo. Atualmente é um grupo que tem</w:t>
      </w:r>
      <w:r w:rsidR="002C6A59">
        <w:rPr>
          <w:rFonts w:ascii="Verdana" w:hAnsi="Verdana"/>
          <w:sz w:val="20"/>
        </w:rPr>
        <w:t xml:space="preserve"> </w:t>
      </w:r>
      <w:r w:rsidR="007A6BAA">
        <w:rPr>
          <w:rFonts w:ascii="Verdana" w:hAnsi="Verdana"/>
          <w:sz w:val="20"/>
        </w:rPr>
        <w:t xml:space="preserve">liderança e forma de organização </w:t>
      </w:r>
      <w:proofErr w:type="gramStart"/>
      <w:r w:rsidR="007A6BAA">
        <w:rPr>
          <w:rFonts w:ascii="Verdana" w:hAnsi="Verdana"/>
          <w:sz w:val="20"/>
        </w:rPr>
        <w:t>social próprias</w:t>
      </w:r>
      <w:proofErr w:type="gramEnd"/>
      <w:r w:rsidR="002C6A59">
        <w:rPr>
          <w:rFonts w:ascii="Verdana" w:hAnsi="Verdana"/>
          <w:sz w:val="20"/>
        </w:rPr>
        <w:t xml:space="preserve"> </w:t>
      </w:r>
      <w:r w:rsidR="007A6BAA">
        <w:rPr>
          <w:rFonts w:ascii="Verdana" w:hAnsi="Verdana"/>
          <w:sz w:val="20"/>
        </w:rPr>
        <w:t>e que se reconhece como uma comunidade indígena</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Quanto à </w:t>
      </w:r>
      <w:r w:rsidR="00D00FA9">
        <w:rPr>
          <w:rFonts w:ascii="Verdana" w:hAnsi="Verdana"/>
          <w:sz w:val="20"/>
        </w:rPr>
        <w:t>posse</w:t>
      </w:r>
      <w:r w:rsidRPr="00BD40F0">
        <w:rPr>
          <w:rFonts w:ascii="Verdana" w:hAnsi="Verdana"/>
          <w:sz w:val="20"/>
        </w:rPr>
        <w:t xml:space="preserve"> atual da terra da Comunidade Awas Tingni, a testemunha considera que primeiro </w:t>
      </w:r>
      <w:r w:rsidR="00D00FA9">
        <w:rPr>
          <w:rFonts w:ascii="Verdana" w:hAnsi="Verdana"/>
          <w:sz w:val="20"/>
        </w:rPr>
        <w:t>é necessário falar da história.</w:t>
      </w:r>
      <w:r w:rsidRPr="00BD40F0">
        <w:rPr>
          <w:rFonts w:ascii="Verdana" w:hAnsi="Verdana"/>
          <w:sz w:val="20"/>
        </w:rPr>
        <w:t xml:space="preserve"> A Comunidade tem</w:t>
      </w:r>
      <w:r w:rsidR="00D00FA9">
        <w:rPr>
          <w:rFonts w:ascii="Verdana" w:hAnsi="Verdana"/>
          <w:sz w:val="20"/>
        </w:rPr>
        <w:t xml:space="preserve"> se</w:t>
      </w:r>
      <w:r w:rsidRPr="00BD40F0">
        <w:rPr>
          <w:rFonts w:ascii="Verdana" w:hAnsi="Verdana"/>
          <w:sz w:val="20"/>
        </w:rPr>
        <w:t xml:space="preserve"> identificado como uma comunidade Mayagna, mas pouco a pouco, com base no crescimento demográfico e também na comunicação cont</w:t>
      </w:r>
      <w:r w:rsidR="00D00FA9">
        <w:rPr>
          <w:rFonts w:ascii="Verdana" w:hAnsi="Verdana"/>
          <w:sz w:val="20"/>
        </w:rPr>
        <w:t>í</w:t>
      </w:r>
      <w:r w:rsidRPr="00BD40F0">
        <w:rPr>
          <w:rFonts w:ascii="Verdana" w:hAnsi="Verdana"/>
          <w:sz w:val="20"/>
        </w:rPr>
        <w:t>nua que tem tido com pessoas de outras zonas, fo</w:t>
      </w:r>
      <w:r w:rsidR="00D00FA9">
        <w:rPr>
          <w:rFonts w:ascii="Verdana" w:hAnsi="Verdana"/>
          <w:sz w:val="20"/>
        </w:rPr>
        <w:t>i</w:t>
      </w:r>
      <w:r w:rsidRPr="00BD40F0">
        <w:rPr>
          <w:rFonts w:ascii="Verdana" w:hAnsi="Verdana"/>
          <w:sz w:val="20"/>
        </w:rPr>
        <w:t xml:space="preserve"> identificando a si </w:t>
      </w:r>
      <w:proofErr w:type="gramStart"/>
      <w:r w:rsidRPr="00BD40F0">
        <w:rPr>
          <w:rFonts w:ascii="Verdana" w:hAnsi="Verdana"/>
          <w:sz w:val="20"/>
        </w:rPr>
        <w:t>mesma como uma comunidade independente, ao redor de seus líderes espirituais chamados</w:t>
      </w:r>
      <w:proofErr w:type="gramEnd"/>
      <w:r w:rsidRPr="00BD40F0">
        <w:rPr>
          <w:rFonts w:ascii="Verdana" w:hAnsi="Verdana"/>
          <w:sz w:val="20"/>
        </w:rPr>
        <w:t xml:space="preserve"> caciques.</w:t>
      </w:r>
      <w:r w:rsidR="00850A3F">
        <w:rPr>
          <w:rFonts w:ascii="Verdana" w:hAnsi="Verdana"/>
          <w:sz w:val="20"/>
        </w:rPr>
        <w:t xml:space="preserve"> </w:t>
      </w:r>
      <w:r w:rsidRPr="00BD40F0">
        <w:rPr>
          <w:rFonts w:ascii="Verdana" w:hAnsi="Verdana"/>
          <w:sz w:val="20"/>
        </w:rPr>
        <w:t>Assim</w:t>
      </w:r>
      <w:r w:rsidR="000864EE">
        <w:rPr>
          <w:rFonts w:ascii="Verdana" w:hAnsi="Verdana"/>
          <w:sz w:val="20"/>
        </w:rPr>
        <w:t>,</w:t>
      </w:r>
      <w:r w:rsidRPr="00BD40F0">
        <w:rPr>
          <w:rFonts w:ascii="Verdana" w:hAnsi="Verdana"/>
          <w:sz w:val="20"/>
        </w:rPr>
        <w:t xml:space="preserve"> foi</w:t>
      </w:r>
      <w:r w:rsidR="00FD01CB">
        <w:rPr>
          <w:rFonts w:ascii="Verdana" w:hAnsi="Verdana"/>
          <w:sz w:val="20"/>
        </w:rPr>
        <w:t>-se</w:t>
      </w:r>
      <w:r w:rsidRPr="00BD40F0">
        <w:rPr>
          <w:rFonts w:ascii="Verdana" w:hAnsi="Verdana"/>
          <w:sz w:val="20"/>
        </w:rPr>
        <w:t xml:space="preserve"> formando e fortalecendo seu sentido de comunidade, com seus próprios limites e fronteiras.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Há duas comunidades Mis</w:t>
      </w:r>
      <w:r w:rsidRPr="004E183D">
        <w:rPr>
          <w:rFonts w:ascii="Verdana" w:hAnsi="Verdana"/>
          <w:sz w:val="20"/>
        </w:rPr>
        <w:t>k</w:t>
      </w:r>
      <w:r w:rsidRPr="00BD40F0">
        <w:rPr>
          <w:rFonts w:ascii="Verdana" w:hAnsi="Verdana"/>
          <w:sz w:val="20"/>
        </w:rPr>
        <w:t>itas no ter</w:t>
      </w:r>
      <w:r w:rsidR="00237416">
        <w:rPr>
          <w:rFonts w:ascii="Verdana" w:hAnsi="Verdana"/>
          <w:sz w:val="20"/>
        </w:rPr>
        <w:t>ritório de</w:t>
      </w:r>
      <w:r w:rsidRPr="00BD40F0">
        <w:rPr>
          <w:rFonts w:ascii="Verdana" w:hAnsi="Verdana"/>
          <w:sz w:val="20"/>
        </w:rPr>
        <w:t xml:space="preserve"> Awas Tingni, segundo demo</w:t>
      </w:r>
      <w:r w:rsidR="00D00FA9">
        <w:rPr>
          <w:rFonts w:ascii="Verdana" w:hAnsi="Verdana"/>
          <w:sz w:val="20"/>
        </w:rPr>
        <w:t>n</w:t>
      </w:r>
      <w:r w:rsidRPr="00BD40F0">
        <w:rPr>
          <w:rFonts w:ascii="Verdana" w:hAnsi="Verdana"/>
          <w:sz w:val="20"/>
        </w:rPr>
        <w:t>stra o mapa.</w:t>
      </w:r>
      <w:r w:rsidR="00850A3F">
        <w:rPr>
          <w:rFonts w:ascii="Verdana" w:hAnsi="Verdana"/>
          <w:sz w:val="20"/>
        </w:rPr>
        <w:t xml:space="preserve"> </w:t>
      </w:r>
      <w:r w:rsidRPr="00BD40F0">
        <w:rPr>
          <w:rFonts w:ascii="Verdana" w:hAnsi="Verdana"/>
          <w:sz w:val="20"/>
        </w:rPr>
        <w:t>Esperanza é uma e foi formada em duas etapas, a saber: em 1971, depois da guerra entre Honduras e Nicarágua</w:t>
      </w:r>
      <w:r w:rsidR="00FD01CB">
        <w:rPr>
          <w:rFonts w:ascii="Verdana" w:hAnsi="Verdana"/>
          <w:sz w:val="20"/>
        </w:rPr>
        <w:t>,</w:t>
      </w:r>
      <w:r w:rsidRPr="00BD40F0">
        <w:rPr>
          <w:rFonts w:ascii="Verdana" w:hAnsi="Verdana"/>
          <w:sz w:val="20"/>
        </w:rPr>
        <w:t xml:space="preserve"> e em 1972</w:t>
      </w:r>
      <w:r w:rsidR="00D00FA9">
        <w:rPr>
          <w:rFonts w:ascii="Verdana" w:hAnsi="Verdana"/>
          <w:sz w:val="20"/>
        </w:rPr>
        <w:t>,</w:t>
      </w:r>
      <w:r w:rsidRPr="00BD40F0">
        <w:rPr>
          <w:rFonts w:ascii="Verdana" w:hAnsi="Verdana"/>
          <w:sz w:val="20"/>
        </w:rPr>
        <w:t xml:space="preserve"> depois do furacão desse ano, quando chegaram outras comunidades. Uma das cinco comunidades que se </w:t>
      </w:r>
      <w:r w:rsidR="00E363DD">
        <w:rPr>
          <w:rFonts w:ascii="Verdana" w:hAnsi="Verdana"/>
          <w:sz w:val="20"/>
        </w:rPr>
        <w:t>estabeleceram</w:t>
      </w:r>
      <w:r w:rsidRPr="00BD40F0">
        <w:rPr>
          <w:rFonts w:ascii="Verdana" w:hAnsi="Verdana"/>
          <w:sz w:val="20"/>
        </w:rPr>
        <w:t xml:space="preserve"> no território se denomina </w:t>
      </w:r>
      <w:r w:rsidR="00E363DD">
        <w:rPr>
          <w:rFonts w:ascii="Verdana" w:hAnsi="Verdana"/>
          <w:sz w:val="20"/>
        </w:rPr>
        <w:t>de</w:t>
      </w:r>
      <w:r w:rsidRPr="00BD40F0">
        <w:rPr>
          <w:rFonts w:ascii="Verdana" w:hAnsi="Verdana"/>
          <w:sz w:val="20"/>
        </w:rPr>
        <w:t xml:space="preserve"> Tasba Raya, Esperanza, </w:t>
      </w:r>
      <w:r w:rsidR="00E363DD">
        <w:rPr>
          <w:rFonts w:ascii="Verdana" w:hAnsi="Verdana"/>
          <w:sz w:val="20"/>
        </w:rPr>
        <w:t>e</w:t>
      </w:r>
      <w:r w:rsidRPr="00BD40F0">
        <w:rPr>
          <w:rFonts w:ascii="Verdana" w:hAnsi="Verdana"/>
          <w:sz w:val="20"/>
        </w:rPr>
        <w:t xml:space="preserve"> está ao norte do Rio Wawa.</w:t>
      </w:r>
      <w:r w:rsidR="00850A3F">
        <w:rPr>
          <w:rFonts w:ascii="Verdana" w:hAnsi="Verdana"/>
          <w:sz w:val="20"/>
        </w:rPr>
        <w:t xml:space="preserve"> </w:t>
      </w:r>
      <w:r w:rsidRPr="00BD40F0">
        <w:rPr>
          <w:rFonts w:ascii="Verdana" w:hAnsi="Verdana"/>
          <w:sz w:val="20"/>
        </w:rPr>
        <w:t>Eles chegaram aí sob</w:t>
      </w:r>
      <w:r w:rsidR="001D348E">
        <w:rPr>
          <w:rFonts w:ascii="Verdana" w:hAnsi="Verdana"/>
          <w:sz w:val="20"/>
        </w:rPr>
        <w:t xml:space="preserve"> as</w:t>
      </w:r>
      <w:r w:rsidRPr="00BD40F0">
        <w:rPr>
          <w:rFonts w:ascii="Verdana" w:hAnsi="Verdana"/>
          <w:sz w:val="20"/>
        </w:rPr>
        <w:t xml:space="preserve"> ordens do Estado nessa época e foram aceitos pela Comunidade Awas Tingni.</w:t>
      </w:r>
      <w:r w:rsidR="00850A3F">
        <w:rPr>
          <w:rFonts w:ascii="Verdana" w:hAnsi="Verdana"/>
          <w:sz w:val="20"/>
        </w:rPr>
        <w:t xml:space="preserve"> </w:t>
      </w:r>
      <w:r w:rsidRPr="00BD40F0">
        <w:rPr>
          <w:rFonts w:ascii="Verdana" w:hAnsi="Verdana"/>
          <w:sz w:val="20"/>
        </w:rPr>
        <w:t xml:space="preserve">A outra é chamada Yapú Muscana, a qual mais que uma comunidade é </w:t>
      </w:r>
      <w:r w:rsidR="00E363DD">
        <w:rPr>
          <w:rFonts w:ascii="Verdana" w:hAnsi="Verdana"/>
          <w:color w:val="000000"/>
          <w:sz w:val="20"/>
        </w:rPr>
        <w:t>nada mais que um refúgio</w:t>
      </w:r>
      <w:r w:rsidRPr="00BD40F0">
        <w:rPr>
          <w:rFonts w:ascii="Verdana" w:hAnsi="Verdana"/>
          <w:color w:val="000000"/>
          <w:sz w:val="20"/>
        </w:rPr>
        <w:t>;</w:t>
      </w:r>
      <w:r w:rsidRPr="00BD40F0">
        <w:rPr>
          <w:rFonts w:ascii="Verdana" w:hAnsi="Verdana"/>
          <w:sz w:val="20"/>
        </w:rPr>
        <w:t xml:space="preserve"> foi uma família mis</w:t>
      </w:r>
      <w:r w:rsidRPr="004E183D">
        <w:rPr>
          <w:rFonts w:ascii="Verdana" w:hAnsi="Verdana"/>
          <w:sz w:val="20"/>
        </w:rPr>
        <w:t>k</w:t>
      </w:r>
      <w:r w:rsidRPr="00BD40F0">
        <w:rPr>
          <w:rFonts w:ascii="Verdana" w:hAnsi="Verdana"/>
          <w:sz w:val="20"/>
        </w:rPr>
        <w:t xml:space="preserve">ita que se havia assentado independentemente </w:t>
      </w:r>
      <w:r w:rsidR="00E363DD">
        <w:rPr>
          <w:rFonts w:ascii="Verdana" w:hAnsi="Verdana"/>
          <w:sz w:val="20"/>
        </w:rPr>
        <w:t xml:space="preserve">no lado sul. </w:t>
      </w:r>
      <w:r w:rsidRPr="00BD40F0">
        <w:rPr>
          <w:rFonts w:ascii="Verdana" w:hAnsi="Verdana"/>
          <w:sz w:val="20"/>
        </w:rPr>
        <w:t>Não há nenhuma evidência de que essas comunidades estive</w:t>
      </w:r>
      <w:r w:rsidR="00E363DD">
        <w:rPr>
          <w:rFonts w:ascii="Verdana" w:hAnsi="Verdana"/>
          <w:sz w:val="20"/>
        </w:rPr>
        <w:t>ssem aí</w:t>
      </w:r>
      <w:r w:rsidRPr="00BD40F0">
        <w:rPr>
          <w:rFonts w:ascii="Verdana" w:hAnsi="Verdana"/>
          <w:sz w:val="20"/>
        </w:rPr>
        <w:t xml:space="preserve"> antes da Comunidade Awas Tingni; pelo contrário, um membro de Francia Sirpi, que é a comunidade </w:t>
      </w:r>
      <w:r w:rsidR="00FD01CB">
        <w:rPr>
          <w:rFonts w:ascii="Verdana" w:hAnsi="Verdana"/>
          <w:sz w:val="20"/>
        </w:rPr>
        <w:t>limítrofe</w:t>
      </w:r>
      <w:r w:rsidRPr="00BD40F0">
        <w:rPr>
          <w:rFonts w:ascii="Verdana" w:hAnsi="Verdana"/>
          <w:sz w:val="20"/>
        </w:rPr>
        <w:t xml:space="preserve"> com Esperanza, </w:t>
      </w:r>
      <w:r w:rsidR="00243DA4">
        <w:rPr>
          <w:rFonts w:ascii="Verdana" w:hAnsi="Verdana"/>
          <w:sz w:val="20"/>
        </w:rPr>
        <w:t>afirmou</w:t>
      </w:r>
      <w:r w:rsidRPr="00BD40F0">
        <w:rPr>
          <w:rFonts w:ascii="Verdana" w:hAnsi="Verdana"/>
          <w:sz w:val="20"/>
        </w:rPr>
        <w:t xml:space="preserve"> à testemunha que Awas Tingni chegou antes.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Atualmente</w:t>
      </w:r>
      <w:r w:rsidR="00E346F5">
        <w:rPr>
          <w:rFonts w:ascii="Verdana" w:hAnsi="Verdana"/>
          <w:sz w:val="20"/>
        </w:rPr>
        <w:t>,</w:t>
      </w:r>
      <w:r w:rsidRPr="00BD40F0">
        <w:rPr>
          <w:rFonts w:ascii="Verdana" w:hAnsi="Verdana"/>
          <w:sz w:val="20"/>
        </w:rPr>
        <w:t xml:space="preserve"> há alguns conflitos com as comunidades limítrofes à Comunidade, principalmente</w:t>
      </w:r>
      <w:r w:rsidR="002C6A59">
        <w:rPr>
          <w:rFonts w:ascii="Verdana" w:hAnsi="Verdana"/>
          <w:sz w:val="20"/>
        </w:rPr>
        <w:t xml:space="preserve"> </w:t>
      </w:r>
      <w:r w:rsidR="00E346F5">
        <w:rPr>
          <w:rFonts w:ascii="Verdana" w:hAnsi="Verdana"/>
          <w:sz w:val="20"/>
        </w:rPr>
        <w:t>devido à</w:t>
      </w:r>
      <w:r w:rsidRPr="00BD40F0">
        <w:rPr>
          <w:rFonts w:ascii="Verdana" w:hAnsi="Verdana"/>
          <w:sz w:val="20"/>
        </w:rPr>
        <w:t xml:space="preserve"> presença</w:t>
      </w:r>
      <w:r w:rsidR="002C6A59">
        <w:rPr>
          <w:rFonts w:ascii="Verdana" w:hAnsi="Verdana"/>
          <w:sz w:val="20"/>
        </w:rPr>
        <w:t xml:space="preserve"> </w:t>
      </w:r>
      <w:r w:rsidR="00E346F5">
        <w:rPr>
          <w:rFonts w:ascii="Verdana" w:hAnsi="Verdana"/>
          <w:sz w:val="20"/>
        </w:rPr>
        <w:t xml:space="preserve">da companhia </w:t>
      </w:r>
      <w:r w:rsidRPr="00BD40F0">
        <w:rPr>
          <w:rFonts w:ascii="Verdana" w:hAnsi="Verdana"/>
          <w:sz w:val="20"/>
        </w:rPr>
        <w:t>SOLCARSA,</w:t>
      </w:r>
      <w:r w:rsidR="00E346F5">
        <w:rPr>
          <w:rFonts w:ascii="Verdana" w:hAnsi="Verdana"/>
          <w:sz w:val="20"/>
        </w:rPr>
        <w:t xml:space="preserve"> com </w:t>
      </w:r>
      <w:r w:rsidR="00B45C45">
        <w:rPr>
          <w:rFonts w:ascii="Verdana" w:hAnsi="Verdana"/>
          <w:sz w:val="20"/>
        </w:rPr>
        <w:t>a qual</w:t>
      </w:r>
      <w:r w:rsidR="00E346F5">
        <w:rPr>
          <w:rFonts w:ascii="Verdana" w:hAnsi="Verdana"/>
          <w:sz w:val="20"/>
        </w:rPr>
        <w:t xml:space="preserve"> falta entendimento,</w:t>
      </w:r>
      <w:r w:rsidRPr="00BD40F0">
        <w:rPr>
          <w:rFonts w:ascii="Verdana" w:hAnsi="Verdana"/>
          <w:sz w:val="20"/>
        </w:rPr>
        <w:t xml:space="preserve"> porque membros de comunidades </w:t>
      </w:r>
      <w:r w:rsidR="00AA5BC7">
        <w:rPr>
          <w:rFonts w:ascii="Verdana" w:hAnsi="Verdana"/>
          <w:sz w:val="20"/>
        </w:rPr>
        <w:t>vizinhas</w:t>
      </w:r>
      <w:r w:rsidRPr="00BD40F0">
        <w:rPr>
          <w:rFonts w:ascii="Verdana" w:hAnsi="Verdana"/>
          <w:sz w:val="20"/>
        </w:rPr>
        <w:t xml:space="preserve"> querem apoderar-se de suas terras, pensando que quem </w:t>
      </w:r>
      <w:r w:rsidR="00AA5BC7">
        <w:rPr>
          <w:rFonts w:ascii="Verdana" w:hAnsi="Verdana"/>
          <w:sz w:val="20"/>
        </w:rPr>
        <w:t>for</w:t>
      </w:r>
      <w:r w:rsidRPr="00BD40F0">
        <w:rPr>
          <w:rFonts w:ascii="Verdana" w:hAnsi="Verdana"/>
          <w:sz w:val="20"/>
        </w:rPr>
        <w:t xml:space="preserve"> o dono da terra será o beneficiado com as obras que se </w:t>
      </w:r>
      <w:r w:rsidR="00FD01CB">
        <w:rPr>
          <w:rFonts w:ascii="Verdana" w:hAnsi="Verdana"/>
          <w:sz w:val="20"/>
        </w:rPr>
        <w:t>realizem</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Foi construída uma história e uma posse ancestral</w:t>
      </w:r>
      <w:r w:rsidRPr="00BD40F0">
        <w:rPr>
          <w:rFonts w:ascii="Verdana" w:hAnsi="Verdana"/>
          <w:b/>
          <w:sz w:val="20"/>
        </w:rPr>
        <w:t xml:space="preserve"> </w:t>
      </w:r>
      <w:r w:rsidRPr="00BD40F0">
        <w:rPr>
          <w:rFonts w:ascii="Verdana" w:hAnsi="Verdana"/>
          <w:sz w:val="20"/>
        </w:rPr>
        <w:t>com indígenas de diferente</w:t>
      </w:r>
      <w:r w:rsidR="00F0203C">
        <w:rPr>
          <w:rFonts w:ascii="Verdana" w:hAnsi="Verdana"/>
          <w:sz w:val="20"/>
        </w:rPr>
        <w:t>s</w:t>
      </w:r>
      <w:r w:rsidRPr="00BD40F0">
        <w:rPr>
          <w:rFonts w:ascii="Verdana" w:hAnsi="Verdana"/>
          <w:sz w:val="20"/>
        </w:rPr>
        <w:t xml:space="preserve"> etnia</w:t>
      </w:r>
      <w:r w:rsidR="00F0203C">
        <w:rPr>
          <w:rFonts w:ascii="Verdana" w:hAnsi="Verdana"/>
          <w:sz w:val="20"/>
        </w:rPr>
        <w:t>s</w:t>
      </w:r>
      <w:r w:rsidRPr="00BD40F0">
        <w:rPr>
          <w:rFonts w:ascii="Verdana" w:hAnsi="Verdana"/>
          <w:sz w:val="20"/>
        </w:rPr>
        <w:t>.</w:t>
      </w:r>
      <w:r w:rsidR="00850A3F">
        <w:rPr>
          <w:rFonts w:ascii="Verdana" w:hAnsi="Verdana"/>
          <w:sz w:val="20"/>
        </w:rPr>
        <w:t xml:space="preserve"> </w:t>
      </w:r>
      <w:r w:rsidRPr="00BD40F0">
        <w:rPr>
          <w:rFonts w:ascii="Verdana" w:hAnsi="Verdana"/>
          <w:sz w:val="20"/>
        </w:rPr>
        <w:t>O sentido de fronteiras da Comunidade</w:t>
      </w:r>
      <w:r w:rsidR="002C6A59">
        <w:rPr>
          <w:rFonts w:ascii="Verdana" w:hAnsi="Verdana"/>
          <w:sz w:val="20"/>
        </w:rPr>
        <w:t xml:space="preserve"> </w:t>
      </w:r>
      <w:r w:rsidR="00F0203C">
        <w:rPr>
          <w:rFonts w:ascii="Verdana" w:hAnsi="Verdana"/>
          <w:sz w:val="20"/>
        </w:rPr>
        <w:t>fortaleceu-se</w:t>
      </w:r>
      <w:r w:rsidRPr="00BD40F0">
        <w:rPr>
          <w:rFonts w:ascii="Verdana" w:hAnsi="Verdana"/>
          <w:sz w:val="20"/>
        </w:rPr>
        <w:t xml:space="preserve"> com a interação vicinal.</w:t>
      </w:r>
      <w:r w:rsidR="00850A3F">
        <w:rPr>
          <w:rFonts w:ascii="Verdana" w:hAnsi="Verdana"/>
          <w:sz w:val="20"/>
        </w:rPr>
        <w:t xml:space="preserve"> </w:t>
      </w:r>
      <w:r w:rsidRPr="00BD40F0">
        <w:rPr>
          <w:rFonts w:ascii="Verdana" w:hAnsi="Verdana"/>
          <w:sz w:val="20"/>
        </w:rPr>
        <w:t xml:space="preserve">A única prova que pode ser utilizada para determinar a existência da Comunidade antes de 1990 é a tradição oral. Há investigações sobre a história da Comunidade, e também </w:t>
      </w:r>
      <w:r w:rsidR="00AA5BC7">
        <w:rPr>
          <w:rFonts w:ascii="Verdana" w:hAnsi="Verdana"/>
          <w:sz w:val="20"/>
        </w:rPr>
        <w:t>foram consultados</w:t>
      </w:r>
      <w:r w:rsidRPr="00BD40F0">
        <w:rPr>
          <w:rFonts w:ascii="Verdana" w:hAnsi="Verdana"/>
          <w:sz w:val="20"/>
        </w:rPr>
        <w:t xml:space="preserve"> alguns especialistas da Universidade de Harvard, nos Estados Unidos, e da América Central, e não </w:t>
      </w:r>
      <w:r w:rsidR="00C4352A">
        <w:rPr>
          <w:rFonts w:ascii="Verdana" w:hAnsi="Verdana"/>
          <w:sz w:val="20"/>
        </w:rPr>
        <w:t xml:space="preserve">foram encontrados </w:t>
      </w:r>
      <w:r w:rsidRPr="00BD40F0">
        <w:rPr>
          <w:rFonts w:ascii="Verdana" w:hAnsi="Verdana"/>
          <w:sz w:val="20"/>
        </w:rPr>
        <w:t>dados que contradisse</w:t>
      </w:r>
      <w:r w:rsidR="00AA5BC7">
        <w:rPr>
          <w:rFonts w:ascii="Verdana" w:hAnsi="Verdana"/>
          <w:sz w:val="20"/>
        </w:rPr>
        <w:t>ssem</w:t>
      </w:r>
      <w:r w:rsidR="00B2629A">
        <w:rPr>
          <w:rFonts w:ascii="Verdana" w:hAnsi="Verdana"/>
          <w:sz w:val="20"/>
        </w:rPr>
        <w:t xml:space="preserve"> a tradição oral na qual</w:t>
      </w:r>
      <w:r w:rsidRPr="00BD40F0">
        <w:rPr>
          <w:rFonts w:ascii="Verdana" w:hAnsi="Verdana"/>
          <w:sz w:val="20"/>
        </w:rPr>
        <w:t xml:space="preserve"> se baseia seu estudo.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As formas de exploração do solo da área da Comunidade Awas Tingni são baseadas em um sistema</w:t>
      </w:r>
      <w:r w:rsidR="002C6A59">
        <w:rPr>
          <w:rFonts w:ascii="Verdana" w:hAnsi="Verdana"/>
          <w:sz w:val="20"/>
        </w:rPr>
        <w:t xml:space="preserve"> </w:t>
      </w:r>
      <w:r w:rsidR="00F0203C">
        <w:rPr>
          <w:rFonts w:ascii="Verdana" w:hAnsi="Verdana"/>
          <w:sz w:val="20"/>
        </w:rPr>
        <w:t>comunitário</w:t>
      </w:r>
      <w:r w:rsidRPr="00BD40F0">
        <w:rPr>
          <w:rFonts w:ascii="Verdana" w:hAnsi="Verdana"/>
          <w:sz w:val="20"/>
        </w:rPr>
        <w:t xml:space="preserve">, dentro do qual há usufruto </w:t>
      </w:r>
      <w:r w:rsidR="00FD01CB">
        <w:rPr>
          <w:rFonts w:ascii="Verdana" w:hAnsi="Verdana"/>
          <w:sz w:val="20"/>
        </w:rPr>
        <w:t>por</w:t>
      </w:r>
      <w:r w:rsidRPr="00BD40F0">
        <w:rPr>
          <w:rFonts w:ascii="Verdana" w:hAnsi="Verdana"/>
          <w:sz w:val="20"/>
        </w:rPr>
        <w:t xml:space="preserve"> parte d</w:t>
      </w:r>
      <w:r w:rsidR="00EE7E49">
        <w:rPr>
          <w:rFonts w:ascii="Verdana" w:hAnsi="Verdana"/>
          <w:sz w:val="20"/>
        </w:rPr>
        <w:t>os</w:t>
      </w:r>
      <w:r w:rsidRPr="00BD40F0">
        <w:rPr>
          <w:rFonts w:ascii="Verdana" w:hAnsi="Verdana"/>
          <w:sz w:val="20"/>
        </w:rPr>
        <w:t xml:space="preserve"> indivíduos, o qu</w:t>
      </w:r>
      <w:r w:rsidR="00FD01CB">
        <w:rPr>
          <w:rFonts w:ascii="Verdana" w:hAnsi="Verdana"/>
          <w:sz w:val="20"/>
        </w:rPr>
        <w:t>e</w:t>
      </w:r>
      <w:r w:rsidRPr="00BD40F0">
        <w:rPr>
          <w:rFonts w:ascii="Verdana" w:hAnsi="Verdana"/>
          <w:sz w:val="20"/>
        </w:rPr>
        <w:t xml:space="preserve"> significa que ninguém pode vender nem alugar esse território a pessoas de fora da Comunidade.</w:t>
      </w:r>
      <w:r w:rsidR="00850A3F">
        <w:rPr>
          <w:rFonts w:ascii="Verdana" w:hAnsi="Verdana"/>
          <w:sz w:val="20"/>
        </w:rPr>
        <w:t xml:space="preserve"> </w:t>
      </w:r>
      <w:r w:rsidRPr="00BD40F0">
        <w:rPr>
          <w:rFonts w:ascii="Verdana" w:hAnsi="Verdana"/>
          <w:sz w:val="20"/>
        </w:rPr>
        <w:t xml:space="preserve">Entretanto, dentro da Comunidade, certos indivíduos utilizam um lote, uma área determinada, ano </w:t>
      </w:r>
      <w:r w:rsidR="00EE7E49">
        <w:rPr>
          <w:rFonts w:ascii="Verdana" w:hAnsi="Verdana"/>
          <w:sz w:val="20"/>
        </w:rPr>
        <w:t>após</w:t>
      </w:r>
      <w:r w:rsidRPr="00BD40F0">
        <w:rPr>
          <w:rFonts w:ascii="Verdana" w:hAnsi="Verdana"/>
          <w:sz w:val="20"/>
        </w:rPr>
        <w:t xml:space="preserve"> ano.</w:t>
      </w:r>
      <w:r w:rsidR="00850A3F">
        <w:rPr>
          <w:rFonts w:ascii="Verdana" w:hAnsi="Verdana"/>
          <w:sz w:val="20"/>
        </w:rPr>
        <w:t xml:space="preserve"> </w:t>
      </w:r>
      <w:r w:rsidRPr="00BD40F0">
        <w:rPr>
          <w:rFonts w:ascii="Verdana" w:hAnsi="Verdana"/>
          <w:sz w:val="20"/>
        </w:rPr>
        <w:t>Assim, a Comunidade respeita o direito de usufruto, mas não permite o abuso desse direito.</w:t>
      </w:r>
      <w:r w:rsidR="00850A3F">
        <w:rPr>
          <w:rFonts w:ascii="Verdana" w:hAnsi="Verdana"/>
          <w:sz w:val="20"/>
        </w:rPr>
        <w:t xml:space="preserve"> </w:t>
      </w:r>
      <w:r w:rsidRPr="00BD40F0">
        <w:rPr>
          <w:rFonts w:ascii="Verdana" w:hAnsi="Verdana"/>
          <w:sz w:val="20"/>
        </w:rPr>
        <w:t xml:space="preserve">Este direito de usufruto é adquirido em muitos casos por herança, passando de geração em geração, mas principalmente é </w:t>
      </w:r>
      <w:r w:rsidR="00EE7E49">
        <w:rPr>
          <w:rFonts w:ascii="Verdana" w:hAnsi="Verdana"/>
          <w:sz w:val="20"/>
        </w:rPr>
        <w:t>concedido</w:t>
      </w:r>
      <w:r w:rsidRPr="00BD40F0">
        <w:rPr>
          <w:rFonts w:ascii="Verdana" w:hAnsi="Verdana"/>
          <w:sz w:val="20"/>
        </w:rPr>
        <w:t xml:space="preserve"> por um consenso da Comunidade.</w:t>
      </w:r>
      <w:r w:rsidR="00850A3F">
        <w:rPr>
          <w:rFonts w:ascii="Verdana" w:hAnsi="Verdana"/>
          <w:sz w:val="20"/>
        </w:rPr>
        <w:t xml:space="preserve"> </w:t>
      </w:r>
      <w:r w:rsidRPr="00BD40F0">
        <w:rPr>
          <w:rFonts w:ascii="Verdana" w:hAnsi="Verdana"/>
          <w:sz w:val="20"/>
        </w:rPr>
        <w:t>Também, pode ser transferido de uma família</w:t>
      </w:r>
      <w:r w:rsidR="002C6A59">
        <w:rPr>
          <w:rFonts w:ascii="Verdana" w:hAnsi="Verdana"/>
          <w:sz w:val="20"/>
        </w:rPr>
        <w:t xml:space="preserve"> </w:t>
      </w:r>
      <w:r w:rsidR="001A0C9E">
        <w:rPr>
          <w:rFonts w:ascii="Verdana" w:hAnsi="Verdana"/>
          <w:sz w:val="20"/>
        </w:rPr>
        <w:t>à</w:t>
      </w:r>
      <w:r w:rsidRPr="00BD40F0">
        <w:rPr>
          <w:rFonts w:ascii="Verdana" w:hAnsi="Verdana"/>
          <w:sz w:val="20"/>
        </w:rPr>
        <w:t xml:space="preserve"> outra.</w:t>
      </w:r>
      <w:r w:rsidR="00850A3F">
        <w:rPr>
          <w:rFonts w:ascii="Verdana" w:hAnsi="Verdana"/>
          <w:sz w:val="20"/>
        </w:rPr>
        <w:t xml:space="preserve"> </w:t>
      </w:r>
      <w:r w:rsidRPr="00BD40F0">
        <w:rPr>
          <w:rFonts w:ascii="Verdana" w:hAnsi="Verdana"/>
          <w:sz w:val="20"/>
        </w:rPr>
        <w:t>Quem se beneficia desse usufruto tem a possibilidade de excluir do uso dessa terra, do aproveitamento desses recursos, os demais membros da Comunidade.</w:t>
      </w:r>
    </w:p>
    <w:p w:rsidR="000B3F97" w:rsidRPr="00BD40F0" w:rsidRDefault="000B3F97" w:rsidP="000B3F97">
      <w:pPr>
        <w:jc w:val="both"/>
        <w:rPr>
          <w:rFonts w:ascii="Verdana" w:hAnsi="Verdana"/>
          <w:sz w:val="20"/>
        </w:rPr>
      </w:pPr>
    </w:p>
    <w:p w:rsidR="000B3F97" w:rsidRPr="00BD40F0" w:rsidRDefault="00512F9F" w:rsidP="000B3F97">
      <w:pPr>
        <w:jc w:val="both"/>
        <w:rPr>
          <w:rFonts w:ascii="Verdana" w:hAnsi="Verdana"/>
          <w:sz w:val="20"/>
        </w:rPr>
      </w:pPr>
      <w:r>
        <w:rPr>
          <w:rFonts w:ascii="Verdana" w:hAnsi="Verdana"/>
          <w:sz w:val="20"/>
        </w:rPr>
        <w:t>As colinas</w:t>
      </w:r>
      <w:r w:rsidR="000B3F97" w:rsidRPr="00BD40F0">
        <w:rPr>
          <w:rFonts w:ascii="Verdana" w:hAnsi="Verdana"/>
          <w:sz w:val="20"/>
        </w:rPr>
        <w:t xml:space="preserve"> localizad</w:t>
      </w:r>
      <w:r>
        <w:rPr>
          <w:rFonts w:ascii="Verdana" w:hAnsi="Verdana"/>
          <w:sz w:val="20"/>
        </w:rPr>
        <w:t>a</w:t>
      </w:r>
      <w:r w:rsidR="000B3F97" w:rsidRPr="00BD40F0">
        <w:rPr>
          <w:rFonts w:ascii="Verdana" w:hAnsi="Verdana"/>
          <w:sz w:val="20"/>
        </w:rPr>
        <w:t>s no território da Comunidade são muito importantes.</w:t>
      </w:r>
      <w:r w:rsidR="00850A3F">
        <w:rPr>
          <w:rFonts w:ascii="Verdana" w:hAnsi="Verdana"/>
          <w:sz w:val="20"/>
        </w:rPr>
        <w:t xml:space="preserve"> </w:t>
      </w:r>
      <w:r w:rsidR="000B3F97" w:rsidRPr="00BD40F0">
        <w:rPr>
          <w:rFonts w:ascii="Verdana" w:hAnsi="Verdana"/>
          <w:sz w:val="20"/>
        </w:rPr>
        <w:t>Dentro del</w:t>
      </w:r>
      <w:r w:rsidR="00EE7E49">
        <w:rPr>
          <w:rFonts w:ascii="Verdana" w:hAnsi="Verdana"/>
          <w:sz w:val="20"/>
        </w:rPr>
        <w:t>a</w:t>
      </w:r>
      <w:r w:rsidR="000B3F97" w:rsidRPr="00BD40F0">
        <w:rPr>
          <w:rFonts w:ascii="Verdana" w:hAnsi="Verdana"/>
          <w:sz w:val="20"/>
        </w:rPr>
        <w:t xml:space="preserve">s vivem os “espíritos do monte”, chefes do monte, que em Mayagna </w:t>
      </w:r>
      <w:r w:rsidR="00EE7E49">
        <w:rPr>
          <w:rFonts w:ascii="Verdana" w:hAnsi="Verdana"/>
          <w:sz w:val="20"/>
        </w:rPr>
        <w:t>diz-se</w:t>
      </w:r>
      <w:r w:rsidR="000B3F97" w:rsidRPr="00BD40F0">
        <w:rPr>
          <w:rFonts w:ascii="Verdana" w:hAnsi="Verdana"/>
          <w:sz w:val="20"/>
        </w:rPr>
        <w:t xml:space="preserve"> “</w:t>
      </w:r>
      <w:r w:rsidR="000B3F97" w:rsidRPr="00650043">
        <w:rPr>
          <w:rFonts w:ascii="Verdana" w:hAnsi="Verdana"/>
          <w:i/>
          <w:sz w:val="20"/>
        </w:rPr>
        <w:t>Asangpas Muigeni</w:t>
      </w:r>
      <w:r w:rsidR="000B3F97" w:rsidRPr="00BD40F0">
        <w:rPr>
          <w:rFonts w:ascii="Verdana" w:hAnsi="Verdana"/>
          <w:sz w:val="20"/>
        </w:rPr>
        <w:t xml:space="preserve">”, que são </w:t>
      </w:r>
      <w:r w:rsidR="00EE7E49">
        <w:rPr>
          <w:rFonts w:ascii="Verdana" w:hAnsi="Verdana"/>
          <w:sz w:val="20"/>
        </w:rPr>
        <w:t>os que</w:t>
      </w:r>
      <w:r w:rsidR="000B3F97" w:rsidRPr="00BD40F0">
        <w:rPr>
          <w:rFonts w:ascii="Verdana" w:hAnsi="Verdana"/>
          <w:sz w:val="20"/>
        </w:rPr>
        <w:t xml:space="preserve"> controlam os animais ao redor dessa região.</w:t>
      </w:r>
      <w:r w:rsidR="00850A3F">
        <w:rPr>
          <w:rFonts w:ascii="Verdana" w:hAnsi="Verdana"/>
          <w:sz w:val="20"/>
        </w:rPr>
        <w:t xml:space="preserve"> </w:t>
      </w:r>
      <w:r w:rsidR="000B3F97" w:rsidRPr="00BD40F0">
        <w:rPr>
          <w:rFonts w:ascii="Verdana" w:hAnsi="Verdana"/>
          <w:sz w:val="20"/>
        </w:rPr>
        <w:t>Para aproveitar esses animais</w:t>
      </w:r>
      <w:r w:rsidR="007C1C4E">
        <w:rPr>
          <w:rFonts w:ascii="Verdana" w:hAnsi="Verdana"/>
          <w:sz w:val="20"/>
        </w:rPr>
        <w:t>,</w:t>
      </w:r>
      <w:r w:rsidR="000B3F97" w:rsidRPr="00BD40F0">
        <w:rPr>
          <w:rFonts w:ascii="Verdana" w:hAnsi="Verdana"/>
          <w:sz w:val="20"/>
        </w:rPr>
        <w:t xml:space="preserve"> </w:t>
      </w:r>
      <w:r w:rsidR="00B2629A">
        <w:rPr>
          <w:rFonts w:ascii="Verdana" w:hAnsi="Verdana"/>
          <w:sz w:val="20"/>
        </w:rPr>
        <w:t xml:space="preserve">é preciso </w:t>
      </w:r>
      <w:r w:rsidR="000B3F97" w:rsidRPr="00BD40F0">
        <w:rPr>
          <w:rFonts w:ascii="Verdana" w:hAnsi="Verdana"/>
          <w:sz w:val="20"/>
        </w:rPr>
        <w:t xml:space="preserve">ter uma relação especial com os espíritos. Em muitas oportunidades é o cacique, que é uma espécie de “xamã” chamado </w:t>
      </w:r>
      <w:r w:rsidR="000B3F97" w:rsidRPr="00BD40F0">
        <w:rPr>
          <w:rFonts w:ascii="Verdana" w:hAnsi="Verdana"/>
          <w:i/>
          <w:sz w:val="20"/>
        </w:rPr>
        <w:lastRenderedPageBreak/>
        <w:t>Ditelian</w:t>
      </w:r>
      <w:r w:rsidR="000B3F97" w:rsidRPr="00BD40F0">
        <w:rPr>
          <w:rFonts w:ascii="Verdana" w:hAnsi="Verdana"/>
          <w:sz w:val="20"/>
        </w:rPr>
        <w:t>, quem pode manter essa relação com os espíritos.</w:t>
      </w:r>
      <w:r w:rsidR="00850A3F">
        <w:rPr>
          <w:rFonts w:ascii="Verdana" w:hAnsi="Verdana"/>
          <w:sz w:val="20"/>
        </w:rPr>
        <w:t xml:space="preserve"> </w:t>
      </w:r>
      <w:r w:rsidR="000B3F97" w:rsidRPr="00BD40F0">
        <w:rPr>
          <w:rFonts w:ascii="Verdana" w:hAnsi="Verdana"/>
          <w:sz w:val="20"/>
        </w:rPr>
        <w:t xml:space="preserve">Então, </w:t>
      </w:r>
      <w:proofErr w:type="gramStart"/>
      <w:r w:rsidR="000B3F97" w:rsidRPr="00BD40F0">
        <w:rPr>
          <w:rFonts w:ascii="Verdana" w:hAnsi="Verdana"/>
          <w:sz w:val="20"/>
        </w:rPr>
        <w:t>a presença de animais e a possibilidade de ser</w:t>
      </w:r>
      <w:r w:rsidR="00EE7E49">
        <w:rPr>
          <w:rFonts w:ascii="Verdana" w:hAnsi="Verdana"/>
          <w:sz w:val="20"/>
        </w:rPr>
        <w:t>em</w:t>
      </w:r>
      <w:r w:rsidR="001D348E">
        <w:rPr>
          <w:rFonts w:ascii="Verdana" w:hAnsi="Verdana"/>
          <w:sz w:val="20"/>
        </w:rPr>
        <w:t xml:space="preserve"> aproveitados mediante a caça</w:t>
      </w:r>
      <w:r w:rsidR="000B3F97" w:rsidRPr="00BD40F0">
        <w:rPr>
          <w:rFonts w:ascii="Verdana" w:hAnsi="Verdana"/>
          <w:sz w:val="20"/>
        </w:rPr>
        <w:t xml:space="preserve"> está</w:t>
      </w:r>
      <w:proofErr w:type="gramEnd"/>
      <w:r w:rsidR="000B3F97" w:rsidRPr="00BD40F0">
        <w:rPr>
          <w:rFonts w:ascii="Verdana" w:hAnsi="Verdana"/>
          <w:sz w:val="20"/>
        </w:rPr>
        <w:t xml:space="preserve"> baseada na cosmovisão e tem muito a ver com as fronteiras, porque</w:t>
      </w:r>
      <w:r w:rsidR="003D0038">
        <w:rPr>
          <w:rFonts w:ascii="Verdana" w:hAnsi="Verdana"/>
          <w:sz w:val="20"/>
        </w:rPr>
        <w:t>,</w:t>
      </w:r>
      <w:r w:rsidR="000B3F97" w:rsidRPr="00BD40F0">
        <w:rPr>
          <w:rFonts w:ascii="Verdana" w:hAnsi="Verdana"/>
          <w:sz w:val="20"/>
        </w:rPr>
        <w:t xml:space="preserve"> segundo eles</w:t>
      </w:r>
      <w:r w:rsidR="003D0038">
        <w:rPr>
          <w:rFonts w:ascii="Verdana" w:hAnsi="Verdana"/>
          <w:sz w:val="20"/>
        </w:rPr>
        <w:t>,</w:t>
      </w:r>
      <w:r w:rsidR="000B3F97" w:rsidRPr="00BD40F0">
        <w:rPr>
          <w:rFonts w:ascii="Verdana" w:hAnsi="Verdana"/>
          <w:sz w:val="20"/>
        </w:rPr>
        <w:t xml:space="preserve"> esses amos do </w:t>
      </w:r>
      <w:r w:rsidR="00EE7E49">
        <w:rPr>
          <w:rFonts w:ascii="Verdana" w:hAnsi="Verdana"/>
          <w:sz w:val="20"/>
        </w:rPr>
        <w:t xml:space="preserve">monte </w:t>
      </w:r>
      <w:r w:rsidR="000B3F97" w:rsidRPr="00BD40F0">
        <w:rPr>
          <w:rFonts w:ascii="Verdana" w:hAnsi="Verdana"/>
          <w:sz w:val="20"/>
        </w:rPr>
        <w:t xml:space="preserve">são donos dos animais, especialmente do </w:t>
      </w:r>
      <w:r w:rsidR="00FD01CB">
        <w:rPr>
          <w:rFonts w:ascii="Verdana" w:hAnsi="Verdana"/>
          <w:sz w:val="20"/>
        </w:rPr>
        <w:t>porco da montanha</w:t>
      </w:r>
      <w:r w:rsidR="003D0038">
        <w:rPr>
          <w:rFonts w:ascii="Verdana" w:hAnsi="Verdana"/>
          <w:sz w:val="20"/>
        </w:rPr>
        <w:t>,</w:t>
      </w:r>
      <w:r w:rsidR="00FD01CB" w:rsidRPr="00BD40F0">
        <w:rPr>
          <w:rFonts w:ascii="Verdana" w:hAnsi="Verdana"/>
          <w:sz w:val="20"/>
        </w:rPr>
        <w:t xml:space="preserve"> </w:t>
      </w:r>
      <w:r w:rsidR="000B3F97" w:rsidRPr="00BD40F0">
        <w:rPr>
          <w:rFonts w:ascii="Verdana" w:hAnsi="Verdana"/>
          <w:sz w:val="20"/>
        </w:rPr>
        <w:t>que se desloca em manadas ao redor das montanhas.</w:t>
      </w:r>
      <w:r w:rsidR="00850A3F">
        <w:rPr>
          <w:rFonts w:ascii="Verdana" w:hAnsi="Verdana"/>
          <w:sz w:val="20"/>
        </w:rPr>
        <w:t xml:space="preserve"> </w:t>
      </w:r>
      <w:r w:rsidR="000B3F97" w:rsidRPr="00BD40F0">
        <w:rPr>
          <w:rFonts w:ascii="Verdana" w:hAnsi="Verdana"/>
          <w:sz w:val="20"/>
        </w:rPr>
        <w:t>Assim, há um vínculo muito forte com o entorno, com estes lugares sagrados, com os espíritos que</w:t>
      </w:r>
      <w:r w:rsidR="002C6A59">
        <w:rPr>
          <w:rFonts w:ascii="Verdana" w:hAnsi="Verdana"/>
          <w:sz w:val="20"/>
        </w:rPr>
        <w:t xml:space="preserve"> </w:t>
      </w:r>
      <w:r w:rsidR="0040634F">
        <w:rPr>
          <w:rFonts w:ascii="Verdana" w:hAnsi="Verdana"/>
          <w:sz w:val="20"/>
        </w:rPr>
        <w:t>neles vivem</w:t>
      </w:r>
      <w:r w:rsidR="000B3F97" w:rsidRPr="00BD40F0">
        <w:rPr>
          <w:rFonts w:ascii="Verdana" w:hAnsi="Verdana"/>
          <w:sz w:val="20"/>
        </w:rPr>
        <w:t xml:space="preserve"> e os irmãos membros da Comunidade.</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Há dois tipos de lugares sagrados nas zonas fronteir</w:t>
      </w:r>
      <w:r w:rsidR="00EE7E49">
        <w:rPr>
          <w:rFonts w:ascii="Verdana" w:hAnsi="Verdana"/>
          <w:sz w:val="20"/>
        </w:rPr>
        <w:t>iças:</w:t>
      </w:r>
      <w:r w:rsidRPr="00BD40F0">
        <w:rPr>
          <w:rFonts w:ascii="Verdana" w:hAnsi="Verdana"/>
          <w:sz w:val="20"/>
        </w:rPr>
        <w:t xml:space="preserve"> cemitérios, que são visitados atualmente com frequência </w:t>
      </w:r>
      <w:r w:rsidRPr="001D348E">
        <w:rPr>
          <w:rFonts w:ascii="Verdana" w:hAnsi="Verdana"/>
          <w:sz w:val="20"/>
        </w:rPr>
        <w:t>pelos membros da Comunidade, localizados ao longo do Rio Wawa; são assentamentos</w:t>
      </w:r>
      <w:r w:rsidR="00EE7E49" w:rsidRPr="001D348E">
        <w:rPr>
          <w:rFonts w:ascii="Verdana" w:hAnsi="Verdana"/>
          <w:sz w:val="20"/>
        </w:rPr>
        <w:t xml:space="preserve"> </w:t>
      </w:r>
      <w:r w:rsidRPr="001D348E">
        <w:rPr>
          <w:rFonts w:ascii="Verdana" w:hAnsi="Verdana"/>
          <w:sz w:val="20"/>
        </w:rPr>
        <w:t>velhos</w:t>
      </w:r>
      <w:r w:rsidRPr="00BD40F0">
        <w:rPr>
          <w:rFonts w:ascii="Verdana" w:hAnsi="Verdana"/>
          <w:sz w:val="20"/>
        </w:rPr>
        <w:t xml:space="preserve"> que os visitam quando vão </w:t>
      </w:r>
      <w:r w:rsidR="001D348E">
        <w:rPr>
          <w:rFonts w:ascii="Verdana" w:hAnsi="Verdana"/>
          <w:sz w:val="20"/>
        </w:rPr>
        <w:t>caçar</w:t>
      </w:r>
      <w:r w:rsidRPr="00BD40F0">
        <w:rPr>
          <w:rFonts w:ascii="Verdana" w:hAnsi="Verdana"/>
          <w:sz w:val="20"/>
        </w:rPr>
        <w:t>.</w:t>
      </w:r>
      <w:r w:rsidR="00850A3F">
        <w:rPr>
          <w:rFonts w:ascii="Verdana" w:hAnsi="Verdana"/>
          <w:sz w:val="20"/>
        </w:rPr>
        <w:t xml:space="preserve"> </w:t>
      </w:r>
      <w:r w:rsidRPr="00BD40F0">
        <w:rPr>
          <w:rFonts w:ascii="Verdana" w:hAnsi="Verdana"/>
          <w:sz w:val="20"/>
        </w:rPr>
        <w:t>Até certo ponto</w:t>
      </w:r>
      <w:r w:rsidR="000C12C4">
        <w:rPr>
          <w:rFonts w:ascii="Verdana" w:hAnsi="Verdana"/>
          <w:sz w:val="20"/>
        </w:rPr>
        <w:t>,</w:t>
      </w:r>
      <w:r w:rsidRPr="00BD40F0">
        <w:rPr>
          <w:rFonts w:ascii="Verdana" w:hAnsi="Verdana"/>
          <w:sz w:val="20"/>
        </w:rPr>
        <w:t xml:space="preserve"> ir </w:t>
      </w:r>
      <w:r w:rsidR="003379F9">
        <w:rPr>
          <w:rFonts w:ascii="Verdana" w:hAnsi="Verdana"/>
          <w:sz w:val="20"/>
        </w:rPr>
        <w:t>à caça</w:t>
      </w:r>
      <w:r w:rsidR="001D348E">
        <w:rPr>
          <w:rFonts w:ascii="Verdana" w:hAnsi="Verdana"/>
          <w:sz w:val="20"/>
        </w:rPr>
        <w:t xml:space="preserve"> </w:t>
      </w:r>
      <w:r w:rsidRPr="00BD40F0">
        <w:rPr>
          <w:rFonts w:ascii="Verdana" w:hAnsi="Verdana"/>
          <w:sz w:val="20"/>
        </w:rPr>
        <w:t>é um ato espiritual e tem muito a ver com o território que eles aproveitam.</w:t>
      </w:r>
      <w:r w:rsidR="00850A3F">
        <w:rPr>
          <w:rFonts w:ascii="Verdana" w:hAnsi="Verdana"/>
          <w:sz w:val="20"/>
        </w:rPr>
        <w:t xml:space="preserve"> </w:t>
      </w:r>
      <w:r w:rsidRPr="00BD40F0">
        <w:rPr>
          <w:rFonts w:ascii="Verdana" w:hAnsi="Verdana"/>
          <w:sz w:val="20"/>
        </w:rPr>
        <w:t xml:space="preserve">O segundo tipo de zonas sagradas são </w:t>
      </w:r>
      <w:r w:rsidR="00512F9F">
        <w:rPr>
          <w:rFonts w:ascii="Verdana" w:hAnsi="Verdana"/>
          <w:sz w:val="20"/>
        </w:rPr>
        <w:t>as colinas</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ind w:left="720"/>
        <w:jc w:val="both"/>
        <w:rPr>
          <w:rFonts w:ascii="Verdana" w:hAnsi="Verdana"/>
          <w:b/>
          <w:sz w:val="20"/>
        </w:rPr>
      </w:pPr>
      <w:proofErr w:type="gramStart"/>
      <w:r w:rsidRPr="00BD40F0">
        <w:rPr>
          <w:rFonts w:ascii="Verdana" w:hAnsi="Verdana"/>
          <w:b/>
          <w:sz w:val="20"/>
        </w:rPr>
        <w:t>d.</w:t>
      </w:r>
      <w:proofErr w:type="gramEnd"/>
      <w:r w:rsidRPr="00BD40F0">
        <w:rPr>
          <w:rFonts w:ascii="Verdana" w:hAnsi="Verdana"/>
          <w:b/>
          <w:sz w:val="20"/>
        </w:rPr>
        <w:tab/>
        <w:t>Perícia de Rodolfo Stavenhagen Gruenbaum, antropólogo e sociólogo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Conhece a situação dos povos indígenas da Costa Atlântica da Nicarágua por referência, não diretamente.</w:t>
      </w:r>
      <w:r w:rsidR="00850A3F">
        <w:rPr>
          <w:rFonts w:ascii="Verdana" w:hAnsi="Verdana"/>
          <w:sz w:val="20"/>
        </w:rPr>
        <w:t xml:space="preserve"> </w:t>
      </w:r>
      <w:r w:rsidRPr="00BD40F0">
        <w:rPr>
          <w:rFonts w:ascii="Verdana" w:hAnsi="Verdana"/>
          <w:sz w:val="20"/>
        </w:rPr>
        <w:t>O conhecimento</w:t>
      </w:r>
      <w:r w:rsidR="002C6A59">
        <w:rPr>
          <w:rFonts w:ascii="Verdana" w:hAnsi="Verdana"/>
          <w:sz w:val="20"/>
        </w:rPr>
        <w:t xml:space="preserve"> </w:t>
      </w:r>
      <w:r w:rsidR="007C506E">
        <w:rPr>
          <w:rFonts w:ascii="Verdana" w:hAnsi="Verdana"/>
          <w:sz w:val="20"/>
        </w:rPr>
        <w:t>de que dispõe advém</w:t>
      </w:r>
      <w:r w:rsidRPr="00BD40F0">
        <w:rPr>
          <w:rFonts w:ascii="Verdana" w:hAnsi="Verdana"/>
          <w:sz w:val="20"/>
        </w:rPr>
        <w:t xml:space="preserve"> da literatura etnográfica e antropológica sobre a Nicarágua e de relatórios feitos por especialistas</w:t>
      </w:r>
      <w:r w:rsidR="00995C5D">
        <w:rPr>
          <w:rFonts w:ascii="Verdana" w:hAnsi="Verdana"/>
          <w:sz w:val="20"/>
        </w:rPr>
        <w:t>,</w:t>
      </w:r>
      <w:r w:rsidRPr="00BD40F0">
        <w:rPr>
          <w:rFonts w:ascii="Verdana" w:hAnsi="Verdana"/>
          <w:sz w:val="20"/>
        </w:rPr>
        <w:t xml:space="preserve"> referentes à situação dos povos da Costa Atlântica da Nicarágua, povos que têm estado tradicionalmente margina</w:t>
      </w:r>
      <w:r w:rsidR="000A0F98">
        <w:rPr>
          <w:rFonts w:ascii="Verdana" w:hAnsi="Verdana"/>
          <w:sz w:val="20"/>
        </w:rPr>
        <w:t>liza</w:t>
      </w:r>
      <w:r w:rsidRPr="00BD40F0">
        <w:rPr>
          <w:rFonts w:ascii="Verdana" w:hAnsi="Verdana"/>
          <w:sz w:val="20"/>
        </w:rPr>
        <w:t>dos do poder central e vinculados a alguns interesses de</w:t>
      </w:r>
      <w:r w:rsidR="002C6A59">
        <w:rPr>
          <w:rFonts w:ascii="Verdana" w:hAnsi="Verdana"/>
          <w:sz w:val="20"/>
        </w:rPr>
        <w:t xml:space="preserve"> </w:t>
      </w:r>
      <w:r w:rsidR="00995C5D">
        <w:rPr>
          <w:rFonts w:ascii="Verdana" w:hAnsi="Verdana"/>
          <w:sz w:val="20"/>
        </w:rPr>
        <w:t>cunho</w:t>
      </w:r>
      <w:r w:rsidR="00995C5D" w:rsidRPr="00BD40F0">
        <w:rPr>
          <w:rFonts w:ascii="Verdana" w:hAnsi="Verdana"/>
          <w:sz w:val="20"/>
        </w:rPr>
        <w:t xml:space="preserve"> </w:t>
      </w:r>
      <w:r w:rsidRPr="00BD40F0">
        <w:rPr>
          <w:rFonts w:ascii="Verdana" w:hAnsi="Verdana"/>
          <w:sz w:val="20"/>
        </w:rPr>
        <w:t xml:space="preserve">econômico ou internacional, mas muito conscientes de sua identidade cultural, de sua </w:t>
      </w:r>
      <w:proofErr w:type="gramStart"/>
      <w:r w:rsidR="000A0F98">
        <w:rPr>
          <w:rFonts w:ascii="Verdana" w:hAnsi="Verdana"/>
          <w:sz w:val="20"/>
        </w:rPr>
        <w:t>auto</w:t>
      </w:r>
      <w:r w:rsidR="00FD01CB">
        <w:rPr>
          <w:rFonts w:ascii="Verdana" w:hAnsi="Verdana"/>
          <w:sz w:val="20"/>
        </w:rPr>
        <w:t>-</w:t>
      </w:r>
      <w:r w:rsidR="000A0F98">
        <w:rPr>
          <w:rFonts w:ascii="Verdana" w:hAnsi="Verdana"/>
          <w:sz w:val="20"/>
        </w:rPr>
        <w:t>per</w:t>
      </w:r>
      <w:r w:rsidRPr="00BD40F0">
        <w:rPr>
          <w:rFonts w:ascii="Verdana" w:hAnsi="Verdana"/>
          <w:sz w:val="20"/>
        </w:rPr>
        <w:t>cepção</w:t>
      </w:r>
      <w:proofErr w:type="gramEnd"/>
      <w:r w:rsidRPr="00BD40F0">
        <w:rPr>
          <w:rFonts w:ascii="Verdana" w:hAnsi="Verdana"/>
          <w:sz w:val="20"/>
        </w:rPr>
        <w:t xml:space="preserve"> social,</w:t>
      </w:r>
      <w:r w:rsidR="002C6A59">
        <w:rPr>
          <w:rFonts w:ascii="Verdana" w:hAnsi="Verdana"/>
          <w:sz w:val="20"/>
        </w:rPr>
        <w:t xml:space="preserve"> </w:t>
      </w:r>
      <w:r w:rsidR="00995C5D">
        <w:rPr>
          <w:rFonts w:ascii="Verdana" w:hAnsi="Verdana"/>
          <w:sz w:val="20"/>
        </w:rPr>
        <w:t>por</w:t>
      </w:r>
      <w:r w:rsidRPr="00BD40F0">
        <w:rPr>
          <w:rFonts w:ascii="Verdana" w:hAnsi="Verdana"/>
          <w:sz w:val="20"/>
        </w:rPr>
        <w:t xml:space="preserve"> ser</w:t>
      </w:r>
      <w:r w:rsidR="000A0F98">
        <w:rPr>
          <w:rFonts w:ascii="Verdana" w:hAnsi="Verdana"/>
          <w:sz w:val="20"/>
        </w:rPr>
        <w:t>em</w:t>
      </w:r>
      <w:r w:rsidRPr="00BD40F0">
        <w:rPr>
          <w:rFonts w:ascii="Verdana" w:hAnsi="Verdana"/>
          <w:sz w:val="20"/>
        </w:rPr>
        <w:t xml:space="preserve"> grupos sociais com uma continuidade histórica, vinculação com a terra, atividades de tipo econômicas e formas de organização próprias que os têm distinguido do resto da população da Nicarágua.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Os povos indígenas em diferentes países de nosso continente enfrentam problemas de discriminação. </w:t>
      </w:r>
      <w:r w:rsidR="00FD01CB">
        <w:rPr>
          <w:rFonts w:ascii="Verdana" w:hAnsi="Verdana"/>
          <w:sz w:val="20"/>
        </w:rPr>
        <w:t>Há</w:t>
      </w:r>
      <w:r w:rsidR="00FD01CB" w:rsidRPr="00BD40F0">
        <w:rPr>
          <w:rFonts w:ascii="Verdana" w:hAnsi="Verdana"/>
          <w:sz w:val="20"/>
        </w:rPr>
        <w:t xml:space="preserve"> </w:t>
      </w:r>
      <w:r w:rsidRPr="00BD40F0">
        <w:rPr>
          <w:rFonts w:ascii="Verdana" w:hAnsi="Verdana"/>
          <w:sz w:val="20"/>
        </w:rPr>
        <w:t xml:space="preserve">alguns anos, a situação </w:t>
      </w:r>
      <w:r w:rsidR="000A0F98">
        <w:rPr>
          <w:rFonts w:ascii="Verdana" w:hAnsi="Verdana"/>
          <w:sz w:val="20"/>
        </w:rPr>
        <w:t>vem se</w:t>
      </w:r>
      <w:r w:rsidRPr="00BD40F0">
        <w:rPr>
          <w:rFonts w:ascii="Verdana" w:hAnsi="Verdana"/>
          <w:sz w:val="20"/>
        </w:rPr>
        <w:t xml:space="preserve"> modificando em razão de mudanças legislativas e constitucionais, </w:t>
      </w:r>
      <w:r w:rsidR="00FD01CB">
        <w:rPr>
          <w:rFonts w:ascii="Verdana" w:hAnsi="Verdana"/>
          <w:sz w:val="20"/>
        </w:rPr>
        <w:t>da</w:t>
      </w:r>
      <w:r w:rsidRPr="00BD40F0">
        <w:rPr>
          <w:rFonts w:ascii="Verdana" w:hAnsi="Verdana"/>
          <w:sz w:val="20"/>
        </w:rPr>
        <w:t xml:space="preserve"> opinião pública e </w:t>
      </w:r>
      <w:r w:rsidR="00FD01CB">
        <w:rPr>
          <w:rFonts w:ascii="Verdana" w:hAnsi="Verdana"/>
          <w:sz w:val="20"/>
        </w:rPr>
        <w:t>da</w:t>
      </w:r>
      <w:r w:rsidR="000A0F98">
        <w:rPr>
          <w:rFonts w:ascii="Verdana" w:hAnsi="Verdana"/>
          <w:sz w:val="20"/>
        </w:rPr>
        <w:t>s reivindicações</w:t>
      </w:r>
      <w:r w:rsidRPr="00BD40F0">
        <w:rPr>
          <w:rFonts w:ascii="Verdana" w:hAnsi="Verdana"/>
          <w:sz w:val="20"/>
        </w:rPr>
        <w:t xml:space="preserve"> e demandas apresentad</w:t>
      </w:r>
      <w:r w:rsidR="000A0F98">
        <w:rPr>
          <w:rFonts w:ascii="Verdana" w:hAnsi="Verdana"/>
          <w:sz w:val="20"/>
        </w:rPr>
        <w:t>a</w:t>
      </w:r>
      <w:r w:rsidRPr="00BD40F0">
        <w:rPr>
          <w:rFonts w:ascii="Verdana" w:hAnsi="Verdana"/>
          <w:sz w:val="20"/>
        </w:rPr>
        <w:t xml:space="preserve">s </w:t>
      </w:r>
      <w:r w:rsidR="00FD01CB">
        <w:rPr>
          <w:rFonts w:ascii="Verdana" w:hAnsi="Verdana"/>
          <w:sz w:val="20"/>
        </w:rPr>
        <w:t xml:space="preserve">nos âmbitos </w:t>
      </w:r>
      <w:r w:rsidRPr="00BD40F0">
        <w:rPr>
          <w:rFonts w:ascii="Verdana" w:hAnsi="Verdana"/>
          <w:sz w:val="20"/>
        </w:rPr>
        <w:t>nacional e internacional pelas organizações indígenas.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Os povos indígenas são definidos como aqueles grupos sociais e humanos, identificados em termos culturais e que mantêm uma continuidade histórica com seus antepassados, desde a época anterior à chegada a este con</w:t>
      </w:r>
      <w:r w:rsidR="000A0F98">
        <w:rPr>
          <w:rFonts w:ascii="Verdana" w:hAnsi="Verdana"/>
          <w:sz w:val="20"/>
        </w:rPr>
        <w:t xml:space="preserve">tinente dos primeiros europeus. </w:t>
      </w:r>
      <w:r w:rsidRPr="00BD40F0">
        <w:rPr>
          <w:rFonts w:ascii="Verdana" w:hAnsi="Verdana"/>
          <w:sz w:val="20"/>
        </w:rPr>
        <w:t>Esta continuidade histórica adverte-se nas formas de organização, na cultura própria, na autoidentificação que estes povos fazem de si mesmos e no manejo de um idioma cujas origens são pré-hispânicas.</w:t>
      </w:r>
      <w:r w:rsidR="00850A3F">
        <w:rPr>
          <w:rFonts w:ascii="Verdana" w:hAnsi="Verdana"/>
          <w:sz w:val="20"/>
        </w:rPr>
        <w:t xml:space="preserve"> </w:t>
      </w:r>
      <w:r w:rsidRPr="00BD40F0">
        <w:rPr>
          <w:rFonts w:ascii="Verdana" w:hAnsi="Verdana"/>
          <w:sz w:val="20"/>
        </w:rPr>
        <w:t>Estes povos são conhecidos em nossos países porque mantêm formas de vida e de cultura que os distinguem do resto da sociedade, e têm estado subordinados e margina</w:t>
      </w:r>
      <w:r w:rsidR="000A0F98">
        <w:rPr>
          <w:rFonts w:ascii="Verdana" w:hAnsi="Verdana"/>
          <w:sz w:val="20"/>
        </w:rPr>
        <w:t>liza</w:t>
      </w:r>
      <w:r w:rsidRPr="00BD40F0">
        <w:rPr>
          <w:rFonts w:ascii="Verdana" w:hAnsi="Verdana"/>
          <w:sz w:val="20"/>
        </w:rPr>
        <w:t xml:space="preserve">dos tradicionalmente por estruturas econômicas, políticas e sociais discriminatórias, que praticamente os têm mantido em condição de cidadania de segunda classe, apesar de que nas legislações, formalmente, os indígenas têm os mesmos direitos </w:t>
      </w:r>
      <w:r w:rsidR="00FD01CB">
        <w:rPr>
          <w:rFonts w:ascii="Verdana" w:hAnsi="Verdana"/>
          <w:sz w:val="20"/>
        </w:rPr>
        <w:t>d</w:t>
      </w:r>
      <w:r w:rsidRPr="00BD40F0">
        <w:rPr>
          <w:rFonts w:ascii="Verdana" w:hAnsi="Verdana"/>
          <w:sz w:val="20"/>
        </w:rPr>
        <w:t>os não indígenas.</w:t>
      </w:r>
      <w:r w:rsidR="002C6A59">
        <w:rPr>
          <w:rFonts w:ascii="Verdana" w:hAnsi="Verdana"/>
          <w:sz w:val="20"/>
        </w:rPr>
        <w:t xml:space="preserve"> </w:t>
      </w:r>
      <w:r w:rsidR="00A14A19">
        <w:rPr>
          <w:rFonts w:ascii="Verdana" w:hAnsi="Verdana"/>
          <w:sz w:val="20"/>
        </w:rPr>
        <w:t>Entretanto</w:t>
      </w:r>
      <w:r w:rsidRPr="00BD40F0">
        <w:rPr>
          <w:rFonts w:ascii="Verdana" w:hAnsi="Verdana"/>
          <w:sz w:val="20"/>
        </w:rPr>
        <w:t>, na realidade, esta cidadania é como imaginária, porque seguem sofrendo de formas estruturais de discriminação, de exclusão social, de margina</w:t>
      </w:r>
      <w:r w:rsidR="000A0F98">
        <w:rPr>
          <w:rFonts w:ascii="Verdana" w:hAnsi="Verdana"/>
          <w:sz w:val="20"/>
        </w:rPr>
        <w:t>liza</w:t>
      </w:r>
      <w:r w:rsidRPr="00BD40F0">
        <w:rPr>
          <w:rFonts w:ascii="Verdana" w:hAnsi="Verdana"/>
          <w:sz w:val="20"/>
        </w:rPr>
        <w:t>ção.</w:t>
      </w:r>
    </w:p>
    <w:p w:rsidR="000B3F97" w:rsidRPr="00BD40F0" w:rsidRDefault="000B3F97" w:rsidP="000B3F97">
      <w:pPr>
        <w:jc w:val="both"/>
        <w:rPr>
          <w:rFonts w:ascii="Verdana" w:hAnsi="Verdana"/>
          <w:sz w:val="20"/>
        </w:rPr>
      </w:pPr>
    </w:p>
    <w:p w:rsidR="000B3F97" w:rsidRPr="00BD40F0" w:rsidRDefault="003379F9" w:rsidP="000B3F97">
      <w:pPr>
        <w:jc w:val="both"/>
        <w:rPr>
          <w:rFonts w:ascii="Verdana" w:hAnsi="Verdana"/>
          <w:sz w:val="20"/>
        </w:rPr>
      </w:pPr>
      <w:r>
        <w:rPr>
          <w:rFonts w:ascii="Verdana" w:hAnsi="Verdana"/>
          <w:sz w:val="20"/>
        </w:rPr>
        <w:t>Há</w:t>
      </w:r>
      <w:r w:rsidR="000B3F97" w:rsidRPr="00BD40F0">
        <w:rPr>
          <w:rFonts w:ascii="Verdana" w:hAnsi="Verdana"/>
          <w:sz w:val="20"/>
        </w:rPr>
        <w:t xml:space="preserve"> muitos anos, o Estado nicaraguense tem realizado políticas de </w:t>
      </w:r>
      <w:r w:rsidR="0086110A">
        <w:rPr>
          <w:rFonts w:ascii="Verdana" w:hAnsi="Verdana"/>
          <w:sz w:val="20"/>
        </w:rPr>
        <w:t>incorporação e integração dessas</w:t>
      </w:r>
      <w:r w:rsidR="000B3F97" w:rsidRPr="00BD40F0">
        <w:rPr>
          <w:rFonts w:ascii="Verdana" w:hAnsi="Verdana"/>
          <w:sz w:val="20"/>
        </w:rPr>
        <w:t xml:space="preserve"> populações da Costa Atlântica ao Estado Nacional, com alguns resultados positivos quanto à integração nacional do país, mas</w:t>
      </w:r>
      <w:r w:rsidR="00945E54">
        <w:rPr>
          <w:rFonts w:ascii="Verdana" w:hAnsi="Verdana"/>
          <w:sz w:val="20"/>
        </w:rPr>
        <w:t xml:space="preserve"> que</w:t>
      </w:r>
      <w:r w:rsidR="000B3F97" w:rsidRPr="00BD40F0">
        <w:rPr>
          <w:rFonts w:ascii="Verdana" w:hAnsi="Verdana"/>
          <w:sz w:val="20"/>
        </w:rPr>
        <w:t xml:space="preserve"> também têm produzido tensões entre a população indígena desta zona com o resto da sociedade, </w:t>
      </w:r>
      <w:r w:rsidR="000B3F97" w:rsidRPr="00BD40F0">
        <w:rPr>
          <w:rFonts w:ascii="Verdana" w:hAnsi="Verdana"/>
          <w:sz w:val="20"/>
        </w:rPr>
        <w:lastRenderedPageBreak/>
        <w:t xml:space="preserve">particularmente porque os processos de incorporação </w:t>
      </w:r>
      <w:r w:rsidR="00FD01CB">
        <w:rPr>
          <w:rFonts w:ascii="Verdana" w:hAnsi="Verdana"/>
          <w:sz w:val="20"/>
        </w:rPr>
        <w:t>violam</w:t>
      </w:r>
      <w:r w:rsidR="00FD01CB" w:rsidRPr="00BD40F0">
        <w:rPr>
          <w:rFonts w:ascii="Verdana" w:hAnsi="Verdana"/>
          <w:sz w:val="20"/>
        </w:rPr>
        <w:t xml:space="preserve"> </w:t>
      </w:r>
      <w:r w:rsidR="000B3F97" w:rsidRPr="00BD40F0">
        <w:rPr>
          <w:rFonts w:ascii="Verdana" w:hAnsi="Verdana"/>
          <w:sz w:val="20"/>
        </w:rPr>
        <w:t xml:space="preserve">alguns direitos fundamentais destas populações indígenas, e é </w:t>
      </w:r>
      <w:r w:rsidR="00CC1F27">
        <w:rPr>
          <w:rFonts w:ascii="Verdana" w:hAnsi="Verdana"/>
          <w:sz w:val="20"/>
        </w:rPr>
        <w:t>colocada</w:t>
      </w:r>
      <w:r w:rsidR="000B3F97" w:rsidRPr="00BD40F0">
        <w:rPr>
          <w:rFonts w:ascii="Verdana" w:hAnsi="Verdana"/>
          <w:sz w:val="20"/>
        </w:rPr>
        <w:t xml:space="preserve"> em perigo sua </w:t>
      </w:r>
      <w:r w:rsidR="00CC1F27">
        <w:rPr>
          <w:rFonts w:ascii="Verdana" w:hAnsi="Verdana"/>
          <w:sz w:val="20"/>
        </w:rPr>
        <w:t>sobre</w:t>
      </w:r>
      <w:r w:rsidR="000B3F97" w:rsidRPr="00BD40F0">
        <w:rPr>
          <w:rFonts w:ascii="Verdana" w:hAnsi="Verdana"/>
          <w:sz w:val="20"/>
        </w:rPr>
        <w:t xml:space="preserve">vivência como grupos sociais identificados com </w:t>
      </w:r>
      <w:r w:rsidR="00B45C45">
        <w:rPr>
          <w:rFonts w:ascii="Verdana" w:hAnsi="Verdana"/>
          <w:sz w:val="20"/>
        </w:rPr>
        <w:t xml:space="preserve">uma </w:t>
      </w:r>
      <w:r w:rsidR="00945E54">
        <w:rPr>
          <w:rFonts w:ascii="Verdana" w:hAnsi="Verdana"/>
          <w:sz w:val="20"/>
        </w:rPr>
        <w:t>personalidade coletiva e identidade étnica particular.</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Um tema fundamental na definição dos povos indígenas é a relação destes com a terra.</w:t>
      </w:r>
      <w:r w:rsidR="00850A3F">
        <w:rPr>
          <w:rFonts w:ascii="Verdana" w:hAnsi="Verdana"/>
          <w:sz w:val="20"/>
        </w:rPr>
        <w:t xml:space="preserve"> </w:t>
      </w:r>
      <w:r w:rsidRPr="00BD40F0">
        <w:rPr>
          <w:rFonts w:ascii="Verdana" w:hAnsi="Verdana"/>
          <w:sz w:val="20"/>
        </w:rPr>
        <w:t xml:space="preserve">Todos os estudos antropológicos, etnográficos, </w:t>
      </w:r>
      <w:proofErr w:type="gramStart"/>
      <w:r w:rsidRPr="00BD40F0">
        <w:rPr>
          <w:rFonts w:ascii="Verdana" w:hAnsi="Verdana"/>
          <w:sz w:val="20"/>
        </w:rPr>
        <w:t>toda a documentação que as próprias populações indígenas apresentaram nos últimos anos demo</w:t>
      </w:r>
      <w:r w:rsidR="00C33341">
        <w:rPr>
          <w:rFonts w:ascii="Verdana" w:hAnsi="Verdana"/>
          <w:sz w:val="20"/>
        </w:rPr>
        <w:t>n</w:t>
      </w:r>
      <w:r w:rsidRPr="00BD40F0">
        <w:rPr>
          <w:rFonts w:ascii="Verdana" w:hAnsi="Verdana"/>
          <w:sz w:val="20"/>
        </w:rPr>
        <w:t>stram</w:t>
      </w:r>
      <w:proofErr w:type="gramEnd"/>
      <w:r w:rsidRPr="00BD40F0">
        <w:rPr>
          <w:rFonts w:ascii="Verdana" w:hAnsi="Verdana"/>
          <w:sz w:val="20"/>
        </w:rPr>
        <w:t xml:space="preserve"> que a relação entre os povos indígenas e a terra é um vínculo essencial que dá e mant</w:t>
      </w:r>
      <w:r w:rsidR="00CC1F27">
        <w:rPr>
          <w:rFonts w:ascii="Verdana" w:hAnsi="Verdana"/>
          <w:sz w:val="20"/>
        </w:rPr>
        <w:t>é</w:t>
      </w:r>
      <w:r w:rsidRPr="00BD40F0">
        <w:rPr>
          <w:rFonts w:ascii="Verdana" w:hAnsi="Verdana"/>
          <w:sz w:val="20"/>
        </w:rPr>
        <w:t>m a identidade cultural destes povos.</w:t>
      </w:r>
      <w:r w:rsidR="00850A3F">
        <w:rPr>
          <w:rFonts w:ascii="Verdana" w:hAnsi="Verdana"/>
          <w:sz w:val="20"/>
        </w:rPr>
        <w:t xml:space="preserve"> </w:t>
      </w:r>
      <w:r w:rsidRPr="00BD40F0">
        <w:rPr>
          <w:rFonts w:ascii="Verdana" w:hAnsi="Verdana"/>
          <w:sz w:val="20"/>
        </w:rPr>
        <w:t xml:space="preserve">Há </w:t>
      </w:r>
      <w:r w:rsidR="00FD01CB">
        <w:rPr>
          <w:rFonts w:ascii="Verdana" w:hAnsi="Verdana"/>
          <w:sz w:val="20"/>
        </w:rPr>
        <w:t xml:space="preserve">de se </w:t>
      </w:r>
      <w:r w:rsidRPr="00BD40F0">
        <w:rPr>
          <w:rFonts w:ascii="Verdana" w:hAnsi="Verdana"/>
          <w:sz w:val="20"/>
        </w:rPr>
        <w:t>entender a terra não como um simples instrumento de produção agrícola, mas como uma parte do espaço geográfico e social, simbólico e religioso, com o qual se vincula a história e atual dinâmica destes povos.</w:t>
      </w:r>
    </w:p>
    <w:p w:rsidR="000B3F97" w:rsidRPr="00BD40F0" w:rsidRDefault="00850A3F" w:rsidP="000B3F97">
      <w:pPr>
        <w:jc w:val="both"/>
        <w:rPr>
          <w:rFonts w:ascii="Verdana" w:hAnsi="Verdana"/>
          <w:sz w:val="20"/>
        </w:rPr>
      </w:pPr>
      <w:r>
        <w:rPr>
          <w:rFonts w:ascii="Verdana" w:hAnsi="Verdana"/>
          <w:sz w:val="20"/>
        </w:rPr>
        <w:t xml:space="preserve"> </w:t>
      </w:r>
    </w:p>
    <w:p w:rsidR="000B3F97" w:rsidRPr="00BD40F0" w:rsidRDefault="000B3F97" w:rsidP="000B3F97">
      <w:pPr>
        <w:jc w:val="both"/>
        <w:rPr>
          <w:rFonts w:ascii="Verdana" w:hAnsi="Verdana"/>
          <w:sz w:val="20"/>
        </w:rPr>
      </w:pPr>
      <w:r w:rsidRPr="00BD40F0">
        <w:rPr>
          <w:rFonts w:ascii="Verdana" w:hAnsi="Verdana"/>
          <w:sz w:val="20"/>
        </w:rPr>
        <w:t xml:space="preserve">A maioria dos povos indígenas na América Latina são povos cuja essência </w:t>
      </w:r>
      <w:r w:rsidR="00FD01CB">
        <w:rPr>
          <w:rFonts w:ascii="Verdana" w:hAnsi="Verdana"/>
          <w:sz w:val="20"/>
        </w:rPr>
        <w:t xml:space="preserve">se </w:t>
      </w:r>
      <w:r w:rsidR="00CC1F27">
        <w:rPr>
          <w:rFonts w:ascii="Verdana" w:hAnsi="Verdana"/>
          <w:sz w:val="20"/>
        </w:rPr>
        <w:t>deriva</w:t>
      </w:r>
      <w:r w:rsidRPr="00BD40F0">
        <w:rPr>
          <w:rFonts w:ascii="Verdana" w:hAnsi="Verdana"/>
          <w:sz w:val="20"/>
        </w:rPr>
        <w:t xml:space="preserve"> de sua relação com a terra, seja</w:t>
      </w:r>
      <w:r w:rsidR="00945E54">
        <w:rPr>
          <w:rFonts w:ascii="Verdana" w:hAnsi="Verdana"/>
          <w:sz w:val="20"/>
        </w:rPr>
        <w:t>m</w:t>
      </w:r>
      <w:r w:rsidR="002C6A59">
        <w:rPr>
          <w:rFonts w:ascii="Verdana" w:hAnsi="Verdana"/>
          <w:sz w:val="20"/>
        </w:rPr>
        <w:t xml:space="preserve"> </w:t>
      </w:r>
      <w:r w:rsidR="00945E54">
        <w:rPr>
          <w:rFonts w:ascii="Verdana" w:hAnsi="Verdana"/>
          <w:sz w:val="20"/>
        </w:rPr>
        <w:t>agricultores e caçadores</w:t>
      </w:r>
      <w:r w:rsidRPr="00BD40F0">
        <w:rPr>
          <w:rFonts w:ascii="Verdana" w:hAnsi="Verdana"/>
          <w:sz w:val="20"/>
        </w:rPr>
        <w:t>,</w:t>
      </w:r>
      <w:r w:rsidR="002C6A59">
        <w:rPr>
          <w:rFonts w:ascii="Verdana" w:hAnsi="Verdana"/>
          <w:sz w:val="20"/>
        </w:rPr>
        <w:t xml:space="preserve"> </w:t>
      </w:r>
      <w:r w:rsidR="00945E54">
        <w:rPr>
          <w:rFonts w:ascii="Verdana" w:hAnsi="Verdana"/>
          <w:sz w:val="20"/>
        </w:rPr>
        <w:t>sejam coletores e pescadores</w:t>
      </w:r>
      <w:r w:rsidRPr="00BD40F0">
        <w:rPr>
          <w:rFonts w:ascii="Verdana" w:hAnsi="Verdana"/>
          <w:sz w:val="20"/>
        </w:rPr>
        <w:t xml:space="preserve"> etc. O vínculo com a terra é essencial para sua </w:t>
      </w:r>
      <w:proofErr w:type="gramStart"/>
      <w:r w:rsidRPr="00BD40F0">
        <w:rPr>
          <w:rFonts w:ascii="Verdana" w:hAnsi="Verdana"/>
          <w:sz w:val="20"/>
        </w:rPr>
        <w:t>auto</w:t>
      </w:r>
      <w:r w:rsidR="00B45C45">
        <w:rPr>
          <w:rFonts w:ascii="Verdana" w:hAnsi="Verdana"/>
          <w:sz w:val="20"/>
        </w:rPr>
        <w:t>-</w:t>
      </w:r>
      <w:r w:rsidRPr="00BD40F0">
        <w:rPr>
          <w:rFonts w:ascii="Verdana" w:hAnsi="Verdana"/>
          <w:sz w:val="20"/>
        </w:rPr>
        <w:t>identificação</w:t>
      </w:r>
      <w:proofErr w:type="gramEnd"/>
      <w:r w:rsidRPr="00BD40F0">
        <w:rPr>
          <w:rFonts w:ascii="Verdana" w:hAnsi="Verdana"/>
          <w:sz w:val="20"/>
        </w:rPr>
        <w:t>. A saúde física, a saúde mental e a saúde social do povo indígena estão vinculadas com o conceito de terra.</w:t>
      </w:r>
      <w:r w:rsidR="00850A3F">
        <w:rPr>
          <w:rFonts w:ascii="Verdana" w:hAnsi="Verdana"/>
          <w:sz w:val="20"/>
        </w:rPr>
        <w:t xml:space="preserve"> </w:t>
      </w:r>
      <w:r w:rsidRPr="00BD40F0">
        <w:rPr>
          <w:rFonts w:ascii="Verdana" w:hAnsi="Verdana"/>
          <w:sz w:val="20"/>
        </w:rPr>
        <w:t>Tradicionalmente, as comunidades e os povos indígenas dos distintos países na América Latina têm tido um conceito</w:t>
      </w:r>
      <w:r w:rsidR="002C6A59">
        <w:rPr>
          <w:rFonts w:ascii="Verdana" w:hAnsi="Verdana"/>
          <w:sz w:val="20"/>
        </w:rPr>
        <w:t xml:space="preserve"> </w:t>
      </w:r>
      <w:r w:rsidR="007D07A2">
        <w:rPr>
          <w:rFonts w:ascii="Verdana" w:hAnsi="Verdana"/>
          <w:sz w:val="20"/>
        </w:rPr>
        <w:t>comunitário</w:t>
      </w:r>
      <w:r w:rsidR="007D07A2" w:rsidRPr="00BD40F0">
        <w:rPr>
          <w:rFonts w:ascii="Verdana" w:hAnsi="Verdana"/>
          <w:sz w:val="20"/>
        </w:rPr>
        <w:t xml:space="preserve"> </w:t>
      </w:r>
      <w:r w:rsidRPr="00BD40F0">
        <w:rPr>
          <w:rFonts w:ascii="Verdana" w:hAnsi="Verdana"/>
          <w:sz w:val="20"/>
        </w:rPr>
        <w:t xml:space="preserve">da terra e de seus recursos.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Nas terras baixas, tradicionalmente os povos indígenas realizam uma agricultura de subsistência rotativa, </w:t>
      </w:r>
      <w:r w:rsidR="00CC1F27">
        <w:rPr>
          <w:rFonts w:ascii="Verdana" w:hAnsi="Verdana"/>
          <w:sz w:val="20"/>
        </w:rPr>
        <w:t>sobretudo</w:t>
      </w:r>
      <w:r w:rsidRPr="00BD40F0">
        <w:rPr>
          <w:rFonts w:ascii="Verdana" w:hAnsi="Verdana"/>
          <w:sz w:val="20"/>
        </w:rPr>
        <w:t xml:space="preserve"> </w:t>
      </w:r>
      <w:r w:rsidR="00CC1F27">
        <w:rPr>
          <w:rFonts w:ascii="Verdana" w:hAnsi="Verdana"/>
          <w:sz w:val="20"/>
        </w:rPr>
        <w:t>nas florestas</w:t>
      </w:r>
      <w:r w:rsidRPr="00BD40F0">
        <w:rPr>
          <w:rFonts w:ascii="Verdana" w:hAnsi="Verdana"/>
          <w:sz w:val="20"/>
        </w:rPr>
        <w:t xml:space="preserve"> tropicais.</w:t>
      </w:r>
      <w:r w:rsidR="00850A3F">
        <w:rPr>
          <w:rFonts w:ascii="Verdana" w:hAnsi="Verdana"/>
          <w:sz w:val="20"/>
        </w:rPr>
        <w:t xml:space="preserve"> </w:t>
      </w:r>
      <w:r w:rsidRPr="00BD40F0">
        <w:rPr>
          <w:rFonts w:ascii="Verdana" w:hAnsi="Verdana"/>
          <w:sz w:val="20"/>
        </w:rPr>
        <w:t>Com frequência, combinam</w:t>
      </w:r>
      <w:r w:rsidR="002C6A59">
        <w:rPr>
          <w:rFonts w:ascii="Verdana" w:hAnsi="Verdana"/>
          <w:sz w:val="20"/>
        </w:rPr>
        <w:t xml:space="preserve"> </w:t>
      </w:r>
      <w:r w:rsidR="00236E14">
        <w:rPr>
          <w:rFonts w:ascii="Verdana" w:hAnsi="Verdana"/>
          <w:sz w:val="20"/>
        </w:rPr>
        <w:t>esta modalidade de agricultura</w:t>
      </w:r>
      <w:r w:rsidRPr="00BD40F0">
        <w:rPr>
          <w:rFonts w:ascii="Verdana" w:hAnsi="Verdana"/>
          <w:sz w:val="20"/>
        </w:rPr>
        <w:t xml:space="preserve"> com outras atividades que requerem um espaço econômico relativamente mais amplo que um lote propriamente agrícola.</w:t>
      </w:r>
      <w:r w:rsidR="00850A3F">
        <w:rPr>
          <w:rFonts w:ascii="Verdana" w:hAnsi="Verdana"/>
          <w:sz w:val="20"/>
        </w:rPr>
        <w:t xml:space="preserve"> </w:t>
      </w:r>
      <w:r w:rsidRPr="00BD40F0">
        <w:rPr>
          <w:rFonts w:ascii="Verdana" w:hAnsi="Verdana"/>
          <w:sz w:val="20"/>
        </w:rPr>
        <w:t xml:space="preserve">O espaço no qual se move a população indígena, </w:t>
      </w:r>
      <w:r w:rsidR="003379F9">
        <w:rPr>
          <w:rFonts w:ascii="Verdana" w:hAnsi="Verdana"/>
          <w:sz w:val="20"/>
        </w:rPr>
        <w:t xml:space="preserve">às vezes </w:t>
      </w:r>
      <w:r w:rsidRPr="00BD40F0">
        <w:rPr>
          <w:rFonts w:ascii="Verdana" w:hAnsi="Verdana"/>
          <w:sz w:val="20"/>
        </w:rPr>
        <w:t>quase seminômade, é um espaço coletivo.</w:t>
      </w:r>
      <w:r w:rsidR="00850A3F">
        <w:rPr>
          <w:rFonts w:ascii="Verdana" w:hAnsi="Verdana"/>
          <w:sz w:val="20"/>
        </w:rPr>
        <w:t xml:space="preserve"> </w:t>
      </w:r>
      <w:r w:rsidRPr="00BD40F0">
        <w:rPr>
          <w:rFonts w:ascii="Verdana" w:hAnsi="Verdana"/>
          <w:sz w:val="20"/>
        </w:rPr>
        <w:t xml:space="preserve">As autoridades locais de cada comunidade têm mecanismos próprios, usos e costumes, </w:t>
      </w:r>
      <w:proofErr w:type="gramStart"/>
      <w:r w:rsidRPr="00BD40F0">
        <w:rPr>
          <w:rFonts w:ascii="Verdana" w:hAnsi="Verdana"/>
          <w:sz w:val="20"/>
        </w:rPr>
        <w:t>direito consuetudinário para distribuir o acesso equitativo entre as comunidades domésticas</w:t>
      </w:r>
      <w:proofErr w:type="gramEnd"/>
      <w:r w:rsidRPr="00BD40F0">
        <w:rPr>
          <w:rFonts w:ascii="Verdana" w:hAnsi="Verdana"/>
          <w:sz w:val="20"/>
        </w:rPr>
        <w:t>.</w:t>
      </w:r>
      <w:r w:rsidR="00850A3F">
        <w:rPr>
          <w:rFonts w:ascii="Verdana" w:hAnsi="Verdana"/>
          <w:sz w:val="20"/>
        </w:rPr>
        <w:t xml:space="preserve"> </w:t>
      </w:r>
      <w:r w:rsidRPr="00BD40F0">
        <w:rPr>
          <w:rFonts w:ascii="Verdana" w:hAnsi="Verdana"/>
          <w:sz w:val="20"/>
        </w:rPr>
        <w:t>Segundo a tecnologia, a produtividade, a sustentabilidade ecológica e a capacidade produtiva, esta rotação pode demorar anos, já que</w:t>
      </w:r>
      <w:r w:rsidR="008831BA">
        <w:rPr>
          <w:rFonts w:ascii="Verdana" w:hAnsi="Verdana"/>
          <w:sz w:val="20"/>
        </w:rPr>
        <w:t>,</w:t>
      </w:r>
      <w:r w:rsidRPr="00BD40F0">
        <w:rPr>
          <w:rFonts w:ascii="Verdana" w:hAnsi="Verdana"/>
          <w:sz w:val="20"/>
        </w:rPr>
        <w:t xml:space="preserve"> </w:t>
      </w:r>
      <w:r w:rsidR="008831BA">
        <w:rPr>
          <w:rFonts w:ascii="Verdana" w:hAnsi="Verdana"/>
          <w:sz w:val="20"/>
        </w:rPr>
        <w:t>ao se mover,</w:t>
      </w:r>
      <w:r w:rsidR="002C6A59">
        <w:rPr>
          <w:rFonts w:ascii="Verdana" w:hAnsi="Verdana"/>
          <w:sz w:val="20"/>
        </w:rPr>
        <w:t xml:space="preserve"> </w:t>
      </w:r>
      <w:r w:rsidR="008831BA">
        <w:rPr>
          <w:rFonts w:ascii="Verdana" w:hAnsi="Verdana"/>
          <w:sz w:val="20"/>
        </w:rPr>
        <w:t>um povo ocupa espaços até que volte ao lugar original</w:t>
      </w:r>
      <w:r w:rsidRPr="00BD40F0">
        <w:rPr>
          <w:rFonts w:ascii="Verdana" w:hAnsi="Verdana"/>
          <w:sz w:val="20"/>
        </w:rPr>
        <w:t>.</w:t>
      </w:r>
      <w:r w:rsidR="00850A3F">
        <w:rPr>
          <w:rFonts w:ascii="Verdana" w:hAnsi="Verdana"/>
          <w:sz w:val="20"/>
        </w:rPr>
        <w:t xml:space="preserve"> </w:t>
      </w:r>
      <w:r w:rsidRPr="00BD40F0">
        <w:rPr>
          <w:rFonts w:ascii="Verdana" w:hAnsi="Verdana"/>
          <w:sz w:val="20"/>
        </w:rPr>
        <w:t>Isto ocorre muito nas zonas baixas e é muito distinto das zonas altas mais densamente povoadas.</w:t>
      </w:r>
      <w:r w:rsidR="00850A3F">
        <w:rPr>
          <w:rFonts w:ascii="Verdana" w:hAnsi="Verdana"/>
          <w:sz w:val="20"/>
        </w:rPr>
        <w:t xml:space="preserve"> </w:t>
      </w:r>
      <w:r w:rsidRPr="00BD40F0">
        <w:rPr>
          <w:rFonts w:ascii="Verdana" w:hAnsi="Verdana"/>
          <w:sz w:val="20"/>
        </w:rPr>
        <w:t>As comunidades indígenas da Nicarágua correspondem ao modelo das terras baixas.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Há dois conceitos de terra coletiva: o território, em sua generalidade, que a comunidade considera comum,</w:t>
      </w:r>
      <w:r w:rsidR="002C6A59">
        <w:rPr>
          <w:rFonts w:ascii="Verdana" w:hAnsi="Verdana"/>
          <w:sz w:val="20"/>
        </w:rPr>
        <w:t xml:space="preserve"> </w:t>
      </w:r>
      <w:r w:rsidR="005708BD">
        <w:rPr>
          <w:rFonts w:ascii="Verdana" w:hAnsi="Verdana"/>
          <w:sz w:val="20"/>
        </w:rPr>
        <w:t>embora existam mecanismos internos</w:t>
      </w:r>
      <w:r w:rsidRPr="00BD40F0">
        <w:rPr>
          <w:rFonts w:ascii="Verdana" w:hAnsi="Verdana"/>
          <w:sz w:val="20"/>
        </w:rPr>
        <w:t xml:space="preserve"> para </w:t>
      </w:r>
      <w:r w:rsidR="00FD01CB">
        <w:rPr>
          <w:rFonts w:ascii="Verdana" w:hAnsi="Verdana"/>
          <w:sz w:val="20"/>
        </w:rPr>
        <w:t>atribuir</w:t>
      </w:r>
      <w:r w:rsidR="00FD01CB" w:rsidRPr="00BD40F0">
        <w:rPr>
          <w:rFonts w:ascii="Verdana" w:hAnsi="Verdana"/>
          <w:sz w:val="20"/>
        </w:rPr>
        <w:t xml:space="preserve"> </w:t>
      </w:r>
      <w:r w:rsidRPr="00BD40F0">
        <w:rPr>
          <w:rFonts w:ascii="Verdana" w:hAnsi="Verdana"/>
          <w:sz w:val="20"/>
        </w:rPr>
        <w:t xml:space="preserve">utilização e ocupação eventual a seus membros e que não permite alienação a pessoas que não são membros da comunidade; e o que são áreas exclusivas de utilização coletiva, </w:t>
      </w:r>
      <w:r w:rsidRPr="00BD40F0">
        <w:rPr>
          <w:rFonts w:ascii="Verdana" w:hAnsi="Verdana"/>
          <w:i/>
          <w:sz w:val="20"/>
        </w:rPr>
        <w:t>“commons</w:t>
      </w:r>
      <w:r w:rsidRPr="00BD40F0">
        <w:rPr>
          <w:rFonts w:ascii="Verdana" w:hAnsi="Verdana"/>
          <w:sz w:val="20"/>
        </w:rPr>
        <w:t>”, que não se dividem em parcelas.</w:t>
      </w:r>
      <w:r w:rsidR="00850A3F">
        <w:rPr>
          <w:rFonts w:ascii="Verdana" w:hAnsi="Verdana"/>
          <w:sz w:val="20"/>
        </w:rPr>
        <w:t xml:space="preserve"> </w:t>
      </w:r>
      <w:r w:rsidRPr="00BD40F0">
        <w:rPr>
          <w:rFonts w:ascii="Verdana" w:hAnsi="Verdana"/>
          <w:sz w:val="20"/>
        </w:rPr>
        <w:t xml:space="preserve">Quase todas as comunidades indígenas têm uma parte de </w:t>
      </w:r>
      <w:r w:rsidRPr="00BD40F0">
        <w:rPr>
          <w:rFonts w:ascii="Verdana" w:hAnsi="Verdana"/>
          <w:i/>
          <w:sz w:val="20"/>
        </w:rPr>
        <w:t>“commons”,</w:t>
      </w:r>
      <w:r w:rsidRPr="00BD40F0">
        <w:rPr>
          <w:rFonts w:ascii="Verdana" w:hAnsi="Verdana"/>
          <w:sz w:val="20"/>
        </w:rPr>
        <w:t xml:space="preserve"> de uso coletivo, e depois outra parte que pode ser dividida e </w:t>
      </w:r>
      <w:r w:rsidR="009D5808">
        <w:rPr>
          <w:rFonts w:ascii="Verdana" w:hAnsi="Verdana"/>
          <w:sz w:val="20"/>
        </w:rPr>
        <w:t>atr</w:t>
      </w:r>
      <w:r w:rsidR="00FD01CB">
        <w:rPr>
          <w:rFonts w:ascii="Verdana" w:hAnsi="Verdana"/>
          <w:sz w:val="20"/>
        </w:rPr>
        <w:t>ibuída</w:t>
      </w:r>
      <w:r w:rsidR="00FD01CB" w:rsidRPr="00BD40F0">
        <w:rPr>
          <w:rFonts w:ascii="Verdana" w:hAnsi="Verdana"/>
          <w:sz w:val="20"/>
        </w:rPr>
        <w:t xml:space="preserve"> </w:t>
      </w:r>
      <w:r w:rsidRPr="00BD40F0">
        <w:rPr>
          <w:rFonts w:ascii="Verdana" w:hAnsi="Verdana"/>
          <w:sz w:val="20"/>
        </w:rPr>
        <w:t>a famílias ou a unidades domésticas.</w:t>
      </w:r>
      <w:r w:rsidR="00850A3F">
        <w:rPr>
          <w:rFonts w:ascii="Verdana" w:hAnsi="Verdana"/>
          <w:sz w:val="20"/>
        </w:rPr>
        <w:t xml:space="preserve"> </w:t>
      </w:r>
      <w:r w:rsidRPr="00BD40F0">
        <w:rPr>
          <w:rFonts w:ascii="Verdana" w:hAnsi="Verdana"/>
          <w:sz w:val="20"/>
        </w:rPr>
        <w:t>Entretanto, é mantido o conceito de propriedade coletiva, que</w:t>
      </w:r>
      <w:r w:rsidR="005708BD">
        <w:rPr>
          <w:rFonts w:ascii="Verdana" w:hAnsi="Verdana"/>
          <w:sz w:val="20"/>
        </w:rPr>
        <w:t>,</w:t>
      </w:r>
      <w:r w:rsidRPr="00BD40F0">
        <w:rPr>
          <w:rFonts w:ascii="Verdana" w:hAnsi="Verdana"/>
          <w:sz w:val="20"/>
        </w:rPr>
        <w:t xml:space="preserve"> quando não está titulada</w:t>
      </w:r>
      <w:r w:rsidR="005708BD">
        <w:rPr>
          <w:rFonts w:ascii="Verdana" w:hAnsi="Verdana"/>
          <w:sz w:val="20"/>
        </w:rPr>
        <w:t>,</w:t>
      </w:r>
      <w:r w:rsidRPr="00BD40F0">
        <w:rPr>
          <w:rFonts w:ascii="Verdana" w:hAnsi="Verdana"/>
          <w:sz w:val="20"/>
        </w:rPr>
        <w:t xml:space="preserve"> é questionada por outros, inclusive </w:t>
      </w:r>
      <w:r w:rsidR="00052481">
        <w:rPr>
          <w:rFonts w:ascii="Verdana" w:hAnsi="Verdana"/>
          <w:sz w:val="20"/>
        </w:rPr>
        <w:t xml:space="preserve">muitas vezes </w:t>
      </w:r>
      <w:r w:rsidRPr="00BD40F0">
        <w:rPr>
          <w:rFonts w:ascii="Verdana" w:hAnsi="Verdana"/>
          <w:sz w:val="20"/>
        </w:rPr>
        <w:t>pelo Estado. Quando há problemas</w:t>
      </w:r>
      <w:r w:rsidR="005708BD">
        <w:rPr>
          <w:rFonts w:ascii="Verdana" w:hAnsi="Verdana"/>
          <w:sz w:val="20"/>
        </w:rPr>
        <w:t>,</w:t>
      </w:r>
      <w:r w:rsidRPr="00BD40F0">
        <w:rPr>
          <w:rFonts w:ascii="Verdana" w:hAnsi="Verdana"/>
          <w:sz w:val="20"/>
        </w:rPr>
        <w:t xml:space="preserve"> surge a necessidade de que existam títulos de propriedade</w:t>
      </w:r>
      <w:r w:rsidR="005708BD">
        <w:rPr>
          <w:rFonts w:ascii="Verdana" w:hAnsi="Verdana"/>
          <w:sz w:val="20"/>
        </w:rPr>
        <w:t>,</w:t>
      </w:r>
      <w:r w:rsidRPr="00BD40F0">
        <w:rPr>
          <w:rFonts w:ascii="Verdana" w:hAnsi="Verdana"/>
          <w:sz w:val="20"/>
        </w:rPr>
        <w:t xml:space="preserve"> porque a comunidade </w:t>
      </w:r>
      <w:r w:rsidR="00FD01CB">
        <w:rPr>
          <w:rFonts w:ascii="Verdana" w:hAnsi="Verdana"/>
          <w:sz w:val="20"/>
        </w:rPr>
        <w:t xml:space="preserve">se </w:t>
      </w:r>
      <w:r w:rsidR="00CC1F27">
        <w:rPr>
          <w:rFonts w:ascii="Verdana" w:hAnsi="Verdana"/>
          <w:sz w:val="20"/>
        </w:rPr>
        <w:t>arrisca</w:t>
      </w:r>
      <w:r w:rsidRPr="00BD40F0">
        <w:rPr>
          <w:rFonts w:ascii="Verdana" w:hAnsi="Verdana"/>
          <w:sz w:val="20"/>
        </w:rPr>
        <w:t xml:space="preserve"> a perd</w:t>
      </w:r>
      <w:r w:rsidR="00CC1F27">
        <w:rPr>
          <w:rFonts w:ascii="Verdana" w:hAnsi="Verdana"/>
          <w:sz w:val="20"/>
        </w:rPr>
        <w:t>er</w:t>
      </w:r>
      <w:r w:rsidRPr="00BD40F0">
        <w:rPr>
          <w:rFonts w:ascii="Verdana" w:hAnsi="Verdana"/>
          <w:sz w:val="20"/>
        </w:rPr>
        <w:t xml:space="preserve"> tudo. A história da América Latina tem consistido em um despojo praticamente permanente de comunidades indígenas por interesses externos.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São </w:t>
      </w:r>
      <w:r w:rsidR="006B1E84">
        <w:rPr>
          <w:rFonts w:ascii="Verdana" w:hAnsi="Verdana"/>
          <w:sz w:val="20"/>
        </w:rPr>
        <w:t>feitas</w:t>
      </w:r>
      <w:r w:rsidRPr="00BD40F0">
        <w:rPr>
          <w:rFonts w:ascii="Verdana" w:hAnsi="Verdana"/>
          <w:sz w:val="20"/>
        </w:rPr>
        <w:t xml:space="preserve"> pressões para que, no interior das comunidades, </w:t>
      </w:r>
      <w:r w:rsidR="006B1E84">
        <w:rPr>
          <w:rFonts w:ascii="Verdana" w:hAnsi="Verdana"/>
          <w:sz w:val="20"/>
        </w:rPr>
        <w:t>aqueles que</w:t>
      </w:r>
      <w:r w:rsidRPr="00BD40F0">
        <w:rPr>
          <w:rFonts w:ascii="Verdana" w:hAnsi="Verdana"/>
          <w:sz w:val="20"/>
        </w:rPr>
        <w:t xml:space="preserve"> têm direito de usufruto ou </w:t>
      </w:r>
      <w:r w:rsidR="00FD01CB">
        <w:rPr>
          <w:rFonts w:ascii="Verdana" w:hAnsi="Verdana"/>
          <w:sz w:val="20"/>
        </w:rPr>
        <w:t xml:space="preserve">de </w:t>
      </w:r>
      <w:r w:rsidRPr="00BD40F0">
        <w:rPr>
          <w:rFonts w:ascii="Verdana" w:hAnsi="Verdana"/>
          <w:sz w:val="20"/>
        </w:rPr>
        <w:t xml:space="preserve">ocupação titulem essas parcelas de alguma maneira; mas </w:t>
      </w:r>
      <w:r w:rsidR="00FD01CB">
        <w:rPr>
          <w:rFonts w:ascii="Verdana" w:hAnsi="Verdana"/>
          <w:sz w:val="20"/>
        </w:rPr>
        <w:t xml:space="preserve">o Estado, </w:t>
      </w:r>
      <w:r w:rsidRPr="00BD40F0">
        <w:rPr>
          <w:rFonts w:ascii="Verdana" w:hAnsi="Verdana"/>
          <w:sz w:val="20"/>
        </w:rPr>
        <w:t>ao reconhecê-la</w:t>
      </w:r>
      <w:r w:rsidR="006B1E84">
        <w:rPr>
          <w:rFonts w:ascii="Verdana" w:hAnsi="Verdana"/>
          <w:sz w:val="20"/>
        </w:rPr>
        <w:t>s</w:t>
      </w:r>
      <w:r w:rsidRPr="00BD40F0">
        <w:rPr>
          <w:rFonts w:ascii="Verdana" w:hAnsi="Verdana"/>
          <w:sz w:val="20"/>
        </w:rPr>
        <w:t xml:space="preserve"> como propriedade privada</w:t>
      </w:r>
      <w:r w:rsidR="006B1E84">
        <w:rPr>
          <w:rFonts w:ascii="Verdana" w:hAnsi="Verdana"/>
          <w:sz w:val="20"/>
        </w:rPr>
        <w:t>,</w:t>
      </w:r>
      <w:r w:rsidRPr="00BD40F0">
        <w:rPr>
          <w:rFonts w:ascii="Verdana" w:hAnsi="Verdana"/>
          <w:sz w:val="20"/>
        </w:rPr>
        <w:t xml:space="preserve"> </w:t>
      </w:r>
      <w:r w:rsidR="00FD01CB">
        <w:rPr>
          <w:rFonts w:ascii="Verdana" w:hAnsi="Verdana"/>
          <w:sz w:val="20"/>
        </w:rPr>
        <w:t xml:space="preserve">reconhece que </w:t>
      </w:r>
      <w:r w:rsidRPr="00BD40F0">
        <w:rPr>
          <w:rFonts w:ascii="Verdana" w:hAnsi="Verdana"/>
          <w:sz w:val="20"/>
        </w:rPr>
        <w:t>pode ser vendida ou alugada e isso rompe com a tradição da comunidade.</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 história da prática e da política dos Estados na América Latina, com respeito à terra indígena, é longa e dramática.</w:t>
      </w:r>
      <w:r w:rsidR="00850A3F">
        <w:rPr>
          <w:rFonts w:ascii="Verdana" w:hAnsi="Verdana"/>
          <w:sz w:val="20"/>
        </w:rPr>
        <w:t xml:space="preserve"> </w:t>
      </w:r>
      <w:r w:rsidRPr="00BD40F0">
        <w:rPr>
          <w:rFonts w:ascii="Verdana" w:hAnsi="Verdana"/>
          <w:sz w:val="20"/>
        </w:rPr>
        <w:t>Antes da conquista e da colonização e antes da formação dos Estados nacionais, os povos indígenas e suas terras formavam um t</w:t>
      </w:r>
      <w:r w:rsidR="006B1E84">
        <w:rPr>
          <w:rFonts w:ascii="Verdana" w:hAnsi="Verdana"/>
          <w:sz w:val="20"/>
        </w:rPr>
        <w:t>o</w:t>
      </w:r>
      <w:r w:rsidRPr="00BD40F0">
        <w:rPr>
          <w:rFonts w:ascii="Verdana" w:hAnsi="Verdana"/>
          <w:sz w:val="20"/>
        </w:rPr>
        <w:t>do, um t</w:t>
      </w:r>
      <w:r w:rsidR="006B1E84">
        <w:rPr>
          <w:rFonts w:ascii="Verdana" w:hAnsi="Verdana"/>
          <w:sz w:val="20"/>
        </w:rPr>
        <w:t>o</w:t>
      </w:r>
      <w:r w:rsidRPr="00BD40F0">
        <w:rPr>
          <w:rFonts w:ascii="Verdana" w:hAnsi="Verdana"/>
          <w:sz w:val="20"/>
        </w:rPr>
        <w:t>do único.</w:t>
      </w:r>
      <w:r w:rsidR="00850A3F">
        <w:rPr>
          <w:rFonts w:ascii="Verdana" w:hAnsi="Verdana"/>
          <w:sz w:val="20"/>
        </w:rPr>
        <w:t xml:space="preserve"> </w:t>
      </w:r>
      <w:r w:rsidRPr="00BD40F0">
        <w:rPr>
          <w:rFonts w:ascii="Verdana" w:hAnsi="Verdana"/>
          <w:sz w:val="20"/>
        </w:rPr>
        <w:t xml:space="preserve">A isto se veio a </w:t>
      </w:r>
      <w:r w:rsidR="006B1E84">
        <w:rPr>
          <w:rFonts w:ascii="Verdana" w:hAnsi="Verdana"/>
          <w:sz w:val="20"/>
        </w:rPr>
        <w:t>sobre</w:t>
      </w:r>
      <w:r w:rsidRPr="00BD40F0">
        <w:rPr>
          <w:rFonts w:ascii="Verdana" w:hAnsi="Verdana"/>
          <w:sz w:val="20"/>
        </w:rPr>
        <w:t>por o Estado Nacional, o qual na maioria dos países assume uma propriedade sobre terras que ancestralmente correspondiam e correspondem a povos indígenas.</w:t>
      </w:r>
      <w:r w:rsidR="00850A3F">
        <w:rPr>
          <w:rFonts w:ascii="Verdana" w:hAnsi="Verdana"/>
          <w:sz w:val="20"/>
        </w:rPr>
        <w:t xml:space="preserve"> </w:t>
      </w:r>
      <w:r w:rsidRPr="00BD40F0">
        <w:rPr>
          <w:rFonts w:ascii="Verdana" w:hAnsi="Verdana"/>
          <w:sz w:val="20"/>
        </w:rPr>
        <w:t xml:space="preserve">Nos séculos XIX e XX, os Estados declararam grandes espaços geográficos do território americano como terras baldias, como terras nacionais e </w:t>
      </w:r>
      <w:r w:rsidR="006B1E84">
        <w:rPr>
          <w:rFonts w:ascii="Verdana" w:hAnsi="Verdana"/>
          <w:sz w:val="20"/>
        </w:rPr>
        <w:t>a</w:t>
      </w:r>
      <w:r w:rsidRPr="00BD40F0">
        <w:rPr>
          <w:rFonts w:ascii="Verdana" w:hAnsi="Verdana"/>
          <w:sz w:val="20"/>
        </w:rPr>
        <w:t xml:space="preserve">ssumiram o direito de dispor dessas terras, sem </w:t>
      </w:r>
      <w:r w:rsidR="006B1E84">
        <w:rPr>
          <w:rFonts w:ascii="Verdana" w:hAnsi="Verdana"/>
          <w:sz w:val="20"/>
        </w:rPr>
        <w:t>levar</w:t>
      </w:r>
      <w:r w:rsidRPr="00BD40F0">
        <w:rPr>
          <w:rFonts w:ascii="Verdana" w:hAnsi="Verdana"/>
          <w:sz w:val="20"/>
        </w:rPr>
        <w:t xml:space="preserve"> em consideração os direitos originários, os direitos históricos, e a presença física de povos indígenas organizados de diferentes formas nestas terras desde tempos imemoriais.</w:t>
      </w:r>
      <w:r w:rsidR="00850A3F">
        <w:rPr>
          <w:rFonts w:ascii="Verdana" w:hAnsi="Verdana"/>
          <w:sz w:val="20"/>
        </w:rPr>
        <w:t xml:space="preserve"> </w:t>
      </w:r>
      <w:r w:rsidRPr="00BD40F0">
        <w:rPr>
          <w:rFonts w:ascii="Verdana" w:hAnsi="Verdana"/>
          <w:sz w:val="20"/>
        </w:rPr>
        <w:t xml:space="preserve">Os problemas surgem quando os Estados decidem </w:t>
      </w:r>
      <w:proofErr w:type="gramStart"/>
      <w:r w:rsidRPr="00BD40F0">
        <w:rPr>
          <w:rFonts w:ascii="Verdana" w:hAnsi="Verdana"/>
          <w:sz w:val="20"/>
        </w:rPr>
        <w:t xml:space="preserve">titular estas terras ou </w:t>
      </w:r>
      <w:r w:rsidR="00FD01CB">
        <w:rPr>
          <w:rFonts w:ascii="Verdana" w:hAnsi="Verdana"/>
          <w:sz w:val="20"/>
        </w:rPr>
        <w:t>outorgar</w:t>
      </w:r>
      <w:r w:rsidR="00FD01CB" w:rsidRPr="00BD40F0">
        <w:rPr>
          <w:rFonts w:ascii="Verdana" w:hAnsi="Verdana"/>
          <w:sz w:val="20"/>
        </w:rPr>
        <w:t xml:space="preserve"> </w:t>
      </w:r>
      <w:r w:rsidRPr="00BD40F0">
        <w:rPr>
          <w:rFonts w:ascii="Verdana" w:hAnsi="Verdana"/>
          <w:sz w:val="20"/>
        </w:rPr>
        <w:t>concessões ou permitir desmontes</w:t>
      </w:r>
      <w:proofErr w:type="gramEnd"/>
      <w:r w:rsidRPr="00BD40F0">
        <w:rPr>
          <w:rFonts w:ascii="Verdana" w:hAnsi="Verdana"/>
          <w:sz w:val="20"/>
        </w:rPr>
        <w:t>, autorizar a utilização destas terras para outras finalidades determinadas por interesses econômicos diversos.</w:t>
      </w:r>
      <w:r w:rsidR="00850A3F">
        <w:rPr>
          <w:rFonts w:ascii="Verdana" w:hAnsi="Verdana"/>
          <w:sz w:val="20"/>
        </w:rPr>
        <w:t xml:space="preserve"> </w:t>
      </w:r>
      <w:r w:rsidRPr="00BD40F0">
        <w:rPr>
          <w:rFonts w:ascii="Verdana" w:hAnsi="Verdana"/>
          <w:sz w:val="20"/>
        </w:rPr>
        <w:t>Nesses momentos é quando muitos povos indígenas percebem que não são</w:t>
      </w:r>
      <w:r w:rsidR="005708BD">
        <w:rPr>
          <w:rFonts w:ascii="Verdana" w:hAnsi="Verdana"/>
          <w:sz w:val="20"/>
        </w:rPr>
        <w:t>,</w:t>
      </w:r>
      <w:r w:rsidRPr="00BD40F0">
        <w:rPr>
          <w:rFonts w:ascii="Verdana" w:hAnsi="Verdana"/>
          <w:sz w:val="20"/>
        </w:rPr>
        <w:t xml:space="preserve"> juridicamente falando</w:t>
      </w:r>
      <w:r w:rsidR="005708BD">
        <w:rPr>
          <w:rFonts w:ascii="Verdana" w:hAnsi="Verdana"/>
          <w:sz w:val="20"/>
        </w:rPr>
        <w:t>,</w:t>
      </w:r>
      <w:r w:rsidRPr="00BD40F0">
        <w:rPr>
          <w:rFonts w:ascii="Verdana" w:hAnsi="Verdana"/>
          <w:sz w:val="20"/>
        </w:rPr>
        <w:t xml:space="preserve"> os donos autênticos dos territórios que tradicionalmente ocupam.</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Nas últimas décadas, os povos indígenas</w:t>
      </w:r>
      <w:r w:rsidR="002C6A59">
        <w:rPr>
          <w:rFonts w:ascii="Verdana" w:hAnsi="Verdana"/>
          <w:sz w:val="20"/>
        </w:rPr>
        <w:t xml:space="preserve"> </w:t>
      </w:r>
      <w:r w:rsidR="00B5546A">
        <w:rPr>
          <w:rFonts w:ascii="Verdana" w:hAnsi="Verdana"/>
          <w:sz w:val="20"/>
        </w:rPr>
        <w:t>começaram</w:t>
      </w:r>
      <w:r w:rsidRPr="00BD40F0">
        <w:rPr>
          <w:rFonts w:ascii="Verdana" w:hAnsi="Verdana"/>
          <w:sz w:val="20"/>
        </w:rPr>
        <w:t xml:space="preserve"> a </w:t>
      </w:r>
      <w:r w:rsidR="00FD01CB">
        <w:rPr>
          <w:rFonts w:ascii="Verdana" w:hAnsi="Verdana"/>
          <w:sz w:val="20"/>
        </w:rPr>
        <w:t xml:space="preserve">se </w:t>
      </w:r>
      <w:r w:rsidR="006B1E84">
        <w:rPr>
          <w:rFonts w:ascii="Verdana" w:hAnsi="Verdana"/>
          <w:sz w:val="20"/>
        </w:rPr>
        <w:t>organizar</w:t>
      </w:r>
      <w:r w:rsidRPr="00BD40F0">
        <w:rPr>
          <w:rFonts w:ascii="Verdana" w:hAnsi="Verdana"/>
          <w:sz w:val="20"/>
        </w:rPr>
        <w:t xml:space="preserve">, já que perceberam que têm </w:t>
      </w:r>
      <w:r w:rsidR="00FD01CB">
        <w:rPr>
          <w:rFonts w:ascii="Verdana" w:hAnsi="Verdana"/>
          <w:sz w:val="20"/>
        </w:rPr>
        <w:t>de</w:t>
      </w:r>
      <w:r w:rsidR="00FD01CB" w:rsidRPr="00BD40F0">
        <w:rPr>
          <w:rFonts w:ascii="Verdana" w:hAnsi="Verdana"/>
          <w:sz w:val="20"/>
        </w:rPr>
        <w:t xml:space="preserve"> </w:t>
      </w:r>
      <w:r w:rsidRPr="00BD40F0">
        <w:rPr>
          <w:rFonts w:ascii="Verdana" w:hAnsi="Verdana"/>
          <w:sz w:val="20"/>
        </w:rPr>
        <w:t>fazer algo para salvaguardar e prote</w:t>
      </w:r>
      <w:r w:rsidR="006B1E84">
        <w:rPr>
          <w:rFonts w:ascii="Verdana" w:hAnsi="Verdana"/>
          <w:sz w:val="20"/>
        </w:rPr>
        <w:t>ger juridicamente</w:t>
      </w:r>
      <w:r w:rsidR="002C6A59">
        <w:rPr>
          <w:rFonts w:ascii="Verdana" w:hAnsi="Verdana"/>
          <w:sz w:val="20"/>
        </w:rPr>
        <w:t xml:space="preserve"> </w:t>
      </w:r>
      <w:r w:rsidR="00B5546A">
        <w:rPr>
          <w:rFonts w:ascii="Verdana" w:hAnsi="Verdana"/>
          <w:sz w:val="20"/>
        </w:rPr>
        <w:t xml:space="preserve">essas </w:t>
      </w:r>
      <w:r w:rsidR="006B1E84">
        <w:rPr>
          <w:rFonts w:ascii="Verdana" w:hAnsi="Verdana"/>
          <w:sz w:val="20"/>
        </w:rPr>
        <w:t>terras.</w:t>
      </w:r>
      <w:r w:rsidRPr="00BD40F0">
        <w:rPr>
          <w:rFonts w:ascii="Verdana" w:hAnsi="Verdana"/>
          <w:sz w:val="20"/>
        </w:rPr>
        <w:t xml:space="preserve"> O que se denomina genericamente direito consuetudinário indígena não é um corpo estruturado, nem muito menos codificado; </w:t>
      </w:r>
      <w:proofErr w:type="gramStart"/>
      <w:r w:rsidRPr="00BD40F0">
        <w:rPr>
          <w:rFonts w:ascii="Verdana" w:hAnsi="Verdana"/>
          <w:sz w:val="20"/>
        </w:rPr>
        <w:t>são</w:t>
      </w:r>
      <w:proofErr w:type="gramEnd"/>
      <w:r w:rsidRPr="00BD40F0">
        <w:rPr>
          <w:rFonts w:ascii="Verdana" w:hAnsi="Verdana"/>
          <w:sz w:val="20"/>
        </w:rPr>
        <w:t xml:space="preserve"> uma série de práticas reais</w:t>
      </w:r>
      <w:r w:rsidR="002C6A59">
        <w:rPr>
          <w:rFonts w:ascii="Verdana" w:hAnsi="Verdana"/>
          <w:sz w:val="20"/>
        </w:rPr>
        <w:t xml:space="preserve"> </w:t>
      </w:r>
      <w:r w:rsidRPr="00BD40F0">
        <w:rPr>
          <w:rFonts w:ascii="Verdana" w:hAnsi="Verdana"/>
          <w:sz w:val="20"/>
        </w:rPr>
        <w:t xml:space="preserve">realizadas de maneira distinta em diferentes comunidades, para resolver uma série de problemas de administração de justiça, resolução de conflitos, manutenção da ordem interna, normatividade </w:t>
      </w:r>
      <w:r w:rsidR="006B1E84">
        <w:rPr>
          <w:rFonts w:ascii="Verdana" w:hAnsi="Verdana"/>
          <w:sz w:val="20"/>
        </w:rPr>
        <w:t>da</w:t>
      </w:r>
      <w:r w:rsidR="00490BEE">
        <w:rPr>
          <w:rFonts w:ascii="Verdana" w:hAnsi="Verdana"/>
          <w:sz w:val="20"/>
        </w:rPr>
        <w:t>s</w:t>
      </w:r>
      <w:r w:rsidR="006B1E84">
        <w:rPr>
          <w:rFonts w:ascii="Verdana" w:hAnsi="Verdana"/>
          <w:sz w:val="20"/>
        </w:rPr>
        <w:t xml:space="preserve"> reivindicações</w:t>
      </w:r>
      <w:r w:rsidRPr="00BD40F0">
        <w:rPr>
          <w:rFonts w:ascii="Verdana" w:hAnsi="Verdana"/>
          <w:sz w:val="20"/>
        </w:rPr>
        <w:t xml:space="preserve"> interpessoais, vinculação com o mundo exterior etc.</w:t>
      </w:r>
      <w:r w:rsidR="00850A3F">
        <w:rPr>
          <w:rFonts w:ascii="Verdana" w:hAnsi="Verdana"/>
          <w:sz w:val="20"/>
        </w:rPr>
        <w:t xml:space="preserve"> </w:t>
      </w:r>
      <w:r w:rsidRPr="00BD40F0">
        <w:rPr>
          <w:rFonts w:ascii="Verdana" w:hAnsi="Verdana"/>
          <w:sz w:val="20"/>
        </w:rPr>
        <w:t xml:space="preserve">No direito consuetudinário, a terra, ao ser vinculada com os seres humanos, é vista como um lugar espiritual, já que conta com lugares sagrados, com </w:t>
      </w:r>
      <w:r w:rsidR="006B1E84">
        <w:rPr>
          <w:rFonts w:ascii="Verdana" w:hAnsi="Verdana"/>
          <w:sz w:val="20"/>
        </w:rPr>
        <w:t>floresta</w:t>
      </w:r>
      <w:r w:rsidRPr="00BD40F0">
        <w:rPr>
          <w:rFonts w:ascii="Verdana" w:hAnsi="Verdana"/>
          <w:sz w:val="20"/>
        </w:rPr>
        <w:t xml:space="preserve"> etc.</w:t>
      </w:r>
      <w:r w:rsidR="00850A3F">
        <w:rPr>
          <w:rFonts w:ascii="Verdana" w:hAnsi="Verdana"/>
          <w:sz w:val="20"/>
        </w:rPr>
        <w:t xml:space="preserve"> </w:t>
      </w:r>
      <w:r w:rsidRPr="00BD40F0">
        <w:rPr>
          <w:rFonts w:ascii="Verdana" w:hAnsi="Verdana"/>
          <w:sz w:val="20"/>
        </w:rPr>
        <w:t xml:space="preserve">Essa vinculação do ser humano com o território não está </w:t>
      </w:r>
      <w:r w:rsidR="00FD01CB" w:rsidRPr="00BD40F0">
        <w:rPr>
          <w:rFonts w:ascii="Verdana" w:hAnsi="Verdana"/>
          <w:sz w:val="20"/>
        </w:rPr>
        <w:t xml:space="preserve">necessariamente </w:t>
      </w:r>
      <w:r w:rsidRPr="00BD40F0">
        <w:rPr>
          <w:rFonts w:ascii="Verdana" w:hAnsi="Verdana"/>
          <w:sz w:val="20"/>
        </w:rPr>
        <w:t>escrita, é algo que se vive no cotidiano.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No atinente à ocupação ancestral da terra, a continuidade </w:t>
      </w:r>
      <w:r w:rsidR="003379F9">
        <w:rPr>
          <w:rFonts w:ascii="Verdana" w:hAnsi="Verdana"/>
          <w:sz w:val="20"/>
        </w:rPr>
        <w:t>é estabelecida</w:t>
      </w:r>
      <w:r w:rsidRPr="00BD40F0">
        <w:rPr>
          <w:rFonts w:ascii="Verdana" w:hAnsi="Verdana"/>
          <w:sz w:val="20"/>
        </w:rPr>
        <w:t xml:space="preserve"> em termos de continuidade histórica de um grupo que durante séculos tem mantido uma identidade e da qual deriva precisamente sua situação atual no país</w:t>
      </w:r>
      <w:r w:rsidR="002C6A59">
        <w:rPr>
          <w:rFonts w:ascii="Verdana" w:hAnsi="Verdana"/>
          <w:sz w:val="20"/>
        </w:rPr>
        <w:t xml:space="preserve"> </w:t>
      </w:r>
      <w:r w:rsidR="00B5546A">
        <w:rPr>
          <w:rFonts w:ascii="Verdana" w:hAnsi="Verdana"/>
          <w:sz w:val="20"/>
        </w:rPr>
        <w:t>em questão</w:t>
      </w:r>
      <w:r w:rsidRPr="00BD40F0">
        <w:rPr>
          <w:rFonts w:ascii="Verdana" w:hAnsi="Verdana"/>
          <w:sz w:val="20"/>
        </w:rPr>
        <w:t>.</w:t>
      </w:r>
      <w:r w:rsidR="00850A3F">
        <w:rPr>
          <w:rFonts w:ascii="Verdana" w:hAnsi="Verdana"/>
          <w:sz w:val="20"/>
        </w:rPr>
        <w:t xml:space="preserve"> </w:t>
      </w:r>
      <w:r w:rsidRPr="00BD40F0">
        <w:rPr>
          <w:rFonts w:ascii="Verdana" w:hAnsi="Verdana"/>
          <w:sz w:val="20"/>
        </w:rPr>
        <w:t>O fato é que</w:t>
      </w:r>
      <w:r w:rsidR="00B5546A">
        <w:rPr>
          <w:rFonts w:ascii="Verdana" w:hAnsi="Verdana"/>
          <w:sz w:val="20"/>
        </w:rPr>
        <w:t>,</w:t>
      </w:r>
      <w:r w:rsidRPr="00BD40F0">
        <w:rPr>
          <w:rFonts w:ascii="Verdana" w:hAnsi="Verdana"/>
          <w:sz w:val="20"/>
        </w:rPr>
        <w:t xml:space="preserve"> por razões de mudanças históricas, depressões econômicas, violência, guerras civis e pressões do sistema economicamente dominante, que durante séculos tem pressionado e confinado os indígenas em zonas que os primeiros invasores, os colonos e depois as grandes empresas, não têm </w:t>
      </w:r>
      <w:r w:rsidR="003B6BC8">
        <w:rPr>
          <w:rFonts w:ascii="Verdana" w:hAnsi="Verdana"/>
          <w:sz w:val="20"/>
        </w:rPr>
        <w:t>desejado</w:t>
      </w:r>
      <w:r w:rsidRPr="00BD40F0">
        <w:rPr>
          <w:rFonts w:ascii="Verdana" w:hAnsi="Verdana"/>
          <w:sz w:val="20"/>
        </w:rPr>
        <w:t>, os grupos de indígenas têm</w:t>
      </w:r>
      <w:r w:rsidR="003B6BC8">
        <w:rPr>
          <w:rFonts w:ascii="Verdana" w:hAnsi="Verdana"/>
          <w:sz w:val="20"/>
        </w:rPr>
        <w:t xml:space="preserve"> </w:t>
      </w:r>
      <w:r w:rsidRPr="00BD40F0">
        <w:rPr>
          <w:rFonts w:ascii="Verdana" w:hAnsi="Verdana"/>
          <w:sz w:val="20"/>
        </w:rPr>
        <w:t>se visto obrigados a buscar novos h</w:t>
      </w:r>
      <w:r w:rsidR="003B6BC8">
        <w:rPr>
          <w:rFonts w:ascii="Verdana" w:hAnsi="Verdana"/>
          <w:sz w:val="20"/>
        </w:rPr>
        <w:t>a</w:t>
      </w:r>
      <w:r w:rsidRPr="00BD40F0">
        <w:rPr>
          <w:rFonts w:ascii="Verdana" w:hAnsi="Verdana"/>
          <w:sz w:val="20"/>
        </w:rPr>
        <w:t>bitats,</w:t>
      </w:r>
      <w:r w:rsidR="002C6A59">
        <w:rPr>
          <w:rFonts w:ascii="Verdana" w:hAnsi="Verdana"/>
          <w:sz w:val="20"/>
        </w:rPr>
        <w:t xml:space="preserve"> </w:t>
      </w:r>
      <w:r w:rsidR="003F261B">
        <w:rPr>
          <w:rFonts w:ascii="Verdana" w:hAnsi="Verdana"/>
          <w:sz w:val="20"/>
        </w:rPr>
        <w:t>a fim de</w:t>
      </w:r>
      <w:r w:rsidRPr="00BD40F0">
        <w:rPr>
          <w:rFonts w:ascii="Verdana" w:hAnsi="Verdana"/>
          <w:sz w:val="20"/>
        </w:rPr>
        <w:t xml:space="preserve"> manter essa continuidade histórica sem a intervenção de forças estranhas, </w:t>
      </w:r>
      <w:r w:rsidR="00B5546A">
        <w:rPr>
          <w:rFonts w:ascii="Verdana" w:hAnsi="Verdana"/>
          <w:sz w:val="20"/>
        </w:rPr>
        <w:t>bem como</w:t>
      </w:r>
      <w:r w:rsidR="002C6A59">
        <w:rPr>
          <w:rFonts w:ascii="Verdana" w:hAnsi="Verdana"/>
          <w:sz w:val="20"/>
        </w:rPr>
        <w:t xml:space="preserve"> </w:t>
      </w:r>
      <w:r w:rsidRPr="00BD40F0">
        <w:rPr>
          <w:rFonts w:ascii="Verdana" w:hAnsi="Verdana"/>
          <w:sz w:val="20"/>
        </w:rPr>
        <w:t xml:space="preserve">manter sua liberdade e seu direito de viver como eles </w:t>
      </w:r>
      <w:r w:rsidR="00FD01CB">
        <w:rPr>
          <w:rFonts w:ascii="Verdana" w:hAnsi="Verdana"/>
          <w:sz w:val="20"/>
        </w:rPr>
        <w:t>queiram</w:t>
      </w:r>
      <w:r w:rsidRPr="00BD40F0">
        <w:rPr>
          <w:rFonts w:ascii="Verdana" w:hAnsi="Verdana"/>
          <w:sz w:val="20"/>
        </w:rPr>
        <w:t>.</w:t>
      </w:r>
      <w:r w:rsidR="00850A3F">
        <w:rPr>
          <w:rFonts w:ascii="Verdana" w:hAnsi="Verdana"/>
          <w:sz w:val="20"/>
        </w:rPr>
        <w:t xml:space="preserve"> </w:t>
      </w:r>
      <w:r w:rsidRPr="00BD40F0">
        <w:rPr>
          <w:rFonts w:ascii="Verdana" w:hAnsi="Verdana"/>
          <w:sz w:val="20"/>
        </w:rPr>
        <w:t xml:space="preserve">Podem ser dados muitos exemplos de comunidades que têm </w:t>
      </w:r>
      <w:r w:rsidR="00FD01CB">
        <w:rPr>
          <w:rFonts w:ascii="Verdana" w:hAnsi="Verdana"/>
          <w:sz w:val="20"/>
        </w:rPr>
        <w:t xml:space="preserve">se </w:t>
      </w:r>
      <w:r w:rsidR="003B6BC8">
        <w:rPr>
          <w:rFonts w:ascii="Verdana" w:hAnsi="Verdana"/>
          <w:sz w:val="20"/>
        </w:rPr>
        <w:t>deslocado</w:t>
      </w:r>
      <w:r w:rsidRPr="00BD40F0">
        <w:rPr>
          <w:rFonts w:ascii="Verdana" w:hAnsi="Verdana"/>
          <w:sz w:val="20"/>
        </w:rPr>
        <w:t xml:space="preserve"> de um lugar para outro, em épocas históricas relativamente recentes.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Tudo isto forma parte da cosmovisão indígena que na atualidade está sendo </w:t>
      </w:r>
      <w:r w:rsidR="003B6BC8">
        <w:rPr>
          <w:rFonts w:ascii="Verdana" w:hAnsi="Verdana"/>
          <w:sz w:val="20"/>
        </w:rPr>
        <w:t>reunida</w:t>
      </w:r>
      <w:r w:rsidRPr="00BD40F0">
        <w:rPr>
          <w:rFonts w:ascii="Verdana" w:hAnsi="Verdana"/>
          <w:sz w:val="20"/>
        </w:rPr>
        <w:t xml:space="preserve"> pelo direito positivo e se está construindo um </w:t>
      </w:r>
      <w:r w:rsidR="00360853">
        <w:rPr>
          <w:rFonts w:ascii="Verdana" w:hAnsi="Verdana"/>
          <w:sz w:val="20"/>
        </w:rPr>
        <w:t>Direito Internacional</w:t>
      </w:r>
      <w:r w:rsidRPr="00BD40F0">
        <w:rPr>
          <w:rFonts w:ascii="Verdana" w:hAnsi="Verdana"/>
          <w:sz w:val="20"/>
        </w:rPr>
        <w:t xml:space="preserve"> indígena.</w:t>
      </w:r>
      <w:r w:rsidR="00850A3F">
        <w:rPr>
          <w:rFonts w:ascii="Verdana" w:hAnsi="Verdana"/>
          <w:sz w:val="20"/>
        </w:rPr>
        <w:t xml:space="preserve"> </w:t>
      </w:r>
      <w:r w:rsidR="003B6BC8">
        <w:rPr>
          <w:rFonts w:ascii="Verdana" w:hAnsi="Verdana"/>
          <w:sz w:val="20"/>
        </w:rPr>
        <w:t>Compreendem-no</w:t>
      </w:r>
      <w:r w:rsidRPr="00BD40F0">
        <w:rPr>
          <w:rFonts w:ascii="Verdana" w:hAnsi="Verdana"/>
          <w:sz w:val="20"/>
        </w:rPr>
        <w:t xml:space="preserve"> os Trabalhos das Nações Unidas, no Projeto de Declaração dos Direitos dos Indígenas, </w:t>
      </w:r>
      <w:r w:rsidR="003B6BC8">
        <w:rPr>
          <w:rFonts w:ascii="Verdana" w:hAnsi="Verdana"/>
          <w:sz w:val="20"/>
        </w:rPr>
        <w:t>compreende-o</w:t>
      </w:r>
      <w:r w:rsidRPr="00BD40F0">
        <w:rPr>
          <w:rFonts w:ascii="Verdana" w:hAnsi="Verdana"/>
          <w:sz w:val="20"/>
        </w:rPr>
        <w:t xml:space="preserve"> a Organização dos Estados Americanos, no Projeto de Direitos Indígenas, </w:t>
      </w:r>
      <w:r w:rsidR="003B6BC8">
        <w:rPr>
          <w:rFonts w:ascii="Verdana" w:hAnsi="Verdana"/>
          <w:sz w:val="20"/>
        </w:rPr>
        <w:t>reúne-o</w:t>
      </w:r>
      <w:r w:rsidRPr="00BD40F0">
        <w:rPr>
          <w:rFonts w:ascii="Verdana" w:hAnsi="Verdana"/>
          <w:sz w:val="20"/>
        </w:rPr>
        <w:t xml:space="preserve"> a Organização Internacional do Trabalho, na Convenção 169.</w:t>
      </w:r>
      <w:r w:rsidR="00850A3F">
        <w:rPr>
          <w:rFonts w:ascii="Verdana" w:hAnsi="Verdana"/>
          <w:sz w:val="20"/>
        </w:rPr>
        <w:t xml:space="preserve"> </w:t>
      </w:r>
      <w:r w:rsidRPr="00BD40F0">
        <w:rPr>
          <w:rFonts w:ascii="Verdana" w:hAnsi="Verdana"/>
          <w:sz w:val="20"/>
        </w:rPr>
        <w:t>Até agora</w:t>
      </w:r>
      <w:r w:rsidR="00B5546A">
        <w:rPr>
          <w:rFonts w:ascii="Verdana" w:hAnsi="Verdana"/>
          <w:sz w:val="20"/>
        </w:rPr>
        <w:t>,</w:t>
      </w:r>
      <w:r w:rsidRPr="00BD40F0">
        <w:rPr>
          <w:rFonts w:ascii="Verdana" w:hAnsi="Verdana"/>
          <w:sz w:val="20"/>
        </w:rPr>
        <w:t xml:space="preserve"> o reconhecimento desses direitos indígenas é meramente formal, já que não </w:t>
      </w:r>
      <w:r w:rsidR="000F2BCA">
        <w:rPr>
          <w:rFonts w:ascii="Verdana" w:hAnsi="Verdana"/>
          <w:sz w:val="20"/>
        </w:rPr>
        <w:t xml:space="preserve">foi possível avançar em sua </w:t>
      </w:r>
      <w:r w:rsidR="00B5546A">
        <w:rPr>
          <w:rFonts w:ascii="Verdana" w:hAnsi="Verdana"/>
          <w:sz w:val="20"/>
        </w:rPr>
        <w:t>regulamentação</w:t>
      </w:r>
      <w:r w:rsidRPr="00BD40F0">
        <w:rPr>
          <w:rFonts w:ascii="Verdana" w:hAnsi="Verdana"/>
          <w:sz w:val="20"/>
        </w:rPr>
        <w:t>.</w:t>
      </w:r>
      <w:r w:rsidR="00850A3F">
        <w:rPr>
          <w:rFonts w:ascii="Verdana" w:hAnsi="Verdana"/>
          <w:sz w:val="20"/>
        </w:rPr>
        <w:t xml:space="preserve"> </w:t>
      </w:r>
      <w:r w:rsidRPr="00BD40F0">
        <w:rPr>
          <w:rFonts w:ascii="Verdana" w:hAnsi="Verdana"/>
          <w:sz w:val="20"/>
        </w:rPr>
        <w:t xml:space="preserve">A Convenção da OIT </w:t>
      </w:r>
      <w:r w:rsidR="003B6BC8">
        <w:rPr>
          <w:rFonts w:ascii="Verdana" w:hAnsi="Verdana"/>
          <w:sz w:val="20"/>
        </w:rPr>
        <w:t>reúne-os</w:t>
      </w:r>
      <w:r w:rsidRPr="00BD40F0">
        <w:rPr>
          <w:rFonts w:ascii="Verdana" w:hAnsi="Verdana"/>
          <w:sz w:val="20"/>
        </w:rPr>
        <w:t xml:space="preserve"> de forma geral e impõe o desafio de traduzir estas normas em regulamentações </w:t>
      </w:r>
      <w:r w:rsidR="00FD01CB">
        <w:rPr>
          <w:rFonts w:ascii="Verdana" w:hAnsi="Verdana"/>
          <w:sz w:val="20"/>
        </w:rPr>
        <w:t>no âmbito</w:t>
      </w:r>
      <w:r w:rsidRPr="00BD40F0">
        <w:rPr>
          <w:rFonts w:ascii="Verdana" w:hAnsi="Verdana"/>
          <w:sz w:val="20"/>
        </w:rPr>
        <w:t xml:space="preserve"> nacional para que sejam efetivas.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lastRenderedPageBreak/>
        <w:t xml:space="preserve">O relatório elaborado pelo professor Theodore Macdonald responde a todos os requerimentos de um estudo metodologicamente responsável </w:t>
      </w:r>
      <w:r w:rsidR="00360853">
        <w:rPr>
          <w:rFonts w:ascii="Verdana" w:hAnsi="Verdana"/>
          <w:sz w:val="20"/>
        </w:rPr>
        <w:t>de</w:t>
      </w:r>
      <w:r w:rsidRPr="00BD40F0">
        <w:rPr>
          <w:rFonts w:ascii="Verdana" w:hAnsi="Verdana"/>
          <w:sz w:val="20"/>
        </w:rPr>
        <w:t xml:space="preserve"> investigação etnográfica, baseado no uso de múltiplas fontes, </w:t>
      </w:r>
      <w:r w:rsidR="00C5305E">
        <w:rPr>
          <w:rFonts w:ascii="Verdana" w:hAnsi="Verdana"/>
          <w:sz w:val="20"/>
        </w:rPr>
        <w:t xml:space="preserve">e </w:t>
      </w:r>
      <w:r w:rsidRPr="00BD40F0">
        <w:rPr>
          <w:rFonts w:ascii="Verdana" w:hAnsi="Verdana"/>
          <w:sz w:val="20"/>
        </w:rPr>
        <w:t xml:space="preserve">no manejo de conceitos que provêm de várias disciplinas: da antropologia, história, geografia, economia etc. </w:t>
      </w:r>
      <w:r w:rsidR="00B800CC">
        <w:rPr>
          <w:rFonts w:ascii="Verdana" w:hAnsi="Verdana"/>
          <w:sz w:val="20"/>
        </w:rPr>
        <w:t>Observa-se</w:t>
      </w:r>
      <w:r w:rsidR="00C5305E">
        <w:rPr>
          <w:rFonts w:ascii="Verdana" w:hAnsi="Verdana"/>
          <w:sz w:val="20"/>
        </w:rPr>
        <w:t>,</w:t>
      </w:r>
      <w:r w:rsidR="00B800CC">
        <w:rPr>
          <w:rFonts w:ascii="Verdana" w:hAnsi="Verdana"/>
          <w:sz w:val="20"/>
        </w:rPr>
        <w:t xml:space="preserve"> </w:t>
      </w:r>
      <w:r w:rsidRPr="00BD40F0">
        <w:rPr>
          <w:rFonts w:ascii="Verdana" w:hAnsi="Verdana"/>
          <w:sz w:val="20"/>
        </w:rPr>
        <w:t>da leitura do estudo</w:t>
      </w:r>
      <w:r w:rsidR="00C5305E">
        <w:rPr>
          <w:rFonts w:ascii="Verdana" w:hAnsi="Verdana"/>
          <w:sz w:val="20"/>
        </w:rPr>
        <w:t>,</w:t>
      </w:r>
      <w:r w:rsidRPr="00BD40F0">
        <w:rPr>
          <w:rFonts w:ascii="Verdana" w:hAnsi="Verdana"/>
          <w:sz w:val="20"/>
        </w:rPr>
        <w:t xml:space="preserve"> que o investigador </w:t>
      </w:r>
      <w:r w:rsidR="003B6BC8">
        <w:rPr>
          <w:rFonts w:ascii="Verdana" w:hAnsi="Verdana"/>
          <w:sz w:val="20"/>
        </w:rPr>
        <w:t>fez</w:t>
      </w:r>
      <w:r w:rsidRPr="00BD40F0">
        <w:rPr>
          <w:rFonts w:ascii="Verdana" w:hAnsi="Verdana"/>
          <w:sz w:val="20"/>
        </w:rPr>
        <w:t xml:space="preserve"> extensos </w:t>
      </w:r>
      <w:r w:rsidR="003B6BC8">
        <w:rPr>
          <w:rFonts w:ascii="Verdana" w:hAnsi="Verdana"/>
          <w:sz w:val="20"/>
        </w:rPr>
        <w:t>percursos</w:t>
      </w:r>
      <w:r w:rsidRPr="00BD40F0">
        <w:rPr>
          <w:rFonts w:ascii="Verdana" w:hAnsi="Verdana"/>
          <w:sz w:val="20"/>
        </w:rPr>
        <w:t xml:space="preserve"> pelas zonas, entrevist</w:t>
      </w:r>
      <w:r w:rsidR="003B6BC8">
        <w:rPr>
          <w:rFonts w:ascii="Verdana" w:hAnsi="Verdana"/>
          <w:sz w:val="20"/>
        </w:rPr>
        <w:t>ou</w:t>
      </w:r>
      <w:r w:rsidRPr="00BD40F0">
        <w:rPr>
          <w:rFonts w:ascii="Verdana" w:hAnsi="Verdana"/>
          <w:sz w:val="20"/>
        </w:rPr>
        <w:t xml:space="preserve"> muitas pessoas, obtendo informação direta, que é o que os antropólogos geralmente fazem</w:t>
      </w:r>
      <w:r w:rsidR="00C5305E">
        <w:rPr>
          <w:rFonts w:ascii="Verdana" w:hAnsi="Verdana"/>
          <w:sz w:val="20"/>
        </w:rPr>
        <w:t>,</w:t>
      </w:r>
      <w:r w:rsidRPr="00BD40F0">
        <w:rPr>
          <w:rFonts w:ascii="Verdana" w:hAnsi="Verdana"/>
          <w:sz w:val="20"/>
        </w:rPr>
        <w:t xml:space="preserve"> e, ademais, base</w:t>
      </w:r>
      <w:r w:rsidR="00360853">
        <w:rPr>
          <w:rFonts w:ascii="Verdana" w:hAnsi="Verdana"/>
          <w:sz w:val="20"/>
        </w:rPr>
        <w:t>ou-se</w:t>
      </w:r>
      <w:r w:rsidRPr="00BD40F0">
        <w:rPr>
          <w:rFonts w:ascii="Verdana" w:hAnsi="Verdana"/>
          <w:sz w:val="20"/>
        </w:rPr>
        <w:t xml:space="preserve"> na análise crítica de uma quantidade de documentação que n</w:t>
      </w:r>
      <w:r w:rsidR="00FD01CB">
        <w:rPr>
          <w:rFonts w:ascii="Verdana" w:hAnsi="Verdana"/>
          <w:sz w:val="20"/>
        </w:rPr>
        <w:t>em</w:t>
      </w:r>
      <w:r w:rsidRPr="00BD40F0">
        <w:rPr>
          <w:rFonts w:ascii="Verdana" w:hAnsi="Verdana"/>
          <w:sz w:val="20"/>
        </w:rPr>
        <w:t xml:space="preserve"> sempre é fácil conseguir, para sustentar </w:t>
      </w:r>
      <w:r w:rsidR="00360853">
        <w:rPr>
          <w:rFonts w:ascii="Verdana" w:hAnsi="Verdana"/>
          <w:sz w:val="20"/>
        </w:rPr>
        <w:t xml:space="preserve">seus </w:t>
      </w:r>
      <w:r w:rsidRPr="00BD40F0">
        <w:rPr>
          <w:rFonts w:ascii="Verdana" w:hAnsi="Verdana"/>
          <w:sz w:val="20"/>
        </w:rPr>
        <w:t>resultados.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Em certos contextos históricos</w:t>
      </w:r>
      <w:r w:rsidR="00C33341">
        <w:rPr>
          <w:rFonts w:ascii="Verdana" w:hAnsi="Verdana"/>
          <w:sz w:val="20"/>
        </w:rPr>
        <w:t>,</w:t>
      </w:r>
      <w:r w:rsidRPr="00BD40F0">
        <w:rPr>
          <w:rFonts w:ascii="Verdana" w:hAnsi="Verdana"/>
          <w:sz w:val="20"/>
        </w:rPr>
        <w:t xml:space="preserve"> os direitos da pessoa humana são garantidos e </w:t>
      </w:r>
      <w:r w:rsidR="00C33341">
        <w:rPr>
          <w:rFonts w:ascii="Verdana" w:hAnsi="Verdana"/>
          <w:sz w:val="20"/>
        </w:rPr>
        <w:t>podem ser exercidos</w:t>
      </w:r>
      <w:r w:rsidRPr="00BD40F0">
        <w:rPr>
          <w:rFonts w:ascii="Verdana" w:hAnsi="Verdana"/>
          <w:sz w:val="20"/>
        </w:rPr>
        <w:t xml:space="preserve"> plenamente </w:t>
      </w:r>
      <w:r w:rsidR="00FD01CB">
        <w:rPr>
          <w:rFonts w:ascii="Verdana" w:hAnsi="Verdana"/>
          <w:sz w:val="20"/>
        </w:rPr>
        <w:t>apenas</w:t>
      </w:r>
      <w:r w:rsidR="00FD01CB" w:rsidRPr="00BD40F0">
        <w:rPr>
          <w:rFonts w:ascii="Verdana" w:hAnsi="Verdana"/>
          <w:sz w:val="20"/>
        </w:rPr>
        <w:t xml:space="preserve"> </w:t>
      </w:r>
      <w:r w:rsidRPr="00BD40F0">
        <w:rPr>
          <w:rFonts w:ascii="Verdana" w:hAnsi="Verdana"/>
          <w:sz w:val="20"/>
        </w:rPr>
        <w:t xml:space="preserve">se são reconhecidos os direitos da coletividade e da comunidade </w:t>
      </w:r>
      <w:r w:rsidR="00360853">
        <w:rPr>
          <w:rFonts w:ascii="Verdana" w:hAnsi="Verdana"/>
          <w:sz w:val="20"/>
        </w:rPr>
        <w:t>a</w:t>
      </w:r>
      <w:r w:rsidRPr="00BD40F0">
        <w:rPr>
          <w:rFonts w:ascii="Verdana" w:hAnsi="Verdana"/>
          <w:sz w:val="20"/>
        </w:rPr>
        <w:t xml:space="preserve"> que pertence esta pessoa desde seu nascimento</w:t>
      </w:r>
      <w:r w:rsidR="00743E94">
        <w:rPr>
          <w:rFonts w:ascii="Verdana" w:hAnsi="Verdana"/>
          <w:sz w:val="20"/>
        </w:rPr>
        <w:t>,</w:t>
      </w:r>
      <w:r w:rsidR="002C6A59">
        <w:rPr>
          <w:rFonts w:ascii="Verdana" w:hAnsi="Verdana"/>
          <w:sz w:val="20"/>
        </w:rPr>
        <w:t xml:space="preserve"> </w:t>
      </w:r>
      <w:r w:rsidRPr="00BD40F0">
        <w:rPr>
          <w:rFonts w:ascii="Verdana" w:hAnsi="Verdana"/>
          <w:sz w:val="20"/>
        </w:rPr>
        <w:t>da qu</w:t>
      </w:r>
      <w:r w:rsidR="00FD01CB">
        <w:rPr>
          <w:rFonts w:ascii="Verdana" w:hAnsi="Verdana"/>
          <w:sz w:val="20"/>
        </w:rPr>
        <w:t>al</w:t>
      </w:r>
      <w:r w:rsidRPr="00BD40F0">
        <w:rPr>
          <w:rFonts w:ascii="Verdana" w:hAnsi="Verdana"/>
          <w:sz w:val="20"/>
        </w:rPr>
        <w:t xml:space="preserve"> </w:t>
      </w:r>
      <w:proofErr w:type="gramStart"/>
      <w:r w:rsidRPr="00BD40F0">
        <w:rPr>
          <w:rFonts w:ascii="Verdana" w:hAnsi="Verdana"/>
          <w:sz w:val="20"/>
        </w:rPr>
        <w:t>forma parte e a qual lhe dá</w:t>
      </w:r>
      <w:proofErr w:type="gramEnd"/>
      <w:r w:rsidRPr="00BD40F0">
        <w:rPr>
          <w:rFonts w:ascii="Verdana" w:hAnsi="Verdana"/>
          <w:sz w:val="20"/>
        </w:rPr>
        <w:t xml:space="preserve"> os elementos necessários para poder sentir-se plenamente realizad</w:t>
      </w:r>
      <w:r w:rsidR="00743E94">
        <w:rPr>
          <w:rFonts w:ascii="Verdana" w:hAnsi="Verdana"/>
          <w:sz w:val="20"/>
        </w:rPr>
        <w:t>a</w:t>
      </w:r>
      <w:r w:rsidRPr="00BD40F0">
        <w:rPr>
          <w:rFonts w:ascii="Verdana" w:hAnsi="Verdana"/>
          <w:sz w:val="20"/>
        </w:rPr>
        <w:t xml:space="preserve"> como ser humano, que significa também ser social e cultural.</w:t>
      </w:r>
      <w:r w:rsidR="00850A3F">
        <w:rPr>
          <w:rFonts w:ascii="Verdana" w:hAnsi="Verdana"/>
          <w:sz w:val="20"/>
        </w:rPr>
        <w:t xml:space="preserve"> </w:t>
      </w:r>
      <w:r w:rsidRPr="00BD40F0">
        <w:rPr>
          <w:rFonts w:ascii="Verdana" w:hAnsi="Verdana"/>
          <w:sz w:val="20"/>
        </w:rPr>
        <w:t>A contraposição desta afirmação é que, ao ser</w:t>
      </w:r>
      <w:r w:rsidR="00C33341">
        <w:rPr>
          <w:rFonts w:ascii="Verdana" w:hAnsi="Verdana"/>
          <w:sz w:val="20"/>
        </w:rPr>
        <w:t>em</w:t>
      </w:r>
      <w:r w:rsidRPr="00BD40F0">
        <w:rPr>
          <w:rFonts w:ascii="Verdana" w:hAnsi="Verdana"/>
          <w:sz w:val="20"/>
        </w:rPr>
        <w:t xml:space="preserve"> violados os direitos de uma comunidade de seguir subsistindo como tal e de poder reproduzir-se como unidade e identidade, </w:t>
      </w:r>
      <w:proofErr w:type="gramStart"/>
      <w:r w:rsidRPr="00BD40F0">
        <w:rPr>
          <w:rFonts w:ascii="Verdana" w:hAnsi="Verdana"/>
          <w:sz w:val="20"/>
        </w:rPr>
        <w:t>são</w:t>
      </w:r>
      <w:proofErr w:type="gramEnd"/>
      <w:r w:rsidRPr="00BD40F0">
        <w:rPr>
          <w:rFonts w:ascii="Verdana" w:hAnsi="Verdana"/>
          <w:sz w:val="20"/>
        </w:rPr>
        <w:t xml:space="preserve"> violados uma série de direitos humanos básicos: o</w:t>
      </w:r>
      <w:r w:rsidR="00360853">
        <w:rPr>
          <w:rFonts w:ascii="Verdana" w:hAnsi="Verdana"/>
          <w:sz w:val="20"/>
        </w:rPr>
        <w:t>s</w:t>
      </w:r>
      <w:r w:rsidRPr="00BD40F0">
        <w:rPr>
          <w:rFonts w:ascii="Verdana" w:hAnsi="Verdana"/>
          <w:sz w:val="20"/>
        </w:rPr>
        <w:t xml:space="preserve"> direito</w:t>
      </w:r>
      <w:r w:rsidR="00360853">
        <w:rPr>
          <w:rFonts w:ascii="Verdana" w:hAnsi="Verdana"/>
          <w:sz w:val="20"/>
        </w:rPr>
        <w:t>s</w:t>
      </w:r>
      <w:r w:rsidRPr="00BD40F0">
        <w:rPr>
          <w:rFonts w:ascii="Verdana" w:hAnsi="Verdana"/>
          <w:sz w:val="20"/>
        </w:rPr>
        <w:t xml:space="preserve"> à cultura, </w:t>
      </w:r>
      <w:r w:rsidR="00C33341">
        <w:rPr>
          <w:rFonts w:ascii="Verdana" w:hAnsi="Verdana"/>
          <w:sz w:val="20"/>
        </w:rPr>
        <w:t>à</w:t>
      </w:r>
      <w:r w:rsidRPr="00BD40F0">
        <w:rPr>
          <w:rFonts w:ascii="Verdana" w:hAnsi="Verdana"/>
          <w:sz w:val="20"/>
        </w:rPr>
        <w:t xml:space="preserve"> participação, </w:t>
      </w:r>
      <w:r w:rsidR="00C33341">
        <w:rPr>
          <w:rFonts w:ascii="Verdana" w:hAnsi="Verdana"/>
          <w:sz w:val="20"/>
        </w:rPr>
        <w:t>à</w:t>
      </w:r>
      <w:r w:rsidRPr="00BD40F0">
        <w:rPr>
          <w:rFonts w:ascii="Verdana" w:hAnsi="Verdana"/>
          <w:sz w:val="20"/>
        </w:rPr>
        <w:t xml:space="preserve"> identidade, </w:t>
      </w:r>
      <w:r w:rsidR="00C33341">
        <w:rPr>
          <w:rFonts w:ascii="Verdana" w:hAnsi="Verdana"/>
          <w:sz w:val="20"/>
        </w:rPr>
        <w:t>à</w:t>
      </w:r>
      <w:r w:rsidRPr="00BD40F0">
        <w:rPr>
          <w:rFonts w:ascii="Verdana" w:hAnsi="Verdana"/>
          <w:sz w:val="20"/>
        </w:rPr>
        <w:t xml:space="preserve"> sobrevivência; </w:t>
      </w:r>
      <w:r w:rsidR="00360853">
        <w:rPr>
          <w:rFonts w:ascii="Verdana" w:hAnsi="Verdana"/>
          <w:sz w:val="20"/>
        </w:rPr>
        <w:t xml:space="preserve">vários estudos </w:t>
      </w:r>
      <w:r w:rsidRPr="00BD40F0">
        <w:rPr>
          <w:rFonts w:ascii="Verdana" w:hAnsi="Verdana"/>
          <w:sz w:val="20"/>
        </w:rPr>
        <w:t>sobre povos e comunidades indígenas na América Latina</w:t>
      </w:r>
      <w:r w:rsidR="00360853">
        <w:rPr>
          <w:rFonts w:ascii="Verdana" w:hAnsi="Verdana"/>
          <w:sz w:val="20"/>
        </w:rPr>
        <w:t xml:space="preserve"> </w:t>
      </w:r>
      <w:r w:rsidR="00360853" w:rsidRPr="00BD40F0">
        <w:rPr>
          <w:rFonts w:ascii="Verdana" w:hAnsi="Verdana"/>
          <w:sz w:val="20"/>
        </w:rPr>
        <w:t>têm demo</w:t>
      </w:r>
      <w:r w:rsidR="00360853">
        <w:rPr>
          <w:rFonts w:ascii="Verdana" w:hAnsi="Verdana"/>
          <w:sz w:val="20"/>
        </w:rPr>
        <w:t>n</w:t>
      </w:r>
      <w:r w:rsidR="00360853" w:rsidRPr="00BD40F0">
        <w:rPr>
          <w:rFonts w:ascii="Verdana" w:hAnsi="Verdana"/>
          <w:sz w:val="20"/>
        </w:rPr>
        <w:t>strado</w:t>
      </w:r>
      <w:r w:rsidR="00360853">
        <w:rPr>
          <w:rFonts w:ascii="Verdana" w:hAnsi="Verdana"/>
          <w:sz w:val="20"/>
        </w:rPr>
        <w:t xml:space="preserve"> isso</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A comunidade internacional e o direito dos direitos humanos têm o desafio de desenvolver novos conceitos e novas normas que, sem lesar nem cercear de </w:t>
      </w:r>
      <w:r w:rsidR="00C33341">
        <w:rPr>
          <w:rFonts w:ascii="Verdana" w:hAnsi="Verdana"/>
          <w:sz w:val="20"/>
        </w:rPr>
        <w:t>qualquer</w:t>
      </w:r>
      <w:r w:rsidRPr="00BD40F0">
        <w:rPr>
          <w:rFonts w:ascii="Verdana" w:hAnsi="Verdana"/>
          <w:sz w:val="20"/>
        </w:rPr>
        <w:t xml:space="preserve"> maneira os direitos humanos da pessoa, </w:t>
      </w:r>
      <w:r w:rsidR="00C33341">
        <w:rPr>
          <w:rFonts w:ascii="Verdana" w:hAnsi="Verdana"/>
          <w:sz w:val="20"/>
        </w:rPr>
        <w:t>consigam</w:t>
      </w:r>
      <w:r w:rsidRPr="00BD40F0">
        <w:rPr>
          <w:rFonts w:ascii="Verdana" w:hAnsi="Verdana"/>
          <w:sz w:val="20"/>
        </w:rPr>
        <w:t xml:space="preserve"> enriquecer as formas de vida dos povos indígenas</w:t>
      </w:r>
      <w:r w:rsidR="00743E94">
        <w:rPr>
          <w:rFonts w:ascii="Verdana" w:hAnsi="Verdana"/>
          <w:sz w:val="20"/>
        </w:rPr>
        <w:t>,</w:t>
      </w:r>
      <w:r w:rsidRPr="00BD40F0">
        <w:rPr>
          <w:rFonts w:ascii="Verdana" w:hAnsi="Verdana"/>
          <w:sz w:val="20"/>
        </w:rPr>
        <w:t xml:space="preserve"> ao reconhecer </w:t>
      </w:r>
      <w:r w:rsidR="00743E94">
        <w:rPr>
          <w:rFonts w:ascii="Verdana" w:hAnsi="Verdana"/>
          <w:sz w:val="20"/>
        </w:rPr>
        <w:t>sua</w:t>
      </w:r>
      <w:r w:rsidR="002C6A59">
        <w:rPr>
          <w:rFonts w:ascii="Verdana" w:hAnsi="Verdana"/>
          <w:sz w:val="20"/>
        </w:rPr>
        <w:t xml:space="preserve"> </w:t>
      </w:r>
      <w:r w:rsidRPr="00BD40F0">
        <w:rPr>
          <w:rFonts w:ascii="Verdana" w:hAnsi="Verdana"/>
          <w:sz w:val="20"/>
        </w:rPr>
        <w:t>realidade social e cultural, na qu</w:t>
      </w:r>
      <w:r w:rsidR="00FD01CB">
        <w:rPr>
          <w:rFonts w:ascii="Verdana" w:hAnsi="Verdana"/>
          <w:sz w:val="20"/>
        </w:rPr>
        <w:t>al</w:t>
      </w:r>
      <w:r w:rsidRPr="00BD40F0">
        <w:rPr>
          <w:rFonts w:ascii="Verdana" w:hAnsi="Verdana"/>
          <w:sz w:val="20"/>
        </w:rPr>
        <w:t xml:space="preserve"> ocorrem violações</w:t>
      </w:r>
      <w:r w:rsidR="002C6A59">
        <w:rPr>
          <w:rFonts w:ascii="Verdana" w:hAnsi="Verdana"/>
          <w:sz w:val="20"/>
        </w:rPr>
        <w:t xml:space="preserve"> </w:t>
      </w:r>
      <w:r w:rsidR="00743E94">
        <w:rPr>
          <w:rFonts w:ascii="Verdana" w:hAnsi="Verdana"/>
          <w:sz w:val="20"/>
        </w:rPr>
        <w:t>de</w:t>
      </w:r>
      <w:r w:rsidRPr="00BD40F0">
        <w:rPr>
          <w:rFonts w:ascii="Verdana" w:hAnsi="Verdana"/>
          <w:sz w:val="20"/>
        </w:rPr>
        <w:t xml:space="preserve"> direitos.</w:t>
      </w:r>
    </w:p>
    <w:p w:rsidR="000B3F97" w:rsidRPr="00BD40F0" w:rsidRDefault="000B3F97" w:rsidP="000B3F97">
      <w:pPr>
        <w:jc w:val="both"/>
        <w:rPr>
          <w:rFonts w:ascii="Verdana" w:hAnsi="Verdana"/>
          <w:b/>
          <w:sz w:val="20"/>
        </w:rPr>
      </w:pPr>
    </w:p>
    <w:p w:rsidR="000B3F97" w:rsidRPr="00BD40F0" w:rsidRDefault="000B3F97" w:rsidP="000B3F97">
      <w:pPr>
        <w:ind w:left="720"/>
        <w:jc w:val="both"/>
        <w:rPr>
          <w:rFonts w:ascii="Verdana" w:hAnsi="Verdana"/>
          <w:b/>
          <w:sz w:val="20"/>
        </w:rPr>
      </w:pPr>
      <w:proofErr w:type="gramStart"/>
      <w:r w:rsidRPr="00BD40F0">
        <w:rPr>
          <w:rFonts w:ascii="Verdana" w:hAnsi="Verdana"/>
          <w:b/>
          <w:sz w:val="20"/>
        </w:rPr>
        <w:t>e</w:t>
      </w:r>
      <w:proofErr w:type="gramEnd"/>
      <w:r w:rsidRPr="00BD40F0">
        <w:rPr>
          <w:rFonts w:ascii="Verdana" w:hAnsi="Verdana"/>
          <w:b/>
          <w:sz w:val="20"/>
        </w:rPr>
        <w:t>.</w:t>
      </w:r>
      <w:r w:rsidRPr="00BD40F0">
        <w:rPr>
          <w:rFonts w:ascii="Verdana" w:hAnsi="Verdana"/>
          <w:b/>
          <w:sz w:val="20"/>
        </w:rPr>
        <w:tab/>
        <w:t xml:space="preserve">Testemunho de Guillermo Castilleja, Diretor de Projetos Especiais do Fundo Mundial para a Natureza </w:t>
      </w:r>
      <w:r w:rsidR="00C60678" w:rsidRPr="00C60678">
        <w:rPr>
          <w:rFonts w:ascii="Verdana" w:hAnsi="Verdana"/>
          <w:b/>
          <w:sz w:val="20"/>
        </w:rPr>
        <w:t>(</w:t>
      </w:r>
      <w:r w:rsidRPr="00BD40F0">
        <w:rPr>
          <w:rFonts w:ascii="Verdana" w:hAnsi="Verdana"/>
          <w:b/>
          <w:sz w:val="20"/>
        </w:rPr>
        <w:t>WWF</w:t>
      </w:r>
      <w:r w:rsidR="00C60678" w:rsidRPr="00C60678">
        <w:rPr>
          <w:rFonts w:ascii="Verdana" w:hAnsi="Verdana"/>
          <w:b/>
          <w:sz w:val="20"/>
        </w:rPr>
        <w:t>)</w:t>
      </w:r>
    </w:p>
    <w:p w:rsidR="000B3F97" w:rsidRPr="00BD40F0" w:rsidRDefault="000B3F97" w:rsidP="008F6772">
      <w:pPr>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No ano de 1993, ao ser o Oficial d</w:t>
      </w:r>
      <w:r w:rsidR="00FB2503">
        <w:rPr>
          <w:rFonts w:ascii="Verdana" w:hAnsi="Verdana"/>
          <w:sz w:val="20"/>
        </w:rPr>
        <w:t>e</w:t>
      </w:r>
      <w:r w:rsidRPr="00BD40F0">
        <w:rPr>
          <w:rFonts w:ascii="Verdana" w:hAnsi="Verdana"/>
          <w:sz w:val="20"/>
        </w:rPr>
        <w:t xml:space="preserve"> Política Florestal para a América Latina do Fundo Mundial para a Natureza, </w:t>
      </w:r>
      <w:r w:rsidRPr="00BD40F0">
        <w:rPr>
          <w:rFonts w:ascii="Verdana" w:hAnsi="Verdana"/>
          <w:i/>
          <w:sz w:val="20"/>
        </w:rPr>
        <w:t>World Wildlife Fund</w:t>
      </w:r>
      <w:r w:rsidRPr="00BD40F0">
        <w:rPr>
          <w:rFonts w:ascii="Verdana" w:hAnsi="Verdana"/>
          <w:sz w:val="20"/>
        </w:rPr>
        <w:t xml:space="preserve">, iniciou um projeto </w:t>
      </w:r>
      <w:r w:rsidR="003379F9">
        <w:rPr>
          <w:rFonts w:ascii="Verdana" w:hAnsi="Verdana"/>
          <w:sz w:val="20"/>
        </w:rPr>
        <w:t>relacionado</w:t>
      </w:r>
      <w:r w:rsidRPr="00BD40F0">
        <w:rPr>
          <w:rFonts w:ascii="Verdana" w:hAnsi="Verdana"/>
          <w:sz w:val="20"/>
        </w:rPr>
        <w:t xml:space="preserve"> à Comuni</w:t>
      </w:r>
      <w:r w:rsidR="00C33341">
        <w:rPr>
          <w:rFonts w:ascii="Verdana" w:hAnsi="Verdana"/>
          <w:sz w:val="20"/>
        </w:rPr>
        <w:t xml:space="preserve">dade Awas Tingni na Nicarágua. </w:t>
      </w:r>
      <w:r w:rsidRPr="00BD40F0">
        <w:rPr>
          <w:rFonts w:ascii="Verdana" w:hAnsi="Verdana"/>
          <w:sz w:val="20"/>
        </w:rPr>
        <w:t xml:space="preserve">O objetivo principal desse projeto era apoiar o Governo da Nicarágua no estabelecimento de um arranjo contratual que permitisse o aproveitamento sustentável </w:t>
      </w:r>
      <w:r w:rsidR="00C33341">
        <w:rPr>
          <w:rFonts w:ascii="Verdana" w:hAnsi="Verdana"/>
          <w:sz w:val="20"/>
        </w:rPr>
        <w:t>das florestas</w:t>
      </w:r>
      <w:r w:rsidRPr="00BD40F0">
        <w:rPr>
          <w:rFonts w:ascii="Verdana" w:hAnsi="Verdana"/>
          <w:sz w:val="20"/>
        </w:rPr>
        <w:t xml:space="preserve"> “latifoliad</w:t>
      </w:r>
      <w:r w:rsidR="00C33341">
        <w:rPr>
          <w:rFonts w:ascii="Verdana" w:hAnsi="Verdana"/>
          <w:sz w:val="20"/>
        </w:rPr>
        <w:t>a</w:t>
      </w:r>
      <w:r w:rsidRPr="00BD40F0">
        <w:rPr>
          <w:rFonts w:ascii="Verdana" w:hAnsi="Verdana"/>
          <w:sz w:val="20"/>
        </w:rPr>
        <w:t xml:space="preserve">s” na Costa Atlântica, particularmente </w:t>
      </w:r>
      <w:r w:rsidR="00C33341">
        <w:rPr>
          <w:rFonts w:ascii="Verdana" w:hAnsi="Verdana"/>
          <w:sz w:val="20"/>
        </w:rPr>
        <w:t>as florestas</w:t>
      </w:r>
      <w:r w:rsidRPr="00BD40F0">
        <w:rPr>
          <w:rFonts w:ascii="Verdana" w:hAnsi="Verdana"/>
          <w:sz w:val="20"/>
        </w:rPr>
        <w:t xml:space="preserve"> de Awas Tingni.</w:t>
      </w:r>
      <w:r w:rsidR="00850A3F">
        <w:rPr>
          <w:rFonts w:ascii="Verdana" w:hAnsi="Verdana"/>
          <w:sz w:val="20"/>
        </w:rPr>
        <w:t xml:space="preserve"> </w:t>
      </w:r>
      <w:r w:rsidRPr="00BD40F0">
        <w:rPr>
          <w:rFonts w:ascii="Verdana" w:hAnsi="Verdana"/>
          <w:sz w:val="20"/>
        </w:rPr>
        <w:t xml:space="preserve">Este projeto respondeu a uma iniciativa expressa da Nicarágua para que </w:t>
      </w:r>
      <w:r w:rsidR="00C33341">
        <w:rPr>
          <w:rFonts w:ascii="Verdana" w:hAnsi="Verdana"/>
          <w:sz w:val="20"/>
        </w:rPr>
        <w:t>lhe fosse oferecida</w:t>
      </w:r>
      <w:r w:rsidRPr="00BD40F0">
        <w:rPr>
          <w:rFonts w:ascii="Verdana" w:hAnsi="Verdana"/>
          <w:sz w:val="20"/>
        </w:rPr>
        <w:t xml:space="preserve"> assessoria.</w:t>
      </w:r>
    </w:p>
    <w:p w:rsidR="000B3F97" w:rsidRPr="00BD40F0" w:rsidRDefault="000B3F97" w:rsidP="000B3F97">
      <w:pPr>
        <w:tabs>
          <w:tab w:val="left" w:pos="5480"/>
        </w:tabs>
        <w:jc w:val="both"/>
        <w:rPr>
          <w:rFonts w:ascii="Verdana" w:hAnsi="Verdana"/>
          <w:sz w:val="20"/>
        </w:rPr>
      </w:pPr>
      <w:r w:rsidRPr="00BD40F0">
        <w:rPr>
          <w:rFonts w:ascii="Verdana" w:hAnsi="Verdana"/>
          <w:sz w:val="20"/>
        </w:rPr>
        <w:tab/>
      </w:r>
    </w:p>
    <w:p w:rsidR="000B3F97" w:rsidRPr="00BD40F0" w:rsidRDefault="000B3F97" w:rsidP="000B3F97">
      <w:pPr>
        <w:jc w:val="both"/>
        <w:rPr>
          <w:rFonts w:ascii="Verdana" w:hAnsi="Verdana"/>
          <w:sz w:val="20"/>
        </w:rPr>
      </w:pPr>
      <w:r w:rsidRPr="00BD40F0">
        <w:rPr>
          <w:rFonts w:ascii="Verdana" w:hAnsi="Verdana"/>
          <w:sz w:val="20"/>
        </w:rPr>
        <w:t xml:space="preserve">Desde o ano de 1991, o Fundo Mundial para a Natureza assumiu um papel de assessor em matéria de Política Florestal, em particular para o então Instituto de Recursos Naturais </w:t>
      </w:r>
      <w:r w:rsidR="00C60678" w:rsidRPr="00C60678">
        <w:rPr>
          <w:rFonts w:ascii="Verdana" w:hAnsi="Verdana"/>
          <w:sz w:val="20"/>
        </w:rPr>
        <w:t>(</w:t>
      </w:r>
      <w:r w:rsidRPr="00BD40F0">
        <w:rPr>
          <w:rFonts w:ascii="Verdana" w:hAnsi="Verdana"/>
          <w:sz w:val="20"/>
        </w:rPr>
        <w:t>IRENA</w:t>
      </w:r>
      <w:r w:rsidR="00C60678" w:rsidRPr="00C60678">
        <w:rPr>
          <w:rFonts w:ascii="Verdana" w:hAnsi="Verdana"/>
          <w:sz w:val="20"/>
        </w:rPr>
        <w:t>)</w:t>
      </w:r>
      <w:r w:rsidRPr="00BD40F0">
        <w:rPr>
          <w:rFonts w:ascii="Verdana" w:hAnsi="Verdana"/>
          <w:sz w:val="20"/>
        </w:rPr>
        <w:t>, que na atualidade é o MARENA, Ministério d</w:t>
      </w:r>
      <w:r w:rsidR="000D5D17">
        <w:rPr>
          <w:rFonts w:ascii="Verdana" w:hAnsi="Verdana"/>
          <w:sz w:val="20"/>
        </w:rPr>
        <w:t>o</w:t>
      </w:r>
      <w:r w:rsidRPr="00BD40F0">
        <w:rPr>
          <w:rFonts w:ascii="Verdana" w:hAnsi="Verdana"/>
          <w:sz w:val="20"/>
        </w:rPr>
        <w:t xml:space="preserve"> Ambiente e Recursos Naturais.</w:t>
      </w:r>
      <w:r w:rsidR="00850A3F">
        <w:rPr>
          <w:rFonts w:ascii="Verdana" w:hAnsi="Verdana"/>
          <w:sz w:val="20"/>
        </w:rPr>
        <w:t xml:space="preserve"> </w:t>
      </w:r>
      <w:r w:rsidRPr="00BD40F0">
        <w:rPr>
          <w:rFonts w:ascii="Verdana" w:hAnsi="Verdana"/>
          <w:sz w:val="20"/>
        </w:rPr>
        <w:t xml:space="preserve">O antecedente imediato do projeto em Awas Tingni foi uma concessão que o Estado </w:t>
      </w:r>
      <w:r w:rsidR="00FD01CB">
        <w:rPr>
          <w:rFonts w:ascii="Verdana" w:hAnsi="Verdana"/>
          <w:sz w:val="20"/>
        </w:rPr>
        <w:t>outorgou</w:t>
      </w:r>
      <w:r w:rsidR="00FD01CB" w:rsidRPr="00BD40F0">
        <w:rPr>
          <w:rFonts w:ascii="Verdana" w:hAnsi="Verdana"/>
          <w:sz w:val="20"/>
        </w:rPr>
        <w:t xml:space="preserve"> </w:t>
      </w:r>
      <w:r w:rsidRPr="00BD40F0">
        <w:rPr>
          <w:rFonts w:ascii="Verdana" w:hAnsi="Verdana"/>
          <w:sz w:val="20"/>
        </w:rPr>
        <w:t xml:space="preserve">a uma companhia taiwanesa chamada EQUIPE, </w:t>
      </w:r>
      <w:r w:rsidR="00C33341">
        <w:rPr>
          <w:rFonts w:ascii="Verdana" w:hAnsi="Verdana"/>
          <w:sz w:val="20"/>
        </w:rPr>
        <w:t>de</w:t>
      </w:r>
      <w:r w:rsidRPr="00BD40F0">
        <w:rPr>
          <w:rFonts w:ascii="Verdana" w:hAnsi="Verdana"/>
          <w:sz w:val="20"/>
        </w:rPr>
        <w:t xml:space="preserve"> uma área aproximada de um milhão de hectares na Costa Atlântica. Isto gerou um conflito substancial que foi resolvido finalmente com o cancelamento da concessão por parte da Nicarágua.</w:t>
      </w:r>
      <w:r w:rsidR="00850A3F">
        <w:rPr>
          <w:rFonts w:ascii="Verdana" w:hAnsi="Verdana"/>
          <w:sz w:val="20"/>
        </w:rPr>
        <w:t xml:space="preserve"> </w:t>
      </w:r>
      <w:r w:rsidRPr="00BD40F0">
        <w:rPr>
          <w:rFonts w:ascii="Verdana" w:hAnsi="Verdana"/>
          <w:sz w:val="20"/>
        </w:rPr>
        <w:t>Da concessão d</w:t>
      </w:r>
      <w:r w:rsidR="00C33341">
        <w:rPr>
          <w:rFonts w:ascii="Verdana" w:hAnsi="Verdana"/>
          <w:sz w:val="20"/>
        </w:rPr>
        <w:t>a</w:t>
      </w:r>
      <w:r w:rsidRPr="00BD40F0">
        <w:rPr>
          <w:rFonts w:ascii="Verdana" w:hAnsi="Verdana"/>
          <w:sz w:val="20"/>
        </w:rPr>
        <w:t xml:space="preserve"> EQUIPE</w:t>
      </w:r>
      <w:r w:rsidR="00DC243B">
        <w:rPr>
          <w:rFonts w:ascii="Verdana" w:hAnsi="Verdana"/>
          <w:sz w:val="20"/>
        </w:rPr>
        <w:t>,</w:t>
      </w:r>
      <w:r w:rsidRPr="00BD40F0">
        <w:rPr>
          <w:rFonts w:ascii="Verdana" w:hAnsi="Verdana"/>
          <w:sz w:val="20"/>
        </w:rPr>
        <w:t xml:space="preserve"> foi aprendido que </w:t>
      </w:r>
      <w:r w:rsidR="00C33341">
        <w:rPr>
          <w:rFonts w:ascii="Verdana" w:hAnsi="Verdana"/>
          <w:sz w:val="20"/>
        </w:rPr>
        <w:t>deviam ser desenvolvidos</w:t>
      </w:r>
      <w:r w:rsidRPr="00BD40F0">
        <w:rPr>
          <w:rFonts w:ascii="Verdana" w:hAnsi="Verdana"/>
          <w:sz w:val="20"/>
        </w:rPr>
        <w:t xml:space="preserve"> modelos de exploração florestal que realmente tivessem viabilidade e pudessem ser sustentáveis </w:t>
      </w:r>
      <w:proofErr w:type="gramStart"/>
      <w:r w:rsidR="00C33341">
        <w:rPr>
          <w:rFonts w:ascii="Verdana" w:hAnsi="Verdana"/>
          <w:sz w:val="20"/>
        </w:rPr>
        <w:t>a</w:t>
      </w:r>
      <w:r w:rsidRPr="00BD40F0">
        <w:rPr>
          <w:rFonts w:ascii="Verdana" w:hAnsi="Verdana"/>
          <w:sz w:val="20"/>
        </w:rPr>
        <w:t xml:space="preserve"> longo prazo</w:t>
      </w:r>
      <w:proofErr w:type="gramEnd"/>
      <w:r w:rsidRPr="00BD40F0">
        <w:rPr>
          <w:rFonts w:ascii="Verdana" w:hAnsi="Verdana"/>
          <w:sz w:val="20"/>
        </w:rPr>
        <w:t>.</w:t>
      </w:r>
    </w:p>
    <w:p w:rsidR="000B3F97" w:rsidRPr="00BD40F0" w:rsidRDefault="000B3F97" w:rsidP="000B3F97">
      <w:pPr>
        <w:jc w:val="both"/>
        <w:rPr>
          <w:rFonts w:ascii="Verdana" w:hAnsi="Verdana"/>
          <w:sz w:val="20"/>
        </w:rPr>
      </w:pPr>
    </w:p>
    <w:p w:rsidR="000B3F97" w:rsidRDefault="000B3F97" w:rsidP="000B3F97">
      <w:pPr>
        <w:jc w:val="both"/>
        <w:rPr>
          <w:rFonts w:ascii="Verdana" w:hAnsi="Verdana"/>
          <w:sz w:val="20"/>
        </w:rPr>
      </w:pPr>
      <w:r w:rsidRPr="00BD40F0">
        <w:rPr>
          <w:rFonts w:ascii="Verdana" w:hAnsi="Verdana"/>
          <w:sz w:val="20"/>
        </w:rPr>
        <w:t xml:space="preserve">No caso da Comunidade Awas Tingni, esta já havia iniciado um arranjo contratual com uma companhia de capital </w:t>
      </w:r>
      <w:proofErr w:type="gramStart"/>
      <w:r w:rsidRPr="00BD40F0">
        <w:rPr>
          <w:rFonts w:ascii="Verdana" w:hAnsi="Verdana"/>
          <w:sz w:val="20"/>
        </w:rPr>
        <w:t>d</w:t>
      </w:r>
      <w:r w:rsidR="000A2A26">
        <w:rPr>
          <w:rFonts w:ascii="Verdana" w:hAnsi="Verdana"/>
          <w:sz w:val="20"/>
        </w:rPr>
        <w:t>ominicano chamada</w:t>
      </w:r>
      <w:proofErr w:type="gramEnd"/>
      <w:r w:rsidR="000A2A26">
        <w:rPr>
          <w:rFonts w:ascii="Verdana" w:hAnsi="Verdana"/>
          <w:sz w:val="20"/>
        </w:rPr>
        <w:t xml:space="preserve"> MADENSA, </w:t>
      </w:r>
      <w:r w:rsidR="000A2A26" w:rsidRPr="000A2A26">
        <w:rPr>
          <w:rFonts w:ascii="Verdana" w:hAnsi="Verdana"/>
          <w:i/>
          <w:sz w:val="20"/>
        </w:rPr>
        <w:t>Maderas y Derivados de Nicara</w:t>
      </w:r>
      <w:r w:rsidRPr="000A2A26">
        <w:rPr>
          <w:rFonts w:ascii="Verdana" w:hAnsi="Verdana"/>
          <w:i/>
          <w:sz w:val="20"/>
        </w:rPr>
        <w:t>gua</w:t>
      </w:r>
      <w:r w:rsidRPr="00BD40F0">
        <w:rPr>
          <w:rFonts w:ascii="Verdana" w:hAnsi="Verdana"/>
          <w:sz w:val="20"/>
        </w:rPr>
        <w:t xml:space="preserve">, que estabelecia as bases do que </w:t>
      </w:r>
      <w:r w:rsidR="00FD01CB">
        <w:rPr>
          <w:rFonts w:ascii="Verdana" w:hAnsi="Verdana"/>
          <w:sz w:val="20"/>
        </w:rPr>
        <w:t>poderia</w:t>
      </w:r>
      <w:r w:rsidR="00FD01CB" w:rsidRPr="00BD40F0">
        <w:rPr>
          <w:rFonts w:ascii="Verdana" w:hAnsi="Verdana"/>
          <w:sz w:val="20"/>
        </w:rPr>
        <w:t xml:space="preserve"> </w:t>
      </w:r>
      <w:r w:rsidRPr="00BD40F0">
        <w:rPr>
          <w:rFonts w:ascii="Verdana" w:hAnsi="Verdana"/>
          <w:sz w:val="20"/>
        </w:rPr>
        <w:t xml:space="preserve">ser uma forma de </w:t>
      </w:r>
      <w:r w:rsidRPr="00BD40F0">
        <w:rPr>
          <w:rFonts w:ascii="Verdana" w:hAnsi="Verdana"/>
          <w:sz w:val="20"/>
        </w:rPr>
        <w:lastRenderedPageBreak/>
        <w:t xml:space="preserve">exploração madeireira que </w:t>
      </w:r>
      <w:r w:rsidR="00C33341">
        <w:rPr>
          <w:rFonts w:ascii="Verdana" w:hAnsi="Verdana"/>
          <w:sz w:val="20"/>
        </w:rPr>
        <w:t>levasse</w:t>
      </w:r>
      <w:r w:rsidRPr="00BD40F0">
        <w:rPr>
          <w:rFonts w:ascii="Verdana" w:hAnsi="Verdana"/>
          <w:sz w:val="20"/>
        </w:rPr>
        <w:t xml:space="preserve"> em consideração a participação dos habitantes da </w:t>
      </w:r>
      <w:r w:rsidR="00FB2503">
        <w:rPr>
          <w:rFonts w:ascii="Verdana" w:hAnsi="Verdana"/>
          <w:sz w:val="20"/>
        </w:rPr>
        <w:t>região</w:t>
      </w:r>
      <w:r w:rsidRPr="00BD40F0">
        <w:rPr>
          <w:rFonts w:ascii="Verdana" w:hAnsi="Verdana"/>
          <w:sz w:val="20"/>
        </w:rPr>
        <w:t>.</w:t>
      </w:r>
    </w:p>
    <w:p w:rsidR="000A2A26" w:rsidRPr="00BD40F0" w:rsidRDefault="000A2A26"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Basicamente, o que não se usa, o que não se </w:t>
      </w:r>
      <w:proofErr w:type="gramStart"/>
      <w:r w:rsidRPr="00BD40F0">
        <w:rPr>
          <w:rFonts w:ascii="Verdana" w:hAnsi="Verdana"/>
          <w:sz w:val="20"/>
        </w:rPr>
        <w:t>reclama,</w:t>
      </w:r>
      <w:proofErr w:type="gramEnd"/>
      <w:r w:rsidRPr="00BD40F0">
        <w:rPr>
          <w:rFonts w:ascii="Verdana" w:hAnsi="Verdana"/>
          <w:sz w:val="20"/>
        </w:rPr>
        <w:t xml:space="preserve"> o que não tem um manejo adequado, está aberto, no caso específico da Costa, </w:t>
      </w:r>
      <w:r w:rsidR="00FD3F04">
        <w:rPr>
          <w:rFonts w:ascii="Verdana" w:hAnsi="Verdana"/>
          <w:sz w:val="20"/>
        </w:rPr>
        <w:t>à</w:t>
      </w:r>
      <w:r w:rsidRPr="00BD40F0">
        <w:rPr>
          <w:rFonts w:ascii="Verdana" w:hAnsi="Verdana"/>
          <w:sz w:val="20"/>
        </w:rPr>
        <w:t xml:space="preserve"> invasão por colonos, </w:t>
      </w:r>
      <w:r w:rsidR="00FD3F04">
        <w:rPr>
          <w:rFonts w:ascii="Verdana" w:hAnsi="Verdana"/>
          <w:sz w:val="20"/>
        </w:rPr>
        <w:t>à</w:t>
      </w:r>
      <w:r w:rsidRPr="00BD40F0">
        <w:rPr>
          <w:rFonts w:ascii="Verdana" w:hAnsi="Verdana"/>
          <w:sz w:val="20"/>
        </w:rPr>
        <w:t xml:space="preserve"> transformação de </w:t>
      </w:r>
      <w:r w:rsidR="00C33341">
        <w:rPr>
          <w:rFonts w:ascii="Verdana" w:hAnsi="Verdana"/>
          <w:sz w:val="20"/>
        </w:rPr>
        <w:t>florestas</w:t>
      </w:r>
      <w:r w:rsidRPr="00BD40F0">
        <w:rPr>
          <w:rFonts w:ascii="Verdana" w:hAnsi="Verdana"/>
          <w:sz w:val="20"/>
        </w:rPr>
        <w:t xml:space="preserve"> em áreas agrícolas, e assim é como, </w:t>
      </w:r>
      <w:r w:rsidR="00FD01CB">
        <w:rPr>
          <w:rFonts w:ascii="Verdana" w:hAnsi="Verdana"/>
          <w:sz w:val="20"/>
        </w:rPr>
        <w:t>infelizmente</w:t>
      </w:r>
      <w:r w:rsidRPr="00BD40F0">
        <w:rPr>
          <w:rFonts w:ascii="Verdana" w:hAnsi="Verdana"/>
          <w:sz w:val="20"/>
        </w:rPr>
        <w:t xml:space="preserve">, a Nicarágua e outros países da região têm perdido grande parte de </w:t>
      </w:r>
      <w:r w:rsidR="00FD3F04">
        <w:rPr>
          <w:rFonts w:ascii="Verdana" w:hAnsi="Verdana"/>
          <w:sz w:val="20"/>
        </w:rPr>
        <w:t>suas florestas</w:t>
      </w:r>
      <w:r w:rsidRPr="00BD40F0">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Para conservar os recursos através da atividade florestal</w:t>
      </w:r>
      <w:r w:rsidR="003C2F69">
        <w:rPr>
          <w:rFonts w:ascii="Verdana" w:hAnsi="Verdana"/>
          <w:sz w:val="20"/>
        </w:rPr>
        <w:t>,</w:t>
      </w:r>
      <w:r w:rsidRPr="00BD40F0">
        <w:rPr>
          <w:rFonts w:ascii="Verdana" w:hAnsi="Verdana"/>
          <w:sz w:val="20"/>
        </w:rPr>
        <w:t xml:space="preserve"> é necessário que ocorram três coisas.</w:t>
      </w:r>
      <w:r w:rsidR="00850A3F">
        <w:rPr>
          <w:rFonts w:ascii="Verdana" w:hAnsi="Verdana"/>
          <w:sz w:val="20"/>
        </w:rPr>
        <w:t xml:space="preserve"> </w:t>
      </w:r>
      <w:r w:rsidRPr="00BD40F0">
        <w:rPr>
          <w:rFonts w:ascii="Verdana" w:hAnsi="Verdana"/>
          <w:sz w:val="20"/>
        </w:rPr>
        <w:t xml:space="preserve">Primeiro, que a operação florestal seja tecnicamente sustentável, ou seja, que a exploração não exceda a capacidade </w:t>
      </w:r>
      <w:r w:rsidR="00FB2503">
        <w:rPr>
          <w:rFonts w:ascii="Verdana" w:hAnsi="Verdana"/>
          <w:sz w:val="20"/>
        </w:rPr>
        <w:t>d</w:t>
      </w:r>
      <w:r w:rsidR="00FD3F04">
        <w:rPr>
          <w:rFonts w:ascii="Verdana" w:hAnsi="Verdana"/>
          <w:sz w:val="20"/>
        </w:rPr>
        <w:t>a floresta</w:t>
      </w:r>
      <w:r w:rsidRPr="00BD40F0">
        <w:rPr>
          <w:rFonts w:ascii="Verdana" w:hAnsi="Verdana"/>
          <w:sz w:val="20"/>
        </w:rPr>
        <w:t xml:space="preserve"> de</w:t>
      </w:r>
      <w:r w:rsidR="00FD3F04">
        <w:rPr>
          <w:rFonts w:ascii="Verdana" w:hAnsi="Verdana"/>
          <w:sz w:val="20"/>
        </w:rPr>
        <w:t xml:space="preserve"> se</w:t>
      </w:r>
      <w:r w:rsidRPr="00BD40F0">
        <w:rPr>
          <w:rFonts w:ascii="Verdana" w:hAnsi="Verdana"/>
          <w:sz w:val="20"/>
        </w:rPr>
        <w:t xml:space="preserve"> regenerar naturalmente.</w:t>
      </w:r>
      <w:r w:rsidR="00850A3F">
        <w:rPr>
          <w:rFonts w:ascii="Verdana" w:hAnsi="Verdana"/>
          <w:sz w:val="20"/>
        </w:rPr>
        <w:t xml:space="preserve"> </w:t>
      </w:r>
      <w:r w:rsidRPr="00BD40F0">
        <w:rPr>
          <w:rFonts w:ascii="Verdana" w:hAnsi="Verdana"/>
          <w:sz w:val="20"/>
        </w:rPr>
        <w:t>Segundo, que existam os elementos para que a operação seja economicamente rentável, o</w:t>
      </w:r>
      <w:r w:rsidR="00F767A2">
        <w:rPr>
          <w:rFonts w:ascii="Verdana" w:hAnsi="Verdana"/>
          <w:sz w:val="20"/>
        </w:rPr>
        <w:t xml:space="preserve">u seja, viável economicamente. </w:t>
      </w:r>
      <w:proofErr w:type="gramStart"/>
      <w:r w:rsidRPr="00BD40F0">
        <w:rPr>
          <w:rFonts w:ascii="Verdana" w:hAnsi="Verdana"/>
          <w:sz w:val="20"/>
        </w:rPr>
        <w:t>Terceiro, especificamente</w:t>
      </w:r>
      <w:proofErr w:type="gramEnd"/>
      <w:r w:rsidRPr="00BD40F0">
        <w:rPr>
          <w:rFonts w:ascii="Verdana" w:hAnsi="Verdana"/>
          <w:sz w:val="20"/>
        </w:rPr>
        <w:t xml:space="preserve"> para o caso </w:t>
      </w:r>
      <w:r w:rsidR="00FD3F04">
        <w:rPr>
          <w:rFonts w:ascii="Verdana" w:hAnsi="Verdana"/>
          <w:sz w:val="20"/>
        </w:rPr>
        <w:t>das florestas</w:t>
      </w:r>
      <w:r w:rsidRPr="00BD40F0">
        <w:rPr>
          <w:rFonts w:ascii="Verdana" w:hAnsi="Verdana"/>
          <w:sz w:val="20"/>
        </w:rPr>
        <w:t xml:space="preserve"> na América Latina</w:t>
      </w:r>
      <w:r w:rsidR="003C2F69">
        <w:rPr>
          <w:rFonts w:ascii="Verdana" w:hAnsi="Verdana"/>
          <w:sz w:val="20"/>
        </w:rPr>
        <w:t>,</w:t>
      </w:r>
      <w:r w:rsidRPr="00BD40F0">
        <w:rPr>
          <w:rFonts w:ascii="Verdana" w:hAnsi="Verdana"/>
          <w:sz w:val="20"/>
        </w:rPr>
        <w:t xml:space="preserve"> onde há uma grande quantidade de populações rurais que vivem ao redor dest</w:t>
      </w:r>
      <w:r w:rsidR="00FD3F04">
        <w:rPr>
          <w:rFonts w:ascii="Verdana" w:hAnsi="Verdana"/>
          <w:sz w:val="20"/>
        </w:rPr>
        <w:t>a</w:t>
      </w:r>
      <w:r w:rsidRPr="00BD40F0">
        <w:rPr>
          <w:rFonts w:ascii="Verdana" w:hAnsi="Verdana"/>
          <w:sz w:val="20"/>
        </w:rPr>
        <w:t xml:space="preserve">s, é indispensável que seja viável socialmente, que exista o apoio social e o </w:t>
      </w:r>
      <w:r w:rsidR="00C6474D">
        <w:rPr>
          <w:rFonts w:ascii="Verdana" w:hAnsi="Verdana"/>
          <w:sz w:val="20"/>
        </w:rPr>
        <w:t>marco</w:t>
      </w:r>
      <w:r w:rsidRPr="00BD40F0">
        <w:rPr>
          <w:rFonts w:ascii="Verdana" w:hAnsi="Verdana"/>
          <w:sz w:val="20"/>
        </w:rPr>
        <w:t xml:space="preserve"> legal que se requer para que estas operações, mesmo que sejam tecnicamente exitosas e economicamente viáveis, não atentem contra direitos que possam ter as comunidades que habitam nest</w:t>
      </w:r>
      <w:r w:rsidR="00FD3F04">
        <w:rPr>
          <w:rFonts w:ascii="Verdana" w:hAnsi="Verdana"/>
          <w:sz w:val="20"/>
        </w:rPr>
        <w:t>as florestas</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Por tudo isso é que o Fundo Mundial para a Natureza encontrou no caso da relação contratual entre Awas Tingni e MADENSA uma possibilidade muito interessante de mostrar que</w:t>
      </w:r>
      <w:r w:rsidR="00E26BBB">
        <w:rPr>
          <w:rFonts w:ascii="Verdana" w:hAnsi="Verdana"/>
          <w:sz w:val="20"/>
        </w:rPr>
        <w:t>,</w:t>
      </w:r>
      <w:r w:rsidRPr="00BD40F0">
        <w:rPr>
          <w:rFonts w:ascii="Verdana" w:hAnsi="Verdana"/>
          <w:sz w:val="20"/>
        </w:rPr>
        <w:t xml:space="preserve"> efetivamente</w:t>
      </w:r>
      <w:r w:rsidR="00E26BBB">
        <w:rPr>
          <w:rFonts w:ascii="Verdana" w:hAnsi="Verdana"/>
          <w:sz w:val="20"/>
        </w:rPr>
        <w:t>, pode ser feito ess</w:t>
      </w:r>
      <w:r w:rsidRPr="00BD40F0">
        <w:rPr>
          <w:rFonts w:ascii="Verdana" w:hAnsi="Verdana"/>
          <w:sz w:val="20"/>
        </w:rPr>
        <w:t>e tipo de manejo florestal.</w:t>
      </w:r>
      <w:r w:rsidR="00850A3F">
        <w:rPr>
          <w:rFonts w:ascii="Verdana" w:hAnsi="Verdana"/>
          <w:sz w:val="20"/>
        </w:rPr>
        <w:t xml:space="preserve"> </w:t>
      </w:r>
      <w:r w:rsidRPr="00BD40F0">
        <w:rPr>
          <w:rFonts w:ascii="Verdana" w:hAnsi="Verdana"/>
          <w:sz w:val="20"/>
        </w:rPr>
        <w:t xml:space="preserve">O fato de que </w:t>
      </w:r>
      <w:r w:rsidR="00FD3F04">
        <w:rPr>
          <w:rFonts w:ascii="Verdana" w:hAnsi="Verdana"/>
          <w:sz w:val="20"/>
        </w:rPr>
        <w:t xml:space="preserve">a </w:t>
      </w:r>
      <w:r w:rsidRPr="00BD40F0">
        <w:rPr>
          <w:rFonts w:ascii="Verdana" w:hAnsi="Verdana"/>
          <w:sz w:val="20"/>
        </w:rPr>
        <w:t xml:space="preserve">MADENSA já houvesse aceitado de </w:t>
      </w:r>
      <w:r w:rsidR="00FD3F04">
        <w:rPr>
          <w:rFonts w:ascii="Verdana" w:hAnsi="Verdana"/>
          <w:sz w:val="20"/>
        </w:rPr>
        <w:t>início</w:t>
      </w:r>
      <w:r w:rsidRPr="00BD40F0">
        <w:rPr>
          <w:rFonts w:ascii="Verdana" w:hAnsi="Verdana"/>
          <w:sz w:val="20"/>
        </w:rPr>
        <w:t xml:space="preserve"> a presença da Comunidade era um avanço significativo com respeito ao caso de uma </w:t>
      </w:r>
      <w:r w:rsidR="002A016A">
        <w:rPr>
          <w:rFonts w:ascii="Verdana" w:hAnsi="Verdana"/>
          <w:sz w:val="20"/>
        </w:rPr>
        <w:t>concessão outorgada</w:t>
      </w:r>
      <w:r w:rsidRPr="00BD40F0">
        <w:rPr>
          <w:rFonts w:ascii="Verdana" w:hAnsi="Verdana"/>
          <w:sz w:val="20"/>
        </w:rPr>
        <w:t xml:space="preserve"> com anterioridade a uma empresa taiwanesa, na qu</w:t>
      </w:r>
      <w:r w:rsidR="00FD01CB">
        <w:rPr>
          <w:rFonts w:ascii="Verdana" w:hAnsi="Verdana"/>
          <w:sz w:val="20"/>
        </w:rPr>
        <w:t>al</w:t>
      </w:r>
      <w:r w:rsidRPr="00BD40F0">
        <w:rPr>
          <w:rFonts w:ascii="Verdana" w:hAnsi="Verdana"/>
          <w:sz w:val="20"/>
        </w:rPr>
        <w:t xml:space="preserve"> simplesmente não se reconheceu o fato de que existiam comunidades indígenas na zona.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Antes de iniciar</w:t>
      </w:r>
      <w:r w:rsidR="001E55B1">
        <w:rPr>
          <w:rFonts w:ascii="Verdana" w:hAnsi="Verdana"/>
          <w:sz w:val="20"/>
        </w:rPr>
        <w:t>,</w:t>
      </w:r>
      <w:r w:rsidRPr="00BD40F0">
        <w:rPr>
          <w:rFonts w:ascii="Verdana" w:hAnsi="Verdana"/>
          <w:sz w:val="20"/>
        </w:rPr>
        <w:t xml:space="preserve"> o projeto teve contato com os seguintes funcionários estatai</w:t>
      </w:r>
      <w:r w:rsidR="00F767A2">
        <w:rPr>
          <w:rFonts w:ascii="Verdana" w:hAnsi="Verdana"/>
          <w:sz w:val="20"/>
        </w:rPr>
        <w:t>s: o então Ministro do MARENA, D</w:t>
      </w:r>
      <w:r w:rsidRPr="00BD40F0">
        <w:rPr>
          <w:rFonts w:ascii="Verdana" w:hAnsi="Verdana"/>
          <w:sz w:val="20"/>
        </w:rPr>
        <w:t xml:space="preserve">outor Jaime Incer; o Diretor do Serviço Florestal Nacional, engenheiro Roberto Araquistain; o encarregado da Administração de </w:t>
      </w:r>
      <w:r w:rsidR="00FD3F04">
        <w:rPr>
          <w:rFonts w:ascii="Verdana" w:hAnsi="Verdana"/>
          <w:sz w:val="20"/>
        </w:rPr>
        <w:t>Florestas</w:t>
      </w:r>
      <w:r w:rsidRPr="00BD40F0">
        <w:rPr>
          <w:rFonts w:ascii="Verdana" w:hAnsi="Verdana"/>
          <w:sz w:val="20"/>
        </w:rPr>
        <w:t xml:space="preserve"> em Terras Públicas </w:t>
      </w:r>
      <w:r w:rsidR="00C60678" w:rsidRPr="00C60678">
        <w:rPr>
          <w:rFonts w:ascii="Verdana" w:hAnsi="Verdana"/>
          <w:sz w:val="20"/>
        </w:rPr>
        <w:t>(</w:t>
      </w:r>
      <w:r w:rsidRPr="00BD40F0">
        <w:rPr>
          <w:rFonts w:ascii="Verdana" w:hAnsi="Verdana"/>
          <w:sz w:val="20"/>
        </w:rPr>
        <w:t>ADFOREST</w:t>
      </w:r>
      <w:r w:rsidR="00C60678" w:rsidRPr="00C60678">
        <w:rPr>
          <w:rFonts w:ascii="Verdana" w:hAnsi="Verdana"/>
          <w:sz w:val="20"/>
        </w:rPr>
        <w:t>)</w:t>
      </w:r>
      <w:r w:rsidRPr="00BD40F0">
        <w:rPr>
          <w:rFonts w:ascii="Verdana" w:hAnsi="Verdana"/>
          <w:sz w:val="20"/>
        </w:rPr>
        <w:t>, o engenheiro Brady Watson, e com o Delegado d</w:t>
      </w:r>
      <w:r w:rsidR="00FD3F04">
        <w:rPr>
          <w:rFonts w:ascii="Verdana" w:hAnsi="Verdana"/>
          <w:sz w:val="20"/>
        </w:rPr>
        <w:t>o</w:t>
      </w:r>
      <w:r w:rsidRPr="00BD40F0">
        <w:rPr>
          <w:rFonts w:ascii="Verdana" w:hAnsi="Verdana"/>
          <w:sz w:val="20"/>
        </w:rPr>
        <w:t xml:space="preserve"> IRENA, a</w:t>
      </w:r>
      <w:r w:rsidR="00FD3F04">
        <w:rPr>
          <w:rFonts w:ascii="Verdana" w:hAnsi="Verdana"/>
          <w:sz w:val="20"/>
        </w:rPr>
        <w:t>g</w:t>
      </w:r>
      <w:r w:rsidRPr="00BD40F0">
        <w:rPr>
          <w:rFonts w:ascii="Verdana" w:hAnsi="Verdana"/>
          <w:sz w:val="20"/>
        </w:rPr>
        <w:t>ora MARENA, em Puerto Cabezas, senhor James Gordon. No contexto das discussões com estes funcionários</w:t>
      </w:r>
      <w:r w:rsidRPr="00552A91">
        <w:rPr>
          <w:rFonts w:ascii="Verdana" w:hAnsi="Verdana"/>
          <w:sz w:val="20"/>
        </w:rPr>
        <w:t>, partia-se</w:t>
      </w:r>
      <w:r w:rsidRPr="00BD40F0">
        <w:rPr>
          <w:rFonts w:ascii="Verdana" w:hAnsi="Verdana"/>
          <w:sz w:val="20"/>
        </w:rPr>
        <w:t xml:space="preserve"> do fato de que</w:t>
      </w:r>
      <w:r w:rsidR="001E55B1">
        <w:rPr>
          <w:rFonts w:ascii="Verdana" w:hAnsi="Verdana"/>
          <w:sz w:val="20"/>
        </w:rPr>
        <w:t>,</w:t>
      </w:r>
      <w:r w:rsidRPr="00BD40F0">
        <w:rPr>
          <w:rFonts w:ascii="Verdana" w:hAnsi="Verdana"/>
          <w:sz w:val="20"/>
        </w:rPr>
        <w:t xml:space="preserve"> </w:t>
      </w:r>
      <w:r w:rsidR="00FD3F04">
        <w:rPr>
          <w:rFonts w:ascii="Verdana" w:hAnsi="Verdana"/>
          <w:sz w:val="20"/>
        </w:rPr>
        <w:t>embora</w:t>
      </w:r>
      <w:r w:rsidRPr="00BD40F0">
        <w:rPr>
          <w:rFonts w:ascii="Verdana" w:hAnsi="Verdana"/>
          <w:sz w:val="20"/>
        </w:rPr>
        <w:t xml:space="preserve"> a Comunidade não </w:t>
      </w:r>
      <w:r w:rsidR="00FD01CB">
        <w:rPr>
          <w:rFonts w:ascii="Verdana" w:hAnsi="Verdana"/>
          <w:sz w:val="20"/>
        </w:rPr>
        <w:t xml:space="preserve">tivesse </w:t>
      </w:r>
      <w:r w:rsidRPr="00BD40F0">
        <w:rPr>
          <w:rFonts w:ascii="Verdana" w:hAnsi="Verdana"/>
          <w:sz w:val="20"/>
        </w:rPr>
        <w:t xml:space="preserve">título formal sobre a terra, reconhecia-se a </w:t>
      </w:r>
      <w:r w:rsidR="00FD01CB">
        <w:rPr>
          <w:rFonts w:ascii="Verdana" w:hAnsi="Verdana"/>
          <w:sz w:val="20"/>
        </w:rPr>
        <w:t xml:space="preserve">implícita </w:t>
      </w:r>
      <w:r w:rsidRPr="00BD40F0">
        <w:rPr>
          <w:rFonts w:ascii="Verdana" w:hAnsi="Verdana"/>
          <w:sz w:val="20"/>
        </w:rPr>
        <w:t xml:space="preserve">propriedade que correspondia à ocupação dessas terras, a qual teria que </w:t>
      </w:r>
      <w:r w:rsidR="00FD3F04">
        <w:rPr>
          <w:rFonts w:ascii="Verdana" w:hAnsi="Verdana"/>
          <w:sz w:val="20"/>
        </w:rPr>
        <w:t xml:space="preserve">ser eventualmente formalizada. </w:t>
      </w:r>
      <w:r w:rsidR="001E55B1">
        <w:rPr>
          <w:rFonts w:ascii="Verdana" w:hAnsi="Verdana"/>
          <w:sz w:val="20"/>
        </w:rPr>
        <w:t>Isto é</w:t>
      </w:r>
      <w:r w:rsidRPr="00BD40F0">
        <w:rPr>
          <w:rFonts w:ascii="Verdana" w:hAnsi="Verdana"/>
          <w:sz w:val="20"/>
        </w:rPr>
        <w:t xml:space="preserve">, </w:t>
      </w:r>
      <w:r w:rsidRPr="00552A91">
        <w:rPr>
          <w:rFonts w:ascii="Verdana" w:hAnsi="Verdana"/>
          <w:sz w:val="20"/>
        </w:rPr>
        <w:t>tinha-se conhecimento</w:t>
      </w:r>
      <w:r w:rsidRPr="00BD40F0">
        <w:rPr>
          <w:rFonts w:ascii="Verdana" w:hAnsi="Verdana"/>
          <w:sz w:val="20"/>
        </w:rPr>
        <w:t xml:space="preserve"> de que, ao menos uma parte, senão toda a área do plano de manejo d</w:t>
      </w:r>
      <w:r w:rsidR="00FD3F04">
        <w:rPr>
          <w:rFonts w:ascii="Verdana" w:hAnsi="Verdana"/>
          <w:sz w:val="20"/>
        </w:rPr>
        <w:t>a</w:t>
      </w:r>
      <w:r w:rsidRPr="00BD40F0">
        <w:rPr>
          <w:rFonts w:ascii="Verdana" w:hAnsi="Verdana"/>
          <w:sz w:val="20"/>
        </w:rPr>
        <w:t xml:space="preserve"> MADENSA era terra </w:t>
      </w:r>
      <w:r w:rsidR="001E55B1">
        <w:rPr>
          <w:rFonts w:ascii="Verdana" w:hAnsi="Verdana"/>
          <w:sz w:val="20"/>
        </w:rPr>
        <w:t xml:space="preserve">comunitária </w:t>
      </w:r>
      <w:r w:rsidR="00FD3F04">
        <w:rPr>
          <w:rFonts w:ascii="Verdana" w:hAnsi="Verdana"/>
          <w:sz w:val="20"/>
        </w:rPr>
        <w:t>da Comunidade Awas Tingni.</w:t>
      </w:r>
      <w:r w:rsidRPr="00BD40F0">
        <w:rPr>
          <w:rFonts w:ascii="Verdana" w:hAnsi="Verdana"/>
          <w:sz w:val="20"/>
        </w:rPr>
        <w:t xml:space="preserve"> Também se reconheceu que</w:t>
      </w:r>
      <w:r w:rsidR="001E55B1">
        <w:rPr>
          <w:rFonts w:ascii="Verdana" w:hAnsi="Verdana"/>
          <w:sz w:val="20"/>
        </w:rPr>
        <w:t>,</w:t>
      </w:r>
      <w:r w:rsidRPr="00BD40F0">
        <w:rPr>
          <w:rFonts w:ascii="Verdana" w:hAnsi="Verdana"/>
          <w:sz w:val="20"/>
        </w:rPr>
        <w:t xml:space="preserve"> como resultado deste processo</w:t>
      </w:r>
      <w:r w:rsidR="001E55B1">
        <w:rPr>
          <w:rFonts w:ascii="Verdana" w:hAnsi="Verdana"/>
          <w:sz w:val="20"/>
        </w:rPr>
        <w:t>,</w:t>
      </w:r>
      <w:r w:rsidRPr="00BD40F0">
        <w:rPr>
          <w:rFonts w:ascii="Verdana" w:hAnsi="Verdana"/>
          <w:sz w:val="20"/>
        </w:rPr>
        <w:t xml:space="preserve"> </w:t>
      </w:r>
      <w:r w:rsidR="00FD3F04">
        <w:rPr>
          <w:rFonts w:ascii="Verdana" w:hAnsi="Verdana"/>
          <w:sz w:val="20"/>
        </w:rPr>
        <w:t>seria realizada</w:t>
      </w:r>
      <w:r w:rsidRPr="00BD40F0">
        <w:rPr>
          <w:rFonts w:ascii="Verdana" w:hAnsi="Verdana"/>
          <w:sz w:val="20"/>
        </w:rPr>
        <w:t xml:space="preserve"> a demarcação desta terra</w:t>
      </w:r>
      <w:r w:rsidR="002C6A59">
        <w:rPr>
          <w:rFonts w:ascii="Verdana" w:hAnsi="Verdana"/>
          <w:sz w:val="20"/>
        </w:rPr>
        <w:t xml:space="preserve"> </w:t>
      </w:r>
      <w:r w:rsidR="00F24895">
        <w:rPr>
          <w:rFonts w:ascii="Verdana" w:hAnsi="Verdana"/>
          <w:sz w:val="20"/>
        </w:rPr>
        <w:t>comunitária</w:t>
      </w:r>
      <w:r w:rsidRPr="00BD40F0">
        <w:rPr>
          <w:rFonts w:ascii="Verdana" w:hAnsi="Verdana"/>
          <w:sz w:val="20"/>
        </w:rPr>
        <w:t xml:space="preserve">, porque </w:t>
      </w:r>
      <w:r w:rsidR="00FD01CB">
        <w:rPr>
          <w:rFonts w:ascii="Verdana" w:hAnsi="Verdana"/>
          <w:sz w:val="20"/>
        </w:rPr>
        <w:t>um</w:t>
      </w:r>
      <w:r w:rsidRPr="00BD40F0">
        <w:rPr>
          <w:rFonts w:ascii="Verdana" w:hAnsi="Verdana"/>
          <w:sz w:val="20"/>
        </w:rPr>
        <w:t xml:space="preserve"> </w:t>
      </w:r>
      <w:r w:rsidR="00C6474D">
        <w:rPr>
          <w:rFonts w:ascii="Verdana" w:hAnsi="Verdana"/>
          <w:sz w:val="20"/>
        </w:rPr>
        <w:t>marco</w:t>
      </w:r>
      <w:r w:rsidRPr="00BD40F0">
        <w:rPr>
          <w:rFonts w:ascii="Verdana" w:hAnsi="Verdana"/>
          <w:sz w:val="20"/>
        </w:rPr>
        <w:t xml:space="preserve"> legal claro é uma das condições fundamentais para um manejo sustentável.</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O primeiro contato que a testemunha teve com a Comunidade </w:t>
      </w:r>
      <w:proofErr w:type="gramStart"/>
      <w:r w:rsidRPr="00BD40F0">
        <w:rPr>
          <w:rFonts w:ascii="Verdana" w:hAnsi="Verdana"/>
          <w:sz w:val="20"/>
        </w:rPr>
        <w:t>foi</w:t>
      </w:r>
      <w:proofErr w:type="gramEnd"/>
      <w:r w:rsidRPr="00BD40F0">
        <w:rPr>
          <w:rFonts w:ascii="Verdana" w:hAnsi="Verdana"/>
          <w:sz w:val="20"/>
        </w:rPr>
        <w:t xml:space="preserve"> a princípios do ano de 1993.</w:t>
      </w:r>
      <w:r w:rsidR="00850A3F">
        <w:rPr>
          <w:rFonts w:ascii="Verdana" w:hAnsi="Verdana"/>
          <w:sz w:val="20"/>
        </w:rPr>
        <w:t xml:space="preserve"> </w:t>
      </w:r>
      <w:r w:rsidRPr="00BD40F0">
        <w:rPr>
          <w:rFonts w:ascii="Verdana" w:hAnsi="Verdana"/>
          <w:sz w:val="20"/>
        </w:rPr>
        <w:t xml:space="preserve">Estiveram acompanhados por representantes do IRENA e </w:t>
      </w:r>
      <w:r w:rsidR="00FD3F04">
        <w:rPr>
          <w:rFonts w:ascii="Verdana" w:hAnsi="Verdana"/>
          <w:sz w:val="20"/>
        </w:rPr>
        <w:t xml:space="preserve">do Serviço Florestal Nacional. </w:t>
      </w:r>
      <w:r w:rsidRPr="00BD40F0">
        <w:rPr>
          <w:rFonts w:ascii="Verdana" w:hAnsi="Verdana"/>
          <w:sz w:val="20"/>
        </w:rPr>
        <w:t>Tiveram reuniões em Puerto Cabezas com alguns lí</w:t>
      </w:r>
      <w:r w:rsidR="00FD3F04">
        <w:rPr>
          <w:rFonts w:ascii="Verdana" w:hAnsi="Verdana"/>
          <w:sz w:val="20"/>
        </w:rPr>
        <w:t xml:space="preserve">deres e membros da Comunidade. </w:t>
      </w:r>
      <w:r w:rsidRPr="00BD40F0">
        <w:rPr>
          <w:rFonts w:ascii="Verdana" w:hAnsi="Verdana"/>
          <w:sz w:val="20"/>
        </w:rPr>
        <w:t>Depois</w:t>
      </w:r>
      <w:r w:rsidR="00F24895">
        <w:rPr>
          <w:rFonts w:ascii="Verdana" w:hAnsi="Verdana"/>
          <w:sz w:val="20"/>
        </w:rPr>
        <w:t>,</w:t>
      </w:r>
      <w:r w:rsidRPr="00BD40F0">
        <w:rPr>
          <w:rFonts w:ascii="Verdana" w:hAnsi="Verdana"/>
          <w:sz w:val="20"/>
        </w:rPr>
        <w:t xml:space="preserve"> </w:t>
      </w:r>
      <w:r w:rsidR="00F24895">
        <w:rPr>
          <w:rFonts w:ascii="Verdana" w:hAnsi="Verdana"/>
          <w:sz w:val="20"/>
        </w:rPr>
        <w:t>transladaram-se</w:t>
      </w:r>
      <w:r w:rsidRPr="00BD40F0">
        <w:rPr>
          <w:rFonts w:ascii="Verdana" w:hAnsi="Verdana"/>
          <w:sz w:val="20"/>
        </w:rPr>
        <w:t xml:space="preserve"> </w:t>
      </w:r>
      <w:r w:rsidR="000F2BCA">
        <w:rPr>
          <w:rFonts w:ascii="Verdana" w:hAnsi="Verdana"/>
          <w:sz w:val="20"/>
        </w:rPr>
        <w:t>a</w:t>
      </w:r>
      <w:r w:rsidR="002C6A59">
        <w:rPr>
          <w:rFonts w:ascii="Verdana" w:hAnsi="Verdana"/>
          <w:sz w:val="20"/>
        </w:rPr>
        <w:t xml:space="preserve"> </w:t>
      </w:r>
      <w:r w:rsidRPr="00BD40F0">
        <w:rPr>
          <w:rFonts w:ascii="Verdana" w:hAnsi="Verdana"/>
          <w:sz w:val="20"/>
        </w:rPr>
        <w:t>Awas Tingni para conhecer o resto da Comunidade e</w:t>
      </w:r>
      <w:r w:rsidR="00F24895">
        <w:rPr>
          <w:rFonts w:ascii="Verdana" w:hAnsi="Verdana"/>
          <w:sz w:val="20"/>
        </w:rPr>
        <w:t>,</w:t>
      </w:r>
      <w:r w:rsidRPr="00BD40F0">
        <w:rPr>
          <w:rFonts w:ascii="Verdana" w:hAnsi="Verdana"/>
          <w:sz w:val="20"/>
        </w:rPr>
        <w:t xml:space="preserve"> assim</w:t>
      </w:r>
      <w:r w:rsidR="00F24895">
        <w:rPr>
          <w:rFonts w:ascii="Verdana" w:hAnsi="Verdana"/>
          <w:sz w:val="20"/>
        </w:rPr>
        <w:t>,</w:t>
      </w:r>
      <w:r w:rsidRPr="00BD40F0">
        <w:rPr>
          <w:rFonts w:ascii="Verdana" w:hAnsi="Verdana"/>
          <w:sz w:val="20"/>
        </w:rPr>
        <w:t xml:space="preserve"> ver em que condições viviam</w:t>
      </w:r>
      <w:r w:rsidR="00F24895">
        <w:rPr>
          <w:rFonts w:ascii="Verdana" w:hAnsi="Verdana"/>
          <w:sz w:val="20"/>
        </w:rPr>
        <w:t>,</w:t>
      </w:r>
      <w:proofErr w:type="gramStart"/>
      <w:r w:rsidR="002C6A59">
        <w:rPr>
          <w:rFonts w:ascii="Verdana" w:hAnsi="Verdana"/>
          <w:sz w:val="20"/>
        </w:rPr>
        <w:t xml:space="preserve"> </w:t>
      </w:r>
      <w:r w:rsidR="00F24895">
        <w:rPr>
          <w:rFonts w:ascii="Verdana" w:hAnsi="Verdana"/>
          <w:sz w:val="20"/>
        </w:rPr>
        <w:t xml:space="preserve"> </w:t>
      </w:r>
      <w:proofErr w:type="gramEnd"/>
      <w:r w:rsidR="00F24895">
        <w:rPr>
          <w:rFonts w:ascii="Verdana" w:hAnsi="Verdana"/>
          <w:sz w:val="20"/>
        </w:rPr>
        <w:t>de modo a</w:t>
      </w:r>
      <w:r w:rsidRPr="00BD40F0">
        <w:rPr>
          <w:rFonts w:ascii="Verdana" w:hAnsi="Verdana"/>
          <w:sz w:val="20"/>
        </w:rPr>
        <w:t xml:space="preserve"> </w:t>
      </w:r>
      <w:r w:rsidR="00C6474D">
        <w:rPr>
          <w:rFonts w:ascii="Verdana" w:hAnsi="Verdana"/>
          <w:sz w:val="20"/>
        </w:rPr>
        <w:t>receber</w:t>
      </w:r>
      <w:r w:rsidRPr="00BD40F0">
        <w:rPr>
          <w:rFonts w:ascii="Verdana" w:hAnsi="Verdana"/>
          <w:sz w:val="20"/>
        </w:rPr>
        <w:t xml:space="preserve"> diretamente a opinião das pessoas.</w:t>
      </w:r>
      <w:r w:rsidR="00850A3F">
        <w:rPr>
          <w:rFonts w:ascii="Verdana" w:hAnsi="Verdana"/>
          <w:sz w:val="20"/>
        </w:rPr>
        <w:t xml:space="preserve"> </w:t>
      </w:r>
      <w:r w:rsidRPr="00BD40F0">
        <w:rPr>
          <w:rFonts w:ascii="Verdana" w:hAnsi="Verdana"/>
          <w:sz w:val="20"/>
        </w:rPr>
        <w:t>Ao falar com os líderes da Comunidade em Puerto Cabezas e com membros das Comunidades</w:t>
      </w:r>
      <w:r w:rsidR="00015F5C">
        <w:rPr>
          <w:rFonts w:ascii="Verdana" w:hAnsi="Verdana"/>
          <w:sz w:val="20"/>
        </w:rPr>
        <w:t>,</w:t>
      </w:r>
      <w:r w:rsidR="00FD3F04">
        <w:rPr>
          <w:rFonts w:ascii="Verdana" w:hAnsi="Verdana"/>
          <w:sz w:val="20"/>
        </w:rPr>
        <w:t xml:space="preserve"> </w:t>
      </w:r>
      <w:r w:rsidRPr="00BD40F0">
        <w:rPr>
          <w:rFonts w:ascii="Verdana" w:hAnsi="Verdana"/>
          <w:sz w:val="20"/>
        </w:rPr>
        <w:t>foram conhecidas duas preocupações principais.</w:t>
      </w:r>
      <w:r w:rsidR="00850A3F">
        <w:rPr>
          <w:rFonts w:ascii="Verdana" w:hAnsi="Verdana"/>
          <w:sz w:val="20"/>
        </w:rPr>
        <w:t xml:space="preserve"> </w:t>
      </w:r>
      <w:r w:rsidRPr="00BD40F0">
        <w:rPr>
          <w:rFonts w:ascii="Verdana" w:hAnsi="Verdana"/>
          <w:sz w:val="20"/>
        </w:rPr>
        <w:t xml:space="preserve">Uma era o contrato que a Comunidade havia assinado com </w:t>
      </w:r>
      <w:r w:rsidR="00FD3F04">
        <w:rPr>
          <w:rFonts w:ascii="Verdana" w:hAnsi="Verdana"/>
          <w:sz w:val="20"/>
        </w:rPr>
        <w:t xml:space="preserve">a </w:t>
      </w:r>
      <w:r w:rsidRPr="00BD40F0">
        <w:rPr>
          <w:rFonts w:ascii="Verdana" w:hAnsi="Verdana"/>
          <w:sz w:val="20"/>
        </w:rPr>
        <w:t xml:space="preserve">MADENSA, um contrato por 25 anos, </w:t>
      </w:r>
      <w:r w:rsidR="009E50CD">
        <w:rPr>
          <w:rFonts w:ascii="Verdana" w:hAnsi="Verdana"/>
          <w:sz w:val="20"/>
        </w:rPr>
        <w:t xml:space="preserve">a respeito do </w:t>
      </w:r>
      <w:r w:rsidRPr="00BD40F0">
        <w:rPr>
          <w:rFonts w:ascii="Verdana" w:hAnsi="Verdana"/>
          <w:sz w:val="20"/>
        </w:rPr>
        <w:t xml:space="preserve">qual se sentiam presos, e a segunda inquietude, que para eles era a principal, era a incerteza que sentiam a respeito da </w:t>
      </w:r>
      <w:r w:rsidR="00FD3F04">
        <w:rPr>
          <w:rFonts w:ascii="Verdana" w:hAnsi="Verdana"/>
          <w:sz w:val="20"/>
        </w:rPr>
        <w:t xml:space="preserve">posse da terra. </w:t>
      </w:r>
      <w:r w:rsidRPr="00BD40F0">
        <w:rPr>
          <w:rFonts w:ascii="Verdana" w:hAnsi="Verdana"/>
          <w:sz w:val="20"/>
        </w:rPr>
        <w:t xml:space="preserve">A Comunidade não estava tão interessada na exploração </w:t>
      </w:r>
      <w:r w:rsidRPr="00BD40F0">
        <w:rPr>
          <w:rFonts w:ascii="Verdana" w:hAnsi="Verdana"/>
          <w:sz w:val="20"/>
        </w:rPr>
        <w:lastRenderedPageBreak/>
        <w:t xml:space="preserve">propriamente dita </w:t>
      </w:r>
      <w:r w:rsidR="00FD3F04">
        <w:rPr>
          <w:rFonts w:ascii="Verdana" w:hAnsi="Verdana"/>
          <w:sz w:val="20"/>
        </w:rPr>
        <w:t>da floresta</w:t>
      </w:r>
      <w:r w:rsidRPr="00BD40F0">
        <w:rPr>
          <w:rFonts w:ascii="Verdana" w:hAnsi="Verdana"/>
          <w:sz w:val="20"/>
        </w:rPr>
        <w:t xml:space="preserve"> ou dos recursos que est</w:t>
      </w:r>
      <w:r w:rsidR="00FD3F04">
        <w:rPr>
          <w:rFonts w:ascii="Verdana" w:hAnsi="Verdana"/>
          <w:sz w:val="20"/>
        </w:rPr>
        <w:t>a</w:t>
      </w:r>
      <w:r w:rsidRPr="00BD40F0">
        <w:rPr>
          <w:rFonts w:ascii="Verdana" w:hAnsi="Verdana"/>
          <w:sz w:val="20"/>
        </w:rPr>
        <w:t xml:space="preserve"> proporciona</w:t>
      </w:r>
      <w:r w:rsidR="00FD3F04">
        <w:rPr>
          <w:rFonts w:ascii="Verdana" w:hAnsi="Verdana"/>
          <w:sz w:val="20"/>
        </w:rPr>
        <w:t>sse</w:t>
      </w:r>
      <w:r w:rsidRPr="00BD40F0">
        <w:rPr>
          <w:rFonts w:ascii="Verdana" w:hAnsi="Verdana"/>
          <w:sz w:val="20"/>
        </w:rPr>
        <w:t xml:space="preserve">, mas em obter o financiamento dos estudos necessários para poder </w:t>
      </w:r>
      <w:r w:rsidR="009E50CD">
        <w:rPr>
          <w:rFonts w:ascii="Verdana" w:hAnsi="Verdana"/>
          <w:sz w:val="20"/>
        </w:rPr>
        <w:t xml:space="preserve">finalmente </w:t>
      </w:r>
      <w:r w:rsidRPr="00BD40F0">
        <w:rPr>
          <w:rFonts w:ascii="Verdana" w:hAnsi="Verdana"/>
          <w:sz w:val="20"/>
        </w:rPr>
        <w:t>de</w:t>
      </w:r>
      <w:r w:rsidR="00FD3F04">
        <w:rPr>
          <w:rFonts w:ascii="Verdana" w:hAnsi="Verdana"/>
          <w:sz w:val="20"/>
        </w:rPr>
        <w:t xml:space="preserve">marcar suas terras. </w:t>
      </w:r>
      <w:r w:rsidRPr="00BD40F0">
        <w:rPr>
          <w:rFonts w:ascii="Verdana" w:hAnsi="Verdana"/>
          <w:sz w:val="20"/>
        </w:rPr>
        <w:t>Essas eram suas preocupações fundamentais.</w:t>
      </w:r>
    </w:p>
    <w:p w:rsidR="000B3F97" w:rsidRPr="00BD40F0" w:rsidRDefault="000B3F97" w:rsidP="000B3F97">
      <w:pPr>
        <w:jc w:val="both"/>
        <w:rPr>
          <w:rFonts w:ascii="Verdana" w:hAnsi="Verdana"/>
          <w:sz w:val="20"/>
        </w:rPr>
      </w:pPr>
    </w:p>
    <w:p w:rsidR="000B3F97" w:rsidRPr="00BD40F0" w:rsidRDefault="003379F9" w:rsidP="000B3F97">
      <w:pPr>
        <w:jc w:val="both"/>
        <w:rPr>
          <w:rFonts w:ascii="Verdana" w:hAnsi="Verdana"/>
          <w:sz w:val="20"/>
        </w:rPr>
      </w:pPr>
      <w:r>
        <w:rPr>
          <w:rFonts w:ascii="Verdana" w:hAnsi="Verdana"/>
          <w:sz w:val="20"/>
        </w:rPr>
        <w:t>Decidiu-se</w:t>
      </w:r>
      <w:r w:rsidR="000B3F97" w:rsidRPr="00BD40F0">
        <w:rPr>
          <w:rFonts w:ascii="Verdana" w:hAnsi="Verdana"/>
          <w:sz w:val="20"/>
        </w:rPr>
        <w:t xml:space="preserve"> com </w:t>
      </w:r>
      <w:r w:rsidR="00FD3F04">
        <w:rPr>
          <w:rFonts w:ascii="Verdana" w:hAnsi="Verdana"/>
          <w:sz w:val="20"/>
        </w:rPr>
        <w:t xml:space="preserve">a </w:t>
      </w:r>
      <w:r w:rsidR="000B3F97" w:rsidRPr="00BD40F0">
        <w:rPr>
          <w:rFonts w:ascii="Verdana" w:hAnsi="Verdana"/>
          <w:sz w:val="20"/>
        </w:rPr>
        <w:t xml:space="preserve">MADENSA e com </w:t>
      </w:r>
      <w:r w:rsidR="00FD3F04">
        <w:rPr>
          <w:rFonts w:ascii="Verdana" w:hAnsi="Verdana"/>
          <w:sz w:val="20"/>
        </w:rPr>
        <w:t xml:space="preserve">o </w:t>
      </w:r>
      <w:r w:rsidR="000B3F97" w:rsidRPr="00BD40F0">
        <w:rPr>
          <w:rFonts w:ascii="Verdana" w:hAnsi="Verdana"/>
          <w:sz w:val="20"/>
        </w:rPr>
        <w:t xml:space="preserve">IRENA que se renegociaria o contrato de 25 anos que </w:t>
      </w:r>
      <w:r w:rsidR="009E50CD">
        <w:rPr>
          <w:rFonts w:ascii="Verdana" w:hAnsi="Verdana"/>
          <w:sz w:val="20"/>
        </w:rPr>
        <w:t xml:space="preserve">a Awas Tingni </w:t>
      </w:r>
      <w:r w:rsidR="000B3F97" w:rsidRPr="00BD40F0">
        <w:rPr>
          <w:rFonts w:ascii="Verdana" w:hAnsi="Verdana"/>
          <w:sz w:val="20"/>
        </w:rPr>
        <w:t xml:space="preserve">havia assinado </w:t>
      </w:r>
      <w:r w:rsidR="00730D9E">
        <w:rPr>
          <w:rFonts w:ascii="Verdana" w:hAnsi="Verdana"/>
          <w:sz w:val="20"/>
        </w:rPr>
        <w:t xml:space="preserve">com a primeira. </w:t>
      </w:r>
      <w:r w:rsidR="000B3F97" w:rsidRPr="00BD40F0">
        <w:rPr>
          <w:rFonts w:ascii="Verdana" w:hAnsi="Verdana"/>
          <w:sz w:val="20"/>
        </w:rPr>
        <w:t>Para isso</w:t>
      </w:r>
      <w:r w:rsidR="00015F5C">
        <w:rPr>
          <w:rFonts w:ascii="Verdana" w:hAnsi="Verdana"/>
          <w:sz w:val="20"/>
        </w:rPr>
        <w:t>,</w:t>
      </w:r>
      <w:r w:rsidR="000B3F97" w:rsidRPr="00BD40F0">
        <w:rPr>
          <w:rFonts w:ascii="Verdana" w:hAnsi="Verdana"/>
          <w:sz w:val="20"/>
        </w:rPr>
        <w:t xml:space="preserve"> </w:t>
      </w:r>
      <w:r w:rsidR="009E50CD" w:rsidRPr="00BD40F0">
        <w:rPr>
          <w:rFonts w:ascii="Verdana" w:hAnsi="Verdana"/>
          <w:sz w:val="20"/>
        </w:rPr>
        <w:t>requeri</w:t>
      </w:r>
      <w:r w:rsidR="009E50CD">
        <w:rPr>
          <w:rFonts w:ascii="Verdana" w:hAnsi="Verdana"/>
          <w:sz w:val="20"/>
        </w:rPr>
        <w:t>a</w:t>
      </w:r>
      <w:r w:rsidR="009E50CD" w:rsidRPr="00BD40F0">
        <w:rPr>
          <w:rFonts w:ascii="Verdana" w:hAnsi="Verdana"/>
          <w:sz w:val="20"/>
        </w:rPr>
        <w:t xml:space="preserve"> </w:t>
      </w:r>
      <w:r w:rsidR="000B3F97" w:rsidRPr="00BD40F0">
        <w:rPr>
          <w:rFonts w:ascii="Verdana" w:hAnsi="Verdana"/>
          <w:sz w:val="20"/>
        </w:rPr>
        <w:t>assessoria técnica e legal com o fim de negociar melhores condições, porque assim o havia solicitado a Comunidade.</w:t>
      </w:r>
      <w:r w:rsidR="00850A3F">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 papel do Fundo Mundial para a Natureza foi assegurar que existi</w:t>
      </w:r>
      <w:r w:rsidR="00730D9E">
        <w:rPr>
          <w:rFonts w:ascii="Verdana" w:hAnsi="Verdana"/>
          <w:sz w:val="20"/>
        </w:rPr>
        <w:t>sse</w:t>
      </w:r>
      <w:r w:rsidRPr="00BD40F0">
        <w:rPr>
          <w:rFonts w:ascii="Verdana" w:hAnsi="Verdana"/>
          <w:sz w:val="20"/>
        </w:rPr>
        <w:t xml:space="preserve"> este apoio à Comunidade. Contribuíram à formação de uma equipe técnica legal que se iniciou com a participação do senhor James Anaya, da Universidade de Iowa, e do senhor Hans Ackerson, especialista florestal que havia oferecido assessoria florestal </w:t>
      </w:r>
      <w:r w:rsidR="00730D9E">
        <w:rPr>
          <w:rFonts w:ascii="Verdana" w:hAnsi="Verdana"/>
          <w:sz w:val="20"/>
        </w:rPr>
        <w:t>à</w:t>
      </w:r>
      <w:r w:rsidRPr="00BD40F0">
        <w:rPr>
          <w:rFonts w:ascii="Verdana" w:hAnsi="Verdana"/>
          <w:sz w:val="20"/>
        </w:rPr>
        <w:t xml:space="preserve"> Nicarágua.</w:t>
      </w:r>
      <w:r w:rsidR="00850A3F">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Um obstáculo importante na negociação do processo era a ausência de um precedente legal que pudesse servir de referência para poder fazer este tipo de arranjos. Outro obstáculo que se apresentou ao longo da negociação foi </w:t>
      </w:r>
      <w:proofErr w:type="gramStart"/>
      <w:r w:rsidRPr="00BD40F0">
        <w:rPr>
          <w:rFonts w:ascii="Verdana" w:hAnsi="Verdana"/>
          <w:sz w:val="20"/>
        </w:rPr>
        <w:t>a</w:t>
      </w:r>
      <w:proofErr w:type="gramEnd"/>
      <w:r w:rsidRPr="00BD40F0">
        <w:rPr>
          <w:rFonts w:ascii="Verdana" w:hAnsi="Verdana"/>
          <w:sz w:val="20"/>
        </w:rPr>
        <w:t xml:space="preserve"> questão da </w:t>
      </w:r>
      <w:r w:rsidR="00730D9E">
        <w:rPr>
          <w:rFonts w:ascii="Verdana" w:hAnsi="Verdana"/>
          <w:sz w:val="20"/>
        </w:rPr>
        <w:t>posse</w:t>
      </w:r>
      <w:r w:rsidRPr="00BD40F0">
        <w:rPr>
          <w:rFonts w:ascii="Verdana" w:hAnsi="Verdana"/>
          <w:sz w:val="20"/>
        </w:rPr>
        <w:t xml:space="preserve"> da terra, porque para poder ter um plano de manejo é necessário contar com uma área definida.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Outra tarefa do Fundo Mundial para a Natureza foi assegurar que seria realizado um processo ao qual se </w:t>
      </w:r>
      <w:r w:rsidR="004E5FAD">
        <w:rPr>
          <w:rFonts w:ascii="Verdana" w:hAnsi="Verdana"/>
          <w:sz w:val="20"/>
        </w:rPr>
        <w:t>uniram</w:t>
      </w:r>
      <w:r w:rsidRPr="00BD40F0">
        <w:rPr>
          <w:rFonts w:ascii="Verdana" w:hAnsi="Verdana"/>
          <w:sz w:val="20"/>
        </w:rPr>
        <w:t xml:space="preserve"> as diferentes partes.</w:t>
      </w:r>
      <w:r w:rsidR="00850A3F">
        <w:rPr>
          <w:rFonts w:ascii="Verdana" w:hAnsi="Verdana"/>
          <w:sz w:val="20"/>
        </w:rPr>
        <w:t xml:space="preserve"> </w:t>
      </w:r>
      <w:r w:rsidRPr="00BD40F0">
        <w:rPr>
          <w:rFonts w:ascii="Verdana" w:hAnsi="Verdana"/>
          <w:sz w:val="20"/>
        </w:rPr>
        <w:t>Ademais, uma vez iniciadas as negociações</w:t>
      </w:r>
      <w:r w:rsidR="00015F5C">
        <w:rPr>
          <w:rFonts w:ascii="Verdana" w:hAnsi="Verdana"/>
          <w:sz w:val="20"/>
        </w:rPr>
        <w:t>,</w:t>
      </w:r>
      <w:r w:rsidRPr="00BD40F0">
        <w:rPr>
          <w:rFonts w:ascii="Verdana" w:hAnsi="Verdana"/>
          <w:sz w:val="20"/>
        </w:rPr>
        <w:t xml:space="preserve"> contribuiu-se para contratar um facilitador que ajuda</w:t>
      </w:r>
      <w:r w:rsidR="00730D9E">
        <w:rPr>
          <w:rFonts w:ascii="Verdana" w:hAnsi="Verdana"/>
          <w:sz w:val="20"/>
        </w:rPr>
        <w:t>sse</w:t>
      </w:r>
      <w:r w:rsidRPr="00BD40F0">
        <w:rPr>
          <w:rFonts w:ascii="Verdana" w:hAnsi="Verdana"/>
          <w:sz w:val="20"/>
        </w:rPr>
        <w:t xml:space="preserve"> a “destravar” a negociação.</w:t>
      </w:r>
      <w:r w:rsidR="00850A3F">
        <w:rPr>
          <w:rFonts w:ascii="Verdana" w:hAnsi="Verdana"/>
          <w:sz w:val="20"/>
        </w:rPr>
        <w:t xml:space="preserve"> </w:t>
      </w:r>
      <w:r w:rsidRPr="00BD40F0">
        <w:rPr>
          <w:rFonts w:ascii="Verdana" w:hAnsi="Verdana"/>
          <w:sz w:val="20"/>
        </w:rPr>
        <w:t xml:space="preserve">O resultado dessas negociações foi um </w:t>
      </w:r>
      <w:r w:rsidR="003379F9">
        <w:rPr>
          <w:rFonts w:ascii="Verdana" w:hAnsi="Verdana"/>
          <w:sz w:val="20"/>
        </w:rPr>
        <w:t>convênio</w:t>
      </w:r>
      <w:r w:rsidRPr="00BD40F0">
        <w:rPr>
          <w:rFonts w:ascii="Verdana" w:hAnsi="Verdana"/>
          <w:sz w:val="20"/>
        </w:rPr>
        <w:t xml:space="preserve"> </w:t>
      </w:r>
      <w:r w:rsidR="009E50CD">
        <w:rPr>
          <w:rFonts w:ascii="Verdana" w:hAnsi="Verdana"/>
          <w:sz w:val="20"/>
        </w:rPr>
        <w:t>tripartite</w:t>
      </w:r>
      <w:r w:rsidRPr="00BD40F0">
        <w:rPr>
          <w:rFonts w:ascii="Verdana" w:hAnsi="Verdana"/>
          <w:sz w:val="20"/>
        </w:rPr>
        <w:t>, no qu</w:t>
      </w:r>
      <w:r w:rsidR="009E50CD">
        <w:rPr>
          <w:rFonts w:ascii="Verdana" w:hAnsi="Verdana"/>
          <w:sz w:val="20"/>
        </w:rPr>
        <w:t>al</w:t>
      </w:r>
      <w:r w:rsidRPr="00BD40F0">
        <w:rPr>
          <w:rFonts w:ascii="Verdana" w:hAnsi="Verdana"/>
          <w:sz w:val="20"/>
        </w:rPr>
        <w:t xml:space="preserve"> participavam a Comunidade Awas Tingni, o Estado</w:t>
      </w:r>
      <w:r w:rsidR="00015F5C">
        <w:rPr>
          <w:rFonts w:ascii="Verdana" w:hAnsi="Verdana"/>
          <w:sz w:val="20"/>
        </w:rPr>
        <w:t>,</w:t>
      </w:r>
      <w:r w:rsidRPr="00BD40F0">
        <w:rPr>
          <w:rFonts w:ascii="Verdana" w:hAnsi="Verdana"/>
          <w:sz w:val="20"/>
        </w:rPr>
        <w:t xml:space="preserve"> através d</w:t>
      </w:r>
      <w:r w:rsidR="00730D9E">
        <w:rPr>
          <w:rFonts w:ascii="Verdana" w:hAnsi="Verdana"/>
          <w:sz w:val="20"/>
        </w:rPr>
        <w:t>o MARENA</w:t>
      </w:r>
      <w:r w:rsidR="00015F5C">
        <w:rPr>
          <w:rFonts w:ascii="Verdana" w:hAnsi="Verdana"/>
          <w:sz w:val="20"/>
        </w:rPr>
        <w:t>,</w:t>
      </w:r>
      <w:r w:rsidR="00730D9E">
        <w:rPr>
          <w:rFonts w:ascii="Verdana" w:hAnsi="Verdana"/>
          <w:sz w:val="20"/>
        </w:rPr>
        <w:t xml:space="preserve"> e a companhia MADENSA.</w:t>
      </w:r>
      <w:r w:rsidRPr="00BD40F0">
        <w:rPr>
          <w:rFonts w:ascii="Verdana" w:hAnsi="Verdana"/>
          <w:sz w:val="20"/>
        </w:rPr>
        <w:t xml:space="preserve"> Era um acordo por cinco anos, renovável, no qual se estabelec</w:t>
      </w:r>
      <w:r w:rsidR="00730D9E">
        <w:rPr>
          <w:rFonts w:ascii="Verdana" w:hAnsi="Verdana"/>
          <w:sz w:val="20"/>
        </w:rPr>
        <w:t>iam</w:t>
      </w:r>
      <w:r w:rsidRPr="00BD40F0">
        <w:rPr>
          <w:rFonts w:ascii="Verdana" w:hAnsi="Verdana"/>
          <w:sz w:val="20"/>
        </w:rPr>
        <w:t xml:space="preserve"> os termos da compra e venda da madeira que vende a Comunidade e compra a companhia; os termos nos qu</w:t>
      </w:r>
      <w:r w:rsidR="009E50CD">
        <w:rPr>
          <w:rFonts w:ascii="Verdana" w:hAnsi="Verdana"/>
          <w:sz w:val="20"/>
        </w:rPr>
        <w:t>ais</w:t>
      </w:r>
      <w:r w:rsidRPr="00BD40F0">
        <w:rPr>
          <w:rFonts w:ascii="Verdana" w:hAnsi="Verdana"/>
          <w:sz w:val="20"/>
        </w:rPr>
        <w:t xml:space="preserve"> </w:t>
      </w:r>
      <w:r w:rsidR="00730D9E">
        <w:rPr>
          <w:rFonts w:ascii="Verdana" w:hAnsi="Verdana"/>
          <w:sz w:val="20"/>
        </w:rPr>
        <w:t xml:space="preserve">o </w:t>
      </w:r>
      <w:r w:rsidRPr="00BD40F0">
        <w:rPr>
          <w:rFonts w:ascii="Verdana" w:hAnsi="Verdana"/>
          <w:sz w:val="20"/>
        </w:rPr>
        <w:t xml:space="preserve">MARENA reconhece a propriedade da terra, a </w:t>
      </w:r>
      <w:r w:rsidR="00730D9E">
        <w:rPr>
          <w:rFonts w:ascii="Verdana" w:hAnsi="Verdana"/>
          <w:sz w:val="20"/>
        </w:rPr>
        <w:t>posse</w:t>
      </w:r>
      <w:r w:rsidRPr="00BD40F0">
        <w:rPr>
          <w:rFonts w:ascii="Verdana" w:hAnsi="Verdana"/>
          <w:sz w:val="20"/>
        </w:rPr>
        <w:t xml:space="preserve"> da terra; os termos das atividades de aproveitamento anual, e o sistema de monitoramento que esta operação iria requerer.</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No </w:t>
      </w:r>
      <w:r w:rsidR="003379F9">
        <w:rPr>
          <w:rFonts w:ascii="Verdana" w:hAnsi="Verdana"/>
          <w:sz w:val="20"/>
        </w:rPr>
        <w:t>convênio</w:t>
      </w:r>
      <w:r w:rsidR="00015F5C">
        <w:rPr>
          <w:rFonts w:ascii="Verdana" w:hAnsi="Verdana"/>
          <w:sz w:val="20"/>
        </w:rPr>
        <w:t>,</w:t>
      </w:r>
      <w:r w:rsidRPr="00BD40F0">
        <w:rPr>
          <w:rFonts w:ascii="Verdana" w:hAnsi="Verdana"/>
          <w:sz w:val="20"/>
        </w:rPr>
        <w:t xml:space="preserve"> há várias partes que se referem à </w:t>
      </w:r>
      <w:r w:rsidR="00986868">
        <w:rPr>
          <w:rFonts w:ascii="Verdana" w:hAnsi="Verdana"/>
          <w:sz w:val="20"/>
        </w:rPr>
        <w:t>posse</w:t>
      </w:r>
      <w:r w:rsidRPr="00BD40F0">
        <w:rPr>
          <w:rFonts w:ascii="Verdana" w:hAnsi="Verdana"/>
          <w:sz w:val="20"/>
        </w:rPr>
        <w:t xml:space="preserve"> da terra. Uma delas considera </w:t>
      </w:r>
      <w:r w:rsidR="00986868">
        <w:rPr>
          <w:rFonts w:ascii="Verdana" w:hAnsi="Verdana"/>
          <w:sz w:val="20"/>
        </w:rPr>
        <w:t>a</w:t>
      </w:r>
      <w:r w:rsidRPr="00BD40F0">
        <w:rPr>
          <w:rFonts w:ascii="Verdana" w:hAnsi="Verdana"/>
          <w:sz w:val="20"/>
        </w:rPr>
        <w:t xml:space="preserve"> Comunidade como se fosse “</w:t>
      </w:r>
      <w:r w:rsidR="009E50CD">
        <w:rPr>
          <w:rFonts w:ascii="Verdana" w:hAnsi="Verdana"/>
          <w:sz w:val="20"/>
        </w:rPr>
        <w:t>a</w:t>
      </w:r>
      <w:r w:rsidR="00986868">
        <w:rPr>
          <w:rFonts w:ascii="Verdana" w:hAnsi="Verdana"/>
          <w:sz w:val="20"/>
        </w:rPr>
        <w:t xml:space="preserve"> proprietári</w:t>
      </w:r>
      <w:r w:rsidR="009E50CD">
        <w:rPr>
          <w:rFonts w:ascii="Verdana" w:hAnsi="Verdana"/>
          <w:sz w:val="20"/>
        </w:rPr>
        <w:t>a</w:t>
      </w:r>
      <w:r w:rsidR="00986868">
        <w:rPr>
          <w:rFonts w:ascii="Verdana" w:hAnsi="Verdana"/>
          <w:sz w:val="20"/>
        </w:rPr>
        <w:t xml:space="preserve"> destas terras”. </w:t>
      </w:r>
      <w:r w:rsidR="004E5FAD">
        <w:rPr>
          <w:rFonts w:ascii="Verdana" w:hAnsi="Verdana"/>
          <w:sz w:val="20"/>
        </w:rPr>
        <w:t>Além disso</w:t>
      </w:r>
      <w:r w:rsidRPr="00BD40F0">
        <w:rPr>
          <w:rFonts w:ascii="Verdana" w:hAnsi="Verdana"/>
          <w:sz w:val="20"/>
        </w:rPr>
        <w:t xml:space="preserve">, a Nicarágua comprometia-se </w:t>
      </w:r>
      <w:r w:rsidR="009E50CD">
        <w:rPr>
          <w:rFonts w:ascii="Verdana" w:hAnsi="Verdana"/>
          <w:sz w:val="20"/>
        </w:rPr>
        <w:t>a</w:t>
      </w:r>
      <w:r w:rsidR="009E50CD" w:rsidRPr="00BD40F0">
        <w:rPr>
          <w:rFonts w:ascii="Verdana" w:hAnsi="Verdana"/>
          <w:sz w:val="20"/>
        </w:rPr>
        <w:t xml:space="preserve"> </w:t>
      </w:r>
      <w:r w:rsidRPr="00BD40F0">
        <w:rPr>
          <w:rFonts w:ascii="Verdana" w:hAnsi="Verdana"/>
          <w:sz w:val="20"/>
        </w:rPr>
        <w:t xml:space="preserve">facilitar o processo de titulação e a não menosprezar as aspirações da Comunidade quanto </w:t>
      </w:r>
      <w:r w:rsidR="009E50CD">
        <w:rPr>
          <w:rFonts w:ascii="Verdana" w:hAnsi="Verdana"/>
          <w:sz w:val="20"/>
        </w:rPr>
        <w:t>à</w:t>
      </w:r>
      <w:r w:rsidRPr="00BD40F0">
        <w:rPr>
          <w:rFonts w:ascii="Verdana" w:hAnsi="Verdana"/>
          <w:sz w:val="20"/>
        </w:rPr>
        <w:t xml:space="preserve"> sua pretensão territorial.</w:t>
      </w:r>
      <w:r w:rsidR="00850A3F">
        <w:rPr>
          <w:rFonts w:ascii="Verdana" w:hAnsi="Verdana"/>
          <w:sz w:val="20"/>
        </w:rPr>
        <w:t xml:space="preserve"> </w:t>
      </w:r>
      <w:r w:rsidR="00986868">
        <w:rPr>
          <w:rFonts w:ascii="Verdana" w:hAnsi="Verdana"/>
          <w:sz w:val="20"/>
        </w:rPr>
        <w:t>Embora</w:t>
      </w:r>
      <w:r w:rsidRPr="00BD40F0">
        <w:rPr>
          <w:rFonts w:ascii="Verdana" w:hAnsi="Verdana"/>
          <w:sz w:val="20"/>
        </w:rPr>
        <w:t xml:space="preserve"> no contrato</w:t>
      </w:r>
      <w:r w:rsidR="002C6A59">
        <w:rPr>
          <w:rFonts w:ascii="Verdana" w:hAnsi="Verdana"/>
          <w:sz w:val="20"/>
        </w:rPr>
        <w:t xml:space="preserve"> </w:t>
      </w:r>
      <w:r w:rsidR="00015F5C">
        <w:rPr>
          <w:rFonts w:ascii="Verdana" w:hAnsi="Verdana"/>
          <w:sz w:val="20"/>
        </w:rPr>
        <w:t>fosse</w:t>
      </w:r>
      <w:r w:rsidRPr="00BD40F0">
        <w:rPr>
          <w:rFonts w:ascii="Verdana" w:hAnsi="Verdana"/>
          <w:sz w:val="20"/>
        </w:rPr>
        <w:t xml:space="preserve"> </w:t>
      </w:r>
      <w:proofErr w:type="gramStart"/>
      <w:r w:rsidRPr="00BD40F0">
        <w:rPr>
          <w:rFonts w:ascii="Verdana" w:hAnsi="Verdana"/>
          <w:sz w:val="20"/>
        </w:rPr>
        <w:t>estipulado que o Estado facilitaria o processo de titulação da terra</w:t>
      </w:r>
      <w:proofErr w:type="gramEnd"/>
      <w:r w:rsidRPr="00BD40F0">
        <w:rPr>
          <w:rFonts w:ascii="Verdana" w:hAnsi="Verdana"/>
          <w:sz w:val="20"/>
        </w:rPr>
        <w:t xml:space="preserve">, a testemunha não lembra haver escutado como </w:t>
      </w:r>
      <w:r w:rsidR="004E5FAD">
        <w:rPr>
          <w:rFonts w:ascii="Verdana" w:hAnsi="Verdana"/>
          <w:sz w:val="20"/>
        </w:rPr>
        <w:t>iss</w:t>
      </w:r>
      <w:r w:rsidR="009E50CD">
        <w:rPr>
          <w:rFonts w:ascii="Verdana" w:hAnsi="Verdana"/>
          <w:sz w:val="20"/>
        </w:rPr>
        <w:t xml:space="preserve">o </w:t>
      </w:r>
      <w:r w:rsidRPr="00BD40F0">
        <w:rPr>
          <w:rFonts w:ascii="Verdana" w:hAnsi="Verdana"/>
          <w:sz w:val="20"/>
        </w:rPr>
        <w:t>seria realizado. Lembra u</w:t>
      </w:r>
      <w:r w:rsidR="00986868">
        <w:rPr>
          <w:rFonts w:ascii="Verdana" w:hAnsi="Verdana"/>
          <w:sz w:val="20"/>
        </w:rPr>
        <w:t>m</w:t>
      </w:r>
      <w:r w:rsidRPr="00BD40F0">
        <w:rPr>
          <w:rFonts w:ascii="Verdana" w:hAnsi="Verdana"/>
          <w:sz w:val="20"/>
        </w:rPr>
        <w:t xml:space="preserve">a discussão a esse respeito, em razão de que o processo de titulação que se conhecia até esse momento era o </w:t>
      </w:r>
      <w:r w:rsidR="004E5FAD">
        <w:rPr>
          <w:rFonts w:ascii="Verdana" w:hAnsi="Verdana"/>
          <w:sz w:val="20"/>
        </w:rPr>
        <w:t xml:space="preserve">realizado pelo </w:t>
      </w:r>
      <w:r w:rsidRPr="00BD40F0">
        <w:rPr>
          <w:rFonts w:ascii="Verdana" w:hAnsi="Verdana"/>
          <w:sz w:val="20"/>
        </w:rPr>
        <w:t>então INRA, Instituto Nicaraguense de Reforma Agrária, onde era feit</w:t>
      </w:r>
      <w:r w:rsidR="009E50CD">
        <w:rPr>
          <w:rFonts w:ascii="Verdana" w:hAnsi="Verdana"/>
          <w:sz w:val="20"/>
        </w:rPr>
        <w:t>a</w:t>
      </w:r>
      <w:r w:rsidRPr="00BD40F0">
        <w:rPr>
          <w:rFonts w:ascii="Verdana" w:hAnsi="Verdana"/>
          <w:sz w:val="20"/>
        </w:rPr>
        <w:t xml:space="preserve"> </w:t>
      </w:r>
      <w:r w:rsidR="00986868">
        <w:rPr>
          <w:rFonts w:ascii="Verdana" w:hAnsi="Verdana"/>
          <w:sz w:val="20"/>
        </w:rPr>
        <w:t>uma divisão</w:t>
      </w:r>
      <w:r w:rsidRPr="00BD40F0">
        <w:rPr>
          <w:rFonts w:ascii="Verdana" w:hAnsi="Verdana"/>
          <w:sz w:val="20"/>
        </w:rPr>
        <w:t xml:space="preserve"> agrári</w:t>
      </w:r>
      <w:r w:rsidR="00986868">
        <w:rPr>
          <w:rFonts w:ascii="Verdana" w:hAnsi="Verdana"/>
          <w:sz w:val="20"/>
        </w:rPr>
        <w:t>a</w:t>
      </w:r>
      <w:r w:rsidRPr="00BD40F0">
        <w:rPr>
          <w:rFonts w:ascii="Verdana" w:hAnsi="Verdana"/>
          <w:sz w:val="20"/>
        </w:rPr>
        <w:t xml:space="preserve"> com base em</w:t>
      </w:r>
      <w:r w:rsidR="00986868">
        <w:rPr>
          <w:rFonts w:ascii="Verdana" w:hAnsi="Verdana"/>
          <w:sz w:val="20"/>
        </w:rPr>
        <w:t xml:space="preserve"> </w:t>
      </w:r>
      <w:r w:rsidR="004E5FAD">
        <w:rPr>
          <w:rFonts w:ascii="Verdana" w:hAnsi="Verdana"/>
          <w:sz w:val="20"/>
        </w:rPr>
        <w:t>50</w:t>
      </w:r>
      <w:r w:rsidR="00986868">
        <w:rPr>
          <w:rFonts w:ascii="Verdana" w:hAnsi="Verdana"/>
          <w:sz w:val="20"/>
        </w:rPr>
        <w:t xml:space="preserve"> quadras por família</w:t>
      </w:r>
      <w:r w:rsidR="009E50CD">
        <w:rPr>
          <w:rFonts w:ascii="Verdana" w:hAnsi="Verdana"/>
          <w:sz w:val="20"/>
        </w:rPr>
        <w:t>.</w:t>
      </w:r>
      <w:r w:rsidRPr="00BD40F0">
        <w:rPr>
          <w:rFonts w:ascii="Verdana" w:hAnsi="Verdana"/>
          <w:sz w:val="20"/>
        </w:rPr>
        <w:t xml:space="preserve"> Entretanto, o Serviço Florestal Nacional era muito </w:t>
      </w:r>
      <w:r w:rsidR="00986868">
        <w:rPr>
          <w:rFonts w:ascii="Verdana" w:hAnsi="Verdana"/>
          <w:sz w:val="20"/>
        </w:rPr>
        <w:t>enfático</w:t>
      </w:r>
      <w:r w:rsidRPr="00BD40F0">
        <w:rPr>
          <w:rFonts w:ascii="Verdana" w:hAnsi="Verdana"/>
          <w:sz w:val="20"/>
        </w:rPr>
        <w:t xml:space="preserve"> em considerar esse processo inadequado para este caso, alegando que se estava tratando de fomentar um uso florestal do solo, enquanto o processo do INRA </w:t>
      </w:r>
      <w:r w:rsidR="00986868">
        <w:rPr>
          <w:rFonts w:ascii="Verdana" w:hAnsi="Verdana"/>
          <w:sz w:val="20"/>
        </w:rPr>
        <w:t xml:space="preserve">fomentava um uso agrícola. </w:t>
      </w:r>
      <w:r w:rsidR="009E50CD">
        <w:rPr>
          <w:rFonts w:ascii="Verdana" w:hAnsi="Verdana"/>
          <w:sz w:val="20"/>
        </w:rPr>
        <w:t xml:space="preserve">Temiam </w:t>
      </w:r>
      <w:r w:rsidRPr="00BD40F0">
        <w:rPr>
          <w:rFonts w:ascii="Verdana" w:hAnsi="Verdana"/>
          <w:sz w:val="20"/>
        </w:rPr>
        <w:t xml:space="preserve">que se desatasse uma onda de </w:t>
      </w:r>
      <w:r w:rsidR="00986868">
        <w:rPr>
          <w:rFonts w:ascii="Verdana" w:hAnsi="Verdana"/>
          <w:sz w:val="20"/>
        </w:rPr>
        <w:t>desflorestamento</w:t>
      </w:r>
      <w:r w:rsidRPr="00BD40F0">
        <w:rPr>
          <w:rFonts w:ascii="Verdana" w:hAnsi="Verdana"/>
          <w:sz w:val="20"/>
        </w:rPr>
        <w:t xml:space="preserve"> utilizando o modelo de </w:t>
      </w:r>
      <w:r w:rsidR="00986868">
        <w:rPr>
          <w:rFonts w:ascii="Verdana" w:hAnsi="Verdana"/>
          <w:sz w:val="20"/>
        </w:rPr>
        <w:t>divisão</w:t>
      </w:r>
      <w:r w:rsidRPr="00BD40F0">
        <w:rPr>
          <w:rFonts w:ascii="Verdana" w:hAnsi="Verdana"/>
          <w:sz w:val="20"/>
        </w:rPr>
        <w:t xml:space="preserve"> </w:t>
      </w:r>
      <w:r w:rsidR="00986868">
        <w:rPr>
          <w:rFonts w:ascii="Verdana" w:hAnsi="Verdana"/>
          <w:sz w:val="20"/>
        </w:rPr>
        <w:t xml:space="preserve">agrário-agrícola. </w:t>
      </w:r>
      <w:r w:rsidRPr="00BD40F0">
        <w:rPr>
          <w:rFonts w:ascii="Verdana" w:hAnsi="Verdana"/>
          <w:sz w:val="20"/>
        </w:rPr>
        <w:t>Não lembra que o MARENA tenha estabelecido um rumo a respeito de como a Comunidade devia solicitar a titulação da terra, já que eles também tinham confusão quanto a qual deveria ser o processo.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A partir do ano de 1994, seu contato com o projeto foi menor e não teve conhecimento direto do que estava </w:t>
      </w:r>
      <w:r w:rsidR="00986868">
        <w:rPr>
          <w:rFonts w:ascii="Verdana" w:hAnsi="Verdana"/>
          <w:sz w:val="20"/>
        </w:rPr>
        <w:t>a</w:t>
      </w:r>
      <w:r w:rsidRPr="00BD40F0">
        <w:rPr>
          <w:rFonts w:ascii="Verdana" w:hAnsi="Verdana"/>
          <w:sz w:val="20"/>
        </w:rPr>
        <w:t>contecendo.</w:t>
      </w:r>
      <w:r w:rsidR="00850A3F">
        <w:rPr>
          <w:rFonts w:ascii="Verdana" w:hAnsi="Verdana"/>
          <w:sz w:val="20"/>
        </w:rPr>
        <w:t xml:space="preserve"> </w:t>
      </w:r>
      <w:r w:rsidRPr="00BD40F0">
        <w:rPr>
          <w:rFonts w:ascii="Verdana" w:hAnsi="Verdana"/>
          <w:sz w:val="20"/>
        </w:rPr>
        <w:t xml:space="preserve">Soube dos planos do Estado de </w:t>
      </w:r>
      <w:r w:rsidR="002A016A">
        <w:rPr>
          <w:rFonts w:ascii="Verdana" w:hAnsi="Verdana"/>
          <w:sz w:val="20"/>
        </w:rPr>
        <w:t xml:space="preserve">outorgar uma concessão </w:t>
      </w:r>
      <w:r w:rsidRPr="00BD40F0">
        <w:rPr>
          <w:rFonts w:ascii="Verdana" w:hAnsi="Verdana"/>
          <w:sz w:val="20"/>
        </w:rPr>
        <w:t xml:space="preserve">à companhia SOLCARSA através de uma carta que a Comunidade enviou </w:t>
      </w:r>
      <w:r w:rsidR="005B396C">
        <w:rPr>
          <w:rFonts w:ascii="Verdana" w:hAnsi="Verdana"/>
          <w:sz w:val="20"/>
        </w:rPr>
        <w:t>por intermédio</w:t>
      </w:r>
      <w:r w:rsidR="005B396C" w:rsidRPr="00BD40F0">
        <w:rPr>
          <w:rFonts w:ascii="Verdana" w:hAnsi="Verdana"/>
          <w:sz w:val="20"/>
        </w:rPr>
        <w:t xml:space="preserve"> </w:t>
      </w:r>
      <w:r w:rsidRPr="00BD40F0">
        <w:rPr>
          <w:rFonts w:ascii="Verdana" w:hAnsi="Verdana"/>
          <w:sz w:val="20"/>
        </w:rPr>
        <w:t>de seus representant</w:t>
      </w:r>
      <w:r w:rsidR="00986868">
        <w:rPr>
          <w:rFonts w:ascii="Verdana" w:hAnsi="Verdana"/>
          <w:sz w:val="20"/>
        </w:rPr>
        <w:t xml:space="preserve">es ao Ministro Milton </w:t>
      </w:r>
      <w:r w:rsidR="00986868">
        <w:rPr>
          <w:rFonts w:ascii="Verdana" w:hAnsi="Verdana"/>
          <w:sz w:val="20"/>
        </w:rPr>
        <w:lastRenderedPageBreak/>
        <w:t xml:space="preserve">Caldera. </w:t>
      </w:r>
      <w:r w:rsidRPr="00BD40F0">
        <w:rPr>
          <w:rFonts w:ascii="Verdana" w:hAnsi="Verdana"/>
          <w:sz w:val="20"/>
        </w:rPr>
        <w:t xml:space="preserve">Teve uma conversa com o então Ministro Caldera relacionada com a concessão </w:t>
      </w:r>
      <w:r w:rsidR="00986868">
        <w:rPr>
          <w:rFonts w:ascii="Verdana" w:hAnsi="Verdana"/>
          <w:sz w:val="20"/>
        </w:rPr>
        <w:t>à</w:t>
      </w:r>
      <w:r w:rsidRPr="00BD40F0">
        <w:rPr>
          <w:rFonts w:ascii="Verdana" w:hAnsi="Verdana"/>
          <w:sz w:val="20"/>
        </w:rPr>
        <w:t xml:space="preserve"> SOLCARSA.</w:t>
      </w:r>
      <w:r w:rsidR="00850A3F">
        <w:rPr>
          <w:rFonts w:ascii="Verdana" w:hAnsi="Verdana"/>
          <w:sz w:val="20"/>
        </w:rPr>
        <w:t xml:space="preserve"> </w:t>
      </w:r>
      <w:r w:rsidRPr="00BD40F0">
        <w:rPr>
          <w:rFonts w:ascii="Verdana" w:hAnsi="Verdana"/>
          <w:sz w:val="20"/>
        </w:rPr>
        <w:t>O funcionário</w:t>
      </w:r>
      <w:r w:rsidR="00986868">
        <w:rPr>
          <w:rFonts w:ascii="Verdana" w:hAnsi="Verdana"/>
          <w:sz w:val="20"/>
        </w:rPr>
        <w:t xml:space="preserve"> nomeado</w:t>
      </w:r>
      <w:r w:rsidRPr="00BD40F0">
        <w:rPr>
          <w:rFonts w:ascii="Verdana" w:hAnsi="Verdana"/>
          <w:sz w:val="20"/>
        </w:rPr>
        <w:t xml:space="preserve"> tinha conhecimento </w:t>
      </w:r>
      <w:r w:rsidR="00986868">
        <w:rPr>
          <w:rFonts w:ascii="Verdana" w:hAnsi="Verdana"/>
          <w:sz w:val="20"/>
        </w:rPr>
        <w:t xml:space="preserve">de </w:t>
      </w:r>
      <w:r w:rsidRPr="00BD40F0">
        <w:rPr>
          <w:rFonts w:ascii="Verdana" w:hAnsi="Verdana"/>
          <w:sz w:val="20"/>
        </w:rPr>
        <w:t xml:space="preserve">que a terra reclamada pela Comunidade incluía a maior parte da área da concessão e que </w:t>
      </w:r>
      <w:r w:rsidR="009E50CD">
        <w:rPr>
          <w:rFonts w:ascii="Verdana" w:hAnsi="Verdana"/>
          <w:sz w:val="20"/>
        </w:rPr>
        <w:t xml:space="preserve">a </w:t>
      </w:r>
      <w:r w:rsidRPr="00BD40F0">
        <w:rPr>
          <w:rFonts w:ascii="Verdana" w:hAnsi="Verdana"/>
          <w:sz w:val="20"/>
        </w:rPr>
        <w:t>referida Comunidade</w:t>
      </w:r>
      <w:r w:rsidR="005B396C">
        <w:rPr>
          <w:rFonts w:ascii="Verdana" w:hAnsi="Verdana"/>
          <w:sz w:val="20"/>
        </w:rPr>
        <w:t>, por sua vez,</w:t>
      </w:r>
      <w:r w:rsidRPr="00BD40F0">
        <w:rPr>
          <w:rFonts w:ascii="Verdana" w:hAnsi="Verdana"/>
          <w:sz w:val="20"/>
        </w:rPr>
        <w:t xml:space="preserve"> </w:t>
      </w:r>
      <w:r w:rsidR="002676B5">
        <w:rPr>
          <w:rFonts w:ascii="Verdana" w:hAnsi="Verdana"/>
          <w:sz w:val="20"/>
        </w:rPr>
        <w:t xml:space="preserve">se opunha a esta concessão. </w:t>
      </w:r>
      <w:r w:rsidRPr="00BD40F0">
        <w:rPr>
          <w:rFonts w:ascii="Verdana" w:hAnsi="Verdana"/>
          <w:sz w:val="20"/>
        </w:rPr>
        <w:t xml:space="preserve">A reação do Ministro foi </w:t>
      </w:r>
      <w:r w:rsidR="002676B5">
        <w:rPr>
          <w:rFonts w:ascii="Verdana" w:hAnsi="Verdana"/>
          <w:sz w:val="20"/>
        </w:rPr>
        <w:t xml:space="preserve">de </w:t>
      </w:r>
      <w:r w:rsidRPr="00BD40F0">
        <w:rPr>
          <w:rFonts w:ascii="Verdana" w:hAnsi="Verdana"/>
          <w:sz w:val="20"/>
        </w:rPr>
        <w:t xml:space="preserve">que o </w:t>
      </w:r>
      <w:r w:rsidR="002676B5">
        <w:rPr>
          <w:rFonts w:ascii="Verdana" w:hAnsi="Verdana"/>
          <w:sz w:val="20"/>
        </w:rPr>
        <w:t>convênio</w:t>
      </w:r>
      <w:r w:rsidRPr="00BD40F0">
        <w:rPr>
          <w:rFonts w:ascii="Verdana" w:hAnsi="Verdana"/>
          <w:sz w:val="20"/>
        </w:rPr>
        <w:t xml:space="preserve"> que </w:t>
      </w:r>
      <w:r w:rsidR="00075BDD" w:rsidRPr="00BD40F0">
        <w:rPr>
          <w:rFonts w:ascii="Verdana" w:hAnsi="Verdana"/>
          <w:sz w:val="20"/>
        </w:rPr>
        <w:t xml:space="preserve">o MARENA </w:t>
      </w:r>
      <w:r w:rsidRPr="00BD40F0">
        <w:rPr>
          <w:rFonts w:ascii="Verdana" w:hAnsi="Verdana"/>
          <w:sz w:val="20"/>
        </w:rPr>
        <w:t xml:space="preserve">havia assinado com a Comunidade e com </w:t>
      </w:r>
      <w:r w:rsidR="002676B5">
        <w:rPr>
          <w:rFonts w:ascii="Verdana" w:hAnsi="Verdana"/>
          <w:sz w:val="20"/>
        </w:rPr>
        <w:t xml:space="preserve">a </w:t>
      </w:r>
      <w:r w:rsidRPr="00BD40F0">
        <w:rPr>
          <w:rFonts w:ascii="Verdana" w:hAnsi="Verdana"/>
          <w:sz w:val="20"/>
        </w:rPr>
        <w:t xml:space="preserve">MADENSA era um </w:t>
      </w:r>
      <w:r w:rsidR="002676B5">
        <w:rPr>
          <w:rFonts w:ascii="Verdana" w:hAnsi="Verdana"/>
          <w:sz w:val="20"/>
        </w:rPr>
        <w:t>convênio</w:t>
      </w:r>
      <w:r w:rsidRPr="00BD40F0">
        <w:rPr>
          <w:rFonts w:ascii="Verdana" w:hAnsi="Verdana"/>
          <w:sz w:val="20"/>
        </w:rPr>
        <w:t xml:space="preserve"> com o qu</w:t>
      </w:r>
      <w:r w:rsidR="009E50CD">
        <w:rPr>
          <w:rFonts w:ascii="Verdana" w:hAnsi="Verdana"/>
          <w:sz w:val="20"/>
        </w:rPr>
        <w:t>al</w:t>
      </w:r>
      <w:r w:rsidRPr="00BD40F0">
        <w:rPr>
          <w:rFonts w:ascii="Verdana" w:hAnsi="Verdana"/>
          <w:sz w:val="20"/>
        </w:rPr>
        <w:t xml:space="preserve"> não estava de acordo e, quanto às pretensões da Comunidade, disse “s</w:t>
      </w:r>
      <w:r w:rsidR="009E50CD">
        <w:rPr>
          <w:rFonts w:ascii="Verdana" w:hAnsi="Verdana"/>
          <w:sz w:val="20"/>
        </w:rPr>
        <w:t>erem</w:t>
      </w:r>
      <w:r w:rsidRPr="00BD40F0">
        <w:rPr>
          <w:rFonts w:ascii="Verdana" w:hAnsi="Verdana"/>
          <w:sz w:val="20"/>
        </w:rPr>
        <w:t xml:space="preserve"> demasiadas”.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O Estado teve duas políticas ao </w:t>
      </w:r>
      <w:r w:rsidR="009E50CD">
        <w:rPr>
          <w:rFonts w:ascii="Verdana" w:hAnsi="Verdana"/>
          <w:sz w:val="20"/>
        </w:rPr>
        <w:t xml:space="preserve">outorgar </w:t>
      </w:r>
      <w:r w:rsidRPr="00BD40F0">
        <w:rPr>
          <w:rFonts w:ascii="Verdana" w:hAnsi="Verdana"/>
          <w:sz w:val="20"/>
        </w:rPr>
        <w:t xml:space="preserve">primeiro </w:t>
      </w:r>
      <w:proofErr w:type="gramStart"/>
      <w:r w:rsidRPr="00BD40F0">
        <w:rPr>
          <w:rFonts w:ascii="Verdana" w:hAnsi="Verdana"/>
          <w:sz w:val="20"/>
        </w:rPr>
        <w:t>a</w:t>
      </w:r>
      <w:proofErr w:type="gramEnd"/>
      <w:r w:rsidRPr="00BD40F0">
        <w:rPr>
          <w:rFonts w:ascii="Verdana" w:hAnsi="Verdana"/>
          <w:sz w:val="20"/>
        </w:rPr>
        <w:t xml:space="preserve"> concessão para </w:t>
      </w:r>
      <w:r w:rsidR="003379F9">
        <w:rPr>
          <w:rFonts w:ascii="Verdana" w:hAnsi="Verdana"/>
          <w:sz w:val="20"/>
        </w:rPr>
        <w:t>a</w:t>
      </w:r>
      <w:r w:rsidR="00BC7F25">
        <w:rPr>
          <w:rFonts w:ascii="Verdana" w:hAnsi="Verdana"/>
          <w:sz w:val="20"/>
        </w:rPr>
        <w:t xml:space="preserve"> </w:t>
      </w:r>
      <w:r w:rsidRPr="00BD40F0">
        <w:rPr>
          <w:rFonts w:ascii="Verdana" w:hAnsi="Verdana"/>
          <w:sz w:val="20"/>
        </w:rPr>
        <w:t xml:space="preserve">MADENSA e posteriormente para </w:t>
      </w:r>
      <w:r w:rsidR="00BC7F25">
        <w:rPr>
          <w:rFonts w:ascii="Verdana" w:hAnsi="Verdana"/>
          <w:sz w:val="20"/>
        </w:rPr>
        <w:t xml:space="preserve">a </w:t>
      </w:r>
      <w:r w:rsidRPr="00BD40F0">
        <w:rPr>
          <w:rFonts w:ascii="Verdana" w:hAnsi="Verdana"/>
          <w:sz w:val="20"/>
        </w:rPr>
        <w:t xml:space="preserve">SOLCARSA. Uma consistia em um reconhecimento dos direitos adquiridos das comunidades e que devem ser </w:t>
      </w:r>
      <w:r w:rsidR="00BC7F25">
        <w:rPr>
          <w:rFonts w:ascii="Verdana" w:hAnsi="Verdana"/>
          <w:sz w:val="20"/>
        </w:rPr>
        <w:t>levados</w:t>
      </w:r>
      <w:r w:rsidRPr="00BD40F0">
        <w:rPr>
          <w:rFonts w:ascii="Verdana" w:hAnsi="Verdana"/>
          <w:sz w:val="20"/>
        </w:rPr>
        <w:t xml:space="preserve"> em consideração </w:t>
      </w:r>
      <w:r w:rsidR="00BC7F25">
        <w:rPr>
          <w:rFonts w:ascii="Verdana" w:hAnsi="Verdana"/>
          <w:sz w:val="20"/>
        </w:rPr>
        <w:t>na</w:t>
      </w:r>
      <w:r w:rsidRPr="00BD40F0">
        <w:rPr>
          <w:rFonts w:ascii="Verdana" w:hAnsi="Verdana"/>
          <w:sz w:val="20"/>
        </w:rPr>
        <w:t xml:space="preserve"> hora desses contratos de aproveitamento de manejo florestal; a outra considera que</w:t>
      </w:r>
      <w:r w:rsidR="00D013C3">
        <w:rPr>
          <w:rFonts w:ascii="Verdana" w:hAnsi="Verdana"/>
          <w:sz w:val="20"/>
        </w:rPr>
        <w:t>,</w:t>
      </w:r>
      <w:r w:rsidRPr="00BD40F0">
        <w:rPr>
          <w:rFonts w:ascii="Verdana" w:hAnsi="Verdana"/>
          <w:sz w:val="20"/>
        </w:rPr>
        <w:t xml:space="preserve"> enquanto não exista título de propriedade</w:t>
      </w:r>
      <w:r w:rsidR="00D013C3">
        <w:rPr>
          <w:rFonts w:ascii="Verdana" w:hAnsi="Verdana"/>
          <w:sz w:val="20"/>
        </w:rPr>
        <w:t>,</w:t>
      </w:r>
      <w:r w:rsidRPr="00BD40F0">
        <w:rPr>
          <w:rFonts w:ascii="Verdana" w:hAnsi="Verdana"/>
          <w:sz w:val="20"/>
        </w:rPr>
        <w:t xml:space="preserve"> não há bases para pensar que há direitos adquiridos por parte das comunidades e, </w:t>
      </w:r>
      <w:r w:rsidR="009E50CD">
        <w:rPr>
          <w:rFonts w:ascii="Verdana" w:hAnsi="Verdana"/>
          <w:sz w:val="20"/>
        </w:rPr>
        <w:t>portanto,</w:t>
      </w:r>
      <w:r w:rsidR="009E50CD" w:rsidRPr="00BD40F0">
        <w:rPr>
          <w:rFonts w:ascii="Verdana" w:hAnsi="Verdana"/>
          <w:sz w:val="20"/>
        </w:rPr>
        <w:t xml:space="preserve"> </w:t>
      </w:r>
      <w:r w:rsidRPr="00BD40F0">
        <w:rPr>
          <w:rFonts w:ascii="Verdana" w:hAnsi="Verdana"/>
          <w:sz w:val="20"/>
        </w:rPr>
        <w:t xml:space="preserve">podem </w:t>
      </w:r>
      <w:r w:rsidR="009E50CD">
        <w:rPr>
          <w:rFonts w:ascii="Verdana" w:hAnsi="Verdana"/>
          <w:sz w:val="20"/>
        </w:rPr>
        <w:t xml:space="preserve">ser outorgadas </w:t>
      </w:r>
      <w:r w:rsidRPr="00BD40F0">
        <w:rPr>
          <w:rFonts w:ascii="Verdana" w:hAnsi="Verdana"/>
          <w:sz w:val="20"/>
        </w:rPr>
        <w:t>concessões a terceiros sobre terras públicas.</w:t>
      </w:r>
      <w:r w:rsidR="002C6A59">
        <w:rPr>
          <w:rFonts w:ascii="Verdana" w:hAnsi="Verdana"/>
          <w:sz w:val="20"/>
        </w:rPr>
        <w:t xml:space="preserve"> </w:t>
      </w:r>
    </w:p>
    <w:p w:rsidR="000B3F97" w:rsidRPr="00BD40F0" w:rsidRDefault="000B3F97" w:rsidP="000B3F97">
      <w:pPr>
        <w:jc w:val="both"/>
        <w:rPr>
          <w:rFonts w:ascii="Verdana" w:hAnsi="Verdana"/>
          <w:b/>
          <w:sz w:val="20"/>
        </w:rPr>
      </w:pPr>
    </w:p>
    <w:p w:rsidR="000B3F97" w:rsidRPr="00BD40F0" w:rsidRDefault="000B3F97" w:rsidP="000B3F97">
      <w:pPr>
        <w:ind w:left="720"/>
        <w:jc w:val="both"/>
        <w:rPr>
          <w:rFonts w:ascii="Verdana" w:hAnsi="Verdana"/>
          <w:b/>
          <w:sz w:val="20"/>
        </w:rPr>
      </w:pPr>
      <w:proofErr w:type="gramStart"/>
      <w:r w:rsidRPr="00BD40F0">
        <w:rPr>
          <w:rFonts w:ascii="Verdana" w:hAnsi="Verdana"/>
          <w:b/>
          <w:sz w:val="20"/>
        </w:rPr>
        <w:t>f.</w:t>
      </w:r>
      <w:proofErr w:type="gramEnd"/>
      <w:r w:rsidRPr="00BD40F0">
        <w:rPr>
          <w:rFonts w:ascii="Verdana" w:hAnsi="Verdana"/>
          <w:b/>
          <w:sz w:val="20"/>
        </w:rPr>
        <w:tab/>
        <w:t xml:space="preserve">Testemunho de Galio Claudio Enrique Gurdián Gurdián, licenciado em filosofia, especializado em antropologia social e estudos do desenvolvimento, especialmente nas relações entre Estados e povos indígenas </w:t>
      </w:r>
    </w:p>
    <w:p w:rsidR="000B3F97" w:rsidRPr="00BD40F0" w:rsidRDefault="000B3F97" w:rsidP="000B3F97">
      <w:pPr>
        <w:ind w:left="720"/>
        <w:jc w:val="both"/>
        <w:rPr>
          <w:rFonts w:ascii="Verdana" w:hAnsi="Verdana"/>
          <w:b/>
          <w:sz w:val="20"/>
        </w:rPr>
      </w:pPr>
    </w:p>
    <w:p w:rsidR="000B3F97" w:rsidRPr="00BD40F0" w:rsidRDefault="000B3F97" w:rsidP="000B3F97">
      <w:pPr>
        <w:jc w:val="both"/>
        <w:rPr>
          <w:rFonts w:ascii="Verdana" w:hAnsi="Verdana"/>
          <w:sz w:val="20"/>
        </w:rPr>
      </w:pPr>
      <w:r w:rsidRPr="00BD40F0">
        <w:rPr>
          <w:rFonts w:ascii="Verdana" w:hAnsi="Verdana"/>
          <w:sz w:val="20"/>
        </w:rPr>
        <w:t>Viveu na Região Atlântica Norte da Nicarágua entre 1979 e 1990, entre 1996 e 1998, e de forma esporádica durante 1999 e 2000.</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Foi um dos três </w:t>
      </w:r>
      <w:r w:rsidR="009E50CD">
        <w:rPr>
          <w:rFonts w:ascii="Verdana" w:hAnsi="Verdana"/>
          <w:sz w:val="20"/>
        </w:rPr>
        <w:t>pesquisadores</w:t>
      </w:r>
      <w:r w:rsidR="009E50CD" w:rsidRPr="00BD40F0">
        <w:rPr>
          <w:rFonts w:ascii="Verdana" w:hAnsi="Verdana"/>
          <w:sz w:val="20"/>
        </w:rPr>
        <w:t xml:space="preserve"> </w:t>
      </w:r>
      <w:r w:rsidRPr="00BD40F0">
        <w:rPr>
          <w:rFonts w:ascii="Verdana" w:hAnsi="Verdana"/>
          <w:sz w:val="20"/>
        </w:rPr>
        <w:t xml:space="preserve">principais e coordenador geral do Diagnóstico geral sobre a </w:t>
      </w:r>
      <w:r w:rsidR="00BC7F25">
        <w:rPr>
          <w:rFonts w:ascii="Verdana" w:hAnsi="Verdana"/>
          <w:sz w:val="20"/>
        </w:rPr>
        <w:t>posse</w:t>
      </w:r>
      <w:r w:rsidRPr="00BD40F0">
        <w:rPr>
          <w:rFonts w:ascii="Verdana" w:hAnsi="Verdana"/>
          <w:sz w:val="20"/>
        </w:rPr>
        <w:t xml:space="preserve"> da terra nas comunidades indígenas da Costa Atlântica, diagnóstico realizado pelo </w:t>
      </w:r>
      <w:r w:rsidRPr="00BD40F0">
        <w:rPr>
          <w:rFonts w:ascii="Verdana" w:hAnsi="Verdana"/>
          <w:i/>
          <w:sz w:val="20"/>
        </w:rPr>
        <w:t>Central American and Caribbean Research Council</w:t>
      </w:r>
      <w:r w:rsidR="00BC7F25">
        <w:rPr>
          <w:rFonts w:ascii="Verdana" w:hAnsi="Verdana"/>
          <w:sz w:val="20"/>
        </w:rPr>
        <w:t xml:space="preserve">. </w:t>
      </w:r>
      <w:r w:rsidRPr="00BD40F0">
        <w:rPr>
          <w:rFonts w:ascii="Verdana" w:hAnsi="Verdana"/>
          <w:sz w:val="20"/>
        </w:rPr>
        <w:t>O diagnóstico tinh</w:t>
      </w:r>
      <w:r w:rsidR="00BC7F25">
        <w:rPr>
          <w:rFonts w:ascii="Verdana" w:hAnsi="Verdana"/>
          <w:sz w:val="20"/>
        </w:rPr>
        <w:t xml:space="preserve">a dois objetivos fundamentais. </w:t>
      </w:r>
      <w:r w:rsidRPr="00BD40F0">
        <w:rPr>
          <w:rFonts w:ascii="Verdana" w:hAnsi="Verdana"/>
          <w:sz w:val="20"/>
        </w:rPr>
        <w:t xml:space="preserve">A parte formal tratava de projetar cartograficamente o que as comunidades ou uma parte das comunidades da Costa do Caribe da Nicarágua consideravam como suas terras </w:t>
      </w:r>
      <w:r w:rsidR="00D95205">
        <w:rPr>
          <w:rFonts w:ascii="Verdana" w:hAnsi="Verdana"/>
          <w:sz w:val="20"/>
        </w:rPr>
        <w:t>comunitárias</w:t>
      </w:r>
      <w:r w:rsidR="00D95205" w:rsidRPr="00BD40F0">
        <w:rPr>
          <w:rFonts w:ascii="Verdana" w:hAnsi="Verdana"/>
          <w:sz w:val="20"/>
        </w:rPr>
        <w:t xml:space="preserve"> </w:t>
      </w:r>
      <w:r w:rsidRPr="00BD40F0">
        <w:rPr>
          <w:rFonts w:ascii="Verdana" w:hAnsi="Verdana"/>
          <w:sz w:val="20"/>
        </w:rPr>
        <w:t>e seus usos.</w:t>
      </w:r>
      <w:r w:rsidR="00850A3F">
        <w:rPr>
          <w:rFonts w:ascii="Verdana" w:hAnsi="Verdana"/>
          <w:sz w:val="20"/>
        </w:rPr>
        <w:t xml:space="preserve"> </w:t>
      </w:r>
      <w:r w:rsidRPr="00BD40F0">
        <w:rPr>
          <w:rFonts w:ascii="Verdana" w:hAnsi="Verdana"/>
          <w:sz w:val="20"/>
        </w:rPr>
        <w:t>O propósito implícito era a modernização do cadastro.</w:t>
      </w:r>
      <w:r w:rsidR="00BC7F25">
        <w:rPr>
          <w:rFonts w:ascii="Verdana" w:hAnsi="Verdana"/>
          <w:sz w:val="20"/>
        </w:rPr>
        <w:t xml:space="preserve"> </w:t>
      </w:r>
      <w:r w:rsidRPr="00BD40F0">
        <w:rPr>
          <w:rFonts w:ascii="Verdana" w:hAnsi="Verdana"/>
          <w:sz w:val="20"/>
        </w:rPr>
        <w:t>Também</w:t>
      </w:r>
      <w:r w:rsidR="00D95205">
        <w:rPr>
          <w:rFonts w:ascii="Verdana" w:hAnsi="Verdana"/>
          <w:sz w:val="20"/>
        </w:rPr>
        <w:t>,</w:t>
      </w:r>
      <w:r w:rsidRPr="00BD40F0">
        <w:rPr>
          <w:rFonts w:ascii="Verdana" w:hAnsi="Verdana"/>
          <w:sz w:val="20"/>
        </w:rPr>
        <w:t xml:space="preserve"> ao delimitar os territórios das comunidades indígenas</w:t>
      </w:r>
      <w:r w:rsidR="00D95205">
        <w:rPr>
          <w:rFonts w:ascii="Verdana" w:hAnsi="Verdana"/>
          <w:sz w:val="20"/>
        </w:rPr>
        <w:t>,</w:t>
      </w:r>
      <w:r w:rsidRPr="00BD40F0">
        <w:rPr>
          <w:rFonts w:ascii="Verdana" w:hAnsi="Verdana"/>
          <w:sz w:val="20"/>
        </w:rPr>
        <w:t xml:space="preserve"> </w:t>
      </w:r>
      <w:r w:rsidR="00BC7F25">
        <w:rPr>
          <w:rFonts w:ascii="Verdana" w:hAnsi="Verdana"/>
          <w:sz w:val="20"/>
        </w:rPr>
        <w:t>procurava-se</w:t>
      </w:r>
      <w:r w:rsidRPr="00BD40F0">
        <w:rPr>
          <w:rFonts w:ascii="Verdana" w:hAnsi="Verdana"/>
          <w:sz w:val="20"/>
        </w:rPr>
        <w:t xml:space="preserve"> deixar mais claro, quais eram as terras nacionais sobre as qu</w:t>
      </w:r>
      <w:r w:rsidR="009E50CD">
        <w:rPr>
          <w:rFonts w:ascii="Verdana" w:hAnsi="Verdana"/>
          <w:sz w:val="20"/>
        </w:rPr>
        <w:t>ais</w:t>
      </w:r>
      <w:r w:rsidRPr="00BD40F0">
        <w:rPr>
          <w:rFonts w:ascii="Verdana" w:hAnsi="Verdana"/>
          <w:sz w:val="20"/>
        </w:rPr>
        <w:t xml:space="preserve"> o Estado podia </w:t>
      </w:r>
      <w:r w:rsidR="009E50CD">
        <w:rPr>
          <w:rFonts w:ascii="Verdana" w:hAnsi="Verdana"/>
          <w:sz w:val="20"/>
        </w:rPr>
        <w:t>dispor</w:t>
      </w:r>
      <w:r w:rsidRPr="00BD40F0">
        <w:rPr>
          <w:rFonts w:ascii="Verdana" w:hAnsi="Verdana"/>
          <w:sz w:val="20"/>
        </w:rPr>
        <w:t>. O diagnóstico foi realizado em desenvolvimento de um acordo entre a Nicarágua e o Banco Mundial.</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 dia</w:t>
      </w:r>
      <w:r w:rsidR="00BC7F25">
        <w:rPr>
          <w:rFonts w:ascii="Verdana" w:hAnsi="Verdana"/>
          <w:sz w:val="20"/>
        </w:rPr>
        <w:t>gnóstico tinha cinco capítulos.</w:t>
      </w:r>
      <w:r w:rsidRPr="00BD40F0">
        <w:rPr>
          <w:rFonts w:ascii="Verdana" w:hAnsi="Verdana"/>
          <w:sz w:val="20"/>
        </w:rPr>
        <w:t xml:space="preserve"> No primeiro capítulo, denominado Princípios Gerais, o que se recomendava era que, pela história que teve o Estado nicaraguense em relação</w:t>
      </w:r>
      <w:r w:rsidR="002C6A59">
        <w:rPr>
          <w:rFonts w:ascii="Verdana" w:hAnsi="Verdana"/>
          <w:sz w:val="20"/>
        </w:rPr>
        <w:t xml:space="preserve"> </w:t>
      </w:r>
      <w:r w:rsidR="00D95205">
        <w:rPr>
          <w:rFonts w:ascii="Verdana" w:hAnsi="Verdana"/>
          <w:sz w:val="20"/>
        </w:rPr>
        <w:t>às</w:t>
      </w:r>
      <w:r w:rsidR="00850A3F">
        <w:rPr>
          <w:rFonts w:ascii="Verdana" w:hAnsi="Verdana"/>
          <w:sz w:val="20"/>
        </w:rPr>
        <w:t xml:space="preserve"> </w:t>
      </w:r>
      <w:r w:rsidRPr="00BD40F0">
        <w:rPr>
          <w:rFonts w:ascii="Verdana" w:hAnsi="Verdana"/>
          <w:sz w:val="20"/>
        </w:rPr>
        <w:t xml:space="preserve">comunidades indígenas, </w:t>
      </w:r>
      <w:r w:rsidR="009E50CD">
        <w:rPr>
          <w:rFonts w:ascii="Verdana" w:hAnsi="Verdana"/>
          <w:sz w:val="20"/>
        </w:rPr>
        <w:t>fosse emitida</w:t>
      </w:r>
      <w:r w:rsidR="009E50CD" w:rsidRPr="00BD40F0">
        <w:rPr>
          <w:rFonts w:ascii="Verdana" w:hAnsi="Verdana"/>
          <w:sz w:val="20"/>
        </w:rPr>
        <w:t xml:space="preserve"> </w:t>
      </w:r>
      <w:r w:rsidRPr="00BD40F0">
        <w:rPr>
          <w:rFonts w:ascii="Verdana" w:hAnsi="Verdana"/>
          <w:sz w:val="20"/>
        </w:rPr>
        <w:t xml:space="preserve">uma declaração fazendo ver sua vontade de resolver este tipo de problemas. Outra recomendação que se fazia era completar o diagnóstico realizado pelo </w:t>
      </w:r>
      <w:r w:rsidRPr="00BD40F0">
        <w:rPr>
          <w:rFonts w:ascii="Verdana" w:hAnsi="Verdana"/>
          <w:i/>
          <w:sz w:val="20"/>
        </w:rPr>
        <w:t>Central American and Caribbean Research Council</w:t>
      </w:r>
      <w:r w:rsidRPr="00BD40F0">
        <w:rPr>
          <w:rFonts w:ascii="Verdana" w:hAnsi="Verdana"/>
          <w:sz w:val="20"/>
        </w:rPr>
        <w:t>, já que se calculava que na Costa Caribe</w:t>
      </w:r>
      <w:r w:rsidR="00BC7F25">
        <w:rPr>
          <w:rFonts w:ascii="Verdana" w:hAnsi="Verdana"/>
          <w:sz w:val="20"/>
        </w:rPr>
        <w:t>nha</w:t>
      </w:r>
      <w:r w:rsidRPr="00BD40F0">
        <w:rPr>
          <w:rFonts w:ascii="Verdana" w:hAnsi="Verdana"/>
          <w:sz w:val="20"/>
        </w:rPr>
        <w:t xml:space="preserve"> da Nicarágua </w:t>
      </w:r>
      <w:r w:rsidR="00BC7F25">
        <w:rPr>
          <w:rFonts w:ascii="Verdana" w:hAnsi="Verdana"/>
          <w:sz w:val="20"/>
        </w:rPr>
        <w:t>havia</w:t>
      </w:r>
      <w:r w:rsidRPr="00BD40F0">
        <w:rPr>
          <w:rFonts w:ascii="Verdana" w:hAnsi="Verdana"/>
          <w:sz w:val="20"/>
        </w:rPr>
        <w:t xml:space="preserve"> entre 280 e 300 comunidades, e o diagnóstico somente cobre aproximada</w:t>
      </w:r>
      <w:r w:rsidR="00BC7F25">
        <w:rPr>
          <w:rFonts w:ascii="Verdana" w:hAnsi="Verdana"/>
          <w:sz w:val="20"/>
        </w:rPr>
        <w:t>mente 50% desse universo total.</w:t>
      </w:r>
      <w:r w:rsidRPr="00BD40F0">
        <w:rPr>
          <w:rFonts w:ascii="Verdana" w:hAnsi="Verdana"/>
          <w:sz w:val="20"/>
        </w:rPr>
        <w:t xml:space="preserve"> Para ter uma visão integral d</w:t>
      </w:r>
      <w:r w:rsidR="00BC7F25">
        <w:rPr>
          <w:rFonts w:ascii="Verdana" w:hAnsi="Verdana"/>
          <w:sz w:val="20"/>
        </w:rPr>
        <w:t>as</w:t>
      </w:r>
      <w:r w:rsidRPr="00BD40F0">
        <w:rPr>
          <w:rFonts w:ascii="Verdana" w:hAnsi="Verdana"/>
          <w:sz w:val="20"/>
        </w:rPr>
        <w:t xml:space="preserve"> </w:t>
      </w:r>
      <w:r w:rsidR="00BC7F25">
        <w:rPr>
          <w:rFonts w:ascii="Verdana" w:hAnsi="Verdana"/>
          <w:sz w:val="20"/>
        </w:rPr>
        <w:t>reivindicações</w:t>
      </w:r>
      <w:r w:rsidRPr="00BD40F0">
        <w:rPr>
          <w:rFonts w:ascii="Verdana" w:hAnsi="Verdana"/>
          <w:sz w:val="20"/>
        </w:rPr>
        <w:t xml:space="preserve">, das sobreposições, dos problemas em geral da </w:t>
      </w:r>
      <w:r w:rsidR="00BC7F25">
        <w:rPr>
          <w:rFonts w:ascii="Verdana" w:hAnsi="Verdana"/>
          <w:sz w:val="20"/>
        </w:rPr>
        <w:t>posse</w:t>
      </w:r>
      <w:r w:rsidRPr="00BD40F0">
        <w:rPr>
          <w:rFonts w:ascii="Verdana" w:hAnsi="Verdana"/>
          <w:sz w:val="20"/>
        </w:rPr>
        <w:t xml:space="preserve"> da terra era necessário completar o diagnóstico.</w:t>
      </w:r>
      <w:r w:rsidR="00850A3F">
        <w:rPr>
          <w:rFonts w:ascii="Verdana" w:hAnsi="Verdana"/>
          <w:sz w:val="20"/>
        </w:rPr>
        <w:t xml:space="preserve"> </w:t>
      </w:r>
      <w:r w:rsidRPr="00BD40F0">
        <w:rPr>
          <w:rFonts w:ascii="Verdana" w:hAnsi="Verdana"/>
          <w:sz w:val="20"/>
        </w:rPr>
        <w:t xml:space="preserve">Um terceiro aspecto no capítulo dos Princípios Gerais era entregar os resultados do diagnóstico às comunidades que haviam </w:t>
      </w:r>
      <w:r w:rsidR="009E50CD">
        <w:rPr>
          <w:rFonts w:ascii="Verdana" w:hAnsi="Verdana"/>
          <w:sz w:val="20"/>
        </w:rPr>
        <w:t>prestado</w:t>
      </w:r>
      <w:r w:rsidR="009E50CD" w:rsidRPr="00BD40F0">
        <w:rPr>
          <w:rFonts w:ascii="Verdana" w:hAnsi="Verdana"/>
          <w:sz w:val="20"/>
        </w:rPr>
        <w:t xml:space="preserve"> </w:t>
      </w:r>
      <w:r w:rsidRPr="00BD40F0">
        <w:rPr>
          <w:rFonts w:ascii="Verdana" w:hAnsi="Verdana"/>
          <w:sz w:val="20"/>
        </w:rPr>
        <w:t>a informação.</w:t>
      </w:r>
      <w:r w:rsidR="00850A3F">
        <w:rPr>
          <w:rFonts w:ascii="Verdana" w:hAnsi="Verdana"/>
          <w:sz w:val="20"/>
        </w:rPr>
        <w:t xml:space="preserve"> </w:t>
      </w:r>
      <w:r w:rsidRPr="00BD40F0">
        <w:rPr>
          <w:rFonts w:ascii="Verdana" w:hAnsi="Verdana"/>
          <w:sz w:val="20"/>
        </w:rPr>
        <w:t>Isso é algo que não se costuma fazer e é c</w:t>
      </w:r>
      <w:r w:rsidR="00BC7F25">
        <w:rPr>
          <w:rFonts w:ascii="Verdana" w:hAnsi="Verdana"/>
          <w:sz w:val="20"/>
        </w:rPr>
        <w:t>h</w:t>
      </w:r>
      <w:r w:rsidRPr="00BD40F0">
        <w:rPr>
          <w:rFonts w:ascii="Verdana" w:hAnsi="Verdana"/>
          <w:sz w:val="20"/>
        </w:rPr>
        <w:t>ave para poder iniciar um processo de demarcação e titulação.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Um segundo capítulo, denominado Resolução de Conflitos, era muito importante em razão das sobreposições </w:t>
      </w:r>
      <w:r w:rsidR="007D3E6F">
        <w:rPr>
          <w:rFonts w:ascii="Verdana" w:hAnsi="Verdana"/>
          <w:sz w:val="20"/>
        </w:rPr>
        <w:t>existentes na região</w:t>
      </w:r>
      <w:r w:rsidRPr="00BD40F0">
        <w:rPr>
          <w:rFonts w:ascii="Verdana" w:hAnsi="Verdana"/>
          <w:sz w:val="20"/>
        </w:rPr>
        <w:t>.</w:t>
      </w:r>
      <w:r w:rsidR="00850A3F">
        <w:rPr>
          <w:rFonts w:ascii="Verdana" w:hAnsi="Verdana"/>
          <w:sz w:val="20"/>
        </w:rPr>
        <w:t xml:space="preserve"> </w:t>
      </w:r>
      <w:r w:rsidRPr="00BD40F0">
        <w:rPr>
          <w:rFonts w:ascii="Verdana" w:hAnsi="Verdana"/>
          <w:sz w:val="20"/>
        </w:rPr>
        <w:t>As sobreposições são áreas onde várias comunidades coincidem no uso e posse do território.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lastRenderedPageBreak/>
        <w:t xml:space="preserve">A recomendação fundamental de entregar o diagnóstico às comunidades, através de uma </w:t>
      </w:r>
      <w:r w:rsidR="009E50CD">
        <w:rPr>
          <w:rFonts w:ascii="Verdana" w:hAnsi="Verdana"/>
          <w:sz w:val="20"/>
        </w:rPr>
        <w:t xml:space="preserve">grande </w:t>
      </w:r>
      <w:r w:rsidRPr="00BD40F0">
        <w:rPr>
          <w:rFonts w:ascii="Verdana" w:hAnsi="Verdana"/>
          <w:sz w:val="20"/>
        </w:rPr>
        <w:t>oficina, nunca se realizou</w:t>
      </w:r>
      <w:r w:rsidR="009E50CD">
        <w:rPr>
          <w:rFonts w:ascii="Verdana" w:hAnsi="Verdana"/>
          <w:sz w:val="20"/>
        </w:rPr>
        <w:t>,</w:t>
      </w:r>
      <w:r w:rsidRPr="00BD40F0">
        <w:rPr>
          <w:rFonts w:ascii="Verdana" w:hAnsi="Verdana"/>
          <w:sz w:val="20"/>
        </w:rPr>
        <w:t xml:space="preserve"> nem </w:t>
      </w:r>
      <w:r w:rsidR="009E50CD">
        <w:rPr>
          <w:rFonts w:ascii="Verdana" w:hAnsi="Verdana"/>
          <w:sz w:val="20"/>
        </w:rPr>
        <w:t xml:space="preserve">foram tomadas </w:t>
      </w:r>
      <w:r w:rsidRPr="00BD40F0">
        <w:rPr>
          <w:rFonts w:ascii="Verdana" w:hAnsi="Verdana"/>
          <w:sz w:val="20"/>
        </w:rPr>
        <w:t xml:space="preserve">as medidas </w:t>
      </w:r>
      <w:r w:rsidR="009E50CD">
        <w:rPr>
          <w:rFonts w:ascii="Verdana" w:hAnsi="Verdana"/>
          <w:sz w:val="20"/>
        </w:rPr>
        <w:t xml:space="preserve">dirigidas </w:t>
      </w:r>
      <w:r w:rsidRPr="00BD40F0">
        <w:rPr>
          <w:rFonts w:ascii="Verdana" w:hAnsi="Verdana"/>
          <w:sz w:val="20"/>
        </w:rPr>
        <w:t xml:space="preserve">à </w:t>
      </w:r>
      <w:proofErr w:type="gramStart"/>
      <w:r w:rsidRPr="00BD40F0">
        <w:rPr>
          <w:rFonts w:ascii="Verdana" w:hAnsi="Verdana"/>
          <w:sz w:val="20"/>
        </w:rPr>
        <w:t>implementação</w:t>
      </w:r>
      <w:proofErr w:type="gramEnd"/>
      <w:r w:rsidRPr="00BD40F0">
        <w:rPr>
          <w:rFonts w:ascii="Verdana" w:hAnsi="Verdana"/>
          <w:sz w:val="20"/>
        </w:rPr>
        <w:t xml:space="preserve"> das recomendações do diagnóstico. Foi sugerido que o Estado fize</w:t>
      </w:r>
      <w:r w:rsidR="004C2280">
        <w:rPr>
          <w:rFonts w:ascii="Verdana" w:hAnsi="Verdana"/>
          <w:sz w:val="20"/>
        </w:rPr>
        <w:t>sse</w:t>
      </w:r>
      <w:r w:rsidRPr="00BD40F0">
        <w:rPr>
          <w:rFonts w:ascii="Verdana" w:hAnsi="Verdana"/>
          <w:sz w:val="20"/>
        </w:rPr>
        <w:t xml:space="preserve"> uso do direito consuetudinário e das relações existentes entre as comunidades, através de </w:t>
      </w:r>
      <w:r w:rsidRPr="00213C88">
        <w:rPr>
          <w:rFonts w:ascii="Verdana" w:hAnsi="Verdana"/>
          <w:sz w:val="20"/>
        </w:rPr>
        <w:t>suas autoridades tradicionais, para procurar uma solução aos conflitos.</w:t>
      </w:r>
      <w:r w:rsidR="00850A3F">
        <w:rPr>
          <w:rFonts w:ascii="Verdana" w:hAnsi="Verdana"/>
          <w:sz w:val="20"/>
        </w:rPr>
        <w:t xml:space="preserve"> </w:t>
      </w:r>
      <w:r w:rsidRPr="00213C88">
        <w:rPr>
          <w:rFonts w:ascii="Verdana" w:hAnsi="Verdana"/>
          <w:sz w:val="20"/>
        </w:rPr>
        <w:t xml:space="preserve">Por isso era fundamental solucionar os conflitos </w:t>
      </w:r>
      <w:r w:rsidR="004C2280" w:rsidRPr="00213C88">
        <w:rPr>
          <w:rFonts w:ascii="Verdana" w:hAnsi="Verdana"/>
          <w:sz w:val="20"/>
        </w:rPr>
        <w:t>aplicando</w:t>
      </w:r>
      <w:r w:rsidRPr="00213C88">
        <w:rPr>
          <w:rFonts w:ascii="Verdana" w:hAnsi="Verdana"/>
          <w:sz w:val="20"/>
        </w:rPr>
        <w:t xml:space="preserve"> um esquema onde o Estado nicaraguense deixasse de </w:t>
      </w:r>
      <w:proofErr w:type="gramStart"/>
      <w:r w:rsidRPr="00213C88">
        <w:rPr>
          <w:rFonts w:ascii="Verdana" w:hAnsi="Verdana"/>
          <w:sz w:val="20"/>
        </w:rPr>
        <w:t>ser</w:t>
      </w:r>
      <w:proofErr w:type="gramEnd"/>
      <w:r w:rsidRPr="00213C88">
        <w:rPr>
          <w:rFonts w:ascii="Verdana" w:hAnsi="Verdana"/>
          <w:sz w:val="20"/>
        </w:rPr>
        <w:t xml:space="preserve"> juiz e parte, que tem sido seu papel histórico nisto, e </w:t>
      </w:r>
      <w:r w:rsidR="009E50CD">
        <w:rPr>
          <w:rFonts w:ascii="Verdana" w:hAnsi="Verdana"/>
          <w:sz w:val="20"/>
        </w:rPr>
        <w:t xml:space="preserve">se </w:t>
      </w:r>
      <w:r w:rsidR="004C2280" w:rsidRPr="00213C88">
        <w:rPr>
          <w:rFonts w:ascii="Verdana" w:hAnsi="Verdana"/>
          <w:sz w:val="20"/>
        </w:rPr>
        <w:t>convertesse e</w:t>
      </w:r>
      <w:r w:rsidRPr="00213C88">
        <w:rPr>
          <w:rFonts w:ascii="Verdana" w:hAnsi="Verdana"/>
          <w:sz w:val="20"/>
        </w:rPr>
        <w:t xml:space="preserve">m um Estado facilitador. O Estado não deu acompanhamento às recomendações emitidas no diagnóstico. Houve duas iniciativas de lei apresentadas pelo Executivo em 1998 em relação </w:t>
      </w:r>
      <w:r w:rsidR="009E50CD">
        <w:rPr>
          <w:rFonts w:ascii="Verdana" w:hAnsi="Verdana"/>
          <w:sz w:val="20"/>
        </w:rPr>
        <w:t>à</w:t>
      </w:r>
      <w:r w:rsidRPr="00213C88">
        <w:rPr>
          <w:rFonts w:ascii="Verdana" w:hAnsi="Verdana"/>
          <w:sz w:val="20"/>
        </w:rPr>
        <w:t xml:space="preserve">s terras </w:t>
      </w:r>
      <w:r w:rsidR="00C96B8D">
        <w:rPr>
          <w:rFonts w:ascii="Verdana" w:hAnsi="Verdana"/>
          <w:sz w:val="20"/>
        </w:rPr>
        <w:t>comunitárias</w:t>
      </w:r>
      <w:r w:rsidR="00C96B8D" w:rsidRPr="00213C88">
        <w:rPr>
          <w:rFonts w:ascii="Verdana" w:hAnsi="Verdana"/>
          <w:sz w:val="20"/>
        </w:rPr>
        <w:t xml:space="preserve"> </w:t>
      </w:r>
      <w:r w:rsidRPr="00213C88">
        <w:rPr>
          <w:rFonts w:ascii="Verdana" w:hAnsi="Verdana"/>
          <w:sz w:val="20"/>
        </w:rPr>
        <w:t>das comunidades indígenas da Costa Atlântica, mas nenhum dos dois projetos respondia ao que o diagnóstico</w:t>
      </w:r>
      <w:r w:rsidR="009E50CD" w:rsidRPr="009E50CD">
        <w:rPr>
          <w:rFonts w:ascii="Verdana" w:hAnsi="Verdana"/>
          <w:sz w:val="20"/>
        </w:rPr>
        <w:t xml:space="preserve"> </w:t>
      </w:r>
      <w:r w:rsidR="009E50CD" w:rsidRPr="00213C88">
        <w:rPr>
          <w:rFonts w:ascii="Verdana" w:hAnsi="Verdana"/>
          <w:sz w:val="20"/>
        </w:rPr>
        <w:t>refletia</w:t>
      </w:r>
      <w:r w:rsidRPr="00213C88">
        <w:rPr>
          <w:rFonts w:ascii="Verdana" w:hAnsi="Verdana"/>
          <w:sz w:val="20"/>
        </w:rPr>
        <w:t>.</w:t>
      </w:r>
      <w:r w:rsidRPr="00BD40F0">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A Nicarágua consultou </w:t>
      </w:r>
      <w:r w:rsidR="004C2280">
        <w:rPr>
          <w:rFonts w:ascii="Verdana" w:hAnsi="Verdana"/>
          <w:sz w:val="20"/>
        </w:rPr>
        <w:t>a</w:t>
      </w:r>
      <w:r w:rsidRPr="00BD40F0">
        <w:rPr>
          <w:rFonts w:ascii="Verdana" w:hAnsi="Verdana"/>
          <w:sz w:val="20"/>
        </w:rPr>
        <w:t>s comunidades indígenas sobre o Anteprojeto de Le</w:t>
      </w:r>
      <w:r w:rsidR="004C2280">
        <w:rPr>
          <w:rFonts w:ascii="Verdana" w:hAnsi="Verdana"/>
          <w:sz w:val="20"/>
        </w:rPr>
        <w:t xml:space="preserve">i de Titulação de suas terras. </w:t>
      </w:r>
      <w:r w:rsidRPr="00BD40F0">
        <w:rPr>
          <w:rFonts w:ascii="Verdana" w:hAnsi="Verdana"/>
          <w:sz w:val="20"/>
        </w:rPr>
        <w:t xml:space="preserve">Essas consultas </w:t>
      </w:r>
      <w:r w:rsidR="009E50CD">
        <w:rPr>
          <w:rFonts w:ascii="Verdana" w:hAnsi="Verdana"/>
          <w:sz w:val="20"/>
        </w:rPr>
        <w:t>resultaram da</w:t>
      </w:r>
      <w:r w:rsidR="00850A3F">
        <w:rPr>
          <w:rFonts w:ascii="Verdana" w:hAnsi="Verdana"/>
          <w:sz w:val="20"/>
        </w:rPr>
        <w:t xml:space="preserve"> </w:t>
      </w:r>
      <w:r w:rsidRPr="00BD40F0">
        <w:rPr>
          <w:rFonts w:ascii="Verdana" w:hAnsi="Verdana"/>
          <w:sz w:val="20"/>
        </w:rPr>
        <w:t xml:space="preserve">pressão dos povos indígenas. Há uma proposta apresentada pelos dois Conselhos Regionais em setembro de 2000, e a percepção que existe </w:t>
      </w:r>
      <w:r w:rsidR="009E50CD">
        <w:rPr>
          <w:rFonts w:ascii="Verdana" w:hAnsi="Verdana"/>
          <w:sz w:val="20"/>
        </w:rPr>
        <w:t>no âmbito</w:t>
      </w:r>
      <w:r w:rsidRPr="00BD40F0">
        <w:rPr>
          <w:rFonts w:ascii="Verdana" w:hAnsi="Verdana"/>
          <w:sz w:val="20"/>
        </w:rPr>
        <w:t xml:space="preserve"> nacional é que essa proposta não </w:t>
      </w:r>
      <w:r w:rsidR="004C2280">
        <w:rPr>
          <w:rFonts w:ascii="Verdana" w:hAnsi="Verdana"/>
          <w:sz w:val="20"/>
        </w:rPr>
        <w:t>irá</w:t>
      </w:r>
      <w:r w:rsidRPr="00BD40F0">
        <w:rPr>
          <w:rFonts w:ascii="Verdana" w:hAnsi="Verdana"/>
          <w:sz w:val="20"/>
        </w:rPr>
        <w:t xml:space="preserve"> prosperar, porque não existe a vontade política de aprová-la.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 antigo INRA, atual</w:t>
      </w:r>
      <w:r w:rsidR="00D43BDF">
        <w:rPr>
          <w:rFonts w:ascii="Verdana" w:hAnsi="Verdana"/>
          <w:sz w:val="20"/>
        </w:rPr>
        <w:t>mente</w:t>
      </w:r>
      <w:r w:rsidRPr="00BD40F0">
        <w:rPr>
          <w:rFonts w:ascii="Verdana" w:hAnsi="Verdana"/>
          <w:sz w:val="20"/>
        </w:rPr>
        <w:t xml:space="preserve"> Ministério Agropecuário e Florestal, não tem competência para demarcar ou titular a terra </w:t>
      </w:r>
      <w:r w:rsidR="001E6080">
        <w:rPr>
          <w:rFonts w:ascii="Verdana" w:hAnsi="Verdana"/>
          <w:sz w:val="20"/>
        </w:rPr>
        <w:t>comunitária</w:t>
      </w:r>
      <w:r w:rsidR="001E6080" w:rsidRPr="00BD40F0">
        <w:rPr>
          <w:rFonts w:ascii="Verdana" w:hAnsi="Verdana"/>
          <w:sz w:val="20"/>
        </w:rPr>
        <w:t xml:space="preserve"> </w:t>
      </w:r>
      <w:r w:rsidRPr="00BD40F0">
        <w:rPr>
          <w:rFonts w:ascii="Verdana" w:hAnsi="Verdana"/>
          <w:sz w:val="20"/>
        </w:rPr>
        <w:t>das comunidades indígenas.</w:t>
      </w:r>
      <w:r w:rsidR="00850A3F">
        <w:rPr>
          <w:rFonts w:ascii="Verdana" w:hAnsi="Verdana"/>
          <w:sz w:val="20"/>
        </w:rPr>
        <w:t xml:space="preserve"> </w:t>
      </w:r>
      <w:r w:rsidRPr="00BD40F0">
        <w:rPr>
          <w:rFonts w:ascii="Verdana" w:hAnsi="Verdana"/>
          <w:sz w:val="20"/>
        </w:rPr>
        <w:t xml:space="preserve">Desde </w:t>
      </w:r>
      <w:r w:rsidR="005E2366">
        <w:rPr>
          <w:rFonts w:ascii="Verdana" w:hAnsi="Verdana"/>
          <w:sz w:val="20"/>
        </w:rPr>
        <w:t xml:space="preserve">o ano de </w:t>
      </w:r>
      <w:r w:rsidRPr="00BD40F0">
        <w:rPr>
          <w:rFonts w:ascii="Verdana" w:hAnsi="Verdana"/>
          <w:sz w:val="20"/>
        </w:rPr>
        <w:t>1990</w:t>
      </w:r>
      <w:r w:rsidR="00772646">
        <w:rPr>
          <w:rFonts w:ascii="Verdana" w:hAnsi="Verdana"/>
          <w:sz w:val="20"/>
        </w:rPr>
        <w:t>,</w:t>
      </w:r>
      <w:r w:rsidRPr="00BD40F0">
        <w:rPr>
          <w:rFonts w:ascii="Verdana" w:hAnsi="Verdana"/>
          <w:sz w:val="20"/>
        </w:rPr>
        <w:t xml:space="preserve"> não </w:t>
      </w:r>
      <w:r w:rsidR="000F2BCA">
        <w:rPr>
          <w:rFonts w:ascii="Verdana" w:hAnsi="Verdana"/>
          <w:sz w:val="20"/>
        </w:rPr>
        <w:t xml:space="preserve">houve </w:t>
      </w:r>
      <w:r w:rsidRPr="00BD40F0">
        <w:rPr>
          <w:rFonts w:ascii="Verdana" w:hAnsi="Verdana"/>
          <w:sz w:val="20"/>
        </w:rPr>
        <w:t xml:space="preserve">titulação de comunidades indígenas, </w:t>
      </w:r>
      <w:r w:rsidR="00772646">
        <w:rPr>
          <w:rFonts w:ascii="Verdana" w:hAnsi="Verdana"/>
          <w:sz w:val="20"/>
        </w:rPr>
        <w:t>tampouco</w:t>
      </w:r>
      <w:r w:rsidR="00772646" w:rsidRPr="00BD40F0">
        <w:rPr>
          <w:rFonts w:ascii="Verdana" w:hAnsi="Verdana"/>
          <w:sz w:val="20"/>
        </w:rPr>
        <w:t xml:space="preserve"> </w:t>
      </w:r>
      <w:r w:rsidR="000F2BCA">
        <w:rPr>
          <w:rFonts w:ascii="Verdana" w:hAnsi="Verdana"/>
          <w:sz w:val="20"/>
        </w:rPr>
        <w:t xml:space="preserve">foi aplicada </w:t>
      </w:r>
      <w:r w:rsidRPr="00BD40F0">
        <w:rPr>
          <w:rFonts w:ascii="Verdana" w:hAnsi="Verdana"/>
          <w:sz w:val="20"/>
        </w:rPr>
        <w:t xml:space="preserve">a potestade formal de demarcar e titular terras.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Se uma comunidade indígena quiser alcançar a titulação de sua terra</w:t>
      </w:r>
      <w:r w:rsidR="006C34C6">
        <w:rPr>
          <w:rFonts w:ascii="Verdana" w:hAnsi="Verdana"/>
          <w:sz w:val="20"/>
        </w:rPr>
        <w:t>,</w:t>
      </w:r>
      <w:r w:rsidRPr="00BD40F0">
        <w:rPr>
          <w:rFonts w:ascii="Verdana" w:hAnsi="Verdana"/>
          <w:sz w:val="20"/>
        </w:rPr>
        <w:t xml:space="preserve"> não existe um mecanismo ou uma instituição do Estado à qual possa acudir. O único título </w:t>
      </w:r>
      <w:r w:rsidR="00D43BDF">
        <w:rPr>
          <w:rFonts w:ascii="Verdana" w:hAnsi="Verdana"/>
          <w:sz w:val="20"/>
        </w:rPr>
        <w:t xml:space="preserve">existente </w:t>
      </w:r>
      <w:r w:rsidRPr="00BD40F0">
        <w:rPr>
          <w:rFonts w:ascii="Verdana" w:hAnsi="Verdana"/>
          <w:sz w:val="20"/>
        </w:rPr>
        <w:t xml:space="preserve">é o das Dez Comunidades, </w:t>
      </w:r>
      <w:r w:rsidR="004C2280">
        <w:rPr>
          <w:rFonts w:ascii="Verdana" w:hAnsi="Verdana"/>
          <w:sz w:val="20"/>
        </w:rPr>
        <w:t>concedido</w:t>
      </w:r>
      <w:r w:rsidRPr="00BD40F0">
        <w:rPr>
          <w:rFonts w:ascii="Verdana" w:hAnsi="Verdana"/>
          <w:sz w:val="20"/>
        </w:rPr>
        <w:t xml:space="preserve"> pela Comissão do Tratado Harrison</w:t>
      </w:r>
      <w:r w:rsidR="004C2280">
        <w:rPr>
          <w:rFonts w:ascii="Verdana" w:hAnsi="Verdana"/>
          <w:sz w:val="20"/>
        </w:rPr>
        <w:t xml:space="preserve">-Altamirano entre 1905 e 1917. </w:t>
      </w:r>
      <w:r w:rsidRPr="00BD40F0">
        <w:rPr>
          <w:rFonts w:ascii="Verdana" w:hAnsi="Verdana"/>
          <w:sz w:val="20"/>
        </w:rPr>
        <w:t xml:space="preserve">O território do resto das comunidades não </w:t>
      </w:r>
      <w:r w:rsidR="004C2280">
        <w:rPr>
          <w:rFonts w:ascii="Verdana" w:hAnsi="Verdana"/>
          <w:sz w:val="20"/>
        </w:rPr>
        <w:t>foi</w:t>
      </w:r>
      <w:r w:rsidRPr="00BD40F0">
        <w:rPr>
          <w:rFonts w:ascii="Verdana" w:hAnsi="Verdana"/>
          <w:sz w:val="20"/>
        </w:rPr>
        <w:t xml:space="preserve"> titulado.</w:t>
      </w:r>
      <w:r w:rsidR="00850A3F">
        <w:rPr>
          <w:rFonts w:ascii="Verdana" w:hAnsi="Verdana"/>
          <w:sz w:val="20"/>
        </w:rPr>
        <w:t xml:space="preserve"> </w:t>
      </w:r>
      <w:r w:rsidRPr="00BD40F0">
        <w:rPr>
          <w:rFonts w:ascii="Verdana" w:hAnsi="Verdana"/>
          <w:sz w:val="20"/>
        </w:rPr>
        <w:t xml:space="preserve">Há outra titulação, </w:t>
      </w:r>
      <w:r w:rsidR="004C2280">
        <w:rPr>
          <w:rFonts w:ascii="Verdana" w:hAnsi="Verdana"/>
          <w:sz w:val="20"/>
        </w:rPr>
        <w:t>à</w:t>
      </w:r>
      <w:r w:rsidRPr="00BD40F0">
        <w:rPr>
          <w:rFonts w:ascii="Verdana" w:hAnsi="Verdana"/>
          <w:sz w:val="20"/>
        </w:rPr>
        <w:t xml:space="preserve"> ra</w:t>
      </w:r>
      <w:r w:rsidR="00D43BDF">
        <w:rPr>
          <w:rFonts w:ascii="Verdana" w:hAnsi="Verdana"/>
          <w:sz w:val="20"/>
        </w:rPr>
        <w:t>iz do conflito limítrofe entre</w:t>
      </w:r>
      <w:r w:rsidRPr="00BD40F0">
        <w:rPr>
          <w:rFonts w:ascii="Verdana" w:hAnsi="Verdana"/>
          <w:sz w:val="20"/>
        </w:rPr>
        <w:t xml:space="preserve"> Nicarágua e Honduras, que se deu a princípios dos anos 60, em favor das comunidades do Rio Coco, mas estas titulações não correspondem às necessidades nem </w:t>
      </w:r>
      <w:r w:rsidR="004C2280">
        <w:rPr>
          <w:rFonts w:ascii="Verdana" w:hAnsi="Verdana"/>
          <w:sz w:val="20"/>
        </w:rPr>
        <w:t>a</w:t>
      </w:r>
      <w:r w:rsidRPr="00BD40F0">
        <w:rPr>
          <w:rFonts w:ascii="Verdana" w:hAnsi="Verdana"/>
          <w:sz w:val="20"/>
        </w:rPr>
        <w:t>os padrões de uso e posse das comunidades no território. A interrupção na titulação das terras por parte da Nicarágua pode</w:t>
      </w:r>
      <w:r w:rsidR="005E2366">
        <w:rPr>
          <w:rFonts w:ascii="Verdana" w:hAnsi="Verdana"/>
          <w:sz w:val="20"/>
        </w:rPr>
        <w:t xml:space="preserve"> </w:t>
      </w:r>
      <w:r w:rsidRPr="00BD40F0">
        <w:rPr>
          <w:rFonts w:ascii="Verdana" w:hAnsi="Verdana"/>
          <w:sz w:val="20"/>
        </w:rPr>
        <w:t>se dever a que o Estado parece responder a situações de crise. Ou seja, a titulação que se dá durante os anos 80, fundamentalmente em razão da guerra, é parte da estratégia de converter um conflito militar em uma discussão política. De tal maneira que depois das eleições</w:t>
      </w:r>
      <w:r w:rsidR="006C34C6">
        <w:rPr>
          <w:rFonts w:ascii="Verdana" w:hAnsi="Verdana"/>
          <w:sz w:val="20"/>
        </w:rPr>
        <w:t>,</w:t>
      </w:r>
      <w:r w:rsidRPr="00BD40F0">
        <w:rPr>
          <w:rFonts w:ascii="Verdana" w:hAnsi="Verdana"/>
          <w:sz w:val="20"/>
        </w:rPr>
        <w:t xml:space="preserve"> e com o clima de paz que se </w:t>
      </w:r>
      <w:r w:rsidR="004C2280">
        <w:rPr>
          <w:rFonts w:ascii="Verdana" w:hAnsi="Verdana"/>
          <w:sz w:val="20"/>
        </w:rPr>
        <w:t>vai</w:t>
      </w:r>
      <w:r w:rsidRPr="00BD40F0">
        <w:rPr>
          <w:rFonts w:ascii="Verdana" w:hAnsi="Verdana"/>
          <w:sz w:val="20"/>
        </w:rPr>
        <w:t xml:space="preserve"> dando, o Estado parece não ter incentivo nenhum para resolver as demandas históricas das comunidades.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Um dos dois mapas consolidados apresentou o diagnóstico corresponde</w:t>
      </w:r>
      <w:r w:rsidR="009E50CD">
        <w:rPr>
          <w:rFonts w:ascii="Verdana" w:hAnsi="Verdana"/>
          <w:sz w:val="20"/>
        </w:rPr>
        <w:t>nte</w:t>
      </w:r>
      <w:r w:rsidRPr="00BD40F0">
        <w:rPr>
          <w:rFonts w:ascii="Verdana" w:hAnsi="Verdana"/>
          <w:sz w:val="20"/>
        </w:rPr>
        <w:t xml:space="preserve"> à Região Autônoma Atlântico Norte e resume o problema das sobreposições. </w:t>
      </w:r>
      <w:proofErr w:type="gramStart"/>
      <w:r w:rsidRPr="00BD40F0">
        <w:rPr>
          <w:rFonts w:ascii="Verdana" w:hAnsi="Verdana"/>
          <w:sz w:val="20"/>
        </w:rPr>
        <w:t>O total das comunidades, que são 116, apresentaram</w:t>
      </w:r>
      <w:proofErr w:type="gramEnd"/>
      <w:r w:rsidRPr="00BD40F0">
        <w:rPr>
          <w:rFonts w:ascii="Verdana" w:hAnsi="Verdana"/>
          <w:sz w:val="20"/>
        </w:rPr>
        <w:t xml:space="preserve"> sua demanda em bloco e têm a característica da sobreposição. Unicamente a comunidade de Tumarín não tem esta carac</w:t>
      </w:r>
      <w:r w:rsidR="00EE5506">
        <w:rPr>
          <w:rFonts w:ascii="Verdana" w:hAnsi="Verdana"/>
          <w:sz w:val="20"/>
        </w:rPr>
        <w:t xml:space="preserve">terística. </w:t>
      </w:r>
      <w:r w:rsidRPr="00BD40F0">
        <w:rPr>
          <w:rFonts w:ascii="Verdana" w:hAnsi="Verdana"/>
          <w:sz w:val="20"/>
        </w:rPr>
        <w:t xml:space="preserve">O fenômeno das sobreposições é mais complexo na Comunidade Awas Tingni, na zona entre </w:t>
      </w:r>
      <w:r w:rsidR="009E50CD">
        <w:rPr>
          <w:rFonts w:ascii="Verdana" w:hAnsi="Verdana"/>
          <w:sz w:val="20"/>
        </w:rPr>
        <w:t xml:space="preserve">a </w:t>
      </w:r>
      <w:r w:rsidRPr="00BD40F0">
        <w:rPr>
          <w:rFonts w:ascii="Verdana" w:hAnsi="Verdana"/>
          <w:sz w:val="20"/>
        </w:rPr>
        <w:t>referida Comunidade e as Dez Comunidades.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 área reclamada p</w:t>
      </w:r>
      <w:r w:rsidR="00EE5506">
        <w:rPr>
          <w:rFonts w:ascii="Verdana" w:hAnsi="Verdana"/>
          <w:sz w:val="20"/>
        </w:rPr>
        <w:t>ela</w:t>
      </w:r>
      <w:r w:rsidRPr="00BD40F0">
        <w:rPr>
          <w:rFonts w:ascii="Verdana" w:hAnsi="Verdana"/>
          <w:sz w:val="20"/>
        </w:rPr>
        <w:t xml:space="preserve"> Awas Tingni é </w:t>
      </w:r>
      <w:r w:rsidR="009E50CD">
        <w:rPr>
          <w:rFonts w:ascii="Verdana" w:hAnsi="Verdana"/>
          <w:sz w:val="20"/>
        </w:rPr>
        <w:t xml:space="preserve">de </w:t>
      </w:r>
      <w:r w:rsidRPr="00BD40F0">
        <w:rPr>
          <w:rFonts w:ascii="Verdana" w:hAnsi="Verdana"/>
          <w:sz w:val="20"/>
        </w:rPr>
        <w:t>aproximadamente 90.000 hectares. As comunidades argumentavam sua projeção cartográfica com base na história oral</w:t>
      </w:r>
      <w:r w:rsidR="001B4B29">
        <w:rPr>
          <w:rFonts w:ascii="Verdana" w:hAnsi="Verdana"/>
          <w:sz w:val="20"/>
        </w:rPr>
        <w:t>,</w:t>
      </w:r>
      <w:r w:rsidRPr="00BD40F0">
        <w:rPr>
          <w:rFonts w:ascii="Verdana" w:hAnsi="Verdana"/>
          <w:sz w:val="20"/>
        </w:rPr>
        <w:t xml:space="preserve"> que tem </w:t>
      </w:r>
      <w:r w:rsidR="00EE5506">
        <w:rPr>
          <w:rFonts w:ascii="Verdana" w:hAnsi="Verdana"/>
          <w:sz w:val="20"/>
        </w:rPr>
        <w:t xml:space="preserve">a </w:t>
      </w:r>
      <w:r w:rsidRPr="00BD40F0">
        <w:rPr>
          <w:rFonts w:ascii="Verdana" w:hAnsi="Verdana"/>
          <w:sz w:val="20"/>
        </w:rPr>
        <w:t>ver com a etnografia do território. De tal maneira, as fontes bibliográficas até o século XIX apontam que as comunidades Mis</w:t>
      </w:r>
      <w:r w:rsidR="004E183D" w:rsidRPr="004E183D">
        <w:rPr>
          <w:rFonts w:ascii="Verdana" w:hAnsi="Verdana"/>
          <w:sz w:val="20"/>
        </w:rPr>
        <w:t>k</w:t>
      </w:r>
      <w:r w:rsidRPr="00BD40F0">
        <w:rPr>
          <w:rFonts w:ascii="Verdana" w:hAnsi="Verdana"/>
          <w:sz w:val="20"/>
        </w:rPr>
        <w:t>itas, que recebem o título do Tratado Harrison-Altamirano</w:t>
      </w:r>
      <w:r w:rsidR="001B4B29">
        <w:rPr>
          <w:rFonts w:ascii="Verdana" w:hAnsi="Verdana"/>
          <w:sz w:val="20"/>
        </w:rPr>
        <w:t>,</w:t>
      </w:r>
      <w:r w:rsidRPr="00BD40F0">
        <w:rPr>
          <w:rFonts w:ascii="Verdana" w:hAnsi="Verdana"/>
          <w:sz w:val="20"/>
        </w:rPr>
        <w:t xml:space="preserve"> estão no litoral.</w:t>
      </w:r>
      <w:r w:rsidR="00850A3F">
        <w:rPr>
          <w:rFonts w:ascii="Verdana" w:hAnsi="Verdana"/>
          <w:sz w:val="20"/>
        </w:rPr>
        <w:t xml:space="preserve"> </w:t>
      </w:r>
      <w:r w:rsidRPr="00BD40F0">
        <w:rPr>
          <w:rFonts w:ascii="Verdana" w:hAnsi="Verdana"/>
          <w:sz w:val="20"/>
        </w:rPr>
        <w:t xml:space="preserve">O restante, desde a zona costeira até o interior, são comunidades </w:t>
      </w:r>
      <w:r w:rsidRPr="00BD40F0">
        <w:rPr>
          <w:rFonts w:ascii="Verdana" w:hAnsi="Verdana"/>
          <w:i/>
          <w:sz w:val="20"/>
        </w:rPr>
        <w:t>Sumo Mayagnas</w:t>
      </w:r>
      <w:r w:rsidRPr="00BD40F0">
        <w:rPr>
          <w:rFonts w:ascii="Verdana" w:hAnsi="Verdana"/>
          <w:sz w:val="20"/>
        </w:rPr>
        <w:t>,</w:t>
      </w:r>
      <w:r w:rsidR="00237416">
        <w:rPr>
          <w:rFonts w:ascii="Verdana" w:hAnsi="Verdana"/>
          <w:sz w:val="20"/>
        </w:rPr>
        <w:t xml:space="preserve"> de tal maneira que a presença de</w:t>
      </w:r>
      <w:r w:rsidRPr="00BD40F0">
        <w:rPr>
          <w:rFonts w:ascii="Verdana" w:hAnsi="Verdana"/>
          <w:sz w:val="20"/>
        </w:rPr>
        <w:t xml:space="preserve"> Awas Tingni no território não é uma anomalia, não é uma exceção, </w:t>
      </w:r>
      <w:r w:rsidR="009E50CD">
        <w:rPr>
          <w:rFonts w:ascii="Verdana" w:hAnsi="Verdana"/>
          <w:sz w:val="20"/>
        </w:rPr>
        <w:t xml:space="preserve">mas </w:t>
      </w:r>
      <w:r w:rsidRPr="00BD40F0">
        <w:rPr>
          <w:rFonts w:ascii="Verdana" w:hAnsi="Verdana"/>
          <w:sz w:val="20"/>
        </w:rPr>
        <w:t xml:space="preserve">representa o </w:t>
      </w:r>
      <w:r w:rsidRPr="00BD40F0">
        <w:rPr>
          <w:rFonts w:ascii="Verdana" w:hAnsi="Verdana"/>
          <w:sz w:val="20"/>
        </w:rPr>
        <w:lastRenderedPageBreak/>
        <w:t>padrão de assentamento das Comunidades Tuascas, Panamas</w:t>
      </w:r>
      <w:r w:rsidR="00EE5506">
        <w:rPr>
          <w:rFonts w:ascii="Verdana" w:hAnsi="Verdana"/>
          <w:sz w:val="20"/>
        </w:rPr>
        <w:t xml:space="preserve">cas, Wugas. </w:t>
      </w:r>
      <w:r w:rsidRPr="00BD40F0">
        <w:rPr>
          <w:rFonts w:ascii="Verdana" w:hAnsi="Verdana"/>
          <w:sz w:val="20"/>
        </w:rPr>
        <w:t>Precisamente pela expansão das comunidades do litoral e das companhias bananeiras e florestais, neste caso, é que as comunidades vão</w:t>
      </w:r>
      <w:r w:rsidR="00EE5506">
        <w:rPr>
          <w:rFonts w:ascii="Verdana" w:hAnsi="Verdana"/>
          <w:sz w:val="20"/>
        </w:rPr>
        <w:t xml:space="preserve"> se</w:t>
      </w:r>
      <w:r w:rsidRPr="00BD40F0">
        <w:rPr>
          <w:rFonts w:ascii="Verdana" w:hAnsi="Verdana"/>
          <w:sz w:val="20"/>
        </w:rPr>
        <w:t xml:space="preserve"> retirando para as cabeceir</w:t>
      </w:r>
      <w:r w:rsidR="00237416">
        <w:rPr>
          <w:rFonts w:ascii="Verdana" w:hAnsi="Verdana"/>
          <w:sz w:val="20"/>
        </w:rPr>
        <w:t>as dos rios. A presença de</w:t>
      </w:r>
      <w:r w:rsidRPr="00BD40F0">
        <w:rPr>
          <w:rFonts w:ascii="Verdana" w:hAnsi="Verdana"/>
          <w:sz w:val="20"/>
        </w:rPr>
        <w:t xml:space="preserve"> Awas Tingni neste território, na </w:t>
      </w:r>
      <w:r w:rsidR="00BE2774">
        <w:rPr>
          <w:rFonts w:ascii="Verdana" w:hAnsi="Verdana"/>
          <w:sz w:val="20"/>
        </w:rPr>
        <w:t xml:space="preserve">região </w:t>
      </w:r>
      <w:r w:rsidRPr="00BD40F0">
        <w:rPr>
          <w:rFonts w:ascii="Verdana" w:hAnsi="Verdana"/>
          <w:sz w:val="20"/>
        </w:rPr>
        <w:t>superior do Rio Wawa, é parte do padrão de assentamento das comunidades Mayagnas do território.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No diagnóstico</w:t>
      </w:r>
      <w:r w:rsidR="001B4B29">
        <w:rPr>
          <w:rFonts w:ascii="Verdana" w:hAnsi="Verdana"/>
          <w:sz w:val="20"/>
        </w:rPr>
        <w:t>,</w:t>
      </w:r>
      <w:r w:rsidRPr="00BD40F0">
        <w:rPr>
          <w:rFonts w:ascii="Verdana" w:hAnsi="Verdana"/>
          <w:sz w:val="20"/>
        </w:rPr>
        <w:t xml:space="preserve"> não se incluiu </w:t>
      </w:r>
      <w:r w:rsidR="00EE5506">
        <w:rPr>
          <w:rFonts w:ascii="Verdana" w:hAnsi="Verdana"/>
          <w:sz w:val="20"/>
        </w:rPr>
        <w:t>a reivindicação</w:t>
      </w:r>
      <w:r w:rsidR="00237416">
        <w:rPr>
          <w:rFonts w:ascii="Verdana" w:hAnsi="Verdana"/>
          <w:sz w:val="20"/>
        </w:rPr>
        <w:t xml:space="preserve"> de terras de</w:t>
      </w:r>
      <w:r w:rsidRPr="00BD40F0">
        <w:rPr>
          <w:rFonts w:ascii="Verdana" w:hAnsi="Verdana"/>
          <w:sz w:val="20"/>
        </w:rPr>
        <w:t xml:space="preserve"> Awas Tingni</w:t>
      </w:r>
      <w:r w:rsidR="001B4B29">
        <w:rPr>
          <w:rFonts w:ascii="Verdana" w:hAnsi="Verdana"/>
          <w:sz w:val="20"/>
        </w:rPr>
        <w:t>,</w:t>
      </w:r>
      <w:r w:rsidRPr="00BD40F0">
        <w:rPr>
          <w:rFonts w:ascii="Verdana" w:hAnsi="Verdana"/>
          <w:sz w:val="20"/>
        </w:rPr>
        <w:t xml:space="preserve"> porque seu caso estava sendo tratado legalmente e estava sendo realizad</w:t>
      </w:r>
      <w:r w:rsidR="00E8648E">
        <w:rPr>
          <w:rFonts w:ascii="Verdana" w:hAnsi="Verdana"/>
          <w:sz w:val="20"/>
        </w:rPr>
        <w:t>o outro trabalho, por parte do D</w:t>
      </w:r>
      <w:r w:rsidRPr="00BD40F0">
        <w:rPr>
          <w:rFonts w:ascii="Verdana" w:hAnsi="Verdana"/>
          <w:sz w:val="20"/>
        </w:rPr>
        <w:t>outor Macdonald, sob uma metodologia muito similar, que garantia a qualidade do trabalho.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As sobreposições que tem Awas Tingni com as comunidades de Francia Sirpi, com as Dezoito Comunidades e com as Comunidades de Puerto Cabezas, eram parte do mesmo padrão, não havia nada </w:t>
      </w:r>
      <w:r w:rsidR="009E50CD">
        <w:rPr>
          <w:rFonts w:ascii="Verdana" w:hAnsi="Verdana"/>
          <w:sz w:val="20"/>
        </w:rPr>
        <w:t>de</w:t>
      </w:r>
      <w:r w:rsidR="009E50CD" w:rsidRPr="00BD40F0">
        <w:rPr>
          <w:rFonts w:ascii="Verdana" w:hAnsi="Verdana"/>
          <w:sz w:val="20"/>
        </w:rPr>
        <w:t xml:space="preserve"> </w:t>
      </w:r>
      <w:r w:rsidRPr="00BD40F0">
        <w:rPr>
          <w:rFonts w:ascii="Verdana" w:hAnsi="Verdana"/>
          <w:sz w:val="20"/>
        </w:rPr>
        <w:t>especial</w:t>
      </w:r>
      <w:r w:rsidR="001B4B29">
        <w:rPr>
          <w:rFonts w:ascii="Verdana" w:hAnsi="Verdana"/>
          <w:sz w:val="20"/>
        </w:rPr>
        <w:t>,</w:t>
      </w:r>
      <w:r w:rsidRPr="00BD40F0">
        <w:rPr>
          <w:rFonts w:ascii="Verdana" w:hAnsi="Verdana"/>
          <w:sz w:val="20"/>
        </w:rPr>
        <w:t xml:space="preserve"> e</w:t>
      </w:r>
      <w:r w:rsidR="001B4B29">
        <w:rPr>
          <w:rFonts w:ascii="Verdana" w:hAnsi="Verdana"/>
          <w:sz w:val="20"/>
        </w:rPr>
        <w:t>,</w:t>
      </w:r>
      <w:r w:rsidRPr="00BD40F0">
        <w:rPr>
          <w:rFonts w:ascii="Verdana" w:hAnsi="Verdana"/>
          <w:sz w:val="20"/>
        </w:rPr>
        <w:t xml:space="preserve"> no diagnóstico</w:t>
      </w:r>
      <w:r w:rsidR="001B4B29">
        <w:rPr>
          <w:rFonts w:ascii="Verdana" w:hAnsi="Verdana"/>
          <w:sz w:val="20"/>
        </w:rPr>
        <w:t>,</w:t>
      </w:r>
      <w:r w:rsidRPr="00BD40F0">
        <w:rPr>
          <w:rFonts w:ascii="Verdana" w:hAnsi="Verdana"/>
          <w:sz w:val="20"/>
        </w:rPr>
        <w:t xml:space="preserve"> </w:t>
      </w:r>
      <w:r w:rsidR="00BE2774">
        <w:rPr>
          <w:rFonts w:ascii="Verdana" w:hAnsi="Verdana"/>
          <w:sz w:val="20"/>
        </w:rPr>
        <w:t>tentou</w:t>
      </w:r>
      <w:r w:rsidRPr="00BD40F0">
        <w:rPr>
          <w:rFonts w:ascii="Verdana" w:hAnsi="Verdana"/>
          <w:sz w:val="20"/>
        </w:rPr>
        <w:t>-se estabelecer as características próprias destas sobreposições.</w:t>
      </w:r>
      <w:r w:rsidR="00850A3F">
        <w:rPr>
          <w:rFonts w:ascii="Verdana" w:hAnsi="Verdana"/>
          <w:sz w:val="20"/>
        </w:rPr>
        <w:t xml:space="preserve"> </w:t>
      </w:r>
      <w:r w:rsidRPr="00BD40F0">
        <w:rPr>
          <w:rFonts w:ascii="Verdana" w:hAnsi="Verdana"/>
          <w:sz w:val="20"/>
        </w:rPr>
        <w:t xml:space="preserve">Era mais importante para o diagnóstico fazer a síntese de todas essas sobreposições e não </w:t>
      </w:r>
      <w:r w:rsidR="00EE5506">
        <w:rPr>
          <w:rFonts w:ascii="Verdana" w:hAnsi="Verdana"/>
          <w:sz w:val="20"/>
        </w:rPr>
        <w:t xml:space="preserve">se </w:t>
      </w:r>
      <w:r w:rsidR="00BE2774">
        <w:rPr>
          <w:rFonts w:ascii="Verdana" w:hAnsi="Verdana"/>
          <w:sz w:val="20"/>
        </w:rPr>
        <w:t>con</w:t>
      </w:r>
      <w:r w:rsidRPr="00BD40F0">
        <w:rPr>
          <w:rFonts w:ascii="Verdana" w:hAnsi="Verdana"/>
          <w:sz w:val="20"/>
        </w:rPr>
        <w:t>centrar em um caso que tinha as mesmas cara</w:t>
      </w:r>
      <w:r w:rsidR="001B4B29">
        <w:rPr>
          <w:rFonts w:ascii="Verdana" w:hAnsi="Verdana"/>
          <w:sz w:val="20"/>
        </w:rPr>
        <w:t>c</w:t>
      </w:r>
      <w:r w:rsidRPr="00BD40F0">
        <w:rPr>
          <w:rFonts w:ascii="Verdana" w:hAnsi="Verdana"/>
          <w:sz w:val="20"/>
        </w:rPr>
        <w:t xml:space="preserve">terísticas de sobreposição; não era muito diferente do que acontecia em outras </w:t>
      </w:r>
      <w:r w:rsidR="00BE2774">
        <w:rPr>
          <w:rFonts w:ascii="Verdana" w:hAnsi="Verdana"/>
          <w:sz w:val="20"/>
        </w:rPr>
        <w:t>regiões</w:t>
      </w:r>
      <w:r w:rsidR="00CA6242">
        <w:rPr>
          <w:rFonts w:ascii="Verdana" w:hAnsi="Verdana"/>
          <w:sz w:val="20"/>
        </w:rPr>
        <w:t>,</w:t>
      </w:r>
      <w:r w:rsidR="00CA6242" w:rsidRPr="00BD40F0">
        <w:rPr>
          <w:rFonts w:ascii="Verdana" w:hAnsi="Verdana"/>
          <w:sz w:val="20"/>
        </w:rPr>
        <w:t xml:space="preserve"> </w:t>
      </w:r>
      <w:r w:rsidRPr="00BD40F0">
        <w:rPr>
          <w:rFonts w:ascii="Verdana" w:hAnsi="Verdana"/>
          <w:sz w:val="20"/>
        </w:rPr>
        <w:t>e</w:t>
      </w:r>
      <w:r w:rsidR="00CA6242">
        <w:rPr>
          <w:rFonts w:ascii="Verdana" w:hAnsi="Verdana"/>
          <w:sz w:val="20"/>
        </w:rPr>
        <w:t>, além disso,</w:t>
      </w:r>
      <w:r w:rsidRPr="00BD40F0">
        <w:rPr>
          <w:rFonts w:ascii="Verdana" w:hAnsi="Verdana"/>
          <w:sz w:val="20"/>
        </w:rPr>
        <w:t xml:space="preserve"> estava sendo feito um trabalho que tinha as mesmas qualidades do que se estava realizando no diagnóstico. Não se documentou</w:t>
      </w:r>
      <w:r w:rsidR="00CA6242">
        <w:rPr>
          <w:rFonts w:ascii="Verdana" w:hAnsi="Verdana"/>
          <w:sz w:val="20"/>
        </w:rPr>
        <w:t>,</w:t>
      </w:r>
      <w:r w:rsidRPr="00BD40F0">
        <w:rPr>
          <w:rFonts w:ascii="Verdana" w:hAnsi="Verdana"/>
          <w:sz w:val="20"/>
        </w:rPr>
        <w:t xml:space="preserve"> no diagnóstico</w:t>
      </w:r>
      <w:r w:rsidR="00CA6242">
        <w:rPr>
          <w:rFonts w:ascii="Verdana" w:hAnsi="Verdana"/>
          <w:sz w:val="20"/>
        </w:rPr>
        <w:t>,</w:t>
      </w:r>
      <w:r w:rsidRPr="00BD40F0">
        <w:rPr>
          <w:rFonts w:ascii="Verdana" w:hAnsi="Verdana"/>
          <w:sz w:val="20"/>
        </w:rPr>
        <w:t xml:space="preserve"> o conflito de terras entre Awas Tingni e o grupo das Dez Comunidades, nem o conflito entre Awas Tingni e a Comunidade de Kukalaya, a Comunidade Esperanza, Santa Clara e Francia Sirpi.</w:t>
      </w:r>
    </w:p>
    <w:p w:rsidR="000B3F97" w:rsidRPr="00BD40F0" w:rsidRDefault="000B3F97" w:rsidP="000B3F97">
      <w:pPr>
        <w:jc w:val="both"/>
        <w:rPr>
          <w:rFonts w:ascii="Verdana" w:hAnsi="Verdana"/>
          <w:sz w:val="20"/>
        </w:rPr>
      </w:pPr>
    </w:p>
    <w:p w:rsidR="000B3F97" w:rsidRPr="00BD40F0" w:rsidRDefault="00BE2774" w:rsidP="000B3F97">
      <w:pPr>
        <w:jc w:val="both"/>
        <w:rPr>
          <w:rFonts w:ascii="Verdana" w:hAnsi="Verdana"/>
          <w:sz w:val="20"/>
        </w:rPr>
      </w:pPr>
      <w:r>
        <w:rPr>
          <w:rFonts w:ascii="Verdana" w:hAnsi="Verdana"/>
          <w:sz w:val="20"/>
        </w:rPr>
        <w:t xml:space="preserve">De acordo com </w:t>
      </w:r>
      <w:r w:rsidR="000B3F97" w:rsidRPr="00BD40F0">
        <w:rPr>
          <w:rFonts w:ascii="Verdana" w:hAnsi="Verdana"/>
          <w:sz w:val="20"/>
        </w:rPr>
        <w:t>a história oral, a Comunidade Awas Tingni deslocou-se. O padrão de assentamento das comunidades é um pa</w:t>
      </w:r>
      <w:r w:rsidR="00EE5506">
        <w:rPr>
          <w:rFonts w:ascii="Verdana" w:hAnsi="Verdana"/>
          <w:sz w:val="20"/>
        </w:rPr>
        <w:t>d</w:t>
      </w:r>
      <w:r w:rsidR="000B3F97" w:rsidRPr="00BD40F0">
        <w:rPr>
          <w:rFonts w:ascii="Verdana" w:hAnsi="Verdana"/>
          <w:sz w:val="20"/>
        </w:rPr>
        <w:t>rão</w:t>
      </w:r>
      <w:r w:rsidR="00EE5506">
        <w:rPr>
          <w:rFonts w:ascii="Verdana" w:hAnsi="Verdana"/>
          <w:sz w:val="20"/>
        </w:rPr>
        <w:t xml:space="preserve"> de deslocamento no território.</w:t>
      </w:r>
      <w:r w:rsidR="000B3F97" w:rsidRPr="00BD40F0">
        <w:rPr>
          <w:rFonts w:ascii="Verdana" w:hAnsi="Verdana"/>
          <w:sz w:val="20"/>
        </w:rPr>
        <w:t xml:space="preserve"> Um dos fundamentos do Estado para negar direitos de posse no território </w:t>
      </w:r>
      <w:r>
        <w:rPr>
          <w:rFonts w:ascii="Verdana" w:hAnsi="Verdana"/>
          <w:sz w:val="20"/>
        </w:rPr>
        <w:t>foi</w:t>
      </w:r>
      <w:r w:rsidR="000B3F97" w:rsidRPr="00BD40F0">
        <w:rPr>
          <w:rFonts w:ascii="Verdana" w:hAnsi="Verdana"/>
          <w:sz w:val="20"/>
        </w:rPr>
        <w:t xml:space="preserve"> argumentar o caráter nômad</w:t>
      </w:r>
      <w:r w:rsidR="00EE5506">
        <w:rPr>
          <w:rFonts w:ascii="Verdana" w:hAnsi="Verdana"/>
          <w:sz w:val="20"/>
        </w:rPr>
        <w:t>e</w:t>
      </w:r>
      <w:r w:rsidR="000B3F97" w:rsidRPr="00BD40F0">
        <w:rPr>
          <w:rFonts w:ascii="Verdana" w:hAnsi="Verdana"/>
          <w:sz w:val="20"/>
        </w:rPr>
        <w:t xml:space="preserve"> destas comunidades. A Comunidade Awas Tingni deslocou-se do assentamento tradicional das comunidades Mayagnas e também das comunidades Mis</w:t>
      </w:r>
      <w:r w:rsidR="000B3F97" w:rsidRPr="004E183D">
        <w:rPr>
          <w:rFonts w:ascii="Verdana" w:hAnsi="Verdana"/>
          <w:sz w:val="20"/>
        </w:rPr>
        <w:t>k</w:t>
      </w:r>
      <w:r w:rsidR="000B3F97" w:rsidRPr="00BD40F0">
        <w:rPr>
          <w:rFonts w:ascii="Verdana" w:hAnsi="Verdana"/>
          <w:sz w:val="20"/>
        </w:rPr>
        <w:t xml:space="preserve">itas, buscando melhores condições para sua subsistência.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Desde o ano de 1990, o Estado, através de suas instâncias correspondentes, não </w:t>
      </w:r>
      <w:r w:rsidR="009E50CD">
        <w:rPr>
          <w:rFonts w:ascii="Verdana" w:hAnsi="Verdana"/>
          <w:sz w:val="20"/>
        </w:rPr>
        <w:t>conced</w:t>
      </w:r>
      <w:r w:rsidR="00704501">
        <w:rPr>
          <w:rFonts w:ascii="Verdana" w:hAnsi="Verdana"/>
          <w:sz w:val="20"/>
        </w:rPr>
        <w:t>eu</w:t>
      </w:r>
      <w:r w:rsidR="009E50CD">
        <w:rPr>
          <w:rFonts w:ascii="Verdana" w:hAnsi="Verdana"/>
          <w:sz w:val="20"/>
        </w:rPr>
        <w:t xml:space="preserve"> nenhum</w:t>
      </w:r>
      <w:r w:rsidR="009E50CD" w:rsidRPr="00BD40F0">
        <w:rPr>
          <w:rFonts w:ascii="Verdana" w:hAnsi="Verdana"/>
          <w:sz w:val="20"/>
        </w:rPr>
        <w:t xml:space="preserve"> </w:t>
      </w:r>
      <w:r w:rsidRPr="00BD40F0">
        <w:rPr>
          <w:rFonts w:ascii="Verdana" w:hAnsi="Verdana"/>
          <w:sz w:val="20"/>
        </w:rPr>
        <w:t>título às comunidades.</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b/>
          <w:sz w:val="20"/>
        </w:rPr>
      </w:pPr>
      <w:proofErr w:type="gramStart"/>
      <w:r w:rsidRPr="00BD40F0">
        <w:rPr>
          <w:rFonts w:ascii="Verdana" w:hAnsi="Verdana"/>
          <w:b/>
          <w:sz w:val="20"/>
        </w:rPr>
        <w:t>g.</w:t>
      </w:r>
      <w:proofErr w:type="gramEnd"/>
      <w:r w:rsidRPr="00BD40F0">
        <w:rPr>
          <w:rFonts w:ascii="Verdana" w:hAnsi="Verdana"/>
          <w:b/>
          <w:sz w:val="20"/>
        </w:rPr>
        <w:tab/>
        <w:t>Testemunho de Brooklyn Rivera Bryan, dirigente indígena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Pertence a uma das comunidades Mis</w:t>
      </w:r>
      <w:r w:rsidRPr="004E183D">
        <w:rPr>
          <w:rFonts w:ascii="Verdana" w:hAnsi="Verdana"/>
          <w:sz w:val="20"/>
        </w:rPr>
        <w:t>k</w:t>
      </w:r>
      <w:r w:rsidRPr="00BD40F0">
        <w:rPr>
          <w:rFonts w:ascii="Verdana" w:hAnsi="Verdana"/>
          <w:sz w:val="20"/>
        </w:rPr>
        <w:t>itas</w:t>
      </w:r>
      <w:r w:rsidR="00E8648E">
        <w:rPr>
          <w:rFonts w:ascii="Verdana" w:hAnsi="Verdana"/>
          <w:sz w:val="20"/>
        </w:rPr>
        <w:t xml:space="preserve"> </w:t>
      </w:r>
      <w:r w:rsidRPr="00BD40F0">
        <w:rPr>
          <w:rFonts w:ascii="Verdana" w:hAnsi="Verdana"/>
          <w:sz w:val="20"/>
        </w:rPr>
        <w:t>Lidaucra Sandy Bay</w:t>
      </w:r>
      <w:r w:rsidR="004E183D">
        <w:rPr>
          <w:rFonts w:ascii="Verdana" w:hAnsi="Verdana"/>
          <w:sz w:val="20"/>
        </w:rPr>
        <w:t>,</w:t>
      </w:r>
      <w:r w:rsidRPr="00BD40F0">
        <w:rPr>
          <w:rFonts w:ascii="Verdana" w:hAnsi="Verdana"/>
          <w:sz w:val="20"/>
        </w:rPr>
        <w:t xml:space="preserve"> e reside na cidade de Bilwi</w:t>
      </w:r>
      <w:r w:rsidR="00EE5506">
        <w:rPr>
          <w:rFonts w:ascii="Verdana" w:hAnsi="Verdana"/>
          <w:sz w:val="20"/>
        </w:rPr>
        <w:t>,</w:t>
      </w:r>
      <w:r w:rsidRPr="00BD40F0">
        <w:rPr>
          <w:rFonts w:ascii="Verdana" w:hAnsi="Verdana"/>
          <w:sz w:val="20"/>
        </w:rPr>
        <w:t xml:space="preserve"> na Região Autônoma do Atlântico Norte</w:t>
      </w:r>
      <w:r w:rsidR="00EE5506">
        <w:rPr>
          <w:rFonts w:ascii="Verdana" w:hAnsi="Verdana"/>
          <w:sz w:val="20"/>
        </w:rPr>
        <w:t>,</w:t>
      </w:r>
      <w:r w:rsidRPr="00BD40F0">
        <w:rPr>
          <w:rFonts w:ascii="Verdana" w:hAnsi="Verdana"/>
          <w:sz w:val="20"/>
        </w:rPr>
        <w:t xml:space="preserve"> na Nicarágua. Quando ostentava o cargo de Ministro-Diretor do Instituto Nicaraguense de Desenvolvimento das Regiões Autônomas </w:t>
      </w:r>
      <w:r w:rsidR="00C60678" w:rsidRPr="00C60678">
        <w:rPr>
          <w:rFonts w:ascii="Verdana" w:hAnsi="Verdana"/>
          <w:sz w:val="20"/>
        </w:rPr>
        <w:t>(</w:t>
      </w:r>
      <w:r w:rsidRPr="00BD40F0">
        <w:rPr>
          <w:rFonts w:ascii="Verdana" w:hAnsi="Verdana"/>
          <w:sz w:val="20"/>
        </w:rPr>
        <w:t>INDIRA</w:t>
      </w:r>
      <w:r w:rsidR="00C60678" w:rsidRPr="00C60678">
        <w:rPr>
          <w:rFonts w:ascii="Verdana" w:hAnsi="Verdana"/>
          <w:sz w:val="20"/>
        </w:rPr>
        <w:t>)</w:t>
      </w:r>
      <w:r w:rsidRPr="00BD40F0">
        <w:rPr>
          <w:rFonts w:ascii="Verdana" w:hAnsi="Verdana"/>
          <w:sz w:val="20"/>
        </w:rPr>
        <w:t>, coordenava institucionalmente os planos de desenvolvimento e de ação social do Estado nas regiões autônomas onde se assentam a maioria das comunidades indígenas da Nicarágua. Nessa época</w:t>
      </w:r>
      <w:r w:rsidR="00FA61A3">
        <w:rPr>
          <w:rFonts w:ascii="Verdana" w:hAnsi="Verdana"/>
          <w:sz w:val="20"/>
        </w:rPr>
        <w:t>,</w:t>
      </w:r>
      <w:r w:rsidRPr="00BD40F0">
        <w:rPr>
          <w:rFonts w:ascii="Verdana" w:hAnsi="Verdana"/>
          <w:sz w:val="20"/>
        </w:rPr>
        <w:t xml:space="preserve"> teve conhecimento das políticas e práticas de outras instituições estatais sobre as comunidades indígenas, em particular do MARENA e do Instituto Nicaraguense de Reforma Agrária </w:t>
      </w:r>
      <w:r w:rsidR="00C60678" w:rsidRPr="00C60678">
        <w:rPr>
          <w:rFonts w:ascii="Verdana" w:hAnsi="Verdana"/>
          <w:sz w:val="20"/>
        </w:rPr>
        <w:t>(</w:t>
      </w:r>
      <w:r w:rsidRPr="00BD40F0">
        <w:rPr>
          <w:rFonts w:ascii="Verdana" w:hAnsi="Verdana"/>
          <w:sz w:val="20"/>
        </w:rPr>
        <w:t>INRA</w:t>
      </w:r>
      <w:r w:rsidR="00C60678" w:rsidRPr="00C60678">
        <w:rPr>
          <w:rFonts w:ascii="Verdana" w:hAnsi="Verdana"/>
          <w:sz w:val="20"/>
        </w:rPr>
        <w:t>)</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Quanto à situação dos indígenas e </w:t>
      </w:r>
      <w:r w:rsidR="003379F9">
        <w:rPr>
          <w:rFonts w:ascii="Verdana" w:hAnsi="Verdana"/>
          <w:sz w:val="20"/>
        </w:rPr>
        <w:t xml:space="preserve">à </w:t>
      </w:r>
      <w:r w:rsidRPr="00BD40F0">
        <w:rPr>
          <w:rFonts w:ascii="Verdana" w:hAnsi="Verdana"/>
          <w:sz w:val="20"/>
        </w:rPr>
        <w:t>titulação de suas terras, indica que</w:t>
      </w:r>
      <w:r w:rsidR="00B43FD4">
        <w:rPr>
          <w:rFonts w:ascii="Verdana" w:hAnsi="Verdana"/>
          <w:sz w:val="20"/>
        </w:rPr>
        <w:t>,</w:t>
      </w:r>
      <w:r w:rsidRPr="00BD40F0">
        <w:rPr>
          <w:rFonts w:ascii="Verdana" w:hAnsi="Verdana"/>
          <w:sz w:val="20"/>
        </w:rPr>
        <w:t xml:space="preserve"> sendo Ministro-Diretor do INDIRA</w:t>
      </w:r>
      <w:r w:rsidR="00B43FD4">
        <w:rPr>
          <w:rFonts w:ascii="Verdana" w:hAnsi="Verdana"/>
          <w:sz w:val="20"/>
        </w:rPr>
        <w:t>,</w:t>
      </w:r>
      <w:r w:rsidRPr="00BD40F0">
        <w:rPr>
          <w:rFonts w:ascii="Verdana" w:hAnsi="Verdana"/>
          <w:sz w:val="20"/>
        </w:rPr>
        <w:t xml:space="preserve"> realizou </w:t>
      </w:r>
      <w:r w:rsidR="00704501">
        <w:rPr>
          <w:rFonts w:ascii="Verdana" w:hAnsi="Verdana"/>
          <w:sz w:val="20"/>
        </w:rPr>
        <w:t xml:space="preserve">ações </w:t>
      </w:r>
      <w:r w:rsidRPr="00BD40F0">
        <w:rPr>
          <w:rFonts w:ascii="Verdana" w:hAnsi="Verdana"/>
          <w:sz w:val="20"/>
        </w:rPr>
        <w:t xml:space="preserve">para </w:t>
      </w:r>
      <w:r w:rsidR="00EE5506">
        <w:rPr>
          <w:rFonts w:ascii="Verdana" w:hAnsi="Verdana"/>
          <w:sz w:val="20"/>
        </w:rPr>
        <w:t xml:space="preserve">se </w:t>
      </w:r>
      <w:proofErr w:type="gramStart"/>
      <w:r w:rsidRPr="00BD40F0">
        <w:rPr>
          <w:rFonts w:ascii="Verdana" w:hAnsi="Verdana"/>
          <w:sz w:val="20"/>
        </w:rPr>
        <w:t>opor</w:t>
      </w:r>
      <w:proofErr w:type="gramEnd"/>
      <w:r w:rsidRPr="00BD40F0">
        <w:rPr>
          <w:rFonts w:ascii="Verdana" w:hAnsi="Verdana"/>
          <w:sz w:val="20"/>
        </w:rPr>
        <w:t xml:space="preserve"> </w:t>
      </w:r>
      <w:r>
        <w:rPr>
          <w:rFonts w:ascii="Verdana" w:hAnsi="Verdana"/>
          <w:sz w:val="20"/>
        </w:rPr>
        <w:t xml:space="preserve">à </w:t>
      </w:r>
      <w:r w:rsidR="00E8648E">
        <w:rPr>
          <w:rFonts w:ascii="Verdana" w:hAnsi="Verdana"/>
          <w:sz w:val="20"/>
        </w:rPr>
        <w:t>entrega</w:t>
      </w:r>
      <w:r w:rsidRPr="00BD40F0">
        <w:rPr>
          <w:rFonts w:ascii="Verdana" w:hAnsi="Verdana"/>
          <w:sz w:val="20"/>
        </w:rPr>
        <w:t xml:space="preserve"> das concessões</w:t>
      </w:r>
      <w:r w:rsidR="001B4A97">
        <w:rPr>
          <w:rFonts w:ascii="Verdana" w:hAnsi="Verdana"/>
          <w:sz w:val="20"/>
        </w:rPr>
        <w:t xml:space="preserve">. </w:t>
      </w:r>
      <w:r w:rsidRPr="00BD40F0">
        <w:rPr>
          <w:rFonts w:ascii="Verdana" w:hAnsi="Verdana"/>
          <w:sz w:val="20"/>
        </w:rPr>
        <w:t>Em primeira instância</w:t>
      </w:r>
      <w:r w:rsidR="001B4A97">
        <w:rPr>
          <w:rFonts w:ascii="Verdana" w:hAnsi="Verdana"/>
          <w:sz w:val="20"/>
        </w:rPr>
        <w:t>,</w:t>
      </w:r>
      <w:r w:rsidRPr="00BD40F0">
        <w:rPr>
          <w:rFonts w:ascii="Verdana" w:hAnsi="Verdana"/>
          <w:sz w:val="20"/>
        </w:rPr>
        <w:t xml:space="preserve"> dirigiu-se ao MARENA, o encarregado de decidir </w:t>
      </w:r>
      <w:r>
        <w:rPr>
          <w:rFonts w:ascii="Verdana" w:hAnsi="Verdana"/>
          <w:sz w:val="20"/>
        </w:rPr>
        <w:t>a</w:t>
      </w:r>
      <w:r w:rsidRPr="00BD40F0">
        <w:rPr>
          <w:rFonts w:ascii="Verdana" w:hAnsi="Verdana"/>
          <w:sz w:val="20"/>
        </w:rPr>
        <w:t xml:space="preserve"> </w:t>
      </w:r>
      <w:r w:rsidR="00E8648E">
        <w:rPr>
          <w:rFonts w:ascii="Verdana" w:hAnsi="Verdana"/>
          <w:sz w:val="20"/>
        </w:rPr>
        <w:t>entrega</w:t>
      </w:r>
      <w:r w:rsidRPr="00BD40F0">
        <w:rPr>
          <w:rFonts w:ascii="Verdana" w:hAnsi="Verdana"/>
          <w:sz w:val="20"/>
        </w:rPr>
        <w:t xml:space="preserve"> destas concessões. Ao não obter um atendimento adequado</w:t>
      </w:r>
      <w:r w:rsidR="00B43FD4">
        <w:rPr>
          <w:rFonts w:ascii="Verdana" w:hAnsi="Verdana"/>
          <w:sz w:val="20"/>
        </w:rPr>
        <w:t>,</w:t>
      </w:r>
      <w:r w:rsidRPr="00BD40F0">
        <w:rPr>
          <w:rFonts w:ascii="Verdana" w:hAnsi="Verdana"/>
          <w:sz w:val="20"/>
        </w:rPr>
        <w:t xml:space="preserve"> procedeu a enviar uma comunicação a todos os demais Ministros, os quais não mostraram interesse </w:t>
      </w:r>
      <w:r w:rsidR="00704501">
        <w:rPr>
          <w:rFonts w:ascii="Verdana" w:hAnsi="Verdana"/>
          <w:sz w:val="20"/>
        </w:rPr>
        <w:t>naquele</w:t>
      </w:r>
      <w:r w:rsidRPr="00BD40F0">
        <w:rPr>
          <w:rFonts w:ascii="Verdana" w:hAnsi="Verdana"/>
          <w:sz w:val="20"/>
        </w:rPr>
        <w:t xml:space="preserve"> momento. </w:t>
      </w:r>
      <w:r w:rsidR="00B43FD4">
        <w:rPr>
          <w:rFonts w:ascii="Verdana" w:hAnsi="Verdana"/>
          <w:sz w:val="20"/>
        </w:rPr>
        <w:t>A situação não foi atendida</w:t>
      </w:r>
      <w:r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lastRenderedPageBreak/>
        <w:t>O INRA</w:t>
      </w:r>
      <w:r w:rsidR="00917754">
        <w:rPr>
          <w:rFonts w:ascii="Verdana" w:hAnsi="Verdana"/>
          <w:sz w:val="20"/>
        </w:rPr>
        <w:t xml:space="preserve"> se</w:t>
      </w:r>
      <w:r w:rsidRPr="00BD40F0">
        <w:rPr>
          <w:rFonts w:ascii="Verdana" w:hAnsi="Verdana"/>
          <w:sz w:val="20"/>
        </w:rPr>
        <w:t xml:space="preserve"> limitava</w:t>
      </w:r>
      <w:r w:rsidR="00917754">
        <w:rPr>
          <w:rFonts w:ascii="Verdana" w:hAnsi="Verdana"/>
          <w:sz w:val="20"/>
        </w:rPr>
        <w:t xml:space="preserve"> </w:t>
      </w:r>
      <w:r w:rsidRPr="00BD40F0">
        <w:rPr>
          <w:rFonts w:ascii="Verdana" w:hAnsi="Verdana"/>
          <w:sz w:val="20"/>
        </w:rPr>
        <w:t xml:space="preserve">a atender </w:t>
      </w:r>
      <w:r w:rsidR="001B4A97">
        <w:rPr>
          <w:rFonts w:ascii="Verdana" w:hAnsi="Verdana"/>
          <w:sz w:val="20"/>
        </w:rPr>
        <w:t>as reivindicações</w:t>
      </w:r>
      <w:r w:rsidRPr="00BD40F0">
        <w:rPr>
          <w:rFonts w:ascii="Verdana" w:hAnsi="Verdana"/>
          <w:sz w:val="20"/>
        </w:rPr>
        <w:t xml:space="preserve"> de terras das cooperativas e</w:t>
      </w:r>
      <w:r w:rsidR="009E50CD">
        <w:rPr>
          <w:rFonts w:ascii="Verdana" w:hAnsi="Verdana"/>
          <w:sz w:val="20"/>
        </w:rPr>
        <w:t xml:space="preserve"> de</w:t>
      </w:r>
      <w:r w:rsidRPr="00BD40F0">
        <w:rPr>
          <w:rFonts w:ascii="Verdana" w:hAnsi="Verdana"/>
          <w:sz w:val="20"/>
        </w:rPr>
        <w:t xml:space="preserve"> </w:t>
      </w:r>
      <w:r>
        <w:rPr>
          <w:rFonts w:ascii="Verdana" w:hAnsi="Verdana"/>
          <w:sz w:val="20"/>
        </w:rPr>
        <w:t>camponeses</w:t>
      </w:r>
      <w:r w:rsidRPr="00BD40F0">
        <w:rPr>
          <w:rFonts w:ascii="Verdana" w:hAnsi="Verdana"/>
          <w:sz w:val="20"/>
        </w:rPr>
        <w:t xml:space="preserve"> sem terra, dando-lhes uma porção de terreno de 50 quadras por família, o qu</w:t>
      </w:r>
      <w:r w:rsidR="009E50CD">
        <w:rPr>
          <w:rFonts w:ascii="Verdana" w:hAnsi="Verdana"/>
          <w:sz w:val="20"/>
        </w:rPr>
        <w:t>e</w:t>
      </w:r>
      <w:r w:rsidRPr="00BD40F0">
        <w:rPr>
          <w:rFonts w:ascii="Verdana" w:hAnsi="Verdana"/>
          <w:sz w:val="20"/>
        </w:rPr>
        <w:t xml:space="preserve"> vinha acompanhado de uma assistência técnica.</w:t>
      </w:r>
      <w:r w:rsidR="00850A3F">
        <w:rPr>
          <w:rFonts w:ascii="Verdana" w:hAnsi="Verdana"/>
          <w:sz w:val="20"/>
        </w:rPr>
        <w:t xml:space="preserve"> </w:t>
      </w:r>
      <w:r w:rsidRPr="00BD40F0">
        <w:rPr>
          <w:rFonts w:ascii="Verdana" w:hAnsi="Verdana"/>
          <w:sz w:val="20"/>
        </w:rPr>
        <w:t xml:space="preserve">Quanto às comunidades indígenas, o INRA não assumia nenhuma responsabilidade, já que argumentava que a lei não lhe dava a faculdade para atender </w:t>
      </w:r>
      <w:r w:rsidR="001B4A97">
        <w:rPr>
          <w:rFonts w:ascii="Verdana" w:hAnsi="Verdana"/>
          <w:sz w:val="20"/>
        </w:rPr>
        <w:t>suas reivindicações</w:t>
      </w:r>
      <w:r w:rsidRPr="00BD40F0">
        <w:rPr>
          <w:rFonts w:ascii="Verdana" w:hAnsi="Verdana"/>
          <w:sz w:val="20"/>
        </w:rPr>
        <w:t xml:space="preserve"> e não existia outra instância específica para atendê-l</w:t>
      </w:r>
      <w:r w:rsidR="001B4A97">
        <w:rPr>
          <w:rFonts w:ascii="Verdana" w:hAnsi="Verdana"/>
          <w:sz w:val="20"/>
        </w:rPr>
        <w:t>a</w:t>
      </w:r>
      <w:r w:rsidRPr="00BD40F0">
        <w:rPr>
          <w:rFonts w:ascii="Verdana" w:hAnsi="Verdana"/>
          <w:sz w:val="20"/>
        </w:rPr>
        <w:t>s.</w:t>
      </w:r>
      <w:r w:rsidR="00850A3F">
        <w:rPr>
          <w:rFonts w:ascii="Verdana" w:hAnsi="Verdana"/>
          <w:sz w:val="20"/>
        </w:rPr>
        <w:t xml:space="preserve"> </w:t>
      </w:r>
      <w:r w:rsidRPr="00BD40F0">
        <w:rPr>
          <w:rFonts w:ascii="Verdana" w:hAnsi="Verdana"/>
          <w:sz w:val="20"/>
        </w:rPr>
        <w:t xml:space="preserve">O INRA </w:t>
      </w:r>
      <w:r>
        <w:rPr>
          <w:rFonts w:ascii="Verdana" w:hAnsi="Verdana"/>
          <w:sz w:val="20"/>
        </w:rPr>
        <w:t>transferia</w:t>
      </w:r>
      <w:r w:rsidRPr="00BD40F0">
        <w:rPr>
          <w:rFonts w:ascii="Verdana" w:hAnsi="Verdana"/>
          <w:sz w:val="20"/>
        </w:rPr>
        <w:t xml:space="preserve"> ao INDIRA </w:t>
      </w:r>
      <w:r w:rsidR="001B4A97">
        <w:rPr>
          <w:rFonts w:ascii="Verdana" w:hAnsi="Verdana"/>
          <w:sz w:val="20"/>
        </w:rPr>
        <w:t>as reivindicações</w:t>
      </w:r>
      <w:r w:rsidRPr="00BD40F0">
        <w:rPr>
          <w:rFonts w:ascii="Verdana" w:hAnsi="Verdana"/>
          <w:sz w:val="20"/>
        </w:rPr>
        <w:t xml:space="preserve"> das comunidades indígenas, mas este último não tinha competência </w:t>
      </w:r>
      <w:r w:rsidR="009E50CD">
        <w:rPr>
          <w:rFonts w:ascii="Verdana" w:hAnsi="Verdana"/>
          <w:sz w:val="20"/>
        </w:rPr>
        <w:t>para</w:t>
      </w:r>
      <w:r w:rsidRPr="00BD40F0">
        <w:rPr>
          <w:rFonts w:ascii="Verdana" w:hAnsi="Verdana"/>
          <w:sz w:val="20"/>
        </w:rPr>
        <w:t xml:space="preserve"> atender essas </w:t>
      </w:r>
      <w:r w:rsidR="00917754">
        <w:rPr>
          <w:rFonts w:ascii="Verdana" w:hAnsi="Verdana"/>
          <w:sz w:val="20"/>
        </w:rPr>
        <w:t>reivindicações</w:t>
      </w:r>
      <w:r w:rsidRPr="00BD40F0">
        <w:rPr>
          <w:rFonts w:ascii="Verdana" w:hAnsi="Verdana"/>
          <w:sz w:val="20"/>
        </w:rPr>
        <w:t xml:space="preserve"> específicas</w:t>
      </w:r>
      <w:r w:rsidR="00B43FD4">
        <w:rPr>
          <w:rFonts w:ascii="Verdana" w:hAnsi="Verdana"/>
          <w:sz w:val="20"/>
        </w:rPr>
        <w:t>,</w:t>
      </w:r>
      <w:r w:rsidRPr="00BD40F0">
        <w:rPr>
          <w:rFonts w:ascii="Verdana" w:hAnsi="Verdana"/>
          <w:sz w:val="20"/>
        </w:rPr>
        <w:t xml:space="preserve"> e tampouco o MARENA, portanto o Estado carecia de um instrumento </w:t>
      </w:r>
      <w:r w:rsidR="00917754">
        <w:rPr>
          <w:rFonts w:ascii="Verdana" w:hAnsi="Verdana"/>
          <w:sz w:val="20"/>
        </w:rPr>
        <w:t>legal que lhe permitisse atendê-las</w:t>
      </w:r>
      <w:r w:rsidRPr="00BD40F0">
        <w:rPr>
          <w:rFonts w:ascii="Verdana" w:hAnsi="Verdana"/>
          <w:sz w:val="20"/>
        </w:rPr>
        <w:t>.</w:t>
      </w:r>
      <w:r w:rsidR="00850A3F">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Quando havia demandas das comunidades indígenas</w:t>
      </w:r>
      <w:r w:rsidR="00B43FD4">
        <w:rPr>
          <w:rFonts w:ascii="Verdana" w:hAnsi="Verdana"/>
          <w:sz w:val="20"/>
        </w:rPr>
        <w:t>, estas</w:t>
      </w:r>
      <w:r w:rsidRPr="00BD40F0">
        <w:rPr>
          <w:rFonts w:ascii="Verdana" w:hAnsi="Verdana"/>
          <w:sz w:val="20"/>
        </w:rPr>
        <w:t xml:space="preserve"> </w:t>
      </w:r>
      <w:r w:rsidR="009E50CD">
        <w:rPr>
          <w:rFonts w:ascii="Verdana" w:hAnsi="Verdana"/>
          <w:sz w:val="20"/>
        </w:rPr>
        <w:t xml:space="preserve">eram dirigidas </w:t>
      </w:r>
      <w:r w:rsidRPr="00BD40F0">
        <w:rPr>
          <w:rFonts w:ascii="Verdana" w:hAnsi="Verdana"/>
          <w:sz w:val="20"/>
        </w:rPr>
        <w:t>às autoridades do INRA</w:t>
      </w:r>
      <w:r w:rsidR="00B43FD4">
        <w:rPr>
          <w:rFonts w:ascii="Verdana" w:hAnsi="Verdana"/>
          <w:sz w:val="20"/>
        </w:rPr>
        <w:t>,</w:t>
      </w:r>
      <w:r w:rsidRPr="00BD40F0">
        <w:rPr>
          <w:rFonts w:ascii="Verdana" w:hAnsi="Verdana"/>
          <w:sz w:val="20"/>
        </w:rPr>
        <w:t xml:space="preserve"> para ver como </w:t>
      </w:r>
      <w:r w:rsidR="001B4A97">
        <w:rPr>
          <w:rFonts w:ascii="Verdana" w:hAnsi="Verdana"/>
          <w:sz w:val="20"/>
        </w:rPr>
        <w:t>podiam ser atendidas</w:t>
      </w:r>
      <w:r w:rsidR="00B43FD4">
        <w:rPr>
          <w:rFonts w:ascii="Verdana" w:hAnsi="Verdana"/>
          <w:sz w:val="20"/>
        </w:rPr>
        <w:t>,</w:t>
      </w:r>
      <w:r w:rsidRPr="00BD40F0">
        <w:rPr>
          <w:rFonts w:ascii="Verdana" w:hAnsi="Verdana"/>
          <w:sz w:val="20"/>
        </w:rPr>
        <w:t xml:space="preserve"> e dialogava com os altos funcionários do Gabinete do Governo.</w:t>
      </w:r>
      <w:r w:rsidRPr="00BD40F0">
        <w:rPr>
          <w:rFonts w:ascii="Verdana" w:hAnsi="Verdana"/>
          <w:b/>
          <w:sz w:val="20"/>
        </w:rPr>
        <w:t xml:space="preserve"> </w:t>
      </w:r>
      <w:r w:rsidRPr="00BD40F0">
        <w:rPr>
          <w:rFonts w:ascii="Verdana" w:hAnsi="Verdana"/>
          <w:sz w:val="20"/>
        </w:rPr>
        <w:t xml:space="preserve">Apesar de que o INRA alegava </w:t>
      </w:r>
      <w:r w:rsidR="00B43FD4">
        <w:rPr>
          <w:rFonts w:ascii="Verdana" w:hAnsi="Verdana"/>
          <w:sz w:val="20"/>
        </w:rPr>
        <w:t>não ter</w:t>
      </w:r>
      <w:r w:rsidRPr="00BD40F0">
        <w:rPr>
          <w:rFonts w:ascii="Verdana" w:hAnsi="Verdana"/>
          <w:sz w:val="20"/>
        </w:rPr>
        <w:t xml:space="preserve"> competência, </w:t>
      </w:r>
      <w:r>
        <w:rPr>
          <w:rFonts w:ascii="Verdana" w:hAnsi="Verdana"/>
          <w:sz w:val="20"/>
        </w:rPr>
        <w:t>emitia</w:t>
      </w:r>
      <w:r w:rsidRPr="00BD40F0">
        <w:rPr>
          <w:rFonts w:ascii="Verdana" w:hAnsi="Verdana"/>
          <w:sz w:val="20"/>
        </w:rPr>
        <w:t xml:space="preserve"> </w:t>
      </w:r>
      <w:r w:rsidR="00E719DD">
        <w:rPr>
          <w:rFonts w:ascii="Verdana" w:hAnsi="Verdana"/>
          <w:sz w:val="20"/>
        </w:rPr>
        <w:t>declarações</w:t>
      </w:r>
      <w:r w:rsidRPr="00BD40F0">
        <w:rPr>
          <w:rFonts w:ascii="Verdana" w:hAnsi="Verdana"/>
          <w:sz w:val="20"/>
        </w:rPr>
        <w:t xml:space="preserve"> de entrega de terras a</w:t>
      </w:r>
      <w:r w:rsidRPr="00BD40F0">
        <w:rPr>
          <w:rFonts w:ascii="Verdana" w:hAnsi="Verdana"/>
          <w:b/>
          <w:sz w:val="20"/>
        </w:rPr>
        <w:t xml:space="preserve"> </w:t>
      </w:r>
      <w:r w:rsidRPr="00BD40F0">
        <w:rPr>
          <w:rFonts w:ascii="Verdana" w:hAnsi="Verdana"/>
          <w:sz w:val="20"/>
        </w:rPr>
        <w:t>ex-militares,</w:t>
      </w:r>
      <w:r w:rsidRPr="00BD40F0">
        <w:rPr>
          <w:rFonts w:ascii="Verdana" w:hAnsi="Verdana"/>
          <w:b/>
          <w:sz w:val="20"/>
        </w:rPr>
        <w:t xml:space="preserve"> </w:t>
      </w:r>
      <w:r w:rsidRPr="00BD40F0">
        <w:rPr>
          <w:rFonts w:ascii="Verdana" w:hAnsi="Verdana"/>
          <w:sz w:val="20"/>
        </w:rPr>
        <w:t xml:space="preserve">entidades do exército, da polícia e </w:t>
      </w:r>
      <w:r w:rsidR="001B4A97">
        <w:rPr>
          <w:rFonts w:ascii="Verdana" w:hAnsi="Verdana"/>
          <w:sz w:val="20"/>
        </w:rPr>
        <w:t>à</w:t>
      </w:r>
      <w:r w:rsidRPr="00BD40F0">
        <w:rPr>
          <w:rFonts w:ascii="Verdana" w:hAnsi="Verdana"/>
          <w:sz w:val="20"/>
        </w:rPr>
        <w:t xml:space="preserve"> resistência nicaraguense, terras que estavam dentro do território da maioria das comunidades indígenas.</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Posteriormente, o INDIRA procurou outros mecanismos, baseados nas atividades das próprias comunidades, </w:t>
      </w:r>
      <w:r w:rsidR="005A5DA3">
        <w:rPr>
          <w:rFonts w:ascii="Verdana" w:hAnsi="Verdana"/>
          <w:sz w:val="20"/>
        </w:rPr>
        <w:t xml:space="preserve">para o que </w:t>
      </w:r>
      <w:r w:rsidRPr="00BD40F0">
        <w:rPr>
          <w:rFonts w:ascii="Verdana" w:hAnsi="Verdana"/>
          <w:sz w:val="20"/>
        </w:rPr>
        <w:t>colaborou na formação da Organização de Síndicos Indígenas, que são os administradores legais das terras das comunidades.</w:t>
      </w:r>
      <w:r w:rsidR="00850A3F">
        <w:rPr>
          <w:rFonts w:ascii="Verdana" w:hAnsi="Verdana"/>
          <w:sz w:val="20"/>
        </w:rPr>
        <w:t xml:space="preserve"> </w:t>
      </w:r>
      <w:r w:rsidRPr="00BD40F0">
        <w:rPr>
          <w:rFonts w:ascii="Verdana" w:hAnsi="Verdana"/>
          <w:sz w:val="20"/>
        </w:rPr>
        <w:t xml:space="preserve">Foi formado o que se conheceu como a Organização de Síndicos da Costa Atlântica da Nicarágua </w:t>
      </w:r>
      <w:r w:rsidR="00C60678" w:rsidRPr="00C60678">
        <w:rPr>
          <w:rFonts w:ascii="Verdana" w:hAnsi="Verdana"/>
          <w:sz w:val="20"/>
        </w:rPr>
        <w:t>(</w:t>
      </w:r>
      <w:r w:rsidRPr="00BD40F0">
        <w:rPr>
          <w:rFonts w:ascii="Verdana" w:hAnsi="Verdana"/>
          <w:sz w:val="20"/>
        </w:rPr>
        <w:t>OSICAN</w:t>
      </w:r>
      <w:r w:rsidR="00C60678" w:rsidRPr="00C60678">
        <w:rPr>
          <w:rFonts w:ascii="Verdana" w:hAnsi="Verdana"/>
          <w:sz w:val="20"/>
        </w:rPr>
        <w:t>)</w:t>
      </w:r>
      <w:r w:rsidRPr="00BD40F0">
        <w:rPr>
          <w:rFonts w:ascii="Verdana" w:hAnsi="Verdana"/>
          <w:sz w:val="20"/>
        </w:rPr>
        <w:t>.</w:t>
      </w:r>
      <w:r w:rsidRPr="00BD40F0">
        <w:rPr>
          <w:rFonts w:ascii="Verdana" w:hAnsi="Verdana"/>
          <w:b/>
          <w:sz w:val="20"/>
        </w:rPr>
        <w:t xml:space="preserve"> </w:t>
      </w:r>
      <w:r w:rsidRPr="00BD40F0">
        <w:rPr>
          <w:rFonts w:ascii="Verdana" w:hAnsi="Verdana"/>
          <w:sz w:val="20"/>
        </w:rPr>
        <w:t>Es</w:t>
      </w:r>
      <w:r w:rsidR="005A5DA3">
        <w:rPr>
          <w:rFonts w:ascii="Verdana" w:hAnsi="Verdana"/>
          <w:sz w:val="20"/>
        </w:rPr>
        <w:t>s</w:t>
      </w:r>
      <w:r w:rsidRPr="00BD40F0">
        <w:rPr>
          <w:rFonts w:ascii="Verdana" w:hAnsi="Verdana"/>
          <w:sz w:val="20"/>
        </w:rPr>
        <w:t xml:space="preserve">e organismo trabalhou em um projeto de lei, </w:t>
      </w:r>
      <w:r w:rsidR="008B35E1">
        <w:rPr>
          <w:rFonts w:ascii="Verdana" w:hAnsi="Verdana"/>
          <w:sz w:val="20"/>
        </w:rPr>
        <w:t>o qual</w:t>
      </w:r>
      <w:r w:rsidR="008B35E1" w:rsidRPr="00BD40F0">
        <w:rPr>
          <w:rFonts w:ascii="Verdana" w:hAnsi="Verdana"/>
          <w:sz w:val="20"/>
        </w:rPr>
        <w:t xml:space="preserve"> </w:t>
      </w:r>
      <w:r w:rsidRPr="00BD40F0">
        <w:rPr>
          <w:rFonts w:ascii="Verdana" w:hAnsi="Verdana"/>
          <w:sz w:val="20"/>
        </w:rPr>
        <w:t xml:space="preserve">foi amplamente consultado </w:t>
      </w:r>
      <w:r w:rsidR="009E50CD">
        <w:rPr>
          <w:rFonts w:ascii="Verdana" w:hAnsi="Verdana"/>
          <w:sz w:val="20"/>
        </w:rPr>
        <w:t>com a</w:t>
      </w:r>
      <w:r w:rsidRPr="00BD40F0">
        <w:rPr>
          <w:rFonts w:ascii="Verdana" w:hAnsi="Verdana"/>
          <w:sz w:val="20"/>
        </w:rPr>
        <w:t xml:space="preserve">s comunidades indígenas e apresentado à Assembleia Nacional em 1996. </w:t>
      </w:r>
      <w:r w:rsidR="001B4A97">
        <w:rPr>
          <w:rFonts w:ascii="Verdana" w:hAnsi="Verdana"/>
          <w:sz w:val="20"/>
        </w:rPr>
        <w:t>Como r</w:t>
      </w:r>
      <w:r w:rsidR="005A5DA3">
        <w:rPr>
          <w:rFonts w:ascii="Verdana" w:hAnsi="Verdana"/>
          <w:sz w:val="20"/>
        </w:rPr>
        <w:t>esultado da</w:t>
      </w:r>
      <w:r w:rsidRPr="00BD40F0">
        <w:rPr>
          <w:rFonts w:ascii="Verdana" w:hAnsi="Verdana"/>
          <w:sz w:val="20"/>
        </w:rPr>
        <w:t xml:space="preserve"> referida iniciativa</w:t>
      </w:r>
      <w:r w:rsidR="008B35E1">
        <w:rPr>
          <w:rFonts w:ascii="Verdana" w:hAnsi="Verdana"/>
          <w:sz w:val="20"/>
        </w:rPr>
        <w:t>,</w:t>
      </w:r>
      <w:r w:rsidRPr="00BD40F0">
        <w:rPr>
          <w:rFonts w:ascii="Verdana" w:hAnsi="Verdana"/>
          <w:sz w:val="20"/>
        </w:rPr>
        <w:t xml:space="preserve"> foi decidido criar a Comissão Nacional de Demarcação de Terras das Comunidades Indígenas, a qual foi instalada no ano de 1996, mas</w:t>
      </w:r>
      <w:r w:rsidR="008B35E1">
        <w:rPr>
          <w:rFonts w:ascii="Verdana" w:hAnsi="Verdana"/>
          <w:sz w:val="20"/>
        </w:rPr>
        <w:t xml:space="preserve"> que</w:t>
      </w:r>
      <w:r w:rsidRPr="00BD40F0">
        <w:rPr>
          <w:rFonts w:ascii="Verdana" w:hAnsi="Verdana"/>
          <w:sz w:val="20"/>
        </w:rPr>
        <w:t xml:space="preserve"> não </w:t>
      </w:r>
      <w:r w:rsidR="005A5DA3">
        <w:rPr>
          <w:rFonts w:ascii="Verdana" w:hAnsi="Verdana"/>
          <w:sz w:val="20"/>
        </w:rPr>
        <w:t xml:space="preserve">conseguiu </w:t>
      </w:r>
      <w:r w:rsidRPr="00BD40F0">
        <w:rPr>
          <w:rFonts w:ascii="Verdana" w:hAnsi="Verdana"/>
          <w:sz w:val="20"/>
        </w:rPr>
        <w:t>avançar nas tarefas que haviam proposto.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A criação da Comissão Nacional de Demarcação ficou como um legado para o Governo que assumiu em 1997. Durante esse Governo foram feitas algumas reuniões entre os representantes do Estado e os indígenas, os quais solicitaram a ampliação da representação indígena; tal </w:t>
      </w:r>
      <w:r w:rsidR="002C1951">
        <w:rPr>
          <w:rFonts w:ascii="Verdana" w:hAnsi="Verdana"/>
          <w:sz w:val="20"/>
        </w:rPr>
        <w:t>pedido</w:t>
      </w:r>
      <w:r w:rsidRPr="00BD40F0">
        <w:rPr>
          <w:rFonts w:ascii="Verdana" w:hAnsi="Verdana"/>
          <w:sz w:val="20"/>
        </w:rPr>
        <w:t xml:space="preserve"> </w:t>
      </w:r>
      <w:r w:rsidR="009E50CD" w:rsidRPr="00BD40F0">
        <w:rPr>
          <w:rFonts w:ascii="Verdana" w:hAnsi="Verdana"/>
          <w:sz w:val="20"/>
        </w:rPr>
        <w:t>result</w:t>
      </w:r>
      <w:r w:rsidR="009E50CD">
        <w:rPr>
          <w:rFonts w:ascii="Verdana" w:hAnsi="Verdana"/>
          <w:sz w:val="20"/>
        </w:rPr>
        <w:t>ou</w:t>
      </w:r>
      <w:r w:rsidR="009E50CD" w:rsidRPr="00BD40F0">
        <w:rPr>
          <w:rFonts w:ascii="Verdana" w:hAnsi="Verdana"/>
          <w:sz w:val="20"/>
        </w:rPr>
        <w:t xml:space="preserve"> </w:t>
      </w:r>
      <w:r w:rsidR="009E50CD">
        <w:rPr>
          <w:rFonts w:ascii="Verdana" w:hAnsi="Verdana"/>
          <w:sz w:val="20"/>
        </w:rPr>
        <w:t>n</w:t>
      </w:r>
      <w:r w:rsidRPr="00BD40F0">
        <w:rPr>
          <w:rFonts w:ascii="Verdana" w:hAnsi="Verdana"/>
          <w:sz w:val="20"/>
        </w:rPr>
        <w:t>um projeto de lei apresent</w:t>
      </w:r>
      <w:r w:rsidR="005A5DA3">
        <w:rPr>
          <w:rFonts w:ascii="Verdana" w:hAnsi="Verdana"/>
          <w:sz w:val="20"/>
        </w:rPr>
        <w:t>ado</w:t>
      </w:r>
      <w:r w:rsidRPr="00BD40F0">
        <w:rPr>
          <w:rFonts w:ascii="Verdana" w:hAnsi="Verdana"/>
          <w:sz w:val="20"/>
        </w:rPr>
        <w:t xml:space="preserve"> à Assembleia Nacional em 13 de outubro de 1998.</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Quando o Estado </w:t>
      </w:r>
      <w:r w:rsidR="001B4A97">
        <w:rPr>
          <w:rFonts w:ascii="Verdana" w:hAnsi="Verdana"/>
          <w:sz w:val="20"/>
        </w:rPr>
        <w:t>entregou</w:t>
      </w:r>
      <w:r w:rsidRPr="00BD40F0">
        <w:rPr>
          <w:rFonts w:ascii="Verdana" w:hAnsi="Verdana"/>
          <w:sz w:val="20"/>
        </w:rPr>
        <w:t xml:space="preserve"> a concessão à empresa SOLCARSA, a testemunha ocupava o cargo de Ministro, </w:t>
      </w:r>
      <w:r w:rsidR="009E50CD">
        <w:rPr>
          <w:rFonts w:ascii="Verdana" w:hAnsi="Verdana"/>
          <w:sz w:val="20"/>
        </w:rPr>
        <w:t xml:space="preserve">de modo que </w:t>
      </w:r>
      <w:r w:rsidRPr="00BD40F0">
        <w:rPr>
          <w:rFonts w:ascii="Verdana" w:hAnsi="Verdana"/>
          <w:sz w:val="20"/>
        </w:rPr>
        <w:t xml:space="preserve">tem conhecimento de que, durante a consideração do MARENA sobre </w:t>
      </w:r>
      <w:r w:rsidR="002C1951">
        <w:rPr>
          <w:rFonts w:ascii="Verdana" w:hAnsi="Verdana"/>
          <w:sz w:val="20"/>
        </w:rPr>
        <w:t xml:space="preserve">a </w:t>
      </w:r>
      <w:r w:rsidR="009E50CD">
        <w:rPr>
          <w:rFonts w:ascii="Verdana" w:hAnsi="Verdana"/>
          <w:sz w:val="20"/>
        </w:rPr>
        <w:t>outorga da concessão</w:t>
      </w:r>
      <w:r w:rsidR="002C1951">
        <w:rPr>
          <w:rFonts w:ascii="Verdana" w:hAnsi="Verdana"/>
          <w:sz w:val="20"/>
        </w:rPr>
        <w:t>,</w:t>
      </w:r>
      <w:r w:rsidRPr="00BD40F0">
        <w:rPr>
          <w:rFonts w:ascii="Verdana" w:hAnsi="Verdana"/>
          <w:sz w:val="20"/>
        </w:rPr>
        <w:t xml:space="preserve"> alguns representantes das comunidades indígenas de Awas Tingni, Kakamuklaya e outras </w:t>
      </w:r>
      <w:r w:rsidR="002C1951" w:rsidRPr="00BD40F0">
        <w:rPr>
          <w:rFonts w:ascii="Verdana" w:hAnsi="Verdana"/>
          <w:sz w:val="20"/>
        </w:rPr>
        <w:t>se dirigiram</w:t>
      </w:r>
      <w:r w:rsidR="00032BFF">
        <w:rPr>
          <w:rFonts w:ascii="Verdana" w:hAnsi="Verdana"/>
          <w:sz w:val="20"/>
        </w:rPr>
        <w:t xml:space="preserve"> </w:t>
      </w:r>
      <w:r w:rsidRPr="00BD40F0">
        <w:rPr>
          <w:rFonts w:ascii="Verdana" w:hAnsi="Verdana"/>
          <w:sz w:val="20"/>
        </w:rPr>
        <w:t xml:space="preserve">a seus escritórios para opor-se, alegando a violação de seu direito territorial, já que a área da concessão proposta coincidia com seus territórios ancestrais.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Em companhia de representantes das comunidades</w:t>
      </w:r>
      <w:r w:rsidR="009E50CD">
        <w:rPr>
          <w:rFonts w:ascii="Verdana" w:hAnsi="Verdana"/>
          <w:sz w:val="20"/>
        </w:rPr>
        <w:t>,</w:t>
      </w:r>
      <w:r w:rsidRPr="00BD40F0">
        <w:rPr>
          <w:rFonts w:ascii="Verdana" w:hAnsi="Verdana"/>
          <w:sz w:val="20"/>
        </w:rPr>
        <w:t xml:space="preserve"> comunicou-se </w:t>
      </w:r>
      <w:r w:rsidRPr="00586D66">
        <w:rPr>
          <w:rFonts w:ascii="Verdana" w:hAnsi="Verdana"/>
          <w:sz w:val="20"/>
        </w:rPr>
        <w:t>com as altas autoridades do MARENA</w:t>
      </w:r>
      <w:r w:rsidR="008B35E1">
        <w:rPr>
          <w:rFonts w:ascii="Verdana" w:hAnsi="Verdana"/>
          <w:sz w:val="20"/>
        </w:rPr>
        <w:t>,</w:t>
      </w:r>
      <w:r w:rsidRPr="00586D66">
        <w:rPr>
          <w:rFonts w:ascii="Verdana" w:hAnsi="Verdana"/>
          <w:sz w:val="20"/>
        </w:rPr>
        <w:t xml:space="preserve"> para </w:t>
      </w:r>
      <w:r w:rsidR="00032BFF">
        <w:rPr>
          <w:rFonts w:ascii="Verdana" w:hAnsi="Verdana"/>
          <w:sz w:val="20"/>
        </w:rPr>
        <w:t xml:space="preserve">apresentar suas inquietudes e demandas. </w:t>
      </w:r>
      <w:r w:rsidRPr="00586D66">
        <w:rPr>
          <w:rFonts w:ascii="Verdana" w:hAnsi="Verdana"/>
          <w:sz w:val="20"/>
        </w:rPr>
        <w:t xml:space="preserve">Entretanto, a posição desta Instituição, </w:t>
      </w:r>
      <w:r w:rsidR="00917754">
        <w:rPr>
          <w:rFonts w:ascii="Verdana" w:hAnsi="Verdana"/>
          <w:sz w:val="20"/>
        </w:rPr>
        <w:t>assim como a</w:t>
      </w:r>
      <w:r w:rsidRPr="00586D66">
        <w:rPr>
          <w:rFonts w:ascii="Verdana" w:hAnsi="Verdana"/>
          <w:sz w:val="20"/>
        </w:rPr>
        <w:t xml:space="preserve"> do Governo, era </w:t>
      </w:r>
      <w:r w:rsidR="009E50CD">
        <w:rPr>
          <w:rFonts w:ascii="Verdana" w:hAnsi="Verdana"/>
          <w:sz w:val="20"/>
        </w:rPr>
        <w:t xml:space="preserve">de </w:t>
      </w:r>
      <w:r w:rsidRPr="00586D66">
        <w:rPr>
          <w:rFonts w:ascii="Verdana" w:hAnsi="Verdana"/>
          <w:sz w:val="20"/>
        </w:rPr>
        <w:t xml:space="preserve">que as áreas vazias ou baldias </w:t>
      </w:r>
      <w:r w:rsidR="009E50CD">
        <w:rPr>
          <w:rFonts w:ascii="Verdana" w:hAnsi="Verdana"/>
          <w:sz w:val="20"/>
        </w:rPr>
        <w:t xml:space="preserve">pertenciam ao </w:t>
      </w:r>
      <w:r w:rsidRPr="00586D66">
        <w:rPr>
          <w:rFonts w:ascii="Verdana" w:hAnsi="Verdana"/>
          <w:sz w:val="20"/>
        </w:rPr>
        <w:t xml:space="preserve">Estado, que as comunidades não tinham título e que a concessão </w:t>
      </w:r>
      <w:r w:rsidR="002C1951">
        <w:rPr>
          <w:rFonts w:ascii="Verdana" w:hAnsi="Verdana"/>
          <w:sz w:val="20"/>
        </w:rPr>
        <w:t xml:space="preserve">lhes </w:t>
      </w:r>
      <w:r w:rsidR="009E50CD">
        <w:rPr>
          <w:rFonts w:ascii="Verdana" w:hAnsi="Verdana"/>
          <w:sz w:val="20"/>
        </w:rPr>
        <w:t xml:space="preserve">traria </w:t>
      </w:r>
      <w:r w:rsidRPr="00586D66">
        <w:rPr>
          <w:rFonts w:ascii="Verdana" w:hAnsi="Verdana"/>
          <w:sz w:val="20"/>
        </w:rPr>
        <w:t>benefícios</w:t>
      </w:r>
      <w:r w:rsidR="008B35E1">
        <w:rPr>
          <w:rFonts w:ascii="Verdana" w:hAnsi="Verdana"/>
          <w:sz w:val="20"/>
        </w:rPr>
        <w:t>,</w:t>
      </w:r>
      <w:r w:rsidRPr="00586D66">
        <w:rPr>
          <w:rFonts w:ascii="Verdana" w:hAnsi="Verdana"/>
          <w:sz w:val="20"/>
        </w:rPr>
        <w:t xml:space="preserve"> porqu</w:t>
      </w:r>
      <w:r w:rsidR="00032BFF">
        <w:rPr>
          <w:rFonts w:ascii="Verdana" w:hAnsi="Verdana"/>
          <w:sz w:val="20"/>
        </w:rPr>
        <w:t xml:space="preserve">e geraria emprego e ingressos. </w:t>
      </w:r>
      <w:r w:rsidRPr="00586D66">
        <w:rPr>
          <w:rFonts w:ascii="Verdana" w:hAnsi="Verdana"/>
          <w:sz w:val="20"/>
        </w:rPr>
        <w:t>As inquietudes foram</w:t>
      </w:r>
      <w:r w:rsidRPr="00BD40F0">
        <w:rPr>
          <w:rFonts w:ascii="Verdana" w:hAnsi="Verdana"/>
          <w:sz w:val="20"/>
        </w:rPr>
        <w:t xml:space="preserve"> </w:t>
      </w:r>
      <w:r w:rsidR="00032BFF">
        <w:rPr>
          <w:rFonts w:ascii="Verdana" w:hAnsi="Verdana"/>
          <w:sz w:val="20"/>
        </w:rPr>
        <w:t>apresentadas</w:t>
      </w:r>
      <w:r w:rsidRPr="00BD40F0">
        <w:rPr>
          <w:rFonts w:ascii="Verdana" w:hAnsi="Verdana"/>
          <w:sz w:val="20"/>
        </w:rPr>
        <w:t xml:space="preserve"> diretamente ao Ministro do MARENA, inicialmente a Milton Caldera, posteriormente a seu sucessor Claudio Gutiérrez, e depois a Roberto Araquistain e Láinez, os quais </w:t>
      </w:r>
      <w:r w:rsidR="009E50CD">
        <w:rPr>
          <w:rFonts w:ascii="Verdana" w:hAnsi="Verdana"/>
          <w:sz w:val="20"/>
        </w:rPr>
        <w:t xml:space="preserve">geriam </w:t>
      </w:r>
      <w:r w:rsidRPr="00BD40F0">
        <w:rPr>
          <w:rFonts w:ascii="Verdana" w:hAnsi="Verdana"/>
          <w:sz w:val="20"/>
        </w:rPr>
        <w:t>diretamente as políticas relacionadas com concessões.</w:t>
      </w:r>
    </w:p>
    <w:p w:rsidR="000B3F97" w:rsidRPr="00BD40F0" w:rsidRDefault="000B3F97" w:rsidP="000B3F97">
      <w:pPr>
        <w:jc w:val="both"/>
        <w:rPr>
          <w:rFonts w:ascii="Verdana" w:hAnsi="Verdana"/>
          <w:sz w:val="20"/>
        </w:rPr>
      </w:pPr>
    </w:p>
    <w:p w:rsidR="000B3F97" w:rsidRDefault="000B3F97" w:rsidP="000B3F97">
      <w:pPr>
        <w:jc w:val="both"/>
        <w:rPr>
          <w:rFonts w:ascii="Verdana" w:hAnsi="Verdana"/>
          <w:sz w:val="20"/>
        </w:rPr>
      </w:pPr>
      <w:r w:rsidRPr="00BD40F0">
        <w:rPr>
          <w:rFonts w:ascii="Verdana" w:hAnsi="Verdana"/>
          <w:sz w:val="20"/>
        </w:rPr>
        <w:t xml:space="preserve">Primeiro, para </w:t>
      </w:r>
      <w:r w:rsidR="002A016A">
        <w:rPr>
          <w:rFonts w:ascii="Verdana" w:hAnsi="Verdana"/>
          <w:sz w:val="20"/>
        </w:rPr>
        <w:t xml:space="preserve">outorgar uma concessão </w:t>
      </w:r>
      <w:r w:rsidRPr="00BD40F0">
        <w:rPr>
          <w:rFonts w:ascii="Verdana" w:hAnsi="Verdana"/>
          <w:sz w:val="20"/>
        </w:rPr>
        <w:t>a uma empresa</w:t>
      </w:r>
      <w:r w:rsidR="008B35E1">
        <w:rPr>
          <w:rFonts w:ascii="Verdana" w:hAnsi="Verdana"/>
          <w:sz w:val="20"/>
        </w:rPr>
        <w:t>,</w:t>
      </w:r>
      <w:r w:rsidRPr="00BD40F0">
        <w:rPr>
          <w:rFonts w:ascii="Verdana" w:hAnsi="Verdana"/>
          <w:sz w:val="20"/>
        </w:rPr>
        <w:t xml:space="preserve"> deviam </w:t>
      </w:r>
      <w:r w:rsidR="00917754">
        <w:rPr>
          <w:rFonts w:ascii="Verdana" w:hAnsi="Verdana"/>
          <w:sz w:val="20"/>
        </w:rPr>
        <w:t>ser estabelecidos</w:t>
      </w:r>
      <w:r w:rsidRPr="00BD40F0">
        <w:rPr>
          <w:rFonts w:ascii="Verdana" w:hAnsi="Verdana"/>
          <w:sz w:val="20"/>
        </w:rPr>
        <w:t xml:space="preserve"> os critérios e as políticas sobre o desenvolvimento florestal do país; entretanto</w:t>
      </w:r>
      <w:r w:rsidR="008B35E1">
        <w:rPr>
          <w:rFonts w:ascii="Verdana" w:hAnsi="Verdana"/>
          <w:sz w:val="20"/>
        </w:rPr>
        <w:t>,</w:t>
      </w:r>
      <w:r w:rsidRPr="00BD40F0">
        <w:rPr>
          <w:rFonts w:ascii="Verdana" w:hAnsi="Verdana"/>
          <w:sz w:val="20"/>
        </w:rPr>
        <w:t xml:space="preserve"> para </w:t>
      </w:r>
      <w:r w:rsidRPr="00BD40F0">
        <w:rPr>
          <w:rFonts w:ascii="Verdana" w:hAnsi="Verdana"/>
          <w:sz w:val="20"/>
        </w:rPr>
        <w:lastRenderedPageBreak/>
        <w:t>esse momento</w:t>
      </w:r>
      <w:r w:rsidR="008B35E1">
        <w:rPr>
          <w:rFonts w:ascii="Verdana" w:hAnsi="Verdana"/>
          <w:sz w:val="20"/>
        </w:rPr>
        <w:t>,</w:t>
      </w:r>
      <w:r w:rsidRPr="00BD40F0">
        <w:rPr>
          <w:rFonts w:ascii="Verdana" w:hAnsi="Verdana"/>
          <w:sz w:val="20"/>
        </w:rPr>
        <w:t xml:space="preserve"> isso não havia sido </w:t>
      </w:r>
      <w:r w:rsidR="005D50CD">
        <w:rPr>
          <w:rFonts w:ascii="Verdana" w:hAnsi="Verdana"/>
          <w:sz w:val="20"/>
        </w:rPr>
        <w:t xml:space="preserve">feito. Assim, procediam a </w:t>
      </w:r>
      <w:r w:rsidRPr="00BD40F0">
        <w:rPr>
          <w:rFonts w:ascii="Verdana" w:hAnsi="Verdana"/>
          <w:sz w:val="20"/>
        </w:rPr>
        <w:t xml:space="preserve">dar concessões sem </w:t>
      </w:r>
      <w:r w:rsidR="009E50CD">
        <w:rPr>
          <w:rFonts w:ascii="Verdana" w:hAnsi="Verdana"/>
          <w:sz w:val="20"/>
        </w:rPr>
        <w:t>existirem</w:t>
      </w:r>
      <w:r w:rsidR="009E50CD" w:rsidRPr="00BD40F0">
        <w:rPr>
          <w:rFonts w:ascii="Verdana" w:hAnsi="Verdana"/>
          <w:sz w:val="20"/>
        </w:rPr>
        <w:t xml:space="preserve"> </w:t>
      </w:r>
      <w:r w:rsidRPr="00BD40F0">
        <w:rPr>
          <w:rFonts w:ascii="Verdana" w:hAnsi="Verdana"/>
          <w:sz w:val="20"/>
        </w:rPr>
        <w:t>crit</w:t>
      </w:r>
      <w:r w:rsidR="002C1951">
        <w:rPr>
          <w:rFonts w:ascii="Verdana" w:hAnsi="Verdana"/>
          <w:sz w:val="20"/>
        </w:rPr>
        <w:t>érios bem ajustados que assegura</w:t>
      </w:r>
      <w:r w:rsidR="00985015">
        <w:rPr>
          <w:rFonts w:ascii="Verdana" w:hAnsi="Verdana"/>
          <w:sz w:val="20"/>
        </w:rPr>
        <w:t>ssem</w:t>
      </w:r>
      <w:r w:rsidRPr="00BD40F0">
        <w:rPr>
          <w:rFonts w:ascii="Verdana" w:hAnsi="Verdana"/>
          <w:sz w:val="20"/>
        </w:rPr>
        <w:t xml:space="preserve"> o direito da propriedade indígena e a proteção do meio ambiente. O MARENA unicamente exigia um plano de manejo florestal à empresa. A testemunha notou que alguns dos funcionários do MARENA participavam nas consultorias que elaboravam os planos de manejo, de maneira que havia conflito de interesses.</w:t>
      </w:r>
    </w:p>
    <w:p w:rsidR="009E50CD" w:rsidRPr="00BD40F0" w:rsidRDefault="009E50CD" w:rsidP="000B3F97">
      <w:pPr>
        <w:jc w:val="both"/>
        <w:rPr>
          <w:rFonts w:ascii="Verdana" w:hAnsi="Verdana"/>
          <w:sz w:val="20"/>
        </w:rPr>
      </w:pPr>
    </w:p>
    <w:p w:rsidR="000B3F97" w:rsidRPr="00BD40F0" w:rsidRDefault="005D50CD" w:rsidP="000B3F97">
      <w:pPr>
        <w:jc w:val="both"/>
        <w:rPr>
          <w:rFonts w:ascii="Verdana" w:hAnsi="Verdana"/>
          <w:sz w:val="20"/>
        </w:rPr>
      </w:pPr>
      <w:r>
        <w:rPr>
          <w:rFonts w:ascii="Verdana" w:hAnsi="Verdana"/>
          <w:sz w:val="20"/>
        </w:rPr>
        <w:t xml:space="preserve">As </w:t>
      </w:r>
      <w:r w:rsidR="000B3F97" w:rsidRPr="00BD40F0">
        <w:rPr>
          <w:rFonts w:ascii="Verdana" w:hAnsi="Verdana"/>
          <w:sz w:val="20"/>
        </w:rPr>
        <w:t xml:space="preserve">comunidades indígenas da região </w:t>
      </w:r>
      <w:r>
        <w:rPr>
          <w:rFonts w:ascii="Verdana" w:hAnsi="Verdana"/>
          <w:sz w:val="20"/>
        </w:rPr>
        <w:t xml:space="preserve">nunca foram consultadas </w:t>
      </w:r>
      <w:r w:rsidR="000B3F97" w:rsidRPr="00BD40F0">
        <w:rPr>
          <w:rFonts w:ascii="Verdana" w:hAnsi="Verdana"/>
          <w:sz w:val="20"/>
        </w:rPr>
        <w:t xml:space="preserve">sobre a conveniência da concessão </w:t>
      </w:r>
      <w:r w:rsidR="00985015">
        <w:rPr>
          <w:rFonts w:ascii="Verdana" w:hAnsi="Verdana"/>
          <w:sz w:val="20"/>
        </w:rPr>
        <w:t>à</w:t>
      </w:r>
      <w:r w:rsidR="000B3F97" w:rsidRPr="00BD40F0">
        <w:rPr>
          <w:rFonts w:ascii="Verdana" w:hAnsi="Verdana"/>
          <w:sz w:val="20"/>
        </w:rPr>
        <w:t xml:space="preserve"> SOLCARSA nem </w:t>
      </w:r>
      <w:r>
        <w:rPr>
          <w:rFonts w:ascii="Verdana" w:hAnsi="Verdana"/>
          <w:sz w:val="20"/>
        </w:rPr>
        <w:t xml:space="preserve">foi realizada uma </w:t>
      </w:r>
      <w:r w:rsidR="000B3F97" w:rsidRPr="00BD40F0">
        <w:rPr>
          <w:rFonts w:ascii="Verdana" w:hAnsi="Verdana"/>
          <w:sz w:val="20"/>
        </w:rPr>
        <w:t xml:space="preserve">inspeção da </w:t>
      </w:r>
      <w:r>
        <w:rPr>
          <w:rFonts w:ascii="Verdana" w:hAnsi="Verdana"/>
          <w:sz w:val="20"/>
        </w:rPr>
        <w:t>região</w:t>
      </w:r>
      <w:r w:rsidR="000B3F97" w:rsidRPr="00BD40F0">
        <w:rPr>
          <w:rFonts w:ascii="Verdana" w:hAnsi="Verdana"/>
          <w:sz w:val="20"/>
        </w:rPr>
        <w:t xml:space="preserve">. Tampouco </w:t>
      </w:r>
      <w:r w:rsidR="009E50CD">
        <w:rPr>
          <w:rFonts w:ascii="Verdana" w:hAnsi="Verdana"/>
          <w:sz w:val="20"/>
        </w:rPr>
        <w:t xml:space="preserve">foi assumido </w:t>
      </w:r>
      <w:r w:rsidR="000B3F97" w:rsidRPr="00BD40F0">
        <w:rPr>
          <w:rFonts w:ascii="Verdana" w:hAnsi="Verdana"/>
          <w:sz w:val="20"/>
        </w:rPr>
        <w:t>o compromisso de pesqui</w:t>
      </w:r>
      <w:r w:rsidR="002C1951">
        <w:rPr>
          <w:rFonts w:ascii="Verdana" w:hAnsi="Verdana"/>
          <w:sz w:val="20"/>
        </w:rPr>
        <w:t xml:space="preserve">sar e atender de forma adequada </w:t>
      </w:r>
      <w:r w:rsidR="00985015">
        <w:rPr>
          <w:rFonts w:ascii="Verdana" w:hAnsi="Verdana"/>
          <w:sz w:val="20"/>
        </w:rPr>
        <w:t>suas reivindicações</w:t>
      </w:r>
      <w:r w:rsidR="000B3F97"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Ao amparo da Le</w:t>
      </w:r>
      <w:r w:rsidR="00985015">
        <w:rPr>
          <w:rFonts w:ascii="Verdana" w:hAnsi="Verdana"/>
          <w:sz w:val="20"/>
        </w:rPr>
        <w:t>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BD40F0">
        <w:rPr>
          <w:rFonts w:ascii="Verdana" w:hAnsi="Verdana"/>
          <w:sz w:val="20"/>
        </w:rPr>
        <w:t>14</w:t>
      </w:r>
      <w:r w:rsidR="008B35E1">
        <w:rPr>
          <w:rFonts w:ascii="Verdana" w:hAnsi="Verdana"/>
          <w:sz w:val="20"/>
        </w:rPr>
        <w:t>,</w:t>
      </w:r>
      <w:r w:rsidRPr="00BD40F0">
        <w:rPr>
          <w:rFonts w:ascii="Verdana" w:hAnsi="Verdana"/>
          <w:sz w:val="20"/>
        </w:rPr>
        <w:t xml:space="preserve"> </w:t>
      </w:r>
      <w:proofErr w:type="gramStart"/>
      <w:r w:rsidRPr="00BD40F0">
        <w:rPr>
          <w:rFonts w:ascii="Verdana" w:hAnsi="Verdana"/>
          <w:sz w:val="20"/>
        </w:rPr>
        <w:t>foram</w:t>
      </w:r>
      <w:proofErr w:type="gramEnd"/>
      <w:r w:rsidRPr="00BD40F0">
        <w:rPr>
          <w:rFonts w:ascii="Verdana" w:hAnsi="Verdana"/>
          <w:sz w:val="20"/>
        </w:rPr>
        <w:t xml:space="preserve"> concedidos títulos a 28 comunidades indígenas benef</w:t>
      </w:r>
      <w:r w:rsidR="00985015">
        <w:rPr>
          <w:rFonts w:ascii="Verdana" w:hAnsi="Verdana"/>
          <w:sz w:val="20"/>
        </w:rPr>
        <w:t xml:space="preserve">iciadas com a reforma agrária. </w:t>
      </w:r>
      <w:r w:rsidRPr="00BD40F0">
        <w:rPr>
          <w:rFonts w:ascii="Verdana" w:hAnsi="Verdana"/>
          <w:sz w:val="20"/>
        </w:rPr>
        <w:t xml:space="preserve">A testemunha conhece um anteprojeto de Lei de Propriedade </w:t>
      </w:r>
      <w:proofErr w:type="gramStart"/>
      <w:r w:rsidR="00B35357">
        <w:rPr>
          <w:rFonts w:ascii="Verdana" w:hAnsi="Verdana"/>
          <w:sz w:val="20"/>
        </w:rPr>
        <w:t>Comunitária</w:t>
      </w:r>
      <w:r w:rsidR="00B35357" w:rsidRPr="00BD40F0">
        <w:rPr>
          <w:rFonts w:ascii="Verdana" w:hAnsi="Verdana"/>
          <w:sz w:val="20"/>
        </w:rPr>
        <w:t xml:space="preserve"> </w:t>
      </w:r>
      <w:r w:rsidRPr="00BD40F0">
        <w:rPr>
          <w:rFonts w:ascii="Verdana" w:hAnsi="Verdana"/>
          <w:sz w:val="20"/>
        </w:rPr>
        <w:t>Indígena apresentado</w:t>
      </w:r>
      <w:proofErr w:type="gramEnd"/>
      <w:r w:rsidRPr="00BD40F0">
        <w:rPr>
          <w:rFonts w:ascii="Verdana" w:hAnsi="Verdana"/>
          <w:sz w:val="20"/>
        </w:rPr>
        <w:t xml:space="preserve"> à Assembleia Nacional e as consultas efetuadas para a análise desse projeto.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586D66">
        <w:rPr>
          <w:rFonts w:ascii="Verdana" w:hAnsi="Verdana"/>
          <w:sz w:val="20"/>
        </w:rPr>
        <w:t>A Comunidade Awas Tingni, a qual é a diretamente afetada com a concessão, tem uma posse anterior à formação do Estado nicaraguense, e tem, como a maioria das comunidades indígenas</w:t>
      </w:r>
      <w:r w:rsidRPr="00BD40F0">
        <w:rPr>
          <w:rFonts w:ascii="Verdana" w:hAnsi="Verdana"/>
          <w:sz w:val="20"/>
        </w:rPr>
        <w:t>, um direito histórico sobre as terras nas quais se ass</w:t>
      </w:r>
      <w:r w:rsidR="00985015">
        <w:rPr>
          <w:rFonts w:ascii="Verdana" w:hAnsi="Verdana"/>
          <w:sz w:val="20"/>
        </w:rPr>
        <w:t xml:space="preserve">enta e </w:t>
      </w:r>
      <w:r w:rsidR="009E50CD">
        <w:rPr>
          <w:rFonts w:ascii="Verdana" w:hAnsi="Verdana"/>
          <w:sz w:val="20"/>
        </w:rPr>
        <w:t>a</w:t>
      </w:r>
      <w:r w:rsidR="00985015">
        <w:rPr>
          <w:rFonts w:ascii="Verdana" w:hAnsi="Verdana"/>
          <w:sz w:val="20"/>
        </w:rPr>
        <w:t xml:space="preserve">os recursos que possui. </w:t>
      </w:r>
      <w:r w:rsidRPr="00BD40F0">
        <w:rPr>
          <w:rFonts w:ascii="Verdana" w:hAnsi="Verdana"/>
          <w:sz w:val="20"/>
        </w:rPr>
        <w:t xml:space="preserve">A concessão </w:t>
      </w:r>
      <w:r w:rsidR="00985015">
        <w:rPr>
          <w:rFonts w:ascii="Verdana" w:hAnsi="Verdana"/>
          <w:sz w:val="20"/>
        </w:rPr>
        <w:t>à</w:t>
      </w:r>
      <w:r w:rsidRPr="00BD40F0">
        <w:rPr>
          <w:rFonts w:ascii="Verdana" w:hAnsi="Verdana"/>
          <w:sz w:val="20"/>
        </w:rPr>
        <w:t xml:space="preserve"> SOLCARSA a prejudica, já que a exploração seria feita em seu território, que</w:t>
      </w:r>
      <w:r w:rsidR="008B35E1">
        <w:rPr>
          <w:rFonts w:ascii="Verdana" w:hAnsi="Verdana"/>
          <w:sz w:val="20"/>
        </w:rPr>
        <w:t>,</w:t>
      </w:r>
      <w:r w:rsidRPr="00BD40F0">
        <w:rPr>
          <w:rFonts w:ascii="Verdana" w:hAnsi="Verdana"/>
          <w:sz w:val="20"/>
        </w:rPr>
        <w:t xml:space="preserve"> por tradição</w:t>
      </w:r>
      <w:r w:rsidR="008B35E1">
        <w:rPr>
          <w:rFonts w:ascii="Verdana" w:hAnsi="Verdana"/>
          <w:sz w:val="20"/>
        </w:rPr>
        <w:t>,</w:t>
      </w:r>
      <w:r w:rsidRPr="00BD40F0">
        <w:rPr>
          <w:rFonts w:ascii="Verdana" w:hAnsi="Verdana"/>
          <w:sz w:val="20"/>
        </w:rPr>
        <w:t xml:space="preserve"> </w:t>
      </w:r>
      <w:r w:rsidR="00985015">
        <w:rPr>
          <w:rFonts w:ascii="Verdana" w:hAnsi="Verdana"/>
          <w:sz w:val="20"/>
        </w:rPr>
        <w:t>tem ocupado</w:t>
      </w:r>
      <w:r w:rsidRPr="00BD40F0">
        <w:rPr>
          <w:rFonts w:ascii="Verdana" w:hAnsi="Verdana"/>
          <w:sz w:val="20"/>
        </w:rPr>
        <w:t xml:space="preserve"> para viver e realizar atividades culturais, econômicas e sociais.</w:t>
      </w:r>
      <w:r w:rsidR="00850A3F">
        <w:rPr>
          <w:rFonts w:ascii="Verdana" w:hAnsi="Verdana"/>
          <w:sz w:val="20"/>
        </w:rPr>
        <w:t xml:space="preserve"> </w:t>
      </w:r>
      <w:r w:rsidRPr="00BD40F0">
        <w:rPr>
          <w:rFonts w:ascii="Verdana" w:hAnsi="Verdana"/>
          <w:sz w:val="20"/>
        </w:rPr>
        <w:t>Os mapas e os estudos sustentam efetivamente o direito que</w:t>
      </w:r>
      <w:r w:rsidR="009E50CD">
        <w:rPr>
          <w:rFonts w:ascii="Verdana" w:hAnsi="Verdana"/>
          <w:sz w:val="20"/>
        </w:rPr>
        <w:t>,</w:t>
      </w:r>
      <w:r w:rsidRPr="00BD40F0">
        <w:rPr>
          <w:rFonts w:ascii="Verdana" w:hAnsi="Verdana"/>
          <w:sz w:val="20"/>
        </w:rPr>
        <w:t xml:space="preserve"> como comunidades</w:t>
      </w:r>
      <w:r w:rsidR="009E50CD">
        <w:rPr>
          <w:rFonts w:ascii="Verdana" w:hAnsi="Verdana"/>
          <w:sz w:val="20"/>
        </w:rPr>
        <w:t>,</w:t>
      </w:r>
      <w:r w:rsidRPr="00BD40F0">
        <w:rPr>
          <w:rFonts w:ascii="Verdana" w:hAnsi="Verdana"/>
          <w:sz w:val="20"/>
        </w:rPr>
        <w:t xml:space="preserve"> têm sobre essas áreas e sobre seus lugares antigos.</w:t>
      </w:r>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b/>
          <w:sz w:val="20"/>
        </w:rPr>
      </w:pPr>
      <w:proofErr w:type="gramStart"/>
      <w:r w:rsidRPr="00BD40F0">
        <w:rPr>
          <w:rFonts w:ascii="Verdana" w:hAnsi="Verdana"/>
          <w:b/>
          <w:sz w:val="20"/>
        </w:rPr>
        <w:t>h.</w:t>
      </w:r>
      <w:proofErr w:type="gramEnd"/>
      <w:r w:rsidRPr="00BD40F0">
        <w:rPr>
          <w:rFonts w:ascii="Verdana" w:hAnsi="Verdana"/>
          <w:b/>
          <w:sz w:val="20"/>
        </w:rPr>
        <w:tab/>
        <w:t>Testemunho de Humberto Thompson Sang, membro da comunidade indígena Lanlaya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É de nacionalidade nicaraguense. </w:t>
      </w:r>
      <w:r w:rsidR="00985015">
        <w:rPr>
          <w:rFonts w:ascii="Verdana" w:hAnsi="Verdana"/>
          <w:sz w:val="20"/>
        </w:rPr>
        <w:t>Viveu</w:t>
      </w:r>
      <w:r w:rsidRPr="00BD40F0">
        <w:rPr>
          <w:rFonts w:ascii="Verdana" w:hAnsi="Verdana"/>
          <w:sz w:val="20"/>
        </w:rPr>
        <w:t xml:space="preserve"> a maior parte de sua vida na Comunidade de Lanlaya</w:t>
      </w:r>
      <w:r w:rsidR="00985015">
        <w:rPr>
          <w:rFonts w:ascii="Verdana" w:hAnsi="Verdana"/>
          <w:sz w:val="20"/>
        </w:rPr>
        <w:t>,</w:t>
      </w:r>
      <w:r w:rsidRPr="00BD40F0">
        <w:rPr>
          <w:rFonts w:ascii="Verdana" w:hAnsi="Verdana"/>
          <w:sz w:val="20"/>
        </w:rPr>
        <w:t xml:space="preserve"> da etnia Mis</w:t>
      </w:r>
      <w:r w:rsidRPr="004E183D">
        <w:rPr>
          <w:rFonts w:ascii="Verdana" w:hAnsi="Verdana"/>
          <w:sz w:val="20"/>
        </w:rPr>
        <w:t>k</w:t>
      </w:r>
      <w:r w:rsidR="004E183D">
        <w:rPr>
          <w:rFonts w:ascii="Verdana" w:hAnsi="Verdana"/>
          <w:sz w:val="20"/>
        </w:rPr>
        <w:t>ita</w:t>
      </w:r>
      <w:r w:rsidRPr="00BD40F0">
        <w:rPr>
          <w:rFonts w:ascii="Verdana" w:hAnsi="Verdana"/>
          <w:sz w:val="20"/>
        </w:rPr>
        <w:t xml:space="preserve">, à qual </w:t>
      </w:r>
      <w:proofErr w:type="gramStart"/>
      <w:r w:rsidRPr="00BD40F0">
        <w:rPr>
          <w:rFonts w:ascii="Verdana" w:hAnsi="Verdana"/>
          <w:sz w:val="20"/>
        </w:rPr>
        <w:t>pertence</w:t>
      </w:r>
      <w:r w:rsidR="00985015">
        <w:rPr>
          <w:rFonts w:ascii="Verdana" w:hAnsi="Verdana"/>
          <w:sz w:val="20"/>
        </w:rPr>
        <w:t>,</w:t>
      </w:r>
      <w:proofErr w:type="gramEnd"/>
      <w:r w:rsidRPr="00BD40F0">
        <w:rPr>
          <w:rFonts w:ascii="Verdana" w:hAnsi="Verdana"/>
          <w:sz w:val="20"/>
        </w:rPr>
        <w:t xml:space="preserve"> p</w:t>
      </w:r>
      <w:r w:rsidR="00917754">
        <w:rPr>
          <w:rFonts w:ascii="Verdana" w:hAnsi="Verdana"/>
          <w:sz w:val="20"/>
        </w:rPr>
        <w:t>róxima</w:t>
      </w:r>
      <w:r w:rsidRPr="00BD40F0">
        <w:rPr>
          <w:rFonts w:ascii="Verdana" w:hAnsi="Verdana"/>
          <w:sz w:val="20"/>
        </w:rPr>
        <w:t xml:space="preserve"> da cidade</w:t>
      </w:r>
      <w:r w:rsidR="00985015">
        <w:rPr>
          <w:rFonts w:ascii="Verdana" w:hAnsi="Verdana"/>
          <w:sz w:val="20"/>
        </w:rPr>
        <w:t xml:space="preserve"> de Puerto Cabezas, Nicarágua. </w:t>
      </w:r>
      <w:r w:rsidRPr="00BD40F0">
        <w:rPr>
          <w:rFonts w:ascii="Verdana" w:hAnsi="Verdana"/>
          <w:sz w:val="20"/>
        </w:rPr>
        <w:t xml:space="preserve">Foi membro do Conselho Regional e foi eleito em 1998 para um período de quatro anos. É, </w:t>
      </w:r>
      <w:r w:rsidR="009E50CD">
        <w:rPr>
          <w:rFonts w:ascii="Verdana" w:hAnsi="Verdana"/>
          <w:sz w:val="20"/>
        </w:rPr>
        <w:t>também</w:t>
      </w:r>
      <w:r w:rsidRPr="00BD40F0">
        <w:rPr>
          <w:rFonts w:ascii="Verdana" w:hAnsi="Verdana"/>
          <w:sz w:val="20"/>
        </w:rPr>
        <w:t>, membro da Organização indígena YATAMA.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Em 29 de março de 1996</w:t>
      </w:r>
      <w:r w:rsidR="00B548DD">
        <w:rPr>
          <w:rFonts w:ascii="Verdana" w:hAnsi="Verdana"/>
          <w:sz w:val="20"/>
        </w:rPr>
        <w:t>,</w:t>
      </w:r>
      <w:r w:rsidRPr="00BD40F0">
        <w:rPr>
          <w:rFonts w:ascii="Verdana" w:hAnsi="Verdana"/>
          <w:sz w:val="20"/>
        </w:rPr>
        <w:t xml:space="preserve"> interpôs </w:t>
      </w:r>
      <w:r w:rsidR="00553EAA">
        <w:rPr>
          <w:rFonts w:ascii="Verdana" w:hAnsi="Verdana"/>
          <w:sz w:val="20"/>
        </w:rPr>
        <w:t xml:space="preserve">um </w:t>
      </w:r>
      <w:r w:rsidRPr="00BD40F0">
        <w:rPr>
          <w:rFonts w:ascii="Verdana" w:hAnsi="Verdana"/>
          <w:sz w:val="20"/>
        </w:rPr>
        <w:t xml:space="preserve">recurso de amparo contra o Estado, com o objetivo de suspender a concessão que este </w:t>
      </w:r>
      <w:r w:rsidR="009E50CD">
        <w:rPr>
          <w:rFonts w:ascii="Verdana" w:hAnsi="Verdana"/>
          <w:sz w:val="20"/>
        </w:rPr>
        <w:t xml:space="preserve">outorgou </w:t>
      </w:r>
      <w:r w:rsidRPr="00BD40F0">
        <w:rPr>
          <w:rFonts w:ascii="Verdana" w:hAnsi="Verdana"/>
          <w:sz w:val="20"/>
        </w:rPr>
        <w:t>à empresa SOLCARSA. O recurso foi solicitado pelos líderes</w:t>
      </w:r>
      <w:r w:rsidR="002C6A59">
        <w:rPr>
          <w:rFonts w:ascii="Verdana" w:hAnsi="Verdana"/>
          <w:sz w:val="20"/>
        </w:rPr>
        <w:t xml:space="preserve"> </w:t>
      </w:r>
      <w:r w:rsidR="00B548DD">
        <w:rPr>
          <w:rFonts w:ascii="Verdana" w:hAnsi="Verdana"/>
          <w:sz w:val="20"/>
        </w:rPr>
        <w:t>comunitários</w:t>
      </w:r>
      <w:r w:rsidRPr="00BD40F0">
        <w:rPr>
          <w:rFonts w:ascii="Verdana" w:hAnsi="Verdana"/>
          <w:sz w:val="20"/>
        </w:rPr>
        <w:t xml:space="preserve"> da Comunidade Mayagna Awas Tingni.</w:t>
      </w:r>
      <w:r w:rsidR="00850A3F">
        <w:rPr>
          <w:rFonts w:ascii="Verdana" w:hAnsi="Verdana"/>
          <w:sz w:val="20"/>
        </w:rPr>
        <w:t xml:space="preserve"> </w:t>
      </w:r>
      <w:r w:rsidRPr="00BD40F0">
        <w:rPr>
          <w:rFonts w:ascii="Verdana" w:hAnsi="Verdana"/>
          <w:sz w:val="20"/>
        </w:rPr>
        <w:t>Transcorreu quase um ano antes</w:t>
      </w:r>
      <w:r w:rsidR="002C6A59">
        <w:rPr>
          <w:rFonts w:ascii="Verdana" w:hAnsi="Verdana"/>
          <w:sz w:val="20"/>
        </w:rPr>
        <w:t xml:space="preserve"> </w:t>
      </w:r>
      <w:r w:rsidR="00B548DD">
        <w:rPr>
          <w:rFonts w:ascii="Verdana" w:hAnsi="Verdana"/>
          <w:sz w:val="20"/>
        </w:rPr>
        <w:t>da</w:t>
      </w:r>
      <w:r w:rsidR="00985015">
        <w:rPr>
          <w:rFonts w:ascii="Verdana" w:hAnsi="Verdana"/>
          <w:sz w:val="20"/>
        </w:rPr>
        <w:t xml:space="preserve"> Corte resolvesse o recurso. </w:t>
      </w:r>
      <w:r w:rsidRPr="00BD40F0">
        <w:rPr>
          <w:rFonts w:ascii="Verdana" w:hAnsi="Verdana"/>
          <w:sz w:val="20"/>
        </w:rPr>
        <w:t xml:space="preserve">A sentença </w:t>
      </w:r>
      <w:r w:rsidR="009E50CD">
        <w:rPr>
          <w:rFonts w:ascii="Verdana" w:hAnsi="Verdana"/>
          <w:sz w:val="20"/>
        </w:rPr>
        <w:t>cancelou</w:t>
      </w:r>
      <w:r w:rsidRPr="00BD40F0">
        <w:rPr>
          <w:rFonts w:ascii="Verdana" w:hAnsi="Verdana"/>
          <w:sz w:val="20"/>
        </w:rPr>
        <w:t xml:space="preserve"> a concessão</w:t>
      </w:r>
      <w:r w:rsidR="00B548DD">
        <w:rPr>
          <w:rFonts w:ascii="Verdana" w:hAnsi="Verdana"/>
          <w:sz w:val="20"/>
        </w:rPr>
        <w:t xml:space="preserve"> à</w:t>
      </w:r>
      <w:r w:rsidRPr="00BD40F0">
        <w:rPr>
          <w:rFonts w:ascii="Verdana" w:hAnsi="Verdana"/>
          <w:sz w:val="20"/>
        </w:rPr>
        <w:t xml:space="preserve"> empresa e ordenou que fosse suspen</w:t>
      </w:r>
      <w:r w:rsidR="00985015">
        <w:rPr>
          <w:rFonts w:ascii="Verdana" w:hAnsi="Verdana"/>
          <w:sz w:val="20"/>
        </w:rPr>
        <w:t xml:space="preserve">sa. </w:t>
      </w:r>
      <w:r w:rsidRPr="00BD40F0">
        <w:rPr>
          <w:rFonts w:ascii="Verdana" w:hAnsi="Verdana"/>
          <w:sz w:val="20"/>
        </w:rPr>
        <w:t xml:space="preserve">Apesar disso, a empresa seguiu trabalhando.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 engenheiro Jorge Brooks, Oficial do MARENA,</w:t>
      </w:r>
      <w:r w:rsidR="00B548DD">
        <w:rPr>
          <w:rFonts w:ascii="Verdana" w:hAnsi="Verdana"/>
          <w:sz w:val="20"/>
        </w:rPr>
        <w:t xml:space="preserve"> tomou algumas medidas para promover à concessão à SOLCARSA</w:t>
      </w:r>
      <w:r w:rsidRPr="00BD40F0">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B548DD" w:rsidP="000B3F97">
      <w:pPr>
        <w:jc w:val="both"/>
        <w:rPr>
          <w:rFonts w:ascii="Verdana" w:hAnsi="Verdana"/>
          <w:sz w:val="20"/>
        </w:rPr>
      </w:pPr>
      <w:r>
        <w:rPr>
          <w:rFonts w:ascii="Verdana" w:hAnsi="Verdana"/>
          <w:sz w:val="20"/>
        </w:rPr>
        <w:t>Após</w:t>
      </w:r>
      <w:r w:rsidR="00850A3F">
        <w:rPr>
          <w:rFonts w:ascii="Verdana" w:hAnsi="Verdana"/>
          <w:sz w:val="20"/>
        </w:rPr>
        <w:t xml:space="preserve"> </w:t>
      </w:r>
      <w:r w:rsidR="00625268">
        <w:rPr>
          <w:rFonts w:ascii="Verdana" w:hAnsi="Verdana"/>
          <w:sz w:val="20"/>
        </w:rPr>
        <w:t xml:space="preserve">a </w:t>
      </w:r>
      <w:r w:rsidR="000B3F97" w:rsidRPr="00BD40F0">
        <w:rPr>
          <w:rFonts w:ascii="Verdana" w:hAnsi="Verdana"/>
          <w:sz w:val="20"/>
        </w:rPr>
        <w:t xml:space="preserve">sentença da Corte Suprema, </w:t>
      </w:r>
      <w:r w:rsidR="00985015">
        <w:rPr>
          <w:rFonts w:ascii="Verdana" w:hAnsi="Verdana"/>
          <w:sz w:val="20"/>
        </w:rPr>
        <w:t xml:space="preserve">a </w:t>
      </w:r>
      <w:r w:rsidR="000B3F97" w:rsidRPr="00BD40F0">
        <w:rPr>
          <w:rFonts w:ascii="Verdana" w:hAnsi="Verdana"/>
          <w:sz w:val="20"/>
        </w:rPr>
        <w:t>SOLCARSA assumiu as despesas para montar uma sessão em Puerto Cabezas, i</w:t>
      </w:r>
      <w:r w:rsidR="00553EAA">
        <w:rPr>
          <w:rFonts w:ascii="Verdana" w:hAnsi="Verdana"/>
          <w:sz w:val="20"/>
        </w:rPr>
        <w:t>ncluindo o valor para mobilizar</w:t>
      </w:r>
      <w:r w:rsidR="000B3F97" w:rsidRPr="00BD40F0">
        <w:rPr>
          <w:rFonts w:ascii="Verdana" w:hAnsi="Verdana"/>
          <w:sz w:val="20"/>
        </w:rPr>
        <w:t xml:space="preserve"> todos os </w:t>
      </w:r>
      <w:r w:rsidR="000B3F97" w:rsidRPr="00553EAA">
        <w:rPr>
          <w:rFonts w:ascii="Verdana" w:hAnsi="Verdana"/>
          <w:sz w:val="20"/>
        </w:rPr>
        <w:t>Vereadores da região, dos municípios para Puerto Cabezas. Depois de fazer a sessão em Puerto Cabezas</w:t>
      </w:r>
      <w:r w:rsidR="000B3F97" w:rsidRPr="00BD40F0">
        <w:rPr>
          <w:rFonts w:ascii="Verdana" w:hAnsi="Verdana"/>
          <w:sz w:val="20"/>
        </w:rPr>
        <w:t>, o senhor Jorge Brooks ofereceu</w:t>
      </w:r>
      <w:r>
        <w:rPr>
          <w:rFonts w:ascii="Verdana" w:hAnsi="Verdana"/>
          <w:sz w:val="20"/>
        </w:rPr>
        <w:t>,</w:t>
      </w:r>
      <w:r w:rsidR="000B3F97" w:rsidRPr="00BD40F0">
        <w:rPr>
          <w:rFonts w:ascii="Verdana" w:hAnsi="Verdana"/>
          <w:sz w:val="20"/>
        </w:rPr>
        <w:t xml:space="preserve"> de forma separa</w:t>
      </w:r>
      <w:r w:rsidR="00985015">
        <w:rPr>
          <w:rFonts w:ascii="Verdana" w:hAnsi="Verdana"/>
          <w:sz w:val="20"/>
        </w:rPr>
        <w:t>da</w:t>
      </w:r>
      <w:r w:rsidR="000B3F97" w:rsidRPr="00BD40F0">
        <w:rPr>
          <w:rFonts w:ascii="Verdana" w:hAnsi="Verdana"/>
          <w:sz w:val="20"/>
        </w:rPr>
        <w:t xml:space="preserve"> a cada um dos </w:t>
      </w:r>
      <w:r w:rsidR="000B3F97" w:rsidRPr="00586D66">
        <w:rPr>
          <w:rFonts w:ascii="Verdana" w:hAnsi="Verdana"/>
          <w:sz w:val="20"/>
        </w:rPr>
        <w:t>Vereadores</w:t>
      </w:r>
      <w:r w:rsidR="000B3F97" w:rsidRPr="00BD40F0">
        <w:rPr>
          <w:rFonts w:ascii="Verdana" w:hAnsi="Verdana"/>
          <w:sz w:val="20"/>
        </w:rPr>
        <w:t xml:space="preserve">, 5.000 córdobas para que votassem </w:t>
      </w:r>
      <w:r w:rsidR="009E50CD">
        <w:rPr>
          <w:rFonts w:ascii="Verdana" w:hAnsi="Verdana"/>
          <w:sz w:val="20"/>
        </w:rPr>
        <w:t>a</w:t>
      </w:r>
      <w:r w:rsidR="009E50CD" w:rsidRPr="00BD40F0">
        <w:rPr>
          <w:rFonts w:ascii="Verdana" w:hAnsi="Verdana"/>
          <w:sz w:val="20"/>
        </w:rPr>
        <w:t xml:space="preserve"> </w:t>
      </w:r>
      <w:r w:rsidR="000B3F97" w:rsidRPr="00BD40F0">
        <w:rPr>
          <w:rFonts w:ascii="Verdana" w:hAnsi="Verdana"/>
          <w:sz w:val="20"/>
        </w:rPr>
        <w:t>favor da concessão à empresa SOLCARSA.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Em 22 de janeiro de 1998, a testemunha interpôs outro recurso para que</w:t>
      </w:r>
      <w:r w:rsidR="00980F30">
        <w:rPr>
          <w:rFonts w:ascii="Verdana" w:hAnsi="Verdana"/>
          <w:sz w:val="20"/>
        </w:rPr>
        <w:t xml:space="preserve"> fosse </w:t>
      </w:r>
      <w:r w:rsidR="009E50CD">
        <w:rPr>
          <w:rFonts w:ascii="Verdana" w:hAnsi="Verdana"/>
          <w:sz w:val="20"/>
        </w:rPr>
        <w:t>cancelada</w:t>
      </w:r>
      <w:r w:rsidR="00980F30">
        <w:rPr>
          <w:rFonts w:ascii="Verdana" w:hAnsi="Verdana"/>
          <w:sz w:val="20"/>
        </w:rPr>
        <w:t xml:space="preserve"> a concessão. </w:t>
      </w:r>
      <w:r w:rsidRPr="00BD40F0">
        <w:rPr>
          <w:rFonts w:ascii="Verdana" w:hAnsi="Verdana"/>
          <w:sz w:val="20"/>
        </w:rPr>
        <w:t xml:space="preserve">A Corte, depois de oito meses, </w:t>
      </w:r>
      <w:r w:rsidR="009E50CD">
        <w:rPr>
          <w:rFonts w:ascii="Verdana" w:hAnsi="Verdana"/>
          <w:sz w:val="20"/>
        </w:rPr>
        <w:t>cancelou</w:t>
      </w:r>
      <w:r w:rsidRPr="00BD40F0">
        <w:rPr>
          <w:rFonts w:ascii="Verdana" w:hAnsi="Verdana"/>
          <w:sz w:val="20"/>
        </w:rPr>
        <w:t xml:space="preserve"> a concessão.</w:t>
      </w:r>
      <w:r w:rsidR="00850A3F">
        <w:rPr>
          <w:rFonts w:ascii="Verdana" w:hAnsi="Verdana"/>
          <w:sz w:val="20"/>
        </w:rPr>
        <w:t xml:space="preserve"> </w:t>
      </w:r>
      <w:r w:rsidRPr="00BD40F0">
        <w:rPr>
          <w:rFonts w:ascii="Verdana" w:hAnsi="Verdana"/>
          <w:sz w:val="20"/>
        </w:rPr>
        <w:lastRenderedPageBreak/>
        <w:t>Entretanto, a situação da demarcação ou titulação de terras indígenas continuo</w:t>
      </w:r>
      <w:r w:rsidR="00980F30">
        <w:rPr>
          <w:rFonts w:ascii="Verdana" w:hAnsi="Verdana"/>
          <w:sz w:val="20"/>
        </w:rPr>
        <w:t>u</w:t>
      </w:r>
      <w:r w:rsidRPr="00BD40F0">
        <w:rPr>
          <w:rFonts w:ascii="Verdana" w:hAnsi="Verdana"/>
          <w:sz w:val="20"/>
        </w:rPr>
        <w:t xml:space="preserve"> como estava. O Estado não fez nada a</w:t>
      </w:r>
      <w:r w:rsidR="002C6A59">
        <w:rPr>
          <w:rFonts w:ascii="Verdana" w:hAnsi="Verdana"/>
          <w:sz w:val="20"/>
        </w:rPr>
        <w:t xml:space="preserve"> </w:t>
      </w:r>
      <w:r w:rsidRPr="00BD40F0">
        <w:rPr>
          <w:rFonts w:ascii="Verdana" w:hAnsi="Verdana"/>
          <w:sz w:val="20"/>
        </w:rPr>
        <w:t>respeito.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A Costa Atlântica</w:t>
      </w:r>
      <w:r w:rsidR="002C6A59">
        <w:rPr>
          <w:rFonts w:ascii="Verdana" w:hAnsi="Verdana"/>
          <w:sz w:val="20"/>
        </w:rPr>
        <w:t xml:space="preserve"> </w:t>
      </w:r>
      <w:r w:rsidR="00B548DD">
        <w:rPr>
          <w:rFonts w:ascii="Verdana" w:hAnsi="Verdana"/>
          <w:sz w:val="20"/>
        </w:rPr>
        <w:t>possui</w:t>
      </w:r>
      <w:r w:rsidR="002C6A59">
        <w:rPr>
          <w:rFonts w:ascii="Verdana" w:hAnsi="Verdana"/>
          <w:sz w:val="20"/>
        </w:rPr>
        <w:t xml:space="preserve"> </w:t>
      </w:r>
      <w:r w:rsidRPr="00BD40F0">
        <w:rPr>
          <w:rFonts w:ascii="Verdana" w:hAnsi="Verdana"/>
          <w:sz w:val="20"/>
        </w:rPr>
        <w:t xml:space="preserve">autonomia reconhecida desde o ano de </w:t>
      </w:r>
      <w:proofErr w:type="gramStart"/>
      <w:r w:rsidRPr="00BD40F0">
        <w:rPr>
          <w:rFonts w:ascii="Verdana" w:hAnsi="Verdana"/>
          <w:sz w:val="20"/>
        </w:rPr>
        <w:t>1987 pela Lei</w:t>
      </w:r>
      <w:r w:rsidR="00C042C4">
        <w:rPr>
          <w:rFonts w:ascii="Verdana" w:hAnsi="Verdana"/>
          <w:sz w:val="20"/>
        </w:rPr>
        <w:t xml:space="preserve"> </w:t>
      </w:r>
      <w:r w:rsidR="00AE3F22">
        <w:rPr>
          <w:rFonts w:ascii="Verdana" w:hAnsi="Verdana"/>
          <w:sz w:val="20"/>
        </w:rPr>
        <w:t>nº</w:t>
      </w:r>
      <w:proofErr w:type="gramEnd"/>
      <w:r w:rsidR="00C042C4">
        <w:rPr>
          <w:rFonts w:ascii="Verdana" w:hAnsi="Verdana"/>
          <w:sz w:val="20"/>
        </w:rPr>
        <w:t xml:space="preserve"> </w:t>
      </w:r>
      <w:r w:rsidRPr="00BD40F0">
        <w:rPr>
          <w:rFonts w:ascii="Verdana" w:hAnsi="Verdana"/>
          <w:sz w:val="20"/>
        </w:rPr>
        <w:t>28, segundo a qual qualquer concessão</w:t>
      </w:r>
      <w:r w:rsidR="002C6A59">
        <w:rPr>
          <w:rFonts w:ascii="Verdana" w:hAnsi="Verdana"/>
          <w:sz w:val="20"/>
        </w:rPr>
        <w:t xml:space="preserve"> </w:t>
      </w:r>
      <w:r w:rsidR="00B548DD">
        <w:rPr>
          <w:rFonts w:ascii="Verdana" w:hAnsi="Verdana"/>
          <w:sz w:val="20"/>
        </w:rPr>
        <w:t>outorgada pelo</w:t>
      </w:r>
      <w:r w:rsidR="002C6A59">
        <w:rPr>
          <w:rFonts w:ascii="Verdana" w:hAnsi="Verdana"/>
          <w:sz w:val="20"/>
        </w:rPr>
        <w:t xml:space="preserve"> </w:t>
      </w:r>
      <w:r w:rsidRPr="00BD40F0">
        <w:rPr>
          <w:rFonts w:ascii="Verdana" w:hAnsi="Verdana"/>
          <w:sz w:val="20"/>
        </w:rPr>
        <w:t xml:space="preserve">Estado </w:t>
      </w:r>
      <w:r w:rsidR="00290201">
        <w:rPr>
          <w:rFonts w:ascii="Verdana" w:hAnsi="Verdana"/>
          <w:sz w:val="20"/>
        </w:rPr>
        <w:t xml:space="preserve">deve </w:t>
      </w:r>
      <w:r w:rsidRPr="00BD40F0">
        <w:rPr>
          <w:rFonts w:ascii="Verdana" w:hAnsi="Verdana"/>
          <w:sz w:val="20"/>
        </w:rPr>
        <w:t>ser consultada</w:t>
      </w:r>
      <w:r w:rsidR="00290201">
        <w:rPr>
          <w:rFonts w:ascii="Verdana" w:hAnsi="Verdana"/>
          <w:sz w:val="20"/>
        </w:rPr>
        <w:t xml:space="preserve"> com</w:t>
      </w:r>
      <w:r w:rsidR="002C6A59">
        <w:rPr>
          <w:rFonts w:ascii="Verdana" w:hAnsi="Verdana"/>
          <w:sz w:val="20"/>
        </w:rPr>
        <w:t xml:space="preserve"> </w:t>
      </w:r>
      <w:r w:rsidRPr="00BD40F0">
        <w:rPr>
          <w:rFonts w:ascii="Verdana" w:hAnsi="Verdana"/>
          <w:sz w:val="20"/>
        </w:rPr>
        <w:t xml:space="preserve">as comunidades indígenas e também com o Conselho Regional. </w:t>
      </w:r>
    </w:p>
    <w:p w:rsidR="000B3F97" w:rsidRPr="00BD40F0" w:rsidRDefault="000B3F97" w:rsidP="000B3F97">
      <w:pPr>
        <w:jc w:val="both"/>
        <w:rPr>
          <w:rFonts w:ascii="Verdana" w:hAnsi="Verdana"/>
          <w:sz w:val="20"/>
        </w:rPr>
      </w:pPr>
    </w:p>
    <w:p w:rsidR="000B3F97" w:rsidRPr="00BD40F0" w:rsidRDefault="00B548DD" w:rsidP="000B3F97">
      <w:pPr>
        <w:jc w:val="both"/>
        <w:rPr>
          <w:rFonts w:ascii="Verdana" w:hAnsi="Verdana"/>
          <w:sz w:val="20"/>
        </w:rPr>
      </w:pPr>
      <w:r>
        <w:rPr>
          <w:rFonts w:ascii="Verdana" w:hAnsi="Verdana"/>
          <w:sz w:val="20"/>
        </w:rPr>
        <w:t>A testemunha t</w:t>
      </w:r>
      <w:r w:rsidR="000B3F97" w:rsidRPr="00BD40F0">
        <w:rPr>
          <w:rFonts w:ascii="Verdana" w:hAnsi="Verdana"/>
          <w:sz w:val="20"/>
        </w:rPr>
        <w:t xml:space="preserve">em conhecimento de um recurso de inconstitucionalidade apresentado contra a concessão </w:t>
      </w:r>
      <w:r w:rsidR="00980F30">
        <w:rPr>
          <w:rFonts w:ascii="Verdana" w:hAnsi="Verdana"/>
          <w:sz w:val="20"/>
        </w:rPr>
        <w:t>à</w:t>
      </w:r>
      <w:r w:rsidR="000B3F97" w:rsidRPr="00BD40F0">
        <w:rPr>
          <w:rFonts w:ascii="Verdana" w:hAnsi="Verdana"/>
          <w:sz w:val="20"/>
        </w:rPr>
        <w:t xml:space="preserve"> SOLCARSA, em cujo trâmite a Comunidade Awas Tingni foi parte processual, </w:t>
      </w:r>
      <w:r w:rsidR="006A2989">
        <w:rPr>
          <w:rFonts w:ascii="Verdana" w:hAnsi="Verdana"/>
          <w:sz w:val="20"/>
        </w:rPr>
        <w:t>como resultado do qual a concessão foi declarada inconstitucional</w:t>
      </w:r>
      <w:r w:rsidR="000B3F97" w:rsidRPr="00BD40F0">
        <w:rPr>
          <w:rFonts w:ascii="Verdana" w:hAnsi="Verdana"/>
          <w:sz w:val="20"/>
        </w:rPr>
        <w:t>.</w:t>
      </w:r>
      <w:r w:rsidR="00850A3F">
        <w:rPr>
          <w:rFonts w:ascii="Verdana" w:hAnsi="Verdana"/>
          <w:sz w:val="20"/>
        </w:rPr>
        <w:t xml:space="preserve"> </w:t>
      </w:r>
      <w:r w:rsidR="000B3F97" w:rsidRPr="00BD40F0">
        <w:rPr>
          <w:rFonts w:ascii="Verdana" w:hAnsi="Verdana"/>
          <w:sz w:val="20"/>
        </w:rPr>
        <w:t>Ademais,</w:t>
      </w:r>
      <w:r w:rsidR="006A2989">
        <w:rPr>
          <w:rFonts w:ascii="Verdana" w:hAnsi="Verdana"/>
          <w:sz w:val="20"/>
        </w:rPr>
        <w:t xml:space="preserve"> ele</w:t>
      </w:r>
      <w:r w:rsidR="000B3F97" w:rsidRPr="00BD40F0">
        <w:rPr>
          <w:rFonts w:ascii="Verdana" w:hAnsi="Verdana"/>
          <w:sz w:val="20"/>
        </w:rPr>
        <w:t xml:space="preserve"> sabe que</w:t>
      </w:r>
      <w:r w:rsidR="002C6A59">
        <w:rPr>
          <w:rFonts w:ascii="Verdana" w:hAnsi="Verdana"/>
          <w:sz w:val="20"/>
        </w:rPr>
        <w:t xml:space="preserve"> </w:t>
      </w:r>
      <w:r w:rsidR="00290201">
        <w:rPr>
          <w:rFonts w:ascii="Verdana" w:hAnsi="Verdana"/>
          <w:sz w:val="20"/>
        </w:rPr>
        <w:t xml:space="preserve">o </w:t>
      </w:r>
      <w:r w:rsidR="000B3F97" w:rsidRPr="00BD40F0">
        <w:rPr>
          <w:rFonts w:ascii="Verdana" w:hAnsi="Verdana"/>
          <w:sz w:val="20"/>
        </w:rPr>
        <w:t>MARENA ordenou a suspensão da concessão pouco tempo depois de haver sido notificado pela Corte Suprema de Justiça da inconstitucionalidade dessa concessão.</w:t>
      </w:r>
    </w:p>
    <w:p w:rsidR="000B3F97" w:rsidRPr="00BD40F0" w:rsidRDefault="000B3F97" w:rsidP="000B3F97">
      <w:pPr>
        <w:jc w:val="both"/>
        <w:rPr>
          <w:rFonts w:ascii="Verdana" w:hAnsi="Verdana"/>
          <w:sz w:val="20"/>
        </w:rPr>
      </w:pPr>
    </w:p>
    <w:p w:rsidR="000B3F97" w:rsidRPr="00BD40F0" w:rsidRDefault="006A2989" w:rsidP="000B3F97">
      <w:pPr>
        <w:jc w:val="both"/>
        <w:rPr>
          <w:rFonts w:ascii="Verdana" w:hAnsi="Verdana"/>
          <w:sz w:val="20"/>
        </w:rPr>
      </w:pPr>
      <w:r>
        <w:rPr>
          <w:rFonts w:ascii="Verdana" w:hAnsi="Verdana"/>
          <w:sz w:val="20"/>
        </w:rPr>
        <w:t xml:space="preserve">Ele </w:t>
      </w:r>
      <w:r w:rsidR="00290201">
        <w:rPr>
          <w:rFonts w:ascii="Verdana" w:hAnsi="Verdana"/>
          <w:sz w:val="20"/>
        </w:rPr>
        <w:t>n</w:t>
      </w:r>
      <w:r w:rsidR="000B3F97" w:rsidRPr="00291DB7">
        <w:rPr>
          <w:rFonts w:ascii="Verdana" w:hAnsi="Verdana"/>
          <w:sz w:val="20"/>
        </w:rPr>
        <w:t xml:space="preserve">ão tem conhecimento de que o Plano de </w:t>
      </w:r>
      <w:r>
        <w:rPr>
          <w:rFonts w:ascii="Verdana" w:hAnsi="Verdana"/>
          <w:sz w:val="20"/>
        </w:rPr>
        <w:t>Gestão</w:t>
      </w:r>
      <w:r w:rsidR="000B3F97" w:rsidRPr="00291DB7">
        <w:rPr>
          <w:rFonts w:ascii="Verdana" w:hAnsi="Verdana"/>
          <w:sz w:val="20"/>
        </w:rPr>
        <w:t>,</w:t>
      </w:r>
      <w:r w:rsidR="002C6A59">
        <w:rPr>
          <w:rFonts w:ascii="Verdana" w:hAnsi="Verdana"/>
          <w:sz w:val="20"/>
        </w:rPr>
        <w:t xml:space="preserve"> </w:t>
      </w:r>
      <w:r>
        <w:rPr>
          <w:rFonts w:ascii="Verdana" w:hAnsi="Verdana"/>
          <w:sz w:val="20"/>
        </w:rPr>
        <w:t>o qual</w:t>
      </w:r>
      <w:r w:rsidR="000B3F97" w:rsidRPr="00291DB7">
        <w:rPr>
          <w:rFonts w:ascii="Verdana" w:hAnsi="Verdana"/>
          <w:sz w:val="20"/>
        </w:rPr>
        <w:t xml:space="preserve"> constitui um requisito prévio para iniciar a atividade de corte de madeira, tenha sido aprovado pelo Estado </w:t>
      </w:r>
      <w:r w:rsidR="00980F30" w:rsidRPr="00291DB7">
        <w:rPr>
          <w:rFonts w:ascii="Verdana" w:hAnsi="Verdana"/>
          <w:sz w:val="20"/>
        </w:rPr>
        <w:t>à</w:t>
      </w:r>
      <w:r w:rsidR="000B3F97" w:rsidRPr="00291DB7">
        <w:rPr>
          <w:rFonts w:ascii="Verdana" w:hAnsi="Verdana"/>
          <w:sz w:val="20"/>
        </w:rPr>
        <w:t xml:space="preserve"> SOLCARSA. </w:t>
      </w:r>
      <w:r>
        <w:rPr>
          <w:rFonts w:ascii="Verdana" w:hAnsi="Verdana"/>
          <w:sz w:val="20"/>
        </w:rPr>
        <w:t>Ele s</w:t>
      </w:r>
      <w:r w:rsidR="000B3F97" w:rsidRPr="00291DB7">
        <w:rPr>
          <w:rFonts w:ascii="Verdana" w:hAnsi="Verdana"/>
          <w:sz w:val="20"/>
        </w:rPr>
        <w:t>abe que</w:t>
      </w:r>
      <w:r>
        <w:rPr>
          <w:rFonts w:ascii="Verdana" w:hAnsi="Verdana"/>
          <w:sz w:val="20"/>
        </w:rPr>
        <w:t>,</w:t>
      </w:r>
      <w:r w:rsidR="000B3F97" w:rsidRPr="00291DB7">
        <w:rPr>
          <w:rFonts w:ascii="Verdana" w:hAnsi="Verdana"/>
          <w:sz w:val="20"/>
        </w:rPr>
        <w:t xml:space="preserve"> mediante </w:t>
      </w:r>
      <w:r w:rsidR="00917754">
        <w:rPr>
          <w:rFonts w:ascii="Verdana" w:hAnsi="Verdana"/>
          <w:sz w:val="20"/>
        </w:rPr>
        <w:t>convênio</w:t>
      </w:r>
      <w:r w:rsidR="000B3F97" w:rsidRPr="00291DB7">
        <w:rPr>
          <w:rFonts w:ascii="Verdana" w:hAnsi="Verdana"/>
          <w:sz w:val="20"/>
        </w:rPr>
        <w:t xml:space="preserve"> ministerial</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000B3F97" w:rsidRPr="00291DB7">
        <w:rPr>
          <w:rFonts w:ascii="Verdana" w:hAnsi="Verdana"/>
          <w:sz w:val="20"/>
        </w:rPr>
        <w:t xml:space="preserve">02-97, o MARENA </w:t>
      </w:r>
      <w:r>
        <w:rPr>
          <w:rFonts w:ascii="Verdana" w:hAnsi="Verdana"/>
          <w:sz w:val="20"/>
        </w:rPr>
        <w:t>multou a</w:t>
      </w:r>
      <w:r w:rsidR="002C6A59">
        <w:rPr>
          <w:rFonts w:ascii="Verdana" w:hAnsi="Verdana"/>
          <w:sz w:val="20"/>
        </w:rPr>
        <w:t xml:space="preserve"> </w:t>
      </w:r>
      <w:r w:rsidR="000B3F97" w:rsidRPr="00291DB7">
        <w:rPr>
          <w:rFonts w:ascii="Verdana" w:hAnsi="Verdana"/>
          <w:sz w:val="20"/>
        </w:rPr>
        <w:t>SOLCARSA por corte ilegal de madeira fora da área da concessão.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b/>
          <w:sz w:val="20"/>
        </w:rPr>
      </w:pPr>
      <w:r w:rsidRPr="00BD40F0">
        <w:rPr>
          <w:rFonts w:ascii="Verdana" w:hAnsi="Verdana"/>
          <w:sz w:val="20"/>
        </w:rPr>
        <w:t>A Comunidade Awas Tingni ocupa terras ancestrais, é uma comunidade indígena e</w:t>
      </w:r>
      <w:r w:rsidR="009E50CD">
        <w:rPr>
          <w:rFonts w:ascii="Verdana" w:hAnsi="Verdana"/>
          <w:sz w:val="20"/>
        </w:rPr>
        <w:t>,</w:t>
      </w:r>
      <w:r w:rsidRPr="00BD40F0">
        <w:rPr>
          <w:rFonts w:ascii="Verdana" w:hAnsi="Verdana"/>
          <w:sz w:val="20"/>
        </w:rPr>
        <w:t xml:space="preserve"> </w:t>
      </w:r>
      <w:r w:rsidR="007461CB">
        <w:rPr>
          <w:rFonts w:ascii="Verdana" w:hAnsi="Verdana"/>
          <w:sz w:val="20"/>
        </w:rPr>
        <w:t>“</w:t>
      </w:r>
      <w:r w:rsidRPr="00BD40F0">
        <w:rPr>
          <w:rFonts w:ascii="Verdana" w:hAnsi="Verdana"/>
          <w:sz w:val="20"/>
        </w:rPr>
        <w:t>historicamente</w:t>
      </w:r>
      <w:r w:rsidR="009E50CD">
        <w:rPr>
          <w:rFonts w:ascii="Verdana" w:hAnsi="Verdana"/>
          <w:sz w:val="20"/>
        </w:rPr>
        <w:t>,</w:t>
      </w:r>
      <w:r w:rsidR="006A2989">
        <w:rPr>
          <w:rFonts w:ascii="Verdana" w:hAnsi="Verdana"/>
          <w:sz w:val="20"/>
        </w:rPr>
        <w:t xml:space="preserve"> é</w:t>
      </w:r>
      <w:r w:rsidRPr="00BD40F0">
        <w:rPr>
          <w:rFonts w:ascii="Verdana" w:hAnsi="Verdana"/>
          <w:sz w:val="20"/>
        </w:rPr>
        <w:t xml:space="preserve"> seu território</w:t>
      </w:r>
      <w:r w:rsidR="006A2989">
        <w:rPr>
          <w:rFonts w:ascii="Verdana" w:hAnsi="Verdana"/>
          <w:sz w:val="20"/>
        </w:rPr>
        <w:t>,</w:t>
      </w:r>
      <w:r w:rsidRPr="00BD40F0">
        <w:rPr>
          <w:rFonts w:ascii="Verdana" w:hAnsi="Verdana"/>
          <w:sz w:val="20"/>
        </w:rPr>
        <w:t xml:space="preserve"> </w:t>
      </w:r>
      <w:r w:rsidR="00917754">
        <w:rPr>
          <w:rFonts w:ascii="Verdana" w:hAnsi="Verdana"/>
          <w:sz w:val="20"/>
        </w:rPr>
        <w:t>é</w:t>
      </w:r>
      <w:r w:rsidRPr="00BD40F0">
        <w:rPr>
          <w:rFonts w:ascii="Verdana" w:hAnsi="Verdana"/>
          <w:sz w:val="20"/>
        </w:rPr>
        <w:t xml:space="preserve"> s</w:t>
      </w:r>
      <w:r w:rsidR="00980F30">
        <w:rPr>
          <w:rFonts w:ascii="Verdana" w:hAnsi="Verdana"/>
          <w:sz w:val="20"/>
        </w:rPr>
        <w:t>ua</w:t>
      </w:r>
      <w:r w:rsidRPr="00BD40F0">
        <w:rPr>
          <w:rFonts w:ascii="Verdana" w:hAnsi="Verdana"/>
          <w:sz w:val="20"/>
        </w:rPr>
        <w:t xml:space="preserve"> terra, isso </w:t>
      </w:r>
      <w:r w:rsidRPr="00586D66">
        <w:rPr>
          <w:rFonts w:ascii="Verdana" w:hAnsi="Verdana"/>
          <w:sz w:val="20"/>
        </w:rPr>
        <w:t>ninguém</w:t>
      </w:r>
      <w:r>
        <w:rPr>
          <w:rFonts w:ascii="Verdana" w:hAnsi="Verdana"/>
          <w:sz w:val="20"/>
        </w:rPr>
        <w:t xml:space="preserve"> </w:t>
      </w:r>
      <w:r w:rsidR="007461CB">
        <w:rPr>
          <w:rFonts w:ascii="Verdana" w:hAnsi="Verdana"/>
          <w:sz w:val="20"/>
        </w:rPr>
        <w:t>pode tirar</w:t>
      </w:r>
      <w:r w:rsidRPr="00BD40F0">
        <w:rPr>
          <w:rFonts w:ascii="Verdana" w:hAnsi="Verdana"/>
          <w:sz w:val="20"/>
        </w:rPr>
        <w:t>, e o Estado sabe muito bem disso, totalmente, esse território</w:t>
      </w:r>
      <w:r w:rsidR="002C6A59">
        <w:rPr>
          <w:rFonts w:ascii="Verdana" w:hAnsi="Verdana"/>
          <w:sz w:val="20"/>
        </w:rPr>
        <w:t xml:space="preserve"> </w:t>
      </w:r>
      <w:r w:rsidR="006A2989">
        <w:rPr>
          <w:rFonts w:ascii="Verdana" w:hAnsi="Verdana"/>
          <w:sz w:val="20"/>
        </w:rPr>
        <w:t>pertence</w:t>
      </w:r>
      <w:r w:rsidR="002C6A59">
        <w:rPr>
          <w:rFonts w:ascii="Verdana" w:hAnsi="Verdana"/>
          <w:sz w:val="20"/>
        </w:rPr>
        <w:t xml:space="preserve"> </w:t>
      </w:r>
      <w:r w:rsidR="006A2989">
        <w:rPr>
          <w:rFonts w:ascii="Verdana" w:hAnsi="Verdana"/>
          <w:sz w:val="20"/>
        </w:rPr>
        <w:t xml:space="preserve">à </w:t>
      </w:r>
      <w:r w:rsidRPr="00BD40F0">
        <w:rPr>
          <w:rFonts w:ascii="Verdana" w:hAnsi="Verdana"/>
          <w:sz w:val="20"/>
        </w:rPr>
        <w:t>Comunidade Awas Tingni.</w:t>
      </w:r>
      <w:proofErr w:type="gramStart"/>
      <w:r w:rsidRPr="00BD40F0">
        <w:rPr>
          <w:rFonts w:ascii="Verdana" w:hAnsi="Verdana"/>
          <w:sz w:val="20"/>
        </w:rPr>
        <w:t>”</w:t>
      </w:r>
      <w:proofErr w:type="gramEnd"/>
    </w:p>
    <w:p w:rsidR="000B3F97" w:rsidRPr="00BD40F0" w:rsidRDefault="000B3F97" w:rsidP="000B3F97">
      <w:pPr>
        <w:jc w:val="both"/>
        <w:rPr>
          <w:rFonts w:ascii="Verdana" w:hAnsi="Verdana"/>
          <w:b/>
          <w:sz w:val="20"/>
        </w:rPr>
      </w:pPr>
    </w:p>
    <w:p w:rsidR="000B3F97" w:rsidRPr="00BD40F0" w:rsidRDefault="000B3F97" w:rsidP="000B3F97">
      <w:pPr>
        <w:jc w:val="both"/>
        <w:rPr>
          <w:rFonts w:ascii="Verdana" w:hAnsi="Verdana"/>
          <w:b/>
          <w:sz w:val="20"/>
        </w:rPr>
      </w:pPr>
      <w:proofErr w:type="gramStart"/>
      <w:r w:rsidRPr="00BD40F0">
        <w:rPr>
          <w:rFonts w:ascii="Verdana" w:hAnsi="Verdana"/>
          <w:b/>
          <w:sz w:val="20"/>
        </w:rPr>
        <w:t>i</w:t>
      </w:r>
      <w:proofErr w:type="gramEnd"/>
      <w:r w:rsidRPr="00BD40F0">
        <w:rPr>
          <w:rFonts w:ascii="Verdana" w:hAnsi="Verdana"/>
          <w:b/>
          <w:sz w:val="20"/>
        </w:rPr>
        <w:t>.</w:t>
      </w:r>
      <w:r w:rsidRPr="00BD40F0">
        <w:rPr>
          <w:rFonts w:ascii="Verdana" w:hAnsi="Verdana"/>
          <w:b/>
          <w:sz w:val="20"/>
        </w:rPr>
        <w:tab/>
        <w:t>Testemunho de Wilfredo Mclean Salvador, membro da Comunidade Awas Tingni</w:t>
      </w:r>
    </w:p>
    <w:p w:rsidR="000B3F97" w:rsidRPr="00BD40F0" w:rsidRDefault="000B3F97" w:rsidP="000B3F97">
      <w:pPr>
        <w:jc w:val="both"/>
        <w:rPr>
          <w:rFonts w:ascii="Verdana" w:hAnsi="Verdana"/>
          <w:sz w:val="20"/>
        </w:rPr>
      </w:pPr>
    </w:p>
    <w:p w:rsidR="000B3F97" w:rsidRPr="00BD40F0" w:rsidRDefault="004970AA" w:rsidP="000B3F97">
      <w:pPr>
        <w:jc w:val="both"/>
        <w:rPr>
          <w:rFonts w:ascii="Verdana" w:hAnsi="Verdana"/>
          <w:sz w:val="20"/>
        </w:rPr>
      </w:pPr>
      <w:r>
        <w:rPr>
          <w:rFonts w:ascii="Verdana" w:hAnsi="Verdana"/>
          <w:sz w:val="20"/>
        </w:rPr>
        <w:t>A testemunha n</w:t>
      </w:r>
      <w:r w:rsidR="000B3F97" w:rsidRPr="00BD40F0">
        <w:rPr>
          <w:rFonts w:ascii="Verdana" w:hAnsi="Verdana"/>
          <w:sz w:val="20"/>
        </w:rPr>
        <w:t>asceu na Comunidade Awas Tingni.</w:t>
      </w:r>
      <w:r>
        <w:rPr>
          <w:rFonts w:ascii="Verdana" w:hAnsi="Verdana"/>
          <w:sz w:val="20"/>
        </w:rPr>
        <w:t xml:space="preserve"> Ele</w:t>
      </w:r>
      <w:r w:rsidR="00850A3F">
        <w:rPr>
          <w:rFonts w:ascii="Verdana" w:hAnsi="Verdana"/>
          <w:sz w:val="20"/>
        </w:rPr>
        <w:t xml:space="preserve"> </w:t>
      </w:r>
      <w:r>
        <w:rPr>
          <w:rFonts w:ascii="Verdana" w:hAnsi="Verdana"/>
          <w:sz w:val="20"/>
        </w:rPr>
        <w:t>p</w:t>
      </w:r>
      <w:r w:rsidR="000B3F97" w:rsidRPr="00BD40F0">
        <w:rPr>
          <w:rFonts w:ascii="Verdana" w:hAnsi="Verdana"/>
          <w:sz w:val="20"/>
        </w:rPr>
        <w:t xml:space="preserve">ertence à etnia Mayagna. Exerce o cargo de Responsável </w:t>
      </w:r>
      <w:r w:rsidR="00211A04">
        <w:rPr>
          <w:rFonts w:ascii="Verdana" w:hAnsi="Verdana"/>
          <w:sz w:val="20"/>
        </w:rPr>
        <w:t>pela Floresta</w:t>
      </w:r>
      <w:r w:rsidR="000B3F97" w:rsidRPr="00BD40F0">
        <w:rPr>
          <w:rFonts w:ascii="Verdana" w:hAnsi="Verdana"/>
          <w:sz w:val="20"/>
        </w:rPr>
        <w:t xml:space="preserve"> dentro da Comunidade. O Responsável </w:t>
      </w:r>
      <w:r w:rsidR="00211A04">
        <w:rPr>
          <w:rFonts w:ascii="Verdana" w:hAnsi="Verdana"/>
          <w:sz w:val="20"/>
        </w:rPr>
        <w:t>pela Floresta</w:t>
      </w:r>
      <w:r w:rsidR="000B3F97" w:rsidRPr="00BD40F0">
        <w:rPr>
          <w:rFonts w:ascii="Verdana" w:hAnsi="Verdana"/>
          <w:sz w:val="20"/>
        </w:rPr>
        <w:t xml:space="preserve"> é o que </w:t>
      </w:r>
      <w:r w:rsidR="000B3F97">
        <w:rPr>
          <w:rFonts w:ascii="Verdana" w:hAnsi="Verdana"/>
          <w:sz w:val="20"/>
        </w:rPr>
        <w:t>vigia</w:t>
      </w:r>
      <w:r w:rsidR="000B3F97" w:rsidRPr="00BD40F0">
        <w:rPr>
          <w:rFonts w:ascii="Verdana" w:hAnsi="Verdana"/>
          <w:sz w:val="20"/>
        </w:rPr>
        <w:t xml:space="preserve"> a terra </w:t>
      </w:r>
      <w:r>
        <w:rPr>
          <w:rFonts w:ascii="Verdana" w:hAnsi="Verdana"/>
          <w:sz w:val="20"/>
        </w:rPr>
        <w:t>pertencente</w:t>
      </w:r>
      <w:r w:rsidR="000B3F97" w:rsidRPr="00BD40F0">
        <w:rPr>
          <w:rFonts w:ascii="Verdana" w:hAnsi="Verdana"/>
          <w:sz w:val="20"/>
        </w:rPr>
        <w:t xml:space="preserve"> à Comunidade. Também é o Responsável </w:t>
      </w:r>
      <w:r w:rsidR="00211A04">
        <w:rPr>
          <w:rFonts w:ascii="Verdana" w:hAnsi="Verdana"/>
          <w:sz w:val="20"/>
        </w:rPr>
        <w:t>pelo</w:t>
      </w:r>
      <w:r w:rsidR="000B3F97" w:rsidRPr="00BD40F0">
        <w:rPr>
          <w:rFonts w:ascii="Verdana" w:hAnsi="Verdana"/>
          <w:sz w:val="20"/>
        </w:rPr>
        <w:t xml:space="preserve"> Centro Escolar de Awas Tingni.</w:t>
      </w:r>
    </w:p>
    <w:p w:rsidR="000B3F97" w:rsidRPr="00BD40F0" w:rsidRDefault="000B3F97" w:rsidP="000B3F97">
      <w:pPr>
        <w:jc w:val="both"/>
        <w:rPr>
          <w:rFonts w:ascii="Verdana" w:hAnsi="Verdana"/>
          <w:sz w:val="20"/>
        </w:rPr>
      </w:pPr>
    </w:p>
    <w:p w:rsidR="000B3F97" w:rsidRPr="00BD40F0" w:rsidRDefault="004970AA" w:rsidP="000B3F97">
      <w:pPr>
        <w:jc w:val="both"/>
        <w:rPr>
          <w:rFonts w:ascii="Verdana" w:hAnsi="Verdana"/>
          <w:sz w:val="20"/>
        </w:rPr>
      </w:pPr>
      <w:r>
        <w:rPr>
          <w:rFonts w:ascii="Verdana" w:hAnsi="Verdana"/>
          <w:sz w:val="20"/>
        </w:rPr>
        <w:t>Ele e</w:t>
      </w:r>
      <w:r w:rsidR="000B3F97" w:rsidRPr="00BD40F0">
        <w:rPr>
          <w:rFonts w:ascii="Verdana" w:hAnsi="Verdana"/>
          <w:sz w:val="20"/>
        </w:rPr>
        <w:t>st</w:t>
      </w:r>
      <w:r>
        <w:rPr>
          <w:rFonts w:ascii="Verdana" w:hAnsi="Verdana"/>
          <w:sz w:val="20"/>
        </w:rPr>
        <w:t>e</w:t>
      </w:r>
      <w:r w:rsidR="000B3F97" w:rsidRPr="00BD40F0">
        <w:rPr>
          <w:rFonts w:ascii="Verdana" w:hAnsi="Verdana"/>
          <w:sz w:val="20"/>
        </w:rPr>
        <w:t>v</w:t>
      </w:r>
      <w:r>
        <w:rPr>
          <w:rFonts w:ascii="Verdana" w:hAnsi="Verdana"/>
          <w:sz w:val="20"/>
        </w:rPr>
        <w:t>e</w:t>
      </w:r>
      <w:r w:rsidR="000B3F97" w:rsidRPr="00BD40F0">
        <w:rPr>
          <w:rFonts w:ascii="Verdana" w:hAnsi="Verdana"/>
          <w:sz w:val="20"/>
        </w:rPr>
        <w:t xml:space="preserve"> presente em uma reunião </w:t>
      </w:r>
      <w:r>
        <w:rPr>
          <w:rFonts w:ascii="Verdana" w:hAnsi="Verdana"/>
          <w:sz w:val="20"/>
        </w:rPr>
        <w:t>realizada</w:t>
      </w:r>
      <w:r w:rsidR="000B3F97" w:rsidRPr="00BD40F0">
        <w:rPr>
          <w:rFonts w:ascii="Verdana" w:hAnsi="Verdana"/>
          <w:sz w:val="20"/>
        </w:rPr>
        <w:t xml:space="preserve"> na Casa Presidencial</w:t>
      </w:r>
      <w:r>
        <w:rPr>
          <w:rFonts w:ascii="Verdana" w:hAnsi="Verdana"/>
          <w:sz w:val="20"/>
        </w:rPr>
        <w:t>,</w:t>
      </w:r>
      <w:r w:rsidR="000B3F97" w:rsidRPr="00BD40F0">
        <w:rPr>
          <w:rFonts w:ascii="Verdana" w:hAnsi="Verdana"/>
          <w:sz w:val="20"/>
        </w:rPr>
        <w:t xml:space="preserve"> em fevereiro de 1997. Na reunião estavam também o síndico, delegados da Comunidade e seus assessores. Nesta ocasião indicaram ao Presidente da Nicarágua </w:t>
      </w:r>
      <w:r w:rsidR="00291DB7">
        <w:rPr>
          <w:rFonts w:ascii="Verdana" w:hAnsi="Verdana"/>
          <w:sz w:val="20"/>
        </w:rPr>
        <w:t>o pedido</w:t>
      </w:r>
      <w:r w:rsidR="000B3F97" w:rsidRPr="00BD40F0">
        <w:rPr>
          <w:rFonts w:ascii="Verdana" w:hAnsi="Verdana"/>
          <w:sz w:val="20"/>
        </w:rPr>
        <w:t xml:space="preserve"> da demarcação territorial de Awas Tingni e lhe </w:t>
      </w:r>
      <w:r>
        <w:rPr>
          <w:rFonts w:ascii="Verdana" w:hAnsi="Verdana"/>
          <w:sz w:val="20"/>
        </w:rPr>
        <w:t>informaram</w:t>
      </w:r>
      <w:r w:rsidR="000B3F97" w:rsidRPr="00BD40F0">
        <w:rPr>
          <w:rFonts w:ascii="Verdana" w:hAnsi="Verdana"/>
          <w:sz w:val="20"/>
        </w:rPr>
        <w:t xml:space="preserve"> que a empresa madeireira SOLCARSA estava entrando </w:t>
      </w:r>
      <w:r w:rsidR="00211A04">
        <w:rPr>
          <w:rFonts w:ascii="Verdana" w:hAnsi="Verdana"/>
          <w:sz w:val="20"/>
        </w:rPr>
        <w:t>no</w:t>
      </w:r>
      <w:r w:rsidR="000B3F97" w:rsidRPr="00BD40F0">
        <w:rPr>
          <w:rFonts w:ascii="Verdana" w:hAnsi="Verdana"/>
          <w:sz w:val="20"/>
        </w:rPr>
        <w:t xml:space="preserve"> território da Comunidade. O Presidente </w:t>
      </w:r>
      <w:r w:rsidR="000B3F97" w:rsidRPr="00586D66">
        <w:rPr>
          <w:rFonts w:ascii="Verdana" w:hAnsi="Verdana"/>
          <w:sz w:val="20"/>
        </w:rPr>
        <w:t>lhes disse que entendia que eles tinham dir</w:t>
      </w:r>
      <w:r w:rsidR="00291DB7">
        <w:rPr>
          <w:rFonts w:ascii="Verdana" w:hAnsi="Verdana"/>
          <w:sz w:val="20"/>
        </w:rPr>
        <w:t xml:space="preserve">eitos às terras e que </w:t>
      </w:r>
      <w:r w:rsidR="000B3F97" w:rsidRPr="00586D66">
        <w:rPr>
          <w:rFonts w:ascii="Verdana" w:hAnsi="Verdana"/>
          <w:sz w:val="20"/>
        </w:rPr>
        <w:t>resolver</w:t>
      </w:r>
      <w:r w:rsidR="004922CB">
        <w:rPr>
          <w:rFonts w:ascii="Verdana" w:hAnsi="Verdana"/>
          <w:sz w:val="20"/>
        </w:rPr>
        <w:t>ia</w:t>
      </w:r>
      <w:r w:rsidR="000B3F97" w:rsidRPr="00586D66">
        <w:rPr>
          <w:rFonts w:ascii="Verdana" w:hAnsi="Verdana"/>
          <w:sz w:val="20"/>
        </w:rPr>
        <w:t xml:space="preserve"> o caso, organizando, nesse momento, outra reunião com o Ministro do MARENA. Nesse</w:t>
      </w:r>
      <w:r w:rsidR="000B3F97" w:rsidRPr="00BD40F0">
        <w:rPr>
          <w:rFonts w:ascii="Verdana" w:hAnsi="Verdana"/>
          <w:sz w:val="20"/>
        </w:rPr>
        <w:t xml:space="preserve"> mesmo dia foram atendidos pelo Ministro nos escritórios do Ministério. Nesta reunião lhes disseram que iriam à Comunidade para </w:t>
      </w:r>
      <w:r w:rsidR="004922CB">
        <w:rPr>
          <w:rFonts w:ascii="Verdana" w:hAnsi="Verdana"/>
          <w:sz w:val="20"/>
        </w:rPr>
        <w:t>investigar</w:t>
      </w:r>
      <w:r w:rsidR="000B3F97" w:rsidRPr="00BD40F0">
        <w:rPr>
          <w:rFonts w:ascii="Verdana" w:hAnsi="Verdana"/>
          <w:sz w:val="20"/>
        </w:rPr>
        <w:t>.</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Posteriormente, a concessão </w:t>
      </w:r>
      <w:r w:rsidR="00211A04">
        <w:rPr>
          <w:rFonts w:ascii="Verdana" w:hAnsi="Verdana"/>
          <w:sz w:val="20"/>
        </w:rPr>
        <w:t>à</w:t>
      </w:r>
      <w:r w:rsidRPr="00BD40F0">
        <w:rPr>
          <w:rFonts w:ascii="Verdana" w:hAnsi="Verdana"/>
          <w:sz w:val="20"/>
        </w:rPr>
        <w:t xml:space="preserve"> SOLCARSA foi declarada inconstitucional.</w:t>
      </w:r>
      <w:r w:rsidR="00850A3F">
        <w:rPr>
          <w:rFonts w:ascii="Verdana" w:hAnsi="Verdana"/>
          <w:sz w:val="20"/>
        </w:rPr>
        <w:t xml:space="preserve"> </w:t>
      </w:r>
      <w:r w:rsidRPr="00BD40F0">
        <w:rPr>
          <w:rFonts w:ascii="Verdana" w:hAnsi="Verdana"/>
          <w:sz w:val="20"/>
        </w:rPr>
        <w:t>Entretanto, os funcionários do Estado nunca chegaram à Comunidade para resolver a petição da demarcação da terra.</w:t>
      </w:r>
      <w:r w:rsidR="00850A3F">
        <w:rPr>
          <w:rFonts w:ascii="Verdana" w:hAnsi="Verdana"/>
          <w:sz w:val="20"/>
        </w:rPr>
        <w:t xml:space="preserv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Entre 28 e 30 de março de 2000 tiveram outra reunião em Manágua, na sede da Chancelaria. A Comunidade solicitou audiência às autoridades em razão da preocupação que tinha pela demarcação de suas terras. Nessa reunião estiveram presentes 12 delegados do Estado. Como assessora dos indígenas, somente </w:t>
      </w:r>
      <w:r w:rsidR="004922CB">
        <w:rPr>
          <w:rFonts w:ascii="Verdana" w:hAnsi="Verdana"/>
          <w:sz w:val="20"/>
        </w:rPr>
        <w:t xml:space="preserve">foi </w:t>
      </w:r>
      <w:r w:rsidR="004922CB" w:rsidRPr="00BD40F0">
        <w:rPr>
          <w:rFonts w:ascii="Verdana" w:hAnsi="Verdana"/>
          <w:sz w:val="20"/>
        </w:rPr>
        <w:t>permit</w:t>
      </w:r>
      <w:r w:rsidR="004922CB">
        <w:rPr>
          <w:rFonts w:ascii="Verdana" w:hAnsi="Verdana"/>
          <w:sz w:val="20"/>
        </w:rPr>
        <w:t xml:space="preserve">ida </w:t>
      </w:r>
      <w:r w:rsidR="00291DB7">
        <w:rPr>
          <w:rFonts w:ascii="Verdana" w:hAnsi="Verdana"/>
          <w:sz w:val="20"/>
        </w:rPr>
        <w:t>a presença nessa reunião da D</w:t>
      </w:r>
      <w:r w:rsidRPr="00BD40F0">
        <w:rPr>
          <w:rFonts w:ascii="Verdana" w:hAnsi="Verdana"/>
          <w:sz w:val="20"/>
        </w:rPr>
        <w:t xml:space="preserve">outora María Luisa Acosta, representante da Comunidade. Não permitiram a presença de assessores internacionais; manifestaram </w:t>
      </w:r>
      <w:r w:rsidRPr="00BD40F0">
        <w:rPr>
          <w:rFonts w:ascii="Verdana" w:hAnsi="Verdana"/>
          <w:sz w:val="20"/>
        </w:rPr>
        <w:lastRenderedPageBreak/>
        <w:t>que não era necessário ir à Corte Interamericana e que o melhor era resolver o caso na Nicarágua.</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O Estado manifestou que era melhor resolver o caso entre o governo e os</w:t>
      </w:r>
      <w:r w:rsidR="00211A04">
        <w:rPr>
          <w:rFonts w:ascii="Verdana" w:hAnsi="Verdana"/>
          <w:sz w:val="20"/>
        </w:rPr>
        <w:t xml:space="preserve"> indígenas. </w:t>
      </w:r>
      <w:r w:rsidRPr="00BD40F0">
        <w:rPr>
          <w:rFonts w:ascii="Verdana" w:hAnsi="Verdana"/>
          <w:sz w:val="20"/>
        </w:rPr>
        <w:t>Os representantes destes últimos mostraram aos delegados do Estado o mapa onde fi</w:t>
      </w:r>
      <w:r w:rsidR="00237416">
        <w:rPr>
          <w:rFonts w:ascii="Verdana" w:hAnsi="Verdana"/>
          <w:sz w:val="20"/>
        </w:rPr>
        <w:t>gurava a demarcação das terras de</w:t>
      </w:r>
      <w:r w:rsidRPr="00BD40F0">
        <w:rPr>
          <w:rFonts w:ascii="Verdana" w:hAnsi="Verdana"/>
          <w:sz w:val="20"/>
        </w:rPr>
        <w:t xml:space="preserve"> Awas Tingni, de acordo co</w:t>
      </w:r>
      <w:r w:rsidR="00211A04">
        <w:rPr>
          <w:rFonts w:ascii="Verdana" w:hAnsi="Verdana"/>
          <w:sz w:val="20"/>
        </w:rPr>
        <w:t xml:space="preserve">m as pretensões da Comunidade. </w:t>
      </w:r>
      <w:r w:rsidRPr="00BD40F0">
        <w:rPr>
          <w:rFonts w:ascii="Verdana" w:hAnsi="Verdana"/>
          <w:sz w:val="20"/>
        </w:rPr>
        <w:t xml:space="preserve">Estes delegados responderam que não reconheciam a mencionada demarcação, já que não havia sido elaborada em conjunto com as autoridades estatais. Os representantes do Estado ofereceram </w:t>
      </w:r>
      <w:r w:rsidR="00625268">
        <w:rPr>
          <w:rFonts w:ascii="Verdana" w:hAnsi="Verdana"/>
          <w:sz w:val="20"/>
        </w:rPr>
        <w:t xml:space="preserve">a titulação de </w:t>
      </w:r>
      <w:r w:rsidRPr="00BD40F0">
        <w:rPr>
          <w:rFonts w:ascii="Verdana" w:hAnsi="Verdana"/>
          <w:sz w:val="20"/>
        </w:rPr>
        <w:t>12.000 hectares de terras</w:t>
      </w:r>
      <w:r w:rsidR="004922CB">
        <w:rPr>
          <w:rFonts w:ascii="Verdana" w:hAnsi="Verdana"/>
          <w:sz w:val="20"/>
        </w:rPr>
        <w:t xml:space="preserve"> em nome da Comunidade</w:t>
      </w:r>
      <w:r w:rsidRPr="00BD40F0">
        <w:rPr>
          <w:rFonts w:ascii="Verdana" w:hAnsi="Verdana"/>
          <w:sz w:val="20"/>
        </w:rPr>
        <w:t xml:space="preserve">, mais de 50 </w:t>
      </w:r>
      <w:r>
        <w:rPr>
          <w:rFonts w:ascii="Verdana" w:hAnsi="Verdana"/>
          <w:sz w:val="20"/>
        </w:rPr>
        <w:t>cabeças</w:t>
      </w:r>
      <w:r w:rsidRPr="00BD40F0">
        <w:rPr>
          <w:rFonts w:ascii="Verdana" w:hAnsi="Verdana"/>
          <w:sz w:val="20"/>
        </w:rPr>
        <w:t xml:space="preserve"> de gado e outros recursos e materiais para seu desenvolvimento. No momento em que os aludidos representantes fizeram essa proposta</w:t>
      </w:r>
      <w:r w:rsidR="00211A04">
        <w:rPr>
          <w:rFonts w:ascii="Verdana" w:hAnsi="Verdana"/>
          <w:sz w:val="20"/>
        </w:rPr>
        <w:t>,</w:t>
      </w:r>
      <w:r w:rsidRPr="00BD40F0">
        <w:rPr>
          <w:rFonts w:ascii="Verdana" w:hAnsi="Verdana"/>
          <w:sz w:val="20"/>
        </w:rPr>
        <w:t xml:space="preserve"> a assessora </w:t>
      </w:r>
      <w:r w:rsidR="00625268">
        <w:rPr>
          <w:rFonts w:ascii="Verdana" w:hAnsi="Verdana"/>
          <w:sz w:val="20"/>
        </w:rPr>
        <w:t>jurídica</w:t>
      </w:r>
      <w:r w:rsidRPr="00BD40F0">
        <w:rPr>
          <w:rFonts w:ascii="Verdana" w:hAnsi="Verdana"/>
          <w:sz w:val="20"/>
        </w:rPr>
        <w:t xml:space="preserve"> não estava presente.</w:t>
      </w:r>
      <w:r w:rsidR="00850A3F">
        <w:rPr>
          <w:rFonts w:ascii="Verdana" w:hAnsi="Verdana"/>
          <w:sz w:val="20"/>
        </w:rPr>
        <w:t xml:space="preserve"> </w:t>
      </w:r>
      <w:r w:rsidRPr="00BD40F0">
        <w:rPr>
          <w:rFonts w:ascii="Verdana" w:hAnsi="Verdana"/>
          <w:sz w:val="20"/>
        </w:rPr>
        <w:t xml:space="preserve">O </w:t>
      </w:r>
      <w:r w:rsidRPr="00586D66">
        <w:rPr>
          <w:rFonts w:ascii="Verdana" w:hAnsi="Verdana"/>
          <w:sz w:val="20"/>
        </w:rPr>
        <w:t>Estado chegou a esse valor porque</w:t>
      </w:r>
      <w:r w:rsidR="00625268">
        <w:rPr>
          <w:rFonts w:ascii="Verdana" w:hAnsi="Verdana"/>
          <w:sz w:val="20"/>
        </w:rPr>
        <w:t>,</w:t>
      </w:r>
      <w:r w:rsidRPr="00586D66">
        <w:rPr>
          <w:rFonts w:ascii="Verdana" w:hAnsi="Verdana"/>
          <w:sz w:val="20"/>
        </w:rPr>
        <w:t xml:space="preserve"> </w:t>
      </w:r>
      <w:r w:rsidR="00625268">
        <w:rPr>
          <w:rFonts w:ascii="Verdana" w:hAnsi="Verdana"/>
          <w:sz w:val="20"/>
        </w:rPr>
        <w:t xml:space="preserve">de acordo com </w:t>
      </w:r>
      <w:r w:rsidRPr="00586D66">
        <w:rPr>
          <w:rFonts w:ascii="Verdana" w:hAnsi="Verdana"/>
          <w:sz w:val="20"/>
        </w:rPr>
        <w:t>a Lei de Reforma Agrária</w:t>
      </w:r>
      <w:r w:rsidR="00625268">
        <w:rPr>
          <w:rFonts w:ascii="Verdana" w:hAnsi="Verdana"/>
          <w:sz w:val="20"/>
        </w:rPr>
        <w:t>,</w:t>
      </w:r>
      <w:r w:rsidRPr="00586D66">
        <w:rPr>
          <w:rFonts w:ascii="Verdana" w:hAnsi="Verdana"/>
          <w:sz w:val="20"/>
        </w:rPr>
        <w:t xml:space="preserve"> a cada família eram </w:t>
      </w:r>
      <w:r w:rsidR="00625268">
        <w:rPr>
          <w:rFonts w:ascii="Verdana" w:hAnsi="Verdana"/>
          <w:sz w:val="20"/>
        </w:rPr>
        <w:t xml:space="preserve">designados </w:t>
      </w:r>
      <w:r w:rsidRPr="00586D66">
        <w:rPr>
          <w:rFonts w:ascii="Verdana" w:hAnsi="Verdana"/>
          <w:sz w:val="20"/>
        </w:rPr>
        <w:t xml:space="preserve">58 hectares, </w:t>
      </w:r>
      <w:r w:rsidR="00243DA4">
        <w:rPr>
          <w:rFonts w:ascii="Verdana" w:hAnsi="Verdana"/>
          <w:sz w:val="20"/>
        </w:rPr>
        <w:t>de modo que</w:t>
      </w:r>
      <w:r w:rsidRPr="00BD40F0">
        <w:rPr>
          <w:rFonts w:ascii="Verdana" w:hAnsi="Verdana"/>
          <w:sz w:val="20"/>
        </w:rPr>
        <w:t>, em razão da população da Comunidade Awas Tingni, essa era a extensão de território que lhes corresponderia.</w:t>
      </w:r>
      <w:r w:rsidR="00850A3F">
        <w:rPr>
          <w:rFonts w:ascii="Verdana" w:hAnsi="Verdana"/>
          <w:sz w:val="20"/>
        </w:rPr>
        <w:t xml:space="preserve"> </w:t>
      </w:r>
      <w:r w:rsidRPr="00BD40F0">
        <w:rPr>
          <w:rFonts w:ascii="Verdana" w:hAnsi="Verdana"/>
          <w:sz w:val="20"/>
        </w:rPr>
        <w:t>A Comunidade não ace</w:t>
      </w:r>
      <w:r w:rsidR="003D2E7D">
        <w:rPr>
          <w:rFonts w:ascii="Verdana" w:hAnsi="Verdana"/>
          <w:sz w:val="20"/>
        </w:rPr>
        <w:t>i</w:t>
      </w:r>
      <w:r w:rsidRPr="00BD40F0">
        <w:rPr>
          <w:rFonts w:ascii="Verdana" w:hAnsi="Verdana"/>
          <w:sz w:val="20"/>
        </w:rPr>
        <w:t xml:space="preserve">tou o </w:t>
      </w:r>
      <w:r w:rsidRPr="00586D66">
        <w:rPr>
          <w:rFonts w:ascii="Verdana" w:hAnsi="Verdana"/>
          <w:sz w:val="20"/>
        </w:rPr>
        <w:t>trato</w:t>
      </w:r>
      <w:r w:rsidRPr="00BD40F0">
        <w:rPr>
          <w:rFonts w:ascii="Verdana" w:hAnsi="Verdana"/>
          <w:sz w:val="20"/>
        </w:rPr>
        <w:t xml:space="preserve">, </w:t>
      </w:r>
      <w:r w:rsidR="004970AA">
        <w:rPr>
          <w:rFonts w:ascii="Verdana" w:hAnsi="Verdana"/>
          <w:sz w:val="20"/>
        </w:rPr>
        <w:t>pois</w:t>
      </w:r>
      <w:r w:rsidR="004970AA" w:rsidRPr="00BD40F0">
        <w:rPr>
          <w:rFonts w:ascii="Verdana" w:hAnsi="Verdana"/>
          <w:sz w:val="20"/>
        </w:rPr>
        <w:t xml:space="preserve"> </w:t>
      </w:r>
      <w:r w:rsidRPr="00BD40F0">
        <w:rPr>
          <w:rFonts w:ascii="Verdana" w:hAnsi="Verdana"/>
          <w:sz w:val="20"/>
        </w:rPr>
        <w:t xml:space="preserve">a oferta não concordava com suas pretensões de titulação, conforme o mapa apresentado pela Comunidade. </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Em relação </w:t>
      </w:r>
      <w:r w:rsidR="004922CB">
        <w:rPr>
          <w:rFonts w:ascii="Verdana" w:hAnsi="Verdana"/>
          <w:sz w:val="20"/>
        </w:rPr>
        <w:t>a</w:t>
      </w:r>
      <w:r w:rsidR="00291DB7">
        <w:rPr>
          <w:rFonts w:ascii="Verdana" w:hAnsi="Verdana"/>
          <w:sz w:val="20"/>
        </w:rPr>
        <w:t>o pedido de titulação de terras feito</w:t>
      </w:r>
      <w:r w:rsidRPr="00BD40F0">
        <w:rPr>
          <w:rFonts w:ascii="Verdana" w:hAnsi="Verdana"/>
          <w:sz w:val="20"/>
        </w:rPr>
        <w:t xml:space="preserve"> ao Poder Executivo, a resposta </w:t>
      </w:r>
      <w:r w:rsidR="003D2E7D">
        <w:rPr>
          <w:rFonts w:ascii="Verdana" w:hAnsi="Verdana"/>
          <w:sz w:val="20"/>
        </w:rPr>
        <w:t>lhes foi dada</w:t>
      </w:r>
      <w:r w:rsidRPr="00BD40F0">
        <w:rPr>
          <w:rFonts w:ascii="Verdana" w:hAnsi="Verdana"/>
          <w:sz w:val="20"/>
        </w:rPr>
        <w:t xml:space="preserve"> quando visitaram </w:t>
      </w:r>
      <w:r w:rsidR="00291DB7">
        <w:rPr>
          <w:rFonts w:ascii="Verdana" w:hAnsi="Verdana"/>
          <w:sz w:val="20"/>
        </w:rPr>
        <w:t xml:space="preserve">o Presidente e </w:t>
      </w:r>
      <w:r w:rsidRPr="00BD40F0">
        <w:rPr>
          <w:rFonts w:ascii="Verdana" w:hAnsi="Verdana"/>
          <w:sz w:val="20"/>
        </w:rPr>
        <w:t>o Ministro</w:t>
      </w:r>
      <w:r w:rsidR="00072BBD">
        <w:rPr>
          <w:rFonts w:ascii="Verdana" w:hAnsi="Verdana"/>
          <w:sz w:val="20"/>
        </w:rPr>
        <w:t>, os quais</w:t>
      </w:r>
      <w:r w:rsidR="002C6A59">
        <w:rPr>
          <w:rFonts w:ascii="Verdana" w:hAnsi="Verdana"/>
          <w:sz w:val="20"/>
        </w:rPr>
        <w:t xml:space="preserve"> </w:t>
      </w:r>
      <w:r w:rsidRPr="00BD40F0">
        <w:rPr>
          <w:rFonts w:ascii="Verdana" w:hAnsi="Verdana"/>
          <w:sz w:val="20"/>
        </w:rPr>
        <w:t>lhes indicaram que iriam estudar</w:t>
      </w:r>
      <w:r w:rsidR="00072BBD">
        <w:rPr>
          <w:rFonts w:ascii="Verdana" w:hAnsi="Verdana"/>
          <w:sz w:val="20"/>
        </w:rPr>
        <w:t xml:space="preserve"> o pedido</w:t>
      </w:r>
      <w:r w:rsidRPr="00BD40F0">
        <w:rPr>
          <w:rFonts w:ascii="Verdana" w:hAnsi="Verdana"/>
          <w:sz w:val="20"/>
        </w:rPr>
        <w:t>, mas não chegaram a titular</w:t>
      </w:r>
      <w:r w:rsidR="003D2E7D">
        <w:rPr>
          <w:rFonts w:ascii="Verdana" w:hAnsi="Verdana"/>
          <w:sz w:val="20"/>
        </w:rPr>
        <w:t xml:space="preserve"> as terras</w:t>
      </w:r>
      <w:r w:rsidRPr="00BD40F0">
        <w:rPr>
          <w:rFonts w:ascii="Verdana" w:hAnsi="Verdana"/>
          <w:sz w:val="20"/>
        </w:rPr>
        <w:t>.</w:t>
      </w:r>
      <w:r w:rsidR="00850A3F">
        <w:rPr>
          <w:rFonts w:ascii="Verdana" w:hAnsi="Verdana"/>
          <w:sz w:val="20"/>
        </w:rPr>
        <w:t xml:space="preserve"> </w:t>
      </w:r>
      <w:r w:rsidRPr="00BD40F0">
        <w:rPr>
          <w:rFonts w:ascii="Verdana" w:hAnsi="Verdana"/>
          <w:sz w:val="20"/>
        </w:rPr>
        <w:t xml:space="preserve">Os indígenas não solicitaram aos Tribunais de Justiça </w:t>
      </w:r>
      <w:proofErr w:type="gramStart"/>
      <w:r w:rsidRPr="00BD40F0">
        <w:rPr>
          <w:rFonts w:ascii="Verdana" w:hAnsi="Verdana"/>
          <w:sz w:val="20"/>
        </w:rPr>
        <w:t>a</w:t>
      </w:r>
      <w:proofErr w:type="gramEnd"/>
      <w:r w:rsidRPr="00BD40F0">
        <w:rPr>
          <w:rFonts w:ascii="Verdana" w:hAnsi="Verdana"/>
          <w:sz w:val="20"/>
        </w:rPr>
        <w:t xml:space="preserve"> titulação de suas terras depois de não haver obtido resposta por parte do Poder Executivo.</w:t>
      </w:r>
    </w:p>
    <w:p w:rsidR="000B3F97" w:rsidRPr="00BD40F0" w:rsidRDefault="000B3F97" w:rsidP="000B3F97">
      <w:pPr>
        <w:jc w:val="both"/>
        <w:rPr>
          <w:rFonts w:ascii="Verdana" w:hAnsi="Verdana"/>
          <w:sz w:val="20"/>
        </w:rPr>
      </w:pPr>
    </w:p>
    <w:p w:rsidR="000B3F97" w:rsidRPr="00BD40F0" w:rsidRDefault="000B3F97" w:rsidP="000B3F97">
      <w:pPr>
        <w:jc w:val="both"/>
        <w:rPr>
          <w:rFonts w:ascii="Verdana" w:hAnsi="Verdana"/>
          <w:sz w:val="20"/>
        </w:rPr>
      </w:pPr>
      <w:r w:rsidRPr="00BD40F0">
        <w:rPr>
          <w:rFonts w:ascii="Verdana" w:hAnsi="Verdana"/>
          <w:sz w:val="20"/>
        </w:rPr>
        <w:t xml:space="preserve">Já faz muito tempo que a Comunidade Awas </w:t>
      </w:r>
      <w:r w:rsidRPr="00586D66">
        <w:rPr>
          <w:rFonts w:ascii="Verdana" w:hAnsi="Verdana"/>
          <w:sz w:val="20"/>
        </w:rPr>
        <w:t>Tingni v</w:t>
      </w:r>
      <w:r w:rsidR="003D2E7D">
        <w:rPr>
          <w:rFonts w:ascii="Verdana" w:hAnsi="Verdana"/>
          <w:sz w:val="20"/>
        </w:rPr>
        <w:t>e</w:t>
      </w:r>
      <w:r w:rsidRPr="00586D66">
        <w:rPr>
          <w:rFonts w:ascii="Verdana" w:hAnsi="Verdana"/>
          <w:sz w:val="20"/>
        </w:rPr>
        <w:t xml:space="preserve">m lutando e solicitando </w:t>
      </w:r>
      <w:r w:rsidR="003D2E7D">
        <w:rPr>
          <w:rFonts w:ascii="Verdana" w:hAnsi="Verdana"/>
          <w:sz w:val="20"/>
        </w:rPr>
        <w:t>à</w:t>
      </w:r>
      <w:r w:rsidRPr="00586D66">
        <w:rPr>
          <w:rFonts w:ascii="Verdana" w:hAnsi="Verdana"/>
          <w:sz w:val="20"/>
        </w:rPr>
        <w:t xml:space="preserve"> Nicarágua que resolva seu caso, </w:t>
      </w:r>
      <w:r w:rsidR="00072BBD">
        <w:rPr>
          <w:rFonts w:ascii="Verdana" w:hAnsi="Verdana"/>
          <w:sz w:val="20"/>
        </w:rPr>
        <w:t>demarcando</w:t>
      </w:r>
      <w:r w:rsidRPr="00586D66">
        <w:rPr>
          <w:rFonts w:ascii="Verdana" w:hAnsi="Verdana"/>
          <w:sz w:val="20"/>
        </w:rPr>
        <w:t xml:space="preserve"> suas terras.</w:t>
      </w:r>
    </w:p>
    <w:p w:rsidR="000C6A3F" w:rsidRDefault="000C6A3F"/>
    <w:p w:rsidR="00C336FB" w:rsidRPr="002818E7" w:rsidRDefault="00C336FB" w:rsidP="00C336FB">
      <w:pPr>
        <w:jc w:val="both"/>
        <w:rPr>
          <w:rFonts w:ascii="Verdana" w:hAnsi="Verdana"/>
          <w:b/>
          <w:sz w:val="20"/>
        </w:rPr>
      </w:pPr>
      <w:proofErr w:type="gramStart"/>
      <w:r w:rsidRPr="002818E7">
        <w:rPr>
          <w:rFonts w:ascii="Verdana" w:hAnsi="Verdana"/>
          <w:b/>
          <w:sz w:val="20"/>
        </w:rPr>
        <w:t>j</w:t>
      </w:r>
      <w:proofErr w:type="gramEnd"/>
      <w:r w:rsidRPr="002818E7">
        <w:rPr>
          <w:rFonts w:ascii="Verdana" w:hAnsi="Verdana"/>
          <w:b/>
          <w:sz w:val="20"/>
        </w:rPr>
        <w:t>.</w:t>
      </w:r>
      <w:r w:rsidRPr="002818E7">
        <w:rPr>
          <w:rFonts w:ascii="Verdana" w:hAnsi="Verdana"/>
          <w:b/>
          <w:sz w:val="20"/>
        </w:rPr>
        <w:tab/>
        <w:t>Perícia de Charles Rice Hale, antropólogo especialista em culturas indígenas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Tem se dedicado ao estudo de culturas indígenas, principalmente na América Central e mais especificamente na Costa Atlântica da Nicarágua. Em função destes estudos</w:t>
      </w:r>
      <w:r w:rsidR="00B32B1E">
        <w:rPr>
          <w:rFonts w:ascii="Verdana" w:hAnsi="Verdana"/>
          <w:sz w:val="20"/>
        </w:rPr>
        <w:t>,</w:t>
      </w:r>
      <w:r w:rsidRPr="002818E7">
        <w:rPr>
          <w:rFonts w:ascii="Verdana" w:hAnsi="Verdana"/>
          <w:sz w:val="20"/>
        </w:rPr>
        <w:t xml:space="preserve"> tem aproximadamente cinco anos de </w:t>
      </w:r>
      <w:r>
        <w:rPr>
          <w:rFonts w:ascii="Verdana" w:hAnsi="Verdana"/>
          <w:sz w:val="20"/>
        </w:rPr>
        <w:t>residência na Costa Atlântica. O</w:t>
      </w:r>
      <w:r w:rsidRPr="002818E7">
        <w:rPr>
          <w:rFonts w:ascii="Verdana" w:hAnsi="Verdana"/>
          <w:sz w:val="20"/>
        </w:rPr>
        <w:t xml:space="preserve">s estudos que tem feito nesta Costa, durante os primeiros três anos de </w:t>
      </w:r>
      <w:r>
        <w:rPr>
          <w:rFonts w:ascii="Verdana" w:hAnsi="Verdana"/>
          <w:sz w:val="20"/>
        </w:rPr>
        <w:t>estadia</w:t>
      </w:r>
      <w:r w:rsidRPr="002818E7">
        <w:rPr>
          <w:rFonts w:ascii="Verdana" w:hAnsi="Verdana"/>
          <w:sz w:val="20"/>
        </w:rPr>
        <w:t>, são estudos etnográficos baseados em métodos antropol</w:t>
      </w:r>
      <w:r>
        <w:rPr>
          <w:rFonts w:ascii="Verdana" w:hAnsi="Verdana"/>
          <w:sz w:val="20"/>
        </w:rPr>
        <w:t xml:space="preserve">ógicos. </w:t>
      </w:r>
      <w:r w:rsidRPr="002818E7">
        <w:rPr>
          <w:rFonts w:ascii="Verdana" w:hAnsi="Verdana"/>
          <w:sz w:val="20"/>
        </w:rPr>
        <w:t>Posteriormente, realizou também estudos e trabalhos de mape</w:t>
      </w:r>
      <w:r>
        <w:rPr>
          <w:rFonts w:ascii="Verdana" w:hAnsi="Verdana"/>
          <w:sz w:val="20"/>
        </w:rPr>
        <w:t>amento</w:t>
      </w:r>
      <w:r w:rsidRPr="002818E7">
        <w:rPr>
          <w:rFonts w:ascii="Verdana" w:hAnsi="Verdana"/>
          <w:sz w:val="20"/>
        </w:rPr>
        <w:t xml:space="preserve"> no contexto de um diagnóstico sobre </w:t>
      </w:r>
      <w:r>
        <w:rPr>
          <w:rFonts w:ascii="Verdana" w:hAnsi="Verdana"/>
          <w:sz w:val="20"/>
        </w:rPr>
        <w:t>reivindicações</w:t>
      </w:r>
      <w:r w:rsidRPr="002818E7">
        <w:rPr>
          <w:rFonts w:ascii="Verdana" w:hAnsi="Verdana"/>
          <w:sz w:val="20"/>
        </w:rPr>
        <w:t xml:space="preserve"> de povos</w:t>
      </w:r>
      <w:r>
        <w:rPr>
          <w:rFonts w:ascii="Verdana" w:hAnsi="Verdana"/>
          <w:sz w:val="20"/>
        </w:rPr>
        <w:t xml:space="preserve"> indígenas da Costa. </w:t>
      </w:r>
      <w:r w:rsidRPr="002818E7">
        <w:rPr>
          <w:rFonts w:ascii="Verdana" w:hAnsi="Verdana"/>
          <w:sz w:val="20"/>
        </w:rPr>
        <w:t>Fala</w:t>
      </w:r>
      <w:r w:rsidR="002C6A59">
        <w:rPr>
          <w:rFonts w:ascii="Verdana" w:hAnsi="Verdana"/>
          <w:sz w:val="20"/>
        </w:rPr>
        <w:t xml:space="preserve"> </w:t>
      </w:r>
      <w:r w:rsidRPr="002818E7">
        <w:rPr>
          <w:rFonts w:ascii="Verdana" w:hAnsi="Verdana"/>
          <w:sz w:val="20"/>
        </w:rPr>
        <w:t>Mis</w:t>
      </w:r>
      <w:r w:rsidRPr="008802FF">
        <w:rPr>
          <w:rFonts w:ascii="Verdana" w:hAnsi="Verdana"/>
          <w:sz w:val="20"/>
        </w:rPr>
        <w:t>k</w:t>
      </w:r>
      <w:r w:rsidRPr="002818E7">
        <w:rPr>
          <w:rFonts w:ascii="Verdana" w:hAnsi="Verdana"/>
          <w:sz w:val="20"/>
        </w:rPr>
        <w:t xml:space="preserve">ito, que é um dos principais idiomas que usam os povos indígenas. Residiu principalmente em um </w:t>
      </w:r>
      <w:r>
        <w:rPr>
          <w:rFonts w:ascii="Verdana" w:hAnsi="Verdana"/>
          <w:sz w:val="20"/>
        </w:rPr>
        <w:t>povoado</w:t>
      </w:r>
      <w:r w:rsidRPr="002818E7">
        <w:rPr>
          <w:rFonts w:ascii="Verdana" w:hAnsi="Verdana"/>
          <w:sz w:val="20"/>
        </w:rPr>
        <w:t xml:space="preserve"> que se chama Bluefields, e na comunidade onde fez o trabalho de campo mais intensivo, que se chama Sandy Bay Sirpe</w:t>
      </w:r>
      <w:r>
        <w:rPr>
          <w:rFonts w:ascii="Verdana" w:hAnsi="Verdana"/>
          <w:sz w:val="20"/>
        </w:rPr>
        <w:t xml:space="preserve"> e</w:t>
      </w:r>
      <w:r w:rsidRPr="002818E7">
        <w:rPr>
          <w:rFonts w:ascii="Verdana" w:hAnsi="Verdana"/>
          <w:sz w:val="20"/>
        </w:rPr>
        <w:t xml:space="preserve"> está localizada </w:t>
      </w:r>
      <w:r w:rsidR="00917754">
        <w:rPr>
          <w:rFonts w:ascii="Verdana" w:hAnsi="Verdana"/>
          <w:sz w:val="20"/>
        </w:rPr>
        <w:t>ao</w:t>
      </w:r>
      <w:r w:rsidRPr="002818E7">
        <w:rPr>
          <w:rFonts w:ascii="Verdana" w:hAnsi="Verdana"/>
          <w:sz w:val="20"/>
        </w:rPr>
        <w:t xml:space="preserve"> norte, na desembocadura do Rio Grande. No contexto do estudo de diagnóstico também </w:t>
      </w:r>
      <w:r>
        <w:rPr>
          <w:rFonts w:ascii="Verdana" w:hAnsi="Verdana"/>
          <w:sz w:val="20"/>
        </w:rPr>
        <w:t>per</w:t>
      </w:r>
      <w:r w:rsidRPr="002818E7">
        <w:rPr>
          <w:rFonts w:ascii="Verdana" w:hAnsi="Verdana"/>
          <w:sz w:val="20"/>
        </w:rPr>
        <w:t>correu a Costa Atlântica inteira e teve u</w:t>
      </w:r>
      <w:r>
        <w:rPr>
          <w:rFonts w:ascii="Verdana" w:hAnsi="Verdana"/>
          <w:sz w:val="20"/>
        </w:rPr>
        <w:t>m</w:t>
      </w:r>
      <w:r w:rsidRPr="002818E7">
        <w:rPr>
          <w:rFonts w:ascii="Verdana" w:hAnsi="Verdana"/>
          <w:sz w:val="20"/>
        </w:rPr>
        <w:t>a est</w:t>
      </w:r>
      <w:r>
        <w:rPr>
          <w:rFonts w:ascii="Verdana" w:hAnsi="Verdana"/>
          <w:sz w:val="20"/>
        </w:rPr>
        <w:t>adia</w:t>
      </w:r>
      <w:r w:rsidRPr="002818E7">
        <w:rPr>
          <w:rFonts w:ascii="Verdana" w:hAnsi="Verdana"/>
          <w:sz w:val="20"/>
        </w:rPr>
        <w:t xml:space="preserve"> de </w:t>
      </w:r>
      <w:r w:rsidR="004922CB">
        <w:rPr>
          <w:rFonts w:ascii="Verdana" w:hAnsi="Verdana"/>
          <w:sz w:val="20"/>
        </w:rPr>
        <w:t>pesquisa</w:t>
      </w:r>
      <w:r w:rsidR="004922CB" w:rsidRPr="002818E7">
        <w:rPr>
          <w:rFonts w:ascii="Verdana" w:hAnsi="Verdana"/>
          <w:sz w:val="20"/>
        </w:rPr>
        <w:t xml:space="preserve"> </w:t>
      </w:r>
      <w:r w:rsidRPr="002818E7">
        <w:rPr>
          <w:rFonts w:ascii="Verdana" w:hAnsi="Verdana"/>
          <w:sz w:val="20"/>
        </w:rPr>
        <w:t xml:space="preserve">mais longa e mais intensiva no extremo norte, na fronteira com Honduras, </w:t>
      </w:r>
      <w:r>
        <w:rPr>
          <w:rFonts w:ascii="Verdana" w:hAnsi="Verdana"/>
          <w:sz w:val="20"/>
        </w:rPr>
        <w:t>onde está</w:t>
      </w:r>
      <w:r w:rsidRPr="002818E7">
        <w:rPr>
          <w:rFonts w:ascii="Verdana" w:hAnsi="Verdana"/>
          <w:sz w:val="20"/>
        </w:rPr>
        <w:t xml:space="preserve"> o Rio </w:t>
      </w:r>
      <w:r>
        <w:rPr>
          <w:rFonts w:ascii="Verdana" w:hAnsi="Verdana"/>
          <w:sz w:val="20"/>
        </w:rPr>
        <w:t>W</w:t>
      </w:r>
      <w:r w:rsidRPr="002818E7">
        <w:rPr>
          <w:rFonts w:ascii="Verdana" w:hAnsi="Verdana"/>
          <w:sz w:val="20"/>
        </w:rPr>
        <w:t>anqui</w:t>
      </w:r>
      <w:r>
        <w:rPr>
          <w:rFonts w:ascii="Verdana" w:hAnsi="Verdana"/>
          <w:sz w:val="20"/>
        </w:rPr>
        <w:t xml:space="preserve"> ou</w:t>
      </w:r>
      <w:r w:rsidRPr="002818E7">
        <w:rPr>
          <w:rFonts w:ascii="Verdana" w:hAnsi="Verdana"/>
          <w:sz w:val="20"/>
        </w:rPr>
        <w:t xml:space="preserve"> Rio Coco.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 Diagnóstico geral sobre a </w:t>
      </w:r>
      <w:r>
        <w:rPr>
          <w:rFonts w:ascii="Verdana" w:hAnsi="Verdana"/>
          <w:sz w:val="20"/>
        </w:rPr>
        <w:t>posse</w:t>
      </w:r>
      <w:r w:rsidRPr="002818E7">
        <w:rPr>
          <w:rFonts w:ascii="Verdana" w:hAnsi="Verdana"/>
          <w:sz w:val="20"/>
        </w:rPr>
        <w:t xml:space="preserve"> da terra nas comunidades da Costa Atlântica, ao qu</w:t>
      </w:r>
      <w:r w:rsidR="004922CB">
        <w:rPr>
          <w:rFonts w:ascii="Verdana" w:hAnsi="Verdana"/>
          <w:sz w:val="20"/>
        </w:rPr>
        <w:t>al</w:t>
      </w:r>
      <w:r w:rsidRPr="002818E7">
        <w:rPr>
          <w:rFonts w:ascii="Verdana" w:hAnsi="Verdana"/>
          <w:sz w:val="20"/>
        </w:rPr>
        <w:t xml:space="preserve"> </w:t>
      </w:r>
      <w:r w:rsidR="004922CB">
        <w:rPr>
          <w:rFonts w:ascii="Verdana" w:hAnsi="Verdana"/>
          <w:sz w:val="20"/>
        </w:rPr>
        <w:t xml:space="preserve">o Estado </w:t>
      </w:r>
      <w:r w:rsidRPr="002818E7">
        <w:rPr>
          <w:rFonts w:ascii="Verdana" w:hAnsi="Verdana"/>
          <w:sz w:val="20"/>
        </w:rPr>
        <w:t xml:space="preserve">faz referência em sua contestação à demanda da Comissão, é um </w:t>
      </w:r>
      <w:r w:rsidR="00290201">
        <w:rPr>
          <w:rFonts w:ascii="Verdana" w:hAnsi="Verdana"/>
          <w:sz w:val="20"/>
        </w:rPr>
        <w:t>estudo que foi iniciado em 1997</w:t>
      </w:r>
      <w:r w:rsidR="00B32B1E">
        <w:rPr>
          <w:rFonts w:ascii="Verdana" w:hAnsi="Verdana"/>
          <w:sz w:val="20"/>
        </w:rPr>
        <w:t>,</w:t>
      </w:r>
      <w:r w:rsidRPr="002818E7">
        <w:rPr>
          <w:rFonts w:ascii="Verdana" w:hAnsi="Verdana"/>
          <w:sz w:val="20"/>
        </w:rPr>
        <w:t xml:space="preserve"> no qu</w:t>
      </w:r>
      <w:r w:rsidR="004922CB">
        <w:rPr>
          <w:rFonts w:ascii="Verdana" w:hAnsi="Verdana"/>
          <w:sz w:val="20"/>
        </w:rPr>
        <w:t>al</w:t>
      </w:r>
      <w:r w:rsidR="00B32B1E">
        <w:rPr>
          <w:rFonts w:ascii="Verdana" w:hAnsi="Verdana"/>
          <w:sz w:val="20"/>
        </w:rPr>
        <w:t xml:space="preserve"> o pesquisador</w:t>
      </w:r>
      <w:r w:rsidRPr="002818E7">
        <w:rPr>
          <w:rFonts w:ascii="Verdana" w:hAnsi="Verdana"/>
          <w:sz w:val="20"/>
        </w:rPr>
        <w:t xml:space="preserve"> esteve diretamente envolvido como coordenador da pesquisa. Es</w:t>
      </w:r>
      <w:r w:rsidR="00290201">
        <w:rPr>
          <w:rFonts w:ascii="Verdana" w:hAnsi="Verdana"/>
          <w:sz w:val="20"/>
        </w:rPr>
        <w:t>s</w:t>
      </w:r>
      <w:r w:rsidRPr="002818E7">
        <w:rPr>
          <w:rFonts w:ascii="Verdana" w:hAnsi="Verdana"/>
          <w:sz w:val="20"/>
        </w:rPr>
        <w:t>e diagnóstico consiste em um estudo etnográfico e de cartografia de aproximadamente 128 comunidades indígenas e negras. Baseia-se em duas p</w:t>
      </w:r>
      <w:r>
        <w:rPr>
          <w:rFonts w:ascii="Verdana" w:hAnsi="Verdana"/>
          <w:sz w:val="20"/>
        </w:rPr>
        <w:t>er</w:t>
      </w:r>
      <w:r w:rsidRPr="002818E7">
        <w:rPr>
          <w:rFonts w:ascii="Verdana" w:hAnsi="Verdana"/>
          <w:sz w:val="20"/>
        </w:rPr>
        <w:t>guntas c</w:t>
      </w:r>
      <w:r>
        <w:rPr>
          <w:rFonts w:ascii="Verdana" w:hAnsi="Verdana"/>
          <w:sz w:val="20"/>
        </w:rPr>
        <w:t>h</w:t>
      </w:r>
      <w:r w:rsidRPr="002818E7">
        <w:rPr>
          <w:rFonts w:ascii="Verdana" w:hAnsi="Verdana"/>
          <w:sz w:val="20"/>
        </w:rPr>
        <w:t xml:space="preserve">aves: </w:t>
      </w:r>
      <w:r w:rsidR="004922CB">
        <w:rPr>
          <w:rFonts w:ascii="Verdana" w:hAnsi="Verdana"/>
          <w:sz w:val="20"/>
        </w:rPr>
        <w:t xml:space="preserve">o </w:t>
      </w:r>
      <w:r w:rsidRPr="002818E7">
        <w:rPr>
          <w:rFonts w:ascii="Verdana" w:hAnsi="Verdana"/>
          <w:sz w:val="20"/>
        </w:rPr>
        <w:t xml:space="preserve">que é ou </w:t>
      </w:r>
      <w:r w:rsidR="004922CB">
        <w:rPr>
          <w:rFonts w:ascii="Verdana" w:hAnsi="Verdana"/>
          <w:sz w:val="20"/>
        </w:rPr>
        <w:t xml:space="preserve">o </w:t>
      </w:r>
      <w:r w:rsidRPr="002818E7">
        <w:rPr>
          <w:rFonts w:ascii="Verdana" w:hAnsi="Verdana"/>
          <w:sz w:val="20"/>
        </w:rPr>
        <w:t xml:space="preserve">que reclamam essas comunidades quanto a seus direitos </w:t>
      </w:r>
      <w:r w:rsidR="004922CB">
        <w:rPr>
          <w:rFonts w:ascii="Verdana" w:hAnsi="Verdana"/>
          <w:sz w:val="20"/>
        </w:rPr>
        <w:t>à</w:t>
      </w:r>
      <w:r w:rsidRPr="002818E7">
        <w:rPr>
          <w:rFonts w:ascii="Verdana" w:hAnsi="Verdana"/>
          <w:sz w:val="20"/>
        </w:rPr>
        <w:t xml:space="preserve"> terra </w:t>
      </w:r>
      <w:r w:rsidR="00B32B1E">
        <w:rPr>
          <w:rFonts w:ascii="Verdana" w:hAnsi="Verdana"/>
          <w:sz w:val="20"/>
        </w:rPr>
        <w:t>comunitária</w:t>
      </w:r>
      <w:r w:rsidR="00B32B1E" w:rsidRPr="002818E7">
        <w:rPr>
          <w:rFonts w:ascii="Verdana" w:hAnsi="Verdana"/>
          <w:sz w:val="20"/>
        </w:rPr>
        <w:t xml:space="preserve"> </w:t>
      </w:r>
      <w:r w:rsidRPr="002818E7">
        <w:rPr>
          <w:rFonts w:ascii="Verdana" w:hAnsi="Verdana"/>
          <w:sz w:val="20"/>
        </w:rPr>
        <w:t>e como justificam ess</w:t>
      </w:r>
      <w:r>
        <w:rPr>
          <w:rFonts w:ascii="Verdana" w:hAnsi="Verdana"/>
          <w:sz w:val="20"/>
        </w:rPr>
        <w:t>a</w:t>
      </w:r>
      <w:r w:rsidRPr="002818E7">
        <w:rPr>
          <w:rFonts w:ascii="Verdana" w:hAnsi="Verdana"/>
          <w:sz w:val="20"/>
        </w:rPr>
        <w:t xml:space="preserve">s </w:t>
      </w:r>
      <w:r>
        <w:rPr>
          <w:rFonts w:ascii="Verdana" w:hAnsi="Verdana"/>
          <w:sz w:val="20"/>
        </w:rPr>
        <w:t>reivindicações</w:t>
      </w:r>
      <w:r w:rsidRPr="002818E7">
        <w:rPr>
          <w:rFonts w:ascii="Verdana" w:hAnsi="Verdana"/>
          <w:sz w:val="20"/>
        </w:rPr>
        <w:t xml:space="preserve">. É um estudo que </w:t>
      </w:r>
      <w:r>
        <w:rPr>
          <w:rFonts w:ascii="Verdana" w:hAnsi="Verdana"/>
          <w:sz w:val="20"/>
        </w:rPr>
        <w:t>foi realizado</w:t>
      </w:r>
      <w:r w:rsidRPr="002818E7">
        <w:rPr>
          <w:rFonts w:ascii="Verdana" w:hAnsi="Verdana"/>
          <w:sz w:val="20"/>
        </w:rPr>
        <w:t xml:space="preserve"> </w:t>
      </w:r>
      <w:r w:rsidR="00B32B1E">
        <w:rPr>
          <w:rFonts w:ascii="Verdana" w:hAnsi="Verdana"/>
          <w:sz w:val="20"/>
        </w:rPr>
        <w:t xml:space="preserve">de </w:t>
      </w:r>
      <w:r w:rsidRPr="002818E7">
        <w:rPr>
          <w:rFonts w:ascii="Verdana" w:hAnsi="Verdana"/>
          <w:sz w:val="20"/>
        </w:rPr>
        <w:t xml:space="preserve">comunidade </w:t>
      </w:r>
      <w:r w:rsidR="00B32B1E">
        <w:rPr>
          <w:rFonts w:ascii="Verdana" w:hAnsi="Verdana"/>
          <w:sz w:val="20"/>
        </w:rPr>
        <w:t>em</w:t>
      </w:r>
      <w:r w:rsidRPr="002818E7">
        <w:rPr>
          <w:rFonts w:ascii="Verdana" w:hAnsi="Verdana"/>
          <w:sz w:val="20"/>
        </w:rPr>
        <w:t xml:space="preserve"> comunidade, com uma metodologia </w:t>
      </w:r>
      <w:r w:rsidRPr="002818E7">
        <w:rPr>
          <w:rFonts w:ascii="Verdana" w:hAnsi="Verdana"/>
          <w:sz w:val="20"/>
        </w:rPr>
        <w:lastRenderedPageBreak/>
        <w:t xml:space="preserve">consistente para </w:t>
      </w:r>
      <w:r>
        <w:rPr>
          <w:rFonts w:ascii="Verdana" w:hAnsi="Verdana"/>
          <w:sz w:val="20"/>
        </w:rPr>
        <w:t>responder</w:t>
      </w:r>
      <w:r w:rsidRPr="002818E7">
        <w:rPr>
          <w:rFonts w:ascii="Verdana" w:hAnsi="Verdana"/>
          <w:sz w:val="20"/>
        </w:rPr>
        <w:t xml:space="preserve"> essas duas p</w:t>
      </w:r>
      <w:r>
        <w:rPr>
          <w:rFonts w:ascii="Verdana" w:hAnsi="Verdana"/>
          <w:sz w:val="20"/>
        </w:rPr>
        <w:t>er</w:t>
      </w:r>
      <w:r w:rsidRPr="002818E7">
        <w:rPr>
          <w:rFonts w:ascii="Verdana" w:hAnsi="Verdana"/>
          <w:sz w:val="20"/>
        </w:rPr>
        <w:t xml:space="preserve">guntas em relação </w:t>
      </w:r>
      <w:r w:rsidR="004922CB">
        <w:rPr>
          <w:rFonts w:ascii="Verdana" w:hAnsi="Verdana"/>
          <w:sz w:val="20"/>
        </w:rPr>
        <w:t>a</w:t>
      </w:r>
      <w:r w:rsidR="004922CB" w:rsidRPr="002818E7">
        <w:rPr>
          <w:rFonts w:ascii="Verdana" w:hAnsi="Verdana"/>
          <w:sz w:val="20"/>
        </w:rPr>
        <w:t xml:space="preserve"> </w:t>
      </w:r>
      <w:r w:rsidRPr="002818E7">
        <w:rPr>
          <w:rFonts w:ascii="Verdana" w:hAnsi="Verdana"/>
          <w:sz w:val="20"/>
        </w:rPr>
        <w:t>todas as comunidades que entra</w:t>
      </w:r>
      <w:r>
        <w:rPr>
          <w:rFonts w:ascii="Verdana" w:hAnsi="Verdana"/>
          <w:sz w:val="20"/>
        </w:rPr>
        <w:t>r</w:t>
      </w:r>
      <w:r w:rsidRPr="002818E7">
        <w:rPr>
          <w:rFonts w:ascii="Verdana" w:hAnsi="Verdana"/>
          <w:sz w:val="20"/>
        </w:rPr>
        <w:t>am no universo da pesquisa.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Os povos indígenas da Costa Atlântica são principalmente três: os Miskito, os Mayagna e </w:t>
      </w:r>
      <w:proofErr w:type="gramStart"/>
      <w:r w:rsidRPr="002818E7">
        <w:rPr>
          <w:rFonts w:ascii="Verdana" w:hAnsi="Verdana"/>
          <w:sz w:val="20"/>
        </w:rPr>
        <w:t>os Rama</w:t>
      </w:r>
      <w:proofErr w:type="gramEnd"/>
      <w:r w:rsidRPr="002818E7">
        <w:rPr>
          <w:rFonts w:ascii="Verdana" w:hAnsi="Verdana"/>
          <w:sz w:val="20"/>
        </w:rPr>
        <w:t xml:space="preserve">. Há uma diversidade de grupos que existem desde antes da chegada dos europeus. Os grupos que </w:t>
      </w:r>
      <w:r>
        <w:rPr>
          <w:rFonts w:ascii="Verdana" w:hAnsi="Verdana"/>
          <w:sz w:val="20"/>
        </w:rPr>
        <w:t>sobreviveram</w:t>
      </w:r>
      <w:r w:rsidRPr="002818E7">
        <w:rPr>
          <w:rFonts w:ascii="Verdana" w:hAnsi="Verdana"/>
          <w:sz w:val="20"/>
        </w:rPr>
        <w:t xml:space="preserve"> até agora são os Mayagna, dos quais há três grupos importantes: Panamaca, Tuaca e Urba, que </w:t>
      </w:r>
      <w:r>
        <w:rPr>
          <w:rFonts w:ascii="Verdana" w:hAnsi="Verdana"/>
          <w:sz w:val="20"/>
        </w:rPr>
        <w:t>após a chegada</w:t>
      </w:r>
      <w:r w:rsidRPr="002818E7">
        <w:rPr>
          <w:rFonts w:ascii="Verdana" w:hAnsi="Verdana"/>
          <w:sz w:val="20"/>
        </w:rPr>
        <w:t xml:space="preserve"> </w:t>
      </w:r>
      <w:r>
        <w:rPr>
          <w:rFonts w:ascii="Verdana" w:hAnsi="Verdana"/>
          <w:sz w:val="20"/>
        </w:rPr>
        <w:t>d</w:t>
      </w:r>
      <w:r w:rsidRPr="002818E7">
        <w:rPr>
          <w:rFonts w:ascii="Verdana" w:hAnsi="Verdana"/>
          <w:sz w:val="20"/>
        </w:rPr>
        <w:t>os europeus estabeleceram-se na zona de uso e posse, que é a mesma até agora.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As três características chaves da </w:t>
      </w:r>
      <w:r>
        <w:rPr>
          <w:rFonts w:ascii="Verdana" w:hAnsi="Verdana"/>
          <w:sz w:val="20"/>
        </w:rPr>
        <w:t>posse</w:t>
      </w:r>
      <w:r w:rsidRPr="002818E7">
        <w:rPr>
          <w:rFonts w:ascii="Verdana" w:hAnsi="Verdana"/>
          <w:sz w:val="20"/>
        </w:rPr>
        <w:t xml:space="preserve"> da terra são o uso extensivo desta, do meio ambiente e d</w:t>
      </w:r>
      <w:r>
        <w:rPr>
          <w:rFonts w:ascii="Verdana" w:hAnsi="Verdana"/>
          <w:sz w:val="20"/>
        </w:rPr>
        <w:t xml:space="preserve">os recursos. </w:t>
      </w:r>
      <w:r w:rsidRPr="002818E7">
        <w:rPr>
          <w:rFonts w:ascii="Verdana" w:hAnsi="Verdana"/>
          <w:sz w:val="20"/>
        </w:rPr>
        <w:t>Há um lugar de uso e posse e, dependendo da atividade econômica, transferem-se a outros lugares para exercer suas atividades econômicas.</w:t>
      </w:r>
    </w:p>
    <w:p w:rsidR="00C336FB" w:rsidRPr="002818E7" w:rsidRDefault="00C336FB" w:rsidP="00C336FB">
      <w:pPr>
        <w:jc w:val="both"/>
        <w:rPr>
          <w:rFonts w:ascii="Verdana" w:hAnsi="Verdana"/>
          <w:sz w:val="20"/>
        </w:rPr>
      </w:pPr>
      <w:r w:rsidRPr="002818E7">
        <w:rPr>
          <w:rFonts w:ascii="Verdana" w:hAnsi="Verdana"/>
          <w:sz w:val="20"/>
        </w:rPr>
        <w:t xml:space="preserve"> </w:t>
      </w:r>
    </w:p>
    <w:p w:rsidR="00C336FB" w:rsidRPr="002818E7" w:rsidRDefault="00C336FB" w:rsidP="00C336FB">
      <w:pPr>
        <w:jc w:val="both"/>
        <w:rPr>
          <w:rFonts w:ascii="Verdana" w:hAnsi="Verdana"/>
          <w:sz w:val="20"/>
        </w:rPr>
      </w:pPr>
      <w:r w:rsidRPr="002818E7">
        <w:rPr>
          <w:rFonts w:ascii="Verdana" w:hAnsi="Verdana"/>
          <w:sz w:val="20"/>
        </w:rPr>
        <w:t xml:space="preserve">As ações concretas do Estado quanto ao reconhecimento, titulação e aval dos direitos de terra </w:t>
      </w:r>
      <w:r w:rsidR="00B32B1E">
        <w:rPr>
          <w:rFonts w:ascii="Verdana" w:hAnsi="Verdana"/>
          <w:sz w:val="20"/>
        </w:rPr>
        <w:t>comunitária</w:t>
      </w:r>
      <w:r w:rsidR="00B32B1E" w:rsidRPr="002818E7">
        <w:rPr>
          <w:rFonts w:ascii="Verdana" w:hAnsi="Verdana"/>
          <w:sz w:val="20"/>
        </w:rPr>
        <w:t xml:space="preserve"> </w:t>
      </w:r>
      <w:r w:rsidRPr="002818E7">
        <w:rPr>
          <w:rFonts w:ascii="Verdana" w:hAnsi="Verdana"/>
          <w:sz w:val="20"/>
        </w:rPr>
        <w:t xml:space="preserve">têm sido poucas. </w:t>
      </w:r>
      <w:r>
        <w:rPr>
          <w:rFonts w:ascii="Verdana" w:hAnsi="Verdana"/>
          <w:sz w:val="20"/>
        </w:rPr>
        <w:t>Houve</w:t>
      </w:r>
      <w:r w:rsidRPr="002818E7">
        <w:rPr>
          <w:rFonts w:ascii="Verdana" w:hAnsi="Verdana"/>
          <w:sz w:val="20"/>
        </w:rPr>
        <w:t xml:space="preserve"> uma titulação mais ou menos conforme o que a comunidade </w:t>
      </w:r>
      <w:r w:rsidR="00290201" w:rsidRPr="002818E7">
        <w:rPr>
          <w:rFonts w:ascii="Verdana" w:hAnsi="Verdana"/>
          <w:sz w:val="20"/>
        </w:rPr>
        <w:t xml:space="preserve">tem reclamado </w:t>
      </w:r>
      <w:r w:rsidRPr="002818E7">
        <w:rPr>
          <w:rFonts w:ascii="Verdana" w:hAnsi="Verdana"/>
          <w:sz w:val="20"/>
        </w:rPr>
        <w:t xml:space="preserve">em unicamente dois casos; ocorreram no ano de 1987 e trata-se de duas </w:t>
      </w:r>
      <w:r w:rsidRPr="00DA04CE">
        <w:rPr>
          <w:rFonts w:ascii="Verdana" w:hAnsi="Verdana"/>
          <w:sz w:val="20"/>
        </w:rPr>
        <w:t>comunidades</w:t>
      </w:r>
      <w:r w:rsidRPr="002818E7">
        <w:rPr>
          <w:rFonts w:ascii="Verdana" w:hAnsi="Verdana"/>
          <w:sz w:val="20"/>
        </w:rPr>
        <w:t xml:space="preserve"> Mayagnas, de aproximadamente 300 </w:t>
      </w:r>
      <w:r w:rsidR="004922CB">
        <w:rPr>
          <w:rFonts w:ascii="Verdana" w:hAnsi="Verdana"/>
          <w:sz w:val="20"/>
        </w:rPr>
        <w:t xml:space="preserve">pessoas </w:t>
      </w:r>
      <w:r>
        <w:rPr>
          <w:rFonts w:ascii="Verdana" w:hAnsi="Verdana"/>
          <w:sz w:val="20"/>
        </w:rPr>
        <w:t xml:space="preserve">no total. </w:t>
      </w:r>
      <w:r w:rsidRPr="002818E7">
        <w:rPr>
          <w:rFonts w:ascii="Verdana" w:hAnsi="Verdana"/>
          <w:sz w:val="20"/>
        </w:rPr>
        <w:t xml:space="preserve">Desde o ano de 1990 não </w:t>
      </w:r>
      <w:r w:rsidR="004922CB">
        <w:rPr>
          <w:rFonts w:ascii="Verdana" w:hAnsi="Verdana"/>
          <w:sz w:val="20"/>
        </w:rPr>
        <w:t xml:space="preserve">houve </w:t>
      </w:r>
      <w:r w:rsidRPr="002818E7">
        <w:rPr>
          <w:rFonts w:ascii="Verdana" w:hAnsi="Verdana"/>
          <w:sz w:val="20"/>
        </w:rPr>
        <w:t>nenhuma ação encaminhada a esse fi</w:t>
      </w:r>
      <w:r>
        <w:rPr>
          <w:rFonts w:ascii="Verdana" w:hAnsi="Verdana"/>
          <w:sz w:val="20"/>
        </w:rPr>
        <w:t>m</w:t>
      </w:r>
      <w:r w:rsidRPr="002818E7">
        <w:rPr>
          <w:rFonts w:ascii="Verdana" w:hAnsi="Verdana"/>
          <w:sz w:val="20"/>
        </w:rPr>
        <w:t>.</w:t>
      </w:r>
    </w:p>
    <w:p w:rsidR="00C336FB" w:rsidRPr="002818E7" w:rsidRDefault="00C336FB" w:rsidP="00C336FB">
      <w:pPr>
        <w:jc w:val="both"/>
        <w:rPr>
          <w:rFonts w:ascii="Verdana" w:hAnsi="Verdana"/>
          <w:sz w:val="20"/>
          <w:u w:val="single"/>
        </w:rPr>
      </w:pPr>
      <w:r w:rsidRPr="002818E7">
        <w:rPr>
          <w:rFonts w:ascii="Verdana" w:hAnsi="Verdana"/>
          <w:sz w:val="20"/>
        </w:rPr>
        <w:t xml:space="preserve"> </w:t>
      </w:r>
    </w:p>
    <w:p w:rsidR="00C336FB" w:rsidRPr="002818E7" w:rsidRDefault="00C336FB" w:rsidP="00C336FB">
      <w:pPr>
        <w:jc w:val="both"/>
        <w:rPr>
          <w:rFonts w:ascii="Verdana" w:hAnsi="Verdana"/>
          <w:sz w:val="20"/>
        </w:rPr>
      </w:pPr>
      <w:r w:rsidRPr="002818E7">
        <w:rPr>
          <w:rFonts w:ascii="Verdana" w:hAnsi="Verdana"/>
          <w:sz w:val="20"/>
        </w:rPr>
        <w:t>Em alguns casos</w:t>
      </w:r>
      <w:r>
        <w:rPr>
          <w:rFonts w:ascii="Verdana" w:hAnsi="Verdana"/>
          <w:sz w:val="20"/>
        </w:rPr>
        <w:t>,</w:t>
      </w:r>
      <w:r w:rsidRPr="002818E7">
        <w:rPr>
          <w:rFonts w:ascii="Verdana" w:hAnsi="Verdana"/>
          <w:sz w:val="20"/>
        </w:rPr>
        <w:t xml:space="preserve"> os títulos de propriedade são </w:t>
      </w:r>
      <w:r w:rsidR="004922CB">
        <w:rPr>
          <w:rFonts w:ascii="Verdana" w:hAnsi="Verdana"/>
          <w:sz w:val="20"/>
        </w:rPr>
        <w:t xml:space="preserve">alocações </w:t>
      </w:r>
      <w:r w:rsidRPr="002818E7">
        <w:rPr>
          <w:rFonts w:ascii="Verdana" w:hAnsi="Verdana"/>
          <w:sz w:val="20"/>
        </w:rPr>
        <w:t xml:space="preserve">agrárias menores </w:t>
      </w:r>
      <w:r w:rsidR="00B32B1E">
        <w:rPr>
          <w:rFonts w:ascii="Verdana" w:hAnsi="Verdana"/>
          <w:sz w:val="20"/>
        </w:rPr>
        <w:t>do que as reivindicadas pela comunidade</w:t>
      </w:r>
      <w:r>
        <w:rPr>
          <w:rFonts w:ascii="Verdana" w:hAnsi="Verdana"/>
          <w:sz w:val="20"/>
        </w:rPr>
        <w:t xml:space="preserve">. </w:t>
      </w:r>
      <w:r w:rsidRPr="002818E7">
        <w:rPr>
          <w:rFonts w:ascii="Verdana" w:hAnsi="Verdana"/>
          <w:sz w:val="20"/>
        </w:rPr>
        <w:t xml:space="preserve">As </w:t>
      </w:r>
      <w:r w:rsidR="004922CB">
        <w:rPr>
          <w:rFonts w:ascii="Verdana" w:hAnsi="Verdana"/>
          <w:sz w:val="20"/>
        </w:rPr>
        <w:t xml:space="preserve">alocações </w:t>
      </w:r>
      <w:r w:rsidRPr="002818E7">
        <w:rPr>
          <w:rFonts w:ascii="Verdana" w:hAnsi="Verdana"/>
          <w:sz w:val="20"/>
        </w:rPr>
        <w:t>agrárias são uma medida prévia à titulação legal</w:t>
      </w:r>
      <w:r w:rsidR="00CB319E">
        <w:rPr>
          <w:rFonts w:ascii="Verdana" w:hAnsi="Verdana"/>
          <w:sz w:val="20"/>
        </w:rPr>
        <w:t xml:space="preserve"> </w:t>
      </w:r>
      <w:r w:rsidRPr="002818E7">
        <w:rPr>
          <w:rFonts w:ascii="Verdana" w:hAnsi="Verdana"/>
          <w:sz w:val="20"/>
        </w:rPr>
        <w:t>e</w:t>
      </w:r>
      <w:r>
        <w:rPr>
          <w:rFonts w:ascii="Verdana" w:hAnsi="Verdana"/>
          <w:sz w:val="20"/>
        </w:rPr>
        <w:t>,</w:t>
      </w:r>
      <w:r w:rsidRPr="002818E7">
        <w:rPr>
          <w:rFonts w:ascii="Verdana" w:hAnsi="Verdana"/>
          <w:sz w:val="20"/>
        </w:rPr>
        <w:t xml:space="preserve"> em muitos casos</w:t>
      </w:r>
      <w:r>
        <w:rPr>
          <w:rFonts w:ascii="Verdana" w:hAnsi="Verdana"/>
          <w:sz w:val="20"/>
        </w:rPr>
        <w:t>,</w:t>
      </w:r>
      <w:r w:rsidRPr="002818E7">
        <w:rPr>
          <w:rFonts w:ascii="Verdana" w:hAnsi="Verdana"/>
          <w:sz w:val="20"/>
        </w:rPr>
        <w:t xml:space="preserve"> há um processo in</w:t>
      </w:r>
      <w:r>
        <w:rPr>
          <w:rFonts w:ascii="Verdana" w:hAnsi="Verdana"/>
          <w:sz w:val="20"/>
        </w:rPr>
        <w:t>acabado</w:t>
      </w:r>
      <w:r w:rsidRPr="002818E7">
        <w:rPr>
          <w:rFonts w:ascii="Verdana" w:hAnsi="Verdana"/>
          <w:sz w:val="20"/>
        </w:rPr>
        <w:t xml:space="preserve"> que resulta em uma declaração de inten</w:t>
      </w:r>
      <w:r w:rsidR="00625268">
        <w:rPr>
          <w:rFonts w:ascii="Verdana" w:hAnsi="Verdana"/>
          <w:sz w:val="20"/>
        </w:rPr>
        <w:t>ç</w:t>
      </w:r>
      <w:r w:rsidRPr="002818E7">
        <w:rPr>
          <w:rFonts w:ascii="Verdana" w:hAnsi="Verdana"/>
          <w:sz w:val="20"/>
        </w:rPr>
        <w:t xml:space="preserve">ões, mas sem a legalização nem a garantia que a comunidade </w:t>
      </w:r>
      <w:r w:rsidR="00290201" w:rsidRPr="002818E7">
        <w:rPr>
          <w:rFonts w:ascii="Verdana" w:hAnsi="Verdana"/>
          <w:sz w:val="20"/>
        </w:rPr>
        <w:t xml:space="preserve">necessita </w:t>
      </w:r>
      <w:r w:rsidRPr="002818E7">
        <w:rPr>
          <w:rFonts w:ascii="Verdana" w:hAnsi="Verdana"/>
          <w:sz w:val="20"/>
        </w:rPr>
        <w:t xml:space="preserve">para proteger seus terrenos diante de terceiros. Não há evidências de ações </w:t>
      </w:r>
      <w:r w:rsidR="00CB319E">
        <w:rPr>
          <w:rFonts w:ascii="Verdana" w:hAnsi="Verdana"/>
          <w:sz w:val="20"/>
        </w:rPr>
        <w:t>encaminhada</w:t>
      </w:r>
      <w:r w:rsidR="004922CB">
        <w:rPr>
          <w:rFonts w:ascii="Verdana" w:hAnsi="Verdana"/>
          <w:sz w:val="20"/>
        </w:rPr>
        <w:t>s</w:t>
      </w:r>
      <w:r w:rsidRPr="002818E7">
        <w:rPr>
          <w:rFonts w:ascii="Verdana" w:hAnsi="Verdana"/>
          <w:sz w:val="20"/>
        </w:rPr>
        <w:t xml:space="preserve"> a garantir o uso e a posse por parte das comunidades.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 INRA é visto pelas comunidades indígenas como um ator hostil, representa uma visão que não concorda nem com as demandas nem com a compreensão da própria cultura indígena. Suas ações principais </w:t>
      </w:r>
      <w:r>
        <w:rPr>
          <w:rFonts w:ascii="Verdana" w:hAnsi="Verdana"/>
          <w:sz w:val="20"/>
        </w:rPr>
        <w:t>foram</w:t>
      </w:r>
      <w:r w:rsidRPr="002818E7">
        <w:rPr>
          <w:rFonts w:ascii="Verdana" w:hAnsi="Verdana"/>
          <w:sz w:val="20"/>
        </w:rPr>
        <w:t xml:space="preserve"> efetuadas </w:t>
      </w:r>
      <w:r w:rsidR="004922CB">
        <w:rPr>
          <w:rFonts w:ascii="Verdana" w:hAnsi="Verdana"/>
          <w:sz w:val="20"/>
        </w:rPr>
        <w:t>a</w:t>
      </w:r>
      <w:r w:rsidR="004922CB" w:rsidRPr="002818E7">
        <w:rPr>
          <w:rFonts w:ascii="Verdana" w:hAnsi="Verdana"/>
          <w:sz w:val="20"/>
        </w:rPr>
        <w:t xml:space="preserve"> </w:t>
      </w:r>
      <w:r w:rsidRPr="002818E7">
        <w:rPr>
          <w:rFonts w:ascii="Verdana" w:hAnsi="Verdana"/>
          <w:sz w:val="20"/>
        </w:rPr>
        <w:t>favor dos camponeses imigrantes</w:t>
      </w:r>
      <w:r>
        <w:rPr>
          <w:rFonts w:ascii="Verdana" w:hAnsi="Verdana"/>
          <w:sz w:val="20"/>
        </w:rPr>
        <w:t xml:space="preserve"> do oeste.</w:t>
      </w:r>
      <w:r w:rsidRPr="002818E7">
        <w:rPr>
          <w:rFonts w:ascii="Verdana" w:hAnsi="Verdana"/>
          <w:sz w:val="20"/>
        </w:rPr>
        <w:t xml:space="preserve"> O escritório do MARENA </w:t>
      </w:r>
      <w:r w:rsidR="004922CB">
        <w:rPr>
          <w:rFonts w:ascii="Verdana" w:hAnsi="Verdana"/>
          <w:sz w:val="20"/>
        </w:rPr>
        <w:t xml:space="preserve">com </w:t>
      </w:r>
      <w:r w:rsidRPr="002818E7">
        <w:rPr>
          <w:rFonts w:ascii="Verdana" w:hAnsi="Verdana"/>
          <w:sz w:val="20"/>
        </w:rPr>
        <w:t xml:space="preserve">maior presença </w:t>
      </w:r>
      <w:r w:rsidR="004922CB">
        <w:rPr>
          <w:rFonts w:ascii="Verdana" w:hAnsi="Verdana"/>
          <w:sz w:val="20"/>
        </w:rPr>
        <w:t xml:space="preserve">em relação às </w:t>
      </w:r>
      <w:r w:rsidRPr="002818E7">
        <w:rPr>
          <w:rFonts w:ascii="Verdana" w:hAnsi="Verdana"/>
          <w:sz w:val="20"/>
        </w:rPr>
        <w:t xml:space="preserve">comunidades indígenas é o escritório que até o ano de 1998, se não </w:t>
      </w:r>
      <w:r>
        <w:rPr>
          <w:rFonts w:ascii="Verdana" w:hAnsi="Verdana"/>
          <w:sz w:val="20"/>
        </w:rPr>
        <w:t>mudou</w:t>
      </w:r>
      <w:r w:rsidRPr="002818E7">
        <w:rPr>
          <w:rFonts w:ascii="Verdana" w:hAnsi="Verdana"/>
          <w:sz w:val="20"/>
        </w:rPr>
        <w:t xml:space="preserve"> seu nome, chamava-se ADFOREST, que se ocupava de </w:t>
      </w:r>
      <w:r w:rsidR="004922CB">
        <w:rPr>
          <w:rFonts w:ascii="Verdana" w:hAnsi="Verdana"/>
          <w:sz w:val="20"/>
        </w:rPr>
        <w:t>outorgar</w:t>
      </w:r>
      <w:r w:rsidR="004922CB" w:rsidRPr="002818E7">
        <w:rPr>
          <w:rFonts w:ascii="Verdana" w:hAnsi="Verdana"/>
          <w:sz w:val="20"/>
        </w:rPr>
        <w:t xml:space="preserve"> </w:t>
      </w:r>
      <w:r w:rsidRPr="002818E7">
        <w:rPr>
          <w:rFonts w:ascii="Verdana" w:hAnsi="Verdana"/>
          <w:sz w:val="20"/>
        </w:rPr>
        <w:t xml:space="preserve">concessões. O que as comunidades indígenas percebem é que </w:t>
      </w:r>
      <w:r w:rsidR="004922CB">
        <w:rPr>
          <w:rFonts w:ascii="Verdana" w:hAnsi="Verdana"/>
          <w:sz w:val="20"/>
        </w:rPr>
        <w:t>se trata de</w:t>
      </w:r>
      <w:r w:rsidRPr="002818E7">
        <w:rPr>
          <w:rFonts w:ascii="Verdana" w:hAnsi="Verdana"/>
          <w:sz w:val="20"/>
        </w:rPr>
        <w:t xml:space="preserve"> uma entidade que está dando concessões de terras e recursos que lhes pertencem, </w:t>
      </w:r>
      <w:r w:rsidR="00243DA4">
        <w:rPr>
          <w:rFonts w:ascii="Verdana" w:hAnsi="Verdana"/>
          <w:sz w:val="20"/>
        </w:rPr>
        <w:t>razão pela qual</w:t>
      </w:r>
      <w:r w:rsidRPr="002818E7">
        <w:rPr>
          <w:rFonts w:ascii="Verdana" w:hAnsi="Verdana"/>
          <w:sz w:val="20"/>
        </w:rPr>
        <w:t xml:space="preserve"> é vista como uma ameaça a seus interesses.</w:t>
      </w:r>
    </w:p>
    <w:p w:rsidR="00C336FB" w:rsidRPr="002818E7" w:rsidRDefault="00C336FB" w:rsidP="00C336FB">
      <w:pPr>
        <w:jc w:val="both"/>
        <w:rPr>
          <w:rFonts w:ascii="Verdana" w:hAnsi="Verdana"/>
          <w:sz w:val="20"/>
        </w:rPr>
      </w:pPr>
    </w:p>
    <w:p w:rsidR="00C336FB" w:rsidRPr="002818E7" w:rsidRDefault="00B32B1E" w:rsidP="00C336FB">
      <w:pPr>
        <w:jc w:val="both"/>
        <w:rPr>
          <w:rFonts w:ascii="Verdana" w:hAnsi="Verdana"/>
          <w:sz w:val="20"/>
        </w:rPr>
      </w:pPr>
      <w:r>
        <w:rPr>
          <w:rFonts w:ascii="Verdana" w:hAnsi="Verdana"/>
          <w:sz w:val="20"/>
        </w:rPr>
        <w:t>O pesquisador possui</w:t>
      </w:r>
      <w:r w:rsidRPr="002818E7">
        <w:rPr>
          <w:rFonts w:ascii="Verdana" w:hAnsi="Verdana"/>
          <w:sz w:val="20"/>
        </w:rPr>
        <w:t xml:space="preserve"> </w:t>
      </w:r>
      <w:r w:rsidR="00C336FB" w:rsidRPr="002818E7">
        <w:rPr>
          <w:rFonts w:ascii="Verdana" w:hAnsi="Verdana"/>
          <w:sz w:val="20"/>
        </w:rPr>
        <w:t xml:space="preserve">conhecimento </w:t>
      </w:r>
      <w:r w:rsidR="00C336FB">
        <w:rPr>
          <w:rFonts w:ascii="Verdana" w:hAnsi="Verdana"/>
          <w:sz w:val="20"/>
        </w:rPr>
        <w:t>da reivindicação</w:t>
      </w:r>
      <w:r w:rsidR="00C336FB" w:rsidRPr="002818E7">
        <w:rPr>
          <w:rFonts w:ascii="Verdana" w:hAnsi="Verdana"/>
          <w:sz w:val="20"/>
        </w:rPr>
        <w:t xml:space="preserve"> territorial da Comunidade Awas Tingni. Dentro das fontes de seu conhecimento d</w:t>
      </w:r>
      <w:r w:rsidR="00C336FB" w:rsidRPr="00C27627">
        <w:rPr>
          <w:rFonts w:ascii="Verdana" w:hAnsi="Verdana"/>
          <w:sz w:val="20"/>
        </w:rPr>
        <w:t>e</w:t>
      </w:r>
      <w:r w:rsidR="00C336FB" w:rsidRPr="002818E7">
        <w:rPr>
          <w:rFonts w:ascii="Verdana" w:hAnsi="Verdana"/>
          <w:sz w:val="20"/>
        </w:rPr>
        <w:t xml:space="preserve"> Awas Tingni </w:t>
      </w:r>
      <w:proofErr w:type="gramStart"/>
      <w:r w:rsidR="00C336FB" w:rsidRPr="002818E7">
        <w:rPr>
          <w:rFonts w:ascii="Verdana" w:hAnsi="Verdana"/>
          <w:sz w:val="20"/>
        </w:rPr>
        <w:t>estão</w:t>
      </w:r>
      <w:proofErr w:type="gramEnd"/>
      <w:r w:rsidR="00C336FB" w:rsidRPr="002818E7">
        <w:rPr>
          <w:rFonts w:ascii="Verdana" w:hAnsi="Verdana"/>
          <w:sz w:val="20"/>
        </w:rPr>
        <w:t xml:space="preserve"> o estudo</w:t>
      </w:r>
      <w:r w:rsidR="00C336FB">
        <w:rPr>
          <w:rFonts w:ascii="Verdana" w:hAnsi="Verdana"/>
          <w:sz w:val="20"/>
        </w:rPr>
        <w:t xml:space="preserve"> etnográfico r</w:t>
      </w:r>
      <w:r w:rsidR="00C336FB" w:rsidRPr="002818E7">
        <w:rPr>
          <w:rFonts w:ascii="Verdana" w:hAnsi="Verdana"/>
          <w:sz w:val="20"/>
        </w:rPr>
        <w:t xml:space="preserve">ealizado pelo professor Theodore Macdonald e os documentos correspondentes. No trabalho do Doutor Macdonald </w:t>
      </w:r>
      <w:r w:rsidR="00917754">
        <w:rPr>
          <w:rFonts w:ascii="Verdana" w:hAnsi="Verdana"/>
          <w:sz w:val="20"/>
        </w:rPr>
        <w:t xml:space="preserve">foram utilizados </w:t>
      </w:r>
      <w:r w:rsidR="00C336FB" w:rsidRPr="002818E7">
        <w:rPr>
          <w:rFonts w:ascii="Verdana" w:hAnsi="Verdana"/>
          <w:sz w:val="20"/>
        </w:rPr>
        <w:t xml:space="preserve">uma série de critérios metodológicos semelhantes aos métodos utilizados no diagnóstico realizado pelo </w:t>
      </w:r>
      <w:r w:rsidR="00C336FB" w:rsidRPr="002818E7">
        <w:rPr>
          <w:rFonts w:ascii="Verdana" w:hAnsi="Verdana"/>
          <w:i/>
          <w:sz w:val="20"/>
        </w:rPr>
        <w:t>Central American and Caribbean Research Council</w:t>
      </w:r>
      <w:r w:rsidR="00C336FB" w:rsidRPr="002818E7">
        <w:rPr>
          <w:rFonts w:ascii="Verdana" w:hAnsi="Verdana"/>
          <w:sz w:val="20"/>
        </w:rPr>
        <w:t>. Quanto à parte cartográfica, o trabalho do professor Macdonald guarda correspondência, em rigor e conteúdo, com um estudo realizado em outras 128 comunidades, que está incluído no diagnóstico já mencionado.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Sempre </w:t>
      </w:r>
      <w:r>
        <w:rPr>
          <w:rFonts w:ascii="Verdana" w:hAnsi="Verdana"/>
          <w:sz w:val="20"/>
        </w:rPr>
        <w:t>houve</w:t>
      </w:r>
      <w:r w:rsidRPr="002818E7">
        <w:rPr>
          <w:rFonts w:ascii="Verdana" w:hAnsi="Verdana"/>
          <w:sz w:val="20"/>
        </w:rPr>
        <w:t xml:space="preserve"> uso e posse desse território entre os antepassados dos presentes </w:t>
      </w:r>
      <w:r>
        <w:rPr>
          <w:rFonts w:ascii="Verdana" w:hAnsi="Verdana"/>
          <w:sz w:val="20"/>
        </w:rPr>
        <w:t xml:space="preserve">povoadores de Awas Tingni. </w:t>
      </w:r>
      <w:r w:rsidRPr="002818E7">
        <w:rPr>
          <w:rFonts w:ascii="Verdana" w:hAnsi="Verdana"/>
          <w:sz w:val="20"/>
        </w:rPr>
        <w:t>Em tempos anteriores era uma população que vivia em diferentes partes. Com a chegada dos Mission</w:t>
      </w:r>
      <w:r>
        <w:rPr>
          <w:rFonts w:ascii="Verdana" w:hAnsi="Verdana"/>
          <w:sz w:val="20"/>
        </w:rPr>
        <w:t>ários</w:t>
      </w:r>
      <w:r w:rsidRPr="002818E7">
        <w:rPr>
          <w:rFonts w:ascii="Verdana" w:hAnsi="Verdana"/>
          <w:sz w:val="20"/>
        </w:rPr>
        <w:t xml:space="preserve"> Morav</w:t>
      </w:r>
      <w:r>
        <w:rPr>
          <w:rFonts w:ascii="Verdana" w:hAnsi="Verdana"/>
          <w:sz w:val="20"/>
        </w:rPr>
        <w:t>ianos</w:t>
      </w:r>
      <w:r w:rsidRPr="002818E7">
        <w:rPr>
          <w:rFonts w:ascii="Verdana" w:hAnsi="Verdana"/>
          <w:sz w:val="20"/>
        </w:rPr>
        <w:t xml:space="preserve"> no começo do século, o qu</w:t>
      </w:r>
      <w:r w:rsidR="004922CB">
        <w:rPr>
          <w:rFonts w:ascii="Verdana" w:hAnsi="Verdana"/>
          <w:sz w:val="20"/>
        </w:rPr>
        <w:t>e</w:t>
      </w:r>
      <w:r w:rsidRPr="002818E7">
        <w:rPr>
          <w:rFonts w:ascii="Verdana" w:hAnsi="Verdana"/>
          <w:sz w:val="20"/>
        </w:rPr>
        <w:t xml:space="preserve"> está documentado nos diários, </w:t>
      </w:r>
      <w:r>
        <w:rPr>
          <w:rFonts w:ascii="Verdana" w:hAnsi="Verdana"/>
          <w:sz w:val="20"/>
        </w:rPr>
        <w:t>houve</w:t>
      </w:r>
      <w:r w:rsidRPr="002818E7">
        <w:rPr>
          <w:rFonts w:ascii="Verdana" w:hAnsi="Verdana"/>
          <w:sz w:val="20"/>
        </w:rPr>
        <w:t xml:space="preserve"> um processo de “nucleação” desses povoadores, primeiro na Comunidade de Tuburús, no final do século XIX e princípios do século XX. Em 1945, a</w:t>
      </w:r>
      <w:r w:rsidR="001048EE">
        <w:rPr>
          <w:rFonts w:ascii="Verdana" w:hAnsi="Verdana"/>
          <w:sz w:val="20"/>
        </w:rPr>
        <w:t xml:space="preserve"> Comunidade de Tuburús mudou-se</w:t>
      </w:r>
      <w:r>
        <w:rPr>
          <w:rFonts w:ascii="Verdana" w:hAnsi="Verdana"/>
          <w:sz w:val="20"/>
        </w:rPr>
        <w:t xml:space="preserve"> para</w:t>
      </w:r>
      <w:r w:rsidRPr="002818E7">
        <w:rPr>
          <w:rFonts w:ascii="Verdana" w:hAnsi="Verdana"/>
          <w:sz w:val="20"/>
        </w:rPr>
        <w:t xml:space="preserve"> Awas Tingni, por várias razões. Os antepassados desta comunidade têm vivido neste território </w:t>
      </w:r>
      <w:r w:rsidR="00290201">
        <w:rPr>
          <w:rFonts w:ascii="Verdana" w:hAnsi="Verdana"/>
          <w:sz w:val="20"/>
        </w:rPr>
        <w:t>desde</w:t>
      </w:r>
      <w:r w:rsidRPr="002818E7">
        <w:rPr>
          <w:rFonts w:ascii="Verdana" w:hAnsi="Verdana"/>
          <w:sz w:val="20"/>
        </w:rPr>
        <w:t xml:space="preserve"> </w:t>
      </w:r>
      <w:r w:rsidRPr="002818E7">
        <w:rPr>
          <w:rFonts w:ascii="Verdana" w:hAnsi="Verdana"/>
          <w:sz w:val="20"/>
        </w:rPr>
        <w:lastRenderedPageBreak/>
        <w:t xml:space="preserve">tempos ancestrais, </w:t>
      </w:r>
      <w:r>
        <w:rPr>
          <w:rFonts w:ascii="Verdana" w:hAnsi="Verdana"/>
          <w:sz w:val="20"/>
        </w:rPr>
        <w:t xml:space="preserve">apesar </w:t>
      </w:r>
      <w:r w:rsidR="00B32B1E">
        <w:rPr>
          <w:rFonts w:ascii="Verdana" w:hAnsi="Verdana"/>
          <w:sz w:val="20"/>
        </w:rPr>
        <w:t>da ocorrência do</w:t>
      </w:r>
      <w:r w:rsidRPr="002818E7">
        <w:rPr>
          <w:rFonts w:ascii="Verdana" w:hAnsi="Verdana"/>
          <w:sz w:val="20"/>
        </w:rPr>
        <w:t xml:space="preserve"> processo de “nucleação”. Um fator que define que o</w:t>
      </w:r>
      <w:r w:rsidR="00B32B1E">
        <w:rPr>
          <w:rFonts w:ascii="Verdana" w:hAnsi="Verdana"/>
          <w:sz w:val="20"/>
        </w:rPr>
        <w:t>s</w:t>
      </w:r>
      <w:r w:rsidRPr="002818E7">
        <w:rPr>
          <w:rFonts w:ascii="Verdana" w:hAnsi="Verdana"/>
          <w:sz w:val="20"/>
        </w:rPr>
        <w:t xml:space="preserve"> território</w:t>
      </w:r>
      <w:r w:rsidR="00B32B1E">
        <w:rPr>
          <w:rFonts w:ascii="Verdana" w:hAnsi="Verdana"/>
          <w:sz w:val="20"/>
        </w:rPr>
        <w:t>s</w:t>
      </w:r>
      <w:r w:rsidRPr="002818E7">
        <w:rPr>
          <w:rFonts w:ascii="Verdana" w:hAnsi="Verdana"/>
          <w:sz w:val="20"/>
        </w:rPr>
        <w:t xml:space="preserve"> tradiciona</w:t>
      </w:r>
      <w:r w:rsidR="00B32B1E">
        <w:rPr>
          <w:rFonts w:ascii="Verdana" w:hAnsi="Verdana"/>
          <w:sz w:val="20"/>
        </w:rPr>
        <w:t>is</w:t>
      </w:r>
      <w:r w:rsidRPr="002818E7">
        <w:rPr>
          <w:rFonts w:ascii="Verdana" w:hAnsi="Verdana"/>
          <w:sz w:val="20"/>
        </w:rPr>
        <w:t xml:space="preserve"> são lugares para a subsistência, como a caça e a pesca, e os lugares chaves que têm valor espiritual ou</w:t>
      </w:r>
      <w:r>
        <w:rPr>
          <w:rFonts w:ascii="Verdana" w:hAnsi="Verdana"/>
          <w:sz w:val="20"/>
        </w:rPr>
        <w:t xml:space="preserve"> cultural. </w:t>
      </w:r>
      <w:r w:rsidRPr="002818E7">
        <w:rPr>
          <w:rFonts w:ascii="Verdana" w:hAnsi="Verdana"/>
          <w:sz w:val="20"/>
        </w:rPr>
        <w:t>Há lugares chaves que são lugares espirituais e estão localizados dentro da área reclamada.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As comunidades indígenas mais próximas à Comunidade Awas Tingni não são da mesma</w:t>
      </w:r>
      <w:r>
        <w:rPr>
          <w:rFonts w:ascii="Verdana" w:hAnsi="Verdana"/>
          <w:sz w:val="20"/>
        </w:rPr>
        <w:t xml:space="preserve"> etnia Mayagna. </w:t>
      </w:r>
      <w:r w:rsidRPr="002818E7">
        <w:rPr>
          <w:rFonts w:ascii="Verdana" w:hAnsi="Verdana"/>
          <w:sz w:val="20"/>
        </w:rPr>
        <w:t xml:space="preserve">São as comunidades de Tasba Raya, que são Miskitos, e também as chamadas Dez Comunidades. Há documentação relacionada à chegada das comunidades de Tasba Raya, Francia Sirpi, Wisconsin, Santa Clara, etc., nos anos sessenta, mais recentemente da </w:t>
      </w:r>
      <w:r>
        <w:rPr>
          <w:rFonts w:ascii="Verdana" w:hAnsi="Verdana"/>
          <w:sz w:val="20"/>
        </w:rPr>
        <w:t>chegada de</w:t>
      </w:r>
      <w:r w:rsidRPr="002818E7">
        <w:rPr>
          <w:rFonts w:ascii="Verdana" w:hAnsi="Verdana"/>
          <w:sz w:val="20"/>
        </w:rPr>
        <w:t xml:space="preserve"> Awas Tingni. As Dez Comunidades estão localizada</w:t>
      </w:r>
      <w:r>
        <w:rPr>
          <w:rFonts w:ascii="Verdana" w:hAnsi="Verdana"/>
          <w:sz w:val="20"/>
        </w:rPr>
        <w:t>s na zona de</w:t>
      </w:r>
      <w:r w:rsidRPr="002818E7">
        <w:rPr>
          <w:rFonts w:ascii="Verdana" w:hAnsi="Verdana"/>
          <w:sz w:val="20"/>
        </w:rPr>
        <w:t xml:space="preserve"> Awas Tingni faz tempo, mas estão bastante distanciadas uma da outra.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É frequente que em todas as áreas estudadas no diagnóstico existam sobreposições.</w:t>
      </w:r>
      <w:r w:rsidR="002C6A59">
        <w:rPr>
          <w:rFonts w:ascii="Verdana" w:hAnsi="Verdana"/>
          <w:sz w:val="20"/>
        </w:rPr>
        <w:t xml:space="preserve"> </w:t>
      </w:r>
      <w:r w:rsidRPr="002818E7">
        <w:rPr>
          <w:rFonts w:ascii="Verdana" w:hAnsi="Verdana"/>
          <w:sz w:val="20"/>
        </w:rPr>
        <w:t>Ao longo da Costa Atlântica há sobreposições. As sobreposições são zonas que utilizam em comum, de alguma maneira, os povoadores de duas comunidades, de duas comunidades que reclamam a mesma</w:t>
      </w:r>
      <w:r>
        <w:rPr>
          <w:rFonts w:ascii="Verdana" w:hAnsi="Verdana"/>
          <w:sz w:val="20"/>
        </w:rPr>
        <w:t xml:space="preserve"> área, n</w:t>
      </w:r>
      <w:r w:rsidRPr="002818E7">
        <w:rPr>
          <w:rFonts w:ascii="Verdana" w:hAnsi="Verdana"/>
          <w:sz w:val="20"/>
        </w:rPr>
        <w:t xml:space="preserve">ão necessariamente em sentido conflitivo. Não há títulos de propriedade </w:t>
      </w:r>
      <w:r>
        <w:rPr>
          <w:rFonts w:ascii="Verdana" w:hAnsi="Verdana"/>
          <w:sz w:val="20"/>
        </w:rPr>
        <w:t>concedidos</w:t>
      </w:r>
      <w:r w:rsidRPr="002818E7">
        <w:rPr>
          <w:rFonts w:ascii="Verdana" w:hAnsi="Verdana"/>
          <w:sz w:val="20"/>
        </w:rPr>
        <w:t xml:space="preserve"> sobre a zona reclamada pela Comunidade</w:t>
      </w:r>
      <w:r>
        <w:rPr>
          <w:rFonts w:ascii="Verdana" w:hAnsi="Verdana"/>
          <w:sz w:val="20"/>
        </w:rPr>
        <w:t xml:space="preserve"> Awas Tingni. </w:t>
      </w:r>
      <w:r w:rsidRPr="002818E7">
        <w:rPr>
          <w:rFonts w:ascii="Verdana" w:hAnsi="Verdana"/>
          <w:sz w:val="20"/>
        </w:rPr>
        <w:t xml:space="preserve">Há títulos das Dez Comunidades, mas é uma pequena porcentagem e não há nenhuma sobreposição quanto ao que já </w:t>
      </w:r>
      <w:r>
        <w:rPr>
          <w:rFonts w:ascii="Verdana" w:hAnsi="Verdana"/>
          <w:sz w:val="20"/>
        </w:rPr>
        <w:t>titularam</w:t>
      </w:r>
      <w:r w:rsidRPr="002818E7">
        <w:rPr>
          <w:rFonts w:ascii="Verdana" w:hAnsi="Verdana"/>
          <w:sz w:val="20"/>
        </w:rPr>
        <w:t xml:space="preserve"> estas comunidades</w:t>
      </w:r>
      <w:r>
        <w:rPr>
          <w:rFonts w:ascii="Verdana" w:hAnsi="Verdana"/>
          <w:sz w:val="20"/>
        </w:rPr>
        <w:t>.</w:t>
      </w:r>
      <w:r w:rsidRPr="002818E7">
        <w:rPr>
          <w:rFonts w:ascii="Verdana" w:hAnsi="Verdana"/>
          <w:sz w:val="20"/>
        </w:rPr>
        <w:t xml:space="preserve"> Na realidade não estão tituladas, mas em projeto de titulação</w:t>
      </w:r>
      <w:r>
        <w:rPr>
          <w:rFonts w:ascii="Verdana" w:hAnsi="Verdana"/>
          <w:sz w:val="20"/>
        </w:rPr>
        <w:t xml:space="preserve">. </w:t>
      </w:r>
      <w:r w:rsidRPr="002818E7">
        <w:rPr>
          <w:rFonts w:ascii="Verdana" w:hAnsi="Verdana"/>
          <w:sz w:val="20"/>
        </w:rPr>
        <w:t xml:space="preserve">Fala-se de projeções de cada comunidade, que seriam a base de um processo posterior que não </w:t>
      </w:r>
      <w:r>
        <w:rPr>
          <w:rFonts w:ascii="Verdana" w:hAnsi="Verdana"/>
          <w:sz w:val="20"/>
        </w:rPr>
        <w:t>chegou</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AB38F6" w:rsidP="00C336FB">
      <w:pPr>
        <w:jc w:val="both"/>
        <w:rPr>
          <w:rFonts w:ascii="Verdana" w:hAnsi="Verdana"/>
          <w:sz w:val="20"/>
        </w:rPr>
      </w:pPr>
      <w:r>
        <w:rPr>
          <w:rFonts w:ascii="Verdana" w:hAnsi="Verdana"/>
          <w:sz w:val="20"/>
        </w:rPr>
        <w:t>Ele a</w:t>
      </w:r>
      <w:r w:rsidR="004922CB">
        <w:rPr>
          <w:rFonts w:ascii="Verdana" w:hAnsi="Verdana"/>
          <w:sz w:val="20"/>
        </w:rPr>
        <w:t xml:space="preserve">nalisou </w:t>
      </w:r>
      <w:r w:rsidR="00C336FB" w:rsidRPr="002818E7">
        <w:rPr>
          <w:rFonts w:ascii="Verdana" w:hAnsi="Verdana"/>
          <w:sz w:val="20"/>
        </w:rPr>
        <w:t xml:space="preserve">os dados da Comunidade Awas Tingni a respeito de </w:t>
      </w:r>
      <w:r w:rsidR="00C336FB">
        <w:rPr>
          <w:rFonts w:ascii="Verdana" w:hAnsi="Verdana"/>
          <w:sz w:val="20"/>
        </w:rPr>
        <w:t>sua reivindicação</w:t>
      </w:r>
      <w:r w:rsidR="00C336FB" w:rsidRPr="002818E7">
        <w:rPr>
          <w:rFonts w:ascii="Verdana" w:hAnsi="Verdana"/>
          <w:sz w:val="20"/>
        </w:rPr>
        <w:t xml:space="preserve"> de terras e </w:t>
      </w:r>
      <w:r w:rsidR="00290201">
        <w:rPr>
          <w:rFonts w:ascii="Verdana" w:hAnsi="Verdana"/>
          <w:sz w:val="20"/>
        </w:rPr>
        <w:t>concluiu</w:t>
      </w:r>
      <w:r w:rsidR="004922CB" w:rsidRPr="002818E7">
        <w:rPr>
          <w:rFonts w:ascii="Verdana" w:hAnsi="Verdana"/>
          <w:sz w:val="20"/>
        </w:rPr>
        <w:t xml:space="preserve"> </w:t>
      </w:r>
      <w:r w:rsidR="00C336FB" w:rsidRPr="002818E7">
        <w:rPr>
          <w:rFonts w:ascii="Verdana" w:hAnsi="Verdana"/>
          <w:sz w:val="20"/>
        </w:rPr>
        <w:t xml:space="preserve">que a extensão </w:t>
      </w:r>
      <w:r w:rsidR="00C336FB">
        <w:rPr>
          <w:rFonts w:ascii="Verdana" w:hAnsi="Verdana"/>
          <w:sz w:val="20"/>
        </w:rPr>
        <w:t>da reivindicação de</w:t>
      </w:r>
      <w:r w:rsidR="00C336FB" w:rsidRPr="002818E7">
        <w:rPr>
          <w:rFonts w:ascii="Verdana" w:hAnsi="Verdana"/>
          <w:sz w:val="20"/>
        </w:rPr>
        <w:t xml:space="preserve"> Awas Tingni está justamente n</w:t>
      </w:r>
      <w:r w:rsidR="004922CB">
        <w:rPr>
          <w:rFonts w:ascii="Verdana" w:hAnsi="Verdana"/>
          <w:sz w:val="20"/>
        </w:rPr>
        <w:t xml:space="preserve">a média </w:t>
      </w:r>
      <w:r w:rsidR="00C336FB" w:rsidRPr="002818E7">
        <w:rPr>
          <w:rFonts w:ascii="Verdana" w:hAnsi="Verdana"/>
          <w:sz w:val="20"/>
        </w:rPr>
        <w:t xml:space="preserve">do </w:t>
      </w:r>
      <w:r w:rsidR="00C336FB">
        <w:rPr>
          <w:rFonts w:ascii="Verdana" w:hAnsi="Verdana"/>
          <w:sz w:val="20"/>
        </w:rPr>
        <w:t>tipo</w:t>
      </w:r>
      <w:r w:rsidR="00C336FB" w:rsidRPr="002818E7">
        <w:rPr>
          <w:rFonts w:ascii="Verdana" w:hAnsi="Verdana"/>
          <w:sz w:val="20"/>
        </w:rPr>
        <w:t xml:space="preserve"> de </w:t>
      </w:r>
      <w:r w:rsidR="00C336FB">
        <w:rPr>
          <w:rFonts w:ascii="Verdana" w:hAnsi="Verdana"/>
          <w:sz w:val="20"/>
        </w:rPr>
        <w:t>reivindicações</w:t>
      </w:r>
      <w:r w:rsidR="00C336FB" w:rsidRPr="002818E7">
        <w:rPr>
          <w:rFonts w:ascii="Verdana" w:hAnsi="Verdana"/>
          <w:sz w:val="20"/>
        </w:rPr>
        <w:t xml:space="preserve"> de outros blocos multicomunais que estão no diagnóstico. Cada bloco comunal </w:t>
      </w:r>
      <w:r w:rsidR="004922CB">
        <w:rPr>
          <w:rFonts w:ascii="Verdana" w:hAnsi="Verdana"/>
          <w:sz w:val="20"/>
        </w:rPr>
        <w:t>está,</w:t>
      </w:r>
      <w:r w:rsidR="004922CB" w:rsidRPr="002818E7">
        <w:rPr>
          <w:rFonts w:ascii="Verdana" w:hAnsi="Verdana"/>
          <w:sz w:val="20"/>
        </w:rPr>
        <w:t xml:space="preserve"> </w:t>
      </w:r>
      <w:r w:rsidR="00C336FB" w:rsidRPr="002818E7">
        <w:rPr>
          <w:rFonts w:ascii="Verdana" w:hAnsi="Verdana"/>
          <w:sz w:val="20"/>
        </w:rPr>
        <w:t>por sua vez</w:t>
      </w:r>
      <w:r w:rsidR="004922CB">
        <w:rPr>
          <w:rFonts w:ascii="Verdana" w:hAnsi="Verdana"/>
          <w:sz w:val="20"/>
        </w:rPr>
        <w:t>,</w:t>
      </w:r>
      <w:r w:rsidR="00C336FB" w:rsidRPr="002818E7">
        <w:rPr>
          <w:rFonts w:ascii="Verdana" w:hAnsi="Verdana"/>
          <w:sz w:val="20"/>
        </w:rPr>
        <w:t xml:space="preserve"> </w:t>
      </w:r>
      <w:r w:rsidR="004922CB" w:rsidRPr="002818E7">
        <w:rPr>
          <w:rFonts w:ascii="Verdana" w:hAnsi="Verdana"/>
          <w:sz w:val="20"/>
        </w:rPr>
        <w:t>sobrepos</w:t>
      </w:r>
      <w:r w:rsidR="004922CB">
        <w:rPr>
          <w:rFonts w:ascii="Verdana" w:hAnsi="Verdana"/>
          <w:sz w:val="20"/>
        </w:rPr>
        <w:t>t</w:t>
      </w:r>
      <w:r w:rsidR="00290201">
        <w:rPr>
          <w:rFonts w:ascii="Verdana" w:hAnsi="Verdana"/>
          <w:sz w:val="20"/>
        </w:rPr>
        <w:t>o</w:t>
      </w:r>
      <w:r w:rsidR="004922CB" w:rsidRPr="002818E7">
        <w:rPr>
          <w:rFonts w:ascii="Verdana" w:hAnsi="Verdana"/>
          <w:sz w:val="20"/>
        </w:rPr>
        <w:t xml:space="preserve"> </w:t>
      </w:r>
      <w:r w:rsidR="004922CB">
        <w:rPr>
          <w:rFonts w:ascii="Verdana" w:hAnsi="Verdana"/>
          <w:sz w:val="20"/>
        </w:rPr>
        <w:t>à</w:t>
      </w:r>
      <w:r w:rsidR="00C336FB" w:rsidRPr="002818E7">
        <w:rPr>
          <w:rFonts w:ascii="Verdana" w:hAnsi="Verdana"/>
          <w:sz w:val="20"/>
        </w:rPr>
        <w:t xml:space="preserve"> comunidade que está </w:t>
      </w:r>
      <w:r w:rsidR="004922CB">
        <w:rPr>
          <w:rFonts w:ascii="Verdana" w:hAnsi="Verdana"/>
          <w:sz w:val="20"/>
        </w:rPr>
        <w:t>ao</w:t>
      </w:r>
      <w:r w:rsidR="00C336FB" w:rsidRPr="002818E7">
        <w:rPr>
          <w:rFonts w:ascii="Verdana" w:hAnsi="Verdana"/>
          <w:sz w:val="20"/>
        </w:rPr>
        <w:t xml:space="preserve"> seu lado.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 que se </w:t>
      </w:r>
      <w:r>
        <w:rPr>
          <w:rFonts w:ascii="Verdana" w:hAnsi="Verdana"/>
          <w:sz w:val="20"/>
        </w:rPr>
        <w:t>encontrou</w:t>
      </w:r>
      <w:r w:rsidRPr="002818E7">
        <w:rPr>
          <w:rFonts w:ascii="Verdana" w:hAnsi="Verdana"/>
          <w:sz w:val="20"/>
        </w:rPr>
        <w:t xml:space="preserve"> como mecanismo de saneamento para o manejo dessas sobreposições, </w:t>
      </w:r>
      <w:r w:rsidR="003F13B7">
        <w:rPr>
          <w:rFonts w:ascii="Verdana" w:hAnsi="Verdana"/>
          <w:sz w:val="20"/>
        </w:rPr>
        <w:t>já que são</w:t>
      </w:r>
      <w:r w:rsidRPr="002818E7">
        <w:rPr>
          <w:rFonts w:ascii="Verdana" w:hAnsi="Verdana"/>
          <w:sz w:val="20"/>
        </w:rPr>
        <w:t xml:space="preserve"> comunidades que reclamam o uso e posse da terra sem negar o uso por parte das outras comunidades, é a figura legal de reconhecimento desse terreno comum, seja</w:t>
      </w:r>
      <w:r w:rsidR="00917754">
        <w:rPr>
          <w:rFonts w:ascii="Verdana" w:hAnsi="Verdana"/>
          <w:sz w:val="20"/>
        </w:rPr>
        <w:t xml:space="preserve"> </w:t>
      </w:r>
      <w:r w:rsidRPr="002818E7">
        <w:rPr>
          <w:rFonts w:ascii="Verdana" w:hAnsi="Verdana"/>
          <w:sz w:val="20"/>
        </w:rPr>
        <w:t>juntando</w:t>
      </w:r>
      <w:r w:rsidR="00917754">
        <w:rPr>
          <w:rFonts w:ascii="Verdana" w:hAnsi="Verdana"/>
          <w:sz w:val="20"/>
        </w:rPr>
        <w:t xml:space="preserve"> </w:t>
      </w:r>
      <w:r w:rsidRPr="002818E7">
        <w:rPr>
          <w:rFonts w:ascii="Verdana" w:hAnsi="Verdana"/>
          <w:sz w:val="20"/>
        </w:rPr>
        <w:t xml:space="preserve">e fazendo um único território entre as duas comunidades ou um instrumento legal que expressamente reconheça a </w:t>
      </w:r>
      <w:r w:rsidR="00290201">
        <w:rPr>
          <w:rFonts w:ascii="Verdana" w:hAnsi="Verdana"/>
          <w:sz w:val="20"/>
        </w:rPr>
        <w:t xml:space="preserve">região </w:t>
      </w:r>
      <w:r w:rsidRPr="002818E7">
        <w:rPr>
          <w:rFonts w:ascii="Verdana" w:hAnsi="Verdana"/>
          <w:sz w:val="20"/>
        </w:rPr>
        <w:t xml:space="preserve">como compartilhada. Há exemplos desse tipo de solução na mesma </w:t>
      </w:r>
      <w:r w:rsidR="00290201">
        <w:rPr>
          <w:rFonts w:ascii="Verdana" w:hAnsi="Verdana"/>
          <w:sz w:val="20"/>
        </w:rPr>
        <w:t>região</w:t>
      </w:r>
      <w:r>
        <w:rPr>
          <w:rFonts w:ascii="Verdana" w:hAnsi="Verdana"/>
          <w:sz w:val="20"/>
        </w:rPr>
        <w:t xml:space="preserve"> de</w:t>
      </w:r>
      <w:r w:rsidRPr="002818E7">
        <w:rPr>
          <w:rFonts w:ascii="Verdana" w:hAnsi="Verdana"/>
          <w:sz w:val="20"/>
        </w:rPr>
        <w:t xml:space="preserve"> Awas Tingni com s</w:t>
      </w:r>
      <w:r>
        <w:rPr>
          <w:rFonts w:ascii="Verdana" w:hAnsi="Verdana"/>
          <w:sz w:val="20"/>
        </w:rPr>
        <w:t>eus vizinhos de Francia Sirpi e de</w:t>
      </w:r>
      <w:r w:rsidRPr="002818E7">
        <w:rPr>
          <w:rFonts w:ascii="Verdana" w:hAnsi="Verdana"/>
          <w:sz w:val="20"/>
        </w:rPr>
        <w:t xml:space="preserve"> Tasba Raya. Procura-se identificar a </w:t>
      </w:r>
      <w:r w:rsidR="00290201">
        <w:rPr>
          <w:rFonts w:ascii="Verdana" w:hAnsi="Verdana"/>
          <w:sz w:val="20"/>
        </w:rPr>
        <w:t>região</w:t>
      </w:r>
      <w:r w:rsidRPr="002818E7">
        <w:rPr>
          <w:rFonts w:ascii="Verdana" w:hAnsi="Verdana"/>
          <w:sz w:val="20"/>
        </w:rPr>
        <w:t xml:space="preserve"> que querem manejar em comum e assim seguir um processo legal prévio um acordo</w:t>
      </w:r>
      <w:r>
        <w:rPr>
          <w:rFonts w:ascii="Verdana" w:hAnsi="Verdana"/>
          <w:sz w:val="20"/>
        </w:rPr>
        <w:t xml:space="preserve"> entre as partes.</w:t>
      </w:r>
      <w:r w:rsidRPr="002818E7">
        <w:rPr>
          <w:rFonts w:ascii="Verdana" w:hAnsi="Verdana"/>
          <w:sz w:val="20"/>
        </w:rPr>
        <w:t xml:space="preserve"> Em alguns casos sempre haveria conflito. A grande maioria das sobreposições </w:t>
      </w:r>
      <w:r>
        <w:rPr>
          <w:rFonts w:ascii="Verdana" w:hAnsi="Verdana"/>
          <w:sz w:val="20"/>
        </w:rPr>
        <w:t xml:space="preserve">sugere </w:t>
      </w:r>
      <w:r w:rsidRPr="002818E7">
        <w:rPr>
          <w:rFonts w:ascii="Verdana" w:hAnsi="Verdana"/>
          <w:sz w:val="20"/>
        </w:rPr>
        <w:t>a possibilidade de um acordo fundamentado nas figuras legais existentes ou em um novo instrumento legal que reconheça o que na prática são o uso e a posse comum entre duas comunidades.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Não </w:t>
      </w:r>
      <w:r>
        <w:rPr>
          <w:rFonts w:ascii="Verdana" w:hAnsi="Verdana"/>
          <w:sz w:val="20"/>
        </w:rPr>
        <w:t>foram</w:t>
      </w:r>
      <w:r w:rsidRPr="002818E7">
        <w:rPr>
          <w:rFonts w:ascii="Verdana" w:hAnsi="Verdana"/>
          <w:sz w:val="20"/>
        </w:rPr>
        <w:t xml:space="preserve"> encontrad</w:t>
      </w:r>
      <w:r w:rsidR="001048EE">
        <w:rPr>
          <w:rFonts w:ascii="Verdana" w:hAnsi="Verdana"/>
          <w:sz w:val="20"/>
        </w:rPr>
        <w:t>o</w:t>
      </w:r>
      <w:r>
        <w:rPr>
          <w:rFonts w:ascii="Verdana" w:hAnsi="Verdana"/>
          <w:sz w:val="20"/>
        </w:rPr>
        <w:t>s</w:t>
      </w:r>
      <w:r w:rsidRPr="002818E7">
        <w:rPr>
          <w:rFonts w:ascii="Verdana" w:hAnsi="Verdana"/>
          <w:sz w:val="20"/>
        </w:rPr>
        <w:t xml:space="preserve"> </w:t>
      </w:r>
      <w:r w:rsidR="001048EE">
        <w:rPr>
          <w:rFonts w:ascii="Verdana" w:hAnsi="Verdana"/>
          <w:sz w:val="20"/>
        </w:rPr>
        <w:t>pedidos</w:t>
      </w:r>
      <w:r w:rsidRPr="002818E7">
        <w:rPr>
          <w:rFonts w:ascii="Verdana" w:hAnsi="Verdana"/>
          <w:sz w:val="20"/>
        </w:rPr>
        <w:t xml:space="preserve"> por parte das comunidades indígenas de que os títulos de</w:t>
      </w:r>
      <w:r w:rsidR="001048EE">
        <w:rPr>
          <w:rFonts w:ascii="Verdana" w:hAnsi="Verdana"/>
          <w:sz w:val="20"/>
        </w:rPr>
        <w:t xml:space="preserve"> suas terras sejam individuais. </w:t>
      </w:r>
      <w:r>
        <w:rPr>
          <w:rFonts w:ascii="Verdana" w:hAnsi="Verdana"/>
          <w:sz w:val="20"/>
        </w:rPr>
        <w:t>As reivindicações</w:t>
      </w:r>
      <w:r w:rsidRPr="002818E7">
        <w:rPr>
          <w:rFonts w:ascii="Verdana" w:hAnsi="Verdana"/>
          <w:sz w:val="20"/>
        </w:rPr>
        <w:t xml:space="preserve"> sempre são coletiv</w:t>
      </w:r>
      <w:r>
        <w:rPr>
          <w:rFonts w:ascii="Verdana" w:hAnsi="Verdana"/>
          <w:sz w:val="20"/>
        </w:rPr>
        <w:t>a</w:t>
      </w:r>
      <w:r w:rsidRPr="002818E7">
        <w:rPr>
          <w:rFonts w:ascii="Verdana" w:hAnsi="Verdana"/>
          <w:sz w:val="20"/>
        </w:rPr>
        <w:t>s</w:t>
      </w:r>
      <w:r>
        <w:rPr>
          <w:rFonts w:ascii="Verdana" w:hAnsi="Verdana"/>
          <w:sz w:val="20"/>
        </w:rPr>
        <w:t>. U</w:t>
      </w:r>
      <w:r w:rsidRPr="002818E7">
        <w:rPr>
          <w:rFonts w:ascii="Verdana" w:hAnsi="Verdana"/>
          <w:sz w:val="20"/>
        </w:rPr>
        <w:t>m grupo de membros de uma comunidade reclama direito de uso e posse coletiva. Não há posse individual nem noção desse tipo de direito quanto ao título de propriedade, mas o que pedem as comunidades indígenas é um título coletivo.</w:t>
      </w:r>
    </w:p>
    <w:p w:rsidR="00C336FB" w:rsidRPr="002818E7" w:rsidRDefault="00C336FB" w:rsidP="00C336FB">
      <w:pPr>
        <w:jc w:val="both"/>
        <w:rPr>
          <w:rFonts w:ascii="Verdana" w:hAnsi="Verdana"/>
          <w:b/>
          <w:sz w:val="20"/>
        </w:rPr>
      </w:pPr>
    </w:p>
    <w:p w:rsidR="00C336FB" w:rsidRPr="002818E7" w:rsidRDefault="00C336FB" w:rsidP="00C336FB">
      <w:pPr>
        <w:jc w:val="both"/>
        <w:rPr>
          <w:rFonts w:ascii="Verdana" w:hAnsi="Verdana"/>
          <w:b/>
          <w:sz w:val="20"/>
        </w:rPr>
      </w:pPr>
      <w:proofErr w:type="gramStart"/>
      <w:r w:rsidRPr="002818E7">
        <w:rPr>
          <w:rFonts w:ascii="Verdana" w:hAnsi="Verdana"/>
          <w:b/>
          <w:sz w:val="20"/>
        </w:rPr>
        <w:t>k</w:t>
      </w:r>
      <w:proofErr w:type="gramEnd"/>
      <w:r w:rsidRPr="002818E7">
        <w:rPr>
          <w:rFonts w:ascii="Verdana" w:hAnsi="Verdana"/>
          <w:b/>
          <w:sz w:val="20"/>
        </w:rPr>
        <w:t>.</w:t>
      </w:r>
      <w:r w:rsidRPr="002818E7">
        <w:rPr>
          <w:rFonts w:ascii="Verdana" w:hAnsi="Verdana"/>
          <w:b/>
          <w:sz w:val="20"/>
        </w:rPr>
        <w:tab/>
        <w:t>Perícia de Roque de Jesús Roldán Ortega, advogado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Trabalhou no Instituto Colombiano de Reforma Agrária </w:t>
      </w:r>
      <w:r w:rsidR="00C60678" w:rsidRPr="00C60678">
        <w:rPr>
          <w:rFonts w:ascii="Verdana" w:hAnsi="Verdana"/>
          <w:sz w:val="20"/>
        </w:rPr>
        <w:t>(</w:t>
      </w:r>
      <w:r w:rsidRPr="002818E7">
        <w:rPr>
          <w:rFonts w:ascii="Verdana" w:hAnsi="Verdana"/>
          <w:sz w:val="20"/>
        </w:rPr>
        <w:t>INCORA</w:t>
      </w:r>
      <w:r w:rsidR="00C60678" w:rsidRPr="00C60678">
        <w:rPr>
          <w:rFonts w:ascii="Verdana" w:hAnsi="Verdana"/>
          <w:sz w:val="20"/>
        </w:rPr>
        <w:t>)</w:t>
      </w:r>
      <w:r w:rsidRPr="002818E7">
        <w:rPr>
          <w:rFonts w:ascii="Verdana" w:hAnsi="Verdana"/>
          <w:sz w:val="20"/>
        </w:rPr>
        <w:t xml:space="preserve"> durante 18 anos.</w:t>
      </w:r>
      <w:r w:rsidR="00850A3F">
        <w:rPr>
          <w:rFonts w:ascii="Verdana" w:hAnsi="Verdana"/>
          <w:sz w:val="20"/>
        </w:rPr>
        <w:t xml:space="preserve"> </w:t>
      </w:r>
      <w:r w:rsidRPr="002818E7">
        <w:rPr>
          <w:rFonts w:ascii="Verdana" w:hAnsi="Verdana"/>
          <w:sz w:val="20"/>
        </w:rPr>
        <w:t>No INCORA trabalhou dois anos em programas de titulação de terra camp</w:t>
      </w:r>
      <w:r>
        <w:rPr>
          <w:rFonts w:ascii="Verdana" w:hAnsi="Verdana"/>
          <w:sz w:val="20"/>
        </w:rPr>
        <w:t>onesa</w:t>
      </w:r>
      <w:r w:rsidRPr="002818E7">
        <w:rPr>
          <w:rFonts w:ascii="Verdana" w:hAnsi="Verdana"/>
          <w:sz w:val="20"/>
        </w:rPr>
        <w:t xml:space="preserve"> e 16</w:t>
      </w:r>
      <w:r w:rsidR="001048EE">
        <w:rPr>
          <w:rFonts w:ascii="Verdana" w:hAnsi="Verdana"/>
          <w:sz w:val="20"/>
        </w:rPr>
        <w:t xml:space="preserve"> </w:t>
      </w:r>
      <w:r w:rsidR="001048EE">
        <w:rPr>
          <w:rFonts w:ascii="Verdana" w:hAnsi="Verdana"/>
          <w:sz w:val="20"/>
        </w:rPr>
        <w:lastRenderedPageBreak/>
        <w:t>anos</w:t>
      </w:r>
      <w:r w:rsidRPr="002818E7">
        <w:rPr>
          <w:rFonts w:ascii="Verdana" w:hAnsi="Verdana"/>
          <w:sz w:val="20"/>
        </w:rPr>
        <w:t xml:space="preserve"> no escritório encarregado de legalizar as terras em favor dos povos indígenas colombianos. Trabalhou no Ministério de Governo como Chefe da Direção Nacional de Assuntos Indígenas. </w:t>
      </w:r>
      <w:r w:rsidR="004922CB">
        <w:rPr>
          <w:rFonts w:ascii="Verdana" w:hAnsi="Verdana"/>
          <w:sz w:val="20"/>
        </w:rPr>
        <w:t>Realizou</w:t>
      </w:r>
      <w:r w:rsidRPr="002818E7">
        <w:rPr>
          <w:rFonts w:ascii="Verdana" w:hAnsi="Verdana"/>
          <w:sz w:val="20"/>
        </w:rPr>
        <w:t xml:space="preserve"> consultorias internacionais sobre a legislação indígena em vários países da América Latina.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Na Nicarágua </w:t>
      </w:r>
      <w:r>
        <w:rPr>
          <w:rFonts w:ascii="Verdana" w:hAnsi="Verdana"/>
          <w:sz w:val="20"/>
        </w:rPr>
        <w:t>fez</w:t>
      </w:r>
      <w:r w:rsidRPr="002818E7">
        <w:rPr>
          <w:rFonts w:ascii="Verdana" w:hAnsi="Verdana"/>
          <w:sz w:val="20"/>
        </w:rPr>
        <w:t xml:space="preserve"> duas consultorias. Em 1995 fez uma consultoria para o MARENA e em 1996 fez uma consultoria para o INRA. A consultoria com o INRA foi desenvolvida dentro do contexto de um programa para a administração de terras na Região do Atlântico que este organismo </w:t>
      </w:r>
      <w:r w:rsidR="004922CB" w:rsidRPr="002818E7">
        <w:rPr>
          <w:rFonts w:ascii="Verdana" w:hAnsi="Verdana"/>
          <w:sz w:val="20"/>
        </w:rPr>
        <w:t xml:space="preserve">realizava </w:t>
      </w:r>
      <w:r w:rsidRPr="002818E7">
        <w:rPr>
          <w:rFonts w:ascii="Verdana" w:hAnsi="Verdana"/>
          <w:sz w:val="20"/>
        </w:rPr>
        <w:t>com o apoio do Banco Mundial. A consultoria pretendia determinar a viabilidade da titulação de terras dentro do Programa de Corredor Biológico que realizava o MARENA</w:t>
      </w:r>
      <w:r w:rsidR="003F13B7">
        <w:rPr>
          <w:rFonts w:ascii="Verdana" w:hAnsi="Verdana"/>
          <w:sz w:val="20"/>
        </w:rPr>
        <w:t>,</w:t>
      </w:r>
      <w:r w:rsidRPr="002818E7">
        <w:rPr>
          <w:rFonts w:ascii="Verdana" w:hAnsi="Verdana"/>
          <w:sz w:val="20"/>
        </w:rPr>
        <w:t xml:space="preserve"> </w:t>
      </w:r>
      <w:r>
        <w:rPr>
          <w:rFonts w:ascii="Verdana" w:hAnsi="Verdana"/>
          <w:sz w:val="20"/>
        </w:rPr>
        <w:t>com o patrocínio</w:t>
      </w:r>
      <w:r w:rsidRPr="002818E7">
        <w:rPr>
          <w:rFonts w:ascii="Verdana" w:hAnsi="Verdana"/>
          <w:sz w:val="20"/>
        </w:rPr>
        <w:t xml:space="preserve"> do Banco Mundial.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Recentemente publicou um li</w:t>
      </w:r>
      <w:r>
        <w:rPr>
          <w:rFonts w:ascii="Verdana" w:hAnsi="Verdana"/>
          <w:sz w:val="20"/>
        </w:rPr>
        <w:t>v</w:t>
      </w:r>
      <w:r w:rsidR="001048EE">
        <w:rPr>
          <w:rFonts w:ascii="Verdana" w:hAnsi="Verdana"/>
          <w:sz w:val="20"/>
        </w:rPr>
        <w:t>ro que se chama “</w:t>
      </w:r>
      <w:r w:rsidR="001048EE" w:rsidRPr="001048EE">
        <w:rPr>
          <w:rFonts w:ascii="Verdana" w:hAnsi="Verdana"/>
          <w:i/>
          <w:sz w:val="20"/>
        </w:rPr>
        <w:t xml:space="preserve">Legalidad y Derechos en </w:t>
      </w:r>
      <w:proofErr w:type="gramStart"/>
      <w:r w:rsidR="001048EE" w:rsidRPr="001048EE">
        <w:rPr>
          <w:rFonts w:ascii="Verdana" w:hAnsi="Verdana"/>
          <w:i/>
          <w:sz w:val="20"/>
        </w:rPr>
        <w:t>la</w:t>
      </w:r>
      <w:proofErr w:type="gramEnd"/>
      <w:r w:rsidR="001048EE" w:rsidRPr="001048EE">
        <w:rPr>
          <w:rFonts w:ascii="Verdana" w:hAnsi="Verdana"/>
          <w:i/>
          <w:sz w:val="20"/>
        </w:rPr>
        <w:t xml:space="preserve"> Costa Atlá</w:t>
      </w:r>
      <w:r w:rsidRPr="001048EE">
        <w:rPr>
          <w:rFonts w:ascii="Verdana" w:hAnsi="Verdana"/>
          <w:i/>
          <w:sz w:val="20"/>
        </w:rPr>
        <w:t>ntica</w:t>
      </w:r>
      <w:r w:rsidRPr="002818E7">
        <w:rPr>
          <w:rFonts w:ascii="Verdana" w:hAnsi="Verdana"/>
          <w:sz w:val="20"/>
        </w:rPr>
        <w:t xml:space="preserve">”, </w:t>
      </w:r>
      <w:r w:rsidR="004922CB">
        <w:rPr>
          <w:rFonts w:ascii="Verdana" w:hAnsi="Verdana"/>
          <w:sz w:val="20"/>
        </w:rPr>
        <w:t xml:space="preserve">no qual </w:t>
      </w:r>
      <w:r w:rsidRPr="002818E7">
        <w:rPr>
          <w:rFonts w:ascii="Verdana" w:hAnsi="Verdana"/>
          <w:sz w:val="20"/>
        </w:rPr>
        <w:t xml:space="preserve">faz uma revisão crítica do </w:t>
      </w:r>
      <w:r w:rsidR="004922CB">
        <w:rPr>
          <w:rFonts w:ascii="Verdana" w:hAnsi="Verdana"/>
          <w:sz w:val="20"/>
        </w:rPr>
        <w:t xml:space="preserve">ordenamento jurídico </w:t>
      </w:r>
      <w:r w:rsidRPr="002818E7">
        <w:rPr>
          <w:rFonts w:ascii="Verdana" w:hAnsi="Verdana"/>
          <w:sz w:val="20"/>
        </w:rPr>
        <w:t xml:space="preserve">nicaraguense </w:t>
      </w:r>
      <w:r w:rsidR="004922CB">
        <w:rPr>
          <w:rFonts w:ascii="Verdana" w:hAnsi="Verdana"/>
          <w:sz w:val="20"/>
        </w:rPr>
        <w:t>sobre</w:t>
      </w:r>
      <w:r w:rsidRPr="002818E7">
        <w:rPr>
          <w:rFonts w:ascii="Verdana" w:hAnsi="Verdana"/>
          <w:sz w:val="20"/>
        </w:rPr>
        <w:t xml:space="preserve"> o tema dos direitos das minorias étnicas do país e também se refere à tentativa de reformar o </w:t>
      </w:r>
      <w:r w:rsidR="004922CB">
        <w:rPr>
          <w:rFonts w:ascii="Verdana" w:hAnsi="Verdana"/>
          <w:sz w:val="20"/>
        </w:rPr>
        <w:t xml:space="preserve">ordenamento jurídico </w:t>
      </w:r>
      <w:r w:rsidRPr="002818E7">
        <w:rPr>
          <w:rFonts w:ascii="Verdana" w:hAnsi="Verdana"/>
          <w:sz w:val="20"/>
        </w:rPr>
        <w:t>sobre terras na Nicarágua.</w:t>
      </w:r>
      <w:r w:rsidR="00850A3F">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Na Nicarágua há dois setores de indígenas: um setor localizado na </w:t>
      </w:r>
      <w:r w:rsidR="00290201">
        <w:rPr>
          <w:rFonts w:ascii="Verdana" w:hAnsi="Verdana"/>
          <w:sz w:val="20"/>
        </w:rPr>
        <w:t xml:space="preserve">região </w:t>
      </w:r>
      <w:r w:rsidRPr="002818E7">
        <w:rPr>
          <w:rFonts w:ascii="Verdana" w:hAnsi="Verdana"/>
          <w:sz w:val="20"/>
        </w:rPr>
        <w:t xml:space="preserve">pacífica, fortemente vinculado à economia de mercado e bastante integrado aos padrões da cultura nacional, e outro setor localizado na </w:t>
      </w:r>
      <w:r w:rsidR="00290201">
        <w:rPr>
          <w:rFonts w:ascii="Verdana" w:hAnsi="Verdana"/>
          <w:sz w:val="20"/>
        </w:rPr>
        <w:t xml:space="preserve">região </w:t>
      </w:r>
      <w:r w:rsidRPr="002818E7">
        <w:rPr>
          <w:rFonts w:ascii="Verdana" w:hAnsi="Verdana"/>
          <w:sz w:val="20"/>
        </w:rPr>
        <w:t>Atlântica, que mant</w:t>
      </w:r>
      <w:r>
        <w:rPr>
          <w:rFonts w:ascii="Verdana" w:hAnsi="Verdana"/>
          <w:sz w:val="20"/>
        </w:rPr>
        <w:t>é</w:t>
      </w:r>
      <w:r w:rsidRPr="002818E7">
        <w:rPr>
          <w:rFonts w:ascii="Verdana" w:hAnsi="Verdana"/>
          <w:sz w:val="20"/>
        </w:rPr>
        <w:t xml:space="preserve">m </w:t>
      </w:r>
      <w:r>
        <w:rPr>
          <w:rFonts w:ascii="Verdana" w:hAnsi="Verdana"/>
          <w:sz w:val="20"/>
        </w:rPr>
        <w:t>traços</w:t>
      </w:r>
      <w:r w:rsidRPr="002818E7">
        <w:rPr>
          <w:rFonts w:ascii="Verdana" w:hAnsi="Verdana"/>
          <w:sz w:val="20"/>
        </w:rPr>
        <w:t xml:space="preserve"> fortes de sua cultura tradicional. As demandas dos indígenas da Costa Atlântica </w:t>
      </w:r>
      <w:r>
        <w:rPr>
          <w:rFonts w:ascii="Verdana" w:hAnsi="Verdana"/>
          <w:sz w:val="20"/>
        </w:rPr>
        <w:t xml:space="preserve">se </w:t>
      </w:r>
      <w:r w:rsidRPr="002818E7">
        <w:rPr>
          <w:rFonts w:ascii="Verdana" w:hAnsi="Verdana"/>
          <w:sz w:val="20"/>
        </w:rPr>
        <w:t>apoiam em razões de caráter histórico, pela ocupação milen</w:t>
      </w:r>
      <w:r>
        <w:rPr>
          <w:rFonts w:ascii="Verdana" w:hAnsi="Verdana"/>
          <w:sz w:val="20"/>
        </w:rPr>
        <w:t>ar</w:t>
      </w:r>
      <w:r w:rsidRPr="002818E7">
        <w:rPr>
          <w:rFonts w:ascii="Verdana" w:hAnsi="Verdana"/>
          <w:sz w:val="20"/>
        </w:rPr>
        <w:t xml:space="preserve"> que estes povos têm exercido sobre esse território, já que se encontravam lá desde a época da conquista ou da ocupação europeia deste território por ingleses e espanh</w:t>
      </w:r>
      <w:r>
        <w:rPr>
          <w:rFonts w:ascii="Verdana" w:hAnsi="Verdana"/>
          <w:sz w:val="20"/>
        </w:rPr>
        <w:t>óis</w:t>
      </w:r>
      <w:r w:rsidRPr="002818E7">
        <w:rPr>
          <w:rFonts w:ascii="Verdana" w:hAnsi="Verdana"/>
          <w:sz w:val="20"/>
        </w:rPr>
        <w:t>. Os estudos arqueológicos e/ou antropológicos mostram que estes povos vinham ocupando estes territórios desde vári</w:t>
      </w:r>
      <w:r>
        <w:rPr>
          <w:rFonts w:ascii="Verdana" w:hAnsi="Verdana"/>
          <w:sz w:val="20"/>
        </w:rPr>
        <w:t>os</w:t>
      </w:r>
      <w:r w:rsidRPr="002818E7">
        <w:rPr>
          <w:rFonts w:ascii="Verdana" w:hAnsi="Verdana"/>
          <w:sz w:val="20"/>
        </w:rPr>
        <w:t xml:space="preserve"> </w:t>
      </w:r>
      <w:r>
        <w:rPr>
          <w:rFonts w:ascii="Verdana" w:hAnsi="Verdana"/>
          <w:sz w:val="20"/>
        </w:rPr>
        <w:t>séculos</w:t>
      </w:r>
      <w:r w:rsidRPr="002818E7">
        <w:rPr>
          <w:rFonts w:ascii="Verdana" w:hAnsi="Verdana"/>
          <w:sz w:val="20"/>
        </w:rPr>
        <w:t xml:space="preserve"> antes do descobrimento. Esta ocupação milen</w:t>
      </w:r>
      <w:r>
        <w:rPr>
          <w:rFonts w:ascii="Verdana" w:hAnsi="Verdana"/>
          <w:sz w:val="20"/>
        </w:rPr>
        <w:t>ar</w:t>
      </w:r>
      <w:r w:rsidRPr="002818E7">
        <w:rPr>
          <w:rFonts w:ascii="Verdana" w:hAnsi="Verdana"/>
          <w:sz w:val="20"/>
        </w:rPr>
        <w:t xml:space="preserve"> </w:t>
      </w:r>
      <w:r>
        <w:rPr>
          <w:rFonts w:ascii="Verdana" w:hAnsi="Verdana"/>
          <w:sz w:val="20"/>
        </w:rPr>
        <w:t xml:space="preserve">se </w:t>
      </w:r>
      <w:r w:rsidRPr="002818E7">
        <w:rPr>
          <w:rFonts w:ascii="Verdana" w:hAnsi="Verdana"/>
          <w:sz w:val="20"/>
        </w:rPr>
        <w:t xml:space="preserve">manifesta pelos </w:t>
      </w:r>
      <w:r w:rsidR="00CE6441">
        <w:rPr>
          <w:rFonts w:ascii="Verdana" w:hAnsi="Verdana"/>
          <w:sz w:val="20"/>
        </w:rPr>
        <w:t>fatos</w:t>
      </w:r>
      <w:r w:rsidRPr="002818E7">
        <w:rPr>
          <w:rFonts w:ascii="Verdana" w:hAnsi="Verdana"/>
          <w:sz w:val="20"/>
        </w:rPr>
        <w:t xml:space="preserve"> positivos que os habitantes exercem sobre esse território, pela realização de atividades de sobrevivência, como </w:t>
      </w:r>
      <w:r w:rsidR="00C24835">
        <w:rPr>
          <w:rFonts w:ascii="Verdana" w:hAnsi="Verdana"/>
          <w:sz w:val="20"/>
        </w:rPr>
        <w:t>caça,</w:t>
      </w:r>
      <w:r w:rsidRPr="002818E7">
        <w:rPr>
          <w:rFonts w:ascii="Verdana" w:hAnsi="Verdana"/>
          <w:sz w:val="20"/>
        </w:rPr>
        <w:t xml:space="preserve"> pesca, coleta.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A Nicarágua </w:t>
      </w:r>
      <w:r w:rsidR="00CE6441">
        <w:rPr>
          <w:rFonts w:ascii="Verdana" w:hAnsi="Verdana"/>
          <w:sz w:val="20"/>
        </w:rPr>
        <w:t>assinou</w:t>
      </w:r>
      <w:r w:rsidRPr="002818E7">
        <w:rPr>
          <w:rFonts w:ascii="Verdana" w:hAnsi="Verdana"/>
          <w:sz w:val="20"/>
        </w:rPr>
        <w:t xml:space="preserve"> compromissos para o reconhecimento das terras indígenas, tais como a assinatura do Tratado Harrison-Altamirano; </w:t>
      </w:r>
      <w:r>
        <w:rPr>
          <w:rFonts w:ascii="Verdana" w:hAnsi="Verdana"/>
          <w:sz w:val="20"/>
        </w:rPr>
        <w:t>produziu</w:t>
      </w:r>
      <w:r w:rsidRPr="002818E7">
        <w:rPr>
          <w:rFonts w:ascii="Verdana" w:hAnsi="Verdana"/>
          <w:sz w:val="20"/>
        </w:rPr>
        <w:t xml:space="preserve"> ordenamentos posteriores que </w:t>
      </w:r>
      <w:r>
        <w:rPr>
          <w:rFonts w:ascii="Verdana" w:hAnsi="Verdana"/>
          <w:sz w:val="20"/>
        </w:rPr>
        <w:t xml:space="preserve">a </w:t>
      </w:r>
      <w:r w:rsidRPr="002818E7">
        <w:rPr>
          <w:rFonts w:ascii="Verdana" w:hAnsi="Verdana"/>
          <w:sz w:val="20"/>
        </w:rPr>
        <w:t>comprometem ao reconhecimento legal das terras indígenas, especialmente os adotados em 1987 com as modificações à Constituição e ao “Estatuto da Autonomia”.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A política de tratamento dos povos indígenas em todos os países da América Latina, a partir do descobrimento, foi </w:t>
      </w:r>
      <w:proofErr w:type="gramStart"/>
      <w:r w:rsidRPr="002818E7">
        <w:rPr>
          <w:rFonts w:ascii="Verdana" w:hAnsi="Verdana"/>
          <w:sz w:val="20"/>
        </w:rPr>
        <w:t>a</w:t>
      </w:r>
      <w:proofErr w:type="gramEnd"/>
      <w:r w:rsidRPr="002818E7">
        <w:rPr>
          <w:rFonts w:ascii="Verdana" w:hAnsi="Verdana"/>
          <w:sz w:val="20"/>
        </w:rPr>
        <w:t xml:space="preserve"> procura da integração acelerada destes povos aos padrões de vida do </w:t>
      </w:r>
      <w:r w:rsidR="00290201">
        <w:rPr>
          <w:rFonts w:ascii="Verdana" w:hAnsi="Verdana"/>
          <w:sz w:val="20"/>
        </w:rPr>
        <w:t>resto da sociedade nacional. Ess</w:t>
      </w:r>
      <w:r w:rsidRPr="002818E7">
        <w:rPr>
          <w:rFonts w:ascii="Verdana" w:hAnsi="Verdana"/>
          <w:sz w:val="20"/>
        </w:rPr>
        <w:t xml:space="preserve">a política </w:t>
      </w:r>
      <w:r>
        <w:rPr>
          <w:rFonts w:ascii="Verdana" w:hAnsi="Verdana"/>
          <w:sz w:val="20"/>
        </w:rPr>
        <w:t>foi mantida</w:t>
      </w:r>
      <w:r w:rsidRPr="002818E7">
        <w:rPr>
          <w:rFonts w:ascii="Verdana" w:hAnsi="Verdana"/>
          <w:sz w:val="20"/>
        </w:rPr>
        <w:t xml:space="preserve"> durante muito tempo. Paulatinamente, os países </w:t>
      </w:r>
      <w:r>
        <w:rPr>
          <w:rFonts w:ascii="Verdana" w:hAnsi="Verdana"/>
          <w:sz w:val="20"/>
        </w:rPr>
        <w:t>foram</w:t>
      </w:r>
      <w:r w:rsidRPr="002818E7">
        <w:rPr>
          <w:rFonts w:ascii="Verdana" w:hAnsi="Verdana"/>
          <w:sz w:val="20"/>
        </w:rPr>
        <w:t xml:space="preserve"> trocando seu r</w:t>
      </w:r>
      <w:r w:rsidR="00C24835">
        <w:rPr>
          <w:rFonts w:ascii="Verdana" w:hAnsi="Verdana"/>
          <w:sz w:val="20"/>
        </w:rPr>
        <w:t>e</w:t>
      </w:r>
      <w:r w:rsidRPr="002818E7">
        <w:rPr>
          <w:rFonts w:ascii="Verdana" w:hAnsi="Verdana"/>
          <w:sz w:val="20"/>
        </w:rPr>
        <w:t xml:space="preserve">gime constitucional, a tal ponto que há um bom número de nações que já </w:t>
      </w:r>
      <w:r>
        <w:rPr>
          <w:rFonts w:ascii="Verdana" w:hAnsi="Verdana"/>
          <w:sz w:val="20"/>
        </w:rPr>
        <w:t>possuem</w:t>
      </w:r>
      <w:r w:rsidRPr="002818E7">
        <w:rPr>
          <w:rFonts w:ascii="Verdana" w:hAnsi="Verdana"/>
          <w:sz w:val="20"/>
        </w:rPr>
        <w:t xml:space="preserve"> normas que reconhecem a diversidade cultural das respe</w:t>
      </w:r>
      <w:r>
        <w:rPr>
          <w:rFonts w:ascii="Verdana" w:hAnsi="Verdana"/>
          <w:sz w:val="20"/>
        </w:rPr>
        <w:t>c</w:t>
      </w:r>
      <w:r w:rsidRPr="002818E7">
        <w:rPr>
          <w:rFonts w:ascii="Verdana" w:hAnsi="Verdana"/>
          <w:sz w:val="20"/>
        </w:rPr>
        <w:t>tivas sociedades nacionais, a existência dos povos indígenas, o direito destes povos a manter essa diversidade cultural, a perpetuidade e o direito à legalização de suas terras</w:t>
      </w:r>
      <w:r>
        <w:rPr>
          <w:rFonts w:ascii="Verdana" w:hAnsi="Verdana"/>
          <w:sz w:val="20"/>
        </w:rPr>
        <w:t xml:space="preserve">. </w:t>
      </w:r>
      <w:r w:rsidRPr="002818E7">
        <w:rPr>
          <w:rFonts w:ascii="Verdana" w:hAnsi="Verdana"/>
          <w:sz w:val="20"/>
        </w:rPr>
        <w:t xml:space="preserve">A Nicarágua foi um dos primeiros países na América Latina </w:t>
      </w:r>
      <w:r>
        <w:rPr>
          <w:rFonts w:ascii="Verdana" w:hAnsi="Verdana"/>
          <w:sz w:val="20"/>
        </w:rPr>
        <w:t>a fazer</w:t>
      </w:r>
      <w:r w:rsidRPr="002818E7">
        <w:rPr>
          <w:rFonts w:ascii="Verdana" w:hAnsi="Verdana"/>
          <w:sz w:val="20"/>
        </w:rPr>
        <w:t xml:space="preserve"> esse reconhecimento. </w:t>
      </w:r>
      <w:r w:rsidR="004922CB">
        <w:rPr>
          <w:rFonts w:ascii="Verdana" w:hAnsi="Verdana"/>
          <w:sz w:val="20"/>
        </w:rPr>
        <w:t>No âmbito</w:t>
      </w:r>
      <w:r w:rsidRPr="002818E7">
        <w:rPr>
          <w:rFonts w:ascii="Verdana" w:hAnsi="Verdana"/>
          <w:sz w:val="20"/>
        </w:rPr>
        <w:t xml:space="preserve"> constitucional está aceita a existência dos povos indígenas como sociedades culturalmente diferenciadas do resto da sociedade, com direitos específicos que se referem fundamentalmente à posse da terra de forma coletiva. A partir do momento em que foram adotadas a Constituição Política de 1987 e a Lei de Autonomia, que determinam que os indígenas </w:t>
      </w:r>
      <w:proofErr w:type="gramStart"/>
      <w:r w:rsidRPr="002818E7">
        <w:rPr>
          <w:rFonts w:ascii="Verdana" w:hAnsi="Verdana"/>
          <w:sz w:val="20"/>
        </w:rPr>
        <w:t>têm</w:t>
      </w:r>
      <w:proofErr w:type="gramEnd"/>
      <w:r w:rsidRPr="002818E7">
        <w:rPr>
          <w:rFonts w:ascii="Verdana" w:hAnsi="Verdana"/>
          <w:sz w:val="20"/>
        </w:rPr>
        <w:t xml:space="preserve"> direito ao reconhecimento da propriedade do domínio que têm exercido sobre a terra, desde esse momento os indígenas podem ser considerados proprietários plenos da terra e podem, se não têm títulos escritos, </w:t>
      </w:r>
      <w:r>
        <w:rPr>
          <w:rFonts w:ascii="Verdana" w:hAnsi="Verdana"/>
          <w:sz w:val="20"/>
        </w:rPr>
        <w:t>confirmar</w:t>
      </w:r>
      <w:r w:rsidRPr="002818E7">
        <w:rPr>
          <w:rFonts w:ascii="Verdana" w:hAnsi="Verdana"/>
          <w:sz w:val="20"/>
        </w:rPr>
        <w:t xml:space="preserve"> esta condição por meio de diferentes provas. A adoção destas normas </w:t>
      </w:r>
      <w:r w:rsidRPr="002818E7">
        <w:rPr>
          <w:rFonts w:ascii="Verdana" w:hAnsi="Verdana"/>
          <w:sz w:val="20"/>
        </w:rPr>
        <w:lastRenderedPageBreak/>
        <w:t xml:space="preserve">deveria obrigar o Estado a abster-se de tomar determinações em relação </w:t>
      </w:r>
      <w:r w:rsidR="004922CB">
        <w:rPr>
          <w:rFonts w:ascii="Verdana" w:hAnsi="Verdana"/>
          <w:sz w:val="20"/>
        </w:rPr>
        <w:t>a</w:t>
      </w:r>
      <w:r w:rsidRPr="002818E7">
        <w:rPr>
          <w:rFonts w:ascii="Verdana" w:hAnsi="Verdana"/>
          <w:sz w:val="20"/>
        </w:rPr>
        <w:t>os territórios ocupados pelos indígenas.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Está estabelecido também no Estatuto de Autonomia que a pro</w:t>
      </w:r>
      <w:r w:rsidR="00290201">
        <w:rPr>
          <w:rFonts w:ascii="Verdana" w:hAnsi="Verdana"/>
          <w:sz w:val="20"/>
        </w:rPr>
        <w:t>priedade sobre terras indígenas</w:t>
      </w:r>
      <w:r w:rsidRPr="002818E7">
        <w:rPr>
          <w:rFonts w:ascii="Verdana" w:hAnsi="Verdana"/>
          <w:sz w:val="20"/>
        </w:rPr>
        <w:t xml:space="preserve"> por parte de comunidades indígenas é impenhorável, imprescritível e inalienável. Na prática </w:t>
      </w:r>
      <w:r w:rsidR="004922CB">
        <w:rPr>
          <w:rFonts w:ascii="Verdana" w:hAnsi="Verdana"/>
          <w:sz w:val="20"/>
        </w:rPr>
        <w:t>existem</w:t>
      </w:r>
      <w:r w:rsidRPr="002818E7">
        <w:rPr>
          <w:rFonts w:ascii="Verdana" w:hAnsi="Verdana"/>
          <w:sz w:val="20"/>
        </w:rPr>
        <w:t xml:space="preserve"> alguns problemas porque a Lei de Reforma Agrária, que autorizou a entrega de terras aos indígenas, foi </w:t>
      </w:r>
      <w:r w:rsidR="004922CB">
        <w:rPr>
          <w:rFonts w:ascii="Verdana" w:hAnsi="Verdana"/>
          <w:sz w:val="20"/>
        </w:rPr>
        <w:t>emitida</w:t>
      </w:r>
      <w:r w:rsidR="004922CB" w:rsidRPr="002818E7">
        <w:rPr>
          <w:rFonts w:ascii="Verdana" w:hAnsi="Verdana"/>
          <w:sz w:val="20"/>
        </w:rPr>
        <w:t xml:space="preserve"> </w:t>
      </w:r>
      <w:r w:rsidRPr="002818E7">
        <w:rPr>
          <w:rFonts w:ascii="Verdana" w:hAnsi="Verdana"/>
          <w:sz w:val="20"/>
        </w:rPr>
        <w:t>um ano antes da adoção da Constituição e da Lei de Autonomia. E essa Lei de Reforma Agrária n</w:t>
      </w:r>
      <w:r>
        <w:rPr>
          <w:rFonts w:ascii="Verdana" w:hAnsi="Verdana"/>
          <w:sz w:val="20"/>
        </w:rPr>
        <w:t>ão</w:t>
      </w:r>
      <w:r w:rsidRPr="002818E7">
        <w:rPr>
          <w:rFonts w:ascii="Verdana" w:hAnsi="Verdana"/>
          <w:sz w:val="20"/>
        </w:rPr>
        <w:t xml:space="preserve"> contempla a propriedade indígena </w:t>
      </w:r>
      <w:r w:rsidRPr="00A14257">
        <w:rPr>
          <w:rFonts w:ascii="Verdana" w:hAnsi="Verdana"/>
          <w:sz w:val="20"/>
        </w:rPr>
        <w:t>com</w:t>
      </w:r>
      <w:r w:rsidRPr="002818E7">
        <w:rPr>
          <w:rFonts w:ascii="Verdana" w:hAnsi="Verdana"/>
          <w:sz w:val="20"/>
        </w:rPr>
        <w:t xml:space="preserve"> caráter especial, mas </w:t>
      </w:r>
      <w:r w:rsidRPr="00A14257">
        <w:rPr>
          <w:rFonts w:ascii="Verdana" w:hAnsi="Verdana"/>
          <w:sz w:val="20"/>
        </w:rPr>
        <w:t>com</w:t>
      </w:r>
      <w:r w:rsidRPr="002818E7">
        <w:rPr>
          <w:rFonts w:ascii="Verdana" w:hAnsi="Verdana"/>
          <w:sz w:val="20"/>
        </w:rPr>
        <w:t xml:space="preserve"> caráter de propriedade nos termos regulados no Código Civil da Nicarágua, ou seja, que se trata de uma propriedade penhorável, prescritível, localizada dentro do comércio e que se </w:t>
      </w:r>
      <w:r w:rsidR="004922CB">
        <w:rPr>
          <w:rFonts w:ascii="Verdana" w:hAnsi="Verdana"/>
          <w:sz w:val="20"/>
        </w:rPr>
        <w:t>outorga</w:t>
      </w:r>
      <w:r w:rsidR="004922CB" w:rsidRPr="002818E7">
        <w:rPr>
          <w:rFonts w:ascii="Verdana" w:hAnsi="Verdana"/>
          <w:sz w:val="20"/>
        </w:rPr>
        <w:t xml:space="preserve"> </w:t>
      </w:r>
      <w:r w:rsidRPr="002818E7">
        <w:rPr>
          <w:rFonts w:ascii="Verdana" w:hAnsi="Verdana"/>
          <w:sz w:val="20"/>
        </w:rPr>
        <w:t xml:space="preserve">com as mesmas características com que se dá terra aos camponeses, </w:t>
      </w:r>
      <w:r w:rsidR="004922CB">
        <w:rPr>
          <w:rFonts w:ascii="Verdana" w:hAnsi="Verdana"/>
          <w:sz w:val="20"/>
        </w:rPr>
        <w:t xml:space="preserve">mediante estudos </w:t>
      </w:r>
      <w:r w:rsidRPr="002818E7">
        <w:rPr>
          <w:rFonts w:ascii="Verdana" w:hAnsi="Verdana"/>
          <w:sz w:val="20"/>
        </w:rPr>
        <w:t xml:space="preserve">prévios que são similares aos que devem </w:t>
      </w:r>
      <w:r>
        <w:rPr>
          <w:rFonts w:ascii="Verdana" w:hAnsi="Verdana"/>
          <w:sz w:val="20"/>
        </w:rPr>
        <w:t>ser efetuados</w:t>
      </w:r>
      <w:r w:rsidRPr="002818E7">
        <w:rPr>
          <w:rFonts w:ascii="Verdana" w:hAnsi="Verdana"/>
          <w:sz w:val="20"/>
        </w:rPr>
        <w:t xml:space="preserve"> antes de entregar terras aos camponeses.</w:t>
      </w:r>
      <w:r w:rsidR="002C6A59">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A propriedade indígena é uma propriedade privada</w:t>
      </w:r>
      <w:r w:rsidR="00D94FF5">
        <w:rPr>
          <w:rFonts w:ascii="Verdana" w:hAnsi="Verdana"/>
          <w:sz w:val="20"/>
        </w:rPr>
        <w:t xml:space="preserve"> que pertence coletivamente a um grupo, uma comunidade ou a pessoas indígenas.</w:t>
      </w:r>
      <w:r w:rsidR="00850A3F">
        <w:rPr>
          <w:rFonts w:ascii="Verdana" w:hAnsi="Verdana"/>
          <w:sz w:val="20"/>
        </w:rPr>
        <w:t xml:space="preserve"> </w:t>
      </w:r>
      <w:r w:rsidRPr="002818E7">
        <w:rPr>
          <w:rFonts w:ascii="Verdana" w:hAnsi="Verdana"/>
          <w:sz w:val="20"/>
        </w:rPr>
        <w:t>Exibe limitações quanto à possibilidade de disposição, tendo em consideração que é uma propriedade que está designada a um grupo q</w:t>
      </w:r>
      <w:r w:rsidR="00CE6441">
        <w:rPr>
          <w:rFonts w:ascii="Verdana" w:hAnsi="Verdana"/>
          <w:sz w:val="20"/>
        </w:rPr>
        <w:t>ue apresenta a condição de povo</w:t>
      </w:r>
      <w:r>
        <w:rPr>
          <w:rFonts w:ascii="Verdana" w:hAnsi="Verdana"/>
          <w:sz w:val="20"/>
        </w:rPr>
        <w:t>,</w:t>
      </w:r>
      <w:r w:rsidRPr="002818E7">
        <w:rPr>
          <w:rFonts w:ascii="Verdana" w:hAnsi="Verdana"/>
          <w:sz w:val="20"/>
        </w:rPr>
        <w:t xml:space="preserve"> quer </w:t>
      </w:r>
      <w:r>
        <w:rPr>
          <w:rFonts w:ascii="Verdana" w:hAnsi="Verdana"/>
          <w:sz w:val="20"/>
        </w:rPr>
        <w:t xml:space="preserve">se </w:t>
      </w:r>
      <w:r w:rsidRPr="002818E7">
        <w:rPr>
          <w:rFonts w:ascii="Verdana" w:hAnsi="Verdana"/>
          <w:sz w:val="20"/>
        </w:rPr>
        <w:t>perpetuar como tal e demanda a manutenção dessa população e desse território.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As terras ocupadas pelos indígenas na Costa Atlântica têm sido vistas como terras nacionais, terras </w:t>
      </w:r>
      <w:r w:rsidR="004922CB">
        <w:rPr>
          <w:rFonts w:ascii="Verdana" w:hAnsi="Verdana"/>
          <w:sz w:val="20"/>
        </w:rPr>
        <w:t>públicas</w:t>
      </w:r>
      <w:r w:rsidRPr="002818E7">
        <w:rPr>
          <w:rFonts w:ascii="Verdana" w:hAnsi="Verdana"/>
          <w:sz w:val="20"/>
        </w:rPr>
        <w:t xml:space="preserve">, terras de livre disposição por parte do Estado, e em tal medida </w:t>
      </w:r>
      <w:r>
        <w:rPr>
          <w:rFonts w:ascii="Verdana" w:hAnsi="Verdana"/>
          <w:sz w:val="20"/>
        </w:rPr>
        <w:t xml:space="preserve">tem sido feita a </w:t>
      </w:r>
      <w:r w:rsidRPr="002818E7">
        <w:rPr>
          <w:rFonts w:ascii="Verdana" w:hAnsi="Verdana"/>
          <w:sz w:val="20"/>
        </w:rPr>
        <w:t xml:space="preserve">entrega das terras a camponeses que </w:t>
      </w:r>
      <w:r>
        <w:rPr>
          <w:rFonts w:ascii="Verdana" w:hAnsi="Verdana"/>
          <w:sz w:val="20"/>
        </w:rPr>
        <w:t>têm se estabelecido</w:t>
      </w:r>
      <w:r w:rsidRPr="002818E7">
        <w:rPr>
          <w:rFonts w:ascii="Verdana" w:hAnsi="Verdana"/>
          <w:sz w:val="20"/>
        </w:rPr>
        <w:t xml:space="preserve"> nestas regiões. Às comunidades indígenas também </w:t>
      </w:r>
      <w:r w:rsidR="004922CB">
        <w:rPr>
          <w:rFonts w:ascii="Verdana" w:hAnsi="Verdana"/>
          <w:sz w:val="20"/>
        </w:rPr>
        <w:t xml:space="preserve">foram concedidos </w:t>
      </w:r>
      <w:r w:rsidRPr="002818E7">
        <w:rPr>
          <w:rFonts w:ascii="Verdana" w:hAnsi="Verdana"/>
          <w:sz w:val="20"/>
        </w:rPr>
        <w:t xml:space="preserve">títulos sobre as terras, mas são títulos que </w:t>
      </w:r>
      <w:r w:rsidR="004922CB">
        <w:rPr>
          <w:rFonts w:ascii="Verdana" w:hAnsi="Verdana"/>
          <w:sz w:val="20"/>
        </w:rPr>
        <w:t xml:space="preserve">se </w:t>
      </w:r>
      <w:r w:rsidRPr="002818E7">
        <w:rPr>
          <w:rFonts w:ascii="Verdana" w:hAnsi="Verdana"/>
          <w:sz w:val="20"/>
        </w:rPr>
        <w:t>rev</w:t>
      </w:r>
      <w:r>
        <w:rPr>
          <w:rFonts w:ascii="Verdana" w:hAnsi="Verdana"/>
          <w:sz w:val="20"/>
        </w:rPr>
        <w:t>e</w:t>
      </w:r>
      <w:r w:rsidRPr="002818E7">
        <w:rPr>
          <w:rFonts w:ascii="Verdana" w:hAnsi="Verdana"/>
          <w:sz w:val="20"/>
        </w:rPr>
        <w:t xml:space="preserve">stem </w:t>
      </w:r>
      <w:r w:rsidR="004922CB">
        <w:rPr>
          <w:rFonts w:ascii="Verdana" w:hAnsi="Verdana"/>
          <w:sz w:val="20"/>
        </w:rPr>
        <w:t>d</w:t>
      </w:r>
      <w:r w:rsidRPr="002818E7">
        <w:rPr>
          <w:rFonts w:ascii="Verdana" w:hAnsi="Verdana"/>
          <w:sz w:val="20"/>
        </w:rPr>
        <w:t xml:space="preserve">o mesmo caráter </w:t>
      </w:r>
      <w:r w:rsidR="004922CB">
        <w:rPr>
          <w:rFonts w:ascii="Verdana" w:hAnsi="Verdana"/>
          <w:sz w:val="20"/>
        </w:rPr>
        <w:t>d</w:t>
      </w:r>
      <w:r w:rsidRPr="002818E7">
        <w:rPr>
          <w:rFonts w:ascii="Verdana" w:hAnsi="Verdana"/>
          <w:sz w:val="20"/>
        </w:rPr>
        <w:t xml:space="preserve">as terras </w:t>
      </w:r>
      <w:r w:rsidR="004922CB">
        <w:rPr>
          <w:rFonts w:ascii="Verdana" w:hAnsi="Verdana"/>
          <w:sz w:val="20"/>
        </w:rPr>
        <w:t>outorgadas</w:t>
      </w:r>
      <w:r w:rsidR="004922CB" w:rsidRPr="002818E7">
        <w:rPr>
          <w:rFonts w:ascii="Verdana" w:hAnsi="Verdana"/>
          <w:sz w:val="20"/>
        </w:rPr>
        <w:t xml:space="preserve"> </w:t>
      </w:r>
      <w:r w:rsidRPr="002818E7">
        <w:rPr>
          <w:rFonts w:ascii="Verdana" w:hAnsi="Verdana"/>
          <w:sz w:val="20"/>
        </w:rPr>
        <w:t>aos camponeses.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Há </w:t>
      </w:r>
      <w:r w:rsidR="004922CB">
        <w:rPr>
          <w:rFonts w:ascii="Verdana" w:hAnsi="Verdana"/>
          <w:sz w:val="20"/>
        </w:rPr>
        <w:t xml:space="preserve">de se </w:t>
      </w:r>
      <w:r w:rsidRPr="002818E7">
        <w:rPr>
          <w:rFonts w:ascii="Verdana" w:hAnsi="Verdana"/>
          <w:sz w:val="20"/>
        </w:rPr>
        <w:t>introduzir algumas mudanças de ordem legal no</w:t>
      </w:r>
      <w:r>
        <w:rPr>
          <w:rFonts w:ascii="Verdana" w:hAnsi="Verdana"/>
          <w:sz w:val="20"/>
        </w:rPr>
        <w:t xml:space="preserve"> país.</w:t>
      </w:r>
      <w:r w:rsidRPr="002818E7">
        <w:rPr>
          <w:rFonts w:ascii="Verdana" w:hAnsi="Verdana"/>
          <w:sz w:val="20"/>
        </w:rPr>
        <w:t xml:space="preserve"> Primeiro há </w:t>
      </w:r>
      <w:r w:rsidR="004922CB">
        <w:rPr>
          <w:rFonts w:ascii="Verdana" w:hAnsi="Verdana"/>
          <w:sz w:val="20"/>
        </w:rPr>
        <w:t>de se</w:t>
      </w:r>
      <w:r w:rsidR="004922CB" w:rsidRPr="002818E7">
        <w:rPr>
          <w:rFonts w:ascii="Verdana" w:hAnsi="Verdana"/>
          <w:sz w:val="20"/>
        </w:rPr>
        <w:t xml:space="preserve"> </w:t>
      </w:r>
      <w:r w:rsidRPr="002818E7">
        <w:rPr>
          <w:rFonts w:ascii="Verdana" w:hAnsi="Verdana"/>
          <w:sz w:val="20"/>
        </w:rPr>
        <w:t>esclarecer ou desenvolver algumas das normas constitucionais</w:t>
      </w:r>
      <w:r w:rsidR="008E3508">
        <w:rPr>
          <w:rFonts w:ascii="Verdana" w:hAnsi="Verdana"/>
          <w:sz w:val="20"/>
        </w:rPr>
        <w:t xml:space="preserve"> existentes e</w:t>
      </w:r>
      <w:r>
        <w:rPr>
          <w:rFonts w:ascii="Verdana" w:hAnsi="Verdana"/>
          <w:sz w:val="20"/>
        </w:rPr>
        <w:t xml:space="preserve"> </w:t>
      </w:r>
      <w:r w:rsidRPr="002818E7">
        <w:rPr>
          <w:rFonts w:ascii="Verdana" w:hAnsi="Verdana"/>
          <w:sz w:val="20"/>
        </w:rPr>
        <w:t xml:space="preserve">dar-lhes um desenvolvimento legal. </w:t>
      </w:r>
      <w:r>
        <w:rPr>
          <w:rFonts w:ascii="Verdana" w:hAnsi="Verdana"/>
          <w:sz w:val="20"/>
        </w:rPr>
        <w:t xml:space="preserve">Deve ser estabelecido </w:t>
      </w:r>
      <w:r w:rsidRPr="002818E7">
        <w:rPr>
          <w:rFonts w:ascii="Verdana" w:hAnsi="Verdana"/>
          <w:sz w:val="20"/>
        </w:rPr>
        <w:t xml:space="preserve">um procedimento claro que assegure aos povos indígenas a capacidade de </w:t>
      </w:r>
      <w:r w:rsidR="004922CB">
        <w:rPr>
          <w:rFonts w:ascii="Verdana" w:hAnsi="Verdana"/>
          <w:sz w:val="20"/>
        </w:rPr>
        <w:t>ter acesso</w:t>
      </w:r>
      <w:r w:rsidR="004922CB" w:rsidRPr="002818E7">
        <w:rPr>
          <w:rFonts w:ascii="Verdana" w:hAnsi="Verdana"/>
          <w:sz w:val="20"/>
        </w:rPr>
        <w:t xml:space="preserve"> </w:t>
      </w:r>
      <w:r w:rsidRPr="002818E7">
        <w:rPr>
          <w:rFonts w:ascii="Verdana" w:hAnsi="Verdana"/>
          <w:sz w:val="20"/>
        </w:rPr>
        <w:t xml:space="preserve">ao domínio pleno de suas terras, que seja um procedimento que eles possam manejar conforme sua tradição e sua cultura, que lhes reconheça a imprescritibilidade e impenhorabilidade destas terras. Também, há </w:t>
      </w:r>
      <w:r w:rsidR="004922CB">
        <w:rPr>
          <w:rFonts w:ascii="Verdana" w:hAnsi="Verdana"/>
          <w:sz w:val="20"/>
        </w:rPr>
        <w:t>de se</w:t>
      </w:r>
      <w:r w:rsidR="004922CB" w:rsidRPr="002818E7">
        <w:rPr>
          <w:rFonts w:ascii="Verdana" w:hAnsi="Verdana"/>
          <w:sz w:val="20"/>
        </w:rPr>
        <w:t xml:space="preserve"> </w:t>
      </w:r>
      <w:r w:rsidRPr="002818E7">
        <w:rPr>
          <w:rFonts w:ascii="Verdana" w:hAnsi="Verdana"/>
          <w:sz w:val="20"/>
        </w:rPr>
        <w:t xml:space="preserve">avançar na definição de alguns aspectos que têm a ver com a propriedade e o manejo dos recursos naturais, já que apesar de que </w:t>
      </w:r>
      <w:r w:rsidR="004922CB">
        <w:rPr>
          <w:rFonts w:ascii="Verdana" w:hAnsi="Verdana"/>
          <w:sz w:val="20"/>
        </w:rPr>
        <w:t>sejam</w:t>
      </w:r>
      <w:r w:rsidR="004922CB" w:rsidRPr="002818E7">
        <w:rPr>
          <w:rFonts w:ascii="Verdana" w:hAnsi="Verdana"/>
          <w:sz w:val="20"/>
        </w:rPr>
        <w:t xml:space="preserve"> </w:t>
      </w:r>
      <w:r w:rsidRPr="002818E7">
        <w:rPr>
          <w:rFonts w:ascii="Verdana" w:hAnsi="Verdana"/>
          <w:sz w:val="20"/>
        </w:rPr>
        <w:t>considerad</w:t>
      </w:r>
      <w:r w:rsidR="004922CB">
        <w:rPr>
          <w:rFonts w:ascii="Verdana" w:hAnsi="Verdana"/>
          <w:sz w:val="20"/>
        </w:rPr>
        <w:t>a</w:t>
      </w:r>
      <w:r w:rsidRPr="002818E7">
        <w:rPr>
          <w:rFonts w:ascii="Verdana" w:hAnsi="Verdana"/>
          <w:sz w:val="20"/>
        </w:rPr>
        <w:t xml:space="preserve">s como propriedades dos indígenas no ordenamento constitucional e na Lei de Autonomia, contrapõem-se com algumas normas </w:t>
      </w:r>
      <w:r>
        <w:rPr>
          <w:rFonts w:ascii="Verdana" w:hAnsi="Verdana"/>
          <w:sz w:val="20"/>
        </w:rPr>
        <w:t>expedi</w:t>
      </w:r>
      <w:r w:rsidR="004922CB">
        <w:rPr>
          <w:rFonts w:ascii="Verdana" w:hAnsi="Verdana"/>
          <w:sz w:val="20"/>
        </w:rPr>
        <w:t>das</w:t>
      </w:r>
      <w:r w:rsidRPr="002818E7">
        <w:rPr>
          <w:rFonts w:ascii="Verdana" w:hAnsi="Verdana"/>
          <w:sz w:val="20"/>
        </w:rPr>
        <w:t xml:space="preserve"> </w:t>
      </w:r>
      <w:r w:rsidR="004922CB">
        <w:rPr>
          <w:rFonts w:ascii="Verdana" w:hAnsi="Verdana"/>
          <w:sz w:val="20"/>
        </w:rPr>
        <w:t>pel</w:t>
      </w:r>
      <w:r w:rsidRPr="002818E7">
        <w:rPr>
          <w:rFonts w:ascii="Verdana" w:hAnsi="Verdana"/>
          <w:sz w:val="20"/>
        </w:rPr>
        <w:t>o Estado.</w:t>
      </w:r>
      <w:r w:rsidR="00850A3F">
        <w:rPr>
          <w:rFonts w:ascii="Verdana" w:hAnsi="Verdana"/>
          <w:sz w:val="20"/>
        </w:rPr>
        <w:t xml:space="preserve"> </w:t>
      </w:r>
      <w:r w:rsidRPr="002818E7">
        <w:rPr>
          <w:rFonts w:ascii="Verdana" w:hAnsi="Verdana"/>
          <w:sz w:val="20"/>
        </w:rPr>
        <w:t xml:space="preserve">Tal é o caso, por exemplo, dos territórios que </w:t>
      </w:r>
      <w:r>
        <w:rPr>
          <w:rFonts w:ascii="Verdana" w:hAnsi="Verdana"/>
          <w:sz w:val="20"/>
        </w:rPr>
        <w:t>foram</w:t>
      </w:r>
      <w:r w:rsidRPr="002818E7">
        <w:rPr>
          <w:rFonts w:ascii="Verdana" w:hAnsi="Verdana"/>
          <w:sz w:val="20"/>
        </w:rPr>
        <w:t xml:space="preserve"> constituído</w:t>
      </w:r>
      <w:r>
        <w:rPr>
          <w:rFonts w:ascii="Verdana" w:hAnsi="Verdana"/>
          <w:sz w:val="20"/>
        </w:rPr>
        <w:t>s</w:t>
      </w:r>
      <w:r w:rsidRPr="002818E7">
        <w:rPr>
          <w:rFonts w:ascii="Verdana" w:hAnsi="Verdana"/>
          <w:sz w:val="20"/>
        </w:rPr>
        <w:t xml:space="preserve"> como “parques” na mesma Região Atlântica. É necessário esclarecer quais direitos têm os povos indígenas sobre estes territórios e quais direitos tem o </w:t>
      </w:r>
      <w:r>
        <w:rPr>
          <w:rFonts w:ascii="Verdana" w:hAnsi="Verdana"/>
          <w:sz w:val="20"/>
        </w:rPr>
        <w:t xml:space="preserve">Estado. </w:t>
      </w:r>
      <w:r w:rsidRPr="002818E7">
        <w:rPr>
          <w:rFonts w:ascii="Verdana" w:hAnsi="Verdana"/>
          <w:sz w:val="20"/>
        </w:rPr>
        <w:t xml:space="preserve">Há </w:t>
      </w:r>
      <w:r w:rsidR="004922CB">
        <w:rPr>
          <w:rFonts w:ascii="Verdana" w:hAnsi="Verdana"/>
          <w:sz w:val="20"/>
        </w:rPr>
        <w:t>de se</w:t>
      </w:r>
      <w:r w:rsidR="004922CB" w:rsidRPr="002818E7">
        <w:rPr>
          <w:rFonts w:ascii="Verdana" w:hAnsi="Verdana"/>
          <w:sz w:val="20"/>
        </w:rPr>
        <w:t xml:space="preserve"> </w:t>
      </w:r>
      <w:r w:rsidRPr="002818E7">
        <w:rPr>
          <w:rFonts w:ascii="Verdana" w:hAnsi="Verdana"/>
          <w:sz w:val="20"/>
        </w:rPr>
        <w:t xml:space="preserve">estabelecer um regime de administração das terras uma vez que sejam entregues pelo Estado.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 processo de consulta do Anteprojeto de Lei de titulação da propriedade </w:t>
      </w:r>
      <w:r w:rsidR="008E3508">
        <w:rPr>
          <w:rFonts w:ascii="Verdana" w:hAnsi="Verdana"/>
          <w:sz w:val="20"/>
        </w:rPr>
        <w:t>comunitária</w:t>
      </w:r>
      <w:r w:rsidR="008E3508" w:rsidRPr="002818E7">
        <w:rPr>
          <w:rFonts w:ascii="Verdana" w:hAnsi="Verdana"/>
          <w:sz w:val="20"/>
        </w:rPr>
        <w:t xml:space="preserve"> </w:t>
      </w:r>
      <w:r w:rsidRPr="002818E7">
        <w:rPr>
          <w:rFonts w:ascii="Verdana" w:hAnsi="Verdana"/>
          <w:sz w:val="20"/>
        </w:rPr>
        <w:t xml:space="preserve">indígena que se realiza na Nicarágua constitui um avanço importante, já que abriu um espaço de participação e de consulta com os povos indígenas.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Os povos indígenas subsistem da terra, ou seja, a possibilidade de manter a unidade social, de manter e reproduzir a cultura e de sobreviver física e culturalmente depende da existência e </w:t>
      </w:r>
      <w:r>
        <w:rPr>
          <w:rFonts w:ascii="Verdana" w:hAnsi="Verdana"/>
          <w:sz w:val="20"/>
        </w:rPr>
        <w:t>d</w:t>
      </w:r>
      <w:r w:rsidRPr="002818E7">
        <w:rPr>
          <w:rFonts w:ascii="Verdana" w:hAnsi="Verdana"/>
          <w:sz w:val="20"/>
        </w:rPr>
        <w:t xml:space="preserve">a manutenção da terra de forma coletiva, comunitária, como a têm </w:t>
      </w:r>
      <w:r>
        <w:rPr>
          <w:rFonts w:ascii="Verdana" w:hAnsi="Verdana"/>
          <w:sz w:val="20"/>
        </w:rPr>
        <w:t xml:space="preserve">mantido </w:t>
      </w:r>
      <w:r w:rsidRPr="002818E7">
        <w:rPr>
          <w:rFonts w:ascii="Verdana" w:hAnsi="Verdana"/>
          <w:sz w:val="20"/>
        </w:rPr>
        <w:t xml:space="preserve">desde </w:t>
      </w:r>
      <w:r w:rsidR="004922CB">
        <w:rPr>
          <w:rFonts w:ascii="Verdana" w:hAnsi="Verdana"/>
          <w:sz w:val="20"/>
        </w:rPr>
        <w:t>antigamente</w:t>
      </w:r>
      <w:r w:rsidRPr="002818E7">
        <w:rPr>
          <w:rFonts w:ascii="Verdana" w:hAnsi="Verdana"/>
          <w:sz w:val="20"/>
        </w:rPr>
        <w:t>. Os mesmos indígenas, em algumas regiões, estão interessados na exploração de seus recursos, mas a experiência tem demo</w:t>
      </w:r>
      <w:r>
        <w:rPr>
          <w:rFonts w:ascii="Verdana" w:hAnsi="Verdana"/>
          <w:sz w:val="20"/>
        </w:rPr>
        <w:t>n</w:t>
      </w:r>
      <w:r w:rsidRPr="002818E7">
        <w:rPr>
          <w:rFonts w:ascii="Verdana" w:hAnsi="Verdana"/>
          <w:sz w:val="20"/>
        </w:rPr>
        <w:t xml:space="preserve">strado que a exploração de recursos naturais, renováveis ou não renováveis, </w:t>
      </w:r>
      <w:r w:rsidRPr="002818E7">
        <w:rPr>
          <w:rFonts w:ascii="Verdana" w:hAnsi="Verdana"/>
          <w:sz w:val="20"/>
        </w:rPr>
        <w:lastRenderedPageBreak/>
        <w:t>sem a adoção de medidas especiais que garant</w:t>
      </w:r>
      <w:r>
        <w:rPr>
          <w:rFonts w:ascii="Verdana" w:hAnsi="Verdana"/>
          <w:sz w:val="20"/>
        </w:rPr>
        <w:t>a</w:t>
      </w:r>
      <w:r w:rsidRPr="002818E7">
        <w:rPr>
          <w:rFonts w:ascii="Verdana" w:hAnsi="Verdana"/>
          <w:sz w:val="20"/>
        </w:rPr>
        <w:t xml:space="preserve">m a estabilidade dos indígenas na terra, que respeitem sua cultura, que evitem </w:t>
      </w:r>
      <w:r>
        <w:rPr>
          <w:rFonts w:ascii="Verdana" w:hAnsi="Verdana"/>
          <w:sz w:val="20"/>
        </w:rPr>
        <w:t>a</w:t>
      </w:r>
      <w:r w:rsidRPr="002818E7">
        <w:rPr>
          <w:rFonts w:ascii="Verdana" w:hAnsi="Verdana"/>
          <w:sz w:val="20"/>
        </w:rPr>
        <w:t xml:space="preserve"> deterior</w:t>
      </w:r>
      <w:r>
        <w:rPr>
          <w:rFonts w:ascii="Verdana" w:hAnsi="Verdana"/>
          <w:sz w:val="20"/>
        </w:rPr>
        <w:t>ação</w:t>
      </w:r>
      <w:r w:rsidRPr="002818E7">
        <w:rPr>
          <w:rFonts w:ascii="Verdana" w:hAnsi="Verdana"/>
          <w:sz w:val="20"/>
        </w:rPr>
        <w:t xml:space="preserve"> ambiental, causa danos catastróficos.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Não há uniformidade clara em todos os países da América Latina a respeito do tema de se pode haver direito </w:t>
      </w:r>
      <w:r w:rsidR="004922CB">
        <w:rPr>
          <w:rFonts w:ascii="Verdana" w:hAnsi="Verdana"/>
          <w:sz w:val="20"/>
        </w:rPr>
        <w:t>à</w:t>
      </w:r>
      <w:r w:rsidRPr="002818E7">
        <w:rPr>
          <w:rFonts w:ascii="Verdana" w:hAnsi="Verdana"/>
          <w:sz w:val="20"/>
        </w:rPr>
        <w:t xml:space="preserve"> propriedade sem título. Algumas legislações, como é o caso da Colômbia</w:t>
      </w:r>
      <w:r w:rsidR="00290201" w:rsidRPr="002818E7">
        <w:rPr>
          <w:rFonts w:ascii="Verdana" w:hAnsi="Verdana"/>
          <w:sz w:val="20"/>
        </w:rPr>
        <w:t>, por exemplo</w:t>
      </w:r>
      <w:r>
        <w:rPr>
          <w:rFonts w:ascii="Verdana" w:hAnsi="Verdana"/>
          <w:sz w:val="20"/>
        </w:rPr>
        <w:t>,</w:t>
      </w:r>
      <w:r w:rsidRPr="002818E7">
        <w:rPr>
          <w:rFonts w:ascii="Verdana" w:hAnsi="Verdana"/>
          <w:sz w:val="20"/>
        </w:rPr>
        <w:t xml:space="preserve"> aceitam que os povos indígenas s</w:t>
      </w:r>
      <w:r>
        <w:rPr>
          <w:rFonts w:ascii="Verdana" w:hAnsi="Verdana"/>
          <w:sz w:val="20"/>
        </w:rPr>
        <w:t>ejam</w:t>
      </w:r>
      <w:r w:rsidRPr="002818E7">
        <w:rPr>
          <w:rFonts w:ascii="Verdana" w:hAnsi="Verdana"/>
          <w:sz w:val="20"/>
        </w:rPr>
        <w:t xml:space="preserve"> proprietários da terra e que o título </w:t>
      </w:r>
      <w:r>
        <w:rPr>
          <w:rFonts w:ascii="Verdana" w:hAnsi="Verdana"/>
          <w:sz w:val="20"/>
        </w:rPr>
        <w:t>seja</w:t>
      </w:r>
      <w:r w:rsidRPr="002818E7">
        <w:rPr>
          <w:rFonts w:ascii="Verdana" w:hAnsi="Verdana"/>
          <w:sz w:val="20"/>
        </w:rPr>
        <w:t xml:space="preserve"> simplesmente um reconhecimento, um meio de prova.</w:t>
      </w:r>
      <w:r>
        <w:rPr>
          <w:rFonts w:ascii="Verdana" w:hAnsi="Verdana"/>
          <w:sz w:val="20"/>
        </w:rPr>
        <w:t xml:space="preserve"> </w:t>
      </w:r>
      <w:r w:rsidRPr="002818E7">
        <w:rPr>
          <w:rFonts w:ascii="Verdana" w:hAnsi="Verdana"/>
          <w:sz w:val="20"/>
        </w:rPr>
        <w:t xml:space="preserve">Esta posição pode ser sustentada pelos indígenas de todos os países que </w:t>
      </w:r>
      <w:r>
        <w:rPr>
          <w:rFonts w:ascii="Verdana" w:hAnsi="Verdana"/>
          <w:sz w:val="20"/>
        </w:rPr>
        <w:t>acolheram</w:t>
      </w:r>
      <w:r w:rsidRPr="002818E7">
        <w:rPr>
          <w:rFonts w:ascii="Verdana" w:hAnsi="Verdana"/>
          <w:sz w:val="20"/>
        </w:rPr>
        <w:t xml:space="preserve"> as Convenções da Organização Internacional do Trabalho. A Nicarágua ace</w:t>
      </w:r>
      <w:r>
        <w:rPr>
          <w:rFonts w:ascii="Verdana" w:hAnsi="Verdana"/>
          <w:sz w:val="20"/>
        </w:rPr>
        <w:t>i</w:t>
      </w:r>
      <w:r w:rsidRPr="002818E7">
        <w:rPr>
          <w:rFonts w:ascii="Verdana" w:hAnsi="Verdana"/>
          <w:sz w:val="20"/>
        </w:rPr>
        <w:t>tou constitucionalmente o direito à propriedade dos indígenas, ao adotar o Estatuto de Autonomia, porque declarou que os indígenas têm direitos sobre as terras</w:t>
      </w:r>
      <w:r w:rsidR="00E72C1A">
        <w:rPr>
          <w:rFonts w:ascii="Verdana" w:hAnsi="Verdana"/>
          <w:sz w:val="20"/>
        </w:rPr>
        <w:t xml:space="preserve"> e</w:t>
      </w:r>
      <w:r w:rsidRPr="002818E7">
        <w:rPr>
          <w:rFonts w:ascii="Verdana" w:hAnsi="Verdana"/>
          <w:sz w:val="20"/>
        </w:rPr>
        <w:t xml:space="preserve"> direito a </w:t>
      </w:r>
      <w:r w:rsidR="004922CB">
        <w:rPr>
          <w:rFonts w:ascii="Verdana" w:hAnsi="Verdana"/>
          <w:sz w:val="20"/>
        </w:rPr>
        <w:t>ter acesso</w:t>
      </w:r>
      <w:r w:rsidR="004922CB" w:rsidRPr="002818E7">
        <w:rPr>
          <w:rFonts w:ascii="Verdana" w:hAnsi="Verdana"/>
          <w:sz w:val="20"/>
        </w:rPr>
        <w:t xml:space="preserve"> </w:t>
      </w:r>
      <w:r w:rsidRPr="002818E7">
        <w:rPr>
          <w:rFonts w:ascii="Verdana" w:hAnsi="Verdana"/>
          <w:sz w:val="20"/>
        </w:rPr>
        <w:t>às terras que têm ocupado por tradição.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Os países que fizeram reformas constitucionais têm contribuído eficazmente a dar uma maior estabilidade aos povos indígenas e a melhorar substancialmente as relações que existem entre estas populações com o resto da população nacional e com o Estado. </w:t>
      </w:r>
    </w:p>
    <w:p w:rsidR="00C336FB" w:rsidRPr="002818E7" w:rsidRDefault="00C336FB" w:rsidP="00C336FB">
      <w:pPr>
        <w:jc w:val="both"/>
        <w:rPr>
          <w:rFonts w:ascii="Verdana" w:hAnsi="Verdana"/>
          <w:sz w:val="20"/>
        </w:rPr>
      </w:pPr>
    </w:p>
    <w:p w:rsidR="00C336FB" w:rsidRPr="002818E7" w:rsidRDefault="00E72C1A" w:rsidP="00C336FB">
      <w:pPr>
        <w:jc w:val="both"/>
        <w:rPr>
          <w:rFonts w:ascii="Verdana" w:hAnsi="Verdana"/>
          <w:sz w:val="20"/>
        </w:rPr>
      </w:pPr>
      <w:r>
        <w:rPr>
          <w:rFonts w:ascii="Verdana" w:hAnsi="Verdana"/>
          <w:sz w:val="20"/>
        </w:rPr>
        <w:t>Ele n</w:t>
      </w:r>
      <w:r w:rsidR="00C336FB" w:rsidRPr="002818E7">
        <w:rPr>
          <w:rFonts w:ascii="Verdana" w:hAnsi="Verdana"/>
          <w:sz w:val="20"/>
        </w:rPr>
        <w:t xml:space="preserve">ão </w:t>
      </w:r>
      <w:r w:rsidR="00C336FB">
        <w:rPr>
          <w:rFonts w:ascii="Verdana" w:hAnsi="Verdana"/>
          <w:sz w:val="20"/>
        </w:rPr>
        <w:t>fez</w:t>
      </w:r>
      <w:r w:rsidR="00C336FB" w:rsidRPr="002818E7">
        <w:rPr>
          <w:rFonts w:ascii="Verdana" w:hAnsi="Verdana"/>
          <w:sz w:val="20"/>
        </w:rPr>
        <w:t xml:space="preserve"> estudos específicos sobre a situação da Comunidade Awas Tingni.</w:t>
      </w:r>
      <w:r w:rsidR="00850A3F">
        <w:rPr>
          <w:rFonts w:ascii="Verdana" w:hAnsi="Verdana"/>
          <w:sz w:val="20"/>
        </w:rPr>
        <w:t xml:space="preserve"> </w:t>
      </w:r>
      <w:r w:rsidR="00C336FB" w:rsidRPr="002818E7">
        <w:rPr>
          <w:rFonts w:ascii="Verdana" w:hAnsi="Verdana"/>
          <w:sz w:val="20"/>
        </w:rPr>
        <w:t xml:space="preserve">Os estudos que realizou se referem à análise e revisão dos ordenamentos </w:t>
      </w:r>
      <w:r w:rsidR="00BD19C3">
        <w:rPr>
          <w:rFonts w:ascii="Verdana" w:hAnsi="Verdana"/>
          <w:sz w:val="20"/>
        </w:rPr>
        <w:t>jurídicos</w:t>
      </w:r>
      <w:r w:rsidR="00BD19C3" w:rsidRPr="002818E7">
        <w:rPr>
          <w:rFonts w:ascii="Verdana" w:hAnsi="Verdana"/>
          <w:sz w:val="20"/>
        </w:rPr>
        <w:t xml:space="preserve"> </w:t>
      </w:r>
      <w:r w:rsidR="00C336FB" w:rsidRPr="002818E7">
        <w:rPr>
          <w:rFonts w:ascii="Verdana" w:hAnsi="Verdana"/>
          <w:sz w:val="20"/>
        </w:rPr>
        <w:t xml:space="preserve">da Nicarágua em relação </w:t>
      </w:r>
      <w:r w:rsidR="00BD19C3">
        <w:rPr>
          <w:rFonts w:ascii="Verdana" w:hAnsi="Verdana"/>
          <w:sz w:val="20"/>
        </w:rPr>
        <w:t>a</w:t>
      </w:r>
      <w:r w:rsidR="00C336FB" w:rsidRPr="002818E7">
        <w:rPr>
          <w:rFonts w:ascii="Verdana" w:hAnsi="Verdana"/>
          <w:sz w:val="20"/>
        </w:rPr>
        <w:t>os direitos territoriais dos indígenas.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A experiência que existe na América Latina em relação </w:t>
      </w:r>
      <w:r w:rsidR="00AA1CD7">
        <w:rPr>
          <w:rFonts w:ascii="Verdana" w:hAnsi="Verdana"/>
          <w:sz w:val="20"/>
        </w:rPr>
        <w:t>a</w:t>
      </w:r>
      <w:r w:rsidRPr="002818E7">
        <w:rPr>
          <w:rFonts w:ascii="Verdana" w:hAnsi="Verdana"/>
          <w:sz w:val="20"/>
        </w:rPr>
        <w:t xml:space="preserve">o tema da propriedade </w:t>
      </w:r>
      <w:r w:rsidR="00E72C1A">
        <w:rPr>
          <w:rFonts w:ascii="Verdana" w:hAnsi="Verdana"/>
          <w:sz w:val="20"/>
        </w:rPr>
        <w:t>comunitária</w:t>
      </w:r>
      <w:r w:rsidR="00E72C1A" w:rsidRPr="002818E7">
        <w:rPr>
          <w:rFonts w:ascii="Verdana" w:hAnsi="Verdana"/>
          <w:sz w:val="20"/>
        </w:rPr>
        <w:t xml:space="preserve"> </w:t>
      </w:r>
      <w:r w:rsidRPr="002818E7">
        <w:rPr>
          <w:rFonts w:ascii="Verdana" w:hAnsi="Verdana"/>
          <w:sz w:val="20"/>
        </w:rPr>
        <w:t xml:space="preserve">é muito exemplificativa. Durante quase 180 anos, toda a política dos Estados da América Latina </w:t>
      </w:r>
      <w:r w:rsidR="00C24835">
        <w:rPr>
          <w:rFonts w:ascii="Verdana" w:hAnsi="Verdana"/>
          <w:sz w:val="20"/>
        </w:rPr>
        <w:t>se orientou a</w:t>
      </w:r>
      <w:r w:rsidRPr="002818E7">
        <w:rPr>
          <w:rFonts w:ascii="Verdana" w:hAnsi="Verdana"/>
          <w:sz w:val="20"/>
        </w:rPr>
        <w:t xml:space="preserve"> procurar </w:t>
      </w:r>
      <w:r>
        <w:rPr>
          <w:rFonts w:ascii="Verdana" w:hAnsi="Verdana"/>
          <w:sz w:val="20"/>
        </w:rPr>
        <w:t>o extermínio</w:t>
      </w:r>
      <w:r w:rsidRPr="002818E7">
        <w:rPr>
          <w:rFonts w:ascii="Verdana" w:hAnsi="Verdana"/>
          <w:sz w:val="20"/>
        </w:rPr>
        <w:t xml:space="preserve"> das formas de propriedade coletiva e </w:t>
      </w:r>
      <w:r>
        <w:rPr>
          <w:rFonts w:ascii="Verdana" w:hAnsi="Verdana"/>
          <w:sz w:val="20"/>
        </w:rPr>
        <w:t>d</w:t>
      </w:r>
      <w:r w:rsidRPr="002818E7">
        <w:rPr>
          <w:rFonts w:ascii="Verdana" w:hAnsi="Verdana"/>
          <w:sz w:val="20"/>
        </w:rPr>
        <w:t>as formas de governo autônomas dos povos indígenas. Is</w:t>
      </w:r>
      <w:r w:rsidR="00AA1CD7">
        <w:rPr>
          <w:rFonts w:ascii="Verdana" w:hAnsi="Verdana"/>
          <w:sz w:val="20"/>
        </w:rPr>
        <w:t>s</w:t>
      </w:r>
      <w:r w:rsidRPr="002818E7">
        <w:rPr>
          <w:rFonts w:ascii="Verdana" w:hAnsi="Verdana"/>
          <w:sz w:val="20"/>
        </w:rPr>
        <w:t xml:space="preserve">o contribuiu </w:t>
      </w:r>
      <w:r>
        <w:rPr>
          <w:rFonts w:ascii="Verdana" w:hAnsi="Verdana"/>
          <w:sz w:val="20"/>
        </w:rPr>
        <w:t>par</w:t>
      </w:r>
      <w:r w:rsidRPr="002818E7">
        <w:rPr>
          <w:rFonts w:ascii="Verdana" w:hAnsi="Verdana"/>
          <w:sz w:val="20"/>
        </w:rPr>
        <w:t xml:space="preserve">a </w:t>
      </w:r>
      <w:r>
        <w:rPr>
          <w:rFonts w:ascii="Verdana" w:hAnsi="Verdana"/>
          <w:sz w:val="20"/>
        </w:rPr>
        <w:t>exterminar</w:t>
      </w:r>
      <w:r w:rsidRPr="002818E7">
        <w:rPr>
          <w:rFonts w:ascii="Verdana" w:hAnsi="Verdana"/>
          <w:sz w:val="20"/>
        </w:rPr>
        <w:t xml:space="preserve"> grande parte dos povos indígenas, a levá-los não somente a seu desaparecimento cultural, mas a seu desaparecimento físico. A experiência </w:t>
      </w:r>
      <w:r w:rsidR="00BD19C3">
        <w:rPr>
          <w:rFonts w:ascii="Verdana" w:hAnsi="Verdana"/>
          <w:sz w:val="20"/>
        </w:rPr>
        <w:t xml:space="preserve">acumulada </w:t>
      </w:r>
      <w:r w:rsidRPr="002818E7">
        <w:rPr>
          <w:rFonts w:ascii="Verdana" w:hAnsi="Verdana"/>
          <w:sz w:val="20"/>
        </w:rPr>
        <w:t>nos últimos 20 anos</w:t>
      </w:r>
      <w:r w:rsidR="00E72C1A">
        <w:rPr>
          <w:rFonts w:ascii="Verdana" w:hAnsi="Verdana"/>
          <w:sz w:val="20"/>
        </w:rPr>
        <w:t>,</w:t>
      </w:r>
      <w:r w:rsidRPr="002818E7">
        <w:rPr>
          <w:rFonts w:ascii="Verdana" w:hAnsi="Verdana"/>
          <w:sz w:val="20"/>
        </w:rPr>
        <w:t xml:space="preserve"> naquelas comunidades que </w:t>
      </w:r>
      <w:r>
        <w:rPr>
          <w:rFonts w:ascii="Verdana" w:hAnsi="Verdana"/>
          <w:sz w:val="20"/>
        </w:rPr>
        <w:t>alcançaram</w:t>
      </w:r>
      <w:r w:rsidR="002C6A59">
        <w:rPr>
          <w:rFonts w:ascii="Verdana" w:hAnsi="Verdana"/>
          <w:sz w:val="20"/>
        </w:rPr>
        <w:t xml:space="preserve"> </w:t>
      </w:r>
      <w:r w:rsidR="00E72C1A">
        <w:rPr>
          <w:rFonts w:ascii="Verdana" w:hAnsi="Verdana"/>
          <w:sz w:val="20"/>
        </w:rPr>
        <w:t>o</w:t>
      </w:r>
      <w:r w:rsidR="00BD19C3">
        <w:rPr>
          <w:rFonts w:ascii="Verdana" w:hAnsi="Verdana"/>
          <w:sz w:val="20"/>
        </w:rPr>
        <w:t xml:space="preserve"> acesso </w:t>
      </w:r>
      <w:r w:rsidRPr="002818E7">
        <w:rPr>
          <w:rFonts w:ascii="Verdana" w:hAnsi="Verdana"/>
          <w:sz w:val="20"/>
        </w:rPr>
        <w:t xml:space="preserve">ao domínio coletivo da terra e </w:t>
      </w:r>
      <w:r>
        <w:rPr>
          <w:rFonts w:ascii="Verdana" w:hAnsi="Verdana"/>
          <w:sz w:val="20"/>
        </w:rPr>
        <w:t>receberam</w:t>
      </w:r>
      <w:r w:rsidRPr="002818E7">
        <w:rPr>
          <w:rFonts w:ascii="Verdana" w:hAnsi="Verdana"/>
          <w:sz w:val="20"/>
        </w:rPr>
        <w:t xml:space="preserve"> algum tipo de apoio do Estado para desenvolver uma economia dentro desses espaços, demo</w:t>
      </w:r>
      <w:r w:rsidR="0089501A">
        <w:rPr>
          <w:rFonts w:ascii="Verdana" w:hAnsi="Verdana"/>
          <w:sz w:val="20"/>
        </w:rPr>
        <w:t>n</w:t>
      </w:r>
      <w:r w:rsidRPr="002818E7">
        <w:rPr>
          <w:rFonts w:ascii="Verdana" w:hAnsi="Verdana"/>
          <w:sz w:val="20"/>
        </w:rPr>
        <w:t xml:space="preserve">stra que a manutenção do regime </w:t>
      </w:r>
      <w:r w:rsidR="00E72C1A">
        <w:rPr>
          <w:rFonts w:ascii="Verdana" w:hAnsi="Verdana"/>
          <w:sz w:val="20"/>
        </w:rPr>
        <w:t>comunitário</w:t>
      </w:r>
      <w:r w:rsidR="00E72C1A" w:rsidRPr="002818E7">
        <w:rPr>
          <w:rFonts w:ascii="Verdana" w:hAnsi="Verdana"/>
          <w:sz w:val="20"/>
        </w:rPr>
        <w:t xml:space="preserve"> </w:t>
      </w:r>
      <w:r>
        <w:rPr>
          <w:rFonts w:ascii="Verdana" w:hAnsi="Verdana"/>
          <w:sz w:val="20"/>
        </w:rPr>
        <w:t xml:space="preserve">se </w:t>
      </w:r>
      <w:r w:rsidRPr="002818E7">
        <w:rPr>
          <w:rFonts w:ascii="Verdana" w:hAnsi="Verdana"/>
          <w:sz w:val="20"/>
        </w:rPr>
        <w:t>converte</w:t>
      </w:r>
      <w:r>
        <w:rPr>
          <w:rFonts w:ascii="Verdana" w:hAnsi="Verdana"/>
          <w:sz w:val="20"/>
        </w:rPr>
        <w:t xml:space="preserve"> em uma</w:t>
      </w:r>
      <w:r w:rsidRPr="002818E7">
        <w:rPr>
          <w:rFonts w:ascii="Verdana" w:hAnsi="Verdana"/>
          <w:sz w:val="20"/>
        </w:rPr>
        <w:t xml:space="preserve"> força muito poderosa de transformação e desenvolvimento para o benefício destas comunidades e dos respe</w:t>
      </w:r>
      <w:r>
        <w:rPr>
          <w:rFonts w:ascii="Verdana" w:hAnsi="Verdana"/>
          <w:sz w:val="20"/>
        </w:rPr>
        <w:t>c</w:t>
      </w:r>
      <w:r w:rsidRPr="002818E7">
        <w:rPr>
          <w:rFonts w:ascii="Verdana" w:hAnsi="Verdana"/>
          <w:sz w:val="20"/>
        </w:rPr>
        <w:t>tivos países.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No caso da Nicarágua, se houvesse </w:t>
      </w:r>
      <w:r>
        <w:rPr>
          <w:rFonts w:ascii="Verdana" w:hAnsi="Verdana"/>
          <w:sz w:val="20"/>
        </w:rPr>
        <w:t xml:space="preserve">sido </w:t>
      </w:r>
      <w:r w:rsidRPr="002818E7">
        <w:rPr>
          <w:rFonts w:ascii="Verdana" w:hAnsi="Verdana"/>
          <w:sz w:val="20"/>
        </w:rPr>
        <w:t>definido um procedimento para demarcar territórios e titular terras indígenas</w:t>
      </w:r>
      <w:r w:rsidRPr="00260466">
        <w:rPr>
          <w:rFonts w:ascii="Verdana" w:hAnsi="Verdana"/>
          <w:sz w:val="20"/>
        </w:rPr>
        <w:t>,</w:t>
      </w:r>
      <w:r w:rsidRPr="002818E7">
        <w:rPr>
          <w:rFonts w:ascii="Verdana" w:hAnsi="Verdana"/>
          <w:sz w:val="20"/>
        </w:rPr>
        <w:t xml:space="preserve"> a partir da adoção da Constituição e da Lei de Autonomia, tendo em consideração o número de comunidades que existem na Costa Atlântica e o avanço que as mesmas comunidades têm na </w:t>
      </w:r>
      <w:proofErr w:type="gramStart"/>
      <w:r w:rsidRPr="002818E7">
        <w:rPr>
          <w:rFonts w:ascii="Verdana" w:hAnsi="Verdana"/>
          <w:sz w:val="20"/>
        </w:rPr>
        <w:t>auto</w:t>
      </w:r>
      <w:r w:rsidR="00BD19C3">
        <w:rPr>
          <w:rFonts w:ascii="Verdana" w:hAnsi="Verdana"/>
          <w:sz w:val="20"/>
        </w:rPr>
        <w:t>-</w:t>
      </w:r>
      <w:r w:rsidRPr="002818E7">
        <w:rPr>
          <w:rFonts w:ascii="Verdana" w:hAnsi="Verdana"/>
          <w:sz w:val="20"/>
        </w:rPr>
        <w:t>definição</w:t>
      </w:r>
      <w:proofErr w:type="gramEnd"/>
      <w:r w:rsidRPr="002818E7">
        <w:rPr>
          <w:rFonts w:ascii="Verdana" w:hAnsi="Verdana"/>
          <w:sz w:val="20"/>
        </w:rPr>
        <w:t xml:space="preserve"> de seus próprios espaços de vida, </w:t>
      </w:r>
      <w:r>
        <w:rPr>
          <w:rFonts w:ascii="Verdana" w:hAnsi="Verdana"/>
          <w:sz w:val="20"/>
        </w:rPr>
        <w:t>teria</w:t>
      </w:r>
      <w:r w:rsidRPr="002818E7">
        <w:rPr>
          <w:rFonts w:ascii="Verdana" w:hAnsi="Verdana"/>
          <w:sz w:val="20"/>
        </w:rPr>
        <w:t xml:space="preserve"> sido possível diminuir significativamente a </w:t>
      </w:r>
      <w:r w:rsidR="00BD19C3">
        <w:rPr>
          <w:rFonts w:ascii="Verdana" w:hAnsi="Verdana"/>
          <w:sz w:val="20"/>
        </w:rPr>
        <w:t>concessão</w:t>
      </w:r>
      <w:r w:rsidR="00BD19C3" w:rsidRPr="002818E7">
        <w:rPr>
          <w:rFonts w:ascii="Verdana" w:hAnsi="Verdana"/>
          <w:sz w:val="20"/>
        </w:rPr>
        <w:t xml:space="preserve"> </w:t>
      </w:r>
      <w:r w:rsidRPr="002818E7">
        <w:rPr>
          <w:rFonts w:ascii="Verdana" w:hAnsi="Verdana"/>
          <w:sz w:val="20"/>
        </w:rPr>
        <w:t>legal destas terras, reduzindo o tempo a um, dois ou três anos.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b/>
          <w:sz w:val="20"/>
        </w:rPr>
      </w:pPr>
      <w:proofErr w:type="gramStart"/>
      <w:r w:rsidRPr="002818E7">
        <w:rPr>
          <w:rFonts w:ascii="Verdana" w:hAnsi="Verdana"/>
          <w:b/>
          <w:sz w:val="20"/>
        </w:rPr>
        <w:t>l.</w:t>
      </w:r>
      <w:proofErr w:type="gramEnd"/>
      <w:r w:rsidRPr="002818E7">
        <w:rPr>
          <w:rFonts w:ascii="Verdana" w:hAnsi="Verdana"/>
          <w:b/>
          <w:sz w:val="20"/>
        </w:rPr>
        <w:tab/>
        <w:t>Perícia de Lottie Marie Cunningham de Aguirre, advogada</w:t>
      </w:r>
    </w:p>
    <w:p w:rsidR="00C336FB" w:rsidRPr="002818E7" w:rsidRDefault="00C336FB" w:rsidP="00C336FB">
      <w:pPr>
        <w:jc w:val="both"/>
        <w:rPr>
          <w:rFonts w:ascii="Verdana" w:hAnsi="Verdana"/>
          <w:b/>
          <w:sz w:val="20"/>
        </w:rPr>
      </w:pPr>
    </w:p>
    <w:p w:rsidR="00C336FB" w:rsidRPr="002818E7" w:rsidRDefault="00C336FB" w:rsidP="00C336FB">
      <w:pPr>
        <w:jc w:val="both"/>
        <w:rPr>
          <w:rFonts w:ascii="Verdana" w:hAnsi="Verdana"/>
          <w:sz w:val="20"/>
        </w:rPr>
      </w:pPr>
      <w:r w:rsidRPr="002818E7">
        <w:rPr>
          <w:rFonts w:ascii="Verdana" w:hAnsi="Verdana"/>
          <w:sz w:val="20"/>
        </w:rPr>
        <w:t xml:space="preserve">Residente na Cidade </w:t>
      </w:r>
      <w:r>
        <w:rPr>
          <w:rFonts w:ascii="Verdana" w:hAnsi="Verdana"/>
          <w:sz w:val="20"/>
        </w:rPr>
        <w:t xml:space="preserve">de </w:t>
      </w:r>
      <w:r w:rsidRPr="002818E7">
        <w:rPr>
          <w:rFonts w:ascii="Verdana" w:hAnsi="Verdana"/>
          <w:sz w:val="20"/>
        </w:rPr>
        <w:t>Bilwi, Município de Puerto Cabezas, Região Autônoma</w:t>
      </w:r>
      <w:r>
        <w:rPr>
          <w:rFonts w:ascii="Verdana" w:hAnsi="Verdana"/>
          <w:sz w:val="20"/>
        </w:rPr>
        <w:t xml:space="preserve"> do</w:t>
      </w:r>
      <w:r w:rsidRPr="002818E7">
        <w:rPr>
          <w:rFonts w:ascii="Verdana" w:hAnsi="Verdana"/>
          <w:sz w:val="20"/>
        </w:rPr>
        <w:t xml:space="preserve"> Atlântico Norte. É advogada e not</w:t>
      </w:r>
      <w:r>
        <w:rPr>
          <w:rFonts w:ascii="Verdana" w:hAnsi="Verdana"/>
          <w:sz w:val="20"/>
        </w:rPr>
        <w:t>á</w:t>
      </w:r>
      <w:r w:rsidRPr="002818E7">
        <w:rPr>
          <w:rFonts w:ascii="Verdana" w:hAnsi="Verdana"/>
          <w:sz w:val="20"/>
        </w:rPr>
        <w:t>ria pública.</w:t>
      </w:r>
      <w:r>
        <w:rPr>
          <w:rFonts w:ascii="Verdana" w:hAnsi="Verdana"/>
          <w:sz w:val="20"/>
        </w:rPr>
        <w:t xml:space="preserve"> </w:t>
      </w:r>
      <w:r w:rsidRPr="002818E7">
        <w:rPr>
          <w:rFonts w:ascii="Verdana" w:hAnsi="Verdana"/>
          <w:sz w:val="20"/>
        </w:rPr>
        <w:t xml:space="preserve">Tem seis anos de experiência no trabalho com as comunidades indígenas da Costa Atlântica na Nicarágua e </w:t>
      </w:r>
      <w:r w:rsidR="00E72C1A">
        <w:rPr>
          <w:rFonts w:ascii="Verdana" w:hAnsi="Verdana"/>
          <w:sz w:val="20"/>
        </w:rPr>
        <w:t>prestou</w:t>
      </w:r>
      <w:r w:rsidR="00E72C1A" w:rsidRPr="002818E7">
        <w:rPr>
          <w:rFonts w:ascii="Verdana" w:hAnsi="Verdana"/>
          <w:sz w:val="20"/>
        </w:rPr>
        <w:t xml:space="preserve"> </w:t>
      </w:r>
      <w:r w:rsidRPr="002818E7">
        <w:rPr>
          <w:rFonts w:ascii="Verdana" w:hAnsi="Verdana"/>
          <w:sz w:val="20"/>
        </w:rPr>
        <w:t xml:space="preserve">assessoria </w:t>
      </w:r>
      <w:r w:rsidR="00BD19C3">
        <w:rPr>
          <w:rFonts w:ascii="Verdana" w:hAnsi="Verdana"/>
          <w:sz w:val="20"/>
        </w:rPr>
        <w:t xml:space="preserve">jurídica </w:t>
      </w:r>
      <w:r w:rsidRPr="002818E7">
        <w:rPr>
          <w:rFonts w:ascii="Verdana" w:hAnsi="Verdana"/>
          <w:sz w:val="20"/>
        </w:rPr>
        <w:t>às comunidades indígenas dos diferentes territórios na RAAN, tanto no Município de Puerto Cabezas como em Waspam. É Miskita indígena e sua língua materna é o miskito, o qu</w:t>
      </w:r>
      <w:r w:rsidR="00BD19C3">
        <w:rPr>
          <w:rFonts w:ascii="Verdana" w:hAnsi="Verdana"/>
          <w:sz w:val="20"/>
        </w:rPr>
        <w:t>e</w:t>
      </w:r>
      <w:r w:rsidRPr="002818E7">
        <w:rPr>
          <w:rFonts w:ascii="Verdana" w:hAnsi="Verdana"/>
          <w:sz w:val="20"/>
        </w:rPr>
        <w:t xml:space="preserve"> lhe dá alguma possibilidade de entender os fen</w:t>
      </w:r>
      <w:r>
        <w:rPr>
          <w:rFonts w:ascii="Verdana" w:hAnsi="Verdana"/>
          <w:sz w:val="20"/>
        </w:rPr>
        <w:t>ô</w:t>
      </w:r>
      <w:r w:rsidRPr="002818E7">
        <w:rPr>
          <w:rFonts w:ascii="Verdana" w:hAnsi="Verdana"/>
          <w:sz w:val="20"/>
        </w:rPr>
        <w:t>menos desta comunidade.</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b/>
          <w:sz w:val="20"/>
        </w:rPr>
      </w:pPr>
      <w:r w:rsidRPr="002818E7">
        <w:rPr>
          <w:rFonts w:ascii="Verdana" w:hAnsi="Verdana"/>
          <w:sz w:val="20"/>
        </w:rPr>
        <w:lastRenderedPageBreak/>
        <w:t>No funcionamento do sistema judicial em seu país, as comunidades indígenas enfrentam problemas pela falta de harmonia do direito positivo com o direito consuetudinário e a demora da justiça. O uso exclusivo do idioma espanhol nos processos judiciais constitui outra dificuldade</w:t>
      </w:r>
      <w:r>
        <w:rPr>
          <w:rFonts w:ascii="Verdana" w:hAnsi="Verdana"/>
          <w:sz w:val="20"/>
        </w:rPr>
        <w:t>.</w:t>
      </w:r>
      <w:r w:rsidRPr="002818E7">
        <w:rPr>
          <w:rFonts w:ascii="Verdana" w:hAnsi="Verdana"/>
          <w:sz w:val="20"/>
        </w:rPr>
        <w:t xml:space="preserve"> </w:t>
      </w:r>
      <w:r>
        <w:rPr>
          <w:rFonts w:ascii="Verdana" w:hAnsi="Verdana"/>
          <w:sz w:val="20"/>
        </w:rPr>
        <w:t>E</w:t>
      </w:r>
      <w:r w:rsidRPr="002818E7">
        <w:rPr>
          <w:rFonts w:ascii="Verdana" w:hAnsi="Verdana"/>
          <w:sz w:val="20"/>
        </w:rPr>
        <w:t>xiste uma lei de línguas que estabelece que as línguas dos povos indígenas e comunidades étnicas são de uso oficial nas regiões autônomas, mas os juízes não nomeiam tradutores nem intérpretes para os membros dos povos indígenas.</w:t>
      </w:r>
      <w:r w:rsidRPr="002818E7">
        <w:rPr>
          <w:rFonts w:ascii="Verdana" w:hAnsi="Verdana"/>
          <w:b/>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A Constituição da Nicarágua consagra o direito de propriedade das comunidades</w:t>
      </w:r>
      <w:r>
        <w:rPr>
          <w:rFonts w:ascii="Verdana" w:hAnsi="Verdana"/>
          <w:sz w:val="20"/>
        </w:rPr>
        <w:t xml:space="preserve"> indígenas. O</w:t>
      </w:r>
      <w:r w:rsidRPr="002818E7">
        <w:rPr>
          <w:rFonts w:ascii="Verdana" w:hAnsi="Verdana"/>
          <w:sz w:val="20"/>
        </w:rPr>
        <w:t xml:space="preserve">s artigos 5, 89 e 180 </w:t>
      </w:r>
      <w:r w:rsidR="00AA1CD7">
        <w:rPr>
          <w:rFonts w:ascii="Verdana" w:hAnsi="Verdana"/>
          <w:sz w:val="20"/>
        </w:rPr>
        <w:t>da</w:t>
      </w:r>
      <w:r w:rsidRPr="002818E7">
        <w:rPr>
          <w:rFonts w:ascii="Verdana" w:hAnsi="Verdana"/>
          <w:sz w:val="20"/>
        </w:rPr>
        <w:t xml:space="preserve"> Constituição reconhecem o direito de propriedade e estabelecem também garantias sobre estes direitos dos povos indígenas diretamente e sem necessidade de qualificação posterior.</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Quanto </w:t>
      </w:r>
      <w:r>
        <w:rPr>
          <w:rFonts w:ascii="Verdana" w:hAnsi="Verdana"/>
          <w:sz w:val="20"/>
        </w:rPr>
        <w:t>a</w:t>
      </w:r>
      <w:r w:rsidRPr="002818E7">
        <w:rPr>
          <w:rFonts w:ascii="Verdana" w:hAnsi="Verdana"/>
          <w:sz w:val="20"/>
        </w:rPr>
        <w:t>os recursos internos na legislação da Nicarágua, o único recurso existe</w:t>
      </w:r>
      <w:r w:rsidR="00AA1CD7">
        <w:rPr>
          <w:rFonts w:ascii="Verdana" w:hAnsi="Verdana"/>
          <w:sz w:val="20"/>
        </w:rPr>
        <w:t>nte</w:t>
      </w:r>
      <w:r w:rsidRPr="002818E7">
        <w:rPr>
          <w:rFonts w:ascii="Verdana" w:hAnsi="Verdana"/>
          <w:sz w:val="20"/>
        </w:rPr>
        <w:t xml:space="preserve"> é </w:t>
      </w:r>
      <w:r>
        <w:rPr>
          <w:rFonts w:ascii="Verdana" w:hAnsi="Verdana"/>
          <w:sz w:val="20"/>
        </w:rPr>
        <w:t xml:space="preserve">o </w:t>
      </w:r>
      <w:r w:rsidRPr="002818E7">
        <w:rPr>
          <w:rFonts w:ascii="Verdana" w:hAnsi="Verdana"/>
          <w:sz w:val="20"/>
        </w:rPr>
        <w:t>de amparo. Segundo 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49, Lei de Ampar</w:t>
      </w:r>
      <w:r w:rsidR="005F0D1A">
        <w:rPr>
          <w:rFonts w:ascii="Verdana" w:hAnsi="Verdana"/>
          <w:sz w:val="20"/>
        </w:rPr>
        <w:t xml:space="preserve">o, as comunidades indígenas têm </w:t>
      </w:r>
      <w:r w:rsidRPr="002818E7">
        <w:rPr>
          <w:rFonts w:ascii="Verdana" w:hAnsi="Verdana"/>
          <w:sz w:val="20"/>
        </w:rPr>
        <w:t xml:space="preserve">que </w:t>
      </w:r>
      <w:r w:rsidRPr="005F0D1A">
        <w:rPr>
          <w:rFonts w:ascii="Verdana" w:hAnsi="Verdana"/>
          <w:sz w:val="20"/>
        </w:rPr>
        <w:t>recorrer</w:t>
      </w:r>
      <w:r w:rsidRPr="002818E7">
        <w:rPr>
          <w:rFonts w:ascii="Verdana" w:hAnsi="Verdana"/>
          <w:sz w:val="20"/>
        </w:rPr>
        <w:t xml:space="preserve"> </w:t>
      </w:r>
      <w:r>
        <w:rPr>
          <w:rFonts w:ascii="Verdana" w:hAnsi="Verdana"/>
          <w:sz w:val="20"/>
        </w:rPr>
        <w:t>per</w:t>
      </w:r>
      <w:r w:rsidRPr="002818E7">
        <w:rPr>
          <w:rFonts w:ascii="Verdana" w:hAnsi="Verdana"/>
          <w:sz w:val="20"/>
        </w:rPr>
        <w:t>ante o Tribunal de Apelação para interpor esse recurso.</w:t>
      </w:r>
      <w:r w:rsidRPr="002818E7">
        <w:rPr>
          <w:rFonts w:ascii="Verdana" w:hAnsi="Verdana"/>
          <w:b/>
          <w:sz w:val="20"/>
        </w:rPr>
        <w:t xml:space="preserve"> </w:t>
      </w:r>
      <w:r w:rsidRPr="002818E7">
        <w:rPr>
          <w:rFonts w:ascii="Verdana" w:hAnsi="Verdana"/>
          <w:sz w:val="20"/>
        </w:rPr>
        <w:t xml:space="preserve">Esta lei indica que o recurso de amparo será interposto </w:t>
      </w:r>
      <w:r>
        <w:rPr>
          <w:rFonts w:ascii="Verdana" w:hAnsi="Verdana"/>
          <w:sz w:val="20"/>
        </w:rPr>
        <w:t>per</w:t>
      </w:r>
      <w:r w:rsidRPr="002818E7">
        <w:rPr>
          <w:rFonts w:ascii="Verdana" w:hAnsi="Verdana"/>
          <w:sz w:val="20"/>
        </w:rPr>
        <w:t>ante o Tribunal de Apelação, o qual “conhece das primeiras atuações até o ato de suspensão e</w:t>
      </w:r>
      <w:r w:rsidR="00BD19C3">
        <w:rPr>
          <w:rFonts w:ascii="Verdana" w:hAnsi="Verdana"/>
          <w:sz w:val="20"/>
        </w:rPr>
        <w:t>,</w:t>
      </w:r>
      <w:r w:rsidRPr="002818E7">
        <w:rPr>
          <w:rFonts w:ascii="Verdana" w:hAnsi="Verdana"/>
          <w:sz w:val="20"/>
        </w:rPr>
        <w:t xml:space="preserve"> posteriormente</w:t>
      </w:r>
      <w:r w:rsidR="00BD19C3">
        <w:rPr>
          <w:rFonts w:ascii="Verdana" w:hAnsi="Verdana"/>
          <w:sz w:val="20"/>
        </w:rPr>
        <w:t>,</w:t>
      </w:r>
      <w:r w:rsidRPr="002818E7">
        <w:rPr>
          <w:rFonts w:ascii="Verdana" w:hAnsi="Verdana"/>
          <w:sz w:val="20"/>
        </w:rPr>
        <w:t xml:space="preserve"> a Corte Suprema de Justiça</w:t>
      </w:r>
      <w:r w:rsidR="00BD19C3">
        <w:rPr>
          <w:rFonts w:ascii="Verdana" w:hAnsi="Verdana"/>
          <w:sz w:val="20"/>
        </w:rPr>
        <w:t xml:space="preserve"> </w:t>
      </w:r>
      <w:r w:rsidR="00BD19C3" w:rsidRPr="002818E7">
        <w:rPr>
          <w:rFonts w:ascii="Verdana" w:hAnsi="Verdana"/>
          <w:sz w:val="20"/>
        </w:rPr>
        <w:t>conhecerá</w:t>
      </w:r>
      <w:r w:rsidRPr="002818E7">
        <w:rPr>
          <w:rFonts w:ascii="Verdana" w:hAnsi="Verdana"/>
          <w:sz w:val="20"/>
        </w:rPr>
        <w:t xml:space="preserve"> </w:t>
      </w:r>
      <w:r>
        <w:rPr>
          <w:rFonts w:ascii="Verdana" w:hAnsi="Verdana"/>
          <w:sz w:val="20"/>
        </w:rPr>
        <w:t>d</w:t>
      </w:r>
      <w:r w:rsidRPr="002818E7">
        <w:rPr>
          <w:rFonts w:ascii="Verdana" w:hAnsi="Verdana"/>
          <w:sz w:val="20"/>
        </w:rPr>
        <w:t>a parte ulterior até a resolução definitiva”.</w:t>
      </w:r>
      <w:r w:rsidRPr="002818E7">
        <w:rPr>
          <w:rFonts w:ascii="Verdana" w:hAnsi="Verdana"/>
          <w:b/>
          <w:sz w:val="20"/>
        </w:rPr>
        <w:t xml:space="preserve"> </w:t>
      </w:r>
    </w:p>
    <w:p w:rsidR="00C336FB" w:rsidRPr="002818E7" w:rsidRDefault="00C336FB" w:rsidP="00C336FB">
      <w:pPr>
        <w:jc w:val="both"/>
        <w:rPr>
          <w:rFonts w:ascii="Verdana" w:hAnsi="Verdana"/>
          <w:sz w:val="20"/>
        </w:rPr>
      </w:pPr>
    </w:p>
    <w:p w:rsidR="00C336FB" w:rsidRPr="002818E7" w:rsidRDefault="00C336FB" w:rsidP="00C336FB">
      <w:pPr>
        <w:tabs>
          <w:tab w:val="left" w:pos="3119"/>
        </w:tabs>
        <w:jc w:val="both"/>
        <w:rPr>
          <w:rFonts w:ascii="Verdana" w:hAnsi="Verdana"/>
          <w:sz w:val="20"/>
        </w:rPr>
      </w:pPr>
      <w:r w:rsidRPr="002818E7">
        <w:rPr>
          <w:rFonts w:ascii="Verdana" w:hAnsi="Verdana"/>
          <w:sz w:val="20"/>
        </w:rPr>
        <w:t xml:space="preserve">As populações indígenas têm utilizado muito pouco o recurso de amparo porque antigamente na RAAN não tinham tribunal de apelações, o qual </w:t>
      </w:r>
      <w:r>
        <w:rPr>
          <w:rFonts w:ascii="Verdana" w:hAnsi="Verdana"/>
          <w:sz w:val="20"/>
        </w:rPr>
        <w:t>foi criado</w:t>
      </w:r>
      <w:r w:rsidRPr="002818E7">
        <w:rPr>
          <w:rFonts w:ascii="Verdana" w:hAnsi="Verdana"/>
          <w:sz w:val="20"/>
        </w:rPr>
        <w:t xml:space="preserve"> </w:t>
      </w:r>
      <w:r w:rsidR="00BD19C3" w:rsidRPr="002818E7">
        <w:rPr>
          <w:rFonts w:ascii="Verdana" w:hAnsi="Verdana"/>
          <w:sz w:val="20"/>
        </w:rPr>
        <w:t xml:space="preserve">somente </w:t>
      </w:r>
      <w:r w:rsidRPr="002818E7">
        <w:rPr>
          <w:rFonts w:ascii="Verdana" w:hAnsi="Verdana"/>
          <w:sz w:val="20"/>
        </w:rPr>
        <w:t>em 1999.</w:t>
      </w:r>
      <w:r w:rsidRPr="002818E7">
        <w:rPr>
          <w:rFonts w:ascii="Verdana" w:hAnsi="Verdana"/>
          <w:b/>
          <w:sz w:val="20"/>
        </w:rPr>
        <w:t xml:space="preserve"> </w:t>
      </w:r>
      <w:r w:rsidRPr="002818E7">
        <w:rPr>
          <w:rFonts w:ascii="Verdana" w:hAnsi="Verdana"/>
          <w:sz w:val="20"/>
        </w:rPr>
        <w:t xml:space="preserve">Em 1982 foi criado o Tribunal de Apelação no Departamento de Matagalpa, que se encontra muito longe da Comunidade Awas Tingni e de outras comunidades indígenas, </w:t>
      </w:r>
      <w:r w:rsidR="00243DA4">
        <w:rPr>
          <w:rFonts w:ascii="Verdana" w:hAnsi="Verdana"/>
          <w:sz w:val="20"/>
        </w:rPr>
        <w:t>de maneira que</w:t>
      </w:r>
      <w:r w:rsidRPr="002818E7">
        <w:rPr>
          <w:rFonts w:ascii="Verdana" w:hAnsi="Verdana"/>
          <w:sz w:val="20"/>
        </w:rPr>
        <w:t xml:space="preserve"> as comunidades tinham que se trasladar –</w:t>
      </w:r>
      <w:r>
        <w:rPr>
          <w:rFonts w:ascii="Verdana" w:hAnsi="Verdana"/>
          <w:sz w:val="20"/>
        </w:rPr>
        <w:t xml:space="preserve"> </w:t>
      </w:r>
      <w:r w:rsidRPr="002818E7">
        <w:rPr>
          <w:rFonts w:ascii="Verdana" w:hAnsi="Verdana"/>
          <w:sz w:val="20"/>
        </w:rPr>
        <w:t>porque não há outra forma</w:t>
      </w:r>
      <w:r>
        <w:rPr>
          <w:rFonts w:ascii="Verdana" w:hAnsi="Verdana"/>
          <w:sz w:val="20"/>
        </w:rPr>
        <w:t xml:space="preserve"> –</w:t>
      </w:r>
      <w:r w:rsidRPr="002818E7">
        <w:rPr>
          <w:rFonts w:ascii="Verdana" w:hAnsi="Verdana"/>
          <w:sz w:val="20"/>
        </w:rPr>
        <w:t xml:space="preserve"> para Bilwi, depois para a capital da Nicarágua e finalmente par</w:t>
      </w:r>
      <w:r>
        <w:rPr>
          <w:rFonts w:ascii="Verdana" w:hAnsi="Verdana"/>
          <w:sz w:val="20"/>
        </w:rPr>
        <w:t xml:space="preserve">a Matagalpa. </w:t>
      </w:r>
      <w:r w:rsidRPr="002818E7">
        <w:rPr>
          <w:rFonts w:ascii="Verdana" w:hAnsi="Verdana"/>
          <w:sz w:val="20"/>
        </w:rPr>
        <w:t>Demoravam três dias para interpor o recurso.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A Comunidade Awas Tingni apresentou um recurso de amparo em 12 de setembro de 1995, a respeito </w:t>
      </w:r>
      <w:r>
        <w:rPr>
          <w:rFonts w:ascii="Verdana" w:hAnsi="Verdana"/>
          <w:sz w:val="20"/>
        </w:rPr>
        <w:t>d</w:t>
      </w:r>
      <w:r w:rsidRPr="002818E7">
        <w:rPr>
          <w:rFonts w:ascii="Verdana" w:hAnsi="Verdana"/>
          <w:sz w:val="20"/>
        </w:rPr>
        <w:t xml:space="preserve">o qual houve demora </w:t>
      </w:r>
      <w:r w:rsidR="00AA1CD7">
        <w:rPr>
          <w:rFonts w:ascii="Verdana" w:hAnsi="Verdana"/>
          <w:sz w:val="20"/>
        </w:rPr>
        <w:t>judicial</w:t>
      </w:r>
      <w:r>
        <w:rPr>
          <w:rFonts w:ascii="Verdana" w:hAnsi="Verdana"/>
          <w:sz w:val="20"/>
        </w:rPr>
        <w:t xml:space="preserve">. </w:t>
      </w:r>
      <w:r w:rsidRPr="002818E7">
        <w:rPr>
          <w:rFonts w:ascii="Verdana" w:hAnsi="Verdana"/>
          <w:sz w:val="20"/>
        </w:rPr>
        <w:t xml:space="preserve">A lei estabelece um prazo de cinco dias para que o Tribunal </w:t>
      </w:r>
      <w:r>
        <w:rPr>
          <w:rFonts w:ascii="Verdana" w:hAnsi="Verdana"/>
          <w:sz w:val="20"/>
        </w:rPr>
        <w:t>per</w:t>
      </w:r>
      <w:r w:rsidRPr="002818E7">
        <w:rPr>
          <w:rFonts w:ascii="Verdana" w:hAnsi="Verdana"/>
          <w:sz w:val="20"/>
        </w:rPr>
        <w:t>ante o qu</w:t>
      </w:r>
      <w:r w:rsidR="00BD19C3">
        <w:rPr>
          <w:rFonts w:ascii="Verdana" w:hAnsi="Verdana"/>
          <w:sz w:val="20"/>
        </w:rPr>
        <w:t>al</w:t>
      </w:r>
      <w:r w:rsidRPr="002818E7">
        <w:rPr>
          <w:rFonts w:ascii="Verdana" w:hAnsi="Verdana"/>
          <w:sz w:val="20"/>
        </w:rPr>
        <w:t xml:space="preserve"> se </w:t>
      </w:r>
      <w:proofErr w:type="gramStart"/>
      <w:r>
        <w:rPr>
          <w:rFonts w:ascii="Verdana" w:hAnsi="Verdana"/>
          <w:sz w:val="20"/>
        </w:rPr>
        <w:t>a</w:t>
      </w:r>
      <w:r w:rsidRPr="002818E7">
        <w:rPr>
          <w:rFonts w:ascii="Verdana" w:hAnsi="Verdana"/>
          <w:sz w:val="20"/>
        </w:rPr>
        <w:t>presenta</w:t>
      </w:r>
      <w:proofErr w:type="gramEnd"/>
      <w:r w:rsidRPr="002818E7">
        <w:rPr>
          <w:rFonts w:ascii="Verdana" w:hAnsi="Verdana"/>
          <w:sz w:val="20"/>
        </w:rPr>
        <w:t xml:space="preserve"> o recurso decida se o aceita ou recusa</w:t>
      </w:r>
      <w:r w:rsidRPr="00260466">
        <w:rPr>
          <w:rFonts w:ascii="Verdana" w:hAnsi="Verdana"/>
          <w:sz w:val="20"/>
        </w:rPr>
        <w:t>,</w:t>
      </w:r>
      <w:r w:rsidRPr="002818E7">
        <w:rPr>
          <w:rFonts w:ascii="Verdana" w:hAnsi="Verdana"/>
          <w:sz w:val="20"/>
        </w:rPr>
        <w:t xml:space="preserve"> e </w:t>
      </w:r>
      <w:r w:rsidR="00C24835">
        <w:rPr>
          <w:rFonts w:ascii="Verdana" w:hAnsi="Verdana"/>
          <w:sz w:val="20"/>
        </w:rPr>
        <w:t>envie</w:t>
      </w:r>
      <w:r w:rsidRPr="002818E7">
        <w:rPr>
          <w:rFonts w:ascii="Verdana" w:hAnsi="Verdana"/>
          <w:sz w:val="20"/>
        </w:rPr>
        <w:t xml:space="preserve"> depois o recurso à Corte Suprema de Justiça da Nicarágua, a qual deve resolvê-lo em 45 dias. O recurso apresentado p</w:t>
      </w:r>
      <w:r>
        <w:rPr>
          <w:rFonts w:ascii="Verdana" w:hAnsi="Verdana"/>
          <w:sz w:val="20"/>
        </w:rPr>
        <w:t>ela</w:t>
      </w:r>
      <w:r w:rsidRPr="002818E7">
        <w:rPr>
          <w:rFonts w:ascii="Verdana" w:hAnsi="Verdana"/>
          <w:sz w:val="20"/>
        </w:rPr>
        <w:t xml:space="preserve"> Awas Tingni não foi resolvido dentro dos 45 dias, mas foi decidido quase dois anos depois, em 27 de fevereiro de 1997, sem </w:t>
      </w:r>
      <w:r>
        <w:rPr>
          <w:rFonts w:ascii="Verdana" w:hAnsi="Verdana"/>
          <w:sz w:val="20"/>
        </w:rPr>
        <w:t>que fossem respondidas as</w:t>
      </w:r>
      <w:r w:rsidRPr="002818E7">
        <w:rPr>
          <w:rFonts w:ascii="Verdana" w:hAnsi="Verdana"/>
          <w:sz w:val="20"/>
        </w:rPr>
        <w:t xml:space="preserve"> pretensões dos peticionários.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Depois </w:t>
      </w:r>
      <w:r>
        <w:rPr>
          <w:rFonts w:ascii="Verdana" w:hAnsi="Verdana"/>
          <w:sz w:val="20"/>
        </w:rPr>
        <w:t>foi apresentado</w:t>
      </w:r>
      <w:r w:rsidRPr="002818E7">
        <w:rPr>
          <w:rFonts w:ascii="Verdana" w:hAnsi="Verdana"/>
          <w:sz w:val="20"/>
        </w:rPr>
        <w:t xml:space="preserve"> um segundo recurso de amparo</w:t>
      </w:r>
      <w:r w:rsidR="00C173FC">
        <w:rPr>
          <w:rFonts w:ascii="Verdana" w:hAnsi="Verdana"/>
          <w:sz w:val="20"/>
        </w:rPr>
        <w:t xml:space="preserve"> (mandado de segurança)</w:t>
      </w:r>
      <w:r w:rsidRPr="002818E7">
        <w:rPr>
          <w:rFonts w:ascii="Verdana" w:hAnsi="Verdana"/>
          <w:sz w:val="20"/>
        </w:rPr>
        <w:t xml:space="preserve">, </w:t>
      </w:r>
      <w:r w:rsidR="00C173FC">
        <w:rPr>
          <w:rFonts w:ascii="Verdana" w:hAnsi="Verdana"/>
          <w:sz w:val="20"/>
        </w:rPr>
        <w:t xml:space="preserve">pois o primeiro havia sido </w:t>
      </w:r>
      <w:r w:rsidRPr="002818E7">
        <w:rPr>
          <w:rFonts w:ascii="Verdana" w:hAnsi="Verdana"/>
          <w:sz w:val="20"/>
        </w:rPr>
        <w:t>recusado</w:t>
      </w:r>
      <w:r w:rsidRPr="00260466">
        <w:rPr>
          <w:rFonts w:ascii="Verdana" w:hAnsi="Verdana"/>
          <w:sz w:val="20"/>
        </w:rPr>
        <w:t>,</w:t>
      </w:r>
      <w:r>
        <w:rPr>
          <w:rFonts w:ascii="Verdana" w:hAnsi="Verdana"/>
          <w:sz w:val="20"/>
        </w:rPr>
        <w:t xml:space="preserve"> </w:t>
      </w:r>
      <w:r w:rsidRPr="002818E7">
        <w:rPr>
          <w:rFonts w:ascii="Verdana" w:hAnsi="Verdana"/>
          <w:sz w:val="20"/>
        </w:rPr>
        <w:t>não com base na titulação de terras, mas em função de outras causas</w:t>
      </w:r>
      <w:r w:rsidRPr="002818E7">
        <w:rPr>
          <w:rFonts w:ascii="Verdana" w:hAnsi="Verdana"/>
          <w:b/>
          <w:sz w:val="20"/>
        </w:rPr>
        <w:t xml:space="preserve">, </w:t>
      </w:r>
      <w:r w:rsidRPr="002818E7">
        <w:rPr>
          <w:rFonts w:ascii="Verdana" w:hAnsi="Verdana"/>
          <w:sz w:val="20"/>
        </w:rPr>
        <w:t xml:space="preserve">como não </w:t>
      </w:r>
      <w:r w:rsidR="00C173FC">
        <w:rPr>
          <w:rFonts w:ascii="Verdana" w:hAnsi="Verdana"/>
          <w:sz w:val="20"/>
        </w:rPr>
        <w:t>terem consultado o</w:t>
      </w:r>
      <w:r w:rsidRPr="002818E7">
        <w:rPr>
          <w:rFonts w:ascii="Verdana" w:hAnsi="Verdana"/>
          <w:sz w:val="20"/>
        </w:rPr>
        <w:t xml:space="preserve"> Conselho Regional da RAAN</w:t>
      </w:r>
      <w:r w:rsidR="00C173FC">
        <w:rPr>
          <w:rFonts w:ascii="Verdana" w:hAnsi="Verdana"/>
          <w:sz w:val="20"/>
        </w:rPr>
        <w:t xml:space="preserve">. Além disso, nesse segundo recurso pediram a suspensão da concessão outorgada à SOLCARSA, o que foi aceito.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A Corte acolheu o recurso de inconstitucionalidade</w:t>
      </w:r>
      <w:r w:rsidRPr="00A14257">
        <w:rPr>
          <w:rFonts w:ascii="Verdana" w:hAnsi="Verdana"/>
          <w:sz w:val="20"/>
        </w:rPr>
        <w:t>,</w:t>
      </w:r>
      <w:r w:rsidRPr="002818E7">
        <w:rPr>
          <w:rFonts w:ascii="Verdana" w:hAnsi="Verdana"/>
          <w:sz w:val="20"/>
        </w:rPr>
        <w:t xml:space="preserve"> porque a aprovação não havia sido </w:t>
      </w:r>
      <w:r w:rsidR="00AA1CD7">
        <w:rPr>
          <w:rFonts w:ascii="Verdana" w:hAnsi="Verdana"/>
          <w:sz w:val="20"/>
        </w:rPr>
        <w:t>realizada pelo Conselho em plenário</w:t>
      </w:r>
      <w:r w:rsidRPr="002818E7">
        <w:rPr>
          <w:rFonts w:ascii="Verdana" w:hAnsi="Verdana"/>
          <w:sz w:val="20"/>
        </w:rPr>
        <w:t xml:space="preserve">. Assim, a Corte da Nicarágua disse que </w:t>
      </w:r>
      <w:r w:rsidR="006C5090">
        <w:rPr>
          <w:rFonts w:ascii="Verdana" w:hAnsi="Verdana"/>
          <w:sz w:val="20"/>
        </w:rPr>
        <w:t>estava em ordem</w:t>
      </w:r>
      <w:r w:rsidRPr="002818E7">
        <w:rPr>
          <w:rFonts w:ascii="Verdana" w:hAnsi="Verdana"/>
          <w:sz w:val="20"/>
        </w:rPr>
        <w:t xml:space="preserve"> </w:t>
      </w:r>
      <w:r>
        <w:rPr>
          <w:rFonts w:ascii="Verdana" w:hAnsi="Verdana"/>
          <w:sz w:val="20"/>
        </w:rPr>
        <w:t>a</w:t>
      </w:r>
      <w:r w:rsidRPr="002818E7">
        <w:rPr>
          <w:rFonts w:ascii="Verdana" w:hAnsi="Verdana"/>
          <w:sz w:val="20"/>
        </w:rPr>
        <w:t xml:space="preserve"> petição de inconstitucionalidade e anulou a concessão no ano de 1997.</w:t>
      </w:r>
      <w:r w:rsidR="00850A3F">
        <w:rPr>
          <w:rFonts w:ascii="Verdana" w:hAnsi="Verdana"/>
          <w:sz w:val="20"/>
        </w:rPr>
        <w:t xml:space="preserve"> </w:t>
      </w:r>
      <w:r w:rsidRPr="002818E7">
        <w:rPr>
          <w:rFonts w:ascii="Verdana" w:hAnsi="Verdana"/>
          <w:sz w:val="20"/>
        </w:rPr>
        <w:t>Uma vez declarad</w:t>
      </w:r>
      <w:r>
        <w:rPr>
          <w:rFonts w:ascii="Verdana" w:hAnsi="Verdana"/>
          <w:sz w:val="20"/>
        </w:rPr>
        <w:t xml:space="preserve">a </w:t>
      </w:r>
      <w:proofErr w:type="gramStart"/>
      <w:r>
        <w:rPr>
          <w:rFonts w:ascii="Verdana" w:hAnsi="Verdana"/>
          <w:sz w:val="20"/>
        </w:rPr>
        <w:t>a</w:t>
      </w:r>
      <w:proofErr w:type="gramEnd"/>
      <w:r w:rsidR="00610D71">
        <w:rPr>
          <w:rFonts w:ascii="Verdana" w:hAnsi="Verdana"/>
          <w:sz w:val="20"/>
        </w:rPr>
        <w:t xml:space="preserve"> inconstitucionalidade</w:t>
      </w:r>
      <w:r>
        <w:rPr>
          <w:rFonts w:ascii="Verdana" w:hAnsi="Verdana"/>
          <w:sz w:val="20"/>
        </w:rPr>
        <w:t xml:space="preserve">, </w:t>
      </w:r>
      <w:r w:rsidRPr="002818E7">
        <w:rPr>
          <w:rFonts w:ascii="Verdana" w:hAnsi="Verdana"/>
          <w:sz w:val="20"/>
        </w:rPr>
        <w:t xml:space="preserve">o Conselho Regional </w:t>
      </w:r>
      <w:r w:rsidR="00BD19C3">
        <w:rPr>
          <w:rFonts w:ascii="Verdana" w:hAnsi="Verdana"/>
          <w:sz w:val="20"/>
        </w:rPr>
        <w:t xml:space="preserve">se </w:t>
      </w:r>
      <w:r w:rsidRPr="002818E7">
        <w:rPr>
          <w:rFonts w:ascii="Verdana" w:hAnsi="Verdana"/>
          <w:sz w:val="20"/>
        </w:rPr>
        <w:t>reuniu e ratificou a concessão.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A lei na Nicarágua a respeito do cumprimento das decisões da Corte Suprema em recursos de amparo</w:t>
      </w:r>
      <w:proofErr w:type="gramStart"/>
      <w:r w:rsidRPr="002818E7">
        <w:rPr>
          <w:rFonts w:ascii="Verdana" w:hAnsi="Verdana"/>
          <w:sz w:val="20"/>
        </w:rPr>
        <w:t>, indica</w:t>
      </w:r>
      <w:proofErr w:type="gramEnd"/>
      <w:r w:rsidRPr="002818E7">
        <w:rPr>
          <w:rFonts w:ascii="Verdana" w:hAnsi="Verdana"/>
          <w:sz w:val="20"/>
        </w:rPr>
        <w:t xml:space="preserve"> que devem ser feit</w:t>
      </w:r>
      <w:r>
        <w:rPr>
          <w:rFonts w:ascii="Verdana" w:hAnsi="Verdana"/>
          <w:sz w:val="20"/>
        </w:rPr>
        <w:t>o</w:t>
      </w:r>
      <w:r w:rsidRPr="002818E7">
        <w:rPr>
          <w:rFonts w:ascii="Verdana" w:hAnsi="Verdana"/>
          <w:sz w:val="20"/>
        </w:rPr>
        <w:t>s em 24 horas.</w:t>
      </w:r>
      <w:r w:rsidR="00850A3F">
        <w:rPr>
          <w:rFonts w:ascii="Verdana" w:hAnsi="Verdana"/>
          <w:sz w:val="20"/>
        </w:rPr>
        <w:t xml:space="preserve"> </w:t>
      </w:r>
      <w:r w:rsidRPr="002818E7">
        <w:rPr>
          <w:rFonts w:ascii="Verdana" w:hAnsi="Verdana"/>
          <w:sz w:val="20"/>
        </w:rPr>
        <w:t xml:space="preserve">Entretanto, a decisão da Corte Suprema sobre o recurso ao que </w:t>
      </w:r>
      <w:r w:rsidR="00BD19C3">
        <w:rPr>
          <w:rFonts w:ascii="Verdana" w:hAnsi="Verdana"/>
          <w:sz w:val="20"/>
        </w:rPr>
        <w:t xml:space="preserve">foi feita </w:t>
      </w:r>
      <w:r w:rsidRPr="002818E7">
        <w:rPr>
          <w:rFonts w:ascii="Verdana" w:hAnsi="Verdana"/>
          <w:sz w:val="20"/>
        </w:rPr>
        <w:t xml:space="preserve">referência não se cumpriu dentro deste tempo, mas </w:t>
      </w:r>
      <w:r w:rsidR="00BD19C3">
        <w:rPr>
          <w:rFonts w:ascii="Verdana" w:hAnsi="Verdana"/>
          <w:sz w:val="20"/>
        </w:rPr>
        <w:t xml:space="preserve">em </w:t>
      </w:r>
      <w:r w:rsidRPr="002818E7">
        <w:rPr>
          <w:rFonts w:ascii="Verdana" w:hAnsi="Verdana"/>
          <w:sz w:val="20"/>
        </w:rPr>
        <w:t>aproximadamente um ano.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lastRenderedPageBreak/>
        <w:t xml:space="preserve">Enquanto estava pendente o cumprimento da ordem da Corte Suprema da Nicarágua, a testemunha ficou sabendo que </w:t>
      </w:r>
      <w:r w:rsidR="00BD19C3">
        <w:rPr>
          <w:rFonts w:ascii="Verdana" w:hAnsi="Verdana"/>
          <w:sz w:val="20"/>
        </w:rPr>
        <w:t xml:space="preserve">a companhia </w:t>
      </w:r>
      <w:r>
        <w:rPr>
          <w:rFonts w:ascii="Verdana" w:hAnsi="Verdana"/>
          <w:sz w:val="20"/>
        </w:rPr>
        <w:t xml:space="preserve">foi multada </w:t>
      </w:r>
      <w:r w:rsidRPr="002818E7">
        <w:rPr>
          <w:rFonts w:ascii="Verdana" w:hAnsi="Verdana"/>
          <w:sz w:val="20"/>
        </w:rPr>
        <w:t>pelo corte de árvores de madeiras preciosas, entre outras co</w:t>
      </w:r>
      <w:r>
        <w:rPr>
          <w:rFonts w:ascii="Verdana" w:hAnsi="Verdana"/>
          <w:sz w:val="20"/>
        </w:rPr>
        <w:t>i</w:t>
      </w:r>
      <w:r w:rsidRPr="002818E7">
        <w:rPr>
          <w:rFonts w:ascii="Verdana" w:hAnsi="Verdana"/>
          <w:sz w:val="20"/>
        </w:rPr>
        <w:t xml:space="preserve">sas. A </w:t>
      </w:r>
      <w:r>
        <w:rPr>
          <w:rFonts w:ascii="Verdana" w:hAnsi="Verdana"/>
          <w:sz w:val="20"/>
        </w:rPr>
        <w:t>multa</w:t>
      </w:r>
      <w:r w:rsidRPr="002818E7">
        <w:rPr>
          <w:rFonts w:ascii="Verdana" w:hAnsi="Verdana"/>
          <w:sz w:val="20"/>
        </w:rPr>
        <w:t xml:space="preserve"> foi de 1.000.000,00 </w:t>
      </w:r>
      <w:r>
        <w:rPr>
          <w:rFonts w:ascii="Verdana" w:hAnsi="Verdana"/>
          <w:sz w:val="20"/>
        </w:rPr>
        <w:t>de</w:t>
      </w:r>
      <w:r w:rsidRPr="002818E7">
        <w:rPr>
          <w:rFonts w:ascii="Verdana" w:hAnsi="Verdana"/>
          <w:sz w:val="20"/>
        </w:rPr>
        <w:t xml:space="preserve"> córdobas. Também</w:t>
      </w:r>
      <w:r>
        <w:rPr>
          <w:rFonts w:ascii="Verdana" w:hAnsi="Verdana"/>
          <w:sz w:val="20"/>
        </w:rPr>
        <w:t xml:space="preserve"> </w:t>
      </w:r>
      <w:r w:rsidRPr="002818E7">
        <w:rPr>
          <w:rFonts w:ascii="Verdana" w:hAnsi="Verdana"/>
          <w:sz w:val="20"/>
        </w:rPr>
        <w:t xml:space="preserve">sabe que a Controladoria Geral da República aprovou a extensão desta </w:t>
      </w:r>
      <w:r>
        <w:rPr>
          <w:rFonts w:ascii="Verdana" w:hAnsi="Verdana"/>
          <w:sz w:val="20"/>
        </w:rPr>
        <w:t>multa</w:t>
      </w:r>
      <w:r w:rsidRPr="002818E7">
        <w:rPr>
          <w:rFonts w:ascii="Verdana" w:hAnsi="Verdana"/>
          <w:sz w:val="20"/>
        </w:rPr>
        <w:t xml:space="preserve"> e que a Controladoria voltou a sancionar </w:t>
      </w:r>
      <w:r>
        <w:rPr>
          <w:rFonts w:ascii="Verdana" w:hAnsi="Verdana"/>
          <w:sz w:val="20"/>
        </w:rPr>
        <w:t xml:space="preserve">a </w:t>
      </w:r>
      <w:r w:rsidRPr="002818E7">
        <w:rPr>
          <w:rFonts w:ascii="Verdana" w:hAnsi="Verdana"/>
          <w:sz w:val="20"/>
        </w:rPr>
        <w:t>autoridad</w:t>
      </w:r>
      <w:r>
        <w:rPr>
          <w:rFonts w:ascii="Verdana" w:hAnsi="Verdana"/>
          <w:sz w:val="20"/>
        </w:rPr>
        <w:t xml:space="preserve">e competente. </w:t>
      </w:r>
      <w:r w:rsidRPr="002818E7">
        <w:rPr>
          <w:rFonts w:ascii="Verdana" w:hAnsi="Verdana"/>
          <w:sz w:val="20"/>
        </w:rPr>
        <w:t xml:space="preserve">A Controladoria estabeleceu uma sanção que </w:t>
      </w:r>
      <w:r w:rsidR="00BD19C3">
        <w:rPr>
          <w:rFonts w:ascii="Verdana" w:hAnsi="Verdana"/>
          <w:sz w:val="20"/>
        </w:rPr>
        <w:t xml:space="preserve">é </w:t>
      </w:r>
      <w:r w:rsidRPr="002818E7">
        <w:rPr>
          <w:rFonts w:ascii="Verdana" w:hAnsi="Verdana"/>
          <w:sz w:val="20"/>
        </w:rPr>
        <w:t xml:space="preserve">ao menos o </w:t>
      </w:r>
      <w:r>
        <w:rPr>
          <w:rFonts w:ascii="Verdana" w:hAnsi="Verdana"/>
          <w:sz w:val="20"/>
        </w:rPr>
        <w:t>dobro</w:t>
      </w:r>
      <w:r w:rsidRPr="002818E7">
        <w:rPr>
          <w:rFonts w:ascii="Verdana" w:hAnsi="Verdana"/>
          <w:sz w:val="20"/>
        </w:rPr>
        <w:t xml:space="preserve"> daquela </w:t>
      </w:r>
      <w:r>
        <w:rPr>
          <w:rFonts w:ascii="Verdana" w:hAnsi="Verdana"/>
          <w:sz w:val="20"/>
        </w:rPr>
        <w:t>multa</w:t>
      </w:r>
      <w:r w:rsidRPr="002818E7">
        <w:rPr>
          <w:rFonts w:ascii="Verdana" w:hAnsi="Verdana"/>
          <w:sz w:val="20"/>
        </w:rPr>
        <w:t xml:space="preserve"> e solicitou que o ministro responsável cumpri</w:t>
      </w:r>
      <w:r>
        <w:rPr>
          <w:rFonts w:ascii="Verdana" w:hAnsi="Verdana"/>
          <w:sz w:val="20"/>
        </w:rPr>
        <w:t>sse</w:t>
      </w:r>
      <w:r w:rsidRPr="002818E7">
        <w:rPr>
          <w:rFonts w:ascii="Verdana" w:hAnsi="Verdana"/>
          <w:sz w:val="20"/>
        </w:rPr>
        <w:t xml:space="preserve"> individualmente o pagamento por não haver aplicado a lei, mas o ministro nunca pagou; de fato, esse ministro recentemente voltou a ter problemas com a Controladoria em função d</w:t>
      </w:r>
      <w:r>
        <w:rPr>
          <w:rFonts w:ascii="Verdana" w:hAnsi="Verdana"/>
          <w:sz w:val="20"/>
        </w:rPr>
        <w:t>o</w:t>
      </w:r>
      <w:r w:rsidRPr="002818E7">
        <w:rPr>
          <w:rFonts w:ascii="Verdana" w:hAnsi="Verdana"/>
          <w:sz w:val="20"/>
        </w:rPr>
        <w:t xml:space="preserve"> </w:t>
      </w:r>
      <w:r>
        <w:rPr>
          <w:rFonts w:ascii="Verdana" w:hAnsi="Verdana"/>
          <w:sz w:val="20"/>
        </w:rPr>
        <w:t>corte</w:t>
      </w:r>
      <w:r w:rsidRPr="002818E7">
        <w:rPr>
          <w:rFonts w:ascii="Verdana" w:hAnsi="Verdana"/>
          <w:sz w:val="20"/>
        </w:rPr>
        <w:t xml:space="preserve"> de árvores de madeiras preciosas na Nicarágua.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Em </w:t>
      </w:r>
      <w:r w:rsidR="00AA1CD7">
        <w:rPr>
          <w:rFonts w:ascii="Verdana" w:hAnsi="Verdana"/>
          <w:sz w:val="20"/>
        </w:rPr>
        <w:t xml:space="preserve">sua opinião, </w:t>
      </w:r>
      <w:r w:rsidRPr="002818E7">
        <w:rPr>
          <w:rFonts w:ascii="Verdana" w:hAnsi="Verdana"/>
          <w:sz w:val="20"/>
        </w:rPr>
        <w:t>não existe nenhum outro procedimento judicial que tenha provado ser efetivo para a aplicação das normas constitucionais da Nicarágua com relação aos povos</w:t>
      </w:r>
      <w:r>
        <w:rPr>
          <w:rFonts w:ascii="Verdana" w:hAnsi="Verdana"/>
          <w:sz w:val="20"/>
        </w:rPr>
        <w:t xml:space="preserve"> indígenas.</w:t>
      </w:r>
      <w:r w:rsidRPr="002818E7">
        <w:rPr>
          <w:rFonts w:ascii="Verdana" w:hAnsi="Verdana"/>
          <w:sz w:val="20"/>
        </w:rPr>
        <w:t xml:space="preserve"> Para melhorar o funcionamento do sistema judicial com respeito às comunidades indígenas deverá ser modificada 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49 de Amparo, que indica os procedimentos d</w:t>
      </w:r>
      <w:r>
        <w:rPr>
          <w:rFonts w:ascii="Verdana" w:hAnsi="Verdana"/>
          <w:sz w:val="20"/>
        </w:rPr>
        <w:t>o</w:t>
      </w:r>
      <w:r w:rsidRPr="002818E7">
        <w:rPr>
          <w:rFonts w:ascii="Verdana" w:hAnsi="Verdana"/>
          <w:sz w:val="20"/>
        </w:rPr>
        <w:t xml:space="preserve"> recurso de amparo, procedimento que deve ser estabelecido </w:t>
      </w:r>
      <w:r>
        <w:rPr>
          <w:rFonts w:ascii="Verdana" w:hAnsi="Verdana"/>
          <w:sz w:val="20"/>
        </w:rPr>
        <w:t>de</w:t>
      </w:r>
      <w:r w:rsidRPr="002818E7">
        <w:rPr>
          <w:rFonts w:ascii="Verdana" w:hAnsi="Verdana"/>
          <w:sz w:val="20"/>
        </w:rPr>
        <w:t xml:space="preserve"> forma simples, ágil e eficaz, para que as comunidades indígenas possam </w:t>
      </w:r>
      <w:r w:rsidR="00BD19C3">
        <w:rPr>
          <w:rFonts w:ascii="Verdana" w:hAnsi="Verdana"/>
          <w:sz w:val="20"/>
        </w:rPr>
        <w:t>ter acesso</w:t>
      </w:r>
      <w:r w:rsidR="00BD19C3" w:rsidRPr="002818E7">
        <w:rPr>
          <w:rFonts w:ascii="Verdana" w:hAnsi="Verdana"/>
          <w:sz w:val="20"/>
        </w:rPr>
        <w:t xml:space="preserve"> </w:t>
      </w:r>
      <w:r w:rsidRPr="002818E7">
        <w:rPr>
          <w:rFonts w:ascii="Verdana" w:hAnsi="Verdana"/>
          <w:sz w:val="20"/>
        </w:rPr>
        <w:t xml:space="preserve">à justiça; modificar a Lei Orgânica do Poder Judicial para adequá-la ao contexto constitucional e estabelecer que as autoridades judiciais possam atuar de ofício nas demandas das comunidades indígenas com respeito a seus direitos territoriais; e aplicar, publicar e colocar em vigência a proposta de Lei de Demarcação e Titulação das Terras Tradicionais para as Comunidades Indígenas e Waspam, para que as comunidades possam dispor de um procedimento para resolver suas demandas de direitos territoriais. </w:t>
      </w:r>
      <w:r w:rsidR="00BD19C3">
        <w:rPr>
          <w:rFonts w:ascii="Verdana" w:hAnsi="Verdana"/>
          <w:sz w:val="20"/>
        </w:rPr>
        <w:t>A r</w:t>
      </w:r>
      <w:r w:rsidRPr="002818E7">
        <w:rPr>
          <w:rFonts w:ascii="Verdana" w:hAnsi="Verdana"/>
          <w:sz w:val="20"/>
        </w:rPr>
        <w:t>eferida proposta de lei foi avaliada pelos dois Conselhos Regionais Autônomos e entregue oficialmente à Assembleia Nacional.</w:t>
      </w:r>
      <w:r w:rsidR="00850A3F">
        <w:rPr>
          <w:rFonts w:ascii="Verdana" w:hAnsi="Verdana"/>
          <w:sz w:val="20"/>
        </w:rPr>
        <w:t xml:space="preserve"> </w:t>
      </w:r>
      <w:r w:rsidRPr="002818E7">
        <w:rPr>
          <w:rFonts w:ascii="Verdana" w:hAnsi="Verdana"/>
          <w:sz w:val="20"/>
        </w:rPr>
        <w:t xml:space="preserve">É de especial interesse o artigo 18 do Estatuto de Autonomia das Regiões Autônomas, o qual estabelece que a administração de justiça </w:t>
      </w:r>
      <w:proofErr w:type="gramStart"/>
      <w:r w:rsidRPr="006D3FCD">
        <w:rPr>
          <w:rFonts w:ascii="Verdana" w:hAnsi="Verdana"/>
          <w:sz w:val="20"/>
        </w:rPr>
        <w:t>deverá</w:t>
      </w:r>
      <w:proofErr w:type="gramEnd"/>
      <w:r w:rsidRPr="006D3FCD">
        <w:rPr>
          <w:rFonts w:ascii="Verdana" w:hAnsi="Verdana"/>
          <w:sz w:val="20"/>
        </w:rPr>
        <w:t xml:space="preserve"> ser regida</w:t>
      </w:r>
      <w:r w:rsidR="006D3FCD" w:rsidRPr="006D3FCD">
        <w:rPr>
          <w:rFonts w:ascii="Verdana" w:hAnsi="Verdana"/>
          <w:sz w:val="20"/>
        </w:rPr>
        <w:t xml:space="preserve"> </w:t>
      </w:r>
      <w:r w:rsidRPr="006D3FCD">
        <w:rPr>
          <w:rFonts w:ascii="Verdana" w:hAnsi="Verdana"/>
          <w:sz w:val="20"/>
        </w:rPr>
        <w:t>por</w:t>
      </w:r>
      <w:r w:rsidRPr="002818E7">
        <w:rPr>
          <w:rFonts w:ascii="Verdana" w:hAnsi="Verdana"/>
          <w:sz w:val="20"/>
        </w:rPr>
        <w:t xml:space="preserve"> regulações especiais, </w:t>
      </w:r>
      <w:r>
        <w:rPr>
          <w:rFonts w:ascii="Verdana" w:hAnsi="Verdana"/>
          <w:sz w:val="20"/>
        </w:rPr>
        <w:t>levando</w:t>
      </w:r>
      <w:r w:rsidRPr="002818E7">
        <w:rPr>
          <w:rFonts w:ascii="Verdana" w:hAnsi="Verdana"/>
          <w:sz w:val="20"/>
        </w:rPr>
        <w:t xml:space="preserve"> em conta as particularidades culturais das comunidades indígenas e comunidades étnicas.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Por outr</w:t>
      </w:r>
      <w:r>
        <w:rPr>
          <w:rFonts w:ascii="Verdana" w:hAnsi="Verdana"/>
          <w:sz w:val="20"/>
        </w:rPr>
        <w:t>o</w:t>
      </w:r>
      <w:r w:rsidRPr="002818E7">
        <w:rPr>
          <w:rFonts w:ascii="Verdana" w:hAnsi="Verdana"/>
          <w:sz w:val="20"/>
        </w:rPr>
        <w:t xml:space="preserve"> </w:t>
      </w:r>
      <w:r>
        <w:rPr>
          <w:rFonts w:ascii="Verdana" w:hAnsi="Verdana"/>
          <w:sz w:val="20"/>
        </w:rPr>
        <w:t>lado</w:t>
      </w:r>
      <w:r w:rsidRPr="002818E7">
        <w:rPr>
          <w:rFonts w:ascii="Verdana" w:hAnsi="Verdana"/>
          <w:sz w:val="20"/>
        </w:rPr>
        <w:t>, a testemunha dá fé da ancestralidade da posse</w:t>
      </w:r>
      <w:r>
        <w:rPr>
          <w:rFonts w:ascii="Verdana" w:hAnsi="Verdana"/>
          <w:sz w:val="20"/>
        </w:rPr>
        <w:t xml:space="preserve"> de</w:t>
      </w:r>
      <w:r w:rsidRPr="002818E7">
        <w:rPr>
          <w:rFonts w:ascii="Verdana" w:hAnsi="Verdana"/>
          <w:sz w:val="20"/>
        </w:rPr>
        <w:t xml:space="preserve"> Awas Tingni por ser esta uma comunidade indígena com sua própria língua, sua própria cultura e historicamente posicionada em seu território.</w:t>
      </w:r>
      <w:r w:rsidR="006C5090">
        <w:rPr>
          <w:rFonts w:ascii="Verdana" w:hAnsi="Verdana"/>
          <w:sz w:val="20"/>
        </w:rPr>
        <w:t xml:space="preserve"> Ela</w:t>
      </w:r>
      <w:r>
        <w:rPr>
          <w:rFonts w:ascii="Verdana" w:hAnsi="Verdana"/>
          <w:sz w:val="20"/>
        </w:rPr>
        <w:t xml:space="preserve"> </w:t>
      </w:r>
      <w:r w:rsidR="006C5090">
        <w:rPr>
          <w:rFonts w:ascii="Verdana" w:hAnsi="Verdana"/>
          <w:sz w:val="20"/>
        </w:rPr>
        <w:t>f</w:t>
      </w:r>
      <w:r w:rsidRPr="002818E7">
        <w:rPr>
          <w:rFonts w:ascii="Verdana" w:hAnsi="Verdana"/>
          <w:sz w:val="20"/>
        </w:rPr>
        <w:t xml:space="preserve">icou sabendo que a Comunidade Awas Tingni solicitou administrativamente a titulação de suas terras, esgotou todas as vias administrativas e, no entanto, a Comunidade não </w:t>
      </w:r>
      <w:r>
        <w:rPr>
          <w:rFonts w:ascii="Verdana" w:hAnsi="Verdana"/>
          <w:sz w:val="20"/>
        </w:rPr>
        <w:t>recebeu</w:t>
      </w:r>
      <w:r w:rsidRPr="002818E7">
        <w:rPr>
          <w:rFonts w:ascii="Verdana" w:hAnsi="Verdana"/>
          <w:sz w:val="20"/>
        </w:rPr>
        <w:t xml:space="preserve"> nenhuma resposta da administração.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Como advogada está familiarizada com o conceito do silêncio administrativo. Este é configurado conforme a vontade da autoridade. Configurado este, e esgotada a via administrativa, as comunidades não têm outra opção </w:t>
      </w:r>
      <w:r w:rsidR="00BD19C3">
        <w:rPr>
          <w:rFonts w:ascii="Verdana" w:hAnsi="Verdana"/>
          <w:sz w:val="20"/>
        </w:rPr>
        <w:t>a não ser usar a</w:t>
      </w:r>
      <w:r w:rsidRPr="002818E7">
        <w:rPr>
          <w:rFonts w:ascii="Verdana" w:hAnsi="Verdana"/>
          <w:sz w:val="20"/>
        </w:rPr>
        <w:t xml:space="preserve"> via judicial, ou seja, o único procedimento é o recurso de amparo </w:t>
      </w:r>
      <w:r>
        <w:rPr>
          <w:rFonts w:ascii="Verdana" w:hAnsi="Verdana"/>
          <w:sz w:val="20"/>
        </w:rPr>
        <w:t>per</w:t>
      </w:r>
      <w:r w:rsidRPr="002818E7">
        <w:rPr>
          <w:rFonts w:ascii="Verdana" w:hAnsi="Verdana"/>
          <w:sz w:val="20"/>
        </w:rPr>
        <w:t xml:space="preserve">ante a omissão da autoridade. O prazo para interpor um recurso de amparo é de 30 dias contados a partir da notificação do ato ou </w:t>
      </w:r>
      <w:r>
        <w:rPr>
          <w:rFonts w:ascii="Verdana" w:hAnsi="Verdana"/>
          <w:sz w:val="20"/>
        </w:rPr>
        <w:t>d</w:t>
      </w:r>
      <w:r w:rsidRPr="002818E7">
        <w:rPr>
          <w:rFonts w:ascii="Verdana" w:hAnsi="Verdana"/>
          <w:sz w:val="20"/>
        </w:rPr>
        <w:t>a omissão da autoridad</w:t>
      </w:r>
      <w:r>
        <w:rPr>
          <w:rFonts w:ascii="Verdana" w:hAnsi="Verdana"/>
          <w:sz w:val="20"/>
        </w:rPr>
        <w:t xml:space="preserve">e. </w:t>
      </w:r>
      <w:r w:rsidRPr="002818E7">
        <w:rPr>
          <w:rFonts w:ascii="Verdana" w:hAnsi="Verdana"/>
          <w:sz w:val="20"/>
        </w:rPr>
        <w:t>A Comunidade Awas Tingni ped</w:t>
      </w:r>
      <w:r>
        <w:rPr>
          <w:rFonts w:ascii="Verdana" w:hAnsi="Verdana"/>
          <w:sz w:val="20"/>
        </w:rPr>
        <w:t>i</w:t>
      </w:r>
      <w:r w:rsidRPr="002818E7">
        <w:rPr>
          <w:rFonts w:ascii="Verdana" w:hAnsi="Verdana"/>
          <w:sz w:val="20"/>
        </w:rPr>
        <w:t>u judicialmente, mediante um recurso de amparo, a titulação de suas terras ancestrais.</w:t>
      </w:r>
      <w:r w:rsidRPr="002818E7">
        <w:rPr>
          <w:rFonts w:ascii="Verdana" w:hAnsi="Verdana"/>
          <w:b/>
          <w:sz w:val="20"/>
        </w:rPr>
        <w:t xml:space="preserve"> </w:t>
      </w:r>
      <w:r w:rsidRPr="002818E7">
        <w:rPr>
          <w:rFonts w:ascii="Verdana" w:hAnsi="Verdana"/>
          <w:sz w:val="20"/>
        </w:rPr>
        <w:t xml:space="preserve">Conhece as ações que </w:t>
      </w:r>
      <w:r>
        <w:rPr>
          <w:rFonts w:ascii="Verdana" w:hAnsi="Verdana"/>
          <w:sz w:val="20"/>
        </w:rPr>
        <w:t xml:space="preserve">a </w:t>
      </w:r>
      <w:r w:rsidRPr="002818E7">
        <w:rPr>
          <w:rFonts w:ascii="Verdana" w:hAnsi="Verdana"/>
          <w:sz w:val="20"/>
        </w:rPr>
        <w:t xml:space="preserve">Awas Tingni realizou </w:t>
      </w:r>
      <w:r>
        <w:rPr>
          <w:rFonts w:ascii="Verdana" w:hAnsi="Verdana"/>
          <w:sz w:val="20"/>
        </w:rPr>
        <w:t>per</w:t>
      </w:r>
      <w:r w:rsidRPr="002818E7">
        <w:rPr>
          <w:rFonts w:ascii="Verdana" w:hAnsi="Verdana"/>
          <w:sz w:val="20"/>
        </w:rPr>
        <w:t xml:space="preserve">ante os Tribunais de Justiça para promover seus direitos.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A respeito da petição de suspensão da concessão florestal, o recurso de amparo apresentado pela Comunidade Awas Tingni foi recusado pela falta de respeito constante </w:t>
      </w:r>
      <w:r w:rsidR="00BD19C3">
        <w:rPr>
          <w:rFonts w:ascii="Verdana" w:hAnsi="Verdana"/>
          <w:sz w:val="20"/>
        </w:rPr>
        <w:t>d</w:t>
      </w:r>
      <w:r w:rsidRPr="002818E7">
        <w:rPr>
          <w:rFonts w:ascii="Verdana" w:hAnsi="Verdana"/>
          <w:sz w:val="20"/>
        </w:rPr>
        <w:t xml:space="preserve">o Estado </w:t>
      </w:r>
      <w:r w:rsidR="00BD19C3">
        <w:rPr>
          <w:rFonts w:ascii="Verdana" w:hAnsi="Verdana"/>
          <w:sz w:val="20"/>
        </w:rPr>
        <w:t>em</w:t>
      </w:r>
      <w:r w:rsidR="00BD19C3" w:rsidRPr="002818E7">
        <w:rPr>
          <w:rFonts w:ascii="Verdana" w:hAnsi="Verdana"/>
          <w:sz w:val="20"/>
        </w:rPr>
        <w:t xml:space="preserve"> </w:t>
      </w:r>
      <w:r w:rsidRPr="002818E7">
        <w:rPr>
          <w:rFonts w:ascii="Verdana" w:hAnsi="Verdana"/>
          <w:sz w:val="20"/>
        </w:rPr>
        <w:t>reconhecer os direitos indígenas para as comunidades. De um ponto de vista processual, os tribunais não argumentaram a razão pela qual recusaram o recurso.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lastRenderedPageBreak/>
        <w:t xml:space="preserve">Para as comunidades indígenas não existe nenhum procedimento mediante o qual possam fazer valer seus direitos ancestrais reconhecidos </w:t>
      </w:r>
      <w:r>
        <w:rPr>
          <w:rFonts w:ascii="Verdana" w:hAnsi="Verdana"/>
          <w:sz w:val="20"/>
        </w:rPr>
        <w:t>na</w:t>
      </w:r>
      <w:r w:rsidRPr="002818E7">
        <w:rPr>
          <w:rFonts w:ascii="Verdana" w:hAnsi="Verdana"/>
          <w:sz w:val="20"/>
        </w:rPr>
        <w:t xml:space="preserve"> Constituição Política.</w:t>
      </w:r>
      <w:r>
        <w:rPr>
          <w:rFonts w:ascii="Verdana" w:hAnsi="Verdana"/>
          <w:sz w:val="20"/>
        </w:rPr>
        <w:t xml:space="preserve"> </w:t>
      </w:r>
      <w:r w:rsidRPr="002818E7">
        <w:rPr>
          <w:rFonts w:ascii="Verdana" w:hAnsi="Verdana"/>
          <w:sz w:val="20"/>
        </w:rPr>
        <w:t xml:space="preserve">O artigo 18 do Estatuto de Autonomia das Regiões Autônomas estabelece que a administração de justiça </w:t>
      </w:r>
      <w:proofErr w:type="gramStart"/>
      <w:r>
        <w:rPr>
          <w:rFonts w:ascii="Verdana" w:hAnsi="Verdana"/>
          <w:sz w:val="20"/>
        </w:rPr>
        <w:t>deverá</w:t>
      </w:r>
      <w:proofErr w:type="gramEnd"/>
      <w:r>
        <w:rPr>
          <w:rFonts w:ascii="Verdana" w:hAnsi="Verdana"/>
          <w:sz w:val="20"/>
        </w:rPr>
        <w:t xml:space="preserve"> ser regida </w:t>
      </w:r>
      <w:r w:rsidRPr="002818E7">
        <w:rPr>
          <w:rFonts w:ascii="Verdana" w:hAnsi="Verdana"/>
          <w:sz w:val="20"/>
        </w:rPr>
        <w:t>por regula</w:t>
      </w:r>
      <w:r w:rsidR="00DD1C8B">
        <w:rPr>
          <w:rFonts w:ascii="Verdana" w:hAnsi="Verdana"/>
          <w:sz w:val="20"/>
        </w:rPr>
        <w:t>menta</w:t>
      </w:r>
      <w:r w:rsidRPr="002818E7">
        <w:rPr>
          <w:rFonts w:ascii="Verdana" w:hAnsi="Verdana"/>
          <w:sz w:val="20"/>
        </w:rPr>
        <w:t xml:space="preserve">ções especiais, mas é uma lei geral que nunca foi regulamentada. Não existe nenhum procedimento que permita </w:t>
      </w:r>
      <w:r w:rsidR="00BD19C3">
        <w:rPr>
          <w:rFonts w:ascii="Verdana" w:hAnsi="Verdana"/>
          <w:sz w:val="20"/>
        </w:rPr>
        <w:t>à</w:t>
      </w:r>
      <w:r w:rsidRPr="002818E7">
        <w:rPr>
          <w:rFonts w:ascii="Verdana" w:hAnsi="Verdana"/>
          <w:sz w:val="20"/>
        </w:rPr>
        <w:t xml:space="preserve"> autoridade judicial </w:t>
      </w:r>
      <w:r>
        <w:rPr>
          <w:rFonts w:ascii="Verdana" w:hAnsi="Verdana"/>
          <w:sz w:val="20"/>
        </w:rPr>
        <w:t>levar</w:t>
      </w:r>
      <w:r w:rsidRPr="002818E7">
        <w:rPr>
          <w:rFonts w:ascii="Verdana" w:hAnsi="Verdana"/>
          <w:sz w:val="20"/>
        </w:rPr>
        <w:t xml:space="preserve"> em conta as particularidades que dever</w:t>
      </w:r>
      <w:r>
        <w:rPr>
          <w:rFonts w:ascii="Verdana" w:hAnsi="Verdana"/>
          <w:sz w:val="20"/>
        </w:rPr>
        <w:t>i</w:t>
      </w:r>
      <w:r w:rsidRPr="002818E7">
        <w:rPr>
          <w:rFonts w:ascii="Verdana" w:hAnsi="Verdana"/>
          <w:sz w:val="20"/>
        </w:rPr>
        <w:t>a considerar.</w:t>
      </w:r>
    </w:p>
    <w:p w:rsidR="00C336FB" w:rsidRPr="002818E7" w:rsidRDefault="00C336FB" w:rsidP="00C336FB">
      <w:pPr>
        <w:jc w:val="both"/>
        <w:rPr>
          <w:rFonts w:ascii="Verdana" w:hAnsi="Verdana"/>
          <w:b/>
          <w:sz w:val="20"/>
        </w:rPr>
      </w:pPr>
    </w:p>
    <w:p w:rsidR="00C336FB" w:rsidRPr="002818E7" w:rsidRDefault="00C336FB" w:rsidP="00C336FB">
      <w:pPr>
        <w:jc w:val="both"/>
        <w:rPr>
          <w:rFonts w:ascii="Verdana" w:hAnsi="Verdana"/>
          <w:b/>
          <w:sz w:val="20"/>
        </w:rPr>
      </w:pPr>
      <w:proofErr w:type="gramStart"/>
      <w:r w:rsidRPr="002818E7">
        <w:rPr>
          <w:rFonts w:ascii="Verdana" w:hAnsi="Verdana"/>
          <w:b/>
          <w:sz w:val="20"/>
        </w:rPr>
        <w:t>m.</w:t>
      </w:r>
      <w:proofErr w:type="gramEnd"/>
      <w:r w:rsidRPr="002818E7">
        <w:rPr>
          <w:rFonts w:ascii="Verdana" w:hAnsi="Verdana"/>
          <w:b/>
          <w:sz w:val="20"/>
        </w:rPr>
        <w:tab/>
        <w:t>Testemunho de Marco Antonio Centeno Caffarena, Diretor do Escritório de Titulação Rural da Nicarágua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Reside em Man</w:t>
      </w:r>
      <w:r>
        <w:rPr>
          <w:rFonts w:ascii="Verdana" w:hAnsi="Verdana"/>
          <w:sz w:val="20"/>
        </w:rPr>
        <w:t>á</w:t>
      </w:r>
      <w:r w:rsidRPr="002818E7">
        <w:rPr>
          <w:rFonts w:ascii="Verdana" w:hAnsi="Verdana"/>
          <w:sz w:val="20"/>
        </w:rPr>
        <w:t>gua, Nicarágua</w:t>
      </w:r>
      <w:r>
        <w:rPr>
          <w:rFonts w:ascii="Verdana" w:hAnsi="Verdana"/>
          <w:sz w:val="20"/>
        </w:rPr>
        <w:t>.</w:t>
      </w:r>
      <w:r w:rsidRPr="002818E7">
        <w:rPr>
          <w:rFonts w:ascii="Verdana" w:hAnsi="Verdana"/>
          <w:sz w:val="20"/>
        </w:rPr>
        <w:t xml:space="preserve"> É funcionário do Governo desde o ano de 1991, onde tem ocupado cargos de alto nível em assessorias e temas relacionados com </w:t>
      </w:r>
      <w:r w:rsidR="00AA1CD7">
        <w:rPr>
          <w:rFonts w:ascii="Verdana" w:hAnsi="Verdana"/>
          <w:sz w:val="20"/>
        </w:rPr>
        <w:t>a</w:t>
      </w:r>
      <w:r w:rsidRPr="002818E7">
        <w:rPr>
          <w:rFonts w:ascii="Verdana" w:hAnsi="Verdana"/>
          <w:sz w:val="20"/>
        </w:rPr>
        <w:t xml:space="preserve"> propriedade. Atualmente é o Diretor Geral do Escritório de Titulação Rural.</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Para explicar a história da titulação de terras na Nicarágua há </w:t>
      </w:r>
      <w:r w:rsidR="00BD19C3">
        <w:rPr>
          <w:rFonts w:ascii="Verdana" w:hAnsi="Verdana"/>
          <w:sz w:val="20"/>
        </w:rPr>
        <w:t>de se</w:t>
      </w:r>
      <w:r w:rsidR="00BD19C3" w:rsidRPr="002818E7">
        <w:rPr>
          <w:rFonts w:ascii="Verdana" w:hAnsi="Verdana"/>
          <w:sz w:val="20"/>
        </w:rPr>
        <w:t xml:space="preserve"> </w:t>
      </w:r>
      <w:r w:rsidRPr="002818E7">
        <w:rPr>
          <w:rFonts w:ascii="Verdana" w:hAnsi="Verdana"/>
          <w:sz w:val="20"/>
        </w:rPr>
        <w:t xml:space="preserve">distinguir entre três momentos ou etapas que </w:t>
      </w:r>
      <w:r>
        <w:rPr>
          <w:rFonts w:ascii="Verdana" w:hAnsi="Verdana"/>
          <w:sz w:val="20"/>
        </w:rPr>
        <w:t>ocorreram</w:t>
      </w:r>
      <w:r w:rsidRPr="002818E7">
        <w:rPr>
          <w:rFonts w:ascii="Verdana" w:hAnsi="Verdana"/>
          <w:sz w:val="20"/>
        </w:rPr>
        <w:t xml:space="preserve"> no transcurso do século XX.</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No primeiro </w:t>
      </w:r>
      <w:r w:rsidRPr="00407612">
        <w:rPr>
          <w:rFonts w:ascii="Verdana" w:hAnsi="Verdana"/>
          <w:sz w:val="20"/>
        </w:rPr>
        <w:t xml:space="preserve">momento foi </w:t>
      </w:r>
      <w:proofErr w:type="gramStart"/>
      <w:r w:rsidRPr="00407612">
        <w:rPr>
          <w:rFonts w:ascii="Verdana" w:hAnsi="Verdana"/>
          <w:sz w:val="20"/>
        </w:rPr>
        <w:t>implementado</w:t>
      </w:r>
      <w:proofErr w:type="gramEnd"/>
      <w:r w:rsidRPr="00407612">
        <w:rPr>
          <w:rFonts w:ascii="Verdana" w:hAnsi="Verdana"/>
          <w:sz w:val="20"/>
        </w:rPr>
        <w:t xml:space="preserve"> o Trata</w:t>
      </w:r>
      <w:r w:rsidRPr="002818E7">
        <w:rPr>
          <w:rFonts w:ascii="Verdana" w:hAnsi="Verdana"/>
          <w:sz w:val="20"/>
        </w:rPr>
        <w:t>do entre o Reino da Grã-Bretanha e a República da Nicarágua</w:t>
      </w:r>
      <w:r w:rsidR="00DD1C8B">
        <w:rPr>
          <w:rFonts w:ascii="Verdana" w:hAnsi="Verdana"/>
          <w:sz w:val="20"/>
        </w:rPr>
        <w:t>,</w:t>
      </w:r>
      <w:r w:rsidRPr="002818E7">
        <w:rPr>
          <w:rFonts w:ascii="Verdana" w:hAnsi="Verdana"/>
          <w:sz w:val="20"/>
        </w:rPr>
        <w:t xml:space="preserve"> chamado Tratado Harrison-Altamirano. Esse tratado, em seu artigo terceiro,</w:t>
      </w:r>
      <w:r>
        <w:rPr>
          <w:rFonts w:ascii="Verdana" w:hAnsi="Verdana"/>
          <w:sz w:val="20"/>
        </w:rPr>
        <w:t xml:space="preserve"> </w:t>
      </w:r>
      <w:r w:rsidRPr="002818E7">
        <w:rPr>
          <w:rFonts w:ascii="Verdana" w:hAnsi="Verdana"/>
          <w:sz w:val="20"/>
        </w:rPr>
        <w:t xml:space="preserve">ordenava conceder títulos de propriedade às comunidades indígenas existentes na Miskitia da Nicarágua </w:t>
      </w:r>
      <w:r>
        <w:rPr>
          <w:rFonts w:ascii="Verdana" w:hAnsi="Verdana"/>
          <w:sz w:val="20"/>
        </w:rPr>
        <w:t>em uma</w:t>
      </w:r>
      <w:r w:rsidRPr="002818E7">
        <w:rPr>
          <w:rFonts w:ascii="Verdana" w:hAnsi="Verdana"/>
          <w:sz w:val="20"/>
        </w:rPr>
        <w:t xml:space="preserve"> área específica.</w:t>
      </w:r>
      <w:r w:rsidR="00850A3F">
        <w:rPr>
          <w:rFonts w:ascii="Verdana" w:hAnsi="Verdana"/>
          <w:sz w:val="20"/>
        </w:rPr>
        <w:t xml:space="preserve"> </w:t>
      </w:r>
      <w:r w:rsidRPr="002818E7">
        <w:rPr>
          <w:rFonts w:ascii="Verdana" w:hAnsi="Verdana"/>
          <w:sz w:val="20"/>
        </w:rPr>
        <w:t>Titulavam-se oito quadras a cada núcleo familiar de quatro indivíduos. Se o núcleo familiar excedia esse número de membros,</w:t>
      </w:r>
      <w:r>
        <w:rPr>
          <w:rFonts w:ascii="Verdana" w:hAnsi="Verdana"/>
          <w:sz w:val="20"/>
        </w:rPr>
        <w:t xml:space="preserve"> </w:t>
      </w:r>
      <w:r w:rsidRPr="002818E7">
        <w:rPr>
          <w:rFonts w:ascii="Verdana" w:hAnsi="Verdana"/>
          <w:sz w:val="20"/>
        </w:rPr>
        <w:t xml:space="preserve">então se titulavam duas quadras adicionais por pessoa.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 </w:t>
      </w:r>
      <w:r w:rsidR="00407612">
        <w:rPr>
          <w:rFonts w:ascii="Verdana" w:hAnsi="Verdana"/>
          <w:sz w:val="20"/>
        </w:rPr>
        <w:t xml:space="preserve">objetivo do tratado era </w:t>
      </w:r>
      <w:proofErr w:type="gramStart"/>
      <w:r w:rsidR="00407612">
        <w:rPr>
          <w:rFonts w:ascii="Verdana" w:hAnsi="Verdana"/>
          <w:sz w:val="20"/>
        </w:rPr>
        <w:t>titular</w:t>
      </w:r>
      <w:r>
        <w:rPr>
          <w:rFonts w:ascii="Verdana" w:hAnsi="Verdana"/>
          <w:sz w:val="20"/>
        </w:rPr>
        <w:t xml:space="preserve"> propriedades</w:t>
      </w:r>
      <w:proofErr w:type="gramEnd"/>
      <w:r>
        <w:rPr>
          <w:rFonts w:ascii="Verdana" w:hAnsi="Verdana"/>
          <w:sz w:val="20"/>
        </w:rPr>
        <w:t xml:space="preserve"> </w:t>
      </w:r>
      <w:r w:rsidRPr="002818E7">
        <w:rPr>
          <w:rFonts w:ascii="Verdana" w:hAnsi="Verdana"/>
          <w:sz w:val="20"/>
        </w:rPr>
        <w:t xml:space="preserve">a todas as etnias ou comunidades indígenas que habitavam nessa época </w:t>
      </w:r>
      <w:r w:rsidR="00BD19C3">
        <w:rPr>
          <w:rFonts w:ascii="Verdana" w:hAnsi="Verdana"/>
          <w:sz w:val="20"/>
        </w:rPr>
        <w:t>n</w:t>
      </w:r>
      <w:r w:rsidRPr="002818E7">
        <w:rPr>
          <w:rFonts w:ascii="Verdana" w:hAnsi="Verdana"/>
          <w:sz w:val="20"/>
        </w:rPr>
        <w:t xml:space="preserve">a Costa Atlântica da Nicarágua. Durante os anos de 1915 e de 1920 foram </w:t>
      </w:r>
      <w:r w:rsidR="00407612">
        <w:rPr>
          <w:rFonts w:ascii="Verdana" w:hAnsi="Verdana"/>
          <w:sz w:val="20"/>
        </w:rPr>
        <w:t>tituladas mais de 80.000 quadras</w:t>
      </w:r>
      <w:r>
        <w:rPr>
          <w:rFonts w:ascii="Verdana" w:hAnsi="Verdana"/>
          <w:sz w:val="20"/>
        </w:rPr>
        <w:t xml:space="preserve"> </w:t>
      </w:r>
      <w:r w:rsidR="00407612">
        <w:rPr>
          <w:rFonts w:ascii="Verdana" w:hAnsi="Verdana"/>
          <w:sz w:val="20"/>
        </w:rPr>
        <w:t>e</w:t>
      </w:r>
      <w:r>
        <w:rPr>
          <w:rFonts w:ascii="Verdana" w:hAnsi="Verdana"/>
          <w:sz w:val="20"/>
        </w:rPr>
        <w:t>,</w:t>
      </w:r>
      <w:r w:rsidRPr="002818E7">
        <w:rPr>
          <w:rFonts w:ascii="Verdana" w:hAnsi="Verdana"/>
          <w:sz w:val="20"/>
        </w:rPr>
        <w:t xml:space="preserve"> em consequência, foram emitidos 60 títulos que estão devidamente registrados no Registro Público da Propriedade de Bluefields, que é o único na Costa Atlântica.</w:t>
      </w:r>
      <w:r w:rsidR="00850A3F">
        <w:rPr>
          <w:rFonts w:ascii="Verdana" w:hAnsi="Verdana"/>
          <w:sz w:val="20"/>
        </w:rPr>
        <w:t xml:space="preserve"> </w:t>
      </w:r>
      <w:r w:rsidRPr="002818E7">
        <w:rPr>
          <w:rFonts w:ascii="Verdana" w:hAnsi="Verdana"/>
          <w:sz w:val="20"/>
        </w:rPr>
        <w:t xml:space="preserve">Igualmente, </w:t>
      </w:r>
      <w:r>
        <w:rPr>
          <w:rFonts w:ascii="Verdana" w:hAnsi="Verdana"/>
          <w:sz w:val="20"/>
        </w:rPr>
        <w:t>foram dados</w:t>
      </w:r>
      <w:r w:rsidRPr="002818E7">
        <w:rPr>
          <w:rFonts w:ascii="Verdana" w:hAnsi="Verdana"/>
          <w:sz w:val="20"/>
        </w:rPr>
        <w:t xml:space="preserve"> dois títulos à comunidade chamada Tilba-Lupia </w:t>
      </w:r>
      <w:r>
        <w:rPr>
          <w:rFonts w:ascii="Verdana" w:hAnsi="Verdana"/>
          <w:sz w:val="20"/>
        </w:rPr>
        <w:t>cujos números de registro</w:t>
      </w:r>
      <w:r w:rsidRPr="002818E7">
        <w:rPr>
          <w:rFonts w:ascii="Verdana" w:hAnsi="Verdana"/>
          <w:sz w:val="20"/>
        </w:rPr>
        <w:t xml:space="preserve"> são 2111 e</w:t>
      </w:r>
      <w:r>
        <w:rPr>
          <w:rFonts w:ascii="Verdana" w:hAnsi="Verdana"/>
          <w:sz w:val="20"/>
        </w:rPr>
        <w:t xml:space="preserve"> 2112. </w:t>
      </w:r>
      <w:r w:rsidRPr="002818E7">
        <w:rPr>
          <w:rFonts w:ascii="Verdana" w:hAnsi="Verdana"/>
          <w:sz w:val="20"/>
        </w:rPr>
        <w:t>Nessa ocasião, às etnias Mayagnas ou</w:t>
      </w:r>
      <w:r w:rsidRPr="002818E7">
        <w:rPr>
          <w:rFonts w:ascii="Verdana" w:hAnsi="Verdana"/>
          <w:b/>
          <w:sz w:val="20"/>
        </w:rPr>
        <w:t xml:space="preserve"> </w:t>
      </w:r>
      <w:r w:rsidRPr="002818E7">
        <w:rPr>
          <w:rFonts w:ascii="Verdana" w:hAnsi="Verdana"/>
          <w:sz w:val="20"/>
        </w:rPr>
        <w:t>Sumos,</w:t>
      </w:r>
      <w:r w:rsidRPr="002818E7">
        <w:rPr>
          <w:rFonts w:ascii="Verdana" w:hAnsi="Verdana"/>
          <w:b/>
          <w:sz w:val="20"/>
        </w:rPr>
        <w:t xml:space="preserve"> </w:t>
      </w:r>
      <w:r>
        <w:rPr>
          <w:rFonts w:ascii="Verdana" w:hAnsi="Verdana"/>
          <w:sz w:val="20"/>
        </w:rPr>
        <w:t xml:space="preserve">foi </w:t>
      </w:r>
      <w:proofErr w:type="gramStart"/>
      <w:r>
        <w:rPr>
          <w:rFonts w:ascii="Verdana" w:hAnsi="Verdana"/>
          <w:sz w:val="20"/>
        </w:rPr>
        <w:t>titulada</w:t>
      </w:r>
      <w:proofErr w:type="gramEnd"/>
      <w:r>
        <w:rPr>
          <w:rFonts w:ascii="Verdana" w:hAnsi="Verdana"/>
          <w:sz w:val="20"/>
        </w:rPr>
        <w:t xml:space="preserve"> </w:t>
      </w:r>
      <w:r w:rsidRPr="002818E7">
        <w:rPr>
          <w:rFonts w:ascii="Verdana" w:hAnsi="Verdana"/>
          <w:sz w:val="20"/>
        </w:rPr>
        <w:t>uma área considerável de terra</w:t>
      </w:r>
      <w:r>
        <w:rPr>
          <w:rFonts w:ascii="Verdana" w:hAnsi="Verdana"/>
          <w:sz w:val="20"/>
        </w:rPr>
        <w:t xml:space="preserve"> de</w:t>
      </w:r>
      <w:r w:rsidRPr="002818E7">
        <w:rPr>
          <w:rFonts w:ascii="Verdana" w:hAnsi="Verdana"/>
          <w:sz w:val="20"/>
        </w:rPr>
        <w:t xml:space="preserve"> aproximadamente 3.690 hectares, para efeitos do qu</w:t>
      </w:r>
      <w:r w:rsidR="00BD19C3">
        <w:rPr>
          <w:rFonts w:ascii="Verdana" w:hAnsi="Verdana"/>
          <w:sz w:val="20"/>
        </w:rPr>
        <w:t>e</w:t>
      </w:r>
      <w:r w:rsidRPr="002818E7">
        <w:rPr>
          <w:rFonts w:ascii="Verdana" w:hAnsi="Verdana"/>
          <w:sz w:val="20"/>
        </w:rPr>
        <w:t xml:space="preserve"> </w:t>
      </w:r>
      <w:r>
        <w:rPr>
          <w:rFonts w:ascii="Verdana" w:hAnsi="Verdana"/>
          <w:sz w:val="20"/>
        </w:rPr>
        <w:t>foi levado</w:t>
      </w:r>
      <w:r w:rsidRPr="002818E7">
        <w:rPr>
          <w:rFonts w:ascii="Verdana" w:hAnsi="Verdana"/>
          <w:sz w:val="20"/>
        </w:rPr>
        <w:t xml:space="preserve"> em consideração o resultado do censo populacional de 1950, que considerava que esta população era de aproximadamente 407 pessoas na Costa Atlântica da Nicarágua.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 procedimento utilizado durante a </w:t>
      </w:r>
      <w:proofErr w:type="gramStart"/>
      <w:r w:rsidRPr="002818E7">
        <w:rPr>
          <w:rFonts w:ascii="Verdana" w:hAnsi="Verdana"/>
          <w:sz w:val="20"/>
        </w:rPr>
        <w:t>implementação</w:t>
      </w:r>
      <w:proofErr w:type="gramEnd"/>
      <w:r w:rsidRPr="002818E7">
        <w:rPr>
          <w:rFonts w:ascii="Verdana" w:hAnsi="Verdana"/>
          <w:sz w:val="20"/>
        </w:rPr>
        <w:t xml:space="preserve"> do Tratado Harrison-Altamirano era elementar. Foi formada a Comissão da Titulação da Mos</w:t>
      </w:r>
      <w:r>
        <w:rPr>
          <w:rFonts w:ascii="Verdana" w:hAnsi="Verdana"/>
          <w:sz w:val="20"/>
        </w:rPr>
        <w:t>k</w:t>
      </w:r>
      <w:r w:rsidRPr="002818E7">
        <w:rPr>
          <w:rFonts w:ascii="Verdana" w:hAnsi="Verdana"/>
          <w:sz w:val="20"/>
        </w:rPr>
        <w:t>itia e esta visitava os lugares de titulação ou onde havia presença das comunidades, as quais apresentavam seus requerimentos.</w:t>
      </w:r>
      <w:r w:rsidR="00BD19C3">
        <w:rPr>
          <w:rFonts w:ascii="Verdana" w:hAnsi="Verdana"/>
          <w:sz w:val="20"/>
        </w:rPr>
        <w:t xml:space="preserve"> Os r</w:t>
      </w:r>
      <w:r w:rsidRPr="002818E7">
        <w:rPr>
          <w:rFonts w:ascii="Verdana" w:hAnsi="Verdana"/>
          <w:sz w:val="20"/>
        </w:rPr>
        <w:t xml:space="preserve">eferidos requerimentos “eram publicados, para efeito de que se alguém se sentia </w:t>
      </w:r>
      <w:r w:rsidR="00AA1CD7">
        <w:rPr>
          <w:rFonts w:ascii="Verdana" w:hAnsi="Verdana"/>
          <w:sz w:val="20"/>
        </w:rPr>
        <w:t>lesado</w:t>
      </w:r>
      <w:r w:rsidRPr="002818E7">
        <w:rPr>
          <w:rFonts w:ascii="Verdana" w:hAnsi="Verdana"/>
          <w:sz w:val="20"/>
        </w:rPr>
        <w:t xml:space="preserve"> ou </w:t>
      </w:r>
      <w:r>
        <w:rPr>
          <w:rFonts w:ascii="Verdana" w:hAnsi="Verdana"/>
          <w:sz w:val="20"/>
        </w:rPr>
        <w:t>desrespeitado</w:t>
      </w:r>
      <w:r w:rsidRPr="002818E7">
        <w:rPr>
          <w:rFonts w:ascii="Verdana" w:hAnsi="Verdana"/>
          <w:sz w:val="20"/>
        </w:rPr>
        <w:t xml:space="preserve"> pela eventual titulação, </w:t>
      </w:r>
      <w:r w:rsidR="00C24835">
        <w:rPr>
          <w:rFonts w:ascii="Verdana" w:hAnsi="Verdana"/>
          <w:sz w:val="20"/>
        </w:rPr>
        <w:t xml:space="preserve">pudesse </w:t>
      </w:r>
      <w:r>
        <w:rPr>
          <w:rFonts w:ascii="Verdana" w:hAnsi="Verdana"/>
          <w:sz w:val="20"/>
        </w:rPr>
        <w:t>se opor”.</w:t>
      </w:r>
      <w:r w:rsidRPr="002818E7">
        <w:rPr>
          <w:rFonts w:ascii="Verdana" w:hAnsi="Verdana"/>
          <w:sz w:val="20"/>
        </w:rPr>
        <w:t xml:space="preserve"> Se não havia oposição, era efetuada a </w:t>
      </w:r>
      <w:r>
        <w:rPr>
          <w:rFonts w:ascii="Verdana" w:hAnsi="Verdana"/>
          <w:sz w:val="20"/>
        </w:rPr>
        <w:t>medição</w:t>
      </w:r>
      <w:r w:rsidRPr="002818E7">
        <w:rPr>
          <w:rFonts w:ascii="Verdana" w:hAnsi="Verdana"/>
          <w:sz w:val="20"/>
        </w:rPr>
        <w:t xml:space="preserve"> e a subsequente titulação, mas no caso de que alguém se opuse</w:t>
      </w:r>
      <w:r>
        <w:rPr>
          <w:rFonts w:ascii="Verdana" w:hAnsi="Verdana"/>
          <w:sz w:val="20"/>
        </w:rPr>
        <w:t>sse</w:t>
      </w:r>
      <w:r w:rsidRPr="002818E7">
        <w:rPr>
          <w:rFonts w:ascii="Verdana" w:hAnsi="Verdana"/>
          <w:sz w:val="20"/>
        </w:rPr>
        <w:t xml:space="preserve">, tratava-se de alcançar uma solução amistosa na que </w:t>
      </w:r>
      <w:r>
        <w:rPr>
          <w:rFonts w:ascii="Verdana" w:hAnsi="Verdana"/>
          <w:sz w:val="20"/>
        </w:rPr>
        <w:t>fossem compensadas</w:t>
      </w:r>
      <w:r w:rsidRPr="002818E7">
        <w:rPr>
          <w:rFonts w:ascii="Verdana" w:hAnsi="Verdana"/>
          <w:sz w:val="20"/>
        </w:rPr>
        <w:t xml:space="preserve"> as áreas </w:t>
      </w:r>
      <w:r>
        <w:rPr>
          <w:rFonts w:ascii="Verdana" w:hAnsi="Verdana"/>
          <w:sz w:val="20"/>
        </w:rPr>
        <w:t>dos que tivessem sido</w:t>
      </w:r>
      <w:r w:rsidRPr="002818E7">
        <w:rPr>
          <w:rFonts w:ascii="Verdana" w:hAnsi="Verdana"/>
          <w:sz w:val="20"/>
        </w:rPr>
        <w:t xml:space="preserve"> afetados em matéria de titulação.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Posteriormente, num segundo momento, durante os anos sessenta e setenta, o Instituto Agrário Nicaraguense </w:t>
      </w:r>
      <w:r w:rsidR="00C60678" w:rsidRPr="00C60678">
        <w:rPr>
          <w:rFonts w:ascii="Verdana" w:hAnsi="Verdana"/>
          <w:sz w:val="20"/>
        </w:rPr>
        <w:t>(</w:t>
      </w:r>
      <w:r w:rsidRPr="002818E7">
        <w:rPr>
          <w:rFonts w:ascii="Verdana" w:hAnsi="Verdana"/>
          <w:sz w:val="20"/>
        </w:rPr>
        <w:t>IAN</w:t>
      </w:r>
      <w:r w:rsidR="00C60678" w:rsidRPr="00C60678">
        <w:rPr>
          <w:rFonts w:ascii="Verdana" w:hAnsi="Verdana"/>
          <w:sz w:val="20"/>
        </w:rPr>
        <w:t>)</w:t>
      </w:r>
      <w:r w:rsidRPr="002818E7">
        <w:rPr>
          <w:rFonts w:ascii="Verdana" w:hAnsi="Verdana"/>
          <w:sz w:val="20"/>
        </w:rPr>
        <w:t xml:space="preserve"> titulou com um critério agrário; </w:t>
      </w:r>
      <w:r w:rsidR="00243DA4">
        <w:rPr>
          <w:rFonts w:ascii="Verdana" w:hAnsi="Verdana"/>
          <w:sz w:val="20"/>
        </w:rPr>
        <w:t>de maneira que</w:t>
      </w:r>
      <w:r w:rsidRPr="002818E7">
        <w:rPr>
          <w:rFonts w:ascii="Verdana" w:hAnsi="Verdana"/>
          <w:sz w:val="20"/>
        </w:rPr>
        <w:t xml:space="preserve"> se passou de uma titulação de espírito compreensivo a uma etapa na qu</w:t>
      </w:r>
      <w:r w:rsidR="00BD19C3">
        <w:rPr>
          <w:rFonts w:ascii="Verdana" w:hAnsi="Verdana"/>
          <w:sz w:val="20"/>
        </w:rPr>
        <w:t>al</w:t>
      </w:r>
      <w:r w:rsidRPr="002818E7">
        <w:rPr>
          <w:rFonts w:ascii="Verdana" w:hAnsi="Verdana"/>
          <w:sz w:val="20"/>
        </w:rPr>
        <w:t xml:space="preserve"> </w:t>
      </w:r>
      <w:r>
        <w:rPr>
          <w:rFonts w:ascii="Verdana" w:hAnsi="Verdana"/>
          <w:sz w:val="20"/>
        </w:rPr>
        <w:t>foram tituladas</w:t>
      </w:r>
      <w:r w:rsidRPr="002818E7">
        <w:rPr>
          <w:rFonts w:ascii="Verdana" w:hAnsi="Verdana"/>
          <w:sz w:val="20"/>
        </w:rPr>
        <w:t xml:space="preserve"> terras adicionais sob o contexto da Lei Agrária de 1963. Nessa época foi titulada uma área de 62.500 hectares para comunidades indígenas. </w:t>
      </w:r>
      <w:r>
        <w:rPr>
          <w:rFonts w:ascii="Verdana" w:hAnsi="Verdana"/>
          <w:sz w:val="20"/>
        </w:rPr>
        <w:t>No</w:t>
      </w:r>
      <w:r w:rsidRPr="002818E7">
        <w:rPr>
          <w:rFonts w:ascii="Verdana" w:hAnsi="Verdana"/>
          <w:sz w:val="20"/>
        </w:rPr>
        <w:t xml:space="preserve"> total foram tituladas 28 comunidades. Às etnias Mayagnas ou Sumos </w:t>
      </w:r>
      <w:r>
        <w:rPr>
          <w:rFonts w:ascii="Verdana" w:hAnsi="Verdana"/>
          <w:sz w:val="20"/>
        </w:rPr>
        <w:t xml:space="preserve">corresponderam 14 mil </w:t>
      </w:r>
      <w:r>
        <w:rPr>
          <w:rFonts w:ascii="Verdana" w:hAnsi="Verdana"/>
          <w:sz w:val="20"/>
        </w:rPr>
        <w:lastRenderedPageBreak/>
        <w:t xml:space="preserve">hectares. </w:t>
      </w:r>
      <w:r w:rsidRPr="002818E7">
        <w:rPr>
          <w:rFonts w:ascii="Verdana" w:hAnsi="Verdana"/>
          <w:sz w:val="20"/>
        </w:rPr>
        <w:t xml:space="preserve">Neste período foi quando se apresentou o </w:t>
      </w:r>
      <w:r>
        <w:rPr>
          <w:rFonts w:ascii="Verdana" w:hAnsi="Verdana"/>
          <w:sz w:val="20"/>
        </w:rPr>
        <w:t>desacordo</w:t>
      </w:r>
      <w:r w:rsidRPr="002818E7">
        <w:rPr>
          <w:rFonts w:ascii="Verdana" w:hAnsi="Verdana"/>
          <w:sz w:val="20"/>
        </w:rPr>
        <w:t xml:space="preserve"> entre a Nicarágua e Honduras, e então houve comunidades que quiseram regressar </w:t>
      </w:r>
      <w:r>
        <w:rPr>
          <w:rFonts w:ascii="Verdana" w:hAnsi="Verdana"/>
          <w:sz w:val="20"/>
        </w:rPr>
        <w:t>à</w:t>
      </w:r>
      <w:r w:rsidRPr="002818E7">
        <w:rPr>
          <w:rFonts w:ascii="Verdana" w:hAnsi="Verdana"/>
          <w:sz w:val="20"/>
        </w:rPr>
        <w:t xml:space="preserve"> Nicarágua e foram tituladas; dentro delas estão Francia Sirpi, Wisconsin, entre outras.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Outro momento é o período da Revolução</w:t>
      </w:r>
      <w:r w:rsidR="00256E33">
        <w:rPr>
          <w:rFonts w:ascii="Verdana" w:hAnsi="Verdana"/>
          <w:sz w:val="20"/>
        </w:rPr>
        <w:t xml:space="preserve"> </w:t>
      </w:r>
      <w:r w:rsidRPr="002818E7">
        <w:rPr>
          <w:rFonts w:ascii="Verdana" w:hAnsi="Verdana"/>
          <w:sz w:val="20"/>
        </w:rPr>
        <w:t>dos anos oitenta; com uma nova lei de reforma agrária, baseada no critério de terras adicionais e sob a instituição chamada</w:t>
      </w:r>
      <w:r w:rsidRPr="002818E7">
        <w:rPr>
          <w:rFonts w:ascii="Verdana" w:hAnsi="Verdana"/>
          <w:b/>
          <w:sz w:val="20"/>
        </w:rPr>
        <w:t xml:space="preserve"> </w:t>
      </w:r>
      <w:r w:rsidRPr="002818E7">
        <w:rPr>
          <w:rFonts w:ascii="Verdana" w:hAnsi="Verdana"/>
          <w:sz w:val="20"/>
        </w:rPr>
        <w:t>MIDINRA</w:t>
      </w:r>
      <w:r w:rsidRPr="002818E7">
        <w:rPr>
          <w:rFonts w:ascii="Verdana" w:hAnsi="Verdana"/>
          <w:b/>
          <w:sz w:val="20"/>
        </w:rPr>
        <w:t xml:space="preserve">, </w:t>
      </w:r>
      <w:r w:rsidRPr="002818E7">
        <w:rPr>
          <w:rFonts w:ascii="Verdana" w:hAnsi="Verdana"/>
          <w:sz w:val="20"/>
        </w:rPr>
        <w:t xml:space="preserve">foram tituladas 29 comunidades, mas o número preciso de hectares não </w:t>
      </w:r>
      <w:r>
        <w:rPr>
          <w:rFonts w:ascii="Verdana" w:hAnsi="Verdana"/>
          <w:sz w:val="20"/>
        </w:rPr>
        <w:t>foi assentado</w:t>
      </w:r>
      <w:r w:rsidRPr="002818E7">
        <w:rPr>
          <w:rFonts w:ascii="Verdana" w:hAnsi="Verdana"/>
          <w:sz w:val="20"/>
        </w:rPr>
        <w:t xml:space="preserve"> no Registro Público da Propriedade. Em um rastreio realizado nos arquivos da instituição e no Registro Público da Propriedade somente se alcançou comprovar que haviam sido titulados 28.000 hectares.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No período de 1995 a 1998 foi realizado um diagnóstico muito completo das comunidades indígenas sobre a </w:t>
      </w:r>
      <w:r>
        <w:rPr>
          <w:rFonts w:ascii="Verdana" w:hAnsi="Verdana"/>
          <w:sz w:val="20"/>
        </w:rPr>
        <w:t>posse</w:t>
      </w:r>
      <w:r w:rsidRPr="002818E7">
        <w:rPr>
          <w:rFonts w:ascii="Verdana" w:hAnsi="Verdana"/>
          <w:sz w:val="20"/>
        </w:rPr>
        <w:t xml:space="preserve"> da terra destas comunidades. Este diagnóstico mostrou a situação em que, de acordo com o critério dos consultores, estavam as mencionadas comunidades nesse momento. No diagnóstico não </w:t>
      </w:r>
      <w:r>
        <w:rPr>
          <w:rFonts w:ascii="Verdana" w:hAnsi="Verdana"/>
          <w:sz w:val="20"/>
        </w:rPr>
        <w:t>foi feita</w:t>
      </w:r>
      <w:r w:rsidRPr="002818E7">
        <w:rPr>
          <w:rFonts w:ascii="Verdana" w:hAnsi="Verdana"/>
          <w:sz w:val="20"/>
        </w:rPr>
        <w:t xml:space="preserve"> referência ao caso da Comunidade Awas Tingni.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Um ponto de especial interesse </w:t>
      </w:r>
      <w:r>
        <w:rPr>
          <w:rFonts w:ascii="Verdana" w:hAnsi="Verdana"/>
          <w:sz w:val="20"/>
        </w:rPr>
        <w:t>da reivindicação</w:t>
      </w:r>
      <w:r w:rsidRPr="002818E7">
        <w:rPr>
          <w:rFonts w:ascii="Verdana" w:hAnsi="Verdana"/>
          <w:sz w:val="20"/>
        </w:rPr>
        <w:t xml:space="preserve"> de terras na Costa Atlântica da Nicarágua tem </w:t>
      </w:r>
      <w:r>
        <w:rPr>
          <w:rFonts w:ascii="Verdana" w:hAnsi="Verdana"/>
          <w:sz w:val="20"/>
        </w:rPr>
        <w:t>a</w:t>
      </w:r>
      <w:r w:rsidRPr="002818E7">
        <w:rPr>
          <w:rFonts w:ascii="Verdana" w:hAnsi="Verdana"/>
          <w:sz w:val="20"/>
        </w:rPr>
        <w:t xml:space="preserve"> ver com a formação de blocos</w:t>
      </w:r>
      <w:r>
        <w:rPr>
          <w:rFonts w:ascii="Verdana" w:hAnsi="Verdana"/>
          <w:sz w:val="20"/>
        </w:rPr>
        <w:t xml:space="preserve">. </w:t>
      </w:r>
      <w:r w:rsidR="00256E33">
        <w:rPr>
          <w:rFonts w:ascii="Verdana" w:hAnsi="Verdana"/>
          <w:sz w:val="20"/>
        </w:rPr>
        <w:t>Estes</w:t>
      </w:r>
      <w:r w:rsidRPr="002818E7">
        <w:rPr>
          <w:rFonts w:ascii="Verdana" w:hAnsi="Verdana"/>
          <w:sz w:val="20"/>
        </w:rPr>
        <w:t xml:space="preserve"> blocos têm um alcance muito positivo, porque dão força à gestão das comunidades. Entretanto, </w:t>
      </w:r>
      <w:r w:rsidR="00BD19C3">
        <w:rPr>
          <w:rFonts w:ascii="Verdana" w:hAnsi="Verdana"/>
          <w:sz w:val="20"/>
        </w:rPr>
        <w:t>há</w:t>
      </w:r>
      <w:r w:rsidR="00BD19C3" w:rsidRPr="002818E7">
        <w:rPr>
          <w:rFonts w:ascii="Verdana" w:hAnsi="Verdana"/>
          <w:sz w:val="20"/>
        </w:rPr>
        <w:t xml:space="preserve"> </w:t>
      </w:r>
      <w:r w:rsidRPr="002818E7">
        <w:rPr>
          <w:rFonts w:ascii="Verdana" w:hAnsi="Verdana"/>
          <w:sz w:val="20"/>
        </w:rPr>
        <w:t xml:space="preserve">o problema de que </w:t>
      </w:r>
      <w:r>
        <w:rPr>
          <w:rFonts w:ascii="Verdana" w:hAnsi="Verdana"/>
          <w:sz w:val="20"/>
        </w:rPr>
        <w:t>foram somadas</w:t>
      </w:r>
      <w:r w:rsidRPr="002818E7">
        <w:rPr>
          <w:rFonts w:ascii="Verdana" w:hAnsi="Verdana"/>
          <w:sz w:val="20"/>
        </w:rPr>
        <w:t xml:space="preserve"> às “comunidades mães” que receberam títulos da Comissão </w:t>
      </w:r>
      <w:r>
        <w:rPr>
          <w:rFonts w:ascii="Verdana" w:hAnsi="Verdana"/>
          <w:sz w:val="20"/>
        </w:rPr>
        <w:t>de Titulação</w:t>
      </w:r>
      <w:r w:rsidRPr="002818E7">
        <w:rPr>
          <w:rFonts w:ascii="Verdana" w:hAnsi="Verdana"/>
          <w:sz w:val="20"/>
        </w:rPr>
        <w:t xml:space="preserve"> da Mos</w:t>
      </w:r>
      <w:r>
        <w:rPr>
          <w:rFonts w:ascii="Verdana" w:hAnsi="Verdana"/>
          <w:sz w:val="20"/>
        </w:rPr>
        <w:t>k</w:t>
      </w:r>
      <w:r w:rsidRPr="002818E7">
        <w:rPr>
          <w:rFonts w:ascii="Verdana" w:hAnsi="Verdana"/>
          <w:sz w:val="20"/>
        </w:rPr>
        <w:t xml:space="preserve">itia, comunidades mais recentes, chamadas “comunidades filhas”, as quais se </w:t>
      </w:r>
      <w:r>
        <w:rPr>
          <w:rFonts w:ascii="Verdana" w:hAnsi="Verdana"/>
          <w:sz w:val="20"/>
        </w:rPr>
        <w:t>desprenderam</w:t>
      </w:r>
      <w:r w:rsidRPr="002818E7">
        <w:rPr>
          <w:rFonts w:ascii="Verdana" w:hAnsi="Verdana"/>
          <w:sz w:val="20"/>
        </w:rPr>
        <w:t xml:space="preserve"> daquelas com certa autonomia e agora pretendem fazer </w:t>
      </w:r>
      <w:r>
        <w:rPr>
          <w:rFonts w:ascii="Verdana" w:hAnsi="Verdana"/>
          <w:sz w:val="20"/>
        </w:rPr>
        <w:t>uma reivindicação</w:t>
      </w:r>
      <w:r w:rsidRPr="002818E7">
        <w:rPr>
          <w:rFonts w:ascii="Verdana" w:hAnsi="Verdana"/>
          <w:sz w:val="20"/>
        </w:rPr>
        <w:t xml:space="preserve"> de titulação invocando ancestralidade. </w:t>
      </w:r>
    </w:p>
    <w:p w:rsidR="00C336FB" w:rsidRPr="002818E7" w:rsidRDefault="00C336FB" w:rsidP="00C336FB">
      <w:pPr>
        <w:jc w:val="both"/>
        <w:rPr>
          <w:rFonts w:ascii="Verdana" w:hAnsi="Verdana"/>
          <w:sz w:val="20"/>
        </w:rPr>
      </w:pPr>
    </w:p>
    <w:p w:rsidR="00C336FB" w:rsidRDefault="00C336FB" w:rsidP="00C336FB">
      <w:pPr>
        <w:jc w:val="both"/>
        <w:rPr>
          <w:rFonts w:ascii="Verdana" w:hAnsi="Verdana"/>
          <w:sz w:val="20"/>
        </w:rPr>
      </w:pPr>
      <w:r w:rsidRPr="002818E7">
        <w:rPr>
          <w:rFonts w:ascii="Verdana" w:hAnsi="Verdana"/>
          <w:sz w:val="20"/>
        </w:rPr>
        <w:t xml:space="preserve">Nos arquivos da instituição que hoje se chama Escritório de Titulação Rural </w:t>
      </w:r>
      <w:r w:rsidR="00C60678" w:rsidRPr="00C60678">
        <w:rPr>
          <w:rFonts w:ascii="Verdana" w:hAnsi="Verdana"/>
          <w:sz w:val="20"/>
        </w:rPr>
        <w:t>(</w:t>
      </w:r>
      <w:r w:rsidRPr="002818E7">
        <w:rPr>
          <w:rFonts w:ascii="Verdana" w:hAnsi="Verdana"/>
          <w:sz w:val="20"/>
        </w:rPr>
        <w:t>antes INRA e anteriormente MIDINRA</w:t>
      </w:r>
      <w:r w:rsidR="00C60678" w:rsidRPr="00C60678">
        <w:rPr>
          <w:rFonts w:ascii="Verdana" w:hAnsi="Verdana"/>
          <w:sz w:val="20"/>
        </w:rPr>
        <w:t>)</w:t>
      </w:r>
      <w:r w:rsidRPr="002818E7">
        <w:rPr>
          <w:rFonts w:ascii="Verdana" w:hAnsi="Verdana"/>
          <w:sz w:val="20"/>
        </w:rPr>
        <w:t xml:space="preserve"> não </w:t>
      </w:r>
      <w:r w:rsidR="00256E33">
        <w:rPr>
          <w:rFonts w:ascii="Verdana" w:hAnsi="Verdana"/>
          <w:sz w:val="20"/>
        </w:rPr>
        <w:t>foi encontrado um pedido</w:t>
      </w:r>
      <w:r w:rsidRPr="002818E7">
        <w:rPr>
          <w:rFonts w:ascii="Verdana" w:hAnsi="Verdana"/>
          <w:sz w:val="20"/>
        </w:rPr>
        <w:t xml:space="preserve"> formal de titulação da Comunidade Awas Tingni. Entretanto, a Comissão Interamericana ofereceu em algum momento do </w:t>
      </w:r>
      <w:r w:rsidR="00256E33">
        <w:rPr>
          <w:rFonts w:ascii="Verdana" w:hAnsi="Verdana"/>
          <w:sz w:val="20"/>
        </w:rPr>
        <w:t>julgamento</w:t>
      </w:r>
      <w:r w:rsidRPr="002818E7">
        <w:rPr>
          <w:rFonts w:ascii="Verdana" w:hAnsi="Verdana"/>
          <w:sz w:val="20"/>
        </w:rPr>
        <w:t xml:space="preserve"> uma cópia de um livro de registro “de visitas ou de documentação que entra”, no qual estava anotada uma petição de dois representantes da Comunidade na qu</w:t>
      </w:r>
      <w:r w:rsidR="00BD19C3">
        <w:rPr>
          <w:rFonts w:ascii="Verdana" w:hAnsi="Verdana"/>
          <w:sz w:val="20"/>
        </w:rPr>
        <w:t>al</w:t>
      </w:r>
      <w:r w:rsidRPr="002818E7">
        <w:rPr>
          <w:rFonts w:ascii="Verdana" w:hAnsi="Verdana"/>
          <w:sz w:val="20"/>
        </w:rPr>
        <w:t xml:space="preserve"> reclamavam 16 mil hectares de titulação. Entretanto, a testemunha não pode precisar o ano em que foi </w:t>
      </w:r>
      <w:r w:rsidR="004167EE">
        <w:rPr>
          <w:rFonts w:ascii="Verdana" w:hAnsi="Verdana"/>
          <w:sz w:val="20"/>
        </w:rPr>
        <w:t>realizada essa reivindicação</w:t>
      </w:r>
      <w:r>
        <w:rPr>
          <w:rFonts w:ascii="Verdana" w:hAnsi="Verdana"/>
          <w:sz w:val="20"/>
        </w:rPr>
        <w:t>.</w:t>
      </w:r>
    </w:p>
    <w:p w:rsidR="00256E33" w:rsidRPr="002818E7" w:rsidRDefault="00256E33"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Tem conhecimento do estudo preparado pelo Doutor Theodore Macdonald, no qual se pretende mostrar a ocupação ancestral de suas terras por parte da Comunidade Awas Tingni. A esse respeito, afirma que o Escritório de Titulação Rural </w:t>
      </w:r>
      <w:r>
        <w:rPr>
          <w:rFonts w:ascii="Verdana" w:hAnsi="Verdana"/>
          <w:sz w:val="20"/>
        </w:rPr>
        <w:t>atendeu</w:t>
      </w:r>
      <w:r w:rsidRPr="002818E7">
        <w:rPr>
          <w:rFonts w:ascii="Verdana" w:hAnsi="Verdana"/>
          <w:sz w:val="20"/>
        </w:rPr>
        <w:t xml:space="preserve"> o </w:t>
      </w:r>
      <w:r w:rsidR="004167EE">
        <w:rPr>
          <w:rFonts w:ascii="Verdana" w:hAnsi="Verdana"/>
          <w:sz w:val="20"/>
        </w:rPr>
        <w:t>problema</w:t>
      </w:r>
      <w:r w:rsidR="004167EE" w:rsidRPr="002818E7">
        <w:rPr>
          <w:rFonts w:ascii="Verdana" w:hAnsi="Verdana"/>
          <w:sz w:val="20"/>
        </w:rPr>
        <w:t xml:space="preserve"> </w:t>
      </w:r>
      <w:r w:rsidRPr="002818E7">
        <w:rPr>
          <w:rFonts w:ascii="Verdana" w:hAnsi="Verdana"/>
          <w:sz w:val="20"/>
        </w:rPr>
        <w:t>da Comunidade, “no entendi</w:t>
      </w:r>
      <w:r>
        <w:rPr>
          <w:rFonts w:ascii="Verdana" w:hAnsi="Verdana"/>
          <w:sz w:val="20"/>
        </w:rPr>
        <w:t>mento</w:t>
      </w:r>
      <w:r w:rsidRPr="002818E7">
        <w:rPr>
          <w:rFonts w:ascii="Verdana" w:hAnsi="Verdana"/>
          <w:sz w:val="20"/>
        </w:rPr>
        <w:t xml:space="preserve"> de que já transcendeu e que é um tema que devem </w:t>
      </w:r>
      <w:proofErr w:type="gramStart"/>
      <w:r w:rsidRPr="002818E7">
        <w:rPr>
          <w:rFonts w:ascii="Verdana" w:hAnsi="Verdana"/>
          <w:sz w:val="20"/>
        </w:rPr>
        <w:t>documentar[</w:t>
      </w:r>
      <w:proofErr w:type="gramEnd"/>
      <w:r w:rsidRPr="002818E7">
        <w:rPr>
          <w:rFonts w:ascii="Verdana" w:hAnsi="Verdana"/>
          <w:sz w:val="20"/>
        </w:rPr>
        <w:t xml:space="preserve">…] institucionalmente”, </w:t>
      </w:r>
      <w:r w:rsidR="00BD19C3">
        <w:rPr>
          <w:rFonts w:ascii="Verdana" w:hAnsi="Verdana"/>
          <w:sz w:val="20"/>
        </w:rPr>
        <w:t>razão pela</w:t>
      </w:r>
      <w:r w:rsidR="00BD19C3" w:rsidRPr="002818E7">
        <w:rPr>
          <w:rFonts w:ascii="Verdana" w:hAnsi="Verdana"/>
          <w:sz w:val="20"/>
        </w:rPr>
        <w:t xml:space="preserve"> </w:t>
      </w:r>
      <w:r w:rsidRPr="002818E7">
        <w:rPr>
          <w:rFonts w:ascii="Verdana" w:hAnsi="Verdana"/>
          <w:sz w:val="20"/>
        </w:rPr>
        <w:t>qual o Escritório</w:t>
      </w:r>
      <w:r w:rsidR="00850A3F">
        <w:rPr>
          <w:rFonts w:ascii="Verdana" w:hAnsi="Verdana"/>
          <w:sz w:val="20"/>
        </w:rPr>
        <w:t xml:space="preserve"> </w:t>
      </w:r>
      <w:r w:rsidRPr="002818E7">
        <w:rPr>
          <w:rFonts w:ascii="Verdana" w:hAnsi="Verdana"/>
          <w:sz w:val="20"/>
        </w:rPr>
        <w:t>mencionado contratou um especialista nicaraguense, senhor Ramiro García, arqueólogo, pesquisador permanente do Museu Nacional da Nicarágua e assessor do Instituto Nicaraguense de Cultura, para que fize</w:t>
      </w:r>
      <w:r>
        <w:rPr>
          <w:rFonts w:ascii="Verdana" w:hAnsi="Verdana"/>
          <w:sz w:val="20"/>
        </w:rPr>
        <w:t>sse</w:t>
      </w:r>
      <w:r w:rsidRPr="002818E7">
        <w:rPr>
          <w:rFonts w:ascii="Verdana" w:hAnsi="Verdana"/>
          <w:sz w:val="20"/>
        </w:rPr>
        <w:t xml:space="preserve"> uma avaliação do estudo.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O critério institucional do Escritório que</w:t>
      </w:r>
      <w:r w:rsidR="004167EE">
        <w:rPr>
          <w:rFonts w:ascii="Verdana" w:hAnsi="Verdana"/>
          <w:sz w:val="20"/>
        </w:rPr>
        <w:t xml:space="preserve"> ele</w:t>
      </w:r>
      <w:r w:rsidRPr="002818E7">
        <w:rPr>
          <w:rFonts w:ascii="Verdana" w:hAnsi="Verdana"/>
          <w:sz w:val="20"/>
        </w:rPr>
        <w:t xml:space="preserve"> representa é que a Comunidade Awas Tingni não tem ocupação ancestral das áreas cuja titulação pede.</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De fato, a Comunidade Awas Tingni tem conflitos de interesse em matéria de titulação com comunidades que já foram devidamente tituladas</w:t>
      </w:r>
      <w:r w:rsidR="004167EE">
        <w:rPr>
          <w:rFonts w:ascii="Verdana" w:hAnsi="Verdana"/>
          <w:sz w:val="20"/>
        </w:rPr>
        <w:t>,</w:t>
      </w:r>
      <w:r w:rsidRPr="002818E7">
        <w:rPr>
          <w:rFonts w:ascii="Verdana" w:hAnsi="Verdana"/>
          <w:sz w:val="20"/>
        </w:rPr>
        <w:t xml:space="preserve"> pela Comissão </w:t>
      </w:r>
      <w:r>
        <w:rPr>
          <w:rFonts w:ascii="Verdana" w:hAnsi="Verdana"/>
          <w:sz w:val="20"/>
        </w:rPr>
        <w:t>de Titulação</w:t>
      </w:r>
      <w:r w:rsidRPr="002818E7">
        <w:rPr>
          <w:rFonts w:ascii="Verdana" w:hAnsi="Verdana"/>
          <w:sz w:val="20"/>
        </w:rPr>
        <w:t xml:space="preserve"> da Mos</w:t>
      </w:r>
      <w:r>
        <w:rPr>
          <w:rFonts w:ascii="Verdana" w:hAnsi="Verdana"/>
          <w:sz w:val="20"/>
        </w:rPr>
        <w:t>k</w:t>
      </w:r>
      <w:r w:rsidRPr="002818E7">
        <w:rPr>
          <w:rFonts w:ascii="Verdana" w:hAnsi="Verdana"/>
          <w:sz w:val="20"/>
        </w:rPr>
        <w:t xml:space="preserve">itia, mas especialmente com comunidades ou grupos que foram titulados no período do IAN, especificamente com as Comunidades Francia Sirpi, Wisconsin, Santa Clara, Aminrosita </w:t>
      </w:r>
      <w:proofErr w:type="gramStart"/>
      <w:r w:rsidRPr="002818E7">
        <w:rPr>
          <w:rFonts w:ascii="Verdana" w:hAnsi="Verdana"/>
          <w:sz w:val="20"/>
        </w:rPr>
        <w:t>1</w:t>
      </w:r>
      <w:proofErr w:type="gramEnd"/>
      <w:r w:rsidRPr="002818E7">
        <w:rPr>
          <w:rFonts w:ascii="Verdana" w:hAnsi="Verdana"/>
          <w:sz w:val="20"/>
        </w:rPr>
        <w:t xml:space="preserve">, Aminrosita 2, </w:t>
      </w:r>
      <w:r w:rsidR="004167EE">
        <w:rPr>
          <w:rFonts w:ascii="Verdana" w:hAnsi="Verdana"/>
          <w:sz w:val="20"/>
        </w:rPr>
        <w:t>como também com as</w:t>
      </w:r>
      <w:r w:rsidRPr="002818E7">
        <w:rPr>
          <w:rFonts w:ascii="Verdana" w:hAnsi="Verdana"/>
          <w:sz w:val="20"/>
        </w:rPr>
        <w:t xml:space="preserve"> Dezoito Comunidades e as chamadas Dez Comunidades. Isso tem impossibilitado que </w:t>
      </w:r>
      <w:r>
        <w:rPr>
          <w:rFonts w:ascii="Verdana" w:hAnsi="Verdana"/>
          <w:sz w:val="20"/>
        </w:rPr>
        <w:t>seja realizada</w:t>
      </w:r>
      <w:r w:rsidRPr="002818E7">
        <w:rPr>
          <w:rFonts w:ascii="Verdana" w:hAnsi="Verdana"/>
          <w:sz w:val="20"/>
        </w:rPr>
        <w:t xml:space="preserve"> uma titulação </w:t>
      </w:r>
      <w:r w:rsidR="004167EE">
        <w:rPr>
          <w:rFonts w:ascii="Verdana" w:hAnsi="Verdana"/>
          <w:sz w:val="20"/>
        </w:rPr>
        <w:t>expedi</w:t>
      </w:r>
      <w:r w:rsidR="00AA1CD7">
        <w:rPr>
          <w:rFonts w:ascii="Verdana" w:hAnsi="Verdana"/>
          <w:sz w:val="20"/>
        </w:rPr>
        <w:t>t</w:t>
      </w:r>
      <w:r w:rsidR="004167EE">
        <w:rPr>
          <w:rFonts w:ascii="Verdana" w:hAnsi="Verdana"/>
          <w:sz w:val="20"/>
        </w:rPr>
        <w:t>a</w:t>
      </w:r>
      <w:r w:rsidR="004167EE" w:rsidRPr="002818E7">
        <w:rPr>
          <w:rFonts w:ascii="Verdana" w:hAnsi="Verdana"/>
          <w:sz w:val="20"/>
        </w:rPr>
        <w:t xml:space="preserve"> </w:t>
      </w:r>
      <w:r w:rsidRPr="002818E7">
        <w:rPr>
          <w:rFonts w:ascii="Verdana" w:hAnsi="Verdana"/>
          <w:sz w:val="20"/>
        </w:rPr>
        <w:t xml:space="preserve">a propósito da petição ou </w:t>
      </w:r>
      <w:r>
        <w:rPr>
          <w:rFonts w:ascii="Verdana" w:hAnsi="Verdana"/>
          <w:sz w:val="20"/>
        </w:rPr>
        <w:t>reivindicação</w:t>
      </w:r>
      <w:r w:rsidRPr="002818E7">
        <w:rPr>
          <w:rFonts w:ascii="Verdana" w:hAnsi="Verdana"/>
          <w:sz w:val="20"/>
        </w:rPr>
        <w:t xml:space="preserve"> da </w:t>
      </w:r>
      <w:r w:rsidRPr="002818E7">
        <w:rPr>
          <w:rFonts w:ascii="Verdana" w:hAnsi="Verdana"/>
          <w:sz w:val="20"/>
        </w:rPr>
        <w:lastRenderedPageBreak/>
        <w:t xml:space="preserve">Comunidade Awas Tingni. Mas, em nenhum momento, o escritório encarregado da testemunha </w:t>
      </w:r>
      <w:r>
        <w:rPr>
          <w:rFonts w:ascii="Verdana" w:hAnsi="Verdana"/>
          <w:sz w:val="20"/>
        </w:rPr>
        <w:t>negou</w:t>
      </w:r>
      <w:r w:rsidRPr="002818E7">
        <w:rPr>
          <w:rFonts w:ascii="Verdana" w:hAnsi="Verdana"/>
          <w:sz w:val="20"/>
        </w:rPr>
        <w:t xml:space="preserve"> a esta Comunidade o direito de titulação.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Como consequência de um Anteprojeto de Lei </w:t>
      </w:r>
      <w:r w:rsidR="00BD19C3" w:rsidRPr="002818E7">
        <w:rPr>
          <w:rFonts w:ascii="Verdana" w:hAnsi="Verdana"/>
          <w:sz w:val="20"/>
        </w:rPr>
        <w:t>introduzi</w:t>
      </w:r>
      <w:r w:rsidR="00BD19C3">
        <w:rPr>
          <w:rFonts w:ascii="Verdana" w:hAnsi="Verdana"/>
          <w:sz w:val="20"/>
        </w:rPr>
        <w:t>do pel</w:t>
      </w:r>
      <w:r w:rsidR="00BD19C3" w:rsidRPr="002818E7">
        <w:rPr>
          <w:rFonts w:ascii="Verdana" w:hAnsi="Verdana"/>
          <w:sz w:val="20"/>
        </w:rPr>
        <w:t xml:space="preserve"> </w:t>
      </w:r>
      <w:r w:rsidRPr="002818E7">
        <w:rPr>
          <w:rFonts w:ascii="Verdana" w:hAnsi="Verdana"/>
          <w:sz w:val="20"/>
        </w:rPr>
        <w:t>o Poder Executivo</w:t>
      </w:r>
      <w:r w:rsidR="004167EE">
        <w:rPr>
          <w:rFonts w:ascii="Verdana" w:hAnsi="Verdana"/>
          <w:sz w:val="20"/>
        </w:rPr>
        <w:t>,</w:t>
      </w:r>
      <w:r w:rsidRPr="002818E7">
        <w:rPr>
          <w:rFonts w:ascii="Verdana" w:hAnsi="Verdana"/>
          <w:sz w:val="20"/>
        </w:rPr>
        <w:t xml:space="preserve"> na Assembleia Legislativa da Nicarágua no mês de outubro de 1998 f</w:t>
      </w:r>
      <w:r w:rsidR="000B1338">
        <w:rPr>
          <w:rFonts w:ascii="Verdana" w:hAnsi="Verdana"/>
          <w:sz w:val="20"/>
        </w:rPr>
        <w:t xml:space="preserve">oram feitas uma </w:t>
      </w:r>
      <w:r>
        <w:rPr>
          <w:rFonts w:ascii="Verdana" w:hAnsi="Verdana"/>
          <w:sz w:val="20"/>
        </w:rPr>
        <w:t xml:space="preserve">série de consultas </w:t>
      </w:r>
      <w:r w:rsidRPr="002818E7">
        <w:rPr>
          <w:rFonts w:ascii="Verdana" w:hAnsi="Verdana"/>
          <w:sz w:val="20"/>
        </w:rPr>
        <w:t>tanto às comunidades e autoridades aut</w:t>
      </w:r>
      <w:r>
        <w:rPr>
          <w:rFonts w:ascii="Verdana" w:hAnsi="Verdana"/>
          <w:sz w:val="20"/>
        </w:rPr>
        <w:t>ônomas</w:t>
      </w:r>
      <w:r w:rsidRPr="002818E7">
        <w:rPr>
          <w:rFonts w:ascii="Verdana" w:hAnsi="Verdana"/>
          <w:sz w:val="20"/>
        </w:rPr>
        <w:t xml:space="preserve"> da Costa Atlântica, como à sociedade civil nicaraguense.</w:t>
      </w:r>
    </w:p>
    <w:p w:rsidR="00C24835" w:rsidRDefault="00C24835"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No período compreendido entre os anos sessenta e setenta, o IAN emitiu 28 títulos às comunidades indígenas. A partir do ano de 1974, durante o Governo do General Anastacio Somoza foram entregues alguns títulos </w:t>
      </w:r>
      <w:r w:rsidR="00BD19C3">
        <w:rPr>
          <w:rFonts w:ascii="Verdana" w:hAnsi="Verdana"/>
          <w:sz w:val="20"/>
        </w:rPr>
        <w:t xml:space="preserve">sobre </w:t>
      </w:r>
      <w:r w:rsidRPr="002818E7">
        <w:rPr>
          <w:rFonts w:ascii="Verdana" w:hAnsi="Verdana"/>
          <w:sz w:val="20"/>
        </w:rPr>
        <w:t xml:space="preserve">os quais não tem dados precisos, mas segundo os registros do Escritório de Titulação Regional foram </w:t>
      </w:r>
      <w:r w:rsidR="00BD19C3">
        <w:rPr>
          <w:rFonts w:ascii="Verdana" w:hAnsi="Verdana"/>
          <w:sz w:val="20"/>
        </w:rPr>
        <w:t>concedidos</w:t>
      </w:r>
      <w:r w:rsidR="00BD19C3" w:rsidRPr="002818E7">
        <w:rPr>
          <w:rFonts w:ascii="Verdana" w:hAnsi="Verdana"/>
          <w:sz w:val="20"/>
        </w:rPr>
        <w:t xml:space="preserve"> </w:t>
      </w:r>
      <w:r w:rsidRPr="002818E7">
        <w:rPr>
          <w:rFonts w:ascii="Verdana" w:hAnsi="Verdana"/>
          <w:sz w:val="20"/>
        </w:rPr>
        <w:t xml:space="preserve">aproximadamente </w:t>
      </w:r>
      <w:r>
        <w:rPr>
          <w:rFonts w:ascii="Verdana" w:hAnsi="Verdana"/>
          <w:sz w:val="20"/>
        </w:rPr>
        <w:t>68.500</w:t>
      </w:r>
      <w:r w:rsidRPr="002818E7">
        <w:rPr>
          <w:rFonts w:ascii="Verdana" w:hAnsi="Verdana"/>
          <w:sz w:val="20"/>
        </w:rPr>
        <w:t xml:space="preserve"> hectares.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Pr>
          <w:rFonts w:ascii="Verdana" w:hAnsi="Verdana"/>
          <w:sz w:val="20"/>
        </w:rPr>
        <w:t>A reivindicação</w:t>
      </w:r>
      <w:r w:rsidRPr="002818E7">
        <w:rPr>
          <w:rFonts w:ascii="Verdana" w:hAnsi="Verdana"/>
          <w:sz w:val="20"/>
        </w:rPr>
        <w:t xml:space="preserve"> apresentad</w:t>
      </w:r>
      <w:r>
        <w:rPr>
          <w:rFonts w:ascii="Verdana" w:hAnsi="Verdana"/>
          <w:sz w:val="20"/>
        </w:rPr>
        <w:t>a</w:t>
      </w:r>
      <w:r w:rsidRPr="002818E7">
        <w:rPr>
          <w:rFonts w:ascii="Verdana" w:hAnsi="Verdana"/>
          <w:sz w:val="20"/>
        </w:rPr>
        <w:t xml:space="preserve"> pela Comunidade Awas Tingni é contraditóri</w:t>
      </w:r>
      <w:r>
        <w:rPr>
          <w:rFonts w:ascii="Verdana" w:hAnsi="Verdana"/>
          <w:sz w:val="20"/>
        </w:rPr>
        <w:t>a</w:t>
      </w:r>
      <w:r w:rsidRPr="002818E7">
        <w:rPr>
          <w:rFonts w:ascii="Verdana" w:hAnsi="Verdana"/>
          <w:sz w:val="20"/>
        </w:rPr>
        <w:t>. Sua petição, de acordo com a autoridade competente em matéria de georreferencia</w:t>
      </w:r>
      <w:r>
        <w:rPr>
          <w:rFonts w:ascii="Verdana" w:hAnsi="Verdana"/>
          <w:sz w:val="20"/>
        </w:rPr>
        <w:t>mento</w:t>
      </w:r>
      <w:r w:rsidRPr="002818E7">
        <w:rPr>
          <w:rFonts w:ascii="Verdana" w:hAnsi="Verdana"/>
          <w:sz w:val="20"/>
        </w:rPr>
        <w:t xml:space="preserve"> e cartografia na Nicarágua, que é o Instituto Nicaraguense de Estudos Territoriais, o INETER tinha </w:t>
      </w:r>
      <w:r w:rsidR="00BD19C3">
        <w:rPr>
          <w:rFonts w:ascii="Verdana" w:hAnsi="Verdana"/>
          <w:sz w:val="20"/>
        </w:rPr>
        <w:t xml:space="preserve">aproximadamente </w:t>
      </w:r>
      <w:r w:rsidRPr="002818E7">
        <w:rPr>
          <w:rFonts w:ascii="Verdana" w:hAnsi="Verdana"/>
          <w:sz w:val="20"/>
        </w:rPr>
        <w:t>156.000 hectares.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Nos últimos 11 anos nenhuma comunidade indígena </w:t>
      </w:r>
      <w:r>
        <w:rPr>
          <w:rFonts w:ascii="Verdana" w:hAnsi="Verdana"/>
          <w:sz w:val="20"/>
        </w:rPr>
        <w:t>foi</w:t>
      </w:r>
      <w:r w:rsidRPr="002818E7">
        <w:rPr>
          <w:rFonts w:ascii="Verdana" w:hAnsi="Verdana"/>
          <w:sz w:val="20"/>
        </w:rPr>
        <w:t xml:space="preserve"> titulada e durante o ano </w:t>
      </w:r>
      <w:r>
        <w:rPr>
          <w:rFonts w:ascii="Verdana" w:hAnsi="Verdana"/>
          <w:sz w:val="20"/>
        </w:rPr>
        <w:t xml:space="preserve">em </w:t>
      </w:r>
      <w:r w:rsidRPr="002818E7">
        <w:rPr>
          <w:rFonts w:ascii="Verdana" w:hAnsi="Verdana"/>
          <w:sz w:val="20"/>
        </w:rPr>
        <w:t xml:space="preserve">que a testemunha </w:t>
      </w:r>
      <w:r>
        <w:rPr>
          <w:rFonts w:ascii="Verdana" w:hAnsi="Verdana"/>
          <w:sz w:val="20"/>
        </w:rPr>
        <w:t>esteve</w:t>
      </w:r>
      <w:r w:rsidRPr="002818E7">
        <w:rPr>
          <w:rFonts w:ascii="Verdana" w:hAnsi="Verdana"/>
          <w:sz w:val="20"/>
        </w:rPr>
        <w:t xml:space="preserve"> na respectiva instituição, não </w:t>
      </w:r>
      <w:r>
        <w:rPr>
          <w:rFonts w:ascii="Verdana" w:hAnsi="Verdana"/>
          <w:sz w:val="20"/>
        </w:rPr>
        <w:t>foi realizada</w:t>
      </w:r>
      <w:r w:rsidRPr="002818E7">
        <w:rPr>
          <w:rFonts w:ascii="Verdana" w:hAnsi="Verdana"/>
          <w:sz w:val="20"/>
        </w:rPr>
        <w:t xml:space="preserve"> nenhuma titulação em favor de comunidades indígenas, basicamente porque existe um contexto jurídico incipiente. Portanto, “seria totalmente improcedente que a instituição […] emiti</w:t>
      </w:r>
      <w:r>
        <w:rPr>
          <w:rFonts w:ascii="Verdana" w:hAnsi="Verdana"/>
          <w:sz w:val="20"/>
        </w:rPr>
        <w:t>sse</w:t>
      </w:r>
      <w:r w:rsidRPr="002818E7">
        <w:rPr>
          <w:rFonts w:ascii="Verdana" w:hAnsi="Verdana"/>
          <w:sz w:val="20"/>
        </w:rPr>
        <w:t xml:space="preserve"> oficiosamente [títulos indígenas] com critérios que talvez não </w:t>
      </w:r>
      <w:proofErr w:type="gramStart"/>
      <w:r w:rsidRPr="002818E7">
        <w:rPr>
          <w:rFonts w:ascii="Verdana" w:hAnsi="Verdana"/>
          <w:sz w:val="20"/>
        </w:rPr>
        <w:t>estão</w:t>
      </w:r>
      <w:proofErr w:type="gramEnd"/>
      <w:r w:rsidRPr="002818E7">
        <w:rPr>
          <w:rFonts w:ascii="Verdana" w:hAnsi="Verdana"/>
          <w:sz w:val="20"/>
        </w:rPr>
        <w:t xml:space="preserve"> conforme o espírito que</w:t>
      </w:r>
      <w:r>
        <w:rPr>
          <w:rFonts w:ascii="Verdana" w:hAnsi="Verdana"/>
          <w:sz w:val="20"/>
        </w:rPr>
        <w:t xml:space="preserve"> será refletido</w:t>
      </w:r>
      <w:r w:rsidRPr="002818E7">
        <w:rPr>
          <w:rFonts w:ascii="Verdana" w:hAnsi="Verdana"/>
          <w:sz w:val="20"/>
        </w:rPr>
        <w:t xml:space="preserve"> na lei”. </w:t>
      </w:r>
    </w:p>
    <w:p w:rsidR="00C336FB" w:rsidRPr="002818E7" w:rsidRDefault="00C336FB" w:rsidP="00C336FB">
      <w:pPr>
        <w:jc w:val="both"/>
        <w:rPr>
          <w:rFonts w:ascii="Verdana" w:hAnsi="Verdana"/>
          <w:sz w:val="20"/>
        </w:rPr>
      </w:pPr>
    </w:p>
    <w:p w:rsidR="00C336FB" w:rsidRPr="002818E7" w:rsidRDefault="00C87ABA" w:rsidP="00C336FB">
      <w:pPr>
        <w:jc w:val="both"/>
        <w:rPr>
          <w:rFonts w:ascii="Verdana" w:hAnsi="Verdana"/>
          <w:sz w:val="20"/>
        </w:rPr>
      </w:pPr>
      <w:r>
        <w:rPr>
          <w:rFonts w:ascii="Verdana" w:hAnsi="Verdana"/>
          <w:sz w:val="20"/>
        </w:rPr>
        <w:t>Ele n</w:t>
      </w:r>
      <w:r w:rsidR="00C336FB" w:rsidRPr="002818E7">
        <w:rPr>
          <w:rFonts w:ascii="Verdana" w:hAnsi="Verdana"/>
          <w:sz w:val="20"/>
        </w:rPr>
        <w:t>ão pode precisar o número de indígenas que há na Nicarágua, mas essa informação está nos documentos do censo de 1995, mesmo que um inventário realizado pelo Escritório de Titulação Rural em 1991 registr</w:t>
      </w:r>
      <w:r w:rsidR="00C336FB">
        <w:rPr>
          <w:rFonts w:ascii="Verdana" w:hAnsi="Verdana"/>
          <w:sz w:val="20"/>
        </w:rPr>
        <w:t>e</w:t>
      </w:r>
      <w:r w:rsidR="00C336FB" w:rsidRPr="002818E7">
        <w:rPr>
          <w:rFonts w:ascii="Verdana" w:hAnsi="Verdana"/>
          <w:sz w:val="20"/>
        </w:rPr>
        <w:t xml:space="preserve"> 230 comunidades. Dessas</w:t>
      </w:r>
      <w:r w:rsidR="00C336FB">
        <w:rPr>
          <w:rFonts w:ascii="Verdana" w:hAnsi="Verdana"/>
          <w:sz w:val="20"/>
        </w:rPr>
        <w:t>,</w:t>
      </w:r>
      <w:r w:rsidR="00C336FB" w:rsidRPr="002818E7">
        <w:rPr>
          <w:rFonts w:ascii="Verdana" w:hAnsi="Verdana"/>
          <w:sz w:val="20"/>
        </w:rPr>
        <w:t xml:space="preserve"> 60 </w:t>
      </w:r>
      <w:r w:rsidR="00C336FB">
        <w:rPr>
          <w:rFonts w:ascii="Verdana" w:hAnsi="Verdana"/>
          <w:sz w:val="20"/>
        </w:rPr>
        <w:t>foram tituladas</w:t>
      </w:r>
      <w:r w:rsidR="00C336FB" w:rsidRPr="002818E7">
        <w:rPr>
          <w:rFonts w:ascii="Verdana" w:hAnsi="Verdana"/>
          <w:sz w:val="20"/>
        </w:rPr>
        <w:t xml:space="preserve"> com a Comissão </w:t>
      </w:r>
      <w:r w:rsidR="00C336FB">
        <w:rPr>
          <w:rFonts w:ascii="Verdana" w:hAnsi="Verdana"/>
          <w:sz w:val="20"/>
        </w:rPr>
        <w:t>de Titulação</w:t>
      </w:r>
      <w:r w:rsidR="00C336FB" w:rsidRPr="002818E7">
        <w:rPr>
          <w:rFonts w:ascii="Verdana" w:hAnsi="Verdana"/>
          <w:sz w:val="20"/>
        </w:rPr>
        <w:t xml:space="preserve"> da Mos</w:t>
      </w:r>
      <w:r w:rsidR="00C336FB">
        <w:rPr>
          <w:rFonts w:ascii="Verdana" w:hAnsi="Verdana"/>
          <w:sz w:val="20"/>
        </w:rPr>
        <w:t>k</w:t>
      </w:r>
      <w:r w:rsidR="00C336FB" w:rsidRPr="002818E7">
        <w:rPr>
          <w:rFonts w:ascii="Verdana" w:hAnsi="Verdana"/>
          <w:sz w:val="20"/>
        </w:rPr>
        <w:t xml:space="preserve">itia; foram detectadas sete comunidades adicionais no estudo que </w:t>
      </w:r>
      <w:r w:rsidR="00C336FB">
        <w:rPr>
          <w:rFonts w:ascii="Verdana" w:hAnsi="Verdana"/>
          <w:sz w:val="20"/>
        </w:rPr>
        <w:t>foi contratado</w:t>
      </w:r>
      <w:r w:rsidR="00C336FB" w:rsidRPr="002818E7">
        <w:rPr>
          <w:rFonts w:ascii="Verdana" w:hAnsi="Verdana"/>
          <w:sz w:val="20"/>
        </w:rPr>
        <w:t xml:space="preserve"> com a Universidade de Austin, Texas; 28 comunidades foram tituladas no período do IAN e 29 comunidades no período dos anos oitenta sob a instituição chamada</w:t>
      </w:r>
      <w:r w:rsidR="00C336FB" w:rsidRPr="002818E7">
        <w:rPr>
          <w:rFonts w:ascii="Verdana" w:hAnsi="Verdana"/>
          <w:b/>
          <w:sz w:val="20"/>
        </w:rPr>
        <w:t xml:space="preserve"> </w:t>
      </w:r>
      <w:r w:rsidR="00C336FB" w:rsidRPr="002818E7">
        <w:rPr>
          <w:rFonts w:ascii="Verdana" w:hAnsi="Verdana"/>
          <w:sz w:val="20"/>
        </w:rPr>
        <w:t>MIDINRA.</w:t>
      </w:r>
      <w:r w:rsidR="00C336FB">
        <w:rPr>
          <w:rFonts w:ascii="Verdana" w:hAnsi="Verdana"/>
          <w:sz w:val="20"/>
        </w:rPr>
        <w:t xml:space="preserve"> </w:t>
      </w:r>
      <w:r w:rsidR="00C336FB" w:rsidRPr="002818E7">
        <w:rPr>
          <w:rFonts w:ascii="Verdana" w:hAnsi="Verdana"/>
          <w:sz w:val="20"/>
        </w:rPr>
        <w:t>Como consequência,</w:t>
      </w:r>
      <w:r w:rsidR="00C336FB" w:rsidRPr="002818E7">
        <w:rPr>
          <w:rFonts w:ascii="Verdana" w:hAnsi="Verdana"/>
          <w:b/>
          <w:sz w:val="20"/>
        </w:rPr>
        <w:t xml:space="preserve"> </w:t>
      </w:r>
      <w:r w:rsidR="000B1338">
        <w:rPr>
          <w:rFonts w:ascii="Verdana" w:hAnsi="Verdana"/>
          <w:sz w:val="20"/>
        </w:rPr>
        <w:t>segundo</w:t>
      </w:r>
      <w:r w:rsidR="00C336FB" w:rsidRPr="002818E7">
        <w:rPr>
          <w:rFonts w:ascii="Verdana" w:hAnsi="Verdana"/>
          <w:sz w:val="20"/>
        </w:rPr>
        <w:t xml:space="preserve"> este cálculo básico, 124 comunidades estão tituladas.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Com relação </w:t>
      </w:r>
      <w:r w:rsidR="00C24835">
        <w:rPr>
          <w:rFonts w:ascii="Verdana" w:hAnsi="Verdana"/>
          <w:sz w:val="20"/>
        </w:rPr>
        <w:t>à reivindicação d</w:t>
      </w:r>
      <w:r w:rsidRPr="002818E7">
        <w:rPr>
          <w:rFonts w:ascii="Verdana" w:hAnsi="Verdana"/>
          <w:sz w:val="20"/>
        </w:rPr>
        <w:t xml:space="preserve">a Comunidade Awas Tingni, o Escritório de Titulação Rural </w:t>
      </w:r>
      <w:r>
        <w:rPr>
          <w:rFonts w:ascii="Verdana" w:hAnsi="Verdana"/>
          <w:sz w:val="20"/>
        </w:rPr>
        <w:t>se deu</w:t>
      </w:r>
      <w:r w:rsidRPr="002818E7">
        <w:rPr>
          <w:rFonts w:ascii="Verdana" w:hAnsi="Verdana"/>
          <w:sz w:val="20"/>
        </w:rPr>
        <w:t xml:space="preserve"> à tarefa de documentar o caso, por ser contraditório quanto à área reclamada, já que Awas Tingni tem problemas de </w:t>
      </w:r>
      <w:r>
        <w:rPr>
          <w:rFonts w:ascii="Verdana" w:hAnsi="Verdana"/>
          <w:sz w:val="20"/>
        </w:rPr>
        <w:t xml:space="preserve">limites. </w:t>
      </w:r>
      <w:r w:rsidRPr="002818E7">
        <w:rPr>
          <w:rFonts w:ascii="Verdana" w:hAnsi="Verdana"/>
          <w:sz w:val="20"/>
        </w:rPr>
        <w:t>Nes</w:t>
      </w:r>
      <w:r w:rsidR="00AA1CD7">
        <w:rPr>
          <w:rFonts w:ascii="Verdana" w:hAnsi="Verdana"/>
          <w:sz w:val="20"/>
        </w:rPr>
        <w:t>s</w:t>
      </w:r>
      <w:r w:rsidRPr="002818E7">
        <w:rPr>
          <w:rFonts w:ascii="Verdana" w:hAnsi="Verdana"/>
          <w:sz w:val="20"/>
        </w:rPr>
        <w:t xml:space="preserve">e sentido, </w:t>
      </w:r>
      <w:r>
        <w:rPr>
          <w:rFonts w:ascii="Verdana" w:hAnsi="Verdana"/>
          <w:sz w:val="20"/>
        </w:rPr>
        <w:t>em um</w:t>
      </w:r>
      <w:r w:rsidRPr="002818E7">
        <w:rPr>
          <w:rFonts w:ascii="Verdana" w:hAnsi="Verdana"/>
          <w:sz w:val="20"/>
        </w:rPr>
        <w:t xml:space="preserve"> documento apresentado pela Comissão Interamericana </w:t>
      </w:r>
      <w:r>
        <w:rPr>
          <w:rFonts w:ascii="Verdana" w:hAnsi="Verdana"/>
          <w:sz w:val="20"/>
        </w:rPr>
        <w:t>per</w:t>
      </w:r>
      <w:r w:rsidRPr="002818E7">
        <w:rPr>
          <w:rFonts w:ascii="Verdana" w:hAnsi="Verdana"/>
          <w:sz w:val="20"/>
        </w:rPr>
        <w:t xml:space="preserve">ante a Corte, consta um mapa no qual </w:t>
      </w:r>
      <w:r>
        <w:rPr>
          <w:rFonts w:ascii="Verdana" w:hAnsi="Verdana"/>
          <w:sz w:val="20"/>
        </w:rPr>
        <w:t>é indicada</w:t>
      </w:r>
      <w:r w:rsidRPr="002818E7">
        <w:rPr>
          <w:rFonts w:ascii="Verdana" w:hAnsi="Verdana"/>
          <w:sz w:val="20"/>
        </w:rPr>
        <w:t xml:space="preserve"> uma área de aproximadamente cinquenta e tantos </w:t>
      </w:r>
      <w:r w:rsidR="00BD19C3">
        <w:rPr>
          <w:rFonts w:ascii="Verdana" w:hAnsi="Verdana"/>
          <w:sz w:val="20"/>
        </w:rPr>
        <w:t>mil</w:t>
      </w:r>
      <w:r w:rsidRPr="002818E7">
        <w:rPr>
          <w:rFonts w:ascii="Verdana" w:hAnsi="Verdana"/>
          <w:sz w:val="20"/>
        </w:rPr>
        <w:t xml:space="preserve"> hectares. O Instituto de Estudos Territoriais digitalizou e georreferenc</w:t>
      </w:r>
      <w:r>
        <w:rPr>
          <w:rFonts w:ascii="Verdana" w:hAnsi="Verdana"/>
          <w:sz w:val="20"/>
        </w:rPr>
        <w:t>iou</w:t>
      </w:r>
      <w:r w:rsidRPr="002818E7">
        <w:rPr>
          <w:rFonts w:ascii="Verdana" w:hAnsi="Verdana"/>
          <w:sz w:val="20"/>
        </w:rPr>
        <w:t xml:space="preserve"> essa informação e </w:t>
      </w:r>
      <w:r>
        <w:rPr>
          <w:rFonts w:ascii="Verdana" w:hAnsi="Verdana"/>
          <w:sz w:val="20"/>
        </w:rPr>
        <w:t>obteve</w:t>
      </w:r>
      <w:r w:rsidRPr="002818E7">
        <w:rPr>
          <w:rFonts w:ascii="Verdana" w:hAnsi="Verdana"/>
          <w:sz w:val="20"/>
        </w:rPr>
        <w:t xml:space="preserve"> uma área totalmente contraditória.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O fato de que exista esta </w:t>
      </w:r>
      <w:r>
        <w:rPr>
          <w:rFonts w:ascii="Verdana" w:hAnsi="Verdana"/>
          <w:sz w:val="20"/>
        </w:rPr>
        <w:t>disputa</w:t>
      </w:r>
      <w:r w:rsidRPr="002818E7">
        <w:rPr>
          <w:rFonts w:ascii="Verdana" w:hAnsi="Verdana"/>
          <w:sz w:val="20"/>
        </w:rPr>
        <w:t xml:space="preserve"> e que ainda não </w:t>
      </w:r>
      <w:r>
        <w:rPr>
          <w:rFonts w:ascii="Verdana" w:hAnsi="Verdana"/>
          <w:sz w:val="20"/>
        </w:rPr>
        <w:t>tenha sido resolvida</w:t>
      </w:r>
      <w:r w:rsidRPr="002818E7">
        <w:rPr>
          <w:rFonts w:ascii="Verdana" w:hAnsi="Verdana"/>
          <w:sz w:val="20"/>
        </w:rPr>
        <w:t xml:space="preserve"> é um elemento adicional para que não se possa emitir uma titulação em</w:t>
      </w:r>
      <w:r>
        <w:rPr>
          <w:rFonts w:ascii="Verdana" w:hAnsi="Verdana"/>
          <w:sz w:val="20"/>
        </w:rPr>
        <w:t xml:space="preserve"> favor de</w:t>
      </w:r>
      <w:r w:rsidRPr="002818E7">
        <w:rPr>
          <w:rFonts w:ascii="Verdana" w:hAnsi="Verdana"/>
          <w:sz w:val="20"/>
        </w:rPr>
        <w:t xml:space="preserve"> Awas Tingni, de maneira oficiosa e com critérios que </w:t>
      </w:r>
      <w:r>
        <w:rPr>
          <w:rFonts w:ascii="Verdana" w:hAnsi="Verdana"/>
          <w:sz w:val="20"/>
        </w:rPr>
        <w:t>talvez</w:t>
      </w:r>
      <w:r w:rsidRPr="002818E7">
        <w:rPr>
          <w:rFonts w:ascii="Verdana" w:hAnsi="Verdana"/>
          <w:sz w:val="20"/>
        </w:rPr>
        <w:t xml:space="preserve"> contradigam o espírito da lei ainda não aprovada.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 xml:space="preserve">Existem críticas ao relatório realizado por Theodore Macdonald, que estão orientadas ao aspecto metodológico do estudo, porque este privilegiou a fonte oral e não a contrastou com a fonte arqueológica, não </w:t>
      </w:r>
      <w:r>
        <w:rPr>
          <w:rFonts w:ascii="Verdana" w:hAnsi="Verdana"/>
          <w:sz w:val="20"/>
        </w:rPr>
        <w:t>foram utilizadas</w:t>
      </w:r>
      <w:r w:rsidRPr="002818E7">
        <w:rPr>
          <w:rFonts w:ascii="Verdana" w:hAnsi="Verdana"/>
          <w:sz w:val="20"/>
        </w:rPr>
        <w:t xml:space="preserve"> técnicas etnográficas combinadas com elementos de demografia histórica, não </w:t>
      </w:r>
      <w:r>
        <w:rPr>
          <w:rFonts w:ascii="Verdana" w:hAnsi="Verdana"/>
          <w:sz w:val="20"/>
        </w:rPr>
        <w:t>foram feitos</w:t>
      </w:r>
      <w:r w:rsidRPr="002818E7">
        <w:rPr>
          <w:rFonts w:ascii="Verdana" w:hAnsi="Verdana"/>
          <w:sz w:val="20"/>
        </w:rPr>
        <w:t xml:space="preserve"> estudos linguísticos que </w:t>
      </w:r>
      <w:r>
        <w:rPr>
          <w:rFonts w:ascii="Verdana" w:hAnsi="Verdana"/>
          <w:sz w:val="20"/>
        </w:rPr>
        <w:t xml:space="preserve">confirmassem </w:t>
      </w:r>
      <w:r w:rsidRPr="002818E7">
        <w:rPr>
          <w:rFonts w:ascii="Verdana" w:hAnsi="Verdana"/>
          <w:sz w:val="20"/>
        </w:rPr>
        <w:t xml:space="preserve">que a comunidade em questão era uma comunidade </w:t>
      </w:r>
      <w:r w:rsidRPr="002818E7">
        <w:rPr>
          <w:rFonts w:ascii="Verdana" w:hAnsi="Verdana"/>
          <w:sz w:val="20"/>
        </w:rPr>
        <w:lastRenderedPageBreak/>
        <w:t>compacta e pertencia a uma etnia definida.</w:t>
      </w:r>
      <w:r w:rsidR="00850A3F">
        <w:rPr>
          <w:rFonts w:ascii="Verdana" w:hAnsi="Verdana"/>
          <w:sz w:val="20"/>
        </w:rPr>
        <w:t xml:space="preserve"> </w:t>
      </w:r>
      <w:r w:rsidRPr="002818E7">
        <w:rPr>
          <w:rFonts w:ascii="Verdana" w:hAnsi="Verdana"/>
          <w:sz w:val="20"/>
        </w:rPr>
        <w:t xml:space="preserve">Ademais, esse trabalho não é conclusivo quanto à ancestralidade da ocupação da área </w:t>
      </w:r>
      <w:r w:rsidR="00BD19C3">
        <w:rPr>
          <w:rFonts w:ascii="Verdana" w:hAnsi="Verdana"/>
          <w:sz w:val="20"/>
        </w:rPr>
        <w:t>reivindicada</w:t>
      </w:r>
      <w:r w:rsidRPr="002818E7">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Existem normas constitucionais relativas à titulação e ao reconhecimento dos direitos das comunidades indígenas, mas o Escritório de Titulação Rural não é a entidade que deveria fazer esse tipo de reconhecimentos</w:t>
      </w:r>
      <w:r>
        <w:rPr>
          <w:rFonts w:ascii="Verdana" w:hAnsi="Verdana"/>
          <w:sz w:val="20"/>
        </w:rPr>
        <w:t>;</w:t>
      </w:r>
      <w:r w:rsidRPr="002818E7">
        <w:rPr>
          <w:rFonts w:ascii="Verdana" w:hAnsi="Verdana"/>
          <w:sz w:val="20"/>
        </w:rPr>
        <w:t xml:space="preserve"> somente lhe corresponde operá-los.</w:t>
      </w:r>
      <w:r w:rsidR="00850A3F">
        <w:rPr>
          <w:rFonts w:ascii="Verdana" w:hAnsi="Verdana"/>
          <w:sz w:val="20"/>
        </w:rPr>
        <w:t xml:space="preserve"> </w:t>
      </w:r>
      <w:r w:rsidRPr="002818E7">
        <w:rPr>
          <w:rFonts w:ascii="Verdana" w:hAnsi="Verdana"/>
          <w:sz w:val="20"/>
        </w:rPr>
        <w:t xml:space="preserve">Como instituição </w:t>
      </w:r>
      <w:r w:rsidR="00BD109B">
        <w:rPr>
          <w:rFonts w:ascii="Verdana" w:hAnsi="Verdana"/>
          <w:sz w:val="20"/>
        </w:rPr>
        <w:t>de t</w:t>
      </w:r>
      <w:r>
        <w:rPr>
          <w:rFonts w:ascii="Verdana" w:hAnsi="Verdana"/>
          <w:sz w:val="20"/>
        </w:rPr>
        <w:t>itulação</w:t>
      </w:r>
      <w:r w:rsidR="00BD19C3">
        <w:rPr>
          <w:rFonts w:ascii="Verdana" w:hAnsi="Verdana"/>
          <w:sz w:val="20"/>
        </w:rPr>
        <w:t>,</w:t>
      </w:r>
      <w:r w:rsidRPr="002818E7">
        <w:rPr>
          <w:rFonts w:ascii="Verdana" w:hAnsi="Verdana"/>
          <w:sz w:val="20"/>
        </w:rPr>
        <w:t xml:space="preserve"> tem delegações nas áreas onde há presença indígena, as quais servem precisamente para detectar e recolher </w:t>
      </w:r>
      <w:r w:rsidR="00BD109B">
        <w:rPr>
          <w:rFonts w:ascii="Verdana" w:hAnsi="Verdana"/>
          <w:sz w:val="20"/>
        </w:rPr>
        <w:t>os pedidos</w:t>
      </w:r>
      <w:r w:rsidRPr="002818E7">
        <w:rPr>
          <w:rFonts w:ascii="Verdana" w:hAnsi="Verdana"/>
          <w:sz w:val="20"/>
        </w:rPr>
        <w:t xml:space="preserve"> de titulação; mas de acordo com o Estatuto de Autonomia da Costa Atlântica, as autoridades locais têm a responsabilidade de prestar assistência às populações e contribuir </w:t>
      </w:r>
      <w:r w:rsidR="00BD19C3">
        <w:rPr>
          <w:rFonts w:ascii="Verdana" w:hAnsi="Verdana"/>
          <w:sz w:val="20"/>
        </w:rPr>
        <w:t xml:space="preserve">com a </w:t>
      </w:r>
      <w:r w:rsidRPr="002818E7">
        <w:rPr>
          <w:rFonts w:ascii="Verdana" w:hAnsi="Verdana"/>
          <w:sz w:val="20"/>
        </w:rPr>
        <w:t xml:space="preserve">adequada tramitação de </w:t>
      </w:r>
      <w:r>
        <w:rPr>
          <w:rFonts w:ascii="Verdana" w:hAnsi="Verdana"/>
          <w:sz w:val="20"/>
        </w:rPr>
        <w:t>suas reivindicações</w:t>
      </w:r>
      <w:r w:rsidRPr="002818E7">
        <w:rPr>
          <w:rFonts w:ascii="Verdana" w:hAnsi="Verdana"/>
          <w:sz w:val="20"/>
        </w:rPr>
        <w:t>.</w:t>
      </w:r>
    </w:p>
    <w:p w:rsidR="00C336FB" w:rsidRPr="002818E7" w:rsidRDefault="00C336FB" w:rsidP="00C336FB">
      <w:pPr>
        <w:jc w:val="both"/>
        <w:rPr>
          <w:rFonts w:ascii="Verdana" w:hAnsi="Verdana"/>
          <w:b/>
          <w:caps/>
          <w:sz w:val="20"/>
        </w:rPr>
      </w:pPr>
    </w:p>
    <w:p w:rsidR="00C336FB" w:rsidRPr="002818E7" w:rsidRDefault="00515545" w:rsidP="00515545">
      <w:pPr>
        <w:tabs>
          <w:tab w:val="left" w:pos="3785"/>
          <w:tab w:val="center" w:pos="4320"/>
        </w:tabs>
        <w:rPr>
          <w:rFonts w:ascii="Verdana" w:hAnsi="Verdana"/>
          <w:b/>
          <w:caps/>
          <w:sz w:val="20"/>
        </w:rPr>
      </w:pPr>
      <w:r>
        <w:rPr>
          <w:rFonts w:ascii="Verdana" w:hAnsi="Verdana"/>
          <w:b/>
          <w:caps/>
          <w:sz w:val="20"/>
        </w:rPr>
        <w:tab/>
      </w:r>
      <w:r>
        <w:rPr>
          <w:rFonts w:ascii="Verdana" w:hAnsi="Verdana"/>
          <w:b/>
          <w:caps/>
          <w:sz w:val="20"/>
        </w:rPr>
        <w:tab/>
      </w:r>
      <w:r w:rsidR="00C336FB" w:rsidRPr="002818E7">
        <w:rPr>
          <w:rFonts w:ascii="Verdana" w:hAnsi="Verdana"/>
          <w:b/>
          <w:caps/>
          <w:sz w:val="20"/>
        </w:rPr>
        <w:t>VI</w:t>
      </w:r>
    </w:p>
    <w:p w:rsidR="00C336FB" w:rsidRPr="002818E7" w:rsidRDefault="00515545" w:rsidP="00C336FB">
      <w:pPr>
        <w:jc w:val="center"/>
        <w:rPr>
          <w:rFonts w:ascii="Verdana" w:hAnsi="Verdana"/>
          <w:b/>
          <w:caps/>
          <w:sz w:val="20"/>
        </w:rPr>
      </w:pPr>
      <w:r>
        <w:rPr>
          <w:rFonts w:ascii="Verdana" w:hAnsi="Verdana"/>
          <w:b/>
          <w:caps/>
          <w:sz w:val="20"/>
        </w:rPr>
        <w:t>APRECI</w:t>
      </w:r>
      <w:r w:rsidR="00C336FB" w:rsidRPr="002818E7">
        <w:rPr>
          <w:rFonts w:ascii="Verdana" w:hAnsi="Verdana"/>
          <w:b/>
          <w:caps/>
          <w:sz w:val="20"/>
        </w:rPr>
        <w:t>ação da Prova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84.</w:t>
      </w:r>
      <w:r w:rsidRPr="002818E7">
        <w:rPr>
          <w:rFonts w:ascii="Verdana" w:hAnsi="Verdana"/>
          <w:sz w:val="20"/>
        </w:rPr>
        <w:tab/>
        <w:t>O artigo 43 do Regulamento indica o momento processual oportuno para a apresentação dos elementos de convicção e sua admissibilidade, a saber:</w:t>
      </w:r>
    </w:p>
    <w:p w:rsidR="00C336FB" w:rsidRPr="002818E7" w:rsidRDefault="00C336FB" w:rsidP="00C336FB">
      <w:pPr>
        <w:pStyle w:val="Textodebloque"/>
        <w:ind w:right="720" w:firstLine="0"/>
        <w:rPr>
          <w:rFonts w:ascii="Verdana" w:hAnsi="Verdana"/>
          <w:b w:val="0"/>
          <w:smallCaps w:val="0"/>
          <w:sz w:val="16"/>
          <w:lang w:val="pt-BR"/>
        </w:rPr>
      </w:pPr>
    </w:p>
    <w:p w:rsidR="00C336FB" w:rsidRPr="00DD1C8B" w:rsidRDefault="00C336FB" w:rsidP="00C336FB">
      <w:pPr>
        <w:pStyle w:val="Textodebloque"/>
        <w:ind w:right="720" w:firstLine="0"/>
        <w:rPr>
          <w:rFonts w:ascii="Verdana" w:hAnsi="Verdana"/>
          <w:b w:val="0"/>
          <w:smallCaps w:val="0"/>
          <w:sz w:val="18"/>
          <w:szCs w:val="18"/>
          <w:lang w:val="pt-BR"/>
        </w:rPr>
      </w:pPr>
      <w:r w:rsidRPr="00DD1C8B">
        <w:rPr>
          <w:rFonts w:ascii="Verdana" w:hAnsi="Verdana"/>
          <w:b w:val="0"/>
          <w:smallCaps w:val="0"/>
          <w:sz w:val="18"/>
          <w:szCs w:val="18"/>
          <w:lang w:val="pt-BR"/>
        </w:rPr>
        <w:t>As provas apresentadas pelas partes só serão admitidas caso sejam oferecidas na demanda e em sua contestação e, se pertinente, na petição de exceções preliminares e na sua contestação.</w:t>
      </w:r>
      <w:r w:rsidR="00850A3F" w:rsidRPr="00DD1C8B">
        <w:rPr>
          <w:rFonts w:ascii="Verdana" w:hAnsi="Verdana"/>
          <w:b w:val="0"/>
          <w:smallCaps w:val="0"/>
          <w:sz w:val="18"/>
          <w:szCs w:val="18"/>
          <w:lang w:val="pt-BR"/>
        </w:rPr>
        <w:t xml:space="preserve"> </w:t>
      </w:r>
      <w:r w:rsidRPr="00DD1C8B">
        <w:rPr>
          <w:rFonts w:ascii="Verdana" w:hAnsi="Verdana"/>
          <w:b w:val="0"/>
          <w:smallCaps w:val="0"/>
          <w:sz w:val="18"/>
          <w:szCs w:val="18"/>
          <w:lang w:val="pt-BR"/>
        </w:rPr>
        <w:t xml:space="preserve">Excepcionalmente, a Corte poderá admitir uma prova se alguma das partes </w:t>
      </w:r>
      <w:proofErr w:type="gramStart"/>
      <w:r w:rsidRPr="00DD1C8B">
        <w:rPr>
          <w:rFonts w:ascii="Verdana" w:hAnsi="Verdana"/>
          <w:b w:val="0"/>
          <w:smallCaps w:val="0"/>
          <w:sz w:val="18"/>
          <w:szCs w:val="18"/>
          <w:lang w:val="pt-BR"/>
        </w:rPr>
        <w:t>alegar</w:t>
      </w:r>
      <w:proofErr w:type="gramEnd"/>
      <w:r w:rsidRPr="00DD1C8B">
        <w:rPr>
          <w:rFonts w:ascii="Verdana" w:hAnsi="Verdana"/>
          <w:b w:val="0"/>
          <w:smallCaps w:val="0"/>
          <w:sz w:val="18"/>
          <w:szCs w:val="18"/>
          <w:lang w:val="pt-BR"/>
        </w:rPr>
        <w:t xml:space="preserve"> força maior, impedimento grave ou fatos ocorridos em momento distinto dos anteriormente assinalados, desde que se assegure à parte contrária o direito de defesa.</w:t>
      </w:r>
      <w:r w:rsidRPr="00DD1C8B">
        <w:rPr>
          <w:rFonts w:ascii="Verdana" w:hAnsi="Verdana"/>
          <w:sz w:val="18"/>
          <w:szCs w:val="18"/>
          <w:lang w:val="pt-BR"/>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85.</w:t>
      </w:r>
      <w:r w:rsidRPr="002818E7">
        <w:rPr>
          <w:rFonts w:ascii="Verdana" w:hAnsi="Verdana"/>
          <w:sz w:val="20"/>
        </w:rPr>
        <w:tab/>
        <w:t>O artigo 44 do Regulamento faculta ao Tribunal a:</w:t>
      </w:r>
    </w:p>
    <w:p w:rsidR="00C336FB" w:rsidRPr="002818E7" w:rsidRDefault="00C336FB" w:rsidP="00C336FB">
      <w:pPr>
        <w:pStyle w:val="Textodebloque"/>
        <w:ind w:right="720" w:firstLine="0"/>
        <w:rPr>
          <w:rFonts w:ascii="Verdana" w:hAnsi="Verdana"/>
          <w:b w:val="0"/>
          <w:smallCaps w:val="0"/>
          <w:sz w:val="16"/>
          <w:lang w:val="pt-BR"/>
        </w:rPr>
      </w:pPr>
    </w:p>
    <w:p w:rsidR="00C336FB" w:rsidRPr="00DD1C8B" w:rsidRDefault="00C336FB" w:rsidP="00C336FB">
      <w:pPr>
        <w:pStyle w:val="Textodebloque"/>
        <w:numPr>
          <w:ilvl w:val="0"/>
          <w:numId w:val="8"/>
        </w:numPr>
        <w:ind w:left="709" w:right="720" w:firstLine="0"/>
        <w:rPr>
          <w:rFonts w:ascii="Verdana" w:hAnsi="Verdana"/>
          <w:b w:val="0"/>
          <w:smallCaps w:val="0"/>
          <w:sz w:val="18"/>
          <w:szCs w:val="18"/>
          <w:lang w:val="pt-BR"/>
        </w:rPr>
      </w:pPr>
      <w:r w:rsidRPr="00DD1C8B">
        <w:rPr>
          <w:rFonts w:ascii="Verdana" w:hAnsi="Verdana"/>
          <w:b w:val="0"/>
          <w:smallCaps w:val="0"/>
          <w:sz w:val="18"/>
          <w:szCs w:val="18"/>
          <w:lang w:val="pt-BR"/>
        </w:rPr>
        <w:t xml:space="preserve">Instruir-se, </w:t>
      </w:r>
      <w:r w:rsidRPr="00DD1C8B">
        <w:rPr>
          <w:rFonts w:ascii="Verdana" w:hAnsi="Verdana"/>
          <w:b w:val="0"/>
          <w:i/>
          <w:smallCaps w:val="0"/>
          <w:sz w:val="18"/>
          <w:szCs w:val="18"/>
          <w:lang w:val="pt-BR"/>
        </w:rPr>
        <w:t>ex officio</w:t>
      </w:r>
      <w:r w:rsidRPr="00DD1C8B">
        <w:rPr>
          <w:rFonts w:ascii="Verdana" w:hAnsi="Verdana"/>
          <w:b w:val="0"/>
          <w:smallCaps w:val="0"/>
          <w:sz w:val="18"/>
          <w:szCs w:val="18"/>
          <w:lang w:val="pt-BR"/>
        </w:rPr>
        <w:t xml:space="preserve">, com toda prova que considere útil. De modo particular, poderá </w:t>
      </w:r>
      <w:proofErr w:type="gramStart"/>
      <w:r w:rsidRPr="00DD1C8B">
        <w:rPr>
          <w:rFonts w:ascii="Verdana" w:hAnsi="Verdana"/>
          <w:b w:val="0"/>
          <w:smallCaps w:val="0"/>
          <w:sz w:val="18"/>
          <w:szCs w:val="18"/>
          <w:lang w:val="pt-BR"/>
        </w:rPr>
        <w:t>ouvir,</w:t>
      </w:r>
      <w:proofErr w:type="gramEnd"/>
      <w:r w:rsidRPr="00DD1C8B">
        <w:rPr>
          <w:rFonts w:ascii="Verdana" w:hAnsi="Verdana"/>
          <w:b w:val="0"/>
          <w:smallCaps w:val="0"/>
          <w:sz w:val="18"/>
          <w:szCs w:val="18"/>
          <w:lang w:val="pt-BR"/>
        </w:rPr>
        <w:t xml:space="preserve"> na qualidade de testemunha, de perito ou por outro título, a qualquer pessoa cujo testemunho, declaração ou opinião considere pertinente. </w:t>
      </w:r>
    </w:p>
    <w:p w:rsidR="00C336FB" w:rsidRPr="00DD1C8B" w:rsidRDefault="00C336FB" w:rsidP="00C336FB">
      <w:pPr>
        <w:pStyle w:val="Textodebloque"/>
        <w:ind w:left="709" w:right="720" w:firstLine="0"/>
        <w:rPr>
          <w:rFonts w:ascii="Verdana" w:hAnsi="Verdana"/>
          <w:b w:val="0"/>
          <w:smallCaps w:val="0"/>
          <w:sz w:val="18"/>
          <w:szCs w:val="18"/>
          <w:lang w:val="pt-BR"/>
        </w:rPr>
      </w:pPr>
    </w:p>
    <w:p w:rsidR="00C336FB" w:rsidRPr="00DD1C8B" w:rsidRDefault="00C336FB" w:rsidP="00C336FB">
      <w:pPr>
        <w:pStyle w:val="Textodebloque"/>
        <w:numPr>
          <w:ilvl w:val="0"/>
          <w:numId w:val="8"/>
        </w:numPr>
        <w:ind w:left="709" w:right="720" w:firstLine="0"/>
        <w:rPr>
          <w:rFonts w:ascii="Verdana" w:hAnsi="Verdana"/>
          <w:b w:val="0"/>
          <w:smallCaps w:val="0"/>
          <w:sz w:val="18"/>
          <w:szCs w:val="18"/>
          <w:lang w:val="pt-BR"/>
        </w:rPr>
      </w:pPr>
      <w:r w:rsidRPr="00DD1C8B">
        <w:rPr>
          <w:rFonts w:ascii="Verdana" w:hAnsi="Verdana"/>
          <w:b w:val="0"/>
          <w:smallCaps w:val="0"/>
          <w:sz w:val="18"/>
          <w:szCs w:val="18"/>
          <w:lang w:val="pt-BR"/>
        </w:rPr>
        <w:t xml:space="preserve">Requerer das partes o fornecimento de alguma prova que esteja ao alcance das mesmas ou de explicação ou declaração que, em seu entender, possa ser útil. </w:t>
      </w:r>
    </w:p>
    <w:p w:rsidR="00C336FB" w:rsidRPr="00DD1C8B" w:rsidRDefault="00C336FB" w:rsidP="00C336FB">
      <w:pPr>
        <w:pStyle w:val="Listavistosa-nfasis1"/>
        <w:rPr>
          <w:rFonts w:ascii="Verdana" w:hAnsi="Verdana"/>
          <w:b/>
          <w:smallCaps/>
          <w:sz w:val="18"/>
          <w:szCs w:val="18"/>
        </w:rPr>
      </w:pPr>
    </w:p>
    <w:p w:rsidR="00C336FB" w:rsidRPr="00DD1C8B" w:rsidRDefault="00C336FB" w:rsidP="00C336FB">
      <w:pPr>
        <w:pStyle w:val="Textodebloque"/>
        <w:numPr>
          <w:ilvl w:val="0"/>
          <w:numId w:val="8"/>
        </w:numPr>
        <w:ind w:left="709" w:right="720" w:firstLine="0"/>
        <w:rPr>
          <w:rFonts w:ascii="Verdana" w:hAnsi="Verdana"/>
          <w:b w:val="0"/>
          <w:smallCaps w:val="0"/>
          <w:sz w:val="18"/>
          <w:szCs w:val="18"/>
          <w:lang w:val="pt-BR"/>
        </w:rPr>
      </w:pPr>
      <w:r w:rsidRPr="00DD1C8B">
        <w:rPr>
          <w:rFonts w:ascii="Verdana" w:hAnsi="Verdana"/>
          <w:b w:val="0"/>
          <w:smallCaps w:val="0"/>
          <w:sz w:val="18"/>
          <w:szCs w:val="18"/>
          <w:lang w:val="pt-BR"/>
        </w:rPr>
        <w:t>Solicitar a qualquer entidade, escritório, órgão ou autoridade de sua escolha que obtenha informação,</w:t>
      </w:r>
      <w:r w:rsidR="00850A3F" w:rsidRPr="00DD1C8B">
        <w:rPr>
          <w:rFonts w:ascii="Verdana" w:hAnsi="Verdana"/>
          <w:b w:val="0"/>
          <w:smallCaps w:val="0"/>
          <w:sz w:val="18"/>
          <w:szCs w:val="18"/>
          <w:lang w:val="pt-BR"/>
        </w:rPr>
        <w:t xml:space="preserve"> </w:t>
      </w:r>
      <w:r w:rsidRPr="00DD1C8B">
        <w:rPr>
          <w:rFonts w:ascii="Verdana" w:hAnsi="Verdana"/>
          <w:b w:val="0"/>
          <w:smallCaps w:val="0"/>
          <w:sz w:val="18"/>
          <w:szCs w:val="18"/>
          <w:lang w:val="pt-BR"/>
        </w:rPr>
        <w:t xml:space="preserve">que expresse uma opinião ou elabore um relatório ou parecer sobre um determinado item. Enquanto a Corte não o autorizar, os respectivos documentos não serão publicados. </w:t>
      </w:r>
    </w:p>
    <w:p w:rsidR="00C336FB" w:rsidRPr="00DD1C8B" w:rsidRDefault="00C336FB" w:rsidP="00C336FB">
      <w:pPr>
        <w:ind w:firstLine="709"/>
        <w:jc w:val="both"/>
        <w:rPr>
          <w:rFonts w:ascii="Verdana" w:hAnsi="Verdana"/>
          <w:sz w:val="18"/>
          <w:szCs w:val="18"/>
        </w:rPr>
      </w:pPr>
      <w:r w:rsidRPr="00DD1C8B">
        <w:rPr>
          <w:rFonts w:ascii="Verdana" w:hAnsi="Verdana"/>
          <w:sz w:val="18"/>
          <w:szCs w:val="18"/>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86.</w:t>
      </w:r>
      <w:r w:rsidRPr="002818E7">
        <w:rPr>
          <w:rFonts w:ascii="Verdana" w:hAnsi="Verdana"/>
          <w:sz w:val="20"/>
        </w:rPr>
        <w:tab/>
        <w:t>É importante indicar que em matéria probatória rege o princípio do contraditório.</w:t>
      </w:r>
      <w:r w:rsidR="00850A3F">
        <w:rPr>
          <w:rFonts w:ascii="Verdana" w:hAnsi="Verdana"/>
          <w:sz w:val="20"/>
        </w:rPr>
        <w:t xml:space="preserve"> </w:t>
      </w:r>
      <w:r w:rsidRPr="002818E7">
        <w:rPr>
          <w:rFonts w:ascii="Verdana" w:hAnsi="Verdana"/>
          <w:sz w:val="20"/>
        </w:rPr>
        <w:t xml:space="preserve">Este princípio é um dos fundamentos do artigo 43 do Regulamento, no que se refere à oportunidade em que deve </w:t>
      </w:r>
      <w:r>
        <w:rPr>
          <w:rFonts w:ascii="Verdana" w:hAnsi="Verdana"/>
          <w:sz w:val="20"/>
        </w:rPr>
        <w:t>ser oferecida</w:t>
      </w:r>
      <w:r w:rsidRPr="002818E7">
        <w:rPr>
          <w:rFonts w:ascii="Verdana" w:hAnsi="Verdana"/>
          <w:sz w:val="20"/>
        </w:rPr>
        <w:t xml:space="preserve"> a prova com o fim de que </w:t>
      </w:r>
      <w:r>
        <w:rPr>
          <w:rFonts w:ascii="Verdana" w:hAnsi="Verdana"/>
          <w:sz w:val="20"/>
        </w:rPr>
        <w:t>haja</w:t>
      </w:r>
      <w:r w:rsidRPr="002818E7">
        <w:rPr>
          <w:rFonts w:ascii="Verdana" w:hAnsi="Verdana"/>
          <w:sz w:val="20"/>
        </w:rPr>
        <w:t xml:space="preserve"> igualdade entre as partes.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87.</w:t>
      </w:r>
      <w:r w:rsidRPr="002818E7">
        <w:rPr>
          <w:rFonts w:ascii="Verdana" w:hAnsi="Verdana"/>
          <w:sz w:val="20"/>
        </w:rPr>
        <w:tab/>
        <w:t>Dado que o objeto da prova é demo</w:t>
      </w:r>
      <w:r>
        <w:rPr>
          <w:rFonts w:ascii="Verdana" w:hAnsi="Verdana"/>
          <w:sz w:val="20"/>
        </w:rPr>
        <w:t>n</w:t>
      </w:r>
      <w:r w:rsidRPr="002818E7">
        <w:rPr>
          <w:rFonts w:ascii="Verdana" w:hAnsi="Verdana"/>
          <w:sz w:val="20"/>
        </w:rPr>
        <w:t xml:space="preserve">strar a veracidade dos fatos alegados, </w:t>
      </w:r>
      <w:r w:rsidR="00515545">
        <w:rPr>
          <w:rFonts w:ascii="Verdana" w:hAnsi="Verdana"/>
          <w:sz w:val="20"/>
        </w:rPr>
        <w:t>é</w:t>
      </w:r>
      <w:r w:rsidRPr="002818E7">
        <w:rPr>
          <w:rFonts w:ascii="Verdana" w:hAnsi="Verdana"/>
          <w:sz w:val="20"/>
        </w:rPr>
        <w:t xml:space="preserve"> de grande importância estabelecer os critérios que utiliza um tribunal internacional de direitos humanos na valoração dos elementos de convicção.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88.</w:t>
      </w:r>
      <w:r w:rsidRPr="002818E7">
        <w:rPr>
          <w:rFonts w:ascii="Verdana" w:hAnsi="Verdana"/>
          <w:sz w:val="20"/>
        </w:rPr>
        <w:tab/>
        <w:t xml:space="preserve">A Corte tem critério </w:t>
      </w:r>
      <w:r w:rsidR="009D5808">
        <w:rPr>
          <w:rFonts w:ascii="Verdana" w:hAnsi="Verdana"/>
          <w:sz w:val="20"/>
        </w:rPr>
        <w:t>discricionário</w:t>
      </w:r>
      <w:r w:rsidR="00BD19C3">
        <w:rPr>
          <w:rFonts w:ascii="Verdana" w:hAnsi="Verdana"/>
          <w:sz w:val="20"/>
        </w:rPr>
        <w:t xml:space="preserve"> </w:t>
      </w:r>
      <w:r w:rsidRPr="002818E7">
        <w:rPr>
          <w:rFonts w:ascii="Verdana" w:hAnsi="Verdana"/>
          <w:sz w:val="20"/>
        </w:rPr>
        <w:t xml:space="preserve">para valorar as declarações ou manifestações que </w:t>
      </w:r>
      <w:r>
        <w:rPr>
          <w:rFonts w:ascii="Verdana" w:hAnsi="Verdana"/>
          <w:sz w:val="20"/>
        </w:rPr>
        <w:t>lhe são apresentadas</w:t>
      </w:r>
      <w:r w:rsidRPr="002818E7">
        <w:rPr>
          <w:rFonts w:ascii="Verdana" w:hAnsi="Verdana"/>
          <w:sz w:val="20"/>
        </w:rPr>
        <w:t xml:space="preserve">, tanto de forma escrita como por outros meios. Para isso pode fazer uma adequada </w:t>
      </w:r>
      <w:r w:rsidR="005832BB">
        <w:rPr>
          <w:rFonts w:ascii="Verdana" w:hAnsi="Verdana"/>
          <w:sz w:val="20"/>
        </w:rPr>
        <w:t>apreciação da prova</w:t>
      </w:r>
      <w:r w:rsidRPr="002818E7">
        <w:rPr>
          <w:rFonts w:ascii="Verdana" w:hAnsi="Verdana"/>
          <w:sz w:val="20"/>
        </w:rPr>
        <w:t xml:space="preserve">, conforme a regra da </w:t>
      </w:r>
      <w:r w:rsidRPr="002818E7">
        <w:rPr>
          <w:rFonts w:ascii="Verdana" w:hAnsi="Verdana"/>
          <w:sz w:val="20"/>
        </w:rPr>
        <w:lastRenderedPageBreak/>
        <w:t>“crítica sã”, o qu</w:t>
      </w:r>
      <w:r w:rsidR="00BD19C3">
        <w:rPr>
          <w:rFonts w:ascii="Verdana" w:hAnsi="Verdana"/>
          <w:sz w:val="20"/>
        </w:rPr>
        <w:t>e</w:t>
      </w:r>
      <w:r w:rsidRPr="002818E7">
        <w:rPr>
          <w:rFonts w:ascii="Verdana" w:hAnsi="Verdana"/>
          <w:sz w:val="20"/>
        </w:rPr>
        <w:t xml:space="preserve"> permitirá aos juízes chegar à convicção sobre a verdade dos fatos alegados, </w:t>
      </w:r>
      <w:r>
        <w:rPr>
          <w:rFonts w:ascii="Verdana" w:hAnsi="Verdana"/>
          <w:sz w:val="20"/>
        </w:rPr>
        <w:t>lev</w:t>
      </w:r>
      <w:r w:rsidRPr="002818E7">
        <w:rPr>
          <w:rFonts w:ascii="Verdana" w:hAnsi="Verdana"/>
          <w:sz w:val="20"/>
        </w:rPr>
        <w:t xml:space="preserve">ando em consideração o objeto e </w:t>
      </w:r>
      <w:r w:rsidR="00BD19C3">
        <w:rPr>
          <w:rFonts w:ascii="Verdana" w:hAnsi="Verdana"/>
          <w:sz w:val="20"/>
        </w:rPr>
        <w:t xml:space="preserve">o </w:t>
      </w:r>
      <w:r w:rsidRPr="002818E7">
        <w:rPr>
          <w:rFonts w:ascii="Verdana" w:hAnsi="Verdana"/>
          <w:sz w:val="20"/>
        </w:rPr>
        <w:t>fim da Convenção Americana.</w:t>
      </w:r>
      <w:proofErr w:type="gramStart"/>
      <w:r w:rsidRPr="002818E7">
        <w:rPr>
          <w:rStyle w:val="Refdenotaalpie"/>
          <w:rFonts w:ascii="Verdana" w:hAnsi="Verdana"/>
          <w:sz w:val="20"/>
        </w:rPr>
        <w:footnoteReference w:id="10"/>
      </w:r>
      <w:proofErr w:type="gramEnd"/>
      <w:r w:rsidR="00850A3F">
        <w:rPr>
          <w:rFonts w:ascii="Verdana" w:hAnsi="Verdana"/>
          <w:sz w:val="20"/>
        </w:rPr>
        <w:t xml:space="preserve"> </w:t>
      </w:r>
    </w:p>
    <w:p w:rsidR="00C336FB" w:rsidRPr="002818E7" w:rsidRDefault="00C336FB" w:rsidP="00C336FB">
      <w:pPr>
        <w:jc w:val="both"/>
        <w:rPr>
          <w:rFonts w:ascii="Verdana" w:hAnsi="Verdana"/>
          <w:b/>
          <w:sz w:val="20"/>
        </w:rPr>
      </w:pPr>
    </w:p>
    <w:p w:rsidR="00C336FB" w:rsidRPr="002818E7" w:rsidRDefault="00C336FB" w:rsidP="00C336FB">
      <w:pPr>
        <w:jc w:val="both"/>
        <w:rPr>
          <w:rFonts w:ascii="Verdana" w:hAnsi="Verdana"/>
          <w:sz w:val="20"/>
        </w:rPr>
      </w:pPr>
      <w:r w:rsidRPr="002818E7">
        <w:rPr>
          <w:rFonts w:ascii="Verdana" w:hAnsi="Verdana"/>
          <w:sz w:val="20"/>
        </w:rPr>
        <w:t>89.</w:t>
      </w:r>
      <w:r w:rsidRPr="002818E7">
        <w:rPr>
          <w:rFonts w:ascii="Verdana" w:hAnsi="Verdana"/>
          <w:sz w:val="20"/>
        </w:rPr>
        <w:tab/>
        <w:t xml:space="preserve">Com o fim de obter o maior número possível de provas, este Tribunal tem sido muito flexível na admissão e </w:t>
      </w:r>
      <w:r w:rsidR="005832BB">
        <w:rPr>
          <w:rFonts w:ascii="Verdana" w:hAnsi="Verdana"/>
          <w:sz w:val="20"/>
        </w:rPr>
        <w:t>aprecia</w:t>
      </w:r>
      <w:r w:rsidRPr="002818E7">
        <w:rPr>
          <w:rFonts w:ascii="Verdana" w:hAnsi="Verdana"/>
          <w:sz w:val="20"/>
        </w:rPr>
        <w:t>ção das mesmas, de acordo com as regras da lógica e com base na experiência.</w:t>
      </w:r>
      <w:r>
        <w:rPr>
          <w:rFonts w:ascii="Verdana" w:hAnsi="Verdana"/>
          <w:sz w:val="20"/>
        </w:rPr>
        <w:t xml:space="preserve"> </w:t>
      </w:r>
      <w:r w:rsidRPr="002818E7">
        <w:rPr>
          <w:rFonts w:ascii="Verdana" w:hAnsi="Verdana"/>
          <w:sz w:val="20"/>
        </w:rPr>
        <w:t xml:space="preserve">Um critério já indicado e aplicado com anterioridade pela Corte é </w:t>
      </w:r>
      <w:r>
        <w:rPr>
          <w:rFonts w:ascii="Verdana" w:hAnsi="Verdana"/>
          <w:sz w:val="20"/>
        </w:rPr>
        <w:t xml:space="preserve">o </w:t>
      </w:r>
      <w:r w:rsidRPr="002818E7">
        <w:rPr>
          <w:rFonts w:ascii="Verdana" w:hAnsi="Verdana"/>
          <w:sz w:val="20"/>
        </w:rPr>
        <w:t xml:space="preserve">da ausência de formalismo na </w:t>
      </w:r>
      <w:r w:rsidR="005832BB">
        <w:rPr>
          <w:rFonts w:ascii="Verdana" w:hAnsi="Verdana"/>
          <w:sz w:val="20"/>
        </w:rPr>
        <w:t>apreciação da prova</w:t>
      </w:r>
      <w:r w:rsidRPr="002818E7">
        <w:rPr>
          <w:rFonts w:ascii="Verdana" w:hAnsi="Verdana"/>
          <w:sz w:val="20"/>
        </w:rPr>
        <w:t xml:space="preserve">. O procedimento estabelecido para os casos contenciosos </w:t>
      </w:r>
      <w:r>
        <w:rPr>
          <w:rFonts w:ascii="Verdana" w:hAnsi="Verdana"/>
          <w:sz w:val="20"/>
        </w:rPr>
        <w:t>per</w:t>
      </w:r>
      <w:r w:rsidRPr="002818E7">
        <w:rPr>
          <w:rFonts w:ascii="Verdana" w:hAnsi="Verdana"/>
          <w:sz w:val="20"/>
        </w:rPr>
        <w:t>ante a Corte Interamericana ostenta características próprias que o diferenciam do aplicável nos processos de direito interno, não estando o primeiro sujeito às formalidades próprias do segundo.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90.</w:t>
      </w:r>
      <w:r w:rsidRPr="002818E7">
        <w:rPr>
          <w:rFonts w:ascii="Verdana" w:hAnsi="Verdana"/>
          <w:sz w:val="20"/>
        </w:rPr>
        <w:tab/>
        <w:t xml:space="preserve">É por isso que a “crítica sã” e o não requerimento de formalidades na admissão e </w:t>
      </w:r>
      <w:r w:rsidR="005832BB">
        <w:rPr>
          <w:rFonts w:ascii="Verdana" w:hAnsi="Verdana"/>
          <w:sz w:val="20"/>
        </w:rPr>
        <w:t>apreciação da prova</w:t>
      </w:r>
      <w:r w:rsidRPr="002818E7">
        <w:rPr>
          <w:rFonts w:ascii="Verdana" w:hAnsi="Verdana"/>
          <w:sz w:val="20"/>
        </w:rPr>
        <w:t xml:space="preserve"> são critérios fundamentais para valor</w:t>
      </w:r>
      <w:r w:rsidR="00BD19C3">
        <w:rPr>
          <w:rFonts w:ascii="Verdana" w:hAnsi="Verdana"/>
          <w:sz w:val="20"/>
        </w:rPr>
        <w:t>á-la e</w:t>
      </w:r>
      <w:r w:rsidRPr="002818E7">
        <w:rPr>
          <w:rFonts w:ascii="Verdana" w:hAnsi="Verdana"/>
          <w:sz w:val="20"/>
        </w:rPr>
        <w:t xml:space="preserve"> apreci</w:t>
      </w:r>
      <w:r w:rsidR="005832BB">
        <w:rPr>
          <w:rFonts w:ascii="Verdana" w:hAnsi="Verdana"/>
          <w:sz w:val="20"/>
        </w:rPr>
        <w:t>á-la</w:t>
      </w:r>
      <w:r w:rsidRPr="002818E7">
        <w:rPr>
          <w:rFonts w:ascii="Verdana" w:hAnsi="Verdana"/>
          <w:sz w:val="20"/>
        </w:rPr>
        <w:t xml:space="preserve"> </w:t>
      </w:r>
      <w:r w:rsidR="00BD19C3">
        <w:rPr>
          <w:rFonts w:ascii="Verdana" w:hAnsi="Verdana"/>
          <w:sz w:val="20"/>
        </w:rPr>
        <w:t xml:space="preserve">racionalmente e </w:t>
      </w:r>
      <w:r w:rsidRPr="002818E7">
        <w:rPr>
          <w:rFonts w:ascii="Verdana" w:hAnsi="Verdana"/>
          <w:sz w:val="20"/>
        </w:rPr>
        <w:t>em seu conjunto.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91.</w:t>
      </w:r>
      <w:r w:rsidRPr="002818E7">
        <w:rPr>
          <w:rFonts w:ascii="Verdana" w:hAnsi="Verdana"/>
          <w:sz w:val="20"/>
        </w:rPr>
        <w:tab/>
        <w:t>Corresponde agora à Corte apreciar o valor dos elementos de convicção apresentados pelas partes no presente caso.</w:t>
      </w:r>
    </w:p>
    <w:p w:rsidR="00C336FB" w:rsidRPr="002818E7" w:rsidRDefault="00C336FB" w:rsidP="00C336FB">
      <w:pPr>
        <w:jc w:val="both"/>
        <w:rPr>
          <w:rFonts w:ascii="Verdana" w:hAnsi="Verdana"/>
          <w:b/>
          <w:sz w:val="20"/>
        </w:rPr>
      </w:pPr>
    </w:p>
    <w:p w:rsidR="00C336FB" w:rsidRPr="002818E7" w:rsidRDefault="00C336FB" w:rsidP="00C336FB">
      <w:pPr>
        <w:jc w:val="center"/>
        <w:rPr>
          <w:rFonts w:ascii="Verdana" w:hAnsi="Verdana"/>
          <w:b/>
          <w:sz w:val="20"/>
        </w:rPr>
      </w:pPr>
      <w:r w:rsidRPr="002818E7">
        <w:rPr>
          <w:rFonts w:ascii="Verdana" w:hAnsi="Verdana"/>
          <w:b/>
          <w:sz w:val="20"/>
        </w:rPr>
        <w:t>*</w:t>
      </w:r>
    </w:p>
    <w:p w:rsidR="00C336FB" w:rsidRPr="002818E7" w:rsidRDefault="00C336FB" w:rsidP="00C336FB">
      <w:pPr>
        <w:jc w:val="center"/>
        <w:rPr>
          <w:rFonts w:ascii="Verdana" w:hAnsi="Verdana"/>
          <w:b/>
          <w:sz w:val="20"/>
        </w:rPr>
      </w:pPr>
      <w:r w:rsidRPr="002818E7">
        <w:rPr>
          <w:rFonts w:ascii="Verdana" w:hAnsi="Verdana"/>
          <w:b/>
          <w:sz w:val="20"/>
        </w:rPr>
        <w:t>*</w:t>
      </w:r>
      <w:r w:rsidRPr="002818E7">
        <w:rPr>
          <w:rFonts w:ascii="Verdana" w:hAnsi="Verdana"/>
          <w:b/>
          <w:sz w:val="20"/>
        </w:rPr>
        <w:tab/>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92.</w:t>
      </w:r>
      <w:r w:rsidRPr="002818E7">
        <w:rPr>
          <w:rFonts w:ascii="Verdana" w:hAnsi="Verdana"/>
          <w:sz w:val="20"/>
        </w:rPr>
        <w:tab/>
        <w:t xml:space="preserve">Quanto à prova documental </w:t>
      </w:r>
      <w:r w:rsidR="00C24835">
        <w:rPr>
          <w:rFonts w:ascii="Verdana" w:hAnsi="Verdana"/>
          <w:sz w:val="20"/>
        </w:rPr>
        <w:t>oferecida</w:t>
      </w:r>
      <w:r w:rsidRPr="002818E7">
        <w:rPr>
          <w:rFonts w:ascii="Verdana" w:hAnsi="Verdana"/>
          <w:sz w:val="20"/>
        </w:rPr>
        <w:t xml:space="preserve"> pela Comissão e pelo Estado que não foi controvertida nem objetada, nem cuja autenticidade foi colocada em dúvida, este Tribunal lhe dá valor e a incorpora ao acervo probatório do presente caso.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93.</w:t>
      </w:r>
      <w:r w:rsidRPr="002818E7">
        <w:rPr>
          <w:rFonts w:ascii="Verdana" w:hAnsi="Verdana"/>
          <w:sz w:val="20"/>
        </w:rPr>
        <w:tab/>
        <w:t xml:space="preserve">Os documentos </w:t>
      </w:r>
      <w:r w:rsidR="00C6474D">
        <w:rPr>
          <w:rFonts w:ascii="Verdana" w:hAnsi="Verdana"/>
          <w:sz w:val="20"/>
        </w:rPr>
        <w:t>in</w:t>
      </w:r>
      <w:r w:rsidRPr="002818E7">
        <w:rPr>
          <w:rFonts w:ascii="Verdana" w:hAnsi="Verdana"/>
          <w:sz w:val="20"/>
        </w:rPr>
        <w:t>titulados “Awas Tingni.</w:t>
      </w:r>
      <w:r>
        <w:rPr>
          <w:rFonts w:ascii="Verdana" w:hAnsi="Verdana"/>
          <w:sz w:val="20"/>
        </w:rPr>
        <w:t xml:space="preserve"> </w:t>
      </w:r>
      <w:r w:rsidRPr="002818E7">
        <w:rPr>
          <w:rFonts w:ascii="Verdana" w:hAnsi="Verdana"/>
          <w:sz w:val="20"/>
        </w:rPr>
        <w:t>Um Estudo Etnográfico da Comunidade e seu Território”, efetuado por Theodore Macdonald em fevereiro de 1996; “Parecer etnográfico ao documento efetuado pelo Dr. Theodore Macdonald”, realizado por Ramiro García Vásquez e diversos mapas referentes à delimitação do território ocupado pela Comunidade Awas Tingni foram objetados quanto a</w:t>
      </w:r>
      <w:r w:rsidR="00BD19C3">
        <w:rPr>
          <w:rFonts w:ascii="Verdana" w:hAnsi="Verdana"/>
          <w:sz w:val="20"/>
        </w:rPr>
        <w:t>o</w:t>
      </w:r>
      <w:r w:rsidRPr="002818E7">
        <w:rPr>
          <w:rFonts w:ascii="Verdana" w:hAnsi="Verdana"/>
          <w:sz w:val="20"/>
        </w:rPr>
        <w:t xml:space="preserve"> seu conteúdo.</w:t>
      </w:r>
      <w:r w:rsidR="00850A3F">
        <w:rPr>
          <w:rFonts w:ascii="Verdana" w:hAnsi="Verdana"/>
          <w:sz w:val="20"/>
        </w:rPr>
        <w:t xml:space="preserve"> </w:t>
      </w:r>
      <w:r w:rsidRPr="002818E7">
        <w:rPr>
          <w:rFonts w:ascii="Verdana" w:hAnsi="Verdana"/>
          <w:sz w:val="20"/>
        </w:rPr>
        <w:t xml:space="preserve">A Corte </w:t>
      </w:r>
      <w:r>
        <w:rPr>
          <w:rFonts w:ascii="Verdana" w:hAnsi="Verdana"/>
          <w:sz w:val="20"/>
        </w:rPr>
        <w:t>leva</w:t>
      </w:r>
      <w:r w:rsidRPr="002818E7">
        <w:rPr>
          <w:rFonts w:ascii="Verdana" w:hAnsi="Verdana"/>
          <w:sz w:val="20"/>
        </w:rPr>
        <w:t xml:space="preserve"> em conta as diversas posições das partes a respeito destes documentos; entretanto, este Tribunal considera útil incorporá-los ao acervo probatório do caso.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94.</w:t>
      </w:r>
      <w:r w:rsidRPr="002818E7">
        <w:rPr>
          <w:rFonts w:ascii="Verdana" w:hAnsi="Verdana"/>
          <w:sz w:val="20"/>
        </w:rPr>
        <w:tab/>
        <w:t xml:space="preserve">A respeito dos recortes de jornais </w:t>
      </w:r>
      <w:r w:rsidR="00BD19C3">
        <w:rPr>
          <w:rFonts w:ascii="Verdana" w:hAnsi="Verdana"/>
          <w:sz w:val="20"/>
        </w:rPr>
        <w:t>apresentados</w:t>
      </w:r>
      <w:r w:rsidR="00BD19C3" w:rsidRPr="002818E7">
        <w:rPr>
          <w:rFonts w:ascii="Verdana" w:hAnsi="Verdana"/>
          <w:sz w:val="20"/>
        </w:rPr>
        <w:t xml:space="preserve"> </w:t>
      </w:r>
      <w:r w:rsidRPr="002818E7">
        <w:rPr>
          <w:rFonts w:ascii="Verdana" w:hAnsi="Verdana"/>
          <w:sz w:val="20"/>
        </w:rPr>
        <w:t xml:space="preserve">pela Comissão, o Tribunal </w:t>
      </w:r>
      <w:r>
        <w:rPr>
          <w:rFonts w:ascii="Verdana" w:hAnsi="Verdana"/>
          <w:sz w:val="20"/>
        </w:rPr>
        <w:t>considerou</w:t>
      </w:r>
      <w:r w:rsidRPr="002818E7">
        <w:rPr>
          <w:rFonts w:ascii="Verdana" w:hAnsi="Verdana"/>
          <w:sz w:val="20"/>
        </w:rPr>
        <w:t xml:space="preserve"> que ainda quando estes não têm caráter de prova documental propriamente dita, podem ser </w:t>
      </w:r>
      <w:r w:rsidR="005832BB">
        <w:rPr>
          <w:rFonts w:ascii="Verdana" w:hAnsi="Verdana"/>
          <w:sz w:val="20"/>
        </w:rPr>
        <w:t>apreciados</w:t>
      </w:r>
      <w:r w:rsidRPr="002818E7">
        <w:rPr>
          <w:rFonts w:ascii="Verdana" w:hAnsi="Verdana"/>
          <w:sz w:val="20"/>
        </w:rPr>
        <w:t xml:space="preserve"> quando </w:t>
      </w:r>
      <w:r>
        <w:rPr>
          <w:rFonts w:ascii="Verdana" w:hAnsi="Verdana"/>
          <w:sz w:val="20"/>
        </w:rPr>
        <w:t xml:space="preserve">reúnam </w:t>
      </w:r>
      <w:r w:rsidRPr="002818E7">
        <w:rPr>
          <w:rFonts w:ascii="Verdana" w:hAnsi="Verdana"/>
          <w:sz w:val="20"/>
        </w:rPr>
        <w:t>fatos públicos ou notórios, declarações de altos agentes do Estado, ou quando corroborem o estabelecido em outros documentos ou testemunhos recebidos no processo.</w:t>
      </w:r>
      <w:proofErr w:type="gramStart"/>
      <w:r w:rsidRPr="002818E7">
        <w:rPr>
          <w:rStyle w:val="Refdenotaalpie"/>
          <w:rFonts w:ascii="Verdana" w:hAnsi="Verdana"/>
          <w:sz w:val="20"/>
        </w:rPr>
        <w:footnoteReference w:id="11"/>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95.</w:t>
      </w:r>
      <w:r w:rsidRPr="002818E7">
        <w:rPr>
          <w:rFonts w:ascii="Verdana" w:hAnsi="Verdana"/>
          <w:sz w:val="20"/>
        </w:rPr>
        <w:tab/>
        <w:t xml:space="preserve">Os documentos apresentados por Marco Antonio Centeno Caffarena em 21 de novembro de 2000 </w:t>
      </w:r>
      <w:r w:rsidR="005832BB">
        <w:rPr>
          <w:rFonts w:ascii="Verdana" w:hAnsi="Verdana"/>
          <w:sz w:val="20"/>
        </w:rPr>
        <w:t>durante a audiência pública</w:t>
      </w:r>
      <w:r w:rsidRPr="002818E7">
        <w:rPr>
          <w:rFonts w:ascii="Verdana" w:hAnsi="Verdana"/>
          <w:sz w:val="20"/>
        </w:rPr>
        <w:t xml:space="preserve"> foram </w:t>
      </w:r>
      <w:r w:rsidR="005832BB">
        <w:rPr>
          <w:rFonts w:ascii="Verdana" w:hAnsi="Verdana"/>
          <w:sz w:val="20"/>
        </w:rPr>
        <w:t>apreciados</w:t>
      </w:r>
      <w:r w:rsidRPr="002818E7">
        <w:rPr>
          <w:rFonts w:ascii="Verdana" w:hAnsi="Verdana"/>
          <w:sz w:val="20"/>
        </w:rPr>
        <w:t xml:space="preserve"> pela Corte</w:t>
      </w:r>
      <w:r w:rsidR="00BD19C3">
        <w:rPr>
          <w:rFonts w:ascii="Verdana" w:hAnsi="Verdana"/>
          <w:sz w:val="20"/>
        </w:rPr>
        <w:t>,</w:t>
      </w:r>
      <w:r w:rsidRPr="002818E7">
        <w:rPr>
          <w:rFonts w:ascii="Verdana" w:hAnsi="Verdana"/>
          <w:sz w:val="20"/>
        </w:rPr>
        <w:t xml:space="preserve"> e este Tribunal, mediante Resolução de 24 de novembro de 2000, acrescentou ao acervo probatório do presente caso, conforme o artigo 44 de seu Regulamento, dois dos oito documentos por ele aportados </w:t>
      </w:r>
      <w:r w:rsidR="00C60678" w:rsidRPr="00C60678">
        <w:rPr>
          <w:rFonts w:ascii="Verdana" w:hAnsi="Verdana"/>
          <w:sz w:val="20"/>
        </w:rPr>
        <w:t>(</w:t>
      </w:r>
      <w:r w:rsidRPr="002818E7">
        <w:rPr>
          <w:rFonts w:ascii="Verdana" w:hAnsi="Verdana"/>
          <w:sz w:val="20"/>
        </w:rPr>
        <w:t xml:space="preserve">pars. </w:t>
      </w:r>
      <w:proofErr w:type="gramStart"/>
      <w:r w:rsidRPr="002818E7">
        <w:rPr>
          <w:rFonts w:ascii="Verdana" w:hAnsi="Verdana"/>
          <w:sz w:val="20"/>
        </w:rPr>
        <w:t xml:space="preserve">63, 64 e 79 </w:t>
      </w:r>
      <w:r w:rsidRPr="002818E7">
        <w:rPr>
          <w:rFonts w:ascii="Verdana" w:hAnsi="Verdana"/>
          <w:i/>
          <w:sz w:val="20"/>
        </w:rPr>
        <w:t>supra</w:t>
      </w:r>
      <w:proofErr w:type="gramEnd"/>
      <w:r w:rsidR="00C60678" w:rsidRPr="00C60678">
        <w:rPr>
          <w:rFonts w:ascii="Verdana" w:hAnsi="Verdana"/>
          <w:sz w:val="20"/>
        </w:rPr>
        <w:t>)</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b/>
          <w:sz w:val="20"/>
        </w:rPr>
      </w:pPr>
      <w:r w:rsidRPr="002818E7">
        <w:rPr>
          <w:rFonts w:ascii="Verdana" w:hAnsi="Verdana"/>
          <w:sz w:val="20"/>
        </w:rPr>
        <w:lastRenderedPageBreak/>
        <w:t>96.</w:t>
      </w:r>
      <w:r w:rsidRPr="002818E7">
        <w:rPr>
          <w:rFonts w:ascii="Verdana" w:hAnsi="Verdana"/>
          <w:sz w:val="20"/>
        </w:rPr>
        <w:tab/>
        <w:t xml:space="preserve">O documento </w:t>
      </w:r>
      <w:r w:rsidR="00C6474D">
        <w:rPr>
          <w:rFonts w:ascii="Verdana" w:hAnsi="Verdana"/>
          <w:sz w:val="20"/>
        </w:rPr>
        <w:t>intitulado</w:t>
      </w:r>
      <w:r w:rsidR="00A620ED">
        <w:rPr>
          <w:rFonts w:ascii="Verdana" w:hAnsi="Verdana"/>
          <w:sz w:val="20"/>
        </w:rPr>
        <w:t xml:space="preserve"> </w:t>
      </w:r>
      <w:r w:rsidRPr="002818E7">
        <w:rPr>
          <w:rFonts w:ascii="Verdana" w:hAnsi="Verdana"/>
          <w:sz w:val="20"/>
        </w:rPr>
        <w:t xml:space="preserve">“Diagnóstico geral sobre a </w:t>
      </w:r>
      <w:r>
        <w:rPr>
          <w:rFonts w:ascii="Verdana" w:hAnsi="Verdana"/>
          <w:sz w:val="20"/>
        </w:rPr>
        <w:t>posse</w:t>
      </w:r>
      <w:r w:rsidRPr="002818E7">
        <w:rPr>
          <w:rFonts w:ascii="Verdana" w:hAnsi="Verdana"/>
          <w:sz w:val="20"/>
        </w:rPr>
        <w:t xml:space="preserve"> da terra nas comunidades indígenas da Costa Atlântica”, efetuado pelo </w:t>
      </w:r>
      <w:r w:rsidRPr="002818E7">
        <w:rPr>
          <w:rFonts w:ascii="Verdana" w:hAnsi="Verdana"/>
          <w:i/>
          <w:sz w:val="20"/>
        </w:rPr>
        <w:t>Central American and Caribbean Research Council</w:t>
      </w:r>
      <w:r w:rsidR="00907B14">
        <w:rPr>
          <w:rFonts w:ascii="Verdana" w:hAnsi="Verdana"/>
          <w:i/>
          <w:sz w:val="20"/>
        </w:rPr>
        <w:t>,</w:t>
      </w:r>
      <w:r w:rsidRPr="002818E7">
        <w:rPr>
          <w:rFonts w:ascii="Verdana" w:hAnsi="Verdana"/>
          <w:sz w:val="20"/>
        </w:rPr>
        <w:t xml:space="preserve"> foi apresentado pelo Estado em 20 de dezembro de 2000, tal como foi solicitado mediante Resolução da Corte de 24 de novembro de 2000 </w:t>
      </w:r>
      <w:r w:rsidR="00C60678" w:rsidRPr="00C60678">
        <w:rPr>
          <w:rFonts w:ascii="Verdana" w:hAnsi="Verdana"/>
          <w:sz w:val="20"/>
        </w:rPr>
        <w:t>(</w:t>
      </w:r>
      <w:r w:rsidRPr="002818E7">
        <w:rPr>
          <w:rFonts w:ascii="Verdana" w:hAnsi="Verdana"/>
          <w:sz w:val="20"/>
        </w:rPr>
        <w:t xml:space="preserve">pars. </w:t>
      </w:r>
      <w:proofErr w:type="gramStart"/>
      <w:r w:rsidRPr="002818E7">
        <w:rPr>
          <w:rFonts w:ascii="Verdana" w:hAnsi="Verdana"/>
          <w:sz w:val="20"/>
        </w:rPr>
        <w:t xml:space="preserve">64, 65 e 80 </w:t>
      </w:r>
      <w:r w:rsidRPr="002818E7">
        <w:rPr>
          <w:rFonts w:ascii="Verdana" w:hAnsi="Verdana"/>
          <w:i/>
          <w:sz w:val="20"/>
        </w:rPr>
        <w:t>supra</w:t>
      </w:r>
      <w:proofErr w:type="gramEnd"/>
      <w:r w:rsidR="00C60678" w:rsidRPr="00C60678">
        <w:rPr>
          <w:rFonts w:ascii="Verdana" w:hAnsi="Verdana"/>
          <w:sz w:val="20"/>
        </w:rPr>
        <w:t>)</w:t>
      </w:r>
      <w:r w:rsidRPr="002818E7">
        <w:rPr>
          <w:rFonts w:ascii="Verdana" w:hAnsi="Verdana"/>
          <w:sz w:val="20"/>
        </w:rPr>
        <w:t xml:space="preserve">. </w:t>
      </w:r>
      <w:r w:rsidR="00DD1C8B">
        <w:rPr>
          <w:rFonts w:ascii="Verdana" w:hAnsi="Verdana"/>
          <w:sz w:val="20"/>
        </w:rPr>
        <w:t xml:space="preserve">Como </w:t>
      </w:r>
      <w:r w:rsidRPr="002818E7">
        <w:rPr>
          <w:rFonts w:ascii="Verdana" w:hAnsi="Verdana"/>
          <w:sz w:val="20"/>
        </w:rPr>
        <w:t>este documento foi solicitado pelo Tribunal, com fundamento no artigo 44 do Regulamento</w:t>
      </w:r>
      <w:r w:rsidR="00907B14">
        <w:rPr>
          <w:rFonts w:ascii="Verdana" w:hAnsi="Verdana"/>
          <w:sz w:val="20"/>
        </w:rPr>
        <w:t>, ele</w:t>
      </w:r>
      <w:r w:rsidRPr="002818E7">
        <w:rPr>
          <w:rFonts w:ascii="Verdana" w:hAnsi="Verdana"/>
          <w:sz w:val="20"/>
        </w:rPr>
        <w:t xml:space="preserve"> é incorporado ao acervo probatório do presente caso em aplicação do disposto no inciso primeiro dessa mesma norma.</w:t>
      </w:r>
    </w:p>
    <w:p w:rsidR="00C336FB" w:rsidRPr="002818E7" w:rsidRDefault="00C336FB" w:rsidP="00C336FB">
      <w:pPr>
        <w:tabs>
          <w:tab w:val="left" w:pos="538"/>
        </w:tabs>
        <w:jc w:val="both"/>
        <w:rPr>
          <w:rFonts w:ascii="Verdana" w:hAnsi="Verdana"/>
          <w:sz w:val="20"/>
        </w:rPr>
      </w:pPr>
      <w:r w:rsidRPr="002818E7">
        <w:rPr>
          <w:rFonts w:ascii="Verdana" w:hAnsi="Verdana"/>
          <w:sz w:val="20"/>
        </w:rPr>
        <w:tab/>
      </w:r>
    </w:p>
    <w:p w:rsidR="00C336FB" w:rsidRPr="002818E7" w:rsidRDefault="00C336FB" w:rsidP="00C336FB">
      <w:pPr>
        <w:jc w:val="both"/>
        <w:rPr>
          <w:rFonts w:ascii="Verdana" w:hAnsi="Verdana"/>
          <w:sz w:val="20"/>
        </w:rPr>
      </w:pPr>
      <w:r w:rsidRPr="002818E7">
        <w:rPr>
          <w:rFonts w:ascii="Verdana" w:hAnsi="Verdana"/>
          <w:sz w:val="20"/>
        </w:rPr>
        <w:t>97.</w:t>
      </w:r>
      <w:r w:rsidRPr="002818E7">
        <w:rPr>
          <w:rFonts w:ascii="Verdana" w:hAnsi="Verdana"/>
          <w:sz w:val="20"/>
        </w:rPr>
        <w:tab/>
        <w:t xml:space="preserve">A Corte considera úteis os três documentos apresentados pela Comissão em 29 de janeiro de 2001 </w:t>
      </w:r>
      <w:r w:rsidR="00C60678" w:rsidRPr="00C60678">
        <w:rPr>
          <w:rFonts w:ascii="Verdana" w:hAnsi="Verdana"/>
          <w:sz w:val="20"/>
        </w:rPr>
        <w:t>(</w:t>
      </w:r>
      <w:r w:rsidRPr="002818E7">
        <w:rPr>
          <w:rFonts w:ascii="Verdana" w:hAnsi="Verdana"/>
          <w:sz w:val="20"/>
        </w:rPr>
        <w:t xml:space="preserve">pars. </w:t>
      </w:r>
      <w:proofErr w:type="gramStart"/>
      <w:r w:rsidRPr="002818E7">
        <w:rPr>
          <w:rFonts w:ascii="Verdana" w:hAnsi="Verdana"/>
          <w:sz w:val="20"/>
        </w:rPr>
        <w:t xml:space="preserve">66 e 81 </w:t>
      </w:r>
      <w:r w:rsidRPr="002818E7">
        <w:rPr>
          <w:rFonts w:ascii="Verdana" w:hAnsi="Verdana"/>
          <w:i/>
          <w:sz w:val="20"/>
        </w:rPr>
        <w:t>supra</w:t>
      </w:r>
      <w:proofErr w:type="gramEnd"/>
      <w:r w:rsidR="00C60678" w:rsidRPr="00C60678">
        <w:rPr>
          <w:rFonts w:ascii="Verdana" w:hAnsi="Verdana"/>
          <w:sz w:val="20"/>
        </w:rPr>
        <w:t>)</w:t>
      </w:r>
      <w:r w:rsidRPr="002818E7">
        <w:rPr>
          <w:rFonts w:ascii="Verdana" w:hAnsi="Verdana"/>
          <w:sz w:val="20"/>
        </w:rPr>
        <w:t xml:space="preserve">, </w:t>
      </w:r>
      <w:r w:rsidR="005832BB">
        <w:rPr>
          <w:rFonts w:ascii="Verdana" w:hAnsi="Verdana"/>
          <w:sz w:val="20"/>
        </w:rPr>
        <w:t>sobretudo</w:t>
      </w:r>
      <w:r w:rsidRPr="002818E7">
        <w:rPr>
          <w:rFonts w:ascii="Verdana" w:hAnsi="Verdana"/>
          <w:sz w:val="20"/>
        </w:rPr>
        <w:t xml:space="preserve"> </w:t>
      </w:r>
      <w:r w:rsidR="005832BB">
        <w:rPr>
          <w:rFonts w:ascii="Verdana" w:hAnsi="Verdana"/>
          <w:sz w:val="20"/>
        </w:rPr>
        <w:t xml:space="preserve">porque </w:t>
      </w:r>
      <w:r w:rsidRPr="002818E7">
        <w:rPr>
          <w:rFonts w:ascii="Verdana" w:hAnsi="Verdana"/>
          <w:sz w:val="20"/>
        </w:rPr>
        <w:t>não foram controvertidos nem objetados, nem sua autenticidade ou veracidade colocadas em dúvida.</w:t>
      </w:r>
      <w:r w:rsidR="00850A3F">
        <w:rPr>
          <w:rFonts w:ascii="Verdana" w:hAnsi="Verdana"/>
          <w:sz w:val="20"/>
        </w:rPr>
        <w:t xml:space="preserve"> </w:t>
      </w:r>
      <w:r w:rsidRPr="002818E7">
        <w:rPr>
          <w:rFonts w:ascii="Verdana" w:hAnsi="Verdana"/>
          <w:sz w:val="20"/>
        </w:rPr>
        <w:t>Em consequência, os incorpora à prova do presente caso.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98.</w:t>
      </w:r>
      <w:r w:rsidRPr="002818E7">
        <w:rPr>
          <w:rFonts w:ascii="Verdana" w:hAnsi="Verdana"/>
          <w:sz w:val="20"/>
        </w:rPr>
        <w:tab/>
        <w:t xml:space="preserve">O acervo probatório de um caso é único e inseparável e </w:t>
      </w:r>
      <w:r>
        <w:rPr>
          <w:rFonts w:ascii="Verdana" w:hAnsi="Verdana"/>
          <w:sz w:val="20"/>
        </w:rPr>
        <w:t xml:space="preserve">se </w:t>
      </w:r>
      <w:r w:rsidRPr="002818E7">
        <w:rPr>
          <w:rFonts w:ascii="Verdana" w:hAnsi="Verdana"/>
          <w:sz w:val="20"/>
        </w:rPr>
        <w:t>integra com a prova apresentada durante todas as etapas do procedimento.</w:t>
      </w:r>
      <w:r w:rsidRPr="002818E7">
        <w:rPr>
          <w:rStyle w:val="Refdenotaalpie"/>
          <w:rFonts w:ascii="Verdana" w:hAnsi="Verdana"/>
          <w:sz w:val="20"/>
        </w:rPr>
        <w:footnoteReference w:id="12"/>
      </w:r>
      <w:r w:rsidRPr="002818E7">
        <w:rPr>
          <w:rFonts w:ascii="Verdana" w:hAnsi="Verdana"/>
          <w:sz w:val="20"/>
        </w:rPr>
        <w:t xml:space="preserve"> Por esta razão, a prova documental apresentada pelo Estado e pela Comissão durante a etapa de exceções preliminares forma parte do acervo probatório do presente caso.</w:t>
      </w:r>
    </w:p>
    <w:p w:rsidR="00C336FB" w:rsidRPr="002818E7" w:rsidRDefault="00C336FB" w:rsidP="00C336FB">
      <w:pPr>
        <w:jc w:val="both"/>
        <w:rPr>
          <w:rFonts w:ascii="Verdana" w:hAnsi="Verdana"/>
          <w:sz w:val="20"/>
          <w:u w:val="single"/>
        </w:rPr>
      </w:pPr>
    </w:p>
    <w:p w:rsidR="00C336FB" w:rsidRPr="002818E7" w:rsidRDefault="00C336FB" w:rsidP="00C336FB">
      <w:pPr>
        <w:jc w:val="both"/>
        <w:rPr>
          <w:rFonts w:ascii="Verdana" w:hAnsi="Verdana"/>
          <w:sz w:val="20"/>
        </w:rPr>
      </w:pPr>
      <w:r w:rsidRPr="002818E7">
        <w:rPr>
          <w:rFonts w:ascii="Verdana" w:hAnsi="Verdana"/>
          <w:sz w:val="20"/>
        </w:rPr>
        <w:t>99.</w:t>
      </w:r>
      <w:r w:rsidRPr="002818E7">
        <w:rPr>
          <w:rFonts w:ascii="Verdana" w:hAnsi="Verdana"/>
          <w:sz w:val="20"/>
        </w:rPr>
        <w:tab/>
        <w:t>O Estado não apresentou a documentação solicitada pela Corte</w:t>
      </w:r>
      <w:r w:rsidR="004B4777">
        <w:rPr>
          <w:rFonts w:ascii="Verdana" w:hAnsi="Verdana"/>
          <w:sz w:val="20"/>
        </w:rPr>
        <w:t>,</w:t>
      </w:r>
      <w:r w:rsidRPr="002818E7">
        <w:rPr>
          <w:rFonts w:ascii="Verdana" w:hAnsi="Verdana"/>
          <w:sz w:val="20"/>
        </w:rPr>
        <w:t xml:space="preserve"> em 31 de julho de 2001 como prova para melhor </w:t>
      </w:r>
      <w:r w:rsidR="00DD1C8B">
        <w:rPr>
          <w:rFonts w:ascii="Verdana" w:hAnsi="Verdana"/>
          <w:sz w:val="20"/>
        </w:rPr>
        <w:t>decidir</w:t>
      </w:r>
      <w:r w:rsidRPr="002818E7">
        <w:rPr>
          <w:rFonts w:ascii="Verdana" w:hAnsi="Verdana"/>
          <w:sz w:val="20"/>
        </w:rPr>
        <w:t xml:space="preserve"> </w:t>
      </w:r>
      <w:r w:rsidR="00C60678" w:rsidRPr="00C60678">
        <w:rPr>
          <w:rFonts w:ascii="Verdana" w:hAnsi="Verdana"/>
          <w:sz w:val="20"/>
        </w:rPr>
        <w:t>(</w:t>
      </w:r>
      <w:r w:rsidRPr="002818E7">
        <w:rPr>
          <w:rFonts w:ascii="Verdana" w:hAnsi="Verdana"/>
          <w:sz w:val="20"/>
        </w:rPr>
        <w:t xml:space="preserve">par. 69 </w:t>
      </w:r>
      <w:r w:rsidRPr="002818E7">
        <w:rPr>
          <w:rFonts w:ascii="Verdana" w:hAnsi="Verdana"/>
          <w:i/>
          <w:sz w:val="20"/>
        </w:rPr>
        <w:t>supra</w:t>
      </w:r>
      <w:r w:rsidR="00C60678" w:rsidRPr="00C60678">
        <w:rPr>
          <w:rFonts w:ascii="Verdana" w:hAnsi="Verdana"/>
          <w:sz w:val="20"/>
        </w:rPr>
        <w:t>)</w:t>
      </w:r>
      <w:r w:rsidRPr="002818E7">
        <w:rPr>
          <w:rFonts w:ascii="Verdana" w:hAnsi="Verdana"/>
          <w:sz w:val="20"/>
        </w:rPr>
        <w:t xml:space="preserve">. </w:t>
      </w:r>
      <w:r w:rsidR="00BD19C3">
        <w:rPr>
          <w:rFonts w:ascii="Verdana" w:hAnsi="Verdana"/>
          <w:sz w:val="20"/>
        </w:rPr>
        <w:t>A Corte o</w:t>
      </w:r>
      <w:r w:rsidRPr="002818E7">
        <w:rPr>
          <w:rFonts w:ascii="Verdana" w:hAnsi="Verdana"/>
          <w:sz w:val="20"/>
        </w:rPr>
        <w:t xml:space="preserve">bserva a esse respeito que as partes devem </w:t>
      </w:r>
      <w:r w:rsidR="00C34B7D">
        <w:rPr>
          <w:rFonts w:ascii="Verdana" w:hAnsi="Verdana"/>
          <w:sz w:val="20"/>
        </w:rPr>
        <w:t>entregar</w:t>
      </w:r>
      <w:r w:rsidRPr="002818E7">
        <w:rPr>
          <w:rFonts w:ascii="Verdana" w:hAnsi="Verdana"/>
          <w:sz w:val="20"/>
        </w:rPr>
        <w:t xml:space="preserve"> ao Tribunal as provas solicitadas por este, sejam documentais, testemunhais, periciais ou de outra índole.</w:t>
      </w:r>
      <w:r w:rsidR="00850A3F">
        <w:rPr>
          <w:rFonts w:ascii="Verdana" w:hAnsi="Verdana"/>
          <w:sz w:val="20"/>
        </w:rPr>
        <w:t xml:space="preserve"> </w:t>
      </w:r>
      <w:r w:rsidRPr="002818E7">
        <w:rPr>
          <w:rFonts w:ascii="Verdana" w:hAnsi="Verdana"/>
          <w:sz w:val="20"/>
        </w:rPr>
        <w:t xml:space="preserve">A Comissão e o Estado devem </w:t>
      </w:r>
      <w:r w:rsidR="005832BB">
        <w:rPr>
          <w:rFonts w:ascii="Verdana" w:hAnsi="Verdana"/>
          <w:sz w:val="20"/>
        </w:rPr>
        <w:t>fornecer</w:t>
      </w:r>
      <w:r w:rsidRPr="002818E7">
        <w:rPr>
          <w:rFonts w:ascii="Verdana" w:hAnsi="Verdana"/>
          <w:sz w:val="20"/>
        </w:rPr>
        <w:t xml:space="preserve"> todos os elementos probatórios requeridos -</w:t>
      </w:r>
      <w:r>
        <w:rPr>
          <w:rFonts w:ascii="Verdana" w:hAnsi="Verdana"/>
          <w:sz w:val="20"/>
        </w:rPr>
        <w:t xml:space="preserve"> </w:t>
      </w:r>
      <w:r w:rsidRPr="002818E7">
        <w:rPr>
          <w:rFonts w:ascii="Verdana" w:hAnsi="Verdana"/>
          <w:sz w:val="20"/>
        </w:rPr>
        <w:t xml:space="preserve">de ofício, como prova para melhor resolver </w:t>
      </w:r>
      <w:r>
        <w:rPr>
          <w:rFonts w:ascii="Verdana" w:hAnsi="Verdana"/>
          <w:sz w:val="20"/>
        </w:rPr>
        <w:t xml:space="preserve">ou </w:t>
      </w:r>
      <w:r w:rsidR="004B4777">
        <w:rPr>
          <w:rFonts w:ascii="Verdana" w:hAnsi="Verdana"/>
          <w:sz w:val="20"/>
        </w:rPr>
        <w:t>a pedido</w:t>
      </w:r>
      <w:r>
        <w:rPr>
          <w:rFonts w:ascii="Verdana" w:hAnsi="Verdana"/>
          <w:sz w:val="20"/>
        </w:rPr>
        <w:t xml:space="preserve"> de</w:t>
      </w:r>
      <w:r w:rsidR="009A464A">
        <w:rPr>
          <w:rFonts w:ascii="Verdana" w:hAnsi="Verdana"/>
          <w:sz w:val="20"/>
        </w:rPr>
        <w:t xml:space="preserve"> alguma</w:t>
      </w:r>
      <w:r>
        <w:rPr>
          <w:rFonts w:ascii="Verdana" w:hAnsi="Verdana"/>
          <w:sz w:val="20"/>
        </w:rPr>
        <w:t xml:space="preserve"> parte </w:t>
      </w:r>
      <w:r w:rsidRPr="002818E7">
        <w:rPr>
          <w:rFonts w:ascii="Verdana" w:hAnsi="Verdana"/>
          <w:sz w:val="20"/>
        </w:rPr>
        <w:t>-</w:t>
      </w:r>
      <w:r>
        <w:rPr>
          <w:rFonts w:ascii="Verdana" w:hAnsi="Verdana"/>
          <w:sz w:val="20"/>
        </w:rPr>
        <w:t xml:space="preserve"> </w:t>
      </w:r>
      <w:r w:rsidRPr="002818E7">
        <w:rPr>
          <w:rFonts w:ascii="Verdana" w:hAnsi="Verdana"/>
          <w:sz w:val="20"/>
        </w:rPr>
        <w:t xml:space="preserve">a fim de que o Tribunal tenha maior número de elementos de juízo para conhecer os fatos e motivar suas resoluções. Sobre o particular, é preciso </w:t>
      </w:r>
      <w:r>
        <w:rPr>
          <w:rFonts w:ascii="Verdana" w:hAnsi="Verdana"/>
          <w:sz w:val="20"/>
        </w:rPr>
        <w:t>lev</w:t>
      </w:r>
      <w:r w:rsidRPr="002818E7">
        <w:rPr>
          <w:rFonts w:ascii="Verdana" w:hAnsi="Verdana"/>
          <w:sz w:val="20"/>
        </w:rPr>
        <w:t xml:space="preserve">ar em conta que nos processos sobre violações de direitos humanos pode ocorrer que o demandante não tenha a possibilidade de </w:t>
      </w:r>
      <w:r w:rsidR="00C34B7D">
        <w:rPr>
          <w:rFonts w:ascii="Verdana" w:hAnsi="Verdana"/>
          <w:sz w:val="20"/>
        </w:rPr>
        <w:t>entregar</w:t>
      </w:r>
      <w:r w:rsidRPr="002818E7">
        <w:rPr>
          <w:rFonts w:ascii="Verdana" w:hAnsi="Verdana"/>
          <w:sz w:val="20"/>
        </w:rPr>
        <w:t xml:space="preserve"> provas que somente possam </w:t>
      </w:r>
      <w:r>
        <w:rPr>
          <w:rFonts w:ascii="Verdana" w:hAnsi="Verdana"/>
          <w:sz w:val="20"/>
        </w:rPr>
        <w:t>ser obtidas</w:t>
      </w:r>
      <w:r w:rsidRPr="002818E7">
        <w:rPr>
          <w:rFonts w:ascii="Verdana" w:hAnsi="Verdana"/>
          <w:sz w:val="20"/>
        </w:rPr>
        <w:t xml:space="preserve"> com a colaboração do Estado.</w:t>
      </w:r>
      <w:proofErr w:type="gramStart"/>
      <w:r w:rsidRPr="002818E7">
        <w:rPr>
          <w:rStyle w:val="Refdenotaalpie"/>
          <w:rFonts w:ascii="Verdana" w:hAnsi="Verdana"/>
          <w:sz w:val="20"/>
        </w:rPr>
        <w:footnoteReference w:id="13"/>
      </w:r>
      <w:proofErr w:type="gramEnd"/>
    </w:p>
    <w:p w:rsidR="00C336FB" w:rsidRPr="002818E7" w:rsidRDefault="00C336FB" w:rsidP="00C336FB">
      <w:pPr>
        <w:jc w:val="both"/>
        <w:rPr>
          <w:rFonts w:ascii="Verdana" w:hAnsi="Verdana"/>
          <w:sz w:val="20"/>
        </w:rPr>
      </w:pPr>
    </w:p>
    <w:p w:rsidR="00C336FB" w:rsidRPr="002818E7" w:rsidRDefault="00C336FB" w:rsidP="00C336FB">
      <w:pPr>
        <w:jc w:val="center"/>
        <w:rPr>
          <w:rFonts w:ascii="Verdana" w:hAnsi="Verdana"/>
          <w:b/>
          <w:sz w:val="20"/>
        </w:rPr>
      </w:pPr>
      <w:r w:rsidRPr="002818E7">
        <w:rPr>
          <w:rFonts w:ascii="Verdana" w:hAnsi="Verdana"/>
          <w:b/>
          <w:sz w:val="20"/>
        </w:rPr>
        <w:t>*</w:t>
      </w:r>
    </w:p>
    <w:p w:rsidR="00C336FB" w:rsidRPr="002818E7" w:rsidRDefault="00C336FB" w:rsidP="00C336FB">
      <w:pPr>
        <w:jc w:val="center"/>
        <w:rPr>
          <w:rFonts w:ascii="Verdana" w:hAnsi="Verdana"/>
          <w:b/>
          <w:sz w:val="20"/>
        </w:rPr>
      </w:pPr>
      <w:r w:rsidRPr="002818E7">
        <w:rPr>
          <w:rFonts w:ascii="Verdana" w:hAnsi="Verdana"/>
          <w:b/>
          <w:sz w:val="20"/>
        </w:rPr>
        <w:t>*</w:t>
      </w:r>
      <w:r w:rsidRPr="002818E7">
        <w:rPr>
          <w:rFonts w:ascii="Verdana" w:hAnsi="Verdana"/>
          <w:b/>
          <w:sz w:val="20"/>
        </w:rPr>
        <w:tab/>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100.</w:t>
      </w:r>
      <w:r w:rsidRPr="002818E7">
        <w:rPr>
          <w:rFonts w:ascii="Verdana" w:hAnsi="Verdana"/>
          <w:sz w:val="20"/>
        </w:rPr>
        <w:tab/>
        <w:t xml:space="preserve">Em relação </w:t>
      </w:r>
      <w:r w:rsidR="00BD19C3">
        <w:rPr>
          <w:rFonts w:ascii="Verdana" w:hAnsi="Verdana"/>
          <w:sz w:val="20"/>
        </w:rPr>
        <w:t>à</w:t>
      </w:r>
      <w:r w:rsidRPr="002818E7">
        <w:rPr>
          <w:rFonts w:ascii="Verdana" w:hAnsi="Verdana"/>
          <w:sz w:val="20"/>
        </w:rPr>
        <w:t xml:space="preserve"> prova testemunhal e pericial </w:t>
      </w:r>
      <w:r>
        <w:rPr>
          <w:rFonts w:ascii="Verdana" w:hAnsi="Verdana"/>
          <w:sz w:val="20"/>
        </w:rPr>
        <w:t>fornecida</w:t>
      </w:r>
      <w:r w:rsidRPr="002818E7">
        <w:rPr>
          <w:rFonts w:ascii="Verdana" w:hAnsi="Verdana"/>
          <w:sz w:val="20"/>
        </w:rPr>
        <w:t xml:space="preserve">, a qual não foi objetada nem controvertida, a Corte a admite unicamente </w:t>
      </w:r>
      <w:r w:rsidR="00BD19C3">
        <w:rPr>
          <w:rFonts w:ascii="Verdana" w:hAnsi="Verdana"/>
          <w:sz w:val="20"/>
        </w:rPr>
        <w:t>na medida em que</w:t>
      </w:r>
      <w:r w:rsidRPr="002818E7">
        <w:rPr>
          <w:rFonts w:ascii="Verdana" w:hAnsi="Verdana"/>
          <w:sz w:val="20"/>
        </w:rPr>
        <w:t xml:space="preserve"> concorde com o objeto do respectivo interrogatório.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101.</w:t>
      </w:r>
      <w:r w:rsidRPr="002818E7">
        <w:rPr>
          <w:rFonts w:ascii="Verdana" w:hAnsi="Verdana"/>
          <w:sz w:val="20"/>
        </w:rPr>
        <w:tab/>
        <w:t>Em seu escrito de alegações finais, o Estado manifestou que:</w:t>
      </w:r>
    </w:p>
    <w:p w:rsidR="00C336FB" w:rsidRPr="002818E7" w:rsidRDefault="00C336FB" w:rsidP="00C336FB">
      <w:pPr>
        <w:jc w:val="both"/>
        <w:rPr>
          <w:rFonts w:ascii="Verdana" w:hAnsi="Verdana"/>
          <w:b/>
          <w:sz w:val="20"/>
        </w:rPr>
      </w:pPr>
    </w:p>
    <w:p w:rsidR="00C336FB" w:rsidRDefault="00C336FB" w:rsidP="00C336FB">
      <w:pPr>
        <w:tabs>
          <w:tab w:val="left" w:pos="7655"/>
        </w:tabs>
        <w:ind w:left="709" w:right="702"/>
        <w:jc w:val="both"/>
        <w:rPr>
          <w:rFonts w:ascii="Verdana" w:hAnsi="Verdana"/>
          <w:sz w:val="18"/>
          <w:szCs w:val="18"/>
        </w:rPr>
      </w:pPr>
      <w:r w:rsidRPr="00DD1C8B">
        <w:rPr>
          <w:rFonts w:ascii="Verdana" w:hAnsi="Verdana"/>
          <w:sz w:val="18"/>
          <w:szCs w:val="18"/>
        </w:rPr>
        <w:t>A quase totalidade dos especialistas apresentados [</w:t>
      </w:r>
      <w:proofErr w:type="gramStart"/>
      <w:r w:rsidRPr="00DD1C8B">
        <w:rPr>
          <w:rFonts w:ascii="Verdana" w:hAnsi="Verdana"/>
          <w:sz w:val="18"/>
          <w:szCs w:val="18"/>
        </w:rPr>
        <w:t>pe</w:t>
      </w:r>
      <w:proofErr w:type="gramEnd"/>
      <w:r w:rsidRPr="00DD1C8B">
        <w:rPr>
          <w:rFonts w:ascii="Verdana" w:hAnsi="Verdana"/>
          <w:sz w:val="18"/>
          <w:szCs w:val="18"/>
        </w:rPr>
        <w:t>]la Comissão, admitiram não ter conhecimento direto da reivindicação de terras ancestrais sustentada pela Comunidade Indígena de Awas Tingni; isto é, admitiram que seus pareceres prof</w:t>
      </w:r>
      <w:r w:rsidR="00BD19C3" w:rsidRPr="00DD1C8B">
        <w:rPr>
          <w:rFonts w:ascii="Verdana" w:hAnsi="Verdana"/>
          <w:sz w:val="18"/>
          <w:szCs w:val="18"/>
        </w:rPr>
        <w:t>i</w:t>
      </w:r>
      <w:r w:rsidRPr="00DD1C8B">
        <w:rPr>
          <w:rFonts w:ascii="Verdana" w:hAnsi="Verdana"/>
          <w:sz w:val="18"/>
          <w:szCs w:val="18"/>
        </w:rPr>
        <w:t>ssionais se apoiaram em estudos realizados por terceir</w:t>
      </w:r>
      <w:r w:rsidR="00BD19C3" w:rsidRPr="00DD1C8B">
        <w:rPr>
          <w:rFonts w:ascii="Verdana" w:hAnsi="Verdana"/>
          <w:sz w:val="18"/>
          <w:szCs w:val="18"/>
        </w:rPr>
        <w:t>o</w:t>
      </w:r>
      <w:r w:rsidRPr="00DD1C8B">
        <w:rPr>
          <w:rFonts w:ascii="Verdana" w:hAnsi="Verdana"/>
          <w:sz w:val="18"/>
          <w:szCs w:val="18"/>
        </w:rPr>
        <w:t>s.</w:t>
      </w:r>
      <w:r w:rsidR="00850A3F" w:rsidRPr="00DD1C8B">
        <w:rPr>
          <w:rFonts w:ascii="Verdana" w:hAnsi="Verdana"/>
          <w:sz w:val="18"/>
          <w:szCs w:val="18"/>
        </w:rPr>
        <w:t xml:space="preserve"> </w:t>
      </w:r>
    </w:p>
    <w:p w:rsidR="005832BB" w:rsidRPr="00DD1C8B" w:rsidRDefault="005832BB" w:rsidP="00C336FB">
      <w:pPr>
        <w:tabs>
          <w:tab w:val="left" w:pos="7655"/>
        </w:tabs>
        <w:ind w:left="709" w:right="702"/>
        <w:jc w:val="both"/>
        <w:rPr>
          <w:rFonts w:ascii="Verdana" w:hAnsi="Verdana"/>
          <w:sz w:val="18"/>
          <w:szCs w:val="18"/>
        </w:rPr>
      </w:pPr>
    </w:p>
    <w:p w:rsidR="00C336FB" w:rsidRPr="00DD1C8B" w:rsidRDefault="00C336FB" w:rsidP="00C336FB">
      <w:pPr>
        <w:tabs>
          <w:tab w:val="left" w:pos="7655"/>
        </w:tabs>
        <w:ind w:left="709" w:right="702"/>
        <w:jc w:val="both"/>
        <w:rPr>
          <w:rFonts w:ascii="Verdana" w:hAnsi="Verdana"/>
          <w:sz w:val="18"/>
          <w:szCs w:val="18"/>
        </w:rPr>
      </w:pPr>
      <w:r w:rsidRPr="00DD1C8B">
        <w:rPr>
          <w:rFonts w:ascii="Verdana" w:hAnsi="Verdana"/>
          <w:sz w:val="18"/>
          <w:szCs w:val="18"/>
        </w:rPr>
        <w:lastRenderedPageBreak/>
        <w:t>Os poucos especialistas apresentados pela Comissão, que poderiam ter algum conhecimento direto da reivindicação de ancestralidade de Awas Tingni, reconheceram o caráter preliminar e, portanto, não conclusivo de seus ensaios. Não tendo caráter conclusivo, tais estudos não podem ser tidos como evidência científica para sustentar uma acusação de falta de titulação de terras ancestrais.</w:t>
      </w:r>
    </w:p>
    <w:p w:rsidR="00C336FB" w:rsidRPr="002818E7" w:rsidRDefault="00C336FB" w:rsidP="00C336FB">
      <w:pPr>
        <w:jc w:val="both"/>
        <w:rPr>
          <w:rFonts w:ascii="Verdana" w:hAnsi="Verdana"/>
          <w:b/>
          <w:sz w:val="20"/>
        </w:rPr>
      </w:pPr>
    </w:p>
    <w:p w:rsidR="00C336FB" w:rsidRPr="002818E7" w:rsidRDefault="00C336FB" w:rsidP="00C336FB">
      <w:pPr>
        <w:jc w:val="both"/>
        <w:rPr>
          <w:rFonts w:ascii="Verdana" w:hAnsi="Verdana"/>
          <w:sz w:val="20"/>
        </w:rPr>
      </w:pPr>
      <w:r w:rsidRPr="002818E7">
        <w:rPr>
          <w:rFonts w:ascii="Verdana" w:hAnsi="Verdana"/>
          <w:sz w:val="20"/>
        </w:rPr>
        <w:t>102.</w:t>
      </w:r>
      <w:r w:rsidRPr="002818E7">
        <w:rPr>
          <w:rFonts w:ascii="Verdana" w:hAnsi="Verdana"/>
          <w:sz w:val="20"/>
        </w:rPr>
        <w:tab/>
        <w:t xml:space="preserve">Em relação ao anterior, a Corte </w:t>
      </w:r>
      <w:r w:rsidR="00BD19C3">
        <w:rPr>
          <w:rFonts w:ascii="Verdana" w:hAnsi="Verdana"/>
          <w:sz w:val="20"/>
        </w:rPr>
        <w:t>possui um</w:t>
      </w:r>
      <w:r w:rsidR="00BD19C3" w:rsidRPr="002818E7">
        <w:rPr>
          <w:rFonts w:ascii="Verdana" w:hAnsi="Verdana"/>
          <w:sz w:val="20"/>
        </w:rPr>
        <w:t xml:space="preserve"> </w:t>
      </w:r>
      <w:r w:rsidRPr="002818E7">
        <w:rPr>
          <w:rFonts w:ascii="Verdana" w:hAnsi="Verdana"/>
          <w:sz w:val="20"/>
        </w:rPr>
        <w:t xml:space="preserve">critério </w:t>
      </w:r>
      <w:r w:rsidR="009D5808">
        <w:rPr>
          <w:rFonts w:ascii="Verdana" w:hAnsi="Verdana"/>
          <w:sz w:val="20"/>
        </w:rPr>
        <w:t>discri</w:t>
      </w:r>
      <w:r w:rsidR="00BD19C3">
        <w:rPr>
          <w:rFonts w:ascii="Verdana" w:hAnsi="Verdana"/>
          <w:sz w:val="20"/>
        </w:rPr>
        <w:t xml:space="preserve">cionário </w:t>
      </w:r>
      <w:r w:rsidRPr="002818E7">
        <w:rPr>
          <w:rFonts w:ascii="Verdana" w:hAnsi="Verdana"/>
          <w:sz w:val="20"/>
        </w:rPr>
        <w:t xml:space="preserve">para avaliar as declarações e pareceres que </w:t>
      </w:r>
      <w:r>
        <w:rPr>
          <w:rFonts w:ascii="Verdana" w:hAnsi="Verdana"/>
          <w:sz w:val="20"/>
        </w:rPr>
        <w:t>lhe sejam apresentados</w:t>
      </w:r>
      <w:r w:rsidRPr="002818E7">
        <w:rPr>
          <w:rFonts w:ascii="Verdana" w:hAnsi="Verdana"/>
          <w:sz w:val="20"/>
        </w:rPr>
        <w:t>.</w:t>
      </w:r>
      <w:r w:rsidR="00850A3F">
        <w:rPr>
          <w:rFonts w:ascii="Verdana" w:hAnsi="Verdana"/>
          <w:sz w:val="20"/>
        </w:rPr>
        <w:t xml:space="preserve"> </w:t>
      </w:r>
      <w:r w:rsidRPr="002818E7">
        <w:rPr>
          <w:rFonts w:ascii="Verdana" w:hAnsi="Verdana"/>
          <w:sz w:val="20"/>
        </w:rPr>
        <w:t xml:space="preserve">Com este fim, o Tribunal fará uma adequada </w:t>
      </w:r>
      <w:r w:rsidR="005832BB">
        <w:rPr>
          <w:rFonts w:ascii="Verdana" w:hAnsi="Verdana"/>
          <w:sz w:val="20"/>
        </w:rPr>
        <w:t>apreciação</w:t>
      </w:r>
      <w:r w:rsidRPr="002818E7">
        <w:rPr>
          <w:rFonts w:ascii="Verdana" w:hAnsi="Verdana"/>
          <w:sz w:val="20"/>
        </w:rPr>
        <w:t xml:space="preserve"> da prova, de acordo com a regra da “crítica sã”.</w:t>
      </w:r>
      <w:proofErr w:type="gramStart"/>
      <w:r w:rsidRPr="002818E7">
        <w:rPr>
          <w:rStyle w:val="Refdenotaalpie"/>
          <w:rFonts w:ascii="Verdana" w:hAnsi="Verdana"/>
          <w:sz w:val="20"/>
        </w:rPr>
        <w:footnoteReference w:id="14"/>
      </w:r>
      <w:proofErr w:type="gramEnd"/>
    </w:p>
    <w:p w:rsidR="00C34B7D" w:rsidRDefault="00C34B7D" w:rsidP="00C336FB">
      <w:pPr>
        <w:jc w:val="center"/>
        <w:rPr>
          <w:rFonts w:ascii="Verdana" w:hAnsi="Verdana"/>
          <w:b/>
          <w:caps/>
          <w:sz w:val="20"/>
        </w:rPr>
      </w:pPr>
    </w:p>
    <w:p w:rsidR="00C336FB" w:rsidRPr="002818E7" w:rsidRDefault="00C336FB" w:rsidP="00C336FB">
      <w:pPr>
        <w:jc w:val="center"/>
        <w:rPr>
          <w:rFonts w:ascii="Verdana" w:hAnsi="Verdana"/>
          <w:b/>
          <w:caps/>
          <w:sz w:val="20"/>
        </w:rPr>
      </w:pPr>
      <w:r w:rsidRPr="002818E7">
        <w:rPr>
          <w:rFonts w:ascii="Verdana" w:hAnsi="Verdana"/>
          <w:b/>
          <w:caps/>
          <w:sz w:val="20"/>
        </w:rPr>
        <w:t>VII</w:t>
      </w:r>
    </w:p>
    <w:p w:rsidR="00C336FB" w:rsidRPr="002818E7" w:rsidRDefault="00C336FB" w:rsidP="00C336FB">
      <w:pPr>
        <w:jc w:val="center"/>
        <w:rPr>
          <w:rFonts w:ascii="Verdana" w:hAnsi="Verdana"/>
          <w:b/>
          <w:caps/>
          <w:sz w:val="20"/>
        </w:rPr>
      </w:pPr>
      <w:r w:rsidRPr="002818E7">
        <w:rPr>
          <w:rFonts w:ascii="Verdana" w:hAnsi="Verdana"/>
          <w:b/>
          <w:caps/>
          <w:sz w:val="20"/>
        </w:rPr>
        <w:t>FATOS PROVADOS</w:t>
      </w:r>
    </w:p>
    <w:p w:rsidR="00C336FB" w:rsidRPr="002818E7" w:rsidRDefault="00C336FB" w:rsidP="00C336FB">
      <w:pPr>
        <w:jc w:val="center"/>
        <w:rPr>
          <w:rFonts w:ascii="Verdana" w:hAnsi="Verdana"/>
          <w:b/>
          <w:caps/>
          <w:sz w:val="20"/>
        </w:rPr>
      </w:pPr>
    </w:p>
    <w:p w:rsidR="00C336FB" w:rsidRPr="002818E7" w:rsidRDefault="00C336FB" w:rsidP="00C336FB">
      <w:pPr>
        <w:jc w:val="both"/>
        <w:rPr>
          <w:rFonts w:ascii="Verdana" w:hAnsi="Verdana"/>
          <w:sz w:val="20"/>
        </w:rPr>
      </w:pPr>
      <w:r w:rsidRPr="002818E7">
        <w:rPr>
          <w:rFonts w:ascii="Verdana" w:hAnsi="Verdana"/>
          <w:sz w:val="20"/>
        </w:rPr>
        <w:t>103.</w:t>
      </w:r>
      <w:r w:rsidRPr="002818E7">
        <w:rPr>
          <w:rFonts w:ascii="Verdana" w:hAnsi="Verdana"/>
          <w:sz w:val="20"/>
        </w:rPr>
        <w:tab/>
        <w:t xml:space="preserve">Do exame dos documentos, </w:t>
      </w:r>
      <w:r>
        <w:rPr>
          <w:rFonts w:ascii="Verdana" w:hAnsi="Verdana"/>
          <w:sz w:val="20"/>
        </w:rPr>
        <w:t>d</w:t>
      </w:r>
      <w:r w:rsidRPr="002818E7">
        <w:rPr>
          <w:rFonts w:ascii="Verdana" w:hAnsi="Verdana"/>
          <w:sz w:val="20"/>
        </w:rPr>
        <w:t xml:space="preserve">as declarações das testemunhas, </w:t>
      </w:r>
      <w:r>
        <w:rPr>
          <w:rFonts w:ascii="Verdana" w:hAnsi="Verdana"/>
          <w:sz w:val="20"/>
        </w:rPr>
        <w:t>d</w:t>
      </w:r>
      <w:r w:rsidRPr="002818E7">
        <w:rPr>
          <w:rFonts w:ascii="Verdana" w:hAnsi="Verdana"/>
          <w:sz w:val="20"/>
        </w:rPr>
        <w:t xml:space="preserve">os pareceres dos peritos e </w:t>
      </w:r>
      <w:r>
        <w:rPr>
          <w:rFonts w:ascii="Verdana" w:hAnsi="Verdana"/>
          <w:sz w:val="20"/>
        </w:rPr>
        <w:t>d</w:t>
      </w:r>
      <w:r w:rsidRPr="002818E7">
        <w:rPr>
          <w:rFonts w:ascii="Verdana" w:hAnsi="Verdana"/>
          <w:sz w:val="20"/>
        </w:rPr>
        <w:t>as manifestações do Estado e da Comissão</w:t>
      </w:r>
      <w:r w:rsidR="005832BB">
        <w:rPr>
          <w:rFonts w:ascii="Verdana" w:hAnsi="Verdana"/>
          <w:sz w:val="20"/>
        </w:rPr>
        <w:t>, no curso do presente processo</w:t>
      </w:r>
      <w:r w:rsidRPr="002818E7">
        <w:rPr>
          <w:rFonts w:ascii="Verdana" w:hAnsi="Verdana"/>
          <w:sz w:val="20"/>
        </w:rPr>
        <w:t xml:space="preserve"> esta Corte considera provados os seguintes fatos:</w:t>
      </w:r>
    </w:p>
    <w:p w:rsidR="00BD19C3" w:rsidRDefault="00BD19C3" w:rsidP="00C336FB">
      <w:pPr>
        <w:jc w:val="both"/>
        <w:rPr>
          <w:rFonts w:ascii="Verdana" w:hAnsi="Verdana"/>
          <w:sz w:val="20"/>
        </w:rPr>
      </w:pPr>
    </w:p>
    <w:p w:rsidR="00C336FB" w:rsidRDefault="00C336FB" w:rsidP="00C336FB">
      <w:pPr>
        <w:jc w:val="both"/>
        <w:rPr>
          <w:rFonts w:ascii="Verdana" w:hAnsi="Verdana"/>
          <w:sz w:val="20"/>
        </w:rPr>
      </w:pPr>
      <w:proofErr w:type="gramStart"/>
      <w:r w:rsidRPr="002818E7">
        <w:rPr>
          <w:rFonts w:ascii="Verdana" w:hAnsi="Verdana"/>
          <w:sz w:val="20"/>
        </w:rPr>
        <w:t>a.</w:t>
      </w:r>
      <w:proofErr w:type="gramEnd"/>
      <w:r w:rsidRPr="002818E7">
        <w:rPr>
          <w:rFonts w:ascii="Verdana" w:hAnsi="Verdana"/>
          <w:sz w:val="20"/>
        </w:rPr>
        <w:tab/>
        <w:t xml:space="preserve">a Comunidade Awas Tingni é uma comunidade indígena da etnia Mayagna ou Sumo, assentada na Costa Atlântica da Nicarágua, Região Autônoma </w:t>
      </w:r>
      <w:r>
        <w:rPr>
          <w:rFonts w:ascii="Verdana" w:hAnsi="Verdana"/>
          <w:sz w:val="20"/>
        </w:rPr>
        <w:t xml:space="preserve">do </w:t>
      </w:r>
      <w:r w:rsidRPr="002818E7">
        <w:rPr>
          <w:rFonts w:ascii="Verdana" w:hAnsi="Verdana"/>
          <w:sz w:val="20"/>
        </w:rPr>
        <w:t xml:space="preserve">Atlântico Norte </w:t>
      </w:r>
      <w:r w:rsidR="00C60678" w:rsidRPr="00C60678">
        <w:rPr>
          <w:rFonts w:ascii="Verdana" w:hAnsi="Verdana"/>
          <w:sz w:val="20"/>
        </w:rPr>
        <w:t>(</w:t>
      </w:r>
      <w:r w:rsidRPr="002818E7">
        <w:rPr>
          <w:rFonts w:ascii="Verdana" w:hAnsi="Verdana"/>
          <w:sz w:val="20"/>
        </w:rPr>
        <w:t>RAAN</w:t>
      </w:r>
      <w:r w:rsidR="00C60678" w:rsidRPr="00C60678">
        <w:rPr>
          <w:rFonts w:ascii="Verdana" w:hAnsi="Verdana"/>
          <w:sz w:val="20"/>
        </w:rPr>
        <w:t>)</w:t>
      </w:r>
      <w:r w:rsidRPr="002818E7">
        <w:rPr>
          <w:rFonts w:ascii="Verdana" w:hAnsi="Verdana"/>
          <w:sz w:val="20"/>
        </w:rPr>
        <w:t>;</w:t>
      </w:r>
      <w:r w:rsidRPr="002818E7">
        <w:rPr>
          <w:rStyle w:val="Refdenotaalpie"/>
          <w:rFonts w:ascii="Verdana" w:hAnsi="Verdana"/>
          <w:sz w:val="20"/>
        </w:rPr>
        <w:t xml:space="preserve"> </w:t>
      </w:r>
      <w:r w:rsidRPr="002818E7">
        <w:rPr>
          <w:rStyle w:val="Refdenotaalpie"/>
          <w:rFonts w:ascii="Verdana" w:hAnsi="Verdana"/>
          <w:sz w:val="20"/>
        </w:rPr>
        <w:footnoteReference w:id="15"/>
      </w:r>
    </w:p>
    <w:p w:rsidR="007E29E6" w:rsidRPr="002818E7" w:rsidRDefault="007E29E6"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b.</w:t>
      </w:r>
      <w:proofErr w:type="gramEnd"/>
      <w:r w:rsidRPr="002818E7">
        <w:rPr>
          <w:rFonts w:ascii="Verdana" w:hAnsi="Verdana"/>
          <w:sz w:val="20"/>
        </w:rPr>
        <w:t xml:space="preserve"> </w:t>
      </w:r>
      <w:r w:rsidRPr="002818E7">
        <w:rPr>
          <w:rFonts w:ascii="Verdana" w:hAnsi="Verdana"/>
          <w:sz w:val="20"/>
        </w:rPr>
        <w:tab/>
        <w:t>a organização administrativa da RAAN está constituída por um Conselho Regional, um Coordenador Regional, autoridades municipais e comunais, e outros órgãos correspondentes à subdivisão administrativa dos municípios;</w:t>
      </w:r>
      <w:r w:rsidRPr="002818E7">
        <w:rPr>
          <w:rStyle w:val="Refdenotaalpie"/>
          <w:rFonts w:ascii="Verdana" w:hAnsi="Verdana"/>
          <w:sz w:val="20"/>
        </w:rPr>
        <w:footnoteReference w:id="16"/>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c.</w:t>
      </w:r>
      <w:proofErr w:type="gramEnd"/>
      <w:r w:rsidRPr="002818E7">
        <w:rPr>
          <w:rFonts w:ascii="Verdana" w:hAnsi="Verdana"/>
          <w:b/>
          <w:sz w:val="20"/>
        </w:rPr>
        <w:tab/>
      </w:r>
      <w:r w:rsidRPr="002818E7">
        <w:rPr>
          <w:rFonts w:ascii="Verdana" w:hAnsi="Verdana"/>
          <w:sz w:val="20"/>
        </w:rPr>
        <w:t xml:space="preserve">em sua organização, a Comunidade Awas Tingni tem uma Junta Diretiva cujos membros são: o Juiz do Povo, o Síndico, o Suplente do Síndico e o Responsável </w:t>
      </w:r>
      <w:r>
        <w:rPr>
          <w:rFonts w:ascii="Verdana" w:hAnsi="Verdana"/>
          <w:sz w:val="20"/>
        </w:rPr>
        <w:t>pela Floresta</w:t>
      </w:r>
      <w:r w:rsidRPr="002818E7">
        <w:rPr>
          <w:rFonts w:ascii="Verdana" w:hAnsi="Verdana"/>
          <w:sz w:val="20"/>
        </w:rPr>
        <w:t>. Estes membros são elei</w:t>
      </w:r>
      <w:r>
        <w:rPr>
          <w:rFonts w:ascii="Verdana" w:hAnsi="Verdana"/>
          <w:sz w:val="20"/>
        </w:rPr>
        <w:t>t</w:t>
      </w:r>
      <w:r w:rsidRPr="002818E7">
        <w:rPr>
          <w:rFonts w:ascii="Verdana" w:hAnsi="Verdana"/>
          <w:sz w:val="20"/>
        </w:rPr>
        <w:t xml:space="preserve">os por uma assembleia constituída por todos os membros adultos da Comunidade e respondem diretamente a esta assembleia; </w:t>
      </w:r>
      <w:proofErr w:type="gramStart"/>
      <w:r w:rsidRPr="002818E7">
        <w:rPr>
          <w:rStyle w:val="Refdenotaalpie"/>
          <w:rFonts w:ascii="Verdana" w:hAnsi="Verdana"/>
          <w:sz w:val="20"/>
        </w:rPr>
        <w:footnoteReference w:id="17"/>
      </w:r>
      <w:proofErr w:type="gramEnd"/>
    </w:p>
    <w:p w:rsidR="00C336FB" w:rsidRPr="002818E7" w:rsidRDefault="00C336FB" w:rsidP="00C336FB">
      <w:pPr>
        <w:jc w:val="both"/>
        <w:rPr>
          <w:rFonts w:ascii="Verdana" w:hAnsi="Verdana"/>
          <w:sz w:val="20"/>
        </w:rPr>
      </w:pPr>
      <w:proofErr w:type="gramStart"/>
      <w:r w:rsidRPr="002818E7">
        <w:rPr>
          <w:rFonts w:ascii="Verdana" w:hAnsi="Verdana"/>
          <w:sz w:val="20"/>
        </w:rPr>
        <w:lastRenderedPageBreak/>
        <w:t>d.</w:t>
      </w:r>
      <w:proofErr w:type="gramEnd"/>
      <w:r w:rsidRPr="002818E7">
        <w:rPr>
          <w:rFonts w:ascii="Verdana" w:hAnsi="Verdana"/>
          <w:sz w:val="20"/>
        </w:rPr>
        <w:tab/>
        <w:t xml:space="preserve">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está formada por mais de </w:t>
      </w:r>
      <w:r w:rsidR="005832BB">
        <w:rPr>
          <w:rFonts w:ascii="Verdana" w:hAnsi="Verdana"/>
          <w:sz w:val="20"/>
        </w:rPr>
        <w:t>600</w:t>
      </w:r>
      <w:r w:rsidRPr="002818E7">
        <w:rPr>
          <w:rFonts w:ascii="Verdana" w:hAnsi="Verdana"/>
          <w:sz w:val="20"/>
        </w:rPr>
        <w:t xml:space="preserve"> pessoas; </w:t>
      </w:r>
      <w:r w:rsidRPr="002818E7">
        <w:rPr>
          <w:rStyle w:val="Refdenotaalpie"/>
          <w:rFonts w:ascii="Verdana" w:hAnsi="Verdana"/>
          <w:sz w:val="20"/>
        </w:rPr>
        <w:footnoteReference w:id="18"/>
      </w:r>
      <w:r w:rsidRPr="002818E7">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e</w:t>
      </w:r>
      <w:proofErr w:type="gramEnd"/>
      <w:r w:rsidRPr="002818E7">
        <w:rPr>
          <w:rFonts w:ascii="Verdana" w:hAnsi="Verdana"/>
          <w:sz w:val="20"/>
        </w:rPr>
        <w:t>.</w:t>
      </w:r>
      <w:r w:rsidRPr="002818E7">
        <w:rPr>
          <w:rFonts w:ascii="Verdana" w:hAnsi="Verdana"/>
          <w:sz w:val="20"/>
        </w:rPr>
        <w:tab/>
        <w:t>os membros da Comunidade subsistem da</w:t>
      </w:r>
      <w:r w:rsidRPr="002818E7">
        <w:rPr>
          <w:rFonts w:ascii="Verdana" w:hAnsi="Verdana"/>
          <w:b/>
          <w:sz w:val="20"/>
        </w:rPr>
        <w:t xml:space="preserve"> </w:t>
      </w:r>
      <w:r w:rsidRPr="002818E7">
        <w:rPr>
          <w:rFonts w:ascii="Verdana" w:hAnsi="Verdana"/>
          <w:sz w:val="20"/>
        </w:rPr>
        <w:t>agricultura</w:t>
      </w:r>
      <w:r w:rsidRPr="002818E7">
        <w:rPr>
          <w:rFonts w:ascii="Verdana" w:hAnsi="Verdana"/>
          <w:b/>
          <w:sz w:val="20"/>
        </w:rPr>
        <w:t xml:space="preserve"> </w:t>
      </w:r>
      <w:r w:rsidRPr="002818E7">
        <w:rPr>
          <w:rFonts w:ascii="Verdana" w:hAnsi="Verdana"/>
          <w:sz w:val="20"/>
        </w:rPr>
        <w:t>familiar e</w:t>
      </w:r>
      <w:r w:rsidRPr="002818E7">
        <w:rPr>
          <w:rFonts w:ascii="Verdana" w:hAnsi="Verdana"/>
          <w:b/>
          <w:sz w:val="20"/>
        </w:rPr>
        <w:t xml:space="preserve"> </w:t>
      </w:r>
      <w:r w:rsidR="00373A18">
        <w:rPr>
          <w:rFonts w:ascii="Verdana" w:hAnsi="Verdana"/>
          <w:sz w:val="20"/>
        </w:rPr>
        <w:t>comunitária</w:t>
      </w:r>
      <w:r w:rsidRPr="002818E7">
        <w:rPr>
          <w:rFonts w:ascii="Verdana" w:hAnsi="Verdana"/>
          <w:sz w:val="20"/>
        </w:rPr>
        <w:t>, da</w:t>
      </w:r>
      <w:r w:rsidRPr="002818E7">
        <w:rPr>
          <w:rFonts w:ascii="Verdana" w:hAnsi="Verdana"/>
          <w:b/>
          <w:sz w:val="20"/>
        </w:rPr>
        <w:t xml:space="preserve"> </w:t>
      </w:r>
      <w:r w:rsidRPr="002818E7">
        <w:rPr>
          <w:rFonts w:ascii="Verdana" w:hAnsi="Verdana"/>
          <w:sz w:val="20"/>
        </w:rPr>
        <w:t>coleta de frutas e</w:t>
      </w:r>
      <w:r w:rsidRPr="002818E7">
        <w:rPr>
          <w:rFonts w:ascii="Verdana" w:hAnsi="Verdana"/>
          <w:b/>
          <w:sz w:val="20"/>
        </w:rPr>
        <w:t xml:space="preserve"> </w:t>
      </w:r>
      <w:r w:rsidRPr="002818E7">
        <w:rPr>
          <w:rFonts w:ascii="Verdana" w:hAnsi="Verdana"/>
          <w:sz w:val="20"/>
        </w:rPr>
        <w:t xml:space="preserve">plantas medicinais, </w:t>
      </w:r>
      <w:r>
        <w:rPr>
          <w:rFonts w:ascii="Verdana" w:hAnsi="Verdana"/>
          <w:sz w:val="20"/>
        </w:rPr>
        <w:t>d</w:t>
      </w:r>
      <w:r w:rsidRPr="002818E7">
        <w:rPr>
          <w:rFonts w:ascii="Verdana" w:hAnsi="Verdana"/>
          <w:sz w:val="20"/>
        </w:rPr>
        <w:t xml:space="preserve">a caça e </w:t>
      </w:r>
      <w:r>
        <w:rPr>
          <w:rFonts w:ascii="Verdana" w:hAnsi="Verdana"/>
          <w:sz w:val="20"/>
        </w:rPr>
        <w:t xml:space="preserve">da pesca. </w:t>
      </w:r>
      <w:r w:rsidRPr="002818E7">
        <w:rPr>
          <w:rFonts w:ascii="Verdana" w:hAnsi="Verdana"/>
          <w:sz w:val="20"/>
        </w:rPr>
        <w:t xml:space="preserve">Estas atividades, </w:t>
      </w:r>
      <w:r w:rsidR="00C6474D">
        <w:rPr>
          <w:rFonts w:ascii="Verdana" w:hAnsi="Verdana"/>
          <w:sz w:val="20"/>
        </w:rPr>
        <w:t>bem como</w:t>
      </w:r>
      <w:r w:rsidRPr="002818E7">
        <w:rPr>
          <w:rFonts w:ascii="Verdana" w:hAnsi="Verdana"/>
          <w:sz w:val="20"/>
        </w:rPr>
        <w:t xml:space="preserve"> o uso e gozo da terra que habitam, são realizadas dentro de um espaço territorial de acordo com um esquema de organização coletiva tradicional;</w:t>
      </w:r>
      <w:proofErr w:type="gramStart"/>
      <w:r w:rsidRPr="002818E7">
        <w:rPr>
          <w:rStyle w:val="Refdenotaalpie"/>
          <w:rFonts w:ascii="Verdana" w:hAnsi="Verdana"/>
          <w:sz w:val="20"/>
        </w:rPr>
        <w:footnoteReference w:id="19"/>
      </w:r>
      <w:proofErr w:type="gramEnd"/>
    </w:p>
    <w:p w:rsidR="00C336FB" w:rsidRPr="002818E7" w:rsidRDefault="00C336FB" w:rsidP="00C336FB">
      <w:pPr>
        <w:jc w:val="both"/>
        <w:rPr>
          <w:rFonts w:ascii="Verdana" w:hAnsi="Verdana"/>
          <w:b/>
          <w:sz w:val="20"/>
        </w:rPr>
      </w:pPr>
    </w:p>
    <w:p w:rsidR="00C336FB" w:rsidRPr="002818E7" w:rsidRDefault="007B5A3B" w:rsidP="00C336FB">
      <w:pPr>
        <w:jc w:val="both"/>
        <w:rPr>
          <w:rFonts w:ascii="Verdana" w:hAnsi="Verdana"/>
          <w:sz w:val="20"/>
        </w:rPr>
      </w:pPr>
      <w:proofErr w:type="gramStart"/>
      <w:r>
        <w:rPr>
          <w:rFonts w:ascii="Verdana" w:hAnsi="Verdana"/>
          <w:sz w:val="20"/>
        </w:rPr>
        <w:t>f.</w:t>
      </w:r>
      <w:proofErr w:type="gramEnd"/>
      <w:r>
        <w:rPr>
          <w:rFonts w:ascii="Verdana" w:hAnsi="Verdana"/>
          <w:sz w:val="20"/>
        </w:rPr>
        <w:tab/>
        <w:t xml:space="preserve">existem </w:t>
      </w:r>
      <w:r w:rsidR="00C336FB" w:rsidRPr="002818E7">
        <w:rPr>
          <w:rFonts w:ascii="Verdana" w:hAnsi="Verdana"/>
          <w:sz w:val="20"/>
        </w:rPr>
        <w:t xml:space="preserve">sobreposições das terras </w:t>
      </w:r>
      <w:r w:rsidR="00373A18">
        <w:rPr>
          <w:rFonts w:ascii="Verdana" w:hAnsi="Verdana"/>
          <w:sz w:val="20"/>
        </w:rPr>
        <w:t>comunit</w:t>
      </w:r>
      <w:r w:rsidR="00126E5B">
        <w:rPr>
          <w:rFonts w:ascii="Verdana" w:hAnsi="Verdana"/>
          <w:sz w:val="20"/>
        </w:rPr>
        <w:t>á</w:t>
      </w:r>
      <w:r w:rsidR="00373A18">
        <w:rPr>
          <w:rFonts w:ascii="Verdana" w:hAnsi="Verdana"/>
          <w:sz w:val="20"/>
        </w:rPr>
        <w:t>rias</w:t>
      </w:r>
      <w:r w:rsidR="00373A18" w:rsidRPr="002818E7">
        <w:rPr>
          <w:rFonts w:ascii="Verdana" w:hAnsi="Verdana"/>
          <w:sz w:val="20"/>
        </w:rPr>
        <w:t xml:space="preserve"> </w:t>
      </w:r>
      <w:r w:rsidR="00C336FB" w:rsidRPr="002818E7">
        <w:rPr>
          <w:rFonts w:ascii="Verdana" w:hAnsi="Verdana"/>
          <w:sz w:val="20"/>
        </w:rPr>
        <w:t>reclamadas pelas comunidades indígenas da Costa Atlântica.</w:t>
      </w:r>
      <w:r w:rsidR="00C336FB">
        <w:rPr>
          <w:rFonts w:ascii="Verdana" w:hAnsi="Verdana"/>
          <w:sz w:val="20"/>
        </w:rPr>
        <w:t xml:space="preserve"> </w:t>
      </w:r>
      <w:r w:rsidR="00C336FB" w:rsidRPr="002818E7">
        <w:rPr>
          <w:rFonts w:ascii="Verdana" w:hAnsi="Verdana"/>
          <w:sz w:val="20"/>
        </w:rPr>
        <w:t>Algumas comunidades alegam direitos sobre as mesmas terras reclamadas pela Comunidade Awas Tingni;</w:t>
      </w:r>
      <w:r w:rsidR="00C336FB" w:rsidRPr="002818E7">
        <w:rPr>
          <w:rStyle w:val="Refdenotaalpie"/>
          <w:rFonts w:ascii="Verdana" w:hAnsi="Verdana"/>
          <w:sz w:val="20"/>
        </w:rPr>
        <w:footnoteReference w:id="20"/>
      </w:r>
      <w:r w:rsidR="00C336FB" w:rsidRPr="002818E7">
        <w:rPr>
          <w:rFonts w:ascii="Verdana" w:hAnsi="Verdana"/>
          <w:sz w:val="20"/>
        </w:rPr>
        <w:t xml:space="preserve"> </w:t>
      </w:r>
      <w:r w:rsidR="00BD19C3">
        <w:rPr>
          <w:rFonts w:ascii="Verdana" w:hAnsi="Verdana"/>
          <w:sz w:val="20"/>
        </w:rPr>
        <w:t>além disso</w:t>
      </w:r>
      <w:r w:rsidR="00C336FB" w:rsidRPr="002818E7">
        <w:rPr>
          <w:rFonts w:ascii="Verdana" w:hAnsi="Verdana"/>
          <w:sz w:val="20"/>
        </w:rPr>
        <w:t xml:space="preserve">, o Estado </w:t>
      </w:r>
      <w:r w:rsidR="00C336FB" w:rsidRPr="002818E7">
        <w:rPr>
          <w:rFonts w:ascii="Verdana" w:hAnsi="Verdana"/>
          <w:sz w:val="20"/>
        </w:rPr>
        <w:lastRenderedPageBreak/>
        <w:t>sustenta que parte das terras reclamadas pela Comunidade Awas Tingni são de sua propriedade;</w:t>
      </w:r>
      <w:proofErr w:type="gramStart"/>
      <w:r w:rsidR="00C336FB" w:rsidRPr="002818E7">
        <w:rPr>
          <w:rStyle w:val="Refdenotaalpie"/>
          <w:rFonts w:ascii="Verdana" w:hAnsi="Verdana"/>
          <w:sz w:val="20"/>
        </w:rPr>
        <w:footnoteReference w:id="21"/>
      </w:r>
      <w:proofErr w:type="gramEnd"/>
      <w:r w:rsidR="00C336FB" w:rsidRPr="002818E7">
        <w:rPr>
          <w:rFonts w:ascii="Verdana" w:hAnsi="Verdana"/>
          <w:sz w:val="20"/>
        </w:rPr>
        <w:t xml:space="preserve"> </w:t>
      </w:r>
    </w:p>
    <w:p w:rsidR="00C336FB" w:rsidRPr="002818E7" w:rsidRDefault="00C336FB" w:rsidP="00C336FB">
      <w:pPr>
        <w:jc w:val="both"/>
        <w:rPr>
          <w:rFonts w:ascii="Verdana" w:hAnsi="Verdana"/>
          <w:sz w:val="20"/>
        </w:rPr>
      </w:pPr>
    </w:p>
    <w:p w:rsidR="00C336FB" w:rsidRDefault="00C336FB" w:rsidP="00C336FB">
      <w:pPr>
        <w:jc w:val="both"/>
        <w:rPr>
          <w:rFonts w:ascii="Verdana" w:hAnsi="Verdana"/>
          <w:sz w:val="20"/>
        </w:rPr>
      </w:pPr>
      <w:proofErr w:type="gramStart"/>
      <w:r w:rsidRPr="002818E7">
        <w:rPr>
          <w:rFonts w:ascii="Verdana" w:hAnsi="Verdana"/>
          <w:sz w:val="20"/>
        </w:rPr>
        <w:t>g.</w:t>
      </w:r>
      <w:proofErr w:type="gramEnd"/>
      <w:r w:rsidRPr="002818E7">
        <w:rPr>
          <w:rFonts w:ascii="Verdana" w:hAnsi="Verdana"/>
          <w:sz w:val="20"/>
        </w:rPr>
        <w:tab/>
        <w:t>a Comunidade não tem um título real de propriedade sobre as terras que reclama;</w:t>
      </w:r>
      <w:r w:rsidRPr="002818E7">
        <w:rPr>
          <w:rStyle w:val="Refdenotaalpie"/>
          <w:rFonts w:ascii="Verdana" w:hAnsi="Verdana"/>
          <w:sz w:val="20"/>
        </w:rPr>
        <w:footnoteReference w:id="22"/>
      </w:r>
    </w:p>
    <w:p w:rsidR="00A96DBE" w:rsidRPr="002818E7" w:rsidRDefault="00A96DBE" w:rsidP="00C336FB">
      <w:pPr>
        <w:jc w:val="both"/>
        <w:rPr>
          <w:rFonts w:ascii="Verdana" w:hAnsi="Verdana"/>
          <w:sz w:val="20"/>
        </w:rPr>
      </w:pPr>
    </w:p>
    <w:p w:rsidR="00C336FB" w:rsidRPr="002818E7" w:rsidRDefault="00C336FB" w:rsidP="00C336FB">
      <w:pPr>
        <w:jc w:val="both"/>
        <w:rPr>
          <w:rFonts w:ascii="Verdana" w:hAnsi="Verdana"/>
          <w:b/>
          <w:sz w:val="20"/>
        </w:rPr>
      </w:pPr>
      <w:proofErr w:type="gramStart"/>
      <w:r w:rsidRPr="002818E7">
        <w:rPr>
          <w:rFonts w:ascii="Verdana" w:hAnsi="Verdana"/>
          <w:sz w:val="20"/>
        </w:rPr>
        <w:t>h.</w:t>
      </w:r>
      <w:proofErr w:type="gramEnd"/>
      <w:r w:rsidRPr="002818E7">
        <w:rPr>
          <w:rFonts w:ascii="Verdana" w:hAnsi="Verdana"/>
          <w:sz w:val="20"/>
        </w:rPr>
        <w:tab/>
        <w:t>em 26 de março de 1992</w:t>
      </w:r>
      <w:r w:rsidR="005832BB">
        <w:rPr>
          <w:rFonts w:ascii="Verdana" w:hAnsi="Verdana"/>
          <w:sz w:val="20"/>
        </w:rPr>
        <w:t>,</w:t>
      </w:r>
      <w:r w:rsidRPr="002818E7">
        <w:rPr>
          <w:rFonts w:ascii="Verdana" w:hAnsi="Verdana"/>
          <w:sz w:val="20"/>
        </w:rPr>
        <w:t xml:space="preserve"> foi assinado um contrato</w:t>
      </w:r>
      <w:r w:rsidRPr="002818E7">
        <w:rPr>
          <w:rFonts w:ascii="Verdana" w:hAnsi="Verdana"/>
          <w:b/>
          <w:sz w:val="20"/>
        </w:rPr>
        <w:t xml:space="preserve"> </w:t>
      </w:r>
      <w:r w:rsidRPr="002818E7">
        <w:rPr>
          <w:rFonts w:ascii="Verdana" w:hAnsi="Verdana"/>
          <w:sz w:val="20"/>
        </w:rPr>
        <w:t xml:space="preserve">para o manejo integral </w:t>
      </w:r>
      <w:r>
        <w:rPr>
          <w:rFonts w:ascii="Verdana" w:hAnsi="Verdana"/>
          <w:sz w:val="20"/>
        </w:rPr>
        <w:t>da floresta</w:t>
      </w:r>
      <w:r w:rsidRPr="002818E7">
        <w:rPr>
          <w:rFonts w:ascii="Verdana" w:hAnsi="Verdana"/>
          <w:sz w:val="20"/>
        </w:rPr>
        <w:t xml:space="preserve"> entre a Comunidade Awas Tingni e </w:t>
      </w:r>
      <w:r w:rsidRPr="002818E7">
        <w:rPr>
          <w:rFonts w:ascii="Verdana" w:hAnsi="Verdana"/>
          <w:i/>
          <w:sz w:val="20"/>
        </w:rPr>
        <w:t>Maderas y Derivados de Nicaragua, S.A.</w:t>
      </w:r>
      <w:r w:rsidRPr="002818E7">
        <w:rPr>
          <w:rFonts w:ascii="Verdana" w:hAnsi="Verdana"/>
          <w:sz w:val="20"/>
        </w:rPr>
        <w:t xml:space="preserve"> </w:t>
      </w:r>
      <w:r w:rsidR="00C60678" w:rsidRPr="00C60678">
        <w:rPr>
          <w:rFonts w:ascii="Verdana" w:hAnsi="Verdana"/>
          <w:sz w:val="20"/>
        </w:rPr>
        <w:t>(</w:t>
      </w:r>
      <w:r w:rsidRPr="002818E7">
        <w:rPr>
          <w:rFonts w:ascii="Verdana" w:hAnsi="Verdana"/>
          <w:sz w:val="20"/>
        </w:rPr>
        <w:t>MADENSA</w:t>
      </w:r>
      <w:r w:rsidR="00C60678" w:rsidRPr="00C60678">
        <w:rPr>
          <w:rFonts w:ascii="Verdana" w:hAnsi="Verdana"/>
          <w:sz w:val="20"/>
        </w:rPr>
        <w:t>)</w:t>
      </w:r>
      <w:r w:rsidRPr="002818E7">
        <w:rPr>
          <w:rFonts w:ascii="Verdana" w:hAnsi="Verdana"/>
          <w:sz w:val="20"/>
        </w:rPr>
        <w:t xml:space="preserve">; </w:t>
      </w:r>
      <w:r w:rsidRPr="002818E7">
        <w:rPr>
          <w:rStyle w:val="Refdenotaalpie"/>
          <w:rFonts w:ascii="Verdana" w:hAnsi="Verdana"/>
          <w:sz w:val="20"/>
        </w:rPr>
        <w:footnoteReference w:id="23"/>
      </w:r>
      <w:r w:rsidRPr="002818E7">
        <w:rPr>
          <w:rFonts w:ascii="Verdana" w:hAnsi="Verdana"/>
          <w:sz w:val="20"/>
        </w:rPr>
        <w:t xml:space="preserve"> </w:t>
      </w:r>
    </w:p>
    <w:p w:rsidR="00C336FB" w:rsidRPr="002818E7" w:rsidRDefault="00C336FB" w:rsidP="00C336FB">
      <w:pPr>
        <w:jc w:val="both"/>
        <w:rPr>
          <w:rFonts w:ascii="Verdana" w:hAnsi="Verdana"/>
          <w:b/>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i</w:t>
      </w:r>
      <w:proofErr w:type="gramEnd"/>
      <w:r w:rsidRPr="002818E7">
        <w:rPr>
          <w:rFonts w:ascii="Verdana" w:hAnsi="Verdana"/>
          <w:sz w:val="20"/>
        </w:rPr>
        <w:t>.</w:t>
      </w:r>
      <w:r w:rsidRPr="002818E7">
        <w:rPr>
          <w:rFonts w:ascii="Verdana" w:hAnsi="Verdana"/>
          <w:sz w:val="20"/>
        </w:rPr>
        <w:tab/>
        <w:t xml:space="preserve">em maio de 1994, a Comunidade, </w:t>
      </w:r>
      <w:r>
        <w:rPr>
          <w:rFonts w:ascii="Verdana" w:hAnsi="Verdana"/>
          <w:sz w:val="20"/>
        </w:rPr>
        <w:t xml:space="preserve">a </w:t>
      </w:r>
      <w:r w:rsidRPr="002818E7">
        <w:rPr>
          <w:rFonts w:ascii="Verdana" w:hAnsi="Verdana"/>
          <w:sz w:val="20"/>
        </w:rPr>
        <w:t>MADENSA e o MARENA assinaram um “</w:t>
      </w:r>
      <w:r w:rsidR="00C34B7D">
        <w:rPr>
          <w:rFonts w:ascii="Verdana" w:hAnsi="Verdana"/>
          <w:sz w:val="20"/>
        </w:rPr>
        <w:t>Convênio</w:t>
      </w:r>
      <w:r w:rsidRPr="002818E7">
        <w:rPr>
          <w:rFonts w:ascii="Verdana" w:hAnsi="Verdana"/>
          <w:sz w:val="20"/>
        </w:rPr>
        <w:t xml:space="preserve"> de Aproveitamento Florestal”, mediante o qual este último </w:t>
      </w:r>
      <w:r>
        <w:rPr>
          <w:rFonts w:ascii="Verdana" w:hAnsi="Verdana"/>
          <w:sz w:val="20"/>
        </w:rPr>
        <w:t xml:space="preserve">se </w:t>
      </w:r>
      <w:r>
        <w:rPr>
          <w:rFonts w:ascii="Verdana" w:hAnsi="Verdana"/>
          <w:sz w:val="20"/>
        </w:rPr>
        <w:lastRenderedPageBreak/>
        <w:t xml:space="preserve">comprometeu </w:t>
      </w:r>
      <w:r w:rsidRPr="002818E7">
        <w:rPr>
          <w:rFonts w:ascii="Verdana" w:hAnsi="Verdana"/>
          <w:sz w:val="20"/>
        </w:rPr>
        <w:t xml:space="preserve">a facilitar a “definição” das terras </w:t>
      </w:r>
      <w:r w:rsidR="00373A18">
        <w:rPr>
          <w:rFonts w:ascii="Verdana" w:hAnsi="Verdana"/>
          <w:sz w:val="20"/>
        </w:rPr>
        <w:t>comunitárias</w:t>
      </w:r>
      <w:r w:rsidR="00373A18" w:rsidRPr="002818E7">
        <w:rPr>
          <w:rFonts w:ascii="Verdana" w:hAnsi="Verdana"/>
          <w:sz w:val="20"/>
        </w:rPr>
        <w:t xml:space="preserve"> </w:t>
      </w:r>
      <w:r w:rsidRPr="002818E7">
        <w:rPr>
          <w:rFonts w:ascii="Verdana" w:hAnsi="Verdana"/>
          <w:sz w:val="20"/>
        </w:rPr>
        <w:t xml:space="preserve">e a não </w:t>
      </w:r>
      <w:r w:rsidR="005832BB">
        <w:rPr>
          <w:rFonts w:ascii="Verdana" w:hAnsi="Verdana"/>
          <w:sz w:val="20"/>
        </w:rPr>
        <w:t>prejudicar</w:t>
      </w:r>
      <w:r w:rsidRPr="002818E7">
        <w:rPr>
          <w:rFonts w:ascii="Verdana" w:hAnsi="Verdana"/>
          <w:sz w:val="20"/>
        </w:rPr>
        <w:t xml:space="preserve"> as aspirações territoriais da Comunidade;</w:t>
      </w:r>
      <w:r w:rsidRPr="002818E7">
        <w:rPr>
          <w:rStyle w:val="Refdenotaalpie"/>
          <w:rFonts w:ascii="Verdana" w:hAnsi="Verdana"/>
          <w:sz w:val="20"/>
        </w:rPr>
        <w:footnoteReference w:id="24"/>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i/>
          <w:sz w:val="20"/>
        </w:rPr>
      </w:pPr>
      <w:r w:rsidRPr="002818E7">
        <w:rPr>
          <w:rFonts w:ascii="Verdana" w:hAnsi="Verdana"/>
          <w:i/>
          <w:sz w:val="20"/>
        </w:rPr>
        <w:t xml:space="preserve">Concessão para </w:t>
      </w:r>
      <w:r w:rsidR="00582CBF">
        <w:rPr>
          <w:rFonts w:ascii="Verdana" w:hAnsi="Verdana"/>
          <w:i/>
          <w:sz w:val="20"/>
        </w:rPr>
        <w:t xml:space="preserve">aproveitamento de madeira </w:t>
      </w:r>
      <w:r w:rsidR="00BD19C3">
        <w:rPr>
          <w:rFonts w:ascii="Verdana" w:hAnsi="Verdana"/>
          <w:i/>
          <w:sz w:val="20"/>
        </w:rPr>
        <w:t xml:space="preserve">outorgada </w:t>
      </w:r>
      <w:r w:rsidRPr="002818E7">
        <w:rPr>
          <w:rFonts w:ascii="Verdana" w:hAnsi="Verdana"/>
          <w:i/>
          <w:sz w:val="20"/>
        </w:rPr>
        <w:t>à empresa SOLCARSA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j</w:t>
      </w:r>
      <w:proofErr w:type="gramEnd"/>
      <w:r w:rsidRPr="002818E7">
        <w:rPr>
          <w:rFonts w:ascii="Verdana" w:hAnsi="Verdana"/>
          <w:sz w:val="20"/>
        </w:rPr>
        <w:t>.</w:t>
      </w:r>
      <w:r w:rsidRPr="002818E7">
        <w:rPr>
          <w:rFonts w:ascii="Verdana" w:hAnsi="Verdana"/>
          <w:sz w:val="20"/>
        </w:rPr>
        <w:tab/>
        <w:t>em 5 de janeiro de 1995, o Serviço Florestal Nacional do MARENA aprovou o plano de manejo florestal apresentado p</w:t>
      </w:r>
      <w:r>
        <w:rPr>
          <w:rFonts w:ascii="Verdana" w:hAnsi="Verdana"/>
          <w:sz w:val="20"/>
        </w:rPr>
        <w:t>ela</w:t>
      </w:r>
      <w:r w:rsidRPr="002818E7">
        <w:rPr>
          <w:rFonts w:ascii="Verdana" w:hAnsi="Verdana"/>
          <w:sz w:val="20"/>
        </w:rPr>
        <w:t xml:space="preserve"> SOLCARSA para o aproveitamento de madeira “na zona do Rio Wawa e </w:t>
      </w:r>
      <w:r>
        <w:rPr>
          <w:rFonts w:ascii="Verdana" w:hAnsi="Verdana"/>
          <w:sz w:val="20"/>
        </w:rPr>
        <w:t xml:space="preserve">do </w:t>
      </w:r>
      <w:r w:rsidRPr="002818E7">
        <w:rPr>
          <w:rFonts w:ascii="Verdana" w:hAnsi="Verdana"/>
          <w:sz w:val="20"/>
        </w:rPr>
        <w:t xml:space="preserve">Cerro Wakambay”. Em março de 1995, este plano foi apresentado ao Conselho Regional da RAAN. Em 28 de abril de 1995, o Coordenador Regional da RAAN e a empresa SOLCARSA </w:t>
      </w:r>
      <w:r w:rsidR="00BD19C3">
        <w:rPr>
          <w:rFonts w:ascii="Verdana" w:hAnsi="Verdana"/>
          <w:sz w:val="20"/>
        </w:rPr>
        <w:t>assinaram</w:t>
      </w:r>
      <w:r w:rsidR="00BD19C3" w:rsidRPr="002818E7">
        <w:rPr>
          <w:rFonts w:ascii="Verdana" w:hAnsi="Verdana"/>
          <w:sz w:val="20"/>
        </w:rPr>
        <w:t xml:space="preserve"> </w:t>
      </w:r>
      <w:r w:rsidRPr="002818E7">
        <w:rPr>
          <w:rFonts w:ascii="Verdana" w:hAnsi="Verdana"/>
          <w:sz w:val="20"/>
        </w:rPr>
        <w:t xml:space="preserve">um </w:t>
      </w:r>
      <w:r w:rsidR="006C5157">
        <w:rPr>
          <w:rFonts w:ascii="Verdana" w:hAnsi="Verdana"/>
          <w:sz w:val="20"/>
        </w:rPr>
        <w:t>convênio</w:t>
      </w:r>
      <w:r w:rsidRPr="002818E7">
        <w:rPr>
          <w:rFonts w:ascii="Verdana" w:hAnsi="Verdana"/>
          <w:sz w:val="20"/>
        </w:rPr>
        <w:t xml:space="preserve"> e em 28 de junho do mesmo ano a Junta Diretiva do Conselho Regional da RAAN, mediante resolução</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2-95</w:t>
      </w:r>
      <w:r w:rsidR="00373A18">
        <w:rPr>
          <w:rFonts w:ascii="Verdana" w:hAnsi="Verdana"/>
          <w:sz w:val="20"/>
        </w:rPr>
        <w:t>,</w:t>
      </w:r>
      <w:r w:rsidRPr="002818E7">
        <w:rPr>
          <w:rFonts w:ascii="Verdana" w:hAnsi="Verdana"/>
          <w:sz w:val="20"/>
        </w:rPr>
        <w:t xml:space="preserve"> reconheceu esse acordo e </w:t>
      </w:r>
      <w:r w:rsidR="00BD19C3">
        <w:rPr>
          <w:rFonts w:ascii="Verdana" w:hAnsi="Verdana"/>
          <w:sz w:val="20"/>
        </w:rPr>
        <w:t>aprovou</w:t>
      </w:r>
      <w:r w:rsidR="00BD19C3" w:rsidRPr="002818E7">
        <w:rPr>
          <w:rFonts w:ascii="Verdana" w:hAnsi="Verdana"/>
          <w:sz w:val="20"/>
        </w:rPr>
        <w:t xml:space="preserve"> </w:t>
      </w:r>
      <w:r w:rsidRPr="002818E7">
        <w:rPr>
          <w:rFonts w:ascii="Verdana" w:hAnsi="Verdana"/>
          <w:sz w:val="20"/>
        </w:rPr>
        <w:t>o início das operações florestais na zona de Wakambay, conforme estabelecido no plano de manejo florestal;</w:t>
      </w:r>
      <w:proofErr w:type="gramStart"/>
      <w:r w:rsidRPr="002818E7">
        <w:rPr>
          <w:rStyle w:val="Refdenotaalpie"/>
          <w:rFonts w:ascii="Verdana" w:hAnsi="Verdana"/>
          <w:sz w:val="20"/>
        </w:rPr>
        <w:footnoteReference w:id="25"/>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k</w:t>
      </w:r>
      <w:proofErr w:type="gramEnd"/>
      <w:r w:rsidRPr="002818E7">
        <w:rPr>
          <w:rFonts w:ascii="Verdana" w:hAnsi="Verdana"/>
          <w:sz w:val="20"/>
        </w:rPr>
        <w:t>.</w:t>
      </w:r>
      <w:r w:rsidRPr="002818E7">
        <w:rPr>
          <w:rFonts w:ascii="Verdana" w:hAnsi="Verdana"/>
          <w:sz w:val="20"/>
        </w:rPr>
        <w:tab/>
        <w:t>em 13 de março de 1996, o Estado, através do MARENA,</w:t>
      </w:r>
      <w:r w:rsidRPr="002818E7">
        <w:rPr>
          <w:rFonts w:ascii="Verdana" w:hAnsi="Verdana"/>
          <w:b/>
          <w:sz w:val="20"/>
        </w:rPr>
        <w:t xml:space="preserve"> </w:t>
      </w:r>
      <w:r w:rsidR="00BD19C3">
        <w:rPr>
          <w:rFonts w:ascii="Verdana" w:hAnsi="Verdana"/>
          <w:sz w:val="20"/>
        </w:rPr>
        <w:t>outorgou</w:t>
      </w:r>
      <w:r w:rsidR="00BD19C3" w:rsidRPr="002818E7">
        <w:rPr>
          <w:rFonts w:ascii="Verdana" w:hAnsi="Verdana"/>
          <w:sz w:val="20"/>
        </w:rPr>
        <w:t xml:space="preserve"> </w:t>
      </w:r>
      <w:r w:rsidRPr="002818E7">
        <w:rPr>
          <w:rFonts w:ascii="Verdana" w:hAnsi="Verdana"/>
          <w:sz w:val="20"/>
        </w:rPr>
        <w:t>uma concessão por 30 anos à empresa SOLCARSA</w:t>
      </w:r>
      <w:r w:rsidRPr="002818E7">
        <w:rPr>
          <w:rFonts w:ascii="Verdana" w:hAnsi="Verdana"/>
          <w:b/>
          <w:sz w:val="20"/>
        </w:rPr>
        <w:t xml:space="preserve"> </w:t>
      </w:r>
      <w:r w:rsidRPr="002818E7">
        <w:rPr>
          <w:rFonts w:ascii="Verdana" w:hAnsi="Verdana"/>
          <w:sz w:val="20"/>
        </w:rPr>
        <w:t xml:space="preserve">para o manejo e aproveitamento florestal </w:t>
      </w:r>
      <w:r>
        <w:rPr>
          <w:rFonts w:ascii="Verdana" w:hAnsi="Verdana"/>
          <w:sz w:val="20"/>
        </w:rPr>
        <w:t>em uma</w:t>
      </w:r>
      <w:r w:rsidRPr="002818E7">
        <w:rPr>
          <w:rFonts w:ascii="Verdana" w:hAnsi="Verdana"/>
          <w:sz w:val="20"/>
        </w:rPr>
        <w:t xml:space="preserve"> área de aproximadamente 62.000 hectares</w:t>
      </w:r>
      <w:r w:rsidRPr="002818E7">
        <w:rPr>
          <w:rFonts w:ascii="Verdana" w:hAnsi="Verdana"/>
          <w:b/>
          <w:sz w:val="20"/>
        </w:rPr>
        <w:t xml:space="preserve"> </w:t>
      </w:r>
      <w:r w:rsidRPr="002818E7">
        <w:rPr>
          <w:rFonts w:ascii="Verdana" w:hAnsi="Verdana"/>
          <w:sz w:val="20"/>
        </w:rPr>
        <w:t>localizados na RAAN, entre os municípios de Puerto Cabezas e Waspam;</w:t>
      </w:r>
      <w:r w:rsidRPr="002818E7">
        <w:rPr>
          <w:rStyle w:val="Refdenotaalpie"/>
          <w:rFonts w:ascii="Verdana" w:hAnsi="Verdana"/>
          <w:sz w:val="20"/>
        </w:rPr>
        <w:footnoteReference w:id="26"/>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l.</w:t>
      </w:r>
      <w:proofErr w:type="gramEnd"/>
      <w:r w:rsidRPr="002818E7">
        <w:rPr>
          <w:rFonts w:ascii="Verdana" w:hAnsi="Verdana"/>
          <w:sz w:val="20"/>
        </w:rPr>
        <w:tab/>
      </w:r>
      <w:r w:rsidR="00582CBF">
        <w:rPr>
          <w:rFonts w:ascii="Verdana" w:hAnsi="Verdana"/>
          <w:sz w:val="20"/>
        </w:rPr>
        <w:t>a</w:t>
      </w:r>
      <w:r>
        <w:rPr>
          <w:rFonts w:ascii="Verdana" w:hAnsi="Verdana"/>
          <w:sz w:val="20"/>
        </w:rPr>
        <w:t xml:space="preserve"> </w:t>
      </w:r>
      <w:r w:rsidRPr="002818E7">
        <w:rPr>
          <w:rFonts w:ascii="Verdana" w:hAnsi="Verdana"/>
          <w:sz w:val="20"/>
        </w:rPr>
        <w:t xml:space="preserve">SOLCARSA foi sancionada </w:t>
      </w:r>
      <w:r w:rsidR="00BD19C3">
        <w:rPr>
          <w:rFonts w:ascii="Verdana" w:hAnsi="Verdana"/>
          <w:sz w:val="20"/>
        </w:rPr>
        <w:t>por meio da</w:t>
      </w:r>
      <w:r w:rsidR="00BD19C3" w:rsidRPr="002818E7">
        <w:rPr>
          <w:rFonts w:ascii="Verdana" w:hAnsi="Verdana"/>
          <w:b/>
          <w:sz w:val="20"/>
        </w:rPr>
        <w:t xml:space="preserve"> </w:t>
      </w:r>
      <w:r w:rsidRPr="002818E7">
        <w:rPr>
          <w:rFonts w:ascii="Verdana" w:hAnsi="Verdana"/>
          <w:sz w:val="20"/>
        </w:rPr>
        <w:t>Resolução Ministerial</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02-97, adotada pelo MARENA em 16 de maio de 1997, por haver realizado cortes ilegais de árvores “no lugar da comunidade de Kukalaya” e por haver executado obras sem autorização ambiental;</w:t>
      </w:r>
      <w:r w:rsidRPr="002818E7">
        <w:rPr>
          <w:rStyle w:val="Refdenotaalpie"/>
          <w:rFonts w:ascii="Verdana" w:hAnsi="Verdana"/>
          <w:sz w:val="20"/>
        </w:rPr>
        <w:footnoteReference w:id="27"/>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m.</w:t>
      </w:r>
      <w:proofErr w:type="gramEnd"/>
      <w:r w:rsidRPr="002818E7">
        <w:rPr>
          <w:rFonts w:ascii="Verdana" w:hAnsi="Verdana"/>
          <w:sz w:val="20"/>
        </w:rPr>
        <w:tab/>
        <w:t xml:space="preserve">em 27 de fevereiro de 1997, a </w:t>
      </w:r>
      <w:r w:rsidR="002A016A">
        <w:rPr>
          <w:rFonts w:ascii="Verdana" w:hAnsi="Verdana"/>
          <w:sz w:val="20"/>
        </w:rPr>
        <w:t xml:space="preserve">Sala Constitucional </w:t>
      </w:r>
      <w:r w:rsidRPr="002818E7">
        <w:rPr>
          <w:rFonts w:ascii="Verdana" w:hAnsi="Verdana"/>
          <w:sz w:val="20"/>
        </w:rPr>
        <w:t xml:space="preserve">da Corte Suprema de Justiça declarou inconstitucional a </w:t>
      </w:r>
      <w:r w:rsidR="002A016A">
        <w:rPr>
          <w:rFonts w:ascii="Verdana" w:hAnsi="Verdana"/>
          <w:sz w:val="20"/>
        </w:rPr>
        <w:t>concessão outorgada</w:t>
      </w:r>
      <w:r>
        <w:rPr>
          <w:rFonts w:ascii="Verdana" w:hAnsi="Verdana"/>
          <w:sz w:val="20"/>
        </w:rPr>
        <w:t xml:space="preserve"> à</w:t>
      </w:r>
      <w:r w:rsidRPr="002818E7">
        <w:rPr>
          <w:rFonts w:ascii="Verdana" w:hAnsi="Verdana"/>
          <w:sz w:val="20"/>
        </w:rPr>
        <w:t xml:space="preserve"> SOLCARSA, por não haver sido aprovada pelo plen</w:t>
      </w:r>
      <w:r w:rsidR="005832BB">
        <w:rPr>
          <w:rFonts w:ascii="Verdana" w:hAnsi="Verdana"/>
          <w:sz w:val="20"/>
        </w:rPr>
        <w:t>ári</w:t>
      </w:r>
      <w:r w:rsidRPr="002818E7">
        <w:rPr>
          <w:rFonts w:ascii="Verdana" w:hAnsi="Verdana"/>
          <w:sz w:val="20"/>
        </w:rPr>
        <w:t xml:space="preserve">o do Conselho Regional da RAAN </w:t>
      </w:r>
      <w:r w:rsidR="00C60678" w:rsidRPr="00C60678">
        <w:rPr>
          <w:rFonts w:ascii="Verdana" w:hAnsi="Verdana"/>
          <w:sz w:val="20"/>
        </w:rPr>
        <w:t>(</w:t>
      </w:r>
      <w:r w:rsidRPr="002818E7">
        <w:rPr>
          <w:rFonts w:ascii="Verdana" w:hAnsi="Verdana"/>
          <w:sz w:val="20"/>
        </w:rPr>
        <w:t xml:space="preserve">par. 103.q.iii </w:t>
      </w:r>
      <w:r w:rsidRPr="002818E7">
        <w:rPr>
          <w:rFonts w:ascii="Verdana" w:hAnsi="Verdana"/>
          <w:i/>
          <w:sz w:val="20"/>
        </w:rPr>
        <w:t>infra</w:t>
      </w:r>
      <w:r w:rsidR="00C60678" w:rsidRPr="00C60678">
        <w:rPr>
          <w:rFonts w:ascii="Verdana" w:hAnsi="Verdana"/>
          <w:sz w:val="20"/>
        </w:rPr>
        <w:t>)</w:t>
      </w:r>
      <w:r>
        <w:rPr>
          <w:rFonts w:ascii="Verdana" w:hAnsi="Verdana"/>
          <w:sz w:val="20"/>
        </w:rPr>
        <w:t xml:space="preserve">. </w:t>
      </w:r>
      <w:r w:rsidRPr="002818E7">
        <w:rPr>
          <w:rFonts w:ascii="Verdana" w:hAnsi="Verdana"/>
          <w:sz w:val="20"/>
        </w:rPr>
        <w:lastRenderedPageBreak/>
        <w:t>Posteriormente, o Ministro do MARENA solicitou ao Conselho Regional da RAAN que aprova</w:t>
      </w:r>
      <w:r>
        <w:rPr>
          <w:rFonts w:ascii="Verdana" w:hAnsi="Verdana"/>
          <w:sz w:val="20"/>
        </w:rPr>
        <w:t>sse</w:t>
      </w:r>
      <w:r w:rsidRPr="002818E7">
        <w:rPr>
          <w:rFonts w:ascii="Verdana" w:hAnsi="Verdana"/>
          <w:sz w:val="20"/>
        </w:rPr>
        <w:t xml:space="preserve"> a referida concessão;</w:t>
      </w:r>
      <w:proofErr w:type="gramStart"/>
      <w:r w:rsidRPr="002818E7">
        <w:rPr>
          <w:rStyle w:val="Refdenotaalpie"/>
          <w:rFonts w:ascii="Verdana" w:hAnsi="Verdana"/>
          <w:sz w:val="20"/>
        </w:rPr>
        <w:footnoteReference w:id="28"/>
      </w:r>
      <w:proofErr w:type="gramEnd"/>
    </w:p>
    <w:p w:rsidR="00BD19C3" w:rsidRDefault="00BD19C3" w:rsidP="00C336FB">
      <w:pPr>
        <w:jc w:val="both"/>
        <w:rPr>
          <w:rFonts w:ascii="Verdana" w:hAnsi="Verdana"/>
          <w:sz w:val="20"/>
        </w:rPr>
      </w:pPr>
    </w:p>
    <w:p w:rsidR="00C336FB" w:rsidRPr="00AC4701" w:rsidRDefault="00C336FB" w:rsidP="00C336FB">
      <w:pPr>
        <w:jc w:val="both"/>
        <w:rPr>
          <w:rFonts w:ascii="Verdana" w:hAnsi="Verdana"/>
          <w:b/>
          <w:sz w:val="20"/>
        </w:rPr>
      </w:pPr>
      <w:proofErr w:type="gramStart"/>
      <w:r w:rsidRPr="002818E7">
        <w:rPr>
          <w:rFonts w:ascii="Verdana" w:hAnsi="Verdana"/>
          <w:sz w:val="20"/>
        </w:rPr>
        <w:t>n.</w:t>
      </w:r>
      <w:proofErr w:type="gramEnd"/>
      <w:r w:rsidRPr="002818E7">
        <w:rPr>
          <w:rFonts w:ascii="Verdana" w:hAnsi="Verdana"/>
          <w:sz w:val="20"/>
        </w:rPr>
        <w:tab/>
        <w:t>em 9 de outubro de 1997, o Conselho Regional da RAAN resolveu: a</w:t>
      </w:r>
      <w:r w:rsidR="00C60678" w:rsidRPr="00C60678">
        <w:rPr>
          <w:rFonts w:ascii="Verdana" w:hAnsi="Verdana"/>
          <w:sz w:val="20"/>
        </w:rPr>
        <w:t>)</w:t>
      </w:r>
      <w:r w:rsidRPr="002818E7">
        <w:rPr>
          <w:rFonts w:ascii="Verdana" w:hAnsi="Verdana"/>
          <w:sz w:val="20"/>
        </w:rPr>
        <w:t xml:space="preserve"> “[r]atificar a Disposição Administrativa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2-95 de 28 de junho de 1995, assinada pela Junta Diretiva do Conselho Regional Autônomo e o Coordenador Regional da [RA</w:t>
      </w:r>
      <w:r>
        <w:rPr>
          <w:rFonts w:ascii="Verdana" w:hAnsi="Verdana"/>
          <w:sz w:val="20"/>
        </w:rPr>
        <w:t>A</w:t>
      </w:r>
      <w:r w:rsidRPr="002818E7">
        <w:rPr>
          <w:rFonts w:ascii="Verdana" w:hAnsi="Verdana"/>
          <w:sz w:val="20"/>
        </w:rPr>
        <w:t xml:space="preserve">N]”, mediante a qual </w:t>
      </w:r>
      <w:r>
        <w:rPr>
          <w:rFonts w:ascii="Verdana" w:hAnsi="Verdana"/>
          <w:sz w:val="20"/>
        </w:rPr>
        <w:t>foi aprovada</w:t>
      </w:r>
      <w:r w:rsidRPr="002818E7">
        <w:rPr>
          <w:rFonts w:ascii="Verdana" w:hAnsi="Verdana"/>
          <w:sz w:val="20"/>
        </w:rPr>
        <w:t xml:space="preserve"> a concessão florestal em favor da empresa SOLCARSA; b</w:t>
      </w:r>
      <w:r w:rsidR="00C60678" w:rsidRPr="00C60678">
        <w:rPr>
          <w:rFonts w:ascii="Verdana" w:hAnsi="Verdana"/>
          <w:sz w:val="20"/>
        </w:rPr>
        <w:t>)</w:t>
      </w:r>
      <w:r w:rsidRPr="002818E7">
        <w:rPr>
          <w:rFonts w:ascii="Verdana" w:hAnsi="Verdana"/>
          <w:sz w:val="20"/>
        </w:rPr>
        <w:t xml:space="preserve"> “[s]uspender o </w:t>
      </w:r>
      <w:r w:rsidR="006C5157">
        <w:rPr>
          <w:rFonts w:ascii="Verdana" w:hAnsi="Verdana"/>
          <w:sz w:val="20"/>
        </w:rPr>
        <w:t>Convênio</w:t>
      </w:r>
      <w:r w:rsidRPr="002818E7">
        <w:rPr>
          <w:rFonts w:ascii="Verdana" w:hAnsi="Verdana"/>
          <w:sz w:val="20"/>
        </w:rPr>
        <w:t xml:space="preserve"> existente entre o Governo Regional e </w:t>
      </w:r>
      <w:r>
        <w:rPr>
          <w:rFonts w:ascii="Verdana" w:hAnsi="Verdana"/>
          <w:sz w:val="20"/>
        </w:rPr>
        <w:t xml:space="preserve">a </w:t>
      </w:r>
      <w:r w:rsidRPr="002818E7">
        <w:rPr>
          <w:rFonts w:ascii="Verdana" w:hAnsi="Verdana"/>
          <w:sz w:val="20"/>
        </w:rPr>
        <w:t xml:space="preserve">[SOLCARSA], </w:t>
      </w:r>
      <w:r w:rsidR="00AC4701">
        <w:rPr>
          <w:rFonts w:ascii="Verdana" w:hAnsi="Verdana"/>
          <w:sz w:val="20"/>
        </w:rPr>
        <w:t>assinado</w:t>
      </w:r>
      <w:r w:rsidRPr="002818E7">
        <w:rPr>
          <w:rFonts w:ascii="Verdana" w:hAnsi="Verdana"/>
          <w:sz w:val="20"/>
        </w:rPr>
        <w:t xml:space="preserve"> em 28 de [a]bril de 1995”, e c</w:t>
      </w:r>
      <w:r w:rsidR="00C60678" w:rsidRPr="00C60678">
        <w:rPr>
          <w:rFonts w:ascii="Verdana" w:hAnsi="Verdana"/>
          <w:sz w:val="20"/>
        </w:rPr>
        <w:t>)</w:t>
      </w:r>
      <w:r w:rsidRPr="002818E7">
        <w:rPr>
          <w:rFonts w:ascii="Verdana" w:hAnsi="Verdana"/>
          <w:sz w:val="20"/>
        </w:rPr>
        <w:t xml:space="preserve"> “[r]atificar [...] o Contrato de Manejo e Aproveitamento Florestal, </w:t>
      </w:r>
      <w:r w:rsidR="00AC4701">
        <w:rPr>
          <w:rFonts w:ascii="Verdana" w:hAnsi="Verdana"/>
          <w:sz w:val="20"/>
        </w:rPr>
        <w:t>assinado</w:t>
      </w:r>
      <w:r w:rsidRPr="002818E7">
        <w:rPr>
          <w:rFonts w:ascii="Verdana" w:hAnsi="Verdana"/>
          <w:sz w:val="20"/>
        </w:rPr>
        <w:t xml:space="preserve"> entre o Ministro do MARENA e [...] SOLCARSA, em 13 de março de 1996”;</w:t>
      </w:r>
      <w:r w:rsidRPr="002818E7">
        <w:rPr>
          <w:rStyle w:val="Refdenotaalpie"/>
          <w:rFonts w:ascii="Verdana" w:hAnsi="Verdana"/>
          <w:sz w:val="20"/>
        </w:rPr>
        <w:footnoteReference w:id="29"/>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i/>
          <w:sz w:val="20"/>
        </w:rPr>
      </w:pPr>
      <w:r w:rsidRPr="002818E7">
        <w:rPr>
          <w:rFonts w:ascii="Verdana" w:hAnsi="Verdana"/>
          <w:i/>
          <w:sz w:val="20"/>
        </w:rPr>
        <w:t>Diligências administrativas da Comunidade Awas Tingni</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ñ.</w:t>
      </w:r>
      <w:proofErr w:type="gramEnd"/>
      <w:r w:rsidRPr="002818E7">
        <w:rPr>
          <w:rFonts w:ascii="Verdana" w:hAnsi="Verdana"/>
          <w:sz w:val="20"/>
        </w:rPr>
        <w:tab/>
        <w:t>em 11 de julho de 1995</w:t>
      </w:r>
      <w:r w:rsidR="0026644B">
        <w:rPr>
          <w:rFonts w:ascii="Verdana" w:hAnsi="Verdana"/>
          <w:sz w:val="20"/>
        </w:rPr>
        <w:t>,</w:t>
      </w:r>
      <w:r w:rsidRPr="002818E7">
        <w:rPr>
          <w:rFonts w:ascii="Verdana" w:hAnsi="Verdana"/>
          <w:sz w:val="20"/>
        </w:rPr>
        <w:t xml:space="preserve"> María Luisa Acosta Castellón, em representação da Comunidade, apresentou uma carta ao Ministro do MARENA,</w:t>
      </w:r>
      <w:r w:rsidRPr="002818E7">
        <w:rPr>
          <w:rFonts w:ascii="Verdana" w:hAnsi="Verdana"/>
          <w:b/>
          <w:sz w:val="20"/>
        </w:rPr>
        <w:t xml:space="preserve"> </w:t>
      </w:r>
      <w:r w:rsidRPr="002818E7">
        <w:rPr>
          <w:rFonts w:ascii="Verdana" w:hAnsi="Verdana"/>
          <w:sz w:val="20"/>
        </w:rPr>
        <w:t>mediante</w:t>
      </w:r>
      <w:r w:rsidRPr="002818E7">
        <w:rPr>
          <w:rFonts w:ascii="Verdana" w:hAnsi="Verdana"/>
          <w:b/>
          <w:sz w:val="20"/>
        </w:rPr>
        <w:t xml:space="preserve"> </w:t>
      </w:r>
      <w:r w:rsidRPr="002818E7">
        <w:rPr>
          <w:rFonts w:ascii="Verdana" w:hAnsi="Verdana"/>
          <w:sz w:val="20"/>
        </w:rPr>
        <w:t>a qual solicitou que não se avança</w:t>
      </w:r>
      <w:r>
        <w:rPr>
          <w:rFonts w:ascii="Verdana" w:hAnsi="Verdana"/>
          <w:sz w:val="20"/>
        </w:rPr>
        <w:t>sse</w:t>
      </w:r>
      <w:r w:rsidRPr="002818E7">
        <w:rPr>
          <w:rFonts w:ascii="Verdana" w:hAnsi="Verdana"/>
          <w:sz w:val="20"/>
        </w:rPr>
        <w:t xml:space="preserve"> </w:t>
      </w:r>
      <w:r>
        <w:rPr>
          <w:rFonts w:ascii="Verdana" w:hAnsi="Verdana"/>
          <w:sz w:val="20"/>
        </w:rPr>
        <w:t xml:space="preserve">na </w:t>
      </w:r>
      <w:r w:rsidR="009E50CD">
        <w:rPr>
          <w:rFonts w:ascii="Verdana" w:hAnsi="Verdana"/>
          <w:sz w:val="20"/>
        </w:rPr>
        <w:t>outorga da concessão</w:t>
      </w:r>
      <w:r w:rsidRPr="002818E7">
        <w:rPr>
          <w:rFonts w:ascii="Verdana" w:hAnsi="Verdana"/>
          <w:sz w:val="20"/>
        </w:rPr>
        <w:t xml:space="preserve"> à empresa SOLCARSA sem que houvesse um </w:t>
      </w:r>
      <w:r w:rsidR="006C5157">
        <w:rPr>
          <w:rFonts w:ascii="Verdana" w:hAnsi="Verdana"/>
          <w:sz w:val="20"/>
        </w:rPr>
        <w:t>convênio</w:t>
      </w:r>
      <w:r w:rsidRPr="002818E7">
        <w:rPr>
          <w:rFonts w:ascii="Verdana" w:hAnsi="Verdana"/>
          <w:sz w:val="20"/>
        </w:rPr>
        <w:t xml:space="preserve"> com a Comunidade. Ademais, manifestou que o MARENA tinha o dever de “facilitar a definição das terras </w:t>
      </w:r>
      <w:r w:rsidR="00C31DEC">
        <w:rPr>
          <w:rFonts w:ascii="Verdana" w:hAnsi="Verdana"/>
          <w:sz w:val="20"/>
        </w:rPr>
        <w:t>comunitárias</w:t>
      </w:r>
      <w:r w:rsidR="00C31DEC" w:rsidRPr="002818E7">
        <w:rPr>
          <w:rFonts w:ascii="Verdana" w:hAnsi="Verdana"/>
          <w:sz w:val="20"/>
        </w:rPr>
        <w:t xml:space="preserve"> </w:t>
      </w:r>
      <w:r w:rsidRPr="002818E7">
        <w:rPr>
          <w:rFonts w:ascii="Verdana" w:hAnsi="Verdana"/>
          <w:sz w:val="20"/>
        </w:rPr>
        <w:t xml:space="preserve">e [...] não </w:t>
      </w:r>
      <w:r w:rsidR="005832BB">
        <w:rPr>
          <w:rFonts w:ascii="Verdana" w:hAnsi="Verdana"/>
          <w:sz w:val="20"/>
        </w:rPr>
        <w:t>prejudicar</w:t>
      </w:r>
      <w:r w:rsidRPr="002818E7">
        <w:rPr>
          <w:rFonts w:ascii="Verdana" w:hAnsi="Verdana"/>
          <w:sz w:val="20"/>
        </w:rPr>
        <w:t xml:space="preserve"> [...] as aspirações territoriais da Comunidade”, em virtude de que assim </w:t>
      </w:r>
      <w:r>
        <w:rPr>
          <w:rFonts w:ascii="Verdana" w:hAnsi="Verdana"/>
          <w:sz w:val="20"/>
        </w:rPr>
        <w:t>foi estipulado</w:t>
      </w:r>
      <w:r w:rsidRPr="002818E7">
        <w:rPr>
          <w:rFonts w:ascii="Verdana" w:hAnsi="Verdana"/>
          <w:sz w:val="20"/>
        </w:rPr>
        <w:t xml:space="preserve"> no </w:t>
      </w:r>
      <w:r w:rsidR="006C5157">
        <w:rPr>
          <w:rFonts w:ascii="Verdana" w:hAnsi="Verdana"/>
          <w:sz w:val="20"/>
        </w:rPr>
        <w:t>convênio</w:t>
      </w:r>
      <w:r w:rsidRPr="002818E7">
        <w:rPr>
          <w:rFonts w:ascii="Verdana" w:hAnsi="Verdana"/>
          <w:sz w:val="20"/>
        </w:rPr>
        <w:t xml:space="preserve"> assinado em maio de 1994 pela Comunidade, </w:t>
      </w:r>
      <w:r>
        <w:rPr>
          <w:rFonts w:ascii="Verdana" w:hAnsi="Verdana"/>
          <w:sz w:val="20"/>
        </w:rPr>
        <w:t xml:space="preserve">a </w:t>
      </w:r>
      <w:r w:rsidRPr="002818E7">
        <w:rPr>
          <w:rFonts w:ascii="Verdana" w:hAnsi="Verdana"/>
          <w:sz w:val="20"/>
        </w:rPr>
        <w:t xml:space="preserve">MADENSA e o MARENA </w:t>
      </w:r>
      <w:r w:rsidR="00C60678" w:rsidRPr="00C60678">
        <w:rPr>
          <w:rFonts w:ascii="Verdana" w:hAnsi="Verdana"/>
          <w:sz w:val="20"/>
        </w:rPr>
        <w:t>(</w:t>
      </w:r>
      <w:r w:rsidRPr="002818E7">
        <w:rPr>
          <w:rFonts w:ascii="Verdana" w:hAnsi="Verdana"/>
          <w:sz w:val="20"/>
        </w:rPr>
        <w:t xml:space="preserve">par. 103. I </w:t>
      </w:r>
      <w:r w:rsidRPr="002818E7">
        <w:rPr>
          <w:rFonts w:ascii="Verdana" w:hAnsi="Verdana"/>
          <w:i/>
          <w:sz w:val="20"/>
        </w:rPr>
        <w:t>supra</w:t>
      </w:r>
      <w:r w:rsidR="00C60678" w:rsidRPr="00C60678">
        <w:rPr>
          <w:rFonts w:ascii="Verdana" w:hAnsi="Verdana"/>
          <w:sz w:val="20"/>
        </w:rPr>
        <w:t>)</w:t>
      </w:r>
      <w:r w:rsidRPr="002818E7">
        <w:rPr>
          <w:rFonts w:ascii="Verdana" w:hAnsi="Verdana"/>
          <w:sz w:val="20"/>
        </w:rPr>
        <w:t>;</w:t>
      </w:r>
      <w:proofErr w:type="gramStart"/>
      <w:r w:rsidRPr="002818E7">
        <w:rPr>
          <w:rStyle w:val="Refdenotaalpie"/>
          <w:rFonts w:ascii="Verdana" w:hAnsi="Verdana"/>
          <w:sz w:val="20"/>
        </w:rPr>
        <w:footnoteReference w:id="30"/>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o</w:t>
      </w:r>
      <w:proofErr w:type="gramEnd"/>
      <w:r w:rsidRPr="002818E7">
        <w:rPr>
          <w:rFonts w:ascii="Verdana" w:hAnsi="Verdana"/>
          <w:sz w:val="20"/>
        </w:rPr>
        <w:t>.</w:t>
      </w:r>
      <w:r w:rsidRPr="002818E7">
        <w:rPr>
          <w:rFonts w:ascii="Verdana" w:hAnsi="Verdana"/>
          <w:sz w:val="20"/>
        </w:rPr>
        <w:tab/>
        <w:t xml:space="preserve">em março de 1996, a Comunidade apresentou um escrito </w:t>
      </w:r>
      <w:r>
        <w:rPr>
          <w:rFonts w:ascii="Verdana" w:hAnsi="Verdana"/>
          <w:sz w:val="20"/>
        </w:rPr>
        <w:t>per</w:t>
      </w:r>
      <w:r w:rsidRPr="002818E7">
        <w:rPr>
          <w:rFonts w:ascii="Verdana" w:hAnsi="Verdana"/>
          <w:sz w:val="20"/>
        </w:rPr>
        <w:t>ante o Conselho Regional da RAAN, mediante o qual solicitou “que o Conselho Regional inici[a</w:t>
      </w:r>
      <w:r>
        <w:rPr>
          <w:rFonts w:ascii="Verdana" w:hAnsi="Verdana"/>
          <w:sz w:val="20"/>
        </w:rPr>
        <w:t>sse</w:t>
      </w:r>
      <w:r w:rsidRPr="002818E7">
        <w:rPr>
          <w:rFonts w:ascii="Verdana" w:hAnsi="Verdana"/>
          <w:sz w:val="20"/>
        </w:rPr>
        <w:t>] um processo de estudo que lev[a</w:t>
      </w:r>
      <w:r>
        <w:rPr>
          <w:rFonts w:ascii="Verdana" w:hAnsi="Verdana"/>
          <w:sz w:val="20"/>
        </w:rPr>
        <w:t>sse</w:t>
      </w:r>
      <w:r w:rsidRPr="002818E7">
        <w:rPr>
          <w:rFonts w:ascii="Verdana" w:hAnsi="Verdana"/>
          <w:sz w:val="20"/>
        </w:rPr>
        <w:t>] a uma demarcação territorial adequada” com a participação da Comunidade Awas Tingni e das outras comunidades interessadas, “com o fim de assegurar seus direitos de propriedade em suas terras comunais ancestrais”, e que “imped[i</w:t>
      </w:r>
      <w:r>
        <w:rPr>
          <w:rFonts w:ascii="Verdana" w:hAnsi="Verdana"/>
          <w:sz w:val="20"/>
        </w:rPr>
        <w:t>sse</w:t>
      </w:r>
      <w:r w:rsidRPr="002818E7">
        <w:rPr>
          <w:rFonts w:ascii="Verdana" w:hAnsi="Verdana"/>
          <w:sz w:val="20"/>
        </w:rPr>
        <w:t xml:space="preserve">] </w:t>
      </w:r>
      <w:r>
        <w:rPr>
          <w:rFonts w:ascii="Verdana" w:hAnsi="Verdana"/>
          <w:sz w:val="20"/>
        </w:rPr>
        <w:t>a</w:t>
      </w:r>
      <w:r w:rsidRPr="002818E7">
        <w:rPr>
          <w:rFonts w:ascii="Verdana" w:hAnsi="Verdana"/>
          <w:sz w:val="20"/>
        </w:rPr>
        <w:t xml:space="preserve"> </w:t>
      </w:r>
      <w:r>
        <w:rPr>
          <w:rFonts w:ascii="Verdana" w:hAnsi="Verdana"/>
          <w:sz w:val="20"/>
        </w:rPr>
        <w:t xml:space="preserve">entrega </w:t>
      </w:r>
      <w:r w:rsidRPr="002818E7">
        <w:rPr>
          <w:rFonts w:ascii="Verdana" w:hAnsi="Verdana"/>
          <w:sz w:val="20"/>
        </w:rPr>
        <w:t>de concessões para o aproveitamento de recursos naturais dentro da área em questão sem o consentimento prévio da Comunidade”.</w:t>
      </w:r>
      <w:r w:rsidR="00850A3F">
        <w:rPr>
          <w:rFonts w:ascii="Verdana" w:hAnsi="Verdana"/>
          <w:sz w:val="20"/>
        </w:rPr>
        <w:t xml:space="preserve"> </w:t>
      </w:r>
      <w:r w:rsidRPr="002818E7">
        <w:rPr>
          <w:rFonts w:ascii="Verdana" w:hAnsi="Verdana"/>
          <w:sz w:val="20"/>
        </w:rPr>
        <w:t xml:space="preserve">Com este fim propuseram que </w:t>
      </w:r>
      <w:r>
        <w:rPr>
          <w:rFonts w:ascii="Verdana" w:hAnsi="Verdana"/>
          <w:sz w:val="20"/>
        </w:rPr>
        <w:t>fosse realizado</w:t>
      </w:r>
      <w:r w:rsidRPr="002818E7">
        <w:rPr>
          <w:rFonts w:ascii="Verdana" w:hAnsi="Verdana"/>
          <w:sz w:val="20"/>
        </w:rPr>
        <w:t>: a</w:t>
      </w:r>
      <w:r w:rsidR="00C60678" w:rsidRPr="00C60678">
        <w:rPr>
          <w:rFonts w:ascii="Verdana" w:hAnsi="Verdana"/>
          <w:sz w:val="20"/>
        </w:rPr>
        <w:t>)</w:t>
      </w:r>
      <w:r w:rsidRPr="002818E7">
        <w:rPr>
          <w:rFonts w:ascii="Verdana" w:hAnsi="Verdana"/>
          <w:sz w:val="20"/>
        </w:rPr>
        <w:t xml:space="preserve"> uma avaliação do estudo etnográfico apresentado pela Comunidade e, </w:t>
      </w:r>
      <w:r>
        <w:rPr>
          <w:rFonts w:ascii="Verdana" w:hAnsi="Verdana"/>
          <w:sz w:val="20"/>
        </w:rPr>
        <w:t>caso</w:t>
      </w:r>
      <w:r w:rsidRPr="002818E7">
        <w:rPr>
          <w:rFonts w:ascii="Verdana" w:hAnsi="Verdana"/>
          <w:sz w:val="20"/>
        </w:rPr>
        <w:t xml:space="preserve"> necessário, um estudo suplementar; b</w:t>
      </w:r>
      <w:r w:rsidR="00C60678" w:rsidRPr="00C60678">
        <w:rPr>
          <w:rFonts w:ascii="Verdana" w:hAnsi="Verdana"/>
          <w:sz w:val="20"/>
        </w:rPr>
        <w:t>)</w:t>
      </w:r>
      <w:r w:rsidRPr="002818E7">
        <w:rPr>
          <w:rFonts w:ascii="Verdana" w:hAnsi="Verdana"/>
          <w:sz w:val="20"/>
        </w:rPr>
        <w:t xml:space="preserve"> um processo de concertação entre a Comunidade Awas Tingni e as comunidades próximas sobre os limites de suas terras </w:t>
      </w:r>
      <w:r w:rsidR="003B1586">
        <w:rPr>
          <w:rFonts w:ascii="Verdana" w:hAnsi="Verdana"/>
          <w:sz w:val="20"/>
        </w:rPr>
        <w:t>comunitárias</w:t>
      </w:r>
      <w:r w:rsidRPr="002818E7">
        <w:rPr>
          <w:rFonts w:ascii="Verdana" w:hAnsi="Verdana"/>
          <w:sz w:val="20"/>
        </w:rPr>
        <w:t>; c</w:t>
      </w:r>
      <w:r w:rsidR="00C60678" w:rsidRPr="00C60678">
        <w:rPr>
          <w:rFonts w:ascii="Verdana" w:hAnsi="Verdana"/>
          <w:sz w:val="20"/>
        </w:rPr>
        <w:t>)</w:t>
      </w:r>
      <w:r w:rsidRPr="002818E7">
        <w:rPr>
          <w:rFonts w:ascii="Verdana" w:hAnsi="Verdana"/>
          <w:sz w:val="20"/>
        </w:rPr>
        <w:t xml:space="preserve"> </w:t>
      </w:r>
      <w:r w:rsidR="0026644B">
        <w:rPr>
          <w:rFonts w:ascii="Verdana" w:hAnsi="Verdana"/>
          <w:sz w:val="20"/>
        </w:rPr>
        <w:t>a</w:t>
      </w:r>
      <w:r w:rsidRPr="002818E7">
        <w:rPr>
          <w:rFonts w:ascii="Verdana" w:hAnsi="Verdana"/>
          <w:sz w:val="20"/>
        </w:rPr>
        <w:t xml:space="preserve"> identificação das terras estatais na área; e d</w:t>
      </w:r>
      <w:r w:rsidR="00C60678" w:rsidRPr="00C60678">
        <w:rPr>
          <w:rFonts w:ascii="Verdana" w:hAnsi="Verdana"/>
          <w:sz w:val="20"/>
        </w:rPr>
        <w:t>)</w:t>
      </w:r>
      <w:r w:rsidRPr="002818E7">
        <w:rPr>
          <w:rFonts w:ascii="Verdana" w:hAnsi="Verdana"/>
          <w:sz w:val="20"/>
        </w:rPr>
        <w:t xml:space="preserve"> </w:t>
      </w:r>
      <w:r w:rsidR="005832BB">
        <w:rPr>
          <w:rFonts w:ascii="Verdana" w:hAnsi="Verdana"/>
          <w:sz w:val="20"/>
        </w:rPr>
        <w:t>a</w:t>
      </w:r>
      <w:r w:rsidRPr="002818E7">
        <w:rPr>
          <w:rFonts w:ascii="Verdana" w:hAnsi="Verdana"/>
          <w:sz w:val="20"/>
        </w:rPr>
        <w:t xml:space="preserve"> “delimitação das terras comunais de </w:t>
      </w:r>
      <w:r w:rsidRPr="002818E7">
        <w:rPr>
          <w:rFonts w:ascii="Verdana" w:hAnsi="Verdana"/>
          <w:sz w:val="20"/>
        </w:rPr>
        <w:lastRenderedPageBreak/>
        <w:t xml:space="preserve">Awas Tingni”. A Comunidade manifestou que a solicitação </w:t>
      </w:r>
      <w:r>
        <w:rPr>
          <w:rFonts w:ascii="Verdana" w:hAnsi="Verdana"/>
          <w:sz w:val="20"/>
        </w:rPr>
        <w:t>era apresentada</w:t>
      </w:r>
      <w:r w:rsidRPr="002818E7">
        <w:rPr>
          <w:rFonts w:ascii="Verdana" w:hAnsi="Verdana"/>
          <w:sz w:val="20"/>
        </w:rPr>
        <w:t xml:space="preserve"> “em razão da falta de recursos administrativos disponíveis dentro do </w:t>
      </w:r>
      <w:r w:rsidR="004922CB">
        <w:rPr>
          <w:rFonts w:ascii="Verdana" w:hAnsi="Verdana"/>
          <w:sz w:val="20"/>
        </w:rPr>
        <w:t xml:space="preserve">ordenamento jurídico </w:t>
      </w:r>
      <w:r w:rsidRPr="002818E7">
        <w:rPr>
          <w:rFonts w:ascii="Verdana" w:hAnsi="Verdana"/>
          <w:sz w:val="20"/>
        </w:rPr>
        <w:t>nicaraguense</w:t>
      </w:r>
      <w:r w:rsidR="00C021D3">
        <w:rPr>
          <w:rFonts w:ascii="Verdana" w:hAnsi="Verdana"/>
          <w:sz w:val="20"/>
        </w:rPr>
        <w:t>,</w:t>
      </w:r>
      <w:r w:rsidRPr="002818E7">
        <w:rPr>
          <w:rFonts w:ascii="Verdana" w:hAnsi="Verdana"/>
          <w:sz w:val="20"/>
        </w:rPr>
        <w:t xml:space="preserve"> </w:t>
      </w:r>
      <w:proofErr w:type="gramStart"/>
      <w:r w:rsidRPr="002818E7">
        <w:rPr>
          <w:rFonts w:ascii="Verdana" w:hAnsi="Verdana"/>
          <w:sz w:val="20"/>
        </w:rPr>
        <w:t>atr[</w:t>
      </w:r>
      <w:proofErr w:type="gramEnd"/>
      <w:r w:rsidRPr="002818E7">
        <w:rPr>
          <w:rFonts w:ascii="Verdana" w:hAnsi="Verdana"/>
          <w:sz w:val="20"/>
        </w:rPr>
        <w:t>a]vés do qual comunidades indígenas possam assegurar [os] direitos de propriedade sobre suas terras comunais”;</w:t>
      </w:r>
      <w:r w:rsidRPr="002818E7">
        <w:rPr>
          <w:rStyle w:val="Refdenotaalpie"/>
          <w:rFonts w:ascii="Verdana" w:hAnsi="Verdana"/>
          <w:sz w:val="20"/>
        </w:rPr>
        <w:footnoteReference w:id="31"/>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i/>
          <w:sz w:val="20"/>
        </w:rPr>
      </w:pPr>
      <w:r w:rsidRPr="002818E7">
        <w:rPr>
          <w:rFonts w:ascii="Verdana" w:hAnsi="Verdana"/>
          <w:i/>
          <w:sz w:val="20"/>
        </w:rPr>
        <w:t>Diligências e atuações judiciais</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i/>
          <w:sz w:val="20"/>
        </w:rPr>
      </w:pPr>
      <w:proofErr w:type="gramStart"/>
      <w:r w:rsidRPr="002818E7">
        <w:rPr>
          <w:rFonts w:ascii="Verdana" w:hAnsi="Verdana"/>
          <w:sz w:val="20"/>
        </w:rPr>
        <w:t>p.</w:t>
      </w:r>
      <w:proofErr w:type="gramEnd"/>
      <w:r w:rsidRPr="002818E7">
        <w:rPr>
          <w:rFonts w:ascii="Verdana" w:hAnsi="Verdana"/>
          <w:i/>
          <w:sz w:val="20"/>
        </w:rPr>
        <w:tab/>
      </w:r>
      <w:r w:rsidRPr="002818E7">
        <w:rPr>
          <w:rFonts w:ascii="Verdana" w:hAnsi="Verdana"/>
          <w:sz w:val="20"/>
        </w:rPr>
        <w:t xml:space="preserve">Primeiro recurso de amparo </w:t>
      </w:r>
      <w:r w:rsidR="0026644B">
        <w:rPr>
          <w:rFonts w:ascii="Verdana" w:hAnsi="Verdana"/>
          <w:sz w:val="20"/>
        </w:rPr>
        <w:t xml:space="preserve">(mandado de segurança) </w:t>
      </w:r>
      <w:r w:rsidRPr="002818E7">
        <w:rPr>
          <w:rFonts w:ascii="Verdana" w:hAnsi="Verdana"/>
          <w:sz w:val="20"/>
        </w:rPr>
        <w:t>interposto pela Comunidade Awas Tingni e seus dirigentes:</w:t>
      </w:r>
    </w:p>
    <w:p w:rsidR="00C336FB" w:rsidRPr="002818E7" w:rsidRDefault="00C336FB" w:rsidP="00C336FB">
      <w:pPr>
        <w:jc w:val="both"/>
        <w:rPr>
          <w:rFonts w:ascii="Verdana" w:hAnsi="Verdana"/>
          <w:i/>
          <w:sz w:val="20"/>
        </w:rPr>
      </w:pPr>
    </w:p>
    <w:p w:rsidR="00C336FB" w:rsidRPr="002818E7" w:rsidRDefault="00C336FB" w:rsidP="0094593C">
      <w:pPr>
        <w:ind w:left="709"/>
        <w:jc w:val="both"/>
        <w:rPr>
          <w:rFonts w:ascii="Verdana" w:hAnsi="Verdana"/>
          <w:sz w:val="20"/>
        </w:rPr>
      </w:pPr>
      <w:proofErr w:type="gramStart"/>
      <w:r w:rsidRPr="002818E7">
        <w:rPr>
          <w:rFonts w:ascii="Verdana" w:hAnsi="Verdana"/>
          <w:sz w:val="20"/>
        </w:rPr>
        <w:t>p.i</w:t>
      </w:r>
      <w:proofErr w:type="gramEnd"/>
      <w:r w:rsidR="00C60678" w:rsidRPr="00C60678">
        <w:rPr>
          <w:rFonts w:ascii="Verdana" w:hAnsi="Verdana"/>
          <w:sz w:val="20"/>
        </w:rPr>
        <w:t>)</w:t>
      </w:r>
      <w:r w:rsidRPr="002818E7">
        <w:rPr>
          <w:rFonts w:ascii="Verdana" w:hAnsi="Verdana"/>
          <w:sz w:val="20"/>
        </w:rPr>
        <w:tab/>
        <w:t>em 11 de setembro de 1995, María Luisa Acosta Castellón</w:t>
      </w:r>
      <w:r>
        <w:rPr>
          <w:rFonts w:ascii="Verdana" w:hAnsi="Verdana"/>
          <w:sz w:val="20"/>
        </w:rPr>
        <w:t>,</w:t>
      </w:r>
      <w:r w:rsidRPr="002818E7">
        <w:rPr>
          <w:rFonts w:ascii="Verdana" w:hAnsi="Verdana"/>
          <w:sz w:val="20"/>
        </w:rPr>
        <w:t xml:space="preserve"> em seu caráter de procuradora especial de Jaime Castillo Felipe, Marcial Salomón Sebastián e Siriaco Castillo Fenley, representantes da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interpôs um recurso de amparo </w:t>
      </w:r>
      <w:r>
        <w:rPr>
          <w:rFonts w:ascii="Verdana" w:hAnsi="Verdana"/>
          <w:sz w:val="20"/>
        </w:rPr>
        <w:t>per</w:t>
      </w:r>
      <w:r w:rsidRPr="002818E7">
        <w:rPr>
          <w:rFonts w:ascii="Verdana" w:hAnsi="Verdana"/>
          <w:sz w:val="20"/>
        </w:rPr>
        <w:t>ante o Tribunal de Apelações de Matagalpa contra Milton Caldera Cardenal, Ministro do MARENA, Roberto Araquistain, Diretor do Serviço Florestal Nacional do MARENA, e Alejandro Láinez, Diretor da Administração Florestal Nacional do MARENA. Neste recurso foi solicitado que: a</w:t>
      </w:r>
      <w:r w:rsidR="00C60678" w:rsidRPr="00C60678">
        <w:rPr>
          <w:rFonts w:ascii="Verdana" w:hAnsi="Verdana"/>
          <w:sz w:val="20"/>
        </w:rPr>
        <w:t>)</w:t>
      </w:r>
      <w:r w:rsidRPr="002818E7">
        <w:rPr>
          <w:rFonts w:ascii="Verdana" w:hAnsi="Verdana"/>
          <w:sz w:val="20"/>
        </w:rPr>
        <w:t xml:space="preserve"> </w:t>
      </w:r>
      <w:r>
        <w:rPr>
          <w:rFonts w:ascii="Verdana" w:hAnsi="Verdana"/>
          <w:sz w:val="20"/>
        </w:rPr>
        <w:t>fosse ordenado</w:t>
      </w:r>
      <w:r w:rsidRPr="002818E7">
        <w:rPr>
          <w:rFonts w:ascii="Verdana" w:hAnsi="Verdana"/>
          <w:sz w:val="20"/>
        </w:rPr>
        <w:t xml:space="preserve"> aos mencionados funcionários que se abstive</w:t>
      </w:r>
      <w:r>
        <w:rPr>
          <w:rFonts w:ascii="Verdana" w:hAnsi="Verdana"/>
          <w:sz w:val="20"/>
        </w:rPr>
        <w:t>ssem</w:t>
      </w:r>
      <w:r w:rsidRPr="002818E7">
        <w:rPr>
          <w:rFonts w:ascii="Verdana" w:hAnsi="Verdana"/>
          <w:sz w:val="20"/>
        </w:rPr>
        <w:t xml:space="preserve"> de </w:t>
      </w:r>
      <w:r>
        <w:rPr>
          <w:rFonts w:ascii="Verdana" w:hAnsi="Verdana"/>
          <w:sz w:val="20"/>
        </w:rPr>
        <w:t>entregar</w:t>
      </w:r>
      <w:r w:rsidRPr="002818E7">
        <w:rPr>
          <w:rFonts w:ascii="Verdana" w:hAnsi="Verdana"/>
          <w:sz w:val="20"/>
        </w:rPr>
        <w:t xml:space="preserve"> a concessão </w:t>
      </w:r>
      <w:r>
        <w:rPr>
          <w:rFonts w:ascii="Verdana" w:hAnsi="Verdana"/>
          <w:sz w:val="20"/>
        </w:rPr>
        <w:t>à</w:t>
      </w:r>
      <w:r w:rsidRPr="002818E7">
        <w:rPr>
          <w:rFonts w:ascii="Verdana" w:hAnsi="Verdana"/>
          <w:sz w:val="20"/>
        </w:rPr>
        <w:t xml:space="preserve"> SOLCARSA; que ordena</w:t>
      </w:r>
      <w:r>
        <w:rPr>
          <w:rFonts w:ascii="Verdana" w:hAnsi="Verdana"/>
          <w:sz w:val="20"/>
        </w:rPr>
        <w:t>ssem</w:t>
      </w:r>
      <w:r w:rsidRPr="002818E7">
        <w:rPr>
          <w:rFonts w:ascii="Verdana" w:hAnsi="Verdana"/>
          <w:sz w:val="20"/>
        </w:rPr>
        <w:t xml:space="preserve"> aos agentes d</w:t>
      </w:r>
      <w:r>
        <w:rPr>
          <w:rFonts w:ascii="Verdana" w:hAnsi="Verdana"/>
          <w:sz w:val="20"/>
        </w:rPr>
        <w:t>a</w:t>
      </w:r>
      <w:r w:rsidRPr="002818E7">
        <w:rPr>
          <w:rFonts w:ascii="Verdana" w:hAnsi="Verdana"/>
          <w:sz w:val="20"/>
        </w:rPr>
        <w:t xml:space="preserve"> SOLCARSA des</w:t>
      </w:r>
      <w:r>
        <w:rPr>
          <w:rFonts w:ascii="Verdana" w:hAnsi="Verdana"/>
          <w:sz w:val="20"/>
        </w:rPr>
        <w:t>ocupar</w:t>
      </w:r>
      <w:r w:rsidRPr="002818E7">
        <w:rPr>
          <w:rFonts w:ascii="Verdana" w:hAnsi="Verdana"/>
          <w:sz w:val="20"/>
        </w:rPr>
        <w:t xml:space="preserve"> as terras </w:t>
      </w:r>
      <w:r w:rsidR="003B1586">
        <w:rPr>
          <w:rFonts w:ascii="Verdana" w:hAnsi="Verdana"/>
          <w:sz w:val="20"/>
        </w:rPr>
        <w:t>comunitárias</w:t>
      </w:r>
      <w:r w:rsidR="003B1586" w:rsidRPr="002818E7">
        <w:rPr>
          <w:rFonts w:ascii="Verdana" w:hAnsi="Verdana"/>
          <w:sz w:val="20"/>
        </w:rPr>
        <w:t xml:space="preserve"> </w:t>
      </w:r>
      <w:r w:rsidRPr="002818E7">
        <w:rPr>
          <w:rFonts w:ascii="Verdana" w:hAnsi="Verdana"/>
          <w:sz w:val="20"/>
        </w:rPr>
        <w:t>de Awas Tingni, onde “</w:t>
      </w:r>
      <w:proofErr w:type="gramStart"/>
      <w:r w:rsidR="00BD19C3">
        <w:rPr>
          <w:rFonts w:ascii="Verdana" w:hAnsi="Verdana"/>
          <w:sz w:val="20"/>
        </w:rPr>
        <w:t>realiza</w:t>
      </w:r>
      <w:r w:rsidRPr="002818E7">
        <w:rPr>
          <w:rFonts w:ascii="Verdana" w:hAnsi="Verdana"/>
          <w:sz w:val="20"/>
        </w:rPr>
        <w:t>[</w:t>
      </w:r>
      <w:proofErr w:type="gramEnd"/>
      <w:r w:rsidRPr="002818E7">
        <w:rPr>
          <w:rFonts w:ascii="Verdana" w:hAnsi="Verdana"/>
          <w:sz w:val="20"/>
        </w:rPr>
        <w:t xml:space="preserve">vam] trabalhos </w:t>
      </w:r>
      <w:r w:rsidR="00C6474D">
        <w:rPr>
          <w:rFonts w:ascii="Verdana" w:hAnsi="Verdana"/>
          <w:sz w:val="20"/>
        </w:rPr>
        <w:t>d</w:t>
      </w:r>
      <w:r w:rsidR="006C5157">
        <w:rPr>
          <w:rFonts w:ascii="Verdana" w:hAnsi="Verdana"/>
          <w:sz w:val="20"/>
        </w:rPr>
        <w:t>irigido</w:t>
      </w:r>
      <w:r w:rsidR="00C6474D">
        <w:rPr>
          <w:rFonts w:ascii="Verdana" w:hAnsi="Verdana"/>
          <w:sz w:val="20"/>
        </w:rPr>
        <w:t>s</w:t>
      </w:r>
      <w:r w:rsidRPr="002818E7">
        <w:rPr>
          <w:rFonts w:ascii="Verdana" w:hAnsi="Verdana"/>
          <w:sz w:val="20"/>
        </w:rPr>
        <w:t xml:space="preserve"> a iniciar a exploração de madeira” e que inicia</w:t>
      </w:r>
      <w:r>
        <w:rPr>
          <w:rFonts w:ascii="Verdana" w:hAnsi="Verdana"/>
          <w:sz w:val="20"/>
        </w:rPr>
        <w:t>ssem</w:t>
      </w:r>
      <w:r w:rsidRPr="002818E7">
        <w:rPr>
          <w:rFonts w:ascii="Verdana" w:hAnsi="Verdana"/>
          <w:sz w:val="20"/>
        </w:rPr>
        <w:t xml:space="preserve"> um processo de diálogo e negociação com a Comunidade, </w:t>
      </w:r>
      <w:r>
        <w:rPr>
          <w:rFonts w:ascii="Verdana" w:hAnsi="Verdana"/>
          <w:sz w:val="20"/>
        </w:rPr>
        <w:t>caso</w:t>
      </w:r>
      <w:r w:rsidRPr="002818E7">
        <w:rPr>
          <w:rFonts w:ascii="Verdana" w:hAnsi="Verdana"/>
          <w:sz w:val="20"/>
        </w:rPr>
        <w:t xml:space="preserve"> a empresa SOLCARSA persisti</w:t>
      </w:r>
      <w:r>
        <w:rPr>
          <w:rFonts w:ascii="Verdana" w:hAnsi="Verdana"/>
          <w:sz w:val="20"/>
        </w:rPr>
        <w:t>sse</w:t>
      </w:r>
      <w:r w:rsidRPr="002818E7">
        <w:rPr>
          <w:rFonts w:ascii="Verdana" w:hAnsi="Verdana"/>
          <w:sz w:val="20"/>
        </w:rPr>
        <w:t xml:space="preserve"> em “seu interesse de aproveitar a madeira em terras da Comunidade”; b</w:t>
      </w:r>
      <w:r w:rsidR="00C60678" w:rsidRPr="00C60678">
        <w:rPr>
          <w:rFonts w:ascii="Verdana" w:hAnsi="Verdana"/>
          <w:sz w:val="20"/>
        </w:rPr>
        <w:t>)</w:t>
      </w:r>
      <w:r w:rsidRPr="002818E7">
        <w:rPr>
          <w:rFonts w:ascii="Verdana" w:hAnsi="Verdana"/>
          <w:sz w:val="20"/>
        </w:rPr>
        <w:t xml:space="preserve"> </w:t>
      </w:r>
      <w:r>
        <w:rPr>
          <w:rFonts w:ascii="Verdana" w:hAnsi="Verdana"/>
          <w:sz w:val="20"/>
        </w:rPr>
        <w:t>fosse adotada</w:t>
      </w:r>
      <w:r w:rsidRPr="002818E7">
        <w:rPr>
          <w:rFonts w:ascii="Verdana" w:hAnsi="Verdana"/>
          <w:sz w:val="20"/>
        </w:rPr>
        <w:t xml:space="preserve"> qualquer outra reparação que a Corte Suprema de Justiça determina</w:t>
      </w:r>
      <w:r>
        <w:rPr>
          <w:rFonts w:ascii="Verdana" w:hAnsi="Verdana"/>
          <w:sz w:val="20"/>
        </w:rPr>
        <w:t>sse</w:t>
      </w:r>
      <w:r w:rsidRPr="002818E7">
        <w:rPr>
          <w:rFonts w:ascii="Verdana" w:hAnsi="Verdana"/>
          <w:sz w:val="20"/>
        </w:rPr>
        <w:t xml:space="preserve"> justa; e c</w:t>
      </w:r>
      <w:r w:rsidR="00C60678" w:rsidRPr="00C60678">
        <w:rPr>
          <w:rFonts w:ascii="Verdana" w:hAnsi="Verdana"/>
          <w:sz w:val="20"/>
        </w:rPr>
        <w:t>)</w:t>
      </w:r>
      <w:r w:rsidRPr="002818E7">
        <w:rPr>
          <w:rFonts w:ascii="Verdana" w:hAnsi="Verdana"/>
          <w:sz w:val="20"/>
        </w:rPr>
        <w:t xml:space="preserve"> </w:t>
      </w:r>
      <w:r>
        <w:rPr>
          <w:rFonts w:ascii="Verdana" w:hAnsi="Verdana"/>
          <w:sz w:val="20"/>
        </w:rPr>
        <w:t>fosse decretada</w:t>
      </w:r>
      <w:r w:rsidRPr="002818E7">
        <w:rPr>
          <w:rFonts w:ascii="Verdana" w:hAnsi="Verdana"/>
          <w:sz w:val="20"/>
        </w:rPr>
        <w:t xml:space="preserve"> a suspensão do processo de </w:t>
      </w:r>
      <w:r w:rsidR="009E50CD">
        <w:rPr>
          <w:rFonts w:ascii="Verdana" w:hAnsi="Verdana"/>
          <w:sz w:val="20"/>
        </w:rPr>
        <w:t>outorga da concessão</w:t>
      </w:r>
      <w:r w:rsidRPr="002818E7">
        <w:rPr>
          <w:rFonts w:ascii="Verdana" w:hAnsi="Verdana"/>
          <w:sz w:val="20"/>
        </w:rPr>
        <w:t xml:space="preserve"> solicitada ao MARENA p</w:t>
      </w:r>
      <w:r w:rsidR="00BD19C3">
        <w:rPr>
          <w:rFonts w:ascii="Verdana" w:hAnsi="Verdana"/>
          <w:sz w:val="20"/>
        </w:rPr>
        <w:t>or parte d</w:t>
      </w:r>
      <w:r>
        <w:rPr>
          <w:rFonts w:ascii="Verdana" w:hAnsi="Verdana"/>
          <w:sz w:val="20"/>
        </w:rPr>
        <w:t>a</w:t>
      </w:r>
      <w:r w:rsidRPr="002818E7">
        <w:rPr>
          <w:rFonts w:ascii="Verdana" w:hAnsi="Verdana"/>
          <w:sz w:val="20"/>
        </w:rPr>
        <w:t xml:space="preserve"> SOLCARSA. </w:t>
      </w:r>
      <w:r w:rsidRPr="007618EA">
        <w:rPr>
          <w:rFonts w:ascii="Verdana" w:hAnsi="Verdana"/>
          <w:sz w:val="20"/>
        </w:rPr>
        <w:t>Ademais, ao se referir às disposições constitucionais violadas, a recorrente manifestou que as ações e omissões impugnadas “</w:t>
      </w:r>
      <w:proofErr w:type="gramStart"/>
      <w:r w:rsidRPr="007618EA">
        <w:rPr>
          <w:rFonts w:ascii="Verdana" w:hAnsi="Verdana"/>
          <w:sz w:val="20"/>
        </w:rPr>
        <w:t>constitu[</w:t>
      </w:r>
      <w:proofErr w:type="gramEnd"/>
      <w:r w:rsidRPr="007618EA">
        <w:rPr>
          <w:rFonts w:ascii="Verdana" w:hAnsi="Verdana"/>
          <w:sz w:val="20"/>
        </w:rPr>
        <w:t xml:space="preserve">iam] violações dos artigos 5, 46, 89 e 180 da Constituição Política da Nicarágua, [o]s quais em seu conjunto garantiam os direitos de propriedade e de uso das comunidades indígenas sobre suas terras comunais” e que, mesmo que “[a] Comunidade </w:t>
      </w:r>
      <w:r w:rsidR="00EA0190">
        <w:rPr>
          <w:rFonts w:ascii="Verdana" w:hAnsi="Verdana"/>
          <w:sz w:val="20"/>
        </w:rPr>
        <w:t>careça</w:t>
      </w:r>
      <w:r w:rsidR="00EA0190" w:rsidRPr="007618EA">
        <w:rPr>
          <w:rFonts w:ascii="Verdana" w:hAnsi="Verdana"/>
          <w:sz w:val="20"/>
        </w:rPr>
        <w:t xml:space="preserve"> </w:t>
      </w:r>
      <w:r w:rsidRPr="007618EA">
        <w:rPr>
          <w:rFonts w:ascii="Verdana" w:hAnsi="Verdana"/>
          <w:sz w:val="20"/>
        </w:rPr>
        <w:t xml:space="preserve">de título real […], os direitos </w:t>
      </w:r>
      <w:r w:rsidR="009C1597">
        <w:rPr>
          <w:rFonts w:ascii="Verdana" w:hAnsi="Verdana"/>
          <w:sz w:val="20"/>
        </w:rPr>
        <w:t>às</w:t>
      </w:r>
      <w:r w:rsidRPr="007618EA">
        <w:rPr>
          <w:rFonts w:ascii="Verdana" w:hAnsi="Verdana"/>
          <w:sz w:val="20"/>
        </w:rPr>
        <w:t xml:space="preserve"> suas terras comunais têm bases firmes em um esquema de posse de terra tradicional ligado a pr[á]ticas culturais e </w:t>
      </w:r>
      <w:r w:rsidR="00425579">
        <w:rPr>
          <w:rFonts w:ascii="Verdana" w:hAnsi="Verdana"/>
          <w:sz w:val="20"/>
        </w:rPr>
        <w:t xml:space="preserve">à </w:t>
      </w:r>
      <w:r w:rsidRPr="007618EA">
        <w:rPr>
          <w:rFonts w:ascii="Verdana" w:hAnsi="Verdana"/>
          <w:sz w:val="20"/>
        </w:rPr>
        <w:t>organização comunitária”;</w:t>
      </w:r>
      <w:r w:rsidRPr="007618EA">
        <w:rPr>
          <w:rStyle w:val="Refdenotaalpie"/>
          <w:rFonts w:ascii="Verdana" w:hAnsi="Verdana"/>
          <w:sz w:val="20"/>
        </w:rPr>
        <w:footnoteReference w:id="32"/>
      </w:r>
      <w:r w:rsidRPr="002818E7">
        <w:rPr>
          <w:rFonts w:ascii="Verdana" w:hAnsi="Verdana"/>
          <w:sz w:val="20"/>
        </w:rPr>
        <w:t xml:space="preserve"> </w:t>
      </w:r>
    </w:p>
    <w:p w:rsidR="00C336FB" w:rsidRPr="002818E7" w:rsidRDefault="00C336FB" w:rsidP="00C336FB">
      <w:pPr>
        <w:ind w:left="709"/>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p.</w:t>
      </w:r>
      <w:proofErr w:type="gramEnd"/>
      <w:r w:rsidRPr="002818E7">
        <w:rPr>
          <w:rFonts w:ascii="Verdana" w:hAnsi="Verdana"/>
          <w:sz w:val="20"/>
        </w:rPr>
        <w:t>ii</w:t>
      </w:r>
      <w:r w:rsidR="00C60678" w:rsidRPr="00C60678">
        <w:rPr>
          <w:rFonts w:ascii="Verdana" w:hAnsi="Verdana"/>
          <w:sz w:val="20"/>
        </w:rPr>
        <w:t>)</w:t>
      </w:r>
      <w:r w:rsidRPr="002818E7">
        <w:rPr>
          <w:rFonts w:ascii="Verdana" w:hAnsi="Verdana"/>
          <w:sz w:val="20"/>
        </w:rPr>
        <w:tab/>
        <w:t xml:space="preserve">em 19 de setembro de 1995, a </w:t>
      </w:r>
      <w:r w:rsidR="009F18E7">
        <w:rPr>
          <w:rFonts w:ascii="Verdana" w:hAnsi="Verdana"/>
          <w:sz w:val="20"/>
        </w:rPr>
        <w:t>Sala Civil</w:t>
      </w:r>
      <w:r w:rsidRPr="002818E7">
        <w:rPr>
          <w:rFonts w:ascii="Verdana" w:hAnsi="Verdana"/>
          <w:sz w:val="20"/>
        </w:rPr>
        <w:t xml:space="preserve"> do Tribunal de Apelações da Sexta Região de Matagalpa declarou inadmissível</w:t>
      </w:r>
      <w:r w:rsidR="00425579">
        <w:rPr>
          <w:rFonts w:ascii="Verdana" w:hAnsi="Verdana"/>
          <w:sz w:val="20"/>
        </w:rPr>
        <w:t>,</w:t>
      </w:r>
      <w:r w:rsidRPr="002818E7">
        <w:rPr>
          <w:rFonts w:ascii="Verdana" w:hAnsi="Verdana"/>
          <w:sz w:val="20"/>
        </w:rPr>
        <w:t xml:space="preserve"> “por </w:t>
      </w:r>
      <w:r w:rsidR="00425579">
        <w:rPr>
          <w:rFonts w:ascii="Verdana" w:hAnsi="Verdana"/>
          <w:sz w:val="20"/>
        </w:rPr>
        <w:t xml:space="preserve">ser </w:t>
      </w:r>
      <w:r w:rsidRPr="002818E7">
        <w:rPr>
          <w:rFonts w:ascii="Verdana" w:hAnsi="Verdana"/>
          <w:sz w:val="20"/>
        </w:rPr>
        <w:t>improcedente”</w:t>
      </w:r>
      <w:r w:rsidR="00425579">
        <w:rPr>
          <w:rFonts w:ascii="Verdana" w:hAnsi="Verdana"/>
          <w:sz w:val="20"/>
        </w:rPr>
        <w:t>,</w:t>
      </w:r>
      <w:r w:rsidRPr="002818E7">
        <w:rPr>
          <w:rFonts w:ascii="Verdana" w:hAnsi="Verdana"/>
          <w:sz w:val="20"/>
        </w:rPr>
        <w:t xml:space="preserve"> o recurso de amparo, baseando-se em que a Comunidade havia consentido tacitamente </w:t>
      </w:r>
      <w:r w:rsidR="00425579">
        <w:rPr>
          <w:rFonts w:ascii="Verdana" w:hAnsi="Verdana"/>
          <w:sz w:val="20"/>
        </w:rPr>
        <w:t>à</w:t>
      </w:r>
      <w:r w:rsidRPr="002818E7">
        <w:rPr>
          <w:rFonts w:ascii="Verdana" w:hAnsi="Verdana"/>
          <w:sz w:val="20"/>
        </w:rPr>
        <w:t xml:space="preserve"> </w:t>
      </w:r>
      <w:r w:rsidR="009E50CD">
        <w:rPr>
          <w:rFonts w:ascii="Verdana" w:hAnsi="Verdana"/>
          <w:sz w:val="20"/>
        </w:rPr>
        <w:t>outorga da concessão</w:t>
      </w:r>
      <w:r w:rsidRPr="002818E7">
        <w:rPr>
          <w:rFonts w:ascii="Verdana" w:hAnsi="Verdana"/>
          <w:sz w:val="20"/>
        </w:rPr>
        <w:t xml:space="preserve">, em virtude de que a recorrente deixou transcorrer, antes de apresentar este recurso, os </w:t>
      </w:r>
      <w:r w:rsidR="0026644B">
        <w:rPr>
          <w:rFonts w:ascii="Verdana" w:hAnsi="Verdana"/>
          <w:sz w:val="20"/>
        </w:rPr>
        <w:t>30</w:t>
      </w:r>
      <w:r w:rsidRPr="002818E7">
        <w:rPr>
          <w:rFonts w:ascii="Verdana" w:hAnsi="Verdana"/>
          <w:sz w:val="20"/>
        </w:rPr>
        <w:t xml:space="preserve"> dias contados “desde que a ação ou omissão tenha chegado a seu conhecimento”, conforme a Lei de Amparo. </w:t>
      </w:r>
      <w:r w:rsidR="0026644B">
        <w:rPr>
          <w:rFonts w:ascii="Verdana" w:hAnsi="Verdana"/>
          <w:sz w:val="20"/>
        </w:rPr>
        <w:t>O</w:t>
      </w:r>
      <w:r w:rsidRPr="002818E7">
        <w:rPr>
          <w:rFonts w:ascii="Verdana" w:hAnsi="Verdana"/>
          <w:sz w:val="20"/>
        </w:rPr>
        <w:t xml:space="preserve"> Tribunal considerou que a recorrente teve conhecimento das ações do MARENA desde antes de 11 de julho de 1995, data na qu</w:t>
      </w:r>
      <w:r w:rsidR="00425579">
        <w:rPr>
          <w:rFonts w:ascii="Verdana" w:hAnsi="Verdana"/>
          <w:sz w:val="20"/>
        </w:rPr>
        <w:t>al</w:t>
      </w:r>
      <w:r w:rsidRPr="002818E7">
        <w:rPr>
          <w:rFonts w:ascii="Verdana" w:hAnsi="Verdana"/>
          <w:sz w:val="20"/>
        </w:rPr>
        <w:t xml:space="preserve"> encaminhou uma carta ao Ministro do MARENA </w:t>
      </w:r>
      <w:r w:rsidR="00C60678" w:rsidRPr="00C60678">
        <w:rPr>
          <w:rFonts w:ascii="Verdana" w:hAnsi="Verdana"/>
          <w:sz w:val="20"/>
        </w:rPr>
        <w:t>(</w:t>
      </w:r>
      <w:r w:rsidRPr="002818E7">
        <w:rPr>
          <w:rFonts w:ascii="Verdana" w:hAnsi="Verdana"/>
          <w:sz w:val="20"/>
        </w:rPr>
        <w:t>par</w:t>
      </w:r>
      <w:r w:rsidRPr="006C5157">
        <w:rPr>
          <w:rFonts w:ascii="Verdana" w:hAnsi="Verdana"/>
          <w:sz w:val="20"/>
        </w:rPr>
        <w:t xml:space="preserve">. </w:t>
      </w:r>
      <w:proofErr w:type="gramStart"/>
      <w:r w:rsidRPr="006C5157">
        <w:rPr>
          <w:rFonts w:ascii="Verdana" w:hAnsi="Verdana"/>
          <w:sz w:val="20"/>
        </w:rPr>
        <w:t>103.</w:t>
      </w:r>
      <w:proofErr w:type="gramEnd"/>
      <w:r w:rsidRPr="006C5157">
        <w:rPr>
          <w:rFonts w:ascii="Verdana" w:hAnsi="Verdana"/>
          <w:sz w:val="20"/>
        </w:rPr>
        <w:t>ñ</w:t>
      </w:r>
      <w:r w:rsidRPr="002818E7">
        <w:rPr>
          <w:rFonts w:ascii="Verdana" w:hAnsi="Verdana"/>
          <w:sz w:val="20"/>
        </w:rPr>
        <w:t xml:space="preserve"> </w:t>
      </w:r>
      <w:r w:rsidRPr="002818E7">
        <w:rPr>
          <w:rFonts w:ascii="Verdana" w:hAnsi="Verdana"/>
          <w:i/>
          <w:sz w:val="20"/>
        </w:rPr>
        <w:t>supra</w:t>
      </w:r>
      <w:r w:rsidR="00C60678" w:rsidRPr="00C60678">
        <w:rPr>
          <w:rFonts w:ascii="Verdana" w:hAnsi="Verdana"/>
          <w:sz w:val="20"/>
        </w:rPr>
        <w:t>)</w:t>
      </w:r>
      <w:r w:rsidRPr="002818E7">
        <w:rPr>
          <w:rFonts w:ascii="Verdana" w:hAnsi="Verdana"/>
          <w:sz w:val="20"/>
        </w:rPr>
        <w:t>;</w:t>
      </w:r>
      <w:r w:rsidRPr="002818E7">
        <w:rPr>
          <w:rStyle w:val="Refdenotaalpie"/>
          <w:rFonts w:ascii="Verdana" w:hAnsi="Verdana"/>
          <w:sz w:val="20"/>
        </w:rPr>
        <w:footnoteReference w:id="33"/>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p.</w:t>
      </w:r>
      <w:proofErr w:type="gramEnd"/>
      <w:r w:rsidRPr="002818E7">
        <w:rPr>
          <w:rFonts w:ascii="Verdana" w:hAnsi="Verdana"/>
          <w:sz w:val="20"/>
        </w:rPr>
        <w:t>iii</w:t>
      </w:r>
      <w:r w:rsidR="00C60678" w:rsidRPr="00C60678">
        <w:rPr>
          <w:rFonts w:ascii="Verdana" w:hAnsi="Verdana"/>
          <w:sz w:val="20"/>
        </w:rPr>
        <w:t>)</w:t>
      </w:r>
      <w:r w:rsidRPr="002818E7">
        <w:rPr>
          <w:rFonts w:ascii="Verdana" w:hAnsi="Verdana"/>
          <w:sz w:val="20"/>
        </w:rPr>
        <w:tab/>
        <w:t>em 21 de setembro de 1995</w:t>
      </w:r>
      <w:r>
        <w:rPr>
          <w:rFonts w:ascii="Verdana" w:hAnsi="Verdana"/>
          <w:sz w:val="20"/>
        </w:rPr>
        <w:t>,</w:t>
      </w:r>
      <w:r w:rsidRPr="002818E7">
        <w:rPr>
          <w:rFonts w:ascii="Verdana" w:hAnsi="Verdana"/>
          <w:sz w:val="20"/>
        </w:rPr>
        <w:t xml:space="preserve"> María Luisa Acosta Castellón, em seu caráter de procuradora especial de Jaime Castillo Felipe, Marcial Salomón Sebastián e Siriaco Castillo Fenley, representantes da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interpôs um recurso de amparo pela via de fato </w:t>
      </w:r>
      <w:r>
        <w:rPr>
          <w:rFonts w:ascii="Verdana" w:hAnsi="Verdana"/>
          <w:sz w:val="20"/>
        </w:rPr>
        <w:t>per</w:t>
      </w:r>
      <w:r w:rsidRPr="002818E7">
        <w:rPr>
          <w:rFonts w:ascii="Verdana" w:hAnsi="Verdana"/>
          <w:sz w:val="20"/>
        </w:rPr>
        <w:t>ante a Corte Suprema de Justiça, mediante o qual expressou que a Comunidade e seus membros não haviam consentido</w:t>
      </w:r>
      <w:r w:rsidR="00425579">
        <w:rPr>
          <w:rFonts w:ascii="Verdana" w:hAnsi="Verdana"/>
          <w:sz w:val="20"/>
        </w:rPr>
        <w:t xml:space="preserve"> com</w:t>
      </w:r>
      <w:r w:rsidRPr="002818E7">
        <w:rPr>
          <w:rFonts w:ascii="Verdana" w:hAnsi="Verdana"/>
          <w:sz w:val="20"/>
        </w:rPr>
        <w:t xml:space="preserve"> o processo da concessão; que o recurso “</w:t>
      </w:r>
      <w:r>
        <w:rPr>
          <w:rFonts w:ascii="Verdana" w:hAnsi="Verdana"/>
          <w:sz w:val="20"/>
        </w:rPr>
        <w:t>foi apresentado</w:t>
      </w:r>
      <w:r w:rsidRPr="002818E7">
        <w:rPr>
          <w:rFonts w:ascii="Verdana" w:hAnsi="Verdana"/>
          <w:sz w:val="20"/>
        </w:rPr>
        <w:t xml:space="preserve"> contra ações que se esta[vam] cometendo na atualidade[, já que d]iariamente a Comunidade e seus membros t[inham] conhecimento de novas violações”, e que, em consequência, os trinta dias para apresentar o recurso de amparo “</w:t>
      </w:r>
      <w:r>
        <w:rPr>
          <w:rFonts w:ascii="Verdana" w:hAnsi="Verdana"/>
          <w:sz w:val="20"/>
        </w:rPr>
        <w:t xml:space="preserve">poderiam </w:t>
      </w:r>
      <w:r w:rsidRPr="002818E7">
        <w:rPr>
          <w:rFonts w:ascii="Verdana" w:hAnsi="Verdana"/>
          <w:sz w:val="20"/>
        </w:rPr>
        <w:t>[…]</w:t>
      </w:r>
      <w:r>
        <w:rPr>
          <w:rFonts w:ascii="Verdana" w:hAnsi="Verdana"/>
          <w:sz w:val="20"/>
        </w:rPr>
        <w:t>começar</w:t>
      </w:r>
      <w:r w:rsidRPr="002818E7">
        <w:rPr>
          <w:rFonts w:ascii="Verdana" w:hAnsi="Verdana"/>
          <w:sz w:val="20"/>
        </w:rPr>
        <w:t xml:space="preserve"> a conta</w:t>
      </w:r>
      <w:r w:rsidR="000113D7">
        <w:rPr>
          <w:rFonts w:ascii="Verdana" w:hAnsi="Verdana"/>
          <w:sz w:val="20"/>
        </w:rPr>
        <w:t xml:space="preserve">r [a] partir da última violação </w:t>
      </w:r>
      <w:r w:rsidR="00425579">
        <w:rPr>
          <w:rFonts w:ascii="Verdana" w:hAnsi="Verdana"/>
          <w:sz w:val="20"/>
        </w:rPr>
        <w:t>da qual</w:t>
      </w:r>
      <w:r w:rsidR="00425579" w:rsidRPr="002818E7">
        <w:rPr>
          <w:rFonts w:ascii="Verdana" w:hAnsi="Verdana"/>
          <w:sz w:val="20"/>
        </w:rPr>
        <w:t xml:space="preserve"> </w:t>
      </w:r>
      <w:r w:rsidRPr="002818E7">
        <w:rPr>
          <w:rFonts w:ascii="Verdana" w:hAnsi="Verdana"/>
          <w:sz w:val="20"/>
        </w:rPr>
        <w:t xml:space="preserve">os membros da Comunidade [tiveram] conhecimento”; </w:t>
      </w:r>
      <w:r w:rsidRPr="002818E7">
        <w:rPr>
          <w:rStyle w:val="Refdenotaalpie"/>
          <w:rFonts w:ascii="Verdana" w:hAnsi="Verdana"/>
          <w:sz w:val="20"/>
        </w:rPr>
        <w:footnoteReference w:id="34"/>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p.</w:t>
      </w:r>
      <w:proofErr w:type="gramEnd"/>
      <w:r w:rsidRPr="002818E7">
        <w:rPr>
          <w:rFonts w:ascii="Verdana" w:hAnsi="Verdana"/>
          <w:sz w:val="20"/>
        </w:rPr>
        <w:t>iv</w:t>
      </w:r>
      <w:r w:rsidR="00C60678" w:rsidRPr="00C60678">
        <w:rPr>
          <w:rFonts w:ascii="Verdana" w:hAnsi="Verdana"/>
          <w:sz w:val="20"/>
        </w:rPr>
        <w:t>)</w:t>
      </w:r>
      <w:r w:rsidRPr="002818E7">
        <w:rPr>
          <w:rFonts w:ascii="Verdana" w:hAnsi="Verdana"/>
          <w:sz w:val="20"/>
        </w:rPr>
        <w:tab/>
        <w:t xml:space="preserve">em 27 de fevereiro de 1997, a </w:t>
      </w:r>
      <w:r w:rsidR="002A016A">
        <w:rPr>
          <w:rFonts w:ascii="Verdana" w:hAnsi="Verdana"/>
          <w:sz w:val="20"/>
        </w:rPr>
        <w:t xml:space="preserve">Sala Constitucional </w:t>
      </w:r>
      <w:r w:rsidRPr="002818E7">
        <w:rPr>
          <w:rFonts w:ascii="Verdana" w:hAnsi="Verdana"/>
          <w:sz w:val="20"/>
        </w:rPr>
        <w:t xml:space="preserve">da Corte Suprema de Justiça declarou </w:t>
      </w:r>
      <w:r>
        <w:rPr>
          <w:rFonts w:ascii="Verdana" w:hAnsi="Verdana"/>
          <w:sz w:val="20"/>
        </w:rPr>
        <w:t>improcedente</w:t>
      </w:r>
      <w:r w:rsidRPr="002818E7">
        <w:rPr>
          <w:rFonts w:ascii="Verdana" w:hAnsi="Verdana"/>
          <w:sz w:val="20"/>
        </w:rPr>
        <w:t xml:space="preserve"> o recurso de amparo pela via de fato, com base nas mesmas considerações sustentadas pela </w:t>
      </w:r>
      <w:r w:rsidR="009F18E7">
        <w:rPr>
          <w:rFonts w:ascii="Verdana" w:hAnsi="Verdana"/>
          <w:sz w:val="20"/>
        </w:rPr>
        <w:t>Sala Civil</w:t>
      </w:r>
      <w:r w:rsidRPr="002818E7">
        <w:rPr>
          <w:rFonts w:ascii="Verdana" w:hAnsi="Verdana"/>
          <w:sz w:val="20"/>
        </w:rPr>
        <w:t xml:space="preserve"> do Tribunal de Apelações da Sexta Região de Matagalpa </w:t>
      </w:r>
      <w:r w:rsidR="00C60678" w:rsidRPr="00C60678">
        <w:rPr>
          <w:rFonts w:ascii="Verdana" w:hAnsi="Verdana"/>
          <w:sz w:val="20"/>
        </w:rPr>
        <w:t>(</w:t>
      </w:r>
      <w:r w:rsidRPr="002818E7">
        <w:rPr>
          <w:rFonts w:ascii="Verdana" w:hAnsi="Verdana"/>
          <w:sz w:val="20"/>
        </w:rPr>
        <w:t>par.</w:t>
      </w:r>
      <w:r w:rsidR="00850A3F">
        <w:rPr>
          <w:rFonts w:ascii="Verdana" w:hAnsi="Verdana"/>
          <w:sz w:val="20"/>
        </w:rPr>
        <w:t xml:space="preserve"> </w:t>
      </w:r>
      <w:r w:rsidRPr="002818E7">
        <w:rPr>
          <w:rFonts w:ascii="Verdana" w:hAnsi="Verdana"/>
          <w:sz w:val="20"/>
        </w:rPr>
        <w:t xml:space="preserve">103.p.ii </w:t>
      </w:r>
      <w:r w:rsidRPr="002818E7">
        <w:rPr>
          <w:rFonts w:ascii="Verdana" w:hAnsi="Verdana"/>
          <w:i/>
          <w:sz w:val="20"/>
        </w:rPr>
        <w:t>supra</w:t>
      </w:r>
      <w:r w:rsidR="00C60678" w:rsidRPr="00C60678">
        <w:rPr>
          <w:rFonts w:ascii="Verdana" w:hAnsi="Verdana"/>
          <w:sz w:val="20"/>
        </w:rPr>
        <w:t>)</w:t>
      </w:r>
      <w:r w:rsidRPr="002818E7">
        <w:rPr>
          <w:rFonts w:ascii="Verdana" w:hAnsi="Verdana"/>
          <w:sz w:val="20"/>
        </w:rPr>
        <w:t xml:space="preserve">; </w:t>
      </w:r>
      <w:r w:rsidRPr="002818E7">
        <w:rPr>
          <w:rStyle w:val="Refdenotaalpie"/>
          <w:rFonts w:ascii="Verdana" w:hAnsi="Verdana"/>
          <w:sz w:val="20"/>
        </w:rPr>
        <w:footnoteReference w:id="35"/>
      </w:r>
      <w:r w:rsidRPr="002818E7">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q.</w:t>
      </w:r>
      <w:proofErr w:type="gramEnd"/>
      <w:r w:rsidRPr="002818E7">
        <w:rPr>
          <w:rFonts w:ascii="Verdana" w:hAnsi="Verdana"/>
          <w:sz w:val="20"/>
        </w:rPr>
        <w:tab/>
        <w:t xml:space="preserve">Recurso de amparo </w:t>
      </w:r>
      <w:r w:rsidR="0026644B">
        <w:rPr>
          <w:rFonts w:ascii="Verdana" w:hAnsi="Verdana"/>
          <w:sz w:val="20"/>
        </w:rPr>
        <w:t xml:space="preserve">(mandado de segurança) </w:t>
      </w:r>
      <w:r w:rsidRPr="002818E7">
        <w:rPr>
          <w:rFonts w:ascii="Verdana" w:hAnsi="Verdana"/>
          <w:sz w:val="20"/>
        </w:rPr>
        <w:t>interposto por membros do Conselho Regional da RAAN:</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q.i</w:t>
      </w:r>
      <w:proofErr w:type="gramEnd"/>
      <w:r w:rsidR="00C60678" w:rsidRPr="00C60678">
        <w:rPr>
          <w:rFonts w:ascii="Verdana" w:hAnsi="Verdana"/>
          <w:sz w:val="20"/>
        </w:rPr>
        <w:t>)</w:t>
      </w:r>
      <w:r w:rsidRPr="002818E7">
        <w:rPr>
          <w:rFonts w:ascii="Verdana" w:hAnsi="Verdana"/>
          <w:sz w:val="20"/>
        </w:rPr>
        <w:tab/>
        <w:t xml:space="preserve">em 29 de março de 1996, Alfonso Smith Warman e Humberto Thompson Sang, membros do Conselho Regional da RAAN, interpuseram um recurso de amparo </w:t>
      </w:r>
      <w:r>
        <w:rPr>
          <w:rFonts w:ascii="Verdana" w:hAnsi="Verdana"/>
          <w:sz w:val="20"/>
        </w:rPr>
        <w:t>per</w:t>
      </w:r>
      <w:r w:rsidRPr="002818E7">
        <w:rPr>
          <w:rFonts w:ascii="Verdana" w:hAnsi="Verdana"/>
          <w:sz w:val="20"/>
        </w:rPr>
        <w:t xml:space="preserve">ante o Tribunal de Apelações de Matagalpa contra Claudio Gutiérrez, Ministro do MARENA, e Alejandro Láinez, Diretor da Administração Florestal Nacional do MARENA, por </w:t>
      </w:r>
      <w:r w:rsidR="00425579">
        <w:rPr>
          <w:rFonts w:ascii="Verdana" w:hAnsi="Verdana"/>
          <w:sz w:val="20"/>
        </w:rPr>
        <w:t>terem</w:t>
      </w:r>
      <w:r w:rsidR="00425579" w:rsidRPr="002818E7">
        <w:rPr>
          <w:rFonts w:ascii="Verdana" w:hAnsi="Verdana"/>
          <w:sz w:val="20"/>
        </w:rPr>
        <w:t xml:space="preserve"> </w:t>
      </w:r>
      <w:r w:rsidRPr="002818E7">
        <w:rPr>
          <w:rFonts w:ascii="Verdana" w:hAnsi="Verdana"/>
          <w:sz w:val="20"/>
        </w:rPr>
        <w:t xml:space="preserve">“assinado e avalizado” a concessão florestal </w:t>
      </w:r>
      <w:r>
        <w:rPr>
          <w:rFonts w:ascii="Verdana" w:hAnsi="Verdana"/>
          <w:sz w:val="20"/>
        </w:rPr>
        <w:t>à</w:t>
      </w:r>
      <w:r w:rsidRPr="002818E7">
        <w:rPr>
          <w:rFonts w:ascii="Verdana" w:hAnsi="Verdana"/>
          <w:sz w:val="20"/>
        </w:rPr>
        <w:t xml:space="preserve"> SOLCARSA, sem que esta houvesse sido discutida e avaliada no pleno do Conselho Regional da RAAN, </w:t>
      </w:r>
      <w:r w:rsidR="002911F8">
        <w:rPr>
          <w:rFonts w:ascii="Verdana" w:hAnsi="Verdana"/>
          <w:sz w:val="20"/>
        </w:rPr>
        <w:t>violando assim o</w:t>
      </w:r>
      <w:r w:rsidRPr="002818E7">
        <w:rPr>
          <w:rFonts w:ascii="Verdana" w:hAnsi="Verdana"/>
          <w:sz w:val="20"/>
        </w:rPr>
        <w:t xml:space="preserve"> artigo 181 da Constituição Política da Nicarágua. Neste recurso solicitaram a suspensão da implementação da concessão assinada e a anulação da mesma;</w:t>
      </w:r>
      <w:proofErr w:type="gramStart"/>
      <w:r w:rsidRPr="002818E7">
        <w:rPr>
          <w:rStyle w:val="Refdenotaalpie"/>
          <w:rFonts w:ascii="Verdana" w:hAnsi="Verdana"/>
          <w:sz w:val="20"/>
        </w:rPr>
        <w:footnoteReference w:id="36"/>
      </w:r>
      <w:proofErr w:type="gramEnd"/>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q.</w:t>
      </w:r>
      <w:proofErr w:type="gramEnd"/>
      <w:r w:rsidRPr="002818E7">
        <w:rPr>
          <w:rFonts w:ascii="Verdana" w:hAnsi="Verdana"/>
          <w:sz w:val="20"/>
        </w:rPr>
        <w:t>ii</w:t>
      </w:r>
      <w:r w:rsidR="00C60678" w:rsidRPr="00C60678">
        <w:rPr>
          <w:rFonts w:ascii="Verdana" w:hAnsi="Verdana"/>
          <w:sz w:val="20"/>
        </w:rPr>
        <w:t>)</w:t>
      </w:r>
      <w:r w:rsidRPr="002818E7">
        <w:rPr>
          <w:rFonts w:ascii="Verdana" w:hAnsi="Verdana"/>
          <w:sz w:val="20"/>
        </w:rPr>
        <w:tab/>
        <w:t xml:space="preserve">em 9 de abril de 1996, a </w:t>
      </w:r>
      <w:r w:rsidR="009F18E7">
        <w:rPr>
          <w:rFonts w:ascii="Verdana" w:hAnsi="Verdana"/>
          <w:sz w:val="20"/>
        </w:rPr>
        <w:t>Sala Civil</w:t>
      </w:r>
      <w:r w:rsidRPr="002818E7">
        <w:rPr>
          <w:rFonts w:ascii="Verdana" w:hAnsi="Verdana"/>
          <w:sz w:val="20"/>
        </w:rPr>
        <w:t xml:space="preserve"> do Tribunal de Apelações de Matagalpa admitiu o recurso de amparo interposto, ordenou </w:t>
      </w:r>
      <w:r w:rsidRPr="00816B0F">
        <w:rPr>
          <w:rFonts w:ascii="Verdana" w:hAnsi="Verdana"/>
          <w:sz w:val="20"/>
        </w:rPr>
        <w:t>colocá-lo</w:t>
      </w:r>
      <w:r w:rsidRPr="002818E7">
        <w:rPr>
          <w:rFonts w:ascii="Verdana" w:hAnsi="Verdana"/>
          <w:sz w:val="20"/>
        </w:rPr>
        <w:t xml:space="preserve"> em conhecimento do Procurador Geral da República, ordenou prevenir os funcionários contra os quais </w:t>
      </w:r>
      <w:r>
        <w:rPr>
          <w:rFonts w:ascii="Verdana" w:hAnsi="Verdana"/>
          <w:sz w:val="20"/>
        </w:rPr>
        <w:t>era dirigido</w:t>
      </w:r>
      <w:r w:rsidRPr="002818E7">
        <w:rPr>
          <w:rFonts w:ascii="Verdana" w:hAnsi="Verdana"/>
          <w:sz w:val="20"/>
        </w:rPr>
        <w:t xml:space="preserve"> o recurso para que apresenta</w:t>
      </w:r>
      <w:r>
        <w:rPr>
          <w:rFonts w:ascii="Verdana" w:hAnsi="Verdana"/>
          <w:sz w:val="20"/>
        </w:rPr>
        <w:t>ssem</w:t>
      </w:r>
      <w:r w:rsidRPr="002818E7">
        <w:rPr>
          <w:rFonts w:ascii="Verdana" w:hAnsi="Verdana"/>
          <w:sz w:val="20"/>
        </w:rPr>
        <w:t xml:space="preserve"> seus relatórios sobre o atuado à Corte Suprema de Justiça e </w:t>
      </w:r>
      <w:r w:rsidR="00425579">
        <w:rPr>
          <w:rFonts w:ascii="Verdana" w:hAnsi="Verdana"/>
          <w:sz w:val="20"/>
        </w:rPr>
        <w:t>concedeu prazo</w:t>
      </w:r>
      <w:r w:rsidRPr="002818E7">
        <w:rPr>
          <w:rFonts w:ascii="Verdana" w:hAnsi="Verdana"/>
          <w:sz w:val="20"/>
        </w:rPr>
        <w:t xml:space="preserve"> </w:t>
      </w:r>
      <w:r w:rsidR="00425579">
        <w:rPr>
          <w:rFonts w:ascii="Verdana" w:hAnsi="Verdana"/>
          <w:sz w:val="20"/>
        </w:rPr>
        <w:t>às</w:t>
      </w:r>
      <w:r w:rsidRPr="002818E7">
        <w:rPr>
          <w:rFonts w:ascii="Verdana" w:hAnsi="Verdana"/>
          <w:sz w:val="20"/>
        </w:rPr>
        <w:t xml:space="preserve"> partes para que se apresenta</w:t>
      </w:r>
      <w:r>
        <w:rPr>
          <w:rFonts w:ascii="Verdana" w:hAnsi="Verdana"/>
          <w:sz w:val="20"/>
        </w:rPr>
        <w:t>ssem</w:t>
      </w:r>
      <w:r w:rsidRPr="002818E7">
        <w:rPr>
          <w:rFonts w:ascii="Verdana" w:hAnsi="Verdana"/>
          <w:sz w:val="20"/>
        </w:rPr>
        <w:t xml:space="preserve"> </w:t>
      </w:r>
      <w:r>
        <w:rPr>
          <w:rFonts w:ascii="Verdana" w:hAnsi="Verdana"/>
          <w:sz w:val="20"/>
        </w:rPr>
        <w:t>per</w:t>
      </w:r>
      <w:r w:rsidRPr="002818E7">
        <w:rPr>
          <w:rFonts w:ascii="Verdana" w:hAnsi="Verdana"/>
          <w:sz w:val="20"/>
        </w:rPr>
        <w:t>ante este último órgão “para fazer uso de seus direitos”.</w:t>
      </w:r>
      <w:r w:rsidR="00850A3F">
        <w:rPr>
          <w:rFonts w:ascii="Verdana" w:hAnsi="Verdana"/>
          <w:sz w:val="20"/>
        </w:rPr>
        <w:t xml:space="preserve"> </w:t>
      </w:r>
      <w:r w:rsidRPr="002818E7">
        <w:rPr>
          <w:rFonts w:ascii="Verdana" w:hAnsi="Verdana"/>
          <w:sz w:val="20"/>
        </w:rPr>
        <w:t xml:space="preserve">Finalmente, denegou </w:t>
      </w:r>
      <w:r w:rsidR="000113D7">
        <w:rPr>
          <w:rFonts w:ascii="Verdana" w:hAnsi="Verdana"/>
          <w:sz w:val="20"/>
        </w:rPr>
        <w:t>o pedido</w:t>
      </w:r>
      <w:r w:rsidRPr="002818E7">
        <w:rPr>
          <w:rFonts w:ascii="Verdana" w:hAnsi="Verdana"/>
          <w:sz w:val="20"/>
        </w:rPr>
        <w:t xml:space="preserve"> de suspender o ato impugnado;</w:t>
      </w:r>
      <w:proofErr w:type="gramStart"/>
      <w:r w:rsidRPr="002818E7">
        <w:rPr>
          <w:rStyle w:val="Refdenotaalpie"/>
          <w:rFonts w:ascii="Verdana" w:hAnsi="Verdana"/>
          <w:sz w:val="20"/>
        </w:rPr>
        <w:footnoteReference w:id="37"/>
      </w:r>
      <w:proofErr w:type="gramEnd"/>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q.</w:t>
      </w:r>
      <w:proofErr w:type="gramEnd"/>
      <w:r w:rsidRPr="002818E7">
        <w:rPr>
          <w:rFonts w:ascii="Verdana" w:hAnsi="Verdana"/>
          <w:sz w:val="20"/>
        </w:rPr>
        <w:t>iii</w:t>
      </w:r>
      <w:r w:rsidR="00C60678" w:rsidRPr="00C60678">
        <w:rPr>
          <w:rFonts w:ascii="Verdana" w:hAnsi="Verdana"/>
          <w:sz w:val="20"/>
        </w:rPr>
        <w:t>)</w:t>
      </w:r>
      <w:r w:rsidRPr="002818E7">
        <w:rPr>
          <w:rFonts w:ascii="Verdana" w:hAnsi="Verdana"/>
          <w:sz w:val="20"/>
        </w:rPr>
        <w:tab/>
      </w:r>
      <w:r w:rsidR="00126E5B">
        <w:rPr>
          <w:rFonts w:ascii="Verdana" w:hAnsi="Verdana"/>
          <w:sz w:val="20"/>
        </w:rPr>
        <w:t xml:space="preserve">por meio da sentença nº 12, de 27 de fevereiro </w:t>
      </w:r>
      <w:r w:rsidRPr="002818E7">
        <w:rPr>
          <w:rFonts w:ascii="Verdana" w:hAnsi="Verdana"/>
          <w:sz w:val="20"/>
        </w:rPr>
        <w:t xml:space="preserve">de 1997, a </w:t>
      </w:r>
      <w:r w:rsidR="002A016A">
        <w:rPr>
          <w:rFonts w:ascii="Verdana" w:hAnsi="Verdana"/>
          <w:sz w:val="20"/>
        </w:rPr>
        <w:t xml:space="preserve">Sala Constitucional </w:t>
      </w:r>
      <w:r w:rsidRPr="002818E7">
        <w:rPr>
          <w:rFonts w:ascii="Verdana" w:hAnsi="Verdana"/>
          <w:sz w:val="20"/>
        </w:rPr>
        <w:t xml:space="preserve">da Corte Suprema de Justiça declarou </w:t>
      </w:r>
      <w:r>
        <w:rPr>
          <w:rFonts w:ascii="Verdana" w:hAnsi="Verdana"/>
          <w:sz w:val="20"/>
        </w:rPr>
        <w:t>procedente</w:t>
      </w:r>
      <w:r w:rsidRPr="002818E7">
        <w:rPr>
          <w:rFonts w:ascii="Verdana" w:hAnsi="Verdana"/>
          <w:sz w:val="20"/>
        </w:rPr>
        <w:t xml:space="preserve"> o recurso de amparo interposto e resolveu que a concessão era inconstitucional, já que “não foi aprovada pelo Conselho Regional [da RAAN], mas pela Junta Diretiva do mesmo, e pelo Coordenador Regional da [RAAN]”, em violação do artigo 181 da Constituição Política da Nicarágua;</w:t>
      </w:r>
      <w:r w:rsidRPr="002818E7">
        <w:rPr>
          <w:rStyle w:val="Refdenotaalpie"/>
          <w:rFonts w:ascii="Verdana" w:hAnsi="Verdana"/>
          <w:sz w:val="20"/>
        </w:rPr>
        <w:footnoteReference w:id="38"/>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q.</w:t>
      </w:r>
      <w:proofErr w:type="gramEnd"/>
      <w:r w:rsidRPr="002818E7">
        <w:rPr>
          <w:rFonts w:ascii="Verdana" w:hAnsi="Verdana"/>
          <w:sz w:val="20"/>
        </w:rPr>
        <w:t>iv</w:t>
      </w:r>
      <w:r w:rsidR="00C60678" w:rsidRPr="00C60678">
        <w:rPr>
          <w:rFonts w:ascii="Verdana" w:hAnsi="Verdana"/>
          <w:sz w:val="20"/>
        </w:rPr>
        <w:t>)</w:t>
      </w:r>
      <w:r w:rsidRPr="002818E7">
        <w:rPr>
          <w:rFonts w:ascii="Verdana" w:hAnsi="Verdana"/>
          <w:sz w:val="20"/>
        </w:rPr>
        <w:tab/>
        <w:t>em 22 de janeiro de 1998, Humberto Thompson Sang, membro do Conselho Regional da RAAN,</w:t>
      </w:r>
      <w:r w:rsidRPr="002818E7">
        <w:rPr>
          <w:rFonts w:ascii="Verdana" w:hAnsi="Verdana"/>
          <w:b/>
          <w:sz w:val="20"/>
        </w:rPr>
        <w:t xml:space="preserve"> </w:t>
      </w:r>
      <w:r w:rsidRPr="002818E7">
        <w:rPr>
          <w:rFonts w:ascii="Verdana" w:hAnsi="Verdana"/>
          <w:sz w:val="20"/>
        </w:rPr>
        <w:t xml:space="preserve">apresentou um escrito </w:t>
      </w:r>
      <w:r>
        <w:rPr>
          <w:rFonts w:ascii="Verdana" w:hAnsi="Verdana"/>
          <w:sz w:val="20"/>
        </w:rPr>
        <w:t>per</w:t>
      </w:r>
      <w:r w:rsidRPr="002818E7">
        <w:rPr>
          <w:rFonts w:ascii="Verdana" w:hAnsi="Verdana"/>
          <w:sz w:val="20"/>
        </w:rPr>
        <w:t xml:space="preserve">ante a </w:t>
      </w:r>
      <w:r w:rsidR="002A016A">
        <w:rPr>
          <w:rFonts w:ascii="Verdana" w:hAnsi="Verdana"/>
          <w:sz w:val="20"/>
        </w:rPr>
        <w:t xml:space="preserve">Sala Constitucional </w:t>
      </w:r>
      <w:r w:rsidRPr="002818E7">
        <w:rPr>
          <w:rFonts w:ascii="Verdana" w:hAnsi="Verdana"/>
          <w:sz w:val="20"/>
        </w:rPr>
        <w:t>da Corte Suprema de Justiça, mediante o qual solicitou a execução da sentença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12 proferida em 27 de fevereiro de 1997;</w:t>
      </w:r>
      <w:r w:rsidRPr="002818E7">
        <w:rPr>
          <w:rStyle w:val="Refdenotaalpie"/>
          <w:rFonts w:ascii="Verdana" w:hAnsi="Verdana"/>
          <w:sz w:val="20"/>
        </w:rPr>
        <w:footnoteReference w:id="39"/>
      </w:r>
      <w:r w:rsidRPr="002818E7">
        <w:rPr>
          <w:rFonts w:ascii="Verdana" w:hAnsi="Verdana"/>
          <w:sz w:val="20"/>
        </w:rPr>
        <w:t xml:space="preserve"> </w:t>
      </w:r>
    </w:p>
    <w:p w:rsidR="00C336FB" w:rsidRPr="002818E7" w:rsidRDefault="00C336FB" w:rsidP="00C336FB">
      <w:pPr>
        <w:jc w:val="both"/>
        <w:rPr>
          <w:rFonts w:ascii="Verdana" w:hAnsi="Verdana"/>
          <w:sz w:val="20"/>
          <w:u w:val="single"/>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lastRenderedPageBreak/>
        <w:t>q.v</w:t>
      </w:r>
      <w:proofErr w:type="gramEnd"/>
      <w:r w:rsidR="00C60678" w:rsidRPr="00C60678">
        <w:rPr>
          <w:rFonts w:ascii="Verdana" w:hAnsi="Verdana"/>
          <w:sz w:val="20"/>
        </w:rPr>
        <w:t>)</w:t>
      </w:r>
      <w:r w:rsidRPr="002818E7">
        <w:rPr>
          <w:rFonts w:ascii="Verdana" w:hAnsi="Verdana"/>
          <w:sz w:val="20"/>
        </w:rPr>
        <w:tab/>
        <w:t xml:space="preserve">em 3 de fevereiro de 1998, a </w:t>
      </w:r>
      <w:r w:rsidR="002A016A">
        <w:rPr>
          <w:rFonts w:ascii="Verdana" w:hAnsi="Verdana"/>
          <w:sz w:val="20"/>
        </w:rPr>
        <w:t xml:space="preserve">Sala Constitucional </w:t>
      </w:r>
      <w:r w:rsidRPr="002818E7">
        <w:rPr>
          <w:rFonts w:ascii="Verdana" w:hAnsi="Verdana"/>
          <w:sz w:val="20"/>
        </w:rPr>
        <w:t>da Corte Suprema de Justiça emitiu uma resolução mediante a qual ordenou colocar em conhecimento do Presidente da República o descumprimento da Sentença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12</w:t>
      </w:r>
      <w:r w:rsidR="00425579">
        <w:rPr>
          <w:rFonts w:ascii="Verdana" w:hAnsi="Verdana"/>
          <w:sz w:val="20"/>
        </w:rPr>
        <w:t>,</w:t>
      </w:r>
      <w:r w:rsidRPr="002818E7">
        <w:rPr>
          <w:rFonts w:ascii="Verdana" w:hAnsi="Verdana"/>
          <w:sz w:val="20"/>
        </w:rPr>
        <w:t xml:space="preserve"> de 27 de fevereiro de 1997</w:t>
      </w:r>
      <w:r w:rsidR="00425579">
        <w:rPr>
          <w:rFonts w:ascii="Verdana" w:hAnsi="Verdana"/>
          <w:sz w:val="20"/>
        </w:rPr>
        <w:t>,</w:t>
      </w:r>
      <w:r w:rsidRPr="002818E7">
        <w:rPr>
          <w:rFonts w:ascii="Verdana" w:hAnsi="Verdana"/>
          <w:sz w:val="20"/>
        </w:rPr>
        <w:t xml:space="preserve"> por parte do Ministro do MARENA, com o fim de que ordena</w:t>
      </w:r>
      <w:r>
        <w:rPr>
          <w:rFonts w:ascii="Verdana" w:hAnsi="Verdana"/>
          <w:sz w:val="20"/>
        </w:rPr>
        <w:t>sse</w:t>
      </w:r>
      <w:r w:rsidRPr="002818E7">
        <w:rPr>
          <w:rFonts w:ascii="Verdana" w:hAnsi="Verdana"/>
          <w:sz w:val="20"/>
        </w:rPr>
        <w:t xml:space="preserve"> a este último o devido cumprimento desta sentença e, ademais, ordenou informar </w:t>
      </w:r>
      <w:r w:rsidR="00425579">
        <w:rPr>
          <w:rFonts w:ascii="Verdana" w:hAnsi="Verdana"/>
          <w:sz w:val="20"/>
        </w:rPr>
        <w:t>a</w:t>
      </w:r>
      <w:r w:rsidRPr="002818E7">
        <w:rPr>
          <w:rFonts w:ascii="Verdana" w:hAnsi="Verdana"/>
          <w:sz w:val="20"/>
        </w:rPr>
        <w:t xml:space="preserve"> Assembleia Nacional a esse respeito;</w:t>
      </w:r>
      <w:r w:rsidRPr="002818E7">
        <w:rPr>
          <w:rStyle w:val="Refdenotaalpie"/>
          <w:rFonts w:ascii="Verdana" w:hAnsi="Verdana"/>
          <w:sz w:val="20"/>
        </w:rPr>
        <w:footnoteReference w:id="40"/>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q.</w:t>
      </w:r>
      <w:proofErr w:type="gramEnd"/>
      <w:r w:rsidRPr="002818E7">
        <w:rPr>
          <w:rFonts w:ascii="Verdana" w:hAnsi="Verdana"/>
          <w:sz w:val="20"/>
        </w:rPr>
        <w:t>vi</w:t>
      </w:r>
      <w:r w:rsidR="00C60678" w:rsidRPr="00C60678">
        <w:rPr>
          <w:rFonts w:ascii="Verdana" w:hAnsi="Verdana"/>
          <w:sz w:val="20"/>
        </w:rPr>
        <w:t>)</w:t>
      </w:r>
      <w:r w:rsidRPr="002818E7">
        <w:rPr>
          <w:rFonts w:ascii="Verdana" w:hAnsi="Verdana"/>
          <w:sz w:val="20"/>
        </w:rPr>
        <w:tab/>
        <w:t>mediante of</w:t>
      </w:r>
      <w:r>
        <w:rPr>
          <w:rFonts w:ascii="Verdana" w:hAnsi="Verdana"/>
          <w:sz w:val="20"/>
        </w:rPr>
        <w:t>í</w:t>
      </w:r>
      <w:r w:rsidRPr="002818E7">
        <w:rPr>
          <w:rFonts w:ascii="Verdana" w:hAnsi="Verdana"/>
          <w:sz w:val="20"/>
        </w:rPr>
        <w:t>cio de 16 de fevereiro de 1998, o Ministro do MARENA comunicou ao Gerente Geral d</w:t>
      </w:r>
      <w:r>
        <w:rPr>
          <w:rFonts w:ascii="Verdana" w:hAnsi="Verdana"/>
          <w:sz w:val="20"/>
        </w:rPr>
        <w:t>a</w:t>
      </w:r>
      <w:r w:rsidRPr="002818E7">
        <w:rPr>
          <w:rFonts w:ascii="Verdana" w:hAnsi="Verdana"/>
          <w:sz w:val="20"/>
        </w:rPr>
        <w:t xml:space="preserve"> SOLCARSA que devia ordenar “a suspensão de toda ação” que estivesse relacionada </w:t>
      </w:r>
      <w:r w:rsidR="0026644B">
        <w:rPr>
          <w:rFonts w:ascii="Verdana" w:hAnsi="Verdana"/>
          <w:sz w:val="20"/>
        </w:rPr>
        <w:t>a</w:t>
      </w:r>
      <w:r w:rsidRPr="002818E7">
        <w:rPr>
          <w:rFonts w:ascii="Verdana" w:hAnsi="Verdana"/>
          <w:sz w:val="20"/>
        </w:rPr>
        <w:t xml:space="preserve">o </w:t>
      </w:r>
      <w:r w:rsidR="000113D7">
        <w:rPr>
          <w:rFonts w:ascii="Verdana" w:hAnsi="Verdana"/>
          <w:sz w:val="20"/>
        </w:rPr>
        <w:t>convênio</w:t>
      </w:r>
      <w:r w:rsidRPr="002818E7">
        <w:rPr>
          <w:rFonts w:ascii="Verdana" w:hAnsi="Verdana"/>
          <w:sz w:val="20"/>
        </w:rPr>
        <w:t xml:space="preserve"> de </w:t>
      </w:r>
      <w:r w:rsidR="00425579">
        <w:rPr>
          <w:rFonts w:ascii="Verdana" w:hAnsi="Verdana"/>
          <w:sz w:val="20"/>
        </w:rPr>
        <w:t xml:space="preserve">outorga </w:t>
      </w:r>
      <w:r w:rsidRPr="002818E7">
        <w:rPr>
          <w:rFonts w:ascii="Verdana" w:hAnsi="Verdana"/>
          <w:sz w:val="20"/>
        </w:rPr>
        <w:t xml:space="preserve">de concessão florestal, em virtude de que </w:t>
      </w:r>
      <w:r w:rsidR="00425579">
        <w:rPr>
          <w:rFonts w:ascii="Verdana" w:hAnsi="Verdana"/>
          <w:sz w:val="20"/>
        </w:rPr>
        <w:t xml:space="preserve">o </w:t>
      </w:r>
      <w:r w:rsidRPr="002818E7">
        <w:rPr>
          <w:rFonts w:ascii="Verdana" w:hAnsi="Verdana"/>
          <w:sz w:val="20"/>
        </w:rPr>
        <w:t xml:space="preserve">referido </w:t>
      </w:r>
      <w:r w:rsidR="000113D7">
        <w:rPr>
          <w:rFonts w:ascii="Verdana" w:hAnsi="Verdana"/>
          <w:sz w:val="20"/>
        </w:rPr>
        <w:t>convênio</w:t>
      </w:r>
      <w:r w:rsidRPr="002818E7">
        <w:rPr>
          <w:rFonts w:ascii="Verdana" w:hAnsi="Verdana"/>
          <w:sz w:val="20"/>
        </w:rPr>
        <w:t xml:space="preserve"> havia ficado “sem efeito e nenhum valor”, conforme a </w:t>
      </w:r>
      <w:r w:rsidR="00126E5B">
        <w:rPr>
          <w:rFonts w:ascii="Verdana" w:hAnsi="Verdana"/>
          <w:sz w:val="20"/>
        </w:rPr>
        <w:t xml:space="preserve">sentença nº 12, de 27 de fevereiro </w:t>
      </w:r>
      <w:r w:rsidRPr="002818E7">
        <w:rPr>
          <w:rFonts w:ascii="Verdana" w:hAnsi="Verdana"/>
          <w:sz w:val="20"/>
        </w:rPr>
        <w:t xml:space="preserve">de 1997 da Corte Suprema de Justiça; </w:t>
      </w:r>
      <w:r w:rsidRPr="002818E7">
        <w:rPr>
          <w:rStyle w:val="Refdenotaalpie"/>
          <w:rFonts w:ascii="Verdana" w:hAnsi="Verdana"/>
          <w:sz w:val="20"/>
        </w:rPr>
        <w:footnoteReference w:id="41"/>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r.</w:t>
      </w:r>
      <w:proofErr w:type="gramEnd"/>
      <w:r w:rsidRPr="002818E7">
        <w:rPr>
          <w:rFonts w:ascii="Verdana" w:hAnsi="Verdana"/>
          <w:sz w:val="20"/>
        </w:rPr>
        <w:tab/>
        <w:t xml:space="preserve">Segundo recurso de amparo </w:t>
      </w:r>
      <w:r w:rsidR="00067F5C">
        <w:rPr>
          <w:rFonts w:ascii="Verdana" w:hAnsi="Verdana"/>
          <w:sz w:val="20"/>
        </w:rPr>
        <w:t xml:space="preserve">(mandado de segurança) </w:t>
      </w:r>
      <w:r w:rsidRPr="002818E7">
        <w:rPr>
          <w:rFonts w:ascii="Verdana" w:hAnsi="Verdana"/>
          <w:sz w:val="20"/>
        </w:rPr>
        <w:t>interposto por membros da Comunidade Awas Tingni:</w:t>
      </w:r>
    </w:p>
    <w:p w:rsidR="00C336FB" w:rsidRPr="002818E7" w:rsidRDefault="00C336FB" w:rsidP="00C336FB">
      <w:pPr>
        <w:jc w:val="both"/>
        <w:rPr>
          <w:rFonts w:ascii="Verdana" w:hAnsi="Verdana"/>
          <w:sz w:val="20"/>
        </w:rPr>
      </w:pPr>
    </w:p>
    <w:p w:rsidR="00C336FB" w:rsidRDefault="00C336FB" w:rsidP="00C4577F">
      <w:pPr>
        <w:ind w:left="720"/>
        <w:jc w:val="both"/>
        <w:rPr>
          <w:rFonts w:ascii="Verdana" w:hAnsi="Verdana"/>
          <w:sz w:val="20"/>
        </w:rPr>
      </w:pPr>
      <w:proofErr w:type="gramStart"/>
      <w:r w:rsidRPr="002818E7">
        <w:rPr>
          <w:rFonts w:ascii="Verdana" w:hAnsi="Verdana"/>
          <w:sz w:val="20"/>
        </w:rPr>
        <w:t>r.i</w:t>
      </w:r>
      <w:proofErr w:type="gramEnd"/>
      <w:r w:rsidR="00C60678" w:rsidRPr="00C60678">
        <w:rPr>
          <w:rFonts w:ascii="Verdana" w:hAnsi="Verdana"/>
          <w:sz w:val="20"/>
        </w:rPr>
        <w:t>)</w:t>
      </w:r>
      <w:r w:rsidRPr="002818E7">
        <w:rPr>
          <w:rFonts w:ascii="Verdana" w:hAnsi="Verdana"/>
          <w:sz w:val="20"/>
        </w:rPr>
        <w:tab/>
        <w:t>em 7 de novembro de 1997</w:t>
      </w:r>
      <w:r>
        <w:rPr>
          <w:rFonts w:ascii="Verdana" w:hAnsi="Verdana"/>
          <w:sz w:val="20"/>
        </w:rPr>
        <w:t>,</w:t>
      </w:r>
      <w:r w:rsidRPr="002818E7">
        <w:rPr>
          <w:rFonts w:ascii="Verdana" w:hAnsi="Verdana"/>
          <w:sz w:val="20"/>
        </w:rPr>
        <w:t xml:space="preserve"> María Luisa Acosta Castellón, em representação de Benevicto Salomón Mclean, Siriaco Castillo Fenley, Orlando Salomón Felipe e Jotam López Espinoza, os quais compareceram em nome próprio e em representação da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interpôs um recurso de amparo </w:t>
      </w:r>
      <w:r>
        <w:rPr>
          <w:rFonts w:ascii="Verdana" w:hAnsi="Verdana"/>
          <w:sz w:val="20"/>
        </w:rPr>
        <w:t>per</w:t>
      </w:r>
      <w:r w:rsidRPr="002818E7">
        <w:rPr>
          <w:rFonts w:ascii="Verdana" w:hAnsi="Verdana"/>
          <w:sz w:val="20"/>
        </w:rPr>
        <w:t xml:space="preserve">ante a </w:t>
      </w:r>
      <w:r w:rsidR="009F18E7">
        <w:rPr>
          <w:rFonts w:ascii="Verdana" w:hAnsi="Verdana"/>
          <w:sz w:val="20"/>
        </w:rPr>
        <w:t>Sala Civil</w:t>
      </w:r>
      <w:r w:rsidRPr="002818E7">
        <w:rPr>
          <w:rFonts w:ascii="Verdana" w:hAnsi="Verdana"/>
          <w:sz w:val="20"/>
        </w:rPr>
        <w:t xml:space="preserve"> do Tribunal de Apelações da Sexta Região de Matagalpa contra Roberto Stadhagen Vogl, Ministro do MARENA, Roberto Araquistain, Diretor Geral do Serviço Florestal Nacional do MARENA, Jorge Brooks Saldaña, Diretor d</w:t>
      </w:r>
      <w:r w:rsidR="00425579">
        <w:rPr>
          <w:rFonts w:ascii="Verdana" w:hAnsi="Verdana"/>
          <w:sz w:val="20"/>
        </w:rPr>
        <w:t>e</w:t>
      </w:r>
      <w:r w:rsidRPr="002818E7">
        <w:rPr>
          <w:rFonts w:ascii="Verdana" w:hAnsi="Verdana"/>
          <w:sz w:val="20"/>
        </w:rPr>
        <w:t xml:space="preserve"> Administração Florestal Estatal </w:t>
      </w:r>
      <w:r w:rsidR="00C60678" w:rsidRPr="00C60678">
        <w:rPr>
          <w:rFonts w:ascii="Verdana" w:hAnsi="Verdana"/>
          <w:sz w:val="20"/>
        </w:rPr>
        <w:t>(</w:t>
      </w:r>
      <w:r w:rsidRPr="002818E7">
        <w:rPr>
          <w:rFonts w:ascii="Verdana" w:hAnsi="Verdana"/>
          <w:sz w:val="20"/>
        </w:rPr>
        <w:t>ADFOREST</w:t>
      </w:r>
      <w:r w:rsidR="00C60678" w:rsidRPr="00C60678">
        <w:rPr>
          <w:rFonts w:ascii="Verdana" w:hAnsi="Verdana"/>
          <w:sz w:val="20"/>
        </w:rPr>
        <w:t>)</w:t>
      </w:r>
      <w:r w:rsidRPr="002818E7">
        <w:rPr>
          <w:rFonts w:ascii="Verdana" w:hAnsi="Verdana"/>
          <w:sz w:val="20"/>
        </w:rPr>
        <w:t xml:space="preserve"> do MARENA, e de Efraín Osejo e outros, membros da Junta Diretiva do Conselho Regional da RAAN durante os períodos de 1994 a 1996 e de 1996 a 1998. Neste recurso foi solicitado que: a</w:t>
      </w:r>
      <w:r w:rsidR="00C60678" w:rsidRPr="00C60678">
        <w:rPr>
          <w:rFonts w:ascii="Verdana" w:hAnsi="Verdana"/>
          <w:sz w:val="20"/>
        </w:rPr>
        <w:t>)</w:t>
      </w:r>
      <w:r w:rsidRPr="002818E7">
        <w:rPr>
          <w:rFonts w:ascii="Verdana" w:hAnsi="Verdana"/>
          <w:sz w:val="20"/>
        </w:rPr>
        <w:t xml:space="preserve"> </w:t>
      </w:r>
      <w:r>
        <w:rPr>
          <w:rFonts w:ascii="Verdana" w:hAnsi="Verdana"/>
          <w:sz w:val="20"/>
        </w:rPr>
        <w:t>fosse declarada</w:t>
      </w:r>
      <w:r w:rsidRPr="002818E7">
        <w:rPr>
          <w:rFonts w:ascii="Verdana" w:hAnsi="Verdana"/>
          <w:sz w:val="20"/>
        </w:rPr>
        <w:t xml:space="preserve"> nula a concessão </w:t>
      </w:r>
      <w:r>
        <w:rPr>
          <w:rFonts w:ascii="Verdana" w:hAnsi="Verdana"/>
          <w:sz w:val="20"/>
        </w:rPr>
        <w:t>à</w:t>
      </w:r>
      <w:r w:rsidRPr="002818E7">
        <w:rPr>
          <w:rFonts w:ascii="Verdana" w:hAnsi="Verdana"/>
          <w:sz w:val="20"/>
        </w:rPr>
        <w:t xml:space="preserve"> SOLCARSA, por haver sido </w:t>
      </w:r>
      <w:r w:rsidR="00425579">
        <w:rPr>
          <w:rFonts w:ascii="Verdana" w:hAnsi="Verdana"/>
          <w:sz w:val="20"/>
        </w:rPr>
        <w:t>outorgada</w:t>
      </w:r>
      <w:r w:rsidR="00425579" w:rsidRPr="002818E7">
        <w:rPr>
          <w:rFonts w:ascii="Verdana" w:hAnsi="Verdana"/>
          <w:sz w:val="20"/>
        </w:rPr>
        <w:t xml:space="preserve"> </w:t>
      </w:r>
      <w:r w:rsidRPr="002818E7">
        <w:rPr>
          <w:rFonts w:ascii="Verdana" w:hAnsi="Verdana"/>
          <w:sz w:val="20"/>
        </w:rPr>
        <w:t>e ratificada com desconhecimento dos direitos e garantias constitucionais da Comunidade Awas Tingni; b</w:t>
      </w:r>
      <w:r w:rsidR="00C60678" w:rsidRPr="00C60678">
        <w:rPr>
          <w:rFonts w:ascii="Verdana" w:hAnsi="Verdana"/>
          <w:sz w:val="20"/>
        </w:rPr>
        <w:t>)</w:t>
      </w:r>
      <w:r w:rsidRPr="002818E7">
        <w:rPr>
          <w:rFonts w:ascii="Verdana" w:hAnsi="Verdana"/>
          <w:sz w:val="20"/>
        </w:rPr>
        <w:t xml:space="preserve"> </w:t>
      </w:r>
      <w:r>
        <w:rPr>
          <w:rFonts w:ascii="Verdana" w:hAnsi="Verdana"/>
          <w:sz w:val="20"/>
        </w:rPr>
        <w:t>fosse ordenado</w:t>
      </w:r>
      <w:r w:rsidRPr="002818E7">
        <w:rPr>
          <w:rFonts w:ascii="Verdana" w:hAnsi="Verdana"/>
          <w:sz w:val="20"/>
        </w:rPr>
        <w:t xml:space="preserve"> à Junta Diretiva do Conselho Regional da RAAN que de</w:t>
      </w:r>
      <w:r>
        <w:rPr>
          <w:rFonts w:ascii="Verdana" w:hAnsi="Verdana"/>
          <w:sz w:val="20"/>
        </w:rPr>
        <w:t>sse</w:t>
      </w:r>
      <w:r w:rsidRPr="002818E7">
        <w:rPr>
          <w:rFonts w:ascii="Verdana" w:hAnsi="Verdana"/>
          <w:sz w:val="20"/>
        </w:rPr>
        <w:t xml:space="preserve"> trâmite </w:t>
      </w:r>
      <w:r w:rsidR="000113D7">
        <w:rPr>
          <w:rFonts w:ascii="Verdana" w:hAnsi="Verdana"/>
          <w:sz w:val="20"/>
        </w:rPr>
        <w:t>ao</w:t>
      </w:r>
      <w:r w:rsidRPr="002818E7">
        <w:rPr>
          <w:rFonts w:ascii="Verdana" w:hAnsi="Verdana"/>
          <w:sz w:val="20"/>
        </w:rPr>
        <w:t xml:space="preserve"> </w:t>
      </w:r>
      <w:r w:rsidR="000113D7">
        <w:rPr>
          <w:rFonts w:ascii="Verdana" w:hAnsi="Verdana"/>
          <w:sz w:val="20"/>
        </w:rPr>
        <w:t>pedido</w:t>
      </w:r>
      <w:r w:rsidRPr="002818E7">
        <w:rPr>
          <w:rFonts w:ascii="Verdana" w:hAnsi="Verdana"/>
          <w:sz w:val="20"/>
        </w:rPr>
        <w:t xml:space="preserve"> apresentad</w:t>
      </w:r>
      <w:r w:rsidR="000113D7">
        <w:rPr>
          <w:rFonts w:ascii="Verdana" w:hAnsi="Verdana"/>
          <w:sz w:val="20"/>
        </w:rPr>
        <w:t>o</w:t>
      </w:r>
      <w:r w:rsidRPr="002818E7">
        <w:rPr>
          <w:rFonts w:ascii="Verdana" w:hAnsi="Verdana"/>
          <w:sz w:val="20"/>
        </w:rPr>
        <w:t xml:space="preserve"> em março de 1996 com o fim de que “impuls</w:t>
      </w:r>
      <w:r>
        <w:rPr>
          <w:rFonts w:ascii="Verdana" w:hAnsi="Verdana"/>
          <w:sz w:val="20"/>
        </w:rPr>
        <w:t>ionasse</w:t>
      </w:r>
      <w:r w:rsidRPr="002818E7">
        <w:rPr>
          <w:rFonts w:ascii="Verdana" w:hAnsi="Verdana"/>
          <w:sz w:val="20"/>
        </w:rPr>
        <w:t xml:space="preserve"> um processo para alcançar o reconhecimento e [c</w:t>
      </w:r>
      <w:proofErr w:type="gramStart"/>
      <w:r w:rsidRPr="002818E7">
        <w:rPr>
          <w:rFonts w:ascii="Verdana" w:hAnsi="Verdana"/>
          <w:sz w:val="20"/>
        </w:rPr>
        <w:t>]ertificação</w:t>
      </w:r>
      <w:proofErr w:type="gramEnd"/>
      <w:r w:rsidRPr="002818E7">
        <w:rPr>
          <w:rFonts w:ascii="Verdana" w:hAnsi="Verdana"/>
          <w:sz w:val="20"/>
        </w:rPr>
        <w:t xml:space="preserve"> oficial dos direitos de propriedade da Comunidade so</w:t>
      </w:r>
      <w:r w:rsidR="00CE7C4A">
        <w:rPr>
          <w:rFonts w:ascii="Verdana" w:hAnsi="Verdana"/>
          <w:sz w:val="20"/>
        </w:rPr>
        <w:t>bre suas terras ancestrais”; c</w:t>
      </w:r>
      <w:r w:rsidR="00C60678" w:rsidRPr="00C60678">
        <w:rPr>
          <w:rFonts w:ascii="Verdana" w:hAnsi="Verdana"/>
          <w:sz w:val="20"/>
        </w:rPr>
        <w:t>)</w:t>
      </w:r>
      <w:r w:rsidR="00CE7C4A">
        <w:rPr>
          <w:rFonts w:ascii="Verdana" w:hAnsi="Verdana"/>
          <w:sz w:val="20"/>
        </w:rPr>
        <w:t xml:space="preserve"> </w:t>
      </w:r>
      <w:r>
        <w:rPr>
          <w:rFonts w:ascii="Verdana" w:hAnsi="Verdana"/>
          <w:sz w:val="20"/>
        </w:rPr>
        <w:t>fosse ordenado</w:t>
      </w:r>
      <w:r w:rsidRPr="002818E7">
        <w:rPr>
          <w:rFonts w:ascii="Verdana" w:hAnsi="Verdana"/>
          <w:sz w:val="20"/>
        </w:rPr>
        <w:t xml:space="preserve"> “aos funcionários do MARENA não </w:t>
      </w:r>
      <w:r w:rsidR="0026644B">
        <w:rPr>
          <w:rFonts w:ascii="Verdana" w:hAnsi="Verdana"/>
          <w:sz w:val="20"/>
        </w:rPr>
        <w:t>promover</w:t>
      </w:r>
      <w:r w:rsidRPr="002818E7">
        <w:rPr>
          <w:rFonts w:ascii="Verdana" w:hAnsi="Verdana"/>
          <w:sz w:val="20"/>
        </w:rPr>
        <w:t xml:space="preserve"> </w:t>
      </w:r>
      <w:r>
        <w:rPr>
          <w:rFonts w:ascii="Verdana" w:hAnsi="Verdana"/>
          <w:sz w:val="20"/>
        </w:rPr>
        <w:t>a entrega</w:t>
      </w:r>
      <w:r w:rsidRPr="002818E7">
        <w:rPr>
          <w:rFonts w:ascii="Verdana" w:hAnsi="Verdana"/>
          <w:sz w:val="20"/>
        </w:rPr>
        <w:t xml:space="preserve"> de uma concessão para a exploração de [r]ecursos [n]aturais na área concessionada </w:t>
      </w:r>
      <w:r>
        <w:rPr>
          <w:rFonts w:ascii="Verdana" w:hAnsi="Verdana"/>
          <w:sz w:val="20"/>
        </w:rPr>
        <w:t>à</w:t>
      </w:r>
      <w:r w:rsidRPr="002818E7">
        <w:rPr>
          <w:rFonts w:ascii="Verdana" w:hAnsi="Verdana"/>
          <w:sz w:val="20"/>
        </w:rPr>
        <w:t xml:space="preserve"> SOLCARSA, sem estar definida a </w:t>
      </w:r>
      <w:r>
        <w:rPr>
          <w:rFonts w:ascii="Verdana" w:hAnsi="Verdana"/>
          <w:sz w:val="20"/>
        </w:rPr>
        <w:t>posse</w:t>
      </w:r>
      <w:r w:rsidRPr="002818E7">
        <w:rPr>
          <w:rFonts w:ascii="Verdana" w:hAnsi="Verdana"/>
          <w:sz w:val="20"/>
        </w:rPr>
        <w:t xml:space="preserve"> das terras dentro da área ou sem </w:t>
      </w:r>
      <w:r>
        <w:rPr>
          <w:rFonts w:ascii="Verdana" w:hAnsi="Verdana"/>
          <w:sz w:val="20"/>
        </w:rPr>
        <w:t>se ter</w:t>
      </w:r>
      <w:r w:rsidRPr="002818E7">
        <w:rPr>
          <w:rFonts w:ascii="Verdana" w:hAnsi="Verdana"/>
          <w:sz w:val="20"/>
        </w:rPr>
        <w:t xml:space="preserve"> concertado com </w:t>
      </w:r>
      <w:r>
        <w:rPr>
          <w:rFonts w:ascii="Verdana" w:hAnsi="Verdana"/>
          <w:sz w:val="20"/>
        </w:rPr>
        <w:t xml:space="preserve">a </w:t>
      </w:r>
      <w:r w:rsidRPr="002818E7">
        <w:rPr>
          <w:rFonts w:ascii="Verdana" w:hAnsi="Verdana"/>
          <w:sz w:val="20"/>
        </w:rPr>
        <w:t xml:space="preserve">Awas Tingni e qualquer outra Comunidade que tenha </w:t>
      </w:r>
      <w:r>
        <w:rPr>
          <w:rFonts w:ascii="Verdana" w:hAnsi="Verdana"/>
          <w:sz w:val="20"/>
        </w:rPr>
        <w:t>uma reivindicação</w:t>
      </w:r>
      <w:r w:rsidRPr="002818E7">
        <w:rPr>
          <w:rFonts w:ascii="Verdana" w:hAnsi="Verdana"/>
          <w:sz w:val="20"/>
        </w:rPr>
        <w:t xml:space="preserve"> fundad</w:t>
      </w:r>
      <w:r>
        <w:rPr>
          <w:rFonts w:ascii="Verdana" w:hAnsi="Verdana"/>
          <w:sz w:val="20"/>
        </w:rPr>
        <w:t>a</w:t>
      </w:r>
      <w:r w:rsidRPr="002818E7">
        <w:rPr>
          <w:rFonts w:ascii="Verdana" w:hAnsi="Verdana"/>
          <w:sz w:val="20"/>
        </w:rPr>
        <w:t xml:space="preserve"> sobre terras comunais dentro da área”, e d</w:t>
      </w:r>
      <w:r w:rsidR="00C60678" w:rsidRPr="00C60678">
        <w:rPr>
          <w:rFonts w:ascii="Verdana" w:hAnsi="Verdana"/>
          <w:sz w:val="20"/>
        </w:rPr>
        <w:t>)</w:t>
      </w:r>
      <w:r w:rsidRPr="002818E7">
        <w:rPr>
          <w:rFonts w:ascii="Verdana" w:hAnsi="Verdana"/>
          <w:sz w:val="20"/>
        </w:rPr>
        <w:t xml:space="preserve"> </w:t>
      </w:r>
      <w:r>
        <w:rPr>
          <w:rFonts w:ascii="Verdana" w:hAnsi="Verdana"/>
          <w:sz w:val="20"/>
        </w:rPr>
        <w:t xml:space="preserve">fosse suspendido </w:t>
      </w:r>
      <w:r w:rsidRPr="002818E7">
        <w:rPr>
          <w:rFonts w:ascii="Verdana" w:hAnsi="Verdana"/>
          <w:sz w:val="20"/>
        </w:rPr>
        <w:t>o ato impugnado;</w:t>
      </w:r>
      <w:r w:rsidRPr="002818E7">
        <w:rPr>
          <w:rStyle w:val="Refdenotaalpie"/>
          <w:rFonts w:ascii="Verdana" w:hAnsi="Verdana"/>
          <w:sz w:val="20"/>
        </w:rPr>
        <w:footnoteReference w:id="42"/>
      </w:r>
      <w:r w:rsidRPr="002818E7">
        <w:rPr>
          <w:rFonts w:ascii="Verdana" w:hAnsi="Verdana"/>
          <w:sz w:val="20"/>
        </w:rPr>
        <w:t xml:space="preserve"> </w:t>
      </w:r>
    </w:p>
    <w:p w:rsidR="00425579" w:rsidRPr="002818E7" w:rsidRDefault="00425579" w:rsidP="00C4577F">
      <w:pPr>
        <w:ind w:left="720"/>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r.</w:t>
      </w:r>
      <w:proofErr w:type="gramEnd"/>
      <w:r w:rsidRPr="002818E7">
        <w:rPr>
          <w:rFonts w:ascii="Verdana" w:hAnsi="Verdana"/>
          <w:sz w:val="20"/>
        </w:rPr>
        <w:t>ii</w:t>
      </w:r>
      <w:r w:rsidR="00C60678" w:rsidRPr="00C60678">
        <w:rPr>
          <w:rFonts w:ascii="Verdana" w:hAnsi="Verdana"/>
          <w:sz w:val="20"/>
        </w:rPr>
        <w:t>)</w:t>
      </w:r>
      <w:r w:rsidRPr="002818E7">
        <w:rPr>
          <w:rFonts w:ascii="Verdana" w:hAnsi="Verdana"/>
          <w:sz w:val="20"/>
        </w:rPr>
        <w:tab/>
        <w:t xml:space="preserve">em 12 de novembro de 1997, a </w:t>
      </w:r>
      <w:r w:rsidR="009F18E7">
        <w:rPr>
          <w:rFonts w:ascii="Verdana" w:hAnsi="Verdana"/>
          <w:sz w:val="20"/>
        </w:rPr>
        <w:t>Sala Civil</w:t>
      </w:r>
      <w:r w:rsidRPr="002818E7">
        <w:rPr>
          <w:rFonts w:ascii="Verdana" w:hAnsi="Verdana"/>
          <w:sz w:val="20"/>
        </w:rPr>
        <w:t xml:space="preserve"> do Tribunal de Apelações da Sexta Região de Matagalpa admitiu o recurso de amparo; denegou </w:t>
      </w:r>
      <w:r w:rsidR="00BB528C">
        <w:rPr>
          <w:rFonts w:ascii="Verdana" w:hAnsi="Verdana"/>
          <w:sz w:val="20"/>
        </w:rPr>
        <w:t>o pedido</w:t>
      </w:r>
      <w:r w:rsidRPr="002818E7">
        <w:rPr>
          <w:rFonts w:ascii="Verdana" w:hAnsi="Verdana"/>
          <w:sz w:val="20"/>
        </w:rPr>
        <w:t xml:space="preserve"> dos recorrentes de suspender o ato porque “aparentemente o ato est[ava] consumado”; ordenou </w:t>
      </w:r>
      <w:r w:rsidR="00DE5C97">
        <w:rPr>
          <w:rFonts w:ascii="Verdana" w:hAnsi="Verdana"/>
          <w:sz w:val="20"/>
        </w:rPr>
        <w:t>que a decisão fosse conhecida pelo</w:t>
      </w:r>
      <w:r w:rsidRPr="002818E7">
        <w:rPr>
          <w:rFonts w:ascii="Verdana" w:hAnsi="Verdana"/>
          <w:sz w:val="20"/>
        </w:rPr>
        <w:t xml:space="preserve"> Procurador Geral da República, </w:t>
      </w:r>
      <w:r w:rsidR="00C6474D">
        <w:rPr>
          <w:rFonts w:ascii="Verdana" w:hAnsi="Verdana"/>
          <w:sz w:val="20"/>
        </w:rPr>
        <w:t>bem como</w:t>
      </w:r>
      <w:r w:rsidRPr="002818E7">
        <w:rPr>
          <w:rFonts w:ascii="Verdana" w:hAnsi="Verdana"/>
          <w:sz w:val="20"/>
        </w:rPr>
        <w:t xml:space="preserve"> notificar os funcionários recorridos para que apresenta</w:t>
      </w:r>
      <w:r>
        <w:rPr>
          <w:rFonts w:ascii="Verdana" w:hAnsi="Verdana"/>
          <w:sz w:val="20"/>
        </w:rPr>
        <w:t>ssem</w:t>
      </w:r>
      <w:r w:rsidRPr="002818E7">
        <w:rPr>
          <w:rFonts w:ascii="Verdana" w:hAnsi="Verdana"/>
          <w:sz w:val="20"/>
        </w:rPr>
        <w:t xml:space="preserve"> seus relatórios sobre o atuado </w:t>
      </w:r>
      <w:r>
        <w:rPr>
          <w:rFonts w:ascii="Verdana" w:hAnsi="Verdana"/>
          <w:sz w:val="20"/>
        </w:rPr>
        <w:t>per</w:t>
      </w:r>
      <w:r w:rsidRPr="002818E7">
        <w:rPr>
          <w:rFonts w:ascii="Verdana" w:hAnsi="Verdana"/>
          <w:sz w:val="20"/>
        </w:rPr>
        <w:t xml:space="preserve">ante a Corte Suprema de Justiça, e </w:t>
      </w:r>
      <w:r w:rsidR="00425579">
        <w:rPr>
          <w:rFonts w:ascii="Verdana" w:hAnsi="Verdana"/>
          <w:sz w:val="20"/>
        </w:rPr>
        <w:t>concedeu prazo</w:t>
      </w:r>
      <w:r w:rsidRPr="002818E7">
        <w:rPr>
          <w:rFonts w:ascii="Verdana" w:hAnsi="Verdana"/>
          <w:sz w:val="20"/>
        </w:rPr>
        <w:t xml:space="preserve"> </w:t>
      </w:r>
      <w:r w:rsidR="00425579">
        <w:rPr>
          <w:rFonts w:ascii="Verdana" w:hAnsi="Verdana"/>
          <w:sz w:val="20"/>
        </w:rPr>
        <w:t>à</w:t>
      </w:r>
      <w:r w:rsidRPr="002818E7">
        <w:rPr>
          <w:rFonts w:ascii="Verdana" w:hAnsi="Verdana"/>
          <w:sz w:val="20"/>
        </w:rPr>
        <w:t>s partes para que se apresenta</w:t>
      </w:r>
      <w:r>
        <w:rPr>
          <w:rFonts w:ascii="Verdana" w:hAnsi="Verdana"/>
          <w:sz w:val="20"/>
        </w:rPr>
        <w:t>ssem</w:t>
      </w:r>
      <w:r w:rsidRPr="002818E7">
        <w:rPr>
          <w:rFonts w:ascii="Verdana" w:hAnsi="Verdana"/>
          <w:sz w:val="20"/>
        </w:rPr>
        <w:t xml:space="preserve"> </w:t>
      </w:r>
      <w:r>
        <w:rPr>
          <w:rFonts w:ascii="Verdana" w:hAnsi="Verdana"/>
          <w:sz w:val="20"/>
        </w:rPr>
        <w:t>per</w:t>
      </w:r>
      <w:r w:rsidRPr="002818E7">
        <w:rPr>
          <w:rFonts w:ascii="Verdana" w:hAnsi="Verdana"/>
          <w:sz w:val="20"/>
        </w:rPr>
        <w:t>ante este órgão “para fazer uso de seus direitos”;</w:t>
      </w:r>
      <w:r w:rsidRPr="002818E7">
        <w:rPr>
          <w:rStyle w:val="Refdenotaalpie"/>
          <w:rFonts w:ascii="Verdana" w:hAnsi="Verdana"/>
          <w:sz w:val="20"/>
        </w:rPr>
        <w:footnoteReference w:id="43"/>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r.</w:t>
      </w:r>
      <w:proofErr w:type="gramEnd"/>
      <w:r w:rsidRPr="002818E7">
        <w:rPr>
          <w:rFonts w:ascii="Verdana" w:hAnsi="Verdana"/>
          <w:sz w:val="20"/>
        </w:rPr>
        <w:t>iii</w:t>
      </w:r>
      <w:r w:rsidR="00C60678" w:rsidRPr="00C60678">
        <w:rPr>
          <w:rFonts w:ascii="Verdana" w:hAnsi="Verdana"/>
          <w:sz w:val="20"/>
        </w:rPr>
        <w:t>)</w:t>
      </w:r>
      <w:r w:rsidRPr="002818E7">
        <w:rPr>
          <w:rFonts w:ascii="Verdana" w:hAnsi="Verdana"/>
          <w:sz w:val="20"/>
        </w:rPr>
        <w:tab/>
        <w:t xml:space="preserve">em 14 de outubro de 1998, a </w:t>
      </w:r>
      <w:r w:rsidR="002A016A">
        <w:rPr>
          <w:rFonts w:ascii="Verdana" w:hAnsi="Verdana"/>
          <w:sz w:val="20"/>
        </w:rPr>
        <w:t xml:space="preserve">Sala Constitucional </w:t>
      </w:r>
      <w:r w:rsidRPr="002818E7">
        <w:rPr>
          <w:rFonts w:ascii="Verdana" w:hAnsi="Verdana"/>
          <w:sz w:val="20"/>
        </w:rPr>
        <w:t>da Corte Suprema de Justiça declarou “improcedente</w:t>
      </w:r>
      <w:r w:rsidR="00425579">
        <w:rPr>
          <w:rFonts w:ascii="Verdana" w:hAnsi="Verdana"/>
          <w:sz w:val="20"/>
        </w:rPr>
        <w:t>,</w:t>
      </w:r>
      <w:r w:rsidRPr="002818E7">
        <w:rPr>
          <w:rFonts w:ascii="Verdana" w:hAnsi="Verdana"/>
          <w:sz w:val="20"/>
        </w:rPr>
        <w:t xml:space="preserve"> por </w:t>
      </w:r>
      <w:r>
        <w:rPr>
          <w:rFonts w:ascii="Verdana" w:hAnsi="Verdana"/>
          <w:sz w:val="20"/>
        </w:rPr>
        <w:t xml:space="preserve">ser </w:t>
      </w:r>
      <w:r w:rsidRPr="002818E7">
        <w:rPr>
          <w:rFonts w:ascii="Verdana" w:hAnsi="Verdana"/>
          <w:sz w:val="20"/>
        </w:rPr>
        <w:t>extemporâneo</w:t>
      </w:r>
      <w:r w:rsidR="00425579">
        <w:rPr>
          <w:rFonts w:ascii="Verdana" w:hAnsi="Verdana"/>
          <w:sz w:val="20"/>
        </w:rPr>
        <w:t>,</w:t>
      </w:r>
      <w:r w:rsidRPr="002818E7">
        <w:rPr>
          <w:rFonts w:ascii="Verdana" w:hAnsi="Verdana"/>
          <w:sz w:val="20"/>
        </w:rPr>
        <w:t xml:space="preserve"> o recurso de amparo”, fundamentad</w:t>
      </w:r>
      <w:r w:rsidR="00425579">
        <w:rPr>
          <w:rFonts w:ascii="Verdana" w:hAnsi="Verdana"/>
          <w:sz w:val="20"/>
        </w:rPr>
        <w:t>o</w:t>
      </w:r>
      <w:r w:rsidRPr="002818E7">
        <w:rPr>
          <w:rFonts w:ascii="Verdana" w:hAnsi="Verdana"/>
          <w:sz w:val="20"/>
        </w:rPr>
        <w:t xml:space="preserve"> em que os recorrentes deixaram transcorrer, sem </w:t>
      </w:r>
      <w:r w:rsidRPr="00C4577F">
        <w:rPr>
          <w:rFonts w:ascii="Verdana" w:hAnsi="Verdana"/>
          <w:sz w:val="20"/>
        </w:rPr>
        <w:t>interpô-lo,</w:t>
      </w:r>
      <w:r w:rsidRPr="002818E7">
        <w:rPr>
          <w:rFonts w:ascii="Verdana" w:hAnsi="Verdana"/>
          <w:sz w:val="20"/>
        </w:rPr>
        <w:t xml:space="preserve"> os </w:t>
      </w:r>
      <w:r w:rsidR="0026644B">
        <w:rPr>
          <w:rFonts w:ascii="Verdana" w:hAnsi="Verdana"/>
          <w:sz w:val="20"/>
        </w:rPr>
        <w:t>30</w:t>
      </w:r>
      <w:r w:rsidRPr="002818E7">
        <w:rPr>
          <w:rFonts w:ascii="Verdana" w:hAnsi="Verdana"/>
          <w:sz w:val="20"/>
        </w:rPr>
        <w:t xml:space="preserve"> dias contados desde que o ato chegou a</w:t>
      </w:r>
      <w:r w:rsidR="00425579">
        <w:rPr>
          <w:rFonts w:ascii="Verdana" w:hAnsi="Verdana"/>
          <w:sz w:val="20"/>
        </w:rPr>
        <w:t>o</w:t>
      </w:r>
      <w:r w:rsidRPr="002818E7">
        <w:rPr>
          <w:rFonts w:ascii="Verdana" w:hAnsi="Verdana"/>
          <w:sz w:val="20"/>
        </w:rPr>
        <w:t xml:space="preserve"> conhecimento</w:t>
      </w:r>
      <w:r>
        <w:rPr>
          <w:rFonts w:ascii="Verdana" w:hAnsi="Verdana"/>
          <w:sz w:val="20"/>
        </w:rPr>
        <w:t xml:space="preserve"> da parte </w:t>
      </w:r>
      <w:r w:rsidR="00BB528C">
        <w:rPr>
          <w:rFonts w:ascii="Verdana" w:hAnsi="Verdana"/>
          <w:sz w:val="20"/>
        </w:rPr>
        <w:t>lesada</w:t>
      </w:r>
      <w:r>
        <w:rPr>
          <w:rFonts w:ascii="Verdana" w:hAnsi="Verdana"/>
          <w:sz w:val="20"/>
        </w:rPr>
        <w:t xml:space="preserve">. </w:t>
      </w:r>
      <w:r w:rsidR="00425579">
        <w:rPr>
          <w:rFonts w:ascii="Verdana" w:hAnsi="Verdana"/>
          <w:sz w:val="20"/>
        </w:rPr>
        <w:t>A mencionada Sala c</w:t>
      </w:r>
      <w:r w:rsidRPr="002818E7">
        <w:rPr>
          <w:rFonts w:ascii="Verdana" w:hAnsi="Verdana"/>
          <w:sz w:val="20"/>
        </w:rPr>
        <w:t xml:space="preserve">onsiderou, a esse respeito, que em 13 de março de 1996 foi assinada a concessão e os recorrentes tiveram conhecimento desta em data próxima </w:t>
      </w:r>
      <w:r w:rsidR="00425579">
        <w:rPr>
          <w:rFonts w:ascii="Verdana" w:hAnsi="Verdana"/>
          <w:sz w:val="20"/>
        </w:rPr>
        <w:t>à</w:t>
      </w:r>
      <w:r w:rsidRPr="002818E7">
        <w:rPr>
          <w:rFonts w:ascii="Verdana" w:hAnsi="Verdana"/>
          <w:sz w:val="20"/>
        </w:rPr>
        <w:t xml:space="preserve"> sua assinatura;</w:t>
      </w:r>
      <w:proofErr w:type="gramStart"/>
      <w:r w:rsidRPr="002818E7">
        <w:rPr>
          <w:rStyle w:val="Refdenotaalpie"/>
          <w:rFonts w:ascii="Verdana" w:hAnsi="Verdana"/>
          <w:sz w:val="20"/>
        </w:rPr>
        <w:footnoteReference w:id="44"/>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s.</w:t>
      </w:r>
      <w:proofErr w:type="gramEnd"/>
      <w:r w:rsidRPr="002818E7">
        <w:rPr>
          <w:rFonts w:ascii="Verdana" w:hAnsi="Verdana"/>
          <w:sz w:val="20"/>
        </w:rPr>
        <w:tab/>
      </w:r>
      <w:r w:rsidR="00425579">
        <w:rPr>
          <w:rFonts w:ascii="Verdana" w:hAnsi="Verdana"/>
          <w:sz w:val="20"/>
        </w:rPr>
        <w:t>D</w:t>
      </w:r>
      <w:r w:rsidRPr="002818E7">
        <w:rPr>
          <w:rFonts w:ascii="Verdana" w:hAnsi="Verdana"/>
          <w:sz w:val="20"/>
        </w:rPr>
        <w:t xml:space="preserve">esde o ano de 1990 não </w:t>
      </w:r>
      <w:r>
        <w:rPr>
          <w:rFonts w:ascii="Verdana" w:hAnsi="Verdana"/>
          <w:sz w:val="20"/>
        </w:rPr>
        <w:t>foram tituladas</w:t>
      </w:r>
      <w:r w:rsidRPr="002818E7">
        <w:rPr>
          <w:rFonts w:ascii="Verdana" w:hAnsi="Verdana"/>
          <w:sz w:val="20"/>
        </w:rPr>
        <w:t xml:space="preserve"> terras a comunidades indígenas na Nicarágua;</w:t>
      </w:r>
      <w:r w:rsidRPr="002818E7">
        <w:rPr>
          <w:rStyle w:val="Refdenotaalpie"/>
          <w:rFonts w:ascii="Verdana" w:hAnsi="Verdana"/>
          <w:sz w:val="20"/>
        </w:rPr>
        <w:footnoteReference w:id="45"/>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t.</w:t>
      </w:r>
      <w:proofErr w:type="gramEnd"/>
      <w:r w:rsidRPr="002818E7">
        <w:rPr>
          <w:rFonts w:ascii="Verdana" w:hAnsi="Verdana"/>
          <w:sz w:val="20"/>
        </w:rPr>
        <w:tab/>
        <w:t xml:space="preserve">Em 13 de outubro de 1998, o Presidente da Nicarágua apresentou à Assembleia Nacional o projeto de “Lei Orgânica que Regula o Regime de Propriedade </w:t>
      </w:r>
      <w:r w:rsidR="004B5BEA">
        <w:rPr>
          <w:rFonts w:ascii="Verdana" w:hAnsi="Verdana"/>
          <w:sz w:val="20"/>
        </w:rPr>
        <w:t>Comunitária</w:t>
      </w:r>
      <w:r w:rsidR="004B5BEA" w:rsidRPr="002818E7">
        <w:rPr>
          <w:rFonts w:ascii="Verdana" w:hAnsi="Verdana"/>
          <w:sz w:val="20"/>
        </w:rPr>
        <w:t xml:space="preserve"> </w:t>
      </w:r>
      <w:r w:rsidRPr="002818E7">
        <w:rPr>
          <w:rFonts w:ascii="Verdana" w:hAnsi="Verdana"/>
          <w:sz w:val="20"/>
        </w:rPr>
        <w:t xml:space="preserve">das Comunidades Indígenas da Costa Atlântica e BOSAWAS”, que pretende “implementar as disposições contidas nos [a]rtigos 5, 89, 107 e 180 da Constituição Política” por considerar que estas disposições “requerem a existência de um instrumento legal, que regule de maneira específica a delimitação e titulação das </w:t>
      </w:r>
      <w:r w:rsidRPr="002818E7">
        <w:rPr>
          <w:rFonts w:ascii="Verdana" w:hAnsi="Verdana"/>
          <w:sz w:val="20"/>
        </w:rPr>
        <w:lastRenderedPageBreak/>
        <w:t>terras comunitárias indígenas, para materializar os princípios por elas estabelecidos”</w:t>
      </w:r>
      <w:r w:rsidR="00C4577F">
        <w:rPr>
          <w:rFonts w:ascii="Verdana" w:hAnsi="Verdana"/>
          <w:sz w:val="20"/>
        </w:rPr>
        <w:t>.</w:t>
      </w:r>
      <w:r w:rsidRPr="002818E7">
        <w:rPr>
          <w:rStyle w:val="Refdenotaalpie"/>
          <w:rFonts w:ascii="Verdana" w:hAnsi="Verdana"/>
          <w:sz w:val="20"/>
        </w:rPr>
        <w:footnoteReference w:id="46"/>
      </w:r>
      <w:r w:rsidRPr="002818E7">
        <w:rPr>
          <w:rFonts w:ascii="Verdana" w:hAnsi="Verdana"/>
          <w:sz w:val="20"/>
        </w:rPr>
        <w:t xml:space="preserve"> À data em que </w:t>
      </w:r>
      <w:r>
        <w:rPr>
          <w:rFonts w:ascii="Verdana" w:hAnsi="Verdana"/>
          <w:sz w:val="20"/>
        </w:rPr>
        <w:t>é proferida</w:t>
      </w:r>
      <w:r w:rsidRPr="002818E7">
        <w:rPr>
          <w:rFonts w:ascii="Verdana" w:hAnsi="Verdana"/>
          <w:sz w:val="20"/>
        </w:rPr>
        <w:t xml:space="preserve"> a presente Sentença, o referido projeto de lei não </w:t>
      </w:r>
      <w:r>
        <w:rPr>
          <w:rFonts w:ascii="Verdana" w:hAnsi="Verdana"/>
          <w:sz w:val="20"/>
        </w:rPr>
        <w:t>foi</w:t>
      </w:r>
      <w:r w:rsidRPr="002818E7">
        <w:rPr>
          <w:rFonts w:ascii="Verdana" w:hAnsi="Verdana"/>
          <w:sz w:val="20"/>
        </w:rPr>
        <w:t xml:space="preserve"> aprovado como lei na Nicarágua.</w:t>
      </w:r>
    </w:p>
    <w:p w:rsidR="00C336FB" w:rsidRPr="002818E7" w:rsidRDefault="00C336FB" w:rsidP="00C336FB">
      <w:pPr>
        <w:jc w:val="both"/>
        <w:rPr>
          <w:rFonts w:ascii="Verdana" w:hAnsi="Verdana"/>
          <w:sz w:val="20"/>
        </w:rPr>
      </w:pPr>
    </w:p>
    <w:p w:rsidR="00C336FB" w:rsidRPr="002818E7" w:rsidRDefault="00C336FB" w:rsidP="00C336FB">
      <w:pPr>
        <w:jc w:val="center"/>
        <w:rPr>
          <w:rFonts w:ascii="Verdana" w:hAnsi="Verdana"/>
          <w:b/>
          <w:caps/>
          <w:sz w:val="20"/>
        </w:rPr>
      </w:pPr>
      <w:r w:rsidRPr="002818E7">
        <w:rPr>
          <w:rFonts w:ascii="Verdana" w:hAnsi="Verdana"/>
          <w:b/>
          <w:caps/>
          <w:sz w:val="20"/>
        </w:rPr>
        <w:t>VIII</w:t>
      </w:r>
    </w:p>
    <w:p w:rsidR="00C336FB" w:rsidRPr="002818E7" w:rsidRDefault="00C336FB" w:rsidP="00C336FB">
      <w:pPr>
        <w:jc w:val="center"/>
        <w:rPr>
          <w:rFonts w:ascii="Verdana" w:hAnsi="Verdana"/>
          <w:b/>
          <w:caps/>
          <w:sz w:val="20"/>
        </w:rPr>
      </w:pPr>
      <w:r w:rsidRPr="002818E7">
        <w:rPr>
          <w:rFonts w:ascii="Verdana" w:hAnsi="Verdana"/>
          <w:b/>
          <w:caps/>
          <w:sz w:val="20"/>
        </w:rPr>
        <w:t>Violação d</w:t>
      </w:r>
      <w:r>
        <w:rPr>
          <w:rFonts w:ascii="Verdana" w:hAnsi="Verdana"/>
          <w:b/>
          <w:caps/>
          <w:sz w:val="20"/>
        </w:rPr>
        <w:t>O</w:t>
      </w:r>
      <w:r w:rsidRPr="002818E7">
        <w:rPr>
          <w:rFonts w:ascii="Verdana" w:hAnsi="Verdana"/>
          <w:b/>
          <w:caps/>
          <w:sz w:val="20"/>
        </w:rPr>
        <w:t xml:space="preserve"> Artigo 25</w:t>
      </w:r>
    </w:p>
    <w:p w:rsidR="00C336FB" w:rsidRPr="002818E7" w:rsidRDefault="00C336FB" w:rsidP="00C336FB">
      <w:pPr>
        <w:jc w:val="center"/>
        <w:rPr>
          <w:rFonts w:ascii="Verdana" w:hAnsi="Verdana"/>
          <w:sz w:val="20"/>
        </w:rPr>
      </w:pPr>
      <w:r w:rsidRPr="002818E7">
        <w:rPr>
          <w:rFonts w:ascii="Verdana" w:hAnsi="Verdana"/>
          <w:sz w:val="20"/>
        </w:rPr>
        <w:t>Proteção Judicial</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i/>
          <w:sz w:val="20"/>
        </w:rPr>
      </w:pPr>
      <w:r w:rsidRPr="002818E7">
        <w:rPr>
          <w:rFonts w:ascii="Verdana" w:hAnsi="Verdana"/>
          <w:i/>
          <w:sz w:val="20"/>
        </w:rPr>
        <w:t>Alegações da Comissão</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sz w:val="20"/>
        </w:rPr>
      </w:pPr>
      <w:r w:rsidRPr="002818E7">
        <w:rPr>
          <w:rFonts w:ascii="Verdana" w:hAnsi="Verdana"/>
          <w:sz w:val="20"/>
        </w:rPr>
        <w:t>104.</w:t>
      </w:r>
      <w:r w:rsidRPr="002818E7">
        <w:rPr>
          <w:rFonts w:ascii="Verdana" w:hAnsi="Verdana"/>
          <w:sz w:val="20"/>
        </w:rPr>
        <w:tab/>
        <w:t>Quanto ao artigo 25 da Convenção, a Comissão alegou que:</w:t>
      </w:r>
    </w:p>
    <w:p w:rsidR="00C336FB" w:rsidRPr="002818E7" w:rsidRDefault="00C336FB" w:rsidP="00C336FB">
      <w:pPr>
        <w:jc w:val="both"/>
        <w:rPr>
          <w:rFonts w:ascii="Verdana" w:hAnsi="Verdana"/>
          <w:sz w:val="20"/>
        </w:rPr>
      </w:pPr>
    </w:p>
    <w:p w:rsidR="00C336FB" w:rsidRPr="002818E7" w:rsidRDefault="00C336FB" w:rsidP="00C336FB">
      <w:pPr>
        <w:numPr>
          <w:ilvl w:val="0"/>
          <w:numId w:val="9"/>
        </w:numPr>
        <w:ind w:left="709" w:firstLine="11"/>
        <w:jc w:val="both"/>
        <w:rPr>
          <w:rFonts w:ascii="Verdana" w:hAnsi="Verdana"/>
          <w:sz w:val="20"/>
        </w:rPr>
      </w:pPr>
      <w:proofErr w:type="gramStart"/>
      <w:r w:rsidRPr="002818E7">
        <w:rPr>
          <w:rFonts w:ascii="Verdana" w:hAnsi="Verdana"/>
          <w:sz w:val="20"/>
        </w:rPr>
        <w:t>apesar</w:t>
      </w:r>
      <w:proofErr w:type="gramEnd"/>
      <w:r w:rsidRPr="002818E7">
        <w:rPr>
          <w:rFonts w:ascii="Verdana" w:hAnsi="Verdana"/>
          <w:sz w:val="20"/>
        </w:rPr>
        <w:t xml:space="preserve"> de estar consagrada na Constituição Política da Nicarágua </w:t>
      </w:r>
      <w:r w:rsidR="00C60678" w:rsidRPr="00C60678">
        <w:rPr>
          <w:rFonts w:ascii="Verdana" w:hAnsi="Verdana"/>
          <w:sz w:val="20"/>
        </w:rPr>
        <w:t>(</w:t>
      </w:r>
      <w:r w:rsidRPr="002818E7">
        <w:rPr>
          <w:rFonts w:ascii="Verdana" w:hAnsi="Verdana"/>
          <w:sz w:val="20"/>
        </w:rPr>
        <w:t>artigos 45 e 188</w:t>
      </w:r>
      <w:r w:rsidR="00C60678" w:rsidRPr="00C60678">
        <w:rPr>
          <w:rFonts w:ascii="Verdana" w:hAnsi="Verdana"/>
          <w:sz w:val="20"/>
        </w:rPr>
        <w:t>)</w:t>
      </w:r>
      <w:r w:rsidRPr="002818E7">
        <w:rPr>
          <w:rFonts w:ascii="Verdana" w:hAnsi="Verdana"/>
          <w:sz w:val="20"/>
        </w:rPr>
        <w:t xml:space="preserve"> e na legislação nicaraguense </w:t>
      </w:r>
      <w:r w:rsidR="00C60678" w:rsidRPr="00C60678">
        <w:rPr>
          <w:rFonts w:ascii="Verdana" w:hAnsi="Verdana"/>
          <w:sz w:val="20"/>
        </w:rPr>
        <w:t>(</w:t>
      </w:r>
      <w:r w:rsidRPr="002818E7">
        <w:rPr>
          <w:rFonts w:ascii="Verdana" w:hAnsi="Verdana"/>
          <w:sz w:val="20"/>
        </w:rPr>
        <w:t>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49 ou Lei de Amparo</w:t>
      </w:r>
      <w:r w:rsidR="00C60678" w:rsidRPr="00C60678">
        <w:rPr>
          <w:rFonts w:ascii="Verdana" w:hAnsi="Verdana"/>
          <w:sz w:val="20"/>
        </w:rPr>
        <w:t>)</w:t>
      </w:r>
      <w:r w:rsidRPr="002818E7">
        <w:rPr>
          <w:rFonts w:ascii="Verdana" w:hAnsi="Verdana"/>
          <w:sz w:val="20"/>
        </w:rPr>
        <w:t>, a instituição do amparo tem sido absolutamente ineficaz para prevenir que o Estado permita que a empresa estrangeira SOLCARSA destrua e explore as terras que por anos têm pertencido à Comunidade Awas Tingni;</w:t>
      </w:r>
    </w:p>
    <w:p w:rsidR="00C336FB" w:rsidRPr="002818E7" w:rsidRDefault="00C336FB" w:rsidP="00C336FB">
      <w:pPr>
        <w:ind w:left="1440"/>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b</w:t>
      </w:r>
      <w:r w:rsidR="00C60678" w:rsidRPr="00C60678">
        <w:rPr>
          <w:rFonts w:ascii="Verdana" w:hAnsi="Verdana"/>
          <w:sz w:val="20"/>
        </w:rPr>
        <w:t>)</w:t>
      </w:r>
      <w:proofErr w:type="gramEnd"/>
      <w:r w:rsidRPr="002818E7">
        <w:rPr>
          <w:rFonts w:ascii="Verdana" w:hAnsi="Verdana"/>
          <w:sz w:val="20"/>
        </w:rPr>
        <w:tab/>
        <w:t xml:space="preserve">os peticionários recorreram </w:t>
      </w:r>
      <w:r>
        <w:rPr>
          <w:rFonts w:ascii="Verdana" w:hAnsi="Verdana"/>
          <w:sz w:val="20"/>
        </w:rPr>
        <w:t>per</w:t>
      </w:r>
      <w:r w:rsidRPr="002818E7">
        <w:rPr>
          <w:rFonts w:ascii="Verdana" w:hAnsi="Verdana"/>
          <w:sz w:val="20"/>
        </w:rPr>
        <w:t>ante o órgão jurisdicional previsto pela lei</w:t>
      </w:r>
      <w:r w:rsidR="0073190E">
        <w:rPr>
          <w:rFonts w:ascii="Verdana" w:hAnsi="Verdana"/>
          <w:sz w:val="20"/>
        </w:rPr>
        <w:t>,</w:t>
      </w:r>
      <w:r w:rsidRPr="002818E7">
        <w:rPr>
          <w:rFonts w:ascii="Verdana" w:hAnsi="Verdana"/>
          <w:sz w:val="20"/>
        </w:rPr>
        <w:t xml:space="preserve"> com o objet</w:t>
      </w:r>
      <w:r w:rsidR="00B17339">
        <w:rPr>
          <w:rFonts w:ascii="Verdana" w:hAnsi="Verdana"/>
          <w:sz w:val="20"/>
        </w:rPr>
        <w:t>iv</w:t>
      </w:r>
      <w:r w:rsidRPr="002818E7">
        <w:rPr>
          <w:rFonts w:ascii="Verdana" w:hAnsi="Verdana"/>
          <w:sz w:val="20"/>
        </w:rPr>
        <w:t>o de procurar uma reparação judicial que os ampara</w:t>
      </w:r>
      <w:r>
        <w:rPr>
          <w:rFonts w:ascii="Verdana" w:hAnsi="Verdana"/>
          <w:sz w:val="20"/>
        </w:rPr>
        <w:t>sse</w:t>
      </w:r>
      <w:r w:rsidRPr="002818E7">
        <w:rPr>
          <w:rFonts w:ascii="Verdana" w:hAnsi="Verdana"/>
          <w:sz w:val="20"/>
        </w:rPr>
        <w:t xml:space="preserve"> contra atos violatórios de seus direitos constitucionais. O órgão jurisdicional deve </w:t>
      </w:r>
      <w:r>
        <w:rPr>
          <w:rFonts w:ascii="Verdana" w:hAnsi="Verdana"/>
          <w:sz w:val="20"/>
        </w:rPr>
        <w:t>fundamentar</w:t>
      </w:r>
      <w:r w:rsidRPr="002818E7">
        <w:rPr>
          <w:rFonts w:ascii="Verdana" w:hAnsi="Verdana"/>
          <w:sz w:val="20"/>
        </w:rPr>
        <w:t xml:space="preserve"> suas conclusões e deve determinar a procedência ou improcedência da pretensão jurídica que dá origem ao recurso judicial</w:t>
      </w:r>
      <w:r>
        <w:rPr>
          <w:rFonts w:ascii="Verdana" w:hAnsi="Verdana"/>
          <w:sz w:val="20"/>
        </w:rPr>
        <w:t xml:space="preserve"> após</w:t>
      </w:r>
      <w:r w:rsidRPr="002818E7">
        <w:rPr>
          <w:rFonts w:ascii="Verdana" w:hAnsi="Verdana"/>
          <w:sz w:val="20"/>
        </w:rPr>
        <w:t xml:space="preserve"> um procedimento de prova e debate sobre essa alegação.</w:t>
      </w:r>
      <w:r w:rsidR="00850A3F">
        <w:rPr>
          <w:rFonts w:ascii="Verdana" w:hAnsi="Verdana"/>
          <w:sz w:val="20"/>
        </w:rPr>
        <w:t xml:space="preserve"> </w:t>
      </w:r>
      <w:r w:rsidRPr="002818E7">
        <w:rPr>
          <w:rFonts w:ascii="Verdana" w:hAnsi="Verdana"/>
          <w:sz w:val="20"/>
        </w:rPr>
        <w:t xml:space="preserve">O recurso judicial foi ineficaz, já que não reconheceu a violação de direitos, não amparou </w:t>
      </w:r>
      <w:r w:rsidRPr="00057C64">
        <w:rPr>
          <w:rFonts w:ascii="Verdana" w:hAnsi="Verdana"/>
          <w:sz w:val="20"/>
        </w:rPr>
        <w:t>o</w:t>
      </w:r>
      <w:r w:rsidRPr="002818E7">
        <w:rPr>
          <w:rFonts w:ascii="Verdana" w:hAnsi="Verdana"/>
          <w:sz w:val="20"/>
        </w:rPr>
        <w:t xml:space="preserve"> reclamante em seu direito afetado, nem lhe proveu uma reparação adequada.</w:t>
      </w:r>
      <w:r w:rsidR="00850A3F">
        <w:rPr>
          <w:rFonts w:ascii="Verdana" w:hAnsi="Verdana"/>
          <w:b/>
          <w:sz w:val="20"/>
        </w:rPr>
        <w:t xml:space="preserve"> </w:t>
      </w:r>
      <w:r w:rsidRPr="002818E7">
        <w:rPr>
          <w:rFonts w:ascii="Verdana" w:hAnsi="Verdana"/>
          <w:sz w:val="20"/>
        </w:rPr>
        <w:t xml:space="preserve">O tribunal judicial </w:t>
      </w:r>
      <w:r>
        <w:rPr>
          <w:rFonts w:ascii="Verdana" w:hAnsi="Verdana"/>
          <w:sz w:val="20"/>
        </w:rPr>
        <w:t>evitou</w:t>
      </w:r>
      <w:r w:rsidRPr="002818E7">
        <w:rPr>
          <w:rFonts w:ascii="Verdana" w:hAnsi="Verdana"/>
          <w:sz w:val="20"/>
        </w:rPr>
        <w:t xml:space="preserve"> decidir sobre os direitos do peticionário e lhe impediu gozar do direito a uma reparação judicial nos termos do artigo 25 da Convenção;</w:t>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c</w:t>
      </w:r>
      <w:r w:rsidR="00C60678" w:rsidRPr="00C60678">
        <w:rPr>
          <w:rFonts w:ascii="Verdana" w:hAnsi="Verdana"/>
          <w:sz w:val="20"/>
        </w:rPr>
        <w:t>)</w:t>
      </w:r>
      <w:proofErr w:type="gramEnd"/>
      <w:r w:rsidRPr="002818E7">
        <w:rPr>
          <w:rFonts w:ascii="Verdana" w:hAnsi="Verdana"/>
          <w:sz w:val="20"/>
        </w:rPr>
        <w:tab/>
        <w:t xml:space="preserve">quase um ano depois de </w:t>
      </w:r>
      <w:r w:rsidR="00B17339">
        <w:rPr>
          <w:rFonts w:ascii="Verdana" w:hAnsi="Verdana"/>
          <w:sz w:val="20"/>
        </w:rPr>
        <w:t>ter</w:t>
      </w:r>
      <w:r w:rsidR="00B17339" w:rsidRPr="002818E7">
        <w:rPr>
          <w:rFonts w:ascii="Verdana" w:hAnsi="Verdana"/>
          <w:sz w:val="20"/>
        </w:rPr>
        <w:t xml:space="preserve"> </w:t>
      </w:r>
      <w:r w:rsidRPr="002818E7">
        <w:rPr>
          <w:rFonts w:ascii="Verdana" w:hAnsi="Verdana"/>
          <w:sz w:val="20"/>
        </w:rPr>
        <w:t xml:space="preserve">sido admitido o segundo recurso de amparo, a Corte Suprema de Justiça decidiu contra o recurso sem </w:t>
      </w:r>
      <w:r>
        <w:rPr>
          <w:rFonts w:ascii="Verdana" w:hAnsi="Verdana"/>
          <w:sz w:val="20"/>
        </w:rPr>
        <w:t xml:space="preserve">se </w:t>
      </w:r>
      <w:r w:rsidRPr="002818E7">
        <w:rPr>
          <w:rFonts w:ascii="Verdana" w:hAnsi="Verdana"/>
          <w:sz w:val="20"/>
        </w:rPr>
        <w:t>pronunciar sobre o mérito, já que considerou que os peticionários</w:t>
      </w:r>
      <w:r>
        <w:rPr>
          <w:rFonts w:ascii="Verdana" w:hAnsi="Verdana"/>
          <w:sz w:val="20"/>
        </w:rPr>
        <w:t xml:space="preserve"> se</w:t>
      </w:r>
      <w:r w:rsidRPr="002818E7">
        <w:rPr>
          <w:rFonts w:ascii="Verdana" w:hAnsi="Verdana"/>
          <w:sz w:val="20"/>
        </w:rPr>
        <w:t xml:space="preserve"> limitavam a impugnar </w:t>
      </w:r>
      <w:r>
        <w:rPr>
          <w:rFonts w:ascii="Verdana" w:hAnsi="Verdana"/>
          <w:sz w:val="20"/>
        </w:rPr>
        <w:t>a</w:t>
      </w:r>
      <w:r w:rsidRPr="002818E7">
        <w:rPr>
          <w:rFonts w:ascii="Verdana" w:hAnsi="Verdana"/>
          <w:sz w:val="20"/>
        </w:rPr>
        <w:t xml:space="preserve"> </w:t>
      </w:r>
      <w:r w:rsidR="00B17339">
        <w:rPr>
          <w:rFonts w:ascii="Verdana" w:hAnsi="Verdana"/>
          <w:sz w:val="20"/>
        </w:rPr>
        <w:t xml:space="preserve">outorga </w:t>
      </w:r>
      <w:r w:rsidRPr="002818E7">
        <w:rPr>
          <w:rFonts w:ascii="Verdana" w:hAnsi="Verdana"/>
          <w:sz w:val="20"/>
        </w:rPr>
        <w:t xml:space="preserve">inicial da concessão, concluindo em relação </w:t>
      </w:r>
      <w:r w:rsidR="00B17339">
        <w:rPr>
          <w:rFonts w:ascii="Verdana" w:hAnsi="Verdana"/>
          <w:sz w:val="20"/>
        </w:rPr>
        <w:t>a</w:t>
      </w:r>
      <w:r w:rsidR="00B17339" w:rsidRPr="002818E7">
        <w:rPr>
          <w:rFonts w:ascii="Verdana" w:hAnsi="Verdana"/>
          <w:sz w:val="20"/>
        </w:rPr>
        <w:t xml:space="preserve"> </w:t>
      </w:r>
      <w:r w:rsidRPr="002818E7">
        <w:rPr>
          <w:rFonts w:ascii="Verdana" w:hAnsi="Verdana"/>
          <w:sz w:val="20"/>
        </w:rPr>
        <w:t>isso que o recurso era extemporâneo, quando na verdade este recurso impugnava a falta de resposta à demanda territorial por parte da Comunidade e a “suposta” ratificação da concessão pelo Conselho Regional da RA</w:t>
      </w:r>
      <w:r>
        <w:rPr>
          <w:rFonts w:ascii="Verdana" w:hAnsi="Verdana"/>
          <w:sz w:val="20"/>
        </w:rPr>
        <w:t>A</w:t>
      </w:r>
      <w:r w:rsidRPr="002818E7">
        <w:rPr>
          <w:rFonts w:ascii="Verdana" w:hAnsi="Verdana"/>
          <w:sz w:val="20"/>
        </w:rPr>
        <w:t>N em 1997;</w:t>
      </w:r>
    </w:p>
    <w:p w:rsidR="00C336FB" w:rsidRPr="002818E7" w:rsidRDefault="00C336FB" w:rsidP="00C336FB">
      <w:pPr>
        <w:jc w:val="both"/>
        <w:rPr>
          <w:rFonts w:ascii="Verdana" w:hAnsi="Verdana"/>
          <w:b/>
          <w:i/>
          <w:sz w:val="20"/>
        </w:rPr>
      </w:pPr>
    </w:p>
    <w:p w:rsidR="00B17339" w:rsidRDefault="00C336FB" w:rsidP="00496AB4">
      <w:pPr>
        <w:ind w:left="709"/>
        <w:jc w:val="both"/>
        <w:rPr>
          <w:rFonts w:ascii="Verdana" w:hAnsi="Verdana"/>
          <w:sz w:val="20"/>
        </w:rPr>
      </w:pPr>
      <w:proofErr w:type="gramStart"/>
      <w:r w:rsidRPr="002818E7">
        <w:rPr>
          <w:rFonts w:ascii="Verdana" w:hAnsi="Verdana"/>
          <w:sz w:val="20"/>
        </w:rPr>
        <w:t>d</w:t>
      </w:r>
      <w:r w:rsidR="00C60678" w:rsidRPr="00C60678">
        <w:rPr>
          <w:rFonts w:ascii="Verdana" w:hAnsi="Verdana"/>
          <w:sz w:val="20"/>
        </w:rPr>
        <w:t>)</w:t>
      </w:r>
      <w:proofErr w:type="gramEnd"/>
      <w:r w:rsidRPr="002818E7">
        <w:rPr>
          <w:rFonts w:ascii="Verdana" w:hAnsi="Verdana"/>
          <w:sz w:val="20"/>
        </w:rPr>
        <w:tab/>
        <w:t xml:space="preserve">a proteção judicial </w:t>
      </w:r>
      <w:r>
        <w:rPr>
          <w:rFonts w:ascii="Verdana" w:hAnsi="Verdana"/>
          <w:sz w:val="20"/>
        </w:rPr>
        <w:t xml:space="preserve">se </w:t>
      </w:r>
      <w:r w:rsidRPr="002818E7">
        <w:rPr>
          <w:rFonts w:ascii="Verdana" w:hAnsi="Verdana"/>
          <w:sz w:val="20"/>
        </w:rPr>
        <w:t>relaciona com a obrigação dos Estados partes de garantir que as autoridades competentes cumpram as decisões judiciais, conforme o artigo 25.2.c da Convenção.</w:t>
      </w:r>
      <w:r w:rsidR="00850A3F">
        <w:rPr>
          <w:rFonts w:ascii="Verdana" w:hAnsi="Verdana"/>
          <w:sz w:val="20"/>
        </w:rPr>
        <w:t xml:space="preserve"> </w:t>
      </w:r>
      <w:r w:rsidRPr="002818E7">
        <w:rPr>
          <w:rFonts w:ascii="Verdana" w:hAnsi="Verdana"/>
          <w:sz w:val="20"/>
        </w:rPr>
        <w:t xml:space="preserve">Entretanto, no único caso compreendido dentro dos fatos deste processo, </w:t>
      </w:r>
      <w:r w:rsidR="00B17339">
        <w:rPr>
          <w:rFonts w:ascii="Verdana" w:hAnsi="Verdana"/>
          <w:sz w:val="20"/>
        </w:rPr>
        <w:t>no</w:t>
      </w:r>
      <w:r w:rsidR="00B17339" w:rsidRPr="002818E7">
        <w:rPr>
          <w:rFonts w:ascii="Verdana" w:hAnsi="Verdana"/>
          <w:sz w:val="20"/>
        </w:rPr>
        <w:t xml:space="preserve"> </w:t>
      </w:r>
      <w:r w:rsidRPr="002818E7">
        <w:rPr>
          <w:rFonts w:ascii="Verdana" w:hAnsi="Verdana"/>
          <w:sz w:val="20"/>
        </w:rPr>
        <w:t>qu</w:t>
      </w:r>
      <w:r w:rsidR="00B17339">
        <w:rPr>
          <w:rFonts w:ascii="Verdana" w:hAnsi="Verdana"/>
          <w:sz w:val="20"/>
        </w:rPr>
        <w:t>al</w:t>
      </w:r>
      <w:r w:rsidRPr="002818E7">
        <w:rPr>
          <w:rFonts w:ascii="Verdana" w:hAnsi="Verdana"/>
          <w:sz w:val="20"/>
        </w:rPr>
        <w:t xml:space="preserve"> foi decidido o recurso de amparo, o Estado ignorou a decisão judicial emitida </w:t>
      </w:r>
      <w:r w:rsidR="00B17339">
        <w:rPr>
          <w:rFonts w:ascii="Verdana" w:hAnsi="Verdana"/>
          <w:sz w:val="20"/>
        </w:rPr>
        <w:t>a</w:t>
      </w:r>
      <w:r w:rsidR="00B17339" w:rsidRPr="002818E7">
        <w:rPr>
          <w:rFonts w:ascii="Verdana" w:hAnsi="Verdana"/>
          <w:sz w:val="20"/>
        </w:rPr>
        <w:t xml:space="preserve"> </w:t>
      </w:r>
      <w:r w:rsidRPr="002818E7">
        <w:rPr>
          <w:rFonts w:ascii="Verdana" w:hAnsi="Verdana"/>
          <w:sz w:val="20"/>
        </w:rPr>
        <w:t>favor das comunidades indígenas, violando o mencionado artigo da Convenção.</w:t>
      </w:r>
      <w:r w:rsidR="00850A3F">
        <w:rPr>
          <w:rFonts w:ascii="Verdana" w:hAnsi="Verdana"/>
          <w:b/>
          <w:i/>
          <w:sz w:val="20"/>
        </w:rPr>
        <w:t xml:space="preserve"> </w:t>
      </w:r>
      <w:r w:rsidRPr="002818E7">
        <w:rPr>
          <w:rFonts w:ascii="Verdana" w:hAnsi="Verdana"/>
          <w:sz w:val="20"/>
        </w:rPr>
        <w:t xml:space="preserve">Ademais, a decisão da Corte Suprema de Justiça </w:t>
      </w:r>
      <w:r w:rsidR="00496AB4">
        <w:rPr>
          <w:rFonts w:ascii="Verdana" w:hAnsi="Verdana"/>
          <w:sz w:val="20"/>
        </w:rPr>
        <w:t>s</w:t>
      </w:r>
      <w:r>
        <w:rPr>
          <w:rFonts w:ascii="Verdana" w:hAnsi="Verdana"/>
          <w:sz w:val="20"/>
        </w:rPr>
        <w:t xml:space="preserve">e baseou </w:t>
      </w:r>
      <w:r w:rsidRPr="002818E7">
        <w:rPr>
          <w:rFonts w:ascii="Verdana" w:hAnsi="Verdana"/>
          <w:sz w:val="20"/>
        </w:rPr>
        <w:t xml:space="preserve">na </w:t>
      </w:r>
      <w:r w:rsidR="00496AB4" w:rsidRPr="002818E7">
        <w:rPr>
          <w:rFonts w:ascii="Verdana" w:hAnsi="Verdana"/>
          <w:sz w:val="20"/>
        </w:rPr>
        <w:t>omissão</w:t>
      </w:r>
      <w:r w:rsidRPr="002818E7">
        <w:rPr>
          <w:rFonts w:ascii="Verdana" w:hAnsi="Verdana"/>
          <w:sz w:val="20"/>
        </w:rPr>
        <w:t xml:space="preserve"> do </w:t>
      </w:r>
      <w:r w:rsidRPr="002818E7">
        <w:rPr>
          <w:rFonts w:ascii="Verdana" w:hAnsi="Verdana"/>
          <w:sz w:val="20"/>
        </w:rPr>
        <w:lastRenderedPageBreak/>
        <w:t>requisito processual estabelecido no artigo 181 da Constituição Política e não amparou os direitos de propriedade referentes à área objeto da concessão;</w:t>
      </w:r>
    </w:p>
    <w:p w:rsidR="00C336FB" w:rsidRPr="002818E7" w:rsidRDefault="00C336FB" w:rsidP="00496AB4">
      <w:pPr>
        <w:ind w:left="709"/>
        <w:jc w:val="both"/>
        <w:rPr>
          <w:rFonts w:ascii="Verdana" w:hAnsi="Verdana"/>
          <w:b/>
          <w:sz w:val="20"/>
        </w:rPr>
      </w:pPr>
      <w:r w:rsidRPr="002818E7">
        <w:rPr>
          <w:rFonts w:ascii="Verdana" w:hAnsi="Verdana"/>
          <w:b/>
          <w:sz w:val="20"/>
        </w:rPr>
        <w:t xml:space="preserve"> </w:t>
      </w:r>
    </w:p>
    <w:p w:rsidR="00C336FB" w:rsidRPr="002818E7" w:rsidRDefault="00C336FB" w:rsidP="00C336FB">
      <w:pPr>
        <w:ind w:left="709"/>
        <w:jc w:val="both"/>
        <w:rPr>
          <w:rFonts w:ascii="Verdana" w:hAnsi="Verdana"/>
          <w:sz w:val="20"/>
        </w:rPr>
      </w:pPr>
      <w:proofErr w:type="gramStart"/>
      <w:r w:rsidRPr="002818E7">
        <w:rPr>
          <w:rFonts w:ascii="Verdana" w:hAnsi="Verdana"/>
          <w:sz w:val="20"/>
        </w:rPr>
        <w:t>e</w:t>
      </w:r>
      <w:proofErr w:type="gramEnd"/>
      <w:r w:rsidR="00C60678" w:rsidRPr="00C60678">
        <w:rPr>
          <w:rFonts w:ascii="Verdana" w:hAnsi="Verdana"/>
          <w:sz w:val="20"/>
        </w:rPr>
        <w:t>)</w:t>
      </w:r>
      <w:r w:rsidRPr="002818E7">
        <w:rPr>
          <w:rFonts w:ascii="Verdana" w:hAnsi="Verdana"/>
          <w:sz w:val="20"/>
        </w:rPr>
        <w:tab/>
        <w:t>as autoridades nicaraguenses dever</w:t>
      </w:r>
      <w:r w:rsidR="00B17339">
        <w:rPr>
          <w:rFonts w:ascii="Verdana" w:hAnsi="Verdana"/>
          <w:sz w:val="20"/>
        </w:rPr>
        <w:t>i</w:t>
      </w:r>
      <w:r w:rsidRPr="002818E7">
        <w:rPr>
          <w:rFonts w:ascii="Verdana" w:hAnsi="Verdana"/>
          <w:sz w:val="20"/>
        </w:rPr>
        <w:t xml:space="preserve">am </w:t>
      </w:r>
      <w:r w:rsidR="00B17339">
        <w:rPr>
          <w:rFonts w:ascii="Verdana" w:hAnsi="Verdana"/>
          <w:sz w:val="20"/>
        </w:rPr>
        <w:t xml:space="preserve">cumprir </w:t>
      </w:r>
      <w:r w:rsidRPr="002818E7">
        <w:rPr>
          <w:rFonts w:ascii="Verdana" w:hAnsi="Verdana"/>
          <w:sz w:val="20"/>
        </w:rPr>
        <w:t>oportunamente a sentença de 27 de fevereiro de 1997 e, em consequência, suspender de forma urgente e rápida todo ato declarado inconstitucional, a fim de evitar que</w:t>
      </w:r>
      <w:r>
        <w:rPr>
          <w:rFonts w:ascii="Verdana" w:hAnsi="Verdana"/>
          <w:sz w:val="20"/>
        </w:rPr>
        <w:t xml:space="preserve"> a</w:t>
      </w:r>
      <w:r w:rsidR="00496AB4">
        <w:rPr>
          <w:rFonts w:ascii="Verdana" w:hAnsi="Verdana"/>
          <w:sz w:val="20"/>
        </w:rPr>
        <w:t xml:space="preserve"> SOLCARSA perpetra</w:t>
      </w:r>
      <w:r>
        <w:rPr>
          <w:rFonts w:ascii="Verdana" w:hAnsi="Verdana"/>
          <w:sz w:val="20"/>
        </w:rPr>
        <w:t>sse</w:t>
      </w:r>
      <w:r w:rsidRPr="002818E7">
        <w:rPr>
          <w:rFonts w:ascii="Verdana" w:hAnsi="Verdana"/>
          <w:sz w:val="20"/>
        </w:rPr>
        <w:t xml:space="preserve"> danos</w:t>
      </w:r>
      <w:r w:rsidRPr="002818E7">
        <w:rPr>
          <w:rFonts w:ascii="Verdana" w:hAnsi="Verdana"/>
          <w:i/>
          <w:sz w:val="20"/>
        </w:rPr>
        <w:t xml:space="preserve"> </w:t>
      </w:r>
      <w:r w:rsidRPr="002818E7">
        <w:rPr>
          <w:rFonts w:ascii="Verdana" w:hAnsi="Verdana"/>
          <w:sz w:val="20"/>
        </w:rPr>
        <w:t>irreparáveis nas terras da Comunidade</w:t>
      </w:r>
      <w:r>
        <w:rPr>
          <w:rFonts w:ascii="Verdana" w:hAnsi="Verdana"/>
          <w:sz w:val="20"/>
        </w:rPr>
        <w:t xml:space="preserve"> Awas Tingni. </w:t>
      </w:r>
      <w:r w:rsidRPr="002818E7">
        <w:rPr>
          <w:rFonts w:ascii="Verdana" w:hAnsi="Verdana"/>
          <w:sz w:val="20"/>
        </w:rPr>
        <w:t xml:space="preserve">Entretanto, não procederam assim. A Comunidade sofreu durante dois anos a vigência de uma concessão madeireira que atentava contra sua </w:t>
      </w:r>
      <w:r>
        <w:rPr>
          <w:rFonts w:ascii="Verdana" w:hAnsi="Verdana"/>
          <w:sz w:val="20"/>
        </w:rPr>
        <w:t>posse</w:t>
      </w:r>
      <w:r w:rsidRPr="002818E7">
        <w:rPr>
          <w:rFonts w:ascii="Verdana" w:hAnsi="Verdana"/>
          <w:sz w:val="20"/>
        </w:rPr>
        <w:t xml:space="preserve"> tradicional da terra e dos recursos naturais;</w:t>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f</w:t>
      </w:r>
      <w:r w:rsidR="00C60678" w:rsidRPr="00C60678">
        <w:rPr>
          <w:rFonts w:ascii="Verdana" w:hAnsi="Verdana"/>
          <w:sz w:val="20"/>
        </w:rPr>
        <w:t>)</w:t>
      </w:r>
      <w:proofErr w:type="gramEnd"/>
      <w:r w:rsidRPr="002818E7">
        <w:rPr>
          <w:rFonts w:ascii="Verdana" w:hAnsi="Verdana"/>
          <w:sz w:val="20"/>
        </w:rPr>
        <w:tab/>
        <w:t xml:space="preserve">a Comissão foi informada em 6 de maio de 1998 sobre a suspensão da </w:t>
      </w:r>
      <w:r w:rsidR="002A016A">
        <w:rPr>
          <w:rFonts w:ascii="Verdana" w:hAnsi="Verdana"/>
          <w:sz w:val="20"/>
        </w:rPr>
        <w:t>concessão outorgada</w:t>
      </w:r>
      <w:r>
        <w:rPr>
          <w:rFonts w:ascii="Verdana" w:hAnsi="Verdana"/>
          <w:sz w:val="20"/>
        </w:rPr>
        <w:t xml:space="preserve"> à</w:t>
      </w:r>
      <w:r w:rsidRPr="002818E7">
        <w:rPr>
          <w:rFonts w:ascii="Verdana" w:hAnsi="Verdana"/>
          <w:sz w:val="20"/>
        </w:rPr>
        <w:t xml:space="preserve"> SOLCARSA, um ano e meio depois de a Corte Suprema de Justiça </w:t>
      </w:r>
      <w:r w:rsidR="006E6E09">
        <w:rPr>
          <w:rFonts w:ascii="Verdana" w:hAnsi="Verdana"/>
          <w:sz w:val="20"/>
        </w:rPr>
        <w:t>ordenar</w:t>
      </w:r>
      <w:r w:rsidR="006E6E09" w:rsidRPr="002818E7">
        <w:rPr>
          <w:rFonts w:ascii="Verdana" w:hAnsi="Verdana"/>
          <w:sz w:val="20"/>
        </w:rPr>
        <w:t xml:space="preserve"> </w:t>
      </w:r>
      <w:r w:rsidRPr="002818E7">
        <w:rPr>
          <w:rFonts w:ascii="Verdana" w:hAnsi="Verdana"/>
          <w:sz w:val="20"/>
        </w:rPr>
        <w:t xml:space="preserve">esta suspensão e depois </w:t>
      </w:r>
      <w:r w:rsidR="006E6E09">
        <w:rPr>
          <w:rFonts w:ascii="Verdana" w:hAnsi="Verdana"/>
          <w:sz w:val="20"/>
        </w:rPr>
        <w:t>a aprovação</w:t>
      </w:r>
      <w:r w:rsidR="00B17339" w:rsidRPr="002818E7">
        <w:rPr>
          <w:rFonts w:ascii="Verdana" w:hAnsi="Verdana"/>
          <w:sz w:val="20"/>
        </w:rPr>
        <w:t xml:space="preserve"> </w:t>
      </w:r>
      <w:r w:rsidR="006E6E09">
        <w:rPr>
          <w:rFonts w:ascii="Verdana" w:hAnsi="Verdana"/>
          <w:sz w:val="20"/>
        </w:rPr>
        <w:t>d</w:t>
      </w:r>
      <w:r w:rsidRPr="002818E7">
        <w:rPr>
          <w:rFonts w:ascii="Verdana" w:hAnsi="Verdana"/>
          <w:sz w:val="20"/>
        </w:rPr>
        <w:t>o Relatório</w:t>
      </w:r>
      <w:r w:rsidR="006E6E09">
        <w:rPr>
          <w:rFonts w:ascii="Verdana" w:hAnsi="Verdana"/>
          <w:sz w:val="20"/>
        </w:rPr>
        <w:t>, pela Convenção,</w:t>
      </w:r>
      <w:r w:rsidRPr="002818E7">
        <w:rPr>
          <w:rFonts w:ascii="Verdana" w:hAnsi="Verdana"/>
          <w:sz w:val="20"/>
        </w:rPr>
        <w:t xml:space="preserve"> conforme o artigo 50 da Convenção;</w:t>
      </w:r>
      <w:r w:rsidRPr="002818E7">
        <w:rPr>
          <w:rFonts w:ascii="Verdana" w:hAnsi="Verdana"/>
          <w:b/>
          <w:i/>
          <w:sz w:val="20"/>
        </w:rPr>
        <w:t xml:space="preserve"> </w:t>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g</w:t>
      </w:r>
      <w:r w:rsidR="00C60678" w:rsidRPr="00C60678">
        <w:rPr>
          <w:rFonts w:ascii="Verdana" w:hAnsi="Verdana"/>
          <w:sz w:val="20"/>
        </w:rPr>
        <w:t>)</w:t>
      </w:r>
      <w:proofErr w:type="gramEnd"/>
      <w:r w:rsidRPr="002818E7">
        <w:rPr>
          <w:rFonts w:ascii="Verdana" w:hAnsi="Verdana"/>
          <w:sz w:val="20"/>
        </w:rPr>
        <w:tab/>
        <w:t>a resposta da Nicarágua ao Relatório da Comissão constitui uma aceitação de responsabilidade internacional, enquanto reconhece suas obrigações, ao indicar que está em processo de dar cumprimento às recomendações apresentadas nesse relatório;</w:t>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b/>
          <w:i/>
          <w:sz w:val="20"/>
        </w:rPr>
      </w:pPr>
      <w:proofErr w:type="gramStart"/>
      <w:r w:rsidRPr="002818E7">
        <w:rPr>
          <w:rFonts w:ascii="Verdana" w:hAnsi="Verdana"/>
          <w:sz w:val="20"/>
        </w:rPr>
        <w:t>h</w:t>
      </w:r>
      <w:r w:rsidR="00C60678" w:rsidRPr="00C60678">
        <w:rPr>
          <w:rFonts w:ascii="Verdana" w:hAnsi="Verdana"/>
          <w:sz w:val="20"/>
        </w:rPr>
        <w:t>)</w:t>
      </w:r>
      <w:proofErr w:type="gramEnd"/>
      <w:r w:rsidRPr="002818E7">
        <w:rPr>
          <w:rFonts w:ascii="Verdana" w:hAnsi="Verdana"/>
          <w:sz w:val="20"/>
        </w:rPr>
        <w:tab/>
        <w:t xml:space="preserve">a Nicarágua não permite que os indígenas </w:t>
      </w:r>
      <w:r w:rsidR="00B17339">
        <w:rPr>
          <w:rFonts w:ascii="Verdana" w:hAnsi="Verdana"/>
          <w:sz w:val="20"/>
        </w:rPr>
        <w:t>tenham acesso</w:t>
      </w:r>
      <w:r w:rsidR="00B17339" w:rsidRPr="002818E7">
        <w:rPr>
          <w:rFonts w:ascii="Verdana" w:hAnsi="Verdana"/>
          <w:sz w:val="20"/>
        </w:rPr>
        <w:t xml:space="preserve"> </w:t>
      </w:r>
      <w:r w:rsidRPr="002818E7">
        <w:rPr>
          <w:rFonts w:ascii="Verdana" w:hAnsi="Verdana"/>
          <w:sz w:val="20"/>
        </w:rPr>
        <w:t xml:space="preserve">ao Poder Judicial, </w:t>
      </w:r>
      <w:r w:rsidR="00243DA4">
        <w:rPr>
          <w:rFonts w:ascii="Verdana" w:hAnsi="Verdana"/>
          <w:sz w:val="20"/>
        </w:rPr>
        <w:t>de modo que</w:t>
      </w:r>
      <w:r w:rsidRPr="002818E7">
        <w:rPr>
          <w:rFonts w:ascii="Verdana" w:hAnsi="Verdana"/>
          <w:sz w:val="20"/>
        </w:rPr>
        <w:t xml:space="preserve"> os discrimina;</w:t>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b/>
          <w:sz w:val="20"/>
        </w:rPr>
      </w:pPr>
      <w:proofErr w:type="gramStart"/>
      <w:r w:rsidRPr="002818E7">
        <w:rPr>
          <w:rFonts w:ascii="Verdana" w:hAnsi="Verdana"/>
          <w:sz w:val="20"/>
        </w:rPr>
        <w:t>i</w:t>
      </w:r>
      <w:r w:rsidR="00C60678" w:rsidRPr="00C60678">
        <w:rPr>
          <w:rFonts w:ascii="Verdana" w:hAnsi="Verdana"/>
          <w:sz w:val="20"/>
        </w:rPr>
        <w:t>)</w:t>
      </w:r>
      <w:proofErr w:type="gramEnd"/>
      <w:r w:rsidRPr="002818E7">
        <w:rPr>
          <w:rFonts w:ascii="Verdana" w:hAnsi="Verdana"/>
          <w:sz w:val="20"/>
        </w:rPr>
        <w:tab/>
        <w:t>na Nicarágua não existe nenhum procedimento ou mecanismo efetivo para demarcar e titular a terra indígena, especificamente a das comunidades da Costa Atlântica.</w:t>
      </w:r>
      <w:r w:rsidR="00850A3F">
        <w:rPr>
          <w:rFonts w:ascii="Verdana" w:hAnsi="Verdana"/>
          <w:b/>
          <w:sz w:val="20"/>
        </w:rPr>
        <w:t xml:space="preserve"> </w:t>
      </w:r>
      <w:r w:rsidRPr="002818E7">
        <w:rPr>
          <w:rFonts w:ascii="Verdana" w:hAnsi="Verdana"/>
          <w:sz w:val="20"/>
        </w:rPr>
        <w:t xml:space="preserve">A inexistência de um mecanismo efetivo para a titulação e demarcação das terras indígenas </w:t>
      </w:r>
      <w:r>
        <w:rPr>
          <w:rFonts w:ascii="Verdana" w:hAnsi="Verdana"/>
          <w:sz w:val="20"/>
        </w:rPr>
        <w:t>se vê</w:t>
      </w:r>
      <w:r w:rsidRPr="002818E7">
        <w:rPr>
          <w:rFonts w:ascii="Verdana" w:hAnsi="Verdana"/>
          <w:sz w:val="20"/>
        </w:rPr>
        <w:t xml:space="preserve"> claramente no caso de Awas Tingni.</w:t>
      </w:r>
      <w:r w:rsidRPr="002818E7">
        <w:rPr>
          <w:rFonts w:ascii="Verdana" w:hAnsi="Verdana"/>
          <w:b/>
          <w:sz w:val="20"/>
        </w:rPr>
        <w:t xml:space="preserve"> </w:t>
      </w:r>
      <w:r w:rsidRPr="002818E7">
        <w:rPr>
          <w:rFonts w:ascii="Verdana" w:hAnsi="Verdana"/>
          <w:sz w:val="20"/>
        </w:rPr>
        <w:t>A complexidade do assunto de nenhuma maneira d</w:t>
      </w:r>
      <w:r>
        <w:rPr>
          <w:rFonts w:ascii="Verdana" w:hAnsi="Verdana"/>
          <w:sz w:val="20"/>
        </w:rPr>
        <w:t>á</w:t>
      </w:r>
      <w:r w:rsidRPr="002818E7">
        <w:rPr>
          <w:rFonts w:ascii="Verdana" w:hAnsi="Verdana"/>
          <w:sz w:val="20"/>
        </w:rPr>
        <w:t xml:space="preserve"> justificativa ao Estado para não cumprir por anos com o que é seu dever, de acordo com a Convenção Americana, nem para considerar </w:t>
      </w:r>
      <w:r>
        <w:rPr>
          <w:rFonts w:ascii="Verdana" w:hAnsi="Verdana"/>
          <w:sz w:val="20"/>
        </w:rPr>
        <w:t>a</w:t>
      </w:r>
      <w:r w:rsidRPr="002818E7">
        <w:rPr>
          <w:rFonts w:ascii="Verdana" w:hAnsi="Verdana"/>
          <w:sz w:val="20"/>
        </w:rPr>
        <w:t xml:space="preserve">s terras indígenas não tituladas como terras estatais, nem para </w:t>
      </w:r>
      <w:r>
        <w:rPr>
          <w:rFonts w:ascii="Verdana" w:hAnsi="Verdana"/>
          <w:sz w:val="20"/>
        </w:rPr>
        <w:t>entregar</w:t>
      </w:r>
      <w:r w:rsidRPr="002818E7">
        <w:rPr>
          <w:rFonts w:ascii="Verdana" w:hAnsi="Verdana"/>
          <w:sz w:val="20"/>
        </w:rPr>
        <w:t xml:space="preserve"> concessões a companhias estrangeiras nessas terras. Ainda depois que em sua “Constituição de 1986”, o Estado </w:t>
      </w:r>
      <w:r>
        <w:rPr>
          <w:rFonts w:ascii="Verdana" w:hAnsi="Verdana"/>
          <w:sz w:val="20"/>
        </w:rPr>
        <w:t>se comprometeu</w:t>
      </w:r>
      <w:r w:rsidRPr="002818E7">
        <w:rPr>
          <w:rFonts w:ascii="Verdana" w:hAnsi="Verdana"/>
          <w:sz w:val="20"/>
        </w:rPr>
        <w:t xml:space="preserve"> a garantir a propriedade comunal das comunidades indígenas, </w:t>
      </w:r>
      <w:r>
        <w:rPr>
          <w:rFonts w:ascii="Verdana" w:hAnsi="Verdana"/>
          <w:sz w:val="20"/>
        </w:rPr>
        <w:t>transcorreu</w:t>
      </w:r>
      <w:r w:rsidRPr="002818E7">
        <w:rPr>
          <w:rFonts w:ascii="Verdana" w:hAnsi="Verdana"/>
          <w:sz w:val="20"/>
        </w:rPr>
        <w:t xml:space="preserve"> um período extenso sem que isso tenha sido </w:t>
      </w:r>
      <w:r w:rsidR="00B17339">
        <w:rPr>
          <w:rFonts w:ascii="Verdana" w:hAnsi="Verdana"/>
          <w:sz w:val="20"/>
        </w:rPr>
        <w:t>implementado</w:t>
      </w:r>
      <w:r w:rsidR="00B17339" w:rsidRPr="002818E7">
        <w:rPr>
          <w:rFonts w:ascii="Verdana" w:hAnsi="Verdana"/>
          <w:sz w:val="20"/>
        </w:rPr>
        <w:t xml:space="preserve"> </w:t>
      </w:r>
      <w:r w:rsidRPr="002818E7">
        <w:rPr>
          <w:rFonts w:ascii="Verdana" w:hAnsi="Verdana"/>
          <w:sz w:val="20"/>
        </w:rPr>
        <w:t xml:space="preserve">em relação </w:t>
      </w:r>
      <w:proofErr w:type="gramStart"/>
      <w:r>
        <w:rPr>
          <w:rFonts w:ascii="Verdana" w:hAnsi="Verdana"/>
          <w:sz w:val="20"/>
        </w:rPr>
        <w:t>a</w:t>
      </w:r>
      <w:proofErr w:type="gramEnd"/>
      <w:r>
        <w:rPr>
          <w:rFonts w:ascii="Verdana" w:hAnsi="Verdana"/>
          <w:sz w:val="20"/>
        </w:rPr>
        <w:t xml:space="preserve"> </w:t>
      </w:r>
      <w:r w:rsidRPr="002818E7">
        <w:rPr>
          <w:rFonts w:ascii="Verdana" w:hAnsi="Verdana"/>
          <w:sz w:val="20"/>
        </w:rPr>
        <w:t xml:space="preserve">Awas Tingni e muitas outras comunidades indígenas; </w:t>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j</w:t>
      </w:r>
      <w:r w:rsidR="00C60678" w:rsidRPr="00C60678">
        <w:rPr>
          <w:rFonts w:ascii="Verdana" w:hAnsi="Verdana"/>
          <w:sz w:val="20"/>
        </w:rPr>
        <w:t>)</w:t>
      </w:r>
      <w:proofErr w:type="gramEnd"/>
      <w:r w:rsidRPr="002818E7">
        <w:rPr>
          <w:rFonts w:ascii="Verdana" w:hAnsi="Verdana"/>
          <w:sz w:val="20"/>
        </w:rPr>
        <w:tab/>
        <w:t xml:space="preserve">os representantes de Awas Tingni </w:t>
      </w:r>
      <w:r w:rsidR="006E6E09">
        <w:rPr>
          <w:rFonts w:ascii="Verdana" w:hAnsi="Verdana"/>
          <w:sz w:val="20"/>
        </w:rPr>
        <w:t>tomaram várias medidas</w:t>
      </w:r>
      <w:r w:rsidRPr="002818E7">
        <w:rPr>
          <w:rFonts w:ascii="Verdana" w:hAnsi="Verdana"/>
          <w:sz w:val="20"/>
        </w:rPr>
        <w:t xml:space="preserve"> em relação </w:t>
      </w:r>
      <w:r w:rsidR="00B17339">
        <w:rPr>
          <w:rFonts w:ascii="Verdana" w:hAnsi="Verdana"/>
          <w:sz w:val="20"/>
        </w:rPr>
        <w:t>à</w:t>
      </w:r>
      <w:r w:rsidRPr="002818E7">
        <w:rPr>
          <w:rFonts w:ascii="Verdana" w:hAnsi="Verdana"/>
          <w:sz w:val="20"/>
        </w:rPr>
        <w:t xml:space="preserve"> titulação de suas terras </w:t>
      </w:r>
      <w:r>
        <w:rPr>
          <w:rFonts w:ascii="Verdana" w:hAnsi="Verdana"/>
          <w:sz w:val="20"/>
        </w:rPr>
        <w:t>per</w:t>
      </w:r>
      <w:r w:rsidRPr="002818E7">
        <w:rPr>
          <w:rFonts w:ascii="Verdana" w:hAnsi="Verdana"/>
          <w:sz w:val="20"/>
        </w:rPr>
        <w:t xml:space="preserve">ante as autoridades do Estado que </w:t>
      </w:r>
      <w:r>
        <w:rPr>
          <w:rFonts w:ascii="Verdana" w:hAnsi="Verdana"/>
          <w:sz w:val="20"/>
        </w:rPr>
        <w:t>tinham</w:t>
      </w:r>
      <w:r w:rsidRPr="002818E7">
        <w:rPr>
          <w:rFonts w:ascii="Verdana" w:hAnsi="Verdana"/>
          <w:sz w:val="20"/>
        </w:rPr>
        <w:t xml:space="preserve"> alguma competência pertinente, </w:t>
      </w:r>
      <w:r>
        <w:rPr>
          <w:rFonts w:ascii="Verdana" w:hAnsi="Verdana"/>
          <w:sz w:val="20"/>
        </w:rPr>
        <w:t>inclusive per</w:t>
      </w:r>
      <w:r w:rsidRPr="002818E7">
        <w:rPr>
          <w:rFonts w:ascii="Verdana" w:hAnsi="Verdana"/>
          <w:sz w:val="20"/>
        </w:rPr>
        <w:t xml:space="preserve">ante o INRA, instituição que foi indicada pela Nicarágua como a autoridade que tinha </w:t>
      </w:r>
      <w:r w:rsidR="00B17339">
        <w:rPr>
          <w:rFonts w:ascii="Verdana" w:hAnsi="Verdana"/>
          <w:sz w:val="20"/>
        </w:rPr>
        <w:t>a faculdade</w:t>
      </w:r>
      <w:r w:rsidR="00B17339" w:rsidRPr="002818E7">
        <w:rPr>
          <w:rFonts w:ascii="Verdana" w:hAnsi="Verdana"/>
          <w:sz w:val="20"/>
        </w:rPr>
        <w:t xml:space="preserve"> </w:t>
      </w:r>
      <w:r w:rsidRPr="002818E7">
        <w:rPr>
          <w:rFonts w:ascii="Verdana" w:hAnsi="Verdana"/>
          <w:sz w:val="20"/>
        </w:rPr>
        <w:t xml:space="preserve">de titular terras </w:t>
      </w:r>
      <w:r w:rsidR="006E6E09">
        <w:rPr>
          <w:rFonts w:ascii="Verdana" w:hAnsi="Verdana"/>
          <w:sz w:val="20"/>
        </w:rPr>
        <w:t>comunitárias</w:t>
      </w:r>
      <w:r w:rsidR="006E6E09" w:rsidRPr="002818E7">
        <w:rPr>
          <w:rFonts w:ascii="Verdana" w:hAnsi="Verdana"/>
          <w:sz w:val="20"/>
        </w:rPr>
        <w:t xml:space="preserve"> </w:t>
      </w:r>
      <w:r w:rsidRPr="002818E7">
        <w:rPr>
          <w:rFonts w:ascii="Verdana" w:hAnsi="Verdana"/>
          <w:sz w:val="20"/>
        </w:rPr>
        <w:t xml:space="preserve">indígenas. Por outro lado, no contrato </w:t>
      </w:r>
      <w:r w:rsidR="009E50CD">
        <w:rPr>
          <w:rFonts w:ascii="Verdana" w:hAnsi="Verdana"/>
          <w:sz w:val="20"/>
        </w:rPr>
        <w:t>tripartite</w:t>
      </w:r>
      <w:r w:rsidRPr="002818E7">
        <w:rPr>
          <w:rFonts w:ascii="Verdana" w:hAnsi="Verdana"/>
          <w:sz w:val="20"/>
        </w:rPr>
        <w:t xml:space="preserve"> assinado entre a Comunidade, o MARENA e </w:t>
      </w:r>
      <w:r>
        <w:rPr>
          <w:rFonts w:ascii="Verdana" w:hAnsi="Verdana"/>
          <w:sz w:val="20"/>
        </w:rPr>
        <w:t xml:space="preserve">a </w:t>
      </w:r>
      <w:r w:rsidRPr="002818E7">
        <w:rPr>
          <w:rFonts w:ascii="Verdana" w:hAnsi="Verdana"/>
          <w:sz w:val="20"/>
        </w:rPr>
        <w:t>MADENSA</w:t>
      </w:r>
      <w:r w:rsidR="00135CC1">
        <w:rPr>
          <w:rFonts w:ascii="Verdana" w:hAnsi="Verdana"/>
          <w:sz w:val="20"/>
        </w:rPr>
        <w:t>,</w:t>
      </w:r>
      <w:r w:rsidRPr="002818E7">
        <w:rPr>
          <w:rFonts w:ascii="Verdana" w:hAnsi="Verdana"/>
          <w:sz w:val="20"/>
        </w:rPr>
        <w:t xml:space="preserve"> </w:t>
      </w:r>
      <w:r>
        <w:rPr>
          <w:rFonts w:ascii="Verdana" w:hAnsi="Verdana"/>
          <w:sz w:val="20"/>
        </w:rPr>
        <w:t>se dispunha</w:t>
      </w:r>
      <w:r w:rsidRPr="002818E7">
        <w:rPr>
          <w:rFonts w:ascii="Verdana" w:hAnsi="Verdana"/>
          <w:sz w:val="20"/>
        </w:rPr>
        <w:t xml:space="preserve"> que o MARENA </w:t>
      </w:r>
      <w:r>
        <w:rPr>
          <w:rFonts w:ascii="Verdana" w:hAnsi="Verdana"/>
          <w:sz w:val="20"/>
        </w:rPr>
        <w:t xml:space="preserve">se </w:t>
      </w:r>
      <w:r w:rsidRPr="002818E7">
        <w:rPr>
          <w:rFonts w:ascii="Verdana" w:hAnsi="Verdana"/>
          <w:sz w:val="20"/>
        </w:rPr>
        <w:t xml:space="preserve">comprometia a reconhecer </w:t>
      </w:r>
      <w:r w:rsidR="00B17339">
        <w:rPr>
          <w:rFonts w:ascii="Verdana" w:hAnsi="Verdana"/>
          <w:sz w:val="20"/>
        </w:rPr>
        <w:t>provisoriamente</w:t>
      </w:r>
      <w:r w:rsidR="00B17339" w:rsidRPr="002818E7">
        <w:rPr>
          <w:rFonts w:ascii="Verdana" w:hAnsi="Verdana"/>
          <w:sz w:val="20"/>
        </w:rPr>
        <w:t xml:space="preserve"> </w:t>
      </w:r>
      <w:r w:rsidRPr="002818E7">
        <w:rPr>
          <w:rFonts w:ascii="Verdana" w:hAnsi="Verdana"/>
          <w:sz w:val="20"/>
        </w:rPr>
        <w:t xml:space="preserve">o direito de propriedade da Comunidade sobre a área de aproveitamento florestal e a facilitar um processo de titulação em favor da Comunidade. Entretanto, o MARENA não o cumpriu. Ademais, em março de 1996, a Comunidade apresentou </w:t>
      </w:r>
      <w:r w:rsidR="003771FC">
        <w:rPr>
          <w:rFonts w:ascii="Verdana" w:hAnsi="Verdana"/>
          <w:sz w:val="20"/>
        </w:rPr>
        <w:t>um</w:t>
      </w:r>
      <w:r w:rsidRPr="002818E7">
        <w:rPr>
          <w:rFonts w:ascii="Verdana" w:hAnsi="Verdana"/>
          <w:sz w:val="20"/>
        </w:rPr>
        <w:t xml:space="preserve"> </w:t>
      </w:r>
      <w:r w:rsidR="003771FC">
        <w:rPr>
          <w:rFonts w:ascii="Verdana" w:hAnsi="Verdana"/>
          <w:sz w:val="20"/>
        </w:rPr>
        <w:t>pedido</w:t>
      </w:r>
      <w:r w:rsidRPr="002818E7">
        <w:rPr>
          <w:rFonts w:ascii="Verdana" w:hAnsi="Verdana"/>
          <w:sz w:val="20"/>
        </w:rPr>
        <w:t xml:space="preserve"> de titulação </w:t>
      </w:r>
      <w:r>
        <w:rPr>
          <w:rFonts w:ascii="Verdana" w:hAnsi="Verdana"/>
          <w:sz w:val="20"/>
        </w:rPr>
        <w:t>per</w:t>
      </w:r>
      <w:r w:rsidRPr="002818E7">
        <w:rPr>
          <w:rFonts w:ascii="Verdana" w:hAnsi="Verdana"/>
          <w:sz w:val="20"/>
        </w:rPr>
        <w:t xml:space="preserve">ante o Conselho Regional da RAAN, mas nunca obteve resposta e, pelo contrário, no ano seguinte o Conselho deu seu aval à concessão à empresa SOLCARSA sem </w:t>
      </w:r>
      <w:r w:rsidR="008429D0">
        <w:rPr>
          <w:rFonts w:ascii="Verdana" w:hAnsi="Verdana"/>
          <w:sz w:val="20"/>
        </w:rPr>
        <w:t>t</w:t>
      </w:r>
      <w:r w:rsidRPr="002818E7">
        <w:rPr>
          <w:rFonts w:ascii="Verdana" w:hAnsi="Verdana"/>
          <w:sz w:val="20"/>
        </w:rPr>
        <w:t xml:space="preserve">ê-la consultado. Finalmente, a Comunidade </w:t>
      </w:r>
      <w:r>
        <w:rPr>
          <w:rFonts w:ascii="Verdana" w:hAnsi="Verdana"/>
          <w:sz w:val="20"/>
        </w:rPr>
        <w:t xml:space="preserve">se </w:t>
      </w:r>
      <w:r w:rsidRPr="002818E7">
        <w:rPr>
          <w:rFonts w:ascii="Verdana" w:hAnsi="Verdana"/>
          <w:sz w:val="20"/>
        </w:rPr>
        <w:t xml:space="preserve">reuniu com o Presidente da Nicarágua em fevereiro de 1997, para </w:t>
      </w:r>
      <w:r>
        <w:rPr>
          <w:rFonts w:ascii="Verdana" w:hAnsi="Verdana"/>
          <w:sz w:val="20"/>
        </w:rPr>
        <w:t xml:space="preserve">se </w:t>
      </w:r>
      <w:proofErr w:type="gramStart"/>
      <w:r w:rsidRPr="002818E7">
        <w:rPr>
          <w:rFonts w:ascii="Verdana" w:hAnsi="Verdana"/>
          <w:sz w:val="20"/>
        </w:rPr>
        <w:t>opor</w:t>
      </w:r>
      <w:proofErr w:type="gramEnd"/>
      <w:r w:rsidR="00267244">
        <w:rPr>
          <w:rFonts w:ascii="Verdana" w:hAnsi="Verdana"/>
          <w:sz w:val="20"/>
        </w:rPr>
        <w:t xml:space="preserve"> </w:t>
      </w:r>
      <w:r w:rsidRPr="002818E7">
        <w:rPr>
          <w:rFonts w:ascii="Verdana" w:hAnsi="Verdana"/>
          <w:sz w:val="20"/>
        </w:rPr>
        <w:t xml:space="preserve">à concessão e solicitar ajuda para os mesmos fins; entretanto, </w:t>
      </w:r>
      <w:r w:rsidRPr="002818E7">
        <w:rPr>
          <w:rFonts w:ascii="Verdana" w:hAnsi="Verdana"/>
          <w:sz w:val="20"/>
        </w:rPr>
        <w:lastRenderedPageBreak/>
        <w:t xml:space="preserve">desta reunião não </w:t>
      </w:r>
      <w:r w:rsidR="008429D0">
        <w:rPr>
          <w:rFonts w:ascii="Verdana" w:hAnsi="Verdana"/>
          <w:sz w:val="20"/>
        </w:rPr>
        <w:t>resultou</w:t>
      </w:r>
      <w:r w:rsidR="008429D0" w:rsidRPr="002818E7">
        <w:rPr>
          <w:rFonts w:ascii="Verdana" w:hAnsi="Verdana"/>
          <w:sz w:val="20"/>
        </w:rPr>
        <w:t xml:space="preserve"> </w:t>
      </w:r>
      <w:r w:rsidRPr="002818E7">
        <w:rPr>
          <w:rFonts w:ascii="Verdana" w:hAnsi="Verdana"/>
          <w:sz w:val="20"/>
        </w:rPr>
        <w:t>nenhum ato concreto que beneficia</w:t>
      </w:r>
      <w:r>
        <w:rPr>
          <w:rFonts w:ascii="Verdana" w:hAnsi="Verdana"/>
          <w:sz w:val="20"/>
        </w:rPr>
        <w:t>sse</w:t>
      </w:r>
      <w:r w:rsidRPr="002818E7">
        <w:rPr>
          <w:rFonts w:ascii="Verdana" w:hAnsi="Verdana"/>
          <w:sz w:val="20"/>
        </w:rPr>
        <w:t xml:space="preserve"> </w:t>
      </w:r>
      <w:r>
        <w:rPr>
          <w:rFonts w:ascii="Verdana" w:hAnsi="Verdana"/>
          <w:sz w:val="20"/>
        </w:rPr>
        <w:t>a</w:t>
      </w:r>
      <w:r w:rsidRPr="002818E7">
        <w:rPr>
          <w:rFonts w:ascii="Verdana" w:hAnsi="Verdana"/>
          <w:sz w:val="20"/>
        </w:rPr>
        <w:t xml:space="preserve"> Comunidade;</w:t>
      </w:r>
    </w:p>
    <w:p w:rsidR="00C336FB" w:rsidRPr="002818E7" w:rsidRDefault="00C336FB" w:rsidP="00C336FB">
      <w:pPr>
        <w:ind w:left="709"/>
        <w:jc w:val="both"/>
        <w:rPr>
          <w:rFonts w:ascii="Verdana" w:hAnsi="Verdana"/>
          <w:i/>
          <w:sz w:val="20"/>
        </w:rPr>
      </w:pPr>
      <w:r w:rsidRPr="002818E7">
        <w:rPr>
          <w:rFonts w:ascii="Verdana" w:hAnsi="Verdana"/>
          <w:b/>
          <w:sz w:val="20"/>
        </w:rPr>
        <w:t xml:space="preserve"> </w:t>
      </w:r>
    </w:p>
    <w:p w:rsidR="00C336FB" w:rsidRPr="002818E7" w:rsidRDefault="00C336FB" w:rsidP="00267244">
      <w:pPr>
        <w:ind w:left="709"/>
        <w:jc w:val="both"/>
        <w:rPr>
          <w:rFonts w:ascii="Verdana" w:hAnsi="Verdana"/>
          <w:sz w:val="20"/>
        </w:rPr>
      </w:pPr>
      <w:proofErr w:type="gramStart"/>
      <w:r w:rsidRPr="002818E7">
        <w:rPr>
          <w:rFonts w:ascii="Verdana" w:hAnsi="Verdana"/>
          <w:sz w:val="20"/>
        </w:rPr>
        <w:t>k</w:t>
      </w:r>
      <w:r w:rsidR="00C60678" w:rsidRPr="00C60678">
        <w:rPr>
          <w:rFonts w:ascii="Verdana" w:hAnsi="Verdana"/>
          <w:sz w:val="20"/>
        </w:rPr>
        <w:t>)</w:t>
      </w:r>
      <w:proofErr w:type="gramEnd"/>
      <w:r w:rsidRPr="002818E7">
        <w:rPr>
          <w:rFonts w:ascii="Verdana" w:hAnsi="Verdana"/>
          <w:sz w:val="20"/>
        </w:rPr>
        <w:tab/>
        <w:t xml:space="preserve">ao promover a concessão </w:t>
      </w:r>
      <w:r>
        <w:rPr>
          <w:rFonts w:ascii="Verdana" w:hAnsi="Verdana"/>
          <w:sz w:val="20"/>
        </w:rPr>
        <w:t>à</w:t>
      </w:r>
      <w:r w:rsidRPr="002818E7">
        <w:rPr>
          <w:rFonts w:ascii="Verdana" w:hAnsi="Verdana"/>
          <w:sz w:val="20"/>
        </w:rPr>
        <w:t xml:space="preserve"> SOLCARSA, o Estado </w:t>
      </w:r>
      <w:r w:rsidR="003771FC">
        <w:rPr>
          <w:rFonts w:ascii="Verdana" w:hAnsi="Verdana"/>
          <w:sz w:val="20"/>
        </w:rPr>
        <w:t xml:space="preserve">se </w:t>
      </w:r>
      <w:r w:rsidRPr="002818E7">
        <w:rPr>
          <w:rFonts w:ascii="Verdana" w:hAnsi="Verdana"/>
          <w:sz w:val="20"/>
        </w:rPr>
        <w:t>recusou</w:t>
      </w:r>
      <w:r w:rsidR="003771FC">
        <w:rPr>
          <w:rFonts w:ascii="Verdana" w:hAnsi="Verdana"/>
          <w:sz w:val="20"/>
        </w:rPr>
        <w:t xml:space="preserve"> </w:t>
      </w:r>
      <w:r w:rsidRPr="002818E7">
        <w:rPr>
          <w:rFonts w:ascii="Verdana" w:hAnsi="Verdana"/>
          <w:sz w:val="20"/>
        </w:rPr>
        <w:t xml:space="preserve">a </w:t>
      </w:r>
      <w:r>
        <w:rPr>
          <w:rFonts w:ascii="Verdana" w:hAnsi="Verdana"/>
          <w:sz w:val="20"/>
        </w:rPr>
        <w:t>lev</w:t>
      </w:r>
      <w:r w:rsidRPr="002818E7">
        <w:rPr>
          <w:rFonts w:ascii="Verdana" w:hAnsi="Verdana"/>
          <w:sz w:val="20"/>
        </w:rPr>
        <w:t xml:space="preserve">ar em consideração </w:t>
      </w:r>
      <w:r>
        <w:rPr>
          <w:rFonts w:ascii="Verdana" w:hAnsi="Verdana"/>
          <w:sz w:val="20"/>
        </w:rPr>
        <w:t xml:space="preserve">a </w:t>
      </w:r>
      <w:r w:rsidRPr="002818E7">
        <w:rPr>
          <w:rFonts w:ascii="Verdana" w:hAnsi="Verdana"/>
          <w:sz w:val="20"/>
        </w:rPr>
        <w:t xml:space="preserve">Comunidade e a </w:t>
      </w:r>
      <w:r>
        <w:rPr>
          <w:rFonts w:ascii="Verdana" w:hAnsi="Verdana"/>
          <w:sz w:val="20"/>
        </w:rPr>
        <w:t>posse</w:t>
      </w:r>
      <w:r w:rsidRPr="002818E7">
        <w:rPr>
          <w:rFonts w:ascii="Verdana" w:hAnsi="Verdana"/>
          <w:sz w:val="20"/>
        </w:rPr>
        <w:t xml:space="preserve"> tradicional da terra que ela exercia; a Nicarágua considerou que a área da concessão era terra estatal; </w:t>
      </w:r>
    </w:p>
    <w:p w:rsidR="00C336FB" w:rsidRPr="002818E7" w:rsidRDefault="00C336FB" w:rsidP="00C336FB">
      <w:pPr>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l</w:t>
      </w:r>
      <w:r w:rsidR="00C60678" w:rsidRPr="00C60678">
        <w:rPr>
          <w:rFonts w:ascii="Verdana" w:hAnsi="Verdana"/>
          <w:sz w:val="20"/>
        </w:rPr>
        <w:t>)</w:t>
      </w:r>
      <w:proofErr w:type="gramEnd"/>
      <w:r w:rsidRPr="002818E7">
        <w:rPr>
          <w:rFonts w:ascii="Verdana" w:hAnsi="Verdana"/>
          <w:sz w:val="20"/>
        </w:rPr>
        <w:tab/>
        <w:t>a Comunidade não goza de um título formal</w:t>
      </w:r>
      <w:r w:rsidR="00EE7FAB">
        <w:rPr>
          <w:rFonts w:ascii="Verdana" w:hAnsi="Verdana"/>
          <w:sz w:val="20"/>
        </w:rPr>
        <w:t>,</w:t>
      </w:r>
      <w:r w:rsidRPr="002818E7">
        <w:rPr>
          <w:rFonts w:ascii="Verdana" w:hAnsi="Verdana"/>
          <w:sz w:val="20"/>
        </w:rPr>
        <w:t xml:space="preserve"> ou outro instrumento de reconhecimento de um direito sobre a terra onde vive e desenvolv</w:t>
      </w:r>
      <w:r>
        <w:rPr>
          <w:rFonts w:ascii="Verdana" w:hAnsi="Verdana"/>
          <w:sz w:val="20"/>
        </w:rPr>
        <w:t>e</w:t>
      </w:r>
      <w:r w:rsidRPr="002818E7">
        <w:rPr>
          <w:rFonts w:ascii="Verdana" w:hAnsi="Verdana"/>
          <w:sz w:val="20"/>
        </w:rPr>
        <w:t xml:space="preserve"> suas atividades culturais e de subsistência, apesar de que o </w:t>
      </w:r>
      <w:r w:rsidR="008429D0" w:rsidRPr="002818E7">
        <w:rPr>
          <w:rFonts w:ascii="Verdana" w:hAnsi="Verdana"/>
          <w:sz w:val="20"/>
        </w:rPr>
        <w:t>solicit</w:t>
      </w:r>
      <w:r w:rsidR="008429D0">
        <w:rPr>
          <w:rFonts w:ascii="Verdana" w:hAnsi="Verdana"/>
          <w:sz w:val="20"/>
        </w:rPr>
        <w:t>ou</w:t>
      </w:r>
      <w:r w:rsidR="008429D0" w:rsidRPr="002818E7">
        <w:rPr>
          <w:rFonts w:ascii="Verdana" w:hAnsi="Verdana"/>
          <w:sz w:val="20"/>
        </w:rPr>
        <w:t xml:space="preserve"> </w:t>
      </w:r>
      <w:r w:rsidRPr="002818E7">
        <w:rPr>
          <w:rFonts w:ascii="Verdana" w:hAnsi="Verdana"/>
          <w:sz w:val="20"/>
        </w:rPr>
        <w:t xml:space="preserve">durante anos ao Estado. Desde o ano de 1987, a Nicarágua não </w:t>
      </w:r>
      <w:r>
        <w:rPr>
          <w:rFonts w:ascii="Verdana" w:hAnsi="Verdana"/>
          <w:sz w:val="20"/>
        </w:rPr>
        <w:t>concedeu</w:t>
      </w:r>
      <w:r w:rsidRPr="002818E7">
        <w:rPr>
          <w:rFonts w:ascii="Verdana" w:hAnsi="Verdana"/>
          <w:sz w:val="20"/>
        </w:rPr>
        <w:t xml:space="preserve"> nenhuma titulação em favor de comunidades indígenas.</w:t>
      </w:r>
      <w:r w:rsidRPr="002818E7">
        <w:rPr>
          <w:rFonts w:ascii="Verdana" w:hAnsi="Verdana"/>
          <w:b/>
          <w:sz w:val="20"/>
        </w:rPr>
        <w:t xml:space="preserve"> </w:t>
      </w:r>
      <w:r w:rsidRPr="002818E7">
        <w:rPr>
          <w:rFonts w:ascii="Verdana" w:hAnsi="Verdana"/>
          <w:sz w:val="20"/>
        </w:rPr>
        <w:t xml:space="preserve">A situação da Comunidade tem persistido apesar dos esforços realizados desde 1991 para alcançar a demarcação e a titulação de sua terra tradicional. O Estado tem sido negligente e arbitrário diante </w:t>
      </w:r>
      <w:r w:rsidR="003771FC">
        <w:rPr>
          <w:rFonts w:ascii="Verdana" w:hAnsi="Verdana"/>
          <w:sz w:val="20"/>
        </w:rPr>
        <w:t>dos pedidos</w:t>
      </w:r>
      <w:r w:rsidRPr="002818E7">
        <w:rPr>
          <w:rFonts w:ascii="Verdana" w:hAnsi="Verdana"/>
          <w:sz w:val="20"/>
        </w:rPr>
        <w:t xml:space="preserve"> de titulação da Comunidade; </w:t>
      </w:r>
    </w:p>
    <w:p w:rsidR="00C336FB" w:rsidRPr="002818E7" w:rsidRDefault="00C336FB" w:rsidP="00C336FB">
      <w:pPr>
        <w:ind w:left="709"/>
        <w:jc w:val="both"/>
        <w:rPr>
          <w:rFonts w:ascii="Verdana" w:hAnsi="Verdana"/>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m</w:t>
      </w:r>
      <w:r w:rsidR="00C60678" w:rsidRPr="00C60678">
        <w:rPr>
          <w:rFonts w:ascii="Verdana" w:hAnsi="Verdana"/>
          <w:sz w:val="20"/>
        </w:rPr>
        <w:t>)</w:t>
      </w:r>
      <w:proofErr w:type="gramEnd"/>
      <w:r w:rsidRPr="002818E7">
        <w:rPr>
          <w:rFonts w:ascii="Verdana" w:hAnsi="Verdana"/>
          <w:sz w:val="20"/>
        </w:rPr>
        <w:tab/>
        <w:t xml:space="preserve">o princípio do </w:t>
      </w:r>
      <w:r w:rsidRPr="002818E7">
        <w:rPr>
          <w:rFonts w:ascii="Verdana" w:hAnsi="Verdana"/>
          <w:i/>
          <w:sz w:val="20"/>
        </w:rPr>
        <w:t>estoppel</w:t>
      </w:r>
      <w:r w:rsidRPr="002818E7">
        <w:rPr>
          <w:rFonts w:ascii="Verdana" w:hAnsi="Verdana"/>
          <w:sz w:val="20"/>
        </w:rPr>
        <w:t xml:space="preserve"> impede que o Estado alegue</w:t>
      </w:r>
      <w:r w:rsidR="004F5EAF">
        <w:rPr>
          <w:rFonts w:ascii="Verdana" w:hAnsi="Verdana"/>
          <w:sz w:val="20"/>
        </w:rPr>
        <w:t xml:space="preserve"> que a Comunidade não tem nenhum</w:t>
      </w:r>
      <w:r>
        <w:rPr>
          <w:rFonts w:ascii="Verdana" w:hAnsi="Verdana"/>
          <w:sz w:val="20"/>
        </w:rPr>
        <w:t>a</w:t>
      </w:r>
      <w:r w:rsidRPr="002818E7">
        <w:rPr>
          <w:rFonts w:ascii="Verdana" w:hAnsi="Verdana"/>
          <w:sz w:val="20"/>
        </w:rPr>
        <w:t xml:space="preserve"> </w:t>
      </w:r>
      <w:r>
        <w:rPr>
          <w:rFonts w:ascii="Verdana" w:hAnsi="Verdana"/>
          <w:sz w:val="20"/>
        </w:rPr>
        <w:t xml:space="preserve">reivindicação </w:t>
      </w:r>
      <w:r w:rsidRPr="002818E7">
        <w:rPr>
          <w:rFonts w:ascii="Verdana" w:hAnsi="Verdana"/>
          <w:sz w:val="20"/>
        </w:rPr>
        <w:t>legítim</w:t>
      </w:r>
      <w:r>
        <w:rPr>
          <w:rFonts w:ascii="Verdana" w:hAnsi="Verdana"/>
          <w:sz w:val="20"/>
        </w:rPr>
        <w:t>a</w:t>
      </w:r>
      <w:r w:rsidRPr="002818E7">
        <w:rPr>
          <w:rFonts w:ascii="Verdana" w:hAnsi="Verdana"/>
          <w:sz w:val="20"/>
        </w:rPr>
        <w:t xml:space="preserve"> basead</w:t>
      </w:r>
      <w:r>
        <w:rPr>
          <w:rFonts w:ascii="Verdana" w:hAnsi="Verdana"/>
          <w:sz w:val="20"/>
        </w:rPr>
        <w:t>a</w:t>
      </w:r>
      <w:r w:rsidRPr="002818E7">
        <w:rPr>
          <w:rFonts w:ascii="Verdana" w:hAnsi="Verdana"/>
          <w:sz w:val="20"/>
        </w:rPr>
        <w:t xml:space="preserve"> na </w:t>
      </w:r>
      <w:r>
        <w:rPr>
          <w:rFonts w:ascii="Verdana" w:hAnsi="Verdana"/>
          <w:sz w:val="20"/>
        </w:rPr>
        <w:t>posse</w:t>
      </w:r>
      <w:r w:rsidRPr="002818E7">
        <w:rPr>
          <w:rFonts w:ascii="Verdana" w:hAnsi="Verdana"/>
          <w:sz w:val="20"/>
        </w:rPr>
        <w:t xml:space="preserve"> tradicional ou histórica, já que essa alegação é contrária às posições sustentadas por ele </w:t>
      </w:r>
      <w:r>
        <w:rPr>
          <w:rFonts w:ascii="Verdana" w:hAnsi="Verdana"/>
          <w:sz w:val="20"/>
        </w:rPr>
        <w:t>per</w:t>
      </w:r>
      <w:r w:rsidRPr="002818E7">
        <w:rPr>
          <w:rFonts w:ascii="Verdana" w:hAnsi="Verdana"/>
          <w:sz w:val="20"/>
        </w:rPr>
        <w:t xml:space="preserve">ante a Comissão e </w:t>
      </w:r>
      <w:r>
        <w:rPr>
          <w:rFonts w:ascii="Verdana" w:hAnsi="Verdana"/>
          <w:sz w:val="20"/>
        </w:rPr>
        <w:t>per</w:t>
      </w:r>
      <w:r w:rsidRPr="002818E7">
        <w:rPr>
          <w:rFonts w:ascii="Verdana" w:hAnsi="Verdana"/>
          <w:sz w:val="20"/>
        </w:rPr>
        <w:t>ante a Comunidade em várias oportunidades;</w:t>
      </w:r>
      <w:r w:rsidR="00850A3F">
        <w:rPr>
          <w:rFonts w:ascii="Verdana" w:hAnsi="Verdana"/>
          <w:sz w:val="20"/>
        </w:rPr>
        <w:t xml:space="preserve"> </w:t>
      </w:r>
    </w:p>
    <w:p w:rsidR="00C336FB" w:rsidRPr="002818E7" w:rsidRDefault="00C336FB" w:rsidP="00C336FB">
      <w:pPr>
        <w:ind w:left="709"/>
        <w:jc w:val="both"/>
        <w:rPr>
          <w:rFonts w:ascii="Verdana" w:hAnsi="Verdana"/>
          <w:b/>
          <w:sz w:val="20"/>
        </w:rPr>
      </w:pPr>
    </w:p>
    <w:p w:rsidR="00C336FB" w:rsidRPr="002818E7" w:rsidRDefault="00C336FB" w:rsidP="00C336FB">
      <w:pPr>
        <w:ind w:left="709"/>
        <w:jc w:val="both"/>
        <w:rPr>
          <w:rFonts w:ascii="Verdana" w:hAnsi="Verdana"/>
          <w:b/>
          <w:i/>
          <w:sz w:val="20"/>
        </w:rPr>
      </w:pPr>
      <w:proofErr w:type="gramStart"/>
      <w:r w:rsidRPr="002818E7">
        <w:rPr>
          <w:rFonts w:ascii="Verdana" w:hAnsi="Verdana"/>
          <w:sz w:val="20"/>
        </w:rPr>
        <w:t>n</w:t>
      </w:r>
      <w:r w:rsidR="00C60678" w:rsidRPr="00C60678">
        <w:rPr>
          <w:rFonts w:ascii="Verdana" w:hAnsi="Verdana"/>
          <w:sz w:val="20"/>
        </w:rPr>
        <w:t>)</w:t>
      </w:r>
      <w:proofErr w:type="gramEnd"/>
      <w:r w:rsidRPr="002818E7">
        <w:rPr>
          <w:rFonts w:ascii="Verdana" w:hAnsi="Verdana"/>
          <w:sz w:val="20"/>
        </w:rPr>
        <w:tab/>
        <w:t>para os povos indígenas, o acesso a um recurso judicial simples, rápido e efetivo é de especial importância</w:t>
      </w:r>
      <w:r w:rsidR="00EE7FAB">
        <w:rPr>
          <w:rFonts w:ascii="Verdana" w:hAnsi="Verdana"/>
          <w:sz w:val="20"/>
        </w:rPr>
        <w:t>,</w:t>
      </w:r>
      <w:r w:rsidRPr="002818E7">
        <w:rPr>
          <w:rFonts w:ascii="Verdana" w:hAnsi="Verdana"/>
          <w:sz w:val="20"/>
        </w:rPr>
        <w:t xml:space="preserve"> em relação </w:t>
      </w:r>
      <w:r w:rsidR="008429D0">
        <w:rPr>
          <w:rFonts w:ascii="Verdana" w:hAnsi="Verdana"/>
          <w:sz w:val="20"/>
        </w:rPr>
        <w:t>a</w:t>
      </w:r>
      <w:r w:rsidRPr="002818E7">
        <w:rPr>
          <w:rFonts w:ascii="Verdana" w:hAnsi="Verdana"/>
          <w:sz w:val="20"/>
        </w:rPr>
        <w:t>o gozo de seus direitos humanos, dadas as condições de vulnerabilidade em que normalmente estão</w:t>
      </w:r>
      <w:r w:rsidR="00EE7FAB">
        <w:rPr>
          <w:rFonts w:ascii="Verdana" w:hAnsi="Verdana"/>
          <w:sz w:val="20"/>
        </w:rPr>
        <w:t>,</w:t>
      </w:r>
      <w:r w:rsidRPr="002818E7">
        <w:rPr>
          <w:rFonts w:ascii="Verdana" w:hAnsi="Verdana"/>
          <w:sz w:val="20"/>
        </w:rPr>
        <w:t xml:space="preserve"> por razões históricas e por suas circunstâncias sociais atuais. Neste caso foi violado o artigo 25 da Convenção em três sentidos: a demora injustificada dos processos </w:t>
      </w:r>
      <w:r>
        <w:rPr>
          <w:rFonts w:ascii="Verdana" w:hAnsi="Verdana"/>
          <w:sz w:val="20"/>
        </w:rPr>
        <w:t>per</w:t>
      </w:r>
      <w:r w:rsidRPr="002818E7">
        <w:rPr>
          <w:rFonts w:ascii="Verdana" w:hAnsi="Verdana"/>
          <w:sz w:val="20"/>
        </w:rPr>
        <w:t xml:space="preserve">ante os tribunais; </w:t>
      </w:r>
      <w:r w:rsidR="003771FC">
        <w:rPr>
          <w:rFonts w:ascii="Verdana" w:hAnsi="Verdana"/>
          <w:sz w:val="20"/>
        </w:rPr>
        <w:t>a recusa</w:t>
      </w:r>
      <w:r w:rsidRPr="002818E7">
        <w:rPr>
          <w:rFonts w:ascii="Verdana" w:hAnsi="Verdana"/>
          <w:sz w:val="20"/>
        </w:rPr>
        <w:t xml:space="preserve"> dos recursos interpostos pela Comunidade, e o descumprimento da sentença que declarou inconstitucional a concessão; </w:t>
      </w:r>
      <w:proofErr w:type="gramStart"/>
      <w:r w:rsidRPr="002818E7">
        <w:rPr>
          <w:rFonts w:ascii="Verdana" w:hAnsi="Verdana"/>
          <w:sz w:val="20"/>
        </w:rPr>
        <w:t>e</w:t>
      </w:r>
      <w:proofErr w:type="gramEnd"/>
      <w:r w:rsidRPr="002818E7">
        <w:rPr>
          <w:rFonts w:ascii="Verdana" w:hAnsi="Verdana"/>
          <w:sz w:val="20"/>
        </w:rPr>
        <w:t xml:space="preserve"> </w:t>
      </w:r>
    </w:p>
    <w:p w:rsidR="00C336FB" w:rsidRPr="002818E7" w:rsidRDefault="00C336FB" w:rsidP="00C336FB">
      <w:pPr>
        <w:jc w:val="both"/>
        <w:rPr>
          <w:rFonts w:ascii="Verdana" w:hAnsi="Verdana"/>
          <w:b/>
          <w:sz w:val="20"/>
        </w:rPr>
      </w:pPr>
    </w:p>
    <w:p w:rsidR="00C336FB" w:rsidRPr="002818E7" w:rsidRDefault="00C336FB" w:rsidP="00C336FB">
      <w:pPr>
        <w:ind w:left="709"/>
        <w:jc w:val="both"/>
        <w:rPr>
          <w:rFonts w:ascii="Verdana" w:hAnsi="Verdana"/>
          <w:sz w:val="20"/>
        </w:rPr>
      </w:pPr>
      <w:proofErr w:type="gramStart"/>
      <w:r w:rsidRPr="002818E7">
        <w:rPr>
          <w:rFonts w:ascii="Verdana" w:hAnsi="Verdana"/>
          <w:sz w:val="20"/>
        </w:rPr>
        <w:t>ñ</w:t>
      </w:r>
      <w:proofErr w:type="gramEnd"/>
      <w:r w:rsidR="00C60678" w:rsidRPr="00C60678">
        <w:rPr>
          <w:rFonts w:ascii="Verdana" w:hAnsi="Verdana"/>
          <w:sz w:val="20"/>
        </w:rPr>
        <w:t>)</w:t>
      </w:r>
      <w:r w:rsidRPr="002818E7">
        <w:rPr>
          <w:rFonts w:ascii="Verdana" w:hAnsi="Verdana"/>
          <w:sz w:val="20"/>
        </w:rPr>
        <w:tab/>
      </w:r>
      <w:r>
        <w:rPr>
          <w:rFonts w:ascii="Verdana" w:hAnsi="Verdana"/>
          <w:sz w:val="20"/>
        </w:rPr>
        <w:t xml:space="preserve">a </w:t>
      </w:r>
      <w:r w:rsidR="009E50CD">
        <w:rPr>
          <w:rFonts w:ascii="Verdana" w:hAnsi="Verdana"/>
          <w:sz w:val="20"/>
        </w:rPr>
        <w:t>outorga da concessão</w:t>
      </w:r>
      <w:r w:rsidRPr="002818E7">
        <w:rPr>
          <w:rFonts w:ascii="Verdana" w:hAnsi="Verdana"/>
          <w:sz w:val="20"/>
        </w:rPr>
        <w:t xml:space="preserve"> </w:t>
      </w:r>
      <w:r>
        <w:rPr>
          <w:rFonts w:ascii="Verdana" w:hAnsi="Verdana"/>
          <w:sz w:val="20"/>
        </w:rPr>
        <w:t>à</w:t>
      </w:r>
      <w:r w:rsidRPr="002818E7">
        <w:rPr>
          <w:rFonts w:ascii="Verdana" w:hAnsi="Verdana"/>
          <w:sz w:val="20"/>
        </w:rPr>
        <w:t xml:space="preserve"> SOLCARSA e a omissão da adoção de medidas estatais que permitam garantir os direitos da Comunidade Awas Tingni sobre a terra e os recursos naturais, de acordo com seus padrões tradicionais de uso e ocupação, violaram os artigos 1 e 2 da Convenção. </w:t>
      </w:r>
    </w:p>
    <w:p w:rsidR="00C336FB" w:rsidRPr="002818E7" w:rsidRDefault="00C336FB" w:rsidP="00C336FB">
      <w:pPr>
        <w:ind w:left="709"/>
        <w:jc w:val="both"/>
        <w:rPr>
          <w:rFonts w:ascii="Verdana" w:hAnsi="Verdana"/>
          <w:b/>
          <w:sz w:val="20"/>
        </w:rPr>
      </w:pPr>
    </w:p>
    <w:p w:rsidR="00C336FB" w:rsidRPr="002818E7" w:rsidRDefault="00C336FB" w:rsidP="00C336FB">
      <w:pPr>
        <w:jc w:val="both"/>
        <w:rPr>
          <w:rFonts w:ascii="Verdana" w:hAnsi="Verdana"/>
          <w:i/>
          <w:sz w:val="20"/>
        </w:rPr>
      </w:pPr>
      <w:r w:rsidRPr="002818E7">
        <w:rPr>
          <w:rFonts w:ascii="Verdana" w:hAnsi="Verdana"/>
          <w:i/>
          <w:sz w:val="20"/>
        </w:rPr>
        <w:t>Alegações do Estado</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sz w:val="20"/>
        </w:rPr>
      </w:pPr>
      <w:r w:rsidRPr="002818E7">
        <w:rPr>
          <w:rFonts w:ascii="Verdana" w:hAnsi="Verdana"/>
          <w:sz w:val="20"/>
        </w:rPr>
        <w:t>105.</w:t>
      </w:r>
      <w:r w:rsidRPr="002818E7">
        <w:rPr>
          <w:rFonts w:ascii="Verdana" w:hAnsi="Verdana"/>
          <w:sz w:val="20"/>
        </w:rPr>
        <w:tab/>
        <w:t>Por sua vez, quanto ao artigo 25 da Convenção, o Estado alegou que:</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a</w:t>
      </w:r>
      <w:proofErr w:type="gramEnd"/>
      <w:r w:rsidR="00C60678" w:rsidRPr="00C60678">
        <w:rPr>
          <w:rFonts w:ascii="Verdana" w:hAnsi="Verdana"/>
          <w:sz w:val="20"/>
        </w:rPr>
        <w:t>)</w:t>
      </w:r>
      <w:r w:rsidRPr="002818E7">
        <w:rPr>
          <w:rFonts w:ascii="Verdana" w:hAnsi="Verdana"/>
          <w:sz w:val="20"/>
        </w:rPr>
        <w:tab/>
        <w:t xml:space="preserve">não </w:t>
      </w:r>
      <w:r>
        <w:rPr>
          <w:rFonts w:ascii="Verdana" w:hAnsi="Verdana"/>
          <w:sz w:val="20"/>
        </w:rPr>
        <w:t xml:space="preserve">se </w:t>
      </w:r>
      <w:r w:rsidRPr="002818E7">
        <w:rPr>
          <w:rFonts w:ascii="Verdana" w:hAnsi="Verdana"/>
          <w:sz w:val="20"/>
        </w:rPr>
        <w:t xml:space="preserve">pode estabelecer que no direito nicaraguense tenha operado um silêncio legislativo que impeça </w:t>
      </w:r>
      <w:r>
        <w:rPr>
          <w:rFonts w:ascii="Verdana" w:hAnsi="Verdana"/>
          <w:sz w:val="20"/>
        </w:rPr>
        <w:t>a reivindicação</w:t>
      </w:r>
      <w:r w:rsidRPr="002818E7">
        <w:rPr>
          <w:rFonts w:ascii="Verdana" w:hAnsi="Verdana"/>
          <w:sz w:val="20"/>
        </w:rPr>
        <w:t xml:space="preserve"> do direito reconhecido pela Constituição Política.</w:t>
      </w:r>
      <w:r w:rsidR="00850A3F">
        <w:rPr>
          <w:rFonts w:ascii="Verdana" w:hAnsi="Verdana"/>
          <w:sz w:val="20"/>
        </w:rPr>
        <w:t xml:space="preserve"> </w:t>
      </w:r>
      <w:r w:rsidRPr="002818E7">
        <w:rPr>
          <w:rFonts w:ascii="Verdana" w:hAnsi="Verdana"/>
          <w:sz w:val="20"/>
        </w:rPr>
        <w:t xml:space="preserve">Existe um </w:t>
      </w:r>
      <w:r w:rsidR="00C6474D">
        <w:rPr>
          <w:rFonts w:ascii="Verdana" w:hAnsi="Verdana"/>
          <w:sz w:val="20"/>
        </w:rPr>
        <w:t>marco legal</w:t>
      </w:r>
      <w:r w:rsidRPr="002818E7">
        <w:rPr>
          <w:rFonts w:ascii="Verdana" w:hAnsi="Verdana"/>
          <w:sz w:val="20"/>
        </w:rPr>
        <w:t xml:space="preserve"> para conduzir o processo de titulação das comunidades indígenas no país</w:t>
      </w:r>
      <w:r>
        <w:rPr>
          <w:rFonts w:ascii="Verdana" w:hAnsi="Verdana"/>
          <w:sz w:val="20"/>
        </w:rPr>
        <w:t xml:space="preserve"> per</w:t>
      </w:r>
      <w:r w:rsidRPr="002818E7">
        <w:rPr>
          <w:rFonts w:ascii="Verdana" w:hAnsi="Verdana"/>
          <w:sz w:val="20"/>
        </w:rPr>
        <w:t xml:space="preserve">ante o Instituto Nicaraguense de Reforma Agrária </w:t>
      </w:r>
      <w:r w:rsidR="00C60678" w:rsidRPr="00C60678">
        <w:rPr>
          <w:rFonts w:ascii="Verdana" w:hAnsi="Verdana"/>
          <w:sz w:val="20"/>
        </w:rPr>
        <w:t>(</w:t>
      </w:r>
      <w:r w:rsidRPr="002818E7">
        <w:rPr>
          <w:rFonts w:ascii="Verdana" w:hAnsi="Verdana"/>
          <w:sz w:val="20"/>
        </w:rPr>
        <w:t>INRA</w:t>
      </w:r>
      <w:r w:rsidR="00C60678" w:rsidRPr="00C60678">
        <w:rPr>
          <w:rFonts w:ascii="Verdana" w:hAnsi="Verdana"/>
          <w:sz w:val="20"/>
        </w:rPr>
        <w:t>)</w:t>
      </w:r>
      <w:r w:rsidRPr="002818E7">
        <w:rPr>
          <w:rFonts w:ascii="Verdana" w:hAnsi="Verdana"/>
          <w:sz w:val="20"/>
        </w:rPr>
        <w:t>, que foi ignorado pela Comunidade</w:t>
      </w:r>
      <w:r>
        <w:rPr>
          <w:rFonts w:ascii="Verdana" w:hAnsi="Verdana"/>
          <w:sz w:val="20"/>
        </w:rPr>
        <w:t xml:space="preserve">. </w:t>
      </w:r>
      <w:r w:rsidRPr="002818E7">
        <w:rPr>
          <w:rFonts w:ascii="Verdana" w:hAnsi="Verdana"/>
          <w:sz w:val="20"/>
        </w:rPr>
        <w:t>Este contexto jurídico foi estabelecido pela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14, “Reforma à Lei de Reforma Agrária” de 11 de janeiro de 1986.</w:t>
      </w:r>
      <w:r w:rsidR="00850A3F">
        <w:rPr>
          <w:rFonts w:ascii="Verdana" w:hAnsi="Verdana"/>
          <w:sz w:val="20"/>
        </w:rPr>
        <w:t xml:space="preserve"> </w:t>
      </w:r>
      <w:r w:rsidRPr="002818E7">
        <w:rPr>
          <w:rFonts w:ascii="Verdana" w:hAnsi="Verdana"/>
          <w:sz w:val="20"/>
        </w:rPr>
        <w:t xml:space="preserve">O Estado </w:t>
      </w:r>
      <w:r>
        <w:rPr>
          <w:rFonts w:ascii="Verdana" w:hAnsi="Verdana"/>
          <w:sz w:val="20"/>
        </w:rPr>
        <w:t>titulou</w:t>
      </w:r>
      <w:r w:rsidRPr="002818E7">
        <w:rPr>
          <w:rFonts w:ascii="Verdana" w:hAnsi="Verdana"/>
          <w:sz w:val="20"/>
        </w:rPr>
        <w:t xml:space="preserve"> 28 comunidades indígenas ao amparo desta lei. Não consta nos arquivos do INRA </w:t>
      </w:r>
      <w:r w:rsidR="003771FC">
        <w:rPr>
          <w:rFonts w:ascii="Verdana" w:hAnsi="Verdana"/>
          <w:sz w:val="20"/>
        </w:rPr>
        <w:t>nenhum pedido</w:t>
      </w:r>
      <w:r w:rsidRPr="002818E7">
        <w:rPr>
          <w:rFonts w:ascii="Verdana" w:hAnsi="Verdana"/>
          <w:sz w:val="20"/>
        </w:rPr>
        <w:t xml:space="preserve"> de titulação apresentad</w:t>
      </w:r>
      <w:r w:rsidR="003771FC">
        <w:rPr>
          <w:rFonts w:ascii="Verdana" w:hAnsi="Verdana"/>
          <w:sz w:val="20"/>
        </w:rPr>
        <w:t>o</w:t>
      </w:r>
      <w:r w:rsidRPr="002818E7">
        <w:rPr>
          <w:rFonts w:ascii="Verdana" w:hAnsi="Verdana"/>
          <w:sz w:val="20"/>
        </w:rPr>
        <w:t xml:space="preserve"> pela Comunidade;</w:t>
      </w:r>
    </w:p>
    <w:p w:rsidR="00C336FB" w:rsidRPr="002818E7" w:rsidRDefault="00C336FB" w:rsidP="00C336FB">
      <w:pPr>
        <w:jc w:val="both"/>
        <w:rPr>
          <w:rFonts w:ascii="Verdana" w:hAnsi="Verdana"/>
          <w:sz w:val="20"/>
        </w:rPr>
      </w:pPr>
    </w:p>
    <w:p w:rsidR="00C336FB" w:rsidRDefault="00C336FB" w:rsidP="004F5EAF">
      <w:pPr>
        <w:ind w:left="720"/>
        <w:jc w:val="both"/>
        <w:rPr>
          <w:rFonts w:ascii="Verdana" w:hAnsi="Verdana"/>
          <w:sz w:val="20"/>
        </w:rPr>
      </w:pPr>
      <w:proofErr w:type="gramStart"/>
      <w:r w:rsidRPr="002818E7">
        <w:rPr>
          <w:rFonts w:ascii="Verdana" w:hAnsi="Verdana"/>
          <w:sz w:val="20"/>
        </w:rPr>
        <w:t>b</w:t>
      </w:r>
      <w:r w:rsidR="00C60678" w:rsidRPr="00C60678">
        <w:rPr>
          <w:rFonts w:ascii="Verdana" w:hAnsi="Verdana"/>
          <w:sz w:val="20"/>
        </w:rPr>
        <w:t>)</w:t>
      </w:r>
      <w:proofErr w:type="gramEnd"/>
      <w:r w:rsidRPr="002818E7">
        <w:rPr>
          <w:rFonts w:ascii="Verdana" w:hAnsi="Verdana"/>
          <w:sz w:val="20"/>
        </w:rPr>
        <w:tab/>
        <w:t xml:space="preserve">não se </w:t>
      </w:r>
      <w:r>
        <w:rPr>
          <w:rFonts w:ascii="Verdana" w:hAnsi="Verdana"/>
          <w:sz w:val="20"/>
        </w:rPr>
        <w:t>negou</w:t>
      </w:r>
      <w:r w:rsidRPr="002818E7">
        <w:rPr>
          <w:rFonts w:ascii="Verdana" w:hAnsi="Verdana"/>
          <w:sz w:val="20"/>
        </w:rPr>
        <w:t xml:space="preserve"> o reconhecimento de um direito em relação com o qual simplesmente não se </w:t>
      </w:r>
      <w:r>
        <w:rPr>
          <w:rFonts w:ascii="Verdana" w:hAnsi="Verdana"/>
          <w:sz w:val="20"/>
        </w:rPr>
        <w:t>apresentaram</w:t>
      </w:r>
      <w:r w:rsidRPr="002818E7">
        <w:rPr>
          <w:rFonts w:ascii="Verdana" w:hAnsi="Verdana"/>
          <w:sz w:val="20"/>
        </w:rPr>
        <w:t xml:space="preserve"> </w:t>
      </w:r>
      <w:r w:rsidR="003771FC">
        <w:rPr>
          <w:rFonts w:ascii="Verdana" w:hAnsi="Verdana"/>
          <w:sz w:val="20"/>
        </w:rPr>
        <w:t>pedidos</w:t>
      </w:r>
      <w:r w:rsidRPr="002818E7">
        <w:rPr>
          <w:rFonts w:ascii="Verdana" w:hAnsi="Verdana"/>
          <w:sz w:val="20"/>
        </w:rPr>
        <w:t xml:space="preserve"> </w:t>
      </w:r>
      <w:r>
        <w:rPr>
          <w:rFonts w:ascii="Verdana" w:hAnsi="Verdana"/>
          <w:sz w:val="20"/>
        </w:rPr>
        <w:t>per</w:t>
      </w:r>
      <w:r w:rsidRPr="002818E7">
        <w:rPr>
          <w:rFonts w:ascii="Verdana" w:hAnsi="Verdana"/>
          <w:sz w:val="20"/>
        </w:rPr>
        <w:t>ante as autoridades nacionais.</w:t>
      </w:r>
      <w:r w:rsidR="00850A3F">
        <w:rPr>
          <w:rFonts w:ascii="Verdana" w:hAnsi="Verdana"/>
          <w:sz w:val="20"/>
        </w:rPr>
        <w:t xml:space="preserve"> </w:t>
      </w:r>
      <w:r w:rsidRPr="002818E7">
        <w:rPr>
          <w:rFonts w:ascii="Verdana" w:hAnsi="Verdana"/>
          <w:sz w:val="20"/>
        </w:rPr>
        <w:t xml:space="preserve">A Comunidade Indígena Awas Tingni nunca apresentou petição formal de titulação </w:t>
      </w:r>
      <w:r>
        <w:rPr>
          <w:rFonts w:ascii="Verdana" w:hAnsi="Verdana"/>
          <w:sz w:val="20"/>
        </w:rPr>
        <w:t>per</w:t>
      </w:r>
      <w:r w:rsidRPr="002818E7">
        <w:rPr>
          <w:rFonts w:ascii="Verdana" w:hAnsi="Verdana"/>
          <w:sz w:val="20"/>
        </w:rPr>
        <w:t>ante os tribunais de justiça. Não</w:t>
      </w:r>
      <w:r>
        <w:rPr>
          <w:rFonts w:ascii="Verdana" w:hAnsi="Verdana"/>
          <w:sz w:val="20"/>
        </w:rPr>
        <w:t xml:space="preserve"> se</w:t>
      </w:r>
      <w:r w:rsidRPr="002818E7">
        <w:rPr>
          <w:rFonts w:ascii="Verdana" w:hAnsi="Verdana"/>
          <w:sz w:val="20"/>
        </w:rPr>
        <w:t xml:space="preserve"> pode culpar </w:t>
      </w:r>
      <w:r w:rsidR="004F5EAF">
        <w:rPr>
          <w:rFonts w:ascii="Verdana" w:hAnsi="Verdana"/>
          <w:sz w:val="20"/>
        </w:rPr>
        <w:t xml:space="preserve">a </w:t>
      </w:r>
      <w:r w:rsidRPr="002818E7">
        <w:rPr>
          <w:rFonts w:ascii="Verdana" w:hAnsi="Verdana"/>
          <w:sz w:val="20"/>
        </w:rPr>
        <w:t xml:space="preserve">Corte Suprema </w:t>
      </w:r>
      <w:r w:rsidRPr="002818E7">
        <w:rPr>
          <w:rFonts w:ascii="Verdana" w:hAnsi="Verdana"/>
          <w:sz w:val="20"/>
        </w:rPr>
        <w:lastRenderedPageBreak/>
        <w:t xml:space="preserve">de Justiça por não haver provido uma reparação judicial que nunca foi solicitada. As pretensões da Comunidade estavam todas relacionadas </w:t>
      </w:r>
      <w:r w:rsidR="008429D0">
        <w:rPr>
          <w:rFonts w:ascii="Verdana" w:hAnsi="Verdana"/>
          <w:sz w:val="20"/>
        </w:rPr>
        <w:t xml:space="preserve">à </w:t>
      </w:r>
      <w:r w:rsidRPr="002818E7">
        <w:rPr>
          <w:rFonts w:ascii="Verdana" w:hAnsi="Verdana"/>
          <w:sz w:val="20"/>
        </w:rPr>
        <w:t xml:space="preserve">impugnação da concessão florestal </w:t>
      </w:r>
      <w:r w:rsidR="008429D0">
        <w:rPr>
          <w:rFonts w:ascii="Verdana" w:hAnsi="Verdana"/>
          <w:sz w:val="20"/>
        </w:rPr>
        <w:t xml:space="preserve">outorgada </w:t>
      </w:r>
      <w:r>
        <w:rPr>
          <w:rFonts w:ascii="Verdana" w:hAnsi="Verdana"/>
          <w:sz w:val="20"/>
        </w:rPr>
        <w:t>à</w:t>
      </w:r>
      <w:r w:rsidRPr="002818E7">
        <w:rPr>
          <w:rFonts w:ascii="Verdana" w:hAnsi="Verdana"/>
          <w:sz w:val="20"/>
        </w:rPr>
        <w:t xml:space="preserve"> SOLCARSA; </w:t>
      </w:r>
    </w:p>
    <w:p w:rsidR="008429D0" w:rsidRPr="004F5EAF" w:rsidRDefault="008429D0" w:rsidP="004F5EAF">
      <w:pPr>
        <w:ind w:left="720"/>
        <w:jc w:val="both"/>
        <w:rPr>
          <w:rFonts w:ascii="Verdana" w:hAnsi="Verdana"/>
          <w:b/>
          <w:i/>
          <w:sz w:val="20"/>
        </w:rPr>
      </w:pPr>
    </w:p>
    <w:p w:rsidR="00C336FB" w:rsidRDefault="00C336FB" w:rsidP="00C336FB">
      <w:pPr>
        <w:ind w:left="720"/>
        <w:jc w:val="both"/>
        <w:rPr>
          <w:rFonts w:ascii="Verdana" w:hAnsi="Verdana"/>
          <w:sz w:val="20"/>
        </w:rPr>
      </w:pPr>
      <w:proofErr w:type="gramStart"/>
      <w:r w:rsidRPr="002818E7">
        <w:rPr>
          <w:rFonts w:ascii="Verdana" w:hAnsi="Verdana"/>
          <w:sz w:val="20"/>
        </w:rPr>
        <w:t>c</w:t>
      </w:r>
      <w:r w:rsidR="00C60678" w:rsidRPr="00C60678">
        <w:rPr>
          <w:rFonts w:ascii="Verdana" w:hAnsi="Verdana"/>
          <w:sz w:val="20"/>
        </w:rPr>
        <w:t>)</w:t>
      </w:r>
      <w:proofErr w:type="gramEnd"/>
      <w:r w:rsidRPr="002818E7">
        <w:rPr>
          <w:rFonts w:ascii="Verdana" w:hAnsi="Verdana"/>
          <w:sz w:val="20"/>
        </w:rPr>
        <w:tab/>
        <w:t xml:space="preserve">a Comunidade apresentou uma solicitação ambígua e </w:t>
      </w:r>
      <w:r w:rsidR="008429D0">
        <w:rPr>
          <w:rFonts w:ascii="Verdana" w:hAnsi="Verdana"/>
          <w:sz w:val="20"/>
        </w:rPr>
        <w:t>obscura</w:t>
      </w:r>
      <w:r w:rsidR="008429D0" w:rsidRPr="002818E7">
        <w:rPr>
          <w:rFonts w:ascii="Verdana" w:hAnsi="Verdana"/>
          <w:sz w:val="20"/>
        </w:rPr>
        <w:t xml:space="preserve"> </w:t>
      </w:r>
      <w:r w:rsidRPr="002818E7">
        <w:rPr>
          <w:rFonts w:ascii="Verdana" w:hAnsi="Verdana"/>
          <w:sz w:val="20"/>
        </w:rPr>
        <w:t>ao Conselho Regional da RAAN para que lhe ajuda</w:t>
      </w:r>
      <w:r>
        <w:rPr>
          <w:rFonts w:ascii="Verdana" w:hAnsi="Verdana"/>
          <w:sz w:val="20"/>
        </w:rPr>
        <w:t>s</w:t>
      </w:r>
      <w:r w:rsidRPr="002818E7">
        <w:rPr>
          <w:rFonts w:ascii="Verdana" w:hAnsi="Verdana"/>
          <w:sz w:val="20"/>
        </w:rPr>
        <w:t xml:space="preserve">se a preencher um vazio normativo supostamente existente na matéria. Com isso pretendeu obviar os procedimentos de titulação indígena, </w:t>
      </w:r>
      <w:r w:rsidR="008429D0">
        <w:rPr>
          <w:rFonts w:ascii="Verdana" w:hAnsi="Verdana"/>
          <w:sz w:val="20"/>
        </w:rPr>
        <w:t>além</w:t>
      </w:r>
      <w:r w:rsidR="008429D0" w:rsidRPr="002818E7">
        <w:rPr>
          <w:rFonts w:ascii="Verdana" w:hAnsi="Verdana"/>
          <w:sz w:val="20"/>
        </w:rPr>
        <w:t xml:space="preserve"> </w:t>
      </w:r>
      <w:r w:rsidRPr="002818E7">
        <w:rPr>
          <w:rFonts w:ascii="Verdana" w:hAnsi="Verdana"/>
          <w:sz w:val="20"/>
        </w:rPr>
        <w:t xml:space="preserve">de criar confusão ou conflito de competências entre as autoridades da Administração Central e dos Governos Regionais da Costa Atlântica; </w:t>
      </w:r>
    </w:p>
    <w:p w:rsidR="00C336FB" w:rsidRPr="002818E7" w:rsidRDefault="00C336FB" w:rsidP="00C336FB">
      <w:pPr>
        <w:ind w:left="720"/>
        <w:jc w:val="both"/>
        <w:rPr>
          <w:rFonts w:ascii="Verdana" w:hAnsi="Verdana"/>
          <w:b/>
          <w:sz w:val="20"/>
        </w:rPr>
      </w:pPr>
    </w:p>
    <w:p w:rsidR="00C336FB" w:rsidRPr="002818E7" w:rsidRDefault="00C336FB" w:rsidP="00C336FB">
      <w:pPr>
        <w:ind w:left="720"/>
        <w:jc w:val="both"/>
        <w:rPr>
          <w:rFonts w:ascii="Verdana" w:hAnsi="Verdana"/>
          <w:b/>
          <w:sz w:val="20"/>
        </w:rPr>
      </w:pPr>
      <w:proofErr w:type="gramStart"/>
      <w:r w:rsidRPr="002818E7">
        <w:rPr>
          <w:rFonts w:ascii="Verdana" w:hAnsi="Verdana"/>
          <w:sz w:val="20"/>
        </w:rPr>
        <w:t>d</w:t>
      </w:r>
      <w:r w:rsidR="00C60678" w:rsidRPr="00C60678">
        <w:rPr>
          <w:rFonts w:ascii="Verdana" w:hAnsi="Verdana"/>
          <w:sz w:val="20"/>
        </w:rPr>
        <w:t>)</w:t>
      </w:r>
      <w:proofErr w:type="gramEnd"/>
      <w:r w:rsidRPr="002818E7">
        <w:rPr>
          <w:rFonts w:ascii="Verdana" w:hAnsi="Verdana"/>
          <w:sz w:val="20"/>
        </w:rPr>
        <w:tab/>
        <w:t xml:space="preserve">em 7 de novembro de 1997, a Comunidade apresentou um recurso de amparo </w:t>
      </w:r>
      <w:r>
        <w:rPr>
          <w:rFonts w:ascii="Verdana" w:hAnsi="Verdana"/>
          <w:sz w:val="20"/>
        </w:rPr>
        <w:t>per</w:t>
      </w:r>
      <w:r w:rsidRPr="002818E7">
        <w:rPr>
          <w:rFonts w:ascii="Verdana" w:hAnsi="Verdana"/>
          <w:sz w:val="20"/>
        </w:rPr>
        <w:t xml:space="preserve">ante a Corte Suprema de Justiça aduzindo a responsabilidade estatal pelo silêncio administrativo causado pela falta de resolução do Conselho Regional da RAAN, ao desviar a atenção da questão fundamental, aduzindo que a Comunidade não </w:t>
      </w:r>
      <w:r>
        <w:rPr>
          <w:rFonts w:ascii="Verdana" w:hAnsi="Verdana"/>
          <w:sz w:val="20"/>
        </w:rPr>
        <w:t>apresentou</w:t>
      </w:r>
      <w:r w:rsidRPr="002818E7">
        <w:rPr>
          <w:rFonts w:ascii="Verdana" w:hAnsi="Verdana"/>
          <w:sz w:val="20"/>
        </w:rPr>
        <w:t xml:space="preserve"> nenhuma petição de titulação de suas supostas terras ancestrais </w:t>
      </w:r>
      <w:r>
        <w:rPr>
          <w:rFonts w:ascii="Verdana" w:hAnsi="Verdana"/>
          <w:sz w:val="20"/>
        </w:rPr>
        <w:t>per</w:t>
      </w:r>
      <w:r w:rsidRPr="002818E7">
        <w:rPr>
          <w:rFonts w:ascii="Verdana" w:hAnsi="Verdana"/>
          <w:sz w:val="20"/>
        </w:rPr>
        <w:t>ante as autoridades competentes, o qu</w:t>
      </w:r>
      <w:r w:rsidR="008429D0">
        <w:rPr>
          <w:rFonts w:ascii="Verdana" w:hAnsi="Verdana"/>
          <w:sz w:val="20"/>
        </w:rPr>
        <w:t>e</w:t>
      </w:r>
      <w:r w:rsidRPr="002818E7">
        <w:rPr>
          <w:rFonts w:ascii="Verdana" w:hAnsi="Verdana"/>
          <w:sz w:val="20"/>
        </w:rPr>
        <w:t xml:space="preserve"> equivale </w:t>
      </w:r>
      <w:r w:rsidR="008429D0">
        <w:rPr>
          <w:rFonts w:ascii="Verdana" w:hAnsi="Verdana"/>
          <w:sz w:val="20"/>
        </w:rPr>
        <w:t>à</w:t>
      </w:r>
      <w:r w:rsidRPr="002818E7">
        <w:rPr>
          <w:rFonts w:ascii="Verdana" w:hAnsi="Verdana"/>
          <w:sz w:val="20"/>
        </w:rPr>
        <w:t xml:space="preserve"> ausência de pretensão processual;</w:t>
      </w:r>
      <w:r w:rsidRPr="002818E7">
        <w:rPr>
          <w:rFonts w:ascii="Verdana" w:hAnsi="Verdana"/>
          <w:b/>
          <w:sz w:val="20"/>
        </w:rPr>
        <w:t xml:space="preserve"> </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e</w:t>
      </w:r>
      <w:proofErr w:type="gramEnd"/>
      <w:r w:rsidR="00C60678" w:rsidRPr="00C60678">
        <w:rPr>
          <w:rFonts w:ascii="Verdana" w:hAnsi="Verdana"/>
          <w:sz w:val="20"/>
        </w:rPr>
        <w:t>)</w:t>
      </w:r>
      <w:r w:rsidRPr="002818E7">
        <w:rPr>
          <w:rFonts w:ascii="Verdana" w:hAnsi="Verdana"/>
          <w:sz w:val="20"/>
        </w:rPr>
        <w:tab/>
        <w:t xml:space="preserve">a Comunidade </w:t>
      </w:r>
      <w:r w:rsidR="0009348D">
        <w:rPr>
          <w:rFonts w:ascii="Verdana" w:hAnsi="Verdana"/>
          <w:sz w:val="20"/>
        </w:rPr>
        <w:t xml:space="preserve">evitou </w:t>
      </w:r>
      <w:r w:rsidRPr="002818E7">
        <w:rPr>
          <w:rFonts w:ascii="Verdana" w:hAnsi="Verdana"/>
          <w:sz w:val="20"/>
        </w:rPr>
        <w:t xml:space="preserve">os procedimentos internos no direito nicaraguense, reclama terras que não são ancestrais e, mediante o mecanismo da pressão judicial internacional, pretende que se desconheçam os interesses de terceiros na </w:t>
      </w:r>
      <w:r w:rsidR="008E687C">
        <w:rPr>
          <w:rFonts w:ascii="Verdana" w:hAnsi="Verdana"/>
          <w:sz w:val="20"/>
        </w:rPr>
        <w:t>região</w:t>
      </w:r>
      <w:r w:rsidRPr="002818E7">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f</w:t>
      </w:r>
      <w:r w:rsidR="00C60678" w:rsidRPr="00C60678">
        <w:rPr>
          <w:rFonts w:ascii="Verdana" w:hAnsi="Verdana"/>
          <w:sz w:val="20"/>
        </w:rPr>
        <w:t>)</w:t>
      </w:r>
      <w:proofErr w:type="gramEnd"/>
      <w:r w:rsidRPr="002818E7">
        <w:rPr>
          <w:rFonts w:ascii="Verdana" w:hAnsi="Verdana"/>
          <w:sz w:val="20"/>
        </w:rPr>
        <w:tab/>
        <w:t xml:space="preserve">a Comunidade Awas Tingni exerceu deficientemente o direito de petição de titulação de terras, considerando que o fazia valer pelo fato de impugnar a concessão florestal </w:t>
      </w:r>
      <w:r w:rsidR="0009348D">
        <w:rPr>
          <w:rFonts w:ascii="Verdana" w:hAnsi="Verdana"/>
          <w:sz w:val="20"/>
        </w:rPr>
        <w:t>outorgada</w:t>
      </w:r>
      <w:r w:rsidR="0009348D" w:rsidRPr="002818E7">
        <w:rPr>
          <w:rFonts w:ascii="Verdana" w:hAnsi="Verdana"/>
          <w:sz w:val="20"/>
        </w:rPr>
        <w:t xml:space="preserve"> </w:t>
      </w:r>
      <w:r w:rsidRPr="002818E7">
        <w:rPr>
          <w:rFonts w:ascii="Verdana" w:hAnsi="Verdana"/>
          <w:sz w:val="20"/>
        </w:rPr>
        <w:t xml:space="preserve">nas terras que reclama: </w:t>
      </w:r>
    </w:p>
    <w:p w:rsidR="00C336FB" w:rsidRPr="002818E7" w:rsidRDefault="00C336FB" w:rsidP="00C336FB">
      <w:pPr>
        <w:jc w:val="both"/>
        <w:rPr>
          <w:rFonts w:ascii="Verdana" w:hAnsi="Verdana"/>
          <w:sz w:val="20"/>
        </w:rPr>
      </w:pPr>
    </w:p>
    <w:p w:rsidR="00C336FB" w:rsidRPr="002818E7" w:rsidRDefault="00C336FB" w:rsidP="00C336FB">
      <w:pPr>
        <w:numPr>
          <w:ilvl w:val="0"/>
          <w:numId w:val="10"/>
        </w:numPr>
        <w:ind w:left="1418" w:firstLine="0"/>
        <w:jc w:val="both"/>
        <w:rPr>
          <w:rFonts w:ascii="Verdana" w:hAnsi="Verdana"/>
          <w:sz w:val="20"/>
        </w:rPr>
      </w:pPr>
      <w:r w:rsidRPr="002818E7">
        <w:rPr>
          <w:rFonts w:ascii="Verdana" w:hAnsi="Verdana"/>
          <w:sz w:val="20"/>
        </w:rPr>
        <w:t xml:space="preserve">Quando o procedimento administrativo de </w:t>
      </w:r>
      <w:r w:rsidR="009E50CD">
        <w:rPr>
          <w:rFonts w:ascii="Verdana" w:hAnsi="Verdana"/>
          <w:sz w:val="20"/>
        </w:rPr>
        <w:t>outorga da concessão</w:t>
      </w:r>
      <w:r w:rsidRPr="002818E7">
        <w:rPr>
          <w:rFonts w:ascii="Verdana" w:hAnsi="Verdana"/>
          <w:sz w:val="20"/>
        </w:rPr>
        <w:t xml:space="preserve"> florestal estava ainda pendente de ser resolvido e as autoridades do MARENA fizeram público, durante os dias 17, 18 e 19 de maio de 1995, o aviso desta circunstância, para que os terceiros interessados </w:t>
      </w:r>
      <w:r>
        <w:rPr>
          <w:rFonts w:ascii="Verdana" w:hAnsi="Verdana"/>
          <w:sz w:val="20"/>
        </w:rPr>
        <w:t>pudessem se opor</w:t>
      </w:r>
      <w:r w:rsidRPr="002818E7">
        <w:rPr>
          <w:rFonts w:ascii="Verdana" w:hAnsi="Verdana"/>
          <w:sz w:val="20"/>
        </w:rPr>
        <w:t>, a Comunidade</w:t>
      </w:r>
      <w:r>
        <w:rPr>
          <w:rFonts w:ascii="Verdana" w:hAnsi="Verdana"/>
          <w:sz w:val="20"/>
        </w:rPr>
        <w:t xml:space="preserve"> se</w:t>
      </w:r>
      <w:r w:rsidRPr="002818E7">
        <w:rPr>
          <w:rFonts w:ascii="Verdana" w:hAnsi="Verdana"/>
          <w:sz w:val="20"/>
        </w:rPr>
        <w:t xml:space="preserve"> absteve de formular objeção alguma a est</w:t>
      </w:r>
      <w:r>
        <w:rPr>
          <w:rFonts w:ascii="Verdana" w:hAnsi="Verdana"/>
          <w:sz w:val="20"/>
        </w:rPr>
        <w:t>a</w:t>
      </w:r>
      <w:r w:rsidRPr="002818E7">
        <w:rPr>
          <w:rFonts w:ascii="Verdana" w:hAnsi="Verdana"/>
          <w:sz w:val="20"/>
        </w:rPr>
        <w:t xml:space="preserve"> </w:t>
      </w:r>
      <w:r>
        <w:rPr>
          <w:rFonts w:ascii="Verdana" w:hAnsi="Verdana"/>
          <w:sz w:val="20"/>
        </w:rPr>
        <w:t>concessão</w:t>
      </w:r>
      <w:r w:rsidRPr="002818E7">
        <w:rPr>
          <w:rFonts w:ascii="Verdana" w:hAnsi="Verdana"/>
          <w:sz w:val="20"/>
        </w:rPr>
        <w:t>, convertendo-</w:t>
      </w:r>
      <w:r>
        <w:rPr>
          <w:rFonts w:ascii="Verdana" w:hAnsi="Verdana"/>
          <w:sz w:val="20"/>
        </w:rPr>
        <w:t>a</w:t>
      </w:r>
      <w:r w:rsidRPr="002818E7">
        <w:rPr>
          <w:rFonts w:ascii="Verdana" w:hAnsi="Verdana"/>
          <w:sz w:val="20"/>
        </w:rPr>
        <w:t xml:space="preserve"> em um ato consentido.</w:t>
      </w:r>
      <w:r w:rsidRPr="002818E7">
        <w:rPr>
          <w:rFonts w:ascii="Verdana" w:hAnsi="Verdana"/>
          <w:b/>
          <w:sz w:val="20"/>
        </w:rPr>
        <w:t xml:space="preserve"> </w:t>
      </w:r>
    </w:p>
    <w:p w:rsidR="00C336FB" w:rsidRPr="002818E7" w:rsidRDefault="00C336FB" w:rsidP="00C336FB">
      <w:pPr>
        <w:ind w:left="1418"/>
        <w:jc w:val="both"/>
        <w:rPr>
          <w:rFonts w:ascii="Verdana" w:hAnsi="Verdana"/>
          <w:sz w:val="20"/>
        </w:rPr>
      </w:pPr>
    </w:p>
    <w:p w:rsidR="00C336FB" w:rsidRPr="002818E7" w:rsidRDefault="00C336FB" w:rsidP="00C336FB">
      <w:pPr>
        <w:numPr>
          <w:ilvl w:val="0"/>
          <w:numId w:val="10"/>
        </w:numPr>
        <w:ind w:left="1418" w:firstLine="0"/>
        <w:jc w:val="both"/>
        <w:rPr>
          <w:rFonts w:ascii="Verdana" w:hAnsi="Verdana"/>
          <w:sz w:val="20"/>
        </w:rPr>
      </w:pPr>
      <w:r w:rsidRPr="002818E7">
        <w:rPr>
          <w:rFonts w:ascii="Verdana" w:hAnsi="Verdana"/>
          <w:sz w:val="20"/>
        </w:rPr>
        <w:t xml:space="preserve">Uma vez </w:t>
      </w:r>
      <w:r w:rsidR="0009348D">
        <w:rPr>
          <w:rFonts w:ascii="Verdana" w:hAnsi="Verdana"/>
          <w:sz w:val="20"/>
        </w:rPr>
        <w:t xml:space="preserve">outorgada </w:t>
      </w:r>
      <w:proofErr w:type="gramStart"/>
      <w:r>
        <w:rPr>
          <w:rFonts w:ascii="Verdana" w:hAnsi="Verdana"/>
          <w:sz w:val="20"/>
        </w:rPr>
        <w:t>a</w:t>
      </w:r>
      <w:proofErr w:type="gramEnd"/>
      <w:r>
        <w:rPr>
          <w:rFonts w:ascii="Verdana" w:hAnsi="Verdana"/>
          <w:sz w:val="20"/>
        </w:rPr>
        <w:t xml:space="preserve"> concessão </w:t>
      </w:r>
      <w:r w:rsidRPr="002818E7">
        <w:rPr>
          <w:rFonts w:ascii="Verdana" w:hAnsi="Verdana"/>
          <w:sz w:val="20"/>
        </w:rPr>
        <w:t>florestal à empresa SOLCARSA, a Comunidade não fez uso do recurso de amparo dentro do prazo estabelecido no ordenamento jurídico. Com esta grave omissão, absolutamente imputável à parte recorrente, perdeu a possibilidade de que se revisa</w:t>
      </w:r>
      <w:r>
        <w:rPr>
          <w:rFonts w:ascii="Verdana" w:hAnsi="Verdana"/>
          <w:sz w:val="20"/>
        </w:rPr>
        <w:t>ssem</w:t>
      </w:r>
      <w:r w:rsidRPr="002818E7">
        <w:rPr>
          <w:rFonts w:ascii="Verdana" w:hAnsi="Verdana"/>
          <w:sz w:val="20"/>
        </w:rPr>
        <w:t xml:space="preserve"> judicialmente as decisões administrativas relacionadas com a concessão. </w:t>
      </w:r>
    </w:p>
    <w:p w:rsidR="00C336FB" w:rsidRPr="002818E7" w:rsidRDefault="00C336FB" w:rsidP="00C336FB">
      <w:pPr>
        <w:jc w:val="both"/>
        <w:rPr>
          <w:rFonts w:ascii="Verdana" w:hAnsi="Verdana"/>
          <w:sz w:val="20"/>
        </w:rPr>
      </w:pPr>
    </w:p>
    <w:p w:rsidR="00C336FB" w:rsidRPr="002818E7" w:rsidRDefault="00C336FB" w:rsidP="00C336FB">
      <w:pPr>
        <w:numPr>
          <w:ilvl w:val="0"/>
          <w:numId w:val="10"/>
        </w:numPr>
        <w:ind w:left="1418" w:firstLine="0"/>
        <w:jc w:val="both"/>
        <w:rPr>
          <w:rFonts w:ascii="Verdana" w:hAnsi="Verdana"/>
          <w:sz w:val="20"/>
        </w:rPr>
      </w:pPr>
      <w:r w:rsidRPr="002818E7">
        <w:rPr>
          <w:rFonts w:ascii="Verdana" w:hAnsi="Verdana"/>
          <w:sz w:val="20"/>
        </w:rPr>
        <w:t xml:space="preserve">A Comunidade impugnou negligentemente a </w:t>
      </w:r>
      <w:r w:rsidR="008E687C">
        <w:rPr>
          <w:rFonts w:ascii="Verdana" w:hAnsi="Verdana"/>
          <w:sz w:val="20"/>
        </w:rPr>
        <w:t>decisão judicial</w:t>
      </w:r>
      <w:r w:rsidRPr="002818E7">
        <w:rPr>
          <w:rFonts w:ascii="Verdana" w:hAnsi="Verdana"/>
          <w:sz w:val="20"/>
        </w:rPr>
        <w:t xml:space="preserve"> que denegou o amparo refer</w:t>
      </w:r>
      <w:r w:rsidR="0009348D">
        <w:rPr>
          <w:rFonts w:ascii="Verdana" w:hAnsi="Verdana"/>
          <w:sz w:val="20"/>
        </w:rPr>
        <w:t>ido</w:t>
      </w:r>
      <w:r w:rsidRPr="002818E7">
        <w:rPr>
          <w:rFonts w:ascii="Verdana" w:hAnsi="Verdana"/>
          <w:sz w:val="20"/>
        </w:rPr>
        <w:t xml:space="preserve"> </w:t>
      </w:r>
      <w:r w:rsidR="0009348D">
        <w:rPr>
          <w:rFonts w:ascii="Verdana" w:hAnsi="Verdana"/>
          <w:sz w:val="20"/>
        </w:rPr>
        <w:t>n</w:t>
      </w:r>
      <w:r w:rsidRPr="002818E7">
        <w:rPr>
          <w:rFonts w:ascii="Verdana" w:hAnsi="Verdana"/>
          <w:sz w:val="20"/>
        </w:rPr>
        <w:t>o ponto anterior</w:t>
      </w:r>
      <w:r w:rsidRPr="00BD0347">
        <w:rPr>
          <w:rFonts w:ascii="Verdana" w:hAnsi="Verdana"/>
          <w:sz w:val="20"/>
        </w:rPr>
        <w:t>,</w:t>
      </w:r>
      <w:r w:rsidRPr="002818E7">
        <w:rPr>
          <w:rFonts w:ascii="Verdana" w:hAnsi="Verdana"/>
          <w:sz w:val="20"/>
        </w:rPr>
        <w:t xml:space="preserve"> mediante a interposição de outro recurso de amparo pela via de fato, no qu</w:t>
      </w:r>
      <w:r w:rsidR="0009348D">
        <w:rPr>
          <w:rFonts w:ascii="Verdana" w:hAnsi="Verdana"/>
          <w:sz w:val="20"/>
        </w:rPr>
        <w:t>al</w:t>
      </w:r>
      <w:r w:rsidRPr="002818E7">
        <w:rPr>
          <w:rFonts w:ascii="Verdana" w:hAnsi="Verdana"/>
          <w:sz w:val="20"/>
        </w:rPr>
        <w:t xml:space="preserve"> omitiu pedir a suspensão do ato administrativo </w:t>
      </w:r>
      <w:r w:rsidR="0009348D">
        <w:rPr>
          <w:rFonts w:ascii="Verdana" w:hAnsi="Verdana"/>
          <w:sz w:val="20"/>
        </w:rPr>
        <w:t xml:space="preserve">se outorgava </w:t>
      </w:r>
      <w:r w:rsidRPr="002818E7">
        <w:rPr>
          <w:rFonts w:ascii="Verdana" w:hAnsi="Verdana"/>
          <w:sz w:val="20"/>
        </w:rPr>
        <w:t xml:space="preserve">a concessão. Entretanto, a Corte Suprema de Justiça teve que </w:t>
      </w:r>
      <w:r>
        <w:rPr>
          <w:rFonts w:ascii="Verdana" w:hAnsi="Verdana"/>
          <w:sz w:val="20"/>
        </w:rPr>
        <w:t xml:space="preserve">se </w:t>
      </w:r>
      <w:r w:rsidRPr="002818E7">
        <w:rPr>
          <w:rFonts w:ascii="Verdana" w:hAnsi="Verdana"/>
          <w:sz w:val="20"/>
        </w:rPr>
        <w:t>limitar a conhecer o</w:t>
      </w:r>
      <w:r w:rsidR="00EE7FAB">
        <w:rPr>
          <w:rFonts w:ascii="Verdana" w:hAnsi="Verdana"/>
          <w:sz w:val="20"/>
        </w:rPr>
        <w:t xml:space="preserve"> que foi</w:t>
      </w:r>
      <w:r w:rsidRPr="002818E7">
        <w:rPr>
          <w:rFonts w:ascii="Verdana" w:hAnsi="Verdana"/>
          <w:sz w:val="20"/>
        </w:rPr>
        <w:t xml:space="preserve"> estritamente </w:t>
      </w:r>
      <w:r>
        <w:rPr>
          <w:rFonts w:ascii="Verdana" w:hAnsi="Verdana"/>
          <w:sz w:val="20"/>
        </w:rPr>
        <w:t xml:space="preserve">apresentado </w:t>
      </w:r>
      <w:r w:rsidRPr="002818E7">
        <w:rPr>
          <w:rFonts w:ascii="Verdana" w:hAnsi="Verdana"/>
          <w:sz w:val="20"/>
        </w:rPr>
        <w:t xml:space="preserve">pelo recorrente </w:t>
      </w:r>
      <w:r w:rsidR="00C60678" w:rsidRPr="00C60678">
        <w:rPr>
          <w:rFonts w:ascii="Verdana" w:hAnsi="Verdana"/>
          <w:sz w:val="20"/>
        </w:rPr>
        <w:t>(</w:t>
      </w:r>
      <w:r w:rsidRPr="002818E7">
        <w:rPr>
          <w:rFonts w:ascii="Verdana" w:hAnsi="Verdana"/>
          <w:sz w:val="20"/>
        </w:rPr>
        <w:t>princípio de estrito direito na revisão</w:t>
      </w:r>
      <w:r w:rsidR="00C60678" w:rsidRPr="00C60678">
        <w:rPr>
          <w:rFonts w:ascii="Verdana" w:hAnsi="Verdana"/>
          <w:sz w:val="20"/>
        </w:rPr>
        <w:t>)</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numPr>
          <w:ilvl w:val="0"/>
          <w:numId w:val="10"/>
        </w:numPr>
        <w:ind w:left="1418" w:firstLine="0"/>
        <w:jc w:val="both"/>
        <w:rPr>
          <w:rFonts w:ascii="Verdana" w:hAnsi="Verdana"/>
          <w:sz w:val="20"/>
        </w:rPr>
      </w:pPr>
      <w:r w:rsidRPr="002818E7">
        <w:rPr>
          <w:rFonts w:ascii="Verdana" w:hAnsi="Verdana"/>
          <w:sz w:val="20"/>
        </w:rPr>
        <w:t xml:space="preserve">Estando ainda pendente de resolução o recurso pela via de fato, a Comunidade tampouco impugnou a concessão florestal pela via do recurso de inconstitucionalidade, tendo a oportunidade de fazê-lo. Esta </w:t>
      </w:r>
      <w:r w:rsidRPr="002818E7">
        <w:rPr>
          <w:rFonts w:ascii="Verdana" w:hAnsi="Verdana"/>
          <w:sz w:val="20"/>
        </w:rPr>
        <w:lastRenderedPageBreak/>
        <w:t>é outra expressão de exercício negligente de seu direito de petição. A Comunidade teve que depender da ação de um terceiro para obter o que foi incapaz de obter. A obrigação de esgotar os recursos da jurisdição interna recai exclusivamente no peticionário, o qu</w:t>
      </w:r>
      <w:r w:rsidR="0009348D">
        <w:rPr>
          <w:rFonts w:ascii="Verdana" w:hAnsi="Verdana"/>
          <w:sz w:val="20"/>
        </w:rPr>
        <w:t>e</w:t>
      </w:r>
      <w:r w:rsidRPr="002818E7">
        <w:rPr>
          <w:rFonts w:ascii="Verdana" w:hAnsi="Verdana"/>
          <w:sz w:val="20"/>
        </w:rPr>
        <w:t xml:space="preserve"> não pode </w:t>
      </w:r>
      <w:r>
        <w:rPr>
          <w:rFonts w:ascii="Verdana" w:hAnsi="Verdana"/>
          <w:sz w:val="20"/>
        </w:rPr>
        <w:t xml:space="preserve">se </w:t>
      </w:r>
      <w:r w:rsidRPr="002818E7">
        <w:rPr>
          <w:rFonts w:ascii="Verdana" w:hAnsi="Verdana"/>
          <w:sz w:val="20"/>
        </w:rPr>
        <w:t xml:space="preserve">desligar de sua obrigação processual pelos recursos interpostos por terceiros; </w:t>
      </w:r>
    </w:p>
    <w:p w:rsidR="00C336FB" w:rsidRPr="002818E7" w:rsidRDefault="00C336FB" w:rsidP="00C336FB">
      <w:pPr>
        <w:ind w:left="1418"/>
        <w:jc w:val="both"/>
        <w:rPr>
          <w:rFonts w:ascii="Verdana" w:hAnsi="Verdana"/>
          <w:sz w:val="20"/>
        </w:rPr>
      </w:pPr>
    </w:p>
    <w:p w:rsidR="00C336FB" w:rsidRPr="002818E7" w:rsidRDefault="00C336FB" w:rsidP="00C336FB">
      <w:pPr>
        <w:numPr>
          <w:ilvl w:val="0"/>
          <w:numId w:val="10"/>
        </w:numPr>
        <w:ind w:left="1418" w:firstLine="0"/>
        <w:jc w:val="both"/>
        <w:rPr>
          <w:rFonts w:ascii="Verdana" w:hAnsi="Verdana"/>
          <w:sz w:val="20"/>
        </w:rPr>
      </w:pPr>
      <w:r w:rsidRPr="002818E7">
        <w:rPr>
          <w:rFonts w:ascii="Verdana" w:hAnsi="Verdana"/>
          <w:sz w:val="20"/>
        </w:rPr>
        <w:t xml:space="preserve">Quanto à petição de nulidade da concessão florestal </w:t>
      </w:r>
      <w:r w:rsidR="003771FC">
        <w:rPr>
          <w:rFonts w:ascii="Verdana" w:hAnsi="Verdana"/>
          <w:sz w:val="20"/>
        </w:rPr>
        <w:t>entregue</w:t>
      </w:r>
      <w:r w:rsidR="00850A3F">
        <w:rPr>
          <w:rFonts w:ascii="Verdana" w:hAnsi="Verdana"/>
          <w:sz w:val="20"/>
        </w:rPr>
        <w:t xml:space="preserve"> </w:t>
      </w:r>
      <w:r>
        <w:rPr>
          <w:rFonts w:ascii="Verdana" w:hAnsi="Verdana"/>
          <w:sz w:val="20"/>
        </w:rPr>
        <w:t>à</w:t>
      </w:r>
      <w:r w:rsidRPr="002818E7">
        <w:rPr>
          <w:rFonts w:ascii="Verdana" w:hAnsi="Verdana"/>
          <w:sz w:val="20"/>
        </w:rPr>
        <w:t xml:space="preserve"> SOLCARSA, o sistema judicial nicaraguense demo</w:t>
      </w:r>
      <w:r w:rsidR="008E687C">
        <w:rPr>
          <w:rFonts w:ascii="Verdana" w:hAnsi="Verdana"/>
          <w:sz w:val="20"/>
        </w:rPr>
        <w:t>n</w:t>
      </w:r>
      <w:r w:rsidRPr="002818E7">
        <w:rPr>
          <w:rFonts w:ascii="Verdana" w:hAnsi="Verdana"/>
          <w:sz w:val="20"/>
        </w:rPr>
        <w:t>strou ser efetivo</w:t>
      </w:r>
      <w:r>
        <w:rPr>
          <w:rFonts w:ascii="Verdana" w:hAnsi="Verdana"/>
          <w:sz w:val="20"/>
        </w:rPr>
        <w:t>,</w:t>
      </w:r>
      <w:r w:rsidRPr="002818E7">
        <w:rPr>
          <w:rFonts w:ascii="Verdana" w:hAnsi="Verdana"/>
          <w:sz w:val="20"/>
        </w:rPr>
        <w:t xml:space="preserve"> provendo a reparação judicial solicitada</w:t>
      </w:r>
      <w:r w:rsidRPr="00BD0347">
        <w:rPr>
          <w:rFonts w:ascii="Verdana" w:hAnsi="Verdana"/>
          <w:sz w:val="20"/>
        </w:rPr>
        <w:t>,</w:t>
      </w:r>
      <w:r w:rsidRPr="002818E7">
        <w:rPr>
          <w:rFonts w:ascii="Verdana" w:hAnsi="Verdana"/>
          <w:sz w:val="20"/>
        </w:rPr>
        <w:t xml:space="preserve"> com a declaratória de nulidade desta concessão</w:t>
      </w:r>
      <w:r>
        <w:rPr>
          <w:rFonts w:ascii="Verdana" w:hAnsi="Verdana"/>
          <w:sz w:val="20"/>
        </w:rPr>
        <w:t>. Os que</w:t>
      </w:r>
      <w:r w:rsidRPr="002818E7">
        <w:rPr>
          <w:rFonts w:ascii="Verdana" w:hAnsi="Verdana"/>
          <w:sz w:val="20"/>
        </w:rPr>
        <w:t xml:space="preserve"> não demo</w:t>
      </w:r>
      <w:r>
        <w:rPr>
          <w:rFonts w:ascii="Verdana" w:hAnsi="Verdana"/>
          <w:sz w:val="20"/>
        </w:rPr>
        <w:t>n</w:t>
      </w:r>
      <w:r w:rsidRPr="002818E7">
        <w:rPr>
          <w:rFonts w:ascii="Verdana" w:hAnsi="Verdana"/>
          <w:sz w:val="20"/>
        </w:rPr>
        <w:t>straram ser efetivos foram os assessores da Comunidade Awas Tingni que não interpuseram nenhum recurso de inconstitucionalidade contra esta concessão, como sim o fizeram alguns vereadores do Conselho Regional da RAAN</w:t>
      </w:r>
      <w:r>
        <w:rPr>
          <w:rFonts w:ascii="Verdana" w:hAnsi="Verdana"/>
          <w:sz w:val="20"/>
        </w:rPr>
        <w:t xml:space="preserve">. </w:t>
      </w:r>
      <w:r w:rsidRPr="002818E7">
        <w:rPr>
          <w:rFonts w:ascii="Verdana" w:hAnsi="Verdana"/>
          <w:sz w:val="20"/>
        </w:rPr>
        <w:t xml:space="preserve">A respeito do suposto cumprimento tardio da sentença que declarou a nulidade da concessão, </w:t>
      </w:r>
      <w:r w:rsidR="005C2149">
        <w:rPr>
          <w:rFonts w:ascii="Verdana" w:hAnsi="Verdana"/>
          <w:sz w:val="20"/>
        </w:rPr>
        <w:t xml:space="preserve">é preciso </w:t>
      </w:r>
      <w:r w:rsidRPr="002818E7">
        <w:rPr>
          <w:rFonts w:ascii="Verdana" w:hAnsi="Verdana"/>
          <w:sz w:val="20"/>
        </w:rPr>
        <w:t xml:space="preserve">ter em consideração que o Estado solicitou </w:t>
      </w:r>
      <w:r>
        <w:rPr>
          <w:rFonts w:ascii="Verdana" w:hAnsi="Verdana"/>
          <w:sz w:val="20"/>
        </w:rPr>
        <w:t>à</w:t>
      </w:r>
      <w:r w:rsidRPr="002818E7">
        <w:rPr>
          <w:rFonts w:ascii="Verdana" w:hAnsi="Verdana"/>
          <w:sz w:val="20"/>
        </w:rPr>
        <w:t xml:space="preserve"> SOLCARSA a suspensão da concessão pouco tempo depois </w:t>
      </w:r>
      <w:r w:rsidR="005C2149">
        <w:rPr>
          <w:rFonts w:ascii="Verdana" w:hAnsi="Verdana"/>
          <w:sz w:val="20"/>
        </w:rPr>
        <w:t xml:space="preserve">do proferimento </w:t>
      </w:r>
      <w:r w:rsidRPr="002818E7">
        <w:rPr>
          <w:rFonts w:ascii="Verdana" w:hAnsi="Verdana"/>
          <w:sz w:val="20"/>
        </w:rPr>
        <w:t>desta sentença. Adicionalmente, não há clareza sobre a relevância deste tema</w:t>
      </w:r>
      <w:r w:rsidR="005D1B70">
        <w:rPr>
          <w:rFonts w:ascii="Verdana" w:hAnsi="Verdana"/>
          <w:sz w:val="20"/>
        </w:rPr>
        <w:t>, já que</w:t>
      </w:r>
      <w:r w:rsidR="00850A3F">
        <w:rPr>
          <w:rFonts w:ascii="Verdana" w:hAnsi="Verdana"/>
          <w:sz w:val="20"/>
        </w:rPr>
        <w:t xml:space="preserve"> </w:t>
      </w:r>
      <w:r w:rsidRPr="002818E7">
        <w:rPr>
          <w:rFonts w:ascii="Verdana" w:hAnsi="Verdana"/>
          <w:sz w:val="20"/>
        </w:rPr>
        <w:t>o recurso</w:t>
      </w:r>
      <w:r w:rsidR="005D1B70">
        <w:rPr>
          <w:rFonts w:ascii="Verdana" w:hAnsi="Verdana"/>
          <w:sz w:val="20"/>
        </w:rPr>
        <w:t>,</w:t>
      </w:r>
      <w:r w:rsidRPr="002818E7">
        <w:rPr>
          <w:rFonts w:ascii="Verdana" w:hAnsi="Verdana"/>
          <w:sz w:val="20"/>
        </w:rPr>
        <w:t xml:space="preserve"> que deu lugar a essa sentença</w:t>
      </w:r>
      <w:r w:rsidR="005D1B70">
        <w:rPr>
          <w:rFonts w:ascii="Verdana" w:hAnsi="Verdana"/>
          <w:sz w:val="20"/>
        </w:rPr>
        <w:t>,</w:t>
      </w:r>
      <w:r w:rsidRPr="002818E7">
        <w:rPr>
          <w:rFonts w:ascii="Verdana" w:hAnsi="Verdana"/>
          <w:sz w:val="20"/>
        </w:rPr>
        <w:t xml:space="preserve"> foi interposto por um terceiro</w:t>
      </w:r>
      <w:r w:rsidR="008E687C">
        <w:rPr>
          <w:rFonts w:ascii="Verdana" w:hAnsi="Verdana"/>
          <w:sz w:val="20"/>
        </w:rPr>
        <w:t xml:space="preserve"> </w:t>
      </w:r>
      <w:r w:rsidR="005D1B70">
        <w:rPr>
          <w:rFonts w:ascii="Verdana" w:hAnsi="Verdana"/>
          <w:sz w:val="20"/>
        </w:rPr>
        <w:t>alegando</w:t>
      </w:r>
      <w:r w:rsidRPr="002818E7">
        <w:rPr>
          <w:rFonts w:ascii="Verdana" w:hAnsi="Verdana"/>
          <w:sz w:val="20"/>
        </w:rPr>
        <w:t xml:space="preserve"> a inconstitucionalidade de uma </w:t>
      </w:r>
      <w:r w:rsidR="002A016A">
        <w:rPr>
          <w:rFonts w:ascii="Verdana" w:hAnsi="Verdana"/>
          <w:sz w:val="20"/>
        </w:rPr>
        <w:t>concessão outorgada</w:t>
      </w:r>
      <w:r w:rsidRPr="002818E7">
        <w:rPr>
          <w:rFonts w:ascii="Verdana" w:hAnsi="Verdana"/>
          <w:sz w:val="20"/>
        </w:rPr>
        <w:t xml:space="preserve"> em áreas que Awas Tingni</w:t>
      </w:r>
      <w:r>
        <w:rPr>
          <w:rFonts w:ascii="Verdana" w:hAnsi="Verdana"/>
          <w:sz w:val="20"/>
        </w:rPr>
        <w:t xml:space="preserve"> </w:t>
      </w:r>
      <w:r w:rsidRPr="002818E7">
        <w:rPr>
          <w:rFonts w:ascii="Verdana" w:hAnsi="Verdana"/>
          <w:sz w:val="20"/>
        </w:rPr>
        <w:t>reclama sem haver demo</w:t>
      </w:r>
      <w:r>
        <w:rPr>
          <w:rFonts w:ascii="Verdana" w:hAnsi="Verdana"/>
          <w:sz w:val="20"/>
        </w:rPr>
        <w:t>n</w:t>
      </w:r>
      <w:r w:rsidRPr="002818E7">
        <w:rPr>
          <w:rFonts w:ascii="Verdana" w:hAnsi="Verdana"/>
          <w:sz w:val="20"/>
        </w:rPr>
        <w:t xml:space="preserve">strado ancestralidade nem propriedade;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g</w:t>
      </w:r>
      <w:r w:rsidR="00C60678" w:rsidRPr="00C60678">
        <w:rPr>
          <w:rFonts w:ascii="Verdana" w:hAnsi="Verdana"/>
          <w:sz w:val="20"/>
        </w:rPr>
        <w:t>)</w:t>
      </w:r>
      <w:proofErr w:type="gramEnd"/>
      <w:r w:rsidRPr="002818E7">
        <w:rPr>
          <w:rFonts w:ascii="Verdana" w:hAnsi="Verdana"/>
          <w:sz w:val="20"/>
        </w:rPr>
        <w:tab/>
        <w:t>o direito de Awas Tingni à titulação das terras n</w:t>
      </w:r>
      <w:r>
        <w:rPr>
          <w:rFonts w:ascii="Verdana" w:hAnsi="Verdana"/>
          <w:sz w:val="20"/>
        </w:rPr>
        <w:t>ão ancestrais que ocupa</w:t>
      </w:r>
      <w:r w:rsidRPr="002818E7">
        <w:rPr>
          <w:rFonts w:ascii="Verdana" w:hAnsi="Verdana"/>
          <w:sz w:val="20"/>
        </w:rPr>
        <w:t xml:space="preserve"> estaria sujeito a que o Estado </w:t>
      </w:r>
      <w:r w:rsidR="0009348D">
        <w:rPr>
          <w:rFonts w:ascii="Verdana" w:hAnsi="Verdana"/>
          <w:sz w:val="20"/>
        </w:rPr>
        <w:t xml:space="preserve">o </w:t>
      </w:r>
      <w:r w:rsidRPr="002818E7">
        <w:rPr>
          <w:rFonts w:ascii="Verdana" w:hAnsi="Verdana"/>
          <w:sz w:val="20"/>
        </w:rPr>
        <w:t xml:space="preserve">determine, </w:t>
      </w:r>
      <w:r w:rsidR="0009348D">
        <w:rPr>
          <w:rFonts w:ascii="Verdana" w:hAnsi="Verdana"/>
          <w:sz w:val="20"/>
        </w:rPr>
        <w:t xml:space="preserve">mediante </w:t>
      </w:r>
      <w:r w:rsidRPr="002818E7">
        <w:rPr>
          <w:rFonts w:ascii="Verdana" w:hAnsi="Verdana"/>
          <w:sz w:val="20"/>
        </w:rPr>
        <w:t xml:space="preserve">prévia consulta a esta Comunidade;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h</w:t>
      </w:r>
      <w:r w:rsidR="00C60678" w:rsidRPr="00C60678">
        <w:rPr>
          <w:rFonts w:ascii="Verdana" w:hAnsi="Verdana"/>
          <w:sz w:val="20"/>
        </w:rPr>
        <w:t>)</w:t>
      </w:r>
      <w:proofErr w:type="gramEnd"/>
      <w:r w:rsidRPr="002818E7">
        <w:rPr>
          <w:rFonts w:ascii="Verdana" w:hAnsi="Verdana"/>
          <w:sz w:val="20"/>
        </w:rPr>
        <w:tab/>
        <w:t xml:space="preserve">a Comissão </w:t>
      </w:r>
      <w:r>
        <w:rPr>
          <w:rFonts w:ascii="Verdana" w:hAnsi="Verdana"/>
          <w:sz w:val="20"/>
        </w:rPr>
        <w:t>disse</w:t>
      </w:r>
      <w:r w:rsidRPr="002818E7">
        <w:rPr>
          <w:rFonts w:ascii="Verdana" w:hAnsi="Verdana"/>
          <w:sz w:val="20"/>
        </w:rPr>
        <w:t xml:space="preserve"> que a Nicarágua dá a desculpa de que </w:t>
      </w:r>
      <w:r w:rsidR="0009348D">
        <w:rPr>
          <w:rFonts w:ascii="Verdana" w:hAnsi="Verdana"/>
          <w:sz w:val="20"/>
        </w:rPr>
        <w:t xml:space="preserve">a terra da </w:t>
      </w:r>
      <w:r w:rsidR="0009348D" w:rsidRPr="002818E7">
        <w:rPr>
          <w:rFonts w:ascii="Verdana" w:hAnsi="Verdana"/>
          <w:sz w:val="20"/>
        </w:rPr>
        <w:t xml:space="preserve">Comunidade Awas Tingni </w:t>
      </w:r>
      <w:r w:rsidRPr="002818E7">
        <w:rPr>
          <w:rFonts w:ascii="Verdana" w:hAnsi="Verdana"/>
          <w:sz w:val="20"/>
        </w:rPr>
        <w:t xml:space="preserve">não </w:t>
      </w:r>
      <w:r>
        <w:rPr>
          <w:rFonts w:ascii="Verdana" w:hAnsi="Verdana"/>
          <w:sz w:val="20"/>
        </w:rPr>
        <w:t xml:space="preserve">foi titulada </w:t>
      </w:r>
      <w:r w:rsidRPr="002818E7">
        <w:rPr>
          <w:rFonts w:ascii="Verdana" w:hAnsi="Verdana"/>
          <w:sz w:val="20"/>
        </w:rPr>
        <w:t xml:space="preserve">porque </w:t>
      </w:r>
      <w:r>
        <w:rPr>
          <w:rFonts w:ascii="Verdana" w:hAnsi="Verdana"/>
          <w:sz w:val="20"/>
        </w:rPr>
        <w:t>a reivindicação</w:t>
      </w:r>
      <w:r w:rsidRPr="002818E7">
        <w:rPr>
          <w:rFonts w:ascii="Verdana" w:hAnsi="Verdana"/>
          <w:sz w:val="20"/>
        </w:rPr>
        <w:t xml:space="preserve"> territorial apresentad</w:t>
      </w:r>
      <w:r>
        <w:rPr>
          <w:rFonts w:ascii="Verdana" w:hAnsi="Verdana"/>
          <w:sz w:val="20"/>
        </w:rPr>
        <w:t>a</w:t>
      </w:r>
      <w:r w:rsidRPr="002818E7">
        <w:rPr>
          <w:rFonts w:ascii="Verdana" w:hAnsi="Verdana"/>
          <w:sz w:val="20"/>
        </w:rPr>
        <w:t xml:space="preserve"> por esta última é complex</w:t>
      </w:r>
      <w:r w:rsidR="003771FC">
        <w:rPr>
          <w:rFonts w:ascii="Verdana" w:hAnsi="Verdana"/>
          <w:sz w:val="20"/>
        </w:rPr>
        <w:t>a</w:t>
      </w:r>
      <w:r w:rsidR="0009348D">
        <w:rPr>
          <w:rFonts w:ascii="Verdana" w:hAnsi="Verdana"/>
          <w:sz w:val="20"/>
        </w:rPr>
        <w:t>.</w:t>
      </w:r>
      <w:r w:rsidRPr="002818E7">
        <w:rPr>
          <w:rFonts w:ascii="Verdana" w:hAnsi="Verdana"/>
          <w:sz w:val="20"/>
        </w:rPr>
        <w:t xml:space="preserve"> Entretanto, não </w:t>
      </w:r>
      <w:r>
        <w:rPr>
          <w:rFonts w:ascii="Verdana" w:hAnsi="Verdana"/>
          <w:sz w:val="20"/>
        </w:rPr>
        <w:t>foi resolvida</w:t>
      </w:r>
      <w:r w:rsidRPr="002818E7">
        <w:rPr>
          <w:rFonts w:ascii="Verdana" w:hAnsi="Verdana"/>
          <w:sz w:val="20"/>
        </w:rPr>
        <w:t xml:space="preserve"> </w:t>
      </w:r>
      <w:r>
        <w:rPr>
          <w:rFonts w:ascii="Verdana" w:hAnsi="Verdana"/>
          <w:sz w:val="20"/>
        </w:rPr>
        <w:t xml:space="preserve">esta reivindicação </w:t>
      </w:r>
      <w:r w:rsidRPr="002818E7">
        <w:rPr>
          <w:rFonts w:ascii="Verdana" w:hAnsi="Verdana"/>
          <w:sz w:val="20"/>
        </w:rPr>
        <w:t xml:space="preserve">porque Awas Tingni não </w:t>
      </w:r>
      <w:r>
        <w:rPr>
          <w:rFonts w:ascii="Verdana" w:hAnsi="Verdana"/>
          <w:sz w:val="20"/>
        </w:rPr>
        <w:t>demonstrou</w:t>
      </w:r>
      <w:r w:rsidRPr="002818E7">
        <w:rPr>
          <w:rFonts w:ascii="Verdana" w:hAnsi="Verdana"/>
          <w:sz w:val="20"/>
        </w:rPr>
        <w:t xml:space="preserve"> reunir os requisitos necessários para fundamentar </w:t>
      </w:r>
      <w:r>
        <w:rPr>
          <w:rFonts w:ascii="Verdana" w:hAnsi="Verdana"/>
          <w:sz w:val="20"/>
        </w:rPr>
        <w:t>essa reivindicação</w:t>
      </w:r>
      <w:r w:rsidRPr="002818E7">
        <w:rPr>
          <w:rFonts w:ascii="Verdana" w:hAnsi="Verdana"/>
          <w:sz w:val="20"/>
        </w:rPr>
        <w:t xml:space="preserve">, em particular </w:t>
      </w:r>
      <w:r>
        <w:rPr>
          <w:rFonts w:ascii="Verdana" w:hAnsi="Verdana"/>
          <w:sz w:val="20"/>
        </w:rPr>
        <w:t>a</w:t>
      </w:r>
      <w:r w:rsidRPr="002818E7">
        <w:rPr>
          <w:rFonts w:ascii="Verdana" w:hAnsi="Verdana"/>
          <w:sz w:val="20"/>
        </w:rPr>
        <w:t xml:space="preserve"> da ocupação ancestral das terras ancestrais; </w:t>
      </w:r>
      <w:proofErr w:type="gramStart"/>
      <w:r w:rsidRPr="002818E7">
        <w:rPr>
          <w:rFonts w:ascii="Verdana" w:hAnsi="Verdana"/>
          <w:sz w:val="20"/>
        </w:rPr>
        <w:t>e</w:t>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i</w:t>
      </w:r>
      <w:r w:rsidR="00C60678" w:rsidRPr="00C60678">
        <w:rPr>
          <w:rFonts w:ascii="Verdana" w:hAnsi="Verdana"/>
          <w:sz w:val="20"/>
        </w:rPr>
        <w:t>)</w:t>
      </w:r>
      <w:proofErr w:type="gramEnd"/>
      <w:r w:rsidRPr="002818E7">
        <w:rPr>
          <w:rFonts w:ascii="Verdana" w:hAnsi="Verdana"/>
          <w:sz w:val="20"/>
        </w:rPr>
        <w:tab/>
        <w:t xml:space="preserve">o Estado tem </w:t>
      </w:r>
      <w:r w:rsidR="005C2149">
        <w:rPr>
          <w:rFonts w:ascii="Verdana" w:hAnsi="Verdana"/>
          <w:sz w:val="20"/>
        </w:rPr>
        <w:t>promovido</w:t>
      </w:r>
      <w:r w:rsidRPr="002818E7">
        <w:rPr>
          <w:rFonts w:ascii="Verdana" w:hAnsi="Verdana"/>
          <w:sz w:val="20"/>
        </w:rPr>
        <w:t xml:space="preserve"> iniciativas importantes em matéria de titulação das terras </w:t>
      </w:r>
      <w:r w:rsidR="005D1B70">
        <w:rPr>
          <w:rFonts w:ascii="Verdana" w:hAnsi="Verdana"/>
          <w:sz w:val="20"/>
        </w:rPr>
        <w:t>comunitárias</w:t>
      </w:r>
      <w:r w:rsidR="005D1B70" w:rsidRPr="002818E7">
        <w:rPr>
          <w:rFonts w:ascii="Verdana" w:hAnsi="Verdana"/>
          <w:sz w:val="20"/>
        </w:rPr>
        <w:t xml:space="preserve"> </w:t>
      </w:r>
      <w:r w:rsidRPr="002818E7">
        <w:rPr>
          <w:rFonts w:ascii="Verdana" w:hAnsi="Verdana"/>
          <w:sz w:val="20"/>
        </w:rPr>
        <w:t>das comunidades indígenas da Costa Atlântica.</w:t>
      </w:r>
    </w:p>
    <w:p w:rsidR="00C336FB" w:rsidRPr="002818E7" w:rsidRDefault="00C336FB" w:rsidP="00C336FB">
      <w:pPr>
        <w:jc w:val="both"/>
        <w:rPr>
          <w:rFonts w:ascii="Verdana" w:hAnsi="Verdana"/>
          <w:sz w:val="20"/>
        </w:rPr>
      </w:pPr>
    </w:p>
    <w:p w:rsidR="00C336FB" w:rsidRPr="002818E7" w:rsidRDefault="00C336FB" w:rsidP="00C336FB">
      <w:pPr>
        <w:jc w:val="center"/>
        <w:rPr>
          <w:rFonts w:ascii="Verdana" w:hAnsi="Verdana"/>
          <w:b/>
          <w:sz w:val="20"/>
        </w:rPr>
      </w:pPr>
      <w:r w:rsidRPr="002818E7">
        <w:rPr>
          <w:rFonts w:ascii="Verdana" w:hAnsi="Verdana"/>
          <w:b/>
          <w:sz w:val="20"/>
        </w:rPr>
        <w:t>*</w:t>
      </w:r>
    </w:p>
    <w:p w:rsidR="00C336FB" w:rsidRPr="002818E7" w:rsidRDefault="00C336FB" w:rsidP="00C336FB">
      <w:pPr>
        <w:jc w:val="center"/>
        <w:rPr>
          <w:rFonts w:ascii="Verdana" w:hAnsi="Verdana"/>
          <w:b/>
          <w:sz w:val="20"/>
        </w:rPr>
      </w:pPr>
      <w:r w:rsidRPr="002818E7">
        <w:rPr>
          <w:rFonts w:ascii="Verdana" w:hAnsi="Verdana"/>
          <w:b/>
          <w:sz w:val="20"/>
        </w:rPr>
        <w:t>*</w:t>
      </w:r>
      <w:r w:rsidRPr="002818E7">
        <w:rPr>
          <w:rFonts w:ascii="Verdana" w:hAnsi="Verdana"/>
          <w:b/>
          <w:sz w:val="20"/>
        </w:rPr>
        <w:tab/>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i/>
          <w:sz w:val="20"/>
        </w:rPr>
      </w:pPr>
      <w:r w:rsidRPr="002818E7">
        <w:rPr>
          <w:rFonts w:ascii="Verdana" w:hAnsi="Verdana"/>
          <w:i/>
          <w:sz w:val="20"/>
        </w:rPr>
        <w:t>Considerações da Corte</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sz w:val="20"/>
        </w:rPr>
      </w:pPr>
      <w:r w:rsidRPr="002818E7">
        <w:rPr>
          <w:rFonts w:ascii="Verdana" w:hAnsi="Verdana"/>
          <w:sz w:val="20"/>
        </w:rPr>
        <w:t>106.</w:t>
      </w:r>
      <w:r w:rsidRPr="002818E7">
        <w:rPr>
          <w:rFonts w:ascii="Verdana" w:hAnsi="Verdana"/>
          <w:sz w:val="20"/>
        </w:rPr>
        <w:tab/>
        <w:t>O artigo 25 da Convenção indica que:</w:t>
      </w:r>
    </w:p>
    <w:p w:rsidR="00C336FB" w:rsidRPr="002818E7" w:rsidRDefault="00C336FB" w:rsidP="00C336FB">
      <w:pPr>
        <w:jc w:val="both"/>
        <w:rPr>
          <w:rFonts w:ascii="Verdana" w:hAnsi="Verdana"/>
          <w:sz w:val="20"/>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1.</w:t>
      </w:r>
      <w:r w:rsidRPr="00067F5C">
        <w:rPr>
          <w:rFonts w:ascii="Verdana" w:hAnsi="Verdana"/>
          <w:sz w:val="18"/>
          <w:szCs w:val="18"/>
        </w:rPr>
        <w:tab/>
        <w:t>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2.</w:t>
      </w:r>
      <w:r w:rsidRPr="00067F5C">
        <w:rPr>
          <w:rFonts w:ascii="Verdana" w:hAnsi="Verdana"/>
          <w:sz w:val="18"/>
          <w:szCs w:val="18"/>
        </w:rPr>
        <w:tab/>
      </w:r>
      <w:proofErr w:type="gramStart"/>
      <w:r w:rsidRPr="00067F5C">
        <w:rPr>
          <w:rFonts w:ascii="Verdana" w:hAnsi="Verdana"/>
          <w:sz w:val="18"/>
          <w:szCs w:val="18"/>
        </w:rPr>
        <w:t>Os Estados Partes</w:t>
      </w:r>
      <w:proofErr w:type="gramEnd"/>
      <w:r w:rsidRPr="00067F5C">
        <w:rPr>
          <w:rFonts w:ascii="Verdana" w:hAnsi="Verdana"/>
          <w:sz w:val="18"/>
          <w:szCs w:val="18"/>
        </w:rPr>
        <w:t xml:space="preserve"> comprometem-se:</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proofErr w:type="gramStart"/>
      <w:r w:rsidRPr="00067F5C">
        <w:rPr>
          <w:rFonts w:ascii="Verdana" w:hAnsi="Verdana"/>
          <w:sz w:val="18"/>
          <w:szCs w:val="18"/>
        </w:rPr>
        <w:lastRenderedPageBreak/>
        <w:t>a.</w:t>
      </w:r>
      <w:proofErr w:type="gramEnd"/>
      <w:r w:rsidRPr="00067F5C">
        <w:rPr>
          <w:rFonts w:ascii="Verdana" w:hAnsi="Verdana"/>
          <w:sz w:val="18"/>
          <w:szCs w:val="18"/>
        </w:rPr>
        <w:tab/>
        <w:t>a assegurar que a autoridade competente prevista pelo sistema legal do Estado decida sobre os direitos de toda pessoa que interpuser tal recurso;</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proofErr w:type="gramStart"/>
      <w:r w:rsidRPr="00067F5C">
        <w:rPr>
          <w:rFonts w:ascii="Verdana" w:hAnsi="Verdana"/>
          <w:sz w:val="18"/>
          <w:szCs w:val="18"/>
        </w:rPr>
        <w:t>b.</w:t>
      </w:r>
      <w:proofErr w:type="gramEnd"/>
      <w:r w:rsidRPr="00067F5C">
        <w:rPr>
          <w:rFonts w:ascii="Verdana" w:hAnsi="Verdana"/>
          <w:sz w:val="18"/>
          <w:szCs w:val="18"/>
        </w:rPr>
        <w:tab/>
        <w:t>a desenvolver as possibilidades de recurso judicial, e</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proofErr w:type="gramStart"/>
      <w:r w:rsidRPr="00067F5C">
        <w:rPr>
          <w:rFonts w:ascii="Verdana" w:hAnsi="Verdana"/>
          <w:sz w:val="18"/>
          <w:szCs w:val="18"/>
        </w:rPr>
        <w:t>c.</w:t>
      </w:r>
      <w:proofErr w:type="gramEnd"/>
      <w:r w:rsidRPr="00067F5C">
        <w:rPr>
          <w:rFonts w:ascii="Verdana" w:hAnsi="Verdana"/>
          <w:sz w:val="18"/>
          <w:szCs w:val="18"/>
        </w:rPr>
        <w:tab/>
        <w:t>a assegurar o cumprimento, pelas autoridades competentes, de toda decisão em que se tenha considerado procedente o recurso.</w:t>
      </w:r>
    </w:p>
    <w:p w:rsidR="00C336FB" w:rsidRPr="00067F5C" w:rsidRDefault="00C336FB" w:rsidP="00C336FB">
      <w:pPr>
        <w:jc w:val="both"/>
        <w:rPr>
          <w:rFonts w:ascii="Verdana" w:hAnsi="Verdana"/>
          <w:sz w:val="18"/>
          <w:szCs w:val="18"/>
        </w:rPr>
      </w:pPr>
    </w:p>
    <w:p w:rsidR="00C336FB" w:rsidRPr="002818E7" w:rsidRDefault="00C336FB" w:rsidP="00C336FB">
      <w:pPr>
        <w:jc w:val="both"/>
        <w:rPr>
          <w:rFonts w:ascii="Verdana" w:hAnsi="Verdana"/>
          <w:sz w:val="20"/>
        </w:rPr>
      </w:pPr>
      <w:r w:rsidRPr="002818E7">
        <w:rPr>
          <w:rFonts w:ascii="Verdana" w:hAnsi="Verdana"/>
          <w:sz w:val="20"/>
        </w:rPr>
        <w:t>107.</w:t>
      </w:r>
      <w:r w:rsidRPr="002818E7">
        <w:rPr>
          <w:rFonts w:ascii="Verdana" w:hAnsi="Verdana"/>
          <w:sz w:val="20"/>
        </w:rPr>
        <w:tab/>
        <w:t xml:space="preserve">O artigo 1.1 da Convenção estabelece </w:t>
      </w:r>
      <w:proofErr w:type="gramStart"/>
      <w:r w:rsidRPr="002818E7">
        <w:rPr>
          <w:rFonts w:ascii="Verdana" w:hAnsi="Verdana"/>
          <w:sz w:val="20"/>
        </w:rPr>
        <w:t>que</w:t>
      </w:r>
      <w:proofErr w:type="gramEnd"/>
    </w:p>
    <w:p w:rsidR="00D72E24" w:rsidRPr="00067F5C" w:rsidRDefault="00D72E24"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[o]s Estados partes nesta Convenção comprometem-se a respeitar os direitos e liberdades nela reconhecidos e a garantir seu livre e pleno exercício a toda pessoa que esteja sujeita à sua jurisdição, sem discriminação alguma por motivos de raça, cor, sexo, idioma, religião, opiniões políticas ou de qualquer outra natureza, origem nacional ou social, posição econômica, nascimento ou qualquer outra condição social.</w:t>
      </w:r>
    </w:p>
    <w:p w:rsidR="00C336FB" w:rsidRPr="00067F5C" w:rsidRDefault="00C336FB" w:rsidP="00C336FB">
      <w:pPr>
        <w:jc w:val="both"/>
        <w:rPr>
          <w:rFonts w:ascii="Verdana" w:hAnsi="Verdana"/>
          <w:sz w:val="18"/>
          <w:szCs w:val="18"/>
        </w:rPr>
      </w:pPr>
    </w:p>
    <w:p w:rsidR="00C336FB" w:rsidRPr="002818E7" w:rsidRDefault="00C336FB" w:rsidP="00C336FB">
      <w:pPr>
        <w:jc w:val="both"/>
        <w:rPr>
          <w:rFonts w:ascii="Verdana" w:hAnsi="Verdana"/>
          <w:sz w:val="20"/>
        </w:rPr>
      </w:pPr>
      <w:r w:rsidRPr="002818E7">
        <w:rPr>
          <w:rFonts w:ascii="Verdana" w:hAnsi="Verdana"/>
          <w:sz w:val="20"/>
        </w:rPr>
        <w:t>108.</w:t>
      </w:r>
      <w:r w:rsidRPr="002818E7">
        <w:rPr>
          <w:rFonts w:ascii="Verdana" w:hAnsi="Verdana"/>
          <w:sz w:val="20"/>
        </w:rPr>
        <w:tab/>
        <w:t xml:space="preserve">Por sua vez, o artigo </w:t>
      </w:r>
      <w:proofErr w:type="gramStart"/>
      <w:r w:rsidRPr="002818E7">
        <w:rPr>
          <w:rFonts w:ascii="Verdana" w:hAnsi="Verdana"/>
          <w:sz w:val="20"/>
        </w:rPr>
        <w:t>2</w:t>
      </w:r>
      <w:proofErr w:type="gramEnd"/>
      <w:r w:rsidRPr="002818E7">
        <w:rPr>
          <w:rFonts w:ascii="Verdana" w:hAnsi="Verdana"/>
          <w:sz w:val="20"/>
        </w:rPr>
        <w:t xml:space="preserve"> da Convenção determina que </w:t>
      </w:r>
    </w:p>
    <w:p w:rsidR="00C336FB" w:rsidRPr="002818E7" w:rsidRDefault="00C336FB" w:rsidP="00C336FB">
      <w:pPr>
        <w:jc w:val="both"/>
        <w:rPr>
          <w:rFonts w:ascii="Verdana" w:hAnsi="Verdana"/>
          <w:sz w:val="20"/>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[s</w:t>
      </w:r>
      <w:proofErr w:type="gramStart"/>
      <w:r w:rsidRPr="00067F5C">
        <w:rPr>
          <w:rFonts w:ascii="Verdana" w:hAnsi="Verdana"/>
          <w:sz w:val="18"/>
          <w:szCs w:val="18"/>
        </w:rPr>
        <w:t>]e</w:t>
      </w:r>
      <w:proofErr w:type="gramEnd"/>
      <w:r w:rsidRPr="00067F5C">
        <w:rPr>
          <w:rFonts w:ascii="Verdana" w:hAnsi="Verdana"/>
          <w:sz w:val="18"/>
          <w:szCs w:val="18"/>
        </w:rPr>
        <w:t xml:space="preserve"> o exercício dos direitos e liberdades mencionados no artigo 1 ainda não estiver garantido por disposições legislativas ou de outra natureza, os Estados partes comprometem-se a adotar, de acordo com as suas normas constitucionais e com as disposições desta Convenção, as medidas legislativas ou de outra natureza que forem necessárias para tornar efetivos tais direitos e liberdades.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109.</w:t>
      </w:r>
      <w:r w:rsidRPr="002818E7">
        <w:rPr>
          <w:rFonts w:ascii="Verdana" w:hAnsi="Verdana"/>
          <w:sz w:val="20"/>
        </w:rPr>
        <w:tab/>
        <w:t>A Comissão alega, como ponto fundamental, a falta de reconhecimento</w:t>
      </w:r>
      <w:r w:rsidR="00FC782C">
        <w:rPr>
          <w:rFonts w:ascii="Verdana" w:hAnsi="Verdana"/>
          <w:sz w:val="20"/>
        </w:rPr>
        <w:t>,</w:t>
      </w:r>
      <w:r w:rsidRPr="002818E7">
        <w:rPr>
          <w:rFonts w:ascii="Verdana" w:hAnsi="Verdana"/>
          <w:sz w:val="20"/>
        </w:rPr>
        <w:t xml:space="preserve"> por parte da Nicarágua</w:t>
      </w:r>
      <w:r w:rsidR="00FC782C">
        <w:rPr>
          <w:rFonts w:ascii="Verdana" w:hAnsi="Verdana"/>
          <w:sz w:val="20"/>
        </w:rPr>
        <w:t>,</w:t>
      </w:r>
      <w:r w:rsidRPr="002818E7">
        <w:rPr>
          <w:rFonts w:ascii="Verdana" w:hAnsi="Verdana"/>
          <w:sz w:val="20"/>
        </w:rPr>
        <w:t xml:space="preserve"> dos direitos da Comunidade Awas Tingni, e mais concretamente, a ineficácia dos procedimentos estabelecidos na legislação para fazer efetivos estes direitos das comunidades indígenas e a falta de demarcação das terras possuídas por esta Comunidade</w:t>
      </w:r>
      <w:r>
        <w:rPr>
          <w:rFonts w:ascii="Verdana" w:hAnsi="Verdana"/>
          <w:sz w:val="20"/>
        </w:rPr>
        <w:t xml:space="preserve">. </w:t>
      </w:r>
      <w:r w:rsidRPr="002818E7">
        <w:rPr>
          <w:rFonts w:ascii="Verdana" w:hAnsi="Verdana"/>
          <w:sz w:val="20"/>
        </w:rPr>
        <w:t>Acrescenta a Comissão que, apesar das múltiplas gestões realizadas pela Comunidade,</w:t>
      </w:r>
      <w:r w:rsidR="00402493">
        <w:rPr>
          <w:rFonts w:ascii="Verdana" w:hAnsi="Verdana"/>
          <w:sz w:val="20"/>
        </w:rPr>
        <w:t xml:space="preserve"> esta</w:t>
      </w:r>
      <w:r w:rsidRPr="002818E7">
        <w:rPr>
          <w:rFonts w:ascii="Verdana" w:hAnsi="Verdana"/>
          <w:sz w:val="20"/>
        </w:rPr>
        <w:t xml:space="preserve"> ainda não </w:t>
      </w:r>
      <w:r>
        <w:rPr>
          <w:rFonts w:ascii="Verdana" w:hAnsi="Verdana"/>
          <w:sz w:val="20"/>
        </w:rPr>
        <w:t>alcançou</w:t>
      </w:r>
      <w:r w:rsidRPr="002818E7">
        <w:rPr>
          <w:rFonts w:ascii="Verdana" w:hAnsi="Verdana"/>
          <w:sz w:val="20"/>
        </w:rPr>
        <w:t xml:space="preserve"> um reconhecimento estatal à propriedade </w:t>
      </w:r>
      <w:r w:rsidR="00402493">
        <w:rPr>
          <w:rFonts w:ascii="Verdana" w:hAnsi="Verdana"/>
          <w:sz w:val="20"/>
        </w:rPr>
        <w:t>comunitária</w:t>
      </w:r>
      <w:r w:rsidR="00402493" w:rsidRPr="002818E7">
        <w:rPr>
          <w:rFonts w:ascii="Verdana" w:hAnsi="Verdana"/>
          <w:sz w:val="20"/>
        </w:rPr>
        <w:t xml:space="preserve"> </w:t>
      </w:r>
      <w:r w:rsidRPr="002818E7">
        <w:rPr>
          <w:rFonts w:ascii="Verdana" w:hAnsi="Verdana"/>
          <w:sz w:val="20"/>
        </w:rPr>
        <w:t xml:space="preserve">e, </w:t>
      </w:r>
      <w:r w:rsidR="00D72E24">
        <w:rPr>
          <w:rFonts w:ascii="Verdana" w:hAnsi="Verdana"/>
          <w:sz w:val="20"/>
        </w:rPr>
        <w:t>além disso</w:t>
      </w:r>
      <w:r w:rsidRPr="002818E7">
        <w:rPr>
          <w:rFonts w:ascii="Verdana" w:hAnsi="Verdana"/>
          <w:sz w:val="20"/>
        </w:rPr>
        <w:t xml:space="preserve">, </w:t>
      </w:r>
      <w:r w:rsidR="007274D4">
        <w:rPr>
          <w:rFonts w:ascii="Verdana" w:hAnsi="Verdana"/>
          <w:sz w:val="20"/>
        </w:rPr>
        <w:t>foi</w:t>
      </w:r>
      <w:r w:rsidRPr="002818E7">
        <w:rPr>
          <w:rFonts w:ascii="Verdana" w:hAnsi="Verdana"/>
          <w:sz w:val="20"/>
        </w:rPr>
        <w:t xml:space="preserve"> prejudicada por uma concessão madeireira </w:t>
      </w:r>
      <w:r>
        <w:rPr>
          <w:rFonts w:ascii="Verdana" w:hAnsi="Verdana"/>
          <w:sz w:val="20"/>
        </w:rPr>
        <w:t>entregue</w:t>
      </w:r>
      <w:r w:rsidRPr="002818E7">
        <w:rPr>
          <w:rFonts w:ascii="Verdana" w:hAnsi="Verdana"/>
          <w:sz w:val="20"/>
        </w:rPr>
        <w:t xml:space="preserve"> a uma companhia chamada SOLCARSA nas terras ocupadas por esta comunidade.</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110.</w:t>
      </w:r>
      <w:r w:rsidRPr="002818E7">
        <w:rPr>
          <w:rFonts w:ascii="Verdana" w:hAnsi="Verdana"/>
          <w:sz w:val="20"/>
        </w:rPr>
        <w:tab/>
        <w:t>Por sua vez, o Estado alega, basicamente, que a Comunidade tem pretensões desproporciona</w:t>
      </w:r>
      <w:r>
        <w:rPr>
          <w:rFonts w:ascii="Verdana" w:hAnsi="Verdana"/>
          <w:sz w:val="20"/>
        </w:rPr>
        <w:t>is</w:t>
      </w:r>
      <w:r w:rsidRPr="002818E7">
        <w:rPr>
          <w:rFonts w:ascii="Verdana" w:hAnsi="Verdana"/>
          <w:sz w:val="20"/>
        </w:rPr>
        <w:t xml:space="preserve">, já que sua posse não tem caráter ancestral, que aspira a que </w:t>
      </w:r>
      <w:r>
        <w:rPr>
          <w:rFonts w:ascii="Verdana" w:hAnsi="Verdana"/>
          <w:sz w:val="20"/>
        </w:rPr>
        <w:t xml:space="preserve">lhe sejam tituladas </w:t>
      </w:r>
      <w:r w:rsidRPr="002818E7">
        <w:rPr>
          <w:rFonts w:ascii="Verdana" w:hAnsi="Verdana"/>
          <w:sz w:val="20"/>
        </w:rPr>
        <w:t>terras que são também reclamadas por outras comunidades indígenas da Costa Atlântica da Nicarágua</w:t>
      </w:r>
      <w:r w:rsidRPr="00BD0347">
        <w:rPr>
          <w:rFonts w:ascii="Verdana" w:hAnsi="Verdana"/>
          <w:sz w:val="20"/>
        </w:rPr>
        <w:t>,</w:t>
      </w:r>
      <w:r w:rsidRPr="002818E7">
        <w:rPr>
          <w:rFonts w:ascii="Verdana" w:hAnsi="Verdana"/>
          <w:sz w:val="20"/>
        </w:rPr>
        <w:t xml:space="preserve"> e que nunca </w:t>
      </w:r>
      <w:r w:rsidR="00D91189">
        <w:rPr>
          <w:rFonts w:ascii="Verdana" w:hAnsi="Verdana"/>
          <w:sz w:val="20"/>
        </w:rPr>
        <w:t>apresentou</w:t>
      </w:r>
      <w:r w:rsidRPr="002818E7">
        <w:rPr>
          <w:rFonts w:ascii="Verdana" w:hAnsi="Verdana"/>
          <w:sz w:val="20"/>
        </w:rPr>
        <w:t xml:space="preserve"> petição formal de titulação </w:t>
      </w:r>
      <w:r>
        <w:rPr>
          <w:rFonts w:ascii="Verdana" w:hAnsi="Verdana"/>
          <w:sz w:val="20"/>
        </w:rPr>
        <w:t>per</w:t>
      </w:r>
      <w:r w:rsidRPr="002818E7">
        <w:rPr>
          <w:rFonts w:ascii="Verdana" w:hAnsi="Verdana"/>
          <w:sz w:val="20"/>
        </w:rPr>
        <w:t xml:space="preserve">ante as autoridades competentes. Igualmente, a Nicarágua sustenta que existe um </w:t>
      </w:r>
      <w:r w:rsidR="00C6474D">
        <w:rPr>
          <w:rFonts w:ascii="Verdana" w:hAnsi="Verdana"/>
          <w:sz w:val="20"/>
        </w:rPr>
        <w:t>marco legal</w:t>
      </w:r>
      <w:r w:rsidRPr="002818E7">
        <w:rPr>
          <w:rFonts w:ascii="Verdana" w:hAnsi="Verdana"/>
          <w:sz w:val="20"/>
        </w:rPr>
        <w:t xml:space="preserve"> que regula o procedimento de titulação de comunidades indígenas sob a competência do Instituto Nicaraguense de Reforma Agrária</w:t>
      </w:r>
      <w:r>
        <w:rPr>
          <w:rFonts w:ascii="Verdana" w:hAnsi="Verdana"/>
          <w:sz w:val="20"/>
        </w:rPr>
        <w:t xml:space="preserve"> </w:t>
      </w:r>
      <w:r w:rsidR="00C60678" w:rsidRPr="00C60678">
        <w:rPr>
          <w:rFonts w:ascii="Verdana" w:hAnsi="Verdana"/>
          <w:sz w:val="20"/>
        </w:rPr>
        <w:t>(</w:t>
      </w:r>
      <w:r>
        <w:rPr>
          <w:rFonts w:ascii="Verdana" w:hAnsi="Verdana"/>
          <w:sz w:val="20"/>
        </w:rPr>
        <w:t>INRA</w:t>
      </w:r>
      <w:r w:rsidR="00C60678" w:rsidRPr="00C60678">
        <w:rPr>
          <w:rFonts w:ascii="Verdana" w:hAnsi="Verdana"/>
          <w:sz w:val="20"/>
        </w:rPr>
        <w:t>)</w:t>
      </w:r>
      <w:r>
        <w:rPr>
          <w:rFonts w:ascii="Verdana" w:hAnsi="Verdana"/>
          <w:sz w:val="20"/>
        </w:rPr>
        <w:t xml:space="preserve">. </w:t>
      </w:r>
      <w:r w:rsidRPr="002818E7">
        <w:rPr>
          <w:rFonts w:ascii="Verdana" w:hAnsi="Verdana"/>
          <w:sz w:val="20"/>
        </w:rPr>
        <w:t xml:space="preserve">Quanto à concessão para o aproveitamento de madeira </w:t>
      </w:r>
      <w:r w:rsidR="00D72E24">
        <w:rPr>
          <w:rFonts w:ascii="Verdana" w:hAnsi="Verdana"/>
          <w:sz w:val="20"/>
        </w:rPr>
        <w:t xml:space="preserve">outorgada </w:t>
      </w:r>
      <w:r>
        <w:rPr>
          <w:rFonts w:ascii="Verdana" w:hAnsi="Verdana"/>
          <w:sz w:val="20"/>
        </w:rPr>
        <w:t>à</w:t>
      </w:r>
      <w:r w:rsidRPr="002818E7">
        <w:rPr>
          <w:rFonts w:ascii="Verdana" w:hAnsi="Verdana"/>
          <w:sz w:val="20"/>
        </w:rPr>
        <w:t xml:space="preserve"> SOLCARSA, indica que a Comunidade Awas Tingni não sofreu nenhum prejuízo, j</w:t>
      </w:r>
      <w:r>
        <w:rPr>
          <w:rFonts w:ascii="Verdana" w:hAnsi="Verdana"/>
          <w:sz w:val="20"/>
        </w:rPr>
        <w:t>á</w:t>
      </w:r>
      <w:r w:rsidRPr="002818E7">
        <w:rPr>
          <w:rFonts w:ascii="Verdana" w:hAnsi="Verdana"/>
          <w:sz w:val="20"/>
        </w:rPr>
        <w:t xml:space="preserve"> que esta concessão não </w:t>
      </w:r>
      <w:r>
        <w:rPr>
          <w:rFonts w:ascii="Verdana" w:hAnsi="Verdana"/>
          <w:sz w:val="20"/>
        </w:rPr>
        <w:t>foi executada</w:t>
      </w:r>
      <w:r w:rsidRPr="002818E7">
        <w:rPr>
          <w:rFonts w:ascii="Verdana" w:hAnsi="Verdana"/>
          <w:sz w:val="20"/>
        </w:rPr>
        <w:t xml:space="preserve"> e</w:t>
      </w:r>
      <w:r>
        <w:rPr>
          <w:rFonts w:ascii="Verdana" w:hAnsi="Verdana"/>
          <w:sz w:val="20"/>
        </w:rPr>
        <w:t>,</w:t>
      </w:r>
      <w:r w:rsidRPr="002818E7">
        <w:rPr>
          <w:rFonts w:ascii="Verdana" w:hAnsi="Verdana"/>
          <w:sz w:val="20"/>
        </w:rPr>
        <w:t xml:space="preserve"> ao contrário</w:t>
      </w:r>
      <w:r>
        <w:rPr>
          <w:rFonts w:ascii="Verdana" w:hAnsi="Verdana"/>
          <w:sz w:val="20"/>
        </w:rPr>
        <w:t>,</w:t>
      </w:r>
      <w:r w:rsidRPr="002818E7">
        <w:rPr>
          <w:rFonts w:ascii="Verdana" w:hAnsi="Verdana"/>
          <w:sz w:val="20"/>
        </w:rPr>
        <w:t xml:space="preserve"> foi declarada inconstitucional.</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111.</w:t>
      </w:r>
      <w:r w:rsidRPr="002818E7">
        <w:rPr>
          <w:rFonts w:ascii="Verdana" w:hAnsi="Verdana"/>
          <w:sz w:val="20"/>
        </w:rPr>
        <w:tab/>
        <w:t xml:space="preserve">A Corte </w:t>
      </w:r>
      <w:r>
        <w:rPr>
          <w:rFonts w:ascii="Verdana" w:hAnsi="Verdana"/>
          <w:sz w:val="20"/>
        </w:rPr>
        <w:t>indicou</w:t>
      </w:r>
      <w:r w:rsidRPr="002818E7">
        <w:rPr>
          <w:rFonts w:ascii="Verdana" w:hAnsi="Verdana"/>
          <w:sz w:val="20"/>
        </w:rPr>
        <w:t xml:space="preserve"> que o artigo 25 da Convenção tem estabelecido em termos amplos,</w:t>
      </w:r>
    </w:p>
    <w:p w:rsidR="00C336FB" w:rsidRPr="002818E7" w:rsidRDefault="00C336FB" w:rsidP="00C336FB">
      <w:pPr>
        <w:jc w:val="both"/>
        <w:rPr>
          <w:rFonts w:ascii="Verdana" w:hAnsi="Verdana"/>
          <w:sz w:val="20"/>
        </w:rPr>
      </w:pPr>
    </w:p>
    <w:p w:rsidR="00C336FB" w:rsidRPr="00067F5C" w:rsidRDefault="00C336FB" w:rsidP="00C336FB">
      <w:pPr>
        <w:ind w:left="720" w:right="702"/>
        <w:jc w:val="both"/>
        <w:rPr>
          <w:rFonts w:ascii="Verdana" w:hAnsi="Verdana"/>
          <w:sz w:val="18"/>
          <w:szCs w:val="18"/>
        </w:rPr>
      </w:pPr>
      <w:proofErr w:type="gramStart"/>
      <w:r w:rsidRPr="00067F5C">
        <w:rPr>
          <w:rFonts w:ascii="Verdana" w:hAnsi="Verdana"/>
          <w:sz w:val="18"/>
          <w:szCs w:val="18"/>
        </w:rPr>
        <w:t>a</w:t>
      </w:r>
      <w:proofErr w:type="gramEnd"/>
      <w:r w:rsidRPr="00067F5C">
        <w:rPr>
          <w:rFonts w:ascii="Verdana" w:hAnsi="Verdana"/>
          <w:sz w:val="18"/>
          <w:szCs w:val="18"/>
        </w:rPr>
        <w:t xml:space="preserve"> obrigação a cargo dos Estados de oferecer, a todas as pessoas submetidas </w:t>
      </w:r>
      <w:r w:rsidR="00D72E24" w:rsidRPr="00067F5C">
        <w:rPr>
          <w:rFonts w:ascii="Verdana" w:hAnsi="Verdana"/>
          <w:sz w:val="18"/>
          <w:szCs w:val="18"/>
        </w:rPr>
        <w:t>à</w:t>
      </w:r>
      <w:r w:rsidRPr="00067F5C">
        <w:rPr>
          <w:rFonts w:ascii="Verdana" w:hAnsi="Verdana"/>
          <w:sz w:val="18"/>
          <w:szCs w:val="18"/>
        </w:rPr>
        <w:t xml:space="preserve"> sua jurisdição, um recurso judicial efetivo contra atos violatórios de seus direitos fundamentais. Também, dispõe que a garantia aí consagrada se aplica </w:t>
      </w:r>
      <w:r w:rsidRPr="00067F5C">
        <w:rPr>
          <w:rFonts w:ascii="Verdana" w:hAnsi="Verdana"/>
          <w:sz w:val="18"/>
          <w:szCs w:val="18"/>
        </w:rPr>
        <w:lastRenderedPageBreak/>
        <w:t xml:space="preserve">não somente a respeito dos direitos contidos na Convenção, mas também </w:t>
      </w:r>
      <w:r w:rsidR="00D72E24" w:rsidRPr="00067F5C">
        <w:rPr>
          <w:rFonts w:ascii="Verdana" w:hAnsi="Verdana"/>
          <w:sz w:val="18"/>
          <w:szCs w:val="18"/>
        </w:rPr>
        <w:t>à</w:t>
      </w:r>
      <w:r w:rsidR="00D91189" w:rsidRPr="00067F5C">
        <w:rPr>
          <w:rFonts w:ascii="Verdana" w:hAnsi="Verdana"/>
          <w:sz w:val="18"/>
          <w:szCs w:val="18"/>
        </w:rPr>
        <w:t>queles</w:t>
      </w:r>
      <w:r w:rsidRPr="00067F5C">
        <w:rPr>
          <w:rFonts w:ascii="Verdana" w:hAnsi="Verdana"/>
          <w:sz w:val="18"/>
          <w:szCs w:val="18"/>
        </w:rPr>
        <w:t xml:space="preserve"> que sejam reconhecidos pela Constituição ou pela lei.</w:t>
      </w:r>
      <w:proofErr w:type="gramStart"/>
      <w:r w:rsidRPr="00067F5C">
        <w:rPr>
          <w:rStyle w:val="Refdenotaalpie"/>
          <w:rFonts w:ascii="Verdana" w:hAnsi="Verdana"/>
          <w:sz w:val="18"/>
          <w:szCs w:val="18"/>
        </w:rPr>
        <w:footnoteReference w:id="47"/>
      </w:r>
      <w:proofErr w:type="gramEnd"/>
    </w:p>
    <w:p w:rsidR="00C336FB" w:rsidRPr="002818E7" w:rsidRDefault="00C336FB" w:rsidP="00C336FB">
      <w:pPr>
        <w:ind w:left="720" w:right="702"/>
        <w:jc w:val="both"/>
        <w:rPr>
          <w:rFonts w:ascii="Verdana" w:hAnsi="Verdana"/>
          <w:sz w:val="16"/>
          <w:szCs w:val="16"/>
        </w:rPr>
      </w:pPr>
    </w:p>
    <w:p w:rsidR="00C336FB" w:rsidRDefault="00C336FB" w:rsidP="00C336FB">
      <w:pPr>
        <w:jc w:val="both"/>
        <w:rPr>
          <w:rFonts w:ascii="Verdana" w:hAnsi="Verdana"/>
          <w:sz w:val="20"/>
        </w:rPr>
      </w:pPr>
      <w:r w:rsidRPr="002818E7">
        <w:rPr>
          <w:rFonts w:ascii="Verdana" w:hAnsi="Verdana"/>
          <w:sz w:val="20"/>
        </w:rPr>
        <w:t>112.</w:t>
      </w:r>
      <w:r w:rsidRPr="002818E7">
        <w:rPr>
          <w:rFonts w:ascii="Verdana" w:hAnsi="Verdana"/>
          <w:sz w:val="20"/>
        </w:rPr>
        <w:tab/>
        <w:t xml:space="preserve">Igualmente, a Corte </w:t>
      </w:r>
      <w:r w:rsidR="00D72E24">
        <w:rPr>
          <w:rFonts w:ascii="Verdana" w:hAnsi="Verdana"/>
          <w:sz w:val="20"/>
        </w:rPr>
        <w:t>reiterou</w:t>
      </w:r>
      <w:r w:rsidRPr="002818E7">
        <w:rPr>
          <w:rFonts w:ascii="Verdana" w:hAnsi="Verdana"/>
          <w:sz w:val="20"/>
        </w:rPr>
        <w:t xml:space="preserve"> que o direito de toda pessoa a um recurso simples e rápido ou a qualquer outro recurso efetivo </w:t>
      </w:r>
      <w:r w:rsidR="00D91189">
        <w:rPr>
          <w:rFonts w:ascii="Verdana" w:hAnsi="Verdana"/>
          <w:sz w:val="20"/>
        </w:rPr>
        <w:t>per</w:t>
      </w:r>
      <w:r w:rsidRPr="002818E7">
        <w:rPr>
          <w:rFonts w:ascii="Verdana" w:hAnsi="Verdana"/>
          <w:sz w:val="20"/>
        </w:rPr>
        <w:t>ante os juízes ou tribunais competentes que a ampare contra atos que violem seus direitos fundamentais “constitui um dos pilares básicos, não somente da Convenção Americana, mas do próprio Estado de Direito em uma sociedade democrática no sentido da Convenção”.</w:t>
      </w:r>
      <w:proofErr w:type="gramStart"/>
      <w:r w:rsidRPr="002818E7">
        <w:rPr>
          <w:rStyle w:val="Refdenotaalpie"/>
          <w:rFonts w:ascii="Verdana" w:hAnsi="Verdana"/>
          <w:sz w:val="20"/>
        </w:rPr>
        <w:footnoteReference w:id="48"/>
      </w:r>
      <w:proofErr w:type="gramEnd"/>
    </w:p>
    <w:p w:rsidR="00D72E24" w:rsidRPr="002818E7" w:rsidRDefault="00D72E24"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113.</w:t>
      </w:r>
      <w:r w:rsidRPr="002818E7">
        <w:rPr>
          <w:rFonts w:ascii="Verdana" w:hAnsi="Verdana"/>
          <w:sz w:val="20"/>
        </w:rPr>
        <w:tab/>
        <w:t xml:space="preserve">Ademais, a Corte </w:t>
      </w:r>
      <w:r w:rsidR="00D72E24" w:rsidRPr="002818E7">
        <w:rPr>
          <w:rFonts w:ascii="Verdana" w:hAnsi="Verdana"/>
          <w:sz w:val="20"/>
        </w:rPr>
        <w:t>indic</w:t>
      </w:r>
      <w:r w:rsidR="00D72E24">
        <w:rPr>
          <w:rFonts w:ascii="Verdana" w:hAnsi="Verdana"/>
          <w:sz w:val="20"/>
        </w:rPr>
        <w:t>ou</w:t>
      </w:r>
      <w:r w:rsidR="00D72E24" w:rsidRPr="002818E7">
        <w:rPr>
          <w:rFonts w:ascii="Verdana" w:hAnsi="Verdana"/>
          <w:sz w:val="20"/>
        </w:rPr>
        <w:t xml:space="preserve"> </w:t>
      </w:r>
      <w:proofErr w:type="gramStart"/>
      <w:r w:rsidRPr="002818E7">
        <w:rPr>
          <w:rFonts w:ascii="Verdana" w:hAnsi="Verdana"/>
          <w:sz w:val="20"/>
        </w:rPr>
        <w:t>que</w:t>
      </w:r>
      <w:proofErr w:type="gramEnd"/>
    </w:p>
    <w:p w:rsidR="00C336FB" w:rsidRPr="002818E7" w:rsidRDefault="00C336FB" w:rsidP="00C336FB">
      <w:pPr>
        <w:jc w:val="both"/>
        <w:rPr>
          <w:rFonts w:ascii="Verdana" w:hAnsi="Verdana"/>
          <w:sz w:val="20"/>
        </w:rPr>
      </w:pPr>
    </w:p>
    <w:p w:rsidR="00C336FB" w:rsidRPr="00067F5C" w:rsidRDefault="00C336FB" w:rsidP="00C336FB">
      <w:pPr>
        <w:ind w:left="720" w:right="702"/>
        <w:jc w:val="both"/>
        <w:rPr>
          <w:rFonts w:ascii="Verdana" w:hAnsi="Verdana"/>
          <w:b/>
          <w:sz w:val="18"/>
          <w:szCs w:val="18"/>
        </w:rPr>
      </w:pPr>
      <w:proofErr w:type="gramStart"/>
      <w:r w:rsidRPr="00067F5C">
        <w:rPr>
          <w:rFonts w:ascii="Verdana" w:hAnsi="Verdana"/>
          <w:sz w:val="18"/>
          <w:szCs w:val="18"/>
        </w:rPr>
        <w:t>a</w:t>
      </w:r>
      <w:proofErr w:type="gramEnd"/>
      <w:r w:rsidRPr="00067F5C">
        <w:rPr>
          <w:rFonts w:ascii="Verdana" w:hAnsi="Verdana"/>
          <w:sz w:val="18"/>
          <w:szCs w:val="18"/>
        </w:rPr>
        <w:t xml:space="preserve"> inexistência de um recurso efetivo contra as violações dos direitos reconhecidos pela Convenção constitui uma transgressão da mesma p</w:t>
      </w:r>
      <w:r w:rsidR="00BD105C" w:rsidRPr="00067F5C">
        <w:rPr>
          <w:rFonts w:ascii="Verdana" w:hAnsi="Verdana"/>
          <w:sz w:val="18"/>
          <w:szCs w:val="18"/>
        </w:rPr>
        <w:t xml:space="preserve">or parte do </w:t>
      </w:r>
      <w:r w:rsidRPr="00067F5C">
        <w:rPr>
          <w:rFonts w:ascii="Verdana" w:hAnsi="Verdana"/>
          <w:sz w:val="18"/>
          <w:szCs w:val="18"/>
        </w:rPr>
        <w:t xml:space="preserve">Estado Parte no qual semelhante situação </w:t>
      </w:r>
      <w:r w:rsidR="00D91189" w:rsidRPr="00067F5C">
        <w:rPr>
          <w:rFonts w:ascii="Verdana" w:hAnsi="Verdana"/>
          <w:sz w:val="18"/>
          <w:szCs w:val="18"/>
        </w:rPr>
        <w:t>aconteça</w:t>
      </w:r>
      <w:r w:rsidRPr="00067F5C">
        <w:rPr>
          <w:rFonts w:ascii="Verdana" w:hAnsi="Verdana"/>
          <w:sz w:val="18"/>
          <w:szCs w:val="18"/>
        </w:rPr>
        <w:t xml:space="preserve">. </w:t>
      </w:r>
      <w:r w:rsidR="00BD105C" w:rsidRPr="00067F5C">
        <w:rPr>
          <w:rFonts w:ascii="Verdana" w:hAnsi="Verdana"/>
          <w:sz w:val="18"/>
          <w:szCs w:val="18"/>
        </w:rPr>
        <w:t>Nesse sentido</w:t>
      </w:r>
      <w:r w:rsidR="007274D4">
        <w:rPr>
          <w:rFonts w:ascii="Verdana" w:hAnsi="Verdana"/>
          <w:sz w:val="18"/>
          <w:szCs w:val="18"/>
        </w:rPr>
        <w:t>,</w:t>
      </w:r>
      <w:r w:rsidR="00BD105C" w:rsidRPr="00067F5C">
        <w:rPr>
          <w:rFonts w:ascii="Verdana" w:hAnsi="Verdana"/>
          <w:sz w:val="18"/>
          <w:szCs w:val="18"/>
        </w:rPr>
        <w:t xml:space="preserve"> deve-</w:t>
      </w:r>
      <w:r w:rsidRPr="00067F5C">
        <w:rPr>
          <w:rFonts w:ascii="Verdana" w:hAnsi="Verdana"/>
          <w:sz w:val="18"/>
          <w:szCs w:val="18"/>
        </w:rPr>
        <w:t xml:space="preserve">se destacar que, para que tal recurso </w:t>
      </w:r>
      <w:proofErr w:type="gramStart"/>
      <w:r w:rsidRPr="00067F5C">
        <w:rPr>
          <w:rFonts w:ascii="Verdana" w:hAnsi="Verdana"/>
          <w:sz w:val="18"/>
          <w:szCs w:val="18"/>
        </w:rPr>
        <w:t>exista,</w:t>
      </w:r>
      <w:proofErr w:type="gramEnd"/>
      <w:r w:rsidRPr="00067F5C">
        <w:rPr>
          <w:rFonts w:ascii="Verdana" w:hAnsi="Verdana"/>
          <w:sz w:val="18"/>
          <w:szCs w:val="18"/>
        </w:rPr>
        <w:t xml:space="preserve"> não basta que esteja previsto </w:t>
      </w:r>
      <w:r w:rsidR="00BD105C" w:rsidRPr="00067F5C">
        <w:rPr>
          <w:rFonts w:ascii="Verdana" w:hAnsi="Verdana"/>
          <w:sz w:val="18"/>
          <w:szCs w:val="18"/>
        </w:rPr>
        <w:t>n</w:t>
      </w:r>
      <w:r w:rsidRPr="00067F5C">
        <w:rPr>
          <w:rFonts w:ascii="Verdana" w:hAnsi="Verdana"/>
          <w:sz w:val="18"/>
          <w:szCs w:val="18"/>
        </w:rPr>
        <w:t xml:space="preserve">a Constituição ou </w:t>
      </w:r>
      <w:r w:rsidR="00BD105C" w:rsidRPr="00067F5C">
        <w:rPr>
          <w:rFonts w:ascii="Verdana" w:hAnsi="Verdana"/>
          <w:sz w:val="18"/>
          <w:szCs w:val="18"/>
        </w:rPr>
        <w:t>n</w:t>
      </w:r>
      <w:r w:rsidRPr="00067F5C">
        <w:rPr>
          <w:rFonts w:ascii="Verdana" w:hAnsi="Verdana"/>
          <w:sz w:val="18"/>
          <w:szCs w:val="18"/>
        </w:rPr>
        <w:t>a lei ou que seja formalmente admissível, mas se requer que seja realmente idôneo para estabelecer se incorreu-se em uma violação dos direitos humanos e prover o necessário para repará-la.</w:t>
      </w:r>
      <w:r w:rsidRPr="00067F5C">
        <w:rPr>
          <w:rStyle w:val="Refdenotaalpie"/>
          <w:rFonts w:ascii="Verdana" w:hAnsi="Verdana"/>
          <w:sz w:val="18"/>
          <w:szCs w:val="18"/>
        </w:rPr>
        <w:footnoteReference w:id="49"/>
      </w:r>
      <w:r w:rsidRPr="00067F5C">
        <w:rPr>
          <w:rFonts w:ascii="Verdana" w:hAnsi="Verdana"/>
          <w:b/>
          <w:sz w:val="18"/>
          <w:szCs w:val="18"/>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114.</w:t>
      </w:r>
      <w:r w:rsidRPr="002818E7">
        <w:rPr>
          <w:rFonts w:ascii="Verdana" w:hAnsi="Verdana"/>
          <w:sz w:val="20"/>
        </w:rPr>
        <w:tab/>
      </w:r>
      <w:r w:rsidR="00D72E24">
        <w:rPr>
          <w:rFonts w:ascii="Verdana" w:hAnsi="Verdana"/>
          <w:sz w:val="20"/>
        </w:rPr>
        <w:t>Além disso</w:t>
      </w:r>
      <w:r w:rsidRPr="002818E7">
        <w:rPr>
          <w:rFonts w:ascii="Verdana" w:hAnsi="Verdana"/>
          <w:sz w:val="20"/>
        </w:rPr>
        <w:t>, este Tribunal tem afirmado que para que o Estado cumpra o disposto no citado artigo não basta que os recursos existam formalmente, mas que os mesmos devem ter efetividade.</w:t>
      </w:r>
      <w:proofErr w:type="gramStart"/>
      <w:r w:rsidRPr="002818E7">
        <w:rPr>
          <w:rStyle w:val="Refdenotaalpie"/>
          <w:rFonts w:ascii="Verdana" w:hAnsi="Verdana"/>
          <w:sz w:val="20"/>
        </w:rPr>
        <w:footnoteReference w:id="50"/>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115.</w:t>
      </w:r>
      <w:r w:rsidRPr="002818E7">
        <w:rPr>
          <w:rFonts w:ascii="Verdana" w:hAnsi="Verdana"/>
          <w:sz w:val="20"/>
        </w:rPr>
        <w:tab/>
        <w:t xml:space="preserve">No presente caso, a análise do artigo 25 da Convenção deve </w:t>
      </w:r>
      <w:r w:rsidR="00D72E24">
        <w:rPr>
          <w:rFonts w:ascii="Verdana" w:hAnsi="Verdana"/>
          <w:sz w:val="20"/>
        </w:rPr>
        <w:t xml:space="preserve">ser feita </w:t>
      </w:r>
      <w:r>
        <w:rPr>
          <w:rFonts w:ascii="Verdana" w:hAnsi="Verdana"/>
          <w:sz w:val="20"/>
        </w:rPr>
        <w:t>a partir de</w:t>
      </w:r>
      <w:r w:rsidRPr="002818E7">
        <w:rPr>
          <w:rFonts w:ascii="Verdana" w:hAnsi="Verdana"/>
          <w:sz w:val="20"/>
        </w:rPr>
        <w:t xml:space="preserve"> duas perspectivas. Em primeiro lugar</w:t>
      </w:r>
      <w:r w:rsidR="007274D4">
        <w:rPr>
          <w:rFonts w:ascii="Verdana" w:hAnsi="Verdana"/>
          <w:sz w:val="20"/>
        </w:rPr>
        <w:t>,</w:t>
      </w:r>
      <w:r w:rsidRPr="002818E7">
        <w:rPr>
          <w:rFonts w:ascii="Verdana" w:hAnsi="Verdana"/>
          <w:sz w:val="20"/>
        </w:rPr>
        <w:t xml:space="preserve"> deve</w:t>
      </w:r>
      <w:r w:rsidR="00D72E24">
        <w:rPr>
          <w:rFonts w:ascii="Verdana" w:hAnsi="Verdana"/>
          <w:sz w:val="20"/>
        </w:rPr>
        <w:t>-se</w:t>
      </w:r>
      <w:r w:rsidRPr="002818E7">
        <w:rPr>
          <w:rFonts w:ascii="Verdana" w:hAnsi="Verdana"/>
          <w:sz w:val="20"/>
        </w:rPr>
        <w:t xml:space="preserve"> analisar se existe ou não um procedimento para a titulação de terras que reúna as cara</w:t>
      </w:r>
      <w:r w:rsidR="007274D4">
        <w:rPr>
          <w:rFonts w:ascii="Verdana" w:hAnsi="Verdana"/>
          <w:sz w:val="20"/>
        </w:rPr>
        <w:t>c</w:t>
      </w:r>
      <w:r w:rsidRPr="002818E7">
        <w:rPr>
          <w:rFonts w:ascii="Verdana" w:hAnsi="Verdana"/>
          <w:sz w:val="20"/>
        </w:rPr>
        <w:t>terísticas já indicadas e, e</w:t>
      </w:r>
      <w:r>
        <w:rPr>
          <w:rFonts w:ascii="Verdana" w:hAnsi="Verdana"/>
          <w:sz w:val="20"/>
        </w:rPr>
        <w:t>m</w:t>
      </w:r>
      <w:r w:rsidRPr="002818E7">
        <w:rPr>
          <w:rFonts w:ascii="Verdana" w:hAnsi="Verdana"/>
          <w:sz w:val="20"/>
        </w:rPr>
        <w:t xml:space="preserve"> segundo lugar, deve</w:t>
      </w:r>
      <w:r w:rsidR="00D72E24">
        <w:rPr>
          <w:rFonts w:ascii="Verdana" w:hAnsi="Verdana"/>
          <w:sz w:val="20"/>
        </w:rPr>
        <w:t>-</w:t>
      </w:r>
      <w:r>
        <w:rPr>
          <w:rFonts w:ascii="Verdana" w:hAnsi="Verdana"/>
          <w:sz w:val="20"/>
        </w:rPr>
        <w:t xml:space="preserve">se </w:t>
      </w:r>
      <w:r w:rsidRPr="002818E7">
        <w:rPr>
          <w:rFonts w:ascii="Verdana" w:hAnsi="Verdana"/>
          <w:sz w:val="20"/>
        </w:rPr>
        <w:t>estabelecer se os recursos de amparo apresentados por membros da Comunidade foram resolvidos conforme este artigo 25.</w:t>
      </w:r>
    </w:p>
    <w:p w:rsidR="00C336FB" w:rsidRPr="002818E7" w:rsidRDefault="00C336FB" w:rsidP="00C336FB">
      <w:pPr>
        <w:jc w:val="both"/>
        <w:rPr>
          <w:rFonts w:ascii="Verdana" w:hAnsi="Verdana"/>
          <w:sz w:val="20"/>
        </w:rPr>
      </w:pPr>
    </w:p>
    <w:p w:rsidR="00C336FB" w:rsidRPr="002818E7" w:rsidRDefault="00C336FB" w:rsidP="007274D4">
      <w:pPr>
        <w:jc w:val="both"/>
        <w:rPr>
          <w:rFonts w:ascii="Verdana" w:hAnsi="Verdana"/>
          <w:i/>
          <w:sz w:val="20"/>
        </w:rPr>
      </w:pPr>
      <w:proofErr w:type="gramStart"/>
      <w:r w:rsidRPr="002818E7">
        <w:rPr>
          <w:rFonts w:ascii="Verdana" w:hAnsi="Verdana"/>
          <w:i/>
          <w:sz w:val="20"/>
        </w:rPr>
        <w:t>a</w:t>
      </w:r>
      <w:proofErr w:type="gramEnd"/>
      <w:r w:rsidR="00C60678" w:rsidRPr="00C60678">
        <w:rPr>
          <w:rFonts w:ascii="Verdana" w:hAnsi="Verdana"/>
          <w:sz w:val="20"/>
        </w:rPr>
        <w:t>)</w:t>
      </w:r>
      <w:r w:rsidRPr="002818E7">
        <w:rPr>
          <w:rFonts w:ascii="Verdana" w:hAnsi="Verdana"/>
          <w:i/>
          <w:sz w:val="20"/>
        </w:rPr>
        <w:tab/>
        <w:t>Existência de um procedimento para a titulação e demarcação de terras indígenas: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116.</w:t>
      </w:r>
      <w:r w:rsidRPr="002818E7">
        <w:rPr>
          <w:rFonts w:ascii="Verdana" w:hAnsi="Verdana"/>
          <w:sz w:val="20"/>
        </w:rPr>
        <w:tab/>
        <w:t xml:space="preserve">O artigo </w:t>
      </w:r>
      <w:proofErr w:type="gramStart"/>
      <w:r w:rsidRPr="002818E7">
        <w:rPr>
          <w:rFonts w:ascii="Verdana" w:hAnsi="Verdana"/>
          <w:sz w:val="20"/>
        </w:rPr>
        <w:t>5</w:t>
      </w:r>
      <w:proofErr w:type="gramEnd"/>
      <w:r w:rsidRPr="002818E7">
        <w:rPr>
          <w:rFonts w:ascii="Verdana" w:hAnsi="Verdana"/>
          <w:sz w:val="20"/>
        </w:rPr>
        <w:t xml:space="preserve"> da Constituição Política da Nicarágua de 1995 estabelece que:</w:t>
      </w:r>
    </w:p>
    <w:p w:rsidR="00C336FB" w:rsidRPr="002818E7" w:rsidRDefault="00C336FB" w:rsidP="00C336FB">
      <w:pPr>
        <w:jc w:val="both"/>
        <w:rPr>
          <w:rFonts w:ascii="Verdana" w:hAnsi="Verdana"/>
          <w:sz w:val="20"/>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São princípios da nação nicaraguense, a liberdade, a justiça, o respeito à dignidade da pessoa humana, o pluralismo político, social e étnico, o reconhecimento às distintas formas de propriedade, a livre cooperação internacional e o respeito à livre autodeterminação.</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 xml:space="preserve">O Estado reconhece a existência dos povos indígenas, que gozam dos direitos, deveres e garantias consignados na Constituição, e em especial de manter e desenvolver sua identidade e cultura, ter suas próprias formas de organização </w:t>
      </w:r>
      <w:r w:rsidRPr="00067F5C">
        <w:rPr>
          <w:rFonts w:ascii="Verdana" w:hAnsi="Verdana"/>
          <w:sz w:val="18"/>
          <w:szCs w:val="18"/>
        </w:rPr>
        <w:lastRenderedPageBreak/>
        <w:t xml:space="preserve">social e administrar seus assuntos locais, </w:t>
      </w:r>
      <w:r w:rsidR="00C6474D" w:rsidRPr="00067F5C">
        <w:rPr>
          <w:rFonts w:ascii="Verdana" w:hAnsi="Verdana"/>
          <w:sz w:val="18"/>
          <w:szCs w:val="18"/>
        </w:rPr>
        <w:t>bem como</w:t>
      </w:r>
      <w:r w:rsidRPr="00067F5C">
        <w:rPr>
          <w:rFonts w:ascii="Verdana" w:hAnsi="Verdana"/>
          <w:sz w:val="18"/>
          <w:szCs w:val="18"/>
        </w:rPr>
        <w:t xml:space="preserve"> manter as formas comunais de propriedade de suas terras e o gozo, uso e desfrute das mesmas, tudo em conformidade com a lei.</w:t>
      </w:r>
      <w:r w:rsidR="00850A3F" w:rsidRPr="00067F5C">
        <w:rPr>
          <w:rFonts w:ascii="Verdana" w:hAnsi="Verdana"/>
          <w:sz w:val="18"/>
          <w:szCs w:val="18"/>
        </w:rPr>
        <w:t xml:space="preserve"> </w:t>
      </w:r>
      <w:r w:rsidRPr="00067F5C">
        <w:rPr>
          <w:rFonts w:ascii="Verdana" w:hAnsi="Verdana"/>
          <w:sz w:val="18"/>
          <w:szCs w:val="18"/>
        </w:rPr>
        <w:t>Para as comunidades da Costa Atlântica se estabelece o regime de autonomia na [...] Constituição.</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As diferentes formas de propriedade: pública, privada, associativa, cooperativa e comunitária deverão ser garantidas e estimuladas sem discriminação para produzir riquezas, e todas elas dentro de seu livre funcionamento deverão cumprir uma função social.</w:t>
      </w:r>
    </w:p>
    <w:p w:rsidR="00C336FB" w:rsidRPr="002818E7" w:rsidRDefault="00C336FB" w:rsidP="00C336FB">
      <w:pPr>
        <w:ind w:left="720"/>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117.</w:t>
      </w:r>
      <w:r w:rsidRPr="002818E7">
        <w:rPr>
          <w:rFonts w:ascii="Verdana" w:hAnsi="Verdana"/>
          <w:sz w:val="20"/>
        </w:rPr>
        <w:tab/>
        <w:t>Ademais, o artigo 89 desta Constituição indica que:</w:t>
      </w:r>
    </w:p>
    <w:p w:rsidR="00C336FB" w:rsidRPr="002818E7" w:rsidRDefault="00C336FB" w:rsidP="00C336FB">
      <w:pPr>
        <w:ind w:right="702"/>
        <w:jc w:val="both"/>
        <w:rPr>
          <w:rFonts w:ascii="Verdana" w:hAnsi="Verdana"/>
          <w:sz w:val="20"/>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As Comunidades da Costa Atlântica são parte indissolúvel do povo nicaraguense e como tal gozam dos mesmos direitos e têm as mesmas obrigações.</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As Comunidades da Costa Atlântica têm o direito de preservar e desenvolver sua identidade cultural na unidade nacional; dotar-se de suas próprias formas de organização social e administrar seus assuntos locais conforme suas tradições.</w:t>
      </w:r>
    </w:p>
    <w:p w:rsidR="00C336FB" w:rsidRPr="00067F5C" w:rsidRDefault="00C336FB" w:rsidP="00C336FB">
      <w:pPr>
        <w:ind w:left="720" w:right="702"/>
        <w:jc w:val="both"/>
        <w:rPr>
          <w:rFonts w:ascii="Verdana" w:hAnsi="Verdana"/>
          <w:sz w:val="18"/>
          <w:szCs w:val="18"/>
        </w:rPr>
      </w:pPr>
    </w:p>
    <w:p w:rsidR="00C336FB" w:rsidRPr="00067F5C" w:rsidRDefault="00C336FB" w:rsidP="00C336FB">
      <w:pPr>
        <w:ind w:left="720" w:right="702"/>
        <w:jc w:val="both"/>
        <w:rPr>
          <w:rFonts w:ascii="Verdana" w:hAnsi="Verdana"/>
          <w:sz w:val="18"/>
          <w:szCs w:val="18"/>
        </w:rPr>
      </w:pPr>
      <w:r w:rsidRPr="00067F5C">
        <w:rPr>
          <w:rFonts w:ascii="Verdana" w:hAnsi="Verdana"/>
          <w:sz w:val="18"/>
          <w:szCs w:val="18"/>
        </w:rPr>
        <w:t xml:space="preserve">O Estado reconhece as formas </w:t>
      </w:r>
      <w:r w:rsidR="00194A4E" w:rsidRPr="00067F5C">
        <w:rPr>
          <w:rFonts w:ascii="Verdana" w:hAnsi="Verdana"/>
          <w:sz w:val="18"/>
          <w:szCs w:val="18"/>
        </w:rPr>
        <w:t xml:space="preserve">comunitárias </w:t>
      </w:r>
      <w:r w:rsidRPr="00067F5C">
        <w:rPr>
          <w:rFonts w:ascii="Verdana" w:hAnsi="Verdana"/>
          <w:sz w:val="18"/>
          <w:szCs w:val="18"/>
        </w:rPr>
        <w:t>de propriedade das terras da Comunidade da Costa Atlântica.</w:t>
      </w:r>
      <w:r w:rsidR="00850A3F" w:rsidRPr="00067F5C">
        <w:rPr>
          <w:rFonts w:ascii="Verdana" w:hAnsi="Verdana"/>
          <w:sz w:val="18"/>
          <w:szCs w:val="18"/>
        </w:rPr>
        <w:t xml:space="preserve"> </w:t>
      </w:r>
      <w:r w:rsidRPr="00067F5C">
        <w:rPr>
          <w:rFonts w:ascii="Verdana" w:hAnsi="Verdana"/>
          <w:sz w:val="18"/>
          <w:szCs w:val="18"/>
        </w:rPr>
        <w:t xml:space="preserve">Igualmente reconhece o gozo, uso e desfrute das águas e florestas de suas terras </w:t>
      </w:r>
      <w:r w:rsidR="00194A4E" w:rsidRPr="00067F5C">
        <w:rPr>
          <w:rFonts w:ascii="Verdana" w:hAnsi="Verdana"/>
          <w:sz w:val="18"/>
          <w:szCs w:val="18"/>
        </w:rPr>
        <w:t>comunitárias</w:t>
      </w:r>
      <w:r w:rsidRPr="00067F5C">
        <w:rPr>
          <w:rFonts w:ascii="Verdana" w:hAnsi="Verdana"/>
          <w:sz w:val="18"/>
          <w:szCs w:val="18"/>
        </w:rPr>
        <w:t>.</w:t>
      </w:r>
    </w:p>
    <w:p w:rsidR="00C336FB" w:rsidRPr="00067F5C" w:rsidRDefault="00C336FB" w:rsidP="00C336FB">
      <w:pPr>
        <w:jc w:val="both"/>
        <w:rPr>
          <w:rFonts w:ascii="Verdana" w:hAnsi="Verdana"/>
          <w:sz w:val="18"/>
          <w:szCs w:val="18"/>
        </w:rPr>
      </w:pPr>
    </w:p>
    <w:p w:rsidR="00C336FB" w:rsidRPr="002818E7" w:rsidRDefault="00C336FB" w:rsidP="00C336FB">
      <w:pPr>
        <w:jc w:val="both"/>
        <w:rPr>
          <w:rFonts w:ascii="Verdana" w:hAnsi="Verdana"/>
          <w:sz w:val="20"/>
        </w:rPr>
      </w:pPr>
      <w:r w:rsidRPr="002818E7">
        <w:rPr>
          <w:rFonts w:ascii="Verdana" w:hAnsi="Verdana"/>
          <w:sz w:val="20"/>
        </w:rPr>
        <w:t>118.</w:t>
      </w:r>
      <w:r w:rsidRPr="002818E7">
        <w:rPr>
          <w:rFonts w:ascii="Verdana" w:hAnsi="Verdana"/>
          <w:sz w:val="20"/>
        </w:rPr>
        <w:tab/>
        <w:t>Por sua vez, o artigo 180 da mencionada Constituição indica que:</w:t>
      </w:r>
    </w:p>
    <w:p w:rsidR="00C336FB" w:rsidRPr="002818E7" w:rsidRDefault="00C336FB" w:rsidP="00C336FB">
      <w:pPr>
        <w:jc w:val="both"/>
        <w:rPr>
          <w:rFonts w:ascii="Verdana" w:hAnsi="Verdana"/>
          <w:sz w:val="20"/>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As Comunidades da Costa Atlântica têm o direito de viver e se desenvolver sob as formas de organização social que correspondam a suas tradições históricas e culturais.</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 xml:space="preserve">O Estado garante a estas comunidades o desfrute de seus recursos naturais, a efetividade de suas formas de propriedade </w:t>
      </w:r>
      <w:r w:rsidR="00DA28A9" w:rsidRPr="00067F5C">
        <w:rPr>
          <w:rFonts w:ascii="Verdana" w:hAnsi="Verdana"/>
          <w:sz w:val="18"/>
          <w:szCs w:val="18"/>
        </w:rPr>
        <w:t xml:space="preserve">comunitária </w:t>
      </w:r>
      <w:r w:rsidRPr="00067F5C">
        <w:rPr>
          <w:rFonts w:ascii="Verdana" w:hAnsi="Verdana"/>
          <w:sz w:val="18"/>
          <w:szCs w:val="18"/>
        </w:rPr>
        <w:t>e a livre eleição de suas autoridades e representantes.</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Igualmente</w:t>
      </w:r>
      <w:r w:rsidR="00067F5C">
        <w:rPr>
          <w:rFonts w:ascii="Verdana" w:hAnsi="Verdana"/>
          <w:sz w:val="18"/>
          <w:szCs w:val="18"/>
        </w:rPr>
        <w:t>,</w:t>
      </w:r>
      <w:r w:rsidRPr="00067F5C">
        <w:rPr>
          <w:rFonts w:ascii="Verdana" w:hAnsi="Verdana"/>
          <w:sz w:val="18"/>
          <w:szCs w:val="18"/>
        </w:rPr>
        <w:t xml:space="preserve"> garante a preservação de suas culturas e línguas, religiões e costumes.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119.</w:t>
      </w:r>
      <w:r w:rsidRPr="002818E7">
        <w:rPr>
          <w:rFonts w:ascii="Verdana" w:hAnsi="Verdana"/>
          <w:sz w:val="20"/>
        </w:rPr>
        <w:tab/>
      </w:r>
      <w:r>
        <w:rPr>
          <w:rFonts w:ascii="Verdana" w:hAnsi="Verdana"/>
          <w:sz w:val="20"/>
        </w:rPr>
        <w:t>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Pr>
          <w:rFonts w:ascii="Verdana" w:hAnsi="Verdana"/>
          <w:sz w:val="20"/>
        </w:rPr>
        <w:t>28</w:t>
      </w:r>
      <w:r w:rsidR="007274D4">
        <w:rPr>
          <w:rFonts w:ascii="Verdana" w:hAnsi="Verdana"/>
          <w:sz w:val="20"/>
        </w:rPr>
        <w:t>,</w:t>
      </w:r>
      <w:r w:rsidRPr="0086460E">
        <w:rPr>
          <w:rFonts w:ascii="Verdana" w:hAnsi="Verdana"/>
          <w:sz w:val="20"/>
        </w:rPr>
        <w:t xml:space="preserve"> publicada em 30 de outubro de 1987 </w:t>
      </w:r>
      <w:r w:rsidR="00D72E24">
        <w:rPr>
          <w:rFonts w:ascii="Verdana" w:hAnsi="Verdana"/>
          <w:sz w:val="20"/>
        </w:rPr>
        <w:t xml:space="preserve">no </w:t>
      </w:r>
      <w:r w:rsidR="00D72E24" w:rsidRPr="0086460E">
        <w:rPr>
          <w:rFonts w:ascii="Verdana" w:hAnsi="Verdana"/>
          <w:sz w:val="20"/>
        </w:rPr>
        <w:t xml:space="preserve">Diário Oficial da República da Nicarágua </w:t>
      </w:r>
      <w:r w:rsidRPr="0066717E">
        <w:rPr>
          <w:rFonts w:ascii="Verdana" w:hAnsi="Verdana"/>
          <w:i/>
          <w:sz w:val="20"/>
        </w:rPr>
        <w:t>La Gaceta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007274D4">
        <w:rPr>
          <w:rFonts w:ascii="Verdana" w:hAnsi="Verdana"/>
          <w:sz w:val="20"/>
        </w:rPr>
        <w:t xml:space="preserve">238, </w:t>
      </w:r>
      <w:r>
        <w:rPr>
          <w:rFonts w:ascii="Verdana" w:hAnsi="Verdana"/>
          <w:sz w:val="20"/>
        </w:rPr>
        <w:t>r</w:t>
      </w:r>
      <w:r w:rsidRPr="002818E7">
        <w:rPr>
          <w:rFonts w:ascii="Verdana" w:hAnsi="Verdana"/>
          <w:sz w:val="20"/>
        </w:rPr>
        <w:t>egula</w:t>
      </w:r>
      <w:r w:rsidR="00D72E24">
        <w:rPr>
          <w:rFonts w:ascii="Verdana" w:hAnsi="Verdana"/>
          <w:sz w:val="20"/>
        </w:rPr>
        <w:t>menta</w:t>
      </w:r>
      <w:r w:rsidRPr="002818E7">
        <w:rPr>
          <w:rFonts w:ascii="Verdana" w:hAnsi="Verdana"/>
          <w:sz w:val="20"/>
        </w:rPr>
        <w:t xml:space="preserve"> o Estatuto da Autonomia das Regiões da Costa Atlântica da Nicarágua</w:t>
      </w:r>
      <w:r>
        <w:rPr>
          <w:rFonts w:ascii="Verdana" w:hAnsi="Verdana"/>
          <w:sz w:val="20"/>
        </w:rPr>
        <w:t xml:space="preserve">. </w:t>
      </w:r>
      <w:r w:rsidRPr="002818E7">
        <w:rPr>
          <w:rFonts w:ascii="Verdana" w:hAnsi="Verdana"/>
          <w:sz w:val="20"/>
        </w:rPr>
        <w:t>A esse respeito, estabelece que:</w:t>
      </w:r>
    </w:p>
    <w:p w:rsidR="00C336FB" w:rsidRPr="002818E7" w:rsidRDefault="00C336FB" w:rsidP="00C336FB">
      <w:pPr>
        <w:jc w:val="both"/>
        <w:rPr>
          <w:rFonts w:ascii="Verdana" w:hAnsi="Verdana"/>
          <w:sz w:val="20"/>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 xml:space="preserve">Artigo </w:t>
      </w:r>
      <w:proofErr w:type="gramStart"/>
      <w:r w:rsidRPr="00067F5C">
        <w:rPr>
          <w:rFonts w:ascii="Verdana" w:hAnsi="Verdana"/>
          <w:sz w:val="18"/>
          <w:szCs w:val="18"/>
        </w:rPr>
        <w:t>4</w:t>
      </w:r>
      <w:proofErr w:type="gramEnd"/>
      <w:r w:rsidRPr="00067F5C">
        <w:rPr>
          <w:rFonts w:ascii="Verdana" w:hAnsi="Verdana"/>
          <w:sz w:val="18"/>
          <w:szCs w:val="18"/>
        </w:rPr>
        <w:t>.</w:t>
      </w:r>
      <w:r w:rsidR="00850A3F" w:rsidRPr="00067F5C">
        <w:rPr>
          <w:rFonts w:ascii="Verdana" w:hAnsi="Verdana"/>
          <w:sz w:val="18"/>
          <w:szCs w:val="18"/>
        </w:rPr>
        <w:t xml:space="preserve"> </w:t>
      </w:r>
      <w:r w:rsidRPr="00067F5C">
        <w:rPr>
          <w:rFonts w:ascii="Verdana" w:hAnsi="Verdana"/>
          <w:sz w:val="18"/>
          <w:szCs w:val="18"/>
        </w:rPr>
        <w:t>As Regiões onde habitam as Comunidades da Costa Atlântica goza</w:t>
      </w:r>
      <w:r w:rsidR="0066717E" w:rsidRPr="00067F5C">
        <w:rPr>
          <w:rFonts w:ascii="Verdana" w:hAnsi="Verdana"/>
          <w:sz w:val="18"/>
          <w:szCs w:val="18"/>
        </w:rPr>
        <w:t>m, dentro da unidade do Estado n</w:t>
      </w:r>
      <w:r w:rsidRPr="00067F5C">
        <w:rPr>
          <w:rFonts w:ascii="Verdana" w:hAnsi="Verdana"/>
          <w:sz w:val="18"/>
          <w:szCs w:val="18"/>
        </w:rPr>
        <w:t>icaraguense, de um Regime de Autonomia que lhes garante o exercício efetivo de seus direitos históricos e outros, consignados na Constituição Política.</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 xml:space="preserve">Artigo </w:t>
      </w:r>
      <w:proofErr w:type="gramStart"/>
      <w:r w:rsidRPr="00067F5C">
        <w:rPr>
          <w:rFonts w:ascii="Verdana" w:hAnsi="Verdana"/>
          <w:sz w:val="18"/>
          <w:szCs w:val="18"/>
        </w:rPr>
        <w:t>9</w:t>
      </w:r>
      <w:proofErr w:type="gramEnd"/>
      <w:r w:rsidRPr="00067F5C">
        <w:rPr>
          <w:rFonts w:ascii="Verdana" w:hAnsi="Verdana"/>
          <w:sz w:val="18"/>
          <w:szCs w:val="18"/>
        </w:rPr>
        <w:t>.</w:t>
      </w:r>
      <w:r w:rsidR="00850A3F" w:rsidRPr="00067F5C">
        <w:rPr>
          <w:rFonts w:ascii="Verdana" w:hAnsi="Verdana"/>
          <w:sz w:val="18"/>
          <w:szCs w:val="18"/>
        </w:rPr>
        <w:t xml:space="preserve"> </w:t>
      </w:r>
      <w:r w:rsidRPr="00067F5C">
        <w:rPr>
          <w:rFonts w:ascii="Verdana" w:hAnsi="Verdana"/>
          <w:sz w:val="18"/>
          <w:szCs w:val="18"/>
        </w:rPr>
        <w:t xml:space="preserve">Na exploração racional dos recursos minerais, florestais, pesqueiros e outros recursos naturais das Regiões Autônomas foram reconhecidos os direitos de propriedade sobre as terras </w:t>
      </w:r>
      <w:r w:rsidR="00933A19" w:rsidRPr="00067F5C">
        <w:rPr>
          <w:rFonts w:ascii="Verdana" w:hAnsi="Verdana"/>
          <w:sz w:val="18"/>
          <w:szCs w:val="18"/>
        </w:rPr>
        <w:t>comunitárias</w:t>
      </w:r>
      <w:r w:rsidRPr="00067F5C">
        <w:rPr>
          <w:rFonts w:ascii="Verdana" w:hAnsi="Verdana"/>
          <w:sz w:val="18"/>
          <w:szCs w:val="18"/>
        </w:rPr>
        <w:t>, e deverá beneficiar em justa proporção seus habitantes mediante acordos entre o Governo Regional e o Governo Central.</w:t>
      </w:r>
    </w:p>
    <w:p w:rsidR="00C336FB" w:rsidRPr="002818E7" w:rsidRDefault="00C336FB" w:rsidP="00067F5C">
      <w:pPr>
        <w:ind w:right="560"/>
        <w:jc w:val="both"/>
        <w:rPr>
          <w:rFonts w:ascii="Verdana" w:hAnsi="Verdana"/>
          <w:b/>
          <w:smallCaps/>
          <w:sz w:val="20"/>
        </w:rPr>
      </w:pPr>
    </w:p>
    <w:p w:rsidR="00C336FB" w:rsidRPr="002818E7" w:rsidRDefault="00C336FB" w:rsidP="00C336FB">
      <w:pPr>
        <w:jc w:val="both"/>
        <w:rPr>
          <w:rFonts w:ascii="Verdana" w:hAnsi="Verdana"/>
          <w:sz w:val="20"/>
        </w:rPr>
      </w:pPr>
      <w:r w:rsidRPr="002818E7">
        <w:rPr>
          <w:rFonts w:ascii="Verdana" w:hAnsi="Verdana"/>
          <w:sz w:val="20"/>
        </w:rPr>
        <w:t>120.</w:t>
      </w:r>
      <w:r w:rsidRPr="002818E7">
        <w:rPr>
          <w:rFonts w:ascii="Verdana" w:hAnsi="Verdana"/>
          <w:sz w:val="20"/>
        </w:rPr>
        <w:tab/>
        <w:t>O Decreto</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16-96</w:t>
      </w:r>
      <w:r w:rsidR="007274D4">
        <w:rPr>
          <w:rFonts w:ascii="Verdana" w:hAnsi="Verdana"/>
          <w:sz w:val="20"/>
        </w:rPr>
        <w:t>,</w:t>
      </w:r>
      <w:r w:rsidRPr="002818E7">
        <w:rPr>
          <w:rFonts w:ascii="Verdana" w:hAnsi="Verdana"/>
          <w:sz w:val="20"/>
        </w:rPr>
        <w:t xml:space="preserve"> de 23 de agosto de 1996, referente à criação da Comissão Nacional para a Demarcação das Terras das Comunidades Indígenas na </w:t>
      </w:r>
      <w:r w:rsidRPr="002818E7">
        <w:rPr>
          <w:rFonts w:ascii="Verdana" w:hAnsi="Verdana"/>
          <w:sz w:val="20"/>
        </w:rPr>
        <w:lastRenderedPageBreak/>
        <w:t>Costa Atlântica</w:t>
      </w:r>
      <w:r w:rsidR="007274D4">
        <w:rPr>
          <w:rFonts w:ascii="Verdana" w:hAnsi="Verdana"/>
          <w:sz w:val="20"/>
        </w:rPr>
        <w:t>,</w:t>
      </w:r>
      <w:r w:rsidRPr="002818E7">
        <w:rPr>
          <w:rFonts w:ascii="Verdana" w:hAnsi="Verdana"/>
          <w:sz w:val="20"/>
        </w:rPr>
        <w:t xml:space="preserve"> determina que “o Estado reconhece as formas comunais de propriedade das terras das Comunidades na Costa Atlântica”, e indica que “se faz necessário estabelecer uma instância administrativa adequada para iniciar o processo de demarcação das terras tradicionais das comunidades indígenas”. Com este propósito, o decreto designa a esta comissão nacional, entre outras funções, as de identificar as terras que tradicionalmente têm ocupado as diferentes comunidades indígenas, realizar um processo de análise geográfic</w:t>
      </w:r>
      <w:r>
        <w:rPr>
          <w:rFonts w:ascii="Verdana" w:hAnsi="Verdana"/>
          <w:sz w:val="20"/>
        </w:rPr>
        <w:t>a</w:t>
      </w:r>
      <w:r w:rsidRPr="002818E7">
        <w:rPr>
          <w:rFonts w:ascii="Verdana" w:hAnsi="Verdana"/>
          <w:sz w:val="20"/>
        </w:rPr>
        <w:t xml:space="preserve"> que determine as áreas comunais e as estatais, realizar um projeto de demarcação e administrar o financiamento para referido projeto.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121.</w:t>
      </w:r>
      <w:r w:rsidRPr="002818E7">
        <w:rPr>
          <w:rFonts w:ascii="Verdana" w:hAnsi="Verdana"/>
          <w:sz w:val="20"/>
        </w:rPr>
        <w:tab/>
        <w:t>Por sua vez, 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14</w:t>
      </w:r>
      <w:r w:rsidR="00067F5C">
        <w:rPr>
          <w:rFonts w:ascii="Verdana" w:hAnsi="Verdana"/>
          <w:sz w:val="20"/>
        </w:rPr>
        <w:t>,</w:t>
      </w:r>
      <w:r w:rsidRPr="002818E7">
        <w:rPr>
          <w:rFonts w:ascii="Verdana" w:hAnsi="Verdana"/>
          <w:sz w:val="20"/>
        </w:rPr>
        <w:t xml:space="preserve"> publicada em 13 de janeiro de 1986 </w:t>
      </w:r>
      <w:r w:rsidR="00D72E24">
        <w:rPr>
          <w:rFonts w:ascii="Verdana" w:hAnsi="Verdana"/>
          <w:sz w:val="20"/>
        </w:rPr>
        <w:t xml:space="preserve">no </w:t>
      </w:r>
      <w:r w:rsidR="00D72E24" w:rsidRPr="0086460E">
        <w:rPr>
          <w:rFonts w:ascii="Verdana" w:hAnsi="Verdana"/>
          <w:sz w:val="20"/>
        </w:rPr>
        <w:t>Diário Oficial da República da Nicarágua</w:t>
      </w:r>
      <w:r w:rsidR="00D72E24" w:rsidRPr="002818E7">
        <w:rPr>
          <w:rFonts w:ascii="Verdana" w:hAnsi="Verdana"/>
          <w:sz w:val="20"/>
        </w:rPr>
        <w:t xml:space="preserve"> </w:t>
      </w:r>
      <w:r w:rsidRPr="002818E7">
        <w:rPr>
          <w:rFonts w:ascii="Verdana" w:hAnsi="Verdana"/>
          <w:i/>
          <w:sz w:val="20"/>
        </w:rPr>
        <w:t>La Gaceta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8, chamada “Reforma à Lei de Reforma Agrária”, estabelece em seu artigo 31 que:</w:t>
      </w:r>
    </w:p>
    <w:p w:rsidR="00C336FB" w:rsidRPr="002818E7" w:rsidRDefault="00C336FB" w:rsidP="00C336FB">
      <w:pPr>
        <w:jc w:val="both"/>
        <w:rPr>
          <w:rFonts w:ascii="Verdana" w:hAnsi="Verdana"/>
          <w:sz w:val="20"/>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O Estado disporá das terras necessárias para as comunidades miskitas, Sumos, Ramas e demais etnias do Atlântico da Nicarágua, com o propósito de elevar seu nível de vida e contribuir ao desenvolvimento social e econômico da [N</w:t>
      </w:r>
      <w:proofErr w:type="gramStart"/>
      <w:r w:rsidRPr="00067F5C">
        <w:rPr>
          <w:rFonts w:ascii="Verdana" w:hAnsi="Verdana"/>
          <w:sz w:val="18"/>
          <w:szCs w:val="18"/>
        </w:rPr>
        <w:t>]ação</w:t>
      </w:r>
      <w:proofErr w:type="gramEnd"/>
      <w:r w:rsidRPr="00067F5C">
        <w:rPr>
          <w:rFonts w:ascii="Verdana" w:hAnsi="Verdana"/>
          <w:sz w:val="18"/>
          <w:szCs w:val="18"/>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122.</w:t>
      </w:r>
      <w:r w:rsidRPr="002818E7">
        <w:rPr>
          <w:rFonts w:ascii="Verdana" w:hAnsi="Verdana"/>
          <w:sz w:val="20"/>
        </w:rPr>
        <w:tab/>
        <w:t xml:space="preserve">Com base no anterior, a Corte considera evidente a existência de </w:t>
      </w:r>
      <w:r w:rsidR="004F6B2C">
        <w:rPr>
          <w:rFonts w:ascii="Verdana" w:hAnsi="Verdana"/>
          <w:sz w:val="20"/>
        </w:rPr>
        <w:t>uma ordem normativa</w:t>
      </w:r>
      <w:r w:rsidRPr="002818E7">
        <w:rPr>
          <w:rFonts w:ascii="Verdana" w:hAnsi="Verdana"/>
          <w:sz w:val="20"/>
        </w:rPr>
        <w:t xml:space="preserve"> que reconhece e protege a propriedade comunal indígena na Nicarágua.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123.</w:t>
      </w:r>
      <w:r w:rsidRPr="002818E7">
        <w:rPr>
          <w:rFonts w:ascii="Verdana" w:hAnsi="Verdana"/>
          <w:sz w:val="20"/>
        </w:rPr>
        <w:tab/>
      </w:r>
      <w:proofErr w:type="gramStart"/>
      <w:r w:rsidR="00D72E24">
        <w:rPr>
          <w:rFonts w:ascii="Verdana" w:hAnsi="Verdana"/>
          <w:sz w:val="20"/>
        </w:rPr>
        <w:t>Isso posto</w:t>
      </w:r>
      <w:proofErr w:type="gramEnd"/>
      <w:r>
        <w:rPr>
          <w:rFonts w:ascii="Verdana" w:hAnsi="Verdana"/>
          <w:sz w:val="20"/>
        </w:rPr>
        <w:t>, pareceria</w:t>
      </w:r>
      <w:r w:rsidRPr="002818E7">
        <w:rPr>
          <w:rFonts w:ascii="Verdana" w:hAnsi="Verdana"/>
          <w:sz w:val="20"/>
        </w:rPr>
        <w:t xml:space="preserve"> que o procedimento para a titulação de terras ocupadas por grupos indígenas não está claramente regula</w:t>
      </w:r>
      <w:r w:rsidR="00D72E24">
        <w:rPr>
          <w:rFonts w:ascii="Verdana" w:hAnsi="Verdana"/>
          <w:sz w:val="20"/>
        </w:rPr>
        <w:t>menta</w:t>
      </w:r>
      <w:r w:rsidRPr="002818E7">
        <w:rPr>
          <w:rFonts w:ascii="Verdana" w:hAnsi="Verdana"/>
          <w:sz w:val="20"/>
        </w:rPr>
        <w:t>do na legislação nicaraguense</w:t>
      </w:r>
      <w:r>
        <w:rPr>
          <w:rFonts w:ascii="Verdana" w:hAnsi="Verdana"/>
          <w:sz w:val="20"/>
        </w:rPr>
        <w:t xml:space="preserve">. </w:t>
      </w:r>
      <w:r w:rsidRPr="002818E7">
        <w:rPr>
          <w:rFonts w:ascii="Verdana" w:hAnsi="Verdana"/>
          <w:sz w:val="20"/>
        </w:rPr>
        <w:t>Segundo o Estado, o contexto jurídico para conduzir o processo de titulação das comunidades indígenas no país é o estabelecido na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 xml:space="preserve">14, “Reforma à Lei de Reforma Agrária”, e este processo deve </w:t>
      </w:r>
      <w:r>
        <w:rPr>
          <w:rFonts w:ascii="Verdana" w:hAnsi="Verdana"/>
          <w:sz w:val="20"/>
        </w:rPr>
        <w:t>ser realizado per</w:t>
      </w:r>
      <w:r w:rsidRPr="002818E7">
        <w:rPr>
          <w:rFonts w:ascii="Verdana" w:hAnsi="Verdana"/>
          <w:sz w:val="20"/>
        </w:rPr>
        <w:t xml:space="preserve">ante o Instituto Nicaraguense de Reforma Agrária </w:t>
      </w:r>
      <w:r w:rsidR="00C60678" w:rsidRPr="00C60678">
        <w:rPr>
          <w:rFonts w:ascii="Verdana" w:hAnsi="Verdana"/>
          <w:sz w:val="20"/>
        </w:rPr>
        <w:t>(</w:t>
      </w:r>
      <w:r w:rsidRPr="002818E7">
        <w:rPr>
          <w:rFonts w:ascii="Verdana" w:hAnsi="Verdana"/>
          <w:sz w:val="20"/>
        </w:rPr>
        <w:t>INRA</w:t>
      </w:r>
      <w:r w:rsidR="00C60678" w:rsidRPr="00C60678">
        <w:rPr>
          <w:rFonts w:ascii="Verdana" w:hAnsi="Verdana"/>
          <w:sz w:val="20"/>
        </w:rPr>
        <w:t>)</w:t>
      </w:r>
      <w:r w:rsidRPr="002818E7">
        <w:rPr>
          <w:rFonts w:ascii="Verdana" w:hAnsi="Verdana"/>
          <w:sz w:val="20"/>
        </w:rPr>
        <w:t>. 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 xml:space="preserve">14 estabelece os procedimentos para garantir a propriedade da terra a todos </w:t>
      </w:r>
      <w:proofErr w:type="gramStart"/>
      <w:r w:rsidRPr="002818E7">
        <w:rPr>
          <w:rFonts w:ascii="Verdana" w:hAnsi="Verdana"/>
          <w:sz w:val="20"/>
        </w:rPr>
        <w:t>aqueles</w:t>
      </w:r>
      <w:proofErr w:type="gramEnd"/>
      <w:r w:rsidRPr="002818E7">
        <w:rPr>
          <w:rFonts w:ascii="Verdana" w:hAnsi="Verdana"/>
          <w:sz w:val="20"/>
        </w:rPr>
        <w:t xml:space="preserve"> que a trabalham produtiva e eficientemente, depois de dispor que podem </w:t>
      </w:r>
      <w:r>
        <w:rPr>
          <w:rFonts w:ascii="Verdana" w:hAnsi="Verdana"/>
          <w:sz w:val="20"/>
        </w:rPr>
        <w:t xml:space="preserve">ser </w:t>
      </w:r>
      <w:r w:rsidRPr="0066717E">
        <w:rPr>
          <w:rFonts w:ascii="Verdana" w:hAnsi="Verdana"/>
          <w:sz w:val="20"/>
        </w:rPr>
        <w:t>declaradas “</w:t>
      </w:r>
      <w:r w:rsidR="0066717E" w:rsidRPr="0066717E">
        <w:rPr>
          <w:rFonts w:ascii="Verdana" w:hAnsi="Verdana"/>
          <w:sz w:val="20"/>
        </w:rPr>
        <w:t>propícias</w:t>
      </w:r>
      <w:r w:rsidRPr="0066717E">
        <w:rPr>
          <w:rFonts w:ascii="Verdana" w:hAnsi="Verdana"/>
          <w:sz w:val="20"/>
        </w:rPr>
        <w:t>”</w:t>
      </w:r>
      <w:r w:rsidRPr="002818E7">
        <w:rPr>
          <w:rFonts w:ascii="Verdana" w:hAnsi="Verdana"/>
          <w:sz w:val="20"/>
        </w:rPr>
        <w:t xml:space="preserve"> à reforma agrária as propriedades em abandono, ociosas, deficientemente exploradas, as terras dadas em arrendamento ou cedidas sob qualquer outra forma de modalidade, as terras que não estão sendo trabalhadas diretamente por seus donos, mas por camponeses em </w:t>
      </w:r>
      <w:r>
        <w:rPr>
          <w:rFonts w:ascii="Verdana" w:hAnsi="Verdana"/>
          <w:sz w:val="20"/>
        </w:rPr>
        <w:t>meação</w:t>
      </w:r>
      <w:r w:rsidRPr="002818E7">
        <w:rPr>
          <w:rFonts w:ascii="Verdana" w:hAnsi="Verdana"/>
          <w:sz w:val="20"/>
        </w:rPr>
        <w:t xml:space="preserve">, </w:t>
      </w:r>
      <w:r>
        <w:rPr>
          <w:rFonts w:ascii="Verdana" w:hAnsi="Verdana"/>
          <w:sz w:val="20"/>
        </w:rPr>
        <w:t>parceria</w:t>
      </w:r>
      <w:r w:rsidRPr="002818E7">
        <w:rPr>
          <w:rFonts w:ascii="Verdana" w:hAnsi="Verdana"/>
          <w:sz w:val="20"/>
        </w:rPr>
        <w:t xml:space="preserve">, colonato, </w:t>
      </w:r>
      <w:r w:rsidR="00D91189">
        <w:rPr>
          <w:rFonts w:ascii="Verdana" w:hAnsi="Verdana"/>
          <w:sz w:val="20"/>
        </w:rPr>
        <w:t>situações precárias</w:t>
      </w:r>
      <w:r w:rsidR="007E4C86">
        <w:rPr>
          <w:rFonts w:ascii="Verdana" w:hAnsi="Verdana"/>
          <w:sz w:val="20"/>
        </w:rPr>
        <w:t xml:space="preserve"> </w:t>
      </w:r>
      <w:r w:rsidRPr="002818E7">
        <w:rPr>
          <w:rFonts w:ascii="Verdana" w:hAnsi="Verdana"/>
          <w:sz w:val="20"/>
        </w:rPr>
        <w:t>ou outras formas de exploração camp</w:t>
      </w:r>
      <w:r>
        <w:rPr>
          <w:rFonts w:ascii="Verdana" w:hAnsi="Verdana"/>
          <w:sz w:val="20"/>
        </w:rPr>
        <w:t>onesa</w:t>
      </w:r>
      <w:r w:rsidRPr="002818E7">
        <w:rPr>
          <w:rFonts w:ascii="Verdana" w:hAnsi="Verdana"/>
          <w:sz w:val="20"/>
        </w:rPr>
        <w:t xml:space="preserve">, e as terras que estão sendo trabalhadas por cooperativas ou camponeses organizados sob qualquer outra modalidade associativa. Entretanto, </w:t>
      </w:r>
      <w:r w:rsidR="00D72E24">
        <w:rPr>
          <w:rFonts w:ascii="Verdana" w:hAnsi="Verdana"/>
          <w:sz w:val="20"/>
        </w:rPr>
        <w:t xml:space="preserve">esta Corte </w:t>
      </w:r>
      <w:r w:rsidRPr="002818E7">
        <w:rPr>
          <w:rFonts w:ascii="Verdana" w:hAnsi="Verdana"/>
          <w:sz w:val="20"/>
        </w:rPr>
        <w:t xml:space="preserve">considera que </w:t>
      </w:r>
      <w:r w:rsidR="00D72E24">
        <w:rPr>
          <w:rFonts w:ascii="Verdana" w:hAnsi="Verdana"/>
          <w:sz w:val="20"/>
        </w:rPr>
        <w:t xml:space="preserve">a </w:t>
      </w:r>
      <w:r w:rsidRPr="002818E7">
        <w:rPr>
          <w:rFonts w:ascii="Verdana" w:hAnsi="Verdana"/>
          <w:sz w:val="20"/>
        </w:rPr>
        <w:t>referida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 xml:space="preserve">14 não estabelece um procedimento específico para a demarcação e a titulação das terras ocupadas por comunidades indígenas, atendendo a suas características particulares.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124.</w:t>
      </w:r>
      <w:r w:rsidRPr="002818E7">
        <w:rPr>
          <w:rFonts w:ascii="Verdana" w:hAnsi="Verdana"/>
          <w:sz w:val="20"/>
        </w:rPr>
        <w:tab/>
        <w:t>Também do rest</w:t>
      </w:r>
      <w:r w:rsidR="007274D4">
        <w:rPr>
          <w:rFonts w:ascii="Verdana" w:hAnsi="Verdana"/>
          <w:sz w:val="20"/>
        </w:rPr>
        <w:t>ante</w:t>
      </w:r>
      <w:r w:rsidRPr="002818E7">
        <w:rPr>
          <w:rFonts w:ascii="Verdana" w:hAnsi="Verdana"/>
          <w:sz w:val="20"/>
        </w:rPr>
        <w:t xml:space="preserve"> do acervo probatório do presente caso </w:t>
      </w:r>
      <w:r>
        <w:rPr>
          <w:rFonts w:ascii="Verdana" w:hAnsi="Verdana"/>
          <w:sz w:val="20"/>
        </w:rPr>
        <w:t>se observa</w:t>
      </w:r>
      <w:r w:rsidRPr="002818E7">
        <w:rPr>
          <w:rFonts w:ascii="Verdana" w:hAnsi="Verdana"/>
          <w:sz w:val="20"/>
        </w:rPr>
        <w:t xml:space="preserve"> que o Estado não dispõe de um procedimento específico para a titulação da terra</w:t>
      </w:r>
      <w:r>
        <w:rPr>
          <w:rFonts w:ascii="Verdana" w:hAnsi="Verdana"/>
          <w:sz w:val="20"/>
        </w:rPr>
        <w:t xml:space="preserve"> comunal indígena. </w:t>
      </w:r>
      <w:r w:rsidRPr="002818E7">
        <w:rPr>
          <w:rFonts w:ascii="Verdana" w:hAnsi="Verdana"/>
          <w:sz w:val="20"/>
        </w:rPr>
        <w:t xml:space="preserve">Várias das testemunhas e peritos </w:t>
      </w:r>
      <w:r w:rsidR="00C60678" w:rsidRPr="00C60678">
        <w:rPr>
          <w:rFonts w:ascii="Verdana" w:hAnsi="Verdana"/>
          <w:sz w:val="20"/>
        </w:rPr>
        <w:t>(</w:t>
      </w:r>
      <w:r w:rsidRPr="002818E7">
        <w:rPr>
          <w:rFonts w:ascii="Verdana" w:hAnsi="Verdana"/>
          <w:sz w:val="20"/>
        </w:rPr>
        <w:t>Marco Antonio Centeno Caffarena, Galio Claudio Enrique Gurdián Gurdián, Brooklyn Rivera Bryan, Charles Rice Hale, Lottie Marie Cunningham de Aguirre, Roque de Jesús Roldán Ortega</w:t>
      </w:r>
      <w:r w:rsidR="00C60678" w:rsidRPr="00C60678">
        <w:rPr>
          <w:rFonts w:ascii="Verdana" w:hAnsi="Verdana"/>
          <w:sz w:val="20"/>
        </w:rPr>
        <w:t>)</w:t>
      </w:r>
      <w:r w:rsidRPr="002818E7">
        <w:rPr>
          <w:rFonts w:ascii="Verdana" w:hAnsi="Verdana"/>
          <w:sz w:val="20"/>
        </w:rPr>
        <w:t xml:space="preserve"> que compareceram </w:t>
      </w:r>
      <w:r>
        <w:rPr>
          <w:rFonts w:ascii="Verdana" w:hAnsi="Verdana"/>
          <w:sz w:val="20"/>
        </w:rPr>
        <w:t>per</w:t>
      </w:r>
      <w:r w:rsidRPr="002818E7">
        <w:rPr>
          <w:rFonts w:ascii="Verdana" w:hAnsi="Verdana"/>
          <w:sz w:val="20"/>
        </w:rPr>
        <w:t xml:space="preserve">ante a Corte na audiência pública sobre o mérito do presente caso </w:t>
      </w:r>
      <w:r w:rsidR="00C60678" w:rsidRPr="00C60678">
        <w:rPr>
          <w:rFonts w:ascii="Verdana" w:hAnsi="Verdana"/>
          <w:sz w:val="20"/>
        </w:rPr>
        <w:t>(</w:t>
      </w:r>
      <w:r w:rsidRPr="002818E7">
        <w:rPr>
          <w:rFonts w:ascii="Verdana" w:hAnsi="Verdana"/>
          <w:sz w:val="20"/>
        </w:rPr>
        <w:t xml:space="preserve">pars. 62 e 83 </w:t>
      </w:r>
      <w:r w:rsidRPr="002818E7">
        <w:rPr>
          <w:rFonts w:ascii="Verdana" w:hAnsi="Verdana"/>
          <w:i/>
          <w:sz w:val="20"/>
        </w:rPr>
        <w:t>supra</w:t>
      </w:r>
      <w:r w:rsidR="00C60678" w:rsidRPr="00C60678">
        <w:rPr>
          <w:rFonts w:ascii="Verdana" w:hAnsi="Verdana"/>
          <w:sz w:val="20"/>
        </w:rPr>
        <w:t>)</w:t>
      </w:r>
      <w:r w:rsidRPr="002818E7">
        <w:rPr>
          <w:rFonts w:ascii="Verdana" w:hAnsi="Verdana"/>
          <w:sz w:val="20"/>
        </w:rPr>
        <w:t xml:space="preserve">, manifestaram que na Nicarágua há um desconhecimento geral, uma incerteza </w:t>
      </w:r>
      <w:r w:rsidR="00F77E6B">
        <w:rPr>
          <w:rFonts w:ascii="Verdana" w:hAnsi="Verdana"/>
          <w:sz w:val="20"/>
        </w:rPr>
        <w:t>sobre o</w:t>
      </w:r>
      <w:r w:rsidR="00F77E6B" w:rsidRPr="002818E7">
        <w:rPr>
          <w:rFonts w:ascii="Verdana" w:hAnsi="Verdana"/>
          <w:sz w:val="20"/>
        </w:rPr>
        <w:t xml:space="preserve"> </w:t>
      </w:r>
      <w:r w:rsidRPr="002818E7">
        <w:rPr>
          <w:rFonts w:ascii="Verdana" w:hAnsi="Verdana"/>
          <w:sz w:val="20"/>
        </w:rPr>
        <w:t xml:space="preserve">que deve </w:t>
      </w:r>
      <w:r>
        <w:rPr>
          <w:rFonts w:ascii="Verdana" w:hAnsi="Verdana"/>
          <w:sz w:val="20"/>
        </w:rPr>
        <w:t>ser feito</w:t>
      </w:r>
      <w:r w:rsidRPr="002818E7">
        <w:rPr>
          <w:rFonts w:ascii="Verdana" w:hAnsi="Verdana"/>
          <w:sz w:val="20"/>
        </w:rPr>
        <w:t xml:space="preserve"> e </w:t>
      </w:r>
      <w:proofErr w:type="gramStart"/>
      <w:r>
        <w:rPr>
          <w:rFonts w:ascii="Verdana" w:hAnsi="Verdana"/>
          <w:sz w:val="20"/>
        </w:rPr>
        <w:t>per</w:t>
      </w:r>
      <w:r w:rsidRPr="002818E7">
        <w:rPr>
          <w:rFonts w:ascii="Verdana" w:hAnsi="Verdana"/>
          <w:sz w:val="20"/>
        </w:rPr>
        <w:t>ante quem</w:t>
      </w:r>
      <w:proofErr w:type="gramEnd"/>
      <w:r w:rsidRPr="002818E7">
        <w:rPr>
          <w:rFonts w:ascii="Verdana" w:hAnsi="Verdana"/>
          <w:sz w:val="20"/>
        </w:rPr>
        <w:t xml:space="preserve"> deve </w:t>
      </w:r>
      <w:r>
        <w:rPr>
          <w:rFonts w:ascii="Verdana" w:hAnsi="Verdana"/>
          <w:sz w:val="20"/>
        </w:rPr>
        <w:t>ser gerida</w:t>
      </w:r>
      <w:r w:rsidRPr="002818E7">
        <w:rPr>
          <w:rFonts w:ascii="Verdana" w:hAnsi="Verdana"/>
          <w:sz w:val="20"/>
        </w:rPr>
        <w:t xml:space="preserve"> uma petição de demarcação e de titulação.</w:t>
      </w:r>
      <w:r w:rsidR="00850A3F">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125.</w:t>
      </w:r>
      <w:r w:rsidRPr="002818E7">
        <w:rPr>
          <w:rFonts w:ascii="Verdana" w:hAnsi="Verdana"/>
          <w:sz w:val="20"/>
        </w:rPr>
        <w:tab/>
      </w:r>
      <w:r w:rsidR="007274D4">
        <w:rPr>
          <w:rFonts w:ascii="Verdana" w:hAnsi="Verdana"/>
          <w:sz w:val="20"/>
        </w:rPr>
        <w:t>Além disso</w:t>
      </w:r>
      <w:r w:rsidRPr="002818E7">
        <w:rPr>
          <w:rFonts w:ascii="Verdana" w:hAnsi="Verdana"/>
          <w:sz w:val="20"/>
        </w:rPr>
        <w:t xml:space="preserve">, no documento de março de 1998, </w:t>
      </w:r>
      <w:r w:rsidR="00C6474D">
        <w:rPr>
          <w:rFonts w:ascii="Verdana" w:hAnsi="Verdana"/>
          <w:sz w:val="20"/>
        </w:rPr>
        <w:t>intitulado</w:t>
      </w:r>
      <w:r w:rsidRPr="002818E7">
        <w:rPr>
          <w:rFonts w:ascii="Verdana" w:hAnsi="Verdana"/>
          <w:sz w:val="20"/>
        </w:rPr>
        <w:t xml:space="preserve"> “Diagnóstico geral sobre a </w:t>
      </w:r>
      <w:r>
        <w:rPr>
          <w:rFonts w:ascii="Verdana" w:hAnsi="Verdana"/>
          <w:sz w:val="20"/>
        </w:rPr>
        <w:t>posse</w:t>
      </w:r>
      <w:r w:rsidRPr="002818E7">
        <w:rPr>
          <w:rFonts w:ascii="Verdana" w:hAnsi="Verdana"/>
          <w:sz w:val="20"/>
        </w:rPr>
        <w:t xml:space="preserve"> da terra nas comunidades indígenas da Costa Atlântica”, realizado pelo </w:t>
      </w:r>
      <w:r w:rsidRPr="002818E7">
        <w:rPr>
          <w:rFonts w:ascii="Verdana" w:hAnsi="Verdana"/>
          <w:i/>
          <w:sz w:val="20"/>
        </w:rPr>
        <w:t xml:space="preserve">Central American and Caribbean Research Council, </w:t>
      </w:r>
      <w:r w:rsidRPr="002818E7">
        <w:rPr>
          <w:rFonts w:ascii="Verdana" w:hAnsi="Verdana"/>
          <w:sz w:val="20"/>
        </w:rPr>
        <w:t xml:space="preserve">e oferecido pelo Estado no presente caso </w:t>
      </w:r>
      <w:r w:rsidR="00C60678" w:rsidRPr="00C60678">
        <w:rPr>
          <w:rFonts w:ascii="Verdana" w:hAnsi="Verdana"/>
          <w:sz w:val="20"/>
        </w:rPr>
        <w:t>(</w:t>
      </w:r>
      <w:r w:rsidRPr="002818E7">
        <w:rPr>
          <w:rFonts w:ascii="Verdana" w:hAnsi="Verdana"/>
          <w:sz w:val="20"/>
        </w:rPr>
        <w:t xml:space="preserve">pars. 64, 65, 80 e 96 </w:t>
      </w:r>
      <w:proofErr w:type="gramStart"/>
      <w:r w:rsidRPr="002818E7">
        <w:rPr>
          <w:rFonts w:ascii="Verdana" w:hAnsi="Verdana"/>
          <w:i/>
          <w:sz w:val="20"/>
        </w:rPr>
        <w:t>supra</w:t>
      </w:r>
      <w:proofErr w:type="gramEnd"/>
      <w:r w:rsidR="00C60678" w:rsidRPr="00C60678">
        <w:rPr>
          <w:rFonts w:ascii="Verdana" w:hAnsi="Verdana"/>
          <w:sz w:val="20"/>
        </w:rPr>
        <w:t>)</w:t>
      </w:r>
      <w:r w:rsidRPr="002818E7">
        <w:rPr>
          <w:rFonts w:ascii="Verdana" w:hAnsi="Verdana"/>
          <w:sz w:val="20"/>
        </w:rPr>
        <w:t>, é reconhecid</w:t>
      </w:r>
      <w:r>
        <w:rPr>
          <w:rFonts w:ascii="Verdana" w:hAnsi="Verdana"/>
          <w:sz w:val="20"/>
        </w:rPr>
        <w:t>a</w:t>
      </w:r>
      <w:r w:rsidR="00F77E6B">
        <w:rPr>
          <w:rFonts w:ascii="Verdana" w:hAnsi="Verdana"/>
          <w:sz w:val="20"/>
        </w:rPr>
        <w:t>,</w:t>
      </w:r>
      <w:r w:rsidRPr="002818E7">
        <w:rPr>
          <w:rFonts w:ascii="Verdana" w:hAnsi="Verdana"/>
          <w:sz w:val="20"/>
        </w:rPr>
        <w:t xml:space="preserve"> em seu Contexto Geral, </w:t>
      </w:r>
      <w:r w:rsidRPr="002818E7">
        <w:rPr>
          <w:rFonts w:ascii="Verdana" w:hAnsi="Verdana"/>
          <w:sz w:val="20"/>
        </w:rPr>
        <w:lastRenderedPageBreak/>
        <w:t>“[…] a ausência de uma legislação que designe ao INRA as faculdades específicas para titular as terras comunais indígenas” e é indicado que é possível que a existência de “ambiguidades legais tenha […] contribuído à marcada lentidão da resposta do INRA às demandas indígenas pela titulação comunal”.</w:t>
      </w:r>
      <w:r w:rsidR="00850A3F">
        <w:rPr>
          <w:rFonts w:ascii="Verdana" w:hAnsi="Verdana"/>
          <w:sz w:val="20"/>
        </w:rPr>
        <w:t xml:space="preserve"> </w:t>
      </w:r>
      <w:r w:rsidRPr="002818E7">
        <w:rPr>
          <w:rFonts w:ascii="Verdana" w:hAnsi="Verdana"/>
          <w:sz w:val="20"/>
        </w:rPr>
        <w:t>Este diagnóstico acrescenta que</w:t>
      </w:r>
    </w:p>
    <w:p w:rsidR="00C336FB" w:rsidRPr="002818E7" w:rsidRDefault="00C336FB" w:rsidP="00C336FB">
      <w:pPr>
        <w:ind w:left="720"/>
        <w:jc w:val="both"/>
        <w:rPr>
          <w:rFonts w:ascii="Verdana" w:hAnsi="Verdana"/>
          <w:sz w:val="16"/>
          <w:szCs w:val="16"/>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 xml:space="preserve">[…] existe uma incompatibilidade entre as leis específicas de Reforma Agrária sobre a questão da terra indígena e o </w:t>
      </w:r>
      <w:r w:rsidR="004922CB" w:rsidRPr="00067F5C">
        <w:rPr>
          <w:rFonts w:ascii="Verdana" w:hAnsi="Verdana"/>
          <w:sz w:val="18"/>
          <w:szCs w:val="18"/>
        </w:rPr>
        <w:t xml:space="preserve">ordenamento jurídico </w:t>
      </w:r>
      <w:r w:rsidRPr="00067F5C">
        <w:rPr>
          <w:rFonts w:ascii="Verdana" w:hAnsi="Verdana"/>
          <w:sz w:val="18"/>
          <w:szCs w:val="18"/>
        </w:rPr>
        <w:t>do país. Esse problema implica confusão legal e conceitual, e contribui à ineficácia política das instituições encarregadas de resolver este tema.</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 xml:space="preserve">[…] na Nicarágua o problema é que não existem leis que permitam concretizar os princípios constitucionais, ou [que] quando existem as leis </w:t>
      </w:r>
      <w:r w:rsidR="00C60678" w:rsidRPr="00067F5C">
        <w:rPr>
          <w:rFonts w:ascii="Verdana" w:hAnsi="Verdana"/>
          <w:sz w:val="18"/>
          <w:szCs w:val="18"/>
        </w:rPr>
        <w:t>(</w:t>
      </w:r>
      <w:r w:rsidRPr="00067F5C">
        <w:rPr>
          <w:rFonts w:ascii="Verdana" w:hAnsi="Verdana"/>
          <w:sz w:val="18"/>
          <w:szCs w:val="18"/>
        </w:rPr>
        <w:t>caso da Lei de Autonomia</w:t>
      </w:r>
      <w:r w:rsidR="00C60678" w:rsidRPr="00067F5C">
        <w:rPr>
          <w:rFonts w:ascii="Verdana" w:hAnsi="Verdana"/>
          <w:sz w:val="18"/>
          <w:szCs w:val="18"/>
        </w:rPr>
        <w:t>)</w:t>
      </w:r>
      <w:r w:rsidRPr="00067F5C">
        <w:rPr>
          <w:rFonts w:ascii="Verdana" w:hAnsi="Verdana"/>
          <w:sz w:val="18"/>
          <w:szCs w:val="18"/>
        </w:rPr>
        <w:t xml:space="preserve"> não tem havido suficiente vontade política para alcançar sua regulamentação.</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[A Nicarágua] carece de uma clara delimitação legal sobre o status das terras nacionais em relação com as terras comunais indígenas.</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w:t>
      </w:r>
    </w:p>
    <w:p w:rsidR="00C336FB" w:rsidRPr="00067F5C" w:rsidRDefault="00C336FB" w:rsidP="00067F5C">
      <w:pPr>
        <w:ind w:left="720" w:right="560"/>
        <w:jc w:val="both"/>
        <w:rPr>
          <w:rFonts w:ascii="Verdana" w:hAnsi="Verdana"/>
          <w:sz w:val="18"/>
          <w:szCs w:val="18"/>
        </w:rPr>
      </w:pPr>
    </w:p>
    <w:p w:rsidR="00C336FB" w:rsidRPr="00067F5C" w:rsidRDefault="00C336FB" w:rsidP="00067F5C">
      <w:pPr>
        <w:ind w:left="720" w:right="560"/>
        <w:jc w:val="both"/>
        <w:rPr>
          <w:rFonts w:ascii="Verdana" w:hAnsi="Verdana"/>
          <w:sz w:val="18"/>
          <w:szCs w:val="18"/>
        </w:rPr>
      </w:pPr>
      <w:r w:rsidRPr="00067F5C">
        <w:rPr>
          <w:rFonts w:ascii="Verdana" w:hAnsi="Verdana"/>
          <w:sz w:val="18"/>
          <w:szCs w:val="18"/>
        </w:rPr>
        <w:t>[…] além da relação entre terra nacional e comunal, o conceito mesmo de terra comunal indígena padece de uma definição clara.</w:t>
      </w:r>
    </w:p>
    <w:p w:rsidR="00C336FB" w:rsidRPr="00067F5C" w:rsidRDefault="00C336FB" w:rsidP="00067F5C">
      <w:pPr>
        <w:ind w:right="560"/>
        <w:jc w:val="both"/>
        <w:rPr>
          <w:rFonts w:ascii="Verdana" w:hAnsi="Verdana"/>
          <w:sz w:val="18"/>
          <w:szCs w:val="18"/>
        </w:rPr>
      </w:pPr>
    </w:p>
    <w:p w:rsidR="00C336FB" w:rsidRDefault="00C336FB" w:rsidP="00C336FB">
      <w:pPr>
        <w:jc w:val="both"/>
        <w:rPr>
          <w:rFonts w:ascii="Verdana" w:hAnsi="Verdana"/>
          <w:sz w:val="20"/>
        </w:rPr>
      </w:pPr>
      <w:r w:rsidRPr="002818E7">
        <w:rPr>
          <w:rFonts w:ascii="Verdana" w:hAnsi="Verdana"/>
          <w:sz w:val="20"/>
        </w:rPr>
        <w:t>126.</w:t>
      </w:r>
      <w:r w:rsidRPr="002818E7">
        <w:rPr>
          <w:rFonts w:ascii="Verdana" w:hAnsi="Verdana"/>
          <w:sz w:val="20"/>
        </w:rPr>
        <w:tab/>
        <w:t>Por outr</w:t>
      </w:r>
      <w:r w:rsidR="00F77E6B">
        <w:rPr>
          <w:rFonts w:ascii="Verdana" w:hAnsi="Verdana"/>
          <w:sz w:val="20"/>
        </w:rPr>
        <w:t>o</w:t>
      </w:r>
      <w:r w:rsidRPr="002818E7">
        <w:rPr>
          <w:rFonts w:ascii="Verdana" w:hAnsi="Verdana"/>
          <w:sz w:val="20"/>
        </w:rPr>
        <w:t xml:space="preserve"> </w:t>
      </w:r>
      <w:r w:rsidR="00F77E6B">
        <w:rPr>
          <w:rFonts w:ascii="Verdana" w:hAnsi="Verdana"/>
          <w:sz w:val="20"/>
        </w:rPr>
        <w:t>lado</w:t>
      </w:r>
      <w:r w:rsidRPr="002818E7">
        <w:rPr>
          <w:rFonts w:ascii="Verdana" w:hAnsi="Verdana"/>
          <w:sz w:val="20"/>
        </w:rPr>
        <w:t xml:space="preserve">, está provado que desde o ano de 1990 não </w:t>
      </w:r>
      <w:r w:rsidR="00F77E6B">
        <w:rPr>
          <w:rFonts w:ascii="Verdana" w:hAnsi="Verdana"/>
          <w:sz w:val="20"/>
        </w:rPr>
        <w:t xml:space="preserve">foram tituladas </w:t>
      </w:r>
      <w:r w:rsidRPr="002818E7">
        <w:rPr>
          <w:rFonts w:ascii="Verdana" w:hAnsi="Verdana"/>
          <w:sz w:val="20"/>
        </w:rPr>
        <w:t xml:space="preserve">terras a comunidades indígenas </w:t>
      </w:r>
      <w:r w:rsidR="00C60678" w:rsidRPr="00C60678">
        <w:rPr>
          <w:rFonts w:ascii="Verdana" w:hAnsi="Verdana"/>
          <w:sz w:val="20"/>
        </w:rPr>
        <w:t>(</w:t>
      </w:r>
      <w:r w:rsidRPr="002818E7">
        <w:rPr>
          <w:rFonts w:ascii="Verdana" w:hAnsi="Verdana"/>
          <w:sz w:val="20"/>
        </w:rPr>
        <w:t xml:space="preserve">par. 103.s </w:t>
      </w:r>
      <w:r w:rsidRPr="002818E7">
        <w:rPr>
          <w:rFonts w:ascii="Verdana" w:hAnsi="Verdana"/>
          <w:i/>
          <w:sz w:val="20"/>
        </w:rPr>
        <w:t>supra</w:t>
      </w:r>
      <w:r w:rsidR="00C60678" w:rsidRPr="00C60678">
        <w:rPr>
          <w:rFonts w:ascii="Verdana" w:hAnsi="Verdana"/>
          <w:sz w:val="20"/>
        </w:rPr>
        <w:t>)</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127.</w:t>
      </w:r>
      <w:r w:rsidRPr="002818E7">
        <w:rPr>
          <w:rFonts w:ascii="Verdana" w:hAnsi="Verdana"/>
          <w:sz w:val="20"/>
        </w:rPr>
        <w:tab/>
        <w:t xml:space="preserve">Em razão do exposto, esta Corte considera que na Nicarágua não existe um procedimento efetivo para delimitar, demarcar e titular as terras </w:t>
      </w:r>
      <w:r w:rsidR="00664426">
        <w:rPr>
          <w:rFonts w:ascii="Verdana" w:hAnsi="Verdana"/>
          <w:sz w:val="20"/>
        </w:rPr>
        <w:t>comunitárias</w:t>
      </w:r>
      <w:r w:rsidR="00664426" w:rsidRPr="002818E7">
        <w:rPr>
          <w:rFonts w:ascii="Verdana" w:hAnsi="Verdana"/>
          <w:sz w:val="20"/>
        </w:rPr>
        <w:t xml:space="preserve"> </w:t>
      </w:r>
      <w:r w:rsidRPr="002818E7">
        <w:rPr>
          <w:rFonts w:ascii="Verdana" w:hAnsi="Verdana"/>
          <w:sz w:val="20"/>
        </w:rPr>
        <w:t>indígenas.</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i/>
          <w:sz w:val="20"/>
        </w:rPr>
      </w:pPr>
      <w:proofErr w:type="gramStart"/>
      <w:r w:rsidRPr="002818E7">
        <w:rPr>
          <w:rFonts w:ascii="Verdana" w:hAnsi="Verdana"/>
          <w:i/>
          <w:sz w:val="20"/>
        </w:rPr>
        <w:t>b</w:t>
      </w:r>
      <w:r w:rsidR="00C60678" w:rsidRPr="00C60678">
        <w:rPr>
          <w:rFonts w:ascii="Verdana" w:hAnsi="Verdana"/>
          <w:sz w:val="20"/>
        </w:rPr>
        <w:t>)</w:t>
      </w:r>
      <w:proofErr w:type="gramEnd"/>
      <w:r w:rsidRPr="002818E7">
        <w:rPr>
          <w:rFonts w:ascii="Verdana" w:hAnsi="Verdana"/>
          <w:i/>
          <w:sz w:val="20"/>
        </w:rPr>
        <w:tab/>
        <w:t>Diligências administrativas e judiciais: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128.</w:t>
      </w:r>
      <w:r w:rsidRPr="002818E7">
        <w:rPr>
          <w:rFonts w:ascii="Verdana" w:hAnsi="Verdana"/>
          <w:sz w:val="20"/>
        </w:rPr>
        <w:tab/>
        <w:t>Em razão da ausência de legislação específica e efetiva para o exercício dos direitos das comunidades indígenas e ao fato de que o Estado tem disposto das terras ocupadas por c</w:t>
      </w:r>
      <w:r w:rsidR="007E4C86">
        <w:rPr>
          <w:rFonts w:ascii="Verdana" w:hAnsi="Verdana"/>
          <w:sz w:val="20"/>
        </w:rPr>
        <w:t xml:space="preserve">omunidades indígenas mediante a </w:t>
      </w:r>
      <w:r w:rsidR="00F77E6B">
        <w:rPr>
          <w:rFonts w:ascii="Verdana" w:hAnsi="Verdana"/>
          <w:sz w:val="20"/>
        </w:rPr>
        <w:t>outorga</w:t>
      </w:r>
      <w:r w:rsidR="00F77E6B" w:rsidRPr="002818E7">
        <w:rPr>
          <w:rFonts w:ascii="Verdana" w:hAnsi="Verdana"/>
          <w:sz w:val="20"/>
        </w:rPr>
        <w:t xml:space="preserve"> </w:t>
      </w:r>
      <w:r w:rsidRPr="002818E7">
        <w:rPr>
          <w:rFonts w:ascii="Verdana" w:hAnsi="Verdana"/>
          <w:sz w:val="20"/>
        </w:rPr>
        <w:t xml:space="preserve">de uma concessão, o “Diagnóstico geral sobre a </w:t>
      </w:r>
      <w:r>
        <w:rPr>
          <w:rFonts w:ascii="Verdana" w:hAnsi="Verdana"/>
          <w:sz w:val="20"/>
        </w:rPr>
        <w:t>posse</w:t>
      </w:r>
      <w:r w:rsidRPr="002818E7">
        <w:rPr>
          <w:rFonts w:ascii="Verdana" w:hAnsi="Verdana"/>
          <w:sz w:val="20"/>
        </w:rPr>
        <w:t xml:space="preserve"> da terra nas comunidades indígenas da Costa Atlântica”</w:t>
      </w:r>
      <w:r>
        <w:rPr>
          <w:rFonts w:ascii="Verdana" w:hAnsi="Verdana"/>
          <w:sz w:val="20"/>
        </w:rPr>
        <w:t xml:space="preserve"> </w:t>
      </w:r>
      <w:r w:rsidRPr="002818E7">
        <w:rPr>
          <w:rFonts w:ascii="Verdana" w:hAnsi="Verdana"/>
          <w:sz w:val="20"/>
        </w:rPr>
        <w:t xml:space="preserve">realizado pelo </w:t>
      </w:r>
      <w:r w:rsidRPr="002818E7">
        <w:rPr>
          <w:rFonts w:ascii="Verdana" w:hAnsi="Verdana"/>
          <w:i/>
          <w:sz w:val="20"/>
        </w:rPr>
        <w:t>Central American and Caribbean Research Council</w:t>
      </w:r>
      <w:r w:rsidRPr="002818E7">
        <w:rPr>
          <w:rFonts w:ascii="Verdana" w:hAnsi="Verdana"/>
          <w:sz w:val="20"/>
        </w:rPr>
        <w:t xml:space="preserve">, indica que “se tem recorrido em várias oportunidades ao ‘recurso de amparo’, alegando que uma concessão estatal </w:t>
      </w:r>
      <w:r w:rsidR="00C60678" w:rsidRPr="00C60678">
        <w:rPr>
          <w:rFonts w:ascii="Verdana" w:hAnsi="Verdana"/>
          <w:sz w:val="20"/>
        </w:rPr>
        <w:t>(</w:t>
      </w:r>
      <w:r w:rsidRPr="002818E7">
        <w:rPr>
          <w:rFonts w:ascii="Verdana" w:hAnsi="Verdana"/>
          <w:sz w:val="20"/>
        </w:rPr>
        <w:t>normalmente a uma empresa madeireira</w:t>
      </w:r>
      <w:r w:rsidR="00C60678" w:rsidRPr="00C60678">
        <w:rPr>
          <w:rFonts w:ascii="Verdana" w:hAnsi="Verdana"/>
          <w:sz w:val="20"/>
        </w:rPr>
        <w:t>)</w:t>
      </w:r>
      <w:r w:rsidRPr="002818E7">
        <w:rPr>
          <w:rFonts w:ascii="Verdana" w:hAnsi="Verdana"/>
          <w:sz w:val="20"/>
        </w:rPr>
        <w:t xml:space="preserve"> interfere com os direitos comunais de determinada comunidade indígena”.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129.</w:t>
      </w:r>
      <w:r w:rsidRPr="002818E7">
        <w:rPr>
          <w:rFonts w:ascii="Verdana" w:hAnsi="Verdana"/>
          <w:sz w:val="20"/>
        </w:rPr>
        <w:tab/>
        <w:t xml:space="preserve">Está provado que a Comunidade Awas Tingni </w:t>
      </w:r>
      <w:r>
        <w:rPr>
          <w:rFonts w:ascii="Verdana" w:hAnsi="Verdana"/>
          <w:sz w:val="20"/>
        </w:rPr>
        <w:t>realizou</w:t>
      </w:r>
      <w:r w:rsidR="007E4C86">
        <w:rPr>
          <w:rFonts w:ascii="Verdana" w:hAnsi="Verdana"/>
          <w:sz w:val="20"/>
        </w:rPr>
        <w:t xml:space="preserve"> diversas gestões </w:t>
      </w:r>
      <w:r>
        <w:rPr>
          <w:rFonts w:ascii="Verdana" w:hAnsi="Verdana"/>
          <w:sz w:val="20"/>
        </w:rPr>
        <w:t>per</w:t>
      </w:r>
      <w:r w:rsidRPr="002818E7">
        <w:rPr>
          <w:rFonts w:ascii="Verdana" w:hAnsi="Verdana"/>
          <w:sz w:val="20"/>
        </w:rPr>
        <w:t xml:space="preserve">ante várias autoridades nicaraguenses </w:t>
      </w:r>
      <w:r w:rsidR="00C60678" w:rsidRPr="00C60678">
        <w:rPr>
          <w:rFonts w:ascii="Verdana" w:hAnsi="Verdana"/>
          <w:sz w:val="20"/>
        </w:rPr>
        <w:t>(</w:t>
      </w:r>
      <w:r w:rsidRPr="002818E7">
        <w:rPr>
          <w:rFonts w:ascii="Verdana" w:hAnsi="Verdana"/>
          <w:sz w:val="20"/>
        </w:rPr>
        <w:t xml:space="preserve">pars. </w:t>
      </w:r>
      <w:proofErr w:type="gramStart"/>
      <w:r w:rsidRPr="002818E7">
        <w:rPr>
          <w:rFonts w:ascii="Verdana" w:hAnsi="Verdana"/>
          <w:sz w:val="20"/>
        </w:rPr>
        <w:t>103.</w:t>
      </w:r>
      <w:proofErr w:type="gramEnd"/>
      <w:r w:rsidRPr="002818E7">
        <w:rPr>
          <w:rFonts w:ascii="Verdana" w:hAnsi="Verdana"/>
          <w:sz w:val="20"/>
        </w:rPr>
        <w:t xml:space="preserve">ñ, o, p, r </w:t>
      </w:r>
      <w:r w:rsidRPr="002818E7">
        <w:rPr>
          <w:rFonts w:ascii="Verdana" w:hAnsi="Verdana"/>
          <w:i/>
          <w:sz w:val="20"/>
        </w:rPr>
        <w:t>supra</w:t>
      </w:r>
      <w:r w:rsidR="00C60678" w:rsidRPr="00C60678">
        <w:rPr>
          <w:rFonts w:ascii="Verdana" w:hAnsi="Verdana"/>
          <w:sz w:val="20"/>
        </w:rPr>
        <w:t>)</w:t>
      </w:r>
      <w:r w:rsidRPr="002818E7">
        <w:rPr>
          <w:rFonts w:ascii="Verdana" w:hAnsi="Verdana"/>
          <w:sz w:val="20"/>
        </w:rPr>
        <w:t>, a saber:</w:t>
      </w:r>
    </w:p>
    <w:p w:rsidR="00C336FB" w:rsidRPr="002818E7" w:rsidRDefault="00C336FB" w:rsidP="00C336FB">
      <w:pPr>
        <w:jc w:val="both"/>
        <w:rPr>
          <w:rFonts w:ascii="Verdana" w:hAnsi="Verdana"/>
          <w:sz w:val="20"/>
        </w:rPr>
      </w:pPr>
    </w:p>
    <w:p w:rsidR="00C336FB" w:rsidRPr="002818E7" w:rsidRDefault="00C336FB" w:rsidP="00067F5C">
      <w:pPr>
        <w:numPr>
          <w:ilvl w:val="0"/>
          <w:numId w:val="11"/>
        </w:numPr>
        <w:spacing w:after="120"/>
        <w:ind w:hanging="11"/>
        <w:jc w:val="both"/>
        <w:rPr>
          <w:rFonts w:ascii="Verdana" w:hAnsi="Verdana"/>
          <w:sz w:val="20"/>
        </w:rPr>
      </w:pPr>
      <w:proofErr w:type="gramStart"/>
      <w:r w:rsidRPr="002818E7">
        <w:rPr>
          <w:rFonts w:ascii="Verdana" w:hAnsi="Verdana"/>
          <w:sz w:val="20"/>
        </w:rPr>
        <w:t>em</w:t>
      </w:r>
      <w:proofErr w:type="gramEnd"/>
      <w:r w:rsidRPr="002818E7">
        <w:rPr>
          <w:rFonts w:ascii="Verdana" w:hAnsi="Verdana"/>
          <w:sz w:val="20"/>
        </w:rPr>
        <w:t xml:space="preserve"> 11 de julho de 1995</w:t>
      </w:r>
      <w:r w:rsidR="007274D4">
        <w:rPr>
          <w:rFonts w:ascii="Verdana" w:hAnsi="Verdana"/>
          <w:sz w:val="20"/>
        </w:rPr>
        <w:t>,</w:t>
      </w:r>
      <w:r w:rsidRPr="002818E7">
        <w:rPr>
          <w:rFonts w:ascii="Verdana" w:hAnsi="Verdana"/>
          <w:sz w:val="20"/>
        </w:rPr>
        <w:t xml:space="preserve"> apresentou uma carta ao Ministro do MARENA, mediante a qual solicitou que não se avança</w:t>
      </w:r>
      <w:r>
        <w:rPr>
          <w:rFonts w:ascii="Verdana" w:hAnsi="Verdana"/>
          <w:sz w:val="20"/>
        </w:rPr>
        <w:t>sse</w:t>
      </w:r>
      <w:r w:rsidRPr="002818E7">
        <w:rPr>
          <w:rFonts w:ascii="Verdana" w:hAnsi="Verdana"/>
          <w:sz w:val="20"/>
        </w:rPr>
        <w:t xml:space="preserve"> </w:t>
      </w:r>
      <w:r w:rsidR="007E4C86">
        <w:rPr>
          <w:rFonts w:ascii="Verdana" w:hAnsi="Verdana"/>
          <w:sz w:val="20"/>
        </w:rPr>
        <w:t>na</w:t>
      </w:r>
      <w:r>
        <w:rPr>
          <w:rFonts w:ascii="Verdana" w:hAnsi="Verdana"/>
          <w:sz w:val="20"/>
        </w:rPr>
        <w:t xml:space="preserve"> </w:t>
      </w:r>
      <w:r w:rsidR="009E50CD">
        <w:rPr>
          <w:rFonts w:ascii="Verdana" w:hAnsi="Verdana"/>
          <w:sz w:val="20"/>
        </w:rPr>
        <w:t>outorga da concessão</w:t>
      </w:r>
      <w:r w:rsidRPr="002818E7">
        <w:rPr>
          <w:rFonts w:ascii="Verdana" w:hAnsi="Verdana"/>
          <w:sz w:val="20"/>
        </w:rPr>
        <w:t xml:space="preserve"> à empresa SOLCARSA sem que houvesse um acordo com a Comunidade;</w:t>
      </w:r>
    </w:p>
    <w:p w:rsidR="00C336FB" w:rsidRPr="002818E7" w:rsidRDefault="00C336FB" w:rsidP="00067F5C">
      <w:pPr>
        <w:numPr>
          <w:ilvl w:val="0"/>
          <w:numId w:val="11"/>
        </w:numPr>
        <w:spacing w:after="120"/>
        <w:ind w:hanging="11"/>
        <w:jc w:val="both"/>
        <w:rPr>
          <w:rFonts w:ascii="Verdana" w:hAnsi="Verdana"/>
          <w:sz w:val="20"/>
        </w:rPr>
      </w:pPr>
      <w:proofErr w:type="gramStart"/>
      <w:r w:rsidRPr="002818E7">
        <w:rPr>
          <w:rFonts w:ascii="Verdana" w:hAnsi="Verdana"/>
          <w:sz w:val="20"/>
        </w:rPr>
        <w:t>em</w:t>
      </w:r>
      <w:proofErr w:type="gramEnd"/>
      <w:r w:rsidRPr="002818E7">
        <w:rPr>
          <w:rFonts w:ascii="Verdana" w:hAnsi="Verdana"/>
          <w:sz w:val="20"/>
        </w:rPr>
        <w:t xml:space="preserve"> março de 1996</w:t>
      </w:r>
      <w:r w:rsidR="007274D4">
        <w:rPr>
          <w:rFonts w:ascii="Verdana" w:hAnsi="Verdana"/>
          <w:sz w:val="20"/>
        </w:rPr>
        <w:t>,</w:t>
      </w:r>
      <w:r w:rsidRPr="002818E7">
        <w:rPr>
          <w:rFonts w:ascii="Verdana" w:hAnsi="Verdana"/>
          <w:sz w:val="20"/>
        </w:rPr>
        <w:t xml:space="preserve"> apresentou </w:t>
      </w:r>
      <w:r w:rsidR="00DD7D69">
        <w:rPr>
          <w:rFonts w:ascii="Verdana" w:hAnsi="Verdana"/>
          <w:sz w:val="20"/>
        </w:rPr>
        <w:t>um pedido</w:t>
      </w:r>
      <w:r w:rsidRPr="002818E7">
        <w:rPr>
          <w:rFonts w:ascii="Verdana" w:hAnsi="Verdana"/>
          <w:sz w:val="20"/>
        </w:rPr>
        <w:t xml:space="preserve"> </w:t>
      </w:r>
      <w:r>
        <w:rPr>
          <w:rFonts w:ascii="Verdana" w:hAnsi="Verdana"/>
          <w:sz w:val="20"/>
        </w:rPr>
        <w:t>per</w:t>
      </w:r>
      <w:r w:rsidRPr="002818E7">
        <w:rPr>
          <w:rFonts w:ascii="Verdana" w:hAnsi="Verdana"/>
          <w:sz w:val="20"/>
        </w:rPr>
        <w:t xml:space="preserve">ante o Conselho Regional da RAAN, com o propósito de que </w:t>
      </w:r>
      <w:r>
        <w:rPr>
          <w:rFonts w:ascii="Verdana" w:hAnsi="Verdana"/>
          <w:sz w:val="20"/>
        </w:rPr>
        <w:t>lhe fossem assegurados</w:t>
      </w:r>
      <w:r w:rsidRPr="002818E7">
        <w:rPr>
          <w:rFonts w:ascii="Verdana" w:hAnsi="Verdana"/>
          <w:sz w:val="20"/>
        </w:rPr>
        <w:t xml:space="preserve"> os direitos </w:t>
      </w:r>
      <w:r w:rsidRPr="002818E7">
        <w:rPr>
          <w:rFonts w:ascii="Verdana" w:hAnsi="Verdana"/>
          <w:sz w:val="20"/>
        </w:rPr>
        <w:lastRenderedPageBreak/>
        <w:t xml:space="preserve">de propriedade sobre suas terras </w:t>
      </w:r>
      <w:r w:rsidR="00664426">
        <w:rPr>
          <w:rFonts w:ascii="Verdana" w:hAnsi="Verdana"/>
          <w:sz w:val="20"/>
        </w:rPr>
        <w:t>comunitárias</w:t>
      </w:r>
      <w:r w:rsidR="00664426" w:rsidRPr="002818E7">
        <w:rPr>
          <w:rFonts w:ascii="Verdana" w:hAnsi="Verdana"/>
          <w:sz w:val="20"/>
        </w:rPr>
        <w:t xml:space="preserve"> </w:t>
      </w:r>
      <w:r w:rsidRPr="002818E7">
        <w:rPr>
          <w:rFonts w:ascii="Verdana" w:hAnsi="Verdana"/>
          <w:sz w:val="20"/>
        </w:rPr>
        <w:t>ancestrais, de acordo com a Constituição Política da Nicarágua, e de que o Conselho Regional da RAAN impedi</w:t>
      </w:r>
      <w:r>
        <w:rPr>
          <w:rFonts w:ascii="Verdana" w:hAnsi="Verdana"/>
          <w:sz w:val="20"/>
        </w:rPr>
        <w:t>sse</w:t>
      </w:r>
      <w:r w:rsidRPr="002818E7">
        <w:rPr>
          <w:rFonts w:ascii="Verdana" w:hAnsi="Verdana"/>
          <w:sz w:val="20"/>
        </w:rPr>
        <w:t xml:space="preserve"> </w:t>
      </w:r>
      <w:r w:rsidR="007E4C86">
        <w:rPr>
          <w:rFonts w:ascii="Verdana" w:hAnsi="Verdana"/>
          <w:sz w:val="20"/>
        </w:rPr>
        <w:t>a</w:t>
      </w:r>
      <w:r>
        <w:rPr>
          <w:rFonts w:ascii="Verdana" w:hAnsi="Verdana"/>
          <w:sz w:val="20"/>
        </w:rPr>
        <w:t xml:space="preserve"> </w:t>
      </w:r>
      <w:r w:rsidR="00F77E6B">
        <w:rPr>
          <w:rFonts w:ascii="Verdana" w:hAnsi="Verdana"/>
          <w:sz w:val="20"/>
        </w:rPr>
        <w:t>outorga</w:t>
      </w:r>
      <w:r w:rsidR="00F77E6B" w:rsidRPr="002818E7">
        <w:rPr>
          <w:rFonts w:ascii="Verdana" w:hAnsi="Verdana"/>
          <w:sz w:val="20"/>
        </w:rPr>
        <w:t xml:space="preserve"> </w:t>
      </w:r>
      <w:r w:rsidRPr="002818E7">
        <w:rPr>
          <w:rFonts w:ascii="Verdana" w:hAnsi="Verdana"/>
          <w:sz w:val="20"/>
        </w:rPr>
        <w:t>de concessões para o aproveitamento dos recursos naturais dentro da área sem o consentimento da Comunidade. Esta última apresentou várias propostas com o fim de que delimita</w:t>
      </w:r>
      <w:r>
        <w:rPr>
          <w:rFonts w:ascii="Verdana" w:hAnsi="Verdana"/>
          <w:sz w:val="20"/>
        </w:rPr>
        <w:t>ssem</w:t>
      </w:r>
      <w:r w:rsidRPr="002818E7">
        <w:rPr>
          <w:rFonts w:ascii="Verdana" w:hAnsi="Verdana"/>
          <w:sz w:val="20"/>
        </w:rPr>
        <w:t xml:space="preserve"> e reconhece</w:t>
      </w:r>
      <w:r>
        <w:rPr>
          <w:rFonts w:ascii="Verdana" w:hAnsi="Verdana"/>
          <w:sz w:val="20"/>
        </w:rPr>
        <w:t>ssem</w:t>
      </w:r>
      <w:r w:rsidRPr="002818E7">
        <w:rPr>
          <w:rFonts w:ascii="Verdana" w:hAnsi="Verdana"/>
          <w:sz w:val="20"/>
        </w:rPr>
        <w:t xml:space="preserve"> oficialmente suas terras </w:t>
      </w:r>
      <w:r w:rsidR="00664426">
        <w:rPr>
          <w:rFonts w:ascii="Verdana" w:hAnsi="Verdana"/>
          <w:sz w:val="20"/>
        </w:rPr>
        <w:t>comunitárias</w:t>
      </w:r>
      <w:r w:rsidR="00664426" w:rsidRPr="002818E7">
        <w:rPr>
          <w:rFonts w:ascii="Verdana" w:hAnsi="Verdana"/>
          <w:sz w:val="20"/>
        </w:rPr>
        <w:t xml:space="preserve"> </w:t>
      </w:r>
      <w:r w:rsidRPr="002818E7">
        <w:rPr>
          <w:rFonts w:ascii="Verdana" w:hAnsi="Verdana"/>
          <w:sz w:val="20"/>
        </w:rPr>
        <w:t xml:space="preserve">e </w:t>
      </w:r>
      <w:r w:rsidR="00F77E6B">
        <w:rPr>
          <w:rFonts w:ascii="Verdana" w:hAnsi="Verdana"/>
          <w:sz w:val="20"/>
        </w:rPr>
        <w:t xml:space="preserve">que </w:t>
      </w:r>
      <w:r w:rsidRPr="002818E7">
        <w:rPr>
          <w:rFonts w:ascii="Verdana" w:hAnsi="Verdana"/>
          <w:sz w:val="20"/>
        </w:rPr>
        <w:t>fossem identificadas as terras estatais na área;</w:t>
      </w:r>
    </w:p>
    <w:p w:rsidR="00C336FB" w:rsidRPr="002818E7" w:rsidRDefault="00C336FB" w:rsidP="00067F5C">
      <w:pPr>
        <w:numPr>
          <w:ilvl w:val="0"/>
          <w:numId w:val="11"/>
        </w:numPr>
        <w:spacing w:after="120"/>
        <w:ind w:hanging="11"/>
        <w:jc w:val="both"/>
        <w:rPr>
          <w:rFonts w:ascii="Verdana" w:hAnsi="Verdana"/>
          <w:sz w:val="20"/>
        </w:rPr>
      </w:pPr>
      <w:proofErr w:type="gramStart"/>
      <w:r w:rsidRPr="002818E7">
        <w:rPr>
          <w:rFonts w:ascii="Verdana" w:hAnsi="Verdana"/>
          <w:sz w:val="20"/>
        </w:rPr>
        <w:t>em</w:t>
      </w:r>
      <w:proofErr w:type="gramEnd"/>
      <w:r w:rsidRPr="002818E7">
        <w:rPr>
          <w:rFonts w:ascii="Verdana" w:hAnsi="Verdana"/>
          <w:sz w:val="20"/>
        </w:rPr>
        <w:t xml:space="preserve"> 11 de setembro de 1995</w:t>
      </w:r>
      <w:r w:rsidR="007274D4">
        <w:rPr>
          <w:rFonts w:ascii="Verdana" w:hAnsi="Verdana"/>
          <w:sz w:val="20"/>
        </w:rPr>
        <w:t>,</w:t>
      </w:r>
      <w:r w:rsidRPr="002818E7">
        <w:rPr>
          <w:rFonts w:ascii="Verdana" w:hAnsi="Verdana"/>
          <w:sz w:val="20"/>
        </w:rPr>
        <w:t xml:space="preserve"> interpôs um recurso de amparo </w:t>
      </w:r>
      <w:r>
        <w:rPr>
          <w:rFonts w:ascii="Verdana" w:hAnsi="Verdana"/>
          <w:sz w:val="20"/>
        </w:rPr>
        <w:t>per</w:t>
      </w:r>
      <w:r w:rsidRPr="002818E7">
        <w:rPr>
          <w:rFonts w:ascii="Verdana" w:hAnsi="Verdana"/>
          <w:sz w:val="20"/>
        </w:rPr>
        <w:t xml:space="preserve">ante o Tribunal de Apelações de Matagalpa, mediante o qual solicitou que </w:t>
      </w:r>
      <w:r>
        <w:rPr>
          <w:rFonts w:ascii="Verdana" w:hAnsi="Verdana"/>
          <w:sz w:val="20"/>
        </w:rPr>
        <w:t>fosse suspenso</w:t>
      </w:r>
      <w:r w:rsidRPr="002818E7">
        <w:rPr>
          <w:rFonts w:ascii="Verdana" w:hAnsi="Verdana"/>
          <w:sz w:val="20"/>
        </w:rPr>
        <w:t xml:space="preserve"> o “processo de </w:t>
      </w:r>
      <w:r w:rsidR="009E50CD">
        <w:rPr>
          <w:rFonts w:ascii="Verdana" w:hAnsi="Verdana"/>
          <w:sz w:val="20"/>
        </w:rPr>
        <w:t>outorga da concessão</w:t>
      </w:r>
      <w:r w:rsidRPr="002818E7">
        <w:rPr>
          <w:rFonts w:ascii="Verdana" w:hAnsi="Verdana"/>
          <w:sz w:val="20"/>
        </w:rPr>
        <w:t xml:space="preserve"> solicitada ao MARENA </w:t>
      </w:r>
      <w:r w:rsidR="00F77E6B">
        <w:rPr>
          <w:rFonts w:ascii="Verdana" w:hAnsi="Verdana"/>
          <w:sz w:val="20"/>
        </w:rPr>
        <w:t>por parte da</w:t>
      </w:r>
      <w:r w:rsidR="00F77E6B" w:rsidRPr="002818E7">
        <w:rPr>
          <w:rFonts w:ascii="Verdana" w:hAnsi="Verdana"/>
          <w:sz w:val="20"/>
        </w:rPr>
        <w:t xml:space="preserve"> </w:t>
      </w:r>
      <w:r w:rsidRPr="002818E7">
        <w:rPr>
          <w:rFonts w:ascii="Verdana" w:hAnsi="Verdana"/>
          <w:sz w:val="20"/>
        </w:rPr>
        <w:t>SOLCARSA” e que ordena</w:t>
      </w:r>
      <w:r>
        <w:rPr>
          <w:rFonts w:ascii="Verdana" w:hAnsi="Verdana"/>
          <w:sz w:val="20"/>
        </w:rPr>
        <w:t>sse</w:t>
      </w:r>
      <w:r w:rsidRPr="002818E7">
        <w:rPr>
          <w:rFonts w:ascii="Verdana" w:hAnsi="Verdana"/>
          <w:sz w:val="20"/>
        </w:rPr>
        <w:t xml:space="preserve"> “aos agentes d</w:t>
      </w:r>
      <w:r>
        <w:rPr>
          <w:rFonts w:ascii="Verdana" w:hAnsi="Verdana"/>
          <w:sz w:val="20"/>
        </w:rPr>
        <w:t>a</w:t>
      </w:r>
      <w:r w:rsidRPr="002818E7">
        <w:rPr>
          <w:rFonts w:ascii="Verdana" w:hAnsi="Verdana"/>
          <w:sz w:val="20"/>
        </w:rPr>
        <w:t xml:space="preserve"> SOLCARSA […] </w:t>
      </w:r>
      <w:r w:rsidR="00F77E6B">
        <w:rPr>
          <w:rFonts w:ascii="Verdana" w:hAnsi="Verdana"/>
          <w:sz w:val="20"/>
        </w:rPr>
        <w:t>retirar-se</w:t>
      </w:r>
      <w:r w:rsidR="00F77E6B" w:rsidRPr="002818E7">
        <w:rPr>
          <w:rFonts w:ascii="Verdana" w:hAnsi="Verdana"/>
          <w:sz w:val="20"/>
        </w:rPr>
        <w:t xml:space="preserve"> </w:t>
      </w:r>
      <w:r w:rsidR="00F77E6B">
        <w:rPr>
          <w:rFonts w:ascii="Verdana" w:hAnsi="Verdana"/>
          <w:sz w:val="20"/>
        </w:rPr>
        <w:t>d</w:t>
      </w:r>
      <w:r w:rsidRPr="002818E7">
        <w:rPr>
          <w:rFonts w:ascii="Verdana" w:hAnsi="Verdana"/>
          <w:sz w:val="20"/>
        </w:rPr>
        <w:t xml:space="preserve">as terras comunais de Awas Tingni[,] onde atualmente realizam trabalhos </w:t>
      </w:r>
      <w:r w:rsidR="00C6474D">
        <w:rPr>
          <w:rFonts w:ascii="Verdana" w:hAnsi="Verdana"/>
          <w:sz w:val="20"/>
        </w:rPr>
        <w:t>dirigid</w:t>
      </w:r>
      <w:r w:rsidR="00D91189">
        <w:rPr>
          <w:rFonts w:ascii="Verdana" w:hAnsi="Verdana"/>
          <w:sz w:val="20"/>
        </w:rPr>
        <w:t>o</w:t>
      </w:r>
      <w:r w:rsidR="00C6474D">
        <w:rPr>
          <w:rFonts w:ascii="Verdana" w:hAnsi="Verdana"/>
          <w:sz w:val="20"/>
        </w:rPr>
        <w:t>s</w:t>
      </w:r>
      <w:r w:rsidRPr="002818E7">
        <w:rPr>
          <w:rFonts w:ascii="Verdana" w:hAnsi="Verdana"/>
          <w:sz w:val="20"/>
        </w:rPr>
        <w:t xml:space="preserve"> a iniciar a exploração de madeira”, em virtude de que as ações e omissões impugnadas “constitu[íam] violações dos artigos 5, 46, 89 e 180 da Constituição Política d</w:t>
      </w:r>
      <w:r>
        <w:rPr>
          <w:rFonts w:ascii="Verdana" w:hAnsi="Verdana"/>
          <w:sz w:val="20"/>
        </w:rPr>
        <w:t>a</w:t>
      </w:r>
      <w:r w:rsidRPr="002818E7">
        <w:rPr>
          <w:rFonts w:ascii="Verdana" w:hAnsi="Verdana"/>
          <w:sz w:val="20"/>
        </w:rPr>
        <w:t xml:space="preserve"> Nicarágua, [o]s quais em seu conjunto garantem os direitos de propriedade e de uso das comunidades indígenas sobre suas terras comunais”.</w:t>
      </w:r>
      <w:r w:rsidR="00850A3F">
        <w:rPr>
          <w:rFonts w:ascii="Verdana" w:hAnsi="Verdana"/>
          <w:sz w:val="20"/>
        </w:rPr>
        <w:t xml:space="preserve"> </w:t>
      </w:r>
      <w:r w:rsidRPr="002818E7">
        <w:rPr>
          <w:rFonts w:ascii="Verdana" w:hAnsi="Verdana"/>
          <w:sz w:val="20"/>
        </w:rPr>
        <w:t xml:space="preserve">Em 19 de setembro de 1995, a </w:t>
      </w:r>
      <w:r w:rsidR="009F18E7">
        <w:rPr>
          <w:rFonts w:ascii="Verdana" w:hAnsi="Verdana"/>
          <w:sz w:val="20"/>
        </w:rPr>
        <w:t>Sala Civil</w:t>
      </w:r>
      <w:r w:rsidRPr="002818E7">
        <w:rPr>
          <w:rFonts w:ascii="Verdana" w:hAnsi="Verdana"/>
          <w:sz w:val="20"/>
        </w:rPr>
        <w:t xml:space="preserve"> do Tribunal de Apelações da Sexta Região de Matagalpa declarou inadmissível </w:t>
      </w:r>
      <w:r w:rsidR="007274D4" w:rsidRPr="002818E7">
        <w:rPr>
          <w:rFonts w:ascii="Verdana" w:hAnsi="Verdana"/>
          <w:sz w:val="20"/>
        </w:rPr>
        <w:t>es</w:t>
      </w:r>
      <w:r w:rsidR="007274D4">
        <w:rPr>
          <w:rFonts w:ascii="Verdana" w:hAnsi="Verdana"/>
          <w:sz w:val="20"/>
        </w:rPr>
        <w:t>s</w:t>
      </w:r>
      <w:r w:rsidR="007274D4" w:rsidRPr="002818E7">
        <w:rPr>
          <w:rFonts w:ascii="Verdana" w:hAnsi="Verdana"/>
          <w:sz w:val="20"/>
        </w:rPr>
        <w:t xml:space="preserve">e recurso </w:t>
      </w:r>
      <w:r w:rsidRPr="002818E7">
        <w:rPr>
          <w:rFonts w:ascii="Verdana" w:hAnsi="Verdana"/>
          <w:sz w:val="20"/>
        </w:rPr>
        <w:t xml:space="preserve">“por </w:t>
      </w:r>
      <w:r w:rsidR="007274D4">
        <w:rPr>
          <w:rFonts w:ascii="Verdana" w:hAnsi="Verdana"/>
          <w:sz w:val="20"/>
        </w:rPr>
        <w:t xml:space="preserve">ser </w:t>
      </w:r>
      <w:r w:rsidRPr="002818E7">
        <w:rPr>
          <w:rFonts w:ascii="Verdana" w:hAnsi="Verdana"/>
          <w:sz w:val="20"/>
        </w:rPr>
        <w:t xml:space="preserve">improcedente”; </w:t>
      </w:r>
    </w:p>
    <w:p w:rsidR="00C336FB" w:rsidRPr="002818E7" w:rsidRDefault="00C336FB" w:rsidP="00067F5C">
      <w:pPr>
        <w:numPr>
          <w:ilvl w:val="0"/>
          <w:numId w:val="11"/>
        </w:numPr>
        <w:spacing w:after="120"/>
        <w:ind w:hanging="11"/>
        <w:jc w:val="both"/>
        <w:rPr>
          <w:rFonts w:ascii="Verdana" w:hAnsi="Verdana"/>
          <w:sz w:val="20"/>
        </w:rPr>
      </w:pPr>
      <w:proofErr w:type="gramStart"/>
      <w:r w:rsidRPr="002818E7">
        <w:rPr>
          <w:rFonts w:ascii="Verdana" w:hAnsi="Verdana"/>
          <w:sz w:val="20"/>
        </w:rPr>
        <w:t>em</w:t>
      </w:r>
      <w:proofErr w:type="gramEnd"/>
      <w:r w:rsidRPr="002818E7">
        <w:rPr>
          <w:rFonts w:ascii="Verdana" w:hAnsi="Verdana"/>
          <w:sz w:val="20"/>
        </w:rPr>
        <w:t xml:space="preserve"> 21 de setembro de 1995</w:t>
      </w:r>
      <w:r w:rsidR="007274D4">
        <w:rPr>
          <w:rFonts w:ascii="Verdana" w:hAnsi="Verdana"/>
          <w:sz w:val="20"/>
        </w:rPr>
        <w:t>,</w:t>
      </w:r>
      <w:r w:rsidRPr="002818E7">
        <w:rPr>
          <w:rFonts w:ascii="Verdana" w:hAnsi="Verdana"/>
          <w:sz w:val="20"/>
        </w:rPr>
        <w:t xml:space="preserve"> interpôs um recurso de amparo pela via de fato </w:t>
      </w:r>
      <w:r>
        <w:rPr>
          <w:rFonts w:ascii="Verdana" w:hAnsi="Verdana"/>
          <w:sz w:val="20"/>
        </w:rPr>
        <w:t>per</w:t>
      </w:r>
      <w:r w:rsidRPr="002818E7">
        <w:rPr>
          <w:rFonts w:ascii="Verdana" w:hAnsi="Verdana"/>
          <w:sz w:val="20"/>
        </w:rPr>
        <w:t>ante a Corte Suprema de Justiça para impugnar a resolução a que faz referência o parágrafo anterior. Em 27 de fevereiro de</w:t>
      </w:r>
      <w:r w:rsidR="007C20FA">
        <w:rPr>
          <w:rFonts w:ascii="Verdana" w:hAnsi="Verdana"/>
          <w:sz w:val="20"/>
        </w:rPr>
        <w:t xml:space="preserve"> 1997, a Corte Suprema declarou</w:t>
      </w:r>
      <w:r>
        <w:rPr>
          <w:rFonts w:ascii="Verdana" w:hAnsi="Verdana"/>
          <w:sz w:val="20"/>
        </w:rPr>
        <w:t xml:space="preserve"> improcedente </w:t>
      </w:r>
      <w:r w:rsidRPr="002818E7">
        <w:rPr>
          <w:rFonts w:ascii="Verdana" w:hAnsi="Verdana"/>
          <w:sz w:val="20"/>
        </w:rPr>
        <w:t xml:space="preserve">esse recurso; </w:t>
      </w:r>
      <w:proofErr w:type="gramStart"/>
      <w:r w:rsidRPr="002818E7">
        <w:rPr>
          <w:rFonts w:ascii="Verdana" w:hAnsi="Verdana"/>
          <w:sz w:val="20"/>
        </w:rPr>
        <w:t>e</w:t>
      </w:r>
      <w:proofErr w:type="gramEnd"/>
    </w:p>
    <w:p w:rsidR="00C336FB" w:rsidRPr="002818E7" w:rsidRDefault="00C336FB" w:rsidP="00067F5C">
      <w:pPr>
        <w:numPr>
          <w:ilvl w:val="0"/>
          <w:numId w:val="11"/>
        </w:numPr>
        <w:spacing w:after="120"/>
        <w:ind w:hanging="11"/>
        <w:jc w:val="both"/>
        <w:rPr>
          <w:rFonts w:ascii="Verdana" w:hAnsi="Verdana"/>
          <w:sz w:val="20"/>
        </w:rPr>
      </w:pPr>
      <w:proofErr w:type="gramStart"/>
      <w:r w:rsidRPr="002818E7">
        <w:rPr>
          <w:rFonts w:ascii="Verdana" w:hAnsi="Verdana"/>
          <w:sz w:val="20"/>
        </w:rPr>
        <w:t>em</w:t>
      </w:r>
      <w:proofErr w:type="gramEnd"/>
      <w:r w:rsidRPr="002818E7">
        <w:rPr>
          <w:rFonts w:ascii="Verdana" w:hAnsi="Verdana"/>
          <w:sz w:val="20"/>
        </w:rPr>
        <w:t xml:space="preserve"> 7 de novembro de 1997</w:t>
      </w:r>
      <w:r w:rsidR="007274D4">
        <w:rPr>
          <w:rFonts w:ascii="Verdana" w:hAnsi="Verdana"/>
          <w:sz w:val="20"/>
        </w:rPr>
        <w:t>,</w:t>
      </w:r>
      <w:r w:rsidRPr="002818E7">
        <w:rPr>
          <w:rFonts w:ascii="Verdana" w:hAnsi="Verdana"/>
          <w:sz w:val="20"/>
        </w:rPr>
        <w:t xml:space="preserve"> apresentou um recurso de amparo </w:t>
      </w:r>
      <w:r>
        <w:rPr>
          <w:rFonts w:ascii="Verdana" w:hAnsi="Verdana"/>
          <w:sz w:val="20"/>
        </w:rPr>
        <w:t>per</w:t>
      </w:r>
      <w:r w:rsidRPr="002818E7">
        <w:rPr>
          <w:rFonts w:ascii="Verdana" w:hAnsi="Verdana"/>
          <w:sz w:val="20"/>
        </w:rPr>
        <w:t xml:space="preserve">ante a </w:t>
      </w:r>
      <w:r w:rsidR="009F18E7">
        <w:rPr>
          <w:rFonts w:ascii="Verdana" w:hAnsi="Verdana"/>
          <w:sz w:val="20"/>
        </w:rPr>
        <w:t>Sala Civil</w:t>
      </w:r>
      <w:r w:rsidRPr="002818E7">
        <w:rPr>
          <w:rFonts w:ascii="Verdana" w:hAnsi="Verdana"/>
          <w:sz w:val="20"/>
        </w:rPr>
        <w:t xml:space="preserve"> do Tribunal de Apelações da Sexta Região de Matagalpa contra o Ministro do MARENA, o Diretor Geral do Serviço Florestal Nacional do MARENA e os membros da Junta Diretiva do Conselho Regional da RAAN durante os períodos 1994-1996 e 1996-1998, mediante o qual solicitou, basicamente, que</w:t>
      </w:r>
      <w:r>
        <w:rPr>
          <w:rFonts w:ascii="Verdana" w:hAnsi="Verdana"/>
          <w:sz w:val="20"/>
        </w:rPr>
        <w:t xml:space="preserve"> fosse declarada </w:t>
      </w:r>
      <w:r w:rsidRPr="002818E7">
        <w:rPr>
          <w:rFonts w:ascii="Verdana" w:hAnsi="Verdana"/>
          <w:sz w:val="20"/>
        </w:rPr>
        <w:t xml:space="preserve">nula a concessão </w:t>
      </w:r>
      <w:r>
        <w:rPr>
          <w:rFonts w:ascii="Verdana" w:hAnsi="Verdana"/>
          <w:sz w:val="20"/>
        </w:rPr>
        <w:t>à</w:t>
      </w:r>
      <w:r w:rsidRPr="002818E7">
        <w:rPr>
          <w:rFonts w:ascii="Verdana" w:hAnsi="Verdana"/>
          <w:sz w:val="20"/>
        </w:rPr>
        <w:t xml:space="preserve"> SOLCARSA e fosse ordenada à Junta Diretiva do Conselho Regional da RAAN que de</w:t>
      </w:r>
      <w:r>
        <w:rPr>
          <w:rFonts w:ascii="Verdana" w:hAnsi="Verdana"/>
          <w:sz w:val="20"/>
        </w:rPr>
        <w:t>sse</w:t>
      </w:r>
      <w:r w:rsidRPr="002818E7">
        <w:rPr>
          <w:rFonts w:ascii="Verdana" w:hAnsi="Verdana"/>
          <w:sz w:val="20"/>
        </w:rPr>
        <w:t xml:space="preserve"> trâmite à solicitação apresentada em março de 1996 com o fim de que “</w:t>
      </w:r>
      <w:r>
        <w:rPr>
          <w:rFonts w:ascii="Verdana" w:hAnsi="Verdana"/>
          <w:sz w:val="20"/>
        </w:rPr>
        <w:t>impulsionasse</w:t>
      </w:r>
      <w:r w:rsidRPr="002818E7">
        <w:rPr>
          <w:rFonts w:ascii="Verdana" w:hAnsi="Verdana"/>
          <w:sz w:val="20"/>
        </w:rPr>
        <w:t xml:space="preserve"> um processo para alcançar o reconhecimento e </w:t>
      </w:r>
      <w:r w:rsidR="00BF72F1">
        <w:rPr>
          <w:rFonts w:ascii="Verdana" w:hAnsi="Verdana"/>
          <w:sz w:val="20"/>
        </w:rPr>
        <w:t>certificação</w:t>
      </w:r>
      <w:r w:rsidR="00C4409E">
        <w:rPr>
          <w:rFonts w:ascii="Verdana" w:hAnsi="Verdana"/>
          <w:sz w:val="20"/>
        </w:rPr>
        <w:t xml:space="preserve"> </w:t>
      </w:r>
      <w:r w:rsidRPr="002818E7">
        <w:rPr>
          <w:rFonts w:ascii="Verdana" w:hAnsi="Verdana"/>
          <w:sz w:val="20"/>
        </w:rPr>
        <w:t>oficial dos direitos de propriedade da Comunidade sobre suas terras</w:t>
      </w:r>
      <w:r>
        <w:rPr>
          <w:rFonts w:ascii="Verdana" w:hAnsi="Verdana"/>
          <w:sz w:val="20"/>
        </w:rPr>
        <w:t xml:space="preserve"> ancestrais”. </w:t>
      </w:r>
      <w:r w:rsidRPr="002818E7">
        <w:rPr>
          <w:rFonts w:ascii="Verdana" w:hAnsi="Verdana"/>
          <w:sz w:val="20"/>
        </w:rPr>
        <w:t>Em 12 de novembro de 1997</w:t>
      </w:r>
      <w:r w:rsidR="00D91189">
        <w:rPr>
          <w:rFonts w:ascii="Verdana" w:hAnsi="Verdana"/>
          <w:sz w:val="20"/>
        </w:rPr>
        <w:t>,</w:t>
      </w:r>
      <w:r w:rsidRPr="002818E7">
        <w:rPr>
          <w:rFonts w:ascii="Verdana" w:hAnsi="Verdana"/>
          <w:sz w:val="20"/>
        </w:rPr>
        <w:t xml:space="preserve"> este recurso foi admitido por </w:t>
      </w:r>
      <w:r w:rsidR="007C20FA">
        <w:rPr>
          <w:rFonts w:ascii="Verdana" w:hAnsi="Verdana"/>
          <w:sz w:val="20"/>
        </w:rPr>
        <w:t>esta</w:t>
      </w:r>
      <w:r w:rsidRPr="002818E7">
        <w:rPr>
          <w:rFonts w:ascii="Verdana" w:hAnsi="Verdana"/>
          <w:sz w:val="20"/>
        </w:rPr>
        <w:t xml:space="preserve"> Sala, a qual </w:t>
      </w:r>
      <w:r w:rsidR="00425579">
        <w:rPr>
          <w:rFonts w:ascii="Verdana" w:hAnsi="Verdana"/>
          <w:sz w:val="20"/>
        </w:rPr>
        <w:t>concedeu prazo</w:t>
      </w:r>
      <w:r w:rsidRPr="002818E7">
        <w:rPr>
          <w:rFonts w:ascii="Verdana" w:hAnsi="Verdana"/>
          <w:sz w:val="20"/>
        </w:rPr>
        <w:t xml:space="preserve"> </w:t>
      </w:r>
      <w:r w:rsidR="00F77E6B">
        <w:rPr>
          <w:rFonts w:ascii="Verdana" w:hAnsi="Verdana"/>
          <w:sz w:val="20"/>
        </w:rPr>
        <w:t>à</w:t>
      </w:r>
      <w:r>
        <w:rPr>
          <w:rFonts w:ascii="Verdana" w:hAnsi="Verdana"/>
          <w:sz w:val="20"/>
        </w:rPr>
        <w:t xml:space="preserve">s </w:t>
      </w:r>
      <w:r w:rsidRPr="002818E7">
        <w:rPr>
          <w:rFonts w:ascii="Verdana" w:hAnsi="Verdana"/>
          <w:sz w:val="20"/>
        </w:rPr>
        <w:t xml:space="preserve">partes para que se apresentassem </w:t>
      </w:r>
      <w:r>
        <w:rPr>
          <w:rFonts w:ascii="Verdana" w:hAnsi="Verdana"/>
          <w:sz w:val="20"/>
        </w:rPr>
        <w:t>per</w:t>
      </w:r>
      <w:r w:rsidRPr="002818E7">
        <w:rPr>
          <w:rFonts w:ascii="Verdana" w:hAnsi="Verdana"/>
          <w:sz w:val="20"/>
        </w:rPr>
        <w:t xml:space="preserve">ante a Corte Suprema de Justiça. Em 14 de outubro de 1998, a </w:t>
      </w:r>
      <w:r w:rsidR="002A016A">
        <w:rPr>
          <w:rFonts w:ascii="Verdana" w:hAnsi="Verdana"/>
          <w:sz w:val="20"/>
        </w:rPr>
        <w:t xml:space="preserve">Sala Constitucional </w:t>
      </w:r>
      <w:r w:rsidRPr="002818E7">
        <w:rPr>
          <w:rFonts w:ascii="Verdana" w:hAnsi="Verdana"/>
          <w:sz w:val="20"/>
        </w:rPr>
        <w:t>da Corte Suprema de Justiça declarou “improcedente</w:t>
      </w:r>
      <w:r w:rsidR="00F77E6B">
        <w:rPr>
          <w:rFonts w:ascii="Verdana" w:hAnsi="Verdana"/>
          <w:sz w:val="20"/>
        </w:rPr>
        <w:t>,</w:t>
      </w:r>
      <w:r w:rsidRPr="002818E7">
        <w:rPr>
          <w:rFonts w:ascii="Verdana" w:hAnsi="Verdana"/>
          <w:sz w:val="20"/>
        </w:rPr>
        <w:t xml:space="preserve"> por </w:t>
      </w:r>
      <w:r w:rsidR="00F77E6B">
        <w:rPr>
          <w:rFonts w:ascii="Verdana" w:hAnsi="Verdana"/>
          <w:sz w:val="20"/>
        </w:rPr>
        <w:t xml:space="preserve">ser </w:t>
      </w:r>
      <w:r w:rsidRPr="002818E7">
        <w:rPr>
          <w:rFonts w:ascii="Verdana" w:hAnsi="Verdana"/>
          <w:sz w:val="20"/>
        </w:rPr>
        <w:t>extemporâneo</w:t>
      </w:r>
      <w:r w:rsidR="00F77E6B">
        <w:rPr>
          <w:rFonts w:ascii="Verdana" w:hAnsi="Verdana"/>
          <w:sz w:val="20"/>
        </w:rPr>
        <w:t>,</w:t>
      </w:r>
      <w:r w:rsidRPr="002818E7">
        <w:rPr>
          <w:rFonts w:ascii="Verdana" w:hAnsi="Verdana"/>
          <w:sz w:val="20"/>
        </w:rPr>
        <w:t xml:space="preserve"> o recurso de amparo”.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130.</w:t>
      </w:r>
      <w:r w:rsidRPr="002818E7">
        <w:rPr>
          <w:rFonts w:ascii="Verdana" w:hAnsi="Verdana"/>
          <w:sz w:val="20"/>
        </w:rPr>
        <w:tab/>
        <w:t xml:space="preserve">Além destas gestões, em 29 de março de 1996 os senhores Alfonso Smith Warman e Humberto Thompson Sang, membros do Conselho Regional da RAAN, interpuseram um recurso de amparo </w:t>
      </w:r>
      <w:r>
        <w:rPr>
          <w:rFonts w:ascii="Verdana" w:hAnsi="Verdana"/>
          <w:sz w:val="20"/>
        </w:rPr>
        <w:t>per</w:t>
      </w:r>
      <w:r w:rsidRPr="002818E7">
        <w:rPr>
          <w:rFonts w:ascii="Verdana" w:hAnsi="Verdana"/>
          <w:sz w:val="20"/>
        </w:rPr>
        <w:t>ante o Tribunal de Apelações de Matagalpa contra o Ministro do MARENA e o Diretor da Administração Florestal Nacional do MARENA, por haver</w:t>
      </w:r>
      <w:r>
        <w:rPr>
          <w:rFonts w:ascii="Verdana" w:hAnsi="Verdana"/>
          <w:sz w:val="20"/>
        </w:rPr>
        <w:t>em</w:t>
      </w:r>
      <w:r w:rsidRPr="002818E7">
        <w:rPr>
          <w:rFonts w:ascii="Verdana" w:hAnsi="Verdana"/>
          <w:sz w:val="20"/>
        </w:rPr>
        <w:t xml:space="preserve"> “assinado e avalizado” a concessão florestal </w:t>
      </w:r>
      <w:r>
        <w:rPr>
          <w:rFonts w:ascii="Verdana" w:hAnsi="Verdana"/>
          <w:sz w:val="20"/>
        </w:rPr>
        <w:t>à</w:t>
      </w:r>
      <w:r w:rsidRPr="002818E7">
        <w:rPr>
          <w:rFonts w:ascii="Verdana" w:hAnsi="Verdana"/>
          <w:sz w:val="20"/>
        </w:rPr>
        <w:t xml:space="preserve"> SOLCARSA sem que esta houvesse sido discutida e avaliad</w:t>
      </w:r>
      <w:r>
        <w:rPr>
          <w:rFonts w:ascii="Verdana" w:hAnsi="Verdana"/>
          <w:sz w:val="20"/>
        </w:rPr>
        <w:t>a</w:t>
      </w:r>
      <w:r w:rsidRPr="002818E7">
        <w:rPr>
          <w:rFonts w:ascii="Verdana" w:hAnsi="Verdana"/>
          <w:sz w:val="20"/>
        </w:rPr>
        <w:t xml:space="preserve"> no plen</w:t>
      </w:r>
      <w:r w:rsidR="007274D4">
        <w:rPr>
          <w:rFonts w:ascii="Verdana" w:hAnsi="Verdana"/>
          <w:sz w:val="20"/>
        </w:rPr>
        <w:t>ári</w:t>
      </w:r>
      <w:r w:rsidRPr="002818E7">
        <w:rPr>
          <w:rFonts w:ascii="Verdana" w:hAnsi="Verdana"/>
          <w:sz w:val="20"/>
        </w:rPr>
        <w:t>o do Conselho Regional da RAAN, em violação do artigo 181 da Constituição Política da Nicarágua.</w:t>
      </w:r>
      <w:r w:rsidR="00850A3F">
        <w:rPr>
          <w:rFonts w:ascii="Verdana" w:hAnsi="Verdana"/>
          <w:sz w:val="20"/>
        </w:rPr>
        <w:t xml:space="preserve"> </w:t>
      </w:r>
      <w:r w:rsidRPr="002818E7">
        <w:rPr>
          <w:rFonts w:ascii="Verdana" w:hAnsi="Verdana"/>
          <w:sz w:val="20"/>
        </w:rPr>
        <w:t xml:space="preserve">Em </w:t>
      </w:r>
      <w:proofErr w:type="gramStart"/>
      <w:r w:rsidRPr="002818E7">
        <w:rPr>
          <w:rFonts w:ascii="Verdana" w:hAnsi="Verdana"/>
          <w:sz w:val="20"/>
        </w:rPr>
        <w:t>9</w:t>
      </w:r>
      <w:proofErr w:type="gramEnd"/>
      <w:r w:rsidRPr="002818E7">
        <w:rPr>
          <w:rFonts w:ascii="Verdana" w:hAnsi="Verdana"/>
          <w:sz w:val="20"/>
        </w:rPr>
        <w:t xml:space="preserve"> de abril de 1996, a Sala Civil do Tribunal de Apelações de Matagalpa admitiu o recurso de amparo interposto, ordenou colocá-lo em conhecimento do Procurador Geral da República, denegou </w:t>
      </w:r>
      <w:r w:rsidR="00DD7D69">
        <w:rPr>
          <w:rFonts w:ascii="Verdana" w:hAnsi="Verdana"/>
          <w:sz w:val="20"/>
        </w:rPr>
        <w:t>o pedido</w:t>
      </w:r>
      <w:r w:rsidRPr="002818E7">
        <w:rPr>
          <w:rFonts w:ascii="Verdana" w:hAnsi="Verdana"/>
          <w:sz w:val="20"/>
        </w:rPr>
        <w:t xml:space="preserve"> de suspensão do ato impugnado, o enviou à Corte Suprema de Justiça, </w:t>
      </w:r>
      <w:r w:rsidR="00F77E6B">
        <w:rPr>
          <w:rFonts w:ascii="Verdana" w:hAnsi="Verdana"/>
          <w:sz w:val="20"/>
        </w:rPr>
        <w:t xml:space="preserve">notificou </w:t>
      </w:r>
      <w:r w:rsidRPr="002818E7">
        <w:rPr>
          <w:rFonts w:ascii="Verdana" w:hAnsi="Verdana"/>
          <w:sz w:val="20"/>
        </w:rPr>
        <w:t>os funcionários recorridos</w:t>
      </w:r>
      <w:r>
        <w:rPr>
          <w:rFonts w:ascii="Verdana" w:hAnsi="Verdana"/>
          <w:sz w:val="20"/>
        </w:rPr>
        <w:t xml:space="preserve"> para </w:t>
      </w:r>
      <w:r w:rsidRPr="002818E7">
        <w:rPr>
          <w:rFonts w:ascii="Verdana" w:hAnsi="Verdana"/>
          <w:sz w:val="20"/>
        </w:rPr>
        <w:t>que envia</w:t>
      </w:r>
      <w:r>
        <w:rPr>
          <w:rFonts w:ascii="Verdana" w:hAnsi="Verdana"/>
          <w:sz w:val="20"/>
        </w:rPr>
        <w:t>ssem</w:t>
      </w:r>
      <w:r w:rsidRPr="002818E7">
        <w:rPr>
          <w:rFonts w:ascii="Verdana" w:hAnsi="Verdana"/>
          <w:sz w:val="20"/>
        </w:rPr>
        <w:t xml:space="preserve"> um relatório escrito sobre o atuado à Corte Suprema de Justiça e </w:t>
      </w:r>
      <w:r w:rsidR="00425579">
        <w:rPr>
          <w:rFonts w:ascii="Verdana" w:hAnsi="Verdana"/>
          <w:sz w:val="20"/>
        </w:rPr>
        <w:t>concedeu prazo</w:t>
      </w:r>
      <w:r w:rsidRPr="002818E7">
        <w:rPr>
          <w:rFonts w:ascii="Verdana" w:hAnsi="Verdana"/>
          <w:sz w:val="20"/>
        </w:rPr>
        <w:t xml:space="preserve"> </w:t>
      </w:r>
      <w:r w:rsidR="00F77E6B">
        <w:rPr>
          <w:rFonts w:ascii="Verdana" w:hAnsi="Verdana"/>
          <w:sz w:val="20"/>
        </w:rPr>
        <w:t>à</w:t>
      </w:r>
      <w:r w:rsidRPr="002818E7">
        <w:rPr>
          <w:rFonts w:ascii="Verdana" w:hAnsi="Verdana"/>
          <w:sz w:val="20"/>
        </w:rPr>
        <w:t xml:space="preserve">s </w:t>
      </w:r>
      <w:r w:rsidRPr="002818E7">
        <w:rPr>
          <w:rFonts w:ascii="Verdana" w:hAnsi="Verdana"/>
          <w:sz w:val="20"/>
        </w:rPr>
        <w:lastRenderedPageBreak/>
        <w:t>partes para que se apresenta</w:t>
      </w:r>
      <w:r>
        <w:rPr>
          <w:rFonts w:ascii="Verdana" w:hAnsi="Verdana"/>
          <w:sz w:val="20"/>
        </w:rPr>
        <w:t>ssem</w:t>
      </w:r>
      <w:r w:rsidRPr="002818E7">
        <w:rPr>
          <w:rFonts w:ascii="Verdana" w:hAnsi="Verdana"/>
          <w:sz w:val="20"/>
        </w:rPr>
        <w:t xml:space="preserve"> </w:t>
      </w:r>
      <w:r>
        <w:rPr>
          <w:rFonts w:ascii="Verdana" w:hAnsi="Verdana"/>
          <w:sz w:val="20"/>
        </w:rPr>
        <w:t>per</w:t>
      </w:r>
      <w:r w:rsidRPr="002818E7">
        <w:rPr>
          <w:rFonts w:ascii="Verdana" w:hAnsi="Verdana"/>
          <w:sz w:val="20"/>
        </w:rPr>
        <w:t xml:space="preserve">ante a Corte Suprema para fazer uso de seus direitos. Em 27 de fevereiro de 1997, a </w:t>
      </w:r>
      <w:r w:rsidR="002A016A">
        <w:rPr>
          <w:rFonts w:ascii="Verdana" w:hAnsi="Verdana"/>
          <w:sz w:val="20"/>
        </w:rPr>
        <w:t xml:space="preserve">Sala Constitucional </w:t>
      </w:r>
      <w:r w:rsidRPr="002818E7">
        <w:rPr>
          <w:rFonts w:ascii="Verdana" w:hAnsi="Verdana"/>
          <w:sz w:val="20"/>
        </w:rPr>
        <w:t xml:space="preserve">da Corte Suprema de Justiça declarou </w:t>
      </w:r>
      <w:r>
        <w:rPr>
          <w:rFonts w:ascii="Verdana" w:hAnsi="Verdana"/>
          <w:sz w:val="20"/>
        </w:rPr>
        <w:t xml:space="preserve">procedente </w:t>
      </w:r>
      <w:r w:rsidRPr="002818E7">
        <w:rPr>
          <w:rFonts w:ascii="Verdana" w:hAnsi="Verdana"/>
          <w:sz w:val="20"/>
        </w:rPr>
        <w:t>o recurso de amparo interposto e resolveu que a concessão era inconstitucional já que não foi aprovada pelo Conselho Regional da RAAN, mas pela Junta Diretiva do mesmo e pelo Coordenador Regional da RAAN</w:t>
      </w:r>
      <w:r>
        <w:rPr>
          <w:rFonts w:ascii="Verdana" w:hAnsi="Verdana"/>
          <w:sz w:val="20"/>
        </w:rPr>
        <w:t xml:space="preserve">. </w:t>
      </w:r>
      <w:r w:rsidRPr="002818E7">
        <w:rPr>
          <w:rFonts w:ascii="Verdana" w:hAnsi="Verdana"/>
          <w:sz w:val="20"/>
        </w:rPr>
        <w:t>Em 22 de janeiro de 1998, Humberto Thompson Sang</w:t>
      </w:r>
      <w:r w:rsidRPr="002818E7">
        <w:rPr>
          <w:rFonts w:ascii="Verdana" w:hAnsi="Verdana"/>
          <w:b/>
          <w:sz w:val="20"/>
        </w:rPr>
        <w:t xml:space="preserve"> </w:t>
      </w:r>
      <w:r w:rsidRPr="002818E7">
        <w:rPr>
          <w:rFonts w:ascii="Verdana" w:hAnsi="Verdana"/>
          <w:sz w:val="20"/>
        </w:rPr>
        <w:t xml:space="preserve">apresentou um escrito </w:t>
      </w:r>
      <w:r>
        <w:rPr>
          <w:rFonts w:ascii="Verdana" w:hAnsi="Verdana"/>
          <w:sz w:val="20"/>
        </w:rPr>
        <w:t>per</w:t>
      </w:r>
      <w:r w:rsidRPr="002818E7">
        <w:rPr>
          <w:rFonts w:ascii="Verdana" w:hAnsi="Verdana"/>
          <w:sz w:val="20"/>
        </w:rPr>
        <w:t>ante a Corte Suprema de Justiça da Nicarágua</w:t>
      </w:r>
      <w:r w:rsidRPr="00BD0347">
        <w:rPr>
          <w:rFonts w:ascii="Verdana" w:hAnsi="Verdana"/>
          <w:sz w:val="20"/>
        </w:rPr>
        <w:t>,</w:t>
      </w:r>
      <w:r w:rsidRPr="002818E7">
        <w:rPr>
          <w:rFonts w:ascii="Verdana" w:hAnsi="Verdana"/>
          <w:sz w:val="20"/>
        </w:rPr>
        <w:t xml:space="preserve"> mediante o qual solicitou a execução da Sentença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12</w:t>
      </w:r>
      <w:r w:rsidR="00874B52">
        <w:rPr>
          <w:rFonts w:ascii="Verdana" w:hAnsi="Verdana"/>
          <w:sz w:val="20"/>
        </w:rPr>
        <w:t>.</w:t>
      </w:r>
      <w:r w:rsidRPr="002818E7">
        <w:rPr>
          <w:rFonts w:ascii="Verdana" w:hAnsi="Verdana"/>
          <w:sz w:val="20"/>
        </w:rPr>
        <w:t xml:space="preserve"> </w:t>
      </w:r>
      <w:proofErr w:type="gramStart"/>
      <w:r w:rsidRPr="002818E7">
        <w:rPr>
          <w:rFonts w:ascii="Verdana" w:hAnsi="Verdana"/>
          <w:sz w:val="20"/>
        </w:rPr>
        <w:t>proferida</w:t>
      </w:r>
      <w:proofErr w:type="gramEnd"/>
      <w:r w:rsidRPr="002818E7">
        <w:rPr>
          <w:rFonts w:ascii="Verdana" w:hAnsi="Verdana"/>
          <w:sz w:val="20"/>
        </w:rPr>
        <w:t xml:space="preserve"> em 27 de fevereiro</w:t>
      </w:r>
      <w:r>
        <w:rPr>
          <w:rFonts w:ascii="Verdana" w:hAnsi="Verdana"/>
          <w:sz w:val="20"/>
        </w:rPr>
        <w:t xml:space="preserve"> de 1997. </w:t>
      </w:r>
      <w:r w:rsidRPr="002818E7">
        <w:rPr>
          <w:rFonts w:ascii="Verdana" w:hAnsi="Verdana"/>
          <w:sz w:val="20"/>
        </w:rPr>
        <w:t xml:space="preserve">Em 13 de fevereiro de 1998, a </w:t>
      </w:r>
      <w:r w:rsidR="002A016A">
        <w:rPr>
          <w:rFonts w:ascii="Verdana" w:hAnsi="Verdana"/>
          <w:sz w:val="20"/>
        </w:rPr>
        <w:t xml:space="preserve">Sala Constitucional </w:t>
      </w:r>
      <w:r w:rsidRPr="002818E7">
        <w:rPr>
          <w:rFonts w:ascii="Verdana" w:hAnsi="Verdana"/>
          <w:sz w:val="20"/>
        </w:rPr>
        <w:t xml:space="preserve">da Corte Suprema de Justiça emitiu uma resolução mediante a qual </w:t>
      </w:r>
      <w:proofErr w:type="gramStart"/>
      <w:r w:rsidRPr="002818E7">
        <w:rPr>
          <w:rFonts w:ascii="Verdana" w:hAnsi="Verdana"/>
          <w:sz w:val="20"/>
        </w:rPr>
        <w:t>ordenou</w:t>
      </w:r>
      <w:proofErr w:type="gramEnd"/>
      <w:r w:rsidRPr="002818E7">
        <w:rPr>
          <w:rFonts w:ascii="Verdana" w:hAnsi="Verdana"/>
          <w:sz w:val="20"/>
        </w:rPr>
        <w:t xml:space="preserve"> colocar em conhecimento do Presidente da Nicarágua o descumprimento da </w:t>
      </w:r>
      <w:r w:rsidR="00126E5B">
        <w:rPr>
          <w:rFonts w:ascii="Verdana" w:hAnsi="Verdana"/>
          <w:sz w:val="20"/>
        </w:rPr>
        <w:t xml:space="preserve">Sentença nº 12, de 27 de fevereiro </w:t>
      </w:r>
      <w:r w:rsidRPr="002818E7">
        <w:rPr>
          <w:rFonts w:ascii="Verdana" w:hAnsi="Verdana"/>
          <w:sz w:val="20"/>
        </w:rPr>
        <w:t>de 1997 por parte do Ministro do MARENA, com o fim de que ordena</w:t>
      </w:r>
      <w:r>
        <w:rPr>
          <w:rFonts w:ascii="Verdana" w:hAnsi="Verdana"/>
          <w:sz w:val="20"/>
        </w:rPr>
        <w:t>sse</w:t>
      </w:r>
      <w:r w:rsidRPr="002818E7">
        <w:rPr>
          <w:rFonts w:ascii="Verdana" w:hAnsi="Verdana"/>
          <w:sz w:val="20"/>
        </w:rPr>
        <w:t xml:space="preserve"> a este último o devido cumpri</w:t>
      </w:r>
      <w:r w:rsidR="007C20FA">
        <w:rPr>
          <w:rFonts w:ascii="Verdana" w:hAnsi="Verdana"/>
          <w:sz w:val="20"/>
        </w:rPr>
        <w:t>mento da mesma e</w:t>
      </w:r>
      <w:r w:rsidR="00F77E6B">
        <w:rPr>
          <w:rFonts w:ascii="Verdana" w:hAnsi="Verdana"/>
          <w:sz w:val="20"/>
        </w:rPr>
        <w:t xml:space="preserve"> que</w:t>
      </w:r>
      <w:r w:rsidR="007C20FA">
        <w:rPr>
          <w:rFonts w:ascii="Verdana" w:hAnsi="Verdana"/>
          <w:sz w:val="20"/>
        </w:rPr>
        <w:t xml:space="preserve"> também informa</w:t>
      </w:r>
      <w:r>
        <w:rPr>
          <w:rFonts w:ascii="Verdana" w:hAnsi="Verdana"/>
          <w:sz w:val="20"/>
        </w:rPr>
        <w:t>sse</w:t>
      </w:r>
      <w:r w:rsidRPr="002818E7">
        <w:rPr>
          <w:rFonts w:ascii="Verdana" w:hAnsi="Verdana"/>
          <w:sz w:val="20"/>
        </w:rPr>
        <w:t xml:space="preserve"> </w:t>
      </w:r>
      <w:r w:rsidR="00F77E6B">
        <w:rPr>
          <w:rFonts w:ascii="Verdana" w:hAnsi="Verdana"/>
          <w:sz w:val="20"/>
        </w:rPr>
        <w:t>a</w:t>
      </w:r>
      <w:r w:rsidRPr="002818E7">
        <w:rPr>
          <w:rFonts w:ascii="Verdana" w:hAnsi="Verdana"/>
          <w:sz w:val="20"/>
        </w:rPr>
        <w:t xml:space="preserve"> Assembleia Nacional da Nicarágua a esse respeito </w:t>
      </w:r>
      <w:r w:rsidR="00C60678" w:rsidRPr="00C60678">
        <w:rPr>
          <w:rFonts w:ascii="Verdana" w:hAnsi="Verdana"/>
          <w:sz w:val="20"/>
        </w:rPr>
        <w:t>(</w:t>
      </w:r>
      <w:r w:rsidRPr="002818E7">
        <w:rPr>
          <w:rFonts w:ascii="Verdana" w:hAnsi="Verdana"/>
          <w:sz w:val="20"/>
        </w:rPr>
        <w:t xml:space="preserve">par. 103. Q </w:t>
      </w:r>
      <w:r w:rsidRPr="002818E7">
        <w:rPr>
          <w:rFonts w:ascii="Verdana" w:hAnsi="Verdana"/>
          <w:i/>
          <w:sz w:val="20"/>
        </w:rPr>
        <w:t>supra</w:t>
      </w:r>
      <w:r w:rsidR="00C60678" w:rsidRPr="00C60678">
        <w:rPr>
          <w:rFonts w:ascii="Verdana" w:hAnsi="Verdana"/>
          <w:sz w:val="20"/>
        </w:rPr>
        <w:t>)</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131.</w:t>
      </w:r>
      <w:r w:rsidRPr="002818E7">
        <w:rPr>
          <w:rFonts w:ascii="Verdana" w:hAnsi="Verdana"/>
          <w:sz w:val="20"/>
        </w:rPr>
        <w:tab/>
        <w:t>No contexto do exame dos recursos simples, rápidos e efetivos que contempla a disposição em estudo, esta Corte tem sustentado que a instituição processual do amparo reúne as características necessárias para a tutela efetiva dos direitos fundamentais,</w:t>
      </w:r>
      <w:r w:rsidRPr="002818E7">
        <w:rPr>
          <w:rStyle w:val="Refdenotaalpie"/>
          <w:rFonts w:ascii="Verdana" w:hAnsi="Verdana"/>
          <w:sz w:val="20"/>
        </w:rPr>
        <w:footnoteReference w:id="51"/>
      </w:r>
      <w:r w:rsidRPr="002818E7">
        <w:rPr>
          <w:rFonts w:ascii="Verdana" w:hAnsi="Verdana"/>
          <w:sz w:val="20"/>
        </w:rPr>
        <w:t xml:space="preserve"> ou seja, a de ser simples e breve. No contexto nicaraguense, conforme o procedimento estabelecido para os recursos de amparo na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 xml:space="preserve">49 publicada em </w:t>
      </w:r>
      <w:r w:rsidRPr="002818E7">
        <w:rPr>
          <w:rFonts w:ascii="Verdana" w:hAnsi="Verdana"/>
          <w:i/>
          <w:sz w:val="20"/>
        </w:rPr>
        <w:t>La Gaceta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241 de 1988, chamada “Lei de Amparo”, este deve ser resolvido dentro de 45 dias.</w:t>
      </w:r>
      <w:r w:rsidR="00850A3F">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132.</w:t>
      </w:r>
      <w:r w:rsidRPr="002818E7">
        <w:rPr>
          <w:rFonts w:ascii="Verdana" w:hAnsi="Verdana"/>
          <w:sz w:val="20"/>
        </w:rPr>
        <w:tab/>
        <w:t xml:space="preserve">No presente caso, o primeiro recurso de amparo foi interposto </w:t>
      </w:r>
      <w:r>
        <w:rPr>
          <w:rFonts w:ascii="Verdana" w:hAnsi="Verdana"/>
          <w:sz w:val="20"/>
        </w:rPr>
        <w:t>per</w:t>
      </w:r>
      <w:r w:rsidRPr="002818E7">
        <w:rPr>
          <w:rFonts w:ascii="Verdana" w:hAnsi="Verdana"/>
          <w:sz w:val="20"/>
        </w:rPr>
        <w:t>ante o Tribunal de Apelações de Matagalpa em 11 de setembro de 1995 e resolvido mediante decisão judicial do dia 19 do mesmo mês e ano, ou seja, oito dias depois.</w:t>
      </w:r>
      <w:r w:rsidR="00850A3F">
        <w:rPr>
          <w:rFonts w:ascii="Verdana" w:hAnsi="Verdana"/>
          <w:sz w:val="20"/>
        </w:rPr>
        <w:t xml:space="preserve"> </w:t>
      </w:r>
      <w:r w:rsidRPr="002818E7">
        <w:rPr>
          <w:rFonts w:ascii="Verdana" w:hAnsi="Verdana"/>
          <w:sz w:val="20"/>
        </w:rPr>
        <w:t xml:space="preserve">Em razão de que o trâmite a este recurso foi denegado em 21 de setembro de 1995, os representantes da Comunidade interpuseram um recurso de fato </w:t>
      </w:r>
      <w:r w:rsidR="00F77E6B">
        <w:rPr>
          <w:rFonts w:ascii="Verdana" w:hAnsi="Verdana"/>
          <w:sz w:val="20"/>
        </w:rPr>
        <w:t>per</w:t>
      </w:r>
      <w:r w:rsidRPr="002818E7">
        <w:rPr>
          <w:rFonts w:ascii="Verdana" w:hAnsi="Verdana"/>
          <w:sz w:val="20"/>
        </w:rPr>
        <w:t>ante a Corte Suprema de Justiça, tal e como estabelece o artigo 25 da Lei de Amparo.</w:t>
      </w:r>
      <w:r w:rsidR="00850A3F">
        <w:rPr>
          <w:rFonts w:ascii="Verdana" w:hAnsi="Verdana"/>
          <w:sz w:val="20"/>
        </w:rPr>
        <w:t xml:space="preserve"> </w:t>
      </w:r>
      <w:r w:rsidRPr="002818E7">
        <w:rPr>
          <w:rFonts w:ascii="Verdana" w:hAnsi="Verdana"/>
          <w:sz w:val="20"/>
        </w:rPr>
        <w:t xml:space="preserve">Em 27 de fevereiro de 1997, a Corte Suprema de Justiça declarou </w:t>
      </w:r>
      <w:r>
        <w:rPr>
          <w:rFonts w:ascii="Verdana" w:hAnsi="Verdana"/>
          <w:sz w:val="20"/>
        </w:rPr>
        <w:t xml:space="preserve">improcedente </w:t>
      </w:r>
      <w:r w:rsidRPr="002818E7">
        <w:rPr>
          <w:rFonts w:ascii="Verdana" w:hAnsi="Verdana"/>
          <w:sz w:val="20"/>
        </w:rPr>
        <w:t>este recurso.</w:t>
      </w:r>
      <w:r w:rsidR="00850A3F">
        <w:rPr>
          <w:rFonts w:ascii="Verdana" w:hAnsi="Verdana"/>
          <w:sz w:val="20"/>
        </w:rPr>
        <w:t xml:space="preserve"> </w:t>
      </w:r>
      <w:r w:rsidRPr="002818E7">
        <w:rPr>
          <w:rFonts w:ascii="Verdana" w:hAnsi="Verdana"/>
          <w:sz w:val="20"/>
        </w:rPr>
        <w:t xml:space="preserve">A Corte Interamericana observa que a primeira das aludidas </w:t>
      </w:r>
      <w:r w:rsidR="007274D4">
        <w:rPr>
          <w:rFonts w:ascii="Verdana" w:hAnsi="Verdana"/>
          <w:sz w:val="20"/>
        </w:rPr>
        <w:t>decisões</w:t>
      </w:r>
      <w:r w:rsidRPr="002818E7">
        <w:rPr>
          <w:rFonts w:ascii="Verdana" w:hAnsi="Verdana"/>
          <w:sz w:val="20"/>
        </w:rPr>
        <w:t xml:space="preserve"> judiciais foi proferida dentro de um prazo razoável</w:t>
      </w:r>
      <w:r>
        <w:rPr>
          <w:rFonts w:ascii="Verdana" w:hAnsi="Verdana"/>
          <w:sz w:val="20"/>
        </w:rPr>
        <w:t xml:space="preserve">. </w:t>
      </w:r>
      <w:r w:rsidRPr="002818E7">
        <w:rPr>
          <w:rFonts w:ascii="Verdana" w:hAnsi="Verdana"/>
          <w:sz w:val="20"/>
        </w:rPr>
        <w:t xml:space="preserve">Entretanto, na tramitação do recurso interposto </w:t>
      </w:r>
      <w:r w:rsidR="007274D4">
        <w:rPr>
          <w:rFonts w:ascii="Verdana" w:hAnsi="Verdana"/>
          <w:sz w:val="20"/>
        </w:rPr>
        <w:t>por meio</w:t>
      </w:r>
      <w:r w:rsidRPr="002818E7">
        <w:rPr>
          <w:rFonts w:ascii="Verdana" w:hAnsi="Verdana"/>
          <w:sz w:val="20"/>
        </w:rPr>
        <w:t xml:space="preserve"> </w:t>
      </w:r>
      <w:r w:rsidR="007274D4">
        <w:rPr>
          <w:rFonts w:ascii="Verdana" w:hAnsi="Verdana"/>
          <w:sz w:val="20"/>
        </w:rPr>
        <w:t>d</w:t>
      </w:r>
      <w:r w:rsidRPr="002818E7">
        <w:rPr>
          <w:rFonts w:ascii="Verdana" w:hAnsi="Verdana"/>
          <w:sz w:val="20"/>
        </w:rPr>
        <w:t>a via de fato, transcorreu um ano, cinco meses e seis dias antes que este fosse resolvido pela Corte Suprema de Justiça.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133.</w:t>
      </w:r>
      <w:r w:rsidRPr="002818E7">
        <w:rPr>
          <w:rFonts w:ascii="Verdana" w:hAnsi="Verdana"/>
          <w:sz w:val="20"/>
        </w:rPr>
        <w:tab/>
        <w:t>O segundo recurso de amparo foi interposto</w:t>
      </w:r>
      <w:r w:rsidR="007C20FA">
        <w:rPr>
          <w:rFonts w:ascii="Verdana" w:hAnsi="Verdana"/>
          <w:sz w:val="20"/>
        </w:rPr>
        <w:t xml:space="preserve"> </w:t>
      </w:r>
      <w:r>
        <w:rPr>
          <w:rFonts w:ascii="Verdana" w:hAnsi="Verdana"/>
          <w:sz w:val="20"/>
        </w:rPr>
        <w:t>per</w:t>
      </w:r>
      <w:r w:rsidRPr="002818E7">
        <w:rPr>
          <w:rFonts w:ascii="Verdana" w:hAnsi="Verdana"/>
          <w:sz w:val="20"/>
        </w:rPr>
        <w:t xml:space="preserve">ante a </w:t>
      </w:r>
      <w:r w:rsidR="009F18E7">
        <w:rPr>
          <w:rFonts w:ascii="Verdana" w:hAnsi="Verdana"/>
          <w:sz w:val="20"/>
        </w:rPr>
        <w:t>Sala Civil</w:t>
      </w:r>
      <w:r w:rsidRPr="002818E7">
        <w:rPr>
          <w:rFonts w:ascii="Verdana" w:hAnsi="Verdana"/>
          <w:sz w:val="20"/>
        </w:rPr>
        <w:t xml:space="preserve"> do Tribunal de Apelações da Sexta Região de Matagalpa em </w:t>
      </w:r>
      <w:proofErr w:type="gramStart"/>
      <w:r w:rsidRPr="002818E7">
        <w:rPr>
          <w:rFonts w:ascii="Verdana" w:hAnsi="Verdana"/>
          <w:sz w:val="20"/>
        </w:rPr>
        <w:t>7</w:t>
      </w:r>
      <w:proofErr w:type="gramEnd"/>
      <w:r w:rsidRPr="002818E7">
        <w:rPr>
          <w:rFonts w:ascii="Verdana" w:hAnsi="Verdana"/>
          <w:sz w:val="20"/>
        </w:rPr>
        <w:t xml:space="preserve"> de novembro de 1997, admitido por esta no dia 12 do mesmo mês e ano, e resolvido pela </w:t>
      </w:r>
      <w:r w:rsidR="002A016A">
        <w:rPr>
          <w:rFonts w:ascii="Verdana" w:hAnsi="Verdana"/>
          <w:sz w:val="20"/>
        </w:rPr>
        <w:t xml:space="preserve">Sala Constitucional </w:t>
      </w:r>
      <w:r w:rsidRPr="002818E7">
        <w:rPr>
          <w:rFonts w:ascii="Verdana" w:hAnsi="Verdana"/>
          <w:sz w:val="20"/>
        </w:rPr>
        <w:t>da Corte Suprema de Justiça em 14 de outubro de 1998. Ou seja, transcorreram onze meses e sete dias desde a interposição do recurso até que fosse resolvido.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134.</w:t>
      </w:r>
      <w:r w:rsidRPr="002818E7">
        <w:rPr>
          <w:rFonts w:ascii="Verdana" w:hAnsi="Verdana"/>
          <w:sz w:val="20"/>
        </w:rPr>
        <w:tab/>
        <w:t>Em razão dos critérios estabelecidos na matéria por esta Corte e em consideração dos alcances da razoabilidade do prazo em processos judiciais,</w:t>
      </w:r>
      <w:r w:rsidRPr="002818E7">
        <w:rPr>
          <w:rStyle w:val="Refdenotaalpie"/>
          <w:rFonts w:ascii="Verdana" w:hAnsi="Verdana"/>
          <w:sz w:val="20"/>
        </w:rPr>
        <w:footnoteReference w:id="52"/>
      </w:r>
      <w:r w:rsidRPr="002818E7">
        <w:rPr>
          <w:rFonts w:ascii="Verdana" w:hAnsi="Verdana"/>
          <w:sz w:val="20"/>
        </w:rPr>
        <w:t xml:space="preserve"> pode ser afirmado que o procedimento </w:t>
      </w:r>
      <w:r>
        <w:rPr>
          <w:rFonts w:ascii="Verdana" w:hAnsi="Verdana"/>
          <w:sz w:val="20"/>
        </w:rPr>
        <w:t>seguido</w:t>
      </w:r>
      <w:r w:rsidRPr="002818E7">
        <w:rPr>
          <w:rFonts w:ascii="Verdana" w:hAnsi="Verdana"/>
          <w:sz w:val="20"/>
        </w:rPr>
        <w:t xml:space="preserve"> </w:t>
      </w:r>
      <w:r>
        <w:rPr>
          <w:rFonts w:ascii="Verdana" w:hAnsi="Verdana"/>
          <w:sz w:val="20"/>
        </w:rPr>
        <w:t>per</w:t>
      </w:r>
      <w:r w:rsidRPr="002818E7">
        <w:rPr>
          <w:rFonts w:ascii="Verdana" w:hAnsi="Verdana"/>
          <w:sz w:val="20"/>
        </w:rPr>
        <w:t xml:space="preserve">ante as diversas instâncias que conheceram dos amparos neste caso desconheceu o princípio de prazo razoável consagrado na Convenção Americana. De acordo com os critérios deste Tribunal, os </w:t>
      </w:r>
      <w:r w:rsidRPr="002818E7">
        <w:rPr>
          <w:rFonts w:ascii="Verdana" w:hAnsi="Verdana"/>
          <w:sz w:val="20"/>
        </w:rPr>
        <w:lastRenderedPageBreak/>
        <w:t xml:space="preserve">recursos de amparo </w:t>
      </w:r>
      <w:r w:rsidR="007274D4">
        <w:rPr>
          <w:rFonts w:ascii="Verdana" w:hAnsi="Verdana"/>
          <w:sz w:val="20"/>
        </w:rPr>
        <w:t>serão</w:t>
      </w:r>
      <w:r w:rsidRPr="002818E7">
        <w:rPr>
          <w:rFonts w:ascii="Verdana" w:hAnsi="Verdana"/>
          <w:sz w:val="20"/>
        </w:rPr>
        <w:t xml:space="preserve"> ilusórios e não efetivos, se na adoção da decisão sobre estes </w:t>
      </w:r>
      <w:r w:rsidR="00F77E6B">
        <w:rPr>
          <w:rFonts w:ascii="Verdana" w:hAnsi="Verdana"/>
          <w:sz w:val="20"/>
        </w:rPr>
        <w:t>ocorra</w:t>
      </w:r>
      <w:r w:rsidR="00F77E6B" w:rsidRPr="002818E7">
        <w:rPr>
          <w:rFonts w:ascii="Verdana" w:hAnsi="Verdana"/>
          <w:sz w:val="20"/>
        </w:rPr>
        <w:t xml:space="preserve"> </w:t>
      </w:r>
      <w:r w:rsidRPr="002818E7">
        <w:rPr>
          <w:rFonts w:ascii="Verdana" w:hAnsi="Verdana"/>
          <w:sz w:val="20"/>
        </w:rPr>
        <w:t xml:space="preserve">um </w:t>
      </w:r>
      <w:r>
        <w:rPr>
          <w:rFonts w:ascii="Verdana" w:hAnsi="Verdana"/>
          <w:sz w:val="20"/>
        </w:rPr>
        <w:t xml:space="preserve">atraso </w:t>
      </w:r>
      <w:r w:rsidRPr="002818E7">
        <w:rPr>
          <w:rFonts w:ascii="Verdana" w:hAnsi="Verdana"/>
          <w:sz w:val="20"/>
        </w:rPr>
        <w:t>injustificado.</w:t>
      </w:r>
      <w:proofErr w:type="gramStart"/>
      <w:r w:rsidRPr="002818E7">
        <w:rPr>
          <w:rStyle w:val="Refdenotaalpie"/>
          <w:rFonts w:ascii="Verdana" w:hAnsi="Verdana"/>
          <w:sz w:val="20"/>
        </w:rPr>
        <w:footnoteReference w:id="53"/>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135.</w:t>
      </w:r>
      <w:r w:rsidRPr="002818E7">
        <w:rPr>
          <w:rFonts w:ascii="Verdana" w:hAnsi="Verdana"/>
          <w:sz w:val="20"/>
        </w:rPr>
        <w:tab/>
        <w:t xml:space="preserve">Ademais, a Corte já </w:t>
      </w:r>
      <w:r w:rsidR="00F77E6B">
        <w:rPr>
          <w:rFonts w:ascii="Verdana" w:hAnsi="Verdana"/>
          <w:sz w:val="20"/>
        </w:rPr>
        <w:t xml:space="preserve">afirmou </w:t>
      </w:r>
      <w:r w:rsidRPr="002818E7">
        <w:rPr>
          <w:rFonts w:ascii="Verdana" w:hAnsi="Verdana"/>
          <w:sz w:val="20"/>
        </w:rPr>
        <w:t>que o artigo 25 da Convenção está intimamente ligado com a obrigação geral do artigo 1.1 da mesma, que atribui funções de proteção ao direito interno dos Estados Partes, do qu</w:t>
      </w:r>
      <w:r w:rsidR="00FE68CB">
        <w:rPr>
          <w:rFonts w:ascii="Verdana" w:hAnsi="Verdana"/>
          <w:sz w:val="20"/>
        </w:rPr>
        <w:t>e</w:t>
      </w:r>
      <w:r w:rsidRPr="002818E7">
        <w:rPr>
          <w:rFonts w:ascii="Verdana" w:hAnsi="Verdana"/>
          <w:sz w:val="20"/>
        </w:rPr>
        <w:t xml:space="preserve"> se </w:t>
      </w:r>
      <w:r>
        <w:rPr>
          <w:rFonts w:ascii="Verdana" w:hAnsi="Verdana"/>
          <w:sz w:val="20"/>
        </w:rPr>
        <w:t>observa</w:t>
      </w:r>
      <w:r w:rsidRPr="002818E7">
        <w:rPr>
          <w:rFonts w:ascii="Verdana" w:hAnsi="Verdana"/>
          <w:sz w:val="20"/>
        </w:rPr>
        <w:t xml:space="preserve"> que o Estado tem a responsabilidade de desenhar e consagrar normativamente um recurso eficaz, </w:t>
      </w:r>
      <w:r w:rsidR="00C6474D">
        <w:rPr>
          <w:rFonts w:ascii="Verdana" w:hAnsi="Verdana"/>
          <w:sz w:val="20"/>
        </w:rPr>
        <w:t>bem como</w:t>
      </w:r>
      <w:r w:rsidRPr="002818E7">
        <w:rPr>
          <w:rFonts w:ascii="Verdana" w:hAnsi="Verdana"/>
          <w:sz w:val="20"/>
        </w:rPr>
        <w:t xml:space="preserve"> a de assegurar a devida aplicação deste recurso por parte de suas autoridades judiciais.</w:t>
      </w:r>
      <w:proofErr w:type="gramStart"/>
      <w:r w:rsidRPr="002818E7">
        <w:rPr>
          <w:rStyle w:val="Refdenotaalpie"/>
          <w:rFonts w:ascii="Verdana" w:hAnsi="Verdana"/>
          <w:sz w:val="20"/>
        </w:rPr>
        <w:footnoteReference w:id="54"/>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136.</w:t>
      </w:r>
      <w:r w:rsidRPr="002818E7">
        <w:rPr>
          <w:rFonts w:ascii="Verdana" w:hAnsi="Verdana"/>
          <w:sz w:val="20"/>
        </w:rPr>
        <w:tab/>
        <w:t xml:space="preserve">No mesmo sentido, o Tribunal </w:t>
      </w:r>
      <w:r w:rsidR="00FE68CB" w:rsidRPr="002818E7">
        <w:rPr>
          <w:rFonts w:ascii="Verdana" w:hAnsi="Verdana"/>
          <w:sz w:val="20"/>
        </w:rPr>
        <w:t>manifest</w:t>
      </w:r>
      <w:r w:rsidR="00FE68CB">
        <w:rPr>
          <w:rFonts w:ascii="Verdana" w:hAnsi="Verdana"/>
          <w:sz w:val="20"/>
        </w:rPr>
        <w:t>ou</w:t>
      </w:r>
      <w:r w:rsidR="00FE68CB" w:rsidRPr="002818E7">
        <w:rPr>
          <w:rFonts w:ascii="Verdana" w:hAnsi="Verdana"/>
          <w:sz w:val="20"/>
        </w:rPr>
        <w:t xml:space="preserve"> </w:t>
      </w:r>
      <w:proofErr w:type="gramStart"/>
      <w:r w:rsidRPr="002818E7">
        <w:rPr>
          <w:rFonts w:ascii="Verdana" w:hAnsi="Verdana"/>
          <w:sz w:val="20"/>
        </w:rPr>
        <w:t>que</w:t>
      </w:r>
      <w:proofErr w:type="gramEnd"/>
    </w:p>
    <w:p w:rsidR="00C336FB" w:rsidRPr="00C4409E" w:rsidRDefault="00C336FB" w:rsidP="00C336FB">
      <w:pPr>
        <w:jc w:val="both"/>
        <w:rPr>
          <w:rFonts w:ascii="Verdana" w:hAnsi="Verdana"/>
          <w:sz w:val="18"/>
          <w:szCs w:val="18"/>
        </w:rPr>
      </w:pPr>
    </w:p>
    <w:p w:rsidR="00C336FB" w:rsidRPr="00C4409E" w:rsidRDefault="00C336FB" w:rsidP="00C336FB">
      <w:pPr>
        <w:ind w:left="720"/>
        <w:jc w:val="both"/>
        <w:rPr>
          <w:rFonts w:ascii="Verdana" w:hAnsi="Verdana"/>
          <w:sz w:val="18"/>
          <w:szCs w:val="18"/>
        </w:rPr>
      </w:pPr>
      <w:r w:rsidRPr="00C4409E">
        <w:rPr>
          <w:rFonts w:ascii="Verdana" w:hAnsi="Verdana"/>
          <w:sz w:val="18"/>
          <w:szCs w:val="18"/>
        </w:rPr>
        <w:t xml:space="preserve">[o] dever geral do artigo </w:t>
      </w:r>
      <w:proofErr w:type="gramStart"/>
      <w:r w:rsidRPr="00C4409E">
        <w:rPr>
          <w:rFonts w:ascii="Verdana" w:hAnsi="Verdana"/>
          <w:sz w:val="18"/>
          <w:szCs w:val="18"/>
        </w:rPr>
        <w:t>2</w:t>
      </w:r>
      <w:proofErr w:type="gramEnd"/>
      <w:r w:rsidRPr="00C4409E">
        <w:rPr>
          <w:rFonts w:ascii="Verdana" w:hAnsi="Verdana"/>
          <w:sz w:val="18"/>
          <w:szCs w:val="18"/>
        </w:rPr>
        <w:t xml:space="preserve"> da Convenção Americana implica a adoção de medidas em duas vertentes. Por </w:t>
      </w:r>
      <w:r w:rsidR="007C20FA" w:rsidRPr="00C4409E">
        <w:rPr>
          <w:rFonts w:ascii="Verdana" w:hAnsi="Verdana"/>
          <w:sz w:val="18"/>
          <w:szCs w:val="18"/>
        </w:rPr>
        <w:t>um</w:t>
      </w:r>
      <w:r w:rsidRPr="00C4409E">
        <w:rPr>
          <w:rFonts w:ascii="Verdana" w:hAnsi="Verdana"/>
          <w:sz w:val="18"/>
          <w:szCs w:val="18"/>
        </w:rPr>
        <w:t xml:space="preserve"> lado, a supressão das normas e práticas de qualquer natureza que impliquem violação às garantias previstas na Convenção. Por outro lado, a </w:t>
      </w:r>
      <w:r w:rsidR="00FE68CB" w:rsidRPr="00C4409E">
        <w:rPr>
          <w:rFonts w:ascii="Verdana" w:hAnsi="Verdana"/>
          <w:sz w:val="18"/>
          <w:szCs w:val="18"/>
        </w:rPr>
        <w:t xml:space="preserve">emissão </w:t>
      </w:r>
      <w:r w:rsidRPr="00C4409E">
        <w:rPr>
          <w:rFonts w:ascii="Verdana" w:hAnsi="Verdana"/>
          <w:sz w:val="18"/>
          <w:szCs w:val="18"/>
        </w:rPr>
        <w:t xml:space="preserve">de normas e o desenvolvimento de práticas </w:t>
      </w:r>
      <w:r w:rsidR="00FE68CB" w:rsidRPr="00C4409E">
        <w:rPr>
          <w:rFonts w:ascii="Verdana" w:hAnsi="Verdana"/>
          <w:sz w:val="18"/>
          <w:szCs w:val="18"/>
        </w:rPr>
        <w:t xml:space="preserve">dirigidas </w:t>
      </w:r>
      <w:r w:rsidRPr="00C4409E">
        <w:rPr>
          <w:rFonts w:ascii="Verdana" w:hAnsi="Verdana"/>
          <w:sz w:val="18"/>
          <w:szCs w:val="18"/>
        </w:rPr>
        <w:t>à efetiva observância destas garantias.</w:t>
      </w:r>
      <w:proofErr w:type="gramStart"/>
      <w:r w:rsidRPr="00C4409E">
        <w:rPr>
          <w:rStyle w:val="Refdenotaalpie"/>
          <w:rFonts w:ascii="Verdana" w:hAnsi="Verdana"/>
          <w:sz w:val="18"/>
          <w:szCs w:val="18"/>
        </w:rPr>
        <w:footnoteReference w:id="55"/>
      </w:r>
      <w:proofErr w:type="gramEnd"/>
    </w:p>
    <w:p w:rsidR="00C336FB" w:rsidRPr="00C4409E" w:rsidRDefault="00C336FB" w:rsidP="00C336FB">
      <w:pPr>
        <w:ind w:left="720"/>
        <w:jc w:val="both"/>
        <w:rPr>
          <w:rFonts w:ascii="Verdana" w:hAnsi="Verdana"/>
          <w:sz w:val="18"/>
          <w:szCs w:val="18"/>
        </w:rPr>
      </w:pPr>
    </w:p>
    <w:p w:rsidR="00C336FB" w:rsidRDefault="007C20FA" w:rsidP="00C336FB">
      <w:pPr>
        <w:jc w:val="both"/>
        <w:rPr>
          <w:rFonts w:ascii="Verdana" w:hAnsi="Verdana"/>
          <w:sz w:val="20"/>
        </w:rPr>
      </w:pPr>
      <w:r>
        <w:rPr>
          <w:rFonts w:ascii="Verdana" w:hAnsi="Verdana"/>
          <w:sz w:val="20"/>
        </w:rPr>
        <w:t>137.</w:t>
      </w:r>
      <w:r>
        <w:rPr>
          <w:rFonts w:ascii="Verdana" w:hAnsi="Verdana"/>
          <w:sz w:val="20"/>
        </w:rPr>
        <w:tab/>
        <w:t xml:space="preserve">Como já foi </w:t>
      </w:r>
      <w:proofErr w:type="gramStart"/>
      <w:r>
        <w:rPr>
          <w:rFonts w:ascii="Verdana" w:hAnsi="Verdana"/>
          <w:sz w:val="20"/>
        </w:rPr>
        <w:t>indicado</w:t>
      </w:r>
      <w:r w:rsidR="00E72E40">
        <w:rPr>
          <w:rFonts w:ascii="Verdana" w:hAnsi="Verdana"/>
          <w:sz w:val="20"/>
        </w:rPr>
        <w:t>,</w:t>
      </w:r>
      <w:r w:rsidR="00C336FB" w:rsidRPr="002818E7">
        <w:rPr>
          <w:rFonts w:ascii="Verdana" w:hAnsi="Verdana"/>
          <w:sz w:val="20"/>
        </w:rPr>
        <w:t xml:space="preserve"> neste caso</w:t>
      </w:r>
      <w:proofErr w:type="gramEnd"/>
      <w:r w:rsidR="00C336FB" w:rsidRPr="002818E7">
        <w:rPr>
          <w:rFonts w:ascii="Verdana" w:hAnsi="Verdana"/>
          <w:sz w:val="20"/>
        </w:rPr>
        <w:t xml:space="preserve"> a Nicarágua não </w:t>
      </w:r>
      <w:r w:rsidR="00C336FB">
        <w:rPr>
          <w:rFonts w:ascii="Verdana" w:hAnsi="Verdana"/>
          <w:sz w:val="20"/>
        </w:rPr>
        <w:t>adotou</w:t>
      </w:r>
      <w:r w:rsidR="00C336FB" w:rsidRPr="002818E7">
        <w:rPr>
          <w:rFonts w:ascii="Verdana" w:hAnsi="Verdana"/>
          <w:sz w:val="20"/>
        </w:rPr>
        <w:t xml:space="preserve"> as medidas</w:t>
      </w:r>
      <w:r w:rsidR="00FE68CB">
        <w:rPr>
          <w:rFonts w:ascii="Verdana" w:hAnsi="Verdana"/>
          <w:sz w:val="20"/>
        </w:rPr>
        <w:t xml:space="preserve"> de direito interno</w:t>
      </w:r>
      <w:r w:rsidR="00C336FB" w:rsidRPr="002818E7">
        <w:rPr>
          <w:rFonts w:ascii="Verdana" w:hAnsi="Verdana"/>
          <w:sz w:val="20"/>
        </w:rPr>
        <w:t xml:space="preserve"> adequadas que permitam a delimitação, demarcação e titulação das terras de comunidades indígenas e não se limitou a um prazo razoável para a tramitação dos recursos de amparo interpostos pelos membros da Comunidade Awas Tingni.</w:t>
      </w:r>
      <w:r w:rsidR="00850A3F">
        <w:rPr>
          <w:rFonts w:ascii="Verdana" w:hAnsi="Verdana"/>
          <w:sz w:val="20"/>
        </w:rPr>
        <w:t xml:space="preserve"> </w:t>
      </w:r>
    </w:p>
    <w:p w:rsidR="00FE68CB" w:rsidRPr="002818E7" w:rsidRDefault="00FE68CB" w:rsidP="00C336FB">
      <w:pPr>
        <w:jc w:val="both"/>
        <w:rPr>
          <w:rFonts w:ascii="Verdana" w:hAnsi="Verdana"/>
          <w:sz w:val="20"/>
        </w:rPr>
      </w:pPr>
    </w:p>
    <w:p w:rsidR="00C336FB" w:rsidRPr="002818E7" w:rsidRDefault="00C336FB" w:rsidP="00C336FB">
      <w:pPr>
        <w:jc w:val="both"/>
        <w:rPr>
          <w:rFonts w:ascii="Verdana" w:hAnsi="Verdana"/>
          <w:b/>
          <w:sz w:val="20"/>
        </w:rPr>
      </w:pPr>
      <w:r w:rsidRPr="002818E7">
        <w:rPr>
          <w:rFonts w:ascii="Verdana" w:hAnsi="Verdana"/>
          <w:sz w:val="20"/>
        </w:rPr>
        <w:t>138.</w:t>
      </w:r>
      <w:r w:rsidRPr="002818E7">
        <w:rPr>
          <w:rFonts w:ascii="Verdana" w:hAnsi="Verdana"/>
          <w:sz w:val="20"/>
        </w:rPr>
        <w:tab/>
        <w:t>A Corte considera que é necessário fazer efetivos os direitos reconhecidos na Constituição Política e na legislação nicaraguense, conforme a Convenção Americana.</w:t>
      </w:r>
      <w:r w:rsidR="00850A3F">
        <w:rPr>
          <w:rFonts w:ascii="Verdana" w:hAnsi="Verdana"/>
          <w:sz w:val="20"/>
        </w:rPr>
        <w:t xml:space="preserve"> </w:t>
      </w:r>
      <w:r w:rsidRPr="002818E7">
        <w:rPr>
          <w:rFonts w:ascii="Verdana" w:hAnsi="Verdana"/>
          <w:sz w:val="20"/>
        </w:rPr>
        <w:t xml:space="preserve">Em consequência, o Estado deve adotar em seu direito interno, conforme o artigo </w:t>
      </w:r>
      <w:proofErr w:type="gramStart"/>
      <w:r w:rsidRPr="002818E7">
        <w:rPr>
          <w:rFonts w:ascii="Verdana" w:hAnsi="Verdana"/>
          <w:sz w:val="20"/>
        </w:rPr>
        <w:t>2</w:t>
      </w:r>
      <w:proofErr w:type="gramEnd"/>
      <w:r w:rsidRPr="002818E7">
        <w:rPr>
          <w:rFonts w:ascii="Verdana" w:hAnsi="Verdana"/>
          <w:sz w:val="20"/>
        </w:rPr>
        <w:t xml:space="preserve"> da Convenção Americana, as medidas legislativas, administrativas e de qualquer outro caráter que sejam necessárias para criar um mecanismo efetivo de delimitação, demarcação e titulação da propriedade dos membros da Comunidade Mayagna Awas Tingni, conforme o direito consuetudinário, valores, usos e costumes desta.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139.</w:t>
      </w:r>
      <w:r w:rsidRPr="002818E7">
        <w:rPr>
          <w:rFonts w:ascii="Verdana" w:hAnsi="Verdana"/>
          <w:sz w:val="20"/>
        </w:rPr>
        <w:tab/>
      </w:r>
      <w:r w:rsidR="00C4409E">
        <w:rPr>
          <w:rFonts w:ascii="Verdana" w:hAnsi="Verdana"/>
          <w:sz w:val="20"/>
        </w:rPr>
        <w:t xml:space="preserve">Em face do </w:t>
      </w:r>
      <w:r w:rsidRPr="002818E7">
        <w:rPr>
          <w:rFonts w:ascii="Verdana" w:hAnsi="Verdana"/>
          <w:sz w:val="20"/>
        </w:rPr>
        <w:t xml:space="preserve">exposto, a Corte conclui que o Estado violou o artigo 25 da Convenção Americana, em detrimento dos membros da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em relação aos artigos 1.1 e 2 da Convenção. </w:t>
      </w:r>
    </w:p>
    <w:p w:rsidR="00C336FB" w:rsidRPr="002818E7" w:rsidRDefault="00C336FB" w:rsidP="00C336FB">
      <w:pPr>
        <w:jc w:val="both"/>
        <w:rPr>
          <w:rFonts w:ascii="Verdana" w:hAnsi="Verdana"/>
          <w:b/>
          <w:caps/>
          <w:sz w:val="20"/>
        </w:rPr>
      </w:pPr>
    </w:p>
    <w:p w:rsidR="00C336FB" w:rsidRPr="002818E7" w:rsidRDefault="00C336FB" w:rsidP="00C336FB">
      <w:pPr>
        <w:jc w:val="center"/>
        <w:rPr>
          <w:rFonts w:ascii="Verdana" w:hAnsi="Verdana"/>
          <w:b/>
          <w:caps/>
          <w:sz w:val="20"/>
        </w:rPr>
      </w:pPr>
      <w:r w:rsidRPr="002818E7">
        <w:rPr>
          <w:rFonts w:ascii="Verdana" w:hAnsi="Verdana"/>
          <w:b/>
          <w:caps/>
          <w:sz w:val="20"/>
        </w:rPr>
        <w:t>IX</w:t>
      </w:r>
    </w:p>
    <w:p w:rsidR="00C336FB" w:rsidRPr="002818E7" w:rsidRDefault="00C336FB" w:rsidP="00C336FB">
      <w:pPr>
        <w:jc w:val="center"/>
        <w:rPr>
          <w:rFonts w:ascii="Verdana" w:hAnsi="Verdana"/>
          <w:b/>
          <w:caps/>
          <w:sz w:val="20"/>
        </w:rPr>
      </w:pPr>
      <w:r w:rsidRPr="002818E7">
        <w:rPr>
          <w:rFonts w:ascii="Verdana" w:hAnsi="Verdana"/>
          <w:b/>
          <w:caps/>
          <w:sz w:val="20"/>
        </w:rPr>
        <w:t>Violação dO Artigo 21</w:t>
      </w:r>
    </w:p>
    <w:p w:rsidR="00C336FB" w:rsidRPr="002818E7" w:rsidRDefault="00C336FB" w:rsidP="00C336FB">
      <w:pPr>
        <w:jc w:val="center"/>
        <w:rPr>
          <w:rFonts w:ascii="Verdana" w:hAnsi="Verdana"/>
          <w:sz w:val="20"/>
        </w:rPr>
      </w:pPr>
      <w:r w:rsidRPr="002818E7">
        <w:rPr>
          <w:rFonts w:ascii="Verdana" w:hAnsi="Verdana"/>
          <w:sz w:val="20"/>
        </w:rPr>
        <w:t>Direito à Propriedade Privada</w:t>
      </w:r>
      <w:r w:rsidRPr="002818E7">
        <w:rPr>
          <w:rStyle w:val="Refdenotaalpie"/>
          <w:rFonts w:ascii="Verdana" w:hAnsi="Verdana"/>
          <w:smallCaps/>
          <w:sz w:val="20"/>
        </w:rPr>
        <w:footnoteReference w:id="56"/>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i/>
          <w:sz w:val="20"/>
        </w:rPr>
      </w:pPr>
      <w:r w:rsidRPr="002818E7">
        <w:rPr>
          <w:rFonts w:ascii="Verdana" w:hAnsi="Verdana"/>
          <w:i/>
          <w:sz w:val="20"/>
        </w:rPr>
        <w:t>Alegações da Comissão</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sz w:val="20"/>
        </w:rPr>
      </w:pPr>
      <w:r w:rsidRPr="002818E7">
        <w:rPr>
          <w:rFonts w:ascii="Verdana" w:hAnsi="Verdana"/>
          <w:sz w:val="20"/>
        </w:rPr>
        <w:t>140.</w:t>
      </w:r>
      <w:r w:rsidRPr="002818E7">
        <w:rPr>
          <w:rFonts w:ascii="Verdana" w:hAnsi="Verdana"/>
          <w:sz w:val="20"/>
        </w:rPr>
        <w:tab/>
        <w:t>Quanto ao artigo 21 da Convenção, a Comissão alegou que:</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a</w:t>
      </w:r>
      <w:proofErr w:type="gramEnd"/>
      <w:r w:rsidR="00C60678" w:rsidRPr="00C60678">
        <w:rPr>
          <w:rFonts w:ascii="Verdana" w:hAnsi="Verdana"/>
          <w:sz w:val="20"/>
        </w:rPr>
        <w:t>)</w:t>
      </w:r>
      <w:r w:rsidRPr="002818E7">
        <w:rPr>
          <w:rFonts w:ascii="Verdana" w:hAnsi="Verdana"/>
          <w:sz w:val="20"/>
        </w:rPr>
        <w:tab/>
        <w:t xml:space="preserve">a Comunidade Mayagna tem direitos comunais de propriedade sobre terras e </w:t>
      </w:r>
      <w:r w:rsidR="00FE68CB">
        <w:rPr>
          <w:rFonts w:ascii="Verdana" w:hAnsi="Verdana"/>
          <w:sz w:val="20"/>
        </w:rPr>
        <w:t xml:space="preserve">os </w:t>
      </w:r>
      <w:r w:rsidRPr="002818E7">
        <w:rPr>
          <w:rFonts w:ascii="Verdana" w:hAnsi="Verdana"/>
          <w:sz w:val="20"/>
        </w:rPr>
        <w:t>recursos naturais com base em padrões tradicionais de uso e ocupação territorial ancestral. Estes direitos “existem ainda sem atos estatais que os preci</w:t>
      </w:r>
      <w:r>
        <w:rPr>
          <w:rFonts w:ascii="Verdana" w:hAnsi="Verdana"/>
          <w:sz w:val="20"/>
        </w:rPr>
        <w:t xml:space="preserve">sem”. </w:t>
      </w:r>
      <w:r w:rsidRPr="002818E7">
        <w:rPr>
          <w:rFonts w:ascii="Verdana" w:hAnsi="Verdana"/>
          <w:sz w:val="20"/>
        </w:rPr>
        <w:t xml:space="preserve">A </w:t>
      </w:r>
      <w:r>
        <w:rPr>
          <w:rFonts w:ascii="Verdana" w:hAnsi="Verdana"/>
          <w:sz w:val="20"/>
        </w:rPr>
        <w:t>posse</w:t>
      </w:r>
      <w:r w:rsidRPr="002818E7">
        <w:rPr>
          <w:rFonts w:ascii="Verdana" w:hAnsi="Verdana"/>
          <w:sz w:val="20"/>
        </w:rPr>
        <w:t xml:space="preserve"> tradicional está ligada a uma continuidade histórica, mas não necessariamente a um único lugar e a uma única conformação social através dos séculos. O território global da Comunidade é possuído coletivamente e os indivíduos e famílias gozam de direitos subsidiários de uso e ocupação;</w:t>
      </w:r>
    </w:p>
    <w:p w:rsidR="00C336FB" w:rsidRPr="002818E7" w:rsidRDefault="00C336FB" w:rsidP="00C336FB">
      <w:pPr>
        <w:ind w:left="720"/>
        <w:jc w:val="both"/>
        <w:rPr>
          <w:rFonts w:ascii="Verdana" w:hAnsi="Verdana"/>
          <w:b/>
          <w:i/>
          <w:sz w:val="20"/>
          <w:u w:val="single"/>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b</w:t>
      </w:r>
      <w:r w:rsidR="00C60678" w:rsidRPr="00C60678">
        <w:rPr>
          <w:rFonts w:ascii="Verdana" w:hAnsi="Verdana"/>
          <w:sz w:val="20"/>
        </w:rPr>
        <w:t>)</w:t>
      </w:r>
      <w:proofErr w:type="gramEnd"/>
      <w:r w:rsidRPr="002818E7">
        <w:rPr>
          <w:rFonts w:ascii="Verdana" w:hAnsi="Verdana"/>
          <w:sz w:val="20"/>
        </w:rPr>
        <w:tab/>
        <w:t xml:space="preserve">os padrões tradicionais de uso e ocupação territorial das comunidades indígenas da Costa Atlântica da Nicarágua geram sistemas consuetudinários de propriedade, são direitos de propriedade criados pelas práticas e normas consuetudinárias indígenas que devem ser protegidos, e que </w:t>
      </w:r>
      <w:r w:rsidR="00FE68CB">
        <w:rPr>
          <w:rFonts w:ascii="Verdana" w:hAnsi="Verdana"/>
          <w:sz w:val="20"/>
        </w:rPr>
        <w:t xml:space="preserve">se </w:t>
      </w:r>
      <w:r w:rsidRPr="002818E7">
        <w:rPr>
          <w:rFonts w:ascii="Verdana" w:hAnsi="Verdana"/>
          <w:sz w:val="20"/>
        </w:rPr>
        <w:t>qualificam como direitos de propriedade amparados pelo artigo 21 da Convenção</w:t>
      </w:r>
      <w:r>
        <w:rPr>
          <w:rFonts w:ascii="Verdana" w:hAnsi="Verdana"/>
          <w:sz w:val="20"/>
        </w:rPr>
        <w:t xml:space="preserve">. </w:t>
      </w:r>
      <w:r w:rsidR="00FE68CB">
        <w:rPr>
          <w:rFonts w:ascii="Verdana" w:hAnsi="Verdana"/>
          <w:sz w:val="20"/>
        </w:rPr>
        <w:t>N</w:t>
      </w:r>
      <w:r w:rsidRPr="002818E7">
        <w:rPr>
          <w:rFonts w:ascii="Verdana" w:hAnsi="Verdana"/>
          <w:sz w:val="20"/>
        </w:rPr>
        <w:t>ão reconhecer a igualdade dos direitos de propriedade baseados na tradição indígena é contrário ao princípio de não discriminação contemplado no artigo 1.1 da Convenção;</w:t>
      </w:r>
    </w:p>
    <w:p w:rsidR="00C336FB" w:rsidRPr="002818E7" w:rsidRDefault="00C336FB" w:rsidP="00C336FB">
      <w:pPr>
        <w:ind w:left="720"/>
        <w:jc w:val="both"/>
        <w:rPr>
          <w:rFonts w:ascii="Verdana" w:hAnsi="Verdana"/>
          <w:i/>
          <w:sz w:val="20"/>
        </w:rPr>
      </w:pPr>
    </w:p>
    <w:p w:rsidR="00C336FB" w:rsidRDefault="00C336FB" w:rsidP="00E72E40">
      <w:pPr>
        <w:ind w:left="720"/>
        <w:jc w:val="both"/>
        <w:rPr>
          <w:rFonts w:ascii="Verdana" w:hAnsi="Verdana"/>
          <w:sz w:val="20"/>
        </w:rPr>
      </w:pPr>
      <w:proofErr w:type="gramStart"/>
      <w:r w:rsidRPr="002818E7">
        <w:rPr>
          <w:rFonts w:ascii="Verdana" w:hAnsi="Verdana"/>
          <w:sz w:val="20"/>
        </w:rPr>
        <w:t>c</w:t>
      </w:r>
      <w:r w:rsidR="00C60678" w:rsidRPr="00C60678">
        <w:rPr>
          <w:rFonts w:ascii="Verdana" w:hAnsi="Verdana"/>
          <w:sz w:val="20"/>
        </w:rPr>
        <w:t>)</w:t>
      </w:r>
      <w:proofErr w:type="gramEnd"/>
      <w:r w:rsidRPr="002818E7">
        <w:rPr>
          <w:rFonts w:ascii="Verdana" w:hAnsi="Verdana"/>
          <w:sz w:val="20"/>
        </w:rPr>
        <w:tab/>
        <w:t>a Constituição Política da Nicarágua e o Estatuto da Autonomia das Regiões da Costa Atlântica da Nicarágua reconhecem direitos de propriedade cuj</w:t>
      </w:r>
      <w:r>
        <w:rPr>
          <w:rFonts w:ascii="Verdana" w:hAnsi="Verdana"/>
          <w:sz w:val="20"/>
        </w:rPr>
        <w:t>a</w:t>
      </w:r>
      <w:r w:rsidRPr="002818E7">
        <w:rPr>
          <w:rFonts w:ascii="Verdana" w:hAnsi="Verdana"/>
          <w:sz w:val="20"/>
        </w:rPr>
        <w:t xml:space="preserve"> origem está no sistema consuetudinário de </w:t>
      </w:r>
      <w:r>
        <w:rPr>
          <w:rFonts w:ascii="Verdana" w:hAnsi="Verdana"/>
          <w:sz w:val="20"/>
        </w:rPr>
        <w:t>posse</w:t>
      </w:r>
      <w:r w:rsidRPr="002818E7">
        <w:rPr>
          <w:rFonts w:ascii="Verdana" w:hAnsi="Verdana"/>
          <w:sz w:val="20"/>
        </w:rPr>
        <w:t xml:space="preserve"> de terra que tem existi</w:t>
      </w:r>
      <w:r w:rsidR="00FE68CB">
        <w:rPr>
          <w:rFonts w:ascii="Verdana" w:hAnsi="Verdana"/>
          <w:sz w:val="20"/>
        </w:rPr>
        <w:t>u</w:t>
      </w:r>
      <w:r w:rsidRPr="002818E7">
        <w:rPr>
          <w:rFonts w:ascii="Verdana" w:hAnsi="Verdana"/>
          <w:sz w:val="20"/>
        </w:rPr>
        <w:t xml:space="preserve"> tradicionalmente nas comunidades indígenas da Costa Atlântica.</w:t>
      </w:r>
      <w:r w:rsidR="00850A3F">
        <w:rPr>
          <w:rFonts w:ascii="Verdana" w:hAnsi="Verdana"/>
          <w:sz w:val="20"/>
        </w:rPr>
        <w:t xml:space="preserve"> </w:t>
      </w:r>
      <w:r w:rsidRPr="002818E7">
        <w:rPr>
          <w:rFonts w:ascii="Verdana" w:hAnsi="Verdana"/>
          <w:sz w:val="20"/>
        </w:rPr>
        <w:t>Também, os direitos da Comunidade estão protegidos pela Convenção Americana e por disposições de outras convenções internacionais nas quais a Nicarágua é parte;</w:t>
      </w:r>
    </w:p>
    <w:p w:rsidR="00E72E40" w:rsidRPr="00E72E40" w:rsidRDefault="00E72E40" w:rsidP="00E72E40">
      <w:pPr>
        <w:ind w:left="720"/>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d</w:t>
      </w:r>
      <w:r w:rsidR="00C60678" w:rsidRPr="00C60678">
        <w:rPr>
          <w:rFonts w:ascii="Verdana" w:hAnsi="Verdana"/>
          <w:sz w:val="20"/>
        </w:rPr>
        <w:t>)</w:t>
      </w:r>
      <w:proofErr w:type="gramEnd"/>
      <w:r w:rsidRPr="002818E7">
        <w:rPr>
          <w:rFonts w:ascii="Verdana" w:hAnsi="Verdana"/>
          <w:sz w:val="20"/>
        </w:rPr>
        <w:tab/>
        <w:t xml:space="preserve"> existe uma norma de </w:t>
      </w:r>
      <w:r w:rsidR="00360853">
        <w:rPr>
          <w:rFonts w:ascii="Verdana" w:hAnsi="Verdana"/>
          <w:sz w:val="20"/>
        </w:rPr>
        <w:t xml:space="preserve"> Direito Internacional</w:t>
      </w:r>
      <w:r w:rsidRPr="002818E7">
        <w:rPr>
          <w:rFonts w:ascii="Verdana" w:hAnsi="Verdana"/>
          <w:sz w:val="20"/>
        </w:rPr>
        <w:t xml:space="preserve"> consuetudinário mediante a qual se </w:t>
      </w:r>
      <w:r w:rsidR="00FE68CB">
        <w:rPr>
          <w:rFonts w:ascii="Verdana" w:hAnsi="Verdana"/>
          <w:sz w:val="20"/>
        </w:rPr>
        <w:t>afirmam</w:t>
      </w:r>
      <w:r w:rsidR="00FE68CB" w:rsidRPr="002818E7">
        <w:rPr>
          <w:rFonts w:ascii="Verdana" w:hAnsi="Verdana"/>
          <w:sz w:val="20"/>
        </w:rPr>
        <w:t xml:space="preserve"> </w:t>
      </w:r>
      <w:r w:rsidRPr="002818E7">
        <w:rPr>
          <w:rFonts w:ascii="Verdana" w:hAnsi="Verdana"/>
          <w:sz w:val="20"/>
        </w:rPr>
        <w:t>os direitos dos povos indígenas sobre suas terras tradicionais;</w:t>
      </w:r>
    </w:p>
    <w:p w:rsidR="00C336FB" w:rsidRPr="002818E7" w:rsidRDefault="00C336FB" w:rsidP="00C336FB">
      <w:pPr>
        <w:ind w:left="720"/>
        <w:jc w:val="both"/>
        <w:rPr>
          <w:rFonts w:ascii="Verdana" w:hAnsi="Verdana"/>
          <w:i/>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e</w:t>
      </w:r>
      <w:proofErr w:type="gramEnd"/>
      <w:r w:rsidR="00C60678" w:rsidRPr="00C60678">
        <w:rPr>
          <w:rFonts w:ascii="Verdana" w:hAnsi="Verdana"/>
          <w:sz w:val="20"/>
        </w:rPr>
        <w:t>)</w:t>
      </w:r>
      <w:r w:rsidRPr="002818E7">
        <w:rPr>
          <w:rFonts w:ascii="Verdana" w:hAnsi="Verdana"/>
          <w:sz w:val="20"/>
        </w:rPr>
        <w:tab/>
        <w:t xml:space="preserve">o Estado não </w:t>
      </w:r>
      <w:r w:rsidR="00FE68CB">
        <w:rPr>
          <w:rFonts w:ascii="Verdana" w:hAnsi="Verdana"/>
          <w:sz w:val="20"/>
        </w:rPr>
        <w:t xml:space="preserve">demarcou </w:t>
      </w:r>
      <w:r w:rsidRPr="002818E7">
        <w:rPr>
          <w:rFonts w:ascii="Verdana" w:hAnsi="Verdana"/>
          <w:sz w:val="20"/>
        </w:rPr>
        <w:t xml:space="preserve">nem </w:t>
      </w:r>
      <w:r w:rsidR="00FE68CB" w:rsidRPr="002818E7">
        <w:rPr>
          <w:rFonts w:ascii="Verdana" w:hAnsi="Verdana"/>
          <w:sz w:val="20"/>
        </w:rPr>
        <w:t>titul</w:t>
      </w:r>
      <w:r w:rsidR="00FE68CB">
        <w:rPr>
          <w:rFonts w:ascii="Verdana" w:hAnsi="Verdana"/>
          <w:sz w:val="20"/>
        </w:rPr>
        <w:t>ou</w:t>
      </w:r>
      <w:r w:rsidR="00FE68CB" w:rsidRPr="002818E7">
        <w:rPr>
          <w:rFonts w:ascii="Verdana" w:hAnsi="Verdana"/>
          <w:sz w:val="20"/>
        </w:rPr>
        <w:t xml:space="preserve"> </w:t>
      </w:r>
      <w:r w:rsidRPr="002818E7">
        <w:rPr>
          <w:rFonts w:ascii="Verdana" w:hAnsi="Verdana"/>
          <w:sz w:val="20"/>
        </w:rPr>
        <w:t xml:space="preserve">as terras </w:t>
      </w:r>
      <w:r w:rsidR="00664426">
        <w:rPr>
          <w:rFonts w:ascii="Verdana" w:hAnsi="Verdana"/>
          <w:sz w:val="20"/>
        </w:rPr>
        <w:t>comunitárias</w:t>
      </w:r>
      <w:r w:rsidR="00664426" w:rsidRPr="002818E7">
        <w:rPr>
          <w:rFonts w:ascii="Verdana" w:hAnsi="Verdana"/>
          <w:sz w:val="20"/>
        </w:rPr>
        <w:t xml:space="preserve"> </w:t>
      </w:r>
      <w:r w:rsidRPr="002818E7">
        <w:rPr>
          <w:rFonts w:ascii="Verdana" w:hAnsi="Verdana"/>
          <w:sz w:val="20"/>
        </w:rPr>
        <w:t xml:space="preserve">da Comunidade Awas Tingni nem </w:t>
      </w:r>
      <w:r w:rsidR="00FE68CB" w:rsidRPr="002818E7">
        <w:rPr>
          <w:rFonts w:ascii="Verdana" w:hAnsi="Verdana"/>
          <w:sz w:val="20"/>
        </w:rPr>
        <w:t>tom</w:t>
      </w:r>
      <w:r w:rsidR="00FE68CB">
        <w:rPr>
          <w:rFonts w:ascii="Verdana" w:hAnsi="Verdana"/>
          <w:sz w:val="20"/>
        </w:rPr>
        <w:t>ou</w:t>
      </w:r>
      <w:r w:rsidR="00FE68CB" w:rsidRPr="002818E7">
        <w:rPr>
          <w:rFonts w:ascii="Verdana" w:hAnsi="Verdana"/>
          <w:sz w:val="20"/>
        </w:rPr>
        <w:t xml:space="preserve"> </w:t>
      </w:r>
      <w:r w:rsidRPr="002818E7">
        <w:rPr>
          <w:rFonts w:ascii="Verdana" w:hAnsi="Verdana"/>
          <w:sz w:val="20"/>
        </w:rPr>
        <w:t>outras medidas efetivas para assegurar os direitos de propriedade da Comunidade em suas terras ancestrais e recursos naturais;</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f</w:t>
      </w:r>
      <w:r w:rsidR="00C60678" w:rsidRPr="00C60678">
        <w:rPr>
          <w:rFonts w:ascii="Verdana" w:hAnsi="Verdana"/>
          <w:sz w:val="20"/>
        </w:rPr>
        <w:t>)</w:t>
      </w:r>
      <w:proofErr w:type="gramEnd"/>
      <w:r w:rsidRPr="002818E7">
        <w:rPr>
          <w:rFonts w:ascii="Verdana" w:hAnsi="Verdana"/>
          <w:sz w:val="20"/>
        </w:rPr>
        <w:tab/>
        <w:t>a vida dos membros da Comunidade depende fundamentalmente da agricultura, caça e pesca</w:t>
      </w:r>
      <w:r w:rsidR="000207DB">
        <w:rPr>
          <w:rFonts w:ascii="Verdana" w:hAnsi="Verdana"/>
          <w:sz w:val="20"/>
        </w:rPr>
        <w:t>,</w:t>
      </w:r>
      <w:r w:rsidRPr="002818E7">
        <w:rPr>
          <w:rFonts w:ascii="Verdana" w:hAnsi="Verdana"/>
          <w:sz w:val="20"/>
        </w:rPr>
        <w:t xml:space="preserve"> que realizam em áreas próximas a suas </w:t>
      </w:r>
      <w:r>
        <w:rPr>
          <w:rFonts w:ascii="Verdana" w:hAnsi="Verdana"/>
          <w:sz w:val="20"/>
        </w:rPr>
        <w:t>aldeias.</w:t>
      </w:r>
      <w:r w:rsidRPr="002818E7">
        <w:rPr>
          <w:rFonts w:ascii="Verdana" w:hAnsi="Verdana"/>
          <w:sz w:val="20"/>
        </w:rPr>
        <w:t xml:space="preserve"> A relação que a Comunidade mant</w:t>
      </w:r>
      <w:r>
        <w:rPr>
          <w:rFonts w:ascii="Verdana" w:hAnsi="Verdana"/>
          <w:sz w:val="20"/>
        </w:rPr>
        <w:t>é</w:t>
      </w:r>
      <w:r w:rsidRPr="002818E7">
        <w:rPr>
          <w:rFonts w:ascii="Verdana" w:hAnsi="Verdana"/>
          <w:sz w:val="20"/>
        </w:rPr>
        <w:t xml:space="preserve">m com suas terras e </w:t>
      </w:r>
      <w:proofErr w:type="gramStart"/>
      <w:r w:rsidRPr="002818E7">
        <w:rPr>
          <w:rFonts w:ascii="Verdana" w:hAnsi="Verdana"/>
          <w:sz w:val="20"/>
        </w:rPr>
        <w:t>recursos está</w:t>
      </w:r>
      <w:proofErr w:type="gramEnd"/>
      <w:r w:rsidRPr="002818E7">
        <w:rPr>
          <w:rFonts w:ascii="Verdana" w:hAnsi="Verdana"/>
          <w:sz w:val="20"/>
        </w:rPr>
        <w:t xml:space="preserve"> protegida sob outros direitos contemplados na Convenção Americana, tais como o direito à vida, à honra e à dignidade, </w:t>
      </w:r>
      <w:r>
        <w:rPr>
          <w:rFonts w:ascii="Verdana" w:hAnsi="Verdana"/>
          <w:sz w:val="20"/>
        </w:rPr>
        <w:t>à</w:t>
      </w:r>
      <w:r w:rsidRPr="002818E7">
        <w:rPr>
          <w:rFonts w:ascii="Verdana" w:hAnsi="Verdana"/>
          <w:sz w:val="20"/>
        </w:rPr>
        <w:t xml:space="preserve"> liberdade de consciência e de religião, </w:t>
      </w:r>
      <w:r>
        <w:rPr>
          <w:rFonts w:ascii="Verdana" w:hAnsi="Verdana"/>
          <w:sz w:val="20"/>
        </w:rPr>
        <w:t>à</w:t>
      </w:r>
      <w:r w:rsidRPr="002818E7">
        <w:rPr>
          <w:rFonts w:ascii="Verdana" w:hAnsi="Verdana"/>
          <w:sz w:val="20"/>
        </w:rPr>
        <w:t xml:space="preserve"> liberdade de associação, </w:t>
      </w:r>
      <w:r>
        <w:rPr>
          <w:rFonts w:ascii="Verdana" w:hAnsi="Verdana"/>
          <w:sz w:val="20"/>
        </w:rPr>
        <w:t>à</w:t>
      </w:r>
      <w:r w:rsidRPr="002818E7">
        <w:rPr>
          <w:rFonts w:ascii="Verdana" w:hAnsi="Verdana"/>
          <w:sz w:val="20"/>
        </w:rPr>
        <w:t xml:space="preserve"> proteção à família, e o direito de circulação e residência;</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g</w:t>
      </w:r>
      <w:r w:rsidR="00C60678" w:rsidRPr="00C60678">
        <w:rPr>
          <w:rFonts w:ascii="Verdana" w:hAnsi="Verdana"/>
          <w:sz w:val="20"/>
        </w:rPr>
        <w:t>)</w:t>
      </w:r>
      <w:proofErr w:type="gramEnd"/>
      <w:r w:rsidRPr="002818E7">
        <w:rPr>
          <w:rFonts w:ascii="Verdana" w:hAnsi="Verdana"/>
          <w:sz w:val="20"/>
        </w:rPr>
        <w:tab/>
        <w:t xml:space="preserve">a Comissão Nacional para a Demarcação das Terras das Comunidades Indígenas da Costa Atlântica, criada com o fim de realizar um “Projeto de Demarcação”, não tem contribuído à criação de um mecanismo para a demarcação de terras dos indígenas que conte com uma participação plena destes; </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lastRenderedPageBreak/>
        <w:t>h</w:t>
      </w:r>
      <w:r w:rsidR="00C60678" w:rsidRPr="00C60678">
        <w:rPr>
          <w:rFonts w:ascii="Verdana" w:hAnsi="Verdana"/>
          <w:sz w:val="20"/>
        </w:rPr>
        <w:t>)</w:t>
      </w:r>
      <w:proofErr w:type="gramEnd"/>
      <w:r w:rsidRPr="002818E7">
        <w:rPr>
          <w:rFonts w:ascii="Verdana" w:hAnsi="Verdana"/>
          <w:sz w:val="20"/>
        </w:rPr>
        <w:tab/>
        <w:t>a maioria dos povoadores de Awas Tingni chegaram na década de 1940 ao lugar onde atualmente têm seu assentamento principal, provenientes de seu</w:t>
      </w:r>
      <w:r w:rsidR="00FE68CB">
        <w:rPr>
          <w:rFonts w:ascii="Verdana" w:hAnsi="Verdana"/>
          <w:sz w:val="20"/>
        </w:rPr>
        <w:t xml:space="preserve"> antigo</w:t>
      </w:r>
      <w:r w:rsidRPr="002818E7">
        <w:rPr>
          <w:rFonts w:ascii="Verdana" w:hAnsi="Verdana"/>
          <w:sz w:val="20"/>
        </w:rPr>
        <w:t xml:space="preserve"> lugar ancestral: Tuburús.</w:t>
      </w:r>
      <w:r w:rsidR="00850A3F">
        <w:rPr>
          <w:rFonts w:ascii="Verdana" w:hAnsi="Verdana"/>
          <w:sz w:val="20"/>
        </w:rPr>
        <w:t xml:space="preserve"> </w:t>
      </w:r>
      <w:r w:rsidRPr="002818E7">
        <w:rPr>
          <w:rFonts w:ascii="Verdana" w:hAnsi="Verdana"/>
          <w:sz w:val="20"/>
        </w:rPr>
        <w:t>Deu-se um movimento de um lugar a outro dentro de seu território ancestral; os antepassados Mayagnas estiveram aí desde tempos imemoriais;</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sz w:val="20"/>
        </w:rPr>
      </w:pPr>
      <w:proofErr w:type="gramStart"/>
      <w:r w:rsidRPr="002818E7">
        <w:rPr>
          <w:rFonts w:ascii="Verdana" w:hAnsi="Verdana"/>
          <w:sz w:val="20"/>
        </w:rPr>
        <w:t>i</w:t>
      </w:r>
      <w:r w:rsidR="00C60678" w:rsidRPr="00C60678">
        <w:rPr>
          <w:rFonts w:ascii="Verdana" w:hAnsi="Verdana"/>
          <w:sz w:val="20"/>
        </w:rPr>
        <w:t>)</w:t>
      </w:r>
      <w:proofErr w:type="gramEnd"/>
      <w:r w:rsidRPr="002818E7">
        <w:rPr>
          <w:rFonts w:ascii="Verdana" w:hAnsi="Verdana"/>
          <w:sz w:val="20"/>
        </w:rPr>
        <w:tab/>
        <w:t>existem terras que são compartilhadas tradicionalmente por Awas Tingni e outras comunidades.</w:t>
      </w:r>
      <w:r w:rsidR="00850A3F">
        <w:rPr>
          <w:rFonts w:ascii="Verdana" w:hAnsi="Verdana"/>
          <w:b/>
          <w:sz w:val="20"/>
        </w:rPr>
        <w:t xml:space="preserve"> </w:t>
      </w:r>
      <w:r w:rsidRPr="002818E7">
        <w:rPr>
          <w:rFonts w:ascii="Verdana" w:hAnsi="Verdana"/>
          <w:sz w:val="20"/>
        </w:rPr>
        <w:t xml:space="preserve">O conceito da propriedade pode consistir em um domínio compartilhado ou em direitos de acesso e uso, de acordo com </w:t>
      </w:r>
      <w:r>
        <w:rPr>
          <w:rFonts w:ascii="Verdana" w:hAnsi="Verdana"/>
          <w:sz w:val="20"/>
        </w:rPr>
        <w:t>o</w:t>
      </w:r>
      <w:r w:rsidRPr="002818E7">
        <w:rPr>
          <w:rFonts w:ascii="Verdana" w:hAnsi="Verdana"/>
          <w:sz w:val="20"/>
        </w:rPr>
        <w:t xml:space="preserve">s costumes das comunidades indígenas da Costa Atlântica; </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sz w:val="20"/>
        </w:rPr>
      </w:pPr>
      <w:proofErr w:type="gramStart"/>
      <w:r w:rsidRPr="002818E7">
        <w:rPr>
          <w:rFonts w:ascii="Verdana" w:hAnsi="Verdana"/>
          <w:sz w:val="20"/>
        </w:rPr>
        <w:t>j</w:t>
      </w:r>
      <w:r w:rsidR="00C60678" w:rsidRPr="00C60678">
        <w:rPr>
          <w:rFonts w:ascii="Verdana" w:hAnsi="Verdana"/>
          <w:sz w:val="20"/>
        </w:rPr>
        <w:t>)</w:t>
      </w:r>
      <w:proofErr w:type="gramEnd"/>
      <w:r w:rsidRPr="002818E7">
        <w:rPr>
          <w:rFonts w:ascii="Verdana" w:hAnsi="Verdana"/>
          <w:sz w:val="20"/>
        </w:rPr>
        <w:tab/>
        <w:t xml:space="preserve">o Estado violou o artigo 21 da Convenção ao </w:t>
      </w:r>
      <w:r w:rsidR="00FE68CB">
        <w:rPr>
          <w:rFonts w:ascii="Verdana" w:hAnsi="Verdana"/>
          <w:sz w:val="20"/>
        </w:rPr>
        <w:t>outorgar</w:t>
      </w:r>
      <w:r w:rsidR="00FE68CB" w:rsidRPr="002818E7">
        <w:rPr>
          <w:rFonts w:ascii="Verdana" w:hAnsi="Verdana"/>
          <w:sz w:val="20"/>
        </w:rPr>
        <w:t xml:space="preserve"> </w:t>
      </w:r>
      <w:r w:rsidRPr="002818E7">
        <w:rPr>
          <w:rFonts w:ascii="Verdana" w:hAnsi="Verdana"/>
          <w:sz w:val="20"/>
        </w:rPr>
        <w:t>à companhia SOLCARSA a concessão para o corte de madeira em terras tradicionalmente ocupadas pela Comunidade, concessão que colocou em perigo o gozo dos direitos das comunidades indígenas, ao considerar como terras estatais todas aquelas que não se encontram registradas sob um título formal de domínio;</w:t>
      </w:r>
      <w:r w:rsidR="00850A3F">
        <w:rPr>
          <w:rFonts w:ascii="Verdana" w:hAnsi="Verdana"/>
          <w:sz w:val="20"/>
        </w:rPr>
        <w:t xml:space="preserve"> </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sz w:val="20"/>
        </w:rPr>
      </w:pPr>
      <w:proofErr w:type="gramStart"/>
      <w:r w:rsidRPr="002818E7">
        <w:rPr>
          <w:rFonts w:ascii="Verdana" w:hAnsi="Verdana"/>
          <w:sz w:val="20"/>
        </w:rPr>
        <w:t>k</w:t>
      </w:r>
      <w:r w:rsidR="00C60678" w:rsidRPr="00C60678">
        <w:rPr>
          <w:rFonts w:ascii="Verdana" w:hAnsi="Verdana"/>
          <w:sz w:val="20"/>
        </w:rPr>
        <w:t>)</w:t>
      </w:r>
      <w:proofErr w:type="gramEnd"/>
      <w:r w:rsidRPr="002818E7">
        <w:rPr>
          <w:rFonts w:ascii="Verdana" w:hAnsi="Verdana"/>
          <w:sz w:val="20"/>
        </w:rPr>
        <w:tab/>
      </w:r>
      <w:r w:rsidR="00FE68CB">
        <w:rPr>
          <w:rFonts w:ascii="Verdana" w:hAnsi="Verdana"/>
          <w:sz w:val="20"/>
        </w:rPr>
        <w:t>o</w:t>
      </w:r>
      <w:r w:rsidRPr="002818E7">
        <w:rPr>
          <w:rFonts w:ascii="Verdana" w:hAnsi="Verdana"/>
          <w:sz w:val="20"/>
        </w:rPr>
        <w:t xml:space="preserve">s membros da Comunidade “ocupam e utilizam uma parte substancial da área da concessão”. A </w:t>
      </w:r>
      <w:r w:rsidR="002A016A">
        <w:rPr>
          <w:rFonts w:ascii="Verdana" w:hAnsi="Verdana"/>
          <w:sz w:val="20"/>
        </w:rPr>
        <w:t>concessão outorgada</w:t>
      </w:r>
      <w:r>
        <w:rPr>
          <w:rFonts w:ascii="Verdana" w:hAnsi="Verdana"/>
          <w:sz w:val="20"/>
        </w:rPr>
        <w:t xml:space="preserve"> </w:t>
      </w:r>
      <w:r w:rsidRPr="002818E7">
        <w:rPr>
          <w:rFonts w:ascii="Verdana" w:hAnsi="Verdana"/>
          <w:sz w:val="20"/>
        </w:rPr>
        <w:t xml:space="preserve">à companhia SOLCARSA colocou em perigo os interesses econômicos, a </w:t>
      </w:r>
      <w:r>
        <w:rPr>
          <w:rFonts w:ascii="Verdana" w:hAnsi="Verdana"/>
          <w:sz w:val="20"/>
        </w:rPr>
        <w:t>sobre</w:t>
      </w:r>
      <w:r w:rsidRPr="002818E7">
        <w:rPr>
          <w:rFonts w:ascii="Verdana" w:hAnsi="Verdana"/>
          <w:sz w:val="20"/>
        </w:rPr>
        <w:t>vivência e a integridade cultural da Comunidade e seus membros.</w:t>
      </w:r>
      <w:r w:rsidR="00850A3F">
        <w:rPr>
          <w:rFonts w:ascii="Verdana" w:hAnsi="Verdana"/>
          <w:sz w:val="20"/>
        </w:rPr>
        <w:t xml:space="preserve"> </w:t>
      </w:r>
      <w:r w:rsidRPr="002818E7">
        <w:rPr>
          <w:rFonts w:ascii="Verdana" w:hAnsi="Verdana"/>
          <w:sz w:val="20"/>
        </w:rPr>
        <w:t>“[A]s operações florestais d</w:t>
      </w:r>
      <w:r>
        <w:rPr>
          <w:rFonts w:ascii="Verdana" w:hAnsi="Verdana"/>
          <w:sz w:val="20"/>
        </w:rPr>
        <w:t>a</w:t>
      </w:r>
      <w:r w:rsidRPr="002818E7">
        <w:rPr>
          <w:rFonts w:ascii="Verdana" w:hAnsi="Verdana"/>
          <w:sz w:val="20"/>
        </w:rPr>
        <w:t xml:space="preserve"> SOLCARSA […] ao chegar às terras utilizadas e ocupadas pela Comunidade Awas Tingni, em particular, poderiam </w:t>
      </w:r>
      <w:r w:rsidR="00942AC1">
        <w:rPr>
          <w:rFonts w:ascii="Verdana" w:hAnsi="Verdana"/>
          <w:sz w:val="20"/>
        </w:rPr>
        <w:t>ter</w:t>
      </w:r>
      <w:r w:rsidR="00942AC1" w:rsidRPr="002818E7">
        <w:rPr>
          <w:rFonts w:ascii="Verdana" w:hAnsi="Verdana"/>
          <w:sz w:val="20"/>
        </w:rPr>
        <w:t xml:space="preserve"> </w:t>
      </w:r>
      <w:r w:rsidRPr="002818E7">
        <w:rPr>
          <w:rFonts w:ascii="Verdana" w:hAnsi="Verdana"/>
          <w:sz w:val="20"/>
        </w:rPr>
        <w:t xml:space="preserve">causado dano </w:t>
      </w:r>
      <w:r>
        <w:rPr>
          <w:rFonts w:ascii="Verdana" w:hAnsi="Verdana"/>
          <w:sz w:val="20"/>
        </w:rPr>
        <w:t>às florestas</w:t>
      </w:r>
      <w:r w:rsidRPr="002818E7">
        <w:rPr>
          <w:rFonts w:ascii="Verdana" w:hAnsi="Verdana"/>
          <w:sz w:val="20"/>
        </w:rPr>
        <w:t xml:space="preserve"> desta Comunidade”.</w:t>
      </w:r>
      <w:r w:rsidR="00850A3F">
        <w:rPr>
          <w:rFonts w:ascii="Verdana" w:hAnsi="Verdana"/>
          <w:sz w:val="20"/>
        </w:rPr>
        <w:t xml:space="preserve"> </w:t>
      </w:r>
      <w:r w:rsidRPr="002818E7">
        <w:rPr>
          <w:rFonts w:ascii="Verdana" w:hAnsi="Verdana"/>
          <w:sz w:val="20"/>
        </w:rPr>
        <w:t>A concessão e os atos estatais relacionados com esta constituem uma violação do direito à propriedade;</w:t>
      </w:r>
      <w:r w:rsidRPr="002818E7">
        <w:rPr>
          <w:rFonts w:ascii="Verdana" w:hAnsi="Verdana"/>
          <w:b/>
          <w:sz w:val="20"/>
        </w:rPr>
        <w:t xml:space="preserve"> </w:t>
      </w:r>
    </w:p>
    <w:p w:rsidR="00C336FB" w:rsidRPr="002818E7" w:rsidRDefault="00C336FB" w:rsidP="00C336FB">
      <w:pPr>
        <w:ind w:left="720"/>
        <w:jc w:val="both"/>
        <w:rPr>
          <w:rFonts w:ascii="Verdana" w:hAnsi="Verdana"/>
          <w:b/>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l</w:t>
      </w:r>
      <w:r w:rsidR="00C60678" w:rsidRPr="00C60678">
        <w:rPr>
          <w:rFonts w:ascii="Verdana" w:hAnsi="Verdana"/>
          <w:sz w:val="20"/>
        </w:rPr>
        <w:t>)</w:t>
      </w:r>
      <w:proofErr w:type="gramEnd"/>
      <w:r w:rsidRPr="002818E7">
        <w:rPr>
          <w:rFonts w:ascii="Verdana" w:hAnsi="Verdana"/>
          <w:sz w:val="20"/>
        </w:rPr>
        <w:tab/>
        <w:t>a complexidade do assunto não é desculpa para que o Estado não cumpra suas obrigações, e para que administre as terras indígenas não tituladas como terras estatais;</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m</w:t>
      </w:r>
      <w:r w:rsidR="00C60678" w:rsidRPr="00C60678">
        <w:rPr>
          <w:rFonts w:ascii="Verdana" w:hAnsi="Verdana"/>
          <w:sz w:val="20"/>
        </w:rPr>
        <w:t>)</w:t>
      </w:r>
      <w:proofErr w:type="gramEnd"/>
      <w:r w:rsidRPr="002818E7">
        <w:rPr>
          <w:rFonts w:ascii="Verdana" w:hAnsi="Verdana"/>
          <w:sz w:val="20"/>
        </w:rPr>
        <w:tab/>
        <w:t>o artigo 181 da Constituição Política da Nicarágua</w:t>
      </w:r>
      <w:r w:rsidR="00D91189">
        <w:rPr>
          <w:rFonts w:ascii="Verdana" w:hAnsi="Verdana"/>
          <w:sz w:val="20"/>
        </w:rPr>
        <w:t xml:space="preserve"> se refere à</w:t>
      </w:r>
      <w:r w:rsidR="00850A3F">
        <w:rPr>
          <w:rFonts w:ascii="Verdana" w:hAnsi="Verdana"/>
          <w:sz w:val="20"/>
        </w:rPr>
        <w:t xml:space="preserve"> </w:t>
      </w:r>
      <w:r w:rsidRPr="002818E7">
        <w:rPr>
          <w:rFonts w:ascii="Verdana" w:hAnsi="Verdana"/>
          <w:sz w:val="20"/>
        </w:rPr>
        <w:t>aprovação de concessões pelo Estado com respeito a terras sob seu domínio, e não ao aproveitamento de recursos em terras</w:t>
      </w:r>
      <w:r w:rsidR="00D75C8E">
        <w:rPr>
          <w:rFonts w:ascii="Verdana" w:hAnsi="Verdana"/>
          <w:sz w:val="20"/>
        </w:rPr>
        <w:t xml:space="preserve">comunitárias </w:t>
      </w:r>
      <w:r>
        <w:rPr>
          <w:rFonts w:ascii="Verdana" w:hAnsi="Verdana"/>
          <w:sz w:val="20"/>
        </w:rPr>
        <w:t xml:space="preserve">. </w:t>
      </w:r>
      <w:r w:rsidRPr="002818E7">
        <w:rPr>
          <w:rFonts w:ascii="Verdana" w:hAnsi="Verdana"/>
          <w:sz w:val="20"/>
        </w:rPr>
        <w:t xml:space="preserve">Com base neste artigo, o MARENA e o Conselho Regional da RAAN não se encontram facultados </w:t>
      </w:r>
      <w:r w:rsidR="00942AC1">
        <w:rPr>
          <w:rFonts w:ascii="Verdana" w:hAnsi="Verdana"/>
          <w:sz w:val="20"/>
        </w:rPr>
        <w:t>a</w:t>
      </w:r>
      <w:r w:rsidR="00942AC1" w:rsidRPr="002818E7">
        <w:rPr>
          <w:rFonts w:ascii="Verdana" w:hAnsi="Verdana"/>
          <w:sz w:val="20"/>
        </w:rPr>
        <w:t xml:space="preserve"> </w:t>
      </w:r>
      <w:r w:rsidRPr="002818E7">
        <w:rPr>
          <w:rFonts w:ascii="Verdana" w:hAnsi="Verdana"/>
          <w:sz w:val="20"/>
        </w:rPr>
        <w:t xml:space="preserve">autorizar o corte de madeira em terras privadas ou </w:t>
      </w:r>
      <w:r w:rsidR="00664426">
        <w:rPr>
          <w:rFonts w:ascii="Verdana" w:hAnsi="Verdana"/>
          <w:sz w:val="20"/>
        </w:rPr>
        <w:t>comunitárias</w:t>
      </w:r>
      <w:r w:rsidR="00664426" w:rsidRPr="002818E7">
        <w:rPr>
          <w:rFonts w:ascii="Verdana" w:hAnsi="Verdana"/>
          <w:sz w:val="20"/>
        </w:rPr>
        <w:t xml:space="preserve"> </w:t>
      </w:r>
      <w:r w:rsidRPr="002818E7">
        <w:rPr>
          <w:rFonts w:ascii="Verdana" w:hAnsi="Verdana"/>
          <w:sz w:val="20"/>
        </w:rPr>
        <w:t xml:space="preserve">sem o consentimento do proprietário; </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n</w:t>
      </w:r>
      <w:r w:rsidR="00C60678" w:rsidRPr="00C60678">
        <w:rPr>
          <w:rFonts w:ascii="Verdana" w:hAnsi="Verdana"/>
          <w:sz w:val="20"/>
        </w:rPr>
        <w:t>)</w:t>
      </w:r>
      <w:proofErr w:type="gramEnd"/>
      <w:r w:rsidRPr="002818E7">
        <w:rPr>
          <w:rFonts w:ascii="Verdana" w:hAnsi="Verdana"/>
          <w:sz w:val="20"/>
        </w:rPr>
        <w:tab/>
        <w:t>o Estado deve adotar medidas adequadas para demarcar a propriedade da Comunidade e garantir plenamente os direitos desta sobre suas terras e recursos;</w:t>
      </w:r>
      <w:r w:rsidR="00850A3F">
        <w:rPr>
          <w:rFonts w:ascii="Verdana" w:hAnsi="Verdana"/>
          <w:sz w:val="20"/>
        </w:rPr>
        <w:t xml:space="preserve"> </w:t>
      </w:r>
    </w:p>
    <w:p w:rsidR="00C336FB" w:rsidRPr="002818E7" w:rsidRDefault="00C336FB" w:rsidP="00C336FB">
      <w:pPr>
        <w:ind w:left="720"/>
        <w:jc w:val="both"/>
        <w:rPr>
          <w:rFonts w:ascii="Verdana" w:hAnsi="Verdana"/>
          <w:b/>
          <w:sz w:val="20"/>
        </w:rPr>
      </w:pPr>
    </w:p>
    <w:p w:rsidR="00C336FB" w:rsidRPr="002818E7" w:rsidRDefault="00C336FB" w:rsidP="00C336FB">
      <w:pPr>
        <w:ind w:left="720"/>
        <w:jc w:val="both"/>
        <w:rPr>
          <w:rFonts w:ascii="Verdana" w:hAnsi="Verdana"/>
          <w:b/>
          <w:sz w:val="20"/>
        </w:rPr>
      </w:pPr>
      <w:proofErr w:type="gramStart"/>
      <w:r w:rsidRPr="002818E7">
        <w:rPr>
          <w:rFonts w:ascii="Verdana" w:hAnsi="Verdana"/>
          <w:sz w:val="20"/>
        </w:rPr>
        <w:t>ñ</w:t>
      </w:r>
      <w:proofErr w:type="gramEnd"/>
      <w:r w:rsidR="00C60678" w:rsidRPr="00C60678">
        <w:rPr>
          <w:rFonts w:ascii="Verdana" w:hAnsi="Verdana"/>
          <w:sz w:val="20"/>
        </w:rPr>
        <w:t>)</w:t>
      </w:r>
      <w:r w:rsidRPr="002818E7">
        <w:rPr>
          <w:rFonts w:ascii="Verdana" w:hAnsi="Verdana"/>
          <w:sz w:val="20"/>
        </w:rPr>
        <w:tab/>
        <w:t>no presente caso se deve interpretar a Convenção Americana incluindo os princípios sobre os direitos coletivos dos povos indígenas, em aplicação do artigo 29 da Convenção;</w:t>
      </w:r>
      <w:r w:rsidRPr="002818E7">
        <w:rPr>
          <w:rFonts w:ascii="Verdana" w:hAnsi="Verdana"/>
          <w:b/>
          <w:sz w:val="20"/>
        </w:rPr>
        <w:t xml:space="preserve"> </w:t>
      </w:r>
      <w:r w:rsidRPr="002818E7">
        <w:rPr>
          <w:rFonts w:ascii="Verdana" w:hAnsi="Verdana"/>
          <w:sz w:val="20"/>
        </w:rPr>
        <w:t>e</w:t>
      </w:r>
    </w:p>
    <w:p w:rsidR="00C336FB" w:rsidRPr="002818E7" w:rsidRDefault="00C336FB" w:rsidP="00C336FB">
      <w:pPr>
        <w:ind w:left="720"/>
        <w:jc w:val="both"/>
        <w:rPr>
          <w:rFonts w:ascii="Verdana" w:hAnsi="Verdana"/>
          <w:sz w:val="20"/>
        </w:rPr>
      </w:pPr>
    </w:p>
    <w:p w:rsidR="00C336FB" w:rsidRPr="002818E7" w:rsidRDefault="00E72E40" w:rsidP="00C336FB">
      <w:pPr>
        <w:ind w:left="720"/>
        <w:jc w:val="both"/>
        <w:rPr>
          <w:rFonts w:ascii="Verdana" w:hAnsi="Verdana"/>
          <w:b/>
          <w:sz w:val="20"/>
        </w:rPr>
      </w:pPr>
      <w:proofErr w:type="gramStart"/>
      <w:r>
        <w:rPr>
          <w:rFonts w:ascii="Verdana" w:hAnsi="Verdana"/>
          <w:sz w:val="20"/>
        </w:rPr>
        <w:t>o</w:t>
      </w:r>
      <w:proofErr w:type="gramEnd"/>
      <w:r w:rsidR="00C60678" w:rsidRPr="00C60678">
        <w:rPr>
          <w:rFonts w:ascii="Verdana" w:hAnsi="Verdana"/>
          <w:sz w:val="20"/>
        </w:rPr>
        <w:t>)</w:t>
      </w:r>
      <w:r>
        <w:rPr>
          <w:rFonts w:ascii="Verdana" w:hAnsi="Verdana"/>
          <w:sz w:val="20"/>
        </w:rPr>
        <w:tab/>
        <w:t xml:space="preserve">a </w:t>
      </w:r>
      <w:r w:rsidR="009E50CD">
        <w:rPr>
          <w:rFonts w:ascii="Verdana" w:hAnsi="Verdana"/>
          <w:sz w:val="20"/>
        </w:rPr>
        <w:t>outorga da concessão</w:t>
      </w:r>
      <w:r w:rsidR="00C336FB" w:rsidRPr="002818E7">
        <w:rPr>
          <w:rFonts w:ascii="Verdana" w:hAnsi="Verdana"/>
          <w:sz w:val="20"/>
        </w:rPr>
        <w:t xml:space="preserve"> </w:t>
      </w:r>
      <w:r w:rsidR="00C336FB">
        <w:rPr>
          <w:rFonts w:ascii="Verdana" w:hAnsi="Verdana"/>
          <w:sz w:val="20"/>
        </w:rPr>
        <w:t>à</w:t>
      </w:r>
      <w:r w:rsidR="00C336FB" w:rsidRPr="002818E7">
        <w:rPr>
          <w:rFonts w:ascii="Verdana" w:hAnsi="Verdana"/>
          <w:sz w:val="20"/>
        </w:rPr>
        <w:t xml:space="preserve"> SOLCARSA e a omissão do Estado consistente em não tomar medidas que permitam garantir os direitos da Comunidade Awas Tingni sobre a terra e os recursos naturais, de acordo com seus padrões tradicionais de uso e ocupação, violou os artigos 1 e 2 da Convenção.</w:t>
      </w:r>
    </w:p>
    <w:p w:rsidR="00C336FB" w:rsidRPr="002818E7" w:rsidRDefault="00C336FB" w:rsidP="00C336FB">
      <w:pPr>
        <w:jc w:val="both"/>
        <w:rPr>
          <w:rFonts w:ascii="Verdana" w:hAnsi="Verdana"/>
          <w:b/>
          <w:sz w:val="20"/>
        </w:rPr>
      </w:pPr>
    </w:p>
    <w:p w:rsidR="00C336FB" w:rsidRPr="002818E7" w:rsidRDefault="00C336FB" w:rsidP="00C336FB">
      <w:pPr>
        <w:jc w:val="both"/>
        <w:rPr>
          <w:rFonts w:ascii="Verdana" w:hAnsi="Verdana"/>
          <w:i/>
          <w:sz w:val="20"/>
        </w:rPr>
      </w:pPr>
      <w:r w:rsidRPr="002818E7">
        <w:rPr>
          <w:rFonts w:ascii="Verdana" w:hAnsi="Verdana"/>
          <w:i/>
          <w:sz w:val="20"/>
        </w:rPr>
        <w:t>Alegações do Estado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lastRenderedPageBreak/>
        <w:t>141.</w:t>
      </w:r>
      <w:r w:rsidRPr="002818E7">
        <w:rPr>
          <w:rFonts w:ascii="Verdana" w:hAnsi="Verdana"/>
          <w:sz w:val="20"/>
        </w:rPr>
        <w:tab/>
        <w:t>Quanto ao artigo 21 da Convenção, o Estado alegou que:</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a</w:t>
      </w:r>
      <w:proofErr w:type="gramEnd"/>
      <w:r w:rsidR="00C60678" w:rsidRPr="00C60678">
        <w:rPr>
          <w:rFonts w:ascii="Verdana" w:hAnsi="Verdana"/>
          <w:sz w:val="20"/>
        </w:rPr>
        <w:t>)</w:t>
      </w:r>
      <w:r w:rsidRPr="002818E7">
        <w:rPr>
          <w:rFonts w:ascii="Verdana" w:hAnsi="Verdana"/>
          <w:sz w:val="20"/>
        </w:rPr>
        <w:tab/>
        <w:t>existem “circunstâncias particul</w:t>
      </w:r>
      <w:r w:rsidR="00942AC1">
        <w:rPr>
          <w:rFonts w:ascii="Verdana" w:hAnsi="Verdana"/>
          <w:sz w:val="20"/>
        </w:rPr>
        <w:t>ares</w:t>
      </w:r>
      <w:r w:rsidRPr="002818E7">
        <w:rPr>
          <w:rFonts w:ascii="Verdana" w:hAnsi="Verdana"/>
          <w:sz w:val="20"/>
        </w:rPr>
        <w:t xml:space="preserve"> que situam </w:t>
      </w:r>
      <w:r>
        <w:rPr>
          <w:rFonts w:ascii="Verdana" w:hAnsi="Verdana"/>
          <w:sz w:val="20"/>
        </w:rPr>
        <w:t>a</w:t>
      </w:r>
      <w:r w:rsidRPr="002818E7">
        <w:rPr>
          <w:rFonts w:ascii="Verdana" w:hAnsi="Verdana"/>
          <w:sz w:val="20"/>
        </w:rPr>
        <w:t xml:space="preserve"> presente </w:t>
      </w:r>
      <w:r>
        <w:rPr>
          <w:rFonts w:ascii="Verdana" w:hAnsi="Verdana"/>
          <w:sz w:val="20"/>
        </w:rPr>
        <w:t>reivindicação</w:t>
      </w:r>
      <w:r w:rsidRPr="002818E7">
        <w:rPr>
          <w:rFonts w:ascii="Verdana" w:hAnsi="Verdana"/>
          <w:sz w:val="20"/>
        </w:rPr>
        <w:t xml:space="preserve"> fora do âmbito ordinário do direito indigenista”. A Comunidade é um grupo reduzido de indígenas resultante de uma segregação comunal e de deslocamentos geográficos sucessivos; sua presença na região não </w:t>
      </w:r>
      <w:r w:rsidR="00942AC1">
        <w:rPr>
          <w:rFonts w:ascii="Verdana" w:hAnsi="Verdana"/>
          <w:sz w:val="20"/>
        </w:rPr>
        <w:t xml:space="preserve">foi </w:t>
      </w:r>
      <w:r w:rsidRPr="002818E7">
        <w:rPr>
          <w:rFonts w:ascii="Verdana" w:hAnsi="Verdana"/>
          <w:sz w:val="20"/>
        </w:rPr>
        <w:t xml:space="preserve">suficientemente documentada; encontra-se em posse de terras que não têm caráter ancestral e que têm sido tituladas parcialmente a terceiras comunidades indígenas, </w:t>
      </w:r>
      <w:r w:rsidR="00C6474D">
        <w:rPr>
          <w:rFonts w:ascii="Verdana" w:hAnsi="Verdana"/>
          <w:sz w:val="20"/>
        </w:rPr>
        <w:t>bem como</w:t>
      </w:r>
      <w:r w:rsidRPr="002818E7">
        <w:rPr>
          <w:rFonts w:ascii="Verdana" w:hAnsi="Verdana"/>
          <w:sz w:val="20"/>
        </w:rPr>
        <w:t xml:space="preserve"> outras comunidades afirmam ter um direito de posse ancestral anterior ao direito alegado p</w:t>
      </w:r>
      <w:r>
        <w:rPr>
          <w:rFonts w:ascii="Verdana" w:hAnsi="Verdana"/>
          <w:sz w:val="20"/>
        </w:rPr>
        <w:t>ela Awas Tingni. As reivindicações</w:t>
      </w:r>
      <w:r w:rsidRPr="002818E7">
        <w:rPr>
          <w:rFonts w:ascii="Verdana" w:hAnsi="Verdana"/>
          <w:sz w:val="20"/>
        </w:rPr>
        <w:t xml:space="preserve"> de terras de diferentes grupos étnicos </w:t>
      </w:r>
      <w:r w:rsidR="00D75C8E">
        <w:rPr>
          <w:rFonts w:ascii="Verdana" w:hAnsi="Verdana"/>
          <w:sz w:val="20"/>
        </w:rPr>
        <w:t xml:space="preserve">causaram </w:t>
      </w:r>
      <w:r w:rsidRPr="002818E7">
        <w:rPr>
          <w:rFonts w:ascii="Verdana" w:hAnsi="Verdana"/>
          <w:sz w:val="20"/>
        </w:rPr>
        <w:t>a existência de um complexo conflito de interesses, que requer um cuidadoso exame por parte das autoridades nacionais e um delicado processo de solução desses conflitos que gere segurança jurídica.</w:t>
      </w:r>
      <w:r w:rsidRPr="002818E7">
        <w:rPr>
          <w:rFonts w:ascii="Verdana" w:hAnsi="Verdana"/>
          <w:b/>
          <w:i/>
          <w:sz w:val="20"/>
        </w:rPr>
        <w:t xml:space="preserve"> </w:t>
      </w:r>
      <w:r w:rsidRPr="002818E7">
        <w:rPr>
          <w:rFonts w:ascii="Verdana" w:hAnsi="Verdana"/>
          <w:sz w:val="20"/>
        </w:rPr>
        <w:t xml:space="preserve">A Comunidade admitiu que dentro de sua população </w:t>
      </w:r>
      <w:proofErr w:type="gramStart"/>
      <w:r w:rsidRPr="002818E7">
        <w:rPr>
          <w:rFonts w:ascii="Verdana" w:hAnsi="Verdana"/>
          <w:sz w:val="20"/>
        </w:rPr>
        <w:t>estão</w:t>
      </w:r>
      <w:proofErr w:type="gramEnd"/>
      <w:r w:rsidRPr="002818E7">
        <w:rPr>
          <w:rFonts w:ascii="Verdana" w:hAnsi="Verdana"/>
          <w:sz w:val="20"/>
        </w:rPr>
        <w:t xml:space="preserve"> pessoas procedentes da comunidade indígena de Tilba-Lupia, a qual foi titulada pelo Estado; </w:t>
      </w:r>
    </w:p>
    <w:p w:rsidR="00C336FB" w:rsidRPr="002818E7" w:rsidRDefault="00C336FB" w:rsidP="00C336FB">
      <w:pPr>
        <w:ind w:left="720"/>
        <w:jc w:val="both"/>
        <w:rPr>
          <w:rFonts w:ascii="Verdana" w:hAnsi="Verdana"/>
          <w:b/>
          <w:i/>
          <w:sz w:val="20"/>
        </w:rPr>
      </w:pPr>
    </w:p>
    <w:p w:rsidR="00C336FB" w:rsidRDefault="00C336FB" w:rsidP="00C336FB">
      <w:pPr>
        <w:ind w:left="720"/>
        <w:jc w:val="both"/>
        <w:rPr>
          <w:rFonts w:ascii="Verdana" w:hAnsi="Verdana"/>
          <w:sz w:val="20"/>
        </w:rPr>
      </w:pPr>
      <w:proofErr w:type="gramStart"/>
      <w:r w:rsidRPr="002818E7">
        <w:rPr>
          <w:rFonts w:ascii="Verdana" w:hAnsi="Verdana"/>
          <w:sz w:val="20"/>
        </w:rPr>
        <w:t>b</w:t>
      </w:r>
      <w:r w:rsidR="00C60678" w:rsidRPr="00C60678">
        <w:rPr>
          <w:rFonts w:ascii="Verdana" w:hAnsi="Verdana"/>
          <w:sz w:val="20"/>
        </w:rPr>
        <w:t>)</w:t>
      </w:r>
      <w:proofErr w:type="gramEnd"/>
      <w:r w:rsidRPr="002818E7">
        <w:rPr>
          <w:rFonts w:ascii="Verdana" w:hAnsi="Verdana"/>
          <w:sz w:val="20"/>
        </w:rPr>
        <w:tab/>
        <w:t>mediante 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2818E7">
        <w:rPr>
          <w:rFonts w:ascii="Verdana" w:hAnsi="Verdana"/>
          <w:sz w:val="20"/>
        </w:rPr>
        <w:t xml:space="preserve">14 conhecida como “Reforma à Lei de Reforma Agrária” foi estabelecido um </w:t>
      </w:r>
      <w:r w:rsidR="00C6474D">
        <w:rPr>
          <w:rFonts w:ascii="Verdana" w:hAnsi="Verdana"/>
          <w:sz w:val="20"/>
        </w:rPr>
        <w:t>marco legal</w:t>
      </w:r>
      <w:r w:rsidRPr="002818E7">
        <w:rPr>
          <w:rFonts w:ascii="Verdana" w:hAnsi="Verdana"/>
          <w:sz w:val="20"/>
        </w:rPr>
        <w:t xml:space="preserve"> para conduzir a titulação da propriedade comunal indígena.</w:t>
      </w:r>
      <w:r>
        <w:rPr>
          <w:rFonts w:ascii="Verdana" w:hAnsi="Verdana"/>
          <w:sz w:val="20"/>
        </w:rPr>
        <w:t xml:space="preserve"> </w:t>
      </w:r>
      <w:r w:rsidRPr="002818E7">
        <w:rPr>
          <w:rFonts w:ascii="Verdana" w:hAnsi="Verdana"/>
          <w:sz w:val="20"/>
        </w:rPr>
        <w:t xml:space="preserve">Ao amparo desta lei “foram efetuadas </w:t>
      </w:r>
      <w:r w:rsidR="007274D4">
        <w:rPr>
          <w:rFonts w:ascii="Verdana" w:hAnsi="Verdana"/>
          <w:sz w:val="20"/>
        </w:rPr>
        <w:t>várias</w:t>
      </w:r>
      <w:r w:rsidRPr="002818E7">
        <w:rPr>
          <w:rFonts w:ascii="Verdana" w:hAnsi="Verdana"/>
          <w:sz w:val="20"/>
        </w:rPr>
        <w:t xml:space="preserve"> titulações de terras comunais</w:t>
      </w:r>
      <w:r>
        <w:rPr>
          <w:rFonts w:ascii="Verdana" w:hAnsi="Verdana"/>
          <w:sz w:val="20"/>
        </w:rPr>
        <w:t xml:space="preserve"> indígenas”. </w:t>
      </w:r>
      <w:r w:rsidRPr="002818E7">
        <w:rPr>
          <w:rFonts w:ascii="Verdana" w:hAnsi="Verdana"/>
          <w:sz w:val="20"/>
        </w:rPr>
        <w:t xml:space="preserve">Entretanto, a Comunidade não </w:t>
      </w:r>
      <w:r>
        <w:rPr>
          <w:rFonts w:ascii="Verdana" w:hAnsi="Verdana"/>
          <w:sz w:val="20"/>
        </w:rPr>
        <w:t>dirigiu</w:t>
      </w:r>
      <w:r w:rsidRPr="002818E7">
        <w:rPr>
          <w:rFonts w:ascii="Verdana" w:hAnsi="Verdana"/>
          <w:sz w:val="20"/>
        </w:rPr>
        <w:t xml:space="preserve"> nenhuma petição de demarcação e titulação às autoridades governamentais competentes;</w:t>
      </w:r>
    </w:p>
    <w:p w:rsidR="00C336FB" w:rsidRPr="002818E7" w:rsidRDefault="00C336FB" w:rsidP="00C336FB">
      <w:pPr>
        <w:ind w:left="720"/>
        <w:jc w:val="both"/>
        <w:rPr>
          <w:rFonts w:ascii="Verdana" w:hAnsi="Verdana"/>
          <w:b/>
          <w:i/>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c</w:t>
      </w:r>
      <w:r w:rsidR="00C60678" w:rsidRPr="00C60678">
        <w:rPr>
          <w:rFonts w:ascii="Verdana" w:hAnsi="Verdana"/>
          <w:sz w:val="20"/>
        </w:rPr>
        <w:t>)</w:t>
      </w:r>
      <w:proofErr w:type="gramEnd"/>
      <w:r w:rsidRPr="002818E7">
        <w:rPr>
          <w:rFonts w:ascii="Verdana" w:hAnsi="Verdana"/>
          <w:sz w:val="20"/>
        </w:rPr>
        <w:tab/>
        <w:t xml:space="preserve">a Comunidade reconheceu em diferentes oportunidades </w:t>
      </w:r>
      <w:r w:rsidR="00942AC1">
        <w:rPr>
          <w:rFonts w:ascii="Verdana" w:hAnsi="Verdana"/>
          <w:sz w:val="20"/>
        </w:rPr>
        <w:t>ter</w:t>
      </w:r>
      <w:r w:rsidR="00942AC1" w:rsidRPr="002818E7">
        <w:rPr>
          <w:rFonts w:ascii="Verdana" w:hAnsi="Verdana"/>
          <w:sz w:val="20"/>
        </w:rPr>
        <w:t xml:space="preserve"> </w:t>
      </w:r>
      <w:r w:rsidRPr="002818E7">
        <w:rPr>
          <w:rFonts w:ascii="Verdana" w:hAnsi="Verdana"/>
          <w:sz w:val="20"/>
        </w:rPr>
        <w:t xml:space="preserve">sido titulada e o </w:t>
      </w:r>
      <w:r w:rsidR="008C4EF5">
        <w:rPr>
          <w:rFonts w:ascii="Verdana" w:hAnsi="Verdana"/>
          <w:sz w:val="20"/>
        </w:rPr>
        <w:t>afirmou</w:t>
      </w:r>
      <w:r w:rsidRPr="002818E7">
        <w:rPr>
          <w:rFonts w:ascii="Verdana" w:hAnsi="Verdana"/>
          <w:sz w:val="20"/>
        </w:rPr>
        <w:t xml:space="preserve"> expressamente no contrato que realizou com a empresa MADENSA; </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d</w:t>
      </w:r>
      <w:r w:rsidR="00C60678" w:rsidRPr="00C60678">
        <w:rPr>
          <w:rFonts w:ascii="Verdana" w:hAnsi="Verdana"/>
          <w:sz w:val="20"/>
        </w:rPr>
        <w:t>)</w:t>
      </w:r>
      <w:proofErr w:type="gramEnd"/>
      <w:r w:rsidRPr="002818E7">
        <w:rPr>
          <w:rFonts w:ascii="Verdana" w:hAnsi="Verdana"/>
          <w:sz w:val="20"/>
        </w:rPr>
        <w:tab/>
        <w:t xml:space="preserve">a Comissão não conseguiu provar a presença de Awas Tingni nas terras reclamadas com anterioridade ao ano de 1945; a mesma Comunidade reconheceu que a posse das terras que reclama </w:t>
      </w:r>
      <w:r>
        <w:rPr>
          <w:rFonts w:ascii="Verdana" w:hAnsi="Verdana"/>
          <w:sz w:val="20"/>
        </w:rPr>
        <w:t xml:space="preserve">se </w:t>
      </w:r>
      <w:r w:rsidRPr="002818E7">
        <w:rPr>
          <w:rFonts w:ascii="Verdana" w:hAnsi="Verdana"/>
          <w:sz w:val="20"/>
        </w:rPr>
        <w:t>remonta a</w:t>
      </w:r>
      <w:r w:rsidR="00942AC1">
        <w:rPr>
          <w:rFonts w:ascii="Verdana" w:hAnsi="Verdana"/>
          <w:sz w:val="20"/>
        </w:rPr>
        <w:t>o</w:t>
      </w:r>
      <w:r w:rsidRPr="002818E7">
        <w:rPr>
          <w:rFonts w:ascii="Verdana" w:hAnsi="Verdana"/>
          <w:sz w:val="20"/>
        </w:rPr>
        <w:t xml:space="preserve"> referido ano.</w:t>
      </w:r>
      <w:r w:rsidR="00850A3F">
        <w:rPr>
          <w:rFonts w:ascii="Verdana" w:hAnsi="Verdana"/>
          <w:sz w:val="20"/>
        </w:rPr>
        <w:t xml:space="preserve"> </w:t>
      </w:r>
      <w:r w:rsidRPr="002818E7">
        <w:rPr>
          <w:rFonts w:ascii="Verdana" w:hAnsi="Verdana"/>
          <w:sz w:val="20"/>
        </w:rPr>
        <w:t xml:space="preserve">O Estado considera que se trata de um grupo que se desprendeu de uma comunidade indígena “mãe”, mas que reclama para si uma titulação separada e independente sobre terras que não </w:t>
      </w:r>
      <w:r>
        <w:rPr>
          <w:rFonts w:ascii="Verdana" w:hAnsi="Verdana"/>
          <w:sz w:val="20"/>
        </w:rPr>
        <w:t>possuiu</w:t>
      </w:r>
      <w:r w:rsidRPr="002818E7">
        <w:rPr>
          <w:rFonts w:ascii="Verdana" w:hAnsi="Verdana"/>
          <w:sz w:val="20"/>
        </w:rPr>
        <w:t xml:space="preserve"> de forma ancestral;</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e</w:t>
      </w:r>
      <w:proofErr w:type="gramEnd"/>
      <w:r w:rsidR="00C60678" w:rsidRPr="00C60678">
        <w:rPr>
          <w:rFonts w:ascii="Verdana" w:hAnsi="Verdana"/>
          <w:sz w:val="20"/>
        </w:rPr>
        <w:t>)</w:t>
      </w:r>
      <w:r w:rsidRPr="002818E7">
        <w:rPr>
          <w:rFonts w:ascii="Verdana" w:hAnsi="Verdana"/>
          <w:sz w:val="20"/>
        </w:rPr>
        <w:tab/>
        <w:t>neste caso</w:t>
      </w:r>
      <w:r w:rsidR="00D2184A">
        <w:rPr>
          <w:rFonts w:ascii="Verdana" w:hAnsi="Verdana"/>
          <w:sz w:val="20"/>
        </w:rPr>
        <w:t>,</w:t>
      </w:r>
      <w:r w:rsidRPr="002818E7">
        <w:rPr>
          <w:rFonts w:ascii="Verdana" w:hAnsi="Verdana"/>
          <w:sz w:val="20"/>
        </w:rPr>
        <w:t xml:space="preserve"> não opera a prescrição aquisitiva já que a Comunidade Mayagna exerceu uma posse “precária”;</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f</w:t>
      </w:r>
      <w:r w:rsidR="00C60678" w:rsidRPr="00C60678">
        <w:rPr>
          <w:rFonts w:ascii="Verdana" w:hAnsi="Verdana"/>
          <w:sz w:val="20"/>
        </w:rPr>
        <w:t>)</w:t>
      </w:r>
      <w:proofErr w:type="gramEnd"/>
      <w:r w:rsidRPr="002818E7">
        <w:rPr>
          <w:rFonts w:ascii="Verdana" w:hAnsi="Verdana"/>
          <w:sz w:val="20"/>
        </w:rPr>
        <w:tab/>
        <w:t>o processo de titulação indígena das comunidades da Costa Atlântica está caracterizado por ser complexo, em razão das seguintes circunstâncias: a</w:t>
      </w:r>
      <w:r w:rsidR="00C60678" w:rsidRPr="00C60678">
        <w:rPr>
          <w:rFonts w:ascii="Verdana" w:hAnsi="Verdana"/>
          <w:sz w:val="20"/>
        </w:rPr>
        <w:t>)</w:t>
      </w:r>
      <w:r w:rsidRPr="002818E7">
        <w:rPr>
          <w:rFonts w:ascii="Verdana" w:hAnsi="Verdana"/>
          <w:sz w:val="20"/>
        </w:rPr>
        <w:t xml:space="preserve"> o fenômeno de proliferação das comunidades indígenas, como consequência d</w:t>
      </w:r>
      <w:r w:rsidR="00942AC1">
        <w:rPr>
          <w:rFonts w:ascii="Verdana" w:hAnsi="Verdana"/>
          <w:sz w:val="20"/>
        </w:rPr>
        <w:t>o</w:t>
      </w:r>
      <w:r w:rsidRPr="002818E7">
        <w:rPr>
          <w:rFonts w:ascii="Verdana" w:hAnsi="Verdana"/>
          <w:sz w:val="20"/>
        </w:rPr>
        <w:t xml:space="preserve"> </w:t>
      </w:r>
      <w:r w:rsidR="00942AC1">
        <w:rPr>
          <w:rFonts w:ascii="Verdana" w:hAnsi="Verdana"/>
          <w:sz w:val="20"/>
        </w:rPr>
        <w:t xml:space="preserve">desmembramento </w:t>
      </w:r>
      <w:r w:rsidRPr="002818E7">
        <w:rPr>
          <w:rFonts w:ascii="Verdana" w:hAnsi="Verdana"/>
          <w:sz w:val="20"/>
        </w:rPr>
        <w:t xml:space="preserve">de </w:t>
      </w:r>
      <w:r w:rsidR="00942AC1">
        <w:rPr>
          <w:rFonts w:ascii="Verdana" w:hAnsi="Verdana"/>
          <w:sz w:val="20"/>
        </w:rPr>
        <w:t xml:space="preserve">seus </w:t>
      </w:r>
      <w:r w:rsidRPr="002818E7">
        <w:rPr>
          <w:rFonts w:ascii="Verdana" w:hAnsi="Verdana"/>
          <w:sz w:val="20"/>
        </w:rPr>
        <w:t>grupos; b</w:t>
      </w:r>
      <w:r w:rsidR="00C60678" w:rsidRPr="00C60678">
        <w:rPr>
          <w:rFonts w:ascii="Verdana" w:hAnsi="Verdana"/>
          <w:sz w:val="20"/>
        </w:rPr>
        <w:t>)</w:t>
      </w:r>
      <w:r w:rsidRPr="002818E7">
        <w:rPr>
          <w:rFonts w:ascii="Verdana" w:hAnsi="Verdana"/>
          <w:sz w:val="20"/>
        </w:rPr>
        <w:t xml:space="preserve"> o fen</w:t>
      </w:r>
      <w:r>
        <w:rPr>
          <w:rFonts w:ascii="Verdana" w:hAnsi="Verdana"/>
          <w:sz w:val="20"/>
        </w:rPr>
        <w:t>ô</w:t>
      </w:r>
      <w:r w:rsidRPr="002818E7">
        <w:rPr>
          <w:rFonts w:ascii="Verdana" w:hAnsi="Verdana"/>
          <w:sz w:val="20"/>
        </w:rPr>
        <w:t>meno de agrupa</w:t>
      </w:r>
      <w:r w:rsidR="00942AC1">
        <w:rPr>
          <w:rFonts w:ascii="Verdana" w:hAnsi="Verdana"/>
          <w:sz w:val="20"/>
        </w:rPr>
        <w:t>mento</w:t>
      </w:r>
      <w:r w:rsidRPr="002818E7">
        <w:rPr>
          <w:rFonts w:ascii="Verdana" w:hAnsi="Verdana"/>
          <w:sz w:val="20"/>
        </w:rPr>
        <w:t xml:space="preserve"> e reagrupa</w:t>
      </w:r>
      <w:r w:rsidR="00942AC1">
        <w:rPr>
          <w:rFonts w:ascii="Verdana" w:hAnsi="Verdana"/>
          <w:sz w:val="20"/>
        </w:rPr>
        <w:t>mento</w:t>
      </w:r>
      <w:r w:rsidRPr="002818E7">
        <w:rPr>
          <w:rFonts w:ascii="Verdana" w:hAnsi="Verdana"/>
          <w:sz w:val="20"/>
        </w:rPr>
        <w:t xml:space="preserve"> de comunidades indígenas tituladas e não tituladas; c</w:t>
      </w:r>
      <w:r w:rsidR="00C60678" w:rsidRPr="00C60678">
        <w:rPr>
          <w:rFonts w:ascii="Verdana" w:hAnsi="Verdana"/>
          <w:sz w:val="20"/>
        </w:rPr>
        <w:t>)</w:t>
      </w:r>
      <w:r w:rsidRPr="002818E7">
        <w:rPr>
          <w:rFonts w:ascii="Verdana" w:hAnsi="Verdana"/>
          <w:sz w:val="20"/>
        </w:rPr>
        <w:t xml:space="preserve"> o fen</w:t>
      </w:r>
      <w:r>
        <w:rPr>
          <w:rFonts w:ascii="Verdana" w:hAnsi="Verdana"/>
          <w:sz w:val="20"/>
        </w:rPr>
        <w:t>ô</w:t>
      </w:r>
      <w:r w:rsidRPr="002818E7">
        <w:rPr>
          <w:rFonts w:ascii="Verdana" w:hAnsi="Verdana"/>
          <w:sz w:val="20"/>
        </w:rPr>
        <w:t>meno do deslocamento das comunidades indígenas para ocupar terras que não são ancestrais; d</w:t>
      </w:r>
      <w:r w:rsidR="00C60678" w:rsidRPr="00C60678">
        <w:rPr>
          <w:rFonts w:ascii="Verdana" w:hAnsi="Verdana"/>
          <w:sz w:val="20"/>
        </w:rPr>
        <w:t>)</w:t>
      </w:r>
      <w:r w:rsidRPr="002818E7">
        <w:rPr>
          <w:rFonts w:ascii="Verdana" w:hAnsi="Verdana"/>
          <w:sz w:val="20"/>
        </w:rPr>
        <w:t xml:space="preserve"> o fen</w:t>
      </w:r>
      <w:r>
        <w:rPr>
          <w:rFonts w:ascii="Verdana" w:hAnsi="Verdana"/>
          <w:sz w:val="20"/>
        </w:rPr>
        <w:t>ô</w:t>
      </w:r>
      <w:r w:rsidRPr="002818E7">
        <w:rPr>
          <w:rFonts w:ascii="Verdana" w:hAnsi="Verdana"/>
          <w:sz w:val="20"/>
        </w:rPr>
        <w:t>meno de comunidades indígenas tituladas que reclamam terras ancestrais como se nunca houvessem sido tituladas, e e</w:t>
      </w:r>
      <w:r w:rsidR="00C60678" w:rsidRPr="00C60678">
        <w:rPr>
          <w:rFonts w:ascii="Verdana" w:hAnsi="Verdana"/>
          <w:sz w:val="20"/>
        </w:rPr>
        <w:t>)</w:t>
      </w:r>
      <w:r w:rsidRPr="002818E7">
        <w:rPr>
          <w:rFonts w:ascii="Verdana" w:hAnsi="Verdana"/>
          <w:sz w:val="20"/>
        </w:rPr>
        <w:t xml:space="preserve"> grupos humanos que reclamam títulos indígenas sem haver </w:t>
      </w:r>
      <w:r w:rsidR="00942AC1">
        <w:rPr>
          <w:rFonts w:ascii="Verdana" w:hAnsi="Verdana"/>
          <w:sz w:val="20"/>
        </w:rPr>
        <w:t>a</w:t>
      </w:r>
      <w:r>
        <w:rPr>
          <w:rFonts w:ascii="Verdana" w:hAnsi="Verdana"/>
          <w:sz w:val="20"/>
        </w:rPr>
        <w:t xml:space="preserve">creditado </w:t>
      </w:r>
      <w:r w:rsidRPr="002818E7">
        <w:rPr>
          <w:rFonts w:ascii="Verdana" w:hAnsi="Verdana"/>
          <w:sz w:val="20"/>
        </w:rPr>
        <w:t>formalmente sua condição de comunidade indígena conforme a lei;</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g</w:t>
      </w:r>
      <w:r w:rsidR="00C60678" w:rsidRPr="00C60678">
        <w:rPr>
          <w:rFonts w:ascii="Verdana" w:hAnsi="Verdana"/>
          <w:sz w:val="20"/>
        </w:rPr>
        <w:t>)</w:t>
      </w:r>
      <w:proofErr w:type="gramEnd"/>
      <w:r w:rsidRPr="002818E7">
        <w:rPr>
          <w:rFonts w:ascii="Verdana" w:hAnsi="Verdana"/>
          <w:sz w:val="20"/>
        </w:rPr>
        <w:tab/>
        <w:t xml:space="preserve">a extensão superficial das terras reclamadas pela Comunidade não guarda proporção com o número de membros da Comunidade, </w:t>
      </w:r>
      <w:r w:rsidR="00942AC1">
        <w:rPr>
          <w:rFonts w:ascii="Verdana" w:hAnsi="Verdana"/>
          <w:sz w:val="20"/>
        </w:rPr>
        <w:t xml:space="preserve">de modo que </w:t>
      </w:r>
      <w:r w:rsidRPr="002818E7">
        <w:rPr>
          <w:rFonts w:ascii="Verdana" w:hAnsi="Verdana"/>
          <w:sz w:val="20"/>
        </w:rPr>
        <w:t xml:space="preserve">a esta não lhe assiste o direito nos termos </w:t>
      </w:r>
      <w:r>
        <w:rPr>
          <w:rFonts w:ascii="Verdana" w:hAnsi="Verdana"/>
          <w:sz w:val="20"/>
        </w:rPr>
        <w:t>apresentados</w:t>
      </w:r>
      <w:r w:rsidRPr="002818E7">
        <w:rPr>
          <w:rFonts w:ascii="Verdana" w:hAnsi="Verdana"/>
          <w:sz w:val="20"/>
        </w:rPr>
        <w:t xml:space="preserve"> em </w:t>
      </w:r>
      <w:r>
        <w:rPr>
          <w:rFonts w:ascii="Verdana" w:hAnsi="Verdana"/>
          <w:sz w:val="20"/>
        </w:rPr>
        <w:t xml:space="preserve">sua </w:t>
      </w:r>
      <w:r>
        <w:rPr>
          <w:rFonts w:ascii="Verdana" w:hAnsi="Verdana"/>
          <w:sz w:val="20"/>
        </w:rPr>
        <w:lastRenderedPageBreak/>
        <w:t>reivindicação</w:t>
      </w:r>
      <w:r w:rsidRPr="002818E7">
        <w:rPr>
          <w:rFonts w:ascii="Verdana" w:hAnsi="Verdana"/>
          <w:sz w:val="20"/>
        </w:rPr>
        <w:t>.</w:t>
      </w:r>
      <w:r>
        <w:rPr>
          <w:rFonts w:ascii="Verdana" w:hAnsi="Verdana"/>
          <w:sz w:val="20"/>
        </w:rPr>
        <w:t xml:space="preserve"> </w:t>
      </w:r>
      <w:r w:rsidRPr="002818E7">
        <w:rPr>
          <w:rFonts w:ascii="Verdana" w:hAnsi="Verdana"/>
          <w:sz w:val="20"/>
        </w:rPr>
        <w:t xml:space="preserve">A Comunidade Mayagna diz estar formada por aproximadamente 600 pessoas e irracionalmente pretende </w:t>
      </w:r>
      <w:r>
        <w:rPr>
          <w:rFonts w:ascii="Verdana" w:hAnsi="Verdana"/>
          <w:sz w:val="20"/>
        </w:rPr>
        <w:t xml:space="preserve">a concessão </w:t>
      </w:r>
      <w:r w:rsidRPr="002818E7">
        <w:rPr>
          <w:rFonts w:ascii="Verdana" w:hAnsi="Verdana"/>
          <w:sz w:val="20"/>
        </w:rPr>
        <w:t xml:space="preserve">de uma extensão de aproximadamente 150.000 hectares, pretensão que excede as necessidades de subsistência de seus membros. A biodiversidade da zona não justifica os grandes deslocamentos para a caça e a pesca que parece ser um argumento que está utilizando a Comunidade para aumentar a superfície que está reclamando. </w:t>
      </w:r>
      <w:r w:rsidR="007274D4">
        <w:rPr>
          <w:rFonts w:ascii="Verdana" w:hAnsi="Verdana"/>
          <w:sz w:val="20"/>
        </w:rPr>
        <w:t>Além disso</w:t>
      </w:r>
      <w:r w:rsidRPr="002818E7">
        <w:rPr>
          <w:rFonts w:ascii="Verdana" w:hAnsi="Verdana"/>
          <w:sz w:val="20"/>
        </w:rPr>
        <w:t>, um censo de 1995 indica que o número de membros da Comunidade é de 576 pessoas, das quais somente 43% são mayagnas;</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sz w:val="20"/>
        </w:rPr>
      </w:pPr>
      <w:proofErr w:type="gramStart"/>
      <w:r w:rsidRPr="002818E7">
        <w:rPr>
          <w:rFonts w:ascii="Verdana" w:hAnsi="Verdana"/>
          <w:sz w:val="20"/>
        </w:rPr>
        <w:t>h</w:t>
      </w:r>
      <w:r w:rsidR="00C60678" w:rsidRPr="00C60678">
        <w:rPr>
          <w:rFonts w:ascii="Verdana" w:hAnsi="Verdana"/>
          <w:sz w:val="20"/>
        </w:rPr>
        <w:t>)</w:t>
      </w:r>
      <w:proofErr w:type="gramEnd"/>
      <w:r w:rsidRPr="002818E7">
        <w:rPr>
          <w:rFonts w:ascii="Verdana" w:hAnsi="Verdana"/>
          <w:sz w:val="20"/>
        </w:rPr>
        <w:tab/>
        <w:t>mediante as petições que a Comunidade Awas Tingni apresentou a autoridades incompetentes foi aumentando a superfície reclamada, o qu</w:t>
      </w:r>
      <w:r w:rsidR="00942AC1">
        <w:rPr>
          <w:rFonts w:ascii="Verdana" w:hAnsi="Verdana"/>
          <w:sz w:val="20"/>
        </w:rPr>
        <w:t>e</w:t>
      </w:r>
      <w:r w:rsidRPr="002818E7">
        <w:rPr>
          <w:rFonts w:ascii="Verdana" w:hAnsi="Verdana"/>
          <w:sz w:val="20"/>
        </w:rPr>
        <w:t xml:space="preserve"> evidenciou a má fé de suas atuações e obstaculizou que </w:t>
      </w:r>
      <w:r>
        <w:rPr>
          <w:rFonts w:ascii="Verdana" w:hAnsi="Verdana"/>
          <w:sz w:val="20"/>
        </w:rPr>
        <w:t>fosse alcançada</w:t>
      </w:r>
      <w:r w:rsidRPr="002818E7">
        <w:rPr>
          <w:rFonts w:ascii="Verdana" w:hAnsi="Verdana"/>
          <w:sz w:val="20"/>
        </w:rPr>
        <w:t xml:space="preserve"> </w:t>
      </w:r>
      <w:r w:rsidRPr="005535D0">
        <w:rPr>
          <w:rFonts w:ascii="Verdana" w:hAnsi="Verdana"/>
          <w:sz w:val="20"/>
        </w:rPr>
        <w:t>“u</w:t>
      </w:r>
      <w:r>
        <w:rPr>
          <w:rFonts w:ascii="Verdana" w:hAnsi="Verdana"/>
          <w:sz w:val="20"/>
        </w:rPr>
        <w:t>ma solução expressa</w:t>
      </w:r>
      <w:r w:rsidR="005535D0">
        <w:rPr>
          <w:rFonts w:ascii="Verdana" w:hAnsi="Verdana"/>
          <w:sz w:val="20"/>
        </w:rPr>
        <w:t>"</w:t>
      </w:r>
      <w:r w:rsidRPr="002818E7">
        <w:rPr>
          <w:rFonts w:ascii="Verdana" w:hAnsi="Verdana"/>
          <w:sz w:val="20"/>
        </w:rPr>
        <w:t>;</w:t>
      </w:r>
      <w:r w:rsidRPr="002818E7">
        <w:rPr>
          <w:rFonts w:ascii="Verdana" w:hAnsi="Verdana"/>
          <w:b/>
          <w:sz w:val="20"/>
        </w:rPr>
        <w:t xml:space="preserve"> </w:t>
      </w:r>
    </w:p>
    <w:p w:rsidR="00C336FB" w:rsidRPr="002818E7" w:rsidRDefault="00C336FB" w:rsidP="00C336FB">
      <w:pPr>
        <w:ind w:left="720"/>
        <w:jc w:val="both"/>
        <w:rPr>
          <w:rFonts w:ascii="Verdana" w:hAnsi="Verdana"/>
          <w:sz w:val="20"/>
        </w:rPr>
      </w:pPr>
    </w:p>
    <w:p w:rsidR="00C336FB" w:rsidRPr="002818E7" w:rsidRDefault="00C336FB" w:rsidP="00C4409E">
      <w:pPr>
        <w:ind w:left="720"/>
        <w:jc w:val="both"/>
        <w:rPr>
          <w:rFonts w:ascii="Verdana" w:hAnsi="Verdana"/>
          <w:b/>
          <w:i/>
          <w:sz w:val="20"/>
        </w:rPr>
      </w:pPr>
      <w:proofErr w:type="gramStart"/>
      <w:r w:rsidRPr="002818E7">
        <w:rPr>
          <w:rFonts w:ascii="Verdana" w:hAnsi="Verdana"/>
          <w:sz w:val="20"/>
        </w:rPr>
        <w:t>i</w:t>
      </w:r>
      <w:r w:rsidR="00C60678" w:rsidRPr="00C60678">
        <w:rPr>
          <w:rFonts w:ascii="Verdana" w:hAnsi="Verdana"/>
          <w:sz w:val="20"/>
        </w:rPr>
        <w:t>)</w:t>
      </w:r>
      <w:proofErr w:type="gramEnd"/>
      <w:r w:rsidRPr="002818E7">
        <w:rPr>
          <w:rFonts w:ascii="Verdana" w:hAnsi="Verdana"/>
          <w:sz w:val="20"/>
        </w:rPr>
        <w:tab/>
        <w:t xml:space="preserve">a concessão florestal </w:t>
      </w:r>
      <w:r w:rsidR="00942AC1">
        <w:rPr>
          <w:rFonts w:ascii="Verdana" w:hAnsi="Verdana"/>
          <w:sz w:val="20"/>
        </w:rPr>
        <w:t>outorgada</w:t>
      </w:r>
      <w:r w:rsidR="00942AC1" w:rsidRPr="002818E7">
        <w:rPr>
          <w:rFonts w:ascii="Verdana" w:hAnsi="Verdana"/>
          <w:sz w:val="20"/>
        </w:rPr>
        <w:t xml:space="preserve"> </w:t>
      </w:r>
      <w:r w:rsidRPr="002818E7">
        <w:rPr>
          <w:rFonts w:ascii="Verdana" w:hAnsi="Verdana"/>
          <w:sz w:val="20"/>
        </w:rPr>
        <w:t xml:space="preserve">à companhia SOLCARSA foi limitada a áreas consideradas como terras nacionais. Desde que </w:t>
      </w:r>
      <w:r>
        <w:rPr>
          <w:rFonts w:ascii="Verdana" w:hAnsi="Verdana"/>
          <w:sz w:val="20"/>
        </w:rPr>
        <w:t>foi iniciado</w:t>
      </w:r>
      <w:r w:rsidRPr="002818E7">
        <w:rPr>
          <w:rFonts w:ascii="Verdana" w:hAnsi="Verdana"/>
          <w:sz w:val="20"/>
        </w:rPr>
        <w:t xml:space="preserve"> o processo de titulação na Costa Atlântica</w:t>
      </w:r>
      <w:r>
        <w:rPr>
          <w:rFonts w:ascii="Verdana" w:hAnsi="Verdana"/>
          <w:sz w:val="20"/>
        </w:rPr>
        <w:t>,</w:t>
      </w:r>
      <w:r w:rsidRPr="002818E7">
        <w:rPr>
          <w:rFonts w:ascii="Verdana" w:hAnsi="Verdana"/>
          <w:sz w:val="20"/>
        </w:rPr>
        <w:t xml:space="preserve"> o Estado tem deixado “corredores” ou “zonas de bens nacionais” entre as comunidades indígenas cujas terras já </w:t>
      </w:r>
      <w:r>
        <w:rPr>
          <w:rFonts w:ascii="Verdana" w:hAnsi="Verdana"/>
          <w:sz w:val="20"/>
        </w:rPr>
        <w:t xml:space="preserve">foram tituladas. </w:t>
      </w:r>
      <w:r w:rsidRPr="002818E7">
        <w:rPr>
          <w:rFonts w:ascii="Verdana" w:hAnsi="Verdana"/>
          <w:sz w:val="20"/>
        </w:rPr>
        <w:t xml:space="preserve">As autoridades nacionais do MARENA </w:t>
      </w:r>
      <w:r w:rsidR="00942AC1">
        <w:rPr>
          <w:rFonts w:ascii="Verdana" w:hAnsi="Verdana"/>
          <w:sz w:val="20"/>
        </w:rPr>
        <w:t>outorgaram</w:t>
      </w:r>
      <w:r w:rsidR="00942AC1" w:rsidRPr="002818E7">
        <w:rPr>
          <w:rFonts w:ascii="Verdana" w:hAnsi="Verdana"/>
          <w:sz w:val="20"/>
        </w:rPr>
        <w:t xml:space="preserve"> </w:t>
      </w:r>
      <w:r w:rsidRPr="002818E7">
        <w:rPr>
          <w:rFonts w:ascii="Verdana" w:hAnsi="Verdana"/>
          <w:sz w:val="20"/>
        </w:rPr>
        <w:t xml:space="preserve">uma concessão florestal </w:t>
      </w:r>
      <w:r>
        <w:rPr>
          <w:rFonts w:ascii="Verdana" w:hAnsi="Verdana"/>
          <w:sz w:val="20"/>
        </w:rPr>
        <w:t>em uma</w:t>
      </w:r>
      <w:r w:rsidRPr="002818E7">
        <w:rPr>
          <w:rFonts w:ascii="Verdana" w:hAnsi="Verdana"/>
          <w:sz w:val="20"/>
        </w:rPr>
        <w:t xml:space="preserve"> fração de uma área </w:t>
      </w:r>
      <w:r w:rsidR="00942AC1">
        <w:rPr>
          <w:rFonts w:ascii="Verdana" w:hAnsi="Verdana"/>
          <w:sz w:val="20"/>
        </w:rPr>
        <w:t>considerada</w:t>
      </w:r>
      <w:r w:rsidR="00942AC1" w:rsidRPr="002818E7">
        <w:rPr>
          <w:rFonts w:ascii="Verdana" w:hAnsi="Verdana"/>
          <w:sz w:val="20"/>
        </w:rPr>
        <w:t xml:space="preserve"> </w:t>
      </w:r>
      <w:r w:rsidRPr="002818E7">
        <w:rPr>
          <w:rFonts w:ascii="Verdana" w:hAnsi="Verdana"/>
          <w:sz w:val="20"/>
        </w:rPr>
        <w:t>como “corredor de terras nacionais”, e nenhuma das comunidades a impugnou “por estar</w:t>
      </w:r>
      <w:r>
        <w:rPr>
          <w:rFonts w:ascii="Verdana" w:hAnsi="Verdana"/>
          <w:sz w:val="20"/>
        </w:rPr>
        <w:t>em</w:t>
      </w:r>
      <w:r w:rsidRPr="002818E7">
        <w:rPr>
          <w:rFonts w:ascii="Verdana" w:hAnsi="Verdana"/>
          <w:sz w:val="20"/>
        </w:rPr>
        <w:t xml:space="preserve"> conscientes [de] que a mesma recaía sobre uma fração do corredor de terras nacionais existente entre elas”. Entretanto, a Comunidade Mayagna reclama a totalidade da superfície;</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sz w:val="20"/>
        </w:rPr>
      </w:pPr>
      <w:proofErr w:type="gramStart"/>
      <w:r w:rsidRPr="002818E7">
        <w:rPr>
          <w:rFonts w:ascii="Verdana" w:hAnsi="Verdana"/>
          <w:sz w:val="20"/>
        </w:rPr>
        <w:t>j</w:t>
      </w:r>
      <w:r w:rsidR="00C60678" w:rsidRPr="00C60678">
        <w:rPr>
          <w:rFonts w:ascii="Verdana" w:hAnsi="Verdana"/>
          <w:sz w:val="20"/>
        </w:rPr>
        <w:t>)</w:t>
      </w:r>
      <w:proofErr w:type="gramEnd"/>
      <w:r w:rsidRPr="002818E7">
        <w:rPr>
          <w:rFonts w:ascii="Verdana" w:hAnsi="Verdana"/>
          <w:sz w:val="20"/>
        </w:rPr>
        <w:tab/>
        <w:t xml:space="preserve">a concessão florestal </w:t>
      </w:r>
      <w:r w:rsidR="00942AC1">
        <w:rPr>
          <w:rFonts w:ascii="Verdana" w:hAnsi="Verdana"/>
          <w:sz w:val="20"/>
        </w:rPr>
        <w:t>outorgada</w:t>
      </w:r>
      <w:r w:rsidR="00942AC1" w:rsidRPr="002818E7">
        <w:rPr>
          <w:rFonts w:ascii="Verdana" w:hAnsi="Verdana"/>
          <w:sz w:val="20"/>
        </w:rPr>
        <w:t xml:space="preserve"> </w:t>
      </w:r>
      <w:r w:rsidRPr="002818E7">
        <w:rPr>
          <w:rFonts w:ascii="Verdana" w:hAnsi="Verdana"/>
          <w:sz w:val="20"/>
        </w:rPr>
        <w:t>à empresa SOLCARSA não produziu nenhum dano à Comunidade Mayagna e esta empresa não iniciou atividades de exploração florestal derivadas da concessão;</w:t>
      </w:r>
      <w:r w:rsidR="00850A3F">
        <w:rPr>
          <w:rFonts w:ascii="Verdana" w:hAnsi="Verdana"/>
          <w:sz w:val="20"/>
        </w:rPr>
        <w:t xml:space="preserve"> </w:t>
      </w:r>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i/>
          <w:sz w:val="20"/>
        </w:rPr>
      </w:pPr>
      <w:proofErr w:type="gramStart"/>
      <w:r w:rsidRPr="002818E7">
        <w:rPr>
          <w:rFonts w:ascii="Verdana" w:hAnsi="Verdana"/>
          <w:sz w:val="20"/>
        </w:rPr>
        <w:t>k</w:t>
      </w:r>
      <w:r w:rsidR="00C60678" w:rsidRPr="00C60678">
        <w:rPr>
          <w:rFonts w:ascii="Verdana" w:hAnsi="Verdana"/>
          <w:sz w:val="20"/>
        </w:rPr>
        <w:t>)</w:t>
      </w:r>
      <w:proofErr w:type="gramEnd"/>
      <w:r w:rsidRPr="002818E7">
        <w:rPr>
          <w:rFonts w:ascii="Verdana" w:hAnsi="Verdana"/>
          <w:sz w:val="20"/>
        </w:rPr>
        <w:tab/>
        <w:t xml:space="preserve">o “Acordo de Aproveitamento Florestal” </w:t>
      </w:r>
      <w:r w:rsidR="00942AC1">
        <w:rPr>
          <w:rFonts w:ascii="Verdana" w:hAnsi="Verdana"/>
          <w:sz w:val="20"/>
        </w:rPr>
        <w:t>assinado</w:t>
      </w:r>
      <w:r w:rsidR="00942AC1" w:rsidRPr="002818E7">
        <w:rPr>
          <w:rFonts w:ascii="Verdana" w:hAnsi="Verdana"/>
          <w:sz w:val="20"/>
        </w:rPr>
        <w:t xml:space="preserve"> </w:t>
      </w:r>
      <w:r w:rsidRPr="002818E7">
        <w:rPr>
          <w:rFonts w:ascii="Verdana" w:hAnsi="Verdana"/>
          <w:sz w:val="20"/>
        </w:rPr>
        <w:t xml:space="preserve">pela Comunidade, pela empresa MADENSA e pelas autoridades do MARENA “não constitui um precedente válido que prejulgue a legitimidade </w:t>
      </w:r>
      <w:r>
        <w:rPr>
          <w:rFonts w:ascii="Verdana" w:hAnsi="Verdana"/>
          <w:sz w:val="20"/>
        </w:rPr>
        <w:t>da reivindicação</w:t>
      </w:r>
      <w:r w:rsidRPr="002818E7">
        <w:rPr>
          <w:rFonts w:ascii="Verdana" w:hAnsi="Verdana"/>
          <w:sz w:val="20"/>
        </w:rPr>
        <w:t xml:space="preserve"> de propriedade comunal” da Comunidade Mayagna. As atuações do MARENA –</w:t>
      </w:r>
      <w:r>
        <w:rPr>
          <w:rFonts w:ascii="Verdana" w:hAnsi="Verdana"/>
          <w:sz w:val="20"/>
        </w:rPr>
        <w:t xml:space="preserve"> </w:t>
      </w:r>
      <w:r w:rsidRPr="002818E7">
        <w:rPr>
          <w:rFonts w:ascii="Verdana" w:hAnsi="Verdana"/>
          <w:sz w:val="20"/>
        </w:rPr>
        <w:t>por sua falta de competência na matéria</w:t>
      </w:r>
      <w:r>
        <w:rPr>
          <w:rFonts w:ascii="Verdana" w:hAnsi="Verdana"/>
          <w:sz w:val="20"/>
        </w:rPr>
        <w:t xml:space="preserve"> –</w:t>
      </w:r>
      <w:r w:rsidRPr="002818E7">
        <w:rPr>
          <w:rFonts w:ascii="Verdana" w:hAnsi="Verdana"/>
          <w:sz w:val="20"/>
        </w:rPr>
        <w:t xml:space="preserve"> não podem ser alegadas para pretender um reconhecimento da legitimidade de </w:t>
      </w:r>
      <w:r>
        <w:rPr>
          <w:rFonts w:ascii="Verdana" w:hAnsi="Verdana"/>
          <w:sz w:val="20"/>
        </w:rPr>
        <w:t>reivindicações</w:t>
      </w:r>
      <w:r w:rsidRPr="002818E7">
        <w:rPr>
          <w:rFonts w:ascii="Verdana" w:hAnsi="Verdana"/>
          <w:sz w:val="20"/>
        </w:rPr>
        <w:t xml:space="preserve"> de titulação indígena, em virtude de que o órgão competente para receber e resolver tais </w:t>
      </w:r>
      <w:r>
        <w:rPr>
          <w:rFonts w:ascii="Verdana" w:hAnsi="Verdana"/>
          <w:sz w:val="20"/>
        </w:rPr>
        <w:t>reivindicações</w:t>
      </w:r>
      <w:r w:rsidRPr="002818E7">
        <w:rPr>
          <w:rFonts w:ascii="Verdana" w:hAnsi="Verdana"/>
          <w:sz w:val="20"/>
        </w:rPr>
        <w:t xml:space="preserve"> é o INRA, atualmente dependência do Ministério Agropecuário e Florestal</w:t>
      </w:r>
      <w:r>
        <w:rPr>
          <w:rFonts w:ascii="Verdana" w:hAnsi="Verdana"/>
          <w:sz w:val="20"/>
        </w:rPr>
        <w:t xml:space="preserve"> </w:t>
      </w:r>
      <w:r w:rsidR="00C60678" w:rsidRPr="00C60678">
        <w:rPr>
          <w:rFonts w:ascii="Verdana" w:hAnsi="Verdana"/>
          <w:sz w:val="20"/>
        </w:rPr>
        <w:t>(</w:t>
      </w:r>
      <w:r>
        <w:rPr>
          <w:rFonts w:ascii="Verdana" w:hAnsi="Verdana"/>
          <w:sz w:val="20"/>
        </w:rPr>
        <w:t>MAF</w:t>
      </w:r>
      <w:r w:rsidR="00C60678" w:rsidRPr="00C60678">
        <w:rPr>
          <w:rFonts w:ascii="Verdana" w:hAnsi="Verdana"/>
          <w:sz w:val="20"/>
        </w:rPr>
        <w:t>)</w:t>
      </w:r>
      <w:r>
        <w:rPr>
          <w:rFonts w:ascii="Verdana" w:hAnsi="Verdana"/>
          <w:sz w:val="20"/>
        </w:rPr>
        <w:t xml:space="preserve">. </w:t>
      </w:r>
      <w:r w:rsidRPr="002818E7">
        <w:rPr>
          <w:rFonts w:ascii="Verdana" w:hAnsi="Verdana"/>
          <w:sz w:val="20"/>
        </w:rPr>
        <w:t xml:space="preserve">A mesma Comissão aceita que neste documento “a Nicarágua não reconheceu posse ancestral, [mas que] simplesmente </w:t>
      </w:r>
      <w:r>
        <w:rPr>
          <w:rFonts w:ascii="Verdana" w:hAnsi="Verdana"/>
          <w:sz w:val="20"/>
        </w:rPr>
        <w:t xml:space="preserve">se </w:t>
      </w:r>
      <w:r w:rsidRPr="002818E7">
        <w:rPr>
          <w:rFonts w:ascii="Verdana" w:hAnsi="Verdana"/>
          <w:sz w:val="20"/>
        </w:rPr>
        <w:t>comprometeu a facilitar a titulação de terras ancestrais, o qu</w:t>
      </w:r>
      <w:r w:rsidR="00942AC1">
        <w:rPr>
          <w:rFonts w:ascii="Verdana" w:hAnsi="Verdana"/>
          <w:sz w:val="20"/>
        </w:rPr>
        <w:t>e</w:t>
      </w:r>
      <w:r w:rsidRPr="002818E7">
        <w:rPr>
          <w:rFonts w:ascii="Verdana" w:hAnsi="Verdana"/>
          <w:sz w:val="20"/>
        </w:rPr>
        <w:t xml:space="preserve"> pressup</w:t>
      </w:r>
      <w:r>
        <w:rPr>
          <w:rFonts w:ascii="Verdana" w:hAnsi="Verdana"/>
          <w:sz w:val="20"/>
        </w:rPr>
        <w:t>u</w:t>
      </w:r>
      <w:r w:rsidRPr="002818E7">
        <w:rPr>
          <w:rFonts w:ascii="Verdana" w:hAnsi="Verdana"/>
          <w:sz w:val="20"/>
        </w:rPr>
        <w:t xml:space="preserve">nha a apresentação de </w:t>
      </w:r>
      <w:r>
        <w:rPr>
          <w:rFonts w:ascii="Verdana" w:hAnsi="Verdana"/>
          <w:sz w:val="20"/>
        </w:rPr>
        <w:t xml:space="preserve">uma </w:t>
      </w:r>
      <w:r w:rsidR="005535D0">
        <w:rPr>
          <w:rFonts w:ascii="Verdana" w:hAnsi="Verdana"/>
          <w:sz w:val="20"/>
        </w:rPr>
        <w:t>reivindicação</w:t>
      </w:r>
      <w:r w:rsidRPr="002818E7">
        <w:rPr>
          <w:rFonts w:ascii="Verdana" w:hAnsi="Verdana"/>
          <w:sz w:val="20"/>
        </w:rPr>
        <w:t xml:space="preserve">, </w:t>
      </w:r>
      <w:r w:rsidR="00942AC1">
        <w:rPr>
          <w:rFonts w:ascii="Verdana" w:hAnsi="Verdana"/>
          <w:sz w:val="20"/>
        </w:rPr>
        <w:t xml:space="preserve">no âmbito </w:t>
      </w:r>
      <w:r w:rsidRPr="002818E7">
        <w:rPr>
          <w:rFonts w:ascii="Verdana" w:hAnsi="Verdana"/>
          <w:sz w:val="20"/>
        </w:rPr>
        <w:t>administrativ</w:t>
      </w:r>
      <w:r w:rsidR="00942AC1">
        <w:rPr>
          <w:rFonts w:ascii="Verdana" w:hAnsi="Verdana"/>
          <w:sz w:val="20"/>
        </w:rPr>
        <w:t>o</w:t>
      </w:r>
      <w:r w:rsidRPr="002818E7">
        <w:rPr>
          <w:rFonts w:ascii="Verdana" w:hAnsi="Verdana"/>
          <w:sz w:val="20"/>
        </w:rPr>
        <w:t xml:space="preserve">, </w:t>
      </w:r>
      <w:r w:rsidR="00942AC1">
        <w:rPr>
          <w:rFonts w:ascii="Verdana" w:hAnsi="Verdana"/>
          <w:sz w:val="20"/>
        </w:rPr>
        <w:t xml:space="preserve">no âmbito </w:t>
      </w:r>
      <w:r w:rsidRPr="002818E7">
        <w:rPr>
          <w:rFonts w:ascii="Verdana" w:hAnsi="Verdana"/>
          <w:sz w:val="20"/>
        </w:rPr>
        <w:t xml:space="preserve">jurisdicional, e a demonstração efetiva da ancestralidade”; </w:t>
      </w:r>
      <w:proofErr w:type="gramStart"/>
      <w:r w:rsidRPr="002818E7">
        <w:rPr>
          <w:rFonts w:ascii="Verdana" w:hAnsi="Verdana"/>
          <w:sz w:val="20"/>
        </w:rPr>
        <w:t>e</w:t>
      </w:r>
      <w:proofErr w:type="gramEnd"/>
    </w:p>
    <w:p w:rsidR="00C336FB" w:rsidRPr="002818E7" w:rsidRDefault="00C336FB" w:rsidP="00C336FB">
      <w:pPr>
        <w:ind w:left="720"/>
        <w:jc w:val="both"/>
        <w:rPr>
          <w:rFonts w:ascii="Verdana" w:hAnsi="Verdana"/>
          <w:sz w:val="20"/>
        </w:rPr>
      </w:pPr>
    </w:p>
    <w:p w:rsidR="00C336FB" w:rsidRPr="002818E7" w:rsidRDefault="00C336FB" w:rsidP="00C336FB">
      <w:pPr>
        <w:ind w:left="720"/>
        <w:jc w:val="both"/>
        <w:rPr>
          <w:rFonts w:ascii="Verdana" w:hAnsi="Verdana"/>
          <w:b/>
          <w:sz w:val="20"/>
        </w:rPr>
      </w:pPr>
      <w:proofErr w:type="gramStart"/>
      <w:r w:rsidRPr="002818E7">
        <w:rPr>
          <w:rFonts w:ascii="Verdana" w:hAnsi="Verdana"/>
          <w:sz w:val="20"/>
        </w:rPr>
        <w:t>l</w:t>
      </w:r>
      <w:r w:rsidR="00C60678" w:rsidRPr="00C60678">
        <w:rPr>
          <w:rFonts w:ascii="Verdana" w:hAnsi="Verdana"/>
          <w:sz w:val="20"/>
        </w:rPr>
        <w:t>)</w:t>
      </w:r>
      <w:proofErr w:type="gramEnd"/>
      <w:r w:rsidRPr="002818E7">
        <w:rPr>
          <w:rFonts w:ascii="Verdana" w:hAnsi="Verdana"/>
          <w:sz w:val="20"/>
        </w:rPr>
        <w:tab/>
        <w:t xml:space="preserve">existe um </w:t>
      </w:r>
      <w:r w:rsidR="00C6474D">
        <w:rPr>
          <w:rFonts w:ascii="Verdana" w:hAnsi="Verdana"/>
          <w:sz w:val="20"/>
        </w:rPr>
        <w:t xml:space="preserve">marco </w:t>
      </w:r>
      <w:r w:rsidR="00942AC1">
        <w:rPr>
          <w:rFonts w:ascii="Verdana" w:hAnsi="Verdana"/>
          <w:sz w:val="20"/>
        </w:rPr>
        <w:t xml:space="preserve">jurídico </w:t>
      </w:r>
      <w:r w:rsidRPr="002818E7">
        <w:rPr>
          <w:rFonts w:ascii="Verdana" w:hAnsi="Verdana"/>
          <w:sz w:val="20"/>
        </w:rPr>
        <w:t>e uma autoridade competente para conduzir a titulação das comunidades indígenas.</w:t>
      </w:r>
      <w:r w:rsidRPr="002818E7">
        <w:rPr>
          <w:rFonts w:ascii="Verdana" w:hAnsi="Verdana"/>
          <w:b/>
          <w:i/>
          <w:sz w:val="20"/>
        </w:rPr>
        <w:t xml:space="preserve"> </w:t>
      </w:r>
      <w:r w:rsidRPr="002818E7">
        <w:rPr>
          <w:rFonts w:ascii="Verdana" w:hAnsi="Verdana"/>
          <w:sz w:val="20"/>
        </w:rPr>
        <w:t xml:space="preserve">A Nicarágua tem impulsionado iniciativas importantes em matéria de titulação das terras </w:t>
      </w:r>
      <w:r w:rsidR="00664426">
        <w:rPr>
          <w:rFonts w:ascii="Verdana" w:hAnsi="Verdana"/>
          <w:sz w:val="20"/>
        </w:rPr>
        <w:t>comunitárias</w:t>
      </w:r>
      <w:r w:rsidR="00664426" w:rsidRPr="002818E7">
        <w:rPr>
          <w:rFonts w:ascii="Verdana" w:hAnsi="Verdana"/>
          <w:sz w:val="20"/>
        </w:rPr>
        <w:t xml:space="preserve"> </w:t>
      </w:r>
      <w:r w:rsidRPr="002818E7">
        <w:rPr>
          <w:rFonts w:ascii="Verdana" w:hAnsi="Verdana"/>
          <w:sz w:val="20"/>
        </w:rPr>
        <w:t>das comunidades indígenas da Costa Atlântica.</w:t>
      </w:r>
    </w:p>
    <w:p w:rsidR="00C336FB" w:rsidRPr="002818E7" w:rsidRDefault="00C336FB" w:rsidP="00C336FB">
      <w:pPr>
        <w:jc w:val="both"/>
        <w:rPr>
          <w:rFonts w:ascii="Verdana" w:hAnsi="Verdana"/>
          <w:sz w:val="20"/>
        </w:rPr>
      </w:pPr>
    </w:p>
    <w:p w:rsidR="00C336FB" w:rsidRPr="002818E7" w:rsidRDefault="00C336FB" w:rsidP="00C336FB">
      <w:pPr>
        <w:jc w:val="center"/>
        <w:rPr>
          <w:rFonts w:ascii="Verdana" w:hAnsi="Verdana"/>
          <w:b/>
          <w:sz w:val="20"/>
        </w:rPr>
      </w:pPr>
      <w:r w:rsidRPr="002818E7">
        <w:rPr>
          <w:rFonts w:ascii="Verdana" w:hAnsi="Verdana"/>
          <w:b/>
          <w:sz w:val="20"/>
        </w:rPr>
        <w:t>*</w:t>
      </w:r>
    </w:p>
    <w:p w:rsidR="00C336FB" w:rsidRPr="002818E7" w:rsidRDefault="00C336FB" w:rsidP="00C336FB">
      <w:pPr>
        <w:jc w:val="center"/>
        <w:rPr>
          <w:rFonts w:ascii="Verdana" w:hAnsi="Verdana"/>
          <w:b/>
          <w:sz w:val="20"/>
        </w:rPr>
      </w:pPr>
      <w:r w:rsidRPr="002818E7">
        <w:rPr>
          <w:rFonts w:ascii="Verdana" w:hAnsi="Verdana"/>
          <w:b/>
          <w:sz w:val="20"/>
        </w:rPr>
        <w:t>*</w:t>
      </w:r>
      <w:r w:rsidRPr="002818E7">
        <w:rPr>
          <w:rFonts w:ascii="Verdana" w:hAnsi="Verdana"/>
          <w:b/>
          <w:sz w:val="20"/>
        </w:rPr>
        <w:tab/>
        <w:t>*</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i/>
          <w:sz w:val="20"/>
        </w:rPr>
      </w:pPr>
      <w:r w:rsidRPr="002818E7">
        <w:rPr>
          <w:rFonts w:ascii="Verdana" w:hAnsi="Verdana"/>
          <w:i/>
          <w:sz w:val="20"/>
        </w:rPr>
        <w:t>Considerações da Corte</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142.</w:t>
      </w:r>
      <w:r w:rsidRPr="002818E7">
        <w:rPr>
          <w:rFonts w:ascii="Verdana" w:hAnsi="Verdana"/>
          <w:sz w:val="20"/>
        </w:rPr>
        <w:tab/>
        <w:t>O artigo 21 da Conv</w:t>
      </w:r>
      <w:r w:rsidR="005535D0">
        <w:rPr>
          <w:rFonts w:ascii="Verdana" w:hAnsi="Verdana"/>
          <w:sz w:val="20"/>
        </w:rPr>
        <w:t>enção Americana estabelece que:</w:t>
      </w:r>
    </w:p>
    <w:p w:rsidR="00C336FB" w:rsidRPr="00C4409E" w:rsidRDefault="00C336FB" w:rsidP="00C4409E">
      <w:pPr>
        <w:pStyle w:val="NormalWeb"/>
        <w:ind w:left="720" w:right="560"/>
        <w:jc w:val="both"/>
        <w:rPr>
          <w:rFonts w:ascii="Verdana" w:hAnsi="Verdana"/>
          <w:sz w:val="18"/>
          <w:szCs w:val="18"/>
        </w:rPr>
      </w:pPr>
      <w:r w:rsidRPr="00C4409E">
        <w:rPr>
          <w:rFonts w:ascii="Verdana" w:hAnsi="Verdana"/>
          <w:sz w:val="18"/>
          <w:szCs w:val="18"/>
        </w:rPr>
        <w:t>1.</w:t>
      </w:r>
      <w:r w:rsidRPr="00C4409E">
        <w:rPr>
          <w:rFonts w:ascii="Verdana" w:hAnsi="Verdana"/>
          <w:sz w:val="18"/>
          <w:szCs w:val="18"/>
        </w:rPr>
        <w:tab/>
        <w:t>Toda pessoa tem direito ao uso e gozo de seus bens. A lei pode subordinar esse uso e gozo ao interesse social.</w:t>
      </w:r>
    </w:p>
    <w:p w:rsidR="00C336FB" w:rsidRPr="00C4409E" w:rsidRDefault="00C336FB" w:rsidP="00C4409E">
      <w:pPr>
        <w:pStyle w:val="NormalWeb"/>
        <w:ind w:left="720" w:right="560"/>
        <w:jc w:val="both"/>
        <w:rPr>
          <w:rFonts w:ascii="Verdana" w:hAnsi="Verdana"/>
          <w:sz w:val="18"/>
          <w:szCs w:val="18"/>
        </w:rPr>
      </w:pPr>
      <w:r w:rsidRPr="00C4409E">
        <w:rPr>
          <w:rFonts w:ascii="Verdana" w:hAnsi="Verdana"/>
          <w:sz w:val="18"/>
          <w:szCs w:val="18"/>
        </w:rPr>
        <w:t>2. Nenhuma pessoa pode ser privada de seus bens, salvo mediante o pagamento de indenização justa, por motivo de utilidade pública ou de interesse social e nos casos e na forma estabelecidos pela lei.</w:t>
      </w:r>
    </w:p>
    <w:p w:rsidR="00C336FB" w:rsidRPr="00C4409E" w:rsidRDefault="00C336FB" w:rsidP="00C4409E">
      <w:pPr>
        <w:pStyle w:val="NormalWeb"/>
        <w:ind w:left="720" w:right="560"/>
        <w:jc w:val="both"/>
        <w:rPr>
          <w:rFonts w:ascii="Verdana" w:hAnsi="Verdana"/>
          <w:sz w:val="18"/>
          <w:szCs w:val="18"/>
        </w:rPr>
      </w:pPr>
      <w:r w:rsidRPr="00C4409E">
        <w:rPr>
          <w:rFonts w:ascii="Verdana" w:hAnsi="Verdana"/>
          <w:sz w:val="18"/>
          <w:szCs w:val="18"/>
        </w:rPr>
        <w:t xml:space="preserve">3. Tanto a usura, como qualquer outra forma de exploração do homem pelo homem, </w:t>
      </w:r>
      <w:proofErr w:type="gramStart"/>
      <w:r w:rsidRPr="00C4409E">
        <w:rPr>
          <w:rFonts w:ascii="Verdana" w:hAnsi="Verdana"/>
          <w:sz w:val="18"/>
          <w:szCs w:val="18"/>
        </w:rPr>
        <w:t>devem ser reprimidas</w:t>
      </w:r>
      <w:proofErr w:type="gramEnd"/>
      <w:r w:rsidRPr="00C4409E">
        <w:rPr>
          <w:rFonts w:ascii="Verdana" w:hAnsi="Verdana"/>
          <w:sz w:val="18"/>
          <w:szCs w:val="18"/>
        </w:rPr>
        <w:t xml:space="preserve"> pela lei.</w:t>
      </w:r>
    </w:p>
    <w:p w:rsidR="00C336FB" w:rsidRPr="002818E7" w:rsidRDefault="00C336FB" w:rsidP="00C336FB">
      <w:pPr>
        <w:jc w:val="both"/>
        <w:rPr>
          <w:rFonts w:ascii="Verdana" w:hAnsi="Verdana"/>
          <w:sz w:val="20"/>
        </w:rPr>
      </w:pPr>
      <w:r w:rsidRPr="002818E7">
        <w:rPr>
          <w:rFonts w:ascii="Verdana" w:hAnsi="Verdana"/>
          <w:sz w:val="20"/>
        </w:rPr>
        <w:t>143.</w:t>
      </w:r>
      <w:r w:rsidRPr="002818E7">
        <w:rPr>
          <w:rFonts w:ascii="Verdana" w:hAnsi="Verdana"/>
          <w:sz w:val="20"/>
        </w:rPr>
        <w:tab/>
        <w:t>O artigo 21 da Convenção Americana reconhece o direito à propriedade privada.</w:t>
      </w:r>
      <w:r w:rsidR="00850A3F">
        <w:rPr>
          <w:rFonts w:ascii="Verdana" w:hAnsi="Verdana"/>
          <w:sz w:val="20"/>
        </w:rPr>
        <w:t xml:space="preserve"> </w:t>
      </w:r>
      <w:r w:rsidRPr="002818E7">
        <w:rPr>
          <w:rFonts w:ascii="Verdana" w:hAnsi="Verdana"/>
          <w:sz w:val="20"/>
        </w:rPr>
        <w:t>A este respeito estabelece: a</w:t>
      </w:r>
      <w:r w:rsidR="00C60678" w:rsidRPr="00C60678">
        <w:rPr>
          <w:rFonts w:ascii="Verdana" w:hAnsi="Verdana"/>
          <w:sz w:val="20"/>
        </w:rPr>
        <w:t>)</w:t>
      </w:r>
      <w:r w:rsidRPr="002818E7">
        <w:rPr>
          <w:rFonts w:ascii="Verdana" w:hAnsi="Verdana"/>
          <w:sz w:val="20"/>
        </w:rPr>
        <w:t xml:space="preserve"> que “[t</w:t>
      </w:r>
      <w:proofErr w:type="gramStart"/>
      <w:r w:rsidRPr="002818E7">
        <w:rPr>
          <w:rFonts w:ascii="Verdana" w:hAnsi="Verdana"/>
          <w:sz w:val="20"/>
        </w:rPr>
        <w:t>]oda</w:t>
      </w:r>
      <w:proofErr w:type="gramEnd"/>
      <w:r w:rsidRPr="002818E7">
        <w:rPr>
          <w:rFonts w:ascii="Verdana" w:hAnsi="Verdana"/>
          <w:sz w:val="20"/>
        </w:rPr>
        <w:t xml:space="preserve"> pessoa tem direito ao uso e gozo de seus bens”; b</w:t>
      </w:r>
      <w:r w:rsidR="00C60678" w:rsidRPr="00C60678">
        <w:rPr>
          <w:rFonts w:ascii="Verdana" w:hAnsi="Verdana"/>
          <w:sz w:val="20"/>
        </w:rPr>
        <w:t>)</w:t>
      </w:r>
      <w:r w:rsidRPr="002818E7">
        <w:rPr>
          <w:rFonts w:ascii="Verdana" w:hAnsi="Verdana"/>
          <w:sz w:val="20"/>
        </w:rPr>
        <w:t xml:space="preserve"> que tais uso e gozo podem </w:t>
      </w:r>
      <w:r w:rsidR="000A20CB">
        <w:rPr>
          <w:rFonts w:ascii="Verdana" w:hAnsi="Verdana"/>
          <w:sz w:val="20"/>
        </w:rPr>
        <w:t xml:space="preserve">ser </w:t>
      </w:r>
      <w:r w:rsidR="000A20CB" w:rsidRPr="002818E7">
        <w:rPr>
          <w:rFonts w:ascii="Verdana" w:hAnsi="Verdana"/>
          <w:sz w:val="20"/>
        </w:rPr>
        <w:t>subordina</w:t>
      </w:r>
      <w:r w:rsidR="000A20CB">
        <w:rPr>
          <w:rFonts w:ascii="Verdana" w:hAnsi="Verdana"/>
          <w:sz w:val="20"/>
        </w:rPr>
        <w:t>dos</w:t>
      </w:r>
      <w:r w:rsidRPr="002818E7">
        <w:rPr>
          <w:rFonts w:ascii="Verdana" w:hAnsi="Verdana"/>
          <w:sz w:val="20"/>
        </w:rPr>
        <w:t>, por mandato de uma lei, ao “interesse social”; c</w:t>
      </w:r>
      <w:r w:rsidR="00C60678" w:rsidRPr="00C60678">
        <w:rPr>
          <w:rFonts w:ascii="Verdana" w:hAnsi="Verdana"/>
          <w:sz w:val="20"/>
        </w:rPr>
        <w:t>)</w:t>
      </w:r>
      <w:r w:rsidRPr="002818E7">
        <w:rPr>
          <w:rFonts w:ascii="Verdana" w:hAnsi="Verdana"/>
          <w:sz w:val="20"/>
        </w:rPr>
        <w:t xml:space="preserve"> que se pode privar uma pessoa de seus bens por razões de “utilidade pública ou de interesse social e nos casos e segundo as formas estabelecidas pela lei”; e d</w:t>
      </w:r>
      <w:r w:rsidR="00C60678" w:rsidRPr="00C60678">
        <w:rPr>
          <w:rFonts w:ascii="Verdana" w:hAnsi="Verdana"/>
          <w:sz w:val="20"/>
        </w:rPr>
        <w:t>)</w:t>
      </w:r>
      <w:r w:rsidRPr="002818E7">
        <w:rPr>
          <w:rFonts w:ascii="Verdana" w:hAnsi="Verdana"/>
          <w:sz w:val="20"/>
        </w:rPr>
        <w:t xml:space="preserve"> que esta privação será feita mediante o pagamento de uma justa indenização.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144.</w:t>
      </w:r>
      <w:r w:rsidRPr="002818E7">
        <w:rPr>
          <w:rFonts w:ascii="Verdana" w:hAnsi="Verdana"/>
          <w:sz w:val="20"/>
        </w:rPr>
        <w:tab/>
        <w:t xml:space="preserve">Os “bens” podem ser definidos como aquelas coisas materiais </w:t>
      </w:r>
      <w:proofErr w:type="gramStart"/>
      <w:r w:rsidRPr="002818E7">
        <w:rPr>
          <w:rFonts w:ascii="Verdana" w:hAnsi="Verdana"/>
          <w:sz w:val="20"/>
        </w:rPr>
        <w:t>apropriáveis</w:t>
      </w:r>
      <w:proofErr w:type="gramEnd"/>
      <w:r w:rsidRPr="002818E7">
        <w:rPr>
          <w:rFonts w:ascii="Verdana" w:hAnsi="Verdana"/>
          <w:sz w:val="20"/>
        </w:rPr>
        <w:t xml:space="preserve">, </w:t>
      </w:r>
      <w:r w:rsidR="00C6474D">
        <w:rPr>
          <w:rFonts w:ascii="Verdana" w:hAnsi="Verdana"/>
          <w:sz w:val="20"/>
        </w:rPr>
        <w:t>bem como</w:t>
      </w:r>
      <w:r w:rsidRPr="002818E7">
        <w:rPr>
          <w:rFonts w:ascii="Verdana" w:hAnsi="Verdana"/>
          <w:sz w:val="20"/>
        </w:rPr>
        <w:t xml:space="preserve"> todo direito que possa formar parte do patrimônio de uma pessoa; este conceito compreende todos os móveis e imóveis, os elementos corporais e </w:t>
      </w:r>
      <w:r w:rsidR="00C6474D">
        <w:rPr>
          <w:rFonts w:ascii="Verdana" w:hAnsi="Verdana"/>
          <w:sz w:val="20"/>
        </w:rPr>
        <w:t>incorpóreos</w:t>
      </w:r>
      <w:r w:rsidRPr="002818E7">
        <w:rPr>
          <w:rFonts w:ascii="Verdana" w:hAnsi="Verdana"/>
          <w:sz w:val="20"/>
        </w:rPr>
        <w:t xml:space="preserve"> e qualquer outro objeto imaterial suscetível de ter um valor.</w:t>
      </w:r>
      <w:r w:rsidRPr="002818E7">
        <w:rPr>
          <w:rStyle w:val="Refdenotaalpie"/>
          <w:rFonts w:ascii="Verdana" w:hAnsi="Verdana"/>
          <w:sz w:val="20"/>
        </w:rPr>
        <w:footnoteReference w:id="57"/>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u w:val="single"/>
        </w:rPr>
      </w:pPr>
      <w:r w:rsidRPr="002818E7">
        <w:rPr>
          <w:rFonts w:ascii="Verdana" w:hAnsi="Verdana"/>
          <w:sz w:val="20"/>
        </w:rPr>
        <w:t>145.</w:t>
      </w:r>
      <w:r w:rsidRPr="002818E7">
        <w:rPr>
          <w:rFonts w:ascii="Verdana" w:hAnsi="Verdana"/>
          <w:sz w:val="20"/>
        </w:rPr>
        <w:tab/>
        <w:t>Durante o estudo e consideração dos trabalhos preparatórios da Convenção Americana sobre Direitos Humanos foi substituída a frase “[t</w:t>
      </w:r>
      <w:proofErr w:type="gramStart"/>
      <w:r w:rsidRPr="002818E7">
        <w:rPr>
          <w:rFonts w:ascii="Verdana" w:hAnsi="Verdana"/>
          <w:sz w:val="20"/>
        </w:rPr>
        <w:t>]oda</w:t>
      </w:r>
      <w:proofErr w:type="gramEnd"/>
      <w:r w:rsidRPr="002818E7">
        <w:rPr>
          <w:rFonts w:ascii="Verdana" w:hAnsi="Verdana"/>
          <w:sz w:val="20"/>
        </w:rPr>
        <w:t xml:space="preserve"> pessoa tem o direito à </w:t>
      </w:r>
      <w:r w:rsidRPr="002818E7">
        <w:rPr>
          <w:rFonts w:ascii="Verdana" w:hAnsi="Verdana"/>
          <w:i/>
          <w:sz w:val="20"/>
        </w:rPr>
        <w:t>propriedade privada</w:t>
      </w:r>
      <w:r w:rsidRPr="002818E7">
        <w:rPr>
          <w:rFonts w:ascii="Verdana" w:hAnsi="Verdana"/>
          <w:sz w:val="20"/>
        </w:rPr>
        <w:t xml:space="preserve">, mas a lei pode subordinar seu uso e gozo ao interesse público” pela de “[t]oda pessoa tem direito ao </w:t>
      </w:r>
      <w:r w:rsidRPr="002818E7">
        <w:rPr>
          <w:rFonts w:ascii="Verdana" w:hAnsi="Verdana"/>
          <w:i/>
          <w:sz w:val="20"/>
        </w:rPr>
        <w:t>uso e gozo</w:t>
      </w:r>
      <w:r w:rsidRPr="002818E7">
        <w:rPr>
          <w:rFonts w:ascii="Verdana" w:hAnsi="Verdana"/>
          <w:sz w:val="20"/>
        </w:rPr>
        <w:t xml:space="preserve"> de seus bens. A Lei pode subordinar esse uso e gozo ao interesse social”. Ou seja, optou-se por fazer referência ao “uso e gozo dos </w:t>
      </w:r>
      <w:r w:rsidRPr="002818E7">
        <w:rPr>
          <w:rFonts w:ascii="Verdana" w:hAnsi="Verdana"/>
          <w:i/>
          <w:sz w:val="20"/>
        </w:rPr>
        <w:t>bens</w:t>
      </w:r>
      <w:r w:rsidRPr="002818E7">
        <w:rPr>
          <w:rFonts w:ascii="Verdana" w:hAnsi="Verdana"/>
          <w:sz w:val="20"/>
        </w:rPr>
        <w:t>” no lugar de “propriedade privada”.</w:t>
      </w:r>
      <w:proofErr w:type="gramStart"/>
      <w:r w:rsidRPr="002818E7">
        <w:rPr>
          <w:rStyle w:val="Refdenotaalpie"/>
          <w:rFonts w:ascii="Verdana" w:hAnsi="Verdana"/>
          <w:sz w:val="20"/>
        </w:rPr>
        <w:footnoteReference w:id="58"/>
      </w:r>
      <w:proofErr w:type="gramEnd"/>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146.</w:t>
      </w:r>
      <w:r w:rsidRPr="002818E7">
        <w:rPr>
          <w:rFonts w:ascii="Verdana" w:hAnsi="Verdana"/>
          <w:sz w:val="20"/>
        </w:rPr>
        <w:tab/>
        <w:t xml:space="preserve">Os termos de um tratado internacional de direitos humanos têm sentido autônomo, </w:t>
      </w:r>
      <w:r w:rsidR="00243DA4">
        <w:rPr>
          <w:rFonts w:ascii="Verdana" w:hAnsi="Verdana"/>
          <w:sz w:val="20"/>
        </w:rPr>
        <w:t>de modo que</w:t>
      </w:r>
      <w:r w:rsidRPr="002818E7">
        <w:rPr>
          <w:rFonts w:ascii="Verdana" w:hAnsi="Verdana"/>
          <w:sz w:val="20"/>
        </w:rPr>
        <w:t xml:space="preserve"> não podem ser equiparados ao sentido que </w:t>
      </w:r>
      <w:r>
        <w:rPr>
          <w:rFonts w:ascii="Verdana" w:hAnsi="Verdana"/>
          <w:sz w:val="20"/>
        </w:rPr>
        <w:t>lhes é atribuído</w:t>
      </w:r>
      <w:r w:rsidRPr="002818E7">
        <w:rPr>
          <w:rFonts w:ascii="Verdana" w:hAnsi="Verdana"/>
          <w:sz w:val="20"/>
        </w:rPr>
        <w:t xml:space="preserve"> no direito</w:t>
      </w:r>
      <w:r>
        <w:rPr>
          <w:rFonts w:ascii="Verdana" w:hAnsi="Verdana"/>
          <w:sz w:val="20"/>
        </w:rPr>
        <w:t xml:space="preserve"> interno.</w:t>
      </w:r>
      <w:r w:rsidRPr="002818E7">
        <w:rPr>
          <w:rFonts w:ascii="Verdana" w:hAnsi="Verdana"/>
          <w:sz w:val="20"/>
        </w:rPr>
        <w:t xml:space="preserve"> Ademais</w:t>
      </w:r>
      <w:r>
        <w:rPr>
          <w:rFonts w:ascii="Verdana" w:hAnsi="Verdana"/>
          <w:sz w:val="20"/>
        </w:rPr>
        <w:t xml:space="preserve">, </w:t>
      </w:r>
      <w:r w:rsidRPr="002818E7">
        <w:rPr>
          <w:rFonts w:ascii="Verdana" w:hAnsi="Verdana"/>
          <w:sz w:val="20"/>
        </w:rPr>
        <w:t xml:space="preserve">estes tratados de direitos humanos são instrumentos vivos cuja interpretação tem que </w:t>
      </w:r>
      <w:r>
        <w:rPr>
          <w:rFonts w:ascii="Verdana" w:hAnsi="Verdana"/>
          <w:sz w:val="20"/>
        </w:rPr>
        <w:t xml:space="preserve">se </w:t>
      </w:r>
      <w:r w:rsidRPr="002818E7">
        <w:rPr>
          <w:rFonts w:ascii="Verdana" w:hAnsi="Verdana"/>
          <w:sz w:val="20"/>
        </w:rPr>
        <w:t>adequar à evolução dos tempos e, em particular, às condições de vida atuais.</w:t>
      </w:r>
      <w:proofErr w:type="gramStart"/>
      <w:r w:rsidRPr="002818E7">
        <w:rPr>
          <w:rStyle w:val="Refdenotaalpie"/>
          <w:rFonts w:ascii="Verdana" w:hAnsi="Verdana"/>
          <w:sz w:val="20"/>
        </w:rPr>
        <w:footnoteReference w:id="59"/>
      </w:r>
      <w:proofErr w:type="gramEnd"/>
      <w:r w:rsidR="00850A3F">
        <w:rPr>
          <w:rFonts w:ascii="Verdana" w:hAnsi="Verdana"/>
          <w:sz w:val="20"/>
        </w:rPr>
        <w:t xml:space="preserve"> </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147.</w:t>
      </w:r>
      <w:r w:rsidRPr="002818E7">
        <w:rPr>
          <w:rFonts w:ascii="Verdana" w:hAnsi="Verdana"/>
          <w:sz w:val="20"/>
        </w:rPr>
        <w:tab/>
        <w:t xml:space="preserve">Por sua vez, o artigo 29.b da Convenção estabelece que nenhuma disposição </w:t>
      </w:r>
      <w:proofErr w:type="gramStart"/>
      <w:r w:rsidRPr="002818E7">
        <w:rPr>
          <w:rFonts w:ascii="Verdana" w:hAnsi="Verdana"/>
          <w:sz w:val="20"/>
        </w:rPr>
        <w:t>pode</w:t>
      </w:r>
      <w:proofErr w:type="gramEnd"/>
      <w:r w:rsidRPr="002818E7">
        <w:rPr>
          <w:rFonts w:ascii="Verdana" w:hAnsi="Verdana"/>
          <w:sz w:val="20"/>
        </w:rPr>
        <w:t xml:space="preserve"> ser interpretada no sentido de “limitar o gozo e exercício de qualquer direito ou liberdade que possa estar reconhecido de acordo com as leis de qualquer dos </w:t>
      </w:r>
      <w:r w:rsidRPr="002818E7">
        <w:rPr>
          <w:rFonts w:ascii="Verdana" w:hAnsi="Verdana"/>
          <w:sz w:val="20"/>
        </w:rPr>
        <w:lastRenderedPageBreak/>
        <w:t>Estados partes ou de acordo com outra convenção em que seja parte um destes Estados”.</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148.</w:t>
      </w:r>
      <w:r w:rsidRPr="002818E7">
        <w:rPr>
          <w:rFonts w:ascii="Verdana" w:hAnsi="Verdana"/>
          <w:sz w:val="20"/>
        </w:rPr>
        <w:tab/>
      </w:r>
      <w:r w:rsidR="000A20CB">
        <w:rPr>
          <w:rFonts w:ascii="Verdana" w:hAnsi="Verdana"/>
          <w:sz w:val="20"/>
        </w:rPr>
        <w:t>Através de</w:t>
      </w:r>
      <w:r w:rsidR="000A20CB" w:rsidRPr="002818E7">
        <w:rPr>
          <w:rFonts w:ascii="Verdana" w:hAnsi="Verdana"/>
          <w:sz w:val="20"/>
        </w:rPr>
        <w:t xml:space="preserve"> </w:t>
      </w:r>
      <w:r w:rsidRPr="002818E7">
        <w:rPr>
          <w:rFonts w:ascii="Verdana" w:hAnsi="Verdana"/>
          <w:sz w:val="20"/>
        </w:rPr>
        <w:t xml:space="preserve">uma interpretação evolutiva dos instrumentos internacionais de proteção de direitos humanos, </w:t>
      </w:r>
      <w:r>
        <w:rPr>
          <w:rFonts w:ascii="Verdana" w:hAnsi="Verdana"/>
          <w:sz w:val="20"/>
        </w:rPr>
        <w:t>lev</w:t>
      </w:r>
      <w:r w:rsidRPr="002818E7">
        <w:rPr>
          <w:rFonts w:ascii="Verdana" w:hAnsi="Verdana"/>
          <w:sz w:val="20"/>
        </w:rPr>
        <w:t xml:space="preserve">ando em consideração as normas de interpretação aplicáveis e, conforme </w:t>
      </w:r>
      <w:r>
        <w:rPr>
          <w:rFonts w:ascii="Verdana" w:hAnsi="Verdana"/>
          <w:sz w:val="20"/>
        </w:rPr>
        <w:t>o</w:t>
      </w:r>
      <w:r w:rsidRPr="002818E7">
        <w:rPr>
          <w:rFonts w:ascii="Verdana" w:hAnsi="Verdana"/>
          <w:sz w:val="20"/>
        </w:rPr>
        <w:t xml:space="preserve"> artigo 29.b da Convenção - que proíbe uma interpre</w:t>
      </w:r>
      <w:r w:rsidR="00C4409E">
        <w:rPr>
          <w:rFonts w:ascii="Verdana" w:hAnsi="Verdana"/>
          <w:sz w:val="20"/>
        </w:rPr>
        <w:t>tação restritiva dos direitos</w:t>
      </w:r>
      <w:r w:rsidRPr="002818E7">
        <w:rPr>
          <w:rFonts w:ascii="Verdana" w:hAnsi="Verdana"/>
          <w:sz w:val="20"/>
        </w:rPr>
        <w:t>, esta Corte considera que o artigo 21 da Convenção protege o direito à propriedade num sentido que compreende, entre outros, os direitos dos membros das comunidades indígenas no contexto da propriedade comunal, a qual também está reconhecida na Constituição Política da Nicarágua.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149.</w:t>
      </w:r>
      <w:r w:rsidRPr="002818E7">
        <w:rPr>
          <w:rFonts w:ascii="Verdana" w:hAnsi="Verdana"/>
          <w:sz w:val="20"/>
        </w:rPr>
        <w:tab/>
        <w:t xml:space="preserve">Dadas </w:t>
      </w:r>
      <w:proofErr w:type="gramStart"/>
      <w:r w:rsidR="005535D0">
        <w:rPr>
          <w:rFonts w:ascii="Verdana" w:hAnsi="Verdana"/>
          <w:sz w:val="20"/>
        </w:rPr>
        <w:t>as</w:t>
      </w:r>
      <w:proofErr w:type="gramEnd"/>
      <w:r w:rsidR="005535D0">
        <w:rPr>
          <w:rFonts w:ascii="Verdana" w:hAnsi="Verdana"/>
          <w:sz w:val="20"/>
        </w:rPr>
        <w:t xml:space="preserve"> </w:t>
      </w:r>
      <w:r w:rsidRPr="002818E7">
        <w:rPr>
          <w:rFonts w:ascii="Verdana" w:hAnsi="Verdana"/>
          <w:sz w:val="20"/>
        </w:rPr>
        <w:t xml:space="preserve">características do presente caso, é necessário fazer algumas precisões a respeito do conceito de propriedade nas comunidades indígenas. Entre os indígenas existe uma tradição comunitária sobre uma forma comunal da propriedade coletiva da terra, no sentido de que </w:t>
      </w:r>
      <w:r>
        <w:rPr>
          <w:rFonts w:ascii="Verdana" w:hAnsi="Verdana"/>
          <w:sz w:val="20"/>
        </w:rPr>
        <w:t>o pertencimento</w:t>
      </w:r>
      <w:r w:rsidR="005535D0">
        <w:rPr>
          <w:rFonts w:ascii="Verdana" w:hAnsi="Verdana"/>
          <w:sz w:val="20"/>
        </w:rPr>
        <w:t xml:space="preserve"> desta não se centra em </w:t>
      </w:r>
      <w:r w:rsidRPr="002818E7">
        <w:rPr>
          <w:rFonts w:ascii="Verdana" w:hAnsi="Verdana"/>
          <w:sz w:val="20"/>
        </w:rPr>
        <w:t xml:space="preserve">um indivíduo, mas no grupo e sua comunidade. Os indígenas pelo fato de sua própria existência têm direito a viver livremente em seus próprios territórios; a relação </w:t>
      </w:r>
      <w:r w:rsidR="000A20CB" w:rsidRPr="002818E7">
        <w:rPr>
          <w:rFonts w:ascii="Verdana" w:hAnsi="Verdana"/>
          <w:sz w:val="20"/>
        </w:rPr>
        <w:t xml:space="preserve">próxima </w:t>
      </w:r>
      <w:r w:rsidRPr="002818E7">
        <w:rPr>
          <w:rFonts w:ascii="Verdana" w:hAnsi="Verdana"/>
          <w:sz w:val="20"/>
        </w:rPr>
        <w:t>que os indígenas mantêm com a terra deve de ser reconhecida e compreendida como a base fundamental de suas culturas, sua vida espiritual, sua integridade e sua sobrevivência econômica. Para as comunidades indígenas a relação com a terra não é</w:t>
      </w:r>
      <w:r>
        <w:rPr>
          <w:rFonts w:ascii="Verdana" w:hAnsi="Verdana"/>
          <w:sz w:val="20"/>
        </w:rPr>
        <w:t xml:space="preserve"> meramente uma questão</w:t>
      </w:r>
      <w:r w:rsidRPr="002818E7">
        <w:rPr>
          <w:rFonts w:ascii="Verdana" w:hAnsi="Verdana"/>
          <w:sz w:val="20"/>
        </w:rPr>
        <w:t xml:space="preserve"> de posse</w:t>
      </w:r>
      <w:r>
        <w:rPr>
          <w:rFonts w:ascii="Verdana" w:hAnsi="Verdana"/>
          <w:sz w:val="20"/>
        </w:rPr>
        <w:t xml:space="preserve"> e produ</w:t>
      </w:r>
      <w:r w:rsidRPr="002818E7">
        <w:rPr>
          <w:rFonts w:ascii="Verdana" w:hAnsi="Verdana"/>
          <w:sz w:val="20"/>
        </w:rPr>
        <w:t>ção</w:t>
      </w:r>
      <w:r>
        <w:rPr>
          <w:rFonts w:ascii="Verdana" w:hAnsi="Verdana"/>
          <w:sz w:val="20"/>
        </w:rPr>
        <w:t>, mas sim um</w:t>
      </w:r>
      <w:r w:rsidRPr="002818E7">
        <w:rPr>
          <w:rFonts w:ascii="Verdana" w:hAnsi="Verdana"/>
          <w:sz w:val="20"/>
        </w:rPr>
        <w:t xml:space="preserve"> elemento </w:t>
      </w:r>
      <w:r>
        <w:rPr>
          <w:rFonts w:ascii="Verdana" w:hAnsi="Verdana"/>
          <w:sz w:val="20"/>
        </w:rPr>
        <w:t>mate</w:t>
      </w:r>
      <w:r w:rsidRPr="002818E7">
        <w:rPr>
          <w:rFonts w:ascii="Verdana" w:hAnsi="Verdana"/>
          <w:sz w:val="20"/>
        </w:rPr>
        <w:t>ria</w:t>
      </w:r>
      <w:r>
        <w:rPr>
          <w:rFonts w:ascii="Verdana" w:hAnsi="Verdana"/>
          <w:sz w:val="20"/>
        </w:rPr>
        <w:t>l e espiritual do qu</w:t>
      </w:r>
      <w:r w:rsidR="000A20CB">
        <w:rPr>
          <w:rFonts w:ascii="Verdana" w:hAnsi="Verdana"/>
          <w:sz w:val="20"/>
        </w:rPr>
        <w:t>al</w:t>
      </w:r>
      <w:r>
        <w:rPr>
          <w:rFonts w:ascii="Verdana" w:hAnsi="Verdana"/>
          <w:sz w:val="20"/>
        </w:rPr>
        <w:t xml:space="preserve"> devem</w:t>
      </w:r>
      <w:r w:rsidRPr="002818E7">
        <w:rPr>
          <w:rFonts w:ascii="Verdana" w:hAnsi="Verdana"/>
          <w:sz w:val="20"/>
        </w:rPr>
        <w:t xml:space="preserve"> </w:t>
      </w:r>
      <w:r w:rsidR="002D33D5">
        <w:rPr>
          <w:rFonts w:ascii="Verdana" w:hAnsi="Verdana"/>
          <w:sz w:val="20"/>
        </w:rPr>
        <w:t>gozar</w:t>
      </w:r>
      <w:r w:rsidRPr="002818E7">
        <w:rPr>
          <w:rFonts w:ascii="Verdana" w:hAnsi="Verdana"/>
          <w:sz w:val="20"/>
        </w:rPr>
        <w:t xml:space="preserve"> plenamente, inclusive para preservar s</w:t>
      </w:r>
      <w:r>
        <w:rPr>
          <w:rFonts w:ascii="Verdana" w:hAnsi="Verdana"/>
          <w:sz w:val="20"/>
        </w:rPr>
        <w:t xml:space="preserve">eu legado cultural e transmiti-lo às </w:t>
      </w:r>
      <w:r w:rsidR="000A20CB">
        <w:rPr>
          <w:rFonts w:ascii="Verdana" w:hAnsi="Verdana"/>
          <w:sz w:val="20"/>
        </w:rPr>
        <w:t xml:space="preserve">futuras </w:t>
      </w:r>
      <w:r>
        <w:rPr>
          <w:rFonts w:ascii="Verdana" w:hAnsi="Verdana"/>
          <w:sz w:val="20"/>
        </w:rPr>
        <w:t>ge</w:t>
      </w:r>
      <w:r w:rsidRPr="002818E7">
        <w:rPr>
          <w:rFonts w:ascii="Verdana" w:hAnsi="Verdana"/>
          <w:sz w:val="20"/>
        </w:rPr>
        <w:t>rações.</w:t>
      </w:r>
    </w:p>
    <w:p w:rsidR="00C336FB" w:rsidRPr="002818E7" w:rsidRDefault="00C336FB" w:rsidP="00C336FB">
      <w:pPr>
        <w:jc w:val="both"/>
        <w:rPr>
          <w:rFonts w:ascii="Verdana" w:hAnsi="Verdana"/>
          <w:sz w:val="20"/>
        </w:rPr>
      </w:pPr>
    </w:p>
    <w:p w:rsidR="00C336FB" w:rsidRDefault="00C336FB" w:rsidP="002D33D5">
      <w:pPr>
        <w:jc w:val="both"/>
        <w:rPr>
          <w:rFonts w:ascii="Verdana" w:hAnsi="Verdana"/>
          <w:sz w:val="20"/>
        </w:rPr>
      </w:pPr>
      <w:r>
        <w:rPr>
          <w:rFonts w:ascii="Verdana" w:hAnsi="Verdana"/>
          <w:sz w:val="20"/>
        </w:rPr>
        <w:t>150.</w:t>
      </w:r>
      <w:r>
        <w:rPr>
          <w:rFonts w:ascii="Verdana" w:hAnsi="Verdana"/>
          <w:sz w:val="20"/>
        </w:rPr>
        <w:tab/>
        <w:t>A esse</w:t>
      </w:r>
      <w:r w:rsidRPr="002818E7">
        <w:rPr>
          <w:rFonts w:ascii="Verdana" w:hAnsi="Verdana"/>
          <w:sz w:val="20"/>
        </w:rPr>
        <w:t xml:space="preserve"> respeito</w:t>
      </w:r>
      <w:r>
        <w:rPr>
          <w:rFonts w:ascii="Verdana" w:hAnsi="Verdana"/>
          <w:sz w:val="20"/>
        </w:rPr>
        <w:t>, a Lei</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Pr>
          <w:rFonts w:ascii="Verdana" w:hAnsi="Verdana"/>
          <w:sz w:val="20"/>
        </w:rPr>
        <w:t>28</w:t>
      </w:r>
      <w:r w:rsidR="007274D4">
        <w:rPr>
          <w:rFonts w:ascii="Verdana" w:hAnsi="Verdana"/>
          <w:sz w:val="20"/>
        </w:rPr>
        <w:t>,</w:t>
      </w:r>
      <w:r>
        <w:rPr>
          <w:rFonts w:ascii="Verdana" w:hAnsi="Verdana"/>
          <w:sz w:val="20"/>
        </w:rPr>
        <w:t xml:space="preserve"> publicada em</w:t>
      </w:r>
      <w:r w:rsidRPr="002818E7">
        <w:rPr>
          <w:rFonts w:ascii="Verdana" w:hAnsi="Verdana"/>
          <w:sz w:val="20"/>
        </w:rPr>
        <w:t xml:space="preserve"> 30 de outubro</w:t>
      </w:r>
      <w:r>
        <w:rPr>
          <w:rFonts w:ascii="Verdana" w:hAnsi="Verdana"/>
          <w:sz w:val="20"/>
        </w:rPr>
        <w:t xml:space="preserve"> de 1987 </w:t>
      </w:r>
      <w:r w:rsidR="000A20CB">
        <w:rPr>
          <w:rFonts w:ascii="Verdana" w:hAnsi="Verdana"/>
          <w:sz w:val="20"/>
        </w:rPr>
        <w:t>no</w:t>
      </w:r>
      <w:r w:rsidR="000A20CB" w:rsidRPr="000A20CB">
        <w:rPr>
          <w:rFonts w:ascii="Verdana" w:hAnsi="Verdana"/>
          <w:sz w:val="20"/>
        </w:rPr>
        <w:t xml:space="preserve"> </w:t>
      </w:r>
      <w:r w:rsidR="000A20CB">
        <w:rPr>
          <w:rFonts w:ascii="Verdana" w:hAnsi="Verdana"/>
          <w:sz w:val="20"/>
        </w:rPr>
        <w:t>Diário Oficial da República da</w:t>
      </w:r>
      <w:r w:rsidR="000A20CB" w:rsidRPr="002818E7">
        <w:rPr>
          <w:rFonts w:ascii="Verdana" w:hAnsi="Verdana"/>
          <w:sz w:val="20"/>
        </w:rPr>
        <w:t xml:space="preserve"> Nicarágua </w:t>
      </w:r>
      <w:r w:rsidRPr="00943D87">
        <w:rPr>
          <w:rFonts w:ascii="Verdana" w:hAnsi="Verdana"/>
          <w:i/>
          <w:sz w:val="20"/>
        </w:rPr>
        <w:t>La Gaceta</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Pr>
          <w:rFonts w:ascii="Verdana" w:hAnsi="Verdana"/>
          <w:sz w:val="20"/>
        </w:rPr>
        <w:t>238, que regula o Estatuto da Autonomi</w:t>
      </w:r>
      <w:r w:rsidRPr="002818E7">
        <w:rPr>
          <w:rFonts w:ascii="Verdana" w:hAnsi="Verdana"/>
          <w:sz w:val="20"/>
        </w:rPr>
        <w:t>a das Regiões</w:t>
      </w:r>
      <w:r>
        <w:rPr>
          <w:rFonts w:ascii="Verdana" w:hAnsi="Verdana"/>
          <w:sz w:val="20"/>
        </w:rPr>
        <w:t xml:space="preserve"> d</w:t>
      </w:r>
      <w:r w:rsidRPr="002818E7">
        <w:rPr>
          <w:rFonts w:ascii="Verdana" w:hAnsi="Verdana"/>
          <w:sz w:val="20"/>
        </w:rPr>
        <w:t>a Costa Atlântica</w:t>
      </w:r>
      <w:r>
        <w:rPr>
          <w:rFonts w:ascii="Verdana" w:hAnsi="Verdana"/>
          <w:sz w:val="20"/>
        </w:rPr>
        <w:t xml:space="preserve"> da</w:t>
      </w:r>
      <w:r w:rsidRPr="002818E7">
        <w:rPr>
          <w:rFonts w:ascii="Verdana" w:hAnsi="Verdana"/>
          <w:sz w:val="20"/>
        </w:rPr>
        <w:t xml:space="preserve"> Nicarágua</w:t>
      </w:r>
      <w:r w:rsidR="002D33D5">
        <w:rPr>
          <w:rFonts w:ascii="Verdana" w:hAnsi="Verdana"/>
          <w:sz w:val="20"/>
        </w:rPr>
        <w:t>,</w:t>
      </w:r>
      <w:r w:rsidRPr="002818E7">
        <w:rPr>
          <w:rFonts w:ascii="Verdana" w:hAnsi="Verdana"/>
          <w:sz w:val="20"/>
        </w:rPr>
        <w:t xml:space="preserve"> indica</w:t>
      </w:r>
      <w:r w:rsidR="00C4409E">
        <w:rPr>
          <w:rFonts w:ascii="Verdana" w:hAnsi="Verdana"/>
          <w:sz w:val="20"/>
        </w:rPr>
        <w:t>,</w:t>
      </w:r>
      <w:r>
        <w:rPr>
          <w:rFonts w:ascii="Verdana" w:hAnsi="Verdana"/>
          <w:sz w:val="20"/>
        </w:rPr>
        <w:t xml:space="preserve"> em</w:t>
      </w:r>
      <w:r w:rsidRPr="002818E7">
        <w:rPr>
          <w:rFonts w:ascii="Verdana" w:hAnsi="Verdana"/>
          <w:sz w:val="20"/>
        </w:rPr>
        <w:t xml:space="preserve"> s</w:t>
      </w:r>
      <w:r>
        <w:rPr>
          <w:rFonts w:ascii="Verdana" w:hAnsi="Verdana"/>
          <w:sz w:val="20"/>
        </w:rPr>
        <w:t>e</w:t>
      </w:r>
      <w:r w:rsidRPr="002818E7">
        <w:rPr>
          <w:rFonts w:ascii="Verdana" w:hAnsi="Verdana"/>
          <w:sz w:val="20"/>
        </w:rPr>
        <w:t>u artigo 36</w:t>
      </w:r>
      <w:r w:rsidR="00C4409E">
        <w:rPr>
          <w:rFonts w:ascii="Verdana" w:hAnsi="Verdana"/>
          <w:sz w:val="20"/>
        </w:rPr>
        <w:t>,</w:t>
      </w:r>
      <w:r w:rsidRPr="002818E7">
        <w:rPr>
          <w:rFonts w:ascii="Verdana" w:hAnsi="Verdana"/>
          <w:sz w:val="20"/>
        </w:rPr>
        <w:t xml:space="preserve"> que:</w:t>
      </w:r>
    </w:p>
    <w:p w:rsidR="000A20CB" w:rsidRPr="002818E7" w:rsidRDefault="000A20CB" w:rsidP="002D33D5">
      <w:pPr>
        <w:jc w:val="both"/>
        <w:rPr>
          <w:rFonts w:ascii="Verdana" w:hAnsi="Verdana"/>
          <w:sz w:val="20"/>
        </w:rPr>
      </w:pPr>
    </w:p>
    <w:p w:rsidR="00C336FB" w:rsidRPr="00C4409E" w:rsidRDefault="007274D4" w:rsidP="00C4409E">
      <w:pPr>
        <w:ind w:left="720" w:right="560"/>
        <w:jc w:val="both"/>
        <w:rPr>
          <w:rFonts w:ascii="Verdana" w:hAnsi="Verdana"/>
          <w:sz w:val="18"/>
          <w:szCs w:val="18"/>
        </w:rPr>
      </w:pPr>
      <w:r>
        <w:rPr>
          <w:rFonts w:ascii="Verdana" w:hAnsi="Verdana"/>
          <w:sz w:val="18"/>
          <w:szCs w:val="18"/>
        </w:rPr>
        <w:t xml:space="preserve">A propriedade comunal </w:t>
      </w:r>
      <w:proofErr w:type="gramStart"/>
      <w:r>
        <w:rPr>
          <w:rFonts w:ascii="Verdana" w:hAnsi="Verdana"/>
          <w:sz w:val="18"/>
          <w:szCs w:val="18"/>
        </w:rPr>
        <w:t>são constituídas</w:t>
      </w:r>
      <w:proofErr w:type="gramEnd"/>
      <w:r>
        <w:rPr>
          <w:rFonts w:ascii="Verdana" w:hAnsi="Verdana"/>
          <w:sz w:val="18"/>
          <w:szCs w:val="18"/>
        </w:rPr>
        <w:t xml:space="preserve"> por </w:t>
      </w:r>
      <w:r w:rsidR="00C336FB" w:rsidRPr="00C4409E">
        <w:rPr>
          <w:rFonts w:ascii="Verdana" w:hAnsi="Verdana"/>
          <w:sz w:val="18"/>
          <w:szCs w:val="18"/>
        </w:rPr>
        <w:t xml:space="preserve">terras, águas e florestas que </w:t>
      </w:r>
      <w:r w:rsidR="000A20CB" w:rsidRPr="00C4409E">
        <w:rPr>
          <w:rFonts w:ascii="Verdana" w:hAnsi="Verdana"/>
          <w:sz w:val="18"/>
          <w:szCs w:val="18"/>
        </w:rPr>
        <w:t xml:space="preserve">pertenceram </w:t>
      </w:r>
      <w:r w:rsidR="00C336FB" w:rsidRPr="00C4409E">
        <w:rPr>
          <w:rFonts w:ascii="Verdana" w:hAnsi="Verdana"/>
          <w:sz w:val="18"/>
          <w:szCs w:val="18"/>
        </w:rPr>
        <w:t>tradicionalmente às Comunidades da Costa Atlântica, e estão sujeitas às seguintes disposições:</w:t>
      </w:r>
    </w:p>
    <w:p w:rsidR="00C336FB" w:rsidRPr="00C4409E" w:rsidRDefault="00C336FB" w:rsidP="00C4409E">
      <w:pPr>
        <w:ind w:left="720" w:right="560"/>
        <w:jc w:val="both"/>
        <w:rPr>
          <w:rFonts w:ascii="Verdana" w:hAnsi="Verdana"/>
          <w:sz w:val="18"/>
          <w:szCs w:val="18"/>
        </w:rPr>
      </w:pPr>
    </w:p>
    <w:p w:rsidR="00C336FB" w:rsidRPr="00C4409E" w:rsidRDefault="00C336FB" w:rsidP="00C4409E">
      <w:pPr>
        <w:ind w:left="720" w:right="560"/>
        <w:jc w:val="both"/>
        <w:rPr>
          <w:rFonts w:ascii="Verdana" w:hAnsi="Verdana"/>
          <w:sz w:val="18"/>
          <w:szCs w:val="18"/>
        </w:rPr>
      </w:pPr>
      <w:r w:rsidRPr="00C4409E">
        <w:rPr>
          <w:rFonts w:ascii="Verdana" w:hAnsi="Verdana"/>
          <w:sz w:val="18"/>
          <w:szCs w:val="18"/>
        </w:rPr>
        <w:t>1.</w:t>
      </w:r>
      <w:r w:rsidRPr="00C4409E">
        <w:rPr>
          <w:rFonts w:ascii="Verdana" w:hAnsi="Verdana"/>
          <w:sz w:val="18"/>
          <w:szCs w:val="18"/>
        </w:rPr>
        <w:tab/>
        <w:t xml:space="preserve">As terras </w:t>
      </w:r>
      <w:r w:rsidR="00664426" w:rsidRPr="00C4409E">
        <w:rPr>
          <w:rFonts w:ascii="Verdana" w:hAnsi="Verdana"/>
          <w:sz w:val="18"/>
          <w:szCs w:val="18"/>
        </w:rPr>
        <w:t xml:space="preserve">comunitárias </w:t>
      </w:r>
      <w:r w:rsidRPr="00C4409E">
        <w:rPr>
          <w:rFonts w:ascii="Verdana" w:hAnsi="Verdana"/>
          <w:sz w:val="18"/>
          <w:szCs w:val="18"/>
        </w:rPr>
        <w:t>são inalienáveis; não podem ser doadas, vendidas, penhoradas nem oneradas, e são imprescritíveis.</w:t>
      </w:r>
    </w:p>
    <w:p w:rsidR="00C336FB" w:rsidRPr="00C4409E" w:rsidRDefault="00C336FB" w:rsidP="00C4409E">
      <w:pPr>
        <w:ind w:left="720" w:right="560"/>
        <w:jc w:val="both"/>
        <w:rPr>
          <w:rFonts w:ascii="Verdana" w:hAnsi="Verdana"/>
          <w:sz w:val="18"/>
          <w:szCs w:val="18"/>
        </w:rPr>
      </w:pPr>
    </w:p>
    <w:p w:rsidR="00C336FB" w:rsidRPr="00C4409E" w:rsidRDefault="00C336FB" w:rsidP="00C4409E">
      <w:pPr>
        <w:ind w:left="720" w:right="560"/>
        <w:jc w:val="both"/>
        <w:rPr>
          <w:rFonts w:ascii="Verdana" w:hAnsi="Verdana"/>
          <w:sz w:val="18"/>
          <w:szCs w:val="18"/>
        </w:rPr>
      </w:pPr>
      <w:r w:rsidRPr="00C4409E">
        <w:rPr>
          <w:rFonts w:ascii="Verdana" w:hAnsi="Verdana"/>
          <w:sz w:val="18"/>
          <w:szCs w:val="18"/>
        </w:rPr>
        <w:t>2.</w:t>
      </w:r>
      <w:r w:rsidRPr="00C4409E">
        <w:rPr>
          <w:rFonts w:ascii="Verdana" w:hAnsi="Verdana"/>
          <w:sz w:val="18"/>
          <w:szCs w:val="18"/>
        </w:rPr>
        <w:tab/>
        <w:t xml:space="preserve">Os habitantes das Comunidades têm direito a trabalhar </w:t>
      </w:r>
      <w:r w:rsidR="000A20CB" w:rsidRPr="00C4409E">
        <w:rPr>
          <w:rFonts w:ascii="Verdana" w:hAnsi="Verdana"/>
          <w:sz w:val="18"/>
          <w:szCs w:val="18"/>
        </w:rPr>
        <w:t xml:space="preserve">as </w:t>
      </w:r>
      <w:r w:rsidRPr="00C4409E">
        <w:rPr>
          <w:rFonts w:ascii="Verdana" w:hAnsi="Verdana"/>
          <w:sz w:val="18"/>
          <w:szCs w:val="18"/>
        </w:rPr>
        <w:t xml:space="preserve">parcelas </w:t>
      </w:r>
      <w:r w:rsidR="000A20CB" w:rsidRPr="00C4409E">
        <w:rPr>
          <w:rFonts w:ascii="Verdana" w:hAnsi="Verdana"/>
          <w:sz w:val="18"/>
          <w:szCs w:val="18"/>
        </w:rPr>
        <w:t>d</w:t>
      </w:r>
      <w:r w:rsidRPr="00C4409E">
        <w:rPr>
          <w:rFonts w:ascii="Verdana" w:hAnsi="Verdana"/>
          <w:sz w:val="18"/>
          <w:szCs w:val="18"/>
        </w:rPr>
        <w:t>a propriedade comunal e ao usufruto dos bens gerados pelo trabalho realizado.</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Pr>
          <w:rFonts w:ascii="Verdana" w:hAnsi="Verdana"/>
          <w:sz w:val="20"/>
        </w:rPr>
        <w:t>151.</w:t>
      </w:r>
      <w:r>
        <w:rPr>
          <w:rFonts w:ascii="Verdana" w:hAnsi="Verdana"/>
          <w:sz w:val="20"/>
        </w:rPr>
        <w:tab/>
        <w:t>O</w:t>
      </w:r>
      <w:r w:rsidRPr="002818E7">
        <w:rPr>
          <w:rFonts w:ascii="Verdana" w:hAnsi="Verdana"/>
          <w:sz w:val="20"/>
        </w:rPr>
        <w:t xml:space="preserve"> direito </w:t>
      </w:r>
      <w:r>
        <w:rPr>
          <w:rFonts w:ascii="Verdana" w:hAnsi="Verdana"/>
          <w:sz w:val="20"/>
        </w:rPr>
        <w:t>consuetudinário d</w:t>
      </w:r>
      <w:r w:rsidRPr="002818E7">
        <w:rPr>
          <w:rFonts w:ascii="Verdana" w:hAnsi="Verdana"/>
          <w:sz w:val="20"/>
        </w:rPr>
        <w:t>os povos</w:t>
      </w:r>
      <w:r>
        <w:rPr>
          <w:rFonts w:ascii="Verdana" w:hAnsi="Verdana"/>
          <w:sz w:val="20"/>
        </w:rPr>
        <w:t xml:space="preserve"> indígenas deve ser </w:t>
      </w:r>
      <w:r w:rsidR="000A20CB">
        <w:rPr>
          <w:rFonts w:ascii="Verdana" w:hAnsi="Verdana"/>
          <w:sz w:val="20"/>
        </w:rPr>
        <w:t xml:space="preserve">levado </w:t>
      </w:r>
      <w:r>
        <w:rPr>
          <w:rFonts w:ascii="Verdana" w:hAnsi="Verdana"/>
          <w:sz w:val="20"/>
        </w:rPr>
        <w:t>especialmente em consideração</w:t>
      </w:r>
      <w:r w:rsidRPr="002818E7">
        <w:rPr>
          <w:rFonts w:ascii="Verdana" w:hAnsi="Verdana"/>
          <w:sz w:val="20"/>
        </w:rPr>
        <w:t xml:space="preserve">, para </w:t>
      </w:r>
      <w:r>
        <w:rPr>
          <w:rFonts w:ascii="Verdana" w:hAnsi="Verdana"/>
          <w:sz w:val="20"/>
        </w:rPr>
        <w:t>os efei</w:t>
      </w:r>
      <w:r w:rsidRPr="002818E7">
        <w:rPr>
          <w:rFonts w:ascii="Verdana" w:hAnsi="Verdana"/>
          <w:sz w:val="20"/>
        </w:rPr>
        <w:t>t</w:t>
      </w:r>
      <w:r>
        <w:rPr>
          <w:rFonts w:ascii="Verdana" w:hAnsi="Verdana"/>
          <w:sz w:val="20"/>
        </w:rPr>
        <w:t xml:space="preserve">os de que se trata. Como produto do costume, </w:t>
      </w:r>
      <w:r w:rsidRPr="002818E7">
        <w:rPr>
          <w:rFonts w:ascii="Verdana" w:hAnsi="Verdana"/>
          <w:sz w:val="20"/>
        </w:rPr>
        <w:t>a posse</w:t>
      </w:r>
      <w:r>
        <w:rPr>
          <w:rFonts w:ascii="Verdana" w:hAnsi="Verdana"/>
          <w:sz w:val="20"/>
        </w:rPr>
        <w:t xml:space="preserve"> d</w:t>
      </w:r>
      <w:r w:rsidRPr="002818E7">
        <w:rPr>
          <w:rFonts w:ascii="Verdana" w:hAnsi="Verdana"/>
          <w:sz w:val="20"/>
        </w:rPr>
        <w:t>a terra dever</w:t>
      </w:r>
      <w:r>
        <w:rPr>
          <w:rFonts w:ascii="Verdana" w:hAnsi="Verdana"/>
          <w:sz w:val="20"/>
        </w:rPr>
        <w:t xml:space="preserve">ia bastar para que </w:t>
      </w:r>
      <w:r w:rsidRPr="002818E7">
        <w:rPr>
          <w:rFonts w:ascii="Verdana" w:hAnsi="Verdana"/>
          <w:sz w:val="20"/>
        </w:rPr>
        <w:t>as comunidades</w:t>
      </w:r>
      <w:r>
        <w:rPr>
          <w:rFonts w:ascii="Verdana" w:hAnsi="Verdana"/>
          <w:sz w:val="20"/>
        </w:rPr>
        <w:t xml:space="preserve"> indígenas que careçam de um título real sobre </w:t>
      </w:r>
      <w:r w:rsidRPr="002818E7">
        <w:rPr>
          <w:rFonts w:ascii="Verdana" w:hAnsi="Verdana"/>
          <w:sz w:val="20"/>
        </w:rPr>
        <w:t>a propriedade</w:t>
      </w:r>
      <w:r>
        <w:rPr>
          <w:rFonts w:ascii="Verdana" w:hAnsi="Verdana"/>
          <w:sz w:val="20"/>
        </w:rPr>
        <w:t xml:space="preserve"> d</w:t>
      </w:r>
      <w:r w:rsidRPr="002818E7">
        <w:rPr>
          <w:rFonts w:ascii="Verdana" w:hAnsi="Verdana"/>
          <w:sz w:val="20"/>
        </w:rPr>
        <w:t>a terra</w:t>
      </w:r>
      <w:r>
        <w:rPr>
          <w:rFonts w:ascii="Verdana" w:hAnsi="Verdana"/>
          <w:sz w:val="20"/>
        </w:rPr>
        <w:t xml:space="preserve"> obtenham o</w:t>
      </w:r>
      <w:r w:rsidRPr="002818E7">
        <w:rPr>
          <w:rFonts w:ascii="Verdana" w:hAnsi="Verdana"/>
          <w:sz w:val="20"/>
        </w:rPr>
        <w:t xml:space="preserve"> reconhecimento</w:t>
      </w:r>
      <w:r>
        <w:rPr>
          <w:rFonts w:ascii="Verdana" w:hAnsi="Verdana"/>
          <w:sz w:val="20"/>
        </w:rPr>
        <w:t xml:space="preserve"> oficial desta</w:t>
      </w:r>
      <w:r w:rsidRPr="002818E7">
        <w:rPr>
          <w:rFonts w:ascii="Verdana" w:hAnsi="Verdana"/>
          <w:sz w:val="20"/>
        </w:rPr>
        <w:t xml:space="preserve"> propriedade</w:t>
      </w:r>
      <w:r>
        <w:rPr>
          <w:rFonts w:ascii="Verdana" w:hAnsi="Verdana"/>
          <w:sz w:val="20"/>
        </w:rPr>
        <w:t xml:space="preserve"> e o</w:t>
      </w:r>
      <w:r w:rsidRPr="002818E7">
        <w:rPr>
          <w:rFonts w:ascii="Verdana" w:hAnsi="Verdana"/>
          <w:sz w:val="20"/>
        </w:rPr>
        <w:t xml:space="preserve"> </w:t>
      </w:r>
      <w:r>
        <w:rPr>
          <w:rFonts w:ascii="Verdana" w:hAnsi="Verdana"/>
          <w:sz w:val="20"/>
        </w:rPr>
        <w:t>consequente</w:t>
      </w:r>
      <w:r w:rsidRPr="002818E7">
        <w:rPr>
          <w:rFonts w:ascii="Verdana" w:hAnsi="Verdana"/>
          <w:sz w:val="20"/>
        </w:rPr>
        <w:t xml:space="preserve"> registro.</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Pr>
          <w:rFonts w:ascii="Verdana" w:hAnsi="Verdana"/>
          <w:sz w:val="20"/>
        </w:rPr>
        <w:t>152.</w:t>
      </w:r>
      <w:r>
        <w:rPr>
          <w:rFonts w:ascii="Verdana" w:hAnsi="Verdana"/>
          <w:sz w:val="20"/>
        </w:rPr>
        <w:tab/>
        <w:t>Como já foi</w:t>
      </w:r>
      <w:r w:rsidRPr="002818E7">
        <w:rPr>
          <w:rFonts w:ascii="Verdana" w:hAnsi="Verdana"/>
          <w:sz w:val="20"/>
        </w:rPr>
        <w:t xml:space="preserve"> </w:t>
      </w:r>
      <w:proofErr w:type="gramStart"/>
      <w:r w:rsidRPr="002818E7">
        <w:rPr>
          <w:rFonts w:ascii="Verdana" w:hAnsi="Verdana"/>
          <w:sz w:val="20"/>
        </w:rPr>
        <w:t>indica</w:t>
      </w:r>
      <w:r w:rsidR="002D33D5">
        <w:rPr>
          <w:rFonts w:ascii="Verdana" w:hAnsi="Verdana"/>
          <w:sz w:val="20"/>
        </w:rPr>
        <w:t>do,</w:t>
      </w:r>
      <w:r w:rsidRPr="002818E7">
        <w:rPr>
          <w:rFonts w:ascii="Verdana" w:hAnsi="Verdana"/>
          <w:sz w:val="20"/>
        </w:rPr>
        <w:t xml:space="preserve"> </w:t>
      </w:r>
      <w:r>
        <w:rPr>
          <w:rFonts w:ascii="Verdana" w:hAnsi="Verdana"/>
          <w:sz w:val="20"/>
        </w:rPr>
        <w:t xml:space="preserve">a </w:t>
      </w:r>
      <w:r w:rsidRPr="002818E7">
        <w:rPr>
          <w:rFonts w:ascii="Verdana" w:hAnsi="Verdana"/>
          <w:sz w:val="20"/>
        </w:rPr>
        <w:t>Nicarágua</w:t>
      </w:r>
      <w:proofErr w:type="gramEnd"/>
      <w:r w:rsidRPr="002818E7">
        <w:rPr>
          <w:rFonts w:ascii="Verdana" w:hAnsi="Verdana"/>
          <w:sz w:val="20"/>
        </w:rPr>
        <w:t xml:space="preserve"> reconhece</w:t>
      </w:r>
      <w:r>
        <w:rPr>
          <w:rFonts w:ascii="Verdana" w:hAnsi="Verdana"/>
          <w:sz w:val="20"/>
        </w:rPr>
        <w:t xml:space="preserve"> </w:t>
      </w:r>
      <w:r w:rsidRPr="002818E7">
        <w:rPr>
          <w:rFonts w:ascii="Verdana" w:hAnsi="Verdana"/>
          <w:sz w:val="20"/>
        </w:rPr>
        <w:t>a propriedade</w:t>
      </w:r>
      <w:r>
        <w:rPr>
          <w:rFonts w:ascii="Verdana" w:hAnsi="Verdana"/>
          <w:sz w:val="20"/>
        </w:rPr>
        <w:t xml:space="preserve"> comunal d</w:t>
      </w:r>
      <w:r w:rsidRPr="002818E7">
        <w:rPr>
          <w:rFonts w:ascii="Verdana" w:hAnsi="Verdana"/>
          <w:sz w:val="20"/>
        </w:rPr>
        <w:t>os povos</w:t>
      </w:r>
      <w:r>
        <w:rPr>
          <w:rFonts w:ascii="Verdana" w:hAnsi="Verdana"/>
          <w:sz w:val="20"/>
        </w:rPr>
        <w:t xml:space="preserve"> indígenas, mas</w:t>
      </w:r>
      <w:r w:rsidRPr="002818E7">
        <w:rPr>
          <w:rFonts w:ascii="Verdana" w:hAnsi="Verdana"/>
          <w:sz w:val="20"/>
        </w:rPr>
        <w:t xml:space="preserve"> n</w:t>
      </w:r>
      <w:r>
        <w:rPr>
          <w:rFonts w:ascii="Verdana" w:hAnsi="Verdana"/>
          <w:sz w:val="20"/>
        </w:rPr>
        <w:t>ão regula</w:t>
      </w:r>
      <w:r w:rsidR="000A20CB">
        <w:rPr>
          <w:rFonts w:ascii="Verdana" w:hAnsi="Verdana"/>
          <w:sz w:val="20"/>
        </w:rPr>
        <w:t>ment</w:t>
      </w:r>
      <w:r w:rsidR="008E112A">
        <w:rPr>
          <w:rFonts w:ascii="Verdana" w:hAnsi="Verdana"/>
          <w:sz w:val="20"/>
        </w:rPr>
        <w:t>ou</w:t>
      </w:r>
      <w:r>
        <w:rPr>
          <w:rFonts w:ascii="Verdana" w:hAnsi="Verdana"/>
          <w:sz w:val="20"/>
        </w:rPr>
        <w:t xml:space="preserve"> o</w:t>
      </w:r>
      <w:r w:rsidRPr="002818E7">
        <w:rPr>
          <w:rFonts w:ascii="Verdana" w:hAnsi="Verdana"/>
          <w:sz w:val="20"/>
        </w:rPr>
        <w:t xml:space="preserve"> procedimento específico para </w:t>
      </w:r>
      <w:r>
        <w:rPr>
          <w:rFonts w:ascii="Verdana" w:hAnsi="Verdana"/>
          <w:sz w:val="20"/>
        </w:rPr>
        <w:t>mate</w:t>
      </w:r>
      <w:r w:rsidRPr="002818E7">
        <w:rPr>
          <w:rFonts w:ascii="Verdana" w:hAnsi="Verdana"/>
          <w:sz w:val="20"/>
        </w:rPr>
        <w:t>ria</w:t>
      </w:r>
      <w:r>
        <w:rPr>
          <w:rFonts w:ascii="Verdana" w:hAnsi="Verdana"/>
          <w:sz w:val="20"/>
        </w:rPr>
        <w:t>lizar este</w:t>
      </w:r>
      <w:r w:rsidRPr="002818E7">
        <w:rPr>
          <w:rFonts w:ascii="Verdana" w:hAnsi="Verdana"/>
          <w:sz w:val="20"/>
        </w:rPr>
        <w:t xml:space="preserve"> reconhecimento</w:t>
      </w:r>
      <w:r>
        <w:rPr>
          <w:rFonts w:ascii="Verdana" w:hAnsi="Verdana"/>
          <w:sz w:val="20"/>
        </w:rPr>
        <w:t xml:space="preserve">, </w:t>
      </w:r>
      <w:r w:rsidRPr="002818E7">
        <w:rPr>
          <w:rFonts w:ascii="Verdana" w:hAnsi="Verdana"/>
          <w:sz w:val="20"/>
        </w:rPr>
        <w:t>o qu</w:t>
      </w:r>
      <w:r w:rsidR="000A20CB">
        <w:rPr>
          <w:rFonts w:ascii="Verdana" w:hAnsi="Verdana"/>
          <w:sz w:val="20"/>
        </w:rPr>
        <w:t>e</w:t>
      </w:r>
      <w:r>
        <w:rPr>
          <w:rFonts w:ascii="Verdana" w:hAnsi="Verdana"/>
          <w:sz w:val="20"/>
        </w:rPr>
        <w:t xml:space="preserve"> tem</w:t>
      </w:r>
      <w:r w:rsidRPr="002818E7">
        <w:rPr>
          <w:rFonts w:ascii="Verdana" w:hAnsi="Verdana"/>
          <w:sz w:val="20"/>
        </w:rPr>
        <w:t xml:space="preserve"> causado que desde</w:t>
      </w:r>
      <w:r>
        <w:rPr>
          <w:rFonts w:ascii="Verdana" w:hAnsi="Verdana"/>
          <w:sz w:val="20"/>
        </w:rPr>
        <w:t xml:space="preserve"> o ano de</w:t>
      </w:r>
      <w:r w:rsidRPr="002818E7">
        <w:rPr>
          <w:rFonts w:ascii="Verdana" w:hAnsi="Verdana"/>
          <w:sz w:val="20"/>
        </w:rPr>
        <w:t xml:space="preserve"> 1990 n</w:t>
      </w:r>
      <w:r>
        <w:rPr>
          <w:rFonts w:ascii="Verdana" w:hAnsi="Verdana"/>
          <w:sz w:val="20"/>
        </w:rPr>
        <w:t>ã</w:t>
      </w:r>
      <w:r w:rsidRPr="002818E7">
        <w:rPr>
          <w:rFonts w:ascii="Verdana" w:hAnsi="Verdana"/>
          <w:sz w:val="20"/>
        </w:rPr>
        <w:t xml:space="preserve">o </w:t>
      </w:r>
      <w:r>
        <w:rPr>
          <w:rFonts w:ascii="Verdana" w:hAnsi="Verdana"/>
          <w:sz w:val="20"/>
        </w:rPr>
        <w:t>tenham sido entregues títulos desta natur</w:t>
      </w:r>
      <w:r w:rsidRPr="002818E7">
        <w:rPr>
          <w:rFonts w:ascii="Verdana" w:hAnsi="Verdana"/>
          <w:sz w:val="20"/>
        </w:rPr>
        <w:t>eza.</w:t>
      </w:r>
      <w:r w:rsidR="00850A3F">
        <w:rPr>
          <w:rFonts w:ascii="Verdana" w:hAnsi="Verdana"/>
          <w:sz w:val="20"/>
        </w:rPr>
        <w:t xml:space="preserve"> </w:t>
      </w:r>
      <w:r w:rsidRPr="002818E7">
        <w:rPr>
          <w:rFonts w:ascii="Verdana" w:hAnsi="Verdana"/>
          <w:sz w:val="20"/>
        </w:rPr>
        <w:t>Ademais</w:t>
      </w:r>
      <w:r>
        <w:rPr>
          <w:rFonts w:ascii="Verdana" w:hAnsi="Verdana"/>
          <w:sz w:val="20"/>
        </w:rPr>
        <w:t>, no presente caso, o</w:t>
      </w:r>
      <w:r w:rsidRPr="002818E7">
        <w:rPr>
          <w:rFonts w:ascii="Verdana" w:hAnsi="Verdana"/>
          <w:sz w:val="20"/>
        </w:rPr>
        <w:t xml:space="preserve"> Estado n</w:t>
      </w:r>
      <w:r>
        <w:rPr>
          <w:rFonts w:ascii="Verdana" w:hAnsi="Verdana"/>
          <w:sz w:val="20"/>
        </w:rPr>
        <w:t xml:space="preserve">ão </w:t>
      </w:r>
      <w:r w:rsidR="000A20CB">
        <w:rPr>
          <w:rFonts w:ascii="Verdana" w:hAnsi="Verdana"/>
          <w:sz w:val="20"/>
        </w:rPr>
        <w:t xml:space="preserve">se </w:t>
      </w:r>
      <w:r w:rsidR="008E112A">
        <w:rPr>
          <w:rFonts w:ascii="Verdana" w:hAnsi="Verdana"/>
          <w:sz w:val="20"/>
        </w:rPr>
        <w:t>opôs</w:t>
      </w:r>
      <w:r>
        <w:rPr>
          <w:rFonts w:ascii="Verdana" w:hAnsi="Verdana"/>
          <w:sz w:val="20"/>
        </w:rPr>
        <w:t xml:space="preserve"> à</w:t>
      </w:r>
      <w:r w:rsidRPr="002818E7">
        <w:rPr>
          <w:rFonts w:ascii="Verdana" w:hAnsi="Verdana"/>
          <w:sz w:val="20"/>
        </w:rPr>
        <w:t xml:space="preserve"> pretensão</w:t>
      </w:r>
      <w:r>
        <w:rPr>
          <w:rFonts w:ascii="Verdana" w:hAnsi="Verdana"/>
          <w:sz w:val="20"/>
        </w:rPr>
        <w:t xml:space="preserve"> d</w:t>
      </w:r>
      <w:r w:rsidRPr="002818E7">
        <w:rPr>
          <w:rFonts w:ascii="Verdana" w:hAnsi="Verdana"/>
          <w:sz w:val="20"/>
        </w:rPr>
        <w:t>a Comunidade Awas Tingni de ser declarada prop</w:t>
      </w:r>
      <w:r>
        <w:rPr>
          <w:rFonts w:ascii="Verdana" w:hAnsi="Verdana"/>
          <w:sz w:val="20"/>
        </w:rPr>
        <w:t xml:space="preserve">rietária, mesmo que seja discutida </w:t>
      </w:r>
      <w:r w:rsidRPr="002818E7">
        <w:rPr>
          <w:rFonts w:ascii="Verdana" w:hAnsi="Verdana"/>
          <w:sz w:val="20"/>
        </w:rPr>
        <w:t>a extensão</w:t>
      </w:r>
      <w:r>
        <w:rPr>
          <w:rFonts w:ascii="Verdana" w:hAnsi="Verdana"/>
          <w:sz w:val="20"/>
        </w:rPr>
        <w:t xml:space="preserve"> da área que e</w:t>
      </w:r>
      <w:r w:rsidRPr="002818E7">
        <w:rPr>
          <w:rFonts w:ascii="Verdana" w:hAnsi="Verdana"/>
          <w:sz w:val="20"/>
        </w:rPr>
        <w:t>sta reclama.</w:t>
      </w:r>
    </w:p>
    <w:p w:rsidR="00C336FB" w:rsidRDefault="00C336FB" w:rsidP="00C336FB">
      <w:pPr>
        <w:jc w:val="both"/>
        <w:rPr>
          <w:rFonts w:ascii="Verdana" w:hAnsi="Verdana"/>
          <w:sz w:val="20"/>
        </w:rPr>
      </w:pPr>
    </w:p>
    <w:p w:rsidR="00C336FB" w:rsidRDefault="00C336FB" w:rsidP="00C336FB">
      <w:pPr>
        <w:jc w:val="both"/>
        <w:rPr>
          <w:rFonts w:ascii="Verdana" w:hAnsi="Verdana"/>
          <w:sz w:val="20"/>
        </w:rPr>
      </w:pPr>
      <w:r>
        <w:rPr>
          <w:rFonts w:ascii="Verdana" w:hAnsi="Verdana"/>
          <w:sz w:val="20"/>
        </w:rPr>
        <w:t>153.</w:t>
      </w:r>
      <w:r>
        <w:rPr>
          <w:rFonts w:ascii="Verdana" w:hAnsi="Verdana"/>
          <w:sz w:val="20"/>
        </w:rPr>
        <w:tab/>
        <w:t>A</w:t>
      </w:r>
      <w:r w:rsidRPr="002818E7">
        <w:rPr>
          <w:rFonts w:ascii="Verdana" w:hAnsi="Verdana"/>
          <w:sz w:val="20"/>
        </w:rPr>
        <w:t xml:space="preserve"> Corte considera que, conforme</w:t>
      </w:r>
      <w:r>
        <w:rPr>
          <w:rFonts w:ascii="Verdana" w:hAnsi="Verdana"/>
          <w:sz w:val="20"/>
        </w:rPr>
        <w:t xml:space="preserve"> o</w:t>
      </w:r>
      <w:r w:rsidRPr="002818E7">
        <w:rPr>
          <w:rFonts w:ascii="Verdana" w:hAnsi="Verdana"/>
          <w:sz w:val="20"/>
        </w:rPr>
        <w:t xml:space="preserve"> estabelecido</w:t>
      </w:r>
      <w:r>
        <w:rPr>
          <w:rFonts w:ascii="Verdana" w:hAnsi="Verdana"/>
          <w:sz w:val="20"/>
        </w:rPr>
        <w:t xml:space="preserve"> no</w:t>
      </w:r>
      <w:r w:rsidRPr="002818E7">
        <w:rPr>
          <w:rFonts w:ascii="Verdana" w:hAnsi="Verdana"/>
          <w:sz w:val="20"/>
        </w:rPr>
        <w:t xml:space="preserve"> artigo</w:t>
      </w:r>
      <w:r>
        <w:rPr>
          <w:rFonts w:ascii="Verdana" w:hAnsi="Verdana"/>
          <w:sz w:val="20"/>
        </w:rPr>
        <w:t xml:space="preserve"> </w:t>
      </w:r>
      <w:proofErr w:type="gramStart"/>
      <w:r>
        <w:rPr>
          <w:rFonts w:ascii="Verdana" w:hAnsi="Verdana"/>
          <w:sz w:val="20"/>
        </w:rPr>
        <w:t>5</w:t>
      </w:r>
      <w:proofErr w:type="gramEnd"/>
      <w:r>
        <w:rPr>
          <w:rFonts w:ascii="Verdana" w:hAnsi="Verdana"/>
          <w:sz w:val="20"/>
        </w:rPr>
        <w:t xml:space="preserve"> d</w:t>
      </w:r>
      <w:r w:rsidRPr="002818E7">
        <w:rPr>
          <w:rFonts w:ascii="Verdana" w:hAnsi="Verdana"/>
          <w:sz w:val="20"/>
        </w:rPr>
        <w:t>a Constituição</w:t>
      </w:r>
      <w:r>
        <w:rPr>
          <w:rFonts w:ascii="Verdana" w:hAnsi="Verdana"/>
          <w:sz w:val="20"/>
        </w:rPr>
        <w:t xml:space="preserve"> Política da</w:t>
      </w:r>
      <w:r w:rsidRPr="002818E7">
        <w:rPr>
          <w:rFonts w:ascii="Verdana" w:hAnsi="Verdana"/>
          <w:sz w:val="20"/>
        </w:rPr>
        <w:t xml:space="preserve"> Nicarágua</w:t>
      </w:r>
      <w:r>
        <w:rPr>
          <w:rFonts w:ascii="Verdana" w:hAnsi="Verdana"/>
          <w:sz w:val="20"/>
        </w:rPr>
        <w:t xml:space="preserve">, </w:t>
      </w:r>
      <w:r w:rsidRPr="002818E7">
        <w:rPr>
          <w:rFonts w:ascii="Verdana" w:hAnsi="Verdana"/>
          <w:sz w:val="20"/>
        </w:rPr>
        <w:t>os membros</w:t>
      </w:r>
      <w:r>
        <w:rPr>
          <w:rFonts w:ascii="Verdana" w:hAnsi="Verdana"/>
          <w:sz w:val="20"/>
        </w:rPr>
        <w:t xml:space="preserve"> d</w:t>
      </w:r>
      <w:r w:rsidRPr="002818E7">
        <w:rPr>
          <w:rFonts w:ascii="Verdana" w:hAnsi="Verdana"/>
          <w:sz w:val="20"/>
        </w:rPr>
        <w:t>a Comunidade Awas Tingni têm</w:t>
      </w:r>
      <w:r>
        <w:rPr>
          <w:rFonts w:ascii="Verdana" w:hAnsi="Verdana"/>
          <w:sz w:val="20"/>
        </w:rPr>
        <w:t xml:space="preserve"> um</w:t>
      </w:r>
      <w:r w:rsidRPr="002818E7">
        <w:rPr>
          <w:rFonts w:ascii="Verdana" w:hAnsi="Verdana"/>
          <w:sz w:val="20"/>
        </w:rPr>
        <w:t xml:space="preserve"> direito de </w:t>
      </w:r>
      <w:r w:rsidRPr="002818E7">
        <w:rPr>
          <w:rFonts w:ascii="Verdana" w:hAnsi="Verdana"/>
          <w:sz w:val="20"/>
        </w:rPr>
        <w:lastRenderedPageBreak/>
        <w:t>propriedade</w:t>
      </w:r>
      <w:r>
        <w:rPr>
          <w:rFonts w:ascii="Verdana" w:hAnsi="Verdana"/>
          <w:sz w:val="20"/>
        </w:rPr>
        <w:t xml:space="preserve"> comunal sobre </w:t>
      </w:r>
      <w:r w:rsidRPr="002818E7">
        <w:rPr>
          <w:rFonts w:ascii="Verdana" w:hAnsi="Verdana"/>
          <w:sz w:val="20"/>
        </w:rPr>
        <w:t>as terras</w:t>
      </w:r>
      <w:r>
        <w:rPr>
          <w:rFonts w:ascii="Verdana" w:hAnsi="Verdana"/>
          <w:sz w:val="20"/>
        </w:rPr>
        <w:t xml:space="preserve"> onde atualmente habitam, sem prejuízo do</w:t>
      </w:r>
      <w:r w:rsidRPr="002818E7">
        <w:rPr>
          <w:rFonts w:ascii="Verdana" w:hAnsi="Verdana"/>
          <w:sz w:val="20"/>
        </w:rPr>
        <w:t>s direitos de outras comunidades indíg</w:t>
      </w:r>
      <w:r>
        <w:rPr>
          <w:rFonts w:ascii="Verdana" w:hAnsi="Verdana"/>
          <w:sz w:val="20"/>
        </w:rPr>
        <w:t xml:space="preserve">enas. Entretanto, a Corte adverte que os </w:t>
      </w:r>
      <w:r w:rsidR="002D33D5">
        <w:rPr>
          <w:rFonts w:ascii="Verdana" w:hAnsi="Verdana"/>
          <w:sz w:val="20"/>
        </w:rPr>
        <w:t>limites</w:t>
      </w:r>
      <w:r>
        <w:rPr>
          <w:rFonts w:ascii="Verdana" w:hAnsi="Verdana"/>
          <w:sz w:val="20"/>
        </w:rPr>
        <w:t xml:space="preserve"> do</w:t>
      </w:r>
      <w:r w:rsidRPr="002818E7">
        <w:rPr>
          <w:rFonts w:ascii="Verdana" w:hAnsi="Verdana"/>
          <w:sz w:val="20"/>
        </w:rPr>
        <w:t xml:space="preserve"> território</w:t>
      </w:r>
      <w:r>
        <w:rPr>
          <w:rFonts w:ascii="Verdana" w:hAnsi="Verdana"/>
          <w:sz w:val="20"/>
        </w:rPr>
        <w:t xml:space="preserve"> sobre </w:t>
      </w:r>
      <w:r w:rsidRPr="002818E7">
        <w:rPr>
          <w:rFonts w:ascii="Verdana" w:hAnsi="Verdana"/>
          <w:sz w:val="20"/>
        </w:rPr>
        <w:t xml:space="preserve">os </w:t>
      </w:r>
      <w:r>
        <w:rPr>
          <w:rFonts w:ascii="Verdana" w:hAnsi="Verdana"/>
          <w:sz w:val="20"/>
        </w:rPr>
        <w:t>quais existe esse</w:t>
      </w:r>
      <w:r w:rsidRPr="002818E7">
        <w:rPr>
          <w:rFonts w:ascii="Verdana" w:hAnsi="Verdana"/>
          <w:sz w:val="20"/>
        </w:rPr>
        <w:t xml:space="preserve"> direito de propriedade n</w:t>
      </w:r>
      <w:r>
        <w:rPr>
          <w:rFonts w:ascii="Verdana" w:hAnsi="Verdana"/>
          <w:sz w:val="20"/>
        </w:rPr>
        <w:t xml:space="preserve">ão </w:t>
      </w:r>
      <w:r w:rsidR="000A20CB">
        <w:rPr>
          <w:rFonts w:ascii="Verdana" w:hAnsi="Verdana"/>
          <w:sz w:val="20"/>
        </w:rPr>
        <w:t xml:space="preserve">foram </w:t>
      </w:r>
      <w:r>
        <w:rPr>
          <w:rFonts w:ascii="Verdana" w:hAnsi="Verdana"/>
          <w:sz w:val="20"/>
        </w:rPr>
        <w:t>efetivamente delimitados e demarcados p</w:t>
      </w:r>
      <w:r w:rsidRPr="002818E7">
        <w:rPr>
          <w:rFonts w:ascii="Verdana" w:hAnsi="Verdana"/>
          <w:sz w:val="20"/>
        </w:rPr>
        <w:t>el</w:t>
      </w:r>
      <w:r>
        <w:rPr>
          <w:rFonts w:ascii="Verdana" w:hAnsi="Verdana"/>
          <w:sz w:val="20"/>
        </w:rPr>
        <w:t>o</w:t>
      </w:r>
      <w:r w:rsidR="008E112A">
        <w:rPr>
          <w:rFonts w:ascii="Verdana" w:hAnsi="Verdana"/>
          <w:sz w:val="20"/>
        </w:rPr>
        <w:t xml:space="preserve"> Estado. Ess</w:t>
      </w:r>
      <w:r w:rsidRPr="002818E7">
        <w:rPr>
          <w:rFonts w:ascii="Verdana" w:hAnsi="Verdana"/>
          <w:sz w:val="20"/>
        </w:rPr>
        <w:t>a situação</w:t>
      </w:r>
      <w:r>
        <w:rPr>
          <w:rFonts w:ascii="Verdana" w:hAnsi="Verdana"/>
          <w:sz w:val="20"/>
        </w:rPr>
        <w:t xml:space="preserve"> tem criado um clima de incerteza permanente entre </w:t>
      </w:r>
      <w:r w:rsidRPr="002818E7">
        <w:rPr>
          <w:rFonts w:ascii="Verdana" w:hAnsi="Verdana"/>
          <w:sz w:val="20"/>
        </w:rPr>
        <w:t>os membros</w:t>
      </w:r>
      <w:r>
        <w:rPr>
          <w:rFonts w:ascii="Verdana" w:hAnsi="Verdana"/>
          <w:sz w:val="20"/>
        </w:rPr>
        <w:t xml:space="preserve"> d</w:t>
      </w:r>
      <w:r w:rsidRPr="002818E7">
        <w:rPr>
          <w:rFonts w:ascii="Verdana" w:hAnsi="Verdana"/>
          <w:sz w:val="20"/>
        </w:rPr>
        <w:t>a Comunidade</w:t>
      </w:r>
      <w:r>
        <w:rPr>
          <w:rFonts w:ascii="Verdana" w:hAnsi="Verdana"/>
          <w:sz w:val="20"/>
        </w:rPr>
        <w:t xml:space="preserve"> Awas Tingni já que</w:t>
      </w:r>
      <w:r w:rsidRPr="002818E7">
        <w:rPr>
          <w:rFonts w:ascii="Verdana" w:hAnsi="Verdana"/>
          <w:sz w:val="20"/>
        </w:rPr>
        <w:t xml:space="preserve"> n</w:t>
      </w:r>
      <w:r>
        <w:rPr>
          <w:rFonts w:ascii="Verdana" w:hAnsi="Verdana"/>
          <w:sz w:val="20"/>
        </w:rPr>
        <w:t xml:space="preserve">ão sabem com certeza até </w:t>
      </w:r>
      <w:r w:rsidRPr="002D33D5">
        <w:rPr>
          <w:rFonts w:ascii="Verdana" w:hAnsi="Verdana"/>
          <w:sz w:val="20"/>
        </w:rPr>
        <w:t>onde se estende geograficamente</w:t>
      </w:r>
      <w:r w:rsidRPr="002818E7">
        <w:rPr>
          <w:rFonts w:ascii="Verdana" w:hAnsi="Verdana"/>
          <w:sz w:val="20"/>
        </w:rPr>
        <w:t xml:space="preserve"> s</w:t>
      </w:r>
      <w:r>
        <w:rPr>
          <w:rFonts w:ascii="Verdana" w:hAnsi="Verdana"/>
          <w:sz w:val="20"/>
        </w:rPr>
        <w:t>e</w:t>
      </w:r>
      <w:r w:rsidRPr="002818E7">
        <w:rPr>
          <w:rFonts w:ascii="Verdana" w:hAnsi="Verdana"/>
          <w:sz w:val="20"/>
        </w:rPr>
        <w:t>u direito de propriedade</w:t>
      </w:r>
      <w:r>
        <w:rPr>
          <w:rFonts w:ascii="Verdana" w:hAnsi="Verdana"/>
          <w:sz w:val="20"/>
        </w:rPr>
        <w:t xml:space="preserve"> comunal e, conseq</w:t>
      </w:r>
      <w:r w:rsidRPr="002818E7">
        <w:rPr>
          <w:rFonts w:ascii="Verdana" w:hAnsi="Verdana"/>
          <w:sz w:val="20"/>
        </w:rPr>
        <w:t>uentemente, desconhece</w:t>
      </w:r>
      <w:r>
        <w:rPr>
          <w:rFonts w:ascii="Verdana" w:hAnsi="Verdana"/>
          <w:sz w:val="20"/>
        </w:rPr>
        <w:t>m até o</w:t>
      </w:r>
      <w:r w:rsidRPr="002818E7">
        <w:rPr>
          <w:rFonts w:ascii="Verdana" w:hAnsi="Verdana"/>
          <w:sz w:val="20"/>
        </w:rPr>
        <w:t>nde pode</w:t>
      </w:r>
      <w:r>
        <w:rPr>
          <w:rFonts w:ascii="Verdana" w:hAnsi="Verdana"/>
          <w:sz w:val="20"/>
        </w:rPr>
        <w:t>m usar e gozar livremente dos respectivos bens. N</w:t>
      </w:r>
      <w:r w:rsidRPr="002818E7">
        <w:rPr>
          <w:rFonts w:ascii="Verdana" w:hAnsi="Verdana"/>
          <w:sz w:val="20"/>
        </w:rPr>
        <w:t>es</w:t>
      </w:r>
      <w:r w:rsidR="008E112A">
        <w:rPr>
          <w:rFonts w:ascii="Verdana" w:hAnsi="Verdana"/>
          <w:sz w:val="20"/>
        </w:rPr>
        <w:t>s</w:t>
      </w:r>
      <w:r w:rsidRPr="002818E7">
        <w:rPr>
          <w:rFonts w:ascii="Verdana" w:hAnsi="Verdana"/>
          <w:sz w:val="20"/>
        </w:rPr>
        <w:t>e e</w:t>
      </w:r>
      <w:r>
        <w:rPr>
          <w:rFonts w:ascii="Verdana" w:hAnsi="Verdana"/>
          <w:sz w:val="20"/>
        </w:rPr>
        <w:t xml:space="preserve">ntendimento, </w:t>
      </w:r>
      <w:r w:rsidRPr="002818E7">
        <w:rPr>
          <w:rFonts w:ascii="Verdana" w:hAnsi="Verdana"/>
          <w:sz w:val="20"/>
        </w:rPr>
        <w:t xml:space="preserve">a Corte </w:t>
      </w:r>
      <w:r>
        <w:rPr>
          <w:rFonts w:ascii="Verdana" w:hAnsi="Verdana"/>
          <w:sz w:val="20"/>
        </w:rPr>
        <w:t xml:space="preserve">considera que </w:t>
      </w:r>
      <w:r w:rsidRPr="002818E7">
        <w:rPr>
          <w:rFonts w:ascii="Verdana" w:hAnsi="Verdana"/>
          <w:sz w:val="20"/>
        </w:rPr>
        <w:t>os membros</w:t>
      </w:r>
      <w:r>
        <w:rPr>
          <w:rFonts w:ascii="Verdana" w:hAnsi="Verdana"/>
          <w:sz w:val="20"/>
        </w:rPr>
        <w:t xml:space="preserve"> d</w:t>
      </w:r>
      <w:r w:rsidRPr="002818E7">
        <w:rPr>
          <w:rFonts w:ascii="Verdana" w:hAnsi="Verdana"/>
          <w:sz w:val="20"/>
        </w:rPr>
        <w:t>a Comunidade Awas Tigni têm direito</w:t>
      </w:r>
      <w:r>
        <w:rPr>
          <w:rFonts w:ascii="Verdana" w:hAnsi="Verdana"/>
          <w:sz w:val="20"/>
        </w:rPr>
        <w:t xml:space="preserve"> a que o</w:t>
      </w:r>
      <w:r w:rsidRPr="002818E7">
        <w:rPr>
          <w:rFonts w:ascii="Verdana" w:hAnsi="Verdana"/>
          <w:sz w:val="20"/>
        </w:rPr>
        <w:t xml:space="preserve"> Estado, </w:t>
      </w:r>
    </w:p>
    <w:p w:rsidR="00C336FB" w:rsidRPr="002818E7" w:rsidRDefault="00C336FB" w:rsidP="00C336FB">
      <w:pPr>
        <w:jc w:val="both"/>
        <w:rPr>
          <w:rFonts w:ascii="Verdana" w:hAnsi="Verdana"/>
          <w:sz w:val="20"/>
        </w:rPr>
      </w:pPr>
    </w:p>
    <w:p w:rsidR="00C336FB" w:rsidRDefault="00C336FB" w:rsidP="00C336FB">
      <w:pPr>
        <w:numPr>
          <w:ilvl w:val="0"/>
          <w:numId w:val="12"/>
        </w:numPr>
        <w:ind w:left="993" w:firstLine="0"/>
        <w:jc w:val="both"/>
        <w:rPr>
          <w:rFonts w:ascii="Verdana" w:hAnsi="Verdana"/>
          <w:sz w:val="20"/>
        </w:rPr>
      </w:pPr>
      <w:proofErr w:type="gramStart"/>
      <w:r>
        <w:rPr>
          <w:rFonts w:ascii="Verdana" w:hAnsi="Verdana"/>
          <w:sz w:val="20"/>
        </w:rPr>
        <w:t>delimite</w:t>
      </w:r>
      <w:proofErr w:type="gramEnd"/>
      <w:r>
        <w:rPr>
          <w:rFonts w:ascii="Verdana" w:hAnsi="Verdana"/>
          <w:sz w:val="20"/>
        </w:rPr>
        <w:t>, demarque e titule o</w:t>
      </w:r>
      <w:r w:rsidRPr="002818E7">
        <w:rPr>
          <w:rFonts w:ascii="Verdana" w:hAnsi="Verdana"/>
          <w:sz w:val="20"/>
        </w:rPr>
        <w:t xml:space="preserve"> território de propriedade</w:t>
      </w:r>
      <w:r>
        <w:rPr>
          <w:rFonts w:ascii="Verdana" w:hAnsi="Verdana"/>
          <w:sz w:val="20"/>
        </w:rPr>
        <w:t xml:space="preserve"> d</w:t>
      </w:r>
      <w:r w:rsidRPr="002818E7">
        <w:rPr>
          <w:rFonts w:ascii="Verdana" w:hAnsi="Verdana"/>
          <w:sz w:val="20"/>
        </w:rPr>
        <w:t>a Comunidade</w:t>
      </w:r>
      <w:r>
        <w:rPr>
          <w:rFonts w:ascii="Verdana" w:hAnsi="Verdana"/>
          <w:sz w:val="20"/>
        </w:rPr>
        <w:t>; e</w:t>
      </w:r>
    </w:p>
    <w:p w:rsidR="00C336FB" w:rsidRPr="002818E7" w:rsidRDefault="00C336FB" w:rsidP="00C336FB">
      <w:pPr>
        <w:numPr>
          <w:ilvl w:val="0"/>
          <w:numId w:val="12"/>
        </w:numPr>
        <w:ind w:left="993" w:firstLine="0"/>
        <w:jc w:val="both"/>
        <w:rPr>
          <w:rFonts w:ascii="Verdana" w:hAnsi="Verdana"/>
          <w:sz w:val="20"/>
        </w:rPr>
      </w:pPr>
      <w:proofErr w:type="gramStart"/>
      <w:r>
        <w:rPr>
          <w:rFonts w:ascii="Verdana" w:hAnsi="Verdana"/>
          <w:sz w:val="20"/>
        </w:rPr>
        <w:t>abstenh</w:t>
      </w:r>
      <w:r w:rsidRPr="002818E7">
        <w:rPr>
          <w:rFonts w:ascii="Verdana" w:hAnsi="Verdana"/>
          <w:sz w:val="20"/>
        </w:rPr>
        <w:t>a</w:t>
      </w:r>
      <w:proofErr w:type="gramEnd"/>
      <w:r>
        <w:rPr>
          <w:rFonts w:ascii="Verdana" w:hAnsi="Verdana"/>
          <w:sz w:val="20"/>
        </w:rPr>
        <w:t>-se de realizar, até que</w:t>
      </w:r>
      <w:r w:rsidRPr="002818E7">
        <w:rPr>
          <w:rFonts w:ascii="Verdana" w:hAnsi="Verdana"/>
          <w:sz w:val="20"/>
        </w:rPr>
        <w:t xml:space="preserve"> </w:t>
      </w:r>
      <w:r>
        <w:rPr>
          <w:rFonts w:ascii="Verdana" w:hAnsi="Verdana"/>
          <w:sz w:val="20"/>
        </w:rPr>
        <w:t>seja realizada</w:t>
      </w:r>
      <w:r w:rsidRPr="002818E7">
        <w:rPr>
          <w:rFonts w:ascii="Verdana" w:hAnsi="Verdana"/>
          <w:sz w:val="20"/>
        </w:rPr>
        <w:t xml:space="preserve"> e</w:t>
      </w:r>
      <w:r>
        <w:rPr>
          <w:rFonts w:ascii="Verdana" w:hAnsi="Verdana"/>
          <w:sz w:val="20"/>
        </w:rPr>
        <w:t>s</w:t>
      </w:r>
      <w:r w:rsidRPr="002818E7">
        <w:rPr>
          <w:rFonts w:ascii="Verdana" w:hAnsi="Verdana"/>
          <w:sz w:val="20"/>
        </w:rPr>
        <w:t>sa delimitação, demarcação</w:t>
      </w:r>
      <w:r>
        <w:rPr>
          <w:rFonts w:ascii="Verdana" w:hAnsi="Verdana"/>
          <w:sz w:val="20"/>
        </w:rPr>
        <w:t xml:space="preserve"> e</w:t>
      </w:r>
      <w:r w:rsidRPr="002818E7">
        <w:rPr>
          <w:rFonts w:ascii="Verdana" w:hAnsi="Verdana"/>
          <w:sz w:val="20"/>
        </w:rPr>
        <w:t xml:space="preserve"> titulação</w:t>
      </w:r>
      <w:r>
        <w:rPr>
          <w:rFonts w:ascii="Verdana" w:hAnsi="Verdana"/>
          <w:sz w:val="20"/>
        </w:rPr>
        <w:t>, a</w:t>
      </w:r>
      <w:r w:rsidRPr="002818E7">
        <w:rPr>
          <w:rFonts w:ascii="Verdana" w:hAnsi="Verdana"/>
          <w:sz w:val="20"/>
        </w:rPr>
        <w:t>tos que possam</w:t>
      </w:r>
      <w:r>
        <w:rPr>
          <w:rFonts w:ascii="Verdana" w:hAnsi="Verdana"/>
          <w:sz w:val="20"/>
        </w:rPr>
        <w:t xml:space="preserve"> levar a que os agentes do</w:t>
      </w:r>
      <w:r w:rsidRPr="002818E7">
        <w:rPr>
          <w:rFonts w:ascii="Verdana" w:hAnsi="Verdana"/>
          <w:sz w:val="20"/>
        </w:rPr>
        <w:t xml:space="preserve"> </w:t>
      </w:r>
      <w:r>
        <w:rPr>
          <w:rFonts w:ascii="Verdana" w:hAnsi="Verdana"/>
          <w:sz w:val="20"/>
        </w:rPr>
        <w:t>próprio</w:t>
      </w:r>
      <w:r w:rsidRPr="002818E7">
        <w:rPr>
          <w:rFonts w:ascii="Verdana" w:hAnsi="Verdana"/>
          <w:sz w:val="20"/>
        </w:rPr>
        <w:t xml:space="preserve"> Estado, o</w:t>
      </w:r>
      <w:r>
        <w:rPr>
          <w:rFonts w:ascii="Verdana" w:hAnsi="Verdana"/>
          <w:sz w:val="20"/>
        </w:rPr>
        <w:t>u</w:t>
      </w:r>
      <w:r w:rsidRPr="002818E7">
        <w:rPr>
          <w:rFonts w:ascii="Verdana" w:hAnsi="Verdana"/>
          <w:sz w:val="20"/>
        </w:rPr>
        <w:t xml:space="preserve"> terce</w:t>
      </w:r>
      <w:r>
        <w:rPr>
          <w:rFonts w:ascii="Verdana" w:hAnsi="Verdana"/>
          <w:sz w:val="20"/>
        </w:rPr>
        <w:t>iros que atuem com</w:t>
      </w:r>
      <w:r w:rsidRPr="002818E7">
        <w:rPr>
          <w:rFonts w:ascii="Verdana" w:hAnsi="Verdana"/>
          <w:sz w:val="20"/>
        </w:rPr>
        <w:t xml:space="preserve"> su</w:t>
      </w:r>
      <w:r>
        <w:rPr>
          <w:rFonts w:ascii="Verdana" w:hAnsi="Verdana"/>
          <w:sz w:val="20"/>
        </w:rPr>
        <w:t>a</w:t>
      </w:r>
      <w:r w:rsidRPr="002818E7">
        <w:rPr>
          <w:rFonts w:ascii="Verdana" w:hAnsi="Verdana"/>
          <w:sz w:val="20"/>
        </w:rPr>
        <w:t xml:space="preserve"> </w:t>
      </w:r>
      <w:r>
        <w:rPr>
          <w:rFonts w:ascii="Verdana" w:hAnsi="Verdana"/>
          <w:sz w:val="20"/>
        </w:rPr>
        <w:t>aquiescência</w:t>
      </w:r>
      <w:r w:rsidRPr="002818E7">
        <w:rPr>
          <w:rFonts w:ascii="Verdana" w:hAnsi="Verdana"/>
          <w:sz w:val="20"/>
        </w:rPr>
        <w:t xml:space="preserve"> o</w:t>
      </w:r>
      <w:r>
        <w:rPr>
          <w:rFonts w:ascii="Verdana" w:hAnsi="Verdana"/>
          <w:sz w:val="20"/>
        </w:rPr>
        <w:t>u</w:t>
      </w:r>
      <w:r w:rsidRPr="002818E7">
        <w:rPr>
          <w:rFonts w:ascii="Verdana" w:hAnsi="Verdana"/>
          <w:sz w:val="20"/>
        </w:rPr>
        <w:t xml:space="preserve"> su</w:t>
      </w:r>
      <w:r>
        <w:rPr>
          <w:rFonts w:ascii="Verdana" w:hAnsi="Verdana"/>
          <w:sz w:val="20"/>
        </w:rPr>
        <w:t>a</w:t>
      </w:r>
      <w:r w:rsidRPr="002818E7">
        <w:rPr>
          <w:rFonts w:ascii="Verdana" w:hAnsi="Verdana"/>
          <w:sz w:val="20"/>
        </w:rPr>
        <w:t xml:space="preserve"> </w:t>
      </w:r>
      <w:r>
        <w:rPr>
          <w:rFonts w:ascii="Verdana" w:hAnsi="Verdana"/>
          <w:sz w:val="20"/>
        </w:rPr>
        <w:t xml:space="preserve">tolerância, prejudiquem </w:t>
      </w:r>
      <w:r w:rsidRPr="002818E7">
        <w:rPr>
          <w:rFonts w:ascii="Verdana" w:hAnsi="Verdana"/>
          <w:sz w:val="20"/>
        </w:rPr>
        <w:t xml:space="preserve">a </w:t>
      </w:r>
      <w:r>
        <w:rPr>
          <w:rFonts w:ascii="Verdana" w:hAnsi="Verdana"/>
          <w:sz w:val="20"/>
        </w:rPr>
        <w:t>existê</w:t>
      </w:r>
      <w:r w:rsidRPr="002818E7">
        <w:rPr>
          <w:rFonts w:ascii="Verdana" w:hAnsi="Verdana"/>
          <w:sz w:val="20"/>
        </w:rPr>
        <w:t>ncia</w:t>
      </w:r>
      <w:r>
        <w:rPr>
          <w:rFonts w:ascii="Verdana" w:hAnsi="Verdana"/>
          <w:sz w:val="20"/>
        </w:rPr>
        <w:t>, o valor, o</w:t>
      </w:r>
      <w:r w:rsidRPr="002818E7">
        <w:rPr>
          <w:rFonts w:ascii="Verdana" w:hAnsi="Verdana"/>
          <w:sz w:val="20"/>
        </w:rPr>
        <w:t xml:space="preserve"> uso o</w:t>
      </w:r>
      <w:r>
        <w:rPr>
          <w:rFonts w:ascii="Verdana" w:hAnsi="Verdana"/>
          <w:sz w:val="20"/>
        </w:rPr>
        <w:t>u o gozo dos ben</w:t>
      </w:r>
      <w:r w:rsidRPr="002818E7">
        <w:rPr>
          <w:rFonts w:ascii="Verdana" w:hAnsi="Verdana"/>
          <w:sz w:val="20"/>
        </w:rPr>
        <w:t>s localizados</w:t>
      </w:r>
      <w:r>
        <w:rPr>
          <w:rFonts w:ascii="Verdana" w:hAnsi="Verdana"/>
          <w:sz w:val="20"/>
        </w:rPr>
        <w:t xml:space="preserve"> na zona geográfica onde habitam e realizam</w:t>
      </w:r>
      <w:r w:rsidRPr="002818E7">
        <w:rPr>
          <w:rFonts w:ascii="Verdana" w:hAnsi="Verdana"/>
          <w:sz w:val="20"/>
        </w:rPr>
        <w:t xml:space="preserve"> su</w:t>
      </w:r>
      <w:r>
        <w:rPr>
          <w:rFonts w:ascii="Verdana" w:hAnsi="Verdana"/>
          <w:sz w:val="20"/>
        </w:rPr>
        <w:t>a</w:t>
      </w:r>
      <w:r w:rsidRPr="002818E7">
        <w:rPr>
          <w:rFonts w:ascii="Verdana" w:hAnsi="Verdana"/>
          <w:sz w:val="20"/>
        </w:rPr>
        <w:t>s atividades</w:t>
      </w:r>
      <w:r>
        <w:rPr>
          <w:rFonts w:ascii="Verdana" w:hAnsi="Verdana"/>
          <w:sz w:val="20"/>
        </w:rPr>
        <w:t xml:space="preserve"> </w:t>
      </w:r>
      <w:r w:rsidRPr="002818E7">
        <w:rPr>
          <w:rFonts w:ascii="Verdana" w:hAnsi="Verdana"/>
          <w:sz w:val="20"/>
        </w:rPr>
        <w:t>os membros</w:t>
      </w:r>
      <w:r>
        <w:rPr>
          <w:rFonts w:ascii="Verdana" w:hAnsi="Verdana"/>
          <w:sz w:val="20"/>
        </w:rPr>
        <w:t xml:space="preserve"> d</w:t>
      </w:r>
      <w:r w:rsidRPr="002818E7">
        <w:rPr>
          <w:rFonts w:ascii="Verdana" w:hAnsi="Verdana"/>
          <w:sz w:val="20"/>
        </w:rPr>
        <w:t>a Comunidade.</w:t>
      </w:r>
    </w:p>
    <w:p w:rsidR="00C336FB" w:rsidRPr="002818E7" w:rsidRDefault="00C336FB" w:rsidP="00C336FB">
      <w:pPr>
        <w:jc w:val="both"/>
        <w:rPr>
          <w:rFonts w:ascii="Verdana" w:hAnsi="Verdana"/>
          <w:sz w:val="20"/>
        </w:rPr>
      </w:pPr>
    </w:p>
    <w:p w:rsidR="00C336FB" w:rsidRDefault="00C336FB" w:rsidP="00C336FB">
      <w:pPr>
        <w:jc w:val="both"/>
        <w:rPr>
          <w:rFonts w:ascii="Verdana" w:hAnsi="Verdana"/>
          <w:sz w:val="20"/>
        </w:rPr>
      </w:pPr>
      <w:r>
        <w:rPr>
          <w:rFonts w:ascii="Verdana" w:hAnsi="Verdana"/>
          <w:sz w:val="20"/>
        </w:rPr>
        <w:t>Com relação ao anterior, e tendo presente o critério adotado pela Corte em</w:t>
      </w:r>
      <w:r w:rsidRPr="002818E7">
        <w:rPr>
          <w:rFonts w:ascii="Verdana" w:hAnsi="Verdana"/>
          <w:sz w:val="20"/>
        </w:rPr>
        <w:t xml:space="preserve"> aplicação</w:t>
      </w:r>
      <w:r>
        <w:rPr>
          <w:rFonts w:ascii="Verdana" w:hAnsi="Verdana"/>
          <w:sz w:val="20"/>
        </w:rPr>
        <w:t xml:space="preserve"> do</w:t>
      </w:r>
      <w:r w:rsidRPr="002818E7">
        <w:rPr>
          <w:rFonts w:ascii="Verdana" w:hAnsi="Verdana"/>
          <w:sz w:val="20"/>
        </w:rPr>
        <w:t xml:space="preserve"> artigo</w:t>
      </w:r>
      <w:r>
        <w:rPr>
          <w:rFonts w:ascii="Verdana" w:hAnsi="Verdana"/>
          <w:sz w:val="20"/>
        </w:rPr>
        <w:t xml:space="preserve"> 29.b d</w:t>
      </w:r>
      <w:r w:rsidRPr="002818E7">
        <w:rPr>
          <w:rFonts w:ascii="Verdana" w:hAnsi="Verdana"/>
          <w:sz w:val="20"/>
        </w:rPr>
        <w:t xml:space="preserve">a Convenção </w:t>
      </w:r>
      <w:r w:rsidR="00C60678" w:rsidRPr="00C60678">
        <w:rPr>
          <w:rFonts w:ascii="Verdana" w:hAnsi="Verdana"/>
          <w:sz w:val="20"/>
        </w:rPr>
        <w:t>(</w:t>
      </w:r>
      <w:r w:rsidRPr="002818E7">
        <w:rPr>
          <w:rFonts w:ascii="Verdana" w:hAnsi="Verdana"/>
          <w:sz w:val="20"/>
        </w:rPr>
        <w:t>par. 148</w:t>
      </w:r>
      <w:r>
        <w:rPr>
          <w:rFonts w:ascii="Verdana" w:hAnsi="Verdana"/>
          <w:sz w:val="20"/>
        </w:rPr>
        <w:t xml:space="preserve"> </w:t>
      </w:r>
      <w:r w:rsidRPr="002818E7">
        <w:rPr>
          <w:rFonts w:ascii="Verdana" w:hAnsi="Verdana"/>
          <w:i/>
          <w:sz w:val="20"/>
        </w:rPr>
        <w:t>supra</w:t>
      </w:r>
      <w:r w:rsidR="00C60678" w:rsidRPr="00C60678">
        <w:rPr>
          <w:rFonts w:ascii="Verdana" w:hAnsi="Verdana"/>
          <w:sz w:val="20"/>
        </w:rPr>
        <w:t>)</w:t>
      </w:r>
      <w:r>
        <w:rPr>
          <w:rFonts w:ascii="Verdana" w:hAnsi="Verdana"/>
          <w:sz w:val="20"/>
        </w:rPr>
        <w:t>, a Corte considera que, à luz do</w:t>
      </w:r>
      <w:r w:rsidRPr="002818E7">
        <w:rPr>
          <w:rFonts w:ascii="Verdana" w:hAnsi="Verdana"/>
          <w:sz w:val="20"/>
        </w:rPr>
        <w:t xml:space="preserve"> artigo</w:t>
      </w:r>
      <w:r>
        <w:rPr>
          <w:rFonts w:ascii="Verdana" w:hAnsi="Verdana"/>
          <w:sz w:val="20"/>
        </w:rPr>
        <w:t xml:space="preserve"> 21 d</w:t>
      </w:r>
      <w:r w:rsidRPr="002818E7">
        <w:rPr>
          <w:rFonts w:ascii="Verdana" w:hAnsi="Verdana"/>
          <w:sz w:val="20"/>
        </w:rPr>
        <w:t>a Convenção</w:t>
      </w:r>
      <w:r>
        <w:rPr>
          <w:rFonts w:ascii="Verdana" w:hAnsi="Verdana"/>
          <w:sz w:val="20"/>
        </w:rPr>
        <w:t>, o</w:t>
      </w:r>
      <w:r w:rsidRPr="002818E7">
        <w:rPr>
          <w:rFonts w:ascii="Verdana" w:hAnsi="Verdana"/>
          <w:sz w:val="20"/>
        </w:rPr>
        <w:t xml:space="preserve"> Estado </w:t>
      </w:r>
      <w:r>
        <w:rPr>
          <w:rFonts w:ascii="Verdana" w:hAnsi="Verdana"/>
          <w:sz w:val="20"/>
        </w:rPr>
        <w:t>violou o</w:t>
      </w:r>
      <w:r w:rsidRPr="002818E7">
        <w:rPr>
          <w:rFonts w:ascii="Verdana" w:hAnsi="Verdana"/>
          <w:sz w:val="20"/>
        </w:rPr>
        <w:t xml:space="preserve"> direito</w:t>
      </w:r>
      <w:r>
        <w:rPr>
          <w:rFonts w:ascii="Verdana" w:hAnsi="Verdana"/>
          <w:sz w:val="20"/>
        </w:rPr>
        <w:t xml:space="preserve"> ao uso e ao gozo dos ben</w:t>
      </w:r>
      <w:r w:rsidRPr="002818E7">
        <w:rPr>
          <w:rFonts w:ascii="Verdana" w:hAnsi="Verdana"/>
          <w:sz w:val="20"/>
        </w:rPr>
        <w:t xml:space="preserve">s </w:t>
      </w:r>
      <w:r>
        <w:rPr>
          <w:rFonts w:ascii="Verdana" w:hAnsi="Verdana"/>
          <w:sz w:val="20"/>
        </w:rPr>
        <w:t>d</w:t>
      </w:r>
      <w:r w:rsidRPr="002818E7">
        <w:rPr>
          <w:rFonts w:ascii="Verdana" w:hAnsi="Verdana"/>
          <w:sz w:val="20"/>
        </w:rPr>
        <w:t>os membros</w:t>
      </w:r>
      <w:r>
        <w:rPr>
          <w:rFonts w:ascii="Verdana" w:hAnsi="Verdana"/>
          <w:sz w:val="20"/>
        </w:rPr>
        <w:t xml:space="preserve"> d</w:t>
      </w:r>
      <w:r w:rsidRPr="002818E7">
        <w:rPr>
          <w:rFonts w:ascii="Verdana" w:hAnsi="Verdana"/>
          <w:sz w:val="20"/>
        </w:rPr>
        <w:t xml:space="preserve">a Comunidade Mayagna Awas Tingni, </w:t>
      </w:r>
      <w:r>
        <w:rPr>
          <w:rFonts w:ascii="Verdana" w:hAnsi="Verdana"/>
          <w:sz w:val="20"/>
        </w:rPr>
        <w:t>uma</w:t>
      </w:r>
      <w:r w:rsidRPr="002818E7">
        <w:rPr>
          <w:rFonts w:ascii="Verdana" w:hAnsi="Verdana"/>
          <w:sz w:val="20"/>
        </w:rPr>
        <w:t xml:space="preserve"> vez que n</w:t>
      </w:r>
      <w:r w:rsidR="002D33D5">
        <w:rPr>
          <w:rFonts w:ascii="Verdana" w:hAnsi="Verdana"/>
          <w:sz w:val="20"/>
        </w:rPr>
        <w:t>ão</w:t>
      </w:r>
      <w:r>
        <w:rPr>
          <w:rFonts w:ascii="Verdana" w:hAnsi="Verdana"/>
          <w:sz w:val="20"/>
        </w:rPr>
        <w:t xml:space="preserve"> delimitou e</w:t>
      </w:r>
      <w:r w:rsidRPr="002818E7">
        <w:rPr>
          <w:rFonts w:ascii="Verdana" w:hAnsi="Verdana"/>
          <w:sz w:val="20"/>
        </w:rPr>
        <w:t xml:space="preserve"> demarc</w:t>
      </w:r>
      <w:r w:rsidR="000A20CB">
        <w:rPr>
          <w:rFonts w:ascii="Verdana" w:hAnsi="Verdana"/>
          <w:sz w:val="20"/>
        </w:rPr>
        <w:t>o</w:t>
      </w:r>
      <w:r>
        <w:rPr>
          <w:rFonts w:ascii="Verdana" w:hAnsi="Verdana"/>
          <w:sz w:val="20"/>
        </w:rPr>
        <w:t>u</w:t>
      </w:r>
      <w:r w:rsidRPr="002818E7">
        <w:rPr>
          <w:rFonts w:ascii="Verdana" w:hAnsi="Verdana"/>
          <w:sz w:val="20"/>
        </w:rPr>
        <w:t xml:space="preserve"> su</w:t>
      </w:r>
      <w:r>
        <w:rPr>
          <w:rFonts w:ascii="Verdana" w:hAnsi="Verdana"/>
          <w:sz w:val="20"/>
        </w:rPr>
        <w:t>a</w:t>
      </w:r>
      <w:r w:rsidRPr="002818E7">
        <w:rPr>
          <w:rFonts w:ascii="Verdana" w:hAnsi="Verdana"/>
          <w:sz w:val="20"/>
        </w:rPr>
        <w:t xml:space="preserve"> propriedade</w:t>
      </w:r>
      <w:r>
        <w:rPr>
          <w:rFonts w:ascii="Verdana" w:hAnsi="Verdana"/>
          <w:sz w:val="20"/>
        </w:rPr>
        <w:t xml:space="preserve"> comunal, e que </w:t>
      </w:r>
      <w:r w:rsidR="000A20CB">
        <w:rPr>
          <w:rFonts w:ascii="Verdana" w:hAnsi="Verdana"/>
          <w:sz w:val="20"/>
        </w:rPr>
        <w:t>outorgou</w:t>
      </w:r>
      <w:r w:rsidR="000A20CB" w:rsidRPr="002818E7">
        <w:rPr>
          <w:rFonts w:ascii="Verdana" w:hAnsi="Verdana"/>
          <w:sz w:val="20"/>
        </w:rPr>
        <w:t xml:space="preserve"> </w:t>
      </w:r>
      <w:r w:rsidRPr="002818E7">
        <w:rPr>
          <w:rFonts w:ascii="Verdana" w:hAnsi="Verdana"/>
          <w:sz w:val="20"/>
        </w:rPr>
        <w:t>conces</w:t>
      </w:r>
      <w:r>
        <w:rPr>
          <w:rFonts w:ascii="Verdana" w:hAnsi="Verdana"/>
          <w:sz w:val="20"/>
        </w:rPr>
        <w:t>s</w:t>
      </w:r>
      <w:r w:rsidRPr="002818E7">
        <w:rPr>
          <w:rFonts w:ascii="Verdana" w:hAnsi="Verdana"/>
          <w:sz w:val="20"/>
        </w:rPr>
        <w:t>ões a terce</w:t>
      </w:r>
      <w:r>
        <w:rPr>
          <w:rFonts w:ascii="Verdana" w:hAnsi="Verdana"/>
          <w:sz w:val="20"/>
        </w:rPr>
        <w:t>iros para a explor</w:t>
      </w:r>
      <w:r w:rsidRPr="002818E7">
        <w:rPr>
          <w:rFonts w:ascii="Verdana" w:hAnsi="Verdana"/>
          <w:sz w:val="20"/>
        </w:rPr>
        <w:t>ação</w:t>
      </w:r>
      <w:r>
        <w:rPr>
          <w:rFonts w:ascii="Verdana" w:hAnsi="Verdana"/>
          <w:sz w:val="20"/>
        </w:rPr>
        <w:t xml:space="preserve"> de bens e</w:t>
      </w:r>
      <w:r w:rsidRPr="002818E7">
        <w:rPr>
          <w:rFonts w:ascii="Verdana" w:hAnsi="Verdana"/>
          <w:sz w:val="20"/>
        </w:rPr>
        <w:t xml:space="preserve"> recursos localizados</w:t>
      </w:r>
      <w:r>
        <w:rPr>
          <w:rFonts w:ascii="Verdana" w:hAnsi="Verdana"/>
          <w:sz w:val="20"/>
        </w:rPr>
        <w:t xml:space="preserve"> em</w:t>
      </w:r>
      <w:r w:rsidRPr="002818E7">
        <w:rPr>
          <w:rFonts w:ascii="Verdana" w:hAnsi="Verdana"/>
          <w:sz w:val="20"/>
        </w:rPr>
        <w:t xml:space="preserve"> </w:t>
      </w:r>
      <w:r>
        <w:rPr>
          <w:rFonts w:ascii="Verdana" w:hAnsi="Verdana"/>
          <w:sz w:val="20"/>
        </w:rPr>
        <w:t>uma</w:t>
      </w:r>
      <w:r w:rsidRPr="002818E7">
        <w:rPr>
          <w:rFonts w:ascii="Verdana" w:hAnsi="Verdana"/>
          <w:sz w:val="20"/>
        </w:rPr>
        <w:t xml:space="preserve"> área que pode</w:t>
      </w:r>
      <w:r>
        <w:rPr>
          <w:rFonts w:ascii="Verdana" w:hAnsi="Verdana"/>
          <w:sz w:val="20"/>
        </w:rPr>
        <w:t xml:space="preserve"> ch</w:t>
      </w:r>
      <w:r w:rsidRPr="002818E7">
        <w:rPr>
          <w:rFonts w:ascii="Verdana" w:hAnsi="Verdana"/>
          <w:sz w:val="20"/>
        </w:rPr>
        <w:t>egar a corresponder, total o</w:t>
      </w:r>
      <w:r>
        <w:rPr>
          <w:rFonts w:ascii="Verdana" w:hAnsi="Verdana"/>
          <w:sz w:val="20"/>
        </w:rPr>
        <w:t xml:space="preserve">u parcialmente, aos terrenos sobre </w:t>
      </w:r>
      <w:r w:rsidRPr="002818E7">
        <w:rPr>
          <w:rFonts w:ascii="Verdana" w:hAnsi="Verdana"/>
          <w:sz w:val="20"/>
        </w:rPr>
        <w:t>os qu</w:t>
      </w:r>
      <w:r w:rsidR="000A20CB">
        <w:rPr>
          <w:rFonts w:ascii="Verdana" w:hAnsi="Verdana"/>
          <w:sz w:val="20"/>
        </w:rPr>
        <w:t>ais</w:t>
      </w:r>
      <w:r w:rsidRPr="002818E7">
        <w:rPr>
          <w:rFonts w:ascii="Verdana" w:hAnsi="Verdana"/>
          <w:sz w:val="20"/>
        </w:rPr>
        <w:t xml:space="preserve"> dever</w:t>
      </w:r>
      <w:r>
        <w:rPr>
          <w:rFonts w:ascii="Verdana" w:hAnsi="Verdana"/>
          <w:sz w:val="20"/>
        </w:rPr>
        <w:t xml:space="preserve">á recair </w:t>
      </w:r>
      <w:r w:rsidRPr="002818E7">
        <w:rPr>
          <w:rFonts w:ascii="Verdana" w:hAnsi="Verdana"/>
          <w:sz w:val="20"/>
        </w:rPr>
        <w:t>a delimitação, demarcação</w:t>
      </w:r>
      <w:r>
        <w:rPr>
          <w:rFonts w:ascii="Verdana" w:hAnsi="Verdana"/>
          <w:sz w:val="20"/>
        </w:rPr>
        <w:t xml:space="preserve"> e</w:t>
      </w:r>
      <w:r w:rsidRPr="002818E7">
        <w:rPr>
          <w:rFonts w:ascii="Verdana" w:hAnsi="Verdana"/>
          <w:sz w:val="20"/>
        </w:rPr>
        <w:t xml:space="preserve"> titulação correspondentes.</w:t>
      </w:r>
    </w:p>
    <w:p w:rsidR="00C336FB" w:rsidRPr="002818E7" w:rsidRDefault="00C336FB" w:rsidP="00C336FB">
      <w:pPr>
        <w:jc w:val="both"/>
        <w:rPr>
          <w:rFonts w:ascii="Verdana" w:hAnsi="Verdana"/>
          <w:sz w:val="20"/>
        </w:rPr>
      </w:pPr>
      <w:r w:rsidRPr="002818E7">
        <w:rPr>
          <w:rFonts w:ascii="Verdana" w:hAnsi="Verdana"/>
          <w:sz w:val="20"/>
        </w:rPr>
        <w:t xml:space="preserve"> </w:t>
      </w:r>
    </w:p>
    <w:p w:rsidR="00C336FB" w:rsidRPr="002818E7" w:rsidRDefault="00C336FB" w:rsidP="00C336FB">
      <w:pPr>
        <w:jc w:val="both"/>
        <w:rPr>
          <w:rFonts w:ascii="Verdana" w:hAnsi="Verdana"/>
          <w:sz w:val="20"/>
        </w:rPr>
      </w:pPr>
      <w:r>
        <w:rPr>
          <w:rFonts w:ascii="Verdana" w:hAnsi="Verdana"/>
          <w:sz w:val="20"/>
        </w:rPr>
        <w:t>154.</w:t>
      </w:r>
      <w:r>
        <w:rPr>
          <w:rFonts w:ascii="Verdana" w:hAnsi="Verdana"/>
          <w:sz w:val="20"/>
        </w:rPr>
        <w:tab/>
      </w:r>
      <w:r w:rsidR="000A20CB">
        <w:rPr>
          <w:rFonts w:ascii="Verdana" w:hAnsi="Verdana"/>
          <w:sz w:val="20"/>
        </w:rPr>
        <w:t>Somado a</w:t>
      </w:r>
      <w:r>
        <w:rPr>
          <w:rFonts w:ascii="Verdana" w:hAnsi="Verdana"/>
          <w:sz w:val="20"/>
        </w:rPr>
        <w:t>o anterior, dev</w:t>
      </w:r>
      <w:r w:rsidRPr="002818E7">
        <w:rPr>
          <w:rFonts w:ascii="Verdana" w:hAnsi="Verdana"/>
          <w:sz w:val="20"/>
        </w:rPr>
        <w:t>e</w:t>
      </w:r>
      <w:r>
        <w:rPr>
          <w:rFonts w:ascii="Verdana" w:hAnsi="Verdana"/>
          <w:sz w:val="20"/>
        </w:rPr>
        <w:t>-se</w:t>
      </w:r>
      <w:r w:rsidRPr="002818E7">
        <w:rPr>
          <w:rFonts w:ascii="Verdana" w:hAnsi="Verdana"/>
          <w:sz w:val="20"/>
        </w:rPr>
        <w:t xml:space="preserve"> </w:t>
      </w:r>
      <w:proofErr w:type="gramStart"/>
      <w:r>
        <w:rPr>
          <w:rFonts w:ascii="Verdana" w:hAnsi="Verdana"/>
          <w:sz w:val="20"/>
        </w:rPr>
        <w:t>lembrar o</w:t>
      </w:r>
      <w:proofErr w:type="gramEnd"/>
      <w:r>
        <w:rPr>
          <w:rFonts w:ascii="Verdana" w:hAnsi="Verdana"/>
          <w:sz w:val="20"/>
        </w:rPr>
        <w:t xml:space="preserve"> já </w:t>
      </w:r>
      <w:r w:rsidRPr="002818E7">
        <w:rPr>
          <w:rFonts w:ascii="Verdana" w:hAnsi="Verdana"/>
          <w:sz w:val="20"/>
        </w:rPr>
        <w:t>estabelecido por este T</w:t>
      </w:r>
      <w:r>
        <w:rPr>
          <w:rFonts w:ascii="Verdana" w:hAnsi="Verdana"/>
          <w:sz w:val="20"/>
        </w:rPr>
        <w:t>ribunal, com fundamento no</w:t>
      </w:r>
      <w:r w:rsidRPr="002818E7">
        <w:rPr>
          <w:rFonts w:ascii="Verdana" w:hAnsi="Verdana"/>
          <w:sz w:val="20"/>
        </w:rPr>
        <w:t xml:space="preserve"> artigo</w:t>
      </w:r>
      <w:r>
        <w:rPr>
          <w:rFonts w:ascii="Verdana" w:hAnsi="Verdana"/>
          <w:sz w:val="20"/>
        </w:rPr>
        <w:t xml:space="preserve"> 1.1 d</w:t>
      </w:r>
      <w:r w:rsidRPr="002818E7">
        <w:rPr>
          <w:rFonts w:ascii="Verdana" w:hAnsi="Verdana"/>
          <w:sz w:val="20"/>
        </w:rPr>
        <w:t>a Convenção</w:t>
      </w:r>
      <w:r>
        <w:rPr>
          <w:rFonts w:ascii="Verdana" w:hAnsi="Verdana"/>
          <w:sz w:val="20"/>
        </w:rPr>
        <w:t xml:space="preserve"> Americana, no sentido de que o Estado está obr</w:t>
      </w:r>
      <w:r w:rsidRPr="002818E7">
        <w:rPr>
          <w:rFonts w:ascii="Verdana" w:hAnsi="Verdana"/>
          <w:sz w:val="20"/>
        </w:rPr>
        <w:t>igado a respeitar</w:t>
      </w:r>
      <w:r>
        <w:rPr>
          <w:rFonts w:ascii="Verdana" w:hAnsi="Verdana"/>
          <w:sz w:val="20"/>
        </w:rPr>
        <w:t xml:space="preserve"> </w:t>
      </w:r>
      <w:r w:rsidRPr="002818E7">
        <w:rPr>
          <w:rFonts w:ascii="Verdana" w:hAnsi="Verdana"/>
          <w:sz w:val="20"/>
        </w:rPr>
        <w:t>os direitos</w:t>
      </w:r>
      <w:r>
        <w:rPr>
          <w:rFonts w:ascii="Verdana" w:hAnsi="Verdana"/>
          <w:sz w:val="20"/>
        </w:rPr>
        <w:t xml:space="preserve"> e liberd</w:t>
      </w:r>
      <w:r w:rsidRPr="002818E7">
        <w:rPr>
          <w:rFonts w:ascii="Verdana" w:hAnsi="Verdana"/>
          <w:sz w:val="20"/>
        </w:rPr>
        <w:t>ades reconhecidos</w:t>
      </w:r>
      <w:r>
        <w:rPr>
          <w:rFonts w:ascii="Verdana" w:hAnsi="Verdana"/>
          <w:sz w:val="20"/>
        </w:rPr>
        <w:t xml:space="preserve"> n</w:t>
      </w:r>
      <w:r w:rsidRPr="002818E7">
        <w:rPr>
          <w:rFonts w:ascii="Verdana" w:hAnsi="Verdana"/>
          <w:sz w:val="20"/>
        </w:rPr>
        <w:t>a Convenção</w:t>
      </w:r>
      <w:r>
        <w:rPr>
          <w:rFonts w:ascii="Verdana" w:hAnsi="Verdana"/>
          <w:sz w:val="20"/>
        </w:rPr>
        <w:t xml:space="preserve"> e</w:t>
      </w:r>
      <w:r w:rsidRPr="002818E7">
        <w:rPr>
          <w:rFonts w:ascii="Verdana" w:hAnsi="Verdana"/>
          <w:sz w:val="20"/>
        </w:rPr>
        <w:t xml:space="preserve"> a</w:t>
      </w:r>
      <w:r w:rsidRPr="002818E7">
        <w:rPr>
          <w:rFonts w:ascii="Verdana" w:hAnsi="Verdana"/>
          <w:i/>
          <w:sz w:val="20"/>
        </w:rPr>
        <w:t xml:space="preserve"> </w:t>
      </w:r>
      <w:r>
        <w:rPr>
          <w:rFonts w:ascii="Verdana" w:hAnsi="Verdana"/>
          <w:sz w:val="20"/>
        </w:rPr>
        <w:t>organizar o</w:t>
      </w:r>
      <w:r w:rsidRPr="002818E7">
        <w:rPr>
          <w:rFonts w:ascii="Verdana" w:hAnsi="Verdana"/>
          <w:sz w:val="20"/>
        </w:rPr>
        <w:t xml:space="preserve"> poder público para garantir</w:t>
      </w:r>
      <w:r>
        <w:rPr>
          <w:rFonts w:ascii="Verdana" w:hAnsi="Verdana"/>
          <w:sz w:val="20"/>
        </w:rPr>
        <w:t xml:space="preserve"> à</w:t>
      </w:r>
      <w:r w:rsidRPr="002818E7">
        <w:rPr>
          <w:rFonts w:ascii="Verdana" w:hAnsi="Verdana"/>
          <w:sz w:val="20"/>
        </w:rPr>
        <w:t>s pessoas</w:t>
      </w:r>
      <w:r>
        <w:rPr>
          <w:rFonts w:ascii="Verdana" w:hAnsi="Verdana"/>
          <w:sz w:val="20"/>
        </w:rPr>
        <w:t xml:space="preserve"> sob</w:t>
      </w:r>
      <w:r w:rsidRPr="002818E7">
        <w:rPr>
          <w:rFonts w:ascii="Verdana" w:hAnsi="Verdana"/>
          <w:sz w:val="20"/>
        </w:rPr>
        <w:t xml:space="preserve"> su</w:t>
      </w:r>
      <w:r>
        <w:rPr>
          <w:rFonts w:ascii="Verdana" w:hAnsi="Verdana"/>
          <w:sz w:val="20"/>
        </w:rPr>
        <w:t>a jurisdi</w:t>
      </w:r>
      <w:r w:rsidRPr="002818E7">
        <w:rPr>
          <w:rFonts w:ascii="Verdana" w:hAnsi="Verdana"/>
          <w:sz w:val="20"/>
        </w:rPr>
        <w:t>ção</w:t>
      </w:r>
      <w:r>
        <w:rPr>
          <w:rFonts w:ascii="Verdana" w:hAnsi="Verdana"/>
          <w:sz w:val="20"/>
        </w:rPr>
        <w:t xml:space="preserve"> o livre e pleno exercício d</w:t>
      </w:r>
      <w:r w:rsidRPr="002818E7">
        <w:rPr>
          <w:rFonts w:ascii="Verdana" w:hAnsi="Verdana"/>
          <w:sz w:val="20"/>
        </w:rPr>
        <w:t>os direitos</w:t>
      </w:r>
      <w:r>
        <w:rPr>
          <w:rFonts w:ascii="Verdana" w:hAnsi="Verdana"/>
          <w:sz w:val="20"/>
        </w:rPr>
        <w:t xml:space="preserve"> humanos. Segundo as regras do</w:t>
      </w:r>
      <w:r w:rsidRPr="002818E7">
        <w:rPr>
          <w:rFonts w:ascii="Verdana" w:hAnsi="Verdana"/>
          <w:sz w:val="20"/>
        </w:rPr>
        <w:t xml:space="preserve"> direito</w:t>
      </w:r>
      <w:r>
        <w:rPr>
          <w:rFonts w:ascii="Verdana" w:hAnsi="Verdana"/>
          <w:sz w:val="20"/>
        </w:rPr>
        <w:t xml:space="preserve"> d</w:t>
      </w:r>
      <w:r w:rsidRPr="002818E7">
        <w:rPr>
          <w:rFonts w:ascii="Verdana" w:hAnsi="Verdana"/>
          <w:sz w:val="20"/>
        </w:rPr>
        <w:t>a responsabilidade</w:t>
      </w:r>
      <w:r>
        <w:rPr>
          <w:rFonts w:ascii="Verdana" w:hAnsi="Verdana"/>
          <w:sz w:val="20"/>
        </w:rPr>
        <w:t xml:space="preserve"> internacional do Estado aplicáveis no</w:t>
      </w:r>
      <w:proofErr w:type="gramStart"/>
      <w:r w:rsidRPr="002818E7">
        <w:rPr>
          <w:rFonts w:ascii="Verdana" w:hAnsi="Verdana"/>
          <w:sz w:val="20"/>
        </w:rPr>
        <w:t xml:space="preserve"> </w:t>
      </w:r>
      <w:r w:rsidR="00360853">
        <w:rPr>
          <w:rFonts w:ascii="Verdana" w:hAnsi="Verdana"/>
          <w:sz w:val="20"/>
        </w:rPr>
        <w:t xml:space="preserve"> </w:t>
      </w:r>
      <w:proofErr w:type="gramEnd"/>
      <w:r w:rsidR="00360853">
        <w:rPr>
          <w:rFonts w:ascii="Verdana" w:hAnsi="Verdana"/>
          <w:sz w:val="20"/>
        </w:rPr>
        <w:t>Direito Internacional</w:t>
      </w:r>
      <w:r>
        <w:rPr>
          <w:rFonts w:ascii="Verdana" w:hAnsi="Verdana"/>
          <w:sz w:val="20"/>
        </w:rPr>
        <w:t xml:space="preserve"> d</w:t>
      </w:r>
      <w:r w:rsidRPr="002818E7">
        <w:rPr>
          <w:rFonts w:ascii="Verdana" w:hAnsi="Verdana"/>
          <w:sz w:val="20"/>
        </w:rPr>
        <w:t>os Direitos</w:t>
      </w:r>
      <w:r>
        <w:rPr>
          <w:rFonts w:ascii="Verdana" w:hAnsi="Verdana"/>
          <w:sz w:val="20"/>
        </w:rPr>
        <w:t xml:space="preserve"> Humanos, </w:t>
      </w:r>
      <w:r w:rsidRPr="002818E7">
        <w:rPr>
          <w:rFonts w:ascii="Verdana" w:hAnsi="Verdana"/>
          <w:sz w:val="20"/>
        </w:rPr>
        <w:t xml:space="preserve">a ação </w:t>
      </w:r>
      <w:r>
        <w:rPr>
          <w:rFonts w:ascii="Verdana" w:hAnsi="Verdana"/>
          <w:sz w:val="20"/>
        </w:rPr>
        <w:t>o</w:t>
      </w:r>
      <w:r w:rsidRPr="002818E7">
        <w:rPr>
          <w:rFonts w:ascii="Verdana" w:hAnsi="Verdana"/>
          <w:sz w:val="20"/>
        </w:rPr>
        <w:t>u omi</w:t>
      </w:r>
      <w:r>
        <w:rPr>
          <w:rFonts w:ascii="Verdana" w:hAnsi="Verdana"/>
          <w:sz w:val="20"/>
        </w:rPr>
        <w:t>s</w:t>
      </w:r>
      <w:r w:rsidRPr="002818E7">
        <w:rPr>
          <w:rFonts w:ascii="Verdana" w:hAnsi="Verdana"/>
          <w:sz w:val="20"/>
        </w:rPr>
        <w:t>são de qualquer autoridad</w:t>
      </w:r>
      <w:r>
        <w:rPr>
          <w:rFonts w:ascii="Verdana" w:hAnsi="Verdana"/>
          <w:sz w:val="20"/>
        </w:rPr>
        <w:t>e</w:t>
      </w:r>
      <w:r w:rsidRPr="002818E7">
        <w:rPr>
          <w:rFonts w:ascii="Verdana" w:hAnsi="Verdana"/>
          <w:sz w:val="20"/>
        </w:rPr>
        <w:t xml:space="preserve"> pública, independentemente de su</w:t>
      </w:r>
      <w:r>
        <w:rPr>
          <w:rFonts w:ascii="Verdana" w:hAnsi="Verdana"/>
          <w:sz w:val="20"/>
        </w:rPr>
        <w:t>a h</w:t>
      </w:r>
      <w:r w:rsidRPr="002818E7">
        <w:rPr>
          <w:rFonts w:ascii="Verdana" w:hAnsi="Verdana"/>
          <w:sz w:val="20"/>
        </w:rPr>
        <w:t>ierarquia</w:t>
      </w:r>
      <w:r>
        <w:rPr>
          <w:rFonts w:ascii="Verdana" w:hAnsi="Verdana"/>
          <w:sz w:val="20"/>
        </w:rPr>
        <w:t>, constitui um fato imputável ao</w:t>
      </w:r>
      <w:r w:rsidRPr="002818E7">
        <w:rPr>
          <w:rFonts w:ascii="Verdana" w:hAnsi="Verdana"/>
          <w:sz w:val="20"/>
        </w:rPr>
        <w:t xml:space="preserve"> Estado que compromete su</w:t>
      </w:r>
      <w:r>
        <w:rPr>
          <w:rFonts w:ascii="Verdana" w:hAnsi="Verdana"/>
          <w:sz w:val="20"/>
        </w:rPr>
        <w:t>a</w:t>
      </w:r>
      <w:r w:rsidRPr="002818E7">
        <w:rPr>
          <w:rFonts w:ascii="Verdana" w:hAnsi="Verdana"/>
          <w:sz w:val="20"/>
        </w:rPr>
        <w:t xml:space="preserve"> responsabilidade</w:t>
      </w:r>
      <w:r>
        <w:rPr>
          <w:rFonts w:ascii="Verdana" w:hAnsi="Verdana"/>
          <w:sz w:val="20"/>
        </w:rPr>
        <w:t xml:space="preserve"> n</w:t>
      </w:r>
      <w:r w:rsidRPr="002818E7">
        <w:rPr>
          <w:rFonts w:ascii="Verdana" w:hAnsi="Verdana"/>
          <w:sz w:val="20"/>
        </w:rPr>
        <w:t>os termos</w:t>
      </w:r>
      <w:r>
        <w:rPr>
          <w:rFonts w:ascii="Verdana" w:hAnsi="Verdana"/>
          <w:sz w:val="20"/>
        </w:rPr>
        <w:t xml:space="preserve"> previstos pe</w:t>
      </w:r>
      <w:r w:rsidRPr="002818E7">
        <w:rPr>
          <w:rFonts w:ascii="Verdana" w:hAnsi="Verdana"/>
          <w:sz w:val="20"/>
        </w:rPr>
        <w:t>la Convenção Americana</w:t>
      </w:r>
      <w:r>
        <w:rPr>
          <w:rFonts w:ascii="Verdana" w:hAnsi="Verdana"/>
          <w:sz w:val="20"/>
        </w:rPr>
        <w:t>.</w:t>
      </w:r>
      <w:r w:rsidRPr="002818E7">
        <w:rPr>
          <w:rStyle w:val="Refdenotaalpie"/>
          <w:rFonts w:ascii="Verdana" w:hAnsi="Verdana"/>
          <w:sz w:val="20"/>
        </w:rPr>
        <w:footnoteReference w:id="60"/>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Pr>
          <w:rFonts w:ascii="Verdana" w:hAnsi="Verdana"/>
          <w:sz w:val="20"/>
        </w:rPr>
        <w:t>155.</w:t>
      </w:r>
      <w:r>
        <w:rPr>
          <w:rFonts w:ascii="Verdana" w:hAnsi="Verdana"/>
          <w:sz w:val="20"/>
        </w:rPr>
        <w:tab/>
        <w:t>Por todo o exposto</w:t>
      </w:r>
      <w:r w:rsidR="000A20CB">
        <w:rPr>
          <w:rFonts w:ascii="Verdana" w:hAnsi="Verdana"/>
          <w:sz w:val="20"/>
        </w:rPr>
        <w:t xml:space="preserve"> anteriormente</w:t>
      </w:r>
      <w:r>
        <w:rPr>
          <w:rFonts w:ascii="Verdana" w:hAnsi="Verdana"/>
          <w:sz w:val="20"/>
        </w:rPr>
        <w:t>, a Corte conclui que o</w:t>
      </w:r>
      <w:r w:rsidRPr="002818E7">
        <w:rPr>
          <w:rFonts w:ascii="Verdana" w:hAnsi="Verdana"/>
          <w:sz w:val="20"/>
        </w:rPr>
        <w:t xml:space="preserve"> Estado violou</w:t>
      </w:r>
      <w:r>
        <w:rPr>
          <w:rFonts w:ascii="Verdana" w:hAnsi="Verdana"/>
          <w:sz w:val="20"/>
        </w:rPr>
        <w:t xml:space="preserve"> o</w:t>
      </w:r>
      <w:r w:rsidRPr="002818E7">
        <w:rPr>
          <w:rFonts w:ascii="Verdana" w:hAnsi="Verdana"/>
          <w:sz w:val="20"/>
        </w:rPr>
        <w:t xml:space="preserve"> artigo</w:t>
      </w:r>
      <w:r>
        <w:rPr>
          <w:rFonts w:ascii="Verdana" w:hAnsi="Verdana"/>
          <w:sz w:val="20"/>
        </w:rPr>
        <w:t xml:space="preserve"> 21 d</w:t>
      </w:r>
      <w:r w:rsidRPr="002818E7">
        <w:rPr>
          <w:rFonts w:ascii="Verdana" w:hAnsi="Verdana"/>
          <w:sz w:val="20"/>
        </w:rPr>
        <w:t>a Convenção Americana</w:t>
      </w:r>
      <w:r>
        <w:rPr>
          <w:rFonts w:ascii="Verdana" w:hAnsi="Verdana"/>
          <w:sz w:val="20"/>
        </w:rPr>
        <w:t>, em detrimento d</w:t>
      </w:r>
      <w:r w:rsidRPr="002818E7">
        <w:rPr>
          <w:rFonts w:ascii="Verdana" w:hAnsi="Verdana"/>
          <w:sz w:val="20"/>
        </w:rPr>
        <w:t>os membros</w:t>
      </w:r>
      <w:r>
        <w:rPr>
          <w:rFonts w:ascii="Verdana" w:hAnsi="Verdana"/>
          <w:sz w:val="20"/>
        </w:rPr>
        <w:t xml:space="preserve"> d</w:t>
      </w:r>
      <w:r w:rsidRPr="002818E7">
        <w:rPr>
          <w:rFonts w:ascii="Verdana" w:hAnsi="Verdana"/>
          <w:sz w:val="20"/>
        </w:rPr>
        <w:t>a Comunidade</w:t>
      </w:r>
      <w:r>
        <w:rPr>
          <w:rFonts w:ascii="Verdana" w:hAnsi="Verdana"/>
          <w:sz w:val="20"/>
        </w:rPr>
        <w:t xml:space="preserve"> Mayagna </w:t>
      </w:r>
      <w:r w:rsidR="00C60678" w:rsidRPr="00C60678">
        <w:rPr>
          <w:rFonts w:ascii="Verdana" w:hAnsi="Verdana"/>
          <w:sz w:val="20"/>
        </w:rPr>
        <w:t>(</w:t>
      </w:r>
      <w:r>
        <w:rPr>
          <w:rFonts w:ascii="Verdana" w:hAnsi="Verdana"/>
          <w:sz w:val="20"/>
        </w:rPr>
        <w:t>Sumo</w:t>
      </w:r>
      <w:r w:rsidR="00C60678" w:rsidRPr="00C60678">
        <w:rPr>
          <w:rFonts w:ascii="Verdana" w:hAnsi="Verdana"/>
          <w:sz w:val="20"/>
        </w:rPr>
        <w:t>)</w:t>
      </w:r>
      <w:r>
        <w:rPr>
          <w:rFonts w:ascii="Verdana" w:hAnsi="Verdana"/>
          <w:sz w:val="20"/>
        </w:rPr>
        <w:t xml:space="preserve"> Awas Tingni, em relação </w:t>
      </w:r>
      <w:r w:rsidR="00A22100">
        <w:rPr>
          <w:rFonts w:ascii="Verdana" w:hAnsi="Verdana"/>
          <w:sz w:val="20"/>
        </w:rPr>
        <w:t>a</w:t>
      </w:r>
      <w:r w:rsidRPr="002818E7">
        <w:rPr>
          <w:rFonts w:ascii="Verdana" w:hAnsi="Verdana"/>
          <w:sz w:val="20"/>
        </w:rPr>
        <w:t>os artigos</w:t>
      </w:r>
      <w:r>
        <w:rPr>
          <w:rFonts w:ascii="Verdana" w:hAnsi="Verdana"/>
          <w:sz w:val="20"/>
        </w:rPr>
        <w:t xml:space="preserve"> 1.1 e 2 d</w:t>
      </w:r>
      <w:r w:rsidRPr="002818E7">
        <w:rPr>
          <w:rFonts w:ascii="Verdana" w:hAnsi="Verdana"/>
          <w:sz w:val="20"/>
        </w:rPr>
        <w:t>a Convenção.</w:t>
      </w:r>
    </w:p>
    <w:p w:rsidR="00C336FB" w:rsidRPr="002818E7" w:rsidRDefault="00C336FB" w:rsidP="00C336FB">
      <w:pPr>
        <w:jc w:val="both"/>
        <w:rPr>
          <w:rFonts w:ascii="Verdana" w:hAnsi="Verdana"/>
          <w:b/>
          <w:smallCaps/>
          <w:sz w:val="20"/>
        </w:rPr>
      </w:pPr>
    </w:p>
    <w:p w:rsidR="00C336FB" w:rsidRPr="002818E7" w:rsidRDefault="00C336FB" w:rsidP="00C336FB">
      <w:pPr>
        <w:jc w:val="center"/>
        <w:rPr>
          <w:rFonts w:ascii="Verdana" w:hAnsi="Verdana"/>
          <w:b/>
          <w:caps/>
          <w:sz w:val="20"/>
        </w:rPr>
      </w:pPr>
      <w:r w:rsidRPr="002818E7">
        <w:rPr>
          <w:rFonts w:ascii="Verdana" w:hAnsi="Verdana"/>
          <w:b/>
          <w:caps/>
          <w:sz w:val="20"/>
        </w:rPr>
        <w:t>X</w:t>
      </w:r>
    </w:p>
    <w:p w:rsidR="00C336FB" w:rsidRPr="002818E7" w:rsidRDefault="00C336FB" w:rsidP="00C336FB">
      <w:pPr>
        <w:jc w:val="center"/>
        <w:rPr>
          <w:rFonts w:ascii="Verdana" w:hAnsi="Verdana"/>
          <w:b/>
          <w:caps/>
          <w:sz w:val="20"/>
        </w:rPr>
      </w:pPr>
      <w:r w:rsidRPr="002818E7">
        <w:rPr>
          <w:rFonts w:ascii="Verdana" w:hAnsi="Verdana"/>
          <w:b/>
          <w:caps/>
          <w:sz w:val="20"/>
        </w:rPr>
        <w:t>Outros artigos</w:t>
      </w:r>
      <w:r>
        <w:rPr>
          <w:rFonts w:ascii="Verdana" w:hAnsi="Verdana"/>
          <w:b/>
          <w:caps/>
          <w:sz w:val="20"/>
        </w:rPr>
        <w:t xml:space="preserve"> d</w:t>
      </w:r>
      <w:r w:rsidRPr="002818E7">
        <w:rPr>
          <w:rFonts w:ascii="Verdana" w:hAnsi="Verdana"/>
          <w:b/>
          <w:caps/>
          <w:sz w:val="20"/>
        </w:rPr>
        <w:t>a Convenção Americana</w:t>
      </w:r>
    </w:p>
    <w:p w:rsidR="00C336FB" w:rsidRPr="002818E7" w:rsidRDefault="00C336FB" w:rsidP="00C336FB">
      <w:pPr>
        <w:jc w:val="both"/>
        <w:rPr>
          <w:rFonts w:ascii="Verdana" w:hAnsi="Verdana"/>
          <w:b/>
          <w:smallCaps/>
          <w:sz w:val="20"/>
        </w:rPr>
      </w:pPr>
    </w:p>
    <w:p w:rsidR="00C336FB" w:rsidRPr="00282BEA" w:rsidRDefault="00C336FB" w:rsidP="00C336FB">
      <w:pPr>
        <w:jc w:val="both"/>
        <w:rPr>
          <w:rFonts w:ascii="Verdana" w:hAnsi="Verdana"/>
          <w:sz w:val="20"/>
        </w:rPr>
      </w:pPr>
      <w:r w:rsidRPr="002818E7">
        <w:rPr>
          <w:rFonts w:ascii="Verdana" w:hAnsi="Verdana"/>
          <w:smallCaps/>
          <w:sz w:val="20"/>
        </w:rPr>
        <w:t>156.</w:t>
      </w:r>
      <w:r w:rsidRPr="002818E7">
        <w:rPr>
          <w:rFonts w:ascii="Verdana" w:hAnsi="Verdana"/>
          <w:smallCaps/>
          <w:sz w:val="20"/>
        </w:rPr>
        <w:tab/>
      </w:r>
      <w:r>
        <w:rPr>
          <w:rFonts w:ascii="Verdana" w:hAnsi="Verdana"/>
          <w:sz w:val="20"/>
        </w:rPr>
        <w:t>Em</w:t>
      </w:r>
      <w:r w:rsidRPr="002818E7">
        <w:rPr>
          <w:rFonts w:ascii="Verdana" w:hAnsi="Verdana"/>
          <w:sz w:val="20"/>
        </w:rPr>
        <w:t xml:space="preserve"> s</w:t>
      </w:r>
      <w:r>
        <w:rPr>
          <w:rFonts w:ascii="Verdana" w:hAnsi="Verdana"/>
          <w:sz w:val="20"/>
        </w:rPr>
        <w:t>e</w:t>
      </w:r>
      <w:r w:rsidRPr="002818E7">
        <w:rPr>
          <w:rFonts w:ascii="Verdana" w:hAnsi="Verdana"/>
          <w:sz w:val="20"/>
        </w:rPr>
        <w:t>u escrito de alegações finais</w:t>
      </w:r>
      <w:r>
        <w:rPr>
          <w:rFonts w:ascii="Verdana" w:hAnsi="Verdana"/>
          <w:sz w:val="20"/>
        </w:rPr>
        <w:t xml:space="preserve">, </w:t>
      </w:r>
      <w:r w:rsidRPr="002818E7">
        <w:rPr>
          <w:rFonts w:ascii="Verdana" w:hAnsi="Verdana"/>
          <w:sz w:val="20"/>
        </w:rPr>
        <w:t>a Comissão</w:t>
      </w:r>
      <w:r>
        <w:rPr>
          <w:rFonts w:ascii="Verdana" w:hAnsi="Verdana"/>
          <w:sz w:val="20"/>
        </w:rPr>
        <w:t xml:space="preserve"> alegou que dada </w:t>
      </w:r>
      <w:proofErr w:type="gramStart"/>
      <w:r>
        <w:rPr>
          <w:rFonts w:ascii="Verdana" w:hAnsi="Verdana"/>
          <w:sz w:val="20"/>
        </w:rPr>
        <w:t>a</w:t>
      </w:r>
      <w:proofErr w:type="gramEnd"/>
      <w:r>
        <w:rPr>
          <w:rFonts w:ascii="Verdana" w:hAnsi="Verdana"/>
          <w:sz w:val="20"/>
        </w:rPr>
        <w:t xml:space="preserve"> natureza d</w:t>
      </w:r>
      <w:r w:rsidRPr="002818E7">
        <w:rPr>
          <w:rFonts w:ascii="Verdana" w:hAnsi="Verdana"/>
          <w:sz w:val="20"/>
        </w:rPr>
        <w:t>a relação</w:t>
      </w:r>
      <w:r>
        <w:rPr>
          <w:rFonts w:ascii="Verdana" w:hAnsi="Verdana"/>
          <w:sz w:val="20"/>
        </w:rPr>
        <w:t xml:space="preserve"> que </w:t>
      </w:r>
      <w:r w:rsidRPr="002818E7">
        <w:rPr>
          <w:rFonts w:ascii="Verdana" w:hAnsi="Verdana"/>
          <w:sz w:val="20"/>
        </w:rPr>
        <w:t>a Comunidade</w:t>
      </w:r>
      <w:r>
        <w:rPr>
          <w:rFonts w:ascii="Verdana" w:hAnsi="Verdana"/>
          <w:sz w:val="20"/>
        </w:rPr>
        <w:t xml:space="preserve"> Awas Tingni </w:t>
      </w:r>
      <w:r w:rsidR="00A22100">
        <w:rPr>
          <w:rFonts w:ascii="Verdana" w:hAnsi="Verdana"/>
          <w:sz w:val="20"/>
        </w:rPr>
        <w:t xml:space="preserve">mantém </w:t>
      </w:r>
      <w:r>
        <w:rPr>
          <w:rFonts w:ascii="Verdana" w:hAnsi="Verdana"/>
          <w:sz w:val="20"/>
        </w:rPr>
        <w:t>com</w:t>
      </w:r>
      <w:r w:rsidRPr="002818E7">
        <w:rPr>
          <w:rFonts w:ascii="Verdana" w:hAnsi="Verdana"/>
          <w:sz w:val="20"/>
        </w:rPr>
        <w:t xml:space="preserve"> su</w:t>
      </w:r>
      <w:r>
        <w:rPr>
          <w:rFonts w:ascii="Verdana" w:hAnsi="Verdana"/>
          <w:sz w:val="20"/>
        </w:rPr>
        <w:t>a</w:t>
      </w:r>
      <w:r w:rsidRPr="002818E7">
        <w:rPr>
          <w:rFonts w:ascii="Verdana" w:hAnsi="Verdana"/>
          <w:sz w:val="20"/>
        </w:rPr>
        <w:t xml:space="preserve"> terra</w:t>
      </w:r>
      <w:r>
        <w:rPr>
          <w:rFonts w:ascii="Verdana" w:hAnsi="Verdana"/>
          <w:sz w:val="20"/>
        </w:rPr>
        <w:t xml:space="preserve"> tradicional e </w:t>
      </w:r>
      <w:r w:rsidRPr="002818E7">
        <w:rPr>
          <w:rFonts w:ascii="Verdana" w:hAnsi="Verdana"/>
          <w:sz w:val="20"/>
        </w:rPr>
        <w:t>os recursos naturais</w:t>
      </w:r>
      <w:r>
        <w:rPr>
          <w:rFonts w:ascii="Verdana" w:hAnsi="Verdana"/>
          <w:sz w:val="20"/>
        </w:rPr>
        <w:t>, o Estado é</w:t>
      </w:r>
      <w:r w:rsidRPr="002818E7">
        <w:rPr>
          <w:rFonts w:ascii="Verdana" w:hAnsi="Verdana"/>
          <w:sz w:val="20"/>
        </w:rPr>
        <w:t xml:space="preserve"> responsável</w:t>
      </w:r>
      <w:r>
        <w:rPr>
          <w:rFonts w:ascii="Verdana" w:hAnsi="Verdana"/>
          <w:sz w:val="20"/>
        </w:rPr>
        <w:t xml:space="preserve"> pe</w:t>
      </w:r>
      <w:r w:rsidRPr="002818E7">
        <w:rPr>
          <w:rFonts w:ascii="Verdana" w:hAnsi="Verdana"/>
          <w:sz w:val="20"/>
        </w:rPr>
        <w:t>la violação de outros direitos</w:t>
      </w:r>
      <w:r>
        <w:rPr>
          <w:rFonts w:ascii="Verdana" w:hAnsi="Verdana"/>
          <w:sz w:val="20"/>
        </w:rPr>
        <w:t xml:space="preserve"> protegidos pe</w:t>
      </w:r>
      <w:r w:rsidRPr="002818E7">
        <w:rPr>
          <w:rFonts w:ascii="Verdana" w:hAnsi="Verdana"/>
          <w:sz w:val="20"/>
        </w:rPr>
        <w:t>la Convenção</w:t>
      </w:r>
      <w:r>
        <w:rPr>
          <w:rFonts w:ascii="Verdana" w:hAnsi="Verdana"/>
          <w:sz w:val="20"/>
        </w:rPr>
        <w:t xml:space="preserve"> Americana. A</w:t>
      </w:r>
      <w:r w:rsidRPr="002818E7">
        <w:rPr>
          <w:rFonts w:ascii="Verdana" w:hAnsi="Verdana"/>
          <w:sz w:val="20"/>
        </w:rPr>
        <w:t xml:space="preserve"> Comissão manifestou</w:t>
      </w:r>
      <w:r>
        <w:rPr>
          <w:rFonts w:ascii="Verdana" w:hAnsi="Verdana"/>
          <w:sz w:val="20"/>
        </w:rPr>
        <w:t xml:space="preserve"> que, ao ignorar e </w:t>
      </w:r>
      <w:r w:rsidR="00E82516">
        <w:rPr>
          <w:rFonts w:ascii="Verdana" w:hAnsi="Verdana"/>
          <w:sz w:val="20"/>
        </w:rPr>
        <w:t>recusar</w:t>
      </w:r>
      <w:r>
        <w:rPr>
          <w:rFonts w:ascii="Verdana" w:hAnsi="Verdana"/>
          <w:sz w:val="20"/>
        </w:rPr>
        <w:t xml:space="preserve"> </w:t>
      </w:r>
      <w:r w:rsidRPr="002818E7">
        <w:rPr>
          <w:rFonts w:ascii="Verdana" w:hAnsi="Verdana"/>
          <w:sz w:val="20"/>
        </w:rPr>
        <w:t>a demanda</w:t>
      </w:r>
      <w:r>
        <w:rPr>
          <w:rFonts w:ascii="Verdana" w:hAnsi="Verdana"/>
          <w:sz w:val="20"/>
        </w:rPr>
        <w:t xml:space="preserve"> territorial d</w:t>
      </w:r>
      <w:r w:rsidRPr="002818E7">
        <w:rPr>
          <w:rFonts w:ascii="Verdana" w:hAnsi="Verdana"/>
          <w:sz w:val="20"/>
        </w:rPr>
        <w:t>a Comunidade</w:t>
      </w:r>
      <w:r>
        <w:rPr>
          <w:rFonts w:ascii="Verdana" w:hAnsi="Verdana"/>
          <w:sz w:val="20"/>
        </w:rPr>
        <w:t xml:space="preserve"> e ao</w:t>
      </w:r>
      <w:r w:rsidRPr="002818E7">
        <w:rPr>
          <w:rFonts w:ascii="Verdana" w:hAnsi="Verdana"/>
          <w:sz w:val="20"/>
        </w:rPr>
        <w:t xml:space="preserve"> </w:t>
      </w:r>
      <w:r w:rsidR="002A016A">
        <w:rPr>
          <w:rFonts w:ascii="Verdana" w:hAnsi="Verdana"/>
          <w:sz w:val="20"/>
        </w:rPr>
        <w:t xml:space="preserve">outorgar uma concessão </w:t>
      </w:r>
      <w:r w:rsidRPr="002818E7">
        <w:rPr>
          <w:rFonts w:ascii="Verdana" w:hAnsi="Verdana"/>
          <w:sz w:val="20"/>
        </w:rPr>
        <w:t xml:space="preserve">para </w:t>
      </w:r>
      <w:r w:rsidRPr="002818E7">
        <w:rPr>
          <w:rFonts w:ascii="Verdana" w:hAnsi="Verdana"/>
          <w:sz w:val="20"/>
        </w:rPr>
        <w:lastRenderedPageBreak/>
        <w:t>aproveitamento florestal</w:t>
      </w:r>
      <w:r>
        <w:rPr>
          <w:rFonts w:ascii="Verdana" w:hAnsi="Verdana"/>
          <w:sz w:val="20"/>
        </w:rPr>
        <w:t xml:space="preserve"> dentro d</w:t>
      </w:r>
      <w:r w:rsidRPr="002818E7">
        <w:rPr>
          <w:rFonts w:ascii="Verdana" w:hAnsi="Verdana"/>
          <w:sz w:val="20"/>
        </w:rPr>
        <w:t>a terra</w:t>
      </w:r>
      <w:r>
        <w:rPr>
          <w:rFonts w:ascii="Verdana" w:hAnsi="Verdana"/>
          <w:sz w:val="20"/>
        </w:rPr>
        <w:t xml:space="preserve"> tradicional d</w:t>
      </w:r>
      <w:r w:rsidRPr="002818E7">
        <w:rPr>
          <w:rFonts w:ascii="Verdana" w:hAnsi="Verdana"/>
          <w:sz w:val="20"/>
        </w:rPr>
        <w:t>a Comunidade</w:t>
      </w:r>
      <w:r>
        <w:rPr>
          <w:rFonts w:ascii="Verdana" w:hAnsi="Verdana"/>
          <w:sz w:val="20"/>
        </w:rPr>
        <w:t xml:space="preserve"> sem</w:t>
      </w:r>
      <w:r w:rsidRPr="002818E7">
        <w:rPr>
          <w:rFonts w:ascii="Verdana" w:hAnsi="Verdana"/>
          <w:sz w:val="20"/>
        </w:rPr>
        <w:t xml:space="preserve"> consultar s</w:t>
      </w:r>
      <w:r>
        <w:rPr>
          <w:rFonts w:ascii="Verdana" w:hAnsi="Verdana"/>
          <w:sz w:val="20"/>
        </w:rPr>
        <w:t>eu parecer, “</w:t>
      </w:r>
      <w:r w:rsidR="002D33D5">
        <w:rPr>
          <w:rFonts w:ascii="Verdana" w:hAnsi="Verdana"/>
          <w:sz w:val="20"/>
        </w:rPr>
        <w:t xml:space="preserve">o </w:t>
      </w:r>
      <w:r w:rsidRPr="002818E7">
        <w:rPr>
          <w:rFonts w:ascii="Verdana" w:hAnsi="Verdana"/>
          <w:sz w:val="20"/>
        </w:rPr>
        <w:t>Estado violou</w:t>
      </w:r>
      <w:r>
        <w:rPr>
          <w:rFonts w:ascii="Verdana" w:hAnsi="Verdana"/>
          <w:sz w:val="20"/>
        </w:rPr>
        <w:t xml:space="preserve"> um</w:t>
      </w:r>
      <w:r w:rsidRPr="002818E7">
        <w:rPr>
          <w:rFonts w:ascii="Verdana" w:hAnsi="Verdana"/>
          <w:sz w:val="20"/>
        </w:rPr>
        <w:t>a combinação</w:t>
      </w:r>
      <w:r>
        <w:rPr>
          <w:rFonts w:ascii="Verdana" w:hAnsi="Verdana"/>
          <w:sz w:val="20"/>
        </w:rPr>
        <w:t>” d</w:t>
      </w:r>
      <w:r w:rsidRPr="002818E7">
        <w:rPr>
          <w:rFonts w:ascii="Verdana" w:hAnsi="Verdana"/>
          <w:sz w:val="20"/>
        </w:rPr>
        <w:t>os seguintes artigos</w:t>
      </w:r>
      <w:r>
        <w:rPr>
          <w:rFonts w:ascii="Verdana" w:hAnsi="Verdana"/>
          <w:sz w:val="20"/>
        </w:rPr>
        <w:t xml:space="preserve"> consagrados n</w:t>
      </w:r>
      <w:r w:rsidRPr="002818E7">
        <w:rPr>
          <w:rFonts w:ascii="Verdana" w:hAnsi="Verdana"/>
          <w:sz w:val="20"/>
        </w:rPr>
        <w:t xml:space="preserve">a Convenção: </w:t>
      </w:r>
      <w:proofErr w:type="gramStart"/>
      <w:r w:rsidRPr="002818E7">
        <w:rPr>
          <w:rFonts w:ascii="Verdana" w:hAnsi="Verdana"/>
          <w:sz w:val="20"/>
        </w:rPr>
        <w:t>4</w:t>
      </w:r>
      <w:proofErr w:type="gramEnd"/>
      <w:r w:rsidRPr="002818E7">
        <w:rPr>
          <w:rFonts w:ascii="Verdana" w:hAnsi="Verdana"/>
          <w:sz w:val="20"/>
        </w:rPr>
        <w:t xml:space="preserve"> </w:t>
      </w:r>
      <w:r w:rsidR="00C60678" w:rsidRPr="00C60678">
        <w:rPr>
          <w:rFonts w:ascii="Verdana" w:hAnsi="Verdana"/>
          <w:sz w:val="20"/>
        </w:rPr>
        <w:t>(</w:t>
      </w:r>
      <w:r w:rsidRPr="002818E7">
        <w:rPr>
          <w:rFonts w:ascii="Verdana" w:hAnsi="Verdana"/>
          <w:sz w:val="20"/>
        </w:rPr>
        <w:t>Direito</w:t>
      </w:r>
      <w:r>
        <w:rPr>
          <w:rFonts w:ascii="Verdana" w:hAnsi="Verdana"/>
          <w:sz w:val="20"/>
        </w:rPr>
        <w:t xml:space="preserve"> à</w:t>
      </w:r>
      <w:r w:rsidRPr="002818E7">
        <w:rPr>
          <w:rFonts w:ascii="Verdana" w:hAnsi="Verdana"/>
          <w:sz w:val="20"/>
        </w:rPr>
        <w:t xml:space="preserve"> Vida</w:t>
      </w:r>
      <w:r w:rsidR="00C60678" w:rsidRPr="00C60678">
        <w:rPr>
          <w:rFonts w:ascii="Verdana" w:hAnsi="Verdana"/>
          <w:sz w:val="20"/>
        </w:rPr>
        <w:t>)</w:t>
      </w:r>
      <w:r w:rsidRPr="002818E7">
        <w:rPr>
          <w:rFonts w:ascii="Verdana" w:hAnsi="Verdana"/>
          <w:sz w:val="20"/>
        </w:rPr>
        <w:t xml:space="preserve">, 11 </w:t>
      </w:r>
      <w:r w:rsidR="00C60678" w:rsidRPr="00C60678">
        <w:rPr>
          <w:rFonts w:ascii="Verdana" w:hAnsi="Verdana"/>
          <w:sz w:val="20"/>
        </w:rPr>
        <w:t>(</w:t>
      </w:r>
      <w:r w:rsidRPr="002818E7">
        <w:rPr>
          <w:rFonts w:ascii="Verdana" w:hAnsi="Verdana"/>
          <w:sz w:val="20"/>
        </w:rPr>
        <w:t>Proteção</w:t>
      </w:r>
      <w:r>
        <w:rPr>
          <w:rFonts w:ascii="Verdana" w:hAnsi="Verdana"/>
          <w:sz w:val="20"/>
        </w:rPr>
        <w:t xml:space="preserve"> da Honra e d</w:t>
      </w:r>
      <w:r w:rsidRPr="002818E7">
        <w:rPr>
          <w:rFonts w:ascii="Verdana" w:hAnsi="Verdana"/>
          <w:sz w:val="20"/>
        </w:rPr>
        <w:t>a Dignidad</w:t>
      </w:r>
      <w:r>
        <w:rPr>
          <w:rFonts w:ascii="Verdana" w:hAnsi="Verdana"/>
          <w:sz w:val="20"/>
        </w:rPr>
        <w:t>e</w:t>
      </w:r>
      <w:r w:rsidR="00C60678" w:rsidRPr="00C60678">
        <w:rPr>
          <w:rFonts w:ascii="Verdana" w:hAnsi="Verdana"/>
          <w:sz w:val="20"/>
        </w:rPr>
        <w:t>)</w:t>
      </w:r>
      <w:r>
        <w:rPr>
          <w:rFonts w:ascii="Verdana" w:hAnsi="Verdana"/>
          <w:sz w:val="20"/>
        </w:rPr>
        <w:t xml:space="preserve">; 12 </w:t>
      </w:r>
      <w:r w:rsidR="00C60678" w:rsidRPr="00C60678">
        <w:rPr>
          <w:rFonts w:ascii="Verdana" w:hAnsi="Verdana"/>
          <w:sz w:val="20"/>
        </w:rPr>
        <w:t>(</w:t>
      </w:r>
      <w:r>
        <w:rPr>
          <w:rFonts w:ascii="Verdana" w:hAnsi="Verdana"/>
          <w:sz w:val="20"/>
        </w:rPr>
        <w:t>Liberd</w:t>
      </w:r>
      <w:r w:rsidRPr="002818E7">
        <w:rPr>
          <w:rFonts w:ascii="Verdana" w:hAnsi="Verdana"/>
          <w:sz w:val="20"/>
        </w:rPr>
        <w:t>ad</w:t>
      </w:r>
      <w:r>
        <w:rPr>
          <w:rFonts w:ascii="Verdana" w:hAnsi="Verdana"/>
          <w:sz w:val="20"/>
        </w:rPr>
        <w:t>e</w:t>
      </w:r>
      <w:r w:rsidRPr="002818E7">
        <w:rPr>
          <w:rFonts w:ascii="Verdana" w:hAnsi="Verdana"/>
          <w:sz w:val="20"/>
        </w:rPr>
        <w:t xml:space="preserve"> de Con</w:t>
      </w:r>
      <w:r>
        <w:rPr>
          <w:rFonts w:ascii="Verdana" w:hAnsi="Verdana"/>
          <w:sz w:val="20"/>
        </w:rPr>
        <w:t>s</w:t>
      </w:r>
      <w:r w:rsidRPr="002818E7">
        <w:rPr>
          <w:rFonts w:ascii="Verdana" w:hAnsi="Verdana"/>
          <w:sz w:val="20"/>
        </w:rPr>
        <w:t>ciência</w:t>
      </w:r>
      <w:r>
        <w:rPr>
          <w:rFonts w:ascii="Verdana" w:hAnsi="Verdana"/>
          <w:sz w:val="20"/>
        </w:rPr>
        <w:t xml:space="preserve"> e</w:t>
      </w:r>
      <w:r w:rsidRPr="002818E7">
        <w:rPr>
          <w:rFonts w:ascii="Verdana" w:hAnsi="Verdana"/>
          <w:sz w:val="20"/>
        </w:rPr>
        <w:t xml:space="preserve"> de Religião</w:t>
      </w:r>
      <w:r w:rsidR="00C60678" w:rsidRPr="00C60678">
        <w:rPr>
          <w:rFonts w:ascii="Verdana" w:hAnsi="Verdana"/>
          <w:sz w:val="20"/>
        </w:rPr>
        <w:t>)</w:t>
      </w:r>
      <w:r>
        <w:rPr>
          <w:rFonts w:ascii="Verdana" w:hAnsi="Verdana"/>
          <w:sz w:val="20"/>
        </w:rPr>
        <w:t xml:space="preserve">, 16 </w:t>
      </w:r>
      <w:r w:rsidR="00C60678" w:rsidRPr="00C60678">
        <w:rPr>
          <w:rFonts w:ascii="Verdana" w:hAnsi="Verdana"/>
          <w:sz w:val="20"/>
        </w:rPr>
        <w:t>(</w:t>
      </w:r>
      <w:r>
        <w:rPr>
          <w:rFonts w:ascii="Verdana" w:hAnsi="Verdana"/>
          <w:sz w:val="20"/>
        </w:rPr>
        <w:t>Liberd</w:t>
      </w:r>
      <w:r w:rsidRPr="002818E7">
        <w:rPr>
          <w:rFonts w:ascii="Verdana" w:hAnsi="Verdana"/>
          <w:sz w:val="20"/>
        </w:rPr>
        <w:t>ad</w:t>
      </w:r>
      <w:r>
        <w:rPr>
          <w:rFonts w:ascii="Verdana" w:hAnsi="Verdana"/>
          <w:sz w:val="20"/>
        </w:rPr>
        <w:t>e</w:t>
      </w:r>
      <w:r w:rsidRPr="002818E7">
        <w:rPr>
          <w:rFonts w:ascii="Verdana" w:hAnsi="Verdana"/>
          <w:sz w:val="20"/>
        </w:rPr>
        <w:t xml:space="preserve"> de As</w:t>
      </w:r>
      <w:r>
        <w:rPr>
          <w:rFonts w:ascii="Verdana" w:hAnsi="Verdana"/>
          <w:sz w:val="20"/>
        </w:rPr>
        <w:t>s</w:t>
      </w:r>
      <w:r w:rsidRPr="002818E7">
        <w:rPr>
          <w:rFonts w:ascii="Verdana" w:hAnsi="Verdana"/>
          <w:sz w:val="20"/>
        </w:rPr>
        <w:t>ociação</w:t>
      </w:r>
      <w:r w:rsidR="00C60678" w:rsidRPr="00C60678">
        <w:rPr>
          <w:rFonts w:ascii="Verdana" w:hAnsi="Verdana"/>
          <w:sz w:val="20"/>
        </w:rPr>
        <w:t>)</w:t>
      </w:r>
      <w:r w:rsidRPr="002818E7">
        <w:rPr>
          <w:rFonts w:ascii="Verdana" w:hAnsi="Verdana"/>
          <w:sz w:val="20"/>
        </w:rPr>
        <w:t xml:space="preserve">; 17 </w:t>
      </w:r>
      <w:r w:rsidR="00C60678" w:rsidRPr="00C60678">
        <w:rPr>
          <w:rFonts w:ascii="Verdana" w:hAnsi="Verdana"/>
          <w:sz w:val="20"/>
        </w:rPr>
        <w:t>(</w:t>
      </w:r>
      <w:r w:rsidRPr="002818E7">
        <w:rPr>
          <w:rFonts w:ascii="Verdana" w:hAnsi="Verdana"/>
          <w:sz w:val="20"/>
        </w:rPr>
        <w:t>Proteção</w:t>
      </w:r>
      <w:r>
        <w:rPr>
          <w:rFonts w:ascii="Verdana" w:hAnsi="Verdana"/>
          <w:sz w:val="20"/>
        </w:rPr>
        <w:t xml:space="preserve"> da Famí</w:t>
      </w:r>
      <w:r w:rsidRPr="002818E7">
        <w:rPr>
          <w:rFonts w:ascii="Verdana" w:hAnsi="Verdana"/>
          <w:sz w:val="20"/>
        </w:rPr>
        <w:t>lia</w:t>
      </w:r>
      <w:r w:rsidR="00C60678" w:rsidRPr="00C60678">
        <w:rPr>
          <w:rFonts w:ascii="Verdana" w:hAnsi="Verdana"/>
          <w:sz w:val="20"/>
        </w:rPr>
        <w:t>)</w:t>
      </w:r>
      <w:r w:rsidRPr="002818E7">
        <w:rPr>
          <w:rFonts w:ascii="Verdana" w:hAnsi="Verdana"/>
          <w:sz w:val="20"/>
        </w:rPr>
        <w:t xml:space="preserve">; 22 </w:t>
      </w:r>
      <w:r w:rsidR="00C60678" w:rsidRPr="00C60678">
        <w:rPr>
          <w:rFonts w:ascii="Verdana" w:hAnsi="Verdana"/>
          <w:sz w:val="20"/>
        </w:rPr>
        <w:t>(</w:t>
      </w:r>
      <w:r w:rsidRPr="002818E7">
        <w:rPr>
          <w:rFonts w:ascii="Verdana" w:hAnsi="Verdana"/>
          <w:sz w:val="20"/>
        </w:rPr>
        <w:t>Direito de Circulação</w:t>
      </w:r>
      <w:r>
        <w:rPr>
          <w:rFonts w:ascii="Verdana" w:hAnsi="Verdana"/>
          <w:sz w:val="20"/>
        </w:rPr>
        <w:t xml:space="preserve"> e de Residência</w:t>
      </w:r>
      <w:r w:rsidR="00C60678" w:rsidRPr="00C60678">
        <w:rPr>
          <w:rFonts w:ascii="Verdana" w:hAnsi="Verdana"/>
          <w:sz w:val="20"/>
        </w:rPr>
        <w:t>)</w:t>
      </w:r>
      <w:r>
        <w:rPr>
          <w:rFonts w:ascii="Verdana" w:hAnsi="Verdana"/>
          <w:sz w:val="20"/>
        </w:rPr>
        <w:t>; e</w:t>
      </w:r>
      <w:r w:rsidRPr="002818E7">
        <w:rPr>
          <w:rFonts w:ascii="Verdana" w:hAnsi="Verdana"/>
          <w:sz w:val="20"/>
        </w:rPr>
        <w:t xml:space="preserve"> 23 </w:t>
      </w:r>
      <w:r w:rsidR="00C60678" w:rsidRPr="00C60678">
        <w:rPr>
          <w:rFonts w:ascii="Verdana" w:hAnsi="Verdana"/>
          <w:sz w:val="20"/>
        </w:rPr>
        <w:t>(</w:t>
      </w:r>
      <w:r w:rsidRPr="002818E7">
        <w:rPr>
          <w:rFonts w:ascii="Verdana" w:hAnsi="Verdana"/>
          <w:sz w:val="20"/>
        </w:rPr>
        <w:t>Direitos Políticos</w:t>
      </w:r>
      <w:r w:rsidR="00C60678" w:rsidRPr="00C60678">
        <w:rPr>
          <w:rFonts w:ascii="Verdana" w:hAnsi="Verdana"/>
          <w:sz w:val="20"/>
        </w:rPr>
        <w:t>)</w:t>
      </w:r>
      <w:r w:rsidRPr="002818E7">
        <w:rPr>
          <w:rFonts w:ascii="Verdana" w:hAnsi="Verdana"/>
          <w:sz w:val="20"/>
        </w:rPr>
        <w:t>.</w:t>
      </w:r>
    </w:p>
    <w:p w:rsidR="00C336FB" w:rsidRPr="002818E7" w:rsidRDefault="00C336FB" w:rsidP="00C336FB">
      <w:pPr>
        <w:jc w:val="both"/>
        <w:rPr>
          <w:rFonts w:ascii="Verdana" w:hAnsi="Verdana"/>
          <w:b/>
          <w:sz w:val="20"/>
        </w:rPr>
      </w:pPr>
    </w:p>
    <w:p w:rsidR="00C336FB" w:rsidRPr="002818E7" w:rsidRDefault="00C336FB" w:rsidP="00C336FB">
      <w:pPr>
        <w:jc w:val="center"/>
        <w:rPr>
          <w:rFonts w:ascii="Verdana" w:hAnsi="Verdana"/>
          <w:b/>
          <w:sz w:val="20"/>
        </w:rPr>
      </w:pPr>
      <w:r w:rsidRPr="002818E7">
        <w:rPr>
          <w:rFonts w:ascii="Verdana" w:hAnsi="Verdana"/>
          <w:b/>
          <w:sz w:val="20"/>
        </w:rPr>
        <w:t>*</w:t>
      </w:r>
    </w:p>
    <w:p w:rsidR="00C336FB" w:rsidRPr="002818E7" w:rsidRDefault="00C336FB" w:rsidP="00C336FB">
      <w:pPr>
        <w:jc w:val="center"/>
        <w:rPr>
          <w:rFonts w:ascii="Verdana" w:hAnsi="Verdana"/>
          <w:b/>
          <w:sz w:val="20"/>
        </w:rPr>
      </w:pPr>
      <w:r w:rsidRPr="002818E7">
        <w:rPr>
          <w:rFonts w:ascii="Verdana" w:hAnsi="Verdana"/>
          <w:b/>
          <w:sz w:val="20"/>
        </w:rPr>
        <w:t>*</w:t>
      </w:r>
      <w:r w:rsidRPr="002818E7">
        <w:rPr>
          <w:rFonts w:ascii="Verdana" w:hAnsi="Verdana"/>
          <w:b/>
          <w:sz w:val="20"/>
        </w:rPr>
        <w:tab/>
        <w:t>*</w:t>
      </w:r>
    </w:p>
    <w:p w:rsidR="00C336FB" w:rsidRPr="002818E7" w:rsidRDefault="00C336FB" w:rsidP="00C336FB">
      <w:pPr>
        <w:jc w:val="center"/>
        <w:rPr>
          <w:rFonts w:ascii="Verdana" w:hAnsi="Verdana"/>
          <w:b/>
          <w:sz w:val="20"/>
        </w:rPr>
      </w:pPr>
    </w:p>
    <w:p w:rsidR="00C336FB" w:rsidRDefault="00C336FB" w:rsidP="00C336FB">
      <w:pPr>
        <w:jc w:val="both"/>
        <w:rPr>
          <w:rFonts w:ascii="Verdana" w:hAnsi="Verdana"/>
          <w:i/>
          <w:sz w:val="20"/>
        </w:rPr>
      </w:pPr>
      <w:r w:rsidRPr="002818E7">
        <w:rPr>
          <w:rFonts w:ascii="Verdana" w:hAnsi="Verdana"/>
          <w:i/>
          <w:sz w:val="20"/>
        </w:rPr>
        <w:t>Considerações</w:t>
      </w:r>
      <w:r>
        <w:rPr>
          <w:rFonts w:ascii="Verdana" w:hAnsi="Verdana"/>
          <w:i/>
          <w:sz w:val="20"/>
        </w:rPr>
        <w:t xml:space="preserve"> d</w:t>
      </w:r>
      <w:r w:rsidRPr="002818E7">
        <w:rPr>
          <w:rFonts w:ascii="Verdana" w:hAnsi="Verdana"/>
          <w:i/>
          <w:sz w:val="20"/>
        </w:rPr>
        <w:t>a Corte</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sz w:val="20"/>
        </w:rPr>
      </w:pPr>
      <w:r>
        <w:rPr>
          <w:rFonts w:ascii="Verdana" w:hAnsi="Verdana"/>
          <w:sz w:val="20"/>
        </w:rPr>
        <w:t>157.</w:t>
      </w:r>
      <w:r>
        <w:rPr>
          <w:rFonts w:ascii="Verdana" w:hAnsi="Verdana"/>
          <w:sz w:val="20"/>
        </w:rPr>
        <w:tab/>
        <w:t>Com</w:t>
      </w:r>
      <w:r w:rsidRPr="002818E7">
        <w:rPr>
          <w:rFonts w:ascii="Verdana" w:hAnsi="Verdana"/>
          <w:sz w:val="20"/>
        </w:rPr>
        <w:t xml:space="preserve"> respeito</w:t>
      </w:r>
      <w:r>
        <w:rPr>
          <w:rFonts w:ascii="Verdana" w:hAnsi="Verdana"/>
          <w:sz w:val="20"/>
        </w:rPr>
        <w:t xml:space="preserve"> à</w:t>
      </w:r>
      <w:r w:rsidRPr="002818E7">
        <w:rPr>
          <w:rFonts w:ascii="Verdana" w:hAnsi="Verdana"/>
          <w:sz w:val="20"/>
        </w:rPr>
        <w:t xml:space="preserve"> alegada violação</w:t>
      </w:r>
      <w:r>
        <w:rPr>
          <w:rFonts w:ascii="Verdana" w:hAnsi="Verdana"/>
          <w:sz w:val="20"/>
        </w:rPr>
        <w:t xml:space="preserve"> d</w:t>
      </w:r>
      <w:r w:rsidRPr="002818E7">
        <w:rPr>
          <w:rFonts w:ascii="Verdana" w:hAnsi="Verdana"/>
          <w:sz w:val="20"/>
        </w:rPr>
        <w:t>os artigos</w:t>
      </w:r>
      <w:r>
        <w:rPr>
          <w:rFonts w:ascii="Verdana" w:hAnsi="Verdana"/>
          <w:sz w:val="20"/>
        </w:rPr>
        <w:t xml:space="preserve"> 4, 11, 12, 16, 17, 22 e 23 d</w:t>
      </w:r>
      <w:r w:rsidRPr="002818E7">
        <w:rPr>
          <w:rFonts w:ascii="Verdana" w:hAnsi="Verdana"/>
          <w:sz w:val="20"/>
        </w:rPr>
        <w:t>a Convenção</w:t>
      </w:r>
      <w:r>
        <w:rPr>
          <w:rFonts w:ascii="Verdana" w:hAnsi="Verdana"/>
          <w:sz w:val="20"/>
        </w:rPr>
        <w:t xml:space="preserve"> apresentada pe</w:t>
      </w:r>
      <w:r w:rsidRPr="002818E7">
        <w:rPr>
          <w:rFonts w:ascii="Verdana" w:hAnsi="Verdana"/>
          <w:sz w:val="20"/>
        </w:rPr>
        <w:t>la Comissão</w:t>
      </w:r>
      <w:r>
        <w:rPr>
          <w:rFonts w:ascii="Verdana" w:hAnsi="Verdana"/>
          <w:sz w:val="20"/>
        </w:rPr>
        <w:t xml:space="preserve"> em</w:t>
      </w:r>
      <w:r w:rsidRPr="002818E7">
        <w:rPr>
          <w:rFonts w:ascii="Verdana" w:hAnsi="Verdana"/>
          <w:sz w:val="20"/>
        </w:rPr>
        <w:t xml:space="preserve"> s</w:t>
      </w:r>
      <w:r>
        <w:rPr>
          <w:rFonts w:ascii="Verdana" w:hAnsi="Verdana"/>
          <w:sz w:val="20"/>
        </w:rPr>
        <w:t>e</w:t>
      </w:r>
      <w:r w:rsidRPr="002818E7">
        <w:rPr>
          <w:rFonts w:ascii="Verdana" w:hAnsi="Verdana"/>
          <w:sz w:val="20"/>
        </w:rPr>
        <w:t>u escrito de alegações finais</w:t>
      </w:r>
      <w:r>
        <w:rPr>
          <w:rFonts w:ascii="Verdana" w:hAnsi="Verdana"/>
          <w:sz w:val="20"/>
        </w:rPr>
        <w:t xml:space="preserve">, a Corte </w:t>
      </w:r>
      <w:r w:rsidR="00A22100">
        <w:rPr>
          <w:rFonts w:ascii="Verdana" w:hAnsi="Verdana"/>
          <w:sz w:val="20"/>
        </w:rPr>
        <w:t xml:space="preserve">considerou </w:t>
      </w:r>
      <w:r w:rsidR="00AD18B0">
        <w:rPr>
          <w:rFonts w:ascii="Verdana" w:hAnsi="Verdana"/>
          <w:sz w:val="20"/>
        </w:rPr>
        <w:t xml:space="preserve">ainda </w:t>
      </w:r>
      <w:r>
        <w:rPr>
          <w:rFonts w:ascii="Verdana" w:hAnsi="Verdana"/>
          <w:sz w:val="20"/>
        </w:rPr>
        <w:t xml:space="preserve">que </w:t>
      </w:r>
      <w:r w:rsidRPr="002818E7">
        <w:rPr>
          <w:rFonts w:ascii="Verdana" w:hAnsi="Verdana"/>
          <w:sz w:val="20"/>
        </w:rPr>
        <w:t>a violação</w:t>
      </w:r>
      <w:r>
        <w:rPr>
          <w:rFonts w:ascii="Verdana" w:hAnsi="Verdana"/>
          <w:sz w:val="20"/>
        </w:rPr>
        <w:t xml:space="preserve"> de algum</w:t>
      </w:r>
      <w:r w:rsidRPr="002818E7">
        <w:rPr>
          <w:rFonts w:ascii="Verdana" w:hAnsi="Verdana"/>
          <w:sz w:val="20"/>
        </w:rPr>
        <w:t xml:space="preserve"> artigo</w:t>
      </w:r>
      <w:r>
        <w:rPr>
          <w:rFonts w:ascii="Verdana" w:hAnsi="Verdana"/>
          <w:sz w:val="20"/>
        </w:rPr>
        <w:t xml:space="preserve"> d</w:t>
      </w:r>
      <w:r w:rsidRPr="002818E7">
        <w:rPr>
          <w:rFonts w:ascii="Verdana" w:hAnsi="Verdana"/>
          <w:sz w:val="20"/>
        </w:rPr>
        <w:t>a Convenção n</w:t>
      </w:r>
      <w:r>
        <w:rPr>
          <w:rFonts w:ascii="Verdana" w:hAnsi="Verdana"/>
          <w:sz w:val="20"/>
        </w:rPr>
        <w:t xml:space="preserve">ão </w:t>
      </w:r>
      <w:r w:rsidR="00A22100">
        <w:rPr>
          <w:rFonts w:ascii="Verdana" w:hAnsi="Verdana"/>
          <w:sz w:val="20"/>
        </w:rPr>
        <w:t xml:space="preserve">tenha sido </w:t>
      </w:r>
      <w:r>
        <w:rPr>
          <w:rFonts w:ascii="Verdana" w:hAnsi="Verdana"/>
          <w:sz w:val="20"/>
        </w:rPr>
        <w:t>alegada no escrito d</w:t>
      </w:r>
      <w:r w:rsidR="0056053F">
        <w:rPr>
          <w:rFonts w:ascii="Verdana" w:hAnsi="Verdana"/>
          <w:sz w:val="20"/>
        </w:rPr>
        <w:t>a</w:t>
      </w:r>
      <w:r>
        <w:rPr>
          <w:rFonts w:ascii="Verdana" w:hAnsi="Verdana"/>
          <w:sz w:val="20"/>
        </w:rPr>
        <w:t xml:space="preserve"> demanda, iss</w:t>
      </w:r>
      <w:r w:rsidRPr="002818E7">
        <w:rPr>
          <w:rFonts w:ascii="Verdana" w:hAnsi="Verdana"/>
          <w:sz w:val="20"/>
        </w:rPr>
        <w:t>o n</w:t>
      </w:r>
      <w:r>
        <w:rPr>
          <w:rFonts w:ascii="Verdana" w:hAnsi="Verdana"/>
          <w:sz w:val="20"/>
        </w:rPr>
        <w:t xml:space="preserve">ão impede que </w:t>
      </w:r>
      <w:r w:rsidRPr="002818E7">
        <w:rPr>
          <w:rFonts w:ascii="Verdana" w:hAnsi="Verdana"/>
          <w:sz w:val="20"/>
        </w:rPr>
        <w:t>a mesma se</w:t>
      </w:r>
      <w:r>
        <w:rPr>
          <w:rFonts w:ascii="Verdana" w:hAnsi="Verdana"/>
          <w:sz w:val="20"/>
        </w:rPr>
        <w:t>ja declarada pela Corte, se d</w:t>
      </w:r>
      <w:r w:rsidRPr="002818E7">
        <w:rPr>
          <w:rFonts w:ascii="Verdana" w:hAnsi="Verdana"/>
          <w:sz w:val="20"/>
        </w:rPr>
        <w:t xml:space="preserve">os </w:t>
      </w:r>
      <w:r>
        <w:rPr>
          <w:rFonts w:ascii="Verdana" w:hAnsi="Verdana"/>
          <w:sz w:val="20"/>
        </w:rPr>
        <w:t>fa</w:t>
      </w:r>
      <w:r w:rsidRPr="002818E7">
        <w:rPr>
          <w:rFonts w:ascii="Verdana" w:hAnsi="Verdana"/>
          <w:sz w:val="20"/>
        </w:rPr>
        <w:t>tos</w:t>
      </w:r>
      <w:r>
        <w:rPr>
          <w:rFonts w:ascii="Verdana" w:hAnsi="Verdana"/>
          <w:sz w:val="20"/>
        </w:rPr>
        <w:t xml:space="preserve"> provados result</w:t>
      </w:r>
      <w:r w:rsidR="00A22100">
        <w:rPr>
          <w:rFonts w:ascii="Verdana" w:hAnsi="Verdana"/>
          <w:sz w:val="20"/>
        </w:rPr>
        <w:t>e</w:t>
      </w:r>
      <w:r>
        <w:rPr>
          <w:rFonts w:ascii="Verdana" w:hAnsi="Verdana"/>
          <w:sz w:val="20"/>
        </w:rPr>
        <w:t xml:space="preserve"> que</w:t>
      </w:r>
      <w:r w:rsidR="00A22100">
        <w:rPr>
          <w:rFonts w:ascii="Verdana" w:hAnsi="Verdana"/>
          <w:sz w:val="20"/>
        </w:rPr>
        <w:t>,</w:t>
      </w:r>
      <w:r>
        <w:rPr>
          <w:rFonts w:ascii="Verdana" w:hAnsi="Verdana"/>
          <w:sz w:val="20"/>
        </w:rPr>
        <w:t xml:space="preserve"> de fato</w:t>
      </w:r>
      <w:r w:rsidR="00A22100">
        <w:rPr>
          <w:rFonts w:ascii="Verdana" w:hAnsi="Verdana"/>
          <w:sz w:val="20"/>
        </w:rPr>
        <w:t>,</w:t>
      </w:r>
      <w:r>
        <w:rPr>
          <w:rFonts w:ascii="Verdana" w:hAnsi="Verdana"/>
          <w:sz w:val="20"/>
        </w:rPr>
        <w:t xml:space="preserve"> foi produzida </w:t>
      </w:r>
      <w:r w:rsidR="00A22100">
        <w:rPr>
          <w:rFonts w:ascii="Verdana" w:hAnsi="Verdana"/>
          <w:sz w:val="20"/>
        </w:rPr>
        <w:t xml:space="preserve">a </w:t>
      </w:r>
      <w:r>
        <w:rPr>
          <w:rFonts w:ascii="Verdana" w:hAnsi="Verdana"/>
          <w:sz w:val="20"/>
        </w:rPr>
        <w:t>referida</w:t>
      </w:r>
      <w:r w:rsidRPr="002818E7">
        <w:rPr>
          <w:rFonts w:ascii="Verdana" w:hAnsi="Verdana"/>
          <w:sz w:val="20"/>
        </w:rPr>
        <w:t xml:space="preserve"> violação.</w:t>
      </w:r>
      <w:r w:rsidRPr="002818E7">
        <w:rPr>
          <w:rStyle w:val="Refdenotaalpie"/>
          <w:rFonts w:ascii="Verdana" w:hAnsi="Verdana"/>
          <w:sz w:val="20"/>
        </w:rPr>
        <w:footnoteReference w:id="61"/>
      </w:r>
      <w:r>
        <w:rPr>
          <w:rFonts w:ascii="Verdana" w:hAnsi="Verdana"/>
          <w:sz w:val="20"/>
        </w:rPr>
        <w:t xml:space="preserve"> Entretanto, no presente caso, a Corte se reme</w:t>
      </w:r>
      <w:r w:rsidRPr="002818E7">
        <w:rPr>
          <w:rFonts w:ascii="Verdana" w:hAnsi="Verdana"/>
          <w:sz w:val="20"/>
        </w:rPr>
        <w:t>te</w:t>
      </w:r>
      <w:r>
        <w:rPr>
          <w:rFonts w:ascii="Verdana" w:hAnsi="Verdana"/>
          <w:sz w:val="20"/>
        </w:rPr>
        <w:t xml:space="preserve"> a</w:t>
      </w:r>
      <w:r w:rsidRPr="002818E7">
        <w:rPr>
          <w:rFonts w:ascii="Verdana" w:hAnsi="Verdana"/>
          <w:sz w:val="20"/>
        </w:rPr>
        <w:t>o resolvido</w:t>
      </w:r>
      <w:r>
        <w:rPr>
          <w:rFonts w:ascii="Verdana" w:hAnsi="Verdana"/>
          <w:sz w:val="20"/>
        </w:rPr>
        <w:t xml:space="preserve"> n</w:t>
      </w:r>
      <w:r w:rsidRPr="002818E7">
        <w:rPr>
          <w:rFonts w:ascii="Verdana" w:hAnsi="Verdana"/>
          <w:sz w:val="20"/>
        </w:rPr>
        <w:t>esta mesma Sentença</w:t>
      </w:r>
      <w:r>
        <w:rPr>
          <w:rFonts w:ascii="Verdana" w:hAnsi="Verdana"/>
          <w:sz w:val="20"/>
        </w:rPr>
        <w:t xml:space="preserve"> em </w:t>
      </w:r>
      <w:r w:rsidRPr="002818E7">
        <w:rPr>
          <w:rFonts w:ascii="Verdana" w:hAnsi="Verdana"/>
          <w:sz w:val="20"/>
        </w:rPr>
        <w:t>relação</w:t>
      </w:r>
      <w:r>
        <w:rPr>
          <w:rFonts w:ascii="Verdana" w:hAnsi="Verdana"/>
          <w:sz w:val="20"/>
        </w:rPr>
        <w:t xml:space="preserve"> ao</w:t>
      </w:r>
      <w:r w:rsidRPr="002818E7">
        <w:rPr>
          <w:rFonts w:ascii="Verdana" w:hAnsi="Verdana"/>
          <w:sz w:val="20"/>
        </w:rPr>
        <w:t xml:space="preserve"> direito</w:t>
      </w:r>
      <w:r>
        <w:rPr>
          <w:rFonts w:ascii="Verdana" w:hAnsi="Verdana"/>
          <w:sz w:val="20"/>
        </w:rPr>
        <w:t xml:space="preserve"> à</w:t>
      </w:r>
      <w:r w:rsidRPr="002818E7">
        <w:rPr>
          <w:rFonts w:ascii="Verdana" w:hAnsi="Verdana"/>
          <w:sz w:val="20"/>
        </w:rPr>
        <w:t xml:space="preserve"> propriedade</w:t>
      </w:r>
      <w:r>
        <w:rPr>
          <w:rFonts w:ascii="Verdana" w:hAnsi="Verdana"/>
          <w:sz w:val="20"/>
        </w:rPr>
        <w:t xml:space="preserve"> e ao</w:t>
      </w:r>
      <w:r w:rsidRPr="002818E7">
        <w:rPr>
          <w:rFonts w:ascii="Verdana" w:hAnsi="Verdana"/>
          <w:sz w:val="20"/>
        </w:rPr>
        <w:t xml:space="preserve"> direito</w:t>
      </w:r>
      <w:r>
        <w:rPr>
          <w:rFonts w:ascii="Verdana" w:hAnsi="Verdana"/>
          <w:sz w:val="20"/>
        </w:rPr>
        <w:t xml:space="preserve"> à</w:t>
      </w:r>
      <w:r w:rsidRPr="002818E7">
        <w:rPr>
          <w:rFonts w:ascii="Verdana" w:hAnsi="Verdana"/>
          <w:sz w:val="20"/>
        </w:rPr>
        <w:t xml:space="preserve"> proteção</w:t>
      </w:r>
      <w:r>
        <w:rPr>
          <w:rFonts w:ascii="Verdana" w:hAnsi="Verdana"/>
          <w:sz w:val="20"/>
        </w:rPr>
        <w:t xml:space="preserve"> judicial d</w:t>
      </w:r>
      <w:r w:rsidRPr="002818E7">
        <w:rPr>
          <w:rFonts w:ascii="Verdana" w:hAnsi="Verdana"/>
          <w:sz w:val="20"/>
        </w:rPr>
        <w:t>os membros</w:t>
      </w:r>
      <w:r>
        <w:rPr>
          <w:rFonts w:ascii="Verdana" w:hAnsi="Verdana"/>
          <w:sz w:val="20"/>
        </w:rPr>
        <w:t xml:space="preserve"> d</w:t>
      </w:r>
      <w:r w:rsidRPr="002818E7">
        <w:rPr>
          <w:rFonts w:ascii="Verdana" w:hAnsi="Verdana"/>
          <w:sz w:val="20"/>
        </w:rPr>
        <w:t>a Comunidade</w:t>
      </w:r>
      <w:r>
        <w:rPr>
          <w:rFonts w:ascii="Verdana" w:hAnsi="Verdana"/>
          <w:sz w:val="20"/>
        </w:rPr>
        <w:t xml:space="preserve"> Awas Tingni e</w:t>
      </w:r>
      <w:r w:rsidRPr="002818E7">
        <w:rPr>
          <w:rFonts w:ascii="Verdana" w:hAnsi="Verdana"/>
          <w:sz w:val="20"/>
        </w:rPr>
        <w:t>, ademais</w:t>
      </w:r>
      <w:r>
        <w:rPr>
          <w:rFonts w:ascii="Verdana" w:hAnsi="Verdana"/>
          <w:sz w:val="20"/>
        </w:rPr>
        <w:t xml:space="preserve">, desconsidera </w:t>
      </w:r>
      <w:r w:rsidRPr="002818E7">
        <w:rPr>
          <w:rFonts w:ascii="Verdana" w:hAnsi="Verdana"/>
          <w:sz w:val="20"/>
        </w:rPr>
        <w:t>a violação</w:t>
      </w:r>
      <w:r>
        <w:rPr>
          <w:rFonts w:ascii="Verdana" w:hAnsi="Verdana"/>
          <w:sz w:val="20"/>
        </w:rPr>
        <w:t xml:space="preserve"> d</w:t>
      </w:r>
      <w:r w:rsidRPr="002818E7">
        <w:rPr>
          <w:rFonts w:ascii="Verdana" w:hAnsi="Verdana"/>
          <w:sz w:val="20"/>
        </w:rPr>
        <w:t>os direitos</w:t>
      </w:r>
      <w:r>
        <w:rPr>
          <w:rFonts w:ascii="Verdana" w:hAnsi="Verdana"/>
          <w:sz w:val="20"/>
        </w:rPr>
        <w:t xml:space="preserve"> consagrados n</w:t>
      </w:r>
      <w:r w:rsidRPr="002818E7">
        <w:rPr>
          <w:rFonts w:ascii="Verdana" w:hAnsi="Verdana"/>
          <w:sz w:val="20"/>
        </w:rPr>
        <w:t>os artigos</w:t>
      </w:r>
      <w:r>
        <w:rPr>
          <w:rFonts w:ascii="Verdana" w:hAnsi="Verdana"/>
          <w:sz w:val="20"/>
        </w:rPr>
        <w:t xml:space="preserve"> mencionados</w:t>
      </w:r>
      <w:r w:rsidR="00962477">
        <w:rPr>
          <w:rFonts w:ascii="Verdana" w:hAnsi="Verdana"/>
          <w:sz w:val="20"/>
        </w:rPr>
        <w:t>,</w:t>
      </w:r>
      <w:r>
        <w:rPr>
          <w:rFonts w:ascii="Verdana" w:hAnsi="Verdana"/>
          <w:sz w:val="20"/>
        </w:rPr>
        <w:t xml:space="preserve"> já que em</w:t>
      </w:r>
      <w:r w:rsidRPr="002818E7">
        <w:rPr>
          <w:rFonts w:ascii="Verdana" w:hAnsi="Verdana"/>
          <w:sz w:val="20"/>
        </w:rPr>
        <w:t xml:space="preserve"> s</w:t>
      </w:r>
      <w:r>
        <w:rPr>
          <w:rFonts w:ascii="Verdana" w:hAnsi="Verdana"/>
          <w:sz w:val="20"/>
        </w:rPr>
        <w:t>e</w:t>
      </w:r>
      <w:r w:rsidRPr="002818E7">
        <w:rPr>
          <w:rFonts w:ascii="Verdana" w:hAnsi="Verdana"/>
          <w:sz w:val="20"/>
        </w:rPr>
        <w:t>u escrito de alegações finais</w:t>
      </w:r>
      <w:r>
        <w:rPr>
          <w:rFonts w:ascii="Verdana" w:hAnsi="Verdana"/>
          <w:sz w:val="20"/>
        </w:rPr>
        <w:t xml:space="preserve"> </w:t>
      </w:r>
      <w:r w:rsidRPr="002818E7">
        <w:rPr>
          <w:rFonts w:ascii="Verdana" w:hAnsi="Verdana"/>
          <w:sz w:val="20"/>
        </w:rPr>
        <w:t>a Comissão n</w:t>
      </w:r>
      <w:r>
        <w:rPr>
          <w:rFonts w:ascii="Verdana" w:hAnsi="Verdana"/>
          <w:sz w:val="20"/>
        </w:rPr>
        <w:t xml:space="preserve">ão </w:t>
      </w:r>
      <w:r w:rsidR="00A22100">
        <w:rPr>
          <w:rFonts w:ascii="Verdana" w:hAnsi="Verdana"/>
          <w:sz w:val="20"/>
        </w:rPr>
        <w:t>os</w:t>
      </w:r>
      <w:r>
        <w:rPr>
          <w:rFonts w:ascii="Verdana" w:hAnsi="Verdana"/>
          <w:sz w:val="20"/>
        </w:rPr>
        <w:t xml:space="preserve"> fundamentou</w:t>
      </w:r>
      <w:r w:rsidRPr="002818E7">
        <w:rPr>
          <w:rFonts w:ascii="Verdana" w:hAnsi="Verdana"/>
          <w:sz w:val="20"/>
        </w:rPr>
        <w:t>.</w:t>
      </w:r>
    </w:p>
    <w:p w:rsidR="00C336FB" w:rsidRPr="002818E7" w:rsidRDefault="00C336FB" w:rsidP="00C336FB">
      <w:pPr>
        <w:jc w:val="both"/>
        <w:rPr>
          <w:rFonts w:ascii="Verdana" w:hAnsi="Verdana"/>
          <w:b/>
          <w:smallCaps/>
          <w:sz w:val="20"/>
        </w:rPr>
      </w:pPr>
    </w:p>
    <w:p w:rsidR="00C336FB" w:rsidRPr="00E36EDA" w:rsidRDefault="00C336FB" w:rsidP="00C336FB">
      <w:pPr>
        <w:jc w:val="center"/>
        <w:rPr>
          <w:rFonts w:ascii="Verdana" w:hAnsi="Verdana"/>
          <w:b/>
          <w:caps/>
          <w:sz w:val="20"/>
        </w:rPr>
      </w:pPr>
      <w:r w:rsidRPr="00E36EDA">
        <w:rPr>
          <w:rFonts w:ascii="Verdana" w:hAnsi="Verdana"/>
          <w:b/>
          <w:caps/>
          <w:sz w:val="20"/>
        </w:rPr>
        <w:t>XI</w:t>
      </w:r>
    </w:p>
    <w:p w:rsidR="00C336FB" w:rsidRPr="00E36EDA" w:rsidRDefault="00C336FB" w:rsidP="00C336FB">
      <w:pPr>
        <w:jc w:val="center"/>
        <w:rPr>
          <w:rFonts w:ascii="Verdana" w:hAnsi="Verdana"/>
          <w:b/>
          <w:caps/>
          <w:sz w:val="20"/>
        </w:rPr>
      </w:pPr>
      <w:r w:rsidRPr="00E36EDA">
        <w:rPr>
          <w:rFonts w:ascii="Verdana" w:hAnsi="Verdana"/>
          <w:b/>
          <w:caps/>
          <w:sz w:val="20"/>
        </w:rPr>
        <w:t>Aplicação dO artigo 63.1</w:t>
      </w:r>
    </w:p>
    <w:p w:rsidR="00C336FB" w:rsidRPr="00E36EDA" w:rsidRDefault="00C336FB" w:rsidP="00C336FB">
      <w:pPr>
        <w:jc w:val="center"/>
        <w:rPr>
          <w:rFonts w:ascii="Verdana" w:hAnsi="Verdana"/>
          <w:caps/>
          <w:sz w:val="20"/>
        </w:rPr>
      </w:pPr>
    </w:p>
    <w:p w:rsidR="00C336FB" w:rsidRDefault="00C336FB" w:rsidP="00C336FB">
      <w:pPr>
        <w:jc w:val="both"/>
        <w:rPr>
          <w:rFonts w:ascii="Verdana" w:hAnsi="Verdana"/>
          <w:i/>
          <w:sz w:val="20"/>
        </w:rPr>
      </w:pPr>
      <w:r w:rsidRPr="002818E7">
        <w:rPr>
          <w:rFonts w:ascii="Verdana" w:hAnsi="Verdana"/>
          <w:i/>
          <w:sz w:val="20"/>
        </w:rPr>
        <w:t>Alegações</w:t>
      </w:r>
      <w:r>
        <w:rPr>
          <w:rFonts w:ascii="Verdana" w:hAnsi="Verdana"/>
          <w:i/>
          <w:sz w:val="20"/>
        </w:rPr>
        <w:t xml:space="preserve"> d</w:t>
      </w:r>
      <w:r w:rsidRPr="002818E7">
        <w:rPr>
          <w:rFonts w:ascii="Verdana" w:hAnsi="Verdana"/>
          <w:i/>
          <w:sz w:val="20"/>
        </w:rPr>
        <w:t>a Comissão</w:t>
      </w:r>
    </w:p>
    <w:p w:rsidR="00C336FB" w:rsidRPr="002818E7" w:rsidRDefault="00C336FB" w:rsidP="00C336FB">
      <w:pPr>
        <w:jc w:val="both"/>
        <w:rPr>
          <w:rFonts w:ascii="Verdana" w:hAnsi="Verdana"/>
          <w:i/>
          <w:sz w:val="20"/>
        </w:rPr>
      </w:pPr>
    </w:p>
    <w:p w:rsidR="00C336FB" w:rsidRDefault="00C336FB" w:rsidP="00C336FB">
      <w:pPr>
        <w:jc w:val="both"/>
        <w:rPr>
          <w:rFonts w:ascii="Verdana" w:hAnsi="Verdana"/>
          <w:sz w:val="20"/>
        </w:rPr>
      </w:pPr>
      <w:r>
        <w:rPr>
          <w:rFonts w:ascii="Verdana" w:hAnsi="Verdana"/>
          <w:sz w:val="20"/>
        </w:rPr>
        <w:t>158.</w:t>
      </w:r>
      <w:r>
        <w:rPr>
          <w:rFonts w:ascii="Verdana" w:hAnsi="Verdana"/>
          <w:sz w:val="20"/>
        </w:rPr>
        <w:tab/>
        <w:t>Em</w:t>
      </w:r>
      <w:r w:rsidRPr="002818E7">
        <w:rPr>
          <w:rFonts w:ascii="Verdana" w:hAnsi="Verdana"/>
          <w:sz w:val="20"/>
        </w:rPr>
        <w:t xml:space="preserve"> s</w:t>
      </w:r>
      <w:r>
        <w:rPr>
          <w:rFonts w:ascii="Verdana" w:hAnsi="Verdana"/>
          <w:sz w:val="20"/>
        </w:rPr>
        <w:t xml:space="preserve">eu escrito de demanda, </w:t>
      </w:r>
      <w:r w:rsidRPr="002818E7">
        <w:rPr>
          <w:rFonts w:ascii="Verdana" w:hAnsi="Verdana"/>
          <w:sz w:val="20"/>
        </w:rPr>
        <w:t>a Comissão solicitou</w:t>
      </w:r>
      <w:r>
        <w:rPr>
          <w:rFonts w:ascii="Verdana" w:hAnsi="Verdana"/>
          <w:sz w:val="20"/>
        </w:rPr>
        <w:t xml:space="preserve"> à Corte que, </w:t>
      </w:r>
      <w:r w:rsidR="00A22100">
        <w:rPr>
          <w:rFonts w:ascii="Verdana" w:hAnsi="Verdana"/>
          <w:sz w:val="20"/>
        </w:rPr>
        <w:t xml:space="preserve">em conformidade com </w:t>
      </w:r>
      <w:r>
        <w:rPr>
          <w:rFonts w:ascii="Verdana" w:hAnsi="Verdana"/>
          <w:sz w:val="20"/>
        </w:rPr>
        <w:t>o</w:t>
      </w:r>
      <w:r w:rsidRPr="002818E7">
        <w:rPr>
          <w:rFonts w:ascii="Verdana" w:hAnsi="Verdana"/>
          <w:sz w:val="20"/>
        </w:rPr>
        <w:t xml:space="preserve"> artigo</w:t>
      </w:r>
      <w:r>
        <w:rPr>
          <w:rFonts w:ascii="Verdana" w:hAnsi="Verdana"/>
          <w:sz w:val="20"/>
        </w:rPr>
        <w:t xml:space="preserve"> 63.1 d</w:t>
      </w:r>
      <w:r w:rsidRPr="002818E7">
        <w:rPr>
          <w:rFonts w:ascii="Verdana" w:hAnsi="Verdana"/>
          <w:sz w:val="20"/>
        </w:rPr>
        <w:t>a Convenção</w:t>
      </w:r>
      <w:r w:rsidR="008E112A">
        <w:rPr>
          <w:rFonts w:ascii="Verdana" w:hAnsi="Verdana"/>
          <w:sz w:val="20"/>
        </w:rPr>
        <w:t>,</w:t>
      </w:r>
      <w:r>
        <w:rPr>
          <w:rFonts w:ascii="Verdana" w:hAnsi="Verdana"/>
          <w:sz w:val="20"/>
        </w:rPr>
        <w:t xml:space="preserve"> declarasse que o Estado está obr</w:t>
      </w:r>
      <w:r w:rsidRPr="002818E7">
        <w:rPr>
          <w:rFonts w:ascii="Verdana" w:hAnsi="Verdana"/>
          <w:sz w:val="20"/>
        </w:rPr>
        <w:t xml:space="preserve">igado a: </w:t>
      </w:r>
    </w:p>
    <w:p w:rsidR="00C336FB" w:rsidRPr="002818E7" w:rsidRDefault="00C336FB" w:rsidP="00C336FB">
      <w:pPr>
        <w:jc w:val="both"/>
        <w:rPr>
          <w:rFonts w:ascii="Verdana" w:hAnsi="Verdana"/>
          <w:sz w:val="20"/>
        </w:rPr>
      </w:pPr>
    </w:p>
    <w:p w:rsidR="00C336FB" w:rsidRPr="002818E7" w:rsidRDefault="00C336FB" w:rsidP="00382334">
      <w:pPr>
        <w:numPr>
          <w:ilvl w:val="0"/>
          <w:numId w:val="13"/>
        </w:numPr>
        <w:spacing w:after="120"/>
        <w:ind w:left="1134" w:firstLine="0"/>
        <w:jc w:val="both"/>
        <w:rPr>
          <w:rFonts w:ascii="Verdana" w:hAnsi="Verdana"/>
          <w:sz w:val="20"/>
        </w:rPr>
      </w:pPr>
      <w:r w:rsidRPr="002818E7">
        <w:rPr>
          <w:rFonts w:ascii="Verdana" w:hAnsi="Verdana"/>
          <w:sz w:val="20"/>
        </w:rPr>
        <w:t>Estabelecer</w:t>
      </w:r>
      <w:r>
        <w:rPr>
          <w:rFonts w:ascii="Verdana" w:hAnsi="Verdana"/>
          <w:sz w:val="20"/>
        </w:rPr>
        <w:t xml:space="preserve"> um</w:t>
      </w:r>
      <w:r w:rsidRPr="002818E7">
        <w:rPr>
          <w:rFonts w:ascii="Verdana" w:hAnsi="Verdana"/>
          <w:sz w:val="20"/>
        </w:rPr>
        <w:t xml:space="preserve"> procedimento</w:t>
      </w:r>
      <w:r>
        <w:rPr>
          <w:rFonts w:ascii="Verdana" w:hAnsi="Verdana"/>
          <w:sz w:val="20"/>
        </w:rPr>
        <w:t xml:space="preserve"> jurídico, conforme </w:t>
      </w:r>
      <w:r w:rsidRPr="002818E7">
        <w:rPr>
          <w:rFonts w:ascii="Verdana" w:hAnsi="Verdana"/>
          <w:sz w:val="20"/>
        </w:rPr>
        <w:t>as normas legais internacionais</w:t>
      </w:r>
      <w:r>
        <w:rPr>
          <w:rFonts w:ascii="Verdana" w:hAnsi="Verdana"/>
          <w:sz w:val="20"/>
        </w:rPr>
        <w:t xml:space="preserve"> e</w:t>
      </w:r>
      <w:r w:rsidRPr="002818E7">
        <w:rPr>
          <w:rFonts w:ascii="Verdana" w:hAnsi="Verdana"/>
          <w:sz w:val="20"/>
        </w:rPr>
        <w:t xml:space="preserve"> nacionais</w:t>
      </w:r>
      <w:r>
        <w:rPr>
          <w:rFonts w:ascii="Verdana" w:hAnsi="Verdana"/>
          <w:sz w:val="20"/>
        </w:rPr>
        <w:t xml:space="preserve"> pertinentes, que tenha como resultado a rápida</w:t>
      </w:r>
      <w:r w:rsidRPr="002818E7">
        <w:rPr>
          <w:rFonts w:ascii="Verdana" w:hAnsi="Verdana"/>
          <w:sz w:val="20"/>
        </w:rPr>
        <w:t xml:space="preserve"> demarcação</w:t>
      </w:r>
      <w:r>
        <w:rPr>
          <w:rFonts w:ascii="Verdana" w:hAnsi="Verdana"/>
          <w:sz w:val="20"/>
        </w:rPr>
        <w:t xml:space="preserve"> e</w:t>
      </w:r>
      <w:r w:rsidRPr="002818E7">
        <w:rPr>
          <w:rFonts w:ascii="Verdana" w:hAnsi="Verdana"/>
          <w:sz w:val="20"/>
        </w:rPr>
        <w:t xml:space="preserve"> reconhecimento</w:t>
      </w:r>
      <w:r>
        <w:rPr>
          <w:rFonts w:ascii="Verdana" w:hAnsi="Verdana"/>
          <w:sz w:val="20"/>
        </w:rPr>
        <w:t xml:space="preserve"> oficial específico d</w:t>
      </w:r>
      <w:r w:rsidRPr="002818E7">
        <w:rPr>
          <w:rFonts w:ascii="Verdana" w:hAnsi="Verdana"/>
          <w:sz w:val="20"/>
        </w:rPr>
        <w:t>os direitos</w:t>
      </w:r>
      <w:r>
        <w:rPr>
          <w:rFonts w:ascii="Verdana" w:hAnsi="Verdana"/>
          <w:sz w:val="20"/>
        </w:rPr>
        <w:t xml:space="preserve"> d</w:t>
      </w:r>
      <w:r w:rsidRPr="002818E7">
        <w:rPr>
          <w:rFonts w:ascii="Verdana" w:hAnsi="Verdana"/>
          <w:sz w:val="20"/>
        </w:rPr>
        <w:t>a Comunidade Awas Tingni sobre s</w:t>
      </w:r>
      <w:r>
        <w:rPr>
          <w:rFonts w:ascii="Verdana" w:hAnsi="Verdana"/>
          <w:sz w:val="20"/>
        </w:rPr>
        <w:t>e</w:t>
      </w:r>
      <w:r w:rsidRPr="002818E7">
        <w:rPr>
          <w:rFonts w:ascii="Verdana" w:hAnsi="Verdana"/>
          <w:sz w:val="20"/>
        </w:rPr>
        <w:t>us direitos</w:t>
      </w:r>
      <w:r>
        <w:rPr>
          <w:rFonts w:ascii="Verdana" w:hAnsi="Verdana"/>
          <w:sz w:val="20"/>
        </w:rPr>
        <w:t xml:space="preserve"> e</w:t>
      </w:r>
      <w:r w:rsidRPr="002818E7">
        <w:rPr>
          <w:rFonts w:ascii="Verdana" w:hAnsi="Verdana"/>
          <w:sz w:val="20"/>
        </w:rPr>
        <w:t xml:space="preserve"> recursos naturais comunais;</w:t>
      </w:r>
    </w:p>
    <w:p w:rsidR="00C336FB" w:rsidRPr="002818E7" w:rsidRDefault="00C336FB" w:rsidP="00382334">
      <w:pPr>
        <w:numPr>
          <w:ilvl w:val="0"/>
          <w:numId w:val="13"/>
        </w:numPr>
        <w:spacing w:after="120"/>
        <w:ind w:left="1134" w:firstLine="0"/>
        <w:jc w:val="both"/>
        <w:rPr>
          <w:rFonts w:ascii="Verdana" w:hAnsi="Verdana"/>
          <w:sz w:val="20"/>
        </w:rPr>
      </w:pPr>
      <w:r>
        <w:rPr>
          <w:rFonts w:ascii="Verdana" w:hAnsi="Verdana"/>
          <w:sz w:val="20"/>
        </w:rPr>
        <w:t>Abst</w:t>
      </w:r>
      <w:r w:rsidRPr="002818E7">
        <w:rPr>
          <w:rFonts w:ascii="Verdana" w:hAnsi="Verdana"/>
          <w:sz w:val="20"/>
        </w:rPr>
        <w:t>er</w:t>
      </w:r>
      <w:r>
        <w:rPr>
          <w:rFonts w:ascii="Verdana" w:hAnsi="Verdana"/>
          <w:sz w:val="20"/>
        </w:rPr>
        <w:t>-</w:t>
      </w:r>
      <w:r w:rsidRPr="002818E7">
        <w:rPr>
          <w:rFonts w:ascii="Verdana" w:hAnsi="Verdana"/>
          <w:sz w:val="20"/>
        </w:rPr>
        <w:t xml:space="preserve">se de </w:t>
      </w:r>
      <w:r w:rsidR="00C6474D">
        <w:rPr>
          <w:rFonts w:ascii="Verdana" w:hAnsi="Verdana"/>
          <w:sz w:val="20"/>
        </w:rPr>
        <w:t>entregar</w:t>
      </w:r>
      <w:r w:rsidRPr="002818E7">
        <w:rPr>
          <w:rFonts w:ascii="Verdana" w:hAnsi="Verdana"/>
          <w:sz w:val="20"/>
        </w:rPr>
        <w:t xml:space="preserve"> o</w:t>
      </w:r>
      <w:r>
        <w:rPr>
          <w:rFonts w:ascii="Verdana" w:hAnsi="Verdana"/>
          <w:sz w:val="20"/>
        </w:rPr>
        <w:t>u considerar a</w:t>
      </w:r>
      <w:r w:rsidRPr="002818E7">
        <w:rPr>
          <w:rFonts w:ascii="Verdana" w:hAnsi="Verdana"/>
          <w:sz w:val="20"/>
        </w:rPr>
        <w:t xml:space="preserve"> </w:t>
      </w:r>
      <w:r>
        <w:rPr>
          <w:rFonts w:ascii="Verdana" w:hAnsi="Verdana"/>
          <w:sz w:val="20"/>
        </w:rPr>
        <w:t>entrega</w:t>
      </w:r>
      <w:r w:rsidRPr="002818E7">
        <w:rPr>
          <w:rFonts w:ascii="Verdana" w:hAnsi="Verdana"/>
          <w:sz w:val="20"/>
        </w:rPr>
        <w:t xml:space="preserve"> de qualquer concessão</w:t>
      </w:r>
      <w:r>
        <w:rPr>
          <w:rFonts w:ascii="Verdana" w:hAnsi="Verdana"/>
          <w:sz w:val="20"/>
        </w:rPr>
        <w:t xml:space="preserve"> para o</w:t>
      </w:r>
      <w:r w:rsidRPr="002818E7">
        <w:rPr>
          <w:rFonts w:ascii="Verdana" w:hAnsi="Verdana"/>
          <w:sz w:val="20"/>
        </w:rPr>
        <w:t xml:space="preserve"> aproveitamento de recursos naturais</w:t>
      </w:r>
      <w:r>
        <w:rPr>
          <w:rFonts w:ascii="Verdana" w:hAnsi="Verdana"/>
          <w:sz w:val="20"/>
        </w:rPr>
        <w:t xml:space="preserve"> n</w:t>
      </w:r>
      <w:r w:rsidRPr="002818E7">
        <w:rPr>
          <w:rFonts w:ascii="Verdana" w:hAnsi="Verdana"/>
          <w:sz w:val="20"/>
        </w:rPr>
        <w:t>as terras</w:t>
      </w:r>
      <w:r>
        <w:rPr>
          <w:rFonts w:ascii="Verdana" w:hAnsi="Verdana"/>
          <w:sz w:val="20"/>
        </w:rPr>
        <w:t xml:space="preserve"> usadas e ocupadas por Awas Tingni, até que a questão d</w:t>
      </w:r>
      <w:r w:rsidRPr="002818E7">
        <w:rPr>
          <w:rFonts w:ascii="Verdana" w:hAnsi="Verdana"/>
          <w:sz w:val="20"/>
        </w:rPr>
        <w:t xml:space="preserve">a </w:t>
      </w:r>
      <w:r>
        <w:rPr>
          <w:rFonts w:ascii="Verdana" w:hAnsi="Verdana"/>
          <w:sz w:val="20"/>
        </w:rPr>
        <w:t>posse d</w:t>
      </w:r>
      <w:r w:rsidRPr="002818E7">
        <w:rPr>
          <w:rFonts w:ascii="Verdana" w:hAnsi="Verdana"/>
          <w:sz w:val="20"/>
        </w:rPr>
        <w:t>a terra que afeta</w:t>
      </w:r>
      <w:r w:rsidR="00850A3F">
        <w:rPr>
          <w:rFonts w:ascii="Verdana" w:hAnsi="Verdana"/>
          <w:sz w:val="20"/>
        </w:rPr>
        <w:t xml:space="preserve"> </w:t>
      </w:r>
      <w:r w:rsidRPr="002818E7">
        <w:rPr>
          <w:rFonts w:ascii="Verdana" w:hAnsi="Verdana"/>
          <w:sz w:val="20"/>
        </w:rPr>
        <w:t xml:space="preserve">Awas Tingni </w:t>
      </w:r>
      <w:r>
        <w:rPr>
          <w:rFonts w:ascii="Verdana" w:hAnsi="Verdana"/>
          <w:sz w:val="20"/>
        </w:rPr>
        <w:t>tenha</w:t>
      </w:r>
      <w:r w:rsidRPr="002818E7">
        <w:rPr>
          <w:rFonts w:ascii="Verdana" w:hAnsi="Verdana"/>
          <w:sz w:val="20"/>
        </w:rPr>
        <w:t xml:space="preserve"> sido resolvida, o</w:t>
      </w:r>
      <w:r>
        <w:rPr>
          <w:rFonts w:ascii="Verdana" w:hAnsi="Verdana"/>
          <w:sz w:val="20"/>
        </w:rPr>
        <w:t>u</w:t>
      </w:r>
      <w:r w:rsidRPr="002818E7">
        <w:rPr>
          <w:rFonts w:ascii="Verdana" w:hAnsi="Verdana"/>
          <w:sz w:val="20"/>
        </w:rPr>
        <w:t xml:space="preserve"> que se </w:t>
      </w:r>
      <w:r>
        <w:rPr>
          <w:rFonts w:ascii="Verdana" w:hAnsi="Verdana"/>
          <w:sz w:val="20"/>
        </w:rPr>
        <w:t>tenha chegado a um</w:t>
      </w:r>
      <w:r w:rsidRPr="002818E7">
        <w:rPr>
          <w:rFonts w:ascii="Verdana" w:hAnsi="Verdana"/>
          <w:sz w:val="20"/>
        </w:rPr>
        <w:t xml:space="preserve"> acordo</w:t>
      </w:r>
      <w:r>
        <w:rPr>
          <w:rFonts w:ascii="Verdana" w:hAnsi="Verdana"/>
          <w:sz w:val="20"/>
        </w:rPr>
        <w:t xml:space="preserve"> específico entre o Estado e </w:t>
      </w:r>
      <w:r w:rsidRPr="002818E7">
        <w:rPr>
          <w:rFonts w:ascii="Verdana" w:hAnsi="Verdana"/>
          <w:sz w:val="20"/>
        </w:rPr>
        <w:t>a Comunidade</w:t>
      </w:r>
      <w:r>
        <w:rPr>
          <w:rFonts w:ascii="Verdana" w:hAnsi="Verdana"/>
          <w:sz w:val="20"/>
        </w:rPr>
        <w:t xml:space="preserve"> sobre o</w:t>
      </w:r>
      <w:r w:rsidRPr="002818E7">
        <w:rPr>
          <w:rFonts w:ascii="Verdana" w:hAnsi="Verdana"/>
          <w:sz w:val="20"/>
        </w:rPr>
        <w:t xml:space="preserve"> as</w:t>
      </w:r>
      <w:r>
        <w:rPr>
          <w:rFonts w:ascii="Verdana" w:hAnsi="Verdana"/>
          <w:sz w:val="20"/>
        </w:rPr>
        <w:t>s</w:t>
      </w:r>
      <w:r w:rsidRPr="002818E7">
        <w:rPr>
          <w:rFonts w:ascii="Verdana" w:hAnsi="Verdana"/>
          <w:sz w:val="20"/>
        </w:rPr>
        <w:t>unto;</w:t>
      </w:r>
    </w:p>
    <w:p w:rsidR="00C336FB" w:rsidRPr="002818E7" w:rsidRDefault="00C336FB" w:rsidP="00382334">
      <w:pPr>
        <w:numPr>
          <w:ilvl w:val="0"/>
          <w:numId w:val="13"/>
        </w:numPr>
        <w:spacing w:after="120"/>
        <w:ind w:left="1134" w:firstLine="0"/>
        <w:jc w:val="both"/>
        <w:rPr>
          <w:rFonts w:ascii="Verdana" w:hAnsi="Verdana"/>
          <w:sz w:val="20"/>
        </w:rPr>
      </w:pPr>
      <w:r w:rsidRPr="002818E7">
        <w:rPr>
          <w:rFonts w:ascii="Verdana" w:hAnsi="Verdana"/>
          <w:sz w:val="20"/>
        </w:rPr>
        <w:t>Pagar indenização</w:t>
      </w:r>
      <w:r>
        <w:rPr>
          <w:rFonts w:ascii="Verdana" w:hAnsi="Verdana"/>
          <w:sz w:val="20"/>
        </w:rPr>
        <w:t xml:space="preserve"> compensatória e equitativa pe</w:t>
      </w:r>
      <w:r w:rsidRPr="002818E7">
        <w:rPr>
          <w:rFonts w:ascii="Verdana" w:hAnsi="Verdana"/>
          <w:sz w:val="20"/>
        </w:rPr>
        <w:t>los danos</w:t>
      </w:r>
      <w:r>
        <w:rPr>
          <w:rFonts w:ascii="Verdana" w:hAnsi="Verdana"/>
          <w:sz w:val="20"/>
        </w:rPr>
        <w:t xml:space="preserve"> pecuniários e</w:t>
      </w:r>
      <w:r w:rsidRPr="002818E7">
        <w:rPr>
          <w:rFonts w:ascii="Verdana" w:hAnsi="Verdana"/>
          <w:sz w:val="20"/>
        </w:rPr>
        <w:t xml:space="preserve"> morais</w:t>
      </w:r>
      <w:r>
        <w:rPr>
          <w:rFonts w:ascii="Verdana" w:hAnsi="Verdana"/>
          <w:sz w:val="20"/>
        </w:rPr>
        <w:t xml:space="preserve"> que </w:t>
      </w:r>
      <w:r w:rsidRPr="002818E7">
        <w:rPr>
          <w:rFonts w:ascii="Verdana" w:hAnsi="Verdana"/>
          <w:sz w:val="20"/>
        </w:rPr>
        <w:t>a Comunidade</w:t>
      </w:r>
      <w:r>
        <w:rPr>
          <w:rFonts w:ascii="Verdana" w:hAnsi="Verdana"/>
          <w:sz w:val="20"/>
        </w:rPr>
        <w:t xml:space="preserve"> sofreu pe</w:t>
      </w:r>
      <w:r w:rsidRPr="002818E7">
        <w:rPr>
          <w:rFonts w:ascii="Verdana" w:hAnsi="Verdana"/>
          <w:sz w:val="20"/>
        </w:rPr>
        <w:t>la falta de reconhecimento estatal específico de s</w:t>
      </w:r>
      <w:r>
        <w:rPr>
          <w:rFonts w:ascii="Verdana" w:hAnsi="Verdana"/>
          <w:sz w:val="20"/>
        </w:rPr>
        <w:t>e</w:t>
      </w:r>
      <w:r w:rsidRPr="002818E7">
        <w:rPr>
          <w:rFonts w:ascii="Verdana" w:hAnsi="Verdana"/>
          <w:sz w:val="20"/>
        </w:rPr>
        <w:t>us direitos a terras</w:t>
      </w:r>
      <w:r>
        <w:rPr>
          <w:rFonts w:ascii="Verdana" w:hAnsi="Verdana"/>
          <w:sz w:val="20"/>
        </w:rPr>
        <w:t xml:space="preserve"> e</w:t>
      </w:r>
      <w:r w:rsidRPr="002818E7">
        <w:rPr>
          <w:rFonts w:ascii="Verdana" w:hAnsi="Verdana"/>
          <w:sz w:val="20"/>
        </w:rPr>
        <w:t xml:space="preserve"> recursos naturais</w:t>
      </w:r>
      <w:r>
        <w:rPr>
          <w:rFonts w:ascii="Verdana" w:hAnsi="Verdana"/>
          <w:sz w:val="20"/>
        </w:rPr>
        <w:t xml:space="preserve"> e pe</w:t>
      </w:r>
      <w:r w:rsidRPr="002818E7">
        <w:rPr>
          <w:rFonts w:ascii="Verdana" w:hAnsi="Verdana"/>
          <w:sz w:val="20"/>
        </w:rPr>
        <w:t>la concessão</w:t>
      </w:r>
      <w:r>
        <w:rPr>
          <w:rFonts w:ascii="Verdana" w:hAnsi="Verdana"/>
          <w:sz w:val="20"/>
        </w:rPr>
        <w:t xml:space="preserve"> à </w:t>
      </w:r>
      <w:proofErr w:type="gramStart"/>
      <w:r>
        <w:rPr>
          <w:rFonts w:ascii="Verdana" w:hAnsi="Verdana"/>
          <w:sz w:val="20"/>
        </w:rPr>
        <w:t>SOLCARSA;</w:t>
      </w:r>
      <w:proofErr w:type="gramEnd"/>
      <w:r>
        <w:rPr>
          <w:rFonts w:ascii="Verdana" w:hAnsi="Verdana"/>
          <w:sz w:val="20"/>
        </w:rPr>
        <w:t>[e</w:t>
      </w:r>
      <w:r w:rsidRPr="002818E7">
        <w:rPr>
          <w:rFonts w:ascii="Verdana" w:hAnsi="Verdana"/>
          <w:sz w:val="20"/>
        </w:rPr>
        <w:t>]</w:t>
      </w:r>
    </w:p>
    <w:p w:rsidR="00C336FB" w:rsidRPr="002818E7" w:rsidRDefault="00C336FB" w:rsidP="00382334">
      <w:pPr>
        <w:numPr>
          <w:ilvl w:val="0"/>
          <w:numId w:val="13"/>
        </w:numPr>
        <w:spacing w:after="120"/>
        <w:ind w:left="1134" w:firstLine="0"/>
        <w:jc w:val="both"/>
        <w:rPr>
          <w:rFonts w:ascii="Verdana" w:hAnsi="Verdana"/>
          <w:sz w:val="20"/>
        </w:rPr>
      </w:pPr>
      <w:r>
        <w:rPr>
          <w:rFonts w:ascii="Verdana" w:hAnsi="Verdana"/>
          <w:sz w:val="20"/>
        </w:rPr>
        <w:lastRenderedPageBreak/>
        <w:t>Pagar a</w:t>
      </w:r>
      <w:r w:rsidRPr="002818E7">
        <w:rPr>
          <w:rFonts w:ascii="Verdana" w:hAnsi="Verdana"/>
          <w:sz w:val="20"/>
        </w:rPr>
        <w:t xml:space="preserve"> Comunidade</w:t>
      </w:r>
      <w:r>
        <w:rPr>
          <w:rFonts w:ascii="Verdana" w:hAnsi="Verdana"/>
          <w:sz w:val="20"/>
        </w:rPr>
        <w:t xml:space="preserve"> Indígena pelos custos em que esta incorreu</w:t>
      </w:r>
      <w:r w:rsidRPr="002818E7">
        <w:rPr>
          <w:rFonts w:ascii="Verdana" w:hAnsi="Verdana"/>
          <w:sz w:val="20"/>
        </w:rPr>
        <w:t xml:space="preserve"> para defender s</w:t>
      </w:r>
      <w:r>
        <w:rPr>
          <w:rFonts w:ascii="Verdana" w:hAnsi="Verdana"/>
          <w:sz w:val="20"/>
        </w:rPr>
        <w:t>e</w:t>
      </w:r>
      <w:r w:rsidRPr="002818E7">
        <w:rPr>
          <w:rFonts w:ascii="Verdana" w:hAnsi="Verdana"/>
          <w:sz w:val="20"/>
        </w:rPr>
        <w:t>us direitos</w:t>
      </w:r>
      <w:r>
        <w:rPr>
          <w:rFonts w:ascii="Verdana" w:hAnsi="Verdana"/>
          <w:sz w:val="20"/>
        </w:rPr>
        <w:t xml:space="preserve"> perante as Cortes da</w:t>
      </w:r>
      <w:r w:rsidRPr="002818E7">
        <w:rPr>
          <w:rFonts w:ascii="Verdana" w:hAnsi="Verdana"/>
          <w:sz w:val="20"/>
        </w:rPr>
        <w:t xml:space="preserve"> Nicarágua</w:t>
      </w:r>
      <w:r>
        <w:rPr>
          <w:rFonts w:ascii="Verdana" w:hAnsi="Verdana"/>
          <w:sz w:val="20"/>
        </w:rPr>
        <w:t xml:space="preserve"> e </w:t>
      </w:r>
      <w:r w:rsidRPr="002818E7">
        <w:rPr>
          <w:rFonts w:ascii="Verdana" w:hAnsi="Verdana"/>
          <w:sz w:val="20"/>
        </w:rPr>
        <w:t>os procedimento</w:t>
      </w:r>
      <w:r>
        <w:rPr>
          <w:rFonts w:ascii="Verdana" w:hAnsi="Verdana"/>
          <w:sz w:val="20"/>
        </w:rPr>
        <w:t xml:space="preserve">s perante </w:t>
      </w:r>
      <w:r w:rsidRPr="002818E7">
        <w:rPr>
          <w:rFonts w:ascii="Verdana" w:hAnsi="Verdana"/>
          <w:sz w:val="20"/>
        </w:rPr>
        <w:t>a Comissão</w:t>
      </w:r>
      <w:r>
        <w:rPr>
          <w:rFonts w:ascii="Verdana" w:hAnsi="Verdana"/>
          <w:sz w:val="20"/>
        </w:rPr>
        <w:t xml:space="preserve"> e </w:t>
      </w:r>
      <w:r w:rsidRPr="002818E7">
        <w:rPr>
          <w:rFonts w:ascii="Verdana" w:hAnsi="Verdana"/>
          <w:sz w:val="20"/>
        </w:rPr>
        <w:t>a Corte Interamericana.</w:t>
      </w:r>
    </w:p>
    <w:p w:rsidR="00C336FB" w:rsidRDefault="00C336FB" w:rsidP="00C336FB">
      <w:pPr>
        <w:jc w:val="both"/>
        <w:rPr>
          <w:rFonts w:ascii="Verdana" w:hAnsi="Verdana"/>
          <w:sz w:val="20"/>
        </w:rPr>
      </w:pPr>
    </w:p>
    <w:p w:rsidR="00C336FB" w:rsidRPr="00860BCD" w:rsidRDefault="00C336FB" w:rsidP="00C336FB">
      <w:pPr>
        <w:jc w:val="both"/>
        <w:rPr>
          <w:rFonts w:ascii="Verdana" w:hAnsi="Verdana"/>
          <w:sz w:val="20"/>
        </w:rPr>
      </w:pPr>
      <w:r>
        <w:rPr>
          <w:rFonts w:ascii="Verdana" w:hAnsi="Verdana"/>
          <w:sz w:val="20"/>
        </w:rPr>
        <w:t>159.</w:t>
      </w:r>
      <w:r>
        <w:rPr>
          <w:rFonts w:ascii="Verdana" w:hAnsi="Verdana"/>
          <w:sz w:val="20"/>
        </w:rPr>
        <w:tab/>
        <w:t>Em</w:t>
      </w:r>
      <w:r w:rsidRPr="002818E7">
        <w:rPr>
          <w:rFonts w:ascii="Verdana" w:hAnsi="Verdana"/>
          <w:sz w:val="20"/>
        </w:rPr>
        <w:t xml:space="preserve"> 22 de agosto de 2001</w:t>
      </w:r>
      <w:r>
        <w:rPr>
          <w:rFonts w:ascii="Verdana" w:hAnsi="Verdana"/>
          <w:sz w:val="20"/>
        </w:rPr>
        <w:t xml:space="preserve">, </w:t>
      </w:r>
      <w:r w:rsidRPr="002818E7">
        <w:rPr>
          <w:rFonts w:ascii="Verdana" w:hAnsi="Verdana"/>
          <w:sz w:val="20"/>
        </w:rPr>
        <w:t>a Comissão apresentou</w:t>
      </w:r>
      <w:r>
        <w:rPr>
          <w:rFonts w:ascii="Verdana" w:hAnsi="Verdana"/>
          <w:sz w:val="20"/>
        </w:rPr>
        <w:t xml:space="preserve"> o escrito relativo à</w:t>
      </w:r>
      <w:r w:rsidRPr="002818E7">
        <w:rPr>
          <w:rFonts w:ascii="Verdana" w:hAnsi="Verdana"/>
          <w:sz w:val="20"/>
        </w:rPr>
        <w:t>s reparações, custas</w:t>
      </w:r>
      <w:r>
        <w:rPr>
          <w:rFonts w:ascii="Verdana" w:hAnsi="Verdana"/>
          <w:sz w:val="20"/>
        </w:rPr>
        <w:t xml:space="preserve"> e gastos, o</w:t>
      </w:r>
      <w:r w:rsidRPr="002818E7">
        <w:rPr>
          <w:rFonts w:ascii="Verdana" w:hAnsi="Verdana"/>
          <w:sz w:val="20"/>
        </w:rPr>
        <w:t xml:space="preserve"> qual</w:t>
      </w:r>
      <w:r>
        <w:rPr>
          <w:rFonts w:ascii="Verdana" w:hAnsi="Verdana"/>
          <w:sz w:val="20"/>
        </w:rPr>
        <w:t xml:space="preserve"> havia sido solicitado em 31 de julho de 2001 pe</w:t>
      </w:r>
      <w:r w:rsidRPr="002818E7">
        <w:rPr>
          <w:rFonts w:ascii="Verdana" w:hAnsi="Verdana"/>
          <w:sz w:val="20"/>
        </w:rPr>
        <w:t>la Secretaria</w:t>
      </w:r>
      <w:r>
        <w:rPr>
          <w:rFonts w:ascii="Verdana" w:hAnsi="Verdana"/>
          <w:sz w:val="20"/>
        </w:rPr>
        <w:t>. O</w:t>
      </w:r>
      <w:r w:rsidRPr="002818E7">
        <w:rPr>
          <w:rFonts w:ascii="Verdana" w:hAnsi="Verdana"/>
          <w:sz w:val="20"/>
        </w:rPr>
        <w:t xml:space="preserve"> prazo</w:t>
      </w:r>
      <w:r>
        <w:rPr>
          <w:rFonts w:ascii="Verdana" w:hAnsi="Verdana"/>
          <w:sz w:val="20"/>
        </w:rPr>
        <w:t xml:space="preserve"> para </w:t>
      </w:r>
      <w:r w:rsidRPr="002818E7">
        <w:rPr>
          <w:rFonts w:ascii="Verdana" w:hAnsi="Verdana"/>
          <w:sz w:val="20"/>
        </w:rPr>
        <w:t xml:space="preserve">a </w:t>
      </w:r>
      <w:r>
        <w:rPr>
          <w:rFonts w:ascii="Verdana" w:hAnsi="Verdana"/>
          <w:sz w:val="20"/>
        </w:rPr>
        <w:t>a</w:t>
      </w:r>
      <w:r w:rsidRPr="002818E7">
        <w:rPr>
          <w:rFonts w:ascii="Verdana" w:hAnsi="Verdana"/>
          <w:sz w:val="20"/>
        </w:rPr>
        <w:t>presentação</w:t>
      </w:r>
      <w:r>
        <w:rPr>
          <w:rFonts w:ascii="Verdana" w:hAnsi="Verdana"/>
          <w:sz w:val="20"/>
        </w:rPr>
        <w:t xml:space="preserve"> deste </w:t>
      </w:r>
      <w:r w:rsidRPr="002818E7">
        <w:rPr>
          <w:rFonts w:ascii="Verdana" w:hAnsi="Verdana"/>
          <w:sz w:val="20"/>
        </w:rPr>
        <w:t>escri</w:t>
      </w:r>
      <w:r>
        <w:rPr>
          <w:rFonts w:ascii="Verdana" w:hAnsi="Verdana"/>
          <w:sz w:val="20"/>
        </w:rPr>
        <w:t>to venceu em 10 de agosto de 2001, portanto rece</w:t>
      </w:r>
      <w:r w:rsidRPr="002818E7">
        <w:rPr>
          <w:rFonts w:ascii="Verdana" w:hAnsi="Verdana"/>
          <w:sz w:val="20"/>
        </w:rPr>
        <w:t>bido 12 dias depois</w:t>
      </w:r>
      <w:r>
        <w:rPr>
          <w:rFonts w:ascii="Verdana" w:hAnsi="Verdana"/>
          <w:sz w:val="20"/>
        </w:rPr>
        <w:t xml:space="preserve"> de vencido o </w:t>
      </w:r>
      <w:r w:rsidR="00A22100">
        <w:rPr>
          <w:rFonts w:ascii="Verdana" w:hAnsi="Verdana"/>
          <w:sz w:val="20"/>
        </w:rPr>
        <w:t>prazo</w:t>
      </w:r>
      <w:r>
        <w:rPr>
          <w:rFonts w:ascii="Verdana" w:hAnsi="Verdana"/>
          <w:sz w:val="20"/>
        </w:rPr>
        <w:t>.</w:t>
      </w:r>
      <w:r w:rsidR="00850A3F">
        <w:rPr>
          <w:rFonts w:ascii="Verdana" w:hAnsi="Verdana"/>
          <w:sz w:val="20"/>
        </w:rPr>
        <w:t xml:space="preserve"> </w:t>
      </w:r>
      <w:r>
        <w:rPr>
          <w:rFonts w:ascii="Verdana" w:hAnsi="Verdana"/>
          <w:sz w:val="20"/>
        </w:rPr>
        <w:t>A esse</w:t>
      </w:r>
      <w:r w:rsidRPr="002818E7">
        <w:rPr>
          <w:rFonts w:ascii="Verdana" w:hAnsi="Verdana"/>
          <w:sz w:val="20"/>
        </w:rPr>
        <w:t xml:space="preserve"> respeito</w:t>
      </w:r>
      <w:r>
        <w:rPr>
          <w:rFonts w:ascii="Verdana" w:hAnsi="Verdana"/>
          <w:sz w:val="20"/>
        </w:rPr>
        <w:t>, a Corte considera que o tempo transco</w:t>
      </w:r>
      <w:r w:rsidRPr="002818E7">
        <w:rPr>
          <w:rFonts w:ascii="Verdana" w:hAnsi="Verdana"/>
          <w:sz w:val="20"/>
        </w:rPr>
        <w:t>rrido n</w:t>
      </w:r>
      <w:r>
        <w:rPr>
          <w:rFonts w:ascii="Verdana" w:hAnsi="Verdana"/>
          <w:sz w:val="20"/>
        </w:rPr>
        <w:t>ã</w:t>
      </w:r>
      <w:r w:rsidRPr="002818E7">
        <w:rPr>
          <w:rFonts w:ascii="Verdana" w:hAnsi="Verdana"/>
          <w:sz w:val="20"/>
        </w:rPr>
        <w:t xml:space="preserve">o pode </w:t>
      </w:r>
      <w:r>
        <w:rPr>
          <w:rFonts w:ascii="Verdana" w:hAnsi="Verdana"/>
          <w:sz w:val="20"/>
        </w:rPr>
        <w:t>ser considerado</w:t>
      </w:r>
      <w:r w:rsidRPr="002818E7">
        <w:rPr>
          <w:rFonts w:ascii="Verdana" w:hAnsi="Verdana"/>
          <w:sz w:val="20"/>
        </w:rPr>
        <w:t xml:space="preserve"> razoável</w:t>
      </w:r>
      <w:r>
        <w:rPr>
          <w:rFonts w:ascii="Verdana" w:hAnsi="Verdana"/>
          <w:sz w:val="20"/>
        </w:rPr>
        <w:t>, segundo o critério seguido em</w:t>
      </w:r>
      <w:r w:rsidRPr="002818E7">
        <w:rPr>
          <w:rFonts w:ascii="Verdana" w:hAnsi="Verdana"/>
          <w:sz w:val="20"/>
        </w:rPr>
        <w:t xml:space="preserve"> su</w:t>
      </w:r>
      <w:r>
        <w:rPr>
          <w:rFonts w:ascii="Verdana" w:hAnsi="Verdana"/>
          <w:sz w:val="20"/>
        </w:rPr>
        <w:t>a</w:t>
      </w:r>
      <w:r w:rsidRPr="002818E7">
        <w:rPr>
          <w:rFonts w:ascii="Verdana" w:hAnsi="Verdana"/>
          <w:sz w:val="20"/>
        </w:rPr>
        <w:t xml:space="preserve"> </w:t>
      </w:r>
      <w:r>
        <w:rPr>
          <w:rFonts w:ascii="Verdana" w:hAnsi="Verdana"/>
          <w:sz w:val="20"/>
        </w:rPr>
        <w:t>jurisprudência</w:t>
      </w:r>
      <w:r w:rsidRPr="002818E7">
        <w:rPr>
          <w:rFonts w:ascii="Verdana" w:hAnsi="Verdana"/>
          <w:sz w:val="20"/>
        </w:rPr>
        <w:t>.</w:t>
      </w:r>
      <w:r w:rsidRPr="002818E7">
        <w:rPr>
          <w:rStyle w:val="Refdenotaalpie"/>
          <w:rFonts w:ascii="Verdana" w:hAnsi="Verdana"/>
          <w:sz w:val="20"/>
        </w:rPr>
        <w:footnoteReference w:id="62"/>
      </w:r>
      <w:r>
        <w:rPr>
          <w:rFonts w:ascii="Verdana" w:hAnsi="Verdana"/>
          <w:sz w:val="20"/>
        </w:rPr>
        <w:t xml:space="preserve"> Nas circunstâncias do presente caso, o</w:t>
      </w:r>
      <w:r w:rsidRPr="002818E7">
        <w:rPr>
          <w:rFonts w:ascii="Verdana" w:hAnsi="Verdana"/>
          <w:sz w:val="20"/>
        </w:rPr>
        <w:t xml:space="preserve"> </w:t>
      </w:r>
      <w:r>
        <w:rPr>
          <w:rFonts w:ascii="Verdana" w:hAnsi="Verdana"/>
          <w:sz w:val="20"/>
        </w:rPr>
        <w:t>atraso</w:t>
      </w:r>
      <w:r w:rsidRPr="002818E7">
        <w:rPr>
          <w:rFonts w:ascii="Verdana" w:hAnsi="Verdana"/>
          <w:sz w:val="20"/>
        </w:rPr>
        <w:t xml:space="preserve"> n</w:t>
      </w:r>
      <w:r>
        <w:rPr>
          <w:rFonts w:ascii="Verdana" w:hAnsi="Verdana"/>
          <w:sz w:val="20"/>
        </w:rPr>
        <w:t>ão foi devido a um</w:t>
      </w:r>
      <w:r w:rsidRPr="002818E7">
        <w:rPr>
          <w:rFonts w:ascii="Verdana" w:hAnsi="Verdana"/>
          <w:sz w:val="20"/>
        </w:rPr>
        <w:t xml:space="preserve"> simple</w:t>
      </w:r>
      <w:r>
        <w:rPr>
          <w:rFonts w:ascii="Verdana" w:hAnsi="Verdana"/>
          <w:sz w:val="20"/>
        </w:rPr>
        <w:t>s erro</w:t>
      </w:r>
      <w:r w:rsidR="00860BCD">
        <w:rPr>
          <w:rFonts w:ascii="Verdana" w:hAnsi="Verdana"/>
          <w:sz w:val="20"/>
        </w:rPr>
        <w:t xml:space="preserve"> de </w:t>
      </w:r>
      <w:r>
        <w:rPr>
          <w:rFonts w:ascii="Verdana" w:hAnsi="Verdana"/>
          <w:sz w:val="20"/>
        </w:rPr>
        <w:t>cálculo do</w:t>
      </w:r>
      <w:r w:rsidRPr="002818E7">
        <w:rPr>
          <w:rFonts w:ascii="Verdana" w:hAnsi="Verdana"/>
          <w:sz w:val="20"/>
        </w:rPr>
        <w:t xml:space="preserve"> prazo.</w:t>
      </w:r>
      <w:r w:rsidR="00850A3F">
        <w:rPr>
          <w:rFonts w:ascii="Verdana" w:hAnsi="Verdana"/>
          <w:sz w:val="20"/>
        </w:rPr>
        <w:t xml:space="preserve"> </w:t>
      </w:r>
      <w:r w:rsidRPr="002818E7">
        <w:rPr>
          <w:rFonts w:ascii="Verdana" w:hAnsi="Verdana"/>
          <w:sz w:val="20"/>
        </w:rPr>
        <w:t>Ademais</w:t>
      </w:r>
      <w:r>
        <w:rPr>
          <w:rFonts w:ascii="Verdana" w:hAnsi="Verdana"/>
          <w:sz w:val="20"/>
        </w:rPr>
        <w:t xml:space="preserve">, </w:t>
      </w:r>
      <w:r w:rsidRPr="002818E7">
        <w:rPr>
          <w:rFonts w:ascii="Verdana" w:hAnsi="Verdana"/>
          <w:sz w:val="20"/>
        </w:rPr>
        <w:t>os imperativos de segurança</w:t>
      </w:r>
      <w:r>
        <w:rPr>
          <w:rFonts w:ascii="Verdana" w:hAnsi="Verdana"/>
          <w:sz w:val="20"/>
        </w:rPr>
        <w:t xml:space="preserve"> jurídica e</w:t>
      </w:r>
      <w:r w:rsidRPr="002818E7">
        <w:rPr>
          <w:rFonts w:ascii="Verdana" w:hAnsi="Verdana"/>
          <w:sz w:val="20"/>
        </w:rPr>
        <w:t xml:space="preserve"> equidad</w:t>
      </w:r>
      <w:r>
        <w:rPr>
          <w:rFonts w:ascii="Verdana" w:hAnsi="Verdana"/>
          <w:sz w:val="20"/>
        </w:rPr>
        <w:t xml:space="preserve">e </w:t>
      </w:r>
      <w:r w:rsidRPr="002818E7">
        <w:rPr>
          <w:rFonts w:ascii="Verdana" w:hAnsi="Verdana"/>
          <w:sz w:val="20"/>
        </w:rPr>
        <w:t>proce</w:t>
      </w:r>
      <w:r>
        <w:rPr>
          <w:rFonts w:ascii="Verdana" w:hAnsi="Verdana"/>
          <w:sz w:val="20"/>
        </w:rPr>
        <w:t>s</w:t>
      </w:r>
      <w:r w:rsidRPr="002818E7">
        <w:rPr>
          <w:rFonts w:ascii="Verdana" w:hAnsi="Verdana"/>
          <w:sz w:val="20"/>
        </w:rPr>
        <w:t>s</w:t>
      </w:r>
      <w:r>
        <w:rPr>
          <w:rFonts w:ascii="Verdana" w:hAnsi="Verdana"/>
          <w:sz w:val="20"/>
        </w:rPr>
        <w:t xml:space="preserve">ual exigem que </w:t>
      </w:r>
      <w:r w:rsidRPr="002818E7">
        <w:rPr>
          <w:rFonts w:ascii="Verdana" w:hAnsi="Verdana"/>
          <w:sz w:val="20"/>
        </w:rPr>
        <w:t>os prazos se</w:t>
      </w:r>
      <w:r>
        <w:rPr>
          <w:rFonts w:ascii="Verdana" w:hAnsi="Verdana"/>
          <w:sz w:val="20"/>
        </w:rPr>
        <w:t>jam</w:t>
      </w:r>
      <w:r w:rsidRPr="002818E7">
        <w:rPr>
          <w:rFonts w:ascii="Verdana" w:hAnsi="Verdana"/>
          <w:sz w:val="20"/>
        </w:rPr>
        <w:t xml:space="preserve"> observados</w:t>
      </w:r>
      <w:r>
        <w:rPr>
          <w:rFonts w:ascii="Verdana" w:hAnsi="Verdana"/>
          <w:sz w:val="20"/>
        </w:rPr>
        <w:t>,</w:t>
      </w:r>
      <w:r w:rsidRPr="002818E7">
        <w:rPr>
          <w:rStyle w:val="Refdenotaalpie"/>
          <w:rFonts w:ascii="Verdana" w:hAnsi="Verdana"/>
          <w:sz w:val="20"/>
        </w:rPr>
        <w:footnoteReference w:id="63"/>
      </w:r>
      <w:r w:rsidRPr="002818E7">
        <w:rPr>
          <w:rFonts w:ascii="Verdana" w:hAnsi="Verdana"/>
          <w:sz w:val="20"/>
        </w:rPr>
        <w:t xml:space="preserve"> salvo quando</w:t>
      </w:r>
      <w:r>
        <w:rPr>
          <w:rFonts w:ascii="Verdana" w:hAnsi="Verdana"/>
          <w:sz w:val="20"/>
        </w:rPr>
        <w:t xml:space="preserve"> circunstâ</w:t>
      </w:r>
      <w:r w:rsidRPr="002818E7">
        <w:rPr>
          <w:rFonts w:ascii="Verdana" w:hAnsi="Verdana"/>
          <w:sz w:val="20"/>
        </w:rPr>
        <w:t>ncias excepci</w:t>
      </w:r>
      <w:r>
        <w:rPr>
          <w:rFonts w:ascii="Verdana" w:hAnsi="Verdana"/>
          <w:sz w:val="20"/>
        </w:rPr>
        <w:t>onais</w:t>
      </w:r>
      <w:r w:rsidR="00A22100">
        <w:rPr>
          <w:rFonts w:ascii="Verdana" w:hAnsi="Verdana"/>
          <w:sz w:val="20"/>
        </w:rPr>
        <w:t xml:space="preserve"> o impeçam</w:t>
      </w:r>
      <w:r>
        <w:rPr>
          <w:rFonts w:ascii="Verdana" w:hAnsi="Verdana"/>
          <w:sz w:val="20"/>
        </w:rPr>
        <w:t xml:space="preserve">, </w:t>
      </w:r>
      <w:r w:rsidRPr="002818E7">
        <w:rPr>
          <w:rFonts w:ascii="Verdana" w:hAnsi="Verdana"/>
          <w:sz w:val="20"/>
        </w:rPr>
        <w:t>o qu</w:t>
      </w:r>
      <w:r w:rsidR="00A22100">
        <w:rPr>
          <w:rFonts w:ascii="Verdana" w:hAnsi="Verdana"/>
          <w:sz w:val="20"/>
        </w:rPr>
        <w:t>e</w:t>
      </w:r>
      <w:r w:rsidRPr="002818E7">
        <w:rPr>
          <w:rFonts w:ascii="Verdana" w:hAnsi="Verdana"/>
          <w:sz w:val="20"/>
        </w:rPr>
        <w:t xml:space="preserve"> n</w:t>
      </w:r>
      <w:r>
        <w:rPr>
          <w:rFonts w:ascii="Verdana" w:hAnsi="Verdana"/>
          <w:sz w:val="20"/>
        </w:rPr>
        <w:t xml:space="preserve">ão aconteceu no presente caso. Em consequência, a Corte </w:t>
      </w:r>
      <w:r w:rsidR="00624DF5">
        <w:rPr>
          <w:rFonts w:ascii="Verdana" w:hAnsi="Verdana"/>
          <w:sz w:val="20"/>
        </w:rPr>
        <w:t>recusa</w:t>
      </w:r>
      <w:r>
        <w:rPr>
          <w:rFonts w:ascii="Verdana" w:hAnsi="Verdana"/>
          <w:sz w:val="20"/>
        </w:rPr>
        <w:t xml:space="preserve"> o escrito d</w:t>
      </w:r>
      <w:r w:rsidRPr="002818E7">
        <w:rPr>
          <w:rFonts w:ascii="Verdana" w:hAnsi="Verdana"/>
          <w:sz w:val="20"/>
        </w:rPr>
        <w:t>a Comissão de 22 de agosto de 2001</w:t>
      </w:r>
      <w:r>
        <w:rPr>
          <w:rFonts w:ascii="Verdana" w:hAnsi="Verdana"/>
          <w:sz w:val="20"/>
        </w:rPr>
        <w:t xml:space="preserve"> </w:t>
      </w:r>
      <w:r w:rsidRPr="002818E7">
        <w:rPr>
          <w:rFonts w:ascii="Verdana" w:hAnsi="Verdana"/>
          <w:sz w:val="20"/>
        </w:rPr>
        <w:t xml:space="preserve">por </w:t>
      </w:r>
      <w:r w:rsidR="00A22100">
        <w:rPr>
          <w:rFonts w:ascii="Verdana" w:hAnsi="Verdana"/>
          <w:sz w:val="20"/>
        </w:rPr>
        <w:t>ter</w:t>
      </w:r>
      <w:r w:rsidR="00A22100" w:rsidRPr="002818E7">
        <w:rPr>
          <w:rFonts w:ascii="Verdana" w:hAnsi="Verdana"/>
          <w:sz w:val="20"/>
        </w:rPr>
        <w:t xml:space="preserve"> </w:t>
      </w:r>
      <w:r w:rsidRPr="002818E7">
        <w:rPr>
          <w:rFonts w:ascii="Verdana" w:hAnsi="Verdana"/>
          <w:sz w:val="20"/>
        </w:rPr>
        <w:t xml:space="preserve">sido </w:t>
      </w:r>
      <w:r>
        <w:rPr>
          <w:rFonts w:ascii="Verdana" w:hAnsi="Verdana"/>
          <w:sz w:val="20"/>
        </w:rPr>
        <w:t xml:space="preserve">apresentado extemporaneamente, e se abstém de se pronunciar sobre </w:t>
      </w:r>
      <w:r w:rsidR="004B65E5">
        <w:rPr>
          <w:rFonts w:ascii="Verdana" w:hAnsi="Verdana"/>
          <w:sz w:val="20"/>
        </w:rPr>
        <w:t>seu conteúdo</w:t>
      </w:r>
      <w:r w:rsidRPr="002818E7">
        <w:rPr>
          <w:rFonts w:ascii="Verdana" w:hAnsi="Verdana"/>
          <w:sz w:val="20"/>
        </w:rPr>
        <w:t>.</w:t>
      </w:r>
    </w:p>
    <w:p w:rsidR="00C336FB" w:rsidRPr="002818E7" w:rsidRDefault="00C336FB" w:rsidP="00C336FB">
      <w:pPr>
        <w:jc w:val="both"/>
        <w:rPr>
          <w:rFonts w:ascii="Verdana" w:hAnsi="Verdana"/>
          <w:sz w:val="20"/>
        </w:rPr>
      </w:pPr>
    </w:p>
    <w:p w:rsidR="00C336FB" w:rsidRDefault="00C336FB" w:rsidP="00C336FB">
      <w:pPr>
        <w:jc w:val="both"/>
        <w:rPr>
          <w:rFonts w:ascii="Verdana" w:hAnsi="Verdana"/>
          <w:i/>
          <w:sz w:val="20"/>
        </w:rPr>
      </w:pPr>
      <w:r w:rsidRPr="002818E7">
        <w:rPr>
          <w:rFonts w:ascii="Verdana" w:hAnsi="Verdana"/>
          <w:i/>
          <w:sz w:val="20"/>
        </w:rPr>
        <w:t>Alegações</w:t>
      </w:r>
      <w:r>
        <w:rPr>
          <w:rFonts w:ascii="Verdana" w:hAnsi="Verdana"/>
          <w:i/>
          <w:sz w:val="20"/>
        </w:rPr>
        <w:t xml:space="preserve"> do</w:t>
      </w:r>
      <w:r w:rsidRPr="002818E7">
        <w:rPr>
          <w:rFonts w:ascii="Verdana" w:hAnsi="Verdana"/>
          <w:i/>
          <w:sz w:val="20"/>
        </w:rPr>
        <w:t xml:space="preserve"> Estado</w:t>
      </w:r>
    </w:p>
    <w:p w:rsidR="00C336FB" w:rsidRPr="002818E7" w:rsidRDefault="00C336FB" w:rsidP="00C336FB">
      <w:pPr>
        <w:jc w:val="both"/>
        <w:rPr>
          <w:rFonts w:ascii="Verdana" w:hAnsi="Verdana"/>
          <w:b/>
          <w:i/>
          <w:sz w:val="20"/>
        </w:rPr>
      </w:pPr>
    </w:p>
    <w:p w:rsidR="00C336FB" w:rsidRPr="002818E7" w:rsidRDefault="00C336FB" w:rsidP="00C336FB">
      <w:pPr>
        <w:jc w:val="both"/>
        <w:rPr>
          <w:rFonts w:ascii="Verdana" w:hAnsi="Verdana"/>
          <w:sz w:val="20"/>
        </w:rPr>
      </w:pPr>
      <w:r w:rsidRPr="002818E7">
        <w:rPr>
          <w:rFonts w:ascii="Verdana" w:hAnsi="Verdana"/>
          <w:sz w:val="20"/>
        </w:rPr>
        <w:t>160.</w:t>
      </w:r>
      <w:r w:rsidRPr="002818E7">
        <w:rPr>
          <w:rFonts w:ascii="Verdana" w:hAnsi="Verdana"/>
          <w:sz w:val="20"/>
        </w:rPr>
        <w:tab/>
        <w:t>Por su</w:t>
      </w:r>
      <w:r>
        <w:rPr>
          <w:rFonts w:ascii="Verdana" w:hAnsi="Verdana"/>
          <w:sz w:val="20"/>
        </w:rPr>
        <w:t>a vez, o</w:t>
      </w:r>
      <w:r w:rsidRPr="002818E7">
        <w:rPr>
          <w:rFonts w:ascii="Verdana" w:hAnsi="Verdana"/>
          <w:sz w:val="20"/>
        </w:rPr>
        <w:t xml:space="preserve"> Estado </w:t>
      </w:r>
      <w:r w:rsidR="008C4EF5">
        <w:rPr>
          <w:rFonts w:ascii="Verdana" w:hAnsi="Verdana"/>
          <w:sz w:val="20"/>
        </w:rPr>
        <w:t>afirmou</w:t>
      </w:r>
      <w:r>
        <w:rPr>
          <w:rFonts w:ascii="Verdana" w:hAnsi="Verdana"/>
          <w:sz w:val="20"/>
        </w:rPr>
        <w:t>, em</w:t>
      </w:r>
      <w:r w:rsidRPr="002818E7">
        <w:rPr>
          <w:rFonts w:ascii="Verdana" w:hAnsi="Verdana"/>
          <w:sz w:val="20"/>
        </w:rPr>
        <w:t xml:space="preserve"> s</w:t>
      </w:r>
      <w:r>
        <w:rPr>
          <w:rFonts w:ascii="Verdana" w:hAnsi="Verdana"/>
          <w:sz w:val="20"/>
        </w:rPr>
        <w:t>e</w:t>
      </w:r>
      <w:r w:rsidRPr="002818E7">
        <w:rPr>
          <w:rFonts w:ascii="Verdana" w:hAnsi="Verdana"/>
          <w:sz w:val="20"/>
        </w:rPr>
        <w:t>us escritos de contestação</w:t>
      </w:r>
      <w:r>
        <w:rPr>
          <w:rFonts w:ascii="Verdana" w:hAnsi="Verdana"/>
          <w:sz w:val="20"/>
        </w:rPr>
        <w:t xml:space="preserve"> da demanda e</w:t>
      </w:r>
      <w:r w:rsidRPr="002818E7">
        <w:rPr>
          <w:rFonts w:ascii="Verdana" w:hAnsi="Verdana"/>
          <w:sz w:val="20"/>
        </w:rPr>
        <w:t xml:space="preserve"> de alegações finais, que:</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a</w:t>
      </w:r>
      <w:proofErr w:type="gramEnd"/>
      <w:r w:rsidR="00C60678" w:rsidRPr="00C60678">
        <w:rPr>
          <w:rFonts w:ascii="Verdana" w:hAnsi="Verdana"/>
          <w:sz w:val="20"/>
        </w:rPr>
        <w:t>)</w:t>
      </w:r>
      <w:r w:rsidRPr="002818E7">
        <w:rPr>
          <w:rFonts w:ascii="Verdana" w:hAnsi="Verdana"/>
          <w:sz w:val="20"/>
        </w:rPr>
        <w:tab/>
      </w:r>
      <w:r>
        <w:rPr>
          <w:rFonts w:ascii="Verdana" w:hAnsi="Verdana"/>
          <w:sz w:val="20"/>
        </w:rPr>
        <w:t>é</w:t>
      </w:r>
      <w:r w:rsidRPr="002818E7">
        <w:rPr>
          <w:rFonts w:ascii="Verdana" w:hAnsi="Verdana"/>
          <w:sz w:val="20"/>
        </w:rPr>
        <w:t xml:space="preserve"> improcedente qualquer </w:t>
      </w:r>
      <w:r>
        <w:rPr>
          <w:rFonts w:ascii="Verdana" w:hAnsi="Verdana"/>
          <w:sz w:val="20"/>
        </w:rPr>
        <w:t>reivindicação</w:t>
      </w:r>
      <w:r w:rsidRPr="002818E7">
        <w:rPr>
          <w:rFonts w:ascii="Verdana" w:hAnsi="Verdana"/>
          <w:sz w:val="20"/>
        </w:rPr>
        <w:t xml:space="preserve"> indenizatóri</w:t>
      </w:r>
      <w:r>
        <w:rPr>
          <w:rFonts w:ascii="Verdana" w:hAnsi="Verdana"/>
          <w:sz w:val="20"/>
        </w:rPr>
        <w:t>a derivada d</w:t>
      </w:r>
      <w:r w:rsidRPr="002818E7">
        <w:rPr>
          <w:rFonts w:ascii="Verdana" w:hAnsi="Verdana"/>
          <w:sz w:val="20"/>
        </w:rPr>
        <w:t>a falta de titulação o</w:t>
      </w:r>
      <w:r>
        <w:rPr>
          <w:rFonts w:ascii="Verdana" w:hAnsi="Verdana"/>
          <w:sz w:val="20"/>
        </w:rPr>
        <w:t xml:space="preserve">u da </w:t>
      </w:r>
      <w:r w:rsidR="009E50CD">
        <w:rPr>
          <w:rFonts w:ascii="Verdana" w:hAnsi="Verdana"/>
          <w:sz w:val="20"/>
        </w:rPr>
        <w:t>outorga da concessão</w:t>
      </w:r>
      <w:r w:rsidRPr="002818E7">
        <w:rPr>
          <w:rFonts w:ascii="Verdana" w:hAnsi="Verdana"/>
          <w:sz w:val="20"/>
        </w:rPr>
        <w:t xml:space="preserve"> florestal</w:t>
      </w:r>
      <w:r>
        <w:rPr>
          <w:rFonts w:ascii="Verdana" w:hAnsi="Verdana"/>
          <w:sz w:val="20"/>
        </w:rPr>
        <w:t xml:space="preserve"> à</w:t>
      </w:r>
      <w:r w:rsidRPr="002818E7">
        <w:rPr>
          <w:rFonts w:ascii="Verdana" w:hAnsi="Verdana"/>
          <w:sz w:val="20"/>
        </w:rPr>
        <w:t xml:space="preserve"> empres</w:t>
      </w:r>
      <w:r>
        <w:rPr>
          <w:rFonts w:ascii="Verdana" w:hAnsi="Verdana"/>
          <w:sz w:val="20"/>
        </w:rPr>
        <w:t>a SOLCARSA, em</w:t>
      </w:r>
      <w:r w:rsidRPr="002818E7">
        <w:rPr>
          <w:rFonts w:ascii="Verdana" w:hAnsi="Verdana"/>
          <w:sz w:val="20"/>
        </w:rPr>
        <w:t xml:space="preserve"> virtude de que:</w:t>
      </w:r>
    </w:p>
    <w:p w:rsidR="00C336FB" w:rsidRPr="002818E7" w:rsidRDefault="00C336FB" w:rsidP="00C336FB">
      <w:pPr>
        <w:jc w:val="both"/>
        <w:rPr>
          <w:rFonts w:ascii="Verdana" w:hAnsi="Verdana"/>
          <w:sz w:val="20"/>
        </w:rPr>
      </w:pPr>
    </w:p>
    <w:p w:rsidR="00C336FB" w:rsidRPr="002818E7" w:rsidRDefault="00C336FB" w:rsidP="00C336FB">
      <w:pPr>
        <w:ind w:left="1440"/>
        <w:jc w:val="both"/>
        <w:rPr>
          <w:rFonts w:ascii="Verdana" w:hAnsi="Verdana"/>
          <w:b/>
          <w:i/>
          <w:sz w:val="20"/>
        </w:rPr>
      </w:pPr>
      <w:proofErr w:type="gramStart"/>
      <w:r>
        <w:rPr>
          <w:rFonts w:ascii="Verdana" w:hAnsi="Verdana"/>
          <w:sz w:val="20"/>
        </w:rPr>
        <w:t>i</w:t>
      </w:r>
      <w:r w:rsidR="00C60678" w:rsidRPr="00C60678">
        <w:rPr>
          <w:rFonts w:ascii="Verdana" w:hAnsi="Verdana"/>
          <w:sz w:val="20"/>
        </w:rPr>
        <w:t>)</w:t>
      </w:r>
      <w:proofErr w:type="gramEnd"/>
      <w:r>
        <w:rPr>
          <w:rFonts w:ascii="Verdana" w:hAnsi="Verdana"/>
          <w:sz w:val="20"/>
        </w:rPr>
        <w:tab/>
      </w:r>
      <w:r w:rsidRPr="002818E7">
        <w:rPr>
          <w:rFonts w:ascii="Verdana" w:hAnsi="Verdana"/>
          <w:sz w:val="20"/>
        </w:rPr>
        <w:t xml:space="preserve">a concessão </w:t>
      </w:r>
      <w:r>
        <w:rPr>
          <w:rFonts w:ascii="Verdana" w:hAnsi="Verdana"/>
          <w:sz w:val="20"/>
        </w:rPr>
        <w:t>à</w:t>
      </w:r>
      <w:r w:rsidRPr="002818E7">
        <w:rPr>
          <w:rFonts w:ascii="Verdana" w:hAnsi="Verdana"/>
          <w:sz w:val="20"/>
        </w:rPr>
        <w:t xml:space="preserve"> SOLCARSA n</w:t>
      </w:r>
      <w:r>
        <w:rPr>
          <w:rFonts w:ascii="Verdana" w:hAnsi="Verdana"/>
          <w:sz w:val="20"/>
        </w:rPr>
        <w:t>ão produziu</w:t>
      </w:r>
      <w:r w:rsidRPr="002818E7">
        <w:rPr>
          <w:rFonts w:ascii="Verdana" w:hAnsi="Verdana"/>
          <w:sz w:val="20"/>
        </w:rPr>
        <w:t xml:space="preserve"> nenhum</w:t>
      </w:r>
      <w:r>
        <w:rPr>
          <w:rFonts w:ascii="Verdana" w:hAnsi="Verdana"/>
          <w:sz w:val="20"/>
        </w:rPr>
        <w:t xml:space="preserve"> dano à</w:t>
      </w:r>
      <w:r w:rsidRPr="002818E7">
        <w:rPr>
          <w:rFonts w:ascii="Verdana" w:hAnsi="Verdana"/>
          <w:sz w:val="20"/>
        </w:rPr>
        <w:t xml:space="preserve"> Comunidade</w:t>
      </w:r>
      <w:r>
        <w:rPr>
          <w:rFonts w:ascii="Verdana" w:hAnsi="Verdana"/>
          <w:sz w:val="20"/>
        </w:rPr>
        <w:t>. Em</w:t>
      </w:r>
      <w:r w:rsidRPr="002818E7">
        <w:rPr>
          <w:rFonts w:ascii="Verdana" w:hAnsi="Verdana"/>
          <w:sz w:val="20"/>
        </w:rPr>
        <w:t xml:space="preserve"> su</w:t>
      </w:r>
      <w:r>
        <w:rPr>
          <w:rFonts w:ascii="Verdana" w:hAnsi="Verdana"/>
          <w:sz w:val="20"/>
        </w:rPr>
        <w:t>a</w:t>
      </w:r>
      <w:r w:rsidRPr="002818E7">
        <w:rPr>
          <w:rFonts w:ascii="Verdana" w:hAnsi="Verdana"/>
          <w:sz w:val="20"/>
        </w:rPr>
        <w:t xml:space="preserve"> exposição de </w:t>
      </w:r>
      <w:r>
        <w:rPr>
          <w:rFonts w:ascii="Verdana" w:hAnsi="Verdana"/>
          <w:sz w:val="20"/>
        </w:rPr>
        <w:t xml:space="preserve">fatos </w:t>
      </w:r>
      <w:r w:rsidRPr="002818E7">
        <w:rPr>
          <w:rFonts w:ascii="Verdana" w:hAnsi="Verdana"/>
          <w:sz w:val="20"/>
        </w:rPr>
        <w:t>a Comissão reconhece que n</w:t>
      </w:r>
      <w:r>
        <w:rPr>
          <w:rFonts w:ascii="Verdana" w:hAnsi="Verdana"/>
          <w:sz w:val="20"/>
        </w:rPr>
        <w:t>ão está claro se foi produzido o</w:t>
      </w:r>
      <w:r w:rsidRPr="002818E7">
        <w:rPr>
          <w:rFonts w:ascii="Verdana" w:hAnsi="Verdana"/>
          <w:sz w:val="20"/>
        </w:rPr>
        <w:t xml:space="preserve"> </w:t>
      </w:r>
      <w:r>
        <w:rPr>
          <w:rFonts w:ascii="Verdana" w:hAnsi="Verdana"/>
          <w:sz w:val="20"/>
        </w:rPr>
        <w:t>dano</w:t>
      </w:r>
      <w:r w:rsidRPr="002818E7">
        <w:rPr>
          <w:rFonts w:ascii="Verdana" w:hAnsi="Verdana"/>
          <w:sz w:val="20"/>
        </w:rPr>
        <w:t xml:space="preserve"> florestal</w:t>
      </w:r>
      <w:r>
        <w:rPr>
          <w:rFonts w:ascii="Verdana" w:hAnsi="Verdana"/>
          <w:sz w:val="20"/>
        </w:rPr>
        <w:t xml:space="preserve"> nas áreas reclamadas por ela</w:t>
      </w:r>
      <w:r w:rsidRPr="002818E7">
        <w:rPr>
          <w:rFonts w:ascii="Verdana" w:hAnsi="Verdana"/>
          <w:sz w:val="20"/>
        </w:rPr>
        <w:t>. N</w:t>
      </w:r>
      <w:r>
        <w:rPr>
          <w:rFonts w:ascii="Verdana" w:hAnsi="Verdana"/>
          <w:sz w:val="20"/>
        </w:rPr>
        <w:t>ã</w:t>
      </w:r>
      <w:r w:rsidRPr="002818E7">
        <w:rPr>
          <w:rFonts w:ascii="Verdana" w:hAnsi="Verdana"/>
          <w:sz w:val="20"/>
        </w:rPr>
        <w:t xml:space="preserve">o </w:t>
      </w:r>
      <w:r>
        <w:rPr>
          <w:rFonts w:ascii="Verdana" w:hAnsi="Verdana"/>
          <w:sz w:val="20"/>
        </w:rPr>
        <w:t>foi iniciada a ex</w:t>
      </w:r>
      <w:r w:rsidRPr="002818E7">
        <w:rPr>
          <w:rFonts w:ascii="Verdana" w:hAnsi="Verdana"/>
          <w:sz w:val="20"/>
        </w:rPr>
        <w:t>ecução de atividade florestal</w:t>
      </w:r>
      <w:r>
        <w:rPr>
          <w:rFonts w:ascii="Verdana" w:hAnsi="Verdana"/>
          <w:sz w:val="20"/>
        </w:rPr>
        <w:t xml:space="preserve"> derivada d</w:t>
      </w:r>
      <w:r w:rsidRPr="002818E7">
        <w:rPr>
          <w:rFonts w:ascii="Verdana" w:hAnsi="Verdana"/>
          <w:sz w:val="20"/>
        </w:rPr>
        <w:t xml:space="preserve">a </w:t>
      </w:r>
      <w:r w:rsidR="002A016A">
        <w:rPr>
          <w:rFonts w:ascii="Verdana" w:hAnsi="Verdana"/>
          <w:sz w:val="20"/>
        </w:rPr>
        <w:t>concessão outorgada</w:t>
      </w:r>
      <w:r>
        <w:rPr>
          <w:rFonts w:ascii="Verdana" w:hAnsi="Verdana"/>
          <w:sz w:val="20"/>
        </w:rPr>
        <w:t xml:space="preserve"> à SOLCARSA, devido a que o</w:t>
      </w:r>
      <w:r w:rsidRPr="002818E7">
        <w:rPr>
          <w:rFonts w:ascii="Verdana" w:hAnsi="Verdana"/>
          <w:sz w:val="20"/>
        </w:rPr>
        <w:t xml:space="preserve"> Estado n</w:t>
      </w:r>
      <w:r>
        <w:rPr>
          <w:rFonts w:ascii="Verdana" w:hAnsi="Verdana"/>
          <w:sz w:val="20"/>
        </w:rPr>
        <w:t>ão aprovou o</w:t>
      </w:r>
      <w:r w:rsidRPr="002818E7">
        <w:rPr>
          <w:rFonts w:ascii="Verdana" w:hAnsi="Verdana"/>
          <w:sz w:val="20"/>
        </w:rPr>
        <w:t xml:space="preserve"> Plan</w:t>
      </w:r>
      <w:r>
        <w:rPr>
          <w:rFonts w:ascii="Verdana" w:hAnsi="Verdana"/>
          <w:sz w:val="20"/>
        </w:rPr>
        <w:t>o</w:t>
      </w:r>
      <w:r w:rsidRPr="002818E7">
        <w:rPr>
          <w:rFonts w:ascii="Verdana" w:hAnsi="Verdana"/>
          <w:sz w:val="20"/>
        </w:rPr>
        <w:t xml:space="preserve"> de Manejo Florestal</w:t>
      </w:r>
      <w:r>
        <w:rPr>
          <w:rFonts w:ascii="Verdana" w:hAnsi="Verdana"/>
          <w:sz w:val="20"/>
        </w:rPr>
        <w:t xml:space="preserve"> para a explor</w:t>
      </w:r>
      <w:r w:rsidRPr="002818E7">
        <w:rPr>
          <w:rFonts w:ascii="Verdana" w:hAnsi="Verdana"/>
          <w:sz w:val="20"/>
        </w:rPr>
        <w:t>ação madeir</w:t>
      </w:r>
      <w:r>
        <w:rPr>
          <w:rFonts w:ascii="Verdana" w:hAnsi="Verdana"/>
          <w:sz w:val="20"/>
        </w:rPr>
        <w:t>e</w:t>
      </w:r>
      <w:r w:rsidRPr="002818E7">
        <w:rPr>
          <w:rFonts w:ascii="Verdana" w:hAnsi="Verdana"/>
          <w:sz w:val="20"/>
        </w:rPr>
        <w:t>ira.</w:t>
      </w:r>
      <w:r>
        <w:rPr>
          <w:rFonts w:ascii="Verdana" w:hAnsi="Verdana"/>
          <w:sz w:val="20"/>
        </w:rPr>
        <w:t xml:space="preserve"> Entretanto, a empresa efetivamente causou</w:t>
      </w:r>
      <w:r w:rsidRPr="002818E7">
        <w:rPr>
          <w:rFonts w:ascii="Verdana" w:hAnsi="Verdana"/>
          <w:sz w:val="20"/>
        </w:rPr>
        <w:t xml:space="preserve"> danos </w:t>
      </w:r>
      <w:r>
        <w:rPr>
          <w:rFonts w:ascii="Verdana" w:hAnsi="Verdana"/>
          <w:sz w:val="20"/>
        </w:rPr>
        <w:t>florestais na zona do</w:t>
      </w:r>
      <w:r w:rsidRPr="002818E7">
        <w:rPr>
          <w:rFonts w:ascii="Verdana" w:hAnsi="Verdana"/>
          <w:sz w:val="20"/>
        </w:rPr>
        <w:t xml:space="preserve"> Cerro Wakambay, por cortes ilegais de made</w:t>
      </w:r>
      <w:r>
        <w:rPr>
          <w:rFonts w:ascii="Verdana" w:hAnsi="Verdana"/>
          <w:sz w:val="20"/>
        </w:rPr>
        <w:t>ira realizados fora da</w:t>
      </w:r>
      <w:r w:rsidRPr="002818E7">
        <w:rPr>
          <w:rFonts w:ascii="Verdana" w:hAnsi="Verdana"/>
          <w:sz w:val="20"/>
        </w:rPr>
        <w:t xml:space="preserve"> área de concessão florestal que l</w:t>
      </w:r>
      <w:r>
        <w:rPr>
          <w:rFonts w:ascii="Verdana" w:hAnsi="Verdana"/>
          <w:sz w:val="20"/>
        </w:rPr>
        <w:t>he havia sido</w:t>
      </w:r>
      <w:r w:rsidRPr="002818E7">
        <w:rPr>
          <w:rFonts w:ascii="Verdana" w:hAnsi="Verdana"/>
          <w:sz w:val="20"/>
        </w:rPr>
        <w:t xml:space="preserve"> concedida</w:t>
      </w:r>
      <w:r>
        <w:rPr>
          <w:rFonts w:ascii="Verdana" w:hAnsi="Verdana"/>
          <w:sz w:val="20"/>
        </w:rPr>
        <w:t>. A a</w:t>
      </w:r>
      <w:r w:rsidRPr="002818E7">
        <w:rPr>
          <w:rFonts w:ascii="Verdana" w:hAnsi="Verdana"/>
          <w:sz w:val="20"/>
        </w:rPr>
        <w:t xml:space="preserve">tuação </w:t>
      </w:r>
      <w:r>
        <w:rPr>
          <w:rFonts w:ascii="Verdana" w:hAnsi="Verdana"/>
          <w:sz w:val="20"/>
        </w:rPr>
        <w:t>ilegal da SOLCARSA, originada à margem d</w:t>
      </w:r>
      <w:r w:rsidRPr="002818E7">
        <w:rPr>
          <w:rFonts w:ascii="Verdana" w:hAnsi="Verdana"/>
          <w:sz w:val="20"/>
        </w:rPr>
        <w:t>a concessão</w:t>
      </w:r>
      <w:r>
        <w:rPr>
          <w:rFonts w:ascii="Verdana" w:hAnsi="Verdana"/>
          <w:sz w:val="20"/>
        </w:rPr>
        <w:t>, é um</w:t>
      </w:r>
      <w:r w:rsidRPr="002818E7">
        <w:rPr>
          <w:rFonts w:ascii="Verdana" w:hAnsi="Verdana"/>
          <w:sz w:val="20"/>
        </w:rPr>
        <w:t>a ação</w:t>
      </w:r>
      <w:r>
        <w:rPr>
          <w:rFonts w:ascii="Verdana" w:hAnsi="Verdana"/>
          <w:sz w:val="20"/>
        </w:rPr>
        <w:t xml:space="preserve"> de particulares alhei</w:t>
      </w:r>
      <w:r w:rsidRPr="002818E7">
        <w:rPr>
          <w:rFonts w:ascii="Verdana" w:hAnsi="Verdana"/>
          <w:sz w:val="20"/>
        </w:rPr>
        <w:t>a a toda permissivida</w:t>
      </w:r>
      <w:r>
        <w:rPr>
          <w:rFonts w:ascii="Verdana" w:hAnsi="Verdana"/>
          <w:sz w:val="20"/>
        </w:rPr>
        <w:t>de gov</w:t>
      </w:r>
      <w:r w:rsidRPr="002818E7">
        <w:rPr>
          <w:rFonts w:ascii="Verdana" w:hAnsi="Verdana"/>
          <w:sz w:val="20"/>
        </w:rPr>
        <w:t>ernamental, qu</w:t>
      </w:r>
      <w:r>
        <w:rPr>
          <w:rFonts w:ascii="Verdana" w:hAnsi="Verdana"/>
          <w:sz w:val="20"/>
        </w:rPr>
        <w:t>e foi sancionada pe</w:t>
      </w:r>
      <w:r w:rsidRPr="002818E7">
        <w:rPr>
          <w:rFonts w:ascii="Verdana" w:hAnsi="Verdana"/>
          <w:sz w:val="20"/>
        </w:rPr>
        <w:t xml:space="preserve">las autoridades estatais; </w:t>
      </w:r>
    </w:p>
    <w:p w:rsidR="00C336FB" w:rsidRDefault="00C336FB" w:rsidP="00C336FB">
      <w:pPr>
        <w:jc w:val="both"/>
        <w:rPr>
          <w:rFonts w:ascii="Verdana" w:hAnsi="Verdana"/>
          <w:sz w:val="20"/>
        </w:rPr>
      </w:pPr>
    </w:p>
    <w:p w:rsidR="00C336FB" w:rsidRPr="002818E7" w:rsidRDefault="00C336FB" w:rsidP="00C336FB">
      <w:pPr>
        <w:ind w:left="1440"/>
        <w:jc w:val="both"/>
        <w:rPr>
          <w:rFonts w:ascii="Verdana" w:hAnsi="Verdana"/>
          <w:sz w:val="20"/>
        </w:rPr>
      </w:pPr>
      <w:proofErr w:type="gramStart"/>
      <w:r>
        <w:rPr>
          <w:rFonts w:ascii="Verdana" w:hAnsi="Verdana"/>
          <w:sz w:val="20"/>
        </w:rPr>
        <w:t>ii</w:t>
      </w:r>
      <w:r w:rsidR="00C60678" w:rsidRPr="00C60678">
        <w:rPr>
          <w:rFonts w:ascii="Verdana" w:hAnsi="Verdana"/>
          <w:sz w:val="20"/>
        </w:rPr>
        <w:t>)</w:t>
      </w:r>
      <w:proofErr w:type="gramEnd"/>
      <w:r>
        <w:rPr>
          <w:rFonts w:ascii="Verdana" w:hAnsi="Verdana"/>
          <w:sz w:val="20"/>
        </w:rPr>
        <w:tab/>
        <w:t>em seu afã</w:t>
      </w:r>
      <w:r w:rsidRPr="002818E7">
        <w:rPr>
          <w:rFonts w:ascii="Verdana" w:hAnsi="Verdana"/>
          <w:sz w:val="20"/>
        </w:rPr>
        <w:t xml:space="preserve"> de determinar </w:t>
      </w:r>
      <w:r>
        <w:rPr>
          <w:rFonts w:ascii="Verdana" w:hAnsi="Verdana"/>
          <w:sz w:val="20"/>
        </w:rPr>
        <w:t>responsabilidades pecuniárias</w:t>
      </w:r>
      <w:r w:rsidRPr="002818E7">
        <w:rPr>
          <w:rFonts w:ascii="Verdana" w:hAnsi="Verdana"/>
          <w:sz w:val="20"/>
        </w:rPr>
        <w:t xml:space="preserve"> </w:t>
      </w:r>
      <w:r>
        <w:rPr>
          <w:rFonts w:ascii="Verdana" w:hAnsi="Verdana"/>
          <w:sz w:val="20"/>
        </w:rPr>
        <w:t xml:space="preserve">contra o Estado, </w:t>
      </w:r>
      <w:r w:rsidRPr="002818E7">
        <w:rPr>
          <w:rFonts w:ascii="Verdana" w:hAnsi="Verdana"/>
          <w:sz w:val="20"/>
        </w:rPr>
        <w:t>a Comissão</w:t>
      </w:r>
      <w:r>
        <w:rPr>
          <w:rFonts w:ascii="Verdana" w:hAnsi="Verdana"/>
          <w:sz w:val="20"/>
        </w:rPr>
        <w:t xml:space="preserve"> conclui que</w:t>
      </w:r>
      <w:r w:rsidR="004B65E5">
        <w:rPr>
          <w:rFonts w:ascii="Verdana" w:hAnsi="Verdana"/>
          <w:sz w:val="20"/>
        </w:rPr>
        <w:t>,</w:t>
      </w:r>
      <w:r>
        <w:rPr>
          <w:rFonts w:ascii="Verdana" w:hAnsi="Verdana"/>
          <w:sz w:val="20"/>
        </w:rPr>
        <w:t xml:space="preserve"> em todo caso</w:t>
      </w:r>
      <w:r w:rsidR="004B65E5">
        <w:rPr>
          <w:rFonts w:ascii="Verdana" w:hAnsi="Verdana"/>
          <w:sz w:val="20"/>
        </w:rPr>
        <w:t>,</w:t>
      </w:r>
      <w:r>
        <w:rPr>
          <w:rFonts w:ascii="Verdana" w:hAnsi="Verdana"/>
          <w:sz w:val="20"/>
        </w:rPr>
        <w:t xml:space="preserve"> este</w:t>
      </w:r>
      <w:r w:rsidRPr="002818E7">
        <w:rPr>
          <w:rFonts w:ascii="Verdana" w:hAnsi="Verdana"/>
          <w:sz w:val="20"/>
        </w:rPr>
        <w:t>s danos</w:t>
      </w:r>
      <w:r>
        <w:rPr>
          <w:rFonts w:ascii="Verdana" w:hAnsi="Verdana"/>
          <w:sz w:val="20"/>
        </w:rPr>
        <w:t xml:space="preserve"> foram causados</w:t>
      </w:r>
      <w:r w:rsidRPr="002818E7">
        <w:rPr>
          <w:rFonts w:ascii="Verdana" w:hAnsi="Verdana"/>
          <w:sz w:val="20"/>
        </w:rPr>
        <w:t xml:space="preserve"> a terceiras pessoas</w:t>
      </w:r>
      <w:r>
        <w:rPr>
          <w:rFonts w:ascii="Verdana" w:hAnsi="Verdana"/>
          <w:sz w:val="20"/>
        </w:rPr>
        <w:t xml:space="preserve">, </w:t>
      </w:r>
      <w:r w:rsidRPr="002818E7">
        <w:rPr>
          <w:rFonts w:ascii="Verdana" w:hAnsi="Verdana"/>
          <w:sz w:val="20"/>
        </w:rPr>
        <w:t xml:space="preserve">as </w:t>
      </w:r>
      <w:r>
        <w:rPr>
          <w:rFonts w:ascii="Verdana" w:hAnsi="Verdana"/>
          <w:sz w:val="20"/>
        </w:rPr>
        <w:t>quai</w:t>
      </w:r>
      <w:r w:rsidRPr="002818E7">
        <w:rPr>
          <w:rFonts w:ascii="Verdana" w:hAnsi="Verdana"/>
          <w:sz w:val="20"/>
        </w:rPr>
        <w:t>s n</w:t>
      </w:r>
      <w:r>
        <w:rPr>
          <w:rFonts w:ascii="Verdana" w:hAnsi="Verdana"/>
          <w:sz w:val="20"/>
        </w:rPr>
        <w:t>ão constituem parte n</w:t>
      </w:r>
      <w:r w:rsidRPr="002818E7">
        <w:rPr>
          <w:rFonts w:ascii="Verdana" w:hAnsi="Verdana"/>
          <w:sz w:val="20"/>
        </w:rPr>
        <w:t>este cas</w:t>
      </w:r>
      <w:r w:rsidR="006047D8">
        <w:rPr>
          <w:rFonts w:ascii="Verdana" w:hAnsi="Verdana"/>
          <w:sz w:val="20"/>
        </w:rPr>
        <w:t xml:space="preserve">o nem </w:t>
      </w:r>
      <w:r>
        <w:rPr>
          <w:rFonts w:ascii="Verdana" w:hAnsi="Verdana"/>
          <w:sz w:val="20"/>
        </w:rPr>
        <w:t xml:space="preserve">formularam reivindicações contra o Estado, </w:t>
      </w:r>
      <w:r w:rsidR="00243DA4">
        <w:rPr>
          <w:rFonts w:ascii="Verdana" w:hAnsi="Verdana"/>
          <w:sz w:val="20"/>
        </w:rPr>
        <w:t>de modo que</w:t>
      </w:r>
      <w:r w:rsidRPr="002818E7">
        <w:rPr>
          <w:rFonts w:ascii="Verdana" w:hAnsi="Verdana"/>
          <w:sz w:val="20"/>
        </w:rPr>
        <w:t xml:space="preserve"> desconhece</w:t>
      </w:r>
      <w:r>
        <w:rPr>
          <w:rFonts w:ascii="Verdana" w:hAnsi="Verdana"/>
          <w:sz w:val="20"/>
        </w:rPr>
        <w:t xml:space="preserve"> o</w:t>
      </w:r>
      <w:r w:rsidRPr="002818E7">
        <w:rPr>
          <w:rFonts w:ascii="Verdana" w:hAnsi="Verdana"/>
          <w:sz w:val="20"/>
        </w:rPr>
        <w:t xml:space="preserve"> caráter </w:t>
      </w:r>
      <w:r>
        <w:rPr>
          <w:rFonts w:ascii="Verdana" w:hAnsi="Verdana"/>
          <w:sz w:val="20"/>
        </w:rPr>
        <w:t>subsidiário da jurisdi</w:t>
      </w:r>
      <w:r w:rsidRPr="002818E7">
        <w:rPr>
          <w:rFonts w:ascii="Verdana" w:hAnsi="Verdana"/>
          <w:sz w:val="20"/>
        </w:rPr>
        <w:t>ção internacional;</w:t>
      </w:r>
    </w:p>
    <w:p w:rsidR="00C336FB" w:rsidRDefault="00C336FB" w:rsidP="00C336FB">
      <w:pPr>
        <w:jc w:val="both"/>
        <w:rPr>
          <w:rFonts w:ascii="Verdana" w:hAnsi="Verdana"/>
          <w:sz w:val="20"/>
        </w:rPr>
      </w:pPr>
    </w:p>
    <w:p w:rsidR="00C336FB" w:rsidRDefault="00C336FB" w:rsidP="00C336FB">
      <w:pPr>
        <w:ind w:left="1440"/>
        <w:jc w:val="both"/>
        <w:rPr>
          <w:rFonts w:ascii="Verdana" w:hAnsi="Verdana"/>
          <w:sz w:val="20"/>
        </w:rPr>
      </w:pPr>
      <w:proofErr w:type="gramStart"/>
      <w:r>
        <w:rPr>
          <w:rFonts w:ascii="Verdana" w:hAnsi="Verdana"/>
          <w:sz w:val="20"/>
        </w:rPr>
        <w:lastRenderedPageBreak/>
        <w:t>iii</w:t>
      </w:r>
      <w:r w:rsidR="00C60678" w:rsidRPr="00C60678">
        <w:rPr>
          <w:rFonts w:ascii="Verdana" w:hAnsi="Verdana"/>
          <w:sz w:val="20"/>
        </w:rPr>
        <w:t>)</w:t>
      </w:r>
      <w:proofErr w:type="gramEnd"/>
      <w:r>
        <w:rPr>
          <w:rFonts w:ascii="Verdana" w:hAnsi="Verdana"/>
          <w:sz w:val="20"/>
        </w:rPr>
        <w:tab/>
        <w:t>a reivindicação d</w:t>
      </w:r>
      <w:r w:rsidRPr="002818E7">
        <w:rPr>
          <w:rFonts w:ascii="Verdana" w:hAnsi="Verdana"/>
          <w:sz w:val="20"/>
        </w:rPr>
        <w:t>a Comunidade</w:t>
      </w:r>
      <w:r>
        <w:rPr>
          <w:rFonts w:ascii="Verdana" w:hAnsi="Verdana"/>
          <w:sz w:val="20"/>
        </w:rPr>
        <w:t xml:space="preserve"> é</w:t>
      </w:r>
      <w:r w:rsidRPr="002818E7">
        <w:rPr>
          <w:rFonts w:ascii="Verdana" w:hAnsi="Verdana"/>
          <w:sz w:val="20"/>
        </w:rPr>
        <w:t xml:space="preserve"> desproporciona</w:t>
      </w:r>
      <w:r>
        <w:rPr>
          <w:rFonts w:ascii="Verdana" w:hAnsi="Verdana"/>
          <w:sz w:val="20"/>
        </w:rPr>
        <w:t>l</w:t>
      </w:r>
      <w:r w:rsidRPr="002818E7">
        <w:rPr>
          <w:rFonts w:ascii="Verdana" w:hAnsi="Verdana"/>
          <w:sz w:val="20"/>
        </w:rPr>
        <w:t xml:space="preserve"> e irracional, </w:t>
      </w:r>
      <w:r>
        <w:rPr>
          <w:rFonts w:ascii="Verdana" w:hAnsi="Verdana"/>
          <w:sz w:val="20"/>
        </w:rPr>
        <w:t>e se ref</w:t>
      </w:r>
      <w:r w:rsidRPr="002818E7">
        <w:rPr>
          <w:rFonts w:ascii="Verdana" w:hAnsi="Verdana"/>
          <w:sz w:val="20"/>
        </w:rPr>
        <w:t>ere</w:t>
      </w:r>
      <w:r>
        <w:rPr>
          <w:rFonts w:ascii="Verdana" w:hAnsi="Verdana"/>
          <w:sz w:val="20"/>
        </w:rPr>
        <w:t xml:space="preserve"> a um</w:t>
      </w:r>
      <w:r w:rsidRPr="002818E7">
        <w:rPr>
          <w:rFonts w:ascii="Verdana" w:hAnsi="Verdana"/>
          <w:sz w:val="20"/>
        </w:rPr>
        <w:t xml:space="preserve">a </w:t>
      </w:r>
      <w:r>
        <w:rPr>
          <w:rFonts w:ascii="Verdana" w:hAnsi="Verdana"/>
          <w:sz w:val="20"/>
        </w:rPr>
        <w:t>superfície</w:t>
      </w:r>
      <w:r w:rsidRPr="002818E7">
        <w:rPr>
          <w:rFonts w:ascii="Verdana" w:hAnsi="Verdana"/>
          <w:sz w:val="20"/>
        </w:rPr>
        <w:t xml:space="preserve"> que n</w:t>
      </w:r>
      <w:r>
        <w:rPr>
          <w:rFonts w:ascii="Verdana" w:hAnsi="Verdana"/>
          <w:sz w:val="20"/>
        </w:rPr>
        <w:t xml:space="preserve">ão </w:t>
      </w:r>
      <w:r w:rsidR="00A22100">
        <w:rPr>
          <w:rFonts w:ascii="Verdana" w:hAnsi="Verdana"/>
          <w:sz w:val="20"/>
        </w:rPr>
        <w:t>possuíram</w:t>
      </w:r>
      <w:r w:rsidR="00A22100" w:rsidRPr="002818E7">
        <w:rPr>
          <w:rFonts w:ascii="Verdana" w:hAnsi="Verdana"/>
          <w:sz w:val="20"/>
        </w:rPr>
        <w:t xml:space="preserve"> </w:t>
      </w:r>
      <w:r w:rsidRPr="002818E7">
        <w:rPr>
          <w:rFonts w:ascii="Verdana" w:hAnsi="Verdana"/>
          <w:sz w:val="20"/>
        </w:rPr>
        <w:t xml:space="preserve">ancestralmente; </w:t>
      </w:r>
    </w:p>
    <w:p w:rsidR="00C336FB" w:rsidRPr="002818E7" w:rsidRDefault="00C336FB" w:rsidP="00C336FB">
      <w:pPr>
        <w:ind w:left="1440"/>
        <w:jc w:val="both"/>
        <w:rPr>
          <w:rFonts w:ascii="Verdana" w:hAnsi="Verdana"/>
          <w:sz w:val="20"/>
        </w:rPr>
      </w:pPr>
    </w:p>
    <w:p w:rsidR="00C336FB" w:rsidRDefault="00C336FB" w:rsidP="00C336FB">
      <w:pPr>
        <w:ind w:left="1440"/>
        <w:jc w:val="both"/>
        <w:rPr>
          <w:rFonts w:ascii="Verdana" w:hAnsi="Verdana"/>
          <w:sz w:val="20"/>
        </w:rPr>
      </w:pPr>
      <w:proofErr w:type="gramStart"/>
      <w:r>
        <w:rPr>
          <w:rFonts w:ascii="Verdana" w:hAnsi="Verdana"/>
          <w:sz w:val="20"/>
        </w:rPr>
        <w:t>iv</w:t>
      </w:r>
      <w:r w:rsidR="00C60678" w:rsidRPr="00C60678">
        <w:rPr>
          <w:rFonts w:ascii="Verdana" w:hAnsi="Verdana"/>
          <w:sz w:val="20"/>
        </w:rPr>
        <w:t>)</w:t>
      </w:r>
      <w:proofErr w:type="gramEnd"/>
      <w:r>
        <w:rPr>
          <w:rFonts w:ascii="Verdana" w:hAnsi="Verdana"/>
          <w:sz w:val="20"/>
        </w:rPr>
        <w:tab/>
      </w:r>
      <w:r w:rsidRPr="002818E7">
        <w:rPr>
          <w:rFonts w:ascii="Verdana" w:hAnsi="Verdana"/>
          <w:sz w:val="20"/>
        </w:rPr>
        <w:t xml:space="preserve">a Comunidade </w:t>
      </w:r>
      <w:r w:rsidR="006047D8">
        <w:rPr>
          <w:rFonts w:ascii="Verdana" w:hAnsi="Verdana"/>
          <w:sz w:val="20"/>
        </w:rPr>
        <w:t>não</w:t>
      </w:r>
      <w:r>
        <w:rPr>
          <w:rFonts w:ascii="Verdana" w:hAnsi="Verdana"/>
          <w:sz w:val="20"/>
        </w:rPr>
        <w:t xml:space="preserve"> foi</w:t>
      </w:r>
      <w:r w:rsidRPr="002818E7">
        <w:rPr>
          <w:rFonts w:ascii="Verdana" w:hAnsi="Verdana"/>
          <w:sz w:val="20"/>
        </w:rPr>
        <w:t xml:space="preserve"> </w:t>
      </w:r>
      <w:r>
        <w:rPr>
          <w:rFonts w:ascii="Verdana" w:hAnsi="Verdana"/>
          <w:sz w:val="20"/>
        </w:rPr>
        <w:t>deslocada</w:t>
      </w:r>
      <w:r w:rsidRPr="002818E7">
        <w:rPr>
          <w:rFonts w:ascii="Verdana" w:hAnsi="Verdana"/>
          <w:sz w:val="20"/>
        </w:rPr>
        <w:t xml:space="preserve"> das terras</w:t>
      </w:r>
      <w:r>
        <w:rPr>
          <w:rFonts w:ascii="Verdana" w:hAnsi="Verdana"/>
          <w:sz w:val="20"/>
        </w:rPr>
        <w:t xml:space="preserve"> que reclama; e</w:t>
      </w:r>
    </w:p>
    <w:p w:rsidR="00C336FB" w:rsidRPr="002818E7" w:rsidRDefault="00C336FB" w:rsidP="00C336FB">
      <w:pPr>
        <w:ind w:left="1440"/>
        <w:jc w:val="both"/>
        <w:rPr>
          <w:rFonts w:ascii="Verdana" w:hAnsi="Verdana"/>
          <w:sz w:val="20"/>
        </w:rPr>
      </w:pPr>
    </w:p>
    <w:p w:rsidR="00C336FB" w:rsidRPr="002818E7" w:rsidRDefault="00C336FB" w:rsidP="00C336FB">
      <w:pPr>
        <w:ind w:left="1440"/>
        <w:jc w:val="both"/>
        <w:rPr>
          <w:rFonts w:ascii="Verdana" w:hAnsi="Verdana"/>
          <w:sz w:val="20"/>
        </w:rPr>
      </w:pPr>
      <w:proofErr w:type="gramStart"/>
      <w:r w:rsidRPr="002818E7">
        <w:rPr>
          <w:rFonts w:ascii="Verdana" w:hAnsi="Verdana"/>
          <w:sz w:val="20"/>
        </w:rPr>
        <w:t>v</w:t>
      </w:r>
      <w:r w:rsidR="00C60678" w:rsidRPr="00C60678">
        <w:rPr>
          <w:rFonts w:ascii="Verdana" w:hAnsi="Verdana"/>
          <w:sz w:val="20"/>
        </w:rPr>
        <w:t>)</w:t>
      </w:r>
      <w:proofErr w:type="gramEnd"/>
      <w:r w:rsidRPr="002818E7">
        <w:rPr>
          <w:rFonts w:ascii="Verdana" w:hAnsi="Verdana"/>
          <w:sz w:val="20"/>
        </w:rPr>
        <w:tab/>
        <w:t>n</w:t>
      </w:r>
      <w:r>
        <w:rPr>
          <w:rFonts w:ascii="Verdana" w:hAnsi="Verdana"/>
          <w:sz w:val="20"/>
        </w:rPr>
        <w:t>ão foi alterado o sistema de vida, crenç</w:t>
      </w:r>
      <w:r w:rsidRPr="002818E7">
        <w:rPr>
          <w:rFonts w:ascii="Verdana" w:hAnsi="Verdana"/>
          <w:sz w:val="20"/>
        </w:rPr>
        <w:t>as, costumes</w:t>
      </w:r>
      <w:r>
        <w:rPr>
          <w:rFonts w:ascii="Verdana" w:hAnsi="Verdana"/>
          <w:sz w:val="20"/>
        </w:rPr>
        <w:t xml:space="preserve"> e</w:t>
      </w:r>
      <w:r w:rsidRPr="002818E7">
        <w:rPr>
          <w:rFonts w:ascii="Verdana" w:hAnsi="Verdana"/>
          <w:sz w:val="20"/>
        </w:rPr>
        <w:t xml:space="preserve"> padrões</w:t>
      </w:r>
      <w:r>
        <w:rPr>
          <w:rFonts w:ascii="Verdana" w:hAnsi="Verdana"/>
          <w:sz w:val="20"/>
        </w:rPr>
        <w:t xml:space="preserve"> de produ</w:t>
      </w:r>
      <w:r w:rsidRPr="002818E7">
        <w:rPr>
          <w:rFonts w:ascii="Verdana" w:hAnsi="Verdana"/>
          <w:sz w:val="20"/>
        </w:rPr>
        <w:t>ção</w:t>
      </w:r>
      <w:r>
        <w:rPr>
          <w:rFonts w:ascii="Verdana" w:hAnsi="Verdana"/>
          <w:sz w:val="20"/>
        </w:rPr>
        <w:t xml:space="preserve"> da</w:t>
      </w:r>
      <w:r w:rsidRPr="002818E7">
        <w:rPr>
          <w:rFonts w:ascii="Verdana" w:hAnsi="Verdana"/>
          <w:sz w:val="20"/>
        </w:rPr>
        <w:t xml:space="preserve"> Comunidade; </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b</w:t>
      </w:r>
      <w:r w:rsidR="00C60678" w:rsidRPr="00C60678">
        <w:rPr>
          <w:rFonts w:ascii="Verdana" w:hAnsi="Verdana"/>
          <w:sz w:val="20"/>
        </w:rPr>
        <w:t>)</w:t>
      </w:r>
      <w:proofErr w:type="gramEnd"/>
      <w:r w:rsidRPr="002818E7">
        <w:rPr>
          <w:rFonts w:ascii="Verdana" w:hAnsi="Verdana"/>
          <w:sz w:val="20"/>
        </w:rPr>
        <w:tab/>
      </w:r>
      <w:r>
        <w:rPr>
          <w:rFonts w:ascii="Verdana" w:hAnsi="Verdana"/>
          <w:sz w:val="20"/>
        </w:rPr>
        <w:t>é</w:t>
      </w:r>
      <w:r w:rsidRPr="002818E7">
        <w:rPr>
          <w:rFonts w:ascii="Verdana" w:hAnsi="Verdana"/>
          <w:sz w:val="20"/>
        </w:rPr>
        <w:t xml:space="preserve"> improcedente qualquer</w:t>
      </w:r>
      <w:r>
        <w:rPr>
          <w:rFonts w:ascii="Verdana" w:hAnsi="Verdana"/>
          <w:sz w:val="20"/>
        </w:rPr>
        <w:t xml:space="preserve"> reivindicação indenizatória derivada d</w:t>
      </w:r>
      <w:r w:rsidRPr="002818E7">
        <w:rPr>
          <w:rFonts w:ascii="Verdana" w:hAnsi="Verdana"/>
          <w:sz w:val="20"/>
        </w:rPr>
        <w:t xml:space="preserve">a </w:t>
      </w:r>
      <w:r>
        <w:rPr>
          <w:rFonts w:ascii="Verdana" w:hAnsi="Verdana"/>
          <w:sz w:val="20"/>
        </w:rPr>
        <w:t>a</w:t>
      </w:r>
      <w:r w:rsidRPr="002818E7">
        <w:rPr>
          <w:rFonts w:ascii="Verdana" w:hAnsi="Verdana"/>
          <w:sz w:val="20"/>
        </w:rPr>
        <w:t>tuação</w:t>
      </w:r>
      <w:r>
        <w:rPr>
          <w:rFonts w:ascii="Verdana" w:hAnsi="Verdana"/>
          <w:sz w:val="20"/>
        </w:rPr>
        <w:t xml:space="preserve"> d</w:t>
      </w:r>
      <w:r w:rsidRPr="002818E7">
        <w:rPr>
          <w:rFonts w:ascii="Verdana" w:hAnsi="Verdana"/>
          <w:sz w:val="20"/>
        </w:rPr>
        <w:t>os tr</w:t>
      </w:r>
      <w:r>
        <w:rPr>
          <w:rFonts w:ascii="Verdana" w:hAnsi="Verdana"/>
          <w:sz w:val="20"/>
        </w:rPr>
        <w:t>ibunai</w:t>
      </w:r>
      <w:r w:rsidRPr="002818E7">
        <w:rPr>
          <w:rFonts w:ascii="Verdana" w:hAnsi="Verdana"/>
          <w:sz w:val="20"/>
        </w:rPr>
        <w:t>s de justiça</w:t>
      </w:r>
      <w:r>
        <w:rPr>
          <w:rFonts w:ascii="Verdana" w:hAnsi="Verdana"/>
          <w:sz w:val="20"/>
        </w:rPr>
        <w:t xml:space="preserve">, em razão de que </w:t>
      </w:r>
      <w:r w:rsidRPr="002818E7">
        <w:rPr>
          <w:rFonts w:ascii="Verdana" w:hAnsi="Verdana"/>
          <w:sz w:val="20"/>
        </w:rPr>
        <w:t>a Comunidade:</w:t>
      </w:r>
    </w:p>
    <w:p w:rsidR="00C336FB" w:rsidRPr="002818E7" w:rsidRDefault="00C336FB" w:rsidP="00C336FB">
      <w:pPr>
        <w:jc w:val="both"/>
        <w:rPr>
          <w:rFonts w:ascii="Verdana" w:hAnsi="Verdana"/>
          <w:sz w:val="20"/>
        </w:rPr>
      </w:pPr>
    </w:p>
    <w:p w:rsidR="00C336FB" w:rsidRPr="002818E7" w:rsidRDefault="00C336FB" w:rsidP="00C336FB">
      <w:pPr>
        <w:ind w:left="1440"/>
        <w:jc w:val="both"/>
        <w:rPr>
          <w:rFonts w:ascii="Verdana" w:hAnsi="Verdana"/>
          <w:sz w:val="20"/>
        </w:rPr>
      </w:pPr>
      <w:proofErr w:type="gramStart"/>
      <w:r w:rsidRPr="002818E7">
        <w:rPr>
          <w:rFonts w:ascii="Verdana" w:hAnsi="Verdana"/>
          <w:sz w:val="20"/>
        </w:rPr>
        <w:t>i</w:t>
      </w:r>
      <w:r w:rsidR="00C60678" w:rsidRPr="00C60678">
        <w:rPr>
          <w:rFonts w:ascii="Verdana" w:hAnsi="Verdana"/>
          <w:sz w:val="20"/>
        </w:rPr>
        <w:t>)</w:t>
      </w:r>
      <w:proofErr w:type="gramEnd"/>
      <w:r w:rsidRPr="002818E7">
        <w:rPr>
          <w:rFonts w:ascii="Verdana" w:hAnsi="Verdana"/>
          <w:sz w:val="20"/>
        </w:rPr>
        <w:tab/>
        <w:t>n</w:t>
      </w:r>
      <w:r>
        <w:rPr>
          <w:rFonts w:ascii="Verdana" w:hAnsi="Verdana"/>
          <w:sz w:val="20"/>
        </w:rPr>
        <w:t>ã</w:t>
      </w:r>
      <w:r w:rsidRPr="002818E7">
        <w:rPr>
          <w:rFonts w:ascii="Verdana" w:hAnsi="Verdana"/>
          <w:sz w:val="20"/>
        </w:rPr>
        <w:t>o solicitou</w:t>
      </w:r>
      <w:r>
        <w:rPr>
          <w:rFonts w:ascii="Verdana" w:hAnsi="Verdana"/>
          <w:sz w:val="20"/>
        </w:rPr>
        <w:t xml:space="preserve"> judicialmente </w:t>
      </w:r>
      <w:r w:rsidRPr="002818E7">
        <w:rPr>
          <w:rFonts w:ascii="Verdana" w:hAnsi="Verdana"/>
          <w:sz w:val="20"/>
        </w:rPr>
        <w:t>a titulação de su</w:t>
      </w:r>
      <w:r>
        <w:rPr>
          <w:rFonts w:ascii="Verdana" w:hAnsi="Verdana"/>
          <w:sz w:val="20"/>
        </w:rPr>
        <w:t>as supo</w:t>
      </w:r>
      <w:r w:rsidRPr="002818E7">
        <w:rPr>
          <w:rFonts w:ascii="Verdana" w:hAnsi="Verdana"/>
          <w:sz w:val="20"/>
        </w:rPr>
        <w:t xml:space="preserve">stas terras </w:t>
      </w:r>
      <w:r>
        <w:rPr>
          <w:rFonts w:ascii="Verdana" w:hAnsi="Verdana"/>
          <w:sz w:val="20"/>
        </w:rPr>
        <w:t>ancestrai</w:t>
      </w:r>
      <w:r w:rsidRPr="002818E7">
        <w:rPr>
          <w:rFonts w:ascii="Verdana" w:hAnsi="Verdana"/>
          <w:sz w:val="20"/>
        </w:rPr>
        <w:t>s;</w:t>
      </w:r>
    </w:p>
    <w:p w:rsidR="00C336FB" w:rsidRDefault="00C336FB" w:rsidP="00C336FB">
      <w:pPr>
        <w:jc w:val="both"/>
        <w:rPr>
          <w:rFonts w:ascii="Verdana" w:hAnsi="Verdana"/>
          <w:sz w:val="20"/>
        </w:rPr>
      </w:pPr>
    </w:p>
    <w:p w:rsidR="00C336FB" w:rsidRDefault="00C336FB" w:rsidP="00C336FB">
      <w:pPr>
        <w:ind w:left="720" w:firstLine="720"/>
        <w:jc w:val="both"/>
        <w:rPr>
          <w:rFonts w:ascii="Verdana" w:hAnsi="Verdana"/>
          <w:sz w:val="20"/>
        </w:rPr>
      </w:pPr>
      <w:proofErr w:type="gramStart"/>
      <w:r w:rsidRPr="002818E7">
        <w:rPr>
          <w:rFonts w:ascii="Verdana" w:hAnsi="Verdana"/>
          <w:sz w:val="20"/>
        </w:rPr>
        <w:t>ii</w:t>
      </w:r>
      <w:r w:rsidR="00C60678" w:rsidRPr="00C60678">
        <w:rPr>
          <w:rFonts w:ascii="Verdana" w:hAnsi="Verdana"/>
          <w:sz w:val="20"/>
        </w:rPr>
        <w:t>)</w:t>
      </w:r>
      <w:proofErr w:type="gramEnd"/>
      <w:r w:rsidRPr="002818E7">
        <w:rPr>
          <w:rFonts w:ascii="Verdana" w:hAnsi="Verdana"/>
          <w:sz w:val="20"/>
        </w:rPr>
        <w:tab/>
        <w:t>n</w:t>
      </w:r>
      <w:r>
        <w:rPr>
          <w:rFonts w:ascii="Verdana" w:hAnsi="Verdana"/>
          <w:sz w:val="20"/>
        </w:rPr>
        <w:t>ão esgotou os recursos da jurisdi</w:t>
      </w:r>
      <w:r w:rsidRPr="002818E7">
        <w:rPr>
          <w:rFonts w:ascii="Verdana" w:hAnsi="Verdana"/>
          <w:sz w:val="20"/>
        </w:rPr>
        <w:t>ção interna;</w:t>
      </w:r>
    </w:p>
    <w:p w:rsidR="00C336FB" w:rsidRPr="002818E7" w:rsidRDefault="00C336FB" w:rsidP="00C336FB">
      <w:pPr>
        <w:ind w:left="720" w:firstLine="720"/>
        <w:jc w:val="both"/>
        <w:rPr>
          <w:rFonts w:ascii="Verdana" w:hAnsi="Verdana"/>
          <w:sz w:val="20"/>
        </w:rPr>
      </w:pPr>
    </w:p>
    <w:p w:rsidR="00C336FB" w:rsidRPr="002818E7" w:rsidRDefault="00C336FB" w:rsidP="00C336FB">
      <w:pPr>
        <w:ind w:left="1440"/>
        <w:jc w:val="both"/>
        <w:rPr>
          <w:rFonts w:ascii="Verdana" w:hAnsi="Verdana"/>
          <w:sz w:val="20"/>
        </w:rPr>
      </w:pPr>
      <w:proofErr w:type="gramStart"/>
      <w:r w:rsidRPr="002818E7">
        <w:rPr>
          <w:rFonts w:ascii="Verdana" w:hAnsi="Verdana"/>
          <w:sz w:val="20"/>
        </w:rPr>
        <w:t>iii</w:t>
      </w:r>
      <w:r w:rsidR="00C60678" w:rsidRPr="00C60678">
        <w:rPr>
          <w:rFonts w:ascii="Verdana" w:hAnsi="Verdana"/>
          <w:sz w:val="20"/>
        </w:rPr>
        <w:t>)</w:t>
      </w:r>
      <w:proofErr w:type="gramEnd"/>
      <w:r w:rsidRPr="002818E7">
        <w:rPr>
          <w:rFonts w:ascii="Verdana" w:hAnsi="Verdana"/>
          <w:sz w:val="20"/>
        </w:rPr>
        <w:tab/>
        <w:t>n</w:t>
      </w:r>
      <w:r>
        <w:rPr>
          <w:rFonts w:ascii="Verdana" w:hAnsi="Verdana"/>
          <w:sz w:val="20"/>
        </w:rPr>
        <w:t>ão observou uma conduta diligente em</w:t>
      </w:r>
      <w:r w:rsidRPr="002818E7">
        <w:rPr>
          <w:rFonts w:ascii="Verdana" w:hAnsi="Verdana"/>
          <w:sz w:val="20"/>
        </w:rPr>
        <w:t xml:space="preserve"> su</w:t>
      </w:r>
      <w:r>
        <w:rPr>
          <w:rFonts w:ascii="Verdana" w:hAnsi="Verdana"/>
          <w:sz w:val="20"/>
        </w:rPr>
        <w:t>as a</w:t>
      </w:r>
      <w:r w:rsidRPr="002818E7">
        <w:rPr>
          <w:rFonts w:ascii="Verdana" w:hAnsi="Verdana"/>
          <w:sz w:val="20"/>
        </w:rPr>
        <w:t>tuações proces</w:t>
      </w:r>
      <w:r>
        <w:rPr>
          <w:rFonts w:ascii="Verdana" w:hAnsi="Verdana"/>
          <w:sz w:val="20"/>
        </w:rPr>
        <w:t>suais; e</w:t>
      </w:r>
    </w:p>
    <w:p w:rsidR="00C336FB" w:rsidRDefault="00C336FB" w:rsidP="00C336FB">
      <w:pPr>
        <w:jc w:val="both"/>
        <w:rPr>
          <w:rFonts w:ascii="Verdana" w:hAnsi="Verdana"/>
          <w:sz w:val="20"/>
        </w:rPr>
      </w:pPr>
    </w:p>
    <w:p w:rsidR="00C336FB" w:rsidRPr="002818E7" w:rsidRDefault="00C336FB" w:rsidP="00C336FB">
      <w:pPr>
        <w:ind w:left="1440"/>
        <w:jc w:val="both"/>
        <w:rPr>
          <w:rFonts w:ascii="Verdana" w:hAnsi="Verdana"/>
          <w:sz w:val="20"/>
        </w:rPr>
      </w:pPr>
      <w:proofErr w:type="gramStart"/>
      <w:r w:rsidRPr="002818E7">
        <w:rPr>
          <w:rFonts w:ascii="Verdana" w:hAnsi="Verdana"/>
          <w:sz w:val="20"/>
        </w:rPr>
        <w:t>iv</w:t>
      </w:r>
      <w:r w:rsidR="00C60678" w:rsidRPr="00C60678">
        <w:rPr>
          <w:rFonts w:ascii="Verdana" w:hAnsi="Verdana"/>
          <w:sz w:val="20"/>
        </w:rPr>
        <w:t>)</w:t>
      </w:r>
      <w:proofErr w:type="gramEnd"/>
      <w:r>
        <w:rPr>
          <w:rFonts w:ascii="Verdana" w:hAnsi="Verdana"/>
          <w:sz w:val="20"/>
        </w:rPr>
        <w:tab/>
        <w:t xml:space="preserve">obteve </w:t>
      </w:r>
      <w:r w:rsidRPr="002818E7">
        <w:rPr>
          <w:rFonts w:ascii="Verdana" w:hAnsi="Verdana"/>
          <w:sz w:val="20"/>
        </w:rPr>
        <w:t>a nulidad</w:t>
      </w:r>
      <w:r>
        <w:rPr>
          <w:rFonts w:ascii="Verdana" w:hAnsi="Verdana"/>
          <w:sz w:val="20"/>
        </w:rPr>
        <w:t>e d</w:t>
      </w:r>
      <w:r w:rsidRPr="002818E7">
        <w:rPr>
          <w:rFonts w:ascii="Verdana" w:hAnsi="Verdana"/>
          <w:sz w:val="20"/>
        </w:rPr>
        <w:t>a concessão florestal</w:t>
      </w:r>
      <w:r>
        <w:rPr>
          <w:rFonts w:ascii="Verdana" w:hAnsi="Verdana"/>
          <w:sz w:val="20"/>
        </w:rPr>
        <w:t>, “a única reparação judicial solicitada</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Pr>
          <w:rFonts w:ascii="Verdana" w:hAnsi="Verdana"/>
          <w:sz w:val="20"/>
        </w:rPr>
        <w:t>c</w:t>
      </w:r>
      <w:r w:rsidR="00C60678" w:rsidRPr="00C60678">
        <w:rPr>
          <w:rFonts w:ascii="Verdana" w:hAnsi="Verdana"/>
          <w:sz w:val="20"/>
        </w:rPr>
        <w:t>)</w:t>
      </w:r>
      <w:proofErr w:type="gramEnd"/>
      <w:r>
        <w:rPr>
          <w:rFonts w:ascii="Verdana" w:hAnsi="Verdana"/>
          <w:sz w:val="20"/>
        </w:rPr>
        <w:tab/>
      </w:r>
      <w:r w:rsidRPr="002818E7">
        <w:rPr>
          <w:rFonts w:ascii="Verdana" w:hAnsi="Verdana"/>
          <w:sz w:val="20"/>
        </w:rPr>
        <w:t>a alegada d</w:t>
      </w:r>
      <w:r>
        <w:rPr>
          <w:rFonts w:ascii="Verdana" w:hAnsi="Verdana"/>
          <w:sz w:val="20"/>
        </w:rPr>
        <w:t>emora judicial que se imputa aos tribunai</w:t>
      </w:r>
      <w:r w:rsidRPr="002818E7">
        <w:rPr>
          <w:rFonts w:ascii="Verdana" w:hAnsi="Verdana"/>
          <w:sz w:val="20"/>
        </w:rPr>
        <w:t>s nacionais n</w:t>
      </w:r>
      <w:r>
        <w:rPr>
          <w:rFonts w:ascii="Verdana" w:hAnsi="Verdana"/>
          <w:sz w:val="20"/>
        </w:rPr>
        <w:t>ã</w:t>
      </w:r>
      <w:r w:rsidRPr="002818E7">
        <w:rPr>
          <w:rFonts w:ascii="Verdana" w:hAnsi="Verdana"/>
          <w:sz w:val="20"/>
        </w:rPr>
        <w:t xml:space="preserve">o </w:t>
      </w:r>
      <w:r>
        <w:rPr>
          <w:rFonts w:ascii="Verdana" w:hAnsi="Verdana"/>
          <w:sz w:val="20"/>
        </w:rPr>
        <w:t>se traduziu em</w:t>
      </w:r>
      <w:r w:rsidRPr="002818E7">
        <w:rPr>
          <w:rFonts w:ascii="Verdana" w:hAnsi="Verdana"/>
          <w:sz w:val="20"/>
        </w:rPr>
        <w:t xml:space="preserve"> nenhum tipo de </w:t>
      </w:r>
      <w:r>
        <w:rPr>
          <w:rFonts w:ascii="Verdana" w:hAnsi="Verdana"/>
          <w:sz w:val="20"/>
        </w:rPr>
        <w:t>dano</w:t>
      </w:r>
      <w:r w:rsidRPr="002818E7">
        <w:rPr>
          <w:rFonts w:ascii="Verdana" w:hAnsi="Verdana"/>
          <w:sz w:val="20"/>
        </w:rPr>
        <w:t xml:space="preserve"> moral o</w:t>
      </w:r>
      <w:r>
        <w:rPr>
          <w:rFonts w:ascii="Verdana" w:hAnsi="Verdana"/>
          <w:sz w:val="20"/>
        </w:rPr>
        <w:t>u</w:t>
      </w:r>
      <w:r w:rsidRPr="002818E7">
        <w:rPr>
          <w:rFonts w:ascii="Verdana" w:hAnsi="Verdana"/>
          <w:sz w:val="20"/>
        </w:rPr>
        <w:t xml:space="preserve"> patrimonial </w:t>
      </w:r>
      <w:r>
        <w:rPr>
          <w:rFonts w:ascii="Verdana" w:hAnsi="Verdana"/>
          <w:sz w:val="20"/>
        </w:rPr>
        <w:t>em detrimento d</w:t>
      </w:r>
      <w:r w:rsidRPr="002818E7">
        <w:rPr>
          <w:rFonts w:ascii="Verdana" w:hAnsi="Verdana"/>
          <w:sz w:val="20"/>
        </w:rPr>
        <w:t>a Comunidade</w:t>
      </w:r>
      <w:r>
        <w:rPr>
          <w:rFonts w:ascii="Verdana" w:hAnsi="Verdana"/>
          <w:sz w:val="20"/>
        </w:rPr>
        <w:t>, em</w:t>
      </w:r>
      <w:r w:rsidRPr="002818E7">
        <w:rPr>
          <w:rFonts w:ascii="Verdana" w:hAnsi="Verdana"/>
          <w:sz w:val="20"/>
        </w:rPr>
        <w:t xml:space="preserve"> virtude de que: </w:t>
      </w:r>
    </w:p>
    <w:p w:rsidR="00C336FB" w:rsidRPr="002818E7" w:rsidRDefault="00C336FB" w:rsidP="00C336FB">
      <w:pPr>
        <w:jc w:val="both"/>
        <w:rPr>
          <w:rFonts w:ascii="Verdana" w:hAnsi="Verdana"/>
          <w:sz w:val="20"/>
        </w:rPr>
      </w:pPr>
    </w:p>
    <w:p w:rsidR="00C336FB" w:rsidRPr="002818E7" w:rsidRDefault="00C336FB" w:rsidP="00C336FB">
      <w:pPr>
        <w:ind w:left="720" w:firstLine="720"/>
        <w:jc w:val="both"/>
        <w:rPr>
          <w:rFonts w:ascii="Verdana" w:hAnsi="Verdana"/>
          <w:sz w:val="20"/>
        </w:rPr>
      </w:pPr>
      <w:proofErr w:type="gramStart"/>
      <w:r>
        <w:rPr>
          <w:rFonts w:ascii="Verdana" w:hAnsi="Verdana"/>
          <w:sz w:val="20"/>
        </w:rPr>
        <w:t>i</w:t>
      </w:r>
      <w:r w:rsidR="00C60678" w:rsidRPr="00C60678">
        <w:rPr>
          <w:rFonts w:ascii="Verdana" w:hAnsi="Verdana"/>
          <w:sz w:val="20"/>
        </w:rPr>
        <w:t>)</w:t>
      </w:r>
      <w:proofErr w:type="gramEnd"/>
      <w:r>
        <w:rPr>
          <w:rFonts w:ascii="Verdana" w:hAnsi="Verdana"/>
          <w:sz w:val="20"/>
        </w:rPr>
        <w:tab/>
        <w:t>não foi</w:t>
      </w:r>
      <w:r w:rsidRPr="002818E7">
        <w:rPr>
          <w:rFonts w:ascii="Verdana" w:hAnsi="Verdana"/>
          <w:sz w:val="20"/>
        </w:rPr>
        <w:t xml:space="preserve"> </w:t>
      </w:r>
      <w:r>
        <w:rPr>
          <w:rFonts w:ascii="Verdana" w:hAnsi="Verdana"/>
          <w:sz w:val="20"/>
        </w:rPr>
        <w:t>deslocada nem sofreu</w:t>
      </w:r>
      <w:r w:rsidRPr="002818E7">
        <w:rPr>
          <w:rFonts w:ascii="Verdana" w:hAnsi="Verdana"/>
          <w:sz w:val="20"/>
        </w:rPr>
        <w:t xml:space="preserve"> invasão das áreas ocupadas;</w:t>
      </w:r>
    </w:p>
    <w:p w:rsidR="00C336FB" w:rsidRDefault="00C336FB" w:rsidP="00C336FB">
      <w:pPr>
        <w:jc w:val="both"/>
        <w:rPr>
          <w:rFonts w:ascii="Verdana" w:hAnsi="Verdana"/>
          <w:sz w:val="20"/>
        </w:rPr>
      </w:pPr>
    </w:p>
    <w:p w:rsidR="00C336FB" w:rsidRDefault="00C336FB" w:rsidP="006047D8">
      <w:pPr>
        <w:ind w:left="1440"/>
        <w:jc w:val="both"/>
        <w:rPr>
          <w:rFonts w:ascii="Verdana" w:hAnsi="Verdana"/>
          <w:sz w:val="20"/>
        </w:rPr>
      </w:pPr>
      <w:proofErr w:type="gramStart"/>
      <w:r w:rsidRPr="006047D8">
        <w:rPr>
          <w:rFonts w:ascii="Verdana" w:hAnsi="Verdana"/>
          <w:sz w:val="20"/>
        </w:rPr>
        <w:t>ii</w:t>
      </w:r>
      <w:r w:rsidR="00C60678" w:rsidRPr="00C60678">
        <w:rPr>
          <w:rFonts w:ascii="Verdana" w:hAnsi="Verdana"/>
          <w:sz w:val="20"/>
        </w:rPr>
        <w:t>)</w:t>
      </w:r>
      <w:proofErr w:type="gramEnd"/>
      <w:r w:rsidRPr="006047D8">
        <w:rPr>
          <w:rFonts w:ascii="Verdana" w:hAnsi="Verdana"/>
          <w:sz w:val="20"/>
        </w:rPr>
        <w:tab/>
        <w:t>tem se mantido dentro da área que reclama como ancestral, “caçando, pescando, cultivando e visitando seus lugares sagrados”;</w:t>
      </w:r>
    </w:p>
    <w:p w:rsidR="004B65E5" w:rsidRDefault="004B65E5" w:rsidP="00C336FB">
      <w:pPr>
        <w:ind w:left="1440"/>
        <w:jc w:val="both"/>
        <w:rPr>
          <w:rFonts w:ascii="Verdana" w:hAnsi="Verdana"/>
          <w:sz w:val="20"/>
        </w:rPr>
      </w:pPr>
    </w:p>
    <w:p w:rsidR="00C336FB" w:rsidRPr="002818E7" w:rsidRDefault="00C336FB" w:rsidP="00C336FB">
      <w:pPr>
        <w:ind w:left="1440"/>
        <w:jc w:val="both"/>
        <w:rPr>
          <w:rFonts w:ascii="Verdana" w:hAnsi="Verdana"/>
          <w:sz w:val="20"/>
        </w:rPr>
      </w:pPr>
      <w:proofErr w:type="gramStart"/>
      <w:r w:rsidRPr="002818E7">
        <w:rPr>
          <w:rFonts w:ascii="Verdana" w:hAnsi="Verdana"/>
          <w:sz w:val="20"/>
        </w:rPr>
        <w:t>iii</w:t>
      </w:r>
      <w:r w:rsidR="00C60678" w:rsidRPr="00C60678">
        <w:rPr>
          <w:rFonts w:ascii="Verdana" w:hAnsi="Verdana"/>
          <w:sz w:val="20"/>
        </w:rPr>
        <w:t>)</w:t>
      </w:r>
      <w:proofErr w:type="gramEnd"/>
      <w:r w:rsidRPr="002818E7">
        <w:rPr>
          <w:rFonts w:ascii="Verdana" w:hAnsi="Verdana"/>
          <w:sz w:val="20"/>
        </w:rPr>
        <w:tab/>
        <w:t>n</w:t>
      </w:r>
      <w:r>
        <w:rPr>
          <w:rFonts w:ascii="Verdana" w:hAnsi="Verdana"/>
          <w:sz w:val="20"/>
        </w:rPr>
        <w:t>ão foi alterado</w:t>
      </w:r>
      <w:r w:rsidRPr="002818E7">
        <w:rPr>
          <w:rFonts w:ascii="Verdana" w:hAnsi="Verdana"/>
          <w:sz w:val="20"/>
        </w:rPr>
        <w:t xml:space="preserve"> s</w:t>
      </w:r>
      <w:r>
        <w:rPr>
          <w:rFonts w:ascii="Verdana" w:hAnsi="Verdana"/>
          <w:sz w:val="20"/>
        </w:rPr>
        <w:t xml:space="preserve">eu sistema ancestral de vida </w:t>
      </w:r>
      <w:r w:rsidR="00C60678" w:rsidRPr="00C60678">
        <w:rPr>
          <w:rFonts w:ascii="Verdana" w:hAnsi="Verdana"/>
          <w:sz w:val="20"/>
        </w:rPr>
        <w:t>(</w:t>
      </w:r>
      <w:r>
        <w:rPr>
          <w:rFonts w:ascii="Verdana" w:hAnsi="Verdana"/>
          <w:sz w:val="20"/>
        </w:rPr>
        <w:t>co</w:t>
      </w:r>
      <w:r w:rsidRPr="002818E7">
        <w:rPr>
          <w:rFonts w:ascii="Verdana" w:hAnsi="Verdana"/>
          <w:sz w:val="20"/>
        </w:rPr>
        <w:t xml:space="preserve">esão social, </w:t>
      </w:r>
      <w:r>
        <w:rPr>
          <w:rFonts w:ascii="Verdana" w:hAnsi="Verdana"/>
          <w:sz w:val="20"/>
        </w:rPr>
        <w:t>valores, crenç</w:t>
      </w:r>
      <w:r w:rsidRPr="002818E7">
        <w:rPr>
          <w:rFonts w:ascii="Verdana" w:hAnsi="Verdana"/>
          <w:sz w:val="20"/>
        </w:rPr>
        <w:t xml:space="preserve">as, costumes, </w:t>
      </w:r>
      <w:r>
        <w:rPr>
          <w:rFonts w:ascii="Verdana" w:hAnsi="Verdana"/>
          <w:sz w:val="20"/>
        </w:rPr>
        <w:t>padrões de saúde e</w:t>
      </w:r>
      <w:r w:rsidRPr="002818E7">
        <w:rPr>
          <w:rFonts w:ascii="Verdana" w:hAnsi="Verdana"/>
          <w:sz w:val="20"/>
        </w:rPr>
        <w:t xml:space="preserve"> padrões</w:t>
      </w:r>
      <w:r>
        <w:rPr>
          <w:rFonts w:ascii="Verdana" w:hAnsi="Verdana"/>
          <w:sz w:val="20"/>
        </w:rPr>
        <w:t xml:space="preserve"> produtivos</w:t>
      </w:r>
      <w:r w:rsidR="00C60678" w:rsidRPr="00C60678">
        <w:rPr>
          <w:rFonts w:ascii="Verdana" w:hAnsi="Verdana"/>
          <w:sz w:val="20"/>
        </w:rPr>
        <w:t>)</w:t>
      </w:r>
      <w:r>
        <w:rPr>
          <w:rFonts w:ascii="Verdana" w:hAnsi="Verdana"/>
          <w:sz w:val="20"/>
        </w:rPr>
        <w:t>; e</w:t>
      </w:r>
    </w:p>
    <w:p w:rsidR="00C336FB" w:rsidRDefault="00C336FB" w:rsidP="00C336FB">
      <w:pPr>
        <w:jc w:val="both"/>
        <w:rPr>
          <w:rFonts w:ascii="Verdana" w:hAnsi="Verdana"/>
          <w:sz w:val="20"/>
        </w:rPr>
      </w:pPr>
    </w:p>
    <w:p w:rsidR="00C336FB" w:rsidRPr="002818E7" w:rsidRDefault="00C336FB" w:rsidP="00C336FB">
      <w:pPr>
        <w:ind w:left="720" w:firstLine="720"/>
        <w:jc w:val="both"/>
        <w:rPr>
          <w:rFonts w:ascii="Verdana" w:hAnsi="Verdana"/>
          <w:sz w:val="20"/>
        </w:rPr>
      </w:pPr>
      <w:proofErr w:type="gramStart"/>
      <w:r w:rsidRPr="002818E7">
        <w:rPr>
          <w:rFonts w:ascii="Verdana" w:hAnsi="Verdana"/>
          <w:sz w:val="20"/>
        </w:rPr>
        <w:t>iv</w:t>
      </w:r>
      <w:r w:rsidR="00C60678" w:rsidRPr="00C60678">
        <w:rPr>
          <w:rFonts w:ascii="Verdana" w:hAnsi="Verdana"/>
          <w:sz w:val="20"/>
        </w:rPr>
        <w:t>)</w:t>
      </w:r>
      <w:proofErr w:type="gramEnd"/>
      <w:r w:rsidRPr="002818E7">
        <w:rPr>
          <w:rFonts w:ascii="Verdana" w:hAnsi="Verdana"/>
          <w:sz w:val="20"/>
        </w:rPr>
        <w:tab/>
        <w:t>n</w:t>
      </w:r>
      <w:r>
        <w:rPr>
          <w:rFonts w:ascii="Verdana" w:hAnsi="Verdana"/>
          <w:sz w:val="20"/>
        </w:rPr>
        <w:t>ão sofreu</w:t>
      </w:r>
      <w:r w:rsidRPr="002818E7">
        <w:rPr>
          <w:rFonts w:ascii="Verdana" w:hAnsi="Verdana"/>
          <w:sz w:val="20"/>
        </w:rPr>
        <w:t xml:space="preserve"> lucro ce</w:t>
      </w:r>
      <w:r>
        <w:rPr>
          <w:rFonts w:ascii="Verdana" w:hAnsi="Verdana"/>
          <w:sz w:val="20"/>
        </w:rPr>
        <w:t>ssante nem</w:t>
      </w:r>
      <w:r w:rsidRPr="002818E7">
        <w:rPr>
          <w:rFonts w:ascii="Verdana" w:hAnsi="Verdana"/>
          <w:sz w:val="20"/>
        </w:rPr>
        <w:t xml:space="preserve"> </w:t>
      </w:r>
      <w:r>
        <w:rPr>
          <w:rFonts w:ascii="Verdana" w:hAnsi="Verdana"/>
          <w:sz w:val="20"/>
        </w:rPr>
        <w:t>dano</w:t>
      </w:r>
      <w:r w:rsidRPr="002818E7">
        <w:rPr>
          <w:rFonts w:ascii="Verdana" w:hAnsi="Verdana"/>
          <w:sz w:val="20"/>
        </w:rPr>
        <w:t xml:space="preserve"> emergente;</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d</w:t>
      </w:r>
      <w:r w:rsidR="00C60678" w:rsidRPr="00C60678">
        <w:rPr>
          <w:rFonts w:ascii="Verdana" w:hAnsi="Verdana"/>
          <w:sz w:val="20"/>
        </w:rPr>
        <w:t>)</w:t>
      </w:r>
      <w:proofErr w:type="gramEnd"/>
      <w:r w:rsidRPr="002818E7">
        <w:rPr>
          <w:rFonts w:ascii="Verdana" w:hAnsi="Verdana"/>
          <w:sz w:val="20"/>
        </w:rPr>
        <w:tab/>
      </w:r>
      <w:r>
        <w:rPr>
          <w:rFonts w:ascii="Verdana" w:hAnsi="Verdana"/>
          <w:sz w:val="20"/>
        </w:rPr>
        <w:t>o Estado demostrou</w:t>
      </w:r>
      <w:r w:rsidRPr="002818E7">
        <w:rPr>
          <w:rFonts w:ascii="Verdana" w:hAnsi="Verdana"/>
          <w:sz w:val="20"/>
        </w:rPr>
        <w:t xml:space="preserve"> que </w:t>
      </w:r>
      <w:r>
        <w:rPr>
          <w:rFonts w:ascii="Verdana" w:hAnsi="Verdana"/>
          <w:sz w:val="20"/>
        </w:rPr>
        <w:t>tem</w:t>
      </w:r>
      <w:r w:rsidRPr="002818E7">
        <w:rPr>
          <w:rFonts w:ascii="Verdana" w:hAnsi="Verdana"/>
          <w:sz w:val="20"/>
        </w:rPr>
        <w:t xml:space="preserve"> realizado avanço</w:t>
      </w:r>
      <w:r>
        <w:rPr>
          <w:rFonts w:ascii="Verdana" w:hAnsi="Verdana"/>
          <w:sz w:val="20"/>
        </w:rPr>
        <w:t>s consideráveis a</w:t>
      </w:r>
      <w:r w:rsidRPr="002818E7">
        <w:rPr>
          <w:rFonts w:ascii="Verdana" w:hAnsi="Verdana"/>
          <w:sz w:val="20"/>
        </w:rPr>
        <w:t xml:space="preserve"> respeito</w:t>
      </w:r>
      <w:r>
        <w:rPr>
          <w:rFonts w:ascii="Verdana" w:hAnsi="Verdana"/>
          <w:sz w:val="20"/>
        </w:rPr>
        <w:t xml:space="preserve"> d</w:t>
      </w:r>
      <w:r w:rsidRPr="002818E7">
        <w:rPr>
          <w:rFonts w:ascii="Verdana" w:hAnsi="Verdana"/>
          <w:sz w:val="20"/>
        </w:rPr>
        <w:t>a titulação das comunidades</w:t>
      </w:r>
      <w:r>
        <w:rPr>
          <w:rFonts w:ascii="Verdana" w:hAnsi="Verdana"/>
          <w:sz w:val="20"/>
        </w:rPr>
        <w:t xml:space="preserve"> indígenas d</w:t>
      </w:r>
      <w:r w:rsidRPr="002818E7">
        <w:rPr>
          <w:rFonts w:ascii="Verdana" w:hAnsi="Verdana"/>
          <w:sz w:val="20"/>
        </w:rPr>
        <w:t>a Costa Atlântica</w:t>
      </w:r>
      <w:r>
        <w:rPr>
          <w:rFonts w:ascii="Verdana" w:hAnsi="Verdana"/>
          <w:sz w:val="20"/>
        </w:rPr>
        <w:t>, tai</w:t>
      </w:r>
      <w:r w:rsidRPr="002818E7">
        <w:rPr>
          <w:rFonts w:ascii="Verdana" w:hAnsi="Verdana"/>
          <w:sz w:val="20"/>
        </w:rPr>
        <w:t xml:space="preserve">s como: </w:t>
      </w:r>
    </w:p>
    <w:p w:rsidR="00C336FB" w:rsidRPr="002818E7" w:rsidRDefault="00C336FB" w:rsidP="00C336FB">
      <w:pPr>
        <w:jc w:val="both"/>
        <w:rPr>
          <w:rFonts w:ascii="Verdana" w:hAnsi="Verdana"/>
          <w:sz w:val="20"/>
        </w:rPr>
      </w:pPr>
    </w:p>
    <w:p w:rsidR="00C336FB" w:rsidRPr="002818E7" w:rsidRDefault="00C336FB" w:rsidP="00C336FB">
      <w:pPr>
        <w:ind w:left="1440"/>
        <w:jc w:val="both"/>
        <w:rPr>
          <w:rFonts w:ascii="Verdana" w:hAnsi="Verdana"/>
          <w:sz w:val="20"/>
        </w:rPr>
      </w:pPr>
      <w:proofErr w:type="gramStart"/>
      <w:r w:rsidRPr="002818E7">
        <w:rPr>
          <w:rFonts w:ascii="Verdana" w:hAnsi="Verdana"/>
          <w:sz w:val="20"/>
        </w:rPr>
        <w:t>i</w:t>
      </w:r>
      <w:r w:rsidR="00C60678" w:rsidRPr="00C60678">
        <w:rPr>
          <w:rFonts w:ascii="Verdana" w:hAnsi="Verdana"/>
          <w:sz w:val="20"/>
        </w:rPr>
        <w:t>)</w:t>
      </w:r>
      <w:proofErr w:type="gramEnd"/>
      <w:r w:rsidRPr="002818E7">
        <w:rPr>
          <w:rFonts w:ascii="Verdana" w:hAnsi="Verdana"/>
          <w:sz w:val="20"/>
        </w:rPr>
        <w:tab/>
        <w:t>contratação</w:t>
      </w:r>
      <w:r>
        <w:rPr>
          <w:rFonts w:ascii="Verdana" w:hAnsi="Verdana"/>
          <w:sz w:val="20"/>
        </w:rPr>
        <w:t xml:space="preserve"> de um</w:t>
      </w:r>
      <w:r w:rsidRPr="002818E7">
        <w:rPr>
          <w:rFonts w:ascii="Verdana" w:hAnsi="Verdana"/>
          <w:sz w:val="20"/>
        </w:rPr>
        <w:t xml:space="preserve"> estudo</w:t>
      </w:r>
      <w:r>
        <w:rPr>
          <w:rFonts w:ascii="Verdana" w:hAnsi="Verdana"/>
          <w:sz w:val="20"/>
        </w:rPr>
        <w:t xml:space="preserve"> para diagnosticar </w:t>
      </w:r>
      <w:r w:rsidRPr="002818E7">
        <w:rPr>
          <w:rFonts w:ascii="Verdana" w:hAnsi="Verdana"/>
          <w:sz w:val="20"/>
        </w:rPr>
        <w:t>a situação</w:t>
      </w:r>
      <w:r>
        <w:rPr>
          <w:rFonts w:ascii="Verdana" w:hAnsi="Verdana"/>
          <w:sz w:val="20"/>
        </w:rPr>
        <w:t xml:space="preserve"> d</w:t>
      </w:r>
      <w:r w:rsidRPr="002818E7">
        <w:rPr>
          <w:rFonts w:ascii="Verdana" w:hAnsi="Verdana"/>
          <w:sz w:val="20"/>
        </w:rPr>
        <w:t xml:space="preserve">a </w:t>
      </w:r>
      <w:r>
        <w:rPr>
          <w:rFonts w:ascii="Verdana" w:hAnsi="Verdana"/>
          <w:sz w:val="20"/>
        </w:rPr>
        <w:t>posse d</w:t>
      </w:r>
      <w:r w:rsidRPr="002818E7">
        <w:rPr>
          <w:rFonts w:ascii="Verdana" w:hAnsi="Verdana"/>
          <w:sz w:val="20"/>
        </w:rPr>
        <w:t>a terra</w:t>
      </w:r>
      <w:r>
        <w:rPr>
          <w:rFonts w:ascii="Verdana" w:hAnsi="Verdana"/>
          <w:sz w:val="20"/>
        </w:rPr>
        <w:t xml:space="preserve"> e das áreas reclamadas por elas; e</w:t>
      </w:r>
      <w:r w:rsidRPr="002818E7">
        <w:rPr>
          <w:rFonts w:ascii="Verdana" w:hAnsi="Verdana"/>
          <w:sz w:val="20"/>
        </w:rPr>
        <w:t xml:space="preserve"> </w:t>
      </w:r>
    </w:p>
    <w:p w:rsidR="00C336FB" w:rsidRDefault="00C336FB" w:rsidP="00C336FB">
      <w:pPr>
        <w:jc w:val="both"/>
        <w:rPr>
          <w:rFonts w:ascii="Verdana" w:hAnsi="Verdana"/>
          <w:sz w:val="20"/>
        </w:rPr>
      </w:pPr>
    </w:p>
    <w:p w:rsidR="00C336FB" w:rsidRPr="002818E7" w:rsidRDefault="00C336FB" w:rsidP="00C336FB">
      <w:pPr>
        <w:ind w:left="1440"/>
        <w:jc w:val="both"/>
        <w:rPr>
          <w:rFonts w:ascii="Verdana" w:hAnsi="Verdana"/>
          <w:sz w:val="20"/>
        </w:rPr>
      </w:pPr>
      <w:proofErr w:type="gramStart"/>
      <w:r w:rsidRPr="002818E7">
        <w:rPr>
          <w:rFonts w:ascii="Verdana" w:hAnsi="Verdana"/>
          <w:sz w:val="20"/>
        </w:rPr>
        <w:t>ii</w:t>
      </w:r>
      <w:r w:rsidR="00C60678" w:rsidRPr="00C60678">
        <w:rPr>
          <w:rFonts w:ascii="Verdana" w:hAnsi="Verdana"/>
          <w:sz w:val="20"/>
        </w:rPr>
        <w:t>)</w:t>
      </w:r>
      <w:proofErr w:type="gramEnd"/>
      <w:r w:rsidRPr="002818E7">
        <w:rPr>
          <w:rFonts w:ascii="Verdana" w:hAnsi="Verdana"/>
          <w:sz w:val="20"/>
        </w:rPr>
        <w:tab/>
        <w:t>elaboração</w:t>
      </w:r>
      <w:r>
        <w:rPr>
          <w:rFonts w:ascii="Verdana" w:hAnsi="Verdana"/>
          <w:sz w:val="20"/>
        </w:rPr>
        <w:t xml:space="preserve"> de um</w:t>
      </w:r>
      <w:r w:rsidRPr="002818E7">
        <w:rPr>
          <w:rFonts w:ascii="Verdana" w:hAnsi="Verdana"/>
          <w:sz w:val="20"/>
        </w:rPr>
        <w:t xml:space="preserve"> anteprojeto</w:t>
      </w:r>
      <w:r>
        <w:rPr>
          <w:rFonts w:ascii="Verdana" w:hAnsi="Verdana"/>
          <w:sz w:val="20"/>
        </w:rPr>
        <w:t xml:space="preserve"> de “Lei Especial que Regula o</w:t>
      </w:r>
      <w:r w:rsidRPr="002818E7">
        <w:rPr>
          <w:rFonts w:ascii="Verdana" w:hAnsi="Verdana"/>
          <w:sz w:val="20"/>
        </w:rPr>
        <w:t xml:space="preserve"> Regime de Propriedade Comunal das Comunidades</w:t>
      </w:r>
      <w:r>
        <w:rPr>
          <w:rFonts w:ascii="Verdana" w:hAnsi="Verdana"/>
          <w:sz w:val="20"/>
        </w:rPr>
        <w:t xml:space="preserve"> Indígenas d</w:t>
      </w:r>
      <w:r w:rsidRPr="002818E7">
        <w:rPr>
          <w:rFonts w:ascii="Verdana" w:hAnsi="Verdana"/>
          <w:sz w:val="20"/>
        </w:rPr>
        <w:t>a Costa Atlântica</w:t>
      </w:r>
      <w:r>
        <w:rPr>
          <w:rFonts w:ascii="Verdana" w:hAnsi="Verdana"/>
          <w:sz w:val="20"/>
        </w:rPr>
        <w:t xml:space="preserve"> e BOSAWAS”, e</w:t>
      </w:r>
      <w:r w:rsidRPr="002818E7">
        <w:rPr>
          <w:rFonts w:ascii="Verdana" w:hAnsi="Verdana"/>
          <w:sz w:val="20"/>
        </w:rPr>
        <w:t xml:space="preserve"> </w:t>
      </w:r>
      <w:r w:rsidR="00A22100">
        <w:rPr>
          <w:rFonts w:ascii="Verdana" w:hAnsi="Verdana"/>
          <w:sz w:val="20"/>
        </w:rPr>
        <w:t xml:space="preserve">a </w:t>
      </w:r>
      <w:r w:rsidRPr="002818E7">
        <w:rPr>
          <w:rFonts w:ascii="Verdana" w:hAnsi="Verdana"/>
          <w:sz w:val="20"/>
        </w:rPr>
        <w:t>realização</w:t>
      </w:r>
      <w:r>
        <w:rPr>
          <w:rFonts w:ascii="Verdana" w:hAnsi="Verdana"/>
          <w:sz w:val="20"/>
        </w:rPr>
        <w:t xml:space="preserve"> de um ampl</w:t>
      </w:r>
      <w:r w:rsidRPr="002818E7">
        <w:rPr>
          <w:rFonts w:ascii="Verdana" w:hAnsi="Verdana"/>
          <w:sz w:val="20"/>
        </w:rPr>
        <w:t>o processo</w:t>
      </w:r>
      <w:r>
        <w:rPr>
          <w:rFonts w:ascii="Verdana" w:hAnsi="Verdana"/>
          <w:sz w:val="20"/>
        </w:rPr>
        <w:t xml:space="preserve"> de consultas com </w:t>
      </w:r>
      <w:r w:rsidRPr="002818E7">
        <w:rPr>
          <w:rFonts w:ascii="Verdana" w:hAnsi="Verdana"/>
          <w:sz w:val="20"/>
        </w:rPr>
        <w:t>as comunidades</w:t>
      </w:r>
      <w:r>
        <w:rPr>
          <w:rFonts w:ascii="Verdana" w:hAnsi="Verdana"/>
          <w:sz w:val="20"/>
        </w:rPr>
        <w:t>, com o fim de melh</w:t>
      </w:r>
      <w:r w:rsidRPr="002818E7">
        <w:rPr>
          <w:rFonts w:ascii="Verdana" w:hAnsi="Verdana"/>
          <w:sz w:val="20"/>
        </w:rPr>
        <w:t>orar su</w:t>
      </w:r>
      <w:r>
        <w:rPr>
          <w:rFonts w:ascii="Verdana" w:hAnsi="Verdana"/>
          <w:sz w:val="20"/>
        </w:rPr>
        <w:t xml:space="preserve">bstantivamente o </w:t>
      </w:r>
      <w:r w:rsidR="00C6474D">
        <w:rPr>
          <w:rFonts w:ascii="Verdana" w:hAnsi="Verdana"/>
          <w:sz w:val="20"/>
        </w:rPr>
        <w:t>marco legal</w:t>
      </w:r>
      <w:r w:rsidRPr="002818E7">
        <w:rPr>
          <w:rFonts w:ascii="Verdana" w:hAnsi="Verdana"/>
          <w:sz w:val="20"/>
        </w:rPr>
        <w:t xml:space="preserve"> e institucional </w:t>
      </w:r>
      <w:r>
        <w:rPr>
          <w:rFonts w:ascii="Verdana" w:hAnsi="Verdana"/>
          <w:sz w:val="20"/>
        </w:rPr>
        <w:t>existente; e</w:t>
      </w:r>
    </w:p>
    <w:p w:rsidR="00C336FB" w:rsidRPr="002818E7"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Pr>
          <w:rFonts w:ascii="Verdana" w:hAnsi="Verdana"/>
          <w:sz w:val="20"/>
        </w:rPr>
        <w:t>e</w:t>
      </w:r>
      <w:proofErr w:type="gramEnd"/>
      <w:r w:rsidR="00C60678" w:rsidRPr="00C60678">
        <w:rPr>
          <w:rFonts w:ascii="Verdana" w:hAnsi="Verdana"/>
          <w:sz w:val="20"/>
        </w:rPr>
        <w:t>)</w:t>
      </w:r>
      <w:r>
        <w:rPr>
          <w:rFonts w:ascii="Verdana" w:hAnsi="Verdana"/>
          <w:sz w:val="20"/>
        </w:rPr>
        <w:tab/>
        <w:t>com base n</w:t>
      </w:r>
      <w:r w:rsidRPr="002818E7">
        <w:rPr>
          <w:rFonts w:ascii="Verdana" w:hAnsi="Verdana"/>
          <w:sz w:val="20"/>
        </w:rPr>
        <w:t>as anteriores razões</w:t>
      </w:r>
      <w:r>
        <w:rPr>
          <w:rFonts w:ascii="Verdana" w:hAnsi="Verdana"/>
          <w:sz w:val="20"/>
        </w:rPr>
        <w:t xml:space="preserve"> deve ser </w:t>
      </w:r>
      <w:r w:rsidR="00E82516">
        <w:rPr>
          <w:rFonts w:ascii="Verdana" w:hAnsi="Verdana"/>
          <w:sz w:val="20"/>
        </w:rPr>
        <w:t>recusada</w:t>
      </w:r>
      <w:r w:rsidRPr="002818E7">
        <w:rPr>
          <w:rFonts w:ascii="Verdana" w:hAnsi="Verdana"/>
          <w:sz w:val="20"/>
        </w:rPr>
        <w:t xml:space="preserve"> a petição de reparação</w:t>
      </w:r>
      <w:r>
        <w:rPr>
          <w:rFonts w:ascii="Verdana" w:hAnsi="Verdana"/>
          <w:sz w:val="20"/>
        </w:rPr>
        <w:t xml:space="preserve"> formulada pe</w:t>
      </w:r>
      <w:r w:rsidRPr="002818E7">
        <w:rPr>
          <w:rFonts w:ascii="Verdana" w:hAnsi="Verdana"/>
          <w:sz w:val="20"/>
        </w:rPr>
        <w:t>la Comissão.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Pr>
          <w:rFonts w:ascii="Verdana" w:hAnsi="Verdana"/>
          <w:sz w:val="20"/>
        </w:rPr>
        <w:lastRenderedPageBreak/>
        <w:t>161.</w:t>
      </w:r>
      <w:r>
        <w:rPr>
          <w:rFonts w:ascii="Verdana" w:hAnsi="Verdana"/>
          <w:sz w:val="20"/>
        </w:rPr>
        <w:tab/>
        <w:t xml:space="preserve">Quanto </w:t>
      </w:r>
      <w:proofErr w:type="gramStart"/>
      <w:r>
        <w:rPr>
          <w:rFonts w:ascii="Verdana" w:hAnsi="Verdana"/>
          <w:sz w:val="20"/>
        </w:rPr>
        <w:t>às</w:t>
      </w:r>
      <w:r w:rsidRPr="002818E7">
        <w:rPr>
          <w:rFonts w:ascii="Verdana" w:hAnsi="Verdana"/>
          <w:sz w:val="20"/>
        </w:rPr>
        <w:t xml:space="preserve"> custa</w:t>
      </w:r>
      <w:r>
        <w:rPr>
          <w:rFonts w:ascii="Verdana" w:hAnsi="Verdana"/>
          <w:sz w:val="20"/>
        </w:rPr>
        <w:t>s</w:t>
      </w:r>
      <w:proofErr w:type="gramEnd"/>
      <w:r>
        <w:rPr>
          <w:rFonts w:ascii="Verdana" w:hAnsi="Verdana"/>
          <w:sz w:val="20"/>
        </w:rPr>
        <w:t>, em</w:t>
      </w:r>
      <w:r w:rsidRPr="002818E7">
        <w:rPr>
          <w:rFonts w:ascii="Verdana" w:hAnsi="Verdana"/>
          <w:sz w:val="20"/>
        </w:rPr>
        <w:t xml:space="preserve"> s</w:t>
      </w:r>
      <w:r>
        <w:rPr>
          <w:rFonts w:ascii="Verdana" w:hAnsi="Verdana"/>
          <w:sz w:val="20"/>
        </w:rPr>
        <w:t>e</w:t>
      </w:r>
      <w:r w:rsidRPr="002818E7">
        <w:rPr>
          <w:rFonts w:ascii="Verdana" w:hAnsi="Verdana"/>
          <w:sz w:val="20"/>
        </w:rPr>
        <w:t>u escrito de alegações finais</w:t>
      </w:r>
      <w:r>
        <w:rPr>
          <w:rFonts w:ascii="Verdana" w:hAnsi="Verdana"/>
          <w:sz w:val="20"/>
        </w:rPr>
        <w:t xml:space="preserve"> o</w:t>
      </w:r>
      <w:r w:rsidRPr="002818E7">
        <w:rPr>
          <w:rFonts w:ascii="Verdana" w:hAnsi="Verdana"/>
          <w:sz w:val="20"/>
        </w:rPr>
        <w:t xml:space="preserve"> Estado </w:t>
      </w:r>
      <w:r w:rsidR="00243DA4">
        <w:rPr>
          <w:rFonts w:ascii="Verdana" w:hAnsi="Verdana"/>
          <w:sz w:val="20"/>
        </w:rPr>
        <w:t>afirmou</w:t>
      </w:r>
      <w:r w:rsidRPr="002818E7">
        <w:rPr>
          <w:rFonts w:ascii="Verdana" w:hAnsi="Verdana"/>
          <w:sz w:val="20"/>
        </w:rPr>
        <w:t xml:space="preserve"> que n</w:t>
      </w:r>
      <w:r>
        <w:rPr>
          <w:rFonts w:ascii="Verdana" w:hAnsi="Verdana"/>
          <w:sz w:val="20"/>
        </w:rPr>
        <w:t>ão dev</w:t>
      </w:r>
      <w:r w:rsidRPr="002818E7">
        <w:rPr>
          <w:rFonts w:ascii="Verdana" w:hAnsi="Verdana"/>
          <w:sz w:val="20"/>
        </w:rPr>
        <w:t xml:space="preserve">e ser condenado por este </w:t>
      </w:r>
      <w:r w:rsidR="00D91189">
        <w:rPr>
          <w:rFonts w:ascii="Verdana" w:hAnsi="Verdana"/>
          <w:sz w:val="20"/>
        </w:rPr>
        <w:t>título</w:t>
      </w:r>
      <w:r>
        <w:rPr>
          <w:rFonts w:ascii="Verdana" w:hAnsi="Verdana"/>
          <w:sz w:val="20"/>
        </w:rPr>
        <w:t xml:space="preserve"> pe</w:t>
      </w:r>
      <w:r w:rsidRPr="002818E7">
        <w:rPr>
          <w:rFonts w:ascii="Verdana" w:hAnsi="Verdana"/>
          <w:sz w:val="20"/>
        </w:rPr>
        <w:t>las seguintes considerações, entre outras:</w:t>
      </w:r>
    </w:p>
    <w:p w:rsidR="00C336FB" w:rsidRPr="002818E7" w:rsidRDefault="00C336FB" w:rsidP="00C336FB">
      <w:pPr>
        <w:jc w:val="both"/>
        <w:rPr>
          <w:rFonts w:ascii="Verdana" w:hAnsi="Verdana"/>
          <w:sz w:val="20"/>
        </w:rPr>
      </w:pPr>
    </w:p>
    <w:p w:rsidR="00C336FB" w:rsidRDefault="00C336FB" w:rsidP="00C336FB">
      <w:pPr>
        <w:numPr>
          <w:ilvl w:val="0"/>
          <w:numId w:val="14"/>
        </w:numPr>
        <w:jc w:val="both"/>
        <w:rPr>
          <w:rFonts w:ascii="Verdana" w:hAnsi="Verdana"/>
          <w:sz w:val="20"/>
        </w:rPr>
      </w:pPr>
      <w:proofErr w:type="gramStart"/>
      <w:r>
        <w:rPr>
          <w:rFonts w:ascii="Verdana" w:hAnsi="Verdana"/>
          <w:sz w:val="20"/>
        </w:rPr>
        <w:t>a</w:t>
      </w:r>
      <w:proofErr w:type="gramEnd"/>
      <w:r>
        <w:rPr>
          <w:rFonts w:ascii="Verdana" w:hAnsi="Verdana"/>
          <w:sz w:val="20"/>
        </w:rPr>
        <w:t xml:space="preserve"> </w:t>
      </w:r>
      <w:r w:rsidRPr="002818E7">
        <w:rPr>
          <w:rFonts w:ascii="Verdana" w:hAnsi="Verdana"/>
          <w:sz w:val="20"/>
        </w:rPr>
        <w:t>Nicarágua</w:t>
      </w:r>
      <w:r>
        <w:rPr>
          <w:rFonts w:ascii="Verdana" w:hAnsi="Verdana"/>
          <w:sz w:val="20"/>
        </w:rPr>
        <w:t xml:space="preserve"> provou a </w:t>
      </w:r>
      <w:r w:rsidR="00C25E3F">
        <w:rPr>
          <w:rFonts w:ascii="Verdana" w:hAnsi="Verdana"/>
          <w:sz w:val="20"/>
        </w:rPr>
        <w:t>boa-fé</w:t>
      </w:r>
      <w:r>
        <w:rPr>
          <w:rFonts w:ascii="Verdana" w:hAnsi="Verdana"/>
          <w:sz w:val="20"/>
        </w:rPr>
        <w:t xml:space="preserve"> de suas</w:t>
      </w:r>
      <w:r w:rsidRPr="002818E7">
        <w:rPr>
          <w:rFonts w:ascii="Verdana" w:hAnsi="Verdana"/>
          <w:sz w:val="20"/>
        </w:rPr>
        <w:t xml:space="preserve"> alegações;</w:t>
      </w:r>
    </w:p>
    <w:p w:rsidR="00C336FB" w:rsidRPr="002818E7" w:rsidRDefault="00C336FB" w:rsidP="00C336FB">
      <w:pPr>
        <w:ind w:left="1440"/>
        <w:jc w:val="both"/>
        <w:rPr>
          <w:rFonts w:ascii="Verdana" w:hAnsi="Verdana"/>
          <w:sz w:val="20"/>
        </w:rPr>
      </w:pPr>
    </w:p>
    <w:p w:rsidR="00C336FB" w:rsidRPr="002818E7" w:rsidRDefault="00C336FB" w:rsidP="00C336FB">
      <w:pPr>
        <w:ind w:left="720"/>
        <w:jc w:val="both"/>
        <w:rPr>
          <w:rFonts w:ascii="Verdana" w:hAnsi="Verdana"/>
          <w:sz w:val="20"/>
        </w:rPr>
      </w:pPr>
      <w:proofErr w:type="gramStart"/>
      <w:r>
        <w:rPr>
          <w:rFonts w:ascii="Verdana" w:hAnsi="Verdana"/>
          <w:sz w:val="20"/>
        </w:rPr>
        <w:t>b</w:t>
      </w:r>
      <w:r w:rsidR="00C60678" w:rsidRPr="00C60678">
        <w:rPr>
          <w:rFonts w:ascii="Verdana" w:hAnsi="Verdana"/>
          <w:sz w:val="20"/>
        </w:rPr>
        <w:t>)</w:t>
      </w:r>
      <w:proofErr w:type="gramEnd"/>
      <w:r>
        <w:rPr>
          <w:rFonts w:ascii="Verdana" w:hAnsi="Verdana"/>
          <w:sz w:val="20"/>
        </w:rPr>
        <w:tab/>
        <w:t>o Estado demostrou a insuficiê</w:t>
      </w:r>
      <w:r w:rsidRPr="002818E7">
        <w:rPr>
          <w:rFonts w:ascii="Verdana" w:hAnsi="Verdana"/>
          <w:sz w:val="20"/>
        </w:rPr>
        <w:t xml:space="preserve">ncia das provas </w:t>
      </w:r>
      <w:r>
        <w:rPr>
          <w:rFonts w:ascii="Verdana" w:hAnsi="Verdana"/>
          <w:sz w:val="20"/>
        </w:rPr>
        <w:t>apresentadas pe</w:t>
      </w:r>
      <w:r w:rsidRPr="002818E7">
        <w:rPr>
          <w:rFonts w:ascii="Verdana" w:hAnsi="Verdana"/>
          <w:sz w:val="20"/>
        </w:rPr>
        <w:t xml:space="preserve">la Comissão </w:t>
      </w:r>
      <w:r>
        <w:rPr>
          <w:rFonts w:ascii="Verdana" w:hAnsi="Verdana"/>
          <w:sz w:val="20"/>
        </w:rPr>
        <w:t xml:space="preserve">a </w:t>
      </w:r>
      <w:r w:rsidRPr="002818E7">
        <w:rPr>
          <w:rFonts w:ascii="Verdana" w:hAnsi="Verdana"/>
          <w:sz w:val="20"/>
        </w:rPr>
        <w:t>respeito</w:t>
      </w:r>
      <w:r>
        <w:rPr>
          <w:rFonts w:ascii="Verdana" w:hAnsi="Verdana"/>
          <w:sz w:val="20"/>
        </w:rPr>
        <w:t xml:space="preserve"> d</w:t>
      </w:r>
      <w:r w:rsidRPr="002818E7">
        <w:rPr>
          <w:rFonts w:ascii="Verdana" w:hAnsi="Verdana"/>
          <w:sz w:val="20"/>
        </w:rPr>
        <w:t>a posse</w:t>
      </w:r>
      <w:r>
        <w:rPr>
          <w:rFonts w:ascii="Verdana" w:hAnsi="Verdana"/>
          <w:sz w:val="20"/>
        </w:rPr>
        <w:t xml:space="preserve"> ancestral d</w:t>
      </w:r>
      <w:r w:rsidRPr="002818E7">
        <w:rPr>
          <w:rFonts w:ascii="Verdana" w:hAnsi="Verdana"/>
          <w:sz w:val="20"/>
        </w:rPr>
        <w:t>a Comunidade</w:t>
      </w:r>
      <w:r>
        <w:rPr>
          <w:rFonts w:ascii="Verdana" w:hAnsi="Verdana"/>
          <w:sz w:val="20"/>
        </w:rPr>
        <w:t xml:space="preserve">, </w:t>
      </w:r>
      <w:r w:rsidR="00C6474D">
        <w:rPr>
          <w:rFonts w:ascii="Verdana" w:hAnsi="Verdana"/>
          <w:sz w:val="20"/>
        </w:rPr>
        <w:t>bem como</w:t>
      </w:r>
      <w:r>
        <w:rPr>
          <w:rFonts w:ascii="Verdana" w:hAnsi="Verdana"/>
          <w:sz w:val="20"/>
        </w:rPr>
        <w:t xml:space="preserve"> o</w:t>
      </w:r>
      <w:r w:rsidRPr="002818E7">
        <w:rPr>
          <w:rFonts w:ascii="Verdana" w:hAnsi="Verdana"/>
          <w:sz w:val="20"/>
        </w:rPr>
        <w:t xml:space="preserve"> caráter exces</w:t>
      </w:r>
      <w:r>
        <w:rPr>
          <w:rFonts w:ascii="Verdana" w:hAnsi="Verdana"/>
          <w:sz w:val="20"/>
        </w:rPr>
        <w:t>sivo e</w:t>
      </w:r>
      <w:r w:rsidRPr="002818E7">
        <w:rPr>
          <w:rFonts w:ascii="Verdana" w:hAnsi="Verdana"/>
          <w:sz w:val="20"/>
        </w:rPr>
        <w:t xml:space="preserve"> sobredimensionado de su</w:t>
      </w:r>
      <w:r>
        <w:rPr>
          <w:rFonts w:ascii="Verdana" w:hAnsi="Verdana"/>
          <w:sz w:val="20"/>
        </w:rPr>
        <w:t>a</w:t>
      </w:r>
      <w:r w:rsidRPr="002818E7">
        <w:rPr>
          <w:rFonts w:ascii="Verdana" w:hAnsi="Verdana"/>
          <w:sz w:val="20"/>
        </w:rPr>
        <w:t xml:space="preserve"> </w:t>
      </w:r>
      <w:r w:rsidR="00D91189">
        <w:rPr>
          <w:rFonts w:ascii="Verdana" w:hAnsi="Verdana"/>
          <w:sz w:val="20"/>
        </w:rPr>
        <w:t>reivindicação</w:t>
      </w:r>
      <w:r>
        <w:rPr>
          <w:rFonts w:ascii="Verdana" w:hAnsi="Verdana"/>
          <w:sz w:val="20"/>
        </w:rPr>
        <w:t xml:space="preserve"> em detrimento</w:t>
      </w:r>
      <w:r w:rsidRPr="002818E7">
        <w:rPr>
          <w:rFonts w:ascii="Verdana" w:hAnsi="Verdana"/>
          <w:sz w:val="20"/>
        </w:rPr>
        <w:t xml:space="preserve"> de terce</w:t>
      </w:r>
      <w:r>
        <w:rPr>
          <w:rFonts w:ascii="Verdana" w:hAnsi="Verdana"/>
          <w:sz w:val="20"/>
        </w:rPr>
        <w:t>i</w:t>
      </w:r>
      <w:r w:rsidRPr="002818E7">
        <w:rPr>
          <w:rFonts w:ascii="Verdana" w:hAnsi="Verdana"/>
          <w:sz w:val="20"/>
        </w:rPr>
        <w:t>ros;</w:t>
      </w:r>
    </w:p>
    <w:p w:rsidR="00C336FB"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Pr>
          <w:rFonts w:ascii="Verdana" w:hAnsi="Verdana"/>
          <w:sz w:val="20"/>
        </w:rPr>
        <w:t>c</w:t>
      </w:r>
      <w:r w:rsidR="00C60678" w:rsidRPr="00C60678">
        <w:rPr>
          <w:rFonts w:ascii="Verdana" w:hAnsi="Verdana"/>
          <w:sz w:val="20"/>
        </w:rPr>
        <w:t>)</w:t>
      </w:r>
      <w:proofErr w:type="gramEnd"/>
      <w:r>
        <w:rPr>
          <w:rFonts w:ascii="Verdana" w:hAnsi="Verdana"/>
          <w:sz w:val="20"/>
        </w:rPr>
        <w:tab/>
        <w:t>os cu</w:t>
      </w:r>
      <w:r w:rsidRPr="002818E7">
        <w:rPr>
          <w:rFonts w:ascii="Verdana" w:hAnsi="Verdana"/>
          <w:sz w:val="20"/>
        </w:rPr>
        <w:t xml:space="preserve">stos </w:t>
      </w:r>
      <w:r>
        <w:rPr>
          <w:rFonts w:ascii="Verdana" w:hAnsi="Verdana"/>
          <w:sz w:val="20"/>
        </w:rPr>
        <w:t>do</w:t>
      </w:r>
      <w:r w:rsidRPr="002818E7">
        <w:rPr>
          <w:rFonts w:ascii="Verdana" w:hAnsi="Verdana"/>
          <w:sz w:val="20"/>
        </w:rPr>
        <w:t xml:space="preserve"> funcionamento</w:t>
      </w:r>
      <w:r>
        <w:rPr>
          <w:rFonts w:ascii="Verdana" w:hAnsi="Verdana"/>
          <w:sz w:val="20"/>
        </w:rPr>
        <w:t xml:space="preserve"> d</w:t>
      </w:r>
      <w:r w:rsidRPr="002818E7">
        <w:rPr>
          <w:rFonts w:ascii="Verdana" w:hAnsi="Verdana"/>
          <w:sz w:val="20"/>
        </w:rPr>
        <w:t>a Comissão</w:t>
      </w:r>
      <w:r>
        <w:rPr>
          <w:rFonts w:ascii="Verdana" w:hAnsi="Verdana"/>
          <w:sz w:val="20"/>
        </w:rPr>
        <w:t xml:space="preserve"> e da Corte são</w:t>
      </w:r>
      <w:r w:rsidRPr="002818E7">
        <w:rPr>
          <w:rFonts w:ascii="Verdana" w:hAnsi="Verdana"/>
          <w:sz w:val="20"/>
        </w:rPr>
        <w:t xml:space="preserve"> </w:t>
      </w:r>
      <w:r>
        <w:rPr>
          <w:rFonts w:ascii="Verdana" w:hAnsi="Verdana"/>
          <w:sz w:val="20"/>
        </w:rPr>
        <w:t>financiados com o</w:t>
      </w:r>
      <w:r w:rsidRPr="002818E7">
        <w:rPr>
          <w:rFonts w:ascii="Verdana" w:hAnsi="Verdana"/>
          <w:sz w:val="20"/>
        </w:rPr>
        <w:t xml:space="preserve"> </w:t>
      </w:r>
      <w:r>
        <w:rPr>
          <w:rFonts w:ascii="Verdana" w:hAnsi="Verdana"/>
          <w:sz w:val="20"/>
        </w:rPr>
        <w:t>orçamento d</w:t>
      </w:r>
      <w:r w:rsidRPr="002818E7">
        <w:rPr>
          <w:rFonts w:ascii="Verdana" w:hAnsi="Verdana"/>
          <w:sz w:val="20"/>
        </w:rPr>
        <w:t>a OEA;</w:t>
      </w:r>
    </w:p>
    <w:p w:rsidR="00C336FB"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d</w:t>
      </w:r>
      <w:r w:rsidR="00C60678" w:rsidRPr="00C60678">
        <w:rPr>
          <w:rFonts w:ascii="Verdana" w:hAnsi="Verdana"/>
          <w:sz w:val="20"/>
        </w:rPr>
        <w:t>)</w:t>
      </w:r>
      <w:proofErr w:type="gramEnd"/>
      <w:r w:rsidRPr="002818E7">
        <w:rPr>
          <w:rFonts w:ascii="Verdana" w:hAnsi="Verdana"/>
          <w:sz w:val="20"/>
        </w:rPr>
        <w:tab/>
        <w:t>“</w:t>
      </w:r>
      <w:r>
        <w:rPr>
          <w:rFonts w:ascii="Verdana" w:hAnsi="Verdana"/>
          <w:sz w:val="20"/>
        </w:rPr>
        <w:t>o</w:t>
      </w:r>
      <w:r w:rsidRPr="002818E7">
        <w:rPr>
          <w:rFonts w:ascii="Verdana" w:hAnsi="Verdana"/>
          <w:sz w:val="20"/>
        </w:rPr>
        <w:t xml:space="preserve"> acesso</w:t>
      </w:r>
      <w:r>
        <w:rPr>
          <w:rFonts w:ascii="Verdana" w:hAnsi="Verdana"/>
          <w:sz w:val="20"/>
        </w:rPr>
        <w:t xml:space="preserve"> à</w:t>
      </w:r>
      <w:r w:rsidRPr="002818E7">
        <w:rPr>
          <w:rFonts w:ascii="Verdana" w:hAnsi="Verdana"/>
          <w:sz w:val="20"/>
        </w:rPr>
        <w:t xml:space="preserve"> Comissão</w:t>
      </w:r>
      <w:r>
        <w:rPr>
          <w:rFonts w:ascii="Verdana" w:hAnsi="Verdana"/>
          <w:sz w:val="20"/>
        </w:rPr>
        <w:t xml:space="preserve"> [e] à</w:t>
      </w:r>
      <w:r w:rsidRPr="002818E7">
        <w:rPr>
          <w:rFonts w:ascii="Verdana" w:hAnsi="Verdana"/>
          <w:sz w:val="20"/>
        </w:rPr>
        <w:t xml:space="preserve"> Corte n</w:t>
      </w:r>
      <w:r>
        <w:rPr>
          <w:rFonts w:ascii="Verdana" w:hAnsi="Verdana"/>
          <w:sz w:val="20"/>
        </w:rPr>
        <w:t>ã</w:t>
      </w:r>
      <w:r w:rsidRPr="002818E7">
        <w:rPr>
          <w:rFonts w:ascii="Verdana" w:hAnsi="Verdana"/>
          <w:sz w:val="20"/>
        </w:rPr>
        <w:t>o está suje</w:t>
      </w:r>
      <w:r>
        <w:rPr>
          <w:rFonts w:ascii="Verdana" w:hAnsi="Verdana"/>
          <w:sz w:val="20"/>
        </w:rPr>
        <w:t>i</w:t>
      </w:r>
      <w:r w:rsidRPr="002818E7">
        <w:rPr>
          <w:rFonts w:ascii="Verdana" w:hAnsi="Verdana"/>
          <w:sz w:val="20"/>
        </w:rPr>
        <w:t>to a nenhuma</w:t>
      </w:r>
      <w:r>
        <w:rPr>
          <w:rFonts w:ascii="Verdana" w:hAnsi="Verdana"/>
          <w:sz w:val="20"/>
        </w:rPr>
        <w:t xml:space="preserve"> taxa ou</w:t>
      </w:r>
      <w:r w:rsidRPr="002818E7">
        <w:rPr>
          <w:rFonts w:ascii="Verdana" w:hAnsi="Verdana"/>
          <w:sz w:val="20"/>
        </w:rPr>
        <w:t xml:space="preserve"> </w:t>
      </w:r>
      <w:r>
        <w:rPr>
          <w:rFonts w:ascii="Verdana" w:hAnsi="Verdana"/>
          <w:sz w:val="20"/>
        </w:rPr>
        <w:t>tarifa alfandegária</w:t>
      </w:r>
      <w:r w:rsidRPr="002818E7">
        <w:rPr>
          <w:rFonts w:ascii="Verdana" w:hAnsi="Verdana"/>
          <w:sz w:val="20"/>
        </w:rPr>
        <w:t>”;</w:t>
      </w:r>
    </w:p>
    <w:p w:rsidR="00C336FB"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Pr>
          <w:rFonts w:ascii="Verdana" w:hAnsi="Verdana"/>
          <w:sz w:val="20"/>
        </w:rPr>
        <w:t>e</w:t>
      </w:r>
      <w:proofErr w:type="gramEnd"/>
      <w:r w:rsidR="00C60678" w:rsidRPr="00C60678">
        <w:rPr>
          <w:rFonts w:ascii="Verdana" w:hAnsi="Verdana"/>
          <w:sz w:val="20"/>
        </w:rPr>
        <w:t>)</w:t>
      </w:r>
      <w:r>
        <w:rPr>
          <w:rFonts w:ascii="Verdana" w:hAnsi="Verdana"/>
          <w:sz w:val="20"/>
        </w:rPr>
        <w:tab/>
        <w:t>o</w:t>
      </w:r>
      <w:r w:rsidRPr="002818E7">
        <w:rPr>
          <w:rFonts w:ascii="Verdana" w:hAnsi="Verdana"/>
          <w:sz w:val="20"/>
        </w:rPr>
        <w:t xml:space="preserve"> artigo</w:t>
      </w:r>
      <w:r>
        <w:rPr>
          <w:rFonts w:ascii="Verdana" w:hAnsi="Verdana"/>
          <w:sz w:val="20"/>
        </w:rPr>
        <w:t xml:space="preserve"> 45 do</w:t>
      </w:r>
      <w:r w:rsidRPr="002818E7">
        <w:rPr>
          <w:rFonts w:ascii="Verdana" w:hAnsi="Verdana"/>
          <w:sz w:val="20"/>
        </w:rPr>
        <w:t xml:space="preserve"> Regulamento indica</w:t>
      </w:r>
      <w:r>
        <w:rPr>
          <w:rFonts w:ascii="Verdana" w:hAnsi="Verdana"/>
          <w:sz w:val="20"/>
        </w:rPr>
        <w:t xml:space="preserve"> que a parte que proponha um</w:t>
      </w:r>
      <w:r w:rsidRPr="002818E7">
        <w:rPr>
          <w:rFonts w:ascii="Verdana" w:hAnsi="Verdana"/>
          <w:sz w:val="20"/>
        </w:rPr>
        <w:t>a prova</w:t>
      </w:r>
      <w:r>
        <w:rPr>
          <w:rFonts w:ascii="Verdana" w:hAnsi="Verdana"/>
          <w:sz w:val="20"/>
        </w:rPr>
        <w:t xml:space="preserve"> arcará com os gastos que ela ocasione; e</w:t>
      </w:r>
    </w:p>
    <w:p w:rsidR="00C336FB" w:rsidRDefault="00C336FB" w:rsidP="00C336FB">
      <w:pPr>
        <w:jc w:val="both"/>
        <w:rPr>
          <w:rFonts w:ascii="Verdana" w:hAnsi="Verdana"/>
          <w:sz w:val="20"/>
        </w:rPr>
      </w:pPr>
    </w:p>
    <w:p w:rsidR="00C336FB" w:rsidRPr="002818E7" w:rsidRDefault="00C336FB" w:rsidP="00C336FB">
      <w:pPr>
        <w:ind w:left="720"/>
        <w:jc w:val="both"/>
        <w:rPr>
          <w:rFonts w:ascii="Verdana" w:hAnsi="Verdana"/>
          <w:sz w:val="20"/>
        </w:rPr>
      </w:pPr>
      <w:proofErr w:type="gramStart"/>
      <w:r w:rsidRPr="002818E7">
        <w:rPr>
          <w:rFonts w:ascii="Verdana" w:hAnsi="Verdana"/>
          <w:sz w:val="20"/>
        </w:rPr>
        <w:t>f</w:t>
      </w:r>
      <w:r w:rsidR="00C60678" w:rsidRPr="00C60678">
        <w:rPr>
          <w:rFonts w:ascii="Verdana" w:hAnsi="Verdana"/>
          <w:sz w:val="20"/>
        </w:rPr>
        <w:t>)</w:t>
      </w:r>
      <w:proofErr w:type="gramEnd"/>
      <w:r w:rsidRPr="002818E7">
        <w:rPr>
          <w:rFonts w:ascii="Verdana" w:hAnsi="Verdana"/>
          <w:sz w:val="20"/>
        </w:rPr>
        <w:tab/>
      </w:r>
      <w:r>
        <w:rPr>
          <w:rFonts w:ascii="Verdana" w:hAnsi="Verdana"/>
          <w:sz w:val="20"/>
        </w:rPr>
        <w:t xml:space="preserve">a </w:t>
      </w:r>
      <w:r w:rsidRPr="002818E7">
        <w:rPr>
          <w:rFonts w:ascii="Verdana" w:hAnsi="Verdana"/>
          <w:sz w:val="20"/>
        </w:rPr>
        <w:t>Nicarágua</w:t>
      </w:r>
      <w:r>
        <w:rPr>
          <w:rFonts w:ascii="Verdana" w:hAnsi="Verdana"/>
          <w:sz w:val="20"/>
        </w:rPr>
        <w:t xml:space="preserve"> é um dos Estados mais pobres do hemisfério e</w:t>
      </w:r>
      <w:r w:rsidRPr="002818E7">
        <w:rPr>
          <w:rFonts w:ascii="Verdana" w:hAnsi="Verdana"/>
          <w:sz w:val="20"/>
        </w:rPr>
        <w:t xml:space="preserve"> deverá comprometer s</w:t>
      </w:r>
      <w:r>
        <w:rPr>
          <w:rFonts w:ascii="Verdana" w:hAnsi="Verdana"/>
          <w:sz w:val="20"/>
        </w:rPr>
        <w:t>e</w:t>
      </w:r>
      <w:r w:rsidRPr="002818E7">
        <w:rPr>
          <w:rFonts w:ascii="Verdana" w:hAnsi="Verdana"/>
          <w:sz w:val="20"/>
        </w:rPr>
        <w:t>us escas</w:t>
      </w:r>
      <w:r>
        <w:rPr>
          <w:rFonts w:ascii="Verdana" w:hAnsi="Verdana"/>
          <w:sz w:val="20"/>
        </w:rPr>
        <w:t>s</w:t>
      </w:r>
      <w:r w:rsidRPr="002818E7">
        <w:rPr>
          <w:rFonts w:ascii="Verdana" w:hAnsi="Verdana"/>
          <w:sz w:val="20"/>
        </w:rPr>
        <w:t>os recursos, entre outros</w:t>
      </w:r>
      <w:r>
        <w:rPr>
          <w:rFonts w:ascii="Verdana" w:hAnsi="Verdana"/>
          <w:sz w:val="20"/>
        </w:rPr>
        <w:t xml:space="preserve"> destinos, no financiamento do custoso</w:t>
      </w:r>
      <w:r w:rsidRPr="002818E7">
        <w:rPr>
          <w:rFonts w:ascii="Verdana" w:hAnsi="Verdana"/>
          <w:sz w:val="20"/>
        </w:rPr>
        <w:t xml:space="preserve"> processo de titulação</w:t>
      </w:r>
      <w:r>
        <w:rPr>
          <w:rFonts w:ascii="Verdana" w:hAnsi="Verdana"/>
          <w:sz w:val="20"/>
        </w:rPr>
        <w:t xml:space="preserve"> e</w:t>
      </w:r>
      <w:r w:rsidRPr="002818E7">
        <w:rPr>
          <w:rFonts w:ascii="Verdana" w:hAnsi="Verdana"/>
          <w:sz w:val="20"/>
        </w:rPr>
        <w:t xml:space="preserve"> demarcação de terras</w:t>
      </w:r>
      <w:r>
        <w:rPr>
          <w:rFonts w:ascii="Verdana" w:hAnsi="Verdana"/>
          <w:sz w:val="20"/>
        </w:rPr>
        <w:t xml:space="preserve"> à</w:t>
      </w:r>
      <w:r w:rsidRPr="002818E7">
        <w:rPr>
          <w:rFonts w:ascii="Verdana" w:hAnsi="Verdana"/>
          <w:sz w:val="20"/>
        </w:rPr>
        <w:t>s comunidades indígenas.</w:t>
      </w:r>
    </w:p>
    <w:p w:rsidR="00C336FB" w:rsidRPr="002818E7" w:rsidRDefault="00C336FB" w:rsidP="00C336FB">
      <w:pPr>
        <w:jc w:val="both"/>
        <w:rPr>
          <w:rFonts w:ascii="Verdana" w:hAnsi="Verdana"/>
          <w:sz w:val="20"/>
        </w:rPr>
      </w:pPr>
    </w:p>
    <w:p w:rsidR="00C336FB" w:rsidRPr="002818E7" w:rsidRDefault="00C336FB" w:rsidP="00C336FB">
      <w:pPr>
        <w:jc w:val="center"/>
        <w:rPr>
          <w:rFonts w:ascii="Verdana" w:hAnsi="Verdana"/>
          <w:sz w:val="20"/>
        </w:rPr>
      </w:pPr>
      <w:r w:rsidRPr="002818E7">
        <w:rPr>
          <w:rFonts w:ascii="Verdana" w:hAnsi="Verdana"/>
          <w:sz w:val="20"/>
        </w:rPr>
        <w:t>*</w:t>
      </w:r>
    </w:p>
    <w:p w:rsidR="00C336FB" w:rsidRPr="002818E7" w:rsidRDefault="00C336FB" w:rsidP="00C336FB">
      <w:pPr>
        <w:jc w:val="center"/>
        <w:rPr>
          <w:rFonts w:ascii="Verdana" w:hAnsi="Verdana"/>
          <w:b/>
          <w:sz w:val="20"/>
        </w:rPr>
      </w:pPr>
      <w:r w:rsidRPr="002818E7">
        <w:rPr>
          <w:rFonts w:ascii="Verdana" w:hAnsi="Verdana"/>
          <w:b/>
          <w:sz w:val="20"/>
        </w:rPr>
        <w:t>*</w:t>
      </w:r>
      <w:r w:rsidRPr="002818E7">
        <w:rPr>
          <w:rFonts w:ascii="Verdana" w:hAnsi="Verdana"/>
          <w:b/>
          <w:sz w:val="20"/>
        </w:rPr>
        <w:tab/>
        <w:t>*</w:t>
      </w:r>
    </w:p>
    <w:p w:rsidR="00C336FB" w:rsidRPr="002818E7" w:rsidRDefault="00C336FB" w:rsidP="00C336FB">
      <w:pPr>
        <w:jc w:val="center"/>
        <w:rPr>
          <w:rFonts w:ascii="Verdana" w:hAnsi="Verdana"/>
          <w:sz w:val="20"/>
        </w:rPr>
      </w:pPr>
    </w:p>
    <w:p w:rsidR="00C336FB" w:rsidRDefault="00C336FB" w:rsidP="00C336FB">
      <w:pPr>
        <w:jc w:val="both"/>
        <w:rPr>
          <w:rFonts w:ascii="Verdana" w:hAnsi="Verdana"/>
          <w:i/>
          <w:sz w:val="20"/>
        </w:rPr>
      </w:pPr>
      <w:r w:rsidRPr="002818E7">
        <w:rPr>
          <w:rFonts w:ascii="Verdana" w:hAnsi="Verdana"/>
          <w:i/>
          <w:sz w:val="20"/>
        </w:rPr>
        <w:t>Considerações</w:t>
      </w:r>
      <w:r>
        <w:rPr>
          <w:rFonts w:ascii="Verdana" w:hAnsi="Verdana"/>
          <w:i/>
          <w:sz w:val="20"/>
        </w:rPr>
        <w:t xml:space="preserve"> d</w:t>
      </w:r>
      <w:r w:rsidRPr="002818E7">
        <w:rPr>
          <w:rFonts w:ascii="Verdana" w:hAnsi="Verdana"/>
          <w:i/>
          <w:sz w:val="20"/>
        </w:rPr>
        <w:t>a Corte</w:t>
      </w:r>
    </w:p>
    <w:p w:rsidR="00C336FB" w:rsidRPr="002818E7" w:rsidRDefault="00C336FB" w:rsidP="00C336FB">
      <w:pPr>
        <w:jc w:val="both"/>
        <w:rPr>
          <w:rFonts w:ascii="Verdana" w:hAnsi="Verdana"/>
          <w:i/>
          <w:sz w:val="20"/>
        </w:rPr>
      </w:pPr>
    </w:p>
    <w:p w:rsidR="00C336FB" w:rsidRPr="002818E7" w:rsidRDefault="00C336FB" w:rsidP="00C336FB">
      <w:pPr>
        <w:jc w:val="both"/>
        <w:rPr>
          <w:rFonts w:ascii="Verdana" w:hAnsi="Verdana"/>
          <w:sz w:val="20"/>
        </w:rPr>
      </w:pPr>
      <w:r w:rsidRPr="002818E7">
        <w:rPr>
          <w:rFonts w:ascii="Verdana" w:hAnsi="Verdana"/>
          <w:sz w:val="20"/>
        </w:rPr>
        <w:t>162.</w:t>
      </w:r>
      <w:r w:rsidRPr="002818E7">
        <w:rPr>
          <w:rFonts w:ascii="Verdana" w:hAnsi="Verdana"/>
          <w:sz w:val="20"/>
        </w:rPr>
        <w:tab/>
      </w:r>
      <w:r>
        <w:rPr>
          <w:rFonts w:ascii="Verdana" w:hAnsi="Verdana"/>
          <w:sz w:val="20"/>
        </w:rPr>
        <w:t>O</w:t>
      </w:r>
      <w:r w:rsidRPr="002818E7">
        <w:rPr>
          <w:rFonts w:ascii="Verdana" w:hAnsi="Verdana"/>
          <w:sz w:val="20"/>
        </w:rPr>
        <w:t xml:space="preserve"> artigo</w:t>
      </w:r>
      <w:r>
        <w:rPr>
          <w:rFonts w:ascii="Verdana" w:hAnsi="Verdana"/>
          <w:sz w:val="20"/>
        </w:rPr>
        <w:t xml:space="preserve"> 63.1 d</w:t>
      </w:r>
      <w:r w:rsidRPr="002818E7">
        <w:rPr>
          <w:rFonts w:ascii="Verdana" w:hAnsi="Verdana"/>
          <w:sz w:val="20"/>
        </w:rPr>
        <w:t xml:space="preserve">a Convenção Americana estabelece </w:t>
      </w:r>
      <w:proofErr w:type="gramStart"/>
      <w:r w:rsidRPr="002818E7">
        <w:rPr>
          <w:rFonts w:ascii="Verdana" w:hAnsi="Verdana"/>
          <w:sz w:val="20"/>
        </w:rPr>
        <w:t>que</w:t>
      </w:r>
      <w:proofErr w:type="gramEnd"/>
    </w:p>
    <w:p w:rsidR="00A22100" w:rsidRDefault="00A22100" w:rsidP="00C336FB">
      <w:pPr>
        <w:ind w:left="720"/>
        <w:jc w:val="both"/>
        <w:rPr>
          <w:rFonts w:ascii="Verdana" w:hAnsi="Verdana"/>
          <w:sz w:val="16"/>
          <w:szCs w:val="16"/>
        </w:rPr>
      </w:pPr>
    </w:p>
    <w:p w:rsidR="00C336FB" w:rsidRPr="00382334" w:rsidRDefault="00C336FB" w:rsidP="00382334">
      <w:pPr>
        <w:ind w:left="720" w:right="560"/>
        <w:jc w:val="both"/>
        <w:rPr>
          <w:rFonts w:ascii="Verdana" w:hAnsi="Verdana"/>
          <w:sz w:val="18"/>
          <w:szCs w:val="18"/>
        </w:rPr>
      </w:pPr>
      <w:r w:rsidRPr="00382334">
        <w:rPr>
          <w:rFonts w:ascii="Verdana" w:hAnsi="Verdana"/>
          <w:sz w:val="18"/>
          <w:szCs w:val="18"/>
        </w:rPr>
        <w:t>[Q</w:t>
      </w:r>
      <w:proofErr w:type="gramStart"/>
      <w:r w:rsidRPr="00382334">
        <w:rPr>
          <w:rFonts w:ascii="Verdana" w:hAnsi="Verdana"/>
          <w:sz w:val="18"/>
          <w:szCs w:val="18"/>
        </w:rPr>
        <w:t>]uando</w:t>
      </w:r>
      <w:proofErr w:type="gramEnd"/>
      <w:r w:rsidRPr="00382334">
        <w:rPr>
          <w:rFonts w:ascii="Verdana" w:hAnsi="Verdana"/>
          <w:sz w:val="18"/>
          <w:szCs w:val="18"/>
        </w:rPr>
        <w:t xml:space="preserve"> decidir que houve violação de um direito ou liberdade protegidos nesta Convenção, a Corte determinará que se assegure ao prejudicado o gozo do seu direito ou liberdade violados. Determinará também, se isso for procedente, que sejam reparadas as consequências da medida ou situação que haja configurado a violação desses direitos, bem como o pagamento de indenização justa à parte lesada.</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163.</w:t>
      </w:r>
      <w:r w:rsidRPr="002818E7">
        <w:rPr>
          <w:rFonts w:ascii="Verdana" w:hAnsi="Verdana"/>
          <w:sz w:val="20"/>
        </w:rPr>
        <w:tab/>
      </w:r>
      <w:r>
        <w:rPr>
          <w:rFonts w:ascii="Verdana" w:hAnsi="Verdana"/>
          <w:sz w:val="20"/>
        </w:rPr>
        <w:t>No presente caso, a Corte já</w:t>
      </w:r>
      <w:r w:rsidRPr="002818E7">
        <w:rPr>
          <w:rFonts w:ascii="Verdana" w:hAnsi="Verdana"/>
          <w:sz w:val="20"/>
        </w:rPr>
        <w:t xml:space="preserve"> estab</w:t>
      </w:r>
      <w:r>
        <w:rPr>
          <w:rFonts w:ascii="Verdana" w:hAnsi="Verdana"/>
          <w:sz w:val="20"/>
        </w:rPr>
        <w:t>eleceu</w:t>
      </w:r>
      <w:r w:rsidRPr="002818E7">
        <w:rPr>
          <w:rFonts w:ascii="Verdana" w:hAnsi="Verdana"/>
          <w:sz w:val="20"/>
        </w:rPr>
        <w:t xml:space="preserve"> que </w:t>
      </w:r>
      <w:r>
        <w:rPr>
          <w:rFonts w:ascii="Verdana" w:hAnsi="Verdana"/>
          <w:sz w:val="20"/>
        </w:rPr>
        <w:t xml:space="preserve">a </w:t>
      </w:r>
      <w:r w:rsidRPr="002818E7">
        <w:rPr>
          <w:rFonts w:ascii="Verdana" w:hAnsi="Verdana"/>
          <w:sz w:val="20"/>
        </w:rPr>
        <w:t xml:space="preserve">Nicarágua </w:t>
      </w:r>
      <w:proofErr w:type="gramStart"/>
      <w:r w:rsidRPr="002818E7">
        <w:rPr>
          <w:rFonts w:ascii="Verdana" w:hAnsi="Verdana"/>
          <w:sz w:val="20"/>
        </w:rPr>
        <w:t>violou</w:t>
      </w:r>
      <w:proofErr w:type="gramEnd"/>
      <w:r>
        <w:rPr>
          <w:rFonts w:ascii="Verdana" w:hAnsi="Verdana"/>
          <w:sz w:val="20"/>
        </w:rPr>
        <w:t xml:space="preserve"> </w:t>
      </w:r>
      <w:r w:rsidRPr="002818E7">
        <w:rPr>
          <w:rFonts w:ascii="Verdana" w:hAnsi="Verdana"/>
          <w:sz w:val="20"/>
        </w:rPr>
        <w:t>os artigos</w:t>
      </w:r>
      <w:r>
        <w:rPr>
          <w:rFonts w:ascii="Verdana" w:hAnsi="Verdana"/>
          <w:sz w:val="20"/>
        </w:rPr>
        <w:t xml:space="preserve"> 25 e 21 d</w:t>
      </w:r>
      <w:r w:rsidRPr="002818E7">
        <w:rPr>
          <w:rFonts w:ascii="Verdana" w:hAnsi="Verdana"/>
          <w:sz w:val="20"/>
        </w:rPr>
        <w:t>a Convenção</w:t>
      </w:r>
      <w:r w:rsidR="004B65E5">
        <w:rPr>
          <w:rFonts w:ascii="Verdana" w:hAnsi="Verdana"/>
          <w:sz w:val="20"/>
        </w:rPr>
        <w:t>,</w:t>
      </w:r>
      <w:r>
        <w:rPr>
          <w:rFonts w:ascii="Verdana" w:hAnsi="Verdana"/>
          <w:sz w:val="20"/>
        </w:rPr>
        <w:t xml:space="preserve"> em</w:t>
      </w:r>
      <w:r w:rsidRPr="002818E7">
        <w:rPr>
          <w:rFonts w:ascii="Verdana" w:hAnsi="Verdana"/>
          <w:sz w:val="20"/>
        </w:rPr>
        <w:t xml:space="preserve"> relação</w:t>
      </w:r>
      <w:r>
        <w:rPr>
          <w:rFonts w:ascii="Verdana" w:hAnsi="Verdana"/>
          <w:sz w:val="20"/>
        </w:rPr>
        <w:t xml:space="preserve"> </w:t>
      </w:r>
      <w:r w:rsidR="00A22100">
        <w:rPr>
          <w:rFonts w:ascii="Verdana" w:hAnsi="Verdana"/>
          <w:sz w:val="20"/>
        </w:rPr>
        <w:t>a</w:t>
      </w:r>
      <w:r w:rsidRPr="002818E7">
        <w:rPr>
          <w:rFonts w:ascii="Verdana" w:hAnsi="Verdana"/>
          <w:sz w:val="20"/>
        </w:rPr>
        <w:t>os artigos</w:t>
      </w:r>
      <w:r>
        <w:rPr>
          <w:rFonts w:ascii="Verdana" w:hAnsi="Verdana"/>
          <w:sz w:val="20"/>
        </w:rPr>
        <w:t xml:space="preserve"> 1.1 e 2 d</w:t>
      </w:r>
      <w:r w:rsidRPr="002818E7">
        <w:rPr>
          <w:rFonts w:ascii="Verdana" w:hAnsi="Verdana"/>
          <w:sz w:val="20"/>
        </w:rPr>
        <w:t>a mesma</w:t>
      </w:r>
      <w:r>
        <w:rPr>
          <w:rFonts w:ascii="Verdana" w:hAnsi="Verdana"/>
          <w:sz w:val="20"/>
        </w:rPr>
        <w:t>. A esse</w:t>
      </w:r>
      <w:r w:rsidRPr="002818E7">
        <w:rPr>
          <w:rFonts w:ascii="Verdana" w:hAnsi="Verdana"/>
          <w:sz w:val="20"/>
        </w:rPr>
        <w:t xml:space="preserve"> respeito</w:t>
      </w:r>
      <w:r>
        <w:rPr>
          <w:rFonts w:ascii="Verdana" w:hAnsi="Verdana"/>
          <w:sz w:val="20"/>
        </w:rPr>
        <w:t>, este Tribunal tem reiterado em</w:t>
      </w:r>
      <w:r w:rsidRPr="002818E7">
        <w:rPr>
          <w:rFonts w:ascii="Verdana" w:hAnsi="Verdana"/>
          <w:sz w:val="20"/>
        </w:rPr>
        <w:t xml:space="preserve"> su</w:t>
      </w:r>
      <w:r>
        <w:rPr>
          <w:rFonts w:ascii="Verdana" w:hAnsi="Verdana"/>
          <w:sz w:val="20"/>
        </w:rPr>
        <w:t>a</w:t>
      </w:r>
      <w:r w:rsidRPr="002818E7">
        <w:rPr>
          <w:rFonts w:ascii="Verdana" w:hAnsi="Verdana"/>
          <w:sz w:val="20"/>
        </w:rPr>
        <w:t xml:space="preserve"> </w:t>
      </w:r>
      <w:r>
        <w:rPr>
          <w:rFonts w:ascii="Verdana" w:hAnsi="Verdana"/>
          <w:sz w:val="20"/>
        </w:rPr>
        <w:t>jurisprudência constante que</w:t>
      </w:r>
      <w:r w:rsidR="008849CF">
        <w:rPr>
          <w:rFonts w:ascii="Verdana" w:hAnsi="Verdana"/>
          <w:sz w:val="20"/>
        </w:rPr>
        <w:t xml:space="preserve"> se trata de um</w:t>
      </w:r>
      <w:r>
        <w:rPr>
          <w:rFonts w:ascii="Verdana" w:hAnsi="Verdana"/>
          <w:sz w:val="20"/>
        </w:rPr>
        <w:t xml:space="preserve"> </w:t>
      </w:r>
      <w:r w:rsidRPr="002818E7">
        <w:rPr>
          <w:rFonts w:ascii="Verdana" w:hAnsi="Verdana"/>
          <w:sz w:val="20"/>
        </w:rPr>
        <w:t xml:space="preserve">princípio de </w:t>
      </w:r>
      <w:r w:rsidR="00360853">
        <w:rPr>
          <w:rFonts w:ascii="Verdana" w:hAnsi="Verdana"/>
          <w:sz w:val="20"/>
        </w:rPr>
        <w:t>Direito Internacional</w:t>
      </w:r>
      <w:r w:rsidR="006C7393">
        <w:rPr>
          <w:rFonts w:ascii="Verdana" w:hAnsi="Verdana"/>
          <w:sz w:val="20"/>
        </w:rPr>
        <w:t xml:space="preserve">, </w:t>
      </w:r>
      <w:r w:rsidR="004B65E5">
        <w:rPr>
          <w:rFonts w:ascii="Verdana" w:hAnsi="Verdana"/>
          <w:sz w:val="20"/>
        </w:rPr>
        <w:t>de que</w:t>
      </w:r>
      <w:r w:rsidRPr="002818E7">
        <w:rPr>
          <w:rFonts w:ascii="Verdana" w:hAnsi="Verdana"/>
          <w:sz w:val="20"/>
        </w:rPr>
        <w:t xml:space="preserve"> toda violação</w:t>
      </w:r>
      <w:r>
        <w:rPr>
          <w:rFonts w:ascii="Verdana" w:hAnsi="Verdana"/>
          <w:sz w:val="20"/>
        </w:rPr>
        <w:t xml:space="preserve"> de um</w:t>
      </w:r>
      <w:r w:rsidRPr="002818E7">
        <w:rPr>
          <w:rFonts w:ascii="Verdana" w:hAnsi="Verdana"/>
          <w:sz w:val="20"/>
        </w:rPr>
        <w:t xml:space="preserve">a obrigação internacional que </w:t>
      </w:r>
      <w:r>
        <w:rPr>
          <w:rFonts w:ascii="Verdana" w:hAnsi="Verdana"/>
          <w:sz w:val="20"/>
        </w:rPr>
        <w:t>tenha produzido um</w:t>
      </w:r>
      <w:r w:rsidRPr="002818E7">
        <w:rPr>
          <w:rFonts w:ascii="Verdana" w:hAnsi="Verdana"/>
          <w:sz w:val="20"/>
        </w:rPr>
        <w:t xml:space="preserve"> </w:t>
      </w:r>
      <w:r>
        <w:rPr>
          <w:rFonts w:ascii="Verdana" w:hAnsi="Verdana"/>
          <w:sz w:val="20"/>
        </w:rPr>
        <w:t>dano comporta o</w:t>
      </w:r>
      <w:r w:rsidRPr="002818E7">
        <w:rPr>
          <w:rFonts w:ascii="Verdana" w:hAnsi="Verdana"/>
          <w:sz w:val="20"/>
        </w:rPr>
        <w:t xml:space="preserve"> dever</w:t>
      </w:r>
      <w:r>
        <w:rPr>
          <w:rFonts w:ascii="Verdana" w:hAnsi="Verdana"/>
          <w:sz w:val="20"/>
        </w:rPr>
        <w:t xml:space="preserve"> de repará-lo adeq</w:t>
      </w:r>
      <w:r w:rsidRPr="002818E7">
        <w:rPr>
          <w:rFonts w:ascii="Verdana" w:hAnsi="Verdana"/>
          <w:sz w:val="20"/>
        </w:rPr>
        <w:t>uadamente.</w:t>
      </w:r>
      <w:proofErr w:type="gramStart"/>
      <w:r w:rsidRPr="002818E7">
        <w:rPr>
          <w:rStyle w:val="Refdenotaalpie"/>
          <w:rFonts w:ascii="Verdana" w:hAnsi="Verdana"/>
          <w:sz w:val="20"/>
        </w:rPr>
        <w:footnoteReference w:id="64"/>
      </w:r>
      <w:proofErr w:type="gramEnd"/>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Pr>
          <w:rFonts w:ascii="Verdana" w:hAnsi="Verdana"/>
          <w:sz w:val="20"/>
        </w:rPr>
        <w:t>164.</w:t>
      </w:r>
      <w:r>
        <w:rPr>
          <w:rFonts w:ascii="Verdana" w:hAnsi="Verdana"/>
          <w:sz w:val="20"/>
        </w:rPr>
        <w:tab/>
      </w:r>
      <w:r w:rsidR="004B65E5">
        <w:rPr>
          <w:rFonts w:ascii="Verdana" w:hAnsi="Verdana"/>
          <w:sz w:val="20"/>
        </w:rPr>
        <w:t xml:space="preserve">Em face do </w:t>
      </w:r>
      <w:r>
        <w:rPr>
          <w:rFonts w:ascii="Verdana" w:hAnsi="Verdana"/>
          <w:sz w:val="20"/>
        </w:rPr>
        <w:t>anterior, conforme o</w:t>
      </w:r>
      <w:r w:rsidRPr="002818E7">
        <w:rPr>
          <w:rFonts w:ascii="Verdana" w:hAnsi="Verdana"/>
          <w:sz w:val="20"/>
        </w:rPr>
        <w:t xml:space="preserve"> artigo</w:t>
      </w:r>
      <w:r>
        <w:rPr>
          <w:rFonts w:ascii="Verdana" w:hAnsi="Verdana"/>
          <w:sz w:val="20"/>
        </w:rPr>
        <w:t xml:space="preserve"> </w:t>
      </w:r>
      <w:proofErr w:type="gramStart"/>
      <w:r>
        <w:rPr>
          <w:rFonts w:ascii="Verdana" w:hAnsi="Verdana"/>
          <w:sz w:val="20"/>
        </w:rPr>
        <w:t>2</w:t>
      </w:r>
      <w:proofErr w:type="gramEnd"/>
      <w:r>
        <w:rPr>
          <w:rFonts w:ascii="Verdana" w:hAnsi="Verdana"/>
          <w:sz w:val="20"/>
        </w:rPr>
        <w:t xml:space="preserve"> d</w:t>
      </w:r>
      <w:r w:rsidRPr="002818E7">
        <w:rPr>
          <w:rFonts w:ascii="Verdana" w:hAnsi="Verdana"/>
          <w:sz w:val="20"/>
        </w:rPr>
        <w:t>a Convenção Americana sobre Direitos Humanos, esta Corte cons</w:t>
      </w:r>
      <w:r>
        <w:rPr>
          <w:rFonts w:ascii="Verdana" w:hAnsi="Verdana"/>
          <w:sz w:val="20"/>
        </w:rPr>
        <w:t>idera que o Estado dev</w:t>
      </w:r>
      <w:r w:rsidRPr="002818E7">
        <w:rPr>
          <w:rFonts w:ascii="Verdana" w:hAnsi="Verdana"/>
          <w:sz w:val="20"/>
        </w:rPr>
        <w:t>e adotar</w:t>
      </w:r>
      <w:r>
        <w:rPr>
          <w:rFonts w:ascii="Verdana" w:hAnsi="Verdana"/>
          <w:sz w:val="20"/>
        </w:rPr>
        <w:t xml:space="preserve"> </w:t>
      </w:r>
      <w:r w:rsidRPr="002818E7">
        <w:rPr>
          <w:rFonts w:ascii="Verdana" w:hAnsi="Verdana"/>
          <w:sz w:val="20"/>
        </w:rPr>
        <w:t>as medidas</w:t>
      </w:r>
      <w:r>
        <w:rPr>
          <w:rFonts w:ascii="Verdana" w:hAnsi="Verdana"/>
          <w:sz w:val="20"/>
        </w:rPr>
        <w:t xml:space="preserve"> legislativas, administrativas e</w:t>
      </w:r>
      <w:r w:rsidRPr="002818E7">
        <w:rPr>
          <w:rFonts w:ascii="Verdana" w:hAnsi="Verdana"/>
          <w:sz w:val="20"/>
        </w:rPr>
        <w:t xml:space="preserve"> de qualquer outro caráter que se</w:t>
      </w:r>
      <w:r>
        <w:rPr>
          <w:rFonts w:ascii="Verdana" w:hAnsi="Verdana"/>
          <w:sz w:val="20"/>
        </w:rPr>
        <w:t>jam</w:t>
      </w:r>
      <w:r w:rsidRPr="002818E7">
        <w:rPr>
          <w:rFonts w:ascii="Verdana" w:hAnsi="Verdana"/>
          <w:sz w:val="20"/>
        </w:rPr>
        <w:t xml:space="preserve"> necessárias</w:t>
      </w:r>
      <w:r>
        <w:rPr>
          <w:rFonts w:ascii="Verdana" w:hAnsi="Verdana"/>
          <w:sz w:val="20"/>
        </w:rPr>
        <w:t xml:space="preserve"> para criar um</w:t>
      </w:r>
      <w:r w:rsidRPr="002818E7">
        <w:rPr>
          <w:rFonts w:ascii="Verdana" w:hAnsi="Verdana"/>
          <w:sz w:val="20"/>
        </w:rPr>
        <w:t xml:space="preserve"> mecanismo efetivo de delimitação, demarcação</w:t>
      </w:r>
      <w:r>
        <w:rPr>
          <w:rFonts w:ascii="Verdana" w:hAnsi="Verdana"/>
          <w:sz w:val="20"/>
        </w:rPr>
        <w:t xml:space="preserve"> e</w:t>
      </w:r>
      <w:r w:rsidRPr="002818E7">
        <w:rPr>
          <w:rFonts w:ascii="Verdana" w:hAnsi="Verdana"/>
          <w:sz w:val="20"/>
        </w:rPr>
        <w:t xml:space="preserve"> titulação das propriedades das comunidades indígenas, </w:t>
      </w:r>
      <w:r>
        <w:rPr>
          <w:rFonts w:ascii="Verdana" w:hAnsi="Verdana"/>
          <w:sz w:val="20"/>
        </w:rPr>
        <w:t>conforme</w:t>
      </w:r>
      <w:r w:rsidRPr="002818E7">
        <w:rPr>
          <w:rFonts w:ascii="Verdana" w:hAnsi="Verdana"/>
          <w:sz w:val="20"/>
        </w:rPr>
        <w:t xml:space="preserve"> </w:t>
      </w:r>
      <w:r w:rsidR="00052663">
        <w:rPr>
          <w:rFonts w:ascii="Verdana" w:hAnsi="Verdana"/>
          <w:sz w:val="20"/>
        </w:rPr>
        <w:t>seu</w:t>
      </w:r>
      <w:r w:rsidRPr="002818E7">
        <w:rPr>
          <w:rFonts w:ascii="Verdana" w:hAnsi="Verdana"/>
          <w:sz w:val="20"/>
        </w:rPr>
        <w:t xml:space="preserve"> direito consuetudinário</w:t>
      </w:r>
      <w:r>
        <w:rPr>
          <w:rFonts w:ascii="Verdana" w:hAnsi="Verdana"/>
          <w:sz w:val="20"/>
        </w:rPr>
        <w:t>, valores, usos e</w:t>
      </w:r>
      <w:r w:rsidRPr="002818E7">
        <w:rPr>
          <w:rFonts w:ascii="Verdana" w:hAnsi="Verdana"/>
          <w:sz w:val="20"/>
        </w:rPr>
        <w:t xml:space="preserve"> costumes</w:t>
      </w:r>
      <w:r>
        <w:rPr>
          <w:rFonts w:ascii="Verdana" w:hAnsi="Verdana"/>
          <w:sz w:val="20"/>
        </w:rPr>
        <w:t>.</w:t>
      </w:r>
      <w:r w:rsidRPr="002818E7">
        <w:rPr>
          <w:rFonts w:ascii="Verdana" w:hAnsi="Verdana"/>
          <w:sz w:val="20"/>
        </w:rPr>
        <w:t xml:space="preserve"> Igualmente</w:t>
      </w:r>
      <w:r>
        <w:rPr>
          <w:rFonts w:ascii="Verdana" w:hAnsi="Verdana"/>
          <w:sz w:val="20"/>
        </w:rPr>
        <w:t>, como consequência</w:t>
      </w:r>
      <w:r w:rsidRPr="002818E7">
        <w:rPr>
          <w:rFonts w:ascii="Verdana" w:hAnsi="Verdana"/>
          <w:sz w:val="20"/>
        </w:rPr>
        <w:t xml:space="preserve"> das violações indicadas</w:t>
      </w:r>
      <w:r>
        <w:rPr>
          <w:rFonts w:ascii="Verdana" w:hAnsi="Verdana"/>
          <w:sz w:val="20"/>
        </w:rPr>
        <w:t xml:space="preserve"> d</w:t>
      </w:r>
      <w:r w:rsidRPr="002818E7">
        <w:rPr>
          <w:rFonts w:ascii="Verdana" w:hAnsi="Verdana"/>
          <w:sz w:val="20"/>
        </w:rPr>
        <w:t>os direitos</w:t>
      </w:r>
      <w:r>
        <w:rPr>
          <w:rFonts w:ascii="Verdana" w:hAnsi="Verdana"/>
          <w:sz w:val="20"/>
        </w:rPr>
        <w:t xml:space="preserve"> consagrados n</w:t>
      </w:r>
      <w:r w:rsidRPr="002818E7">
        <w:rPr>
          <w:rFonts w:ascii="Verdana" w:hAnsi="Verdana"/>
          <w:sz w:val="20"/>
        </w:rPr>
        <w:t>a Convenção</w:t>
      </w:r>
      <w:r>
        <w:rPr>
          <w:rFonts w:ascii="Verdana" w:hAnsi="Verdana"/>
          <w:sz w:val="20"/>
        </w:rPr>
        <w:t xml:space="preserve"> no presente caso, a Corte dispõe que o</w:t>
      </w:r>
      <w:r w:rsidRPr="002818E7">
        <w:rPr>
          <w:rFonts w:ascii="Verdana" w:hAnsi="Verdana"/>
          <w:sz w:val="20"/>
        </w:rPr>
        <w:t xml:space="preserve"> Estado deverá </w:t>
      </w:r>
      <w:r>
        <w:rPr>
          <w:rFonts w:ascii="Verdana" w:hAnsi="Verdana"/>
          <w:sz w:val="20"/>
        </w:rPr>
        <w:t>proceder a delimitar, demarcar e</w:t>
      </w:r>
      <w:r w:rsidRPr="002818E7">
        <w:rPr>
          <w:rFonts w:ascii="Verdana" w:hAnsi="Verdana"/>
          <w:sz w:val="20"/>
        </w:rPr>
        <w:t xml:space="preserve"> titul</w:t>
      </w:r>
      <w:r>
        <w:rPr>
          <w:rFonts w:ascii="Verdana" w:hAnsi="Verdana"/>
          <w:sz w:val="20"/>
        </w:rPr>
        <w:t xml:space="preserve">ar </w:t>
      </w:r>
      <w:r w:rsidRPr="002818E7">
        <w:rPr>
          <w:rFonts w:ascii="Verdana" w:hAnsi="Verdana"/>
          <w:sz w:val="20"/>
        </w:rPr>
        <w:t>as terras</w:t>
      </w:r>
      <w:r>
        <w:rPr>
          <w:rFonts w:ascii="Verdana" w:hAnsi="Verdana"/>
          <w:sz w:val="20"/>
        </w:rPr>
        <w:t xml:space="preserve"> que correspondem a</w:t>
      </w:r>
      <w:r w:rsidRPr="002818E7">
        <w:rPr>
          <w:rFonts w:ascii="Verdana" w:hAnsi="Verdana"/>
          <w:sz w:val="20"/>
        </w:rPr>
        <w:t>os membros</w:t>
      </w:r>
      <w:r>
        <w:rPr>
          <w:rFonts w:ascii="Verdana" w:hAnsi="Verdana"/>
          <w:sz w:val="20"/>
        </w:rPr>
        <w:t xml:space="preserve"> d</w:t>
      </w:r>
      <w:r w:rsidRPr="002818E7">
        <w:rPr>
          <w:rFonts w:ascii="Verdana" w:hAnsi="Verdana"/>
          <w:sz w:val="20"/>
        </w:rPr>
        <w:t>a Comunidade</w:t>
      </w:r>
      <w:r>
        <w:rPr>
          <w:rFonts w:ascii="Verdana" w:hAnsi="Verdana"/>
          <w:sz w:val="20"/>
        </w:rPr>
        <w:t xml:space="preserve"> Awas Tingni, em um</w:t>
      </w:r>
      <w:r w:rsidRPr="002818E7">
        <w:rPr>
          <w:rFonts w:ascii="Verdana" w:hAnsi="Verdana"/>
          <w:sz w:val="20"/>
        </w:rPr>
        <w:t xml:space="preserve"> prazo máximo de </w:t>
      </w:r>
      <w:r>
        <w:rPr>
          <w:rFonts w:ascii="Verdana" w:hAnsi="Verdana"/>
          <w:sz w:val="20"/>
        </w:rPr>
        <w:t xml:space="preserve">15 meses, com </w:t>
      </w:r>
      <w:r w:rsidRPr="002818E7">
        <w:rPr>
          <w:rFonts w:ascii="Verdana" w:hAnsi="Verdana"/>
          <w:sz w:val="20"/>
        </w:rPr>
        <w:t>a plena participação</w:t>
      </w:r>
      <w:r>
        <w:rPr>
          <w:rFonts w:ascii="Verdana" w:hAnsi="Verdana"/>
          <w:sz w:val="20"/>
        </w:rPr>
        <w:t>, e levando em</w:t>
      </w:r>
      <w:r w:rsidRPr="002818E7">
        <w:rPr>
          <w:rFonts w:ascii="Verdana" w:hAnsi="Verdana"/>
          <w:sz w:val="20"/>
        </w:rPr>
        <w:t xml:space="preserve"> consideração</w:t>
      </w:r>
      <w:r>
        <w:rPr>
          <w:rFonts w:ascii="Verdana" w:hAnsi="Verdana"/>
          <w:sz w:val="20"/>
        </w:rPr>
        <w:t xml:space="preserve"> o</w:t>
      </w:r>
      <w:r w:rsidRPr="002818E7">
        <w:rPr>
          <w:rFonts w:ascii="Verdana" w:hAnsi="Verdana"/>
          <w:sz w:val="20"/>
        </w:rPr>
        <w:t xml:space="preserve"> direito consuetudinário</w:t>
      </w:r>
      <w:r>
        <w:rPr>
          <w:rFonts w:ascii="Verdana" w:hAnsi="Verdana"/>
          <w:sz w:val="20"/>
        </w:rPr>
        <w:t>, valores, usos e</w:t>
      </w:r>
      <w:r w:rsidRPr="002818E7">
        <w:rPr>
          <w:rFonts w:ascii="Verdana" w:hAnsi="Verdana"/>
          <w:sz w:val="20"/>
        </w:rPr>
        <w:t xml:space="preserve"> costumes</w:t>
      </w:r>
      <w:r>
        <w:rPr>
          <w:rFonts w:ascii="Verdana" w:hAnsi="Verdana"/>
          <w:sz w:val="20"/>
        </w:rPr>
        <w:t xml:space="preserve"> d</w:t>
      </w:r>
      <w:r w:rsidRPr="002818E7">
        <w:rPr>
          <w:rFonts w:ascii="Verdana" w:hAnsi="Verdana"/>
          <w:sz w:val="20"/>
        </w:rPr>
        <w:t>a Comunidade.</w:t>
      </w:r>
      <w:r w:rsidR="00850A3F">
        <w:rPr>
          <w:rFonts w:ascii="Verdana" w:hAnsi="Verdana"/>
          <w:sz w:val="20"/>
        </w:rPr>
        <w:t xml:space="preserve"> </w:t>
      </w:r>
      <w:r>
        <w:rPr>
          <w:rFonts w:ascii="Verdana" w:hAnsi="Verdana"/>
          <w:sz w:val="20"/>
        </w:rPr>
        <w:t>Enquanto</w:t>
      </w:r>
      <w:r w:rsidRPr="002818E7">
        <w:rPr>
          <w:rFonts w:ascii="Verdana" w:hAnsi="Verdana"/>
          <w:sz w:val="20"/>
        </w:rPr>
        <w:t xml:space="preserve"> n</w:t>
      </w:r>
      <w:r>
        <w:rPr>
          <w:rFonts w:ascii="Verdana" w:hAnsi="Verdana"/>
          <w:sz w:val="20"/>
        </w:rPr>
        <w:t>ã</w:t>
      </w:r>
      <w:r w:rsidRPr="002818E7">
        <w:rPr>
          <w:rFonts w:ascii="Verdana" w:hAnsi="Verdana"/>
          <w:sz w:val="20"/>
        </w:rPr>
        <w:t xml:space="preserve">o </w:t>
      </w:r>
      <w:r>
        <w:rPr>
          <w:rFonts w:ascii="Verdana" w:hAnsi="Verdana"/>
          <w:sz w:val="20"/>
        </w:rPr>
        <w:t>tenham sido</w:t>
      </w:r>
      <w:r w:rsidRPr="002818E7">
        <w:rPr>
          <w:rFonts w:ascii="Verdana" w:hAnsi="Verdana"/>
          <w:sz w:val="20"/>
        </w:rPr>
        <w:t xml:space="preserve"> de</w:t>
      </w:r>
      <w:r>
        <w:rPr>
          <w:rFonts w:ascii="Verdana" w:hAnsi="Verdana"/>
          <w:sz w:val="20"/>
        </w:rPr>
        <w:t xml:space="preserve">limitadas, demarcadas e tituladas </w:t>
      </w:r>
      <w:r w:rsidRPr="002818E7">
        <w:rPr>
          <w:rFonts w:ascii="Verdana" w:hAnsi="Verdana"/>
          <w:sz w:val="20"/>
        </w:rPr>
        <w:t>as terras</w:t>
      </w:r>
      <w:r>
        <w:rPr>
          <w:rFonts w:ascii="Verdana" w:hAnsi="Verdana"/>
          <w:sz w:val="20"/>
        </w:rPr>
        <w:t xml:space="preserve"> d</w:t>
      </w:r>
      <w:r w:rsidRPr="002818E7">
        <w:rPr>
          <w:rFonts w:ascii="Verdana" w:hAnsi="Verdana"/>
          <w:sz w:val="20"/>
        </w:rPr>
        <w:t>os membros</w:t>
      </w:r>
      <w:r>
        <w:rPr>
          <w:rFonts w:ascii="Verdana" w:hAnsi="Verdana"/>
          <w:sz w:val="20"/>
        </w:rPr>
        <w:t xml:space="preserve"> d</w:t>
      </w:r>
      <w:r w:rsidRPr="002818E7">
        <w:rPr>
          <w:rFonts w:ascii="Verdana" w:hAnsi="Verdana"/>
          <w:sz w:val="20"/>
        </w:rPr>
        <w:t>a Comunidade,</w:t>
      </w:r>
      <w:r>
        <w:rPr>
          <w:rFonts w:ascii="Verdana" w:hAnsi="Verdana"/>
          <w:sz w:val="20"/>
        </w:rPr>
        <w:t xml:space="preserve"> a</w:t>
      </w:r>
      <w:r w:rsidRPr="002818E7">
        <w:rPr>
          <w:rFonts w:ascii="Verdana" w:hAnsi="Verdana"/>
          <w:sz w:val="20"/>
        </w:rPr>
        <w:t xml:space="preserve"> Nicarágua</w:t>
      </w:r>
      <w:r>
        <w:rPr>
          <w:rFonts w:ascii="Verdana" w:hAnsi="Verdana"/>
          <w:sz w:val="20"/>
        </w:rPr>
        <w:t xml:space="preserve"> deve se abster de realizar a</w:t>
      </w:r>
      <w:r w:rsidRPr="002818E7">
        <w:rPr>
          <w:rFonts w:ascii="Verdana" w:hAnsi="Verdana"/>
          <w:sz w:val="20"/>
        </w:rPr>
        <w:t>tos que possam</w:t>
      </w:r>
      <w:r>
        <w:rPr>
          <w:rFonts w:ascii="Verdana" w:hAnsi="Verdana"/>
          <w:sz w:val="20"/>
        </w:rPr>
        <w:t xml:space="preserve"> levar a que os agentes do pró</w:t>
      </w:r>
      <w:r w:rsidRPr="002818E7">
        <w:rPr>
          <w:rFonts w:ascii="Verdana" w:hAnsi="Verdana"/>
          <w:sz w:val="20"/>
        </w:rPr>
        <w:t>p</w:t>
      </w:r>
      <w:r>
        <w:rPr>
          <w:rFonts w:ascii="Verdana" w:hAnsi="Verdana"/>
          <w:sz w:val="20"/>
        </w:rPr>
        <w:t>r</w:t>
      </w:r>
      <w:r w:rsidRPr="002818E7">
        <w:rPr>
          <w:rFonts w:ascii="Verdana" w:hAnsi="Verdana"/>
          <w:sz w:val="20"/>
        </w:rPr>
        <w:t>io Estado, o</w:t>
      </w:r>
      <w:r>
        <w:rPr>
          <w:rFonts w:ascii="Verdana" w:hAnsi="Verdana"/>
          <w:sz w:val="20"/>
        </w:rPr>
        <w:t>u</w:t>
      </w:r>
      <w:r w:rsidRPr="002818E7">
        <w:rPr>
          <w:rFonts w:ascii="Verdana" w:hAnsi="Verdana"/>
          <w:sz w:val="20"/>
        </w:rPr>
        <w:t xml:space="preserve"> terce</w:t>
      </w:r>
      <w:r>
        <w:rPr>
          <w:rFonts w:ascii="Verdana" w:hAnsi="Verdana"/>
          <w:sz w:val="20"/>
        </w:rPr>
        <w:t>iros que atuem com</w:t>
      </w:r>
      <w:r w:rsidRPr="002818E7">
        <w:rPr>
          <w:rFonts w:ascii="Verdana" w:hAnsi="Verdana"/>
          <w:sz w:val="20"/>
        </w:rPr>
        <w:t xml:space="preserve"> su</w:t>
      </w:r>
      <w:r>
        <w:rPr>
          <w:rFonts w:ascii="Verdana" w:hAnsi="Verdana"/>
          <w:sz w:val="20"/>
        </w:rPr>
        <w:t>a</w:t>
      </w:r>
      <w:r w:rsidRPr="002818E7">
        <w:rPr>
          <w:rFonts w:ascii="Verdana" w:hAnsi="Verdana"/>
          <w:sz w:val="20"/>
        </w:rPr>
        <w:t xml:space="preserve"> </w:t>
      </w:r>
      <w:r>
        <w:rPr>
          <w:rFonts w:ascii="Verdana" w:hAnsi="Verdana"/>
          <w:sz w:val="20"/>
        </w:rPr>
        <w:t>aquiescência</w:t>
      </w:r>
      <w:r w:rsidRPr="002818E7">
        <w:rPr>
          <w:rFonts w:ascii="Verdana" w:hAnsi="Verdana"/>
          <w:sz w:val="20"/>
        </w:rPr>
        <w:t xml:space="preserve"> o</w:t>
      </w:r>
      <w:r>
        <w:rPr>
          <w:rFonts w:ascii="Verdana" w:hAnsi="Verdana"/>
          <w:sz w:val="20"/>
        </w:rPr>
        <w:t>u</w:t>
      </w:r>
      <w:r w:rsidRPr="002818E7">
        <w:rPr>
          <w:rFonts w:ascii="Verdana" w:hAnsi="Verdana"/>
          <w:sz w:val="20"/>
        </w:rPr>
        <w:t xml:space="preserve"> su</w:t>
      </w:r>
      <w:r>
        <w:rPr>
          <w:rFonts w:ascii="Verdana" w:hAnsi="Verdana"/>
          <w:sz w:val="20"/>
        </w:rPr>
        <w:t>a</w:t>
      </w:r>
      <w:r w:rsidRPr="002818E7">
        <w:rPr>
          <w:rFonts w:ascii="Verdana" w:hAnsi="Verdana"/>
          <w:sz w:val="20"/>
        </w:rPr>
        <w:t xml:space="preserve"> </w:t>
      </w:r>
      <w:r>
        <w:rPr>
          <w:rFonts w:ascii="Verdana" w:hAnsi="Verdana"/>
          <w:sz w:val="20"/>
        </w:rPr>
        <w:t xml:space="preserve">tolerância, prejudiquem </w:t>
      </w:r>
      <w:r w:rsidRPr="002818E7">
        <w:rPr>
          <w:rFonts w:ascii="Verdana" w:hAnsi="Verdana"/>
          <w:sz w:val="20"/>
        </w:rPr>
        <w:t xml:space="preserve">a </w:t>
      </w:r>
      <w:r>
        <w:rPr>
          <w:rFonts w:ascii="Verdana" w:hAnsi="Verdana"/>
          <w:sz w:val="20"/>
        </w:rPr>
        <w:t>existência</w:t>
      </w:r>
      <w:r w:rsidRPr="002818E7">
        <w:rPr>
          <w:rFonts w:ascii="Verdana" w:hAnsi="Verdana"/>
          <w:sz w:val="20"/>
        </w:rPr>
        <w:t>,</w:t>
      </w:r>
      <w:r>
        <w:rPr>
          <w:rFonts w:ascii="Verdana" w:hAnsi="Verdana"/>
          <w:sz w:val="20"/>
        </w:rPr>
        <w:t xml:space="preserve"> o valor, o</w:t>
      </w:r>
      <w:r w:rsidRPr="002818E7">
        <w:rPr>
          <w:rFonts w:ascii="Verdana" w:hAnsi="Verdana"/>
          <w:sz w:val="20"/>
        </w:rPr>
        <w:t xml:space="preserve"> uso o</w:t>
      </w:r>
      <w:r>
        <w:rPr>
          <w:rFonts w:ascii="Verdana" w:hAnsi="Verdana"/>
          <w:sz w:val="20"/>
        </w:rPr>
        <w:t>u o gozo dos ben</w:t>
      </w:r>
      <w:r w:rsidRPr="002818E7">
        <w:rPr>
          <w:rFonts w:ascii="Verdana" w:hAnsi="Verdana"/>
          <w:sz w:val="20"/>
        </w:rPr>
        <w:t>s localizados</w:t>
      </w:r>
      <w:r>
        <w:rPr>
          <w:rFonts w:ascii="Verdana" w:hAnsi="Verdana"/>
          <w:sz w:val="20"/>
        </w:rPr>
        <w:t xml:space="preserve"> na zona geográfica onde habitam e realizam</w:t>
      </w:r>
      <w:r w:rsidRPr="002818E7">
        <w:rPr>
          <w:rFonts w:ascii="Verdana" w:hAnsi="Verdana"/>
          <w:sz w:val="20"/>
        </w:rPr>
        <w:t xml:space="preserve"> su</w:t>
      </w:r>
      <w:r>
        <w:rPr>
          <w:rFonts w:ascii="Verdana" w:hAnsi="Verdana"/>
          <w:sz w:val="20"/>
        </w:rPr>
        <w:t>a</w:t>
      </w:r>
      <w:r w:rsidRPr="002818E7">
        <w:rPr>
          <w:rFonts w:ascii="Verdana" w:hAnsi="Verdana"/>
          <w:sz w:val="20"/>
        </w:rPr>
        <w:t>s atividades</w:t>
      </w:r>
      <w:r>
        <w:rPr>
          <w:rFonts w:ascii="Verdana" w:hAnsi="Verdana"/>
          <w:sz w:val="20"/>
        </w:rPr>
        <w:t xml:space="preserve"> </w:t>
      </w:r>
      <w:r w:rsidRPr="002818E7">
        <w:rPr>
          <w:rFonts w:ascii="Verdana" w:hAnsi="Verdana"/>
          <w:sz w:val="20"/>
        </w:rPr>
        <w:t>os membros</w:t>
      </w:r>
      <w:r>
        <w:rPr>
          <w:rFonts w:ascii="Verdana" w:hAnsi="Verdana"/>
          <w:sz w:val="20"/>
        </w:rPr>
        <w:t xml:space="preserve"> d</w:t>
      </w:r>
      <w:r w:rsidRPr="002818E7">
        <w:rPr>
          <w:rFonts w:ascii="Verdana" w:hAnsi="Verdana"/>
          <w:sz w:val="20"/>
        </w:rPr>
        <w:t>a Comunidade Awas Tingni.</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165.</w:t>
      </w:r>
      <w:r w:rsidRPr="002818E7">
        <w:rPr>
          <w:rFonts w:ascii="Verdana" w:hAnsi="Verdana"/>
          <w:sz w:val="20"/>
        </w:rPr>
        <w:tab/>
      </w:r>
      <w:r>
        <w:rPr>
          <w:rFonts w:ascii="Verdana" w:hAnsi="Verdana"/>
          <w:sz w:val="20"/>
        </w:rPr>
        <w:t xml:space="preserve">No presente caso, a Corte observa que </w:t>
      </w:r>
      <w:r w:rsidRPr="002818E7">
        <w:rPr>
          <w:rFonts w:ascii="Verdana" w:hAnsi="Verdana"/>
          <w:sz w:val="20"/>
        </w:rPr>
        <w:t>a Comissão n</w:t>
      </w:r>
      <w:r w:rsidR="006047D8">
        <w:rPr>
          <w:rFonts w:ascii="Verdana" w:hAnsi="Verdana"/>
          <w:sz w:val="20"/>
        </w:rPr>
        <w:t>ão provou que</w:t>
      </w:r>
      <w:r>
        <w:rPr>
          <w:rFonts w:ascii="Verdana" w:hAnsi="Verdana"/>
          <w:sz w:val="20"/>
        </w:rPr>
        <w:t xml:space="preserve"> </w:t>
      </w:r>
      <w:r w:rsidR="00052663">
        <w:rPr>
          <w:rFonts w:ascii="Verdana" w:hAnsi="Verdana"/>
          <w:sz w:val="20"/>
        </w:rPr>
        <w:t>tenham</w:t>
      </w:r>
      <w:r w:rsidR="00052663" w:rsidRPr="002818E7">
        <w:rPr>
          <w:rFonts w:ascii="Verdana" w:hAnsi="Verdana"/>
          <w:sz w:val="20"/>
        </w:rPr>
        <w:t xml:space="preserve"> </w:t>
      </w:r>
      <w:r>
        <w:rPr>
          <w:rFonts w:ascii="Verdana" w:hAnsi="Verdana"/>
          <w:sz w:val="20"/>
        </w:rPr>
        <w:t xml:space="preserve">sido </w:t>
      </w:r>
      <w:r w:rsidRPr="002818E7">
        <w:rPr>
          <w:rFonts w:ascii="Verdana" w:hAnsi="Verdana"/>
          <w:sz w:val="20"/>
        </w:rPr>
        <w:t>causado</w:t>
      </w:r>
      <w:r>
        <w:rPr>
          <w:rFonts w:ascii="Verdana" w:hAnsi="Verdana"/>
          <w:sz w:val="20"/>
        </w:rPr>
        <w:t>s</w:t>
      </w:r>
      <w:r w:rsidRPr="002818E7">
        <w:rPr>
          <w:rFonts w:ascii="Verdana" w:hAnsi="Verdana"/>
          <w:sz w:val="20"/>
        </w:rPr>
        <w:t xml:space="preserve"> danos </w:t>
      </w:r>
      <w:r>
        <w:rPr>
          <w:rFonts w:ascii="Verdana" w:hAnsi="Verdana"/>
          <w:sz w:val="20"/>
        </w:rPr>
        <w:t>mate</w:t>
      </w:r>
      <w:r w:rsidRPr="002818E7">
        <w:rPr>
          <w:rFonts w:ascii="Verdana" w:hAnsi="Verdana"/>
          <w:sz w:val="20"/>
        </w:rPr>
        <w:t>riais</w:t>
      </w:r>
      <w:r>
        <w:rPr>
          <w:rFonts w:ascii="Verdana" w:hAnsi="Verdana"/>
          <w:sz w:val="20"/>
        </w:rPr>
        <w:t xml:space="preserve"> a</w:t>
      </w:r>
      <w:r w:rsidRPr="002818E7">
        <w:rPr>
          <w:rFonts w:ascii="Verdana" w:hAnsi="Verdana"/>
          <w:sz w:val="20"/>
        </w:rPr>
        <w:t>os membros</w:t>
      </w:r>
      <w:r>
        <w:rPr>
          <w:rFonts w:ascii="Verdana" w:hAnsi="Verdana"/>
          <w:sz w:val="20"/>
        </w:rPr>
        <w:t xml:space="preserve"> d</w:t>
      </w:r>
      <w:r w:rsidRPr="002818E7">
        <w:rPr>
          <w:rFonts w:ascii="Verdana" w:hAnsi="Verdana"/>
          <w:sz w:val="20"/>
        </w:rPr>
        <w:t>a Comunidade Mayagna.</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166.</w:t>
      </w:r>
      <w:r w:rsidRPr="002818E7">
        <w:rPr>
          <w:rFonts w:ascii="Verdana" w:hAnsi="Verdana"/>
          <w:sz w:val="20"/>
        </w:rPr>
        <w:tab/>
      </w:r>
      <w:r>
        <w:rPr>
          <w:rFonts w:ascii="Verdana" w:hAnsi="Verdana"/>
          <w:sz w:val="20"/>
        </w:rPr>
        <w:t>A</w:t>
      </w:r>
      <w:r w:rsidRPr="002818E7">
        <w:rPr>
          <w:rFonts w:ascii="Verdana" w:hAnsi="Verdana"/>
          <w:sz w:val="20"/>
        </w:rPr>
        <w:t xml:space="preserve"> Corte </w:t>
      </w:r>
      <w:r>
        <w:rPr>
          <w:rFonts w:ascii="Verdana" w:hAnsi="Verdana"/>
          <w:sz w:val="20"/>
        </w:rPr>
        <w:t xml:space="preserve">considera que </w:t>
      </w:r>
      <w:r w:rsidRPr="002818E7">
        <w:rPr>
          <w:rFonts w:ascii="Verdana" w:hAnsi="Verdana"/>
          <w:sz w:val="20"/>
        </w:rPr>
        <w:t>a presente Sentença c</w:t>
      </w:r>
      <w:r>
        <w:rPr>
          <w:rFonts w:ascii="Verdana" w:hAnsi="Verdana"/>
          <w:sz w:val="20"/>
        </w:rPr>
        <w:t>onstitui</w:t>
      </w:r>
      <w:r w:rsidRPr="002818E7">
        <w:rPr>
          <w:rFonts w:ascii="Verdana" w:hAnsi="Verdana"/>
          <w:sz w:val="20"/>
        </w:rPr>
        <w:t xml:space="preserve">, </w:t>
      </w:r>
      <w:r w:rsidRPr="002818E7">
        <w:rPr>
          <w:rFonts w:ascii="Verdana" w:hAnsi="Verdana"/>
          <w:i/>
          <w:sz w:val="20"/>
        </w:rPr>
        <w:t>per se</w:t>
      </w:r>
      <w:r>
        <w:rPr>
          <w:rFonts w:ascii="Verdana" w:hAnsi="Verdana"/>
          <w:sz w:val="20"/>
        </w:rPr>
        <w:t>, um</w:t>
      </w:r>
      <w:r w:rsidRPr="002818E7">
        <w:rPr>
          <w:rFonts w:ascii="Verdana" w:hAnsi="Verdana"/>
          <w:sz w:val="20"/>
        </w:rPr>
        <w:t>a forma de reparação</w:t>
      </w:r>
      <w:r>
        <w:rPr>
          <w:rFonts w:ascii="Verdana" w:hAnsi="Verdana"/>
          <w:sz w:val="20"/>
        </w:rPr>
        <w:t xml:space="preserve"> para </w:t>
      </w:r>
      <w:r w:rsidRPr="002818E7">
        <w:rPr>
          <w:rFonts w:ascii="Verdana" w:hAnsi="Verdana"/>
          <w:sz w:val="20"/>
        </w:rPr>
        <w:t>os membros</w:t>
      </w:r>
      <w:r>
        <w:rPr>
          <w:rFonts w:ascii="Verdana" w:hAnsi="Verdana"/>
          <w:sz w:val="20"/>
        </w:rPr>
        <w:t xml:space="preserve"> d</w:t>
      </w:r>
      <w:r w:rsidRPr="002818E7">
        <w:rPr>
          <w:rFonts w:ascii="Verdana" w:hAnsi="Verdana"/>
          <w:sz w:val="20"/>
        </w:rPr>
        <w:t>a Comunidade Awas Tingni.</w:t>
      </w:r>
      <w:proofErr w:type="gramStart"/>
      <w:r w:rsidRPr="002818E7">
        <w:rPr>
          <w:rStyle w:val="Refdenotaalpie"/>
          <w:rFonts w:ascii="Verdana" w:hAnsi="Verdana"/>
          <w:sz w:val="20"/>
        </w:rPr>
        <w:footnoteReference w:id="65"/>
      </w:r>
      <w:proofErr w:type="gramEnd"/>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167.</w:t>
      </w:r>
      <w:r w:rsidRPr="002818E7">
        <w:rPr>
          <w:rFonts w:ascii="Verdana" w:hAnsi="Verdana"/>
          <w:sz w:val="20"/>
        </w:rPr>
        <w:tab/>
      </w:r>
      <w:r>
        <w:rPr>
          <w:rFonts w:ascii="Verdana" w:hAnsi="Verdana"/>
          <w:sz w:val="20"/>
        </w:rPr>
        <w:t>A</w:t>
      </w:r>
      <w:r w:rsidRPr="002818E7">
        <w:rPr>
          <w:rFonts w:ascii="Verdana" w:hAnsi="Verdana"/>
          <w:sz w:val="20"/>
        </w:rPr>
        <w:t xml:space="preserve"> Corte considera que </w:t>
      </w:r>
      <w:r>
        <w:rPr>
          <w:rFonts w:ascii="Verdana" w:hAnsi="Verdana"/>
          <w:sz w:val="20"/>
        </w:rPr>
        <w:t>em razão d</w:t>
      </w:r>
      <w:r w:rsidRPr="002818E7">
        <w:rPr>
          <w:rFonts w:ascii="Verdana" w:hAnsi="Verdana"/>
          <w:sz w:val="20"/>
        </w:rPr>
        <w:t>a situação</w:t>
      </w:r>
      <w:r>
        <w:rPr>
          <w:rFonts w:ascii="Verdana" w:hAnsi="Verdana"/>
          <w:sz w:val="20"/>
        </w:rPr>
        <w:t xml:space="preserve"> </w:t>
      </w:r>
      <w:r w:rsidR="004B65E5">
        <w:rPr>
          <w:rFonts w:ascii="Verdana" w:hAnsi="Verdana"/>
          <w:sz w:val="20"/>
        </w:rPr>
        <w:t xml:space="preserve">em que </w:t>
      </w:r>
      <w:r>
        <w:rPr>
          <w:rFonts w:ascii="Verdana" w:hAnsi="Verdana"/>
          <w:sz w:val="20"/>
        </w:rPr>
        <w:t>se enco</w:t>
      </w:r>
      <w:r w:rsidRPr="002818E7">
        <w:rPr>
          <w:rFonts w:ascii="Verdana" w:hAnsi="Verdana"/>
          <w:sz w:val="20"/>
        </w:rPr>
        <w:t>n</w:t>
      </w:r>
      <w:r>
        <w:rPr>
          <w:rFonts w:ascii="Verdana" w:hAnsi="Verdana"/>
          <w:sz w:val="20"/>
        </w:rPr>
        <w:t xml:space="preserve">tram </w:t>
      </w:r>
      <w:r w:rsidRPr="002818E7">
        <w:rPr>
          <w:rFonts w:ascii="Verdana" w:hAnsi="Verdana"/>
          <w:sz w:val="20"/>
        </w:rPr>
        <w:t>os membros</w:t>
      </w:r>
      <w:r>
        <w:rPr>
          <w:rFonts w:ascii="Verdana" w:hAnsi="Verdana"/>
          <w:sz w:val="20"/>
        </w:rPr>
        <w:t xml:space="preserve"> d</w:t>
      </w:r>
      <w:r w:rsidRPr="002818E7">
        <w:rPr>
          <w:rFonts w:ascii="Verdana" w:hAnsi="Verdana"/>
          <w:sz w:val="20"/>
        </w:rPr>
        <w:t>a Comunidade Awas Tingni por falta de delimitação, demarcação</w:t>
      </w:r>
      <w:r>
        <w:rPr>
          <w:rFonts w:ascii="Verdana" w:hAnsi="Verdana"/>
          <w:sz w:val="20"/>
        </w:rPr>
        <w:t xml:space="preserve"> e</w:t>
      </w:r>
      <w:r w:rsidRPr="002818E7">
        <w:rPr>
          <w:rFonts w:ascii="Verdana" w:hAnsi="Verdana"/>
          <w:sz w:val="20"/>
        </w:rPr>
        <w:t xml:space="preserve"> titulação de su</w:t>
      </w:r>
      <w:r>
        <w:rPr>
          <w:rFonts w:ascii="Verdana" w:hAnsi="Verdana"/>
          <w:sz w:val="20"/>
        </w:rPr>
        <w:t>a</w:t>
      </w:r>
      <w:r w:rsidRPr="002818E7">
        <w:rPr>
          <w:rFonts w:ascii="Verdana" w:hAnsi="Verdana"/>
          <w:sz w:val="20"/>
        </w:rPr>
        <w:t xml:space="preserve"> propriedade comunal, </w:t>
      </w:r>
      <w:r>
        <w:rPr>
          <w:rFonts w:ascii="Verdana" w:hAnsi="Verdana"/>
          <w:sz w:val="20"/>
        </w:rPr>
        <w:t>o</w:t>
      </w:r>
      <w:r w:rsidRPr="002818E7">
        <w:rPr>
          <w:rFonts w:ascii="Verdana" w:hAnsi="Verdana"/>
          <w:sz w:val="20"/>
        </w:rPr>
        <w:t xml:space="preserve"> </w:t>
      </w:r>
      <w:r>
        <w:rPr>
          <w:rFonts w:ascii="Verdana" w:hAnsi="Verdana"/>
          <w:sz w:val="20"/>
        </w:rPr>
        <w:t>dano imate</w:t>
      </w:r>
      <w:r w:rsidRPr="002818E7">
        <w:rPr>
          <w:rFonts w:ascii="Verdana" w:hAnsi="Verdana"/>
          <w:sz w:val="20"/>
        </w:rPr>
        <w:t>ria</w:t>
      </w:r>
      <w:r>
        <w:rPr>
          <w:rFonts w:ascii="Verdana" w:hAnsi="Verdana"/>
          <w:sz w:val="20"/>
        </w:rPr>
        <w:t>l ocasionado dev</w:t>
      </w:r>
      <w:r w:rsidRPr="002818E7">
        <w:rPr>
          <w:rFonts w:ascii="Verdana" w:hAnsi="Verdana"/>
          <w:sz w:val="20"/>
        </w:rPr>
        <w:t xml:space="preserve">e </w:t>
      </w:r>
      <w:r>
        <w:rPr>
          <w:rFonts w:ascii="Verdana" w:hAnsi="Verdana"/>
          <w:sz w:val="20"/>
        </w:rPr>
        <w:t>também ser reparado, por vi</w:t>
      </w:r>
      <w:r w:rsidRPr="002818E7">
        <w:rPr>
          <w:rFonts w:ascii="Verdana" w:hAnsi="Verdana"/>
          <w:sz w:val="20"/>
        </w:rPr>
        <w:t>a su</w:t>
      </w:r>
      <w:r>
        <w:rPr>
          <w:rFonts w:ascii="Verdana" w:hAnsi="Verdana"/>
          <w:sz w:val="20"/>
        </w:rPr>
        <w:t>bstitutiva, mediante um</w:t>
      </w:r>
      <w:r w:rsidRPr="002818E7">
        <w:rPr>
          <w:rFonts w:ascii="Verdana" w:hAnsi="Verdana"/>
          <w:sz w:val="20"/>
        </w:rPr>
        <w:t>a indenização</w:t>
      </w:r>
      <w:r>
        <w:rPr>
          <w:rFonts w:ascii="Verdana" w:hAnsi="Verdana"/>
          <w:sz w:val="20"/>
        </w:rPr>
        <w:t xml:space="preserve"> pecuniária. Nas circunstâ</w:t>
      </w:r>
      <w:r w:rsidRPr="002818E7">
        <w:rPr>
          <w:rFonts w:ascii="Verdana" w:hAnsi="Verdana"/>
          <w:sz w:val="20"/>
        </w:rPr>
        <w:t>n</w:t>
      </w:r>
      <w:r>
        <w:rPr>
          <w:rFonts w:ascii="Verdana" w:hAnsi="Verdana"/>
          <w:sz w:val="20"/>
        </w:rPr>
        <w:t>cias do caso é preciso recorre</w:t>
      </w:r>
      <w:r w:rsidRPr="002818E7">
        <w:rPr>
          <w:rFonts w:ascii="Verdana" w:hAnsi="Verdana"/>
          <w:sz w:val="20"/>
        </w:rPr>
        <w:t>r a esta clas</w:t>
      </w:r>
      <w:r>
        <w:rPr>
          <w:rFonts w:ascii="Verdana" w:hAnsi="Verdana"/>
          <w:sz w:val="20"/>
        </w:rPr>
        <w:t>s</w:t>
      </w:r>
      <w:r w:rsidRPr="002818E7">
        <w:rPr>
          <w:rFonts w:ascii="Verdana" w:hAnsi="Verdana"/>
          <w:sz w:val="20"/>
        </w:rPr>
        <w:t>e de indenização</w:t>
      </w:r>
      <w:r w:rsidRPr="00663A1D">
        <w:rPr>
          <w:rFonts w:ascii="Verdana" w:hAnsi="Verdana"/>
          <w:sz w:val="20"/>
        </w:rPr>
        <w:t>, fixando-a</w:t>
      </w:r>
      <w:r>
        <w:rPr>
          <w:rFonts w:ascii="Verdana" w:hAnsi="Verdana"/>
          <w:sz w:val="20"/>
        </w:rPr>
        <w:t xml:space="preserve"> conforme a</w:t>
      </w:r>
      <w:r w:rsidRPr="002818E7">
        <w:rPr>
          <w:rFonts w:ascii="Verdana" w:hAnsi="Verdana"/>
          <w:sz w:val="20"/>
        </w:rPr>
        <w:t xml:space="preserve"> equidad</w:t>
      </w:r>
      <w:r>
        <w:rPr>
          <w:rFonts w:ascii="Verdana" w:hAnsi="Verdana"/>
          <w:sz w:val="20"/>
        </w:rPr>
        <w:t>e e se basea</w:t>
      </w:r>
      <w:r w:rsidRPr="002818E7">
        <w:rPr>
          <w:rFonts w:ascii="Verdana" w:hAnsi="Verdana"/>
          <w:sz w:val="20"/>
        </w:rPr>
        <w:t>ndo</w:t>
      </w:r>
      <w:r>
        <w:rPr>
          <w:rFonts w:ascii="Verdana" w:hAnsi="Verdana"/>
          <w:sz w:val="20"/>
        </w:rPr>
        <w:t xml:space="preserve"> em uma</w:t>
      </w:r>
      <w:r w:rsidRPr="002818E7">
        <w:rPr>
          <w:rFonts w:ascii="Verdana" w:hAnsi="Verdana"/>
          <w:sz w:val="20"/>
        </w:rPr>
        <w:t xml:space="preserve"> apreciação</w:t>
      </w:r>
      <w:r>
        <w:rPr>
          <w:rFonts w:ascii="Verdana" w:hAnsi="Verdana"/>
          <w:sz w:val="20"/>
        </w:rPr>
        <w:t xml:space="preserve"> prudente do</w:t>
      </w:r>
      <w:r w:rsidRPr="002818E7">
        <w:rPr>
          <w:rFonts w:ascii="Verdana" w:hAnsi="Verdana"/>
          <w:sz w:val="20"/>
        </w:rPr>
        <w:t xml:space="preserve"> </w:t>
      </w:r>
      <w:r>
        <w:rPr>
          <w:rFonts w:ascii="Verdana" w:hAnsi="Verdana"/>
          <w:sz w:val="20"/>
        </w:rPr>
        <w:t>dano imate</w:t>
      </w:r>
      <w:r w:rsidRPr="002818E7">
        <w:rPr>
          <w:rFonts w:ascii="Verdana" w:hAnsi="Verdana"/>
          <w:sz w:val="20"/>
        </w:rPr>
        <w:t>ria</w:t>
      </w:r>
      <w:r>
        <w:rPr>
          <w:rFonts w:ascii="Verdana" w:hAnsi="Verdana"/>
          <w:sz w:val="20"/>
        </w:rPr>
        <w:t>l, o</w:t>
      </w:r>
      <w:r w:rsidRPr="002818E7">
        <w:rPr>
          <w:rFonts w:ascii="Verdana" w:hAnsi="Verdana"/>
          <w:sz w:val="20"/>
        </w:rPr>
        <w:t xml:space="preserve"> qual n</w:t>
      </w:r>
      <w:r>
        <w:rPr>
          <w:rFonts w:ascii="Verdana" w:hAnsi="Verdana"/>
          <w:sz w:val="20"/>
        </w:rPr>
        <w:t>ão é susceptível de uma tax</w:t>
      </w:r>
      <w:r w:rsidRPr="002818E7">
        <w:rPr>
          <w:rFonts w:ascii="Verdana" w:hAnsi="Verdana"/>
          <w:sz w:val="20"/>
        </w:rPr>
        <w:t>ação precisa.</w:t>
      </w:r>
      <w:r w:rsidRPr="002818E7">
        <w:rPr>
          <w:rStyle w:val="Refdenotaalpie"/>
          <w:rFonts w:ascii="Verdana" w:hAnsi="Verdana"/>
          <w:sz w:val="20"/>
        </w:rPr>
        <w:footnoteReference w:id="66"/>
      </w:r>
      <w:r w:rsidR="00663A1D">
        <w:rPr>
          <w:rFonts w:ascii="Verdana" w:hAnsi="Verdana"/>
          <w:sz w:val="20"/>
        </w:rPr>
        <w:t xml:space="preserve"> Pelo exposto </w:t>
      </w:r>
      <w:r w:rsidR="00052663">
        <w:rPr>
          <w:rFonts w:ascii="Verdana" w:hAnsi="Verdana"/>
          <w:sz w:val="20"/>
        </w:rPr>
        <w:t xml:space="preserve">acima </w:t>
      </w:r>
      <w:r w:rsidR="00663A1D">
        <w:rPr>
          <w:rFonts w:ascii="Verdana" w:hAnsi="Verdana"/>
          <w:sz w:val="20"/>
        </w:rPr>
        <w:t xml:space="preserve">e </w:t>
      </w:r>
      <w:r>
        <w:rPr>
          <w:rFonts w:ascii="Verdana" w:hAnsi="Verdana"/>
          <w:sz w:val="20"/>
        </w:rPr>
        <w:t>levando em consideração as circunstâncias do caso e o decidido em</w:t>
      </w:r>
      <w:r w:rsidRPr="002818E7">
        <w:rPr>
          <w:rFonts w:ascii="Verdana" w:hAnsi="Verdana"/>
          <w:sz w:val="20"/>
        </w:rPr>
        <w:t xml:space="preserve"> outros</w:t>
      </w:r>
      <w:r>
        <w:rPr>
          <w:rFonts w:ascii="Verdana" w:hAnsi="Verdana"/>
          <w:sz w:val="20"/>
        </w:rPr>
        <w:t xml:space="preserve"> similares, a Corte considera que o Estado deve investir, a título</w:t>
      </w:r>
      <w:r w:rsidRPr="002818E7">
        <w:rPr>
          <w:rFonts w:ascii="Verdana" w:hAnsi="Verdana"/>
          <w:sz w:val="20"/>
        </w:rPr>
        <w:t xml:space="preserve"> de reparação</w:t>
      </w:r>
      <w:r>
        <w:rPr>
          <w:rFonts w:ascii="Verdana" w:hAnsi="Verdana"/>
          <w:sz w:val="20"/>
        </w:rPr>
        <w:t xml:space="preserve"> do</w:t>
      </w:r>
      <w:r w:rsidRPr="002818E7">
        <w:rPr>
          <w:rFonts w:ascii="Verdana" w:hAnsi="Verdana"/>
          <w:sz w:val="20"/>
        </w:rPr>
        <w:t xml:space="preserve"> </w:t>
      </w:r>
      <w:r>
        <w:rPr>
          <w:rFonts w:ascii="Verdana" w:hAnsi="Verdana"/>
          <w:sz w:val="20"/>
        </w:rPr>
        <w:t>dano imate</w:t>
      </w:r>
      <w:r w:rsidRPr="002818E7">
        <w:rPr>
          <w:rFonts w:ascii="Verdana" w:hAnsi="Verdana"/>
          <w:sz w:val="20"/>
        </w:rPr>
        <w:t>ria</w:t>
      </w:r>
      <w:r>
        <w:rPr>
          <w:rFonts w:ascii="Verdana" w:hAnsi="Verdana"/>
          <w:sz w:val="20"/>
        </w:rPr>
        <w:t>l, no</w:t>
      </w:r>
      <w:r w:rsidRPr="002818E7">
        <w:rPr>
          <w:rFonts w:ascii="Verdana" w:hAnsi="Verdana"/>
          <w:sz w:val="20"/>
        </w:rPr>
        <w:t xml:space="preserve"> prazo</w:t>
      </w:r>
      <w:r>
        <w:rPr>
          <w:rFonts w:ascii="Verdana" w:hAnsi="Verdana"/>
          <w:sz w:val="20"/>
        </w:rPr>
        <w:t xml:space="preserve"> de 12 meses, a quantia total de US$ 50.000 </w:t>
      </w:r>
      <w:r w:rsidR="00C60678" w:rsidRPr="00C60678">
        <w:rPr>
          <w:rFonts w:ascii="Verdana" w:hAnsi="Verdana"/>
          <w:sz w:val="20"/>
        </w:rPr>
        <w:t>(</w:t>
      </w:r>
      <w:r>
        <w:rPr>
          <w:rFonts w:ascii="Verdana" w:hAnsi="Verdana"/>
          <w:sz w:val="20"/>
        </w:rPr>
        <w:t>cinquenta mil dólares dos Estados Unidos da América</w:t>
      </w:r>
      <w:r w:rsidR="00C60678" w:rsidRPr="00C60678">
        <w:rPr>
          <w:rFonts w:ascii="Verdana" w:hAnsi="Verdana"/>
          <w:sz w:val="20"/>
        </w:rPr>
        <w:t>)</w:t>
      </w:r>
      <w:r>
        <w:rPr>
          <w:rFonts w:ascii="Verdana" w:hAnsi="Verdana"/>
          <w:sz w:val="20"/>
        </w:rPr>
        <w:t xml:space="preserve"> em</w:t>
      </w:r>
      <w:r w:rsidRPr="002818E7">
        <w:rPr>
          <w:rFonts w:ascii="Verdana" w:hAnsi="Verdana"/>
          <w:sz w:val="20"/>
        </w:rPr>
        <w:t xml:space="preserve"> obras o</w:t>
      </w:r>
      <w:r>
        <w:rPr>
          <w:rFonts w:ascii="Verdana" w:hAnsi="Verdana"/>
          <w:sz w:val="20"/>
        </w:rPr>
        <w:t>u</w:t>
      </w:r>
      <w:r w:rsidRPr="002818E7">
        <w:rPr>
          <w:rFonts w:ascii="Verdana" w:hAnsi="Verdana"/>
          <w:sz w:val="20"/>
        </w:rPr>
        <w:t xml:space="preserve"> serviço</w:t>
      </w:r>
      <w:r>
        <w:rPr>
          <w:rFonts w:ascii="Verdana" w:hAnsi="Verdana"/>
          <w:sz w:val="20"/>
        </w:rPr>
        <w:t>s de interesse</w:t>
      </w:r>
      <w:r w:rsidRPr="002818E7">
        <w:rPr>
          <w:rFonts w:ascii="Verdana" w:hAnsi="Verdana"/>
          <w:sz w:val="20"/>
        </w:rPr>
        <w:t xml:space="preserve"> coletivo</w:t>
      </w:r>
      <w:r>
        <w:rPr>
          <w:rFonts w:ascii="Verdana" w:hAnsi="Verdana"/>
          <w:sz w:val="20"/>
        </w:rPr>
        <w:t xml:space="preserve"> em benefício </w:t>
      </w:r>
      <w:r>
        <w:rPr>
          <w:rFonts w:ascii="Verdana" w:hAnsi="Verdana"/>
          <w:sz w:val="20"/>
        </w:rPr>
        <w:lastRenderedPageBreak/>
        <w:t>d</w:t>
      </w:r>
      <w:r w:rsidRPr="002818E7">
        <w:rPr>
          <w:rFonts w:ascii="Verdana" w:hAnsi="Verdana"/>
          <w:sz w:val="20"/>
        </w:rPr>
        <w:t xml:space="preserve">a Comunidade Awas Tingni, </w:t>
      </w:r>
      <w:r w:rsidR="00052663">
        <w:rPr>
          <w:rFonts w:ascii="Verdana" w:hAnsi="Verdana"/>
          <w:sz w:val="20"/>
        </w:rPr>
        <w:t>em</w:t>
      </w:r>
      <w:r w:rsidR="00052663" w:rsidRPr="002818E7">
        <w:rPr>
          <w:rFonts w:ascii="Verdana" w:hAnsi="Verdana"/>
          <w:sz w:val="20"/>
        </w:rPr>
        <w:t xml:space="preserve"> </w:t>
      </w:r>
      <w:r w:rsidRPr="002818E7">
        <w:rPr>
          <w:rFonts w:ascii="Verdana" w:hAnsi="Verdana"/>
          <w:sz w:val="20"/>
        </w:rPr>
        <w:t>comum acordo</w:t>
      </w:r>
      <w:r>
        <w:rPr>
          <w:rFonts w:ascii="Verdana" w:hAnsi="Verdana"/>
          <w:sz w:val="20"/>
        </w:rPr>
        <w:t xml:space="preserve"> com esta e sob </w:t>
      </w:r>
      <w:r w:rsidRPr="002818E7">
        <w:rPr>
          <w:rFonts w:ascii="Verdana" w:hAnsi="Verdana"/>
          <w:sz w:val="20"/>
        </w:rPr>
        <w:t>a supervisão</w:t>
      </w:r>
      <w:r>
        <w:rPr>
          <w:rFonts w:ascii="Verdana" w:hAnsi="Verdana"/>
          <w:sz w:val="20"/>
        </w:rPr>
        <w:t xml:space="preserve"> d</w:t>
      </w:r>
      <w:r w:rsidRPr="002818E7">
        <w:rPr>
          <w:rFonts w:ascii="Verdana" w:hAnsi="Verdana"/>
          <w:sz w:val="20"/>
        </w:rPr>
        <w:t>a Comissão Interamericana.</w:t>
      </w:r>
      <w:proofErr w:type="gramStart"/>
      <w:r w:rsidRPr="002818E7">
        <w:rPr>
          <w:rStyle w:val="Refdenotaalpie"/>
          <w:rFonts w:ascii="Verdana" w:hAnsi="Verdana"/>
          <w:sz w:val="20"/>
        </w:rPr>
        <w:t xml:space="preserve"> </w:t>
      </w:r>
      <w:r w:rsidRPr="002818E7">
        <w:rPr>
          <w:rStyle w:val="Refdenotaalpie"/>
          <w:rFonts w:ascii="Verdana" w:hAnsi="Verdana"/>
          <w:sz w:val="20"/>
        </w:rPr>
        <w:footnoteReference w:id="67"/>
      </w:r>
      <w:proofErr w:type="gramEnd"/>
    </w:p>
    <w:p w:rsidR="00C336FB" w:rsidRDefault="00C336FB" w:rsidP="00C336FB">
      <w:pPr>
        <w:jc w:val="both"/>
        <w:rPr>
          <w:rFonts w:ascii="Verdana" w:hAnsi="Verdana"/>
          <w:sz w:val="20"/>
        </w:rPr>
      </w:pPr>
    </w:p>
    <w:p w:rsidR="00C336FB" w:rsidRPr="002818E7" w:rsidRDefault="00C336FB" w:rsidP="00C336FB">
      <w:pPr>
        <w:jc w:val="center"/>
        <w:rPr>
          <w:rFonts w:ascii="Verdana" w:hAnsi="Verdana"/>
          <w:sz w:val="20"/>
        </w:rPr>
      </w:pPr>
      <w:r w:rsidRPr="002818E7">
        <w:rPr>
          <w:rFonts w:ascii="Verdana" w:hAnsi="Verdana"/>
          <w:sz w:val="20"/>
        </w:rPr>
        <w:t>*</w:t>
      </w:r>
    </w:p>
    <w:p w:rsidR="00C336FB" w:rsidRPr="002818E7" w:rsidRDefault="00C336FB" w:rsidP="00C336FB">
      <w:pPr>
        <w:jc w:val="center"/>
        <w:rPr>
          <w:rFonts w:ascii="Verdana" w:hAnsi="Verdana"/>
          <w:b/>
          <w:sz w:val="20"/>
          <w:u w:val="single"/>
        </w:rPr>
      </w:pPr>
      <w:r w:rsidRPr="002818E7">
        <w:rPr>
          <w:rFonts w:ascii="Verdana" w:hAnsi="Verdana"/>
          <w:sz w:val="20"/>
        </w:rPr>
        <w:t>*</w:t>
      </w:r>
      <w:r w:rsidRPr="002818E7">
        <w:rPr>
          <w:rFonts w:ascii="Verdana" w:hAnsi="Verdana"/>
          <w:sz w:val="20"/>
        </w:rPr>
        <w:tab/>
        <w:t>*</w:t>
      </w:r>
    </w:p>
    <w:p w:rsidR="00C336FB" w:rsidRPr="002818E7" w:rsidRDefault="00C336FB" w:rsidP="00C336FB">
      <w:pPr>
        <w:jc w:val="both"/>
        <w:rPr>
          <w:rFonts w:ascii="Verdana" w:hAnsi="Verdana"/>
          <w:sz w:val="20"/>
        </w:rPr>
      </w:pPr>
    </w:p>
    <w:p w:rsidR="00C336FB" w:rsidRDefault="00C336FB" w:rsidP="00C336FB">
      <w:pPr>
        <w:jc w:val="both"/>
        <w:rPr>
          <w:rFonts w:ascii="Verdana" w:hAnsi="Verdana"/>
          <w:sz w:val="20"/>
        </w:rPr>
      </w:pPr>
      <w:r>
        <w:rPr>
          <w:rFonts w:ascii="Verdana" w:hAnsi="Verdana"/>
          <w:sz w:val="20"/>
        </w:rPr>
        <w:t>168.</w:t>
      </w:r>
      <w:r>
        <w:rPr>
          <w:rFonts w:ascii="Verdana" w:hAnsi="Verdana"/>
          <w:sz w:val="20"/>
        </w:rPr>
        <w:tab/>
        <w:t>Quanto ao</w:t>
      </w:r>
      <w:r w:rsidRPr="002818E7">
        <w:rPr>
          <w:rFonts w:ascii="Verdana" w:hAnsi="Verdana"/>
          <w:sz w:val="20"/>
        </w:rPr>
        <w:t xml:space="preserve"> reembols</w:t>
      </w:r>
      <w:r>
        <w:rPr>
          <w:rFonts w:ascii="Verdana" w:hAnsi="Verdana"/>
          <w:sz w:val="20"/>
        </w:rPr>
        <w:t>o</w:t>
      </w:r>
      <w:r w:rsidRPr="002818E7">
        <w:rPr>
          <w:rFonts w:ascii="Verdana" w:hAnsi="Verdana"/>
          <w:sz w:val="20"/>
        </w:rPr>
        <w:t xml:space="preserve"> das custas</w:t>
      </w:r>
      <w:r>
        <w:rPr>
          <w:rFonts w:ascii="Verdana" w:hAnsi="Verdana"/>
          <w:sz w:val="20"/>
        </w:rPr>
        <w:t xml:space="preserve"> e</w:t>
      </w:r>
      <w:r w:rsidRPr="002818E7">
        <w:rPr>
          <w:rFonts w:ascii="Verdana" w:hAnsi="Verdana"/>
          <w:sz w:val="20"/>
        </w:rPr>
        <w:t xml:space="preserve"> gastos, corr</w:t>
      </w:r>
      <w:r>
        <w:rPr>
          <w:rFonts w:ascii="Verdana" w:hAnsi="Verdana"/>
          <w:sz w:val="20"/>
        </w:rPr>
        <w:t>esponde a este Tribunal considerar</w:t>
      </w:r>
      <w:r w:rsidRPr="002818E7">
        <w:rPr>
          <w:rFonts w:ascii="Verdana" w:hAnsi="Verdana"/>
          <w:sz w:val="20"/>
        </w:rPr>
        <w:t xml:space="preserve"> prudentemente s</w:t>
      </w:r>
      <w:r>
        <w:rPr>
          <w:rFonts w:ascii="Verdana" w:hAnsi="Verdana"/>
          <w:sz w:val="20"/>
        </w:rPr>
        <w:t>e</w:t>
      </w:r>
      <w:r w:rsidRPr="002818E7">
        <w:rPr>
          <w:rFonts w:ascii="Verdana" w:hAnsi="Verdana"/>
          <w:sz w:val="20"/>
        </w:rPr>
        <w:t>u alcance, que compr</w:t>
      </w:r>
      <w:r>
        <w:rPr>
          <w:rFonts w:ascii="Verdana" w:hAnsi="Verdana"/>
          <w:sz w:val="20"/>
        </w:rPr>
        <w:t>eende os gastos pelas gestões realizadas pe</w:t>
      </w:r>
      <w:r w:rsidRPr="002818E7">
        <w:rPr>
          <w:rFonts w:ascii="Verdana" w:hAnsi="Verdana"/>
          <w:sz w:val="20"/>
        </w:rPr>
        <w:t>la Comunidade</w:t>
      </w:r>
      <w:r>
        <w:rPr>
          <w:rFonts w:ascii="Verdana" w:hAnsi="Verdana"/>
          <w:sz w:val="20"/>
        </w:rPr>
        <w:t xml:space="preserve"> perante as autoridades da jurisdi</w:t>
      </w:r>
      <w:r w:rsidRPr="002818E7">
        <w:rPr>
          <w:rFonts w:ascii="Verdana" w:hAnsi="Verdana"/>
          <w:sz w:val="20"/>
        </w:rPr>
        <w:t>ção</w:t>
      </w:r>
      <w:r>
        <w:rPr>
          <w:rFonts w:ascii="Verdana" w:hAnsi="Verdana"/>
          <w:sz w:val="20"/>
        </w:rPr>
        <w:t xml:space="preserve"> interna, </w:t>
      </w:r>
      <w:r w:rsidR="00C6474D">
        <w:rPr>
          <w:rFonts w:ascii="Verdana" w:hAnsi="Verdana"/>
          <w:sz w:val="20"/>
        </w:rPr>
        <w:t>bem como</w:t>
      </w:r>
      <w:r w:rsidRPr="002818E7">
        <w:rPr>
          <w:rFonts w:ascii="Verdana" w:hAnsi="Verdana"/>
          <w:sz w:val="20"/>
        </w:rPr>
        <w:t xml:space="preserve"> </w:t>
      </w:r>
      <w:r>
        <w:rPr>
          <w:rFonts w:ascii="Verdana" w:hAnsi="Verdana"/>
          <w:sz w:val="20"/>
        </w:rPr>
        <w:t>os gerados no curso do</w:t>
      </w:r>
      <w:r w:rsidRPr="002818E7">
        <w:rPr>
          <w:rFonts w:ascii="Verdana" w:hAnsi="Verdana"/>
          <w:sz w:val="20"/>
        </w:rPr>
        <w:t xml:space="preserve"> processo</w:t>
      </w:r>
      <w:r>
        <w:rPr>
          <w:rFonts w:ascii="Verdana" w:hAnsi="Verdana"/>
          <w:sz w:val="20"/>
        </w:rPr>
        <w:t xml:space="preserve"> perante o</w:t>
      </w:r>
      <w:r w:rsidRPr="002818E7">
        <w:rPr>
          <w:rFonts w:ascii="Verdana" w:hAnsi="Verdana"/>
          <w:sz w:val="20"/>
        </w:rPr>
        <w:t xml:space="preserve"> sistema interamericano. Esta apreciação pode ser realizada</w:t>
      </w:r>
      <w:r>
        <w:rPr>
          <w:rFonts w:ascii="Verdana" w:hAnsi="Verdana"/>
          <w:sz w:val="20"/>
        </w:rPr>
        <w:t xml:space="preserve"> com base no</w:t>
      </w:r>
      <w:r w:rsidRPr="002818E7">
        <w:rPr>
          <w:rFonts w:ascii="Verdana" w:hAnsi="Verdana"/>
          <w:sz w:val="20"/>
        </w:rPr>
        <w:t xml:space="preserve"> princípio de equidad</w:t>
      </w:r>
      <w:r>
        <w:rPr>
          <w:rFonts w:ascii="Verdana" w:hAnsi="Verdana"/>
          <w:sz w:val="20"/>
        </w:rPr>
        <w:t>e</w:t>
      </w:r>
      <w:r w:rsidRPr="002818E7">
        <w:rPr>
          <w:rFonts w:ascii="Verdana" w:hAnsi="Verdana"/>
          <w:sz w:val="20"/>
        </w:rPr>
        <w:t>.</w:t>
      </w:r>
      <w:proofErr w:type="gramStart"/>
      <w:r w:rsidRPr="002818E7">
        <w:rPr>
          <w:rStyle w:val="Refdenotaalpie"/>
          <w:rFonts w:ascii="Verdana" w:hAnsi="Verdana"/>
          <w:sz w:val="20"/>
        </w:rPr>
        <w:footnoteReference w:id="68"/>
      </w:r>
      <w:proofErr w:type="gramEnd"/>
    </w:p>
    <w:p w:rsidR="00C336FB" w:rsidRPr="002818E7" w:rsidRDefault="00C336FB" w:rsidP="00C336FB">
      <w:pPr>
        <w:jc w:val="both"/>
        <w:rPr>
          <w:rFonts w:ascii="Verdana" w:hAnsi="Verdana"/>
          <w:sz w:val="20"/>
        </w:rPr>
      </w:pPr>
    </w:p>
    <w:p w:rsidR="00C336FB" w:rsidRDefault="00C336FB" w:rsidP="00C336FB">
      <w:pPr>
        <w:jc w:val="both"/>
        <w:rPr>
          <w:rFonts w:ascii="Verdana" w:hAnsi="Verdana"/>
          <w:sz w:val="20"/>
        </w:rPr>
      </w:pPr>
      <w:r w:rsidRPr="002818E7">
        <w:rPr>
          <w:rFonts w:ascii="Verdana" w:hAnsi="Verdana"/>
          <w:sz w:val="20"/>
        </w:rPr>
        <w:t>169.</w:t>
      </w:r>
      <w:r w:rsidRPr="002818E7">
        <w:rPr>
          <w:rFonts w:ascii="Verdana" w:hAnsi="Verdana"/>
          <w:sz w:val="20"/>
        </w:rPr>
        <w:tab/>
      </w:r>
      <w:r>
        <w:rPr>
          <w:rFonts w:ascii="Verdana" w:hAnsi="Verdana"/>
          <w:sz w:val="20"/>
        </w:rPr>
        <w:t>Para</w:t>
      </w:r>
      <w:r w:rsidRPr="002818E7">
        <w:rPr>
          <w:rFonts w:ascii="Verdana" w:hAnsi="Verdana"/>
          <w:sz w:val="20"/>
        </w:rPr>
        <w:t xml:space="preserve"> e</w:t>
      </w:r>
      <w:r>
        <w:rPr>
          <w:rFonts w:ascii="Verdana" w:hAnsi="Verdana"/>
          <w:sz w:val="20"/>
        </w:rPr>
        <w:t>sse efeito, a Corte considera que é</w:t>
      </w:r>
      <w:r w:rsidRPr="002818E7">
        <w:rPr>
          <w:rFonts w:ascii="Verdana" w:hAnsi="Verdana"/>
          <w:sz w:val="20"/>
        </w:rPr>
        <w:t xml:space="preserve"> equitativo </w:t>
      </w:r>
      <w:r>
        <w:rPr>
          <w:rFonts w:ascii="Verdana" w:hAnsi="Verdana"/>
          <w:sz w:val="20"/>
        </w:rPr>
        <w:t>conceder, por conduto d</w:t>
      </w:r>
      <w:r w:rsidRPr="002818E7">
        <w:rPr>
          <w:rFonts w:ascii="Verdana" w:hAnsi="Verdana"/>
          <w:sz w:val="20"/>
        </w:rPr>
        <w:t>a Comissão</w:t>
      </w:r>
      <w:r>
        <w:rPr>
          <w:rFonts w:ascii="Verdana" w:hAnsi="Verdana"/>
          <w:sz w:val="20"/>
        </w:rPr>
        <w:t xml:space="preserve"> Interamericana, a quantia total de US$ 30.000 </w:t>
      </w:r>
      <w:r w:rsidR="00C60678" w:rsidRPr="00C60678">
        <w:rPr>
          <w:rFonts w:ascii="Verdana" w:hAnsi="Verdana"/>
          <w:sz w:val="20"/>
        </w:rPr>
        <w:t>(</w:t>
      </w:r>
      <w:r>
        <w:rPr>
          <w:rFonts w:ascii="Verdana" w:hAnsi="Verdana"/>
          <w:sz w:val="20"/>
        </w:rPr>
        <w:t>trinta mil dólares d</w:t>
      </w:r>
      <w:r w:rsidRPr="002818E7">
        <w:rPr>
          <w:rFonts w:ascii="Verdana" w:hAnsi="Verdana"/>
          <w:sz w:val="20"/>
        </w:rPr>
        <w:t>os Estado</w:t>
      </w:r>
      <w:r>
        <w:rPr>
          <w:rFonts w:ascii="Verdana" w:hAnsi="Verdana"/>
          <w:sz w:val="20"/>
        </w:rPr>
        <w:t>s Unidos da América</w:t>
      </w:r>
      <w:r w:rsidR="00C60678" w:rsidRPr="00C60678">
        <w:rPr>
          <w:rFonts w:ascii="Verdana" w:hAnsi="Verdana"/>
          <w:sz w:val="20"/>
        </w:rPr>
        <w:t>)</w:t>
      </w:r>
      <w:r>
        <w:rPr>
          <w:rFonts w:ascii="Verdana" w:hAnsi="Verdana"/>
          <w:sz w:val="20"/>
        </w:rPr>
        <w:t xml:space="preserve"> a título de gastos e</w:t>
      </w:r>
      <w:r w:rsidRPr="002818E7">
        <w:rPr>
          <w:rFonts w:ascii="Verdana" w:hAnsi="Verdana"/>
          <w:sz w:val="20"/>
        </w:rPr>
        <w:t xml:space="preserve"> custas</w:t>
      </w:r>
      <w:r>
        <w:rPr>
          <w:rFonts w:ascii="Verdana" w:hAnsi="Verdana"/>
          <w:sz w:val="20"/>
        </w:rPr>
        <w:t xml:space="preserve"> em que incorreram </w:t>
      </w:r>
      <w:r w:rsidRPr="002818E7">
        <w:rPr>
          <w:rFonts w:ascii="Verdana" w:hAnsi="Verdana"/>
          <w:sz w:val="20"/>
        </w:rPr>
        <w:t>os membros</w:t>
      </w:r>
      <w:r>
        <w:rPr>
          <w:rFonts w:ascii="Verdana" w:hAnsi="Verdana"/>
          <w:sz w:val="20"/>
        </w:rPr>
        <w:t xml:space="preserve"> d</w:t>
      </w:r>
      <w:r w:rsidRPr="002818E7">
        <w:rPr>
          <w:rFonts w:ascii="Verdana" w:hAnsi="Verdana"/>
          <w:sz w:val="20"/>
        </w:rPr>
        <w:t>a Comunidade</w:t>
      </w:r>
      <w:r>
        <w:rPr>
          <w:rFonts w:ascii="Verdana" w:hAnsi="Verdana"/>
          <w:sz w:val="20"/>
        </w:rPr>
        <w:t xml:space="preserve"> Awas Tingni e</w:t>
      </w:r>
      <w:r w:rsidRPr="002818E7">
        <w:rPr>
          <w:rFonts w:ascii="Verdana" w:hAnsi="Verdana"/>
          <w:sz w:val="20"/>
        </w:rPr>
        <w:t xml:space="preserve"> s</w:t>
      </w:r>
      <w:r>
        <w:rPr>
          <w:rFonts w:ascii="Verdana" w:hAnsi="Verdana"/>
          <w:sz w:val="20"/>
        </w:rPr>
        <w:t>e</w:t>
      </w:r>
      <w:r w:rsidRPr="002818E7">
        <w:rPr>
          <w:rFonts w:ascii="Verdana" w:hAnsi="Verdana"/>
          <w:sz w:val="20"/>
        </w:rPr>
        <w:t>us re</w:t>
      </w:r>
      <w:r>
        <w:rPr>
          <w:rFonts w:ascii="Verdana" w:hAnsi="Verdana"/>
          <w:sz w:val="20"/>
        </w:rPr>
        <w:t>presentantes, ambos causados n</w:t>
      </w:r>
      <w:r w:rsidRPr="002818E7">
        <w:rPr>
          <w:rFonts w:ascii="Verdana" w:hAnsi="Verdana"/>
          <w:sz w:val="20"/>
        </w:rPr>
        <w:t>os processo</w:t>
      </w:r>
      <w:r>
        <w:rPr>
          <w:rFonts w:ascii="Verdana" w:hAnsi="Verdana"/>
          <w:sz w:val="20"/>
        </w:rPr>
        <w:t>s internos e no</w:t>
      </w:r>
      <w:r w:rsidRPr="002818E7">
        <w:rPr>
          <w:rFonts w:ascii="Verdana" w:hAnsi="Verdana"/>
          <w:sz w:val="20"/>
        </w:rPr>
        <w:t xml:space="preserve"> processo</w:t>
      </w:r>
      <w:r>
        <w:rPr>
          <w:rFonts w:ascii="Verdana" w:hAnsi="Verdana"/>
          <w:sz w:val="20"/>
        </w:rPr>
        <w:t xml:space="preserve"> internacional perante o</w:t>
      </w:r>
      <w:r w:rsidRPr="002818E7">
        <w:rPr>
          <w:rFonts w:ascii="Verdana" w:hAnsi="Verdana"/>
          <w:sz w:val="20"/>
        </w:rPr>
        <w:t xml:space="preserve"> sistema interamericano de proteção</w:t>
      </w:r>
      <w:r>
        <w:rPr>
          <w:rFonts w:ascii="Verdana" w:hAnsi="Verdana"/>
          <w:sz w:val="20"/>
        </w:rPr>
        <w:t xml:space="preserve">. </w:t>
      </w:r>
      <w:r w:rsidRPr="002818E7">
        <w:rPr>
          <w:rFonts w:ascii="Verdana" w:hAnsi="Verdana"/>
          <w:sz w:val="20"/>
        </w:rPr>
        <w:t>Para</w:t>
      </w:r>
      <w:r>
        <w:rPr>
          <w:rFonts w:ascii="Verdana" w:hAnsi="Verdana"/>
          <w:sz w:val="20"/>
        </w:rPr>
        <w:t xml:space="preserve"> o</w:t>
      </w:r>
      <w:r w:rsidRPr="002818E7">
        <w:rPr>
          <w:rFonts w:ascii="Verdana" w:hAnsi="Verdana"/>
          <w:sz w:val="20"/>
        </w:rPr>
        <w:t xml:space="preserve"> cumprimento</w:t>
      </w:r>
      <w:r>
        <w:rPr>
          <w:rFonts w:ascii="Verdana" w:hAnsi="Verdana"/>
          <w:sz w:val="20"/>
        </w:rPr>
        <w:t xml:space="preserve"> do anterior, o</w:t>
      </w:r>
      <w:r w:rsidRPr="002818E7">
        <w:rPr>
          <w:rFonts w:ascii="Verdana" w:hAnsi="Verdana"/>
          <w:sz w:val="20"/>
        </w:rPr>
        <w:t xml:space="preserve"> Estado dever</w:t>
      </w:r>
      <w:r>
        <w:rPr>
          <w:rFonts w:ascii="Verdana" w:hAnsi="Verdana"/>
          <w:sz w:val="20"/>
        </w:rPr>
        <w:t>á efetuar o</w:t>
      </w:r>
      <w:r w:rsidRPr="002818E7">
        <w:rPr>
          <w:rFonts w:ascii="Verdana" w:hAnsi="Verdana"/>
          <w:sz w:val="20"/>
        </w:rPr>
        <w:t xml:space="preserve"> respectivo pag</w:t>
      </w:r>
      <w:r>
        <w:rPr>
          <w:rFonts w:ascii="Verdana" w:hAnsi="Verdana"/>
          <w:sz w:val="20"/>
        </w:rPr>
        <w:t>amento num</w:t>
      </w:r>
      <w:r w:rsidRPr="002818E7">
        <w:rPr>
          <w:rFonts w:ascii="Verdana" w:hAnsi="Verdana"/>
          <w:sz w:val="20"/>
        </w:rPr>
        <w:t xml:space="preserve"> prazo</w:t>
      </w:r>
      <w:r>
        <w:rPr>
          <w:rFonts w:ascii="Verdana" w:hAnsi="Verdana"/>
          <w:sz w:val="20"/>
        </w:rPr>
        <w:t xml:space="preserve"> de seis meses contado a partir d</w:t>
      </w:r>
      <w:r w:rsidRPr="002818E7">
        <w:rPr>
          <w:rFonts w:ascii="Verdana" w:hAnsi="Verdana"/>
          <w:sz w:val="20"/>
        </w:rPr>
        <w:t>a notificação</w:t>
      </w:r>
      <w:r>
        <w:rPr>
          <w:rFonts w:ascii="Verdana" w:hAnsi="Verdana"/>
          <w:sz w:val="20"/>
        </w:rPr>
        <w:t xml:space="preserve"> d</w:t>
      </w:r>
      <w:r w:rsidRPr="002818E7">
        <w:rPr>
          <w:rFonts w:ascii="Verdana" w:hAnsi="Verdana"/>
          <w:sz w:val="20"/>
        </w:rPr>
        <w:t xml:space="preserve">esta Sentença. </w:t>
      </w:r>
    </w:p>
    <w:p w:rsidR="00C336FB" w:rsidRPr="002818E7" w:rsidRDefault="00C336FB" w:rsidP="00C336FB">
      <w:pPr>
        <w:jc w:val="both"/>
        <w:rPr>
          <w:rFonts w:ascii="Verdana" w:hAnsi="Verdana"/>
          <w:b/>
          <w:sz w:val="20"/>
        </w:rPr>
      </w:pPr>
    </w:p>
    <w:p w:rsidR="00C336FB" w:rsidRPr="002818E7" w:rsidRDefault="00C336FB" w:rsidP="00C336FB">
      <w:pPr>
        <w:jc w:val="center"/>
        <w:rPr>
          <w:rFonts w:ascii="Verdana" w:hAnsi="Verdana"/>
          <w:sz w:val="20"/>
        </w:rPr>
      </w:pPr>
      <w:r w:rsidRPr="002818E7">
        <w:rPr>
          <w:rFonts w:ascii="Verdana" w:hAnsi="Verdana"/>
          <w:sz w:val="20"/>
        </w:rPr>
        <w:t>*</w:t>
      </w:r>
    </w:p>
    <w:p w:rsidR="00C336FB" w:rsidRPr="002818E7" w:rsidRDefault="00C336FB" w:rsidP="00C336FB">
      <w:pPr>
        <w:jc w:val="center"/>
        <w:rPr>
          <w:rFonts w:ascii="Verdana" w:hAnsi="Verdana"/>
          <w:b/>
          <w:sz w:val="20"/>
          <w:u w:val="single"/>
        </w:rPr>
      </w:pPr>
      <w:r w:rsidRPr="002818E7">
        <w:rPr>
          <w:rFonts w:ascii="Verdana" w:hAnsi="Verdana"/>
          <w:sz w:val="20"/>
        </w:rPr>
        <w:t>*</w:t>
      </w:r>
      <w:r w:rsidRPr="002818E7">
        <w:rPr>
          <w:rFonts w:ascii="Verdana" w:hAnsi="Verdana"/>
          <w:sz w:val="20"/>
        </w:rPr>
        <w:tab/>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170.</w:t>
      </w:r>
      <w:r w:rsidRPr="002818E7">
        <w:rPr>
          <w:rFonts w:ascii="Verdana" w:hAnsi="Verdana"/>
          <w:sz w:val="20"/>
        </w:rPr>
        <w:tab/>
      </w:r>
      <w:r>
        <w:rPr>
          <w:rFonts w:ascii="Verdana" w:hAnsi="Verdana"/>
          <w:sz w:val="20"/>
        </w:rPr>
        <w:t>O</w:t>
      </w:r>
      <w:r w:rsidRPr="002818E7">
        <w:rPr>
          <w:rFonts w:ascii="Verdana" w:hAnsi="Verdana"/>
          <w:sz w:val="20"/>
        </w:rPr>
        <w:t xml:space="preserve"> Estado pode cumprir su</w:t>
      </w:r>
      <w:r>
        <w:rPr>
          <w:rFonts w:ascii="Verdana" w:hAnsi="Verdana"/>
          <w:sz w:val="20"/>
        </w:rPr>
        <w:t>a</w:t>
      </w:r>
      <w:r w:rsidRPr="002818E7">
        <w:rPr>
          <w:rFonts w:ascii="Verdana" w:hAnsi="Verdana"/>
          <w:sz w:val="20"/>
        </w:rPr>
        <w:t>s obrigações</w:t>
      </w:r>
      <w:r>
        <w:rPr>
          <w:rFonts w:ascii="Verdana" w:hAnsi="Verdana"/>
          <w:sz w:val="20"/>
        </w:rPr>
        <w:t xml:space="preserve"> mediante o</w:t>
      </w:r>
      <w:r w:rsidRPr="002818E7">
        <w:rPr>
          <w:rFonts w:ascii="Verdana" w:hAnsi="Verdana"/>
          <w:sz w:val="20"/>
        </w:rPr>
        <w:t xml:space="preserve"> pag</w:t>
      </w:r>
      <w:r>
        <w:rPr>
          <w:rFonts w:ascii="Verdana" w:hAnsi="Verdana"/>
          <w:sz w:val="20"/>
        </w:rPr>
        <w:t>amento em dólares dos Estados Unidos da</w:t>
      </w:r>
      <w:r w:rsidRPr="002818E7">
        <w:rPr>
          <w:rFonts w:ascii="Verdana" w:hAnsi="Verdana"/>
          <w:sz w:val="20"/>
        </w:rPr>
        <w:t xml:space="preserve"> América o</w:t>
      </w:r>
      <w:r>
        <w:rPr>
          <w:rFonts w:ascii="Verdana" w:hAnsi="Verdana"/>
          <w:sz w:val="20"/>
        </w:rPr>
        <w:t>u em uma quantia equivalente em mo</w:t>
      </w:r>
      <w:r w:rsidRPr="002818E7">
        <w:rPr>
          <w:rFonts w:ascii="Verdana" w:hAnsi="Verdana"/>
          <w:sz w:val="20"/>
        </w:rPr>
        <w:t>eda nicaraguense</w:t>
      </w:r>
      <w:r>
        <w:rPr>
          <w:rFonts w:ascii="Verdana" w:hAnsi="Verdana"/>
          <w:sz w:val="20"/>
        </w:rPr>
        <w:t>, utilizando para o cálculo respectivo a taxa de câ</w:t>
      </w:r>
      <w:r w:rsidRPr="002818E7">
        <w:rPr>
          <w:rFonts w:ascii="Verdana" w:hAnsi="Verdana"/>
          <w:sz w:val="20"/>
        </w:rPr>
        <w:t xml:space="preserve">mbio entre ambas </w:t>
      </w:r>
      <w:r>
        <w:rPr>
          <w:rFonts w:ascii="Verdana" w:hAnsi="Verdana"/>
          <w:sz w:val="20"/>
        </w:rPr>
        <w:t xml:space="preserve">as moedas que </w:t>
      </w:r>
      <w:proofErr w:type="gramStart"/>
      <w:r>
        <w:rPr>
          <w:rFonts w:ascii="Verdana" w:hAnsi="Verdana"/>
          <w:sz w:val="20"/>
        </w:rPr>
        <w:t>esteja vigente</w:t>
      </w:r>
      <w:proofErr w:type="gramEnd"/>
      <w:r>
        <w:rPr>
          <w:rFonts w:ascii="Verdana" w:hAnsi="Verdana"/>
          <w:sz w:val="20"/>
        </w:rPr>
        <w:t xml:space="preserve"> no dia anterior ao</w:t>
      </w:r>
      <w:r w:rsidRPr="002818E7">
        <w:rPr>
          <w:rFonts w:ascii="Verdana" w:hAnsi="Verdana"/>
          <w:sz w:val="20"/>
        </w:rPr>
        <w:t xml:space="preserve"> pag</w:t>
      </w:r>
      <w:r>
        <w:rPr>
          <w:rFonts w:ascii="Verdana" w:hAnsi="Verdana"/>
          <w:sz w:val="20"/>
        </w:rPr>
        <w:t>ament</w:t>
      </w:r>
      <w:r w:rsidRPr="002818E7">
        <w:rPr>
          <w:rFonts w:ascii="Verdana" w:hAnsi="Verdana"/>
          <w:sz w:val="20"/>
        </w:rPr>
        <w:t>o</w:t>
      </w:r>
      <w:r>
        <w:rPr>
          <w:rFonts w:ascii="Verdana" w:hAnsi="Verdana"/>
          <w:sz w:val="20"/>
        </w:rPr>
        <w:t xml:space="preserve"> na praça</w:t>
      </w:r>
      <w:r w:rsidRPr="002818E7">
        <w:rPr>
          <w:rFonts w:ascii="Verdana" w:hAnsi="Verdana"/>
          <w:sz w:val="20"/>
        </w:rPr>
        <w:t xml:space="preserve"> de Nova</w:t>
      </w:r>
      <w:r>
        <w:rPr>
          <w:rFonts w:ascii="Verdana" w:hAnsi="Verdana"/>
          <w:sz w:val="20"/>
        </w:rPr>
        <w:t xml:space="preserve"> York, Estados Unidos da América</w:t>
      </w:r>
      <w:r w:rsidRPr="002818E7">
        <w:rPr>
          <w:rFonts w:ascii="Verdana" w:hAnsi="Verdana"/>
          <w:sz w:val="20"/>
        </w:rPr>
        <w:t>.</w:t>
      </w:r>
      <w:r w:rsidR="00850A3F">
        <w:rPr>
          <w:rFonts w:ascii="Verdana" w:hAnsi="Verdana"/>
          <w:sz w:val="20"/>
        </w:rPr>
        <w:t xml:space="preserve"> </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171.</w:t>
      </w:r>
      <w:r w:rsidRPr="002818E7">
        <w:rPr>
          <w:rFonts w:ascii="Verdana" w:hAnsi="Verdana"/>
          <w:sz w:val="20"/>
        </w:rPr>
        <w:tab/>
      </w:r>
      <w:r>
        <w:rPr>
          <w:rFonts w:ascii="Verdana" w:hAnsi="Verdana"/>
          <w:sz w:val="20"/>
        </w:rPr>
        <w:t>O</w:t>
      </w:r>
      <w:r w:rsidRPr="002818E7">
        <w:rPr>
          <w:rFonts w:ascii="Verdana" w:hAnsi="Verdana"/>
          <w:sz w:val="20"/>
        </w:rPr>
        <w:t xml:space="preserve"> pag</w:t>
      </w:r>
      <w:r>
        <w:rPr>
          <w:rFonts w:ascii="Verdana" w:hAnsi="Verdana"/>
          <w:sz w:val="20"/>
        </w:rPr>
        <w:t>amento do</w:t>
      </w:r>
      <w:r w:rsidRPr="002818E7">
        <w:rPr>
          <w:rFonts w:ascii="Verdana" w:hAnsi="Verdana"/>
          <w:sz w:val="20"/>
        </w:rPr>
        <w:t xml:space="preserve"> </w:t>
      </w:r>
      <w:r>
        <w:rPr>
          <w:rFonts w:ascii="Verdana" w:hAnsi="Verdana"/>
          <w:sz w:val="20"/>
        </w:rPr>
        <w:t>dano imate</w:t>
      </w:r>
      <w:r w:rsidRPr="002818E7">
        <w:rPr>
          <w:rFonts w:ascii="Verdana" w:hAnsi="Verdana"/>
          <w:sz w:val="20"/>
        </w:rPr>
        <w:t>ria</w:t>
      </w:r>
      <w:r>
        <w:rPr>
          <w:rFonts w:ascii="Verdana" w:hAnsi="Verdana"/>
          <w:sz w:val="20"/>
        </w:rPr>
        <w:t>l</w:t>
      </w:r>
      <w:r w:rsidR="001E3960">
        <w:rPr>
          <w:rFonts w:ascii="Verdana" w:hAnsi="Verdana"/>
          <w:sz w:val="20"/>
        </w:rPr>
        <w:t>,</w:t>
      </w:r>
      <w:r>
        <w:rPr>
          <w:rFonts w:ascii="Verdana" w:hAnsi="Verdana"/>
          <w:sz w:val="20"/>
        </w:rPr>
        <w:t xml:space="preserve"> </w:t>
      </w:r>
      <w:r w:rsidR="00C6474D">
        <w:rPr>
          <w:rFonts w:ascii="Verdana" w:hAnsi="Verdana"/>
          <w:sz w:val="20"/>
        </w:rPr>
        <w:t>bem como</w:t>
      </w:r>
      <w:r w:rsidRPr="002818E7">
        <w:rPr>
          <w:rFonts w:ascii="Verdana" w:hAnsi="Verdana"/>
          <w:sz w:val="20"/>
        </w:rPr>
        <w:t xml:space="preserve"> das custas</w:t>
      </w:r>
      <w:r>
        <w:rPr>
          <w:rFonts w:ascii="Verdana" w:hAnsi="Verdana"/>
          <w:sz w:val="20"/>
        </w:rPr>
        <w:t xml:space="preserve"> e</w:t>
      </w:r>
      <w:r w:rsidRPr="002818E7">
        <w:rPr>
          <w:rFonts w:ascii="Verdana" w:hAnsi="Verdana"/>
          <w:sz w:val="20"/>
        </w:rPr>
        <w:t xml:space="preserve"> gastos estabelecido</w:t>
      </w:r>
      <w:r>
        <w:rPr>
          <w:rFonts w:ascii="Verdana" w:hAnsi="Verdana"/>
          <w:sz w:val="20"/>
        </w:rPr>
        <w:t>s n</w:t>
      </w:r>
      <w:r w:rsidRPr="002818E7">
        <w:rPr>
          <w:rFonts w:ascii="Verdana" w:hAnsi="Verdana"/>
          <w:sz w:val="20"/>
        </w:rPr>
        <w:t>a presente Sentença</w:t>
      </w:r>
      <w:r w:rsidR="001E3960">
        <w:rPr>
          <w:rFonts w:ascii="Verdana" w:hAnsi="Verdana"/>
          <w:sz w:val="20"/>
        </w:rPr>
        <w:t>,</w:t>
      </w:r>
      <w:r w:rsidRPr="002818E7">
        <w:rPr>
          <w:rFonts w:ascii="Verdana" w:hAnsi="Verdana"/>
          <w:sz w:val="20"/>
        </w:rPr>
        <w:t xml:space="preserve"> n</w:t>
      </w:r>
      <w:r>
        <w:rPr>
          <w:rFonts w:ascii="Verdana" w:hAnsi="Verdana"/>
          <w:sz w:val="20"/>
        </w:rPr>
        <w:t>ã</w:t>
      </w:r>
      <w:r w:rsidRPr="002818E7">
        <w:rPr>
          <w:rFonts w:ascii="Verdana" w:hAnsi="Verdana"/>
          <w:sz w:val="20"/>
        </w:rPr>
        <w:t>o pod</w:t>
      </w:r>
      <w:r>
        <w:rPr>
          <w:rFonts w:ascii="Verdana" w:hAnsi="Verdana"/>
          <w:sz w:val="20"/>
        </w:rPr>
        <w:t>erá ser objeto de impo</w:t>
      </w:r>
      <w:r w:rsidRPr="002818E7">
        <w:rPr>
          <w:rFonts w:ascii="Verdana" w:hAnsi="Verdana"/>
          <w:sz w:val="20"/>
        </w:rPr>
        <w:t>sto o</w:t>
      </w:r>
      <w:r>
        <w:rPr>
          <w:rFonts w:ascii="Verdana" w:hAnsi="Verdana"/>
          <w:sz w:val="20"/>
        </w:rPr>
        <w:t>u taxa a</w:t>
      </w:r>
      <w:r w:rsidRPr="002818E7">
        <w:rPr>
          <w:rFonts w:ascii="Verdana" w:hAnsi="Verdana"/>
          <w:sz w:val="20"/>
        </w:rPr>
        <w:t xml:space="preserve">tualmente </w:t>
      </w:r>
      <w:r>
        <w:rPr>
          <w:rFonts w:ascii="Verdana" w:hAnsi="Verdana"/>
          <w:sz w:val="20"/>
        </w:rPr>
        <w:t>existen</w:t>
      </w:r>
      <w:r w:rsidRPr="002818E7">
        <w:rPr>
          <w:rFonts w:ascii="Verdana" w:hAnsi="Verdana"/>
          <w:sz w:val="20"/>
        </w:rPr>
        <w:t>te o</w:t>
      </w:r>
      <w:r>
        <w:rPr>
          <w:rFonts w:ascii="Verdana" w:hAnsi="Verdana"/>
          <w:sz w:val="20"/>
        </w:rPr>
        <w:t>u que possa</w:t>
      </w:r>
      <w:r w:rsidRPr="002818E7">
        <w:rPr>
          <w:rFonts w:ascii="Verdana" w:hAnsi="Verdana"/>
          <w:sz w:val="20"/>
        </w:rPr>
        <w:t xml:space="preserve"> </w:t>
      </w:r>
      <w:r>
        <w:rPr>
          <w:rFonts w:ascii="Verdana" w:hAnsi="Verdana"/>
          <w:sz w:val="20"/>
        </w:rPr>
        <w:t>ser decretada no</w:t>
      </w:r>
      <w:r w:rsidRPr="002818E7">
        <w:rPr>
          <w:rFonts w:ascii="Verdana" w:hAnsi="Verdana"/>
          <w:sz w:val="20"/>
        </w:rPr>
        <w:t xml:space="preserve"> futuro. Ademais</w:t>
      </w:r>
      <w:r>
        <w:rPr>
          <w:rFonts w:ascii="Verdana" w:hAnsi="Verdana"/>
          <w:sz w:val="20"/>
        </w:rPr>
        <w:t>, caso o Estado incorra em</w:t>
      </w:r>
      <w:r w:rsidRPr="002818E7">
        <w:rPr>
          <w:rFonts w:ascii="Verdana" w:hAnsi="Verdana"/>
          <w:sz w:val="20"/>
        </w:rPr>
        <w:t xml:space="preserve"> </w:t>
      </w:r>
      <w:r>
        <w:rPr>
          <w:rFonts w:ascii="Verdana" w:hAnsi="Verdana"/>
          <w:sz w:val="20"/>
        </w:rPr>
        <w:t>de</w:t>
      </w:r>
      <w:r w:rsidRPr="002818E7">
        <w:rPr>
          <w:rFonts w:ascii="Verdana" w:hAnsi="Verdana"/>
          <w:sz w:val="20"/>
        </w:rPr>
        <w:t>mora, dever</w:t>
      </w:r>
      <w:r>
        <w:rPr>
          <w:rFonts w:ascii="Verdana" w:hAnsi="Verdana"/>
          <w:sz w:val="20"/>
        </w:rPr>
        <w:t>á pagar juro</w:t>
      </w:r>
      <w:r w:rsidR="004B65E5">
        <w:rPr>
          <w:rFonts w:ascii="Verdana" w:hAnsi="Verdana"/>
          <w:sz w:val="20"/>
        </w:rPr>
        <w:t>s</w:t>
      </w:r>
      <w:r>
        <w:rPr>
          <w:rFonts w:ascii="Verdana" w:hAnsi="Verdana"/>
          <w:sz w:val="20"/>
        </w:rPr>
        <w:t xml:space="preserve"> sobre </w:t>
      </w:r>
      <w:r w:rsidRPr="002818E7">
        <w:rPr>
          <w:rFonts w:ascii="Verdana" w:hAnsi="Verdana"/>
          <w:sz w:val="20"/>
        </w:rPr>
        <w:t>a s</w:t>
      </w:r>
      <w:r>
        <w:rPr>
          <w:rFonts w:ascii="Verdana" w:hAnsi="Verdana"/>
          <w:sz w:val="20"/>
        </w:rPr>
        <w:t>o</w:t>
      </w:r>
      <w:r w:rsidRPr="002818E7">
        <w:rPr>
          <w:rFonts w:ascii="Verdana" w:hAnsi="Verdana"/>
          <w:sz w:val="20"/>
        </w:rPr>
        <w:t xml:space="preserve">ma </w:t>
      </w:r>
      <w:r>
        <w:rPr>
          <w:rFonts w:ascii="Verdana" w:hAnsi="Verdana"/>
          <w:sz w:val="20"/>
        </w:rPr>
        <w:t>devida</w:t>
      </w:r>
      <w:r w:rsidR="004B65E5">
        <w:rPr>
          <w:rFonts w:ascii="Verdana" w:hAnsi="Verdana"/>
          <w:sz w:val="20"/>
        </w:rPr>
        <w:t>,</w:t>
      </w:r>
      <w:r>
        <w:rPr>
          <w:rFonts w:ascii="Verdana" w:hAnsi="Verdana"/>
          <w:sz w:val="20"/>
        </w:rPr>
        <w:t xml:space="preserve"> que corresponderá ao juro bancário moratório </w:t>
      </w:r>
      <w:r w:rsidRPr="002818E7">
        <w:rPr>
          <w:rFonts w:ascii="Verdana" w:hAnsi="Verdana"/>
          <w:sz w:val="20"/>
        </w:rPr>
        <w:t>n</w:t>
      </w:r>
      <w:r>
        <w:rPr>
          <w:rFonts w:ascii="Verdana" w:hAnsi="Verdana"/>
          <w:sz w:val="20"/>
        </w:rPr>
        <w:t>a</w:t>
      </w:r>
      <w:r w:rsidRPr="002818E7">
        <w:rPr>
          <w:rFonts w:ascii="Verdana" w:hAnsi="Verdana"/>
          <w:sz w:val="20"/>
        </w:rPr>
        <w:t xml:space="preserve"> Nicarágua</w:t>
      </w:r>
      <w:r>
        <w:rPr>
          <w:rFonts w:ascii="Verdana" w:hAnsi="Verdana"/>
          <w:sz w:val="20"/>
        </w:rPr>
        <w:t>.</w:t>
      </w:r>
      <w:r w:rsidR="00850A3F">
        <w:rPr>
          <w:rFonts w:ascii="Verdana" w:hAnsi="Verdana"/>
          <w:sz w:val="20"/>
        </w:rPr>
        <w:t xml:space="preserve"> </w:t>
      </w:r>
      <w:r>
        <w:rPr>
          <w:rFonts w:ascii="Verdana" w:hAnsi="Verdana"/>
          <w:sz w:val="20"/>
        </w:rPr>
        <w:t>Finalmente, se por algum</w:t>
      </w:r>
      <w:r w:rsidRPr="002818E7">
        <w:rPr>
          <w:rFonts w:ascii="Verdana" w:hAnsi="Verdana"/>
          <w:sz w:val="20"/>
        </w:rPr>
        <w:t xml:space="preserve"> motivo n</w:t>
      </w:r>
      <w:r>
        <w:rPr>
          <w:rFonts w:ascii="Verdana" w:hAnsi="Verdana"/>
          <w:sz w:val="20"/>
        </w:rPr>
        <w:t>ão for</w:t>
      </w:r>
      <w:r w:rsidRPr="002818E7">
        <w:rPr>
          <w:rFonts w:ascii="Verdana" w:hAnsi="Verdana"/>
          <w:sz w:val="20"/>
        </w:rPr>
        <w:t xml:space="preserve"> possível</w:t>
      </w:r>
      <w:r>
        <w:rPr>
          <w:rFonts w:ascii="Verdana" w:hAnsi="Verdana"/>
          <w:sz w:val="20"/>
        </w:rPr>
        <w:t xml:space="preserve"> que os beneficiários recebam </w:t>
      </w:r>
      <w:r w:rsidRPr="002818E7">
        <w:rPr>
          <w:rFonts w:ascii="Verdana" w:hAnsi="Verdana"/>
          <w:sz w:val="20"/>
        </w:rPr>
        <w:t>os respectivos pag</w:t>
      </w:r>
      <w:r>
        <w:rPr>
          <w:rFonts w:ascii="Verdana" w:hAnsi="Verdana"/>
          <w:sz w:val="20"/>
        </w:rPr>
        <w:t>ament</w:t>
      </w:r>
      <w:r w:rsidRPr="002818E7">
        <w:rPr>
          <w:rFonts w:ascii="Verdana" w:hAnsi="Verdana"/>
          <w:sz w:val="20"/>
        </w:rPr>
        <w:t>os o</w:t>
      </w:r>
      <w:r>
        <w:rPr>
          <w:rFonts w:ascii="Verdana" w:hAnsi="Verdana"/>
          <w:sz w:val="20"/>
        </w:rPr>
        <w:t>u se beneficiem</w:t>
      </w:r>
      <w:r w:rsidRPr="002818E7">
        <w:rPr>
          <w:rFonts w:ascii="Verdana" w:hAnsi="Verdana"/>
          <w:sz w:val="20"/>
        </w:rPr>
        <w:t xml:space="preserve"> das</w:t>
      </w:r>
      <w:r>
        <w:rPr>
          <w:rFonts w:ascii="Verdana" w:hAnsi="Verdana"/>
          <w:sz w:val="20"/>
        </w:rPr>
        <w:t xml:space="preserve"> respectivas </w:t>
      </w:r>
      <w:r w:rsidRPr="002818E7">
        <w:rPr>
          <w:rFonts w:ascii="Verdana" w:hAnsi="Verdana"/>
          <w:sz w:val="20"/>
        </w:rPr>
        <w:t>prestações</w:t>
      </w:r>
      <w:r>
        <w:rPr>
          <w:rFonts w:ascii="Verdana" w:hAnsi="Verdana"/>
          <w:sz w:val="20"/>
        </w:rPr>
        <w:t xml:space="preserve"> dentro do</w:t>
      </w:r>
      <w:r w:rsidRPr="002818E7">
        <w:rPr>
          <w:rFonts w:ascii="Verdana" w:hAnsi="Verdana"/>
          <w:sz w:val="20"/>
        </w:rPr>
        <w:t xml:space="preserve"> prazo indica</w:t>
      </w:r>
      <w:r>
        <w:rPr>
          <w:rFonts w:ascii="Verdana" w:hAnsi="Verdana"/>
          <w:sz w:val="20"/>
        </w:rPr>
        <w:t xml:space="preserve">do de </w:t>
      </w:r>
      <w:r w:rsidR="004B65E5">
        <w:rPr>
          <w:rFonts w:ascii="Verdana" w:hAnsi="Verdana"/>
          <w:sz w:val="20"/>
        </w:rPr>
        <w:t>12</w:t>
      </w:r>
      <w:r>
        <w:rPr>
          <w:rFonts w:ascii="Verdana" w:hAnsi="Verdana"/>
          <w:sz w:val="20"/>
        </w:rPr>
        <w:t xml:space="preserve"> meses, o</w:t>
      </w:r>
      <w:r w:rsidRPr="002818E7">
        <w:rPr>
          <w:rFonts w:ascii="Verdana" w:hAnsi="Verdana"/>
          <w:sz w:val="20"/>
        </w:rPr>
        <w:t xml:space="preserve"> Estado dever</w:t>
      </w:r>
      <w:r>
        <w:rPr>
          <w:rFonts w:ascii="Verdana" w:hAnsi="Verdana"/>
          <w:sz w:val="20"/>
        </w:rPr>
        <w:t xml:space="preserve">á consignar </w:t>
      </w:r>
      <w:r w:rsidRPr="002818E7">
        <w:rPr>
          <w:rFonts w:ascii="Verdana" w:hAnsi="Verdana"/>
          <w:sz w:val="20"/>
        </w:rPr>
        <w:t>os correspondente</w:t>
      </w:r>
      <w:r>
        <w:rPr>
          <w:rFonts w:ascii="Verdana" w:hAnsi="Verdana"/>
          <w:sz w:val="20"/>
        </w:rPr>
        <w:t xml:space="preserve">s montantes </w:t>
      </w:r>
      <w:r w:rsidR="00052663">
        <w:rPr>
          <w:rFonts w:ascii="Verdana" w:hAnsi="Verdana"/>
          <w:sz w:val="20"/>
        </w:rPr>
        <w:t>a</w:t>
      </w:r>
      <w:r w:rsidR="00052663" w:rsidRPr="002818E7">
        <w:rPr>
          <w:rFonts w:ascii="Verdana" w:hAnsi="Verdana"/>
          <w:sz w:val="20"/>
        </w:rPr>
        <w:t xml:space="preserve"> </w:t>
      </w:r>
      <w:r w:rsidRPr="002818E7">
        <w:rPr>
          <w:rFonts w:ascii="Verdana" w:hAnsi="Verdana"/>
          <w:sz w:val="20"/>
        </w:rPr>
        <w:t>s</w:t>
      </w:r>
      <w:r>
        <w:rPr>
          <w:rFonts w:ascii="Verdana" w:hAnsi="Verdana"/>
          <w:sz w:val="20"/>
        </w:rPr>
        <w:t>eu favor em uma co</w:t>
      </w:r>
      <w:r w:rsidRPr="002818E7">
        <w:rPr>
          <w:rFonts w:ascii="Verdana" w:hAnsi="Verdana"/>
          <w:sz w:val="20"/>
        </w:rPr>
        <w:t>nta o</w:t>
      </w:r>
      <w:r>
        <w:rPr>
          <w:rFonts w:ascii="Verdana" w:hAnsi="Verdana"/>
          <w:sz w:val="20"/>
        </w:rPr>
        <w:t>u certificado de depósito, em uma</w:t>
      </w:r>
      <w:r w:rsidRPr="002818E7">
        <w:rPr>
          <w:rFonts w:ascii="Verdana" w:hAnsi="Verdana"/>
          <w:sz w:val="20"/>
        </w:rPr>
        <w:t xml:space="preserve"> institu</w:t>
      </w:r>
      <w:r>
        <w:rPr>
          <w:rFonts w:ascii="Verdana" w:hAnsi="Verdana"/>
          <w:sz w:val="20"/>
        </w:rPr>
        <w:t>i</w:t>
      </w:r>
      <w:r w:rsidRPr="002818E7">
        <w:rPr>
          <w:rFonts w:ascii="Verdana" w:hAnsi="Verdana"/>
          <w:sz w:val="20"/>
        </w:rPr>
        <w:t>ção</w:t>
      </w:r>
      <w:r>
        <w:rPr>
          <w:rFonts w:ascii="Verdana" w:hAnsi="Verdana"/>
          <w:sz w:val="20"/>
        </w:rPr>
        <w:t xml:space="preserve"> financ</w:t>
      </w:r>
      <w:r w:rsidRPr="002818E7">
        <w:rPr>
          <w:rFonts w:ascii="Verdana" w:hAnsi="Verdana"/>
          <w:sz w:val="20"/>
        </w:rPr>
        <w:t>e</w:t>
      </w:r>
      <w:r>
        <w:rPr>
          <w:rFonts w:ascii="Verdana" w:hAnsi="Verdana"/>
          <w:sz w:val="20"/>
        </w:rPr>
        <w:t>ira</w:t>
      </w:r>
      <w:r w:rsidR="00213C88">
        <w:rPr>
          <w:rFonts w:ascii="Verdana" w:hAnsi="Verdana"/>
          <w:sz w:val="20"/>
        </w:rPr>
        <w:t xml:space="preserve"> idônea</w:t>
      </w:r>
      <w:r>
        <w:rPr>
          <w:rFonts w:ascii="Verdana" w:hAnsi="Verdana"/>
          <w:sz w:val="20"/>
        </w:rPr>
        <w:t>, em dólares dos Estados Unidos da</w:t>
      </w:r>
      <w:r w:rsidRPr="002818E7">
        <w:rPr>
          <w:rFonts w:ascii="Verdana" w:hAnsi="Verdana"/>
          <w:sz w:val="20"/>
        </w:rPr>
        <w:t xml:space="preserve"> América o</w:t>
      </w:r>
      <w:r>
        <w:rPr>
          <w:rFonts w:ascii="Verdana" w:hAnsi="Verdana"/>
          <w:sz w:val="20"/>
        </w:rPr>
        <w:t>u</w:t>
      </w:r>
      <w:r w:rsidRPr="002818E7">
        <w:rPr>
          <w:rFonts w:ascii="Verdana" w:hAnsi="Verdana"/>
          <w:sz w:val="20"/>
        </w:rPr>
        <w:t xml:space="preserve"> s</w:t>
      </w:r>
      <w:r>
        <w:rPr>
          <w:rFonts w:ascii="Verdana" w:hAnsi="Verdana"/>
          <w:sz w:val="20"/>
        </w:rPr>
        <w:t>eu equivalente em mo</w:t>
      </w:r>
      <w:r w:rsidRPr="002818E7">
        <w:rPr>
          <w:rFonts w:ascii="Verdana" w:hAnsi="Verdana"/>
          <w:sz w:val="20"/>
        </w:rPr>
        <w:t>eda nicaraguense</w:t>
      </w:r>
      <w:r>
        <w:rPr>
          <w:rFonts w:ascii="Verdana" w:hAnsi="Verdana"/>
          <w:sz w:val="20"/>
        </w:rPr>
        <w:t>, n</w:t>
      </w:r>
      <w:r w:rsidRPr="002818E7">
        <w:rPr>
          <w:rFonts w:ascii="Verdana" w:hAnsi="Verdana"/>
          <w:sz w:val="20"/>
        </w:rPr>
        <w:t>as condições</w:t>
      </w:r>
      <w:r>
        <w:rPr>
          <w:rFonts w:ascii="Verdana" w:hAnsi="Verdana"/>
          <w:sz w:val="20"/>
        </w:rPr>
        <w:t xml:space="preserve"> financ</w:t>
      </w:r>
      <w:r w:rsidRPr="002818E7">
        <w:rPr>
          <w:rFonts w:ascii="Verdana" w:hAnsi="Verdana"/>
          <w:sz w:val="20"/>
        </w:rPr>
        <w:t>e</w:t>
      </w:r>
      <w:r>
        <w:rPr>
          <w:rFonts w:ascii="Verdana" w:hAnsi="Verdana"/>
          <w:sz w:val="20"/>
        </w:rPr>
        <w:t>iras mai</w:t>
      </w:r>
      <w:r w:rsidRPr="002818E7">
        <w:rPr>
          <w:rFonts w:ascii="Verdana" w:hAnsi="Verdana"/>
          <w:sz w:val="20"/>
        </w:rPr>
        <w:t>s favoráveis que permitam</w:t>
      </w:r>
      <w:r>
        <w:rPr>
          <w:rFonts w:ascii="Verdana" w:hAnsi="Verdana"/>
          <w:sz w:val="20"/>
        </w:rPr>
        <w:t xml:space="preserve"> </w:t>
      </w:r>
      <w:r w:rsidRPr="002818E7">
        <w:rPr>
          <w:rFonts w:ascii="Verdana" w:hAnsi="Verdana"/>
          <w:sz w:val="20"/>
        </w:rPr>
        <w:t>a legislação</w:t>
      </w:r>
      <w:r>
        <w:rPr>
          <w:rFonts w:ascii="Verdana" w:hAnsi="Verdana"/>
          <w:sz w:val="20"/>
        </w:rPr>
        <w:t xml:space="preserve"> e</w:t>
      </w:r>
      <w:r w:rsidRPr="002818E7">
        <w:rPr>
          <w:rFonts w:ascii="Verdana" w:hAnsi="Verdana"/>
          <w:sz w:val="20"/>
        </w:rPr>
        <w:t xml:space="preserve"> prática</w:t>
      </w:r>
      <w:r>
        <w:rPr>
          <w:rFonts w:ascii="Verdana" w:hAnsi="Verdana"/>
          <w:sz w:val="20"/>
        </w:rPr>
        <w:t xml:space="preserve"> bancárias. Se ao final de d</w:t>
      </w:r>
      <w:r w:rsidRPr="002818E7">
        <w:rPr>
          <w:rFonts w:ascii="Verdana" w:hAnsi="Verdana"/>
          <w:sz w:val="20"/>
        </w:rPr>
        <w:t>ez anos</w:t>
      </w:r>
      <w:r>
        <w:rPr>
          <w:rFonts w:ascii="Verdana" w:hAnsi="Verdana"/>
          <w:sz w:val="20"/>
        </w:rPr>
        <w:t xml:space="preserve"> o</w:t>
      </w:r>
      <w:r w:rsidRPr="002818E7">
        <w:rPr>
          <w:rFonts w:ascii="Verdana" w:hAnsi="Verdana"/>
          <w:sz w:val="20"/>
        </w:rPr>
        <w:t xml:space="preserve"> pag</w:t>
      </w:r>
      <w:r>
        <w:rPr>
          <w:rFonts w:ascii="Verdana" w:hAnsi="Verdana"/>
          <w:sz w:val="20"/>
        </w:rPr>
        <w:t>ament</w:t>
      </w:r>
      <w:r w:rsidRPr="002818E7">
        <w:rPr>
          <w:rFonts w:ascii="Verdana" w:hAnsi="Verdana"/>
          <w:sz w:val="20"/>
        </w:rPr>
        <w:t>o n</w:t>
      </w:r>
      <w:r>
        <w:rPr>
          <w:rFonts w:ascii="Verdana" w:hAnsi="Verdana"/>
          <w:sz w:val="20"/>
        </w:rPr>
        <w:t xml:space="preserve">ão for reclamado, </w:t>
      </w:r>
      <w:r w:rsidRPr="002818E7">
        <w:rPr>
          <w:rFonts w:ascii="Verdana" w:hAnsi="Verdana"/>
          <w:sz w:val="20"/>
        </w:rPr>
        <w:t>a s</w:t>
      </w:r>
      <w:r>
        <w:rPr>
          <w:rFonts w:ascii="Verdana" w:hAnsi="Verdana"/>
          <w:sz w:val="20"/>
        </w:rPr>
        <w:t>o</w:t>
      </w:r>
      <w:r w:rsidRPr="002818E7">
        <w:rPr>
          <w:rFonts w:ascii="Verdana" w:hAnsi="Verdana"/>
          <w:sz w:val="20"/>
        </w:rPr>
        <w:t xml:space="preserve">ma será </w:t>
      </w:r>
      <w:r>
        <w:rPr>
          <w:rFonts w:ascii="Verdana" w:hAnsi="Verdana"/>
          <w:sz w:val="20"/>
        </w:rPr>
        <w:t xml:space="preserve">devolvida, com </w:t>
      </w:r>
      <w:r w:rsidRPr="002818E7">
        <w:rPr>
          <w:rFonts w:ascii="Verdana" w:hAnsi="Verdana"/>
          <w:sz w:val="20"/>
        </w:rPr>
        <w:t xml:space="preserve">os </w:t>
      </w:r>
      <w:r>
        <w:rPr>
          <w:rFonts w:ascii="Verdana" w:hAnsi="Verdana"/>
          <w:sz w:val="20"/>
        </w:rPr>
        <w:t>juros</w:t>
      </w:r>
      <w:r w:rsidRPr="002818E7">
        <w:rPr>
          <w:rFonts w:ascii="Verdana" w:hAnsi="Verdana"/>
          <w:sz w:val="20"/>
        </w:rPr>
        <w:t xml:space="preserve"> </w:t>
      </w:r>
      <w:r w:rsidR="004B65E5">
        <w:rPr>
          <w:rFonts w:ascii="Verdana" w:hAnsi="Verdana"/>
          <w:sz w:val="20"/>
        </w:rPr>
        <w:t>acumulados</w:t>
      </w:r>
      <w:r>
        <w:rPr>
          <w:rFonts w:ascii="Verdana" w:hAnsi="Verdana"/>
          <w:sz w:val="20"/>
        </w:rPr>
        <w:t>, ao</w:t>
      </w:r>
      <w:r w:rsidRPr="002818E7">
        <w:rPr>
          <w:rFonts w:ascii="Verdana" w:hAnsi="Verdana"/>
          <w:sz w:val="20"/>
        </w:rPr>
        <w:t xml:space="preserve"> Estado nicaraguense.</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Pr>
          <w:rFonts w:ascii="Verdana" w:hAnsi="Verdana"/>
          <w:sz w:val="20"/>
        </w:rPr>
        <w:t>172.</w:t>
      </w:r>
      <w:r>
        <w:rPr>
          <w:rFonts w:ascii="Verdana" w:hAnsi="Verdana"/>
          <w:sz w:val="20"/>
        </w:rPr>
        <w:tab/>
        <w:t>Conforme sua</w:t>
      </w:r>
      <w:r w:rsidRPr="002818E7">
        <w:rPr>
          <w:rFonts w:ascii="Verdana" w:hAnsi="Verdana"/>
          <w:sz w:val="20"/>
        </w:rPr>
        <w:t xml:space="preserve"> prática</w:t>
      </w:r>
      <w:r>
        <w:rPr>
          <w:rFonts w:ascii="Verdana" w:hAnsi="Verdana"/>
          <w:sz w:val="20"/>
        </w:rPr>
        <w:t xml:space="preserve"> constante, </w:t>
      </w:r>
      <w:r w:rsidRPr="002818E7">
        <w:rPr>
          <w:rFonts w:ascii="Verdana" w:hAnsi="Verdana"/>
          <w:sz w:val="20"/>
        </w:rPr>
        <w:t>a Cort</w:t>
      </w:r>
      <w:r>
        <w:rPr>
          <w:rFonts w:ascii="Verdana" w:hAnsi="Verdana"/>
          <w:sz w:val="20"/>
        </w:rPr>
        <w:t xml:space="preserve">e se </w:t>
      </w:r>
      <w:r w:rsidRPr="002818E7">
        <w:rPr>
          <w:rFonts w:ascii="Verdana" w:hAnsi="Verdana"/>
          <w:sz w:val="20"/>
        </w:rPr>
        <w:t>reserva</w:t>
      </w:r>
      <w:r>
        <w:rPr>
          <w:rFonts w:ascii="Verdana" w:hAnsi="Verdana"/>
          <w:sz w:val="20"/>
        </w:rPr>
        <w:t xml:space="preserve"> a faculd</w:t>
      </w:r>
      <w:r w:rsidRPr="002818E7">
        <w:rPr>
          <w:rFonts w:ascii="Verdana" w:hAnsi="Verdana"/>
          <w:sz w:val="20"/>
        </w:rPr>
        <w:t>ad</w:t>
      </w:r>
      <w:r>
        <w:rPr>
          <w:rFonts w:ascii="Verdana" w:hAnsi="Verdana"/>
          <w:sz w:val="20"/>
        </w:rPr>
        <w:t>e de supervisionar o</w:t>
      </w:r>
      <w:r w:rsidRPr="002818E7">
        <w:rPr>
          <w:rFonts w:ascii="Verdana" w:hAnsi="Verdana"/>
          <w:sz w:val="20"/>
        </w:rPr>
        <w:t xml:space="preserve"> cumprimento</w:t>
      </w:r>
      <w:r>
        <w:rPr>
          <w:rFonts w:ascii="Verdana" w:hAnsi="Verdana"/>
          <w:sz w:val="20"/>
        </w:rPr>
        <w:t xml:space="preserve"> total d</w:t>
      </w:r>
      <w:r w:rsidRPr="002818E7">
        <w:rPr>
          <w:rFonts w:ascii="Verdana" w:hAnsi="Verdana"/>
          <w:sz w:val="20"/>
        </w:rPr>
        <w:t>a presente Sentença</w:t>
      </w:r>
      <w:r>
        <w:rPr>
          <w:rFonts w:ascii="Verdana" w:hAnsi="Verdana"/>
          <w:sz w:val="20"/>
        </w:rPr>
        <w:t>.</w:t>
      </w:r>
      <w:r w:rsidR="00850A3F">
        <w:rPr>
          <w:rFonts w:ascii="Verdana" w:hAnsi="Verdana"/>
          <w:sz w:val="20"/>
        </w:rPr>
        <w:t xml:space="preserve"> </w:t>
      </w:r>
      <w:r>
        <w:rPr>
          <w:rFonts w:ascii="Verdana" w:hAnsi="Verdana"/>
          <w:sz w:val="20"/>
        </w:rPr>
        <w:t>O</w:t>
      </w:r>
      <w:r w:rsidRPr="002818E7">
        <w:rPr>
          <w:rFonts w:ascii="Verdana" w:hAnsi="Verdana"/>
          <w:sz w:val="20"/>
        </w:rPr>
        <w:t xml:space="preserve"> processo se</w:t>
      </w:r>
      <w:r>
        <w:rPr>
          <w:rFonts w:ascii="Verdana" w:hAnsi="Verdana"/>
          <w:sz w:val="20"/>
        </w:rPr>
        <w:t xml:space="preserve">rá dado por </w:t>
      </w:r>
      <w:r>
        <w:rPr>
          <w:rFonts w:ascii="Verdana" w:hAnsi="Verdana"/>
          <w:sz w:val="20"/>
        </w:rPr>
        <w:lastRenderedPageBreak/>
        <w:t>concluído uma vez que o</w:t>
      </w:r>
      <w:r w:rsidRPr="002818E7">
        <w:rPr>
          <w:rFonts w:ascii="Verdana" w:hAnsi="Verdana"/>
          <w:sz w:val="20"/>
        </w:rPr>
        <w:t xml:space="preserve"> Estado </w:t>
      </w:r>
      <w:r>
        <w:rPr>
          <w:rFonts w:ascii="Verdana" w:hAnsi="Verdana"/>
          <w:sz w:val="20"/>
        </w:rPr>
        <w:t>tenha</w:t>
      </w:r>
      <w:r w:rsidRPr="002818E7">
        <w:rPr>
          <w:rFonts w:ascii="Verdana" w:hAnsi="Verdana"/>
          <w:sz w:val="20"/>
        </w:rPr>
        <w:t xml:space="preserve"> dado cabal cumprimento</w:t>
      </w:r>
      <w:r>
        <w:rPr>
          <w:rFonts w:ascii="Verdana" w:hAnsi="Verdana"/>
          <w:sz w:val="20"/>
        </w:rPr>
        <w:t xml:space="preserve"> ao disposto na</w:t>
      </w:r>
      <w:r w:rsidRPr="002818E7">
        <w:rPr>
          <w:rFonts w:ascii="Verdana" w:hAnsi="Verdana"/>
          <w:sz w:val="20"/>
        </w:rPr>
        <w:t xml:space="preserve"> presente decisão.</w:t>
      </w:r>
    </w:p>
    <w:p w:rsidR="00C336FB" w:rsidRPr="002818E7" w:rsidRDefault="00C336FB" w:rsidP="00C336FB">
      <w:pPr>
        <w:jc w:val="both"/>
        <w:rPr>
          <w:rFonts w:ascii="Verdana" w:hAnsi="Verdana"/>
          <w:b/>
          <w:sz w:val="20"/>
        </w:rPr>
      </w:pPr>
    </w:p>
    <w:p w:rsidR="00C336FB" w:rsidRPr="00663A1D" w:rsidRDefault="00C336FB" w:rsidP="00C336FB">
      <w:pPr>
        <w:jc w:val="center"/>
        <w:rPr>
          <w:rFonts w:ascii="Verdana" w:hAnsi="Verdana"/>
          <w:b/>
          <w:caps/>
          <w:sz w:val="20"/>
        </w:rPr>
      </w:pPr>
      <w:r w:rsidRPr="00663A1D">
        <w:rPr>
          <w:rFonts w:ascii="Verdana" w:hAnsi="Verdana"/>
          <w:b/>
          <w:caps/>
          <w:sz w:val="20"/>
        </w:rPr>
        <w:t>XII</w:t>
      </w:r>
    </w:p>
    <w:p w:rsidR="00C336FB" w:rsidRPr="00663A1D" w:rsidRDefault="00C336FB" w:rsidP="00C336FB">
      <w:pPr>
        <w:jc w:val="center"/>
        <w:rPr>
          <w:rFonts w:ascii="Verdana" w:hAnsi="Verdana"/>
          <w:b/>
          <w:caps/>
          <w:sz w:val="20"/>
        </w:rPr>
      </w:pPr>
      <w:r w:rsidRPr="00663A1D">
        <w:rPr>
          <w:rFonts w:ascii="Verdana" w:hAnsi="Verdana"/>
          <w:b/>
          <w:caps/>
          <w:sz w:val="20"/>
        </w:rPr>
        <w:t>Pontos Resolutivos</w:t>
      </w:r>
    </w:p>
    <w:p w:rsidR="00C336FB" w:rsidRPr="00663A1D" w:rsidRDefault="00C336FB" w:rsidP="00C336FB">
      <w:pPr>
        <w:jc w:val="both"/>
        <w:rPr>
          <w:rFonts w:ascii="Verdana" w:hAnsi="Verdana"/>
          <w:b/>
          <w:smallCaps/>
          <w:sz w:val="20"/>
        </w:rPr>
      </w:pPr>
    </w:p>
    <w:p w:rsidR="00C336FB" w:rsidRPr="00663A1D" w:rsidRDefault="00C336FB" w:rsidP="00C336FB">
      <w:pPr>
        <w:jc w:val="both"/>
        <w:rPr>
          <w:rFonts w:ascii="Verdana" w:hAnsi="Verdana"/>
          <w:sz w:val="20"/>
        </w:rPr>
      </w:pPr>
      <w:r w:rsidRPr="00663A1D">
        <w:rPr>
          <w:rFonts w:ascii="Verdana" w:hAnsi="Verdana"/>
          <w:sz w:val="20"/>
        </w:rPr>
        <w:t>173.</w:t>
      </w:r>
      <w:r w:rsidRPr="00663A1D">
        <w:rPr>
          <w:rFonts w:ascii="Verdana" w:hAnsi="Verdana"/>
          <w:sz w:val="20"/>
        </w:rPr>
        <w:tab/>
        <w:t>Portanto,</w:t>
      </w:r>
    </w:p>
    <w:p w:rsidR="00C336FB" w:rsidRPr="00663A1D"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663A1D">
        <w:rPr>
          <w:rFonts w:ascii="Verdana" w:hAnsi="Verdana"/>
          <w:sz w:val="20"/>
        </w:rPr>
        <w:t>A Corte,</w:t>
      </w:r>
    </w:p>
    <w:p w:rsidR="00C336FB" w:rsidRPr="002818E7" w:rsidRDefault="00C336FB" w:rsidP="00C336FB">
      <w:pPr>
        <w:jc w:val="both"/>
        <w:rPr>
          <w:rFonts w:ascii="Verdana" w:hAnsi="Verdana"/>
          <w:b/>
          <w:smallCaps/>
          <w:sz w:val="20"/>
        </w:rPr>
      </w:pPr>
    </w:p>
    <w:p w:rsidR="00C336FB" w:rsidRDefault="00C336FB" w:rsidP="00C336FB">
      <w:pPr>
        <w:jc w:val="both"/>
        <w:rPr>
          <w:rFonts w:ascii="Verdana" w:hAnsi="Verdana"/>
          <w:sz w:val="20"/>
        </w:rPr>
      </w:pPr>
      <w:r>
        <w:rPr>
          <w:rFonts w:ascii="Verdana" w:hAnsi="Verdana"/>
          <w:sz w:val="20"/>
        </w:rPr>
        <w:t>Por sete votos contra um</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1.</w:t>
      </w:r>
      <w:r w:rsidRPr="002818E7">
        <w:rPr>
          <w:rFonts w:ascii="Verdana" w:hAnsi="Verdana"/>
          <w:sz w:val="20"/>
        </w:rPr>
        <w:tab/>
        <w:t xml:space="preserve">declara que </w:t>
      </w:r>
      <w:r>
        <w:rPr>
          <w:rFonts w:ascii="Verdana" w:hAnsi="Verdana"/>
          <w:sz w:val="20"/>
        </w:rPr>
        <w:t>o</w:t>
      </w:r>
      <w:r w:rsidRPr="002818E7">
        <w:rPr>
          <w:rFonts w:ascii="Verdana" w:hAnsi="Verdana"/>
          <w:sz w:val="20"/>
        </w:rPr>
        <w:t xml:space="preserve"> Estado violou</w:t>
      </w:r>
      <w:r>
        <w:rPr>
          <w:rFonts w:ascii="Verdana" w:hAnsi="Verdana"/>
          <w:sz w:val="20"/>
        </w:rPr>
        <w:t xml:space="preserve"> o</w:t>
      </w:r>
      <w:r w:rsidRPr="002818E7">
        <w:rPr>
          <w:rFonts w:ascii="Verdana" w:hAnsi="Verdana"/>
          <w:sz w:val="20"/>
        </w:rPr>
        <w:t xml:space="preserve"> direito</w:t>
      </w:r>
      <w:r>
        <w:rPr>
          <w:rFonts w:ascii="Verdana" w:hAnsi="Verdana"/>
          <w:sz w:val="20"/>
        </w:rPr>
        <w:t xml:space="preserve"> à</w:t>
      </w:r>
      <w:r w:rsidRPr="002818E7">
        <w:rPr>
          <w:rFonts w:ascii="Verdana" w:hAnsi="Verdana"/>
          <w:sz w:val="20"/>
        </w:rPr>
        <w:t xml:space="preserve"> proteção</w:t>
      </w:r>
      <w:r>
        <w:rPr>
          <w:rFonts w:ascii="Verdana" w:hAnsi="Verdana"/>
          <w:sz w:val="20"/>
        </w:rPr>
        <w:t xml:space="preserve"> judicial consagrado no</w:t>
      </w:r>
      <w:r w:rsidRPr="002818E7">
        <w:rPr>
          <w:rFonts w:ascii="Verdana" w:hAnsi="Verdana"/>
          <w:sz w:val="20"/>
        </w:rPr>
        <w:t xml:space="preserve"> artigo</w:t>
      </w:r>
      <w:r>
        <w:rPr>
          <w:rFonts w:ascii="Verdana" w:hAnsi="Verdana"/>
          <w:sz w:val="20"/>
        </w:rPr>
        <w:t xml:space="preserve"> 25 da</w:t>
      </w:r>
      <w:r w:rsidRPr="002818E7">
        <w:rPr>
          <w:rFonts w:ascii="Verdana" w:hAnsi="Verdana"/>
          <w:sz w:val="20"/>
        </w:rPr>
        <w:t xml:space="preserve"> Convenção Americana sobre Direitos</w:t>
      </w:r>
      <w:r>
        <w:rPr>
          <w:rFonts w:ascii="Verdana" w:hAnsi="Verdana"/>
          <w:sz w:val="20"/>
        </w:rPr>
        <w:t xml:space="preserve"> Humanos, em</w:t>
      </w:r>
      <w:r w:rsidRPr="002818E7">
        <w:rPr>
          <w:rFonts w:ascii="Verdana" w:hAnsi="Verdana"/>
          <w:sz w:val="20"/>
        </w:rPr>
        <w:t xml:space="preserve"> </w:t>
      </w:r>
      <w:r>
        <w:rPr>
          <w:rFonts w:ascii="Verdana" w:hAnsi="Verdana"/>
          <w:sz w:val="20"/>
        </w:rPr>
        <w:t>detrimento d</w:t>
      </w:r>
      <w:r w:rsidRPr="002818E7">
        <w:rPr>
          <w:rFonts w:ascii="Verdana" w:hAnsi="Verdana"/>
          <w:sz w:val="20"/>
        </w:rPr>
        <w:t>os membros</w:t>
      </w:r>
      <w:r>
        <w:rPr>
          <w:rFonts w:ascii="Verdana" w:hAnsi="Verdana"/>
          <w:sz w:val="20"/>
        </w:rPr>
        <w:t xml:space="preserve"> d</w:t>
      </w:r>
      <w:r w:rsidRPr="002818E7">
        <w:rPr>
          <w:rFonts w:ascii="Verdana" w:hAnsi="Verdana"/>
          <w:sz w:val="20"/>
        </w:rPr>
        <w:t xml:space="preserve">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w:t>
      </w:r>
      <w:r>
        <w:rPr>
          <w:rFonts w:ascii="Verdana" w:hAnsi="Verdana"/>
          <w:sz w:val="20"/>
        </w:rPr>
        <w:t xml:space="preserve">em relação </w:t>
      </w:r>
      <w:r w:rsidR="004B65E5">
        <w:rPr>
          <w:rFonts w:ascii="Verdana" w:hAnsi="Verdana"/>
          <w:sz w:val="20"/>
        </w:rPr>
        <w:t>a</w:t>
      </w:r>
      <w:r w:rsidRPr="002818E7">
        <w:rPr>
          <w:rFonts w:ascii="Verdana" w:hAnsi="Verdana"/>
          <w:sz w:val="20"/>
        </w:rPr>
        <w:t>os artigos</w:t>
      </w:r>
      <w:r>
        <w:rPr>
          <w:rFonts w:ascii="Verdana" w:hAnsi="Verdana"/>
          <w:sz w:val="20"/>
        </w:rPr>
        <w:t xml:space="preserve"> 1.1 e 2 d</w:t>
      </w:r>
      <w:r w:rsidRPr="002818E7">
        <w:rPr>
          <w:rFonts w:ascii="Verdana" w:hAnsi="Verdana"/>
          <w:sz w:val="20"/>
        </w:rPr>
        <w:t>a Convenção</w:t>
      </w:r>
      <w:r>
        <w:rPr>
          <w:rFonts w:ascii="Verdana" w:hAnsi="Verdana"/>
          <w:sz w:val="20"/>
        </w:rPr>
        <w:t xml:space="preserve">, conforme </w:t>
      </w:r>
      <w:r w:rsidRPr="002818E7">
        <w:rPr>
          <w:rFonts w:ascii="Verdana" w:hAnsi="Verdana"/>
          <w:sz w:val="20"/>
        </w:rPr>
        <w:t>o exposto</w:t>
      </w:r>
      <w:r>
        <w:rPr>
          <w:rFonts w:ascii="Verdana" w:hAnsi="Verdana"/>
          <w:sz w:val="20"/>
        </w:rPr>
        <w:t xml:space="preserve"> no</w:t>
      </w:r>
      <w:r w:rsidRPr="002818E7">
        <w:rPr>
          <w:rFonts w:ascii="Verdana" w:hAnsi="Verdana"/>
          <w:sz w:val="20"/>
        </w:rPr>
        <w:t xml:space="preserve"> parágrafo</w:t>
      </w:r>
      <w:r>
        <w:rPr>
          <w:rFonts w:ascii="Verdana" w:hAnsi="Verdana"/>
          <w:sz w:val="20"/>
        </w:rPr>
        <w:t xml:space="preserve"> 139 d</w:t>
      </w:r>
      <w:r w:rsidRPr="002818E7">
        <w:rPr>
          <w:rFonts w:ascii="Verdana" w:hAnsi="Verdana"/>
          <w:sz w:val="20"/>
        </w:rPr>
        <w:t>a presente Sentença.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Dis</w:t>
      </w:r>
      <w:r>
        <w:rPr>
          <w:rFonts w:ascii="Verdana" w:hAnsi="Verdana"/>
          <w:sz w:val="20"/>
        </w:rPr>
        <w:t>s</w:t>
      </w:r>
      <w:r w:rsidRPr="002818E7">
        <w:rPr>
          <w:rFonts w:ascii="Verdana" w:hAnsi="Verdana"/>
          <w:sz w:val="20"/>
        </w:rPr>
        <w:t>i</w:t>
      </w:r>
      <w:r>
        <w:rPr>
          <w:rFonts w:ascii="Verdana" w:hAnsi="Verdana"/>
          <w:sz w:val="20"/>
        </w:rPr>
        <w:t>dente o</w:t>
      </w:r>
      <w:r w:rsidRPr="002818E7">
        <w:rPr>
          <w:rFonts w:ascii="Verdana" w:hAnsi="Verdana"/>
          <w:sz w:val="20"/>
        </w:rPr>
        <w:t xml:space="preserve"> Juiz Montiel Argüello.</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por</w:t>
      </w:r>
      <w:proofErr w:type="gramEnd"/>
      <w:r w:rsidRPr="002818E7">
        <w:rPr>
          <w:rFonts w:ascii="Verdana" w:hAnsi="Verdana"/>
          <w:sz w:val="20"/>
        </w:rPr>
        <w:t xml:space="preserve"> s</w:t>
      </w:r>
      <w:r>
        <w:rPr>
          <w:rFonts w:ascii="Verdana" w:hAnsi="Verdana"/>
          <w:sz w:val="20"/>
        </w:rPr>
        <w:t>ete votos contra um</w:t>
      </w:r>
      <w:r w:rsidRPr="002818E7">
        <w:rPr>
          <w:rFonts w:ascii="Verdana" w:hAnsi="Verdana"/>
          <w:sz w:val="20"/>
        </w:rPr>
        <w:t>,</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2.</w:t>
      </w:r>
      <w:r w:rsidRPr="002818E7">
        <w:rPr>
          <w:rFonts w:ascii="Verdana" w:hAnsi="Verdana"/>
          <w:sz w:val="20"/>
        </w:rPr>
        <w:tab/>
        <w:t xml:space="preserve">declara que </w:t>
      </w:r>
      <w:r>
        <w:rPr>
          <w:rFonts w:ascii="Verdana" w:hAnsi="Verdana"/>
          <w:sz w:val="20"/>
        </w:rPr>
        <w:t>o</w:t>
      </w:r>
      <w:r w:rsidRPr="002818E7">
        <w:rPr>
          <w:rFonts w:ascii="Verdana" w:hAnsi="Verdana"/>
          <w:sz w:val="20"/>
        </w:rPr>
        <w:t xml:space="preserve"> Estado violou </w:t>
      </w:r>
      <w:r>
        <w:rPr>
          <w:rFonts w:ascii="Verdana" w:hAnsi="Verdana"/>
          <w:sz w:val="20"/>
        </w:rPr>
        <w:t>o</w:t>
      </w:r>
      <w:r w:rsidRPr="002818E7">
        <w:rPr>
          <w:rFonts w:ascii="Verdana" w:hAnsi="Verdana"/>
          <w:sz w:val="20"/>
        </w:rPr>
        <w:t xml:space="preserve"> direito</w:t>
      </w:r>
      <w:r>
        <w:rPr>
          <w:rFonts w:ascii="Verdana" w:hAnsi="Verdana"/>
          <w:sz w:val="20"/>
        </w:rPr>
        <w:t xml:space="preserve"> à</w:t>
      </w:r>
      <w:r w:rsidRPr="002818E7">
        <w:rPr>
          <w:rFonts w:ascii="Verdana" w:hAnsi="Verdana"/>
          <w:sz w:val="20"/>
        </w:rPr>
        <w:t xml:space="preserve"> </w:t>
      </w:r>
      <w:proofErr w:type="gramStart"/>
      <w:r w:rsidRPr="002818E7">
        <w:rPr>
          <w:rFonts w:ascii="Verdana" w:hAnsi="Verdana"/>
          <w:sz w:val="20"/>
        </w:rPr>
        <w:t>propriedade consa</w:t>
      </w:r>
      <w:r>
        <w:rPr>
          <w:rFonts w:ascii="Verdana" w:hAnsi="Verdana"/>
          <w:sz w:val="20"/>
        </w:rPr>
        <w:t>grado no</w:t>
      </w:r>
      <w:r w:rsidRPr="002818E7">
        <w:rPr>
          <w:rFonts w:ascii="Verdana" w:hAnsi="Verdana"/>
          <w:sz w:val="20"/>
        </w:rPr>
        <w:t xml:space="preserve"> artigo</w:t>
      </w:r>
      <w:r>
        <w:rPr>
          <w:rFonts w:ascii="Verdana" w:hAnsi="Verdana"/>
          <w:sz w:val="20"/>
        </w:rPr>
        <w:t xml:space="preserve"> 21 d</w:t>
      </w:r>
      <w:r w:rsidRPr="002818E7">
        <w:rPr>
          <w:rFonts w:ascii="Verdana" w:hAnsi="Verdana"/>
          <w:sz w:val="20"/>
        </w:rPr>
        <w:t>a Convenção</w:t>
      </w:r>
      <w:proofErr w:type="gramEnd"/>
      <w:r w:rsidRPr="002818E7">
        <w:rPr>
          <w:rFonts w:ascii="Verdana" w:hAnsi="Verdana"/>
          <w:sz w:val="20"/>
        </w:rPr>
        <w:t xml:space="preserve"> Americana sobre Direitos</w:t>
      </w:r>
      <w:r>
        <w:rPr>
          <w:rFonts w:ascii="Verdana" w:hAnsi="Verdana"/>
          <w:sz w:val="20"/>
        </w:rPr>
        <w:t xml:space="preserve"> Humanos, em</w:t>
      </w:r>
      <w:r w:rsidRPr="002818E7">
        <w:rPr>
          <w:rFonts w:ascii="Verdana" w:hAnsi="Verdana"/>
          <w:sz w:val="20"/>
        </w:rPr>
        <w:t xml:space="preserve"> </w:t>
      </w:r>
      <w:r>
        <w:rPr>
          <w:rFonts w:ascii="Verdana" w:hAnsi="Verdana"/>
          <w:sz w:val="20"/>
        </w:rPr>
        <w:t>detrimento d</w:t>
      </w:r>
      <w:r w:rsidRPr="002818E7">
        <w:rPr>
          <w:rFonts w:ascii="Verdana" w:hAnsi="Verdana"/>
          <w:sz w:val="20"/>
        </w:rPr>
        <w:t>os membros</w:t>
      </w:r>
      <w:r>
        <w:rPr>
          <w:rFonts w:ascii="Verdana" w:hAnsi="Verdana"/>
          <w:sz w:val="20"/>
        </w:rPr>
        <w:t xml:space="preserve"> d</w:t>
      </w:r>
      <w:r w:rsidRPr="002818E7">
        <w:rPr>
          <w:rFonts w:ascii="Verdana" w:hAnsi="Verdana"/>
          <w:sz w:val="20"/>
        </w:rPr>
        <w:t xml:space="preserve">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w:t>
      </w:r>
      <w:r>
        <w:rPr>
          <w:rFonts w:ascii="Verdana" w:hAnsi="Verdana"/>
          <w:sz w:val="20"/>
        </w:rPr>
        <w:t xml:space="preserve">em relação </w:t>
      </w:r>
      <w:r w:rsidR="004B65E5">
        <w:rPr>
          <w:rFonts w:ascii="Verdana" w:hAnsi="Verdana"/>
          <w:sz w:val="20"/>
        </w:rPr>
        <w:t>a</w:t>
      </w:r>
      <w:r w:rsidRPr="002818E7">
        <w:rPr>
          <w:rFonts w:ascii="Verdana" w:hAnsi="Verdana"/>
          <w:sz w:val="20"/>
        </w:rPr>
        <w:t>os artigos</w:t>
      </w:r>
      <w:r>
        <w:rPr>
          <w:rFonts w:ascii="Verdana" w:hAnsi="Verdana"/>
          <w:sz w:val="20"/>
        </w:rPr>
        <w:t xml:space="preserve"> 1.1 e 2 d</w:t>
      </w:r>
      <w:r w:rsidRPr="002818E7">
        <w:rPr>
          <w:rFonts w:ascii="Verdana" w:hAnsi="Verdana"/>
          <w:sz w:val="20"/>
        </w:rPr>
        <w:t>a Convenção</w:t>
      </w:r>
      <w:r>
        <w:rPr>
          <w:rFonts w:ascii="Verdana" w:hAnsi="Verdana"/>
          <w:sz w:val="20"/>
        </w:rPr>
        <w:t>, conforme o exposto no</w:t>
      </w:r>
      <w:r w:rsidRPr="002818E7">
        <w:rPr>
          <w:rFonts w:ascii="Verdana" w:hAnsi="Verdana"/>
          <w:sz w:val="20"/>
        </w:rPr>
        <w:t xml:space="preserve"> parágrafo</w:t>
      </w:r>
      <w:r>
        <w:rPr>
          <w:rFonts w:ascii="Verdana" w:hAnsi="Verdana"/>
          <w:sz w:val="20"/>
        </w:rPr>
        <w:t xml:space="preserve"> 155 d</w:t>
      </w:r>
      <w:r w:rsidRPr="002818E7">
        <w:rPr>
          <w:rFonts w:ascii="Verdana" w:hAnsi="Verdana"/>
          <w:sz w:val="20"/>
        </w:rPr>
        <w:t>a presente Sentença.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Dis</w:t>
      </w:r>
      <w:r>
        <w:rPr>
          <w:rFonts w:ascii="Verdana" w:hAnsi="Verdana"/>
          <w:sz w:val="20"/>
        </w:rPr>
        <w:t>s</w:t>
      </w:r>
      <w:r w:rsidRPr="002818E7">
        <w:rPr>
          <w:rFonts w:ascii="Verdana" w:hAnsi="Verdana"/>
          <w:sz w:val="20"/>
        </w:rPr>
        <w:t xml:space="preserve">idente </w:t>
      </w:r>
      <w:r>
        <w:rPr>
          <w:rFonts w:ascii="Verdana" w:hAnsi="Verdana"/>
          <w:sz w:val="20"/>
        </w:rPr>
        <w:t>o</w:t>
      </w:r>
      <w:r w:rsidRPr="002818E7">
        <w:rPr>
          <w:rFonts w:ascii="Verdana" w:hAnsi="Verdana"/>
          <w:sz w:val="20"/>
        </w:rPr>
        <w:t xml:space="preserve"> Juiz Montiel Argüello.</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por</w:t>
      </w:r>
      <w:proofErr w:type="gramEnd"/>
      <w:r w:rsidRPr="002818E7">
        <w:rPr>
          <w:rFonts w:ascii="Verdana" w:hAnsi="Verdana"/>
          <w:sz w:val="20"/>
        </w:rPr>
        <w:t xml:space="preserve"> </w:t>
      </w:r>
      <w:r>
        <w:rPr>
          <w:rFonts w:ascii="Verdana" w:hAnsi="Verdana"/>
          <w:sz w:val="20"/>
        </w:rPr>
        <w:t>unanimidade</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3.</w:t>
      </w:r>
      <w:r w:rsidRPr="002818E7">
        <w:rPr>
          <w:rFonts w:ascii="Verdana" w:hAnsi="Verdana"/>
          <w:sz w:val="20"/>
        </w:rPr>
        <w:tab/>
        <w:t xml:space="preserve">decide que </w:t>
      </w:r>
      <w:r>
        <w:rPr>
          <w:rFonts w:ascii="Verdana" w:hAnsi="Verdana"/>
          <w:sz w:val="20"/>
        </w:rPr>
        <w:t>o Estado dev</w:t>
      </w:r>
      <w:r w:rsidRPr="002818E7">
        <w:rPr>
          <w:rFonts w:ascii="Verdana" w:hAnsi="Verdana"/>
          <w:sz w:val="20"/>
        </w:rPr>
        <w:t>e adotar</w:t>
      </w:r>
      <w:r>
        <w:rPr>
          <w:rFonts w:ascii="Verdana" w:hAnsi="Verdana"/>
          <w:sz w:val="20"/>
        </w:rPr>
        <w:t xml:space="preserve"> em</w:t>
      </w:r>
      <w:r w:rsidRPr="002818E7">
        <w:rPr>
          <w:rFonts w:ascii="Verdana" w:hAnsi="Verdana"/>
          <w:sz w:val="20"/>
        </w:rPr>
        <w:t xml:space="preserve"> s</w:t>
      </w:r>
      <w:r>
        <w:rPr>
          <w:rFonts w:ascii="Verdana" w:hAnsi="Verdana"/>
          <w:sz w:val="20"/>
        </w:rPr>
        <w:t>e</w:t>
      </w:r>
      <w:r w:rsidRPr="002818E7">
        <w:rPr>
          <w:rFonts w:ascii="Verdana" w:hAnsi="Verdana"/>
          <w:sz w:val="20"/>
        </w:rPr>
        <w:t>u direito</w:t>
      </w:r>
      <w:r>
        <w:rPr>
          <w:rFonts w:ascii="Verdana" w:hAnsi="Verdana"/>
          <w:sz w:val="20"/>
        </w:rPr>
        <w:t xml:space="preserve"> interno, conforme o</w:t>
      </w:r>
      <w:r w:rsidRPr="002818E7">
        <w:rPr>
          <w:rFonts w:ascii="Verdana" w:hAnsi="Verdana"/>
          <w:sz w:val="20"/>
        </w:rPr>
        <w:t xml:space="preserve"> artigo</w:t>
      </w:r>
      <w:r>
        <w:rPr>
          <w:rFonts w:ascii="Verdana" w:hAnsi="Verdana"/>
          <w:sz w:val="20"/>
        </w:rPr>
        <w:t xml:space="preserve"> </w:t>
      </w:r>
      <w:proofErr w:type="gramStart"/>
      <w:r>
        <w:rPr>
          <w:rFonts w:ascii="Verdana" w:hAnsi="Verdana"/>
          <w:sz w:val="20"/>
        </w:rPr>
        <w:t>2</w:t>
      </w:r>
      <w:proofErr w:type="gramEnd"/>
      <w:r>
        <w:rPr>
          <w:rFonts w:ascii="Verdana" w:hAnsi="Verdana"/>
          <w:sz w:val="20"/>
        </w:rPr>
        <w:t xml:space="preserve"> d</w:t>
      </w:r>
      <w:r w:rsidRPr="002818E7">
        <w:rPr>
          <w:rFonts w:ascii="Verdana" w:hAnsi="Verdana"/>
          <w:sz w:val="20"/>
        </w:rPr>
        <w:t>a Convenção Americana sobre Direitos</w:t>
      </w:r>
      <w:r>
        <w:rPr>
          <w:rFonts w:ascii="Verdana" w:hAnsi="Verdana"/>
          <w:sz w:val="20"/>
        </w:rPr>
        <w:t xml:space="preserve"> Humanos, </w:t>
      </w:r>
      <w:r w:rsidRPr="002818E7">
        <w:rPr>
          <w:rFonts w:ascii="Verdana" w:hAnsi="Verdana"/>
          <w:sz w:val="20"/>
        </w:rPr>
        <w:t>as medidas</w:t>
      </w:r>
      <w:r>
        <w:rPr>
          <w:rFonts w:ascii="Verdana" w:hAnsi="Verdana"/>
          <w:sz w:val="20"/>
        </w:rPr>
        <w:t xml:space="preserve"> legislativas, administrativas e</w:t>
      </w:r>
      <w:r w:rsidRPr="002818E7">
        <w:rPr>
          <w:rFonts w:ascii="Verdana" w:hAnsi="Verdana"/>
          <w:sz w:val="20"/>
        </w:rPr>
        <w:t xml:space="preserve"> de qualquer outro caráter que se</w:t>
      </w:r>
      <w:r>
        <w:rPr>
          <w:rFonts w:ascii="Verdana" w:hAnsi="Verdana"/>
          <w:sz w:val="20"/>
        </w:rPr>
        <w:t>jam</w:t>
      </w:r>
      <w:r w:rsidRPr="002818E7">
        <w:rPr>
          <w:rFonts w:ascii="Verdana" w:hAnsi="Verdana"/>
          <w:sz w:val="20"/>
        </w:rPr>
        <w:t xml:space="preserve"> necessárias</w:t>
      </w:r>
      <w:r>
        <w:rPr>
          <w:rFonts w:ascii="Verdana" w:hAnsi="Verdana"/>
          <w:sz w:val="20"/>
        </w:rPr>
        <w:t xml:space="preserve"> para criar um</w:t>
      </w:r>
      <w:r w:rsidRPr="002818E7">
        <w:rPr>
          <w:rFonts w:ascii="Verdana" w:hAnsi="Verdana"/>
          <w:sz w:val="20"/>
        </w:rPr>
        <w:t xml:space="preserve"> mecanismo efetivo de delimitação, demarcação</w:t>
      </w:r>
      <w:r>
        <w:rPr>
          <w:rFonts w:ascii="Verdana" w:hAnsi="Verdana"/>
          <w:sz w:val="20"/>
        </w:rPr>
        <w:t xml:space="preserve"> e</w:t>
      </w:r>
      <w:r w:rsidRPr="002818E7">
        <w:rPr>
          <w:rFonts w:ascii="Verdana" w:hAnsi="Verdana"/>
          <w:sz w:val="20"/>
        </w:rPr>
        <w:t xml:space="preserve"> titulação das propriedades das comunidades indígenas, </w:t>
      </w:r>
      <w:r w:rsidR="006226F7">
        <w:rPr>
          <w:rFonts w:ascii="Verdana" w:hAnsi="Verdana"/>
          <w:sz w:val="20"/>
        </w:rPr>
        <w:t>em conformidade com seu</w:t>
      </w:r>
      <w:r>
        <w:rPr>
          <w:rFonts w:ascii="Verdana" w:hAnsi="Verdana"/>
          <w:sz w:val="20"/>
        </w:rPr>
        <w:t xml:space="preserve"> </w:t>
      </w:r>
      <w:r w:rsidRPr="002818E7">
        <w:rPr>
          <w:rFonts w:ascii="Verdana" w:hAnsi="Verdana"/>
          <w:sz w:val="20"/>
        </w:rPr>
        <w:t>direito</w:t>
      </w:r>
      <w:r>
        <w:rPr>
          <w:rFonts w:ascii="Verdana" w:hAnsi="Verdana"/>
          <w:sz w:val="20"/>
        </w:rPr>
        <w:t xml:space="preserve"> consuetudinário, valores, usos e</w:t>
      </w:r>
      <w:r w:rsidRPr="002818E7">
        <w:rPr>
          <w:rFonts w:ascii="Verdana" w:hAnsi="Verdana"/>
          <w:sz w:val="20"/>
        </w:rPr>
        <w:t xml:space="preserve"> costumes</w:t>
      </w:r>
      <w:r>
        <w:rPr>
          <w:rFonts w:ascii="Verdana" w:hAnsi="Verdana"/>
          <w:sz w:val="20"/>
        </w:rPr>
        <w:t>, conforme o exposto n</w:t>
      </w:r>
      <w:r w:rsidRPr="002818E7">
        <w:rPr>
          <w:rFonts w:ascii="Verdana" w:hAnsi="Verdana"/>
          <w:sz w:val="20"/>
        </w:rPr>
        <w:t>os parágrafo</w:t>
      </w:r>
      <w:r>
        <w:rPr>
          <w:rFonts w:ascii="Verdana" w:hAnsi="Verdana"/>
          <w:sz w:val="20"/>
        </w:rPr>
        <w:t>s 138 e 164 d</w:t>
      </w:r>
      <w:r w:rsidRPr="002818E7">
        <w:rPr>
          <w:rFonts w:ascii="Verdana" w:hAnsi="Verdana"/>
          <w:sz w:val="20"/>
        </w:rPr>
        <w:t>a presente Sentença.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por</w:t>
      </w:r>
      <w:proofErr w:type="gramEnd"/>
      <w:r w:rsidRPr="002818E7">
        <w:rPr>
          <w:rFonts w:ascii="Verdana" w:hAnsi="Verdana"/>
          <w:sz w:val="20"/>
        </w:rPr>
        <w:t xml:space="preserve"> </w:t>
      </w:r>
      <w:r>
        <w:rPr>
          <w:rFonts w:ascii="Verdana" w:hAnsi="Verdana"/>
          <w:sz w:val="20"/>
        </w:rPr>
        <w:t>unanimidade</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4.</w:t>
      </w:r>
      <w:r w:rsidRPr="002818E7">
        <w:rPr>
          <w:rFonts w:ascii="Verdana" w:hAnsi="Verdana"/>
          <w:sz w:val="20"/>
        </w:rPr>
        <w:tab/>
        <w:t xml:space="preserve">decide que </w:t>
      </w:r>
      <w:r>
        <w:rPr>
          <w:rFonts w:ascii="Verdana" w:hAnsi="Verdana"/>
          <w:sz w:val="20"/>
        </w:rPr>
        <w:t>o</w:t>
      </w:r>
      <w:r w:rsidRPr="002818E7">
        <w:rPr>
          <w:rFonts w:ascii="Verdana" w:hAnsi="Verdana"/>
          <w:sz w:val="20"/>
        </w:rPr>
        <w:t xml:space="preserve"> Estado dever</w:t>
      </w:r>
      <w:r>
        <w:rPr>
          <w:rFonts w:ascii="Verdana" w:hAnsi="Verdana"/>
          <w:sz w:val="20"/>
        </w:rPr>
        <w:t xml:space="preserve">á </w:t>
      </w:r>
      <w:proofErr w:type="gramStart"/>
      <w:r>
        <w:rPr>
          <w:rFonts w:ascii="Verdana" w:hAnsi="Verdana"/>
          <w:sz w:val="20"/>
        </w:rPr>
        <w:t>delimitar,</w:t>
      </w:r>
      <w:proofErr w:type="gramEnd"/>
      <w:r>
        <w:rPr>
          <w:rFonts w:ascii="Verdana" w:hAnsi="Verdana"/>
          <w:sz w:val="20"/>
        </w:rPr>
        <w:t xml:space="preserve"> demarcar e titular </w:t>
      </w:r>
      <w:r w:rsidRPr="002818E7">
        <w:rPr>
          <w:rFonts w:ascii="Verdana" w:hAnsi="Verdana"/>
          <w:sz w:val="20"/>
        </w:rPr>
        <w:t>as terras</w:t>
      </w:r>
      <w:r>
        <w:rPr>
          <w:rFonts w:ascii="Verdana" w:hAnsi="Verdana"/>
          <w:sz w:val="20"/>
        </w:rPr>
        <w:t xml:space="preserve"> que correspondem ao</w:t>
      </w:r>
      <w:r w:rsidRPr="002818E7">
        <w:rPr>
          <w:rFonts w:ascii="Verdana" w:hAnsi="Verdana"/>
          <w:sz w:val="20"/>
        </w:rPr>
        <w:t>s membros</w:t>
      </w:r>
      <w:r>
        <w:rPr>
          <w:rFonts w:ascii="Verdana" w:hAnsi="Verdana"/>
          <w:sz w:val="20"/>
        </w:rPr>
        <w:t xml:space="preserve"> d</w:t>
      </w:r>
      <w:r w:rsidRPr="002818E7">
        <w:rPr>
          <w:rFonts w:ascii="Verdana" w:hAnsi="Verdana"/>
          <w:sz w:val="20"/>
        </w:rPr>
        <w:t>a Comunidade</w:t>
      </w:r>
      <w:r>
        <w:rPr>
          <w:rFonts w:ascii="Verdana" w:hAnsi="Verdana"/>
          <w:sz w:val="20"/>
        </w:rPr>
        <w:t xml:space="preserve"> Mayagna </w:t>
      </w:r>
      <w:r w:rsidR="00C60678" w:rsidRPr="00C60678">
        <w:rPr>
          <w:rFonts w:ascii="Verdana" w:hAnsi="Verdana"/>
          <w:sz w:val="20"/>
        </w:rPr>
        <w:t>(</w:t>
      </w:r>
      <w:r>
        <w:rPr>
          <w:rFonts w:ascii="Verdana" w:hAnsi="Verdana"/>
          <w:sz w:val="20"/>
        </w:rPr>
        <w:t>Sumo</w:t>
      </w:r>
      <w:r w:rsidR="00C60678" w:rsidRPr="00C60678">
        <w:rPr>
          <w:rFonts w:ascii="Verdana" w:hAnsi="Verdana"/>
          <w:sz w:val="20"/>
        </w:rPr>
        <w:t>)</w:t>
      </w:r>
      <w:r>
        <w:rPr>
          <w:rFonts w:ascii="Verdana" w:hAnsi="Verdana"/>
          <w:sz w:val="20"/>
        </w:rPr>
        <w:t xml:space="preserve"> Awas Tingni e se abste</w:t>
      </w:r>
      <w:r w:rsidRPr="002818E7">
        <w:rPr>
          <w:rFonts w:ascii="Verdana" w:hAnsi="Verdana"/>
          <w:sz w:val="20"/>
        </w:rPr>
        <w:t>r</w:t>
      </w:r>
      <w:r w:rsidR="00663A1D">
        <w:rPr>
          <w:rFonts w:ascii="Verdana" w:hAnsi="Verdana"/>
          <w:sz w:val="20"/>
        </w:rPr>
        <w:t xml:space="preserve"> </w:t>
      </w:r>
      <w:r w:rsidRPr="002818E7">
        <w:rPr>
          <w:rFonts w:ascii="Verdana" w:hAnsi="Verdana"/>
          <w:sz w:val="20"/>
        </w:rPr>
        <w:t>de realizar</w:t>
      </w:r>
      <w:r>
        <w:rPr>
          <w:rFonts w:ascii="Verdana" w:hAnsi="Verdana"/>
          <w:sz w:val="20"/>
        </w:rPr>
        <w:t>, até que</w:t>
      </w:r>
      <w:r w:rsidRPr="002818E7">
        <w:rPr>
          <w:rFonts w:ascii="Verdana" w:hAnsi="Verdana"/>
          <w:sz w:val="20"/>
        </w:rPr>
        <w:t xml:space="preserve"> </w:t>
      </w:r>
      <w:r>
        <w:rPr>
          <w:rFonts w:ascii="Verdana" w:hAnsi="Verdana"/>
          <w:sz w:val="20"/>
        </w:rPr>
        <w:t>seja realizada</w:t>
      </w:r>
      <w:r w:rsidRPr="002818E7">
        <w:rPr>
          <w:rFonts w:ascii="Verdana" w:hAnsi="Verdana"/>
          <w:sz w:val="20"/>
        </w:rPr>
        <w:t xml:space="preserve"> es</w:t>
      </w:r>
      <w:r>
        <w:rPr>
          <w:rFonts w:ascii="Verdana" w:hAnsi="Verdana"/>
          <w:sz w:val="20"/>
        </w:rPr>
        <w:t>s</w:t>
      </w:r>
      <w:r w:rsidRPr="002818E7">
        <w:rPr>
          <w:rFonts w:ascii="Verdana" w:hAnsi="Verdana"/>
          <w:sz w:val="20"/>
        </w:rPr>
        <w:t>a delimitação, demarcação</w:t>
      </w:r>
      <w:r>
        <w:rPr>
          <w:rFonts w:ascii="Verdana" w:hAnsi="Verdana"/>
          <w:sz w:val="20"/>
        </w:rPr>
        <w:t xml:space="preserve"> e</w:t>
      </w:r>
      <w:r w:rsidRPr="002818E7">
        <w:rPr>
          <w:rFonts w:ascii="Verdana" w:hAnsi="Verdana"/>
          <w:sz w:val="20"/>
        </w:rPr>
        <w:t xml:space="preserve"> titulação</w:t>
      </w:r>
      <w:r>
        <w:rPr>
          <w:rFonts w:ascii="Verdana" w:hAnsi="Verdana"/>
          <w:sz w:val="20"/>
        </w:rPr>
        <w:t>, a</w:t>
      </w:r>
      <w:r w:rsidRPr="002818E7">
        <w:rPr>
          <w:rFonts w:ascii="Verdana" w:hAnsi="Verdana"/>
          <w:sz w:val="20"/>
        </w:rPr>
        <w:t>tos que possam</w:t>
      </w:r>
      <w:r>
        <w:rPr>
          <w:rFonts w:ascii="Verdana" w:hAnsi="Verdana"/>
          <w:sz w:val="20"/>
        </w:rPr>
        <w:t xml:space="preserve"> levar a que os agentes do</w:t>
      </w:r>
      <w:r w:rsidRPr="002818E7">
        <w:rPr>
          <w:rFonts w:ascii="Verdana" w:hAnsi="Verdana"/>
          <w:sz w:val="20"/>
        </w:rPr>
        <w:t xml:space="preserve"> </w:t>
      </w:r>
      <w:r>
        <w:rPr>
          <w:rFonts w:ascii="Verdana" w:hAnsi="Verdana"/>
          <w:sz w:val="20"/>
        </w:rPr>
        <w:t>próprio</w:t>
      </w:r>
      <w:r w:rsidRPr="002818E7">
        <w:rPr>
          <w:rFonts w:ascii="Verdana" w:hAnsi="Verdana"/>
          <w:sz w:val="20"/>
        </w:rPr>
        <w:t xml:space="preserve"> Estado, o</w:t>
      </w:r>
      <w:r>
        <w:rPr>
          <w:rFonts w:ascii="Verdana" w:hAnsi="Verdana"/>
          <w:sz w:val="20"/>
        </w:rPr>
        <w:t>u</w:t>
      </w:r>
      <w:r w:rsidRPr="002818E7">
        <w:rPr>
          <w:rFonts w:ascii="Verdana" w:hAnsi="Verdana"/>
          <w:sz w:val="20"/>
        </w:rPr>
        <w:t xml:space="preserve"> terce</w:t>
      </w:r>
      <w:r>
        <w:rPr>
          <w:rFonts w:ascii="Verdana" w:hAnsi="Verdana"/>
          <w:sz w:val="20"/>
        </w:rPr>
        <w:t>iros que atuem com</w:t>
      </w:r>
      <w:r w:rsidRPr="002818E7">
        <w:rPr>
          <w:rFonts w:ascii="Verdana" w:hAnsi="Verdana"/>
          <w:sz w:val="20"/>
        </w:rPr>
        <w:t xml:space="preserve"> su</w:t>
      </w:r>
      <w:r>
        <w:rPr>
          <w:rFonts w:ascii="Verdana" w:hAnsi="Verdana"/>
          <w:sz w:val="20"/>
        </w:rPr>
        <w:t>a</w:t>
      </w:r>
      <w:r w:rsidRPr="002818E7">
        <w:rPr>
          <w:rFonts w:ascii="Verdana" w:hAnsi="Verdana"/>
          <w:sz w:val="20"/>
        </w:rPr>
        <w:t xml:space="preserve"> </w:t>
      </w:r>
      <w:r>
        <w:rPr>
          <w:rFonts w:ascii="Verdana" w:hAnsi="Verdana"/>
          <w:sz w:val="20"/>
        </w:rPr>
        <w:t>aquiescência</w:t>
      </w:r>
      <w:r w:rsidRPr="002818E7">
        <w:rPr>
          <w:rFonts w:ascii="Verdana" w:hAnsi="Verdana"/>
          <w:sz w:val="20"/>
        </w:rPr>
        <w:t xml:space="preserve"> o</w:t>
      </w:r>
      <w:r>
        <w:rPr>
          <w:rFonts w:ascii="Verdana" w:hAnsi="Verdana"/>
          <w:sz w:val="20"/>
        </w:rPr>
        <w:t>u</w:t>
      </w:r>
      <w:r w:rsidRPr="002818E7">
        <w:rPr>
          <w:rFonts w:ascii="Verdana" w:hAnsi="Verdana"/>
          <w:sz w:val="20"/>
        </w:rPr>
        <w:t xml:space="preserve"> su</w:t>
      </w:r>
      <w:r>
        <w:rPr>
          <w:rFonts w:ascii="Verdana" w:hAnsi="Verdana"/>
          <w:sz w:val="20"/>
        </w:rPr>
        <w:t xml:space="preserve">a tolerância, prejudiquem </w:t>
      </w:r>
      <w:r w:rsidRPr="002818E7">
        <w:rPr>
          <w:rFonts w:ascii="Verdana" w:hAnsi="Verdana"/>
          <w:sz w:val="20"/>
        </w:rPr>
        <w:t xml:space="preserve">a </w:t>
      </w:r>
      <w:r>
        <w:rPr>
          <w:rFonts w:ascii="Verdana" w:hAnsi="Verdana"/>
          <w:sz w:val="20"/>
        </w:rPr>
        <w:t>existência, o valor, o</w:t>
      </w:r>
      <w:r w:rsidRPr="002818E7">
        <w:rPr>
          <w:rFonts w:ascii="Verdana" w:hAnsi="Verdana"/>
          <w:sz w:val="20"/>
        </w:rPr>
        <w:t xml:space="preserve"> uso o</w:t>
      </w:r>
      <w:r>
        <w:rPr>
          <w:rFonts w:ascii="Verdana" w:hAnsi="Verdana"/>
          <w:sz w:val="20"/>
        </w:rPr>
        <w:t>u o gozo dos ben</w:t>
      </w:r>
      <w:r w:rsidRPr="002818E7">
        <w:rPr>
          <w:rFonts w:ascii="Verdana" w:hAnsi="Verdana"/>
          <w:sz w:val="20"/>
        </w:rPr>
        <w:t>s localizados</w:t>
      </w:r>
      <w:r>
        <w:rPr>
          <w:rFonts w:ascii="Verdana" w:hAnsi="Verdana"/>
          <w:sz w:val="20"/>
        </w:rPr>
        <w:t xml:space="preserve"> na zona geográfica onde habitam e realizam</w:t>
      </w:r>
      <w:r w:rsidRPr="002818E7">
        <w:rPr>
          <w:rFonts w:ascii="Verdana" w:hAnsi="Verdana"/>
          <w:sz w:val="20"/>
        </w:rPr>
        <w:t xml:space="preserve"> su</w:t>
      </w:r>
      <w:r>
        <w:rPr>
          <w:rFonts w:ascii="Verdana" w:hAnsi="Verdana"/>
          <w:sz w:val="20"/>
        </w:rPr>
        <w:t>a</w:t>
      </w:r>
      <w:r w:rsidRPr="002818E7">
        <w:rPr>
          <w:rFonts w:ascii="Verdana" w:hAnsi="Verdana"/>
          <w:sz w:val="20"/>
        </w:rPr>
        <w:t>s atividades</w:t>
      </w:r>
      <w:r>
        <w:rPr>
          <w:rFonts w:ascii="Verdana" w:hAnsi="Verdana"/>
          <w:sz w:val="20"/>
        </w:rPr>
        <w:t xml:space="preserve"> </w:t>
      </w:r>
      <w:r w:rsidRPr="002818E7">
        <w:rPr>
          <w:rFonts w:ascii="Verdana" w:hAnsi="Verdana"/>
          <w:sz w:val="20"/>
        </w:rPr>
        <w:t>os membros</w:t>
      </w:r>
      <w:r>
        <w:rPr>
          <w:rFonts w:ascii="Verdana" w:hAnsi="Verdana"/>
          <w:sz w:val="20"/>
        </w:rPr>
        <w:t xml:space="preserve"> d</w:t>
      </w:r>
      <w:r w:rsidRPr="002818E7">
        <w:rPr>
          <w:rFonts w:ascii="Verdana" w:hAnsi="Verdana"/>
          <w:sz w:val="20"/>
        </w:rPr>
        <w:t xml:space="preserve">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w:t>
      </w:r>
      <w:r>
        <w:rPr>
          <w:rFonts w:ascii="Verdana" w:hAnsi="Verdana"/>
          <w:sz w:val="20"/>
        </w:rPr>
        <w:t>conforme o expo</w:t>
      </w:r>
      <w:r w:rsidRPr="002818E7">
        <w:rPr>
          <w:rFonts w:ascii="Verdana" w:hAnsi="Verdana"/>
          <w:sz w:val="20"/>
        </w:rPr>
        <w:t xml:space="preserve">sto </w:t>
      </w:r>
      <w:r>
        <w:rPr>
          <w:rFonts w:ascii="Verdana" w:hAnsi="Verdana"/>
          <w:sz w:val="20"/>
        </w:rPr>
        <w:t>nos</w:t>
      </w:r>
      <w:r w:rsidRPr="002818E7">
        <w:rPr>
          <w:rFonts w:ascii="Verdana" w:hAnsi="Verdana"/>
          <w:sz w:val="20"/>
        </w:rPr>
        <w:t xml:space="preserve"> parágrafo</w:t>
      </w:r>
      <w:r>
        <w:rPr>
          <w:rFonts w:ascii="Verdana" w:hAnsi="Verdana"/>
          <w:sz w:val="20"/>
        </w:rPr>
        <w:t>s 153 e 164 da</w:t>
      </w:r>
      <w:r w:rsidRPr="002818E7">
        <w:rPr>
          <w:rFonts w:ascii="Verdana" w:hAnsi="Verdana"/>
          <w:sz w:val="20"/>
        </w:rPr>
        <w:t xml:space="preserve"> presente Sentença.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b/>
          <w:sz w:val="20"/>
        </w:rPr>
      </w:pPr>
      <w:proofErr w:type="gramStart"/>
      <w:r w:rsidRPr="002818E7">
        <w:rPr>
          <w:rFonts w:ascii="Verdana" w:hAnsi="Verdana"/>
          <w:sz w:val="20"/>
        </w:rPr>
        <w:t>por</w:t>
      </w:r>
      <w:proofErr w:type="gramEnd"/>
      <w:r w:rsidRPr="002818E7">
        <w:rPr>
          <w:rFonts w:ascii="Verdana" w:hAnsi="Verdana"/>
          <w:sz w:val="20"/>
        </w:rPr>
        <w:t xml:space="preserve"> </w:t>
      </w:r>
      <w:r>
        <w:rPr>
          <w:rFonts w:ascii="Verdana" w:hAnsi="Verdana"/>
          <w:sz w:val="20"/>
        </w:rPr>
        <w:t>unanimidade</w:t>
      </w:r>
      <w:r w:rsidRPr="002818E7">
        <w:rPr>
          <w:rFonts w:ascii="Verdana" w:hAnsi="Verdana"/>
          <w:sz w:val="20"/>
        </w:rPr>
        <w:t>,</w:t>
      </w:r>
    </w:p>
    <w:p w:rsidR="00C336FB" w:rsidRPr="002818E7" w:rsidRDefault="00C336FB" w:rsidP="00C336FB">
      <w:pPr>
        <w:jc w:val="both"/>
        <w:rPr>
          <w:rFonts w:ascii="Verdana" w:hAnsi="Verdana"/>
          <w:b/>
          <w:sz w:val="20"/>
        </w:rPr>
      </w:pPr>
    </w:p>
    <w:p w:rsidR="00C336FB" w:rsidRPr="002818E7" w:rsidRDefault="00C336FB" w:rsidP="00C336FB">
      <w:pPr>
        <w:jc w:val="both"/>
        <w:rPr>
          <w:rFonts w:ascii="Verdana" w:hAnsi="Verdana"/>
          <w:sz w:val="20"/>
          <w:u w:val="single"/>
        </w:rPr>
      </w:pPr>
      <w:r>
        <w:rPr>
          <w:rFonts w:ascii="Verdana" w:hAnsi="Verdana"/>
          <w:sz w:val="20"/>
        </w:rPr>
        <w:t>5.</w:t>
      </w:r>
      <w:r>
        <w:rPr>
          <w:rFonts w:ascii="Verdana" w:hAnsi="Verdana"/>
          <w:sz w:val="20"/>
        </w:rPr>
        <w:tab/>
        <w:t xml:space="preserve">declara que </w:t>
      </w:r>
      <w:r w:rsidRPr="002818E7">
        <w:rPr>
          <w:rFonts w:ascii="Verdana" w:hAnsi="Verdana"/>
          <w:sz w:val="20"/>
        </w:rPr>
        <w:t>a presente Sentença</w:t>
      </w:r>
      <w:r>
        <w:rPr>
          <w:rFonts w:ascii="Verdana" w:hAnsi="Verdana"/>
          <w:sz w:val="20"/>
        </w:rPr>
        <w:t xml:space="preserve"> constitui</w:t>
      </w:r>
      <w:r w:rsidRPr="002818E7">
        <w:rPr>
          <w:rFonts w:ascii="Verdana" w:hAnsi="Verdana"/>
          <w:sz w:val="20"/>
        </w:rPr>
        <w:t xml:space="preserve">, </w:t>
      </w:r>
      <w:r w:rsidRPr="002818E7">
        <w:rPr>
          <w:rFonts w:ascii="Verdana" w:hAnsi="Verdana"/>
          <w:i/>
          <w:sz w:val="20"/>
        </w:rPr>
        <w:t>per se,</w:t>
      </w:r>
      <w:r>
        <w:rPr>
          <w:rFonts w:ascii="Verdana" w:hAnsi="Verdana"/>
          <w:sz w:val="20"/>
        </w:rPr>
        <w:t xml:space="preserve"> um</w:t>
      </w:r>
      <w:r w:rsidRPr="002818E7">
        <w:rPr>
          <w:rFonts w:ascii="Verdana" w:hAnsi="Verdana"/>
          <w:sz w:val="20"/>
        </w:rPr>
        <w:t>a forma de reparação</w:t>
      </w:r>
      <w:r>
        <w:rPr>
          <w:rFonts w:ascii="Verdana" w:hAnsi="Verdana"/>
          <w:sz w:val="20"/>
        </w:rPr>
        <w:t xml:space="preserve"> para o</w:t>
      </w:r>
      <w:r w:rsidRPr="002818E7">
        <w:rPr>
          <w:rFonts w:ascii="Verdana" w:hAnsi="Verdana"/>
          <w:sz w:val="20"/>
        </w:rPr>
        <w:t>s membros</w:t>
      </w:r>
      <w:r>
        <w:rPr>
          <w:rFonts w:ascii="Verdana" w:hAnsi="Verdana"/>
          <w:sz w:val="20"/>
        </w:rPr>
        <w:t xml:space="preserve"> d</w:t>
      </w:r>
      <w:r w:rsidRPr="002818E7">
        <w:rPr>
          <w:rFonts w:ascii="Verdana" w:hAnsi="Verdana"/>
          <w:sz w:val="20"/>
        </w:rPr>
        <w:t xml:space="preserve">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Pr>
          <w:rFonts w:ascii="Verdana" w:hAnsi="Verdana"/>
          <w:sz w:val="20"/>
        </w:rPr>
        <w:t>por</w:t>
      </w:r>
      <w:proofErr w:type="gramEnd"/>
      <w:r>
        <w:rPr>
          <w:rFonts w:ascii="Verdana" w:hAnsi="Verdana"/>
          <w:sz w:val="20"/>
        </w:rPr>
        <w:t xml:space="preserve"> sete votos contra um</w:t>
      </w:r>
      <w:r w:rsidRPr="002818E7">
        <w:rPr>
          <w:rFonts w:ascii="Verdana" w:hAnsi="Verdana"/>
          <w:sz w:val="20"/>
        </w:rPr>
        <w:t>,</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6.</w:t>
      </w:r>
      <w:r w:rsidRPr="002818E7">
        <w:rPr>
          <w:rFonts w:ascii="Verdana" w:hAnsi="Verdana"/>
          <w:sz w:val="20"/>
        </w:rPr>
        <w:tab/>
        <w:t>decide, por equidad</w:t>
      </w:r>
      <w:r>
        <w:rPr>
          <w:rFonts w:ascii="Verdana" w:hAnsi="Verdana"/>
          <w:sz w:val="20"/>
        </w:rPr>
        <w:t>e, que o Estado deve investir, a título</w:t>
      </w:r>
      <w:r w:rsidRPr="002818E7">
        <w:rPr>
          <w:rFonts w:ascii="Verdana" w:hAnsi="Verdana"/>
          <w:sz w:val="20"/>
        </w:rPr>
        <w:t xml:space="preserve"> de reparação</w:t>
      </w:r>
      <w:r>
        <w:rPr>
          <w:rFonts w:ascii="Verdana" w:hAnsi="Verdana"/>
          <w:sz w:val="20"/>
        </w:rPr>
        <w:t xml:space="preserve"> do</w:t>
      </w:r>
      <w:r w:rsidRPr="002818E7">
        <w:rPr>
          <w:rFonts w:ascii="Verdana" w:hAnsi="Verdana"/>
          <w:sz w:val="20"/>
        </w:rPr>
        <w:t xml:space="preserve"> </w:t>
      </w:r>
      <w:r>
        <w:rPr>
          <w:rFonts w:ascii="Verdana" w:hAnsi="Verdana"/>
          <w:sz w:val="20"/>
        </w:rPr>
        <w:t>dano imate</w:t>
      </w:r>
      <w:r w:rsidRPr="002818E7">
        <w:rPr>
          <w:rFonts w:ascii="Verdana" w:hAnsi="Verdana"/>
          <w:sz w:val="20"/>
        </w:rPr>
        <w:t>ria</w:t>
      </w:r>
      <w:r>
        <w:rPr>
          <w:rFonts w:ascii="Verdana" w:hAnsi="Verdana"/>
          <w:sz w:val="20"/>
        </w:rPr>
        <w:t>l, no</w:t>
      </w:r>
      <w:r w:rsidRPr="002818E7">
        <w:rPr>
          <w:rFonts w:ascii="Verdana" w:hAnsi="Verdana"/>
          <w:sz w:val="20"/>
        </w:rPr>
        <w:t xml:space="preserve"> prazo d</w:t>
      </w:r>
      <w:r>
        <w:rPr>
          <w:rFonts w:ascii="Verdana" w:hAnsi="Verdana"/>
          <w:sz w:val="20"/>
        </w:rPr>
        <w:t xml:space="preserve">e 12 meses, a quantia total de US$ 50.000 </w:t>
      </w:r>
      <w:r w:rsidR="00C60678" w:rsidRPr="00C60678">
        <w:rPr>
          <w:rFonts w:ascii="Verdana" w:hAnsi="Verdana"/>
          <w:sz w:val="20"/>
        </w:rPr>
        <w:t>(</w:t>
      </w:r>
      <w:r>
        <w:rPr>
          <w:rFonts w:ascii="Verdana" w:hAnsi="Verdana"/>
          <w:sz w:val="20"/>
        </w:rPr>
        <w:t>cinquenta mil dólares dos Estados Unidos da América</w:t>
      </w:r>
      <w:r w:rsidR="00C60678" w:rsidRPr="00C60678">
        <w:rPr>
          <w:rFonts w:ascii="Verdana" w:hAnsi="Verdana"/>
          <w:sz w:val="20"/>
        </w:rPr>
        <w:t>)</w:t>
      </w:r>
      <w:r>
        <w:rPr>
          <w:rFonts w:ascii="Verdana" w:hAnsi="Verdana"/>
          <w:sz w:val="20"/>
        </w:rPr>
        <w:t xml:space="preserve"> em</w:t>
      </w:r>
      <w:r w:rsidRPr="002818E7">
        <w:rPr>
          <w:rFonts w:ascii="Verdana" w:hAnsi="Verdana"/>
          <w:sz w:val="20"/>
        </w:rPr>
        <w:t xml:space="preserve"> obras o</w:t>
      </w:r>
      <w:r>
        <w:rPr>
          <w:rFonts w:ascii="Verdana" w:hAnsi="Verdana"/>
          <w:sz w:val="20"/>
        </w:rPr>
        <w:t>u</w:t>
      </w:r>
      <w:r w:rsidRPr="002818E7">
        <w:rPr>
          <w:rFonts w:ascii="Verdana" w:hAnsi="Verdana"/>
          <w:sz w:val="20"/>
        </w:rPr>
        <w:t xml:space="preserve"> serviço</w:t>
      </w:r>
      <w:r>
        <w:rPr>
          <w:rFonts w:ascii="Verdana" w:hAnsi="Verdana"/>
          <w:sz w:val="20"/>
        </w:rPr>
        <w:t>s de interes</w:t>
      </w:r>
      <w:r w:rsidRPr="002818E7">
        <w:rPr>
          <w:rFonts w:ascii="Verdana" w:hAnsi="Verdana"/>
          <w:sz w:val="20"/>
        </w:rPr>
        <w:t>s</w:t>
      </w:r>
      <w:r>
        <w:rPr>
          <w:rFonts w:ascii="Verdana" w:hAnsi="Verdana"/>
          <w:sz w:val="20"/>
        </w:rPr>
        <w:t>e</w:t>
      </w:r>
      <w:r w:rsidRPr="002818E7">
        <w:rPr>
          <w:rFonts w:ascii="Verdana" w:hAnsi="Verdana"/>
          <w:sz w:val="20"/>
        </w:rPr>
        <w:t xml:space="preserve"> coletivo</w:t>
      </w:r>
      <w:r>
        <w:rPr>
          <w:rFonts w:ascii="Verdana" w:hAnsi="Verdana"/>
          <w:sz w:val="20"/>
        </w:rPr>
        <w:t xml:space="preserve"> em benefício d</w:t>
      </w:r>
      <w:r w:rsidRPr="002818E7">
        <w:rPr>
          <w:rFonts w:ascii="Verdana" w:hAnsi="Verdana"/>
          <w:sz w:val="20"/>
        </w:rPr>
        <w:t xml:space="preserve">a Comunidade Mayagna </w:t>
      </w:r>
      <w:r w:rsidR="00C60678" w:rsidRPr="00C60678">
        <w:rPr>
          <w:rFonts w:ascii="Verdana" w:hAnsi="Verdana"/>
          <w:sz w:val="20"/>
        </w:rPr>
        <w:t>(</w:t>
      </w:r>
      <w:r w:rsidRPr="002818E7">
        <w:rPr>
          <w:rFonts w:ascii="Verdana" w:hAnsi="Verdana"/>
          <w:sz w:val="20"/>
        </w:rPr>
        <w:t>Sumo</w:t>
      </w:r>
      <w:r w:rsidR="00C60678" w:rsidRPr="00C60678">
        <w:rPr>
          <w:rFonts w:ascii="Verdana" w:hAnsi="Verdana"/>
          <w:sz w:val="20"/>
        </w:rPr>
        <w:t>)</w:t>
      </w:r>
      <w:r w:rsidRPr="002818E7">
        <w:rPr>
          <w:rFonts w:ascii="Verdana" w:hAnsi="Verdana"/>
          <w:sz w:val="20"/>
        </w:rPr>
        <w:t xml:space="preserve"> Awas Tingni, de comum acordo</w:t>
      </w:r>
      <w:r>
        <w:rPr>
          <w:rFonts w:ascii="Verdana" w:hAnsi="Verdana"/>
          <w:sz w:val="20"/>
        </w:rPr>
        <w:t xml:space="preserve"> com esta e sob </w:t>
      </w:r>
      <w:r w:rsidRPr="002818E7">
        <w:rPr>
          <w:rFonts w:ascii="Verdana" w:hAnsi="Verdana"/>
          <w:sz w:val="20"/>
        </w:rPr>
        <w:t>a supervisão</w:t>
      </w:r>
      <w:r>
        <w:rPr>
          <w:rFonts w:ascii="Verdana" w:hAnsi="Verdana"/>
          <w:sz w:val="20"/>
        </w:rPr>
        <w:t xml:space="preserve"> d</w:t>
      </w:r>
      <w:r w:rsidRPr="002818E7">
        <w:rPr>
          <w:rFonts w:ascii="Verdana" w:hAnsi="Verdana"/>
          <w:sz w:val="20"/>
        </w:rPr>
        <w:t>a Comissão Interamericana de Direitos</w:t>
      </w:r>
      <w:r>
        <w:rPr>
          <w:rFonts w:ascii="Verdana" w:hAnsi="Verdana"/>
          <w:sz w:val="20"/>
        </w:rPr>
        <w:t xml:space="preserve"> Humanos, conforme o exposto no</w:t>
      </w:r>
      <w:r w:rsidRPr="002818E7">
        <w:rPr>
          <w:rFonts w:ascii="Verdana" w:hAnsi="Verdana"/>
          <w:sz w:val="20"/>
        </w:rPr>
        <w:t xml:space="preserve"> parágrafo</w:t>
      </w:r>
      <w:r>
        <w:rPr>
          <w:rFonts w:ascii="Verdana" w:hAnsi="Verdana"/>
          <w:sz w:val="20"/>
        </w:rPr>
        <w:t xml:space="preserve"> 167 d</w:t>
      </w:r>
      <w:r w:rsidRPr="002818E7">
        <w:rPr>
          <w:rFonts w:ascii="Verdana" w:hAnsi="Verdana"/>
          <w:sz w:val="20"/>
        </w:rPr>
        <w:t>a presente Sentença.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Di</w:t>
      </w:r>
      <w:r>
        <w:rPr>
          <w:rFonts w:ascii="Verdana" w:hAnsi="Verdana"/>
          <w:sz w:val="20"/>
        </w:rPr>
        <w:t>s</w:t>
      </w:r>
      <w:r w:rsidRPr="002818E7">
        <w:rPr>
          <w:rFonts w:ascii="Verdana" w:hAnsi="Verdana"/>
          <w:sz w:val="20"/>
        </w:rPr>
        <w:t>si</w:t>
      </w:r>
      <w:r>
        <w:rPr>
          <w:rFonts w:ascii="Verdana" w:hAnsi="Verdana"/>
          <w:sz w:val="20"/>
        </w:rPr>
        <w:t>dente o</w:t>
      </w:r>
      <w:r w:rsidRPr="002818E7">
        <w:rPr>
          <w:rFonts w:ascii="Verdana" w:hAnsi="Verdana"/>
          <w:sz w:val="20"/>
        </w:rPr>
        <w:t xml:space="preserve"> Juiz Montiel Argüello.</w:t>
      </w:r>
    </w:p>
    <w:p w:rsidR="006226F7" w:rsidRDefault="006226F7" w:rsidP="00C336FB">
      <w:pPr>
        <w:jc w:val="both"/>
        <w:rPr>
          <w:rFonts w:ascii="Verdana" w:hAnsi="Verdana"/>
          <w:sz w:val="20"/>
        </w:rPr>
      </w:pPr>
    </w:p>
    <w:p w:rsidR="00C336FB" w:rsidRDefault="00C336FB" w:rsidP="00C336FB">
      <w:pPr>
        <w:jc w:val="both"/>
        <w:rPr>
          <w:rFonts w:ascii="Verdana" w:hAnsi="Verdana"/>
          <w:sz w:val="20"/>
        </w:rPr>
      </w:pPr>
      <w:proofErr w:type="gramStart"/>
      <w:r>
        <w:rPr>
          <w:rFonts w:ascii="Verdana" w:hAnsi="Verdana"/>
          <w:sz w:val="20"/>
        </w:rPr>
        <w:t>por</w:t>
      </w:r>
      <w:proofErr w:type="gramEnd"/>
      <w:r>
        <w:rPr>
          <w:rFonts w:ascii="Verdana" w:hAnsi="Verdana"/>
          <w:sz w:val="20"/>
        </w:rPr>
        <w:t xml:space="preserve"> sete votos contra um</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7.</w:t>
      </w:r>
      <w:r w:rsidRPr="002818E7">
        <w:rPr>
          <w:rFonts w:ascii="Verdana" w:hAnsi="Verdana"/>
          <w:sz w:val="20"/>
        </w:rPr>
        <w:tab/>
        <w:t>decide, por equidad</w:t>
      </w:r>
      <w:r>
        <w:rPr>
          <w:rFonts w:ascii="Verdana" w:hAnsi="Verdana"/>
          <w:sz w:val="20"/>
        </w:rPr>
        <w:t>e, que o Estado deve pagar a</w:t>
      </w:r>
      <w:r w:rsidRPr="002818E7">
        <w:rPr>
          <w:rFonts w:ascii="Verdana" w:hAnsi="Verdana"/>
          <w:sz w:val="20"/>
        </w:rPr>
        <w:t>os membros</w:t>
      </w:r>
      <w:r>
        <w:rPr>
          <w:rFonts w:ascii="Verdana" w:hAnsi="Verdana"/>
          <w:sz w:val="20"/>
        </w:rPr>
        <w:t xml:space="preserve"> d</w:t>
      </w:r>
      <w:r w:rsidRPr="002818E7">
        <w:rPr>
          <w:rFonts w:ascii="Verdana" w:hAnsi="Verdana"/>
          <w:sz w:val="20"/>
        </w:rPr>
        <w:t xml:space="preserve">a Comunidade Mayagna </w:t>
      </w:r>
      <w:r w:rsidR="00C60678" w:rsidRPr="00C60678">
        <w:rPr>
          <w:rFonts w:ascii="Verdana" w:hAnsi="Verdana"/>
          <w:sz w:val="20"/>
        </w:rPr>
        <w:t>(</w:t>
      </w:r>
      <w:r>
        <w:rPr>
          <w:rFonts w:ascii="Verdana" w:hAnsi="Verdana"/>
          <w:sz w:val="20"/>
        </w:rPr>
        <w:t>Sumo</w:t>
      </w:r>
      <w:r w:rsidR="00C60678" w:rsidRPr="00C60678">
        <w:rPr>
          <w:rFonts w:ascii="Verdana" w:hAnsi="Verdana"/>
          <w:sz w:val="20"/>
        </w:rPr>
        <w:t>)</w:t>
      </w:r>
      <w:r>
        <w:rPr>
          <w:rFonts w:ascii="Verdana" w:hAnsi="Verdana"/>
          <w:sz w:val="20"/>
        </w:rPr>
        <w:t xml:space="preserve"> Awas Tingni, através d</w:t>
      </w:r>
      <w:r w:rsidRPr="002818E7">
        <w:rPr>
          <w:rFonts w:ascii="Verdana" w:hAnsi="Verdana"/>
          <w:sz w:val="20"/>
        </w:rPr>
        <w:t xml:space="preserve">a Comissão Interamericana de Direitos Humanos, </w:t>
      </w:r>
      <w:r>
        <w:rPr>
          <w:rFonts w:ascii="Verdana" w:hAnsi="Verdana"/>
          <w:sz w:val="20"/>
        </w:rPr>
        <w:t>a</w:t>
      </w:r>
      <w:r w:rsidRPr="002818E7">
        <w:rPr>
          <w:rFonts w:ascii="Verdana" w:hAnsi="Verdana"/>
          <w:sz w:val="20"/>
        </w:rPr>
        <w:t xml:space="preserve"> </w:t>
      </w:r>
      <w:r>
        <w:rPr>
          <w:rFonts w:ascii="Verdana" w:hAnsi="Verdana"/>
          <w:sz w:val="20"/>
        </w:rPr>
        <w:t xml:space="preserve">quantia total de US$ 30.000 </w:t>
      </w:r>
      <w:r w:rsidR="00C60678" w:rsidRPr="00C60678">
        <w:rPr>
          <w:rFonts w:ascii="Verdana" w:hAnsi="Verdana"/>
          <w:sz w:val="20"/>
        </w:rPr>
        <w:t>(</w:t>
      </w:r>
      <w:r>
        <w:rPr>
          <w:rFonts w:ascii="Verdana" w:hAnsi="Verdana"/>
          <w:sz w:val="20"/>
        </w:rPr>
        <w:t>trinta mil dólares dos Estados Unidos da América</w:t>
      </w:r>
      <w:r w:rsidR="00C60678" w:rsidRPr="00C60678">
        <w:rPr>
          <w:rFonts w:ascii="Verdana" w:hAnsi="Verdana"/>
          <w:sz w:val="20"/>
        </w:rPr>
        <w:t>)</w:t>
      </w:r>
      <w:r>
        <w:rPr>
          <w:rFonts w:ascii="Verdana" w:hAnsi="Verdana"/>
          <w:sz w:val="20"/>
        </w:rPr>
        <w:t xml:space="preserve"> a título de gastos e</w:t>
      </w:r>
      <w:r w:rsidRPr="002818E7">
        <w:rPr>
          <w:rFonts w:ascii="Verdana" w:hAnsi="Verdana"/>
          <w:sz w:val="20"/>
        </w:rPr>
        <w:t xml:space="preserve"> custas</w:t>
      </w:r>
      <w:r>
        <w:rPr>
          <w:rFonts w:ascii="Verdana" w:hAnsi="Verdana"/>
          <w:sz w:val="20"/>
        </w:rPr>
        <w:t xml:space="preserve"> em que incorreram </w:t>
      </w:r>
      <w:r w:rsidRPr="002818E7">
        <w:rPr>
          <w:rFonts w:ascii="Verdana" w:hAnsi="Verdana"/>
          <w:sz w:val="20"/>
        </w:rPr>
        <w:t>os membros</w:t>
      </w:r>
      <w:r>
        <w:rPr>
          <w:rFonts w:ascii="Verdana" w:hAnsi="Verdana"/>
          <w:sz w:val="20"/>
        </w:rPr>
        <w:t xml:space="preserve"> dest</w:t>
      </w:r>
      <w:r w:rsidRPr="002818E7">
        <w:rPr>
          <w:rFonts w:ascii="Verdana" w:hAnsi="Verdana"/>
          <w:sz w:val="20"/>
        </w:rPr>
        <w:t>a Comunidade</w:t>
      </w:r>
      <w:r>
        <w:rPr>
          <w:rFonts w:ascii="Verdana" w:hAnsi="Verdana"/>
          <w:sz w:val="20"/>
        </w:rPr>
        <w:t xml:space="preserve"> e </w:t>
      </w:r>
      <w:r w:rsidRPr="002818E7">
        <w:rPr>
          <w:rFonts w:ascii="Verdana" w:hAnsi="Verdana"/>
          <w:sz w:val="20"/>
        </w:rPr>
        <w:t>s</w:t>
      </w:r>
      <w:r>
        <w:rPr>
          <w:rFonts w:ascii="Verdana" w:hAnsi="Verdana"/>
          <w:sz w:val="20"/>
        </w:rPr>
        <w:t>e</w:t>
      </w:r>
      <w:r w:rsidRPr="002818E7">
        <w:rPr>
          <w:rFonts w:ascii="Verdana" w:hAnsi="Verdana"/>
          <w:sz w:val="20"/>
        </w:rPr>
        <w:t>us re</w:t>
      </w:r>
      <w:r>
        <w:rPr>
          <w:rFonts w:ascii="Verdana" w:hAnsi="Verdana"/>
          <w:sz w:val="20"/>
        </w:rPr>
        <w:t>presentantes, ambos causados n</w:t>
      </w:r>
      <w:r w:rsidRPr="002818E7">
        <w:rPr>
          <w:rFonts w:ascii="Verdana" w:hAnsi="Verdana"/>
          <w:sz w:val="20"/>
        </w:rPr>
        <w:t>os processo</w:t>
      </w:r>
      <w:r>
        <w:rPr>
          <w:rFonts w:ascii="Verdana" w:hAnsi="Verdana"/>
          <w:sz w:val="20"/>
        </w:rPr>
        <w:t>s internos e no</w:t>
      </w:r>
      <w:r w:rsidRPr="002818E7">
        <w:rPr>
          <w:rFonts w:ascii="Verdana" w:hAnsi="Verdana"/>
          <w:sz w:val="20"/>
        </w:rPr>
        <w:t xml:space="preserve"> processo</w:t>
      </w:r>
      <w:r>
        <w:rPr>
          <w:rFonts w:ascii="Verdana" w:hAnsi="Verdana"/>
          <w:sz w:val="20"/>
        </w:rPr>
        <w:t xml:space="preserve"> internacional perante o</w:t>
      </w:r>
      <w:r w:rsidRPr="002818E7">
        <w:rPr>
          <w:rFonts w:ascii="Verdana" w:hAnsi="Verdana"/>
          <w:sz w:val="20"/>
        </w:rPr>
        <w:t xml:space="preserve"> sistema interamericano de proteção</w:t>
      </w:r>
      <w:r>
        <w:rPr>
          <w:rFonts w:ascii="Verdana" w:hAnsi="Verdana"/>
          <w:sz w:val="20"/>
        </w:rPr>
        <w:t>, conforme o exposto no</w:t>
      </w:r>
      <w:r w:rsidRPr="002818E7">
        <w:rPr>
          <w:rFonts w:ascii="Verdana" w:hAnsi="Verdana"/>
          <w:sz w:val="20"/>
        </w:rPr>
        <w:t xml:space="preserve"> parágrafo</w:t>
      </w:r>
      <w:r>
        <w:rPr>
          <w:rFonts w:ascii="Verdana" w:hAnsi="Verdana"/>
          <w:sz w:val="20"/>
        </w:rPr>
        <w:t xml:space="preserve"> 169 d</w:t>
      </w:r>
      <w:r w:rsidRPr="002818E7">
        <w:rPr>
          <w:rFonts w:ascii="Verdana" w:hAnsi="Verdana"/>
          <w:sz w:val="20"/>
        </w:rPr>
        <w:t>a presente Sentença.</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Di</w:t>
      </w:r>
      <w:r>
        <w:rPr>
          <w:rFonts w:ascii="Verdana" w:hAnsi="Verdana"/>
          <w:sz w:val="20"/>
        </w:rPr>
        <w:t>s</w:t>
      </w:r>
      <w:r w:rsidRPr="002818E7">
        <w:rPr>
          <w:rFonts w:ascii="Verdana" w:hAnsi="Verdana"/>
          <w:sz w:val="20"/>
        </w:rPr>
        <w:t>si</w:t>
      </w:r>
      <w:r>
        <w:rPr>
          <w:rFonts w:ascii="Verdana" w:hAnsi="Verdana"/>
          <w:sz w:val="20"/>
        </w:rPr>
        <w:t>dente o</w:t>
      </w:r>
      <w:r w:rsidRPr="002818E7">
        <w:rPr>
          <w:rFonts w:ascii="Verdana" w:hAnsi="Verdana"/>
          <w:sz w:val="20"/>
        </w:rPr>
        <w:t xml:space="preserve"> Juiz Montiel Argüello.</w:t>
      </w:r>
    </w:p>
    <w:p w:rsidR="00C336FB"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por</w:t>
      </w:r>
      <w:proofErr w:type="gramEnd"/>
      <w:r w:rsidRPr="002818E7">
        <w:rPr>
          <w:rFonts w:ascii="Verdana" w:hAnsi="Verdana"/>
          <w:sz w:val="20"/>
        </w:rPr>
        <w:t xml:space="preserve"> </w:t>
      </w:r>
      <w:r>
        <w:rPr>
          <w:rFonts w:ascii="Verdana" w:hAnsi="Verdana"/>
          <w:sz w:val="20"/>
        </w:rPr>
        <w:t>unanimidade</w:t>
      </w:r>
      <w:r w:rsidRPr="002818E7">
        <w:rPr>
          <w:rFonts w:ascii="Verdana" w:hAnsi="Verdana"/>
          <w:sz w:val="20"/>
        </w:rPr>
        <w:t>,</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r w:rsidRPr="002818E7">
        <w:rPr>
          <w:rFonts w:ascii="Verdana" w:hAnsi="Verdana"/>
          <w:sz w:val="20"/>
        </w:rPr>
        <w:t>8.</w:t>
      </w:r>
      <w:r w:rsidRPr="002818E7">
        <w:rPr>
          <w:rFonts w:ascii="Verdana" w:hAnsi="Verdana"/>
          <w:sz w:val="20"/>
        </w:rPr>
        <w:tab/>
        <w:t xml:space="preserve">decide que </w:t>
      </w:r>
      <w:r>
        <w:rPr>
          <w:rFonts w:ascii="Verdana" w:hAnsi="Verdana"/>
          <w:sz w:val="20"/>
        </w:rPr>
        <w:t xml:space="preserve">o Estado deve </w:t>
      </w:r>
      <w:r w:rsidR="004B65E5">
        <w:rPr>
          <w:rFonts w:ascii="Verdana" w:hAnsi="Verdana"/>
          <w:sz w:val="20"/>
        </w:rPr>
        <w:t>apresentar</w:t>
      </w:r>
      <w:r>
        <w:rPr>
          <w:rFonts w:ascii="Verdana" w:hAnsi="Verdana"/>
          <w:sz w:val="20"/>
        </w:rPr>
        <w:t xml:space="preserve"> à</w:t>
      </w:r>
      <w:r w:rsidRPr="002818E7">
        <w:rPr>
          <w:rFonts w:ascii="Verdana" w:hAnsi="Verdana"/>
          <w:sz w:val="20"/>
        </w:rPr>
        <w:t xml:space="preserve"> Corte Interamericana de Direitos Humanos</w:t>
      </w:r>
      <w:r w:rsidR="008D4460">
        <w:rPr>
          <w:rFonts w:ascii="Verdana" w:hAnsi="Verdana"/>
          <w:sz w:val="20"/>
        </w:rPr>
        <w:t>,</w:t>
      </w:r>
      <w:r>
        <w:rPr>
          <w:rFonts w:ascii="Verdana" w:hAnsi="Verdana"/>
          <w:sz w:val="20"/>
        </w:rPr>
        <w:t xml:space="preserve"> a cada seis meses</w:t>
      </w:r>
      <w:r w:rsidR="008D4460">
        <w:rPr>
          <w:rFonts w:ascii="Verdana" w:hAnsi="Verdana"/>
          <w:sz w:val="20"/>
        </w:rPr>
        <w:t>,</w:t>
      </w:r>
      <w:r>
        <w:rPr>
          <w:rFonts w:ascii="Verdana" w:hAnsi="Verdana"/>
          <w:sz w:val="20"/>
        </w:rPr>
        <w:t xml:space="preserve"> a partir d</w:t>
      </w:r>
      <w:r w:rsidRPr="002818E7">
        <w:rPr>
          <w:rFonts w:ascii="Verdana" w:hAnsi="Verdana"/>
          <w:sz w:val="20"/>
        </w:rPr>
        <w:t>a notificação</w:t>
      </w:r>
      <w:r>
        <w:rPr>
          <w:rFonts w:ascii="Verdana" w:hAnsi="Verdana"/>
          <w:sz w:val="20"/>
        </w:rPr>
        <w:t xml:space="preserve"> d</w:t>
      </w:r>
      <w:r w:rsidRPr="002818E7">
        <w:rPr>
          <w:rFonts w:ascii="Verdana" w:hAnsi="Verdana"/>
          <w:sz w:val="20"/>
        </w:rPr>
        <w:t>a presente Sentença</w:t>
      </w:r>
      <w:r>
        <w:rPr>
          <w:rFonts w:ascii="Verdana" w:hAnsi="Verdana"/>
          <w:sz w:val="20"/>
        </w:rPr>
        <w:t>, um</w:t>
      </w:r>
      <w:r w:rsidRPr="002818E7">
        <w:rPr>
          <w:rFonts w:ascii="Verdana" w:hAnsi="Verdana"/>
          <w:sz w:val="20"/>
        </w:rPr>
        <w:t xml:space="preserve"> </w:t>
      </w:r>
      <w:r>
        <w:rPr>
          <w:rFonts w:ascii="Verdana" w:hAnsi="Verdana"/>
          <w:sz w:val="20"/>
        </w:rPr>
        <w:t xml:space="preserve">relatório sobre </w:t>
      </w:r>
      <w:r w:rsidRPr="002818E7">
        <w:rPr>
          <w:rFonts w:ascii="Verdana" w:hAnsi="Verdana"/>
          <w:sz w:val="20"/>
        </w:rPr>
        <w:t>as medidas tomadas para dar</w:t>
      </w:r>
      <w:r w:rsidR="006226F7">
        <w:rPr>
          <w:rFonts w:ascii="Verdana" w:hAnsi="Verdana"/>
          <w:sz w:val="20"/>
        </w:rPr>
        <w:t>-lhe</w:t>
      </w:r>
      <w:r w:rsidRPr="002818E7">
        <w:rPr>
          <w:rFonts w:ascii="Verdana" w:hAnsi="Verdana"/>
          <w:sz w:val="20"/>
        </w:rPr>
        <w:t xml:space="preserve"> cumprimento.</w:t>
      </w:r>
    </w:p>
    <w:p w:rsidR="00C336FB" w:rsidRPr="002818E7" w:rsidRDefault="00C336FB" w:rsidP="00C336FB">
      <w:pPr>
        <w:jc w:val="both"/>
        <w:rPr>
          <w:rFonts w:ascii="Verdana" w:hAnsi="Verdana"/>
          <w:sz w:val="20"/>
        </w:rPr>
      </w:pPr>
    </w:p>
    <w:p w:rsidR="00C336FB" w:rsidRPr="002818E7" w:rsidRDefault="00C336FB" w:rsidP="00C336FB">
      <w:pPr>
        <w:jc w:val="both"/>
        <w:rPr>
          <w:rFonts w:ascii="Verdana" w:hAnsi="Verdana"/>
          <w:sz w:val="20"/>
        </w:rPr>
      </w:pPr>
      <w:proofErr w:type="gramStart"/>
      <w:r w:rsidRPr="002818E7">
        <w:rPr>
          <w:rFonts w:ascii="Verdana" w:hAnsi="Verdana"/>
          <w:sz w:val="20"/>
        </w:rPr>
        <w:t>por</w:t>
      </w:r>
      <w:proofErr w:type="gramEnd"/>
      <w:r w:rsidRPr="002818E7">
        <w:rPr>
          <w:rFonts w:ascii="Verdana" w:hAnsi="Verdana"/>
          <w:sz w:val="20"/>
        </w:rPr>
        <w:t xml:space="preserve"> </w:t>
      </w:r>
      <w:r>
        <w:rPr>
          <w:rFonts w:ascii="Verdana" w:hAnsi="Verdana"/>
          <w:sz w:val="20"/>
        </w:rPr>
        <w:t>unanimidade</w:t>
      </w:r>
      <w:r w:rsidRPr="002818E7">
        <w:rPr>
          <w:rFonts w:ascii="Verdana" w:hAnsi="Verdana"/>
          <w:sz w:val="20"/>
        </w:rPr>
        <w:t>,</w:t>
      </w:r>
    </w:p>
    <w:p w:rsidR="00C336FB" w:rsidRPr="002818E7" w:rsidRDefault="00C336FB" w:rsidP="00C336FB">
      <w:pPr>
        <w:jc w:val="both"/>
        <w:rPr>
          <w:rFonts w:ascii="Verdana" w:hAnsi="Verdana"/>
          <w:sz w:val="20"/>
        </w:rPr>
      </w:pPr>
    </w:p>
    <w:p w:rsidR="00C336FB" w:rsidRDefault="00C336FB" w:rsidP="00C336FB">
      <w:pPr>
        <w:jc w:val="both"/>
        <w:rPr>
          <w:rFonts w:ascii="Verdana" w:hAnsi="Verdana"/>
          <w:sz w:val="20"/>
        </w:rPr>
      </w:pPr>
      <w:r w:rsidRPr="002818E7">
        <w:rPr>
          <w:rFonts w:ascii="Verdana" w:hAnsi="Verdana"/>
          <w:sz w:val="20"/>
        </w:rPr>
        <w:t>9.</w:t>
      </w:r>
      <w:r w:rsidRPr="002818E7">
        <w:rPr>
          <w:rFonts w:ascii="Verdana" w:hAnsi="Verdana"/>
          <w:sz w:val="20"/>
        </w:rPr>
        <w:tab/>
        <w:t>decide que supervis</w:t>
      </w:r>
      <w:r>
        <w:rPr>
          <w:rFonts w:ascii="Verdana" w:hAnsi="Verdana"/>
          <w:sz w:val="20"/>
        </w:rPr>
        <w:t>ion</w:t>
      </w:r>
      <w:r w:rsidRPr="002818E7">
        <w:rPr>
          <w:rFonts w:ascii="Verdana" w:hAnsi="Verdana"/>
          <w:sz w:val="20"/>
        </w:rPr>
        <w:t xml:space="preserve">ará </w:t>
      </w:r>
      <w:r>
        <w:rPr>
          <w:rFonts w:ascii="Verdana" w:hAnsi="Verdana"/>
          <w:sz w:val="20"/>
        </w:rPr>
        <w:t>o</w:t>
      </w:r>
      <w:r w:rsidRPr="002818E7">
        <w:rPr>
          <w:rFonts w:ascii="Verdana" w:hAnsi="Verdana"/>
          <w:sz w:val="20"/>
        </w:rPr>
        <w:t xml:space="preserve"> cumprimento</w:t>
      </w:r>
      <w:r>
        <w:rPr>
          <w:rFonts w:ascii="Verdana" w:hAnsi="Verdana"/>
          <w:sz w:val="20"/>
        </w:rPr>
        <w:t xml:space="preserve"> d</w:t>
      </w:r>
      <w:r w:rsidRPr="002818E7">
        <w:rPr>
          <w:rFonts w:ascii="Verdana" w:hAnsi="Verdana"/>
          <w:sz w:val="20"/>
        </w:rPr>
        <w:t>esta Sentença</w:t>
      </w:r>
      <w:r>
        <w:rPr>
          <w:rFonts w:ascii="Verdana" w:hAnsi="Verdana"/>
          <w:sz w:val="20"/>
        </w:rPr>
        <w:t xml:space="preserve"> e dará por concluído o presente caso uma vez que o</w:t>
      </w:r>
      <w:r w:rsidRPr="002818E7">
        <w:rPr>
          <w:rFonts w:ascii="Verdana" w:hAnsi="Verdana"/>
          <w:sz w:val="20"/>
        </w:rPr>
        <w:t xml:space="preserve"> Estado </w:t>
      </w:r>
      <w:r>
        <w:rPr>
          <w:rFonts w:ascii="Verdana" w:hAnsi="Verdana"/>
          <w:sz w:val="20"/>
        </w:rPr>
        <w:t>tenha</w:t>
      </w:r>
      <w:r w:rsidRPr="002818E7">
        <w:rPr>
          <w:rFonts w:ascii="Verdana" w:hAnsi="Verdana"/>
          <w:sz w:val="20"/>
        </w:rPr>
        <w:t xml:space="preserve"> dado cabal aplicação</w:t>
      </w:r>
      <w:r>
        <w:rPr>
          <w:rFonts w:ascii="Verdana" w:hAnsi="Verdana"/>
          <w:sz w:val="20"/>
        </w:rPr>
        <w:t xml:space="preserve"> ao disposto na</w:t>
      </w:r>
      <w:r w:rsidRPr="002818E7">
        <w:rPr>
          <w:rFonts w:ascii="Verdana" w:hAnsi="Verdana"/>
          <w:sz w:val="20"/>
        </w:rPr>
        <w:t xml:space="preserve"> presente decisão.</w:t>
      </w:r>
    </w:p>
    <w:p w:rsidR="006226F7" w:rsidRPr="002818E7" w:rsidRDefault="006226F7" w:rsidP="00C336FB">
      <w:pPr>
        <w:jc w:val="both"/>
        <w:rPr>
          <w:rFonts w:ascii="Verdana" w:hAnsi="Verdana"/>
          <w:sz w:val="20"/>
        </w:rPr>
      </w:pPr>
    </w:p>
    <w:p w:rsidR="00C336FB" w:rsidRPr="002818E7" w:rsidRDefault="00C336FB" w:rsidP="00C336FB">
      <w:pPr>
        <w:jc w:val="both"/>
        <w:rPr>
          <w:rFonts w:ascii="Verdana" w:hAnsi="Verdana"/>
          <w:sz w:val="20"/>
        </w:rPr>
      </w:pPr>
      <w:r>
        <w:rPr>
          <w:rFonts w:ascii="Verdana" w:hAnsi="Verdana"/>
          <w:sz w:val="20"/>
        </w:rPr>
        <w:t>Os</w:t>
      </w:r>
      <w:r w:rsidRPr="002818E7">
        <w:rPr>
          <w:rFonts w:ascii="Verdana" w:hAnsi="Verdana"/>
          <w:sz w:val="20"/>
        </w:rPr>
        <w:t xml:space="preserve"> Juízes C</w:t>
      </w:r>
      <w:r>
        <w:rPr>
          <w:rFonts w:ascii="Verdana" w:hAnsi="Verdana"/>
          <w:sz w:val="20"/>
        </w:rPr>
        <w:t>ançado Trindade, Pacheco Gómez e</w:t>
      </w:r>
      <w:r w:rsidRPr="002818E7">
        <w:rPr>
          <w:rFonts w:ascii="Verdana" w:hAnsi="Verdana"/>
          <w:sz w:val="20"/>
        </w:rPr>
        <w:t xml:space="preserve"> Abreu Burelli </w:t>
      </w:r>
      <w:r w:rsidR="00382334">
        <w:rPr>
          <w:rFonts w:ascii="Verdana" w:hAnsi="Verdana"/>
          <w:sz w:val="20"/>
        </w:rPr>
        <w:t>informaram</w:t>
      </w:r>
      <w:r>
        <w:rPr>
          <w:rFonts w:ascii="Verdana" w:hAnsi="Verdana"/>
          <w:sz w:val="20"/>
        </w:rPr>
        <w:t xml:space="preserve"> à</w:t>
      </w:r>
      <w:r w:rsidRPr="002818E7">
        <w:rPr>
          <w:rFonts w:ascii="Verdana" w:hAnsi="Verdana"/>
          <w:sz w:val="20"/>
        </w:rPr>
        <w:t xml:space="preserve"> Corte s</w:t>
      </w:r>
      <w:r>
        <w:rPr>
          <w:rFonts w:ascii="Verdana" w:hAnsi="Verdana"/>
          <w:sz w:val="20"/>
        </w:rPr>
        <w:t>e</w:t>
      </w:r>
      <w:r w:rsidRPr="002818E7">
        <w:rPr>
          <w:rFonts w:ascii="Verdana" w:hAnsi="Verdana"/>
          <w:sz w:val="20"/>
        </w:rPr>
        <w:t xml:space="preserve">u Voto </w:t>
      </w:r>
      <w:r>
        <w:rPr>
          <w:rFonts w:ascii="Verdana" w:hAnsi="Verdana"/>
          <w:sz w:val="20"/>
        </w:rPr>
        <w:t xml:space="preserve">Fundamentado Conjunto, </w:t>
      </w:r>
      <w:r w:rsidRPr="002818E7">
        <w:rPr>
          <w:rFonts w:ascii="Verdana" w:hAnsi="Verdana"/>
          <w:sz w:val="20"/>
        </w:rPr>
        <w:t>os Juízes</w:t>
      </w:r>
      <w:r>
        <w:rPr>
          <w:rFonts w:ascii="Verdana" w:hAnsi="Verdana"/>
          <w:sz w:val="20"/>
        </w:rPr>
        <w:t xml:space="preserve"> Salgado Pesantes e</w:t>
      </w:r>
      <w:r w:rsidRPr="002818E7">
        <w:rPr>
          <w:rFonts w:ascii="Verdana" w:hAnsi="Verdana"/>
          <w:sz w:val="20"/>
        </w:rPr>
        <w:t xml:space="preserve"> García Ramírez </w:t>
      </w:r>
      <w:r w:rsidR="006226F7">
        <w:rPr>
          <w:rFonts w:ascii="Verdana" w:hAnsi="Verdana"/>
          <w:sz w:val="20"/>
        </w:rPr>
        <w:t xml:space="preserve">deram a </w:t>
      </w:r>
      <w:r w:rsidRPr="002818E7">
        <w:rPr>
          <w:rFonts w:ascii="Verdana" w:hAnsi="Verdana"/>
          <w:sz w:val="20"/>
        </w:rPr>
        <w:t>conhece</w:t>
      </w:r>
      <w:r>
        <w:rPr>
          <w:rFonts w:ascii="Verdana" w:hAnsi="Verdana"/>
          <w:sz w:val="20"/>
        </w:rPr>
        <w:t>r à</w:t>
      </w:r>
      <w:r w:rsidRPr="002818E7">
        <w:rPr>
          <w:rFonts w:ascii="Verdana" w:hAnsi="Verdana"/>
          <w:sz w:val="20"/>
        </w:rPr>
        <w:t xml:space="preserve"> Corte s</w:t>
      </w:r>
      <w:r>
        <w:rPr>
          <w:rFonts w:ascii="Verdana" w:hAnsi="Verdana"/>
          <w:sz w:val="20"/>
        </w:rPr>
        <w:t>e</w:t>
      </w:r>
      <w:r w:rsidRPr="002818E7">
        <w:rPr>
          <w:rFonts w:ascii="Verdana" w:hAnsi="Verdana"/>
          <w:sz w:val="20"/>
        </w:rPr>
        <w:t xml:space="preserve">us Votos </w:t>
      </w:r>
      <w:r>
        <w:rPr>
          <w:rFonts w:ascii="Verdana" w:hAnsi="Verdana"/>
          <w:sz w:val="20"/>
        </w:rPr>
        <w:t>Fundament</w:t>
      </w:r>
      <w:r w:rsidR="00D91189">
        <w:rPr>
          <w:rFonts w:ascii="Verdana" w:hAnsi="Verdana"/>
          <w:sz w:val="20"/>
        </w:rPr>
        <w:t>ad</w:t>
      </w:r>
      <w:r>
        <w:rPr>
          <w:rFonts w:ascii="Verdana" w:hAnsi="Verdana"/>
          <w:sz w:val="20"/>
        </w:rPr>
        <w:t>os, e o</w:t>
      </w:r>
      <w:r w:rsidRPr="002818E7">
        <w:rPr>
          <w:rFonts w:ascii="Verdana" w:hAnsi="Verdana"/>
          <w:sz w:val="20"/>
        </w:rPr>
        <w:t xml:space="preserve"> Juiz</w:t>
      </w:r>
      <w:r>
        <w:rPr>
          <w:rFonts w:ascii="Verdana" w:hAnsi="Verdana"/>
          <w:sz w:val="20"/>
        </w:rPr>
        <w:t xml:space="preserve"> Montiel Argüello </w:t>
      </w:r>
      <w:r w:rsidR="006226F7">
        <w:rPr>
          <w:rFonts w:ascii="Verdana" w:hAnsi="Verdana"/>
          <w:sz w:val="20"/>
        </w:rPr>
        <w:t xml:space="preserve">deu a </w:t>
      </w:r>
      <w:r w:rsidRPr="002818E7">
        <w:rPr>
          <w:rFonts w:ascii="Verdana" w:hAnsi="Verdana"/>
          <w:sz w:val="20"/>
        </w:rPr>
        <w:t>conhece</w:t>
      </w:r>
      <w:r>
        <w:rPr>
          <w:rFonts w:ascii="Verdana" w:hAnsi="Verdana"/>
          <w:sz w:val="20"/>
        </w:rPr>
        <w:t>r à Corte seu</w:t>
      </w:r>
      <w:r w:rsidRPr="002818E7">
        <w:rPr>
          <w:rFonts w:ascii="Verdana" w:hAnsi="Verdana"/>
          <w:sz w:val="20"/>
        </w:rPr>
        <w:t xml:space="preserve"> Voto Dis</w:t>
      </w:r>
      <w:r>
        <w:rPr>
          <w:rFonts w:ascii="Verdana" w:hAnsi="Verdana"/>
          <w:sz w:val="20"/>
        </w:rPr>
        <w:t xml:space="preserve">sidente, </w:t>
      </w:r>
      <w:r w:rsidRPr="002818E7">
        <w:rPr>
          <w:rFonts w:ascii="Verdana" w:hAnsi="Verdana"/>
          <w:sz w:val="20"/>
        </w:rPr>
        <w:t xml:space="preserve">os </w:t>
      </w:r>
      <w:r>
        <w:rPr>
          <w:rFonts w:ascii="Verdana" w:hAnsi="Verdana"/>
          <w:sz w:val="20"/>
        </w:rPr>
        <w:t>quais acompanham</w:t>
      </w:r>
      <w:r w:rsidRPr="002818E7">
        <w:rPr>
          <w:rFonts w:ascii="Verdana" w:hAnsi="Verdana"/>
          <w:sz w:val="20"/>
        </w:rPr>
        <w:t xml:space="preserve"> esta Sentença.</w:t>
      </w:r>
    </w:p>
    <w:p w:rsidR="00C336FB" w:rsidRDefault="00C336FB" w:rsidP="00C336FB">
      <w:pPr>
        <w:jc w:val="both"/>
        <w:rPr>
          <w:rFonts w:ascii="Verdana" w:hAnsi="Verdana"/>
          <w:sz w:val="20"/>
        </w:rPr>
      </w:pPr>
    </w:p>
    <w:p w:rsidR="004B65E5" w:rsidRDefault="004B65E5" w:rsidP="00C336FB">
      <w:pPr>
        <w:jc w:val="both"/>
        <w:rPr>
          <w:rFonts w:ascii="Verdana" w:hAnsi="Verdana"/>
          <w:sz w:val="20"/>
        </w:rPr>
      </w:pPr>
    </w:p>
    <w:p w:rsidR="00C336FB" w:rsidRPr="000715C9" w:rsidRDefault="00C336FB" w:rsidP="00C336FB">
      <w:pPr>
        <w:jc w:val="center"/>
        <w:rPr>
          <w:rFonts w:ascii="Verdana" w:hAnsi="Verdana"/>
          <w:sz w:val="20"/>
        </w:rPr>
      </w:pPr>
      <w:r w:rsidRPr="000715C9">
        <w:rPr>
          <w:rFonts w:ascii="Verdana" w:hAnsi="Verdana"/>
          <w:sz w:val="20"/>
        </w:rPr>
        <w:t xml:space="preserve">Antônio A. Cançado </w:t>
      </w:r>
      <w:proofErr w:type="gramStart"/>
      <w:r w:rsidRPr="000715C9">
        <w:rPr>
          <w:rFonts w:ascii="Verdana" w:hAnsi="Verdana"/>
          <w:sz w:val="20"/>
        </w:rPr>
        <w:t>Trindade</w:t>
      </w:r>
      <w:proofErr w:type="gramEnd"/>
    </w:p>
    <w:p w:rsidR="00C336FB" w:rsidRPr="000715C9" w:rsidRDefault="00C336FB" w:rsidP="00C336FB">
      <w:pPr>
        <w:jc w:val="center"/>
        <w:rPr>
          <w:rFonts w:ascii="Verdana" w:hAnsi="Verdana"/>
          <w:sz w:val="20"/>
        </w:rPr>
      </w:pPr>
      <w:r w:rsidRPr="000715C9">
        <w:rPr>
          <w:rFonts w:ascii="Verdana" w:hAnsi="Verdana"/>
          <w:sz w:val="20"/>
        </w:rPr>
        <w:t>Presidente</w:t>
      </w:r>
    </w:p>
    <w:p w:rsidR="00C336FB" w:rsidRPr="000715C9" w:rsidRDefault="00C336FB" w:rsidP="00C336FB">
      <w:pPr>
        <w:jc w:val="center"/>
        <w:rPr>
          <w:rFonts w:ascii="Verdana" w:hAnsi="Verdana"/>
          <w:sz w:val="20"/>
        </w:rPr>
      </w:pPr>
    </w:p>
    <w:p w:rsidR="00C336FB" w:rsidRPr="000715C9" w:rsidRDefault="00C336FB" w:rsidP="00C336FB">
      <w:pPr>
        <w:jc w:val="center"/>
        <w:rPr>
          <w:rFonts w:ascii="Verdana" w:hAnsi="Verdana"/>
          <w:sz w:val="20"/>
        </w:rPr>
      </w:pPr>
      <w:r w:rsidRPr="000715C9">
        <w:rPr>
          <w:rFonts w:ascii="Verdana" w:hAnsi="Verdana"/>
          <w:sz w:val="20"/>
        </w:rPr>
        <w:t>Máximo Pacheco Gómez</w:t>
      </w:r>
      <w:r w:rsidRPr="000715C9">
        <w:rPr>
          <w:rFonts w:ascii="Verdana" w:hAnsi="Verdana"/>
          <w:sz w:val="20"/>
        </w:rPr>
        <w:tab/>
        <w:t>Hernán Salgado Pesantes</w:t>
      </w:r>
    </w:p>
    <w:p w:rsidR="00C336FB" w:rsidRPr="000715C9" w:rsidRDefault="00C336FB" w:rsidP="00C336FB">
      <w:pPr>
        <w:jc w:val="center"/>
        <w:rPr>
          <w:rFonts w:ascii="Verdana" w:hAnsi="Verdana"/>
          <w:sz w:val="20"/>
        </w:rPr>
      </w:pPr>
    </w:p>
    <w:p w:rsidR="00C336FB" w:rsidRPr="000715C9" w:rsidRDefault="00C336FB" w:rsidP="00C336FB">
      <w:pPr>
        <w:jc w:val="center"/>
        <w:rPr>
          <w:rFonts w:ascii="Verdana" w:hAnsi="Verdana"/>
          <w:sz w:val="20"/>
        </w:rPr>
      </w:pPr>
      <w:r w:rsidRPr="000715C9">
        <w:rPr>
          <w:rFonts w:ascii="Verdana" w:hAnsi="Verdana"/>
          <w:sz w:val="20"/>
        </w:rPr>
        <w:t xml:space="preserve">Oliver Jackman </w:t>
      </w:r>
      <w:r w:rsidRPr="000715C9">
        <w:rPr>
          <w:rFonts w:ascii="Verdana" w:hAnsi="Verdana"/>
          <w:sz w:val="20"/>
        </w:rPr>
        <w:tab/>
        <w:t>Alirio Abreu Burelli</w:t>
      </w:r>
    </w:p>
    <w:p w:rsidR="00C336FB" w:rsidRPr="000715C9" w:rsidRDefault="00C336FB" w:rsidP="00C336FB">
      <w:pPr>
        <w:jc w:val="center"/>
        <w:rPr>
          <w:rFonts w:ascii="Verdana" w:hAnsi="Verdana"/>
          <w:sz w:val="20"/>
        </w:rPr>
      </w:pPr>
    </w:p>
    <w:p w:rsidR="00C336FB" w:rsidRPr="000715C9" w:rsidRDefault="00C336FB" w:rsidP="00C336FB">
      <w:pPr>
        <w:jc w:val="center"/>
        <w:rPr>
          <w:rFonts w:ascii="Verdana" w:hAnsi="Verdana"/>
          <w:sz w:val="20"/>
        </w:rPr>
      </w:pPr>
      <w:r w:rsidRPr="000715C9">
        <w:rPr>
          <w:rFonts w:ascii="Verdana" w:hAnsi="Verdana"/>
          <w:sz w:val="20"/>
        </w:rPr>
        <w:t>Sergio García Ramírez</w:t>
      </w:r>
      <w:r w:rsidRPr="000715C9">
        <w:rPr>
          <w:rFonts w:ascii="Verdana" w:hAnsi="Verdana"/>
          <w:sz w:val="20"/>
        </w:rPr>
        <w:tab/>
        <w:t>Carlos Vicente de Roux Rengifo</w:t>
      </w:r>
    </w:p>
    <w:p w:rsidR="00C336FB" w:rsidRPr="000715C9" w:rsidRDefault="00C336FB" w:rsidP="00C336FB">
      <w:pPr>
        <w:jc w:val="center"/>
        <w:rPr>
          <w:rFonts w:ascii="Verdana" w:hAnsi="Verdana"/>
          <w:sz w:val="20"/>
        </w:rPr>
      </w:pPr>
    </w:p>
    <w:p w:rsidR="00C336FB" w:rsidRPr="000715C9" w:rsidRDefault="00C336FB" w:rsidP="00C336FB">
      <w:pPr>
        <w:jc w:val="center"/>
        <w:rPr>
          <w:rFonts w:ascii="Verdana" w:hAnsi="Verdana"/>
          <w:sz w:val="20"/>
        </w:rPr>
      </w:pPr>
      <w:r w:rsidRPr="000715C9">
        <w:rPr>
          <w:rFonts w:ascii="Verdana" w:hAnsi="Verdana"/>
          <w:sz w:val="20"/>
        </w:rPr>
        <w:t>Alejandro Montiel Argüello</w:t>
      </w:r>
    </w:p>
    <w:p w:rsidR="00C336FB" w:rsidRPr="000715C9" w:rsidRDefault="00C336FB" w:rsidP="00C336FB">
      <w:pPr>
        <w:jc w:val="center"/>
        <w:rPr>
          <w:rFonts w:ascii="Verdana" w:hAnsi="Verdana"/>
          <w:sz w:val="20"/>
        </w:rPr>
      </w:pPr>
      <w:r w:rsidRPr="000715C9">
        <w:rPr>
          <w:rFonts w:ascii="Verdana" w:hAnsi="Verdana"/>
          <w:sz w:val="20"/>
        </w:rPr>
        <w:t xml:space="preserve">Juiz </w:t>
      </w:r>
      <w:r w:rsidRPr="000715C9">
        <w:rPr>
          <w:rFonts w:ascii="Verdana" w:hAnsi="Verdana"/>
          <w:i/>
          <w:sz w:val="20"/>
        </w:rPr>
        <w:t>ad hoc</w:t>
      </w:r>
    </w:p>
    <w:p w:rsidR="00C336FB" w:rsidRPr="000715C9" w:rsidRDefault="00C336FB" w:rsidP="00C336FB">
      <w:pPr>
        <w:rPr>
          <w:rFonts w:ascii="Verdana" w:hAnsi="Verdana"/>
          <w:sz w:val="20"/>
        </w:rPr>
      </w:pPr>
    </w:p>
    <w:p w:rsidR="00C336FB" w:rsidRPr="000715C9" w:rsidRDefault="00C336FB" w:rsidP="00C336FB">
      <w:pPr>
        <w:jc w:val="center"/>
        <w:rPr>
          <w:rFonts w:ascii="Verdana" w:hAnsi="Verdana"/>
          <w:sz w:val="20"/>
        </w:rPr>
      </w:pPr>
      <w:r w:rsidRPr="000715C9">
        <w:rPr>
          <w:rFonts w:ascii="Verdana" w:hAnsi="Verdana"/>
          <w:sz w:val="20"/>
        </w:rPr>
        <w:t>Manuel E. Ventura Robles</w:t>
      </w:r>
    </w:p>
    <w:p w:rsidR="00C336FB" w:rsidRPr="000715C9" w:rsidRDefault="00C336FB" w:rsidP="00C336FB">
      <w:pPr>
        <w:jc w:val="center"/>
        <w:rPr>
          <w:rFonts w:ascii="Verdana" w:hAnsi="Verdana"/>
          <w:sz w:val="20"/>
        </w:rPr>
      </w:pPr>
      <w:r w:rsidRPr="000715C9">
        <w:rPr>
          <w:rFonts w:ascii="Verdana" w:hAnsi="Verdana"/>
          <w:sz w:val="20"/>
        </w:rPr>
        <w:t>Secretário</w:t>
      </w:r>
    </w:p>
    <w:p w:rsidR="00C336FB" w:rsidRPr="000715C9" w:rsidRDefault="00C336FB" w:rsidP="00C336FB">
      <w:pPr>
        <w:jc w:val="both"/>
        <w:rPr>
          <w:rFonts w:ascii="Verdana" w:hAnsi="Verdana"/>
          <w:sz w:val="20"/>
        </w:rPr>
      </w:pPr>
    </w:p>
    <w:p w:rsidR="00C336FB" w:rsidRPr="000715C9" w:rsidRDefault="00C336FB" w:rsidP="00C336FB">
      <w:pPr>
        <w:jc w:val="both"/>
        <w:rPr>
          <w:rFonts w:ascii="Verdana" w:hAnsi="Verdana"/>
          <w:sz w:val="20"/>
        </w:rPr>
      </w:pPr>
      <w:r w:rsidRPr="000715C9">
        <w:rPr>
          <w:rFonts w:ascii="Verdana" w:hAnsi="Verdana"/>
          <w:sz w:val="20"/>
        </w:rPr>
        <w:t>Comunique-se e execute-se,</w:t>
      </w:r>
    </w:p>
    <w:p w:rsidR="00C336FB" w:rsidRPr="000715C9" w:rsidRDefault="00C336FB" w:rsidP="00C336FB">
      <w:pPr>
        <w:jc w:val="both"/>
        <w:rPr>
          <w:rFonts w:ascii="Verdana" w:hAnsi="Verdana"/>
          <w:sz w:val="20"/>
        </w:rPr>
      </w:pPr>
    </w:p>
    <w:p w:rsidR="00C336FB" w:rsidRPr="000715C9" w:rsidRDefault="00C336FB" w:rsidP="00C336FB">
      <w:pPr>
        <w:jc w:val="right"/>
        <w:rPr>
          <w:rFonts w:ascii="Verdana" w:hAnsi="Verdana"/>
          <w:sz w:val="20"/>
        </w:rPr>
      </w:pPr>
      <w:r w:rsidRPr="000715C9">
        <w:rPr>
          <w:rFonts w:ascii="Verdana" w:hAnsi="Verdana"/>
          <w:sz w:val="20"/>
        </w:rPr>
        <w:t xml:space="preserve">Antônio A. Cançado </w:t>
      </w:r>
      <w:proofErr w:type="gramStart"/>
      <w:r w:rsidRPr="000715C9">
        <w:rPr>
          <w:rFonts w:ascii="Verdana" w:hAnsi="Verdana"/>
          <w:sz w:val="20"/>
        </w:rPr>
        <w:t>Trindade</w:t>
      </w:r>
      <w:proofErr w:type="gramEnd"/>
    </w:p>
    <w:p w:rsidR="00C336FB" w:rsidRPr="000715C9" w:rsidRDefault="00C336FB" w:rsidP="00C336FB">
      <w:pPr>
        <w:jc w:val="right"/>
        <w:rPr>
          <w:rFonts w:ascii="Verdana" w:hAnsi="Verdana"/>
          <w:sz w:val="20"/>
        </w:rPr>
      </w:pPr>
      <w:r w:rsidRPr="000715C9">
        <w:rPr>
          <w:rFonts w:ascii="Verdana" w:hAnsi="Verdana"/>
          <w:sz w:val="20"/>
        </w:rPr>
        <w:t>Presidente</w:t>
      </w:r>
    </w:p>
    <w:p w:rsidR="00C336FB" w:rsidRPr="000715C9" w:rsidRDefault="00C336FB" w:rsidP="00C336FB">
      <w:pPr>
        <w:jc w:val="center"/>
        <w:rPr>
          <w:rFonts w:ascii="Verdana" w:hAnsi="Verdana"/>
          <w:sz w:val="20"/>
        </w:rPr>
      </w:pPr>
    </w:p>
    <w:p w:rsidR="00C336FB" w:rsidRPr="000715C9" w:rsidRDefault="00C336FB" w:rsidP="00C336FB">
      <w:pPr>
        <w:rPr>
          <w:rFonts w:ascii="Verdana" w:hAnsi="Verdana"/>
          <w:sz w:val="20"/>
        </w:rPr>
      </w:pPr>
      <w:r w:rsidRPr="000715C9">
        <w:rPr>
          <w:rFonts w:ascii="Verdana" w:hAnsi="Verdana"/>
          <w:sz w:val="20"/>
        </w:rPr>
        <w:t>Manuel E. Ventura Robles</w:t>
      </w:r>
    </w:p>
    <w:p w:rsidR="00CD10A6" w:rsidRDefault="00C336FB" w:rsidP="00C336FB">
      <w:pPr>
        <w:rPr>
          <w:rFonts w:ascii="Verdana" w:hAnsi="Verdana"/>
          <w:sz w:val="20"/>
        </w:rPr>
      </w:pPr>
      <w:r w:rsidRPr="000715C9">
        <w:rPr>
          <w:rFonts w:ascii="Verdana" w:hAnsi="Verdana"/>
          <w:sz w:val="20"/>
        </w:rPr>
        <w:t>Secretário</w:t>
      </w:r>
    </w:p>
    <w:p w:rsidR="00382334" w:rsidRDefault="00382334" w:rsidP="00382334">
      <w:pPr>
        <w:suppressAutoHyphens/>
        <w:rPr>
          <w:rFonts w:ascii="Verdana" w:hAnsi="Verdana"/>
          <w:b/>
          <w:spacing w:val="-3"/>
          <w:sz w:val="20"/>
        </w:rPr>
        <w:sectPr w:rsidR="00382334" w:rsidSect="002C0E2E">
          <w:headerReference w:type="default" r:id="rId8"/>
          <w:headerReference w:type="first" r:id="rId9"/>
          <w:pgSz w:w="12240" w:h="15840"/>
          <w:pgMar w:top="1440" w:right="1800" w:bottom="1440" w:left="1800" w:header="720" w:footer="720" w:gutter="0"/>
          <w:cols w:space="720"/>
          <w:titlePg/>
          <w:docGrid w:linePitch="326"/>
        </w:sectPr>
      </w:pPr>
    </w:p>
    <w:p w:rsidR="00CD10A6" w:rsidRPr="001A3E80" w:rsidRDefault="00CD10A6" w:rsidP="00382334">
      <w:pPr>
        <w:suppressAutoHyphens/>
        <w:jc w:val="center"/>
        <w:rPr>
          <w:rFonts w:ascii="Verdana" w:hAnsi="Verdana"/>
          <w:b/>
          <w:spacing w:val="-3"/>
          <w:sz w:val="20"/>
        </w:rPr>
      </w:pPr>
      <w:r w:rsidRPr="001A3E80">
        <w:rPr>
          <w:rFonts w:ascii="Verdana" w:hAnsi="Verdana"/>
          <w:b/>
          <w:spacing w:val="-3"/>
          <w:sz w:val="20"/>
        </w:rPr>
        <w:lastRenderedPageBreak/>
        <w:t>VOTO FUNDAMENTADO CONJUNTO DOS JUÍZES</w:t>
      </w:r>
    </w:p>
    <w:p w:rsidR="00CD10A6" w:rsidRPr="001A3E80" w:rsidRDefault="00CD10A6" w:rsidP="00CD10A6">
      <w:pPr>
        <w:suppressAutoHyphens/>
        <w:jc w:val="center"/>
        <w:rPr>
          <w:rFonts w:ascii="Verdana" w:hAnsi="Verdana"/>
          <w:b/>
          <w:spacing w:val="-3"/>
          <w:sz w:val="20"/>
        </w:rPr>
      </w:pPr>
      <w:r w:rsidRPr="001A3E80">
        <w:rPr>
          <w:rFonts w:ascii="Verdana" w:hAnsi="Verdana"/>
          <w:b/>
          <w:spacing w:val="-3"/>
          <w:sz w:val="20"/>
        </w:rPr>
        <w:t xml:space="preserve">A. A. CANÇADO TRINDADE, M. PACHECO GÓMEZ E A. ABREU </w:t>
      </w:r>
      <w:proofErr w:type="gramStart"/>
      <w:r w:rsidRPr="001A3E80">
        <w:rPr>
          <w:rFonts w:ascii="Verdana" w:hAnsi="Verdana"/>
          <w:b/>
          <w:spacing w:val="-3"/>
          <w:sz w:val="20"/>
        </w:rPr>
        <w:t>BURELLI</w:t>
      </w:r>
      <w:proofErr w:type="gramEnd"/>
    </w:p>
    <w:p w:rsidR="00CD10A6" w:rsidRPr="001A3E80" w:rsidRDefault="00CD10A6" w:rsidP="00CD10A6">
      <w:pPr>
        <w:suppressAutoHyphens/>
        <w:jc w:val="both"/>
        <w:rPr>
          <w:rFonts w:ascii="Verdana" w:hAnsi="Verdana"/>
          <w:spacing w:val="-3"/>
          <w:sz w:val="20"/>
        </w:rPr>
      </w:pPr>
    </w:p>
    <w:p w:rsidR="00CD10A6" w:rsidRPr="001A3E80" w:rsidRDefault="00CD10A6" w:rsidP="00CD10A6">
      <w:pPr>
        <w:suppressAutoHyphens/>
        <w:jc w:val="both"/>
        <w:rPr>
          <w:rFonts w:ascii="Verdana" w:hAnsi="Verdana"/>
          <w:spacing w:val="-3"/>
          <w:sz w:val="20"/>
        </w:rPr>
      </w:pPr>
      <w:r w:rsidRPr="001A3E80">
        <w:rPr>
          <w:rFonts w:ascii="Verdana" w:hAnsi="Verdana"/>
          <w:spacing w:val="-3"/>
          <w:sz w:val="20"/>
        </w:rPr>
        <w:t>1.</w:t>
      </w:r>
      <w:r w:rsidRPr="001A3E80">
        <w:rPr>
          <w:rFonts w:ascii="Verdana" w:hAnsi="Verdana"/>
          <w:spacing w:val="-3"/>
          <w:sz w:val="20"/>
        </w:rPr>
        <w:tab/>
      </w:r>
      <w:r w:rsidR="008D4460">
        <w:rPr>
          <w:rFonts w:ascii="Verdana" w:hAnsi="Verdana"/>
          <w:spacing w:val="-3"/>
          <w:sz w:val="20"/>
        </w:rPr>
        <w:t>Nós, o</w:t>
      </w:r>
      <w:r w:rsidRPr="001A3E80">
        <w:rPr>
          <w:rFonts w:ascii="Verdana" w:hAnsi="Verdana"/>
          <w:spacing w:val="-3"/>
          <w:sz w:val="20"/>
        </w:rPr>
        <w:t>s Juízes subscritos</w:t>
      </w:r>
      <w:r w:rsidR="00953D76">
        <w:rPr>
          <w:rFonts w:ascii="Verdana" w:hAnsi="Verdana"/>
          <w:spacing w:val="-3"/>
          <w:sz w:val="20"/>
        </w:rPr>
        <w:t>,</w:t>
      </w:r>
      <w:r w:rsidRPr="001A3E80">
        <w:rPr>
          <w:rFonts w:ascii="Verdana" w:hAnsi="Verdana"/>
          <w:spacing w:val="-3"/>
          <w:sz w:val="20"/>
        </w:rPr>
        <w:t xml:space="preserve"> votamos a favor da adoção da presente Sentença da Corte Interamericana de Direitos Humanos sobre o mérito no caso da </w:t>
      </w:r>
      <w:r w:rsidRPr="001A3E80">
        <w:rPr>
          <w:rFonts w:ascii="Verdana" w:hAnsi="Verdana"/>
          <w:i/>
          <w:spacing w:val="-3"/>
          <w:sz w:val="20"/>
        </w:rPr>
        <w:t xml:space="preserve">Comunidade Mayagna </w:t>
      </w:r>
      <w:r w:rsidR="00C60678" w:rsidRPr="00C60678">
        <w:rPr>
          <w:rFonts w:ascii="Verdana" w:hAnsi="Verdana"/>
          <w:spacing w:val="-3"/>
          <w:sz w:val="20"/>
        </w:rPr>
        <w:t>(</w:t>
      </w:r>
      <w:r w:rsidRPr="001A3E80">
        <w:rPr>
          <w:rFonts w:ascii="Verdana" w:hAnsi="Verdana"/>
          <w:i/>
          <w:spacing w:val="-3"/>
          <w:sz w:val="20"/>
        </w:rPr>
        <w:t>Sumo</w:t>
      </w:r>
      <w:r w:rsidR="00C60678" w:rsidRPr="00C60678">
        <w:rPr>
          <w:rFonts w:ascii="Verdana" w:hAnsi="Verdana"/>
          <w:spacing w:val="-3"/>
          <w:sz w:val="20"/>
        </w:rPr>
        <w:t>)</w:t>
      </w:r>
      <w:r w:rsidRPr="001A3E80">
        <w:rPr>
          <w:rFonts w:ascii="Verdana" w:hAnsi="Verdana"/>
          <w:i/>
          <w:spacing w:val="-3"/>
          <w:sz w:val="20"/>
        </w:rPr>
        <w:t xml:space="preserve"> Awas Tingni versus Nicarágua</w:t>
      </w:r>
      <w:r w:rsidRPr="001A3E80">
        <w:rPr>
          <w:rFonts w:ascii="Verdana" w:hAnsi="Verdana"/>
          <w:spacing w:val="-3"/>
          <w:sz w:val="20"/>
        </w:rPr>
        <w:t xml:space="preserve">. Dada </w:t>
      </w:r>
      <w:proofErr w:type="gramStart"/>
      <w:r w:rsidRPr="001A3E80">
        <w:rPr>
          <w:rFonts w:ascii="Verdana" w:hAnsi="Verdana"/>
          <w:spacing w:val="-3"/>
          <w:sz w:val="20"/>
        </w:rPr>
        <w:t>a</w:t>
      </w:r>
      <w:proofErr w:type="gramEnd"/>
      <w:r w:rsidRPr="001A3E80">
        <w:rPr>
          <w:rFonts w:ascii="Verdana" w:hAnsi="Verdana"/>
          <w:spacing w:val="-3"/>
          <w:sz w:val="20"/>
        </w:rPr>
        <w:t xml:space="preserve"> importância da matéria arguida no presente caso, </w:t>
      </w:r>
      <w:r w:rsidR="006226F7">
        <w:rPr>
          <w:rFonts w:ascii="Verdana" w:hAnsi="Verdana"/>
          <w:spacing w:val="-3"/>
          <w:sz w:val="20"/>
        </w:rPr>
        <w:t>nos vemos</w:t>
      </w:r>
      <w:r w:rsidRPr="001A3E80">
        <w:rPr>
          <w:rFonts w:ascii="Verdana" w:hAnsi="Verdana"/>
          <w:spacing w:val="-3"/>
          <w:sz w:val="20"/>
        </w:rPr>
        <w:t xml:space="preserve"> obrigados a agregar as breves reflexões que seguem, acerca de um dos aspectos centrais da mesma, a saber, a </w:t>
      </w:r>
      <w:r w:rsidRPr="001A3E80">
        <w:rPr>
          <w:rFonts w:ascii="Verdana" w:hAnsi="Verdana"/>
          <w:i/>
          <w:spacing w:val="-3"/>
          <w:sz w:val="20"/>
        </w:rPr>
        <w:t>dimensão intertemporal</w:t>
      </w:r>
      <w:r w:rsidRPr="001A3E80">
        <w:rPr>
          <w:rFonts w:ascii="Verdana" w:hAnsi="Verdana"/>
          <w:spacing w:val="-3"/>
          <w:sz w:val="20"/>
        </w:rPr>
        <w:t xml:space="preserve"> da forma comunal de propriedade prevalecente entre os membros das comunidades indígenas.</w:t>
      </w:r>
    </w:p>
    <w:p w:rsidR="00CD10A6" w:rsidRPr="001A3E80" w:rsidRDefault="00CD10A6" w:rsidP="00CD10A6">
      <w:pPr>
        <w:suppressAutoHyphens/>
        <w:jc w:val="both"/>
        <w:rPr>
          <w:rFonts w:ascii="Verdana" w:hAnsi="Verdana"/>
          <w:spacing w:val="-3"/>
          <w:sz w:val="20"/>
        </w:rPr>
      </w:pPr>
    </w:p>
    <w:p w:rsidR="00CD10A6" w:rsidRPr="001A3E80" w:rsidRDefault="00CD10A6" w:rsidP="00CD10A6">
      <w:pPr>
        <w:suppressAutoHyphens/>
        <w:jc w:val="both"/>
        <w:rPr>
          <w:rFonts w:ascii="Verdana" w:hAnsi="Verdana"/>
          <w:spacing w:val="-3"/>
          <w:sz w:val="20"/>
        </w:rPr>
      </w:pPr>
      <w:r w:rsidRPr="001A3E80">
        <w:rPr>
          <w:rFonts w:ascii="Verdana" w:hAnsi="Verdana"/>
          <w:spacing w:val="-3"/>
          <w:sz w:val="20"/>
        </w:rPr>
        <w:t>2.</w:t>
      </w:r>
      <w:r w:rsidRPr="001A3E80">
        <w:rPr>
          <w:rFonts w:ascii="Verdana" w:hAnsi="Verdana"/>
          <w:spacing w:val="-3"/>
          <w:sz w:val="20"/>
        </w:rPr>
        <w:tab/>
        <w:t xml:space="preserve">Na audiência pública realizada na sede da Corte Interamericana nos dias 16, 17 e 18 de novembro de 2000, dois membros e representantes da Comunidade Mayagna </w:t>
      </w:r>
      <w:r w:rsidR="00C60678" w:rsidRPr="00C60678">
        <w:rPr>
          <w:rFonts w:ascii="Verdana" w:hAnsi="Verdana"/>
          <w:spacing w:val="-3"/>
          <w:sz w:val="20"/>
        </w:rPr>
        <w:t>(</w:t>
      </w:r>
      <w:r w:rsidRPr="001A3E80">
        <w:rPr>
          <w:rFonts w:ascii="Verdana" w:hAnsi="Verdana"/>
          <w:spacing w:val="-3"/>
          <w:sz w:val="20"/>
        </w:rPr>
        <w:t>Sumo</w:t>
      </w:r>
      <w:r w:rsidR="00C60678" w:rsidRPr="00C60678">
        <w:rPr>
          <w:rFonts w:ascii="Verdana" w:hAnsi="Verdana"/>
          <w:spacing w:val="-3"/>
          <w:sz w:val="20"/>
        </w:rPr>
        <w:t>)</w:t>
      </w:r>
      <w:r w:rsidRPr="001A3E80">
        <w:rPr>
          <w:rFonts w:ascii="Verdana" w:hAnsi="Verdana"/>
          <w:spacing w:val="-3"/>
          <w:sz w:val="20"/>
        </w:rPr>
        <w:t xml:space="preserve"> Awas Tingni afirmaram a importância vital que reveste a relação dos membros da Comunidade com as terras que ocupam, não só para sua própria subsistência, </w:t>
      </w:r>
      <w:r w:rsidR="00897911">
        <w:rPr>
          <w:rFonts w:ascii="Verdana" w:hAnsi="Verdana"/>
          <w:spacing w:val="-3"/>
          <w:sz w:val="20"/>
        </w:rPr>
        <w:t>mas</w:t>
      </w:r>
      <w:r w:rsidRPr="001A3E80">
        <w:rPr>
          <w:rFonts w:ascii="Verdana" w:hAnsi="Verdana"/>
          <w:spacing w:val="-3"/>
          <w:sz w:val="20"/>
        </w:rPr>
        <w:t xml:space="preserve"> também para seu desenvolvimento familiar, cultural e religioso. Daí sua caracterização do território como </w:t>
      </w:r>
      <w:r w:rsidRPr="001A3E80">
        <w:rPr>
          <w:rFonts w:ascii="Verdana" w:hAnsi="Verdana"/>
          <w:i/>
          <w:spacing w:val="-3"/>
          <w:sz w:val="20"/>
        </w:rPr>
        <w:t>sagrado</w:t>
      </w:r>
      <w:r w:rsidRPr="001A3E80">
        <w:rPr>
          <w:rFonts w:ascii="Verdana" w:hAnsi="Verdana"/>
          <w:spacing w:val="-3"/>
          <w:sz w:val="20"/>
        </w:rPr>
        <w:t>, por abrigar não só os membros vivos da Comunidade, mas também os restos mortais de seus antepassados, assim com</w:t>
      </w:r>
      <w:r>
        <w:rPr>
          <w:rFonts w:ascii="Verdana" w:hAnsi="Verdana"/>
          <w:spacing w:val="-3"/>
          <w:sz w:val="20"/>
        </w:rPr>
        <w:t>o</w:t>
      </w:r>
      <w:r w:rsidRPr="001A3E80">
        <w:rPr>
          <w:rFonts w:ascii="Verdana" w:hAnsi="Verdana"/>
          <w:spacing w:val="-3"/>
          <w:sz w:val="20"/>
        </w:rPr>
        <w:t xml:space="preserve"> suas divindades. Daí, por exemplo, a grande significação religiosa das colinas habitadas por </w:t>
      </w:r>
      <w:r>
        <w:rPr>
          <w:rFonts w:ascii="Verdana" w:hAnsi="Verdana"/>
          <w:spacing w:val="-3"/>
          <w:sz w:val="20"/>
        </w:rPr>
        <w:t>estas</w:t>
      </w:r>
      <w:r w:rsidRPr="001A3E80">
        <w:rPr>
          <w:rFonts w:ascii="Verdana" w:hAnsi="Verdana"/>
          <w:spacing w:val="-3"/>
          <w:sz w:val="20"/>
        </w:rPr>
        <w:t xml:space="preserve"> divindades.</w:t>
      </w:r>
    </w:p>
    <w:p w:rsidR="00CD10A6" w:rsidRPr="001A3E80" w:rsidRDefault="00CD10A6" w:rsidP="00CD10A6">
      <w:pPr>
        <w:suppressAutoHyphens/>
        <w:jc w:val="both"/>
        <w:rPr>
          <w:rFonts w:ascii="Verdana" w:hAnsi="Verdana"/>
          <w:spacing w:val="-3"/>
          <w:sz w:val="20"/>
        </w:rPr>
      </w:pPr>
    </w:p>
    <w:p w:rsidR="00CD10A6" w:rsidRPr="001A3E80" w:rsidRDefault="00CD10A6" w:rsidP="00CD10A6">
      <w:pPr>
        <w:suppressAutoHyphens/>
        <w:jc w:val="both"/>
        <w:rPr>
          <w:rFonts w:ascii="Verdana" w:hAnsi="Verdana"/>
          <w:spacing w:val="-3"/>
          <w:sz w:val="20"/>
        </w:rPr>
      </w:pPr>
      <w:r w:rsidRPr="001A3E80">
        <w:rPr>
          <w:rFonts w:ascii="Verdana" w:hAnsi="Verdana"/>
          <w:spacing w:val="-3"/>
          <w:sz w:val="20"/>
        </w:rPr>
        <w:t>3.</w:t>
      </w:r>
      <w:r w:rsidRPr="001A3E80">
        <w:rPr>
          <w:rFonts w:ascii="Verdana" w:hAnsi="Verdana"/>
          <w:spacing w:val="-3"/>
          <w:sz w:val="20"/>
        </w:rPr>
        <w:tab/>
        <w:t>Como afirmou em seu testemunho na audiência pública perante a Corte um dos membros da referida Comunidade,</w:t>
      </w:r>
    </w:p>
    <w:p w:rsidR="00CD10A6" w:rsidRPr="001A3E80" w:rsidRDefault="00CD10A6" w:rsidP="00CD10A6">
      <w:pPr>
        <w:suppressAutoHyphens/>
        <w:jc w:val="both"/>
        <w:rPr>
          <w:rFonts w:ascii="Verdana" w:hAnsi="Verdana"/>
          <w:spacing w:val="-3"/>
          <w:sz w:val="20"/>
        </w:rPr>
      </w:pPr>
    </w:p>
    <w:p w:rsidR="00CD10A6" w:rsidRPr="00382334" w:rsidRDefault="00CD10A6" w:rsidP="00CD10A6">
      <w:pPr>
        <w:suppressAutoHyphens/>
        <w:ind w:left="720" w:right="720"/>
        <w:jc w:val="both"/>
        <w:rPr>
          <w:rFonts w:ascii="Verdana" w:hAnsi="Verdana"/>
          <w:spacing w:val="-3"/>
          <w:sz w:val="18"/>
          <w:szCs w:val="18"/>
        </w:rPr>
      </w:pPr>
      <w:proofErr w:type="gramStart"/>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 xml:space="preserve"> O Cerro Urus Asang é uma colina sagrada desde nossos ancestrais porque ali temos enterrados nossos avós e, por isso, o chamamos sagrado.</w:t>
      </w:r>
      <w:proofErr w:type="gramEnd"/>
      <w:r w:rsidRPr="00382334">
        <w:rPr>
          <w:rFonts w:ascii="Verdana" w:hAnsi="Verdana"/>
          <w:spacing w:val="-3"/>
          <w:sz w:val="18"/>
          <w:szCs w:val="18"/>
        </w:rPr>
        <w:t xml:space="preserve"> Logo, Kiamak também é uma colina sagrada porque ali temos </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 xml:space="preserve"> as flechas de nossos avós. Logo vem Caño Kuru Was, é um povoado velho. Todo nome que mencionamos neste quadro é sagrado. </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w:t>
      </w:r>
      <w:r w:rsidRPr="00382334">
        <w:rPr>
          <w:rStyle w:val="Refdenotaalpie"/>
          <w:rFonts w:ascii="Verdana" w:hAnsi="Verdana"/>
          <w:spacing w:val="-3"/>
          <w:sz w:val="18"/>
          <w:szCs w:val="18"/>
        </w:rPr>
        <w:footnoteReference w:id="69"/>
      </w:r>
      <w:r w:rsidR="00850A3F" w:rsidRPr="00382334">
        <w:rPr>
          <w:rFonts w:ascii="Verdana" w:hAnsi="Verdana"/>
          <w:spacing w:val="-3"/>
          <w:sz w:val="18"/>
          <w:szCs w:val="18"/>
        </w:rPr>
        <w:t xml:space="preserve"> </w:t>
      </w:r>
    </w:p>
    <w:p w:rsidR="00CD10A6" w:rsidRPr="00382334" w:rsidRDefault="00CD10A6" w:rsidP="00CD10A6">
      <w:pPr>
        <w:suppressAutoHyphens/>
        <w:jc w:val="both"/>
        <w:rPr>
          <w:rFonts w:ascii="Verdana" w:hAnsi="Verdana"/>
          <w:spacing w:val="-3"/>
          <w:sz w:val="18"/>
          <w:szCs w:val="18"/>
        </w:rPr>
      </w:pPr>
    </w:p>
    <w:p w:rsidR="00CD10A6" w:rsidRPr="001A3E80" w:rsidRDefault="00CD10A6" w:rsidP="00CD10A6">
      <w:pPr>
        <w:suppressAutoHyphens/>
        <w:jc w:val="both"/>
        <w:rPr>
          <w:rFonts w:ascii="Verdana" w:hAnsi="Verdana"/>
          <w:spacing w:val="-3"/>
          <w:sz w:val="20"/>
        </w:rPr>
      </w:pPr>
      <w:r w:rsidRPr="001A3E80">
        <w:rPr>
          <w:rFonts w:ascii="Verdana" w:hAnsi="Verdana"/>
          <w:spacing w:val="-3"/>
          <w:sz w:val="20"/>
        </w:rPr>
        <w:t>4.</w:t>
      </w:r>
      <w:r w:rsidRPr="001A3E80">
        <w:rPr>
          <w:rFonts w:ascii="Verdana" w:hAnsi="Verdana"/>
          <w:spacing w:val="-3"/>
          <w:sz w:val="20"/>
        </w:rPr>
        <w:tab/>
        <w:t xml:space="preserve">E </w:t>
      </w:r>
      <w:r w:rsidR="006226F7">
        <w:rPr>
          <w:rFonts w:ascii="Verdana" w:hAnsi="Verdana"/>
          <w:spacing w:val="-3"/>
          <w:sz w:val="20"/>
        </w:rPr>
        <w:t>acrescentou</w:t>
      </w:r>
      <w:r w:rsidRPr="001A3E80">
        <w:rPr>
          <w:rFonts w:ascii="Verdana" w:hAnsi="Verdana"/>
          <w:spacing w:val="-3"/>
          <w:sz w:val="20"/>
        </w:rPr>
        <w:t xml:space="preserve">, em seguida, </w:t>
      </w:r>
      <w:proofErr w:type="gramStart"/>
      <w:r w:rsidRPr="001A3E80">
        <w:rPr>
          <w:rFonts w:ascii="Verdana" w:hAnsi="Verdana"/>
          <w:spacing w:val="-3"/>
          <w:sz w:val="20"/>
        </w:rPr>
        <w:t>que</w:t>
      </w:r>
      <w:proofErr w:type="gramEnd"/>
    </w:p>
    <w:p w:rsidR="00CD10A6" w:rsidRPr="001A3E80" w:rsidRDefault="00CD10A6" w:rsidP="00CD10A6">
      <w:pPr>
        <w:suppressAutoHyphens/>
        <w:jc w:val="both"/>
        <w:rPr>
          <w:rFonts w:ascii="Verdana" w:hAnsi="Verdana"/>
          <w:spacing w:val="-3"/>
          <w:sz w:val="20"/>
        </w:rPr>
      </w:pPr>
    </w:p>
    <w:p w:rsidR="00CD10A6" w:rsidRPr="00382334" w:rsidRDefault="00CD10A6" w:rsidP="00CD10A6">
      <w:pPr>
        <w:tabs>
          <w:tab w:val="left" w:pos="-120"/>
        </w:tabs>
        <w:suppressAutoHyphens/>
        <w:ind w:left="720" w:right="720"/>
        <w:jc w:val="both"/>
        <w:rPr>
          <w:rFonts w:ascii="Verdana" w:hAnsi="Verdana"/>
          <w:spacing w:val="-3"/>
          <w:sz w:val="18"/>
          <w:szCs w:val="18"/>
        </w:rPr>
      </w:pP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 xml:space="preserve"> Nossos avós viviam nessa colina, então tinham como seus animaizinhos </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 xml:space="preserve"> os macacos. </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 xml:space="preserve"> Os utensílios da guerra de nossos ancestrais, nossos avós, eram as flechas. Aí as têm </w:t>
      </w:r>
      <w:proofErr w:type="gramStart"/>
      <w:r w:rsidRPr="00382334">
        <w:rPr>
          <w:rFonts w:ascii="Verdana" w:hAnsi="Verdana"/>
          <w:spacing w:val="-3"/>
          <w:sz w:val="18"/>
          <w:szCs w:val="18"/>
        </w:rPr>
        <w:t>armazenad[</w:t>
      </w:r>
      <w:proofErr w:type="gramEnd"/>
      <w:r w:rsidRPr="00382334">
        <w:rPr>
          <w:rFonts w:ascii="Verdana" w:hAnsi="Verdana"/>
          <w:spacing w:val="-3"/>
          <w:sz w:val="18"/>
          <w:szCs w:val="18"/>
        </w:rPr>
        <w:t xml:space="preserve">as]. </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 xml:space="preserve"> nós mantemos a </w:t>
      </w:r>
      <w:r w:rsidR="006226F7" w:rsidRPr="00382334">
        <w:rPr>
          <w:rFonts w:ascii="Verdana" w:hAnsi="Verdana"/>
          <w:spacing w:val="-3"/>
          <w:sz w:val="18"/>
          <w:szCs w:val="18"/>
        </w:rPr>
        <w:t xml:space="preserve">nossa </w:t>
      </w:r>
      <w:r w:rsidRPr="00382334">
        <w:rPr>
          <w:rFonts w:ascii="Verdana" w:hAnsi="Verdana"/>
          <w:spacing w:val="-3"/>
          <w:sz w:val="18"/>
          <w:szCs w:val="18"/>
        </w:rPr>
        <w:t xml:space="preserve">história, desde nossos avós. Por isso nós o temos como Colina Sagrada. </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 xml:space="preserve"> Asangpas Muigeni é espírito do monte, é de igual forma que um humano, mas é um espírito [que] sempre vive debaixo das colinas. </w:t>
      </w:r>
      <w:r w:rsidR="00C60678" w:rsidRPr="00382334">
        <w:rPr>
          <w:rFonts w:ascii="Verdana" w:hAnsi="Verdana"/>
          <w:spacing w:val="-3"/>
          <w:sz w:val="18"/>
          <w:szCs w:val="18"/>
        </w:rPr>
        <w:t>(</w:t>
      </w:r>
      <w:r w:rsidRPr="00382334">
        <w:rPr>
          <w:rFonts w:ascii="Verdana" w:hAnsi="Verdana"/>
          <w:spacing w:val="-3"/>
          <w:sz w:val="18"/>
          <w:szCs w:val="18"/>
        </w:rPr>
        <w:t>...</w:t>
      </w:r>
      <w:r w:rsidR="00C60678" w:rsidRPr="00382334">
        <w:rPr>
          <w:rFonts w:ascii="Verdana" w:hAnsi="Verdana"/>
          <w:spacing w:val="-3"/>
          <w:sz w:val="18"/>
          <w:szCs w:val="18"/>
        </w:rPr>
        <w:t>)</w:t>
      </w:r>
      <w:r w:rsidRPr="00382334">
        <w:rPr>
          <w:rFonts w:ascii="Verdana" w:hAnsi="Verdana"/>
          <w:spacing w:val="-3"/>
          <w:sz w:val="18"/>
          <w:szCs w:val="18"/>
        </w:rPr>
        <w:t>".</w:t>
      </w:r>
      <w:r w:rsidRPr="00382334">
        <w:rPr>
          <w:rStyle w:val="Refdenotaalpie"/>
          <w:rFonts w:ascii="Verdana" w:hAnsi="Verdana"/>
          <w:spacing w:val="-3"/>
          <w:sz w:val="18"/>
          <w:szCs w:val="18"/>
        </w:rPr>
        <w:footnoteReference w:id="70"/>
      </w:r>
    </w:p>
    <w:p w:rsidR="00CD10A6" w:rsidRPr="001A3E80" w:rsidRDefault="00CD10A6" w:rsidP="00CD10A6">
      <w:pPr>
        <w:pStyle w:val="Init1"/>
        <w:tabs>
          <w:tab w:val="clear" w:pos="600"/>
          <w:tab w:val="clear" w:pos="1200"/>
          <w:tab w:val="clear" w:pos="1800"/>
          <w:tab w:val="clear" w:pos="4320"/>
          <w:tab w:val="clear" w:pos="6240"/>
          <w:tab w:val="clear" w:pos="8760"/>
        </w:tabs>
        <w:suppressAutoHyphens/>
        <w:spacing w:line="240" w:lineRule="auto"/>
        <w:rPr>
          <w:rFonts w:ascii="Verdana" w:hAnsi="Verdana"/>
          <w:spacing w:val="-3"/>
          <w:sz w:val="20"/>
        </w:rPr>
      </w:pPr>
    </w:p>
    <w:p w:rsidR="00CD10A6" w:rsidRPr="00897911" w:rsidRDefault="00CD10A6" w:rsidP="00CD10A6">
      <w:pPr>
        <w:suppressAutoHyphens/>
        <w:jc w:val="both"/>
        <w:rPr>
          <w:rFonts w:ascii="Verdana" w:hAnsi="Verdana"/>
          <w:spacing w:val="-3"/>
          <w:sz w:val="20"/>
        </w:rPr>
      </w:pPr>
      <w:r w:rsidRPr="001A3E80">
        <w:rPr>
          <w:rFonts w:ascii="Verdana" w:hAnsi="Verdana"/>
          <w:spacing w:val="-3"/>
          <w:sz w:val="20"/>
        </w:rPr>
        <w:t>5.</w:t>
      </w:r>
      <w:r w:rsidRPr="001A3E80">
        <w:rPr>
          <w:rFonts w:ascii="Verdana" w:hAnsi="Verdana"/>
          <w:spacing w:val="-3"/>
          <w:sz w:val="20"/>
        </w:rPr>
        <w:tab/>
        <w:t>Como observou em seu testemunho um antropólogo na audiência pública perante a Corte, há dois tipos de lugares sagrados dos membros da Comunidade Mayagna: a</w:t>
      </w:r>
      <w:r w:rsidR="00C60678" w:rsidRPr="00C60678">
        <w:rPr>
          <w:rFonts w:ascii="Verdana" w:hAnsi="Verdana"/>
          <w:spacing w:val="-3"/>
          <w:sz w:val="20"/>
        </w:rPr>
        <w:t>)</w:t>
      </w:r>
      <w:r w:rsidRPr="001A3E80">
        <w:rPr>
          <w:rFonts w:ascii="Verdana" w:hAnsi="Verdana"/>
          <w:spacing w:val="-3"/>
          <w:sz w:val="20"/>
        </w:rPr>
        <w:t xml:space="preserve"> as colinas, onde estão os “espíritos do monte”, com os quais “há </w:t>
      </w:r>
      <w:r w:rsidR="006226F7">
        <w:rPr>
          <w:rFonts w:ascii="Verdana" w:hAnsi="Verdana"/>
          <w:spacing w:val="-3"/>
          <w:sz w:val="20"/>
        </w:rPr>
        <w:t>de se</w:t>
      </w:r>
      <w:r w:rsidR="006226F7" w:rsidRPr="001A3E80">
        <w:rPr>
          <w:rFonts w:ascii="Verdana" w:hAnsi="Verdana"/>
          <w:spacing w:val="-3"/>
          <w:sz w:val="20"/>
        </w:rPr>
        <w:t xml:space="preserve"> </w:t>
      </w:r>
      <w:r w:rsidRPr="001A3E80">
        <w:rPr>
          <w:rFonts w:ascii="Verdana" w:hAnsi="Verdana"/>
          <w:spacing w:val="-3"/>
          <w:sz w:val="20"/>
        </w:rPr>
        <w:t>ter uma relação especial”; e b</w:t>
      </w:r>
      <w:r w:rsidR="00C60678" w:rsidRPr="00C60678">
        <w:rPr>
          <w:rFonts w:ascii="Verdana" w:hAnsi="Verdana"/>
          <w:spacing w:val="-3"/>
          <w:sz w:val="20"/>
        </w:rPr>
        <w:t>)</w:t>
      </w:r>
      <w:r w:rsidRPr="001A3E80">
        <w:rPr>
          <w:rFonts w:ascii="Verdana" w:hAnsi="Verdana"/>
          <w:spacing w:val="-3"/>
          <w:sz w:val="20"/>
        </w:rPr>
        <w:t xml:space="preserve"> nas zonas fronteiriças, os cemitérios, onde enterram seus mortos “dentro da Comunidade”, ao longo do rio Wawa, “visitados até hoje </w:t>
      </w:r>
      <w:r w:rsidR="00C60678" w:rsidRPr="00C60678">
        <w:rPr>
          <w:rFonts w:ascii="Verdana" w:hAnsi="Verdana"/>
          <w:spacing w:val="-3"/>
          <w:sz w:val="20"/>
        </w:rPr>
        <w:t>(</w:t>
      </w:r>
      <w:r w:rsidRPr="001A3E80">
        <w:rPr>
          <w:rFonts w:ascii="Verdana" w:hAnsi="Verdana"/>
          <w:spacing w:val="-3"/>
          <w:sz w:val="20"/>
        </w:rPr>
        <w:t>...</w:t>
      </w:r>
      <w:r w:rsidR="00C60678" w:rsidRPr="00C60678">
        <w:rPr>
          <w:rFonts w:ascii="Verdana" w:hAnsi="Verdana"/>
          <w:spacing w:val="-3"/>
          <w:sz w:val="20"/>
        </w:rPr>
        <w:t>)</w:t>
      </w:r>
      <w:r w:rsidRPr="001A3E80">
        <w:rPr>
          <w:rFonts w:ascii="Verdana" w:hAnsi="Verdana"/>
          <w:spacing w:val="-3"/>
          <w:sz w:val="20"/>
        </w:rPr>
        <w:t xml:space="preserve"> em dia com frequência por </w:t>
      </w:r>
      <w:r w:rsidR="00C60678" w:rsidRPr="00C60678">
        <w:rPr>
          <w:rFonts w:ascii="Verdana" w:hAnsi="Verdana"/>
          <w:spacing w:val="-3"/>
          <w:sz w:val="20"/>
        </w:rPr>
        <w:t>(</w:t>
      </w:r>
      <w:r w:rsidRPr="001A3E80">
        <w:rPr>
          <w:rFonts w:ascii="Verdana" w:hAnsi="Verdana"/>
          <w:spacing w:val="-3"/>
          <w:sz w:val="20"/>
        </w:rPr>
        <w:t>...</w:t>
      </w:r>
      <w:r w:rsidR="00C60678" w:rsidRPr="00C60678">
        <w:rPr>
          <w:rFonts w:ascii="Verdana" w:hAnsi="Verdana"/>
          <w:spacing w:val="-3"/>
          <w:sz w:val="20"/>
        </w:rPr>
        <w:t>)</w:t>
      </w:r>
      <w:r w:rsidRPr="001A3E80">
        <w:rPr>
          <w:rFonts w:ascii="Verdana" w:hAnsi="Verdana"/>
          <w:spacing w:val="-3"/>
          <w:sz w:val="20"/>
        </w:rPr>
        <w:t xml:space="preserve"> membros da Comunidade”, sobretudo quando “vão de caça”, até certo ponto como um “ato espiritual”</w:t>
      </w:r>
      <w:r>
        <w:rPr>
          <w:rFonts w:ascii="Verdana" w:hAnsi="Verdana"/>
          <w:spacing w:val="-3"/>
          <w:sz w:val="20"/>
        </w:rPr>
        <w:t>.</w:t>
      </w:r>
      <w:r w:rsidRPr="001A3E80">
        <w:rPr>
          <w:rStyle w:val="Refdenotaalpie"/>
          <w:rFonts w:ascii="Verdana" w:hAnsi="Verdana"/>
          <w:spacing w:val="-3"/>
        </w:rPr>
        <w:footnoteReference w:id="71"/>
      </w:r>
      <w:r w:rsidRPr="001A3E80">
        <w:rPr>
          <w:rFonts w:ascii="Verdana" w:hAnsi="Verdana"/>
          <w:spacing w:val="-3"/>
          <w:sz w:val="20"/>
        </w:rPr>
        <w:t xml:space="preserve"> Como agregou, na mesma audiência, em uma perícia, outro antropólogo e sociólogo, as terras dos povos indígenas constituem </w:t>
      </w:r>
      <w:r w:rsidRPr="001A3E80">
        <w:rPr>
          <w:rFonts w:ascii="Verdana" w:hAnsi="Verdana"/>
          <w:spacing w:val="-3"/>
          <w:sz w:val="20"/>
        </w:rPr>
        <w:lastRenderedPageBreak/>
        <w:t xml:space="preserve">um </w:t>
      </w:r>
      <w:r w:rsidRPr="00897911">
        <w:rPr>
          <w:rFonts w:ascii="Verdana" w:hAnsi="Verdana"/>
          <w:spacing w:val="-3"/>
          <w:sz w:val="20"/>
        </w:rPr>
        <w:t>espaço ao mesmo tempo geográfico e social, simbólico e religioso, de crucial importância para sua autoidentificação cultural, sua saúde mental, sua autopercepção social.</w:t>
      </w:r>
      <w:proofErr w:type="gramStart"/>
      <w:r w:rsidRPr="00897911">
        <w:rPr>
          <w:rStyle w:val="Refdenotaalpie"/>
          <w:rFonts w:ascii="Verdana" w:hAnsi="Verdana"/>
          <w:spacing w:val="-3"/>
          <w:sz w:val="20"/>
        </w:rPr>
        <w:footnoteReference w:id="72"/>
      </w:r>
      <w:proofErr w:type="gramEnd"/>
      <w:r w:rsidRPr="00897911">
        <w:rPr>
          <w:rFonts w:ascii="Verdana" w:hAnsi="Verdana"/>
          <w:spacing w:val="-3"/>
          <w:sz w:val="20"/>
        </w:rPr>
        <w:t xml:space="preserve"> </w:t>
      </w:r>
    </w:p>
    <w:p w:rsidR="006226F7" w:rsidRPr="00897911" w:rsidRDefault="006226F7" w:rsidP="00CD10A6">
      <w:pPr>
        <w:suppressAutoHyphens/>
        <w:jc w:val="both"/>
        <w:rPr>
          <w:rFonts w:ascii="Verdana" w:hAnsi="Verdana"/>
          <w:spacing w:val="-3"/>
          <w:sz w:val="20"/>
        </w:rPr>
      </w:pPr>
    </w:p>
    <w:p w:rsidR="00CD10A6" w:rsidRPr="001A3E80" w:rsidRDefault="00CD10A6" w:rsidP="00CD10A6">
      <w:pPr>
        <w:suppressAutoHyphens/>
        <w:jc w:val="both"/>
        <w:rPr>
          <w:rFonts w:ascii="Verdana" w:hAnsi="Verdana"/>
          <w:spacing w:val="-3"/>
          <w:sz w:val="20"/>
        </w:rPr>
      </w:pPr>
      <w:r w:rsidRPr="00897911">
        <w:rPr>
          <w:rFonts w:ascii="Verdana" w:hAnsi="Verdana"/>
          <w:spacing w:val="-3"/>
          <w:sz w:val="20"/>
        </w:rPr>
        <w:t>6.</w:t>
      </w:r>
      <w:r w:rsidRPr="00897911">
        <w:rPr>
          <w:rFonts w:ascii="Verdana" w:hAnsi="Verdana"/>
          <w:spacing w:val="-3"/>
          <w:sz w:val="20"/>
        </w:rPr>
        <w:tab/>
        <w:t xml:space="preserve">Como se observa dos testemunhos e perícias prestados na citada audiência pública, a Comunidade tem uma tradição contrária à privatização e à comercialização e venda </w:t>
      </w:r>
      <w:r w:rsidR="00C60678" w:rsidRPr="00897911">
        <w:rPr>
          <w:rFonts w:ascii="Verdana" w:hAnsi="Verdana"/>
          <w:spacing w:val="-3"/>
          <w:sz w:val="20"/>
        </w:rPr>
        <w:t>(</w:t>
      </w:r>
      <w:r w:rsidRPr="00897911">
        <w:rPr>
          <w:rFonts w:ascii="Verdana" w:hAnsi="Verdana"/>
          <w:spacing w:val="-3"/>
          <w:sz w:val="20"/>
        </w:rPr>
        <w:t>ou aluguel</w:t>
      </w:r>
      <w:r w:rsidR="00C60678" w:rsidRPr="00897911">
        <w:rPr>
          <w:rFonts w:ascii="Verdana" w:hAnsi="Verdana"/>
          <w:spacing w:val="-3"/>
          <w:sz w:val="20"/>
        </w:rPr>
        <w:t>)</w:t>
      </w:r>
      <w:r w:rsidRPr="00897911">
        <w:rPr>
          <w:rFonts w:ascii="Verdana" w:hAnsi="Verdana"/>
          <w:spacing w:val="-3"/>
          <w:sz w:val="20"/>
        </w:rPr>
        <w:t xml:space="preserve"> dos recursos naturais </w:t>
      </w:r>
      <w:r w:rsidR="00C60678" w:rsidRPr="00897911">
        <w:rPr>
          <w:rFonts w:ascii="Verdana" w:hAnsi="Verdana"/>
          <w:spacing w:val="-3"/>
          <w:sz w:val="20"/>
        </w:rPr>
        <w:t>(</w:t>
      </w:r>
      <w:r w:rsidRPr="00897911">
        <w:rPr>
          <w:rFonts w:ascii="Verdana" w:hAnsi="Verdana"/>
          <w:spacing w:val="-3"/>
          <w:sz w:val="20"/>
        </w:rPr>
        <w:t>e sua exploração</w:t>
      </w:r>
      <w:r w:rsidR="00C60678" w:rsidRPr="00897911">
        <w:rPr>
          <w:rFonts w:ascii="Verdana" w:hAnsi="Verdana"/>
          <w:spacing w:val="-3"/>
          <w:sz w:val="20"/>
        </w:rPr>
        <w:t>)</w:t>
      </w:r>
      <w:r w:rsidRPr="00897911">
        <w:rPr>
          <w:rFonts w:ascii="Verdana" w:hAnsi="Verdana"/>
          <w:spacing w:val="-3"/>
          <w:sz w:val="20"/>
        </w:rPr>
        <w:t>.</w:t>
      </w:r>
      <w:r w:rsidRPr="00897911">
        <w:rPr>
          <w:rStyle w:val="Refdenotaalpie"/>
          <w:rFonts w:ascii="Verdana" w:hAnsi="Verdana"/>
          <w:spacing w:val="-3"/>
          <w:sz w:val="20"/>
        </w:rPr>
        <w:footnoteReference w:id="73"/>
      </w:r>
      <w:r w:rsidRPr="00897911">
        <w:rPr>
          <w:rFonts w:ascii="Verdana" w:hAnsi="Verdana"/>
          <w:spacing w:val="-3"/>
          <w:sz w:val="20"/>
        </w:rPr>
        <w:t xml:space="preserve"> O conceito comunal da terra – inclusive como lugar espiritual – e seus recursos naturais fazem parte de seu direito consuetudinário; sua vinculação com o território, ainda que não esteja escrita, integra sua vida cotidiana</w:t>
      </w:r>
      <w:r w:rsidRPr="001A3E80">
        <w:rPr>
          <w:rFonts w:ascii="Verdana" w:hAnsi="Verdana"/>
          <w:spacing w:val="-3"/>
          <w:sz w:val="20"/>
        </w:rPr>
        <w:t>, e o próprio direito à propriedade comunal possui uma dimensão cultural. Em s</w:t>
      </w:r>
      <w:r>
        <w:rPr>
          <w:rFonts w:ascii="Verdana" w:hAnsi="Verdana"/>
          <w:spacing w:val="-3"/>
          <w:sz w:val="20"/>
        </w:rPr>
        <w:t>u</w:t>
      </w:r>
      <w:r w:rsidRPr="001A3E80">
        <w:rPr>
          <w:rFonts w:ascii="Verdana" w:hAnsi="Verdana"/>
          <w:spacing w:val="-3"/>
          <w:sz w:val="20"/>
        </w:rPr>
        <w:t xml:space="preserve">ma, o </w:t>
      </w:r>
      <w:r w:rsidRPr="001A3E80">
        <w:rPr>
          <w:rFonts w:ascii="Verdana" w:hAnsi="Verdana"/>
          <w:i/>
          <w:spacing w:val="-3"/>
          <w:sz w:val="20"/>
        </w:rPr>
        <w:t>habitat</w:t>
      </w:r>
      <w:r w:rsidRPr="001A3E80">
        <w:rPr>
          <w:rFonts w:ascii="Verdana" w:hAnsi="Verdana"/>
          <w:spacing w:val="-3"/>
          <w:sz w:val="20"/>
        </w:rPr>
        <w:t xml:space="preserve"> </w:t>
      </w:r>
      <w:r w:rsidR="006226F7">
        <w:rPr>
          <w:rFonts w:ascii="Verdana" w:hAnsi="Verdana"/>
          <w:spacing w:val="-3"/>
          <w:sz w:val="20"/>
        </w:rPr>
        <w:t>é</w:t>
      </w:r>
      <w:r w:rsidR="006226F7" w:rsidRPr="001A3E80">
        <w:rPr>
          <w:rFonts w:ascii="Verdana" w:hAnsi="Verdana"/>
          <w:spacing w:val="-3"/>
          <w:sz w:val="20"/>
        </w:rPr>
        <w:t xml:space="preserve"> </w:t>
      </w:r>
      <w:r w:rsidRPr="001A3E80">
        <w:rPr>
          <w:rFonts w:ascii="Verdana" w:hAnsi="Verdana"/>
          <w:spacing w:val="-3"/>
          <w:sz w:val="20"/>
        </w:rPr>
        <w:t>parte integrante de sua cultura, transmitida de geração em geração.</w:t>
      </w:r>
    </w:p>
    <w:p w:rsidR="00CD10A6" w:rsidRPr="001A3E80" w:rsidRDefault="00CD10A6" w:rsidP="00CD10A6">
      <w:pPr>
        <w:suppressAutoHyphens/>
        <w:jc w:val="both"/>
        <w:rPr>
          <w:rFonts w:ascii="Verdana" w:hAnsi="Verdana"/>
          <w:spacing w:val="-3"/>
          <w:sz w:val="20"/>
        </w:rPr>
      </w:pPr>
    </w:p>
    <w:p w:rsidR="00CD10A6" w:rsidRPr="001A3E80" w:rsidRDefault="00CD10A6" w:rsidP="00CD10A6">
      <w:pPr>
        <w:suppressAutoHyphens/>
        <w:jc w:val="both"/>
        <w:rPr>
          <w:rFonts w:ascii="Verdana" w:hAnsi="Verdana"/>
          <w:spacing w:val="-3"/>
          <w:sz w:val="20"/>
        </w:rPr>
      </w:pPr>
      <w:r w:rsidRPr="001A3E80">
        <w:rPr>
          <w:rFonts w:ascii="Verdana" w:hAnsi="Verdana"/>
          <w:spacing w:val="-3"/>
          <w:sz w:val="20"/>
        </w:rPr>
        <w:t>7.</w:t>
      </w:r>
      <w:r w:rsidRPr="001A3E80">
        <w:rPr>
          <w:rFonts w:ascii="Verdana" w:hAnsi="Verdana"/>
          <w:spacing w:val="-3"/>
          <w:sz w:val="20"/>
        </w:rPr>
        <w:tab/>
        <w:t xml:space="preserve">A Corte Interamericana reuniu devidamente estes elementos no parágrafo 149 da presente Sentença, no qual afirma </w:t>
      </w:r>
      <w:proofErr w:type="gramStart"/>
      <w:r w:rsidRPr="001A3E80">
        <w:rPr>
          <w:rFonts w:ascii="Verdana" w:hAnsi="Verdana"/>
          <w:spacing w:val="-3"/>
          <w:sz w:val="20"/>
        </w:rPr>
        <w:t>que</w:t>
      </w:r>
      <w:proofErr w:type="gramEnd"/>
    </w:p>
    <w:p w:rsidR="00CD10A6" w:rsidRPr="001A3E80" w:rsidRDefault="00CD10A6" w:rsidP="00CD10A6">
      <w:pPr>
        <w:suppressAutoHyphens/>
        <w:jc w:val="both"/>
        <w:rPr>
          <w:rFonts w:ascii="Verdana" w:hAnsi="Verdana"/>
          <w:spacing w:val="-3"/>
          <w:sz w:val="20"/>
        </w:rPr>
      </w:pPr>
    </w:p>
    <w:p w:rsidR="00CD10A6" w:rsidRPr="00E771D3" w:rsidRDefault="00CD10A6" w:rsidP="00CD10A6">
      <w:pPr>
        <w:suppressAutoHyphens/>
        <w:ind w:left="720" w:right="720"/>
        <w:jc w:val="both"/>
        <w:rPr>
          <w:rFonts w:ascii="Verdana" w:hAnsi="Verdana"/>
          <w:spacing w:val="-3"/>
          <w:sz w:val="18"/>
          <w:szCs w:val="18"/>
        </w:rPr>
      </w:pPr>
      <w:r w:rsidRPr="00E771D3">
        <w:rPr>
          <w:rFonts w:ascii="Verdana" w:hAnsi="Verdana"/>
          <w:spacing w:val="-3"/>
          <w:sz w:val="18"/>
          <w:szCs w:val="18"/>
        </w:rPr>
        <w:t>"</w:t>
      </w:r>
      <w:r w:rsidR="00C60678" w:rsidRPr="00E771D3">
        <w:rPr>
          <w:rFonts w:ascii="Verdana" w:hAnsi="Verdana"/>
          <w:spacing w:val="-3"/>
          <w:sz w:val="18"/>
          <w:szCs w:val="18"/>
        </w:rPr>
        <w:t>(</w:t>
      </w:r>
      <w:r w:rsidRPr="00E771D3">
        <w:rPr>
          <w:rFonts w:ascii="Verdana" w:hAnsi="Verdana"/>
          <w:spacing w:val="-3"/>
          <w:sz w:val="18"/>
          <w:szCs w:val="18"/>
        </w:rPr>
        <w:t>...</w:t>
      </w:r>
      <w:r w:rsidR="00C60678" w:rsidRPr="00E771D3">
        <w:rPr>
          <w:rFonts w:ascii="Verdana" w:hAnsi="Verdana"/>
          <w:spacing w:val="-3"/>
          <w:sz w:val="18"/>
          <w:szCs w:val="18"/>
        </w:rPr>
        <w:t>)</w:t>
      </w:r>
      <w:r w:rsidRPr="00E771D3">
        <w:rPr>
          <w:rFonts w:ascii="Verdana" w:hAnsi="Verdana"/>
          <w:spacing w:val="-3"/>
          <w:sz w:val="18"/>
          <w:szCs w:val="18"/>
        </w:rPr>
        <w:t xml:space="preserve"> Entre os indígenas existe uma tradição comunitária sobre uma forma comunal da propriedade coletiva da terra, no sentido de que o pertencimento desta não se centra em um indivíduo, mas no grupo e sua comunidade. </w:t>
      </w:r>
      <w:r w:rsidR="00C60678" w:rsidRPr="00E771D3">
        <w:rPr>
          <w:rFonts w:ascii="Verdana" w:hAnsi="Verdana"/>
          <w:spacing w:val="-3"/>
          <w:sz w:val="18"/>
          <w:szCs w:val="18"/>
        </w:rPr>
        <w:t>(</w:t>
      </w:r>
      <w:r w:rsidRPr="00E771D3">
        <w:rPr>
          <w:rFonts w:ascii="Verdana" w:hAnsi="Verdana"/>
          <w:spacing w:val="-3"/>
          <w:sz w:val="18"/>
          <w:szCs w:val="18"/>
        </w:rPr>
        <w:t>...</w:t>
      </w:r>
      <w:r w:rsidR="00C60678" w:rsidRPr="00E771D3">
        <w:rPr>
          <w:rFonts w:ascii="Verdana" w:hAnsi="Verdana"/>
          <w:spacing w:val="-3"/>
          <w:sz w:val="18"/>
          <w:szCs w:val="18"/>
        </w:rPr>
        <w:t>)</w:t>
      </w:r>
      <w:r w:rsidRPr="00E771D3">
        <w:rPr>
          <w:rFonts w:ascii="Verdana" w:hAnsi="Verdana"/>
          <w:spacing w:val="-3"/>
          <w:sz w:val="18"/>
          <w:szCs w:val="18"/>
        </w:rPr>
        <w:t xml:space="preserve"> Para as comunidades indígenas a relação com a terra não é meramente uma questão de posse e produção, mas sim um elemento material e espiritual do qu</w:t>
      </w:r>
      <w:r w:rsidR="006226F7" w:rsidRPr="00E771D3">
        <w:rPr>
          <w:rFonts w:ascii="Verdana" w:hAnsi="Verdana"/>
          <w:spacing w:val="-3"/>
          <w:sz w:val="18"/>
          <w:szCs w:val="18"/>
        </w:rPr>
        <w:t>al</w:t>
      </w:r>
      <w:r w:rsidRPr="00E771D3">
        <w:rPr>
          <w:rFonts w:ascii="Verdana" w:hAnsi="Verdana"/>
          <w:spacing w:val="-3"/>
          <w:sz w:val="18"/>
          <w:szCs w:val="18"/>
        </w:rPr>
        <w:t xml:space="preserve"> devem gozar plenamente, inclusive para preservar seu legado cultural e transmiti-lo às </w:t>
      </w:r>
      <w:r w:rsidR="006226F7" w:rsidRPr="00E771D3">
        <w:rPr>
          <w:rFonts w:ascii="Verdana" w:hAnsi="Verdana"/>
          <w:spacing w:val="-3"/>
          <w:sz w:val="18"/>
          <w:szCs w:val="18"/>
        </w:rPr>
        <w:t xml:space="preserve">futuras </w:t>
      </w:r>
      <w:r w:rsidRPr="00E771D3">
        <w:rPr>
          <w:rFonts w:ascii="Verdana" w:hAnsi="Verdana"/>
          <w:spacing w:val="-3"/>
          <w:sz w:val="18"/>
          <w:szCs w:val="18"/>
        </w:rPr>
        <w:t>gerações”.</w:t>
      </w:r>
    </w:p>
    <w:p w:rsidR="00CD10A6" w:rsidRPr="001A3E80" w:rsidRDefault="00CD10A6" w:rsidP="00CD10A6">
      <w:pPr>
        <w:suppressAutoHyphens/>
        <w:ind w:left="720" w:right="720"/>
        <w:jc w:val="both"/>
        <w:rPr>
          <w:rFonts w:ascii="Verdana" w:hAnsi="Verdana"/>
          <w:spacing w:val="-3"/>
          <w:sz w:val="16"/>
          <w:szCs w:val="16"/>
        </w:rPr>
      </w:pPr>
    </w:p>
    <w:p w:rsidR="00CD10A6" w:rsidRPr="001A3E80" w:rsidRDefault="00CD10A6" w:rsidP="00CD10A6">
      <w:pPr>
        <w:suppressAutoHyphens/>
        <w:jc w:val="both"/>
        <w:rPr>
          <w:rFonts w:ascii="Verdana" w:hAnsi="Verdana"/>
          <w:spacing w:val="-3"/>
          <w:sz w:val="20"/>
        </w:rPr>
      </w:pPr>
      <w:r w:rsidRPr="001A3E80">
        <w:rPr>
          <w:rFonts w:ascii="Verdana" w:hAnsi="Verdana"/>
          <w:spacing w:val="-3"/>
          <w:sz w:val="20"/>
        </w:rPr>
        <w:t>8.</w:t>
      </w:r>
      <w:r w:rsidRPr="001A3E80">
        <w:rPr>
          <w:rFonts w:ascii="Verdana" w:hAnsi="Verdana"/>
          <w:spacing w:val="-3"/>
          <w:sz w:val="20"/>
        </w:rPr>
        <w:tab/>
        <w:t xml:space="preserve">Consideramos necessário ampliar este elemento conceitual com uma ênfase na </w:t>
      </w:r>
      <w:r w:rsidRPr="001A3E80">
        <w:rPr>
          <w:rFonts w:ascii="Verdana" w:hAnsi="Verdana"/>
          <w:i/>
          <w:spacing w:val="-3"/>
          <w:sz w:val="20"/>
        </w:rPr>
        <w:t>dimensão intertemporal</w:t>
      </w:r>
      <w:r w:rsidRPr="001A3E80">
        <w:rPr>
          <w:rFonts w:ascii="Verdana" w:hAnsi="Verdana"/>
          <w:spacing w:val="-3"/>
          <w:sz w:val="20"/>
        </w:rPr>
        <w:t xml:space="preserve"> do que nos parece caracterizar a relação dos indígenas da Comunidade com suas terras. Sem o uso e gozo efetivos destas últimas, eles estariam privados de praticar, conservar e revitalizar seus costumes culturais, que dão sentido </w:t>
      </w:r>
      <w:r w:rsidR="006226F7">
        <w:rPr>
          <w:rFonts w:ascii="Verdana" w:hAnsi="Verdana"/>
          <w:spacing w:val="-3"/>
          <w:sz w:val="20"/>
        </w:rPr>
        <w:t>à</w:t>
      </w:r>
      <w:r w:rsidRPr="001A3E80">
        <w:rPr>
          <w:rFonts w:ascii="Verdana" w:hAnsi="Verdana"/>
          <w:spacing w:val="-3"/>
          <w:sz w:val="20"/>
        </w:rPr>
        <w:t xml:space="preserve"> sua própria existência, tanto individual como comunitária. O sentimento que se observa é no sentido de que, assim como a terra que ocupam lhes pertence, por sua vez eles pertencem </w:t>
      </w:r>
      <w:r w:rsidR="006226F7">
        <w:rPr>
          <w:rFonts w:ascii="Verdana" w:hAnsi="Verdana"/>
          <w:spacing w:val="-3"/>
          <w:sz w:val="20"/>
        </w:rPr>
        <w:t>à</w:t>
      </w:r>
      <w:r w:rsidRPr="001A3E80">
        <w:rPr>
          <w:rFonts w:ascii="Verdana" w:hAnsi="Verdana"/>
          <w:spacing w:val="-3"/>
          <w:sz w:val="20"/>
        </w:rPr>
        <w:t xml:space="preserve"> sua terra. Têm, pois, o direito de preservar suas manifestações culturais passadas e presentes, e de poder desenvolvê-las no futuro.</w:t>
      </w:r>
    </w:p>
    <w:p w:rsidR="00CD10A6" w:rsidRPr="001A3E80" w:rsidRDefault="00CD10A6" w:rsidP="00CD10A6">
      <w:pPr>
        <w:suppressAutoHyphens/>
        <w:jc w:val="both"/>
        <w:rPr>
          <w:rFonts w:ascii="Verdana" w:hAnsi="Verdana"/>
          <w:spacing w:val="-3"/>
          <w:sz w:val="20"/>
        </w:rPr>
      </w:pPr>
    </w:p>
    <w:p w:rsidR="00CD10A6" w:rsidRPr="001A3E80" w:rsidRDefault="00CD10A6" w:rsidP="00CD10A6">
      <w:pPr>
        <w:suppressAutoHyphens/>
        <w:jc w:val="both"/>
        <w:rPr>
          <w:rFonts w:ascii="Verdana" w:hAnsi="Verdana"/>
          <w:spacing w:val="-3"/>
          <w:sz w:val="20"/>
        </w:rPr>
      </w:pPr>
      <w:r w:rsidRPr="001A3E80">
        <w:rPr>
          <w:rFonts w:ascii="Verdana" w:hAnsi="Verdana"/>
          <w:spacing w:val="-3"/>
          <w:sz w:val="20"/>
        </w:rPr>
        <w:t>9.</w:t>
      </w:r>
      <w:r w:rsidRPr="001A3E80">
        <w:rPr>
          <w:rFonts w:ascii="Verdana" w:hAnsi="Verdana"/>
          <w:spacing w:val="-3"/>
          <w:sz w:val="20"/>
        </w:rPr>
        <w:tab/>
        <w:t>Daí a importância do fortalecimento da relação espiritual e material dos membros da Comunidade com as terras que têm ocupado, não só para preserv</w:t>
      </w:r>
      <w:r>
        <w:rPr>
          <w:rFonts w:ascii="Verdana" w:hAnsi="Verdana"/>
          <w:spacing w:val="-3"/>
          <w:sz w:val="20"/>
        </w:rPr>
        <w:t>ar o legado das gerações passada</w:t>
      </w:r>
      <w:r w:rsidRPr="001A3E80">
        <w:rPr>
          <w:rFonts w:ascii="Verdana" w:hAnsi="Verdana"/>
          <w:spacing w:val="-3"/>
          <w:sz w:val="20"/>
        </w:rPr>
        <w:t xml:space="preserve">s, mas também para assumir e desempenhar as responsabilidades que eles assumem a respeito das gerações por vir. Daí, ademais, a necessária prevalência que atribuem ao elemento da </w:t>
      </w:r>
      <w:r w:rsidRPr="001A3E80">
        <w:rPr>
          <w:rFonts w:ascii="Verdana" w:hAnsi="Verdana"/>
          <w:i/>
          <w:spacing w:val="-3"/>
          <w:sz w:val="20"/>
        </w:rPr>
        <w:t>conservação</w:t>
      </w:r>
      <w:r w:rsidRPr="001A3E80">
        <w:rPr>
          <w:rFonts w:ascii="Verdana" w:hAnsi="Verdana"/>
          <w:spacing w:val="-3"/>
          <w:sz w:val="20"/>
        </w:rPr>
        <w:t xml:space="preserve"> sobre a simples exploração dos recursos naturais. Sua forma comunal de propriedade, muito mais ampla que a concepção civilista </w:t>
      </w:r>
      <w:r w:rsidR="00C60678" w:rsidRPr="00C60678">
        <w:rPr>
          <w:rFonts w:ascii="Verdana" w:hAnsi="Verdana"/>
          <w:spacing w:val="-3"/>
          <w:sz w:val="20"/>
        </w:rPr>
        <w:t>(</w:t>
      </w:r>
      <w:r w:rsidRPr="001A3E80">
        <w:rPr>
          <w:rFonts w:ascii="Verdana" w:hAnsi="Verdana"/>
          <w:spacing w:val="-3"/>
          <w:sz w:val="20"/>
        </w:rPr>
        <w:t>jusprivatista</w:t>
      </w:r>
      <w:r w:rsidR="00C60678" w:rsidRPr="00C60678">
        <w:rPr>
          <w:rFonts w:ascii="Verdana" w:hAnsi="Verdana"/>
          <w:spacing w:val="-3"/>
          <w:sz w:val="20"/>
        </w:rPr>
        <w:t>)</w:t>
      </w:r>
      <w:r w:rsidRPr="001A3E80">
        <w:rPr>
          <w:rFonts w:ascii="Verdana" w:hAnsi="Verdana"/>
          <w:spacing w:val="-3"/>
          <w:sz w:val="20"/>
        </w:rPr>
        <w:t xml:space="preserve">, deve, a nosso juízo, ser apreciada a partir deste prisma, inclusive sob o artigo 21 da Convenção Americana de Direitos Humanos, à luz dos fatos do </w:t>
      </w:r>
      <w:r w:rsidRPr="001A3E80">
        <w:rPr>
          <w:rFonts w:ascii="Verdana" w:hAnsi="Verdana"/>
          <w:i/>
          <w:spacing w:val="-3"/>
          <w:sz w:val="20"/>
        </w:rPr>
        <w:t>cas d'espèce.</w:t>
      </w:r>
    </w:p>
    <w:p w:rsidR="00CD10A6" w:rsidRPr="001A3E80" w:rsidRDefault="00CD10A6" w:rsidP="00CD10A6">
      <w:pPr>
        <w:suppressAutoHyphens/>
        <w:jc w:val="both"/>
        <w:rPr>
          <w:rFonts w:ascii="Verdana" w:hAnsi="Verdana"/>
          <w:spacing w:val="-3"/>
          <w:sz w:val="20"/>
        </w:rPr>
      </w:pPr>
    </w:p>
    <w:p w:rsidR="00CD10A6" w:rsidRPr="00897911" w:rsidRDefault="00CD10A6" w:rsidP="00CD10A6">
      <w:pPr>
        <w:suppressAutoHyphens/>
        <w:jc w:val="both"/>
        <w:rPr>
          <w:rFonts w:ascii="Verdana" w:hAnsi="Verdana"/>
          <w:spacing w:val="-3"/>
          <w:sz w:val="20"/>
        </w:rPr>
      </w:pPr>
      <w:r w:rsidRPr="001A3E80">
        <w:rPr>
          <w:rFonts w:ascii="Verdana" w:hAnsi="Verdana"/>
          <w:spacing w:val="-3"/>
          <w:sz w:val="20"/>
        </w:rPr>
        <w:t>10.</w:t>
      </w:r>
      <w:r w:rsidRPr="001A3E80">
        <w:rPr>
          <w:rFonts w:ascii="Verdana" w:hAnsi="Verdana"/>
          <w:spacing w:val="-3"/>
          <w:sz w:val="20"/>
        </w:rPr>
        <w:tab/>
        <w:t xml:space="preserve">A preocupação pelo elemento da conservação reflete uma manifestação cultural da integração do ser humano com a natureza e o mundo em que vive. Esta integração, acreditamos, projeta-se tanto no espaço como no tempo, porquanto nos relacionamos, no espaço, com o sistema natural de que somos parte e que devemos tratar com </w:t>
      </w:r>
      <w:r w:rsidRPr="001A3E80">
        <w:rPr>
          <w:rFonts w:ascii="Verdana" w:hAnsi="Verdana"/>
          <w:spacing w:val="-3"/>
          <w:sz w:val="20"/>
        </w:rPr>
        <w:lastRenderedPageBreak/>
        <w:t xml:space="preserve">cuidado, e, no tempo, com </w:t>
      </w:r>
      <w:r w:rsidRPr="00897911">
        <w:rPr>
          <w:rFonts w:ascii="Verdana" w:hAnsi="Verdana"/>
          <w:spacing w:val="-3"/>
          <w:sz w:val="20"/>
        </w:rPr>
        <w:t xml:space="preserve">outras gerações </w:t>
      </w:r>
      <w:r w:rsidR="00C60678" w:rsidRPr="00897911">
        <w:rPr>
          <w:rFonts w:ascii="Verdana" w:hAnsi="Verdana"/>
          <w:spacing w:val="-3"/>
          <w:sz w:val="20"/>
        </w:rPr>
        <w:t>(</w:t>
      </w:r>
      <w:r w:rsidRPr="00897911">
        <w:rPr>
          <w:rFonts w:ascii="Verdana" w:hAnsi="Verdana"/>
          <w:spacing w:val="-3"/>
          <w:sz w:val="20"/>
        </w:rPr>
        <w:t>as passadas e as futuras</w:t>
      </w:r>
      <w:r w:rsidR="00C60678" w:rsidRPr="00897911">
        <w:rPr>
          <w:rFonts w:ascii="Verdana" w:hAnsi="Verdana"/>
          <w:spacing w:val="-3"/>
          <w:sz w:val="20"/>
        </w:rPr>
        <w:t>)</w:t>
      </w:r>
      <w:r w:rsidRPr="00897911">
        <w:rPr>
          <w:rFonts w:ascii="Verdana" w:hAnsi="Verdana"/>
          <w:spacing w:val="-3"/>
          <w:sz w:val="20"/>
        </w:rPr>
        <w:t>,</w:t>
      </w:r>
      <w:r w:rsidRPr="00897911">
        <w:rPr>
          <w:rStyle w:val="Refdenotaalpie"/>
          <w:rFonts w:ascii="Verdana" w:hAnsi="Verdana"/>
          <w:spacing w:val="-3"/>
          <w:sz w:val="20"/>
        </w:rPr>
        <w:footnoteReference w:id="74"/>
      </w:r>
      <w:r w:rsidRPr="00897911">
        <w:rPr>
          <w:rFonts w:ascii="Verdana" w:hAnsi="Verdana"/>
          <w:spacing w:val="-3"/>
          <w:sz w:val="20"/>
        </w:rPr>
        <w:t xml:space="preserve"> em relação com as quais temos obrigações.</w:t>
      </w:r>
    </w:p>
    <w:p w:rsidR="00CD10A6" w:rsidRPr="00897911" w:rsidRDefault="00CD10A6" w:rsidP="00CD10A6">
      <w:pPr>
        <w:suppressAutoHyphens/>
        <w:jc w:val="both"/>
        <w:rPr>
          <w:rFonts w:ascii="Verdana" w:hAnsi="Verdana"/>
          <w:spacing w:val="-3"/>
          <w:sz w:val="20"/>
        </w:rPr>
      </w:pPr>
    </w:p>
    <w:p w:rsidR="00CD10A6" w:rsidRPr="00897911" w:rsidRDefault="00CD10A6" w:rsidP="00CD10A6">
      <w:pPr>
        <w:suppressAutoHyphens/>
        <w:jc w:val="both"/>
        <w:rPr>
          <w:rFonts w:ascii="Verdana" w:hAnsi="Verdana"/>
          <w:spacing w:val="-3"/>
          <w:sz w:val="20"/>
        </w:rPr>
      </w:pPr>
      <w:r w:rsidRPr="00897911">
        <w:rPr>
          <w:rFonts w:ascii="Verdana" w:hAnsi="Verdana"/>
          <w:spacing w:val="-3"/>
          <w:sz w:val="20"/>
        </w:rPr>
        <w:t>11.</w:t>
      </w:r>
      <w:r w:rsidRPr="00897911">
        <w:rPr>
          <w:rFonts w:ascii="Verdana" w:hAnsi="Verdana"/>
          <w:spacing w:val="-3"/>
          <w:sz w:val="20"/>
        </w:rPr>
        <w:tab/>
        <w:t xml:space="preserve">Manifestações culturais do gênero formam, por sua vez, o </w:t>
      </w:r>
      <w:r w:rsidRPr="00897911">
        <w:rPr>
          <w:rFonts w:ascii="Verdana" w:hAnsi="Verdana"/>
          <w:i/>
          <w:spacing w:val="-3"/>
          <w:sz w:val="20"/>
        </w:rPr>
        <w:t>substratum</w:t>
      </w:r>
      <w:r w:rsidRPr="00897911">
        <w:rPr>
          <w:rFonts w:ascii="Verdana" w:hAnsi="Verdana"/>
          <w:spacing w:val="-3"/>
          <w:sz w:val="20"/>
        </w:rPr>
        <w:t xml:space="preserve"> das normas jurídicas que devem reger as relações dos membros da comunidade </w:t>
      </w:r>
      <w:r w:rsidRPr="00897911">
        <w:rPr>
          <w:rFonts w:ascii="Verdana" w:hAnsi="Verdana"/>
          <w:i/>
          <w:spacing w:val="-3"/>
          <w:sz w:val="20"/>
        </w:rPr>
        <w:t xml:space="preserve">inter se </w:t>
      </w:r>
      <w:r w:rsidRPr="00897911">
        <w:rPr>
          <w:rFonts w:ascii="Verdana" w:hAnsi="Verdana"/>
          <w:spacing w:val="-3"/>
          <w:sz w:val="20"/>
        </w:rPr>
        <w:t xml:space="preserve">e com seus bens. Como oportunamente recorda a presente Sentença, a própria Constituição Política vigente da Nicarágua dispõe sobre a preservação e o desenvolvimento da identidade cultural </w:t>
      </w:r>
      <w:r w:rsidR="00C60678" w:rsidRPr="00897911">
        <w:rPr>
          <w:rFonts w:ascii="Verdana" w:hAnsi="Verdana"/>
          <w:spacing w:val="-3"/>
          <w:sz w:val="20"/>
        </w:rPr>
        <w:t>(</w:t>
      </w:r>
      <w:r w:rsidRPr="00897911">
        <w:rPr>
          <w:rFonts w:ascii="Verdana" w:hAnsi="Verdana"/>
          <w:spacing w:val="-3"/>
          <w:sz w:val="20"/>
        </w:rPr>
        <w:t>na unidade nacional</w:t>
      </w:r>
      <w:r w:rsidR="00C60678" w:rsidRPr="00897911">
        <w:rPr>
          <w:rFonts w:ascii="Verdana" w:hAnsi="Verdana"/>
          <w:spacing w:val="-3"/>
          <w:sz w:val="20"/>
        </w:rPr>
        <w:t>)</w:t>
      </w:r>
      <w:r w:rsidRPr="00897911">
        <w:rPr>
          <w:rFonts w:ascii="Verdana" w:hAnsi="Verdana"/>
          <w:spacing w:val="-3"/>
          <w:sz w:val="20"/>
        </w:rPr>
        <w:t>, e as formas próprias de organização social dos povos indígenas, assim como a manutenção das formas comunais de propriedade de suas terras e o gozo, uso e d</w:t>
      </w:r>
      <w:r w:rsidR="00897911">
        <w:rPr>
          <w:rFonts w:ascii="Verdana" w:hAnsi="Verdana"/>
          <w:spacing w:val="-3"/>
          <w:sz w:val="20"/>
        </w:rPr>
        <w:t>e</w:t>
      </w:r>
      <w:r w:rsidRPr="00897911">
        <w:rPr>
          <w:rFonts w:ascii="Verdana" w:hAnsi="Verdana"/>
          <w:spacing w:val="-3"/>
          <w:sz w:val="20"/>
        </w:rPr>
        <w:t xml:space="preserve">sfrute das mesmas </w:t>
      </w:r>
      <w:r w:rsidR="00C60678" w:rsidRPr="00897911">
        <w:rPr>
          <w:rFonts w:ascii="Verdana" w:hAnsi="Verdana"/>
          <w:spacing w:val="-3"/>
          <w:sz w:val="20"/>
        </w:rPr>
        <w:t>(</w:t>
      </w:r>
      <w:r w:rsidRPr="00897911">
        <w:rPr>
          <w:rFonts w:ascii="Verdana" w:hAnsi="Verdana"/>
          <w:spacing w:val="-3"/>
          <w:sz w:val="20"/>
        </w:rPr>
        <w:t xml:space="preserve">artigo </w:t>
      </w:r>
      <w:proofErr w:type="gramStart"/>
      <w:r w:rsidRPr="00897911">
        <w:rPr>
          <w:rFonts w:ascii="Verdana" w:hAnsi="Verdana"/>
          <w:spacing w:val="-3"/>
          <w:sz w:val="20"/>
        </w:rPr>
        <w:t>5</w:t>
      </w:r>
      <w:proofErr w:type="gramEnd"/>
      <w:r w:rsidR="00C60678" w:rsidRPr="00897911">
        <w:rPr>
          <w:rFonts w:ascii="Verdana" w:hAnsi="Verdana"/>
          <w:spacing w:val="-3"/>
          <w:sz w:val="20"/>
        </w:rPr>
        <w:t>)</w:t>
      </w:r>
      <w:r w:rsidRPr="00897911">
        <w:rPr>
          <w:rFonts w:ascii="Verdana" w:hAnsi="Verdana"/>
          <w:spacing w:val="-3"/>
          <w:sz w:val="20"/>
        </w:rPr>
        <w:t>.</w:t>
      </w:r>
      <w:r w:rsidRPr="00897911">
        <w:rPr>
          <w:rStyle w:val="Refdenotaalpie"/>
          <w:rFonts w:ascii="Verdana" w:hAnsi="Verdana"/>
          <w:spacing w:val="-3"/>
          <w:sz w:val="20"/>
        </w:rPr>
        <w:footnoteReference w:id="75"/>
      </w:r>
    </w:p>
    <w:p w:rsidR="00CD10A6" w:rsidRPr="00897911" w:rsidRDefault="00CD10A6" w:rsidP="00CD10A6">
      <w:pPr>
        <w:suppressAutoHyphens/>
        <w:jc w:val="both"/>
        <w:rPr>
          <w:rFonts w:ascii="Verdana" w:hAnsi="Verdana"/>
          <w:spacing w:val="-3"/>
          <w:sz w:val="20"/>
        </w:rPr>
      </w:pPr>
    </w:p>
    <w:p w:rsidR="00CD10A6" w:rsidRPr="00897911" w:rsidRDefault="00CD10A6" w:rsidP="00CD10A6">
      <w:pPr>
        <w:suppressAutoHyphens/>
        <w:jc w:val="both"/>
        <w:rPr>
          <w:rFonts w:ascii="Verdana" w:hAnsi="Verdana"/>
          <w:spacing w:val="-3"/>
          <w:sz w:val="20"/>
        </w:rPr>
      </w:pPr>
      <w:r w:rsidRPr="00897911">
        <w:rPr>
          <w:rFonts w:ascii="Verdana" w:hAnsi="Verdana"/>
          <w:spacing w:val="-3"/>
          <w:sz w:val="20"/>
        </w:rPr>
        <w:t>12.</w:t>
      </w:r>
      <w:r w:rsidRPr="00897911">
        <w:rPr>
          <w:rFonts w:ascii="Verdana" w:hAnsi="Verdana"/>
          <w:spacing w:val="-3"/>
          <w:sz w:val="20"/>
        </w:rPr>
        <w:tab/>
        <w:t xml:space="preserve">Estas formas de manifestação cultural e auto-organização social têm, de certo modo, se concretizado ao longo do tempo em normas jurídicas e em jurisprudência, </w:t>
      </w:r>
      <w:proofErr w:type="gramStart"/>
      <w:r w:rsidRPr="00897911">
        <w:rPr>
          <w:rFonts w:ascii="Verdana" w:hAnsi="Verdana"/>
          <w:spacing w:val="-3"/>
          <w:sz w:val="20"/>
        </w:rPr>
        <w:t>nos planos tanto internacional</w:t>
      </w:r>
      <w:proofErr w:type="gramEnd"/>
      <w:r w:rsidRPr="00897911">
        <w:rPr>
          <w:rFonts w:ascii="Verdana" w:hAnsi="Verdana"/>
          <w:spacing w:val="-3"/>
          <w:sz w:val="20"/>
        </w:rPr>
        <w:t xml:space="preserve"> como nacional. Não é esta a primeira vez que a Corte Interamericana teve presentes as práticas culturais de coletividades. No caso </w:t>
      </w:r>
      <w:r w:rsidRPr="00897911">
        <w:rPr>
          <w:rFonts w:ascii="Verdana" w:hAnsi="Verdana"/>
          <w:i/>
          <w:spacing w:val="-3"/>
          <w:sz w:val="20"/>
        </w:rPr>
        <w:t>Aloebotoe e outros versus Suriname</w:t>
      </w:r>
      <w:r w:rsidRPr="00897911">
        <w:rPr>
          <w:rFonts w:ascii="Verdana" w:hAnsi="Verdana"/>
          <w:spacing w:val="-3"/>
          <w:sz w:val="20"/>
        </w:rPr>
        <w:t xml:space="preserve"> </w:t>
      </w:r>
      <w:r w:rsidR="00C60678" w:rsidRPr="00897911">
        <w:rPr>
          <w:rFonts w:ascii="Verdana" w:hAnsi="Verdana"/>
          <w:spacing w:val="-3"/>
          <w:sz w:val="20"/>
        </w:rPr>
        <w:t>(</w:t>
      </w:r>
      <w:r w:rsidRPr="00897911">
        <w:rPr>
          <w:rFonts w:ascii="Verdana" w:hAnsi="Verdana"/>
          <w:spacing w:val="-3"/>
          <w:sz w:val="20"/>
        </w:rPr>
        <w:t>Reparações, Sentença de 10 de setembro de 1993</w:t>
      </w:r>
      <w:r w:rsidR="00C60678" w:rsidRPr="00897911">
        <w:rPr>
          <w:rFonts w:ascii="Verdana" w:hAnsi="Verdana"/>
          <w:spacing w:val="-3"/>
          <w:sz w:val="20"/>
        </w:rPr>
        <w:t>)</w:t>
      </w:r>
      <w:r w:rsidRPr="00897911">
        <w:rPr>
          <w:rFonts w:ascii="Verdana" w:hAnsi="Verdana"/>
          <w:spacing w:val="-3"/>
          <w:sz w:val="20"/>
        </w:rPr>
        <w:t xml:space="preserve">, a Corte levou em consideração, na determinação do montante das reparações aos familiares das vítimas, o próprio direito consuetudinário da comunidade saramaca </w:t>
      </w:r>
      <w:r w:rsidR="00C60678" w:rsidRPr="00897911">
        <w:rPr>
          <w:rFonts w:ascii="Verdana" w:hAnsi="Verdana"/>
          <w:spacing w:val="-3"/>
          <w:sz w:val="20"/>
        </w:rPr>
        <w:t>(</w:t>
      </w:r>
      <w:r w:rsidRPr="00897911">
        <w:rPr>
          <w:rFonts w:ascii="Verdana" w:hAnsi="Verdana"/>
          <w:spacing w:val="-3"/>
          <w:sz w:val="20"/>
        </w:rPr>
        <w:t xml:space="preserve">os </w:t>
      </w:r>
      <w:r w:rsidRPr="00897911">
        <w:rPr>
          <w:rFonts w:ascii="Verdana" w:hAnsi="Verdana"/>
          <w:i/>
          <w:spacing w:val="-3"/>
          <w:sz w:val="20"/>
        </w:rPr>
        <w:t>maroons,</w:t>
      </w:r>
      <w:r w:rsidRPr="00897911">
        <w:rPr>
          <w:rFonts w:ascii="Verdana" w:hAnsi="Verdana"/>
          <w:spacing w:val="-3"/>
          <w:sz w:val="20"/>
        </w:rPr>
        <w:t xml:space="preserve"> - à qual pertenciam as vítimas</w:t>
      </w:r>
      <w:r w:rsidR="00C60678" w:rsidRPr="00897911">
        <w:rPr>
          <w:rFonts w:ascii="Verdana" w:hAnsi="Verdana"/>
          <w:spacing w:val="-3"/>
          <w:sz w:val="20"/>
        </w:rPr>
        <w:t>)</w:t>
      </w:r>
      <w:r w:rsidRPr="00897911">
        <w:rPr>
          <w:rFonts w:ascii="Verdana" w:hAnsi="Verdana"/>
          <w:spacing w:val="-3"/>
          <w:sz w:val="20"/>
        </w:rPr>
        <w:t xml:space="preserve">, onde prevalecia </w:t>
      </w:r>
      <w:proofErr w:type="gramStart"/>
      <w:r w:rsidRPr="00897911">
        <w:rPr>
          <w:rFonts w:ascii="Verdana" w:hAnsi="Verdana"/>
          <w:spacing w:val="-3"/>
          <w:sz w:val="20"/>
        </w:rPr>
        <w:t>a</w:t>
      </w:r>
      <w:proofErr w:type="gramEnd"/>
      <w:r w:rsidRPr="00897911">
        <w:rPr>
          <w:rFonts w:ascii="Verdana" w:hAnsi="Verdana"/>
          <w:spacing w:val="-3"/>
          <w:sz w:val="20"/>
        </w:rPr>
        <w:t xml:space="preserve"> poligamia, de modo a estender o montante das reparações de danos às diversas viúvas e seus filhos.</w:t>
      </w:r>
      <w:r w:rsidRPr="00897911">
        <w:rPr>
          <w:rStyle w:val="Refdenotaalpie"/>
          <w:rFonts w:ascii="Verdana" w:hAnsi="Verdana"/>
          <w:spacing w:val="-3"/>
          <w:sz w:val="20"/>
        </w:rPr>
        <w:footnoteReference w:id="76"/>
      </w:r>
      <w:r w:rsidRPr="00897911">
        <w:rPr>
          <w:rFonts w:ascii="Verdana" w:hAnsi="Verdana"/>
          <w:spacing w:val="-3"/>
          <w:sz w:val="20"/>
        </w:rPr>
        <w:t xml:space="preserve"> </w:t>
      </w:r>
    </w:p>
    <w:p w:rsidR="00CD10A6" w:rsidRPr="00897911" w:rsidRDefault="00CD10A6" w:rsidP="00CD10A6">
      <w:pPr>
        <w:suppressAutoHyphens/>
        <w:jc w:val="both"/>
        <w:rPr>
          <w:rFonts w:ascii="Verdana" w:hAnsi="Verdana"/>
          <w:spacing w:val="-3"/>
          <w:sz w:val="20"/>
        </w:rPr>
      </w:pPr>
    </w:p>
    <w:p w:rsidR="00CD10A6" w:rsidRPr="001A3E80" w:rsidRDefault="00CD10A6" w:rsidP="00CD10A6">
      <w:pPr>
        <w:suppressAutoHyphens/>
        <w:jc w:val="both"/>
        <w:rPr>
          <w:rFonts w:ascii="Verdana" w:hAnsi="Verdana"/>
          <w:spacing w:val="-3"/>
          <w:sz w:val="20"/>
        </w:rPr>
      </w:pPr>
      <w:r w:rsidRPr="00897911">
        <w:rPr>
          <w:rFonts w:ascii="Verdana" w:hAnsi="Verdana"/>
          <w:spacing w:val="-3"/>
          <w:sz w:val="20"/>
        </w:rPr>
        <w:t>13.</w:t>
      </w:r>
      <w:r w:rsidRPr="00897911">
        <w:rPr>
          <w:rFonts w:ascii="Verdana" w:hAnsi="Verdana"/>
          <w:spacing w:val="-3"/>
          <w:sz w:val="20"/>
        </w:rPr>
        <w:tab/>
        <w:t xml:space="preserve">No caso </w:t>
      </w:r>
      <w:r w:rsidRPr="00897911">
        <w:rPr>
          <w:rFonts w:ascii="Verdana" w:hAnsi="Verdana"/>
          <w:i/>
          <w:spacing w:val="-3"/>
          <w:sz w:val="20"/>
        </w:rPr>
        <w:t>Bámaca Velasquez versus Guatemala</w:t>
      </w:r>
      <w:r w:rsidRPr="001A3E80">
        <w:rPr>
          <w:rFonts w:ascii="Verdana" w:hAnsi="Verdana"/>
          <w:spacing w:val="-3"/>
          <w:sz w:val="20"/>
        </w:rPr>
        <w:t xml:space="preserve"> </w:t>
      </w:r>
      <w:r w:rsidR="00C60678" w:rsidRPr="00C60678">
        <w:rPr>
          <w:rFonts w:ascii="Verdana" w:hAnsi="Verdana"/>
          <w:spacing w:val="-3"/>
          <w:sz w:val="20"/>
        </w:rPr>
        <w:t>(</w:t>
      </w:r>
      <w:r w:rsidRPr="001A3E80">
        <w:rPr>
          <w:rFonts w:ascii="Verdana" w:hAnsi="Verdana"/>
          <w:spacing w:val="-3"/>
          <w:sz w:val="20"/>
        </w:rPr>
        <w:t>Mérito, Sentença de 25</w:t>
      </w:r>
      <w:r>
        <w:rPr>
          <w:rFonts w:ascii="Verdana" w:hAnsi="Verdana"/>
          <w:spacing w:val="-3"/>
          <w:sz w:val="20"/>
        </w:rPr>
        <w:t xml:space="preserve"> de novembro de </w:t>
      </w:r>
      <w:r w:rsidRPr="001A3E80">
        <w:rPr>
          <w:rFonts w:ascii="Verdana" w:hAnsi="Verdana"/>
          <w:spacing w:val="-3"/>
          <w:sz w:val="20"/>
        </w:rPr>
        <w:t>2000</w:t>
      </w:r>
      <w:r w:rsidR="00C60678" w:rsidRPr="00C60678">
        <w:rPr>
          <w:rFonts w:ascii="Verdana" w:hAnsi="Verdana"/>
          <w:spacing w:val="-3"/>
          <w:sz w:val="20"/>
        </w:rPr>
        <w:t>)</w:t>
      </w:r>
      <w:r w:rsidRPr="001A3E80">
        <w:rPr>
          <w:rFonts w:ascii="Verdana" w:hAnsi="Verdana"/>
          <w:spacing w:val="-3"/>
          <w:sz w:val="20"/>
        </w:rPr>
        <w:t xml:space="preserve">, a Corte levou em devida consideração o direito dos familiares da pessoa </w:t>
      </w:r>
      <w:r w:rsidR="006226F7">
        <w:rPr>
          <w:rFonts w:ascii="Verdana" w:hAnsi="Verdana"/>
          <w:spacing w:val="-3"/>
          <w:sz w:val="20"/>
        </w:rPr>
        <w:t>forçadamente</w:t>
      </w:r>
      <w:r w:rsidR="006226F7" w:rsidRPr="001A3E80">
        <w:rPr>
          <w:rFonts w:ascii="Verdana" w:hAnsi="Verdana"/>
          <w:spacing w:val="-3"/>
          <w:sz w:val="20"/>
        </w:rPr>
        <w:t xml:space="preserve"> </w:t>
      </w:r>
      <w:r w:rsidRPr="001A3E80">
        <w:rPr>
          <w:rFonts w:ascii="Verdana" w:hAnsi="Verdana"/>
          <w:spacing w:val="-3"/>
          <w:sz w:val="20"/>
        </w:rPr>
        <w:t xml:space="preserve">desaparecida a uma sepultura digna aos restos mortais desta e a repercussão da questão na cultura </w:t>
      </w:r>
      <w:r w:rsidRPr="004D6374">
        <w:rPr>
          <w:rFonts w:ascii="Verdana" w:hAnsi="Verdana"/>
          <w:spacing w:val="-3"/>
          <w:sz w:val="20"/>
        </w:rPr>
        <w:t>maia.</w:t>
      </w:r>
      <w:r w:rsidRPr="004D6374">
        <w:rPr>
          <w:rStyle w:val="Refdenotaalpie"/>
          <w:rFonts w:ascii="Verdana" w:hAnsi="Verdana"/>
          <w:spacing w:val="-3"/>
          <w:sz w:val="20"/>
        </w:rPr>
        <w:footnoteReference w:id="77"/>
      </w:r>
      <w:r w:rsidRPr="004D6374">
        <w:rPr>
          <w:rFonts w:ascii="Verdana" w:hAnsi="Verdana"/>
          <w:spacing w:val="-3"/>
          <w:sz w:val="20"/>
        </w:rPr>
        <w:t xml:space="preserve"> Mas</w:t>
      </w:r>
      <w:r w:rsidRPr="001A3E80">
        <w:rPr>
          <w:rFonts w:ascii="Verdana" w:hAnsi="Verdana"/>
          <w:spacing w:val="-3"/>
          <w:sz w:val="20"/>
        </w:rPr>
        <w:t xml:space="preserve">, nesta Sentença sobre o mérito no caso da </w:t>
      </w:r>
      <w:r w:rsidRPr="001A3E80">
        <w:rPr>
          <w:rFonts w:ascii="Verdana" w:hAnsi="Verdana"/>
          <w:i/>
          <w:spacing w:val="-3"/>
          <w:sz w:val="20"/>
        </w:rPr>
        <w:t>Comunida</w:t>
      </w:r>
      <w:r>
        <w:rPr>
          <w:rFonts w:ascii="Verdana" w:hAnsi="Verdana"/>
          <w:i/>
          <w:spacing w:val="-3"/>
          <w:sz w:val="20"/>
        </w:rPr>
        <w:t>d</w:t>
      </w:r>
      <w:r w:rsidRPr="001A3E80">
        <w:rPr>
          <w:rFonts w:ascii="Verdana" w:hAnsi="Verdana"/>
          <w:i/>
          <w:spacing w:val="-3"/>
          <w:sz w:val="20"/>
        </w:rPr>
        <w:t xml:space="preserve">e Mayagna </w:t>
      </w:r>
      <w:r w:rsidR="00C60678" w:rsidRPr="00C60678">
        <w:rPr>
          <w:rFonts w:ascii="Verdana" w:hAnsi="Verdana"/>
          <w:spacing w:val="-3"/>
          <w:sz w:val="20"/>
        </w:rPr>
        <w:t>(</w:t>
      </w:r>
      <w:r w:rsidRPr="001A3E80">
        <w:rPr>
          <w:rFonts w:ascii="Verdana" w:hAnsi="Verdana"/>
          <w:i/>
          <w:spacing w:val="-3"/>
          <w:sz w:val="20"/>
        </w:rPr>
        <w:t>Sumo</w:t>
      </w:r>
      <w:r w:rsidR="00C60678" w:rsidRPr="00C60678">
        <w:rPr>
          <w:rFonts w:ascii="Verdana" w:hAnsi="Verdana"/>
          <w:spacing w:val="-3"/>
          <w:sz w:val="20"/>
        </w:rPr>
        <w:t>)</w:t>
      </w:r>
      <w:r w:rsidRPr="001A3E80">
        <w:rPr>
          <w:rFonts w:ascii="Verdana" w:hAnsi="Verdana"/>
          <w:i/>
          <w:spacing w:val="-3"/>
          <w:sz w:val="20"/>
        </w:rPr>
        <w:t xml:space="preserve"> Awas Tingni,</w:t>
      </w:r>
      <w:r w:rsidRPr="001A3E80">
        <w:rPr>
          <w:rFonts w:ascii="Verdana" w:hAnsi="Verdana"/>
          <w:spacing w:val="-3"/>
          <w:sz w:val="20"/>
        </w:rPr>
        <w:t xml:space="preserve"> a Corte, pela primeira vez, aprofunda na análise da matéria, em uma aproximação a uma interpretação integral da cosmovisão indígena, como ponto central da presente Sentença.</w:t>
      </w:r>
    </w:p>
    <w:p w:rsidR="00CD10A6" w:rsidRPr="001A3E80" w:rsidRDefault="00CD10A6" w:rsidP="00CD10A6">
      <w:pPr>
        <w:suppressAutoHyphens/>
        <w:jc w:val="both"/>
        <w:rPr>
          <w:rFonts w:ascii="Verdana" w:hAnsi="Verdana"/>
          <w:spacing w:val="-3"/>
          <w:sz w:val="20"/>
        </w:rPr>
      </w:pPr>
    </w:p>
    <w:p w:rsidR="00CD10A6" w:rsidRPr="001A3E80" w:rsidRDefault="00CD10A6" w:rsidP="00CD10A6">
      <w:pPr>
        <w:suppressAutoHyphens/>
        <w:jc w:val="both"/>
        <w:rPr>
          <w:rFonts w:ascii="Verdana" w:hAnsi="Verdana"/>
          <w:spacing w:val="-3"/>
          <w:sz w:val="20"/>
        </w:rPr>
      </w:pPr>
      <w:r w:rsidRPr="001A3E80">
        <w:rPr>
          <w:rFonts w:ascii="Verdana" w:hAnsi="Verdana"/>
          <w:spacing w:val="-3"/>
          <w:sz w:val="20"/>
        </w:rPr>
        <w:t>14.</w:t>
      </w:r>
      <w:r w:rsidRPr="001A3E80">
        <w:rPr>
          <w:rFonts w:ascii="Verdana" w:hAnsi="Verdana"/>
          <w:spacing w:val="-3"/>
          <w:sz w:val="20"/>
        </w:rPr>
        <w:tab/>
        <w:t xml:space="preserve">De fato, muitas são, em nossos dias, as sociedades multiculturais, e a atenção devida à diversidade cultural nos parece que constitui um requisito essencial para assegurar a eficácia das normas de proteção dos direitos humanos, nos planos nacional e internacional. Do mesmo modo, consideramos que a invocação das manifestações culturais não pode atentar contra os padrões universalmente reconhecidos de observância e respeito aos direitos fundamentais da pessoa humana. Assim, </w:t>
      </w:r>
      <w:proofErr w:type="gramStart"/>
      <w:r w:rsidRPr="001A3E80">
        <w:rPr>
          <w:rFonts w:ascii="Verdana" w:hAnsi="Verdana"/>
          <w:spacing w:val="-3"/>
          <w:sz w:val="20"/>
        </w:rPr>
        <w:t>ao mesmo tempo que</w:t>
      </w:r>
      <w:proofErr w:type="gramEnd"/>
      <w:r w:rsidRPr="001A3E80">
        <w:rPr>
          <w:rFonts w:ascii="Verdana" w:hAnsi="Verdana"/>
          <w:spacing w:val="-3"/>
          <w:sz w:val="20"/>
        </w:rPr>
        <w:t xml:space="preserve"> afirmamos a importância da atenção devida à </w:t>
      </w:r>
      <w:r w:rsidRPr="001A3E80">
        <w:rPr>
          <w:rFonts w:ascii="Verdana" w:hAnsi="Verdana"/>
          <w:i/>
          <w:spacing w:val="-3"/>
          <w:sz w:val="20"/>
        </w:rPr>
        <w:t xml:space="preserve">diversidade </w:t>
      </w:r>
      <w:r w:rsidRPr="001A3E80">
        <w:rPr>
          <w:rFonts w:ascii="Verdana" w:hAnsi="Verdana"/>
          <w:spacing w:val="-3"/>
          <w:sz w:val="20"/>
        </w:rPr>
        <w:t>cultural, inclusive para o reconhecimento da universalidade dos direitos humanos, recusamos com firmeza as distorções do chamado “relativismo” cultural.</w:t>
      </w:r>
    </w:p>
    <w:p w:rsidR="00CD10A6" w:rsidRPr="001A3E80" w:rsidRDefault="00CD10A6" w:rsidP="00CD10A6">
      <w:pPr>
        <w:suppressAutoHyphens/>
        <w:jc w:val="both"/>
        <w:rPr>
          <w:rFonts w:ascii="Verdana" w:hAnsi="Verdana"/>
          <w:spacing w:val="-3"/>
          <w:sz w:val="20"/>
        </w:rPr>
      </w:pPr>
    </w:p>
    <w:p w:rsidR="00CD10A6" w:rsidRPr="00D62175" w:rsidRDefault="00CD10A6" w:rsidP="00CD10A6">
      <w:pPr>
        <w:suppressAutoHyphens/>
        <w:jc w:val="both"/>
      </w:pPr>
      <w:r w:rsidRPr="001A3E80">
        <w:rPr>
          <w:rFonts w:ascii="Verdana" w:hAnsi="Verdana"/>
          <w:spacing w:val="-3"/>
          <w:sz w:val="20"/>
        </w:rPr>
        <w:lastRenderedPageBreak/>
        <w:t>15.</w:t>
      </w:r>
      <w:r w:rsidRPr="001A3E80">
        <w:rPr>
          <w:rFonts w:ascii="Verdana" w:hAnsi="Verdana"/>
          <w:spacing w:val="-3"/>
          <w:sz w:val="20"/>
        </w:rPr>
        <w:tab/>
        <w:t xml:space="preserve">A interpretação e aplicação dadas pela Corte Interamericana ao conteúdo normativo do artigo 21 da Convenção Americana e no presente caso da </w:t>
      </w:r>
      <w:r w:rsidRPr="001A3E80">
        <w:rPr>
          <w:rFonts w:ascii="Verdana" w:hAnsi="Verdana"/>
          <w:i/>
          <w:spacing w:val="-3"/>
          <w:sz w:val="20"/>
        </w:rPr>
        <w:t xml:space="preserve">Comunidade Mayagna </w:t>
      </w:r>
      <w:r w:rsidR="00C60678" w:rsidRPr="00C60678">
        <w:rPr>
          <w:rFonts w:ascii="Verdana" w:hAnsi="Verdana"/>
          <w:spacing w:val="-3"/>
          <w:sz w:val="20"/>
        </w:rPr>
        <w:t>(</w:t>
      </w:r>
      <w:r w:rsidRPr="001A3E80">
        <w:rPr>
          <w:rFonts w:ascii="Verdana" w:hAnsi="Verdana"/>
          <w:i/>
          <w:spacing w:val="-3"/>
          <w:sz w:val="20"/>
        </w:rPr>
        <w:t>Sumo</w:t>
      </w:r>
      <w:r w:rsidR="00C60678" w:rsidRPr="00C60678">
        <w:rPr>
          <w:rFonts w:ascii="Verdana" w:hAnsi="Verdana"/>
          <w:spacing w:val="-3"/>
          <w:sz w:val="20"/>
        </w:rPr>
        <w:t>)</w:t>
      </w:r>
      <w:r w:rsidRPr="001A3E80">
        <w:rPr>
          <w:rFonts w:ascii="Verdana" w:hAnsi="Verdana"/>
          <w:i/>
          <w:spacing w:val="-3"/>
          <w:sz w:val="20"/>
        </w:rPr>
        <w:t xml:space="preserve"> Awas Tingni</w:t>
      </w:r>
      <w:r w:rsidRPr="001A3E80">
        <w:rPr>
          <w:rFonts w:ascii="Verdana" w:hAnsi="Verdana"/>
          <w:spacing w:val="-3"/>
          <w:sz w:val="20"/>
        </w:rPr>
        <w:t xml:space="preserve"> representam, </w:t>
      </w:r>
      <w:r w:rsidR="00BC27FB">
        <w:rPr>
          <w:rFonts w:ascii="Verdana" w:hAnsi="Verdana"/>
          <w:spacing w:val="-3"/>
          <w:sz w:val="20"/>
        </w:rPr>
        <w:t>em</w:t>
      </w:r>
      <w:r w:rsidRPr="001A3E80">
        <w:rPr>
          <w:rFonts w:ascii="Verdana" w:hAnsi="Verdana"/>
          <w:spacing w:val="-3"/>
          <w:sz w:val="20"/>
        </w:rPr>
        <w:t xml:space="preserve"> nosso modo de ver, uma contribuição positiva à proteção da forma comunal de propriedade prevalecente entre os membros de dita Comunidade. Esta concepção comunal, </w:t>
      </w:r>
      <w:r w:rsidR="00BC27FB">
        <w:rPr>
          <w:rFonts w:ascii="Verdana" w:hAnsi="Verdana"/>
          <w:spacing w:val="-3"/>
          <w:sz w:val="20"/>
        </w:rPr>
        <w:t>além</w:t>
      </w:r>
      <w:r w:rsidR="00BC27FB" w:rsidRPr="001A3E80">
        <w:rPr>
          <w:rFonts w:ascii="Verdana" w:hAnsi="Verdana"/>
          <w:spacing w:val="-3"/>
          <w:sz w:val="20"/>
        </w:rPr>
        <w:t xml:space="preserve"> </w:t>
      </w:r>
      <w:r w:rsidRPr="001A3E80">
        <w:rPr>
          <w:rFonts w:ascii="Verdana" w:hAnsi="Verdana"/>
          <w:spacing w:val="-3"/>
          <w:sz w:val="20"/>
        </w:rPr>
        <w:t>dos valores nela subjacentes, tem uma cosmovisão própria e uma importante dimensão intertemporal, ao manifestar os laços de solidariedade humana que vinculam os vivos com seus mortos e com os que estão por vir.</w:t>
      </w:r>
    </w:p>
    <w:p w:rsidR="00CD10A6" w:rsidRPr="001A3E80" w:rsidRDefault="00CD10A6" w:rsidP="00CD10A6">
      <w:pPr>
        <w:suppressAutoHyphens/>
        <w:jc w:val="both"/>
        <w:rPr>
          <w:rFonts w:ascii="Verdana" w:hAnsi="Verdana"/>
          <w:spacing w:val="-3"/>
          <w:sz w:val="20"/>
        </w:rPr>
      </w:pPr>
    </w:p>
    <w:p w:rsidR="00CD10A6" w:rsidRPr="001A3E80" w:rsidRDefault="00CD10A6" w:rsidP="00CD10A6">
      <w:pPr>
        <w:pStyle w:val="Epgrafe"/>
        <w:tabs>
          <w:tab w:val="center" w:pos="1980"/>
          <w:tab w:val="center" w:pos="7200"/>
        </w:tabs>
        <w:ind w:left="180"/>
        <w:jc w:val="left"/>
        <w:rPr>
          <w:rFonts w:ascii="Verdana" w:hAnsi="Verdana"/>
          <w:caps/>
          <w:smallCaps w:val="0"/>
          <w:sz w:val="20"/>
        </w:rPr>
      </w:pPr>
      <w:r w:rsidRPr="001A3E80">
        <w:rPr>
          <w:rFonts w:ascii="Verdana" w:hAnsi="Verdana"/>
          <w:caps/>
          <w:smallCaps w:val="0"/>
          <w:sz w:val="20"/>
        </w:rPr>
        <w:tab/>
      </w:r>
    </w:p>
    <w:p w:rsidR="00CD10A6" w:rsidRPr="00BF0DE0" w:rsidRDefault="00CD10A6" w:rsidP="00CD10A6">
      <w:pPr>
        <w:pStyle w:val="Encabezado"/>
        <w:tabs>
          <w:tab w:val="clear" w:pos="4320"/>
          <w:tab w:val="clear" w:pos="8640"/>
          <w:tab w:val="left" w:pos="0"/>
          <w:tab w:val="center" w:pos="1890"/>
          <w:tab w:val="center" w:pos="7200"/>
        </w:tabs>
        <w:rPr>
          <w:rFonts w:ascii="Verdana" w:hAnsi="Verdana"/>
          <w:sz w:val="20"/>
        </w:rPr>
      </w:pPr>
      <w:r w:rsidRPr="00BF0DE0">
        <w:rPr>
          <w:rFonts w:ascii="Verdana" w:hAnsi="Verdana"/>
          <w:sz w:val="20"/>
        </w:rPr>
        <w:t>Antônio Augusto Cançado Trindade</w:t>
      </w:r>
      <w:r w:rsidRPr="00BF0DE0">
        <w:rPr>
          <w:rFonts w:ascii="Verdana" w:hAnsi="Verdana"/>
          <w:sz w:val="20"/>
        </w:rPr>
        <w:tab/>
        <w:t>Máximo Pacheco Gómez</w:t>
      </w:r>
    </w:p>
    <w:p w:rsidR="00CD10A6" w:rsidRPr="00BF0DE0" w:rsidRDefault="00CD10A6" w:rsidP="00CD10A6">
      <w:pPr>
        <w:tabs>
          <w:tab w:val="center" w:pos="1890"/>
          <w:tab w:val="center" w:pos="7200"/>
        </w:tabs>
        <w:rPr>
          <w:rFonts w:ascii="Verdana" w:hAnsi="Verdana"/>
          <w:sz w:val="20"/>
        </w:rPr>
      </w:pPr>
      <w:r w:rsidRPr="00BF0DE0">
        <w:rPr>
          <w:rFonts w:ascii="Verdana" w:hAnsi="Verdana"/>
          <w:sz w:val="20"/>
        </w:rPr>
        <w:tab/>
        <w:t>Juiz</w:t>
      </w:r>
      <w:r w:rsidRPr="00BF0DE0">
        <w:rPr>
          <w:rFonts w:ascii="Verdana" w:hAnsi="Verdana"/>
          <w:sz w:val="20"/>
        </w:rPr>
        <w:tab/>
        <w:t>Juiz</w:t>
      </w:r>
    </w:p>
    <w:p w:rsidR="00CD10A6" w:rsidRPr="00BF0DE0" w:rsidRDefault="00CD10A6" w:rsidP="00CD10A6">
      <w:pPr>
        <w:tabs>
          <w:tab w:val="right" w:pos="8550"/>
        </w:tabs>
        <w:jc w:val="both"/>
        <w:rPr>
          <w:rFonts w:ascii="Verdana" w:hAnsi="Verdana"/>
          <w:sz w:val="20"/>
        </w:rPr>
      </w:pPr>
    </w:p>
    <w:p w:rsidR="00CD10A6" w:rsidRPr="00BF0DE0" w:rsidRDefault="00CD10A6" w:rsidP="00CD10A6">
      <w:pPr>
        <w:tabs>
          <w:tab w:val="right" w:pos="8640"/>
        </w:tabs>
        <w:jc w:val="center"/>
        <w:rPr>
          <w:rFonts w:ascii="Verdana" w:hAnsi="Verdana"/>
          <w:sz w:val="20"/>
        </w:rPr>
      </w:pPr>
      <w:r w:rsidRPr="00BF0DE0">
        <w:rPr>
          <w:rFonts w:ascii="Verdana" w:hAnsi="Verdana"/>
          <w:sz w:val="20"/>
        </w:rPr>
        <w:t>Alirio Abreu Burelli</w:t>
      </w:r>
    </w:p>
    <w:p w:rsidR="00CD10A6" w:rsidRPr="00BF0DE0" w:rsidRDefault="00CD10A6" w:rsidP="00CD10A6">
      <w:pPr>
        <w:tabs>
          <w:tab w:val="right" w:pos="8640"/>
        </w:tabs>
        <w:jc w:val="center"/>
        <w:rPr>
          <w:rFonts w:ascii="Verdana" w:hAnsi="Verdana"/>
          <w:sz w:val="20"/>
        </w:rPr>
      </w:pPr>
      <w:r w:rsidRPr="00BF0DE0">
        <w:rPr>
          <w:rFonts w:ascii="Verdana" w:hAnsi="Verdana"/>
          <w:sz w:val="20"/>
        </w:rPr>
        <w:t>Ju</w:t>
      </w:r>
      <w:r w:rsidR="00BC27FB">
        <w:rPr>
          <w:rFonts w:ascii="Verdana" w:hAnsi="Verdana"/>
          <w:sz w:val="20"/>
        </w:rPr>
        <w:t>i</w:t>
      </w:r>
      <w:r w:rsidRPr="00BF0DE0">
        <w:rPr>
          <w:rFonts w:ascii="Verdana" w:hAnsi="Verdana"/>
          <w:sz w:val="20"/>
        </w:rPr>
        <w:t>z</w:t>
      </w:r>
    </w:p>
    <w:p w:rsidR="00CD10A6" w:rsidRPr="00BF0DE0" w:rsidRDefault="00CD10A6" w:rsidP="00CD10A6">
      <w:pPr>
        <w:pStyle w:val="Init1"/>
        <w:tabs>
          <w:tab w:val="clear" w:pos="600"/>
          <w:tab w:val="clear" w:pos="1200"/>
          <w:tab w:val="clear" w:pos="1800"/>
          <w:tab w:val="clear" w:pos="4320"/>
          <w:tab w:val="clear" w:pos="6240"/>
          <w:tab w:val="clear" w:pos="8760"/>
        </w:tabs>
        <w:suppressAutoHyphens/>
        <w:spacing w:line="240" w:lineRule="auto"/>
        <w:rPr>
          <w:rFonts w:ascii="Verdana" w:hAnsi="Verdana"/>
          <w:spacing w:val="-3"/>
          <w:sz w:val="20"/>
        </w:rPr>
      </w:pPr>
    </w:p>
    <w:p w:rsidR="00D62175" w:rsidRDefault="00D62175" w:rsidP="00CD10A6">
      <w:pPr>
        <w:jc w:val="center"/>
        <w:rPr>
          <w:rFonts w:ascii="Verdana" w:hAnsi="Verdana"/>
          <w:sz w:val="20"/>
        </w:rPr>
      </w:pPr>
    </w:p>
    <w:p w:rsidR="00CD10A6" w:rsidRPr="00BF0DE0" w:rsidRDefault="00CD10A6" w:rsidP="00CD10A6">
      <w:pPr>
        <w:jc w:val="center"/>
        <w:rPr>
          <w:rFonts w:ascii="Verdana" w:hAnsi="Verdana"/>
          <w:sz w:val="20"/>
        </w:rPr>
      </w:pPr>
      <w:r w:rsidRPr="00BF0DE0">
        <w:rPr>
          <w:rFonts w:ascii="Verdana" w:hAnsi="Verdana"/>
          <w:sz w:val="20"/>
        </w:rPr>
        <w:t>Manuel E. Ventura Robles</w:t>
      </w:r>
    </w:p>
    <w:p w:rsidR="00CD10A6" w:rsidRPr="001A3E80" w:rsidRDefault="00CD10A6" w:rsidP="00CD10A6">
      <w:pPr>
        <w:jc w:val="center"/>
        <w:rPr>
          <w:rFonts w:ascii="Verdana" w:hAnsi="Verdana"/>
          <w:sz w:val="20"/>
        </w:rPr>
      </w:pPr>
      <w:r w:rsidRPr="00BF0DE0">
        <w:rPr>
          <w:rFonts w:ascii="Verdana" w:hAnsi="Verdana"/>
          <w:sz w:val="20"/>
        </w:rPr>
        <w:t>Secretário</w:t>
      </w:r>
    </w:p>
    <w:p w:rsidR="00CD10A6" w:rsidRPr="001A3E80" w:rsidRDefault="00CD10A6" w:rsidP="00CD10A6"/>
    <w:p w:rsidR="009F4CDF" w:rsidRDefault="009F4CDF" w:rsidP="00C336FB">
      <w:pPr>
        <w:rPr>
          <w:rFonts w:ascii="Verdana" w:hAnsi="Verdana"/>
          <w:sz w:val="20"/>
        </w:rPr>
      </w:pPr>
    </w:p>
    <w:p w:rsidR="006C04AC" w:rsidRPr="009F4CDF" w:rsidRDefault="009F4CDF" w:rsidP="009F4CDF">
      <w:pPr>
        <w:jc w:val="center"/>
        <w:rPr>
          <w:rFonts w:ascii="Verdana" w:hAnsi="Verdana"/>
          <w:b/>
          <w:sz w:val="20"/>
        </w:rPr>
      </w:pPr>
      <w:r w:rsidRPr="009F4CDF">
        <w:rPr>
          <w:rFonts w:ascii="Verdana" w:hAnsi="Verdana"/>
          <w:b/>
          <w:sz w:val="20"/>
        </w:rPr>
        <w:br w:type="page"/>
      </w:r>
      <w:r w:rsidR="006C04AC" w:rsidRPr="009F4CDF">
        <w:rPr>
          <w:rFonts w:ascii="Verdana" w:hAnsi="Verdana"/>
          <w:b/>
          <w:sz w:val="20"/>
        </w:rPr>
        <w:lastRenderedPageBreak/>
        <w:t>VOTO FUNDAMENTADO CONCORDANTE DO</w:t>
      </w:r>
    </w:p>
    <w:p w:rsidR="006C04AC" w:rsidRPr="005E2C37" w:rsidRDefault="006C04AC" w:rsidP="006C04AC">
      <w:pPr>
        <w:pStyle w:val="Ttulo"/>
        <w:rPr>
          <w:rFonts w:ascii="Verdana" w:hAnsi="Verdana"/>
          <w:sz w:val="20"/>
        </w:rPr>
      </w:pPr>
      <w:r w:rsidRPr="005E2C37">
        <w:rPr>
          <w:rFonts w:ascii="Verdana" w:hAnsi="Verdana"/>
          <w:sz w:val="20"/>
        </w:rPr>
        <w:t>JUIZ HERNÁN SALGADO PESANTES</w:t>
      </w:r>
    </w:p>
    <w:p w:rsidR="006C04AC" w:rsidRPr="005E2C37" w:rsidRDefault="006C04AC" w:rsidP="006C04AC">
      <w:pPr>
        <w:jc w:val="center"/>
        <w:rPr>
          <w:rFonts w:ascii="Verdana" w:hAnsi="Verdana"/>
          <w:smallCaps/>
          <w:sz w:val="20"/>
        </w:rPr>
      </w:pP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No presente caso, permito-me agregar algumas considerações.</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noProof/>
          <w:sz w:val="20"/>
        </w:rPr>
      </w:pPr>
      <w:r w:rsidRPr="005E2C37">
        <w:rPr>
          <w:rFonts w:ascii="Verdana" w:hAnsi="Verdana"/>
          <w:noProof/>
          <w:sz w:val="20"/>
        </w:rPr>
        <w:t>1.</w:t>
      </w:r>
      <w:r w:rsidRPr="005E2C37">
        <w:rPr>
          <w:rFonts w:ascii="Verdana" w:hAnsi="Verdana"/>
          <w:noProof/>
          <w:sz w:val="20"/>
        </w:rPr>
        <w:tab/>
        <w:t>A posse da terra por parte dos povos e comunidades indígenas, seja a título de propriedade comunal ou de possessão ancestral, foi reconhecida em nosso continente como um direito e muitos países l</w:t>
      </w:r>
      <w:r w:rsidR="00C6474D">
        <w:rPr>
          <w:rFonts w:ascii="Verdana" w:hAnsi="Verdana"/>
          <w:noProof/>
          <w:sz w:val="20"/>
        </w:rPr>
        <w:t>atinoamericanos o consagraram em</w:t>
      </w:r>
      <w:r w:rsidRPr="005E2C37">
        <w:rPr>
          <w:rFonts w:ascii="Verdana" w:hAnsi="Verdana"/>
          <w:noProof/>
          <w:sz w:val="20"/>
        </w:rPr>
        <w:t xml:space="preserve"> nível constitucional.</w:t>
      </w:r>
    </w:p>
    <w:p w:rsidR="006C04AC" w:rsidRPr="005E2C37" w:rsidRDefault="006C04AC" w:rsidP="006C04AC">
      <w:pPr>
        <w:jc w:val="both"/>
        <w:rPr>
          <w:rFonts w:ascii="Verdana" w:hAnsi="Verdana"/>
          <w:sz w:val="20"/>
        </w:rPr>
      </w:pPr>
    </w:p>
    <w:p w:rsidR="006C04AC" w:rsidRPr="005E2C37" w:rsidRDefault="006C04AC" w:rsidP="006C04AC">
      <w:pPr>
        <w:pStyle w:val="Textoindependiente"/>
        <w:widowControl/>
        <w:rPr>
          <w:rFonts w:ascii="Verdana" w:hAnsi="Verdana"/>
          <w:noProof/>
          <w:sz w:val="20"/>
          <w:lang w:val="pt-BR"/>
        </w:rPr>
      </w:pPr>
      <w:r w:rsidRPr="005E2C37">
        <w:rPr>
          <w:rFonts w:ascii="Verdana" w:hAnsi="Verdana"/>
          <w:noProof/>
          <w:sz w:val="20"/>
          <w:lang w:val="pt-BR"/>
        </w:rPr>
        <w:t>2.</w:t>
      </w:r>
      <w:r w:rsidRPr="005E2C37">
        <w:rPr>
          <w:rFonts w:ascii="Verdana" w:hAnsi="Verdana"/>
          <w:noProof/>
          <w:sz w:val="20"/>
          <w:lang w:val="pt-BR"/>
        </w:rPr>
        <w:tab/>
        <w:t>Este direito à terra, reivindicado pelos indígenas, inscreve-se no direito à propriedade; no entanto ultrapassa este conceito tradicional no qu</w:t>
      </w:r>
      <w:r w:rsidR="00BC27FB">
        <w:rPr>
          <w:rFonts w:ascii="Verdana" w:hAnsi="Verdana"/>
          <w:noProof/>
          <w:sz w:val="20"/>
          <w:lang w:val="pt-BR"/>
        </w:rPr>
        <w:t>al</w:t>
      </w:r>
      <w:r w:rsidRPr="005E2C37">
        <w:rPr>
          <w:rFonts w:ascii="Verdana" w:hAnsi="Verdana"/>
          <w:noProof/>
          <w:sz w:val="20"/>
          <w:lang w:val="pt-BR"/>
        </w:rPr>
        <w:t xml:space="preserve"> prima a relação individual. Por outro lado, a propriedade comunal ou coletiva cumpre da melhor maneira a exigência ineludível da função social porque esta é parte de sua natureza.</w:t>
      </w:r>
    </w:p>
    <w:p w:rsidR="006C04AC" w:rsidRPr="005E2C37" w:rsidRDefault="006C04AC" w:rsidP="006C04AC">
      <w:pPr>
        <w:pStyle w:val="Textoindependiente"/>
        <w:widowControl/>
        <w:rPr>
          <w:rFonts w:ascii="Verdana" w:hAnsi="Verdana"/>
          <w:noProof/>
          <w:sz w:val="20"/>
          <w:lang w:val="pt-BR"/>
        </w:rPr>
      </w:pPr>
    </w:p>
    <w:p w:rsidR="006C04AC" w:rsidRPr="005E2C37" w:rsidRDefault="00DA6FC7" w:rsidP="006C04AC">
      <w:pPr>
        <w:jc w:val="both"/>
        <w:rPr>
          <w:rFonts w:ascii="Verdana" w:hAnsi="Verdana"/>
          <w:sz w:val="20"/>
        </w:rPr>
      </w:pPr>
      <w:r>
        <w:rPr>
          <w:rFonts w:ascii="Verdana" w:hAnsi="Verdana"/>
          <w:sz w:val="20"/>
        </w:rPr>
        <w:t>3.</w:t>
      </w:r>
      <w:r>
        <w:rPr>
          <w:rFonts w:ascii="Verdana" w:hAnsi="Verdana"/>
          <w:sz w:val="20"/>
        </w:rPr>
        <w:tab/>
        <w:t>A contribuição antropológica</w:t>
      </w:r>
      <w:r w:rsidR="006C04AC" w:rsidRPr="005E2C37">
        <w:rPr>
          <w:rFonts w:ascii="Verdana" w:hAnsi="Verdana"/>
          <w:sz w:val="20"/>
        </w:rPr>
        <w:t xml:space="preserve"> do século XX deixou claro que as culturas indígenas têm um vínculo muito particular com a terra secular de seus antepassados, na qual cumprem seu ciclo vital e onde buscam alcançar sua plenitude humana espiritual e material.</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4.</w:t>
      </w:r>
      <w:r w:rsidRPr="005E2C37">
        <w:rPr>
          <w:rFonts w:ascii="Verdana" w:hAnsi="Verdana"/>
          <w:sz w:val="20"/>
        </w:rPr>
        <w:tab/>
        <w:t>Neste caso, no qu</w:t>
      </w:r>
      <w:r w:rsidR="00BC27FB">
        <w:rPr>
          <w:rFonts w:ascii="Verdana" w:hAnsi="Verdana"/>
          <w:sz w:val="20"/>
        </w:rPr>
        <w:t>al</w:t>
      </w:r>
      <w:r w:rsidRPr="005E2C37">
        <w:rPr>
          <w:rFonts w:ascii="Verdana" w:hAnsi="Verdana"/>
          <w:sz w:val="20"/>
        </w:rPr>
        <w:t xml:space="preserve"> existem diversos assentamentos de comunidades indígenas </w:t>
      </w:r>
      <w:r w:rsidR="00C60678" w:rsidRPr="00C60678">
        <w:rPr>
          <w:rFonts w:ascii="Verdana" w:hAnsi="Verdana"/>
          <w:sz w:val="20"/>
        </w:rPr>
        <w:t>(</w:t>
      </w:r>
      <w:r w:rsidRPr="005E2C37">
        <w:rPr>
          <w:rFonts w:ascii="Verdana" w:hAnsi="Verdana"/>
          <w:sz w:val="20"/>
        </w:rPr>
        <w:t>sobrepostos</w:t>
      </w:r>
      <w:r w:rsidR="00C60678" w:rsidRPr="00C60678">
        <w:rPr>
          <w:rFonts w:ascii="Verdana" w:hAnsi="Verdana"/>
          <w:sz w:val="20"/>
        </w:rPr>
        <w:t>)</w:t>
      </w:r>
      <w:r w:rsidRPr="005E2C37">
        <w:rPr>
          <w:rFonts w:ascii="Verdana" w:hAnsi="Verdana"/>
          <w:sz w:val="20"/>
        </w:rPr>
        <w:t>, quando o Estado proceda a delimitar e demarcar a propriedade comunal deve primar um critério de proporcionalidade que consiste em que o Estado, com a participação dos interessados, entregue as terras que são necessárias para desenvolver e garantir as formas de vida de todos os habitantes-membros das comunidades indígenas.</w:t>
      </w:r>
    </w:p>
    <w:p w:rsidR="006C04AC" w:rsidRPr="005E2C37" w:rsidRDefault="006C04AC" w:rsidP="006C04AC">
      <w:pPr>
        <w:jc w:val="both"/>
        <w:rPr>
          <w:rFonts w:ascii="Verdana" w:hAnsi="Verdana"/>
          <w:sz w:val="20"/>
        </w:rPr>
      </w:pPr>
    </w:p>
    <w:p w:rsidR="006C04AC" w:rsidRPr="005E2C37" w:rsidRDefault="006C04AC" w:rsidP="006C04AC">
      <w:pPr>
        <w:pStyle w:val="Textoindependiente"/>
        <w:widowControl/>
        <w:rPr>
          <w:rFonts w:ascii="Verdana" w:hAnsi="Verdana"/>
          <w:noProof/>
          <w:sz w:val="20"/>
          <w:lang w:val="pt-BR"/>
        </w:rPr>
      </w:pPr>
      <w:r w:rsidRPr="005E2C37">
        <w:rPr>
          <w:rFonts w:ascii="Verdana" w:hAnsi="Verdana"/>
          <w:noProof/>
          <w:sz w:val="20"/>
          <w:lang w:val="pt-BR"/>
        </w:rPr>
        <w:t xml:space="preserve">5. </w:t>
      </w:r>
      <w:r w:rsidR="00DA6FC7">
        <w:rPr>
          <w:rFonts w:ascii="Verdana" w:hAnsi="Verdana"/>
          <w:noProof/>
          <w:sz w:val="20"/>
          <w:lang w:val="pt-BR"/>
        </w:rPr>
        <w:tab/>
      </w:r>
      <w:r w:rsidRPr="005E2C37">
        <w:rPr>
          <w:rFonts w:ascii="Verdana" w:hAnsi="Verdana"/>
          <w:noProof/>
          <w:sz w:val="20"/>
          <w:lang w:val="pt-BR"/>
        </w:rPr>
        <w:t>Por último, quando se invoca o direi</w:t>
      </w:r>
      <w:r>
        <w:rPr>
          <w:rFonts w:ascii="Verdana" w:hAnsi="Verdana"/>
          <w:noProof/>
          <w:sz w:val="20"/>
          <w:lang w:val="pt-BR"/>
        </w:rPr>
        <w:t>to de propriedade, deve-se ter</w:t>
      </w:r>
      <w:r w:rsidRPr="005E2C37">
        <w:rPr>
          <w:rFonts w:ascii="Verdana" w:hAnsi="Verdana"/>
          <w:noProof/>
          <w:sz w:val="20"/>
          <w:lang w:val="pt-BR"/>
        </w:rPr>
        <w:t xml:space="preserve"> presente que o gozo e exercício do direito de propriedade traz consigo um acúmulo de deveres, desde os morais e políticos até os de índole social. Junto a eles está o dever jurídico refletido nas</w:t>
      </w:r>
      <w:r>
        <w:rPr>
          <w:rFonts w:ascii="Verdana" w:hAnsi="Verdana"/>
          <w:noProof/>
          <w:sz w:val="20"/>
          <w:lang w:val="pt-BR"/>
        </w:rPr>
        <w:t xml:space="preserve"> limitações impostas pela lei em</w:t>
      </w:r>
      <w:r w:rsidRPr="005E2C37">
        <w:rPr>
          <w:rFonts w:ascii="Verdana" w:hAnsi="Verdana"/>
          <w:noProof/>
          <w:sz w:val="20"/>
          <w:lang w:val="pt-BR"/>
        </w:rPr>
        <w:t xml:space="preserve"> um Estado democrático. Segundo a Convenção Americana: “A Lei pode subordinar </w:t>
      </w:r>
      <w:r w:rsidR="005F394E">
        <w:rPr>
          <w:rFonts w:ascii="Verdana" w:hAnsi="Verdana"/>
          <w:noProof/>
          <w:sz w:val="20"/>
          <w:lang w:val="pt-BR"/>
        </w:rPr>
        <w:t>esse</w:t>
      </w:r>
      <w:r w:rsidRPr="005E2C37">
        <w:rPr>
          <w:rFonts w:ascii="Verdana" w:hAnsi="Verdana"/>
          <w:noProof/>
          <w:sz w:val="20"/>
          <w:lang w:val="pt-BR"/>
        </w:rPr>
        <w:t xml:space="preserve"> uso e </w:t>
      </w:r>
      <w:r w:rsidR="005F394E">
        <w:rPr>
          <w:rFonts w:ascii="Verdana" w:hAnsi="Verdana"/>
          <w:noProof/>
          <w:sz w:val="20"/>
          <w:lang w:val="pt-BR"/>
        </w:rPr>
        <w:t xml:space="preserve">gozo ao interesse social.” </w:t>
      </w:r>
      <w:r w:rsidR="00C60678" w:rsidRPr="00C60678">
        <w:rPr>
          <w:rFonts w:ascii="Verdana" w:hAnsi="Verdana"/>
          <w:noProof/>
          <w:sz w:val="20"/>
          <w:lang w:val="pt-BR"/>
        </w:rPr>
        <w:t>(</w:t>
      </w:r>
      <w:r w:rsidR="005F394E">
        <w:rPr>
          <w:rFonts w:ascii="Verdana" w:hAnsi="Verdana"/>
          <w:noProof/>
          <w:sz w:val="20"/>
          <w:lang w:val="pt-BR"/>
        </w:rPr>
        <w:t>Artigo</w:t>
      </w:r>
      <w:r w:rsidRPr="005E2C37">
        <w:rPr>
          <w:rFonts w:ascii="Verdana" w:hAnsi="Verdana"/>
          <w:noProof/>
          <w:sz w:val="20"/>
          <w:lang w:val="pt-BR"/>
        </w:rPr>
        <w:t xml:space="preserve"> 21.1</w:t>
      </w:r>
      <w:r w:rsidR="00C60678" w:rsidRPr="00C60678">
        <w:rPr>
          <w:rFonts w:ascii="Verdana" w:hAnsi="Verdana"/>
          <w:noProof/>
          <w:sz w:val="20"/>
          <w:lang w:val="pt-BR"/>
        </w:rPr>
        <w:t>)</w:t>
      </w:r>
      <w:r w:rsidRPr="005E2C37">
        <w:rPr>
          <w:rFonts w:ascii="Verdana" w:hAnsi="Verdana"/>
          <w:noProof/>
          <w:sz w:val="20"/>
          <w:lang w:val="pt-BR"/>
        </w:rPr>
        <w:t>.</w:t>
      </w:r>
    </w:p>
    <w:p w:rsidR="006C04AC" w:rsidRPr="005E2C37" w:rsidRDefault="006C04AC" w:rsidP="006C04AC">
      <w:pPr>
        <w:ind w:left="5040"/>
        <w:jc w:val="center"/>
        <w:rPr>
          <w:rFonts w:ascii="Verdana" w:hAnsi="Verdana"/>
          <w:sz w:val="20"/>
        </w:rPr>
      </w:pPr>
    </w:p>
    <w:p w:rsidR="006C04AC" w:rsidRPr="00D74FEC" w:rsidRDefault="006C04AC" w:rsidP="006C04AC">
      <w:pPr>
        <w:ind w:left="5040"/>
        <w:jc w:val="center"/>
        <w:rPr>
          <w:rFonts w:ascii="Verdana" w:hAnsi="Verdana"/>
          <w:sz w:val="20"/>
        </w:rPr>
      </w:pPr>
      <w:r w:rsidRPr="00D74FEC">
        <w:rPr>
          <w:rFonts w:ascii="Verdana" w:hAnsi="Verdana"/>
          <w:sz w:val="20"/>
        </w:rPr>
        <w:t>Hernán Salgado Pesantes</w:t>
      </w:r>
    </w:p>
    <w:p w:rsidR="006C04AC" w:rsidRPr="00D74FEC" w:rsidRDefault="00D74FEC" w:rsidP="006C04AC">
      <w:pPr>
        <w:tabs>
          <w:tab w:val="left" w:pos="7620"/>
        </w:tabs>
        <w:ind w:left="5040"/>
        <w:jc w:val="center"/>
        <w:rPr>
          <w:rFonts w:ascii="Verdana" w:hAnsi="Verdana"/>
          <w:sz w:val="20"/>
        </w:rPr>
      </w:pPr>
      <w:r w:rsidRPr="00D74FEC">
        <w:rPr>
          <w:rFonts w:ascii="Verdana" w:hAnsi="Verdana"/>
          <w:sz w:val="20"/>
        </w:rPr>
        <w:t>Juiz</w:t>
      </w:r>
    </w:p>
    <w:p w:rsidR="006C04AC" w:rsidRPr="00D74FEC" w:rsidRDefault="006C04AC" w:rsidP="006C04AC">
      <w:pPr>
        <w:ind w:right="5760"/>
        <w:jc w:val="center"/>
        <w:rPr>
          <w:rFonts w:ascii="Verdana" w:hAnsi="Verdana"/>
          <w:sz w:val="20"/>
        </w:rPr>
      </w:pPr>
    </w:p>
    <w:p w:rsidR="006C04AC" w:rsidRPr="00D74FEC" w:rsidRDefault="006C04AC" w:rsidP="006C04AC">
      <w:pPr>
        <w:ind w:right="4680"/>
        <w:jc w:val="center"/>
        <w:rPr>
          <w:rFonts w:ascii="Verdana" w:hAnsi="Verdana"/>
          <w:sz w:val="20"/>
        </w:rPr>
      </w:pPr>
      <w:r w:rsidRPr="00D74FEC">
        <w:rPr>
          <w:rFonts w:ascii="Verdana" w:hAnsi="Verdana"/>
          <w:sz w:val="20"/>
        </w:rPr>
        <w:t>Manuel E. Ventura Robles</w:t>
      </w:r>
    </w:p>
    <w:p w:rsidR="006C04AC" w:rsidRPr="005E2C37" w:rsidRDefault="00D74FEC" w:rsidP="006C04AC">
      <w:pPr>
        <w:ind w:right="4680"/>
        <w:jc w:val="center"/>
        <w:rPr>
          <w:rFonts w:ascii="Verdana" w:hAnsi="Verdana"/>
          <w:sz w:val="20"/>
        </w:rPr>
        <w:sectPr w:rsidR="006C04AC" w:rsidRPr="005E2C37" w:rsidSect="00CD10A6">
          <w:footnotePr>
            <w:numRestart w:val="eachSect"/>
          </w:footnotePr>
          <w:pgSz w:w="12240" w:h="15840"/>
          <w:pgMar w:top="1440" w:right="1800" w:bottom="1440" w:left="1800" w:header="720" w:footer="720" w:gutter="0"/>
          <w:cols w:space="720"/>
          <w:titlePg/>
          <w:docGrid w:linePitch="326"/>
        </w:sectPr>
      </w:pPr>
      <w:r w:rsidRPr="00D74FEC">
        <w:rPr>
          <w:rFonts w:ascii="Verdana" w:hAnsi="Verdana"/>
          <w:sz w:val="20"/>
        </w:rPr>
        <w:t>Secretá</w:t>
      </w:r>
      <w:r w:rsidR="00CD10A6">
        <w:rPr>
          <w:rFonts w:ascii="Verdana" w:hAnsi="Verdana"/>
          <w:sz w:val="20"/>
        </w:rPr>
        <w:t>rio</w:t>
      </w:r>
    </w:p>
    <w:p w:rsidR="009F4CDF" w:rsidRDefault="009F4CDF" w:rsidP="00CD10A6">
      <w:pPr>
        <w:pStyle w:val="Textoindependiente"/>
        <w:widowControl/>
        <w:rPr>
          <w:rFonts w:ascii="Verdana" w:hAnsi="Verdana"/>
          <w:b/>
          <w:smallCaps/>
          <w:sz w:val="20"/>
          <w:lang w:val="pt-BR"/>
        </w:rPr>
      </w:pPr>
    </w:p>
    <w:p w:rsidR="006C04AC" w:rsidRPr="005E2C37" w:rsidRDefault="006C04AC" w:rsidP="006C04AC">
      <w:pPr>
        <w:pStyle w:val="Textoindependiente"/>
        <w:widowControl/>
        <w:jc w:val="center"/>
        <w:rPr>
          <w:rFonts w:ascii="Verdana" w:hAnsi="Verdana"/>
          <w:b/>
          <w:smallCaps/>
          <w:sz w:val="20"/>
          <w:lang w:val="pt-BR"/>
        </w:rPr>
      </w:pPr>
      <w:r w:rsidRPr="005E2C37">
        <w:rPr>
          <w:rFonts w:ascii="Verdana" w:hAnsi="Verdana"/>
          <w:b/>
          <w:smallCaps/>
          <w:sz w:val="20"/>
          <w:lang w:val="pt-BR"/>
        </w:rPr>
        <w:t>VOTO FUNDAMENTADO CONCORDANTE DO JUIZ SERGIO GARCIA RAMÍREZ À</w:t>
      </w:r>
    </w:p>
    <w:p w:rsidR="006C04AC" w:rsidRPr="005E2C37" w:rsidRDefault="006C04AC" w:rsidP="006C04AC">
      <w:pPr>
        <w:pStyle w:val="Textoindependiente"/>
        <w:widowControl/>
        <w:jc w:val="center"/>
        <w:rPr>
          <w:rFonts w:ascii="Verdana" w:hAnsi="Verdana"/>
          <w:b/>
          <w:smallCaps/>
          <w:sz w:val="20"/>
          <w:lang w:val="pt-BR"/>
        </w:rPr>
      </w:pPr>
      <w:r w:rsidRPr="005E2C37">
        <w:rPr>
          <w:rFonts w:ascii="Verdana" w:hAnsi="Verdana"/>
          <w:b/>
          <w:smallCaps/>
          <w:sz w:val="20"/>
          <w:lang w:val="pt-BR"/>
        </w:rPr>
        <w:t>SENTENÇA DE MÉRITO E REPARAÇÕES DO CASO</w:t>
      </w:r>
      <w:r w:rsidR="005F394E">
        <w:rPr>
          <w:rFonts w:ascii="Verdana" w:hAnsi="Verdana"/>
          <w:b/>
          <w:smallCaps/>
          <w:sz w:val="20"/>
          <w:lang w:val="pt-BR"/>
        </w:rPr>
        <w:t xml:space="preserve"> DA</w:t>
      </w:r>
    </w:p>
    <w:p w:rsidR="006C04AC" w:rsidRPr="00BD105C" w:rsidRDefault="006C04AC" w:rsidP="006C04AC">
      <w:pPr>
        <w:pStyle w:val="Textoindependiente"/>
        <w:widowControl/>
        <w:jc w:val="center"/>
        <w:rPr>
          <w:rFonts w:ascii="Verdana" w:hAnsi="Verdana"/>
          <w:b/>
          <w:smallCaps/>
          <w:sz w:val="20"/>
          <w:lang w:val="pt-BR"/>
        </w:rPr>
      </w:pPr>
      <w:r w:rsidRPr="00BD105C">
        <w:rPr>
          <w:rFonts w:ascii="Verdana" w:hAnsi="Verdana"/>
          <w:b/>
          <w:smallCaps/>
          <w:sz w:val="20"/>
          <w:lang w:val="pt-BR"/>
        </w:rPr>
        <w:t xml:space="preserve">“COMUNIDADE MAYAGNA </w:t>
      </w:r>
      <w:r w:rsidR="00C60678" w:rsidRPr="00C60678">
        <w:rPr>
          <w:rFonts w:ascii="Verdana" w:hAnsi="Verdana"/>
          <w:b/>
          <w:smallCaps/>
          <w:sz w:val="20"/>
          <w:lang w:val="pt-BR"/>
        </w:rPr>
        <w:t>(</w:t>
      </w:r>
      <w:r w:rsidRPr="00BD105C">
        <w:rPr>
          <w:rFonts w:ascii="Verdana" w:hAnsi="Verdana"/>
          <w:b/>
          <w:smallCaps/>
          <w:sz w:val="20"/>
          <w:lang w:val="pt-BR"/>
        </w:rPr>
        <w:t>SUMO</w:t>
      </w:r>
      <w:r w:rsidR="00C60678" w:rsidRPr="00C60678">
        <w:rPr>
          <w:rFonts w:ascii="Verdana" w:hAnsi="Verdana"/>
          <w:b/>
          <w:smallCaps/>
          <w:sz w:val="20"/>
          <w:lang w:val="pt-BR"/>
        </w:rPr>
        <w:t>)</w:t>
      </w:r>
      <w:r w:rsidR="00E771D3">
        <w:rPr>
          <w:rFonts w:ascii="Verdana" w:hAnsi="Verdana"/>
          <w:b/>
          <w:smallCaps/>
          <w:sz w:val="20"/>
          <w:lang w:val="pt-BR"/>
        </w:rPr>
        <w:t xml:space="preserve"> AWAS TINGNI”</w:t>
      </w:r>
    </w:p>
    <w:p w:rsidR="006C04AC" w:rsidRPr="00BD105C" w:rsidRDefault="006C04AC" w:rsidP="006C04AC">
      <w:pPr>
        <w:pStyle w:val="Textoindependiente"/>
        <w:widowControl/>
        <w:jc w:val="center"/>
        <w:rPr>
          <w:rFonts w:ascii="Verdana" w:hAnsi="Verdana"/>
          <w:b/>
          <w:smallCaps/>
          <w:sz w:val="20"/>
          <w:lang w:val="pt-BR"/>
        </w:rPr>
      </w:pPr>
    </w:p>
    <w:p w:rsidR="006C04AC" w:rsidRPr="005E2C37" w:rsidRDefault="006C04AC" w:rsidP="006C04AC">
      <w:pPr>
        <w:jc w:val="both"/>
        <w:rPr>
          <w:rFonts w:ascii="Verdana" w:hAnsi="Verdana"/>
          <w:sz w:val="20"/>
        </w:rPr>
      </w:pPr>
      <w:r w:rsidRPr="005E2C37">
        <w:rPr>
          <w:rFonts w:ascii="Verdana" w:hAnsi="Verdana"/>
          <w:sz w:val="20"/>
        </w:rPr>
        <w:t>1.</w:t>
      </w:r>
      <w:r w:rsidRPr="005E2C37">
        <w:rPr>
          <w:rFonts w:ascii="Verdana" w:hAnsi="Verdana"/>
          <w:sz w:val="20"/>
        </w:rPr>
        <w:tab/>
        <w:t>Coinc</w:t>
      </w:r>
      <w:r w:rsidR="005F394E">
        <w:rPr>
          <w:rFonts w:ascii="Verdana" w:hAnsi="Verdana"/>
          <w:sz w:val="20"/>
        </w:rPr>
        <w:t>ido com o voto majoritário dos J</w:t>
      </w:r>
      <w:r w:rsidRPr="005E2C37">
        <w:rPr>
          <w:rFonts w:ascii="Verdana" w:hAnsi="Verdana"/>
          <w:sz w:val="20"/>
        </w:rPr>
        <w:t xml:space="preserve">uízes que integram a Corte na Sentença de mérito e reparações do presente caso, que declara a existência de violações aos artigos 21 e 25 da Convenção Americana sobre Direitos Humanos em </w:t>
      </w:r>
      <w:r w:rsidR="005F394E">
        <w:rPr>
          <w:rFonts w:ascii="Verdana" w:hAnsi="Verdana"/>
          <w:sz w:val="20"/>
        </w:rPr>
        <w:t>detrimento</w:t>
      </w:r>
      <w:r w:rsidRPr="005E2C37">
        <w:rPr>
          <w:rFonts w:ascii="Verdana" w:hAnsi="Verdana"/>
          <w:sz w:val="20"/>
        </w:rPr>
        <w:t xml:space="preserve"> da Comunidade Mayagna Awas Tingni. Para chegar a esta decisão, a Corte examinou cuidadosamente as pretensões dos peticionários, apresentadas </w:t>
      </w:r>
      <w:r>
        <w:rPr>
          <w:rFonts w:ascii="Verdana" w:hAnsi="Verdana"/>
          <w:sz w:val="20"/>
        </w:rPr>
        <w:t>per</w:t>
      </w:r>
      <w:r w:rsidRPr="005E2C37">
        <w:rPr>
          <w:rFonts w:ascii="Verdana" w:hAnsi="Verdana"/>
          <w:sz w:val="20"/>
        </w:rPr>
        <w:t xml:space="preserve">ante esta jurisdição pela Comissão Interamericana de Direitos Humanos, </w:t>
      </w:r>
      <w:r w:rsidR="00C6474D">
        <w:rPr>
          <w:rFonts w:ascii="Verdana" w:hAnsi="Verdana"/>
          <w:sz w:val="20"/>
        </w:rPr>
        <w:t>bem como</w:t>
      </w:r>
      <w:r w:rsidRPr="005E2C37">
        <w:rPr>
          <w:rFonts w:ascii="Verdana" w:hAnsi="Verdana"/>
          <w:sz w:val="20"/>
        </w:rPr>
        <w:t xml:space="preserve"> a posição do Estado – que explicitamente reconheceu direitos da Comunidade Mayagna </w:t>
      </w:r>
      <w:r w:rsidR="00C60678" w:rsidRPr="00C60678">
        <w:rPr>
          <w:rFonts w:ascii="Verdana" w:hAnsi="Verdana"/>
          <w:sz w:val="20"/>
        </w:rPr>
        <w:t>(</w:t>
      </w:r>
      <w:r w:rsidRPr="005E2C37">
        <w:rPr>
          <w:rFonts w:ascii="Verdana" w:hAnsi="Verdana"/>
          <w:sz w:val="20"/>
        </w:rPr>
        <w:t>Sumo</w:t>
      </w:r>
      <w:r w:rsidR="00C60678" w:rsidRPr="00C60678">
        <w:rPr>
          <w:rFonts w:ascii="Verdana" w:hAnsi="Verdana"/>
          <w:sz w:val="20"/>
        </w:rPr>
        <w:t>)</w:t>
      </w:r>
      <w:r w:rsidRPr="005E2C37">
        <w:rPr>
          <w:rFonts w:ascii="Verdana" w:hAnsi="Verdana"/>
          <w:sz w:val="20"/>
        </w:rPr>
        <w:t xml:space="preserve"> Awas Tingni e seus integrantes </w:t>
      </w:r>
      <w:r w:rsidR="00C60678" w:rsidRPr="00C60678">
        <w:rPr>
          <w:rFonts w:ascii="Verdana" w:hAnsi="Verdana"/>
          <w:sz w:val="20"/>
        </w:rPr>
        <w:t>(</w:t>
      </w:r>
      <w:r w:rsidRPr="005E2C37">
        <w:rPr>
          <w:rFonts w:ascii="Verdana" w:hAnsi="Verdana"/>
          <w:sz w:val="20"/>
        </w:rPr>
        <w:t>par. 152 da Sentença</w:t>
      </w:r>
      <w:r w:rsidR="00C60678" w:rsidRPr="00C60678">
        <w:rPr>
          <w:rFonts w:ascii="Verdana" w:hAnsi="Verdana"/>
          <w:sz w:val="20"/>
        </w:rPr>
        <w:t>)</w:t>
      </w:r>
      <w:r w:rsidRPr="005E2C37">
        <w:rPr>
          <w:rFonts w:ascii="Verdana" w:hAnsi="Verdana"/>
          <w:sz w:val="20"/>
        </w:rPr>
        <w:t xml:space="preserve"> </w:t>
      </w:r>
      <w:r>
        <w:rPr>
          <w:rFonts w:ascii="Verdana" w:hAnsi="Verdana"/>
          <w:sz w:val="20"/>
        </w:rPr>
        <w:t>–</w:t>
      </w:r>
      <w:r w:rsidRPr="005E2C37">
        <w:rPr>
          <w:rFonts w:ascii="Verdana" w:hAnsi="Verdana"/>
          <w:sz w:val="20"/>
        </w:rPr>
        <w:t xml:space="preserve">, as provas exibidas na </w:t>
      </w:r>
      <w:r w:rsidR="00BF2B08">
        <w:rPr>
          <w:rFonts w:ascii="Verdana" w:hAnsi="Verdana"/>
          <w:sz w:val="20"/>
        </w:rPr>
        <w:t xml:space="preserve">respectiva </w:t>
      </w:r>
      <w:r w:rsidRPr="005E2C37">
        <w:rPr>
          <w:rFonts w:ascii="Verdana" w:hAnsi="Verdana"/>
          <w:sz w:val="20"/>
        </w:rPr>
        <w:t>audiência e outros elementos de conhecimento que figuram no</w:t>
      </w:r>
      <w:r w:rsidR="00BC27FB">
        <w:rPr>
          <w:rFonts w:ascii="Verdana" w:hAnsi="Verdana"/>
          <w:sz w:val="20"/>
        </w:rPr>
        <w:t>s</w:t>
      </w:r>
      <w:r w:rsidRPr="005E2C37">
        <w:rPr>
          <w:rFonts w:ascii="Verdana" w:hAnsi="Verdana"/>
          <w:sz w:val="20"/>
        </w:rPr>
        <w:t xml:space="preserve"> </w:t>
      </w:r>
      <w:r w:rsidR="00BC27FB">
        <w:rPr>
          <w:rFonts w:ascii="Verdana" w:hAnsi="Verdana"/>
          <w:sz w:val="20"/>
        </w:rPr>
        <w:t>autos</w:t>
      </w:r>
      <w:r w:rsidRPr="005E2C37">
        <w:rPr>
          <w:rFonts w:ascii="Verdana" w:hAnsi="Verdana"/>
          <w:sz w:val="20"/>
        </w:rPr>
        <w:t>. Com esta sustentação, a Corte fez uma interpretação pertinente, a meu modo de ver, do artigo 21 da Convenção Americana sobre Direitos Humanos.</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2.</w:t>
      </w:r>
      <w:r w:rsidRPr="005E2C37">
        <w:rPr>
          <w:rFonts w:ascii="Verdana" w:hAnsi="Verdana"/>
          <w:sz w:val="20"/>
        </w:rPr>
        <w:tab/>
        <w:t xml:space="preserve">No exercício de sua jurisdição contenciosa, a Corte Interamericana está obrigada a observar as disposições da Convenção Americana, interpretando-as conforme as regras </w:t>
      </w:r>
      <w:r w:rsidR="00BC27FB">
        <w:rPr>
          <w:rFonts w:ascii="Verdana" w:hAnsi="Verdana"/>
          <w:sz w:val="20"/>
        </w:rPr>
        <w:t>previstas por</w:t>
      </w:r>
      <w:r w:rsidR="00BC27FB" w:rsidRPr="005E2C37">
        <w:rPr>
          <w:rFonts w:ascii="Verdana" w:hAnsi="Verdana"/>
          <w:sz w:val="20"/>
        </w:rPr>
        <w:t xml:space="preserve"> </w:t>
      </w:r>
      <w:r w:rsidRPr="005E2C37">
        <w:rPr>
          <w:rFonts w:ascii="Verdana" w:hAnsi="Verdana"/>
          <w:sz w:val="20"/>
        </w:rPr>
        <w:t>es</w:t>
      </w:r>
      <w:r w:rsidR="00BC27FB">
        <w:rPr>
          <w:rFonts w:ascii="Verdana" w:hAnsi="Verdana"/>
          <w:sz w:val="20"/>
        </w:rPr>
        <w:t>t</w:t>
      </w:r>
      <w:r w:rsidRPr="005E2C37">
        <w:rPr>
          <w:rFonts w:ascii="Verdana" w:hAnsi="Verdana"/>
          <w:sz w:val="20"/>
        </w:rPr>
        <w:t>e mesmo instrum</w:t>
      </w:r>
      <w:r>
        <w:rPr>
          <w:rFonts w:ascii="Verdana" w:hAnsi="Verdana"/>
          <w:sz w:val="20"/>
        </w:rPr>
        <w:t>ento e as demais que</w:t>
      </w:r>
      <w:r w:rsidRPr="005E2C37">
        <w:rPr>
          <w:rFonts w:ascii="Verdana" w:hAnsi="Verdana"/>
          <w:sz w:val="20"/>
        </w:rPr>
        <w:t xml:space="preserve"> pudessem ser invocadas conforme o regime jurídico dos tratados internacionais, que figuram na Convenção de Viena sobre o Direito dos Tratados, de 23 de maio de 1969. Igualmente, deve-se ter em conta o princípio de interpretação que obriga a considerar o objeto e fim dos tratados </w:t>
      </w:r>
      <w:r w:rsidR="00C60678" w:rsidRPr="00C60678">
        <w:rPr>
          <w:rFonts w:ascii="Verdana" w:hAnsi="Verdana"/>
          <w:sz w:val="20"/>
        </w:rPr>
        <w:t>(</w:t>
      </w:r>
      <w:r w:rsidRPr="005E2C37">
        <w:rPr>
          <w:rFonts w:ascii="Verdana" w:hAnsi="Verdana"/>
          <w:sz w:val="20"/>
        </w:rPr>
        <w:t>artigo 31.1 da Convenção de Viena</w:t>
      </w:r>
      <w:r w:rsidR="00C60678" w:rsidRPr="00C60678">
        <w:rPr>
          <w:rFonts w:ascii="Verdana" w:hAnsi="Verdana"/>
          <w:sz w:val="20"/>
        </w:rPr>
        <w:t>)</w:t>
      </w:r>
      <w:r w:rsidRPr="005E2C37">
        <w:rPr>
          <w:rFonts w:ascii="Verdana" w:hAnsi="Verdana"/>
          <w:sz w:val="20"/>
        </w:rPr>
        <w:t xml:space="preserve">, ao que </w:t>
      </w:r>
      <w:r w:rsidRPr="005E2C37">
        <w:rPr>
          <w:rFonts w:ascii="Verdana" w:hAnsi="Verdana"/>
          <w:i/>
          <w:sz w:val="20"/>
        </w:rPr>
        <w:t>infra</w:t>
      </w:r>
      <w:r w:rsidRPr="005E2C37">
        <w:rPr>
          <w:rFonts w:ascii="Verdana" w:hAnsi="Verdana"/>
          <w:sz w:val="20"/>
        </w:rPr>
        <w:t xml:space="preserve"> se faz referência, e a regra </w:t>
      </w:r>
      <w:r w:rsidRPr="005E2C37">
        <w:rPr>
          <w:rFonts w:ascii="Verdana" w:hAnsi="Verdana"/>
          <w:i/>
          <w:sz w:val="20"/>
        </w:rPr>
        <w:t>pro homine</w:t>
      </w:r>
      <w:r w:rsidRPr="005E2C37">
        <w:rPr>
          <w:rFonts w:ascii="Verdana" w:hAnsi="Verdana"/>
          <w:sz w:val="20"/>
        </w:rPr>
        <w:t>, inerente ao</w:t>
      </w:r>
      <w:proofErr w:type="gramStart"/>
      <w:r w:rsidRPr="005E2C37">
        <w:rPr>
          <w:rFonts w:ascii="Verdana" w:hAnsi="Verdana"/>
          <w:sz w:val="20"/>
        </w:rPr>
        <w:t xml:space="preserve"> </w:t>
      </w:r>
      <w:r w:rsidR="00360853">
        <w:rPr>
          <w:rFonts w:ascii="Verdana" w:hAnsi="Verdana"/>
          <w:sz w:val="20"/>
        </w:rPr>
        <w:t xml:space="preserve"> </w:t>
      </w:r>
      <w:proofErr w:type="gramEnd"/>
      <w:r w:rsidR="00360853">
        <w:rPr>
          <w:rFonts w:ascii="Verdana" w:hAnsi="Verdana"/>
          <w:sz w:val="20"/>
        </w:rPr>
        <w:t>Direito Internacional</w:t>
      </w:r>
      <w:r w:rsidR="00096900">
        <w:rPr>
          <w:rFonts w:ascii="Verdana" w:hAnsi="Verdana"/>
          <w:sz w:val="20"/>
        </w:rPr>
        <w:t xml:space="preserve"> dos Direitos H</w:t>
      </w:r>
      <w:r w:rsidRPr="005E2C37">
        <w:rPr>
          <w:rFonts w:ascii="Verdana" w:hAnsi="Verdana"/>
          <w:sz w:val="20"/>
        </w:rPr>
        <w:t>umanos – frequentemente invocad</w:t>
      </w:r>
      <w:r w:rsidR="00BC27FB">
        <w:rPr>
          <w:rFonts w:ascii="Verdana" w:hAnsi="Verdana"/>
          <w:sz w:val="20"/>
        </w:rPr>
        <w:t>a</w:t>
      </w:r>
      <w:r w:rsidRPr="005E2C37">
        <w:rPr>
          <w:rFonts w:ascii="Verdana" w:hAnsi="Verdana"/>
          <w:sz w:val="20"/>
        </w:rPr>
        <w:t xml:space="preserve"> na jurisprudência da Corte </w:t>
      </w:r>
      <w:r>
        <w:rPr>
          <w:rFonts w:ascii="Verdana" w:hAnsi="Verdana"/>
          <w:sz w:val="20"/>
        </w:rPr>
        <w:t>–</w:t>
      </w:r>
      <w:r w:rsidRPr="005E2C37">
        <w:rPr>
          <w:rFonts w:ascii="Verdana" w:hAnsi="Verdana"/>
          <w:sz w:val="20"/>
        </w:rPr>
        <w:t>, que conduz à maior e melhor proteção das pessoas, com o propósito último de preservar a dignidade, assegurar os direitos fundamentais e alentar o desenvolvimento dos seres humanos.</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3.</w:t>
      </w:r>
      <w:r w:rsidRPr="005E2C37">
        <w:rPr>
          <w:rFonts w:ascii="Verdana" w:hAnsi="Verdana"/>
          <w:sz w:val="20"/>
        </w:rPr>
        <w:tab/>
        <w:t>O artigo 29 da Convenção Americana, relativo à interpretação deste instrumento, manifesta que nenhuma de suas disposições poderá ser interpretada no sentido de “limitar o gozo e exercício de qualquer direito ou liberdade que possa</w:t>
      </w:r>
      <w:r w:rsidR="00096900">
        <w:rPr>
          <w:rFonts w:ascii="Verdana" w:hAnsi="Verdana"/>
          <w:sz w:val="20"/>
        </w:rPr>
        <w:t>m ser</w:t>
      </w:r>
      <w:r w:rsidRPr="005E2C37">
        <w:rPr>
          <w:rFonts w:ascii="Verdana" w:hAnsi="Verdana"/>
          <w:sz w:val="20"/>
        </w:rPr>
        <w:t xml:space="preserve"> reconhecido</w:t>
      </w:r>
      <w:r w:rsidR="00096900">
        <w:rPr>
          <w:rFonts w:ascii="Verdana" w:hAnsi="Verdana"/>
          <w:sz w:val="20"/>
        </w:rPr>
        <w:t>s</w:t>
      </w:r>
      <w:r w:rsidRPr="005E2C37">
        <w:rPr>
          <w:rFonts w:ascii="Verdana" w:hAnsi="Verdana"/>
          <w:sz w:val="20"/>
        </w:rPr>
        <w:t xml:space="preserve"> de acordo com a</w:t>
      </w:r>
      <w:r w:rsidR="00096900">
        <w:rPr>
          <w:rFonts w:ascii="Verdana" w:hAnsi="Verdana"/>
          <w:sz w:val="20"/>
        </w:rPr>
        <w:t>s leis de qualquer dos Estados P</w:t>
      </w:r>
      <w:r w:rsidRPr="005E2C37">
        <w:rPr>
          <w:rFonts w:ascii="Verdana" w:hAnsi="Verdana"/>
          <w:sz w:val="20"/>
        </w:rPr>
        <w:t xml:space="preserve">artes </w:t>
      </w:r>
      <w:r w:rsidR="00C60678" w:rsidRPr="00C60678">
        <w:rPr>
          <w:rFonts w:ascii="Verdana" w:hAnsi="Verdana"/>
          <w:sz w:val="20"/>
        </w:rPr>
        <w:t>(</w:t>
      </w:r>
      <w:r w:rsidRPr="005E2C37">
        <w:rPr>
          <w:rFonts w:ascii="Verdana" w:hAnsi="Verdana"/>
          <w:sz w:val="20"/>
        </w:rPr>
        <w:t>...</w:t>
      </w:r>
      <w:r w:rsidR="00C60678" w:rsidRPr="00C60678">
        <w:rPr>
          <w:rFonts w:ascii="Verdana" w:hAnsi="Verdana"/>
          <w:sz w:val="20"/>
        </w:rPr>
        <w:t>)</w:t>
      </w:r>
      <w:r w:rsidRPr="005E2C37">
        <w:rPr>
          <w:rFonts w:ascii="Verdana" w:hAnsi="Verdana"/>
          <w:sz w:val="20"/>
        </w:rPr>
        <w:t xml:space="preserve">”. Em outros termos, aqueles que se encontram protegidos pelo regime da Convenção não perdem por isto – ainda se esta contivesse restrições ou limitações de direitos precedentes, o que não é o caso – as liberdades, prerrogativas ou faculdades que já tenha conforme a legislação do Estado sob cuja jurisdição se </w:t>
      </w:r>
      <w:proofErr w:type="gramStart"/>
      <w:r w:rsidRPr="005E2C37">
        <w:rPr>
          <w:rFonts w:ascii="Verdana" w:hAnsi="Verdana"/>
          <w:sz w:val="20"/>
        </w:rPr>
        <w:t>encontram</w:t>
      </w:r>
      <w:proofErr w:type="gramEnd"/>
      <w:r w:rsidRPr="005E2C37">
        <w:rPr>
          <w:rFonts w:ascii="Verdana" w:hAnsi="Verdana"/>
          <w:sz w:val="20"/>
        </w:rPr>
        <w:t xml:space="preserve">. Estas não se vêm excluídas pelos direitos que reconhece a Convenção, mas se conciliam com eles para precisar seu alcance, ou </w:t>
      </w:r>
      <w:r>
        <w:rPr>
          <w:rFonts w:ascii="Verdana" w:hAnsi="Verdana"/>
          <w:sz w:val="20"/>
        </w:rPr>
        <w:t xml:space="preserve">são acrescentadas </w:t>
      </w:r>
      <w:r w:rsidRPr="005E2C37">
        <w:rPr>
          <w:rFonts w:ascii="Verdana" w:hAnsi="Verdana"/>
          <w:sz w:val="20"/>
        </w:rPr>
        <w:t>a estes para integrar o crescente catálogo dos direitos humanos.</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4.</w:t>
      </w:r>
      <w:r w:rsidRPr="005E2C37">
        <w:rPr>
          <w:rFonts w:ascii="Verdana" w:hAnsi="Verdana"/>
          <w:sz w:val="20"/>
        </w:rPr>
        <w:tab/>
        <w:t>A Convenção de Viena sobr</w:t>
      </w:r>
      <w:r w:rsidR="00096900">
        <w:rPr>
          <w:rFonts w:ascii="Verdana" w:hAnsi="Verdana"/>
          <w:sz w:val="20"/>
        </w:rPr>
        <w:t>e Direito dos Tratados dispõe</w:t>
      </w:r>
      <w:r w:rsidRPr="005E2C37">
        <w:rPr>
          <w:rFonts w:ascii="Verdana" w:hAnsi="Verdana"/>
          <w:sz w:val="20"/>
        </w:rPr>
        <w:t xml:space="preserve"> no citado</w:t>
      </w:r>
      <w:r w:rsidR="00096900">
        <w:rPr>
          <w:rFonts w:ascii="Verdana" w:hAnsi="Verdana"/>
          <w:sz w:val="20"/>
        </w:rPr>
        <w:t xml:space="preserve"> artigo 31.1: “Um tratado deve</w:t>
      </w:r>
      <w:r w:rsidRPr="005E2C37">
        <w:rPr>
          <w:rFonts w:ascii="Verdana" w:hAnsi="Verdana"/>
          <w:sz w:val="20"/>
        </w:rPr>
        <w:t xml:space="preserve"> ser interpretado de boa-fé</w:t>
      </w:r>
      <w:r w:rsidR="00096900">
        <w:rPr>
          <w:rFonts w:ascii="Verdana" w:hAnsi="Verdana"/>
          <w:sz w:val="20"/>
        </w:rPr>
        <w:t>,</w:t>
      </w:r>
      <w:r w:rsidRPr="005E2C37">
        <w:rPr>
          <w:rFonts w:ascii="Verdana" w:hAnsi="Verdana"/>
          <w:sz w:val="20"/>
        </w:rPr>
        <w:t xml:space="preserve"> </w:t>
      </w:r>
      <w:r w:rsidR="00096900">
        <w:rPr>
          <w:rFonts w:ascii="Verdana" w:hAnsi="Verdana"/>
          <w:sz w:val="20"/>
        </w:rPr>
        <w:t xml:space="preserve">segundo </w:t>
      </w:r>
      <w:r w:rsidRPr="005E2C37">
        <w:rPr>
          <w:rFonts w:ascii="Verdana" w:hAnsi="Verdana"/>
          <w:sz w:val="20"/>
        </w:rPr>
        <w:t xml:space="preserve">o sentido </w:t>
      </w:r>
      <w:r w:rsidR="00096900">
        <w:rPr>
          <w:rFonts w:ascii="Verdana" w:hAnsi="Verdana"/>
          <w:sz w:val="20"/>
        </w:rPr>
        <w:t>comum</w:t>
      </w:r>
      <w:r w:rsidRPr="005E2C37">
        <w:rPr>
          <w:rFonts w:ascii="Verdana" w:hAnsi="Verdana"/>
          <w:sz w:val="20"/>
        </w:rPr>
        <w:t xml:space="preserve"> </w:t>
      </w:r>
      <w:r w:rsidR="00096900">
        <w:rPr>
          <w:rFonts w:ascii="Verdana" w:hAnsi="Verdana"/>
          <w:sz w:val="20"/>
        </w:rPr>
        <w:t xml:space="preserve">atribuível </w:t>
      </w:r>
      <w:r w:rsidRPr="005E2C37">
        <w:rPr>
          <w:rFonts w:ascii="Verdana" w:hAnsi="Verdana"/>
          <w:sz w:val="20"/>
        </w:rPr>
        <w:t>aos termos do tratado no</w:t>
      </w:r>
      <w:r w:rsidR="00096900">
        <w:rPr>
          <w:rFonts w:ascii="Verdana" w:hAnsi="Verdana"/>
          <w:sz w:val="20"/>
        </w:rPr>
        <w:t xml:space="preserve"> seu</w:t>
      </w:r>
      <w:r w:rsidRPr="005E2C37">
        <w:rPr>
          <w:rFonts w:ascii="Verdana" w:hAnsi="Verdana"/>
          <w:sz w:val="20"/>
        </w:rPr>
        <w:t xml:space="preserve"> contexto e </w:t>
      </w:r>
      <w:r w:rsidR="00096900">
        <w:rPr>
          <w:rFonts w:ascii="Verdana" w:hAnsi="Verdana"/>
          <w:sz w:val="20"/>
        </w:rPr>
        <w:t>à luz dos respectivos</w:t>
      </w:r>
      <w:r w:rsidRPr="005E2C37">
        <w:rPr>
          <w:rFonts w:ascii="Verdana" w:hAnsi="Verdana"/>
          <w:sz w:val="20"/>
        </w:rPr>
        <w:t xml:space="preserve"> objeto e fim”. Na espécie, o objeto e fim da Convenção Americana sobre Direitos Humanos </w:t>
      </w:r>
      <w:r>
        <w:rPr>
          <w:rFonts w:ascii="Verdana" w:hAnsi="Verdana"/>
          <w:sz w:val="20"/>
        </w:rPr>
        <w:t>se concentram</w:t>
      </w:r>
      <w:r w:rsidRPr="005E2C37">
        <w:rPr>
          <w:rFonts w:ascii="Verdana" w:hAnsi="Verdana"/>
          <w:sz w:val="20"/>
        </w:rPr>
        <w:t xml:space="preserve"> no reconhecimento da dignidade humana e das necessidades de proteção e desenvolvimento das pessoas, na estipulação de compromissos a esse respeito e na provisão de instrumentos jurídicos que preservem aquela e realizem estes. Por outro lado, ao examinar o sentido corrente dos termos do tratado que agora se aplica – ou seja, a Convenção Americana </w:t>
      </w:r>
      <w:r>
        <w:rPr>
          <w:rFonts w:ascii="Verdana" w:hAnsi="Verdana"/>
          <w:sz w:val="20"/>
        </w:rPr>
        <w:t>–</w:t>
      </w:r>
      <w:r w:rsidRPr="005E2C37">
        <w:rPr>
          <w:rFonts w:ascii="Verdana" w:hAnsi="Verdana"/>
          <w:sz w:val="20"/>
        </w:rPr>
        <w:t>, é preciso considerar o alcance e significado – ou os alcances e significados – que nos países da América tem o termo “propriedade”.</w:t>
      </w:r>
    </w:p>
    <w:p w:rsidR="006C04AC" w:rsidRPr="005E2C37" w:rsidRDefault="006C04AC" w:rsidP="006C04AC">
      <w:pPr>
        <w:jc w:val="both"/>
        <w:rPr>
          <w:rFonts w:ascii="Verdana" w:hAnsi="Verdana"/>
          <w:sz w:val="20"/>
        </w:rPr>
      </w:pPr>
      <w:r w:rsidRPr="005E2C37">
        <w:rPr>
          <w:rFonts w:ascii="Verdana" w:hAnsi="Verdana"/>
          <w:sz w:val="20"/>
        </w:rPr>
        <w:lastRenderedPageBreak/>
        <w:t>5.</w:t>
      </w:r>
      <w:r w:rsidRPr="005E2C37">
        <w:rPr>
          <w:rFonts w:ascii="Verdana" w:hAnsi="Verdana"/>
          <w:sz w:val="20"/>
        </w:rPr>
        <w:tab/>
        <w:t xml:space="preserve">É relevante mencionar aqui que a Corte Interamericana de Direitos Humanos, em seu Parecer Consultivo OC-16/99 </w:t>
      </w:r>
      <w:r w:rsidR="00C60678" w:rsidRPr="00C60678">
        <w:rPr>
          <w:rFonts w:ascii="Verdana" w:hAnsi="Verdana"/>
          <w:sz w:val="20"/>
        </w:rPr>
        <w:t>(</w:t>
      </w:r>
      <w:r w:rsidRPr="005E2C37">
        <w:rPr>
          <w:rFonts w:ascii="Verdana" w:hAnsi="Verdana"/>
          <w:i/>
          <w:sz w:val="20"/>
        </w:rPr>
        <w:t xml:space="preserve">O Direito à Informação sobre a Assistência Consular no </w:t>
      </w:r>
      <w:r w:rsidR="00096900">
        <w:rPr>
          <w:rFonts w:ascii="Verdana" w:hAnsi="Verdana"/>
          <w:i/>
          <w:sz w:val="20"/>
        </w:rPr>
        <w:t>Âmbito</w:t>
      </w:r>
      <w:r w:rsidRPr="005E2C37">
        <w:rPr>
          <w:rFonts w:ascii="Verdana" w:hAnsi="Verdana"/>
          <w:i/>
          <w:sz w:val="20"/>
        </w:rPr>
        <w:t xml:space="preserve"> das Garantias do Devido Processo Legal</w:t>
      </w:r>
      <w:r w:rsidR="00C60678" w:rsidRPr="00C60678">
        <w:rPr>
          <w:rFonts w:ascii="Verdana" w:hAnsi="Verdana"/>
          <w:sz w:val="20"/>
        </w:rPr>
        <w:t>)</w:t>
      </w:r>
      <w:r w:rsidRPr="005E2C37">
        <w:rPr>
          <w:rFonts w:ascii="Verdana" w:hAnsi="Verdana"/>
          <w:sz w:val="20"/>
        </w:rPr>
        <w:t xml:space="preserve"> fez ver que “ao dar interpretação a um tratado não </w:t>
      </w:r>
      <w:r w:rsidR="00BC27FB">
        <w:rPr>
          <w:rFonts w:ascii="Verdana" w:hAnsi="Verdana"/>
          <w:sz w:val="20"/>
        </w:rPr>
        <w:t>apenas</w:t>
      </w:r>
      <w:r w:rsidR="00BC27FB" w:rsidRPr="005E2C37">
        <w:rPr>
          <w:rFonts w:ascii="Verdana" w:hAnsi="Verdana"/>
          <w:sz w:val="20"/>
        </w:rPr>
        <w:t xml:space="preserve"> </w:t>
      </w:r>
      <w:r w:rsidRPr="005E2C37">
        <w:rPr>
          <w:rFonts w:ascii="Verdana" w:hAnsi="Verdana"/>
          <w:sz w:val="20"/>
        </w:rPr>
        <w:t xml:space="preserve">se levam em conta os acordos e instrumentos formalmente relacionados com este </w:t>
      </w:r>
      <w:r w:rsidR="00C60678" w:rsidRPr="00C60678">
        <w:rPr>
          <w:rFonts w:ascii="Verdana" w:hAnsi="Verdana"/>
          <w:sz w:val="20"/>
        </w:rPr>
        <w:t>(</w:t>
      </w:r>
      <w:r w:rsidRPr="005E2C37">
        <w:rPr>
          <w:rFonts w:ascii="Verdana" w:hAnsi="Verdana"/>
          <w:sz w:val="20"/>
        </w:rPr>
        <w:t>...</w:t>
      </w:r>
      <w:r w:rsidR="00C60678" w:rsidRPr="00C60678">
        <w:rPr>
          <w:rFonts w:ascii="Verdana" w:hAnsi="Verdana"/>
          <w:sz w:val="20"/>
        </w:rPr>
        <w:t>)</w:t>
      </w:r>
      <w:r w:rsidRPr="005E2C37">
        <w:rPr>
          <w:rFonts w:ascii="Verdana" w:hAnsi="Verdana"/>
          <w:sz w:val="20"/>
        </w:rPr>
        <w:t xml:space="preserve">, mas também o sistema dentro do qual se inscreve” </w:t>
      </w:r>
      <w:r w:rsidR="00C60678" w:rsidRPr="00C60678">
        <w:rPr>
          <w:rFonts w:ascii="Verdana" w:hAnsi="Verdana"/>
          <w:sz w:val="20"/>
        </w:rPr>
        <w:t>(</w:t>
      </w:r>
      <w:r w:rsidRPr="005E2C37">
        <w:rPr>
          <w:rFonts w:ascii="Verdana" w:hAnsi="Verdana"/>
          <w:sz w:val="20"/>
        </w:rPr>
        <w:t>par. 113</w:t>
      </w:r>
      <w:r w:rsidR="00C60678" w:rsidRPr="00C60678">
        <w:rPr>
          <w:rFonts w:ascii="Verdana" w:hAnsi="Verdana"/>
          <w:sz w:val="20"/>
        </w:rPr>
        <w:t>)</w:t>
      </w:r>
      <w:r w:rsidRPr="005E2C37">
        <w:rPr>
          <w:rFonts w:ascii="Verdana" w:hAnsi="Verdana"/>
          <w:sz w:val="20"/>
        </w:rPr>
        <w:t xml:space="preserve">, e </w:t>
      </w:r>
      <w:r w:rsidR="00BF2B08">
        <w:rPr>
          <w:rFonts w:ascii="Verdana" w:hAnsi="Verdana"/>
          <w:sz w:val="20"/>
        </w:rPr>
        <w:t>para esse</w:t>
      </w:r>
      <w:r w:rsidRPr="005E2C37">
        <w:rPr>
          <w:rFonts w:ascii="Verdana" w:hAnsi="Verdana"/>
          <w:sz w:val="20"/>
        </w:rPr>
        <w:t xml:space="preserve"> efeito citou a Corte Internacional de Justiça quando esta sustenta que “um instrumento internacional deve ser interpretado e aplicado no âmbito do conjunto do sistema jurídico vigente no momento em que se pratica a interpretação” </w:t>
      </w:r>
      <w:r w:rsidR="00C60678" w:rsidRPr="00C60678">
        <w:rPr>
          <w:rFonts w:ascii="Verdana" w:hAnsi="Verdana"/>
          <w:sz w:val="20"/>
        </w:rPr>
        <w:t>(</w:t>
      </w:r>
      <w:r w:rsidRPr="005E2C37">
        <w:rPr>
          <w:rFonts w:ascii="Verdana" w:hAnsi="Verdana"/>
          <w:i/>
          <w:sz w:val="20"/>
        </w:rPr>
        <w:t xml:space="preserve">Legal Consequences for States of the Continued Presence of South Africa in Namibia </w:t>
      </w:r>
      <w:r w:rsidR="00C60678" w:rsidRPr="00C60678">
        <w:rPr>
          <w:rFonts w:ascii="Verdana" w:hAnsi="Verdana"/>
          <w:sz w:val="20"/>
        </w:rPr>
        <w:t>(</w:t>
      </w:r>
      <w:r w:rsidRPr="005E2C37">
        <w:rPr>
          <w:rFonts w:ascii="Verdana" w:hAnsi="Verdana"/>
          <w:i/>
          <w:sz w:val="20"/>
        </w:rPr>
        <w:t>South West Africa</w:t>
      </w:r>
      <w:r w:rsidR="00C60678" w:rsidRPr="00C60678">
        <w:rPr>
          <w:rFonts w:ascii="Verdana" w:hAnsi="Verdana"/>
          <w:sz w:val="20"/>
        </w:rPr>
        <w:t>)</w:t>
      </w:r>
      <w:r w:rsidRPr="005E2C37">
        <w:rPr>
          <w:rFonts w:ascii="Verdana" w:hAnsi="Verdana"/>
          <w:i/>
          <w:sz w:val="20"/>
        </w:rPr>
        <w:t xml:space="preserve">, notwithstanding Security Council Resolution 276 </w:t>
      </w:r>
      <w:r w:rsidR="00C60678" w:rsidRPr="00C60678">
        <w:rPr>
          <w:rFonts w:ascii="Verdana" w:hAnsi="Verdana"/>
          <w:sz w:val="20"/>
        </w:rPr>
        <w:t>(</w:t>
      </w:r>
      <w:r w:rsidRPr="005E2C37">
        <w:rPr>
          <w:rFonts w:ascii="Verdana" w:hAnsi="Verdana"/>
          <w:i/>
          <w:sz w:val="20"/>
        </w:rPr>
        <w:t>1970</w:t>
      </w:r>
      <w:r w:rsidR="00C60678" w:rsidRPr="00C60678">
        <w:rPr>
          <w:rFonts w:ascii="Verdana" w:hAnsi="Verdana"/>
          <w:sz w:val="20"/>
        </w:rPr>
        <w:t>)</w:t>
      </w:r>
      <w:r w:rsidRPr="005E2C37">
        <w:rPr>
          <w:rFonts w:ascii="Verdana" w:hAnsi="Verdana"/>
          <w:sz w:val="20"/>
        </w:rPr>
        <w:t xml:space="preserve">, </w:t>
      </w:r>
      <w:r w:rsidRPr="00052098">
        <w:rPr>
          <w:rFonts w:ascii="Verdana" w:hAnsi="Verdana"/>
          <w:i/>
          <w:sz w:val="20"/>
        </w:rPr>
        <w:t>Advisory Opinion, I.C.J. Reports 1971</w:t>
      </w:r>
      <w:r w:rsidRPr="005E2C37">
        <w:rPr>
          <w:rFonts w:ascii="Verdana" w:hAnsi="Verdana"/>
          <w:sz w:val="20"/>
        </w:rPr>
        <w:t xml:space="preserve">, pág. 16 </w:t>
      </w:r>
      <w:r w:rsidRPr="005E2C37">
        <w:rPr>
          <w:rFonts w:ascii="Verdana" w:hAnsi="Verdana"/>
          <w:i/>
          <w:sz w:val="20"/>
        </w:rPr>
        <w:t xml:space="preserve">ad </w:t>
      </w:r>
      <w:r w:rsidRPr="005E2C37">
        <w:rPr>
          <w:rFonts w:ascii="Verdana" w:hAnsi="Verdana"/>
          <w:sz w:val="20"/>
        </w:rPr>
        <w:t>31</w:t>
      </w:r>
      <w:r w:rsidR="00C60678" w:rsidRPr="00C60678">
        <w:rPr>
          <w:rFonts w:ascii="Verdana" w:hAnsi="Verdana"/>
          <w:sz w:val="20"/>
        </w:rPr>
        <w:t>)</w:t>
      </w:r>
      <w:r w:rsidRPr="005E2C37">
        <w:rPr>
          <w:rFonts w:ascii="Verdana" w:hAnsi="Verdana"/>
          <w:sz w:val="20"/>
        </w:rPr>
        <w:t xml:space="preserve">. Assim o fez a Corte Interamericana ao </w:t>
      </w:r>
      <w:r w:rsidR="00BF2B08">
        <w:rPr>
          <w:rFonts w:ascii="Verdana" w:hAnsi="Verdana"/>
          <w:sz w:val="20"/>
        </w:rPr>
        <w:t>proferir</w:t>
      </w:r>
      <w:r w:rsidRPr="005E2C37">
        <w:rPr>
          <w:rFonts w:ascii="Verdana" w:hAnsi="Verdana"/>
          <w:sz w:val="20"/>
        </w:rPr>
        <w:t xml:space="preserve"> Sentença no presente caso. </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6.</w:t>
      </w:r>
      <w:r w:rsidRPr="005E2C37">
        <w:rPr>
          <w:rFonts w:ascii="Verdana" w:hAnsi="Verdana"/>
          <w:sz w:val="20"/>
        </w:rPr>
        <w:tab/>
        <w:t xml:space="preserve">Diversos instrumentos internacionais concernentes à vida, cultura e direitos dos indígenas invocam o reconhecimento explícito de suas instituições jurídicas e, entre elas, das formas de propriedade que prevaleceram e prevalecem entre estes. Da revisão destes textos, </w:t>
      </w:r>
      <w:r w:rsidR="00BF2B08">
        <w:rPr>
          <w:rFonts w:ascii="Verdana" w:hAnsi="Verdana"/>
          <w:sz w:val="20"/>
        </w:rPr>
        <w:t xml:space="preserve">à </w:t>
      </w:r>
      <w:r w:rsidRPr="005E2C37">
        <w:rPr>
          <w:rFonts w:ascii="Verdana" w:hAnsi="Verdana"/>
          <w:sz w:val="20"/>
        </w:rPr>
        <w:t>qu</w:t>
      </w:r>
      <w:r w:rsidR="00BC27FB">
        <w:rPr>
          <w:rFonts w:ascii="Verdana" w:hAnsi="Verdana"/>
          <w:sz w:val="20"/>
        </w:rPr>
        <w:t>al concorre</w:t>
      </w:r>
      <w:r w:rsidRPr="005E2C37">
        <w:rPr>
          <w:rFonts w:ascii="Verdana" w:hAnsi="Verdana"/>
          <w:sz w:val="20"/>
        </w:rPr>
        <w:t xml:space="preserve"> uma ampla corrente de convicções, experiências e exigências, </w:t>
      </w:r>
      <w:r>
        <w:rPr>
          <w:rFonts w:ascii="Verdana" w:hAnsi="Verdana"/>
          <w:sz w:val="20"/>
        </w:rPr>
        <w:t>observa</w:t>
      </w:r>
      <w:r w:rsidRPr="005E2C37">
        <w:rPr>
          <w:rFonts w:ascii="Verdana" w:hAnsi="Verdana"/>
          <w:sz w:val="20"/>
        </w:rPr>
        <w:t xml:space="preserve">-se a legitimidade que têm e o respeito que merecem estes sistemas de posse da terra, </w:t>
      </w:r>
      <w:r w:rsidR="00C6474D">
        <w:rPr>
          <w:rFonts w:ascii="Verdana" w:hAnsi="Verdana"/>
          <w:sz w:val="20"/>
        </w:rPr>
        <w:t>bem como</w:t>
      </w:r>
      <w:r w:rsidRPr="005E2C37">
        <w:rPr>
          <w:rFonts w:ascii="Verdana" w:hAnsi="Verdana"/>
          <w:sz w:val="20"/>
        </w:rPr>
        <w:t xml:space="preserve"> a necessidade que existe, em tal virtude, de </w:t>
      </w:r>
      <w:r w:rsidR="00BC27FB">
        <w:rPr>
          <w:rFonts w:ascii="Verdana" w:hAnsi="Verdana"/>
          <w:sz w:val="20"/>
        </w:rPr>
        <w:t>disponibilizar</w:t>
      </w:r>
      <w:r w:rsidRPr="005E2C37">
        <w:rPr>
          <w:rFonts w:ascii="Verdana" w:hAnsi="Verdana"/>
          <w:sz w:val="20"/>
        </w:rPr>
        <w:t xml:space="preserve"> seu reconhecimento e defesa. No âmbito dos direitos individuais dos indígenas e coletivos de seus povos </w:t>
      </w:r>
      <w:r>
        <w:rPr>
          <w:rFonts w:ascii="Verdana" w:hAnsi="Verdana"/>
          <w:sz w:val="20"/>
        </w:rPr>
        <w:t xml:space="preserve">se </w:t>
      </w:r>
      <w:r w:rsidRPr="005E2C37">
        <w:rPr>
          <w:rFonts w:ascii="Verdana" w:hAnsi="Verdana"/>
          <w:sz w:val="20"/>
        </w:rPr>
        <w:t xml:space="preserve">integra, por fim, com as estipulações dos instrumentos gerais sobre direitos </w:t>
      </w:r>
      <w:proofErr w:type="gramStart"/>
      <w:r w:rsidRPr="005E2C37">
        <w:rPr>
          <w:rFonts w:ascii="Verdana" w:hAnsi="Verdana"/>
          <w:sz w:val="20"/>
        </w:rPr>
        <w:t>humanos aplicáveis a todas as pessoas, ilustradas com os dados que constam nesses outros catálogos específicos, sobre os quais existe um consenso cada vez mais amplo e resolvido</w:t>
      </w:r>
      <w:proofErr w:type="gramEnd"/>
      <w:r w:rsidRPr="005E2C37">
        <w:rPr>
          <w:rFonts w:ascii="Verdana" w:hAnsi="Verdana"/>
          <w:sz w:val="20"/>
        </w:rPr>
        <w:t>. Estes dados constituem elementos úteis – mais ainda, indispensáveis – para a interpretação das normas convencionais que deve aplicar a Corte.</w:t>
      </w:r>
    </w:p>
    <w:p w:rsidR="006C04AC" w:rsidRDefault="006C04AC" w:rsidP="006C04AC">
      <w:pPr>
        <w:jc w:val="both"/>
        <w:rPr>
          <w:rFonts w:ascii="Verdana" w:hAnsi="Verdana"/>
          <w:sz w:val="20"/>
        </w:rPr>
      </w:pPr>
    </w:p>
    <w:p w:rsidR="00EB447E" w:rsidRPr="00EB447E" w:rsidRDefault="006C04AC" w:rsidP="00EB447E">
      <w:pPr>
        <w:jc w:val="both"/>
        <w:rPr>
          <w:rFonts w:ascii="Verdana" w:hAnsi="Verdana"/>
          <w:sz w:val="20"/>
        </w:rPr>
      </w:pPr>
      <w:r w:rsidRPr="005E2C37">
        <w:rPr>
          <w:rFonts w:ascii="Verdana" w:hAnsi="Verdana"/>
          <w:sz w:val="20"/>
        </w:rPr>
        <w:t>7.</w:t>
      </w:r>
      <w:r w:rsidRPr="005E2C37">
        <w:rPr>
          <w:rFonts w:ascii="Verdana" w:hAnsi="Verdana"/>
          <w:sz w:val="20"/>
        </w:rPr>
        <w:tab/>
        <w:t xml:space="preserve">Nesta ordem de ideias, </w:t>
      </w:r>
      <w:r w:rsidR="00052098">
        <w:rPr>
          <w:rFonts w:ascii="Verdana" w:hAnsi="Verdana"/>
          <w:sz w:val="20"/>
        </w:rPr>
        <w:t>a Convenção</w:t>
      </w:r>
      <w:r w:rsidR="00C042C4">
        <w:rPr>
          <w:rFonts w:ascii="Verdana" w:hAnsi="Verdana"/>
          <w:sz w:val="20"/>
        </w:rPr>
        <w:t xml:space="preserve"> </w:t>
      </w:r>
      <w:r w:rsidR="00AE3F22">
        <w:rPr>
          <w:rFonts w:ascii="Verdana" w:hAnsi="Verdana"/>
          <w:sz w:val="20"/>
        </w:rPr>
        <w:t>nº</w:t>
      </w:r>
      <w:r w:rsidR="00C042C4">
        <w:rPr>
          <w:rFonts w:ascii="Verdana" w:hAnsi="Verdana"/>
          <w:sz w:val="20"/>
        </w:rPr>
        <w:t xml:space="preserve"> </w:t>
      </w:r>
      <w:r w:rsidRPr="005E2C37">
        <w:rPr>
          <w:rFonts w:ascii="Verdana" w:hAnsi="Verdana"/>
          <w:sz w:val="20"/>
        </w:rPr>
        <w:t xml:space="preserve">169 sobre Povos Indígenas e Tribais em Países </w:t>
      </w:r>
      <w:r>
        <w:rPr>
          <w:rFonts w:ascii="Verdana" w:hAnsi="Verdana"/>
          <w:sz w:val="20"/>
        </w:rPr>
        <w:t>Independentes, adotad</w:t>
      </w:r>
      <w:r w:rsidR="00BC27FB">
        <w:rPr>
          <w:rFonts w:ascii="Verdana" w:hAnsi="Verdana"/>
          <w:sz w:val="20"/>
        </w:rPr>
        <w:t>a</w:t>
      </w:r>
      <w:r>
        <w:rPr>
          <w:rFonts w:ascii="Verdana" w:hAnsi="Verdana"/>
          <w:sz w:val="20"/>
        </w:rPr>
        <w:t xml:space="preserve"> pela 76ª</w:t>
      </w:r>
      <w:r w:rsidRPr="005E2C37">
        <w:rPr>
          <w:rFonts w:ascii="Verdana" w:hAnsi="Verdana"/>
          <w:sz w:val="20"/>
        </w:rPr>
        <w:t xml:space="preserve"> Conferência Internacional do T</w:t>
      </w:r>
      <w:r w:rsidR="00052098">
        <w:rPr>
          <w:rFonts w:ascii="Verdana" w:hAnsi="Verdana"/>
          <w:sz w:val="20"/>
        </w:rPr>
        <w:t xml:space="preserve">rabalho </w:t>
      </w:r>
      <w:r w:rsidR="00C60678" w:rsidRPr="00C60678">
        <w:rPr>
          <w:rFonts w:ascii="Verdana" w:hAnsi="Verdana"/>
          <w:sz w:val="20"/>
        </w:rPr>
        <w:t>(</w:t>
      </w:r>
      <w:r w:rsidR="00052098">
        <w:rPr>
          <w:rFonts w:ascii="Verdana" w:hAnsi="Verdana"/>
          <w:sz w:val="20"/>
        </w:rPr>
        <w:t>Genebra, 1989</w:t>
      </w:r>
      <w:r w:rsidR="00C60678" w:rsidRPr="00C60678">
        <w:rPr>
          <w:rFonts w:ascii="Verdana" w:hAnsi="Verdana"/>
          <w:sz w:val="20"/>
        </w:rPr>
        <w:t>)</w:t>
      </w:r>
      <w:r w:rsidR="00052098">
        <w:rPr>
          <w:rFonts w:ascii="Verdana" w:hAnsi="Verdana"/>
          <w:sz w:val="20"/>
        </w:rPr>
        <w:t>, animada</w:t>
      </w:r>
      <w:r w:rsidRPr="005E2C37">
        <w:rPr>
          <w:rFonts w:ascii="Verdana" w:hAnsi="Verdana"/>
          <w:sz w:val="20"/>
        </w:rPr>
        <w:t xml:space="preserve"> pela ideia da existência perdurável dos povos indígenas e tribais – com respeito </w:t>
      </w:r>
      <w:r w:rsidR="00BC27FB">
        <w:rPr>
          <w:rFonts w:ascii="Verdana" w:hAnsi="Verdana"/>
          <w:sz w:val="20"/>
        </w:rPr>
        <w:t>à</w:t>
      </w:r>
      <w:r w:rsidRPr="005E2C37">
        <w:rPr>
          <w:rFonts w:ascii="Verdana" w:hAnsi="Verdana"/>
          <w:sz w:val="20"/>
        </w:rPr>
        <w:t xml:space="preserve"> sua identidade e às instituições que são produto e resguardo desta -, sustentou que “os governos deverão respeitar a importância especial que</w:t>
      </w:r>
      <w:r w:rsidR="00BC27FB">
        <w:rPr>
          <w:rFonts w:ascii="Verdana" w:hAnsi="Verdana"/>
          <w:sz w:val="20"/>
        </w:rPr>
        <w:t xml:space="preserve"> possui,</w:t>
      </w:r>
      <w:r w:rsidRPr="005E2C37">
        <w:rPr>
          <w:rFonts w:ascii="Verdana" w:hAnsi="Verdana"/>
          <w:sz w:val="20"/>
        </w:rPr>
        <w:t xml:space="preserve"> para as culturas e valores espirituais dos povos interessados</w:t>
      </w:r>
      <w:r w:rsidR="00BC27FB">
        <w:rPr>
          <w:rFonts w:ascii="Verdana" w:hAnsi="Verdana"/>
          <w:sz w:val="20"/>
        </w:rPr>
        <w:t>,</w:t>
      </w:r>
      <w:r w:rsidRPr="005E2C37">
        <w:rPr>
          <w:rFonts w:ascii="Verdana" w:hAnsi="Verdana"/>
          <w:sz w:val="20"/>
        </w:rPr>
        <w:t xml:space="preserve"> </w:t>
      </w:r>
      <w:r w:rsidR="00052098">
        <w:rPr>
          <w:rFonts w:ascii="Verdana" w:hAnsi="Verdana"/>
          <w:sz w:val="20"/>
        </w:rPr>
        <w:t>a</w:t>
      </w:r>
      <w:r w:rsidRPr="005E2C37">
        <w:rPr>
          <w:rFonts w:ascii="Verdana" w:hAnsi="Verdana"/>
          <w:sz w:val="20"/>
        </w:rPr>
        <w:t xml:space="preserve"> sua relação com as terras ou territórios, ou com ambos, segundo os casos, que </w:t>
      </w:r>
      <w:r w:rsidR="00052098">
        <w:rPr>
          <w:rFonts w:ascii="Verdana" w:hAnsi="Verdana"/>
          <w:sz w:val="20"/>
        </w:rPr>
        <w:t xml:space="preserve">eles </w:t>
      </w:r>
      <w:r w:rsidRPr="005E2C37">
        <w:rPr>
          <w:rFonts w:ascii="Verdana" w:hAnsi="Verdana"/>
          <w:sz w:val="20"/>
        </w:rPr>
        <w:t xml:space="preserve">ocupam ou utilizam de alguma </w:t>
      </w:r>
      <w:r w:rsidR="00052098">
        <w:rPr>
          <w:rFonts w:ascii="Verdana" w:hAnsi="Verdana"/>
          <w:sz w:val="20"/>
        </w:rPr>
        <w:t xml:space="preserve">maneira </w:t>
      </w:r>
      <w:r w:rsidRPr="005E2C37">
        <w:rPr>
          <w:rFonts w:ascii="Verdana" w:hAnsi="Verdana"/>
          <w:sz w:val="20"/>
        </w:rPr>
        <w:t>e</w:t>
      </w:r>
      <w:r w:rsidR="00052098">
        <w:rPr>
          <w:rFonts w:ascii="Verdana" w:hAnsi="Verdana"/>
          <w:sz w:val="20"/>
        </w:rPr>
        <w:t>,</w:t>
      </w:r>
      <w:r w:rsidRPr="005E2C37">
        <w:rPr>
          <w:rFonts w:ascii="Verdana" w:hAnsi="Verdana"/>
          <w:sz w:val="20"/>
        </w:rPr>
        <w:t xml:space="preserve"> </w:t>
      </w:r>
      <w:r w:rsidR="00052098">
        <w:rPr>
          <w:rFonts w:ascii="Verdana" w:hAnsi="Verdana"/>
          <w:sz w:val="20"/>
        </w:rPr>
        <w:t>particularmente</w:t>
      </w:r>
      <w:r w:rsidRPr="005E2C37">
        <w:rPr>
          <w:rFonts w:ascii="Verdana" w:hAnsi="Verdana"/>
          <w:sz w:val="20"/>
        </w:rPr>
        <w:t xml:space="preserve">, os aspectos coletivos dessa relação” </w:t>
      </w:r>
      <w:r w:rsidR="00C60678" w:rsidRPr="00C60678">
        <w:rPr>
          <w:rFonts w:ascii="Verdana" w:hAnsi="Verdana"/>
          <w:sz w:val="20"/>
        </w:rPr>
        <w:t>(</w:t>
      </w:r>
      <w:r w:rsidRPr="005E2C37">
        <w:rPr>
          <w:rFonts w:ascii="Verdana" w:hAnsi="Verdana"/>
          <w:sz w:val="20"/>
        </w:rPr>
        <w:t>artigo</w:t>
      </w:r>
      <w:r w:rsidR="00052098">
        <w:rPr>
          <w:rFonts w:ascii="Verdana" w:hAnsi="Verdana"/>
          <w:sz w:val="20"/>
        </w:rPr>
        <w:t xml:space="preserve"> 13.1</w:t>
      </w:r>
      <w:r w:rsidR="00C60678" w:rsidRPr="00C60678">
        <w:rPr>
          <w:rFonts w:ascii="Verdana" w:hAnsi="Verdana"/>
          <w:sz w:val="20"/>
        </w:rPr>
        <w:t>)</w:t>
      </w:r>
      <w:r w:rsidR="00052098">
        <w:rPr>
          <w:rFonts w:ascii="Verdana" w:hAnsi="Verdana"/>
          <w:sz w:val="20"/>
        </w:rPr>
        <w:t xml:space="preserve">; e </w:t>
      </w:r>
      <w:r w:rsidR="00BF2B08">
        <w:rPr>
          <w:rFonts w:ascii="Verdana" w:hAnsi="Verdana"/>
          <w:sz w:val="20"/>
        </w:rPr>
        <w:t>afirmou também</w:t>
      </w:r>
      <w:r w:rsidR="00052098">
        <w:rPr>
          <w:rFonts w:ascii="Verdana" w:hAnsi="Verdana"/>
          <w:sz w:val="20"/>
        </w:rPr>
        <w:t>: “Dever-se-á reconhecer</w:t>
      </w:r>
      <w:r w:rsidRPr="005E2C37">
        <w:rPr>
          <w:rFonts w:ascii="Verdana" w:hAnsi="Verdana"/>
          <w:sz w:val="20"/>
        </w:rPr>
        <w:t xml:space="preserve"> aos povos interessados o</w:t>
      </w:r>
      <w:r w:rsidR="00052098">
        <w:rPr>
          <w:rFonts w:ascii="Verdana" w:hAnsi="Verdana"/>
          <w:sz w:val="20"/>
        </w:rPr>
        <w:t>s</w:t>
      </w:r>
      <w:r w:rsidRPr="005E2C37">
        <w:rPr>
          <w:rFonts w:ascii="Verdana" w:hAnsi="Verdana"/>
          <w:sz w:val="20"/>
        </w:rPr>
        <w:t xml:space="preserve"> direito</w:t>
      </w:r>
      <w:r w:rsidR="00052098">
        <w:rPr>
          <w:rFonts w:ascii="Verdana" w:hAnsi="Verdana"/>
          <w:sz w:val="20"/>
        </w:rPr>
        <w:t>s</w:t>
      </w:r>
      <w:r w:rsidRPr="005E2C37">
        <w:rPr>
          <w:rFonts w:ascii="Verdana" w:hAnsi="Verdana"/>
          <w:sz w:val="20"/>
        </w:rPr>
        <w:t xml:space="preserve"> de propriedade e </w:t>
      </w:r>
      <w:r w:rsidR="00052098">
        <w:rPr>
          <w:rFonts w:ascii="Verdana" w:hAnsi="Verdana"/>
          <w:sz w:val="20"/>
        </w:rPr>
        <w:t xml:space="preserve">de </w:t>
      </w:r>
      <w:r w:rsidRPr="005E2C37">
        <w:rPr>
          <w:rFonts w:ascii="Verdana" w:hAnsi="Verdana"/>
          <w:sz w:val="20"/>
        </w:rPr>
        <w:t>posse sobre as terras que tradicio</w:t>
      </w:r>
      <w:r w:rsidR="00EB447E">
        <w:rPr>
          <w:rFonts w:ascii="Verdana" w:hAnsi="Verdana"/>
          <w:sz w:val="20"/>
        </w:rPr>
        <w:t xml:space="preserve">nalmente ocupam” </w:t>
      </w:r>
      <w:r w:rsidR="00C60678" w:rsidRPr="00C60678">
        <w:rPr>
          <w:rFonts w:ascii="Verdana" w:hAnsi="Verdana"/>
          <w:sz w:val="20"/>
        </w:rPr>
        <w:t>(</w:t>
      </w:r>
      <w:r w:rsidR="00EB447E">
        <w:rPr>
          <w:rFonts w:ascii="Verdana" w:hAnsi="Verdana"/>
          <w:sz w:val="20"/>
        </w:rPr>
        <w:t>artigo 14.1</w:t>
      </w:r>
      <w:r w:rsidR="00C60678" w:rsidRPr="00C60678">
        <w:rPr>
          <w:rFonts w:ascii="Verdana" w:hAnsi="Verdana"/>
          <w:sz w:val="20"/>
        </w:rPr>
        <w:t>)</w:t>
      </w:r>
      <w:r w:rsidR="00EB447E">
        <w:rPr>
          <w:rFonts w:ascii="Verdana" w:hAnsi="Verdana"/>
          <w:sz w:val="20"/>
        </w:rPr>
        <w:t>.</w:t>
      </w:r>
    </w:p>
    <w:p w:rsidR="00EB447E" w:rsidRDefault="00EB447E" w:rsidP="006C04AC">
      <w:pPr>
        <w:jc w:val="both"/>
        <w:rPr>
          <w:rFonts w:ascii="Swiss721BT-LightExtended" w:eastAsia="Calibri" w:hAnsi="Swiss721BT-LightExtended" w:cs="Swiss721BT-LightExtended"/>
          <w:sz w:val="20"/>
          <w:lang w:eastAsia="pt-BR"/>
        </w:rPr>
      </w:pPr>
    </w:p>
    <w:p w:rsidR="006C04AC" w:rsidRPr="005E2C37" w:rsidRDefault="006C04AC" w:rsidP="006C04AC">
      <w:pPr>
        <w:jc w:val="both"/>
        <w:rPr>
          <w:rFonts w:ascii="Verdana" w:hAnsi="Verdana"/>
          <w:sz w:val="20"/>
        </w:rPr>
      </w:pPr>
      <w:r w:rsidRPr="005E2C37">
        <w:rPr>
          <w:rFonts w:ascii="Verdana" w:hAnsi="Verdana"/>
          <w:sz w:val="20"/>
        </w:rPr>
        <w:t>8.</w:t>
      </w:r>
      <w:r w:rsidRPr="005E2C37">
        <w:rPr>
          <w:rFonts w:ascii="Verdana" w:hAnsi="Verdana"/>
          <w:sz w:val="20"/>
        </w:rPr>
        <w:tab/>
      </w:r>
      <w:r w:rsidRPr="005236FC">
        <w:rPr>
          <w:rFonts w:ascii="Verdana" w:hAnsi="Verdana"/>
          <w:sz w:val="20"/>
        </w:rPr>
        <w:t xml:space="preserve">O Projeto de Declaração sobre Discriminação contra as Populações Indígenas, emanado da Subcomissão de Prevenção de Discriminações e Proteção às Minorias da Comissão de Direitos Humanos do Conselho Econômico e Social das Nações Unidas </w:t>
      </w:r>
      <w:r w:rsidR="00C60678" w:rsidRPr="00C60678">
        <w:rPr>
          <w:rFonts w:ascii="Verdana" w:hAnsi="Verdana"/>
          <w:sz w:val="20"/>
        </w:rPr>
        <w:t>(</w:t>
      </w:r>
      <w:r w:rsidRPr="005236FC">
        <w:rPr>
          <w:rFonts w:ascii="Verdana" w:hAnsi="Verdana"/>
          <w:sz w:val="20"/>
        </w:rPr>
        <w:t>E/</w:t>
      </w:r>
      <w:proofErr w:type="gramStart"/>
      <w:r w:rsidRPr="005236FC">
        <w:rPr>
          <w:rFonts w:ascii="Verdana" w:hAnsi="Verdana"/>
          <w:sz w:val="20"/>
        </w:rPr>
        <w:t>CN.</w:t>
      </w:r>
      <w:proofErr w:type="gramEnd"/>
      <w:r w:rsidRPr="005236FC">
        <w:rPr>
          <w:rFonts w:ascii="Verdana" w:hAnsi="Verdana"/>
          <w:sz w:val="20"/>
        </w:rPr>
        <w:t>4/Sub.2/1994/2</w:t>
      </w:r>
      <w:r w:rsidRPr="005E2C37">
        <w:rPr>
          <w:rFonts w:ascii="Verdana" w:hAnsi="Verdana"/>
          <w:sz w:val="20"/>
        </w:rPr>
        <w:t>/Add.1, 20 de abril de 1994</w:t>
      </w:r>
      <w:r w:rsidR="00C60678" w:rsidRPr="00C60678">
        <w:rPr>
          <w:rFonts w:ascii="Verdana" w:hAnsi="Verdana"/>
          <w:sz w:val="20"/>
        </w:rPr>
        <w:t>)</w:t>
      </w:r>
      <w:r w:rsidRPr="005E2C37">
        <w:rPr>
          <w:rFonts w:ascii="Verdana" w:hAnsi="Verdana"/>
          <w:sz w:val="20"/>
        </w:rPr>
        <w:t xml:space="preserve"> </w:t>
      </w:r>
      <w:r>
        <w:rPr>
          <w:rFonts w:ascii="Verdana" w:hAnsi="Verdana"/>
          <w:sz w:val="20"/>
        </w:rPr>
        <w:t>se refere</w:t>
      </w:r>
      <w:r w:rsidRPr="005E2C37">
        <w:rPr>
          <w:rFonts w:ascii="Verdana" w:hAnsi="Verdana"/>
          <w:sz w:val="20"/>
        </w:rPr>
        <w:t xml:space="preserve"> claramente a estas mesmas questões e contribui a fixar, dessa maneira, o critério da comunidade jurídica internacional a</w:t>
      </w:r>
      <w:r w:rsidR="00BF2B08">
        <w:rPr>
          <w:rFonts w:ascii="Verdana" w:hAnsi="Verdana"/>
          <w:sz w:val="20"/>
        </w:rPr>
        <w:t>o</w:t>
      </w:r>
      <w:r w:rsidRPr="005E2C37">
        <w:rPr>
          <w:rFonts w:ascii="Verdana" w:hAnsi="Verdana"/>
          <w:sz w:val="20"/>
        </w:rPr>
        <w:t xml:space="preserve"> redor dos temas que </w:t>
      </w:r>
      <w:r>
        <w:rPr>
          <w:rFonts w:ascii="Verdana" w:hAnsi="Verdana"/>
          <w:sz w:val="20"/>
        </w:rPr>
        <w:t xml:space="preserve">dizem respeito </w:t>
      </w:r>
      <w:r w:rsidR="008F5235">
        <w:rPr>
          <w:rFonts w:ascii="Verdana" w:hAnsi="Verdana"/>
          <w:sz w:val="20"/>
        </w:rPr>
        <w:t>aos</w:t>
      </w:r>
      <w:r w:rsidR="008F5235" w:rsidRPr="005E2C37">
        <w:rPr>
          <w:rFonts w:ascii="Verdana" w:hAnsi="Verdana"/>
          <w:sz w:val="20"/>
        </w:rPr>
        <w:t xml:space="preserve"> </w:t>
      </w:r>
      <w:r w:rsidRPr="005E2C37">
        <w:rPr>
          <w:rFonts w:ascii="Verdana" w:hAnsi="Verdana"/>
          <w:sz w:val="20"/>
        </w:rPr>
        <w:t xml:space="preserve">grupos indígenas e seus integrantes. </w:t>
      </w:r>
      <w:r w:rsidR="00BF2B08">
        <w:rPr>
          <w:rFonts w:ascii="Verdana" w:hAnsi="Verdana"/>
          <w:sz w:val="20"/>
        </w:rPr>
        <w:t>De fato</w:t>
      </w:r>
      <w:r w:rsidRPr="005E2C37">
        <w:rPr>
          <w:rFonts w:ascii="Verdana" w:hAnsi="Verdana"/>
          <w:sz w:val="20"/>
        </w:rPr>
        <w:t xml:space="preserve">, o artigo </w:t>
      </w:r>
      <w:proofErr w:type="gramStart"/>
      <w:r w:rsidRPr="005E2C37">
        <w:rPr>
          <w:rFonts w:ascii="Verdana" w:hAnsi="Verdana"/>
          <w:sz w:val="20"/>
        </w:rPr>
        <w:t>2</w:t>
      </w:r>
      <w:proofErr w:type="gramEnd"/>
      <w:r w:rsidRPr="005E2C37">
        <w:rPr>
          <w:rFonts w:ascii="Verdana" w:hAnsi="Verdana"/>
          <w:sz w:val="20"/>
        </w:rPr>
        <w:t xml:space="preserve"> estipula: “Os povos indígenas têm direito a conservar e reforçar </w:t>
      </w:r>
      <w:r w:rsidR="00C60678" w:rsidRPr="00C60678">
        <w:rPr>
          <w:rFonts w:ascii="Verdana" w:hAnsi="Verdana"/>
          <w:sz w:val="20"/>
        </w:rPr>
        <w:t>(</w:t>
      </w:r>
      <w:r w:rsidRPr="005E2C37">
        <w:rPr>
          <w:rFonts w:ascii="Verdana" w:hAnsi="Verdana"/>
          <w:sz w:val="20"/>
        </w:rPr>
        <w:t>...</w:t>
      </w:r>
      <w:r w:rsidR="00C60678" w:rsidRPr="00C60678">
        <w:rPr>
          <w:rFonts w:ascii="Verdana" w:hAnsi="Verdana"/>
          <w:sz w:val="20"/>
        </w:rPr>
        <w:t>)</w:t>
      </w:r>
      <w:r w:rsidRPr="005E2C37">
        <w:rPr>
          <w:rFonts w:ascii="Verdana" w:hAnsi="Verdana"/>
          <w:sz w:val="20"/>
        </w:rPr>
        <w:t xml:space="preserve"> seus sistemas jurídicos </w:t>
      </w:r>
      <w:r w:rsidR="00C60678" w:rsidRPr="00C60678">
        <w:rPr>
          <w:rFonts w:ascii="Verdana" w:hAnsi="Verdana"/>
          <w:sz w:val="20"/>
        </w:rPr>
        <w:t>(</w:t>
      </w:r>
      <w:r w:rsidRPr="005E2C37">
        <w:rPr>
          <w:rFonts w:ascii="Verdana" w:hAnsi="Verdana"/>
          <w:sz w:val="20"/>
        </w:rPr>
        <w:t>...</w:t>
      </w:r>
      <w:r w:rsidR="00C60678" w:rsidRPr="00C60678">
        <w:rPr>
          <w:rFonts w:ascii="Verdana" w:hAnsi="Verdana"/>
          <w:sz w:val="20"/>
        </w:rPr>
        <w:t>)</w:t>
      </w:r>
      <w:r w:rsidRPr="005E2C37">
        <w:rPr>
          <w:rFonts w:ascii="Verdana" w:hAnsi="Verdana"/>
          <w:sz w:val="20"/>
        </w:rPr>
        <w:t xml:space="preserve">”. Adiante, o artigo 25 indica que esses povos “têm </w:t>
      </w:r>
      <w:r w:rsidR="00EB447E">
        <w:rPr>
          <w:rFonts w:ascii="Verdana" w:hAnsi="Verdana"/>
          <w:sz w:val="20"/>
        </w:rPr>
        <w:t>o direito de</w:t>
      </w:r>
      <w:r w:rsidRPr="005E2C37">
        <w:rPr>
          <w:rFonts w:ascii="Verdana" w:hAnsi="Verdana"/>
          <w:sz w:val="20"/>
        </w:rPr>
        <w:t xml:space="preserve"> manter e </w:t>
      </w:r>
      <w:r w:rsidR="00EB447E">
        <w:rPr>
          <w:rFonts w:ascii="Verdana" w:hAnsi="Verdana"/>
          <w:sz w:val="20"/>
        </w:rPr>
        <w:t xml:space="preserve">de </w:t>
      </w:r>
      <w:r w:rsidRPr="005E2C37">
        <w:rPr>
          <w:rFonts w:ascii="Verdana" w:hAnsi="Verdana"/>
          <w:sz w:val="20"/>
        </w:rPr>
        <w:t xml:space="preserve">fortalecer sua própria relação espiritual e material com suas terras, territórios, águas, mares costeiros e outros recursos que tradicionalmente </w:t>
      </w:r>
      <w:r w:rsidR="00BF2B08">
        <w:rPr>
          <w:rFonts w:ascii="Verdana" w:hAnsi="Verdana"/>
          <w:sz w:val="20"/>
        </w:rPr>
        <w:t>têm possuído</w:t>
      </w:r>
      <w:r w:rsidRPr="005E2C37">
        <w:rPr>
          <w:rFonts w:ascii="Verdana" w:hAnsi="Verdana"/>
          <w:sz w:val="20"/>
        </w:rPr>
        <w:t xml:space="preserve"> ou </w:t>
      </w:r>
      <w:r w:rsidR="00BF2B08">
        <w:rPr>
          <w:rFonts w:ascii="Verdana" w:hAnsi="Verdana"/>
          <w:sz w:val="20"/>
        </w:rPr>
        <w:t>ocupado</w:t>
      </w:r>
      <w:r w:rsidRPr="005E2C37">
        <w:rPr>
          <w:rFonts w:ascii="Verdana" w:hAnsi="Verdana"/>
          <w:sz w:val="20"/>
        </w:rPr>
        <w:t xml:space="preserve"> ou </w:t>
      </w:r>
      <w:r w:rsidR="00BF2B08">
        <w:rPr>
          <w:rFonts w:ascii="Verdana" w:hAnsi="Verdana"/>
          <w:sz w:val="20"/>
        </w:rPr>
        <w:t>utilizado</w:t>
      </w:r>
      <w:r w:rsidRPr="005E2C37">
        <w:rPr>
          <w:rFonts w:ascii="Verdana" w:hAnsi="Verdana"/>
          <w:sz w:val="20"/>
        </w:rPr>
        <w:t xml:space="preserve"> de outra forma e </w:t>
      </w:r>
      <w:r w:rsidR="00EB447E">
        <w:rPr>
          <w:rFonts w:ascii="Verdana" w:hAnsi="Verdana"/>
          <w:sz w:val="20"/>
        </w:rPr>
        <w:t>de</w:t>
      </w:r>
      <w:r w:rsidRPr="005E2C37">
        <w:rPr>
          <w:rFonts w:ascii="Verdana" w:hAnsi="Verdana"/>
          <w:sz w:val="20"/>
        </w:rPr>
        <w:t xml:space="preserve"> assumir as responsabilidades que a esse respeito </w:t>
      </w:r>
      <w:r w:rsidR="00EB447E">
        <w:rPr>
          <w:rFonts w:ascii="Verdana" w:hAnsi="Verdana"/>
          <w:sz w:val="20"/>
        </w:rPr>
        <w:t>incorrem em relação à</w:t>
      </w:r>
      <w:r w:rsidRPr="005E2C37">
        <w:rPr>
          <w:rFonts w:ascii="Verdana" w:hAnsi="Verdana"/>
          <w:sz w:val="20"/>
        </w:rPr>
        <w:t xml:space="preserve">s gerações </w:t>
      </w:r>
      <w:r w:rsidR="00EB447E">
        <w:rPr>
          <w:rFonts w:ascii="Verdana" w:hAnsi="Verdana"/>
          <w:sz w:val="20"/>
        </w:rPr>
        <w:t>futuras</w:t>
      </w:r>
      <w:r w:rsidRPr="005E2C37">
        <w:rPr>
          <w:rFonts w:ascii="Verdana" w:hAnsi="Verdana"/>
          <w:sz w:val="20"/>
        </w:rPr>
        <w:t xml:space="preserve">”; e o artigo 26, que afirma o direito desses povos a “possuir, </w:t>
      </w:r>
      <w:r w:rsidRPr="005E2C37">
        <w:rPr>
          <w:rFonts w:ascii="Verdana" w:hAnsi="Verdana"/>
          <w:sz w:val="20"/>
        </w:rPr>
        <w:lastRenderedPageBreak/>
        <w:t>desenvolver, controlar e util</w:t>
      </w:r>
      <w:r w:rsidR="002609F5">
        <w:rPr>
          <w:rFonts w:ascii="Verdana" w:hAnsi="Verdana"/>
          <w:sz w:val="20"/>
        </w:rPr>
        <w:t>izar suas terras e territórios”</w:t>
      </w:r>
      <w:r w:rsidRPr="005E2C37">
        <w:rPr>
          <w:rFonts w:ascii="Verdana" w:hAnsi="Verdana"/>
          <w:sz w:val="20"/>
        </w:rPr>
        <w:t xml:space="preserve"> adverte que isto “inclui o direito ao pleno reconhecimento de suas leis, tradições e costumes, sistemas de posse da terra </w:t>
      </w:r>
      <w:r w:rsidR="00C60678" w:rsidRPr="00C60678">
        <w:rPr>
          <w:rFonts w:ascii="Verdana" w:hAnsi="Verdana"/>
          <w:sz w:val="20"/>
        </w:rPr>
        <w:t>(</w:t>
      </w:r>
      <w:r w:rsidRPr="005E2C37">
        <w:rPr>
          <w:rFonts w:ascii="Verdana" w:hAnsi="Verdana"/>
          <w:sz w:val="20"/>
        </w:rPr>
        <w:t>...</w:t>
      </w:r>
      <w:r w:rsidR="00C60678" w:rsidRPr="00C60678">
        <w:rPr>
          <w:rFonts w:ascii="Verdana" w:hAnsi="Verdana"/>
          <w:sz w:val="20"/>
        </w:rPr>
        <w:t>)</w:t>
      </w:r>
      <w:r w:rsidRPr="005E2C37">
        <w:rPr>
          <w:rFonts w:ascii="Verdana" w:hAnsi="Verdana"/>
          <w:sz w:val="20"/>
        </w:rPr>
        <w:t xml:space="preserve"> e o direito a que os Estados adotem medidas eficazes para prevenir toda ingerência, usurpação ou invasão em relação </w:t>
      </w:r>
      <w:r w:rsidR="008F5235">
        <w:rPr>
          <w:rFonts w:ascii="Verdana" w:hAnsi="Verdana"/>
          <w:sz w:val="20"/>
        </w:rPr>
        <w:t>a</w:t>
      </w:r>
      <w:r w:rsidR="008F5235" w:rsidRPr="005E2C37">
        <w:rPr>
          <w:rFonts w:ascii="Verdana" w:hAnsi="Verdana"/>
          <w:sz w:val="20"/>
        </w:rPr>
        <w:t xml:space="preserve"> </w:t>
      </w:r>
      <w:r w:rsidRPr="005E2C37">
        <w:rPr>
          <w:rFonts w:ascii="Verdana" w:hAnsi="Verdana"/>
          <w:sz w:val="20"/>
        </w:rPr>
        <w:t>estes direitos”.</w:t>
      </w:r>
    </w:p>
    <w:p w:rsidR="00EB447E" w:rsidRDefault="00EB447E" w:rsidP="00EB447E">
      <w:pPr>
        <w:overflowPunct/>
        <w:textAlignment w:val="auto"/>
        <w:rPr>
          <w:rFonts w:ascii="Swiss721BT-LightExtended" w:eastAsia="Calibri" w:hAnsi="Swiss721BT-LightExtended" w:cs="Swiss721BT-LightExtended"/>
          <w:sz w:val="20"/>
          <w:lang w:eastAsia="pt-BR"/>
        </w:rPr>
      </w:pPr>
    </w:p>
    <w:p w:rsidR="006C04AC" w:rsidRPr="005E2C37" w:rsidRDefault="006C04AC" w:rsidP="006C04AC">
      <w:pPr>
        <w:jc w:val="both"/>
        <w:rPr>
          <w:rFonts w:ascii="Verdana" w:hAnsi="Verdana"/>
          <w:sz w:val="20"/>
        </w:rPr>
      </w:pPr>
      <w:r w:rsidRPr="005E2C37">
        <w:rPr>
          <w:rFonts w:ascii="Verdana" w:hAnsi="Verdana"/>
          <w:sz w:val="20"/>
        </w:rPr>
        <w:t>9.</w:t>
      </w:r>
      <w:r w:rsidRPr="005E2C37">
        <w:rPr>
          <w:rFonts w:ascii="Verdana" w:hAnsi="Verdana"/>
          <w:sz w:val="20"/>
        </w:rPr>
        <w:tab/>
        <w:t>Por sua vez, o Projeto de Declaração Americana sobre os Direitos dos Povos Indígenas, aprovado pela Comissão Interamericana de Direitos Humanos em 27 de fevereiro de 1997, que se refere à existência, relevância e respeitabilidade de direitos individuais e coletivos dos indígenas, estabelece: “Os povos indígenas têm direito ao reconhecimento legal das</w:t>
      </w:r>
      <w:r w:rsidR="00EB447E">
        <w:rPr>
          <w:rFonts w:ascii="Verdana" w:hAnsi="Verdana"/>
          <w:sz w:val="20"/>
        </w:rPr>
        <w:t xml:space="preserve"> distintas</w:t>
      </w:r>
      <w:r w:rsidRPr="005E2C37">
        <w:rPr>
          <w:rFonts w:ascii="Verdana" w:hAnsi="Verdana"/>
          <w:sz w:val="20"/>
        </w:rPr>
        <w:t xml:space="preserve"> modalidades e formas </w:t>
      </w:r>
      <w:r>
        <w:rPr>
          <w:rFonts w:ascii="Verdana" w:hAnsi="Verdana"/>
          <w:sz w:val="20"/>
        </w:rPr>
        <w:t xml:space="preserve">de sua posse, domínio e </w:t>
      </w:r>
      <w:r w:rsidR="00EB447E">
        <w:rPr>
          <w:rFonts w:ascii="Verdana" w:hAnsi="Verdana"/>
          <w:sz w:val="20"/>
        </w:rPr>
        <w:t>gozo</w:t>
      </w:r>
      <w:r w:rsidRPr="005E2C37">
        <w:rPr>
          <w:rFonts w:ascii="Verdana" w:hAnsi="Verdana"/>
          <w:sz w:val="20"/>
        </w:rPr>
        <w:t xml:space="preserve"> de territórios e propriedade” </w:t>
      </w:r>
      <w:r w:rsidR="00C60678" w:rsidRPr="00C60678">
        <w:rPr>
          <w:rFonts w:ascii="Verdana" w:hAnsi="Verdana"/>
          <w:sz w:val="20"/>
        </w:rPr>
        <w:t>(</w:t>
      </w:r>
      <w:r w:rsidRPr="005E2C37">
        <w:rPr>
          <w:rFonts w:ascii="Verdana" w:hAnsi="Verdana"/>
          <w:sz w:val="20"/>
        </w:rPr>
        <w:t xml:space="preserve">artigo </w:t>
      </w:r>
      <w:proofErr w:type="gramStart"/>
      <w:r w:rsidRPr="005E2C37">
        <w:rPr>
          <w:rFonts w:ascii="Verdana" w:hAnsi="Verdana"/>
          <w:sz w:val="20"/>
        </w:rPr>
        <w:t>XVIII.</w:t>
      </w:r>
      <w:proofErr w:type="gramEnd"/>
      <w:r w:rsidRPr="005E2C37">
        <w:rPr>
          <w:rFonts w:ascii="Verdana" w:hAnsi="Verdana"/>
          <w:sz w:val="20"/>
        </w:rPr>
        <w:t>1</w:t>
      </w:r>
      <w:r w:rsidR="00C60678" w:rsidRPr="00C60678">
        <w:rPr>
          <w:rFonts w:ascii="Verdana" w:hAnsi="Verdana"/>
          <w:sz w:val="20"/>
        </w:rPr>
        <w:t>)</w:t>
      </w:r>
      <w:r w:rsidRPr="005E2C37">
        <w:rPr>
          <w:rFonts w:ascii="Verdana" w:hAnsi="Verdana"/>
          <w:sz w:val="20"/>
        </w:rPr>
        <w:t xml:space="preserve">; e manifesta que </w:t>
      </w:r>
      <w:r w:rsidR="00C6474D">
        <w:rPr>
          <w:rFonts w:ascii="Verdana" w:hAnsi="Verdana"/>
          <w:sz w:val="20"/>
        </w:rPr>
        <w:t>estes</w:t>
      </w:r>
      <w:r w:rsidRPr="005E2C37">
        <w:rPr>
          <w:rFonts w:ascii="Verdana" w:hAnsi="Verdana"/>
          <w:sz w:val="20"/>
        </w:rPr>
        <w:t xml:space="preserve"> povos “têm direito ao reconhecimento de sua propriedade e dos direitos de domínio </w:t>
      </w:r>
      <w:r w:rsidR="00EB447E">
        <w:rPr>
          <w:rFonts w:ascii="Verdana" w:hAnsi="Verdana"/>
          <w:sz w:val="20"/>
        </w:rPr>
        <w:t>sobre</w:t>
      </w:r>
      <w:r w:rsidRPr="005E2C37">
        <w:rPr>
          <w:rFonts w:ascii="Verdana" w:hAnsi="Verdana"/>
          <w:sz w:val="20"/>
        </w:rPr>
        <w:t xml:space="preserve"> </w:t>
      </w:r>
      <w:r w:rsidR="00BF2B08">
        <w:rPr>
          <w:rFonts w:ascii="Verdana" w:hAnsi="Verdana"/>
          <w:sz w:val="20"/>
        </w:rPr>
        <w:t>a</w:t>
      </w:r>
      <w:r w:rsidRPr="005E2C37">
        <w:rPr>
          <w:rFonts w:ascii="Verdana" w:hAnsi="Verdana"/>
          <w:sz w:val="20"/>
        </w:rPr>
        <w:t>s terras, ter</w:t>
      </w:r>
      <w:r w:rsidR="00EB447E">
        <w:rPr>
          <w:rFonts w:ascii="Verdana" w:hAnsi="Verdana"/>
          <w:sz w:val="20"/>
        </w:rPr>
        <w:t>ritórios e recursos que ocupem</w:t>
      </w:r>
      <w:r w:rsidRPr="005E2C37">
        <w:rPr>
          <w:rFonts w:ascii="Verdana" w:hAnsi="Verdana"/>
          <w:sz w:val="20"/>
        </w:rPr>
        <w:t xml:space="preserve"> historicamente, </w:t>
      </w:r>
      <w:r w:rsidR="00C6474D">
        <w:rPr>
          <w:rFonts w:ascii="Verdana" w:hAnsi="Verdana"/>
          <w:sz w:val="20"/>
        </w:rPr>
        <w:t>bem como</w:t>
      </w:r>
      <w:r w:rsidRPr="005E2C37">
        <w:rPr>
          <w:rFonts w:ascii="Verdana" w:hAnsi="Verdana"/>
          <w:sz w:val="20"/>
        </w:rPr>
        <w:t xml:space="preserve"> ao uso daqueles </w:t>
      </w:r>
      <w:r w:rsidR="00EB447E">
        <w:rPr>
          <w:rFonts w:ascii="Verdana" w:hAnsi="Verdana"/>
          <w:sz w:val="20"/>
        </w:rPr>
        <w:t>a que</w:t>
      </w:r>
      <w:r w:rsidRPr="005E2C37">
        <w:rPr>
          <w:rFonts w:ascii="Verdana" w:hAnsi="Verdana"/>
          <w:sz w:val="20"/>
        </w:rPr>
        <w:t xml:space="preserve"> tenham tido igualmente acesso para realizar suas atividades tradicionais e de sustento </w:t>
      </w:r>
      <w:r w:rsidR="00C60678" w:rsidRPr="00C60678">
        <w:rPr>
          <w:rFonts w:ascii="Verdana" w:hAnsi="Verdana"/>
          <w:sz w:val="20"/>
        </w:rPr>
        <w:t>(</w:t>
      </w:r>
      <w:r w:rsidRPr="005E2C37">
        <w:rPr>
          <w:rFonts w:ascii="Verdana" w:hAnsi="Verdana"/>
          <w:sz w:val="20"/>
        </w:rPr>
        <w:t>idem, par. 2</w:t>
      </w:r>
      <w:r w:rsidR="00C60678" w:rsidRPr="00C60678">
        <w:rPr>
          <w:rFonts w:ascii="Verdana" w:hAnsi="Verdana"/>
          <w:sz w:val="20"/>
        </w:rPr>
        <w:t>)</w:t>
      </w:r>
      <w:r w:rsidRPr="005E2C37">
        <w:rPr>
          <w:rFonts w:ascii="Verdana" w:hAnsi="Verdana"/>
          <w:sz w:val="20"/>
        </w:rPr>
        <w:t>.</w:t>
      </w:r>
    </w:p>
    <w:p w:rsidR="00403483" w:rsidRDefault="00403483"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10.</w:t>
      </w:r>
      <w:r w:rsidRPr="005E2C37">
        <w:rPr>
          <w:rFonts w:ascii="Verdana" w:hAnsi="Verdana"/>
          <w:sz w:val="20"/>
        </w:rPr>
        <w:tab/>
        <w:t xml:space="preserve">Diversos ordenamentos ibero-americanos contêm disposições semelhantes, inspiradas em uma mesma experiência histórica e cultural. Entre eles figura a Constituição da Nicarágua, país sob cuja jurisdição </w:t>
      </w:r>
      <w:r w:rsidR="00BF2B08">
        <w:rPr>
          <w:rFonts w:ascii="Verdana" w:hAnsi="Verdana"/>
          <w:sz w:val="20"/>
        </w:rPr>
        <w:t>se encontra</w:t>
      </w:r>
      <w:r w:rsidR="00BF2B08" w:rsidRPr="005E2C37">
        <w:rPr>
          <w:rFonts w:ascii="Verdana" w:hAnsi="Verdana"/>
          <w:sz w:val="20"/>
        </w:rPr>
        <w:t xml:space="preserve"> </w:t>
      </w:r>
      <w:r w:rsidRPr="005E2C37">
        <w:rPr>
          <w:rFonts w:ascii="Verdana" w:hAnsi="Verdana"/>
          <w:sz w:val="20"/>
        </w:rPr>
        <w:t xml:space="preserve">a Comunidade Mayagna </w:t>
      </w:r>
      <w:r w:rsidR="00C60678" w:rsidRPr="00C60678">
        <w:rPr>
          <w:rFonts w:ascii="Verdana" w:hAnsi="Verdana"/>
          <w:sz w:val="20"/>
        </w:rPr>
        <w:t>(</w:t>
      </w:r>
      <w:r w:rsidRPr="005E2C37">
        <w:rPr>
          <w:rFonts w:ascii="Verdana" w:hAnsi="Verdana"/>
          <w:sz w:val="20"/>
        </w:rPr>
        <w:t>Sumo</w:t>
      </w:r>
      <w:r w:rsidR="00C60678" w:rsidRPr="00C60678">
        <w:rPr>
          <w:rFonts w:ascii="Verdana" w:hAnsi="Verdana"/>
          <w:sz w:val="20"/>
        </w:rPr>
        <w:t>)</w:t>
      </w:r>
      <w:r w:rsidRPr="005E2C37">
        <w:rPr>
          <w:rFonts w:ascii="Verdana" w:hAnsi="Verdana"/>
          <w:sz w:val="20"/>
        </w:rPr>
        <w:t xml:space="preserve"> Awas Tingni, localizada na região da Costa Atlântica deste país centro-americano. </w:t>
      </w:r>
      <w:r w:rsidR="00C6474D">
        <w:rPr>
          <w:rFonts w:ascii="Verdana" w:hAnsi="Verdana"/>
          <w:sz w:val="20"/>
        </w:rPr>
        <w:t>Esta</w:t>
      </w:r>
      <w:r w:rsidRPr="005E2C37">
        <w:rPr>
          <w:rFonts w:ascii="Verdana" w:hAnsi="Verdana"/>
          <w:sz w:val="20"/>
        </w:rPr>
        <w:t xml:space="preserve"> constituição, sob o título “Direitos das comunidades da Costa Atlântica”, estabelece: “O Estado reconhece as formas comunais de propriedade das terras da Comunidade da Costa Atlântica. Igualmente reconhece o gozo, uso e d</w:t>
      </w:r>
      <w:r>
        <w:rPr>
          <w:rFonts w:ascii="Verdana" w:hAnsi="Verdana"/>
          <w:sz w:val="20"/>
        </w:rPr>
        <w:t>e</w:t>
      </w:r>
      <w:r w:rsidRPr="005E2C37">
        <w:rPr>
          <w:rFonts w:ascii="Verdana" w:hAnsi="Verdana"/>
          <w:sz w:val="20"/>
        </w:rPr>
        <w:t xml:space="preserve">sfrute das águas e </w:t>
      </w:r>
      <w:r w:rsidR="00BF2B08">
        <w:rPr>
          <w:rFonts w:ascii="Verdana" w:hAnsi="Verdana"/>
          <w:sz w:val="20"/>
        </w:rPr>
        <w:t>florestas</w:t>
      </w:r>
      <w:r w:rsidRPr="005E2C37">
        <w:rPr>
          <w:rFonts w:ascii="Verdana" w:hAnsi="Verdana"/>
          <w:sz w:val="20"/>
        </w:rPr>
        <w:t xml:space="preserve"> de suas terras comunais”. Este reconhecimento categórico deve ser considerado à hora de interpretar e aplicar a Convenção Americana, conforme o </w:t>
      </w:r>
      <w:r w:rsidR="008C0196">
        <w:rPr>
          <w:rFonts w:ascii="Verdana" w:hAnsi="Verdana"/>
          <w:sz w:val="20"/>
        </w:rPr>
        <w:t xml:space="preserve">seu já citado artigo </w:t>
      </w:r>
      <w:proofErr w:type="gramStart"/>
      <w:r w:rsidR="008C0196">
        <w:rPr>
          <w:rFonts w:ascii="Verdana" w:hAnsi="Verdana"/>
          <w:sz w:val="20"/>
        </w:rPr>
        <w:t>29.</w:t>
      </w:r>
      <w:proofErr w:type="gramEnd"/>
      <w:r w:rsidR="008C0196">
        <w:rPr>
          <w:rFonts w:ascii="Verdana" w:hAnsi="Verdana"/>
          <w:sz w:val="20"/>
        </w:rPr>
        <w:t>A</w:t>
      </w:r>
      <w:r w:rsidRPr="005E2C37">
        <w:rPr>
          <w:rFonts w:ascii="Verdana" w:hAnsi="Verdana"/>
          <w:sz w:val="20"/>
        </w:rPr>
        <w:t>.</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11.</w:t>
      </w:r>
      <w:r w:rsidRPr="005E2C37">
        <w:rPr>
          <w:rFonts w:ascii="Verdana" w:hAnsi="Verdana"/>
          <w:sz w:val="20"/>
        </w:rPr>
        <w:tab/>
        <w:t xml:space="preserve">No exame deste caso, o tribunal </w:t>
      </w:r>
      <w:r w:rsidR="00BF2B08">
        <w:rPr>
          <w:rFonts w:ascii="Verdana" w:hAnsi="Verdana"/>
          <w:sz w:val="20"/>
        </w:rPr>
        <w:t>argumentou</w:t>
      </w:r>
      <w:r w:rsidRPr="005E2C37">
        <w:rPr>
          <w:rFonts w:ascii="Verdana" w:hAnsi="Verdana"/>
          <w:sz w:val="20"/>
        </w:rPr>
        <w:t xml:space="preserve"> o alcance do artigo 21 d</w:t>
      </w:r>
      <w:r>
        <w:rPr>
          <w:rFonts w:ascii="Verdana" w:hAnsi="Verdana"/>
          <w:sz w:val="20"/>
        </w:rPr>
        <w:t>a Convenção Americana, que sob a</w:t>
      </w:r>
      <w:r w:rsidRPr="005E2C37">
        <w:rPr>
          <w:rFonts w:ascii="Verdana" w:hAnsi="Verdana"/>
          <w:sz w:val="20"/>
        </w:rPr>
        <w:t xml:space="preserve"> epígrafe “Direito à Propriedade Privada” reconhece que “</w:t>
      </w:r>
      <w:r w:rsidR="00C60678" w:rsidRPr="00C60678">
        <w:rPr>
          <w:rFonts w:ascii="Verdana" w:hAnsi="Verdana"/>
          <w:sz w:val="20"/>
        </w:rPr>
        <w:t>(</w:t>
      </w:r>
      <w:r w:rsidRPr="005E2C37">
        <w:rPr>
          <w:rFonts w:ascii="Verdana" w:hAnsi="Verdana"/>
          <w:sz w:val="20"/>
        </w:rPr>
        <w:t>t</w:t>
      </w:r>
      <w:proofErr w:type="gramStart"/>
      <w:r w:rsidR="00C60678" w:rsidRPr="00C60678">
        <w:rPr>
          <w:rFonts w:ascii="Verdana" w:hAnsi="Verdana"/>
          <w:sz w:val="20"/>
        </w:rPr>
        <w:t>)</w:t>
      </w:r>
      <w:r w:rsidRPr="005E2C37">
        <w:rPr>
          <w:rFonts w:ascii="Verdana" w:hAnsi="Verdana"/>
          <w:sz w:val="20"/>
        </w:rPr>
        <w:t>oda</w:t>
      </w:r>
      <w:proofErr w:type="gramEnd"/>
      <w:r w:rsidRPr="005E2C37">
        <w:rPr>
          <w:rFonts w:ascii="Verdana" w:hAnsi="Verdana"/>
          <w:sz w:val="20"/>
        </w:rPr>
        <w:t xml:space="preserve"> pessoa tem direito ao uso e gozo de seus bens”. No exame desta questão, </w:t>
      </w:r>
      <w:proofErr w:type="gramStart"/>
      <w:r w:rsidRPr="005E2C37">
        <w:rPr>
          <w:rFonts w:ascii="Verdana" w:hAnsi="Verdana"/>
          <w:sz w:val="20"/>
        </w:rPr>
        <w:t>tiveram-se</w:t>
      </w:r>
      <w:proofErr w:type="gramEnd"/>
      <w:r w:rsidRPr="005E2C37">
        <w:rPr>
          <w:rFonts w:ascii="Verdana" w:hAnsi="Verdana"/>
          <w:sz w:val="20"/>
        </w:rPr>
        <w:t xml:space="preserve"> em vista os trabalhos preparatórios da Convenção, dos que se </w:t>
      </w:r>
      <w:r w:rsidR="009716C8">
        <w:rPr>
          <w:rFonts w:ascii="Verdana" w:hAnsi="Verdana"/>
          <w:sz w:val="20"/>
        </w:rPr>
        <w:t>observa</w:t>
      </w:r>
      <w:r w:rsidRPr="005E2C37">
        <w:rPr>
          <w:rFonts w:ascii="Verdana" w:hAnsi="Verdana"/>
          <w:sz w:val="20"/>
        </w:rPr>
        <w:t xml:space="preserve"> o processo seguido até culminar na expressão que hoje contém o artigo 21. Em um primeiro momento </w:t>
      </w:r>
      <w:r>
        <w:rPr>
          <w:rFonts w:ascii="Verdana" w:hAnsi="Verdana"/>
          <w:sz w:val="20"/>
        </w:rPr>
        <w:t>foi proposto</w:t>
      </w:r>
      <w:r w:rsidRPr="005E2C37">
        <w:rPr>
          <w:rFonts w:ascii="Verdana" w:hAnsi="Verdana"/>
          <w:sz w:val="20"/>
        </w:rPr>
        <w:t xml:space="preserve"> reunir neste preceito, explicitamente, o direito à propriedade privada. Posteriormente</w:t>
      </w:r>
      <w:r w:rsidR="008C0196">
        <w:rPr>
          <w:rFonts w:ascii="Verdana" w:hAnsi="Verdana"/>
          <w:sz w:val="20"/>
        </w:rPr>
        <w:t>,</w:t>
      </w:r>
      <w:r w:rsidRPr="005E2C37">
        <w:rPr>
          <w:rFonts w:ascii="Verdana" w:hAnsi="Verdana"/>
          <w:sz w:val="20"/>
        </w:rPr>
        <w:t xml:space="preserve"> variou a fórmula para ficar como atualmente aparece: direito ao uso e gozo de bens. São estes os </w:t>
      </w:r>
      <w:r w:rsidR="008C0196">
        <w:rPr>
          <w:rFonts w:ascii="Verdana" w:hAnsi="Verdana"/>
          <w:sz w:val="20"/>
        </w:rPr>
        <w:t>elementos</w:t>
      </w:r>
      <w:r w:rsidRPr="005E2C37">
        <w:rPr>
          <w:rFonts w:ascii="Verdana" w:hAnsi="Verdana"/>
          <w:sz w:val="20"/>
        </w:rPr>
        <w:t xml:space="preserve"> que caracterizam o direito dos sujeitos amparados pela Convenção. Obviamente, não existe só um modelo de uso e gozo de bens. Cada povo, conforme sua cultura, interesses, aspirações, costumes, características, crenças pode instituir certa versão do uso e gozo dos bens. Em suma, trata-se de conceitos históricos que devem ser examinados e entendidos sob esta mesma perspectiva.</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12.</w:t>
      </w:r>
      <w:r w:rsidRPr="005E2C37">
        <w:rPr>
          <w:rFonts w:ascii="Verdana" w:hAnsi="Verdana"/>
          <w:sz w:val="20"/>
        </w:rPr>
        <w:tab/>
        <w:t>Em diversos países da América, os grupos étnicos indígenas, cujos antepassados – povoadores originais do Continente – construíram antes da conquista e colonização instituições jurídicas que se mantêm vigentes, em certa medida, estabeleceram especiais relações de fato e de direito a propósito da terra que possuíam e da qu</w:t>
      </w:r>
      <w:r w:rsidR="008F5235">
        <w:rPr>
          <w:rFonts w:ascii="Verdana" w:hAnsi="Verdana"/>
          <w:sz w:val="20"/>
        </w:rPr>
        <w:t>al</w:t>
      </w:r>
      <w:r w:rsidRPr="005E2C37">
        <w:rPr>
          <w:rFonts w:ascii="Verdana" w:hAnsi="Verdana"/>
          <w:sz w:val="20"/>
        </w:rPr>
        <w:t xml:space="preserve"> obtinham seus meios de subsistência. Estas figuras jurídicas, que traduzem o pensamento e o sentimento de seus criadores e </w:t>
      </w:r>
      <w:r>
        <w:rPr>
          <w:rFonts w:ascii="Verdana" w:hAnsi="Verdana"/>
          <w:sz w:val="20"/>
        </w:rPr>
        <w:t xml:space="preserve">se </w:t>
      </w:r>
      <w:r w:rsidRPr="005E2C37">
        <w:rPr>
          <w:rFonts w:ascii="Verdana" w:hAnsi="Verdana"/>
          <w:sz w:val="20"/>
        </w:rPr>
        <w:t>encontram revestidas de plena legitimidade, enfrentaram a erosão de múltiplas medidas adotadas a partir da conquista. Porém, sobreviveram até nossos dias. Diversas legislações nacionais as reassumiram e contam com o respaldo de respectivos instrumentos internacionais, que reivindicam os interesses legítimos e os direitos históricos dos primitivos habitantes da América e de seus sucessores.</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lastRenderedPageBreak/>
        <w:t>13.</w:t>
      </w:r>
      <w:r w:rsidRPr="005E2C37">
        <w:rPr>
          <w:rFonts w:ascii="Verdana" w:hAnsi="Verdana"/>
          <w:sz w:val="20"/>
        </w:rPr>
        <w:tab/>
        <w:t xml:space="preserve">Neste caso </w:t>
      </w:r>
      <w:r>
        <w:rPr>
          <w:rFonts w:ascii="Verdana" w:hAnsi="Verdana"/>
          <w:sz w:val="20"/>
        </w:rPr>
        <w:t>se encontra</w:t>
      </w:r>
      <w:r w:rsidRPr="005E2C37">
        <w:rPr>
          <w:rFonts w:ascii="Verdana" w:hAnsi="Verdana"/>
          <w:sz w:val="20"/>
        </w:rPr>
        <w:t xml:space="preserve"> o regime da propriedade indígena, que não exclui outras formas de propriedade ou posse da terra – produto de um processo histórico e cultural diferente –, mas contribui com elas na formação do amplo e plural espaço dos direitos com que contam os habitantes de diversos países americanos. Este conjunto de direitos, que se encontram comunicados por coincidências essenciais – a ideia nuclear do uso e aproveitamento dos bens –, mas mostram </w:t>
      </w:r>
      <w:r w:rsidR="00BF2B08">
        <w:rPr>
          <w:rFonts w:ascii="Verdana" w:hAnsi="Verdana"/>
          <w:sz w:val="20"/>
        </w:rPr>
        <w:t>também</w:t>
      </w:r>
      <w:r w:rsidRPr="005E2C37">
        <w:rPr>
          <w:rFonts w:ascii="Verdana" w:hAnsi="Verdana"/>
          <w:sz w:val="20"/>
        </w:rPr>
        <w:t xml:space="preserve"> diferenças importantes – sobretudo com relação à disposição final desses bens –, constituem o sistema de propriedade que caracteriza a maioria de nossos países. Desconhecer as versões específicas do direito ao uso e gozo dos bens que consagra o artigo 21 da Convenção Americana, e pretender que unicamente existe uma forma de usar e desfrutar dos bens</w:t>
      </w:r>
      <w:proofErr w:type="gramStart"/>
      <w:r w:rsidRPr="005E2C37">
        <w:rPr>
          <w:rFonts w:ascii="Verdana" w:hAnsi="Verdana"/>
          <w:sz w:val="20"/>
        </w:rPr>
        <w:t>, equivaleria</w:t>
      </w:r>
      <w:proofErr w:type="gramEnd"/>
      <w:r w:rsidRPr="005E2C37">
        <w:rPr>
          <w:rFonts w:ascii="Verdana" w:hAnsi="Verdana"/>
          <w:sz w:val="20"/>
        </w:rPr>
        <w:t xml:space="preserve"> a negar a milhões de pessoas a tutela desse preceito, subtraindo-os assim do reconhecimento e da proteção de direitos essenciais, que se </w:t>
      </w:r>
      <w:r>
        <w:rPr>
          <w:rFonts w:ascii="Verdana" w:hAnsi="Verdana"/>
          <w:sz w:val="20"/>
        </w:rPr>
        <w:t>oferecem</w:t>
      </w:r>
      <w:r w:rsidRPr="005E2C37">
        <w:rPr>
          <w:rFonts w:ascii="Verdana" w:hAnsi="Verdana"/>
          <w:sz w:val="20"/>
        </w:rPr>
        <w:t>, em troca</w:t>
      </w:r>
      <w:r>
        <w:rPr>
          <w:rFonts w:ascii="Verdana" w:hAnsi="Verdana"/>
          <w:sz w:val="20"/>
        </w:rPr>
        <w:t>, às demais pessoas. Desta forma</w:t>
      </w:r>
      <w:r w:rsidRPr="005E2C37">
        <w:rPr>
          <w:rFonts w:ascii="Verdana" w:hAnsi="Verdana"/>
          <w:sz w:val="20"/>
        </w:rPr>
        <w:t xml:space="preserve">, longe de assegurar a igualdade de todas as pessoas, </w:t>
      </w:r>
      <w:r>
        <w:rPr>
          <w:rFonts w:ascii="Verdana" w:hAnsi="Verdana"/>
          <w:sz w:val="20"/>
        </w:rPr>
        <w:t>seria estabelecida uma desigualdade contrá</w:t>
      </w:r>
      <w:r w:rsidRPr="005E2C37">
        <w:rPr>
          <w:rFonts w:ascii="Verdana" w:hAnsi="Verdana"/>
          <w:sz w:val="20"/>
        </w:rPr>
        <w:t>ria às convicções e aos propósitos que inspiram o sistema continental dos direitos humanos.</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14.</w:t>
      </w:r>
      <w:r w:rsidRPr="005E2C37">
        <w:rPr>
          <w:rFonts w:ascii="Verdana" w:hAnsi="Verdana"/>
          <w:sz w:val="20"/>
        </w:rPr>
        <w:tab/>
        <w:t xml:space="preserve">Na análise do tema sujeito </w:t>
      </w:r>
      <w:r w:rsidR="008F5235">
        <w:rPr>
          <w:rFonts w:ascii="Verdana" w:hAnsi="Verdana"/>
          <w:sz w:val="20"/>
        </w:rPr>
        <w:t>à</w:t>
      </w:r>
      <w:r w:rsidRPr="005E2C37">
        <w:rPr>
          <w:rFonts w:ascii="Verdana" w:hAnsi="Verdana"/>
          <w:sz w:val="20"/>
        </w:rPr>
        <w:t xml:space="preserve"> sua jurisdição, a Corte Interamericana contemplou os direitos de uso e gozo reconhecidos no artigo 21 sob a perspectiva, perfeitamente válida, dos membros das comunidades indígenas. Em meu conceito, esta forma de analisar o tema, para os fins da presente Sentença, não implica de modo algum desconhecer ou negar direitos de outra natureza ou alcance vinculados com estes, como são os de caráter coletivo, aos que com a maior frequência aludem as normas e instrumentos nacionais e internacionais que invoquei neste voto. É indispensável observar que estes direitos comunitários, que formam parte profunda da cultura jurídica de muitos povos indígenas, e</w:t>
      </w:r>
      <w:r w:rsidR="00BF2B08" w:rsidRPr="005E2C37">
        <w:rPr>
          <w:rFonts w:ascii="Verdana" w:hAnsi="Verdana"/>
          <w:sz w:val="20"/>
        </w:rPr>
        <w:t>, portanto</w:t>
      </w:r>
      <w:r w:rsidR="00BF2B08">
        <w:rPr>
          <w:rFonts w:ascii="Verdana" w:hAnsi="Verdana"/>
          <w:sz w:val="20"/>
        </w:rPr>
        <w:t>,</w:t>
      </w:r>
      <w:r w:rsidRPr="005E2C37">
        <w:rPr>
          <w:rFonts w:ascii="Verdana" w:hAnsi="Verdana"/>
          <w:sz w:val="20"/>
        </w:rPr>
        <w:t xml:space="preserve"> de seus integrantes, constituem a fonte e o amparo dos direitos subjetivos individuais. Em suma, existe uma íntima e indissolúvel vinculação entre os direitos de ambas</w:t>
      </w:r>
      <w:r w:rsidR="00BF2B08">
        <w:rPr>
          <w:rFonts w:ascii="Verdana" w:hAnsi="Verdana"/>
          <w:sz w:val="20"/>
        </w:rPr>
        <w:t xml:space="preserve"> as</w:t>
      </w:r>
      <w:r w:rsidRPr="005E2C37">
        <w:rPr>
          <w:rFonts w:ascii="Verdana" w:hAnsi="Verdana"/>
          <w:sz w:val="20"/>
        </w:rPr>
        <w:t xml:space="preserve"> ordens – individuais e coletivos –, de cuja vigência efetiva depende a genuína tutela das pessoas que formam parte dos grupos étnicos indígenas.</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15.</w:t>
      </w:r>
      <w:r w:rsidRPr="005E2C37">
        <w:rPr>
          <w:rFonts w:ascii="Verdana" w:hAnsi="Verdana"/>
          <w:sz w:val="20"/>
        </w:rPr>
        <w:tab/>
        <w:t>No curso da audiência realizada para receber provas sobre o mérito do litígio que a Corte julgou, foram recebidos pareceres que aludem diretamente ao ponto mencionado no parágrafo anterior. Assim, o perito Rodolfo Stavenhagen Gruenbaum fez notar – como se lê na versão sintética de seu parecer verbal, reunido nesta Sentença – que “</w:t>
      </w:r>
      <w:r w:rsidR="00C60678" w:rsidRPr="00C60678">
        <w:rPr>
          <w:rFonts w:ascii="Verdana" w:hAnsi="Verdana"/>
          <w:sz w:val="20"/>
        </w:rPr>
        <w:t>(</w:t>
      </w:r>
      <w:r w:rsidRPr="005E2C37">
        <w:rPr>
          <w:rFonts w:ascii="Verdana" w:hAnsi="Verdana"/>
          <w:sz w:val="20"/>
        </w:rPr>
        <w:t>e</w:t>
      </w:r>
      <w:r w:rsidR="00C60678" w:rsidRPr="00C60678">
        <w:rPr>
          <w:rFonts w:ascii="Verdana" w:hAnsi="Verdana"/>
          <w:sz w:val="20"/>
        </w:rPr>
        <w:t>)</w:t>
      </w:r>
      <w:r w:rsidRPr="005E2C37">
        <w:rPr>
          <w:rFonts w:ascii="Verdana" w:hAnsi="Verdana"/>
          <w:sz w:val="20"/>
        </w:rPr>
        <w:t>m certos contextos históricos os direitos da pessoa humana são garantidos e podem ser exercidos plenamente somente se são reconhecidos os direitos da coletividade e da comunidade à qu</w:t>
      </w:r>
      <w:r w:rsidR="008F5235">
        <w:rPr>
          <w:rFonts w:ascii="Verdana" w:hAnsi="Verdana"/>
          <w:sz w:val="20"/>
        </w:rPr>
        <w:t>al</w:t>
      </w:r>
      <w:r w:rsidRPr="005E2C37">
        <w:rPr>
          <w:rFonts w:ascii="Verdana" w:hAnsi="Verdana"/>
          <w:sz w:val="20"/>
        </w:rPr>
        <w:t xml:space="preserve"> pertence esta pessoa desde seu nascimento e da qu</w:t>
      </w:r>
      <w:r w:rsidR="008F5235">
        <w:rPr>
          <w:rFonts w:ascii="Verdana" w:hAnsi="Verdana"/>
          <w:sz w:val="20"/>
        </w:rPr>
        <w:t>al</w:t>
      </w:r>
      <w:r w:rsidRPr="005E2C37">
        <w:rPr>
          <w:rFonts w:ascii="Verdana" w:hAnsi="Verdana"/>
          <w:sz w:val="20"/>
        </w:rPr>
        <w:t xml:space="preserve"> forma parte e a qual lhe dá os elementos necessários para poder se sentir plenamente realizado como ser humano, que significa também ser social e cultural”.</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r w:rsidRPr="005E2C37">
        <w:rPr>
          <w:rFonts w:ascii="Verdana" w:hAnsi="Verdana"/>
          <w:sz w:val="20"/>
        </w:rPr>
        <w:t>16.</w:t>
      </w:r>
      <w:r w:rsidRPr="005E2C37">
        <w:rPr>
          <w:rFonts w:ascii="Verdana" w:hAnsi="Verdana"/>
          <w:sz w:val="20"/>
        </w:rPr>
        <w:tab/>
        <w:t>Na história dos países que hoje formam a América Latina, proliferou o assédio con</w:t>
      </w:r>
      <w:r w:rsidR="009A62B0">
        <w:rPr>
          <w:rFonts w:ascii="Verdana" w:hAnsi="Verdana"/>
          <w:sz w:val="20"/>
        </w:rPr>
        <w:t>tra as expressões coletivas do d</w:t>
      </w:r>
      <w:r w:rsidRPr="005E2C37">
        <w:rPr>
          <w:rFonts w:ascii="Verdana" w:hAnsi="Verdana"/>
          <w:sz w:val="20"/>
        </w:rPr>
        <w:t xml:space="preserve">ireito indígena, que </w:t>
      </w:r>
      <w:r w:rsidR="008C0196">
        <w:rPr>
          <w:rFonts w:ascii="Verdana" w:hAnsi="Verdana"/>
          <w:sz w:val="20"/>
        </w:rPr>
        <w:t>violam</w:t>
      </w:r>
      <w:r w:rsidRPr="005E2C37">
        <w:rPr>
          <w:rFonts w:ascii="Verdana" w:hAnsi="Verdana"/>
          <w:sz w:val="20"/>
        </w:rPr>
        <w:t xml:space="preserve"> imediatamente os direitos individuais dos membros das comunidades, como os destas em seu conjunto. Outro perito cujo parecer a Corte</w:t>
      </w:r>
      <w:r w:rsidR="005F224F" w:rsidRPr="005F224F">
        <w:rPr>
          <w:rFonts w:ascii="Verdana" w:hAnsi="Verdana"/>
          <w:sz w:val="20"/>
        </w:rPr>
        <w:t xml:space="preserve"> </w:t>
      </w:r>
      <w:proofErr w:type="gramStart"/>
      <w:r w:rsidR="005F224F" w:rsidRPr="005E2C37">
        <w:rPr>
          <w:rFonts w:ascii="Verdana" w:hAnsi="Verdana"/>
          <w:sz w:val="20"/>
        </w:rPr>
        <w:t>escutou</w:t>
      </w:r>
      <w:r w:rsidRPr="005E2C37">
        <w:rPr>
          <w:rFonts w:ascii="Verdana" w:hAnsi="Verdana"/>
          <w:sz w:val="20"/>
        </w:rPr>
        <w:t>,</w:t>
      </w:r>
      <w:proofErr w:type="gramEnd"/>
      <w:r w:rsidRPr="005E2C37">
        <w:rPr>
          <w:rFonts w:ascii="Verdana" w:hAnsi="Verdana"/>
          <w:sz w:val="20"/>
        </w:rPr>
        <w:t xml:space="preserve"> Roque de Jesús Roldán Ortega, referiu-se a este aspecto da questão. Manifestou na emissão de seu parecer, verbalmente: “A experiência que existe na América Latina em relação </w:t>
      </w:r>
      <w:r w:rsidR="005F224F">
        <w:rPr>
          <w:rFonts w:ascii="Verdana" w:hAnsi="Verdana"/>
          <w:sz w:val="20"/>
        </w:rPr>
        <w:t>a</w:t>
      </w:r>
      <w:r w:rsidRPr="005E2C37">
        <w:rPr>
          <w:rFonts w:ascii="Verdana" w:hAnsi="Verdana"/>
          <w:sz w:val="20"/>
        </w:rPr>
        <w:t xml:space="preserve">o tema da propriedade comunal é muito exemplificativa. Toda a política dos Estados Latino-Americanos </w:t>
      </w:r>
      <w:r w:rsidR="00BF2B08">
        <w:rPr>
          <w:rFonts w:ascii="Verdana" w:hAnsi="Verdana"/>
          <w:sz w:val="20"/>
        </w:rPr>
        <w:t xml:space="preserve">se </w:t>
      </w:r>
      <w:r w:rsidRPr="005E2C37">
        <w:rPr>
          <w:rFonts w:ascii="Verdana" w:hAnsi="Verdana"/>
          <w:sz w:val="20"/>
        </w:rPr>
        <w:t>orientou, durante quase 180 anos, a buscar a supressão das formas de propriedade coletiva e das formas de governos autônomas dos povos indígenas. Isto contribuiu para liquidar grande p</w:t>
      </w:r>
      <w:r>
        <w:rPr>
          <w:rFonts w:ascii="Verdana" w:hAnsi="Verdana"/>
          <w:sz w:val="20"/>
        </w:rPr>
        <w:t>arte dos povos indígenas, a levá</w:t>
      </w:r>
      <w:r w:rsidRPr="005E2C37">
        <w:rPr>
          <w:rFonts w:ascii="Verdana" w:hAnsi="Verdana"/>
          <w:sz w:val="20"/>
        </w:rPr>
        <w:t>-los não só a seu desaparecimento cultural, mas a seu desaparecimento físico”.</w:t>
      </w:r>
    </w:p>
    <w:p w:rsidR="006C04AC" w:rsidRPr="005E2C37" w:rsidRDefault="006C04AC" w:rsidP="006C04AC">
      <w:pPr>
        <w:jc w:val="both"/>
        <w:rPr>
          <w:rFonts w:ascii="Verdana" w:hAnsi="Verdana"/>
          <w:sz w:val="20"/>
        </w:rPr>
      </w:pPr>
      <w:r w:rsidRPr="005E2C37">
        <w:rPr>
          <w:rFonts w:ascii="Verdana" w:hAnsi="Verdana"/>
          <w:sz w:val="20"/>
        </w:rPr>
        <w:lastRenderedPageBreak/>
        <w:t>17.</w:t>
      </w:r>
      <w:r w:rsidRPr="005E2C37">
        <w:rPr>
          <w:rFonts w:ascii="Verdana" w:hAnsi="Verdana"/>
          <w:sz w:val="20"/>
        </w:rPr>
        <w:tab/>
        <w:t xml:space="preserve">A Sentença da Corte Interamericana de Direitos Humanos no Caso da Comunidade Mayagna </w:t>
      </w:r>
      <w:r w:rsidR="00C60678" w:rsidRPr="00C60678">
        <w:rPr>
          <w:rFonts w:ascii="Verdana" w:hAnsi="Verdana"/>
          <w:sz w:val="20"/>
        </w:rPr>
        <w:t>(</w:t>
      </w:r>
      <w:r w:rsidRPr="005E2C37">
        <w:rPr>
          <w:rFonts w:ascii="Verdana" w:hAnsi="Verdana"/>
          <w:sz w:val="20"/>
        </w:rPr>
        <w:t>Sumo</w:t>
      </w:r>
      <w:r w:rsidR="00C60678" w:rsidRPr="00C60678">
        <w:rPr>
          <w:rFonts w:ascii="Verdana" w:hAnsi="Verdana"/>
          <w:sz w:val="20"/>
        </w:rPr>
        <w:t>)</w:t>
      </w:r>
      <w:r w:rsidRPr="005E2C37">
        <w:rPr>
          <w:rFonts w:ascii="Verdana" w:hAnsi="Verdana"/>
          <w:sz w:val="20"/>
        </w:rPr>
        <w:t xml:space="preserve"> Awas Tingni contribui ao reconhecimento de algumas relações jurídicas específicas, que contribuem para integrar o estatuto característico de uma boa parte dos habitantes da América, cada vez melhor compreendido e reconhecido pelas legislações nacionais e os instrumentos internacionais. O tema desta Sentença, e por fim ela mesma</w:t>
      </w:r>
      <w:proofErr w:type="gramStart"/>
      <w:r w:rsidRPr="005E2C37">
        <w:rPr>
          <w:rFonts w:ascii="Verdana" w:hAnsi="Verdana"/>
          <w:sz w:val="20"/>
        </w:rPr>
        <w:t>, situa-se</w:t>
      </w:r>
      <w:proofErr w:type="gramEnd"/>
      <w:r w:rsidRPr="005E2C37">
        <w:rPr>
          <w:rFonts w:ascii="Verdana" w:hAnsi="Verdana"/>
          <w:sz w:val="20"/>
        </w:rPr>
        <w:t xml:space="preserve"> em um ponto de convergência entre direitos civis e direitos econômicos, sociais e culturais; dito de outra maneira: encontra-se no ponto a que concorrem </w:t>
      </w:r>
      <w:r w:rsidR="00D74FEC">
        <w:rPr>
          <w:rFonts w:ascii="Verdana" w:hAnsi="Verdana"/>
          <w:sz w:val="20"/>
        </w:rPr>
        <w:t>o direito civil e o d</w:t>
      </w:r>
      <w:r w:rsidRPr="005E2C37">
        <w:rPr>
          <w:rFonts w:ascii="Verdana" w:hAnsi="Verdana"/>
          <w:sz w:val="20"/>
        </w:rPr>
        <w:t>ireito social. A Convenção Americana, aplicada nos termos da interpretação que ela mesma autoriza, e que adema</w:t>
      </w:r>
      <w:r>
        <w:rPr>
          <w:rFonts w:ascii="Verdana" w:hAnsi="Verdana"/>
          <w:sz w:val="20"/>
        </w:rPr>
        <w:t>is figura nas regras da matéria</w:t>
      </w:r>
      <w:r w:rsidRPr="005E2C37">
        <w:rPr>
          <w:rFonts w:ascii="Verdana" w:hAnsi="Verdana"/>
          <w:sz w:val="20"/>
        </w:rPr>
        <w:t xml:space="preserve"> conforme o Direito dos Tratados</w:t>
      </w:r>
      <w:proofErr w:type="gramStart"/>
      <w:r w:rsidRPr="005E2C37">
        <w:rPr>
          <w:rFonts w:ascii="Verdana" w:hAnsi="Verdana"/>
          <w:sz w:val="20"/>
        </w:rPr>
        <w:t>, deve</w:t>
      </w:r>
      <w:proofErr w:type="gramEnd"/>
      <w:r w:rsidRPr="005E2C37">
        <w:rPr>
          <w:rFonts w:ascii="Verdana" w:hAnsi="Verdana"/>
          <w:sz w:val="20"/>
        </w:rPr>
        <w:t xml:space="preserve"> significar e de fato significa um sistema normativo de proteção segur</w:t>
      </w:r>
      <w:r w:rsidR="00BF2B08">
        <w:rPr>
          <w:rFonts w:ascii="Verdana" w:hAnsi="Verdana"/>
          <w:sz w:val="20"/>
        </w:rPr>
        <w:t>o</w:t>
      </w:r>
      <w:r w:rsidRPr="005E2C37">
        <w:rPr>
          <w:rFonts w:ascii="Verdana" w:hAnsi="Verdana"/>
          <w:sz w:val="20"/>
        </w:rPr>
        <w:t xml:space="preserve"> para os indígenas de nosso Continente, não menos que para outros povoadores dos países americanos aos que chega o sistema tutelar da Convenção Americana.</w:t>
      </w:r>
    </w:p>
    <w:p w:rsidR="006C04AC" w:rsidRPr="005E2C37" w:rsidRDefault="006C04AC" w:rsidP="006C04AC">
      <w:pPr>
        <w:jc w:val="both"/>
        <w:rPr>
          <w:rFonts w:ascii="Verdana" w:hAnsi="Verdana"/>
          <w:sz w:val="20"/>
        </w:rPr>
      </w:pPr>
    </w:p>
    <w:p w:rsidR="006C04AC" w:rsidRPr="005E2C37" w:rsidRDefault="006C04AC" w:rsidP="006C04AC">
      <w:pPr>
        <w:jc w:val="both"/>
        <w:rPr>
          <w:rFonts w:ascii="Verdana" w:hAnsi="Verdana"/>
          <w:sz w:val="20"/>
        </w:rPr>
      </w:pPr>
    </w:p>
    <w:p w:rsidR="006C04AC" w:rsidRPr="00D74FEC" w:rsidRDefault="006C04AC" w:rsidP="006C04AC">
      <w:pPr>
        <w:ind w:left="5040"/>
        <w:jc w:val="center"/>
        <w:rPr>
          <w:rFonts w:ascii="Verdana" w:hAnsi="Verdana"/>
          <w:sz w:val="20"/>
        </w:rPr>
      </w:pPr>
      <w:r w:rsidRPr="00D74FEC">
        <w:rPr>
          <w:rFonts w:ascii="Verdana" w:hAnsi="Verdana"/>
          <w:sz w:val="20"/>
        </w:rPr>
        <w:t>Sergio García Ramírez</w:t>
      </w:r>
    </w:p>
    <w:p w:rsidR="006C04AC" w:rsidRPr="00D74FEC" w:rsidRDefault="00D74FEC" w:rsidP="006C04AC">
      <w:pPr>
        <w:tabs>
          <w:tab w:val="left" w:pos="7620"/>
        </w:tabs>
        <w:ind w:left="5040"/>
        <w:jc w:val="center"/>
        <w:rPr>
          <w:rFonts w:ascii="Verdana" w:hAnsi="Verdana"/>
          <w:sz w:val="20"/>
        </w:rPr>
      </w:pPr>
      <w:r w:rsidRPr="00D74FEC">
        <w:rPr>
          <w:rFonts w:ascii="Verdana" w:hAnsi="Verdana"/>
          <w:sz w:val="20"/>
        </w:rPr>
        <w:t>Juiz</w:t>
      </w:r>
    </w:p>
    <w:p w:rsidR="006C04AC" w:rsidRPr="00D74FEC" w:rsidRDefault="006C04AC" w:rsidP="006C04AC">
      <w:pPr>
        <w:ind w:right="5760"/>
        <w:jc w:val="center"/>
        <w:rPr>
          <w:rFonts w:ascii="Verdana" w:hAnsi="Verdana"/>
          <w:sz w:val="20"/>
        </w:rPr>
      </w:pPr>
    </w:p>
    <w:p w:rsidR="006C04AC" w:rsidRPr="00D74FEC" w:rsidRDefault="006C04AC" w:rsidP="006C04AC">
      <w:pPr>
        <w:ind w:right="4680"/>
        <w:jc w:val="center"/>
        <w:rPr>
          <w:rFonts w:ascii="Verdana" w:hAnsi="Verdana"/>
          <w:sz w:val="20"/>
        </w:rPr>
      </w:pPr>
      <w:r w:rsidRPr="00D74FEC">
        <w:rPr>
          <w:rFonts w:ascii="Verdana" w:hAnsi="Verdana"/>
          <w:sz w:val="20"/>
        </w:rPr>
        <w:t>Manuel E. Ventura Robles</w:t>
      </w:r>
    </w:p>
    <w:p w:rsidR="006C04AC" w:rsidRPr="005E2C37" w:rsidRDefault="00D74FEC" w:rsidP="006C04AC">
      <w:pPr>
        <w:ind w:right="4680"/>
        <w:jc w:val="center"/>
        <w:rPr>
          <w:rFonts w:ascii="Verdana" w:hAnsi="Verdana"/>
          <w:sz w:val="20"/>
        </w:rPr>
      </w:pPr>
      <w:r w:rsidRPr="00D74FEC">
        <w:rPr>
          <w:rFonts w:ascii="Verdana" w:hAnsi="Verdana"/>
          <w:sz w:val="20"/>
        </w:rPr>
        <w:t>Secretá</w:t>
      </w:r>
      <w:r w:rsidR="006C04AC" w:rsidRPr="00D74FEC">
        <w:rPr>
          <w:rFonts w:ascii="Verdana" w:hAnsi="Verdana"/>
          <w:sz w:val="20"/>
        </w:rPr>
        <w:t>rio</w:t>
      </w:r>
    </w:p>
    <w:p w:rsidR="006C04AC" w:rsidRPr="005E2C37" w:rsidRDefault="006C04AC" w:rsidP="006C04AC">
      <w:pPr>
        <w:ind w:right="-7"/>
        <w:jc w:val="both"/>
        <w:rPr>
          <w:rFonts w:ascii="Verdana" w:hAnsi="Verdana"/>
          <w:sz w:val="20"/>
        </w:rPr>
      </w:pPr>
    </w:p>
    <w:p w:rsidR="006C04AC" w:rsidRPr="005E2C37" w:rsidRDefault="006C04AC" w:rsidP="006C04AC">
      <w:pPr>
        <w:pStyle w:val="Ttulo1"/>
        <w:rPr>
          <w:rFonts w:ascii="Verdana" w:hAnsi="Verdana"/>
        </w:rPr>
        <w:sectPr w:rsidR="006C04AC" w:rsidRPr="005E2C37" w:rsidSect="009F4CDF">
          <w:pgSz w:w="12240" w:h="15840"/>
          <w:pgMar w:top="1440" w:right="1800" w:bottom="1440" w:left="1800" w:header="720" w:footer="720" w:gutter="0"/>
          <w:pgNumType w:start="1"/>
          <w:cols w:space="720"/>
          <w:titlePg/>
          <w:docGrid w:linePitch="326"/>
        </w:sectPr>
      </w:pPr>
    </w:p>
    <w:p w:rsidR="006C04AC" w:rsidRPr="005E2C37" w:rsidRDefault="006C04AC" w:rsidP="006C04AC">
      <w:pPr>
        <w:pStyle w:val="Ttulo1"/>
        <w:rPr>
          <w:rFonts w:ascii="Verdana" w:hAnsi="Verdana"/>
        </w:rPr>
      </w:pPr>
      <w:r w:rsidRPr="005E2C37">
        <w:rPr>
          <w:rFonts w:ascii="Verdana" w:hAnsi="Verdana"/>
        </w:rPr>
        <w:lastRenderedPageBreak/>
        <w:t>VOTO DISSIDENTE DO JUIZ MONTIEL ARGÜELLO</w:t>
      </w:r>
    </w:p>
    <w:p w:rsidR="006C04AC" w:rsidRPr="005E2C37" w:rsidRDefault="006C04AC" w:rsidP="006C04AC">
      <w:pPr>
        <w:pStyle w:val="sq"/>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clear" w:pos="10440"/>
          <w:tab w:val="clear" w:pos="11160"/>
          <w:tab w:val="clear" w:pos="11880"/>
        </w:tabs>
        <w:rPr>
          <w:rFonts w:ascii="Verdana" w:hAnsi="Verdana"/>
          <w:sz w:val="20"/>
        </w:rPr>
      </w:pP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1.</w:t>
      </w:r>
      <w:r w:rsidRPr="005E2C37">
        <w:rPr>
          <w:rFonts w:ascii="Verdana" w:hAnsi="Verdana"/>
          <w:sz w:val="20"/>
          <w:lang w:val="pt-BR"/>
        </w:rPr>
        <w:tab/>
      </w:r>
      <w:r w:rsidR="00C639C9">
        <w:rPr>
          <w:rFonts w:ascii="Verdana" w:hAnsi="Verdana"/>
          <w:sz w:val="20"/>
          <w:lang w:val="pt-BR"/>
        </w:rPr>
        <w:t>Discordo</w:t>
      </w:r>
      <w:r w:rsidR="00C639C9" w:rsidRPr="005E2C37">
        <w:rPr>
          <w:rFonts w:ascii="Verdana" w:hAnsi="Verdana"/>
          <w:sz w:val="20"/>
          <w:lang w:val="pt-BR"/>
        </w:rPr>
        <w:t xml:space="preserve"> </w:t>
      </w:r>
      <w:r w:rsidRPr="005E2C37">
        <w:rPr>
          <w:rFonts w:ascii="Verdana" w:hAnsi="Verdana"/>
          <w:sz w:val="20"/>
          <w:lang w:val="pt-BR"/>
        </w:rPr>
        <w:t xml:space="preserve">dos pontos resolutivos 1, 2, 6 e 7 da sentença </w:t>
      </w:r>
      <w:r w:rsidR="00BF2B08">
        <w:rPr>
          <w:rFonts w:ascii="Verdana" w:hAnsi="Verdana"/>
          <w:sz w:val="20"/>
          <w:lang w:val="pt-BR"/>
        </w:rPr>
        <w:t>proferida</w:t>
      </w:r>
      <w:r w:rsidRPr="005E2C37">
        <w:rPr>
          <w:rFonts w:ascii="Verdana" w:hAnsi="Verdana"/>
          <w:sz w:val="20"/>
          <w:lang w:val="pt-BR"/>
        </w:rPr>
        <w:t xml:space="preserve"> pela Corte no caso da Comunidade Mayagna </w:t>
      </w:r>
      <w:r w:rsidR="00C60678" w:rsidRPr="00C60678">
        <w:rPr>
          <w:rFonts w:ascii="Verdana" w:hAnsi="Verdana"/>
          <w:sz w:val="20"/>
          <w:lang w:val="pt-BR"/>
        </w:rPr>
        <w:t>(</w:t>
      </w:r>
      <w:r w:rsidRPr="005E2C37">
        <w:rPr>
          <w:rFonts w:ascii="Verdana" w:hAnsi="Verdana"/>
          <w:sz w:val="20"/>
          <w:lang w:val="pt-BR"/>
        </w:rPr>
        <w:t>Sumo</w:t>
      </w:r>
      <w:r w:rsidR="00C60678" w:rsidRPr="00C60678">
        <w:rPr>
          <w:rFonts w:ascii="Verdana" w:hAnsi="Verdana"/>
          <w:sz w:val="20"/>
          <w:lang w:val="pt-BR"/>
        </w:rPr>
        <w:t>)</w:t>
      </w:r>
      <w:r w:rsidRPr="005E2C37">
        <w:rPr>
          <w:rFonts w:ascii="Verdana" w:hAnsi="Verdana"/>
          <w:sz w:val="20"/>
          <w:lang w:val="pt-BR"/>
        </w:rPr>
        <w:t xml:space="preserve"> Awas Tingni.</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2.</w:t>
      </w:r>
      <w:r w:rsidRPr="005E2C37">
        <w:rPr>
          <w:rFonts w:ascii="Verdana" w:hAnsi="Verdana"/>
          <w:sz w:val="20"/>
          <w:lang w:val="pt-BR"/>
        </w:rPr>
        <w:tab/>
        <w:t>Reconheço que se trata de um caso sumamente complexo e que a Corte e cada um dos Juízes que a integram atuaram nele com a maior equanimidade.</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3.</w:t>
      </w:r>
      <w:r w:rsidRPr="005E2C37">
        <w:rPr>
          <w:rFonts w:ascii="Verdana" w:hAnsi="Verdana"/>
          <w:sz w:val="20"/>
          <w:lang w:val="pt-BR"/>
        </w:rPr>
        <w:tab/>
        <w:t xml:space="preserve">O Governo da Nicarágua é </w:t>
      </w:r>
      <w:proofErr w:type="gramStart"/>
      <w:r w:rsidRPr="005E2C37">
        <w:rPr>
          <w:rFonts w:ascii="Verdana" w:hAnsi="Verdana"/>
          <w:sz w:val="20"/>
          <w:lang w:val="pt-BR"/>
        </w:rPr>
        <w:t>respeitoso em alto grau dos direitos dos povos indígenas amplamente reconhecidos na Constituição Política</w:t>
      </w:r>
      <w:proofErr w:type="gramEnd"/>
      <w:r w:rsidRPr="005E2C37">
        <w:rPr>
          <w:rFonts w:ascii="Verdana" w:hAnsi="Verdana"/>
          <w:sz w:val="20"/>
          <w:lang w:val="pt-BR"/>
        </w:rPr>
        <w:t xml:space="preserve"> e nas leis secundárias.</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4.</w:t>
      </w:r>
      <w:r w:rsidRPr="005E2C37">
        <w:rPr>
          <w:rFonts w:ascii="Verdana" w:hAnsi="Verdana"/>
          <w:sz w:val="20"/>
          <w:lang w:val="pt-BR"/>
        </w:rPr>
        <w:tab/>
        <w:t xml:space="preserve">Em minha opinião não existiu no presente caso violação do Artigo 25 da Convenção Americana sobre Direitos Humanos </w:t>
      </w:r>
      <w:r w:rsidR="00C60678" w:rsidRPr="00C60678">
        <w:rPr>
          <w:rFonts w:ascii="Verdana" w:hAnsi="Verdana"/>
          <w:sz w:val="20"/>
          <w:lang w:val="pt-BR"/>
        </w:rPr>
        <w:t>(</w:t>
      </w:r>
      <w:r w:rsidRPr="005E2C37">
        <w:rPr>
          <w:rFonts w:ascii="Verdana" w:hAnsi="Verdana"/>
          <w:sz w:val="20"/>
          <w:lang w:val="pt-BR"/>
        </w:rPr>
        <w:t>doravante</w:t>
      </w:r>
      <w:r w:rsidR="00DD7D69">
        <w:rPr>
          <w:rFonts w:ascii="Verdana" w:hAnsi="Verdana"/>
          <w:sz w:val="20"/>
          <w:lang w:val="pt-BR"/>
        </w:rPr>
        <w:t xml:space="preserve"> denominada</w:t>
      </w:r>
      <w:r w:rsidRPr="005E2C37">
        <w:rPr>
          <w:rFonts w:ascii="Verdana" w:hAnsi="Verdana"/>
          <w:sz w:val="20"/>
          <w:lang w:val="pt-BR"/>
        </w:rPr>
        <w:t xml:space="preserve"> “a Convenção”</w:t>
      </w:r>
      <w:r w:rsidR="00C60678" w:rsidRPr="00C60678">
        <w:rPr>
          <w:rFonts w:ascii="Verdana" w:hAnsi="Verdana"/>
          <w:sz w:val="20"/>
          <w:lang w:val="pt-BR"/>
        </w:rPr>
        <w:t>)</w:t>
      </w:r>
      <w:r w:rsidRPr="005E2C37">
        <w:rPr>
          <w:rFonts w:ascii="Verdana" w:hAnsi="Verdana"/>
          <w:sz w:val="20"/>
          <w:lang w:val="pt-BR"/>
        </w:rPr>
        <w:t xml:space="preserve"> que garante a existência de um recurso judicial efetivo cont</w:t>
      </w:r>
      <w:r>
        <w:rPr>
          <w:rFonts w:ascii="Verdana" w:hAnsi="Verdana"/>
          <w:sz w:val="20"/>
          <w:lang w:val="pt-BR"/>
        </w:rPr>
        <w:t>r</w:t>
      </w:r>
      <w:r w:rsidRPr="005E2C37">
        <w:rPr>
          <w:rFonts w:ascii="Verdana" w:hAnsi="Verdana"/>
          <w:sz w:val="20"/>
          <w:lang w:val="pt-BR"/>
        </w:rPr>
        <w:t>a atos violatório</w:t>
      </w:r>
      <w:r>
        <w:rPr>
          <w:rFonts w:ascii="Verdana" w:hAnsi="Verdana"/>
          <w:sz w:val="20"/>
          <w:lang w:val="pt-BR"/>
        </w:rPr>
        <w:t>s</w:t>
      </w:r>
      <w:r w:rsidRPr="005E2C37">
        <w:rPr>
          <w:rFonts w:ascii="Verdana" w:hAnsi="Verdana"/>
          <w:sz w:val="20"/>
          <w:lang w:val="pt-BR"/>
        </w:rPr>
        <w:t xml:space="preserve"> dos direitos fundamentais. A Corte chegou </w:t>
      </w:r>
      <w:proofErr w:type="gramStart"/>
      <w:r w:rsidRPr="005E2C37">
        <w:rPr>
          <w:rFonts w:ascii="Verdana" w:hAnsi="Verdana"/>
          <w:sz w:val="20"/>
          <w:lang w:val="pt-BR"/>
        </w:rPr>
        <w:t>a</w:t>
      </w:r>
      <w:proofErr w:type="gramEnd"/>
      <w:r w:rsidRPr="005E2C37">
        <w:rPr>
          <w:rFonts w:ascii="Verdana" w:hAnsi="Verdana"/>
          <w:sz w:val="20"/>
          <w:lang w:val="pt-BR"/>
        </w:rPr>
        <w:t xml:space="preserve"> conclusão contrária, mas partindo da premissa que se distancia da realidade de que na Nicarágua não existe um procedimento claramente regulado que permita a titulação de terras indígenas </w:t>
      </w:r>
      <w:r w:rsidR="00664426">
        <w:rPr>
          <w:rFonts w:ascii="Verdana" w:hAnsi="Verdana"/>
          <w:sz w:val="20"/>
          <w:lang w:val="pt-BR"/>
        </w:rPr>
        <w:t>comunitárias</w:t>
      </w:r>
      <w:r w:rsidRPr="005E2C37">
        <w:rPr>
          <w:rFonts w:ascii="Verdana" w:hAnsi="Verdana"/>
          <w:sz w:val="20"/>
          <w:lang w:val="pt-BR"/>
        </w:rPr>
        <w:t xml:space="preserve">. A verdade é que o Instituto Nicaraguense de Reforma Agrária </w:t>
      </w:r>
      <w:r w:rsidR="00C60678" w:rsidRPr="00C60678">
        <w:rPr>
          <w:rFonts w:ascii="Verdana" w:hAnsi="Verdana"/>
          <w:sz w:val="20"/>
          <w:lang w:val="pt-BR"/>
        </w:rPr>
        <w:t>(</w:t>
      </w:r>
      <w:r w:rsidRPr="005E2C37">
        <w:rPr>
          <w:rFonts w:ascii="Verdana" w:hAnsi="Verdana"/>
          <w:sz w:val="20"/>
          <w:lang w:val="pt-BR"/>
        </w:rPr>
        <w:t>INRA</w:t>
      </w:r>
      <w:r w:rsidR="00C60678" w:rsidRPr="00C60678">
        <w:rPr>
          <w:rFonts w:ascii="Verdana" w:hAnsi="Verdana"/>
          <w:sz w:val="20"/>
          <w:lang w:val="pt-BR"/>
        </w:rPr>
        <w:t>)</w:t>
      </w:r>
      <w:r w:rsidRPr="005E2C37">
        <w:rPr>
          <w:rFonts w:ascii="Verdana" w:hAnsi="Verdana"/>
          <w:sz w:val="20"/>
          <w:lang w:val="pt-BR"/>
        </w:rPr>
        <w:t xml:space="preserve">, depois MIDINRA e agora Escritório de Titulação Rural tiveram faculdades para fazer titulações e contra suas resoluções era procedente o recurso de amparo </w:t>
      </w:r>
      <w:r>
        <w:rPr>
          <w:rFonts w:ascii="Verdana" w:hAnsi="Verdana"/>
          <w:sz w:val="20"/>
          <w:lang w:val="pt-BR"/>
        </w:rPr>
        <w:t>per</w:t>
      </w:r>
      <w:r w:rsidRPr="005E2C37">
        <w:rPr>
          <w:rFonts w:ascii="Verdana" w:hAnsi="Verdana"/>
          <w:sz w:val="20"/>
          <w:lang w:val="pt-BR"/>
        </w:rPr>
        <w:t>ante a Corte Suprema de Justiça. Que seja possível melhorar a legislação existente não significa que essa legislação não exista. Como o reconhece a mesma sentença da Corte, o Governo da Nicarágua contratou uma consultoria para fazer um diagnóstico integral de todas as comunidades indígenas e apresentou à Assembleia Legislativa um projeto denominado “Lei Orgânica que Regula o Regime de Propriedade Comunal das Comunidades Indígenas da Costa Atlântica e Bosawas”.</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5.</w:t>
      </w:r>
      <w:r w:rsidRPr="005E2C37">
        <w:rPr>
          <w:rFonts w:ascii="Verdana" w:hAnsi="Verdana"/>
          <w:sz w:val="20"/>
          <w:lang w:val="pt-BR"/>
        </w:rPr>
        <w:tab/>
        <w:t xml:space="preserve">Em relação </w:t>
      </w:r>
      <w:r w:rsidR="005F224F">
        <w:rPr>
          <w:rFonts w:ascii="Verdana" w:hAnsi="Verdana"/>
          <w:sz w:val="20"/>
          <w:lang w:val="pt-BR"/>
        </w:rPr>
        <w:t>a</w:t>
      </w:r>
      <w:r w:rsidRPr="005E2C37">
        <w:rPr>
          <w:rFonts w:ascii="Verdana" w:hAnsi="Verdana"/>
          <w:sz w:val="20"/>
          <w:lang w:val="pt-BR"/>
        </w:rPr>
        <w:t xml:space="preserve">o mesmo Artigo 25 da Convenção, a Corte leva em consideração vários recursos de amparo. O primeiro desses recursos foi apresentado pela Comunidade em setembro de 1995, mas nele não se pede a titulação de suas terras, mas se dirige contra a entrega de uma concessão madeireira que ela supõe afetar essas terras. O recurso foi declarado improcedente por ser extemporâneo. É certo que a resolução da Corte Suprema </w:t>
      </w:r>
      <w:r>
        <w:rPr>
          <w:rFonts w:ascii="Verdana" w:hAnsi="Verdana"/>
          <w:sz w:val="20"/>
          <w:lang w:val="pt-BR"/>
        </w:rPr>
        <w:t>foi produzida</w:t>
      </w:r>
      <w:r w:rsidRPr="005E2C37">
        <w:rPr>
          <w:rFonts w:ascii="Verdana" w:hAnsi="Verdana"/>
          <w:sz w:val="20"/>
          <w:lang w:val="pt-BR"/>
        </w:rPr>
        <w:t xml:space="preserve"> mais de um ano depois da interposição, mas isso não causou nenhum prejuízo à Comunidade, pois sendo extemporâneo em nenhum momento pôde haver sido declarado procedente.</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6.</w:t>
      </w:r>
      <w:r w:rsidRPr="005E2C37">
        <w:rPr>
          <w:rFonts w:ascii="Verdana" w:hAnsi="Verdana"/>
          <w:sz w:val="20"/>
          <w:lang w:val="pt-BR"/>
        </w:rPr>
        <w:tab/>
        <w:t xml:space="preserve">O outro recurso considerado pela Corte foi de amparo por inconstitucionalidade interposto por dois membros do Conselho Regional da Região Autônoma Atlântico Norte </w:t>
      </w:r>
      <w:r w:rsidR="00C60678" w:rsidRPr="00C60678">
        <w:rPr>
          <w:rFonts w:ascii="Verdana" w:hAnsi="Verdana"/>
          <w:sz w:val="20"/>
          <w:lang w:val="pt-BR"/>
        </w:rPr>
        <w:t>(</w:t>
      </w:r>
      <w:r w:rsidRPr="005E2C37">
        <w:rPr>
          <w:rFonts w:ascii="Verdana" w:hAnsi="Verdana"/>
          <w:sz w:val="20"/>
          <w:lang w:val="pt-BR"/>
        </w:rPr>
        <w:t>RAAN</w:t>
      </w:r>
      <w:r w:rsidR="00C60678" w:rsidRPr="00C60678">
        <w:rPr>
          <w:rFonts w:ascii="Verdana" w:hAnsi="Verdana"/>
          <w:sz w:val="20"/>
          <w:lang w:val="pt-BR"/>
        </w:rPr>
        <w:t>)</w:t>
      </w:r>
      <w:r w:rsidR="00D74FEC">
        <w:rPr>
          <w:rFonts w:ascii="Verdana" w:hAnsi="Verdana"/>
          <w:sz w:val="20"/>
          <w:lang w:val="pt-BR"/>
        </w:rPr>
        <w:t xml:space="preserve"> no mês de março de 1996</w:t>
      </w:r>
      <w:r w:rsidRPr="005E2C37">
        <w:rPr>
          <w:rFonts w:ascii="Verdana" w:hAnsi="Verdana"/>
          <w:sz w:val="20"/>
          <w:lang w:val="pt-BR"/>
        </w:rPr>
        <w:t xml:space="preserve"> e teve êxito, depois de várias incidências, em obter a declaração de nulidade e cancelamento da referida concessão madeireira. No entanto, a nulidade </w:t>
      </w:r>
      <w:r>
        <w:rPr>
          <w:rFonts w:ascii="Verdana" w:hAnsi="Verdana"/>
          <w:sz w:val="20"/>
          <w:lang w:val="pt-BR"/>
        </w:rPr>
        <w:t>foi baseada</w:t>
      </w:r>
      <w:r w:rsidRPr="005E2C37">
        <w:rPr>
          <w:rFonts w:ascii="Verdana" w:hAnsi="Verdana"/>
          <w:sz w:val="20"/>
          <w:lang w:val="pt-BR"/>
        </w:rPr>
        <w:t xml:space="preserve"> somente na falta de aprovação da concessão pelo pleno do Conselho Regional, ou seja, que não tinha relação com a delimitação de terras da Comunidade e ademais o recurso não havia sido interposto por esta.</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7.</w:t>
      </w:r>
      <w:r w:rsidRPr="005E2C37">
        <w:rPr>
          <w:rFonts w:ascii="Verdana" w:hAnsi="Verdana"/>
          <w:sz w:val="20"/>
          <w:lang w:val="pt-BR"/>
        </w:rPr>
        <w:tab/>
        <w:t xml:space="preserve">Quanto à </w:t>
      </w:r>
      <w:r w:rsidR="00B53D99">
        <w:rPr>
          <w:rFonts w:ascii="Verdana" w:hAnsi="Verdana"/>
          <w:sz w:val="20"/>
          <w:lang w:val="pt-BR"/>
        </w:rPr>
        <w:t xml:space="preserve">declaração </w:t>
      </w:r>
      <w:r w:rsidRPr="005E2C37">
        <w:rPr>
          <w:rFonts w:ascii="Verdana" w:hAnsi="Verdana"/>
          <w:sz w:val="20"/>
          <w:lang w:val="pt-BR"/>
        </w:rPr>
        <w:t xml:space="preserve">de violação do Artigo 21 da Convenção que garante a propriedade, a Corte a fundamenta </w:t>
      </w:r>
      <w:r w:rsidR="00B53D99">
        <w:rPr>
          <w:rFonts w:ascii="Verdana" w:hAnsi="Verdana"/>
          <w:sz w:val="20"/>
          <w:lang w:val="pt-BR"/>
        </w:rPr>
        <w:t xml:space="preserve">no fato de </w:t>
      </w:r>
      <w:r w:rsidRPr="005E2C37">
        <w:rPr>
          <w:rFonts w:ascii="Verdana" w:hAnsi="Verdana"/>
          <w:sz w:val="20"/>
          <w:lang w:val="pt-BR"/>
        </w:rPr>
        <w:t>que não existe na Nicarágua um procedimento para materializar o reconhecimento da propriedade comunal dos povos indígenas, mas esse fundamento não é certo, como foi visto nos parágrafos anteriores. O fato de que desde 1990 não tenham sido concedidos títulos dessa natureza não implica a ausência de tal procedimento, mas que se deriva da falta de interesse das comunidades indígenas em solicitar a titulação de suas terras; em particular, no caso concreto da Comunidade Awas Tingni, em nenhum momento foi feit</w:t>
      </w:r>
      <w:r w:rsidR="00BF2B08">
        <w:rPr>
          <w:rFonts w:ascii="Verdana" w:hAnsi="Verdana"/>
          <w:sz w:val="20"/>
          <w:lang w:val="pt-BR"/>
        </w:rPr>
        <w:t>o</w:t>
      </w:r>
      <w:r w:rsidRPr="005E2C37">
        <w:rPr>
          <w:rFonts w:ascii="Verdana" w:hAnsi="Verdana"/>
          <w:sz w:val="20"/>
          <w:lang w:val="pt-BR"/>
        </w:rPr>
        <w:t xml:space="preserve"> </w:t>
      </w:r>
      <w:r w:rsidR="00BF2B08">
        <w:rPr>
          <w:rFonts w:ascii="Verdana" w:hAnsi="Verdana"/>
          <w:sz w:val="20"/>
          <w:lang w:val="pt-BR"/>
        </w:rPr>
        <w:t>pedido</w:t>
      </w:r>
      <w:r w:rsidRPr="005E2C37">
        <w:rPr>
          <w:rFonts w:ascii="Verdana" w:hAnsi="Verdana"/>
          <w:sz w:val="20"/>
          <w:lang w:val="pt-BR"/>
        </w:rPr>
        <w:t xml:space="preserve"> de titulação </w:t>
      </w:r>
      <w:r>
        <w:rPr>
          <w:rFonts w:ascii="Verdana" w:hAnsi="Verdana"/>
          <w:sz w:val="20"/>
          <w:lang w:val="pt-BR"/>
        </w:rPr>
        <w:t>per</w:t>
      </w:r>
      <w:r w:rsidRPr="005E2C37">
        <w:rPr>
          <w:rFonts w:ascii="Verdana" w:hAnsi="Verdana"/>
          <w:sz w:val="20"/>
          <w:lang w:val="pt-BR"/>
        </w:rPr>
        <w:t xml:space="preserve">ante a autoridade competente, </w:t>
      </w:r>
      <w:r w:rsidR="008F5235">
        <w:rPr>
          <w:rFonts w:ascii="Verdana" w:hAnsi="Verdana"/>
          <w:sz w:val="20"/>
          <w:lang w:val="pt-BR"/>
        </w:rPr>
        <w:t>mas</w:t>
      </w:r>
      <w:r w:rsidR="008F5235" w:rsidRPr="005E2C37">
        <w:rPr>
          <w:rFonts w:ascii="Verdana" w:hAnsi="Verdana"/>
          <w:sz w:val="20"/>
          <w:lang w:val="pt-BR"/>
        </w:rPr>
        <w:t xml:space="preserve"> </w:t>
      </w:r>
      <w:r w:rsidRPr="005E2C37">
        <w:rPr>
          <w:rFonts w:ascii="Verdana" w:hAnsi="Verdana"/>
          <w:sz w:val="20"/>
          <w:lang w:val="pt-BR"/>
        </w:rPr>
        <w:t xml:space="preserve">que todas suas gestões </w:t>
      </w:r>
      <w:r>
        <w:rPr>
          <w:rFonts w:ascii="Verdana" w:hAnsi="Verdana"/>
          <w:sz w:val="20"/>
          <w:lang w:val="pt-BR"/>
        </w:rPr>
        <w:t xml:space="preserve">se limitaram </w:t>
      </w:r>
      <w:r w:rsidRPr="005E2C37">
        <w:rPr>
          <w:rFonts w:ascii="Verdana" w:hAnsi="Verdana"/>
          <w:sz w:val="20"/>
          <w:lang w:val="pt-BR"/>
        </w:rPr>
        <w:t xml:space="preserve">a atacar a concessão madeireira antes referida. Somente no </w:t>
      </w:r>
      <w:r w:rsidRPr="005E2C37">
        <w:rPr>
          <w:rFonts w:ascii="Verdana" w:hAnsi="Verdana"/>
          <w:sz w:val="20"/>
          <w:lang w:val="pt-BR"/>
        </w:rPr>
        <w:lastRenderedPageBreak/>
        <w:t xml:space="preserve">caso de que </w:t>
      </w:r>
      <w:r w:rsidR="00BF2B08">
        <w:rPr>
          <w:rFonts w:ascii="Verdana" w:hAnsi="Verdana"/>
          <w:sz w:val="20"/>
          <w:lang w:val="pt-BR"/>
        </w:rPr>
        <w:t>houvesse</w:t>
      </w:r>
      <w:r w:rsidRPr="005E2C37">
        <w:rPr>
          <w:rFonts w:ascii="Verdana" w:hAnsi="Verdana"/>
          <w:sz w:val="20"/>
          <w:lang w:val="pt-BR"/>
        </w:rPr>
        <w:t xml:space="preserve"> havido </w:t>
      </w:r>
      <w:r w:rsidR="00BF2B08">
        <w:rPr>
          <w:rFonts w:ascii="Verdana" w:hAnsi="Verdana"/>
          <w:sz w:val="20"/>
          <w:lang w:val="pt-BR"/>
        </w:rPr>
        <w:t>pedidos</w:t>
      </w:r>
      <w:r w:rsidRPr="005E2C37">
        <w:rPr>
          <w:rFonts w:ascii="Verdana" w:hAnsi="Verdana"/>
          <w:sz w:val="20"/>
          <w:lang w:val="pt-BR"/>
        </w:rPr>
        <w:t xml:space="preserve"> de titulação e estas </w:t>
      </w:r>
      <w:r w:rsidR="00E72E7F">
        <w:rPr>
          <w:rFonts w:ascii="Verdana" w:hAnsi="Verdana"/>
          <w:sz w:val="20"/>
          <w:lang w:val="pt-BR"/>
        </w:rPr>
        <w:t>houvessem</w:t>
      </w:r>
      <w:r w:rsidRPr="005E2C37">
        <w:rPr>
          <w:rFonts w:ascii="Verdana" w:hAnsi="Verdana"/>
          <w:sz w:val="20"/>
          <w:lang w:val="pt-BR"/>
        </w:rPr>
        <w:t xml:space="preserve"> sido recusadas, teria fundamento a alegação.</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8.</w:t>
      </w:r>
      <w:r w:rsidRPr="005E2C37">
        <w:rPr>
          <w:rFonts w:ascii="Verdana" w:hAnsi="Verdana"/>
          <w:sz w:val="20"/>
          <w:lang w:val="pt-BR"/>
        </w:rPr>
        <w:tab/>
        <w:t>Os fatos enumerados nos parágrafos anteriores comprovam que não existiu violação dos artigos 25 e 21 da Convenção que se indicam como violados na sentença da Corte.</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9.</w:t>
      </w:r>
      <w:r w:rsidRPr="005E2C37">
        <w:rPr>
          <w:rFonts w:ascii="Verdana" w:hAnsi="Verdana"/>
          <w:sz w:val="20"/>
          <w:lang w:val="pt-BR"/>
        </w:rPr>
        <w:tab/>
        <w:t xml:space="preserve">Com respeito às reparações acordadas pela Corte, devo indicar que ao não haver violação de um direito protegido pela Convenção, não cabe </w:t>
      </w:r>
      <w:proofErr w:type="gramStart"/>
      <w:r w:rsidRPr="005E2C37">
        <w:rPr>
          <w:rFonts w:ascii="Verdana" w:hAnsi="Verdana"/>
          <w:sz w:val="20"/>
          <w:lang w:val="pt-BR"/>
        </w:rPr>
        <w:t>a</w:t>
      </w:r>
      <w:proofErr w:type="gramEnd"/>
      <w:r w:rsidRPr="005E2C37">
        <w:rPr>
          <w:rFonts w:ascii="Verdana" w:hAnsi="Verdana"/>
          <w:sz w:val="20"/>
          <w:lang w:val="pt-BR"/>
        </w:rPr>
        <w:t xml:space="preserve"> aplicação do Artigo 63 da mesma.</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Ademais, não é procedente acordar indenização na ausência de dano e no presente caso el</w:t>
      </w:r>
      <w:r w:rsidR="00E72E7F">
        <w:rPr>
          <w:rFonts w:ascii="Verdana" w:hAnsi="Verdana"/>
          <w:sz w:val="20"/>
          <w:lang w:val="pt-BR"/>
        </w:rPr>
        <w:t>e</w:t>
      </w:r>
      <w:r w:rsidRPr="005E2C37">
        <w:rPr>
          <w:rFonts w:ascii="Verdana" w:hAnsi="Verdana"/>
          <w:sz w:val="20"/>
          <w:lang w:val="pt-BR"/>
        </w:rPr>
        <w:t xml:space="preserve"> não existiu, nem material por não ter havido cortes de madeira na área de concessão, nem moral porque a falta de delimitação das terras não afetou o sistema de vida tradicional dos indígenas da Comunidade Awas Ti</w:t>
      </w:r>
      <w:r>
        <w:rPr>
          <w:rFonts w:ascii="Verdana" w:hAnsi="Verdana"/>
          <w:sz w:val="20"/>
          <w:lang w:val="pt-BR"/>
        </w:rPr>
        <w:t>n</w:t>
      </w:r>
      <w:r w:rsidRPr="005E2C37">
        <w:rPr>
          <w:rFonts w:ascii="Verdana" w:hAnsi="Verdana"/>
          <w:sz w:val="20"/>
          <w:lang w:val="pt-BR"/>
        </w:rPr>
        <w:t>gni.</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 xml:space="preserve">Sobre a reintegração dos gastos gerados pelas gestões e a condenação em custas, em minha opinião só devem ser acordados nos casos em que o Estado não tenha tido motivos racionais para se </w:t>
      </w:r>
      <w:proofErr w:type="gramStart"/>
      <w:r w:rsidRPr="005E2C37">
        <w:rPr>
          <w:rFonts w:ascii="Verdana" w:hAnsi="Verdana"/>
          <w:sz w:val="20"/>
          <w:lang w:val="pt-BR"/>
        </w:rPr>
        <w:t>opor</w:t>
      </w:r>
      <w:proofErr w:type="gramEnd"/>
      <w:r w:rsidRPr="005E2C37">
        <w:rPr>
          <w:rFonts w:ascii="Verdana" w:hAnsi="Verdana"/>
          <w:sz w:val="20"/>
          <w:lang w:val="pt-BR"/>
        </w:rPr>
        <w:t xml:space="preserve"> à demanda.</w:t>
      </w:r>
    </w:p>
    <w:p w:rsidR="006C04AC" w:rsidRPr="005E2C37" w:rsidRDefault="006C04AC" w:rsidP="006C04AC">
      <w:pPr>
        <w:pStyle w:val="Textoindependiente"/>
        <w:widowControl/>
        <w:rPr>
          <w:rFonts w:ascii="Verdana" w:hAnsi="Verdana"/>
          <w:sz w:val="20"/>
          <w:lang w:val="pt-BR"/>
        </w:rPr>
      </w:pPr>
    </w:p>
    <w:p w:rsidR="006C04AC" w:rsidRPr="005E2C37" w:rsidRDefault="006C04AC" w:rsidP="006C04AC">
      <w:pPr>
        <w:pStyle w:val="Textoindependiente"/>
        <w:widowControl/>
        <w:rPr>
          <w:rFonts w:ascii="Verdana" w:hAnsi="Verdana"/>
          <w:sz w:val="20"/>
          <w:lang w:val="pt-BR"/>
        </w:rPr>
      </w:pPr>
      <w:r w:rsidRPr="005E2C37">
        <w:rPr>
          <w:rFonts w:ascii="Verdana" w:hAnsi="Verdana"/>
          <w:sz w:val="20"/>
          <w:lang w:val="pt-BR"/>
        </w:rPr>
        <w:t>10.</w:t>
      </w:r>
      <w:r w:rsidRPr="005E2C37">
        <w:rPr>
          <w:rFonts w:ascii="Verdana" w:hAnsi="Verdana"/>
          <w:sz w:val="20"/>
          <w:lang w:val="pt-BR"/>
        </w:rPr>
        <w:tab/>
        <w:t xml:space="preserve">Apesar do </w:t>
      </w:r>
      <w:r w:rsidR="00B53D99">
        <w:rPr>
          <w:rFonts w:ascii="Verdana" w:hAnsi="Verdana"/>
          <w:sz w:val="20"/>
          <w:lang w:val="pt-BR"/>
        </w:rPr>
        <w:t>afirmado</w:t>
      </w:r>
      <w:r w:rsidRPr="005E2C37">
        <w:rPr>
          <w:rFonts w:ascii="Verdana" w:hAnsi="Verdana"/>
          <w:sz w:val="20"/>
          <w:lang w:val="pt-BR"/>
        </w:rPr>
        <w:t xml:space="preserve"> no parágrafo anterior, creio ser justo reconhecer que na indicação dos montantes das quantidades acordadas a Corte procedeu com equidade, levando em </w:t>
      </w:r>
      <w:r w:rsidR="00B53D99">
        <w:rPr>
          <w:rFonts w:ascii="Verdana" w:hAnsi="Verdana"/>
          <w:sz w:val="20"/>
          <w:lang w:val="pt-BR"/>
        </w:rPr>
        <w:t xml:space="preserve">consideração </w:t>
      </w:r>
      <w:r w:rsidRPr="005E2C37">
        <w:rPr>
          <w:rFonts w:ascii="Verdana" w:hAnsi="Verdana"/>
          <w:sz w:val="20"/>
          <w:lang w:val="pt-BR"/>
        </w:rPr>
        <w:t>a difícil situação econômica pela qual atravessa a Nicarágua.</w:t>
      </w:r>
    </w:p>
    <w:p w:rsidR="006C04AC" w:rsidRPr="005E2C37" w:rsidRDefault="006C04AC" w:rsidP="006C04AC">
      <w:pPr>
        <w:pStyle w:val="Textoindependiente"/>
        <w:widowControl/>
        <w:ind w:right="-720"/>
        <w:rPr>
          <w:rFonts w:ascii="Verdana" w:hAnsi="Verdana"/>
          <w:sz w:val="20"/>
          <w:lang w:val="pt-BR"/>
        </w:rPr>
      </w:pPr>
    </w:p>
    <w:p w:rsidR="006C04AC" w:rsidRPr="005E2C37" w:rsidRDefault="006C04AC" w:rsidP="006C04AC">
      <w:pPr>
        <w:ind w:left="5040"/>
        <w:jc w:val="center"/>
        <w:rPr>
          <w:rFonts w:ascii="Verdana" w:hAnsi="Verdana"/>
          <w:sz w:val="20"/>
        </w:rPr>
      </w:pPr>
    </w:p>
    <w:p w:rsidR="006C04AC" w:rsidRPr="00B4382F" w:rsidRDefault="006C04AC" w:rsidP="006C04AC">
      <w:pPr>
        <w:ind w:left="5040"/>
        <w:jc w:val="center"/>
        <w:rPr>
          <w:rFonts w:ascii="Verdana" w:hAnsi="Verdana"/>
          <w:sz w:val="20"/>
          <w:lang w:val="es-ES"/>
        </w:rPr>
      </w:pPr>
      <w:r w:rsidRPr="00B4382F">
        <w:rPr>
          <w:rFonts w:ascii="Verdana" w:hAnsi="Verdana"/>
          <w:sz w:val="20"/>
          <w:lang w:val="es-ES"/>
        </w:rPr>
        <w:t>Alejandro Montiel Argüello</w:t>
      </w:r>
    </w:p>
    <w:p w:rsidR="006C04AC" w:rsidRPr="00B4382F" w:rsidRDefault="00B4382F" w:rsidP="006C04AC">
      <w:pPr>
        <w:ind w:left="5040"/>
        <w:jc w:val="center"/>
        <w:rPr>
          <w:rFonts w:ascii="Verdana" w:hAnsi="Verdana"/>
          <w:sz w:val="20"/>
          <w:lang w:val="es-ES"/>
        </w:rPr>
      </w:pPr>
      <w:r w:rsidRPr="00B4382F">
        <w:rPr>
          <w:rFonts w:ascii="Verdana" w:hAnsi="Verdana"/>
          <w:sz w:val="20"/>
          <w:lang w:val="es-ES"/>
        </w:rPr>
        <w:t>Jui</w:t>
      </w:r>
      <w:r w:rsidR="006C04AC" w:rsidRPr="00B4382F">
        <w:rPr>
          <w:rFonts w:ascii="Verdana" w:hAnsi="Verdana"/>
          <w:sz w:val="20"/>
          <w:lang w:val="es-ES"/>
        </w:rPr>
        <w:t xml:space="preserve">z </w:t>
      </w:r>
      <w:r w:rsidR="006C04AC" w:rsidRPr="00B4382F">
        <w:rPr>
          <w:rFonts w:ascii="Verdana" w:hAnsi="Verdana"/>
          <w:i/>
          <w:sz w:val="20"/>
          <w:lang w:val="es-ES"/>
        </w:rPr>
        <w:t>ad hoc</w:t>
      </w:r>
    </w:p>
    <w:p w:rsidR="006C04AC" w:rsidRPr="00B4382F" w:rsidRDefault="006C04AC" w:rsidP="006C04AC">
      <w:pPr>
        <w:ind w:right="5760"/>
        <w:jc w:val="center"/>
        <w:rPr>
          <w:rFonts w:ascii="Verdana" w:hAnsi="Verdana"/>
          <w:sz w:val="20"/>
          <w:lang w:val="es-ES"/>
        </w:rPr>
      </w:pPr>
    </w:p>
    <w:p w:rsidR="006C04AC" w:rsidRPr="00B4382F" w:rsidRDefault="006C04AC" w:rsidP="006C04AC">
      <w:pPr>
        <w:ind w:right="4680"/>
        <w:jc w:val="center"/>
        <w:rPr>
          <w:rFonts w:ascii="Verdana" w:hAnsi="Verdana"/>
          <w:sz w:val="20"/>
        </w:rPr>
      </w:pPr>
      <w:r w:rsidRPr="00B4382F">
        <w:rPr>
          <w:rFonts w:ascii="Verdana" w:hAnsi="Verdana"/>
          <w:sz w:val="20"/>
        </w:rPr>
        <w:t>Manuel E. Ve</w:t>
      </w:r>
      <w:bookmarkStart w:id="0" w:name="_GoBack"/>
      <w:bookmarkEnd w:id="0"/>
      <w:r w:rsidRPr="00B4382F">
        <w:rPr>
          <w:rFonts w:ascii="Verdana" w:hAnsi="Verdana"/>
          <w:sz w:val="20"/>
        </w:rPr>
        <w:t>ntura Robles</w:t>
      </w:r>
    </w:p>
    <w:p w:rsidR="006C04AC" w:rsidRPr="005E2C37" w:rsidRDefault="00B4382F" w:rsidP="006C04AC">
      <w:pPr>
        <w:tabs>
          <w:tab w:val="left" w:pos="3960"/>
        </w:tabs>
        <w:ind w:right="4680"/>
        <w:jc w:val="center"/>
        <w:rPr>
          <w:rFonts w:ascii="Verdana" w:hAnsi="Verdana"/>
          <w:sz w:val="20"/>
        </w:rPr>
      </w:pPr>
      <w:r w:rsidRPr="00B4382F">
        <w:rPr>
          <w:rFonts w:ascii="Verdana" w:hAnsi="Verdana"/>
          <w:sz w:val="20"/>
        </w:rPr>
        <w:t>Secretá</w:t>
      </w:r>
      <w:r w:rsidR="006C04AC" w:rsidRPr="00B4382F">
        <w:rPr>
          <w:rFonts w:ascii="Verdana" w:hAnsi="Verdana"/>
          <w:sz w:val="20"/>
        </w:rPr>
        <w:t>rio</w:t>
      </w:r>
    </w:p>
    <w:p w:rsidR="006C04AC" w:rsidRDefault="006C04AC" w:rsidP="006C04AC"/>
    <w:p w:rsidR="00C0634F" w:rsidRDefault="00C0634F"/>
    <w:sectPr w:rsidR="00C0634F" w:rsidSect="006C04AC">
      <w:headerReference w:type="default" r:id="rId10"/>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5DE" w:rsidRDefault="00E635DE" w:rsidP="000B3F97">
      <w:r>
        <w:separator/>
      </w:r>
    </w:p>
  </w:endnote>
  <w:endnote w:type="continuationSeparator" w:id="0">
    <w:p w:rsidR="00E635DE" w:rsidRDefault="00E635DE" w:rsidP="000B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wiss721BT-LightExtended">
    <w:altName w:val="Cambri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5DE" w:rsidRDefault="00E635DE" w:rsidP="000B3F97">
      <w:r>
        <w:separator/>
      </w:r>
    </w:p>
  </w:footnote>
  <w:footnote w:type="continuationSeparator" w:id="0">
    <w:p w:rsidR="00E635DE" w:rsidRDefault="00E635DE" w:rsidP="000B3F97">
      <w:r>
        <w:continuationSeparator/>
      </w:r>
    </w:p>
  </w:footnote>
  <w:footnote w:id="1">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t>*</w:t>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sz w:val="16"/>
          <w:szCs w:val="16"/>
          <w:lang w:val="pt-BR"/>
        </w:rPr>
        <w:t>De acordo com</w:t>
      </w:r>
      <w:r w:rsidRPr="00F45F6C">
        <w:rPr>
          <w:rFonts w:ascii="Verdana" w:hAnsi="Verdana"/>
          <w:sz w:val="16"/>
          <w:szCs w:val="16"/>
        </w:rPr>
        <w:t xml:space="preserve"> a Resolução da Corte de 13 de março de 2001</w:t>
      </w:r>
      <w:r w:rsidRPr="00F45F6C">
        <w:rPr>
          <w:rFonts w:ascii="Verdana" w:hAnsi="Verdana"/>
          <w:sz w:val="16"/>
          <w:szCs w:val="16"/>
          <w:lang w:val="pt-BR"/>
        </w:rPr>
        <w:t>,</w:t>
      </w:r>
      <w:r w:rsidRPr="00F45F6C">
        <w:rPr>
          <w:rFonts w:ascii="Verdana" w:hAnsi="Verdana"/>
          <w:sz w:val="16"/>
          <w:szCs w:val="16"/>
        </w:rPr>
        <w:t xml:space="preserve"> sobre Disposições Transitórias ao</w:t>
      </w:r>
      <w:r w:rsidRPr="00F45F6C">
        <w:rPr>
          <w:rFonts w:ascii="Verdana" w:hAnsi="Verdana"/>
          <w:sz w:val="16"/>
          <w:szCs w:val="16"/>
          <w:lang w:val="pt-BR"/>
        </w:rPr>
        <w:t xml:space="preserve"> seu </w:t>
      </w:r>
      <w:r w:rsidRPr="00F45F6C">
        <w:rPr>
          <w:rFonts w:ascii="Verdana" w:hAnsi="Verdana"/>
          <w:sz w:val="16"/>
          <w:szCs w:val="16"/>
        </w:rPr>
        <w:t>Regulamento, a presente Sentença sobre o mérito d</w:t>
      </w:r>
      <w:r w:rsidRPr="00F45F6C">
        <w:rPr>
          <w:rFonts w:ascii="Verdana" w:hAnsi="Verdana"/>
          <w:sz w:val="16"/>
          <w:szCs w:val="16"/>
          <w:lang w:val="pt-BR"/>
        </w:rPr>
        <w:t>este</w:t>
      </w:r>
      <w:r w:rsidRPr="00F45F6C">
        <w:rPr>
          <w:rFonts w:ascii="Verdana" w:hAnsi="Verdana"/>
          <w:sz w:val="16"/>
          <w:szCs w:val="16"/>
        </w:rPr>
        <w:t xml:space="preserve"> caso é proferida nos termos do Regulamento adotado </w:t>
      </w:r>
      <w:r w:rsidRPr="00F45F6C">
        <w:rPr>
          <w:rFonts w:ascii="Verdana" w:hAnsi="Verdana"/>
          <w:sz w:val="16"/>
          <w:szCs w:val="16"/>
          <w:lang w:val="pt-BR"/>
        </w:rPr>
        <w:t>através da</w:t>
      </w:r>
      <w:r w:rsidRPr="00F45F6C">
        <w:rPr>
          <w:rFonts w:ascii="Verdana" w:hAnsi="Verdana"/>
          <w:sz w:val="16"/>
          <w:szCs w:val="16"/>
        </w:rPr>
        <w:t xml:space="preserve"> Resolução da Corte de 16 de setembro de 1996.</w:t>
      </w:r>
    </w:p>
  </w:footnote>
  <w:footnote w:id="2">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anexo C.1, esboço da área de localização da Comunidade Awas Tingni na RAAN; anexo C.2, escrito de 8 de novembro de 1992 de Charly Webster Mclean Cornelio; anexo C.3, documento de fevereiro de 1996 intitulado “Awas Tingni. Um estudo Etnográfico da Comunidade e seu Território”, Rascunho do Relatório Preliminar elaborado pelo Projeto de Demarcação Territorial Awas Tingni, pesquisador principal: Theodore Macdonald; anexo C.4, mapa intitulado “Território Awas Tingni”; mapa intitulado “Território Awas Tingni. Delimitação Proposta”; anexo C.5, mapa intitulado “Posse de Terra dos Mayagna de Awas Tingni na Área da Concessão à SOLCARSA”; anexo C.6, declaração prestada por Theodore Macdonald Jr. em 3 de janeiro de 1996; anexo C.7, mapa de novembro de 1997 intitulado “Mapa de Ocupação e Usos de Subsistência da Comunidade Indígena de Awas Tingni”; anexo C.8, escrito de 11 de julho de 1995 de María Luisa Acosta Castellón, advogada da Comunidade Awas Tingni, encaminhado a Milton Caldera C., Ministro do MARENA, ao qual foram anexados: documento de janeiro de 1994 intitulado “Direitos Territoriais da Comunidade Indígena Awas Tingni” realizado pela Universidade de Iowa como parte de seu “Projeto de Apoio à Comunidade Awas Tingni”; anexo C.9, escrito de 23 de outubro de 1995 de James </w:t>
      </w:r>
      <w:r w:rsidR="00F6292B">
        <w:rPr>
          <w:rFonts w:ascii="Verdana" w:hAnsi="Verdana"/>
          <w:sz w:val="16"/>
          <w:szCs w:val="16"/>
        </w:rPr>
        <w:t>Anaya, representante jurídico</w:t>
      </w:r>
      <w:r w:rsidRPr="00F45F6C">
        <w:rPr>
          <w:rFonts w:ascii="Verdana" w:hAnsi="Verdana"/>
          <w:sz w:val="16"/>
          <w:szCs w:val="16"/>
        </w:rPr>
        <w:t xml:space="preserve"> da Comunidade Mayagna Awas Tingni, encaminhado a Milton Caldera Cardenal, Ministro do MARENA; anexo C.10, documento de dezembro de 1994 intitulado “Plano de Manejo Florestal de Latifoliadas Cerro Wakambay, (Edição Final)”, realizado por Swietenia S.A. Consultores para KUMKYUNG CO., LTD; anexo C.11, declaração prestada por Charly Webster Mclean Cornelio em 4 de dezembro de 1995; anexo C.12, documento de 4 de janeiro de 1996 intitulado </w:t>
      </w:r>
      <w:r w:rsidRPr="00F45F6C">
        <w:rPr>
          <w:rFonts w:ascii="Verdana" w:hAnsi="Verdana"/>
          <w:i/>
          <w:sz w:val="16"/>
          <w:szCs w:val="16"/>
        </w:rPr>
        <w:t>“Memorandum in support of supplemental request for provisional measures. In the Case of the Mayagna Indian Community of Awas Tingni and Jaime Castillo Felipe, on his own behalf and on behalf of the Community of Awas Tingni, against Nicaragua”</w:t>
      </w:r>
      <w:r w:rsidRPr="00F45F6C">
        <w:rPr>
          <w:rFonts w:ascii="Verdana" w:hAnsi="Verdana"/>
          <w:sz w:val="16"/>
          <w:szCs w:val="16"/>
        </w:rPr>
        <w:t xml:space="preserve"> </w:t>
      </w:r>
      <w:proofErr w:type="gramStart"/>
      <w:r w:rsidRPr="00F45F6C">
        <w:rPr>
          <w:rFonts w:ascii="Verdana" w:hAnsi="Verdana"/>
          <w:sz w:val="16"/>
          <w:szCs w:val="16"/>
        </w:rPr>
        <w:t>elaborado</w:t>
      </w:r>
      <w:proofErr w:type="gramEnd"/>
      <w:r w:rsidRPr="00F45F6C">
        <w:rPr>
          <w:rFonts w:ascii="Verdana" w:hAnsi="Verdana"/>
          <w:sz w:val="16"/>
          <w:szCs w:val="16"/>
        </w:rPr>
        <w:t xml:space="preserve"> por James Anaya, John S. Allen, María Luisa Acosta Castellón, Jeffrey G. Bullwinkel, S. Todd Crider e Steven M. Tullberg; anexo C.13, escrito de março de 1996 que solicita o “reconhecimento oficial e demarcação das terras ancestrais” da Comunidade Mayagna Awas Tingni encaminhado ao Conselho Regional da RAAN, ao qual foram anexados: documento intitulado “Censo Geral da Comunidade de Awas Tingni” correspondente ao ano 1994; anexo C.14, escrito de 20 de março de 1996 de James </w:t>
      </w:r>
      <w:r w:rsidR="00F6292B">
        <w:rPr>
          <w:rFonts w:ascii="Verdana" w:hAnsi="Verdana"/>
          <w:sz w:val="16"/>
          <w:szCs w:val="16"/>
        </w:rPr>
        <w:t>Anaya, representante jurídico</w:t>
      </w:r>
      <w:r w:rsidRPr="00F45F6C">
        <w:rPr>
          <w:rFonts w:ascii="Verdana" w:hAnsi="Verdana"/>
          <w:sz w:val="16"/>
          <w:szCs w:val="16"/>
        </w:rPr>
        <w:t xml:space="preserve"> da Comunidade Mayagna Awas Tingni, encaminhado a Ernesto Leal, Ministro das Relações Exteriores; anexo C.15, escrito de 20 de março de 1996 de James </w:t>
      </w:r>
      <w:r w:rsidR="00F6292B">
        <w:rPr>
          <w:rFonts w:ascii="Verdana" w:hAnsi="Verdana"/>
          <w:sz w:val="16"/>
          <w:szCs w:val="16"/>
        </w:rPr>
        <w:t>Anaya, representante jurídico</w:t>
      </w:r>
      <w:r w:rsidRPr="00F45F6C">
        <w:rPr>
          <w:rFonts w:ascii="Verdana" w:hAnsi="Verdana"/>
          <w:sz w:val="16"/>
          <w:szCs w:val="16"/>
        </w:rPr>
        <w:t xml:space="preserve"> da Comunidade Mayagna Awas Tingni, encaminhado a Claudio Gutiérrez, Ministro do MARENA; anexo C.16, documento intitulado “Projeto de Memorando de Entendimento”; anexo C.17, artigo do Diário </w:t>
      </w:r>
      <w:r w:rsidRPr="00F45F6C">
        <w:rPr>
          <w:rFonts w:ascii="Verdana" w:hAnsi="Verdana"/>
          <w:i/>
          <w:sz w:val="16"/>
          <w:szCs w:val="16"/>
        </w:rPr>
        <w:t>La Prensa</w:t>
      </w:r>
      <w:r w:rsidRPr="00F45F6C">
        <w:rPr>
          <w:rFonts w:ascii="Verdana" w:hAnsi="Verdana"/>
          <w:sz w:val="16"/>
          <w:szCs w:val="16"/>
        </w:rPr>
        <w:t xml:space="preserve"> intitulado “</w:t>
      </w:r>
      <w:r w:rsidRPr="00F45F6C">
        <w:rPr>
          <w:rFonts w:ascii="Verdana" w:hAnsi="Verdana"/>
          <w:i/>
          <w:sz w:val="16"/>
          <w:szCs w:val="16"/>
        </w:rPr>
        <w:t>Peligra hábitat indígena por explotación maderera</w:t>
      </w:r>
      <w:r w:rsidRPr="00F45F6C">
        <w:rPr>
          <w:rFonts w:ascii="Verdana" w:hAnsi="Verdana"/>
          <w:sz w:val="16"/>
          <w:szCs w:val="16"/>
        </w:rPr>
        <w:t xml:space="preserve">”, publicado em 24 de março de 1996; anexo C.18, artigo do Diário </w:t>
      </w:r>
      <w:r w:rsidRPr="00F45F6C">
        <w:rPr>
          <w:rFonts w:ascii="Verdana" w:hAnsi="Verdana"/>
          <w:i/>
          <w:sz w:val="16"/>
          <w:szCs w:val="16"/>
        </w:rPr>
        <w:t>New York Times</w:t>
      </w:r>
      <w:r w:rsidRPr="00F45F6C">
        <w:rPr>
          <w:rFonts w:ascii="Verdana" w:hAnsi="Verdana"/>
          <w:sz w:val="16"/>
          <w:szCs w:val="16"/>
        </w:rPr>
        <w:t xml:space="preserve"> intitulado “</w:t>
      </w:r>
      <w:r w:rsidRPr="00F45F6C">
        <w:rPr>
          <w:rFonts w:ascii="Verdana" w:hAnsi="Verdana"/>
          <w:i/>
          <w:sz w:val="16"/>
          <w:szCs w:val="16"/>
        </w:rPr>
        <w:t>It´s Indians vs. Loggers in Nicaragua</w:t>
      </w:r>
      <w:r w:rsidRPr="00F45F6C">
        <w:rPr>
          <w:rFonts w:ascii="Verdana" w:hAnsi="Verdana"/>
          <w:sz w:val="16"/>
          <w:szCs w:val="16"/>
        </w:rPr>
        <w:t xml:space="preserve">”, publicado em 25 de junho de 1996; anexo C.19, escrito de 17 de maio de 1996 de James </w:t>
      </w:r>
      <w:r w:rsidR="00F6292B">
        <w:rPr>
          <w:rFonts w:ascii="Verdana" w:hAnsi="Verdana"/>
          <w:sz w:val="16"/>
          <w:szCs w:val="16"/>
        </w:rPr>
        <w:t>Anaya, representante jurídico</w:t>
      </w:r>
      <w:r w:rsidRPr="00F45F6C">
        <w:rPr>
          <w:rFonts w:ascii="Verdana" w:hAnsi="Verdana"/>
          <w:sz w:val="16"/>
          <w:szCs w:val="16"/>
        </w:rPr>
        <w:t xml:space="preserve"> da Comunidade Mayagna Awas Tingni, encaminhado a José Antonio Tijerino, Representante Permanente da Nicarágua ante a Organização dos Estados Americanos (OEA); anexo C.20, relatório de 8 de maio de 1996 realizado por María Luisa Acosta Castellón, encaminhado a James Anaya; anexo C.21, testemunho da escritura número um do protocolo número vinte do notário público Oscar Saravia Baltodano, na qual consta o “Contrato de Manejo e Aproveitamento Florestal” assinado em 13 de março de 1996 entre Claudio Gutiérrez Huete, representante do MARENA, e Hyong Seock Byun, representante da companhia SOLCARSA; anexo C.22, disposição administrativa nº 2–95 de 28 de junho de 1995 da Junta Diretiva do Conselho Regional da RAAN; anexo C.23, escrito de 8 de dezembro de 1995 de Alta Hooker Blandford, Presidente do Conselho Regional da RAAN, e Myrna Taylor, Primeira Secretária da Junta Diretiva do Conselho Regional da RAAN, encaminhado a Roberto Araquistain Cisneros, Diretor Geral Florestal; anexo C.24, documento intitulado “Relatório sobre a segunda reunião da Comissão Nacional para a Demarcação das Terras Comunais da Costa Atlântica da Nicarágua realizada em 14 de novembro de 1996 em Puerto Cabezas”; anexo C.25, documento de 14 de novembro de 1996 intitulado “Declaração dos indígenas perante a Comissão Nacional para a Demarcação das Terras das Comunidades Indígenas da Costa Atlântica da Nicarágua”; anexo C.26, escrito de 21 de novembro de 1996 de Ned Archibold e outros, da Organização de Síndicos Indígenas do Caribe Nicaraguense (OSICAN), encaminhado a James Wolsensohn, Presidente do Banco Mundial; anexo C.27, escrito de </w:t>
      </w:r>
      <w:proofErr w:type="gramStart"/>
      <w:r w:rsidRPr="00F45F6C">
        <w:rPr>
          <w:rFonts w:ascii="Verdana" w:hAnsi="Verdana"/>
          <w:sz w:val="16"/>
          <w:szCs w:val="16"/>
        </w:rPr>
        <w:t>5</w:t>
      </w:r>
      <w:proofErr w:type="gramEnd"/>
      <w:r w:rsidRPr="00F45F6C">
        <w:rPr>
          <w:rFonts w:ascii="Verdana" w:hAnsi="Verdana"/>
          <w:sz w:val="16"/>
          <w:szCs w:val="16"/>
        </w:rPr>
        <w:t xml:space="preserve"> de dezembro de 1996 de Fermín Chavarría, Coordenador do Movimento Indígena da RAAS, encaminhado a Enrique Brenes, Presidente Interino da Comissão Nacional de Demarcação das Terras Comunais da Costa Atlântica; anexo C.28, Considerações Gerais ao documento intitulado “Plano de Manejo Florestal de Latifoliadas Cerro Wakambay (Rascunho Final)”, elaborado por Claude Leduc; Considerações Gerais ao documento intitulado “Plano de Manejo Florestal de Latifoliadas Cerro Wakambay (Rascunho Final)”, elaboradas por Fidel Lanuza; anexo C.29, declaração prestada por Jotam López Espinoza em 11 de junho de 1997; anexo C.30, resolução ministerial nº 02–97 de 16 de maio de 1997 do Ministro do MARENA; anexo C.31, artigo do Diário </w:t>
      </w:r>
      <w:r w:rsidRPr="00F45F6C">
        <w:rPr>
          <w:rFonts w:ascii="Verdana" w:hAnsi="Verdana"/>
          <w:i/>
          <w:sz w:val="16"/>
          <w:szCs w:val="16"/>
        </w:rPr>
        <w:t>La Tribuna</w:t>
      </w:r>
      <w:r w:rsidRPr="00F45F6C">
        <w:rPr>
          <w:rFonts w:ascii="Verdana" w:hAnsi="Verdana"/>
          <w:sz w:val="16"/>
          <w:szCs w:val="16"/>
        </w:rPr>
        <w:t xml:space="preserve"> intitulado “</w:t>
      </w:r>
      <w:r w:rsidRPr="00F45F6C">
        <w:rPr>
          <w:rFonts w:ascii="Verdana" w:hAnsi="Verdana"/>
          <w:i/>
          <w:sz w:val="16"/>
          <w:szCs w:val="16"/>
        </w:rPr>
        <w:t>Concesión ilegal continúa despale en Atlántico Norte</w:t>
      </w:r>
      <w:r w:rsidRPr="00F45F6C">
        <w:rPr>
          <w:rFonts w:ascii="Verdana" w:hAnsi="Verdana"/>
          <w:sz w:val="16"/>
          <w:szCs w:val="16"/>
        </w:rPr>
        <w:t xml:space="preserve">”, publicado em 29 de maio de 1997; anexo C.32, artigo do Diário </w:t>
      </w:r>
      <w:r w:rsidRPr="00F45F6C">
        <w:rPr>
          <w:rFonts w:ascii="Verdana" w:hAnsi="Verdana"/>
          <w:i/>
          <w:sz w:val="16"/>
          <w:szCs w:val="16"/>
        </w:rPr>
        <w:t>La Tribuna</w:t>
      </w:r>
      <w:r w:rsidRPr="00F45F6C">
        <w:rPr>
          <w:rFonts w:ascii="Verdana" w:hAnsi="Verdana"/>
          <w:sz w:val="16"/>
          <w:szCs w:val="16"/>
        </w:rPr>
        <w:t xml:space="preserve"> intitulado “</w:t>
      </w:r>
      <w:r w:rsidRPr="00F45F6C">
        <w:rPr>
          <w:rFonts w:ascii="Verdana" w:hAnsi="Verdana"/>
          <w:i/>
          <w:sz w:val="16"/>
          <w:szCs w:val="16"/>
        </w:rPr>
        <w:t>Los árboles caen lejos y nadie los oye</w:t>
      </w:r>
      <w:r w:rsidRPr="00F45F6C">
        <w:rPr>
          <w:rFonts w:ascii="Verdana" w:hAnsi="Verdana"/>
          <w:sz w:val="16"/>
          <w:szCs w:val="16"/>
        </w:rPr>
        <w:t>”, publicado em 29 de maio de 1997; artigo intitulado “</w:t>
      </w:r>
      <w:r w:rsidRPr="00F45F6C">
        <w:rPr>
          <w:rFonts w:ascii="Verdana" w:hAnsi="Verdana"/>
          <w:i/>
          <w:sz w:val="16"/>
          <w:szCs w:val="16"/>
        </w:rPr>
        <w:t>¿Derechos ancestrales?</w:t>
      </w:r>
      <w:r w:rsidRPr="00F45F6C">
        <w:rPr>
          <w:rFonts w:ascii="Verdana" w:hAnsi="Verdana"/>
          <w:sz w:val="16"/>
          <w:szCs w:val="16"/>
        </w:rPr>
        <w:t xml:space="preserve">”; anexo C.33, artigo do Diário </w:t>
      </w:r>
      <w:r w:rsidRPr="00F45F6C">
        <w:rPr>
          <w:rFonts w:ascii="Verdana" w:hAnsi="Verdana"/>
          <w:i/>
          <w:sz w:val="16"/>
          <w:szCs w:val="16"/>
        </w:rPr>
        <w:t>La Tribuna</w:t>
      </w:r>
      <w:r w:rsidRPr="00F45F6C">
        <w:rPr>
          <w:rFonts w:ascii="Verdana" w:hAnsi="Verdana"/>
          <w:sz w:val="16"/>
          <w:szCs w:val="16"/>
        </w:rPr>
        <w:t xml:space="preserve"> intitulado “</w:t>
      </w:r>
      <w:r w:rsidRPr="00F45F6C">
        <w:rPr>
          <w:rFonts w:ascii="Verdana" w:hAnsi="Verdana"/>
          <w:i/>
          <w:sz w:val="16"/>
          <w:szCs w:val="16"/>
        </w:rPr>
        <w:t>Un despale en tierra de nadie</w:t>
      </w:r>
      <w:r w:rsidRPr="00F45F6C">
        <w:rPr>
          <w:rFonts w:ascii="Verdana" w:hAnsi="Verdana"/>
          <w:sz w:val="16"/>
          <w:szCs w:val="16"/>
        </w:rPr>
        <w:t xml:space="preserve">”, publicado em 12 de junho de 1997; anexo C.34, declaração prestada por Mario Guevara Somarriba em </w:t>
      </w:r>
      <w:proofErr w:type="gramStart"/>
      <w:r w:rsidRPr="00F45F6C">
        <w:rPr>
          <w:rFonts w:ascii="Verdana" w:hAnsi="Verdana"/>
          <w:sz w:val="16"/>
          <w:szCs w:val="16"/>
        </w:rPr>
        <w:t>3</w:t>
      </w:r>
      <w:proofErr w:type="gramEnd"/>
      <w:r w:rsidRPr="00F45F6C">
        <w:rPr>
          <w:rFonts w:ascii="Verdana" w:hAnsi="Verdana"/>
          <w:sz w:val="16"/>
          <w:szCs w:val="16"/>
        </w:rPr>
        <w:t xml:space="preserve"> de outubro de 1997; anexo C.35, ofício MN-RSV-0377.97 de 29 de maio de 1997 de Roberto Stadhagen Vogl, Ministro do MARENA, encaminhado a Efrain Osejo Morales, Presidente do Conselho Regional da RAAN; anexo C.36, memorando de 5 de agosto de 1997 da Comissão Avaliadora do Caso “SOLCARSA” encaminhado a Roberto Stadhagen Vogl, Ministro do MARENA, mediante o qual se envia o Relatório de Avaliação à Empresa SOLCARSA; anexo C.37, declaração prestada por Guillermo Ernesto Espinoza Duarte, Vice-Prefeito, nesse momento Prefeito interino de Bilwi, Puerto Cabezas, RAAN, em 1° de outubro de 1997; anexo C.38, comunicado emitido pelas Autoridades de Betania, assinado por Guillermo Lagra, Rechinad Daniwal, William Fidencio, Guillermo Penegas, Pinner Sinforiano e Guillermo Enrique, em 16 de outubro de 1997; anexo C.39, documento intitulado “SOLCARSA tampouco faz caso à Resolução Ministerial” elaborado por Magda Lanuza; anexo C.40, artigo intitulado “</w:t>
      </w:r>
      <w:r w:rsidRPr="00F45F6C">
        <w:rPr>
          <w:rFonts w:ascii="Verdana" w:hAnsi="Verdana"/>
          <w:i/>
          <w:sz w:val="16"/>
          <w:szCs w:val="16"/>
        </w:rPr>
        <w:t>Privatizing the rain forest- a new era of concessions</w:t>
      </w:r>
      <w:r w:rsidRPr="00F45F6C">
        <w:rPr>
          <w:rFonts w:ascii="Verdana" w:hAnsi="Verdana"/>
          <w:sz w:val="16"/>
          <w:szCs w:val="16"/>
        </w:rPr>
        <w:t xml:space="preserve">” publicado em julho de 1997 no Reporte CEPAD; anexo C.41, resolução nº 17-08-10-97 de 9 de outubro de 1997 do Conselho Regional da RAAN; anexo C.42, “carta de protesto” de 2 de novembro de 1997 da OSICAN encaminhada à Comissão Interamericana; anexo C.43,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anexo C.44, resolução de 19 de setembro de 1995 do Tribunal de Apelações da Sexta Região, Sala Civil, Matagalpa, em relação ao recurso de amparo interposto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anexo C.45, recurso de fato interposto em 21 de setembro de 1995 perante a Corte Suprema de Justiça da Nicarágua por María Luisa Acosta Castellón, representante legal da Comunidade Awas Tingni; anexo C.46, comunicação judicial de notificação de 28 de fevereiro de 1997 mediante a qual se notifica a María Luisa Acosta Castellón a sentença nº 11 de 27 de fevereiro de 1997 da Sala Constitucional da Corte Suprema de Justiça da Nicarágua; anexo C.47, resolução de 12 de novembro de 1997 do Tribunal de Apelações da Sexta Região, Sala Civil, Matagalpa, em relação ao recurso de amparo interposto por María Luisa Acosta Castellón, em representação de Benevicto Salomón,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 Direção de Administração Florestal Estatal do MARENA, e de Efraín Osejo e </w:t>
      </w:r>
      <w:proofErr w:type="gramStart"/>
      <w:r w:rsidRPr="00F45F6C">
        <w:rPr>
          <w:rFonts w:ascii="Verdana" w:hAnsi="Verdana"/>
          <w:sz w:val="16"/>
          <w:szCs w:val="16"/>
        </w:rPr>
        <w:t>outros, membros</w:t>
      </w:r>
      <w:proofErr w:type="gramEnd"/>
      <w:r w:rsidRPr="00F45F6C">
        <w:rPr>
          <w:rFonts w:ascii="Verdana" w:hAnsi="Verdana"/>
          <w:sz w:val="16"/>
          <w:szCs w:val="16"/>
        </w:rPr>
        <w:t xml:space="preserve"> da Junta Diretiva do Conselho Regional da RAAN; anexo C.48, </w:t>
      </w:r>
      <w:r w:rsidR="00126E5B">
        <w:rPr>
          <w:rFonts w:ascii="Verdana" w:hAnsi="Verdana"/>
          <w:sz w:val="16"/>
          <w:szCs w:val="16"/>
        </w:rPr>
        <w:t xml:space="preserve">sentença nº 12, de 27 de fevereiro </w:t>
      </w:r>
      <w:r w:rsidRPr="00F45F6C">
        <w:rPr>
          <w:rFonts w:ascii="Verdana" w:hAnsi="Verdana"/>
          <w:sz w:val="16"/>
          <w:szCs w:val="16"/>
        </w:rPr>
        <w:t xml:space="preserve">de 1997 da Sala Constitucional da Corte Suprema de Justiça da Nicarágua em relação ao recurso de amparo interposto em 29 de março de 1997 perante o Tribunal de Apelações de Matagalpa por Alfonso Smith Warman e Humberto Thompson Sang, membros do Conselho Regional da RAAN, contra Claudio Gutiérrez, Ministro do MARENA, e Alejandro Láinez, Direção de Administração Florestal Nacional do MARENA; </w:t>
      </w:r>
      <w:proofErr w:type="gramStart"/>
      <w:r w:rsidRPr="00F45F6C">
        <w:rPr>
          <w:rFonts w:ascii="Verdana" w:hAnsi="Verdana"/>
          <w:sz w:val="16"/>
          <w:szCs w:val="16"/>
        </w:rPr>
        <w:t>anexo</w:t>
      </w:r>
      <w:proofErr w:type="gramEnd"/>
      <w:r w:rsidRPr="00F45F6C">
        <w:rPr>
          <w:rFonts w:ascii="Verdana" w:hAnsi="Verdana"/>
          <w:sz w:val="16"/>
          <w:szCs w:val="16"/>
        </w:rPr>
        <w:t xml:space="preserve"> C.49, resolução de 3 de fevereiro de 1998 da Sala Constitucional da Corte Suprema de Justiça da Nicarágua, em relação ao pedido de execução de sentença apresentado por Humberto Thompson Sang, membro do Conselho Regional da RAAN; pedido de execução da </w:t>
      </w:r>
      <w:r w:rsidR="00126E5B">
        <w:rPr>
          <w:rFonts w:ascii="Verdana" w:hAnsi="Verdana"/>
          <w:sz w:val="16"/>
          <w:szCs w:val="16"/>
        </w:rPr>
        <w:t xml:space="preserve">sentença nº 12, de 27 de fevereiro </w:t>
      </w:r>
      <w:r w:rsidRPr="00F45F6C">
        <w:rPr>
          <w:rFonts w:ascii="Verdana" w:hAnsi="Verdana"/>
          <w:sz w:val="16"/>
          <w:szCs w:val="16"/>
        </w:rPr>
        <w:t xml:space="preserve">de 1997 da Sala Constitucional da Corte Suprema de Justiça da Nicarágua, apresentado em 22 de janeiro de 1998 ante a Secretaria da Sala Constitucional da Corte Suprema de Justiça da Nicarágua por Humberto Thompson Sang, membro do Conselho Regional da RAAN; anexo C.50, nota de 5 de novembro de 1997 de Felipe Rodríguez Chávez, Embaixador, Representante Permanente da Nicarágua perante a OEA, encaminhada a Jorge E. Taiana, Secretário Executivo da Comissão; escrito de 24 de outubro de 1997 de Julio Cesar Saborío A., Diretor Geral de Organismos Internacionais do Ministério das Relações Exteriores da Nicarágua, encaminhado a Felipe Rodríguez Chávez, Embaixador, Representante Permanente da Nicarágua perante a OEA; e resolução nº 17-08-10-97 de </w:t>
      </w:r>
      <w:proofErr w:type="gramStart"/>
      <w:r w:rsidRPr="00F45F6C">
        <w:rPr>
          <w:rFonts w:ascii="Verdana" w:hAnsi="Verdana"/>
          <w:sz w:val="16"/>
          <w:szCs w:val="16"/>
        </w:rPr>
        <w:t>9</w:t>
      </w:r>
      <w:proofErr w:type="gramEnd"/>
      <w:r w:rsidRPr="00F45F6C">
        <w:rPr>
          <w:rFonts w:ascii="Verdana" w:hAnsi="Verdana"/>
          <w:sz w:val="16"/>
          <w:szCs w:val="16"/>
        </w:rPr>
        <w:t xml:space="preserve"> de outubro de 1997 do Conselho Regional da RAAN.</w:t>
      </w:r>
    </w:p>
  </w:footnote>
  <w:footnote w:id="3">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sz w:val="16"/>
          <w:szCs w:val="16"/>
        </w:rPr>
        <w:t>c</w:t>
      </w:r>
      <w:r w:rsidRPr="00F45F6C">
        <w:rPr>
          <w:rFonts w:ascii="Verdana" w:hAnsi="Verdana"/>
          <w:i/>
          <w:sz w:val="16"/>
          <w:szCs w:val="16"/>
        </w:rPr>
        <w:t>f</w:t>
      </w:r>
      <w:r w:rsidRPr="00F45F6C">
        <w:rPr>
          <w:rFonts w:ascii="Verdana" w:hAnsi="Verdana"/>
          <w:sz w:val="16"/>
          <w:szCs w:val="16"/>
        </w:rPr>
        <w:t>.</w:t>
      </w:r>
      <w:proofErr w:type="gramEnd"/>
      <w:r w:rsidRPr="00F45F6C">
        <w:rPr>
          <w:rFonts w:ascii="Verdana" w:hAnsi="Verdana"/>
          <w:sz w:val="16"/>
          <w:szCs w:val="16"/>
        </w:rPr>
        <w:t xml:space="preserve"> anexo I, contrato para o manejo integral da floresta assinado em 26 de março de 1992 entre Jaime Castillo Felipe, Siriaco Castillo, Charly Webster Mclean Cornelio, Marcial Salomón, Genaro Mendoza e Arnoldo Clarence Demetrio, em representação da Comunidade Awas Tingni, e Francisco Lemus Lanuza, em representação de </w:t>
      </w:r>
      <w:r w:rsidRPr="00F45F6C">
        <w:rPr>
          <w:rFonts w:ascii="Verdana" w:hAnsi="Verdana"/>
          <w:i/>
          <w:sz w:val="16"/>
          <w:szCs w:val="16"/>
        </w:rPr>
        <w:t>Maderas y Derivados de Nicaragua S.A.</w:t>
      </w:r>
      <w:r w:rsidRPr="00F45F6C">
        <w:rPr>
          <w:rFonts w:ascii="Verdana" w:hAnsi="Verdana"/>
          <w:sz w:val="16"/>
          <w:szCs w:val="16"/>
        </w:rPr>
        <w:t xml:space="preserve">; anexo II, Lei nº 14 “Reforma à Lei de Reforma Agrária” publicada no Diário Oficial </w:t>
      </w:r>
      <w:r w:rsidRPr="00F45F6C">
        <w:rPr>
          <w:rFonts w:ascii="Verdana" w:hAnsi="Verdana"/>
          <w:i/>
          <w:sz w:val="16"/>
          <w:szCs w:val="16"/>
        </w:rPr>
        <w:t>La Gaceta</w:t>
      </w:r>
      <w:r w:rsidRPr="00F45F6C">
        <w:rPr>
          <w:rFonts w:ascii="Verdana" w:hAnsi="Verdana"/>
          <w:sz w:val="16"/>
          <w:szCs w:val="16"/>
        </w:rPr>
        <w:t xml:space="preserve"> nº 8 de 13 de janeiro de 1986; anexo III, certidão notarial do artigo 50 da Lei nº 290 publicada no Diário Oficial </w:t>
      </w:r>
      <w:r w:rsidRPr="00F45F6C">
        <w:rPr>
          <w:rFonts w:ascii="Verdana" w:hAnsi="Verdana"/>
          <w:i/>
          <w:sz w:val="16"/>
          <w:szCs w:val="16"/>
        </w:rPr>
        <w:t>La Gaceta</w:t>
      </w:r>
      <w:r w:rsidRPr="00F45F6C">
        <w:rPr>
          <w:rFonts w:ascii="Verdana" w:hAnsi="Verdana"/>
          <w:sz w:val="16"/>
          <w:szCs w:val="16"/>
        </w:rPr>
        <w:t xml:space="preserve"> nº 102 de 3 de junho de 1998; anexo IV, Lei nº 28 “Estatuto da Autonomia das Regiões da Costa Atlântica da Nicarágua” publicada no Diário Oficial </w:t>
      </w:r>
      <w:r w:rsidRPr="00F45F6C">
        <w:rPr>
          <w:rFonts w:ascii="Verdana" w:hAnsi="Verdana"/>
          <w:i/>
          <w:sz w:val="16"/>
          <w:szCs w:val="16"/>
        </w:rPr>
        <w:t>La Gaceta</w:t>
      </w:r>
      <w:r w:rsidRPr="00F45F6C">
        <w:rPr>
          <w:rFonts w:ascii="Verdana" w:hAnsi="Verdana"/>
          <w:sz w:val="16"/>
          <w:szCs w:val="16"/>
        </w:rPr>
        <w:t xml:space="preserve"> nº 238 de 30 de outubro de 1987; anexo V, documento intitulado “Anexo A Universo de Estudo”; anexo VI, ofício DSP-E-9200-10-98 de 13 de outubro de 1998 do Secretário da Presidência da República da Nicarágua encaminhado a Noel Pereira Majano, Secretário da Assembleia Nacional; escrito de 13 de outubro de 1998 de Arnoldo Alemán Lacayo, Presidente da República da Nicarágua, encaminhado a Noel Pereira Majano, Secretário da Assembleia Nacional; projeto de lei de 13 de outubro de 1998 intitulado “Lei Orgânica que Regula o Regime de Propriedade Comunal das Comunidades Indígenas da Costa Atlântica e BOSAWAS”; anexo VII, escrito de 12 de setembro de 1998 de Roberto Wilson Watson e Emilio Hammer Francis, Presidente e Secretário, respectivamente, Das Dez Comunidades Indígenas, encaminhado a Virgilio Gurdián, Diretor do Instituto Nicaraguense de Reforma Agrária (INRA); anexo VIII, declaração prestada em 11 de setembro de 1998 por Otto Borst Conrrado, representante legal da Comunidade Indígena de Tasba Raya; anexo IX, escrito de 11 de setembro de 1998 de Rodolfo Spear Smith, Coordenador Geral da Comunidade Indígena de Karatá, encaminhado a Virgilio Gurdián, Ministro do INRA; anexo X,</w:t>
      </w:r>
      <w:r w:rsidRPr="00F45F6C">
        <w:rPr>
          <w:rFonts w:ascii="Verdana" w:hAnsi="Verdana"/>
          <w:b/>
          <w:sz w:val="16"/>
          <w:szCs w:val="16"/>
        </w:rPr>
        <w:t xml:space="preserve"> </w:t>
      </w:r>
      <w:r w:rsidRPr="00F45F6C">
        <w:rPr>
          <w:rFonts w:ascii="Verdana" w:hAnsi="Verdana"/>
          <w:sz w:val="16"/>
          <w:szCs w:val="16"/>
        </w:rPr>
        <w:t xml:space="preserve">documento intitulado “Bloco das Dez Comunidades” correspondente às páginas 125 </w:t>
      </w:r>
      <w:proofErr w:type="gramStart"/>
      <w:r w:rsidRPr="00F45F6C">
        <w:rPr>
          <w:rFonts w:ascii="Verdana" w:hAnsi="Verdana"/>
          <w:sz w:val="16"/>
          <w:szCs w:val="16"/>
        </w:rPr>
        <w:t>a</w:t>
      </w:r>
      <w:proofErr w:type="gramEnd"/>
      <w:r w:rsidRPr="00F45F6C">
        <w:rPr>
          <w:rFonts w:ascii="Verdana" w:hAnsi="Verdana"/>
          <w:sz w:val="16"/>
          <w:szCs w:val="16"/>
        </w:rPr>
        <w:t xml:space="preserve"> 130 do “Diagnóstico geral sobre a posse da terra nas comunidades indígenas da Costa Atlântica. Estudos de casos, seções etnográficas analíticas e etnomapas. Relatório Final”,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 anexo XI, documento de 5 de maio de 1995 mediante o qual a Administração Florestal Estatal do MARENA “faz de conhecimento público” o “Pedido de Manejo e Aproveitamento Florestal” da empresa “KUMKYUNG Co. Ltd.”; anexo XII, ofício DSDG-RMS-02-Crono-014-10-98 de 8 de outubro de 1998 de Rosario Meza Soto, Subdiretora Geral do Instituto Nacional de Estatísticas e Censos (INEC), encaminhado a Fernando Robleto Lang, Secretário da Presidência; anexo XIII, nota de 11 de setembro de 1998 de García Cantarero, Drew, Assessor do Ministro do MARENA, encaminhada a Edmundo Castillo, da Secretaria da Presidência; e anexo XIV, escrito de 11 de setembro de 1998 de García Cantarero, Drew, Assessor do Ministro do MARENA, encaminhado a Edmundo Castillo, da Secretaria da Presidência.</w:t>
      </w:r>
    </w:p>
  </w:footnote>
  <w:footnote w:id="4">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i/>
          <w:sz w:val="16"/>
          <w:szCs w:val="16"/>
        </w:rPr>
        <w:t xml:space="preserve"> </w:t>
      </w:r>
      <w:r w:rsidRPr="00F45F6C">
        <w:rPr>
          <w:rFonts w:ascii="Verdana" w:hAnsi="Verdana"/>
          <w:sz w:val="16"/>
          <w:szCs w:val="16"/>
        </w:rPr>
        <w:t xml:space="preserve">ofício MN-RSV-02-0113.98 de 16 de fevereiro de 1998 de Roberto Stadhagen Vogl, Ministro do MARENA, encaminhado a Michael Kang, Gerente Geral da SOLCARSA; sentença nº 11 de 27 de fevereiro de 1997 da Sala Constitucional da Corte Suprema de Justiça da Nicarágua em relação ao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quadro intitulado “Entrada de Recursos de Amparo de 1995 a 15 de agosto de 1998”; quadro intitulado “Análise Comparativa das Sentenças de Amparo proferidas de 1995 ao primeiro semestre de 1998”; declaração prestada em 5 de agosto de 1998 por Virgilio Gurdián Castellón, Ministro Diretor do INRA; cópia da primeira página do escrito de março de 1996 que solicita o “reconhecimento oficial e demarcação das terras ancestrais” da Comunidade Mayagna Awas Tingni encaminhado ao Conselho Regional da RAAN; documento de 7 de fevereiro de 1997 intitulado “Conflitos da Propriedade na Nicarágua, 1996” realizado por John Strasma; declaração prestada em 18 de agosto de 1998 por Edgar Navas, Assessor e Assistente do Ministro da Presidência; declaração prestada em 5 de agosto de 1998 por Virgilio Gurdián Castellón, Ministro Diretor do INRA; mapas e projeções de agosto de 1998 sobre a localização das áreas indígenas no território nacional nicaraguense correspondente à RAAN, elaborados pela Direção de Geodesia e Cartografia do Instituto Nicaraguense de Estudos Territoriais (INETER); relatório de agosto de 1998 intitulado “Contexto Jurídico e Atividades Realizadas pelo Estado para a Demarcação </w:t>
      </w:r>
      <w:proofErr w:type="gramStart"/>
      <w:r w:rsidRPr="00F45F6C">
        <w:rPr>
          <w:rFonts w:ascii="Verdana" w:hAnsi="Verdana"/>
          <w:sz w:val="16"/>
          <w:szCs w:val="16"/>
        </w:rPr>
        <w:t>e</w:t>
      </w:r>
      <w:proofErr w:type="gramEnd"/>
      <w:r w:rsidRPr="00F45F6C">
        <w:rPr>
          <w:rFonts w:ascii="Verdana" w:hAnsi="Verdana"/>
          <w:sz w:val="16"/>
          <w:szCs w:val="16"/>
        </w:rPr>
        <w:t xml:space="preserve"> Titulação das Terras das Comunidades Indígenas da Costa Atlântica da Nicarágua”, realizado pela Direção Superior do INRA; lista de projetos e programas de apoio apresentados pelo Governo da Nicarágua no Grupo Consultivo em Estocolmo, Suécia, “encaminhados ao apoio das Regiões Autônomas do país e, concretamente às comunidades indígenas”; cópia autenticada por notário público da página duzentos e noventa e cinco à página trezentos e dois do Boletim Judicial da Corte Suprema de Justiça da Nicarágua de 1990; cópia autenticada por notário público da página trezentos e um à página trezentos e nove do Boletim Judicial da Corte Suprema de Justiça da Nicarágua de 1991; cópia autenticada por notário público da página trezentos e quarenta e cinco à página trezentos e cinquenta e dois do Boletim Judicial da Corte Suprema de Justiça da Nicarágua de 1992; cópia autenticada por notário público da página trezentos e dezesseis à página trezentos e vinte do Boletim Judicial da Corte Suprema de Justiça da Nicarágua de 1993; cópia autenticada por notário público da página duzentos e setenta e oito à página duzentos e oitenta e três do Boletim Judicial da Corte Suprema de Justiça da Nicarágua de 1994; cópia autenticada por notário público das quatro páginas do Boletim Judicial da Corte Suprema de Justiça da Nicarágua correspondentes à sentença nº 19 de 7 de março de 1994 da Corte Suprema de Justiça da Nicarágua; cópia autenticada por notário público das duas páginas do Boletim Judicial da Corte Suprema de Justiça da Nicarágua correspondentes à sentença nº 2 de 19 de janeiro de 1994 da Corte Suprema de Justiça da Nicarágua; cópia autenticada por notário público da página duzentos e setenta e um à página duzentos e setenta e seis do Boletim Judicial da Corte Suprema de Justiça da Nicarágua de 1995; cópia autenticada por notário público da página seiscentos e seis à página seiscentos e dezesseis do Boletim Judicial da Corte Suprema de Justiça da Nicarágua de 1996; declaração prestada em 27 de maio de 1999 por Humberto Useda Hernández, Diretor de Serviços Jurídicos do Escritório de Titulação Rural da Intendência da Propriedade do Ministério da Fazenda e Crédito Público da Nicarágua; Constituição Política da República da Nicarágua publicada em “</w:t>
      </w:r>
      <w:r w:rsidRPr="00F45F6C">
        <w:rPr>
          <w:rFonts w:ascii="Verdana" w:hAnsi="Verdana"/>
          <w:i/>
          <w:sz w:val="16"/>
          <w:szCs w:val="16"/>
        </w:rPr>
        <w:t>El Nuevo Diario</w:t>
      </w:r>
      <w:r w:rsidRPr="00F45F6C">
        <w:rPr>
          <w:rFonts w:ascii="Verdana" w:hAnsi="Verdana"/>
          <w:sz w:val="16"/>
          <w:szCs w:val="16"/>
        </w:rPr>
        <w:t xml:space="preserve">” em </w:t>
      </w:r>
      <w:proofErr w:type="gramStart"/>
      <w:r w:rsidRPr="00F45F6C">
        <w:rPr>
          <w:rFonts w:ascii="Verdana" w:hAnsi="Verdana"/>
          <w:sz w:val="16"/>
          <w:szCs w:val="16"/>
        </w:rPr>
        <w:t>4</w:t>
      </w:r>
      <w:proofErr w:type="gramEnd"/>
      <w:r w:rsidRPr="00F45F6C">
        <w:rPr>
          <w:rFonts w:ascii="Verdana" w:hAnsi="Verdana"/>
          <w:sz w:val="16"/>
          <w:szCs w:val="16"/>
        </w:rPr>
        <w:t xml:space="preserve"> de julho de 1995; Lei nº 49 “Lei de Amparo” publicada no Diário Oficial </w:t>
      </w:r>
      <w:r w:rsidRPr="00F45F6C">
        <w:rPr>
          <w:rFonts w:ascii="Verdana" w:hAnsi="Verdana"/>
          <w:i/>
          <w:sz w:val="16"/>
          <w:szCs w:val="16"/>
        </w:rPr>
        <w:t>La Gaceta</w:t>
      </w:r>
      <w:r w:rsidRPr="00F45F6C">
        <w:rPr>
          <w:rFonts w:ascii="Verdana" w:hAnsi="Verdana"/>
          <w:sz w:val="16"/>
          <w:szCs w:val="16"/>
        </w:rPr>
        <w:t xml:space="preserve"> nº 241 de 1988; Lei nº 290 “Lei de Organização, Competência e Procedimentos do Poder Executivo” publicada no Diário Oficial </w:t>
      </w:r>
      <w:r w:rsidRPr="00F45F6C">
        <w:rPr>
          <w:rFonts w:ascii="Verdana" w:hAnsi="Verdana"/>
          <w:i/>
          <w:sz w:val="16"/>
          <w:szCs w:val="16"/>
        </w:rPr>
        <w:t>La Gaceta</w:t>
      </w:r>
      <w:r w:rsidRPr="00F45F6C">
        <w:rPr>
          <w:rFonts w:ascii="Verdana" w:hAnsi="Verdana"/>
          <w:sz w:val="16"/>
          <w:szCs w:val="16"/>
        </w:rPr>
        <w:t xml:space="preserve"> nº 102 de 3 de junho de 1998; e páginas 8984 a 8989 do Diário Oficial </w:t>
      </w:r>
      <w:r w:rsidRPr="00F45F6C">
        <w:rPr>
          <w:rFonts w:ascii="Verdana" w:hAnsi="Verdana"/>
          <w:i/>
          <w:sz w:val="16"/>
          <w:szCs w:val="16"/>
        </w:rPr>
        <w:t>La Gaceta</w:t>
      </w:r>
      <w:r w:rsidRPr="00F45F6C">
        <w:rPr>
          <w:rFonts w:ascii="Verdana" w:hAnsi="Verdana"/>
          <w:sz w:val="16"/>
          <w:szCs w:val="16"/>
        </w:rPr>
        <w:t xml:space="preserve"> nº 205 de 30 de outubro de 1998</w:t>
      </w:r>
    </w:p>
  </w:footnote>
  <w:footnote w:id="5">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i/>
          <w:sz w:val="16"/>
          <w:szCs w:val="16"/>
        </w:rPr>
        <w:t xml:space="preserve"> </w:t>
      </w:r>
      <w:r w:rsidRPr="00F45F6C">
        <w:rPr>
          <w:rFonts w:ascii="Verdana" w:hAnsi="Verdana"/>
          <w:sz w:val="16"/>
          <w:szCs w:val="16"/>
        </w:rPr>
        <w:t xml:space="preserve">escrito de 4 de dezembro de 1997 de Felipe Rodríguez Chávez, Embaixador, Representante Permanente da Nicarágua perante a OEA, encaminhado a Jorge E. Taiana, Secretário Executivo da Comissão; escrito de 19 de dezembro de 1997 de Felipe Rodríguez Chávez, Embaixador, Representante Permanente da Nicarágua perante a OEA, encaminhado a Jorge E. Taiana, Secretário Executivo da Comissão; escrito de 14 de fevereiro de 1998 de Felipe Rodríguez Chávez, Embaixador, Representante Permanente da Nicarágua perante a OEA, encaminhado a Jorge E. Taiana, Secretário Executivo da Comissão; escrito de </w:t>
      </w:r>
      <w:proofErr w:type="gramStart"/>
      <w:r w:rsidRPr="00F45F6C">
        <w:rPr>
          <w:rFonts w:ascii="Verdana" w:hAnsi="Verdana"/>
          <w:sz w:val="16"/>
          <w:szCs w:val="16"/>
        </w:rPr>
        <w:t>6</w:t>
      </w:r>
      <w:proofErr w:type="gramEnd"/>
      <w:r w:rsidRPr="00F45F6C">
        <w:rPr>
          <w:rFonts w:ascii="Verdana" w:hAnsi="Verdana"/>
          <w:sz w:val="16"/>
          <w:szCs w:val="16"/>
        </w:rPr>
        <w:t xml:space="preserve"> de maio de 1998 de Felipe Rodríguez Chávez, Embaixador, Representante Permanente da Nicarágua perante a OEA, encaminhado a Jorge E. Taiana, Secretário Executivo da Comissão, ao qual se anexou: escrito de </w:t>
      </w:r>
      <w:proofErr w:type="gramStart"/>
      <w:r w:rsidRPr="00F45F6C">
        <w:rPr>
          <w:rFonts w:ascii="Verdana" w:hAnsi="Verdana"/>
          <w:sz w:val="16"/>
          <w:szCs w:val="16"/>
        </w:rPr>
        <w:t>6</w:t>
      </w:r>
      <w:proofErr w:type="gramEnd"/>
      <w:r w:rsidRPr="00F45F6C">
        <w:rPr>
          <w:rFonts w:ascii="Verdana" w:hAnsi="Verdana"/>
          <w:sz w:val="16"/>
          <w:szCs w:val="16"/>
        </w:rPr>
        <w:t xml:space="preserve"> de maio de 1998 de Lester Mejía Solís, Embaixador, Diretor Geral, Direção Geral de Organismos Internacionais, encaminhado à Comissão Interamericana; ofício MN-RSV-02-0113.98 de 16 de fevereiro de 1998 de Roberto Stadhagen Vogl, Ministro do MARENA, encaminhado a Michael Kang, Gerente Geral da SOLCARSA; cópia do Decreto nº 16-96 “Criação da Comissão Nacional para a Demarcação das Terras das Comunidades Indígenas na Costa Atlântica” de 23 de agosto de 1996, publicado no Diário Oficial </w:t>
      </w:r>
      <w:r w:rsidRPr="00F45F6C">
        <w:rPr>
          <w:rFonts w:ascii="Verdana" w:hAnsi="Verdana"/>
          <w:i/>
          <w:sz w:val="16"/>
          <w:szCs w:val="16"/>
        </w:rPr>
        <w:t>La Gaceta</w:t>
      </w:r>
      <w:r w:rsidRPr="00F45F6C">
        <w:rPr>
          <w:rFonts w:ascii="Verdana" w:hAnsi="Verdana"/>
          <w:sz w:val="16"/>
          <w:szCs w:val="16"/>
        </w:rPr>
        <w:t xml:space="preserve"> nº 169 de 6 de setembro de 1996; escrito de 19 de maio de 1998 de Felipe Rodríguez Chávez, Embaixador, Representante Permanente da Nicarágua perante a OEA, encaminhado a Jorge E. Taiana, Secretário Executivo da Comissão; declaração juramentada prestada por Charly Webster Mclean Cornelio em 30 de agosto de 1998; declaração juramentada prestada por Jaime Castillo Felipe em 30 de agosto de 1998; declaração juramentada prestada por Marcial Salomón Sebastián em 30 de agosto de 1998; declaração juramentada prestada por Benevicto Salomón Mclean em 30 de agosto de 1998; declaração juramentada prestada por Wilfredo Mclean Salvador em 30 de agosto de 1998; declaração prestada por Sydney Antonio P. em 30 de agosto de 1998; declaração prestada por Ramón Rayo Méndez em 29 de agosto de 1998; declaração juramentada prestada por Miguel Taylor Ortez em 30 de agosto de 1998; declaração juramentada prestada por Ramón Rayo Méndez em 30 de agosto de 1998, à qual se anexou: cópia de documento escrito à mão com datas de 28, 11 e 18 de junho de 1993, correspondente ao Registro que, supostamente, mantinha a Delegação Regional do INRA; declaração juramentada prestada por Brooklyn Rivera Bryan em 30 de agosto de 1998; declaração juramentada prestada por Benigno Torres Cristian em </w:t>
      </w:r>
      <w:proofErr w:type="gramStart"/>
      <w:r w:rsidRPr="00F45F6C">
        <w:rPr>
          <w:rFonts w:ascii="Verdana" w:hAnsi="Verdana"/>
          <w:sz w:val="16"/>
          <w:szCs w:val="16"/>
        </w:rPr>
        <w:t>8</w:t>
      </w:r>
      <w:proofErr w:type="gramEnd"/>
      <w:r w:rsidRPr="00F45F6C">
        <w:rPr>
          <w:rFonts w:ascii="Verdana" w:hAnsi="Verdana"/>
          <w:sz w:val="16"/>
          <w:szCs w:val="16"/>
        </w:rPr>
        <w:t xml:space="preserve"> de setembro de 1998; resolução nº 08-12-9-96 de 12 de setembro de 1996 do Conselho Regional da RAAN; declaração juramentada prestada por Ned Archibold Jacobo em 30 de agosto de 1998; comunicação judicial de notificação de 12 de agosto de 1998 assinada por Martha López Corea, Oficial Notificadora, Sala Constitucional da Corte Suprema de Justiça da Nicarágua, mediante a qual se notifica a María Luisa Acosta Castellón o auto de 6 de agosto de 1998 da Sala Constitucional da Corte Suprema de Justiça da Nicarágua; declaração juramentada prestada por Humberto Thompson Sang em 31 de agosto de 1998; documento intitulado “Terra, Recursos Naturais e Direitos Indígenas na Costa Atlântica da Nicarágua. Reflexões Jurídicas para a Definição de uma Estratégia de Participação Indígena nos Projetos de Participação e Desenvolvimento” de julho de 1996 realizado por “</w:t>
      </w:r>
      <w:r w:rsidRPr="00F45F6C">
        <w:rPr>
          <w:rFonts w:ascii="Verdana" w:hAnsi="Verdana"/>
          <w:i/>
          <w:sz w:val="16"/>
          <w:szCs w:val="16"/>
        </w:rPr>
        <w:t xml:space="preserve">The World Bank, Technical Department Latin </w:t>
      </w:r>
      <w:proofErr w:type="gramStart"/>
      <w:r w:rsidRPr="00F45F6C">
        <w:rPr>
          <w:rFonts w:ascii="Verdana" w:hAnsi="Verdana"/>
          <w:i/>
          <w:sz w:val="16"/>
          <w:szCs w:val="16"/>
        </w:rPr>
        <w:t xml:space="preserve">America </w:t>
      </w:r>
      <w:r w:rsidRPr="00F45F6C">
        <w:rPr>
          <w:rFonts w:ascii="Verdana" w:hAnsi="Verdana"/>
          <w:sz w:val="16"/>
          <w:szCs w:val="16"/>
        </w:rPr>
        <w:t>&amp;</w:t>
      </w:r>
      <w:r w:rsidRPr="00F45F6C">
        <w:rPr>
          <w:rFonts w:ascii="Verdana" w:hAnsi="Verdana"/>
          <w:i/>
          <w:sz w:val="16"/>
          <w:szCs w:val="16"/>
        </w:rPr>
        <w:t xml:space="preserve"> the Caribean</w:t>
      </w:r>
      <w:r w:rsidRPr="00F45F6C">
        <w:rPr>
          <w:rFonts w:ascii="Verdana" w:hAnsi="Verdana"/>
          <w:sz w:val="16"/>
          <w:szCs w:val="16"/>
        </w:rPr>
        <w:t>”</w:t>
      </w:r>
      <w:proofErr w:type="gramEnd"/>
      <w:r w:rsidRPr="00F45F6C">
        <w:rPr>
          <w:rFonts w:ascii="Verdana" w:hAnsi="Verdana"/>
          <w:sz w:val="16"/>
          <w:szCs w:val="16"/>
        </w:rPr>
        <w:t xml:space="preserve">; sentença nº 163 de 14 de outubro de 1998 da Sala Constitucional da Corte Suprema de Justiça da Nicarágua em relação ao recurso de amparo interposto por María Luisa Acosta Castellón, em representação de Benevicto Salomón Mclean,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 Direção de Administração Florestal Estatal do MARENA, e de Efraín Osejo e outros, membros da Junta Diretiva do Conselho Regional da RAAN; e documento intitulado “Terra Indígena na conjuntura atual nicaraguense” e “As instituições do Estado” correspondente às páginas 80 a 89 e 119 a 128 do “Diagnóstico geral sobre a posse de terra nas comunidades indígenas da Costa Atlântica. </w:t>
      </w:r>
      <w:proofErr w:type="gramStart"/>
      <w:r w:rsidRPr="00F45F6C">
        <w:rPr>
          <w:rFonts w:ascii="Verdana" w:hAnsi="Verdana"/>
          <w:sz w:val="16"/>
          <w:szCs w:val="16"/>
        </w:rPr>
        <w:t>Contexto geral”</w:t>
      </w:r>
      <w:proofErr w:type="gramEnd"/>
      <w:r w:rsidRPr="00F45F6C">
        <w:rPr>
          <w:rFonts w:ascii="Verdana" w:hAnsi="Verdana"/>
          <w:sz w:val="16"/>
          <w:szCs w:val="16"/>
        </w:rPr>
        <w:t xml:space="preserve">, de março de 1998, realizado pelo </w:t>
      </w:r>
      <w:r w:rsidRPr="00F45F6C">
        <w:rPr>
          <w:rFonts w:ascii="Verdana" w:hAnsi="Verdana"/>
          <w:i/>
          <w:sz w:val="16"/>
          <w:szCs w:val="16"/>
        </w:rPr>
        <w:t>Central American and Caribbean Research Council.</w:t>
      </w:r>
    </w:p>
  </w:footnote>
  <w:footnote w:id="6">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cópia autenticada por notário público da certidão de 22 de fevereiro de 1983 da inscrição do Registro Público da Propriedade Imóvel do Departamento de Zelaya de 10 de fevereiro de 1917 da propriedade nº 2112; cópia autenticada por notário público da certidão de 22 de fevereiro de 1983 da inscrição do Registro Público da Propriedade Imóvel do Departamento de Zelaya de 10 de fevereiro de 1917 da propriedade nº 2111; cópia autenticada por notário público da certidão de 7 de março de 1983 do fólio 95 do livro da Comissão de Titulação da </w:t>
      </w:r>
      <w:r w:rsidRPr="00F45F6C">
        <w:rPr>
          <w:rFonts w:ascii="Verdana" w:hAnsi="Verdana"/>
          <w:i/>
          <w:sz w:val="16"/>
          <w:szCs w:val="16"/>
        </w:rPr>
        <w:t>Moskitia</w:t>
      </w:r>
      <w:r w:rsidRPr="00F45F6C">
        <w:rPr>
          <w:rFonts w:ascii="Verdana" w:hAnsi="Verdana"/>
          <w:sz w:val="16"/>
          <w:szCs w:val="16"/>
        </w:rPr>
        <w:t xml:space="preserve"> que contém a inscrição nº 111 de 9 de fevereiro de 1917 do Registro Público da Propriedade Imóvel do Departamento de Zelaya; nota de 15 de setembro de 2000 de Ramiro García Vásquez, arqueólogo do Departamento de Pesquisas Antropológicas do Museu Nacional, encaminhada a Marco Antonio Centeno Caffarena, Diretor Geral do Escritório de Titulação Rural; documento intitulado “Parecer etnográfico ao documento realizado pelo Dr. Theodore Macdonald intitulado ‘Awas Tingni um Estudo Etnográfico da Comunidade e seu Território’”, realizado por Ramiro García Vásquez; documento intitulado “Considerações etnográficas sobre a população sumo, etnia que se assentou em uma parte do território autônomo do Atlântico Norte, Nicarágua”, realizado por Ramiro García Vásquez; contrato para o manejo integral da floresta assinado em 26 de março de 1992 entre Jaime Castillo Felipe, Siriaco Castillo, Charly Webster Mclean Cornelio, Marcial Salomón, Genaro Mendoza e Arnoldo Clarence Demetrio, em representação da Comunidade Awas Tingni, e Francisco Lemus Lanuza, em representação de </w:t>
      </w:r>
      <w:r w:rsidRPr="00F45F6C">
        <w:rPr>
          <w:rFonts w:ascii="Verdana" w:hAnsi="Verdana"/>
          <w:i/>
          <w:sz w:val="16"/>
          <w:szCs w:val="16"/>
        </w:rPr>
        <w:t>Maderas y Derivados de Nicaragua S.A.</w:t>
      </w:r>
      <w:r w:rsidRPr="00F45F6C">
        <w:rPr>
          <w:rFonts w:ascii="Verdana" w:hAnsi="Verdana"/>
          <w:sz w:val="16"/>
          <w:szCs w:val="16"/>
        </w:rPr>
        <w:t xml:space="preserve">; e documento intitulado “Seis comunidades individuais da planície Norte do Rio Coco: Francia Sirpi, Wisconsin, Esperanza, Santa Clara, Tasba Pain, Miguel Bikan” e “Etno mapa. Seis Comunidades individuais da Planície do Rio Coco Francia Sirpi, Wisconsin, Esperanza, Santa Clara, Tasba Pain, Miguel Bikan” correspondente às páginas 153 a 162 do “Diagnóstico geral sobre a posse de terra nas comunidades indígenas da Costa Atlântica. Estudos de casos, seções etnográficas analíticas e etnomapas. Relatório Final”, de março de 1998, realizado pelo </w:t>
      </w:r>
      <w:r w:rsidRPr="00F45F6C">
        <w:rPr>
          <w:rFonts w:ascii="Verdana" w:hAnsi="Verdana"/>
          <w:i/>
          <w:sz w:val="16"/>
          <w:szCs w:val="16"/>
        </w:rPr>
        <w:t xml:space="preserve">Central American and Caribbean Research Council. </w:t>
      </w:r>
    </w:p>
  </w:footnote>
  <w:footnote w:id="7">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“Diagnóstico geral sobre a posse da terra nas comunidades indígenas da Costa Atlântica. Contexto geral”,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 xml:space="preserve">; “Diagnóstico geral sobre a posse da terra nas comunidades indígenas da Costa Atlântica. Resumo executivo”,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 xml:space="preserve">; e “Diagnóstico geral sobre a posse da terra nas comunidades indígenas da Costa Atlântica. Estudos de casos, seções etnográficas analíticas e etnomapas. Relatório Final”, de março de 1998, realizado pelo </w:t>
      </w:r>
      <w:r w:rsidRPr="00F45F6C">
        <w:rPr>
          <w:rFonts w:ascii="Verdana" w:hAnsi="Verdana"/>
          <w:i/>
          <w:sz w:val="16"/>
          <w:szCs w:val="16"/>
        </w:rPr>
        <w:t>Central American and Caribbean Research Council</w:t>
      </w:r>
      <w:r w:rsidR="00F45F6C">
        <w:rPr>
          <w:rFonts w:ascii="Verdana" w:hAnsi="Verdana"/>
          <w:sz w:val="16"/>
          <w:szCs w:val="16"/>
        </w:rPr>
        <w:t>.</w:t>
      </w:r>
    </w:p>
  </w:footnote>
  <w:footnote w:id="8">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documento intitulado “Comentários por: Theodore Macdonald/ 20 de janeiro de 2001” em relação ao documento intitulado “Parecer etnográfico ao documento elaborado pelo Dr. Theodore Macdonald” realizado por Ramiro García Vásquez; documento de 7 de janeiro de 2001 intitulado “Parecer Etnográfico ao Documento realizado pelo Dr. Teodoro MacDonald. Por Ramiro García Vásquez, Arqueólogo” realizado por Charles Rice Hale; e documento intitulado “Awas Tingni. Um Estudo Etnográfico da Comunidade e seu Território. Relatório 1999”, realizado pelo Projeto de Demarcação Territorial Awas Tingni, pesquisador principal: Theodore Macdonald.</w:t>
      </w:r>
    </w:p>
  </w:footnote>
  <w:footnote w:id="9">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sentença nº 163 de 14 de outubro de 1998 da Sala Constitucional da Corte Suprema de Justiça da Nicarágua em relação ao recurso de amparo interposto por María Luisa Acosta Castellón, em representação de Benevicto Salomón Mclean,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Saldaña,Direção de Administração Florestal Estatal do MARENA, e de Efraín Osejo e outros, membros da Junta Diretiva do Conselho Regional da RAAN.</w:t>
      </w:r>
    </w:p>
  </w:footnote>
  <w:footnote w:id="10">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Caso Ivcher Bronstein.</w:t>
      </w:r>
      <w:r w:rsidRPr="00F45F6C">
        <w:rPr>
          <w:rFonts w:ascii="Verdana" w:hAnsi="Verdana"/>
          <w:sz w:val="16"/>
          <w:szCs w:val="16"/>
        </w:rPr>
        <w:t xml:space="preserve"> Sentença de 6 de fevereiro de 2001</w:t>
      </w:r>
      <w:r w:rsidR="00DD1C8B">
        <w:rPr>
          <w:rFonts w:ascii="Verdana" w:hAnsi="Verdana"/>
          <w:sz w:val="16"/>
          <w:szCs w:val="16"/>
        </w:rPr>
        <w:t xml:space="preserve">. Série C </w:t>
      </w:r>
      <w:r w:rsidRPr="00F45F6C">
        <w:rPr>
          <w:rFonts w:ascii="Verdana" w:hAnsi="Verdana"/>
          <w:sz w:val="16"/>
          <w:szCs w:val="16"/>
        </w:rPr>
        <w:t xml:space="preserve">Nº 74, par. 69; </w:t>
      </w:r>
      <w:r w:rsidRPr="00F45F6C">
        <w:rPr>
          <w:rFonts w:ascii="Verdana" w:hAnsi="Verdana"/>
          <w:i/>
          <w:sz w:val="16"/>
          <w:szCs w:val="16"/>
        </w:rPr>
        <w:t xml:space="preserve">Caso “A Última Tentação de Cristo” </w:t>
      </w:r>
      <w:r w:rsidRPr="00F45F6C">
        <w:rPr>
          <w:rFonts w:ascii="Verdana" w:hAnsi="Verdana"/>
          <w:sz w:val="16"/>
          <w:szCs w:val="16"/>
        </w:rPr>
        <w:t>(</w:t>
      </w:r>
      <w:r w:rsidRPr="00F45F6C">
        <w:rPr>
          <w:rFonts w:ascii="Verdana" w:hAnsi="Verdana"/>
          <w:i/>
          <w:sz w:val="16"/>
          <w:szCs w:val="16"/>
        </w:rPr>
        <w:t>Olmedo Bustos e outros</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Sentença de 5 de fevereiro de 2001</w:t>
      </w:r>
      <w:r w:rsidR="00DD1C8B">
        <w:rPr>
          <w:rFonts w:ascii="Verdana" w:hAnsi="Verdana"/>
          <w:sz w:val="16"/>
          <w:szCs w:val="16"/>
        </w:rPr>
        <w:t xml:space="preserve">. Série C </w:t>
      </w:r>
      <w:r w:rsidRPr="00F45F6C">
        <w:rPr>
          <w:rFonts w:ascii="Verdana" w:hAnsi="Verdana"/>
          <w:sz w:val="16"/>
          <w:szCs w:val="16"/>
        </w:rPr>
        <w:t xml:space="preserve">Nº 73, par. 54; e </w:t>
      </w:r>
      <w:r w:rsidRPr="00F45F6C">
        <w:rPr>
          <w:rFonts w:ascii="Verdana" w:hAnsi="Verdana"/>
          <w:i/>
          <w:sz w:val="16"/>
          <w:szCs w:val="16"/>
        </w:rPr>
        <w:t>Caso Baena Ricardo e outros.</w:t>
      </w:r>
      <w:r w:rsidRPr="00F45F6C">
        <w:rPr>
          <w:rFonts w:ascii="Verdana" w:hAnsi="Verdana"/>
          <w:sz w:val="16"/>
          <w:szCs w:val="16"/>
        </w:rPr>
        <w:t xml:space="preserve"> Sentença de 2 de fevereiro de 2001</w:t>
      </w:r>
      <w:r w:rsidR="00DD1C8B">
        <w:rPr>
          <w:rFonts w:ascii="Verdana" w:hAnsi="Verdana"/>
          <w:sz w:val="16"/>
          <w:szCs w:val="16"/>
        </w:rPr>
        <w:t xml:space="preserve">. Série C </w:t>
      </w:r>
      <w:r w:rsidRPr="00F45F6C">
        <w:rPr>
          <w:rFonts w:ascii="Verdana" w:hAnsi="Verdana"/>
          <w:sz w:val="16"/>
          <w:szCs w:val="16"/>
        </w:rPr>
        <w:t>Nº 72, par. 70.</w:t>
      </w:r>
    </w:p>
  </w:footnote>
  <w:footnote w:id="11">
    <w:p w:rsidR="00C60678" w:rsidRPr="00DD1C8B" w:rsidRDefault="00C60678" w:rsidP="00E771D3">
      <w:pPr>
        <w:pStyle w:val="Textonotapie"/>
        <w:spacing w:after="120"/>
        <w:jc w:val="both"/>
        <w:rPr>
          <w:rFonts w:ascii="Verdana" w:hAnsi="Verdana"/>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 Caso Ivcher Bronstein,</w:t>
      </w:r>
      <w:r w:rsidRPr="00F45F6C">
        <w:rPr>
          <w:rFonts w:ascii="Verdana" w:hAnsi="Verdana"/>
          <w:sz w:val="16"/>
          <w:szCs w:val="16"/>
        </w:rPr>
        <w:t xml:space="preserve"> par. 70,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Caso Baena Ricardo e outros,</w:t>
      </w:r>
      <w:r w:rsidRPr="00F45F6C">
        <w:rPr>
          <w:rFonts w:ascii="Verdana" w:hAnsi="Verdana"/>
          <w:sz w:val="16"/>
          <w:szCs w:val="16"/>
        </w:rPr>
        <w:t xml:space="preserve"> par. 78, nota 9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Caso do Tribunal Constitucional.</w:t>
      </w:r>
      <w:r w:rsidRPr="00F45F6C">
        <w:rPr>
          <w:rFonts w:ascii="Verdana" w:hAnsi="Verdana"/>
          <w:sz w:val="16"/>
          <w:szCs w:val="16"/>
        </w:rPr>
        <w:t xml:space="preserve"> Sentença de 31 de janeiro 2001</w:t>
      </w:r>
      <w:r w:rsidR="00DD1C8B">
        <w:rPr>
          <w:rFonts w:ascii="Verdana" w:hAnsi="Verdana"/>
          <w:sz w:val="16"/>
          <w:szCs w:val="16"/>
        </w:rPr>
        <w:t xml:space="preserve">. Série C </w:t>
      </w:r>
      <w:r w:rsidRPr="00F45F6C">
        <w:rPr>
          <w:rFonts w:ascii="Verdana" w:hAnsi="Verdana"/>
          <w:sz w:val="16"/>
          <w:szCs w:val="16"/>
        </w:rPr>
        <w:t>Nº 71, par. 53.</w:t>
      </w:r>
    </w:p>
  </w:footnote>
  <w:footnote w:id="12">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w:t>
      </w:r>
      <w:r w:rsidRPr="00F45F6C">
        <w:rPr>
          <w:rFonts w:ascii="Verdana" w:hAnsi="Verdana"/>
          <w:i/>
          <w:sz w:val="16"/>
          <w:szCs w:val="16"/>
        </w:rPr>
        <w:t xml:space="preserve">Caso das “Crianças de Rua” </w:t>
      </w:r>
      <w:r w:rsidRPr="00F45F6C">
        <w:rPr>
          <w:rFonts w:ascii="Verdana" w:hAnsi="Verdana"/>
          <w:sz w:val="16"/>
          <w:szCs w:val="16"/>
        </w:rPr>
        <w:t>(</w:t>
      </w:r>
      <w:r w:rsidRPr="00F45F6C">
        <w:rPr>
          <w:rFonts w:ascii="Verdana" w:hAnsi="Verdana"/>
          <w:i/>
          <w:sz w:val="16"/>
          <w:szCs w:val="16"/>
        </w:rPr>
        <w:t>Villagrán Morales e outros</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w:t>
      </w:r>
      <w:r w:rsidRPr="00F45F6C">
        <w:rPr>
          <w:rFonts w:ascii="Verdana" w:hAnsi="Verdana"/>
          <w:i/>
          <w:sz w:val="16"/>
          <w:szCs w:val="16"/>
        </w:rPr>
        <w:t xml:space="preserve">Reparações </w:t>
      </w:r>
      <w:r w:rsidRPr="00F45F6C">
        <w:rPr>
          <w:rFonts w:ascii="Verdana" w:hAnsi="Verdana"/>
          <w:sz w:val="16"/>
          <w:szCs w:val="16"/>
        </w:rPr>
        <w:t>(artigo 63.1 da Convenção Americana sobre Direitos Humanos). Sentença 26 de maio de 2001</w:t>
      </w:r>
      <w:r w:rsidR="00DD1C8B">
        <w:rPr>
          <w:rFonts w:ascii="Verdana" w:hAnsi="Verdana"/>
          <w:sz w:val="16"/>
          <w:szCs w:val="16"/>
        </w:rPr>
        <w:t xml:space="preserve">. Série C </w:t>
      </w:r>
      <w:r w:rsidRPr="00F45F6C">
        <w:rPr>
          <w:rFonts w:ascii="Verdana" w:hAnsi="Verdana"/>
          <w:sz w:val="16"/>
          <w:szCs w:val="16"/>
        </w:rPr>
        <w:t xml:space="preserve">Nº 77, par. 53; e </w:t>
      </w:r>
      <w:r w:rsidRPr="00F45F6C">
        <w:rPr>
          <w:rFonts w:ascii="Verdana" w:hAnsi="Verdana"/>
          <w:i/>
          <w:sz w:val="16"/>
          <w:szCs w:val="16"/>
        </w:rPr>
        <w:t>Caso Blake. Reparações</w:t>
      </w:r>
      <w:r w:rsidRPr="00F45F6C">
        <w:rPr>
          <w:rFonts w:ascii="Verdana" w:hAnsi="Verdana"/>
          <w:sz w:val="16"/>
          <w:szCs w:val="16"/>
        </w:rPr>
        <w:t xml:space="preserve"> (artigo 63.1 da Convenção Americana sobre Direitos Humanos). Sentença de 22 de janeiro de 1999</w:t>
      </w:r>
      <w:r w:rsidR="00DD1C8B">
        <w:rPr>
          <w:rFonts w:ascii="Verdana" w:hAnsi="Verdana"/>
          <w:sz w:val="16"/>
          <w:szCs w:val="16"/>
        </w:rPr>
        <w:t xml:space="preserve">. Série C </w:t>
      </w:r>
      <w:r w:rsidRPr="00F45F6C">
        <w:rPr>
          <w:rFonts w:ascii="Verdana" w:hAnsi="Verdana"/>
          <w:sz w:val="16"/>
          <w:szCs w:val="16"/>
        </w:rPr>
        <w:t>Nº 48, par. 28.</w:t>
      </w:r>
    </w:p>
  </w:footnote>
  <w:footnote w:id="13">
    <w:p w:rsidR="00C60678" w:rsidRPr="00DD1C8B" w:rsidRDefault="00C60678" w:rsidP="00E771D3">
      <w:pPr>
        <w:pStyle w:val="Textonotapie"/>
        <w:spacing w:after="120"/>
        <w:jc w:val="both"/>
        <w:rPr>
          <w:rFonts w:ascii="Verdana" w:hAnsi="Verdana"/>
          <w:b/>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Caso Baena Ricardo e outros,</w:t>
      </w:r>
      <w:r w:rsidRPr="00F45F6C">
        <w:rPr>
          <w:rFonts w:ascii="Verdana" w:hAnsi="Verdana"/>
          <w:sz w:val="16"/>
          <w:szCs w:val="16"/>
        </w:rPr>
        <w:t xml:space="preserve"> par. 81, nota 9</w:t>
      </w:r>
      <w:r w:rsidRPr="00F45F6C">
        <w:rPr>
          <w:rFonts w:ascii="Verdana" w:hAnsi="Verdana"/>
          <w:i/>
          <w:sz w:val="16"/>
          <w:szCs w:val="16"/>
        </w:rPr>
        <w:t xml:space="preserve"> supra</w:t>
      </w:r>
      <w:r w:rsidRPr="00F45F6C">
        <w:rPr>
          <w:rFonts w:ascii="Verdana" w:hAnsi="Verdana"/>
          <w:sz w:val="16"/>
          <w:szCs w:val="16"/>
        </w:rPr>
        <w:t xml:space="preserve">; </w:t>
      </w:r>
      <w:r w:rsidRPr="00F45F6C">
        <w:rPr>
          <w:rFonts w:ascii="Verdana" w:hAnsi="Verdana"/>
          <w:i/>
          <w:sz w:val="16"/>
          <w:szCs w:val="16"/>
        </w:rPr>
        <w:t>Caso Durand e Ugarte</w:t>
      </w:r>
      <w:r w:rsidRPr="00F45F6C">
        <w:rPr>
          <w:rFonts w:ascii="Verdana" w:hAnsi="Verdana"/>
          <w:sz w:val="16"/>
          <w:szCs w:val="16"/>
        </w:rPr>
        <w:t>. Sentença de 16 de agosto de 2000</w:t>
      </w:r>
      <w:r w:rsidR="00DD1C8B">
        <w:rPr>
          <w:rFonts w:ascii="Verdana" w:hAnsi="Verdana"/>
          <w:sz w:val="16"/>
          <w:szCs w:val="16"/>
        </w:rPr>
        <w:t xml:space="preserve">. Série C </w:t>
      </w:r>
      <w:r w:rsidRPr="00F45F6C">
        <w:rPr>
          <w:rFonts w:ascii="Verdana" w:hAnsi="Verdana"/>
          <w:sz w:val="16"/>
          <w:szCs w:val="16"/>
        </w:rPr>
        <w:t xml:space="preserve">Nº 68, par. 51; e </w:t>
      </w:r>
      <w:r w:rsidRPr="00F45F6C">
        <w:rPr>
          <w:rFonts w:ascii="Verdana" w:hAnsi="Verdana"/>
          <w:i/>
          <w:sz w:val="16"/>
          <w:szCs w:val="16"/>
        </w:rPr>
        <w:t>Caso Neira Alegría e outros.</w:t>
      </w:r>
      <w:r w:rsidRPr="00F45F6C">
        <w:rPr>
          <w:rFonts w:ascii="Verdana" w:hAnsi="Verdana"/>
          <w:sz w:val="16"/>
          <w:szCs w:val="16"/>
        </w:rPr>
        <w:t xml:space="preserve"> Sentença de 19 de janeiro de 1995.</w:t>
      </w:r>
      <w:r w:rsidR="002C6A59">
        <w:rPr>
          <w:rFonts w:ascii="Verdana" w:hAnsi="Verdana"/>
          <w:sz w:val="16"/>
          <w:szCs w:val="16"/>
        </w:rPr>
        <w:t xml:space="preserve"> </w:t>
      </w:r>
      <w:r w:rsidRPr="00F45F6C">
        <w:rPr>
          <w:rFonts w:ascii="Verdana" w:hAnsi="Verdana"/>
          <w:sz w:val="16"/>
          <w:szCs w:val="16"/>
        </w:rPr>
        <w:t>Série C Nº 20, par. 65.</w:t>
      </w:r>
    </w:p>
  </w:footnote>
  <w:footnote w:id="14">
    <w:p w:rsidR="00C60678" w:rsidRPr="00DD1C8B" w:rsidRDefault="00C60678" w:rsidP="00E771D3">
      <w:pPr>
        <w:pStyle w:val="Textonotapie"/>
        <w:spacing w:after="120"/>
        <w:jc w:val="both"/>
        <w:rPr>
          <w:rFonts w:ascii="Verdana" w:hAnsi="Verdana"/>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 xml:space="preserve">Caso Cesti Hurtado. Reparações </w:t>
      </w:r>
      <w:r w:rsidRPr="00F45F6C">
        <w:rPr>
          <w:rFonts w:ascii="Verdana" w:hAnsi="Verdana"/>
          <w:sz w:val="16"/>
          <w:szCs w:val="16"/>
        </w:rPr>
        <w:t>(</w:t>
      </w:r>
      <w:r w:rsidRPr="00F45F6C">
        <w:rPr>
          <w:rFonts w:ascii="Verdana" w:hAnsi="Verdana"/>
          <w:i/>
          <w:sz w:val="16"/>
          <w:szCs w:val="16"/>
        </w:rPr>
        <w:t>artigo 63.1 da Convenção Americana sobre Direitos Humanos</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Sentença de 31 de maio de 2001</w:t>
      </w:r>
      <w:r w:rsidR="00126E5B">
        <w:rPr>
          <w:rFonts w:ascii="Verdana" w:hAnsi="Verdana"/>
          <w:sz w:val="16"/>
          <w:szCs w:val="16"/>
        </w:rPr>
        <w:t>. Série C</w:t>
      </w:r>
      <w:r w:rsidRPr="00F45F6C">
        <w:rPr>
          <w:rFonts w:ascii="Verdana" w:hAnsi="Verdana"/>
          <w:sz w:val="16"/>
          <w:szCs w:val="16"/>
        </w:rPr>
        <w:t xml:space="preserve"> Nº 78, par. 23; </w:t>
      </w:r>
      <w:r w:rsidRPr="00F45F6C">
        <w:rPr>
          <w:rFonts w:ascii="Verdana" w:hAnsi="Verdana"/>
          <w:i/>
          <w:sz w:val="16"/>
          <w:szCs w:val="16"/>
        </w:rPr>
        <w:t xml:space="preserve">Caso das “Crianças de Rua” </w:t>
      </w:r>
      <w:r w:rsidRPr="00F45F6C">
        <w:rPr>
          <w:rFonts w:ascii="Verdana" w:hAnsi="Verdana"/>
          <w:sz w:val="16"/>
          <w:szCs w:val="16"/>
        </w:rPr>
        <w:t>(</w:t>
      </w:r>
      <w:r w:rsidRPr="00F45F6C">
        <w:rPr>
          <w:rFonts w:ascii="Verdana" w:hAnsi="Verdana"/>
          <w:i/>
          <w:sz w:val="16"/>
          <w:szCs w:val="16"/>
        </w:rPr>
        <w:t>Caso Villagrán Morales e outros</w:t>
      </w:r>
      <w:r w:rsidRPr="00F45F6C">
        <w:rPr>
          <w:rFonts w:ascii="Verdana" w:hAnsi="Verdana"/>
          <w:sz w:val="16"/>
          <w:szCs w:val="16"/>
        </w:rPr>
        <w:t>)</w:t>
      </w:r>
      <w:r w:rsidRPr="00F45F6C">
        <w:rPr>
          <w:rFonts w:ascii="Verdana" w:hAnsi="Verdana"/>
          <w:i/>
          <w:sz w:val="16"/>
          <w:szCs w:val="16"/>
        </w:rPr>
        <w:t xml:space="preserve">. Reparações, </w:t>
      </w:r>
      <w:r w:rsidRPr="00F45F6C">
        <w:rPr>
          <w:rFonts w:ascii="Verdana" w:hAnsi="Verdana"/>
          <w:sz w:val="16"/>
          <w:szCs w:val="16"/>
        </w:rPr>
        <w:t xml:space="preserve">par. 42, nota 11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 xml:space="preserve">Caso da “Panel Blanca” </w:t>
      </w:r>
      <w:r w:rsidRPr="00F45F6C">
        <w:rPr>
          <w:rFonts w:ascii="Verdana" w:hAnsi="Verdana"/>
          <w:sz w:val="16"/>
          <w:szCs w:val="16"/>
        </w:rPr>
        <w:t>(</w:t>
      </w:r>
      <w:r w:rsidRPr="00F45F6C">
        <w:rPr>
          <w:rFonts w:ascii="Verdana" w:hAnsi="Verdana"/>
          <w:i/>
          <w:sz w:val="16"/>
          <w:szCs w:val="16"/>
        </w:rPr>
        <w:t>Caso Paniagua Morales e outros</w:t>
      </w:r>
      <w:r w:rsidRPr="00F45F6C">
        <w:rPr>
          <w:rFonts w:ascii="Verdana" w:hAnsi="Verdana"/>
          <w:sz w:val="16"/>
          <w:szCs w:val="16"/>
        </w:rPr>
        <w:t>)</w:t>
      </w:r>
      <w:r w:rsidRPr="00F45F6C">
        <w:rPr>
          <w:rFonts w:ascii="Verdana" w:hAnsi="Verdana"/>
          <w:i/>
          <w:sz w:val="16"/>
          <w:szCs w:val="16"/>
        </w:rPr>
        <w:t xml:space="preserve">. Reparações </w:t>
      </w:r>
      <w:r w:rsidRPr="00F45F6C">
        <w:rPr>
          <w:rFonts w:ascii="Verdana" w:hAnsi="Verdana"/>
          <w:sz w:val="16"/>
          <w:szCs w:val="16"/>
        </w:rPr>
        <w:t>(</w:t>
      </w:r>
      <w:r w:rsidRPr="00F45F6C">
        <w:rPr>
          <w:rFonts w:ascii="Verdana" w:hAnsi="Verdana"/>
          <w:i/>
          <w:sz w:val="16"/>
          <w:szCs w:val="16"/>
        </w:rPr>
        <w:t>artigo 63.1 da Convenção Americana sobre Direitos Humanos</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Sentença de 25 de maio de 2001</w:t>
      </w:r>
      <w:r w:rsidR="00126E5B">
        <w:rPr>
          <w:rFonts w:ascii="Verdana" w:hAnsi="Verdana"/>
          <w:sz w:val="16"/>
          <w:szCs w:val="16"/>
        </w:rPr>
        <w:t>. Série C</w:t>
      </w:r>
      <w:r w:rsidRPr="00F45F6C">
        <w:rPr>
          <w:rFonts w:ascii="Verdana" w:hAnsi="Verdana"/>
          <w:sz w:val="16"/>
          <w:szCs w:val="16"/>
        </w:rPr>
        <w:t xml:space="preserve"> Nº 76, par. 52.</w:t>
      </w:r>
    </w:p>
  </w:footnote>
  <w:footnote w:id="15">
    <w:p w:rsidR="00C60678" w:rsidRPr="00126E5B"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w:t>
      </w:r>
      <w:r w:rsidRPr="00F45F6C">
        <w:rPr>
          <w:rFonts w:ascii="Verdana" w:hAnsi="Verdana"/>
          <w:sz w:val="16"/>
          <w:szCs w:val="16"/>
        </w:rPr>
        <w:t xml:space="preserve">ofício DSDG-RMS-02-Crono-014-10-98 de 8 de outubro de 1998 de Rosario Meza Soto, Subdiretora Geral do Instituto Nacional de Estatísticas e Censos (INEC), encaminhado a Fernando Robleto Lang, Secretário da Presidência; documento intitulado “Anexo A Universo de Estudo”; testemunho de Charly Webster Mclean Cornelio prestado perante a Corte Interamericana em 16 de novembro de 2000; “Diagnóstico geral sobre a posse da terra nas comunidades indígenas da Costa Atlântica. Contexto geral”,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e documento de janeiro de 1994 intitulado “Direitos Territoriais da Comunidade Indígena Awas Tingni” realizado pela Universidade de Iowa como parte de seu “Projeto de Apoio à Comunidade Awas</w:t>
      </w:r>
      <w:r w:rsidR="00126E5B">
        <w:rPr>
          <w:rFonts w:ascii="Verdana" w:hAnsi="Verdana"/>
          <w:sz w:val="16"/>
          <w:szCs w:val="16"/>
        </w:rPr>
        <w:t xml:space="preserve"> Tingni”.</w:t>
      </w:r>
    </w:p>
  </w:footnote>
  <w:footnote w:id="16">
    <w:p w:rsidR="00C60678" w:rsidRPr="00126E5B"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Lei nº 28 “Estatuto da Autonomia das Regiões da Costa Atlântica da Nicarágua” publicada no Diário Oficial </w:t>
      </w:r>
      <w:r w:rsidRPr="00F45F6C">
        <w:rPr>
          <w:rFonts w:ascii="Verdana" w:hAnsi="Verdana"/>
          <w:i/>
          <w:sz w:val="16"/>
          <w:szCs w:val="16"/>
        </w:rPr>
        <w:t>La Gaceta</w:t>
      </w:r>
      <w:r w:rsidRPr="00F45F6C">
        <w:rPr>
          <w:rFonts w:ascii="Verdana" w:hAnsi="Verdana"/>
          <w:sz w:val="16"/>
          <w:szCs w:val="16"/>
        </w:rPr>
        <w:t xml:space="preserve"> nº 238 de 30 de outubro de 1987.</w:t>
      </w:r>
    </w:p>
  </w:footnote>
  <w:footnote w:id="17">
    <w:p w:rsidR="00C60678" w:rsidRPr="00126E5B"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documento de janeiro de 1994 intitulado “Direitos Territoriais da Comunidade Indígena Awas Tingni” realizado pela Universidade de Iowa como parte de seu “Projeto de Apoio à Comunidade Awas Tingni”;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sentença nº 11 de 27 de fevereiro de 1997 da Sala Constitucional da Corte Suprema de Justiça da Nicarágua em relação ao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e sentença nº 163 de 14 de outubro de 1998 da Sala Constitucional da Corte Suprema de Justiça da Nicarágua em relação ao recurso de amparo interposto por María Luisa Acosta Castellón, em representação de Benevicto Salomón Mclean,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 Direção de Administração Florestal Estatal do MARENA, e de Efraín Osejo e outros, membros da Junta Diretiva do Conselho Regional da RAAN.</w:t>
      </w:r>
    </w:p>
  </w:footnote>
  <w:footnote w:id="18">
    <w:p w:rsidR="00C60678" w:rsidRPr="00126E5B"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escrito de março de 1996 que solicita o “reconhecimento oficial e demarcação das terras ancestrais” da Comunidade Mayagna Awas Tingni encaminhado ao Conselho Regional da RAAN; sentença nº 163 de 14 de outubro de 1998 da Sala Constitucional da Corte Suprema de Justiça da Nicarágua em relação ao recurso de amparo interposto por María Luisa Acosta Castellón, em representação de Benevicto Salomón Mclean,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 Direção de Administração Florestal Estatal do MARENA, e de Efraín Osejo e outros, membros da Junta Diretiva do Conselho Regional da RAAN; documento intitulado “Awas Tingni. Um Estudo Etnográfico da Comunidade e seu Território. Relatório 1999”, realizado pelo Projeto de Demarcação Territorial Awas Tingni, pesquisador principal: Theodore Macdonald; ofício DSDG-RMS-02-Crono-014-10-98 de 8 de outubro de 1998 de Rosario Meza Soto, Subdiretora Geral do Instituto Nacional de Estatísticas e Censos (INEC), encaminhado a Fernando Robleto Lang, Secretário da Presidência;</w:t>
      </w:r>
      <w:r w:rsidRPr="00F45F6C">
        <w:rPr>
          <w:rFonts w:ascii="Verdana" w:hAnsi="Verdana"/>
          <w:b/>
          <w:sz w:val="16"/>
          <w:szCs w:val="16"/>
        </w:rPr>
        <w:t xml:space="preserve"> </w:t>
      </w:r>
      <w:r w:rsidRPr="00F45F6C">
        <w:rPr>
          <w:rFonts w:ascii="Verdana" w:hAnsi="Verdana"/>
          <w:sz w:val="16"/>
          <w:szCs w:val="16"/>
        </w:rPr>
        <w:t>documento intitulado “Anexo A Universo de Estudo”; testemunho de Charly Webster Mclean Cornelio prestado perante a Corte Interamericana em 16 de novembro de 2000; documento de janeiro de 1994 intitulado “Direitos Territoriais da Comunidade Indígena Awas Tingni” realizado pela Universidade de Iowa como parte de seu “Projeto de Apoio à Comunidade Awas Tingni”; e “Censo Geral da Comunidade de Awas Tingni” correspondente ao ano de 1994.</w:t>
      </w:r>
    </w:p>
  </w:footnote>
  <w:footnote w:id="19">
    <w:p w:rsidR="00C60678" w:rsidRPr="00126E5B"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b/>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i/>
          <w:sz w:val="16"/>
          <w:szCs w:val="16"/>
        </w:rPr>
        <w:t xml:space="preserve"> </w:t>
      </w:r>
      <w:r w:rsidRPr="00F45F6C">
        <w:rPr>
          <w:rFonts w:ascii="Verdana" w:hAnsi="Verdana"/>
          <w:sz w:val="16"/>
          <w:szCs w:val="16"/>
        </w:rPr>
        <w:t>testemunho de Charly Webster Mclean Cornelio prestado perante a Corte Interamericana em 16 de novembro de 2000; testemunho de Jaime Castillo Felipe prestado perante a Corte Interamericana em 16 de novembro de 2000; testemunho de Theodore Macdonald Jr. prestado perante a Corte Interamericana em 16 de novembro de 2000; documento de janeiro de 1994 intitulado “Direitos Territoriais da Comunidade Indígena Awas Tingni” realizado pela Universidade de Iowa como parte de seu “Projeto de Apoio à Comunidade Awas Tingni”; e documento intitulado “Awas Tingni. Um Estudo Etnográfico da Comunidade e seu Território. Relatório 1999”, realizado pelo Projeto de Demarcação Territorial Awas Tingni, pesquisador principal: Theodore Macdonald.</w:t>
      </w:r>
    </w:p>
  </w:footnote>
  <w:footnote w:id="20">
    <w:p w:rsidR="00C60678" w:rsidRPr="00126E5B"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“Diagnóstico geral sobre a posse da terra nas comunidades indígenas da Costa Atlântica”, Relatório Final e Contexto geral,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 xml:space="preserve">; mapas e projeções de agosto de 1998 sobre a localização das áreas indígenas no território nacional nicaraguense correspondente à RAAN, realizados pela Direção de Geodesia e Cartografia do Instituto Nicaraguense de Estudos Territoriais (INETER); documento intitulado “Terra, Recursos Naturais e Direitos Indígenas na Costa Atlântica da Nicarágua. Reflexões Jurídicas para a Definição de uma Estratégia de Participação Indígena nos Projetos de Participação e Desenvolvimento” de julho de 1996 realizado pelo </w:t>
      </w:r>
      <w:r w:rsidRPr="00F45F6C">
        <w:rPr>
          <w:rFonts w:ascii="Verdana" w:hAnsi="Verdana"/>
          <w:i/>
          <w:sz w:val="16"/>
          <w:szCs w:val="16"/>
        </w:rPr>
        <w:t>World Bank, Technical Department Latin America &amp; the Caribean</w:t>
      </w:r>
      <w:r w:rsidRPr="00F45F6C">
        <w:rPr>
          <w:rFonts w:ascii="Verdana" w:hAnsi="Verdana"/>
          <w:sz w:val="16"/>
          <w:szCs w:val="16"/>
        </w:rPr>
        <w:t>; escrito de 13 de outubro de 1998 de Arnoldo Alemán Lacayo, Presidente da República da Nicarágua, encaminhado a Noel Pereira Majano, Secretário da Assembleia Nacional; projeto de lei de 13 de outubro de 1998 intitulado “Lei Orgânica que Regula o Regime de Propriedade Comunal das Comunidades Indígenas da Costa Atlântica e BOSAWAS”; testemunho de Galio Claudio Enrique Gurdián Gurdián prestado perante a Corte Interamericana em 17 de novembro de 2000; testemunho de Charles Rice Hale prestado perante a Corte Interamericana em 17 de novembro de 2000; testemunho de Marco Antonio Centeno Caffarena prestado perante a Corte Interamericana em 17 de novembro de 2000; escrito de 12 de setembro de 1998 de Roberto Wilson Watson e Emilio Hammer Francis, Presidente e Secretário, respectivamente, das Dez Comunidades Indígenas, encaminhado a Virgilio Gurdián, Diretor do Instituto Nicaraguense de Reforma Agrária (INRA); declaração prestada em 11 de setembro de 1998 por Otto Borst Conrrado, representante legal da Comunidade Indígena de Tasba Raya; escrito de março de 1996 que solicita o “reconhecimento oficial e demarcação das terras ancestrais” da Comunidade Mayagna Awas Tingni encaminhado ao Conselho Regional da RAAN; e escrito de 11 de setembro de 1998 de Rodolfo Spear Smith, Coordenador Geral da Comunidade Indígena de Karatá, encaminhado a Virgilio Gurdián, Ministro do</w:t>
      </w:r>
      <w:r w:rsidR="00126E5B">
        <w:rPr>
          <w:rFonts w:ascii="Verdana" w:hAnsi="Verdana"/>
          <w:sz w:val="16"/>
          <w:szCs w:val="16"/>
        </w:rPr>
        <w:t xml:space="preserve"> INRA.</w:t>
      </w:r>
    </w:p>
  </w:footnote>
  <w:footnote w:id="21">
    <w:p w:rsidR="00C60678" w:rsidRPr="00126E5B"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i/>
          <w:sz w:val="16"/>
          <w:szCs w:val="16"/>
        </w:rPr>
        <w:t xml:space="preserve"> </w:t>
      </w:r>
      <w:r w:rsidRPr="00F45F6C">
        <w:rPr>
          <w:rFonts w:ascii="Verdana" w:hAnsi="Verdana"/>
          <w:sz w:val="16"/>
          <w:szCs w:val="16"/>
        </w:rPr>
        <w:t xml:space="preserve">“Diagnóstico geral sobre a posse da terra nas comunidades indígenas da Costa Atlântica. Contexto geral”,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 testemunho da escritura número um do protocolo número vinte do notário público Oscar Saravia Baltodano, na qual consta o “Contrato de Manejo e Aproveitamento Florestal” assinado em 13 de março de 1996 entre Claudio Gutiérrez Huete, representante do MARENA, e Hyong Seock Byun, representante da companhia SOLCARSA; resolução ministerial nº 02–97 de 16 de maio de 1997 do Ministro do MARENA; documento de dezembro de 1994 intitulado “Plano de Manejo Florestal de Latifoliadas Cerro Wakambay, (Edição Final)”, realizado por Swietenia S.A. Consultores para KUMKYUNG CO., LTD; e testemunho de Brooklyn Rivera Bryan prestado perante a Corte Interamericana em 17 de novembro de 2000.</w:t>
      </w:r>
    </w:p>
  </w:footnote>
  <w:footnote w:id="22">
    <w:p w:rsidR="00C60678" w:rsidRPr="00126E5B"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i/>
          <w:sz w:val="16"/>
          <w:szCs w:val="16"/>
        </w:rPr>
        <w:t xml:space="preserve"> </w:t>
      </w:r>
      <w:r w:rsidRPr="00F45F6C">
        <w:rPr>
          <w:rFonts w:ascii="Verdana" w:hAnsi="Verdana"/>
          <w:sz w:val="16"/>
          <w:szCs w:val="16"/>
        </w:rPr>
        <w:t xml:space="preserve">escrito de 11 de julho de 1995 de María Luisa Acosta Castellón, advogada da Comunidade Awas Tingni, encaminhado a Milton Caldera C., Ministro do MARENA;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escrito de março de 1996 que solicita o “reconhecimento oficial e demarcação das terras ancestrais” da Comunidade Mayagna Awas Tingni encaminhado ao Conselho Regional da RAAN; “Diagnóstico geral sobre a posse da terra nas comunidades indígenas da Costa Atlântica. Contexto geral”,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 testemunho de Jaime Castillo Felipe prestado perante a Corte Interamericana em 16 de novembro de 2000; testemunho de Charly Webster Mclean Cornelio prestado perante a Corte Interamericana em 16 de novembro de 2000; declaração prestada por Sydney Antonio P. em 30 de agosto de 1998; e declaração prestada por Ramón Rayo Méndez em 29 de agosto de 1998; declaração juramentada prestada por Miguel Taylor Ortez em 30 de agosto de 1998; declaração juramentada prestada por Ramón Rayo Méndez em 30 de agosto de 1998.</w:t>
      </w:r>
    </w:p>
  </w:footnote>
  <w:footnote w:id="23">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contrato para o manejo integral da floresta assinado em 26 de março de 1992 entre Jaime Castillo Felipe, Siriaco Castillo, Charly Webster Mclean Cornelio, Marcial Salomón, Genaro Mendoza e Arnoldo Clarence Demetrio, em representação da Comunidade Awas Tingni, e Francisco Lemus Lanuza, em representação de </w:t>
      </w:r>
      <w:r w:rsidRPr="00F45F6C">
        <w:rPr>
          <w:rFonts w:ascii="Verdana" w:hAnsi="Verdana"/>
          <w:i/>
          <w:sz w:val="16"/>
          <w:szCs w:val="16"/>
        </w:rPr>
        <w:t>Maderas y Derivados de Nicaragua S.A.</w:t>
      </w:r>
      <w:r w:rsidRPr="00F45F6C">
        <w:rPr>
          <w:rFonts w:ascii="Verdana" w:hAnsi="Verdana"/>
          <w:sz w:val="16"/>
          <w:szCs w:val="16"/>
        </w:rPr>
        <w:t>; e</w:t>
      </w:r>
      <w:r w:rsidRPr="00F45F6C">
        <w:rPr>
          <w:rFonts w:ascii="Verdana" w:hAnsi="Verdana"/>
          <w:b/>
          <w:sz w:val="16"/>
          <w:szCs w:val="16"/>
        </w:rPr>
        <w:t xml:space="preserve"> </w:t>
      </w:r>
      <w:r w:rsidRPr="00F45F6C">
        <w:rPr>
          <w:rFonts w:ascii="Verdana" w:hAnsi="Verdana"/>
          <w:sz w:val="16"/>
          <w:szCs w:val="16"/>
        </w:rPr>
        <w:t xml:space="preserve">“Diagnóstico geral sobre a posse da terra nas comunidades indígenas da Costa Atlântica. Contexto geral”,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w:t>
      </w:r>
    </w:p>
  </w:footnote>
  <w:footnote w:id="24">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i/>
          <w:sz w:val="16"/>
          <w:szCs w:val="16"/>
        </w:rPr>
        <w:t xml:space="preserve"> </w:t>
      </w:r>
      <w:r w:rsidRPr="00F45F6C">
        <w:rPr>
          <w:rFonts w:ascii="Verdana" w:hAnsi="Verdana"/>
          <w:sz w:val="16"/>
          <w:szCs w:val="16"/>
        </w:rPr>
        <w:t xml:space="preserve">“Diagnóstico geral sobre a posse da terra nas comunidades indígenas da Costa Atlântica. Contexto geral”, de março de 1998, realizado pelo </w:t>
      </w:r>
      <w:r w:rsidRPr="00F45F6C">
        <w:rPr>
          <w:rFonts w:ascii="Verdana" w:hAnsi="Verdana"/>
          <w:i/>
          <w:sz w:val="16"/>
          <w:szCs w:val="16"/>
        </w:rPr>
        <w:t>Central American and Caribbean Research Council</w:t>
      </w:r>
      <w:r w:rsidRPr="00F45F6C">
        <w:rPr>
          <w:rFonts w:ascii="Verdana" w:hAnsi="Verdana"/>
          <w:sz w:val="16"/>
          <w:szCs w:val="16"/>
        </w:rPr>
        <w:t>; testemunho de Guillermo Castilleja prestado perante a Corte Interamericana em 17 de novembro de 2000; e escrito de 11 de julho de 1995 de María Luisa Acosta Castellón, advogada da Comunidade Awas Tingni, encaminhado a Milton Caldera C., Ministro do</w:t>
      </w:r>
      <w:r w:rsidR="00126E5B">
        <w:rPr>
          <w:rFonts w:ascii="Verdana" w:hAnsi="Verdana"/>
          <w:sz w:val="16"/>
          <w:szCs w:val="16"/>
        </w:rPr>
        <w:t xml:space="preserve"> MARENA.</w:t>
      </w:r>
    </w:p>
  </w:footnote>
  <w:footnote w:id="25">
    <w:p w:rsidR="00C60678" w:rsidRPr="00126E5B"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 xml:space="preserve">cf. </w:t>
      </w:r>
      <w:r w:rsidRPr="00F45F6C">
        <w:rPr>
          <w:rFonts w:ascii="Verdana" w:hAnsi="Verdana"/>
          <w:sz w:val="16"/>
          <w:szCs w:val="16"/>
        </w:rPr>
        <w:t>disposição administrativa nº 2–95 de 28 de junho de 1995 da Junta Diretiva do Conselho Regional da RAAN; testemunho da escritura número um do protocolo número vinte do notário público Oscar Saravia Baltodano, na qual consta o “Contrato de Manejo e Aproveitamento Florestal” assinado em 13 de março de 1996 entre Claudio Gutiérrez Huete, representante do MARENA, e Hyong Seock Byun, representante da companhia SOLCARSA; resolução nº 17-08-10-97 de 9 de outubro de 1997 do Conselho Regional da RAAN; e documento de dezembro de 1994 intitulado “Plano de Manejo Florestal de Latifoliadas Cerro Wakambay, (Edição Final)”, realizado por Swietenia S.A. Cons</w:t>
      </w:r>
      <w:r w:rsidR="00126E5B">
        <w:rPr>
          <w:rFonts w:ascii="Verdana" w:hAnsi="Verdana"/>
          <w:sz w:val="16"/>
          <w:szCs w:val="16"/>
        </w:rPr>
        <w:t>ultores para KUMKYUNG CO., LTD.</w:t>
      </w:r>
    </w:p>
  </w:footnote>
  <w:footnote w:id="26">
    <w:p w:rsidR="00C60678" w:rsidRPr="00126E5B"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testemunho da escritura número um do protocolo número vinte do notário público Oscar Saravia Baltodano, na qual consta o “Contrato de Manejo e Aproveitamento Florestal” assinado em 13 de março de 1996 entre Claudio Gutiérrez Huete, representante do MARENA, e Hyong Seock Byun, representante da companhia SOLCARSA; ofício MN-RSV-02-0113.98 de 16 de fevereiro de 1998 de Roberto Stadhagen Vogl, Ministro do MARENA, encaminhado a Michael Kang, Gerente Geral de SOLCARSA; </w:t>
      </w:r>
      <w:r w:rsidR="00126E5B">
        <w:rPr>
          <w:rFonts w:ascii="Verdana" w:hAnsi="Verdana"/>
          <w:sz w:val="16"/>
          <w:szCs w:val="16"/>
        </w:rPr>
        <w:t xml:space="preserve">sentença nº 12, de 27 de fevereiro </w:t>
      </w:r>
      <w:r w:rsidRPr="00F45F6C">
        <w:rPr>
          <w:rFonts w:ascii="Verdana" w:hAnsi="Verdana"/>
          <w:sz w:val="16"/>
          <w:szCs w:val="16"/>
        </w:rPr>
        <w:t>de 1997 da Sala Constitucional da Corte Suprema de Justiça da Nicarágua em relação ao recurso de amparo interposto em 29 de março de 1997 perante o Tribunal de Apelações de Matagalpa por Alfonso Smith Warman e Humberto Thompson Sang, membros do Conselho Regional da RAAN, contra Claudio Gutiérrez, Ministro do MARENA, e Alejandro Láinez, Direção de Administração Florestal Nacional do MARENA; e resolução ministerial nº 02–97 de 16 de maio de 1997 do Ministro do MARENA.</w:t>
      </w:r>
    </w:p>
  </w:footnote>
  <w:footnote w:id="27">
    <w:p w:rsidR="00C60678" w:rsidRPr="00126E5B"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w:t>
      </w:r>
      <w:r w:rsidRPr="00F45F6C">
        <w:rPr>
          <w:rFonts w:ascii="Verdana" w:hAnsi="Verdana"/>
          <w:sz w:val="16"/>
          <w:szCs w:val="16"/>
        </w:rPr>
        <w:t>resolução ministerial nº 02–97 de 16 de maio de 1997 do Ministro do MARENA.</w:t>
      </w:r>
    </w:p>
  </w:footnote>
  <w:footnote w:id="28">
    <w:p w:rsidR="00C60678" w:rsidRPr="00126E5B"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00126E5B">
        <w:rPr>
          <w:rFonts w:ascii="Verdana" w:hAnsi="Verdana"/>
          <w:sz w:val="16"/>
          <w:szCs w:val="16"/>
        </w:rPr>
        <w:t xml:space="preserve">sentença nº 12, de 27 de fevereiro </w:t>
      </w:r>
      <w:r w:rsidRPr="00F45F6C">
        <w:rPr>
          <w:rFonts w:ascii="Verdana" w:hAnsi="Verdana"/>
          <w:sz w:val="16"/>
          <w:szCs w:val="16"/>
        </w:rPr>
        <w:t xml:space="preserve">de 1997 da Sala Constitucional da Corte Suprema de Justiça da Nicarágua em relação ao recurso de amparo interposto em 29 de março de 1997 perante o Tribunal de Apelações de Matagalpa por Alfonso Smith Warman e Humberto Thompson Sang, membros do Conselho Regional da RAAN, contra Claudio Gutiérrez, Ministro do MARENA, e Alejandro Láinez, Direção de Administração Florestal Nacional do MARENA; ofício MN-RSV-0377.97 de 29 de maio de 1997 de Roberto Stadhagen Vogl, Ministro do MARENA, encaminhado a Efraín Osejo Morales, Presidente do Conselho Regional da RAAN; resolução nº 17-08-10-97 de 9 de outubro de 1997 do Conselho Regional da RAAN; solicitação de execução da </w:t>
      </w:r>
      <w:r w:rsidR="00126E5B">
        <w:rPr>
          <w:rFonts w:ascii="Verdana" w:hAnsi="Verdana"/>
          <w:sz w:val="16"/>
          <w:szCs w:val="16"/>
        </w:rPr>
        <w:t xml:space="preserve">sentença nº 12, de 27 de fevereiro </w:t>
      </w:r>
      <w:r w:rsidRPr="00F45F6C">
        <w:rPr>
          <w:rFonts w:ascii="Verdana" w:hAnsi="Verdana"/>
          <w:sz w:val="16"/>
          <w:szCs w:val="16"/>
        </w:rPr>
        <w:t>de 1997 da Sala Constitucional da Corte Suprema de Justiça da Nicarágua, apresentada em 22 de janeiro de 1998 perante a Secretaria da Sala Constitucional da Corte Suprema de Justiça da Nicarágua por Humberto Thompson Sang, membro do Conselho Regional da RAAN; resolução de 3 de fevereiro de 1998 da Sala Constitucional da Corte Suprema de Justiça da Nicarágua, em relação à solicitação de execução de sentença apresentada por Humberto Thompson Sang, membro do Conselho Regional da RAAN; declaração prestada por Mario Guevara Somarriba em 3 de outubro de 1997; e declaração prestada por Guillermo Ernesto Espinoza Duarte, Vicealcalde, nesse momento Prefeito em funções de Bilwi, Puerto Cabezas, RAAN, em 1° de outubro de 1997</w:t>
      </w:r>
      <w:r w:rsidR="00126E5B">
        <w:rPr>
          <w:rFonts w:ascii="Verdana" w:hAnsi="Verdana"/>
          <w:sz w:val="16"/>
          <w:szCs w:val="16"/>
        </w:rPr>
        <w:t>.</w:t>
      </w:r>
    </w:p>
  </w:footnote>
  <w:footnote w:id="29">
    <w:p w:rsidR="00C60678" w:rsidRPr="00126E5B"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resolução nº 17-08-10-97 de 9 de outubro de 1997 do Conselho Regional d</w:t>
      </w:r>
      <w:r w:rsidR="00126E5B">
        <w:rPr>
          <w:rFonts w:ascii="Verdana" w:hAnsi="Verdana"/>
          <w:sz w:val="16"/>
          <w:szCs w:val="16"/>
        </w:rPr>
        <w:t>a RAAN.</w:t>
      </w:r>
    </w:p>
  </w:footnote>
  <w:footnote w:id="30">
    <w:p w:rsidR="00C60678" w:rsidRPr="00126E5B"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w:t>
      </w:r>
      <w:r w:rsidRPr="00F45F6C">
        <w:rPr>
          <w:rFonts w:ascii="Verdana" w:hAnsi="Verdana"/>
          <w:sz w:val="16"/>
          <w:szCs w:val="16"/>
        </w:rPr>
        <w:t>escrito de 11 de julho de 1995 de María Luisa Acosta Castellón, advogada da Comunidade Awas Tingni, encaminhado a Milton Caldera C., Ministro do MARENA.</w:t>
      </w:r>
    </w:p>
  </w:footnote>
  <w:footnote w:id="31">
    <w:p w:rsidR="00C60678" w:rsidRPr="00126E5B"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escrito de março de 1996 que solicita o “reconhecimento oficial e demarcação das terras ancestrais” da Comunidade Mayagna Awas Tingni encaminhado ao Conselho Regional da RA</w:t>
      </w:r>
      <w:r w:rsidR="00126E5B">
        <w:rPr>
          <w:rFonts w:ascii="Verdana" w:hAnsi="Verdana"/>
          <w:sz w:val="16"/>
          <w:szCs w:val="16"/>
        </w:rPr>
        <w:t>AN.</w:t>
      </w:r>
    </w:p>
  </w:footnote>
  <w:footnote w:id="32">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resolução de 19 de setembro de 1995 do Tribunal de Apelações da Sexta Região, Sala Civil, Matagalpa, em relação ao recurso de amparo interposto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e sentença nº 11 de 27 de fevereiro de 1997 da Sala Constitucional da Corte Suprema de Justiça da Nicarágua em relação ao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w:t>
      </w:r>
    </w:p>
  </w:footnote>
  <w:footnote w:id="33">
    <w:p w:rsidR="00C60678" w:rsidRPr="00126E5B"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resolução de 19 de setembro de 1995 do Tribunal de Apelações da Sexta Região, Sala Civil, Matagalpa, em relação ao recurso de amparo interposto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w:t>
      </w:r>
      <w:r w:rsidR="00126E5B">
        <w:rPr>
          <w:rFonts w:ascii="Verdana" w:hAnsi="Verdana"/>
          <w:sz w:val="16"/>
          <w:szCs w:val="16"/>
        </w:rPr>
        <w:t xml:space="preserve"> MARENA.</w:t>
      </w:r>
    </w:p>
  </w:footnote>
  <w:footnote w:id="34">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recurso de fato interposto em 21 de setembro de 1995 perante a Corte Suprema de Justiça da Nicarágua por María Luisa Acosta Castellón, representante legal da Comunidade Awas Tingni; e sentença nº 11 de 27 de fevereiro de 1997 da Sala Constitucional da Corte Suprema de Justiça da Nicarágua em relação ao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w:t>
      </w:r>
    </w:p>
  </w:footnote>
  <w:footnote w:id="35">
    <w:p w:rsidR="00C60678" w:rsidRPr="00126E5B"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sentença nº 11 de 27 de fevereiro de 1997 da Sala Constitucional da Corte Suprema de Justiça da Nicarágua em relação ao recurso de amparo interposto em 11 de setembro de 1995 perante o Tribunal de Apelações de Matagalpa por María Luisa Acosta Castellón, em seu caráter de procuradora especial de Jaime Castillo Felipe, Marcial Salomón Sebastián e Siriaco Castillo Fenley, Síndico e Suplentes do Síndico, respectivamente, da Comunidade Mayagna Awas Tingni, contra Milton Caldera Cardenal, Ministro do MARENA, Roberto Araquistain, Diretor do Serviço Florestal Nacional do MARENA, e Alejandro Láinez, Direção de Administração Florestal Nacional do MARENA; e comunicação judicial de notificação de 28 de fevereiro de 1997 mediante a qual se notifica a María Luisa Acosta Castellón a sentença nº 11 de 27 de fevereiro de 1997 da Sala Constitucional da Corte Suprema de Justiça da Nicará</w:t>
      </w:r>
      <w:r w:rsidR="00126E5B">
        <w:rPr>
          <w:rFonts w:ascii="Verdana" w:hAnsi="Verdana"/>
          <w:sz w:val="16"/>
          <w:szCs w:val="16"/>
        </w:rPr>
        <w:t>gua.</w:t>
      </w:r>
    </w:p>
  </w:footnote>
  <w:footnote w:id="36">
    <w:p w:rsidR="00C60678" w:rsidRPr="00126E5B"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00126E5B">
        <w:rPr>
          <w:rFonts w:ascii="Verdana" w:hAnsi="Verdana"/>
          <w:sz w:val="16"/>
          <w:szCs w:val="16"/>
        </w:rPr>
        <w:t xml:space="preserve">sentença nº 12, de 27 de fevereiro </w:t>
      </w:r>
      <w:r w:rsidRPr="00F45F6C">
        <w:rPr>
          <w:rFonts w:ascii="Verdana" w:hAnsi="Verdana"/>
          <w:sz w:val="16"/>
          <w:szCs w:val="16"/>
        </w:rPr>
        <w:t>de 1997 da Sala Constitucional da Corte Suprema de Justiça da Nicarágua em relação ao recurso de amparo interposto em 29 de março de 1997 perante o Tribunal de Apelações de Matagalpa por Alfonso Smith Warman e Humberto Thompson Sang, membros do Conselho Regional da RAAN, contra Claudio Gutiérrez, Ministro do MARENA, e Alejandro Láinez, Direção de Administração Florestal Nacional do</w:t>
      </w:r>
      <w:r w:rsidR="00126E5B">
        <w:rPr>
          <w:rFonts w:ascii="Verdana" w:hAnsi="Verdana"/>
          <w:sz w:val="16"/>
          <w:szCs w:val="16"/>
        </w:rPr>
        <w:t xml:space="preserve"> MARENA.</w:t>
      </w:r>
    </w:p>
  </w:footnote>
  <w:footnote w:id="37">
    <w:p w:rsidR="00C60678" w:rsidRPr="00126E5B"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00126E5B">
        <w:rPr>
          <w:rFonts w:ascii="Verdana" w:hAnsi="Verdana"/>
          <w:sz w:val="16"/>
          <w:szCs w:val="16"/>
        </w:rPr>
        <w:t xml:space="preserve">sentença nº 12, de 27 de fevereiro </w:t>
      </w:r>
      <w:r w:rsidRPr="00F45F6C">
        <w:rPr>
          <w:rFonts w:ascii="Verdana" w:hAnsi="Verdana"/>
          <w:sz w:val="16"/>
          <w:szCs w:val="16"/>
        </w:rPr>
        <w:t>de 1997 da Sala Constitucional da Corte Suprema de Justiça da Nicarágua em relação ao recurso de amparo interposto em 29 de março de 1997 perante o Tribunal de Apelações de Matagalpa por Alfonso Smith Warman e Humberto Thompson Sang, membros do Conselho Regional da RAAN, contra Claudio Gutiérrez, Ministro do MARENA, e Alejandro Láinez, Direção de Administração Florestal Nacional do MARENA.</w:t>
      </w:r>
    </w:p>
  </w:footnote>
  <w:footnote w:id="38">
    <w:p w:rsidR="00C60678" w:rsidRPr="00126E5B"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00126E5B">
        <w:rPr>
          <w:rFonts w:ascii="Verdana" w:hAnsi="Verdana"/>
          <w:sz w:val="16"/>
          <w:szCs w:val="16"/>
        </w:rPr>
        <w:t xml:space="preserve">sentença nº 12, de 27 de fevereiro </w:t>
      </w:r>
      <w:r w:rsidRPr="00F45F6C">
        <w:rPr>
          <w:rFonts w:ascii="Verdana" w:hAnsi="Verdana"/>
          <w:sz w:val="16"/>
          <w:szCs w:val="16"/>
        </w:rPr>
        <w:t>de 1997 da Sala Constitucional da Corte Suprema de Justiça da Nicarágua em relação ao recurso de amparo interposto em 29 de março de 1997 perante o Tribunal de Apelações de Matagalpa por Alfonso Smith Warman e Humberto Thompson Sang, membros do Conselho Regional da RAAN, contra Claudio Gutiérrez, Ministro do MARENA, e Alejandro Láinez, Direção de Administração Florestal Nacional do</w:t>
      </w:r>
      <w:r w:rsidR="00126E5B">
        <w:rPr>
          <w:rFonts w:ascii="Verdana" w:hAnsi="Verdana"/>
          <w:sz w:val="16"/>
          <w:szCs w:val="16"/>
        </w:rPr>
        <w:t xml:space="preserve"> MARENA.</w:t>
      </w:r>
    </w:p>
  </w:footnote>
  <w:footnote w:id="39">
    <w:p w:rsidR="00C60678" w:rsidRPr="00067F5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Solicitação de execução da </w:t>
      </w:r>
      <w:r w:rsidR="00126E5B">
        <w:rPr>
          <w:rFonts w:ascii="Verdana" w:hAnsi="Verdana"/>
          <w:sz w:val="16"/>
          <w:szCs w:val="16"/>
        </w:rPr>
        <w:t xml:space="preserve">sentença nº 12, de 27 de fevereiro </w:t>
      </w:r>
      <w:r w:rsidRPr="00F45F6C">
        <w:rPr>
          <w:rFonts w:ascii="Verdana" w:hAnsi="Verdana"/>
          <w:sz w:val="16"/>
          <w:szCs w:val="16"/>
        </w:rPr>
        <w:t>de 1997 da Sala Constitucional da Corte Suprema de Justiça da Nicarágua, apresentada em 22 de janeiro de 1998 perante a Secretaria da Sala Constitucional da Corte Suprema de Justiça da Nicarágua por Humberto Thompson Sang, membro do Conselho Regional da RAAN; e resolução de 3 de fevereiro de 1998 da Sala Constitucional da Corte Suprema de Justiça da Nicarágua, em relação à solicitação de execução de sentença apresentada por Humberto Thompson Sang, membro do Conselho Regional da RAAN.</w:t>
      </w:r>
    </w:p>
  </w:footnote>
  <w:footnote w:id="40">
    <w:p w:rsidR="00C60678" w:rsidRPr="00067F5C"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resolução de 3 de fevereiro de 1998 da Sala Constitucional da Corte Suprema de Justiça da Nicarágua, em relação à solicitação de execução de sentença apresentada por Humberto Thompson Sang, membro do Conselho Regional d</w:t>
      </w:r>
      <w:r w:rsidR="00067F5C">
        <w:rPr>
          <w:rFonts w:ascii="Verdana" w:hAnsi="Verdana"/>
          <w:sz w:val="16"/>
          <w:szCs w:val="16"/>
        </w:rPr>
        <w:t>a RAAN.</w:t>
      </w:r>
    </w:p>
  </w:footnote>
  <w:footnote w:id="41">
    <w:p w:rsidR="00C60678" w:rsidRPr="00067F5C"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ofício MN-RSV-02-0113.98 de 16 de fevereiro de 1998 de Roberto Stadhagen Vogl, Ministro do MARENA, encaminhado a Michael Kang, Gerente General da SOLCARSA.</w:t>
      </w:r>
    </w:p>
  </w:footnote>
  <w:footnote w:id="42">
    <w:p w:rsidR="00C60678" w:rsidRPr="00067F5C"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proofErr w:type="gramStart"/>
      <w:r w:rsidR="0026644B" w:rsidRPr="0026644B">
        <w:rPr>
          <w:rFonts w:ascii="Verdana" w:hAnsi="Verdana"/>
          <w:sz w:val="16"/>
          <w:szCs w:val="16"/>
          <w:lang w:val="pt-BR"/>
        </w:rPr>
        <w:t>decis</w:t>
      </w:r>
      <w:r w:rsidR="0026644B">
        <w:rPr>
          <w:rFonts w:ascii="Verdana" w:hAnsi="Verdana"/>
          <w:sz w:val="16"/>
          <w:szCs w:val="16"/>
          <w:lang w:val="pt-BR"/>
        </w:rPr>
        <w:t>ão</w:t>
      </w:r>
      <w:proofErr w:type="gramEnd"/>
      <w:r w:rsidRPr="00F45F6C">
        <w:rPr>
          <w:rFonts w:ascii="Verdana" w:hAnsi="Verdana"/>
          <w:sz w:val="16"/>
          <w:szCs w:val="16"/>
        </w:rPr>
        <w:t xml:space="preserve"> de 12 de novembro de 1997 do Tribunal de Apelações da Sexta Região, Sala Civil, Matagalpa, em relação ao recurso de amparo interposto por María Luisa Acosta Castellón, em representação de Benevicto Salomón,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 Direção de Administração Florestal Estatal do MARENA; e de Efraín Osejo e outros, membros da Junta Diretiva do Conselho Regional da RAAN; e sentença nº 163 de 14 de outubro de 1998 da Sala Constitucional da Corte Suprema de Justiça da Nicarágua em relação ao recurso de amparo interposto por María Luisa Acosta Castellón, em representação de Benevicto Salomón Mclean,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 Direção de Administração Florestal Estatal do MARENA, e de Efraín Osejo e outros, membros da Junta Diretiva do Conselho Regional d</w:t>
      </w:r>
      <w:r w:rsidR="00067F5C">
        <w:rPr>
          <w:rFonts w:ascii="Verdana" w:hAnsi="Verdana"/>
          <w:sz w:val="16"/>
          <w:szCs w:val="16"/>
        </w:rPr>
        <w:t>a RAAN.</w:t>
      </w:r>
    </w:p>
  </w:footnote>
  <w:footnote w:id="43">
    <w:p w:rsidR="00C60678" w:rsidRPr="00067F5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proofErr w:type="gramStart"/>
      <w:r w:rsidR="0026644B" w:rsidRPr="0026644B">
        <w:rPr>
          <w:rFonts w:ascii="Verdana" w:hAnsi="Verdana"/>
          <w:sz w:val="16"/>
          <w:szCs w:val="16"/>
          <w:lang w:val="pt-BR"/>
        </w:rPr>
        <w:t>decis</w:t>
      </w:r>
      <w:r w:rsidR="0026644B">
        <w:rPr>
          <w:rFonts w:ascii="Verdana" w:hAnsi="Verdana"/>
          <w:sz w:val="16"/>
          <w:szCs w:val="16"/>
          <w:lang w:val="pt-BR"/>
        </w:rPr>
        <w:t>ão</w:t>
      </w:r>
      <w:proofErr w:type="gramEnd"/>
      <w:r w:rsidRPr="00F45F6C">
        <w:rPr>
          <w:rFonts w:ascii="Verdana" w:hAnsi="Verdana"/>
          <w:sz w:val="16"/>
          <w:szCs w:val="16"/>
        </w:rPr>
        <w:t xml:space="preserve"> de 12 de novembro de 1997 do Tribunal de Apelações da Sexta Região, Sala Civil, Matagalpa, em relação ao recurso de amparo interposto por María Luisa Acosta Castellón, em representação de Benevicto Salomón,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 Direção de Administração Florestal Estatal do MARENA, e de Efraín Osejo e outros, membros da Junta Diretiva do Conselho Regional da RAAN.</w:t>
      </w:r>
    </w:p>
  </w:footnote>
  <w:footnote w:id="44">
    <w:p w:rsidR="00C60678" w:rsidRPr="00067F5C"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sentença nº 163 de 14 de outubro de 1998 da Sala Constitucional da Corte Suprema de Justiça da Nicarágua em relação ao recurso de amparo interposto por María Luisa Acosta Castellón, em representação de Benevicto Salomón Mclean, Siriaco Castillo Fenley, Orlando Salomón Felipe e Jotam López Espinoza, em nome próprio e como Síndico, Coordenador, Juiz do Povo e Responsável pela Floresta, respectivamente, da Comunidade Awas Tingni, contra Roberto Stadhagen Vogl, Ministro do MARENA; Roberto Araquistain, Diretor Geral do Serviço Florestal Nacional do MARENA, Jorge Brooks Saldaña, Direção de Administração Florestal Estatal do MARENA, e de Efraín Osejo e outros, membros da Junta Diretiva do Conselho Regional da RAAN.</w:t>
      </w:r>
    </w:p>
  </w:footnote>
  <w:footnote w:id="45">
    <w:p w:rsidR="00C60678" w:rsidRPr="00067F5C" w:rsidRDefault="00C60678" w:rsidP="00E771D3">
      <w:pPr>
        <w:pStyle w:val="Textonotapie"/>
        <w:spacing w:after="120"/>
        <w:jc w:val="both"/>
        <w:rPr>
          <w:rFonts w:ascii="Verdana" w:hAnsi="Verdana"/>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w:t>
      </w:r>
      <w:r w:rsidRPr="00F45F6C">
        <w:rPr>
          <w:rFonts w:ascii="Verdana" w:hAnsi="Verdana"/>
          <w:sz w:val="16"/>
          <w:szCs w:val="16"/>
        </w:rPr>
        <w:t xml:space="preserve">testemunho de Marco Antonio Centeno Caffarena prestado perante a Corte Interamericana em 17 de novembro de 2000; testemunho de Charles Rice Hale prestado perante a Corte Interamericana em 17 de novembro de 2000; testemunho de Galio Claudio Enrique Gurdián Gurdián prestado perante a Corte Interamericana em 17 de novembro de 2000; e “Diagnóstico geral sobre a posse da terra nas comunidades indígenas da Costa Atlântica. Contexto geral”, de março de 1998, realizado pelo </w:t>
      </w:r>
      <w:r w:rsidRPr="00F45F6C">
        <w:rPr>
          <w:rFonts w:ascii="Verdana" w:hAnsi="Verdana"/>
          <w:i/>
          <w:sz w:val="16"/>
          <w:szCs w:val="16"/>
        </w:rPr>
        <w:t>Central American and Caribbean Research Council</w:t>
      </w:r>
      <w:r w:rsidR="00067F5C">
        <w:rPr>
          <w:rFonts w:ascii="Verdana" w:hAnsi="Verdana"/>
          <w:sz w:val="16"/>
          <w:szCs w:val="16"/>
        </w:rPr>
        <w:t>.</w:t>
      </w:r>
    </w:p>
  </w:footnote>
  <w:footnote w:id="46">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escrito de 13 de outubro de 1998 de Arnoldo Alemán Lacayo, Presidente da República da Nicarágua, encaminhado a Noel Pereira Majano, Secretário da Assembleia Nacional; projeto de lei de 13 de outubro de 1998 intitulado “Lei Orgânica que Regula o Regime de Propriedade Comunal das Comunidades Indígenas da Costa Atlântica e BOSAWAS”; e ofício DSP-E-9200-10-98 de 13 de outubro de 1998 do Secretário da Presidência da República da Nicarágua, encaminhado a Noel Pereira Majano, Secretário da Assembleia Nacional.</w:t>
      </w:r>
    </w:p>
  </w:footnote>
  <w:footnote w:id="47">
    <w:p w:rsidR="00C60678" w:rsidRPr="00067F5C"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Caso do Tribunal Constitucional, </w:t>
      </w:r>
      <w:r w:rsidRPr="00F45F6C">
        <w:rPr>
          <w:rFonts w:ascii="Verdana" w:hAnsi="Verdana"/>
          <w:sz w:val="16"/>
          <w:szCs w:val="16"/>
        </w:rPr>
        <w:t xml:space="preserve">par. 89, nota 10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Garantias Judiciais em Estados de Emergência</w:t>
      </w:r>
      <w:r w:rsidRPr="00F45F6C">
        <w:rPr>
          <w:rFonts w:ascii="Verdana" w:hAnsi="Verdana"/>
          <w:sz w:val="16"/>
          <w:szCs w:val="16"/>
        </w:rPr>
        <w:t xml:space="preserve"> (artigos 27.2, 25 e 8 da Convenção Americana sobre Direitos Humanos). Parecer Consultivo OC-9/87 de 6 de outubro de 1987</w:t>
      </w:r>
      <w:r w:rsidR="00C4409E">
        <w:rPr>
          <w:rFonts w:ascii="Verdana" w:hAnsi="Verdana"/>
          <w:sz w:val="16"/>
          <w:szCs w:val="16"/>
        </w:rPr>
        <w:t xml:space="preserve">. Série A </w:t>
      </w:r>
      <w:r w:rsidRPr="00F45F6C">
        <w:rPr>
          <w:rFonts w:ascii="Verdana" w:hAnsi="Verdana"/>
          <w:sz w:val="16"/>
          <w:szCs w:val="16"/>
        </w:rPr>
        <w:t xml:space="preserve">Nº </w:t>
      </w:r>
      <w:r w:rsidR="00067F5C">
        <w:rPr>
          <w:rFonts w:ascii="Verdana" w:hAnsi="Verdana"/>
          <w:sz w:val="16"/>
          <w:szCs w:val="16"/>
        </w:rPr>
        <w:t>9, par. 23.</w:t>
      </w:r>
    </w:p>
  </w:footnote>
  <w:footnote w:id="48">
    <w:p w:rsidR="00C60678" w:rsidRPr="00067F5C" w:rsidRDefault="00C60678" w:rsidP="00E771D3">
      <w:pPr>
        <w:pStyle w:val="Textonotapie"/>
        <w:spacing w:after="120"/>
        <w:jc w:val="both"/>
        <w:rPr>
          <w:rFonts w:ascii="Verdana" w:hAnsi="Verdana"/>
          <w:i/>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Caso Ivcher Bronstein, </w:t>
      </w:r>
      <w:r w:rsidRPr="00F45F6C">
        <w:rPr>
          <w:rFonts w:ascii="Verdana" w:hAnsi="Verdana"/>
          <w:sz w:val="16"/>
          <w:szCs w:val="16"/>
        </w:rPr>
        <w:t xml:space="preserve">par. 135,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Caso do Tribunal Constitucional,</w:t>
      </w:r>
      <w:r w:rsidRPr="00F45F6C">
        <w:rPr>
          <w:rFonts w:ascii="Verdana" w:hAnsi="Verdana"/>
          <w:sz w:val="16"/>
          <w:szCs w:val="16"/>
        </w:rPr>
        <w:t xml:space="preserve"> par. 90, nota 10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Caso Bámaca Velásquez.</w:t>
      </w:r>
      <w:r w:rsidRPr="00F45F6C">
        <w:rPr>
          <w:rFonts w:ascii="Verdana" w:hAnsi="Verdana"/>
          <w:sz w:val="16"/>
          <w:szCs w:val="16"/>
        </w:rPr>
        <w:t xml:space="preserve"> Sentença de 25 de novembro de 2000</w:t>
      </w:r>
      <w:r w:rsidR="00DD1C8B">
        <w:rPr>
          <w:rFonts w:ascii="Verdana" w:hAnsi="Verdana"/>
          <w:sz w:val="16"/>
          <w:szCs w:val="16"/>
        </w:rPr>
        <w:t xml:space="preserve">. Série C </w:t>
      </w:r>
      <w:r w:rsidRPr="00F45F6C">
        <w:rPr>
          <w:rFonts w:ascii="Verdana" w:hAnsi="Verdana"/>
          <w:sz w:val="16"/>
          <w:szCs w:val="16"/>
        </w:rPr>
        <w:t>Nº 70, par. 191.</w:t>
      </w:r>
    </w:p>
  </w:footnote>
  <w:footnote w:id="49">
    <w:p w:rsidR="00C60678" w:rsidRPr="00067F5C"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ab/>
      </w:r>
      <w:r w:rsidRPr="00F45F6C">
        <w:rPr>
          <w:rFonts w:ascii="Verdana" w:hAnsi="Verdana"/>
          <w:i/>
          <w:sz w:val="16"/>
          <w:szCs w:val="16"/>
        </w:rPr>
        <w:t>cf. Caso Ivcher Bronstein</w:t>
      </w:r>
      <w:r w:rsidRPr="00F45F6C">
        <w:rPr>
          <w:rFonts w:ascii="Verdana" w:hAnsi="Verdana"/>
          <w:sz w:val="16"/>
          <w:szCs w:val="16"/>
        </w:rPr>
        <w:t xml:space="preserve">, par. 136,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Caso Cantoral Benavides.</w:t>
      </w:r>
      <w:r w:rsidRPr="00F45F6C">
        <w:rPr>
          <w:rFonts w:ascii="Verdana" w:hAnsi="Verdana"/>
          <w:sz w:val="16"/>
          <w:szCs w:val="16"/>
        </w:rPr>
        <w:t xml:space="preserve"> Sentença de 18 de agosto de 2000</w:t>
      </w:r>
      <w:r w:rsidR="00DD1C8B">
        <w:rPr>
          <w:rFonts w:ascii="Verdana" w:hAnsi="Verdana"/>
          <w:sz w:val="16"/>
          <w:szCs w:val="16"/>
        </w:rPr>
        <w:t xml:space="preserve">. Série C </w:t>
      </w:r>
      <w:r w:rsidRPr="00F45F6C">
        <w:rPr>
          <w:rFonts w:ascii="Verdana" w:hAnsi="Verdana"/>
          <w:sz w:val="16"/>
          <w:szCs w:val="16"/>
        </w:rPr>
        <w:t xml:space="preserve">Nº 69, par. 164; e </w:t>
      </w:r>
      <w:r w:rsidRPr="00F45F6C">
        <w:rPr>
          <w:rFonts w:ascii="Verdana" w:hAnsi="Verdana"/>
          <w:i/>
          <w:sz w:val="16"/>
          <w:szCs w:val="16"/>
        </w:rPr>
        <w:t xml:space="preserve">Caso Durand e Ugarte, </w:t>
      </w:r>
      <w:r w:rsidRPr="00F45F6C">
        <w:rPr>
          <w:rFonts w:ascii="Verdana" w:hAnsi="Verdana"/>
          <w:sz w:val="16"/>
          <w:szCs w:val="16"/>
        </w:rPr>
        <w:t xml:space="preserve">par. 102, nota 12 </w:t>
      </w:r>
      <w:r w:rsidRPr="00F45F6C">
        <w:rPr>
          <w:rFonts w:ascii="Verdana" w:hAnsi="Verdana"/>
          <w:i/>
          <w:sz w:val="16"/>
          <w:szCs w:val="16"/>
        </w:rPr>
        <w:t>supra</w:t>
      </w:r>
      <w:r w:rsidRPr="00F45F6C">
        <w:rPr>
          <w:rFonts w:ascii="Verdana" w:hAnsi="Verdana"/>
          <w:sz w:val="16"/>
          <w:szCs w:val="16"/>
        </w:rPr>
        <w:t>.</w:t>
      </w:r>
    </w:p>
  </w:footnote>
  <w:footnote w:id="50">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Caso do Tribunal Constitucional, </w:t>
      </w:r>
      <w:r w:rsidRPr="00F45F6C">
        <w:rPr>
          <w:rFonts w:ascii="Verdana" w:hAnsi="Verdana"/>
          <w:sz w:val="16"/>
          <w:szCs w:val="16"/>
        </w:rPr>
        <w:t xml:space="preserve">par. 90, nota 10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Bámaca Velásquez, </w:t>
      </w:r>
      <w:r w:rsidRPr="00F45F6C">
        <w:rPr>
          <w:rFonts w:ascii="Verdana" w:hAnsi="Verdana"/>
          <w:sz w:val="16"/>
          <w:szCs w:val="16"/>
        </w:rPr>
        <w:t xml:space="preserve">par. 191, nota 47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Caso Cesti Hurtado</w:t>
      </w:r>
      <w:r w:rsidRPr="00F45F6C">
        <w:rPr>
          <w:rFonts w:ascii="Verdana" w:hAnsi="Verdana"/>
          <w:sz w:val="16"/>
          <w:szCs w:val="16"/>
        </w:rPr>
        <w:t>. Sentença de 29 de setembro de 1999</w:t>
      </w:r>
      <w:r w:rsidR="00DD1C8B">
        <w:rPr>
          <w:rFonts w:ascii="Verdana" w:hAnsi="Verdana"/>
          <w:sz w:val="16"/>
          <w:szCs w:val="16"/>
        </w:rPr>
        <w:t xml:space="preserve">. Série C </w:t>
      </w:r>
      <w:r w:rsidRPr="00F45F6C">
        <w:rPr>
          <w:rFonts w:ascii="Verdana" w:hAnsi="Verdana"/>
          <w:sz w:val="16"/>
          <w:szCs w:val="16"/>
        </w:rPr>
        <w:t>Nº 56, par. 125.</w:t>
      </w:r>
    </w:p>
  </w:footnote>
  <w:footnote w:id="51">
    <w:p w:rsidR="00C60678" w:rsidRPr="00C4409E"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Caso do Tribunal Constitucional, </w:t>
      </w:r>
      <w:r w:rsidRPr="00F45F6C">
        <w:rPr>
          <w:rFonts w:ascii="Verdana" w:hAnsi="Verdana"/>
          <w:sz w:val="16"/>
          <w:szCs w:val="16"/>
        </w:rPr>
        <w:t xml:space="preserve">par. 91, nota 10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Garantias Judiciais em Estados de Emergência</w:t>
      </w:r>
      <w:r w:rsidRPr="00F45F6C">
        <w:rPr>
          <w:rFonts w:ascii="Verdana" w:hAnsi="Verdana"/>
          <w:sz w:val="16"/>
          <w:szCs w:val="16"/>
        </w:rPr>
        <w:t xml:space="preserve"> (artigos 27.2, 25 e 8 da Convenção Americana sobre Direitos Humanos), par. 23, nota 46 </w:t>
      </w:r>
      <w:r w:rsidRPr="00F45F6C">
        <w:rPr>
          <w:rFonts w:ascii="Verdana" w:hAnsi="Verdana"/>
          <w:i/>
          <w:sz w:val="16"/>
          <w:szCs w:val="16"/>
        </w:rPr>
        <w:t>supra</w:t>
      </w:r>
      <w:r w:rsidRPr="00F45F6C">
        <w:rPr>
          <w:rFonts w:ascii="Verdana" w:hAnsi="Verdana"/>
          <w:sz w:val="16"/>
          <w:szCs w:val="16"/>
        </w:rPr>
        <w:t>.</w:t>
      </w:r>
    </w:p>
  </w:footnote>
  <w:footnote w:id="52">
    <w:p w:rsidR="00C60678" w:rsidRPr="00C4409E" w:rsidRDefault="00C60678" w:rsidP="00E771D3">
      <w:pPr>
        <w:pStyle w:val="Textonotapie"/>
        <w:spacing w:after="120"/>
        <w:jc w:val="both"/>
        <w:rPr>
          <w:rFonts w:ascii="Verdana" w:hAnsi="Verdana"/>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 xml:space="preserve">Caso do Tribunal Constitucional, </w:t>
      </w:r>
      <w:r w:rsidRPr="00F45F6C">
        <w:rPr>
          <w:rFonts w:ascii="Verdana" w:hAnsi="Verdana"/>
          <w:sz w:val="16"/>
          <w:szCs w:val="16"/>
        </w:rPr>
        <w:t xml:space="preserve">par. 93, nota 10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Caso Paniagua Morales e outros</w:t>
      </w:r>
      <w:r w:rsidRPr="00F45F6C">
        <w:rPr>
          <w:rFonts w:ascii="Verdana" w:hAnsi="Verdana"/>
          <w:sz w:val="16"/>
          <w:szCs w:val="16"/>
        </w:rPr>
        <w:t>. Sentença de 8 de março de 1998</w:t>
      </w:r>
      <w:r w:rsidR="00DD1C8B">
        <w:rPr>
          <w:rFonts w:ascii="Verdana" w:hAnsi="Verdana"/>
          <w:sz w:val="16"/>
          <w:szCs w:val="16"/>
        </w:rPr>
        <w:t xml:space="preserve">. Série C </w:t>
      </w:r>
      <w:r w:rsidRPr="00F45F6C">
        <w:rPr>
          <w:rFonts w:ascii="Verdana" w:hAnsi="Verdana"/>
          <w:sz w:val="16"/>
          <w:szCs w:val="16"/>
        </w:rPr>
        <w:t xml:space="preserve">Nº 37, par. 152; e </w:t>
      </w:r>
      <w:r w:rsidRPr="00F45F6C">
        <w:rPr>
          <w:rFonts w:ascii="Verdana" w:hAnsi="Verdana"/>
          <w:i/>
          <w:sz w:val="16"/>
          <w:szCs w:val="16"/>
        </w:rPr>
        <w:t>Caso Genie Lacayo</w:t>
      </w:r>
      <w:r w:rsidRPr="00F45F6C">
        <w:rPr>
          <w:rFonts w:ascii="Verdana" w:hAnsi="Verdana"/>
          <w:sz w:val="16"/>
          <w:szCs w:val="16"/>
        </w:rPr>
        <w:t>. Sentença de 29 de janeiro de 1997</w:t>
      </w:r>
      <w:r w:rsidR="00DD1C8B">
        <w:rPr>
          <w:rFonts w:ascii="Verdana" w:hAnsi="Verdana"/>
          <w:sz w:val="16"/>
          <w:szCs w:val="16"/>
        </w:rPr>
        <w:t xml:space="preserve">. Série C </w:t>
      </w:r>
      <w:r w:rsidRPr="00F45F6C">
        <w:rPr>
          <w:rFonts w:ascii="Verdana" w:hAnsi="Verdana"/>
          <w:sz w:val="16"/>
          <w:szCs w:val="16"/>
        </w:rPr>
        <w:t xml:space="preserve">Nº </w:t>
      </w:r>
      <w:r w:rsidR="00C4409E">
        <w:rPr>
          <w:rFonts w:ascii="Verdana" w:hAnsi="Verdana"/>
          <w:sz w:val="16"/>
          <w:szCs w:val="16"/>
        </w:rPr>
        <w:t>30, par. 77.</w:t>
      </w:r>
    </w:p>
  </w:footnote>
  <w:footnote w:id="53">
    <w:p w:rsidR="00C60678" w:rsidRPr="00C4409E" w:rsidRDefault="00C60678" w:rsidP="00E771D3">
      <w:pPr>
        <w:pStyle w:val="Textonotapie"/>
        <w:spacing w:after="120"/>
        <w:jc w:val="both"/>
        <w:rPr>
          <w:rFonts w:ascii="Verdana" w:hAnsi="Verdana"/>
          <w:sz w:val="16"/>
          <w:szCs w:val="16"/>
          <w:lang w:val="pt-BR"/>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Caso Ivcher Bronstein, </w:t>
      </w:r>
      <w:r w:rsidRPr="00F45F6C">
        <w:rPr>
          <w:rFonts w:ascii="Verdana" w:hAnsi="Verdana"/>
          <w:sz w:val="16"/>
          <w:szCs w:val="16"/>
        </w:rPr>
        <w:t xml:space="preserve">par. 137,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do Tribunal Constitucional, </w:t>
      </w:r>
      <w:r w:rsidRPr="00F45F6C">
        <w:rPr>
          <w:rFonts w:ascii="Verdana" w:hAnsi="Verdana"/>
          <w:sz w:val="16"/>
          <w:szCs w:val="16"/>
        </w:rPr>
        <w:t xml:space="preserve">par. 93, nota 10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Garantias Judiciais em Estados de Emergência</w:t>
      </w:r>
      <w:r w:rsidRPr="00F45F6C">
        <w:rPr>
          <w:rFonts w:ascii="Verdana" w:hAnsi="Verdana"/>
          <w:sz w:val="16"/>
          <w:szCs w:val="16"/>
        </w:rPr>
        <w:t xml:space="preserve"> (artigos 27.2, 25 e 8 da Convenção Americana sobre Direitos Humanos), par. 24, nota 46 </w:t>
      </w:r>
      <w:r w:rsidRPr="00F45F6C">
        <w:rPr>
          <w:rFonts w:ascii="Verdana" w:hAnsi="Verdana"/>
          <w:i/>
          <w:sz w:val="16"/>
          <w:szCs w:val="16"/>
        </w:rPr>
        <w:t>supra</w:t>
      </w:r>
      <w:r w:rsidR="00C4409E">
        <w:rPr>
          <w:rFonts w:ascii="Verdana" w:hAnsi="Verdana"/>
          <w:sz w:val="16"/>
          <w:szCs w:val="16"/>
        </w:rPr>
        <w:t>.</w:t>
      </w:r>
    </w:p>
  </w:footnote>
  <w:footnote w:id="54">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Caso Villagrán Morales e outros </w:t>
      </w:r>
      <w:r w:rsidRPr="00F45F6C">
        <w:rPr>
          <w:rFonts w:ascii="Verdana" w:hAnsi="Verdana"/>
          <w:sz w:val="16"/>
          <w:szCs w:val="16"/>
        </w:rPr>
        <w:t>(</w:t>
      </w:r>
      <w:r w:rsidRPr="00F45F6C">
        <w:rPr>
          <w:rFonts w:ascii="Verdana" w:hAnsi="Verdana"/>
          <w:i/>
          <w:sz w:val="16"/>
          <w:szCs w:val="16"/>
        </w:rPr>
        <w:t>Caso das “Crianças de Rua”</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Sentença de 19 de novembro de 1999</w:t>
      </w:r>
      <w:r w:rsidR="00126E5B">
        <w:rPr>
          <w:rFonts w:ascii="Verdana" w:hAnsi="Verdana"/>
          <w:sz w:val="16"/>
          <w:szCs w:val="16"/>
        </w:rPr>
        <w:t>. Série C</w:t>
      </w:r>
      <w:r w:rsidRPr="00F45F6C">
        <w:rPr>
          <w:rFonts w:ascii="Verdana" w:hAnsi="Verdana"/>
          <w:sz w:val="16"/>
          <w:szCs w:val="16"/>
        </w:rPr>
        <w:t xml:space="preserve"> Nº 63, par. 237; ver também, </w:t>
      </w:r>
      <w:r w:rsidRPr="00F45F6C">
        <w:rPr>
          <w:rFonts w:ascii="Verdana" w:hAnsi="Verdana"/>
          <w:i/>
          <w:sz w:val="16"/>
          <w:szCs w:val="16"/>
        </w:rPr>
        <w:t xml:space="preserve">Caso Ivcher Bronstein, </w:t>
      </w:r>
      <w:r w:rsidRPr="00F45F6C">
        <w:rPr>
          <w:rFonts w:ascii="Verdana" w:hAnsi="Verdana"/>
          <w:sz w:val="16"/>
          <w:szCs w:val="16"/>
        </w:rPr>
        <w:t xml:space="preserve">par. 135, nota 9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 xml:space="preserve">Caso Cantoral Benavides, </w:t>
      </w:r>
      <w:r w:rsidRPr="00F45F6C">
        <w:rPr>
          <w:rFonts w:ascii="Verdana" w:hAnsi="Verdana"/>
          <w:sz w:val="16"/>
          <w:szCs w:val="16"/>
        </w:rPr>
        <w:t xml:space="preserve">par. 163, nota 48 </w:t>
      </w:r>
      <w:r w:rsidRPr="00F45F6C">
        <w:rPr>
          <w:rFonts w:ascii="Verdana" w:hAnsi="Verdana"/>
          <w:i/>
          <w:sz w:val="16"/>
          <w:szCs w:val="16"/>
        </w:rPr>
        <w:t>supra</w:t>
      </w:r>
      <w:r w:rsidRPr="00F45F6C">
        <w:rPr>
          <w:rFonts w:ascii="Verdana" w:hAnsi="Verdana"/>
          <w:sz w:val="16"/>
          <w:szCs w:val="16"/>
        </w:rPr>
        <w:t>.</w:t>
      </w:r>
    </w:p>
  </w:footnote>
  <w:footnote w:id="55">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Caso Baena Ricardo e outros, </w:t>
      </w:r>
      <w:r w:rsidRPr="00F45F6C">
        <w:rPr>
          <w:rFonts w:ascii="Verdana" w:hAnsi="Verdana"/>
          <w:sz w:val="16"/>
          <w:szCs w:val="16"/>
        </w:rPr>
        <w:t xml:space="preserve">par. 180, nota 9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 xml:space="preserve">Caso Cantoral Benavides, </w:t>
      </w:r>
      <w:r w:rsidRPr="00F45F6C">
        <w:rPr>
          <w:rFonts w:ascii="Verdana" w:hAnsi="Verdana"/>
          <w:sz w:val="16"/>
          <w:szCs w:val="16"/>
        </w:rPr>
        <w:t xml:space="preserve">par. 178, nota 48 </w:t>
      </w:r>
      <w:r w:rsidRPr="00F45F6C">
        <w:rPr>
          <w:rFonts w:ascii="Verdana" w:hAnsi="Verdana"/>
          <w:i/>
          <w:sz w:val="16"/>
          <w:szCs w:val="16"/>
        </w:rPr>
        <w:t>supra</w:t>
      </w:r>
      <w:r w:rsidRPr="00F45F6C">
        <w:rPr>
          <w:rFonts w:ascii="Verdana" w:hAnsi="Verdana"/>
          <w:sz w:val="16"/>
          <w:szCs w:val="16"/>
        </w:rPr>
        <w:t>.</w:t>
      </w:r>
    </w:p>
  </w:footnote>
  <w:footnote w:id="56">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sz w:val="16"/>
          <w:szCs w:val="16"/>
        </w:rPr>
        <w:t>Os textos do artigo 21 da Convenção em espanhol, inglês, português e francês não têm uma variação substancial. A única diferença é que a epígrafe do texto em inglês diz “Direito de Propriedade” (</w:t>
      </w:r>
      <w:r w:rsidRPr="00F45F6C">
        <w:rPr>
          <w:rFonts w:ascii="Verdana" w:hAnsi="Verdana"/>
          <w:i/>
          <w:sz w:val="16"/>
          <w:szCs w:val="16"/>
        </w:rPr>
        <w:t>Right to Property</w:t>
      </w:r>
      <w:r w:rsidRPr="00F45F6C">
        <w:rPr>
          <w:rFonts w:ascii="Verdana" w:hAnsi="Verdana"/>
          <w:sz w:val="16"/>
          <w:szCs w:val="16"/>
        </w:rPr>
        <w:t>) enquanto que nos outros três idiomas dizem “Direito à Propriedade Privada”.</w:t>
      </w:r>
    </w:p>
  </w:footnote>
  <w:footnote w:id="57">
    <w:p w:rsidR="00C60678" w:rsidRPr="00C4409E" w:rsidRDefault="00C60678" w:rsidP="00E771D3">
      <w:pPr>
        <w:pStyle w:val="Textonotapie"/>
        <w:spacing w:after="120"/>
        <w:jc w:val="both"/>
        <w:rPr>
          <w:rFonts w:ascii="Verdana" w:hAnsi="Verdana"/>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 xml:space="preserve">cf. Caso Ivcher Bronstein, </w:t>
      </w:r>
      <w:r w:rsidRPr="00F45F6C">
        <w:rPr>
          <w:rFonts w:ascii="Verdana" w:hAnsi="Verdana"/>
          <w:sz w:val="16"/>
          <w:szCs w:val="16"/>
        </w:rPr>
        <w:t>par. 122, nota 9</w:t>
      </w:r>
      <w:r w:rsidRPr="00F45F6C">
        <w:rPr>
          <w:rFonts w:ascii="Verdana" w:hAnsi="Verdana"/>
          <w:i/>
          <w:sz w:val="16"/>
          <w:szCs w:val="16"/>
        </w:rPr>
        <w:t xml:space="preserve"> supra</w:t>
      </w:r>
      <w:r w:rsidRPr="00F45F6C">
        <w:rPr>
          <w:rFonts w:ascii="Verdana" w:hAnsi="Verdana"/>
          <w:sz w:val="16"/>
          <w:szCs w:val="16"/>
        </w:rPr>
        <w:t>.</w:t>
      </w:r>
    </w:p>
  </w:footnote>
  <w:footnote w:id="58">
    <w:p w:rsidR="00C60678" w:rsidRPr="00C4409E"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sz w:val="16"/>
          <w:szCs w:val="16"/>
        </w:rPr>
        <w:t>No estudo e consideração dos trabalhos preparatórios da Convenção Americana sobre Direitos Humanos, o direito à propriedade privada foi um dos mais extensamente debatidos no seio da Comissão. Desde o primeiro momento as delegações manifestaram a existência de três correntes ideológicas, a saber: uma tendência a suprimir do texto do projeto toda referência ao direito de propriedade; outra tendência a consagrar o texto do projeto tal e como fora apresentado, e uma terceira posição conciliadora que reforçaria a função social da propriedade. Finalmente prevaleceu o critério de incorporar o direito de propriedade no texto d</w:t>
      </w:r>
      <w:r w:rsidR="00C4409E">
        <w:rPr>
          <w:rFonts w:ascii="Verdana" w:hAnsi="Verdana"/>
          <w:sz w:val="16"/>
          <w:szCs w:val="16"/>
        </w:rPr>
        <w:t xml:space="preserve">a Convenção. </w:t>
      </w:r>
    </w:p>
  </w:footnote>
  <w:footnote w:id="59">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 O Direito à Informação sobre a Assistência Consular no Âmbito das Garantias do Devido Processo Legal.</w:t>
      </w:r>
      <w:r w:rsidRPr="00F45F6C">
        <w:rPr>
          <w:rFonts w:ascii="Verdana" w:hAnsi="Verdana"/>
          <w:sz w:val="16"/>
          <w:szCs w:val="16"/>
        </w:rPr>
        <w:t xml:space="preserve"> Parecer Consultivo OC-16/99 de 1° de outubro de 1999</w:t>
      </w:r>
      <w:r w:rsidR="00C4409E">
        <w:rPr>
          <w:rFonts w:ascii="Verdana" w:hAnsi="Verdana"/>
          <w:sz w:val="16"/>
          <w:szCs w:val="16"/>
        </w:rPr>
        <w:t xml:space="preserve">. Série A </w:t>
      </w:r>
      <w:r w:rsidRPr="00F45F6C">
        <w:rPr>
          <w:rFonts w:ascii="Verdana" w:hAnsi="Verdana"/>
          <w:sz w:val="16"/>
          <w:szCs w:val="16"/>
        </w:rPr>
        <w:t>Nº 16, par. 114.</w:t>
      </w:r>
    </w:p>
  </w:footnote>
  <w:footnote w:id="60">
    <w:p w:rsidR="00C60678" w:rsidRPr="00382334" w:rsidRDefault="00C60678" w:rsidP="00E771D3">
      <w:pPr>
        <w:pStyle w:val="Textonotapie"/>
        <w:spacing w:after="120"/>
        <w:jc w:val="both"/>
        <w:rPr>
          <w:rFonts w:ascii="Verdana" w:hAnsi="Verdana"/>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 xml:space="preserve">Caso Ivcher Bronstein, </w:t>
      </w:r>
      <w:r w:rsidRPr="00F45F6C">
        <w:rPr>
          <w:rFonts w:ascii="Verdana" w:hAnsi="Verdana"/>
          <w:sz w:val="16"/>
          <w:szCs w:val="16"/>
        </w:rPr>
        <w:t xml:space="preserve">par. 168,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Caso do Tribunal Constitucional,</w:t>
      </w:r>
      <w:r w:rsidRPr="00F45F6C">
        <w:rPr>
          <w:rFonts w:ascii="Verdana" w:hAnsi="Verdana"/>
          <w:sz w:val="16"/>
          <w:szCs w:val="16"/>
        </w:rPr>
        <w:t xml:space="preserve"> par. 109, nota 10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 xml:space="preserve">Caso Bámaca Velásquez, </w:t>
      </w:r>
      <w:r w:rsidRPr="00F45F6C">
        <w:rPr>
          <w:rFonts w:ascii="Verdana" w:hAnsi="Verdana"/>
          <w:sz w:val="16"/>
          <w:szCs w:val="16"/>
        </w:rPr>
        <w:t xml:space="preserve">par. 210, nota 47 </w:t>
      </w:r>
      <w:r w:rsidRPr="00F45F6C">
        <w:rPr>
          <w:rFonts w:ascii="Verdana" w:hAnsi="Verdana"/>
          <w:i/>
          <w:sz w:val="16"/>
          <w:szCs w:val="16"/>
        </w:rPr>
        <w:t>supra</w:t>
      </w:r>
      <w:r w:rsidRPr="00F45F6C">
        <w:rPr>
          <w:rFonts w:ascii="Verdana" w:hAnsi="Verdana"/>
          <w:sz w:val="16"/>
          <w:szCs w:val="16"/>
        </w:rPr>
        <w:t>.</w:t>
      </w:r>
    </w:p>
  </w:footnote>
  <w:footnote w:id="61">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i/>
          <w:sz w:val="16"/>
          <w:szCs w:val="16"/>
        </w:rPr>
        <w:t xml:space="preserve"> Caso Durand e Ugarte, </w:t>
      </w:r>
      <w:r w:rsidRPr="00F45F6C">
        <w:rPr>
          <w:rFonts w:ascii="Verdana" w:hAnsi="Verdana"/>
          <w:sz w:val="16"/>
          <w:szCs w:val="16"/>
        </w:rPr>
        <w:t xml:space="preserve">par. 84, nota 12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Castillo Petruzzi e Outros. </w:t>
      </w:r>
      <w:r w:rsidRPr="00F45F6C">
        <w:rPr>
          <w:rFonts w:ascii="Verdana" w:hAnsi="Verdana"/>
          <w:sz w:val="16"/>
          <w:szCs w:val="16"/>
        </w:rPr>
        <w:t>Sentença de 30 de maio de 1999</w:t>
      </w:r>
      <w:r w:rsidR="00DD1C8B">
        <w:rPr>
          <w:rFonts w:ascii="Verdana" w:hAnsi="Verdana"/>
          <w:sz w:val="16"/>
          <w:szCs w:val="16"/>
        </w:rPr>
        <w:t xml:space="preserve">. Série C </w:t>
      </w:r>
      <w:r w:rsidRPr="00F45F6C">
        <w:rPr>
          <w:rFonts w:ascii="Verdana" w:hAnsi="Verdana"/>
          <w:sz w:val="16"/>
          <w:szCs w:val="16"/>
        </w:rPr>
        <w:t xml:space="preserve">Nº 52, par. 178; e </w:t>
      </w:r>
      <w:r w:rsidRPr="00F45F6C">
        <w:rPr>
          <w:rFonts w:ascii="Verdana" w:hAnsi="Verdana"/>
          <w:i/>
          <w:sz w:val="16"/>
          <w:szCs w:val="16"/>
        </w:rPr>
        <w:t xml:space="preserve">Caso Blake. </w:t>
      </w:r>
      <w:r w:rsidRPr="00F45F6C">
        <w:rPr>
          <w:rFonts w:ascii="Verdana" w:hAnsi="Verdana"/>
          <w:sz w:val="16"/>
          <w:szCs w:val="16"/>
        </w:rPr>
        <w:t>Sentença de 24 de janeiro de 1998</w:t>
      </w:r>
      <w:r w:rsidR="00DD1C8B">
        <w:rPr>
          <w:rFonts w:ascii="Verdana" w:hAnsi="Verdana"/>
          <w:sz w:val="16"/>
          <w:szCs w:val="16"/>
        </w:rPr>
        <w:t xml:space="preserve">. Série C </w:t>
      </w:r>
      <w:r w:rsidRPr="00F45F6C">
        <w:rPr>
          <w:rFonts w:ascii="Verdana" w:hAnsi="Verdana"/>
          <w:sz w:val="16"/>
          <w:szCs w:val="16"/>
        </w:rPr>
        <w:t>Nº 36, par. 112.</w:t>
      </w:r>
    </w:p>
  </w:footnote>
  <w:footnote w:id="62">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 xml:space="preserve">Caso Baena Ricardo e outros, </w:t>
      </w:r>
      <w:r w:rsidRPr="00F45F6C">
        <w:rPr>
          <w:rFonts w:ascii="Verdana" w:hAnsi="Verdana"/>
          <w:sz w:val="16"/>
          <w:szCs w:val="16"/>
        </w:rPr>
        <w:t xml:space="preserve">par. 50,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Caso “A Última Tentação de Cristo”</w:t>
      </w:r>
      <w:r w:rsidRPr="00F45F6C">
        <w:rPr>
          <w:rFonts w:ascii="Verdana" w:hAnsi="Verdana"/>
          <w:sz w:val="16"/>
          <w:szCs w:val="16"/>
        </w:rPr>
        <w:t>(</w:t>
      </w:r>
      <w:r w:rsidRPr="00F45F6C">
        <w:rPr>
          <w:rFonts w:ascii="Verdana" w:hAnsi="Verdana"/>
          <w:i/>
          <w:sz w:val="16"/>
          <w:szCs w:val="16"/>
        </w:rPr>
        <w:t>Olmedo Bustos e outros</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Resolução da Corte Interamericana de Direitos Humanos de 9 de novembro de 1999, considerando nº 4; </w:t>
      </w:r>
      <w:r w:rsidRPr="00F45F6C">
        <w:rPr>
          <w:rFonts w:ascii="Verdana" w:hAnsi="Verdana"/>
          <w:i/>
          <w:sz w:val="16"/>
          <w:szCs w:val="16"/>
        </w:rPr>
        <w:t xml:space="preserve">Caso Castillo Páez, Exceções Preliminares. </w:t>
      </w:r>
      <w:r w:rsidRPr="00F45F6C">
        <w:rPr>
          <w:rFonts w:ascii="Verdana" w:hAnsi="Verdana"/>
          <w:sz w:val="16"/>
          <w:szCs w:val="16"/>
        </w:rPr>
        <w:t>Sentença de 30 de janeiro de 1996</w:t>
      </w:r>
      <w:r w:rsidR="00DD1C8B">
        <w:rPr>
          <w:rFonts w:ascii="Verdana" w:hAnsi="Verdana"/>
          <w:sz w:val="16"/>
          <w:szCs w:val="16"/>
        </w:rPr>
        <w:t xml:space="preserve">. Série C </w:t>
      </w:r>
      <w:r w:rsidRPr="00F45F6C">
        <w:rPr>
          <w:rFonts w:ascii="Verdana" w:hAnsi="Verdana"/>
          <w:sz w:val="16"/>
          <w:szCs w:val="16"/>
        </w:rPr>
        <w:t xml:space="preserve">Nº 24, par. 34; </w:t>
      </w:r>
      <w:r w:rsidRPr="00F45F6C">
        <w:rPr>
          <w:rFonts w:ascii="Verdana" w:hAnsi="Verdana"/>
          <w:i/>
          <w:sz w:val="16"/>
          <w:szCs w:val="16"/>
        </w:rPr>
        <w:t xml:space="preserve">Caso Paniagua Morales e Outros, Exceções Preliminares. </w:t>
      </w:r>
      <w:r w:rsidRPr="00F45F6C">
        <w:rPr>
          <w:rFonts w:ascii="Verdana" w:hAnsi="Verdana"/>
          <w:sz w:val="16"/>
          <w:szCs w:val="16"/>
        </w:rPr>
        <w:t>Sentença de 25 de janeiro de 1996</w:t>
      </w:r>
      <w:r w:rsidR="00DD1C8B">
        <w:rPr>
          <w:rFonts w:ascii="Verdana" w:hAnsi="Verdana"/>
          <w:sz w:val="16"/>
          <w:szCs w:val="16"/>
        </w:rPr>
        <w:t xml:space="preserve">. Série C </w:t>
      </w:r>
      <w:r w:rsidRPr="00F45F6C">
        <w:rPr>
          <w:rFonts w:ascii="Verdana" w:hAnsi="Verdana"/>
          <w:sz w:val="16"/>
          <w:szCs w:val="16"/>
        </w:rPr>
        <w:t xml:space="preserve">Nº 23, pars. 38, 40-42; e </w:t>
      </w:r>
      <w:r w:rsidRPr="00F45F6C">
        <w:rPr>
          <w:rFonts w:ascii="Verdana" w:hAnsi="Verdana"/>
          <w:i/>
          <w:sz w:val="16"/>
          <w:szCs w:val="16"/>
        </w:rPr>
        <w:t xml:space="preserve">Caso Cayara, Exceções Preliminares. </w:t>
      </w:r>
      <w:r w:rsidRPr="00F45F6C">
        <w:rPr>
          <w:rFonts w:ascii="Verdana" w:hAnsi="Verdana"/>
          <w:sz w:val="16"/>
          <w:szCs w:val="16"/>
        </w:rPr>
        <w:t>Sentença de 3 de fevereiro de 1993</w:t>
      </w:r>
      <w:r w:rsidR="00DD1C8B">
        <w:rPr>
          <w:rFonts w:ascii="Verdana" w:hAnsi="Verdana"/>
          <w:sz w:val="16"/>
          <w:szCs w:val="16"/>
        </w:rPr>
        <w:t xml:space="preserve">. Série C </w:t>
      </w:r>
      <w:r w:rsidRPr="00F45F6C">
        <w:rPr>
          <w:rFonts w:ascii="Verdana" w:hAnsi="Verdana"/>
          <w:sz w:val="16"/>
          <w:szCs w:val="16"/>
        </w:rPr>
        <w:t>Nº 14, pars. 42 e 63.</w:t>
      </w:r>
    </w:p>
  </w:footnote>
  <w:footnote w:id="63">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 xml:space="preserve">Caso “A Última Tentação de Cristo”, </w:t>
      </w:r>
      <w:r w:rsidRPr="00F45F6C">
        <w:rPr>
          <w:rFonts w:ascii="Verdana" w:hAnsi="Verdana"/>
          <w:sz w:val="16"/>
          <w:szCs w:val="16"/>
        </w:rPr>
        <w:t xml:space="preserve">considerando nº 4, nota 61 </w:t>
      </w:r>
      <w:r w:rsidRPr="00F45F6C">
        <w:rPr>
          <w:rFonts w:ascii="Verdana" w:hAnsi="Verdana"/>
          <w:i/>
          <w:sz w:val="16"/>
          <w:szCs w:val="16"/>
        </w:rPr>
        <w:t>supra</w:t>
      </w:r>
      <w:r w:rsidRPr="00F45F6C">
        <w:rPr>
          <w:rFonts w:ascii="Verdana" w:hAnsi="Verdana"/>
          <w:sz w:val="16"/>
          <w:szCs w:val="16"/>
        </w:rPr>
        <w:t>.</w:t>
      </w:r>
    </w:p>
  </w:footnote>
  <w:footnote w:id="64">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Caso Cesti Hurtado.</w:t>
      </w:r>
      <w:r w:rsidRPr="00F45F6C">
        <w:rPr>
          <w:rFonts w:ascii="Verdana" w:hAnsi="Verdana"/>
          <w:sz w:val="16"/>
          <w:szCs w:val="16"/>
        </w:rPr>
        <w:t xml:space="preserve"> </w:t>
      </w:r>
      <w:r w:rsidRPr="00F45F6C">
        <w:rPr>
          <w:rFonts w:ascii="Verdana" w:hAnsi="Verdana"/>
          <w:i/>
          <w:sz w:val="16"/>
          <w:szCs w:val="16"/>
        </w:rPr>
        <w:t xml:space="preserve">Reparações, </w:t>
      </w:r>
      <w:r w:rsidRPr="00F45F6C">
        <w:rPr>
          <w:rFonts w:ascii="Verdana" w:hAnsi="Verdana"/>
          <w:sz w:val="16"/>
          <w:szCs w:val="16"/>
        </w:rPr>
        <w:t xml:space="preserve">par. 32, nota 13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das “Crianças de Rua” </w:t>
      </w:r>
      <w:r w:rsidRPr="00F45F6C">
        <w:rPr>
          <w:rFonts w:ascii="Verdana" w:hAnsi="Verdana"/>
          <w:sz w:val="16"/>
          <w:szCs w:val="16"/>
        </w:rPr>
        <w:t>(</w:t>
      </w:r>
      <w:r w:rsidRPr="00F45F6C">
        <w:rPr>
          <w:rFonts w:ascii="Verdana" w:hAnsi="Verdana"/>
          <w:i/>
          <w:sz w:val="16"/>
          <w:szCs w:val="16"/>
        </w:rPr>
        <w:t>Villagrán Morales e outros vs. Guatemala</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w:t>
      </w:r>
      <w:r w:rsidRPr="00F45F6C">
        <w:rPr>
          <w:rFonts w:ascii="Verdana" w:hAnsi="Verdana"/>
          <w:i/>
          <w:sz w:val="16"/>
          <w:szCs w:val="16"/>
        </w:rPr>
        <w:t>Reparações</w:t>
      </w:r>
      <w:r w:rsidRPr="00F45F6C">
        <w:rPr>
          <w:rFonts w:ascii="Verdana" w:hAnsi="Verdana"/>
          <w:sz w:val="16"/>
          <w:szCs w:val="16"/>
        </w:rPr>
        <w:t xml:space="preserve">, par. 59, nota 11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da” Panel Blanca” </w:t>
      </w:r>
      <w:r w:rsidRPr="00F45F6C">
        <w:rPr>
          <w:rFonts w:ascii="Verdana" w:hAnsi="Verdana"/>
          <w:sz w:val="16"/>
          <w:szCs w:val="16"/>
        </w:rPr>
        <w:t>(</w:t>
      </w:r>
      <w:r w:rsidRPr="00F45F6C">
        <w:rPr>
          <w:rFonts w:ascii="Verdana" w:hAnsi="Verdana"/>
          <w:i/>
          <w:sz w:val="16"/>
          <w:szCs w:val="16"/>
        </w:rPr>
        <w:t>Paniagua Morales e outros vs. Guatemala</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w:t>
      </w:r>
      <w:r w:rsidRPr="00F45F6C">
        <w:rPr>
          <w:rFonts w:ascii="Verdana" w:hAnsi="Verdana"/>
          <w:i/>
          <w:sz w:val="16"/>
          <w:szCs w:val="16"/>
        </w:rPr>
        <w:t>Reparações</w:t>
      </w:r>
      <w:r w:rsidRPr="00F45F6C">
        <w:rPr>
          <w:rFonts w:ascii="Verdana" w:hAnsi="Verdana"/>
          <w:sz w:val="16"/>
          <w:szCs w:val="16"/>
        </w:rPr>
        <w:t xml:space="preserve">, par. 75, nota 13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Ivcher Bronstein, </w:t>
      </w:r>
      <w:r w:rsidRPr="00F45F6C">
        <w:rPr>
          <w:rFonts w:ascii="Verdana" w:hAnsi="Verdana"/>
          <w:sz w:val="16"/>
          <w:szCs w:val="16"/>
        </w:rPr>
        <w:t xml:space="preserve">par. 177,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Baena Ricardo e outros, </w:t>
      </w:r>
      <w:r w:rsidRPr="00F45F6C">
        <w:rPr>
          <w:rFonts w:ascii="Verdana" w:hAnsi="Verdana"/>
          <w:sz w:val="16"/>
          <w:szCs w:val="16"/>
        </w:rPr>
        <w:t xml:space="preserve">par. 201,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Caso do Tribunal Constitucional</w:t>
      </w:r>
      <w:r w:rsidRPr="00F45F6C">
        <w:rPr>
          <w:rFonts w:ascii="Verdana" w:hAnsi="Verdana"/>
          <w:sz w:val="16"/>
          <w:szCs w:val="16"/>
        </w:rPr>
        <w:t xml:space="preserve">, par. 118, nota 10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Suárez Rosero. Reparações </w:t>
      </w:r>
      <w:r w:rsidRPr="00F45F6C">
        <w:rPr>
          <w:rFonts w:ascii="Verdana" w:hAnsi="Verdana"/>
          <w:sz w:val="16"/>
          <w:szCs w:val="16"/>
        </w:rPr>
        <w:t>(artigo 63.1 da Convenção Americana sobre Direitos Humanos). Sentença de 20 de janeiro de 1999</w:t>
      </w:r>
      <w:r w:rsidR="00DD1C8B">
        <w:rPr>
          <w:rFonts w:ascii="Verdana" w:hAnsi="Verdana"/>
          <w:sz w:val="16"/>
          <w:szCs w:val="16"/>
        </w:rPr>
        <w:t xml:space="preserve">. Série C </w:t>
      </w:r>
      <w:r w:rsidRPr="00F45F6C">
        <w:rPr>
          <w:rFonts w:ascii="Verdana" w:hAnsi="Verdana"/>
          <w:sz w:val="16"/>
          <w:szCs w:val="16"/>
        </w:rPr>
        <w:t xml:space="preserve">Nº 44, par. 40; </w:t>
      </w:r>
      <w:r w:rsidRPr="00F45F6C">
        <w:rPr>
          <w:rFonts w:ascii="Verdana" w:hAnsi="Verdana"/>
          <w:i/>
          <w:sz w:val="16"/>
          <w:szCs w:val="16"/>
        </w:rPr>
        <w:t xml:space="preserve">Caso Loayza Tamaio. Reparações </w:t>
      </w:r>
      <w:r w:rsidRPr="00F45F6C">
        <w:rPr>
          <w:rFonts w:ascii="Verdana" w:hAnsi="Verdana"/>
          <w:sz w:val="16"/>
          <w:szCs w:val="16"/>
        </w:rPr>
        <w:t>(Artigo 63.1 da Convenção Americana sobre Direitos Humanos), Sentença de 27 de novembro de 1998</w:t>
      </w:r>
      <w:r w:rsidR="00DD1C8B">
        <w:rPr>
          <w:rFonts w:ascii="Verdana" w:hAnsi="Verdana"/>
          <w:sz w:val="16"/>
          <w:szCs w:val="16"/>
        </w:rPr>
        <w:t xml:space="preserve">. Série C </w:t>
      </w:r>
      <w:r w:rsidRPr="00F45F6C">
        <w:rPr>
          <w:rFonts w:ascii="Verdana" w:hAnsi="Verdana"/>
          <w:sz w:val="16"/>
          <w:szCs w:val="16"/>
        </w:rPr>
        <w:t>Nº 42, par. 84</w:t>
      </w:r>
      <w:r w:rsidRPr="00F45F6C">
        <w:rPr>
          <w:rFonts w:ascii="Verdana" w:hAnsi="Verdana"/>
          <w:i/>
          <w:sz w:val="16"/>
          <w:szCs w:val="16"/>
        </w:rPr>
        <w:t>; Caso Caballero Delgado e Santana. Reparações</w:t>
      </w:r>
      <w:r w:rsidRPr="00F45F6C">
        <w:rPr>
          <w:rFonts w:ascii="Verdana" w:hAnsi="Verdana"/>
          <w:sz w:val="16"/>
          <w:szCs w:val="16"/>
        </w:rPr>
        <w:t xml:space="preserve"> (artigo 63.1 da Convenção Americana sobre Direitos Humanos). Sentença de 29 de janeiro de 1997</w:t>
      </w:r>
      <w:r w:rsidR="00DD1C8B">
        <w:rPr>
          <w:rFonts w:ascii="Verdana" w:hAnsi="Verdana"/>
          <w:sz w:val="16"/>
          <w:szCs w:val="16"/>
        </w:rPr>
        <w:t xml:space="preserve">. Série C </w:t>
      </w:r>
      <w:r w:rsidRPr="00F45F6C">
        <w:rPr>
          <w:rFonts w:ascii="Verdana" w:hAnsi="Verdana"/>
          <w:sz w:val="16"/>
          <w:szCs w:val="16"/>
        </w:rPr>
        <w:t xml:space="preserve">Nº 31, par. 15; </w:t>
      </w:r>
      <w:r w:rsidRPr="00F45F6C">
        <w:rPr>
          <w:rFonts w:ascii="Verdana" w:hAnsi="Verdana"/>
          <w:i/>
          <w:sz w:val="16"/>
          <w:szCs w:val="16"/>
        </w:rPr>
        <w:t>Caso Neira Alegría e Outros. Reparações</w:t>
      </w:r>
      <w:r w:rsidRPr="00F45F6C">
        <w:rPr>
          <w:rFonts w:ascii="Verdana" w:hAnsi="Verdana"/>
          <w:sz w:val="16"/>
          <w:szCs w:val="16"/>
        </w:rPr>
        <w:t xml:space="preserve"> (artigo 63.1 da Convenção Americana sobre Direitos Humanos). Sentença de 19 de setembro de 1996</w:t>
      </w:r>
      <w:r w:rsidR="00DD1C8B">
        <w:rPr>
          <w:rFonts w:ascii="Verdana" w:hAnsi="Verdana"/>
          <w:sz w:val="16"/>
          <w:szCs w:val="16"/>
        </w:rPr>
        <w:t xml:space="preserve">. Série C </w:t>
      </w:r>
      <w:r w:rsidRPr="00F45F6C">
        <w:rPr>
          <w:rFonts w:ascii="Verdana" w:hAnsi="Verdana"/>
          <w:sz w:val="16"/>
          <w:szCs w:val="16"/>
        </w:rPr>
        <w:t xml:space="preserve">Nº 29, par. 36; </w:t>
      </w:r>
      <w:r w:rsidRPr="00F45F6C">
        <w:rPr>
          <w:rFonts w:ascii="Verdana" w:hAnsi="Verdana"/>
          <w:i/>
          <w:sz w:val="16"/>
          <w:szCs w:val="16"/>
        </w:rPr>
        <w:t>Caso El Amparo. Reparações</w:t>
      </w:r>
      <w:r w:rsidRPr="00F45F6C">
        <w:rPr>
          <w:rFonts w:ascii="Verdana" w:hAnsi="Verdana"/>
          <w:sz w:val="16"/>
          <w:szCs w:val="16"/>
        </w:rPr>
        <w:t xml:space="preserve"> (artigo 63.1 da Convenção Americana sobre Direitos Humanos). Sentença de 14 de setembro de 1996</w:t>
      </w:r>
      <w:r w:rsidR="00DD1C8B">
        <w:rPr>
          <w:rFonts w:ascii="Verdana" w:hAnsi="Verdana"/>
          <w:sz w:val="16"/>
          <w:szCs w:val="16"/>
        </w:rPr>
        <w:t xml:space="preserve">. Série C </w:t>
      </w:r>
      <w:r w:rsidRPr="00F45F6C">
        <w:rPr>
          <w:rFonts w:ascii="Verdana" w:hAnsi="Verdana"/>
          <w:sz w:val="16"/>
          <w:szCs w:val="16"/>
        </w:rPr>
        <w:t xml:space="preserve">Nº 28, par. 14; e </w:t>
      </w:r>
      <w:r w:rsidRPr="00F45F6C">
        <w:rPr>
          <w:rFonts w:ascii="Verdana" w:hAnsi="Verdana"/>
          <w:i/>
          <w:sz w:val="16"/>
          <w:szCs w:val="16"/>
        </w:rPr>
        <w:t>Caso Aloeboetoe e Outros. Reparações</w:t>
      </w:r>
      <w:r w:rsidRPr="00F45F6C">
        <w:rPr>
          <w:rFonts w:ascii="Verdana" w:hAnsi="Verdana"/>
          <w:sz w:val="16"/>
          <w:szCs w:val="16"/>
        </w:rPr>
        <w:t xml:space="preserve"> (artigo 63.1 da Convenção Americana sobre Direitos Humanos). Sentença de 10 de setembro de 1993</w:t>
      </w:r>
      <w:r w:rsidR="00DD1C8B">
        <w:rPr>
          <w:rFonts w:ascii="Verdana" w:hAnsi="Verdana"/>
          <w:sz w:val="16"/>
          <w:szCs w:val="16"/>
        </w:rPr>
        <w:t xml:space="preserve">. Série C </w:t>
      </w:r>
      <w:r w:rsidRPr="00F45F6C">
        <w:rPr>
          <w:rFonts w:ascii="Verdana" w:hAnsi="Verdana"/>
          <w:sz w:val="16"/>
          <w:szCs w:val="16"/>
        </w:rPr>
        <w:t xml:space="preserve">Nº 15, par. 43. Em igual sentido, </w:t>
      </w:r>
      <w:r w:rsidRPr="00F45F6C">
        <w:rPr>
          <w:rFonts w:ascii="Verdana" w:hAnsi="Verdana"/>
          <w:i/>
          <w:sz w:val="16"/>
          <w:szCs w:val="16"/>
        </w:rPr>
        <w:t xml:space="preserve">cf., </w:t>
      </w:r>
      <w:r w:rsidRPr="00F45F6C">
        <w:rPr>
          <w:rStyle w:val="nfasis"/>
          <w:rFonts w:ascii="Verdana" w:hAnsi="Verdana"/>
          <w:sz w:val="16"/>
          <w:szCs w:val="16"/>
        </w:rPr>
        <w:t>Reparation for Injuries Suffered in the Service of the United Nations</w:t>
      </w:r>
      <w:r w:rsidRPr="00F45F6C">
        <w:rPr>
          <w:rFonts w:ascii="Verdana" w:hAnsi="Verdana"/>
          <w:sz w:val="16"/>
          <w:szCs w:val="16"/>
        </w:rPr>
        <w:t>, Advisory Opinion,</w:t>
      </w:r>
      <w:r w:rsidRPr="00F45F6C">
        <w:rPr>
          <w:rFonts w:ascii="Verdana" w:hAnsi="Verdana"/>
          <w:i/>
          <w:sz w:val="16"/>
          <w:szCs w:val="16"/>
        </w:rPr>
        <w:t xml:space="preserve"> I.C.J. Reports </w:t>
      </w:r>
      <w:r w:rsidRPr="00F45F6C">
        <w:rPr>
          <w:rFonts w:ascii="Verdana" w:hAnsi="Verdana"/>
          <w:sz w:val="16"/>
          <w:szCs w:val="16"/>
        </w:rPr>
        <w:t xml:space="preserve">1949, p. 184; </w:t>
      </w:r>
      <w:r w:rsidRPr="00F45F6C">
        <w:rPr>
          <w:rStyle w:val="nfasis"/>
          <w:rFonts w:ascii="Verdana" w:hAnsi="Verdana"/>
          <w:sz w:val="16"/>
          <w:szCs w:val="16"/>
        </w:rPr>
        <w:t>Factory at Chorzów</w:t>
      </w:r>
      <w:r w:rsidRPr="00F45F6C">
        <w:rPr>
          <w:rFonts w:ascii="Verdana" w:hAnsi="Verdana"/>
          <w:sz w:val="16"/>
          <w:szCs w:val="16"/>
        </w:rPr>
        <w:t xml:space="preserve">, Merits, Judgment nº 13, 1928, </w:t>
      </w:r>
      <w:r w:rsidRPr="00F45F6C">
        <w:rPr>
          <w:rFonts w:ascii="Verdana" w:hAnsi="Verdana"/>
          <w:i/>
          <w:sz w:val="16"/>
          <w:szCs w:val="16"/>
        </w:rPr>
        <w:t>P.C.I.J</w:t>
      </w:r>
      <w:r w:rsidRPr="00F45F6C">
        <w:rPr>
          <w:rFonts w:ascii="Verdana" w:hAnsi="Verdana"/>
          <w:sz w:val="16"/>
          <w:szCs w:val="16"/>
        </w:rPr>
        <w:t xml:space="preserve">., </w:t>
      </w:r>
      <w:r w:rsidR="00382334">
        <w:rPr>
          <w:rFonts w:ascii="Verdana" w:hAnsi="Verdana"/>
          <w:sz w:val="16"/>
          <w:szCs w:val="16"/>
        </w:rPr>
        <w:t>Series A</w:t>
      </w:r>
      <w:r w:rsidRPr="00F45F6C">
        <w:rPr>
          <w:rFonts w:ascii="Verdana" w:hAnsi="Verdana"/>
          <w:sz w:val="16"/>
          <w:szCs w:val="16"/>
        </w:rPr>
        <w:t>, nº 17, p. 29; e</w:t>
      </w:r>
      <w:r w:rsidRPr="00F45F6C">
        <w:rPr>
          <w:rStyle w:val="nfasis"/>
          <w:rFonts w:ascii="Verdana" w:hAnsi="Verdana"/>
          <w:sz w:val="16"/>
          <w:szCs w:val="16"/>
        </w:rPr>
        <w:t xml:space="preserve"> Factory at Chorzów</w:t>
      </w:r>
      <w:r w:rsidRPr="00F45F6C">
        <w:rPr>
          <w:rFonts w:ascii="Verdana" w:hAnsi="Verdana"/>
          <w:sz w:val="16"/>
          <w:szCs w:val="16"/>
        </w:rPr>
        <w:t xml:space="preserve">, Jurisdiction, Judgment nº 8, 1927, </w:t>
      </w:r>
      <w:r w:rsidRPr="00F45F6C">
        <w:rPr>
          <w:rFonts w:ascii="Verdana" w:hAnsi="Verdana"/>
          <w:i/>
          <w:sz w:val="16"/>
          <w:szCs w:val="16"/>
        </w:rPr>
        <w:t>P.C.I.J</w:t>
      </w:r>
      <w:r w:rsidRPr="00F45F6C">
        <w:rPr>
          <w:rFonts w:ascii="Verdana" w:hAnsi="Verdana"/>
          <w:sz w:val="16"/>
          <w:szCs w:val="16"/>
        </w:rPr>
        <w:t xml:space="preserve">., </w:t>
      </w:r>
      <w:r w:rsidR="00382334">
        <w:rPr>
          <w:rFonts w:ascii="Verdana" w:hAnsi="Verdana"/>
          <w:sz w:val="16"/>
          <w:szCs w:val="16"/>
        </w:rPr>
        <w:t>Series A</w:t>
      </w:r>
      <w:r w:rsidRPr="00F45F6C">
        <w:rPr>
          <w:rFonts w:ascii="Verdana" w:hAnsi="Verdana"/>
          <w:sz w:val="16"/>
          <w:szCs w:val="16"/>
        </w:rPr>
        <w:t>, nº 9, p. 21.</w:t>
      </w:r>
    </w:p>
  </w:footnote>
  <w:footnote w:id="65">
    <w:p w:rsidR="00C60678" w:rsidRPr="00F45F6C" w:rsidRDefault="00C60678" w:rsidP="00E771D3">
      <w:pPr>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ab/>
      </w:r>
      <w:proofErr w:type="gramStart"/>
      <w:r w:rsidRPr="00F45F6C">
        <w:rPr>
          <w:rFonts w:ascii="Verdana" w:hAnsi="Verdana"/>
          <w:i/>
          <w:sz w:val="16"/>
          <w:szCs w:val="16"/>
        </w:rPr>
        <w:t>cf.</w:t>
      </w:r>
      <w:proofErr w:type="gramEnd"/>
      <w:r w:rsidRPr="00F45F6C">
        <w:rPr>
          <w:rFonts w:ascii="Verdana" w:hAnsi="Verdana"/>
          <w:sz w:val="16"/>
          <w:szCs w:val="16"/>
        </w:rPr>
        <w:t xml:space="preserve"> </w:t>
      </w:r>
      <w:r w:rsidRPr="00F45F6C">
        <w:rPr>
          <w:rFonts w:ascii="Verdana" w:hAnsi="Verdana"/>
          <w:i/>
          <w:sz w:val="16"/>
          <w:szCs w:val="16"/>
        </w:rPr>
        <w:t xml:space="preserve">Caso “A Última Tentação de Cristo” </w:t>
      </w:r>
      <w:r w:rsidRPr="00F45F6C">
        <w:rPr>
          <w:rFonts w:ascii="Verdana" w:hAnsi="Verdana"/>
          <w:sz w:val="16"/>
          <w:szCs w:val="16"/>
        </w:rPr>
        <w:t>(</w:t>
      </w:r>
      <w:r w:rsidRPr="00F45F6C">
        <w:rPr>
          <w:rFonts w:ascii="Verdana" w:hAnsi="Verdana"/>
          <w:i/>
          <w:sz w:val="16"/>
          <w:szCs w:val="16"/>
        </w:rPr>
        <w:t>Olmedo Bustos e outros</w:t>
      </w:r>
      <w:r w:rsidRPr="00F45F6C">
        <w:rPr>
          <w:rFonts w:ascii="Verdana" w:hAnsi="Verdana"/>
          <w:sz w:val="16"/>
          <w:szCs w:val="16"/>
        </w:rPr>
        <w:t>)</w:t>
      </w:r>
      <w:r w:rsidRPr="00F45F6C">
        <w:rPr>
          <w:rFonts w:ascii="Verdana" w:hAnsi="Verdana"/>
          <w:i/>
          <w:sz w:val="16"/>
          <w:szCs w:val="16"/>
        </w:rPr>
        <w:t xml:space="preserve">, </w:t>
      </w:r>
      <w:r w:rsidRPr="00F45F6C">
        <w:rPr>
          <w:rFonts w:ascii="Verdana" w:hAnsi="Verdana"/>
          <w:sz w:val="16"/>
          <w:szCs w:val="16"/>
        </w:rPr>
        <w:t xml:space="preserve">par. 99, nota 9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Caso Suárez Rosero. Reparações</w:t>
      </w:r>
      <w:r w:rsidRPr="00F45F6C">
        <w:rPr>
          <w:rFonts w:ascii="Verdana" w:hAnsi="Verdana"/>
          <w:sz w:val="16"/>
          <w:szCs w:val="16"/>
        </w:rPr>
        <w:t xml:space="preserve">, par. 72, nota 63 </w:t>
      </w:r>
      <w:r w:rsidRPr="00F45F6C">
        <w:rPr>
          <w:rFonts w:ascii="Verdana" w:hAnsi="Verdana"/>
          <w:i/>
          <w:sz w:val="16"/>
          <w:szCs w:val="16"/>
        </w:rPr>
        <w:t>supra</w:t>
      </w:r>
      <w:r w:rsidRPr="00F45F6C">
        <w:rPr>
          <w:rFonts w:ascii="Verdana" w:hAnsi="Verdana"/>
          <w:sz w:val="16"/>
          <w:szCs w:val="16"/>
        </w:rPr>
        <w:t>.</w:t>
      </w:r>
    </w:p>
  </w:footnote>
  <w:footnote w:id="66">
    <w:p w:rsidR="00C60678" w:rsidRPr="00382334" w:rsidRDefault="00C60678" w:rsidP="00E771D3">
      <w:pPr>
        <w:pStyle w:val="Textonotapie"/>
        <w:spacing w:after="120"/>
        <w:jc w:val="both"/>
        <w:rPr>
          <w:rFonts w:ascii="Verdana" w:hAnsi="Verdana"/>
          <w:sz w:val="16"/>
          <w:szCs w:val="16"/>
          <w:lang w:val="en-US"/>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w:t>
      </w:r>
      <w:r w:rsidRPr="00F45F6C">
        <w:rPr>
          <w:rFonts w:ascii="Verdana" w:hAnsi="Verdana"/>
          <w:sz w:val="16"/>
          <w:szCs w:val="16"/>
        </w:rPr>
        <w:t xml:space="preserve"> </w:t>
      </w:r>
      <w:r w:rsidRPr="00F45F6C">
        <w:rPr>
          <w:rFonts w:ascii="Verdana" w:hAnsi="Verdana"/>
          <w:i/>
          <w:sz w:val="16"/>
          <w:szCs w:val="16"/>
        </w:rPr>
        <w:t>Caso Cesti Hurtado.</w:t>
      </w:r>
      <w:r w:rsidRPr="00F45F6C">
        <w:rPr>
          <w:rFonts w:ascii="Verdana" w:hAnsi="Verdana"/>
          <w:sz w:val="16"/>
          <w:szCs w:val="16"/>
        </w:rPr>
        <w:t xml:space="preserve"> </w:t>
      </w:r>
      <w:r w:rsidRPr="00F45F6C">
        <w:rPr>
          <w:rFonts w:ascii="Verdana" w:hAnsi="Verdana"/>
          <w:i/>
          <w:sz w:val="16"/>
          <w:szCs w:val="16"/>
        </w:rPr>
        <w:t>Reparações</w:t>
      </w:r>
      <w:r w:rsidRPr="00F45F6C">
        <w:rPr>
          <w:rFonts w:ascii="Verdana" w:hAnsi="Verdana"/>
          <w:sz w:val="16"/>
          <w:szCs w:val="16"/>
        </w:rPr>
        <w:t xml:space="preserve">, par. 51, nota 13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da” Panel Blanca” </w:t>
      </w:r>
      <w:r w:rsidRPr="00F45F6C">
        <w:rPr>
          <w:rFonts w:ascii="Verdana" w:hAnsi="Verdana"/>
          <w:sz w:val="16"/>
          <w:szCs w:val="16"/>
        </w:rPr>
        <w:t>(</w:t>
      </w:r>
      <w:r w:rsidRPr="00F45F6C">
        <w:rPr>
          <w:rFonts w:ascii="Verdana" w:hAnsi="Verdana"/>
          <w:i/>
          <w:sz w:val="16"/>
          <w:szCs w:val="16"/>
        </w:rPr>
        <w:t>Paniagua Morales e outros vs. Guatemala</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w:t>
      </w:r>
      <w:r w:rsidRPr="00F45F6C">
        <w:rPr>
          <w:rFonts w:ascii="Verdana" w:hAnsi="Verdana"/>
          <w:i/>
          <w:sz w:val="16"/>
          <w:szCs w:val="16"/>
        </w:rPr>
        <w:t>Reparações,</w:t>
      </w:r>
      <w:r w:rsidRPr="00F45F6C">
        <w:rPr>
          <w:rFonts w:ascii="Verdana" w:hAnsi="Verdana"/>
          <w:sz w:val="16"/>
          <w:szCs w:val="16"/>
        </w:rPr>
        <w:t xml:space="preserve"> par. 105, nota 13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Ivcher Bronstein, </w:t>
      </w:r>
      <w:r w:rsidRPr="00F45F6C">
        <w:rPr>
          <w:rFonts w:ascii="Verdana" w:hAnsi="Verdana"/>
          <w:sz w:val="16"/>
          <w:szCs w:val="16"/>
        </w:rPr>
        <w:t xml:space="preserve">par. 183, nota 9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 xml:space="preserve">Caso Baena Ricardo e outros, </w:t>
      </w:r>
      <w:r w:rsidRPr="00F45F6C">
        <w:rPr>
          <w:rFonts w:ascii="Verdana" w:hAnsi="Verdana"/>
          <w:sz w:val="16"/>
          <w:szCs w:val="16"/>
        </w:rPr>
        <w:t xml:space="preserve">par. 206, nota 9 </w:t>
      </w:r>
      <w:r w:rsidRPr="00F45F6C">
        <w:rPr>
          <w:rFonts w:ascii="Verdana" w:hAnsi="Verdana"/>
          <w:i/>
          <w:sz w:val="16"/>
          <w:szCs w:val="16"/>
        </w:rPr>
        <w:t>supra</w:t>
      </w:r>
      <w:r w:rsidRPr="00F45F6C">
        <w:rPr>
          <w:rFonts w:ascii="Verdana" w:hAnsi="Verdana"/>
          <w:sz w:val="16"/>
          <w:szCs w:val="16"/>
        </w:rPr>
        <w:t xml:space="preserve">; e </w:t>
      </w:r>
      <w:r w:rsidRPr="00F45F6C">
        <w:rPr>
          <w:rFonts w:ascii="Verdana" w:hAnsi="Verdana"/>
          <w:i/>
          <w:sz w:val="16"/>
          <w:szCs w:val="16"/>
        </w:rPr>
        <w:t xml:space="preserve">Caso Castillo Páez, Reparações </w:t>
      </w:r>
      <w:r w:rsidRPr="00F45F6C">
        <w:rPr>
          <w:rFonts w:ascii="Verdana" w:hAnsi="Verdana"/>
          <w:sz w:val="16"/>
          <w:szCs w:val="16"/>
        </w:rPr>
        <w:t>(Artigo 63.1 da Convenção Americana sobre Direitos Humanos). Sentença de 27 de novembro de 1998</w:t>
      </w:r>
      <w:r w:rsidR="00126E5B">
        <w:rPr>
          <w:rFonts w:ascii="Verdana" w:hAnsi="Verdana"/>
          <w:sz w:val="16"/>
          <w:szCs w:val="16"/>
        </w:rPr>
        <w:t>. Série C</w:t>
      </w:r>
      <w:r w:rsidRPr="00F45F6C">
        <w:rPr>
          <w:rFonts w:ascii="Verdana" w:hAnsi="Verdana"/>
          <w:sz w:val="16"/>
          <w:szCs w:val="16"/>
        </w:rPr>
        <w:t xml:space="preserve"> Nº 43, par. 84. Também, </w:t>
      </w:r>
      <w:r w:rsidRPr="00F45F6C">
        <w:rPr>
          <w:rFonts w:ascii="Verdana" w:hAnsi="Verdana"/>
          <w:i/>
          <w:sz w:val="16"/>
          <w:szCs w:val="16"/>
        </w:rPr>
        <w:t>cf., inter alia,</w:t>
      </w:r>
      <w:r w:rsidRPr="00F45F6C">
        <w:rPr>
          <w:rFonts w:ascii="Verdana" w:hAnsi="Verdana"/>
          <w:sz w:val="16"/>
          <w:szCs w:val="16"/>
        </w:rPr>
        <w:t xml:space="preserve"> </w:t>
      </w:r>
      <w:r w:rsidRPr="00F45F6C">
        <w:rPr>
          <w:rFonts w:ascii="Verdana" w:hAnsi="Verdana"/>
          <w:i/>
          <w:sz w:val="16"/>
          <w:szCs w:val="16"/>
        </w:rPr>
        <w:t>Eur. Court H.R.,</w:t>
      </w:r>
      <w:r w:rsidRPr="00F45F6C">
        <w:rPr>
          <w:rFonts w:ascii="Verdana" w:hAnsi="Verdana"/>
          <w:sz w:val="16"/>
          <w:szCs w:val="16"/>
        </w:rPr>
        <w:t xml:space="preserve"> </w:t>
      </w:r>
      <w:r w:rsidRPr="00F45F6C">
        <w:rPr>
          <w:rFonts w:ascii="Verdana" w:hAnsi="Verdana"/>
          <w:i/>
          <w:sz w:val="16"/>
          <w:szCs w:val="16"/>
        </w:rPr>
        <w:t xml:space="preserve">Wiesinger Judgment of 30 October 1991, </w:t>
      </w:r>
      <w:r w:rsidR="00382334">
        <w:rPr>
          <w:rFonts w:ascii="Verdana" w:hAnsi="Verdana"/>
          <w:i/>
          <w:sz w:val="16"/>
          <w:szCs w:val="16"/>
        </w:rPr>
        <w:t>Series A</w:t>
      </w:r>
      <w:r w:rsidRPr="00F45F6C">
        <w:rPr>
          <w:rFonts w:ascii="Verdana" w:hAnsi="Verdana"/>
          <w:i/>
          <w:sz w:val="16"/>
          <w:szCs w:val="16"/>
        </w:rPr>
        <w:t xml:space="preserve"> nº 213,</w:t>
      </w:r>
      <w:r w:rsidRPr="00F45F6C">
        <w:rPr>
          <w:rFonts w:ascii="Verdana" w:hAnsi="Verdana"/>
          <w:sz w:val="16"/>
          <w:szCs w:val="16"/>
        </w:rPr>
        <w:t xml:space="preserve"> para. 85</w:t>
      </w:r>
      <w:r w:rsidRPr="00F45F6C">
        <w:rPr>
          <w:rFonts w:ascii="Verdana" w:hAnsi="Verdana"/>
          <w:i/>
          <w:sz w:val="16"/>
          <w:szCs w:val="16"/>
        </w:rPr>
        <w:t xml:space="preserve">; Eur. Court H.R., Kenmmache v. France </w:t>
      </w:r>
      <w:r w:rsidRPr="00F45F6C">
        <w:rPr>
          <w:rFonts w:ascii="Verdana" w:hAnsi="Verdana"/>
          <w:sz w:val="16"/>
          <w:szCs w:val="16"/>
        </w:rPr>
        <w:t>(</w:t>
      </w:r>
      <w:r w:rsidRPr="00F45F6C">
        <w:rPr>
          <w:rFonts w:ascii="Verdana" w:hAnsi="Verdana"/>
          <w:i/>
          <w:sz w:val="16"/>
          <w:szCs w:val="16"/>
        </w:rPr>
        <w:t>Article 50</w:t>
      </w:r>
      <w:r w:rsidRPr="00F45F6C">
        <w:rPr>
          <w:rFonts w:ascii="Verdana" w:hAnsi="Verdana"/>
          <w:sz w:val="16"/>
          <w:szCs w:val="16"/>
        </w:rPr>
        <w:t>)</w:t>
      </w:r>
      <w:r w:rsidRPr="00F45F6C">
        <w:rPr>
          <w:rFonts w:ascii="Verdana" w:hAnsi="Verdana"/>
          <w:i/>
          <w:sz w:val="16"/>
          <w:szCs w:val="16"/>
        </w:rPr>
        <w:t xml:space="preserve"> judgment of 2 November 1993, </w:t>
      </w:r>
      <w:r w:rsidR="00382334">
        <w:rPr>
          <w:rFonts w:ascii="Verdana" w:hAnsi="Verdana"/>
          <w:i/>
          <w:sz w:val="16"/>
          <w:szCs w:val="16"/>
        </w:rPr>
        <w:t>Series A</w:t>
      </w:r>
      <w:r w:rsidRPr="00F45F6C">
        <w:rPr>
          <w:rFonts w:ascii="Verdana" w:hAnsi="Verdana"/>
          <w:i/>
          <w:sz w:val="16"/>
          <w:szCs w:val="16"/>
        </w:rPr>
        <w:t xml:space="preserve"> nº 270-B,</w:t>
      </w:r>
      <w:r w:rsidRPr="00F45F6C">
        <w:rPr>
          <w:rFonts w:ascii="Verdana" w:hAnsi="Verdana"/>
          <w:sz w:val="16"/>
          <w:szCs w:val="16"/>
        </w:rPr>
        <w:t xml:space="preserve"> para. 11</w:t>
      </w:r>
      <w:r w:rsidRPr="00F45F6C">
        <w:rPr>
          <w:rFonts w:ascii="Verdana" w:hAnsi="Verdana"/>
          <w:i/>
          <w:sz w:val="16"/>
          <w:szCs w:val="16"/>
        </w:rPr>
        <w:t xml:space="preserve">; Eur. Court H.R., Mats Jacobsson judgment of 28 June 1990, </w:t>
      </w:r>
      <w:r w:rsidR="00382334">
        <w:rPr>
          <w:rFonts w:ascii="Verdana" w:hAnsi="Verdana"/>
          <w:i/>
          <w:sz w:val="16"/>
          <w:szCs w:val="16"/>
        </w:rPr>
        <w:t>Series A</w:t>
      </w:r>
      <w:r w:rsidRPr="00F45F6C">
        <w:rPr>
          <w:rFonts w:ascii="Verdana" w:hAnsi="Verdana"/>
          <w:i/>
          <w:sz w:val="16"/>
          <w:szCs w:val="16"/>
        </w:rPr>
        <w:t xml:space="preserve"> nº 180-A,</w:t>
      </w:r>
      <w:r w:rsidRPr="00F45F6C">
        <w:rPr>
          <w:rFonts w:ascii="Verdana" w:hAnsi="Verdana"/>
          <w:sz w:val="16"/>
          <w:szCs w:val="16"/>
        </w:rPr>
        <w:t xml:space="preserve"> para. 44;</w:t>
      </w:r>
      <w:r w:rsidRPr="00F45F6C">
        <w:rPr>
          <w:rFonts w:ascii="Verdana" w:hAnsi="Verdana"/>
          <w:i/>
          <w:sz w:val="16"/>
          <w:szCs w:val="16"/>
        </w:rPr>
        <w:t xml:space="preserve"> </w:t>
      </w:r>
      <w:r w:rsidRPr="00F45F6C">
        <w:rPr>
          <w:rFonts w:ascii="Verdana" w:hAnsi="Verdana"/>
          <w:sz w:val="16"/>
          <w:szCs w:val="16"/>
        </w:rPr>
        <w:t>e</w:t>
      </w:r>
      <w:r w:rsidRPr="00F45F6C">
        <w:rPr>
          <w:rFonts w:ascii="Verdana" w:hAnsi="Verdana"/>
          <w:i/>
          <w:sz w:val="16"/>
          <w:szCs w:val="16"/>
        </w:rPr>
        <w:t xml:space="preserve"> Eur. Court H.R., Ferraro judgment of 19 February 1991, </w:t>
      </w:r>
      <w:r w:rsidR="00382334">
        <w:rPr>
          <w:rFonts w:ascii="Verdana" w:hAnsi="Verdana"/>
          <w:i/>
          <w:sz w:val="16"/>
          <w:szCs w:val="16"/>
        </w:rPr>
        <w:t>Series A</w:t>
      </w:r>
      <w:r w:rsidRPr="00F45F6C">
        <w:rPr>
          <w:rFonts w:ascii="Verdana" w:hAnsi="Verdana"/>
          <w:i/>
          <w:sz w:val="16"/>
          <w:szCs w:val="16"/>
        </w:rPr>
        <w:t xml:space="preserve"> nº 197-A,</w:t>
      </w:r>
      <w:r w:rsidRPr="00F45F6C">
        <w:rPr>
          <w:rFonts w:ascii="Verdana" w:hAnsi="Verdana"/>
          <w:sz w:val="16"/>
          <w:szCs w:val="16"/>
        </w:rPr>
        <w:t xml:space="preserve"> para. 21.</w:t>
      </w:r>
    </w:p>
  </w:footnote>
  <w:footnote w:id="67">
    <w:p w:rsidR="00C60678" w:rsidRPr="00F45F6C" w:rsidRDefault="00C60678" w:rsidP="00E771D3">
      <w:pPr>
        <w:pStyle w:val="Textonotapie"/>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r w:rsidRPr="00F45F6C">
        <w:rPr>
          <w:rFonts w:ascii="Verdana" w:hAnsi="Verdana"/>
          <w:i/>
          <w:sz w:val="16"/>
          <w:szCs w:val="16"/>
        </w:rPr>
        <w:t>cf., inter alia,</w:t>
      </w:r>
      <w:r w:rsidRPr="00F45F6C">
        <w:rPr>
          <w:rFonts w:ascii="Verdana" w:hAnsi="Verdana"/>
          <w:sz w:val="16"/>
          <w:szCs w:val="16"/>
        </w:rPr>
        <w:t xml:space="preserve"> </w:t>
      </w:r>
      <w:r w:rsidRPr="00F45F6C">
        <w:rPr>
          <w:rFonts w:ascii="Verdana" w:hAnsi="Verdana"/>
          <w:i/>
          <w:sz w:val="16"/>
          <w:szCs w:val="16"/>
        </w:rPr>
        <w:t xml:space="preserve">Caso das “Crianças de Rua” </w:t>
      </w:r>
      <w:r w:rsidRPr="00F45F6C">
        <w:rPr>
          <w:rFonts w:ascii="Verdana" w:hAnsi="Verdana"/>
          <w:sz w:val="16"/>
          <w:szCs w:val="16"/>
        </w:rPr>
        <w:t>(</w:t>
      </w:r>
      <w:r w:rsidRPr="00F45F6C">
        <w:rPr>
          <w:rFonts w:ascii="Verdana" w:hAnsi="Verdana"/>
          <w:i/>
          <w:sz w:val="16"/>
          <w:szCs w:val="16"/>
        </w:rPr>
        <w:t>Villagrán Morales e outros vs. Guatemala</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w:t>
      </w:r>
      <w:r w:rsidRPr="00F45F6C">
        <w:rPr>
          <w:rFonts w:ascii="Verdana" w:hAnsi="Verdana"/>
          <w:i/>
          <w:sz w:val="16"/>
          <w:szCs w:val="16"/>
        </w:rPr>
        <w:t>Reparações</w:t>
      </w:r>
      <w:r w:rsidRPr="00F45F6C">
        <w:rPr>
          <w:rFonts w:ascii="Verdana" w:hAnsi="Verdana"/>
          <w:sz w:val="16"/>
          <w:szCs w:val="16"/>
        </w:rPr>
        <w:t>,</w:t>
      </w:r>
      <w:r w:rsidRPr="00F45F6C">
        <w:rPr>
          <w:rFonts w:ascii="Verdana" w:hAnsi="Verdana"/>
          <w:i/>
          <w:sz w:val="16"/>
          <w:szCs w:val="16"/>
        </w:rPr>
        <w:t xml:space="preserve"> </w:t>
      </w:r>
      <w:r w:rsidRPr="00F45F6C">
        <w:rPr>
          <w:rFonts w:ascii="Verdana" w:hAnsi="Verdana"/>
          <w:sz w:val="16"/>
          <w:szCs w:val="16"/>
        </w:rPr>
        <w:t xml:space="preserve">par. 103, nota 11 </w:t>
      </w:r>
      <w:r w:rsidRPr="00F45F6C">
        <w:rPr>
          <w:rFonts w:ascii="Verdana" w:hAnsi="Verdana"/>
          <w:i/>
          <w:sz w:val="16"/>
          <w:szCs w:val="16"/>
        </w:rPr>
        <w:t>supra</w:t>
      </w:r>
      <w:r w:rsidRPr="00F45F6C">
        <w:rPr>
          <w:rFonts w:ascii="Verdana" w:hAnsi="Verdana"/>
          <w:sz w:val="16"/>
          <w:szCs w:val="16"/>
        </w:rPr>
        <w:t xml:space="preserve">; </w:t>
      </w:r>
      <w:r w:rsidRPr="00F45F6C">
        <w:rPr>
          <w:rFonts w:ascii="Verdana" w:hAnsi="Verdana"/>
          <w:i/>
          <w:sz w:val="16"/>
          <w:szCs w:val="16"/>
        </w:rPr>
        <w:t>Caso Benavides Cevallos</w:t>
      </w:r>
      <w:r w:rsidRPr="00F45F6C">
        <w:rPr>
          <w:rFonts w:ascii="Verdana" w:hAnsi="Verdana"/>
          <w:sz w:val="16"/>
          <w:szCs w:val="16"/>
        </w:rPr>
        <w:t>. Sentença de 19 de junho de 1998</w:t>
      </w:r>
      <w:r w:rsidR="00DD1C8B">
        <w:rPr>
          <w:rFonts w:ascii="Verdana" w:hAnsi="Verdana"/>
          <w:sz w:val="16"/>
          <w:szCs w:val="16"/>
        </w:rPr>
        <w:t xml:space="preserve">. Série C </w:t>
      </w:r>
      <w:r w:rsidRPr="00F45F6C">
        <w:rPr>
          <w:rFonts w:ascii="Verdana" w:hAnsi="Verdana"/>
          <w:sz w:val="16"/>
          <w:szCs w:val="16"/>
        </w:rPr>
        <w:t xml:space="preserve">Nº 38, par. 48.5; e </w:t>
      </w:r>
      <w:r w:rsidRPr="00F45F6C">
        <w:rPr>
          <w:rFonts w:ascii="Verdana" w:hAnsi="Verdana"/>
          <w:i/>
          <w:sz w:val="16"/>
          <w:szCs w:val="16"/>
        </w:rPr>
        <w:t>Caso Aloeboetoe e outros. Reparações</w:t>
      </w:r>
      <w:r w:rsidRPr="00F45F6C">
        <w:rPr>
          <w:rFonts w:ascii="Verdana" w:hAnsi="Verdana"/>
          <w:sz w:val="16"/>
          <w:szCs w:val="16"/>
        </w:rPr>
        <w:t xml:space="preserve">, pars. 54 a 65, 81 a 84 e 96, nota 63 </w:t>
      </w:r>
      <w:r w:rsidRPr="00F45F6C">
        <w:rPr>
          <w:rFonts w:ascii="Verdana" w:hAnsi="Verdana"/>
          <w:i/>
          <w:sz w:val="16"/>
          <w:szCs w:val="16"/>
        </w:rPr>
        <w:t>supra</w:t>
      </w:r>
      <w:r w:rsidRPr="00F45F6C">
        <w:rPr>
          <w:rFonts w:ascii="Verdana" w:hAnsi="Verdana"/>
          <w:sz w:val="16"/>
          <w:szCs w:val="16"/>
        </w:rPr>
        <w:t>.</w:t>
      </w:r>
    </w:p>
  </w:footnote>
  <w:footnote w:id="68">
    <w:p w:rsidR="00C60678" w:rsidRPr="00F45F6C" w:rsidRDefault="00C60678" w:rsidP="00E771D3">
      <w:pPr>
        <w:tabs>
          <w:tab w:val="left" w:pos="0"/>
        </w:tabs>
        <w:spacing w:after="120"/>
        <w:jc w:val="both"/>
        <w:rPr>
          <w:rFonts w:ascii="Verdana" w:hAnsi="Verdana"/>
          <w:sz w:val="16"/>
          <w:szCs w:val="16"/>
        </w:rPr>
      </w:pPr>
      <w:r w:rsidRPr="00F45F6C">
        <w:rPr>
          <w:rStyle w:val="Refdenotaalpie"/>
          <w:rFonts w:ascii="Verdana" w:hAnsi="Verdana"/>
          <w:sz w:val="16"/>
          <w:szCs w:val="16"/>
        </w:rPr>
        <w:footnoteRef/>
      </w:r>
      <w:r w:rsidRPr="00F45F6C">
        <w:rPr>
          <w:rFonts w:ascii="Verdana" w:hAnsi="Verdana"/>
          <w:sz w:val="16"/>
          <w:szCs w:val="16"/>
        </w:rPr>
        <w:t xml:space="preserve"> </w:t>
      </w:r>
      <w:r w:rsidRPr="00F45F6C">
        <w:rPr>
          <w:rFonts w:ascii="Verdana" w:hAnsi="Verdana"/>
          <w:sz w:val="16"/>
          <w:szCs w:val="16"/>
        </w:rPr>
        <w:tab/>
      </w:r>
      <w:proofErr w:type="gramStart"/>
      <w:r w:rsidRPr="00F45F6C">
        <w:rPr>
          <w:rFonts w:ascii="Verdana" w:hAnsi="Verdana"/>
          <w:sz w:val="16"/>
          <w:szCs w:val="16"/>
        </w:rPr>
        <w:t>cf.</w:t>
      </w:r>
      <w:proofErr w:type="gramEnd"/>
      <w:r w:rsidRPr="00F45F6C">
        <w:rPr>
          <w:rFonts w:ascii="Verdana" w:hAnsi="Verdana"/>
          <w:sz w:val="16"/>
          <w:szCs w:val="16"/>
        </w:rPr>
        <w:t xml:space="preserve"> </w:t>
      </w:r>
      <w:r w:rsidRPr="00F45F6C">
        <w:rPr>
          <w:rFonts w:ascii="Verdana" w:hAnsi="Verdana"/>
          <w:i/>
          <w:sz w:val="16"/>
          <w:szCs w:val="16"/>
        </w:rPr>
        <w:t>Caso Cesti Hurtado</w:t>
      </w:r>
      <w:r w:rsidRPr="00F45F6C">
        <w:rPr>
          <w:rFonts w:ascii="Verdana" w:hAnsi="Verdana"/>
          <w:sz w:val="16"/>
          <w:szCs w:val="16"/>
        </w:rPr>
        <w:t xml:space="preserve">. Reparações, par. 72, nota 13 supra; </w:t>
      </w:r>
      <w:r w:rsidRPr="00F45F6C">
        <w:rPr>
          <w:rFonts w:ascii="Verdana" w:hAnsi="Verdana"/>
          <w:i/>
          <w:sz w:val="16"/>
          <w:szCs w:val="16"/>
        </w:rPr>
        <w:t xml:space="preserve">Caso das “Crianças de Rua” </w:t>
      </w:r>
      <w:r w:rsidRPr="00F45F6C">
        <w:rPr>
          <w:rFonts w:ascii="Verdana" w:hAnsi="Verdana"/>
          <w:sz w:val="16"/>
          <w:szCs w:val="16"/>
        </w:rPr>
        <w:t>(</w:t>
      </w:r>
      <w:r w:rsidRPr="00F45F6C">
        <w:rPr>
          <w:rFonts w:ascii="Verdana" w:hAnsi="Verdana"/>
          <w:i/>
          <w:sz w:val="16"/>
          <w:szCs w:val="16"/>
        </w:rPr>
        <w:t>Villagrán Morales e outros vs. Guatemala</w:t>
      </w:r>
      <w:r w:rsidRPr="00F45F6C">
        <w:rPr>
          <w:rFonts w:ascii="Verdana" w:hAnsi="Verdana"/>
          <w:sz w:val="16"/>
          <w:szCs w:val="16"/>
        </w:rPr>
        <w:t>)</w:t>
      </w:r>
      <w:r w:rsidRPr="00F45F6C">
        <w:rPr>
          <w:rFonts w:ascii="Verdana" w:hAnsi="Verdana"/>
          <w:i/>
          <w:sz w:val="16"/>
          <w:szCs w:val="16"/>
        </w:rPr>
        <w:t>.</w:t>
      </w:r>
      <w:r w:rsidRPr="00F45F6C">
        <w:rPr>
          <w:rFonts w:ascii="Verdana" w:hAnsi="Verdana"/>
          <w:sz w:val="16"/>
          <w:szCs w:val="16"/>
        </w:rPr>
        <w:t xml:space="preserve"> </w:t>
      </w:r>
      <w:proofErr w:type="gramStart"/>
      <w:r w:rsidRPr="00F45F6C">
        <w:rPr>
          <w:rFonts w:ascii="Verdana" w:hAnsi="Verdana"/>
          <w:sz w:val="16"/>
          <w:szCs w:val="16"/>
        </w:rPr>
        <w:t xml:space="preserve">Reparações, par. 109, nota 11 supra; e </w:t>
      </w:r>
      <w:r w:rsidRPr="00F45F6C">
        <w:rPr>
          <w:rFonts w:ascii="Verdana" w:hAnsi="Verdana"/>
          <w:i/>
          <w:sz w:val="16"/>
          <w:szCs w:val="16"/>
        </w:rPr>
        <w:t>Caso da”</w:t>
      </w:r>
      <w:proofErr w:type="gramEnd"/>
      <w:r w:rsidRPr="00F45F6C">
        <w:rPr>
          <w:rFonts w:ascii="Verdana" w:hAnsi="Verdana"/>
          <w:sz w:val="16"/>
          <w:szCs w:val="16"/>
        </w:rPr>
        <w:t xml:space="preserve"> P</w:t>
      </w:r>
      <w:r w:rsidRPr="00F45F6C">
        <w:rPr>
          <w:rFonts w:ascii="Verdana" w:hAnsi="Verdana"/>
          <w:i/>
          <w:sz w:val="16"/>
          <w:szCs w:val="16"/>
        </w:rPr>
        <w:t xml:space="preserve">anel Blanca” </w:t>
      </w:r>
      <w:r w:rsidRPr="00F45F6C">
        <w:rPr>
          <w:rFonts w:ascii="Verdana" w:hAnsi="Verdana"/>
          <w:sz w:val="16"/>
          <w:szCs w:val="16"/>
        </w:rPr>
        <w:t xml:space="preserve">(Paniagua Morales e outros vs. Guatemala). Reparações, par. 213, nota 13 supra. </w:t>
      </w:r>
    </w:p>
  </w:footnote>
  <w:footnote w:id="69">
    <w:p w:rsidR="00C60678" w:rsidRPr="00F45F6C" w:rsidRDefault="00C60678" w:rsidP="00E771D3">
      <w:pPr>
        <w:pStyle w:val="Textodenotaalpie"/>
        <w:tabs>
          <w:tab w:val="left" w:pos="-720"/>
        </w:tabs>
        <w:suppressAutoHyphens/>
        <w:spacing w:after="120"/>
        <w:jc w:val="both"/>
        <w:rPr>
          <w:rFonts w:ascii="Verdana" w:hAnsi="Verdana"/>
          <w:spacing w:val="-3"/>
          <w:sz w:val="16"/>
          <w:szCs w:val="16"/>
          <w:lang w:val="pt-BR"/>
        </w:rPr>
      </w:pPr>
      <w:r w:rsidRPr="00F45F6C">
        <w:rPr>
          <w:rStyle w:val="Refdenotaalpie"/>
          <w:rFonts w:ascii="Verdana" w:hAnsi="Verdana"/>
          <w:spacing w:val="-3"/>
          <w:sz w:val="16"/>
          <w:szCs w:val="16"/>
          <w:lang w:val="es-ES_tradnl"/>
        </w:rPr>
        <w:footnoteRef/>
      </w:r>
      <w:r w:rsidRPr="00F45F6C">
        <w:rPr>
          <w:rFonts w:ascii="Verdana" w:hAnsi="Verdana"/>
          <w:spacing w:val="-3"/>
          <w:sz w:val="16"/>
          <w:szCs w:val="16"/>
          <w:lang w:val="pt-BR"/>
        </w:rPr>
        <w:t xml:space="preserve"> </w:t>
      </w:r>
      <w:r w:rsidRPr="00F45F6C">
        <w:rPr>
          <w:rFonts w:ascii="Verdana" w:hAnsi="Verdana"/>
          <w:spacing w:val="-3"/>
          <w:sz w:val="16"/>
          <w:szCs w:val="16"/>
          <w:lang w:val="pt-BR"/>
        </w:rPr>
        <w:tab/>
        <w:t xml:space="preserve">Testemunho do Senhor Charly Webster Mclean Cornelio, </w:t>
      </w:r>
      <w:r w:rsidRPr="00F45F6C">
        <w:rPr>
          <w:rFonts w:ascii="Verdana" w:hAnsi="Verdana"/>
          <w:i/>
          <w:spacing w:val="-3"/>
          <w:sz w:val="16"/>
          <w:szCs w:val="16"/>
          <w:lang w:val="pt-BR"/>
        </w:rPr>
        <w:t>in</w:t>
      </w:r>
      <w:r w:rsidRPr="00F45F6C">
        <w:rPr>
          <w:rFonts w:ascii="Verdana" w:hAnsi="Verdana"/>
          <w:spacing w:val="-3"/>
          <w:sz w:val="16"/>
          <w:szCs w:val="16"/>
          <w:lang w:val="pt-BR"/>
        </w:rPr>
        <w:t>: Corte Interamericana de Direitos Humanos (</w:t>
      </w:r>
      <w:proofErr w:type="gramStart"/>
      <w:r w:rsidRPr="00F45F6C">
        <w:rPr>
          <w:rFonts w:ascii="Verdana" w:hAnsi="Verdana"/>
          <w:spacing w:val="-3"/>
          <w:sz w:val="16"/>
          <w:szCs w:val="16"/>
          <w:lang w:val="pt-BR"/>
        </w:rPr>
        <w:t>CtIADH</w:t>
      </w:r>
      <w:proofErr w:type="gramEnd"/>
      <w:r w:rsidRPr="00F45F6C">
        <w:rPr>
          <w:rFonts w:ascii="Verdana" w:hAnsi="Verdana"/>
          <w:spacing w:val="-3"/>
          <w:sz w:val="16"/>
          <w:szCs w:val="16"/>
          <w:lang w:val="pt-BR"/>
        </w:rPr>
        <w:t xml:space="preserve">), Caso da </w:t>
      </w:r>
      <w:r w:rsidRPr="00F45F6C">
        <w:rPr>
          <w:rFonts w:ascii="Verdana" w:hAnsi="Verdana"/>
          <w:i/>
          <w:spacing w:val="-3"/>
          <w:sz w:val="16"/>
          <w:szCs w:val="16"/>
          <w:lang w:val="pt-BR"/>
        </w:rPr>
        <w:t xml:space="preserve">Comunidade Mayagna </w:t>
      </w:r>
      <w:r w:rsidRPr="00F45F6C">
        <w:rPr>
          <w:rFonts w:ascii="Verdana" w:hAnsi="Verdana"/>
          <w:spacing w:val="-3"/>
          <w:sz w:val="16"/>
          <w:szCs w:val="16"/>
          <w:lang w:val="pt-BR"/>
        </w:rPr>
        <w:t>(</w:t>
      </w:r>
      <w:r w:rsidRPr="00F45F6C">
        <w:rPr>
          <w:rFonts w:ascii="Verdana" w:hAnsi="Verdana"/>
          <w:i/>
          <w:spacing w:val="-3"/>
          <w:sz w:val="16"/>
          <w:szCs w:val="16"/>
          <w:lang w:val="pt-BR"/>
        </w:rPr>
        <w:t>Sumo</w:t>
      </w:r>
      <w:r w:rsidRPr="00F45F6C">
        <w:rPr>
          <w:rFonts w:ascii="Verdana" w:hAnsi="Verdana"/>
          <w:spacing w:val="-3"/>
          <w:sz w:val="16"/>
          <w:szCs w:val="16"/>
          <w:lang w:val="pt-BR"/>
        </w:rPr>
        <w:t>)</w:t>
      </w:r>
      <w:r w:rsidRPr="00F45F6C">
        <w:rPr>
          <w:rFonts w:ascii="Verdana" w:hAnsi="Verdana"/>
          <w:i/>
          <w:spacing w:val="-3"/>
          <w:sz w:val="16"/>
          <w:szCs w:val="16"/>
          <w:lang w:val="pt-BR"/>
        </w:rPr>
        <w:t xml:space="preserve"> Awas Tingni – Transcrição da Audiência Pública sobre o Mérito. Realizada nos dias 16, 17 e 18 de novembro de 2000 na Sede da Corte, </w:t>
      </w:r>
      <w:r w:rsidRPr="00F45F6C">
        <w:rPr>
          <w:rFonts w:ascii="Verdana" w:hAnsi="Verdana"/>
          <w:spacing w:val="-3"/>
          <w:sz w:val="16"/>
          <w:szCs w:val="16"/>
          <w:lang w:val="pt-BR"/>
        </w:rPr>
        <w:t>pág. 26 (datilografado, circulação interna).</w:t>
      </w:r>
    </w:p>
  </w:footnote>
  <w:footnote w:id="70">
    <w:p w:rsidR="00C60678" w:rsidRPr="00F45F6C" w:rsidRDefault="00C60678" w:rsidP="00E771D3">
      <w:pPr>
        <w:pStyle w:val="Textodenotaalpie"/>
        <w:tabs>
          <w:tab w:val="left" w:pos="-720"/>
        </w:tabs>
        <w:suppressAutoHyphens/>
        <w:spacing w:after="120"/>
        <w:jc w:val="both"/>
        <w:rPr>
          <w:rFonts w:ascii="Verdana" w:hAnsi="Verdana"/>
          <w:sz w:val="16"/>
          <w:szCs w:val="16"/>
          <w:lang w:val="pt-BR"/>
        </w:rPr>
      </w:pPr>
      <w:r w:rsidRPr="00F45F6C">
        <w:rPr>
          <w:rStyle w:val="Refdenotaalpie"/>
          <w:rFonts w:ascii="Verdana" w:hAnsi="Verdana"/>
          <w:spacing w:val="-3"/>
          <w:sz w:val="16"/>
          <w:szCs w:val="16"/>
          <w:lang w:val="pt-BR"/>
        </w:rPr>
        <w:footnoteRef/>
      </w:r>
      <w:r w:rsidRPr="00F45F6C">
        <w:rPr>
          <w:rFonts w:ascii="Verdana" w:hAnsi="Verdana"/>
          <w:spacing w:val="-3"/>
          <w:sz w:val="16"/>
          <w:szCs w:val="16"/>
          <w:lang w:val="pt-BR"/>
        </w:rPr>
        <w:t xml:space="preserve"> </w:t>
      </w:r>
      <w:r w:rsidRPr="00F45F6C">
        <w:rPr>
          <w:rFonts w:ascii="Verdana" w:hAnsi="Verdana"/>
          <w:spacing w:val="-3"/>
          <w:sz w:val="16"/>
          <w:szCs w:val="16"/>
          <w:lang w:val="pt-BR"/>
        </w:rPr>
        <w:tab/>
      </w:r>
      <w:r w:rsidRPr="00F45F6C">
        <w:rPr>
          <w:rFonts w:ascii="Verdana" w:hAnsi="Verdana"/>
          <w:i/>
          <w:spacing w:val="-3"/>
          <w:sz w:val="16"/>
          <w:szCs w:val="16"/>
          <w:lang w:val="pt-BR"/>
        </w:rPr>
        <w:t>Ibid</w:t>
      </w:r>
      <w:r w:rsidRPr="00F45F6C">
        <w:rPr>
          <w:rFonts w:ascii="Verdana" w:hAnsi="Verdana"/>
          <w:spacing w:val="-3"/>
          <w:sz w:val="16"/>
          <w:szCs w:val="16"/>
          <w:lang w:val="pt-BR"/>
        </w:rPr>
        <w:t>., págs. 41-43.</w:t>
      </w:r>
    </w:p>
  </w:footnote>
  <w:footnote w:id="71">
    <w:p w:rsidR="00C60678" w:rsidRPr="00F45F6C" w:rsidRDefault="00C60678" w:rsidP="00E771D3">
      <w:pPr>
        <w:pStyle w:val="Textodenotaalpie"/>
        <w:tabs>
          <w:tab w:val="left" w:pos="-720"/>
        </w:tabs>
        <w:suppressAutoHyphens/>
        <w:spacing w:after="120"/>
        <w:jc w:val="both"/>
        <w:rPr>
          <w:rFonts w:ascii="Verdana" w:hAnsi="Verdana"/>
          <w:sz w:val="16"/>
          <w:szCs w:val="16"/>
          <w:lang w:val="pt-BR"/>
        </w:rPr>
      </w:pPr>
      <w:r w:rsidRPr="00F45F6C">
        <w:rPr>
          <w:rStyle w:val="Refdenotaalpie"/>
          <w:rFonts w:ascii="Verdana" w:hAnsi="Verdana"/>
          <w:spacing w:val="-3"/>
          <w:sz w:val="16"/>
          <w:szCs w:val="16"/>
          <w:lang w:val="pt-BR"/>
        </w:rPr>
        <w:footnoteRef/>
      </w:r>
      <w:r w:rsidRPr="00F45F6C">
        <w:rPr>
          <w:rFonts w:ascii="Verdana" w:hAnsi="Verdana"/>
          <w:spacing w:val="-3"/>
          <w:sz w:val="16"/>
          <w:szCs w:val="16"/>
          <w:lang w:val="pt-BR"/>
        </w:rPr>
        <w:t xml:space="preserve"> </w:t>
      </w:r>
      <w:r w:rsidRPr="00F45F6C">
        <w:rPr>
          <w:rFonts w:ascii="Verdana" w:hAnsi="Verdana"/>
          <w:spacing w:val="-3"/>
          <w:sz w:val="16"/>
          <w:szCs w:val="16"/>
          <w:lang w:val="pt-BR"/>
        </w:rPr>
        <w:tab/>
        <w:t xml:space="preserve">Testemunho do Senhor Theodore Macdonald Jr., antropólogo, </w:t>
      </w:r>
      <w:r w:rsidRPr="00F45F6C">
        <w:rPr>
          <w:rFonts w:ascii="Verdana" w:hAnsi="Verdana"/>
          <w:i/>
          <w:spacing w:val="-3"/>
          <w:sz w:val="16"/>
          <w:szCs w:val="16"/>
          <w:lang w:val="pt-BR"/>
        </w:rPr>
        <w:t>in ibid</w:t>
      </w:r>
      <w:r w:rsidRPr="00F45F6C">
        <w:rPr>
          <w:rFonts w:ascii="Verdana" w:hAnsi="Verdana"/>
          <w:spacing w:val="-3"/>
          <w:sz w:val="16"/>
          <w:szCs w:val="16"/>
          <w:lang w:val="pt-BR"/>
        </w:rPr>
        <w:t>., págs. 67-68.</w:t>
      </w:r>
    </w:p>
  </w:footnote>
  <w:footnote w:id="72">
    <w:p w:rsidR="00C60678" w:rsidRPr="00F45F6C" w:rsidRDefault="00C60678" w:rsidP="00E771D3">
      <w:pPr>
        <w:pStyle w:val="Textodenotaalpie"/>
        <w:tabs>
          <w:tab w:val="left" w:pos="-720"/>
        </w:tabs>
        <w:suppressAutoHyphens/>
        <w:spacing w:after="120"/>
        <w:jc w:val="both"/>
        <w:rPr>
          <w:rFonts w:ascii="Verdana" w:hAnsi="Verdana"/>
          <w:sz w:val="16"/>
          <w:szCs w:val="16"/>
          <w:lang w:val="pt-BR"/>
        </w:rPr>
      </w:pPr>
      <w:r w:rsidRPr="00F45F6C">
        <w:rPr>
          <w:rStyle w:val="Refdenotaalpie"/>
          <w:rFonts w:ascii="Verdana" w:hAnsi="Verdana"/>
          <w:spacing w:val="-3"/>
          <w:sz w:val="16"/>
          <w:szCs w:val="16"/>
          <w:lang w:val="pt-BR"/>
        </w:rPr>
        <w:footnoteRef/>
      </w:r>
      <w:r w:rsidRPr="00F45F6C">
        <w:rPr>
          <w:rFonts w:ascii="Verdana" w:hAnsi="Verdana"/>
          <w:spacing w:val="-3"/>
          <w:sz w:val="16"/>
          <w:szCs w:val="16"/>
          <w:lang w:val="pt-BR"/>
        </w:rPr>
        <w:t xml:space="preserve"> </w:t>
      </w:r>
      <w:r w:rsidRPr="00F45F6C">
        <w:rPr>
          <w:rFonts w:ascii="Verdana" w:hAnsi="Verdana"/>
          <w:spacing w:val="-3"/>
          <w:sz w:val="16"/>
          <w:szCs w:val="16"/>
          <w:lang w:val="pt-BR"/>
        </w:rPr>
        <w:tab/>
        <w:t xml:space="preserve">Perícia do Senhor Rodolfo Stavenhagen Gruenbaum, antropólogo e sociólogo, </w:t>
      </w:r>
      <w:r w:rsidRPr="00F45F6C">
        <w:rPr>
          <w:rFonts w:ascii="Verdana" w:hAnsi="Verdana"/>
          <w:i/>
          <w:spacing w:val="-3"/>
          <w:sz w:val="16"/>
          <w:szCs w:val="16"/>
          <w:lang w:val="pt-BR"/>
        </w:rPr>
        <w:t>in ibid</w:t>
      </w:r>
      <w:r w:rsidRPr="00F45F6C">
        <w:rPr>
          <w:rFonts w:ascii="Verdana" w:hAnsi="Verdana"/>
          <w:spacing w:val="-3"/>
          <w:sz w:val="16"/>
          <w:szCs w:val="16"/>
          <w:lang w:val="pt-BR"/>
        </w:rPr>
        <w:t>., págs. 71-72.</w:t>
      </w:r>
    </w:p>
  </w:footnote>
  <w:footnote w:id="73">
    <w:p w:rsidR="00C60678" w:rsidRPr="00F45F6C" w:rsidRDefault="00C60678" w:rsidP="00E771D3">
      <w:pPr>
        <w:pStyle w:val="Textodenotaalpie"/>
        <w:tabs>
          <w:tab w:val="left" w:pos="-720"/>
        </w:tabs>
        <w:suppressAutoHyphens/>
        <w:spacing w:after="120"/>
        <w:jc w:val="both"/>
        <w:rPr>
          <w:rFonts w:ascii="Verdana" w:hAnsi="Verdana"/>
          <w:sz w:val="16"/>
          <w:szCs w:val="16"/>
          <w:lang w:val="pt-BR"/>
        </w:rPr>
      </w:pPr>
      <w:r w:rsidRPr="00F45F6C">
        <w:rPr>
          <w:rStyle w:val="Refdenotaalpie"/>
          <w:rFonts w:ascii="Verdana" w:hAnsi="Verdana"/>
          <w:spacing w:val="-3"/>
          <w:sz w:val="16"/>
          <w:szCs w:val="16"/>
          <w:lang w:val="es-ES_tradnl"/>
        </w:rPr>
        <w:footnoteRef/>
      </w:r>
      <w:r w:rsidRPr="00F45F6C">
        <w:rPr>
          <w:rFonts w:ascii="Verdana" w:hAnsi="Verdana"/>
          <w:spacing w:val="-3"/>
          <w:sz w:val="16"/>
          <w:szCs w:val="16"/>
          <w:lang w:val="pt-BR"/>
        </w:rPr>
        <w:t xml:space="preserve"> </w:t>
      </w:r>
      <w:r w:rsidRPr="00F45F6C">
        <w:rPr>
          <w:rFonts w:ascii="Verdana" w:hAnsi="Verdana"/>
          <w:spacing w:val="-3"/>
          <w:sz w:val="16"/>
          <w:szCs w:val="16"/>
          <w:lang w:val="pt-BR"/>
        </w:rPr>
        <w:tab/>
      </w:r>
      <w:r w:rsidRPr="004D6374">
        <w:rPr>
          <w:rFonts w:ascii="Verdana" w:hAnsi="Verdana"/>
          <w:i/>
          <w:spacing w:val="-3"/>
          <w:sz w:val="16"/>
          <w:szCs w:val="16"/>
          <w:lang w:val="pt-BR"/>
        </w:rPr>
        <w:t>Cf., v.g.,</w:t>
      </w:r>
      <w:r w:rsidRPr="00F45F6C">
        <w:rPr>
          <w:rFonts w:ascii="Verdana" w:hAnsi="Verdana"/>
          <w:spacing w:val="-3"/>
          <w:sz w:val="16"/>
          <w:szCs w:val="16"/>
          <w:lang w:val="pt-BR"/>
        </w:rPr>
        <w:t xml:space="preserve"> o testemunho do Senhor Charly Webster Mclean Cornelio, membro da Comunidade Mayagna, </w:t>
      </w:r>
      <w:r w:rsidRPr="00F45F6C">
        <w:rPr>
          <w:rFonts w:ascii="Verdana" w:hAnsi="Verdana"/>
          <w:i/>
          <w:spacing w:val="-3"/>
          <w:sz w:val="16"/>
          <w:szCs w:val="16"/>
          <w:lang w:val="pt-BR"/>
        </w:rPr>
        <w:t>in ibid</w:t>
      </w:r>
      <w:r w:rsidRPr="00F45F6C">
        <w:rPr>
          <w:rFonts w:ascii="Verdana" w:hAnsi="Verdana"/>
          <w:spacing w:val="-3"/>
          <w:sz w:val="16"/>
          <w:szCs w:val="16"/>
          <w:lang w:val="pt-BR"/>
        </w:rPr>
        <w:t xml:space="preserve">., pág. 40, e a perícia do Senhor Rodolfo Stavenhagen Gruenbaum, antropólogo e sociólogo, </w:t>
      </w:r>
      <w:r w:rsidRPr="00F45F6C">
        <w:rPr>
          <w:rFonts w:ascii="Verdana" w:hAnsi="Verdana"/>
          <w:i/>
          <w:spacing w:val="-3"/>
          <w:sz w:val="16"/>
          <w:szCs w:val="16"/>
          <w:lang w:val="pt-BR"/>
        </w:rPr>
        <w:t>in ibid</w:t>
      </w:r>
      <w:r w:rsidRPr="00F45F6C">
        <w:rPr>
          <w:rFonts w:ascii="Verdana" w:hAnsi="Verdana"/>
          <w:spacing w:val="-3"/>
          <w:sz w:val="16"/>
          <w:szCs w:val="16"/>
          <w:lang w:val="pt-BR"/>
        </w:rPr>
        <w:t xml:space="preserve">., pág. 78. </w:t>
      </w:r>
    </w:p>
  </w:footnote>
  <w:footnote w:id="74">
    <w:p w:rsidR="00C60678" w:rsidRPr="00F45F6C" w:rsidRDefault="00C60678" w:rsidP="00E771D3">
      <w:pPr>
        <w:pStyle w:val="Textodenotaalpie"/>
        <w:tabs>
          <w:tab w:val="left" w:pos="-720"/>
        </w:tabs>
        <w:suppressAutoHyphens/>
        <w:spacing w:after="120"/>
        <w:jc w:val="both"/>
        <w:rPr>
          <w:rFonts w:ascii="Verdana" w:hAnsi="Verdana"/>
          <w:sz w:val="16"/>
          <w:szCs w:val="16"/>
          <w:lang w:val="en-US"/>
        </w:rPr>
      </w:pPr>
      <w:r w:rsidRPr="00F45F6C">
        <w:rPr>
          <w:rStyle w:val="Refdenotaalpie"/>
          <w:rFonts w:ascii="Verdana" w:hAnsi="Verdana"/>
          <w:spacing w:val="-3"/>
          <w:sz w:val="16"/>
          <w:szCs w:val="16"/>
          <w:lang w:val="pt-BR"/>
        </w:rPr>
        <w:footnoteRef/>
      </w:r>
      <w:r w:rsidRPr="00F45F6C">
        <w:rPr>
          <w:rFonts w:ascii="Verdana" w:hAnsi="Verdana"/>
          <w:spacing w:val="-3"/>
          <w:sz w:val="16"/>
          <w:szCs w:val="16"/>
          <w:lang w:val="pt-BR"/>
        </w:rPr>
        <w:t xml:space="preserve"> </w:t>
      </w:r>
      <w:r w:rsidRPr="00F45F6C">
        <w:rPr>
          <w:rFonts w:ascii="Verdana" w:hAnsi="Verdana"/>
          <w:spacing w:val="-3"/>
          <w:sz w:val="16"/>
          <w:szCs w:val="16"/>
          <w:lang w:val="pt-BR"/>
        </w:rPr>
        <w:tab/>
        <w:t>As gerações futuras começam a atrair a atenção da doutrina contemporânea do</w:t>
      </w:r>
      <w:proofErr w:type="gramStart"/>
      <w:r w:rsidRPr="00F45F6C">
        <w:rPr>
          <w:rFonts w:ascii="Verdana" w:hAnsi="Verdana"/>
          <w:spacing w:val="-3"/>
          <w:sz w:val="16"/>
          <w:szCs w:val="16"/>
          <w:lang w:val="pt-BR"/>
        </w:rPr>
        <w:t xml:space="preserve"> </w:t>
      </w:r>
      <w:r w:rsidR="00360853">
        <w:rPr>
          <w:rFonts w:ascii="Verdana" w:hAnsi="Verdana"/>
          <w:spacing w:val="-3"/>
          <w:sz w:val="16"/>
          <w:szCs w:val="16"/>
          <w:lang w:val="pt-BR"/>
        </w:rPr>
        <w:t xml:space="preserve"> </w:t>
      </w:r>
      <w:proofErr w:type="gramEnd"/>
      <w:r w:rsidR="00360853">
        <w:rPr>
          <w:rFonts w:ascii="Verdana" w:hAnsi="Verdana"/>
          <w:spacing w:val="-3"/>
          <w:sz w:val="16"/>
          <w:szCs w:val="16"/>
          <w:lang w:val="pt-BR"/>
        </w:rPr>
        <w:t>Direito Internacional</w:t>
      </w:r>
      <w:r w:rsidRPr="00F45F6C">
        <w:rPr>
          <w:rFonts w:ascii="Verdana" w:hAnsi="Verdana"/>
          <w:spacing w:val="-3"/>
          <w:sz w:val="16"/>
          <w:szCs w:val="16"/>
          <w:lang w:val="pt-BR"/>
        </w:rPr>
        <w:t xml:space="preserve">: cf., v.g., A.-Ch. </w:t>
      </w:r>
      <w:r w:rsidRPr="00F45F6C">
        <w:rPr>
          <w:rFonts w:ascii="Verdana" w:hAnsi="Verdana"/>
          <w:spacing w:val="-3"/>
          <w:sz w:val="16"/>
          <w:szCs w:val="16"/>
        </w:rPr>
        <w:t>Kiss, "</w:t>
      </w:r>
      <w:r w:rsidRPr="00F45F6C">
        <w:rPr>
          <w:rFonts w:ascii="Verdana" w:hAnsi="Verdana"/>
          <w:i/>
          <w:spacing w:val="-3"/>
          <w:sz w:val="16"/>
          <w:szCs w:val="16"/>
        </w:rPr>
        <w:t>La notion de patrimoine commun de l'humanité</w:t>
      </w:r>
      <w:r w:rsidRPr="00F45F6C">
        <w:rPr>
          <w:rFonts w:ascii="Verdana" w:hAnsi="Verdana"/>
          <w:spacing w:val="-3"/>
          <w:sz w:val="16"/>
          <w:szCs w:val="16"/>
        </w:rPr>
        <w:t xml:space="preserve">", 175 </w:t>
      </w:r>
      <w:r w:rsidRPr="00F45F6C">
        <w:rPr>
          <w:rFonts w:ascii="Verdana" w:hAnsi="Verdana"/>
          <w:i/>
          <w:spacing w:val="-3"/>
          <w:sz w:val="16"/>
          <w:szCs w:val="16"/>
        </w:rPr>
        <w:t>Recueil des Cours de l'Académie de Droit International de La Haye</w:t>
      </w:r>
      <w:r w:rsidRPr="00F45F6C">
        <w:rPr>
          <w:rFonts w:ascii="Verdana" w:hAnsi="Verdana"/>
          <w:spacing w:val="-3"/>
          <w:sz w:val="16"/>
          <w:szCs w:val="16"/>
        </w:rPr>
        <w:t xml:space="preserve"> (1982) págs. </w:t>
      </w:r>
      <w:r w:rsidRPr="00F45F6C">
        <w:rPr>
          <w:rFonts w:ascii="Verdana" w:hAnsi="Verdana"/>
          <w:spacing w:val="-3"/>
          <w:sz w:val="16"/>
          <w:szCs w:val="16"/>
          <w:lang w:val="en-US"/>
        </w:rPr>
        <w:t xml:space="preserve">109-253; E. Brown Weiss, </w:t>
      </w:r>
      <w:r w:rsidRPr="00F45F6C">
        <w:rPr>
          <w:rFonts w:ascii="Verdana" w:hAnsi="Verdana"/>
          <w:i/>
          <w:spacing w:val="-3"/>
          <w:sz w:val="16"/>
          <w:szCs w:val="16"/>
          <w:lang w:val="en-US"/>
        </w:rPr>
        <w:t>In Fairness to Future Generations: International Law, Common Patrimony and Intergenerational Equity</w:t>
      </w:r>
      <w:r w:rsidRPr="00F45F6C">
        <w:rPr>
          <w:rFonts w:ascii="Verdana" w:hAnsi="Verdana"/>
          <w:spacing w:val="-3"/>
          <w:sz w:val="16"/>
          <w:szCs w:val="16"/>
          <w:lang w:val="en-US"/>
        </w:rPr>
        <w:t xml:space="preserve">, Tokyo/Dobbs Ferry N.Y., United Nations University/Transnational Publs., 1989, págs. 1-351; E. Agius y S. Busuttil </w:t>
      </w:r>
      <w:r w:rsidRPr="00F45F6C">
        <w:rPr>
          <w:rFonts w:ascii="Verdana" w:hAnsi="Verdana"/>
          <w:i/>
          <w:spacing w:val="-3"/>
          <w:sz w:val="16"/>
          <w:szCs w:val="16"/>
          <w:lang w:val="en-US"/>
        </w:rPr>
        <w:t>et alii</w:t>
      </w:r>
      <w:r w:rsidRPr="00F45F6C">
        <w:rPr>
          <w:rFonts w:ascii="Verdana" w:hAnsi="Verdana"/>
          <w:spacing w:val="-3"/>
          <w:sz w:val="16"/>
          <w:szCs w:val="16"/>
          <w:lang w:val="en-US"/>
        </w:rPr>
        <w:t xml:space="preserve"> (eds.), </w:t>
      </w:r>
      <w:r w:rsidRPr="00F45F6C">
        <w:rPr>
          <w:rFonts w:ascii="Verdana" w:hAnsi="Verdana"/>
          <w:i/>
          <w:spacing w:val="-3"/>
          <w:sz w:val="16"/>
          <w:szCs w:val="16"/>
          <w:lang w:val="en-US"/>
        </w:rPr>
        <w:t>Future Generations and International Law</w:t>
      </w:r>
      <w:r w:rsidRPr="00F45F6C">
        <w:rPr>
          <w:rFonts w:ascii="Verdana" w:hAnsi="Verdana"/>
          <w:spacing w:val="-3"/>
          <w:sz w:val="16"/>
          <w:szCs w:val="16"/>
          <w:lang w:val="en-US"/>
        </w:rPr>
        <w:t xml:space="preserve">, London, Earthscan, 1998, págs. 3-197; J. Symonides (ed.), </w:t>
      </w:r>
      <w:r w:rsidRPr="00F45F6C">
        <w:rPr>
          <w:rFonts w:ascii="Verdana" w:hAnsi="Verdana"/>
          <w:i/>
          <w:spacing w:val="-3"/>
          <w:sz w:val="16"/>
          <w:szCs w:val="16"/>
          <w:lang w:val="en-US"/>
        </w:rPr>
        <w:t>Human Rights: New Dimensions and Challenges</w:t>
      </w:r>
      <w:r w:rsidRPr="00F45F6C">
        <w:rPr>
          <w:rFonts w:ascii="Verdana" w:hAnsi="Verdana"/>
          <w:spacing w:val="-3"/>
          <w:sz w:val="16"/>
          <w:szCs w:val="16"/>
          <w:lang w:val="en-US"/>
        </w:rPr>
        <w:t>, Paris/Aldershot, UNESCO/Dartmouth, 1998, págs. 1-153.</w:t>
      </w:r>
    </w:p>
  </w:footnote>
  <w:footnote w:id="75">
    <w:p w:rsidR="00C60678" w:rsidRPr="00F45F6C" w:rsidRDefault="00C60678" w:rsidP="00E771D3">
      <w:pPr>
        <w:pStyle w:val="Textodenotaalpie"/>
        <w:tabs>
          <w:tab w:val="left" w:pos="-720"/>
        </w:tabs>
        <w:suppressAutoHyphens/>
        <w:spacing w:after="120"/>
        <w:jc w:val="both"/>
        <w:rPr>
          <w:rFonts w:ascii="Verdana" w:hAnsi="Verdana"/>
          <w:sz w:val="16"/>
          <w:szCs w:val="16"/>
          <w:lang w:val="pt-BR"/>
        </w:rPr>
      </w:pPr>
      <w:r w:rsidRPr="00F45F6C">
        <w:rPr>
          <w:rStyle w:val="Refdenotaalpie"/>
          <w:rFonts w:ascii="Verdana" w:hAnsi="Verdana"/>
          <w:spacing w:val="-3"/>
          <w:sz w:val="16"/>
          <w:szCs w:val="16"/>
          <w:lang w:val="pt-BR"/>
        </w:rPr>
        <w:footnoteRef/>
      </w:r>
      <w:r w:rsidRPr="00E771D3">
        <w:rPr>
          <w:rFonts w:ascii="Verdana" w:hAnsi="Verdana"/>
          <w:spacing w:val="-3"/>
          <w:sz w:val="16"/>
          <w:szCs w:val="16"/>
          <w:lang w:val="pt-BR"/>
        </w:rPr>
        <w:t xml:space="preserve"> </w:t>
      </w:r>
      <w:r w:rsidRPr="00E771D3">
        <w:rPr>
          <w:rFonts w:ascii="Verdana" w:hAnsi="Verdana"/>
          <w:spacing w:val="-3"/>
          <w:sz w:val="16"/>
          <w:szCs w:val="16"/>
          <w:lang w:val="pt-BR"/>
        </w:rPr>
        <w:tab/>
      </w:r>
      <w:r w:rsidRPr="00F45F6C">
        <w:rPr>
          <w:rFonts w:ascii="Verdana" w:hAnsi="Verdana"/>
          <w:spacing w:val="-3"/>
          <w:sz w:val="16"/>
          <w:szCs w:val="16"/>
          <w:lang w:val="pt-BR"/>
        </w:rPr>
        <w:t xml:space="preserve">Cf. também os artigos 89 e 180 da Constituição Política vigente da Nicarágua. </w:t>
      </w:r>
    </w:p>
  </w:footnote>
  <w:footnote w:id="76">
    <w:p w:rsidR="00C60678" w:rsidRPr="00F45F6C" w:rsidRDefault="00C60678" w:rsidP="00E771D3">
      <w:pPr>
        <w:pStyle w:val="Textodenotaalpie"/>
        <w:tabs>
          <w:tab w:val="left" w:pos="-720"/>
        </w:tabs>
        <w:suppressAutoHyphens/>
        <w:spacing w:after="120"/>
        <w:jc w:val="both"/>
        <w:rPr>
          <w:rFonts w:ascii="Verdana" w:hAnsi="Verdana"/>
          <w:sz w:val="16"/>
          <w:szCs w:val="16"/>
          <w:lang w:val="pt-BR"/>
        </w:rPr>
      </w:pPr>
      <w:r w:rsidRPr="00F45F6C">
        <w:rPr>
          <w:rStyle w:val="Refdenotaalpie"/>
          <w:rFonts w:ascii="Verdana" w:hAnsi="Verdana"/>
          <w:spacing w:val="-3"/>
          <w:sz w:val="16"/>
          <w:szCs w:val="16"/>
          <w:lang w:val="pt-BR"/>
        </w:rPr>
        <w:footnoteRef/>
      </w:r>
      <w:r w:rsidRPr="00F45F6C">
        <w:rPr>
          <w:rFonts w:ascii="Verdana" w:hAnsi="Verdana"/>
          <w:spacing w:val="-3"/>
          <w:sz w:val="16"/>
          <w:szCs w:val="16"/>
          <w:lang w:val="pt-BR"/>
        </w:rPr>
        <w:t xml:space="preserve"> </w:t>
      </w:r>
      <w:r w:rsidRPr="00F45F6C">
        <w:rPr>
          <w:rFonts w:ascii="Verdana" w:hAnsi="Verdana"/>
          <w:spacing w:val="-3"/>
          <w:sz w:val="16"/>
          <w:szCs w:val="16"/>
          <w:lang w:val="pt-BR"/>
        </w:rPr>
        <w:tab/>
      </w:r>
      <w:proofErr w:type="gramStart"/>
      <w:r w:rsidRPr="00F45F6C">
        <w:rPr>
          <w:rFonts w:ascii="Verdana" w:hAnsi="Verdana"/>
          <w:spacing w:val="-3"/>
          <w:sz w:val="16"/>
          <w:szCs w:val="16"/>
          <w:lang w:val="pt-BR"/>
        </w:rPr>
        <w:t>CtIADH</w:t>
      </w:r>
      <w:proofErr w:type="gramEnd"/>
      <w:r w:rsidRPr="00F45F6C">
        <w:rPr>
          <w:rFonts w:ascii="Verdana" w:hAnsi="Verdana"/>
          <w:spacing w:val="-3"/>
          <w:sz w:val="16"/>
          <w:szCs w:val="16"/>
          <w:lang w:val="pt-BR"/>
        </w:rPr>
        <w:t xml:space="preserve">, Caso </w:t>
      </w:r>
      <w:r w:rsidRPr="00F45F6C">
        <w:rPr>
          <w:rFonts w:ascii="Verdana" w:hAnsi="Verdana"/>
          <w:i/>
          <w:spacing w:val="-3"/>
          <w:sz w:val="16"/>
          <w:szCs w:val="16"/>
          <w:lang w:val="pt-BR"/>
        </w:rPr>
        <w:t>Aloeboetoe e outros versus Suriname</w:t>
      </w:r>
      <w:r w:rsidRPr="00F45F6C">
        <w:rPr>
          <w:rFonts w:ascii="Verdana" w:hAnsi="Verdana"/>
          <w:spacing w:val="-3"/>
          <w:sz w:val="16"/>
          <w:szCs w:val="16"/>
          <w:lang w:val="pt-BR"/>
        </w:rPr>
        <w:t xml:space="preserve"> (Reparações), Série C</w:t>
      </w:r>
      <w:r w:rsidR="004D6374">
        <w:rPr>
          <w:rFonts w:ascii="Verdana" w:hAnsi="Verdana"/>
          <w:spacing w:val="-3"/>
          <w:sz w:val="16"/>
          <w:szCs w:val="16"/>
          <w:lang w:val="pt-BR"/>
        </w:rPr>
        <w:t xml:space="preserve"> N</w:t>
      </w:r>
      <w:r w:rsidR="004D6374" w:rsidRPr="004D6374">
        <w:rPr>
          <w:rFonts w:ascii="Verdana" w:hAnsi="Verdana"/>
          <w:spacing w:val="-3"/>
          <w:sz w:val="16"/>
          <w:szCs w:val="16"/>
          <w:vertAlign w:val="superscript"/>
          <w:lang w:val="pt-BR"/>
        </w:rPr>
        <w:t>o</w:t>
      </w:r>
      <w:r w:rsidR="004D6374">
        <w:rPr>
          <w:rFonts w:ascii="Verdana" w:hAnsi="Verdana"/>
          <w:spacing w:val="-3"/>
          <w:sz w:val="16"/>
          <w:szCs w:val="16"/>
          <w:lang w:val="pt-BR"/>
        </w:rPr>
        <w:t xml:space="preserve"> </w:t>
      </w:r>
      <w:r w:rsidRPr="00F45F6C">
        <w:rPr>
          <w:rFonts w:ascii="Verdana" w:hAnsi="Verdana"/>
          <w:spacing w:val="-3"/>
          <w:sz w:val="16"/>
          <w:szCs w:val="16"/>
          <w:lang w:val="pt-BR"/>
        </w:rPr>
        <w:t xml:space="preserve">15, Sentença de 10 de setembro de 1993, págs. 3-49, pars. 1-116. </w:t>
      </w:r>
    </w:p>
  </w:footnote>
  <w:footnote w:id="77">
    <w:p w:rsidR="00C60678" w:rsidRPr="00F45F6C" w:rsidRDefault="00C60678" w:rsidP="00E771D3">
      <w:pPr>
        <w:pStyle w:val="Textodenotaalpie"/>
        <w:tabs>
          <w:tab w:val="left" w:pos="-720"/>
        </w:tabs>
        <w:suppressAutoHyphens/>
        <w:spacing w:after="120"/>
        <w:jc w:val="both"/>
        <w:rPr>
          <w:rFonts w:ascii="Verdana" w:hAnsi="Verdana"/>
          <w:sz w:val="16"/>
          <w:szCs w:val="16"/>
          <w:lang w:val="pt-BR"/>
        </w:rPr>
      </w:pPr>
      <w:r w:rsidRPr="00F45F6C">
        <w:rPr>
          <w:rStyle w:val="Refdenotaalpie"/>
          <w:rFonts w:ascii="Verdana" w:hAnsi="Verdana"/>
          <w:spacing w:val="-3"/>
          <w:sz w:val="16"/>
          <w:szCs w:val="16"/>
          <w:lang w:val="pt-BR"/>
        </w:rPr>
        <w:footnoteRef/>
      </w:r>
      <w:r w:rsidRPr="00F45F6C">
        <w:rPr>
          <w:rFonts w:ascii="Verdana" w:hAnsi="Verdana"/>
          <w:spacing w:val="-3"/>
          <w:sz w:val="16"/>
          <w:szCs w:val="16"/>
          <w:lang w:val="pt-BR"/>
        </w:rPr>
        <w:t xml:space="preserve"> </w:t>
      </w:r>
      <w:r w:rsidRPr="00F45F6C">
        <w:rPr>
          <w:rFonts w:ascii="Verdana" w:hAnsi="Verdana"/>
          <w:spacing w:val="-3"/>
          <w:sz w:val="16"/>
          <w:szCs w:val="16"/>
          <w:lang w:val="pt-BR"/>
        </w:rPr>
        <w:tab/>
      </w:r>
      <w:proofErr w:type="gramStart"/>
      <w:r w:rsidRPr="00F45F6C">
        <w:rPr>
          <w:rFonts w:ascii="Verdana" w:hAnsi="Verdana"/>
          <w:spacing w:val="-3"/>
          <w:sz w:val="16"/>
          <w:szCs w:val="16"/>
          <w:lang w:val="pt-BR"/>
        </w:rPr>
        <w:t>CtIADH</w:t>
      </w:r>
      <w:proofErr w:type="gramEnd"/>
      <w:r w:rsidRPr="00F45F6C">
        <w:rPr>
          <w:rFonts w:ascii="Verdana" w:hAnsi="Verdana"/>
          <w:spacing w:val="-3"/>
          <w:sz w:val="16"/>
          <w:szCs w:val="16"/>
          <w:lang w:val="pt-BR"/>
        </w:rPr>
        <w:t xml:space="preserve">, Caso </w:t>
      </w:r>
      <w:r w:rsidRPr="00F45F6C">
        <w:rPr>
          <w:rFonts w:ascii="Verdana" w:hAnsi="Verdana"/>
          <w:i/>
          <w:spacing w:val="-3"/>
          <w:sz w:val="16"/>
          <w:szCs w:val="16"/>
          <w:lang w:val="pt-BR"/>
        </w:rPr>
        <w:t>Bámaca Velásquez versus Guatemala</w:t>
      </w:r>
      <w:r w:rsidRPr="00F45F6C">
        <w:rPr>
          <w:rFonts w:ascii="Verdana" w:hAnsi="Verdana"/>
          <w:spacing w:val="-3"/>
          <w:sz w:val="16"/>
          <w:szCs w:val="16"/>
          <w:lang w:val="pt-BR"/>
        </w:rPr>
        <w:t xml:space="preserve"> (Mérito),</w:t>
      </w:r>
      <w:r w:rsidR="004D6374">
        <w:rPr>
          <w:rFonts w:ascii="Verdana" w:hAnsi="Verdana"/>
          <w:spacing w:val="-3"/>
          <w:sz w:val="16"/>
          <w:szCs w:val="16"/>
          <w:lang w:val="pt-BR"/>
        </w:rPr>
        <w:t> Série C N</w:t>
      </w:r>
      <w:r w:rsidR="004D6374" w:rsidRPr="004D6374">
        <w:rPr>
          <w:rFonts w:ascii="Verdana" w:hAnsi="Verdana"/>
          <w:spacing w:val="-3"/>
          <w:sz w:val="16"/>
          <w:szCs w:val="16"/>
          <w:vertAlign w:val="superscript"/>
          <w:lang w:val="pt-BR"/>
        </w:rPr>
        <w:t>o</w:t>
      </w:r>
      <w:r w:rsidRPr="00F45F6C">
        <w:rPr>
          <w:rFonts w:ascii="Verdana" w:hAnsi="Verdana"/>
          <w:spacing w:val="-3"/>
          <w:sz w:val="16"/>
          <w:szCs w:val="16"/>
          <w:lang w:val="pt-BR"/>
        </w:rPr>
        <w:t xml:space="preserve"> 70, Sentença de 25 de novembro de 2000, págs. 3-149, pars. 1-230.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78" w:rsidRPr="004D6374" w:rsidRDefault="00C60678">
    <w:pPr>
      <w:pStyle w:val="Encabezado"/>
      <w:jc w:val="center"/>
      <w:rPr>
        <w:rFonts w:ascii="Verdana" w:hAnsi="Verdana"/>
        <w:sz w:val="20"/>
      </w:rPr>
    </w:pPr>
    <w:r w:rsidRPr="004D6374">
      <w:rPr>
        <w:rFonts w:ascii="Verdana" w:hAnsi="Verdana"/>
        <w:sz w:val="20"/>
      </w:rPr>
      <w:fldChar w:fldCharType="begin"/>
    </w:r>
    <w:r w:rsidRPr="004D6374">
      <w:rPr>
        <w:rFonts w:ascii="Verdana" w:hAnsi="Verdana"/>
        <w:sz w:val="20"/>
      </w:rPr>
      <w:instrText>PAGE   \* MERGEFORMAT</w:instrText>
    </w:r>
    <w:r w:rsidRPr="004D6374">
      <w:rPr>
        <w:rFonts w:ascii="Verdana" w:hAnsi="Verdana"/>
        <w:sz w:val="20"/>
      </w:rPr>
      <w:fldChar w:fldCharType="separate"/>
    </w:r>
    <w:r w:rsidR="009F75A8" w:rsidRPr="009F75A8">
      <w:rPr>
        <w:rFonts w:ascii="Verdana" w:hAnsi="Verdana"/>
        <w:noProof/>
        <w:sz w:val="20"/>
        <w:lang w:val="es-ES"/>
      </w:rPr>
      <w:t>5</w:t>
    </w:r>
    <w:r w:rsidRPr="004D6374">
      <w:rPr>
        <w:rFonts w:ascii="Verdana" w:hAnsi="Verdana"/>
        <w:sz w:val="20"/>
      </w:rPr>
      <w:fldChar w:fldCharType="end"/>
    </w:r>
  </w:p>
  <w:p w:rsidR="00C60678" w:rsidRDefault="00C6067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78" w:rsidRPr="002C0E2E" w:rsidRDefault="00C60678">
    <w:pPr>
      <w:pStyle w:val="Encabezado"/>
      <w:jc w:val="center"/>
      <w:rPr>
        <w:lang w:val="es-ES"/>
      </w:rPr>
    </w:pPr>
  </w:p>
  <w:p w:rsidR="00C60678" w:rsidRDefault="00C6067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678" w:rsidRDefault="00C60678">
    <w:pPr>
      <w:pStyle w:val="Encabezado"/>
      <w:jc w:val="center"/>
    </w:pPr>
    <w:r>
      <w:fldChar w:fldCharType="begin"/>
    </w:r>
    <w:r>
      <w:instrText>PAGE   \* MERGEFORMAT</w:instrText>
    </w:r>
    <w:r>
      <w:fldChar w:fldCharType="separate"/>
    </w:r>
    <w:r w:rsidR="009F75A8" w:rsidRPr="009F75A8">
      <w:rPr>
        <w:noProof/>
        <w:lang w:val="es-ES"/>
      </w:rPr>
      <w:t>2</w:t>
    </w:r>
    <w:r>
      <w:fldChar w:fldCharType="end"/>
    </w:r>
  </w:p>
  <w:p w:rsidR="00C60678" w:rsidRDefault="00C606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7CEE5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84F05ABC"/>
    <w:lvl w:ilvl="0">
      <w:start w:val="3"/>
      <w:numFmt w:val="decimal"/>
      <w:pStyle w:val="Ttulo9"/>
      <w:lvlText w:val="%1)"/>
      <w:legacy w:legacy="1" w:legacySpace="12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nsid w:val="182C1632"/>
    <w:multiLevelType w:val="multilevel"/>
    <w:tmpl w:val="7A3E39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nsid w:val="1BAE0A14"/>
    <w:multiLevelType w:val="hybridMultilevel"/>
    <w:tmpl w:val="B13267BA"/>
    <w:lvl w:ilvl="0" w:tplc="0D248A6C">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213D684A"/>
    <w:multiLevelType w:val="hybridMultilevel"/>
    <w:tmpl w:val="3462F1B4"/>
    <w:lvl w:ilvl="0" w:tplc="0D248A6C">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2D8053B0"/>
    <w:multiLevelType w:val="multilevel"/>
    <w:tmpl w:val="7A3E39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nsid w:val="32D30038"/>
    <w:multiLevelType w:val="hybridMultilevel"/>
    <w:tmpl w:val="06507864"/>
    <w:lvl w:ilvl="0" w:tplc="140A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75F6EB3"/>
    <w:multiLevelType w:val="hybridMultilevel"/>
    <w:tmpl w:val="23781F80"/>
    <w:lvl w:ilvl="0" w:tplc="140A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1202E48"/>
    <w:multiLevelType w:val="hybridMultilevel"/>
    <w:tmpl w:val="9B58FAFC"/>
    <w:lvl w:ilvl="0" w:tplc="140A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nsid w:val="4CFD416F"/>
    <w:multiLevelType w:val="hybridMultilevel"/>
    <w:tmpl w:val="E0722AE2"/>
    <w:lvl w:ilvl="0" w:tplc="5E8EC7EA">
      <w:start w:val="1"/>
      <w:numFmt w:val="decimal"/>
      <w:lvlText w:val="%1."/>
      <w:lvlJc w:val="left"/>
      <w:pPr>
        <w:ind w:left="1429"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55B262EB"/>
    <w:multiLevelType w:val="hybridMultilevel"/>
    <w:tmpl w:val="4EE88076"/>
    <w:lvl w:ilvl="0" w:tplc="5E8EC7EA">
      <w:start w:val="1"/>
      <w:numFmt w:val="decimal"/>
      <w:lvlText w:val="%1."/>
      <w:lvlJc w:val="left"/>
      <w:pPr>
        <w:ind w:left="2149"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5843454A"/>
    <w:multiLevelType w:val="singleLevel"/>
    <w:tmpl w:val="C778EB9C"/>
    <w:lvl w:ilvl="0">
      <w:numFmt w:val="decimal"/>
      <w:lvlText w:val="%1"/>
      <w:legacy w:legacy="1" w:legacySpace="0" w:legacyIndent="0"/>
      <w:lvlJc w:val="left"/>
    </w:lvl>
  </w:abstractNum>
  <w:abstractNum w:abstractNumId="12">
    <w:nsid w:val="6CB538B8"/>
    <w:multiLevelType w:val="multilevel"/>
    <w:tmpl w:val="7A3E39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nsid w:val="6E1B4F5B"/>
    <w:multiLevelType w:val="hybridMultilevel"/>
    <w:tmpl w:val="54407FE0"/>
    <w:lvl w:ilvl="0" w:tplc="140A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73914A1A"/>
    <w:multiLevelType w:val="multilevel"/>
    <w:tmpl w:val="7A3E39F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
  </w:num>
  <w:num w:numId="2">
    <w:abstractNumId w:val="5"/>
  </w:num>
  <w:num w:numId="3">
    <w:abstractNumId w:val="14"/>
  </w:num>
  <w:num w:numId="4">
    <w:abstractNumId w:val="12"/>
  </w:num>
  <w:num w:numId="5">
    <w:abstractNumId w:val="2"/>
  </w:num>
  <w:num w:numId="6">
    <w:abstractNumId w:val="11"/>
  </w:num>
  <w:num w:numId="7">
    <w:abstractNumId w:val="9"/>
  </w:num>
  <w:num w:numId="8">
    <w:abstractNumId w:val="10"/>
  </w:num>
  <w:num w:numId="9">
    <w:abstractNumId w:val="3"/>
  </w:num>
  <w:num w:numId="10">
    <w:abstractNumId w:val="6"/>
  </w:num>
  <w:num w:numId="11">
    <w:abstractNumId w:val="7"/>
  </w:num>
  <w:num w:numId="12">
    <w:abstractNumId w:val="8"/>
  </w:num>
  <w:num w:numId="13">
    <w:abstractNumId w:val="13"/>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grammar="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3F97"/>
    <w:rsid w:val="00000DAF"/>
    <w:rsid w:val="00001F79"/>
    <w:rsid w:val="000113D7"/>
    <w:rsid w:val="000144F9"/>
    <w:rsid w:val="0001465C"/>
    <w:rsid w:val="00014CA8"/>
    <w:rsid w:val="00015F5C"/>
    <w:rsid w:val="000207DB"/>
    <w:rsid w:val="00020DC0"/>
    <w:rsid w:val="00022FC0"/>
    <w:rsid w:val="000309A8"/>
    <w:rsid w:val="00030FBE"/>
    <w:rsid w:val="00032BFF"/>
    <w:rsid w:val="00045326"/>
    <w:rsid w:val="00045EFC"/>
    <w:rsid w:val="000473F6"/>
    <w:rsid w:val="00047B8F"/>
    <w:rsid w:val="00051A0C"/>
    <w:rsid w:val="00052098"/>
    <w:rsid w:val="00052481"/>
    <w:rsid w:val="00052663"/>
    <w:rsid w:val="00054321"/>
    <w:rsid w:val="00055D79"/>
    <w:rsid w:val="00061B46"/>
    <w:rsid w:val="00061EF9"/>
    <w:rsid w:val="00067F5C"/>
    <w:rsid w:val="00070334"/>
    <w:rsid w:val="000715C9"/>
    <w:rsid w:val="00072BBD"/>
    <w:rsid w:val="00075BDD"/>
    <w:rsid w:val="00075EC7"/>
    <w:rsid w:val="00077022"/>
    <w:rsid w:val="00080BF8"/>
    <w:rsid w:val="00080EDF"/>
    <w:rsid w:val="000810AB"/>
    <w:rsid w:val="00081B19"/>
    <w:rsid w:val="00084F69"/>
    <w:rsid w:val="000864EE"/>
    <w:rsid w:val="0008725F"/>
    <w:rsid w:val="00087E22"/>
    <w:rsid w:val="00090F8A"/>
    <w:rsid w:val="000931BE"/>
    <w:rsid w:val="0009348D"/>
    <w:rsid w:val="00093736"/>
    <w:rsid w:val="000948B6"/>
    <w:rsid w:val="000958A2"/>
    <w:rsid w:val="00096900"/>
    <w:rsid w:val="000A0F98"/>
    <w:rsid w:val="000A20CB"/>
    <w:rsid w:val="000A2A26"/>
    <w:rsid w:val="000A3A11"/>
    <w:rsid w:val="000A4568"/>
    <w:rsid w:val="000B00AC"/>
    <w:rsid w:val="000B1338"/>
    <w:rsid w:val="000B179F"/>
    <w:rsid w:val="000B1DB1"/>
    <w:rsid w:val="000B3F97"/>
    <w:rsid w:val="000C12C4"/>
    <w:rsid w:val="000C3813"/>
    <w:rsid w:val="000C3D1D"/>
    <w:rsid w:val="000C60C4"/>
    <w:rsid w:val="000C6A3F"/>
    <w:rsid w:val="000D5D17"/>
    <w:rsid w:val="000D78EE"/>
    <w:rsid w:val="000E2544"/>
    <w:rsid w:val="000E2CB4"/>
    <w:rsid w:val="000E5B41"/>
    <w:rsid w:val="000E6053"/>
    <w:rsid w:val="000F0630"/>
    <w:rsid w:val="000F2BCA"/>
    <w:rsid w:val="000F35DA"/>
    <w:rsid w:val="000F4600"/>
    <w:rsid w:val="000F5859"/>
    <w:rsid w:val="000F71EB"/>
    <w:rsid w:val="00103AF0"/>
    <w:rsid w:val="001048EE"/>
    <w:rsid w:val="00107EB4"/>
    <w:rsid w:val="00113FD9"/>
    <w:rsid w:val="00114CB3"/>
    <w:rsid w:val="00116B5C"/>
    <w:rsid w:val="00122742"/>
    <w:rsid w:val="00125721"/>
    <w:rsid w:val="00126E5B"/>
    <w:rsid w:val="001316E1"/>
    <w:rsid w:val="00132252"/>
    <w:rsid w:val="001324FA"/>
    <w:rsid w:val="00132870"/>
    <w:rsid w:val="00135CC1"/>
    <w:rsid w:val="0014061B"/>
    <w:rsid w:val="001423B1"/>
    <w:rsid w:val="001435F3"/>
    <w:rsid w:val="0014552F"/>
    <w:rsid w:val="0014595E"/>
    <w:rsid w:val="00162D91"/>
    <w:rsid w:val="0017378D"/>
    <w:rsid w:val="00174996"/>
    <w:rsid w:val="00174E65"/>
    <w:rsid w:val="00177A41"/>
    <w:rsid w:val="00180F83"/>
    <w:rsid w:val="001819E7"/>
    <w:rsid w:val="00183C5B"/>
    <w:rsid w:val="0018428D"/>
    <w:rsid w:val="00194A4E"/>
    <w:rsid w:val="001A0538"/>
    <w:rsid w:val="001A0C9E"/>
    <w:rsid w:val="001A1056"/>
    <w:rsid w:val="001A22F0"/>
    <w:rsid w:val="001A4F22"/>
    <w:rsid w:val="001B101A"/>
    <w:rsid w:val="001B24CB"/>
    <w:rsid w:val="001B273B"/>
    <w:rsid w:val="001B2B45"/>
    <w:rsid w:val="001B4A97"/>
    <w:rsid w:val="001B4B29"/>
    <w:rsid w:val="001B5FDF"/>
    <w:rsid w:val="001C31D1"/>
    <w:rsid w:val="001C716A"/>
    <w:rsid w:val="001C7EE0"/>
    <w:rsid w:val="001D348E"/>
    <w:rsid w:val="001D674D"/>
    <w:rsid w:val="001E14CC"/>
    <w:rsid w:val="001E24CC"/>
    <w:rsid w:val="001E3960"/>
    <w:rsid w:val="001E4D46"/>
    <w:rsid w:val="001E55B1"/>
    <w:rsid w:val="001E6080"/>
    <w:rsid w:val="001E7494"/>
    <w:rsid w:val="001F1A6E"/>
    <w:rsid w:val="001F72D4"/>
    <w:rsid w:val="002012BD"/>
    <w:rsid w:val="00211A04"/>
    <w:rsid w:val="00213C88"/>
    <w:rsid w:val="0022194B"/>
    <w:rsid w:val="00221DA9"/>
    <w:rsid w:val="002221CD"/>
    <w:rsid w:val="002259AE"/>
    <w:rsid w:val="00231678"/>
    <w:rsid w:val="00236E14"/>
    <w:rsid w:val="002370CE"/>
    <w:rsid w:val="00237416"/>
    <w:rsid w:val="00243DA4"/>
    <w:rsid w:val="00250234"/>
    <w:rsid w:val="00252BCD"/>
    <w:rsid w:val="00255200"/>
    <w:rsid w:val="00256E33"/>
    <w:rsid w:val="002609F5"/>
    <w:rsid w:val="00262C51"/>
    <w:rsid w:val="0026364B"/>
    <w:rsid w:val="002646B9"/>
    <w:rsid w:val="0026644B"/>
    <w:rsid w:val="00267244"/>
    <w:rsid w:val="002676B5"/>
    <w:rsid w:val="00270E5C"/>
    <w:rsid w:val="00276E44"/>
    <w:rsid w:val="002823F8"/>
    <w:rsid w:val="00282D2D"/>
    <w:rsid w:val="00290201"/>
    <w:rsid w:val="002911F8"/>
    <w:rsid w:val="0029139F"/>
    <w:rsid w:val="00291DB7"/>
    <w:rsid w:val="00294D1E"/>
    <w:rsid w:val="002959C9"/>
    <w:rsid w:val="002A016A"/>
    <w:rsid w:val="002A0469"/>
    <w:rsid w:val="002A6532"/>
    <w:rsid w:val="002A673D"/>
    <w:rsid w:val="002A79D6"/>
    <w:rsid w:val="002B1DF6"/>
    <w:rsid w:val="002C0E2E"/>
    <w:rsid w:val="002C1951"/>
    <w:rsid w:val="002C6A59"/>
    <w:rsid w:val="002D090B"/>
    <w:rsid w:val="002D33D5"/>
    <w:rsid w:val="002D542F"/>
    <w:rsid w:val="002E0278"/>
    <w:rsid w:val="002E0378"/>
    <w:rsid w:val="002F04DB"/>
    <w:rsid w:val="002F0C4D"/>
    <w:rsid w:val="002F3CD3"/>
    <w:rsid w:val="003000FA"/>
    <w:rsid w:val="003142EE"/>
    <w:rsid w:val="00314805"/>
    <w:rsid w:val="00317419"/>
    <w:rsid w:val="00322DA3"/>
    <w:rsid w:val="00323C02"/>
    <w:rsid w:val="00323CDA"/>
    <w:rsid w:val="00326CD1"/>
    <w:rsid w:val="003379F9"/>
    <w:rsid w:val="00346327"/>
    <w:rsid w:val="00347709"/>
    <w:rsid w:val="00353C59"/>
    <w:rsid w:val="0035719B"/>
    <w:rsid w:val="00360853"/>
    <w:rsid w:val="00361824"/>
    <w:rsid w:val="003643A7"/>
    <w:rsid w:val="0036472C"/>
    <w:rsid w:val="003668D6"/>
    <w:rsid w:val="00371B66"/>
    <w:rsid w:val="003733CA"/>
    <w:rsid w:val="00373A18"/>
    <w:rsid w:val="00375AFC"/>
    <w:rsid w:val="003771FC"/>
    <w:rsid w:val="00381FC0"/>
    <w:rsid w:val="00382334"/>
    <w:rsid w:val="00391D8C"/>
    <w:rsid w:val="003B01F1"/>
    <w:rsid w:val="003B037A"/>
    <w:rsid w:val="003B1586"/>
    <w:rsid w:val="003B631E"/>
    <w:rsid w:val="003B6BC8"/>
    <w:rsid w:val="003C1DEB"/>
    <w:rsid w:val="003C2F69"/>
    <w:rsid w:val="003C383D"/>
    <w:rsid w:val="003C5A59"/>
    <w:rsid w:val="003C792B"/>
    <w:rsid w:val="003D0038"/>
    <w:rsid w:val="003D0B90"/>
    <w:rsid w:val="003D0C61"/>
    <w:rsid w:val="003D0D0E"/>
    <w:rsid w:val="003D1B97"/>
    <w:rsid w:val="003D2E7D"/>
    <w:rsid w:val="003D3C71"/>
    <w:rsid w:val="003D5BBB"/>
    <w:rsid w:val="003D616E"/>
    <w:rsid w:val="003E2334"/>
    <w:rsid w:val="003E2FE3"/>
    <w:rsid w:val="003F030E"/>
    <w:rsid w:val="003F13B7"/>
    <w:rsid w:val="003F261B"/>
    <w:rsid w:val="003F53CE"/>
    <w:rsid w:val="003F59D0"/>
    <w:rsid w:val="003F5C9E"/>
    <w:rsid w:val="004009CC"/>
    <w:rsid w:val="00400E78"/>
    <w:rsid w:val="00402493"/>
    <w:rsid w:val="00403483"/>
    <w:rsid w:val="0040401B"/>
    <w:rsid w:val="0040634F"/>
    <w:rsid w:val="00407612"/>
    <w:rsid w:val="00412C53"/>
    <w:rsid w:val="00412D14"/>
    <w:rsid w:val="00414625"/>
    <w:rsid w:val="004147B2"/>
    <w:rsid w:val="004167EE"/>
    <w:rsid w:val="00423C69"/>
    <w:rsid w:val="004242D5"/>
    <w:rsid w:val="00425579"/>
    <w:rsid w:val="004268B6"/>
    <w:rsid w:val="00427586"/>
    <w:rsid w:val="00432104"/>
    <w:rsid w:val="0043272B"/>
    <w:rsid w:val="00432B49"/>
    <w:rsid w:val="00442BA9"/>
    <w:rsid w:val="00446AD9"/>
    <w:rsid w:val="004500A4"/>
    <w:rsid w:val="0045758D"/>
    <w:rsid w:val="0046181A"/>
    <w:rsid w:val="00461C95"/>
    <w:rsid w:val="00465C3D"/>
    <w:rsid w:val="00471446"/>
    <w:rsid w:val="00471A9D"/>
    <w:rsid w:val="00475801"/>
    <w:rsid w:val="00475A02"/>
    <w:rsid w:val="00475B43"/>
    <w:rsid w:val="00481443"/>
    <w:rsid w:val="004871D9"/>
    <w:rsid w:val="00490BEE"/>
    <w:rsid w:val="004922CB"/>
    <w:rsid w:val="00493538"/>
    <w:rsid w:val="00493BA4"/>
    <w:rsid w:val="00496AB4"/>
    <w:rsid w:val="004970AA"/>
    <w:rsid w:val="004A426A"/>
    <w:rsid w:val="004A4B1F"/>
    <w:rsid w:val="004A6E7E"/>
    <w:rsid w:val="004A7EBD"/>
    <w:rsid w:val="004B2995"/>
    <w:rsid w:val="004B4777"/>
    <w:rsid w:val="004B4FEB"/>
    <w:rsid w:val="004B5BEA"/>
    <w:rsid w:val="004B65E5"/>
    <w:rsid w:val="004B7CFD"/>
    <w:rsid w:val="004C2280"/>
    <w:rsid w:val="004C3177"/>
    <w:rsid w:val="004C31D6"/>
    <w:rsid w:val="004C4C14"/>
    <w:rsid w:val="004C4FA6"/>
    <w:rsid w:val="004C7A4A"/>
    <w:rsid w:val="004C7F0A"/>
    <w:rsid w:val="004D08B7"/>
    <w:rsid w:val="004D1CEF"/>
    <w:rsid w:val="004D5FC8"/>
    <w:rsid w:val="004D6374"/>
    <w:rsid w:val="004D6BE7"/>
    <w:rsid w:val="004D7B51"/>
    <w:rsid w:val="004E03C8"/>
    <w:rsid w:val="004E183D"/>
    <w:rsid w:val="004E4E6F"/>
    <w:rsid w:val="004E5FAD"/>
    <w:rsid w:val="004F1CED"/>
    <w:rsid w:val="004F23C1"/>
    <w:rsid w:val="004F243A"/>
    <w:rsid w:val="004F54BA"/>
    <w:rsid w:val="004F5EAF"/>
    <w:rsid w:val="004F6B2C"/>
    <w:rsid w:val="005019C9"/>
    <w:rsid w:val="00512F9F"/>
    <w:rsid w:val="00513FFC"/>
    <w:rsid w:val="00515545"/>
    <w:rsid w:val="00515820"/>
    <w:rsid w:val="0051752E"/>
    <w:rsid w:val="00517692"/>
    <w:rsid w:val="005222FD"/>
    <w:rsid w:val="005236FC"/>
    <w:rsid w:val="00527CAA"/>
    <w:rsid w:val="00531124"/>
    <w:rsid w:val="00532F2C"/>
    <w:rsid w:val="00535154"/>
    <w:rsid w:val="005433B0"/>
    <w:rsid w:val="00543AB9"/>
    <w:rsid w:val="00544E8D"/>
    <w:rsid w:val="00552703"/>
    <w:rsid w:val="00552A91"/>
    <w:rsid w:val="005535D0"/>
    <w:rsid w:val="00553EAA"/>
    <w:rsid w:val="005543AA"/>
    <w:rsid w:val="00554AAE"/>
    <w:rsid w:val="005603A8"/>
    <w:rsid w:val="0056053F"/>
    <w:rsid w:val="005632BC"/>
    <w:rsid w:val="00564309"/>
    <w:rsid w:val="005708BD"/>
    <w:rsid w:val="00571B50"/>
    <w:rsid w:val="00576001"/>
    <w:rsid w:val="00576A8E"/>
    <w:rsid w:val="005774B3"/>
    <w:rsid w:val="00582CBF"/>
    <w:rsid w:val="00582F8C"/>
    <w:rsid w:val="005832BB"/>
    <w:rsid w:val="005843BD"/>
    <w:rsid w:val="005855FE"/>
    <w:rsid w:val="005874A8"/>
    <w:rsid w:val="00590046"/>
    <w:rsid w:val="00591ECA"/>
    <w:rsid w:val="00595F46"/>
    <w:rsid w:val="005A5DA3"/>
    <w:rsid w:val="005B396C"/>
    <w:rsid w:val="005B76F3"/>
    <w:rsid w:val="005C2149"/>
    <w:rsid w:val="005C2F2F"/>
    <w:rsid w:val="005C381F"/>
    <w:rsid w:val="005C707D"/>
    <w:rsid w:val="005D1B70"/>
    <w:rsid w:val="005D50CD"/>
    <w:rsid w:val="005E1AD4"/>
    <w:rsid w:val="005E2366"/>
    <w:rsid w:val="005E31C0"/>
    <w:rsid w:val="005E3BAE"/>
    <w:rsid w:val="005E5AEC"/>
    <w:rsid w:val="005E6C4D"/>
    <w:rsid w:val="005F0D1A"/>
    <w:rsid w:val="005F0E1F"/>
    <w:rsid w:val="005F224F"/>
    <w:rsid w:val="005F3872"/>
    <w:rsid w:val="005F394E"/>
    <w:rsid w:val="005F4409"/>
    <w:rsid w:val="006047D8"/>
    <w:rsid w:val="00604991"/>
    <w:rsid w:val="00606935"/>
    <w:rsid w:val="00607EF1"/>
    <w:rsid w:val="00610D71"/>
    <w:rsid w:val="00620F69"/>
    <w:rsid w:val="006226F7"/>
    <w:rsid w:val="00624DF5"/>
    <w:rsid w:val="00625268"/>
    <w:rsid w:val="00630EC8"/>
    <w:rsid w:val="00631767"/>
    <w:rsid w:val="00631991"/>
    <w:rsid w:val="006336F5"/>
    <w:rsid w:val="00633F74"/>
    <w:rsid w:val="006347B1"/>
    <w:rsid w:val="0064536E"/>
    <w:rsid w:val="0064582A"/>
    <w:rsid w:val="00646C4D"/>
    <w:rsid w:val="0064792A"/>
    <w:rsid w:val="00650043"/>
    <w:rsid w:val="00650E79"/>
    <w:rsid w:val="00651F39"/>
    <w:rsid w:val="006533B1"/>
    <w:rsid w:val="00653E68"/>
    <w:rsid w:val="0065492B"/>
    <w:rsid w:val="006556D2"/>
    <w:rsid w:val="006557D2"/>
    <w:rsid w:val="0066320C"/>
    <w:rsid w:val="00663A1D"/>
    <w:rsid w:val="00664426"/>
    <w:rsid w:val="00665401"/>
    <w:rsid w:val="0066717E"/>
    <w:rsid w:val="00667D0D"/>
    <w:rsid w:val="006742E8"/>
    <w:rsid w:val="00675FDF"/>
    <w:rsid w:val="00676B90"/>
    <w:rsid w:val="00676C81"/>
    <w:rsid w:val="00680924"/>
    <w:rsid w:val="00680942"/>
    <w:rsid w:val="00685B6D"/>
    <w:rsid w:val="00685FB6"/>
    <w:rsid w:val="0068640B"/>
    <w:rsid w:val="006901EA"/>
    <w:rsid w:val="00690950"/>
    <w:rsid w:val="00695EBD"/>
    <w:rsid w:val="0069682D"/>
    <w:rsid w:val="00696C12"/>
    <w:rsid w:val="006A2989"/>
    <w:rsid w:val="006A3EFA"/>
    <w:rsid w:val="006A43C3"/>
    <w:rsid w:val="006A58C8"/>
    <w:rsid w:val="006A5FA5"/>
    <w:rsid w:val="006A6A0A"/>
    <w:rsid w:val="006A708D"/>
    <w:rsid w:val="006B1E84"/>
    <w:rsid w:val="006C04AC"/>
    <w:rsid w:val="006C058E"/>
    <w:rsid w:val="006C219A"/>
    <w:rsid w:val="006C34C6"/>
    <w:rsid w:val="006C5090"/>
    <w:rsid w:val="006C5157"/>
    <w:rsid w:val="006C6846"/>
    <w:rsid w:val="006C68C1"/>
    <w:rsid w:val="006C6E70"/>
    <w:rsid w:val="006C730F"/>
    <w:rsid w:val="006C7393"/>
    <w:rsid w:val="006D27A4"/>
    <w:rsid w:val="006D3915"/>
    <w:rsid w:val="006D3FCD"/>
    <w:rsid w:val="006D6324"/>
    <w:rsid w:val="006D7F76"/>
    <w:rsid w:val="006E6E09"/>
    <w:rsid w:val="006F39AF"/>
    <w:rsid w:val="006F5029"/>
    <w:rsid w:val="0070355A"/>
    <w:rsid w:val="00704501"/>
    <w:rsid w:val="007052F7"/>
    <w:rsid w:val="00706853"/>
    <w:rsid w:val="00706FB2"/>
    <w:rsid w:val="00707832"/>
    <w:rsid w:val="00713283"/>
    <w:rsid w:val="0071346A"/>
    <w:rsid w:val="00715B95"/>
    <w:rsid w:val="007218CF"/>
    <w:rsid w:val="00723763"/>
    <w:rsid w:val="00726031"/>
    <w:rsid w:val="007274D4"/>
    <w:rsid w:val="00730276"/>
    <w:rsid w:val="00730D9E"/>
    <w:rsid w:val="0073190E"/>
    <w:rsid w:val="00734852"/>
    <w:rsid w:val="0073682A"/>
    <w:rsid w:val="00743E94"/>
    <w:rsid w:val="00745E46"/>
    <w:rsid w:val="007461CB"/>
    <w:rsid w:val="007526F3"/>
    <w:rsid w:val="007618EA"/>
    <w:rsid w:val="00763522"/>
    <w:rsid w:val="00772646"/>
    <w:rsid w:val="0077316C"/>
    <w:rsid w:val="00773C79"/>
    <w:rsid w:val="00776D12"/>
    <w:rsid w:val="00777265"/>
    <w:rsid w:val="00777FA5"/>
    <w:rsid w:val="0078122E"/>
    <w:rsid w:val="0078210F"/>
    <w:rsid w:val="007832BB"/>
    <w:rsid w:val="00791B1A"/>
    <w:rsid w:val="00794C78"/>
    <w:rsid w:val="00797DF2"/>
    <w:rsid w:val="007A06F9"/>
    <w:rsid w:val="007A0A8C"/>
    <w:rsid w:val="007A13ED"/>
    <w:rsid w:val="007A15D0"/>
    <w:rsid w:val="007A6BAA"/>
    <w:rsid w:val="007A7BD7"/>
    <w:rsid w:val="007B38DF"/>
    <w:rsid w:val="007B5A3B"/>
    <w:rsid w:val="007B78D5"/>
    <w:rsid w:val="007C1C4E"/>
    <w:rsid w:val="007C20FA"/>
    <w:rsid w:val="007C3F8B"/>
    <w:rsid w:val="007C506E"/>
    <w:rsid w:val="007D07A2"/>
    <w:rsid w:val="007D1EB1"/>
    <w:rsid w:val="007D22EC"/>
    <w:rsid w:val="007D3316"/>
    <w:rsid w:val="007D3E6F"/>
    <w:rsid w:val="007D4C11"/>
    <w:rsid w:val="007D5956"/>
    <w:rsid w:val="007D7512"/>
    <w:rsid w:val="007E29E6"/>
    <w:rsid w:val="007E4C86"/>
    <w:rsid w:val="007E7CD3"/>
    <w:rsid w:val="007F08CF"/>
    <w:rsid w:val="007F0A04"/>
    <w:rsid w:val="007F48AB"/>
    <w:rsid w:val="007F5599"/>
    <w:rsid w:val="0080059C"/>
    <w:rsid w:val="00801D2F"/>
    <w:rsid w:val="00813361"/>
    <w:rsid w:val="00816B0F"/>
    <w:rsid w:val="00817D30"/>
    <w:rsid w:val="00817FD3"/>
    <w:rsid w:val="0082083A"/>
    <w:rsid w:val="0082635C"/>
    <w:rsid w:val="00833964"/>
    <w:rsid w:val="00836007"/>
    <w:rsid w:val="00840ED9"/>
    <w:rsid w:val="008429D0"/>
    <w:rsid w:val="008459FE"/>
    <w:rsid w:val="008462BE"/>
    <w:rsid w:val="008465C3"/>
    <w:rsid w:val="00850A3F"/>
    <w:rsid w:val="008535F5"/>
    <w:rsid w:val="00855E80"/>
    <w:rsid w:val="00856EB6"/>
    <w:rsid w:val="00857527"/>
    <w:rsid w:val="00857A6B"/>
    <w:rsid w:val="00860BCD"/>
    <w:rsid w:val="0086110A"/>
    <w:rsid w:val="008619F6"/>
    <w:rsid w:val="00862177"/>
    <w:rsid w:val="00874B52"/>
    <w:rsid w:val="008751E6"/>
    <w:rsid w:val="008830C6"/>
    <w:rsid w:val="008831BA"/>
    <w:rsid w:val="008849CF"/>
    <w:rsid w:val="00885BB7"/>
    <w:rsid w:val="00885EC9"/>
    <w:rsid w:val="0089501A"/>
    <w:rsid w:val="00896D99"/>
    <w:rsid w:val="00897911"/>
    <w:rsid w:val="008A6EDB"/>
    <w:rsid w:val="008B35E1"/>
    <w:rsid w:val="008B64E4"/>
    <w:rsid w:val="008C0196"/>
    <w:rsid w:val="008C0B75"/>
    <w:rsid w:val="008C113F"/>
    <w:rsid w:val="008C24B6"/>
    <w:rsid w:val="008C4EF5"/>
    <w:rsid w:val="008D1D5F"/>
    <w:rsid w:val="008D2BC7"/>
    <w:rsid w:val="008D4460"/>
    <w:rsid w:val="008D638F"/>
    <w:rsid w:val="008D7C58"/>
    <w:rsid w:val="008E112A"/>
    <w:rsid w:val="008E3508"/>
    <w:rsid w:val="008E687C"/>
    <w:rsid w:val="008F5235"/>
    <w:rsid w:val="008F59DB"/>
    <w:rsid w:val="008F6772"/>
    <w:rsid w:val="008F6AA7"/>
    <w:rsid w:val="00900024"/>
    <w:rsid w:val="009000BE"/>
    <w:rsid w:val="009008B2"/>
    <w:rsid w:val="00906A65"/>
    <w:rsid w:val="00907B14"/>
    <w:rsid w:val="00911984"/>
    <w:rsid w:val="009147EC"/>
    <w:rsid w:val="00914F3B"/>
    <w:rsid w:val="00917754"/>
    <w:rsid w:val="00917A3D"/>
    <w:rsid w:val="00924998"/>
    <w:rsid w:val="00924FB0"/>
    <w:rsid w:val="00926CB4"/>
    <w:rsid w:val="00926DC3"/>
    <w:rsid w:val="00927499"/>
    <w:rsid w:val="00931864"/>
    <w:rsid w:val="00931FAA"/>
    <w:rsid w:val="009335C8"/>
    <w:rsid w:val="00933A19"/>
    <w:rsid w:val="00933B16"/>
    <w:rsid w:val="009365B4"/>
    <w:rsid w:val="009369E4"/>
    <w:rsid w:val="00942AC1"/>
    <w:rsid w:val="0094593C"/>
    <w:rsid w:val="00945E54"/>
    <w:rsid w:val="00951ED1"/>
    <w:rsid w:val="0095394F"/>
    <w:rsid w:val="00953D76"/>
    <w:rsid w:val="00962477"/>
    <w:rsid w:val="009628D0"/>
    <w:rsid w:val="00965882"/>
    <w:rsid w:val="00965B9D"/>
    <w:rsid w:val="00966160"/>
    <w:rsid w:val="00970F44"/>
    <w:rsid w:val="009716C8"/>
    <w:rsid w:val="00971BF8"/>
    <w:rsid w:val="00972F39"/>
    <w:rsid w:val="0097305D"/>
    <w:rsid w:val="009730D4"/>
    <w:rsid w:val="00976070"/>
    <w:rsid w:val="00980C63"/>
    <w:rsid w:val="00980F30"/>
    <w:rsid w:val="00985015"/>
    <w:rsid w:val="00986868"/>
    <w:rsid w:val="00992C08"/>
    <w:rsid w:val="00995A72"/>
    <w:rsid w:val="00995C5D"/>
    <w:rsid w:val="0099666A"/>
    <w:rsid w:val="009972D6"/>
    <w:rsid w:val="009A1DAD"/>
    <w:rsid w:val="009A464A"/>
    <w:rsid w:val="009A62B0"/>
    <w:rsid w:val="009B3AC0"/>
    <w:rsid w:val="009B673B"/>
    <w:rsid w:val="009C11F8"/>
    <w:rsid w:val="009C1597"/>
    <w:rsid w:val="009C1A55"/>
    <w:rsid w:val="009C4E56"/>
    <w:rsid w:val="009C545C"/>
    <w:rsid w:val="009C7CE0"/>
    <w:rsid w:val="009D350A"/>
    <w:rsid w:val="009D5808"/>
    <w:rsid w:val="009D5C36"/>
    <w:rsid w:val="009D7B84"/>
    <w:rsid w:val="009E50CD"/>
    <w:rsid w:val="009F0488"/>
    <w:rsid w:val="009F1299"/>
    <w:rsid w:val="009F18E7"/>
    <w:rsid w:val="009F3402"/>
    <w:rsid w:val="009F4CDF"/>
    <w:rsid w:val="009F5AF2"/>
    <w:rsid w:val="009F75A8"/>
    <w:rsid w:val="00A021ED"/>
    <w:rsid w:val="00A04137"/>
    <w:rsid w:val="00A06460"/>
    <w:rsid w:val="00A0662C"/>
    <w:rsid w:val="00A11637"/>
    <w:rsid w:val="00A13903"/>
    <w:rsid w:val="00A14A19"/>
    <w:rsid w:val="00A17560"/>
    <w:rsid w:val="00A20E65"/>
    <w:rsid w:val="00A21CDE"/>
    <w:rsid w:val="00A22100"/>
    <w:rsid w:val="00A244E2"/>
    <w:rsid w:val="00A26053"/>
    <w:rsid w:val="00A27867"/>
    <w:rsid w:val="00A30062"/>
    <w:rsid w:val="00A327F4"/>
    <w:rsid w:val="00A33BB1"/>
    <w:rsid w:val="00A353E3"/>
    <w:rsid w:val="00A3774B"/>
    <w:rsid w:val="00A41CE1"/>
    <w:rsid w:val="00A526B9"/>
    <w:rsid w:val="00A620ED"/>
    <w:rsid w:val="00A62805"/>
    <w:rsid w:val="00A62DAA"/>
    <w:rsid w:val="00A660D4"/>
    <w:rsid w:val="00A7063E"/>
    <w:rsid w:val="00A8345A"/>
    <w:rsid w:val="00A93A24"/>
    <w:rsid w:val="00A96DBE"/>
    <w:rsid w:val="00A975E6"/>
    <w:rsid w:val="00AA1CD7"/>
    <w:rsid w:val="00AA5BC7"/>
    <w:rsid w:val="00AA6FB3"/>
    <w:rsid w:val="00AB33E2"/>
    <w:rsid w:val="00AB38F6"/>
    <w:rsid w:val="00AB4FAA"/>
    <w:rsid w:val="00AC4353"/>
    <w:rsid w:val="00AC4701"/>
    <w:rsid w:val="00AC75F1"/>
    <w:rsid w:val="00AD18B0"/>
    <w:rsid w:val="00AD5AE8"/>
    <w:rsid w:val="00AE3F22"/>
    <w:rsid w:val="00AE7A17"/>
    <w:rsid w:val="00AF0F22"/>
    <w:rsid w:val="00AF1F7D"/>
    <w:rsid w:val="00AF29CE"/>
    <w:rsid w:val="00AF359E"/>
    <w:rsid w:val="00B001D3"/>
    <w:rsid w:val="00B02EB2"/>
    <w:rsid w:val="00B02F14"/>
    <w:rsid w:val="00B0629E"/>
    <w:rsid w:val="00B1541D"/>
    <w:rsid w:val="00B17339"/>
    <w:rsid w:val="00B218B0"/>
    <w:rsid w:val="00B22658"/>
    <w:rsid w:val="00B2629A"/>
    <w:rsid w:val="00B26C50"/>
    <w:rsid w:val="00B32AAD"/>
    <w:rsid w:val="00B32B1E"/>
    <w:rsid w:val="00B34109"/>
    <w:rsid w:val="00B35357"/>
    <w:rsid w:val="00B4382F"/>
    <w:rsid w:val="00B43FD4"/>
    <w:rsid w:val="00B45C45"/>
    <w:rsid w:val="00B467E0"/>
    <w:rsid w:val="00B51BB1"/>
    <w:rsid w:val="00B53D99"/>
    <w:rsid w:val="00B53E49"/>
    <w:rsid w:val="00B548DD"/>
    <w:rsid w:val="00B5546A"/>
    <w:rsid w:val="00B56241"/>
    <w:rsid w:val="00B57D56"/>
    <w:rsid w:val="00B721EF"/>
    <w:rsid w:val="00B800CC"/>
    <w:rsid w:val="00B80CB0"/>
    <w:rsid w:val="00B826A3"/>
    <w:rsid w:val="00B84DB0"/>
    <w:rsid w:val="00B856DC"/>
    <w:rsid w:val="00B87B6C"/>
    <w:rsid w:val="00B9271A"/>
    <w:rsid w:val="00B941DD"/>
    <w:rsid w:val="00B9758B"/>
    <w:rsid w:val="00BA215F"/>
    <w:rsid w:val="00BA6789"/>
    <w:rsid w:val="00BA67A2"/>
    <w:rsid w:val="00BA7A04"/>
    <w:rsid w:val="00BB2C1E"/>
    <w:rsid w:val="00BB51F7"/>
    <w:rsid w:val="00BB528C"/>
    <w:rsid w:val="00BB5F51"/>
    <w:rsid w:val="00BB794C"/>
    <w:rsid w:val="00BC00D3"/>
    <w:rsid w:val="00BC1A80"/>
    <w:rsid w:val="00BC27FB"/>
    <w:rsid w:val="00BC7F25"/>
    <w:rsid w:val="00BD105C"/>
    <w:rsid w:val="00BD109B"/>
    <w:rsid w:val="00BD14DD"/>
    <w:rsid w:val="00BD19C3"/>
    <w:rsid w:val="00BD2EAC"/>
    <w:rsid w:val="00BE2774"/>
    <w:rsid w:val="00BE60C7"/>
    <w:rsid w:val="00BE6470"/>
    <w:rsid w:val="00BE70DD"/>
    <w:rsid w:val="00BE73B6"/>
    <w:rsid w:val="00BF0935"/>
    <w:rsid w:val="00BF2535"/>
    <w:rsid w:val="00BF2B08"/>
    <w:rsid w:val="00BF4696"/>
    <w:rsid w:val="00BF54A8"/>
    <w:rsid w:val="00BF72F1"/>
    <w:rsid w:val="00C00423"/>
    <w:rsid w:val="00C021D3"/>
    <w:rsid w:val="00C042C4"/>
    <w:rsid w:val="00C0634F"/>
    <w:rsid w:val="00C121B1"/>
    <w:rsid w:val="00C173FC"/>
    <w:rsid w:val="00C21958"/>
    <w:rsid w:val="00C22283"/>
    <w:rsid w:val="00C22F58"/>
    <w:rsid w:val="00C24612"/>
    <w:rsid w:val="00C24835"/>
    <w:rsid w:val="00C253F0"/>
    <w:rsid w:val="00C25E3F"/>
    <w:rsid w:val="00C265B6"/>
    <w:rsid w:val="00C31D93"/>
    <w:rsid w:val="00C31DEC"/>
    <w:rsid w:val="00C33341"/>
    <w:rsid w:val="00C336FB"/>
    <w:rsid w:val="00C34B7D"/>
    <w:rsid w:val="00C36ADC"/>
    <w:rsid w:val="00C41DA4"/>
    <w:rsid w:val="00C4352A"/>
    <w:rsid w:val="00C43672"/>
    <w:rsid w:val="00C4409E"/>
    <w:rsid w:val="00C4577F"/>
    <w:rsid w:val="00C5305E"/>
    <w:rsid w:val="00C5492E"/>
    <w:rsid w:val="00C60678"/>
    <w:rsid w:val="00C632BC"/>
    <w:rsid w:val="00C639C9"/>
    <w:rsid w:val="00C6474D"/>
    <w:rsid w:val="00C64A8A"/>
    <w:rsid w:val="00C67EA2"/>
    <w:rsid w:val="00C74238"/>
    <w:rsid w:val="00C757F2"/>
    <w:rsid w:val="00C768EB"/>
    <w:rsid w:val="00C77891"/>
    <w:rsid w:val="00C858D3"/>
    <w:rsid w:val="00C87ABA"/>
    <w:rsid w:val="00C96AA9"/>
    <w:rsid w:val="00C96B8D"/>
    <w:rsid w:val="00C972BC"/>
    <w:rsid w:val="00CA2752"/>
    <w:rsid w:val="00CA392C"/>
    <w:rsid w:val="00CA6242"/>
    <w:rsid w:val="00CB0310"/>
    <w:rsid w:val="00CB319E"/>
    <w:rsid w:val="00CB4CC0"/>
    <w:rsid w:val="00CB4F2C"/>
    <w:rsid w:val="00CB5A0E"/>
    <w:rsid w:val="00CC1558"/>
    <w:rsid w:val="00CC1F27"/>
    <w:rsid w:val="00CC388D"/>
    <w:rsid w:val="00CD0516"/>
    <w:rsid w:val="00CD10A6"/>
    <w:rsid w:val="00CD2A62"/>
    <w:rsid w:val="00CD6E69"/>
    <w:rsid w:val="00CD7B15"/>
    <w:rsid w:val="00CD7B79"/>
    <w:rsid w:val="00CD7D6B"/>
    <w:rsid w:val="00CE6441"/>
    <w:rsid w:val="00CE6623"/>
    <w:rsid w:val="00CE7BF2"/>
    <w:rsid w:val="00CE7C4A"/>
    <w:rsid w:val="00CF3A3A"/>
    <w:rsid w:val="00D00130"/>
    <w:rsid w:val="00D00FA9"/>
    <w:rsid w:val="00D013C3"/>
    <w:rsid w:val="00D01EE9"/>
    <w:rsid w:val="00D037B6"/>
    <w:rsid w:val="00D05515"/>
    <w:rsid w:val="00D139A3"/>
    <w:rsid w:val="00D15355"/>
    <w:rsid w:val="00D162D2"/>
    <w:rsid w:val="00D2061C"/>
    <w:rsid w:val="00D2184A"/>
    <w:rsid w:val="00D22B54"/>
    <w:rsid w:val="00D2326C"/>
    <w:rsid w:val="00D25D92"/>
    <w:rsid w:val="00D25E9E"/>
    <w:rsid w:val="00D27162"/>
    <w:rsid w:val="00D3598F"/>
    <w:rsid w:val="00D36068"/>
    <w:rsid w:val="00D41B81"/>
    <w:rsid w:val="00D4327B"/>
    <w:rsid w:val="00D43BDF"/>
    <w:rsid w:val="00D44966"/>
    <w:rsid w:val="00D4587F"/>
    <w:rsid w:val="00D51F5E"/>
    <w:rsid w:val="00D55A7A"/>
    <w:rsid w:val="00D62175"/>
    <w:rsid w:val="00D62C3E"/>
    <w:rsid w:val="00D65ECC"/>
    <w:rsid w:val="00D72CCD"/>
    <w:rsid w:val="00D72E24"/>
    <w:rsid w:val="00D74FEC"/>
    <w:rsid w:val="00D75C8E"/>
    <w:rsid w:val="00D82550"/>
    <w:rsid w:val="00D828A4"/>
    <w:rsid w:val="00D8679C"/>
    <w:rsid w:val="00D90D92"/>
    <w:rsid w:val="00D91189"/>
    <w:rsid w:val="00D94FF5"/>
    <w:rsid w:val="00D95205"/>
    <w:rsid w:val="00D95F54"/>
    <w:rsid w:val="00DA28A9"/>
    <w:rsid w:val="00DA4CB4"/>
    <w:rsid w:val="00DA6FC7"/>
    <w:rsid w:val="00DB0AB2"/>
    <w:rsid w:val="00DB2DD9"/>
    <w:rsid w:val="00DB39E6"/>
    <w:rsid w:val="00DB76AC"/>
    <w:rsid w:val="00DC243B"/>
    <w:rsid w:val="00DC57BC"/>
    <w:rsid w:val="00DC7AA2"/>
    <w:rsid w:val="00DD1C8B"/>
    <w:rsid w:val="00DD7D69"/>
    <w:rsid w:val="00DE0F89"/>
    <w:rsid w:val="00DE2A9E"/>
    <w:rsid w:val="00DE3FF1"/>
    <w:rsid w:val="00DE5C97"/>
    <w:rsid w:val="00DE72CD"/>
    <w:rsid w:val="00DF083D"/>
    <w:rsid w:val="00DF416D"/>
    <w:rsid w:val="00DF61C7"/>
    <w:rsid w:val="00DF7ADB"/>
    <w:rsid w:val="00E016FB"/>
    <w:rsid w:val="00E04E6D"/>
    <w:rsid w:val="00E1154E"/>
    <w:rsid w:val="00E13FE5"/>
    <w:rsid w:val="00E208A8"/>
    <w:rsid w:val="00E225B8"/>
    <w:rsid w:val="00E26BBB"/>
    <w:rsid w:val="00E276D7"/>
    <w:rsid w:val="00E27C4E"/>
    <w:rsid w:val="00E31411"/>
    <w:rsid w:val="00E342CE"/>
    <w:rsid w:val="00E346F5"/>
    <w:rsid w:val="00E363DD"/>
    <w:rsid w:val="00E45D8A"/>
    <w:rsid w:val="00E467CA"/>
    <w:rsid w:val="00E46AE5"/>
    <w:rsid w:val="00E55806"/>
    <w:rsid w:val="00E6056D"/>
    <w:rsid w:val="00E608CD"/>
    <w:rsid w:val="00E61115"/>
    <w:rsid w:val="00E635DE"/>
    <w:rsid w:val="00E66CA9"/>
    <w:rsid w:val="00E70A17"/>
    <w:rsid w:val="00E719DD"/>
    <w:rsid w:val="00E71DC1"/>
    <w:rsid w:val="00E72C1A"/>
    <w:rsid w:val="00E72E40"/>
    <w:rsid w:val="00E72E7F"/>
    <w:rsid w:val="00E740E6"/>
    <w:rsid w:val="00E756D7"/>
    <w:rsid w:val="00E771D3"/>
    <w:rsid w:val="00E82516"/>
    <w:rsid w:val="00E83B50"/>
    <w:rsid w:val="00E84493"/>
    <w:rsid w:val="00E8648E"/>
    <w:rsid w:val="00E866F9"/>
    <w:rsid w:val="00E93BA1"/>
    <w:rsid w:val="00E9587E"/>
    <w:rsid w:val="00EA0190"/>
    <w:rsid w:val="00EB2CA8"/>
    <w:rsid w:val="00EB447E"/>
    <w:rsid w:val="00EB6BDE"/>
    <w:rsid w:val="00EB6D96"/>
    <w:rsid w:val="00EB7888"/>
    <w:rsid w:val="00EC20DD"/>
    <w:rsid w:val="00EC33DE"/>
    <w:rsid w:val="00EC5D33"/>
    <w:rsid w:val="00EC6995"/>
    <w:rsid w:val="00ED402F"/>
    <w:rsid w:val="00ED668F"/>
    <w:rsid w:val="00ED7577"/>
    <w:rsid w:val="00EE3AF0"/>
    <w:rsid w:val="00EE52FF"/>
    <w:rsid w:val="00EE5506"/>
    <w:rsid w:val="00EE67DE"/>
    <w:rsid w:val="00EE7E49"/>
    <w:rsid w:val="00EE7FAB"/>
    <w:rsid w:val="00EF3C91"/>
    <w:rsid w:val="00EF60A9"/>
    <w:rsid w:val="00EF6B98"/>
    <w:rsid w:val="00F00A50"/>
    <w:rsid w:val="00F0203C"/>
    <w:rsid w:val="00F04B0B"/>
    <w:rsid w:val="00F07C35"/>
    <w:rsid w:val="00F11A27"/>
    <w:rsid w:val="00F13CEF"/>
    <w:rsid w:val="00F14765"/>
    <w:rsid w:val="00F15128"/>
    <w:rsid w:val="00F179F2"/>
    <w:rsid w:val="00F2341E"/>
    <w:rsid w:val="00F24895"/>
    <w:rsid w:val="00F25D4D"/>
    <w:rsid w:val="00F26DE5"/>
    <w:rsid w:val="00F30D9B"/>
    <w:rsid w:val="00F31AE5"/>
    <w:rsid w:val="00F35E65"/>
    <w:rsid w:val="00F36134"/>
    <w:rsid w:val="00F36166"/>
    <w:rsid w:val="00F40C7C"/>
    <w:rsid w:val="00F41323"/>
    <w:rsid w:val="00F43A76"/>
    <w:rsid w:val="00F441A6"/>
    <w:rsid w:val="00F45F6C"/>
    <w:rsid w:val="00F54645"/>
    <w:rsid w:val="00F56297"/>
    <w:rsid w:val="00F620D0"/>
    <w:rsid w:val="00F6292B"/>
    <w:rsid w:val="00F63989"/>
    <w:rsid w:val="00F642C4"/>
    <w:rsid w:val="00F74514"/>
    <w:rsid w:val="00F75718"/>
    <w:rsid w:val="00F767A2"/>
    <w:rsid w:val="00F77E6B"/>
    <w:rsid w:val="00F81BA0"/>
    <w:rsid w:val="00F867B3"/>
    <w:rsid w:val="00F902D6"/>
    <w:rsid w:val="00F92479"/>
    <w:rsid w:val="00F9417A"/>
    <w:rsid w:val="00F9543E"/>
    <w:rsid w:val="00F96ED9"/>
    <w:rsid w:val="00FA1438"/>
    <w:rsid w:val="00FA61A3"/>
    <w:rsid w:val="00FA6C96"/>
    <w:rsid w:val="00FA70B2"/>
    <w:rsid w:val="00FB2503"/>
    <w:rsid w:val="00FB49DB"/>
    <w:rsid w:val="00FB65D4"/>
    <w:rsid w:val="00FB6890"/>
    <w:rsid w:val="00FC1222"/>
    <w:rsid w:val="00FC782C"/>
    <w:rsid w:val="00FD01CB"/>
    <w:rsid w:val="00FD3DC6"/>
    <w:rsid w:val="00FD3F04"/>
    <w:rsid w:val="00FD564F"/>
    <w:rsid w:val="00FD6295"/>
    <w:rsid w:val="00FD7180"/>
    <w:rsid w:val="00FD750E"/>
    <w:rsid w:val="00FE1F1C"/>
    <w:rsid w:val="00FE3E9D"/>
    <w:rsid w:val="00FE68CB"/>
    <w:rsid w:val="00FF0437"/>
    <w:rsid w:val="00FF3F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F97"/>
    <w:pPr>
      <w:overflowPunct w:val="0"/>
      <w:autoSpaceDE w:val="0"/>
      <w:autoSpaceDN w:val="0"/>
      <w:adjustRightInd w:val="0"/>
      <w:textAlignment w:val="baseline"/>
    </w:pPr>
    <w:rPr>
      <w:rFonts w:ascii="Times" w:eastAsia="Times New Roman" w:hAnsi="Times"/>
      <w:sz w:val="24"/>
      <w:lang w:val="pt-BR" w:eastAsia="es-ES"/>
    </w:rPr>
  </w:style>
  <w:style w:type="paragraph" w:styleId="Ttulo1">
    <w:name w:val="heading 1"/>
    <w:basedOn w:val="Normal"/>
    <w:next w:val="Normal"/>
    <w:link w:val="Ttulo1Car"/>
    <w:qFormat/>
    <w:rsid w:val="000B3F97"/>
    <w:pPr>
      <w:keepNext/>
      <w:jc w:val="center"/>
      <w:outlineLvl w:val="0"/>
    </w:pPr>
    <w:rPr>
      <w:b/>
      <w:sz w:val="20"/>
      <w:lang w:val="x-none"/>
    </w:rPr>
  </w:style>
  <w:style w:type="paragraph" w:styleId="Ttulo2">
    <w:name w:val="heading 2"/>
    <w:basedOn w:val="Normal"/>
    <w:next w:val="Normal"/>
    <w:link w:val="Ttulo2Car"/>
    <w:qFormat/>
    <w:rsid w:val="000B3F97"/>
    <w:pPr>
      <w:keepNext/>
      <w:ind w:right="-720"/>
      <w:outlineLvl w:val="1"/>
    </w:pPr>
    <w:rPr>
      <w:rFonts w:ascii="Palatino" w:hAnsi="Palatino"/>
      <w:b/>
      <w:lang w:val="es-ES_tradnl"/>
    </w:rPr>
  </w:style>
  <w:style w:type="paragraph" w:styleId="Ttulo3">
    <w:name w:val="heading 3"/>
    <w:basedOn w:val="Normal"/>
    <w:next w:val="Normal"/>
    <w:link w:val="Ttulo3Car"/>
    <w:qFormat/>
    <w:rsid w:val="000B3F97"/>
    <w:pPr>
      <w:keepNext/>
      <w:ind w:right="-720"/>
      <w:jc w:val="center"/>
      <w:outlineLvl w:val="2"/>
    </w:pPr>
    <w:rPr>
      <w:rFonts w:ascii="Palatino" w:hAnsi="Palatino"/>
      <w:b/>
      <w:lang w:val="es-ES_tradnl"/>
    </w:rPr>
  </w:style>
  <w:style w:type="paragraph" w:styleId="Ttulo4">
    <w:name w:val="heading 4"/>
    <w:basedOn w:val="Normal"/>
    <w:next w:val="Normal"/>
    <w:link w:val="Ttulo4Car"/>
    <w:qFormat/>
    <w:rsid w:val="000B3F97"/>
    <w:pPr>
      <w:keepNext/>
      <w:ind w:right="-540"/>
      <w:jc w:val="both"/>
      <w:outlineLvl w:val="3"/>
    </w:pPr>
    <w:rPr>
      <w:b/>
      <w:lang w:val="x-none"/>
    </w:rPr>
  </w:style>
  <w:style w:type="paragraph" w:styleId="Ttulo5">
    <w:name w:val="heading 5"/>
    <w:basedOn w:val="Normal"/>
    <w:next w:val="Normal"/>
    <w:link w:val="Ttulo5Car"/>
    <w:qFormat/>
    <w:rsid w:val="000B3F97"/>
    <w:pPr>
      <w:keepNext/>
      <w:ind w:right="10"/>
      <w:jc w:val="center"/>
      <w:outlineLvl w:val="4"/>
    </w:pPr>
    <w:rPr>
      <w:b/>
      <w:sz w:val="20"/>
      <w:lang w:val="x-none"/>
    </w:rPr>
  </w:style>
  <w:style w:type="paragraph" w:styleId="Ttulo6">
    <w:name w:val="heading 6"/>
    <w:basedOn w:val="Normal"/>
    <w:next w:val="Normal"/>
    <w:link w:val="Ttulo6Car"/>
    <w:qFormat/>
    <w:rsid w:val="000B3F97"/>
    <w:pPr>
      <w:keepNext/>
      <w:ind w:right="-80"/>
      <w:outlineLvl w:val="5"/>
    </w:pPr>
    <w:rPr>
      <w:b/>
      <w:sz w:val="20"/>
      <w:lang w:val="x-none"/>
    </w:rPr>
  </w:style>
  <w:style w:type="paragraph" w:styleId="Ttulo7">
    <w:name w:val="heading 7"/>
    <w:basedOn w:val="Normal"/>
    <w:next w:val="Normal"/>
    <w:link w:val="Ttulo7Car"/>
    <w:qFormat/>
    <w:rsid w:val="000B3F97"/>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link w:val="Ttulo8Car"/>
    <w:qFormat/>
    <w:rsid w:val="000B3F97"/>
    <w:pPr>
      <w:keepNext/>
      <w:jc w:val="center"/>
      <w:outlineLvl w:val="7"/>
    </w:pPr>
    <w:rPr>
      <w:rFonts w:ascii="Garamond" w:hAnsi="Garamond"/>
      <w:b/>
      <w:smallCaps/>
      <w:lang w:val="x-none"/>
    </w:rPr>
  </w:style>
  <w:style w:type="paragraph" w:styleId="Ttulo9">
    <w:name w:val="heading 9"/>
    <w:basedOn w:val="Normal"/>
    <w:next w:val="Normal"/>
    <w:link w:val="Ttulo9Car"/>
    <w:qFormat/>
    <w:rsid w:val="000B3F97"/>
    <w:pPr>
      <w:keepNext/>
      <w:numPr>
        <w:numId w:val="1"/>
      </w:numPr>
      <w:tabs>
        <w:tab w:val="left" w:pos="360"/>
      </w:tabs>
      <w:jc w:val="both"/>
      <w:outlineLvl w:val="8"/>
    </w:pPr>
    <w:rPr>
      <w:b/>
      <w:smallCap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link w:val="Ttulo1"/>
    <w:rsid w:val="000B3F97"/>
    <w:rPr>
      <w:rFonts w:ascii="Times" w:eastAsia="Times New Roman" w:hAnsi="Times" w:cs="Times New Roman"/>
      <w:b/>
      <w:sz w:val="20"/>
      <w:szCs w:val="20"/>
      <w:lang w:eastAsia="es-ES"/>
    </w:rPr>
  </w:style>
  <w:style w:type="character" w:customStyle="1" w:styleId="Ttulo2Car">
    <w:name w:val="Título 2 Car"/>
    <w:link w:val="Ttulo2"/>
    <w:rsid w:val="000B3F97"/>
    <w:rPr>
      <w:rFonts w:ascii="Palatino" w:eastAsia="Times New Roman" w:hAnsi="Palatino" w:cs="Times New Roman"/>
      <w:b/>
      <w:sz w:val="24"/>
      <w:szCs w:val="20"/>
      <w:lang w:val="es-ES_tradnl" w:eastAsia="es-ES"/>
    </w:rPr>
  </w:style>
  <w:style w:type="character" w:customStyle="1" w:styleId="Ttulo3Car">
    <w:name w:val="Título 3 Car"/>
    <w:link w:val="Ttulo3"/>
    <w:rsid w:val="000B3F97"/>
    <w:rPr>
      <w:rFonts w:ascii="Palatino" w:eastAsia="Times New Roman" w:hAnsi="Palatino" w:cs="Times New Roman"/>
      <w:b/>
      <w:sz w:val="24"/>
      <w:szCs w:val="20"/>
      <w:lang w:val="es-ES_tradnl" w:eastAsia="es-ES"/>
    </w:rPr>
  </w:style>
  <w:style w:type="character" w:customStyle="1" w:styleId="Ttulo4Car">
    <w:name w:val="Título 4 Car"/>
    <w:link w:val="Ttulo4"/>
    <w:rsid w:val="000B3F97"/>
    <w:rPr>
      <w:rFonts w:ascii="Times" w:eastAsia="Times New Roman" w:hAnsi="Times" w:cs="Times New Roman"/>
      <w:b/>
      <w:sz w:val="24"/>
      <w:szCs w:val="20"/>
      <w:lang w:eastAsia="es-ES"/>
    </w:rPr>
  </w:style>
  <w:style w:type="character" w:customStyle="1" w:styleId="Ttulo5Car">
    <w:name w:val="Título 5 Car"/>
    <w:link w:val="Ttulo5"/>
    <w:rsid w:val="000B3F97"/>
    <w:rPr>
      <w:rFonts w:ascii="Times" w:eastAsia="Times New Roman" w:hAnsi="Times" w:cs="Times New Roman"/>
      <w:b/>
      <w:sz w:val="20"/>
      <w:szCs w:val="20"/>
      <w:lang w:eastAsia="es-ES"/>
    </w:rPr>
  </w:style>
  <w:style w:type="character" w:customStyle="1" w:styleId="Ttulo6Car">
    <w:name w:val="Título 6 Car"/>
    <w:link w:val="Ttulo6"/>
    <w:rsid w:val="000B3F97"/>
    <w:rPr>
      <w:rFonts w:ascii="Times" w:eastAsia="Times New Roman" w:hAnsi="Times" w:cs="Times New Roman"/>
      <w:b/>
      <w:sz w:val="20"/>
      <w:szCs w:val="20"/>
      <w:lang w:eastAsia="es-ES"/>
    </w:rPr>
  </w:style>
  <w:style w:type="character" w:customStyle="1" w:styleId="Ttulo7Car">
    <w:name w:val="Título 7 Car"/>
    <w:link w:val="Ttulo7"/>
    <w:rsid w:val="000B3F97"/>
    <w:rPr>
      <w:rFonts w:ascii="Palatino" w:eastAsia="Times New Roman" w:hAnsi="Palatino" w:cs="Times New Roman"/>
      <w:b/>
      <w:smallCaps/>
      <w:sz w:val="24"/>
      <w:szCs w:val="20"/>
      <w:lang w:val="es-ES_tradnl" w:eastAsia="es-ES"/>
    </w:rPr>
  </w:style>
  <w:style w:type="character" w:customStyle="1" w:styleId="Ttulo8Car">
    <w:name w:val="Título 8 Car"/>
    <w:link w:val="Ttulo8"/>
    <w:rsid w:val="000B3F97"/>
    <w:rPr>
      <w:rFonts w:ascii="Garamond" w:eastAsia="Times New Roman" w:hAnsi="Garamond" w:cs="Times New Roman"/>
      <w:b/>
      <w:smallCaps/>
      <w:sz w:val="24"/>
      <w:szCs w:val="20"/>
      <w:lang w:eastAsia="es-ES"/>
    </w:rPr>
  </w:style>
  <w:style w:type="character" w:customStyle="1" w:styleId="Ttulo9Car">
    <w:name w:val="Título 9 Car"/>
    <w:link w:val="Ttulo9"/>
    <w:rsid w:val="000B3F97"/>
    <w:rPr>
      <w:rFonts w:ascii="Times" w:eastAsia="Times New Roman" w:hAnsi="Times" w:cs="Times New Roman"/>
      <w:b/>
      <w:smallCaps/>
      <w:sz w:val="24"/>
      <w:szCs w:val="20"/>
      <w:lang w:val="es-ES_tradnl" w:eastAsia="es-ES"/>
    </w:rPr>
  </w:style>
  <w:style w:type="paragraph" w:styleId="Sangranormal">
    <w:name w:val="Normal Indent"/>
    <w:basedOn w:val="Normal"/>
    <w:rsid w:val="000B3F97"/>
    <w:pPr>
      <w:jc w:val="center"/>
    </w:pPr>
    <w:rPr>
      <w:b/>
    </w:rPr>
  </w:style>
  <w:style w:type="paragraph" w:customStyle="1" w:styleId="BodyText21">
    <w:name w:val="Body Text 21"/>
    <w:basedOn w:val="Normal"/>
    <w:rsid w:val="000B3F97"/>
    <w:pPr>
      <w:ind w:right="-720"/>
      <w:jc w:val="both"/>
    </w:pPr>
    <w:rPr>
      <w:rFonts w:ascii="Palatino" w:hAnsi="Palatino"/>
    </w:rPr>
  </w:style>
  <w:style w:type="character" w:styleId="Refdenotaalpie">
    <w:name w:val="footnote reference"/>
    <w:semiHidden/>
    <w:rsid w:val="000B3F97"/>
    <w:rPr>
      <w:vertAlign w:val="superscript"/>
    </w:rPr>
  </w:style>
  <w:style w:type="paragraph" w:styleId="Textonotapie">
    <w:name w:val="footnote text"/>
    <w:basedOn w:val="Normal"/>
    <w:link w:val="TextonotapieCar"/>
    <w:semiHidden/>
    <w:rsid w:val="000B3F97"/>
    <w:rPr>
      <w:rFonts w:ascii="New York" w:hAnsi="New York"/>
      <w:sz w:val="20"/>
      <w:lang w:val="x-none"/>
    </w:rPr>
  </w:style>
  <w:style w:type="character" w:customStyle="1" w:styleId="TextonotapieCar">
    <w:name w:val="Texto nota pie Car"/>
    <w:link w:val="Textonotapie"/>
    <w:semiHidden/>
    <w:rsid w:val="000B3F97"/>
    <w:rPr>
      <w:rFonts w:ascii="New York" w:eastAsia="Times New Roman" w:hAnsi="New York" w:cs="Times New Roman"/>
      <w:sz w:val="20"/>
      <w:szCs w:val="20"/>
      <w:lang w:eastAsia="es-ES"/>
    </w:rPr>
  </w:style>
  <w:style w:type="paragraph" w:styleId="Encabezado">
    <w:name w:val="header"/>
    <w:basedOn w:val="Normal"/>
    <w:link w:val="EncabezadoCar"/>
    <w:rsid w:val="000B3F97"/>
    <w:pPr>
      <w:tabs>
        <w:tab w:val="center" w:pos="4320"/>
        <w:tab w:val="right" w:pos="8640"/>
      </w:tabs>
    </w:pPr>
    <w:rPr>
      <w:rFonts w:ascii="Garamond" w:hAnsi="Garamond"/>
      <w:lang w:val="x-none"/>
    </w:rPr>
  </w:style>
  <w:style w:type="character" w:customStyle="1" w:styleId="EncabezadoCar">
    <w:name w:val="Encabezado Car"/>
    <w:link w:val="Encabezado"/>
    <w:rsid w:val="000B3F97"/>
    <w:rPr>
      <w:rFonts w:ascii="Garamond" w:eastAsia="Times New Roman" w:hAnsi="Garamond" w:cs="Times New Roman"/>
      <w:sz w:val="24"/>
      <w:szCs w:val="20"/>
      <w:lang w:eastAsia="es-ES"/>
    </w:rPr>
  </w:style>
  <w:style w:type="paragraph" w:customStyle="1" w:styleId="Init1">
    <w:name w:val="Init 1"/>
    <w:basedOn w:val="Normal"/>
    <w:rsid w:val="000B3F97"/>
    <w:pPr>
      <w:tabs>
        <w:tab w:val="left" w:pos="600"/>
        <w:tab w:val="left" w:pos="1200"/>
        <w:tab w:val="left" w:pos="1800"/>
        <w:tab w:val="left" w:pos="4320"/>
        <w:tab w:val="left" w:pos="6240"/>
        <w:tab w:val="right" w:pos="8760"/>
      </w:tabs>
      <w:spacing w:line="240" w:lineRule="atLeast"/>
      <w:jc w:val="both"/>
    </w:pPr>
    <w:rPr>
      <w:rFonts w:ascii="Courier" w:hAnsi="Courier"/>
    </w:rPr>
  </w:style>
  <w:style w:type="paragraph" w:customStyle="1" w:styleId="BlockText1">
    <w:name w:val="Block Text1"/>
    <w:basedOn w:val="Normal"/>
    <w:rsid w:val="000B3F97"/>
    <w:pPr>
      <w:ind w:left="720" w:right="-540" w:hanging="720"/>
      <w:jc w:val="both"/>
    </w:pPr>
    <w:rPr>
      <w:b/>
      <w:smallCaps/>
      <w:sz w:val="20"/>
    </w:rPr>
  </w:style>
  <w:style w:type="paragraph" w:styleId="Textoindependiente">
    <w:name w:val="Body Text"/>
    <w:basedOn w:val="Normal"/>
    <w:link w:val="TextoindependienteCar"/>
    <w:rsid w:val="000B3F97"/>
    <w:pPr>
      <w:widowControl w:val="0"/>
      <w:jc w:val="both"/>
    </w:pPr>
    <w:rPr>
      <w:rFonts w:ascii="Times New Roman" w:hAnsi="Times New Roman"/>
      <w:lang w:val="es-ES"/>
    </w:rPr>
  </w:style>
  <w:style w:type="character" w:customStyle="1" w:styleId="TextoindependienteCar">
    <w:name w:val="Texto independiente Car"/>
    <w:link w:val="Textoindependiente"/>
    <w:rsid w:val="000B3F97"/>
    <w:rPr>
      <w:rFonts w:ascii="Times New Roman" w:eastAsia="Times New Roman" w:hAnsi="Times New Roman" w:cs="Times New Roman"/>
      <w:sz w:val="24"/>
      <w:szCs w:val="20"/>
      <w:lang w:val="es-ES" w:eastAsia="es-ES"/>
    </w:rPr>
  </w:style>
  <w:style w:type="paragraph" w:customStyle="1" w:styleId="BodyTextIndent31">
    <w:name w:val="Body Text Indent 31"/>
    <w:basedOn w:val="Normal"/>
    <w:rsid w:val="000B3F97"/>
    <w:pPr>
      <w:ind w:left="709" w:hanging="709"/>
      <w:jc w:val="both"/>
    </w:pPr>
  </w:style>
  <w:style w:type="paragraph" w:styleId="Ttulo">
    <w:name w:val="Title"/>
    <w:basedOn w:val="Normal"/>
    <w:link w:val="TtuloCar"/>
    <w:qFormat/>
    <w:rsid w:val="000B3F97"/>
    <w:pPr>
      <w:spacing w:line="360" w:lineRule="atLeast"/>
      <w:jc w:val="center"/>
    </w:pPr>
    <w:rPr>
      <w:rFonts w:ascii="Palatino" w:hAnsi="Palatino"/>
      <w:b/>
      <w:sz w:val="28"/>
      <w:lang w:val="x-none"/>
    </w:rPr>
  </w:style>
  <w:style w:type="character" w:customStyle="1" w:styleId="TtuloCar">
    <w:name w:val="Título Car"/>
    <w:link w:val="Ttulo"/>
    <w:rsid w:val="000B3F97"/>
    <w:rPr>
      <w:rFonts w:ascii="Palatino" w:eastAsia="Times New Roman" w:hAnsi="Palatino" w:cs="Times New Roman"/>
      <w:b/>
      <w:sz w:val="28"/>
      <w:szCs w:val="20"/>
      <w:lang w:eastAsia="es-ES"/>
    </w:rPr>
  </w:style>
  <w:style w:type="paragraph" w:customStyle="1" w:styleId="BodyTextIndent21">
    <w:name w:val="Body Text Indent 21"/>
    <w:basedOn w:val="Normal"/>
    <w:rsid w:val="000B3F97"/>
    <w:pPr>
      <w:tabs>
        <w:tab w:val="left" w:pos="360"/>
        <w:tab w:val="left" w:pos="709"/>
      </w:tabs>
      <w:ind w:left="2160"/>
      <w:jc w:val="both"/>
    </w:pPr>
    <w:rPr>
      <w:rFonts w:ascii="Palatino" w:hAnsi="Palatino"/>
      <w:lang w:val="es-ES_tradnl"/>
    </w:rPr>
  </w:style>
  <w:style w:type="paragraph" w:customStyle="1" w:styleId="DocumentMap1">
    <w:name w:val="Document Map1"/>
    <w:basedOn w:val="Normal"/>
    <w:rsid w:val="000B3F97"/>
    <w:pPr>
      <w:shd w:val="clear" w:color="auto" w:fill="000080"/>
    </w:pPr>
    <w:rPr>
      <w:rFonts w:ascii="Geneva" w:hAnsi="Geneva"/>
    </w:rPr>
  </w:style>
  <w:style w:type="paragraph" w:customStyle="1" w:styleId="BodyText1">
    <w:name w:val="Body Text 1"/>
    <w:basedOn w:val="BodyText21"/>
    <w:rsid w:val="000B3F97"/>
    <w:rPr>
      <w:b/>
      <w:smallCaps/>
      <w:lang w:val="es-ES_tradnl"/>
    </w:rPr>
  </w:style>
  <w:style w:type="paragraph" w:customStyle="1" w:styleId="BodyText31">
    <w:name w:val="Body Text 31"/>
    <w:basedOn w:val="Normal"/>
    <w:rsid w:val="000B3F97"/>
    <w:rPr>
      <w:b/>
      <w:caps/>
    </w:rPr>
  </w:style>
  <w:style w:type="paragraph" w:styleId="Piedepgina">
    <w:name w:val="footer"/>
    <w:basedOn w:val="Normal"/>
    <w:link w:val="PiedepginaCar"/>
    <w:rsid w:val="000B3F97"/>
    <w:pPr>
      <w:tabs>
        <w:tab w:val="center" w:pos="4320"/>
        <w:tab w:val="right" w:pos="8640"/>
      </w:tabs>
    </w:pPr>
    <w:rPr>
      <w:lang w:val="x-none"/>
    </w:rPr>
  </w:style>
  <w:style w:type="character" w:customStyle="1" w:styleId="PiedepginaCar">
    <w:name w:val="Pie de página Car"/>
    <w:link w:val="Piedepgina"/>
    <w:rsid w:val="000B3F97"/>
    <w:rPr>
      <w:rFonts w:ascii="Times" w:eastAsia="Times New Roman" w:hAnsi="Times" w:cs="Times New Roman"/>
      <w:sz w:val="24"/>
      <w:szCs w:val="20"/>
      <w:lang w:eastAsia="es-ES"/>
    </w:rPr>
  </w:style>
  <w:style w:type="character" w:styleId="Nmerodepgina">
    <w:name w:val="page number"/>
    <w:basedOn w:val="Fuentedeprrafopredeter"/>
    <w:rsid w:val="000B3F97"/>
  </w:style>
  <w:style w:type="paragraph" w:styleId="Epgrafe">
    <w:name w:val="caption"/>
    <w:basedOn w:val="Normal"/>
    <w:qFormat/>
    <w:rsid w:val="000B3F97"/>
    <w:pPr>
      <w:jc w:val="center"/>
    </w:pPr>
    <w:rPr>
      <w:rFonts w:ascii="Garamond" w:hAnsi="Garamond"/>
      <w:b/>
      <w:smallCaps/>
    </w:rPr>
  </w:style>
  <w:style w:type="paragraph" w:customStyle="1" w:styleId="negritamayuscula">
    <w:name w:val="negrita mayuscula"/>
    <w:basedOn w:val="Normal"/>
    <w:rsid w:val="000B3F97"/>
    <w:pPr>
      <w:widowControl w:val="0"/>
      <w:tabs>
        <w:tab w:val="left" w:pos="1120"/>
      </w:tabs>
      <w:spacing w:line="360" w:lineRule="atLeast"/>
      <w:jc w:val="both"/>
    </w:pPr>
    <w:rPr>
      <w:rFonts w:ascii="Garamond" w:hAnsi="Garamond"/>
      <w:lang w:val="es-ES_tradnl"/>
    </w:rPr>
  </w:style>
  <w:style w:type="paragraph" w:styleId="Subttulo">
    <w:name w:val="Subtitle"/>
    <w:basedOn w:val="Normal"/>
    <w:link w:val="SubttuloCar"/>
    <w:qFormat/>
    <w:rsid w:val="000B3F97"/>
    <w:pPr>
      <w:tabs>
        <w:tab w:val="left" w:pos="360"/>
      </w:tabs>
      <w:ind w:left="360" w:hanging="360"/>
      <w:jc w:val="center"/>
    </w:pPr>
    <w:rPr>
      <w:rFonts w:ascii="Garamond" w:hAnsi="Garamond"/>
      <w:b/>
      <w:smallCaps/>
      <w:lang w:val="es-CR"/>
    </w:rPr>
  </w:style>
  <w:style w:type="character" w:customStyle="1" w:styleId="SubttuloCar">
    <w:name w:val="Subtítulo Car"/>
    <w:link w:val="Subttulo"/>
    <w:rsid w:val="000B3F97"/>
    <w:rPr>
      <w:rFonts w:ascii="Garamond" w:eastAsia="Times New Roman" w:hAnsi="Garamond" w:cs="Times New Roman"/>
      <w:b/>
      <w:smallCaps/>
      <w:sz w:val="24"/>
      <w:szCs w:val="20"/>
      <w:lang w:val="es-CR" w:eastAsia="es-ES"/>
    </w:rPr>
  </w:style>
  <w:style w:type="paragraph" w:customStyle="1" w:styleId="BodyText24">
    <w:name w:val="Body Text 24"/>
    <w:basedOn w:val="Normal"/>
    <w:rsid w:val="000B3F97"/>
    <w:pPr>
      <w:widowControl w:val="0"/>
      <w:jc w:val="center"/>
    </w:pPr>
    <w:rPr>
      <w:rFonts w:ascii="Garamond" w:hAnsi="Garamond"/>
      <w:lang w:val="es-ES_tradnl"/>
    </w:rPr>
  </w:style>
  <w:style w:type="character" w:customStyle="1" w:styleId="nfasis">
    <w:name w:val="Änfasis"/>
    <w:rsid w:val="000B3F97"/>
    <w:rPr>
      <w:i/>
      <w:sz w:val="20"/>
    </w:rPr>
  </w:style>
  <w:style w:type="paragraph" w:customStyle="1" w:styleId="Textodenotaalpie">
    <w:name w:val="Texto de nota al pie"/>
    <w:basedOn w:val="Normal"/>
    <w:rsid w:val="000B3F97"/>
    <w:pPr>
      <w:widowControl w:val="0"/>
    </w:pPr>
    <w:rPr>
      <w:rFonts w:ascii="Courier New" w:hAnsi="Courier New"/>
      <w:lang w:val="es-ES"/>
    </w:rPr>
  </w:style>
  <w:style w:type="paragraph" w:customStyle="1" w:styleId="sq">
    <w:name w:val="sq"/>
    <w:basedOn w:val="Normal"/>
    <w:rsid w:val="000B3F9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jc w:val="both"/>
    </w:pPr>
    <w:rPr>
      <w:rFonts w:ascii="Garamond" w:hAnsi="Garamond"/>
    </w:rPr>
  </w:style>
  <w:style w:type="character" w:styleId="Refdecomentario">
    <w:name w:val="annotation reference"/>
    <w:rsid w:val="000B3F97"/>
    <w:rPr>
      <w:sz w:val="16"/>
      <w:szCs w:val="16"/>
    </w:rPr>
  </w:style>
  <w:style w:type="paragraph" w:styleId="Textocomentario">
    <w:name w:val="annotation text"/>
    <w:basedOn w:val="Normal"/>
    <w:link w:val="TextocomentarioCar"/>
    <w:rsid w:val="000B3F97"/>
    <w:rPr>
      <w:sz w:val="20"/>
      <w:lang w:val="x-none"/>
    </w:rPr>
  </w:style>
  <w:style w:type="character" w:customStyle="1" w:styleId="TextocomentarioCar">
    <w:name w:val="Texto comentario Car"/>
    <w:link w:val="Textocomentario"/>
    <w:rsid w:val="000B3F97"/>
    <w:rPr>
      <w:rFonts w:ascii="Times" w:eastAsia="Times New Roman" w:hAnsi="Times" w:cs="Times New Roman"/>
      <w:sz w:val="20"/>
      <w:szCs w:val="20"/>
      <w:lang w:eastAsia="es-ES"/>
    </w:rPr>
  </w:style>
  <w:style w:type="paragraph" w:styleId="Asuntodelcomentario">
    <w:name w:val="annotation subject"/>
    <w:basedOn w:val="Textocomentario"/>
    <w:next w:val="Textocomentario"/>
    <w:link w:val="AsuntodelcomentarioCar"/>
    <w:rsid w:val="000B3F97"/>
    <w:rPr>
      <w:b/>
      <w:bCs/>
    </w:rPr>
  </w:style>
  <w:style w:type="character" w:customStyle="1" w:styleId="AsuntodelcomentarioCar">
    <w:name w:val="Asunto del comentario Car"/>
    <w:link w:val="Asuntodelcomentario"/>
    <w:rsid w:val="000B3F97"/>
    <w:rPr>
      <w:rFonts w:ascii="Times" w:eastAsia="Times New Roman" w:hAnsi="Times" w:cs="Times New Roman"/>
      <w:b/>
      <w:bCs/>
      <w:sz w:val="20"/>
      <w:szCs w:val="20"/>
      <w:lang w:eastAsia="es-ES"/>
    </w:rPr>
  </w:style>
  <w:style w:type="paragraph" w:styleId="Textodeglobo">
    <w:name w:val="Balloon Text"/>
    <w:basedOn w:val="Normal"/>
    <w:link w:val="TextodegloboCar"/>
    <w:rsid w:val="000B3F97"/>
    <w:rPr>
      <w:rFonts w:ascii="Tahoma" w:hAnsi="Tahoma"/>
      <w:sz w:val="16"/>
      <w:szCs w:val="16"/>
      <w:lang w:val="x-none"/>
    </w:rPr>
  </w:style>
  <w:style w:type="character" w:customStyle="1" w:styleId="TextodegloboCar">
    <w:name w:val="Texto de globo Car"/>
    <w:link w:val="Textodeglobo"/>
    <w:rsid w:val="000B3F97"/>
    <w:rPr>
      <w:rFonts w:ascii="Tahoma" w:eastAsia="Times New Roman" w:hAnsi="Tahoma" w:cs="Tahoma"/>
      <w:sz w:val="16"/>
      <w:szCs w:val="16"/>
      <w:lang w:eastAsia="es-ES"/>
    </w:rPr>
  </w:style>
  <w:style w:type="paragraph" w:styleId="Lista">
    <w:name w:val="List"/>
    <w:basedOn w:val="Normal"/>
    <w:rsid w:val="000B3F97"/>
    <w:pPr>
      <w:ind w:left="283" w:hanging="283"/>
      <w:contextualSpacing/>
    </w:pPr>
  </w:style>
  <w:style w:type="paragraph" w:styleId="Lista2">
    <w:name w:val="List 2"/>
    <w:basedOn w:val="Normal"/>
    <w:rsid w:val="000B3F97"/>
    <w:pPr>
      <w:ind w:left="566" w:hanging="283"/>
      <w:contextualSpacing/>
    </w:pPr>
  </w:style>
  <w:style w:type="paragraph" w:styleId="Lista3">
    <w:name w:val="List 3"/>
    <w:basedOn w:val="Normal"/>
    <w:rsid w:val="000B3F97"/>
    <w:pPr>
      <w:ind w:left="849" w:hanging="283"/>
      <w:contextualSpacing/>
    </w:pPr>
  </w:style>
  <w:style w:type="paragraph" w:styleId="Encabezadodemensaje">
    <w:name w:val="Message Header"/>
    <w:basedOn w:val="Normal"/>
    <w:link w:val="EncabezadodemensajeCar"/>
    <w:rsid w:val="000B3F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lang w:val="x-none"/>
    </w:rPr>
  </w:style>
  <w:style w:type="character" w:customStyle="1" w:styleId="EncabezadodemensajeCar">
    <w:name w:val="Encabezado de mensaje Car"/>
    <w:link w:val="Encabezadodemensaje"/>
    <w:rsid w:val="000B3F97"/>
    <w:rPr>
      <w:rFonts w:ascii="Cambria" w:eastAsia="Times New Roman" w:hAnsi="Cambria" w:cs="Times New Roman"/>
      <w:sz w:val="24"/>
      <w:szCs w:val="24"/>
      <w:shd w:val="pct20" w:color="auto" w:fill="auto"/>
      <w:lang w:eastAsia="es-ES"/>
    </w:rPr>
  </w:style>
  <w:style w:type="paragraph" w:styleId="Saludo">
    <w:name w:val="Salutation"/>
    <w:basedOn w:val="Normal"/>
    <w:next w:val="Normal"/>
    <w:link w:val="SaludoCar"/>
    <w:rsid w:val="000B3F97"/>
    <w:rPr>
      <w:lang w:val="x-none"/>
    </w:rPr>
  </w:style>
  <w:style w:type="character" w:customStyle="1" w:styleId="SaludoCar">
    <w:name w:val="Saludo Car"/>
    <w:link w:val="Saludo"/>
    <w:rsid w:val="000B3F97"/>
    <w:rPr>
      <w:rFonts w:ascii="Times" w:eastAsia="Times New Roman" w:hAnsi="Times" w:cs="Times New Roman"/>
      <w:sz w:val="24"/>
      <w:szCs w:val="20"/>
      <w:lang w:eastAsia="es-ES"/>
    </w:rPr>
  </w:style>
  <w:style w:type="paragraph" w:styleId="Cierre">
    <w:name w:val="Closing"/>
    <w:basedOn w:val="Normal"/>
    <w:link w:val="CierreCar"/>
    <w:rsid w:val="000B3F97"/>
    <w:pPr>
      <w:ind w:left="4252"/>
    </w:pPr>
    <w:rPr>
      <w:lang w:val="x-none"/>
    </w:rPr>
  </w:style>
  <w:style w:type="character" w:customStyle="1" w:styleId="CierreCar">
    <w:name w:val="Cierre Car"/>
    <w:link w:val="Cierre"/>
    <w:rsid w:val="000B3F97"/>
    <w:rPr>
      <w:rFonts w:ascii="Times" w:eastAsia="Times New Roman" w:hAnsi="Times" w:cs="Times New Roman"/>
      <w:sz w:val="24"/>
      <w:szCs w:val="20"/>
      <w:lang w:eastAsia="es-ES"/>
    </w:rPr>
  </w:style>
  <w:style w:type="paragraph" w:styleId="Continuarlista">
    <w:name w:val="List Continue"/>
    <w:basedOn w:val="Normal"/>
    <w:rsid w:val="000B3F97"/>
    <w:pPr>
      <w:spacing w:after="120"/>
      <w:ind w:left="283"/>
      <w:contextualSpacing/>
    </w:pPr>
  </w:style>
  <w:style w:type="paragraph" w:customStyle="1" w:styleId="Direccininterior">
    <w:name w:val="Dirección interior"/>
    <w:basedOn w:val="Normal"/>
    <w:rsid w:val="000B3F97"/>
  </w:style>
  <w:style w:type="paragraph" w:styleId="Sangradetextonormal">
    <w:name w:val="Body Text Indent"/>
    <w:basedOn w:val="Normal"/>
    <w:link w:val="SangradetextonormalCar"/>
    <w:rsid w:val="000B3F97"/>
    <w:pPr>
      <w:spacing w:after="120"/>
      <w:ind w:left="283"/>
    </w:pPr>
    <w:rPr>
      <w:lang w:val="x-none"/>
    </w:rPr>
  </w:style>
  <w:style w:type="character" w:customStyle="1" w:styleId="SangradetextonormalCar">
    <w:name w:val="Sangría de texto normal Car"/>
    <w:link w:val="Sangradetextonormal"/>
    <w:rsid w:val="000B3F97"/>
    <w:rPr>
      <w:rFonts w:ascii="Times" w:eastAsia="Times New Roman" w:hAnsi="Times" w:cs="Times New Roman"/>
      <w:sz w:val="24"/>
      <w:szCs w:val="20"/>
      <w:lang w:eastAsia="es-ES"/>
    </w:rPr>
  </w:style>
  <w:style w:type="paragraph" w:styleId="Textoindependienteprimerasangra">
    <w:name w:val="Body Text First Indent"/>
    <w:basedOn w:val="Textoindependiente"/>
    <w:link w:val="TextoindependienteprimerasangraCar"/>
    <w:rsid w:val="000B3F97"/>
    <w:pPr>
      <w:widowControl/>
      <w:spacing w:after="120"/>
      <w:ind w:firstLine="210"/>
      <w:jc w:val="left"/>
    </w:pPr>
    <w:rPr>
      <w:rFonts w:ascii="Times" w:hAnsi="Times"/>
    </w:rPr>
  </w:style>
  <w:style w:type="character" w:customStyle="1" w:styleId="TextoindependienteprimerasangraCar">
    <w:name w:val="Texto independiente primera sangría Car"/>
    <w:link w:val="Textoindependienteprimerasangra"/>
    <w:rsid w:val="000B3F97"/>
    <w:rPr>
      <w:rFonts w:ascii="Times" w:eastAsia="Times New Roman" w:hAnsi="Times" w:cs="Times New Roman"/>
      <w:sz w:val="24"/>
      <w:szCs w:val="20"/>
      <w:lang w:val="es-ES" w:eastAsia="es-ES"/>
    </w:rPr>
  </w:style>
  <w:style w:type="paragraph" w:styleId="Textoindependienteprimerasangra2">
    <w:name w:val="Body Text First Indent 2"/>
    <w:basedOn w:val="Sangradetextonormal"/>
    <w:link w:val="Textoindependienteprimerasangra2Car"/>
    <w:rsid w:val="000B3F97"/>
    <w:pPr>
      <w:ind w:firstLine="210"/>
    </w:pPr>
  </w:style>
  <w:style w:type="character" w:customStyle="1" w:styleId="Textoindependienteprimerasangra2Car">
    <w:name w:val="Texto independiente primera sangría 2 Car"/>
    <w:link w:val="Textoindependienteprimerasangra2"/>
    <w:rsid w:val="000B3F97"/>
    <w:rPr>
      <w:rFonts w:ascii="Times" w:eastAsia="Times New Roman" w:hAnsi="Times" w:cs="Times New Roman"/>
      <w:sz w:val="24"/>
      <w:szCs w:val="20"/>
      <w:lang w:eastAsia="es-ES"/>
    </w:rPr>
  </w:style>
  <w:style w:type="character" w:styleId="Hipervnculo">
    <w:name w:val="Hyperlink"/>
    <w:rsid w:val="000B3F97"/>
    <w:rPr>
      <w:color w:val="0000FF"/>
      <w:u w:val="single"/>
    </w:rPr>
  </w:style>
  <w:style w:type="character" w:styleId="Hipervnculovisitado">
    <w:name w:val="FollowedHyperlink"/>
    <w:unhideWhenUsed/>
    <w:rsid w:val="00571B50"/>
    <w:rPr>
      <w:color w:val="800080"/>
      <w:u w:val="single"/>
    </w:rPr>
  </w:style>
  <w:style w:type="character" w:styleId="CitaHTML">
    <w:name w:val="HTML Cite"/>
    <w:uiPriority w:val="99"/>
    <w:semiHidden/>
    <w:unhideWhenUsed/>
    <w:rsid w:val="001A1056"/>
    <w:rPr>
      <w:i/>
      <w:iCs/>
    </w:rPr>
  </w:style>
  <w:style w:type="paragraph" w:customStyle="1" w:styleId="BodyText23">
    <w:name w:val="Body Text 23"/>
    <w:basedOn w:val="Normal"/>
    <w:rsid w:val="00C336FB"/>
    <w:pPr>
      <w:ind w:right="-720"/>
      <w:jc w:val="both"/>
    </w:pPr>
    <w:rPr>
      <w:rFonts w:ascii="Palatino" w:hAnsi="Palatino"/>
    </w:rPr>
  </w:style>
  <w:style w:type="paragraph" w:customStyle="1" w:styleId="BlockText3">
    <w:name w:val="Block Text3"/>
    <w:basedOn w:val="Normal"/>
    <w:rsid w:val="00C336FB"/>
    <w:pPr>
      <w:ind w:left="720" w:right="-540" w:hanging="720"/>
      <w:jc w:val="both"/>
    </w:pPr>
    <w:rPr>
      <w:b/>
      <w:smallCaps/>
      <w:sz w:val="20"/>
    </w:rPr>
  </w:style>
  <w:style w:type="paragraph" w:customStyle="1" w:styleId="BodyText22">
    <w:name w:val="Body Text 22"/>
    <w:basedOn w:val="Normal"/>
    <w:rsid w:val="00C336FB"/>
    <w:pPr>
      <w:ind w:left="1440"/>
      <w:jc w:val="both"/>
    </w:pPr>
    <w:rPr>
      <w:rFonts w:ascii="Palatino" w:hAnsi="Palatino"/>
      <w:lang w:val="es-ES_tradnl"/>
    </w:rPr>
  </w:style>
  <w:style w:type="paragraph" w:customStyle="1" w:styleId="BlockText2">
    <w:name w:val="Block Text2"/>
    <w:basedOn w:val="Normal"/>
    <w:rsid w:val="00C336FB"/>
    <w:pPr>
      <w:ind w:left="720" w:right="720" w:hanging="720"/>
      <w:jc w:val="both"/>
    </w:pPr>
    <w:rPr>
      <w:rFonts w:ascii="Verdana" w:hAnsi="Verdana"/>
      <w:sz w:val="18"/>
      <w:lang w:val="es-ES_tradnl"/>
    </w:rPr>
  </w:style>
  <w:style w:type="paragraph" w:styleId="Textodebloque">
    <w:name w:val="Block Text"/>
    <w:basedOn w:val="Normal"/>
    <w:rsid w:val="00C336FB"/>
    <w:pPr>
      <w:overflowPunct/>
      <w:autoSpaceDE/>
      <w:autoSpaceDN/>
      <w:adjustRightInd/>
      <w:ind w:left="720" w:right="-540" w:hanging="720"/>
      <w:jc w:val="both"/>
      <w:textAlignment w:val="auto"/>
    </w:pPr>
    <w:rPr>
      <w:b/>
      <w:smallCaps/>
      <w:sz w:val="20"/>
      <w:lang w:val="en-US"/>
    </w:rPr>
  </w:style>
  <w:style w:type="paragraph" w:customStyle="1" w:styleId="default">
    <w:name w:val="default"/>
    <w:basedOn w:val="Normal"/>
    <w:rsid w:val="00C336FB"/>
    <w:pPr>
      <w:overflowPunct/>
      <w:autoSpaceDE/>
      <w:autoSpaceDN/>
      <w:adjustRightInd/>
      <w:spacing w:before="100" w:beforeAutospacing="1" w:after="100" w:afterAutospacing="1"/>
      <w:textAlignment w:val="auto"/>
    </w:pPr>
    <w:rPr>
      <w:rFonts w:ascii="Times New Roman" w:hAnsi="Times New Roman"/>
      <w:szCs w:val="24"/>
      <w:lang w:eastAsia="pt-BR"/>
    </w:rPr>
  </w:style>
  <w:style w:type="paragraph" w:styleId="Listavistosa-nfasis1">
    <w:name w:val="Colorful List Accent 1"/>
    <w:basedOn w:val="Normal"/>
    <w:uiPriority w:val="34"/>
    <w:qFormat/>
    <w:rsid w:val="00C336FB"/>
    <w:pPr>
      <w:ind w:left="708"/>
    </w:pPr>
  </w:style>
  <w:style w:type="paragraph" w:styleId="NormalWeb">
    <w:name w:val="Normal (Web)"/>
    <w:basedOn w:val="Normal"/>
    <w:uiPriority w:val="99"/>
    <w:unhideWhenUsed/>
    <w:rsid w:val="00C336FB"/>
    <w:pPr>
      <w:overflowPunct/>
      <w:autoSpaceDE/>
      <w:autoSpaceDN/>
      <w:adjustRightInd/>
      <w:spacing w:before="100" w:beforeAutospacing="1" w:after="100" w:afterAutospacing="1"/>
      <w:textAlignment w:val="auto"/>
    </w:pPr>
    <w:rPr>
      <w:rFonts w:ascii="Times New Roman" w:hAnsi="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0F57E-EC61-4F15-BBA8-6DA9C375B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40981</Words>
  <Characters>225397</Characters>
  <Application>Microsoft Office Word</Application>
  <DocSecurity>0</DocSecurity>
  <Lines>1878</Lines>
  <Paragraphs>531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265847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2017-08-11T21:51:00Z</cp:lastPrinted>
  <dcterms:created xsi:type="dcterms:W3CDTF">2017-08-11T21:51:00Z</dcterms:created>
  <dcterms:modified xsi:type="dcterms:W3CDTF">2017-08-11T21:56:00Z</dcterms:modified>
</cp:coreProperties>
</file>