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8C3" w:rsidRPr="00F17964" w:rsidRDefault="00692623" w:rsidP="00C34BBE">
      <w:pPr>
        <w:spacing w:before="120" w:after="120" w:line="240" w:lineRule="auto"/>
        <w:jc w:val="center"/>
        <w:rPr>
          <w:rFonts w:ascii="Verdana" w:hAnsi="Verdana" w:cs="Verdana"/>
          <w:b/>
          <w:bCs/>
          <w:caps/>
          <w:sz w:val="20"/>
          <w:szCs w:val="23"/>
          <w:lang w:val="es-ES_tradnl"/>
        </w:rPr>
      </w:pPr>
      <w:bookmarkStart w:id="0" w:name="_GoBack"/>
      <w:bookmarkEnd w:id="0"/>
      <w:r>
        <w:rPr>
          <w:rFonts w:ascii="Verdana" w:hAnsi="Verdana" w:cs="Verdana"/>
          <w:b/>
          <w:bCs/>
          <w:caps/>
          <w:sz w:val="20"/>
          <w:szCs w:val="23"/>
          <w:lang w:val="es-ES_tradnl"/>
        </w:rPr>
        <w:t>Resolución de la</w:t>
      </w:r>
    </w:p>
    <w:p w:rsidR="00C228C3" w:rsidRPr="00F17964" w:rsidRDefault="00C228C3" w:rsidP="00C34BBE">
      <w:pPr>
        <w:spacing w:before="120" w:after="120" w:line="240" w:lineRule="auto"/>
        <w:jc w:val="center"/>
        <w:rPr>
          <w:rFonts w:ascii="Verdana" w:hAnsi="Verdana" w:cs="Verdana"/>
          <w:b/>
          <w:bCs/>
          <w:caps/>
          <w:sz w:val="20"/>
          <w:szCs w:val="23"/>
          <w:lang w:val="es-ES_tradnl"/>
        </w:rPr>
      </w:pPr>
      <w:r w:rsidRPr="00F17964">
        <w:rPr>
          <w:rFonts w:ascii="Verdana" w:hAnsi="Verdana" w:cs="Verdana"/>
          <w:b/>
          <w:bCs/>
          <w:caps/>
          <w:sz w:val="20"/>
          <w:szCs w:val="23"/>
          <w:lang w:val="es-ES_tradnl"/>
        </w:rPr>
        <w:t>corte int</w:t>
      </w:r>
      <w:r w:rsidR="00692623">
        <w:rPr>
          <w:rFonts w:ascii="Verdana" w:hAnsi="Verdana" w:cs="Verdana"/>
          <w:b/>
          <w:bCs/>
          <w:caps/>
          <w:sz w:val="20"/>
          <w:szCs w:val="23"/>
          <w:lang w:val="es-ES_tradnl"/>
        </w:rPr>
        <w:t>eramericana de derechos humanos</w:t>
      </w:r>
      <w:r w:rsidR="00692623" w:rsidRPr="00E54CE1">
        <w:rPr>
          <w:rStyle w:val="Refdenotaalpie"/>
          <w:rFonts w:ascii="Verdana" w:hAnsi="Verdana"/>
          <w:i/>
          <w:smallCaps/>
          <w:sz w:val="20"/>
        </w:rPr>
        <w:footnoteReference w:customMarkFollows="1" w:id="1"/>
        <w:sym w:font="Symbol" w:char="F02A"/>
      </w:r>
    </w:p>
    <w:p w:rsidR="00C228C3" w:rsidRPr="00F17964" w:rsidRDefault="00C228C3" w:rsidP="00C34BBE">
      <w:pPr>
        <w:spacing w:before="120" w:after="120" w:line="240" w:lineRule="auto"/>
        <w:jc w:val="center"/>
        <w:rPr>
          <w:rFonts w:ascii="Verdana" w:hAnsi="Verdana" w:cs="Verdana"/>
          <w:b/>
          <w:bCs/>
          <w:caps/>
          <w:sz w:val="20"/>
          <w:szCs w:val="23"/>
          <w:lang w:val="es-CR"/>
        </w:rPr>
      </w:pPr>
      <w:r w:rsidRPr="00F17964">
        <w:rPr>
          <w:rFonts w:ascii="Verdana" w:hAnsi="Verdana" w:cs="Verdana"/>
          <w:b/>
          <w:bCs/>
          <w:caps/>
          <w:sz w:val="20"/>
          <w:szCs w:val="23"/>
          <w:lang w:val="es-ES_tradnl"/>
        </w:rPr>
        <w:t xml:space="preserve">de </w:t>
      </w:r>
      <w:r w:rsidR="00F17801">
        <w:rPr>
          <w:rFonts w:ascii="Verdana" w:hAnsi="Verdana" w:cs="Verdana"/>
          <w:b/>
          <w:bCs/>
          <w:caps/>
          <w:sz w:val="20"/>
          <w:szCs w:val="23"/>
          <w:lang w:val="es-ES_tradnl"/>
        </w:rPr>
        <w:t>22</w:t>
      </w:r>
      <w:r w:rsidRPr="00F17964">
        <w:rPr>
          <w:rFonts w:ascii="Verdana" w:hAnsi="Verdana" w:cs="Verdana"/>
          <w:b/>
          <w:bCs/>
          <w:caps/>
          <w:sz w:val="20"/>
          <w:szCs w:val="23"/>
          <w:lang w:val="es-ES_tradnl"/>
        </w:rPr>
        <w:t xml:space="preserve"> DE </w:t>
      </w:r>
      <w:r w:rsidR="001A0AC3">
        <w:rPr>
          <w:rFonts w:ascii="Verdana" w:hAnsi="Verdana" w:cs="Verdana"/>
          <w:b/>
          <w:bCs/>
          <w:caps/>
          <w:sz w:val="20"/>
          <w:szCs w:val="23"/>
          <w:lang w:val="es-CR"/>
        </w:rPr>
        <w:t>NOVIEMBRE</w:t>
      </w:r>
      <w:r w:rsidR="00101833" w:rsidRPr="00F17964">
        <w:rPr>
          <w:rFonts w:ascii="Verdana" w:hAnsi="Verdana" w:cs="Verdana"/>
          <w:b/>
          <w:bCs/>
          <w:caps/>
          <w:sz w:val="20"/>
          <w:szCs w:val="23"/>
          <w:lang w:val="es-CR"/>
        </w:rPr>
        <w:t xml:space="preserve"> DE 2016</w:t>
      </w:r>
    </w:p>
    <w:p w:rsidR="00F94377" w:rsidRDefault="00F94377" w:rsidP="00C34BBE">
      <w:pPr>
        <w:spacing w:before="120" w:after="120" w:line="240" w:lineRule="auto"/>
        <w:jc w:val="center"/>
        <w:rPr>
          <w:rFonts w:ascii="Verdana" w:hAnsi="Verdana" w:cs="Verdana"/>
          <w:b/>
          <w:bCs/>
          <w:i/>
          <w:caps/>
          <w:sz w:val="10"/>
          <w:szCs w:val="10"/>
          <w:lang w:val="es-ES_tradnl"/>
        </w:rPr>
      </w:pPr>
    </w:p>
    <w:p w:rsidR="00C228C3" w:rsidRPr="00F17964" w:rsidRDefault="00C228C3" w:rsidP="00C34BBE">
      <w:pPr>
        <w:spacing w:before="120" w:after="120" w:line="240" w:lineRule="auto"/>
        <w:jc w:val="center"/>
        <w:rPr>
          <w:rFonts w:ascii="Verdana" w:hAnsi="Verdana" w:cs="Verdana"/>
          <w:b/>
          <w:bCs/>
          <w:i/>
          <w:caps/>
          <w:sz w:val="20"/>
          <w:szCs w:val="23"/>
          <w:lang w:val="es-ES_tradnl"/>
        </w:rPr>
      </w:pPr>
      <w:r w:rsidRPr="00F17964">
        <w:rPr>
          <w:rFonts w:ascii="Verdana" w:hAnsi="Verdana" w:cs="Verdana"/>
          <w:b/>
          <w:bCs/>
          <w:i/>
          <w:caps/>
          <w:sz w:val="20"/>
          <w:szCs w:val="23"/>
          <w:lang w:val="es-ES_tradnl"/>
        </w:rPr>
        <w:t xml:space="preserve">Caso </w:t>
      </w:r>
      <w:r w:rsidR="008B55D5">
        <w:rPr>
          <w:rFonts w:ascii="Verdana" w:hAnsi="Verdana" w:cs="Verdana"/>
          <w:b/>
          <w:bCs/>
          <w:i/>
          <w:caps/>
          <w:sz w:val="20"/>
          <w:szCs w:val="23"/>
          <w:lang w:val="es-ES_tradnl"/>
        </w:rPr>
        <w:t>TIBI</w:t>
      </w:r>
      <w:r w:rsidRPr="00F17964">
        <w:rPr>
          <w:rFonts w:ascii="Verdana" w:hAnsi="Verdana" w:cs="Verdana"/>
          <w:b/>
          <w:bCs/>
          <w:i/>
          <w:caps/>
          <w:sz w:val="20"/>
          <w:szCs w:val="23"/>
          <w:lang w:val="es-ES_tradnl"/>
        </w:rPr>
        <w:t xml:space="preserve"> vs. ecuador</w:t>
      </w:r>
    </w:p>
    <w:p w:rsidR="00C228C3" w:rsidRPr="00F17964" w:rsidRDefault="00C228C3" w:rsidP="00C34BBE">
      <w:pPr>
        <w:spacing w:before="120" w:after="120" w:line="240" w:lineRule="auto"/>
        <w:jc w:val="center"/>
        <w:rPr>
          <w:rFonts w:ascii="Verdana" w:hAnsi="Verdana" w:cs="Verdana"/>
          <w:b/>
          <w:bCs/>
          <w:caps/>
          <w:sz w:val="20"/>
          <w:szCs w:val="23"/>
          <w:lang w:val="es-ES_tradnl"/>
        </w:rPr>
      </w:pPr>
      <w:r w:rsidRPr="00F17964">
        <w:rPr>
          <w:rFonts w:ascii="Verdana" w:hAnsi="Verdana" w:cs="Verdana"/>
          <w:b/>
          <w:bCs/>
          <w:caps/>
          <w:sz w:val="20"/>
          <w:szCs w:val="23"/>
          <w:lang w:val="es-ES_tradnl"/>
        </w:rPr>
        <w:t>Supervisión de cumplimiento de sentencia</w:t>
      </w:r>
    </w:p>
    <w:p w:rsidR="00BA78B4" w:rsidRPr="00C26F45" w:rsidRDefault="00BA78B4" w:rsidP="00ED3720">
      <w:pPr>
        <w:pStyle w:val="Default"/>
        <w:spacing w:before="120" w:after="120"/>
        <w:jc w:val="both"/>
        <w:rPr>
          <w:b/>
          <w:bCs/>
          <w:sz w:val="10"/>
          <w:szCs w:val="10"/>
        </w:rPr>
      </w:pPr>
    </w:p>
    <w:p w:rsidR="00ED3720" w:rsidRPr="00F17964" w:rsidRDefault="00ED3720" w:rsidP="00ED3720">
      <w:pPr>
        <w:pStyle w:val="Default"/>
        <w:spacing w:before="120" w:after="120"/>
        <w:jc w:val="both"/>
        <w:rPr>
          <w:b/>
          <w:bCs/>
          <w:color w:val="auto"/>
          <w:sz w:val="20"/>
          <w:szCs w:val="20"/>
        </w:rPr>
      </w:pPr>
      <w:r w:rsidRPr="00F17964">
        <w:rPr>
          <w:b/>
          <w:bCs/>
          <w:sz w:val="20"/>
          <w:szCs w:val="20"/>
        </w:rPr>
        <w:t>VISTO:</w:t>
      </w:r>
    </w:p>
    <w:p w:rsidR="00C228C3" w:rsidRPr="0081170E" w:rsidRDefault="00C228C3" w:rsidP="00EA0284">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sidRPr="00EA0284">
        <w:rPr>
          <w:rFonts w:ascii="Verdana" w:hAnsi="Verdana"/>
          <w:sz w:val="20"/>
          <w:szCs w:val="20"/>
        </w:rPr>
        <w:t xml:space="preserve">La Sentencia de </w:t>
      </w:r>
      <w:r w:rsidR="004E275F" w:rsidRPr="00EA0284">
        <w:rPr>
          <w:rFonts w:ascii="Verdana" w:hAnsi="Verdana"/>
          <w:sz w:val="20"/>
          <w:szCs w:val="20"/>
        </w:rPr>
        <w:t xml:space="preserve">excepciones preliminares, </w:t>
      </w:r>
      <w:r w:rsidRPr="00EA0284">
        <w:rPr>
          <w:rFonts w:ascii="Verdana" w:hAnsi="Verdana"/>
          <w:sz w:val="20"/>
          <w:szCs w:val="20"/>
        </w:rPr>
        <w:t xml:space="preserve">fondo, reparaciones y costas (en adelante “la Sentencia” o “el Fallo”), dictada por la Corte Interamericana de Derechos Humanos (en adelante “la Corte”, “la Corte Interamericana” o “el Tribunal”) el </w:t>
      </w:r>
      <w:r w:rsidR="004E275F" w:rsidRPr="00EA0284">
        <w:rPr>
          <w:rFonts w:ascii="Verdana" w:hAnsi="Verdana"/>
          <w:sz w:val="20"/>
          <w:szCs w:val="20"/>
        </w:rPr>
        <w:t>7</w:t>
      </w:r>
      <w:r w:rsidRPr="00EA0284">
        <w:rPr>
          <w:rFonts w:ascii="Verdana" w:hAnsi="Verdana"/>
          <w:sz w:val="20"/>
          <w:szCs w:val="20"/>
        </w:rPr>
        <w:t xml:space="preserve"> de </w:t>
      </w:r>
      <w:r w:rsidR="004E275F" w:rsidRPr="00EA0284">
        <w:rPr>
          <w:rFonts w:ascii="Verdana" w:hAnsi="Verdana"/>
          <w:sz w:val="20"/>
          <w:szCs w:val="20"/>
        </w:rPr>
        <w:t>septiembre</w:t>
      </w:r>
      <w:r w:rsidRPr="00EA0284">
        <w:rPr>
          <w:rFonts w:ascii="Verdana" w:hAnsi="Verdana"/>
          <w:sz w:val="20"/>
          <w:szCs w:val="20"/>
        </w:rPr>
        <w:t xml:space="preserve"> de 200</w:t>
      </w:r>
      <w:r w:rsidR="004E275F" w:rsidRPr="00EA0284">
        <w:rPr>
          <w:rFonts w:ascii="Verdana" w:hAnsi="Verdana"/>
          <w:sz w:val="20"/>
          <w:szCs w:val="20"/>
        </w:rPr>
        <w:t>4</w:t>
      </w:r>
      <w:r w:rsidRPr="00F17964">
        <w:rPr>
          <w:rStyle w:val="Refdenotaalpie"/>
          <w:rFonts w:ascii="Verdana" w:hAnsi="Verdana"/>
          <w:sz w:val="20"/>
          <w:szCs w:val="20"/>
        </w:rPr>
        <w:footnoteReference w:id="2"/>
      </w:r>
      <w:r w:rsidRPr="00EA0284">
        <w:rPr>
          <w:rFonts w:ascii="Verdana" w:hAnsi="Verdana"/>
          <w:sz w:val="20"/>
          <w:szCs w:val="20"/>
        </w:rPr>
        <w:t xml:space="preserve">. </w:t>
      </w:r>
      <w:r w:rsidR="00BE16A8" w:rsidRPr="00EA0284">
        <w:rPr>
          <w:rFonts w:ascii="Verdana" w:hAnsi="Verdana"/>
          <w:sz w:val="20"/>
          <w:szCs w:val="20"/>
        </w:rPr>
        <w:t>L</w:t>
      </w:r>
      <w:r w:rsidRPr="00EA0284">
        <w:rPr>
          <w:rFonts w:ascii="Verdana" w:hAnsi="Verdana"/>
          <w:sz w:val="20"/>
          <w:szCs w:val="20"/>
        </w:rPr>
        <w:t>a Corte declaró la responsabilidad i</w:t>
      </w:r>
      <w:r w:rsidR="00E71802">
        <w:rPr>
          <w:rFonts w:ascii="Verdana" w:hAnsi="Verdana"/>
          <w:sz w:val="20"/>
          <w:szCs w:val="20"/>
        </w:rPr>
        <w:t>nternacional de la República de</w:t>
      </w:r>
      <w:r w:rsidR="00DE1F71">
        <w:rPr>
          <w:rFonts w:ascii="Verdana" w:hAnsi="Verdana"/>
          <w:sz w:val="20"/>
          <w:szCs w:val="20"/>
        </w:rPr>
        <w:t>l</w:t>
      </w:r>
      <w:r w:rsidRPr="00EA0284">
        <w:rPr>
          <w:rFonts w:ascii="Verdana" w:hAnsi="Verdana"/>
          <w:sz w:val="20"/>
          <w:szCs w:val="20"/>
        </w:rPr>
        <w:t xml:space="preserve"> Ecuador (en adelante “el Estado” o “Ecuador”) por la violación</w:t>
      </w:r>
      <w:r w:rsidR="00E408C1" w:rsidRPr="00EA0284">
        <w:rPr>
          <w:rFonts w:ascii="Verdana" w:hAnsi="Verdana"/>
          <w:sz w:val="20"/>
          <w:szCs w:val="20"/>
        </w:rPr>
        <w:t xml:space="preserve">, entre otros, de los derechos a la integridad personal, a la libertad personal, a las garantías judiciales, a la propiedad y a la protección judicial en perjuicio del señor </w:t>
      </w:r>
      <w:r w:rsidR="00E408C1" w:rsidRPr="00453691">
        <w:rPr>
          <w:rFonts w:ascii="Verdana" w:hAnsi="Verdana"/>
          <w:sz w:val="20"/>
          <w:szCs w:val="20"/>
        </w:rPr>
        <w:t>Daniel Tibi</w:t>
      </w:r>
      <w:r w:rsidR="00E408C1" w:rsidRPr="00EA0284">
        <w:rPr>
          <w:rFonts w:ascii="Verdana" w:hAnsi="Verdana"/>
          <w:sz w:val="20"/>
          <w:szCs w:val="20"/>
        </w:rPr>
        <w:t xml:space="preserve"> (en adelante “el señor Tibi”)</w:t>
      </w:r>
      <w:r w:rsidR="00D24E28" w:rsidRPr="00EA0284">
        <w:rPr>
          <w:rFonts w:ascii="Verdana" w:hAnsi="Verdana"/>
          <w:sz w:val="20"/>
          <w:szCs w:val="20"/>
        </w:rPr>
        <w:t xml:space="preserve">, de nacionalidad francesa, </w:t>
      </w:r>
      <w:r w:rsidR="00D43EDE" w:rsidRPr="00EA0284">
        <w:rPr>
          <w:rFonts w:ascii="Verdana" w:hAnsi="Verdana"/>
          <w:sz w:val="20"/>
          <w:szCs w:val="20"/>
        </w:rPr>
        <w:t xml:space="preserve">y </w:t>
      </w:r>
      <w:r w:rsidR="00D24E28" w:rsidRPr="00EA0284">
        <w:rPr>
          <w:rFonts w:ascii="Verdana" w:hAnsi="Verdana"/>
          <w:sz w:val="20"/>
          <w:szCs w:val="20"/>
        </w:rPr>
        <w:t xml:space="preserve">quien al momento de los hechos </w:t>
      </w:r>
      <w:r w:rsidR="00D43EDE" w:rsidRPr="00EA0284">
        <w:rPr>
          <w:rFonts w:ascii="Verdana" w:hAnsi="Verdana"/>
          <w:sz w:val="20"/>
          <w:szCs w:val="20"/>
        </w:rPr>
        <w:t xml:space="preserve">del caso </w:t>
      </w:r>
      <w:r w:rsidR="00D24E28" w:rsidRPr="00EA0284">
        <w:rPr>
          <w:rFonts w:ascii="Verdana" w:hAnsi="Verdana"/>
          <w:sz w:val="20"/>
          <w:szCs w:val="20"/>
        </w:rPr>
        <w:t xml:space="preserve">se dedicaba al comercio de piedras preciosas y arte ecuatoriano. </w:t>
      </w:r>
      <w:r w:rsidR="00D24E28" w:rsidRPr="00EA0284">
        <w:rPr>
          <w:rFonts w:ascii="Verdana" w:hAnsi="Verdana"/>
          <w:sz w:val="16"/>
          <w:szCs w:val="16"/>
        </w:rPr>
        <w:t xml:space="preserve"> </w:t>
      </w:r>
      <w:r w:rsidR="00E408C1" w:rsidRPr="00EA0284">
        <w:rPr>
          <w:rFonts w:ascii="Verdana" w:hAnsi="Verdana"/>
          <w:sz w:val="20"/>
          <w:szCs w:val="20"/>
        </w:rPr>
        <w:t xml:space="preserve">Dichas violaciones se declararon </w:t>
      </w:r>
      <w:r w:rsidR="00254D41">
        <w:rPr>
          <w:rFonts w:ascii="Verdana" w:hAnsi="Verdana"/>
          <w:sz w:val="20"/>
          <w:szCs w:val="20"/>
        </w:rPr>
        <w:t xml:space="preserve">debido a: </w:t>
      </w:r>
      <w:r w:rsidR="00BE7945" w:rsidRPr="00CD6E2A">
        <w:rPr>
          <w:rFonts w:ascii="Verdana" w:hAnsi="Verdana"/>
          <w:sz w:val="20"/>
          <w:szCs w:val="20"/>
        </w:rPr>
        <w:t>la</w:t>
      </w:r>
      <w:r w:rsidR="00145900" w:rsidRPr="00CD6E2A">
        <w:rPr>
          <w:rFonts w:ascii="Verdana" w:hAnsi="Verdana"/>
          <w:sz w:val="20"/>
          <w:szCs w:val="20"/>
        </w:rPr>
        <w:t xml:space="preserve"> detención ilegal </w:t>
      </w:r>
      <w:r w:rsidR="00EA0284" w:rsidRPr="00CD6E2A">
        <w:rPr>
          <w:rFonts w:ascii="Verdana" w:hAnsi="Verdana"/>
          <w:sz w:val="20"/>
          <w:szCs w:val="20"/>
        </w:rPr>
        <w:t xml:space="preserve">y arbitraria </w:t>
      </w:r>
      <w:r w:rsidR="00BE7945" w:rsidRPr="00CD6E2A">
        <w:rPr>
          <w:rFonts w:ascii="Verdana" w:hAnsi="Verdana"/>
          <w:sz w:val="20"/>
          <w:szCs w:val="20"/>
        </w:rPr>
        <w:t>del señor Tibi, llevada a cabo el 27 de septiembre de 1995</w:t>
      </w:r>
      <w:r w:rsidR="00230ACB">
        <w:rPr>
          <w:rFonts w:ascii="Verdana" w:hAnsi="Verdana"/>
          <w:sz w:val="20"/>
          <w:szCs w:val="20"/>
        </w:rPr>
        <w:t xml:space="preserve"> por agentes de la INTERPOL</w:t>
      </w:r>
      <w:r w:rsidR="00BE7945" w:rsidRPr="00CD6E2A">
        <w:rPr>
          <w:rFonts w:ascii="Verdana" w:hAnsi="Verdana"/>
          <w:sz w:val="20"/>
          <w:szCs w:val="20"/>
        </w:rPr>
        <w:t>, sin que mediara orden judicial</w:t>
      </w:r>
      <w:r w:rsidR="00230ACB">
        <w:rPr>
          <w:rFonts w:ascii="Verdana" w:hAnsi="Verdana"/>
          <w:sz w:val="20"/>
          <w:szCs w:val="20"/>
        </w:rPr>
        <w:t>, y a</w:t>
      </w:r>
      <w:r w:rsidR="00EA0284" w:rsidRPr="00CD6E2A">
        <w:rPr>
          <w:rFonts w:ascii="Verdana" w:hAnsi="Verdana"/>
          <w:sz w:val="20"/>
          <w:szCs w:val="20"/>
        </w:rPr>
        <w:t xml:space="preserve"> la </w:t>
      </w:r>
      <w:r w:rsidR="0081170E" w:rsidRPr="00CD6E2A">
        <w:rPr>
          <w:rFonts w:ascii="Verdana" w:hAnsi="Verdana"/>
          <w:sz w:val="20"/>
          <w:szCs w:val="20"/>
        </w:rPr>
        <w:t xml:space="preserve">prisión preventiva arbitraria a la que estuvo sometido por casi </w:t>
      </w:r>
      <w:r w:rsidR="00DE1F71">
        <w:rPr>
          <w:rFonts w:ascii="Verdana" w:hAnsi="Verdana"/>
          <w:sz w:val="20"/>
          <w:szCs w:val="20"/>
        </w:rPr>
        <w:t>veintiocho</w:t>
      </w:r>
      <w:r w:rsidR="00DE1F71" w:rsidRPr="00CD6E2A">
        <w:rPr>
          <w:rFonts w:ascii="Verdana" w:hAnsi="Verdana"/>
          <w:sz w:val="20"/>
          <w:szCs w:val="20"/>
        </w:rPr>
        <w:t xml:space="preserve"> </w:t>
      </w:r>
      <w:r w:rsidR="0081170E" w:rsidRPr="00CD6E2A">
        <w:rPr>
          <w:rFonts w:ascii="Verdana" w:hAnsi="Verdana"/>
          <w:sz w:val="20"/>
          <w:szCs w:val="20"/>
        </w:rPr>
        <w:t>meses sin que existieran</w:t>
      </w:r>
      <w:r w:rsidR="0081170E">
        <w:rPr>
          <w:rFonts w:ascii="Verdana" w:hAnsi="Verdana"/>
          <w:sz w:val="20"/>
          <w:szCs w:val="20"/>
        </w:rPr>
        <w:t xml:space="preserve"> indicios suficientes de que fuera autor o cómplice de algún delito y sin que se probara la necesidad de dicha medida</w:t>
      </w:r>
      <w:r w:rsidR="0081170E">
        <w:rPr>
          <w:rStyle w:val="Refdenotaalpie"/>
          <w:rFonts w:ascii="Verdana" w:hAnsi="Verdana"/>
          <w:sz w:val="20"/>
          <w:szCs w:val="20"/>
        </w:rPr>
        <w:footnoteReference w:id="3"/>
      </w:r>
      <w:r w:rsidR="00230ACB">
        <w:rPr>
          <w:rFonts w:ascii="Verdana" w:hAnsi="Verdana"/>
          <w:sz w:val="20"/>
          <w:szCs w:val="20"/>
        </w:rPr>
        <w:t>.</w:t>
      </w:r>
      <w:r w:rsidR="0081170E">
        <w:rPr>
          <w:rFonts w:ascii="Verdana" w:hAnsi="Verdana"/>
          <w:sz w:val="20"/>
          <w:szCs w:val="20"/>
        </w:rPr>
        <w:t xml:space="preserve"> </w:t>
      </w:r>
      <w:r w:rsidR="00230ACB">
        <w:rPr>
          <w:rFonts w:ascii="Verdana" w:hAnsi="Verdana"/>
          <w:sz w:val="20"/>
          <w:szCs w:val="20"/>
        </w:rPr>
        <w:t xml:space="preserve">Asimismo, se declararon las referidas violaciones </w:t>
      </w:r>
      <w:r w:rsidR="0081170E">
        <w:rPr>
          <w:rFonts w:ascii="Verdana" w:hAnsi="Verdana"/>
          <w:sz w:val="20"/>
          <w:szCs w:val="20"/>
        </w:rPr>
        <w:t>por la</w:t>
      </w:r>
      <w:r w:rsidR="00230ACB">
        <w:rPr>
          <w:rFonts w:ascii="Verdana" w:hAnsi="Verdana"/>
          <w:sz w:val="20"/>
          <w:szCs w:val="20"/>
        </w:rPr>
        <w:t>s</w:t>
      </w:r>
      <w:r w:rsidR="0081170E">
        <w:rPr>
          <w:rFonts w:ascii="Verdana" w:hAnsi="Verdana"/>
          <w:sz w:val="20"/>
          <w:szCs w:val="20"/>
        </w:rPr>
        <w:t xml:space="preserve"> irregularidades en el debido proceso que se presentaron en las actuaciones que se siguieron en contra</w:t>
      </w:r>
      <w:r w:rsidR="00230ACB">
        <w:rPr>
          <w:rFonts w:ascii="Verdana" w:hAnsi="Verdana"/>
          <w:sz w:val="20"/>
          <w:szCs w:val="20"/>
        </w:rPr>
        <w:t xml:space="preserve"> del señor Tibi por su presunta participación en actos ilegítimos de entrega de estupefacientes, las cuales culminaron con un sobreseimiento y </w:t>
      </w:r>
      <w:r w:rsidR="00DE1F71">
        <w:rPr>
          <w:rFonts w:ascii="Verdana" w:hAnsi="Verdana"/>
          <w:sz w:val="20"/>
          <w:szCs w:val="20"/>
        </w:rPr>
        <w:t xml:space="preserve">la </w:t>
      </w:r>
      <w:r w:rsidR="00230ACB">
        <w:rPr>
          <w:rFonts w:ascii="Verdana" w:hAnsi="Verdana"/>
          <w:sz w:val="20"/>
          <w:szCs w:val="20"/>
        </w:rPr>
        <w:t>orden de su libertad</w:t>
      </w:r>
      <w:r w:rsidR="0081170E">
        <w:rPr>
          <w:rFonts w:ascii="Verdana" w:hAnsi="Verdana"/>
          <w:sz w:val="20"/>
          <w:szCs w:val="20"/>
        </w:rPr>
        <w:t xml:space="preserve">. </w:t>
      </w:r>
      <w:r w:rsidR="00DE1F71">
        <w:rPr>
          <w:rFonts w:ascii="Verdana" w:hAnsi="Verdana"/>
          <w:sz w:val="20"/>
          <w:szCs w:val="20"/>
        </w:rPr>
        <w:t>El Tribunal</w:t>
      </w:r>
      <w:r w:rsidR="00E2571C">
        <w:rPr>
          <w:rFonts w:ascii="Verdana" w:hAnsi="Verdana"/>
          <w:sz w:val="20"/>
          <w:szCs w:val="20"/>
        </w:rPr>
        <w:t xml:space="preserve"> también determinó que el señor Tibi sufrió </w:t>
      </w:r>
      <w:r w:rsidR="00EE6512">
        <w:rPr>
          <w:rFonts w:ascii="Verdana" w:hAnsi="Verdana"/>
          <w:sz w:val="20"/>
          <w:szCs w:val="20"/>
        </w:rPr>
        <w:t xml:space="preserve">actos de tortura y </w:t>
      </w:r>
      <w:r w:rsidR="00E2571C">
        <w:rPr>
          <w:rFonts w:ascii="Verdana" w:hAnsi="Verdana"/>
          <w:sz w:val="20"/>
          <w:szCs w:val="20"/>
        </w:rPr>
        <w:t xml:space="preserve">estuvo sometido a </w:t>
      </w:r>
      <w:r w:rsidR="00EE6512">
        <w:rPr>
          <w:rFonts w:ascii="Verdana" w:hAnsi="Verdana"/>
          <w:sz w:val="20"/>
          <w:szCs w:val="20"/>
        </w:rPr>
        <w:t>condiciones de reclusión inhumanas</w:t>
      </w:r>
      <w:r w:rsidR="00DE1F71">
        <w:rPr>
          <w:rFonts w:ascii="Verdana" w:hAnsi="Verdana"/>
          <w:sz w:val="20"/>
          <w:szCs w:val="20"/>
        </w:rPr>
        <w:t xml:space="preserve"> durante su privación de libertad</w:t>
      </w:r>
      <w:r w:rsidR="0081170E">
        <w:rPr>
          <w:rFonts w:ascii="Verdana" w:hAnsi="Verdana" w:cs="Verdana"/>
          <w:sz w:val="20"/>
          <w:szCs w:val="20"/>
        </w:rPr>
        <w:t xml:space="preserve">. </w:t>
      </w:r>
      <w:r w:rsidR="00D04B99">
        <w:rPr>
          <w:rFonts w:ascii="Verdana" w:hAnsi="Verdana" w:cs="Verdana"/>
          <w:sz w:val="20"/>
          <w:szCs w:val="20"/>
        </w:rPr>
        <w:t xml:space="preserve">Asimismo, se decidió que Ecuador era responsable </w:t>
      </w:r>
      <w:r w:rsidR="00254D41">
        <w:rPr>
          <w:rFonts w:ascii="Verdana" w:hAnsi="Verdana" w:cs="Verdana"/>
          <w:sz w:val="20"/>
          <w:szCs w:val="20"/>
        </w:rPr>
        <w:t xml:space="preserve">por la violación del derecho a la integridad personal de la compañera del señor Tibi </w:t>
      </w:r>
      <w:r w:rsidR="00DE1F71">
        <w:rPr>
          <w:rFonts w:ascii="Verdana" w:hAnsi="Verdana" w:cs="Verdana"/>
          <w:sz w:val="20"/>
          <w:szCs w:val="20"/>
        </w:rPr>
        <w:t xml:space="preserve">al momento de los hechos </w:t>
      </w:r>
      <w:r w:rsidR="00254D41">
        <w:rPr>
          <w:rFonts w:ascii="Verdana" w:hAnsi="Verdana" w:cs="Verdana"/>
          <w:sz w:val="20"/>
          <w:szCs w:val="20"/>
        </w:rPr>
        <w:t>y de los hijos de ambos</w:t>
      </w:r>
      <w:r w:rsidR="00254D41">
        <w:rPr>
          <w:rStyle w:val="Refdenotaalpie"/>
          <w:rFonts w:ascii="Verdana" w:hAnsi="Verdana"/>
          <w:sz w:val="20"/>
          <w:szCs w:val="20"/>
        </w:rPr>
        <w:footnoteReference w:id="4"/>
      </w:r>
      <w:r w:rsidR="00254D41">
        <w:rPr>
          <w:rFonts w:ascii="Verdana" w:hAnsi="Verdana" w:cs="Verdana"/>
          <w:sz w:val="20"/>
          <w:szCs w:val="20"/>
        </w:rPr>
        <w:t xml:space="preserve">. </w:t>
      </w:r>
      <w:r w:rsidRPr="0081170E">
        <w:rPr>
          <w:rFonts w:ascii="Verdana" w:hAnsi="Verdana" w:cs="Verdana"/>
          <w:sz w:val="20"/>
          <w:szCs w:val="20"/>
        </w:rPr>
        <w:t xml:space="preserve">La Corte estableció que su </w:t>
      </w:r>
      <w:r w:rsidRPr="0081170E">
        <w:rPr>
          <w:rFonts w:ascii="Verdana" w:hAnsi="Verdana"/>
          <w:sz w:val="20"/>
          <w:szCs w:val="20"/>
        </w:rPr>
        <w:t xml:space="preserve">Sentencia constituye </w:t>
      </w:r>
      <w:r w:rsidR="006F6BCC" w:rsidRPr="006F6BCC">
        <w:rPr>
          <w:rFonts w:ascii="Verdana" w:hAnsi="Verdana"/>
          <w:iCs/>
          <w:sz w:val="20"/>
          <w:szCs w:val="20"/>
        </w:rPr>
        <w:t>por sí misma</w:t>
      </w:r>
      <w:r w:rsidRPr="0081170E">
        <w:rPr>
          <w:rFonts w:ascii="Verdana" w:hAnsi="Verdana"/>
          <w:i/>
          <w:iCs/>
          <w:sz w:val="20"/>
          <w:szCs w:val="20"/>
        </w:rPr>
        <w:t xml:space="preserve"> </w:t>
      </w:r>
      <w:r w:rsidRPr="0081170E">
        <w:rPr>
          <w:rFonts w:ascii="Verdana" w:hAnsi="Verdana"/>
          <w:sz w:val="20"/>
          <w:szCs w:val="20"/>
        </w:rPr>
        <w:t>una forma de reparación y, adicionalmente, ordenó al Estado determinadas medidas de reparación (</w:t>
      </w:r>
      <w:r w:rsidRPr="0081170E">
        <w:rPr>
          <w:rFonts w:ascii="Verdana" w:hAnsi="Verdana"/>
          <w:i/>
          <w:iCs/>
          <w:sz w:val="20"/>
          <w:szCs w:val="20"/>
        </w:rPr>
        <w:t xml:space="preserve">infra </w:t>
      </w:r>
      <w:r w:rsidRPr="0081170E">
        <w:rPr>
          <w:rFonts w:ascii="Verdana" w:hAnsi="Verdana"/>
          <w:sz w:val="20"/>
          <w:szCs w:val="20"/>
        </w:rPr>
        <w:t>Considerando 1).</w:t>
      </w:r>
    </w:p>
    <w:p w:rsidR="00110334" w:rsidRPr="00110334" w:rsidRDefault="00C228C3" w:rsidP="00110334">
      <w:pPr>
        <w:pStyle w:val="Prrafodelista"/>
        <w:numPr>
          <w:ilvl w:val="0"/>
          <w:numId w:val="1"/>
        </w:numPr>
        <w:autoSpaceDE w:val="0"/>
        <w:autoSpaceDN w:val="0"/>
        <w:adjustRightInd w:val="0"/>
        <w:spacing w:before="120" w:after="120" w:line="240" w:lineRule="auto"/>
        <w:ind w:left="0" w:firstLine="0"/>
        <w:contextualSpacing w:val="0"/>
        <w:jc w:val="both"/>
        <w:rPr>
          <w:rStyle w:val="Textoennegrita"/>
          <w:rFonts w:ascii="Verdana" w:hAnsi="Verdana" w:cs="Verdana"/>
          <w:b w:val="0"/>
          <w:bCs w:val="0"/>
          <w:sz w:val="20"/>
          <w:szCs w:val="20"/>
        </w:rPr>
      </w:pPr>
      <w:r w:rsidRPr="00F17964">
        <w:rPr>
          <w:rStyle w:val="Textoennegrita"/>
          <w:rFonts w:ascii="Verdana" w:hAnsi="Verdana"/>
          <w:b w:val="0"/>
          <w:sz w:val="20"/>
          <w:szCs w:val="20"/>
        </w:rPr>
        <w:t xml:space="preserve">Las Resoluciones de supervisión de cumplimiento de </w:t>
      </w:r>
      <w:r w:rsidR="00333B15">
        <w:rPr>
          <w:rStyle w:val="Textoennegrita"/>
          <w:rFonts w:ascii="Verdana" w:hAnsi="Verdana"/>
          <w:b w:val="0"/>
          <w:sz w:val="20"/>
          <w:szCs w:val="20"/>
        </w:rPr>
        <w:t>s</w:t>
      </w:r>
      <w:r w:rsidRPr="00F17964">
        <w:rPr>
          <w:rStyle w:val="Textoennegrita"/>
          <w:rFonts w:ascii="Verdana" w:hAnsi="Verdana"/>
          <w:b w:val="0"/>
          <w:sz w:val="20"/>
          <w:szCs w:val="20"/>
        </w:rPr>
        <w:t>entencia emitidas por el Tribunal los días</w:t>
      </w:r>
      <w:r w:rsidRPr="00F17964">
        <w:rPr>
          <w:rStyle w:val="Textoennegrita"/>
          <w:rFonts w:ascii="Verdana" w:hAnsi="Verdana" w:cs="Verdana"/>
          <w:b w:val="0"/>
          <w:sz w:val="20"/>
          <w:szCs w:val="20"/>
        </w:rPr>
        <w:t xml:space="preserve"> </w:t>
      </w:r>
      <w:r w:rsidR="004E275F">
        <w:rPr>
          <w:rStyle w:val="Textoennegrita"/>
          <w:rFonts w:ascii="Verdana" w:hAnsi="Verdana" w:cs="Verdana"/>
          <w:b w:val="0"/>
          <w:sz w:val="20"/>
          <w:szCs w:val="20"/>
        </w:rPr>
        <w:t>22 de septiembre de 2006</w:t>
      </w:r>
      <w:r w:rsidR="00810FC2">
        <w:rPr>
          <w:rStyle w:val="Refdenotaalpie"/>
          <w:rFonts w:ascii="Verdana" w:hAnsi="Verdana" w:cs="Verdana"/>
          <w:bCs/>
          <w:sz w:val="20"/>
          <w:szCs w:val="20"/>
        </w:rPr>
        <w:footnoteReference w:id="5"/>
      </w:r>
      <w:r w:rsidR="004E275F">
        <w:rPr>
          <w:rStyle w:val="Textoennegrita"/>
          <w:rFonts w:ascii="Verdana" w:hAnsi="Verdana" w:cs="Verdana"/>
          <w:b w:val="0"/>
          <w:sz w:val="20"/>
          <w:szCs w:val="20"/>
        </w:rPr>
        <w:t>, 1 de julio de 2009</w:t>
      </w:r>
      <w:r w:rsidR="00810FC2">
        <w:rPr>
          <w:rStyle w:val="Refdenotaalpie"/>
          <w:rFonts w:ascii="Verdana" w:hAnsi="Verdana" w:cs="Verdana"/>
          <w:bCs/>
          <w:sz w:val="20"/>
          <w:szCs w:val="20"/>
        </w:rPr>
        <w:footnoteReference w:id="6"/>
      </w:r>
      <w:r w:rsidR="004E275F">
        <w:rPr>
          <w:rStyle w:val="Textoennegrita"/>
          <w:rFonts w:ascii="Verdana" w:hAnsi="Verdana" w:cs="Verdana"/>
          <w:b w:val="0"/>
          <w:sz w:val="20"/>
          <w:szCs w:val="20"/>
        </w:rPr>
        <w:t xml:space="preserve"> y </w:t>
      </w:r>
      <w:r w:rsidR="00110334">
        <w:rPr>
          <w:rStyle w:val="Textoennegrita"/>
          <w:rFonts w:ascii="Verdana" w:hAnsi="Verdana" w:cs="Verdana"/>
          <w:b w:val="0"/>
          <w:sz w:val="20"/>
          <w:szCs w:val="20"/>
        </w:rPr>
        <w:t>3 de marzo de 2011</w:t>
      </w:r>
      <w:r w:rsidRPr="003F6328">
        <w:rPr>
          <w:rStyle w:val="Refdenotaalpie"/>
          <w:rFonts w:ascii="Verdana" w:hAnsi="Verdana"/>
          <w:bCs/>
          <w:sz w:val="20"/>
          <w:szCs w:val="20"/>
        </w:rPr>
        <w:footnoteReference w:id="7"/>
      </w:r>
      <w:r w:rsidR="00110334">
        <w:rPr>
          <w:rStyle w:val="Textoennegrita"/>
          <w:rFonts w:ascii="Verdana" w:hAnsi="Verdana" w:cs="Verdana"/>
          <w:b w:val="0"/>
          <w:sz w:val="20"/>
          <w:szCs w:val="20"/>
        </w:rPr>
        <w:t>.</w:t>
      </w:r>
    </w:p>
    <w:p w:rsidR="00110334" w:rsidRPr="00110334" w:rsidRDefault="00110334" w:rsidP="00110334">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Pr>
          <w:rStyle w:val="Textoennegrita"/>
          <w:rFonts w:ascii="Verdana" w:hAnsi="Verdana" w:cs="Verdana"/>
          <w:b w:val="0"/>
          <w:sz w:val="20"/>
          <w:szCs w:val="20"/>
        </w:rPr>
        <w:lastRenderedPageBreak/>
        <w:t>Los cinco informes presentados por el Estado entre junio de 2011 y marzo de 2016</w:t>
      </w:r>
      <w:r>
        <w:rPr>
          <w:rStyle w:val="Refdenotaalpie"/>
          <w:rFonts w:ascii="Verdana" w:hAnsi="Verdana" w:cs="Verdana"/>
          <w:bCs/>
          <w:sz w:val="20"/>
          <w:szCs w:val="20"/>
        </w:rPr>
        <w:footnoteReference w:id="8"/>
      </w:r>
      <w:r>
        <w:rPr>
          <w:rStyle w:val="Textoennegrita"/>
          <w:rFonts w:ascii="Verdana" w:hAnsi="Verdana" w:cs="Verdana"/>
          <w:b w:val="0"/>
          <w:sz w:val="20"/>
          <w:szCs w:val="20"/>
        </w:rPr>
        <w:t xml:space="preserve">, </w:t>
      </w:r>
      <w:r>
        <w:rPr>
          <w:rFonts w:ascii="Verdana" w:hAnsi="Verdana"/>
          <w:color w:val="000000"/>
          <w:sz w:val="20"/>
          <w:szCs w:val="20"/>
          <w:shd w:val="clear" w:color="auto" w:fill="FFFFFF"/>
        </w:rPr>
        <w:t>en respuesta a solicitudes efectuadas por la Corte o su Presidente mediante notas de la Secretaría de</w:t>
      </w:r>
      <w:r w:rsidR="00DE1F71">
        <w:rPr>
          <w:rFonts w:ascii="Verdana" w:hAnsi="Verdana"/>
          <w:color w:val="000000"/>
          <w:sz w:val="20"/>
          <w:szCs w:val="20"/>
          <w:shd w:val="clear" w:color="auto" w:fill="FFFFFF"/>
        </w:rPr>
        <w:t>l</w:t>
      </w:r>
      <w:r>
        <w:rPr>
          <w:rFonts w:ascii="Verdana" w:hAnsi="Verdana"/>
          <w:color w:val="000000"/>
          <w:sz w:val="20"/>
          <w:szCs w:val="20"/>
          <w:shd w:val="clear" w:color="auto" w:fill="FFFFFF"/>
        </w:rPr>
        <w:t xml:space="preserve"> </w:t>
      </w:r>
      <w:r w:rsidR="00DE1F71">
        <w:rPr>
          <w:rFonts w:ascii="Verdana" w:hAnsi="Verdana"/>
          <w:color w:val="000000"/>
          <w:sz w:val="20"/>
          <w:szCs w:val="20"/>
          <w:shd w:val="clear" w:color="auto" w:fill="FFFFFF"/>
        </w:rPr>
        <w:t>Tribunal</w:t>
      </w:r>
      <w:r w:rsidR="00C74F96">
        <w:rPr>
          <w:rStyle w:val="Refdenotaalpie"/>
          <w:rFonts w:ascii="Verdana" w:hAnsi="Verdana"/>
          <w:color w:val="000000"/>
          <w:sz w:val="20"/>
          <w:szCs w:val="20"/>
          <w:shd w:val="clear" w:color="auto" w:fill="FFFFFF"/>
        </w:rPr>
        <w:footnoteReference w:id="9"/>
      </w:r>
      <w:r>
        <w:rPr>
          <w:rFonts w:ascii="Verdana" w:hAnsi="Verdana"/>
          <w:color w:val="000000"/>
          <w:sz w:val="20"/>
          <w:szCs w:val="20"/>
          <w:shd w:val="clear" w:color="auto" w:fill="FFFFFF"/>
        </w:rPr>
        <w:t>.</w:t>
      </w:r>
    </w:p>
    <w:p w:rsidR="00110334" w:rsidRPr="00110334" w:rsidRDefault="00110334" w:rsidP="00110334">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Pr>
          <w:rFonts w:ascii="Verdana" w:hAnsi="Verdana"/>
          <w:color w:val="000000"/>
          <w:sz w:val="20"/>
          <w:szCs w:val="20"/>
          <w:shd w:val="clear" w:color="auto" w:fill="FFFFFF"/>
        </w:rPr>
        <w:t xml:space="preserve">Los cinco escritos de observaciones presentados </w:t>
      </w:r>
      <w:r w:rsidR="00F518BC">
        <w:rPr>
          <w:rFonts w:ascii="Verdana" w:hAnsi="Verdana"/>
          <w:color w:val="000000"/>
          <w:sz w:val="20"/>
          <w:szCs w:val="20"/>
          <w:shd w:val="clear" w:color="auto" w:fill="FFFFFF"/>
        </w:rPr>
        <w:t xml:space="preserve">por </w:t>
      </w:r>
      <w:r>
        <w:rPr>
          <w:rFonts w:ascii="Verdana" w:hAnsi="Verdana"/>
          <w:color w:val="000000"/>
          <w:sz w:val="20"/>
          <w:szCs w:val="20"/>
          <w:shd w:val="clear" w:color="auto" w:fill="FFFFFF"/>
        </w:rPr>
        <w:t>los representantes de las víctimas (en adelante “los representantes”)</w:t>
      </w:r>
      <w:r w:rsidR="00445A42" w:rsidRPr="00F17964">
        <w:rPr>
          <w:rStyle w:val="Refdenotaalpie"/>
          <w:rFonts w:ascii="Verdana" w:hAnsi="Verdana"/>
          <w:sz w:val="20"/>
          <w:szCs w:val="20"/>
        </w:rPr>
        <w:footnoteReference w:id="10"/>
      </w:r>
      <w:r w:rsidR="00445A42" w:rsidRPr="00110334">
        <w:rPr>
          <w:rFonts w:ascii="Verdana" w:hAnsi="Verdana"/>
          <w:sz w:val="20"/>
          <w:szCs w:val="20"/>
        </w:rPr>
        <w:t xml:space="preserve"> </w:t>
      </w:r>
      <w:r>
        <w:rPr>
          <w:rFonts w:ascii="Verdana" w:hAnsi="Verdana"/>
          <w:sz w:val="20"/>
          <w:szCs w:val="20"/>
        </w:rPr>
        <w:t>entre julio de 2011 y abril de 2016</w:t>
      </w:r>
      <w:r>
        <w:rPr>
          <w:rStyle w:val="Refdenotaalpie"/>
          <w:rFonts w:ascii="Verdana" w:hAnsi="Verdana"/>
          <w:sz w:val="20"/>
          <w:szCs w:val="20"/>
        </w:rPr>
        <w:footnoteReference w:id="11"/>
      </w:r>
      <w:r>
        <w:rPr>
          <w:rFonts w:ascii="Verdana" w:hAnsi="Verdana"/>
          <w:sz w:val="20"/>
          <w:szCs w:val="20"/>
        </w:rPr>
        <w:t>.</w:t>
      </w:r>
    </w:p>
    <w:p w:rsidR="00110334" w:rsidRPr="00F17964" w:rsidRDefault="00110334" w:rsidP="00110334">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Pr>
          <w:rFonts w:ascii="Verdana" w:hAnsi="Verdana"/>
          <w:sz w:val="20"/>
          <w:szCs w:val="20"/>
        </w:rPr>
        <w:t xml:space="preserve">Los cinco escritos de observaciones presentados por </w:t>
      </w:r>
      <w:r w:rsidR="00445A42" w:rsidRPr="00110334">
        <w:rPr>
          <w:rFonts w:ascii="Verdana" w:hAnsi="Verdana"/>
          <w:sz w:val="20"/>
          <w:szCs w:val="20"/>
        </w:rPr>
        <w:t xml:space="preserve">la </w:t>
      </w:r>
      <w:r w:rsidR="00445A42" w:rsidRPr="00110334">
        <w:rPr>
          <w:rFonts w:ascii="Verdana" w:hAnsi="Verdana"/>
          <w:sz w:val="20"/>
          <w:lang w:val="es-MX"/>
        </w:rPr>
        <w:t>Comisión Interamericana de Derechos Humanos (en adelante la “Comisión Interamericana” o la “Comisión”)</w:t>
      </w:r>
      <w:r>
        <w:rPr>
          <w:rFonts w:ascii="Verdana" w:hAnsi="Verdana"/>
          <w:sz w:val="20"/>
          <w:lang w:val="es-MX"/>
        </w:rPr>
        <w:t xml:space="preserve"> entre agosto de 2011 y abril </w:t>
      </w:r>
      <w:r w:rsidR="00F518BC">
        <w:rPr>
          <w:rFonts w:ascii="Verdana" w:hAnsi="Verdana"/>
          <w:sz w:val="20"/>
          <w:lang w:val="es-MX"/>
        </w:rPr>
        <w:t xml:space="preserve">de </w:t>
      </w:r>
      <w:r>
        <w:rPr>
          <w:rFonts w:ascii="Verdana" w:hAnsi="Verdana"/>
          <w:sz w:val="20"/>
          <w:lang w:val="es-MX"/>
        </w:rPr>
        <w:t>2016</w:t>
      </w:r>
      <w:r>
        <w:rPr>
          <w:rStyle w:val="Refdenotaalpie"/>
          <w:rFonts w:ascii="Verdana" w:hAnsi="Verdana"/>
          <w:sz w:val="20"/>
          <w:lang w:val="es-MX"/>
        </w:rPr>
        <w:footnoteReference w:id="12"/>
      </w:r>
      <w:r>
        <w:rPr>
          <w:rFonts w:ascii="Verdana" w:hAnsi="Verdana"/>
          <w:sz w:val="20"/>
          <w:lang w:val="es-MX"/>
        </w:rPr>
        <w:t>.</w:t>
      </w:r>
    </w:p>
    <w:p w:rsidR="00CF64BB" w:rsidRPr="00CF07CC" w:rsidRDefault="00CF64BB" w:rsidP="00110334">
      <w:pPr>
        <w:pStyle w:val="Prrafodelista"/>
        <w:autoSpaceDE w:val="0"/>
        <w:autoSpaceDN w:val="0"/>
        <w:adjustRightInd w:val="0"/>
        <w:spacing w:before="120" w:after="120" w:line="240" w:lineRule="auto"/>
        <w:ind w:left="0"/>
        <w:contextualSpacing w:val="0"/>
        <w:jc w:val="both"/>
        <w:rPr>
          <w:rFonts w:ascii="Verdana" w:hAnsi="Verdana" w:cs="Verdana"/>
          <w:sz w:val="20"/>
          <w:szCs w:val="20"/>
        </w:rPr>
      </w:pPr>
    </w:p>
    <w:p w:rsidR="00C228C3" w:rsidRPr="00F17964" w:rsidRDefault="00C228C3" w:rsidP="0041755F">
      <w:pPr>
        <w:pStyle w:val="Default"/>
        <w:spacing w:before="120" w:after="120"/>
        <w:jc w:val="both"/>
        <w:rPr>
          <w:b/>
          <w:color w:val="auto"/>
          <w:sz w:val="20"/>
          <w:szCs w:val="20"/>
        </w:rPr>
      </w:pPr>
      <w:r w:rsidRPr="00F17964">
        <w:rPr>
          <w:b/>
          <w:color w:val="auto"/>
          <w:sz w:val="20"/>
          <w:szCs w:val="20"/>
        </w:rPr>
        <w:t>CONSIDERANDO QUE:</w:t>
      </w:r>
    </w:p>
    <w:p w:rsidR="00C50169" w:rsidRPr="009D1072" w:rsidRDefault="00C228C3" w:rsidP="0041755F">
      <w:pPr>
        <w:pStyle w:val="Textonotapie"/>
        <w:numPr>
          <w:ilvl w:val="0"/>
          <w:numId w:val="2"/>
        </w:numPr>
        <w:autoSpaceDE w:val="0"/>
        <w:autoSpaceDN w:val="0"/>
        <w:adjustRightInd w:val="0"/>
        <w:spacing w:before="120" w:after="120"/>
        <w:ind w:left="0" w:firstLine="0"/>
        <w:jc w:val="both"/>
        <w:rPr>
          <w:rFonts w:ascii="Verdana" w:hAnsi="Verdana"/>
        </w:rPr>
      </w:pPr>
      <w:r w:rsidRPr="00F17964">
        <w:rPr>
          <w:rFonts w:ascii="Verdana" w:hAnsi="Verdana"/>
        </w:rPr>
        <w:t xml:space="preserve">En el ejercicio de </w:t>
      </w:r>
      <w:r w:rsidRPr="00F17964">
        <w:rPr>
          <w:rFonts w:ascii="Verdana" w:hAnsi="Verdana"/>
          <w:lang w:val="es-ES"/>
        </w:rPr>
        <w:t xml:space="preserve">su función jurisdiccional de </w:t>
      </w:r>
      <w:r w:rsidRPr="00F17964">
        <w:rPr>
          <w:rFonts w:ascii="Verdana" w:hAnsi="Verdana"/>
        </w:rPr>
        <w:t>supervisar el cumplimiento de sus decisiones</w:t>
      </w:r>
      <w:r w:rsidRPr="00F17964">
        <w:rPr>
          <w:rStyle w:val="Refdenotaalpie"/>
          <w:rFonts w:ascii="Verdana" w:hAnsi="Verdana"/>
        </w:rPr>
        <w:footnoteReference w:id="13"/>
      </w:r>
      <w:r w:rsidRPr="00F17964">
        <w:rPr>
          <w:rFonts w:ascii="Verdana" w:hAnsi="Verdana"/>
        </w:rPr>
        <w:t xml:space="preserve">, la Corte ha venido supervisando la ejecución de la Sentencia emitida </w:t>
      </w:r>
      <w:r w:rsidRPr="00F17964">
        <w:rPr>
          <w:rFonts w:ascii="Verdana" w:hAnsi="Verdana"/>
          <w:lang w:val="es-MX"/>
        </w:rPr>
        <w:t>en el presente caso</w:t>
      </w:r>
      <w:r w:rsidRPr="00F17964">
        <w:rPr>
          <w:rFonts w:ascii="Verdana" w:hAnsi="Verdana"/>
          <w:i/>
          <w:lang w:val="es-MX"/>
        </w:rPr>
        <w:t xml:space="preserve"> </w:t>
      </w:r>
      <w:r w:rsidRPr="00F17964">
        <w:rPr>
          <w:rFonts w:ascii="Verdana" w:hAnsi="Verdana"/>
          <w:lang w:val="es-MX"/>
        </w:rPr>
        <w:t xml:space="preserve">hace más de </w:t>
      </w:r>
      <w:r w:rsidR="00C50169">
        <w:rPr>
          <w:rFonts w:ascii="Verdana" w:hAnsi="Verdana"/>
          <w:lang w:val="es-MX"/>
        </w:rPr>
        <w:t>doce</w:t>
      </w:r>
      <w:r w:rsidR="00FD36E3" w:rsidRPr="00F17964">
        <w:rPr>
          <w:rFonts w:ascii="Verdana" w:hAnsi="Verdana"/>
          <w:lang w:val="es-MX"/>
        </w:rPr>
        <w:t xml:space="preserve"> </w:t>
      </w:r>
      <w:r w:rsidRPr="00F17964">
        <w:rPr>
          <w:rFonts w:ascii="Verdana" w:hAnsi="Verdana"/>
          <w:lang w:val="es-MX"/>
        </w:rPr>
        <w:t>años (</w:t>
      </w:r>
      <w:r w:rsidRPr="00F17964">
        <w:rPr>
          <w:rFonts w:ascii="Verdana" w:hAnsi="Verdana"/>
          <w:i/>
          <w:lang w:val="es-MX"/>
        </w:rPr>
        <w:t>supra</w:t>
      </w:r>
      <w:r w:rsidRPr="00F17964">
        <w:rPr>
          <w:rFonts w:ascii="Verdana" w:hAnsi="Verdana"/>
          <w:lang w:val="es-MX"/>
        </w:rPr>
        <w:t xml:space="preserve"> Visto 1).</w:t>
      </w:r>
      <w:r w:rsidRPr="00F17964">
        <w:rPr>
          <w:rFonts w:ascii="Verdana" w:hAnsi="Verdana" w:cs="Verdana"/>
        </w:rPr>
        <w:t xml:space="preserve"> El Tribunal ha emitido </w:t>
      </w:r>
      <w:r w:rsidR="00C50169">
        <w:rPr>
          <w:rFonts w:ascii="Verdana" w:hAnsi="Verdana" w:cs="Verdana"/>
        </w:rPr>
        <w:t>tres</w:t>
      </w:r>
      <w:r w:rsidRPr="00F17964">
        <w:rPr>
          <w:rFonts w:ascii="Verdana" w:hAnsi="Verdana" w:cs="Verdana"/>
        </w:rPr>
        <w:t xml:space="preserve"> resoluciones de supervisión </w:t>
      </w:r>
      <w:r w:rsidRPr="009D1072">
        <w:rPr>
          <w:rFonts w:ascii="Verdana" w:hAnsi="Verdana" w:cs="Verdana"/>
        </w:rPr>
        <w:t xml:space="preserve">de cumplimiento en los años </w:t>
      </w:r>
      <w:r w:rsidR="00C50169" w:rsidRPr="009D1072">
        <w:rPr>
          <w:rFonts w:ascii="Verdana" w:hAnsi="Verdana" w:cs="Verdana"/>
        </w:rPr>
        <w:t xml:space="preserve">2006, </w:t>
      </w:r>
      <w:r w:rsidRPr="009D1072">
        <w:rPr>
          <w:rFonts w:ascii="Verdana" w:hAnsi="Verdana" w:cs="Verdana"/>
        </w:rPr>
        <w:t>2009 y 201</w:t>
      </w:r>
      <w:r w:rsidR="00C50169" w:rsidRPr="009D1072">
        <w:rPr>
          <w:rFonts w:ascii="Verdana" w:hAnsi="Verdana" w:cs="Verdana"/>
        </w:rPr>
        <w:t>1</w:t>
      </w:r>
      <w:r w:rsidRPr="009D1072">
        <w:rPr>
          <w:rFonts w:ascii="Verdana" w:hAnsi="Verdana" w:cs="Verdana"/>
        </w:rPr>
        <w:t xml:space="preserve"> (</w:t>
      </w:r>
      <w:r w:rsidRPr="009D1072">
        <w:rPr>
          <w:rFonts w:ascii="Verdana" w:hAnsi="Verdana" w:cs="Verdana"/>
          <w:i/>
        </w:rPr>
        <w:t>supra</w:t>
      </w:r>
      <w:r w:rsidRPr="009D1072">
        <w:rPr>
          <w:rFonts w:ascii="Verdana" w:hAnsi="Verdana" w:cs="Verdana"/>
        </w:rPr>
        <w:t xml:space="preserve"> Visto 2), en las cuales declaró que Ecuador</w:t>
      </w:r>
      <w:r w:rsidR="003B7375" w:rsidRPr="009D1072">
        <w:rPr>
          <w:rFonts w:ascii="Verdana" w:hAnsi="Verdana" w:cs="Verdana"/>
        </w:rPr>
        <w:t xml:space="preserve"> </w:t>
      </w:r>
      <w:r w:rsidR="00C50169" w:rsidRPr="009D1072">
        <w:rPr>
          <w:rFonts w:ascii="Verdana" w:hAnsi="Verdana" w:cs="Verdana"/>
        </w:rPr>
        <w:t xml:space="preserve">ha dado cumplimiento total a </w:t>
      </w:r>
      <w:r w:rsidR="00867000" w:rsidRPr="009D1072">
        <w:rPr>
          <w:rFonts w:ascii="Verdana" w:hAnsi="Verdana" w:cs="Verdana"/>
        </w:rPr>
        <w:t>cinco</w:t>
      </w:r>
      <w:r w:rsidR="0056499A" w:rsidRPr="009D1072">
        <w:rPr>
          <w:rFonts w:ascii="Verdana" w:hAnsi="Verdana" w:cs="Verdana"/>
        </w:rPr>
        <w:t xml:space="preserve"> medidas de reparación</w:t>
      </w:r>
      <w:r w:rsidR="00867000" w:rsidRPr="009D1072">
        <w:rPr>
          <w:rStyle w:val="Refdenotaalpie"/>
          <w:rFonts w:ascii="Verdana" w:hAnsi="Verdana" w:cs="Verdana"/>
        </w:rPr>
        <w:footnoteReference w:id="14"/>
      </w:r>
      <w:r w:rsidR="0056499A" w:rsidRPr="009D1072">
        <w:rPr>
          <w:rFonts w:ascii="Verdana" w:hAnsi="Verdana" w:cs="Verdana"/>
        </w:rPr>
        <w:t xml:space="preserve"> y cumplimiento parcial a una reparación</w:t>
      </w:r>
      <w:r w:rsidR="00867000" w:rsidRPr="009D1072">
        <w:rPr>
          <w:rStyle w:val="Refdenotaalpie"/>
          <w:rFonts w:ascii="Verdana" w:hAnsi="Verdana" w:cs="Verdana"/>
        </w:rPr>
        <w:footnoteReference w:id="15"/>
      </w:r>
      <w:r w:rsidR="00BB756B" w:rsidRPr="009D1072">
        <w:rPr>
          <w:rFonts w:ascii="Verdana" w:hAnsi="Verdana" w:cs="Verdana"/>
        </w:rPr>
        <w:t xml:space="preserve"> (</w:t>
      </w:r>
      <w:r w:rsidR="00BB756B" w:rsidRPr="009D1072">
        <w:rPr>
          <w:rFonts w:ascii="Verdana" w:hAnsi="Verdana" w:cs="Verdana"/>
          <w:i/>
        </w:rPr>
        <w:t xml:space="preserve">infra </w:t>
      </w:r>
      <w:r w:rsidR="00BB756B" w:rsidRPr="009D1072">
        <w:rPr>
          <w:rFonts w:ascii="Verdana" w:hAnsi="Verdana" w:cs="Verdana"/>
        </w:rPr>
        <w:t xml:space="preserve">Considerandos </w:t>
      </w:r>
      <w:r w:rsidR="00F605C5" w:rsidRPr="00BC5945">
        <w:rPr>
          <w:rFonts w:ascii="Verdana" w:hAnsi="Verdana" w:cs="Verdana"/>
        </w:rPr>
        <w:t>18 a 20</w:t>
      </w:r>
      <w:r w:rsidR="00BB756B" w:rsidRPr="001D1008">
        <w:rPr>
          <w:rFonts w:ascii="Verdana" w:hAnsi="Verdana" w:cs="Verdana"/>
        </w:rPr>
        <w:t>)</w:t>
      </w:r>
      <w:r w:rsidR="0056499A" w:rsidRPr="001D1008">
        <w:rPr>
          <w:rFonts w:ascii="Verdana" w:hAnsi="Verdana" w:cs="Verdana"/>
        </w:rPr>
        <w:t>,</w:t>
      </w:r>
      <w:r w:rsidR="0056499A" w:rsidRPr="009D1072">
        <w:rPr>
          <w:rFonts w:ascii="Verdana" w:hAnsi="Verdana" w:cs="Verdana"/>
        </w:rPr>
        <w:t xml:space="preserve"> quedando pendientes de cumplimiento dos medidas, a saber: </w:t>
      </w:r>
    </w:p>
    <w:p w:rsidR="00867000" w:rsidRDefault="0012218A" w:rsidP="0041755F">
      <w:pPr>
        <w:pStyle w:val="Textonotapie"/>
        <w:numPr>
          <w:ilvl w:val="0"/>
          <w:numId w:val="5"/>
        </w:numPr>
        <w:autoSpaceDE w:val="0"/>
        <w:autoSpaceDN w:val="0"/>
        <w:adjustRightInd w:val="0"/>
        <w:spacing w:before="120" w:after="120"/>
        <w:jc w:val="both"/>
        <w:rPr>
          <w:rFonts w:ascii="Verdana" w:hAnsi="Verdana"/>
        </w:rPr>
      </w:pPr>
      <w:r w:rsidRPr="00F17964">
        <w:rPr>
          <w:rFonts w:ascii="Verdana" w:hAnsi="Verdana"/>
        </w:rPr>
        <w:t>“</w:t>
      </w:r>
      <w:r w:rsidR="00867000">
        <w:rPr>
          <w:rFonts w:ascii="Verdana" w:hAnsi="Verdana"/>
        </w:rPr>
        <w:t xml:space="preserve">investigar efectivamente los hechos del presente caso, con el fin de identificar, juzgar y sancionar a todos los autores de las violaciones cometidas en perjuicio del </w:t>
      </w:r>
      <w:r w:rsidR="00867000">
        <w:rPr>
          <w:rFonts w:ascii="Verdana" w:hAnsi="Verdana"/>
        </w:rPr>
        <w:lastRenderedPageBreak/>
        <w:t xml:space="preserve">señor Tibi” y “divulgar públicamente” “los resultados de este proceso” </w:t>
      </w:r>
      <w:r w:rsidR="00867000" w:rsidRPr="00867000">
        <w:rPr>
          <w:rFonts w:ascii="Verdana" w:hAnsi="Verdana"/>
          <w:i/>
        </w:rPr>
        <w:t>(punto resolutivo décimo</w:t>
      </w:r>
      <w:r w:rsidR="00867000">
        <w:rPr>
          <w:rFonts w:ascii="Verdana" w:hAnsi="Verdana"/>
          <w:i/>
        </w:rPr>
        <w:t xml:space="preserve"> de la Sentencia</w:t>
      </w:r>
      <w:r w:rsidR="00867000" w:rsidRPr="00867000">
        <w:rPr>
          <w:rFonts w:ascii="Verdana" w:hAnsi="Verdana"/>
          <w:i/>
        </w:rPr>
        <w:t>)</w:t>
      </w:r>
      <w:r w:rsidR="007268D9">
        <w:rPr>
          <w:rFonts w:ascii="Verdana" w:hAnsi="Verdana"/>
        </w:rPr>
        <w:t>, y</w:t>
      </w:r>
      <w:r w:rsidR="00867000">
        <w:rPr>
          <w:rFonts w:ascii="Verdana" w:hAnsi="Verdana"/>
        </w:rPr>
        <w:t xml:space="preserve"> </w:t>
      </w:r>
    </w:p>
    <w:p w:rsidR="0012218A" w:rsidRPr="00810FC2" w:rsidRDefault="001D1008" w:rsidP="0041755F">
      <w:pPr>
        <w:pStyle w:val="Textonotapie"/>
        <w:numPr>
          <w:ilvl w:val="0"/>
          <w:numId w:val="5"/>
        </w:numPr>
        <w:autoSpaceDE w:val="0"/>
        <w:autoSpaceDN w:val="0"/>
        <w:adjustRightInd w:val="0"/>
        <w:spacing w:before="120" w:after="120"/>
        <w:jc w:val="both"/>
        <w:rPr>
          <w:rFonts w:ascii="Verdana" w:hAnsi="Verdana"/>
        </w:rPr>
      </w:pPr>
      <w:r>
        <w:rPr>
          <w:rFonts w:ascii="Verdana" w:hAnsi="Verdana" w:cs="Verdana"/>
        </w:rPr>
        <w:t xml:space="preserve">“establecer un programa de formación y capacitación para el personal […] del ministerio público […] y penitenciario, incluyendo al personal médico, psiquiátrico y psicológico, sobre los principios y normas de protección de los derechos humanos en el tratamiento de reclusos” y </w:t>
      </w:r>
      <w:r w:rsidR="00867000">
        <w:rPr>
          <w:rFonts w:ascii="Verdana" w:hAnsi="Verdana" w:cs="Verdana"/>
        </w:rPr>
        <w:t xml:space="preserve">“crear un comité interinstitucional con el fin de definir y ejecutar los programas de capacitación en derechos humanos y tratamiento de los reclusos para el personal del ministerio público y penitenciario, incluyendo al personal médico, psiquiátrico y psicológico” </w:t>
      </w:r>
      <w:r w:rsidR="0012218A" w:rsidRPr="00F17964">
        <w:rPr>
          <w:rFonts w:ascii="Verdana" w:hAnsi="Verdana" w:cs="Verdana"/>
          <w:i/>
        </w:rPr>
        <w:t xml:space="preserve">(punto </w:t>
      </w:r>
      <w:r w:rsidR="00867000">
        <w:rPr>
          <w:rFonts w:ascii="Verdana" w:hAnsi="Verdana" w:cs="Verdana"/>
          <w:i/>
        </w:rPr>
        <w:t>resolutivo</w:t>
      </w:r>
      <w:r w:rsidR="0012218A" w:rsidRPr="00F17964">
        <w:rPr>
          <w:rFonts w:ascii="Verdana" w:hAnsi="Verdana" w:cs="Verdana"/>
          <w:i/>
        </w:rPr>
        <w:t xml:space="preserve"> décimo </w:t>
      </w:r>
      <w:r w:rsidR="00867000">
        <w:rPr>
          <w:rFonts w:ascii="Verdana" w:hAnsi="Verdana" w:cs="Verdana"/>
          <w:i/>
        </w:rPr>
        <w:t>tercero</w:t>
      </w:r>
      <w:r w:rsidR="0012218A" w:rsidRPr="00F17964">
        <w:rPr>
          <w:rFonts w:ascii="Verdana" w:hAnsi="Verdana" w:cs="Verdana"/>
          <w:i/>
        </w:rPr>
        <w:t xml:space="preserve"> de la Sentencia) </w:t>
      </w:r>
      <w:r w:rsidR="0012218A" w:rsidRPr="00F17964">
        <w:rPr>
          <w:rFonts w:ascii="Verdana" w:hAnsi="Verdana" w:cs="Verdana"/>
        </w:rPr>
        <w:t>(</w:t>
      </w:r>
      <w:r w:rsidR="0012218A" w:rsidRPr="009E4139">
        <w:rPr>
          <w:rFonts w:ascii="Verdana" w:hAnsi="Verdana" w:cs="Verdana"/>
          <w:i/>
        </w:rPr>
        <w:t xml:space="preserve">supra </w:t>
      </w:r>
      <w:r w:rsidR="0012218A" w:rsidRPr="009E4139">
        <w:rPr>
          <w:rFonts w:ascii="Verdana" w:hAnsi="Verdana" w:cs="Verdana"/>
        </w:rPr>
        <w:t xml:space="preserve">nota al pie </w:t>
      </w:r>
      <w:r w:rsidR="009E4139" w:rsidRPr="009E4139">
        <w:rPr>
          <w:rFonts w:ascii="Verdana" w:hAnsi="Verdana" w:cs="Verdana"/>
        </w:rPr>
        <w:t>14</w:t>
      </w:r>
      <w:r w:rsidR="0012218A" w:rsidRPr="009E4139">
        <w:rPr>
          <w:rFonts w:ascii="Verdana" w:hAnsi="Verdana" w:cs="Verdana"/>
        </w:rPr>
        <w:t>).</w:t>
      </w:r>
    </w:p>
    <w:p w:rsidR="00810FC2" w:rsidRPr="00810FC2" w:rsidRDefault="00810FC2" w:rsidP="00810FC2">
      <w:pPr>
        <w:pStyle w:val="Prrafodelista"/>
        <w:numPr>
          <w:ilvl w:val="0"/>
          <w:numId w:val="2"/>
        </w:numPr>
        <w:spacing w:before="120" w:after="120" w:line="240" w:lineRule="auto"/>
        <w:ind w:left="0" w:firstLine="0"/>
        <w:contextualSpacing w:val="0"/>
        <w:jc w:val="both"/>
        <w:rPr>
          <w:rFonts w:ascii="Verdana" w:hAnsi="Verdana"/>
          <w:sz w:val="20"/>
          <w:szCs w:val="20"/>
          <w:lang w:val="es-MX"/>
        </w:rPr>
      </w:pPr>
      <w:r w:rsidRPr="00810FC2">
        <w:rPr>
          <w:rFonts w:ascii="Verdana" w:hAnsi="Verdana"/>
          <w:sz w:val="20"/>
        </w:rPr>
        <w:t xml:space="preserve">De conformidad con </w:t>
      </w:r>
      <w:r w:rsidRPr="00810FC2">
        <w:rPr>
          <w:rFonts w:ascii="Verdana" w:hAnsi="Verdana"/>
          <w:sz w:val="20"/>
          <w:lang w:val="es-ES"/>
        </w:rPr>
        <w:t>lo establecido en el artículo</w:t>
      </w:r>
      <w:r w:rsidRPr="00810FC2">
        <w:rPr>
          <w:rFonts w:ascii="Verdana" w:hAnsi="Verdana"/>
          <w:sz w:val="20"/>
        </w:rPr>
        <w:t xml:space="preserve"> </w:t>
      </w:r>
      <w:r w:rsidRPr="00810FC2">
        <w:rPr>
          <w:rFonts w:ascii="Verdana" w:hAnsi="Verdana"/>
          <w:color w:val="000000"/>
          <w:sz w:val="20"/>
          <w:lang w:val="es-CO"/>
        </w:rPr>
        <w:t xml:space="preserve">68.1 de la Convención Americana, “[l]os Estados Partes en la Convención se comprometen a cumplir la decisión de la </w:t>
      </w:r>
      <w:r w:rsidRPr="00810FC2">
        <w:rPr>
          <w:rFonts w:ascii="Verdana" w:hAnsi="Verdana"/>
          <w:color w:val="000000"/>
          <w:sz w:val="20"/>
          <w:lang w:val="es-MX"/>
        </w:rPr>
        <w:t>Corte en todo caso en que sean parte</w:t>
      </w:r>
      <w:r w:rsidRPr="00810FC2">
        <w:rPr>
          <w:rFonts w:ascii="Verdana" w:hAnsi="Verdana"/>
          <w:i/>
          <w:color w:val="000000"/>
          <w:sz w:val="20"/>
          <w:lang w:val="es-MX"/>
        </w:rPr>
        <w:t>s”</w:t>
      </w:r>
      <w:r w:rsidRPr="00810FC2">
        <w:rPr>
          <w:rFonts w:ascii="Verdana" w:hAnsi="Verdana" w:cs="Verdana"/>
          <w:i/>
          <w:sz w:val="20"/>
          <w:lang w:val="es-MX"/>
        </w:rPr>
        <w:t>.</w:t>
      </w:r>
      <w:r w:rsidRPr="00810FC2">
        <w:rPr>
          <w:rFonts w:ascii="Verdana" w:hAnsi="Verdana" w:cs="Verdana"/>
          <w:sz w:val="20"/>
          <w:lang w:val="es-MX"/>
        </w:rPr>
        <w:t xml:space="preserve"> </w:t>
      </w:r>
      <w:r w:rsidRPr="00810FC2">
        <w:rPr>
          <w:rFonts w:ascii="Verdana" w:hAnsi="Verdana"/>
          <w:sz w:val="20"/>
          <w:lang w:val="es-MX"/>
        </w:rPr>
        <w:t xml:space="preserve">Esta obligación incluye el deber del Estado de informar a la Corte sobre las medidas </w:t>
      </w:r>
      <w:proofErr w:type="spellStart"/>
      <w:r w:rsidRPr="00810FC2">
        <w:rPr>
          <w:rFonts w:ascii="Verdana" w:hAnsi="Verdana"/>
          <w:sz w:val="20"/>
          <w:lang w:val="es-MX"/>
        </w:rPr>
        <w:t>ado</w:t>
      </w:r>
      <w:r w:rsidRPr="00810FC2">
        <w:rPr>
          <w:rFonts w:ascii="Verdana" w:hAnsi="Verdana"/>
          <w:sz w:val="20"/>
        </w:rPr>
        <w:t>ptadas</w:t>
      </w:r>
      <w:proofErr w:type="spellEnd"/>
      <w:r w:rsidRPr="00810FC2">
        <w:rPr>
          <w:rFonts w:ascii="Verdana" w:hAnsi="Verdana"/>
          <w:sz w:val="20"/>
        </w:rPr>
        <w:t xml:space="preserve"> para cumplir cada uno de los puntos ordenados por ésta, lo cual es funda</w:t>
      </w:r>
      <w:r w:rsidRPr="00810FC2">
        <w:rPr>
          <w:rFonts w:ascii="Verdana" w:hAnsi="Verdana"/>
          <w:sz w:val="20"/>
          <w:lang w:val="es-MX"/>
        </w:rPr>
        <w:t xml:space="preserve">mental para </w:t>
      </w:r>
      <w:proofErr w:type="spellStart"/>
      <w:r w:rsidRPr="00810FC2">
        <w:rPr>
          <w:rFonts w:ascii="Verdana" w:hAnsi="Verdana"/>
          <w:sz w:val="20"/>
          <w:lang w:val="es-MX"/>
        </w:rPr>
        <w:t>evalua</w:t>
      </w:r>
      <w:proofErr w:type="spellEnd"/>
      <w:r w:rsidRPr="00810FC2">
        <w:rPr>
          <w:rFonts w:ascii="Verdana" w:hAnsi="Verdana"/>
          <w:sz w:val="20"/>
        </w:rPr>
        <w:t>r el estado de cumplimiento de la Sentencia en su conjunto</w:t>
      </w:r>
      <w:r w:rsidRPr="00062135">
        <w:rPr>
          <w:rStyle w:val="Refdenotaalpie"/>
          <w:rFonts w:ascii="Verdana" w:hAnsi="Verdana"/>
          <w:sz w:val="20"/>
        </w:rPr>
        <w:footnoteReference w:id="16"/>
      </w:r>
      <w:r w:rsidRPr="00810FC2">
        <w:rPr>
          <w:rFonts w:ascii="Verdana" w:hAnsi="Verdana"/>
          <w:sz w:val="20"/>
        </w:rPr>
        <w:t xml:space="preserve">. </w:t>
      </w:r>
      <w:r w:rsidRPr="00810FC2">
        <w:rPr>
          <w:rFonts w:ascii="Verdana" w:hAnsi="Verdana" w:cs="Verdana"/>
          <w:sz w:val="20"/>
          <w:lang w:val="es-ES"/>
        </w:rPr>
        <w:t>Los Estados Parte en la Convención deben garantizar el cumplimiento de las disposiciones convencionales y sus efectos propios (</w:t>
      </w:r>
      <w:proofErr w:type="spellStart"/>
      <w:r w:rsidRPr="00810FC2">
        <w:rPr>
          <w:rFonts w:ascii="Verdana" w:hAnsi="Verdana" w:cs="Verdana-Italic"/>
          <w:i/>
          <w:iCs/>
          <w:sz w:val="20"/>
          <w:lang w:val="es-ES"/>
        </w:rPr>
        <w:t>effet</w:t>
      </w:r>
      <w:proofErr w:type="spellEnd"/>
      <w:r w:rsidRPr="00810FC2">
        <w:rPr>
          <w:rFonts w:ascii="Verdana" w:hAnsi="Verdana" w:cs="Verdana-Italic"/>
          <w:i/>
          <w:iCs/>
          <w:sz w:val="20"/>
          <w:lang w:val="es-ES"/>
        </w:rPr>
        <w:t xml:space="preserve"> </w:t>
      </w:r>
      <w:proofErr w:type="spellStart"/>
      <w:r w:rsidRPr="00810FC2">
        <w:rPr>
          <w:rFonts w:ascii="Verdana" w:hAnsi="Verdana" w:cs="Verdana-Italic"/>
          <w:i/>
          <w:iCs/>
          <w:sz w:val="20"/>
          <w:lang w:val="es-ES"/>
        </w:rPr>
        <w:t>utile</w:t>
      </w:r>
      <w:proofErr w:type="spellEnd"/>
      <w:r w:rsidRPr="00810FC2">
        <w:rPr>
          <w:rFonts w:ascii="Verdana" w:hAnsi="Verdana" w:cs="Verdana"/>
          <w:sz w:val="20"/>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062135">
        <w:rPr>
          <w:rStyle w:val="Refdenotaalpie"/>
          <w:rFonts w:ascii="Verdana" w:hAnsi="Verdana" w:cs="Verdana"/>
          <w:sz w:val="20"/>
        </w:rPr>
        <w:footnoteReference w:id="17"/>
      </w:r>
      <w:r w:rsidRPr="00810FC2">
        <w:rPr>
          <w:rFonts w:ascii="Verdana" w:hAnsi="Verdana" w:cs="Verdana"/>
          <w:sz w:val="20"/>
          <w:lang w:val="es-ES"/>
        </w:rPr>
        <w:t>.</w:t>
      </w:r>
    </w:p>
    <w:p w:rsidR="0041755F" w:rsidRPr="00C21853" w:rsidRDefault="00F44CF7" w:rsidP="0041755F">
      <w:pPr>
        <w:pStyle w:val="Prrafodelista"/>
        <w:numPr>
          <w:ilvl w:val="0"/>
          <w:numId w:val="2"/>
        </w:numPr>
        <w:spacing w:before="120" w:after="120" w:line="240" w:lineRule="auto"/>
        <w:ind w:left="0" w:firstLine="0"/>
        <w:jc w:val="both"/>
        <w:rPr>
          <w:rFonts w:ascii="Verdana" w:hAnsi="Verdana"/>
          <w:sz w:val="20"/>
          <w:szCs w:val="20"/>
          <w:lang w:val="es-MX"/>
        </w:rPr>
      </w:pPr>
      <w:r>
        <w:rPr>
          <w:rFonts w:ascii="Verdana" w:hAnsi="Verdana"/>
          <w:sz w:val="20"/>
          <w:lang w:val="es-ES"/>
        </w:rPr>
        <w:t>L</w:t>
      </w:r>
      <w:r w:rsidR="0041755F" w:rsidRPr="00F17964">
        <w:rPr>
          <w:rFonts w:ascii="Verdana" w:hAnsi="Verdana"/>
          <w:sz w:val="20"/>
          <w:lang w:val="es-ES"/>
        </w:rPr>
        <w:t xml:space="preserve">a Corte valorará la información presentada por las partes respecto de las </w:t>
      </w:r>
      <w:r w:rsidR="004476EE" w:rsidRPr="00F17964">
        <w:rPr>
          <w:rFonts w:ascii="Verdana" w:hAnsi="Verdana"/>
          <w:sz w:val="20"/>
          <w:lang w:val="es-ES"/>
        </w:rPr>
        <w:t>dos</w:t>
      </w:r>
      <w:r w:rsidR="0041755F" w:rsidRPr="00F17964">
        <w:rPr>
          <w:rFonts w:ascii="Verdana" w:hAnsi="Verdana"/>
          <w:sz w:val="20"/>
          <w:lang w:val="es-ES"/>
        </w:rPr>
        <w:t xml:space="preserve"> medidas de reparación </w:t>
      </w:r>
      <w:r w:rsidR="004476EE" w:rsidRPr="00F17964">
        <w:rPr>
          <w:rFonts w:ascii="Verdana" w:hAnsi="Verdana"/>
          <w:sz w:val="20"/>
          <w:lang w:val="es-ES"/>
        </w:rPr>
        <w:t xml:space="preserve">ordenadas en este caso que se encuentran pendientes </w:t>
      </w:r>
      <w:r w:rsidR="0041755F" w:rsidRPr="00F17964">
        <w:rPr>
          <w:rFonts w:ascii="Verdana" w:hAnsi="Verdana"/>
          <w:sz w:val="20"/>
          <w:lang w:val="es-ES"/>
        </w:rPr>
        <w:t>(</w:t>
      </w:r>
      <w:r w:rsidR="0041755F" w:rsidRPr="00F17964">
        <w:rPr>
          <w:rFonts w:ascii="Verdana" w:hAnsi="Verdana"/>
          <w:i/>
          <w:sz w:val="20"/>
          <w:lang w:val="es-ES"/>
        </w:rPr>
        <w:t xml:space="preserve">supra </w:t>
      </w:r>
      <w:r w:rsidR="0041755F" w:rsidRPr="00F17964">
        <w:rPr>
          <w:rFonts w:ascii="Verdana" w:hAnsi="Verdana"/>
          <w:sz w:val="20"/>
          <w:lang w:val="es-ES"/>
        </w:rPr>
        <w:t xml:space="preserve">Considerando 1), y determinará el grado de cumplimiento por parte del Estado. </w:t>
      </w:r>
      <w:r>
        <w:rPr>
          <w:rFonts w:ascii="Verdana" w:hAnsi="Verdana"/>
          <w:sz w:val="20"/>
          <w:lang w:val="es-ES"/>
        </w:rPr>
        <w:t xml:space="preserve">Las </w:t>
      </w:r>
      <w:r w:rsidR="0041755F" w:rsidRPr="00F17964">
        <w:rPr>
          <w:rFonts w:ascii="Verdana" w:hAnsi="Verdana"/>
          <w:sz w:val="20"/>
          <w:lang w:val="es-ES"/>
        </w:rPr>
        <w:t xml:space="preserve">consideraciones </w:t>
      </w:r>
      <w:r>
        <w:rPr>
          <w:rFonts w:ascii="Verdana" w:hAnsi="Verdana"/>
          <w:sz w:val="20"/>
          <w:lang w:val="es-ES"/>
        </w:rPr>
        <w:t>se estructu</w:t>
      </w:r>
      <w:r w:rsidR="0024726A">
        <w:rPr>
          <w:rFonts w:ascii="Verdana" w:hAnsi="Verdana"/>
          <w:sz w:val="20"/>
          <w:lang w:val="es-ES"/>
        </w:rPr>
        <w:t>ra</w:t>
      </w:r>
      <w:r>
        <w:rPr>
          <w:rFonts w:ascii="Verdana" w:hAnsi="Verdana"/>
          <w:sz w:val="20"/>
          <w:lang w:val="es-ES"/>
        </w:rPr>
        <w:t xml:space="preserve">n </w:t>
      </w:r>
      <w:r w:rsidR="0041755F" w:rsidRPr="00F17964">
        <w:rPr>
          <w:rFonts w:ascii="Verdana" w:hAnsi="Verdana"/>
          <w:sz w:val="20"/>
          <w:lang w:val="es-ES"/>
        </w:rPr>
        <w:t>en el siguiente orden:</w:t>
      </w:r>
    </w:p>
    <w:p w:rsidR="00C21853" w:rsidRPr="00E04077" w:rsidRDefault="00C21853" w:rsidP="00C21853">
      <w:pPr>
        <w:pStyle w:val="Prrafodelista"/>
        <w:spacing w:before="120" w:after="120" w:line="240" w:lineRule="auto"/>
        <w:ind w:left="0"/>
        <w:jc w:val="both"/>
        <w:rPr>
          <w:rFonts w:ascii="Verdana" w:hAnsi="Verdana"/>
          <w:sz w:val="16"/>
          <w:szCs w:val="16"/>
          <w:lang w:val="es-MX"/>
        </w:rPr>
      </w:pPr>
    </w:p>
    <w:p w:rsidR="00357CEB" w:rsidRPr="00D51B93" w:rsidRDefault="00C34BBE" w:rsidP="00E04077">
      <w:pPr>
        <w:pStyle w:val="TDC1"/>
        <w:rPr>
          <w:rFonts w:ascii="Verdana" w:eastAsia="MS Mincho" w:hAnsi="Verdana"/>
          <w:b w:val="0"/>
          <w:noProof/>
          <w:sz w:val="16"/>
          <w:szCs w:val="16"/>
          <w:lang w:val="es-CR" w:eastAsia="es-CR"/>
        </w:rPr>
      </w:pPr>
      <w:r w:rsidRPr="00E04077">
        <w:rPr>
          <w:rFonts w:ascii="Verdana" w:hAnsi="Verdana"/>
          <w:b w:val="0"/>
          <w:sz w:val="16"/>
          <w:szCs w:val="16"/>
          <w:highlight w:val="yellow"/>
        </w:rPr>
        <w:fldChar w:fldCharType="begin"/>
      </w:r>
      <w:r w:rsidRPr="00E04077">
        <w:rPr>
          <w:rFonts w:ascii="Verdana" w:hAnsi="Verdana"/>
          <w:b w:val="0"/>
          <w:sz w:val="16"/>
          <w:szCs w:val="16"/>
          <w:highlight w:val="yellow"/>
        </w:rPr>
        <w:instrText xml:space="preserve"> TOC \o "1-1" \h \z \u </w:instrText>
      </w:r>
      <w:r w:rsidRPr="00E04077">
        <w:rPr>
          <w:rFonts w:ascii="Verdana" w:hAnsi="Verdana"/>
          <w:b w:val="0"/>
          <w:sz w:val="16"/>
          <w:szCs w:val="16"/>
          <w:highlight w:val="yellow"/>
        </w:rPr>
        <w:fldChar w:fldCharType="separate"/>
      </w:r>
      <w:hyperlink w:anchor="_Toc469667602" w:history="1">
        <w:r w:rsidR="00357CEB" w:rsidRPr="00E04077">
          <w:rPr>
            <w:rStyle w:val="Hipervnculo"/>
            <w:rFonts w:ascii="Verdana" w:hAnsi="Verdana"/>
            <w:b w:val="0"/>
            <w:noProof/>
            <w:sz w:val="16"/>
            <w:szCs w:val="16"/>
          </w:rPr>
          <w:t>Investigar, identificar, juzgar y, en su caso, sancionar a los responsables de las violaciones cometidas en perjuicio del señor Tibi</w:t>
        </w:r>
        <w:r w:rsidR="00357CEB" w:rsidRPr="00E04077">
          <w:rPr>
            <w:rFonts w:ascii="Verdana" w:hAnsi="Verdana"/>
            <w:b w:val="0"/>
            <w:noProof/>
            <w:webHidden/>
            <w:sz w:val="16"/>
            <w:szCs w:val="16"/>
          </w:rPr>
          <w:tab/>
        </w:r>
        <w:r w:rsidR="00357CEB" w:rsidRPr="00E04077">
          <w:rPr>
            <w:rFonts w:ascii="Verdana" w:hAnsi="Verdana"/>
            <w:b w:val="0"/>
            <w:noProof/>
            <w:webHidden/>
            <w:sz w:val="16"/>
            <w:szCs w:val="16"/>
          </w:rPr>
          <w:fldChar w:fldCharType="begin"/>
        </w:r>
        <w:r w:rsidR="00357CEB" w:rsidRPr="00E04077">
          <w:rPr>
            <w:rFonts w:ascii="Verdana" w:hAnsi="Verdana"/>
            <w:b w:val="0"/>
            <w:noProof/>
            <w:webHidden/>
            <w:sz w:val="16"/>
            <w:szCs w:val="16"/>
          </w:rPr>
          <w:instrText xml:space="preserve"> PAGEREF _Toc469667602 \h </w:instrText>
        </w:r>
        <w:r w:rsidR="00357CEB" w:rsidRPr="00E04077">
          <w:rPr>
            <w:rFonts w:ascii="Verdana" w:hAnsi="Verdana"/>
            <w:b w:val="0"/>
            <w:noProof/>
            <w:webHidden/>
            <w:sz w:val="16"/>
            <w:szCs w:val="16"/>
          </w:rPr>
        </w:r>
        <w:r w:rsidR="00357CEB" w:rsidRPr="00E04077">
          <w:rPr>
            <w:rFonts w:ascii="Verdana" w:hAnsi="Verdana"/>
            <w:b w:val="0"/>
            <w:noProof/>
            <w:webHidden/>
            <w:sz w:val="16"/>
            <w:szCs w:val="16"/>
          </w:rPr>
          <w:fldChar w:fldCharType="separate"/>
        </w:r>
        <w:r w:rsidR="003000C3">
          <w:rPr>
            <w:rFonts w:ascii="Verdana" w:hAnsi="Verdana"/>
            <w:b w:val="0"/>
            <w:noProof/>
            <w:webHidden/>
            <w:sz w:val="16"/>
            <w:szCs w:val="16"/>
          </w:rPr>
          <w:t>3</w:t>
        </w:r>
        <w:r w:rsidR="00357CEB" w:rsidRPr="00E04077">
          <w:rPr>
            <w:rFonts w:ascii="Verdana" w:hAnsi="Verdana"/>
            <w:b w:val="0"/>
            <w:noProof/>
            <w:webHidden/>
            <w:sz w:val="16"/>
            <w:szCs w:val="16"/>
          </w:rPr>
          <w:fldChar w:fldCharType="end"/>
        </w:r>
      </w:hyperlink>
    </w:p>
    <w:p w:rsidR="00357CEB" w:rsidRPr="00D51B93" w:rsidRDefault="003C19F0" w:rsidP="00E04077">
      <w:pPr>
        <w:pStyle w:val="TDC1"/>
        <w:rPr>
          <w:rFonts w:ascii="Verdana" w:eastAsia="MS Mincho" w:hAnsi="Verdana"/>
          <w:b w:val="0"/>
          <w:noProof/>
          <w:sz w:val="16"/>
          <w:szCs w:val="16"/>
          <w:lang w:val="es-CR" w:eastAsia="es-CR"/>
        </w:rPr>
      </w:pPr>
      <w:hyperlink w:anchor="_Toc469667603" w:history="1">
        <w:r w:rsidR="00357CEB" w:rsidRPr="00E04077">
          <w:rPr>
            <w:rStyle w:val="Hipervnculo"/>
            <w:rFonts w:ascii="Verdana" w:hAnsi="Verdana" w:cs="Arial"/>
            <w:b w:val="0"/>
            <w:noProof/>
            <w:sz w:val="16"/>
            <w:szCs w:val="16"/>
          </w:rPr>
          <w:t>Establecer programas de formación y crear un comité interinstitucional para definir y ejecutar programas de capacitación en derechos humanos y tratamiento de reclusos</w:t>
        </w:r>
        <w:r w:rsidR="00357CEB" w:rsidRPr="00E04077">
          <w:rPr>
            <w:rFonts w:ascii="Verdana" w:hAnsi="Verdana"/>
            <w:b w:val="0"/>
            <w:noProof/>
            <w:webHidden/>
            <w:sz w:val="16"/>
            <w:szCs w:val="16"/>
          </w:rPr>
          <w:tab/>
        </w:r>
        <w:r w:rsidR="00357CEB" w:rsidRPr="00E04077">
          <w:rPr>
            <w:rFonts w:ascii="Verdana" w:hAnsi="Verdana"/>
            <w:b w:val="0"/>
            <w:noProof/>
            <w:webHidden/>
            <w:sz w:val="16"/>
            <w:szCs w:val="16"/>
          </w:rPr>
          <w:fldChar w:fldCharType="begin"/>
        </w:r>
        <w:r w:rsidR="00357CEB" w:rsidRPr="00E04077">
          <w:rPr>
            <w:rFonts w:ascii="Verdana" w:hAnsi="Verdana"/>
            <w:b w:val="0"/>
            <w:noProof/>
            <w:webHidden/>
            <w:sz w:val="16"/>
            <w:szCs w:val="16"/>
          </w:rPr>
          <w:instrText xml:space="preserve"> PAGEREF _Toc469667603 \h </w:instrText>
        </w:r>
        <w:r w:rsidR="00357CEB" w:rsidRPr="00E04077">
          <w:rPr>
            <w:rFonts w:ascii="Verdana" w:hAnsi="Verdana"/>
            <w:b w:val="0"/>
            <w:noProof/>
            <w:webHidden/>
            <w:sz w:val="16"/>
            <w:szCs w:val="16"/>
          </w:rPr>
        </w:r>
        <w:r w:rsidR="00357CEB" w:rsidRPr="00E04077">
          <w:rPr>
            <w:rFonts w:ascii="Verdana" w:hAnsi="Verdana"/>
            <w:b w:val="0"/>
            <w:noProof/>
            <w:webHidden/>
            <w:sz w:val="16"/>
            <w:szCs w:val="16"/>
          </w:rPr>
          <w:fldChar w:fldCharType="separate"/>
        </w:r>
        <w:r w:rsidR="003000C3">
          <w:rPr>
            <w:rFonts w:ascii="Verdana" w:hAnsi="Verdana"/>
            <w:b w:val="0"/>
            <w:noProof/>
            <w:webHidden/>
            <w:sz w:val="16"/>
            <w:szCs w:val="16"/>
          </w:rPr>
          <w:t>9</w:t>
        </w:r>
        <w:r w:rsidR="00357CEB" w:rsidRPr="00E04077">
          <w:rPr>
            <w:rFonts w:ascii="Verdana" w:hAnsi="Verdana"/>
            <w:b w:val="0"/>
            <w:noProof/>
            <w:webHidden/>
            <w:sz w:val="16"/>
            <w:szCs w:val="16"/>
          </w:rPr>
          <w:fldChar w:fldCharType="end"/>
        </w:r>
      </w:hyperlink>
    </w:p>
    <w:p w:rsidR="00C34BBE" w:rsidRPr="00D51B93" w:rsidRDefault="00C34BBE" w:rsidP="00C21853">
      <w:pPr>
        <w:pStyle w:val="Default"/>
        <w:tabs>
          <w:tab w:val="left" w:pos="1134"/>
          <w:tab w:val="right" w:leader="dot" w:pos="8931"/>
        </w:tabs>
        <w:ind w:left="851"/>
        <w:jc w:val="both"/>
        <w:rPr>
          <w:rFonts w:ascii="Calibri" w:eastAsia="Calibri" w:hAnsi="Calibri" w:cs="Times New Roman"/>
          <w:b/>
          <w:i/>
          <w:color w:val="auto"/>
          <w:sz w:val="20"/>
          <w:szCs w:val="20"/>
          <w:lang w:val="en-US" w:eastAsia="en-US"/>
        </w:rPr>
      </w:pPr>
      <w:r w:rsidRPr="00D51B93">
        <w:rPr>
          <w:rFonts w:eastAsia="Calibri" w:cs="Times New Roman"/>
          <w:i/>
          <w:color w:val="auto"/>
          <w:sz w:val="16"/>
          <w:szCs w:val="16"/>
          <w:highlight w:val="yellow"/>
          <w:lang w:val="en-US" w:eastAsia="en-US"/>
        </w:rPr>
        <w:fldChar w:fldCharType="end"/>
      </w:r>
    </w:p>
    <w:p w:rsidR="00BB756B" w:rsidRDefault="00810FC2" w:rsidP="00C34BBE">
      <w:pPr>
        <w:pStyle w:val="Default"/>
        <w:numPr>
          <w:ilvl w:val="0"/>
          <w:numId w:val="3"/>
        </w:numPr>
        <w:spacing w:before="120" w:after="120"/>
        <w:ind w:left="1066"/>
        <w:jc w:val="both"/>
        <w:outlineLvl w:val="0"/>
        <w:rPr>
          <w:b/>
          <w:i/>
          <w:sz w:val="20"/>
          <w:szCs w:val="20"/>
        </w:rPr>
      </w:pPr>
      <w:bookmarkStart w:id="1" w:name="_Toc469667602"/>
      <w:r>
        <w:rPr>
          <w:b/>
          <w:i/>
          <w:sz w:val="20"/>
          <w:szCs w:val="20"/>
        </w:rPr>
        <w:t>I</w:t>
      </w:r>
      <w:r w:rsidR="00BB756B">
        <w:rPr>
          <w:b/>
          <w:i/>
          <w:sz w:val="20"/>
          <w:szCs w:val="20"/>
        </w:rPr>
        <w:t xml:space="preserve">nvestigar, identificar, juzgar y, en su caso, sancionar a los </w:t>
      </w:r>
      <w:r w:rsidR="00272703">
        <w:rPr>
          <w:b/>
          <w:i/>
          <w:sz w:val="20"/>
          <w:szCs w:val="20"/>
        </w:rPr>
        <w:t>responsables</w:t>
      </w:r>
      <w:r w:rsidR="00BB756B">
        <w:rPr>
          <w:b/>
          <w:i/>
          <w:sz w:val="20"/>
          <w:szCs w:val="20"/>
        </w:rPr>
        <w:t xml:space="preserve"> de las violaciones cometidas en perjuicio del señor Tibi</w:t>
      </w:r>
      <w:bookmarkEnd w:id="1"/>
    </w:p>
    <w:p w:rsidR="00F35BBF" w:rsidRDefault="00F35BBF" w:rsidP="00F35BBF">
      <w:pPr>
        <w:pStyle w:val="Default"/>
        <w:spacing w:before="120" w:after="120"/>
        <w:ind w:left="1066"/>
        <w:jc w:val="both"/>
        <w:outlineLvl w:val="0"/>
        <w:rPr>
          <w:b/>
          <w:i/>
          <w:sz w:val="20"/>
          <w:szCs w:val="20"/>
        </w:rPr>
      </w:pPr>
    </w:p>
    <w:p w:rsidR="00C228C3" w:rsidRPr="00F17964" w:rsidRDefault="00C228C3" w:rsidP="0071315E">
      <w:pPr>
        <w:pStyle w:val="Default"/>
        <w:spacing w:before="120" w:after="120"/>
        <w:ind w:left="706"/>
        <w:jc w:val="both"/>
        <w:rPr>
          <w:i/>
          <w:color w:val="auto"/>
          <w:sz w:val="20"/>
          <w:szCs w:val="20"/>
        </w:rPr>
      </w:pPr>
      <w:r w:rsidRPr="00F17964">
        <w:rPr>
          <w:i/>
          <w:color w:val="auto"/>
          <w:sz w:val="20"/>
          <w:szCs w:val="20"/>
        </w:rPr>
        <w:t>A.1</w:t>
      </w:r>
      <w:r w:rsidR="00866F28">
        <w:rPr>
          <w:i/>
          <w:color w:val="auto"/>
          <w:sz w:val="20"/>
          <w:szCs w:val="20"/>
        </w:rPr>
        <w:t>.</w:t>
      </w:r>
      <w:r w:rsidRPr="00F17964">
        <w:rPr>
          <w:i/>
          <w:color w:val="auto"/>
          <w:sz w:val="20"/>
          <w:szCs w:val="20"/>
        </w:rPr>
        <w:t xml:space="preserve"> Medida ordenada por la Corte y supervisión realizada en resoluciones anteriores</w:t>
      </w:r>
    </w:p>
    <w:p w:rsidR="009D1072" w:rsidRPr="00693F09" w:rsidRDefault="002F5BCB" w:rsidP="00C625E7">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693F09">
        <w:rPr>
          <w:rFonts w:ascii="Verdana" w:hAnsi="Verdana"/>
          <w:sz w:val="20"/>
          <w:szCs w:val="20"/>
        </w:rPr>
        <w:t xml:space="preserve">En la Sentencia la Corte hizo constar que “en el presente caso </w:t>
      </w:r>
      <w:proofErr w:type="gramStart"/>
      <w:r w:rsidRPr="00693F09">
        <w:rPr>
          <w:rFonts w:ascii="Verdana" w:hAnsi="Verdana"/>
          <w:sz w:val="20"/>
          <w:szCs w:val="20"/>
        </w:rPr>
        <w:t>impera[</w:t>
      </w:r>
      <w:proofErr w:type="spellStart"/>
      <w:proofErr w:type="gramEnd"/>
      <w:r w:rsidRPr="00693F09">
        <w:rPr>
          <w:rFonts w:ascii="Verdana" w:hAnsi="Verdana"/>
          <w:sz w:val="20"/>
          <w:szCs w:val="20"/>
        </w:rPr>
        <w:t>ba</w:t>
      </w:r>
      <w:proofErr w:type="spellEnd"/>
      <w:r w:rsidRPr="00693F09">
        <w:rPr>
          <w:rFonts w:ascii="Verdana" w:hAnsi="Verdana"/>
          <w:sz w:val="20"/>
          <w:szCs w:val="20"/>
        </w:rPr>
        <w:t xml:space="preserve">] la impunidad de los responsables de las violaciones cometidas”, y que habiendo transcurrido, a ese momento, “más de nueve años </w:t>
      </w:r>
      <w:r w:rsidR="009C3422" w:rsidRPr="00693F09">
        <w:rPr>
          <w:rFonts w:ascii="Verdana" w:hAnsi="Verdana"/>
          <w:sz w:val="20"/>
          <w:szCs w:val="20"/>
        </w:rPr>
        <w:t>de ocurridos los hechos, no se ha</w:t>
      </w:r>
      <w:r w:rsidR="00810FC2">
        <w:rPr>
          <w:rFonts w:ascii="Verdana" w:hAnsi="Verdana"/>
          <w:sz w:val="20"/>
          <w:szCs w:val="20"/>
        </w:rPr>
        <w:t>[</w:t>
      </w:r>
      <w:proofErr w:type="spellStart"/>
      <w:r w:rsidR="00810FC2">
        <w:rPr>
          <w:rFonts w:ascii="Verdana" w:hAnsi="Verdana"/>
          <w:sz w:val="20"/>
          <w:szCs w:val="20"/>
        </w:rPr>
        <w:t>bía</w:t>
      </w:r>
      <w:proofErr w:type="spellEnd"/>
      <w:r w:rsidR="00810FC2">
        <w:rPr>
          <w:rFonts w:ascii="Verdana" w:hAnsi="Verdana"/>
          <w:sz w:val="20"/>
          <w:szCs w:val="20"/>
        </w:rPr>
        <w:t>]</w:t>
      </w:r>
      <w:r w:rsidR="009C3422" w:rsidRPr="00693F09">
        <w:rPr>
          <w:rFonts w:ascii="Verdana" w:hAnsi="Verdana"/>
          <w:sz w:val="20"/>
          <w:szCs w:val="20"/>
        </w:rPr>
        <w:t xml:space="preserve"> investigado ni sancionado a los responsables de la detención ilegal y arbitraria y de las violaciones a las garantías judiciales del señor Tibi, así como tampoco a los responsables de las torturas ocasionadas a la víctima”</w:t>
      </w:r>
      <w:r w:rsidR="009C3422" w:rsidRPr="00693F09">
        <w:rPr>
          <w:rStyle w:val="Refdenotaalpie"/>
          <w:rFonts w:ascii="Verdana" w:hAnsi="Verdana"/>
          <w:sz w:val="20"/>
          <w:szCs w:val="20"/>
        </w:rPr>
        <w:footnoteReference w:id="18"/>
      </w:r>
      <w:r w:rsidR="009C3422" w:rsidRPr="00693F09">
        <w:rPr>
          <w:rFonts w:ascii="Verdana" w:hAnsi="Verdana"/>
          <w:sz w:val="20"/>
          <w:szCs w:val="20"/>
        </w:rPr>
        <w:t>. En consecuencia, e</w:t>
      </w:r>
      <w:r w:rsidR="009D1072" w:rsidRPr="00693F09">
        <w:rPr>
          <w:rFonts w:ascii="Verdana" w:hAnsi="Verdana"/>
          <w:sz w:val="20"/>
          <w:szCs w:val="20"/>
        </w:rPr>
        <w:t>n el punto resolutivo</w:t>
      </w:r>
      <w:r w:rsidR="00D6242F" w:rsidRPr="00693F09">
        <w:rPr>
          <w:rFonts w:ascii="Verdana" w:hAnsi="Verdana"/>
          <w:sz w:val="20"/>
          <w:szCs w:val="20"/>
        </w:rPr>
        <w:t xml:space="preserve"> décimo y el párrafo </w:t>
      </w:r>
      <w:r w:rsidR="00272703" w:rsidRPr="00693F09">
        <w:rPr>
          <w:rFonts w:ascii="Verdana" w:hAnsi="Verdana"/>
          <w:sz w:val="20"/>
          <w:szCs w:val="20"/>
        </w:rPr>
        <w:t>258</w:t>
      </w:r>
      <w:r w:rsidR="00D6242F" w:rsidRPr="00693F09">
        <w:rPr>
          <w:rFonts w:ascii="Verdana" w:hAnsi="Verdana"/>
          <w:sz w:val="20"/>
          <w:szCs w:val="20"/>
        </w:rPr>
        <w:t xml:space="preserve"> </w:t>
      </w:r>
      <w:r w:rsidR="00D6242F" w:rsidRPr="00693F09">
        <w:rPr>
          <w:rFonts w:ascii="Verdana" w:hAnsi="Verdana"/>
          <w:sz w:val="20"/>
          <w:szCs w:val="20"/>
        </w:rPr>
        <w:lastRenderedPageBreak/>
        <w:t>de la Sentencia, la Corte</w:t>
      </w:r>
      <w:r w:rsidR="00E248BA" w:rsidRPr="00693F09">
        <w:rPr>
          <w:rFonts w:ascii="Verdana" w:hAnsi="Verdana"/>
          <w:sz w:val="20"/>
          <w:szCs w:val="20"/>
        </w:rPr>
        <w:t xml:space="preserve"> ordenó</w:t>
      </w:r>
      <w:r w:rsidR="00272703" w:rsidRPr="00693F09">
        <w:rPr>
          <w:rFonts w:ascii="Verdana" w:hAnsi="Verdana"/>
          <w:sz w:val="20"/>
          <w:szCs w:val="20"/>
        </w:rPr>
        <w:t xml:space="preserve"> que el Estado debe</w:t>
      </w:r>
      <w:r w:rsidR="00AF0FA3" w:rsidRPr="00693F09">
        <w:rPr>
          <w:rFonts w:ascii="Verdana" w:hAnsi="Verdana"/>
          <w:sz w:val="20"/>
          <w:szCs w:val="20"/>
        </w:rPr>
        <w:t>,</w:t>
      </w:r>
      <w:r w:rsidR="00272703" w:rsidRPr="00693F09">
        <w:rPr>
          <w:rFonts w:ascii="Verdana" w:hAnsi="Verdana"/>
          <w:sz w:val="20"/>
          <w:szCs w:val="20"/>
        </w:rPr>
        <w:t xml:space="preserve"> </w:t>
      </w:r>
      <w:r w:rsidR="00AF0FA3" w:rsidRPr="00693F09">
        <w:rPr>
          <w:rFonts w:ascii="Verdana" w:hAnsi="Verdana"/>
          <w:sz w:val="20"/>
          <w:szCs w:val="20"/>
        </w:rPr>
        <w:t>“en un plazo razonable”, “</w:t>
      </w:r>
      <w:r w:rsidR="00272703" w:rsidRPr="00693F09">
        <w:rPr>
          <w:rFonts w:ascii="Verdana" w:hAnsi="Verdana"/>
          <w:sz w:val="20"/>
          <w:szCs w:val="20"/>
        </w:rPr>
        <w:t>investigar efectivamente los hechos del presente caso con el fin de identificar, juzgar y sancionar a los responsables”</w:t>
      </w:r>
      <w:r w:rsidR="009C3422" w:rsidRPr="00693F09">
        <w:rPr>
          <w:rFonts w:ascii="Verdana" w:hAnsi="Verdana"/>
          <w:sz w:val="20"/>
          <w:szCs w:val="20"/>
        </w:rPr>
        <w:t>. E</w:t>
      </w:r>
      <w:r w:rsidR="00AF0FA3" w:rsidRPr="00693F09">
        <w:rPr>
          <w:rFonts w:ascii="Verdana" w:hAnsi="Verdana"/>
          <w:sz w:val="20"/>
          <w:szCs w:val="20"/>
        </w:rPr>
        <w:t xml:space="preserve">ste Tribunal dispuso que “[l]os procesos internos deben versar sobre las violaciones a los derechos a la </w:t>
      </w:r>
      <w:r w:rsidR="00F605C5">
        <w:rPr>
          <w:rFonts w:ascii="Verdana" w:hAnsi="Verdana"/>
          <w:sz w:val="20"/>
          <w:szCs w:val="20"/>
        </w:rPr>
        <w:t>[</w:t>
      </w:r>
      <w:r w:rsidR="00AF0FA3" w:rsidRPr="00693F09">
        <w:rPr>
          <w:rFonts w:ascii="Verdana" w:hAnsi="Verdana"/>
          <w:sz w:val="20"/>
          <w:szCs w:val="20"/>
        </w:rPr>
        <w:t>i</w:t>
      </w:r>
      <w:r w:rsidR="00F605C5">
        <w:rPr>
          <w:rFonts w:ascii="Verdana" w:hAnsi="Verdana"/>
          <w:sz w:val="20"/>
          <w:szCs w:val="20"/>
        </w:rPr>
        <w:t>]</w:t>
      </w:r>
      <w:proofErr w:type="spellStart"/>
      <w:r w:rsidR="00AF0FA3" w:rsidRPr="00693F09">
        <w:rPr>
          <w:rFonts w:ascii="Verdana" w:hAnsi="Verdana"/>
          <w:sz w:val="20"/>
          <w:szCs w:val="20"/>
        </w:rPr>
        <w:t>ntegridad</w:t>
      </w:r>
      <w:proofErr w:type="spellEnd"/>
      <w:r w:rsidR="00AF0FA3" w:rsidRPr="00693F09">
        <w:rPr>
          <w:rFonts w:ascii="Verdana" w:hAnsi="Verdana"/>
          <w:sz w:val="20"/>
          <w:szCs w:val="20"/>
        </w:rPr>
        <w:t xml:space="preserve"> </w:t>
      </w:r>
      <w:r w:rsidR="00F605C5">
        <w:rPr>
          <w:rFonts w:ascii="Verdana" w:hAnsi="Verdana"/>
          <w:sz w:val="20"/>
          <w:szCs w:val="20"/>
        </w:rPr>
        <w:t>[</w:t>
      </w:r>
      <w:r w:rsidR="00AF0FA3" w:rsidRPr="00693F09">
        <w:rPr>
          <w:rFonts w:ascii="Verdana" w:hAnsi="Verdana"/>
          <w:sz w:val="20"/>
          <w:szCs w:val="20"/>
        </w:rPr>
        <w:t>p</w:t>
      </w:r>
      <w:r w:rsidR="00F605C5">
        <w:rPr>
          <w:rFonts w:ascii="Verdana" w:hAnsi="Verdana"/>
          <w:sz w:val="20"/>
          <w:szCs w:val="20"/>
        </w:rPr>
        <w:t>]</w:t>
      </w:r>
      <w:proofErr w:type="spellStart"/>
      <w:r w:rsidR="00AF0FA3" w:rsidRPr="00693F09">
        <w:rPr>
          <w:rFonts w:ascii="Verdana" w:hAnsi="Verdana"/>
          <w:sz w:val="20"/>
          <w:szCs w:val="20"/>
        </w:rPr>
        <w:t>ersonal</w:t>
      </w:r>
      <w:proofErr w:type="spellEnd"/>
      <w:r w:rsidR="00AF0FA3" w:rsidRPr="00693F09">
        <w:rPr>
          <w:rFonts w:ascii="Verdana" w:hAnsi="Verdana"/>
          <w:sz w:val="20"/>
          <w:szCs w:val="20"/>
        </w:rPr>
        <w:t xml:space="preserve">, la </w:t>
      </w:r>
      <w:r w:rsidR="00F605C5">
        <w:rPr>
          <w:rFonts w:ascii="Verdana" w:hAnsi="Verdana"/>
          <w:sz w:val="20"/>
          <w:szCs w:val="20"/>
        </w:rPr>
        <w:t>[</w:t>
      </w:r>
      <w:r w:rsidR="00AF0FA3" w:rsidRPr="00693F09">
        <w:rPr>
          <w:rFonts w:ascii="Verdana" w:hAnsi="Verdana"/>
          <w:sz w:val="20"/>
          <w:szCs w:val="20"/>
        </w:rPr>
        <w:t>l</w:t>
      </w:r>
      <w:r w:rsidR="00F605C5">
        <w:rPr>
          <w:rFonts w:ascii="Verdana" w:hAnsi="Verdana"/>
          <w:sz w:val="20"/>
          <w:szCs w:val="20"/>
        </w:rPr>
        <w:t>]</w:t>
      </w:r>
      <w:proofErr w:type="spellStart"/>
      <w:r w:rsidR="00AF0FA3" w:rsidRPr="00693F09">
        <w:rPr>
          <w:rFonts w:ascii="Verdana" w:hAnsi="Verdana"/>
          <w:sz w:val="20"/>
          <w:szCs w:val="20"/>
        </w:rPr>
        <w:t>ibertad</w:t>
      </w:r>
      <w:proofErr w:type="spellEnd"/>
      <w:r w:rsidR="00AF0FA3" w:rsidRPr="00693F09">
        <w:rPr>
          <w:rFonts w:ascii="Verdana" w:hAnsi="Verdana"/>
          <w:sz w:val="20"/>
          <w:szCs w:val="20"/>
        </w:rPr>
        <w:t xml:space="preserve"> </w:t>
      </w:r>
      <w:r w:rsidR="00F605C5">
        <w:rPr>
          <w:rFonts w:ascii="Verdana" w:hAnsi="Verdana"/>
          <w:sz w:val="20"/>
          <w:szCs w:val="20"/>
        </w:rPr>
        <w:t>[</w:t>
      </w:r>
      <w:r w:rsidR="00AF0FA3" w:rsidRPr="00693F09">
        <w:rPr>
          <w:rFonts w:ascii="Verdana" w:hAnsi="Verdana"/>
          <w:sz w:val="20"/>
          <w:szCs w:val="20"/>
        </w:rPr>
        <w:t>p</w:t>
      </w:r>
      <w:r w:rsidR="00F605C5">
        <w:rPr>
          <w:rFonts w:ascii="Verdana" w:hAnsi="Verdana"/>
          <w:sz w:val="20"/>
          <w:szCs w:val="20"/>
        </w:rPr>
        <w:t>]</w:t>
      </w:r>
      <w:proofErr w:type="spellStart"/>
      <w:r w:rsidR="00AF0FA3" w:rsidRPr="00693F09">
        <w:rPr>
          <w:rFonts w:ascii="Verdana" w:hAnsi="Verdana"/>
          <w:sz w:val="20"/>
          <w:szCs w:val="20"/>
        </w:rPr>
        <w:t>ersonal</w:t>
      </w:r>
      <w:proofErr w:type="spellEnd"/>
      <w:r w:rsidR="00AF0FA3" w:rsidRPr="00693F09">
        <w:rPr>
          <w:rFonts w:ascii="Verdana" w:hAnsi="Verdana"/>
          <w:sz w:val="20"/>
          <w:szCs w:val="20"/>
        </w:rPr>
        <w:t xml:space="preserve">, la </w:t>
      </w:r>
      <w:r w:rsidR="00F605C5">
        <w:rPr>
          <w:rFonts w:ascii="Verdana" w:hAnsi="Verdana"/>
          <w:sz w:val="20"/>
          <w:szCs w:val="20"/>
        </w:rPr>
        <w:t>[</w:t>
      </w:r>
      <w:r w:rsidR="00AF0FA3" w:rsidRPr="00693F09">
        <w:rPr>
          <w:rFonts w:ascii="Verdana" w:hAnsi="Verdana"/>
          <w:sz w:val="20"/>
          <w:szCs w:val="20"/>
        </w:rPr>
        <w:t>p</w:t>
      </w:r>
      <w:r w:rsidR="00F605C5">
        <w:rPr>
          <w:rFonts w:ascii="Verdana" w:hAnsi="Verdana"/>
          <w:sz w:val="20"/>
          <w:szCs w:val="20"/>
        </w:rPr>
        <w:t>]</w:t>
      </w:r>
      <w:proofErr w:type="spellStart"/>
      <w:r w:rsidR="00AF0FA3" w:rsidRPr="00693F09">
        <w:rPr>
          <w:rFonts w:ascii="Verdana" w:hAnsi="Verdana"/>
          <w:sz w:val="20"/>
          <w:szCs w:val="20"/>
        </w:rPr>
        <w:t>rotección</w:t>
      </w:r>
      <w:proofErr w:type="spellEnd"/>
      <w:r w:rsidR="00AF0FA3" w:rsidRPr="00693F09">
        <w:rPr>
          <w:rFonts w:ascii="Verdana" w:hAnsi="Verdana"/>
          <w:sz w:val="20"/>
          <w:szCs w:val="20"/>
        </w:rPr>
        <w:t xml:space="preserve"> </w:t>
      </w:r>
      <w:r w:rsidR="00F605C5">
        <w:rPr>
          <w:rFonts w:ascii="Verdana" w:hAnsi="Verdana"/>
          <w:sz w:val="20"/>
          <w:szCs w:val="20"/>
        </w:rPr>
        <w:t>[</w:t>
      </w:r>
      <w:r w:rsidR="00AF0FA3" w:rsidRPr="00693F09">
        <w:rPr>
          <w:rFonts w:ascii="Verdana" w:hAnsi="Verdana"/>
          <w:sz w:val="20"/>
          <w:szCs w:val="20"/>
        </w:rPr>
        <w:t>j</w:t>
      </w:r>
      <w:r w:rsidR="00F605C5">
        <w:rPr>
          <w:rFonts w:ascii="Verdana" w:hAnsi="Verdana"/>
          <w:sz w:val="20"/>
          <w:szCs w:val="20"/>
        </w:rPr>
        <w:t>]</w:t>
      </w:r>
      <w:proofErr w:type="spellStart"/>
      <w:r w:rsidR="00AF0FA3" w:rsidRPr="00693F09">
        <w:rPr>
          <w:rFonts w:ascii="Verdana" w:hAnsi="Verdana"/>
          <w:sz w:val="20"/>
          <w:szCs w:val="20"/>
        </w:rPr>
        <w:t>udicial</w:t>
      </w:r>
      <w:proofErr w:type="spellEnd"/>
      <w:r w:rsidR="00AF0FA3" w:rsidRPr="00693F09">
        <w:rPr>
          <w:rFonts w:ascii="Verdana" w:hAnsi="Verdana"/>
          <w:sz w:val="20"/>
          <w:szCs w:val="20"/>
        </w:rPr>
        <w:t xml:space="preserve"> y las </w:t>
      </w:r>
      <w:r w:rsidR="00F605C5">
        <w:rPr>
          <w:rFonts w:ascii="Verdana" w:hAnsi="Verdana"/>
          <w:sz w:val="20"/>
          <w:szCs w:val="20"/>
        </w:rPr>
        <w:t>[</w:t>
      </w:r>
      <w:r w:rsidR="00AF0FA3" w:rsidRPr="00693F09">
        <w:rPr>
          <w:rFonts w:ascii="Verdana" w:hAnsi="Verdana"/>
          <w:sz w:val="20"/>
          <w:szCs w:val="20"/>
        </w:rPr>
        <w:t>g</w:t>
      </w:r>
      <w:r w:rsidR="00F605C5">
        <w:rPr>
          <w:rFonts w:ascii="Verdana" w:hAnsi="Verdana"/>
          <w:sz w:val="20"/>
          <w:szCs w:val="20"/>
        </w:rPr>
        <w:t>]</w:t>
      </w:r>
      <w:proofErr w:type="spellStart"/>
      <w:r w:rsidR="00AF0FA3" w:rsidRPr="00693F09">
        <w:rPr>
          <w:rFonts w:ascii="Verdana" w:hAnsi="Verdana"/>
          <w:sz w:val="20"/>
          <w:szCs w:val="20"/>
        </w:rPr>
        <w:t>arantías</w:t>
      </w:r>
      <w:proofErr w:type="spellEnd"/>
      <w:r w:rsidR="00AF0FA3" w:rsidRPr="00693F09">
        <w:rPr>
          <w:rFonts w:ascii="Verdana" w:hAnsi="Verdana"/>
          <w:sz w:val="20"/>
          <w:szCs w:val="20"/>
        </w:rPr>
        <w:t xml:space="preserve"> </w:t>
      </w:r>
      <w:r w:rsidR="00F605C5">
        <w:rPr>
          <w:rFonts w:ascii="Verdana" w:hAnsi="Verdana"/>
          <w:sz w:val="20"/>
          <w:szCs w:val="20"/>
        </w:rPr>
        <w:t>[</w:t>
      </w:r>
      <w:r w:rsidR="00AF0FA3" w:rsidRPr="00693F09">
        <w:rPr>
          <w:rFonts w:ascii="Verdana" w:hAnsi="Verdana"/>
          <w:sz w:val="20"/>
          <w:szCs w:val="20"/>
        </w:rPr>
        <w:t>j</w:t>
      </w:r>
      <w:r w:rsidR="00F605C5">
        <w:rPr>
          <w:rFonts w:ascii="Verdana" w:hAnsi="Verdana"/>
          <w:sz w:val="20"/>
          <w:szCs w:val="20"/>
        </w:rPr>
        <w:t>]</w:t>
      </w:r>
      <w:proofErr w:type="spellStart"/>
      <w:r w:rsidR="00AF0FA3" w:rsidRPr="00693F09">
        <w:rPr>
          <w:rFonts w:ascii="Verdana" w:hAnsi="Verdana"/>
          <w:sz w:val="20"/>
          <w:szCs w:val="20"/>
        </w:rPr>
        <w:t>udiciales</w:t>
      </w:r>
      <w:proofErr w:type="spellEnd"/>
      <w:r w:rsidR="00AF0FA3" w:rsidRPr="00693F09">
        <w:rPr>
          <w:rFonts w:ascii="Verdana" w:hAnsi="Verdana"/>
          <w:sz w:val="20"/>
          <w:szCs w:val="20"/>
        </w:rPr>
        <w:t>, a l[a]s que se refiere [la] Sentencia”</w:t>
      </w:r>
      <w:r w:rsidR="00280CE3" w:rsidRPr="00693F09">
        <w:rPr>
          <w:rStyle w:val="Refdenotaalpie"/>
          <w:rFonts w:ascii="Verdana" w:hAnsi="Verdana"/>
          <w:sz w:val="20"/>
          <w:szCs w:val="20"/>
        </w:rPr>
        <w:footnoteReference w:id="19"/>
      </w:r>
      <w:r w:rsidR="00E248BA" w:rsidRPr="00693F09">
        <w:rPr>
          <w:rFonts w:ascii="Verdana" w:hAnsi="Verdana"/>
          <w:sz w:val="20"/>
          <w:szCs w:val="20"/>
        </w:rPr>
        <w:t xml:space="preserve">. </w:t>
      </w:r>
    </w:p>
    <w:p w:rsidR="00E953F5" w:rsidRPr="00693F09" w:rsidRDefault="002F5BCB" w:rsidP="00280CE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693F09">
        <w:rPr>
          <w:rFonts w:ascii="Verdana" w:hAnsi="Verdana"/>
          <w:sz w:val="20"/>
          <w:szCs w:val="20"/>
        </w:rPr>
        <w:t xml:space="preserve">En las Resoluciones de supervisión de cumplimiento </w:t>
      </w:r>
      <w:r w:rsidR="00E953F5" w:rsidRPr="00693F09">
        <w:rPr>
          <w:rFonts w:ascii="Verdana" w:hAnsi="Verdana"/>
          <w:sz w:val="20"/>
          <w:szCs w:val="20"/>
        </w:rPr>
        <w:t xml:space="preserve">de septiembre 2006 y julio 2009 </w:t>
      </w:r>
      <w:r w:rsidRPr="00693F09">
        <w:rPr>
          <w:rFonts w:ascii="Verdana" w:hAnsi="Verdana"/>
          <w:sz w:val="20"/>
          <w:szCs w:val="20"/>
        </w:rPr>
        <w:t>(</w:t>
      </w:r>
      <w:r w:rsidRPr="00693F09">
        <w:rPr>
          <w:rFonts w:ascii="Verdana" w:hAnsi="Verdana"/>
          <w:i/>
          <w:sz w:val="20"/>
          <w:szCs w:val="20"/>
        </w:rPr>
        <w:t>supra</w:t>
      </w:r>
      <w:r w:rsidRPr="00693F09">
        <w:rPr>
          <w:rFonts w:ascii="Verdana" w:hAnsi="Verdana"/>
          <w:sz w:val="20"/>
          <w:szCs w:val="20"/>
        </w:rPr>
        <w:t xml:space="preserve"> Visto 2)</w:t>
      </w:r>
      <w:r w:rsidR="00E71802">
        <w:rPr>
          <w:rFonts w:ascii="Verdana" w:hAnsi="Verdana"/>
          <w:sz w:val="20"/>
          <w:szCs w:val="20"/>
        </w:rPr>
        <w:t>,</w:t>
      </w:r>
      <w:r w:rsidRPr="00693F09">
        <w:rPr>
          <w:rFonts w:ascii="Verdana" w:hAnsi="Verdana"/>
          <w:sz w:val="20"/>
          <w:szCs w:val="20"/>
        </w:rPr>
        <w:t xml:space="preserve"> </w:t>
      </w:r>
      <w:r w:rsidR="00E953F5" w:rsidRPr="00693F09">
        <w:rPr>
          <w:rFonts w:ascii="Verdana" w:hAnsi="Verdana"/>
          <w:sz w:val="20"/>
          <w:szCs w:val="20"/>
        </w:rPr>
        <w:t>la Corte tomó nota de lo informado por el Estado</w:t>
      </w:r>
      <w:r w:rsidR="00C43B64">
        <w:rPr>
          <w:rFonts w:ascii="Verdana" w:hAnsi="Verdana"/>
          <w:sz w:val="20"/>
          <w:szCs w:val="20"/>
        </w:rPr>
        <w:t xml:space="preserve"> en septiembre de 2004</w:t>
      </w:r>
      <w:r w:rsidR="00E953F5" w:rsidRPr="00693F09">
        <w:rPr>
          <w:rFonts w:ascii="Verdana" w:hAnsi="Verdana"/>
          <w:sz w:val="20"/>
          <w:szCs w:val="20"/>
        </w:rPr>
        <w:t xml:space="preserve"> respecto a que </w:t>
      </w:r>
      <w:r w:rsidR="00280CE3" w:rsidRPr="00693F09">
        <w:rPr>
          <w:rFonts w:ascii="Verdana" w:hAnsi="Verdana"/>
          <w:sz w:val="20"/>
          <w:szCs w:val="20"/>
        </w:rPr>
        <w:t xml:space="preserve">la Dirección Nacional de Patrocinio </w:t>
      </w:r>
      <w:r w:rsidR="00C43B64">
        <w:rPr>
          <w:rFonts w:ascii="Verdana" w:hAnsi="Verdana"/>
          <w:sz w:val="20"/>
          <w:szCs w:val="20"/>
        </w:rPr>
        <w:t xml:space="preserve">habría </w:t>
      </w:r>
      <w:r w:rsidR="00280CE3" w:rsidRPr="00693F09">
        <w:rPr>
          <w:rFonts w:ascii="Verdana" w:hAnsi="Verdana"/>
          <w:sz w:val="20"/>
          <w:szCs w:val="20"/>
        </w:rPr>
        <w:t>present</w:t>
      </w:r>
      <w:r w:rsidR="00C43B64">
        <w:rPr>
          <w:rFonts w:ascii="Verdana" w:hAnsi="Verdana"/>
          <w:sz w:val="20"/>
          <w:szCs w:val="20"/>
        </w:rPr>
        <w:t>ado</w:t>
      </w:r>
      <w:r w:rsidR="00280CE3" w:rsidRPr="00693F09">
        <w:rPr>
          <w:rFonts w:ascii="Verdana" w:hAnsi="Verdana"/>
          <w:sz w:val="20"/>
          <w:szCs w:val="20"/>
        </w:rPr>
        <w:t xml:space="preserve"> tres denuncias ante el Ministerio Público, a fin de que se inici</w:t>
      </w:r>
      <w:r w:rsidR="00A34C88">
        <w:rPr>
          <w:rFonts w:ascii="Verdana" w:hAnsi="Verdana"/>
          <w:sz w:val="20"/>
          <w:szCs w:val="20"/>
        </w:rPr>
        <w:t>aran</w:t>
      </w:r>
      <w:r w:rsidR="00280CE3" w:rsidRPr="00693F09">
        <w:rPr>
          <w:rFonts w:ascii="Verdana" w:hAnsi="Verdana"/>
          <w:sz w:val="20"/>
          <w:szCs w:val="20"/>
        </w:rPr>
        <w:t xml:space="preserve"> las investigaciones correspondientes y se determin</w:t>
      </w:r>
      <w:r w:rsidR="00A34C88">
        <w:rPr>
          <w:rFonts w:ascii="Verdana" w:hAnsi="Verdana"/>
          <w:sz w:val="20"/>
          <w:szCs w:val="20"/>
        </w:rPr>
        <w:t>aran</w:t>
      </w:r>
      <w:r w:rsidR="00280CE3" w:rsidRPr="00693F09">
        <w:rPr>
          <w:rFonts w:ascii="Verdana" w:hAnsi="Verdana"/>
          <w:sz w:val="20"/>
          <w:szCs w:val="20"/>
        </w:rPr>
        <w:t xml:space="preserve"> los responsables de </w:t>
      </w:r>
      <w:r w:rsidR="00E953F5" w:rsidRPr="00693F09">
        <w:rPr>
          <w:rFonts w:ascii="Verdana" w:hAnsi="Verdana"/>
          <w:sz w:val="20"/>
          <w:szCs w:val="20"/>
        </w:rPr>
        <w:t>la detención arbitraria, las violaciones al debido proceso y a la tortura de las que fue víctima el señor Tibi</w:t>
      </w:r>
      <w:r w:rsidR="00E953F5" w:rsidRPr="00693F09">
        <w:rPr>
          <w:rStyle w:val="Refdenotaalpie"/>
          <w:rFonts w:ascii="Verdana" w:hAnsi="Verdana"/>
          <w:sz w:val="20"/>
          <w:szCs w:val="20"/>
        </w:rPr>
        <w:footnoteReference w:id="20"/>
      </w:r>
      <w:r w:rsidR="00E953F5" w:rsidRPr="00693F09">
        <w:rPr>
          <w:rFonts w:ascii="Verdana" w:hAnsi="Verdana"/>
          <w:sz w:val="20"/>
          <w:szCs w:val="20"/>
        </w:rPr>
        <w:t xml:space="preserve">. </w:t>
      </w:r>
      <w:r w:rsidR="00630F70" w:rsidRPr="00693F09">
        <w:rPr>
          <w:rFonts w:ascii="Verdana" w:hAnsi="Verdana"/>
          <w:sz w:val="20"/>
          <w:szCs w:val="20"/>
        </w:rPr>
        <w:t xml:space="preserve">Además, en la Resolución de marzo de 2011 </w:t>
      </w:r>
      <w:r w:rsidR="00453691" w:rsidRPr="00693F09">
        <w:rPr>
          <w:rFonts w:ascii="Verdana" w:hAnsi="Verdana"/>
          <w:sz w:val="20"/>
          <w:szCs w:val="20"/>
        </w:rPr>
        <w:t xml:space="preserve">este Tribunal </w:t>
      </w:r>
      <w:r w:rsidR="008D4295" w:rsidRPr="00693F09">
        <w:rPr>
          <w:rFonts w:ascii="Verdana" w:hAnsi="Verdana"/>
          <w:sz w:val="20"/>
          <w:szCs w:val="20"/>
        </w:rPr>
        <w:t xml:space="preserve">tomó nota de cuatro </w:t>
      </w:r>
      <w:r w:rsidR="008D4295" w:rsidRPr="00F35BBF">
        <w:rPr>
          <w:rFonts w:ascii="Verdana" w:hAnsi="Verdana"/>
          <w:sz w:val="20"/>
          <w:szCs w:val="20"/>
        </w:rPr>
        <w:t>diligencias llevadas a cabo por la Fiscalía General de</w:t>
      </w:r>
      <w:r w:rsidR="00FF4802" w:rsidRPr="00F35BBF">
        <w:rPr>
          <w:rFonts w:ascii="Verdana" w:hAnsi="Verdana"/>
          <w:sz w:val="20"/>
          <w:szCs w:val="20"/>
        </w:rPr>
        <w:t xml:space="preserve"> </w:t>
      </w:r>
      <w:r w:rsidR="008D4295" w:rsidRPr="00F35BBF">
        <w:rPr>
          <w:rFonts w:ascii="Verdana" w:hAnsi="Verdana"/>
          <w:sz w:val="20"/>
          <w:szCs w:val="20"/>
        </w:rPr>
        <w:t>l</w:t>
      </w:r>
      <w:r w:rsidR="00FF4802" w:rsidRPr="00F35BBF">
        <w:rPr>
          <w:rFonts w:ascii="Verdana" w:hAnsi="Verdana"/>
          <w:sz w:val="20"/>
          <w:szCs w:val="20"/>
        </w:rPr>
        <w:t>a</w:t>
      </w:r>
      <w:r w:rsidR="008D4295" w:rsidRPr="00F35BBF">
        <w:rPr>
          <w:rFonts w:ascii="Verdana" w:hAnsi="Verdana"/>
          <w:sz w:val="20"/>
          <w:szCs w:val="20"/>
        </w:rPr>
        <w:t xml:space="preserve"> </w:t>
      </w:r>
      <w:r w:rsidR="00FF4802" w:rsidRPr="00F35BBF">
        <w:rPr>
          <w:rFonts w:ascii="Verdana" w:hAnsi="Verdana"/>
          <w:sz w:val="20"/>
          <w:szCs w:val="20"/>
        </w:rPr>
        <w:t xml:space="preserve">Nación </w:t>
      </w:r>
      <w:r w:rsidR="008D4295" w:rsidRPr="00F35BBF">
        <w:rPr>
          <w:rFonts w:ascii="Verdana" w:hAnsi="Verdana"/>
          <w:sz w:val="20"/>
          <w:szCs w:val="20"/>
        </w:rPr>
        <w:t>durante el proceso de investigación</w:t>
      </w:r>
      <w:r w:rsidR="008D4295" w:rsidRPr="00F35BBF">
        <w:rPr>
          <w:rStyle w:val="Refdenotaalpie"/>
          <w:rFonts w:ascii="Verdana" w:hAnsi="Verdana"/>
          <w:sz w:val="20"/>
          <w:szCs w:val="20"/>
        </w:rPr>
        <w:footnoteReference w:id="21"/>
      </w:r>
      <w:r w:rsidR="00F35BBF">
        <w:rPr>
          <w:rFonts w:ascii="Verdana" w:hAnsi="Verdana"/>
          <w:sz w:val="20"/>
          <w:szCs w:val="20"/>
        </w:rPr>
        <w:t xml:space="preserve">. </w:t>
      </w:r>
      <w:r w:rsidR="009E4139" w:rsidRPr="00F35BBF">
        <w:rPr>
          <w:rFonts w:ascii="Verdana" w:hAnsi="Verdana"/>
          <w:sz w:val="20"/>
          <w:szCs w:val="20"/>
        </w:rPr>
        <w:t xml:space="preserve">Al respecto, la Corte sostuvo en dicha Resolución que “para evaluar el Estado de cumplimiento de este punto resolutivo […] </w:t>
      </w:r>
      <w:proofErr w:type="gramStart"/>
      <w:r w:rsidR="009E4139" w:rsidRPr="00F35BBF">
        <w:rPr>
          <w:rFonts w:ascii="Verdana" w:hAnsi="Verdana"/>
          <w:sz w:val="20"/>
          <w:szCs w:val="20"/>
        </w:rPr>
        <w:t>considera[</w:t>
      </w:r>
      <w:proofErr w:type="spellStart"/>
      <w:proofErr w:type="gramEnd"/>
      <w:r w:rsidR="009E4139" w:rsidRPr="00F35BBF">
        <w:rPr>
          <w:rFonts w:ascii="Verdana" w:hAnsi="Verdana"/>
          <w:sz w:val="20"/>
          <w:szCs w:val="20"/>
        </w:rPr>
        <w:t>ba</w:t>
      </w:r>
      <w:proofErr w:type="spellEnd"/>
      <w:r w:rsidR="009E4139" w:rsidRPr="00F35BBF">
        <w:rPr>
          <w:rFonts w:ascii="Verdana" w:hAnsi="Verdana"/>
          <w:sz w:val="20"/>
          <w:szCs w:val="20"/>
        </w:rPr>
        <w:t xml:space="preserve">] necesario que el Estado </w:t>
      </w:r>
      <w:proofErr w:type="spellStart"/>
      <w:r w:rsidR="009E4139" w:rsidRPr="00F35BBF">
        <w:rPr>
          <w:rFonts w:ascii="Verdana" w:hAnsi="Verdana"/>
          <w:sz w:val="20"/>
          <w:szCs w:val="20"/>
        </w:rPr>
        <w:t>inform</w:t>
      </w:r>
      <w:proofErr w:type="spellEnd"/>
      <w:r w:rsidR="009E4139" w:rsidRPr="00F35BBF">
        <w:rPr>
          <w:rFonts w:ascii="Verdana" w:hAnsi="Verdana"/>
          <w:sz w:val="20"/>
          <w:szCs w:val="20"/>
        </w:rPr>
        <w:t>[ara] sobre los resultados de las acciones y diligencias efectuadas y sobre los avances recientes en la investigación de los hechos”</w:t>
      </w:r>
      <w:r w:rsidR="008D4295" w:rsidRPr="00F35BBF">
        <w:rPr>
          <w:rStyle w:val="Refdenotaalpie"/>
          <w:rFonts w:ascii="Verdana" w:hAnsi="Verdana"/>
          <w:sz w:val="20"/>
          <w:szCs w:val="20"/>
        </w:rPr>
        <w:footnoteReference w:id="22"/>
      </w:r>
      <w:r w:rsidR="008D4295" w:rsidRPr="00F35BBF">
        <w:rPr>
          <w:rFonts w:ascii="Verdana" w:hAnsi="Verdana"/>
          <w:sz w:val="20"/>
          <w:szCs w:val="20"/>
        </w:rPr>
        <w:t>.</w:t>
      </w:r>
    </w:p>
    <w:p w:rsidR="00F35BBF" w:rsidRDefault="00F35BBF" w:rsidP="00E17F2C">
      <w:pPr>
        <w:pStyle w:val="Default"/>
        <w:tabs>
          <w:tab w:val="left" w:pos="1418"/>
        </w:tabs>
        <w:spacing w:before="120" w:after="120"/>
        <w:ind w:left="709"/>
        <w:jc w:val="both"/>
        <w:rPr>
          <w:i/>
          <w:color w:val="auto"/>
          <w:sz w:val="20"/>
          <w:szCs w:val="20"/>
        </w:rPr>
      </w:pPr>
    </w:p>
    <w:p w:rsidR="00C77312" w:rsidRPr="00693F09" w:rsidRDefault="00C228C3" w:rsidP="00E17F2C">
      <w:pPr>
        <w:pStyle w:val="Default"/>
        <w:tabs>
          <w:tab w:val="left" w:pos="1418"/>
        </w:tabs>
        <w:spacing w:before="120" w:after="120"/>
        <w:ind w:left="709"/>
        <w:jc w:val="both"/>
        <w:rPr>
          <w:i/>
          <w:color w:val="auto"/>
          <w:sz w:val="20"/>
          <w:szCs w:val="20"/>
        </w:rPr>
      </w:pPr>
      <w:r w:rsidRPr="00693F09">
        <w:rPr>
          <w:i/>
          <w:color w:val="auto"/>
          <w:sz w:val="20"/>
          <w:szCs w:val="20"/>
        </w:rPr>
        <w:t>A.2</w:t>
      </w:r>
      <w:r w:rsidR="00866F28">
        <w:rPr>
          <w:i/>
          <w:color w:val="auto"/>
          <w:sz w:val="20"/>
          <w:szCs w:val="20"/>
        </w:rPr>
        <w:t>.</w:t>
      </w:r>
      <w:r w:rsidRPr="00693F09">
        <w:rPr>
          <w:i/>
          <w:color w:val="auto"/>
          <w:sz w:val="20"/>
          <w:szCs w:val="20"/>
        </w:rPr>
        <w:t xml:space="preserve"> </w:t>
      </w:r>
      <w:r w:rsidR="00C77312" w:rsidRPr="00693F09">
        <w:rPr>
          <w:i/>
          <w:color w:val="auto"/>
          <w:sz w:val="20"/>
          <w:szCs w:val="20"/>
        </w:rPr>
        <w:t>Consideraciones de la Corte</w:t>
      </w:r>
    </w:p>
    <w:p w:rsidR="00C04143" w:rsidRPr="00693F09" w:rsidRDefault="00EC28BF" w:rsidP="00C0414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s="Arial"/>
          <w:sz w:val="20"/>
          <w:szCs w:val="16"/>
        </w:rPr>
      </w:pPr>
      <w:r w:rsidRPr="00693F09">
        <w:rPr>
          <w:rFonts w:ascii="Verdana" w:hAnsi="Verdana" w:cs="Arial"/>
          <w:sz w:val="20"/>
          <w:szCs w:val="20"/>
        </w:rPr>
        <w:t>L</w:t>
      </w:r>
      <w:r w:rsidR="00C77312" w:rsidRPr="00693F09">
        <w:rPr>
          <w:rFonts w:ascii="Verdana" w:hAnsi="Verdana" w:cs="Arial"/>
          <w:sz w:val="20"/>
          <w:szCs w:val="20"/>
        </w:rPr>
        <w:t xml:space="preserve">a </w:t>
      </w:r>
      <w:r w:rsidR="00C77312" w:rsidRPr="00DC24ED">
        <w:rPr>
          <w:rFonts w:ascii="Verdana" w:hAnsi="Verdana" w:cs="Arial"/>
          <w:sz w:val="20"/>
          <w:szCs w:val="20"/>
        </w:rPr>
        <w:t xml:space="preserve">Corte </w:t>
      </w:r>
      <w:r w:rsidRPr="00DC24ED">
        <w:rPr>
          <w:rFonts w:ascii="Verdana" w:hAnsi="Verdana" w:cs="Arial"/>
          <w:sz w:val="20"/>
          <w:szCs w:val="20"/>
        </w:rPr>
        <w:t>toma nota de</w:t>
      </w:r>
      <w:r w:rsidR="00C77312" w:rsidRPr="00DC24ED">
        <w:rPr>
          <w:rFonts w:ascii="Verdana" w:hAnsi="Verdana" w:cs="Arial"/>
          <w:sz w:val="20"/>
          <w:szCs w:val="20"/>
        </w:rPr>
        <w:t xml:space="preserve"> </w:t>
      </w:r>
      <w:r w:rsidR="00176A08" w:rsidRPr="00DC24ED">
        <w:rPr>
          <w:rFonts w:ascii="Verdana" w:hAnsi="Verdana" w:cs="Arial"/>
          <w:sz w:val="20"/>
          <w:szCs w:val="20"/>
        </w:rPr>
        <w:t xml:space="preserve">lo manifestado por el </w:t>
      </w:r>
      <w:r w:rsidR="00176A08" w:rsidRPr="00360DAC">
        <w:rPr>
          <w:rFonts w:ascii="Verdana" w:hAnsi="Verdana" w:cs="Arial"/>
          <w:i/>
          <w:sz w:val="20"/>
          <w:szCs w:val="20"/>
        </w:rPr>
        <w:t>Estado</w:t>
      </w:r>
      <w:r w:rsidR="00176A08" w:rsidRPr="00360DAC">
        <w:rPr>
          <w:rFonts w:ascii="Verdana" w:hAnsi="Verdana" w:cs="Arial"/>
          <w:sz w:val="20"/>
          <w:szCs w:val="20"/>
        </w:rPr>
        <w:t xml:space="preserve"> con respecto a su “compromiso de garantizar la identificación, juzgamiento y sanción de los responsables de las violaciones a los derechos del </w:t>
      </w:r>
      <w:r w:rsidR="00836697">
        <w:rPr>
          <w:rFonts w:ascii="Verdana" w:hAnsi="Verdana" w:cs="Arial"/>
          <w:sz w:val="20"/>
          <w:szCs w:val="20"/>
        </w:rPr>
        <w:t>[</w:t>
      </w:r>
      <w:r w:rsidR="00176A08" w:rsidRPr="00360DAC">
        <w:rPr>
          <w:rFonts w:ascii="Verdana" w:hAnsi="Verdana" w:cs="Arial"/>
          <w:sz w:val="20"/>
          <w:szCs w:val="20"/>
        </w:rPr>
        <w:t>seño</w:t>
      </w:r>
      <w:proofErr w:type="gramStart"/>
      <w:r w:rsidR="00836697">
        <w:rPr>
          <w:rFonts w:ascii="Verdana" w:hAnsi="Verdana" w:cs="Arial"/>
          <w:sz w:val="20"/>
          <w:szCs w:val="20"/>
        </w:rPr>
        <w:t>]</w:t>
      </w:r>
      <w:r w:rsidR="00176A08" w:rsidRPr="00360DAC">
        <w:rPr>
          <w:rFonts w:ascii="Verdana" w:hAnsi="Verdana" w:cs="Arial"/>
          <w:sz w:val="20"/>
          <w:szCs w:val="20"/>
        </w:rPr>
        <w:t>r</w:t>
      </w:r>
      <w:proofErr w:type="gramEnd"/>
      <w:r w:rsidR="00176A08" w:rsidRPr="00360DAC">
        <w:rPr>
          <w:rFonts w:ascii="Verdana" w:hAnsi="Verdana" w:cs="Arial"/>
          <w:sz w:val="20"/>
          <w:szCs w:val="20"/>
        </w:rPr>
        <w:t xml:space="preserve"> Daniel Tibi</w:t>
      </w:r>
      <w:r w:rsidR="007C488C">
        <w:rPr>
          <w:rFonts w:ascii="Verdana" w:hAnsi="Verdana" w:cs="Arial"/>
          <w:sz w:val="20"/>
          <w:szCs w:val="20"/>
        </w:rPr>
        <w:t>”</w:t>
      </w:r>
      <w:r w:rsidR="00176A08" w:rsidRPr="00360DAC">
        <w:rPr>
          <w:rFonts w:ascii="Verdana" w:hAnsi="Verdana" w:cs="Arial"/>
          <w:sz w:val="20"/>
          <w:szCs w:val="20"/>
        </w:rPr>
        <w:t xml:space="preserve">, así como </w:t>
      </w:r>
      <w:r w:rsidRPr="006E1DA8">
        <w:rPr>
          <w:rFonts w:ascii="Verdana" w:hAnsi="Verdana" w:cs="Arial"/>
          <w:sz w:val="20"/>
          <w:szCs w:val="20"/>
        </w:rPr>
        <w:t xml:space="preserve">de </w:t>
      </w:r>
      <w:r w:rsidR="00176A08" w:rsidRPr="006E1DA8">
        <w:rPr>
          <w:rFonts w:ascii="Verdana" w:hAnsi="Verdana" w:cs="Arial"/>
          <w:sz w:val="20"/>
          <w:szCs w:val="20"/>
        </w:rPr>
        <w:t xml:space="preserve">las diligencias realizadas en el marco de la indagación previa </w:t>
      </w:r>
      <w:r w:rsidR="00B07B04" w:rsidRPr="006E1DA8">
        <w:rPr>
          <w:rFonts w:ascii="Verdana" w:hAnsi="Verdana" w:cs="Arial"/>
          <w:sz w:val="20"/>
          <w:szCs w:val="20"/>
        </w:rPr>
        <w:t>No. 3064-05 iniciada</w:t>
      </w:r>
      <w:r w:rsidR="00176A08" w:rsidRPr="006E1DA8">
        <w:rPr>
          <w:rFonts w:ascii="Verdana" w:hAnsi="Verdana" w:cs="Arial"/>
          <w:sz w:val="20"/>
          <w:szCs w:val="20"/>
        </w:rPr>
        <w:t xml:space="preserve"> en julio 2005</w:t>
      </w:r>
      <w:r w:rsidR="00543E33" w:rsidRPr="006E1DA8">
        <w:rPr>
          <w:rStyle w:val="Refdenotaalpie"/>
          <w:rFonts w:ascii="Verdana" w:hAnsi="Verdana" w:cs="Arial"/>
          <w:sz w:val="20"/>
          <w:szCs w:val="20"/>
        </w:rPr>
        <w:footnoteReference w:id="23"/>
      </w:r>
      <w:r w:rsidRPr="006E1DA8">
        <w:rPr>
          <w:rFonts w:ascii="Verdana" w:hAnsi="Verdana" w:cs="Arial"/>
          <w:sz w:val="20"/>
          <w:szCs w:val="20"/>
        </w:rPr>
        <w:t xml:space="preserve"> </w:t>
      </w:r>
      <w:r w:rsidR="0008711A" w:rsidRPr="006E1DA8">
        <w:rPr>
          <w:rFonts w:ascii="Verdana" w:hAnsi="Verdana" w:cs="Arial"/>
          <w:sz w:val="20"/>
          <w:szCs w:val="20"/>
        </w:rPr>
        <w:t>y</w:t>
      </w:r>
      <w:r w:rsidR="005B0AF4" w:rsidRPr="006E1DA8">
        <w:rPr>
          <w:rFonts w:ascii="Verdana" w:hAnsi="Verdana" w:cs="Arial"/>
          <w:sz w:val="20"/>
          <w:szCs w:val="20"/>
        </w:rPr>
        <w:t xml:space="preserve"> que</w:t>
      </w:r>
      <w:r w:rsidR="0008711A" w:rsidRPr="006E1DA8">
        <w:rPr>
          <w:rFonts w:ascii="Verdana" w:hAnsi="Verdana" w:cs="Arial"/>
          <w:sz w:val="20"/>
          <w:szCs w:val="20"/>
        </w:rPr>
        <w:t xml:space="preserve"> </w:t>
      </w:r>
      <w:r w:rsidR="009A6D66" w:rsidRPr="006E1DA8">
        <w:rPr>
          <w:rFonts w:ascii="Verdana" w:hAnsi="Verdana" w:cs="Arial"/>
          <w:sz w:val="20"/>
          <w:szCs w:val="20"/>
        </w:rPr>
        <w:t>actualmente</w:t>
      </w:r>
      <w:r w:rsidR="00B03940" w:rsidRPr="006E1DA8">
        <w:rPr>
          <w:rFonts w:ascii="Verdana" w:hAnsi="Verdana" w:cs="Arial"/>
          <w:sz w:val="20"/>
          <w:szCs w:val="20"/>
        </w:rPr>
        <w:t xml:space="preserve"> estaría a cargo de la </w:t>
      </w:r>
      <w:r w:rsidR="006E1DA8">
        <w:rPr>
          <w:rFonts w:ascii="Verdana" w:hAnsi="Verdana" w:cs="Arial"/>
          <w:sz w:val="20"/>
          <w:szCs w:val="20"/>
        </w:rPr>
        <w:t>“</w:t>
      </w:r>
      <w:r w:rsidR="009A6D66" w:rsidRPr="006E1DA8">
        <w:rPr>
          <w:rFonts w:ascii="Verdana" w:hAnsi="Verdana" w:cs="Arial"/>
          <w:sz w:val="20"/>
          <w:szCs w:val="20"/>
        </w:rPr>
        <w:t xml:space="preserve">Dirección de la </w:t>
      </w:r>
      <w:r w:rsidR="00B03940" w:rsidRPr="006E1DA8">
        <w:rPr>
          <w:rFonts w:ascii="Verdana" w:hAnsi="Verdana" w:cs="Arial"/>
          <w:sz w:val="20"/>
          <w:szCs w:val="20"/>
        </w:rPr>
        <w:t xml:space="preserve">Comisión de </w:t>
      </w:r>
      <w:r w:rsidR="00080EA6">
        <w:rPr>
          <w:rFonts w:ascii="Verdana" w:hAnsi="Verdana" w:cs="Arial"/>
          <w:sz w:val="20"/>
          <w:szCs w:val="20"/>
        </w:rPr>
        <w:t xml:space="preserve">la </w:t>
      </w:r>
      <w:r w:rsidR="00B03940" w:rsidRPr="006E1DA8">
        <w:rPr>
          <w:rFonts w:ascii="Verdana" w:hAnsi="Verdana" w:cs="Arial"/>
          <w:sz w:val="20"/>
          <w:szCs w:val="20"/>
        </w:rPr>
        <w:t>Verdad y Derechos Humanos de la Fiscalía General del Estado</w:t>
      </w:r>
      <w:r w:rsidR="006E1DA8">
        <w:rPr>
          <w:rFonts w:ascii="Verdana" w:hAnsi="Verdana" w:cs="Arial"/>
          <w:sz w:val="20"/>
          <w:szCs w:val="20"/>
        </w:rPr>
        <w:t>”</w:t>
      </w:r>
      <w:r w:rsidR="009A6D66" w:rsidRPr="006E1DA8">
        <w:rPr>
          <w:rStyle w:val="Refdenotaalpie"/>
          <w:rFonts w:ascii="Verdana" w:hAnsi="Verdana" w:cs="Arial"/>
          <w:sz w:val="20"/>
          <w:szCs w:val="20"/>
        </w:rPr>
        <w:footnoteReference w:id="24"/>
      </w:r>
      <w:r w:rsidR="00B03940" w:rsidRPr="006E1DA8">
        <w:rPr>
          <w:rFonts w:ascii="Verdana" w:hAnsi="Verdana" w:cs="Arial"/>
          <w:sz w:val="20"/>
          <w:szCs w:val="20"/>
        </w:rPr>
        <w:t>.</w:t>
      </w:r>
      <w:r w:rsidR="0008711A" w:rsidRPr="006E1DA8">
        <w:rPr>
          <w:rFonts w:ascii="Verdana" w:hAnsi="Verdana" w:cs="Arial"/>
          <w:sz w:val="20"/>
          <w:szCs w:val="20"/>
        </w:rPr>
        <w:t xml:space="preserve"> </w:t>
      </w:r>
      <w:r w:rsidR="002E7498" w:rsidRPr="006E1DA8">
        <w:rPr>
          <w:rFonts w:ascii="Verdana" w:hAnsi="Verdana" w:cs="Arial"/>
          <w:sz w:val="20"/>
          <w:szCs w:val="20"/>
        </w:rPr>
        <w:t>Seg</w:t>
      </w:r>
      <w:r w:rsidR="00543E33" w:rsidRPr="006E1DA8">
        <w:rPr>
          <w:rFonts w:ascii="Verdana" w:hAnsi="Verdana" w:cs="Arial"/>
          <w:sz w:val="20"/>
          <w:szCs w:val="20"/>
        </w:rPr>
        <w:t xml:space="preserve">ún lo </w:t>
      </w:r>
      <w:r w:rsidR="007C0405" w:rsidRPr="006E1DA8">
        <w:rPr>
          <w:rFonts w:ascii="Verdana" w:hAnsi="Verdana" w:cs="Arial"/>
          <w:sz w:val="20"/>
          <w:szCs w:val="20"/>
        </w:rPr>
        <w:t>sostenido</w:t>
      </w:r>
      <w:r w:rsidR="00543E33" w:rsidRPr="006E1DA8">
        <w:rPr>
          <w:rFonts w:ascii="Verdana" w:hAnsi="Verdana" w:cs="Arial"/>
          <w:sz w:val="20"/>
          <w:szCs w:val="20"/>
        </w:rPr>
        <w:t xml:space="preserve"> </w:t>
      </w:r>
      <w:r w:rsidR="007C0405" w:rsidRPr="006E1DA8">
        <w:rPr>
          <w:rFonts w:ascii="Verdana" w:hAnsi="Verdana" w:cs="Arial"/>
          <w:sz w:val="20"/>
          <w:szCs w:val="20"/>
        </w:rPr>
        <w:t>en</w:t>
      </w:r>
      <w:r w:rsidR="007C0405" w:rsidRPr="00693F09">
        <w:rPr>
          <w:rFonts w:ascii="Verdana" w:hAnsi="Verdana" w:cs="Arial"/>
          <w:sz w:val="20"/>
          <w:szCs w:val="20"/>
        </w:rPr>
        <w:t xml:space="preserve"> sus informes de </w:t>
      </w:r>
      <w:r w:rsidR="00343971" w:rsidRPr="00693F09">
        <w:rPr>
          <w:rFonts w:ascii="Verdana" w:hAnsi="Verdana" w:cs="Arial"/>
          <w:sz w:val="20"/>
          <w:szCs w:val="20"/>
        </w:rPr>
        <w:t>mayo de 2012 y abril de 2014</w:t>
      </w:r>
      <w:r w:rsidR="002E7498" w:rsidRPr="00693F09">
        <w:rPr>
          <w:rFonts w:ascii="Verdana" w:hAnsi="Verdana" w:cs="Arial"/>
          <w:sz w:val="20"/>
          <w:szCs w:val="20"/>
        </w:rPr>
        <w:t xml:space="preserve">, en el </w:t>
      </w:r>
      <w:r w:rsidR="002E7498" w:rsidRPr="00693F09">
        <w:rPr>
          <w:rFonts w:ascii="Verdana" w:hAnsi="Verdana" w:cs="Arial"/>
          <w:sz w:val="20"/>
          <w:szCs w:val="20"/>
        </w:rPr>
        <w:lastRenderedPageBreak/>
        <w:t xml:space="preserve">marco de </w:t>
      </w:r>
      <w:r w:rsidR="00BA71B8" w:rsidRPr="00693F09">
        <w:rPr>
          <w:rFonts w:ascii="Verdana" w:hAnsi="Verdana" w:cs="Arial"/>
          <w:sz w:val="20"/>
          <w:szCs w:val="20"/>
        </w:rPr>
        <w:t>dicha</w:t>
      </w:r>
      <w:r w:rsidR="002E7498" w:rsidRPr="00693F09">
        <w:rPr>
          <w:rFonts w:ascii="Verdana" w:hAnsi="Verdana" w:cs="Arial"/>
          <w:sz w:val="20"/>
          <w:szCs w:val="20"/>
        </w:rPr>
        <w:t xml:space="preserve"> indagación previa se </w:t>
      </w:r>
      <w:r w:rsidR="00BA71B8" w:rsidRPr="00693F09">
        <w:rPr>
          <w:rFonts w:ascii="Verdana" w:hAnsi="Verdana" w:cs="Arial"/>
          <w:sz w:val="20"/>
          <w:szCs w:val="20"/>
        </w:rPr>
        <w:t>han</w:t>
      </w:r>
      <w:r w:rsidR="002E7498" w:rsidRPr="00693F09">
        <w:rPr>
          <w:rFonts w:ascii="Verdana" w:hAnsi="Verdana" w:cs="Arial"/>
          <w:sz w:val="20"/>
          <w:szCs w:val="20"/>
        </w:rPr>
        <w:t xml:space="preserve"> hecho solicitudes de información a</w:t>
      </w:r>
      <w:r w:rsidR="002362E7" w:rsidRPr="00693F09">
        <w:rPr>
          <w:rFonts w:ascii="Verdana" w:hAnsi="Verdana" w:cs="Arial"/>
          <w:sz w:val="20"/>
          <w:szCs w:val="20"/>
        </w:rPr>
        <w:t xml:space="preserve"> diversas entidades estatales</w:t>
      </w:r>
      <w:r w:rsidR="002362E7" w:rsidRPr="00693F09">
        <w:rPr>
          <w:rStyle w:val="Refdenotaalpie"/>
          <w:rFonts w:ascii="Verdana" w:hAnsi="Verdana" w:cs="Arial"/>
          <w:sz w:val="20"/>
          <w:szCs w:val="20"/>
        </w:rPr>
        <w:footnoteReference w:id="25"/>
      </w:r>
      <w:r w:rsidR="002362E7" w:rsidRPr="00693F09">
        <w:rPr>
          <w:rFonts w:ascii="Verdana" w:hAnsi="Verdana" w:cs="Arial"/>
          <w:sz w:val="20"/>
          <w:szCs w:val="20"/>
        </w:rPr>
        <w:t xml:space="preserve">, se </w:t>
      </w:r>
      <w:r w:rsidR="006E1DA8">
        <w:rPr>
          <w:rFonts w:ascii="Verdana" w:hAnsi="Verdana" w:cs="Arial"/>
          <w:sz w:val="20"/>
          <w:szCs w:val="20"/>
        </w:rPr>
        <w:t xml:space="preserve">han </w:t>
      </w:r>
      <w:r w:rsidR="002362E7" w:rsidRPr="00693F09">
        <w:rPr>
          <w:rFonts w:ascii="Verdana" w:hAnsi="Verdana" w:cs="Arial"/>
          <w:sz w:val="20"/>
          <w:szCs w:val="20"/>
        </w:rPr>
        <w:t>toma</w:t>
      </w:r>
      <w:r w:rsidR="006E1DA8">
        <w:rPr>
          <w:rFonts w:ascii="Verdana" w:hAnsi="Verdana" w:cs="Arial"/>
          <w:sz w:val="20"/>
          <w:szCs w:val="20"/>
        </w:rPr>
        <w:t>do</w:t>
      </w:r>
      <w:r w:rsidR="002362E7" w:rsidRPr="00693F09">
        <w:rPr>
          <w:rFonts w:ascii="Verdana" w:hAnsi="Verdana" w:cs="Arial"/>
          <w:sz w:val="20"/>
          <w:szCs w:val="20"/>
        </w:rPr>
        <w:t xml:space="preserve"> </w:t>
      </w:r>
      <w:r w:rsidRPr="00693F09">
        <w:rPr>
          <w:rFonts w:ascii="Verdana" w:hAnsi="Verdana" w:cs="Arial"/>
          <w:sz w:val="20"/>
          <w:szCs w:val="20"/>
        </w:rPr>
        <w:t xml:space="preserve">“versiones” </w:t>
      </w:r>
      <w:r w:rsidR="0024779A" w:rsidRPr="00693F09">
        <w:rPr>
          <w:rFonts w:ascii="Verdana" w:hAnsi="Verdana" w:cs="Arial"/>
          <w:sz w:val="20"/>
          <w:szCs w:val="20"/>
        </w:rPr>
        <w:t>de “presuntos responsables, funcionarios judiciales y mi</w:t>
      </w:r>
      <w:r w:rsidR="001D606D" w:rsidRPr="00693F09">
        <w:rPr>
          <w:rFonts w:ascii="Verdana" w:hAnsi="Verdana" w:cs="Arial"/>
          <w:sz w:val="20"/>
          <w:szCs w:val="20"/>
        </w:rPr>
        <w:t>embros de la Policía Nacional”</w:t>
      </w:r>
      <w:r w:rsidR="007C0405" w:rsidRPr="00693F09">
        <w:rPr>
          <w:rStyle w:val="Refdenotaalpie"/>
          <w:rFonts w:ascii="Verdana" w:hAnsi="Verdana" w:cs="Arial"/>
          <w:sz w:val="20"/>
          <w:szCs w:val="20"/>
        </w:rPr>
        <w:footnoteReference w:id="26"/>
      </w:r>
      <w:r w:rsidR="007C0405" w:rsidRPr="00693F09">
        <w:rPr>
          <w:rFonts w:ascii="Verdana" w:hAnsi="Verdana" w:cs="Arial"/>
          <w:sz w:val="20"/>
          <w:szCs w:val="20"/>
        </w:rPr>
        <w:t xml:space="preserve">, y </w:t>
      </w:r>
      <w:r w:rsidR="00343971" w:rsidRPr="00693F09">
        <w:rPr>
          <w:rFonts w:ascii="Verdana" w:hAnsi="Verdana" w:cs="Arial"/>
          <w:sz w:val="20"/>
          <w:szCs w:val="20"/>
        </w:rPr>
        <w:t>se</w:t>
      </w:r>
      <w:r w:rsidR="007C0405" w:rsidRPr="00693F09">
        <w:rPr>
          <w:rFonts w:ascii="Verdana" w:hAnsi="Verdana" w:cs="Arial"/>
          <w:sz w:val="20"/>
          <w:szCs w:val="20"/>
        </w:rPr>
        <w:t xml:space="preserve"> realiz</w:t>
      </w:r>
      <w:r w:rsidR="00343971" w:rsidRPr="00693F09">
        <w:rPr>
          <w:rFonts w:ascii="Verdana" w:hAnsi="Verdana" w:cs="Arial"/>
          <w:sz w:val="20"/>
          <w:szCs w:val="20"/>
        </w:rPr>
        <w:t>ó</w:t>
      </w:r>
      <w:r w:rsidR="007C0405" w:rsidRPr="00693F09">
        <w:rPr>
          <w:rFonts w:ascii="Verdana" w:hAnsi="Verdana" w:cs="Arial"/>
          <w:sz w:val="20"/>
          <w:szCs w:val="20"/>
        </w:rPr>
        <w:t xml:space="preserve"> </w:t>
      </w:r>
      <w:r w:rsidR="002362E7" w:rsidRPr="00693F09">
        <w:rPr>
          <w:rFonts w:ascii="Verdana" w:hAnsi="Verdana" w:cs="Arial"/>
          <w:sz w:val="20"/>
          <w:szCs w:val="20"/>
        </w:rPr>
        <w:t>una “</w:t>
      </w:r>
      <w:r w:rsidR="000D068D">
        <w:rPr>
          <w:rFonts w:ascii="Verdana" w:hAnsi="Verdana" w:cs="Arial"/>
          <w:sz w:val="20"/>
          <w:szCs w:val="20"/>
        </w:rPr>
        <w:t>[</w:t>
      </w:r>
      <w:r w:rsidR="002362E7" w:rsidRPr="00693F09">
        <w:rPr>
          <w:rFonts w:ascii="Verdana" w:hAnsi="Verdana" w:cs="Arial"/>
          <w:sz w:val="20"/>
          <w:szCs w:val="20"/>
        </w:rPr>
        <w:t>s</w:t>
      </w:r>
      <w:r w:rsidR="000D068D">
        <w:rPr>
          <w:rFonts w:ascii="Verdana" w:hAnsi="Verdana" w:cs="Arial"/>
          <w:sz w:val="20"/>
          <w:szCs w:val="20"/>
        </w:rPr>
        <w:t>]</w:t>
      </w:r>
      <w:proofErr w:type="spellStart"/>
      <w:r w:rsidR="002362E7" w:rsidRPr="00693F09">
        <w:rPr>
          <w:rFonts w:ascii="Verdana" w:hAnsi="Verdana" w:cs="Arial"/>
          <w:sz w:val="20"/>
          <w:szCs w:val="20"/>
        </w:rPr>
        <w:t>olicitud</w:t>
      </w:r>
      <w:proofErr w:type="spellEnd"/>
      <w:r w:rsidR="002362E7" w:rsidRPr="00693F09">
        <w:rPr>
          <w:rFonts w:ascii="Verdana" w:hAnsi="Verdana" w:cs="Arial"/>
          <w:sz w:val="20"/>
          <w:szCs w:val="20"/>
        </w:rPr>
        <w:t xml:space="preserve"> de </w:t>
      </w:r>
      <w:r w:rsidR="000D068D">
        <w:rPr>
          <w:rFonts w:ascii="Verdana" w:hAnsi="Verdana" w:cs="Arial"/>
          <w:sz w:val="20"/>
          <w:szCs w:val="20"/>
        </w:rPr>
        <w:t>[</w:t>
      </w:r>
      <w:r w:rsidR="002362E7" w:rsidRPr="00693F09">
        <w:rPr>
          <w:rFonts w:ascii="Verdana" w:hAnsi="Verdana" w:cs="Arial"/>
          <w:sz w:val="20"/>
          <w:szCs w:val="20"/>
        </w:rPr>
        <w:t>a</w:t>
      </w:r>
      <w:r w:rsidR="000D068D">
        <w:rPr>
          <w:rFonts w:ascii="Verdana" w:hAnsi="Verdana" w:cs="Arial"/>
          <w:sz w:val="20"/>
          <w:szCs w:val="20"/>
        </w:rPr>
        <w:t>]</w:t>
      </w:r>
      <w:proofErr w:type="spellStart"/>
      <w:r w:rsidR="002362E7" w:rsidRPr="00693F09">
        <w:rPr>
          <w:rFonts w:ascii="Verdana" w:hAnsi="Verdana" w:cs="Arial"/>
          <w:sz w:val="20"/>
          <w:szCs w:val="20"/>
        </w:rPr>
        <w:t>sistencia</w:t>
      </w:r>
      <w:proofErr w:type="spellEnd"/>
      <w:r w:rsidR="002362E7" w:rsidRPr="00693F09">
        <w:rPr>
          <w:rFonts w:ascii="Verdana" w:hAnsi="Verdana" w:cs="Arial"/>
          <w:sz w:val="20"/>
          <w:szCs w:val="20"/>
        </w:rPr>
        <w:t xml:space="preserve"> </w:t>
      </w:r>
      <w:r w:rsidR="000D068D">
        <w:rPr>
          <w:rFonts w:ascii="Verdana" w:hAnsi="Verdana" w:cs="Arial"/>
          <w:sz w:val="20"/>
          <w:szCs w:val="20"/>
        </w:rPr>
        <w:t>[</w:t>
      </w:r>
      <w:r w:rsidR="002362E7" w:rsidRPr="00693F09">
        <w:rPr>
          <w:rFonts w:ascii="Verdana" w:hAnsi="Verdana" w:cs="Arial"/>
          <w:sz w:val="20"/>
          <w:szCs w:val="20"/>
        </w:rPr>
        <w:t>p</w:t>
      </w:r>
      <w:r w:rsidR="000D068D">
        <w:rPr>
          <w:rFonts w:ascii="Verdana" w:hAnsi="Verdana" w:cs="Arial"/>
          <w:sz w:val="20"/>
          <w:szCs w:val="20"/>
        </w:rPr>
        <w:t>]</w:t>
      </w:r>
      <w:proofErr w:type="spellStart"/>
      <w:r w:rsidR="002362E7" w:rsidRPr="00693F09">
        <w:rPr>
          <w:rFonts w:ascii="Verdana" w:hAnsi="Verdana" w:cs="Arial"/>
          <w:sz w:val="20"/>
          <w:szCs w:val="20"/>
        </w:rPr>
        <w:t>enal</w:t>
      </w:r>
      <w:proofErr w:type="spellEnd"/>
      <w:r w:rsidR="002362E7" w:rsidRPr="00693F09">
        <w:rPr>
          <w:rFonts w:ascii="Verdana" w:hAnsi="Verdana" w:cs="Arial"/>
          <w:sz w:val="20"/>
          <w:szCs w:val="20"/>
        </w:rPr>
        <w:t xml:space="preserve"> </w:t>
      </w:r>
      <w:r w:rsidR="000D068D">
        <w:rPr>
          <w:rFonts w:ascii="Verdana" w:hAnsi="Verdana" w:cs="Arial"/>
          <w:sz w:val="20"/>
          <w:szCs w:val="20"/>
        </w:rPr>
        <w:t>[</w:t>
      </w:r>
      <w:r w:rsidR="002362E7" w:rsidRPr="00693F09">
        <w:rPr>
          <w:rFonts w:ascii="Verdana" w:hAnsi="Verdana" w:cs="Arial"/>
          <w:sz w:val="20"/>
          <w:szCs w:val="20"/>
        </w:rPr>
        <w:t>i</w:t>
      </w:r>
      <w:r w:rsidR="000D068D">
        <w:rPr>
          <w:rFonts w:ascii="Verdana" w:hAnsi="Verdana" w:cs="Arial"/>
          <w:sz w:val="20"/>
          <w:szCs w:val="20"/>
        </w:rPr>
        <w:t>]</w:t>
      </w:r>
      <w:proofErr w:type="spellStart"/>
      <w:r w:rsidR="002362E7" w:rsidRPr="00693F09">
        <w:rPr>
          <w:rFonts w:ascii="Verdana" w:hAnsi="Verdana" w:cs="Arial"/>
          <w:sz w:val="20"/>
          <w:szCs w:val="20"/>
        </w:rPr>
        <w:t>nternacional</w:t>
      </w:r>
      <w:proofErr w:type="spellEnd"/>
      <w:r w:rsidR="002362E7" w:rsidRPr="00693F09">
        <w:rPr>
          <w:rFonts w:ascii="Verdana" w:hAnsi="Verdana" w:cs="Arial"/>
          <w:sz w:val="20"/>
          <w:szCs w:val="20"/>
        </w:rPr>
        <w:t xml:space="preserve"> a las autoridades competentes en Francia” para recabar las versiones de los médicos franceses que</w:t>
      </w:r>
      <w:r w:rsidR="002624BF">
        <w:rPr>
          <w:rFonts w:ascii="Verdana" w:hAnsi="Verdana" w:cs="Arial"/>
          <w:sz w:val="20"/>
          <w:szCs w:val="20"/>
        </w:rPr>
        <w:t xml:space="preserve"> atendieron</w:t>
      </w:r>
      <w:r w:rsidR="002362E7" w:rsidRPr="00693F09">
        <w:rPr>
          <w:rFonts w:ascii="Verdana" w:hAnsi="Verdana" w:cs="Arial"/>
          <w:sz w:val="20"/>
          <w:szCs w:val="20"/>
        </w:rPr>
        <w:t xml:space="preserve"> </w:t>
      </w:r>
      <w:r w:rsidR="002624BF">
        <w:rPr>
          <w:rFonts w:ascii="Verdana" w:hAnsi="Verdana" w:cs="Arial"/>
          <w:sz w:val="20"/>
          <w:szCs w:val="20"/>
        </w:rPr>
        <w:t xml:space="preserve">al señor Tibi </w:t>
      </w:r>
      <w:r w:rsidR="002362E7" w:rsidRPr="00693F09">
        <w:rPr>
          <w:rFonts w:ascii="Verdana" w:hAnsi="Verdana" w:cs="Arial"/>
          <w:sz w:val="20"/>
          <w:szCs w:val="20"/>
        </w:rPr>
        <w:t>luego de su regreso a Francia</w:t>
      </w:r>
      <w:r w:rsidR="002624BF">
        <w:rPr>
          <w:rFonts w:ascii="Verdana" w:hAnsi="Verdana" w:cs="Arial"/>
          <w:sz w:val="20"/>
          <w:szCs w:val="20"/>
        </w:rPr>
        <w:t xml:space="preserve"> y </w:t>
      </w:r>
      <w:r w:rsidR="006E1DA8">
        <w:rPr>
          <w:rFonts w:ascii="Verdana" w:hAnsi="Verdana" w:cs="Arial"/>
          <w:sz w:val="20"/>
          <w:szCs w:val="20"/>
        </w:rPr>
        <w:t xml:space="preserve">que </w:t>
      </w:r>
      <w:r w:rsidR="002624BF" w:rsidRPr="00693F09">
        <w:rPr>
          <w:rFonts w:ascii="Verdana" w:hAnsi="Verdana" w:cs="Arial"/>
          <w:sz w:val="20"/>
          <w:szCs w:val="20"/>
        </w:rPr>
        <w:t>constataron las lesiones que había sufrido</w:t>
      </w:r>
      <w:r w:rsidR="005C116B">
        <w:rPr>
          <w:rFonts w:ascii="Verdana" w:hAnsi="Verdana" w:cs="Arial"/>
          <w:sz w:val="20"/>
          <w:szCs w:val="20"/>
        </w:rPr>
        <w:t xml:space="preserve"> durante su privación de libertad</w:t>
      </w:r>
      <w:r w:rsidR="002362E7" w:rsidRPr="00693F09">
        <w:rPr>
          <w:rStyle w:val="Refdenotaalpie"/>
          <w:rFonts w:ascii="Verdana" w:hAnsi="Verdana" w:cs="Arial"/>
          <w:sz w:val="20"/>
          <w:szCs w:val="20"/>
        </w:rPr>
        <w:footnoteReference w:id="27"/>
      </w:r>
      <w:r w:rsidR="00343971" w:rsidRPr="00693F09">
        <w:rPr>
          <w:rFonts w:ascii="Verdana" w:hAnsi="Verdana" w:cs="Arial"/>
          <w:sz w:val="20"/>
          <w:szCs w:val="20"/>
        </w:rPr>
        <w:t>.</w:t>
      </w:r>
      <w:r w:rsidR="00C04143" w:rsidRPr="00693F09">
        <w:rPr>
          <w:rFonts w:ascii="Verdana" w:hAnsi="Verdana" w:cs="Arial"/>
          <w:sz w:val="20"/>
          <w:szCs w:val="16"/>
        </w:rPr>
        <w:t xml:space="preserve"> </w:t>
      </w:r>
      <w:r w:rsidR="00C04143" w:rsidRPr="00693F09">
        <w:rPr>
          <w:rFonts w:ascii="Verdana" w:hAnsi="Verdana" w:cs="Arial"/>
          <w:sz w:val="20"/>
          <w:szCs w:val="20"/>
        </w:rPr>
        <w:t xml:space="preserve">Además, en relación con dichas investigaciones, </w:t>
      </w:r>
      <w:r w:rsidR="006E1DA8">
        <w:rPr>
          <w:rFonts w:ascii="Verdana" w:hAnsi="Verdana" w:cs="Arial"/>
          <w:sz w:val="20"/>
          <w:szCs w:val="20"/>
        </w:rPr>
        <w:t xml:space="preserve">Ecuador </w:t>
      </w:r>
      <w:r w:rsidR="00C04143" w:rsidRPr="00693F09">
        <w:rPr>
          <w:rFonts w:ascii="Verdana" w:hAnsi="Verdana" w:cs="Arial"/>
          <w:sz w:val="20"/>
          <w:szCs w:val="20"/>
        </w:rPr>
        <w:t xml:space="preserve">señaló que </w:t>
      </w:r>
      <w:r w:rsidR="00C04143" w:rsidRPr="00693F09">
        <w:rPr>
          <w:rFonts w:ascii="Verdana" w:hAnsi="Verdana"/>
          <w:sz w:val="20"/>
          <w:szCs w:val="16"/>
        </w:rPr>
        <w:t>“a más tardar la segunda semana de mayo de 2012” se emitiría el “</w:t>
      </w:r>
      <w:r w:rsidR="00751AAB">
        <w:rPr>
          <w:rFonts w:ascii="Verdana" w:hAnsi="Verdana"/>
          <w:sz w:val="20"/>
          <w:szCs w:val="16"/>
        </w:rPr>
        <w:t>[</w:t>
      </w:r>
      <w:r w:rsidR="00C04143" w:rsidRPr="00693F09">
        <w:rPr>
          <w:rFonts w:ascii="Verdana" w:hAnsi="Verdana"/>
          <w:sz w:val="20"/>
          <w:szCs w:val="16"/>
        </w:rPr>
        <w:t>d</w:t>
      </w:r>
      <w:r w:rsidR="00751AAB">
        <w:rPr>
          <w:rFonts w:ascii="Verdana" w:hAnsi="Verdana"/>
          <w:sz w:val="20"/>
          <w:szCs w:val="16"/>
        </w:rPr>
        <w:t>]</w:t>
      </w:r>
      <w:proofErr w:type="spellStart"/>
      <w:r w:rsidR="00C04143" w:rsidRPr="00693F09">
        <w:rPr>
          <w:rFonts w:ascii="Verdana" w:hAnsi="Verdana"/>
          <w:sz w:val="20"/>
          <w:szCs w:val="16"/>
        </w:rPr>
        <w:t>ictamen</w:t>
      </w:r>
      <w:proofErr w:type="spellEnd"/>
      <w:r w:rsidR="00C04143" w:rsidRPr="00693F09">
        <w:rPr>
          <w:rFonts w:ascii="Verdana" w:hAnsi="Verdana"/>
          <w:sz w:val="20"/>
          <w:szCs w:val="16"/>
        </w:rPr>
        <w:t xml:space="preserve"> </w:t>
      </w:r>
      <w:r w:rsidR="00751AAB">
        <w:rPr>
          <w:rFonts w:ascii="Verdana" w:hAnsi="Verdana"/>
          <w:sz w:val="20"/>
          <w:szCs w:val="16"/>
        </w:rPr>
        <w:t>[</w:t>
      </w:r>
      <w:r w:rsidR="00C04143" w:rsidRPr="00693F09">
        <w:rPr>
          <w:rFonts w:ascii="Verdana" w:hAnsi="Verdana"/>
          <w:sz w:val="20"/>
          <w:szCs w:val="16"/>
        </w:rPr>
        <w:t>f</w:t>
      </w:r>
      <w:r w:rsidR="00751AAB">
        <w:rPr>
          <w:rFonts w:ascii="Verdana" w:hAnsi="Verdana"/>
          <w:sz w:val="20"/>
          <w:szCs w:val="16"/>
        </w:rPr>
        <w:t>]</w:t>
      </w:r>
      <w:r w:rsidR="00C04143" w:rsidRPr="00693F09">
        <w:rPr>
          <w:rFonts w:ascii="Verdana" w:hAnsi="Verdana"/>
          <w:sz w:val="20"/>
          <w:szCs w:val="16"/>
        </w:rPr>
        <w:t xml:space="preserve">iscal” en el cual “se </w:t>
      </w:r>
      <w:proofErr w:type="gramStart"/>
      <w:r w:rsidR="00C04143" w:rsidRPr="00693F09">
        <w:rPr>
          <w:rFonts w:ascii="Verdana" w:hAnsi="Verdana"/>
          <w:sz w:val="20"/>
          <w:szCs w:val="16"/>
        </w:rPr>
        <w:t>proceder[</w:t>
      </w:r>
      <w:proofErr w:type="spellStart"/>
      <w:proofErr w:type="gramEnd"/>
      <w:r w:rsidR="00C04143" w:rsidRPr="00693F09">
        <w:rPr>
          <w:rFonts w:ascii="Verdana" w:hAnsi="Verdana"/>
          <w:sz w:val="20"/>
          <w:szCs w:val="16"/>
        </w:rPr>
        <w:t>ía</w:t>
      </w:r>
      <w:proofErr w:type="spellEnd"/>
      <w:r w:rsidR="00C04143" w:rsidRPr="00693F09">
        <w:rPr>
          <w:rFonts w:ascii="Verdana" w:hAnsi="Verdana"/>
          <w:sz w:val="20"/>
          <w:szCs w:val="16"/>
        </w:rPr>
        <w:t>] a solicitar al […] Juez de Garantías Penales de Pichincha día y hora para formular cargos en contra de varios ciudadanos sobre los cuales existen graves fundamentos”.</w:t>
      </w:r>
      <w:r w:rsidR="00C04143" w:rsidRPr="00693F09">
        <w:rPr>
          <w:rFonts w:ascii="Verdana" w:hAnsi="Verdana"/>
          <w:b/>
          <w:sz w:val="20"/>
          <w:szCs w:val="16"/>
        </w:rPr>
        <w:t xml:space="preserve"> </w:t>
      </w:r>
      <w:r w:rsidR="00C04143" w:rsidRPr="00693F09">
        <w:rPr>
          <w:rFonts w:ascii="Verdana" w:hAnsi="Verdana"/>
          <w:sz w:val="20"/>
          <w:szCs w:val="16"/>
        </w:rPr>
        <w:t xml:space="preserve">Posteriormente, en sus informes de septiembre de 2012 y febrero de 2015 el Estado </w:t>
      </w:r>
      <w:r w:rsidR="006A5728">
        <w:rPr>
          <w:rFonts w:ascii="Verdana" w:hAnsi="Verdana"/>
          <w:sz w:val="20"/>
          <w:szCs w:val="16"/>
        </w:rPr>
        <w:t xml:space="preserve">comunicó que habían sido nombrados </w:t>
      </w:r>
      <w:r w:rsidR="00C04143" w:rsidRPr="00693F09">
        <w:rPr>
          <w:rFonts w:ascii="Verdana" w:hAnsi="Verdana"/>
          <w:sz w:val="20"/>
          <w:szCs w:val="16"/>
        </w:rPr>
        <w:t xml:space="preserve">nuevos fiscales a cargo de esta indagación previa. </w:t>
      </w:r>
    </w:p>
    <w:p w:rsidR="00C04143" w:rsidRPr="00693F09" w:rsidRDefault="00C04143" w:rsidP="00C0414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s="Arial"/>
          <w:sz w:val="20"/>
          <w:szCs w:val="20"/>
        </w:rPr>
      </w:pPr>
      <w:r w:rsidRPr="00C26F45">
        <w:rPr>
          <w:rFonts w:ascii="Verdana" w:hAnsi="Verdana"/>
          <w:sz w:val="20"/>
          <w:szCs w:val="16"/>
        </w:rPr>
        <w:t xml:space="preserve">Por otra parte, </w:t>
      </w:r>
      <w:r w:rsidRPr="00C26F45">
        <w:rPr>
          <w:rFonts w:ascii="Verdana" w:hAnsi="Verdana"/>
          <w:i/>
          <w:sz w:val="20"/>
          <w:szCs w:val="16"/>
        </w:rPr>
        <w:t>Ecuador</w:t>
      </w:r>
      <w:r w:rsidRPr="00C26F45">
        <w:rPr>
          <w:rFonts w:ascii="Verdana" w:hAnsi="Verdana"/>
          <w:sz w:val="20"/>
          <w:szCs w:val="16"/>
        </w:rPr>
        <w:t xml:space="preserve"> también </w:t>
      </w:r>
      <w:r w:rsidRPr="00C26F45">
        <w:rPr>
          <w:rFonts w:ascii="Verdana" w:hAnsi="Verdana" w:cs="Arial"/>
          <w:sz w:val="20"/>
          <w:szCs w:val="20"/>
        </w:rPr>
        <w:t>se refirió a la dificultad para presentar información sobre la investigación</w:t>
      </w:r>
      <w:r w:rsidR="00DA2F7E" w:rsidRPr="00C26F45">
        <w:rPr>
          <w:rFonts w:ascii="Verdana" w:hAnsi="Verdana" w:cs="Arial"/>
          <w:sz w:val="20"/>
          <w:szCs w:val="20"/>
        </w:rPr>
        <w:t>, con base en</w:t>
      </w:r>
      <w:r w:rsidRPr="00C26F45">
        <w:rPr>
          <w:rFonts w:ascii="Verdana" w:hAnsi="Verdana" w:cs="Arial"/>
          <w:sz w:val="20"/>
          <w:szCs w:val="20"/>
        </w:rPr>
        <w:t xml:space="preserve"> que, según lo dispuesto en el artículo 215 del Código de Procedimiento Penal, las actuaciones de la indagación previa son de carácter reservado con respecto a terceros ajenos a ésta</w:t>
      </w:r>
      <w:r w:rsidRPr="00C26F45">
        <w:rPr>
          <w:rStyle w:val="Refdenotaalpie"/>
          <w:rFonts w:ascii="Verdana" w:hAnsi="Verdana" w:cs="Arial"/>
          <w:sz w:val="20"/>
          <w:szCs w:val="20"/>
        </w:rPr>
        <w:footnoteReference w:id="28"/>
      </w:r>
      <w:r w:rsidRPr="00C26F45">
        <w:rPr>
          <w:rFonts w:ascii="Verdana" w:hAnsi="Verdana" w:cs="Arial"/>
          <w:sz w:val="20"/>
          <w:szCs w:val="20"/>
        </w:rPr>
        <w:t xml:space="preserve">. </w:t>
      </w:r>
      <w:r w:rsidR="009C6DB2" w:rsidRPr="00C26F45">
        <w:rPr>
          <w:rFonts w:ascii="Verdana" w:hAnsi="Verdana" w:cs="Arial"/>
          <w:sz w:val="20"/>
          <w:szCs w:val="20"/>
        </w:rPr>
        <w:t xml:space="preserve">Como anexo a su informe de </w:t>
      </w:r>
      <w:r w:rsidR="00303891" w:rsidRPr="00C26F45">
        <w:rPr>
          <w:rFonts w:ascii="Verdana" w:hAnsi="Verdana" w:cs="Arial"/>
          <w:sz w:val="20"/>
          <w:szCs w:val="20"/>
        </w:rPr>
        <w:t>marzo de 2016</w:t>
      </w:r>
      <w:r w:rsidR="009C6DB2" w:rsidRPr="00C26F45">
        <w:rPr>
          <w:rFonts w:ascii="Verdana" w:hAnsi="Verdana" w:cs="Arial"/>
          <w:sz w:val="20"/>
          <w:szCs w:val="20"/>
        </w:rPr>
        <w:t>, Ecuador presentó</w:t>
      </w:r>
      <w:r w:rsidR="009C6DB2" w:rsidRPr="0002177E">
        <w:rPr>
          <w:rFonts w:ascii="Verdana" w:hAnsi="Verdana" w:cs="Arial"/>
          <w:sz w:val="20"/>
          <w:szCs w:val="20"/>
        </w:rPr>
        <w:t xml:space="preserve"> un</w:t>
      </w:r>
      <w:r w:rsidR="009C6DB2">
        <w:rPr>
          <w:rFonts w:ascii="Verdana" w:hAnsi="Verdana" w:cs="Arial"/>
          <w:sz w:val="20"/>
          <w:szCs w:val="20"/>
        </w:rPr>
        <w:t xml:space="preserve"> oficio,</w:t>
      </w:r>
      <w:r w:rsidR="009C6DB2" w:rsidRPr="0002177E">
        <w:rPr>
          <w:rFonts w:ascii="Verdana" w:hAnsi="Verdana" w:cs="Arial"/>
          <w:sz w:val="20"/>
          <w:szCs w:val="20"/>
        </w:rPr>
        <w:t xml:space="preserve"> de una página</w:t>
      </w:r>
      <w:r w:rsidR="009C6DB2">
        <w:rPr>
          <w:rFonts w:ascii="Verdana" w:hAnsi="Verdana" w:cs="Arial"/>
          <w:sz w:val="20"/>
          <w:szCs w:val="20"/>
        </w:rPr>
        <w:t>,</w:t>
      </w:r>
      <w:r w:rsidR="009C6DB2" w:rsidRPr="0002177E">
        <w:rPr>
          <w:rFonts w:ascii="Verdana" w:hAnsi="Verdana" w:cs="Arial"/>
          <w:sz w:val="20"/>
          <w:szCs w:val="20"/>
        </w:rPr>
        <w:t xml:space="preserve"> suscrito por </w:t>
      </w:r>
      <w:r w:rsidR="009C6DB2">
        <w:rPr>
          <w:rFonts w:ascii="Verdana" w:hAnsi="Verdana" w:cs="Arial"/>
          <w:sz w:val="20"/>
          <w:szCs w:val="20"/>
        </w:rPr>
        <w:t xml:space="preserve">el </w:t>
      </w:r>
      <w:r w:rsidR="009C6DB2" w:rsidRPr="0002177E">
        <w:rPr>
          <w:rFonts w:ascii="Verdana" w:hAnsi="Verdana"/>
          <w:sz w:val="20"/>
        </w:rPr>
        <w:t>Director de la Comisión de la Verdad y Derechos Humanos de la Fiscalía General del Estado</w:t>
      </w:r>
      <w:r w:rsidR="0086115E">
        <w:rPr>
          <w:rFonts w:ascii="Verdana" w:hAnsi="Verdana"/>
          <w:sz w:val="20"/>
        </w:rPr>
        <w:t>,</w:t>
      </w:r>
      <w:r w:rsidR="009C6DB2" w:rsidRPr="0002177E">
        <w:rPr>
          <w:rFonts w:ascii="Verdana" w:hAnsi="Verdana"/>
          <w:sz w:val="20"/>
        </w:rPr>
        <w:t xml:space="preserve"> </w:t>
      </w:r>
      <w:r w:rsidR="009C6DB2">
        <w:rPr>
          <w:rFonts w:ascii="Verdana" w:hAnsi="Verdana"/>
          <w:sz w:val="20"/>
        </w:rPr>
        <w:t xml:space="preserve">en el cual hace referencia a </w:t>
      </w:r>
      <w:r w:rsidR="00175033">
        <w:rPr>
          <w:rFonts w:ascii="Verdana" w:hAnsi="Verdana"/>
          <w:sz w:val="20"/>
        </w:rPr>
        <w:t xml:space="preserve">esa misma </w:t>
      </w:r>
      <w:r w:rsidR="009C6DB2">
        <w:rPr>
          <w:rFonts w:ascii="Verdana" w:hAnsi="Verdana"/>
          <w:sz w:val="20"/>
        </w:rPr>
        <w:t>norma procesal penal</w:t>
      </w:r>
      <w:r w:rsidR="0086115E">
        <w:rPr>
          <w:rFonts w:ascii="Verdana" w:hAnsi="Verdana"/>
          <w:sz w:val="20"/>
        </w:rPr>
        <w:t>,</w:t>
      </w:r>
      <w:r w:rsidR="009C6DB2">
        <w:rPr>
          <w:rFonts w:ascii="Verdana" w:hAnsi="Verdana"/>
          <w:sz w:val="20"/>
        </w:rPr>
        <w:t xml:space="preserve"> </w:t>
      </w:r>
      <w:r w:rsidR="0086115E">
        <w:rPr>
          <w:rFonts w:ascii="Verdana" w:hAnsi="Verdana"/>
          <w:sz w:val="20"/>
        </w:rPr>
        <w:t xml:space="preserve">sin mencionar para cuándo se prevé concluir esta etapa de investigación y, en cuanto a avances en la misma, tan solo incluye dos párrafos en que se </w:t>
      </w:r>
      <w:r w:rsidR="0086115E">
        <w:rPr>
          <w:rFonts w:ascii="Verdana" w:hAnsi="Verdana"/>
          <w:sz w:val="20"/>
        </w:rPr>
        <w:lastRenderedPageBreak/>
        <w:t>refiere de forma</w:t>
      </w:r>
      <w:r w:rsidR="00303891">
        <w:rPr>
          <w:rFonts w:ascii="Verdana" w:hAnsi="Verdana"/>
          <w:sz w:val="20"/>
        </w:rPr>
        <w:t xml:space="preserve"> muy</w:t>
      </w:r>
      <w:r w:rsidR="0086115E">
        <w:rPr>
          <w:rFonts w:ascii="Verdana" w:hAnsi="Verdana"/>
          <w:sz w:val="20"/>
        </w:rPr>
        <w:t xml:space="preserve"> general a </w:t>
      </w:r>
      <w:r w:rsidR="00175033">
        <w:rPr>
          <w:rFonts w:ascii="Verdana" w:hAnsi="Verdana"/>
          <w:sz w:val="20"/>
        </w:rPr>
        <w:t xml:space="preserve">los </w:t>
      </w:r>
      <w:r w:rsidR="0086115E">
        <w:rPr>
          <w:rFonts w:ascii="Verdana" w:hAnsi="Verdana"/>
          <w:sz w:val="20"/>
        </w:rPr>
        <w:t>tipos de diligencias efectuadas</w:t>
      </w:r>
      <w:r w:rsidR="00303891">
        <w:rPr>
          <w:rFonts w:ascii="Verdana" w:hAnsi="Verdana"/>
          <w:sz w:val="20"/>
        </w:rPr>
        <w:t xml:space="preserve"> en la indagación previa</w:t>
      </w:r>
      <w:r w:rsidR="00175033">
        <w:rPr>
          <w:rStyle w:val="Refdenotaalpie"/>
          <w:rFonts w:ascii="Verdana" w:hAnsi="Verdana"/>
          <w:sz w:val="20"/>
        </w:rPr>
        <w:footnoteReference w:id="29"/>
      </w:r>
      <w:r w:rsidR="009C6DB2">
        <w:rPr>
          <w:rFonts w:ascii="Verdana" w:hAnsi="Verdana"/>
          <w:sz w:val="20"/>
        </w:rPr>
        <w:t xml:space="preserve">. </w:t>
      </w:r>
      <w:r w:rsidRPr="00693F09">
        <w:rPr>
          <w:rFonts w:ascii="Verdana" w:hAnsi="Verdana" w:cs="Arial"/>
          <w:sz w:val="20"/>
          <w:szCs w:val="20"/>
        </w:rPr>
        <w:t xml:space="preserve">En ese sentido, </w:t>
      </w:r>
      <w:r w:rsidR="009C6DB2">
        <w:rPr>
          <w:rFonts w:ascii="Verdana" w:hAnsi="Verdana" w:cs="Arial"/>
          <w:sz w:val="20"/>
          <w:szCs w:val="20"/>
        </w:rPr>
        <w:t xml:space="preserve">el </w:t>
      </w:r>
      <w:r w:rsidR="009C6DB2" w:rsidRPr="00303891">
        <w:rPr>
          <w:rFonts w:ascii="Verdana" w:hAnsi="Verdana" w:cs="Arial"/>
          <w:i/>
          <w:sz w:val="20"/>
          <w:szCs w:val="20"/>
        </w:rPr>
        <w:t>Estado</w:t>
      </w:r>
      <w:r w:rsidR="009C6DB2">
        <w:rPr>
          <w:rFonts w:ascii="Verdana" w:hAnsi="Verdana" w:cs="Arial"/>
          <w:sz w:val="20"/>
          <w:szCs w:val="20"/>
        </w:rPr>
        <w:t xml:space="preserve"> </w:t>
      </w:r>
      <w:r w:rsidRPr="00693F09">
        <w:rPr>
          <w:rFonts w:ascii="Verdana" w:hAnsi="Verdana" w:cs="Arial"/>
          <w:sz w:val="20"/>
          <w:szCs w:val="20"/>
        </w:rPr>
        <w:t xml:space="preserve">alegó que el Ministerio de Justicia, Derechos Humanos y Cultos “no puede recibir información del caso” ya que “no </w:t>
      </w:r>
      <w:r w:rsidR="00B3793A">
        <w:rPr>
          <w:rFonts w:ascii="Verdana" w:hAnsi="Verdana" w:cs="Arial"/>
          <w:sz w:val="20"/>
          <w:szCs w:val="20"/>
        </w:rPr>
        <w:t>[</w:t>
      </w:r>
      <w:r w:rsidRPr="00693F09">
        <w:rPr>
          <w:rFonts w:ascii="Verdana" w:hAnsi="Verdana" w:cs="Arial"/>
          <w:sz w:val="20"/>
          <w:szCs w:val="20"/>
        </w:rPr>
        <w:t>es</w:t>
      </w:r>
      <w:r w:rsidR="00B3793A">
        <w:rPr>
          <w:rFonts w:ascii="Verdana" w:hAnsi="Verdana" w:cs="Arial"/>
          <w:sz w:val="20"/>
          <w:szCs w:val="20"/>
        </w:rPr>
        <w:t>]</w:t>
      </w:r>
      <w:r w:rsidRPr="00693F09">
        <w:rPr>
          <w:rFonts w:ascii="Verdana" w:hAnsi="Verdana" w:cs="Arial"/>
          <w:sz w:val="20"/>
          <w:szCs w:val="20"/>
        </w:rPr>
        <w:t xml:space="preserve"> parte procesal dentro del procedimiento” de investigación, y que la información presentada a este Tribunal es la que ha conseguido a través de la intervención de la Defensoría del Pueblo de Ecuador</w:t>
      </w:r>
      <w:r w:rsidRPr="00693F09">
        <w:rPr>
          <w:rStyle w:val="Refdenotaalpie"/>
          <w:rFonts w:ascii="Verdana" w:hAnsi="Verdana" w:cs="Arial"/>
          <w:sz w:val="20"/>
          <w:szCs w:val="20"/>
        </w:rPr>
        <w:footnoteReference w:id="30"/>
      </w:r>
      <w:r w:rsidRPr="00693F09">
        <w:rPr>
          <w:rFonts w:ascii="Verdana" w:hAnsi="Verdana" w:cs="Arial"/>
          <w:sz w:val="20"/>
          <w:szCs w:val="20"/>
        </w:rPr>
        <w:t>.</w:t>
      </w:r>
      <w:r w:rsidR="00F679AA">
        <w:rPr>
          <w:rFonts w:ascii="Verdana" w:hAnsi="Verdana" w:cs="Arial"/>
          <w:b/>
          <w:sz w:val="16"/>
          <w:szCs w:val="16"/>
        </w:rPr>
        <w:t xml:space="preserve"> </w:t>
      </w:r>
    </w:p>
    <w:p w:rsidR="00391D24" w:rsidRDefault="000A7113" w:rsidP="003E7130">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693F09">
        <w:rPr>
          <w:rFonts w:ascii="Verdana" w:hAnsi="Verdana"/>
          <w:sz w:val="20"/>
          <w:szCs w:val="20"/>
        </w:rPr>
        <w:t xml:space="preserve">Esta Corte </w:t>
      </w:r>
      <w:r w:rsidR="00C10DF0" w:rsidRPr="00693F09">
        <w:rPr>
          <w:rFonts w:ascii="Verdana" w:hAnsi="Verdana"/>
          <w:sz w:val="20"/>
          <w:szCs w:val="20"/>
        </w:rPr>
        <w:t xml:space="preserve">valora positivamente que el Estado haya adoptado el importante paso de iniciar una investigación por los hechos </w:t>
      </w:r>
      <w:r w:rsidR="00391D24">
        <w:rPr>
          <w:rFonts w:ascii="Verdana" w:hAnsi="Verdana"/>
          <w:sz w:val="20"/>
          <w:szCs w:val="20"/>
        </w:rPr>
        <w:t>del presente caso</w:t>
      </w:r>
      <w:r w:rsidR="00C10DF0" w:rsidRPr="00693F09">
        <w:rPr>
          <w:rFonts w:ascii="Verdana" w:hAnsi="Verdana"/>
          <w:sz w:val="20"/>
          <w:szCs w:val="20"/>
        </w:rPr>
        <w:t xml:space="preserve">. </w:t>
      </w:r>
      <w:r w:rsidR="00720520" w:rsidRPr="00693F09">
        <w:rPr>
          <w:rFonts w:ascii="Verdana" w:hAnsi="Verdana"/>
          <w:sz w:val="20"/>
          <w:szCs w:val="20"/>
        </w:rPr>
        <w:t xml:space="preserve">Asimismo, </w:t>
      </w:r>
      <w:r w:rsidR="009D07AE">
        <w:rPr>
          <w:rFonts w:ascii="Verdana" w:hAnsi="Verdana"/>
          <w:sz w:val="20"/>
          <w:szCs w:val="20"/>
        </w:rPr>
        <w:t>el Tribunal</w:t>
      </w:r>
      <w:r w:rsidR="00720520" w:rsidRPr="00693F09">
        <w:rPr>
          <w:rFonts w:ascii="Verdana" w:hAnsi="Verdana"/>
          <w:sz w:val="20"/>
          <w:szCs w:val="20"/>
        </w:rPr>
        <w:t xml:space="preserve"> toma nota de las diligencias </w:t>
      </w:r>
      <w:r w:rsidR="00575CEB">
        <w:rPr>
          <w:rFonts w:ascii="Verdana" w:hAnsi="Verdana"/>
          <w:sz w:val="20"/>
          <w:szCs w:val="20"/>
        </w:rPr>
        <w:t xml:space="preserve">y acciones </w:t>
      </w:r>
      <w:r w:rsidR="00720520" w:rsidRPr="00693F09">
        <w:rPr>
          <w:rFonts w:ascii="Verdana" w:hAnsi="Verdana"/>
          <w:sz w:val="20"/>
          <w:szCs w:val="20"/>
        </w:rPr>
        <w:t>emprendidas en el marco de la indagación previa con el fin de recabar información sobre los hechos</w:t>
      </w:r>
      <w:r w:rsidR="006E1DA8">
        <w:rPr>
          <w:rFonts w:ascii="Verdana" w:hAnsi="Verdana"/>
          <w:sz w:val="20"/>
          <w:szCs w:val="20"/>
        </w:rPr>
        <w:t xml:space="preserve"> ocurridos al señor Tibi</w:t>
      </w:r>
      <w:r w:rsidR="00360DAC">
        <w:rPr>
          <w:rFonts w:ascii="Verdana" w:hAnsi="Verdana"/>
          <w:sz w:val="20"/>
          <w:szCs w:val="20"/>
        </w:rPr>
        <w:t>, en particular</w:t>
      </w:r>
      <w:r w:rsidR="00391D24">
        <w:rPr>
          <w:rFonts w:ascii="Verdana" w:hAnsi="Verdana"/>
          <w:sz w:val="20"/>
          <w:szCs w:val="20"/>
        </w:rPr>
        <w:t>,</w:t>
      </w:r>
      <w:r w:rsidR="00360DAC">
        <w:rPr>
          <w:rFonts w:ascii="Verdana" w:hAnsi="Verdana"/>
          <w:sz w:val="20"/>
          <w:szCs w:val="20"/>
        </w:rPr>
        <w:t xml:space="preserve"> de aquellas llevadas a cabo para</w:t>
      </w:r>
      <w:r w:rsidR="00720520" w:rsidRPr="00693F09">
        <w:rPr>
          <w:rFonts w:ascii="Verdana" w:hAnsi="Verdana"/>
          <w:sz w:val="20"/>
          <w:szCs w:val="20"/>
        </w:rPr>
        <w:t xml:space="preserve"> determinar a los posibles responsables </w:t>
      </w:r>
      <w:r w:rsidR="00E27F5B" w:rsidRPr="00693F09">
        <w:rPr>
          <w:rFonts w:ascii="Verdana" w:hAnsi="Verdana"/>
          <w:sz w:val="20"/>
          <w:szCs w:val="20"/>
        </w:rPr>
        <w:t xml:space="preserve">de los hechos relacionados con </w:t>
      </w:r>
      <w:r w:rsidR="00391D24">
        <w:rPr>
          <w:rFonts w:ascii="Verdana" w:hAnsi="Verdana"/>
          <w:sz w:val="20"/>
          <w:szCs w:val="20"/>
        </w:rPr>
        <w:t>su detención</w:t>
      </w:r>
      <w:r w:rsidR="00391D24">
        <w:rPr>
          <w:rFonts w:ascii="Verdana" w:hAnsi="Verdana" w:cs="Arial"/>
          <w:sz w:val="20"/>
          <w:szCs w:val="20"/>
        </w:rPr>
        <w:t xml:space="preserve"> </w:t>
      </w:r>
      <w:r w:rsidR="00360DAC">
        <w:rPr>
          <w:rFonts w:ascii="Verdana" w:hAnsi="Verdana" w:cs="Arial"/>
          <w:sz w:val="20"/>
          <w:szCs w:val="20"/>
        </w:rPr>
        <w:t>arbitraria</w:t>
      </w:r>
      <w:r w:rsidR="00320C4E" w:rsidRPr="00693F09">
        <w:rPr>
          <w:rFonts w:ascii="Verdana" w:hAnsi="Verdana" w:cs="Arial"/>
          <w:sz w:val="20"/>
          <w:szCs w:val="20"/>
        </w:rPr>
        <w:t xml:space="preserve">, el procesos penal seguido en su contra y </w:t>
      </w:r>
      <w:r w:rsidR="00320C4E" w:rsidRPr="00693F09">
        <w:rPr>
          <w:rFonts w:ascii="Verdana" w:hAnsi="Verdana"/>
          <w:sz w:val="20"/>
          <w:szCs w:val="16"/>
        </w:rPr>
        <w:t>el conocimiento de los recursos por él interpuestos</w:t>
      </w:r>
      <w:r w:rsidR="00320C4E" w:rsidRPr="00320C4E">
        <w:rPr>
          <w:rFonts w:ascii="Verdana" w:hAnsi="Verdana"/>
          <w:sz w:val="20"/>
          <w:szCs w:val="16"/>
        </w:rPr>
        <w:t xml:space="preserve"> </w:t>
      </w:r>
      <w:r w:rsidR="00720520" w:rsidRPr="00320C4E">
        <w:rPr>
          <w:rFonts w:ascii="Verdana" w:hAnsi="Verdana"/>
          <w:sz w:val="20"/>
          <w:szCs w:val="20"/>
        </w:rPr>
        <w:t>(</w:t>
      </w:r>
      <w:r w:rsidR="00720520" w:rsidRPr="00320C4E">
        <w:rPr>
          <w:rFonts w:ascii="Verdana" w:hAnsi="Verdana"/>
          <w:i/>
          <w:sz w:val="20"/>
          <w:szCs w:val="20"/>
        </w:rPr>
        <w:t>supra</w:t>
      </w:r>
      <w:r w:rsidR="00720520" w:rsidRPr="00320C4E">
        <w:rPr>
          <w:rFonts w:ascii="Verdana" w:hAnsi="Verdana"/>
          <w:sz w:val="20"/>
          <w:szCs w:val="20"/>
        </w:rPr>
        <w:t xml:space="preserve"> Considerando </w:t>
      </w:r>
      <w:r w:rsidR="00391D24">
        <w:rPr>
          <w:rFonts w:ascii="Verdana" w:hAnsi="Verdana"/>
          <w:sz w:val="20"/>
          <w:szCs w:val="20"/>
        </w:rPr>
        <w:t>6</w:t>
      </w:r>
      <w:r w:rsidR="00391D24" w:rsidRPr="00320C4E">
        <w:rPr>
          <w:rFonts w:ascii="Verdana" w:hAnsi="Verdana"/>
          <w:sz w:val="20"/>
          <w:szCs w:val="20"/>
        </w:rPr>
        <w:t>).</w:t>
      </w:r>
      <w:r w:rsidR="00391D24" w:rsidRPr="00720520">
        <w:rPr>
          <w:rFonts w:ascii="Verdana" w:hAnsi="Verdana"/>
          <w:sz w:val="20"/>
          <w:szCs w:val="20"/>
        </w:rPr>
        <w:t xml:space="preserve"> </w:t>
      </w:r>
    </w:p>
    <w:p w:rsidR="004C6B5D" w:rsidRDefault="00E87EA2" w:rsidP="004C6B5D">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4C6B5D">
        <w:rPr>
          <w:rFonts w:ascii="Verdana" w:hAnsi="Verdana"/>
          <w:sz w:val="20"/>
          <w:szCs w:val="20"/>
        </w:rPr>
        <w:t>No obstante</w:t>
      </w:r>
      <w:r w:rsidR="00391D24" w:rsidRPr="004C6B5D">
        <w:rPr>
          <w:rFonts w:ascii="Verdana" w:hAnsi="Verdana"/>
          <w:sz w:val="20"/>
          <w:szCs w:val="20"/>
        </w:rPr>
        <w:t xml:space="preserve"> lo anterior</w:t>
      </w:r>
      <w:r w:rsidRPr="004C6B5D">
        <w:rPr>
          <w:rFonts w:ascii="Verdana" w:hAnsi="Verdana"/>
          <w:sz w:val="20"/>
          <w:szCs w:val="20"/>
        </w:rPr>
        <w:t xml:space="preserve">, </w:t>
      </w:r>
      <w:r w:rsidR="00FA3304" w:rsidRPr="004C6B5D">
        <w:rPr>
          <w:rFonts w:ascii="Verdana" w:hAnsi="Verdana"/>
          <w:sz w:val="20"/>
          <w:szCs w:val="20"/>
        </w:rPr>
        <w:t>este Tribunal advierte que</w:t>
      </w:r>
      <w:r w:rsidR="00CF42CF" w:rsidRPr="004C6B5D">
        <w:rPr>
          <w:rFonts w:ascii="Verdana" w:hAnsi="Verdana"/>
          <w:sz w:val="20"/>
          <w:szCs w:val="20"/>
        </w:rPr>
        <w:t xml:space="preserve">, tal como </w:t>
      </w:r>
      <w:r w:rsidR="009D07AE">
        <w:rPr>
          <w:rFonts w:ascii="Verdana" w:hAnsi="Verdana"/>
          <w:sz w:val="20"/>
          <w:szCs w:val="20"/>
        </w:rPr>
        <w:t xml:space="preserve">lo </w:t>
      </w:r>
      <w:r w:rsidR="00CF42CF" w:rsidRPr="004C6B5D">
        <w:rPr>
          <w:rFonts w:ascii="Verdana" w:hAnsi="Verdana"/>
          <w:sz w:val="20"/>
          <w:szCs w:val="20"/>
        </w:rPr>
        <w:t xml:space="preserve">hicieron notar los </w:t>
      </w:r>
      <w:r w:rsidR="00CF42CF" w:rsidRPr="004C6B5D">
        <w:rPr>
          <w:rFonts w:ascii="Verdana" w:hAnsi="Verdana"/>
          <w:i/>
          <w:sz w:val="20"/>
          <w:szCs w:val="20"/>
        </w:rPr>
        <w:t>representantes de las víctimas</w:t>
      </w:r>
      <w:r w:rsidR="00CF42CF" w:rsidRPr="004C6B5D">
        <w:rPr>
          <w:rStyle w:val="Refdenotaalpie"/>
          <w:rFonts w:ascii="Verdana" w:hAnsi="Verdana"/>
          <w:i/>
          <w:sz w:val="20"/>
          <w:szCs w:val="20"/>
        </w:rPr>
        <w:footnoteReference w:id="31"/>
      </w:r>
      <w:r w:rsidR="00CF42CF" w:rsidRPr="004C6B5D">
        <w:rPr>
          <w:rFonts w:ascii="Verdana" w:hAnsi="Verdana"/>
          <w:sz w:val="20"/>
          <w:szCs w:val="20"/>
        </w:rPr>
        <w:t>,</w:t>
      </w:r>
      <w:r w:rsidR="00FA3304" w:rsidRPr="004C6B5D">
        <w:rPr>
          <w:rFonts w:ascii="Verdana" w:hAnsi="Verdana"/>
          <w:sz w:val="20"/>
          <w:szCs w:val="20"/>
        </w:rPr>
        <w:t xml:space="preserve"> </w:t>
      </w:r>
      <w:r w:rsidR="00720520" w:rsidRPr="004C6B5D">
        <w:rPr>
          <w:rFonts w:ascii="Verdana" w:hAnsi="Verdana"/>
          <w:sz w:val="20"/>
          <w:szCs w:val="20"/>
        </w:rPr>
        <w:t xml:space="preserve">la mayoría de </w:t>
      </w:r>
      <w:r w:rsidR="00391D24" w:rsidRPr="004C6B5D">
        <w:rPr>
          <w:rFonts w:ascii="Verdana" w:hAnsi="Verdana"/>
          <w:sz w:val="20"/>
          <w:szCs w:val="20"/>
        </w:rPr>
        <w:t>las</w:t>
      </w:r>
      <w:r w:rsidR="00720520" w:rsidRPr="004C6B5D">
        <w:rPr>
          <w:rFonts w:ascii="Verdana" w:hAnsi="Verdana"/>
          <w:sz w:val="20"/>
          <w:szCs w:val="20"/>
        </w:rPr>
        <w:t xml:space="preserve"> diligencias</w:t>
      </w:r>
      <w:r w:rsidR="00391D24" w:rsidRPr="004C6B5D">
        <w:rPr>
          <w:rFonts w:ascii="Verdana" w:hAnsi="Verdana"/>
          <w:sz w:val="20"/>
          <w:szCs w:val="20"/>
        </w:rPr>
        <w:t xml:space="preserve"> de la indagación previa referidas por el Estado </w:t>
      </w:r>
      <w:r w:rsidRPr="004C6B5D">
        <w:rPr>
          <w:rFonts w:ascii="Verdana" w:hAnsi="Verdana"/>
          <w:sz w:val="20"/>
          <w:szCs w:val="20"/>
        </w:rPr>
        <w:t xml:space="preserve">se realizaron </w:t>
      </w:r>
      <w:r w:rsidR="004866D6" w:rsidRPr="004C6B5D">
        <w:rPr>
          <w:rFonts w:ascii="Verdana" w:hAnsi="Verdana"/>
          <w:sz w:val="20"/>
          <w:szCs w:val="20"/>
        </w:rPr>
        <w:t>hace cinco años</w:t>
      </w:r>
      <w:r w:rsidR="00391D24" w:rsidRPr="004C6B5D">
        <w:rPr>
          <w:rFonts w:ascii="Verdana" w:hAnsi="Verdana"/>
          <w:sz w:val="20"/>
          <w:szCs w:val="20"/>
        </w:rPr>
        <w:t xml:space="preserve">, es decir, en el 2011. Ecuador no </w:t>
      </w:r>
      <w:r w:rsidR="00391D24" w:rsidRPr="004C6B5D">
        <w:rPr>
          <w:rFonts w:ascii="Verdana" w:hAnsi="Verdana" w:cs="Arial"/>
          <w:sz w:val="20"/>
          <w:szCs w:val="20"/>
        </w:rPr>
        <w:t xml:space="preserve">se ha referido al estado actual de la indagación </w:t>
      </w:r>
      <w:r w:rsidR="00391D24" w:rsidRPr="004C6B5D">
        <w:rPr>
          <w:rFonts w:ascii="Verdana" w:hAnsi="Verdana"/>
          <w:sz w:val="20"/>
          <w:szCs w:val="16"/>
        </w:rPr>
        <w:t>previa ni ha detallado las diligencias realizadas entre el 2011 y la actualidad.</w:t>
      </w:r>
      <w:r w:rsidR="00E71802">
        <w:rPr>
          <w:rFonts w:ascii="Verdana" w:hAnsi="Verdana"/>
          <w:sz w:val="20"/>
          <w:szCs w:val="16"/>
        </w:rPr>
        <w:t xml:space="preserve"> Tampoco ha informado que las </w:t>
      </w:r>
      <w:r w:rsidR="00391D24" w:rsidRPr="004C6B5D">
        <w:rPr>
          <w:rFonts w:ascii="Verdana" w:hAnsi="Verdana"/>
          <w:sz w:val="20"/>
          <w:szCs w:val="16"/>
        </w:rPr>
        <w:t xml:space="preserve">diligencias que se realizaron y la toma de </w:t>
      </w:r>
      <w:r w:rsidR="009D07AE">
        <w:rPr>
          <w:rFonts w:ascii="Verdana" w:hAnsi="Verdana"/>
          <w:sz w:val="20"/>
          <w:szCs w:val="16"/>
        </w:rPr>
        <w:t xml:space="preserve">las </w:t>
      </w:r>
      <w:r w:rsidR="00391D24" w:rsidRPr="004C6B5D">
        <w:rPr>
          <w:rFonts w:ascii="Verdana" w:hAnsi="Verdana"/>
          <w:sz w:val="20"/>
          <w:szCs w:val="16"/>
        </w:rPr>
        <w:t>“versiones” de distintas personas</w:t>
      </w:r>
      <w:r w:rsidR="009D07AE">
        <w:rPr>
          <w:rFonts w:ascii="Verdana" w:hAnsi="Verdana"/>
          <w:sz w:val="20"/>
          <w:szCs w:val="16"/>
        </w:rPr>
        <w:t xml:space="preserve"> (</w:t>
      </w:r>
      <w:r w:rsidR="009D07AE" w:rsidRPr="00CF07CC">
        <w:rPr>
          <w:rFonts w:ascii="Verdana" w:hAnsi="Verdana"/>
          <w:i/>
          <w:sz w:val="20"/>
          <w:szCs w:val="16"/>
        </w:rPr>
        <w:t>supra</w:t>
      </w:r>
      <w:r w:rsidR="009D07AE">
        <w:rPr>
          <w:rFonts w:ascii="Verdana" w:hAnsi="Verdana"/>
          <w:sz w:val="20"/>
          <w:szCs w:val="16"/>
        </w:rPr>
        <w:t xml:space="preserve"> Considerando 6)</w:t>
      </w:r>
      <w:r w:rsidR="00391D24" w:rsidRPr="004C6B5D">
        <w:rPr>
          <w:rFonts w:ascii="Verdana" w:hAnsi="Verdana"/>
          <w:sz w:val="20"/>
          <w:szCs w:val="16"/>
        </w:rPr>
        <w:t xml:space="preserve"> hayan derivado en la acusación o enjuiciamiento de algún posible responsable de las violaciones cometidas contra el señor Tibi. </w:t>
      </w:r>
      <w:r w:rsidR="004C6B5D" w:rsidRPr="004C6B5D">
        <w:rPr>
          <w:rFonts w:ascii="Verdana" w:hAnsi="Verdana"/>
          <w:sz w:val="20"/>
          <w:szCs w:val="16"/>
        </w:rPr>
        <w:t xml:space="preserve">Con respecto a este punto, la Corte hace notar que Ecuador no ha indicado que </w:t>
      </w:r>
      <w:r w:rsidR="00963B1F">
        <w:rPr>
          <w:rFonts w:ascii="Verdana" w:hAnsi="Verdana"/>
          <w:sz w:val="20"/>
          <w:szCs w:val="16"/>
        </w:rPr>
        <w:t>el proceso</w:t>
      </w:r>
      <w:r w:rsidR="004C6B5D" w:rsidRPr="004C6B5D">
        <w:rPr>
          <w:rFonts w:ascii="Verdana" w:hAnsi="Verdana"/>
          <w:sz w:val="20"/>
          <w:szCs w:val="16"/>
        </w:rPr>
        <w:t xml:space="preserve"> haya avanzado a otra etapa. El Estado sostuvo en mayo de 2012 que se emitiría el “dictamen fiscal” y</w:t>
      </w:r>
      <w:r w:rsidR="009D07AE">
        <w:rPr>
          <w:rFonts w:ascii="Verdana" w:hAnsi="Verdana"/>
          <w:sz w:val="20"/>
          <w:szCs w:val="16"/>
        </w:rPr>
        <w:t xml:space="preserve"> que</w:t>
      </w:r>
      <w:r w:rsidR="004C6B5D" w:rsidRPr="004C6B5D">
        <w:rPr>
          <w:rFonts w:ascii="Verdana" w:hAnsi="Verdana"/>
          <w:sz w:val="20"/>
          <w:szCs w:val="16"/>
        </w:rPr>
        <w:t xml:space="preserve"> se realizaría la “formulación de cargos respecto de varios ciudadanos” (</w:t>
      </w:r>
      <w:r w:rsidR="004C6B5D" w:rsidRPr="004C6B5D">
        <w:rPr>
          <w:rFonts w:ascii="Verdana" w:hAnsi="Verdana"/>
          <w:i/>
          <w:sz w:val="20"/>
          <w:szCs w:val="16"/>
        </w:rPr>
        <w:t>supra</w:t>
      </w:r>
      <w:r w:rsidR="004C6B5D" w:rsidRPr="004C6B5D">
        <w:rPr>
          <w:rFonts w:ascii="Verdana" w:hAnsi="Verdana"/>
          <w:sz w:val="20"/>
          <w:szCs w:val="16"/>
        </w:rPr>
        <w:t xml:space="preserve"> Considerando 6), pero hasta la fecha no ha aportado información específica y actualizada sobre ello. Asimismo, </w:t>
      </w:r>
      <w:r w:rsidR="009D07AE">
        <w:rPr>
          <w:rFonts w:ascii="Verdana" w:hAnsi="Verdana"/>
          <w:sz w:val="20"/>
          <w:szCs w:val="16"/>
        </w:rPr>
        <w:t>se</w:t>
      </w:r>
      <w:r w:rsidR="004C6B5D" w:rsidRPr="004C6B5D">
        <w:rPr>
          <w:rFonts w:ascii="Verdana" w:hAnsi="Verdana"/>
          <w:sz w:val="20"/>
          <w:szCs w:val="16"/>
        </w:rPr>
        <w:t xml:space="preserve"> advierte que la última información con la que cuenta este Tribunal sobre la indagación previa se refiere a los cambios de fiscales a cargo de la misma, </w:t>
      </w:r>
      <w:r w:rsidR="009D07AE">
        <w:rPr>
          <w:rFonts w:ascii="Verdana" w:hAnsi="Verdana"/>
          <w:sz w:val="20"/>
          <w:szCs w:val="16"/>
        </w:rPr>
        <w:t>los cuales</w:t>
      </w:r>
      <w:r w:rsidR="009D07AE" w:rsidRPr="004C6B5D">
        <w:rPr>
          <w:rFonts w:ascii="Verdana" w:hAnsi="Verdana"/>
          <w:sz w:val="20"/>
          <w:szCs w:val="16"/>
        </w:rPr>
        <w:t xml:space="preserve"> </w:t>
      </w:r>
      <w:r w:rsidR="004C6B5D" w:rsidRPr="004C6B5D">
        <w:rPr>
          <w:rFonts w:ascii="Verdana" w:hAnsi="Verdana"/>
          <w:sz w:val="20"/>
          <w:szCs w:val="16"/>
        </w:rPr>
        <w:t>se habrían realizado en septiembre de 2012 y febrero de 2015 (</w:t>
      </w:r>
      <w:r w:rsidR="004C6B5D" w:rsidRPr="004C6B5D">
        <w:rPr>
          <w:rFonts w:ascii="Verdana" w:hAnsi="Verdana"/>
          <w:i/>
          <w:sz w:val="20"/>
          <w:szCs w:val="16"/>
        </w:rPr>
        <w:t>supra</w:t>
      </w:r>
      <w:r w:rsidR="004C6B5D" w:rsidRPr="004C6B5D">
        <w:rPr>
          <w:rFonts w:ascii="Verdana" w:hAnsi="Verdana"/>
          <w:sz w:val="20"/>
          <w:szCs w:val="16"/>
        </w:rPr>
        <w:t xml:space="preserve"> Considerando 6). Preocupa</w:t>
      </w:r>
      <w:r w:rsidR="009D07AE">
        <w:rPr>
          <w:rFonts w:ascii="Verdana" w:hAnsi="Verdana"/>
          <w:sz w:val="20"/>
          <w:szCs w:val="16"/>
        </w:rPr>
        <w:t xml:space="preserve"> a la Corte</w:t>
      </w:r>
      <w:r w:rsidR="004C6B5D" w:rsidRPr="004C6B5D">
        <w:rPr>
          <w:rFonts w:ascii="Verdana" w:hAnsi="Verdana"/>
          <w:sz w:val="20"/>
          <w:szCs w:val="16"/>
        </w:rPr>
        <w:t xml:space="preserve"> que tales cambios hubieren demorado la culminación de la etapa de investigación, por lo que se requiere una explicación del Estado al respecto.</w:t>
      </w:r>
    </w:p>
    <w:p w:rsidR="00320C4E" w:rsidRPr="004C6B5D" w:rsidRDefault="004C6B5D" w:rsidP="004C6B5D">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4C6B5D">
        <w:rPr>
          <w:rFonts w:ascii="Verdana" w:hAnsi="Verdana"/>
          <w:sz w:val="20"/>
          <w:szCs w:val="20"/>
        </w:rPr>
        <w:t xml:space="preserve">Adicionalmente, </w:t>
      </w:r>
      <w:r w:rsidR="00E27F5B" w:rsidRPr="004C6B5D">
        <w:rPr>
          <w:rFonts w:ascii="Verdana" w:hAnsi="Verdana"/>
          <w:sz w:val="20"/>
          <w:szCs w:val="16"/>
        </w:rPr>
        <w:t xml:space="preserve">este Tribunal </w:t>
      </w:r>
      <w:r w:rsidRPr="004C6B5D">
        <w:rPr>
          <w:rFonts w:ascii="Verdana" w:hAnsi="Verdana"/>
          <w:sz w:val="20"/>
          <w:szCs w:val="16"/>
        </w:rPr>
        <w:t xml:space="preserve">estima pertinente enfatizar </w:t>
      </w:r>
      <w:r w:rsidR="00B106F4" w:rsidRPr="004C6B5D">
        <w:rPr>
          <w:rFonts w:ascii="Verdana" w:hAnsi="Verdana"/>
          <w:sz w:val="20"/>
          <w:szCs w:val="16"/>
        </w:rPr>
        <w:t xml:space="preserve">la </w:t>
      </w:r>
      <w:r w:rsidR="009D07AE">
        <w:rPr>
          <w:rFonts w:ascii="Verdana" w:hAnsi="Verdana"/>
          <w:sz w:val="20"/>
          <w:szCs w:val="16"/>
        </w:rPr>
        <w:t>falta</w:t>
      </w:r>
      <w:r w:rsidR="009D07AE" w:rsidRPr="004C6B5D">
        <w:rPr>
          <w:rFonts w:ascii="Verdana" w:hAnsi="Verdana"/>
          <w:sz w:val="20"/>
          <w:szCs w:val="16"/>
        </w:rPr>
        <w:t xml:space="preserve"> </w:t>
      </w:r>
      <w:r w:rsidR="00B106F4" w:rsidRPr="004C6B5D">
        <w:rPr>
          <w:rFonts w:ascii="Verdana" w:hAnsi="Verdana"/>
          <w:sz w:val="20"/>
          <w:szCs w:val="16"/>
        </w:rPr>
        <w:t>de</w:t>
      </w:r>
      <w:r w:rsidR="00E27F5B" w:rsidRPr="004C6B5D">
        <w:rPr>
          <w:rFonts w:ascii="Verdana" w:hAnsi="Verdana"/>
          <w:sz w:val="20"/>
          <w:szCs w:val="16"/>
        </w:rPr>
        <w:t xml:space="preserve"> avances en cuanto a la investigaci</w:t>
      </w:r>
      <w:r w:rsidR="003E7130" w:rsidRPr="004C6B5D">
        <w:rPr>
          <w:rFonts w:ascii="Verdana" w:hAnsi="Verdana"/>
          <w:sz w:val="20"/>
          <w:szCs w:val="16"/>
        </w:rPr>
        <w:t xml:space="preserve">ón </w:t>
      </w:r>
      <w:r w:rsidR="00320C4E" w:rsidRPr="004C6B5D">
        <w:rPr>
          <w:rFonts w:ascii="Verdana" w:hAnsi="Verdana"/>
          <w:sz w:val="20"/>
          <w:szCs w:val="16"/>
        </w:rPr>
        <w:t xml:space="preserve">de los hechos relativos a la tortura que sufrió el señor Tibi durante su detención, ya que las acciones emprendidas </w:t>
      </w:r>
      <w:r w:rsidR="00D433CF">
        <w:rPr>
          <w:rFonts w:ascii="Verdana" w:hAnsi="Verdana"/>
          <w:sz w:val="20"/>
          <w:szCs w:val="16"/>
        </w:rPr>
        <w:t>hasta el momento</w:t>
      </w:r>
      <w:r w:rsidR="00320C4E" w:rsidRPr="004C6B5D">
        <w:rPr>
          <w:rFonts w:ascii="Verdana" w:hAnsi="Verdana"/>
          <w:sz w:val="20"/>
          <w:szCs w:val="16"/>
        </w:rPr>
        <w:t xml:space="preserve"> se habrían limitado</w:t>
      </w:r>
      <w:r w:rsidR="00B106F4" w:rsidRPr="004C6B5D">
        <w:rPr>
          <w:rFonts w:ascii="Verdana" w:hAnsi="Verdana"/>
          <w:sz w:val="20"/>
          <w:szCs w:val="16"/>
        </w:rPr>
        <w:t xml:space="preserve"> </w:t>
      </w:r>
      <w:r w:rsidR="00320C4E" w:rsidRPr="004C6B5D">
        <w:rPr>
          <w:rFonts w:ascii="Verdana" w:hAnsi="Verdana"/>
          <w:sz w:val="20"/>
          <w:szCs w:val="16"/>
        </w:rPr>
        <w:t xml:space="preserve">a </w:t>
      </w:r>
      <w:r w:rsidR="00693F09" w:rsidRPr="004C6B5D">
        <w:rPr>
          <w:rFonts w:ascii="Verdana" w:hAnsi="Verdana"/>
          <w:sz w:val="20"/>
          <w:szCs w:val="16"/>
        </w:rPr>
        <w:t xml:space="preserve">dos solicitudes de información sobre los guías penitenciarios que laboraron en la ex Penitenciaría del Litoral al momento de los hechos y sobre el estado de salud del señor Tibi al momento en que ingresó a dicha Penitenciaría, y a una “solicitud de asistencia penal internacional a autoridades competentes en Francia” </w:t>
      </w:r>
      <w:r w:rsidR="009150C6" w:rsidRPr="004C6B5D">
        <w:rPr>
          <w:rFonts w:ascii="Verdana" w:hAnsi="Verdana"/>
          <w:sz w:val="20"/>
          <w:szCs w:val="16"/>
        </w:rPr>
        <w:t>para tomar la declaración de los médicos que valoraron al señor Tibi en ese país</w:t>
      </w:r>
      <w:r w:rsidR="00B106F4" w:rsidRPr="004C6B5D">
        <w:rPr>
          <w:rFonts w:ascii="Verdana" w:hAnsi="Verdana"/>
          <w:sz w:val="20"/>
          <w:szCs w:val="16"/>
        </w:rPr>
        <w:t xml:space="preserve"> (</w:t>
      </w:r>
      <w:r w:rsidR="00B106F4" w:rsidRPr="00CF07CC">
        <w:rPr>
          <w:rFonts w:ascii="Verdana" w:hAnsi="Verdana"/>
          <w:i/>
          <w:sz w:val="20"/>
          <w:szCs w:val="16"/>
        </w:rPr>
        <w:t>supra</w:t>
      </w:r>
      <w:r w:rsidR="00B106F4" w:rsidRPr="004C6B5D">
        <w:rPr>
          <w:rFonts w:ascii="Verdana" w:hAnsi="Verdana"/>
          <w:sz w:val="20"/>
          <w:szCs w:val="16"/>
        </w:rPr>
        <w:t xml:space="preserve"> Considerando </w:t>
      </w:r>
      <w:r w:rsidR="00D433CF">
        <w:rPr>
          <w:rFonts w:ascii="Verdana" w:hAnsi="Verdana"/>
          <w:sz w:val="20"/>
          <w:szCs w:val="16"/>
        </w:rPr>
        <w:t>6</w:t>
      </w:r>
      <w:r w:rsidR="00B106F4" w:rsidRPr="004C6B5D">
        <w:rPr>
          <w:rFonts w:ascii="Verdana" w:hAnsi="Verdana"/>
          <w:sz w:val="20"/>
          <w:szCs w:val="16"/>
        </w:rPr>
        <w:t>)</w:t>
      </w:r>
      <w:r w:rsidR="009150C6" w:rsidRPr="004C6B5D">
        <w:rPr>
          <w:rFonts w:ascii="Verdana" w:hAnsi="Verdana"/>
          <w:sz w:val="20"/>
          <w:szCs w:val="16"/>
        </w:rPr>
        <w:t xml:space="preserve">. </w:t>
      </w:r>
      <w:r w:rsidR="00B106F4" w:rsidRPr="004C6B5D">
        <w:rPr>
          <w:rFonts w:ascii="Verdana" w:hAnsi="Verdana"/>
          <w:sz w:val="20"/>
          <w:szCs w:val="16"/>
        </w:rPr>
        <w:t xml:space="preserve">El Estado no ha informado si dichas solicitudes de información habrían permitido identificar a los </w:t>
      </w:r>
      <w:r w:rsidR="004159E5" w:rsidRPr="004C6B5D">
        <w:rPr>
          <w:rFonts w:ascii="Verdana" w:hAnsi="Verdana"/>
          <w:sz w:val="20"/>
          <w:szCs w:val="16"/>
        </w:rPr>
        <w:t>guardias de la cárcel que torturaron al señor Tibi</w:t>
      </w:r>
      <w:r w:rsidR="009C7543" w:rsidRPr="004C6B5D">
        <w:rPr>
          <w:rFonts w:ascii="Verdana" w:hAnsi="Verdana"/>
          <w:sz w:val="20"/>
          <w:szCs w:val="16"/>
        </w:rPr>
        <w:t xml:space="preserve">, </w:t>
      </w:r>
      <w:r w:rsidR="00963B1F">
        <w:rPr>
          <w:rFonts w:ascii="Verdana" w:hAnsi="Verdana"/>
          <w:sz w:val="20"/>
          <w:szCs w:val="16"/>
        </w:rPr>
        <w:t>ni</w:t>
      </w:r>
      <w:r w:rsidR="009C7543" w:rsidRPr="004C6B5D">
        <w:rPr>
          <w:rFonts w:ascii="Verdana" w:hAnsi="Verdana"/>
          <w:sz w:val="20"/>
          <w:szCs w:val="16"/>
        </w:rPr>
        <w:t xml:space="preserve"> si se habrían llevado a cabo nuevas diligencias con este fin</w:t>
      </w:r>
      <w:r w:rsidR="00BA0C90" w:rsidRPr="004C6B5D">
        <w:rPr>
          <w:rFonts w:ascii="Verdana" w:hAnsi="Verdana"/>
          <w:sz w:val="20"/>
          <w:szCs w:val="16"/>
        </w:rPr>
        <w:t>. Adicionalmente, en cuanto a la referida solicitud de asistencia penal internacional, la Corte advierte, con base en lo informado por el Estado, que su trámite se</w:t>
      </w:r>
      <w:r w:rsidR="009150C6" w:rsidRPr="004C6B5D">
        <w:rPr>
          <w:rFonts w:ascii="Verdana" w:hAnsi="Verdana"/>
          <w:sz w:val="20"/>
          <w:szCs w:val="16"/>
        </w:rPr>
        <w:t xml:space="preserve"> </w:t>
      </w:r>
      <w:r w:rsidR="00693F09" w:rsidRPr="004C6B5D">
        <w:rPr>
          <w:rFonts w:ascii="Verdana" w:hAnsi="Verdana"/>
          <w:sz w:val="20"/>
          <w:szCs w:val="16"/>
        </w:rPr>
        <w:t xml:space="preserve">encontraría pendiente </w:t>
      </w:r>
      <w:r w:rsidR="00693F09" w:rsidRPr="004C6B5D">
        <w:rPr>
          <w:rFonts w:ascii="Verdana" w:hAnsi="Verdana"/>
          <w:sz w:val="20"/>
          <w:szCs w:val="16"/>
        </w:rPr>
        <w:lastRenderedPageBreak/>
        <w:t xml:space="preserve">de concluir </w:t>
      </w:r>
      <w:r w:rsidR="009150C6" w:rsidRPr="004C6B5D">
        <w:rPr>
          <w:rFonts w:ascii="Verdana" w:hAnsi="Verdana"/>
          <w:sz w:val="20"/>
          <w:szCs w:val="16"/>
        </w:rPr>
        <w:t xml:space="preserve">desde septiembre de 2011, ya que las autoridades francesas habrían requerido que se les presentara determinada información sobre el “marco jurídico y […] la calificación jurídica de los hechos </w:t>
      </w:r>
      <w:proofErr w:type="gramStart"/>
      <w:r w:rsidR="009150C6" w:rsidRPr="004C6B5D">
        <w:rPr>
          <w:rFonts w:ascii="Verdana" w:hAnsi="Verdana"/>
          <w:sz w:val="20"/>
          <w:szCs w:val="16"/>
        </w:rPr>
        <w:t>demandados[</w:t>
      </w:r>
      <w:proofErr w:type="gramEnd"/>
      <w:r w:rsidR="009150C6" w:rsidRPr="004C6B5D">
        <w:rPr>
          <w:rFonts w:ascii="Verdana" w:hAnsi="Verdana"/>
          <w:sz w:val="20"/>
          <w:szCs w:val="16"/>
        </w:rPr>
        <w:t>,] entre otros temas</w:t>
      </w:r>
      <w:r w:rsidR="0009009E">
        <w:rPr>
          <w:rFonts w:ascii="Verdana" w:hAnsi="Verdana"/>
          <w:sz w:val="20"/>
          <w:szCs w:val="16"/>
        </w:rPr>
        <w:t>,</w:t>
      </w:r>
      <w:r w:rsidR="009150C6" w:rsidRPr="004C6B5D">
        <w:rPr>
          <w:rFonts w:ascii="Verdana" w:hAnsi="Verdana"/>
          <w:sz w:val="20"/>
          <w:szCs w:val="16"/>
        </w:rPr>
        <w:t xml:space="preserve"> […] a fin de prestar la asistencia internacional requerida”.</w:t>
      </w:r>
      <w:r w:rsidR="00320C4E" w:rsidRPr="004C6B5D">
        <w:rPr>
          <w:rFonts w:ascii="Verdana" w:hAnsi="Verdana"/>
          <w:sz w:val="20"/>
          <w:szCs w:val="16"/>
        </w:rPr>
        <w:t xml:space="preserve"> </w:t>
      </w:r>
      <w:r w:rsidR="00042F9D" w:rsidRPr="004C6B5D">
        <w:rPr>
          <w:rFonts w:ascii="Verdana" w:hAnsi="Verdana"/>
          <w:sz w:val="20"/>
          <w:szCs w:val="16"/>
        </w:rPr>
        <w:t>El avance en estas diligencias es relevante para la determinación de los</w:t>
      </w:r>
      <w:r w:rsidR="0009009E">
        <w:rPr>
          <w:rFonts w:ascii="Verdana" w:hAnsi="Verdana"/>
          <w:sz w:val="20"/>
          <w:szCs w:val="16"/>
        </w:rPr>
        <w:t xml:space="preserve"> posibles</w:t>
      </w:r>
      <w:r w:rsidR="00042F9D" w:rsidRPr="004C6B5D">
        <w:rPr>
          <w:rFonts w:ascii="Verdana" w:hAnsi="Verdana"/>
          <w:sz w:val="20"/>
          <w:szCs w:val="16"/>
        </w:rPr>
        <w:t xml:space="preserve"> responsables de </w:t>
      </w:r>
      <w:r w:rsidR="00D433CF">
        <w:rPr>
          <w:rFonts w:ascii="Verdana" w:hAnsi="Verdana"/>
          <w:sz w:val="20"/>
          <w:szCs w:val="16"/>
        </w:rPr>
        <w:t>los actos de tortura a los que estuvo sometido el señor Tibi durante su reclusión.</w:t>
      </w:r>
    </w:p>
    <w:p w:rsidR="00F20A26" w:rsidRPr="00F20A26" w:rsidRDefault="005E5DC5" w:rsidP="00F1688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BC4116">
        <w:rPr>
          <w:rFonts w:ascii="Verdana" w:hAnsi="Verdana"/>
          <w:sz w:val="20"/>
          <w:szCs w:val="16"/>
        </w:rPr>
        <w:t xml:space="preserve">Con base en lo anterior, la Corte advierte que la investigación por los hechos del presente caso se encuentra </w:t>
      </w:r>
      <w:r w:rsidR="00FA3304" w:rsidRPr="00BC4116">
        <w:rPr>
          <w:rFonts w:ascii="Verdana" w:hAnsi="Verdana" w:cs="Arial"/>
          <w:sz w:val="20"/>
          <w:szCs w:val="20"/>
        </w:rPr>
        <w:t>desde hace once años en etapa de indagación previa (</w:t>
      </w:r>
      <w:r w:rsidR="00FA3304" w:rsidRPr="00BC4116">
        <w:rPr>
          <w:rFonts w:ascii="Verdana" w:hAnsi="Verdana" w:cs="Arial"/>
          <w:i/>
          <w:sz w:val="20"/>
          <w:szCs w:val="20"/>
        </w:rPr>
        <w:t>supra</w:t>
      </w:r>
      <w:r w:rsidR="00FA3304" w:rsidRPr="00BC4116">
        <w:rPr>
          <w:rFonts w:ascii="Verdana" w:hAnsi="Verdana" w:cs="Arial"/>
          <w:sz w:val="20"/>
          <w:szCs w:val="20"/>
        </w:rPr>
        <w:t xml:space="preserve"> Considerando </w:t>
      </w:r>
      <w:r w:rsidR="00D433CF">
        <w:rPr>
          <w:rFonts w:ascii="Verdana" w:hAnsi="Verdana" w:cs="Arial"/>
          <w:sz w:val="20"/>
          <w:szCs w:val="20"/>
        </w:rPr>
        <w:t>6</w:t>
      </w:r>
      <w:r w:rsidR="00FA3304" w:rsidRPr="00BC4116">
        <w:rPr>
          <w:rFonts w:ascii="Verdana" w:hAnsi="Verdana" w:cs="Arial"/>
          <w:sz w:val="20"/>
          <w:szCs w:val="20"/>
        </w:rPr>
        <w:t>)</w:t>
      </w:r>
      <w:r w:rsidR="00D81A6C">
        <w:rPr>
          <w:rFonts w:ascii="Verdana" w:hAnsi="Verdana" w:cs="Arial"/>
          <w:sz w:val="20"/>
          <w:szCs w:val="20"/>
        </w:rPr>
        <w:t>,</w:t>
      </w:r>
      <w:r w:rsidR="00FA3304" w:rsidRPr="00BC4116">
        <w:rPr>
          <w:rFonts w:ascii="Verdana" w:hAnsi="Verdana" w:cs="Arial"/>
          <w:sz w:val="20"/>
          <w:szCs w:val="20"/>
        </w:rPr>
        <w:t xml:space="preserve"> </w:t>
      </w:r>
      <w:r w:rsidR="00FA3304" w:rsidRPr="00BC4116">
        <w:rPr>
          <w:rFonts w:ascii="Verdana" w:hAnsi="Verdana"/>
          <w:sz w:val="20"/>
          <w:szCs w:val="16"/>
        </w:rPr>
        <w:t xml:space="preserve">sin que de la información presentada por el Estado se pueda desprender que hayan avances </w:t>
      </w:r>
      <w:r w:rsidRPr="00BC4116">
        <w:rPr>
          <w:rFonts w:ascii="Verdana" w:hAnsi="Verdana"/>
          <w:sz w:val="20"/>
          <w:szCs w:val="16"/>
        </w:rPr>
        <w:t xml:space="preserve">sustanciales </w:t>
      </w:r>
      <w:r w:rsidR="00FA3304" w:rsidRPr="00BC4116">
        <w:rPr>
          <w:rFonts w:ascii="Verdana" w:hAnsi="Verdana"/>
          <w:sz w:val="20"/>
          <w:szCs w:val="16"/>
        </w:rPr>
        <w:t>en la identificación y acusación de posibles responsables</w:t>
      </w:r>
      <w:r w:rsidR="00A91D2B">
        <w:rPr>
          <w:rFonts w:ascii="Verdana" w:hAnsi="Verdana"/>
          <w:sz w:val="20"/>
          <w:szCs w:val="16"/>
        </w:rPr>
        <w:t>,</w:t>
      </w:r>
      <w:r w:rsidR="004F1568">
        <w:rPr>
          <w:rFonts w:ascii="Verdana" w:hAnsi="Verdana"/>
          <w:sz w:val="20"/>
          <w:szCs w:val="16"/>
        </w:rPr>
        <w:t xml:space="preserve"> que </w:t>
      </w:r>
      <w:r w:rsidR="004F1568" w:rsidRPr="00A7577B">
        <w:rPr>
          <w:rFonts w:ascii="Verdana" w:hAnsi="Verdana"/>
          <w:sz w:val="20"/>
          <w:szCs w:val="16"/>
        </w:rPr>
        <w:t>permita</w:t>
      </w:r>
      <w:r w:rsidR="0009009E">
        <w:rPr>
          <w:rFonts w:ascii="Verdana" w:hAnsi="Verdana"/>
          <w:sz w:val="20"/>
          <w:szCs w:val="16"/>
        </w:rPr>
        <w:t>n</w:t>
      </w:r>
      <w:r w:rsidR="004F1568" w:rsidRPr="00A7577B">
        <w:rPr>
          <w:rFonts w:ascii="Verdana" w:hAnsi="Verdana"/>
          <w:sz w:val="20"/>
          <w:szCs w:val="16"/>
        </w:rPr>
        <w:t xml:space="preserve"> </w:t>
      </w:r>
      <w:r w:rsidR="0009009E">
        <w:rPr>
          <w:rFonts w:ascii="Verdana" w:hAnsi="Verdana"/>
          <w:sz w:val="20"/>
          <w:szCs w:val="16"/>
        </w:rPr>
        <w:t>continuar</w:t>
      </w:r>
      <w:r w:rsidR="0009009E" w:rsidRPr="00A7577B">
        <w:rPr>
          <w:rFonts w:ascii="Verdana" w:hAnsi="Verdana"/>
          <w:sz w:val="20"/>
          <w:szCs w:val="16"/>
        </w:rPr>
        <w:t xml:space="preserve"> </w:t>
      </w:r>
      <w:r w:rsidR="004F1568" w:rsidRPr="00A7577B">
        <w:rPr>
          <w:rFonts w:ascii="Verdana" w:hAnsi="Verdana"/>
          <w:sz w:val="20"/>
          <w:szCs w:val="16"/>
        </w:rPr>
        <w:t>a otras etapas del proceso penal por</w:t>
      </w:r>
      <w:r w:rsidR="00FA3304" w:rsidRPr="00A7577B">
        <w:rPr>
          <w:rFonts w:ascii="Verdana" w:hAnsi="Verdana"/>
          <w:sz w:val="20"/>
          <w:szCs w:val="16"/>
        </w:rPr>
        <w:t xml:space="preserve"> las viol</w:t>
      </w:r>
      <w:r w:rsidRPr="00A7577B">
        <w:rPr>
          <w:rFonts w:ascii="Verdana" w:hAnsi="Verdana"/>
          <w:sz w:val="20"/>
          <w:szCs w:val="16"/>
        </w:rPr>
        <w:t xml:space="preserve">aciones ocurridas al </w:t>
      </w:r>
      <w:r w:rsidR="003570B7" w:rsidRPr="00A7577B">
        <w:rPr>
          <w:rFonts w:ascii="Verdana" w:hAnsi="Verdana"/>
          <w:sz w:val="20"/>
          <w:szCs w:val="16"/>
        </w:rPr>
        <w:t>s</w:t>
      </w:r>
      <w:r w:rsidRPr="00A7577B">
        <w:rPr>
          <w:rFonts w:ascii="Verdana" w:hAnsi="Verdana"/>
          <w:sz w:val="20"/>
          <w:szCs w:val="16"/>
        </w:rPr>
        <w:t>eñor Tibi.</w:t>
      </w:r>
      <w:r w:rsidR="00D433CF" w:rsidRPr="00A7577B">
        <w:rPr>
          <w:rFonts w:ascii="Verdana" w:hAnsi="Verdana"/>
          <w:sz w:val="20"/>
          <w:szCs w:val="16"/>
        </w:rPr>
        <w:t xml:space="preserve"> </w:t>
      </w:r>
      <w:r w:rsidR="00A91D2B">
        <w:rPr>
          <w:rFonts w:ascii="Verdana" w:hAnsi="Verdana"/>
          <w:sz w:val="20"/>
          <w:szCs w:val="16"/>
        </w:rPr>
        <w:t>R</w:t>
      </w:r>
      <w:r w:rsidR="00D433CF" w:rsidRPr="00707E5F">
        <w:rPr>
          <w:rFonts w:ascii="Verdana" w:hAnsi="Verdana"/>
          <w:sz w:val="20"/>
          <w:szCs w:val="16"/>
        </w:rPr>
        <w:t>eiteradamente</w:t>
      </w:r>
      <w:r w:rsidR="00FA3304" w:rsidRPr="00707E5F">
        <w:rPr>
          <w:rFonts w:ascii="Verdana" w:hAnsi="Verdana"/>
          <w:sz w:val="20"/>
          <w:szCs w:val="16"/>
        </w:rPr>
        <w:t xml:space="preserve"> </w:t>
      </w:r>
      <w:r w:rsidR="00D433CF" w:rsidRPr="00707E5F">
        <w:rPr>
          <w:rFonts w:ascii="Verdana" w:hAnsi="Verdana"/>
          <w:sz w:val="20"/>
          <w:szCs w:val="16"/>
        </w:rPr>
        <w:t xml:space="preserve">la </w:t>
      </w:r>
      <w:r w:rsidR="00D433CF" w:rsidRPr="00CF07CC">
        <w:rPr>
          <w:rFonts w:ascii="Verdana" w:hAnsi="Verdana"/>
          <w:i/>
          <w:sz w:val="20"/>
          <w:szCs w:val="16"/>
        </w:rPr>
        <w:t>Comisión Interamericana</w:t>
      </w:r>
      <w:r w:rsidR="00D433CF" w:rsidRPr="00707E5F">
        <w:rPr>
          <w:rStyle w:val="Refdenotaalpie"/>
          <w:rFonts w:ascii="Verdana" w:hAnsi="Verdana"/>
          <w:sz w:val="20"/>
          <w:szCs w:val="16"/>
        </w:rPr>
        <w:footnoteReference w:id="32"/>
      </w:r>
      <w:r w:rsidR="00A91D2B">
        <w:rPr>
          <w:rFonts w:ascii="Verdana" w:hAnsi="Verdana"/>
          <w:sz w:val="20"/>
          <w:szCs w:val="16"/>
        </w:rPr>
        <w:t>y</w:t>
      </w:r>
      <w:r w:rsidR="00D433CF" w:rsidRPr="00707E5F">
        <w:rPr>
          <w:rFonts w:ascii="Verdana" w:hAnsi="Verdana"/>
          <w:sz w:val="20"/>
          <w:szCs w:val="16"/>
        </w:rPr>
        <w:t xml:space="preserve"> los </w:t>
      </w:r>
      <w:r w:rsidR="00D433CF" w:rsidRPr="00CF07CC">
        <w:rPr>
          <w:rFonts w:ascii="Verdana" w:hAnsi="Verdana"/>
          <w:i/>
          <w:sz w:val="20"/>
          <w:szCs w:val="16"/>
        </w:rPr>
        <w:t xml:space="preserve">representantes </w:t>
      </w:r>
      <w:r w:rsidR="00A91D2B" w:rsidRPr="00CF07CC">
        <w:rPr>
          <w:rFonts w:ascii="Verdana" w:hAnsi="Verdana"/>
          <w:i/>
          <w:sz w:val="20"/>
          <w:szCs w:val="16"/>
        </w:rPr>
        <w:t>de la víctima</w:t>
      </w:r>
      <w:r w:rsidR="00A91D2B">
        <w:rPr>
          <w:rFonts w:ascii="Verdana" w:hAnsi="Verdana"/>
          <w:sz w:val="20"/>
          <w:szCs w:val="16"/>
        </w:rPr>
        <w:t xml:space="preserve"> han reclamado que los hechos del caso contin</w:t>
      </w:r>
      <w:r w:rsidR="00303891">
        <w:rPr>
          <w:rFonts w:ascii="Verdana" w:hAnsi="Verdana"/>
          <w:sz w:val="20"/>
          <w:szCs w:val="16"/>
        </w:rPr>
        <w:t>ú</w:t>
      </w:r>
      <w:r w:rsidR="00A91D2B">
        <w:rPr>
          <w:rFonts w:ascii="Verdana" w:hAnsi="Verdana"/>
          <w:sz w:val="20"/>
          <w:szCs w:val="16"/>
        </w:rPr>
        <w:t xml:space="preserve">an en la impunidad. Los representantes indicaron que </w:t>
      </w:r>
      <w:r w:rsidR="0009009E">
        <w:rPr>
          <w:rFonts w:ascii="Verdana" w:hAnsi="Verdana"/>
          <w:sz w:val="20"/>
          <w:szCs w:val="16"/>
        </w:rPr>
        <w:t xml:space="preserve">el señor Tibi </w:t>
      </w:r>
      <w:r w:rsidR="00D433CF" w:rsidRPr="00707E5F">
        <w:rPr>
          <w:rFonts w:ascii="Verdana" w:hAnsi="Verdana"/>
          <w:sz w:val="20"/>
          <w:szCs w:val="16"/>
        </w:rPr>
        <w:t>“</w:t>
      </w:r>
      <w:r w:rsidR="00D433CF" w:rsidRPr="00707E5F">
        <w:rPr>
          <w:rFonts w:ascii="Verdana" w:hAnsi="Verdana" w:cs="Arial"/>
          <w:sz w:val="20"/>
          <w:szCs w:val="20"/>
        </w:rPr>
        <w:t xml:space="preserve">ha expresado su profunda frustración y </w:t>
      </w:r>
      <w:proofErr w:type="spellStart"/>
      <w:r w:rsidR="00D433CF" w:rsidRPr="00707E5F">
        <w:rPr>
          <w:rFonts w:ascii="Verdana" w:hAnsi="Verdana" w:cs="Arial"/>
          <w:sz w:val="20"/>
          <w:szCs w:val="20"/>
        </w:rPr>
        <w:t>revictimización</w:t>
      </w:r>
      <w:proofErr w:type="spellEnd"/>
      <w:r w:rsidR="00D433CF" w:rsidRPr="00707E5F">
        <w:rPr>
          <w:rFonts w:ascii="Verdana" w:hAnsi="Verdana" w:cs="Arial"/>
          <w:sz w:val="20"/>
          <w:szCs w:val="20"/>
        </w:rPr>
        <w:t xml:space="preserve">” ante la impunidad de su caso y </w:t>
      </w:r>
      <w:r w:rsidR="007A35BC" w:rsidRPr="00707E5F">
        <w:rPr>
          <w:rFonts w:ascii="Verdana" w:hAnsi="Verdana" w:cs="Arial"/>
          <w:sz w:val="20"/>
          <w:szCs w:val="20"/>
        </w:rPr>
        <w:t xml:space="preserve">el incumplimiento </w:t>
      </w:r>
      <w:r w:rsidR="00D433CF" w:rsidRPr="00707E5F">
        <w:rPr>
          <w:rFonts w:ascii="Verdana" w:hAnsi="Verdana" w:cs="Arial"/>
          <w:sz w:val="20"/>
          <w:szCs w:val="20"/>
        </w:rPr>
        <w:t>de esta medida a pesar del tiempo trascurrido desde los hechos.</w:t>
      </w:r>
      <w:r w:rsidR="00D433CF" w:rsidRPr="00707E5F">
        <w:rPr>
          <w:rFonts w:ascii="Verdana" w:hAnsi="Verdana" w:cs="Arial"/>
          <w:b/>
          <w:sz w:val="16"/>
          <w:szCs w:val="16"/>
        </w:rPr>
        <w:t xml:space="preserve"> </w:t>
      </w:r>
      <w:r w:rsidR="007A35BC" w:rsidRPr="00A7577B">
        <w:rPr>
          <w:rFonts w:ascii="Verdana" w:hAnsi="Verdana"/>
          <w:sz w:val="20"/>
          <w:szCs w:val="16"/>
        </w:rPr>
        <w:t>Para la Corte e</w:t>
      </w:r>
      <w:r w:rsidR="00135F89" w:rsidRPr="00A7577B">
        <w:rPr>
          <w:rFonts w:ascii="Verdana" w:hAnsi="Verdana"/>
          <w:sz w:val="20"/>
          <w:szCs w:val="16"/>
        </w:rPr>
        <w:t>s totalmente</w:t>
      </w:r>
      <w:r w:rsidR="007A35BC" w:rsidRPr="00A7577B">
        <w:rPr>
          <w:rFonts w:ascii="Verdana" w:hAnsi="Verdana"/>
          <w:sz w:val="20"/>
          <w:szCs w:val="16"/>
        </w:rPr>
        <w:t xml:space="preserve"> </w:t>
      </w:r>
      <w:r w:rsidR="00135F89" w:rsidRPr="00A7577B">
        <w:rPr>
          <w:rFonts w:ascii="Verdana" w:hAnsi="Verdana"/>
          <w:sz w:val="20"/>
          <w:szCs w:val="16"/>
        </w:rPr>
        <w:t>inju</w:t>
      </w:r>
      <w:r w:rsidR="00547F4A" w:rsidRPr="00A7577B">
        <w:rPr>
          <w:rFonts w:ascii="Verdana" w:hAnsi="Verdana"/>
          <w:sz w:val="20"/>
          <w:szCs w:val="16"/>
        </w:rPr>
        <w:t>stificado que, para hechos como los que se investigan</w:t>
      </w:r>
      <w:r w:rsidR="00A91D2B">
        <w:rPr>
          <w:rFonts w:ascii="Verdana" w:hAnsi="Verdana"/>
          <w:sz w:val="20"/>
          <w:szCs w:val="16"/>
        </w:rPr>
        <w:t xml:space="preserve"> (</w:t>
      </w:r>
      <w:r w:rsidR="00A91D2B" w:rsidRPr="00303891">
        <w:rPr>
          <w:rFonts w:ascii="Verdana" w:hAnsi="Verdana"/>
          <w:i/>
          <w:sz w:val="20"/>
          <w:szCs w:val="16"/>
        </w:rPr>
        <w:t>supra</w:t>
      </w:r>
      <w:r w:rsidR="00A91D2B">
        <w:rPr>
          <w:rFonts w:ascii="Verdana" w:hAnsi="Verdana"/>
          <w:sz w:val="20"/>
          <w:szCs w:val="16"/>
        </w:rPr>
        <w:t xml:space="preserve"> Visto 1)</w:t>
      </w:r>
      <w:r w:rsidR="00547F4A" w:rsidRPr="00A7577B">
        <w:rPr>
          <w:rFonts w:ascii="Verdana" w:hAnsi="Verdana"/>
          <w:sz w:val="20"/>
          <w:szCs w:val="16"/>
        </w:rPr>
        <w:t>, el Estado haya demorado</w:t>
      </w:r>
      <w:r w:rsidR="00547F4A">
        <w:rPr>
          <w:rFonts w:ascii="Verdana" w:hAnsi="Verdana"/>
          <w:sz w:val="20"/>
          <w:szCs w:val="16"/>
        </w:rPr>
        <w:t xml:space="preserve"> once años en la etapa de investigación</w:t>
      </w:r>
      <w:r w:rsidR="0009009E">
        <w:rPr>
          <w:rFonts w:ascii="Verdana" w:hAnsi="Verdana"/>
          <w:sz w:val="20"/>
          <w:szCs w:val="16"/>
        </w:rPr>
        <w:t xml:space="preserve"> penal</w:t>
      </w:r>
      <w:r w:rsidR="00547F4A">
        <w:rPr>
          <w:rFonts w:ascii="Verdana" w:hAnsi="Verdana"/>
          <w:sz w:val="20"/>
          <w:szCs w:val="16"/>
        </w:rPr>
        <w:t xml:space="preserve">. </w:t>
      </w:r>
      <w:r w:rsidR="006B6135">
        <w:rPr>
          <w:rFonts w:ascii="Verdana" w:hAnsi="Verdana"/>
          <w:sz w:val="20"/>
          <w:szCs w:val="16"/>
        </w:rPr>
        <w:t>E</w:t>
      </w:r>
      <w:r w:rsidR="00A7577B">
        <w:rPr>
          <w:rFonts w:ascii="Verdana" w:hAnsi="Verdana"/>
          <w:sz w:val="20"/>
          <w:szCs w:val="16"/>
        </w:rPr>
        <w:t>s razonable afirmar</w:t>
      </w:r>
      <w:r w:rsidR="0009009E">
        <w:rPr>
          <w:rFonts w:ascii="Verdana" w:hAnsi="Verdana"/>
          <w:sz w:val="20"/>
          <w:szCs w:val="16"/>
        </w:rPr>
        <w:t>,</w:t>
      </w:r>
      <w:r w:rsidR="00A7577B">
        <w:rPr>
          <w:rFonts w:ascii="Verdana" w:hAnsi="Verdana"/>
          <w:sz w:val="20"/>
          <w:szCs w:val="16"/>
        </w:rPr>
        <w:t xml:space="preserve"> </w:t>
      </w:r>
      <w:r w:rsidR="0009009E">
        <w:rPr>
          <w:rFonts w:ascii="Verdana" w:hAnsi="Verdana"/>
          <w:sz w:val="20"/>
          <w:szCs w:val="16"/>
        </w:rPr>
        <w:t xml:space="preserve">por los hechos del presente caso, </w:t>
      </w:r>
      <w:r w:rsidR="00A7577B">
        <w:rPr>
          <w:rFonts w:ascii="Verdana" w:hAnsi="Verdana"/>
          <w:sz w:val="20"/>
          <w:szCs w:val="16"/>
        </w:rPr>
        <w:t>que</w:t>
      </w:r>
      <w:r w:rsidR="006B6135">
        <w:rPr>
          <w:rFonts w:ascii="Verdana" w:hAnsi="Verdana"/>
          <w:sz w:val="20"/>
          <w:szCs w:val="16"/>
        </w:rPr>
        <w:t xml:space="preserve"> </w:t>
      </w:r>
      <w:r w:rsidR="00A91D2B">
        <w:rPr>
          <w:rFonts w:ascii="Verdana" w:hAnsi="Verdana"/>
          <w:sz w:val="20"/>
          <w:szCs w:val="16"/>
        </w:rPr>
        <w:t xml:space="preserve">el </w:t>
      </w:r>
      <w:r w:rsidR="006B6135">
        <w:rPr>
          <w:rFonts w:ascii="Verdana" w:hAnsi="Verdana"/>
          <w:sz w:val="20"/>
          <w:szCs w:val="16"/>
        </w:rPr>
        <w:t>esclare</w:t>
      </w:r>
      <w:r w:rsidR="00A7577B">
        <w:rPr>
          <w:rFonts w:ascii="Verdana" w:hAnsi="Verdana"/>
          <w:sz w:val="20"/>
          <w:szCs w:val="16"/>
        </w:rPr>
        <w:t>ci</w:t>
      </w:r>
      <w:r w:rsidR="006B6135">
        <w:rPr>
          <w:rFonts w:ascii="Verdana" w:hAnsi="Verdana"/>
          <w:sz w:val="20"/>
          <w:szCs w:val="16"/>
        </w:rPr>
        <w:t>miento de cuáles agentes policiales, ministeriales y judiciales son responsables de las violaciones cometidas contra el señor Tibi (</w:t>
      </w:r>
      <w:r w:rsidR="006B6135" w:rsidRPr="006B6135">
        <w:rPr>
          <w:rFonts w:ascii="Verdana" w:hAnsi="Verdana"/>
          <w:i/>
          <w:sz w:val="20"/>
          <w:szCs w:val="16"/>
        </w:rPr>
        <w:t>supra</w:t>
      </w:r>
      <w:r w:rsidR="006B6135">
        <w:rPr>
          <w:rFonts w:ascii="Verdana" w:hAnsi="Verdana"/>
          <w:sz w:val="20"/>
          <w:szCs w:val="16"/>
        </w:rPr>
        <w:t xml:space="preserve"> Visto 1) no presenta un alto nivel de complejidad. </w:t>
      </w:r>
      <w:r w:rsidR="00014E1B">
        <w:rPr>
          <w:rFonts w:ascii="Verdana" w:hAnsi="Verdana"/>
          <w:sz w:val="20"/>
          <w:szCs w:val="16"/>
        </w:rPr>
        <w:t xml:space="preserve">Al respecto, los </w:t>
      </w:r>
      <w:r w:rsidR="00014E1B" w:rsidRPr="00014E1B">
        <w:rPr>
          <w:rFonts w:ascii="Verdana" w:hAnsi="Verdana"/>
          <w:i/>
          <w:sz w:val="20"/>
          <w:szCs w:val="16"/>
        </w:rPr>
        <w:t>representantes de las víctimas</w:t>
      </w:r>
      <w:r w:rsidR="00014E1B">
        <w:rPr>
          <w:rFonts w:ascii="Verdana" w:hAnsi="Verdana"/>
          <w:sz w:val="20"/>
          <w:szCs w:val="16"/>
        </w:rPr>
        <w:t xml:space="preserve"> han expresado que hay un</w:t>
      </w:r>
      <w:r w:rsidR="00014E1B" w:rsidRPr="00014E1B">
        <w:rPr>
          <w:rFonts w:ascii="Verdana" w:hAnsi="Verdana" w:cs="Arial"/>
          <w:sz w:val="20"/>
          <w:szCs w:val="20"/>
        </w:rPr>
        <w:t xml:space="preserve"> </w:t>
      </w:r>
      <w:r w:rsidR="00014E1B" w:rsidRPr="00693F09">
        <w:rPr>
          <w:rFonts w:ascii="Verdana" w:hAnsi="Verdana" w:cs="Arial"/>
          <w:sz w:val="20"/>
          <w:szCs w:val="20"/>
        </w:rPr>
        <w:t xml:space="preserve">incumplimiento de la presente </w:t>
      </w:r>
      <w:r w:rsidR="00014E1B">
        <w:rPr>
          <w:rFonts w:ascii="Verdana" w:hAnsi="Verdana" w:cs="Arial"/>
          <w:sz w:val="20"/>
          <w:szCs w:val="20"/>
        </w:rPr>
        <w:t>medida de reparación</w:t>
      </w:r>
      <w:r w:rsidR="00014E1B" w:rsidRPr="00693F09">
        <w:rPr>
          <w:rFonts w:ascii="Verdana" w:hAnsi="Verdana" w:cs="Arial"/>
          <w:sz w:val="20"/>
          <w:szCs w:val="20"/>
        </w:rPr>
        <w:t xml:space="preserve"> </w:t>
      </w:r>
      <w:r w:rsidR="00014E1B">
        <w:rPr>
          <w:rFonts w:ascii="Verdana" w:hAnsi="Verdana" w:cs="Arial"/>
          <w:sz w:val="20"/>
          <w:szCs w:val="20"/>
        </w:rPr>
        <w:t>“</w:t>
      </w:r>
      <w:r w:rsidR="00014E1B" w:rsidRPr="00693F09">
        <w:rPr>
          <w:rFonts w:ascii="Verdana" w:hAnsi="Verdana" w:cs="Arial"/>
          <w:sz w:val="20"/>
          <w:szCs w:val="20"/>
        </w:rPr>
        <w:t xml:space="preserve">pese a que […] los responsables de las violaciones </w:t>
      </w:r>
      <w:r w:rsidR="00B01195">
        <w:rPr>
          <w:rFonts w:ascii="Verdana" w:hAnsi="Verdana" w:cs="Arial"/>
          <w:sz w:val="20"/>
          <w:szCs w:val="20"/>
        </w:rPr>
        <w:t xml:space="preserve">[…] </w:t>
      </w:r>
      <w:r w:rsidR="00014E1B" w:rsidRPr="00693F09">
        <w:rPr>
          <w:rFonts w:ascii="Verdana" w:hAnsi="Verdana" w:cs="Arial"/>
          <w:sz w:val="20"/>
          <w:szCs w:val="20"/>
        </w:rPr>
        <w:t xml:space="preserve">contra el señor Tibi fueron plenamente identificados con diversas pruebas a lo largo del proceso </w:t>
      </w:r>
      <w:r w:rsidR="00B01195">
        <w:rPr>
          <w:rFonts w:ascii="Verdana" w:hAnsi="Verdana" w:cs="Arial"/>
          <w:sz w:val="20"/>
          <w:szCs w:val="20"/>
        </w:rPr>
        <w:t>[</w:t>
      </w:r>
      <w:r w:rsidR="00014E1B" w:rsidRPr="00693F09">
        <w:rPr>
          <w:rFonts w:ascii="Verdana" w:hAnsi="Verdana" w:cs="Arial"/>
          <w:sz w:val="20"/>
          <w:szCs w:val="20"/>
        </w:rPr>
        <w:t>a</w:t>
      </w:r>
      <w:r w:rsidR="00B01195">
        <w:rPr>
          <w:rFonts w:ascii="Verdana" w:hAnsi="Verdana" w:cs="Arial"/>
          <w:sz w:val="20"/>
          <w:szCs w:val="20"/>
        </w:rPr>
        <w:t>]</w:t>
      </w:r>
      <w:proofErr w:type="spellStart"/>
      <w:r w:rsidR="00014E1B" w:rsidRPr="00693F09">
        <w:rPr>
          <w:rFonts w:ascii="Verdana" w:hAnsi="Verdana" w:cs="Arial"/>
          <w:sz w:val="20"/>
          <w:szCs w:val="20"/>
        </w:rPr>
        <w:t>nte</w:t>
      </w:r>
      <w:proofErr w:type="spellEnd"/>
      <w:r w:rsidR="00014E1B" w:rsidRPr="00693F09">
        <w:rPr>
          <w:rFonts w:ascii="Verdana" w:hAnsi="Verdana" w:cs="Arial"/>
          <w:sz w:val="20"/>
          <w:szCs w:val="20"/>
        </w:rPr>
        <w:t xml:space="preserve"> la Corte”</w:t>
      </w:r>
      <w:r w:rsidR="00014E1B">
        <w:rPr>
          <w:rFonts w:ascii="Verdana" w:hAnsi="Verdana" w:cs="Arial"/>
          <w:sz w:val="20"/>
          <w:szCs w:val="20"/>
        </w:rPr>
        <w:t>.</w:t>
      </w:r>
      <w:r w:rsidR="00014E1B" w:rsidRPr="00693F09">
        <w:rPr>
          <w:rFonts w:ascii="Verdana" w:hAnsi="Verdana" w:cs="Arial"/>
          <w:sz w:val="20"/>
          <w:szCs w:val="20"/>
        </w:rPr>
        <w:t xml:space="preserve"> </w:t>
      </w:r>
    </w:p>
    <w:p w:rsidR="00F1688A" w:rsidRPr="00303891" w:rsidRDefault="00F1688A" w:rsidP="00EC26D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sidRPr="00303891">
        <w:rPr>
          <w:rFonts w:ascii="Verdana" w:hAnsi="Verdana" w:cs="Arial"/>
          <w:sz w:val="20"/>
          <w:szCs w:val="16"/>
        </w:rPr>
        <w:t xml:space="preserve">Dicha situación es </w:t>
      </w:r>
      <w:r w:rsidRPr="00303891">
        <w:rPr>
          <w:rFonts w:ascii="Verdana" w:hAnsi="Verdana"/>
          <w:sz w:val="20"/>
          <w:szCs w:val="20"/>
        </w:rPr>
        <w:t>grave puesto que</w:t>
      </w:r>
      <w:r w:rsidR="00A91D2B" w:rsidRPr="00303891">
        <w:rPr>
          <w:rFonts w:ascii="Verdana" w:hAnsi="Verdana"/>
          <w:sz w:val="20"/>
          <w:szCs w:val="20"/>
        </w:rPr>
        <w:t>,</w:t>
      </w:r>
      <w:r w:rsidRPr="00303891">
        <w:rPr>
          <w:rFonts w:ascii="Verdana" w:hAnsi="Verdana"/>
          <w:sz w:val="20"/>
          <w:szCs w:val="20"/>
        </w:rPr>
        <w:t xml:space="preserve"> </w:t>
      </w:r>
      <w:r w:rsidR="005E5DC5" w:rsidRPr="00303891">
        <w:rPr>
          <w:rFonts w:ascii="Verdana" w:hAnsi="Verdana"/>
          <w:sz w:val="20"/>
          <w:szCs w:val="16"/>
        </w:rPr>
        <w:t xml:space="preserve">habiendo transcurrido más de </w:t>
      </w:r>
      <w:r w:rsidR="005E5DC5" w:rsidRPr="00303891">
        <w:rPr>
          <w:rFonts w:ascii="Verdana" w:hAnsi="Verdana" w:cs="Arial"/>
          <w:sz w:val="20"/>
          <w:szCs w:val="20"/>
        </w:rPr>
        <w:t xml:space="preserve">21 años desde que sucedieron los hechos y más de </w:t>
      </w:r>
      <w:r w:rsidR="00A7577B" w:rsidRPr="00303891">
        <w:rPr>
          <w:rFonts w:ascii="Verdana" w:hAnsi="Verdana" w:cs="Arial"/>
          <w:sz w:val="20"/>
          <w:szCs w:val="20"/>
        </w:rPr>
        <w:t xml:space="preserve">doce </w:t>
      </w:r>
      <w:r w:rsidR="005E5DC5" w:rsidRPr="00303891">
        <w:rPr>
          <w:rFonts w:ascii="Verdana" w:hAnsi="Verdana" w:cs="Arial"/>
          <w:sz w:val="20"/>
          <w:szCs w:val="20"/>
        </w:rPr>
        <w:t>años desde dictada la Sentencia (</w:t>
      </w:r>
      <w:r w:rsidR="005E5DC5" w:rsidRPr="00303891">
        <w:rPr>
          <w:rFonts w:ascii="Verdana" w:hAnsi="Verdana" w:cs="Arial"/>
          <w:i/>
          <w:sz w:val="20"/>
          <w:szCs w:val="20"/>
        </w:rPr>
        <w:t xml:space="preserve">supra </w:t>
      </w:r>
      <w:r w:rsidR="005E5DC5" w:rsidRPr="00303891">
        <w:rPr>
          <w:rFonts w:ascii="Verdana" w:hAnsi="Verdana" w:cs="Arial"/>
          <w:sz w:val="20"/>
          <w:szCs w:val="20"/>
        </w:rPr>
        <w:t xml:space="preserve">Visto 1), </w:t>
      </w:r>
      <w:r w:rsidR="00ED593E" w:rsidRPr="00303891">
        <w:rPr>
          <w:rFonts w:ascii="Verdana" w:hAnsi="Verdana" w:cs="Arial"/>
          <w:sz w:val="20"/>
          <w:szCs w:val="20"/>
        </w:rPr>
        <w:t xml:space="preserve">las violaciones a los derechos humanos del señor Tibi </w:t>
      </w:r>
      <w:r w:rsidR="005E5DC5" w:rsidRPr="00303891">
        <w:rPr>
          <w:rFonts w:ascii="Verdana" w:hAnsi="Verdana" w:cs="Arial"/>
          <w:sz w:val="20"/>
          <w:szCs w:val="20"/>
        </w:rPr>
        <w:t xml:space="preserve">continúan en la misma situación de impunidad constada por la Corte en </w:t>
      </w:r>
      <w:r w:rsidR="00A7577B" w:rsidRPr="00303891">
        <w:rPr>
          <w:rFonts w:ascii="Verdana" w:hAnsi="Verdana" w:cs="Arial"/>
          <w:sz w:val="20"/>
          <w:szCs w:val="20"/>
        </w:rPr>
        <w:t>la misma</w:t>
      </w:r>
      <w:r w:rsidR="005E5DC5" w:rsidRPr="00303891">
        <w:rPr>
          <w:rFonts w:ascii="Verdana" w:hAnsi="Verdana" w:cs="Arial"/>
          <w:sz w:val="20"/>
          <w:szCs w:val="20"/>
        </w:rPr>
        <w:t xml:space="preserve"> (</w:t>
      </w:r>
      <w:r w:rsidR="005E5DC5" w:rsidRPr="00303891">
        <w:rPr>
          <w:rFonts w:ascii="Verdana" w:hAnsi="Verdana" w:cs="Arial"/>
          <w:i/>
          <w:sz w:val="20"/>
          <w:szCs w:val="20"/>
        </w:rPr>
        <w:t>supra</w:t>
      </w:r>
      <w:r w:rsidR="005E5DC5" w:rsidRPr="00303891">
        <w:rPr>
          <w:rFonts w:ascii="Verdana" w:hAnsi="Verdana" w:cs="Arial"/>
          <w:sz w:val="20"/>
          <w:szCs w:val="20"/>
        </w:rPr>
        <w:t xml:space="preserve"> Considerando </w:t>
      </w:r>
      <w:r w:rsidR="00B01195">
        <w:rPr>
          <w:rFonts w:ascii="Verdana" w:hAnsi="Verdana" w:cs="Arial"/>
          <w:sz w:val="20"/>
          <w:szCs w:val="20"/>
        </w:rPr>
        <w:t>4</w:t>
      </w:r>
      <w:r w:rsidR="005E5DC5" w:rsidRPr="00303891">
        <w:rPr>
          <w:rFonts w:ascii="Verdana" w:hAnsi="Verdana" w:cs="Arial"/>
          <w:sz w:val="20"/>
          <w:szCs w:val="20"/>
        </w:rPr>
        <w:t>)</w:t>
      </w:r>
      <w:r w:rsidR="00ED593E" w:rsidRPr="00303891">
        <w:rPr>
          <w:rFonts w:ascii="Verdana" w:hAnsi="Verdana" w:cs="Arial"/>
          <w:sz w:val="20"/>
          <w:szCs w:val="20"/>
        </w:rPr>
        <w:t>,</w:t>
      </w:r>
      <w:r w:rsidRPr="00303891">
        <w:rPr>
          <w:rFonts w:ascii="Verdana" w:hAnsi="Verdana" w:cs="Arial"/>
          <w:sz w:val="20"/>
          <w:szCs w:val="20"/>
        </w:rPr>
        <w:t xml:space="preserve"> </w:t>
      </w:r>
      <w:r w:rsidR="00A7577B" w:rsidRPr="00303891">
        <w:rPr>
          <w:rFonts w:ascii="Verdana" w:hAnsi="Verdana"/>
          <w:sz w:val="20"/>
          <w:szCs w:val="16"/>
        </w:rPr>
        <w:t xml:space="preserve">persistiendo el incumplimiento del deber de </w:t>
      </w:r>
      <w:r w:rsidR="0009009E">
        <w:rPr>
          <w:rFonts w:ascii="Verdana" w:hAnsi="Verdana"/>
          <w:sz w:val="20"/>
          <w:szCs w:val="16"/>
        </w:rPr>
        <w:t>Ecuador</w:t>
      </w:r>
      <w:r w:rsidR="00A7577B" w:rsidRPr="00303891">
        <w:rPr>
          <w:rFonts w:ascii="Verdana" w:hAnsi="Verdana"/>
          <w:sz w:val="20"/>
          <w:szCs w:val="16"/>
        </w:rPr>
        <w:t xml:space="preserve"> de investigar, juzgar y, eventualmente, sancionar a los responsables. Esta actuación por parte del Estado </w:t>
      </w:r>
      <w:r w:rsidR="00A76561" w:rsidRPr="00303891">
        <w:rPr>
          <w:rFonts w:ascii="Verdana" w:hAnsi="Verdana"/>
          <w:sz w:val="20"/>
          <w:szCs w:val="20"/>
        </w:rPr>
        <w:t>lesiona a la víctima y propicia la repetición de violaciones de derechos humanos como las del presente caso</w:t>
      </w:r>
      <w:r w:rsidR="00A76561" w:rsidRPr="00303891">
        <w:rPr>
          <w:rStyle w:val="Refdenotaalpie"/>
          <w:rFonts w:ascii="Verdana" w:hAnsi="Verdana"/>
          <w:sz w:val="20"/>
          <w:szCs w:val="20"/>
        </w:rPr>
        <w:footnoteReference w:id="33"/>
      </w:r>
      <w:r w:rsidR="00A76561" w:rsidRPr="00303891">
        <w:rPr>
          <w:rFonts w:ascii="Verdana" w:hAnsi="Verdana"/>
          <w:sz w:val="20"/>
          <w:szCs w:val="20"/>
        </w:rPr>
        <w:t>.</w:t>
      </w:r>
    </w:p>
    <w:p w:rsidR="003718E3" w:rsidRPr="00303891" w:rsidRDefault="00303891" w:rsidP="00EC26D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03891">
        <w:rPr>
          <w:rFonts w:ascii="Verdana" w:hAnsi="Verdana"/>
          <w:sz w:val="20"/>
          <w:szCs w:val="20"/>
        </w:rPr>
        <w:t>Al respecto, l</w:t>
      </w:r>
      <w:r w:rsidR="003718E3" w:rsidRPr="00303891">
        <w:rPr>
          <w:rFonts w:ascii="Verdana" w:hAnsi="Verdana"/>
          <w:sz w:val="20"/>
          <w:szCs w:val="20"/>
        </w:rPr>
        <w:t>a Corte reitera lo señalado en su jurisprudencia sobre el deber que tienen los Estados de evitar y combatir la impunidad por todos los medios legales disponibles, ya que ésta propicia la repetición crónica de las violaciones de derechos humanos y la total indefensión de las víctimas y de sus familiares</w:t>
      </w:r>
      <w:r w:rsidR="003718E3" w:rsidRPr="00303891">
        <w:rPr>
          <w:rStyle w:val="Refdenotaalpie"/>
          <w:rFonts w:ascii="Verdana" w:hAnsi="Verdana"/>
          <w:sz w:val="20"/>
          <w:szCs w:val="20"/>
        </w:rPr>
        <w:footnoteReference w:id="34"/>
      </w:r>
      <w:r w:rsidR="003718E3" w:rsidRPr="00303891">
        <w:rPr>
          <w:rFonts w:ascii="Verdana" w:hAnsi="Verdana"/>
          <w:sz w:val="20"/>
          <w:szCs w:val="20"/>
        </w:rPr>
        <w:t xml:space="preserve">. </w:t>
      </w:r>
      <w:r w:rsidR="003718E3" w:rsidRPr="00C9092F">
        <w:rPr>
          <w:rFonts w:ascii="Verdana" w:hAnsi="Verdana"/>
          <w:sz w:val="20"/>
          <w:szCs w:val="20"/>
        </w:rPr>
        <w:t>Asimismo, la Corte se ha referido a la limitación que puede representar el paso del tiempo en la investigación de violaciones a derechos humanos</w:t>
      </w:r>
      <w:r w:rsidR="003718E3" w:rsidRPr="00FE06E9">
        <w:rPr>
          <w:rStyle w:val="Refdenotaalpie"/>
          <w:rFonts w:ascii="Verdana" w:hAnsi="Verdana"/>
          <w:sz w:val="20"/>
          <w:szCs w:val="20"/>
        </w:rPr>
        <w:footnoteReference w:id="35"/>
      </w:r>
      <w:r w:rsidR="003718E3" w:rsidRPr="00FE06E9">
        <w:rPr>
          <w:rFonts w:ascii="Verdana" w:hAnsi="Verdana"/>
          <w:sz w:val="20"/>
          <w:szCs w:val="20"/>
        </w:rPr>
        <w:t>.</w:t>
      </w:r>
    </w:p>
    <w:p w:rsidR="009A3AB0" w:rsidRPr="00523281" w:rsidRDefault="00BC4116" w:rsidP="00050CFE">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523281">
        <w:rPr>
          <w:rFonts w:ascii="Verdana" w:hAnsi="Verdana" w:cs="Arial"/>
          <w:sz w:val="20"/>
          <w:szCs w:val="20"/>
        </w:rPr>
        <w:lastRenderedPageBreak/>
        <w:t>Por otra parte, en cuanto a lo alegado por el Estado sobre la reserva de la indagación previa (</w:t>
      </w:r>
      <w:r w:rsidRPr="00523281">
        <w:rPr>
          <w:rFonts w:ascii="Verdana" w:hAnsi="Verdana" w:cs="Arial"/>
          <w:i/>
          <w:sz w:val="20"/>
          <w:szCs w:val="20"/>
        </w:rPr>
        <w:t>supra</w:t>
      </w:r>
      <w:r w:rsidRPr="00523281">
        <w:rPr>
          <w:rFonts w:ascii="Verdana" w:hAnsi="Verdana" w:cs="Arial"/>
          <w:sz w:val="20"/>
          <w:szCs w:val="20"/>
        </w:rPr>
        <w:t xml:space="preserve"> Considerando </w:t>
      </w:r>
      <w:r w:rsidR="00A7577B" w:rsidRPr="00523281">
        <w:rPr>
          <w:rFonts w:ascii="Verdana" w:hAnsi="Verdana" w:cs="Arial"/>
          <w:sz w:val="20"/>
          <w:szCs w:val="20"/>
        </w:rPr>
        <w:t>7)</w:t>
      </w:r>
      <w:r w:rsidR="00A7577B">
        <w:rPr>
          <w:rStyle w:val="Refdenotaalpie"/>
          <w:rFonts w:ascii="Verdana" w:hAnsi="Verdana" w:cs="Arial"/>
          <w:sz w:val="20"/>
          <w:szCs w:val="20"/>
        </w:rPr>
        <w:footnoteReference w:id="36"/>
      </w:r>
      <w:r w:rsidR="00A7577B" w:rsidRPr="00523281">
        <w:rPr>
          <w:rFonts w:ascii="Verdana" w:hAnsi="Verdana" w:cs="Arial"/>
          <w:sz w:val="20"/>
          <w:szCs w:val="20"/>
        </w:rPr>
        <w:t xml:space="preserve">, </w:t>
      </w:r>
      <w:r w:rsidRPr="00523281">
        <w:rPr>
          <w:rFonts w:ascii="Verdana" w:hAnsi="Verdana" w:cs="Arial"/>
          <w:sz w:val="20"/>
          <w:szCs w:val="20"/>
        </w:rPr>
        <w:t>la Corte comprende que existen ciertos riesgos de hacer pública determinada información relacionada con investigaciones internas, t</w:t>
      </w:r>
      <w:r w:rsidRPr="00523281">
        <w:rPr>
          <w:rFonts w:ascii="Verdana" w:hAnsi="Verdana"/>
          <w:sz w:val="20"/>
          <w:szCs w:val="20"/>
        </w:rPr>
        <w:t>anto en cuanto a la efectividad misma de la investigación como respecto de las personas involucradas o interesadas en la misma</w:t>
      </w:r>
      <w:r w:rsidRPr="00F17964">
        <w:rPr>
          <w:rStyle w:val="Refdenotaalpie"/>
          <w:rFonts w:ascii="Verdana" w:hAnsi="Verdana"/>
          <w:sz w:val="20"/>
          <w:szCs w:val="20"/>
        </w:rPr>
        <w:footnoteReference w:id="37"/>
      </w:r>
      <w:r w:rsidRPr="00523281">
        <w:rPr>
          <w:rFonts w:ascii="Verdana" w:hAnsi="Verdana"/>
          <w:sz w:val="20"/>
          <w:szCs w:val="20"/>
        </w:rPr>
        <w:t>. Sin embargo, en otros casos en etapa de supervisión de cumplimiento, este Tribunal ha determinado que la publicidad de cierta información es indispensable para verificar el grado de cumplimiento de lo dispuesto en la Sentencia</w:t>
      </w:r>
      <w:r w:rsidRPr="00F17964">
        <w:rPr>
          <w:rStyle w:val="Refdenotaalpie"/>
          <w:rFonts w:ascii="Verdana" w:hAnsi="Verdana"/>
          <w:sz w:val="20"/>
          <w:szCs w:val="20"/>
        </w:rPr>
        <w:footnoteReference w:id="38"/>
      </w:r>
      <w:r w:rsidRPr="00523281">
        <w:rPr>
          <w:rFonts w:ascii="Verdana" w:hAnsi="Verdana"/>
          <w:sz w:val="20"/>
          <w:szCs w:val="20"/>
        </w:rPr>
        <w:t>. Esta información debe ser suministrada oportunamente por el Estado</w:t>
      </w:r>
      <w:r w:rsidR="00050CFE">
        <w:rPr>
          <w:rStyle w:val="Refdenotaalpie"/>
          <w:rFonts w:ascii="Verdana" w:hAnsi="Verdana"/>
          <w:sz w:val="20"/>
          <w:szCs w:val="20"/>
        </w:rPr>
        <w:footnoteReference w:id="39"/>
      </w:r>
      <w:r w:rsidRPr="00523281">
        <w:rPr>
          <w:rFonts w:ascii="Verdana" w:hAnsi="Verdana"/>
          <w:sz w:val="20"/>
          <w:szCs w:val="20"/>
        </w:rPr>
        <w:t xml:space="preserve">, </w:t>
      </w:r>
      <w:r w:rsidR="00050CFE" w:rsidRPr="00523281">
        <w:rPr>
          <w:rFonts w:ascii="Verdana" w:hAnsi="Verdana"/>
          <w:sz w:val="20"/>
          <w:szCs w:val="20"/>
        </w:rPr>
        <w:t xml:space="preserve">la Comisión Interamericana, </w:t>
      </w:r>
      <w:r w:rsidRPr="00523281">
        <w:rPr>
          <w:rFonts w:ascii="Verdana" w:hAnsi="Verdana"/>
          <w:sz w:val="20"/>
          <w:szCs w:val="20"/>
        </w:rPr>
        <w:t>las</w:t>
      </w:r>
      <w:r w:rsidR="00050CFE" w:rsidRPr="00523281">
        <w:rPr>
          <w:rFonts w:ascii="Verdana" w:hAnsi="Verdana"/>
          <w:sz w:val="20"/>
          <w:szCs w:val="20"/>
        </w:rPr>
        <w:t xml:space="preserve"> víctimas o sus representantes</w:t>
      </w:r>
      <w:r w:rsidRPr="00F17964">
        <w:rPr>
          <w:rStyle w:val="Refdenotaalpie"/>
          <w:rFonts w:ascii="Verdana" w:hAnsi="Verdana"/>
          <w:sz w:val="20"/>
          <w:szCs w:val="20"/>
        </w:rPr>
        <w:footnoteReference w:id="40"/>
      </w:r>
      <w:r w:rsidRPr="00523281">
        <w:rPr>
          <w:rFonts w:ascii="Verdana" w:hAnsi="Verdana"/>
          <w:sz w:val="20"/>
          <w:szCs w:val="20"/>
        </w:rPr>
        <w:t xml:space="preserve">. </w:t>
      </w:r>
      <w:r w:rsidR="00050CFE" w:rsidRPr="00351C4E">
        <w:rPr>
          <w:rFonts w:ascii="Verdana" w:hAnsi="Verdana"/>
          <w:sz w:val="20"/>
          <w:szCs w:val="20"/>
        </w:rPr>
        <w:t>Para ello, resulta particularmente relevante que las víctimas o sus representantes puedan tener acceso a información sobre la investigación penal ya que la reserva de información no puede redundar en su perjuicio</w:t>
      </w:r>
      <w:r w:rsidR="00050CFE" w:rsidRPr="00351C4E">
        <w:rPr>
          <w:rStyle w:val="Refdenotaalpie"/>
          <w:rFonts w:ascii="Verdana" w:hAnsi="Verdana"/>
          <w:sz w:val="20"/>
          <w:szCs w:val="20"/>
        </w:rPr>
        <w:footnoteReference w:id="41"/>
      </w:r>
      <w:r w:rsidR="00050CFE" w:rsidRPr="00351C4E">
        <w:rPr>
          <w:rFonts w:ascii="Verdana" w:hAnsi="Verdana"/>
          <w:sz w:val="20"/>
          <w:szCs w:val="20"/>
        </w:rPr>
        <w:t xml:space="preserve">. </w:t>
      </w:r>
      <w:r w:rsidRPr="00523281">
        <w:rPr>
          <w:rFonts w:ascii="Verdana" w:hAnsi="Verdana"/>
          <w:sz w:val="20"/>
          <w:szCs w:val="20"/>
        </w:rPr>
        <w:t xml:space="preserve">La información presentada hasta el momento por el Estado no permite a la Corte determinar si han habido avances en la investigación, conocer </w:t>
      </w:r>
      <w:r w:rsidR="0094733E" w:rsidRPr="00523281">
        <w:rPr>
          <w:rFonts w:ascii="Verdana" w:hAnsi="Verdana"/>
          <w:sz w:val="20"/>
          <w:szCs w:val="20"/>
        </w:rPr>
        <w:t xml:space="preserve">todas </w:t>
      </w:r>
      <w:r w:rsidRPr="00523281">
        <w:rPr>
          <w:rFonts w:ascii="Verdana" w:hAnsi="Verdana"/>
          <w:sz w:val="20"/>
          <w:szCs w:val="20"/>
        </w:rPr>
        <w:t>las diligencias</w:t>
      </w:r>
      <w:r w:rsidR="0094733E" w:rsidRPr="00523281">
        <w:rPr>
          <w:rFonts w:ascii="Verdana" w:hAnsi="Verdana"/>
          <w:sz w:val="20"/>
          <w:szCs w:val="20"/>
        </w:rPr>
        <w:t xml:space="preserve"> que se han realizado</w:t>
      </w:r>
      <w:r w:rsidRPr="00523281">
        <w:rPr>
          <w:rFonts w:ascii="Verdana" w:hAnsi="Verdana"/>
          <w:sz w:val="20"/>
          <w:szCs w:val="20"/>
        </w:rPr>
        <w:t xml:space="preserve"> o los resultados que se hayan alcanzado con las mismas. Tampoco permite conocer los obstáculos o razones por las cuales la etapa de indagación previa de los hechos del presente caso ha demorado más de </w:t>
      </w:r>
      <w:r w:rsidR="001273D2" w:rsidRPr="00523281">
        <w:rPr>
          <w:rFonts w:ascii="Verdana" w:hAnsi="Verdana"/>
          <w:sz w:val="20"/>
          <w:szCs w:val="20"/>
        </w:rPr>
        <w:t>once</w:t>
      </w:r>
      <w:r w:rsidRPr="00523281">
        <w:rPr>
          <w:rFonts w:ascii="Verdana" w:hAnsi="Verdana"/>
          <w:sz w:val="20"/>
          <w:szCs w:val="20"/>
        </w:rPr>
        <w:t xml:space="preserve"> años</w:t>
      </w:r>
      <w:r w:rsidR="00823AFF" w:rsidRPr="00523281">
        <w:rPr>
          <w:rFonts w:ascii="Verdana" w:hAnsi="Verdana"/>
          <w:sz w:val="20"/>
          <w:szCs w:val="20"/>
        </w:rPr>
        <w:t xml:space="preserve"> </w:t>
      </w:r>
      <w:r w:rsidRPr="00523281">
        <w:rPr>
          <w:rFonts w:ascii="Verdana" w:hAnsi="Verdana"/>
          <w:sz w:val="20"/>
          <w:szCs w:val="20"/>
        </w:rPr>
        <w:t>(</w:t>
      </w:r>
      <w:r w:rsidRPr="00523281">
        <w:rPr>
          <w:rFonts w:ascii="Verdana" w:hAnsi="Verdana"/>
          <w:i/>
          <w:sz w:val="20"/>
          <w:szCs w:val="20"/>
        </w:rPr>
        <w:t>supra</w:t>
      </w:r>
      <w:r w:rsidRPr="00523281">
        <w:rPr>
          <w:rFonts w:ascii="Verdana" w:hAnsi="Verdana"/>
          <w:sz w:val="20"/>
          <w:szCs w:val="20"/>
        </w:rPr>
        <w:t xml:space="preserve"> Considerando </w:t>
      </w:r>
      <w:r w:rsidR="005B7629">
        <w:rPr>
          <w:rFonts w:ascii="Verdana" w:hAnsi="Verdana"/>
          <w:sz w:val="20"/>
          <w:szCs w:val="20"/>
        </w:rPr>
        <w:t>11</w:t>
      </w:r>
      <w:r w:rsidRPr="00523281">
        <w:rPr>
          <w:rFonts w:ascii="Verdana" w:hAnsi="Verdana"/>
          <w:sz w:val="20"/>
          <w:szCs w:val="20"/>
        </w:rPr>
        <w:t xml:space="preserve">). </w:t>
      </w:r>
      <w:r w:rsidRPr="00523281">
        <w:rPr>
          <w:rFonts w:ascii="Verdana" w:hAnsi="Verdana" w:cs="Arial"/>
          <w:sz w:val="20"/>
          <w:szCs w:val="20"/>
        </w:rPr>
        <w:t>Esta situación ha sido destacada tanto por los representantes de las víctimas como por la Comisión Interamericana, al considerar que la información aportada por Ecuador no permite comprobar si han habido avances en l</w:t>
      </w:r>
      <w:r w:rsidR="0094733E" w:rsidRPr="00523281">
        <w:rPr>
          <w:rFonts w:ascii="Verdana" w:hAnsi="Verdana" w:cs="Arial"/>
          <w:sz w:val="20"/>
          <w:szCs w:val="20"/>
        </w:rPr>
        <w:t>a investigación a nivel interno</w:t>
      </w:r>
      <w:r w:rsidR="0094733E">
        <w:rPr>
          <w:rStyle w:val="Refdenotaalpie"/>
          <w:rFonts w:ascii="Verdana" w:hAnsi="Verdana" w:cs="Arial"/>
          <w:sz w:val="20"/>
          <w:szCs w:val="20"/>
        </w:rPr>
        <w:footnoteReference w:id="42"/>
      </w:r>
      <w:r w:rsidRPr="00523281">
        <w:rPr>
          <w:rFonts w:ascii="Verdana" w:hAnsi="Verdana" w:cs="Arial"/>
          <w:sz w:val="20"/>
          <w:szCs w:val="20"/>
        </w:rPr>
        <w:t xml:space="preserve">. </w:t>
      </w:r>
    </w:p>
    <w:p w:rsidR="00303891" w:rsidRPr="00303891" w:rsidRDefault="00CD5509" w:rsidP="00303891">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03891">
        <w:rPr>
          <w:rFonts w:ascii="Verdana" w:hAnsi="Verdana" w:cs="Arial"/>
          <w:sz w:val="20"/>
          <w:szCs w:val="20"/>
        </w:rPr>
        <w:t xml:space="preserve">Tomando en cuenta </w:t>
      </w:r>
      <w:r w:rsidR="00C8680E" w:rsidRPr="00303891">
        <w:rPr>
          <w:rFonts w:ascii="Verdana" w:hAnsi="Verdana" w:cs="Arial"/>
          <w:sz w:val="20"/>
          <w:szCs w:val="20"/>
        </w:rPr>
        <w:t xml:space="preserve">el </w:t>
      </w:r>
      <w:r w:rsidR="0094733E" w:rsidRPr="00303891">
        <w:rPr>
          <w:rFonts w:ascii="Verdana" w:hAnsi="Verdana" w:cs="Arial"/>
          <w:sz w:val="20"/>
          <w:szCs w:val="20"/>
        </w:rPr>
        <w:t xml:space="preserve">prolongado </w:t>
      </w:r>
      <w:r w:rsidRPr="00303891">
        <w:rPr>
          <w:rFonts w:ascii="Verdana" w:hAnsi="Verdana" w:cs="Arial"/>
          <w:sz w:val="20"/>
          <w:szCs w:val="20"/>
        </w:rPr>
        <w:t>tiempo</w:t>
      </w:r>
      <w:r w:rsidR="0094733E" w:rsidRPr="00303891">
        <w:rPr>
          <w:rFonts w:ascii="Verdana" w:hAnsi="Verdana" w:cs="Arial"/>
          <w:sz w:val="20"/>
          <w:szCs w:val="20"/>
        </w:rPr>
        <w:t xml:space="preserve"> que la investigación de las violaciones del presente caso </w:t>
      </w:r>
      <w:r w:rsidR="00C8680E" w:rsidRPr="00303891">
        <w:rPr>
          <w:rFonts w:ascii="Verdana" w:hAnsi="Verdana" w:cs="Arial"/>
          <w:sz w:val="20"/>
          <w:szCs w:val="20"/>
        </w:rPr>
        <w:t xml:space="preserve">lleva </w:t>
      </w:r>
      <w:r w:rsidR="0094733E" w:rsidRPr="00303891">
        <w:rPr>
          <w:rFonts w:ascii="Verdana" w:hAnsi="Verdana" w:cs="Arial"/>
          <w:sz w:val="20"/>
          <w:szCs w:val="20"/>
        </w:rPr>
        <w:t>en etapa de</w:t>
      </w:r>
      <w:r w:rsidRPr="00303891">
        <w:rPr>
          <w:rFonts w:ascii="Verdana" w:hAnsi="Verdana" w:cs="Arial"/>
          <w:sz w:val="20"/>
          <w:szCs w:val="20"/>
        </w:rPr>
        <w:t xml:space="preserve"> indagación previa </w:t>
      </w:r>
      <w:r w:rsidR="0094733E" w:rsidRPr="00303891">
        <w:rPr>
          <w:rFonts w:ascii="Verdana" w:hAnsi="Verdana" w:cs="Arial"/>
          <w:sz w:val="20"/>
          <w:szCs w:val="20"/>
        </w:rPr>
        <w:t>(</w:t>
      </w:r>
      <w:r w:rsidR="0094733E" w:rsidRPr="00303891">
        <w:rPr>
          <w:rFonts w:ascii="Verdana" w:hAnsi="Verdana" w:cs="Arial"/>
          <w:i/>
          <w:sz w:val="20"/>
          <w:szCs w:val="20"/>
        </w:rPr>
        <w:t>supra</w:t>
      </w:r>
      <w:r w:rsidR="0094733E" w:rsidRPr="00303891">
        <w:rPr>
          <w:rFonts w:ascii="Verdana" w:hAnsi="Verdana" w:cs="Arial"/>
          <w:sz w:val="20"/>
          <w:szCs w:val="20"/>
        </w:rPr>
        <w:t xml:space="preserve"> Considerando </w:t>
      </w:r>
      <w:r w:rsidR="00707E5F" w:rsidRPr="00303891">
        <w:rPr>
          <w:rFonts w:ascii="Verdana" w:hAnsi="Verdana" w:cs="Arial"/>
          <w:sz w:val="20"/>
          <w:szCs w:val="20"/>
        </w:rPr>
        <w:t>11</w:t>
      </w:r>
      <w:r w:rsidR="0094733E" w:rsidRPr="00303891">
        <w:rPr>
          <w:rFonts w:ascii="Verdana" w:hAnsi="Verdana" w:cs="Arial"/>
          <w:sz w:val="20"/>
          <w:szCs w:val="20"/>
        </w:rPr>
        <w:t xml:space="preserve">) </w:t>
      </w:r>
      <w:r w:rsidRPr="00303891">
        <w:rPr>
          <w:rFonts w:ascii="Verdana" w:hAnsi="Verdana" w:cs="Arial"/>
          <w:sz w:val="20"/>
          <w:szCs w:val="20"/>
        </w:rPr>
        <w:t xml:space="preserve">y lo afirmado por el Estado </w:t>
      </w:r>
      <w:r w:rsidR="00707E5F" w:rsidRPr="00303891">
        <w:rPr>
          <w:rFonts w:ascii="Verdana" w:hAnsi="Verdana" w:cs="Arial"/>
          <w:sz w:val="20"/>
          <w:szCs w:val="20"/>
        </w:rPr>
        <w:t xml:space="preserve">respecto a la reserva de la </w:t>
      </w:r>
      <w:r w:rsidR="00C8680E" w:rsidRPr="00303891">
        <w:rPr>
          <w:rFonts w:ascii="Verdana" w:hAnsi="Verdana" w:cs="Arial"/>
          <w:sz w:val="20"/>
          <w:szCs w:val="20"/>
        </w:rPr>
        <w:t xml:space="preserve">información </w:t>
      </w:r>
      <w:r w:rsidR="00707E5F" w:rsidRPr="00303891">
        <w:rPr>
          <w:rFonts w:ascii="Verdana" w:hAnsi="Verdana" w:cs="Arial"/>
          <w:sz w:val="20"/>
          <w:szCs w:val="20"/>
        </w:rPr>
        <w:t>(</w:t>
      </w:r>
      <w:r w:rsidR="00707E5F" w:rsidRPr="00303891">
        <w:rPr>
          <w:rFonts w:ascii="Verdana" w:hAnsi="Verdana" w:cs="Arial"/>
          <w:i/>
          <w:sz w:val="20"/>
          <w:szCs w:val="20"/>
        </w:rPr>
        <w:t>supra</w:t>
      </w:r>
      <w:r w:rsidR="00707E5F" w:rsidRPr="00303891">
        <w:rPr>
          <w:rFonts w:ascii="Verdana" w:hAnsi="Verdana" w:cs="Arial"/>
          <w:sz w:val="20"/>
          <w:szCs w:val="20"/>
        </w:rPr>
        <w:t xml:space="preserve"> Considerando 7 y </w:t>
      </w:r>
      <w:r w:rsidR="00FE06E9" w:rsidRPr="00303891">
        <w:rPr>
          <w:rFonts w:ascii="Verdana" w:hAnsi="Verdana" w:cs="Arial"/>
          <w:sz w:val="20"/>
          <w:szCs w:val="20"/>
        </w:rPr>
        <w:t>1</w:t>
      </w:r>
      <w:r w:rsidR="00FE06E9">
        <w:rPr>
          <w:rFonts w:ascii="Verdana" w:hAnsi="Verdana" w:cs="Arial"/>
          <w:sz w:val="20"/>
          <w:szCs w:val="20"/>
        </w:rPr>
        <w:t>4</w:t>
      </w:r>
      <w:r w:rsidR="00707E5F" w:rsidRPr="00303891">
        <w:rPr>
          <w:rFonts w:ascii="Verdana" w:hAnsi="Verdana" w:cs="Arial"/>
          <w:sz w:val="20"/>
          <w:szCs w:val="20"/>
        </w:rPr>
        <w:t>) y a las dificultades del Ministerio de Justicia, Derechos Humanos y Cultos para obtener información sobre la implementación de esta medida (</w:t>
      </w:r>
      <w:r w:rsidR="00707E5F" w:rsidRPr="00303891">
        <w:rPr>
          <w:rFonts w:ascii="Verdana" w:hAnsi="Verdana" w:cs="Arial"/>
          <w:i/>
          <w:sz w:val="20"/>
          <w:szCs w:val="20"/>
        </w:rPr>
        <w:t>supra</w:t>
      </w:r>
      <w:r w:rsidR="00707E5F" w:rsidRPr="00303891">
        <w:rPr>
          <w:rFonts w:ascii="Verdana" w:hAnsi="Verdana" w:cs="Arial"/>
          <w:sz w:val="20"/>
          <w:szCs w:val="20"/>
        </w:rPr>
        <w:t xml:space="preserve"> Considerando 7), la Corte, </w:t>
      </w:r>
      <w:r w:rsidR="00707E5F" w:rsidRPr="00303891">
        <w:rPr>
          <w:rFonts w:ascii="Verdana" w:hAnsi="Verdana"/>
          <w:sz w:val="20"/>
        </w:rPr>
        <w:t>de conformidad con el artículo 69.2 de su Reglamento</w:t>
      </w:r>
      <w:r w:rsidR="00FE06E9" w:rsidRPr="00303891">
        <w:rPr>
          <w:rStyle w:val="Refdenotaalpie"/>
          <w:rFonts w:ascii="Verdana" w:hAnsi="Verdana"/>
          <w:sz w:val="20"/>
        </w:rPr>
        <w:footnoteReference w:id="43"/>
      </w:r>
      <w:r w:rsidR="00707E5F" w:rsidRPr="00303891">
        <w:rPr>
          <w:rFonts w:ascii="Verdana" w:hAnsi="Verdana"/>
          <w:sz w:val="20"/>
        </w:rPr>
        <w:t xml:space="preserve">, considera útil requerir al Director de la Comisión de la Verdad y Derechos Humanos de la Fiscalía General del Estado de Ecuador que, a más </w:t>
      </w:r>
      <w:r w:rsidR="00707E5F" w:rsidRPr="00303891">
        <w:rPr>
          <w:rFonts w:ascii="Verdana" w:hAnsi="Verdana"/>
          <w:sz w:val="20"/>
        </w:rPr>
        <w:lastRenderedPageBreak/>
        <w:t xml:space="preserve">tardar el </w:t>
      </w:r>
      <w:r w:rsidR="00403A9C">
        <w:rPr>
          <w:rFonts w:ascii="Verdana" w:hAnsi="Verdana"/>
          <w:sz w:val="20"/>
        </w:rPr>
        <w:t>20</w:t>
      </w:r>
      <w:r w:rsidR="00403A9C" w:rsidRPr="00CF07CC">
        <w:rPr>
          <w:rFonts w:ascii="Verdana" w:hAnsi="Verdana"/>
          <w:sz w:val="20"/>
        </w:rPr>
        <w:t xml:space="preserve"> </w:t>
      </w:r>
      <w:r w:rsidR="00707E5F" w:rsidRPr="00CF07CC">
        <w:rPr>
          <w:rFonts w:ascii="Verdana" w:hAnsi="Verdana"/>
          <w:sz w:val="20"/>
        </w:rPr>
        <w:t xml:space="preserve">de </w:t>
      </w:r>
      <w:r w:rsidR="0048128B" w:rsidRPr="00CF07CC">
        <w:rPr>
          <w:rFonts w:ascii="Verdana" w:hAnsi="Verdana"/>
          <w:sz w:val="20"/>
        </w:rPr>
        <w:t>febrero</w:t>
      </w:r>
      <w:r w:rsidR="00707E5F" w:rsidRPr="00CF07CC">
        <w:rPr>
          <w:rFonts w:ascii="Verdana" w:hAnsi="Verdana"/>
          <w:sz w:val="20"/>
        </w:rPr>
        <w:t xml:space="preserve"> 2017</w:t>
      </w:r>
      <w:r w:rsidR="00707E5F" w:rsidRPr="00303891">
        <w:rPr>
          <w:rFonts w:ascii="Verdana" w:hAnsi="Verdana"/>
          <w:sz w:val="20"/>
        </w:rPr>
        <w:t xml:space="preserve">, rinda un informe actualizado, concreto y detallado sobre </w:t>
      </w:r>
      <w:r w:rsidR="0048128B" w:rsidRPr="00303891">
        <w:rPr>
          <w:rFonts w:ascii="Verdana" w:hAnsi="Verdana"/>
          <w:sz w:val="20"/>
        </w:rPr>
        <w:t xml:space="preserve">la </w:t>
      </w:r>
      <w:r w:rsidR="00707E5F" w:rsidRPr="00303891">
        <w:rPr>
          <w:rFonts w:ascii="Verdana" w:hAnsi="Verdana"/>
          <w:sz w:val="20"/>
        </w:rPr>
        <w:t xml:space="preserve">“indagación previa N°3064-05 (caso Tibi)”. </w:t>
      </w:r>
      <w:r w:rsidR="00303891" w:rsidRPr="00303891">
        <w:rPr>
          <w:rFonts w:ascii="Verdana" w:hAnsi="Verdana"/>
          <w:sz w:val="20"/>
          <w:szCs w:val="20"/>
        </w:rPr>
        <w:t xml:space="preserve">Este informe permitirá a la Corte contar con “otra fuente de información” que le </w:t>
      </w:r>
      <w:r w:rsidR="00E71802">
        <w:rPr>
          <w:rFonts w:ascii="Verdana" w:hAnsi="Verdana"/>
          <w:sz w:val="20"/>
          <w:szCs w:val="20"/>
        </w:rPr>
        <w:t>aporte</w:t>
      </w:r>
      <w:r w:rsidR="00303891" w:rsidRPr="00303891">
        <w:rPr>
          <w:rFonts w:ascii="Verdana" w:hAnsi="Verdana"/>
          <w:sz w:val="20"/>
          <w:szCs w:val="20"/>
        </w:rPr>
        <w:t xml:space="preserve"> mayores elementos para valorar el cumplimiento de lo ordenado. Una vez recibido ese informe, se otorgarán plazos al Estado, a los representantes de las víctimas y a la Comisión</w:t>
      </w:r>
      <w:r w:rsidR="00FE06E9">
        <w:rPr>
          <w:rFonts w:ascii="Verdana" w:hAnsi="Verdana"/>
          <w:sz w:val="20"/>
          <w:szCs w:val="20"/>
        </w:rPr>
        <w:t xml:space="preserve"> Interamericana</w:t>
      </w:r>
      <w:r w:rsidR="00303891" w:rsidRPr="00303891">
        <w:rPr>
          <w:rFonts w:ascii="Verdana" w:hAnsi="Verdana"/>
          <w:sz w:val="20"/>
          <w:szCs w:val="20"/>
        </w:rPr>
        <w:t xml:space="preserve"> para que presenten las observaciones que estimen pertinentes.</w:t>
      </w:r>
      <w:r w:rsidR="00032D01">
        <w:rPr>
          <w:rFonts w:ascii="Verdana" w:hAnsi="Verdana"/>
          <w:sz w:val="20"/>
          <w:szCs w:val="20"/>
        </w:rPr>
        <w:t xml:space="preserve"> </w:t>
      </w:r>
    </w:p>
    <w:p w:rsidR="00673959" w:rsidRPr="00303891" w:rsidRDefault="00303891" w:rsidP="00707E5F">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03891">
        <w:rPr>
          <w:rFonts w:ascii="Verdana" w:hAnsi="Verdana"/>
          <w:sz w:val="20"/>
        </w:rPr>
        <w:t>El</w:t>
      </w:r>
      <w:r w:rsidR="00707E5F" w:rsidRPr="00303891">
        <w:rPr>
          <w:rFonts w:ascii="Verdana" w:hAnsi="Verdana"/>
          <w:sz w:val="20"/>
        </w:rPr>
        <w:t xml:space="preserve"> informe</w:t>
      </w:r>
      <w:r w:rsidRPr="00303891">
        <w:rPr>
          <w:rFonts w:ascii="Verdana" w:hAnsi="Verdana"/>
          <w:sz w:val="20"/>
        </w:rPr>
        <w:t xml:space="preserve"> aludido en el considerando anterior</w:t>
      </w:r>
      <w:r w:rsidR="00707E5F" w:rsidRPr="00303891">
        <w:rPr>
          <w:rFonts w:ascii="Verdana" w:hAnsi="Verdana"/>
          <w:sz w:val="20"/>
        </w:rPr>
        <w:t xml:space="preserve"> deberá acompañarse del </w:t>
      </w:r>
      <w:r w:rsidR="00042F9D" w:rsidRPr="00303891">
        <w:rPr>
          <w:rFonts w:ascii="Verdana" w:hAnsi="Verdana"/>
          <w:sz w:val="20"/>
          <w:szCs w:val="20"/>
        </w:rPr>
        <w:t>respaldo documental correspondiente, que permita</w:t>
      </w:r>
      <w:r w:rsidR="00E605A7" w:rsidRPr="00303891">
        <w:rPr>
          <w:rFonts w:ascii="Verdana" w:hAnsi="Verdana"/>
          <w:sz w:val="20"/>
          <w:szCs w:val="20"/>
        </w:rPr>
        <w:t xml:space="preserve"> a esta Corte</w:t>
      </w:r>
      <w:r w:rsidR="00042F9D" w:rsidRPr="00303891">
        <w:rPr>
          <w:rFonts w:ascii="Verdana" w:hAnsi="Verdana"/>
          <w:sz w:val="20"/>
          <w:szCs w:val="20"/>
        </w:rPr>
        <w:t xml:space="preserve"> evaluar adecuadamente el grado de cumplimiento de la obligación de investigar</w:t>
      </w:r>
      <w:r w:rsidR="00673959" w:rsidRPr="00303891">
        <w:rPr>
          <w:rFonts w:ascii="Verdana" w:hAnsi="Verdana"/>
          <w:sz w:val="20"/>
          <w:szCs w:val="20"/>
        </w:rPr>
        <w:t xml:space="preserve">. Para ello, en el </w:t>
      </w:r>
      <w:r w:rsidR="00E605A7" w:rsidRPr="00303891">
        <w:rPr>
          <w:rFonts w:ascii="Verdana" w:hAnsi="Verdana"/>
          <w:sz w:val="20"/>
          <w:szCs w:val="20"/>
        </w:rPr>
        <w:t xml:space="preserve">referido </w:t>
      </w:r>
      <w:r w:rsidR="00673959" w:rsidRPr="00303891">
        <w:rPr>
          <w:rFonts w:ascii="Verdana" w:hAnsi="Verdana"/>
          <w:sz w:val="20"/>
          <w:szCs w:val="20"/>
        </w:rPr>
        <w:t xml:space="preserve">informe </w:t>
      </w:r>
      <w:r w:rsidR="00E605A7" w:rsidRPr="00303891">
        <w:rPr>
          <w:rFonts w:ascii="Verdana" w:hAnsi="Verdana"/>
          <w:sz w:val="20"/>
          <w:szCs w:val="20"/>
        </w:rPr>
        <w:t xml:space="preserve">se </w:t>
      </w:r>
      <w:r w:rsidR="00673959" w:rsidRPr="00303891">
        <w:rPr>
          <w:rFonts w:ascii="Verdana" w:hAnsi="Verdana"/>
          <w:sz w:val="20"/>
          <w:szCs w:val="20"/>
        </w:rPr>
        <w:t>deberá tomar en cuenta lo considerado por el Tribunal en la presente Resolución (</w:t>
      </w:r>
      <w:r w:rsidR="00673959" w:rsidRPr="00303891">
        <w:rPr>
          <w:rFonts w:ascii="Verdana" w:hAnsi="Verdana"/>
          <w:i/>
          <w:sz w:val="20"/>
          <w:szCs w:val="20"/>
        </w:rPr>
        <w:t xml:space="preserve">supra </w:t>
      </w:r>
      <w:r w:rsidR="00673959" w:rsidRPr="00303891">
        <w:rPr>
          <w:rFonts w:ascii="Verdana" w:hAnsi="Verdana"/>
          <w:sz w:val="20"/>
          <w:szCs w:val="20"/>
        </w:rPr>
        <w:t xml:space="preserve">Considerandos </w:t>
      </w:r>
      <w:r w:rsidR="00EC2309">
        <w:rPr>
          <w:rFonts w:ascii="Verdana" w:hAnsi="Verdana"/>
          <w:sz w:val="20"/>
          <w:szCs w:val="20"/>
        </w:rPr>
        <w:t>9 a 1</w:t>
      </w:r>
      <w:r w:rsidR="0048039E">
        <w:rPr>
          <w:rFonts w:ascii="Verdana" w:hAnsi="Verdana"/>
          <w:sz w:val="20"/>
          <w:szCs w:val="20"/>
        </w:rPr>
        <w:t>1</w:t>
      </w:r>
      <w:r w:rsidR="00673959" w:rsidRPr="00303891">
        <w:rPr>
          <w:rFonts w:ascii="Verdana" w:hAnsi="Verdana"/>
          <w:sz w:val="20"/>
          <w:szCs w:val="20"/>
        </w:rPr>
        <w:t>)</w:t>
      </w:r>
      <w:r w:rsidR="00413363" w:rsidRPr="00303891">
        <w:rPr>
          <w:rFonts w:ascii="Verdana" w:hAnsi="Verdana"/>
          <w:sz w:val="20"/>
          <w:szCs w:val="20"/>
        </w:rPr>
        <w:t xml:space="preserve">, </w:t>
      </w:r>
      <w:r w:rsidR="00E8090D" w:rsidRPr="00303891">
        <w:rPr>
          <w:rFonts w:ascii="Verdana" w:hAnsi="Verdana"/>
          <w:sz w:val="20"/>
          <w:szCs w:val="20"/>
        </w:rPr>
        <w:t xml:space="preserve">y referirse, </w:t>
      </w:r>
      <w:r w:rsidR="00413363" w:rsidRPr="00303891">
        <w:rPr>
          <w:rFonts w:ascii="Verdana" w:hAnsi="Verdana"/>
          <w:sz w:val="20"/>
          <w:szCs w:val="20"/>
        </w:rPr>
        <w:t>con especial énfasis</w:t>
      </w:r>
      <w:r w:rsidR="00E8090D" w:rsidRPr="00303891">
        <w:rPr>
          <w:rFonts w:ascii="Verdana" w:hAnsi="Verdana"/>
          <w:sz w:val="20"/>
          <w:szCs w:val="20"/>
        </w:rPr>
        <w:t>,</w:t>
      </w:r>
      <w:r w:rsidR="00413363" w:rsidRPr="00303891">
        <w:rPr>
          <w:rFonts w:ascii="Verdana" w:hAnsi="Verdana"/>
          <w:sz w:val="20"/>
          <w:szCs w:val="20"/>
        </w:rPr>
        <w:t xml:space="preserve"> </w:t>
      </w:r>
      <w:r w:rsidR="00E8090D" w:rsidRPr="00303891">
        <w:rPr>
          <w:rFonts w:ascii="Verdana" w:hAnsi="Verdana"/>
          <w:sz w:val="20"/>
          <w:szCs w:val="20"/>
        </w:rPr>
        <w:t>a</w:t>
      </w:r>
      <w:r w:rsidR="00413363" w:rsidRPr="00303891">
        <w:rPr>
          <w:rFonts w:ascii="Verdana" w:hAnsi="Verdana"/>
          <w:sz w:val="20"/>
          <w:szCs w:val="20"/>
        </w:rPr>
        <w:t xml:space="preserve">: </w:t>
      </w:r>
      <w:r w:rsidR="00E8090D" w:rsidRPr="00303891">
        <w:rPr>
          <w:rFonts w:ascii="Verdana" w:hAnsi="Verdana"/>
          <w:sz w:val="20"/>
          <w:szCs w:val="20"/>
        </w:rPr>
        <w:t>i</w:t>
      </w:r>
      <w:r w:rsidR="00413363" w:rsidRPr="00303891">
        <w:rPr>
          <w:rFonts w:ascii="Verdana" w:hAnsi="Verdana"/>
          <w:sz w:val="20"/>
          <w:szCs w:val="20"/>
        </w:rPr>
        <w:t xml:space="preserve">) el estado actual de la indagación previa; </w:t>
      </w:r>
      <w:r w:rsidR="00E8090D" w:rsidRPr="00303891">
        <w:rPr>
          <w:rFonts w:ascii="Verdana" w:hAnsi="Verdana"/>
          <w:sz w:val="20"/>
          <w:szCs w:val="20"/>
        </w:rPr>
        <w:t>ii</w:t>
      </w:r>
      <w:r w:rsidR="00EB0DB7" w:rsidRPr="00303891">
        <w:rPr>
          <w:rFonts w:ascii="Verdana" w:hAnsi="Verdana"/>
          <w:sz w:val="20"/>
          <w:szCs w:val="20"/>
        </w:rPr>
        <w:t xml:space="preserve">) las diligencias o acciones que se hayan llevado a cabo en la misma entre el 2011 y la </w:t>
      </w:r>
      <w:r w:rsidR="00E8090D" w:rsidRPr="00303891">
        <w:rPr>
          <w:rFonts w:ascii="Verdana" w:hAnsi="Verdana"/>
          <w:sz w:val="20"/>
          <w:szCs w:val="20"/>
        </w:rPr>
        <w:t>fecha de presentación del informe</w:t>
      </w:r>
      <w:r w:rsidR="00EB0DB7" w:rsidRPr="00303891">
        <w:rPr>
          <w:rFonts w:ascii="Verdana" w:hAnsi="Verdana"/>
          <w:sz w:val="20"/>
          <w:szCs w:val="20"/>
        </w:rPr>
        <w:t xml:space="preserve">; </w:t>
      </w:r>
      <w:r w:rsidR="00E8090D" w:rsidRPr="00303891">
        <w:rPr>
          <w:rFonts w:ascii="Verdana" w:hAnsi="Verdana"/>
          <w:sz w:val="20"/>
          <w:szCs w:val="20"/>
        </w:rPr>
        <w:t>iii</w:t>
      </w:r>
      <w:r w:rsidR="00EB0DB7" w:rsidRPr="00303891">
        <w:rPr>
          <w:rFonts w:ascii="Verdana" w:hAnsi="Verdana"/>
          <w:sz w:val="20"/>
          <w:szCs w:val="20"/>
        </w:rPr>
        <w:t xml:space="preserve">) </w:t>
      </w:r>
      <w:r w:rsidR="00716344" w:rsidRPr="00303891">
        <w:rPr>
          <w:rFonts w:ascii="Verdana" w:hAnsi="Verdana"/>
          <w:sz w:val="20"/>
          <w:szCs w:val="20"/>
        </w:rPr>
        <w:t xml:space="preserve">una explicación sobre las razones por las cuales no ha concluido la etapa de investigación que se ha venido desarrollando por once años; </w:t>
      </w:r>
      <w:r w:rsidR="0048039E">
        <w:rPr>
          <w:rFonts w:ascii="Verdana" w:hAnsi="Verdana"/>
          <w:sz w:val="20"/>
          <w:szCs w:val="20"/>
        </w:rPr>
        <w:t>iv</w:t>
      </w:r>
      <w:r w:rsidR="00716344" w:rsidRPr="00303891">
        <w:rPr>
          <w:rFonts w:ascii="Verdana" w:hAnsi="Verdana"/>
          <w:sz w:val="20"/>
          <w:szCs w:val="20"/>
        </w:rPr>
        <w:t>) las diligencias pendientes y el tiempo en que se tienen programado realizar y concluir la etapa de indagación previa</w:t>
      </w:r>
      <w:r w:rsidR="0048039E">
        <w:rPr>
          <w:rFonts w:ascii="Verdana" w:hAnsi="Verdana"/>
          <w:sz w:val="20"/>
          <w:szCs w:val="20"/>
        </w:rPr>
        <w:t>, y</w:t>
      </w:r>
      <w:r w:rsidR="00716344" w:rsidRPr="00303891">
        <w:rPr>
          <w:rFonts w:ascii="Verdana" w:hAnsi="Verdana"/>
          <w:sz w:val="20"/>
          <w:szCs w:val="20"/>
        </w:rPr>
        <w:t xml:space="preserve"> </w:t>
      </w:r>
      <w:r w:rsidR="0048039E">
        <w:rPr>
          <w:rFonts w:ascii="Verdana" w:hAnsi="Verdana"/>
          <w:sz w:val="20"/>
          <w:szCs w:val="20"/>
        </w:rPr>
        <w:t>v</w:t>
      </w:r>
      <w:r w:rsidR="00716344" w:rsidRPr="00303891">
        <w:rPr>
          <w:rFonts w:ascii="Verdana" w:hAnsi="Verdana"/>
          <w:sz w:val="20"/>
          <w:szCs w:val="20"/>
        </w:rPr>
        <w:t xml:space="preserve">) </w:t>
      </w:r>
      <w:r w:rsidR="00E8090D" w:rsidRPr="00303891">
        <w:rPr>
          <w:rFonts w:ascii="Verdana" w:hAnsi="Verdana"/>
          <w:sz w:val="20"/>
          <w:szCs w:val="20"/>
        </w:rPr>
        <w:t xml:space="preserve">si se han presentado obstáculos </w:t>
      </w:r>
      <w:r w:rsidR="00EB0DB7" w:rsidRPr="00303891">
        <w:rPr>
          <w:rFonts w:ascii="Verdana" w:hAnsi="Verdana"/>
          <w:sz w:val="20"/>
          <w:szCs w:val="20"/>
        </w:rPr>
        <w:t>para superar la impunidad imperante en el presente caso</w:t>
      </w:r>
      <w:r w:rsidR="00E8090D" w:rsidRPr="00303891">
        <w:rPr>
          <w:rFonts w:ascii="Verdana" w:hAnsi="Verdana"/>
          <w:sz w:val="20"/>
          <w:szCs w:val="20"/>
        </w:rPr>
        <w:t xml:space="preserve"> y las medidas adoptadas o que se deben adoptar para superar</w:t>
      </w:r>
      <w:r w:rsidR="0048039E">
        <w:rPr>
          <w:rFonts w:ascii="Verdana" w:hAnsi="Verdana"/>
          <w:sz w:val="20"/>
          <w:szCs w:val="20"/>
        </w:rPr>
        <w:t xml:space="preserve"> esos obstáculos</w:t>
      </w:r>
      <w:r w:rsidR="00EB0DB7" w:rsidRPr="00303891">
        <w:rPr>
          <w:rFonts w:ascii="Verdana" w:hAnsi="Verdana"/>
          <w:sz w:val="20"/>
          <w:szCs w:val="20"/>
        </w:rPr>
        <w:t xml:space="preserve">. </w:t>
      </w:r>
      <w:r w:rsidR="00673959" w:rsidRPr="00303891">
        <w:rPr>
          <w:rFonts w:ascii="Verdana" w:hAnsi="Verdana"/>
          <w:sz w:val="20"/>
          <w:szCs w:val="20"/>
        </w:rPr>
        <w:t>En atención al principio del contradictorio, la Corte valorará en el presente caso la necesidad, conveniencia o pertinencia de mantener la confidencialidad de la información aportada por Ecuador en cuanto a su utilización en una posterior resolución, pero no respecto del acceso de las partes a la misma</w:t>
      </w:r>
      <w:r w:rsidR="00673959" w:rsidRPr="00303891">
        <w:rPr>
          <w:rStyle w:val="Refdenotaalpie"/>
          <w:rFonts w:ascii="Verdana" w:hAnsi="Verdana"/>
          <w:sz w:val="20"/>
          <w:szCs w:val="20"/>
        </w:rPr>
        <w:footnoteReference w:id="44"/>
      </w:r>
      <w:r w:rsidR="00673959" w:rsidRPr="00303891">
        <w:rPr>
          <w:rFonts w:ascii="Verdana" w:hAnsi="Verdana"/>
          <w:sz w:val="20"/>
          <w:szCs w:val="20"/>
        </w:rPr>
        <w:t xml:space="preserve">. </w:t>
      </w:r>
    </w:p>
    <w:p w:rsidR="00113617" w:rsidRPr="00303891" w:rsidRDefault="00113617" w:rsidP="009A3AB0">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03891">
        <w:rPr>
          <w:rFonts w:ascii="Verdana" w:hAnsi="Verdana"/>
          <w:sz w:val="20"/>
          <w:szCs w:val="20"/>
        </w:rPr>
        <w:t xml:space="preserve">En razón de lo expuesto, la Corte concluye que la medida relativa a la obligación de investigar los hechos del presente caso se encuentra pendiente de cumplimiento, siendo </w:t>
      </w:r>
      <w:r w:rsidR="00042F9D" w:rsidRPr="00303891">
        <w:rPr>
          <w:rFonts w:ascii="Verdana" w:hAnsi="Verdana"/>
          <w:sz w:val="20"/>
          <w:szCs w:val="20"/>
        </w:rPr>
        <w:t>imprescindible</w:t>
      </w:r>
      <w:r w:rsidRPr="00303891">
        <w:rPr>
          <w:rFonts w:ascii="Verdana" w:hAnsi="Verdana"/>
          <w:sz w:val="20"/>
          <w:szCs w:val="20"/>
        </w:rPr>
        <w:t xml:space="preserve"> que el Estado intensifique sus esfuerzos </w:t>
      </w:r>
      <w:r w:rsidR="00042F9D" w:rsidRPr="00303891">
        <w:rPr>
          <w:rFonts w:ascii="Verdana" w:hAnsi="Verdana"/>
          <w:sz w:val="20"/>
          <w:szCs w:val="20"/>
        </w:rPr>
        <w:t xml:space="preserve">y adopte medidas concretas </w:t>
      </w:r>
      <w:r w:rsidRPr="00303891">
        <w:rPr>
          <w:rFonts w:ascii="Verdana" w:hAnsi="Verdana"/>
          <w:sz w:val="20"/>
          <w:szCs w:val="20"/>
        </w:rPr>
        <w:t xml:space="preserve">para </w:t>
      </w:r>
      <w:r w:rsidR="00042F9D" w:rsidRPr="00303891">
        <w:rPr>
          <w:rFonts w:ascii="Verdana" w:hAnsi="Verdana"/>
          <w:sz w:val="20"/>
          <w:szCs w:val="20"/>
        </w:rPr>
        <w:t>avanzar, con la debida diligencia y en un plazo razonable, en</w:t>
      </w:r>
      <w:r w:rsidR="00E71802">
        <w:rPr>
          <w:rFonts w:ascii="Verdana" w:hAnsi="Verdana"/>
          <w:sz w:val="20"/>
          <w:szCs w:val="20"/>
        </w:rPr>
        <w:t xml:space="preserve"> la</w:t>
      </w:r>
      <w:r w:rsidR="00042F9D" w:rsidRPr="00303891">
        <w:rPr>
          <w:rFonts w:ascii="Verdana" w:hAnsi="Verdana"/>
          <w:sz w:val="20"/>
          <w:szCs w:val="20"/>
        </w:rPr>
        <w:t xml:space="preserve"> investigación</w:t>
      </w:r>
      <w:r w:rsidR="005A549D" w:rsidRPr="00303891">
        <w:rPr>
          <w:rFonts w:ascii="Verdana" w:hAnsi="Verdana"/>
          <w:sz w:val="20"/>
          <w:szCs w:val="20"/>
        </w:rPr>
        <w:t>, juzgamiento y, en su caso, sanción</w:t>
      </w:r>
      <w:r w:rsidR="00042F9D" w:rsidRPr="00303891">
        <w:rPr>
          <w:rFonts w:ascii="Verdana" w:hAnsi="Verdana"/>
          <w:sz w:val="20"/>
          <w:szCs w:val="20"/>
        </w:rPr>
        <w:t xml:space="preserve"> de</w:t>
      </w:r>
      <w:r w:rsidRPr="00303891">
        <w:rPr>
          <w:rFonts w:ascii="Verdana" w:hAnsi="Verdana"/>
          <w:sz w:val="20"/>
          <w:szCs w:val="20"/>
        </w:rPr>
        <w:t xml:space="preserve"> los hechos que configuraron violaciones a derechos humanos en este caso. </w:t>
      </w:r>
    </w:p>
    <w:p w:rsidR="00150056" w:rsidRPr="00CF7C20" w:rsidRDefault="00150056" w:rsidP="00940D7E">
      <w:pPr>
        <w:pStyle w:val="Prrafodelista"/>
        <w:autoSpaceDE w:val="0"/>
        <w:autoSpaceDN w:val="0"/>
        <w:adjustRightInd w:val="0"/>
        <w:spacing w:before="120" w:after="120" w:line="240" w:lineRule="auto"/>
        <w:ind w:left="0"/>
        <w:contextualSpacing w:val="0"/>
        <w:jc w:val="both"/>
        <w:rPr>
          <w:rFonts w:ascii="Verdana" w:hAnsi="Verdana" w:cs="Arial"/>
          <w:sz w:val="20"/>
          <w:szCs w:val="20"/>
        </w:rPr>
      </w:pPr>
    </w:p>
    <w:p w:rsidR="00C228C3" w:rsidRDefault="009912BF" w:rsidP="00C34BBE">
      <w:pPr>
        <w:pStyle w:val="Prrafodelista"/>
        <w:numPr>
          <w:ilvl w:val="0"/>
          <w:numId w:val="3"/>
        </w:numPr>
        <w:autoSpaceDE w:val="0"/>
        <w:autoSpaceDN w:val="0"/>
        <w:adjustRightInd w:val="0"/>
        <w:spacing w:before="120" w:after="120" w:line="240" w:lineRule="auto"/>
        <w:contextualSpacing w:val="0"/>
        <w:jc w:val="both"/>
        <w:outlineLvl w:val="0"/>
        <w:rPr>
          <w:rFonts w:ascii="Verdana" w:hAnsi="Verdana" w:cs="Arial"/>
          <w:b/>
          <w:i/>
          <w:sz w:val="20"/>
          <w:szCs w:val="20"/>
        </w:rPr>
      </w:pPr>
      <w:bookmarkStart w:id="2" w:name="_Toc469667603"/>
      <w:r>
        <w:rPr>
          <w:rFonts w:ascii="Verdana" w:hAnsi="Verdana" w:cs="Arial"/>
          <w:b/>
          <w:i/>
          <w:sz w:val="20"/>
          <w:szCs w:val="20"/>
        </w:rPr>
        <w:t>Establecer programas de formación y c</w:t>
      </w:r>
      <w:r w:rsidR="00C34BBE" w:rsidRPr="00303891">
        <w:rPr>
          <w:rFonts w:ascii="Verdana" w:hAnsi="Verdana" w:cs="Arial"/>
          <w:b/>
          <w:i/>
          <w:sz w:val="20"/>
          <w:szCs w:val="20"/>
        </w:rPr>
        <w:t>rear un comité interinstitucional para definir y ejecutar programas de capacitación en derechos</w:t>
      </w:r>
      <w:r w:rsidR="00C34BBE">
        <w:rPr>
          <w:rFonts w:ascii="Verdana" w:hAnsi="Verdana" w:cs="Arial"/>
          <w:b/>
          <w:i/>
          <w:sz w:val="20"/>
          <w:szCs w:val="20"/>
        </w:rPr>
        <w:t xml:space="preserve"> humanos y tratamiento de reclusos</w:t>
      </w:r>
      <w:bookmarkEnd w:id="2"/>
    </w:p>
    <w:p w:rsidR="00F35BBF" w:rsidRPr="00F17964" w:rsidRDefault="00F35BBF" w:rsidP="00F35BBF">
      <w:pPr>
        <w:pStyle w:val="Prrafodelista"/>
        <w:autoSpaceDE w:val="0"/>
        <w:autoSpaceDN w:val="0"/>
        <w:adjustRightInd w:val="0"/>
        <w:spacing w:before="120" w:after="120" w:line="240" w:lineRule="auto"/>
        <w:ind w:left="1068"/>
        <w:contextualSpacing w:val="0"/>
        <w:jc w:val="both"/>
        <w:outlineLvl w:val="0"/>
        <w:rPr>
          <w:rFonts w:ascii="Verdana" w:hAnsi="Verdana" w:cs="Arial"/>
          <w:b/>
          <w:i/>
          <w:sz w:val="20"/>
          <w:szCs w:val="20"/>
        </w:rPr>
      </w:pPr>
    </w:p>
    <w:p w:rsidR="00C228C3" w:rsidRPr="00F17964" w:rsidRDefault="00866F28" w:rsidP="00E17F2C">
      <w:pPr>
        <w:autoSpaceDE w:val="0"/>
        <w:autoSpaceDN w:val="0"/>
        <w:adjustRightInd w:val="0"/>
        <w:spacing w:before="120" w:after="120" w:line="240" w:lineRule="auto"/>
        <w:ind w:firstLine="708"/>
        <w:jc w:val="both"/>
        <w:rPr>
          <w:rFonts w:ascii="Verdana" w:hAnsi="Verdana"/>
          <w:i/>
          <w:sz w:val="20"/>
          <w:szCs w:val="20"/>
          <w:lang w:val="es-CR"/>
        </w:rPr>
      </w:pPr>
      <w:r>
        <w:rPr>
          <w:rFonts w:ascii="Verdana" w:hAnsi="Verdana"/>
          <w:i/>
          <w:sz w:val="20"/>
          <w:szCs w:val="20"/>
          <w:lang w:val="es-CR"/>
        </w:rPr>
        <w:t>B.1.</w:t>
      </w:r>
      <w:r w:rsidR="00C228C3" w:rsidRPr="00F17964">
        <w:rPr>
          <w:rFonts w:ascii="Verdana" w:hAnsi="Verdana"/>
          <w:i/>
          <w:sz w:val="20"/>
          <w:szCs w:val="20"/>
          <w:lang w:val="es-CR"/>
        </w:rPr>
        <w:t xml:space="preserve"> Medida ordenada por la Corte y supervisión realizada en resoluciones anteriores</w:t>
      </w:r>
    </w:p>
    <w:p w:rsidR="00BC4116" w:rsidRPr="00866F28" w:rsidRDefault="00C228C3" w:rsidP="00BC4116">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B434D3">
        <w:rPr>
          <w:rFonts w:ascii="Verdana" w:hAnsi="Verdana"/>
          <w:sz w:val="20"/>
          <w:szCs w:val="20"/>
        </w:rPr>
        <w:t xml:space="preserve">En el punto </w:t>
      </w:r>
      <w:r w:rsidR="00BB4253" w:rsidRPr="00B434D3">
        <w:rPr>
          <w:rFonts w:ascii="Verdana" w:hAnsi="Verdana"/>
          <w:sz w:val="20"/>
          <w:szCs w:val="20"/>
        </w:rPr>
        <w:t>resolutivo décimo</w:t>
      </w:r>
      <w:r w:rsidRPr="00B434D3">
        <w:rPr>
          <w:rFonts w:ascii="Verdana" w:hAnsi="Verdana"/>
          <w:sz w:val="20"/>
          <w:szCs w:val="20"/>
        </w:rPr>
        <w:t xml:space="preserve"> </w:t>
      </w:r>
      <w:r w:rsidR="00BB4253" w:rsidRPr="00B434D3">
        <w:rPr>
          <w:rFonts w:ascii="Verdana" w:hAnsi="Verdana"/>
          <w:sz w:val="20"/>
          <w:szCs w:val="20"/>
        </w:rPr>
        <w:t>tercero</w:t>
      </w:r>
      <w:r w:rsidRPr="00B434D3">
        <w:rPr>
          <w:rFonts w:ascii="Verdana" w:hAnsi="Verdana"/>
          <w:sz w:val="20"/>
          <w:szCs w:val="20"/>
        </w:rPr>
        <w:t xml:space="preserve"> y en los párrafos </w:t>
      </w:r>
      <w:r w:rsidR="00694665" w:rsidRPr="00B434D3">
        <w:rPr>
          <w:rFonts w:ascii="Verdana" w:hAnsi="Verdana"/>
          <w:sz w:val="20"/>
          <w:szCs w:val="20"/>
        </w:rPr>
        <w:t>26</w:t>
      </w:r>
      <w:r w:rsidR="00FD53F5" w:rsidRPr="00B434D3">
        <w:rPr>
          <w:rFonts w:ascii="Verdana" w:hAnsi="Verdana"/>
          <w:sz w:val="20"/>
          <w:szCs w:val="20"/>
        </w:rPr>
        <w:t>3 y</w:t>
      </w:r>
      <w:r w:rsidR="00694665" w:rsidRPr="00B434D3">
        <w:rPr>
          <w:rFonts w:ascii="Verdana" w:hAnsi="Verdana"/>
          <w:sz w:val="20"/>
          <w:szCs w:val="20"/>
        </w:rPr>
        <w:t xml:space="preserve"> 264 de la Sentencia la Corte dispuso que “[e]l Estado debe establecer un programa de formación para el personal judicial, del ministerio público, policial y penitenciario, incluyendo al personal médico, psiquiátrico y psicológico, sobre los principios y normas de protección de los derechos humanos en el tratamiento de los reclusos”</w:t>
      </w:r>
      <w:r w:rsidR="00FD53F5" w:rsidRPr="00B434D3">
        <w:rPr>
          <w:rStyle w:val="Refdenotaalpie"/>
          <w:rFonts w:ascii="Verdana" w:hAnsi="Verdana"/>
          <w:sz w:val="20"/>
          <w:szCs w:val="20"/>
        </w:rPr>
        <w:footnoteReference w:id="45"/>
      </w:r>
      <w:r w:rsidR="00FD53F5" w:rsidRPr="00B434D3">
        <w:rPr>
          <w:rFonts w:ascii="Verdana" w:hAnsi="Verdana"/>
          <w:sz w:val="20"/>
          <w:szCs w:val="20"/>
        </w:rPr>
        <w:t>, “relacionados con la detención de personas, sus derechos y garantías judiciales, el trato que deben recibir, sus condiciones de detención, tratamiento y control médico, el derecho a contar con un abogado, a recibir visitas, [y] a que los procesados y los condenados se alojen en instalaciones diferentes”.</w:t>
      </w:r>
      <w:r w:rsidR="00694665" w:rsidRPr="00B434D3">
        <w:rPr>
          <w:rFonts w:ascii="Verdana" w:hAnsi="Verdana"/>
          <w:sz w:val="20"/>
          <w:szCs w:val="20"/>
        </w:rPr>
        <w:t xml:space="preserve"> Además, estableció que</w:t>
      </w:r>
      <w:r w:rsidR="00402B27">
        <w:rPr>
          <w:rFonts w:ascii="Verdana" w:hAnsi="Verdana"/>
          <w:sz w:val="20"/>
          <w:szCs w:val="20"/>
        </w:rPr>
        <w:t>,</w:t>
      </w:r>
      <w:r w:rsidR="00694665" w:rsidRPr="00B434D3">
        <w:rPr>
          <w:rFonts w:ascii="Verdana" w:hAnsi="Verdana"/>
          <w:sz w:val="20"/>
          <w:szCs w:val="20"/>
        </w:rPr>
        <w:t xml:space="preserve"> “[p]ara estos efectos, el Estado deberá crear un comité</w:t>
      </w:r>
      <w:r w:rsidR="00694665" w:rsidRPr="0046353C">
        <w:rPr>
          <w:rFonts w:ascii="Verdana" w:hAnsi="Verdana"/>
          <w:sz w:val="20"/>
          <w:szCs w:val="20"/>
        </w:rPr>
        <w:t xml:space="preserve"> interinstitucional con </w:t>
      </w:r>
      <w:r w:rsidR="00694665" w:rsidRPr="0046353C">
        <w:rPr>
          <w:rFonts w:ascii="Verdana" w:hAnsi="Verdana"/>
          <w:sz w:val="20"/>
          <w:szCs w:val="20"/>
        </w:rPr>
        <w:lastRenderedPageBreak/>
        <w:t xml:space="preserve">el fin de definir y ejecutar </w:t>
      </w:r>
      <w:r w:rsidR="00EC2309">
        <w:rPr>
          <w:rFonts w:ascii="Verdana" w:hAnsi="Verdana"/>
          <w:sz w:val="20"/>
          <w:szCs w:val="20"/>
        </w:rPr>
        <w:t>[</w:t>
      </w:r>
      <w:r w:rsidR="00694665" w:rsidRPr="0046353C">
        <w:rPr>
          <w:rFonts w:ascii="Verdana" w:hAnsi="Verdana"/>
          <w:sz w:val="20"/>
          <w:szCs w:val="20"/>
        </w:rPr>
        <w:t>los</w:t>
      </w:r>
      <w:r w:rsidR="00EC2309">
        <w:rPr>
          <w:rFonts w:ascii="Verdana" w:hAnsi="Verdana"/>
          <w:sz w:val="20"/>
          <w:szCs w:val="20"/>
        </w:rPr>
        <w:t>]</w:t>
      </w:r>
      <w:r w:rsidR="00694665" w:rsidRPr="0046353C">
        <w:rPr>
          <w:rFonts w:ascii="Verdana" w:hAnsi="Verdana"/>
          <w:sz w:val="20"/>
          <w:szCs w:val="20"/>
        </w:rPr>
        <w:t xml:space="preserve"> programas de capacitación en derechos humanos y tratamiento </w:t>
      </w:r>
      <w:r w:rsidR="00694665" w:rsidRPr="00866F28">
        <w:rPr>
          <w:rFonts w:ascii="Verdana" w:hAnsi="Verdana"/>
          <w:sz w:val="20"/>
          <w:szCs w:val="20"/>
        </w:rPr>
        <w:t>de reclusos”</w:t>
      </w:r>
      <w:r w:rsidR="00694665" w:rsidRPr="00866F28">
        <w:rPr>
          <w:rStyle w:val="Refdenotaalpie"/>
          <w:rFonts w:ascii="Verdana" w:hAnsi="Verdana"/>
          <w:sz w:val="20"/>
          <w:szCs w:val="20"/>
        </w:rPr>
        <w:footnoteReference w:id="46"/>
      </w:r>
      <w:r w:rsidR="00694665" w:rsidRPr="00866F28">
        <w:rPr>
          <w:rFonts w:ascii="Verdana" w:hAnsi="Verdana"/>
          <w:sz w:val="20"/>
          <w:szCs w:val="20"/>
        </w:rPr>
        <w:t>.</w:t>
      </w:r>
    </w:p>
    <w:p w:rsidR="00E1461A" w:rsidRPr="00866F28" w:rsidRDefault="004346FC" w:rsidP="00BC4116">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866F28">
        <w:rPr>
          <w:rFonts w:ascii="Verdana" w:hAnsi="Verdana"/>
          <w:sz w:val="20"/>
          <w:szCs w:val="20"/>
        </w:rPr>
        <w:t xml:space="preserve">En la Resolución de </w:t>
      </w:r>
      <w:r w:rsidR="00BB4253" w:rsidRPr="00866F28">
        <w:rPr>
          <w:rFonts w:ascii="Verdana" w:hAnsi="Verdana"/>
          <w:sz w:val="20"/>
          <w:szCs w:val="20"/>
        </w:rPr>
        <w:t>marzo de 2011 la Corte “</w:t>
      </w:r>
      <w:proofErr w:type="spellStart"/>
      <w:r w:rsidR="00BB4253" w:rsidRPr="00866F28">
        <w:rPr>
          <w:rFonts w:ascii="Verdana" w:hAnsi="Verdana"/>
          <w:sz w:val="20"/>
          <w:szCs w:val="20"/>
        </w:rPr>
        <w:t>consider</w:t>
      </w:r>
      <w:proofErr w:type="spellEnd"/>
      <w:r w:rsidR="00BB4253" w:rsidRPr="00866F28">
        <w:rPr>
          <w:rFonts w:ascii="Verdana" w:hAnsi="Verdana"/>
          <w:sz w:val="20"/>
          <w:szCs w:val="20"/>
        </w:rPr>
        <w:t>[</w:t>
      </w:r>
      <w:proofErr w:type="spellStart"/>
      <w:r w:rsidR="00BB4253" w:rsidRPr="00866F28">
        <w:rPr>
          <w:rFonts w:ascii="Verdana" w:hAnsi="Verdana"/>
          <w:sz w:val="20"/>
          <w:szCs w:val="20"/>
        </w:rPr>
        <w:t>ó</w:t>
      </w:r>
      <w:proofErr w:type="spellEnd"/>
      <w:r w:rsidR="00BB4253" w:rsidRPr="00866F28">
        <w:rPr>
          <w:rFonts w:ascii="Verdana" w:hAnsi="Verdana"/>
          <w:sz w:val="20"/>
          <w:szCs w:val="20"/>
        </w:rPr>
        <w:t xml:space="preserve">] que el Estado </w:t>
      </w:r>
      <w:proofErr w:type="gramStart"/>
      <w:r w:rsidR="00BB4253" w:rsidRPr="00866F28">
        <w:rPr>
          <w:rFonts w:ascii="Verdana" w:hAnsi="Verdana"/>
          <w:sz w:val="20"/>
          <w:szCs w:val="20"/>
        </w:rPr>
        <w:t>ha[</w:t>
      </w:r>
      <w:proofErr w:type="spellStart"/>
      <w:proofErr w:type="gramEnd"/>
      <w:r w:rsidR="00BB4253" w:rsidRPr="00866F28">
        <w:rPr>
          <w:rFonts w:ascii="Verdana" w:hAnsi="Verdana"/>
          <w:sz w:val="20"/>
          <w:szCs w:val="20"/>
        </w:rPr>
        <w:t>bía</w:t>
      </w:r>
      <w:proofErr w:type="spellEnd"/>
      <w:r w:rsidR="00BB4253" w:rsidRPr="00866F28">
        <w:rPr>
          <w:rFonts w:ascii="Verdana" w:hAnsi="Verdana"/>
          <w:sz w:val="20"/>
          <w:szCs w:val="20"/>
        </w:rPr>
        <w:t xml:space="preserve">] cumplido parcialmente con el [referido] punto </w:t>
      </w:r>
      <w:r w:rsidR="006C7A0C" w:rsidRPr="00866F28">
        <w:rPr>
          <w:rFonts w:ascii="Verdana" w:hAnsi="Verdana"/>
          <w:sz w:val="20"/>
          <w:szCs w:val="20"/>
        </w:rPr>
        <w:t>resolutivo […] de la Sentencia[,] en lo que se refiere a capacitación de los miembros de la Policía Nacional y los jueces”</w:t>
      </w:r>
      <w:r w:rsidR="006C7A0C" w:rsidRPr="00866F28">
        <w:rPr>
          <w:rStyle w:val="Refdenotaalpie"/>
          <w:rFonts w:ascii="Verdana" w:hAnsi="Verdana"/>
          <w:sz w:val="20"/>
          <w:szCs w:val="20"/>
        </w:rPr>
        <w:footnoteReference w:id="47"/>
      </w:r>
      <w:r w:rsidR="006C7A0C" w:rsidRPr="00866F28">
        <w:rPr>
          <w:rFonts w:ascii="Verdana" w:hAnsi="Verdana"/>
          <w:sz w:val="20"/>
          <w:szCs w:val="20"/>
        </w:rPr>
        <w:t>. En lo que respecta a las capacitaciones de</w:t>
      </w:r>
      <w:r w:rsidR="003B254B">
        <w:rPr>
          <w:rFonts w:ascii="Verdana" w:hAnsi="Verdana"/>
          <w:sz w:val="20"/>
          <w:szCs w:val="20"/>
        </w:rPr>
        <w:t>l personal del ministerio público y penitenciario, el Tribunal declaró que mantendría abierto el procedimiento de supervisión de cumplimiento</w:t>
      </w:r>
      <w:r w:rsidR="003B254B">
        <w:rPr>
          <w:rStyle w:val="Refdenotaalpie"/>
          <w:rFonts w:ascii="Verdana" w:hAnsi="Verdana"/>
          <w:sz w:val="20"/>
          <w:szCs w:val="20"/>
        </w:rPr>
        <w:footnoteReference w:id="48"/>
      </w:r>
      <w:r w:rsidR="003B254B">
        <w:rPr>
          <w:rFonts w:ascii="Verdana" w:hAnsi="Verdana"/>
          <w:sz w:val="20"/>
          <w:szCs w:val="20"/>
        </w:rPr>
        <w:t xml:space="preserve"> y</w:t>
      </w:r>
      <w:r w:rsidR="00C25A07">
        <w:rPr>
          <w:rFonts w:ascii="Verdana" w:hAnsi="Verdana"/>
          <w:sz w:val="20"/>
          <w:szCs w:val="20"/>
        </w:rPr>
        <w:t>,</w:t>
      </w:r>
      <w:r w:rsidR="003B254B">
        <w:rPr>
          <w:rFonts w:ascii="Verdana" w:hAnsi="Verdana"/>
          <w:sz w:val="20"/>
          <w:szCs w:val="20"/>
        </w:rPr>
        <w:t xml:space="preserve"> en particular, en lo relativo a los programas de capacitación para</w:t>
      </w:r>
      <w:r w:rsidR="006C7A0C" w:rsidRPr="00866F28">
        <w:rPr>
          <w:rFonts w:ascii="Verdana" w:hAnsi="Verdana"/>
          <w:sz w:val="20"/>
          <w:szCs w:val="20"/>
        </w:rPr>
        <w:t xml:space="preserve"> </w:t>
      </w:r>
      <w:r w:rsidR="0046353C" w:rsidRPr="00866F28">
        <w:rPr>
          <w:rFonts w:ascii="Verdana" w:hAnsi="Verdana"/>
          <w:sz w:val="20"/>
          <w:szCs w:val="20"/>
        </w:rPr>
        <w:t>“guías penitenciarios y personal de salud (médico, psiquiátrico y psicológico)”, la Corte requirió al Estado “un detalle actualizado sobre la implementación de los programas para formar a las referidas personas</w:t>
      </w:r>
      <w:r w:rsidR="00E1461A" w:rsidRPr="00866F28">
        <w:rPr>
          <w:rFonts w:ascii="Verdana" w:hAnsi="Verdana"/>
          <w:sz w:val="20"/>
          <w:szCs w:val="20"/>
        </w:rPr>
        <w:t xml:space="preserve">, tales como: a) los módulos de capacitación diseñados al efecto; b) sobre quiénes estarían a cargo de la formación; c) las personas que recibirían la capacitación, y d) un cronograma </w:t>
      </w:r>
      <w:r w:rsidR="003B254B">
        <w:rPr>
          <w:rFonts w:ascii="Verdana" w:hAnsi="Verdana"/>
          <w:sz w:val="20"/>
          <w:szCs w:val="20"/>
        </w:rPr>
        <w:t>sobre las</w:t>
      </w:r>
      <w:r w:rsidR="00E1461A" w:rsidRPr="00866F28">
        <w:rPr>
          <w:rFonts w:ascii="Verdana" w:hAnsi="Verdana"/>
          <w:sz w:val="20"/>
          <w:szCs w:val="20"/>
        </w:rPr>
        <w:t xml:space="preserve"> actividades que se programen al respecto”</w:t>
      </w:r>
      <w:r w:rsidR="00BF177C" w:rsidRPr="00866F28">
        <w:rPr>
          <w:rStyle w:val="Refdenotaalpie"/>
          <w:rFonts w:ascii="Verdana" w:hAnsi="Verdana"/>
          <w:sz w:val="20"/>
          <w:szCs w:val="20"/>
        </w:rPr>
        <w:footnoteReference w:id="49"/>
      </w:r>
      <w:r w:rsidR="00E1461A" w:rsidRPr="00866F28">
        <w:rPr>
          <w:rFonts w:ascii="Verdana" w:hAnsi="Verdana"/>
          <w:sz w:val="20"/>
          <w:szCs w:val="20"/>
        </w:rPr>
        <w:t xml:space="preserve">. </w:t>
      </w:r>
    </w:p>
    <w:p w:rsidR="004346FC" w:rsidRPr="00866F28" w:rsidRDefault="00E1461A" w:rsidP="00BC4116">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866F28">
        <w:rPr>
          <w:rFonts w:ascii="Verdana" w:hAnsi="Verdana"/>
          <w:sz w:val="20"/>
          <w:szCs w:val="20"/>
        </w:rPr>
        <w:t xml:space="preserve">Adicionalmente, en relación con </w:t>
      </w:r>
      <w:r w:rsidR="00B22F85" w:rsidRPr="00866F28">
        <w:rPr>
          <w:rFonts w:ascii="Verdana" w:hAnsi="Verdana"/>
          <w:sz w:val="20"/>
          <w:szCs w:val="20"/>
        </w:rPr>
        <w:t xml:space="preserve">el componente de esta reparación relativo a “crear un </w:t>
      </w:r>
      <w:r w:rsidRPr="00866F28">
        <w:rPr>
          <w:rFonts w:ascii="Verdana" w:hAnsi="Verdana"/>
          <w:sz w:val="20"/>
          <w:szCs w:val="20"/>
        </w:rPr>
        <w:t>comité interinstitucional</w:t>
      </w:r>
      <w:r w:rsidR="00B22F85" w:rsidRPr="00866F28">
        <w:rPr>
          <w:rFonts w:ascii="Verdana" w:hAnsi="Verdana"/>
          <w:sz w:val="20"/>
          <w:szCs w:val="20"/>
        </w:rPr>
        <w:t>”</w:t>
      </w:r>
      <w:r w:rsidRPr="00866F28">
        <w:rPr>
          <w:rFonts w:ascii="Verdana" w:hAnsi="Verdana"/>
          <w:sz w:val="20"/>
          <w:szCs w:val="20"/>
        </w:rPr>
        <w:t xml:space="preserve"> la Corte tomó nota</w:t>
      </w:r>
      <w:r w:rsidR="00BB5DC9">
        <w:rPr>
          <w:rFonts w:ascii="Verdana" w:hAnsi="Verdana"/>
          <w:sz w:val="20"/>
          <w:szCs w:val="20"/>
        </w:rPr>
        <w:t>,</w:t>
      </w:r>
      <w:r w:rsidRPr="00866F28">
        <w:rPr>
          <w:rFonts w:ascii="Verdana" w:hAnsi="Verdana"/>
          <w:sz w:val="20"/>
          <w:szCs w:val="20"/>
        </w:rPr>
        <w:t xml:space="preserve"> en la referida resolución</w:t>
      </w:r>
      <w:r w:rsidR="00BB5DC9">
        <w:rPr>
          <w:rFonts w:ascii="Verdana" w:hAnsi="Verdana"/>
          <w:sz w:val="20"/>
          <w:szCs w:val="20"/>
        </w:rPr>
        <w:t>, respecto</w:t>
      </w:r>
      <w:r w:rsidR="00B22F85" w:rsidRPr="00866F28">
        <w:rPr>
          <w:rFonts w:ascii="Verdana" w:hAnsi="Verdana"/>
          <w:sz w:val="20"/>
          <w:szCs w:val="20"/>
        </w:rPr>
        <w:t xml:space="preserve"> de la creación en el año 2007 del Ministerio de </w:t>
      </w:r>
      <w:r w:rsidR="00BF177C" w:rsidRPr="00866F28">
        <w:rPr>
          <w:rFonts w:ascii="Verdana" w:hAnsi="Verdana"/>
          <w:sz w:val="20"/>
          <w:szCs w:val="20"/>
        </w:rPr>
        <w:t>Justicia y Derechos Humanos, el cual “se encarga, entre otros, de generar actividades de capacitación en derechos humanos para funcionarios del Estado” y que “ha realizado diversas diligencias en coordinación con otros entes del Estado para desarrollar las acciones nec</w:t>
      </w:r>
      <w:r w:rsidR="0022614D" w:rsidRPr="00866F28">
        <w:rPr>
          <w:rFonts w:ascii="Verdana" w:hAnsi="Verdana"/>
          <w:sz w:val="20"/>
          <w:szCs w:val="20"/>
        </w:rPr>
        <w:t xml:space="preserve">esarias para dar cumplimiento al presente </w:t>
      </w:r>
      <w:r w:rsidR="00BF177C" w:rsidRPr="00866F28">
        <w:rPr>
          <w:rFonts w:ascii="Verdana" w:hAnsi="Verdana"/>
          <w:sz w:val="20"/>
          <w:szCs w:val="20"/>
        </w:rPr>
        <w:t xml:space="preserve">punto resolutivo”. Al respecto, </w:t>
      </w:r>
      <w:r w:rsidR="008335AA">
        <w:rPr>
          <w:rFonts w:ascii="Verdana" w:hAnsi="Verdana"/>
          <w:sz w:val="20"/>
          <w:szCs w:val="20"/>
        </w:rPr>
        <w:t>el Tribunal</w:t>
      </w:r>
      <w:r w:rsidR="00BF177C" w:rsidRPr="00866F28">
        <w:rPr>
          <w:rFonts w:ascii="Verdana" w:hAnsi="Verdana"/>
          <w:sz w:val="20"/>
          <w:szCs w:val="20"/>
        </w:rPr>
        <w:t xml:space="preserve"> “</w:t>
      </w:r>
      <w:proofErr w:type="spellStart"/>
      <w:r w:rsidR="00BF177C" w:rsidRPr="00866F28">
        <w:rPr>
          <w:rFonts w:ascii="Verdana" w:hAnsi="Verdana"/>
          <w:sz w:val="20"/>
          <w:szCs w:val="20"/>
        </w:rPr>
        <w:t>estim</w:t>
      </w:r>
      <w:proofErr w:type="spellEnd"/>
      <w:r w:rsidR="00BF177C" w:rsidRPr="00866F28">
        <w:rPr>
          <w:rFonts w:ascii="Verdana" w:hAnsi="Verdana"/>
          <w:sz w:val="20"/>
          <w:szCs w:val="20"/>
        </w:rPr>
        <w:t>[</w:t>
      </w:r>
      <w:proofErr w:type="spellStart"/>
      <w:r w:rsidR="00BF177C" w:rsidRPr="00866F28">
        <w:rPr>
          <w:rFonts w:ascii="Verdana" w:hAnsi="Verdana"/>
          <w:sz w:val="20"/>
          <w:szCs w:val="20"/>
        </w:rPr>
        <w:t>ó</w:t>
      </w:r>
      <w:proofErr w:type="spellEnd"/>
      <w:r w:rsidR="00BF177C" w:rsidRPr="00866F28">
        <w:rPr>
          <w:rFonts w:ascii="Verdana" w:hAnsi="Verdana"/>
          <w:sz w:val="20"/>
          <w:szCs w:val="20"/>
        </w:rPr>
        <w:t xml:space="preserve">] necesario que las partes se </w:t>
      </w:r>
      <w:proofErr w:type="spellStart"/>
      <w:proofErr w:type="gramStart"/>
      <w:r w:rsidR="00BF177C" w:rsidRPr="00866F28">
        <w:rPr>
          <w:rFonts w:ascii="Verdana" w:hAnsi="Verdana"/>
          <w:sz w:val="20"/>
          <w:szCs w:val="20"/>
        </w:rPr>
        <w:t>refi</w:t>
      </w:r>
      <w:proofErr w:type="spellEnd"/>
      <w:r w:rsidR="00BF177C" w:rsidRPr="00866F28">
        <w:rPr>
          <w:rFonts w:ascii="Verdana" w:hAnsi="Verdana"/>
          <w:sz w:val="20"/>
          <w:szCs w:val="20"/>
        </w:rPr>
        <w:t>[</w:t>
      </w:r>
      <w:proofErr w:type="gramEnd"/>
      <w:r w:rsidR="00BF177C" w:rsidRPr="00866F28">
        <w:rPr>
          <w:rFonts w:ascii="Verdana" w:hAnsi="Verdana"/>
          <w:sz w:val="20"/>
          <w:szCs w:val="20"/>
        </w:rPr>
        <w:t xml:space="preserve">rieran] a actividades interinstitucionales que impulsa dicho Ministerio en coordinación con las otras entidades estatales, como posible </w:t>
      </w:r>
      <w:r w:rsidR="00C25A07">
        <w:rPr>
          <w:rFonts w:ascii="Verdana" w:hAnsi="Verdana"/>
          <w:sz w:val="20"/>
          <w:szCs w:val="20"/>
        </w:rPr>
        <w:t xml:space="preserve">espacio </w:t>
      </w:r>
      <w:r w:rsidR="008335AA">
        <w:rPr>
          <w:rFonts w:ascii="Verdana" w:hAnsi="Verdana"/>
          <w:sz w:val="20"/>
          <w:szCs w:val="20"/>
        </w:rPr>
        <w:t>de</w:t>
      </w:r>
      <w:r w:rsidR="005757D4">
        <w:rPr>
          <w:rFonts w:ascii="Verdana" w:hAnsi="Verdana"/>
          <w:sz w:val="20"/>
          <w:szCs w:val="20"/>
        </w:rPr>
        <w:t xml:space="preserve"> </w:t>
      </w:r>
      <w:r w:rsidR="00BF177C" w:rsidRPr="00866F28">
        <w:rPr>
          <w:rFonts w:ascii="Verdana" w:hAnsi="Verdana"/>
          <w:sz w:val="20"/>
          <w:szCs w:val="20"/>
        </w:rPr>
        <w:t>concreción de lo ordenado en [este] punto resolutivo</w:t>
      </w:r>
      <w:r w:rsidR="0022614D" w:rsidRPr="00866F28">
        <w:rPr>
          <w:rFonts w:ascii="Verdana" w:hAnsi="Verdana"/>
          <w:sz w:val="20"/>
          <w:szCs w:val="20"/>
        </w:rPr>
        <w:t xml:space="preserve"> de la Sentencia</w:t>
      </w:r>
      <w:r w:rsidR="00BF177C" w:rsidRPr="00866F28">
        <w:rPr>
          <w:rFonts w:ascii="Verdana" w:hAnsi="Verdana"/>
          <w:sz w:val="20"/>
          <w:szCs w:val="20"/>
        </w:rPr>
        <w:t>”</w:t>
      </w:r>
      <w:r w:rsidR="00E44782" w:rsidRPr="00866F28">
        <w:rPr>
          <w:rStyle w:val="Refdenotaalpie"/>
          <w:rFonts w:ascii="Verdana" w:hAnsi="Verdana"/>
          <w:sz w:val="20"/>
          <w:szCs w:val="20"/>
        </w:rPr>
        <w:footnoteReference w:id="50"/>
      </w:r>
      <w:r w:rsidR="00BF177C" w:rsidRPr="00866F28">
        <w:rPr>
          <w:rFonts w:ascii="Verdana" w:hAnsi="Verdana"/>
          <w:sz w:val="20"/>
          <w:szCs w:val="20"/>
        </w:rPr>
        <w:t xml:space="preserve">. </w:t>
      </w:r>
    </w:p>
    <w:p w:rsidR="00CF7C20" w:rsidRDefault="00CF7C20" w:rsidP="00BC4116">
      <w:pPr>
        <w:pStyle w:val="Prrafodelista"/>
        <w:autoSpaceDE w:val="0"/>
        <w:autoSpaceDN w:val="0"/>
        <w:adjustRightInd w:val="0"/>
        <w:spacing w:before="120" w:after="120" w:line="240" w:lineRule="auto"/>
        <w:ind w:left="0" w:firstLine="720"/>
        <w:contextualSpacing w:val="0"/>
        <w:jc w:val="both"/>
        <w:rPr>
          <w:rFonts w:ascii="Verdana" w:hAnsi="Verdana" w:cs="Arial"/>
          <w:i/>
          <w:sz w:val="20"/>
          <w:szCs w:val="20"/>
        </w:rPr>
      </w:pPr>
    </w:p>
    <w:p w:rsidR="00EF7608" w:rsidRDefault="00C228C3" w:rsidP="00BC4116">
      <w:pPr>
        <w:pStyle w:val="Prrafodelista"/>
        <w:autoSpaceDE w:val="0"/>
        <w:autoSpaceDN w:val="0"/>
        <w:adjustRightInd w:val="0"/>
        <w:spacing w:before="120" w:after="120" w:line="240" w:lineRule="auto"/>
        <w:ind w:left="0" w:firstLine="720"/>
        <w:contextualSpacing w:val="0"/>
        <w:jc w:val="both"/>
        <w:rPr>
          <w:rFonts w:ascii="Verdana" w:hAnsi="Verdana" w:cs="Arial"/>
          <w:i/>
          <w:sz w:val="20"/>
          <w:szCs w:val="20"/>
        </w:rPr>
      </w:pPr>
      <w:r w:rsidRPr="00866F28">
        <w:rPr>
          <w:rFonts w:ascii="Verdana" w:hAnsi="Verdana" w:cs="Arial"/>
          <w:i/>
          <w:sz w:val="20"/>
          <w:szCs w:val="20"/>
        </w:rPr>
        <w:t>B.2</w:t>
      </w:r>
      <w:r w:rsidR="00866F28">
        <w:rPr>
          <w:rFonts w:ascii="Verdana" w:hAnsi="Verdana" w:cs="Arial"/>
          <w:i/>
          <w:sz w:val="20"/>
          <w:szCs w:val="20"/>
        </w:rPr>
        <w:t>.</w:t>
      </w:r>
      <w:r w:rsidRPr="00866F28">
        <w:rPr>
          <w:rFonts w:ascii="Verdana" w:hAnsi="Verdana" w:cs="Arial"/>
          <w:i/>
          <w:sz w:val="20"/>
          <w:szCs w:val="20"/>
        </w:rPr>
        <w:t xml:space="preserve"> </w:t>
      </w:r>
      <w:r w:rsidR="00EF7608">
        <w:rPr>
          <w:rFonts w:ascii="Verdana" w:hAnsi="Verdana" w:cs="Arial"/>
          <w:i/>
          <w:sz w:val="20"/>
          <w:szCs w:val="20"/>
        </w:rPr>
        <w:t>Información y observaciones de las partes y de la Comisión Interamericana</w:t>
      </w:r>
    </w:p>
    <w:p w:rsidR="00EF7608" w:rsidRPr="0030288F" w:rsidRDefault="00760238" w:rsidP="00760238">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0288F">
        <w:rPr>
          <w:rFonts w:ascii="Verdana" w:hAnsi="Verdana"/>
          <w:sz w:val="20"/>
          <w:szCs w:val="20"/>
        </w:rPr>
        <w:t xml:space="preserve">El </w:t>
      </w:r>
      <w:r w:rsidRPr="0030288F">
        <w:rPr>
          <w:rFonts w:ascii="Verdana" w:hAnsi="Verdana"/>
          <w:i/>
          <w:sz w:val="20"/>
          <w:szCs w:val="20"/>
        </w:rPr>
        <w:t>Estado</w:t>
      </w:r>
      <w:r w:rsidRPr="0030288F">
        <w:rPr>
          <w:rFonts w:ascii="Verdana" w:hAnsi="Verdana"/>
          <w:sz w:val="20"/>
          <w:szCs w:val="20"/>
        </w:rPr>
        <w:t xml:space="preserve"> se refirió a las diversas medidas adoptadas </w:t>
      </w:r>
      <w:r w:rsidR="000468CD">
        <w:rPr>
          <w:rFonts w:ascii="Verdana" w:hAnsi="Verdana"/>
          <w:sz w:val="20"/>
          <w:szCs w:val="20"/>
        </w:rPr>
        <w:t>“</w:t>
      </w:r>
      <w:r w:rsidRPr="0030288F">
        <w:rPr>
          <w:rFonts w:ascii="Verdana" w:hAnsi="Verdana"/>
          <w:sz w:val="20"/>
          <w:szCs w:val="20"/>
        </w:rPr>
        <w:t>en el transcurso del 2012 y hasta el 2015 [por] la Unidad de Capacitación de la Dirección de Derechos Humanos del Ministerio de Justicia, Derechos Humanos y Cultos[, para] agentes de seguridad penitenciaria, personal administrativo de Centros de Rehabilitación Social, directores de centros de adolescentes infractores en conflicto con la [l]</w:t>
      </w:r>
      <w:proofErr w:type="spellStart"/>
      <w:r w:rsidRPr="0030288F">
        <w:rPr>
          <w:rFonts w:ascii="Verdana" w:hAnsi="Verdana"/>
          <w:sz w:val="20"/>
          <w:szCs w:val="20"/>
        </w:rPr>
        <w:t>ey</w:t>
      </w:r>
      <w:proofErr w:type="spellEnd"/>
      <w:r w:rsidRPr="0030288F">
        <w:rPr>
          <w:rFonts w:ascii="Verdana" w:hAnsi="Verdana"/>
          <w:sz w:val="20"/>
          <w:szCs w:val="20"/>
        </w:rPr>
        <w:t xml:space="preserve"> </w:t>
      </w:r>
      <w:r w:rsidR="005757D4">
        <w:rPr>
          <w:rFonts w:ascii="Verdana" w:hAnsi="Verdana"/>
          <w:sz w:val="20"/>
          <w:szCs w:val="20"/>
        </w:rPr>
        <w:t>[</w:t>
      </w:r>
      <w:r w:rsidRPr="0030288F">
        <w:rPr>
          <w:rFonts w:ascii="Verdana" w:hAnsi="Verdana"/>
          <w:sz w:val="20"/>
          <w:szCs w:val="20"/>
        </w:rPr>
        <w:t>p</w:t>
      </w:r>
      <w:r w:rsidR="005757D4">
        <w:rPr>
          <w:rFonts w:ascii="Verdana" w:hAnsi="Verdana"/>
          <w:sz w:val="20"/>
          <w:szCs w:val="20"/>
        </w:rPr>
        <w:t>]</w:t>
      </w:r>
      <w:proofErr w:type="spellStart"/>
      <w:r w:rsidRPr="0030288F">
        <w:rPr>
          <w:rFonts w:ascii="Verdana" w:hAnsi="Verdana"/>
          <w:sz w:val="20"/>
          <w:szCs w:val="20"/>
        </w:rPr>
        <w:t>enal</w:t>
      </w:r>
      <w:proofErr w:type="spellEnd"/>
      <w:r w:rsidRPr="0030288F">
        <w:rPr>
          <w:rFonts w:ascii="Verdana" w:hAnsi="Verdana"/>
          <w:sz w:val="20"/>
          <w:szCs w:val="20"/>
        </w:rPr>
        <w:t xml:space="preserve"> y miembros del Grupo Especial </w:t>
      </w:r>
      <w:proofErr w:type="spellStart"/>
      <w:r w:rsidRPr="0030288F">
        <w:rPr>
          <w:rFonts w:ascii="Verdana" w:hAnsi="Verdana"/>
          <w:sz w:val="20"/>
          <w:szCs w:val="20"/>
        </w:rPr>
        <w:t>Alpha</w:t>
      </w:r>
      <w:proofErr w:type="spellEnd"/>
      <w:r w:rsidRPr="0030288F">
        <w:rPr>
          <w:rFonts w:ascii="Verdana" w:hAnsi="Verdana"/>
          <w:sz w:val="20"/>
          <w:szCs w:val="20"/>
        </w:rPr>
        <w:t xml:space="preserve"> (GEA)- Unidad Élite de guías de tratamiento penitenciario”</w:t>
      </w:r>
      <w:r w:rsidR="00B73136">
        <w:rPr>
          <w:rFonts w:ascii="Verdana" w:hAnsi="Verdana"/>
          <w:sz w:val="20"/>
          <w:szCs w:val="20"/>
        </w:rPr>
        <w:t xml:space="preserve"> (</w:t>
      </w:r>
      <w:r w:rsidR="00B73136" w:rsidRPr="00A85E7E">
        <w:rPr>
          <w:rFonts w:ascii="Verdana" w:hAnsi="Verdana"/>
          <w:i/>
          <w:sz w:val="20"/>
          <w:szCs w:val="20"/>
        </w:rPr>
        <w:t>infra</w:t>
      </w:r>
      <w:r w:rsidR="00B73136">
        <w:rPr>
          <w:rFonts w:ascii="Verdana" w:hAnsi="Verdana"/>
          <w:sz w:val="20"/>
          <w:szCs w:val="20"/>
        </w:rPr>
        <w:t xml:space="preserve"> Considerando 26). También se refirió a otras acciones relativas a la suscripción de un convenio con el Comité Internacional de la Cruz Roja y el desarrollo de protocolos</w:t>
      </w:r>
      <w:r w:rsidR="00A85E7E">
        <w:rPr>
          <w:rFonts w:ascii="Verdana" w:hAnsi="Verdana"/>
          <w:sz w:val="20"/>
          <w:szCs w:val="20"/>
        </w:rPr>
        <w:t xml:space="preserve"> </w:t>
      </w:r>
      <w:r w:rsidR="00B73136">
        <w:rPr>
          <w:rFonts w:ascii="Verdana" w:hAnsi="Verdana"/>
          <w:sz w:val="20"/>
          <w:szCs w:val="20"/>
        </w:rPr>
        <w:t>sobre tortura y protección de los derechos de las personas privadas de libertad</w:t>
      </w:r>
      <w:r w:rsidR="00BC5FAA">
        <w:rPr>
          <w:rFonts w:ascii="Verdana" w:hAnsi="Verdana"/>
          <w:sz w:val="20"/>
          <w:szCs w:val="20"/>
        </w:rPr>
        <w:t xml:space="preserve"> </w:t>
      </w:r>
      <w:r w:rsidR="00A85E7E">
        <w:rPr>
          <w:rFonts w:ascii="Verdana" w:hAnsi="Verdana"/>
          <w:sz w:val="20"/>
          <w:szCs w:val="20"/>
        </w:rPr>
        <w:t>(</w:t>
      </w:r>
      <w:r w:rsidR="00A85E7E" w:rsidRPr="00A85E7E">
        <w:rPr>
          <w:rFonts w:ascii="Verdana" w:hAnsi="Verdana"/>
          <w:i/>
          <w:sz w:val="20"/>
          <w:szCs w:val="20"/>
        </w:rPr>
        <w:t>infra</w:t>
      </w:r>
      <w:r w:rsidR="00A85E7E">
        <w:rPr>
          <w:rFonts w:ascii="Verdana" w:hAnsi="Verdana"/>
          <w:sz w:val="20"/>
          <w:szCs w:val="20"/>
        </w:rPr>
        <w:t xml:space="preserve"> Considerando </w:t>
      </w:r>
      <w:r w:rsidR="00C240F3">
        <w:rPr>
          <w:rFonts w:ascii="Verdana" w:hAnsi="Verdana"/>
          <w:sz w:val="20"/>
          <w:szCs w:val="20"/>
        </w:rPr>
        <w:t>29</w:t>
      </w:r>
      <w:r w:rsidR="00BC5FAA">
        <w:rPr>
          <w:rFonts w:ascii="Verdana" w:hAnsi="Verdana"/>
          <w:sz w:val="20"/>
          <w:szCs w:val="20"/>
        </w:rPr>
        <w:t>)</w:t>
      </w:r>
      <w:r w:rsidRPr="0030288F">
        <w:rPr>
          <w:rFonts w:ascii="Verdana" w:hAnsi="Verdana"/>
          <w:sz w:val="20"/>
          <w:szCs w:val="20"/>
        </w:rPr>
        <w:t>.</w:t>
      </w:r>
      <w:r w:rsidRPr="0030288F">
        <w:rPr>
          <w:rFonts w:ascii="Verdana" w:hAnsi="Verdana"/>
          <w:b/>
          <w:sz w:val="16"/>
          <w:szCs w:val="16"/>
        </w:rPr>
        <w:t xml:space="preserve"> </w:t>
      </w:r>
      <w:r w:rsidRPr="0030288F">
        <w:rPr>
          <w:rFonts w:ascii="Verdana" w:hAnsi="Verdana"/>
          <w:sz w:val="20"/>
          <w:szCs w:val="20"/>
        </w:rPr>
        <w:t>Además, informó sobre medidas de capaci</w:t>
      </w:r>
      <w:r w:rsidR="0030288F" w:rsidRPr="0030288F">
        <w:rPr>
          <w:rFonts w:ascii="Verdana" w:hAnsi="Verdana"/>
          <w:sz w:val="20"/>
          <w:szCs w:val="20"/>
        </w:rPr>
        <w:t>tación para operadores de salud</w:t>
      </w:r>
      <w:r w:rsidR="00B73136">
        <w:rPr>
          <w:rFonts w:ascii="Verdana" w:hAnsi="Verdana"/>
          <w:sz w:val="20"/>
          <w:szCs w:val="20"/>
        </w:rPr>
        <w:t xml:space="preserve"> (</w:t>
      </w:r>
      <w:r w:rsidR="00B73136" w:rsidRPr="00B73136">
        <w:rPr>
          <w:rFonts w:ascii="Verdana" w:hAnsi="Verdana"/>
          <w:i/>
          <w:sz w:val="20"/>
          <w:szCs w:val="20"/>
        </w:rPr>
        <w:t xml:space="preserve">infra </w:t>
      </w:r>
      <w:r w:rsidR="00B73136">
        <w:rPr>
          <w:rFonts w:ascii="Verdana" w:hAnsi="Verdana"/>
          <w:sz w:val="20"/>
          <w:szCs w:val="20"/>
        </w:rPr>
        <w:t>Considerando 32)</w:t>
      </w:r>
      <w:r w:rsidR="0030288F" w:rsidRPr="0030288F">
        <w:rPr>
          <w:rFonts w:ascii="Verdana" w:hAnsi="Verdana"/>
          <w:sz w:val="20"/>
          <w:szCs w:val="20"/>
        </w:rPr>
        <w:t>.</w:t>
      </w:r>
      <w:r w:rsidRPr="0030288F">
        <w:rPr>
          <w:rFonts w:ascii="Verdana" w:hAnsi="Verdana"/>
          <w:sz w:val="20"/>
          <w:szCs w:val="20"/>
        </w:rPr>
        <w:t xml:space="preserve"> Al respecto, consideró </w:t>
      </w:r>
      <w:r w:rsidR="00130199" w:rsidRPr="0030288F">
        <w:rPr>
          <w:rFonts w:ascii="Verdana" w:hAnsi="Verdana"/>
          <w:sz w:val="20"/>
          <w:szCs w:val="20"/>
        </w:rPr>
        <w:t xml:space="preserve">que con estos esfuerzos “ha cumplido” con esta medida de reparación. </w:t>
      </w:r>
    </w:p>
    <w:p w:rsidR="00C908DD" w:rsidRPr="00FE23FE" w:rsidRDefault="00C908DD" w:rsidP="000468CD">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FE23FE">
        <w:rPr>
          <w:rFonts w:ascii="Verdana" w:hAnsi="Verdana"/>
          <w:sz w:val="20"/>
          <w:szCs w:val="20"/>
        </w:rPr>
        <w:lastRenderedPageBreak/>
        <w:t xml:space="preserve">Los </w:t>
      </w:r>
      <w:r w:rsidRPr="00FE23FE">
        <w:rPr>
          <w:rFonts w:ascii="Verdana" w:hAnsi="Verdana"/>
          <w:i/>
          <w:sz w:val="20"/>
          <w:szCs w:val="20"/>
        </w:rPr>
        <w:t>representantes</w:t>
      </w:r>
      <w:r w:rsidR="00EB54BA" w:rsidRPr="00FE23FE">
        <w:rPr>
          <w:rFonts w:ascii="Verdana" w:hAnsi="Verdana"/>
          <w:i/>
          <w:sz w:val="20"/>
          <w:szCs w:val="20"/>
        </w:rPr>
        <w:t xml:space="preserve"> de las víctimas</w:t>
      </w:r>
      <w:r w:rsidR="00EB54BA" w:rsidRPr="00FE23FE">
        <w:rPr>
          <w:rFonts w:ascii="Verdana" w:hAnsi="Verdana"/>
          <w:sz w:val="20"/>
          <w:szCs w:val="20"/>
        </w:rPr>
        <w:t xml:space="preserve"> </w:t>
      </w:r>
      <w:r w:rsidR="008A1BFA" w:rsidRPr="00FE23FE">
        <w:rPr>
          <w:rFonts w:ascii="Verdana" w:hAnsi="Verdana"/>
          <w:sz w:val="20"/>
          <w:szCs w:val="20"/>
        </w:rPr>
        <w:t>sostuvieron que</w:t>
      </w:r>
      <w:r w:rsidR="00B92968" w:rsidRPr="00FE23FE">
        <w:rPr>
          <w:rFonts w:ascii="Verdana" w:hAnsi="Verdana"/>
          <w:sz w:val="20"/>
          <w:szCs w:val="20"/>
        </w:rPr>
        <w:t>,</w:t>
      </w:r>
      <w:r w:rsidR="008A1BFA" w:rsidRPr="00FE23FE">
        <w:rPr>
          <w:rFonts w:ascii="Verdana" w:hAnsi="Verdana"/>
          <w:sz w:val="20"/>
          <w:szCs w:val="20"/>
        </w:rPr>
        <w:t xml:space="preserve"> de la información presentada por el Estado</w:t>
      </w:r>
      <w:r w:rsidR="00B92968" w:rsidRPr="00FE23FE">
        <w:rPr>
          <w:rFonts w:ascii="Verdana" w:hAnsi="Verdana"/>
          <w:sz w:val="20"/>
          <w:szCs w:val="20"/>
        </w:rPr>
        <w:t>,</w:t>
      </w:r>
      <w:r w:rsidR="008A1BFA" w:rsidRPr="00FE23FE">
        <w:rPr>
          <w:rFonts w:ascii="Verdana" w:hAnsi="Verdana"/>
          <w:sz w:val="20"/>
          <w:szCs w:val="20"/>
        </w:rPr>
        <w:t xml:space="preserve"> “no es posible concluir que haya dado pleno cumplimiento a esta medida de reparación”. O</w:t>
      </w:r>
      <w:r w:rsidR="00EB54BA" w:rsidRPr="00FE23FE">
        <w:rPr>
          <w:rFonts w:ascii="Verdana" w:hAnsi="Verdana"/>
          <w:sz w:val="20"/>
          <w:szCs w:val="20"/>
        </w:rPr>
        <w:t xml:space="preserve">bservaron que el Estado no ha cumplido con presentar la información que le fue requerida en la Resolución de marzo de 2011 </w:t>
      </w:r>
      <w:r w:rsidR="00EB54BA" w:rsidRPr="00FE23FE">
        <w:rPr>
          <w:rFonts w:ascii="Verdana" w:hAnsi="Verdana"/>
          <w:i/>
          <w:sz w:val="20"/>
          <w:szCs w:val="20"/>
        </w:rPr>
        <w:t>(supra</w:t>
      </w:r>
      <w:r w:rsidR="00EB54BA" w:rsidRPr="00FE23FE">
        <w:rPr>
          <w:rFonts w:ascii="Verdana" w:hAnsi="Verdana"/>
          <w:sz w:val="20"/>
          <w:szCs w:val="20"/>
        </w:rPr>
        <w:t xml:space="preserve"> Considerando 19)</w:t>
      </w:r>
      <w:r w:rsidR="00047A6D" w:rsidRPr="00FE23FE">
        <w:rPr>
          <w:rFonts w:ascii="Verdana" w:hAnsi="Verdana"/>
          <w:sz w:val="20"/>
          <w:szCs w:val="20"/>
        </w:rPr>
        <w:t>. En ese sentido, resaltaron que Ecuador “no incluye los módulos realizados</w:t>
      </w:r>
      <w:r w:rsidR="00E215A4">
        <w:rPr>
          <w:rFonts w:ascii="Verdana" w:hAnsi="Verdana"/>
          <w:sz w:val="20"/>
          <w:szCs w:val="20"/>
        </w:rPr>
        <w:t>”</w:t>
      </w:r>
      <w:r w:rsidR="00047A6D" w:rsidRPr="00FE23FE">
        <w:rPr>
          <w:rFonts w:ascii="Verdana" w:hAnsi="Verdana"/>
          <w:sz w:val="20"/>
          <w:szCs w:val="20"/>
        </w:rPr>
        <w:t xml:space="preserve">, </w:t>
      </w:r>
      <w:r w:rsidR="00E215A4">
        <w:rPr>
          <w:rFonts w:ascii="Verdana" w:hAnsi="Verdana"/>
          <w:sz w:val="20"/>
          <w:szCs w:val="20"/>
        </w:rPr>
        <w:t>“n[o]</w:t>
      </w:r>
      <w:r w:rsidR="00047A6D" w:rsidRPr="00FE23FE">
        <w:rPr>
          <w:rFonts w:ascii="Verdana" w:hAnsi="Verdana"/>
          <w:sz w:val="20"/>
          <w:szCs w:val="20"/>
        </w:rPr>
        <w:t xml:space="preserve">señala </w:t>
      </w:r>
      <w:r w:rsidR="00FE23FE" w:rsidRPr="00FE23FE">
        <w:rPr>
          <w:rFonts w:ascii="Verdana" w:hAnsi="Verdana"/>
          <w:sz w:val="20"/>
          <w:szCs w:val="20"/>
        </w:rPr>
        <w:t>los encargados de las capacitaciones para las mayorías de las fechas”</w:t>
      </w:r>
      <w:r w:rsidR="00E215A4">
        <w:rPr>
          <w:rFonts w:ascii="Verdana" w:hAnsi="Verdana"/>
          <w:sz w:val="20"/>
          <w:szCs w:val="20"/>
        </w:rPr>
        <w:t>, “no […] informa si se aplican tan sólo en una ocasión o si forman parte de un proceso continuo de formación”</w:t>
      </w:r>
      <w:r w:rsidR="00E215A4">
        <w:rPr>
          <w:rStyle w:val="Refdenotaalpie"/>
          <w:rFonts w:ascii="Verdana" w:hAnsi="Verdana"/>
          <w:sz w:val="20"/>
          <w:szCs w:val="20"/>
        </w:rPr>
        <w:footnoteReference w:id="51"/>
      </w:r>
      <w:r w:rsidR="00E215A4">
        <w:rPr>
          <w:rFonts w:ascii="Verdana" w:hAnsi="Verdana"/>
          <w:sz w:val="20"/>
          <w:szCs w:val="20"/>
        </w:rPr>
        <w:t>, y “n[o] aporta evidencia o indicador alguno del impacto [de las capacitaciones] que permita a la Corte valorar el efectivo cumplimiento de la medida”</w:t>
      </w:r>
      <w:r w:rsidR="00FE23FE" w:rsidRPr="00FE23FE">
        <w:rPr>
          <w:rFonts w:ascii="Verdana" w:hAnsi="Verdana"/>
          <w:sz w:val="20"/>
          <w:szCs w:val="20"/>
        </w:rPr>
        <w:t>.</w:t>
      </w:r>
      <w:r w:rsidR="00E215A4" w:rsidRPr="00CF07CC">
        <w:rPr>
          <w:rFonts w:ascii="Verdana" w:hAnsi="Verdana"/>
          <w:sz w:val="20"/>
          <w:szCs w:val="20"/>
        </w:rPr>
        <w:t xml:space="preserve"> </w:t>
      </w:r>
      <w:r w:rsidR="000A7128" w:rsidRPr="00FE23FE">
        <w:rPr>
          <w:rFonts w:ascii="Verdana" w:hAnsi="Verdana"/>
          <w:sz w:val="20"/>
          <w:szCs w:val="20"/>
        </w:rPr>
        <w:t xml:space="preserve">Añadieron que Ecuador </w:t>
      </w:r>
      <w:r w:rsidR="00EB54BA" w:rsidRPr="00FE23FE">
        <w:rPr>
          <w:rFonts w:ascii="Verdana" w:hAnsi="Verdana"/>
          <w:sz w:val="20"/>
          <w:szCs w:val="20"/>
        </w:rPr>
        <w:t>“[t]</w:t>
      </w:r>
      <w:proofErr w:type="spellStart"/>
      <w:r w:rsidR="00EB54BA" w:rsidRPr="00FE23FE">
        <w:rPr>
          <w:rFonts w:ascii="Verdana" w:hAnsi="Verdana"/>
          <w:sz w:val="20"/>
          <w:szCs w:val="20"/>
        </w:rPr>
        <w:t>ampoco</w:t>
      </w:r>
      <w:proofErr w:type="spellEnd"/>
      <w:r w:rsidR="00EB54BA" w:rsidRPr="00FE23FE">
        <w:rPr>
          <w:rFonts w:ascii="Verdana" w:hAnsi="Verdana"/>
          <w:sz w:val="20"/>
          <w:szCs w:val="20"/>
        </w:rPr>
        <w:t xml:space="preserve"> [ha] </w:t>
      </w:r>
      <w:proofErr w:type="gramStart"/>
      <w:r w:rsidR="00EB54BA" w:rsidRPr="00FE23FE">
        <w:rPr>
          <w:rFonts w:ascii="Verdana" w:hAnsi="Verdana"/>
          <w:sz w:val="20"/>
          <w:szCs w:val="20"/>
        </w:rPr>
        <w:t>realiza[</w:t>
      </w:r>
      <w:proofErr w:type="gramEnd"/>
      <w:r w:rsidR="00EB54BA" w:rsidRPr="00FE23FE">
        <w:rPr>
          <w:rFonts w:ascii="Verdana" w:hAnsi="Verdana"/>
          <w:sz w:val="20"/>
          <w:szCs w:val="20"/>
        </w:rPr>
        <w:t xml:space="preserve">do] capacitaciones para personal del Ministerio Público y personal médico, psiquiátrico y psicológico como </w:t>
      </w:r>
      <w:r w:rsidR="005757D4">
        <w:rPr>
          <w:rFonts w:ascii="Verdana" w:hAnsi="Verdana"/>
          <w:sz w:val="20"/>
          <w:szCs w:val="20"/>
        </w:rPr>
        <w:t>[</w:t>
      </w:r>
      <w:r w:rsidR="00EB54BA" w:rsidRPr="00FE23FE">
        <w:rPr>
          <w:rFonts w:ascii="Verdana" w:hAnsi="Verdana"/>
          <w:sz w:val="20"/>
          <w:szCs w:val="20"/>
        </w:rPr>
        <w:t>lo</w:t>
      </w:r>
      <w:r w:rsidR="005757D4">
        <w:rPr>
          <w:rFonts w:ascii="Verdana" w:hAnsi="Verdana"/>
          <w:sz w:val="20"/>
          <w:szCs w:val="20"/>
        </w:rPr>
        <w:t>]</w:t>
      </w:r>
      <w:r w:rsidR="00EB54BA" w:rsidRPr="00FE23FE">
        <w:rPr>
          <w:rFonts w:ascii="Verdana" w:hAnsi="Verdana"/>
          <w:sz w:val="20"/>
          <w:szCs w:val="20"/>
        </w:rPr>
        <w:t xml:space="preserve"> ordenó la Corte”</w:t>
      </w:r>
      <w:r w:rsidR="00E215A4">
        <w:rPr>
          <w:rStyle w:val="Refdenotaalpie"/>
          <w:rFonts w:ascii="Verdana" w:hAnsi="Verdana"/>
          <w:sz w:val="20"/>
          <w:szCs w:val="20"/>
        </w:rPr>
        <w:footnoteReference w:id="52"/>
      </w:r>
      <w:r w:rsidR="00EB54BA" w:rsidRPr="00FE23FE">
        <w:rPr>
          <w:rFonts w:ascii="Verdana" w:hAnsi="Verdana"/>
          <w:sz w:val="20"/>
          <w:szCs w:val="20"/>
        </w:rPr>
        <w:t>.</w:t>
      </w:r>
      <w:r w:rsidR="00E72395" w:rsidRPr="00FE23FE">
        <w:rPr>
          <w:rFonts w:ascii="Verdana" w:hAnsi="Verdana"/>
          <w:b/>
          <w:sz w:val="20"/>
          <w:szCs w:val="20"/>
        </w:rPr>
        <w:t xml:space="preserve"> </w:t>
      </w:r>
    </w:p>
    <w:p w:rsidR="00C908DD" w:rsidRPr="00047A6D" w:rsidRDefault="00EB54BA" w:rsidP="000468CD">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0468CD">
        <w:rPr>
          <w:rFonts w:ascii="Verdana" w:hAnsi="Verdana"/>
          <w:sz w:val="20"/>
          <w:szCs w:val="20"/>
        </w:rPr>
        <w:t xml:space="preserve">La </w:t>
      </w:r>
      <w:r w:rsidRPr="000468CD">
        <w:rPr>
          <w:rFonts w:ascii="Verdana" w:hAnsi="Verdana"/>
          <w:i/>
          <w:sz w:val="20"/>
          <w:szCs w:val="20"/>
        </w:rPr>
        <w:t>Comisión</w:t>
      </w:r>
      <w:r w:rsidR="00FF2F42">
        <w:rPr>
          <w:rFonts w:ascii="Verdana" w:hAnsi="Verdana"/>
          <w:i/>
          <w:sz w:val="20"/>
          <w:szCs w:val="20"/>
        </w:rPr>
        <w:t xml:space="preserve"> Interamericana</w:t>
      </w:r>
      <w:r w:rsidRPr="000468CD">
        <w:rPr>
          <w:rFonts w:ascii="Verdana" w:hAnsi="Verdana"/>
          <w:sz w:val="20"/>
          <w:szCs w:val="20"/>
        </w:rPr>
        <w:t xml:space="preserve"> “</w:t>
      </w:r>
      <w:proofErr w:type="spellStart"/>
      <w:r w:rsidRPr="000468CD">
        <w:rPr>
          <w:rFonts w:ascii="Verdana" w:hAnsi="Verdana"/>
          <w:sz w:val="20"/>
          <w:szCs w:val="20"/>
        </w:rPr>
        <w:t>observ</w:t>
      </w:r>
      <w:proofErr w:type="spellEnd"/>
      <w:r w:rsidRPr="000468CD">
        <w:rPr>
          <w:rFonts w:ascii="Verdana" w:hAnsi="Verdana"/>
          <w:sz w:val="20"/>
          <w:szCs w:val="20"/>
        </w:rPr>
        <w:t>[</w:t>
      </w:r>
      <w:proofErr w:type="spellStart"/>
      <w:r w:rsidRPr="000468CD">
        <w:rPr>
          <w:rFonts w:ascii="Verdana" w:hAnsi="Verdana"/>
          <w:sz w:val="20"/>
          <w:szCs w:val="20"/>
        </w:rPr>
        <w:t>ó</w:t>
      </w:r>
      <w:proofErr w:type="spellEnd"/>
      <w:r w:rsidRPr="000468CD">
        <w:rPr>
          <w:rFonts w:ascii="Verdana" w:hAnsi="Verdana"/>
          <w:sz w:val="20"/>
          <w:szCs w:val="20"/>
        </w:rPr>
        <w:t>] que las capacitaciones referidas por el Estado [en sus informes] no incluyen a personal judicial, del Ministerio Público, ni a personal médico, psiquiátrico o psicológico de los centros penitenciarios”, el cual</w:t>
      </w:r>
      <w:r w:rsidR="00FF2F42">
        <w:rPr>
          <w:rFonts w:ascii="Verdana" w:hAnsi="Verdana"/>
          <w:sz w:val="20"/>
          <w:szCs w:val="20"/>
        </w:rPr>
        <w:t>,</w:t>
      </w:r>
      <w:r w:rsidRPr="000468CD">
        <w:rPr>
          <w:rFonts w:ascii="Verdana" w:hAnsi="Verdana"/>
          <w:sz w:val="20"/>
          <w:szCs w:val="20"/>
        </w:rPr>
        <w:t xml:space="preserve"> según lo dispuesto en la Sentencia</w:t>
      </w:r>
      <w:r w:rsidR="00FF2F42">
        <w:rPr>
          <w:rFonts w:ascii="Verdana" w:hAnsi="Verdana"/>
          <w:sz w:val="20"/>
          <w:szCs w:val="20"/>
        </w:rPr>
        <w:t>,</w:t>
      </w:r>
      <w:r w:rsidRPr="000468CD">
        <w:rPr>
          <w:rFonts w:ascii="Verdana" w:hAnsi="Verdana"/>
          <w:sz w:val="20"/>
          <w:szCs w:val="20"/>
        </w:rPr>
        <w:t xml:space="preserve"> “también debía recibir los programas de formación y capacitación [en] derechos humanos, con énfasis en tratamiento de los reclusos”.</w:t>
      </w:r>
    </w:p>
    <w:p w:rsidR="00CF7C20" w:rsidRDefault="00CF7C20" w:rsidP="00EF7608">
      <w:pPr>
        <w:pStyle w:val="Prrafodelista"/>
        <w:autoSpaceDE w:val="0"/>
        <w:autoSpaceDN w:val="0"/>
        <w:adjustRightInd w:val="0"/>
        <w:spacing w:before="120" w:after="120" w:line="240" w:lineRule="auto"/>
        <w:ind w:left="360"/>
        <w:contextualSpacing w:val="0"/>
        <w:jc w:val="both"/>
        <w:rPr>
          <w:rFonts w:ascii="Verdana" w:hAnsi="Verdana" w:cs="Arial"/>
          <w:i/>
          <w:sz w:val="20"/>
          <w:szCs w:val="20"/>
        </w:rPr>
      </w:pPr>
    </w:p>
    <w:p w:rsidR="00EF7608" w:rsidRPr="00351C4E" w:rsidRDefault="00EF7608" w:rsidP="00EF7608">
      <w:pPr>
        <w:pStyle w:val="Prrafodelista"/>
        <w:autoSpaceDE w:val="0"/>
        <w:autoSpaceDN w:val="0"/>
        <w:adjustRightInd w:val="0"/>
        <w:spacing w:before="120" w:after="120" w:line="240" w:lineRule="auto"/>
        <w:ind w:left="360"/>
        <w:contextualSpacing w:val="0"/>
        <w:jc w:val="both"/>
        <w:rPr>
          <w:rFonts w:ascii="Verdana" w:hAnsi="Verdana" w:cs="Arial"/>
          <w:i/>
          <w:sz w:val="20"/>
          <w:szCs w:val="20"/>
        </w:rPr>
      </w:pPr>
      <w:r>
        <w:rPr>
          <w:rFonts w:ascii="Verdana" w:hAnsi="Verdana" w:cs="Arial"/>
          <w:i/>
          <w:sz w:val="20"/>
          <w:szCs w:val="20"/>
        </w:rPr>
        <w:t>B</w:t>
      </w:r>
      <w:r w:rsidRPr="00351C4E">
        <w:rPr>
          <w:rFonts w:ascii="Verdana" w:hAnsi="Verdana" w:cs="Arial"/>
          <w:i/>
          <w:sz w:val="20"/>
          <w:szCs w:val="20"/>
        </w:rPr>
        <w:t xml:space="preserve">.3. Consideraciones de la Corte </w:t>
      </w:r>
    </w:p>
    <w:p w:rsidR="00510A81" w:rsidRPr="00351C4E" w:rsidRDefault="00510A81" w:rsidP="00510A81">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51C4E">
        <w:rPr>
          <w:rFonts w:ascii="Verdana" w:hAnsi="Verdana"/>
          <w:sz w:val="20"/>
          <w:szCs w:val="20"/>
        </w:rPr>
        <w:t>La Corte estima pertinente recordar</w:t>
      </w:r>
      <w:r w:rsidR="00FF2F42">
        <w:rPr>
          <w:rFonts w:ascii="Verdana" w:hAnsi="Verdana"/>
          <w:sz w:val="20"/>
          <w:szCs w:val="20"/>
        </w:rPr>
        <w:t xml:space="preserve"> que</w:t>
      </w:r>
      <w:r w:rsidRPr="00351C4E">
        <w:rPr>
          <w:rFonts w:ascii="Verdana" w:hAnsi="Verdana"/>
          <w:sz w:val="20"/>
          <w:szCs w:val="20"/>
        </w:rPr>
        <w:t xml:space="preserve"> </w:t>
      </w:r>
      <w:r w:rsidR="00982261" w:rsidRPr="00351C4E">
        <w:rPr>
          <w:rFonts w:ascii="Verdana" w:hAnsi="Verdana"/>
          <w:sz w:val="20"/>
          <w:szCs w:val="20"/>
        </w:rPr>
        <w:t>para dar</w:t>
      </w:r>
      <w:r w:rsidRPr="00351C4E">
        <w:rPr>
          <w:rFonts w:ascii="Verdana" w:hAnsi="Verdana"/>
          <w:sz w:val="20"/>
          <w:szCs w:val="20"/>
        </w:rPr>
        <w:t xml:space="preserve"> cumplimiento </w:t>
      </w:r>
      <w:r w:rsidR="00982261" w:rsidRPr="00351C4E">
        <w:rPr>
          <w:rFonts w:ascii="Verdana" w:hAnsi="Verdana"/>
          <w:sz w:val="20"/>
          <w:szCs w:val="20"/>
        </w:rPr>
        <w:t>a</w:t>
      </w:r>
      <w:r w:rsidRPr="00351C4E">
        <w:rPr>
          <w:rFonts w:ascii="Verdana" w:hAnsi="Verdana"/>
          <w:sz w:val="20"/>
          <w:szCs w:val="20"/>
        </w:rPr>
        <w:t xml:space="preserve"> la reparación dispuesta en el punto resolutivo décimo tercero de la Sentencia (</w:t>
      </w:r>
      <w:r w:rsidRPr="00351C4E">
        <w:rPr>
          <w:rFonts w:ascii="Verdana" w:hAnsi="Verdana"/>
          <w:i/>
          <w:sz w:val="20"/>
          <w:szCs w:val="20"/>
        </w:rPr>
        <w:t>supra</w:t>
      </w:r>
      <w:r w:rsidRPr="00351C4E">
        <w:rPr>
          <w:rFonts w:ascii="Verdana" w:hAnsi="Verdana"/>
          <w:sz w:val="20"/>
          <w:szCs w:val="20"/>
        </w:rPr>
        <w:t xml:space="preserve"> Considerando 18) el Estado de</w:t>
      </w:r>
      <w:r w:rsidR="00982261" w:rsidRPr="00351C4E">
        <w:rPr>
          <w:rFonts w:ascii="Verdana" w:hAnsi="Verdana"/>
          <w:sz w:val="20"/>
          <w:szCs w:val="20"/>
        </w:rPr>
        <w:t>b</w:t>
      </w:r>
      <w:r w:rsidR="00B04232">
        <w:rPr>
          <w:rFonts w:ascii="Verdana" w:hAnsi="Verdana"/>
          <w:sz w:val="20"/>
          <w:szCs w:val="20"/>
        </w:rPr>
        <w:t>ía</w:t>
      </w:r>
      <w:r w:rsidRPr="00351C4E">
        <w:rPr>
          <w:rFonts w:ascii="Verdana" w:hAnsi="Verdana"/>
          <w:sz w:val="20"/>
          <w:szCs w:val="20"/>
        </w:rPr>
        <w:t>:</w:t>
      </w:r>
    </w:p>
    <w:p w:rsidR="00510A81" w:rsidRPr="00351C4E" w:rsidRDefault="00510A81" w:rsidP="00510A81">
      <w:pPr>
        <w:pStyle w:val="Prrafodelista"/>
        <w:numPr>
          <w:ilvl w:val="0"/>
          <w:numId w:val="16"/>
        </w:numPr>
        <w:autoSpaceDE w:val="0"/>
        <w:autoSpaceDN w:val="0"/>
        <w:adjustRightInd w:val="0"/>
        <w:spacing w:before="40" w:after="40" w:line="240" w:lineRule="auto"/>
        <w:ind w:left="714" w:hanging="357"/>
        <w:contextualSpacing w:val="0"/>
        <w:jc w:val="both"/>
        <w:rPr>
          <w:rFonts w:ascii="Verdana" w:hAnsi="Verdana"/>
          <w:sz w:val="20"/>
          <w:szCs w:val="20"/>
        </w:rPr>
      </w:pPr>
      <w:r w:rsidRPr="00351C4E">
        <w:rPr>
          <w:rFonts w:ascii="Verdana" w:hAnsi="Verdana"/>
          <w:sz w:val="20"/>
          <w:szCs w:val="20"/>
        </w:rPr>
        <w:t>establecer programas de capacitación sobre derechos humanos y tratamiento de reclusos para: a) personal judicial; b) personal del ministerio público</w:t>
      </w:r>
      <w:r w:rsidR="00E918B8">
        <w:rPr>
          <w:rFonts w:ascii="Verdana" w:hAnsi="Verdana"/>
          <w:sz w:val="20"/>
          <w:szCs w:val="20"/>
        </w:rPr>
        <w:t>;</w:t>
      </w:r>
      <w:r w:rsidRPr="00351C4E">
        <w:rPr>
          <w:rFonts w:ascii="Verdana" w:hAnsi="Verdana"/>
          <w:sz w:val="20"/>
          <w:szCs w:val="20"/>
        </w:rPr>
        <w:t xml:space="preserve"> c) personal policial y </w:t>
      </w:r>
      <w:r w:rsidR="00E918B8">
        <w:rPr>
          <w:rFonts w:ascii="Verdana" w:hAnsi="Verdana"/>
          <w:sz w:val="20"/>
          <w:szCs w:val="20"/>
        </w:rPr>
        <w:t xml:space="preserve">d) personal </w:t>
      </w:r>
      <w:r w:rsidRPr="00351C4E">
        <w:rPr>
          <w:rFonts w:ascii="Verdana" w:hAnsi="Verdana"/>
          <w:sz w:val="20"/>
          <w:szCs w:val="20"/>
        </w:rPr>
        <w:t>penitenciario (incluyendo al personal médico, psiquiátrico y psicológico</w:t>
      </w:r>
      <w:r w:rsidR="003A2379">
        <w:rPr>
          <w:rFonts w:ascii="Verdana" w:hAnsi="Verdana"/>
          <w:sz w:val="20"/>
          <w:szCs w:val="20"/>
        </w:rPr>
        <w:t>)</w:t>
      </w:r>
      <w:r w:rsidRPr="00351C4E">
        <w:rPr>
          <w:rFonts w:ascii="Verdana" w:hAnsi="Verdana"/>
          <w:sz w:val="20"/>
          <w:szCs w:val="20"/>
        </w:rPr>
        <w:t xml:space="preserve">, </w:t>
      </w:r>
    </w:p>
    <w:p w:rsidR="00510A81" w:rsidRPr="00351C4E" w:rsidRDefault="00510A81" w:rsidP="00510A81">
      <w:pPr>
        <w:pStyle w:val="Prrafodelista"/>
        <w:numPr>
          <w:ilvl w:val="0"/>
          <w:numId w:val="16"/>
        </w:numPr>
        <w:autoSpaceDE w:val="0"/>
        <w:autoSpaceDN w:val="0"/>
        <w:adjustRightInd w:val="0"/>
        <w:spacing w:before="40" w:after="40" w:line="240" w:lineRule="auto"/>
        <w:ind w:left="714" w:hanging="357"/>
        <w:contextualSpacing w:val="0"/>
        <w:jc w:val="both"/>
        <w:rPr>
          <w:rFonts w:ascii="Verdana" w:hAnsi="Verdana"/>
          <w:sz w:val="20"/>
          <w:szCs w:val="20"/>
        </w:rPr>
      </w:pPr>
      <w:r w:rsidRPr="00351C4E">
        <w:rPr>
          <w:rFonts w:ascii="Verdana" w:hAnsi="Verdana"/>
          <w:sz w:val="20"/>
          <w:szCs w:val="20"/>
        </w:rPr>
        <w:t xml:space="preserve">crear un comité interinstitucional con el fin de definir y ejecutar los referidos programas de capacitación. </w:t>
      </w:r>
    </w:p>
    <w:p w:rsidR="00510A81" w:rsidRPr="00351C4E" w:rsidRDefault="00510A81" w:rsidP="00510A81">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51C4E">
        <w:rPr>
          <w:rFonts w:ascii="Verdana" w:hAnsi="Verdana"/>
          <w:sz w:val="20"/>
          <w:szCs w:val="20"/>
        </w:rPr>
        <w:t>Con anterioridad</w:t>
      </w:r>
      <w:r w:rsidR="00982261" w:rsidRPr="00351C4E">
        <w:rPr>
          <w:rFonts w:ascii="Verdana" w:hAnsi="Verdana"/>
          <w:sz w:val="20"/>
          <w:szCs w:val="20"/>
        </w:rPr>
        <w:t>,</w:t>
      </w:r>
      <w:r w:rsidRPr="00351C4E">
        <w:rPr>
          <w:rFonts w:ascii="Verdana" w:hAnsi="Verdana"/>
          <w:sz w:val="20"/>
          <w:szCs w:val="20"/>
        </w:rPr>
        <w:t xml:space="preserve"> este Tribunal declaró que Estado </w:t>
      </w:r>
      <w:r w:rsidR="00982261" w:rsidRPr="00351C4E">
        <w:rPr>
          <w:rFonts w:ascii="Verdana" w:hAnsi="Verdana"/>
          <w:sz w:val="20"/>
          <w:szCs w:val="20"/>
        </w:rPr>
        <w:t xml:space="preserve">ya </w:t>
      </w:r>
      <w:r w:rsidRPr="00351C4E">
        <w:rPr>
          <w:rFonts w:ascii="Verdana" w:hAnsi="Verdana"/>
          <w:sz w:val="20"/>
          <w:szCs w:val="20"/>
        </w:rPr>
        <w:t xml:space="preserve">dio cumplimiento a las referidas capacitaciones para personal judicial </w:t>
      </w:r>
      <w:r w:rsidR="003A2379">
        <w:rPr>
          <w:rFonts w:ascii="Verdana" w:hAnsi="Verdana"/>
          <w:sz w:val="20"/>
          <w:szCs w:val="20"/>
        </w:rPr>
        <w:t xml:space="preserve">y policial </w:t>
      </w:r>
      <w:r w:rsidRPr="00351C4E">
        <w:rPr>
          <w:rFonts w:ascii="Verdana" w:hAnsi="Verdana"/>
          <w:sz w:val="20"/>
          <w:szCs w:val="20"/>
        </w:rPr>
        <w:t>(</w:t>
      </w:r>
      <w:r w:rsidRPr="00351C4E">
        <w:rPr>
          <w:rFonts w:ascii="Verdana" w:hAnsi="Verdana"/>
          <w:i/>
          <w:sz w:val="20"/>
          <w:szCs w:val="20"/>
        </w:rPr>
        <w:t>supra</w:t>
      </w:r>
      <w:r w:rsidRPr="00351C4E">
        <w:rPr>
          <w:rFonts w:ascii="Verdana" w:hAnsi="Verdana"/>
          <w:sz w:val="20"/>
          <w:szCs w:val="20"/>
        </w:rPr>
        <w:t xml:space="preserve"> Considerando 19). A continuación se valorará la información suministrada por Ecuador con respecto a los aspectos de esta reparación que se encuentran pendientes de acatamiento</w:t>
      </w:r>
      <w:r w:rsidR="00E918B8">
        <w:rPr>
          <w:rFonts w:ascii="Verdana" w:hAnsi="Verdana"/>
          <w:sz w:val="20"/>
          <w:szCs w:val="20"/>
        </w:rPr>
        <w:t xml:space="preserve"> (</w:t>
      </w:r>
      <w:r w:rsidR="00E918B8" w:rsidRPr="00CF07CC">
        <w:rPr>
          <w:rFonts w:ascii="Verdana" w:hAnsi="Verdana"/>
          <w:i/>
          <w:sz w:val="20"/>
          <w:szCs w:val="20"/>
        </w:rPr>
        <w:t xml:space="preserve">supra </w:t>
      </w:r>
      <w:r w:rsidR="00E918B8">
        <w:rPr>
          <w:rFonts w:ascii="Verdana" w:hAnsi="Verdana"/>
          <w:sz w:val="20"/>
          <w:szCs w:val="20"/>
        </w:rPr>
        <w:t>Considerandos 19 y 20)</w:t>
      </w:r>
      <w:r w:rsidRPr="00351C4E">
        <w:rPr>
          <w:rFonts w:ascii="Verdana" w:hAnsi="Verdana"/>
          <w:sz w:val="20"/>
          <w:szCs w:val="20"/>
        </w:rPr>
        <w:t>.</w:t>
      </w:r>
    </w:p>
    <w:p w:rsidR="009862A1" w:rsidRPr="009B3A42" w:rsidRDefault="00982261" w:rsidP="009B3A42">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En relación con </w:t>
      </w:r>
      <w:r w:rsidR="00510A81">
        <w:rPr>
          <w:rFonts w:ascii="Verdana" w:hAnsi="Verdana"/>
          <w:sz w:val="20"/>
          <w:szCs w:val="20"/>
        </w:rPr>
        <w:t>la implementación de capacitaciones para personal penitenciario (</w:t>
      </w:r>
      <w:r w:rsidR="00510A81" w:rsidRPr="00510A81">
        <w:rPr>
          <w:rFonts w:ascii="Verdana" w:hAnsi="Verdana"/>
          <w:i/>
          <w:sz w:val="20"/>
          <w:szCs w:val="20"/>
        </w:rPr>
        <w:t>supra</w:t>
      </w:r>
      <w:r w:rsidR="00510A81">
        <w:rPr>
          <w:rFonts w:ascii="Verdana" w:hAnsi="Verdana"/>
          <w:sz w:val="20"/>
          <w:szCs w:val="20"/>
        </w:rPr>
        <w:t xml:space="preserve"> Considerando 24.i</w:t>
      </w:r>
      <w:r w:rsidR="003B46D2">
        <w:rPr>
          <w:rFonts w:ascii="Verdana" w:hAnsi="Verdana"/>
          <w:sz w:val="20"/>
          <w:szCs w:val="20"/>
        </w:rPr>
        <w:t>.d</w:t>
      </w:r>
      <w:r w:rsidR="00510A81">
        <w:rPr>
          <w:rFonts w:ascii="Verdana" w:hAnsi="Verdana"/>
          <w:sz w:val="20"/>
          <w:szCs w:val="20"/>
        </w:rPr>
        <w:t xml:space="preserve">), </w:t>
      </w:r>
      <w:r w:rsidR="009B3A42">
        <w:rPr>
          <w:rFonts w:ascii="Verdana" w:hAnsi="Verdana"/>
          <w:sz w:val="20"/>
          <w:szCs w:val="20"/>
        </w:rPr>
        <w:t xml:space="preserve">en sus informes de mayo </w:t>
      </w:r>
      <w:r w:rsidR="003A2379">
        <w:rPr>
          <w:rFonts w:ascii="Verdana" w:hAnsi="Verdana"/>
          <w:sz w:val="20"/>
          <w:szCs w:val="20"/>
        </w:rPr>
        <w:t xml:space="preserve">de </w:t>
      </w:r>
      <w:r w:rsidR="009B3A42">
        <w:rPr>
          <w:rFonts w:ascii="Verdana" w:hAnsi="Verdana"/>
          <w:sz w:val="20"/>
          <w:szCs w:val="20"/>
        </w:rPr>
        <w:t>2012</w:t>
      </w:r>
      <w:r w:rsidR="009B3A42" w:rsidRPr="00CF07CC">
        <w:rPr>
          <w:rFonts w:ascii="Verdana" w:hAnsi="Verdana" w:cs="Arial"/>
          <w:sz w:val="16"/>
          <w:szCs w:val="16"/>
        </w:rPr>
        <w:t>,</w:t>
      </w:r>
      <w:r w:rsidR="009B3A42">
        <w:rPr>
          <w:rFonts w:ascii="Verdana" w:hAnsi="Verdana"/>
          <w:sz w:val="20"/>
          <w:szCs w:val="20"/>
        </w:rPr>
        <w:t xml:space="preserve"> abril de 2014</w:t>
      </w:r>
      <w:r w:rsidR="009B3A42" w:rsidRPr="00C21055">
        <w:rPr>
          <w:rFonts w:ascii="Verdana" w:hAnsi="Verdana"/>
          <w:b/>
          <w:sz w:val="16"/>
          <w:szCs w:val="16"/>
        </w:rPr>
        <w:t xml:space="preserve"> </w:t>
      </w:r>
      <w:r w:rsidR="009B3A42">
        <w:rPr>
          <w:rFonts w:ascii="Verdana" w:hAnsi="Verdana"/>
          <w:sz w:val="20"/>
          <w:szCs w:val="20"/>
        </w:rPr>
        <w:t>y de agosto de 2015</w:t>
      </w:r>
      <w:r w:rsidR="009B3A42">
        <w:rPr>
          <w:rFonts w:ascii="Verdana" w:hAnsi="Verdana"/>
          <w:b/>
          <w:sz w:val="16"/>
          <w:szCs w:val="16"/>
        </w:rPr>
        <w:t xml:space="preserve"> </w:t>
      </w:r>
      <w:r w:rsidR="009B3A42">
        <w:rPr>
          <w:rFonts w:ascii="Verdana" w:hAnsi="Verdana"/>
          <w:sz w:val="20"/>
          <w:szCs w:val="20"/>
        </w:rPr>
        <w:t xml:space="preserve">el Estado </w:t>
      </w:r>
      <w:r w:rsidR="00B92968">
        <w:rPr>
          <w:rFonts w:ascii="Verdana" w:hAnsi="Verdana"/>
          <w:sz w:val="20"/>
          <w:szCs w:val="20"/>
        </w:rPr>
        <w:t xml:space="preserve">se refirió a </w:t>
      </w:r>
      <w:r w:rsidR="009A3F11">
        <w:rPr>
          <w:rFonts w:ascii="Verdana" w:hAnsi="Verdana"/>
          <w:sz w:val="20"/>
          <w:szCs w:val="20"/>
        </w:rPr>
        <w:t xml:space="preserve">diversos talleres y capacitaciones y </w:t>
      </w:r>
      <w:r w:rsidR="00B92968">
        <w:rPr>
          <w:rFonts w:ascii="Verdana" w:hAnsi="Verdana"/>
          <w:sz w:val="20"/>
          <w:szCs w:val="20"/>
        </w:rPr>
        <w:t xml:space="preserve">a </w:t>
      </w:r>
      <w:r w:rsidR="009A3F11">
        <w:rPr>
          <w:rFonts w:ascii="Verdana" w:hAnsi="Verdana"/>
          <w:sz w:val="20"/>
          <w:szCs w:val="20"/>
        </w:rPr>
        <w:t>la suscripción de un convenio para capacitar</w:t>
      </w:r>
      <w:r w:rsidR="009B3A42">
        <w:rPr>
          <w:rFonts w:ascii="Verdana" w:hAnsi="Verdana"/>
          <w:sz w:val="20"/>
          <w:szCs w:val="20"/>
        </w:rPr>
        <w:t xml:space="preserve"> a personal penitenciario </w:t>
      </w:r>
      <w:r w:rsidR="009A3F11">
        <w:rPr>
          <w:rFonts w:ascii="Verdana" w:hAnsi="Verdana"/>
          <w:sz w:val="20"/>
          <w:szCs w:val="20"/>
        </w:rPr>
        <w:t>(</w:t>
      </w:r>
      <w:r w:rsidR="009B3A42" w:rsidRPr="0046353C">
        <w:rPr>
          <w:rFonts w:ascii="Verdana" w:hAnsi="Verdana"/>
          <w:sz w:val="20"/>
          <w:szCs w:val="20"/>
        </w:rPr>
        <w:t xml:space="preserve">incluyendo al </w:t>
      </w:r>
      <w:r w:rsidR="009B3A42">
        <w:rPr>
          <w:rFonts w:ascii="Verdana" w:hAnsi="Verdana"/>
          <w:sz w:val="20"/>
          <w:szCs w:val="20"/>
        </w:rPr>
        <w:t xml:space="preserve">personal </w:t>
      </w:r>
      <w:r w:rsidR="009B3A42" w:rsidRPr="0046353C">
        <w:rPr>
          <w:rFonts w:ascii="Verdana" w:hAnsi="Verdana"/>
          <w:sz w:val="20"/>
          <w:szCs w:val="20"/>
        </w:rPr>
        <w:t>médico, psiquiátrico y psicológico</w:t>
      </w:r>
      <w:r w:rsidR="009B3A42">
        <w:rPr>
          <w:rFonts w:ascii="Verdana" w:hAnsi="Verdana"/>
          <w:sz w:val="20"/>
          <w:szCs w:val="20"/>
        </w:rPr>
        <w:t>)</w:t>
      </w:r>
      <w:r w:rsidR="00304162">
        <w:rPr>
          <w:rFonts w:ascii="Verdana" w:hAnsi="Verdana"/>
          <w:sz w:val="20"/>
          <w:szCs w:val="20"/>
        </w:rPr>
        <w:t>, sin aportar documentación de respaldo</w:t>
      </w:r>
      <w:r w:rsidR="009B3A42">
        <w:rPr>
          <w:rFonts w:ascii="Verdana" w:hAnsi="Verdana"/>
          <w:sz w:val="20"/>
          <w:szCs w:val="20"/>
        </w:rPr>
        <w:t xml:space="preserve">. </w:t>
      </w:r>
      <w:r w:rsidR="00044347">
        <w:rPr>
          <w:rFonts w:ascii="Verdana" w:hAnsi="Verdana"/>
          <w:sz w:val="20"/>
          <w:szCs w:val="20"/>
        </w:rPr>
        <w:t xml:space="preserve">Los representantes </w:t>
      </w:r>
      <w:r w:rsidR="00E918B8">
        <w:rPr>
          <w:rFonts w:ascii="Verdana" w:hAnsi="Verdana"/>
          <w:sz w:val="20"/>
          <w:szCs w:val="20"/>
        </w:rPr>
        <w:t>de la</w:t>
      </w:r>
      <w:r w:rsidR="003A2379">
        <w:rPr>
          <w:rFonts w:ascii="Verdana" w:hAnsi="Verdana"/>
          <w:sz w:val="20"/>
          <w:szCs w:val="20"/>
        </w:rPr>
        <w:t>s</w:t>
      </w:r>
      <w:r w:rsidR="00E918B8">
        <w:rPr>
          <w:rFonts w:ascii="Verdana" w:hAnsi="Verdana"/>
          <w:sz w:val="20"/>
          <w:szCs w:val="20"/>
        </w:rPr>
        <w:t xml:space="preserve"> víctima</w:t>
      </w:r>
      <w:r w:rsidR="003A2379">
        <w:rPr>
          <w:rFonts w:ascii="Verdana" w:hAnsi="Verdana"/>
          <w:sz w:val="20"/>
          <w:szCs w:val="20"/>
        </w:rPr>
        <w:t>s</w:t>
      </w:r>
      <w:r w:rsidR="00E918B8">
        <w:rPr>
          <w:rFonts w:ascii="Verdana" w:hAnsi="Verdana"/>
          <w:sz w:val="20"/>
          <w:szCs w:val="20"/>
        </w:rPr>
        <w:t xml:space="preserve"> </w:t>
      </w:r>
      <w:r w:rsidR="00044347">
        <w:rPr>
          <w:rFonts w:ascii="Verdana" w:hAnsi="Verdana"/>
          <w:sz w:val="20"/>
          <w:szCs w:val="20"/>
        </w:rPr>
        <w:t>no objetaron que tales acciones hubieren sido realizadas, pero manifestaron su inconformidad con respecto a que las mismas no abarcan todos los parámetros dispuestos en la Sentencia</w:t>
      </w:r>
      <w:r w:rsidR="00FE23FE">
        <w:rPr>
          <w:rFonts w:ascii="Verdana" w:hAnsi="Verdana"/>
          <w:sz w:val="20"/>
          <w:szCs w:val="20"/>
        </w:rPr>
        <w:t xml:space="preserve"> (</w:t>
      </w:r>
      <w:r w:rsidR="00FE23FE" w:rsidRPr="00FE23FE">
        <w:rPr>
          <w:rFonts w:ascii="Verdana" w:hAnsi="Verdana"/>
          <w:i/>
          <w:sz w:val="20"/>
          <w:szCs w:val="20"/>
        </w:rPr>
        <w:t xml:space="preserve">supra </w:t>
      </w:r>
      <w:r w:rsidR="00FE23FE">
        <w:rPr>
          <w:rFonts w:ascii="Verdana" w:hAnsi="Verdana"/>
          <w:sz w:val="20"/>
          <w:szCs w:val="20"/>
        </w:rPr>
        <w:t>Considerando</w:t>
      </w:r>
      <w:r w:rsidR="00E918B8">
        <w:rPr>
          <w:rFonts w:ascii="Verdana" w:hAnsi="Verdana"/>
          <w:sz w:val="20"/>
          <w:szCs w:val="20"/>
        </w:rPr>
        <w:t>s 18 y</w:t>
      </w:r>
      <w:r w:rsidR="00FE23FE">
        <w:rPr>
          <w:rFonts w:ascii="Verdana" w:hAnsi="Verdana"/>
          <w:sz w:val="20"/>
          <w:szCs w:val="20"/>
        </w:rPr>
        <w:t xml:space="preserve"> 22)</w:t>
      </w:r>
      <w:r w:rsidR="00044347">
        <w:rPr>
          <w:rFonts w:ascii="Verdana" w:hAnsi="Verdana"/>
          <w:sz w:val="20"/>
          <w:szCs w:val="20"/>
        </w:rPr>
        <w:t xml:space="preserve">. </w:t>
      </w:r>
      <w:r w:rsidR="009B3A42">
        <w:rPr>
          <w:rFonts w:ascii="Verdana" w:hAnsi="Verdana"/>
          <w:sz w:val="20"/>
          <w:szCs w:val="20"/>
        </w:rPr>
        <w:t>Al respecto</w:t>
      </w:r>
      <w:r w:rsidR="00E918B8">
        <w:rPr>
          <w:rFonts w:ascii="Verdana" w:hAnsi="Verdana"/>
          <w:sz w:val="20"/>
          <w:szCs w:val="20"/>
        </w:rPr>
        <w:t xml:space="preserve"> de las acciones realizadas</w:t>
      </w:r>
      <w:r w:rsidR="009B3A42">
        <w:rPr>
          <w:rFonts w:ascii="Verdana" w:hAnsi="Verdana"/>
          <w:sz w:val="20"/>
          <w:szCs w:val="20"/>
        </w:rPr>
        <w:t xml:space="preserve">, </w:t>
      </w:r>
      <w:r w:rsidR="009B3A42" w:rsidRPr="00CF07CC">
        <w:rPr>
          <w:rFonts w:ascii="Verdana" w:hAnsi="Verdana"/>
          <w:i/>
          <w:sz w:val="20"/>
          <w:szCs w:val="20"/>
        </w:rPr>
        <w:t xml:space="preserve">Ecuador </w:t>
      </w:r>
      <w:r w:rsidR="009B3A42">
        <w:rPr>
          <w:rFonts w:ascii="Verdana" w:hAnsi="Verdana"/>
          <w:sz w:val="20"/>
          <w:szCs w:val="20"/>
        </w:rPr>
        <w:t>sostuvo que</w:t>
      </w:r>
      <w:r w:rsidR="001C0339" w:rsidRPr="009B3A42">
        <w:rPr>
          <w:rFonts w:ascii="Verdana" w:hAnsi="Verdana"/>
          <w:sz w:val="20"/>
          <w:szCs w:val="20"/>
        </w:rPr>
        <w:t>:</w:t>
      </w:r>
    </w:p>
    <w:p w:rsidR="009862A1" w:rsidRDefault="009862A1" w:rsidP="009862A1">
      <w:pPr>
        <w:pStyle w:val="Prrafodelista"/>
        <w:numPr>
          <w:ilvl w:val="0"/>
          <w:numId w:val="13"/>
        </w:numPr>
        <w:autoSpaceDE w:val="0"/>
        <w:autoSpaceDN w:val="0"/>
        <w:adjustRightInd w:val="0"/>
        <w:spacing w:before="120" w:after="120" w:line="240" w:lineRule="auto"/>
        <w:contextualSpacing w:val="0"/>
        <w:jc w:val="both"/>
        <w:rPr>
          <w:rFonts w:ascii="Verdana" w:hAnsi="Verdana"/>
          <w:sz w:val="20"/>
          <w:szCs w:val="20"/>
        </w:rPr>
      </w:pPr>
      <w:r w:rsidRPr="0030288F">
        <w:rPr>
          <w:rFonts w:ascii="Verdana" w:hAnsi="Verdana"/>
          <w:sz w:val="20"/>
          <w:szCs w:val="20"/>
        </w:rPr>
        <w:t xml:space="preserve">en el año 2012 se impartió el “Módulo de capacitación de derechos humanos de las personas privadas de libertad, dirigidos al personal penitenciario (incluyendo personal médico, psiquiátrico y psicológico)” a 1039 “aspirantes a guías </w:t>
      </w:r>
      <w:r w:rsidRPr="0030288F">
        <w:rPr>
          <w:rFonts w:ascii="Verdana" w:hAnsi="Verdana"/>
          <w:sz w:val="20"/>
          <w:szCs w:val="20"/>
        </w:rPr>
        <w:lastRenderedPageBreak/>
        <w:t>penitenciarios”</w:t>
      </w:r>
      <w:r w:rsidR="00C72FA4" w:rsidRPr="0030288F">
        <w:rPr>
          <w:rFonts w:ascii="Verdana" w:hAnsi="Verdana"/>
          <w:sz w:val="20"/>
          <w:szCs w:val="20"/>
        </w:rPr>
        <w:t xml:space="preserve"> que asisten a la Escuela de Guías Penitenciarios</w:t>
      </w:r>
      <w:r w:rsidRPr="0030288F">
        <w:rPr>
          <w:rStyle w:val="Refdenotaalpie"/>
          <w:rFonts w:ascii="Verdana" w:hAnsi="Verdana"/>
          <w:sz w:val="20"/>
          <w:szCs w:val="20"/>
        </w:rPr>
        <w:footnoteReference w:id="53"/>
      </w:r>
      <w:r w:rsidRPr="0030288F">
        <w:rPr>
          <w:rFonts w:ascii="Verdana" w:hAnsi="Verdana"/>
          <w:sz w:val="20"/>
          <w:szCs w:val="20"/>
        </w:rPr>
        <w:t>.</w:t>
      </w:r>
      <w:r w:rsidRPr="0030288F">
        <w:rPr>
          <w:rFonts w:ascii="Verdana" w:hAnsi="Verdana"/>
          <w:b/>
          <w:sz w:val="16"/>
          <w:szCs w:val="16"/>
        </w:rPr>
        <w:t xml:space="preserve"> </w:t>
      </w:r>
      <w:r w:rsidRPr="0030288F">
        <w:rPr>
          <w:rFonts w:ascii="Verdana" w:hAnsi="Verdana"/>
          <w:sz w:val="20"/>
          <w:szCs w:val="20"/>
        </w:rPr>
        <w:t>Entre los temas de estudio de este módulo se encuentran</w:t>
      </w:r>
      <w:r w:rsidR="00794923">
        <w:rPr>
          <w:rFonts w:ascii="Verdana" w:hAnsi="Verdana"/>
          <w:sz w:val="20"/>
          <w:szCs w:val="20"/>
        </w:rPr>
        <w:t>:</w:t>
      </w:r>
      <w:r w:rsidRPr="0030288F">
        <w:rPr>
          <w:rFonts w:ascii="Verdana" w:hAnsi="Verdana"/>
          <w:sz w:val="20"/>
          <w:szCs w:val="20"/>
        </w:rPr>
        <w:t xml:space="preserve"> los “[e]</w:t>
      </w:r>
      <w:proofErr w:type="spellStart"/>
      <w:r w:rsidRPr="0030288F">
        <w:rPr>
          <w:rFonts w:ascii="Verdana" w:hAnsi="Verdana"/>
          <w:sz w:val="20"/>
          <w:szCs w:val="20"/>
        </w:rPr>
        <w:t>st</w:t>
      </w:r>
      <w:r w:rsidR="00E918B8">
        <w:rPr>
          <w:rFonts w:ascii="Verdana" w:hAnsi="Verdana"/>
          <w:sz w:val="20"/>
          <w:szCs w:val="20"/>
        </w:rPr>
        <w:t>á</w:t>
      </w:r>
      <w:r w:rsidRPr="0030288F">
        <w:rPr>
          <w:rFonts w:ascii="Verdana" w:hAnsi="Verdana"/>
          <w:sz w:val="20"/>
          <w:szCs w:val="20"/>
        </w:rPr>
        <w:t>ndares</w:t>
      </w:r>
      <w:proofErr w:type="spellEnd"/>
      <w:r w:rsidRPr="0030288F">
        <w:rPr>
          <w:rFonts w:ascii="Verdana" w:hAnsi="Verdana"/>
          <w:sz w:val="20"/>
          <w:szCs w:val="20"/>
        </w:rPr>
        <w:t xml:space="preserve"> internacionales sobre el manejo de personas privadas de libertad”</w:t>
      </w:r>
      <w:r w:rsidR="00312044">
        <w:rPr>
          <w:rFonts w:ascii="Verdana" w:hAnsi="Verdana"/>
          <w:sz w:val="20"/>
          <w:szCs w:val="20"/>
        </w:rPr>
        <w:t>;</w:t>
      </w:r>
      <w:r w:rsidRPr="0030288F">
        <w:rPr>
          <w:rFonts w:ascii="Verdana" w:hAnsi="Verdana"/>
          <w:sz w:val="20"/>
          <w:szCs w:val="20"/>
        </w:rPr>
        <w:t xml:space="preserve"> el “estatus ju</w:t>
      </w:r>
      <w:r w:rsidR="00383D77">
        <w:rPr>
          <w:rFonts w:ascii="Verdana" w:hAnsi="Verdana"/>
          <w:sz w:val="20"/>
          <w:szCs w:val="20"/>
        </w:rPr>
        <w:t>r</w:t>
      </w:r>
      <w:r w:rsidRPr="0030288F">
        <w:rPr>
          <w:rFonts w:ascii="Verdana" w:hAnsi="Verdana"/>
          <w:sz w:val="20"/>
          <w:szCs w:val="20"/>
        </w:rPr>
        <w:t>ídico” y “[r]</w:t>
      </w:r>
      <w:proofErr w:type="spellStart"/>
      <w:r w:rsidRPr="0030288F">
        <w:rPr>
          <w:rFonts w:ascii="Verdana" w:hAnsi="Verdana"/>
          <w:sz w:val="20"/>
          <w:szCs w:val="20"/>
        </w:rPr>
        <w:t>econocimiento</w:t>
      </w:r>
      <w:proofErr w:type="spellEnd"/>
      <w:r w:rsidRPr="0030288F">
        <w:rPr>
          <w:rFonts w:ascii="Verdana" w:hAnsi="Verdana"/>
          <w:sz w:val="20"/>
          <w:szCs w:val="20"/>
        </w:rPr>
        <w:t xml:space="preserve"> de </w:t>
      </w:r>
      <w:r w:rsidR="00383D77">
        <w:rPr>
          <w:rFonts w:ascii="Verdana" w:hAnsi="Verdana"/>
          <w:sz w:val="20"/>
          <w:szCs w:val="20"/>
        </w:rPr>
        <w:t>[</w:t>
      </w:r>
      <w:r w:rsidRPr="0030288F">
        <w:rPr>
          <w:rFonts w:ascii="Verdana" w:hAnsi="Verdana"/>
          <w:sz w:val="20"/>
          <w:szCs w:val="20"/>
        </w:rPr>
        <w:t>los</w:t>
      </w:r>
      <w:r w:rsidR="00383D77">
        <w:rPr>
          <w:rFonts w:ascii="Verdana" w:hAnsi="Verdana"/>
          <w:sz w:val="20"/>
          <w:szCs w:val="20"/>
        </w:rPr>
        <w:t>]</w:t>
      </w:r>
      <w:r w:rsidRPr="0030288F">
        <w:rPr>
          <w:rFonts w:ascii="Verdana" w:hAnsi="Verdana"/>
          <w:sz w:val="20"/>
          <w:szCs w:val="20"/>
        </w:rPr>
        <w:t xml:space="preserve"> derechos [humanos] de las personas privadas de libertad”</w:t>
      </w:r>
      <w:r w:rsidR="00312044">
        <w:rPr>
          <w:rFonts w:ascii="Verdana" w:hAnsi="Verdana"/>
          <w:sz w:val="20"/>
          <w:szCs w:val="20"/>
        </w:rPr>
        <w:t>;</w:t>
      </w:r>
      <w:r w:rsidRPr="0030288F">
        <w:rPr>
          <w:rFonts w:ascii="Verdana" w:hAnsi="Verdana"/>
          <w:sz w:val="20"/>
          <w:szCs w:val="20"/>
        </w:rPr>
        <w:t xml:space="preserve"> </w:t>
      </w:r>
      <w:r w:rsidR="00312044">
        <w:rPr>
          <w:rFonts w:ascii="Verdana" w:hAnsi="Verdana"/>
          <w:sz w:val="20"/>
          <w:szCs w:val="20"/>
        </w:rPr>
        <w:t xml:space="preserve">y </w:t>
      </w:r>
      <w:r w:rsidRPr="0030288F">
        <w:rPr>
          <w:rFonts w:ascii="Verdana" w:hAnsi="Verdana"/>
          <w:sz w:val="20"/>
          <w:szCs w:val="20"/>
        </w:rPr>
        <w:t>los derechos de las personas privadas de libertad en el derecho interno, en el derecho internacional de los derechos humanos, en general, y en el Sistema Interamericano. También se incluyó el estudio de la Sentencia emitida por la Corte en el presente caso.</w:t>
      </w:r>
      <w:r w:rsidRPr="008379F3">
        <w:rPr>
          <w:rFonts w:ascii="Verdana" w:hAnsi="Verdana"/>
          <w:sz w:val="20"/>
          <w:szCs w:val="20"/>
        </w:rPr>
        <w:t xml:space="preserve"> </w:t>
      </w:r>
      <w:r w:rsidR="00C72FA4">
        <w:rPr>
          <w:rFonts w:ascii="Verdana" w:hAnsi="Verdana"/>
          <w:sz w:val="20"/>
          <w:szCs w:val="20"/>
        </w:rPr>
        <w:t xml:space="preserve">Agregó que la intención era “integrar el </w:t>
      </w:r>
      <w:r w:rsidR="00383D77">
        <w:rPr>
          <w:rFonts w:ascii="Verdana" w:hAnsi="Verdana"/>
          <w:sz w:val="20"/>
          <w:szCs w:val="20"/>
        </w:rPr>
        <w:t>[</w:t>
      </w:r>
      <w:r w:rsidR="00C72FA4">
        <w:rPr>
          <w:rFonts w:ascii="Verdana" w:hAnsi="Verdana"/>
          <w:sz w:val="20"/>
          <w:szCs w:val="20"/>
        </w:rPr>
        <w:t>referido</w:t>
      </w:r>
      <w:r w:rsidR="00383D77">
        <w:rPr>
          <w:rFonts w:ascii="Verdana" w:hAnsi="Verdana"/>
          <w:sz w:val="20"/>
          <w:szCs w:val="20"/>
        </w:rPr>
        <w:t>]</w:t>
      </w:r>
      <w:r w:rsidR="00C72FA4">
        <w:rPr>
          <w:rFonts w:ascii="Verdana" w:hAnsi="Verdana"/>
          <w:sz w:val="20"/>
          <w:szCs w:val="20"/>
        </w:rPr>
        <w:t xml:space="preserve"> módulo” a una plataforma de “capacitaciones virtuales” para servidores públicos, con el fin de que “llegue al mayor número de personas que trabajan en el Estado”. </w:t>
      </w:r>
      <w:r w:rsidRPr="00507754">
        <w:rPr>
          <w:rFonts w:ascii="Verdana" w:hAnsi="Verdana"/>
          <w:sz w:val="20"/>
          <w:szCs w:val="20"/>
        </w:rPr>
        <w:t>Además, Ecuador indicó que se habrían capacitado a 93 “miembros de</w:t>
      </w:r>
      <w:r w:rsidR="00A85E7E">
        <w:rPr>
          <w:rFonts w:ascii="Verdana" w:hAnsi="Verdana"/>
          <w:sz w:val="20"/>
          <w:szCs w:val="20"/>
        </w:rPr>
        <w:t>l</w:t>
      </w:r>
      <w:r w:rsidRPr="00507754">
        <w:rPr>
          <w:rFonts w:ascii="Verdana" w:hAnsi="Verdana"/>
          <w:sz w:val="20"/>
          <w:szCs w:val="20"/>
        </w:rPr>
        <w:t xml:space="preserve"> </w:t>
      </w:r>
      <w:proofErr w:type="gramStart"/>
      <w:r w:rsidRPr="00507754">
        <w:rPr>
          <w:rFonts w:ascii="Verdana" w:hAnsi="Verdana"/>
          <w:sz w:val="20"/>
          <w:szCs w:val="20"/>
        </w:rPr>
        <w:t>G[</w:t>
      </w:r>
      <w:proofErr w:type="spellStart"/>
      <w:proofErr w:type="gramEnd"/>
      <w:r w:rsidRPr="00507754">
        <w:rPr>
          <w:rFonts w:ascii="Verdana" w:hAnsi="Verdana"/>
          <w:sz w:val="20"/>
          <w:szCs w:val="20"/>
        </w:rPr>
        <w:t>rupo</w:t>
      </w:r>
      <w:proofErr w:type="spellEnd"/>
      <w:r w:rsidRPr="00507754">
        <w:rPr>
          <w:rFonts w:ascii="Verdana" w:hAnsi="Verdana"/>
          <w:sz w:val="20"/>
          <w:szCs w:val="20"/>
        </w:rPr>
        <w:t xml:space="preserve"> Especial </w:t>
      </w:r>
      <w:proofErr w:type="spellStart"/>
      <w:r w:rsidRPr="00507754">
        <w:rPr>
          <w:rFonts w:ascii="Verdana" w:hAnsi="Verdana"/>
          <w:sz w:val="20"/>
          <w:szCs w:val="20"/>
        </w:rPr>
        <w:t>Alpha</w:t>
      </w:r>
      <w:proofErr w:type="spellEnd"/>
      <w:r w:rsidRPr="00507754">
        <w:rPr>
          <w:rFonts w:ascii="Verdana" w:hAnsi="Verdana"/>
          <w:sz w:val="20"/>
          <w:szCs w:val="20"/>
        </w:rPr>
        <w:t xml:space="preserve"> (GEA)- Unidad Élite de guías de tratamiento penitenciario</w:t>
      </w:r>
      <w:r w:rsidR="00E85CB8">
        <w:rPr>
          <w:rFonts w:ascii="Verdana" w:hAnsi="Verdana"/>
          <w:sz w:val="20"/>
          <w:szCs w:val="20"/>
        </w:rPr>
        <w:t>] en la temática de [d]</w:t>
      </w:r>
      <w:proofErr w:type="spellStart"/>
      <w:r w:rsidR="00E85CB8">
        <w:rPr>
          <w:rFonts w:ascii="Verdana" w:hAnsi="Verdana"/>
          <w:sz w:val="20"/>
          <w:szCs w:val="20"/>
        </w:rPr>
        <w:t>erechos</w:t>
      </w:r>
      <w:proofErr w:type="spellEnd"/>
      <w:r w:rsidR="00E85CB8">
        <w:rPr>
          <w:rFonts w:ascii="Verdana" w:hAnsi="Verdana"/>
          <w:sz w:val="20"/>
          <w:szCs w:val="20"/>
        </w:rPr>
        <w:t xml:space="preserve"> [h]</w:t>
      </w:r>
      <w:proofErr w:type="spellStart"/>
      <w:r w:rsidRPr="00507754">
        <w:rPr>
          <w:rFonts w:ascii="Verdana" w:hAnsi="Verdana"/>
          <w:sz w:val="20"/>
          <w:szCs w:val="20"/>
        </w:rPr>
        <w:t>umanos</w:t>
      </w:r>
      <w:proofErr w:type="spellEnd"/>
      <w:r w:rsidRPr="00507754">
        <w:rPr>
          <w:rFonts w:ascii="Verdana" w:hAnsi="Verdana"/>
          <w:sz w:val="20"/>
          <w:szCs w:val="20"/>
        </w:rPr>
        <w:t>”.</w:t>
      </w:r>
    </w:p>
    <w:p w:rsidR="00994C77" w:rsidRPr="009862A1" w:rsidRDefault="00994C77" w:rsidP="00994C77">
      <w:pPr>
        <w:pStyle w:val="Prrafodelista"/>
        <w:autoSpaceDE w:val="0"/>
        <w:autoSpaceDN w:val="0"/>
        <w:adjustRightInd w:val="0"/>
        <w:spacing w:before="120" w:after="120" w:line="240" w:lineRule="auto"/>
        <w:contextualSpacing w:val="0"/>
        <w:jc w:val="both"/>
        <w:rPr>
          <w:rFonts w:ascii="Verdana" w:hAnsi="Verdana"/>
          <w:sz w:val="20"/>
          <w:szCs w:val="20"/>
        </w:rPr>
      </w:pPr>
    </w:p>
    <w:p w:rsidR="00994C77" w:rsidRDefault="008379F3" w:rsidP="009862A1">
      <w:pPr>
        <w:pStyle w:val="Prrafodelista"/>
        <w:numPr>
          <w:ilvl w:val="0"/>
          <w:numId w:val="13"/>
        </w:numPr>
        <w:autoSpaceDE w:val="0"/>
        <w:autoSpaceDN w:val="0"/>
        <w:adjustRightInd w:val="0"/>
        <w:spacing w:before="120" w:after="120" w:line="240" w:lineRule="auto"/>
        <w:contextualSpacing w:val="0"/>
        <w:jc w:val="both"/>
        <w:rPr>
          <w:rFonts w:ascii="Verdana" w:hAnsi="Verdana"/>
          <w:sz w:val="20"/>
          <w:szCs w:val="20"/>
        </w:rPr>
      </w:pPr>
      <w:r>
        <w:rPr>
          <w:rFonts w:ascii="Verdana" w:hAnsi="Verdana"/>
          <w:sz w:val="20"/>
          <w:szCs w:val="20"/>
        </w:rPr>
        <w:t xml:space="preserve">Con respecto al año 2013, indicó que </w:t>
      </w:r>
      <w:r w:rsidR="00DD49F2">
        <w:rPr>
          <w:rFonts w:ascii="Verdana" w:hAnsi="Verdana"/>
          <w:sz w:val="20"/>
          <w:szCs w:val="20"/>
        </w:rPr>
        <w:t xml:space="preserve">se </w:t>
      </w:r>
      <w:r w:rsidR="00C40E33">
        <w:rPr>
          <w:rFonts w:ascii="Verdana" w:hAnsi="Verdana"/>
          <w:sz w:val="20"/>
          <w:szCs w:val="20"/>
        </w:rPr>
        <w:t xml:space="preserve">capacitó a </w:t>
      </w:r>
      <w:r w:rsidR="00CB4D61">
        <w:rPr>
          <w:rFonts w:ascii="Verdana" w:hAnsi="Verdana"/>
          <w:sz w:val="20"/>
          <w:szCs w:val="20"/>
        </w:rPr>
        <w:t>370</w:t>
      </w:r>
      <w:r w:rsidR="00C40E33">
        <w:rPr>
          <w:rFonts w:ascii="Verdana" w:hAnsi="Verdana"/>
          <w:sz w:val="20"/>
          <w:szCs w:val="20"/>
        </w:rPr>
        <w:t xml:space="preserve"> </w:t>
      </w:r>
      <w:r w:rsidR="00CB4D61">
        <w:rPr>
          <w:rFonts w:ascii="Verdana" w:hAnsi="Verdana"/>
          <w:sz w:val="20"/>
          <w:szCs w:val="20"/>
        </w:rPr>
        <w:t>agentes de seguridad penitenciaria y/o personal administrativo y médico</w:t>
      </w:r>
      <w:r w:rsidR="00C40E33">
        <w:rPr>
          <w:rFonts w:ascii="Verdana" w:hAnsi="Verdana"/>
          <w:sz w:val="20"/>
          <w:szCs w:val="20"/>
        </w:rPr>
        <w:t>, a través de la realización de</w:t>
      </w:r>
      <w:r w:rsidR="009C1370">
        <w:rPr>
          <w:rFonts w:ascii="Verdana" w:hAnsi="Verdana"/>
          <w:sz w:val="20"/>
          <w:szCs w:val="20"/>
        </w:rPr>
        <w:t xml:space="preserve"> </w:t>
      </w:r>
      <w:r w:rsidR="00BA048A">
        <w:rPr>
          <w:rFonts w:ascii="Verdana" w:hAnsi="Verdana"/>
          <w:sz w:val="20"/>
          <w:szCs w:val="20"/>
        </w:rPr>
        <w:t>ocho</w:t>
      </w:r>
      <w:r w:rsidR="009C1370">
        <w:rPr>
          <w:rFonts w:ascii="Verdana" w:hAnsi="Verdana"/>
          <w:sz w:val="20"/>
          <w:szCs w:val="20"/>
        </w:rPr>
        <w:t xml:space="preserve"> talleres o capacitaciones, saber</w:t>
      </w:r>
      <w:r w:rsidR="00B8580D">
        <w:rPr>
          <w:rFonts w:ascii="Verdana" w:hAnsi="Verdana"/>
          <w:sz w:val="20"/>
          <w:szCs w:val="20"/>
        </w:rPr>
        <w:t>:</w:t>
      </w:r>
      <w:r w:rsidR="00C40E33">
        <w:rPr>
          <w:rFonts w:ascii="Verdana" w:hAnsi="Verdana"/>
          <w:sz w:val="20"/>
          <w:szCs w:val="20"/>
        </w:rPr>
        <w:t xml:space="preserve"> </w:t>
      </w:r>
      <w:r w:rsidR="00721A31" w:rsidRPr="00CF07CC">
        <w:rPr>
          <w:rFonts w:ascii="Verdana" w:hAnsi="Verdana"/>
          <w:sz w:val="20"/>
          <w:szCs w:val="20"/>
        </w:rPr>
        <w:t>(i)</w:t>
      </w:r>
      <w:r w:rsidR="00721A31">
        <w:rPr>
          <w:rFonts w:ascii="Verdana" w:hAnsi="Verdana"/>
          <w:sz w:val="20"/>
          <w:szCs w:val="20"/>
        </w:rPr>
        <w:t xml:space="preserve"> </w:t>
      </w:r>
      <w:r w:rsidR="001273DE">
        <w:rPr>
          <w:rFonts w:ascii="Verdana" w:hAnsi="Verdana"/>
          <w:sz w:val="20"/>
          <w:szCs w:val="20"/>
        </w:rPr>
        <w:t>tres capacitaciones sobre “[f]</w:t>
      </w:r>
      <w:proofErr w:type="spellStart"/>
      <w:r w:rsidR="001273DE">
        <w:rPr>
          <w:rFonts w:ascii="Verdana" w:hAnsi="Verdana"/>
          <w:sz w:val="20"/>
          <w:szCs w:val="20"/>
        </w:rPr>
        <w:t>undamentos</w:t>
      </w:r>
      <w:proofErr w:type="spellEnd"/>
      <w:r w:rsidR="001273DE">
        <w:rPr>
          <w:rFonts w:ascii="Verdana" w:hAnsi="Verdana"/>
          <w:sz w:val="20"/>
          <w:szCs w:val="20"/>
        </w:rPr>
        <w:t xml:space="preserve"> de derechos humanos”</w:t>
      </w:r>
      <w:r w:rsidR="001273DE">
        <w:rPr>
          <w:rStyle w:val="Refdenotaalpie"/>
          <w:rFonts w:ascii="Verdana" w:hAnsi="Verdana"/>
          <w:sz w:val="20"/>
          <w:szCs w:val="20"/>
        </w:rPr>
        <w:footnoteReference w:id="54"/>
      </w:r>
      <w:r w:rsidR="001C0339">
        <w:rPr>
          <w:rFonts w:ascii="Verdana" w:hAnsi="Verdana"/>
          <w:sz w:val="20"/>
          <w:szCs w:val="20"/>
        </w:rPr>
        <w:t>;</w:t>
      </w:r>
      <w:r w:rsidR="001273DE">
        <w:rPr>
          <w:rFonts w:ascii="Verdana" w:hAnsi="Verdana"/>
          <w:sz w:val="20"/>
          <w:szCs w:val="20"/>
        </w:rPr>
        <w:t xml:space="preserve"> </w:t>
      </w:r>
      <w:r w:rsidR="00721A31" w:rsidRPr="00CF07CC">
        <w:rPr>
          <w:rFonts w:ascii="Verdana" w:hAnsi="Verdana"/>
          <w:sz w:val="20"/>
          <w:szCs w:val="20"/>
        </w:rPr>
        <w:t>(ii)</w:t>
      </w:r>
      <w:r w:rsidR="00721A31">
        <w:rPr>
          <w:rFonts w:ascii="Verdana" w:hAnsi="Verdana"/>
          <w:sz w:val="20"/>
          <w:szCs w:val="20"/>
        </w:rPr>
        <w:t xml:space="preserve"> </w:t>
      </w:r>
      <w:r w:rsidR="00B8580D">
        <w:rPr>
          <w:rFonts w:ascii="Verdana" w:hAnsi="Verdana"/>
          <w:sz w:val="20"/>
          <w:szCs w:val="20"/>
        </w:rPr>
        <w:t>un taller de ‘[d]</w:t>
      </w:r>
      <w:proofErr w:type="spellStart"/>
      <w:r w:rsidR="00B8580D">
        <w:rPr>
          <w:rFonts w:ascii="Verdana" w:hAnsi="Verdana"/>
          <w:sz w:val="20"/>
          <w:szCs w:val="20"/>
        </w:rPr>
        <w:t>erechos</w:t>
      </w:r>
      <w:proofErr w:type="spellEnd"/>
      <w:r w:rsidR="00B8580D">
        <w:rPr>
          <w:rFonts w:ascii="Verdana" w:hAnsi="Verdana"/>
          <w:sz w:val="20"/>
          <w:szCs w:val="20"/>
        </w:rPr>
        <w:t xml:space="preserve"> [h]</w:t>
      </w:r>
      <w:proofErr w:type="spellStart"/>
      <w:r w:rsidR="00B8580D">
        <w:rPr>
          <w:rFonts w:ascii="Verdana" w:hAnsi="Verdana"/>
          <w:sz w:val="20"/>
          <w:szCs w:val="20"/>
        </w:rPr>
        <w:t>umanos</w:t>
      </w:r>
      <w:proofErr w:type="spellEnd"/>
      <w:r w:rsidR="00B8580D">
        <w:rPr>
          <w:rFonts w:ascii="Verdana" w:hAnsi="Verdana"/>
          <w:sz w:val="20"/>
          <w:szCs w:val="20"/>
        </w:rPr>
        <w:t>’”</w:t>
      </w:r>
      <w:r w:rsidR="00B8580D">
        <w:rPr>
          <w:rStyle w:val="Refdenotaalpie"/>
          <w:rFonts w:ascii="Verdana" w:hAnsi="Verdana"/>
          <w:sz w:val="20"/>
          <w:szCs w:val="20"/>
        </w:rPr>
        <w:footnoteReference w:id="55"/>
      </w:r>
      <w:r w:rsidR="00B8580D">
        <w:rPr>
          <w:rFonts w:ascii="Verdana" w:hAnsi="Verdana"/>
          <w:sz w:val="20"/>
          <w:szCs w:val="20"/>
        </w:rPr>
        <w:t xml:space="preserve">; </w:t>
      </w:r>
      <w:r w:rsidR="00721A31" w:rsidRPr="00CF07CC">
        <w:rPr>
          <w:rFonts w:ascii="Verdana" w:hAnsi="Verdana"/>
          <w:sz w:val="20"/>
          <w:szCs w:val="20"/>
        </w:rPr>
        <w:t>(iii)</w:t>
      </w:r>
      <w:r w:rsidR="00721A31">
        <w:rPr>
          <w:rFonts w:ascii="Verdana" w:hAnsi="Verdana"/>
          <w:sz w:val="20"/>
          <w:szCs w:val="20"/>
        </w:rPr>
        <w:t xml:space="preserve"> </w:t>
      </w:r>
      <w:r w:rsidR="00B8580D">
        <w:rPr>
          <w:rFonts w:ascii="Verdana" w:hAnsi="Verdana"/>
          <w:sz w:val="20"/>
          <w:szCs w:val="20"/>
        </w:rPr>
        <w:t>una capacitación sobre “promoción y protección de [d]</w:t>
      </w:r>
      <w:proofErr w:type="spellStart"/>
      <w:r w:rsidR="00B8580D">
        <w:rPr>
          <w:rFonts w:ascii="Verdana" w:hAnsi="Verdana"/>
          <w:sz w:val="20"/>
          <w:szCs w:val="20"/>
        </w:rPr>
        <w:t>erechos</w:t>
      </w:r>
      <w:proofErr w:type="spellEnd"/>
      <w:r w:rsidR="00B8580D">
        <w:rPr>
          <w:rFonts w:ascii="Verdana" w:hAnsi="Verdana"/>
          <w:sz w:val="20"/>
          <w:szCs w:val="20"/>
        </w:rPr>
        <w:t xml:space="preserve"> [h]</w:t>
      </w:r>
      <w:proofErr w:type="spellStart"/>
      <w:r w:rsidR="00B8580D">
        <w:rPr>
          <w:rFonts w:ascii="Verdana" w:hAnsi="Verdana"/>
          <w:sz w:val="20"/>
          <w:szCs w:val="20"/>
        </w:rPr>
        <w:t>umanos</w:t>
      </w:r>
      <w:proofErr w:type="spellEnd"/>
      <w:r w:rsidR="00B8580D">
        <w:rPr>
          <w:rFonts w:ascii="Verdana" w:hAnsi="Verdana"/>
          <w:sz w:val="20"/>
          <w:szCs w:val="20"/>
        </w:rPr>
        <w:t>”</w:t>
      </w:r>
      <w:r w:rsidR="00B8580D">
        <w:rPr>
          <w:rStyle w:val="Refdenotaalpie"/>
          <w:rFonts w:ascii="Verdana" w:hAnsi="Verdana"/>
          <w:sz w:val="20"/>
          <w:szCs w:val="20"/>
        </w:rPr>
        <w:footnoteReference w:id="56"/>
      </w:r>
      <w:r w:rsidR="001C0339">
        <w:rPr>
          <w:rFonts w:ascii="Verdana" w:hAnsi="Verdana"/>
          <w:sz w:val="20"/>
          <w:szCs w:val="20"/>
        </w:rPr>
        <w:t xml:space="preserve">; </w:t>
      </w:r>
      <w:r w:rsidR="00721A31" w:rsidRPr="00CF07CC">
        <w:rPr>
          <w:rFonts w:ascii="Verdana" w:hAnsi="Verdana"/>
          <w:sz w:val="20"/>
          <w:szCs w:val="20"/>
        </w:rPr>
        <w:t>(iv)</w:t>
      </w:r>
      <w:r w:rsidR="00721A31">
        <w:rPr>
          <w:rFonts w:ascii="Verdana" w:hAnsi="Verdana"/>
          <w:sz w:val="20"/>
          <w:szCs w:val="20"/>
        </w:rPr>
        <w:t xml:space="preserve"> </w:t>
      </w:r>
      <w:r w:rsidR="00037F5B">
        <w:rPr>
          <w:rFonts w:ascii="Verdana" w:hAnsi="Verdana"/>
          <w:sz w:val="20"/>
          <w:szCs w:val="20"/>
        </w:rPr>
        <w:t>un “taller denominado ‘Derechos Humanos y el Rol del Servidor público como garante de derechos”</w:t>
      </w:r>
      <w:r w:rsidR="00037F5B">
        <w:rPr>
          <w:rStyle w:val="Refdenotaalpie"/>
          <w:rFonts w:ascii="Verdana" w:hAnsi="Verdana"/>
          <w:sz w:val="20"/>
          <w:szCs w:val="20"/>
        </w:rPr>
        <w:footnoteReference w:id="57"/>
      </w:r>
      <w:r w:rsidR="00037F5B">
        <w:rPr>
          <w:rFonts w:ascii="Verdana" w:hAnsi="Verdana"/>
          <w:sz w:val="20"/>
          <w:szCs w:val="20"/>
        </w:rPr>
        <w:t xml:space="preserve">; </w:t>
      </w:r>
      <w:r w:rsidR="00721A31" w:rsidRPr="00CF07CC">
        <w:rPr>
          <w:rFonts w:ascii="Verdana" w:hAnsi="Verdana"/>
          <w:sz w:val="20"/>
          <w:szCs w:val="20"/>
        </w:rPr>
        <w:t>(v)</w:t>
      </w:r>
      <w:r w:rsidR="00721A31" w:rsidRPr="00E918B8">
        <w:rPr>
          <w:rFonts w:ascii="Verdana" w:hAnsi="Verdana"/>
          <w:sz w:val="20"/>
          <w:szCs w:val="20"/>
        </w:rPr>
        <w:t xml:space="preserve"> </w:t>
      </w:r>
      <w:r w:rsidR="009C1370">
        <w:rPr>
          <w:rFonts w:ascii="Verdana" w:hAnsi="Verdana"/>
          <w:sz w:val="20"/>
          <w:szCs w:val="20"/>
        </w:rPr>
        <w:t>dos talleres denominados “Derechos Humanos en el contexto penitenciario”</w:t>
      </w:r>
      <w:r w:rsidR="006D3034">
        <w:rPr>
          <w:rStyle w:val="Refdenotaalpie"/>
          <w:rFonts w:ascii="Verdana" w:hAnsi="Verdana"/>
          <w:sz w:val="20"/>
          <w:szCs w:val="20"/>
        </w:rPr>
        <w:footnoteReference w:id="58"/>
      </w:r>
      <w:r w:rsidR="009C1370">
        <w:rPr>
          <w:rFonts w:ascii="Verdana" w:hAnsi="Verdana"/>
          <w:sz w:val="20"/>
          <w:szCs w:val="20"/>
        </w:rPr>
        <w:t>;</w:t>
      </w:r>
      <w:r w:rsidR="006D3034">
        <w:rPr>
          <w:rFonts w:ascii="Verdana" w:hAnsi="Verdana"/>
          <w:sz w:val="20"/>
          <w:szCs w:val="20"/>
        </w:rPr>
        <w:t xml:space="preserve"> </w:t>
      </w:r>
      <w:r w:rsidR="00721A31" w:rsidRPr="00CF07CC">
        <w:rPr>
          <w:rFonts w:ascii="Verdana" w:hAnsi="Verdana"/>
          <w:sz w:val="20"/>
          <w:szCs w:val="20"/>
        </w:rPr>
        <w:t>(vi)</w:t>
      </w:r>
      <w:r w:rsidR="00721A31">
        <w:rPr>
          <w:rFonts w:ascii="Verdana" w:hAnsi="Verdana"/>
          <w:sz w:val="20"/>
          <w:szCs w:val="20"/>
        </w:rPr>
        <w:t xml:space="preserve"> </w:t>
      </w:r>
      <w:r w:rsidR="002A2776">
        <w:rPr>
          <w:rFonts w:ascii="Verdana" w:hAnsi="Verdana"/>
          <w:sz w:val="20"/>
          <w:szCs w:val="20"/>
        </w:rPr>
        <w:t>una “capacitación [para] médicos de los diferentes Centros de Rehabilitación Social de la Ciudad de Guayaquil [con el] objetivo de sensibilizar a los operadores en salud en la temática de derechos humanos”</w:t>
      </w:r>
      <w:r w:rsidR="00BA048A">
        <w:rPr>
          <w:rStyle w:val="Refdenotaalpie"/>
          <w:rFonts w:ascii="Verdana" w:hAnsi="Verdana"/>
          <w:sz w:val="20"/>
          <w:szCs w:val="20"/>
        </w:rPr>
        <w:footnoteReference w:id="59"/>
      </w:r>
      <w:r w:rsidR="002A2776">
        <w:rPr>
          <w:rFonts w:ascii="Verdana" w:hAnsi="Verdana"/>
          <w:sz w:val="20"/>
          <w:szCs w:val="20"/>
        </w:rPr>
        <w:t xml:space="preserve">; </w:t>
      </w:r>
      <w:r w:rsidR="002A2776" w:rsidRPr="00CF07CC">
        <w:rPr>
          <w:rFonts w:ascii="Verdana" w:hAnsi="Verdana"/>
          <w:sz w:val="20"/>
          <w:szCs w:val="20"/>
        </w:rPr>
        <w:t>(vii)</w:t>
      </w:r>
      <w:r w:rsidR="002A2776">
        <w:rPr>
          <w:rFonts w:ascii="Verdana" w:hAnsi="Verdana"/>
          <w:sz w:val="20"/>
          <w:szCs w:val="20"/>
        </w:rPr>
        <w:t xml:space="preserve"> </w:t>
      </w:r>
      <w:r w:rsidR="001C0339">
        <w:rPr>
          <w:rFonts w:ascii="Verdana" w:hAnsi="Verdana"/>
          <w:sz w:val="20"/>
          <w:szCs w:val="20"/>
        </w:rPr>
        <w:t>dos talleres sobre temáticas de género</w:t>
      </w:r>
      <w:r w:rsidR="00BA048A">
        <w:rPr>
          <w:rFonts w:ascii="Verdana" w:hAnsi="Verdana"/>
          <w:sz w:val="20"/>
          <w:szCs w:val="20"/>
        </w:rPr>
        <w:t xml:space="preserve"> relacionadas con el sistema penitenciario</w:t>
      </w:r>
      <w:r w:rsidR="001C0339">
        <w:rPr>
          <w:rStyle w:val="Refdenotaalpie"/>
          <w:rFonts w:ascii="Verdana" w:hAnsi="Verdana"/>
          <w:sz w:val="20"/>
          <w:szCs w:val="20"/>
        </w:rPr>
        <w:footnoteReference w:id="60"/>
      </w:r>
      <w:r w:rsidR="00B01006">
        <w:rPr>
          <w:rFonts w:ascii="Verdana" w:hAnsi="Verdana"/>
          <w:sz w:val="20"/>
          <w:szCs w:val="20"/>
        </w:rPr>
        <w:t xml:space="preserve">; </w:t>
      </w:r>
      <w:r w:rsidR="00BA048A">
        <w:rPr>
          <w:rFonts w:ascii="Verdana" w:hAnsi="Verdana"/>
          <w:sz w:val="20"/>
          <w:szCs w:val="20"/>
        </w:rPr>
        <w:t xml:space="preserve">y </w:t>
      </w:r>
      <w:r w:rsidR="00BA048A" w:rsidRPr="00CF07CC">
        <w:rPr>
          <w:rFonts w:ascii="Verdana" w:hAnsi="Verdana"/>
          <w:sz w:val="20"/>
          <w:szCs w:val="20"/>
        </w:rPr>
        <w:t>(viii)</w:t>
      </w:r>
      <w:r w:rsidR="00BA048A">
        <w:rPr>
          <w:rFonts w:ascii="Verdana" w:hAnsi="Verdana"/>
          <w:sz w:val="20"/>
          <w:szCs w:val="20"/>
        </w:rPr>
        <w:t xml:space="preserve"> un taller denominado “Estándares Internacionales sobre el Uso de la Fuerza por parte de Funcionarios encargados de hacer cumplir la Ley”</w:t>
      </w:r>
      <w:r w:rsidR="00BA048A">
        <w:rPr>
          <w:rStyle w:val="Refdenotaalpie"/>
          <w:rFonts w:ascii="Verdana" w:hAnsi="Verdana"/>
          <w:sz w:val="20"/>
          <w:szCs w:val="20"/>
        </w:rPr>
        <w:footnoteReference w:id="61"/>
      </w:r>
      <w:r w:rsidR="00BA048A">
        <w:rPr>
          <w:rFonts w:ascii="Verdana" w:hAnsi="Verdana"/>
          <w:sz w:val="20"/>
          <w:szCs w:val="20"/>
        </w:rPr>
        <w:t>.</w:t>
      </w:r>
      <w:r w:rsidR="00D62CB0">
        <w:rPr>
          <w:rFonts w:ascii="Verdana" w:hAnsi="Verdana"/>
          <w:sz w:val="20"/>
          <w:szCs w:val="20"/>
        </w:rPr>
        <w:t xml:space="preserve"> Además, sostuvo que en </w:t>
      </w:r>
      <w:r w:rsidR="00D62CB0">
        <w:rPr>
          <w:rFonts w:ascii="Verdana" w:hAnsi="Verdana"/>
          <w:sz w:val="20"/>
          <w:szCs w:val="20"/>
        </w:rPr>
        <w:lastRenderedPageBreak/>
        <w:t>septiembre de 2013</w:t>
      </w:r>
      <w:r w:rsidR="00916DA1">
        <w:rPr>
          <w:rFonts w:ascii="Verdana" w:hAnsi="Verdana"/>
          <w:sz w:val="20"/>
          <w:szCs w:val="20"/>
        </w:rPr>
        <w:t>,</w:t>
      </w:r>
      <w:r w:rsidR="00D62CB0">
        <w:rPr>
          <w:rFonts w:ascii="Verdana" w:hAnsi="Verdana"/>
          <w:sz w:val="20"/>
          <w:szCs w:val="20"/>
        </w:rPr>
        <w:t xml:space="preserve"> “[d]</w:t>
      </w:r>
      <w:proofErr w:type="spellStart"/>
      <w:r w:rsidR="00D62CB0">
        <w:rPr>
          <w:rFonts w:ascii="Verdana" w:hAnsi="Verdana"/>
          <w:sz w:val="20"/>
          <w:szCs w:val="20"/>
        </w:rPr>
        <w:t>elegados</w:t>
      </w:r>
      <w:proofErr w:type="spellEnd"/>
      <w:r w:rsidR="00D62CB0">
        <w:rPr>
          <w:rFonts w:ascii="Verdana" w:hAnsi="Verdana"/>
          <w:sz w:val="20"/>
          <w:szCs w:val="20"/>
        </w:rPr>
        <w:t xml:space="preserve"> de la Dirección de Derechos Humanos participaron en el Proceso de Inducción a los funcionarios que ganaron el Concurso de Mérito y Oposición para Agentes de seguridad Penitenciaria”, llevado a cabo en las ciudades de Guayaquil, Quito y Lago Agrio, con el cual se capacitó a 115 personas en total.</w:t>
      </w:r>
    </w:p>
    <w:p w:rsidR="009862A1" w:rsidRDefault="00D62CB0" w:rsidP="00994C77">
      <w:pPr>
        <w:pStyle w:val="Prrafodelista"/>
        <w:autoSpaceDE w:val="0"/>
        <w:autoSpaceDN w:val="0"/>
        <w:adjustRightInd w:val="0"/>
        <w:spacing w:before="120" w:after="120" w:line="240" w:lineRule="auto"/>
        <w:contextualSpacing w:val="0"/>
        <w:jc w:val="both"/>
        <w:rPr>
          <w:rFonts w:ascii="Verdana" w:hAnsi="Verdana"/>
          <w:sz w:val="20"/>
          <w:szCs w:val="20"/>
        </w:rPr>
      </w:pPr>
      <w:r>
        <w:rPr>
          <w:rFonts w:ascii="Verdana" w:hAnsi="Verdana"/>
          <w:sz w:val="20"/>
          <w:szCs w:val="20"/>
        </w:rPr>
        <w:t xml:space="preserve"> </w:t>
      </w:r>
    </w:p>
    <w:p w:rsidR="008379F3" w:rsidRDefault="008379F3" w:rsidP="009862A1">
      <w:pPr>
        <w:pStyle w:val="Prrafodelista"/>
        <w:numPr>
          <w:ilvl w:val="0"/>
          <w:numId w:val="13"/>
        </w:numPr>
        <w:autoSpaceDE w:val="0"/>
        <w:autoSpaceDN w:val="0"/>
        <w:adjustRightInd w:val="0"/>
        <w:spacing w:before="120" w:after="120" w:line="240" w:lineRule="auto"/>
        <w:contextualSpacing w:val="0"/>
        <w:jc w:val="both"/>
        <w:rPr>
          <w:rFonts w:ascii="Verdana" w:hAnsi="Verdana"/>
          <w:sz w:val="20"/>
          <w:szCs w:val="20"/>
        </w:rPr>
      </w:pPr>
      <w:r>
        <w:rPr>
          <w:rFonts w:ascii="Verdana" w:hAnsi="Verdana"/>
          <w:sz w:val="20"/>
          <w:szCs w:val="20"/>
        </w:rPr>
        <w:t>En cuanto al año 2014</w:t>
      </w:r>
      <w:r w:rsidR="00EC542F">
        <w:rPr>
          <w:rFonts w:ascii="Verdana" w:hAnsi="Verdana"/>
          <w:sz w:val="20"/>
          <w:szCs w:val="20"/>
        </w:rPr>
        <w:t>,</w:t>
      </w:r>
      <w:r>
        <w:rPr>
          <w:rFonts w:ascii="Verdana" w:hAnsi="Verdana"/>
          <w:sz w:val="20"/>
          <w:szCs w:val="20"/>
        </w:rPr>
        <w:t xml:space="preserve"> sostuvo que se</w:t>
      </w:r>
      <w:r w:rsidR="003F7D75">
        <w:rPr>
          <w:rFonts w:ascii="Verdana" w:hAnsi="Verdana"/>
          <w:sz w:val="20"/>
          <w:szCs w:val="20"/>
        </w:rPr>
        <w:t xml:space="preserve"> capacitaron 362 funcionarios mediante cinco capacitaciones en diversas temáticas de derechos humanos, en una de las cuales se incluyó el “análisis del caso Tibi”</w:t>
      </w:r>
      <w:r w:rsidR="003F7D75">
        <w:rPr>
          <w:rStyle w:val="Refdenotaalpie"/>
          <w:rFonts w:ascii="Verdana" w:hAnsi="Verdana"/>
          <w:sz w:val="20"/>
          <w:szCs w:val="20"/>
        </w:rPr>
        <w:footnoteReference w:id="62"/>
      </w:r>
      <w:r w:rsidR="003F7D75">
        <w:rPr>
          <w:rFonts w:ascii="Verdana" w:hAnsi="Verdana"/>
          <w:sz w:val="20"/>
          <w:szCs w:val="20"/>
        </w:rPr>
        <w:t>.</w:t>
      </w:r>
      <w:r w:rsidR="00D02E71" w:rsidRPr="009A3F11">
        <w:rPr>
          <w:rFonts w:ascii="Verdana" w:hAnsi="Verdana"/>
          <w:b/>
          <w:sz w:val="16"/>
          <w:szCs w:val="16"/>
        </w:rPr>
        <w:t xml:space="preserve"> </w:t>
      </w:r>
      <w:r w:rsidR="00301AC8" w:rsidRPr="009A3F11">
        <w:rPr>
          <w:rFonts w:ascii="Verdana" w:hAnsi="Verdana"/>
          <w:sz w:val="20"/>
          <w:szCs w:val="20"/>
        </w:rPr>
        <w:t xml:space="preserve">Además, </w:t>
      </w:r>
      <w:r w:rsidR="0030288F" w:rsidRPr="009A3F11">
        <w:rPr>
          <w:rFonts w:ascii="Verdana" w:hAnsi="Verdana"/>
          <w:sz w:val="20"/>
          <w:szCs w:val="20"/>
        </w:rPr>
        <w:t>el Estado aportó copia del</w:t>
      </w:r>
      <w:r w:rsidR="00301AC8" w:rsidRPr="009A3F11">
        <w:rPr>
          <w:rFonts w:ascii="Verdana" w:hAnsi="Verdana"/>
          <w:sz w:val="20"/>
          <w:szCs w:val="20"/>
        </w:rPr>
        <w:t xml:space="preserve"> </w:t>
      </w:r>
      <w:r w:rsidR="0030288F" w:rsidRPr="009A3F11">
        <w:rPr>
          <w:rFonts w:ascii="Verdana" w:hAnsi="Verdana"/>
          <w:sz w:val="20"/>
          <w:szCs w:val="20"/>
        </w:rPr>
        <w:t>“convenio específico de cooperación</w:t>
      </w:r>
      <w:r w:rsidR="00F33689">
        <w:rPr>
          <w:rFonts w:ascii="Verdana" w:hAnsi="Verdana"/>
          <w:sz w:val="20"/>
          <w:szCs w:val="20"/>
        </w:rPr>
        <w:t xml:space="preserve"> interinstitucional</w:t>
      </w:r>
      <w:r w:rsidR="0030288F" w:rsidRPr="009A3F11">
        <w:rPr>
          <w:rFonts w:ascii="Verdana" w:hAnsi="Verdana"/>
          <w:sz w:val="20"/>
          <w:szCs w:val="20"/>
        </w:rPr>
        <w:t>” suscrito el 7</w:t>
      </w:r>
      <w:r w:rsidR="00301AC8" w:rsidRPr="009A3F11">
        <w:rPr>
          <w:rFonts w:ascii="Verdana" w:hAnsi="Verdana"/>
          <w:sz w:val="20"/>
          <w:szCs w:val="20"/>
        </w:rPr>
        <w:t xml:space="preserve"> febrero de 2014 </w:t>
      </w:r>
      <w:r w:rsidR="0030288F" w:rsidRPr="009A3F11">
        <w:rPr>
          <w:rFonts w:ascii="Verdana" w:hAnsi="Verdana"/>
          <w:sz w:val="20"/>
          <w:szCs w:val="20"/>
        </w:rPr>
        <w:t xml:space="preserve">entre </w:t>
      </w:r>
      <w:r w:rsidR="00301AC8" w:rsidRPr="009A3F11">
        <w:rPr>
          <w:rFonts w:ascii="Verdana" w:hAnsi="Verdana"/>
          <w:sz w:val="20"/>
          <w:szCs w:val="20"/>
        </w:rPr>
        <w:t>el Ministerio de Justicia, Derechos Humanos y Cultos y el Comité Internacional de la Cruz Roja</w:t>
      </w:r>
      <w:r w:rsidR="001A0F31" w:rsidRPr="009A3F11">
        <w:rPr>
          <w:rFonts w:ascii="Verdana" w:hAnsi="Verdana"/>
          <w:sz w:val="20"/>
          <w:szCs w:val="20"/>
        </w:rPr>
        <w:t xml:space="preserve"> (CICR)</w:t>
      </w:r>
      <w:r w:rsidR="0030288F" w:rsidRPr="009A3F11">
        <w:rPr>
          <w:rStyle w:val="Refdenotaalpie"/>
          <w:rFonts w:ascii="Verdana" w:hAnsi="Verdana"/>
          <w:sz w:val="20"/>
          <w:szCs w:val="20"/>
        </w:rPr>
        <w:footnoteReference w:id="63"/>
      </w:r>
      <w:r w:rsidR="0030288F" w:rsidRPr="009A3F11">
        <w:rPr>
          <w:rFonts w:ascii="Verdana" w:hAnsi="Verdana"/>
          <w:sz w:val="20"/>
          <w:szCs w:val="20"/>
        </w:rPr>
        <w:t>.</w:t>
      </w:r>
      <w:r w:rsidR="00301AC8" w:rsidRPr="009A3F11">
        <w:rPr>
          <w:rFonts w:ascii="Verdana" w:hAnsi="Verdana"/>
          <w:sz w:val="20"/>
          <w:szCs w:val="20"/>
        </w:rPr>
        <w:t xml:space="preserve"> </w:t>
      </w:r>
      <w:r w:rsidR="0030288F" w:rsidRPr="009A3F11">
        <w:rPr>
          <w:rFonts w:ascii="Verdana" w:hAnsi="Verdana"/>
          <w:sz w:val="20"/>
          <w:szCs w:val="20"/>
        </w:rPr>
        <w:t xml:space="preserve">Alegó que dicho convenio fue suscrito con el fin de </w:t>
      </w:r>
      <w:r w:rsidR="00301AC8" w:rsidRPr="009A3F11">
        <w:rPr>
          <w:rFonts w:ascii="Verdana" w:hAnsi="Verdana"/>
          <w:sz w:val="20"/>
          <w:szCs w:val="20"/>
        </w:rPr>
        <w:t>“proporcionar la adecuada capacitación a los agentes de seguridad penitenciaria […] en lo concerniente a los estándares internacionales de [d]</w:t>
      </w:r>
      <w:proofErr w:type="spellStart"/>
      <w:r w:rsidR="00301AC8" w:rsidRPr="009A3F11">
        <w:rPr>
          <w:rFonts w:ascii="Verdana" w:hAnsi="Verdana"/>
          <w:sz w:val="20"/>
          <w:szCs w:val="20"/>
        </w:rPr>
        <w:t>erechos</w:t>
      </w:r>
      <w:proofErr w:type="spellEnd"/>
      <w:r w:rsidR="00301AC8" w:rsidRPr="009A3F11">
        <w:rPr>
          <w:rFonts w:ascii="Verdana" w:hAnsi="Verdana"/>
          <w:sz w:val="20"/>
          <w:szCs w:val="20"/>
        </w:rPr>
        <w:t xml:space="preserve"> [h]</w:t>
      </w:r>
      <w:proofErr w:type="spellStart"/>
      <w:r w:rsidR="00301AC8" w:rsidRPr="009A3F11">
        <w:rPr>
          <w:rFonts w:ascii="Verdana" w:hAnsi="Verdana"/>
          <w:sz w:val="20"/>
          <w:szCs w:val="20"/>
        </w:rPr>
        <w:t>umanos</w:t>
      </w:r>
      <w:proofErr w:type="spellEnd"/>
      <w:r w:rsidR="00301AC8" w:rsidRPr="009A3F11">
        <w:rPr>
          <w:rFonts w:ascii="Verdana" w:hAnsi="Verdana"/>
          <w:sz w:val="20"/>
          <w:szCs w:val="20"/>
        </w:rPr>
        <w:t xml:space="preserve"> aplicables al tratamiento de las personas privadas de libertad” y “</w:t>
      </w:r>
      <w:proofErr w:type="spellStart"/>
      <w:proofErr w:type="gramStart"/>
      <w:r w:rsidR="00301AC8" w:rsidRPr="009A3F11">
        <w:rPr>
          <w:rFonts w:ascii="Verdana" w:hAnsi="Verdana"/>
          <w:sz w:val="20"/>
          <w:szCs w:val="20"/>
        </w:rPr>
        <w:t>contribu</w:t>
      </w:r>
      <w:proofErr w:type="spellEnd"/>
      <w:r w:rsidR="00301AC8" w:rsidRPr="009A3F11">
        <w:rPr>
          <w:rFonts w:ascii="Verdana" w:hAnsi="Verdana"/>
          <w:sz w:val="20"/>
          <w:szCs w:val="20"/>
        </w:rPr>
        <w:t>[</w:t>
      </w:r>
      <w:proofErr w:type="gramEnd"/>
      <w:r w:rsidR="00301AC8" w:rsidRPr="009A3F11">
        <w:rPr>
          <w:rFonts w:ascii="Verdana" w:hAnsi="Verdana"/>
          <w:sz w:val="20"/>
          <w:szCs w:val="20"/>
        </w:rPr>
        <w:t>ir] a la formación de agentes de seguridad penitenciaria como instructores en estas materias”</w:t>
      </w:r>
      <w:r w:rsidR="00D223CA" w:rsidRPr="009A3F11">
        <w:rPr>
          <w:rStyle w:val="Refdenotaalpie"/>
          <w:rFonts w:ascii="Verdana" w:hAnsi="Verdana"/>
          <w:sz w:val="20"/>
          <w:szCs w:val="20"/>
        </w:rPr>
        <w:footnoteReference w:id="64"/>
      </w:r>
      <w:r w:rsidR="00301AC8" w:rsidRPr="009A3F11">
        <w:rPr>
          <w:rFonts w:ascii="Verdana" w:hAnsi="Verdana"/>
          <w:sz w:val="20"/>
          <w:szCs w:val="20"/>
        </w:rPr>
        <w:t>.</w:t>
      </w:r>
      <w:r w:rsidR="00DF6784" w:rsidRPr="009A3F11">
        <w:rPr>
          <w:rFonts w:ascii="Verdana" w:hAnsi="Verdana"/>
          <w:b/>
          <w:sz w:val="16"/>
          <w:szCs w:val="16"/>
        </w:rPr>
        <w:t xml:space="preserve"> </w:t>
      </w:r>
      <w:r w:rsidR="00DF6784" w:rsidRPr="009A3F11">
        <w:rPr>
          <w:rFonts w:ascii="Verdana" w:hAnsi="Verdana"/>
          <w:sz w:val="20"/>
          <w:szCs w:val="20"/>
        </w:rPr>
        <w:t xml:space="preserve">En cuanto a la implementación de este convenio, Ecuador explicó que </w:t>
      </w:r>
      <w:r w:rsidR="001A0F31" w:rsidRPr="009A3F11">
        <w:rPr>
          <w:rFonts w:ascii="Verdana" w:hAnsi="Verdana"/>
          <w:sz w:val="20"/>
          <w:szCs w:val="20"/>
        </w:rPr>
        <w:t>se realizaron dos “reuniones de trabajo” entre delegados del</w:t>
      </w:r>
      <w:r w:rsidR="005F0A65">
        <w:rPr>
          <w:rFonts w:ascii="Verdana" w:hAnsi="Verdana"/>
          <w:sz w:val="20"/>
          <w:szCs w:val="20"/>
        </w:rPr>
        <w:t xml:space="preserve"> referido</w:t>
      </w:r>
      <w:r w:rsidR="001A0F31" w:rsidRPr="009A3F11">
        <w:rPr>
          <w:rFonts w:ascii="Verdana" w:hAnsi="Verdana"/>
          <w:sz w:val="20"/>
          <w:szCs w:val="20"/>
        </w:rPr>
        <w:t xml:space="preserve"> Ministerio y del CICR, </w:t>
      </w:r>
      <w:r w:rsidR="005F0A65">
        <w:rPr>
          <w:rFonts w:ascii="Verdana" w:hAnsi="Verdana"/>
          <w:sz w:val="20"/>
          <w:szCs w:val="20"/>
        </w:rPr>
        <w:t xml:space="preserve">en las cuales </w:t>
      </w:r>
      <w:r w:rsidR="001A0F31" w:rsidRPr="009A3F11">
        <w:rPr>
          <w:rFonts w:ascii="Verdana" w:hAnsi="Verdana"/>
          <w:sz w:val="20"/>
          <w:szCs w:val="20"/>
        </w:rPr>
        <w:t>“se planteó la malla curricular que deberán seguir los agentes de seguridad penitenciaria para aprobar el Primer Curso de Instructores en Derechos Humanos para Funcionarios y Funcionarias del Sistema Penitenciario Ecuatoriano</w:t>
      </w:r>
      <w:r w:rsidR="00232B29" w:rsidRPr="009A3F11">
        <w:rPr>
          <w:rFonts w:ascii="Verdana" w:hAnsi="Verdana"/>
          <w:sz w:val="20"/>
          <w:szCs w:val="20"/>
        </w:rPr>
        <w:t>’</w:t>
      </w:r>
      <w:r w:rsidR="001A0F31" w:rsidRPr="009A3F11">
        <w:rPr>
          <w:rFonts w:ascii="Verdana" w:hAnsi="Verdana"/>
          <w:sz w:val="20"/>
          <w:szCs w:val="20"/>
        </w:rPr>
        <w:t>”</w:t>
      </w:r>
      <w:r w:rsidR="001A0F31" w:rsidRPr="009A3F11">
        <w:rPr>
          <w:rStyle w:val="Refdenotaalpie"/>
          <w:rFonts w:ascii="Verdana" w:hAnsi="Verdana"/>
          <w:sz w:val="20"/>
          <w:szCs w:val="20"/>
        </w:rPr>
        <w:footnoteReference w:id="65"/>
      </w:r>
      <w:r w:rsidR="001A0F31" w:rsidRPr="009A3F11">
        <w:rPr>
          <w:rFonts w:ascii="Verdana" w:hAnsi="Verdana"/>
          <w:sz w:val="20"/>
          <w:szCs w:val="20"/>
        </w:rPr>
        <w:t>, y que “se aprobó una hoja de ruta para trabajar en la elaboración del ‘Manual de Capacitación de Instructores en Derechos Humanos para Funcionarios y Funcionarias del Sistema Penitenciario Ecuatoriano”.</w:t>
      </w:r>
    </w:p>
    <w:p w:rsidR="00994C77" w:rsidRPr="009A3F11" w:rsidRDefault="00994C77" w:rsidP="00994C77">
      <w:pPr>
        <w:pStyle w:val="Prrafodelista"/>
        <w:autoSpaceDE w:val="0"/>
        <w:autoSpaceDN w:val="0"/>
        <w:adjustRightInd w:val="0"/>
        <w:spacing w:before="120" w:after="120" w:line="240" w:lineRule="auto"/>
        <w:contextualSpacing w:val="0"/>
        <w:jc w:val="both"/>
        <w:rPr>
          <w:rFonts w:ascii="Verdana" w:hAnsi="Verdana"/>
          <w:sz w:val="20"/>
          <w:szCs w:val="20"/>
        </w:rPr>
      </w:pPr>
    </w:p>
    <w:p w:rsidR="009E5DFA" w:rsidRPr="005A609C" w:rsidRDefault="006842BE" w:rsidP="009E5DF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sidRPr="00475353">
        <w:rPr>
          <w:rFonts w:ascii="Verdana" w:hAnsi="Verdana"/>
          <w:sz w:val="20"/>
          <w:szCs w:val="20"/>
        </w:rPr>
        <w:t>La Corte valora</w:t>
      </w:r>
      <w:r w:rsidR="009A3F11">
        <w:rPr>
          <w:rFonts w:ascii="Verdana" w:hAnsi="Verdana"/>
          <w:sz w:val="20"/>
          <w:szCs w:val="20"/>
        </w:rPr>
        <w:t xml:space="preserve"> positivamente</w:t>
      </w:r>
      <w:r w:rsidRPr="00475353">
        <w:rPr>
          <w:rFonts w:ascii="Verdana" w:hAnsi="Verdana"/>
          <w:sz w:val="20"/>
          <w:szCs w:val="20"/>
        </w:rPr>
        <w:t xml:space="preserve"> </w:t>
      </w:r>
      <w:r w:rsidR="00475353" w:rsidRPr="00475353">
        <w:rPr>
          <w:rFonts w:ascii="Verdana" w:hAnsi="Verdana"/>
          <w:sz w:val="20"/>
          <w:szCs w:val="20"/>
        </w:rPr>
        <w:t xml:space="preserve">los esfuerzos </w:t>
      </w:r>
      <w:r w:rsidR="00263AFA" w:rsidRPr="00475353">
        <w:rPr>
          <w:rFonts w:ascii="Verdana" w:hAnsi="Verdana"/>
          <w:sz w:val="20"/>
          <w:szCs w:val="20"/>
        </w:rPr>
        <w:t xml:space="preserve">que habría </w:t>
      </w:r>
      <w:r w:rsidR="00475353" w:rsidRPr="00475353">
        <w:rPr>
          <w:rFonts w:ascii="Verdana" w:hAnsi="Verdana"/>
          <w:sz w:val="20"/>
          <w:szCs w:val="20"/>
        </w:rPr>
        <w:t>emprendido</w:t>
      </w:r>
      <w:r w:rsidR="00263AFA" w:rsidRPr="00475353">
        <w:rPr>
          <w:rFonts w:ascii="Verdana" w:hAnsi="Verdana"/>
          <w:sz w:val="20"/>
          <w:szCs w:val="20"/>
        </w:rPr>
        <w:t xml:space="preserve"> el Estado</w:t>
      </w:r>
      <w:r w:rsidR="00475353" w:rsidRPr="00475353">
        <w:rPr>
          <w:rFonts w:ascii="Verdana" w:hAnsi="Verdana"/>
          <w:sz w:val="20"/>
          <w:szCs w:val="20"/>
        </w:rPr>
        <w:t xml:space="preserve"> durante los años 2012, 2013 y 2014 </w:t>
      </w:r>
      <w:r w:rsidR="009A3F11">
        <w:rPr>
          <w:rFonts w:ascii="Verdana" w:hAnsi="Verdana"/>
          <w:sz w:val="20"/>
          <w:szCs w:val="20"/>
        </w:rPr>
        <w:t xml:space="preserve">con el fin de dar cumplimiento a esta medida de reparación en lo relativo a </w:t>
      </w:r>
      <w:r w:rsidR="00475353" w:rsidRPr="00475353">
        <w:rPr>
          <w:rFonts w:ascii="Verdana" w:hAnsi="Verdana"/>
          <w:sz w:val="20"/>
          <w:szCs w:val="20"/>
        </w:rPr>
        <w:t xml:space="preserve">realizar capacitaciones </w:t>
      </w:r>
      <w:r w:rsidR="002A6BFE">
        <w:rPr>
          <w:rFonts w:ascii="Verdana" w:hAnsi="Verdana"/>
          <w:sz w:val="20"/>
          <w:szCs w:val="20"/>
        </w:rPr>
        <w:t>par</w:t>
      </w:r>
      <w:r w:rsidR="00475353" w:rsidRPr="00475353">
        <w:rPr>
          <w:rFonts w:ascii="Verdana" w:hAnsi="Verdana"/>
          <w:sz w:val="20"/>
          <w:szCs w:val="20"/>
        </w:rPr>
        <w:t xml:space="preserve">a </w:t>
      </w:r>
      <w:r w:rsidR="002A6BFE">
        <w:rPr>
          <w:rFonts w:ascii="Verdana" w:hAnsi="Verdana"/>
          <w:sz w:val="20"/>
          <w:szCs w:val="20"/>
        </w:rPr>
        <w:t xml:space="preserve">el </w:t>
      </w:r>
      <w:r w:rsidR="00475353" w:rsidRPr="00475353">
        <w:rPr>
          <w:rFonts w:ascii="Verdana" w:hAnsi="Verdana"/>
          <w:sz w:val="20"/>
          <w:szCs w:val="20"/>
        </w:rPr>
        <w:t xml:space="preserve">personal penitenciario (incluyendo </w:t>
      </w:r>
      <w:r w:rsidR="00475353" w:rsidRPr="00475353">
        <w:rPr>
          <w:rFonts w:ascii="Verdana" w:hAnsi="Verdana"/>
          <w:sz w:val="20"/>
          <w:szCs w:val="20"/>
        </w:rPr>
        <w:lastRenderedPageBreak/>
        <w:t>personal médico, psiquiátrico y psicológico)</w:t>
      </w:r>
      <w:r w:rsidR="00263AFA" w:rsidRPr="00475353">
        <w:rPr>
          <w:rFonts w:ascii="Verdana" w:hAnsi="Verdana"/>
          <w:sz w:val="20"/>
          <w:szCs w:val="20"/>
        </w:rPr>
        <w:t xml:space="preserve">. </w:t>
      </w:r>
      <w:r w:rsidR="009E5DFA">
        <w:rPr>
          <w:rFonts w:ascii="Verdana" w:hAnsi="Verdana"/>
          <w:sz w:val="20"/>
          <w:szCs w:val="20"/>
        </w:rPr>
        <w:t xml:space="preserve">En particular, </w:t>
      </w:r>
      <w:r w:rsidR="00286963">
        <w:rPr>
          <w:rFonts w:ascii="Verdana" w:hAnsi="Verdana"/>
          <w:sz w:val="20"/>
          <w:szCs w:val="20"/>
        </w:rPr>
        <w:t xml:space="preserve">estima </w:t>
      </w:r>
      <w:r w:rsidR="009E5DFA">
        <w:rPr>
          <w:rFonts w:ascii="Verdana" w:hAnsi="Verdana"/>
          <w:sz w:val="20"/>
          <w:szCs w:val="20"/>
        </w:rPr>
        <w:t>positiv</w:t>
      </w:r>
      <w:r w:rsidR="00286963">
        <w:rPr>
          <w:rFonts w:ascii="Verdana" w:hAnsi="Verdana"/>
          <w:sz w:val="20"/>
          <w:szCs w:val="20"/>
        </w:rPr>
        <w:t>o</w:t>
      </w:r>
      <w:r w:rsidR="009E5DFA">
        <w:rPr>
          <w:rFonts w:ascii="Verdana" w:hAnsi="Verdana"/>
          <w:sz w:val="20"/>
          <w:szCs w:val="20"/>
        </w:rPr>
        <w:t xml:space="preserve"> que </w:t>
      </w:r>
      <w:r w:rsidR="00F45DDD">
        <w:rPr>
          <w:rFonts w:ascii="Verdana" w:hAnsi="Verdana"/>
          <w:sz w:val="20"/>
          <w:szCs w:val="20"/>
        </w:rPr>
        <w:t xml:space="preserve">se haya incluido el estudio de la Sentencia del presente caso tanto </w:t>
      </w:r>
      <w:r w:rsidR="009E5DFA">
        <w:rPr>
          <w:rFonts w:ascii="Verdana" w:hAnsi="Verdana"/>
          <w:sz w:val="20"/>
          <w:szCs w:val="20"/>
        </w:rPr>
        <w:t>en el “</w:t>
      </w:r>
      <w:r w:rsidR="009E5DFA" w:rsidRPr="0036082A">
        <w:rPr>
          <w:rFonts w:ascii="Verdana" w:hAnsi="Verdana"/>
          <w:sz w:val="20"/>
          <w:szCs w:val="20"/>
        </w:rPr>
        <w:t>Módulo de capacitación de derechos humanos de las personas privadas de libertad”</w:t>
      </w:r>
      <w:r w:rsidR="00286963">
        <w:rPr>
          <w:rFonts w:ascii="Verdana" w:hAnsi="Verdana"/>
          <w:sz w:val="20"/>
          <w:szCs w:val="20"/>
        </w:rPr>
        <w:t>,</w:t>
      </w:r>
      <w:r w:rsidR="009E5DFA">
        <w:rPr>
          <w:rFonts w:ascii="Verdana" w:hAnsi="Verdana"/>
          <w:sz w:val="20"/>
          <w:szCs w:val="20"/>
        </w:rPr>
        <w:t xml:space="preserve"> implementado en el 2012</w:t>
      </w:r>
      <w:r w:rsidR="00286963">
        <w:rPr>
          <w:rFonts w:ascii="Verdana" w:hAnsi="Verdana"/>
          <w:sz w:val="20"/>
          <w:szCs w:val="20"/>
        </w:rPr>
        <w:t>,</w:t>
      </w:r>
      <w:r w:rsidR="009E5DFA">
        <w:rPr>
          <w:rFonts w:ascii="Verdana" w:hAnsi="Verdana"/>
          <w:sz w:val="20"/>
          <w:szCs w:val="20"/>
        </w:rPr>
        <w:t xml:space="preserve"> </w:t>
      </w:r>
      <w:r w:rsidR="00F45DDD">
        <w:rPr>
          <w:rFonts w:ascii="Verdana" w:hAnsi="Verdana"/>
          <w:sz w:val="20"/>
          <w:szCs w:val="20"/>
        </w:rPr>
        <w:t xml:space="preserve">como en </w:t>
      </w:r>
      <w:r w:rsidR="002A6BFE">
        <w:rPr>
          <w:rFonts w:ascii="Verdana" w:hAnsi="Verdana"/>
          <w:sz w:val="20"/>
          <w:szCs w:val="20"/>
        </w:rPr>
        <w:t xml:space="preserve">una </w:t>
      </w:r>
      <w:r w:rsidR="009E5DFA">
        <w:rPr>
          <w:rFonts w:ascii="Verdana" w:hAnsi="Verdana"/>
          <w:sz w:val="20"/>
          <w:szCs w:val="20"/>
        </w:rPr>
        <w:t xml:space="preserve">capacitación </w:t>
      </w:r>
      <w:r w:rsidR="002A6BFE">
        <w:rPr>
          <w:rFonts w:ascii="Verdana" w:hAnsi="Verdana"/>
          <w:sz w:val="20"/>
          <w:szCs w:val="20"/>
        </w:rPr>
        <w:t xml:space="preserve">llevada a cabo en </w:t>
      </w:r>
      <w:r w:rsidR="009E5DFA">
        <w:rPr>
          <w:rFonts w:ascii="Verdana" w:hAnsi="Verdana"/>
          <w:sz w:val="20"/>
          <w:szCs w:val="20"/>
        </w:rPr>
        <w:t xml:space="preserve">el 2014 </w:t>
      </w:r>
      <w:r w:rsidR="009A3F11">
        <w:rPr>
          <w:rFonts w:ascii="Verdana" w:hAnsi="Verdana"/>
          <w:sz w:val="20"/>
          <w:szCs w:val="20"/>
        </w:rPr>
        <w:t>(</w:t>
      </w:r>
      <w:r w:rsidR="009A3F11" w:rsidRPr="00303891">
        <w:rPr>
          <w:rFonts w:ascii="Verdana" w:hAnsi="Verdana"/>
          <w:i/>
          <w:sz w:val="20"/>
          <w:szCs w:val="20"/>
        </w:rPr>
        <w:t>supra</w:t>
      </w:r>
      <w:r w:rsidR="009A3F11">
        <w:rPr>
          <w:rFonts w:ascii="Verdana" w:hAnsi="Verdana"/>
          <w:sz w:val="20"/>
          <w:szCs w:val="20"/>
        </w:rPr>
        <w:t xml:space="preserve"> Considerando</w:t>
      </w:r>
      <w:r w:rsidR="00383D77">
        <w:rPr>
          <w:rFonts w:ascii="Verdana" w:hAnsi="Verdana"/>
          <w:sz w:val="20"/>
          <w:szCs w:val="20"/>
        </w:rPr>
        <w:t xml:space="preserve"> 26</w:t>
      </w:r>
      <w:r w:rsidR="002A6BFE">
        <w:rPr>
          <w:rFonts w:ascii="Verdana" w:hAnsi="Verdana"/>
          <w:sz w:val="20"/>
          <w:szCs w:val="20"/>
        </w:rPr>
        <w:t>.</w:t>
      </w:r>
      <w:r w:rsidR="00383D77">
        <w:rPr>
          <w:rFonts w:ascii="Verdana" w:hAnsi="Verdana"/>
          <w:sz w:val="20"/>
          <w:szCs w:val="20"/>
        </w:rPr>
        <w:t>a</w:t>
      </w:r>
      <w:r w:rsidR="002A6BFE">
        <w:rPr>
          <w:rFonts w:ascii="Verdana" w:hAnsi="Verdana"/>
          <w:sz w:val="20"/>
          <w:szCs w:val="20"/>
        </w:rPr>
        <w:t>) y 26.c</w:t>
      </w:r>
      <w:r w:rsidR="009A3F11">
        <w:rPr>
          <w:rFonts w:ascii="Verdana" w:hAnsi="Verdana"/>
          <w:sz w:val="20"/>
          <w:szCs w:val="20"/>
        </w:rPr>
        <w:t>)</w:t>
      </w:r>
      <w:r w:rsidR="009E5DFA">
        <w:rPr>
          <w:rFonts w:ascii="Verdana" w:hAnsi="Verdana"/>
          <w:sz w:val="20"/>
          <w:szCs w:val="20"/>
        </w:rPr>
        <w:t>.</w:t>
      </w:r>
    </w:p>
    <w:p w:rsidR="005A609C" w:rsidRDefault="005A609C" w:rsidP="005A609C">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p>
    <w:p w:rsidR="000730C7" w:rsidRPr="005A609C" w:rsidRDefault="00263AFA" w:rsidP="009A3F11">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sidRPr="009E5DFA">
        <w:rPr>
          <w:rFonts w:ascii="Verdana" w:hAnsi="Verdana"/>
          <w:sz w:val="20"/>
          <w:szCs w:val="20"/>
        </w:rPr>
        <w:t xml:space="preserve">Sin embargo, este Tribunal considera indispensable hacer notar </w:t>
      </w:r>
      <w:r w:rsidR="005B757E" w:rsidRPr="009E5DFA">
        <w:rPr>
          <w:rFonts w:ascii="Verdana" w:hAnsi="Verdana"/>
          <w:sz w:val="20"/>
          <w:szCs w:val="20"/>
        </w:rPr>
        <w:t>q</w:t>
      </w:r>
      <w:r w:rsidRPr="009E5DFA">
        <w:rPr>
          <w:rFonts w:ascii="Verdana" w:hAnsi="Verdana"/>
          <w:sz w:val="20"/>
          <w:szCs w:val="20"/>
        </w:rPr>
        <w:t>ue</w:t>
      </w:r>
      <w:r w:rsidR="00BC51D4">
        <w:rPr>
          <w:rFonts w:ascii="Verdana" w:hAnsi="Verdana"/>
          <w:sz w:val="20"/>
          <w:szCs w:val="20"/>
        </w:rPr>
        <w:t>, con excepción del curso para i</w:t>
      </w:r>
      <w:r w:rsidR="00BC51D4" w:rsidRPr="009A3F11">
        <w:rPr>
          <w:rFonts w:ascii="Verdana" w:hAnsi="Verdana"/>
          <w:sz w:val="20"/>
          <w:szCs w:val="20"/>
        </w:rPr>
        <w:t xml:space="preserve">nstructores en </w:t>
      </w:r>
      <w:r w:rsidR="00BC51D4">
        <w:rPr>
          <w:rFonts w:ascii="Verdana" w:hAnsi="Verdana"/>
          <w:sz w:val="20"/>
          <w:szCs w:val="20"/>
        </w:rPr>
        <w:t>derechos Humanos para f</w:t>
      </w:r>
      <w:r w:rsidR="00BC51D4" w:rsidRPr="009A3F11">
        <w:rPr>
          <w:rFonts w:ascii="Verdana" w:hAnsi="Verdana"/>
          <w:sz w:val="20"/>
          <w:szCs w:val="20"/>
        </w:rPr>
        <w:t>uncionarios y Funcionarias del Sistema Penitenciario Ecuatoriano</w:t>
      </w:r>
      <w:r w:rsidR="00BC51D4">
        <w:rPr>
          <w:rFonts w:ascii="Verdana" w:hAnsi="Verdana"/>
          <w:sz w:val="20"/>
          <w:szCs w:val="20"/>
        </w:rPr>
        <w:t xml:space="preserve"> desarrollado con el CICR (</w:t>
      </w:r>
      <w:r w:rsidR="00BC51D4" w:rsidRPr="00F35BBF">
        <w:rPr>
          <w:rFonts w:ascii="Verdana" w:hAnsi="Verdana"/>
          <w:i/>
          <w:sz w:val="20"/>
          <w:szCs w:val="20"/>
        </w:rPr>
        <w:t>supra</w:t>
      </w:r>
      <w:r w:rsidR="00BC51D4">
        <w:rPr>
          <w:rFonts w:ascii="Verdana" w:hAnsi="Verdana"/>
          <w:sz w:val="20"/>
          <w:szCs w:val="20"/>
        </w:rPr>
        <w:t xml:space="preserve"> Considerando 26c),</w:t>
      </w:r>
      <w:r w:rsidRPr="009E5DFA">
        <w:rPr>
          <w:rFonts w:ascii="Verdana" w:hAnsi="Verdana"/>
          <w:sz w:val="20"/>
          <w:szCs w:val="20"/>
        </w:rPr>
        <w:t xml:space="preserve"> Ecuador no ha remitido material probatorio que permita valorar </w:t>
      </w:r>
      <w:r w:rsidR="00475353" w:rsidRPr="009E5DFA">
        <w:rPr>
          <w:rFonts w:ascii="Verdana" w:hAnsi="Verdana"/>
          <w:sz w:val="20"/>
          <w:szCs w:val="20"/>
        </w:rPr>
        <w:t xml:space="preserve">si </w:t>
      </w:r>
      <w:r w:rsidRPr="009E5DFA">
        <w:rPr>
          <w:rFonts w:ascii="Verdana" w:hAnsi="Verdana"/>
          <w:sz w:val="20"/>
          <w:szCs w:val="20"/>
        </w:rPr>
        <w:t xml:space="preserve">las capacitaciones que </w:t>
      </w:r>
      <w:r w:rsidR="00475353" w:rsidRPr="009E5DFA">
        <w:rPr>
          <w:rFonts w:ascii="Verdana" w:hAnsi="Verdana"/>
          <w:sz w:val="20"/>
          <w:szCs w:val="20"/>
        </w:rPr>
        <w:t xml:space="preserve">se </w:t>
      </w:r>
      <w:r w:rsidRPr="009E5DFA">
        <w:rPr>
          <w:rFonts w:ascii="Verdana" w:hAnsi="Verdana"/>
          <w:sz w:val="20"/>
          <w:szCs w:val="20"/>
        </w:rPr>
        <w:t xml:space="preserve">habrían </w:t>
      </w:r>
      <w:r w:rsidR="00475353" w:rsidRPr="009E5DFA">
        <w:rPr>
          <w:rFonts w:ascii="Verdana" w:hAnsi="Verdana"/>
          <w:sz w:val="20"/>
          <w:szCs w:val="20"/>
        </w:rPr>
        <w:t>brindado</w:t>
      </w:r>
      <w:r w:rsidRPr="009E5DFA">
        <w:rPr>
          <w:rFonts w:ascii="Verdana" w:hAnsi="Verdana"/>
          <w:sz w:val="20"/>
          <w:szCs w:val="20"/>
        </w:rPr>
        <w:t xml:space="preserve"> hasta el momento</w:t>
      </w:r>
      <w:r w:rsidR="00475353" w:rsidRPr="009E5DFA">
        <w:rPr>
          <w:rFonts w:ascii="Verdana" w:hAnsi="Verdana"/>
          <w:sz w:val="20"/>
          <w:szCs w:val="20"/>
        </w:rPr>
        <w:t xml:space="preserve"> se ajustan a los contenidos específicos determinados en la Sentencia</w:t>
      </w:r>
      <w:r w:rsidR="003D4407" w:rsidRPr="009E5DFA">
        <w:rPr>
          <w:rFonts w:ascii="Verdana" w:hAnsi="Verdana"/>
          <w:sz w:val="20"/>
          <w:szCs w:val="20"/>
        </w:rPr>
        <w:t xml:space="preserve">, ni constatar </w:t>
      </w:r>
      <w:r w:rsidR="009A3F11">
        <w:rPr>
          <w:rFonts w:ascii="Verdana" w:hAnsi="Verdana"/>
          <w:sz w:val="20"/>
          <w:szCs w:val="20"/>
        </w:rPr>
        <w:t>que é</w:t>
      </w:r>
      <w:r w:rsidRPr="009E5DFA">
        <w:rPr>
          <w:rFonts w:ascii="Verdana" w:hAnsi="Verdana"/>
          <w:sz w:val="20"/>
          <w:szCs w:val="20"/>
        </w:rPr>
        <w:t xml:space="preserve">stas efectivamente </w:t>
      </w:r>
      <w:r w:rsidR="003D4407" w:rsidRPr="009E5DFA">
        <w:rPr>
          <w:rFonts w:ascii="Verdana" w:hAnsi="Verdana"/>
          <w:sz w:val="20"/>
          <w:szCs w:val="20"/>
        </w:rPr>
        <w:t>hayan cubierto</w:t>
      </w:r>
      <w:r w:rsidRPr="009E5DFA">
        <w:rPr>
          <w:rFonts w:ascii="Verdana" w:hAnsi="Verdana"/>
          <w:sz w:val="20"/>
          <w:szCs w:val="20"/>
        </w:rPr>
        <w:t xml:space="preserve"> tanto a personal penitenciario como personal médico, psiquiátrico y psicológico que laboren o se relacionen c</w:t>
      </w:r>
      <w:r w:rsidR="00373A6D" w:rsidRPr="009E5DFA">
        <w:rPr>
          <w:rFonts w:ascii="Verdana" w:hAnsi="Verdana"/>
          <w:sz w:val="20"/>
          <w:szCs w:val="20"/>
        </w:rPr>
        <w:t>on población penitenciaria</w:t>
      </w:r>
      <w:r w:rsidR="002A6BFE">
        <w:rPr>
          <w:rFonts w:ascii="Verdana" w:hAnsi="Verdana"/>
          <w:sz w:val="20"/>
          <w:szCs w:val="20"/>
        </w:rPr>
        <w:t xml:space="preserve"> </w:t>
      </w:r>
      <w:r w:rsidR="002A6BFE" w:rsidRPr="009E5DFA">
        <w:rPr>
          <w:rFonts w:ascii="Verdana" w:hAnsi="Verdana"/>
          <w:sz w:val="20"/>
          <w:szCs w:val="20"/>
        </w:rPr>
        <w:t>(</w:t>
      </w:r>
      <w:r w:rsidR="002A6BFE" w:rsidRPr="009E5DFA">
        <w:rPr>
          <w:rFonts w:ascii="Verdana" w:hAnsi="Verdana"/>
          <w:i/>
          <w:sz w:val="20"/>
          <w:szCs w:val="20"/>
        </w:rPr>
        <w:t>supra</w:t>
      </w:r>
      <w:r w:rsidR="002A6BFE" w:rsidRPr="009E5DFA">
        <w:rPr>
          <w:rFonts w:ascii="Verdana" w:hAnsi="Verdana"/>
          <w:sz w:val="20"/>
          <w:szCs w:val="20"/>
        </w:rPr>
        <w:t xml:space="preserve"> Considerando</w:t>
      </w:r>
      <w:r w:rsidR="002A6BFE">
        <w:rPr>
          <w:rFonts w:ascii="Verdana" w:hAnsi="Verdana"/>
          <w:sz w:val="20"/>
          <w:szCs w:val="20"/>
        </w:rPr>
        <w:t>s 18 y</w:t>
      </w:r>
      <w:r w:rsidR="002A6BFE" w:rsidRPr="009E5DFA">
        <w:rPr>
          <w:rFonts w:ascii="Verdana" w:hAnsi="Verdana"/>
          <w:sz w:val="20"/>
          <w:szCs w:val="20"/>
        </w:rPr>
        <w:t xml:space="preserve"> </w:t>
      </w:r>
      <w:r w:rsidR="002A6BFE">
        <w:rPr>
          <w:rFonts w:ascii="Verdana" w:hAnsi="Verdana"/>
          <w:sz w:val="20"/>
          <w:szCs w:val="20"/>
        </w:rPr>
        <w:t>26</w:t>
      </w:r>
      <w:r w:rsidR="002A6BFE" w:rsidRPr="009E5DFA">
        <w:rPr>
          <w:rFonts w:ascii="Verdana" w:hAnsi="Verdana"/>
          <w:sz w:val="20"/>
          <w:szCs w:val="20"/>
        </w:rPr>
        <w:t>)</w:t>
      </w:r>
      <w:r w:rsidR="00373A6D" w:rsidRPr="009E5DFA">
        <w:rPr>
          <w:rFonts w:ascii="Verdana" w:hAnsi="Verdana"/>
          <w:sz w:val="20"/>
          <w:szCs w:val="20"/>
        </w:rPr>
        <w:t xml:space="preserve">. </w:t>
      </w:r>
      <w:r w:rsidR="00982261">
        <w:rPr>
          <w:rFonts w:ascii="Verdana" w:hAnsi="Verdana"/>
          <w:sz w:val="20"/>
          <w:szCs w:val="20"/>
        </w:rPr>
        <w:t xml:space="preserve">El Estado tampoco ha aportado información sobre si estas acciones de capacitación son de carácter aislado o van a persistir en el tiempo. </w:t>
      </w:r>
      <w:r w:rsidR="00373A6D" w:rsidRPr="009E5DFA">
        <w:rPr>
          <w:rFonts w:ascii="Verdana" w:hAnsi="Verdana"/>
          <w:sz w:val="20"/>
          <w:szCs w:val="20"/>
        </w:rPr>
        <w:t>De la información proporcionada por Ecuador pareciera</w:t>
      </w:r>
      <w:r w:rsidR="00475353" w:rsidRPr="009E5DFA">
        <w:rPr>
          <w:rFonts w:ascii="Verdana" w:hAnsi="Verdana"/>
          <w:sz w:val="20"/>
          <w:szCs w:val="20"/>
        </w:rPr>
        <w:t xml:space="preserve"> que</w:t>
      </w:r>
      <w:r w:rsidR="005B757E" w:rsidRPr="009E5DFA">
        <w:rPr>
          <w:rFonts w:ascii="Verdana" w:hAnsi="Verdana"/>
          <w:sz w:val="20"/>
          <w:szCs w:val="20"/>
        </w:rPr>
        <w:t xml:space="preserve"> la mayoría de las capacitaciones o talleres han </w:t>
      </w:r>
      <w:r w:rsidR="006A5C94">
        <w:rPr>
          <w:rFonts w:ascii="Verdana" w:hAnsi="Verdana"/>
          <w:sz w:val="20"/>
          <w:szCs w:val="20"/>
        </w:rPr>
        <w:t>estado dirigidas</w:t>
      </w:r>
      <w:r w:rsidR="002A6BFE">
        <w:rPr>
          <w:rFonts w:ascii="Verdana" w:hAnsi="Verdana"/>
          <w:sz w:val="20"/>
          <w:szCs w:val="20"/>
        </w:rPr>
        <w:t>,</w:t>
      </w:r>
      <w:r w:rsidR="006A5C94">
        <w:rPr>
          <w:rFonts w:ascii="Verdana" w:hAnsi="Verdana"/>
          <w:sz w:val="20"/>
          <w:szCs w:val="20"/>
        </w:rPr>
        <w:t xml:space="preserve"> </w:t>
      </w:r>
      <w:r w:rsidR="005B757E" w:rsidRPr="009E5DFA">
        <w:rPr>
          <w:rFonts w:ascii="Verdana" w:hAnsi="Verdana"/>
          <w:sz w:val="20"/>
          <w:szCs w:val="20"/>
        </w:rPr>
        <w:t>principalmente</w:t>
      </w:r>
      <w:r w:rsidR="002A6BFE">
        <w:rPr>
          <w:rFonts w:ascii="Verdana" w:hAnsi="Verdana"/>
          <w:sz w:val="20"/>
          <w:szCs w:val="20"/>
        </w:rPr>
        <w:t>,</w:t>
      </w:r>
      <w:r w:rsidR="005B757E" w:rsidRPr="009E5DFA">
        <w:rPr>
          <w:rFonts w:ascii="Verdana" w:hAnsi="Verdana"/>
          <w:sz w:val="20"/>
          <w:szCs w:val="20"/>
        </w:rPr>
        <w:t xml:space="preserve"> </w:t>
      </w:r>
      <w:r w:rsidR="006A5C94">
        <w:rPr>
          <w:rFonts w:ascii="Verdana" w:hAnsi="Verdana"/>
          <w:sz w:val="20"/>
          <w:szCs w:val="20"/>
        </w:rPr>
        <w:t>a</w:t>
      </w:r>
      <w:r w:rsidR="005B757E" w:rsidRPr="009E5DFA">
        <w:rPr>
          <w:rFonts w:ascii="Verdana" w:hAnsi="Verdana"/>
          <w:sz w:val="20"/>
          <w:szCs w:val="20"/>
        </w:rPr>
        <w:t xml:space="preserve"> </w:t>
      </w:r>
      <w:r w:rsidR="003D4407" w:rsidRPr="009E5DFA">
        <w:rPr>
          <w:rFonts w:ascii="Verdana" w:hAnsi="Verdana"/>
          <w:sz w:val="20"/>
          <w:szCs w:val="20"/>
        </w:rPr>
        <w:t xml:space="preserve">agentes de seguridad penitenciaria, </w:t>
      </w:r>
      <w:r w:rsidR="00475353" w:rsidRPr="009E5DFA">
        <w:rPr>
          <w:rFonts w:ascii="Verdana" w:hAnsi="Verdana"/>
          <w:sz w:val="20"/>
          <w:szCs w:val="20"/>
        </w:rPr>
        <w:t>aspirantes</w:t>
      </w:r>
      <w:r w:rsidR="003D4407" w:rsidRPr="009E5DFA">
        <w:rPr>
          <w:rFonts w:ascii="Verdana" w:hAnsi="Verdana"/>
          <w:sz w:val="20"/>
          <w:szCs w:val="20"/>
        </w:rPr>
        <w:t xml:space="preserve"> a guías penitenciarios y personal administrativo de centros de rehabilitación</w:t>
      </w:r>
      <w:r w:rsidR="005D42C9">
        <w:rPr>
          <w:rFonts w:ascii="Verdana" w:hAnsi="Verdana"/>
          <w:sz w:val="20"/>
          <w:szCs w:val="20"/>
        </w:rPr>
        <w:t xml:space="preserve"> </w:t>
      </w:r>
      <w:r w:rsidR="002A6BFE">
        <w:rPr>
          <w:rFonts w:ascii="Verdana" w:hAnsi="Verdana"/>
          <w:sz w:val="20"/>
          <w:szCs w:val="20"/>
        </w:rPr>
        <w:t xml:space="preserve">social </w:t>
      </w:r>
      <w:r w:rsidR="005B757E" w:rsidRPr="009E5DFA">
        <w:rPr>
          <w:rFonts w:ascii="Verdana" w:hAnsi="Verdana"/>
          <w:sz w:val="20"/>
          <w:szCs w:val="20"/>
        </w:rPr>
        <w:t>y</w:t>
      </w:r>
      <w:r w:rsidR="00472459">
        <w:rPr>
          <w:rFonts w:ascii="Verdana" w:hAnsi="Verdana"/>
          <w:sz w:val="20"/>
          <w:szCs w:val="20"/>
        </w:rPr>
        <w:t>,</w:t>
      </w:r>
      <w:r w:rsidR="005B757E" w:rsidRPr="009E5DFA">
        <w:rPr>
          <w:rFonts w:ascii="Verdana" w:hAnsi="Verdana"/>
          <w:sz w:val="20"/>
          <w:szCs w:val="20"/>
        </w:rPr>
        <w:t xml:space="preserve"> en menor medida</w:t>
      </w:r>
      <w:r w:rsidR="009A3F11">
        <w:rPr>
          <w:rFonts w:ascii="Verdana" w:hAnsi="Verdana"/>
          <w:sz w:val="20"/>
          <w:szCs w:val="20"/>
        </w:rPr>
        <w:t>,</w:t>
      </w:r>
      <w:r w:rsidR="005B757E" w:rsidRPr="009E5DFA">
        <w:rPr>
          <w:rFonts w:ascii="Verdana" w:hAnsi="Verdana"/>
          <w:sz w:val="20"/>
          <w:szCs w:val="20"/>
        </w:rPr>
        <w:t xml:space="preserve"> </w:t>
      </w:r>
      <w:r w:rsidR="006A5C94">
        <w:rPr>
          <w:rFonts w:ascii="Verdana" w:hAnsi="Verdana"/>
          <w:sz w:val="20"/>
          <w:szCs w:val="20"/>
        </w:rPr>
        <w:t>a</w:t>
      </w:r>
      <w:r w:rsidR="005B757E" w:rsidRPr="009E5DFA">
        <w:rPr>
          <w:rFonts w:ascii="Verdana" w:hAnsi="Verdana"/>
          <w:sz w:val="20"/>
          <w:szCs w:val="20"/>
        </w:rPr>
        <w:t xml:space="preserve"> personal médico, psiquiátrico o psicológico</w:t>
      </w:r>
      <w:r w:rsidR="005D42C9">
        <w:rPr>
          <w:rFonts w:ascii="Verdana" w:hAnsi="Verdana"/>
          <w:sz w:val="20"/>
          <w:szCs w:val="20"/>
        </w:rPr>
        <w:t xml:space="preserve"> </w:t>
      </w:r>
      <w:r w:rsidR="002A6BFE">
        <w:rPr>
          <w:rFonts w:ascii="Verdana" w:hAnsi="Verdana"/>
          <w:sz w:val="20"/>
          <w:szCs w:val="20"/>
        </w:rPr>
        <w:t>(</w:t>
      </w:r>
      <w:r w:rsidR="002A6BFE" w:rsidRPr="00472459">
        <w:rPr>
          <w:rFonts w:ascii="Verdana" w:hAnsi="Verdana"/>
          <w:i/>
          <w:sz w:val="20"/>
          <w:szCs w:val="20"/>
        </w:rPr>
        <w:t>supra</w:t>
      </w:r>
      <w:r w:rsidR="002A6BFE">
        <w:rPr>
          <w:rFonts w:ascii="Verdana" w:hAnsi="Verdana"/>
          <w:sz w:val="20"/>
          <w:szCs w:val="20"/>
        </w:rPr>
        <w:t xml:space="preserve"> Considerando 26)</w:t>
      </w:r>
      <w:r w:rsidR="005B757E" w:rsidRPr="009E5DFA">
        <w:rPr>
          <w:rFonts w:ascii="Verdana" w:hAnsi="Verdana"/>
          <w:sz w:val="20"/>
          <w:szCs w:val="20"/>
        </w:rPr>
        <w:t xml:space="preserve">. </w:t>
      </w:r>
      <w:r w:rsidR="00B41278" w:rsidRPr="009E5DFA">
        <w:rPr>
          <w:rFonts w:ascii="Verdana" w:hAnsi="Verdana"/>
          <w:sz w:val="20"/>
          <w:szCs w:val="20"/>
        </w:rPr>
        <w:t xml:space="preserve">En consecuencia, resulta necesario que el Estado aclare los referidos </w:t>
      </w:r>
      <w:r w:rsidR="00B41278" w:rsidRPr="00303891">
        <w:rPr>
          <w:rFonts w:ascii="Verdana" w:hAnsi="Verdana"/>
          <w:sz w:val="20"/>
          <w:szCs w:val="20"/>
        </w:rPr>
        <w:t xml:space="preserve">aspectos y remita material probatorio que le permita valorar el cumplimiento de esta medida. </w:t>
      </w:r>
    </w:p>
    <w:p w:rsidR="005A609C" w:rsidRPr="00303891" w:rsidRDefault="005A609C" w:rsidP="005A609C">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p>
    <w:p w:rsidR="00232B29" w:rsidRPr="005A609C" w:rsidRDefault="00C240F3" w:rsidP="009E5DF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olor w:val="0070C0"/>
          <w:sz w:val="20"/>
          <w:szCs w:val="20"/>
          <w:u w:val="single"/>
        </w:rPr>
      </w:pPr>
      <w:r w:rsidRPr="00D51B93">
        <w:rPr>
          <w:rFonts w:ascii="Verdana" w:hAnsi="Verdana"/>
          <w:color w:val="000000"/>
          <w:sz w:val="20"/>
          <w:szCs w:val="20"/>
        </w:rPr>
        <w:t>E</w:t>
      </w:r>
      <w:r w:rsidR="002344E6" w:rsidRPr="00D51B93">
        <w:rPr>
          <w:rFonts w:ascii="Verdana" w:hAnsi="Verdana"/>
          <w:color w:val="000000"/>
          <w:sz w:val="20"/>
          <w:szCs w:val="20"/>
        </w:rPr>
        <w:t>n cuanto al</w:t>
      </w:r>
      <w:r w:rsidR="00232B29" w:rsidRPr="00D51B93">
        <w:rPr>
          <w:rFonts w:ascii="Verdana" w:hAnsi="Verdana"/>
          <w:color w:val="000000"/>
          <w:sz w:val="20"/>
          <w:szCs w:val="20"/>
        </w:rPr>
        <w:t xml:space="preserve"> convenio suscrito entre el Ministerio de Justicia, Derechos Humanos y Cultos y </w:t>
      </w:r>
      <w:r w:rsidR="003A2379" w:rsidRPr="00D51B93">
        <w:rPr>
          <w:rFonts w:ascii="Verdana" w:hAnsi="Verdana"/>
          <w:color w:val="000000"/>
          <w:sz w:val="20"/>
          <w:szCs w:val="20"/>
        </w:rPr>
        <w:t xml:space="preserve">el </w:t>
      </w:r>
      <w:r w:rsidR="00232B29" w:rsidRPr="00D51B93">
        <w:rPr>
          <w:rFonts w:ascii="Verdana" w:hAnsi="Verdana"/>
          <w:color w:val="000000"/>
          <w:sz w:val="20"/>
          <w:szCs w:val="20"/>
        </w:rPr>
        <w:t>CICR</w:t>
      </w:r>
      <w:r w:rsidR="002344E6" w:rsidRPr="00D51B93">
        <w:rPr>
          <w:rFonts w:ascii="Verdana" w:hAnsi="Verdana"/>
          <w:color w:val="000000"/>
          <w:sz w:val="20"/>
          <w:szCs w:val="20"/>
        </w:rPr>
        <w:t xml:space="preserve"> para la capacitación de funcionarios del sistema penitenciario</w:t>
      </w:r>
      <w:r w:rsidR="000B33E8" w:rsidRPr="00D51B93">
        <w:rPr>
          <w:rFonts w:ascii="Verdana" w:hAnsi="Verdana"/>
          <w:color w:val="000000"/>
          <w:sz w:val="20"/>
          <w:szCs w:val="20"/>
        </w:rPr>
        <w:t xml:space="preserve"> (</w:t>
      </w:r>
      <w:r w:rsidR="000B33E8" w:rsidRPr="00D51B93">
        <w:rPr>
          <w:rFonts w:ascii="Verdana" w:hAnsi="Verdana"/>
          <w:i/>
          <w:color w:val="000000"/>
          <w:sz w:val="20"/>
          <w:szCs w:val="20"/>
        </w:rPr>
        <w:t>supra</w:t>
      </w:r>
      <w:r w:rsidR="000B33E8" w:rsidRPr="00D51B93">
        <w:rPr>
          <w:rFonts w:ascii="Verdana" w:hAnsi="Verdana"/>
          <w:color w:val="000000"/>
          <w:sz w:val="20"/>
          <w:szCs w:val="20"/>
        </w:rPr>
        <w:t xml:space="preserve"> Considerando </w:t>
      </w:r>
      <w:r w:rsidR="00CB5684" w:rsidRPr="00D51B93">
        <w:rPr>
          <w:rFonts w:ascii="Verdana" w:hAnsi="Verdana"/>
          <w:color w:val="000000"/>
          <w:sz w:val="20"/>
          <w:szCs w:val="20"/>
        </w:rPr>
        <w:t>26</w:t>
      </w:r>
      <w:r w:rsidR="005D5E68" w:rsidRPr="00D51B93">
        <w:rPr>
          <w:rFonts w:ascii="Verdana" w:hAnsi="Verdana"/>
          <w:color w:val="000000"/>
          <w:sz w:val="20"/>
          <w:szCs w:val="20"/>
        </w:rPr>
        <w:t>.</w:t>
      </w:r>
      <w:r w:rsidR="00CB5684" w:rsidRPr="00D51B93">
        <w:rPr>
          <w:rFonts w:ascii="Verdana" w:hAnsi="Verdana"/>
          <w:color w:val="000000"/>
          <w:sz w:val="20"/>
          <w:szCs w:val="20"/>
        </w:rPr>
        <w:t>c</w:t>
      </w:r>
      <w:r w:rsidR="000B33E8" w:rsidRPr="00D51B93">
        <w:rPr>
          <w:rFonts w:ascii="Verdana" w:hAnsi="Verdana"/>
          <w:color w:val="000000"/>
          <w:sz w:val="20"/>
          <w:szCs w:val="20"/>
        </w:rPr>
        <w:t>)</w:t>
      </w:r>
      <w:r w:rsidR="00232B29" w:rsidRPr="00D51B93">
        <w:rPr>
          <w:rFonts w:ascii="Verdana" w:hAnsi="Verdana"/>
          <w:color w:val="000000"/>
          <w:sz w:val="20"/>
          <w:szCs w:val="20"/>
        </w:rPr>
        <w:t>, la Corte hace notar que, según la documentación aportada por el Estado</w:t>
      </w:r>
      <w:r w:rsidR="002344E6" w:rsidRPr="00D51B93">
        <w:rPr>
          <w:rStyle w:val="Refdenotaalpie"/>
          <w:rFonts w:ascii="Verdana" w:hAnsi="Verdana"/>
          <w:color w:val="000000"/>
          <w:sz w:val="20"/>
          <w:szCs w:val="20"/>
        </w:rPr>
        <w:footnoteReference w:id="66"/>
      </w:r>
      <w:r w:rsidR="00232B29" w:rsidRPr="00D51B93">
        <w:rPr>
          <w:rFonts w:ascii="Verdana" w:hAnsi="Verdana"/>
          <w:color w:val="000000"/>
          <w:sz w:val="20"/>
          <w:szCs w:val="20"/>
        </w:rPr>
        <w:t xml:space="preserve">, el </w:t>
      </w:r>
      <w:r w:rsidR="003A2379" w:rsidRPr="00D51B93">
        <w:rPr>
          <w:rFonts w:ascii="Verdana" w:hAnsi="Verdana"/>
          <w:color w:val="000000"/>
          <w:sz w:val="20"/>
          <w:szCs w:val="20"/>
        </w:rPr>
        <w:t>‘</w:t>
      </w:r>
      <w:r w:rsidR="00232B29" w:rsidRPr="00D51B93">
        <w:rPr>
          <w:rFonts w:ascii="Verdana" w:hAnsi="Verdana"/>
          <w:color w:val="000000"/>
          <w:sz w:val="20"/>
          <w:szCs w:val="20"/>
        </w:rPr>
        <w:t>Manual de Capacitación de Instructores en Derechos Humanos para Funcionarios y Funcionarias del Sistema Penitenciario Ecuatoriano”</w:t>
      </w:r>
      <w:r w:rsidR="00C03542" w:rsidRPr="00D51B93">
        <w:rPr>
          <w:rFonts w:ascii="Verdana" w:hAnsi="Verdana"/>
          <w:color w:val="000000"/>
          <w:sz w:val="20"/>
          <w:szCs w:val="20"/>
        </w:rPr>
        <w:t xml:space="preserve"> sería “[e]</w:t>
      </w:r>
      <w:proofErr w:type="spellStart"/>
      <w:r w:rsidR="00C03542" w:rsidRPr="00D51B93">
        <w:rPr>
          <w:rFonts w:ascii="Verdana" w:hAnsi="Verdana"/>
          <w:color w:val="000000"/>
          <w:sz w:val="20"/>
          <w:szCs w:val="20"/>
        </w:rPr>
        <w:t>ntrega</w:t>
      </w:r>
      <w:proofErr w:type="spellEnd"/>
      <w:r w:rsidR="00C03542" w:rsidRPr="00D51B93">
        <w:rPr>
          <w:rFonts w:ascii="Verdana" w:hAnsi="Verdana"/>
          <w:color w:val="000000"/>
          <w:sz w:val="20"/>
          <w:szCs w:val="20"/>
        </w:rPr>
        <w:t>[do] en mayo de 2014”, y que el “Curso de Instructores en Derechos Humanos para Funcionarios y Funcionarias del Sistema Penitenciario Ecuatoriano” se iniciaría para un “primer grupo de agentes de seguridad penitenciaria” en junio de 2014, y para un “segundo grupo” en julio de 2014”. No obstante lo anterior, la Corte observa que en sus informes de 2015 y 2016 el Estado no remitió información con respecto a la implementación de las referidas actividades previstas en el marco de este convenio interinstitucional</w:t>
      </w:r>
      <w:r w:rsidR="00E142F8" w:rsidRPr="00D51B93">
        <w:rPr>
          <w:rStyle w:val="Refdenotaalpie"/>
          <w:rFonts w:ascii="Verdana" w:hAnsi="Verdana"/>
          <w:color w:val="000000"/>
          <w:sz w:val="20"/>
          <w:szCs w:val="20"/>
        </w:rPr>
        <w:footnoteReference w:id="67"/>
      </w:r>
      <w:r w:rsidR="000B33E8" w:rsidRPr="00D51B93">
        <w:rPr>
          <w:rFonts w:ascii="Verdana" w:hAnsi="Verdana"/>
          <w:color w:val="000000"/>
          <w:sz w:val="20"/>
          <w:szCs w:val="20"/>
        </w:rPr>
        <w:t xml:space="preserve">, siendo </w:t>
      </w:r>
      <w:r w:rsidR="00E142F8" w:rsidRPr="00D51B93">
        <w:rPr>
          <w:rFonts w:ascii="Verdana" w:hAnsi="Verdana"/>
          <w:color w:val="000000"/>
          <w:sz w:val="20"/>
          <w:szCs w:val="20"/>
        </w:rPr>
        <w:t xml:space="preserve">relevante que en su siguiente informe el Estado </w:t>
      </w:r>
      <w:r w:rsidR="000B33E8" w:rsidRPr="00D51B93">
        <w:rPr>
          <w:rFonts w:ascii="Verdana" w:hAnsi="Verdana"/>
          <w:color w:val="000000"/>
          <w:sz w:val="20"/>
          <w:szCs w:val="20"/>
        </w:rPr>
        <w:t>se refiera a</w:t>
      </w:r>
      <w:r w:rsidR="00E142F8" w:rsidRPr="00D51B93">
        <w:rPr>
          <w:rFonts w:ascii="Verdana" w:hAnsi="Verdana"/>
          <w:color w:val="000000"/>
          <w:sz w:val="20"/>
          <w:szCs w:val="20"/>
        </w:rPr>
        <w:t xml:space="preserve"> </w:t>
      </w:r>
      <w:r w:rsidR="00304162" w:rsidRPr="00D51B93">
        <w:rPr>
          <w:rFonts w:ascii="Verdana" w:hAnsi="Verdana"/>
          <w:color w:val="000000"/>
          <w:sz w:val="20"/>
          <w:szCs w:val="20"/>
        </w:rPr>
        <w:t xml:space="preserve">ello. </w:t>
      </w:r>
    </w:p>
    <w:p w:rsidR="005A609C" w:rsidRPr="00F35BBF" w:rsidRDefault="005A609C" w:rsidP="005A609C">
      <w:pPr>
        <w:pStyle w:val="Prrafodelista"/>
        <w:autoSpaceDE w:val="0"/>
        <w:autoSpaceDN w:val="0"/>
        <w:adjustRightInd w:val="0"/>
        <w:spacing w:before="120" w:after="120" w:line="240" w:lineRule="auto"/>
        <w:ind w:left="0"/>
        <w:contextualSpacing w:val="0"/>
        <w:jc w:val="both"/>
        <w:rPr>
          <w:rFonts w:ascii="Verdana" w:hAnsi="Verdana"/>
          <w:color w:val="0070C0"/>
          <w:sz w:val="20"/>
          <w:szCs w:val="20"/>
          <w:u w:val="single"/>
        </w:rPr>
      </w:pPr>
    </w:p>
    <w:p w:rsidR="00C240F3" w:rsidRPr="005A609C" w:rsidRDefault="00C240F3" w:rsidP="00C240F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sidRPr="00303891">
        <w:rPr>
          <w:rFonts w:ascii="Verdana" w:hAnsi="Verdana"/>
          <w:sz w:val="20"/>
          <w:szCs w:val="20"/>
        </w:rPr>
        <w:t xml:space="preserve">Adicionalmente, el Tribunal requiere que Ecuador </w:t>
      </w:r>
      <w:r w:rsidRPr="00E71802">
        <w:rPr>
          <w:rFonts w:ascii="Verdana" w:hAnsi="Verdana"/>
          <w:sz w:val="20"/>
          <w:szCs w:val="20"/>
        </w:rPr>
        <w:t>remita información sobre</w:t>
      </w:r>
      <w:r w:rsidRPr="00303891">
        <w:rPr>
          <w:rFonts w:ascii="Verdana" w:hAnsi="Verdana"/>
          <w:sz w:val="20"/>
          <w:szCs w:val="20"/>
        </w:rPr>
        <w:t xml:space="preserve"> la permanencia de </w:t>
      </w:r>
      <w:r>
        <w:rPr>
          <w:rFonts w:ascii="Verdana" w:hAnsi="Verdana"/>
          <w:sz w:val="20"/>
          <w:szCs w:val="20"/>
        </w:rPr>
        <w:t>las</w:t>
      </w:r>
      <w:r w:rsidRPr="00303891">
        <w:rPr>
          <w:rFonts w:ascii="Verdana" w:hAnsi="Verdana"/>
          <w:sz w:val="20"/>
          <w:szCs w:val="20"/>
        </w:rPr>
        <w:t xml:space="preserve"> acciones de capacitación, ya que el propósito del Tribunal al ordenar este tipo de garantía de no repetición es que el Estado continúe anualmente con su implementación, según sus necesidades, a fin de evitar la repetición de violaciones a derechos humanos como las del presente caso. </w:t>
      </w:r>
    </w:p>
    <w:p w:rsidR="005A609C" w:rsidRPr="00303891" w:rsidRDefault="00F20E22" w:rsidP="005A609C">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r>
        <w:rPr>
          <w:rFonts w:ascii="Verdana" w:hAnsi="Verdana"/>
          <w:sz w:val="20"/>
          <w:szCs w:val="20"/>
          <w:u w:val="single"/>
        </w:rPr>
        <w:t>0</w:t>
      </w:r>
    </w:p>
    <w:p w:rsidR="0036082A" w:rsidRPr="005A609C" w:rsidRDefault="000B33E8" w:rsidP="0036082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Pr>
          <w:rFonts w:ascii="Verdana" w:hAnsi="Verdana"/>
          <w:sz w:val="20"/>
          <w:szCs w:val="20"/>
        </w:rPr>
        <w:t>Por otra parte</w:t>
      </w:r>
      <w:r w:rsidR="00B41278" w:rsidRPr="0036082A">
        <w:rPr>
          <w:rFonts w:ascii="Verdana" w:hAnsi="Verdana"/>
          <w:sz w:val="20"/>
          <w:szCs w:val="20"/>
        </w:rPr>
        <w:t>, este Tribunal hace notar que e</w:t>
      </w:r>
      <w:r w:rsidR="00981785" w:rsidRPr="0036082A">
        <w:rPr>
          <w:rFonts w:ascii="Verdana" w:hAnsi="Verdana"/>
          <w:sz w:val="20"/>
          <w:szCs w:val="20"/>
        </w:rPr>
        <w:t xml:space="preserve">l </w:t>
      </w:r>
      <w:r w:rsidR="00981785" w:rsidRPr="0036082A">
        <w:rPr>
          <w:rFonts w:ascii="Verdana" w:hAnsi="Verdana"/>
          <w:i/>
          <w:sz w:val="20"/>
          <w:szCs w:val="20"/>
        </w:rPr>
        <w:t>Estado</w:t>
      </w:r>
      <w:r w:rsidR="00981785" w:rsidRPr="0036082A">
        <w:rPr>
          <w:rFonts w:ascii="Verdana" w:hAnsi="Verdana"/>
          <w:sz w:val="20"/>
          <w:szCs w:val="20"/>
        </w:rPr>
        <w:t xml:space="preserve"> también </w:t>
      </w:r>
      <w:r w:rsidR="00B41278" w:rsidRPr="0036082A">
        <w:rPr>
          <w:rFonts w:ascii="Verdana" w:hAnsi="Verdana"/>
          <w:sz w:val="20"/>
          <w:szCs w:val="20"/>
        </w:rPr>
        <w:t>presentó información sobre</w:t>
      </w:r>
      <w:r w:rsidR="00981785" w:rsidRPr="0036082A">
        <w:rPr>
          <w:rFonts w:ascii="Verdana" w:hAnsi="Verdana"/>
          <w:sz w:val="20"/>
          <w:szCs w:val="20"/>
        </w:rPr>
        <w:t xml:space="preserve"> la elaboración de</w:t>
      </w:r>
      <w:r w:rsidR="003E2358" w:rsidRPr="0036082A">
        <w:rPr>
          <w:rFonts w:ascii="Verdana" w:hAnsi="Verdana"/>
          <w:sz w:val="20"/>
          <w:szCs w:val="20"/>
        </w:rPr>
        <w:t xml:space="preserve"> </w:t>
      </w:r>
      <w:r w:rsidR="00842B88" w:rsidRPr="0036082A">
        <w:rPr>
          <w:rFonts w:ascii="Verdana" w:hAnsi="Verdana"/>
          <w:sz w:val="20"/>
          <w:szCs w:val="20"/>
        </w:rPr>
        <w:t xml:space="preserve">un proyecto de </w:t>
      </w:r>
      <w:r w:rsidR="00981785" w:rsidRPr="0036082A">
        <w:rPr>
          <w:rFonts w:ascii="Verdana" w:hAnsi="Verdana"/>
          <w:sz w:val="20"/>
          <w:szCs w:val="20"/>
        </w:rPr>
        <w:t xml:space="preserve">“protocolo de acción para documentar y prevenir los casos de tortura que se den dentro los Centros de Rehabilitación Social y capacitar a los </w:t>
      </w:r>
      <w:r w:rsidR="00981785" w:rsidRPr="0036082A">
        <w:rPr>
          <w:rFonts w:ascii="Verdana" w:hAnsi="Verdana"/>
          <w:sz w:val="20"/>
          <w:szCs w:val="20"/>
        </w:rPr>
        <w:lastRenderedPageBreak/>
        <w:t>operadores de salud (médicos, psicólogos y psiquiatras) en los principios y normas de protección de los derechos humanos de las personas privadas de libertad y el tratamiento y control médico al que tienen derecho”</w:t>
      </w:r>
      <w:r w:rsidR="00842B88" w:rsidRPr="0036082A">
        <w:rPr>
          <w:rFonts w:ascii="Verdana" w:hAnsi="Verdana"/>
          <w:sz w:val="20"/>
          <w:szCs w:val="20"/>
        </w:rPr>
        <w:t>.</w:t>
      </w:r>
      <w:r w:rsidR="00981785" w:rsidRPr="00CF07CC">
        <w:rPr>
          <w:rFonts w:ascii="Verdana" w:hAnsi="Verdana"/>
          <w:sz w:val="20"/>
          <w:szCs w:val="20"/>
        </w:rPr>
        <w:t xml:space="preserve"> </w:t>
      </w:r>
      <w:r w:rsidR="00842B88" w:rsidRPr="0036082A">
        <w:rPr>
          <w:rFonts w:ascii="Verdana" w:hAnsi="Verdana"/>
          <w:sz w:val="20"/>
          <w:szCs w:val="20"/>
        </w:rPr>
        <w:t xml:space="preserve">Al respecto, la Corte </w:t>
      </w:r>
      <w:r w:rsidR="00304162">
        <w:rPr>
          <w:rFonts w:ascii="Verdana" w:hAnsi="Verdana"/>
          <w:sz w:val="20"/>
          <w:szCs w:val="20"/>
        </w:rPr>
        <w:t xml:space="preserve">coincide con los </w:t>
      </w:r>
      <w:r w:rsidR="00304162" w:rsidRPr="00304162">
        <w:rPr>
          <w:rFonts w:ascii="Verdana" w:hAnsi="Verdana"/>
          <w:i/>
          <w:sz w:val="20"/>
          <w:szCs w:val="20"/>
        </w:rPr>
        <w:t>representantes de las víctimas</w:t>
      </w:r>
      <w:r w:rsidR="00304162">
        <w:rPr>
          <w:rStyle w:val="Refdenotaalpie"/>
          <w:rFonts w:ascii="Verdana" w:hAnsi="Verdana"/>
          <w:i/>
          <w:sz w:val="20"/>
          <w:szCs w:val="20"/>
        </w:rPr>
        <w:footnoteReference w:id="68"/>
      </w:r>
      <w:r w:rsidR="00304162">
        <w:rPr>
          <w:rFonts w:ascii="Verdana" w:hAnsi="Verdana"/>
          <w:sz w:val="20"/>
          <w:szCs w:val="20"/>
        </w:rPr>
        <w:t xml:space="preserve"> en cuanto a que </w:t>
      </w:r>
      <w:r w:rsidR="0032724D" w:rsidRPr="0036082A">
        <w:rPr>
          <w:rFonts w:ascii="Verdana" w:hAnsi="Verdana"/>
          <w:sz w:val="20"/>
          <w:szCs w:val="20"/>
        </w:rPr>
        <w:t xml:space="preserve">esta medida resultaría positiva para el cumplimiento de lo ordenado en la Sentencia </w:t>
      </w:r>
      <w:r w:rsidR="00B41278" w:rsidRPr="0036082A">
        <w:rPr>
          <w:rFonts w:ascii="Verdana" w:hAnsi="Verdana"/>
          <w:sz w:val="20"/>
          <w:szCs w:val="20"/>
        </w:rPr>
        <w:t xml:space="preserve">respecto a la capacitación de personal médico, psiquiátrico y psicológico </w:t>
      </w:r>
      <w:r w:rsidR="0032724D" w:rsidRPr="0036082A">
        <w:rPr>
          <w:rFonts w:ascii="Verdana" w:hAnsi="Verdana"/>
          <w:sz w:val="20"/>
          <w:szCs w:val="20"/>
        </w:rPr>
        <w:t>(</w:t>
      </w:r>
      <w:r w:rsidR="0032724D" w:rsidRPr="0036082A">
        <w:rPr>
          <w:rFonts w:ascii="Verdana" w:hAnsi="Verdana"/>
          <w:i/>
          <w:sz w:val="20"/>
          <w:szCs w:val="20"/>
        </w:rPr>
        <w:t xml:space="preserve">supra </w:t>
      </w:r>
      <w:r w:rsidR="0032724D" w:rsidRPr="0036082A">
        <w:rPr>
          <w:rFonts w:ascii="Verdana" w:hAnsi="Verdana"/>
          <w:sz w:val="20"/>
          <w:szCs w:val="20"/>
        </w:rPr>
        <w:t xml:space="preserve">Considerando </w:t>
      </w:r>
      <w:r w:rsidR="00CB5684">
        <w:rPr>
          <w:rFonts w:ascii="Verdana" w:hAnsi="Verdana"/>
          <w:sz w:val="20"/>
          <w:szCs w:val="20"/>
        </w:rPr>
        <w:t>18</w:t>
      </w:r>
      <w:r w:rsidR="0032724D" w:rsidRPr="0036082A">
        <w:rPr>
          <w:rFonts w:ascii="Verdana" w:hAnsi="Verdana"/>
          <w:sz w:val="20"/>
          <w:szCs w:val="20"/>
        </w:rPr>
        <w:t>)</w:t>
      </w:r>
      <w:r w:rsidR="007436F8">
        <w:rPr>
          <w:rFonts w:ascii="Verdana" w:hAnsi="Verdana"/>
          <w:sz w:val="20"/>
          <w:szCs w:val="20"/>
        </w:rPr>
        <w:t>.</w:t>
      </w:r>
      <w:r w:rsidR="00304162">
        <w:rPr>
          <w:rFonts w:ascii="Verdana" w:hAnsi="Verdana"/>
          <w:sz w:val="20"/>
          <w:szCs w:val="20"/>
        </w:rPr>
        <w:t xml:space="preserve"> </w:t>
      </w:r>
      <w:r w:rsidR="007436F8">
        <w:rPr>
          <w:rFonts w:ascii="Verdana" w:hAnsi="Verdana"/>
          <w:sz w:val="20"/>
          <w:szCs w:val="20"/>
        </w:rPr>
        <w:t>S</w:t>
      </w:r>
      <w:r w:rsidR="00304162">
        <w:rPr>
          <w:rFonts w:ascii="Verdana" w:hAnsi="Verdana"/>
          <w:sz w:val="20"/>
          <w:szCs w:val="20"/>
        </w:rPr>
        <w:t>in embargo</w:t>
      </w:r>
      <w:r w:rsidR="0032724D" w:rsidRPr="0036082A">
        <w:rPr>
          <w:rFonts w:ascii="Verdana" w:hAnsi="Verdana"/>
          <w:sz w:val="20"/>
          <w:szCs w:val="20"/>
        </w:rPr>
        <w:t>, el Estado aún no ha remitido información sobre si</w:t>
      </w:r>
      <w:r w:rsidR="00842B88" w:rsidRPr="0036082A">
        <w:rPr>
          <w:rFonts w:ascii="Verdana" w:hAnsi="Verdana"/>
          <w:sz w:val="20"/>
          <w:szCs w:val="20"/>
        </w:rPr>
        <w:t xml:space="preserve"> el referido pr</w:t>
      </w:r>
      <w:r w:rsidR="0032724D" w:rsidRPr="0036082A">
        <w:rPr>
          <w:rFonts w:ascii="Verdana" w:hAnsi="Verdana"/>
          <w:sz w:val="20"/>
          <w:szCs w:val="20"/>
        </w:rPr>
        <w:t>oyecto fue</w:t>
      </w:r>
      <w:r w:rsidR="00842B88" w:rsidRPr="0036082A">
        <w:rPr>
          <w:rFonts w:ascii="Verdana" w:hAnsi="Verdana"/>
          <w:sz w:val="20"/>
          <w:szCs w:val="20"/>
        </w:rPr>
        <w:t xml:space="preserve"> “debidamente aprobado por las autoridades del Ministerio de Justicia, Derechos Humanos y Cultos”</w:t>
      </w:r>
      <w:r w:rsidR="0032724D" w:rsidRPr="0036082A">
        <w:rPr>
          <w:rFonts w:ascii="Verdana" w:hAnsi="Verdana"/>
          <w:sz w:val="20"/>
          <w:szCs w:val="20"/>
        </w:rPr>
        <w:t>, ni</w:t>
      </w:r>
      <w:r w:rsidR="00842B88" w:rsidRPr="0036082A">
        <w:rPr>
          <w:rFonts w:ascii="Verdana" w:hAnsi="Verdana"/>
          <w:sz w:val="20"/>
          <w:szCs w:val="20"/>
        </w:rPr>
        <w:t xml:space="preserve"> sobre “su ejecución”</w:t>
      </w:r>
      <w:r w:rsidR="0032724D" w:rsidRPr="0036082A">
        <w:rPr>
          <w:rFonts w:ascii="Verdana" w:hAnsi="Verdana"/>
          <w:sz w:val="20"/>
          <w:szCs w:val="20"/>
        </w:rPr>
        <w:t>.</w:t>
      </w:r>
      <w:r w:rsidR="00842B88" w:rsidRPr="0036082A">
        <w:rPr>
          <w:rFonts w:ascii="Verdana" w:hAnsi="Verdana"/>
          <w:sz w:val="20"/>
          <w:szCs w:val="20"/>
        </w:rPr>
        <w:t xml:space="preserve"> </w:t>
      </w:r>
    </w:p>
    <w:p w:rsidR="005A609C" w:rsidRPr="0036082A" w:rsidRDefault="005A609C" w:rsidP="005A609C">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p>
    <w:p w:rsidR="0036082A" w:rsidRPr="005A609C" w:rsidRDefault="00771793" w:rsidP="0036082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Pr>
          <w:rFonts w:ascii="Verdana" w:hAnsi="Verdana"/>
          <w:sz w:val="20"/>
          <w:szCs w:val="20"/>
        </w:rPr>
        <w:t>Además, Ecuador se refirió</w:t>
      </w:r>
      <w:r w:rsidR="00B41278" w:rsidRPr="0036082A">
        <w:rPr>
          <w:rFonts w:ascii="Verdana" w:hAnsi="Verdana"/>
          <w:sz w:val="20"/>
          <w:szCs w:val="20"/>
        </w:rPr>
        <w:t xml:space="preserve"> </w:t>
      </w:r>
      <w:r w:rsidR="00981785" w:rsidRPr="0036082A">
        <w:rPr>
          <w:rFonts w:ascii="Verdana" w:hAnsi="Verdana"/>
          <w:sz w:val="20"/>
          <w:szCs w:val="20"/>
        </w:rPr>
        <w:t>al diseño de un “módulo de capacitación en derecho a la salud y derechos de los pacientes dirigido a operadores de justicia y profesionales de la salud”</w:t>
      </w:r>
      <w:r w:rsidR="00634E2F" w:rsidRPr="0036082A">
        <w:rPr>
          <w:rFonts w:ascii="Verdana" w:hAnsi="Verdana"/>
          <w:sz w:val="20"/>
          <w:szCs w:val="20"/>
        </w:rPr>
        <w:t>.</w:t>
      </w:r>
      <w:r w:rsidR="00981785" w:rsidRPr="00CF07CC">
        <w:rPr>
          <w:rFonts w:ascii="Verdana" w:hAnsi="Verdana"/>
          <w:sz w:val="20"/>
          <w:szCs w:val="20"/>
        </w:rPr>
        <w:t xml:space="preserve"> </w:t>
      </w:r>
      <w:r w:rsidR="00634E2F" w:rsidRPr="0036082A">
        <w:rPr>
          <w:rFonts w:ascii="Verdana" w:hAnsi="Verdana"/>
          <w:sz w:val="20"/>
          <w:szCs w:val="20"/>
        </w:rPr>
        <w:t>Si bien la Corte valora</w:t>
      </w:r>
      <w:r w:rsidR="005346F8" w:rsidRPr="0036082A">
        <w:rPr>
          <w:rFonts w:ascii="Verdana" w:hAnsi="Verdana"/>
          <w:sz w:val="20"/>
          <w:szCs w:val="20"/>
        </w:rPr>
        <w:t xml:space="preserve"> la información brindada sobre este aspecto, estima necesario hacer notar que la capacitación a operadores de justicia y de salud sobre derechos de los pacientes no fue ordenada en el presente caso (</w:t>
      </w:r>
      <w:r w:rsidR="005346F8" w:rsidRPr="0036082A">
        <w:rPr>
          <w:rFonts w:ascii="Verdana" w:hAnsi="Verdana"/>
          <w:i/>
          <w:sz w:val="20"/>
          <w:szCs w:val="20"/>
        </w:rPr>
        <w:t xml:space="preserve">supra </w:t>
      </w:r>
      <w:r w:rsidR="005346F8" w:rsidRPr="0036082A">
        <w:rPr>
          <w:rFonts w:ascii="Verdana" w:hAnsi="Verdana"/>
          <w:sz w:val="20"/>
          <w:szCs w:val="20"/>
        </w:rPr>
        <w:t xml:space="preserve">Considerando </w:t>
      </w:r>
      <w:r w:rsidR="00CB5684">
        <w:rPr>
          <w:rFonts w:ascii="Verdana" w:hAnsi="Verdana"/>
          <w:sz w:val="20"/>
          <w:szCs w:val="20"/>
        </w:rPr>
        <w:t>18</w:t>
      </w:r>
      <w:r w:rsidR="005346F8" w:rsidRPr="0036082A">
        <w:rPr>
          <w:rFonts w:ascii="Verdana" w:hAnsi="Verdana"/>
          <w:sz w:val="20"/>
          <w:szCs w:val="20"/>
        </w:rPr>
        <w:t xml:space="preserve">). Esta reparación fue ordenada en la Sentencia del </w:t>
      </w:r>
      <w:r w:rsidR="005346F8" w:rsidRPr="0036082A">
        <w:rPr>
          <w:rFonts w:ascii="Verdana" w:hAnsi="Verdana"/>
          <w:i/>
          <w:sz w:val="20"/>
          <w:szCs w:val="20"/>
        </w:rPr>
        <w:t xml:space="preserve">Caso </w:t>
      </w:r>
      <w:r w:rsidR="005D0D0A" w:rsidRPr="0036082A">
        <w:rPr>
          <w:rFonts w:ascii="Verdana" w:hAnsi="Verdana"/>
          <w:i/>
          <w:sz w:val="20"/>
          <w:szCs w:val="20"/>
        </w:rPr>
        <w:t>Albán Cornejo y otros Vs. Ecuador</w:t>
      </w:r>
      <w:r w:rsidR="005D0D0A">
        <w:rPr>
          <w:rStyle w:val="Refdenotaalpie"/>
          <w:rFonts w:ascii="Verdana" w:hAnsi="Verdana"/>
          <w:i/>
          <w:sz w:val="20"/>
          <w:szCs w:val="20"/>
        </w:rPr>
        <w:footnoteReference w:id="69"/>
      </w:r>
      <w:r w:rsidR="005D0D0A" w:rsidRPr="0036082A">
        <w:rPr>
          <w:rFonts w:ascii="Verdana" w:hAnsi="Verdana"/>
          <w:sz w:val="20"/>
          <w:szCs w:val="20"/>
        </w:rPr>
        <w:t>, y su cumplimiento total por parte del Estado ya ha sido valorado por este Tribunal</w:t>
      </w:r>
      <w:r w:rsidR="005D0D0A" w:rsidRPr="0036082A">
        <w:rPr>
          <w:rStyle w:val="Refdenotaalpie"/>
          <w:rFonts w:ascii="Verdana" w:hAnsi="Verdana"/>
          <w:sz w:val="20"/>
          <w:szCs w:val="20"/>
        </w:rPr>
        <w:footnoteReference w:id="70"/>
      </w:r>
      <w:r w:rsidR="005D0D0A" w:rsidRPr="0036082A">
        <w:rPr>
          <w:rFonts w:ascii="Verdana" w:hAnsi="Verdana"/>
          <w:sz w:val="20"/>
          <w:szCs w:val="20"/>
        </w:rPr>
        <w:t>.</w:t>
      </w:r>
    </w:p>
    <w:p w:rsidR="005A609C" w:rsidRPr="0036082A" w:rsidRDefault="005A609C" w:rsidP="005A609C">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p>
    <w:p w:rsidR="0036082A" w:rsidRPr="00DC6908" w:rsidRDefault="00982261" w:rsidP="0036082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Pr>
          <w:rFonts w:ascii="Verdana" w:hAnsi="Verdana"/>
          <w:sz w:val="20"/>
          <w:szCs w:val="20"/>
        </w:rPr>
        <w:t>En cuanto a la implementación de capacitaciones para personal del ministerio público (</w:t>
      </w:r>
      <w:r w:rsidRPr="00510A81">
        <w:rPr>
          <w:rFonts w:ascii="Verdana" w:hAnsi="Verdana"/>
          <w:i/>
          <w:sz w:val="20"/>
          <w:szCs w:val="20"/>
        </w:rPr>
        <w:t>supra</w:t>
      </w:r>
      <w:r>
        <w:rPr>
          <w:rFonts w:ascii="Verdana" w:hAnsi="Verdana"/>
          <w:sz w:val="20"/>
          <w:szCs w:val="20"/>
        </w:rPr>
        <w:t xml:space="preserve"> Considerando 24.i</w:t>
      </w:r>
      <w:r w:rsidR="003B46D2">
        <w:rPr>
          <w:rFonts w:ascii="Verdana" w:hAnsi="Verdana"/>
          <w:sz w:val="20"/>
          <w:szCs w:val="20"/>
        </w:rPr>
        <w:t>.b</w:t>
      </w:r>
      <w:r>
        <w:rPr>
          <w:rFonts w:ascii="Verdana" w:hAnsi="Verdana"/>
          <w:sz w:val="20"/>
          <w:szCs w:val="20"/>
        </w:rPr>
        <w:t>), e</w:t>
      </w:r>
      <w:r w:rsidR="00B41278" w:rsidRPr="0036082A">
        <w:rPr>
          <w:rFonts w:ascii="Verdana" w:hAnsi="Verdana"/>
          <w:sz w:val="20"/>
          <w:szCs w:val="20"/>
        </w:rPr>
        <w:t xml:space="preserve">ste Tribunal observa que el Estado no ha remitido información sobre las medidas que ha adoptado para </w:t>
      </w:r>
      <w:r>
        <w:rPr>
          <w:rFonts w:ascii="Verdana" w:hAnsi="Verdana"/>
          <w:sz w:val="20"/>
          <w:szCs w:val="20"/>
        </w:rPr>
        <w:t xml:space="preserve">dar cumplimiento a este extremo de </w:t>
      </w:r>
      <w:r w:rsidR="00B41278" w:rsidRPr="0036082A">
        <w:rPr>
          <w:rFonts w:ascii="Verdana" w:hAnsi="Verdana"/>
          <w:sz w:val="20"/>
          <w:szCs w:val="20"/>
        </w:rPr>
        <w:t>la</w:t>
      </w:r>
      <w:r w:rsidR="008D05D4">
        <w:rPr>
          <w:rFonts w:ascii="Verdana" w:hAnsi="Verdana"/>
          <w:sz w:val="20"/>
          <w:szCs w:val="20"/>
        </w:rPr>
        <w:t xml:space="preserve"> reparación</w:t>
      </w:r>
      <w:r w:rsidR="00B41278" w:rsidRPr="0036082A">
        <w:rPr>
          <w:rFonts w:ascii="Verdana" w:hAnsi="Verdana"/>
          <w:sz w:val="20"/>
          <w:szCs w:val="20"/>
        </w:rPr>
        <w:t xml:space="preserve">. </w:t>
      </w:r>
    </w:p>
    <w:p w:rsidR="00DC6908" w:rsidRDefault="00DC6908" w:rsidP="00DC6908">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p>
    <w:p w:rsidR="004E598A" w:rsidRPr="00DC6908" w:rsidRDefault="001C224F" w:rsidP="0036082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sidRPr="0036082A">
        <w:rPr>
          <w:rFonts w:ascii="Verdana" w:hAnsi="Verdana"/>
          <w:sz w:val="20"/>
          <w:szCs w:val="20"/>
        </w:rPr>
        <w:t>Finalmente</w:t>
      </w:r>
      <w:r w:rsidR="00165C82" w:rsidRPr="0036082A">
        <w:rPr>
          <w:rFonts w:ascii="Verdana" w:hAnsi="Verdana"/>
          <w:sz w:val="20"/>
          <w:szCs w:val="20"/>
        </w:rPr>
        <w:t>, e</w:t>
      </w:r>
      <w:r w:rsidR="004E598A" w:rsidRPr="0036082A">
        <w:rPr>
          <w:rFonts w:ascii="Verdana" w:hAnsi="Verdana"/>
          <w:sz w:val="20"/>
          <w:szCs w:val="20"/>
        </w:rPr>
        <w:t xml:space="preserve">n </w:t>
      </w:r>
      <w:r w:rsidR="00165C82" w:rsidRPr="0036082A">
        <w:rPr>
          <w:rFonts w:ascii="Verdana" w:hAnsi="Verdana"/>
          <w:sz w:val="20"/>
          <w:szCs w:val="20"/>
        </w:rPr>
        <w:t>lo relativo a</w:t>
      </w:r>
      <w:r w:rsidR="004E598A" w:rsidRPr="0036082A">
        <w:rPr>
          <w:rFonts w:ascii="Verdana" w:hAnsi="Verdana"/>
          <w:sz w:val="20"/>
          <w:szCs w:val="20"/>
        </w:rPr>
        <w:t xml:space="preserve"> la “</w:t>
      </w:r>
      <w:proofErr w:type="gramStart"/>
      <w:r w:rsidR="004E598A" w:rsidRPr="0036082A">
        <w:rPr>
          <w:rFonts w:ascii="Verdana" w:hAnsi="Verdana"/>
          <w:sz w:val="20"/>
          <w:szCs w:val="20"/>
        </w:rPr>
        <w:t>crea[</w:t>
      </w:r>
      <w:proofErr w:type="spellStart"/>
      <w:proofErr w:type="gramEnd"/>
      <w:r w:rsidR="004E598A" w:rsidRPr="0036082A">
        <w:rPr>
          <w:rFonts w:ascii="Verdana" w:hAnsi="Verdana"/>
          <w:sz w:val="20"/>
          <w:szCs w:val="20"/>
        </w:rPr>
        <w:t>ción</w:t>
      </w:r>
      <w:proofErr w:type="spellEnd"/>
      <w:r w:rsidR="004E598A" w:rsidRPr="0036082A">
        <w:rPr>
          <w:rFonts w:ascii="Verdana" w:hAnsi="Verdana"/>
          <w:sz w:val="20"/>
          <w:szCs w:val="20"/>
        </w:rPr>
        <w:t xml:space="preserve">] del comité interinstitucional para </w:t>
      </w:r>
      <w:r w:rsidR="004E598A" w:rsidRPr="0036082A">
        <w:rPr>
          <w:rFonts w:ascii="Verdana" w:hAnsi="Verdana" w:cs="Arial"/>
          <w:sz w:val="20"/>
          <w:szCs w:val="20"/>
        </w:rPr>
        <w:t>definir y ejecutar programas de capacitación en derechos humanos”</w:t>
      </w:r>
      <w:r w:rsidR="00FF08FC">
        <w:rPr>
          <w:rFonts w:ascii="Verdana" w:hAnsi="Verdana" w:cs="Arial"/>
          <w:sz w:val="20"/>
          <w:szCs w:val="20"/>
        </w:rPr>
        <w:t xml:space="preserve"> (</w:t>
      </w:r>
      <w:r w:rsidR="00FF08FC" w:rsidRPr="00FF08FC">
        <w:rPr>
          <w:rFonts w:ascii="Verdana" w:hAnsi="Verdana" w:cs="Arial"/>
          <w:i/>
          <w:sz w:val="20"/>
          <w:szCs w:val="20"/>
        </w:rPr>
        <w:t xml:space="preserve">supra </w:t>
      </w:r>
      <w:r w:rsidR="00FF08FC">
        <w:rPr>
          <w:rFonts w:ascii="Verdana" w:hAnsi="Verdana" w:cs="Arial"/>
          <w:sz w:val="20"/>
          <w:szCs w:val="20"/>
        </w:rPr>
        <w:t>Considerando 24.ii)</w:t>
      </w:r>
      <w:r w:rsidR="004E598A" w:rsidRPr="0036082A">
        <w:rPr>
          <w:rFonts w:ascii="Verdana" w:hAnsi="Verdana" w:cs="Arial"/>
          <w:sz w:val="20"/>
          <w:szCs w:val="20"/>
        </w:rPr>
        <w:t xml:space="preserve">, </w:t>
      </w:r>
      <w:r w:rsidR="00F60EA2" w:rsidRPr="0036082A">
        <w:rPr>
          <w:rFonts w:ascii="Verdana" w:hAnsi="Verdana" w:cs="Arial"/>
          <w:sz w:val="20"/>
          <w:szCs w:val="20"/>
        </w:rPr>
        <w:t xml:space="preserve">la Corte recuerda que en la Resolución de </w:t>
      </w:r>
      <w:r w:rsidR="00C635E8" w:rsidRPr="0036082A">
        <w:rPr>
          <w:rFonts w:ascii="Verdana" w:hAnsi="Verdana" w:cs="Arial"/>
          <w:sz w:val="20"/>
          <w:szCs w:val="20"/>
        </w:rPr>
        <w:t>marzo de 2011 estimó necesario que las partes se refirieran a las actividades que impulsa el Ministerio de Justicia, Derechos Humanos y Cultos con otras entidades estatales como posible concreción de lo ordenado en esta medida de reparación (</w:t>
      </w:r>
      <w:r w:rsidR="00C635E8" w:rsidRPr="00CF07CC">
        <w:rPr>
          <w:rFonts w:ascii="Verdana" w:hAnsi="Verdana" w:cs="Arial"/>
          <w:i/>
          <w:sz w:val="20"/>
          <w:szCs w:val="20"/>
        </w:rPr>
        <w:t>supra</w:t>
      </w:r>
      <w:r w:rsidR="00C635E8" w:rsidRPr="0036082A">
        <w:rPr>
          <w:rFonts w:ascii="Verdana" w:hAnsi="Verdana" w:cs="Arial"/>
          <w:sz w:val="20"/>
          <w:szCs w:val="20"/>
        </w:rPr>
        <w:t xml:space="preserve"> Considerando</w:t>
      </w:r>
      <w:r w:rsidR="003B46D2">
        <w:rPr>
          <w:rFonts w:ascii="Verdana" w:hAnsi="Verdana" w:cs="Arial"/>
          <w:sz w:val="20"/>
          <w:szCs w:val="20"/>
        </w:rPr>
        <w:t xml:space="preserve"> 20</w:t>
      </w:r>
      <w:r w:rsidR="00C635E8" w:rsidRPr="0036082A">
        <w:rPr>
          <w:rFonts w:ascii="Verdana" w:hAnsi="Verdana" w:cs="Arial"/>
          <w:sz w:val="20"/>
          <w:szCs w:val="20"/>
        </w:rPr>
        <w:t>). Al respecto, e</w:t>
      </w:r>
      <w:r w:rsidR="004E598A" w:rsidRPr="0036082A">
        <w:rPr>
          <w:rFonts w:ascii="Verdana" w:hAnsi="Verdana" w:cs="Arial"/>
          <w:sz w:val="20"/>
          <w:szCs w:val="20"/>
        </w:rPr>
        <w:t xml:space="preserve">l </w:t>
      </w:r>
      <w:r w:rsidR="004E598A" w:rsidRPr="0036082A">
        <w:rPr>
          <w:rFonts w:ascii="Verdana" w:hAnsi="Verdana" w:cs="Arial"/>
          <w:i/>
          <w:sz w:val="20"/>
          <w:szCs w:val="20"/>
        </w:rPr>
        <w:t>Estado</w:t>
      </w:r>
      <w:r w:rsidR="004E598A" w:rsidRPr="0036082A">
        <w:rPr>
          <w:rFonts w:ascii="Verdana" w:hAnsi="Verdana" w:cs="Arial"/>
          <w:sz w:val="20"/>
          <w:szCs w:val="20"/>
        </w:rPr>
        <w:t xml:space="preserve"> </w:t>
      </w:r>
      <w:r w:rsidR="0003367E" w:rsidRPr="0036082A">
        <w:rPr>
          <w:rFonts w:ascii="Verdana" w:hAnsi="Verdana" w:cs="Arial"/>
          <w:sz w:val="20"/>
          <w:szCs w:val="20"/>
        </w:rPr>
        <w:t>reiteró</w:t>
      </w:r>
      <w:r w:rsidR="004E598A" w:rsidRPr="0036082A">
        <w:rPr>
          <w:rFonts w:ascii="Verdana" w:hAnsi="Verdana" w:cs="Arial"/>
          <w:sz w:val="20"/>
          <w:szCs w:val="20"/>
        </w:rPr>
        <w:t xml:space="preserve"> que</w:t>
      </w:r>
      <w:r w:rsidR="001708FC" w:rsidRPr="0036082A">
        <w:rPr>
          <w:rFonts w:ascii="Verdana" w:hAnsi="Verdana" w:cs="Arial"/>
          <w:sz w:val="20"/>
          <w:szCs w:val="20"/>
        </w:rPr>
        <w:t>, según las competencias que le han sido asignadas,</w:t>
      </w:r>
      <w:r w:rsidR="004E598A" w:rsidRPr="0036082A">
        <w:rPr>
          <w:rFonts w:ascii="Verdana" w:hAnsi="Verdana" w:cs="Arial"/>
          <w:sz w:val="20"/>
          <w:szCs w:val="20"/>
        </w:rPr>
        <w:t xml:space="preserve"> “</w:t>
      </w:r>
      <w:r w:rsidR="0003367E" w:rsidRPr="0036082A">
        <w:rPr>
          <w:rFonts w:ascii="Verdana" w:hAnsi="Verdana" w:cs="Arial"/>
          <w:sz w:val="20"/>
          <w:szCs w:val="20"/>
        </w:rPr>
        <w:t>el Ministerio de Justicia, Derechos Humanos y Cultos se ha convertido en la institución que lidera los procesos de capacitación en derechos humanos en el Ecuador”</w:t>
      </w:r>
      <w:r w:rsidR="00433716" w:rsidRPr="00806FE4">
        <w:rPr>
          <w:rStyle w:val="Refdenotaalpie"/>
          <w:rFonts w:ascii="Verdana" w:hAnsi="Verdana" w:cs="Arial"/>
          <w:sz w:val="20"/>
          <w:szCs w:val="20"/>
        </w:rPr>
        <w:footnoteReference w:id="71"/>
      </w:r>
      <w:r w:rsidR="001708FC" w:rsidRPr="0036082A">
        <w:rPr>
          <w:rFonts w:ascii="Verdana" w:hAnsi="Verdana" w:cs="Arial"/>
          <w:sz w:val="20"/>
          <w:szCs w:val="20"/>
        </w:rPr>
        <w:t>.</w:t>
      </w:r>
      <w:r w:rsidR="00D03573" w:rsidRPr="0036082A">
        <w:rPr>
          <w:rFonts w:ascii="Verdana" w:hAnsi="Verdana" w:cs="Arial"/>
          <w:b/>
          <w:sz w:val="20"/>
          <w:szCs w:val="20"/>
        </w:rPr>
        <w:t xml:space="preserve"> </w:t>
      </w:r>
      <w:r w:rsidR="00D03573" w:rsidRPr="0036082A">
        <w:rPr>
          <w:rFonts w:ascii="Verdana" w:hAnsi="Verdana" w:cs="Arial"/>
          <w:sz w:val="20"/>
          <w:szCs w:val="20"/>
        </w:rPr>
        <w:t>Los r</w:t>
      </w:r>
      <w:r w:rsidR="00D03573" w:rsidRPr="0036082A">
        <w:rPr>
          <w:rFonts w:ascii="Verdana" w:hAnsi="Verdana" w:cs="Arial"/>
          <w:i/>
          <w:sz w:val="20"/>
          <w:szCs w:val="20"/>
        </w:rPr>
        <w:t xml:space="preserve">epresentantes </w:t>
      </w:r>
      <w:r w:rsidR="00D03573" w:rsidRPr="0036082A">
        <w:rPr>
          <w:rFonts w:ascii="Verdana" w:hAnsi="Verdana" w:cs="Arial"/>
          <w:sz w:val="20"/>
          <w:szCs w:val="20"/>
        </w:rPr>
        <w:t>consideraron que “dicha institución estatal es apropiada para realizar las gestiones interinstitucionales necesarias para cumplir con esta medida de reparación, y valoraron las acciones realizadas por este Ministerio.</w:t>
      </w:r>
      <w:r w:rsidR="00C635E8" w:rsidRPr="0036082A">
        <w:rPr>
          <w:rFonts w:ascii="Verdana" w:hAnsi="Verdana" w:cs="Arial"/>
          <w:b/>
          <w:sz w:val="16"/>
          <w:szCs w:val="16"/>
        </w:rPr>
        <w:t xml:space="preserve"> </w:t>
      </w:r>
      <w:r w:rsidR="00C635E8" w:rsidRPr="0036082A">
        <w:rPr>
          <w:rFonts w:ascii="Verdana" w:hAnsi="Verdana" w:cs="Arial"/>
          <w:sz w:val="20"/>
          <w:szCs w:val="20"/>
        </w:rPr>
        <w:t>Con base en lo ex</w:t>
      </w:r>
      <w:r w:rsidR="00806FE4" w:rsidRPr="0036082A">
        <w:rPr>
          <w:rFonts w:ascii="Verdana" w:hAnsi="Verdana" w:cs="Arial"/>
          <w:sz w:val="20"/>
          <w:szCs w:val="20"/>
        </w:rPr>
        <w:t>presado por las partes, la Corte observa que, por su mandato legal</w:t>
      </w:r>
      <w:r w:rsidR="00E17CFD">
        <w:rPr>
          <w:rFonts w:ascii="Verdana" w:hAnsi="Verdana" w:cs="Arial"/>
          <w:sz w:val="20"/>
          <w:szCs w:val="20"/>
        </w:rPr>
        <w:t xml:space="preserve"> (</w:t>
      </w:r>
      <w:r w:rsidR="00E17CFD" w:rsidRPr="00CF07CC">
        <w:rPr>
          <w:rFonts w:ascii="Verdana" w:hAnsi="Verdana" w:cs="Arial"/>
          <w:i/>
          <w:sz w:val="20"/>
          <w:szCs w:val="20"/>
        </w:rPr>
        <w:t>supra</w:t>
      </w:r>
      <w:r w:rsidR="00E17CFD">
        <w:rPr>
          <w:rFonts w:ascii="Verdana" w:hAnsi="Verdana" w:cs="Arial"/>
          <w:sz w:val="20"/>
          <w:szCs w:val="20"/>
        </w:rPr>
        <w:t xml:space="preserve"> nota al pie </w:t>
      </w:r>
      <w:r w:rsidR="003A2379">
        <w:rPr>
          <w:rFonts w:ascii="Verdana" w:hAnsi="Verdana" w:cs="Arial"/>
          <w:sz w:val="20"/>
          <w:szCs w:val="20"/>
        </w:rPr>
        <w:t>70</w:t>
      </w:r>
      <w:r w:rsidR="00E17CFD">
        <w:rPr>
          <w:rFonts w:ascii="Verdana" w:hAnsi="Verdana" w:cs="Arial"/>
          <w:sz w:val="20"/>
          <w:szCs w:val="20"/>
        </w:rPr>
        <w:t>)</w:t>
      </w:r>
      <w:r w:rsidR="00806FE4" w:rsidRPr="0036082A">
        <w:rPr>
          <w:rFonts w:ascii="Verdana" w:hAnsi="Verdana" w:cs="Arial"/>
          <w:sz w:val="20"/>
          <w:szCs w:val="20"/>
        </w:rPr>
        <w:t xml:space="preserve">, el referido Ministerio tiene a su cargo la implementación de capacitaciones en derechos humanos para funcionarios públicos en Ecuador, con lo cual se da por </w:t>
      </w:r>
      <w:r w:rsidR="004C7FE8">
        <w:rPr>
          <w:rFonts w:ascii="Verdana" w:hAnsi="Verdana" w:cs="Arial"/>
          <w:sz w:val="20"/>
          <w:szCs w:val="20"/>
        </w:rPr>
        <w:t xml:space="preserve">cumplido </w:t>
      </w:r>
      <w:r w:rsidR="00806FE4" w:rsidRPr="0036082A">
        <w:rPr>
          <w:rFonts w:ascii="Verdana" w:hAnsi="Verdana" w:cs="Arial"/>
          <w:sz w:val="20"/>
          <w:szCs w:val="20"/>
        </w:rPr>
        <w:t xml:space="preserve">este </w:t>
      </w:r>
      <w:r w:rsidR="00302E00">
        <w:rPr>
          <w:rFonts w:ascii="Verdana" w:hAnsi="Verdana" w:cs="Arial"/>
          <w:sz w:val="20"/>
          <w:szCs w:val="20"/>
        </w:rPr>
        <w:t>extremo</w:t>
      </w:r>
      <w:r w:rsidR="00302E00" w:rsidRPr="0036082A">
        <w:rPr>
          <w:rFonts w:ascii="Verdana" w:hAnsi="Verdana" w:cs="Arial"/>
          <w:sz w:val="20"/>
          <w:szCs w:val="20"/>
        </w:rPr>
        <w:t xml:space="preserve"> </w:t>
      </w:r>
      <w:r w:rsidR="00806FE4" w:rsidRPr="0036082A">
        <w:rPr>
          <w:rFonts w:ascii="Verdana" w:hAnsi="Verdana" w:cs="Arial"/>
          <w:sz w:val="20"/>
          <w:szCs w:val="20"/>
        </w:rPr>
        <w:t xml:space="preserve">de la Sentencia. </w:t>
      </w:r>
    </w:p>
    <w:p w:rsidR="00DC6908" w:rsidRPr="0036082A" w:rsidRDefault="00DC6908" w:rsidP="00DC6908">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p>
    <w:p w:rsidR="006842BE" w:rsidRPr="002B3E19" w:rsidRDefault="0036082A" w:rsidP="00101833">
      <w:pPr>
        <w:pStyle w:val="Prrafodelista"/>
        <w:numPr>
          <w:ilvl w:val="0"/>
          <w:numId w:val="2"/>
        </w:numPr>
        <w:autoSpaceDE w:val="0"/>
        <w:autoSpaceDN w:val="0"/>
        <w:adjustRightInd w:val="0"/>
        <w:spacing w:before="120" w:after="120" w:line="240" w:lineRule="auto"/>
        <w:ind w:left="0" w:firstLine="0"/>
        <w:jc w:val="both"/>
        <w:rPr>
          <w:rFonts w:ascii="Verdana" w:hAnsi="Verdana"/>
          <w:sz w:val="20"/>
          <w:szCs w:val="20"/>
        </w:rPr>
      </w:pPr>
      <w:r>
        <w:rPr>
          <w:rFonts w:ascii="Verdana" w:hAnsi="Verdana"/>
          <w:sz w:val="20"/>
          <w:szCs w:val="20"/>
        </w:rPr>
        <w:t>Con base en lo a</w:t>
      </w:r>
      <w:r w:rsidR="00771793">
        <w:rPr>
          <w:rFonts w:ascii="Verdana" w:hAnsi="Verdana"/>
          <w:sz w:val="20"/>
          <w:szCs w:val="20"/>
        </w:rPr>
        <w:t xml:space="preserve">nterior, la Corte </w:t>
      </w:r>
      <w:r w:rsidR="007626EC">
        <w:rPr>
          <w:rFonts w:ascii="Verdana" w:hAnsi="Verdana"/>
          <w:sz w:val="20"/>
          <w:szCs w:val="20"/>
        </w:rPr>
        <w:t xml:space="preserve">reconoce los avances del </w:t>
      </w:r>
      <w:r w:rsidR="00771793">
        <w:rPr>
          <w:rFonts w:ascii="Verdana" w:hAnsi="Verdana"/>
          <w:sz w:val="20"/>
          <w:szCs w:val="20"/>
        </w:rPr>
        <w:t xml:space="preserve">Estado </w:t>
      </w:r>
      <w:r w:rsidR="007626EC">
        <w:rPr>
          <w:rFonts w:ascii="Verdana" w:hAnsi="Verdana"/>
          <w:sz w:val="20"/>
          <w:szCs w:val="20"/>
        </w:rPr>
        <w:t xml:space="preserve">en la implementación de esta medida, pero para valorar su cumplimiento </w:t>
      </w:r>
      <w:r w:rsidR="006842BE" w:rsidRPr="008F29E7">
        <w:rPr>
          <w:rFonts w:ascii="Verdana" w:hAnsi="Verdana"/>
          <w:sz w:val="20"/>
          <w:szCs w:val="20"/>
        </w:rPr>
        <w:t xml:space="preserve">considera necesario que el Estado presente </w:t>
      </w:r>
      <w:r w:rsidR="007626EC">
        <w:rPr>
          <w:rFonts w:ascii="Verdana" w:hAnsi="Verdana"/>
          <w:sz w:val="20"/>
          <w:szCs w:val="20"/>
        </w:rPr>
        <w:t xml:space="preserve">la </w:t>
      </w:r>
      <w:r w:rsidR="006842BE" w:rsidRPr="008F29E7">
        <w:rPr>
          <w:rFonts w:ascii="Verdana" w:hAnsi="Verdana"/>
          <w:sz w:val="20"/>
          <w:szCs w:val="20"/>
        </w:rPr>
        <w:t xml:space="preserve">información </w:t>
      </w:r>
      <w:r w:rsidR="002B3E19" w:rsidRPr="008F29E7">
        <w:rPr>
          <w:rFonts w:ascii="Verdana" w:hAnsi="Verdana"/>
          <w:sz w:val="20"/>
          <w:szCs w:val="20"/>
        </w:rPr>
        <w:t>requerida en la presente Resolución (</w:t>
      </w:r>
      <w:r w:rsidR="002B3E19" w:rsidRPr="00CF07CC">
        <w:rPr>
          <w:rFonts w:ascii="Verdana" w:hAnsi="Verdana"/>
          <w:i/>
          <w:sz w:val="20"/>
          <w:szCs w:val="20"/>
        </w:rPr>
        <w:t xml:space="preserve">supra </w:t>
      </w:r>
      <w:r w:rsidR="002B3E19" w:rsidRPr="008F29E7">
        <w:rPr>
          <w:rFonts w:ascii="Verdana" w:hAnsi="Verdana"/>
          <w:sz w:val="20"/>
          <w:szCs w:val="20"/>
        </w:rPr>
        <w:t xml:space="preserve">Considerandos </w:t>
      </w:r>
      <w:r w:rsidR="00CB5684">
        <w:rPr>
          <w:rFonts w:ascii="Verdana" w:hAnsi="Verdana"/>
          <w:sz w:val="20"/>
          <w:szCs w:val="20"/>
        </w:rPr>
        <w:t xml:space="preserve">28 </w:t>
      </w:r>
      <w:r w:rsidR="003F0DEE">
        <w:rPr>
          <w:rFonts w:ascii="Verdana" w:hAnsi="Verdana"/>
          <w:sz w:val="20"/>
          <w:szCs w:val="20"/>
        </w:rPr>
        <w:t>a</w:t>
      </w:r>
      <w:r w:rsidR="00CB5684">
        <w:rPr>
          <w:rFonts w:ascii="Verdana" w:hAnsi="Verdana"/>
          <w:sz w:val="20"/>
          <w:szCs w:val="20"/>
        </w:rPr>
        <w:t xml:space="preserve"> 3</w:t>
      </w:r>
      <w:r w:rsidR="003F0DEE">
        <w:rPr>
          <w:rFonts w:ascii="Verdana" w:hAnsi="Verdana"/>
          <w:sz w:val="20"/>
          <w:szCs w:val="20"/>
        </w:rPr>
        <w:t>1</w:t>
      </w:r>
      <w:r w:rsidR="002B3E19" w:rsidRPr="008F29E7">
        <w:rPr>
          <w:rFonts w:ascii="Verdana" w:hAnsi="Verdana"/>
          <w:sz w:val="20"/>
          <w:szCs w:val="20"/>
        </w:rPr>
        <w:t xml:space="preserve">), así como información </w:t>
      </w:r>
      <w:r w:rsidR="006842BE" w:rsidRPr="008F29E7">
        <w:rPr>
          <w:rFonts w:ascii="Verdana" w:hAnsi="Verdana"/>
          <w:sz w:val="20"/>
          <w:szCs w:val="20"/>
        </w:rPr>
        <w:t>sobre la ejecución de acciones concretas complementarias a las referidas y pertinentes para dar cumplimiento</w:t>
      </w:r>
      <w:r w:rsidR="002B3E19" w:rsidRPr="008F29E7">
        <w:rPr>
          <w:rFonts w:ascii="Verdana" w:hAnsi="Verdana"/>
          <w:sz w:val="20"/>
          <w:szCs w:val="20"/>
        </w:rPr>
        <w:t>, en los términos de la Sentencia,</w:t>
      </w:r>
      <w:r w:rsidR="006842BE" w:rsidRPr="008F29E7">
        <w:rPr>
          <w:rFonts w:ascii="Verdana" w:hAnsi="Verdana"/>
          <w:sz w:val="20"/>
          <w:szCs w:val="20"/>
        </w:rPr>
        <w:t xml:space="preserve"> a los programas de capacitación ordenados</w:t>
      </w:r>
      <w:r w:rsidR="002B3E19" w:rsidRPr="008F29E7">
        <w:rPr>
          <w:rFonts w:ascii="Verdana" w:hAnsi="Verdana"/>
          <w:sz w:val="20"/>
          <w:szCs w:val="20"/>
        </w:rPr>
        <w:t xml:space="preserve"> para el personal del ministerio público</w:t>
      </w:r>
      <w:r w:rsidR="006B05B3">
        <w:rPr>
          <w:rFonts w:ascii="Verdana" w:hAnsi="Verdana"/>
          <w:sz w:val="20"/>
          <w:szCs w:val="20"/>
        </w:rPr>
        <w:t xml:space="preserve"> (</w:t>
      </w:r>
      <w:r w:rsidR="006B05B3" w:rsidRPr="00CF07CC">
        <w:rPr>
          <w:rFonts w:ascii="Verdana" w:hAnsi="Verdana"/>
          <w:i/>
          <w:sz w:val="20"/>
          <w:szCs w:val="20"/>
        </w:rPr>
        <w:t>supra</w:t>
      </w:r>
      <w:r w:rsidR="006B05B3">
        <w:rPr>
          <w:rFonts w:ascii="Verdana" w:hAnsi="Verdana"/>
          <w:sz w:val="20"/>
          <w:szCs w:val="20"/>
        </w:rPr>
        <w:t xml:space="preserve"> Considerando </w:t>
      </w:r>
      <w:r w:rsidR="003F0DEE">
        <w:rPr>
          <w:rFonts w:ascii="Verdana" w:hAnsi="Verdana"/>
          <w:sz w:val="20"/>
          <w:szCs w:val="20"/>
        </w:rPr>
        <w:t>33</w:t>
      </w:r>
      <w:r w:rsidR="006B05B3">
        <w:rPr>
          <w:rFonts w:ascii="Verdana" w:hAnsi="Verdana"/>
          <w:sz w:val="20"/>
          <w:szCs w:val="20"/>
        </w:rPr>
        <w:t>)</w:t>
      </w:r>
      <w:r w:rsidR="006842BE" w:rsidRPr="008F29E7">
        <w:rPr>
          <w:rFonts w:ascii="Verdana" w:hAnsi="Verdana"/>
          <w:sz w:val="20"/>
          <w:szCs w:val="20"/>
        </w:rPr>
        <w:t>.</w:t>
      </w:r>
      <w:r w:rsidR="007626EC">
        <w:rPr>
          <w:rFonts w:ascii="Verdana" w:hAnsi="Verdana"/>
          <w:sz w:val="20"/>
          <w:szCs w:val="20"/>
        </w:rPr>
        <w:t xml:space="preserve"> </w:t>
      </w:r>
      <w:r w:rsidR="00A1405E">
        <w:rPr>
          <w:rFonts w:ascii="Verdana" w:hAnsi="Verdana"/>
          <w:sz w:val="20"/>
          <w:szCs w:val="20"/>
        </w:rPr>
        <w:t xml:space="preserve">En consecuencia, continúa pendiente de cumplimiento la reparación ordenada en el punto resolutivo </w:t>
      </w:r>
      <w:r w:rsidR="00624A1B">
        <w:rPr>
          <w:rFonts w:ascii="Verdana" w:hAnsi="Verdana"/>
          <w:sz w:val="20"/>
          <w:szCs w:val="20"/>
        </w:rPr>
        <w:t>décimo tercero de la Sentencia</w:t>
      </w:r>
      <w:r w:rsidR="00A1405E">
        <w:rPr>
          <w:rFonts w:ascii="Verdana" w:hAnsi="Verdana"/>
          <w:sz w:val="20"/>
          <w:szCs w:val="20"/>
        </w:rPr>
        <w:t xml:space="preserve">, </w:t>
      </w:r>
      <w:r w:rsidR="006B05B3">
        <w:rPr>
          <w:rFonts w:ascii="Verdana" w:hAnsi="Verdana"/>
          <w:sz w:val="20"/>
          <w:szCs w:val="20"/>
        </w:rPr>
        <w:t xml:space="preserve">en lo que se refiere </w:t>
      </w:r>
      <w:r w:rsidR="00A1405E">
        <w:rPr>
          <w:rFonts w:ascii="Verdana" w:hAnsi="Verdana"/>
          <w:sz w:val="20"/>
          <w:szCs w:val="20"/>
        </w:rPr>
        <w:t>a</w:t>
      </w:r>
      <w:r w:rsidR="006B05B3">
        <w:rPr>
          <w:rFonts w:ascii="Verdana" w:hAnsi="Verdana"/>
          <w:sz w:val="20"/>
          <w:szCs w:val="20"/>
        </w:rPr>
        <w:t xml:space="preserve"> establecer programas de</w:t>
      </w:r>
      <w:r w:rsidR="00A1405E">
        <w:rPr>
          <w:rFonts w:ascii="Verdana" w:hAnsi="Verdana"/>
          <w:sz w:val="20"/>
          <w:szCs w:val="20"/>
        </w:rPr>
        <w:t xml:space="preserve"> </w:t>
      </w:r>
      <w:r w:rsidR="00624A1B">
        <w:rPr>
          <w:rFonts w:ascii="Verdana" w:hAnsi="Verdana"/>
          <w:sz w:val="20"/>
          <w:szCs w:val="20"/>
        </w:rPr>
        <w:t xml:space="preserve">capacitación </w:t>
      </w:r>
      <w:r w:rsidR="006B05B3">
        <w:rPr>
          <w:rFonts w:ascii="Verdana" w:hAnsi="Verdana"/>
          <w:sz w:val="20"/>
          <w:szCs w:val="20"/>
        </w:rPr>
        <w:t xml:space="preserve">para el </w:t>
      </w:r>
      <w:r w:rsidR="00624A1B">
        <w:rPr>
          <w:rFonts w:ascii="Verdana" w:hAnsi="Verdana"/>
          <w:sz w:val="20"/>
          <w:szCs w:val="20"/>
        </w:rPr>
        <w:t>p</w:t>
      </w:r>
      <w:r w:rsidR="004F5F37">
        <w:rPr>
          <w:rFonts w:ascii="Verdana" w:hAnsi="Verdana"/>
          <w:sz w:val="20"/>
          <w:szCs w:val="20"/>
        </w:rPr>
        <w:t xml:space="preserve">ersonal del ministerio público </w:t>
      </w:r>
      <w:r w:rsidR="00624A1B">
        <w:rPr>
          <w:rFonts w:ascii="Verdana" w:hAnsi="Verdana"/>
          <w:sz w:val="20"/>
          <w:szCs w:val="20"/>
        </w:rPr>
        <w:t>y penitenciario (incluyendo personal médico, psiquiátrico y psicológico)</w:t>
      </w:r>
      <w:r w:rsidR="006B05B3">
        <w:rPr>
          <w:rFonts w:ascii="Verdana" w:hAnsi="Verdana"/>
          <w:sz w:val="20"/>
          <w:szCs w:val="20"/>
        </w:rPr>
        <w:t xml:space="preserve"> en</w:t>
      </w:r>
      <w:r w:rsidR="003F0DEE">
        <w:rPr>
          <w:rFonts w:ascii="Verdana" w:hAnsi="Verdana"/>
          <w:sz w:val="20"/>
          <w:szCs w:val="20"/>
        </w:rPr>
        <w:t xml:space="preserve"> derechos humanos y tratamiento de reclusos</w:t>
      </w:r>
      <w:r w:rsidR="00624A1B">
        <w:rPr>
          <w:rFonts w:ascii="Verdana" w:hAnsi="Verdana"/>
          <w:sz w:val="20"/>
          <w:szCs w:val="20"/>
        </w:rPr>
        <w:t>.</w:t>
      </w:r>
    </w:p>
    <w:p w:rsidR="00F17801" w:rsidRDefault="00F17801" w:rsidP="00101833">
      <w:pPr>
        <w:pStyle w:val="Default"/>
        <w:spacing w:before="120" w:after="120"/>
        <w:jc w:val="both"/>
        <w:rPr>
          <w:b/>
          <w:sz w:val="20"/>
          <w:szCs w:val="20"/>
        </w:rPr>
      </w:pPr>
    </w:p>
    <w:p w:rsidR="005A609C" w:rsidRDefault="005A609C" w:rsidP="00101833">
      <w:pPr>
        <w:pStyle w:val="Default"/>
        <w:spacing w:before="120" w:after="120"/>
        <w:jc w:val="both"/>
        <w:rPr>
          <w:b/>
          <w:sz w:val="20"/>
          <w:szCs w:val="20"/>
        </w:rPr>
      </w:pPr>
    </w:p>
    <w:p w:rsidR="00C228C3" w:rsidRDefault="00C228C3" w:rsidP="00101833">
      <w:pPr>
        <w:pStyle w:val="Default"/>
        <w:spacing w:before="120" w:after="120"/>
        <w:jc w:val="both"/>
        <w:rPr>
          <w:b/>
          <w:sz w:val="20"/>
          <w:szCs w:val="20"/>
        </w:rPr>
      </w:pPr>
      <w:r w:rsidRPr="00F17964">
        <w:rPr>
          <w:b/>
          <w:sz w:val="20"/>
          <w:szCs w:val="20"/>
        </w:rPr>
        <w:t>POR TANTO</w:t>
      </w:r>
      <w:r w:rsidR="003A2379">
        <w:rPr>
          <w:b/>
          <w:sz w:val="20"/>
          <w:szCs w:val="20"/>
        </w:rPr>
        <w:t>:</w:t>
      </w:r>
    </w:p>
    <w:p w:rsidR="00994C77" w:rsidRPr="00F17964" w:rsidRDefault="00994C77" w:rsidP="00101833">
      <w:pPr>
        <w:pStyle w:val="Default"/>
        <w:spacing w:before="120" w:after="120"/>
        <w:jc w:val="both"/>
        <w:rPr>
          <w:b/>
          <w:sz w:val="20"/>
          <w:szCs w:val="20"/>
        </w:rPr>
      </w:pPr>
    </w:p>
    <w:p w:rsidR="00C228C3" w:rsidRPr="00BA78B4" w:rsidRDefault="00C228C3" w:rsidP="00101833">
      <w:pPr>
        <w:pStyle w:val="Default"/>
        <w:spacing w:before="120" w:after="120"/>
        <w:jc w:val="both"/>
        <w:rPr>
          <w:b/>
          <w:sz w:val="20"/>
          <w:szCs w:val="20"/>
        </w:rPr>
      </w:pPr>
      <w:r w:rsidRPr="00BA78B4">
        <w:rPr>
          <w:b/>
          <w:sz w:val="20"/>
          <w:szCs w:val="20"/>
        </w:rPr>
        <w:t>LA CORTE INTERAMERICANA DE DERECHO HUMANOS,</w:t>
      </w:r>
    </w:p>
    <w:p w:rsidR="00C228C3" w:rsidRPr="00BA78B4" w:rsidRDefault="00F17964" w:rsidP="00101833">
      <w:pPr>
        <w:pStyle w:val="Default"/>
        <w:spacing w:before="120" w:after="120"/>
        <w:jc w:val="both"/>
        <w:rPr>
          <w:sz w:val="20"/>
          <w:szCs w:val="20"/>
        </w:rPr>
      </w:pPr>
      <w:r w:rsidRPr="00BA78B4">
        <w:rPr>
          <w:sz w:val="20"/>
          <w:szCs w:val="20"/>
        </w:rPr>
        <w:t>en el ejercicio de sus atribuciones de supervisión del cumplimiento de sus decisiones y de conformidad con los artículos 33, 62.1, 62.3, 65, 67 y 68.1 de la Convención Americana sobre Derechos Humanos, 24, 25 y 30 del Estatuto, y 31.2 y 69 de su Reglamento,</w:t>
      </w:r>
    </w:p>
    <w:p w:rsidR="00F17801" w:rsidRDefault="00F17801" w:rsidP="00101833">
      <w:pPr>
        <w:pStyle w:val="Default"/>
        <w:spacing w:before="120" w:after="120"/>
        <w:jc w:val="both"/>
        <w:rPr>
          <w:b/>
          <w:sz w:val="20"/>
          <w:szCs w:val="20"/>
        </w:rPr>
      </w:pPr>
    </w:p>
    <w:p w:rsidR="005A609C" w:rsidRDefault="005A609C" w:rsidP="00101833">
      <w:pPr>
        <w:pStyle w:val="Default"/>
        <w:spacing w:before="120" w:after="120"/>
        <w:jc w:val="both"/>
        <w:rPr>
          <w:b/>
          <w:sz w:val="20"/>
          <w:szCs w:val="20"/>
        </w:rPr>
      </w:pPr>
    </w:p>
    <w:p w:rsidR="00C228C3" w:rsidRDefault="00F17964" w:rsidP="00101833">
      <w:pPr>
        <w:pStyle w:val="Default"/>
        <w:spacing w:before="120" w:after="120"/>
        <w:jc w:val="both"/>
        <w:rPr>
          <w:b/>
          <w:sz w:val="20"/>
          <w:szCs w:val="20"/>
        </w:rPr>
      </w:pPr>
      <w:r w:rsidRPr="00BA78B4">
        <w:rPr>
          <w:b/>
          <w:sz w:val="20"/>
          <w:szCs w:val="20"/>
        </w:rPr>
        <w:t>RESUELVE</w:t>
      </w:r>
      <w:r w:rsidR="00C228C3" w:rsidRPr="00BA78B4">
        <w:rPr>
          <w:b/>
          <w:sz w:val="20"/>
          <w:szCs w:val="20"/>
        </w:rPr>
        <w:t>:</w:t>
      </w:r>
    </w:p>
    <w:p w:rsidR="00DC6908" w:rsidRDefault="00DC6908" w:rsidP="00101833">
      <w:pPr>
        <w:pStyle w:val="Default"/>
        <w:spacing w:before="120" w:after="120"/>
        <w:jc w:val="both"/>
        <w:rPr>
          <w:b/>
          <w:sz w:val="20"/>
          <w:szCs w:val="20"/>
        </w:rPr>
      </w:pPr>
    </w:p>
    <w:p w:rsidR="003B46F5" w:rsidRDefault="003B46F5" w:rsidP="008F29E7">
      <w:pPr>
        <w:pStyle w:val="Default"/>
        <w:numPr>
          <w:ilvl w:val="0"/>
          <w:numId w:val="4"/>
        </w:numPr>
        <w:spacing w:before="120" w:after="120"/>
        <w:ind w:left="0" w:firstLine="0"/>
        <w:jc w:val="both"/>
        <w:rPr>
          <w:sz w:val="20"/>
          <w:szCs w:val="20"/>
        </w:rPr>
      </w:pPr>
      <w:r w:rsidRPr="00351C4E">
        <w:rPr>
          <w:sz w:val="20"/>
          <w:szCs w:val="20"/>
        </w:rPr>
        <w:t>Declarar, de conformidad con lo señalado en el Considerando 34 de la presente Resolución, que el Estado ha dado cumplimiento a la creación de un Comité interinstitucional con el fin de definir y ejecutar los programas de capacitación en derechos humanos y tratamiento de reclusos</w:t>
      </w:r>
      <w:r w:rsidR="003A2379">
        <w:rPr>
          <w:sz w:val="20"/>
          <w:szCs w:val="20"/>
        </w:rPr>
        <w:t>,</w:t>
      </w:r>
      <w:r w:rsidRPr="00351C4E">
        <w:rPr>
          <w:sz w:val="20"/>
          <w:szCs w:val="20"/>
        </w:rPr>
        <w:t xml:space="preserve"> ordenado en el punto resolutivo décimo tercero de la Sentencia.</w:t>
      </w:r>
    </w:p>
    <w:p w:rsidR="00994C77" w:rsidRPr="00351C4E" w:rsidRDefault="00994C77" w:rsidP="00994C77">
      <w:pPr>
        <w:pStyle w:val="Default"/>
        <w:spacing w:before="120" w:after="120"/>
        <w:jc w:val="both"/>
        <w:rPr>
          <w:sz w:val="20"/>
          <w:szCs w:val="20"/>
        </w:rPr>
      </w:pPr>
    </w:p>
    <w:p w:rsidR="003B46F5" w:rsidRDefault="003B46F5" w:rsidP="008F29E7">
      <w:pPr>
        <w:pStyle w:val="Default"/>
        <w:numPr>
          <w:ilvl w:val="0"/>
          <w:numId w:val="4"/>
        </w:numPr>
        <w:spacing w:before="120" w:after="120"/>
        <w:ind w:left="0" w:firstLine="0"/>
        <w:jc w:val="both"/>
        <w:rPr>
          <w:sz w:val="20"/>
          <w:szCs w:val="20"/>
        </w:rPr>
      </w:pPr>
      <w:r w:rsidRPr="00351C4E">
        <w:rPr>
          <w:sz w:val="20"/>
          <w:szCs w:val="20"/>
        </w:rPr>
        <w:t xml:space="preserve">Reiterar, de conformidad con lo señalado en los Considerandos </w:t>
      </w:r>
      <w:r w:rsidR="00377447">
        <w:rPr>
          <w:sz w:val="20"/>
          <w:szCs w:val="20"/>
        </w:rPr>
        <w:t xml:space="preserve">19 y </w:t>
      </w:r>
      <w:r w:rsidR="00CB5684">
        <w:rPr>
          <w:sz w:val="20"/>
          <w:szCs w:val="20"/>
        </w:rPr>
        <w:t>2</w:t>
      </w:r>
      <w:r w:rsidR="00377447">
        <w:rPr>
          <w:sz w:val="20"/>
          <w:szCs w:val="20"/>
        </w:rPr>
        <w:t>4</w:t>
      </w:r>
      <w:r w:rsidR="00CB5684">
        <w:rPr>
          <w:sz w:val="20"/>
          <w:szCs w:val="20"/>
        </w:rPr>
        <w:t xml:space="preserve"> a 3</w:t>
      </w:r>
      <w:r w:rsidR="00377447">
        <w:rPr>
          <w:sz w:val="20"/>
          <w:szCs w:val="20"/>
        </w:rPr>
        <w:t>5</w:t>
      </w:r>
      <w:r w:rsidRPr="00351C4E">
        <w:rPr>
          <w:sz w:val="20"/>
          <w:szCs w:val="20"/>
        </w:rPr>
        <w:t xml:space="preserve"> de la presente Resolución, que el Estado ha dado cumplimiento parcial a la reparación relativa a establecer programas de capacitación en derechos humanos y tratamiento de reclusos </w:t>
      </w:r>
      <w:r w:rsidR="008C3615" w:rsidRPr="00351C4E">
        <w:rPr>
          <w:sz w:val="20"/>
          <w:szCs w:val="20"/>
        </w:rPr>
        <w:t>par</w:t>
      </w:r>
      <w:r w:rsidRPr="00351C4E">
        <w:rPr>
          <w:sz w:val="20"/>
          <w:szCs w:val="20"/>
        </w:rPr>
        <w:t>a personal judicial y policial, quedando pendiente su implementación respecto de</w:t>
      </w:r>
      <w:r w:rsidR="00377447">
        <w:rPr>
          <w:sz w:val="20"/>
          <w:szCs w:val="20"/>
        </w:rPr>
        <w:t xml:space="preserve"> </w:t>
      </w:r>
      <w:r w:rsidRPr="00351C4E">
        <w:rPr>
          <w:sz w:val="20"/>
          <w:szCs w:val="20"/>
        </w:rPr>
        <w:t>l</w:t>
      </w:r>
      <w:r w:rsidR="00377447">
        <w:rPr>
          <w:sz w:val="20"/>
          <w:szCs w:val="20"/>
        </w:rPr>
        <w:t>os programas de capacitación para</w:t>
      </w:r>
      <w:r w:rsidRPr="00351C4E">
        <w:rPr>
          <w:sz w:val="20"/>
          <w:szCs w:val="20"/>
        </w:rPr>
        <w:t xml:space="preserve"> personal del ministerio público y penitenciario, incluyendo personal médico, psiquiátrico y psicológico</w:t>
      </w:r>
      <w:r w:rsidR="003A2379">
        <w:rPr>
          <w:sz w:val="20"/>
          <w:szCs w:val="20"/>
        </w:rPr>
        <w:t>, de acuerdo con lo ordenado en el punto resolutivo décimo tercero de la Sentencia</w:t>
      </w:r>
      <w:r w:rsidRPr="00351C4E">
        <w:rPr>
          <w:sz w:val="20"/>
          <w:szCs w:val="20"/>
        </w:rPr>
        <w:t>.</w:t>
      </w:r>
    </w:p>
    <w:p w:rsidR="00994C77" w:rsidRDefault="00994C77" w:rsidP="00994C77">
      <w:pPr>
        <w:pStyle w:val="Prrafodelista"/>
        <w:spacing w:after="0" w:line="240" w:lineRule="auto"/>
        <w:contextualSpacing w:val="0"/>
        <w:rPr>
          <w:sz w:val="20"/>
          <w:szCs w:val="20"/>
        </w:rPr>
      </w:pPr>
    </w:p>
    <w:p w:rsidR="008F29E7" w:rsidRDefault="008F29E7" w:rsidP="008F29E7">
      <w:pPr>
        <w:pStyle w:val="Default"/>
        <w:numPr>
          <w:ilvl w:val="0"/>
          <w:numId w:val="4"/>
        </w:numPr>
        <w:spacing w:before="120" w:after="120"/>
        <w:ind w:left="0" w:firstLine="0"/>
        <w:jc w:val="both"/>
        <w:rPr>
          <w:sz w:val="20"/>
          <w:szCs w:val="20"/>
        </w:rPr>
      </w:pPr>
      <w:r w:rsidRPr="008F29E7">
        <w:rPr>
          <w:sz w:val="20"/>
          <w:szCs w:val="20"/>
        </w:rPr>
        <w:t>Mantener abierto</w:t>
      </w:r>
      <w:r w:rsidR="00553342">
        <w:rPr>
          <w:sz w:val="20"/>
          <w:szCs w:val="20"/>
        </w:rPr>
        <w:t xml:space="preserve">, de conformidad con lo señalado en los Considerandos </w:t>
      </w:r>
      <w:r w:rsidR="00CB5684">
        <w:rPr>
          <w:sz w:val="20"/>
          <w:szCs w:val="20"/>
        </w:rPr>
        <w:t>17 y 35</w:t>
      </w:r>
      <w:r w:rsidR="00553342">
        <w:rPr>
          <w:sz w:val="20"/>
          <w:szCs w:val="20"/>
        </w:rPr>
        <w:t xml:space="preserve"> de la presente Resolución,</w:t>
      </w:r>
      <w:r w:rsidRPr="008F29E7">
        <w:rPr>
          <w:sz w:val="20"/>
          <w:szCs w:val="20"/>
        </w:rPr>
        <w:t xml:space="preserve"> el procedimiento de supervisión de cumplimiento de las siguientes medidas de reparación:</w:t>
      </w:r>
    </w:p>
    <w:p w:rsidR="008F29E7" w:rsidRDefault="008F29E7" w:rsidP="008F29E7">
      <w:pPr>
        <w:pStyle w:val="Default"/>
        <w:numPr>
          <w:ilvl w:val="0"/>
          <w:numId w:val="14"/>
        </w:numPr>
        <w:spacing w:before="120" w:after="120"/>
        <w:jc w:val="both"/>
        <w:rPr>
          <w:sz w:val="20"/>
          <w:szCs w:val="20"/>
        </w:rPr>
      </w:pPr>
      <w:r>
        <w:rPr>
          <w:sz w:val="20"/>
          <w:szCs w:val="20"/>
        </w:rPr>
        <w:t xml:space="preserve">investigar efectivamente los hechos del presente caso, con el fin de identificar, juzgar y sancionar a todos los autores de las violaciones cometidas en perjuicio del señor Daniel Tibi </w:t>
      </w:r>
      <w:r w:rsidRPr="00553342">
        <w:rPr>
          <w:i/>
          <w:sz w:val="20"/>
          <w:szCs w:val="20"/>
        </w:rPr>
        <w:t>(</w:t>
      </w:r>
      <w:r w:rsidR="00A95FE0" w:rsidRPr="00553342">
        <w:rPr>
          <w:i/>
          <w:sz w:val="20"/>
          <w:szCs w:val="20"/>
        </w:rPr>
        <w:t>punto resolutivo décimo de la Sentencia)</w:t>
      </w:r>
      <w:r w:rsidR="00A95FE0">
        <w:rPr>
          <w:sz w:val="20"/>
          <w:szCs w:val="20"/>
        </w:rPr>
        <w:t>, y</w:t>
      </w:r>
    </w:p>
    <w:p w:rsidR="00A95FE0" w:rsidRDefault="00A95FE0" w:rsidP="008F29E7">
      <w:pPr>
        <w:pStyle w:val="Default"/>
        <w:numPr>
          <w:ilvl w:val="0"/>
          <w:numId w:val="14"/>
        </w:numPr>
        <w:spacing w:before="120" w:after="120"/>
        <w:jc w:val="both"/>
        <w:rPr>
          <w:sz w:val="20"/>
          <w:szCs w:val="20"/>
        </w:rPr>
      </w:pPr>
      <w:r>
        <w:rPr>
          <w:sz w:val="20"/>
          <w:szCs w:val="20"/>
        </w:rPr>
        <w:lastRenderedPageBreak/>
        <w:t xml:space="preserve">ejecutar programas de capacitación en derechos humanos y tratamiento de reclusos </w:t>
      </w:r>
      <w:r w:rsidR="008C3615">
        <w:rPr>
          <w:sz w:val="20"/>
          <w:szCs w:val="20"/>
        </w:rPr>
        <w:t>para</w:t>
      </w:r>
      <w:r>
        <w:rPr>
          <w:sz w:val="20"/>
          <w:szCs w:val="20"/>
        </w:rPr>
        <w:t xml:space="preserve"> personal del ministerio público y pe</w:t>
      </w:r>
      <w:r w:rsidR="00553342">
        <w:rPr>
          <w:sz w:val="20"/>
          <w:szCs w:val="20"/>
        </w:rPr>
        <w:t xml:space="preserve">nitenciario, incluyendo personal médico, psiquiátrico y psicológico </w:t>
      </w:r>
      <w:r w:rsidR="00553342" w:rsidRPr="00553342">
        <w:rPr>
          <w:i/>
          <w:sz w:val="20"/>
          <w:szCs w:val="20"/>
        </w:rPr>
        <w:t>(punto resolutivo décimo tercero de la Sentencia)</w:t>
      </w:r>
      <w:r w:rsidR="00553342">
        <w:rPr>
          <w:sz w:val="20"/>
          <w:szCs w:val="20"/>
        </w:rPr>
        <w:t>.</w:t>
      </w:r>
    </w:p>
    <w:p w:rsidR="00DC6908" w:rsidRPr="008F29E7" w:rsidRDefault="00DC6908" w:rsidP="00994C77">
      <w:pPr>
        <w:pStyle w:val="Default"/>
        <w:spacing w:before="120" w:after="120"/>
        <w:ind w:left="720"/>
        <w:jc w:val="both"/>
        <w:rPr>
          <w:sz w:val="20"/>
          <w:szCs w:val="20"/>
        </w:rPr>
      </w:pPr>
    </w:p>
    <w:p w:rsidR="00EE0B46" w:rsidRDefault="00EE0B46" w:rsidP="00EE0B46">
      <w:pPr>
        <w:pStyle w:val="Default"/>
        <w:numPr>
          <w:ilvl w:val="0"/>
          <w:numId w:val="4"/>
        </w:numPr>
        <w:spacing w:before="120" w:after="120"/>
        <w:ind w:left="0" w:firstLine="0"/>
        <w:jc w:val="both"/>
        <w:rPr>
          <w:sz w:val="20"/>
          <w:szCs w:val="20"/>
        </w:rPr>
      </w:pPr>
      <w:r w:rsidRPr="00BA78B4">
        <w:rPr>
          <w:sz w:val="20"/>
          <w:szCs w:val="20"/>
        </w:rPr>
        <w:t xml:space="preserve">Disponer que el Estado adopte, en definitiva y a la mayor brevedad, las medidas que sean necesarias para dar efectivo y pronto cumplimiento </w:t>
      </w:r>
      <w:r w:rsidR="003A2379">
        <w:rPr>
          <w:sz w:val="20"/>
          <w:szCs w:val="20"/>
        </w:rPr>
        <w:t xml:space="preserve">a </w:t>
      </w:r>
      <w:r w:rsidR="00553342">
        <w:rPr>
          <w:sz w:val="20"/>
          <w:szCs w:val="20"/>
        </w:rPr>
        <w:t>los dos</w:t>
      </w:r>
      <w:r w:rsidRPr="00BA78B4">
        <w:rPr>
          <w:sz w:val="20"/>
          <w:szCs w:val="20"/>
        </w:rPr>
        <w:t xml:space="preserve"> punto</w:t>
      </w:r>
      <w:r w:rsidR="00553342">
        <w:rPr>
          <w:sz w:val="20"/>
          <w:szCs w:val="20"/>
        </w:rPr>
        <w:t>s</w:t>
      </w:r>
      <w:r w:rsidRPr="00BA78B4">
        <w:rPr>
          <w:sz w:val="20"/>
          <w:szCs w:val="20"/>
        </w:rPr>
        <w:t xml:space="preserve"> pendiente</w:t>
      </w:r>
      <w:r w:rsidR="00553342">
        <w:rPr>
          <w:sz w:val="20"/>
          <w:szCs w:val="20"/>
        </w:rPr>
        <w:t>s</w:t>
      </w:r>
      <w:r w:rsidRPr="00BA78B4">
        <w:rPr>
          <w:sz w:val="20"/>
          <w:szCs w:val="20"/>
        </w:rPr>
        <w:t xml:space="preserve"> de la Sentencia de </w:t>
      </w:r>
      <w:r w:rsidR="00553342">
        <w:rPr>
          <w:sz w:val="20"/>
          <w:szCs w:val="20"/>
        </w:rPr>
        <w:t xml:space="preserve">excepciones preliminares, </w:t>
      </w:r>
      <w:r w:rsidRPr="00BA78B4">
        <w:rPr>
          <w:sz w:val="20"/>
          <w:szCs w:val="20"/>
        </w:rPr>
        <w:t>fondo, reparaciones y costas emitida en el presente caso, de acuerdo con lo considerado en la presente Resolución, y con lo estipulado en el artículo 68.1 de la Convención Americana sobre Derechos Humanos.</w:t>
      </w:r>
    </w:p>
    <w:p w:rsidR="00994C77" w:rsidRPr="00BA78B4" w:rsidRDefault="00994C77" w:rsidP="00994C77">
      <w:pPr>
        <w:pStyle w:val="Default"/>
        <w:spacing w:before="120" w:after="120"/>
        <w:jc w:val="both"/>
        <w:rPr>
          <w:sz w:val="20"/>
          <w:szCs w:val="20"/>
        </w:rPr>
      </w:pPr>
    </w:p>
    <w:p w:rsidR="00214B94" w:rsidRDefault="00214B94" w:rsidP="00214B94">
      <w:pPr>
        <w:pStyle w:val="Default"/>
        <w:numPr>
          <w:ilvl w:val="0"/>
          <w:numId w:val="4"/>
        </w:numPr>
        <w:spacing w:before="120" w:after="120"/>
        <w:ind w:left="0" w:firstLine="0"/>
        <w:jc w:val="both"/>
        <w:rPr>
          <w:sz w:val="20"/>
          <w:szCs w:val="20"/>
        </w:rPr>
      </w:pPr>
      <w:r w:rsidRPr="00214B94">
        <w:rPr>
          <w:sz w:val="20"/>
          <w:szCs w:val="20"/>
        </w:rPr>
        <w:t>Disponer que el Estado comunique la presente Resolución al Director de la Comisión de la Verdad y Derechos Humanos de la Fiscalía General del Estado de Ecuador a fin de que</w:t>
      </w:r>
      <w:r w:rsidR="00377447">
        <w:rPr>
          <w:sz w:val="20"/>
          <w:szCs w:val="20"/>
        </w:rPr>
        <w:t xml:space="preserve"> éste</w:t>
      </w:r>
      <w:r w:rsidRPr="00214B94">
        <w:rPr>
          <w:sz w:val="20"/>
          <w:szCs w:val="20"/>
        </w:rPr>
        <w:t xml:space="preserve"> remita, a más tardar el </w:t>
      </w:r>
      <w:r w:rsidR="003A2379">
        <w:rPr>
          <w:sz w:val="20"/>
          <w:szCs w:val="20"/>
        </w:rPr>
        <w:t>20</w:t>
      </w:r>
      <w:r w:rsidR="003A2379" w:rsidRPr="00214B94">
        <w:rPr>
          <w:sz w:val="20"/>
          <w:szCs w:val="20"/>
        </w:rPr>
        <w:t xml:space="preserve"> </w:t>
      </w:r>
      <w:r w:rsidRPr="00214B94">
        <w:rPr>
          <w:sz w:val="20"/>
          <w:szCs w:val="20"/>
        </w:rPr>
        <w:t>de febrero de 2017, el informe sobre la indagación previa de los hechos del presente caso, que le fue requerido en el Considerando 1</w:t>
      </w:r>
      <w:r w:rsidR="00CB5684">
        <w:rPr>
          <w:sz w:val="20"/>
          <w:szCs w:val="20"/>
        </w:rPr>
        <w:t>5</w:t>
      </w:r>
      <w:r w:rsidRPr="00214B94">
        <w:rPr>
          <w:sz w:val="20"/>
          <w:szCs w:val="20"/>
        </w:rPr>
        <w:t xml:space="preserve"> de la presente Resolución, en aplicación del artículo 69.2 del Reglamento de la Corte Interamericana. </w:t>
      </w:r>
    </w:p>
    <w:p w:rsidR="00994C77" w:rsidRDefault="00994C77" w:rsidP="00994C77">
      <w:pPr>
        <w:pStyle w:val="Prrafodelista"/>
        <w:rPr>
          <w:sz w:val="20"/>
          <w:szCs w:val="20"/>
        </w:rPr>
      </w:pPr>
    </w:p>
    <w:p w:rsidR="00214B94" w:rsidRDefault="00214B94" w:rsidP="00214B94">
      <w:pPr>
        <w:pStyle w:val="Default"/>
        <w:numPr>
          <w:ilvl w:val="0"/>
          <w:numId w:val="4"/>
        </w:numPr>
        <w:spacing w:before="120" w:after="120"/>
        <w:ind w:left="0" w:firstLine="0"/>
        <w:jc w:val="both"/>
        <w:rPr>
          <w:sz w:val="20"/>
          <w:szCs w:val="20"/>
        </w:rPr>
      </w:pPr>
      <w:r w:rsidRPr="00214B94">
        <w:rPr>
          <w:sz w:val="20"/>
          <w:szCs w:val="20"/>
        </w:rPr>
        <w:t>Disponer que</w:t>
      </w:r>
      <w:r w:rsidR="00377447">
        <w:rPr>
          <w:sz w:val="20"/>
          <w:szCs w:val="20"/>
        </w:rPr>
        <w:t>,</w:t>
      </w:r>
      <w:r w:rsidRPr="00214B94">
        <w:rPr>
          <w:sz w:val="20"/>
          <w:szCs w:val="20"/>
        </w:rPr>
        <w:t xml:space="preserve"> una vez recibido el informe requerido en el punto resolutivo anterior, </w:t>
      </w:r>
      <w:r w:rsidR="003A2379">
        <w:rPr>
          <w:sz w:val="20"/>
          <w:szCs w:val="20"/>
        </w:rPr>
        <w:t xml:space="preserve">el Presidente del Tribunal </w:t>
      </w:r>
      <w:r w:rsidRPr="00214B94">
        <w:rPr>
          <w:sz w:val="20"/>
          <w:szCs w:val="20"/>
        </w:rPr>
        <w:t xml:space="preserve">otorgue plazos al Estado, a los representantes de las víctimas y a la Comisión </w:t>
      </w:r>
      <w:r w:rsidR="00377447">
        <w:rPr>
          <w:sz w:val="20"/>
          <w:szCs w:val="20"/>
        </w:rPr>
        <w:t xml:space="preserve">Interamericana de Derechos Humanos </w:t>
      </w:r>
      <w:r w:rsidRPr="00214B94">
        <w:rPr>
          <w:sz w:val="20"/>
          <w:szCs w:val="20"/>
        </w:rPr>
        <w:t>para que presenten las observaciones que estimen pertinentes.</w:t>
      </w:r>
    </w:p>
    <w:p w:rsidR="00994C77" w:rsidRPr="00214B94" w:rsidRDefault="00994C77" w:rsidP="00994C77">
      <w:pPr>
        <w:pStyle w:val="Default"/>
        <w:spacing w:before="120" w:after="120"/>
        <w:jc w:val="both"/>
        <w:rPr>
          <w:sz w:val="20"/>
          <w:szCs w:val="20"/>
        </w:rPr>
      </w:pPr>
    </w:p>
    <w:p w:rsidR="00EE0B46" w:rsidRDefault="00EE0B46" w:rsidP="00EE0B46">
      <w:pPr>
        <w:pStyle w:val="Default"/>
        <w:numPr>
          <w:ilvl w:val="0"/>
          <w:numId w:val="4"/>
        </w:numPr>
        <w:spacing w:before="120" w:after="120"/>
        <w:ind w:left="0" w:firstLine="0"/>
        <w:jc w:val="both"/>
        <w:rPr>
          <w:sz w:val="20"/>
          <w:szCs w:val="20"/>
        </w:rPr>
      </w:pPr>
      <w:r w:rsidRPr="00214B94">
        <w:rPr>
          <w:sz w:val="20"/>
          <w:szCs w:val="20"/>
        </w:rPr>
        <w:t xml:space="preserve">Disponer que el Estado presente a la Corte Interamericana, a más tardar el </w:t>
      </w:r>
      <w:r w:rsidR="003A2379">
        <w:rPr>
          <w:sz w:val="20"/>
          <w:szCs w:val="20"/>
        </w:rPr>
        <w:t>17</w:t>
      </w:r>
      <w:r w:rsidR="003A2379" w:rsidRPr="00214B94">
        <w:rPr>
          <w:sz w:val="20"/>
          <w:szCs w:val="20"/>
        </w:rPr>
        <w:t xml:space="preserve"> </w:t>
      </w:r>
      <w:r w:rsidR="00BA78B4" w:rsidRPr="00214B94">
        <w:rPr>
          <w:sz w:val="20"/>
          <w:szCs w:val="20"/>
        </w:rPr>
        <w:t xml:space="preserve">de </w:t>
      </w:r>
      <w:r w:rsidR="003A2379">
        <w:rPr>
          <w:sz w:val="20"/>
          <w:szCs w:val="20"/>
        </w:rPr>
        <w:t>marzo</w:t>
      </w:r>
      <w:r w:rsidR="003A2379" w:rsidRPr="00214B94">
        <w:rPr>
          <w:sz w:val="20"/>
          <w:szCs w:val="20"/>
        </w:rPr>
        <w:t xml:space="preserve"> </w:t>
      </w:r>
      <w:r w:rsidR="00BA78B4" w:rsidRPr="00214B94">
        <w:rPr>
          <w:sz w:val="20"/>
          <w:szCs w:val="20"/>
        </w:rPr>
        <w:t>de 201</w:t>
      </w:r>
      <w:r w:rsidR="00553342" w:rsidRPr="00214B94">
        <w:rPr>
          <w:sz w:val="20"/>
          <w:szCs w:val="20"/>
        </w:rPr>
        <w:t>7</w:t>
      </w:r>
      <w:r w:rsidR="00BA78B4" w:rsidRPr="00214B94">
        <w:rPr>
          <w:sz w:val="20"/>
          <w:szCs w:val="20"/>
        </w:rPr>
        <w:t>, un informe en el cual indique todas las medidas adoptadas para cumplir con la</w:t>
      </w:r>
      <w:r w:rsidR="00553342" w:rsidRPr="00214B94">
        <w:rPr>
          <w:sz w:val="20"/>
          <w:szCs w:val="20"/>
        </w:rPr>
        <w:t>s</w:t>
      </w:r>
      <w:r w:rsidR="00BA78B4" w:rsidRPr="00214B94">
        <w:rPr>
          <w:sz w:val="20"/>
          <w:szCs w:val="20"/>
        </w:rPr>
        <w:t xml:space="preserve"> reparaci</w:t>
      </w:r>
      <w:r w:rsidR="00553342" w:rsidRPr="00214B94">
        <w:rPr>
          <w:sz w:val="20"/>
          <w:szCs w:val="20"/>
        </w:rPr>
        <w:t>ones</w:t>
      </w:r>
      <w:r w:rsidR="00BA78B4" w:rsidRPr="00214B94">
        <w:rPr>
          <w:sz w:val="20"/>
          <w:szCs w:val="20"/>
        </w:rPr>
        <w:t xml:space="preserve"> ordenada</w:t>
      </w:r>
      <w:r w:rsidR="00553342" w:rsidRPr="00214B94">
        <w:rPr>
          <w:sz w:val="20"/>
          <w:szCs w:val="20"/>
        </w:rPr>
        <w:t>s</w:t>
      </w:r>
      <w:r w:rsidR="00BA78B4" w:rsidRPr="00214B94">
        <w:rPr>
          <w:sz w:val="20"/>
          <w:szCs w:val="20"/>
        </w:rPr>
        <w:t xml:space="preserve"> por esta Corte que se encuentra</w:t>
      </w:r>
      <w:r w:rsidR="00553342" w:rsidRPr="00214B94">
        <w:rPr>
          <w:sz w:val="20"/>
          <w:szCs w:val="20"/>
        </w:rPr>
        <w:t>n</w:t>
      </w:r>
      <w:r w:rsidR="00BA78B4" w:rsidRPr="00214B94">
        <w:rPr>
          <w:sz w:val="20"/>
          <w:szCs w:val="20"/>
        </w:rPr>
        <w:t xml:space="preserve"> pendiente</w:t>
      </w:r>
      <w:r w:rsidR="00553342" w:rsidRPr="00214B94">
        <w:rPr>
          <w:sz w:val="20"/>
          <w:szCs w:val="20"/>
        </w:rPr>
        <w:t>s</w:t>
      </w:r>
      <w:r w:rsidR="00BA78B4" w:rsidRPr="00214B94">
        <w:rPr>
          <w:sz w:val="20"/>
          <w:szCs w:val="20"/>
        </w:rPr>
        <w:t xml:space="preserve"> de cumplimiento, de conformidad con </w:t>
      </w:r>
      <w:r w:rsidR="00553342" w:rsidRPr="00214B94">
        <w:rPr>
          <w:sz w:val="20"/>
          <w:szCs w:val="20"/>
        </w:rPr>
        <w:t xml:space="preserve">los </w:t>
      </w:r>
      <w:r w:rsidR="00BA78B4" w:rsidRPr="00214B94">
        <w:rPr>
          <w:sz w:val="20"/>
          <w:szCs w:val="20"/>
        </w:rPr>
        <w:t>Considerando</w:t>
      </w:r>
      <w:r w:rsidR="00553342" w:rsidRPr="00214B94">
        <w:rPr>
          <w:sz w:val="20"/>
          <w:szCs w:val="20"/>
        </w:rPr>
        <w:t>s</w:t>
      </w:r>
      <w:r w:rsidR="00BA78B4" w:rsidRPr="00214B94">
        <w:rPr>
          <w:sz w:val="20"/>
          <w:szCs w:val="20"/>
        </w:rPr>
        <w:t xml:space="preserve"> </w:t>
      </w:r>
      <w:r w:rsidR="00CB5684">
        <w:rPr>
          <w:sz w:val="20"/>
          <w:szCs w:val="20"/>
        </w:rPr>
        <w:t>17 y 35</w:t>
      </w:r>
      <w:r w:rsidR="00BA78B4" w:rsidRPr="00214B94">
        <w:rPr>
          <w:sz w:val="20"/>
          <w:szCs w:val="20"/>
        </w:rPr>
        <w:t xml:space="preserve">, así como con el punto resolutivo </w:t>
      </w:r>
      <w:r w:rsidR="00377447">
        <w:rPr>
          <w:sz w:val="20"/>
          <w:szCs w:val="20"/>
        </w:rPr>
        <w:t>tercero</w:t>
      </w:r>
      <w:r w:rsidR="00377447" w:rsidRPr="00214B94">
        <w:rPr>
          <w:sz w:val="20"/>
          <w:szCs w:val="20"/>
        </w:rPr>
        <w:t xml:space="preserve"> </w:t>
      </w:r>
      <w:r w:rsidR="00BA78B4" w:rsidRPr="00214B94">
        <w:rPr>
          <w:sz w:val="20"/>
          <w:szCs w:val="20"/>
        </w:rPr>
        <w:t>de esta Resolución.</w:t>
      </w:r>
    </w:p>
    <w:p w:rsidR="00994C77" w:rsidRPr="00214B94" w:rsidRDefault="00994C77" w:rsidP="00994C77">
      <w:pPr>
        <w:pStyle w:val="Default"/>
        <w:spacing w:before="120" w:after="120"/>
        <w:jc w:val="both"/>
        <w:rPr>
          <w:sz w:val="20"/>
          <w:szCs w:val="20"/>
        </w:rPr>
      </w:pPr>
    </w:p>
    <w:p w:rsidR="00BA78B4" w:rsidRDefault="00BA78B4" w:rsidP="00EE0B46">
      <w:pPr>
        <w:pStyle w:val="Default"/>
        <w:numPr>
          <w:ilvl w:val="0"/>
          <w:numId w:val="4"/>
        </w:numPr>
        <w:spacing w:before="120" w:after="120"/>
        <w:ind w:left="0" w:firstLine="0"/>
        <w:jc w:val="both"/>
        <w:rPr>
          <w:sz w:val="20"/>
          <w:szCs w:val="20"/>
        </w:rPr>
      </w:pPr>
      <w:r w:rsidRPr="00214B94">
        <w:rPr>
          <w:sz w:val="20"/>
          <w:szCs w:val="20"/>
        </w:rPr>
        <w:t>Disponer que los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rsidR="00994C77" w:rsidRPr="00214B94" w:rsidRDefault="00994C77" w:rsidP="00994C77">
      <w:pPr>
        <w:pStyle w:val="Default"/>
        <w:spacing w:before="120" w:after="120"/>
        <w:jc w:val="both"/>
        <w:rPr>
          <w:sz w:val="20"/>
          <w:szCs w:val="20"/>
        </w:rPr>
      </w:pPr>
    </w:p>
    <w:p w:rsidR="007C28C0" w:rsidRDefault="00BA78B4" w:rsidP="006A3FFA">
      <w:pPr>
        <w:pStyle w:val="Default"/>
        <w:numPr>
          <w:ilvl w:val="0"/>
          <w:numId w:val="4"/>
        </w:numPr>
        <w:spacing w:before="120" w:after="120"/>
        <w:ind w:left="0" w:firstLine="0"/>
        <w:jc w:val="both"/>
        <w:rPr>
          <w:sz w:val="20"/>
          <w:szCs w:val="20"/>
        </w:rPr>
      </w:pPr>
      <w:r w:rsidRPr="00214B94">
        <w:rPr>
          <w:sz w:val="20"/>
          <w:szCs w:val="20"/>
        </w:rPr>
        <w:t xml:space="preserve">Disponer que la Secretaría de la Corte notifique la presente Resolución al Estado, a </w:t>
      </w:r>
      <w:r w:rsidR="00377447" w:rsidRPr="00214B94">
        <w:rPr>
          <w:sz w:val="20"/>
          <w:szCs w:val="20"/>
        </w:rPr>
        <w:t>l</w:t>
      </w:r>
      <w:r w:rsidR="00377447">
        <w:rPr>
          <w:sz w:val="20"/>
          <w:szCs w:val="20"/>
        </w:rPr>
        <w:t>o</w:t>
      </w:r>
      <w:r w:rsidR="00377447" w:rsidRPr="00214B94">
        <w:rPr>
          <w:sz w:val="20"/>
          <w:szCs w:val="20"/>
        </w:rPr>
        <w:t xml:space="preserve">s </w:t>
      </w:r>
      <w:r w:rsidRPr="00214B94">
        <w:rPr>
          <w:sz w:val="20"/>
          <w:szCs w:val="20"/>
        </w:rPr>
        <w:t>representantes de la</w:t>
      </w:r>
      <w:r w:rsidR="00082996" w:rsidRPr="00214B94">
        <w:rPr>
          <w:sz w:val="20"/>
          <w:szCs w:val="20"/>
        </w:rPr>
        <w:t>s</w:t>
      </w:r>
      <w:r w:rsidRPr="00214B94">
        <w:rPr>
          <w:sz w:val="20"/>
          <w:szCs w:val="20"/>
        </w:rPr>
        <w:t xml:space="preserve"> víctima</w:t>
      </w:r>
      <w:r w:rsidR="00082996" w:rsidRPr="00214B94">
        <w:rPr>
          <w:sz w:val="20"/>
          <w:szCs w:val="20"/>
        </w:rPr>
        <w:t>s</w:t>
      </w:r>
      <w:r w:rsidRPr="00214B94">
        <w:rPr>
          <w:sz w:val="20"/>
          <w:szCs w:val="20"/>
        </w:rPr>
        <w:t xml:space="preserve"> y a la Comisión Interamericana de Derechos Humanos.</w:t>
      </w:r>
    </w:p>
    <w:p w:rsidR="00F20E22" w:rsidRDefault="00F20E22" w:rsidP="00F20E22">
      <w:pPr>
        <w:pStyle w:val="Prrafodelista"/>
        <w:rPr>
          <w:sz w:val="20"/>
          <w:szCs w:val="20"/>
        </w:rPr>
      </w:pPr>
    </w:p>
    <w:p w:rsidR="00F20E22" w:rsidRDefault="00F20E22" w:rsidP="00F20E22">
      <w:pPr>
        <w:pStyle w:val="Default"/>
        <w:spacing w:before="120" w:after="120"/>
        <w:jc w:val="both"/>
        <w:rPr>
          <w:sz w:val="20"/>
          <w:szCs w:val="20"/>
        </w:rPr>
      </w:pPr>
    </w:p>
    <w:p w:rsidR="00F20E22" w:rsidRDefault="00F20E22" w:rsidP="00F20E22">
      <w:pPr>
        <w:pStyle w:val="Default"/>
        <w:spacing w:before="120" w:after="120"/>
        <w:jc w:val="both"/>
        <w:rPr>
          <w:sz w:val="20"/>
          <w:szCs w:val="20"/>
        </w:rPr>
      </w:pPr>
    </w:p>
    <w:p w:rsidR="009C2F27" w:rsidRPr="009C2F27" w:rsidRDefault="009C2F27" w:rsidP="009C2F27">
      <w:pPr>
        <w:keepNext/>
        <w:spacing w:after="0" w:line="240" w:lineRule="auto"/>
        <w:jc w:val="both"/>
        <w:outlineLvl w:val="0"/>
        <w:rPr>
          <w:rFonts w:ascii="Verdana" w:eastAsia="Times" w:hAnsi="Verdana"/>
          <w:sz w:val="20"/>
          <w:szCs w:val="20"/>
          <w:lang w:val="es-CR"/>
        </w:rPr>
      </w:pPr>
      <w:r w:rsidRPr="009C2F27">
        <w:rPr>
          <w:rFonts w:ascii="Verdana" w:eastAsia="Times" w:hAnsi="Verdana"/>
          <w:sz w:val="20"/>
          <w:szCs w:val="20"/>
          <w:lang w:val="es-ES"/>
        </w:rPr>
        <w:t xml:space="preserve">Resolución de la Corte Interamericana de Derechos Humanos. </w:t>
      </w:r>
      <w:r w:rsidRPr="009C2F27">
        <w:rPr>
          <w:rFonts w:ascii="Verdana" w:eastAsia="Times" w:hAnsi="Verdana"/>
          <w:sz w:val="20"/>
          <w:szCs w:val="20"/>
          <w:lang w:val="es-CR"/>
        </w:rPr>
        <w:t>Caso Tibi Vs. Ecuador Supervisión de Cumplimiento de Sentencia.</w:t>
      </w:r>
    </w:p>
    <w:p w:rsidR="009C2F27" w:rsidRPr="009C2F27" w:rsidRDefault="009C2F27" w:rsidP="009C2F27">
      <w:pPr>
        <w:spacing w:after="0" w:line="240" w:lineRule="auto"/>
        <w:jc w:val="center"/>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r w:rsidRPr="009C2F27">
        <w:rPr>
          <w:rFonts w:ascii="Verdana" w:eastAsia="Times" w:hAnsi="Verdana"/>
          <w:sz w:val="20"/>
          <w:szCs w:val="20"/>
          <w:lang w:val="es-ES"/>
        </w:rPr>
        <w:lastRenderedPageBreak/>
        <w:t>Roberto F. Caldas</w:t>
      </w:r>
    </w:p>
    <w:p w:rsidR="009C2F27" w:rsidRPr="009C2F27" w:rsidRDefault="009C2F27" w:rsidP="009C2F27">
      <w:pPr>
        <w:spacing w:after="0" w:line="240" w:lineRule="auto"/>
        <w:jc w:val="center"/>
        <w:rPr>
          <w:rFonts w:ascii="Verdana" w:eastAsia="Times" w:hAnsi="Verdana"/>
          <w:sz w:val="20"/>
          <w:szCs w:val="20"/>
          <w:lang w:val="es-ES"/>
        </w:rPr>
      </w:pPr>
      <w:r w:rsidRPr="009C2F27">
        <w:rPr>
          <w:rFonts w:ascii="Verdana" w:eastAsia="Times" w:hAnsi="Verdana"/>
          <w:sz w:val="20"/>
          <w:szCs w:val="20"/>
          <w:lang w:val="es-ES"/>
        </w:rPr>
        <w:t xml:space="preserve">Presidente </w:t>
      </w: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tabs>
          <w:tab w:val="left" w:pos="1485"/>
        </w:tabs>
        <w:spacing w:after="0" w:line="240" w:lineRule="auto"/>
        <w:jc w:val="both"/>
        <w:rPr>
          <w:rFonts w:ascii="Verdana" w:eastAsia="Times" w:hAnsi="Verdana"/>
          <w:sz w:val="20"/>
          <w:szCs w:val="20"/>
          <w:lang w:val="es-ES"/>
        </w:rPr>
      </w:pPr>
      <w:r w:rsidRPr="009C2F27">
        <w:rPr>
          <w:rFonts w:ascii="Verdana" w:eastAsia="Times" w:hAnsi="Verdana"/>
          <w:sz w:val="20"/>
          <w:szCs w:val="20"/>
          <w:lang w:val="es-ES"/>
        </w:rPr>
        <w:tab/>
      </w: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r w:rsidRPr="009C2F27">
        <w:rPr>
          <w:rFonts w:ascii="Verdana" w:eastAsia="Times" w:hAnsi="Verdana"/>
          <w:sz w:val="20"/>
          <w:szCs w:val="20"/>
          <w:lang w:val="es-ES"/>
        </w:rPr>
        <w:t>Eduardo Ferrer Mac-</w:t>
      </w:r>
      <w:proofErr w:type="spellStart"/>
      <w:r w:rsidRPr="009C2F27">
        <w:rPr>
          <w:rFonts w:ascii="Verdana" w:eastAsia="Times" w:hAnsi="Verdana"/>
          <w:sz w:val="20"/>
          <w:szCs w:val="20"/>
          <w:lang w:val="es-ES"/>
        </w:rPr>
        <w:t>Gregor</w:t>
      </w:r>
      <w:proofErr w:type="spellEnd"/>
      <w:r w:rsidRPr="009C2F27">
        <w:rPr>
          <w:rFonts w:ascii="Verdana" w:eastAsia="Times" w:hAnsi="Verdana"/>
          <w:sz w:val="20"/>
          <w:szCs w:val="20"/>
          <w:lang w:val="es-ES"/>
        </w:rPr>
        <w:t xml:space="preserve"> </w:t>
      </w:r>
      <w:proofErr w:type="spellStart"/>
      <w:r w:rsidRPr="009C2F27">
        <w:rPr>
          <w:rFonts w:ascii="Verdana" w:eastAsia="Times" w:hAnsi="Verdana"/>
          <w:sz w:val="20"/>
          <w:szCs w:val="20"/>
          <w:lang w:val="es-ES"/>
        </w:rPr>
        <w:t>Poisot</w:t>
      </w:r>
      <w:proofErr w:type="spellEnd"/>
      <w:r w:rsidRPr="009C2F27">
        <w:rPr>
          <w:rFonts w:ascii="Verdana" w:eastAsia="Times" w:hAnsi="Verdana"/>
          <w:sz w:val="20"/>
          <w:szCs w:val="20"/>
          <w:lang w:val="es-ES"/>
        </w:rPr>
        <w:tab/>
      </w:r>
      <w:r w:rsidRPr="009C2F27">
        <w:rPr>
          <w:rFonts w:ascii="Verdana" w:eastAsia="Times" w:hAnsi="Verdana"/>
          <w:sz w:val="20"/>
          <w:szCs w:val="20"/>
          <w:lang w:val="es-ES"/>
        </w:rPr>
        <w:tab/>
      </w:r>
      <w:r w:rsidRPr="009C2F27">
        <w:rPr>
          <w:rFonts w:ascii="Verdana" w:eastAsia="Times" w:hAnsi="Verdana"/>
          <w:sz w:val="20"/>
          <w:szCs w:val="20"/>
          <w:lang w:val="es-ES"/>
        </w:rPr>
        <w:tab/>
      </w:r>
      <w:r w:rsidRPr="009C2F27">
        <w:rPr>
          <w:rFonts w:ascii="Verdana" w:eastAsia="Times" w:hAnsi="Verdana"/>
          <w:sz w:val="20"/>
          <w:szCs w:val="20"/>
          <w:lang w:val="es-ES"/>
        </w:rPr>
        <w:tab/>
      </w:r>
      <w:r w:rsidRPr="009C2F27">
        <w:rPr>
          <w:rFonts w:ascii="Verdana" w:eastAsia="Times" w:hAnsi="Verdana"/>
          <w:sz w:val="20"/>
          <w:szCs w:val="20"/>
          <w:lang w:val="es-ES"/>
        </w:rPr>
        <w:tab/>
        <w:t xml:space="preserve">       Eduardo Vio Grossi</w:t>
      </w: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r w:rsidRPr="009C2F27">
        <w:rPr>
          <w:rFonts w:ascii="Verdana" w:eastAsia="Times" w:hAnsi="Verdana"/>
          <w:sz w:val="20"/>
          <w:szCs w:val="20"/>
          <w:lang w:val="es-ES"/>
        </w:rPr>
        <w:t>Humberto Antonio Sierra Porto</w:t>
      </w:r>
      <w:r w:rsidRPr="009C2F27">
        <w:rPr>
          <w:rFonts w:ascii="Verdana" w:eastAsia="Times" w:hAnsi="Verdana"/>
          <w:sz w:val="20"/>
          <w:szCs w:val="20"/>
          <w:lang w:val="es-ES"/>
        </w:rPr>
        <w:tab/>
      </w:r>
      <w:r w:rsidRPr="009C2F27">
        <w:rPr>
          <w:rFonts w:ascii="Verdana" w:eastAsia="Times" w:hAnsi="Verdana"/>
          <w:sz w:val="20"/>
          <w:szCs w:val="20"/>
          <w:lang w:val="es-ES"/>
        </w:rPr>
        <w:tab/>
      </w:r>
      <w:r w:rsidRPr="009C2F27">
        <w:rPr>
          <w:rFonts w:ascii="Verdana" w:eastAsia="Times" w:hAnsi="Verdana"/>
          <w:sz w:val="20"/>
          <w:szCs w:val="20"/>
          <w:lang w:val="es-ES"/>
        </w:rPr>
        <w:tab/>
      </w:r>
      <w:r w:rsidRPr="009C2F27">
        <w:rPr>
          <w:rFonts w:ascii="Verdana" w:eastAsia="Times" w:hAnsi="Verdana"/>
          <w:sz w:val="20"/>
          <w:szCs w:val="20"/>
          <w:lang w:val="es-ES"/>
        </w:rPr>
        <w:tab/>
      </w:r>
      <w:r w:rsidRPr="009C2F27">
        <w:rPr>
          <w:rFonts w:ascii="Verdana" w:eastAsia="Times" w:hAnsi="Verdana"/>
          <w:sz w:val="20"/>
          <w:szCs w:val="20"/>
          <w:lang w:val="es-ES"/>
        </w:rPr>
        <w:tab/>
        <w:t xml:space="preserve">    Elizabeth Odio Benito </w:t>
      </w: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r w:rsidRPr="009C2F27">
        <w:rPr>
          <w:rFonts w:ascii="Verdana" w:eastAsia="Times" w:hAnsi="Verdana"/>
          <w:sz w:val="20"/>
          <w:szCs w:val="20"/>
          <w:lang w:val="es-ES"/>
        </w:rPr>
        <w:t xml:space="preserve">Eugenio Raúl </w:t>
      </w:r>
      <w:proofErr w:type="spellStart"/>
      <w:r w:rsidRPr="009C2F27">
        <w:rPr>
          <w:rFonts w:ascii="Verdana" w:eastAsia="Times" w:hAnsi="Verdana"/>
          <w:sz w:val="20"/>
          <w:szCs w:val="20"/>
          <w:lang w:val="es-ES"/>
        </w:rPr>
        <w:t>Zaffaroni</w:t>
      </w:r>
      <w:proofErr w:type="spellEnd"/>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CR"/>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r w:rsidRPr="009C2F27">
        <w:rPr>
          <w:rFonts w:ascii="Verdana" w:eastAsia="Times" w:hAnsi="Verdana"/>
          <w:sz w:val="20"/>
          <w:szCs w:val="20"/>
          <w:lang w:val="es-ES"/>
        </w:rPr>
        <w:t>Pablo Saavedra Alessandri</w:t>
      </w:r>
    </w:p>
    <w:p w:rsidR="009C2F27" w:rsidRPr="009C2F27" w:rsidRDefault="009C2F27" w:rsidP="009C2F27">
      <w:pPr>
        <w:spacing w:after="0" w:line="240" w:lineRule="auto"/>
        <w:jc w:val="center"/>
        <w:rPr>
          <w:rFonts w:ascii="Verdana" w:eastAsia="Times" w:hAnsi="Verdana"/>
          <w:sz w:val="20"/>
          <w:szCs w:val="20"/>
          <w:lang w:val="es-ES"/>
        </w:rPr>
      </w:pPr>
      <w:r w:rsidRPr="009C2F27">
        <w:rPr>
          <w:rFonts w:ascii="Verdana" w:eastAsia="Times" w:hAnsi="Verdana"/>
          <w:sz w:val="20"/>
          <w:szCs w:val="20"/>
          <w:lang w:val="es-ES"/>
        </w:rPr>
        <w:t>Secretario</w:t>
      </w:r>
    </w:p>
    <w:p w:rsidR="009C2F27" w:rsidRPr="009C2F27" w:rsidRDefault="009C2F27" w:rsidP="009C2F27">
      <w:pPr>
        <w:spacing w:after="0" w:line="240" w:lineRule="auto"/>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r w:rsidRPr="009C2F27">
        <w:rPr>
          <w:rFonts w:ascii="Verdana" w:eastAsia="Times" w:hAnsi="Verdana"/>
          <w:sz w:val="20"/>
          <w:szCs w:val="20"/>
          <w:lang w:val="es-ES"/>
        </w:rPr>
        <w:t>Comuníquese y ejecútese,</w:t>
      </w: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ind w:left="4956" w:firstLine="708"/>
        <w:jc w:val="center"/>
        <w:rPr>
          <w:rFonts w:ascii="Verdana" w:eastAsia="Times" w:hAnsi="Verdana"/>
          <w:sz w:val="20"/>
          <w:szCs w:val="20"/>
          <w:lang w:val="es-ES"/>
        </w:rPr>
      </w:pPr>
      <w:r w:rsidRPr="009C2F27">
        <w:rPr>
          <w:rFonts w:ascii="Verdana" w:eastAsia="Times" w:hAnsi="Verdana"/>
          <w:sz w:val="20"/>
          <w:szCs w:val="20"/>
          <w:lang w:val="es-ES"/>
        </w:rPr>
        <w:t>Roberto F. Caldas</w:t>
      </w:r>
    </w:p>
    <w:p w:rsidR="009C2F27" w:rsidRPr="009C2F27" w:rsidRDefault="009C2F27" w:rsidP="009C2F27">
      <w:pPr>
        <w:spacing w:after="0" w:line="240" w:lineRule="auto"/>
        <w:ind w:left="4956" w:firstLine="708"/>
        <w:jc w:val="center"/>
        <w:rPr>
          <w:rFonts w:ascii="Verdana" w:eastAsia="Times" w:hAnsi="Verdana"/>
          <w:sz w:val="20"/>
          <w:szCs w:val="20"/>
          <w:lang w:val="es-ES"/>
        </w:rPr>
      </w:pPr>
      <w:r w:rsidRPr="009C2F27">
        <w:rPr>
          <w:rFonts w:ascii="Verdana" w:eastAsia="Times" w:hAnsi="Verdana"/>
          <w:sz w:val="20"/>
          <w:szCs w:val="20"/>
          <w:lang w:val="es-ES"/>
        </w:rPr>
        <w:t xml:space="preserve">Presidente </w:t>
      </w: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r w:rsidRPr="009C2F27">
        <w:rPr>
          <w:rFonts w:ascii="Verdana" w:eastAsia="Times" w:hAnsi="Verdana"/>
          <w:sz w:val="20"/>
          <w:szCs w:val="20"/>
          <w:lang w:val="es-ES"/>
        </w:rPr>
        <w:t>Pablo Saavedra Alessandri</w:t>
      </w:r>
    </w:p>
    <w:p w:rsidR="009C2F27" w:rsidRPr="009C2F27" w:rsidRDefault="009C2F27" w:rsidP="009C2F27">
      <w:pPr>
        <w:spacing w:after="0" w:line="240" w:lineRule="auto"/>
        <w:rPr>
          <w:rFonts w:ascii="Verdana" w:eastAsia="Times" w:hAnsi="Verdana"/>
          <w:sz w:val="20"/>
          <w:szCs w:val="20"/>
          <w:lang w:val="es-CR"/>
        </w:rPr>
      </w:pPr>
      <w:r w:rsidRPr="009C2F27">
        <w:rPr>
          <w:rFonts w:ascii="Verdana" w:eastAsia="Times" w:hAnsi="Verdana"/>
          <w:sz w:val="20"/>
          <w:szCs w:val="20"/>
          <w:lang w:val="es-ES"/>
        </w:rPr>
        <w:tab/>
      </w:r>
      <w:r w:rsidRPr="009C2F27">
        <w:rPr>
          <w:rFonts w:ascii="Verdana" w:eastAsia="Times" w:hAnsi="Verdana"/>
          <w:sz w:val="20"/>
          <w:szCs w:val="20"/>
          <w:lang w:val="es-CR"/>
        </w:rPr>
        <w:t>Secretario</w:t>
      </w:r>
    </w:p>
    <w:p w:rsidR="00F20E22" w:rsidRPr="00214B94" w:rsidRDefault="00F20E22" w:rsidP="00F20E22">
      <w:pPr>
        <w:pStyle w:val="Default"/>
        <w:spacing w:before="120" w:after="120"/>
        <w:jc w:val="both"/>
        <w:rPr>
          <w:sz w:val="20"/>
          <w:szCs w:val="20"/>
        </w:rPr>
      </w:pPr>
    </w:p>
    <w:sectPr w:rsidR="00F20E22" w:rsidRPr="00214B94" w:rsidSect="002E4AC1">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9E2" w:rsidRDefault="001039E2" w:rsidP="00C228C3">
      <w:pPr>
        <w:spacing w:after="0" w:line="240" w:lineRule="auto"/>
      </w:pPr>
      <w:r>
        <w:separator/>
      </w:r>
    </w:p>
  </w:endnote>
  <w:endnote w:type="continuationSeparator" w:id="0">
    <w:p w:rsidR="001039E2" w:rsidRDefault="001039E2" w:rsidP="00C22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Italic">
    <w:altName w:val="Verdana Italic"/>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9E2" w:rsidRDefault="001039E2" w:rsidP="00C228C3">
      <w:pPr>
        <w:spacing w:after="0" w:line="240" w:lineRule="auto"/>
      </w:pPr>
      <w:r>
        <w:separator/>
      </w:r>
    </w:p>
  </w:footnote>
  <w:footnote w:type="continuationSeparator" w:id="0">
    <w:p w:rsidR="001039E2" w:rsidRDefault="001039E2" w:rsidP="00C228C3">
      <w:pPr>
        <w:spacing w:after="0" w:line="240" w:lineRule="auto"/>
      </w:pPr>
      <w:r>
        <w:continuationSeparator/>
      </w:r>
    </w:p>
  </w:footnote>
  <w:footnote w:id="1">
    <w:p w:rsidR="00B01195" w:rsidRPr="00C26F45" w:rsidRDefault="00B01195" w:rsidP="00C26F45">
      <w:pPr>
        <w:pStyle w:val="Textonotapie"/>
        <w:suppressLineNumbers/>
        <w:tabs>
          <w:tab w:val="left" w:pos="426"/>
        </w:tabs>
        <w:jc w:val="both"/>
        <w:rPr>
          <w:rFonts w:ascii="Verdana" w:hAnsi="Verdana"/>
          <w:sz w:val="16"/>
          <w:szCs w:val="16"/>
        </w:rPr>
      </w:pPr>
      <w:r w:rsidRPr="00C26F45">
        <w:rPr>
          <w:rFonts w:ascii="Verdana" w:hAnsi="Verdana"/>
          <w:sz w:val="16"/>
          <w:szCs w:val="16"/>
        </w:rPr>
        <w:t>*</w:t>
      </w:r>
      <w:r w:rsidRPr="00C26F45">
        <w:rPr>
          <w:rFonts w:ascii="Verdana" w:hAnsi="Verdana"/>
          <w:sz w:val="16"/>
          <w:szCs w:val="16"/>
        </w:rPr>
        <w:tab/>
        <w:t>El Juez L. Patricio Pazmiño Freire, de nacionalidad ecuatoriana, no participó en el conocimiento y deliberación de la presente Resolución, de conformidad con lo dispuesto en el artículo 19.1 del Reglamento de la Corte.</w:t>
      </w:r>
    </w:p>
  </w:footnote>
  <w:footnote w:id="2">
    <w:p w:rsidR="00B01195" w:rsidRPr="00C26F45" w:rsidRDefault="00B01195" w:rsidP="00C26F45">
      <w:pPr>
        <w:pStyle w:val="Textonotapie"/>
        <w:tabs>
          <w:tab w:val="left" w:pos="426"/>
        </w:tabs>
        <w:contextualSpacing/>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La Sentencia fue notificada el 22 de septiembre de 2004. </w:t>
      </w:r>
      <w:r w:rsidRPr="00C26F45">
        <w:rPr>
          <w:rStyle w:val="Textoennegrita"/>
          <w:rFonts w:ascii="Verdana" w:hAnsi="Verdana"/>
          <w:b w:val="0"/>
          <w:i/>
          <w:color w:val="000000"/>
          <w:sz w:val="16"/>
          <w:szCs w:val="16"/>
          <w:shd w:val="clear" w:color="auto" w:fill="FFFFFF"/>
        </w:rPr>
        <w:t>Cfr. Caso Tibi Vs. Ecuador. Excepciones Preliminares, Fondo, Reparaciones y Costas.</w:t>
      </w:r>
      <w:r w:rsidRPr="00C26F45">
        <w:rPr>
          <w:rStyle w:val="Textoennegrita"/>
          <w:rFonts w:ascii="Verdana" w:hAnsi="Verdana"/>
          <w:b w:val="0"/>
          <w:color w:val="000000"/>
          <w:sz w:val="16"/>
          <w:szCs w:val="16"/>
          <w:shd w:val="clear" w:color="auto" w:fill="FFFFFF"/>
        </w:rPr>
        <w:t xml:space="preserve"> Sentencia de 7 de septiembre de 2004. Serie C No. 114. El texto íntegro de la Sentencia se encuentra disponible en: </w:t>
      </w:r>
      <w:hyperlink r:id="rId1" w:history="1">
        <w:r w:rsidRPr="00C26F45">
          <w:rPr>
            <w:rStyle w:val="Hipervnculo"/>
            <w:rFonts w:ascii="Verdana" w:hAnsi="Verdana"/>
            <w:sz w:val="16"/>
            <w:szCs w:val="16"/>
            <w:shd w:val="clear" w:color="auto" w:fill="FFFFFF"/>
          </w:rPr>
          <w:t>http://www.corteidh.or.cr/docs/casos/articulos/seriec_114_esp.pdf</w:t>
        </w:r>
      </w:hyperlink>
      <w:r w:rsidRPr="00C26F45">
        <w:rPr>
          <w:rStyle w:val="Textoennegrita"/>
          <w:rFonts w:ascii="Verdana" w:hAnsi="Verdana"/>
          <w:b w:val="0"/>
          <w:color w:val="000000"/>
          <w:sz w:val="16"/>
          <w:szCs w:val="16"/>
          <w:shd w:val="clear" w:color="auto" w:fill="FFFFFF"/>
        </w:rPr>
        <w:t xml:space="preserve">. </w:t>
      </w:r>
    </w:p>
  </w:footnote>
  <w:footnote w:id="3">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El señor Tibi permaneció bajo detención preventiva, </w:t>
      </w:r>
      <w:r w:rsidR="00F06C80" w:rsidRPr="00C26F45">
        <w:rPr>
          <w:rFonts w:ascii="Verdana" w:hAnsi="Verdana"/>
          <w:sz w:val="16"/>
          <w:szCs w:val="16"/>
        </w:rPr>
        <w:t>en centros de detención ecuatorianos,</w:t>
      </w:r>
      <w:r w:rsidR="00F06C80">
        <w:rPr>
          <w:rFonts w:ascii="Verdana" w:hAnsi="Verdana"/>
          <w:sz w:val="16"/>
          <w:szCs w:val="16"/>
        </w:rPr>
        <w:t xml:space="preserve"> </w:t>
      </w:r>
      <w:r w:rsidRPr="00C26F45">
        <w:rPr>
          <w:rFonts w:ascii="Verdana" w:hAnsi="Verdana"/>
          <w:sz w:val="16"/>
          <w:szCs w:val="16"/>
        </w:rPr>
        <w:t xml:space="preserve">en forma ininterrumpida, desde el 27 de septiembre de 1995 hasta el 21 de enero de 1998. </w:t>
      </w:r>
    </w:p>
  </w:footnote>
  <w:footnote w:id="4">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La compañera del señor Tibi al momento de los hechos era la señora Beatri</w:t>
      </w:r>
      <w:r>
        <w:rPr>
          <w:rFonts w:ascii="Verdana" w:hAnsi="Verdana"/>
          <w:sz w:val="16"/>
          <w:szCs w:val="16"/>
        </w:rPr>
        <w:t>ce</w:t>
      </w:r>
      <w:r w:rsidRPr="00C26F45">
        <w:rPr>
          <w:rFonts w:ascii="Verdana" w:hAnsi="Verdana"/>
          <w:sz w:val="16"/>
          <w:szCs w:val="16"/>
        </w:rPr>
        <w:t xml:space="preserve"> </w:t>
      </w:r>
      <w:proofErr w:type="spellStart"/>
      <w:r w:rsidRPr="00C26F45">
        <w:rPr>
          <w:rFonts w:ascii="Verdana" w:hAnsi="Verdana"/>
          <w:sz w:val="16"/>
          <w:szCs w:val="16"/>
        </w:rPr>
        <w:t>Baruet</w:t>
      </w:r>
      <w:proofErr w:type="spellEnd"/>
      <w:r w:rsidRPr="00C26F45">
        <w:rPr>
          <w:rFonts w:ascii="Verdana" w:hAnsi="Verdana"/>
          <w:sz w:val="16"/>
          <w:szCs w:val="16"/>
        </w:rPr>
        <w:t xml:space="preserve">. Las hijas de esta última Sarah </w:t>
      </w:r>
      <w:proofErr w:type="spellStart"/>
      <w:r w:rsidRPr="00C26F45">
        <w:rPr>
          <w:rFonts w:ascii="Verdana" w:hAnsi="Verdana"/>
          <w:sz w:val="16"/>
          <w:szCs w:val="16"/>
        </w:rPr>
        <w:t>Vachon</w:t>
      </w:r>
      <w:proofErr w:type="spellEnd"/>
      <w:r w:rsidRPr="00C26F45">
        <w:rPr>
          <w:rFonts w:ascii="Verdana" w:hAnsi="Verdana"/>
          <w:sz w:val="16"/>
          <w:szCs w:val="16"/>
        </w:rPr>
        <w:t xml:space="preserve"> y Jeanne Camila </w:t>
      </w:r>
      <w:proofErr w:type="spellStart"/>
      <w:r w:rsidRPr="00C26F45">
        <w:rPr>
          <w:rFonts w:ascii="Verdana" w:hAnsi="Verdana"/>
          <w:sz w:val="16"/>
          <w:szCs w:val="16"/>
        </w:rPr>
        <w:t>Vachon</w:t>
      </w:r>
      <w:proofErr w:type="spellEnd"/>
      <w:r w:rsidRPr="00C26F45">
        <w:rPr>
          <w:rFonts w:ascii="Verdana" w:hAnsi="Verdana"/>
          <w:sz w:val="16"/>
          <w:szCs w:val="16"/>
        </w:rPr>
        <w:t xml:space="preserve">; la hija de la señora </w:t>
      </w:r>
      <w:proofErr w:type="spellStart"/>
      <w:r w:rsidRPr="00C26F45">
        <w:rPr>
          <w:rFonts w:ascii="Verdana" w:hAnsi="Verdana"/>
          <w:sz w:val="16"/>
          <w:szCs w:val="16"/>
        </w:rPr>
        <w:t>Baruet</w:t>
      </w:r>
      <w:proofErr w:type="spellEnd"/>
      <w:r w:rsidRPr="00C26F45">
        <w:rPr>
          <w:rFonts w:ascii="Verdana" w:hAnsi="Verdana"/>
          <w:sz w:val="16"/>
          <w:szCs w:val="16"/>
        </w:rPr>
        <w:t xml:space="preserve"> y del señor Tibi, </w:t>
      </w:r>
      <w:proofErr w:type="spellStart"/>
      <w:r w:rsidRPr="00C26F45">
        <w:rPr>
          <w:rFonts w:ascii="Verdana" w:hAnsi="Verdana"/>
          <w:sz w:val="16"/>
          <w:szCs w:val="16"/>
        </w:rPr>
        <w:t>Lisianne</w:t>
      </w:r>
      <w:proofErr w:type="spellEnd"/>
      <w:r w:rsidRPr="00C26F45">
        <w:rPr>
          <w:rFonts w:ascii="Verdana" w:hAnsi="Verdana"/>
          <w:sz w:val="16"/>
          <w:szCs w:val="16"/>
        </w:rPr>
        <w:t xml:space="preserve"> Judith Tibi, y el hijo del señor Tibi, </w:t>
      </w:r>
      <w:proofErr w:type="spellStart"/>
      <w:r w:rsidRPr="00C26F45">
        <w:rPr>
          <w:rFonts w:ascii="Verdana" w:hAnsi="Verdana"/>
          <w:sz w:val="16"/>
          <w:szCs w:val="16"/>
        </w:rPr>
        <w:t>Val</w:t>
      </w:r>
      <w:r>
        <w:rPr>
          <w:rFonts w:ascii="Verdana" w:hAnsi="Verdana"/>
          <w:sz w:val="16"/>
          <w:szCs w:val="16"/>
        </w:rPr>
        <w:t>e</w:t>
      </w:r>
      <w:r w:rsidRPr="00C26F45">
        <w:rPr>
          <w:rFonts w:ascii="Verdana" w:hAnsi="Verdana"/>
          <w:sz w:val="16"/>
          <w:szCs w:val="16"/>
        </w:rPr>
        <w:t>rian</w:t>
      </w:r>
      <w:proofErr w:type="spellEnd"/>
      <w:r w:rsidRPr="00C26F45">
        <w:rPr>
          <w:rFonts w:ascii="Verdana" w:hAnsi="Verdana"/>
          <w:sz w:val="16"/>
          <w:szCs w:val="16"/>
        </w:rPr>
        <w:t xml:space="preserve"> </w:t>
      </w:r>
      <w:proofErr w:type="spellStart"/>
      <w:r w:rsidRPr="00C26F45">
        <w:rPr>
          <w:rFonts w:ascii="Verdana" w:hAnsi="Verdana"/>
          <w:sz w:val="16"/>
          <w:szCs w:val="16"/>
        </w:rPr>
        <w:t>Edouard</w:t>
      </w:r>
      <w:proofErr w:type="spellEnd"/>
      <w:r w:rsidRPr="00C26F45">
        <w:rPr>
          <w:rFonts w:ascii="Verdana" w:hAnsi="Verdana"/>
          <w:sz w:val="16"/>
          <w:szCs w:val="16"/>
        </w:rPr>
        <w:t xml:space="preserve"> Tibi.</w:t>
      </w:r>
    </w:p>
  </w:footnote>
  <w:footnote w:id="5">
    <w:p w:rsidR="00810FC2" w:rsidRPr="00AF1B09" w:rsidRDefault="00810FC2" w:rsidP="00AF1B09">
      <w:pPr>
        <w:pStyle w:val="Textonotapie"/>
        <w:tabs>
          <w:tab w:val="left" w:pos="426"/>
        </w:tabs>
        <w:jc w:val="both"/>
        <w:rPr>
          <w:rFonts w:ascii="Verdana" w:hAnsi="Verdana"/>
          <w:sz w:val="16"/>
          <w:szCs w:val="16"/>
        </w:rPr>
      </w:pPr>
      <w:r w:rsidRPr="00AF1B09">
        <w:rPr>
          <w:rStyle w:val="Refdenotaalpie"/>
          <w:rFonts w:ascii="Verdana" w:hAnsi="Verdana"/>
          <w:sz w:val="16"/>
          <w:szCs w:val="16"/>
        </w:rPr>
        <w:footnoteRef/>
      </w:r>
      <w:r w:rsidRPr="00AF1B09">
        <w:rPr>
          <w:rFonts w:ascii="Verdana" w:hAnsi="Verdana"/>
          <w:sz w:val="16"/>
          <w:szCs w:val="16"/>
        </w:rPr>
        <w:t xml:space="preserve"> </w:t>
      </w:r>
      <w:r w:rsidRPr="00AF1B09">
        <w:rPr>
          <w:rFonts w:ascii="Verdana" w:hAnsi="Verdana"/>
          <w:sz w:val="16"/>
          <w:szCs w:val="16"/>
        </w:rPr>
        <w:tab/>
      </w:r>
      <w:r w:rsidRPr="00AF1B09">
        <w:rPr>
          <w:rFonts w:ascii="Verdana" w:hAnsi="Verdana"/>
          <w:i/>
          <w:sz w:val="16"/>
          <w:szCs w:val="16"/>
        </w:rPr>
        <w:t>Cfr.</w:t>
      </w:r>
      <w:r w:rsidRPr="00AF1B09">
        <w:rPr>
          <w:rFonts w:ascii="Verdana" w:hAnsi="Verdana"/>
          <w:sz w:val="16"/>
          <w:szCs w:val="16"/>
        </w:rPr>
        <w:t xml:space="preserve"> </w:t>
      </w:r>
      <w:r w:rsidR="00AF1B09" w:rsidRPr="00AF1B09">
        <w:rPr>
          <w:rStyle w:val="Textoennegrita"/>
          <w:rFonts w:ascii="Verdana" w:hAnsi="Verdana"/>
          <w:b w:val="0"/>
          <w:i/>
          <w:color w:val="000000"/>
          <w:sz w:val="16"/>
          <w:szCs w:val="16"/>
          <w:shd w:val="clear" w:color="auto" w:fill="FFFFFF"/>
        </w:rPr>
        <w:t>Caso Tibi Vs. Ecuador. Supervisión de Cumplimiento de Sentencia.</w:t>
      </w:r>
      <w:r w:rsidR="00AF1B09" w:rsidRPr="00AF1B09">
        <w:rPr>
          <w:rStyle w:val="Textoennegrita"/>
          <w:rFonts w:ascii="Verdana" w:hAnsi="Verdana"/>
          <w:b w:val="0"/>
          <w:color w:val="000000"/>
          <w:sz w:val="16"/>
          <w:szCs w:val="16"/>
          <w:shd w:val="clear" w:color="auto" w:fill="FFFFFF"/>
        </w:rPr>
        <w:t xml:space="preserve"> Resolución de la Corte Interamericana de Derechos Humanos de 22 de septiembre de 2006, disponible en: </w:t>
      </w:r>
      <w:hyperlink r:id="rId2" w:history="1">
        <w:r w:rsidR="00AF1B09" w:rsidRPr="00AF1B09">
          <w:rPr>
            <w:rStyle w:val="Hipervnculo"/>
            <w:rFonts w:ascii="Verdana" w:hAnsi="Verdana"/>
            <w:sz w:val="16"/>
            <w:szCs w:val="16"/>
            <w:shd w:val="clear" w:color="auto" w:fill="FFFFFF"/>
          </w:rPr>
          <w:t>http://www.corteidh.or.cr/docs/supervisiones/tibi_22_09_06.pdf</w:t>
        </w:r>
      </w:hyperlink>
    </w:p>
  </w:footnote>
  <w:footnote w:id="6">
    <w:p w:rsidR="00810FC2" w:rsidRPr="00AF1B09" w:rsidRDefault="00810FC2" w:rsidP="00AF1B09">
      <w:pPr>
        <w:pStyle w:val="Textonotapie"/>
        <w:tabs>
          <w:tab w:val="left" w:pos="426"/>
        </w:tabs>
        <w:rPr>
          <w:rFonts w:ascii="Verdana" w:hAnsi="Verdana"/>
          <w:sz w:val="16"/>
          <w:szCs w:val="16"/>
        </w:rPr>
      </w:pPr>
      <w:r w:rsidRPr="00AF1B09">
        <w:rPr>
          <w:rStyle w:val="Refdenotaalpie"/>
          <w:rFonts w:ascii="Verdana" w:hAnsi="Verdana"/>
          <w:sz w:val="16"/>
          <w:szCs w:val="16"/>
        </w:rPr>
        <w:footnoteRef/>
      </w:r>
      <w:r w:rsidRPr="00AF1B09">
        <w:rPr>
          <w:rFonts w:ascii="Verdana" w:hAnsi="Verdana"/>
          <w:sz w:val="16"/>
          <w:szCs w:val="16"/>
        </w:rPr>
        <w:t xml:space="preserve"> </w:t>
      </w:r>
      <w:r w:rsidR="00AF1B09" w:rsidRPr="00AF1B09">
        <w:rPr>
          <w:rFonts w:ascii="Verdana" w:hAnsi="Verdana"/>
          <w:sz w:val="16"/>
          <w:szCs w:val="16"/>
        </w:rPr>
        <w:tab/>
      </w:r>
      <w:r w:rsidR="00AF1B09" w:rsidRPr="00AF1B09">
        <w:rPr>
          <w:rFonts w:ascii="Verdana" w:hAnsi="Verdana"/>
          <w:i/>
          <w:sz w:val="16"/>
          <w:szCs w:val="16"/>
        </w:rPr>
        <w:t>Cfr.</w:t>
      </w:r>
      <w:r w:rsidR="00AF1B09" w:rsidRPr="00AF1B09">
        <w:rPr>
          <w:rFonts w:ascii="Verdana" w:hAnsi="Verdana"/>
          <w:sz w:val="16"/>
          <w:szCs w:val="16"/>
        </w:rPr>
        <w:t xml:space="preserve"> </w:t>
      </w:r>
      <w:r w:rsidR="00AF1B09" w:rsidRPr="00AF1B09">
        <w:rPr>
          <w:rStyle w:val="Textoennegrita"/>
          <w:rFonts w:ascii="Verdana" w:hAnsi="Verdana"/>
          <w:b w:val="0"/>
          <w:i/>
          <w:color w:val="000000"/>
          <w:sz w:val="16"/>
          <w:szCs w:val="16"/>
          <w:shd w:val="clear" w:color="auto" w:fill="FFFFFF"/>
        </w:rPr>
        <w:t xml:space="preserve">Caso Tibi Vs. Ecuador. Supervisión de Cumplimiento de Sentencia. </w:t>
      </w:r>
      <w:r w:rsidR="00AF1B09" w:rsidRPr="00AF1B09">
        <w:rPr>
          <w:rStyle w:val="Textoennegrita"/>
          <w:rFonts w:ascii="Verdana" w:hAnsi="Verdana"/>
          <w:b w:val="0"/>
          <w:color w:val="000000"/>
          <w:sz w:val="16"/>
          <w:szCs w:val="16"/>
          <w:shd w:val="clear" w:color="auto" w:fill="FFFFFF"/>
        </w:rPr>
        <w:t xml:space="preserve">Resolución de la Corte Interamericana de Derechos Humanos de 1 de julio de 2009, disponible en: </w:t>
      </w:r>
      <w:hyperlink r:id="rId3" w:history="1">
        <w:r w:rsidR="00AF1B09" w:rsidRPr="00AF1B09">
          <w:rPr>
            <w:rStyle w:val="Hipervnculo"/>
            <w:rFonts w:ascii="Verdana" w:hAnsi="Verdana"/>
            <w:sz w:val="16"/>
            <w:szCs w:val="16"/>
            <w:shd w:val="clear" w:color="auto" w:fill="FFFFFF"/>
          </w:rPr>
          <w:t>http://www.corteidh.or.cr/docs/supervisiones/tibi_01_07_09.pdf</w:t>
        </w:r>
      </w:hyperlink>
    </w:p>
  </w:footnote>
  <w:footnote w:id="7">
    <w:p w:rsidR="00B01195" w:rsidRPr="00C26F45" w:rsidRDefault="00B01195" w:rsidP="00AF1B09">
      <w:pPr>
        <w:pStyle w:val="Textonotapie"/>
        <w:tabs>
          <w:tab w:val="left" w:pos="426"/>
        </w:tabs>
        <w:jc w:val="both"/>
        <w:rPr>
          <w:rFonts w:ascii="Verdana" w:hAnsi="Verdana"/>
          <w:sz w:val="16"/>
          <w:szCs w:val="16"/>
        </w:rPr>
      </w:pPr>
      <w:r w:rsidRPr="00AF1B09">
        <w:rPr>
          <w:rStyle w:val="Refdenotaalpie"/>
          <w:rFonts w:ascii="Verdana" w:hAnsi="Verdana"/>
          <w:sz w:val="16"/>
          <w:szCs w:val="16"/>
        </w:rPr>
        <w:footnoteRef/>
      </w:r>
      <w:r w:rsidRPr="00AF1B09">
        <w:rPr>
          <w:rFonts w:ascii="Verdana" w:hAnsi="Verdana"/>
          <w:sz w:val="16"/>
          <w:szCs w:val="16"/>
        </w:rPr>
        <w:t xml:space="preserve"> </w:t>
      </w:r>
      <w:r w:rsidRPr="00AF1B09">
        <w:rPr>
          <w:rFonts w:ascii="Verdana" w:hAnsi="Verdana"/>
          <w:sz w:val="16"/>
          <w:szCs w:val="16"/>
        </w:rPr>
        <w:tab/>
      </w:r>
      <w:r w:rsidRPr="00AF1B09">
        <w:rPr>
          <w:rFonts w:ascii="Verdana" w:hAnsi="Verdana"/>
          <w:i/>
          <w:sz w:val="16"/>
          <w:szCs w:val="16"/>
        </w:rPr>
        <w:t>Cfr.</w:t>
      </w:r>
      <w:r w:rsidRPr="00AF1B09">
        <w:rPr>
          <w:rStyle w:val="Textoennegrita"/>
          <w:rFonts w:ascii="Verdana" w:hAnsi="Verdana"/>
          <w:b w:val="0"/>
          <w:color w:val="000000"/>
          <w:sz w:val="16"/>
          <w:szCs w:val="16"/>
          <w:shd w:val="clear" w:color="auto" w:fill="FFFFFF"/>
        </w:rPr>
        <w:t xml:space="preserve"> </w:t>
      </w:r>
      <w:r w:rsidRPr="00AF1B09">
        <w:rPr>
          <w:rStyle w:val="Textoennegrita"/>
          <w:rFonts w:ascii="Verdana" w:hAnsi="Verdana"/>
          <w:b w:val="0"/>
          <w:i/>
          <w:color w:val="000000"/>
          <w:sz w:val="16"/>
          <w:szCs w:val="16"/>
          <w:shd w:val="clear" w:color="auto" w:fill="FFFFFF"/>
        </w:rPr>
        <w:t xml:space="preserve">Caso Tibi Vs. Ecuador. Supervisión de Cumplimiento de Sentencia. </w:t>
      </w:r>
      <w:r w:rsidRPr="00AF1B09">
        <w:rPr>
          <w:rStyle w:val="Textoennegrita"/>
          <w:rFonts w:ascii="Verdana" w:hAnsi="Verdana"/>
          <w:b w:val="0"/>
          <w:color w:val="000000"/>
          <w:sz w:val="16"/>
          <w:szCs w:val="16"/>
          <w:shd w:val="clear" w:color="auto" w:fill="FFFFFF"/>
        </w:rPr>
        <w:t xml:space="preserve">Resolución de la Corte Interamericana de Derechos Humanos 3 de marzo de 2011, disponible en: </w:t>
      </w:r>
      <w:hyperlink r:id="rId4" w:history="1">
        <w:r w:rsidRPr="00AF1B09">
          <w:rPr>
            <w:rStyle w:val="Hipervnculo"/>
            <w:rFonts w:ascii="Verdana" w:hAnsi="Verdana"/>
            <w:sz w:val="16"/>
            <w:szCs w:val="16"/>
            <w:shd w:val="clear" w:color="auto" w:fill="FFFFFF"/>
          </w:rPr>
          <w:t>http://www.corteidh.or.cr/docs/supervisiones/tibi_03_03_11.pdf</w:t>
        </w:r>
      </w:hyperlink>
      <w:r w:rsidRPr="00AF1B09">
        <w:rPr>
          <w:rStyle w:val="Textoennegrita"/>
          <w:rFonts w:ascii="Verdana" w:hAnsi="Verdana"/>
          <w:b w:val="0"/>
          <w:color w:val="000000"/>
          <w:sz w:val="16"/>
          <w:szCs w:val="16"/>
          <w:shd w:val="clear" w:color="auto" w:fill="FFFFFF"/>
        </w:rPr>
        <w:t>.</w:t>
      </w:r>
    </w:p>
  </w:footnote>
  <w:footnote w:id="8">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Escritos de 21 de junio de 2011, 11 de mayo de 2012, 3 de abril de 2014, 21 de agosto de 2015, y 4 de marzo de 2016.</w:t>
      </w:r>
    </w:p>
  </w:footnote>
  <w:footnote w:id="9">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Mediante la Resolución de la Corte de marzo de 2011 (</w:t>
      </w:r>
      <w:r w:rsidRPr="00C26F45">
        <w:rPr>
          <w:rFonts w:ascii="Verdana" w:hAnsi="Verdana"/>
          <w:i/>
          <w:sz w:val="16"/>
          <w:szCs w:val="16"/>
        </w:rPr>
        <w:t>supra</w:t>
      </w:r>
      <w:r w:rsidRPr="00C26F45">
        <w:rPr>
          <w:rFonts w:ascii="Verdana" w:hAnsi="Verdana"/>
          <w:sz w:val="16"/>
          <w:szCs w:val="16"/>
        </w:rPr>
        <w:t xml:space="preserve"> Visto 2) y </w:t>
      </w:r>
      <w:r w:rsidR="00DE1F71">
        <w:rPr>
          <w:rFonts w:ascii="Verdana" w:hAnsi="Verdana"/>
          <w:sz w:val="16"/>
          <w:szCs w:val="16"/>
        </w:rPr>
        <w:t>de</w:t>
      </w:r>
      <w:r w:rsidR="00DE1F71" w:rsidRPr="00C26F45">
        <w:rPr>
          <w:rFonts w:ascii="Verdana" w:hAnsi="Verdana"/>
          <w:sz w:val="16"/>
          <w:szCs w:val="16"/>
        </w:rPr>
        <w:t xml:space="preserve"> </w:t>
      </w:r>
      <w:r w:rsidRPr="00C26F45">
        <w:rPr>
          <w:rFonts w:ascii="Verdana" w:hAnsi="Verdana"/>
          <w:sz w:val="16"/>
          <w:szCs w:val="16"/>
        </w:rPr>
        <w:t>las notas de Secretaría de la Corte, siguiendo instrucciones de su Presidente, de 9 de marzo de 2012, 24 de octubre de 2013 y 14 de julio de 2014.</w:t>
      </w:r>
    </w:p>
  </w:footnote>
  <w:footnote w:id="10">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El Centro por la Justicia y el Derecho Internacional (CEJIL) y la Clínica de Derechos Humanos de la Pontificia Universidad Católica del Ecuador.</w:t>
      </w:r>
    </w:p>
  </w:footnote>
  <w:footnote w:id="11">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Escritos de 25 de julio de 2011, 20 de agosto de 2012, 26 de junio de 2014, 26 de febrero y 4 de abril de 2016.</w:t>
      </w:r>
    </w:p>
  </w:footnote>
  <w:footnote w:id="12">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Escritos de 8 de agosto de 2011, 25 de junio de 2012, 23 de mayo de 2014, 30 de octubre de 2015</w:t>
      </w:r>
      <w:r w:rsidRPr="00C26F45">
        <w:rPr>
          <w:rFonts w:ascii="Verdana" w:hAnsi="Verdana"/>
          <w:b/>
          <w:sz w:val="16"/>
          <w:szCs w:val="16"/>
        </w:rPr>
        <w:t xml:space="preserve"> </w:t>
      </w:r>
      <w:r w:rsidRPr="00C26F45">
        <w:rPr>
          <w:rFonts w:ascii="Verdana" w:hAnsi="Verdana"/>
          <w:sz w:val="16"/>
          <w:szCs w:val="16"/>
        </w:rPr>
        <w:t>y 22 de abril de 2016.</w:t>
      </w:r>
    </w:p>
  </w:footnote>
  <w:footnote w:id="13">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Facultad que además </w:t>
      </w:r>
      <w:r w:rsidRPr="00C26F45">
        <w:rPr>
          <w:rFonts w:ascii="Verdana" w:hAnsi="Verdana"/>
          <w:sz w:val="16"/>
          <w:szCs w:val="16"/>
          <w:lang w:val="es-ES"/>
        </w:rPr>
        <w:t xml:space="preserve">se desprende de lo dispuesto en los artículos 33, 62.1, 62.3 y 65 de la Convención Americana y </w:t>
      </w:r>
      <w:r w:rsidRPr="00C26F45">
        <w:rPr>
          <w:rFonts w:ascii="Verdana" w:hAnsi="Verdana"/>
          <w:sz w:val="16"/>
          <w:szCs w:val="16"/>
        </w:rPr>
        <w:t>30 de su Estatuto y se encuentra regulada en el artículo 69 de su Reglamento.</w:t>
      </w:r>
    </w:p>
  </w:footnote>
  <w:footnote w:id="14">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Reparaciones relativas a: </w:t>
      </w:r>
      <w:r w:rsidRPr="00CF07CC">
        <w:rPr>
          <w:rFonts w:ascii="Verdana" w:hAnsi="Verdana"/>
          <w:sz w:val="16"/>
          <w:szCs w:val="16"/>
        </w:rPr>
        <w:t>i)</w:t>
      </w:r>
      <w:r w:rsidRPr="00C26F45">
        <w:rPr>
          <w:rFonts w:ascii="Verdana" w:hAnsi="Verdana"/>
          <w:sz w:val="16"/>
          <w:szCs w:val="16"/>
        </w:rPr>
        <w:t xml:space="preserve"> publicar en el Diario Oficial y en otro de circulación nacional en el Ecuador determinadas partes de la Sentencia, así como publicar lo anterior, traducido al francés, en un diario de amplia circulación en Francia, específicamente en la zona en la cual reside el señor Tibi </w:t>
      </w:r>
      <w:r w:rsidRPr="00C26F45">
        <w:rPr>
          <w:rFonts w:ascii="Verdana" w:hAnsi="Verdana"/>
          <w:i/>
          <w:sz w:val="16"/>
          <w:szCs w:val="16"/>
        </w:rPr>
        <w:t>(punto resolutivo décimo primero</w:t>
      </w:r>
      <w:r w:rsidR="00BC5945">
        <w:rPr>
          <w:rFonts w:ascii="Verdana" w:hAnsi="Verdana"/>
          <w:i/>
          <w:sz w:val="16"/>
          <w:szCs w:val="16"/>
        </w:rPr>
        <w:t xml:space="preserve"> de la Sentencia</w:t>
      </w:r>
      <w:r w:rsidRPr="00C26F45">
        <w:rPr>
          <w:rFonts w:ascii="Verdana" w:hAnsi="Verdana"/>
          <w:i/>
          <w:sz w:val="16"/>
          <w:szCs w:val="16"/>
        </w:rPr>
        <w:t>)</w:t>
      </w:r>
      <w:r w:rsidRPr="00C26F45">
        <w:rPr>
          <w:rFonts w:ascii="Verdana" w:hAnsi="Verdana"/>
          <w:sz w:val="16"/>
          <w:szCs w:val="16"/>
        </w:rPr>
        <w:t xml:space="preserve">; </w:t>
      </w:r>
      <w:r w:rsidRPr="00CF07CC">
        <w:rPr>
          <w:rFonts w:ascii="Verdana" w:hAnsi="Verdana"/>
          <w:sz w:val="16"/>
          <w:szCs w:val="16"/>
        </w:rPr>
        <w:t>ii)</w:t>
      </w:r>
      <w:r w:rsidRPr="00C26F45">
        <w:rPr>
          <w:rFonts w:ascii="Verdana" w:hAnsi="Verdana"/>
          <w:sz w:val="16"/>
          <w:szCs w:val="16"/>
        </w:rPr>
        <w:t xml:space="preserve"> hacer pública una declaración escrita formal emitida por altas autoridades del Estado en la que reconozca su responsabilidad internacional por los hechos a los que se refiere este caso y pedir disculpas al señor Tibi y a las demás víctimas, así como publicar dicha declaración, traducida al francés, en un diario de amplia circulación en Francia, específicamente en la zona en la cual reside el señor Tibi </w:t>
      </w:r>
      <w:r w:rsidRPr="00C26F45">
        <w:rPr>
          <w:rFonts w:ascii="Verdana" w:hAnsi="Verdana"/>
          <w:i/>
          <w:sz w:val="16"/>
          <w:szCs w:val="16"/>
        </w:rPr>
        <w:t>(punto resolutivo décimo segundo</w:t>
      </w:r>
      <w:r w:rsidR="00BC5945">
        <w:rPr>
          <w:rFonts w:ascii="Verdana" w:hAnsi="Verdana"/>
          <w:i/>
          <w:sz w:val="16"/>
          <w:szCs w:val="16"/>
        </w:rPr>
        <w:t xml:space="preserve"> de la Sentencia</w:t>
      </w:r>
      <w:r w:rsidRPr="00C26F45">
        <w:rPr>
          <w:rFonts w:ascii="Verdana" w:hAnsi="Verdana"/>
          <w:i/>
          <w:sz w:val="16"/>
          <w:szCs w:val="16"/>
        </w:rPr>
        <w:t>)</w:t>
      </w:r>
      <w:r w:rsidRPr="00C26F45">
        <w:rPr>
          <w:rFonts w:ascii="Verdana" w:hAnsi="Verdana"/>
          <w:sz w:val="16"/>
          <w:szCs w:val="16"/>
        </w:rPr>
        <w:t xml:space="preserve">; </w:t>
      </w:r>
      <w:r w:rsidRPr="00CF07CC">
        <w:rPr>
          <w:rFonts w:ascii="Verdana" w:hAnsi="Verdana"/>
          <w:sz w:val="16"/>
          <w:szCs w:val="16"/>
        </w:rPr>
        <w:t>iii)</w:t>
      </w:r>
      <w:r w:rsidRPr="00C26F45">
        <w:rPr>
          <w:rFonts w:ascii="Verdana" w:hAnsi="Verdana"/>
          <w:sz w:val="16"/>
          <w:szCs w:val="16"/>
        </w:rPr>
        <w:t xml:space="preserve"> pagar al señor Tibi y a la señora Beatrice </w:t>
      </w:r>
      <w:proofErr w:type="spellStart"/>
      <w:r w:rsidRPr="00C26F45">
        <w:rPr>
          <w:rFonts w:ascii="Verdana" w:hAnsi="Verdana"/>
          <w:sz w:val="16"/>
          <w:szCs w:val="16"/>
        </w:rPr>
        <w:t>Bauret</w:t>
      </w:r>
      <w:proofErr w:type="spellEnd"/>
      <w:r w:rsidRPr="00C26F45">
        <w:rPr>
          <w:rFonts w:ascii="Verdana" w:hAnsi="Verdana"/>
          <w:sz w:val="16"/>
          <w:szCs w:val="16"/>
        </w:rPr>
        <w:t xml:space="preserve"> las cantidades fijadas en la Sentencia por concepto de daño material </w:t>
      </w:r>
      <w:r w:rsidRPr="00C26F45">
        <w:rPr>
          <w:rFonts w:ascii="Verdana" w:hAnsi="Verdana"/>
          <w:i/>
          <w:sz w:val="16"/>
          <w:szCs w:val="16"/>
        </w:rPr>
        <w:t>(punto resolutivo décimo cuarto</w:t>
      </w:r>
      <w:r w:rsidR="00BC5945">
        <w:rPr>
          <w:rFonts w:ascii="Verdana" w:hAnsi="Verdana"/>
          <w:i/>
          <w:sz w:val="16"/>
          <w:szCs w:val="16"/>
        </w:rPr>
        <w:t xml:space="preserve"> de la Sentencia</w:t>
      </w:r>
      <w:r w:rsidRPr="00C26F45">
        <w:rPr>
          <w:rFonts w:ascii="Verdana" w:hAnsi="Verdana"/>
          <w:i/>
          <w:sz w:val="16"/>
          <w:szCs w:val="16"/>
        </w:rPr>
        <w:t>)</w:t>
      </w:r>
      <w:r w:rsidRPr="00C26F45">
        <w:rPr>
          <w:rFonts w:ascii="Verdana" w:hAnsi="Verdana"/>
          <w:sz w:val="16"/>
          <w:szCs w:val="16"/>
        </w:rPr>
        <w:t xml:space="preserve">; </w:t>
      </w:r>
      <w:r w:rsidRPr="00CF07CC">
        <w:rPr>
          <w:rFonts w:ascii="Verdana" w:hAnsi="Verdana"/>
          <w:sz w:val="16"/>
          <w:szCs w:val="16"/>
        </w:rPr>
        <w:t>iv)</w:t>
      </w:r>
      <w:r w:rsidRPr="00C26F45">
        <w:rPr>
          <w:rFonts w:ascii="Verdana" w:hAnsi="Verdana"/>
          <w:sz w:val="16"/>
          <w:szCs w:val="16"/>
        </w:rPr>
        <w:t xml:space="preserve"> pagar al señor Tibi, a la señora Beatrice </w:t>
      </w:r>
      <w:proofErr w:type="spellStart"/>
      <w:r w:rsidRPr="00C26F45">
        <w:rPr>
          <w:rFonts w:ascii="Verdana" w:hAnsi="Verdana"/>
          <w:sz w:val="16"/>
          <w:szCs w:val="16"/>
        </w:rPr>
        <w:t>Bauret</w:t>
      </w:r>
      <w:proofErr w:type="spellEnd"/>
      <w:r w:rsidRPr="00C26F45">
        <w:rPr>
          <w:rFonts w:ascii="Verdana" w:hAnsi="Verdana"/>
          <w:sz w:val="16"/>
          <w:szCs w:val="16"/>
        </w:rPr>
        <w:t xml:space="preserve">, a Sarah </w:t>
      </w:r>
      <w:proofErr w:type="spellStart"/>
      <w:r w:rsidRPr="00C26F45">
        <w:rPr>
          <w:rFonts w:ascii="Verdana" w:hAnsi="Verdana"/>
          <w:sz w:val="16"/>
          <w:szCs w:val="16"/>
        </w:rPr>
        <w:t>Vachon</w:t>
      </w:r>
      <w:proofErr w:type="spellEnd"/>
      <w:r w:rsidRPr="00C26F45">
        <w:rPr>
          <w:rFonts w:ascii="Verdana" w:hAnsi="Verdana"/>
          <w:sz w:val="16"/>
          <w:szCs w:val="16"/>
        </w:rPr>
        <w:t xml:space="preserve">, Jeanne Camila </w:t>
      </w:r>
      <w:proofErr w:type="spellStart"/>
      <w:r w:rsidRPr="00C26F45">
        <w:rPr>
          <w:rFonts w:ascii="Verdana" w:hAnsi="Verdana"/>
          <w:sz w:val="16"/>
          <w:szCs w:val="16"/>
        </w:rPr>
        <w:t>Vachon</w:t>
      </w:r>
      <w:proofErr w:type="spellEnd"/>
      <w:r w:rsidRPr="00C26F45">
        <w:rPr>
          <w:rFonts w:ascii="Verdana" w:hAnsi="Verdana"/>
          <w:sz w:val="16"/>
          <w:szCs w:val="16"/>
        </w:rPr>
        <w:t xml:space="preserve">, </w:t>
      </w:r>
      <w:proofErr w:type="spellStart"/>
      <w:r w:rsidRPr="00C26F45">
        <w:rPr>
          <w:rFonts w:ascii="Verdana" w:hAnsi="Verdana"/>
          <w:sz w:val="16"/>
          <w:szCs w:val="16"/>
        </w:rPr>
        <w:t>Lisianne</w:t>
      </w:r>
      <w:proofErr w:type="spellEnd"/>
      <w:r w:rsidRPr="00C26F45">
        <w:rPr>
          <w:rFonts w:ascii="Verdana" w:hAnsi="Verdana"/>
          <w:sz w:val="16"/>
          <w:szCs w:val="16"/>
        </w:rPr>
        <w:t xml:space="preserve"> Judith Tibi y </w:t>
      </w:r>
      <w:proofErr w:type="spellStart"/>
      <w:r w:rsidRPr="00C26F45">
        <w:rPr>
          <w:rFonts w:ascii="Verdana" w:hAnsi="Verdana"/>
          <w:sz w:val="16"/>
          <w:szCs w:val="16"/>
        </w:rPr>
        <w:t>Val</w:t>
      </w:r>
      <w:r w:rsidR="00BC5945">
        <w:rPr>
          <w:rFonts w:ascii="Verdana" w:hAnsi="Verdana"/>
          <w:sz w:val="16"/>
          <w:szCs w:val="16"/>
        </w:rPr>
        <w:t>e</w:t>
      </w:r>
      <w:r w:rsidRPr="00C26F45">
        <w:rPr>
          <w:rFonts w:ascii="Verdana" w:hAnsi="Verdana"/>
          <w:sz w:val="16"/>
          <w:szCs w:val="16"/>
        </w:rPr>
        <w:t>rian</w:t>
      </w:r>
      <w:proofErr w:type="spellEnd"/>
      <w:r w:rsidRPr="00C26F45">
        <w:rPr>
          <w:rFonts w:ascii="Verdana" w:hAnsi="Verdana"/>
          <w:sz w:val="16"/>
          <w:szCs w:val="16"/>
        </w:rPr>
        <w:t xml:space="preserve"> </w:t>
      </w:r>
      <w:proofErr w:type="spellStart"/>
      <w:r w:rsidRPr="00C26F45">
        <w:rPr>
          <w:rFonts w:ascii="Verdana" w:hAnsi="Verdana"/>
          <w:sz w:val="16"/>
          <w:szCs w:val="16"/>
        </w:rPr>
        <w:t>Edouard</w:t>
      </w:r>
      <w:proofErr w:type="spellEnd"/>
      <w:r w:rsidRPr="00C26F45">
        <w:rPr>
          <w:rFonts w:ascii="Verdana" w:hAnsi="Verdana"/>
          <w:sz w:val="16"/>
          <w:szCs w:val="16"/>
        </w:rPr>
        <w:t xml:space="preserve"> las cantidades fijadas en la Sentencia por concepto de daño inmaterial </w:t>
      </w:r>
      <w:r w:rsidRPr="00C26F45">
        <w:rPr>
          <w:rFonts w:ascii="Verdana" w:hAnsi="Verdana"/>
          <w:i/>
          <w:sz w:val="16"/>
          <w:szCs w:val="16"/>
        </w:rPr>
        <w:t>(punto resolutivos décimo quinto</w:t>
      </w:r>
      <w:r w:rsidR="00BC5945">
        <w:rPr>
          <w:rFonts w:ascii="Verdana" w:hAnsi="Verdana"/>
          <w:i/>
          <w:sz w:val="16"/>
          <w:szCs w:val="16"/>
        </w:rPr>
        <w:t xml:space="preserve"> de la Sentencia</w:t>
      </w:r>
      <w:r w:rsidRPr="00C26F45">
        <w:rPr>
          <w:rFonts w:ascii="Verdana" w:hAnsi="Verdana"/>
          <w:i/>
          <w:sz w:val="16"/>
          <w:szCs w:val="16"/>
        </w:rPr>
        <w:t>)</w:t>
      </w:r>
      <w:r w:rsidRPr="00C26F45">
        <w:rPr>
          <w:rFonts w:ascii="Verdana" w:hAnsi="Verdana"/>
          <w:sz w:val="16"/>
          <w:szCs w:val="16"/>
        </w:rPr>
        <w:t xml:space="preserve">, y </w:t>
      </w:r>
      <w:r w:rsidRPr="00CF07CC">
        <w:rPr>
          <w:rFonts w:ascii="Verdana" w:hAnsi="Verdana"/>
          <w:sz w:val="16"/>
          <w:szCs w:val="16"/>
        </w:rPr>
        <w:t>v)</w:t>
      </w:r>
      <w:r w:rsidRPr="00C26F45">
        <w:rPr>
          <w:rFonts w:ascii="Verdana" w:hAnsi="Verdana"/>
          <w:sz w:val="16"/>
          <w:szCs w:val="16"/>
        </w:rPr>
        <w:t xml:space="preserve"> pagar al señor Tibi la cantidad fijada en la Sentencia por concepto costas y gastos </w:t>
      </w:r>
      <w:r w:rsidRPr="00C26F45">
        <w:rPr>
          <w:rFonts w:ascii="Verdana" w:hAnsi="Verdana"/>
          <w:i/>
          <w:sz w:val="16"/>
          <w:szCs w:val="16"/>
        </w:rPr>
        <w:t>(punto resolutivo décimo sexto</w:t>
      </w:r>
      <w:r w:rsidR="00BC5945">
        <w:rPr>
          <w:rFonts w:ascii="Verdana" w:hAnsi="Verdana"/>
          <w:i/>
          <w:sz w:val="16"/>
          <w:szCs w:val="16"/>
        </w:rPr>
        <w:t xml:space="preserve"> de la Sentencia</w:t>
      </w:r>
      <w:r w:rsidRPr="00C26F45">
        <w:rPr>
          <w:rFonts w:ascii="Verdana" w:hAnsi="Verdana"/>
          <w:i/>
          <w:sz w:val="16"/>
          <w:szCs w:val="16"/>
        </w:rPr>
        <w:t>)</w:t>
      </w:r>
      <w:r w:rsidRPr="00C26F45">
        <w:rPr>
          <w:rFonts w:ascii="Verdana" w:hAnsi="Verdana"/>
          <w:sz w:val="16"/>
          <w:szCs w:val="16"/>
        </w:rPr>
        <w:t xml:space="preserve">. </w:t>
      </w:r>
    </w:p>
  </w:footnote>
  <w:footnote w:id="15">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Relativa a “establecer un programa de formación y capacitación para el personal judicial, del ministerio público, policial y penitenciario, incluyendo al personal médico, psiquiátrico y psicológico, sobre los principios y normas de protección de los derechos humanos en el tratamiento de los reclusos”, y a “crear un comité interinstitucional con el fin de definir y ejecutar lo</w:t>
      </w:r>
      <w:r w:rsidR="00BC5945">
        <w:rPr>
          <w:rFonts w:ascii="Verdana" w:hAnsi="Verdana"/>
          <w:sz w:val="16"/>
          <w:szCs w:val="16"/>
        </w:rPr>
        <w:t>s</w:t>
      </w:r>
      <w:r w:rsidRPr="00C26F45">
        <w:rPr>
          <w:rFonts w:ascii="Verdana" w:hAnsi="Verdana"/>
          <w:sz w:val="16"/>
          <w:szCs w:val="16"/>
        </w:rPr>
        <w:t xml:space="preserve"> programas de capacitación en derechos humanos y tratamiento de reclusos” </w:t>
      </w:r>
      <w:r w:rsidRPr="00C26F45">
        <w:rPr>
          <w:rFonts w:ascii="Verdana" w:hAnsi="Verdana"/>
          <w:i/>
          <w:sz w:val="16"/>
          <w:szCs w:val="16"/>
        </w:rPr>
        <w:t>(punto resolutivo décimo tercero</w:t>
      </w:r>
      <w:r w:rsidR="00BC5945">
        <w:rPr>
          <w:rFonts w:ascii="Verdana" w:hAnsi="Verdana"/>
          <w:i/>
          <w:sz w:val="16"/>
          <w:szCs w:val="16"/>
        </w:rPr>
        <w:t xml:space="preserve"> de la Sentencia</w:t>
      </w:r>
      <w:r w:rsidRPr="00C26F45">
        <w:rPr>
          <w:rFonts w:ascii="Verdana" w:hAnsi="Verdana"/>
          <w:i/>
          <w:sz w:val="16"/>
          <w:szCs w:val="16"/>
        </w:rPr>
        <w:t>)</w:t>
      </w:r>
      <w:r w:rsidRPr="00C26F45">
        <w:rPr>
          <w:rFonts w:ascii="Verdana" w:hAnsi="Verdana"/>
          <w:sz w:val="16"/>
          <w:szCs w:val="16"/>
        </w:rPr>
        <w:t xml:space="preserve">. El Estado cumplió con realizar capacitaciones para </w:t>
      </w:r>
      <w:r w:rsidR="00BC5945">
        <w:rPr>
          <w:rFonts w:ascii="Verdana" w:hAnsi="Verdana"/>
          <w:sz w:val="16"/>
          <w:szCs w:val="16"/>
        </w:rPr>
        <w:t xml:space="preserve">el personal de </w:t>
      </w:r>
      <w:r w:rsidRPr="00C26F45">
        <w:rPr>
          <w:rFonts w:ascii="Verdana" w:hAnsi="Verdana"/>
          <w:sz w:val="16"/>
          <w:szCs w:val="16"/>
        </w:rPr>
        <w:t xml:space="preserve">la Policía Nacional y </w:t>
      </w:r>
      <w:r w:rsidR="00BC5945" w:rsidRPr="00C26F45">
        <w:rPr>
          <w:rFonts w:ascii="Verdana" w:hAnsi="Verdana"/>
          <w:sz w:val="16"/>
          <w:szCs w:val="16"/>
        </w:rPr>
        <w:t>ju</w:t>
      </w:r>
      <w:r w:rsidR="00BC5945">
        <w:rPr>
          <w:rFonts w:ascii="Verdana" w:hAnsi="Verdana"/>
          <w:sz w:val="16"/>
          <w:szCs w:val="16"/>
        </w:rPr>
        <w:t>dicial</w:t>
      </w:r>
      <w:r w:rsidRPr="00C26F45">
        <w:rPr>
          <w:rFonts w:ascii="Verdana" w:hAnsi="Verdana"/>
          <w:sz w:val="16"/>
          <w:szCs w:val="16"/>
        </w:rPr>
        <w:t xml:space="preserve">, quedando pendiente el cumplimiento de </w:t>
      </w:r>
      <w:r w:rsidR="00BC5945">
        <w:rPr>
          <w:rFonts w:ascii="Verdana" w:hAnsi="Verdana"/>
          <w:sz w:val="16"/>
          <w:szCs w:val="16"/>
        </w:rPr>
        <w:t>las</w:t>
      </w:r>
      <w:r w:rsidR="00BC5945" w:rsidRPr="00C26F45">
        <w:rPr>
          <w:rFonts w:ascii="Verdana" w:hAnsi="Verdana"/>
          <w:sz w:val="16"/>
          <w:szCs w:val="16"/>
        </w:rPr>
        <w:t xml:space="preserve"> </w:t>
      </w:r>
      <w:r w:rsidRPr="00C26F45">
        <w:rPr>
          <w:rFonts w:ascii="Verdana" w:hAnsi="Verdana"/>
          <w:sz w:val="16"/>
          <w:szCs w:val="16"/>
        </w:rPr>
        <w:t>capacitaciones a</w:t>
      </w:r>
      <w:r w:rsidR="00BC5945">
        <w:rPr>
          <w:rFonts w:ascii="Verdana" w:hAnsi="Verdana"/>
          <w:sz w:val="16"/>
          <w:szCs w:val="16"/>
        </w:rPr>
        <w:t>l personal</w:t>
      </w:r>
      <w:r w:rsidRPr="00C26F45">
        <w:rPr>
          <w:rFonts w:ascii="Verdana" w:hAnsi="Verdana"/>
          <w:sz w:val="16"/>
          <w:szCs w:val="16"/>
        </w:rPr>
        <w:t xml:space="preserve"> </w:t>
      </w:r>
      <w:r w:rsidR="00BC5945">
        <w:rPr>
          <w:rFonts w:ascii="Verdana" w:hAnsi="Verdana"/>
          <w:sz w:val="16"/>
          <w:szCs w:val="16"/>
        </w:rPr>
        <w:t xml:space="preserve">del ministerio público y </w:t>
      </w:r>
      <w:r w:rsidRPr="00C26F45">
        <w:rPr>
          <w:rFonts w:ascii="Verdana" w:hAnsi="Verdana"/>
          <w:sz w:val="16"/>
          <w:szCs w:val="16"/>
        </w:rPr>
        <w:t xml:space="preserve">penitenciario </w:t>
      </w:r>
      <w:r w:rsidR="00BC5945">
        <w:rPr>
          <w:rFonts w:ascii="Verdana" w:hAnsi="Verdana"/>
          <w:sz w:val="16"/>
          <w:szCs w:val="16"/>
        </w:rPr>
        <w:t xml:space="preserve">(incluyendo al </w:t>
      </w:r>
      <w:r w:rsidRPr="00C26F45">
        <w:rPr>
          <w:rFonts w:ascii="Verdana" w:hAnsi="Verdana"/>
          <w:sz w:val="16"/>
          <w:szCs w:val="16"/>
        </w:rPr>
        <w:t>personal de salud</w:t>
      </w:r>
      <w:r w:rsidR="00BC5945">
        <w:rPr>
          <w:rFonts w:ascii="Verdana" w:hAnsi="Verdana"/>
          <w:sz w:val="16"/>
          <w:szCs w:val="16"/>
        </w:rPr>
        <w:t>)</w:t>
      </w:r>
      <w:r w:rsidRPr="00C26F45">
        <w:rPr>
          <w:rFonts w:ascii="Verdana" w:hAnsi="Verdana"/>
          <w:sz w:val="16"/>
          <w:szCs w:val="16"/>
        </w:rPr>
        <w:t>, así como la creación del referido comité interinstitucional.</w:t>
      </w:r>
    </w:p>
  </w:footnote>
  <w:footnote w:id="16">
    <w:p w:rsidR="00810FC2" w:rsidRPr="000C7CDF" w:rsidRDefault="00810FC2" w:rsidP="00810FC2">
      <w:pPr>
        <w:pStyle w:val="Textonotapie"/>
        <w:tabs>
          <w:tab w:val="left" w:pos="426"/>
        </w:tabs>
        <w:jc w:val="both"/>
        <w:rPr>
          <w:rFonts w:ascii="Verdana" w:hAnsi="Verdana"/>
          <w:sz w:val="16"/>
          <w:szCs w:val="16"/>
        </w:rPr>
      </w:pPr>
      <w:r w:rsidRPr="000C7CDF">
        <w:rPr>
          <w:rStyle w:val="Refdenotaalpie"/>
          <w:rFonts w:ascii="Verdana" w:hAnsi="Verdana"/>
          <w:sz w:val="16"/>
          <w:szCs w:val="16"/>
        </w:rPr>
        <w:footnoteRef/>
      </w:r>
      <w:r w:rsidRPr="000C7CDF">
        <w:rPr>
          <w:rFonts w:ascii="Verdana" w:hAnsi="Verdana"/>
          <w:sz w:val="16"/>
          <w:szCs w:val="16"/>
        </w:rPr>
        <w:t xml:space="preserve"> </w:t>
      </w:r>
      <w:r w:rsidRPr="000C7CDF">
        <w:rPr>
          <w:rFonts w:ascii="Verdana" w:hAnsi="Verdana"/>
          <w:sz w:val="16"/>
          <w:szCs w:val="16"/>
        </w:rPr>
        <w:tab/>
      </w:r>
      <w:r w:rsidRPr="000C7CDF">
        <w:rPr>
          <w:rFonts w:ascii="Verdana" w:hAnsi="Verdana"/>
          <w:i/>
          <w:sz w:val="16"/>
          <w:szCs w:val="16"/>
        </w:rPr>
        <w:t>Cfr. Caso Cinco Pensionistas Vs. Perú</w:t>
      </w:r>
      <w:r>
        <w:rPr>
          <w:rFonts w:ascii="Verdana" w:hAnsi="Verdana"/>
          <w:i/>
          <w:sz w:val="16"/>
          <w:szCs w:val="16"/>
        </w:rPr>
        <w:t>.</w:t>
      </w:r>
      <w:r w:rsidRPr="000C7CDF">
        <w:rPr>
          <w:rFonts w:ascii="Verdana" w:hAnsi="Verdana"/>
          <w:i/>
          <w:sz w:val="16"/>
          <w:szCs w:val="16"/>
        </w:rPr>
        <w:t xml:space="preserve"> Supervisión de Cumplimiento de Sentencia.</w:t>
      </w:r>
      <w:r>
        <w:rPr>
          <w:rFonts w:ascii="Verdana" w:hAnsi="Verdana"/>
          <w:sz w:val="16"/>
          <w:szCs w:val="16"/>
        </w:rPr>
        <w:t xml:space="preserve"> </w:t>
      </w:r>
      <w:r w:rsidRPr="000C7CDF">
        <w:rPr>
          <w:rFonts w:ascii="Verdana" w:hAnsi="Verdana"/>
          <w:sz w:val="16"/>
          <w:szCs w:val="16"/>
        </w:rPr>
        <w:t xml:space="preserve">Resolución de la Corte de 17 de noviembre de 2004, Considerando quinto, y </w:t>
      </w:r>
      <w:r w:rsidRPr="00062135">
        <w:rPr>
          <w:rStyle w:val="Textoennegrita"/>
          <w:rFonts w:ascii="Verdana" w:hAnsi="Verdana"/>
          <w:b w:val="0"/>
          <w:i/>
          <w:color w:val="000000"/>
          <w:sz w:val="16"/>
          <w:szCs w:val="16"/>
          <w:shd w:val="clear" w:color="auto" w:fill="FFFFFF"/>
        </w:rPr>
        <w:t xml:space="preserve">Caso </w:t>
      </w:r>
      <w:proofErr w:type="spellStart"/>
      <w:r w:rsidRPr="00062135">
        <w:rPr>
          <w:rStyle w:val="Textoennegrita"/>
          <w:rFonts w:ascii="Verdana" w:hAnsi="Verdana"/>
          <w:b w:val="0"/>
          <w:i/>
          <w:color w:val="000000"/>
          <w:sz w:val="16"/>
          <w:szCs w:val="16"/>
          <w:shd w:val="clear" w:color="auto" w:fill="FFFFFF"/>
        </w:rPr>
        <w:t>Palamara</w:t>
      </w:r>
      <w:proofErr w:type="spellEnd"/>
      <w:r w:rsidRPr="00062135">
        <w:rPr>
          <w:rStyle w:val="Textoennegrita"/>
          <w:rFonts w:ascii="Verdana" w:hAnsi="Verdana"/>
          <w:b w:val="0"/>
          <w:i/>
          <w:color w:val="000000"/>
          <w:sz w:val="16"/>
          <w:szCs w:val="16"/>
          <w:shd w:val="clear" w:color="auto" w:fill="FFFFFF"/>
        </w:rPr>
        <w:t xml:space="preserve"> Iribarne Vs. Chile. Supervisión de Cumplimiento de Sentencia.</w:t>
      </w:r>
      <w:r w:rsidRPr="00062135">
        <w:rPr>
          <w:rStyle w:val="Textoennegrita"/>
          <w:rFonts w:ascii="Verdana" w:hAnsi="Verdana"/>
          <w:b w:val="0"/>
          <w:color w:val="000000"/>
          <w:sz w:val="16"/>
          <w:szCs w:val="16"/>
          <w:shd w:val="clear" w:color="auto" w:fill="FFFFFF"/>
        </w:rPr>
        <w:t xml:space="preserve"> Resolución de la Corte Interamericana de Derechos Humanos de 1 de septiembre de 2016, Considerando segundo.</w:t>
      </w:r>
    </w:p>
  </w:footnote>
  <w:footnote w:id="17">
    <w:p w:rsidR="00810FC2" w:rsidRPr="00062135" w:rsidRDefault="00810FC2" w:rsidP="00810FC2">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lang w:val="de-DE"/>
        </w:rPr>
        <w:t xml:space="preserve"> </w:t>
      </w:r>
      <w:r w:rsidRPr="00577323">
        <w:rPr>
          <w:rFonts w:ascii="Verdana" w:hAnsi="Verdana"/>
          <w:sz w:val="16"/>
          <w:szCs w:val="16"/>
          <w:lang w:val="de-DE"/>
        </w:rPr>
        <w:tab/>
      </w:r>
      <w:r w:rsidRPr="00577323">
        <w:rPr>
          <w:rFonts w:ascii="Verdana" w:hAnsi="Verdana"/>
          <w:i/>
          <w:noProof/>
          <w:color w:val="000000"/>
          <w:sz w:val="16"/>
          <w:szCs w:val="16"/>
          <w:lang w:val="de-DE"/>
        </w:rPr>
        <w:t xml:space="preserve">Cfr. Caso Ivcher Bronstein Vs. </w:t>
      </w:r>
      <w:r w:rsidRPr="00577323">
        <w:rPr>
          <w:rFonts w:ascii="Verdana" w:hAnsi="Verdana"/>
          <w:i/>
          <w:noProof/>
          <w:color w:val="000000"/>
          <w:sz w:val="16"/>
          <w:szCs w:val="16"/>
          <w:lang w:val="es-ES"/>
        </w:rPr>
        <w:t>Perú. Competencia.</w:t>
      </w:r>
      <w:r w:rsidRPr="00577323">
        <w:rPr>
          <w:rFonts w:ascii="Verdana" w:hAnsi="Verdana"/>
          <w:noProof/>
          <w:color w:val="000000"/>
          <w:sz w:val="16"/>
          <w:szCs w:val="16"/>
          <w:lang w:val="es-ES"/>
        </w:rPr>
        <w:t xml:space="preserve"> Sentencia de de la Corte Interamericana de Derechos Humanos de 24 de septiembre de 1999.</w:t>
      </w:r>
      <w:r w:rsidRPr="00577323">
        <w:rPr>
          <w:rFonts w:ascii="Verdana" w:hAnsi="Verdana"/>
          <w:color w:val="000000"/>
          <w:sz w:val="16"/>
          <w:szCs w:val="16"/>
          <w:lang w:val="es-ES"/>
        </w:rPr>
        <w:t xml:space="preserve"> </w:t>
      </w:r>
      <w:r w:rsidRPr="00577323">
        <w:rPr>
          <w:rFonts w:ascii="Verdana" w:hAnsi="Verdana"/>
          <w:noProof/>
          <w:color w:val="000000"/>
          <w:sz w:val="16"/>
          <w:szCs w:val="16"/>
          <w:lang w:val="es-ES"/>
        </w:rPr>
        <w:t xml:space="preserve">Serie C No. 54, párr. 37, </w:t>
      </w:r>
      <w:r w:rsidRPr="00577323">
        <w:rPr>
          <w:rFonts w:ascii="Verdana" w:hAnsi="Verdana"/>
          <w:bCs/>
          <w:color w:val="000000"/>
          <w:sz w:val="16"/>
          <w:szCs w:val="16"/>
          <w:lang w:bidi="en-US"/>
        </w:rPr>
        <w:t xml:space="preserve">y </w:t>
      </w:r>
      <w:r w:rsidRPr="00062135">
        <w:rPr>
          <w:rStyle w:val="Textoennegrita"/>
          <w:rFonts w:ascii="Verdana" w:hAnsi="Verdana"/>
          <w:b w:val="0"/>
          <w:i/>
          <w:color w:val="000000"/>
          <w:sz w:val="16"/>
          <w:szCs w:val="16"/>
          <w:shd w:val="clear" w:color="auto" w:fill="FFFFFF"/>
        </w:rPr>
        <w:t xml:space="preserve">Caso </w:t>
      </w:r>
      <w:proofErr w:type="spellStart"/>
      <w:r w:rsidRPr="00062135">
        <w:rPr>
          <w:rStyle w:val="Textoennegrita"/>
          <w:rFonts w:ascii="Verdana" w:hAnsi="Verdana"/>
          <w:b w:val="0"/>
          <w:i/>
          <w:color w:val="000000"/>
          <w:sz w:val="16"/>
          <w:szCs w:val="16"/>
          <w:shd w:val="clear" w:color="auto" w:fill="FFFFFF"/>
        </w:rPr>
        <w:t>Palamara</w:t>
      </w:r>
      <w:proofErr w:type="spellEnd"/>
      <w:r w:rsidRPr="00062135">
        <w:rPr>
          <w:rStyle w:val="Textoennegrita"/>
          <w:rFonts w:ascii="Verdana" w:hAnsi="Verdana"/>
          <w:b w:val="0"/>
          <w:i/>
          <w:color w:val="000000"/>
          <w:sz w:val="16"/>
          <w:szCs w:val="16"/>
          <w:shd w:val="clear" w:color="auto" w:fill="FFFFFF"/>
        </w:rPr>
        <w:t xml:space="preserve"> Iribarne Vs. Chile. Supervisión de Cumplimiento de Sentencia</w:t>
      </w:r>
      <w:r w:rsidR="009E4139">
        <w:rPr>
          <w:rStyle w:val="Textoennegrita"/>
          <w:rFonts w:ascii="Verdana" w:hAnsi="Verdana"/>
          <w:b w:val="0"/>
          <w:i/>
          <w:color w:val="000000"/>
          <w:sz w:val="16"/>
          <w:szCs w:val="16"/>
          <w:shd w:val="clear" w:color="auto" w:fill="FFFFFF"/>
        </w:rPr>
        <w:t xml:space="preserve">, supra </w:t>
      </w:r>
      <w:r w:rsidR="009E4139" w:rsidRPr="009E4139">
        <w:rPr>
          <w:rStyle w:val="Textoennegrita"/>
          <w:rFonts w:ascii="Verdana" w:hAnsi="Verdana"/>
          <w:b w:val="0"/>
          <w:color w:val="000000"/>
          <w:sz w:val="16"/>
          <w:szCs w:val="16"/>
          <w:shd w:val="clear" w:color="auto" w:fill="FFFFFF"/>
        </w:rPr>
        <w:t>nota 15</w:t>
      </w:r>
      <w:r w:rsidR="009E4139">
        <w:rPr>
          <w:rStyle w:val="Textoennegrita"/>
          <w:rFonts w:ascii="Verdana" w:hAnsi="Verdana"/>
          <w:b w:val="0"/>
          <w:i/>
          <w:color w:val="000000"/>
          <w:sz w:val="16"/>
          <w:szCs w:val="16"/>
          <w:shd w:val="clear" w:color="auto" w:fill="FFFFFF"/>
        </w:rPr>
        <w:t>,</w:t>
      </w:r>
      <w:r w:rsidRPr="00062135">
        <w:rPr>
          <w:rStyle w:val="Textoennegrita"/>
          <w:rFonts w:ascii="Verdana" w:hAnsi="Verdana"/>
          <w:b w:val="0"/>
          <w:color w:val="000000"/>
          <w:sz w:val="16"/>
          <w:szCs w:val="16"/>
          <w:shd w:val="clear" w:color="auto" w:fill="FFFFFF"/>
        </w:rPr>
        <w:t xml:space="preserve"> Considerando tercero.</w:t>
      </w:r>
    </w:p>
  </w:footnote>
  <w:footnote w:id="18">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Style w:val="Textoennegrita"/>
          <w:rFonts w:ascii="Verdana" w:hAnsi="Verdana"/>
          <w:b w:val="0"/>
          <w:i/>
          <w:color w:val="000000"/>
          <w:sz w:val="16"/>
          <w:szCs w:val="16"/>
          <w:shd w:val="clear" w:color="auto" w:fill="FFFFFF"/>
        </w:rPr>
        <w:t xml:space="preserve">Cfr. Caso Tibi, supra </w:t>
      </w:r>
      <w:r w:rsidRPr="00C26F45">
        <w:rPr>
          <w:rStyle w:val="Textoennegrita"/>
          <w:rFonts w:ascii="Verdana" w:hAnsi="Verdana"/>
          <w:b w:val="0"/>
          <w:color w:val="000000"/>
          <w:sz w:val="16"/>
          <w:szCs w:val="16"/>
          <w:shd w:val="clear" w:color="auto" w:fill="FFFFFF"/>
        </w:rPr>
        <w:t>nota 1, párr. 255.</w:t>
      </w:r>
    </w:p>
  </w:footnote>
  <w:footnote w:id="19">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Además, en el referido párrafo</w:t>
      </w:r>
      <w:r w:rsidR="00810FC2">
        <w:rPr>
          <w:rFonts w:ascii="Verdana" w:hAnsi="Verdana"/>
          <w:sz w:val="16"/>
          <w:szCs w:val="16"/>
        </w:rPr>
        <w:t xml:space="preserve"> de la Sentencia</w:t>
      </w:r>
      <w:r w:rsidRPr="00C26F45">
        <w:rPr>
          <w:rFonts w:ascii="Verdana" w:hAnsi="Verdana"/>
          <w:sz w:val="16"/>
          <w:szCs w:val="16"/>
        </w:rPr>
        <w:t xml:space="preserve"> la Corte estableció que “[l]a víctima debe tener pleno acceso y capacidad de actuar en todas las etapas e instancias de la investigación y el juicio correspondiente, de acuerdo con la ley interna y las normas de la Convención Americana” y que </w:t>
      </w:r>
      <w:r>
        <w:rPr>
          <w:rFonts w:ascii="Verdana" w:hAnsi="Verdana"/>
          <w:sz w:val="16"/>
          <w:szCs w:val="16"/>
        </w:rPr>
        <w:t>“</w:t>
      </w:r>
      <w:r w:rsidRPr="00C26F45">
        <w:rPr>
          <w:rFonts w:ascii="Verdana" w:hAnsi="Verdana"/>
          <w:sz w:val="16"/>
          <w:szCs w:val="16"/>
        </w:rPr>
        <w:t>[l]os resultados del proceso deberán ser públicamente divulgados, para que la</w:t>
      </w:r>
      <w:r>
        <w:rPr>
          <w:rFonts w:ascii="Verdana" w:hAnsi="Verdana"/>
          <w:sz w:val="16"/>
          <w:szCs w:val="16"/>
        </w:rPr>
        <w:t>s</w:t>
      </w:r>
      <w:r w:rsidRPr="00C26F45">
        <w:rPr>
          <w:rFonts w:ascii="Verdana" w:hAnsi="Verdana"/>
          <w:sz w:val="16"/>
          <w:szCs w:val="16"/>
        </w:rPr>
        <w:t xml:space="preserve"> sociedad</w:t>
      </w:r>
      <w:r>
        <w:rPr>
          <w:rFonts w:ascii="Verdana" w:hAnsi="Verdana"/>
          <w:sz w:val="16"/>
          <w:szCs w:val="16"/>
        </w:rPr>
        <w:t>es</w:t>
      </w:r>
      <w:r w:rsidRPr="00C26F45">
        <w:rPr>
          <w:rFonts w:ascii="Verdana" w:hAnsi="Verdana"/>
          <w:sz w:val="16"/>
          <w:szCs w:val="16"/>
        </w:rPr>
        <w:t xml:space="preserve"> ecuatoriana y francesa conozcan la verdad”.</w:t>
      </w:r>
    </w:p>
  </w:footnote>
  <w:footnote w:id="20">
    <w:p w:rsidR="00B01195" w:rsidRPr="00F35BBF" w:rsidRDefault="00B01195" w:rsidP="00C26F45">
      <w:pPr>
        <w:pStyle w:val="Prrafodelista"/>
        <w:tabs>
          <w:tab w:val="left" w:pos="426"/>
        </w:tabs>
        <w:autoSpaceDE w:val="0"/>
        <w:autoSpaceDN w:val="0"/>
        <w:adjustRightInd w:val="0"/>
        <w:spacing w:after="0" w:line="240" w:lineRule="auto"/>
        <w:ind w:left="0"/>
        <w:contextualSpacing w:val="0"/>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La denuncia sobre detención arbitraria, fue presentada ante la Fiscalía Distrital de Pichincha</w:t>
      </w:r>
      <w:r w:rsidR="00810FC2">
        <w:rPr>
          <w:rFonts w:ascii="Verdana" w:hAnsi="Verdana"/>
          <w:sz w:val="16"/>
          <w:szCs w:val="16"/>
        </w:rPr>
        <w:t>,</w:t>
      </w:r>
      <w:r w:rsidRPr="00C26F45">
        <w:rPr>
          <w:rFonts w:ascii="Verdana" w:hAnsi="Verdana"/>
          <w:sz w:val="16"/>
          <w:szCs w:val="16"/>
        </w:rPr>
        <w:t xml:space="preserve"> y las otras dos, referentes a las violaciones al debido proceso y a la tortura, fueron presentadas ante la Fiscalía General del Estado. </w:t>
      </w:r>
      <w:r w:rsidR="00E453DF" w:rsidRPr="00CF07CC">
        <w:rPr>
          <w:rFonts w:ascii="Verdana" w:hAnsi="Verdana"/>
          <w:i/>
          <w:sz w:val="16"/>
          <w:szCs w:val="16"/>
        </w:rPr>
        <w:t xml:space="preserve">Cfr. </w:t>
      </w:r>
      <w:r w:rsidR="00E453DF" w:rsidRPr="00F35BBF">
        <w:rPr>
          <w:rFonts w:ascii="Verdana" w:hAnsi="Verdana"/>
          <w:i/>
          <w:sz w:val="16"/>
          <w:szCs w:val="16"/>
        </w:rPr>
        <w:t>Caso Tibi, supra</w:t>
      </w:r>
      <w:r w:rsidR="00E453DF" w:rsidRPr="00F35BBF">
        <w:rPr>
          <w:rFonts w:ascii="Verdana" w:hAnsi="Verdana"/>
          <w:sz w:val="16"/>
          <w:szCs w:val="16"/>
        </w:rPr>
        <w:t xml:space="preserve"> nota 4, Considerando segundo a), y </w:t>
      </w:r>
      <w:r w:rsidR="00E453DF" w:rsidRPr="00F35BBF">
        <w:rPr>
          <w:rFonts w:ascii="Verdana" w:hAnsi="Verdana"/>
          <w:i/>
          <w:sz w:val="16"/>
          <w:szCs w:val="16"/>
        </w:rPr>
        <w:t>Caso Tibi, supra</w:t>
      </w:r>
      <w:r w:rsidR="00E453DF" w:rsidRPr="00F35BBF">
        <w:rPr>
          <w:rFonts w:ascii="Verdana" w:hAnsi="Verdana"/>
          <w:sz w:val="16"/>
          <w:szCs w:val="16"/>
        </w:rPr>
        <w:t xml:space="preserve"> nota 5, Considerando séptimo.</w:t>
      </w:r>
    </w:p>
  </w:footnote>
  <w:footnote w:id="21">
    <w:p w:rsidR="00B01195" w:rsidRPr="00C26F45" w:rsidRDefault="00B01195" w:rsidP="00C26F45">
      <w:pPr>
        <w:pStyle w:val="Textonotapie"/>
        <w:tabs>
          <w:tab w:val="left" w:pos="426"/>
        </w:tabs>
        <w:jc w:val="both"/>
        <w:rPr>
          <w:rFonts w:ascii="Verdana" w:hAnsi="Verdana"/>
          <w:sz w:val="16"/>
          <w:szCs w:val="16"/>
        </w:rPr>
      </w:pPr>
      <w:r w:rsidRPr="00F35BBF">
        <w:rPr>
          <w:rStyle w:val="Refdenotaalpie"/>
          <w:rFonts w:ascii="Verdana" w:hAnsi="Verdana"/>
          <w:sz w:val="16"/>
          <w:szCs w:val="16"/>
        </w:rPr>
        <w:footnoteRef/>
      </w:r>
      <w:r w:rsidRPr="00F35BBF">
        <w:rPr>
          <w:rFonts w:ascii="Verdana" w:hAnsi="Verdana"/>
          <w:sz w:val="16"/>
          <w:szCs w:val="16"/>
        </w:rPr>
        <w:t xml:space="preserve"> </w:t>
      </w:r>
      <w:r w:rsidRPr="00F35BBF">
        <w:rPr>
          <w:rFonts w:ascii="Verdana" w:hAnsi="Verdana"/>
          <w:sz w:val="16"/>
          <w:szCs w:val="16"/>
        </w:rPr>
        <w:tab/>
      </w:r>
      <w:r w:rsidR="009E4139" w:rsidRPr="00F35BBF">
        <w:rPr>
          <w:rFonts w:ascii="Verdana" w:hAnsi="Verdana"/>
          <w:sz w:val="16"/>
          <w:szCs w:val="16"/>
        </w:rPr>
        <w:t>En dicha Resolución se dejó constancia de lo informado por el Estado en relación con la reactivación en el año 2010 del proceso de investigación, y que dentro de la indagación previa 3064-05 se habían ordenado diversas diligencias r</w:t>
      </w:r>
      <w:r w:rsidRPr="00F35BBF">
        <w:rPr>
          <w:rFonts w:ascii="Verdana" w:hAnsi="Verdana"/>
          <w:sz w:val="16"/>
          <w:szCs w:val="16"/>
        </w:rPr>
        <w:t xml:space="preserve">elativas a: i) la recepción de las versiones del Teniente Coronel Abraham Correa y Ángel Rubio; ii) la emisión de un oficio al Director Nacional de Antinarcóticos para que certifique los nombres de los miembros de la policía que intervinieron en la detención del señor Tibi; iii) la emisión de un oficio a la Dirección Nacional de Rehabilitación para que remita los nombres de los guías penitenciarios que laboraron los días en los que el señor Tibi se encontraba bajo custodia, y iv) solicitud al señor Tibi para que presentara los originales de las historias clínicas o exámenes médico legales. </w:t>
      </w:r>
      <w:r w:rsidR="009E4139" w:rsidRPr="00F35BBF">
        <w:rPr>
          <w:rFonts w:ascii="Verdana" w:hAnsi="Verdana"/>
          <w:sz w:val="16"/>
          <w:szCs w:val="16"/>
        </w:rPr>
        <w:t>También se dejó constancia de lo informado por el Estado en el sentido de que en el año 2009 se realizó una reunión entre la Fiscalía General de la Nación y el Ministerio de Justicia y Derechos Humanos.</w:t>
      </w:r>
      <w:r w:rsidR="009E4139">
        <w:rPr>
          <w:rFonts w:ascii="Verdana" w:hAnsi="Verdana"/>
          <w:sz w:val="16"/>
          <w:szCs w:val="16"/>
        </w:rPr>
        <w:t xml:space="preserve"> </w:t>
      </w:r>
      <w:r w:rsidR="00E453DF" w:rsidRPr="005F4925">
        <w:rPr>
          <w:rFonts w:ascii="Verdana" w:hAnsi="Verdana"/>
          <w:i/>
          <w:sz w:val="16"/>
          <w:szCs w:val="16"/>
        </w:rPr>
        <w:t>Cfr. Caso Tibi, supra</w:t>
      </w:r>
      <w:r w:rsidR="00E453DF">
        <w:rPr>
          <w:rFonts w:ascii="Verdana" w:hAnsi="Verdana"/>
          <w:sz w:val="16"/>
          <w:szCs w:val="16"/>
        </w:rPr>
        <w:t xml:space="preserve"> nota 6, Considerandos sexto y noveno.</w:t>
      </w:r>
    </w:p>
  </w:footnote>
  <w:footnote w:id="22">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00E453DF" w:rsidRPr="005F4925">
        <w:rPr>
          <w:rFonts w:ascii="Verdana" w:hAnsi="Verdana"/>
          <w:i/>
          <w:sz w:val="16"/>
          <w:szCs w:val="16"/>
        </w:rPr>
        <w:t>Cfr. Caso Tibi, supra</w:t>
      </w:r>
      <w:r w:rsidR="00E453DF">
        <w:rPr>
          <w:rFonts w:ascii="Verdana" w:hAnsi="Verdana"/>
          <w:sz w:val="16"/>
          <w:szCs w:val="16"/>
        </w:rPr>
        <w:t xml:space="preserve"> nota 6, Considerando noveno</w:t>
      </w:r>
      <w:r w:rsidR="00B35657">
        <w:rPr>
          <w:rFonts w:ascii="Verdana" w:hAnsi="Verdana"/>
          <w:sz w:val="16"/>
          <w:szCs w:val="16"/>
        </w:rPr>
        <w:t>.</w:t>
      </w:r>
      <w:r w:rsidR="00E453DF" w:rsidRPr="00C26F45" w:rsidDel="0028244A">
        <w:rPr>
          <w:rFonts w:ascii="Verdana" w:hAnsi="Verdana"/>
          <w:b/>
          <w:sz w:val="16"/>
          <w:szCs w:val="16"/>
        </w:rPr>
        <w:t xml:space="preserve"> </w:t>
      </w:r>
    </w:p>
  </w:footnote>
  <w:footnote w:id="23">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Según el Estado, la indagación previa dio inicio “[m]</w:t>
      </w:r>
      <w:proofErr w:type="spellStart"/>
      <w:r w:rsidRPr="00C26F45">
        <w:rPr>
          <w:rFonts w:ascii="Verdana" w:hAnsi="Verdana"/>
          <w:sz w:val="16"/>
          <w:szCs w:val="16"/>
        </w:rPr>
        <w:t>ediante</w:t>
      </w:r>
      <w:proofErr w:type="spellEnd"/>
      <w:r w:rsidRPr="00C26F45">
        <w:rPr>
          <w:rFonts w:ascii="Verdana" w:hAnsi="Verdana"/>
          <w:sz w:val="16"/>
          <w:szCs w:val="16"/>
        </w:rPr>
        <w:t xml:space="preserve"> resolución de 4 de julio de 2005”, con el fin de “determinar la responsabilidad”: a) “de los miembros de los oficiales y agentes de policía de la INTERPOL que actuaron en el Operativo ‘Camarón’ y detuvieron al señor Tibi”, b) de “los agentes fiscales y jueces que intervinieron en los procesos penales contra el señor Tibi y que se avocaron conocimiento de los recursos por él interpuestos”, y c) de “los guías penitenciarios que torturaron al señor Tibi durante el tiempo que él estuvo detenido en la ex Penitenciaría del Litoral en la ciudad de Guayaquil”.</w:t>
      </w:r>
    </w:p>
  </w:footnote>
  <w:footnote w:id="24">
    <w:p w:rsidR="00B01195" w:rsidRPr="00C26F45" w:rsidRDefault="00B01195" w:rsidP="00C26F45">
      <w:pPr>
        <w:pStyle w:val="Textonotapie"/>
        <w:tabs>
          <w:tab w:val="left" w:pos="426"/>
        </w:tabs>
        <w:jc w:val="both"/>
        <w:rPr>
          <w:rFonts w:ascii="Verdana" w:hAnsi="Verdana"/>
          <w:b/>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Según el Estado esta comisión se creó en mayo de 2007 “con el fin de que se investigue los hechos violatorios </w:t>
      </w:r>
      <w:r w:rsidR="00E453DF">
        <w:rPr>
          <w:rFonts w:ascii="Verdana" w:hAnsi="Verdana"/>
          <w:sz w:val="16"/>
          <w:szCs w:val="16"/>
        </w:rPr>
        <w:t>a los</w:t>
      </w:r>
      <w:r w:rsidRPr="00C26F45">
        <w:rPr>
          <w:rFonts w:ascii="Verdana" w:hAnsi="Verdana"/>
          <w:sz w:val="16"/>
          <w:szCs w:val="16"/>
        </w:rPr>
        <w:t xml:space="preserve"> derechos humanos ocurridos entre el 4 de octubre de 1983 y el 31 de diciembre de 2008</w:t>
      </w:r>
      <w:r w:rsidR="00080EA6">
        <w:rPr>
          <w:rFonts w:ascii="Verdana" w:hAnsi="Verdana"/>
          <w:sz w:val="16"/>
          <w:szCs w:val="16"/>
        </w:rPr>
        <w:t>, y el 19 de julio de 2010, la Comisión hizo entrega de su informe final</w:t>
      </w:r>
      <w:r w:rsidRPr="00C26F45">
        <w:rPr>
          <w:rFonts w:ascii="Verdana" w:hAnsi="Verdana"/>
          <w:sz w:val="16"/>
          <w:szCs w:val="16"/>
        </w:rPr>
        <w:t>”.</w:t>
      </w:r>
      <w:r w:rsidR="00080EA6">
        <w:rPr>
          <w:rFonts w:ascii="Verdana" w:hAnsi="Verdana"/>
          <w:sz w:val="16"/>
          <w:szCs w:val="16"/>
        </w:rPr>
        <w:t xml:space="preserve"> Asimismo, indicó que “[c]</w:t>
      </w:r>
      <w:proofErr w:type="spellStart"/>
      <w:r w:rsidR="00080EA6">
        <w:rPr>
          <w:rFonts w:ascii="Verdana" w:hAnsi="Verdana"/>
          <w:sz w:val="16"/>
          <w:szCs w:val="16"/>
        </w:rPr>
        <w:t>on</w:t>
      </w:r>
      <w:proofErr w:type="spellEnd"/>
      <w:r w:rsidR="00080EA6">
        <w:rPr>
          <w:rFonts w:ascii="Verdana" w:hAnsi="Verdana"/>
          <w:sz w:val="16"/>
          <w:szCs w:val="16"/>
        </w:rPr>
        <w:t xml:space="preserve"> el propósito de investigar los casos en mención, la Fiscalía General del Estado creó la Unidad especial de la Comisión de la Verdad [en] agosto de 2010, la cual se amplió en el año 2012, constituyéndose la Dirección de Derechos Humanos y Comisión de la Verdad”. Además, aclaró que “si bien el caso del </w:t>
      </w:r>
      <w:proofErr w:type="gramStart"/>
      <w:r w:rsidR="00080EA6">
        <w:rPr>
          <w:rFonts w:ascii="Verdana" w:hAnsi="Verdana"/>
          <w:sz w:val="16"/>
          <w:szCs w:val="16"/>
        </w:rPr>
        <w:t>s[</w:t>
      </w:r>
      <w:proofErr w:type="spellStart"/>
      <w:proofErr w:type="gramEnd"/>
      <w:r w:rsidR="00080EA6">
        <w:rPr>
          <w:rFonts w:ascii="Verdana" w:hAnsi="Verdana"/>
          <w:sz w:val="16"/>
          <w:szCs w:val="16"/>
        </w:rPr>
        <w:t>eñor</w:t>
      </w:r>
      <w:proofErr w:type="spellEnd"/>
      <w:r w:rsidR="00080EA6">
        <w:rPr>
          <w:rFonts w:ascii="Verdana" w:hAnsi="Verdana"/>
          <w:sz w:val="16"/>
          <w:szCs w:val="16"/>
        </w:rPr>
        <w:t xml:space="preserve">] Tibi no se halla dentro de los casos investigados por la Comisión de la Verdad, al ser relativo a la vulneración de derechos humanos, se encuentra a cargo de la mencionada Fiscalía General del Estado”. </w:t>
      </w:r>
    </w:p>
  </w:footnote>
  <w:footnote w:id="25">
    <w:p w:rsidR="00B01195" w:rsidRPr="00C26F45" w:rsidRDefault="00B01195" w:rsidP="00C26F45">
      <w:pPr>
        <w:pStyle w:val="Prrafodelista"/>
        <w:tabs>
          <w:tab w:val="left" w:pos="426"/>
        </w:tabs>
        <w:autoSpaceDE w:val="0"/>
        <w:autoSpaceDN w:val="0"/>
        <w:adjustRightInd w:val="0"/>
        <w:spacing w:after="0" w:line="240" w:lineRule="auto"/>
        <w:ind w:left="0"/>
        <w:contextualSpacing w:val="0"/>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A saber: </w:t>
      </w:r>
      <w:r w:rsidRPr="00C26F45">
        <w:rPr>
          <w:rFonts w:ascii="Verdana" w:hAnsi="Verdana" w:cs="Arial"/>
          <w:sz w:val="16"/>
          <w:szCs w:val="16"/>
        </w:rPr>
        <w:t xml:space="preserve">(i) “la Oficina Central de la INTERPOL, [a] la Dirección Antinarcóticos, a la Dirección Nacional de Personal de la </w:t>
      </w:r>
      <w:r w:rsidR="005C116B" w:rsidRPr="00C26F45">
        <w:rPr>
          <w:rFonts w:ascii="Verdana" w:hAnsi="Verdana" w:cs="Arial"/>
          <w:sz w:val="16"/>
          <w:szCs w:val="16"/>
        </w:rPr>
        <w:t>Comandancia</w:t>
      </w:r>
      <w:r w:rsidRPr="00C26F45">
        <w:rPr>
          <w:rFonts w:ascii="Verdana" w:hAnsi="Verdana" w:cs="Arial"/>
          <w:sz w:val="16"/>
          <w:szCs w:val="16"/>
        </w:rPr>
        <w:t xml:space="preserve"> General de Policía” con el fin de “determinar los nombres de los agentes que participaron en el Operativo [</w:t>
      </w:r>
      <w:r w:rsidR="005C116B">
        <w:rPr>
          <w:rFonts w:ascii="Verdana" w:hAnsi="Verdana" w:cs="Arial"/>
          <w:sz w:val="16"/>
          <w:szCs w:val="16"/>
        </w:rPr>
        <w:t>‘</w:t>
      </w:r>
      <w:r w:rsidRPr="00C26F45">
        <w:rPr>
          <w:rFonts w:ascii="Verdana" w:hAnsi="Verdana" w:cs="Arial"/>
          <w:sz w:val="16"/>
          <w:szCs w:val="16"/>
        </w:rPr>
        <w:t>Camarón</w:t>
      </w:r>
      <w:r w:rsidR="005C116B">
        <w:rPr>
          <w:rFonts w:ascii="Verdana" w:hAnsi="Verdana" w:cs="Arial"/>
          <w:sz w:val="16"/>
          <w:szCs w:val="16"/>
        </w:rPr>
        <w:t>’</w:t>
      </w:r>
      <w:r w:rsidRPr="00C26F45">
        <w:rPr>
          <w:rFonts w:ascii="Verdana" w:hAnsi="Verdana" w:cs="Arial"/>
          <w:sz w:val="16"/>
          <w:szCs w:val="16"/>
        </w:rPr>
        <w:t xml:space="preserve"> y en la detención del señor Tibi] y </w:t>
      </w:r>
      <w:r>
        <w:rPr>
          <w:rFonts w:ascii="Verdana" w:hAnsi="Verdana" w:cs="Arial"/>
          <w:sz w:val="16"/>
          <w:szCs w:val="16"/>
        </w:rPr>
        <w:t>[</w:t>
      </w:r>
      <w:r w:rsidRPr="00C26F45">
        <w:rPr>
          <w:rFonts w:ascii="Verdana" w:hAnsi="Verdana" w:cs="Arial"/>
          <w:sz w:val="16"/>
          <w:szCs w:val="16"/>
        </w:rPr>
        <w:t>poder</w:t>
      </w:r>
      <w:r>
        <w:rPr>
          <w:rFonts w:ascii="Verdana" w:hAnsi="Verdana" w:cs="Arial"/>
          <w:sz w:val="16"/>
          <w:szCs w:val="16"/>
        </w:rPr>
        <w:t>]</w:t>
      </w:r>
      <w:r w:rsidRPr="00C26F45">
        <w:rPr>
          <w:rFonts w:ascii="Verdana" w:hAnsi="Verdana" w:cs="Arial"/>
          <w:sz w:val="16"/>
          <w:szCs w:val="16"/>
        </w:rPr>
        <w:t xml:space="preserve"> tomar sus versiones” ; (ii) “al Director Nacional de Recursos Humanos de la Fiscalía General del Estado” y “al Consejo Nacional de la Judicatura” en relación con “los agentes fiscales y jueces que intervinieron en los procesos penales contra el señor Tibi y que […] </w:t>
      </w:r>
      <w:proofErr w:type="spellStart"/>
      <w:r w:rsidRPr="00C26F45">
        <w:rPr>
          <w:rFonts w:ascii="Verdana" w:hAnsi="Verdana" w:cs="Arial"/>
          <w:sz w:val="16"/>
          <w:szCs w:val="16"/>
        </w:rPr>
        <w:t>conoci</w:t>
      </w:r>
      <w:proofErr w:type="spellEnd"/>
      <w:r w:rsidRPr="00C26F45">
        <w:rPr>
          <w:rFonts w:ascii="Verdana" w:hAnsi="Verdana" w:cs="Arial"/>
          <w:sz w:val="16"/>
          <w:szCs w:val="16"/>
        </w:rPr>
        <w:t>[</w:t>
      </w:r>
      <w:proofErr w:type="spellStart"/>
      <w:r w:rsidRPr="00C26F45">
        <w:rPr>
          <w:rFonts w:ascii="Verdana" w:hAnsi="Verdana" w:cs="Arial"/>
          <w:sz w:val="16"/>
          <w:szCs w:val="16"/>
        </w:rPr>
        <w:t>eron</w:t>
      </w:r>
      <w:proofErr w:type="spellEnd"/>
      <w:r w:rsidRPr="00C26F45">
        <w:rPr>
          <w:rFonts w:ascii="Verdana" w:hAnsi="Verdana" w:cs="Arial"/>
          <w:sz w:val="16"/>
          <w:szCs w:val="16"/>
        </w:rPr>
        <w:t xml:space="preserve">] </w:t>
      </w:r>
      <w:r>
        <w:rPr>
          <w:rFonts w:ascii="Verdana" w:hAnsi="Verdana" w:cs="Arial"/>
          <w:sz w:val="16"/>
          <w:szCs w:val="16"/>
        </w:rPr>
        <w:t xml:space="preserve">de </w:t>
      </w:r>
      <w:r w:rsidRPr="00C26F45">
        <w:rPr>
          <w:rFonts w:ascii="Verdana" w:hAnsi="Verdana" w:cs="Arial"/>
          <w:sz w:val="16"/>
          <w:szCs w:val="16"/>
        </w:rPr>
        <w:t>los recursos por él interpuestos”</w:t>
      </w:r>
      <w:r w:rsidRPr="00C26F45">
        <w:rPr>
          <w:rFonts w:ascii="Verdana" w:hAnsi="Verdana" w:cs="Arial"/>
          <w:b/>
          <w:sz w:val="16"/>
          <w:szCs w:val="16"/>
        </w:rPr>
        <w:t xml:space="preserve"> </w:t>
      </w:r>
      <w:r w:rsidRPr="00C26F45">
        <w:rPr>
          <w:rFonts w:ascii="Verdana" w:hAnsi="Verdana" w:cs="Arial"/>
          <w:sz w:val="16"/>
          <w:szCs w:val="16"/>
        </w:rPr>
        <w:t xml:space="preserve">; (iii) </w:t>
      </w:r>
      <w:r w:rsidRPr="00C26F45">
        <w:rPr>
          <w:rFonts w:ascii="Verdana" w:hAnsi="Verdana"/>
          <w:sz w:val="16"/>
          <w:szCs w:val="16"/>
        </w:rPr>
        <w:t xml:space="preserve">a la Corte Provincial de Guayas y al Juzgado Primero de Garantías Penales de Guayas </w:t>
      </w:r>
      <w:r w:rsidR="005C116B">
        <w:rPr>
          <w:rFonts w:ascii="Verdana" w:hAnsi="Verdana"/>
          <w:sz w:val="16"/>
          <w:szCs w:val="16"/>
        </w:rPr>
        <w:t xml:space="preserve">para </w:t>
      </w:r>
      <w:r w:rsidRPr="00C26F45">
        <w:rPr>
          <w:rFonts w:ascii="Verdana" w:hAnsi="Verdana"/>
          <w:sz w:val="16"/>
          <w:szCs w:val="16"/>
        </w:rPr>
        <w:t xml:space="preserve">que remitieran, respectivamente, copias certificadas </w:t>
      </w:r>
      <w:r>
        <w:rPr>
          <w:rFonts w:ascii="Verdana" w:hAnsi="Verdana"/>
          <w:sz w:val="16"/>
          <w:szCs w:val="16"/>
        </w:rPr>
        <w:t>d</w:t>
      </w:r>
      <w:r w:rsidRPr="00C26F45">
        <w:rPr>
          <w:rFonts w:ascii="Verdana" w:hAnsi="Verdana"/>
          <w:sz w:val="16"/>
          <w:szCs w:val="16"/>
        </w:rPr>
        <w:t>el “</w:t>
      </w:r>
      <w:r>
        <w:rPr>
          <w:rFonts w:ascii="Verdana" w:hAnsi="Verdana"/>
          <w:sz w:val="16"/>
          <w:szCs w:val="16"/>
        </w:rPr>
        <w:t>[</w:t>
      </w:r>
      <w:r w:rsidRPr="00C26F45">
        <w:rPr>
          <w:rFonts w:ascii="Verdana" w:hAnsi="Verdana"/>
          <w:sz w:val="16"/>
          <w:szCs w:val="16"/>
        </w:rPr>
        <w:t>r</w:t>
      </w:r>
      <w:r>
        <w:rPr>
          <w:rFonts w:ascii="Verdana" w:hAnsi="Verdana"/>
          <w:sz w:val="16"/>
          <w:szCs w:val="16"/>
        </w:rPr>
        <w:t>]</w:t>
      </w:r>
      <w:proofErr w:type="spellStart"/>
      <w:r w:rsidRPr="00C26F45">
        <w:rPr>
          <w:rFonts w:ascii="Verdana" w:hAnsi="Verdana"/>
          <w:sz w:val="16"/>
          <w:szCs w:val="16"/>
        </w:rPr>
        <w:t>ecurso</w:t>
      </w:r>
      <w:proofErr w:type="spellEnd"/>
      <w:r w:rsidRPr="00C26F45">
        <w:rPr>
          <w:rFonts w:ascii="Verdana" w:hAnsi="Verdana"/>
          <w:sz w:val="16"/>
          <w:szCs w:val="16"/>
        </w:rPr>
        <w:t xml:space="preserve"> de </w:t>
      </w:r>
      <w:r>
        <w:rPr>
          <w:rFonts w:ascii="Verdana" w:hAnsi="Verdana"/>
          <w:sz w:val="16"/>
          <w:szCs w:val="16"/>
        </w:rPr>
        <w:t>[</w:t>
      </w:r>
      <w:r w:rsidRPr="00C26F45">
        <w:rPr>
          <w:rFonts w:ascii="Verdana" w:hAnsi="Verdana"/>
          <w:sz w:val="16"/>
          <w:szCs w:val="16"/>
        </w:rPr>
        <w:t>a</w:t>
      </w:r>
      <w:r>
        <w:rPr>
          <w:rFonts w:ascii="Verdana" w:hAnsi="Verdana"/>
          <w:sz w:val="16"/>
          <w:szCs w:val="16"/>
        </w:rPr>
        <w:t>]</w:t>
      </w:r>
      <w:proofErr w:type="spellStart"/>
      <w:r w:rsidRPr="00C26F45">
        <w:rPr>
          <w:rFonts w:ascii="Verdana" w:hAnsi="Verdana"/>
          <w:sz w:val="16"/>
          <w:szCs w:val="16"/>
        </w:rPr>
        <w:t>mparo</w:t>
      </w:r>
      <w:proofErr w:type="spellEnd"/>
      <w:r w:rsidRPr="00C26F45">
        <w:rPr>
          <w:rFonts w:ascii="Verdana" w:hAnsi="Verdana"/>
          <w:sz w:val="16"/>
          <w:szCs w:val="16"/>
        </w:rPr>
        <w:t xml:space="preserve"> de </w:t>
      </w:r>
      <w:r>
        <w:rPr>
          <w:rFonts w:ascii="Verdana" w:hAnsi="Verdana"/>
          <w:sz w:val="16"/>
          <w:szCs w:val="16"/>
        </w:rPr>
        <w:t>[</w:t>
      </w:r>
      <w:r w:rsidRPr="00C26F45">
        <w:rPr>
          <w:rFonts w:ascii="Verdana" w:hAnsi="Verdana"/>
          <w:sz w:val="16"/>
          <w:szCs w:val="16"/>
        </w:rPr>
        <w:t>l</w:t>
      </w:r>
      <w:r>
        <w:rPr>
          <w:rFonts w:ascii="Verdana" w:hAnsi="Verdana"/>
          <w:sz w:val="16"/>
          <w:szCs w:val="16"/>
        </w:rPr>
        <w:t>]</w:t>
      </w:r>
      <w:proofErr w:type="spellStart"/>
      <w:r w:rsidRPr="00C26F45">
        <w:rPr>
          <w:rFonts w:ascii="Verdana" w:hAnsi="Verdana"/>
          <w:sz w:val="16"/>
          <w:szCs w:val="16"/>
        </w:rPr>
        <w:t>ibertad</w:t>
      </w:r>
      <w:proofErr w:type="spellEnd"/>
      <w:r>
        <w:rPr>
          <w:rFonts w:ascii="Verdana" w:hAnsi="Verdana"/>
          <w:sz w:val="16"/>
          <w:szCs w:val="16"/>
        </w:rPr>
        <w:t>,</w:t>
      </w:r>
      <w:r w:rsidRPr="00C26F45">
        <w:rPr>
          <w:rFonts w:ascii="Verdana" w:hAnsi="Verdana"/>
          <w:sz w:val="16"/>
          <w:szCs w:val="16"/>
        </w:rPr>
        <w:t xml:space="preserve"> planteado por Daniel Tibi” y “de la Boleta de Detención girada contra </w:t>
      </w:r>
      <w:proofErr w:type="spellStart"/>
      <w:r w:rsidRPr="00C26F45">
        <w:rPr>
          <w:rFonts w:ascii="Verdana" w:hAnsi="Verdana"/>
          <w:sz w:val="16"/>
          <w:szCs w:val="16"/>
        </w:rPr>
        <w:t>el</w:t>
      </w:r>
      <w:proofErr w:type="spellEnd"/>
      <w:r w:rsidRPr="00C26F45">
        <w:rPr>
          <w:rFonts w:ascii="Verdana" w:hAnsi="Verdana"/>
          <w:sz w:val="16"/>
          <w:szCs w:val="16"/>
        </w:rPr>
        <w:t xml:space="preserve"> </w:t>
      </w:r>
      <w:r>
        <w:rPr>
          <w:rFonts w:ascii="Verdana" w:hAnsi="Verdana"/>
          <w:sz w:val="16"/>
          <w:szCs w:val="16"/>
        </w:rPr>
        <w:t>[</w:t>
      </w:r>
      <w:r w:rsidRPr="00C26F45">
        <w:rPr>
          <w:rFonts w:ascii="Verdana" w:hAnsi="Verdana"/>
          <w:sz w:val="16"/>
          <w:szCs w:val="16"/>
        </w:rPr>
        <w:t>señor</w:t>
      </w:r>
      <w:r>
        <w:rPr>
          <w:rFonts w:ascii="Verdana" w:hAnsi="Verdana"/>
          <w:sz w:val="16"/>
          <w:szCs w:val="16"/>
        </w:rPr>
        <w:t>]</w:t>
      </w:r>
      <w:r w:rsidRPr="00C26F45">
        <w:rPr>
          <w:rFonts w:ascii="Verdana" w:hAnsi="Verdana"/>
          <w:sz w:val="16"/>
          <w:szCs w:val="16"/>
        </w:rPr>
        <w:t xml:space="preserve"> Tibi el 28 de septiembre de 1995”; (iv)</w:t>
      </w:r>
      <w:r w:rsidRPr="00C26F45">
        <w:rPr>
          <w:rFonts w:ascii="Verdana" w:hAnsi="Verdana" w:cs="Arial"/>
          <w:sz w:val="16"/>
          <w:szCs w:val="16"/>
        </w:rPr>
        <w:t xml:space="preserve"> “a la Dirección Nacional de Rehabilitación Social” y al “Instituto Ecuatoriano de Seguridad Social” sobre “los </w:t>
      </w:r>
      <w:r>
        <w:rPr>
          <w:rFonts w:ascii="Verdana" w:hAnsi="Verdana" w:cs="Arial"/>
          <w:sz w:val="16"/>
          <w:szCs w:val="16"/>
        </w:rPr>
        <w:t>[</w:t>
      </w:r>
      <w:r w:rsidRPr="00C26F45">
        <w:rPr>
          <w:rFonts w:ascii="Verdana" w:hAnsi="Verdana" w:cs="Arial"/>
          <w:sz w:val="16"/>
          <w:szCs w:val="16"/>
        </w:rPr>
        <w:t>g</w:t>
      </w:r>
      <w:r>
        <w:rPr>
          <w:rFonts w:ascii="Verdana" w:hAnsi="Verdana" w:cs="Arial"/>
          <w:sz w:val="16"/>
          <w:szCs w:val="16"/>
        </w:rPr>
        <w:t>]</w:t>
      </w:r>
      <w:proofErr w:type="spellStart"/>
      <w:r w:rsidRPr="00C26F45">
        <w:rPr>
          <w:rFonts w:ascii="Verdana" w:hAnsi="Verdana" w:cs="Arial"/>
          <w:sz w:val="16"/>
          <w:szCs w:val="16"/>
        </w:rPr>
        <w:t>uías</w:t>
      </w:r>
      <w:proofErr w:type="spellEnd"/>
      <w:r w:rsidRPr="00C26F45">
        <w:rPr>
          <w:rFonts w:ascii="Verdana" w:hAnsi="Verdana" w:cs="Arial"/>
          <w:sz w:val="16"/>
          <w:szCs w:val="16"/>
        </w:rPr>
        <w:t xml:space="preserve"> [penitenciarios] que se encontraban trabajando </w:t>
      </w:r>
      <w:r w:rsidRPr="005C116B">
        <w:rPr>
          <w:rFonts w:ascii="Verdana" w:hAnsi="Verdana" w:cs="Arial"/>
          <w:sz w:val="16"/>
          <w:szCs w:val="16"/>
        </w:rPr>
        <w:t>e</w:t>
      </w:r>
      <w:r w:rsidR="005C116B" w:rsidRPr="00CF07CC">
        <w:rPr>
          <w:rFonts w:ascii="Verdana" w:hAnsi="Verdana" w:cs="Arial"/>
          <w:sz w:val="16"/>
          <w:szCs w:val="16"/>
        </w:rPr>
        <w:t>n</w:t>
      </w:r>
      <w:r w:rsidRPr="005C116B">
        <w:rPr>
          <w:rFonts w:ascii="Verdana" w:hAnsi="Verdana" w:cs="Arial"/>
          <w:sz w:val="16"/>
          <w:szCs w:val="16"/>
        </w:rPr>
        <w:t xml:space="preserve"> [la Ex Penitenciaría del Litoral]</w:t>
      </w:r>
      <w:r w:rsidRPr="00C26F45">
        <w:rPr>
          <w:rFonts w:ascii="Verdana" w:hAnsi="Verdana" w:cs="Arial"/>
          <w:sz w:val="16"/>
          <w:szCs w:val="16"/>
        </w:rPr>
        <w:t xml:space="preserve"> durante el mes de octubre de 1995”, y (v) a la referida ex penitenciaría “para que</w:t>
      </w:r>
      <w:r>
        <w:rPr>
          <w:rFonts w:ascii="Verdana" w:hAnsi="Verdana" w:cs="Arial"/>
          <w:sz w:val="16"/>
          <w:szCs w:val="16"/>
        </w:rPr>
        <w:t xml:space="preserve"> […]</w:t>
      </w:r>
      <w:r w:rsidRPr="00C26F45">
        <w:rPr>
          <w:rFonts w:ascii="Verdana" w:hAnsi="Verdana" w:cs="Arial"/>
          <w:sz w:val="16"/>
          <w:szCs w:val="16"/>
        </w:rPr>
        <w:t xml:space="preserve"> </w:t>
      </w:r>
      <w:proofErr w:type="spellStart"/>
      <w:r w:rsidR="005C116B" w:rsidRPr="00C26F45">
        <w:rPr>
          <w:rFonts w:ascii="Verdana" w:hAnsi="Verdana" w:cs="Arial"/>
          <w:sz w:val="16"/>
          <w:szCs w:val="16"/>
        </w:rPr>
        <w:t>inform</w:t>
      </w:r>
      <w:proofErr w:type="spellEnd"/>
      <w:r w:rsidR="005C116B">
        <w:rPr>
          <w:rFonts w:ascii="Verdana" w:hAnsi="Verdana" w:cs="Arial"/>
          <w:sz w:val="16"/>
          <w:szCs w:val="16"/>
        </w:rPr>
        <w:t>[ara]</w:t>
      </w:r>
      <w:r w:rsidR="005C116B" w:rsidRPr="00C26F45">
        <w:rPr>
          <w:rFonts w:ascii="Verdana" w:hAnsi="Verdana" w:cs="Arial"/>
          <w:sz w:val="16"/>
          <w:szCs w:val="16"/>
        </w:rPr>
        <w:t xml:space="preserve"> </w:t>
      </w:r>
      <w:r w:rsidRPr="00C26F45">
        <w:rPr>
          <w:rFonts w:ascii="Verdana" w:hAnsi="Verdana" w:cs="Arial"/>
          <w:sz w:val="16"/>
          <w:szCs w:val="16"/>
        </w:rPr>
        <w:t>sobre la fecha de ingreso del señor Tibi y el estado en el que él se encontraba a su ingreso”.</w:t>
      </w:r>
    </w:p>
  </w:footnote>
  <w:footnote w:id="26">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El Estado informó que: </w:t>
      </w:r>
      <w:r w:rsidRPr="00CF07CC">
        <w:rPr>
          <w:rFonts w:ascii="Verdana" w:hAnsi="Verdana"/>
          <w:sz w:val="16"/>
          <w:szCs w:val="16"/>
        </w:rPr>
        <w:t>(i)</w:t>
      </w:r>
      <w:r w:rsidRPr="00C26F45">
        <w:rPr>
          <w:rFonts w:ascii="Verdana" w:hAnsi="Verdana"/>
          <w:sz w:val="16"/>
          <w:szCs w:val="16"/>
        </w:rPr>
        <w:t xml:space="preserve"> en abril y julio de 2011 se tomaron las “versiones” de cinco agentes de la INTERPOL que participaron en el Operativo “Camarón”, de los cuales tres se encontraban aún en servicio activo </w:t>
      </w:r>
      <w:r w:rsidRPr="00C26F45">
        <w:rPr>
          <w:rFonts w:ascii="Verdana" w:hAnsi="Verdana"/>
          <w:color w:val="00B050"/>
          <w:sz w:val="16"/>
          <w:szCs w:val="16"/>
        </w:rPr>
        <w:t xml:space="preserve"> </w:t>
      </w:r>
      <w:r w:rsidRPr="00C26F45">
        <w:rPr>
          <w:rFonts w:ascii="Verdana" w:hAnsi="Verdana"/>
          <w:sz w:val="16"/>
          <w:szCs w:val="16"/>
        </w:rPr>
        <w:t xml:space="preserve">y dos en servicio pasivo, así como las versiones de cuatro de los seis oficiales de la policía que la Dirección Nacional de Antinarcóticos identificó que habrían participado en la detención del señor Tibi; </w:t>
      </w:r>
      <w:r w:rsidRPr="00CF07CC">
        <w:rPr>
          <w:rFonts w:ascii="Verdana" w:hAnsi="Verdana"/>
          <w:sz w:val="16"/>
          <w:szCs w:val="16"/>
        </w:rPr>
        <w:t>(ii)</w:t>
      </w:r>
      <w:r w:rsidRPr="00C26F45">
        <w:rPr>
          <w:rFonts w:ascii="Verdana" w:hAnsi="Verdana"/>
          <w:sz w:val="16"/>
          <w:szCs w:val="16"/>
        </w:rPr>
        <w:t xml:space="preserve"> seis de los siete agentes fiscales que el “Director Nacional de Recursos Humanos de la Fiscalía General del Estado” sostuvo que habían “participa[do]</w:t>
      </w:r>
      <w:r w:rsidRPr="00C26F45">
        <w:rPr>
          <w:rFonts w:ascii="Verdana" w:hAnsi="Verdana" w:cs="Arial"/>
          <w:sz w:val="16"/>
          <w:szCs w:val="16"/>
        </w:rPr>
        <w:t xml:space="preserve"> </w:t>
      </w:r>
      <w:r w:rsidRPr="00C26F45">
        <w:rPr>
          <w:rFonts w:ascii="Verdana" w:hAnsi="Verdana"/>
          <w:sz w:val="16"/>
          <w:szCs w:val="16"/>
        </w:rPr>
        <w:t xml:space="preserve">en el proceso penal instaurado contra el señor Daniel Tibi, como en el conocimiento de los recursos por él interpuestos”, y </w:t>
      </w:r>
      <w:r w:rsidRPr="00CF07CC">
        <w:rPr>
          <w:rFonts w:ascii="Verdana" w:hAnsi="Verdana"/>
          <w:sz w:val="16"/>
          <w:szCs w:val="16"/>
        </w:rPr>
        <w:t>(iii)</w:t>
      </w:r>
      <w:r w:rsidRPr="00C26F45">
        <w:rPr>
          <w:rFonts w:ascii="Verdana" w:hAnsi="Verdana"/>
          <w:sz w:val="16"/>
          <w:szCs w:val="16"/>
        </w:rPr>
        <w:t xml:space="preserve"> en julio de 2011 rindió su versión el señor Eduardo Edison García León, “persona en base a cuya declaración se detuvo al señor Tibi”. También informó que se había ordenado “</w:t>
      </w:r>
      <w:proofErr w:type="spellStart"/>
      <w:r w:rsidRPr="00C26F45">
        <w:rPr>
          <w:rFonts w:ascii="Verdana" w:hAnsi="Verdana"/>
          <w:sz w:val="16"/>
          <w:szCs w:val="16"/>
        </w:rPr>
        <w:t>recept</w:t>
      </w:r>
      <w:proofErr w:type="spellEnd"/>
      <w:r w:rsidRPr="00C26F45">
        <w:rPr>
          <w:rFonts w:ascii="Verdana" w:hAnsi="Verdana"/>
          <w:sz w:val="16"/>
          <w:szCs w:val="16"/>
        </w:rPr>
        <w:t>[</w:t>
      </w:r>
      <w:proofErr w:type="spellStart"/>
      <w:r w:rsidRPr="00C26F45">
        <w:rPr>
          <w:rFonts w:ascii="Verdana" w:hAnsi="Verdana"/>
          <w:sz w:val="16"/>
          <w:szCs w:val="16"/>
        </w:rPr>
        <w:t>ar</w:t>
      </w:r>
      <w:proofErr w:type="spellEnd"/>
      <w:r w:rsidRPr="00C26F45">
        <w:rPr>
          <w:rFonts w:ascii="Verdana" w:hAnsi="Verdana"/>
          <w:sz w:val="16"/>
          <w:szCs w:val="16"/>
        </w:rPr>
        <w:t>] las versiones” de quien se encontraba “desempeñando funciones de Presidente de la […] Corte Superior de Justicia de Guayaquil” en junio de 1996  y del “representante del Ministerio Público [que] supuestamente realizó la excitativa fiscal de 25 de septiembre de 1995</w:t>
      </w:r>
      <w:r>
        <w:rPr>
          <w:rFonts w:ascii="Verdana" w:hAnsi="Verdana"/>
          <w:sz w:val="16"/>
          <w:szCs w:val="16"/>
        </w:rPr>
        <w:t>,</w:t>
      </w:r>
      <w:r w:rsidRPr="00C26F45">
        <w:rPr>
          <w:rFonts w:ascii="Verdana" w:hAnsi="Verdana"/>
          <w:sz w:val="16"/>
          <w:szCs w:val="16"/>
        </w:rPr>
        <w:t xml:space="preserve"> que dio origen al Juicio Penal Nro. 361-95 por el delito de narcotráfico en el Juzgado Primero de lo Penal del Guayas”.</w:t>
      </w:r>
    </w:p>
  </w:footnote>
  <w:footnote w:id="27">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El Estado sostuvo que “[e]l fiscal responsable de la indagación</w:t>
      </w:r>
      <w:r>
        <w:rPr>
          <w:rFonts w:ascii="Verdana" w:hAnsi="Verdana"/>
          <w:sz w:val="16"/>
          <w:szCs w:val="16"/>
        </w:rPr>
        <w:t>,</w:t>
      </w:r>
      <w:r w:rsidRPr="00C26F45">
        <w:rPr>
          <w:rFonts w:ascii="Verdana" w:hAnsi="Verdana"/>
          <w:sz w:val="16"/>
          <w:szCs w:val="16"/>
        </w:rPr>
        <w:t xml:space="preserve"> consideró que eran necesarias las versiones de </w:t>
      </w:r>
      <w:proofErr w:type="spellStart"/>
      <w:r w:rsidRPr="00C26F45">
        <w:rPr>
          <w:rFonts w:ascii="Verdana" w:hAnsi="Verdana"/>
          <w:sz w:val="16"/>
          <w:szCs w:val="16"/>
        </w:rPr>
        <w:t>Philippe</w:t>
      </w:r>
      <w:proofErr w:type="spellEnd"/>
      <w:r w:rsidRPr="00C26F45">
        <w:rPr>
          <w:rFonts w:ascii="Verdana" w:hAnsi="Verdana"/>
          <w:sz w:val="16"/>
          <w:szCs w:val="16"/>
        </w:rPr>
        <w:t xml:space="preserve"> </w:t>
      </w:r>
      <w:proofErr w:type="spellStart"/>
      <w:r w:rsidRPr="00C26F45">
        <w:rPr>
          <w:rFonts w:ascii="Verdana" w:hAnsi="Verdana"/>
          <w:sz w:val="16"/>
          <w:szCs w:val="16"/>
        </w:rPr>
        <w:t>Lesprit</w:t>
      </w:r>
      <w:proofErr w:type="spellEnd"/>
      <w:r w:rsidRPr="00C26F45">
        <w:rPr>
          <w:rFonts w:ascii="Verdana" w:hAnsi="Verdana"/>
          <w:sz w:val="16"/>
          <w:szCs w:val="16"/>
        </w:rPr>
        <w:t xml:space="preserve"> […], </w:t>
      </w:r>
      <w:proofErr w:type="spellStart"/>
      <w:r w:rsidRPr="00C26F45">
        <w:rPr>
          <w:rFonts w:ascii="Verdana" w:hAnsi="Verdana"/>
          <w:sz w:val="16"/>
          <w:szCs w:val="16"/>
        </w:rPr>
        <w:t>Pascale</w:t>
      </w:r>
      <w:proofErr w:type="spellEnd"/>
      <w:r w:rsidRPr="00C26F45">
        <w:rPr>
          <w:rFonts w:ascii="Verdana" w:hAnsi="Verdana"/>
          <w:sz w:val="16"/>
          <w:szCs w:val="16"/>
        </w:rPr>
        <w:t xml:space="preserve"> Barre […], C</w:t>
      </w:r>
      <w:r>
        <w:rPr>
          <w:rFonts w:ascii="Verdana" w:hAnsi="Verdana"/>
          <w:sz w:val="16"/>
          <w:szCs w:val="16"/>
        </w:rPr>
        <w:t>h</w:t>
      </w:r>
      <w:r w:rsidRPr="00C26F45">
        <w:rPr>
          <w:rFonts w:ascii="Verdana" w:hAnsi="Verdana"/>
          <w:sz w:val="16"/>
          <w:szCs w:val="16"/>
        </w:rPr>
        <w:t xml:space="preserve">ristian </w:t>
      </w:r>
      <w:proofErr w:type="spellStart"/>
      <w:r w:rsidRPr="00C26F45">
        <w:rPr>
          <w:rFonts w:ascii="Verdana" w:hAnsi="Verdana"/>
          <w:sz w:val="16"/>
          <w:szCs w:val="16"/>
        </w:rPr>
        <w:t>Rat</w:t>
      </w:r>
      <w:proofErr w:type="spellEnd"/>
      <w:r w:rsidRPr="00C26F45">
        <w:rPr>
          <w:rFonts w:ascii="Verdana" w:hAnsi="Verdana"/>
          <w:sz w:val="16"/>
          <w:szCs w:val="16"/>
        </w:rPr>
        <w:t xml:space="preserve"> […], </w:t>
      </w:r>
      <w:proofErr w:type="spellStart"/>
      <w:r w:rsidRPr="00C26F45">
        <w:rPr>
          <w:rFonts w:ascii="Verdana" w:hAnsi="Verdana"/>
          <w:sz w:val="16"/>
          <w:szCs w:val="16"/>
        </w:rPr>
        <w:t>Philippe</w:t>
      </w:r>
      <w:proofErr w:type="spellEnd"/>
      <w:r w:rsidRPr="00C26F45">
        <w:rPr>
          <w:rFonts w:ascii="Verdana" w:hAnsi="Verdana"/>
          <w:sz w:val="16"/>
          <w:szCs w:val="16"/>
        </w:rPr>
        <w:t xml:space="preserve"> </w:t>
      </w:r>
      <w:proofErr w:type="spellStart"/>
      <w:r w:rsidRPr="00C26F45">
        <w:rPr>
          <w:rFonts w:ascii="Verdana" w:hAnsi="Verdana"/>
          <w:sz w:val="16"/>
          <w:szCs w:val="16"/>
        </w:rPr>
        <w:t>Blanche</w:t>
      </w:r>
      <w:proofErr w:type="spellEnd"/>
      <w:r w:rsidRPr="00C26F45">
        <w:rPr>
          <w:rFonts w:ascii="Verdana" w:hAnsi="Verdana"/>
          <w:sz w:val="16"/>
          <w:szCs w:val="16"/>
        </w:rPr>
        <w:t xml:space="preserve">, Gérard </w:t>
      </w:r>
      <w:proofErr w:type="spellStart"/>
      <w:r w:rsidRPr="00C26F45">
        <w:rPr>
          <w:rFonts w:ascii="Verdana" w:hAnsi="Verdana"/>
          <w:sz w:val="16"/>
          <w:szCs w:val="16"/>
        </w:rPr>
        <w:t>Benayoun</w:t>
      </w:r>
      <w:proofErr w:type="spellEnd"/>
      <w:r w:rsidRPr="00C26F45">
        <w:rPr>
          <w:rFonts w:ascii="Verdana" w:hAnsi="Verdana"/>
          <w:sz w:val="16"/>
          <w:szCs w:val="16"/>
        </w:rPr>
        <w:t xml:space="preserve">, </w:t>
      </w:r>
      <w:proofErr w:type="spellStart"/>
      <w:r w:rsidRPr="00C26F45">
        <w:rPr>
          <w:rFonts w:ascii="Verdana" w:hAnsi="Verdana"/>
          <w:sz w:val="16"/>
          <w:szCs w:val="16"/>
        </w:rPr>
        <w:t>Christoppe</w:t>
      </w:r>
      <w:proofErr w:type="spellEnd"/>
      <w:r w:rsidRPr="00C26F45">
        <w:rPr>
          <w:rFonts w:ascii="Verdana" w:hAnsi="Verdana"/>
          <w:sz w:val="16"/>
          <w:szCs w:val="16"/>
        </w:rPr>
        <w:t xml:space="preserve"> </w:t>
      </w:r>
      <w:proofErr w:type="spellStart"/>
      <w:proofErr w:type="gramStart"/>
      <w:r w:rsidRPr="00C26F45">
        <w:rPr>
          <w:rFonts w:ascii="Verdana" w:hAnsi="Verdana"/>
          <w:sz w:val="16"/>
          <w:szCs w:val="16"/>
        </w:rPr>
        <w:t>Ronsin</w:t>
      </w:r>
      <w:proofErr w:type="spellEnd"/>
      <w:r w:rsidRPr="00C26F45">
        <w:rPr>
          <w:rFonts w:ascii="Verdana" w:hAnsi="Verdana"/>
          <w:sz w:val="16"/>
          <w:szCs w:val="16"/>
        </w:rPr>
        <w:t>[</w:t>
      </w:r>
      <w:proofErr w:type="gramEnd"/>
      <w:r w:rsidRPr="00C26F45">
        <w:rPr>
          <w:rFonts w:ascii="Verdana" w:hAnsi="Verdana"/>
          <w:sz w:val="16"/>
          <w:szCs w:val="16"/>
        </w:rPr>
        <w:t xml:space="preserve">,] </w:t>
      </w:r>
      <w:proofErr w:type="spellStart"/>
      <w:r w:rsidRPr="00C26F45">
        <w:rPr>
          <w:rFonts w:ascii="Verdana" w:hAnsi="Verdana"/>
          <w:sz w:val="16"/>
          <w:szCs w:val="16"/>
        </w:rPr>
        <w:t>Anne</w:t>
      </w:r>
      <w:proofErr w:type="spellEnd"/>
      <w:r w:rsidRPr="00C26F45">
        <w:rPr>
          <w:rFonts w:ascii="Verdana" w:hAnsi="Verdana"/>
          <w:sz w:val="16"/>
          <w:szCs w:val="16"/>
        </w:rPr>
        <w:t xml:space="preserve"> </w:t>
      </w:r>
      <w:proofErr w:type="spellStart"/>
      <w:r w:rsidRPr="00C26F45">
        <w:rPr>
          <w:rFonts w:ascii="Verdana" w:hAnsi="Verdana"/>
          <w:sz w:val="16"/>
          <w:szCs w:val="16"/>
        </w:rPr>
        <w:t>Ebel</w:t>
      </w:r>
      <w:proofErr w:type="spellEnd"/>
      <w:r w:rsidRPr="00C26F45">
        <w:rPr>
          <w:rFonts w:ascii="Verdana" w:hAnsi="Verdana"/>
          <w:sz w:val="16"/>
          <w:szCs w:val="16"/>
        </w:rPr>
        <w:t xml:space="preserve"> [y] </w:t>
      </w:r>
      <w:proofErr w:type="spellStart"/>
      <w:r w:rsidRPr="00C26F45">
        <w:rPr>
          <w:rFonts w:ascii="Verdana" w:hAnsi="Verdana"/>
          <w:sz w:val="16"/>
          <w:szCs w:val="16"/>
        </w:rPr>
        <w:t>Micheline</w:t>
      </w:r>
      <w:proofErr w:type="spellEnd"/>
      <w:r w:rsidRPr="00C26F45">
        <w:rPr>
          <w:rFonts w:ascii="Verdana" w:hAnsi="Verdana"/>
          <w:sz w:val="16"/>
          <w:szCs w:val="16"/>
        </w:rPr>
        <w:t xml:space="preserve"> </w:t>
      </w:r>
      <w:proofErr w:type="spellStart"/>
      <w:r w:rsidRPr="00C26F45">
        <w:rPr>
          <w:rFonts w:ascii="Verdana" w:hAnsi="Verdana"/>
          <w:sz w:val="16"/>
          <w:szCs w:val="16"/>
        </w:rPr>
        <w:t>Tulliez</w:t>
      </w:r>
      <w:proofErr w:type="spellEnd"/>
      <w:r w:rsidRPr="00C26F45">
        <w:rPr>
          <w:rFonts w:ascii="Verdana" w:hAnsi="Verdana"/>
          <w:sz w:val="16"/>
          <w:szCs w:val="16"/>
        </w:rPr>
        <w:t>”. La Corte constata que estas personas se encuentran mencionadas en los párrafos 84 y 90.52 y las notas al pie 113 y 114 de la Sentencia del presente caso.</w:t>
      </w:r>
    </w:p>
  </w:footnote>
  <w:footnote w:id="28">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El Estado sostuvo que dicho artículo dispone: “‘… Sin perjuicio de las garantías del debido proceso y del derecho a la defensa; las actuaciones de la Fiscalía, de la Función Judicial, de la Policía Judicial y de otras instituciones y funcionarios que intervengan en la indagación previa, se mantendrán en reserva de terceros ajenos a ésta y del público en general, sin perjuicio del derecho del ofendido, y de las personas a las cuales se investiga y de sus abogados, de tener acceso inmediato, efectivo y suficiente de las investigaciones. El personal de las instituciones mencionadas que habiendo intervenido en </w:t>
      </w:r>
      <w:r w:rsidR="009D07AE">
        <w:rPr>
          <w:rFonts w:ascii="Verdana" w:hAnsi="Verdana"/>
          <w:sz w:val="16"/>
          <w:szCs w:val="16"/>
        </w:rPr>
        <w:t>e</w:t>
      </w:r>
      <w:r w:rsidRPr="00C26F45">
        <w:rPr>
          <w:rFonts w:ascii="Verdana" w:hAnsi="Verdana"/>
          <w:sz w:val="16"/>
          <w:szCs w:val="16"/>
        </w:rPr>
        <w:t>stas actuaciones, las divulguen o pongan de cualquier modo en peligro el éxito de la investigación o las difundan atentando contra el honor y buen nombre de las personas en general, serán sancionados conforme a lo previsto en el Código Penal’”.</w:t>
      </w:r>
    </w:p>
  </w:footnote>
  <w:footnote w:id="29">
    <w:p w:rsidR="00175033" w:rsidRPr="00CF07CC" w:rsidRDefault="00175033" w:rsidP="00CF07CC">
      <w:pPr>
        <w:pStyle w:val="Textonotapie"/>
        <w:tabs>
          <w:tab w:val="left" w:pos="426"/>
        </w:tabs>
        <w:jc w:val="both"/>
        <w:rPr>
          <w:rFonts w:ascii="Verdana" w:hAnsi="Verdana"/>
          <w:sz w:val="16"/>
          <w:szCs w:val="16"/>
        </w:rPr>
      </w:pPr>
      <w:r w:rsidRPr="00CF07CC">
        <w:rPr>
          <w:rStyle w:val="Refdenotaalpie"/>
          <w:rFonts w:ascii="Verdana" w:hAnsi="Verdana"/>
          <w:sz w:val="16"/>
          <w:szCs w:val="16"/>
        </w:rPr>
        <w:footnoteRef/>
      </w:r>
      <w:r w:rsidRPr="00CF07CC">
        <w:rPr>
          <w:rFonts w:ascii="Verdana" w:hAnsi="Verdana"/>
          <w:sz w:val="16"/>
          <w:szCs w:val="16"/>
        </w:rPr>
        <w:t xml:space="preserve"> </w:t>
      </w:r>
      <w:r w:rsidRPr="00CF07CC">
        <w:rPr>
          <w:rFonts w:ascii="Verdana" w:hAnsi="Verdana"/>
          <w:sz w:val="16"/>
          <w:szCs w:val="16"/>
        </w:rPr>
        <w:tab/>
      </w:r>
      <w:r w:rsidRPr="00CF07CC">
        <w:rPr>
          <w:rFonts w:ascii="Verdana" w:hAnsi="Verdana"/>
          <w:i/>
          <w:sz w:val="16"/>
          <w:szCs w:val="16"/>
        </w:rPr>
        <w:t>Cfr.</w:t>
      </w:r>
      <w:r>
        <w:rPr>
          <w:rFonts w:ascii="Verdana" w:hAnsi="Verdana"/>
          <w:sz w:val="16"/>
          <w:szCs w:val="16"/>
        </w:rPr>
        <w:t xml:space="preserve"> Oficio No. 0001169 FGE-DCVDH de 10 de febrero de 2016, suscrito por el Director de la Comisión de la Verdad y Derechos Humanos de la Fiscalía General del Estado (anexo al informe del Estado de 4 de marzo de 2016)</w:t>
      </w:r>
      <w:r w:rsidR="00963B1F">
        <w:rPr>
          <w:rFonts w:ascii="Verdana" w:hAnsi="Verdana"/>
          <w:sz w:val="16"/>
          <w:szCs w:val="16"/>
        </w:rPr>
        <w:t>.</w:t>
      </w:r>
    </w:p>
  </w:footnote>
  <w:footnote w:id="30">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En su informe de junio de 2011 el Estado sostuvo que el Ministerio de Justicia, Derechos Humanos y Cultos “solicitó a la Defensoría del Pueblo de Ecuador […] que realice el seguimiento y vigilancia del proceso en torno a las actuaciones de la Fiscalía” en la indagación previa de este caso, y que dicha institución abrió un “</w:t>
      </w:r>
      <w:r>
        <w:rPr>
          <w:rFonts w:ascii="Verdana" w:hAnsi="Verdana"/>
          <w:sz w:val="16"/>
          <w:szCs w:val="16"/>
        </w:rPr>
        <w:t>[</w:t>
      </w:r>
      <w:r w:rsidRPr="00C26F45">
        <w:rPr>
          <w:rFonts w:ascii="Verdana" w:hAnsi="Verdana"/>
          <w:sz w:val="16"/>
          <w:szCs w:val="16"/>
        </w:rPr>
        <w:t>t</w:t>
      </w:r>
      <w:r>
        <w:rPr>
          <w:rFonts w:ascii="Verdana" w:hAnsi="Verdana"/>
          <w:sz w:val="16"/>
          <w:szCs w:val="16"/>
        </w:rPr>
        <w:t>]</w:t>
      </w:r>
      <w:proofErr w:type="spellStart"/>
      <w:r w:rsidRPr="00C26F45">
        <w:rPr>
          <w:rFonts w:ascii="Verdana" w:hAnsi="Verdana"/>
          <w:sz w:val="16"/>
          <w:szCs w:val="16"/>
        </w:rPr>
        <w:t>rámite</w:t>
      </w:r>
      <w:proofErr w:type="spellEnd"/>
      <w:r w:rsidRPr="00C26F45">
        <w:rPr>
          <w:rFonts w:ascii="Verdana" w:hAnsi="Verdana"/>
          <w:sz w:val="16"/>
          <w:szCs w:val="16"/>
        </w:rPr>
        <w:t xml:space="preserve"> </w:t>
      </w:r>
      <w:r>
        <w:rPr>
          <w:rFonts w:ascii="Verdana" w:hAnsi="Verdana"/>
          <w:sz w:val="16"/>
          <w:szCs w:val="16"/>
        </w:rPr>
        <w:t>[</w:t>
      </w:r>
      <w:r w:rsidRPr="00C26F45">
        <w:rPr>
          <w:rFonts w:ascii="Verdana" w:hAnsi="Verdana"/>
          <w:sz w:val="16"/>
          <w:szCs w:val="16"/>
        </w:rPr>
        <w:t>d</w:t>
      </w:r>
      <w:r>
        <w:rPr>
          <w:rFonts w:ascii="Verdana" w:hAnsi="Verdana"/>
          <w:sz w:val="16"/>
          <w:szCs w:val="16"/>
        </w:rPr>
        <w:t>]</w:t>
      </w:r>
      <w:proofErr w:type="spellStart"/>
      <w:r w:rsidRPr="00C26F45">
        <w:rPr>
          <w:rFonts w:ascii="Verdana" w:hAnsi="Verdana"/>
          <w:sz w:val="16"/>
          <w:szCs w:val="16"/>
        </w:rPr>
        <w:t>efensorial</w:t>
      </w:r>
      <w:proofErr w:type="spellEnd"/>
      <w:r w:rsidRPr="00C26F45">
        <w:rPr>
          <w:rFonts w:ascii="Verdana" w:hAnsi="Verdana"/>
          <w:sz w:val="16"/>
          <w:szCs w:val="16"/>
        </w:rPr>
        <w:t>” en el cual ha emitido resoluciones para “solicita[r] información respecto del avance de las investigaciones”.</w:t>
      </w:r>
    </w:p>
  </w:footnote>
  <w:footnote w:id="31">
    <w:p w:rsidR="00B01195" w:rsidRPr="00C26F45" w:rsidRDefault="00B01195" w:rsidP="00CF07CC">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Indicaron que Ecuador “</w:t>
      </w:r>
      <w:r w:rsidRPr="00C26F45">
        <w:rPr>
          <w:rFonts w:ascii="Verdana" w:hAnsi="Verdana" w:cs="Arial"/>
          <w:sz w:val="16"/>
          <w:szCs w:val="16"/>
        </w:rPr>
        <w:t xml:space="preserve">no ha aportado información reciente […], pues las últimas diligencias referenciadas en su[s] informe[s] fueron realizadas en </w:t>
      </w:r>
      <w:r>
        <w:rPr>
          <w:rFonts w:ascii="Verdana" w:hAnsi="Verdana" w:cs="Arial"/>
          <w:sz w:val="16"/>
          <w:szCs w:val="16"/>
        </w:rPr>
        <w:t>[</w:t>
      </w:r>
      <w:r w:rsidRPr="00C26F45">
        <w:rPr>
          <w:rFonts w:ascii="Verdana" w:hAnsi="Verdana" w:cs="Arial"/>
          <w:sz w:val="16"/>
          <w:szCs w:val="16"/>
        </w:rPr>
        <w:t>el</w:t>
      </w:r>
      <w:r>
        <w:rPr>
          <w:rFonts w:ascii="Verdana" w:hAnsi="Verdana" w:cs="Arial"/>
          <w:sz w:val="16"/>
          <w:szCs w:val="16"/>
        </w:rPr>
        <w:t>]</w:t>
      </w:r>
      <w:r w:rsidRPr="00C26F45">
        <w:rPr>
          <w:rFonts w:ascii="Verdana" w:hAnsi="Verdana" w:cs="Arial"/>
          <w:sz w:val="16"/>
          <w:szCs w:val="16"/>
        </w:rPr>
        <w:t xml:space="preserve"> 2011 en el marco de la indagación previa”.</w:t>
      </w:r>
      <w:r w:rsidRPr="00C26F45">
        <w:rPr>
          <w:rFonts w:ascii="Verdana" w:hAnsi="Verdana" w:cs="Arial"/>
          <w:b/>
          <w:sz w:val="16"/>
          <w:szCs w:val="16"/>
        </w:rPr>
        <w:t xml:space="preserve"> </w:t>
      </w:r>
      <w:r w:rsidRPr="00C26F45">
        <w:rPr>
          <w:rFonts w:ascii="Verdana" w:hAnsi="Verdana" w:cs="Arial"/>
          <w:sz w:val="16"/>
          <w:szCs w:val="16"/>
        </w:rPr>
        <w:t>Además, alegaron que la información que presentó el Estado recientemente se refiere a “gestiones de mero trámite” que no denotan ningún avance sustantivo en la investigación.</w:t>
      </w:r>
    </w:p>
  </w:footnote>
  <w:footnote w:id="32">
    <w:p w:rsidR="00B01195" w:rsidRPr="00C26F45" w:rsidRDefault="00B01195" w:rsidP="00403A9C">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cs="Arial"/>
          <w:sz w:val="16"/>
          <w:szCs w:val="16"/>
        </w:rPr>
        <w:t xml:space="preserve">La </w:t>
      </w:r>
      <w:r w:rsidRPr="00C26F45">
        <w:rPr>
          <w:rFonts w:ascii="Verdana" w:hAnsi="Verdana" w:cs="Arial"/>
          <w:i/>
          <w:sz w:val="16"/>
          <w:szCs w:val="16"/>
        </w:rPr>
        <w:t>Comisión Interamericana</w:t>
      </w:r>
      <w:r w:rsidRPr="00C26F45">
        <w:rPr>
          <w:rFonts w:ascii="Verdana" w:hAnsi="Verdana" w:cs="Arial"/>
          <w:sz w:val="16"/>
          <w:szCs w:val="16"/>
        </w:rPr>
        <w:t xml:space="preserve"> expresó “su profunda preocupación [por</w:t>
      </w:r>
      <w:proofErr w:type="gramStart"/>
      <w:r w:rsidRPr="00C26F45">
        <w:rPr>
          <w:rFonts w:ascii="Verdana" w:hAnsi="Verdana" w:cs="Arial"/>
          <w:sz w:val="16"/>
          <w:szCs w:val="16"/>
        </w:rPr>
        <w:t>]que</w:t>
      </w:r>
      <w:proofErr w:type="gramEnd"/>
      <w:r w:rsidRPr="00C26F45">
        <w:rPr>
          <w:rFonts w:ascii="Verdana" w:hAnsi="Verdana" w:cs="Arial"/>
          <w:sz w:val="16"/>
          <w:szCs w:val="16"/>
        </w:rPr>
        <w:t xml:space="preserve"> a la fecha el caso todavía se encuentra en etapa de indagación previa”, y que “resulta apremiante adoptar medidas destinadas a superar la actual situación de impunidad”.</w:t>
      </w:r>
    </w:p>
  </w:footnote>
  <w:footnote w:id="33">
    <w:p w:rsidR="00B01195" w:rsidRPr="00C26F45" w:rsidRDefault="00B01195" w:rsidP="00403A9C">
      <w:pPr>
        <w:pStyle w:val="Textonotapie"/>
        <w:tabs>
          <w:tab w:val="left" w:pos="426"/>
          <w:tab w:val="left" w:pos="709"/>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Style w:val="Textoennegrita"/>
          <w:rFonts w:ascii="Verdana" w:hAnsi="Verdana"/>
          <w:b w:val="0"/>
          <w:i/>
          <w:color w:val="000000"/>
          <w:sz w:val="16"/>
          <w:szCs w:val="16"/>
          <w:shd w:val="clear" w:color="auto" w:fill="FFFFFF"/>
        </w:rPr>
        <w:t xml:space="preserve">Cfr. Caso Tibi, supra </w:t>
      </w:r>
      <w:r w:rsidRPr="00C26F45">
        <w:rPr>
          <w:rStyle w:val="Textoennegrita"/>
          <w:rFonts w:ascii="Verdana" w:hAnsi="Verdana"/>
          <w:b w:val="0"/>
          <w:color w:val="000000"/>
          <w:sz w:val="16"/>
          <w:szCs w:val="16"/>
          <w:shd w:val="clear" w:color="auto" w:fill="FFFFFF"/>
        </w:rPr>
        <w:t>nota 1, párr. 255.</w:t>
      </w:r>
    </w:p>
  </w:footnote>
  <w:footnote w:id="34">
    <w:p w:rsidR="00B01195" w:rsidRPr="00C26F45" w:rsidRDefault="00B01195" w:rsidP="00C26F45">
      <w:pPr>
        <w:pStyle w:val="Textonotapie"/>
        <w:tabs>
          <w:tab w:val="left" w:pos="426"/>
        </w:tabs>
        <w:jc w:val="both"/>
        <w:rPr>
          <w:rFonts w:ascii="Verdana" w:hAnsi="Verdana"/>
          <w:color w:val="00B050"/>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Cfr</w:t>
      </w:r>
      <w:r w:rsidRPr="00CF07CC">
        <w:rPr>
          <w:rFonts w:ascii="Verdana" w:hAnsi="Verdana"/>
          <w:b/>
          <w:i/>
          <w:sz w:val="16"/>
          <w:szCs w:val="16"/>
        </w:rPr>
        <w:t>.</w:t>
      </w:r>
      <w:r w:rsidRPr="00CF07CC">
        <w:rPr>
          <w:rFonts w:ascii="Verdana" w:hAnsi="Verdana"/>
          <w:b/>
          <w:sz w:val="16"/>
          <w:szCs w:val="16"/>
        </w:rPr>
        <w:t xml:space="preserve"> </w:t>
      </w:r>
      <w:r w:rsidR="006E3C69" w:rsidRPr="00CF07CC">
        <w:rPr>
          <w:rStyle w:val="Textoennegrita"/>
          <w:rFonts w:ascii="Verdana" w:hAnsi="Verdana"/>
          <w:b w:val="0"/>
          <w:i/>
          <w:color w:val="000000"/>
          <w:sz w:val="16"/>
          <w:szCs w:val="16"/>
          <w:shd w:val="clear" w:color="auto" w:fill="FFFFFF"/>
        </w:rPr>
        <w:t>Caso de la “Panel Blanca” (Paniagua Morales y otros) Vs. Guatemala. Fondo.</w:t>
      </w:r>
      <w:r w:rsidR="006E3C69" w:rsidRPr="00CF07CC">
        <w:rPr>
          <w:rStyle w:val="Textoennegrita"/>
          <w:rFonts w:ascii="Verdana" w:hAnsi="Verdana"/>
          <w:b w:val="0"/>
          <w:color w:val="000000"/>
          <w:sz w:val="16"/>
          <w:szCs w:val="16"/>
          <w:shd w:val="clear" w:color="auto" w:fill="FFFFFF"/>
        </w:rPr>
        <w:t xml:space="preserve"> Sentencia de 8 de marzo de 1998. Serie C No. 37, párr. 173</w:t>
      </w:r>
      <w:r w:rsidR="006E3C69">
        <w:rPr>
          <w:rStyle w:val="Textoennegrita"/>
          <w:rFonts w:ascii="Verdana" w:hAnsi="Verdana"/>
          <w:b w:val="0"/>
          <w:color w:val="000000"/>
          <w:sz w:val="16"/>
          <w:szCs w:val="16"/>
          <w:shd w:val="clear" w:color="auto" w:fill="FFFFFF"/>
        </w:rPr>
        <w:t xml:space="preserve">, y </w:t>
      </w:r>
      <w:r w:rsidR="006E3C69" w:rsidRPr="00CF07CC">
        <w:rPr>
          <w:rStyle w:val="Textoennegrita"/>
          <w:rFonts w:ascii="Verdana" w:hAnsi="Verdana"/>
          <w:b w:val="0"/>
          <w:i/>
          <w:color w:val="000000"/>
          <w:sz w:val="16"/>
          <w:szCs w:val="16"/>
          <w:shd w:val="clear" w:color="auto" w:fill="FFFFFF"/>
        </w:rPr>
        <w:t>12 Casos Guatemaltecos Vs. Guatemala. Supervisión de Cumplimiento de Sentencia.</w:t>
      </w:r>
      <w:r w:rsidR="006E3C69" w:rsidRPr="00CF07CC">
        <w:rPr>
          <w:rStyle w:val="Textoennegrita"/>
          <w:rFonts w:ascii="Verdana" w:hAnsi="Verdana"/>
          <w:b w:val="0"/>
          <w:color w:val="000000"/>
          <w:sz w:val="16"/>
          <w:szCs w:val="16"/>
          <w:shd w:val="clear" w:color="auto" w:fill="FFFFFF"/>
        </w:rPr>
        <w:t xml:space="preserve"> Resolución de la Corte Interamericana de Derechos Humanos de 24 de noviembre de 2015, Considerando cuadragésimo segundo.</w:t>
      </w:r>
      <w:r w:rsidR="006E3C69" w:rsidRPr="00C26F45" w:rsidDel="006E3C69">
        <w:rPr>
          <w:rFonts w:ascii="Verdana" w:hAnsi="Verdana"/>
          <w:i/>
          <w:sz w:val="16"/>
          <w:szCs w:val="16"/>
        </w:rPr>
        <w:t xml:space="preserve"> </w:t>
      </w:r>
    </w:p>
  </w:footnote>
  <w:footnote w:id="35">
    <w:p w:rsidR="00B01195" w:rsidRPr="00C26F45" w:rsidRDefault="00B01195" w:rsidP="00C26F45">
      <w:pPr>
        <w:pStyle w:val="Textonotapie"/>
        <w:tabs>
          <w:tab w:val="left" w:pos="450"/>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9092F">
        <w:rPr>
          <w:rFonts w:ascii="Verdana" w:hAnsi="Verdana"/>
          <w:sz w:val="16"/>
          <w:szCs w:val="16"/>
        </w:rPr>
        <w:t>La Corte ha establecido que “el paso del tiempo guarda una relación directamente proporcional con la limitación –</w:t>
      </w:r>
      <w:r w:rsidRPr="00FE06E9">
        <w:rPr>
          <w:rFonts w:ascii="Verdana" w:hAnsi="Verdana"/>
          <w:sz w:val="16"/>
          <w:szCs w:val="16"/>
        </w:rPr>
        <w:t xml:space="preserve">y en algunos casos, la </w:t>
      </w:r>
      <w:r w:rsidRPr="00C9092F">
        <w:rPr>
          <w:rFonts w:ascii="Verdana" w:hAnsi="Verdana"/>
          <w:sz w:val="16"/>
          <w:szCs w:val="16"/>
        </w:rPr>
        <w:t xml:space="preserve">imposibilidad- para obtener las pruebas y/o testimonios, dificultando y aún tornando nugatoria o ineficaz la práctica de diligencias probatorias a fin de esclarecer los hechos materia de investigación, identificar a los posibles autores y partícipes, y determinar las eventuales responsabilidades penales. Sin perjuicio de ello, las autoridades nacionales no están eximidas de realizar todos los esfuerzos necesarios en cumplimiento de su obligación de investigar”. </w:t>
      </w:r>
      <w:r w:rsidRPr="00C9092F">
        <w:rPr>
          <w:rFonts w:ascii="Verdana" w:hAnsi="Verdana"/>
          <w:i/>
          <w:sz w:val="16"/>
          <w:szCs w:val="16"/>
        </w:rPr>
        <w:t xml:space="preserve">Cfr. Caso Heliodoro Portugal Vs. Panamá. Excepciones Preliminares, Fondo, Reparaciones y Costas. </w:t>
      </w:r>
      <w:r w:rsidRPr="00C9092F">
        <w:rPr>
          <w:rFonts w:ascii="Verdana" w:hAnsi="Verdana"/>
          <w:sz w:val="16"/>
          <w:szCs w:val="16"/>
        </w:rPr>
        <w:t xml:space="preserve">Sentencia de 12 de agosto de 2008. Serie C No. 186, párr. 150, y </w:t>
      </w:r>
      <w:r w:rsidRPr="00C9092F">
        <w:rPr>
          <w:rStyle w:val="Textoennegrita"/>
          <w:rFonts w:ascii="Verdana" w:hAnsi="Verdana"/>
          <w:b w:val="0"/>
          <w:i/>
          <w:color w:val="000000"/>
          <w:sz w:val="16"/>
          <w:szCs w:val="16"/>
          <w:shd w:val="clear" w:color="auto" w:fill="FFFFFF"/>
        </w:rPr>
        <w:t>Caso Cabrera García y Montiel Flores Vs. México. Supervisión de Cumplimiento de Sentencia.</w:t>
      </w:r>
      <w:r w:rsidRPr="00C9092F">
        <w:rPr>
          <w:rStyle w:val="Textoennegrita"/>
          <w:rFonts w:ascii="Verdana" w:hAnsi="Verdana"/>
          <w:b w:val="0"/>
          <w:color w:val="000000"/>
          <w:sz w:val="16"/>
          <w:szCs w:val="16"/>
          <w:shd w:val="clear" w:color="auto" w:fill="FFFFFF"/>
        </w:rPr>
        <w:t xml:space="preserve"> Resolución de la Corte Interamericana de Derechos Humanos de 21 de agosto de 2013, Considerando </w:t>
      </w:r>
      <w:r w:rsidR="00C9092F" w:rsidRPr="00C9092F">
        <w:rPr>
          <w:rStyle w:val="Textoennegrita"/>
          <w:rFonts w:ascii="Verdana" w:hAnsi="Verdana"/>
          <w:b w:val="0"/>
          <w:color w:val="000000"/>
          <w:sz w:val="16"/>
          <w:szCs w:val="16"/>
          <w:shd w:val="clear" w:color="auto" w:fill="FFFFFF"/>
        </w:rPr>
        <w:t>décimo quinto</w:t>
      </w:r>
      <w:r w:rsidRPr="00C9092F">
        <w:rPr>
          <w:rStyle w:val="Textoennegrita"/>
          <w:rFonts w:ascii="Verdana" w:hAnsi="Verdana"/>
          <w:b w:val="0"/>
          <w:color w:val="000000"/>
          <w:sz w:val="16"/>
          <w:szCs w:val="16"/>
          <w:shd w:val="clear" w:color="auto" w:fill="FFFFFF"/>
        </w:rPr>
        <w:t>.</w:t>
      </w:r>
    </w:p>
  </w:footnote>
  <w:footnote w:id="36">
    <w:p w:rsidR="00B01195" w:rsidRPr="00C26F45" w:rsidRDefault="00B01195" w:rsidP="00CF07CC">
      <w:pPr>
        <w:pStyle w:val="Textonotapie"/>
        <w:tabs>
          <w:tab w:val="left" w:pos="450"/>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Al respecto, los </w:t>
      </w:r>
      <w:r w:rsidRPr="00C26F45">
        <w:rPr>
          <w:rFonts w:ascii="Verdana" w:hAnsi="Verdana"/>
          <w:i/>
          <w:sz w:val="16"/>
          <w:szCs w:val="16"/>
        </w:rPr>
        <w:t>representantes</w:t>
      </w:r>
      <w:r w:rsidRPr="00C26F45">
        <w:rPr>
          <w:rFonts w:ascii="Verdana" w:hAnsi="Verdana"/>
          <w:sz w:val="16"/>
          <w:szCs w:val="16"/>
        </w:rPr>
        <w:t xml:space="preserve"> observaron que </w:t>
      </w:r>
      <w:r w:rsidRPr="00C26F45">
        <w:rPr>
          <w:rFonts w:ascii="Verdana" w:hAnsi="Verdana" w:cs="Arial"/>
          <w:sz w:val="16"/>
          <w:szCs w:val="16"/>
        </w:rPr>
        <w:t>“el Estado no puede alegar la reserva de investigación para omitir presentar información sobre los avances en la indagación previa”.</w:t>
      </w:r>
    </w:p>
  </w:footnote>
  <w:footnote w:id="37">
    <w:p w:rsidR="00B01195" w:rsidRPr="00C26F45" w:rsidRDefault="00B01195" w:rsidP="00C26F45">
      <w:pPr>
        <w:pStyle w:val="Textonotapie"/>
        <w:tabs>
          <w:tab w:val="left" w:pos="426"/>
        </w:tabs>
        <w:jc w:val="both"/>
        <w:rPr>
          <w:rFonts w:ascii="Verdana" w:hAnsi="Verdana"/>
          <w:b/>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Cfr.</w:t>
      </w:r>
      <w:r w:rsidRPr="00C26F45">
        <w:rPr>
          <w:rFonts w:ascii="Verdana" w:hAnsi="Verdana"/>
          <w:b/>
          <w:i/>
          <w:sz w:val="16"/>
          <w:szCs w:val="16"/>
        </w:rPr>
        <w:t xml:space="preserve"> </w:t>
      </w:r>
      <w:r w:rsidRPr="00C26F45">
        <w:rPr>
          <w:rStyle w:val="Textoennegrita"/>
          <w:rFonts w:ascii="Verdana" w:hAnsi="Verdana"/>
          <w:b w:val="0"/>
          <w:i/>
          <w:color w:val="000000"/>
          <w:sz w:val="16"/>
          <w:szCs w:val="16"/>
          <w:shd w:val="clear" w:color="auto" w:fill="FFFFFF"/>
        </w:rPr>
        <w:t xml:space="preserve">Caso de las Masacres de </w:t>
      </w:r>
      <w:proofErr w:type="spellStart"/>
      <w:r w:rsidRPr="00C26F45">
        <w:rPr>
          <w:rStyle w:val="Textoennegrita"/>
          <w:rFonts w:ascii="Verdana" w:hAnsi="Verdana"/>
          <w:b w:val="0"/>
          <w:i/>
          <w:color w:val="000000"/>
          <w:sz w:val="16"/>
          <w:szCs w:val="16"/>
          <w:shd w:val="clear" w:color="auto" w:fill="FFFFFF"/>
        </w:rPr>
        <w:t>Ituango</w:t>
      </w:r>
      <w:proofErr w:type="spellEnd"/>
      <w:r w:rsidRPr="00C26F45">
        <w:rPr>
          <w:rStyle w:val="Textoennegrita"/>
          <w:rFonts w:ascii="Verdana" w:hAnsi="Verdana"/>
          <w:b w:val="0"/>
          <w:i/>
          <w:color w:val="000000"/>
          <w:sz w:val="16"/>
          <w:szCs w:val="16"/>
          <w:shd w:val="clear" w:color="auto" w:fill="FFFFFF"/>
        </w:rPr>
        <w:t xml:space="preserve"> Vs. Colombia. Supervisión de Cumplimiento de Sentencia.</w:t>
      </w:r>
      <w:r w:rsidRPr="00C26F45">
        <w:rPr>
          <w:rStyle w:val="Textoennegrita"/>
          <w:rFonts w:ascii="Verdana" w:hAnsi="Verdana"/>
          <w:b w:val="0"/>
          <w:color w:val="000000"/>
          <w:sz w:val="16"/>
          <w:szCs w:val="16"/>
          <w:shd w:val="clear" w:color="auto" w:fill="FFFFFF"/>
        </w:rPr>
        <w:t xml:space="preserve"> Resolución de la Corte Interamericana de Derechos Humanos de 7 de julio de 2009, Considerando </w:t>
      </w:r>
      <w:r w:rsidR="00FE06E9">
        <w:rPr>
          <w:rStyle w:val="Textoennegrita"/>
          <w:rFonts w:ascii="Verdana" w:hAnsi="Verdana"/>
          <w:b w:val="0"/>
          <w:color w:val="000000"/>
          <w:sz w:val="16"/>
          <w:szCs w:val="16"/>
          <w:shd w:val="clear" w:color="auto" w:fill="FFFFFF"/>
        </w:rPr>
        <w:t>décimo segundo</w:t>
      </w:r>
      <w:r w:rsidRPr="00C26F45">
        <w:rPr>
          <w:rStyle w:val="Textoennegrita"/>
          <w:rFonts w:ascii="Verdana" w:hAnsi="Verdana"/>
          <w:b w:val="0"/>
          <w:color w:val="000000"/>
          <w:sz w:val="16"/>
          <w:szCs w:val="16"/>
          <w:shd w:val="clear" w:color="auto" w:fill="FFFFFF"/>
        </w:rPr>
        <w:t xml:space="preserve">; </w:t>
      </w:r>
      <w:r w:rsidRPr="00C26F45">
        <w:rPr>
          <w:rStyle w:val="Textoennegrita"/>
          <w:rFonts w:ascii="Verdana" w:hAnsi="Verdana"/>
          <w:b w:val="0"/>
          <w:i/>
          <w:color w:val="000000"/>
          <w:sz w:val="16"/>
          <w:szCs w:val="16"/>
          <w:shd w:val="clear" w:color="auto" w:fill="FFFFFF"/>
        </w:rPr>
        <w:t>Caso de la Masacre de la Rochela Vs. Colombia. Supervisión de Cumplimiento de Sentencia.</w:t>
      </w:r>
      <w:r w:rsidRPr="00C26F45">
        <w:rPr>
          <w:rStyle w:val="Textoennegrita"/>
          <w:rFonts w:ascii="Verdana" w:hAnsi="Verdana"/>
          <w:b w:val="0"/>
          <w:color w:val="000000"/>
          <w:sz w:val="16"/>
          <w:szCs w:val="16"/>
          <w:shd w:val="clear" w:color="auto" w:fill="FFFFFF"/>
        </w:rPr>
        <w:t xml:space="preserve"> Resolución de la Corte Interamericana de Derechos Humanos 26 de agosto de 2010, Considerando </w:t>
      </w:r>
      <w:r w:rsidR="00FE06E9">
        <w:rPr>
          <w:rStyle w:val="Textoennegrita"/>
          <w:rFonts w:ascii="Verdana" w:hAnsi="Verdana"/>
          <w:b w:val="0"/>
          <w:color w:val="000000"/>
          <w:sz w:val="16"/>
          <w:szCs w:val="16"/>
          <w:shd w:val="clear" w:color="auto" w:fill="FFFFFF"/>
        </w:rPr>
        <w:t>quincuagésimo quinto</w:t>
      </w:r>
      <w:r w:rsidRPr="00C26F45">
        <w:rPr>
          <w:rStyle w:val="Textoennegrita"/>
          <w:rFonts w:ascii="Verdana" w:hAnsi="Verdana"/>
          <w:b w:val="0"/>
          <w:color w:val="000000"/>
          <w:sz w:val="16"/>
          <w:szCs w:val="16"/>
          <w:shd w:val="clear" w:color="auto" w:fill="FFFFFF"/>
        </w:rPr>
        <w:t xml:space="preserve">, y </w:t>
      </w:r>
      <w:r w:rsidRPr="00C26F45">
        <w:rPr>
          <w:rStyle w:val="Textoennegrita"/>
          <w:rFonts w:ascii="Verdana" w:hAnsi="Verdana"/>
          <w:b w:val="0"/>
          <w:i/>
          <w:color w:val="000000"/>
          <w:sz w:val="16"/>
          <w:szCs w:val="16"/>
          <w:shd w:val="clear" w:color="auto" w:fill="FFFFFF"/>
        </w:rPr>
        <w:t xml:space="preserve">Caso Zambrano Vélez y otros Vs. Ecuador. Supervisión de Cumplimiento de Sentencia. </w:t>
      </w:r>
      <w:r w:rsidRPr="00C26F45">
        <w:rPr>
          <w:rStyle w:val="Textoennegrita"/>
          <w:rFonts w:ascii="Verdana" w:hAnsi="Verdana"/>
          <w:b w:val="0"/>
          <w:color w:val="000000"/>
          <w:sz w:val="16"/>
          <w:szCs w:val="16"/>
          <w:shd w:val="clear" w:color="auto" w:fill="FFFFFF"/>
        </w:rPr>
        <w:t xml:space="preserve">Resolución de la Corte Interamericana de Derechos Humanos de 1 de septiembre de 2016, Considerando </w:t>
      </w:r>
      <w:r w:rsidR="00FE06E9">
        <w:rPr>
          <w:rStyle w:val="Textoennegrita"/>
          <w:rFonts w:ascii="Verdana" w:hAnsi="Verdana"/>
          <w:b w:val="0"/>
          <w:color w:val="000000"/>
          <w:sz w:val="16"/>
          <w:szCs w:val="16"/>
          <w:shd w:val="clear" w:color="auto" w:fill="FFFFFF"/>
        </w:rPr>
        <w:t>décimo tercero</w:t>
      </w:r>
      <w:r w:rsidRPr="00C26F45">
        <w:rPr>
          <w:rStyle w:val="Textoennegrita"/>
          <w:rFonts w:ascii="Verdana" w:hAnsi="Verdana"/>
          <w:b w:val="0"/>
          <w:color w:val="000000"/>
          <w:sz w:val="16"/>
          <w:szCs w:val="16"/>
          <w:shd w:val="clear" w:color="auto" w:fill="FFFFFF"/>
        </w:rPr>
        <w:t>.</w:t>
      </w:r>
    </w:p>
  </w:footnote>
  <w:footnote w:id="38">
    <w:p w:rsidR="00B01195" w:rsidRPr="00C26F45" w:rsidRDefault="00B01195" w:rsidP="00C26F45">
      <w:pPr>
        <w:pStyle w:val="Textonotapie"/>
        <w:tabs>
          <w:tab w:val="left" w:pos="0"/>
          <w:tab w:val="left" w:pos="426"/>
        </w:tabs>
        <w:jc w:val="both"/>
        <w:rPr>
          <w:rFonts w:ascii="Verdana" w:hAnsi="Verdana"/>
          <w:b/>
          <w:bCs/>
          <w:color w:val="000000"/>
          <w:sz w:val="16"/>
          <w:szCs w:val="16"/>
          <w:shd w:val="clear" w:color="auto" w:fill="FFFFFF"/>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Cfr.</w:t>
      </w:r>
      <w:r w:rsidRPr="00C26F45">
        <w:rPr>
          <w:rFonts w:ascii="Verdana" w:hAnsi="Verdana"/>
          <w:b/>
          <w:i/>
          <w:sz w:val="16"/>
          <w:szCs w:val="16"/>
        </w:rPr>
        <w:t xml:space="preserve"> </w:t>
      </w:r>
      <w:r w:rsidRPr="00C26F45">
        <w:rPr>
          <w:rStyle w:val="Textoennegrita"/>
          <w:rFonts w:ascii="Verdana" w:hAnsi="Verdana"/>
          <w:b w:val="0"/>
          <w:i/>
          <w:color w:val="000000"/>
          <w:sz w:val="16"/>
          <w:szCs w:val="16"/>
          <w:shd w:val="clear" w:color="auto" w:fill="FFFFFF"/>
        </w:rPr>
        <w:t xml:space="preserve">Caso de las Masacres de </w:t>
      </w:r>
      <w:proofErr w:type="spellStart"/>
      <w:r w:rsidRPr="00C26F45">
        <w:rPr>
          <w:rStyle w:val="Textoennegrita"/>
          <w:rFonts w:ascii="Verdana" w:hAnsi="Verdana"/>
          <w:b w:val="0"/>
          <w:i/>
          <w:color w:val="000000"/>
          <w:sz w:val="16"/>
          <w:szCs w:val="16"/>
          <w:shd w:val="clear" w:color="auto" w:fill="FFFFFF"/>
        </w:rPr>
        <w:t>Ituango</w:t>
      </w:r>
      <w:proofErr w:type="spellEnd"/>
      <w:r w:rsidRPr="00C26F45">
        <w:rPr>
          <w:rStyle w:val="Textoennegrita"/>
          <w:rFonts w:ascii="Verdana" w:hAnsi="Verdana"/>
          <w:b w:val="0"/>
          <w:i/>
          <w:color w:val="000000"/>
          <w:sz w:val="16"/>
          <w:szCs w:val="16"/>
          <w:shd w:val="clear" w:color="auto" w:fill="FFFFFF"/>
        </w:rPr>
        <w:t xml:space="preserve"> Vs. Colombia. Supervisión de Cumplimiento de Sentencia</w:t>
      </w:r>
      <w:r w:rsidR="00FE06E9">
        <w:rPr>
          <w:rStyle w:val="Textoennegrita"/>
          <w:rFonts w:ascii="Verdana" w:hAnsi="Verdana"/>
          <w:b w:val="0"/>
          <w:i/>
          <w:color w:val="000000"/>
          <w:sz w:val="16"/>
          <w:szCs w:val="16"/>
          <w:shd w:val="clear" w:color="auto" w:fill="FFFFFF"/>
        </w:rPr>
        <w:t xml:space="preserve">, supra </w:t>
      </w:r>
      <w:r w:rsidR="00FE06E9">
        <w:rPr>
          <w:rStyle w:val="Textoennegrita"/>
          <w:rFonts w:ascii="Verdana" w:hAnsi="Verdana"/>
          <w:b w:val="0"/>
          <w:color w:val="000000"/>
          <w:sz w:val="16"/>
          <w:szCs w:val="16"/>
          <w:shd w:val="clear" w:color="auto" w:fill="FFFFFF"/>
        </w:rPr>
        <w:t xml:space="preserve">nota </w:t>
      </w:r>
      <w:r w:rsidR="00403A9C">
        <w:rPr>
          <w:rStyle w:val="Textoennegrita"/>
          <w:rFonts w:ascii="Verdana" w:hAnsi="Verdana"/>
          <w:b w:val="0"/>
          <w:color w:val="000000"/>
          <w:sz w:val="16"/>
          <w:szCs w:val="16"/>
          <w:shd w:val="clear" w:color="auto" w:fill="FFFFFF"/>
        </w:rPr>
        <w:t>36</w:t>
      </w:r>
      <w:r w:rsidR="00FE06E9">
        <w:rPr>
          <w:rStyle w:val="Textoennegrita"/>
          <w:rFonts w:ascii="Verdana" w:hAnsi="Verdana"/>
          <w:b w:val="0"/>
          <w:color w:val="000000"/>
          <w:sz w:val="16"/>
          <w:szCs w:val="16"/>
          <w:shd w:val="clear" w:color="auto" w:fill="FFFFFF"/>
        </w:rPr>
        <w:t>,</w:t>
      </w:r>
      <w:r w:rsidRPr="00C26F45">
        <w:rPr>
          <w:rStyle w:val="Textoennegrita"/>
          <w:rFonts w:ascii="Verdana" w:hAnsi="Verdana"/>
          <w:b w:val="0"/>
          <w:color w:val="000000"/>
          <w:sz w:val="16"/>
          <w:szCs w:val="16"/>
          <w:shd w:val="clear" w:color="auto" w:fill="FFFFFF"/>
        </w:rPr>
        <w:t xml:space="preserve"> Considerando 12, y </w:t>
      </w:r>
      <w:r w:rsidRPr="00C26F45">
        <w:rPr>
          <w:rStyle w:val="Textoennegrita"/>
          <w:rFonts w:ascii="Verdana" w:hAnsi="Verdana"/>
          <w:b w:val="0"/>
          <w:i/>
          <w:color w:val="000000"/>
          <w:sz w:val="16"/>
          <w:szCs w:val="16"/>
          <w:shd w:val="clear" w:color="auto" w:fill="FFFFFF"/>
        </w:rPr>
        <w:t>Caso de la Masacre de la Rochela Vs. Colombia. Supervisión de Cumplimiento de Sentencia</w:t>
      </w:r>
      <w:r w:rsidR="00FE06E9">
        <w:rPr>
          <w:rStyle w:val="Textoennegrita"/>
          <w:rFonts w:ascii="Verdana" w:hAnsi="Verdana"/>
          <w:b w:val="0"/>
          <w:i/>
          <w:color w:val="000000"/>
          <w:sz w:val="16"/>
          <w:szCs w:val="16"/>
          <w:shd w:val="clear" w:color="auto" w:fill="FFFFFF"/>
        </w:rPr>
        <w:t xml:space="preserve">, supra </w:t>
      </w:r>
      <w:r w:rsidR="00FE06E9" w:rsidRPr="00CF07CC">
        <w:rPr>
          <w:rStyle w:val="Textoennegrita"/>
          <w:rFonts w:ascii="Verdana" w:hAnsi="Verdana"/>
          <w:b w:val="0"/>
          <w:color w:val="000000"/>
          <w:sz w:val="16"/>
          <w:szCs w:val="16"/>
          <w:shd w:val="clear" w:color="auto" w:fill="FFFFFF"/>
        </w:rPr>
        <w:t xml:space="preserve">nota </w:t>
      </w:r>
      <w:r w:rsidR="00403A9C" w:rsidRPr="00CF07CC">
        <w:rPr>
          <w:rStyle w:val="Textoennegrita"/>
          <w:rFonts w:ascii="Verdana" w:hAnsi="Verdana"/>
          <w:b w:val="0"/>
          <w:color w:val="000000"/>
          <w:sz w:val="16"/>
          <w:szCs w:val="16"/>
          <w:shd w:val="clear" w:color="auto" w:fill="FFFFFF"/>
        </w:rPr>
        <w:t>3</w:t>
      </w:r>
      <w:r w:rsidR="00403A9C">
        <w:rPr>
          <w:rStyle w:val="Textoennegrita"/>
          <w:rFonts w:ascii="Verdana" w:hAnsi="Verdana"/>
          <w:b w:val="0"/>
          <w:color w:val="000000"/>
          <w:sz w:val="16"/>
          <w:szCs w:val="16"/>
          <w:shd w:val="clear" w:color="auto" w:fill="FFFFFF"/>
        </w:rPr>
        <w:t>6</w:t>
      </w:r>
      <w:r w:rsidR="00FE06E9">
        <w:rPr>
          <w:rStyle w:val="Textoennegrita"/>
          <w:rFonts w:ascii="Verdana" w:hAnsi="Verdana"/>
          <w:b w:val="0"/>
          <w:i/>
          <w:color w:val="000000"/>
          <w:sz w:val="16"/>
          <w:szCs w:val="16"/>
          <w:shd w:val="clear" w:color="auto" w:fill="FFFFFF"/>
        </w:rPr>
        <w:t>,</w:t>
      </w:r>
      <w:r w:rsidRPr="00C26F45">
        <w:rPr>
          <w:rStyle w:val="Textoennegrita"/>
          <w:rFonts w:ascii="Verdana" w:hAnsi="Verdana"/>
          <w:b w:val="0"/>
          <w:color w:val="000000"/>
          <w:sz w:val="16"/>
          <w:szCs w:val="16"/>
          <w:shd w:val="clear" w:color="auto" w:fill="FFFFFF"/>
        </w:rPr>
        <w:t xml:space="preserve"> Considerando </w:t>
      </w:r>
      <w:r w:rsidR="00FE06E9">
        <w:rPr>
          <w:rStyle w:val="Textoennegrita"/>
          <w:rFonts w:ascii="Verdana" w:hAnsi="Verdana"/>
          <w:b w:val="0"/>
          <w:color w:val="000000"/>
          <w:sz w:val="16"/>
          <w:szCs w:val="16"/>
          <w:shd w:val="clear" w:color="auto" w:fill="FFFFFF"/>
        </w:rPr>
        <w:t>quincuagésimo quinto</w:t>
      </w:r>
      <w:r w:rsidRPr="00C26F45">
        <w:rPr>
          <w:rStyle w:val="Textoennegrita"/>
          <w:rFonts w:ascii="Verdana" w:hAnsi="Verdana"/>
          <w:b w:val="0"/>
          <w:color w:val="000000"/>
          <w:sz w:val="16"/>
          <w:szCs w:val="16"/>
          <w:shd w:val="clear" w:color="auto" w:fill="FFFFFF"/>
        </w:rPr>
        <w:t>.</w:t>
      </w:r>
    </w:p>
  </w:footnote>
  <w:footnote w:id="39">
    <w:p w:rsidR="00B01195" w:rsidRPr="00032D01" w:rsidRDefault="00B01195" w:rsidP="00032D01">
      <w:pPr>
        <w:pStyle w:val="Textonotapie"/>
        <w:jc w:val="both"/>
        <w:rPr>
          <w:rFonts w:ascii="Verdana" w:hAnsi="Verdana"/>
          <w:sz w:val="16"/>
          <w:szCs w:val="16"/>
        </w:rPr>
      </w:pPr>
      <w:r w:rsidRPr="00032D01">
        <w:rPr>
          <w:rStyle w:val="Refdenotaalpie"/>
          <w:rFonts w:ascii="Verdana" w:hAnsi="Verdana"/>
          <w:sz w:val="16"/>
          <w:szCs w:val="16"/>
        </w:rPr>
        <w:footnoteRef/>
      </w:r>
      <w:r w:rsidRPr="00032D01">
        <w:rPr>
          <w:rFonts w:ascii="Verdana" w:hAnsi="Verdana"/>
          <w:sz w:val="16"/>
          <w:szCs w:val="16"/>
        </w:rPr>
        <w:t xml:space="preserve"> </w:t>
      </w:r>
      <w:r w:rsidRPr="00032D01">
        <w:rPr>
          <w:rFonts w:ascii="Verdana" w:hAnsi="Verdana"/>
          <w:sz w:val="16"/>
          <w:szCs w:val="16"/>
        </w:rPr>
        <w:tab/>
        <w:t xml:space="preserve">Al respecto, la Corte ha dispuesto </w:t>
      </w:r>
      <w:r w:rsidR="00FE06E9">
        <w:rPr>
          <w:rFonts w:ascii="Verdana" w:hAnsi="Verdana"/>
          <w:sz w:val="16"/>
          <w:szCs w:val="16"/>
        </w:rPr>
        <w:t xml:space="preserve">reiteradamente </w:t>
      </w:r>
      <w:r w:rsidRPr="00032D01">
        <w:rPr>
          <w:rFonts w:ascii="Verdana" w:hAnsi="Verdana"/>
          <w:sz w:val="16"/>
          <w:szCs w:val="16"/>
        </w:rPr>
        <w:t>en su jurisprudencia que se requiere que el Estado explique la necesidad, conveniencia o pertinencia de mantener la confidencialidad de determinada información</w:t>
      </w:r>
      <w:r w:rsidR="00403A9C">
        <w:rPr>
          <w:rFonts w:ascii="Verdana" w:hAnsi="Verdana"/>
          <w:sz w:val="16"/>
          <w:szCs w:val="16"/>
        </w:rPr>
        <w:t>,</w:t>
      </w:r>
      <w:r w:rsidRPr="00032D01">
        <w:rPr>
          <w:rFonts w:ascii="Verdana" w:hAnsi="Verdana"/>
          <w:sz w:val="16"/>
          <w:szCs w:val="16"/>
        </w:rPr>
        <w:t xml:space="preserve"> lo cual será cuidadosamente evaluado por el Tribunal, para efectos de incorporarla al expediente. </w:t>
      </w:r>
      <w:r w:rsidRPr="00032D01">
        <w:rPr>
          <w:rFonts w:ascii="Verdana" w:hAnsi="Verdana"/>
          <w:i/>
          <w:iCs/>
          <w:sz w:val="16"/>
          <w:szCs w:val="16"/>
          <w:lang w:val="es-AR"/>
        </w:rPr>
        <w:t>Cfr. Caso Ríos y otros Vs. Venezuela. Excepciones Preliminares, Fondo, Reparaciones y Costas</w:t>
      </w:r>
      <w:r w:rsidRPr="00032D01">
        <w:rPr>
          <w:rFonts w:ascii="Verdana" w:hAnsi="Verdana"/>
          <w:sz w:val="16"/>
          <w:szCs w:val="16"/>
          <w:lang w:val="es-AR"/>
        </w:rPr>
        <w:t xml:space="preserve">. Sentencia de 28 de enero de 2009. Serie C No. 194, párr. 100; </w:t>
      </w:r>
      <w:r w:rsidRPr="00032D01">
        <w:rPr>
          <w:rFonts w:ascii="Verdana" w:hAnsi="Verdana"/>
          <w:i/>
          <w:iCs/>
          <w:sz w:val="16"/>
          <w:szCs w:val="16"/>
          <w:lang w:val="es-AR"/>
        </w:rPr>
        <w:t xml:space="preserve">Caso </w:t>
      </w:r>
      <w:proofErr w:type="spellStart"/>
      <w:r w:rsidRPr="00032D01">
        <w:rPr>
          <w:rFonts w:ascii="Verdana" w:hAnsi="Verdana"/>
          <w:i/>
          <w:iCs/>
          <w:sz w:val="16"/>
          <w:szCs w:val="16"/>
          <w:lang w:val="es-AR"/>
        </w:rPr>
        <w:t>Almonacid</w:t>
      </w:r>
      <w:proofErr w:type="spellEnd"/>
      <w:r w:rsidRPr="00032D01">
        <w:rPr>
          <w:rFonts w:ascii="Verdana" w:hAnsi="Verdana"/>
          <w:i/>
          <w:iCs/>
          <w:sz w:val="16"/>
          <w:szCs w:val="16"/>
          <w:lang w:val="es-AR"/>
        </w:rPr>
        <w:t xml:space="preserve"> Arellano y otros Vs. Chile</w:t>
      </w:r>
      <w:r w:rsidRPr="00032D01">
        <w:rPr>
          <w:rFonts w:ascii="Verdana" w:hAnsi="Verdana"/>
          <w:sz w:val="16"/>
          <w:szCs w:val="16"/>
          <w:lang w:val="es-AR"/>
        </w:rPr>
        <w:t>. Supervisión de Cumplimiento de Sentencia. Resolución de la Corte Interamericana de Derechos Humanos 18 de noviembre de 2010, párr. 12</w:t>
      </w:r>
      <w:r w:rsidR="00403A9C">
        <w:rPr>
          <w:rFonts w:ascii="Verdana" w:hAnsi="Verdana"/>
          <w:sz w:val="16"/>
          <w:szCs w:val="16"/>
          <w:lang w:val="es-AR"/>
        </w:rPr>
        <w:t>, y</w:t>
      </w:r>
      <w:r w:rsidRPr="00032D01">
        <w:rPr>
          <w:rFonts w:ascii="Verdana" w:hAnsi="Verdana"/>
          <w:b/>
          <w:bCs/>
          <w:color w:val="000000"/>
          <w:sz w:val="16"/>
          <w:szCs w:val="16"/>
          <w:lang w:val="es-AR"/>
        </w:rPr>
        <w:t xml:space="preserve"> </w:t>
      </w:r>
      <w:r w:rsidRPr="00032D01">
        <w:rPr>
          <w:rFonts w:ascii="Verdana" w:hAnsi="Verdana"/>
          <w:i/>
          <w:iCs/>
          <w:sz w:val="16"/>
          <w:szCs w:val="16"/>
        </w:rPr>
        <w:t>Caso 19 Comerciantes Vs. Colombia.</w:t>
      </w:r>
      <w:r w:rsidRPr="00032D01">
        <w:rPr>
          <w:rFonts w:ascii="Verdana" w:hAnsi="Verdana"/>
          <w:sz w:val="16"/>
          <w:szCs w:val="16"/>
        </w:rPr>
        <w:t xml:space="preserve"> Supervisión de Cumplimiento de Sentencia. Resolución de la Corte</w:t>
      </w:r>
      <w:r w:rsidR="00CF07CC">
        <w:rPr>
          <w:rFonts w:ascii="Verdana" w:hAnsi="Verdana"/>
          <w:sz w:val="16"/>
          <w:szCs w:val="16"/>
        </w:rPr>
        <w:t xml:space="preserve"> Interamericana de Derechos Humanos</w:t>
      </w:r>
      <w:r w:rsidRPr="00032D01">
        <w:rPr>
          <w:rFonts w:ascii="Verdana" w:hAnsi="Verdana"/>
          <w:sz w:val="16"/>
          <w:szCs w:val="16"/>
        </w:rPr>
        <w:t xml:space="preserve"> de 26 de junio de 2012, Considerando séptimo.</w:t>
      </w:r>
    </w:p>
  </w:footnote>
  <w:footnote w:id="40">
    <w:p w:rsidR="00B01195" w:rsidRPr="00C26F45" w:rsidRDefault="00B01195" w:rsidP="00C26F45">
      <w:pPr>
        <w:pStyle w:val="Textonotapie"/>
        <w:tabs>
          <w:tab w:val="left" w:pos="426"/>
        </w:tabs>
        <w:jc w:val="both"/>
        <w:rPr>
          <w:rFonts w:ascii="Verdana" w:hAnsi="Verdana"/>
          <w:b/>
          <w:bCs/>
          <w:color w:val="000000"/>
          <w:sz w:val="16"/>
          <w:szCs w:val="16"/>
          <w:shd w:val="clear" w:color="auto" w:fill="FFFFFF"/>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Cfr</w:t>
      </w:r>
      <w:r w:rsidRPr="00C26F45">
        <w:rPr>
          <w:rFonts w:ascii="Verdana" w:hAnsi="Verdana"/>
          <w:sz w:val="16"/>
          <w:szCs w:val="16"/>
        </w:rPr>
        <w:t xml:space="preserve">. </w:t>
      </w:r>
      <w:r w:rsidRPr="00C26F45">
        <w:rPr>
          <w:rStyle w:val="Textoennegrita"/>
          <w:rFonts w:ascii="Verdana" w:hAnsi="Verdana"/>
          <w:b w:val="0"/>
          <w:i/>
          <w:color w:val="000000"/>
          <w:sz w:val="16"/>
          <w:szCs w:val="16"/>
          <w:shd w:val="clear" w:color="auto" w:fill="FFFFFF"/>
        </w:rPr>
        <w:t>Caso Zambrano Vélez y otros Vs. Ecuador. Supervisión de Cumplimiento de Sentencia.</w:t>
      </w:r>
      <w:r w:rsidRPr="00C26F45">
        <w:rPr>
          <w:rStyle w:val="Textoennegrita"/>
          <w:rFonts w:ascii="Verdana" w:hAnsi="Verdana"/>
          <w:b w:val="0"/>
          <w:color w:val="000000"/>
          <w:sz w:val="16"/>
          <w:szCs w:val="16"/>
          <w:shd w:val="clear" w:color="auto" w:fill="FFFFFF"/>
        </w:rPr>
        <w:t xml:space="preserve"> Resolución de la Corte Interamericana de Derechos Humanos de 21 de septiembre de 2009, Considerando </w:t>
      </w:r>
      <w:r w:rsidR="00FE06E9">
        <w:rPr>
          <w:rStyle w:val="Textoennegrita"/>
          <w:rFonts w:ascii="Verdana" w:hAnsi="Verdana"/>
          <w:b w:val="0"/>
          <w:color w:val="000000"/>
          <w:sz w:val="16"/>
          <w:szCs w:val="16"/>
          <w:shd w:val="clear" w:color="auto" w:fill="FFFFFF"/>
        </w:rPr>
        <w:t>séptimo</w:t>
      </w:r>
      <w:r w:rsidRPr="00C26F45">
        <w:rPr>
          <w:rStyle w:val="Textoennegrita"/>
          <w:rFonts w:ascii="Verdana" w:hAnsi="Verdana"/>
          <w:b w:val="0"/>
          <w:color w:val="000000"/>
          <w:sz w:val="16"/>
          <w:szCs w:val="16"/>
          <w:shd w:val="clear" w:color="auto" w:fill="FFFFFF"/>
        </w:rPr>
        <w:t>.</w:t>
      </w:r>
    </w:p>
  </w:footnote>
  <w:footnote w:id="41">
    <w:p w:rsidR="00B01195" w:rsidRPr="00050CFE" w:rsidRDefault="00B01195" w:rsidP="00050CFE">
      <w:pPr>
        <w:pStyle w:val="Textonotapie"/>
        <w:tabs>
          <w:tab w:val="left" w:pos="426"/>
        </w:tabs>
        <w:jc w:val="both"/>
        <w:rPr>
          <w:rFonts w:ascii="Verdana" w:hAnsi="Verdana"/>
          <w:b/>
          <w:sz w:val="16"/>
          <w:szCs w:val="16"/>
        </w:rPr>
      </w:pPr>
      <w:r w:rsidRPr="00050CFE">
        <w:rPr>
          <w:rStyle w:val="Refdenotaalpie"/>
          <w:rFonts w:ascii="Verdana" w:hAnsi="Verdana"/>
          <w:sz w:val="16"/>
          <w:szCs w:val="16"/>
        </w:rPr>
        <w:footnoteRef/>
      </w:r>
      <w:r w:rsidRPr="00050CFE">
        <w:rPr>
          <w:rFonts w:ascii="Verdana" w:hAnsi="Verdana"/>
          <w:sz w:val="16"/>
          <w:szCs w:val="16"/>
        </w:rPr>
        <w:t xml:space="preserve"> </w:t>
      </w:r>
      <w:r w:rsidRPr="00050CFE">
        <w:rPr>
          <w:rFonts w:ascii="Verdana" w:hAnsi="Verdana"/>
          <w:sz w:val="16"/>
          <w:szCs w:val="16"/>
        </w:rPr>
        <w:tab/>
      </w:r>
      <w:r w:rsidRPr="00050CFE">
        <w:rPr>
          <w:rFonts w:ascii="Verdana" w:hAnsi="Verdana"/>
          <w:i/>
          <w:sz w:val="16"/>
          <w:szCs w:val="16"/>
        </w:rPr>
        <w:t>Cfr</w:t>
      </w:r>
      <w:r w:rsidRPr="00050CFE">
        <w:rPr>
          <w:rFonts w:ascii="Verdana" w:hAnsi="Verdana"/>
          <w:sz w:val="16"/>
          <w:szCs w:val="16"/>
        </w:rPr>
        <w:t>.</w:t>
      </w:r>
      <w:r w:rsidRPr="00050CFE">
        <w:rPr>
          <w:rFonts w:ascii="Verdana" w:hAnsi="Verdana"/>
          <w:b/>
          <w:sz w:val="16"/>
          <w:szCs w:val="16"/>
        </w:rPr>
        <w:t xml:space="preserve"> </w:t>
      </w:r>
      <w:r w:rsidRPr="00CF07CC">
        <w:rPr>
          <w:rStyle w:val="Textoennegrita"/>
          <w:rFonts w:ascii="Verdana" w:hAnsi="Verdana"/>
          <w:b w:val="0"/>
          <w:i/>
          <w:color w:val="000000"/>
          <w:sz w:val="16"/>
          <w:szCs w:val="16"/>
          <w:shd w:val="clear" w:color="auto" w:fill="FFFFFF"/>
        </w:rPr>
        <w:t>Caso de la Masacre de Pueblo Bello Vs. Colombia. Supervisión de Cumplimiento de Sentencia.</w:t>
      </w:r>
      <w:r w:rsidRPr="00050CFE">
        <w:rPr>
          <w:rStyle w:val="Textoennegrita"/>
          <w:rFonts w:ascii="Verdana" w:hAnsi="Verdana"/>
          <w:b w:val="0"/>
          <w:color w:val="000000"/>
          <w:sz w:val="16"/>
          <w:szCs w:val="16"/>
          <w:shd w:val="clear" w:color="auto" w:fill="FFFFFF"/>
        </w:rPr>
        <w:t xml:space="preserve"> Resolución de la Corte Interamericana de Derechos Humanos de 9 de julio de 2009, Considerando </w:t>
      </w:r>
      <w:r w:rsidR="00FE06E9">
        <w:rPr>
          <w:rStyle w:val="Textoennegrita"/>
          <w:rFonts w:ascii="Verdana" w:hAnsi="Verdana"/>
          <w:b w:val="0"/>
          <w:color w:val="000000"/>
          <w:sz w:val="16"/>
          <w:szCs w:val="16"/>
          <w:shd w:val="clear" w:color="auto" w:fill="FFFFFF"/>
        </w:rPr>
        <w:t>noveno</w:t>
      </w:r>
      <w:r w:rsidRPr="00050CFE">
        <w:rPr>
          <w:rStyle w:val="Textoennegrita"/>
          <w:rFonts w:ascii="Verdana" w:hAnsi="Verdana"/>
          <w:b w:val="0"/>
          <w:color w:val="000000"/>
          <w:sz w:val="16"/>
          <w:szCs w:val="16"/>
          <w:shd w:val="clear" w:color="auto" w:fill="FFFFFF"/>
        </w:rPr>
        <w:t>.</w:t>
      </w:r>
    </w:p>
  </w:footnote>
  <w:footnote w:id="42">
    <w:p w:rsidR="00B01195" w:rsidRPr="00C26F45" w:rsidRDefault="00B01195" w:rsidP="00C26F45">
      <w:pPr>
        <w:tabs>
          <w:tab w:val="left" w:pos="450"/>
        </w:tabs>
        <w:spacing w:after="0" w:line="240" w:lineRule="auto"/>
        <w:jc w:val="both"/>
        <w:rPr>
          <w:rFonts w:ascii="Verdana" w:hAnsi="Verdana"/>
          <w:sz w:val="16"/>
          <w:szCs w:val="16"/>
          <w:lang w:val="es-US"/>
        </w:rPr>
      </w:pPr>
      <w:r w:rsidRPr="00C26F45">
        <w:rPr>
          <w:rStyle w:val="Refdenotaalpie"/>
          <w:rFonts w:ascii="Verdana" w:hAnsi="Verdana"/>
          <w:sz w:val="16"/>
          <w:szCs w:val="16"/>
        </w:rPr>
        <w:footnoteRef/>
      </w:r>
      <w:r w:rsidRPr="00C26F45">
        <w:rPr>
          <w:rFonts w:ascii="Verdana" w:hAnsi="Verdana"/>
          <w:sz w:val="16"/>
          <w:szCs w:val="16"/>
          <w:lang w:val="es-US"/>
        </w:rPr>
        <w:t xml:space="preserve"> </w:t>
      </w:r>
      <w:r w:rsidRPr="00C26F45">
        <w:rPr>
          <w:rFonts w:ascii="Verdana" w:hAnsi="Verdana"/>
          <w:sz w:val="16"/>
          <w:szCs w:val="16"/>
          <w:lang w:val="es-US"/>
        </w:rPr>
        <w:tab/>
        <w:t xml:space="preserve">Los </w:t>
      </w:r>
      <w:r w:rsidRPr="00C26F45">
        <w:rPr>
          <w:rFonts w:ascii="Verdana" w:hAnsi="Verdana"/>
          <w:i/>
          <w:sz w:val="16"/>
          <w:szCs w:val="16"/>
          <w:lang w:val="es-US"/>
        </w:rPr>
        <w:t>representantes</w:t>
      </w:r>
      <w:r w:rsidRPr="00C26F45">
        <w:rPr>
          <w:rFonts w:ascii="Verdana" w:hAnsi="Verdana"/>
          <w:sz w:val="16"/>
          <w:szCs w:val="16"/>
          <w:lang w:val="es-US"/>
        </w:rPr>
        <w:t xml:space="preserve"> sostuvieron que “la carencia de información refleja el incumplimiento de la presente medida de reparación”, y l</w:t>
      </w:r>
      <w:r w:rsidRPr="00D51B93">
        <w:rPr>
          <w:rFonts w:ascii="Verdana" w:eastAsia="MS Mincho" w:hAnsi="Verdana" w:cs="Arial"/>
          <w:sz w:val="16"/>
          <w:szCs w:val="16"/>
          <w:lang w:val="es-CR" w:eastAsia="es-CR"/>
        </w:rPr>
        <w:t xml:space="preserve">a </w:t>
      </w:r>
      <w:r w:rsidRPr="00D51B93">
        <w:rPr>
          <w:rFonts w:ascii="Verdana" w:eastAsia="MS Mincho" w:hAnsi="Verdana" w:cs="Arial"/>
          <w:i/>
          <w:sz w:val="16"/>
          <w:szCs w:val="16"/>
          <w:lang w:val="es-CR" w:eastAsia="es-CR"/>
        </w:rPr>
        <w:t>Comisión Interamericana</w:t>
      </w:r>
      <w:r w:rsidRPr="00D51B93">
        <w:rPr>
          <w:rFonts w:ascii="Verdana" w:eastAsia="MS Mincho" w:hAnsi="Verdana" w:cs="Arial"/>
          <w:sz w:val="16"/>
          <w:szCs w:val="16"/>
          <w:lang w:val="es-CR" w:eastAsia="es-CR"/>
        </w:rPr>
        <w:t xml:space="preserve"> “</w:t>
      </w:r>
      <w:proofErr w:type="spellStart"/>
      <w:r w:rsidRPr="00D51B93">
        <w:rPr>
          <w:rFonts w:ascii="Verdana" w:eastAsia="MS Mincho" w:hAnsi="Verdana" w:cs="Arial"/>
          <w:sz w:val="16"/>
          <w:szCs w:val="16"/>
          <w:lang w:val="es-CR" w:eastAsia="es-CR"/>
        </w:rPr>
        <w:t>consider</w:t>
      </w:r>
      <w:proofErr w:type="spellEnd"/>
      <w:r w:rsidRPr="00D51B93">
        <w:rPr>
          <w:rFonts w:ascii="Verdana" w:eastAsia="MS Mincho" w:hAnsi="Verdana" w:cs="Arial"/>
          <w:sz w:val="16"/>
          <w:szCs w:val="16"/>
          <w:lang w:val="es-CR" w:eastAsia="es-CR"/>
        </w:rPr>
        <w:t>[</w:t>
      </w:r>
      <w:proofErr w:type="spellStart"/>
      <w:r w:rsidRPr="00D51B93">
        <w:rPr>
          <w:rFonts w:ascii="Verdana" w:eastAsia="MS Mincho" w:hAnsi="Verdana" w:cs="Arial"/>
          <w:sz w:val="16"/>
          <w:szCs w:val="16"/>
          <w:lang w:val="es-CR" w:eastAsia="es-CR"/>
        </w:rPr>
        <w:t>ó</w:t>
      </w:r>
      <w:proofErr w:type="spellEnd"/>
      <w:r w:rsidRPr="00D51B93">
        <w:rPr>
          <w:rFonts w:ascii="Verdana" w:eastAsia="MS Mincho" w:hAnsi="Verdana" w:cs="Arial"/>
          <w:sz w:val="16"/>
          <w:szCs w:val="16"/>
          <w:lang w:val="es-CR" w:eastAsia="es-CR"/>
        </w:rPr>
        <w:t>] que la información [aportada por el Estado] refleja claramente el incumplimiento de esta obligación”.</w:t>
      </w:r>
    </w:p>
  </w:footnote>
  <w:footnote w:id="43">
    <w:p w:rsidR="00FE06E9" w:rsidRPr="00C26F45" w:rsidRDefault="00FE06E9" w:rsidP="00FE06E9">
      <w:pPr>
        <w:tabs>
          <w:tab w:val="left" w:pos="426"/>
          <w:tab w:val="left" w:pos="567"/>
        </w:tabs>
        <w:spacing w:after="0" w:line="240" w:lineRule="auto"/>
        <w:ind w:right="48"/>
        <w:contextualSpacing/>
        <w:jc w:val="both"/>
        <w:rPr>
          <w:rFonts w:ascii="Verdana" w:hAnsi="Verdana"/>
          <w:sz w:val="16"/>
          <w:szCs w:val="16"/>
          <w:lang w:val="es-US" w:eastAsia="x-none"/>
        </w:rPr>
      </w:pPr>
      <w:r w:rsidRPr="00C26F45">
        <w:rPr>
          <w:rStyle w:val="Refdenotaalpie"/>
          <w:rFonts w:ascii="Verdana" w:hAnsi="Verdana"/>
          <w:sz w:val="16"/>
          <w:szCs w:val="16"/>
        </w:rPr>
        <w:footnoteRef/>
      </w:r>
      <w:r w:rsidRPr="00C26F45">
        <w:rPr>
          <w:rFonts w:ascii="Verdana" w:hAnsi="Verdana"/>
          <w:sz w:val="16"/>
          <w:szCs w:val="16"/>
          <w:lang w:val="es-CR"/>
        </w:rPr>
        <w:t xml:space="preserve"> </w:t>
      </w:r>
      <w:r w:rsidRPr="00C26F45">
        <w:rPr>
          <w:rFonts w:ascii="Verdana" w:hAnsi="Verdana"/>
          <w:sz w:val="16"/>
          <w:szCs w:val="16"/>
          <w:lang w:val="es-CR"/>
        </w:rPr>
        <w:tab/>
        <w:t xml:space="preserve">El artículo 69.2 del Reglamento de la Corte dispone que: </w:t>
      </w:r>
      <w:r w:rsidR="0048039E">
        <w:rPr>
          <w:rFonts w:ascii="Verdana" w:hAnsi="Verdana"/>
          <w:sz w:val="16"/>
          <w:szCs w:val="16"/>
          <w:lang w:val="es-CR"/>
        </w:rPr>
        <w:t>“</w:t>
      </w:r>
      <w:r w:rsidRPr="00C26F45">
        <w:rPr>
          <w:rFonts w:ascii="Verdana" w:hAnsi="Verdana"/>
          <w:sz w:val="16"/>
          <w:szCs w:val="16"/>
          <w:lang w:val="es-US" w:eastAsia="x-none"/>
        </w:rPr>
        <w:t>2. La Corte podrá requerir a otras fuentes de información datos relevantes sobre el caso, que permitan apreciar el cumplimiento. Para los mismos efectos podrá también requerir los peritajes e informes que considere oportunos</w:t>
      </w:r>
      <w:r w:rsidR="0048039E">
        <w:rPr>
          <w:rFonts w:ascii="Verdana" w:hAnsi="Verdana"/>
          <w:sz w:val="16"/>
          <w:szCs w:val="16"/>
          <w:lang w:val="es-US" w:eastAsia="x-none"/>
        </w:rPr>
        <w:t>”</w:t>
      </w:r>
      <w:r w:rsidRPr="00C26F45">
        <w:rPr>
          <w:rFonts w:ascii="Verdana" w:hAnsi="Verdana"/>
          <w:sz w:val="16"/>
          <w:szCs w:val="16"/>
          <w:lang w:val="es-US" w:eastAsia="x-none"/>
        </w:rPr>
        <w:t>.</w:t>
      </w:r>
    </w:p>
  </w:footnote>
  <w:footnote w:id="44">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 xml:space="preserve">Cfr. </w:t>
      </w:r>
      <w:r w:rsidRPr="00C26F45">
        <w:rPr>
          <w:rStyle w:val="Textoennegrita"/>
          <w:rFonts w:ascii="Verdana" w:hAnsi="Verdana"/>
          <w:b w:val="0"/>
          <w:i/>
          <w:color w:val="000000"/>
          <w:sz w:val="16"/>
          <w:szCs w:val="16"/>
          <w:shd w:val="clear" w:color="auto" w:fill="FFFFFF"/>
        </w:rPr>
        <w:t xml:space="preserve">Caso 19 Comerciantes Vs. Colombia. Supervisión de Cumplimiento de Sentencia. </w:t>
      </w:r>
      <w:r w:rsidRPr="00C26F45">
        <w:rPr>
          <w:rStyle w:val="Textoennegrita"/>
          <w:rFonts w:ascii="Verdana" w:hAnsi="Verdana"/>
          <w:b w:val="0"/>
          <w:color w:val="000000"/>
          <w:sz w:val="16"/>
          <w:szCs w:val="16"/>
          <w:shd w:val="clear" w:color="auto" w:fill="FFFFFF"/>
        </w:rPr>
        <w:t xml:space="preserve">Resolución de la Corte Interamericana de Derechos Humanos de 8 de julio de 2009, Considerando </w:t>
      </w:r>
      <w:r w:rsidR="0048039E">
        <w:rPr>
          <w:rStyle w:val="Textoennegrita"/>
          <w:rFonts w:ascii="Verdana" w:hAnsi="Verdana"/>
          <w:b w:val="0"/>
          <w:color w:val="000000"/>
          <w:sz w:val="16"/>
          <w:szCs w:val="16"/>
          <w:shd w:val="clear" w:color="auto" w:fill="FFFFFF"/>
        </w:rPr>
        <w:t>décimo segundo</w:t>
      </w:r>
      <w:r w:rsidRPr="00C26F45">
        <w:rPr>
          <w:rStyle w:val="Textoennegrita"/>
          <w:rFonts w:ascii="Verdana" w:hAnsi="Verdana"/>
          <w:b w:val="0"/>
          <w:color w:val="000000"/>
          <w:sz w:val="16"/>
          <w:szCs w:val="16"/>
          <w:shd w:val="clear" w:color="auto" w:fill="FFFFFF"/>
        </w:rPr>
        <w:t xml:space="preserve">; </w:t>
      </w:r>
      <w:r w:rsidRPr="00C26F45">
        <w:rPr>
          <w:rFonts w:ascii="Verdana" w:hAnsi="Verdana"/>
          <w:i/>
          <w:sz w:val="16"/>
          <w:szCs w:val="16"/>
        </w:rPr>
        <w:t xml:space="preserve">Caso de la Masacre de Pueblo Bello vs. Colombia. </w:t>
      </w:r>
      <w:r w:rsidRPr="00CF07CC">
        <w:rPr>
          <w:rFonts w:ascii="Verdana" w:hAnsi="Verdana"/>
          <w:i/>
          <w:sz w:val="16"/>
          <w:szCs w:val="16"/>
        </w:rPr>
        <w:t>Supervisión de Cumplimiento</w:t>
      </w:r>
      <w:r w:rsidR="0048039E">
        <w:rPr>
          <w:rFonts w:ascii="Verdana" w:hAnsi="Verdana"/>
          <w:sz w:val="16"/>
          <w:szCs w:val="16"/>
        </w:rPr>
        <w:t xml:space="preserve">, </w:t>
      </w:r>
      <w:r w:rsidR="0048039E" w:rsidRPr="00CF07CC">
        <w:rPr>
          <w:rFonts w:ascii="Verdana" w:hAnsi="Verdana"/>
          <w:i/>
          <w:sz w:val="16"/>
          <w:szCs w:val="16"/>
        </w:rPr>
        <w:t>supra</w:t>
      </w:r>
      <w:r w:rsidR="0048039E">
        <w:rPr>
          <w:rFonts w:ascii="Verdana" w:hAnsi="Verdana"/>
          <w:sz w:val="16"/>
          <w:szCs w:val="16"/>
        </w:rPr>
        <w:t xml:space="preserve"> nota </w:t>
      </w:r>
      <w:r w:rsidR="00C25A07">
        <w:rPr>
          <w:rFonts w:ascii="Verdana" w:hAnsi="Verdana"/>
          <w:sz w:val="16"/>
          <w:szCs w:val="16"/>
        </w:rPr>
        <w:t>40</w:t>
      </w:r>
      <w:r w:rsidRPr="00C26F45">
        <w:rPr>
          <w:rFonts w:ascii="Verdana" w:hAnsi="Verdana"/>
          <w:sz w:val="16"/>
          <w:szCs w:val="16"/>
        </w:rPr>
        <w:t xml:space="preserve">, Considerando </w:t>
      </w:r>
      <w:r w:rsidR="0048039E">
        <w:rPr>
          <w:rFonts w:ascii="Verdana" w:hAnsi="Verdana"/>
          <w:sz w:val="16"/>
          <w:szCs w:val="16"/>
        </w:rPr>
        <w:t>décimo</w:t>
      </w:r>
      <w:r w:rsidRPr="00C26F45">
        <w:rPr>
          <w:rFonts w:ascii="Verdana" w:hAnsi="Verdana"/>
          <w:sz w:val="16"/>
          <w:szCs w:val="16"/>
        </w:rPr>
        <w:t xml:space="preserve">, y </w:t>
      </w:r>
      <w:r w:rsidR="0048039E" w:rsidRPr="00C26F45">
        <w:rPr>
          <w:rStyle w:val="Textoennegrita"/>
          <w:rFonts w:ascii="Verdana" w:hAnsi="Verdana"/>
          <w:b w:val="0"/>
          <w:i/>
          <w:color w:val="000000"/>
          <w:sz w:val="16"/>
          <w:szCs w:val="16"/>
          <w:shd w:val="clear" w:color="auto" w:fill="FFFFFF"/>
        </w:rPr>
        <w:t>Caso Zambrano Vélez y otros Vs. Ecuador. Supervisi</w:t>
      </w:r>
      <w:r w:rsidR="0048039E">
        <w:rPr>
          <w:rStyle w:val="Textoennegrita"/>
          <w:rFonts w:ascii="Verdana" w:hAnsi="Verdana"/>
          <w:b w:val="0"/>
          <w:i/>
          <w:color w:val="000000"/>
          <w:sz w:val="16"/>
          <w:szCs w:val="16"/>
          <w:shd w:val="clear" w:color="auto" w:fill="FFFFFF"/>
        </w:rPr>
        <w:t xml:space="preserve">ón de Cumplimiento de Sentencia, supra </w:t>
      </w:r>
      <w:r w:rsidR="0048039E" w:rsidRPr="00CF07CC">
        <w:rPr>
          <w:rStyle w:val="Textoennegrita"/>
          <w:rFonts w:ascii="Verdana" w:hAnsi="Verdana"/>
          <w:b w:val="0"/>
          <w:color w:val="000000"/>
          <w:sz w:val="16"/>
          <w:szCs w:val="16"/>
          <w:shd w:val="clear" w:color="auto" w:fill="FFFFFF"/>
        </w:rPr>
        <w:t xml:space="preserve">nota </w:t>
      </w:r>
      <w:r w:rsidR="00C25A07" w:rsidRPr="00CF07CC">
        <w:rPr>
          <w:rStyle w:val="Textoennegrita"/>
          <w:rFonts w:ascii="Verdana" w:hAnsi="Verdana"/>
          <w:b w:val="0"/>
          <w:color w:val="000000"/>
          <w:sz w:val="16"/>
          <w:szCs w:val="16"/>
          <w:shd w:val="clear" w:color="auto" w:fill="FFFFFF"/>
        </w:rPr>
        <w:t>3</w:t>
      </w:r>
      <w:r w:rsidR="00C25A07">
        <w:rPr>
          <w:rStyle w:val="Textoennegrita"/>
          <w:rFonts w:ascii="Verdana" w:hAnsi="Verdana"/>
          <w:b w:val="0"/>
          <w:color w:val="000000"/>
          <w:sz w:val="16"/>
          <w:szCs w:val="16"/>
          <w:shd w:val="clear" w:color="auto" w:fill="FFFFFF"/>
        </w:rPr>
        <w:t>6</w:t>
      </w:r>
      <w:r w:rsidR="0048039E" w:rsidRPr="00CF07CC">
        <w:rPr>
          <w:rStyle w:val="Textoennegrita"/>
          <w:rFonts w:ascii="Verdana" w:hAnsi="Verdana"/>
          <w:b w:val="0"/>
          <w:color w:val="000000"/>
          <w:sz w:val="16"/>
          <w:szCs w:val="16"/>
          <w:shd w:val="clear" w:color="auto" w:fill="FFFFFF"/>
        </w:rPr>
        <w:t>, Considerando décimo cuarto.</w:t>
      </w:r>
    </w:p>
  </w:footnote>
  <w:footnote w:id="45">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La Corte señaló que “[e]l diseño e implementación del programa de capacitación</w:t>
      </w:r>
      <w:r w:rsidR="00EC2309">
        <w:rPr>
          <w:rFonts w:ascii="Verdana" w:hAnsi="Verdana"/>
          <w:sz w:val="16"/>
          <w:szCs w:val="16"/>
        </w:rPr>
        <w:t>,</w:t>
      </w:r>
      <w:r w:rsidRPr="00C26F45">
        <w:rPr>
          <w:rFonts w:ascii="Verdana" w:hAnsi="Verdana"/>
          <w:sz w:val="16"/>
          <w:szCs w:val="16"/>
        </w:rPr>
        <w:t xml:space="preserve"> deberá incluir la asignación de recursos específicos para conseguir sus fines y se realizará con la participación de la sociedad civil”.</w:t>
      </w:r>
    </w:p>
  </w:footnote>
  <w:footnote w:id="46">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Al respecto, agregó que “[e]l Estado </w:t>
      </w:r>
      <w:proofErr w:type="spellStart"/>
      <w:proofErr w:type="gramStart"/>
      <w:r w:rsidRPr="00C26F45">
        <w:rPr>
          <w:rFonts w:ascii="Verdana" w:hAnsi="Verdana"/>
          <w:sz w:val="16"/>
          <w:szCs w:val="16"/>
        </w:rPr>
        <w:t>deb</w:t>
      </w:r>
      <w:proofErr w:type="spellEnd"/>
      <w:r w:rsidRPr="00C26F45">
        <w:rPr>
          <w:rFonts w:ascii="Verdana" w:hAnsi="Verdana"/>
          <w:sz w:val="16"/>
          <w:szCs w:val="16"/>
        </w:rPr>
        <w:t>[</w:t>
      </w:r>
      <w:proofErr w:type="spellStart"/>
      <w:proofErr w:type="gramEnd"/>
      <w:r w:rsidRPr="00C26F45">
        <w:rPr>
          <w:rFonts w:ascii="Verdana" w:hAnsi="Verdana"/>
          <w:sz w:val="16"/>
          <w:szCs w:val="16"/>
        </w:rPr>
        <w:t>ía</w:t>
      </w:r>
      <w:proofErr w:type="spellEnd"/>
      <w:r w:rsidRPr="00C26F45">
        <w:rPr>
          <w:rFonts w:ascii="Verdana" w:hAnsi="Verdana"/>
          <w:sz w:val="16"/>
          <w:szCs w:val="16"/>
        </w:rPr>
        <w:t>] informar a esta Corte sobre la constitución y funcionamiento de este comité, en el plazo de seis meses”.</w:t>
      </w:r>
    </w:p>
  </w:footnote>
  <w:footnote w:id="47">
    <w:p w:rsidR="00B01195" w:rsidRPr="00C26F45" w:rsidRDefault="00B01195" w:rsidP="00C26F45">
      <w:pPr>
        <w:pStyle w:val="Textonotapie"/>
        <w:jc w:val="both"/>
        <w:rPr>
          <w:rFonts w:ascii="Verdana" w:hAnsi="Verdana"/>
          <w:b/>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La Corte “</w:t>
      </w:r>
      <w:proofErr w:type="spellStart"/>
      <w:r w:rsidRPr="00C26F45">
        <w:rPr>
          <w:rFonts w:ascii="Verdana" w:hAnsi="Verdana"/>
          <w:sz w:val="16"/>
          <w:szCs w:val="16"/>
        </w:rPr>
        <w:t>observ</w:t>
      </w:r>
      <w:proofErr w:type="spellEnd"/>
      <w:r w:rsidRPr="00C26F45">
        <w:rPr>
          <w:rFonts w:ascii="Verdana" w:hAnsi="Verdana"/>
          <w:sz w:val="16"/>
          <w:szCs w:val="16"/>
        </w:rPr>
        <w:t>[</w:t>
      </w:r>
      <w:proofErr w:type="spellStart"/>
      <w:r w:rsidRPr="00C26F45">
        <w:rPr>
          <w:rFonts w:ascii="Verdana" w:hAnsi="Verdana"/>
          <w:sz w:val="16"/>
          <w:szCs w:val="16"/>
        </w:rPr>
        <w:t>ó</w:t>
      </w:r>
      <w:proofErr w:type="spellEnd"/>
      <w:r w:rsidRPr="00C26F45">
        <w:rPr>
          <w:rFonts w:ascii="Verdana" w:hAnsi="Verdana"/>
          <w:sz w:val="16"/>
          <w:szCs w:val="16"/>
        </w:rPr>
        <w:t xml:space="preserve">] que el Estado […] </w:t>
      </w:r>
      <w:proofErr w:type="spellStart"/>
      <w:r w:rsidRPr="00C26F45">
        <w:rPr>
          <w:rFonts w:ascii="Verdana" w:hAnsi="Verdana"/>
          <w:sz w:val="16"/>
          <w:szCs w:val="16"/>
        </w:rPr>
        <w:t>realiz</w:t>
      </w:r>
      <w:proofErr w:type="spellEnd"/>
      <w:r w:rsidRPr="00C26F45">
        <w:rPr>
          <w:rFonts w:ascii="Verdana" w:hAnsi="Verdana"/>
          <w:sz w:val="16"/>
          <w:szCs w:val="16"/>
        </w:rPr>
        <w:t>[</w:t>
      </w:r>
      <w:proofErr w:type="spellStart"/>
      <w:r w:rsidRPr="00C26F45">
        <w:rPr>
          <w:rFonts w:ascii="Verdana" w:hAnsi="Verdana"/>
          <w:sz w:val="16"/>
          <w:szCs w:val="16"/>
        </w:rPr>
        <w:t>ó</w:t>
      </w:r>
      <w:proofErr w:type="spellEnd"/>
      <w:r w:rsidRPr="00C26F45">
        <w:rPr>
          <w:rFonts w:ascii="Verdana" w:hAnsi="Verdana"/>
          <w:sz w:val="16"/>
          <w:szCs w:val="16"/>
        </w:rPr>
        <w:t>] diversas diligencias para la implementación de lo ordenado por la Corte respecto al establecimiento de programas de capacitación para la Policía Nacional y los jueces, e iniciado un proceso de formación durante los años 2008 y 2009”, los cuales “se repetirían a su vez durante los años 2009 y 2010”. Al respecto, “</w:t>
      </w:r>
      <w:proofErr w:type="spellStart"/>
      <w:r w:rsidRPr="00C26F45">
        <w:rPr>
          <w:rFonts w:ascii="Verdana" w:hAnsi="Verdana"/>
          <w:sz w:val="16"/>
          <w:szCs w:val="16"/>
        </w:rPr>
        <w:t>consider</w:t>
      </w:r>
      <w:proofErr w:type="spellEnd"/>
      <w:r w:rsidRPr="00C26F45">
        <w:rPr>
          <w:rFonts w:ascii="Verdana" w:hAnsi="Verdana"/>
          <w:sz w:val="16"/>
          <w:szCs w:val="16"/>
        </w:rPr>
        <w:t>[</w:t>
      </w:r>
      <w:proofErr w:type="spellStart"/>
      <w:r w:rsidRPr="00C26F45">
        <w:rPr>
          <w:rFonts w:ascii="Verdana" w:hAnsi="Verdana"/>
          <w:sz w:val="16"/>
          <w:szCs w:val="16"/>
        </w:rPr>
        <w:t>ó</w:t>
      </w:r>
      <w:proofErr w:type="spellEnd"/>
      <w:r w:rsidRPr="00C26F45">
        <w:rPr>
          <w:rFonts w:ascii="Verdana" w:hAnsi="Verdana"/>
          <w:sz w:val="16"/>
          <w:szCs w:val="16"/>
        </w:rPr>
        <w:t xml:space="preserve">] que la ejecución de dichas capacitaciones son acordes con lo ordenado en </w:t>
      </w:r>
      <w:proofErr w:type="spellStart"/>
      <w:r w:rsidRPr="00C26F45">
        <w:rPr>
          <w:rFonts w:ascii="Verdana" w:hAnsi="Verdana"/>
          <w:sz w:val="16"/>
          <w:szCs w:val="16"/>
        </w:rPr>
        <w:t>e</w:t>
      </w:r>
      <w:proofErr w:type="spellEnd"/>
      <w:r w:rsidR="005757D4">
        <w:rPr>
          <w:rFonts w:ascii="Verdana" w:hAnsi="Verdana"/>
          <w:sz w:val="16"/>
          <w:szCs w:val="16"/>
        </w:rPr>
        <w:t>[</w:t>
      </w:r>
      <w:r w:rsidRPr="00C26F45">
        <w:rPr>
          <w:rFonts w:ascii="Verdana" w:hAnsi="Verdana"/>
          <w:sz w:val="16"/>
          <w:szCs w:val="16"/>
        </w:rPr>
        <w:t>l</w:t>
      </w:r>
      <w:r w:rsidR="005757D4">
        <w:rPr>
          <w:rFonts w:ascii="Verdana" w:hAnsi="Verdana"/>
          <w:sz w:val="16"/>
          <w:szCs w:val="16"/>
        </w:rPr>
        <w:t>]</w:t>
      </w:r>
      <w:r w:rsidRPr="00C26F45">
        <w:rPr>
          <w:rFonts w:ascii="Verdana" w:hAnsi="Verdana"/>
          <w:sz w:val="16"/>
          <w:szCs w:val="16"/>
        </w:rPr>
        <w:t xml:space="preserve"> punto resolutivo” y “valor[</w:t>
      </w:r>
      <w:proofErr w:type="spellStart"/>
      <w:r w:rsidRPr="00C26F45">
        <w:rPr>
          <w:rFonts w:ascii="Verdana" w:hAnsi="Verdana"/>
          <w:sz w:val="16"/>
          <w:szCs w:val="16"/>
        </w:rPr>
        <w:t>ó</w:t>
      </w:r>
      <w:proofErr w:type="spellEnd"/>
      <w:r w:rsidRPr="00C26F45">
        <w:rPr>
          <w:rFonts w:ascii="Verdana" w:hAnsi="Verdana"/>
          <w:sz w:val="16"/>
          <w:szCs w:val="16"/>
        </w:rPr>
        <w:t>] las iniciativas del Estado para que las capacitaciones de la Policía Nacional sean permanentes, y que con el plan de implementación del Código Orgánico de la Función Judicial se haga énfasis en el diseño de una nueva Escuela Judicial que tendría a los derechos humanos como eje transversal”.</w:t>
      </w:r>
      <w:r w:rsidR="00BC5FAA">
        <w:rPr>
          <w:rFonts w:ascii="Verdana" w:hAnsi="Verdana"/>
          <w:sz w:val="16"/>
          <w:szCs w:val="16"/>
        </w:rPr>
        <w:t xml:space="preserve"> </w:t>
      </w:r>
      <w:r w:rsidR="003B254B" w:rsidRPr="00C26F45">
        <w:rPr>
          <w:rStyle w:val="Textoennegrita"/>
          <w:rFonts w:ascii="Verdana" w:hAnsi="Verdana"/>
          <w:b w:val="0"/>
          <w:i/>
          <w:color w:val="000000"/>
          <w:sz w:val="16"/>
          <w:szCs w:val="16"/>
          <w:shd w:val="clear" w:color="auto" w:fill="FFFFFF"/>
        </w:rPr>
        <w:t xml:space="preserve">Cfr. Caso Tibi, supra </w:t>
      </w:r>
      <w:r w:rsidR="003B254B" w:rsidRPr="00C26F45">
        <w:rPr>
          <w:rStyle w:val="Textoennegrita"/>
          <w:rFonts w:ascii="Verdana" w:hAnsi="Verdana"/>
          <w:b w:val="0"/>
          <w:color w:val="000000"/>
          <w:sz w:val="16"/>
          <w:szCs w:val="16"/>
          <w:shd w:val="clear" w:color="auto" w:fill="FFFFFF"/>
        </w:rPr>
        <w:t xml:space="preserve">nota </w:t>
      </w:r>
      <w:r w:rsidR="003B254B">
        <w:rPr>
          <w:rStyle w:val="Textoennegrita"/>
          <w:rFonts w:ascii="Verdana" w:hAnsi="Verdana"/>
          <w:b w:val="0"/>
          <w:color w:val="000000"/>
          <w:sz w:val="16"/>
          <w:szCs w:val="16"/>
          <w:shd w:val="clear" w:color="auto" w:fill="FFFFFF"/>
        </w:rPr>
        <w:t>6</w:t>
      </w:r>
      <w:r w:rsidR="003B254B" w:rsidRPr="00C26F45">
        <w:rPr>
          <w:rStyle w:val="Textoennegrita"/>
          <w:rFonts w:ascii="Verdana" w:hAnsi="Verdana"/>
          <w:b w:val="0"/>
          <w:color w:val="000000"/>
          <w:sz w:val="16"/>
          <w:szCs w:val="16"/>
          <w:shd w:val="clear" w:color="auto" w:fill="FFFFFF"/>
        </w:rPr>
        <w:t xml:space="preserve">, </w:t>
      </w:r>
      <w:r w:rsidR="003B254B">
        <w:rPr>
          <w:rStyle w:val="Textoennegrita"/>
          <w:rFonts w:ascii="Verdana" w:hAnsi="Verdana"/>
          <w:b w:val="0"/>
          <w:color w:val="000000"/>
          <w:sz w:val="16"/>
          <w:szCs w:val="16"/>
          <w:shd w:val="clear" w:color="auto" w:fill="FFFFFF"/>
        </w:rPr>
        <w:t>Considerando vigésimo y vigésimo tercero</w:t>
      </w:r>
      <w:r w:rsidR="00BC5FAA">
        <w:rPr>
          <w:rStyle w:val="Textoennegrita"/>
          <w:rFonts w:ascii="Verdana" w:hAnsi="Verdana"/>
          <w:b w:val="0"/>
          <w:color w:val="000000"/>
          <w:sz w:val="16"/>
          <w:szCs w:val="16"/>
          <w:shd w:val="clear" w:color="auto" w:fill="FFFFFF"/>
        </w:rPr>
        <w:t>.</w:t>
      </w:r>
    </w:p>
  </w:footnote>
  <w:footnote w:id="48">
    <w:p w:rsidR="003B254B" w:rsidRDefault="003B254B">
      <w:pPr>
        <w:pStyle w:val="Textonotapie"/>
      </w:pPr>
      <w:r>
        <w:rPr>
          <w:rStyle w:val="Refdenotaalpie"/>
        </w:rPr>
        <w:footnoteRef/>
      </w:r>
      <w:r>
        <w:t xml:space="preserve"> </w:t>
      </w:r>
      <w:r>
        <w:tab/>
      </w:r>
      <w:r w:rsidRPr="00C26F45">
        <w:rPr>
          <w:rStyle w:val="Textoennegrita"/>
          <w:rFonts w:ascii="Verdana" w:hAnsi="Verdana"/>
          <w:b w:val="0"/>
          <w:i/>
          <w:color w:val="000000"/>
          <w:sz w:val="16"/>
          <w:szCs w:val="16"/>
          <w:shd w:val="clear" w:color="auto" w:fill="FFFFFF"/>
        </w:rPr>
        <w:t xml:space="preserve">Cfr. Caso Tibi, supra </w:t>
      </w:r>
      <w:r w:rsidRPr="00C26F45">
        <w:rPr>
          <w:rStyle w:val="Textoennegrita"/>
          <w:rFonts w:ascii="Verdana" w:hAnsi="Verdana"/>
          <w:b w:val="0"/>
          <w:color w:val="000000"/>
          <w:sz w:val="16"/>
          <w:szCs w:val="16"/>
          <w:shd w:val="clear" w:color="auto" w:fill="FFFFFF"/>
        </w:rPr>
        <w:t xml:space="preserve">nota </w:t>
      </w:r>
      <w:r>
        <w:rPr>
          <w:rStyle w:val="Textoennegrita"/>
          <w:rFonts w:ascii="Verdana" w:hAnsi="Verdana"/>
          <w:b w:val="0"/>
          <w:color w:val="000000"/>
          <w:sz w:val="16"/>
          <w:szCs w:val="16"/>
          <w:shd w:val="clear" w:color="auto" w:fill="FFFFFF"/>
        </w:rPr>
        <w:t>6</w:t>
      </w:r>
      <w:r w:rsidRPr="00C26F45">
        <w:rPr>
          <w:rStyle w:val="Textoennegrita"/>
          <w:rFonts w:ascii="Verdana" w:hAnsi="Verdana"/>
          <w:b w:val="0"/>
          <w:color w:val="000000"/>
          <w:sz w:val="16"/>
          <w:szCs w:val="16"/>
          <w:shd w:val="clear" w:color="auto" w:fill="FFFFFF"/>
        </w:rPr>
        <w:t>,</w:t>
      </w:r>
      <w:r>
        <w:rPr>
          <w:rStyle w:val="Textoennegrita"/>
          <w:rFonts w:ascii="Verdana" w:hAnsi="Verdana"/>
          <w:b w:val="0"/>
          <w:color w:val="000000"/>
          <w:sz w:val="16"/>
          <w:szCs w:val="16"/>
          <w:shd w:val="clear" w:color="auto" w:fill="FFFFFF"/>
        </w:rPr>
        <w:t xml:space="preserve"> punto declarativo tercero b). </w:t>
      </w:r>
    </w:p>
  </w:footnote>
  <w:footnote w:id="49">
    <w:p w:rsidR="00B01195" w:rsidRPr="00C240F3" w:rsidRDefault="00B01195" w:rsidP="00C26F45">
      <w:pPr>
        <w:pStyle w:val="Textonotapie"/>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008335AA" w:rsidRPr="00C26F45">
        <w:rPr>
          <w:rStyle w:val="Textoennegrita"/>
          <w:rFonts w:ascii="Verdana" w:hAnsi="Verdana"/>
          <w:b w:val="0"/>
          <w:i/>
          <w:color w:val="000000"/>
          <w:sz w:val="16"/>
          <w:szCs w:val="16"/>
          <w:shd w:val="clear" w:color="auto" w:fill="FFFFFF"/>
        </w:rPr>
        <w:t xml:space="preserve">Cfr. Caso Tibi, supra </w:t>
      </w:r>
      <w:r w:rsidR="008335AA" w:rsidRPr="00C26F45">
        <w:rPr>
          <w:rStyle w:val="Textoennegrita"/>
          <w:rFonts w:ascii="Verdana" w:hAnsi="Verdana"/>
          <w:b w:val="0"/>
          <w:color w:val="000000"/>
          <w:sz w:val="16"/>
          <w:szCs w:val="16"/>
          <w:shd w:val="clear" w:color="auto" w:fill="FFFFFF"/>
        </w:rPr>
        <w:t xml:space="preserve">nota </w:t>
      </w:r>
      <w:r w:rsidR="008335AA">
        <w:rPr>
          <w:rStyle w:val="Textoennegrita"/>
          <w:rFonts w:ascii="Verdana" w:hAnsi="Verdana"/>
          <w:b w:val="0"/>
          <w:color w:val="000000"/>
          <w:sz w:val="16"/>
          <w:szCs w:val="16"/>
          <w:shd w:val="clear" w:color="auto" w:fill="FFFFFF"/>
        </w:rPr>
        <w:t>6</w:t>
      </w:r>
      <w:r w:rsidR="008335AA" w:rsidRPr="00BC5FAA">
        <w:rPr>
          <w:rStyle w:val="Textoennegrita"/>
          <w:rFonts w:ascii="Verdana" w:hAnsi="Verdana"/>
          <w:b w:val="0"/>
          <w:color w:val="000000"/>
          <w:sz w:val="16"/>
          <w:szCs w:val="16"/>
          <w:shd w:val="clear" w:color="auto" w:fill="FFFFFF"/>
        </w:rPr>
        <w:t>,</w:t>
      </w:r>
      <w:r w:rsidR="008335AA" w:rsidRPr="00F35BBF" w:rsidDel="005757D4">
        <w:rPr>
          <w:rFonts w:ascii="Verdana" w:hAnsi="Verdana"/>
          <w:sz w:val="16"/>
          <w:szCs w:val="16"/>
        </w:rPr>
        <w:t xml:space="preserve"> </w:t>
      </w:r>
      <w:r w:rsidR="00BC5FAA" w:rsidRPr="00F35BBF">
        <w:rPr>
          <w:rFonts w:ascii="Verdana" w:hAnsi="Verdana"/>
          <w:sz w:val="16"/>
          <w:szCs w:val="16"/>
        </w:rPr>
        <w:t xml:space="preserve">Considerando </w:t>
      </w:r>
      <w:r w:rsidR="008335AA" w:rsidRPr="00BC5FAA">
        <w:rPr>
          <w:rFonts w:ascii="Verdana" w:hAnsi="Verdana"/>
          <w:sz w:val="16"/>
          <w:szCs w:val="16"/>
        </w:rPr>
        <w:t>vigésimo primero.</w:t>
      </w:r>
    </w:p>
  </w:footnote>
  <w:footnote w:id="50">
    <w:p w:rsidR="00B01195" w:rsidRPr="00C26F45" w:rsidRDefault="00B01195" w:rsidP="00C26F45">
      <w:pPr>
        <w:pStyle w:val="Textonotapie"/>
        <w:rPr>
          <w:rFonts w:ascii="Verdana" w:hAnsi="Verdana"/>
          <w:sz w:val="16"/>
          <w:szCs w:val="16"/>
        </w:rPr>
      </w:pPr>
      <w:r w:rsidRPr="00BC5FAA">
        <w:rPr>
          <w:rStyle w:val="Refdenotaalpie"/>
          <w:rFonts w:ascii="Verdana" w:hAnsi="Verdana"/>
          <w:sz w:val="16"/>
          <w:szCs w:val="16"/>
        </w:rPr>
        <w:footnoteRef/>
      </w:r>
      <w:r w:rsidRPr="00BC5FAA">
        <w:rPr>
          <w:rFonts w:ascii="Verdana" w:hAnsi="Verdana"/>
          <w:sz w:val="16"/>
          <w:szCs w:val="16"/>
        </w:rPr>
        <w:t xml:space="preserve"> </w:t>
      </w:r>
      <w:r w:rsidRPr="00BC5FAA">
        <w:rPr>
          <w:rFonts w:ascii="Verdana" w:hAnsi="Verdana"/>
          <w:sz w:val="16"/>
          <w:szCs w:val="16"/>
        </w:rPr>
        <w:tab/>
      </w:r>
      <w:r w:rsidR="008335AA" w:rsidRPr="00C240F3">
        <w:rPr>
          <w:rStyle w:val="Textoennegrita"/>
          <w:rFonts w:ascii="Verdana" w:hAnsi="Verdana"/>
          <w:b w:val="0"/>
          <w:i/>
          <w:color w:val="000000"/>
          <w:sz w:val="16"/>
          <w:szCs w:val="16"/>
          <w:shd w:val="clear" w:color="auto" w:fill="FFFFFF"/>
        </w:rPr>
        <w:t xml:space="preserve">Cfr. Caso Tibi, supra </w:t>
      </w:r>
      <w:r w:rsidR="008335AA" w:rsidRPr="00C240F3">
        <w:rPr>
          <w:rStyle w:val="Textoennegrita"/>
          <w:rFonts w:ascii="Verdana" w:hAnsi="Verdana"/>
          <w:b w:val="0"/>
          <w:color w:val="000000"/>
          <w:sz w:val="16"/>
          <w:szCs w:val="16"/>
          <w:shd w:val="clear" w:color="auto" w:fill="FFFFFF"/>
        </w:rPr>
        <w:t>nota 6</w:t>
      </w:r>
      <w:r w:rsidR="008335AA" w:rsidRPr="00BC5FAA">
        <w:rPr>
          <w:rStyle w:val="Textoennegrita"/>
          <w:rFonts w:ascii="Verdana" w:hAnsi="Verdana"/>
          <w:b w:val="0"/>
          <w:color w:val="000000"/>
          <w:sz w:val="16"/>
          <w:szCs w:val="16"/>
          <w:shd w:val="clear" w:color="auto" w:fill="FFFFFF"/>
        </w:rPr>
        <w:t>,</w:t>
      </w:r>
      <w:r w:rsidR="008335AA" w:rsidRPr="00F35BBF" w:rsidDel="005757D4">
        <w:rPr>
          <w:rFonts w:ascii="Verdana" w:hAnsi="Verdana"/>
          <w:sz w:val="16"/>
          <w:szCs w:val="16"/>
        </w:rPr>
        <w:t xml:space="preserve"> </w:t>
      </w:r>
      <w:r w:rsidR="00BC5FAA" w:rsidRPr="00F35BBF">
        <w:rPr>
          <w:rFonts w:ascii="Verdana" w:hAnsi="Verdana"/>
          <w:sz w:val="16"/>
          <w:szCs w:val="16"/>
        </w:rPr>
        <w:t>Considerando</w:t>
      </w:r>
      <w:r w:rsidR="00BC5FAA">
        <w:rPr>
          <w:rFonts w:ascii="Verdana" w:hAnsi="Verdana"/>
          <w:b/>
          <w:sz w:val="16"/>
          <w:szCs w:val="16"/>
        </w:rPr>
        <w:t xml:space="preserve"> </w:t>
      </w:r>
      <w:r w:rsidR="008335AA">
        <w:rPr>
          <w:rFonts w:ascii="Verdana" w:hAnsi="Verdana"/>
          <w:sz w:val="16"/>
          <w:szCs w:val="16"/>
        </w:rPr>
        <w:t>vigésimo segundo.</w:t>
      </w:r>
    </w:p>
  </w:footnote>
  <w:footnote w:id="51">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Al respecto, hicieron notar que Ecuador “solo </w:t>
      </w:r>
      <w:proofErr w:type="spellStart"/>
      <w:r w:rsidRPr="00C26F45">
        <w:rPr>
          <w:rFonts w:ascii="Verdana" w:hAnsi="Verdana"/>
          <w:sz w:val="16"/>
          <w:szCs w:val="16"/>
        </w:rPr>
        <w:t>inform</w:t>
      </w:r>
      <w:proofErr w:type="spellEnd"/>
      <w:r w:rsidRPr="00C26F45">
        <w:rPr>
          <w:rFonts w:ascii="Verdana" w:hAnsi="Verdana"/>
          <w:sz w:val="16"/>
          <w:szCs w:val="16"/>
        </w:rPr>
        <w:t>[</w:t>
      </w:r>
      <w:proofErr w:type="spellStart"/>
      <w:r w:rsidRPr="00C26F45">
        <w:rPr>
          <w:rFonts w:ascii="Verdana" w:hAnsi="Verdana"/>
          <w:sz w:val="16"/>
          <w:szCs w:val="16"/>
        </w:rPr>
        <w:t>ó</w:t>
      </w:r>
      <w:proofErr w:type="spellEnd"/>
      <w:r w:rsidRPr="00C26F45">
        <w:rPr>
          <w:rFonts w:ascii="Verdana" w:hAnsi="Verdana"/>
          <w:sz w:val="16"/>
          <w:szCs w:val="16"/>
        </w:rPr>
        <w:t xml:space="preserve">] de capacitaciones hasta junio de 2014, lo cual </w:t>
      </w:r>
      <w:r w:rsidR="00FF2F42" w:rsidRPr="00C26F45">
        <w:rPr>
          <w:rFonts w:ascii="Verdana" w:hAnsi="Verdana"/>
          <w:sz w:val="16"/>
          <w:szCs w:val="16"/>
        </w:rPr>
        <w:t>sugiere</w:t>
      </w:r>
      <w:r w:rsidRPr="00C26F45">
        <w:rPr>
          <w:rFonts w:ascii="Verdana" w:hAnsi="Verdana"/>
          <w:sz w:val="16"/>
          <w:szCs w:val="16"/>
        </w:rPr>
        <w:t xml:space="preserve"> que no se ha implementado un programa de capacitación continua”.</w:t>
      </w:r>
    </w:p>
  </w:footnote>
  <w:footnote w:id="52">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Con relación a este punto, los representantes </w:t>
      </w:r>
      <w:r w:rsidR="00FF2F42" w:rsidRPr="00C26F45">
        <w:rPr>
          <w:rFonts w:ascii="Verdana" w:hAnsi="Verdana"/>
          <w:sz w:val="16"/>
          <w:szCs w:val="16"/>
        </w:rPr>
        <w:t>considera</w:t>
      </w:r>
      <w:r w:rsidR="00FF2F42">
        <w:rPr>
          <w:rFonts w:ascii="Verdana" w:hAnsi="Verdana"/>
          <w:sz w:val="16"/>
          <w:szCs w:val="16"/>
        </w:rPr>
        <w:t>ron</w:t>
      </w:r>
      <w:r w:rsidR="00FF2F42" w:rsidRPr="00C26F45">
        <w:rPr>
          <w:rFonts w:ascii="Verdana" w:hAnsi="Verdana"/>
          <w:sz w:val="16"/>
          <w:szCs w:val="16"/>
        </w:rPr>
        <w:t xml:space="preserve"> </w:t>
      </w:r>
      <w:r w:rsidRPr="00C26F45">
        <w:rPr>
          <w:rFonts w:ascii="Verdana" w:hAnsi="Verdana"/>
          <w:sz w:val="16"/>
          <w:szCs w:val="16"/>
        </w:rPr>
        <w:t>que la información que proporciona el Estado “es confusa” y no permite determinar si el referido personal “está siendo o no capacitado”.</w:t>
      </w:r>
    </w:p>
  </w:footnote>
  <w:footnote w:id="53">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Detalló que este módulo tiene una duración de 6 meses en los cuales se desarrollan “diez temas” en las siguientes “tres fases”: (</w:t>
      </w:r>
      <w:r w:rsidR="00E918B8">
        <w:rPr>
          <w:rFonts w:ascii="Verdana" w:hAnsi="Verdana"/>
          <w:sz w:val="16"/>
          <w:szCs w:val="16"/>
        </w:rPr>
        <w:t>i</w:t>
      </w:r>
      <w:r w:rsidRPr="00C26F45">
        <w:rPr>
          <w:rFonts w:ascii="Verdana" w:hAnsi="Verdana"/>
          <w:sz w:val="16"/>
          <w:szCs w:val="16"/>
        </w:rPr>
        <w:t xml:space="preserve">) “Convivencia, Adaptación y </w:t>
      </w:r>
      <w:r w:rsidR="00383D77">
        <w:rPr>
          <w:rFonts w:ascii="Verdana" w:hAnsi="Verdana"/>
          <w:sz w:val="16"/>
          <w:szCs w:val="16"/>
        </w:rPr>
        <w:t>[</w:t>
      </w:r>
      <w:r w:rsidRPr="00C26F45">
        <w:rPr>
          <w:rFonts w:ascii="Verdana" w:hAnsi="Verdana"/>
          <w:sz w:val="16"/>
          <w:szCs w:val="16"/>
        </w:rPr>
        <w:t>C</w:t>
      </w:r>
      <w:r w:rsidR="00383D77">
        <w:rPr>
          <w:rFonts w:ascii="Verdana" w:hAnsi="Verdana"/>
          <w:sz w:val="16"/>
          <w:szCs w:val="16"/>
        </w:rPr>
        <w:t>]</w:t>
      </w:r>
      <w:proofErr w:type="spellStart"/>
      <w:r w:rsidRPr="00C26F45">
        <w:rPr>
          <w:rFonts w:ascii="Verdana" w:hAnsi="Verdana"/>
          <w:sz w:val="16"/>
          <w:szCs w:val="16"/>
        </w:rPr>
        <w:t>ontextualización</w:t>
      </w:r>
      <w:proofErr w:type="spellEnd"/>
      <w:r w:rsidRPr="00C26F45">
        <w:rPr>
          <w:rFonts w:ascii="Verdana" w:hAnsi="Verdana"/>
          <w:sz w:val="16"/>
          <w:szCs w:val="16"/>
        </w:rPr>
        <w:t xml:space="preserve"> del sistema de rehabilitación social”; (</w:t>
      </w:r>
      <w:r w:rsidR="00E918B8">
        <w:rPr>
          <w:rFonts w:ascii="Verdana" w:hAnsi="Verdana"/>
          <w:sz w:val="16"/>
          <w:szCs w:val="16"/>
        </w:rPr>
        <w:t>ii</w:t>
      </w:r>
      <w:r w:rsidRPr="00C26F45">
        <w:rPr>
          <w:rFonts w:ascii="Verdana" w:hAnsi="Verdana"/>
          <w:sz w:val="16"/>
          <w:szCs w:val="16"/>
        </w:rPr>
        <w:t>) “</w:t>
      </w:r>
      <w:r w:rsidR="00E918B8">
        <w:rPr>
          <w:rFonts w:ascii="Verdana" w:hAnsi="Verdana"/>
          <w:sz w:val="16"/>
          <w:szCs w:val="16"/>
        </w:rPr>
        <w:t>[s]</w:t>
      </w:r>
      <w:r w:rsidR="00E918B8" w:rsidRPr="00C26F45" w:rsidDel="00E918B8">
        <w:rPr>
          <w:rFonts w:ascii="Verdana" w:hAnsi="Verdana"/>
          <w:sz w:val="16"/>
          <w:szCs w:val="16"/>
        </w:rPr>
        <w:t xml:space="preserve"> </w:t>
      </w:r>
      <w:r w:rsidRPr="00C26F45">
        <w:rPr>
          <w:rFonts w:ascii="Verdana" w:hAnsi="Verdana"/>
          <w:sz w:val="16"/>
          <w:szCs w:val="16"/>
        </w:rPr>
        <w:t>e imparten materias informativas y de desarrollo de competencias”, y (</w:t>
      </w:r>
      <w:r w:rsidR="00E918B8">
        <w:rPr>
          <w:rFonts w:ascii="Verdana" w:hAnsi="Verdana"/>
          <w:sz w:val="16"/>
          <w:szCs w:val="16"/>
        </w:rPr>
        <w:t>iii</w:t>
      </w:r>
      <w:r w:rsidRPr="00C26F45">
        <w:rPr>
          <w:rFonts w:ascii="Verdana" w:hAnsi="Verdana"/>
          <w:sz w:val="16"/>
          <w:szCs w:val="16"/>
        </w:rPr>
        <w:t>) “</w:t>
      </w:r>
      <w:r w:rsidR="00E918B8">
        <w:rPr>
          <w:rFonts w:ascii="Verdana" w:hAnsi="Verdana"/>
          <w:sz w:val="16"/>
          <w:szCs w:val="16"/>
        </w:rPr>
        <w:t>[s]</w:t>
      </w:r>
      <w:r w:rsidR="00E918B8" w:rsidRPr="00C26F45">
        <w:rPr>
          <w:rFonts w:ascii="Verdana" w:hAnsi="Verdana"/>
          <w:sz w:val="16"/>
          <w:szCs w:val="16"/>
        </w:rPr>
        <w:t xml:space="preserve">e </w:t>
      </w:r>
      <w:r w:rsidRPr="00C26F45">
        <w:rPr>
          <w:rFonts w:ascii="Verdana" w:hAnsi="Verdana"/>
          <w:sz w:val="16"/>
          <w:szCs w:val="16"/>
        </w:rPr>
        <w:t xml:space="preserve">realizan ejercicios teórico-prácticos, se imparten materias formativas, y se realiza la ejecución aplicativa de los conocimientos en los </w:t>
      </w:r>
      <w:r w:rsidR="00383D77">
        <w:rPr>
          <w:rFonts w:ascii="Verdana" w:hAnsi="Verdana"/>
          <w:sz w:val="16"/>
          <w:szCs w:val="16"/>
        </w:rPr>
        <w:t>[</w:t>
      </w:r>
      <w:r w:rsidRPr="00C26F45">
        <w:rPr>
          <w:rFonts w:ascii="Verdana" w:hAnsi="Verdana"/>
          <w:sz w:val="16"/>
          <w:szCs w:val="16"/>
        </w:rPr>
        <w:t>c</w:t>
      </w:r>
      <w:r w:rsidR="00383D77">
        <w:rPr>
          <w:rFonts w:ascii="Verdana" w:hAnsi="Verdana"/>
          <w:sz w:val="16"/>
          <w:szCs w:val="16"/>
        </w:rPr>
        <w:t>]</w:t>
      </w:r>
      <w:proofErr w:type="spellStart"/>
      <w:r w:rsidRPr="00C26F45">
        <w:rPr>
          <w:rFonts w:ascii="Verdana" w:hAnsi="Verdana"/>
          <w:sz w:val="16"/>
          <w:szCs w:val="16"/>
        </w:rPr>
        <w:t>entros</w:t>
      </w:r>
      <w:proofErr w:type="spellEnd"/>
      <w:r w:rsidRPr="00C26F45">
        <w:rPr>
          <w:rFonts w:ascii="Verdana" w:hAnsi="Verdana"/>
          <w:sz w:val="16"/>
          <w:szCs w:val="16"/>
        </w:rPr>
        <w:t xml:space="preserve"> de </w:t>
      </w:r>
      <w:r w:rsidR="00383D77">
        <w:rPr>
          <w:rFonts w:ascii="Verdana" w:hAnsi="Verdana"/>
          <w:sz w:val="16"/>
          <w:szCs w:val="16"/>
        </w:rPr>
        <w:t>[</w:t>
      </w:r>
      <w:r w:rsidRPr="00C26F45">
        <w:rPr>
          <w:rFonts w:ascii="Verdana" w:hAnsi="Verdana"/>
          <w:sz w:val="16"/>
          <w:szCs w:val="16"/>
        </w:rPr>
        <w:t>r</w:t>
      </w:r>
      <w:r w:rsidR="00383D77">
        <w:rPr>
          <w:rFonts w:ascii="Verdana" w:hAnsi="Verdana"/>
          <w:sz w:val="16"/>
          <w:szCs w:val="16"/>
        </w:rPr>
        <w:t>]</w:t>
      </w:r>
      <w:proofErr w:type="spellStart"/>
      <w:r w:rsidRPr="00C26F45">
        <w:rPr>
          <w:rFonts w:ascii="Verdana" w:hAnsi="Verdana"/>
          <w:sz w:val="16"/>
          <w:szCs w:val="16"/>
        </w:rPr>
        <w:t>ehabilitación</w:t>
      </w:r>
      <w:proofErr w:type="spellEnd"/>
      <w:r w:rsidRPr="00C26F45">
        <w:rPr>
          <w:rFonts w:ascii="Verdana" w:hAnsi="Verdana"/>
          <w:sz w:val="16"/>
          <w:szCs w:val="16"/>
        </w:rPr>
        <w:t xml:space="preserve"> </w:t>
      </w:r>
      <w:r w:rsidR="00383D77">
        <w:rPr>
          <w:rFonts w:ascii="Verdana" w:hAnsi="Verdana"/>
          <w:sz w:val="16"/>
          <w:szCs w:val="16"/>
        </w:rPr>
        <w:t>[</w:t>
      </w:r>
      <w:r w:rsidRPr="00C26F45">
        <w:rPr>
          <w:rFonts w:ascii="Verdana" w:hAnsi="Verdana"/>
          <w:sz w:val="16"/>
          <w:szCs w:val="16"/>
        </w:rPr>
        <w:t>s</w:t>
      </w:r>
      <w:r w:rsidR="00383D77">
        <w:rPr>
          <w:rFonts w:ascii="Verdana" w:hAnsi="Verdana"/>
          <w:sz w:val="16"/>
          <w:szCs w:val="16"/>
        </w:rPr>
        <w:t>]</w:t>
      </w:r>
      <w:proofErr w:type="spellStart"/>
      <w:r w:rsidRPr="00C26F45">
        <w:rPr>
          <w:rFonts w:ascii="Verdana" w:hAnsi="Verdana"/>
          <w:sz w:val="16"/>
          <w:szCs w:val="16"/>
        </w:rPr>
        <w:t>ocial</w:t>
      </w:r>
      <w:proofErr w:type="spellEnd"/>
      <w:r w:rsidRPr="00C26F45">
        <w:rPr>
          <w:rFonts w:ascii="Verdana" w:hAnsi="Verdana"/>
          <w:sz w:val="16"/>
          <w:szCs w:val="16"/>
        </w:rPr>
        <w:t xml:space="preserve"> y en la ESEE”.</w:t>
      </w:r>
      <w:r w:rsidRPr="00C26F45">
        <w:rPr>
          <w:rFonts w:ascii="Verdana" w:hAnsi="Verdana"/>
          <w:b/>
          <w:sz w:val="16"/>
          <w:szCs w:val="16"/>
        </w:rPr>
        <w:t xml:space="preserve"> </w:t>
      </w:r>
      <w:r w:rsidRPr="00C26F45">
        <w:rPr>
          <w:rFonts w:ascii="Verdana" w:hAnsi="Verdana"/>
          <w:sz w:val="16"/>
          <w:szCs w:val="16"/>
        </w:rPr>
        <w:t xml:space="preserve">Asimismo, explicó que el módulo está a cargo de “un equipo de profesores de la Escuela Politécnica del Ejército”, los cuales “deben […]: a) contar con título de tercer nivel en las profesiones de sociología, abogacía (con experiencia en mediación y resolución de conflictos), pedagogía, trabajo social y comunicación </w:t>
      </w:r>
      <w:proofErr w:type="gramStart"/>
      <w:r w:rsidRPr="00C26F45">
        <w:rPr>
          <w:rFonts w:ascii="Verdana" w:hAnsi="Verdana"/>
          <w:sz w:val="16"/>
          <w:szCs w:val="16"/>
        </w:rPr>
        <w:t>social[</w:t>
      </w:r>
      <w:proofErr w:type="gramEnd"/>
      <w:r w:rsidRPr="00C26F45">
        <w:rPr>
          <w:rFonts w:ascii="Verdana" w:hAnsi="Verdana"/>
          <w:sz w:val="16"/>
          <w:szCs w:val="16"/>
        </w:rPr>
        <w:t>, y] b) tener dos años de experiencia como docentes a nivel superior</w:t>
      </w:r>
      <w:r w:rsidR="00E918B8">
        <w:rPr>
          <w:rFonts w:ascii="Verdana" w:hAnsi="Verdana"/>
          <w:sz w:val="16"/>
          <w:szCs w:val="16"/>
        </w:rPr>
        <w:t>”</w:t>
      </w:r>
      <w:r w:rsidRPr="00C26F45">
        <w:rPr>
          <w:rFonts w:ascii="Verdana" w:hAnsi="Verdana"/>
          <w:sz w:val="16"/>
          <w:szCs w:val="16"/>
        </w:rPr>
        <w:t>.</w:t>
      </w:r>
    </w:p>
  </w:footnote>
  <w:footnote w:id="54">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Indicó que: (i) “[e]l 23 y 24 de enero se [capacitó] a 35 agentes de seguridad penitenciaria”; (ii) el 24 de abril se desarrolló este taller “dirigido a personal administrativo de la Escuela Penitenciaria de Bahía de </w:t>
      </w:r>
      <w:proofErr w:type="spellStart"/>
      <w:r w:rsidRPr="00C26F45">
        <w:rPr>
          <w:rFonts w:ascii="Verdana" w:hAnsi="Verdana"/>
          <w:sz w:val="16"/>
          <w:szCs w:val="16"/>
        </w:rPr>
        <w:t>Caráquez</w:t>
      </w:r>
      <w:proofErr w:type="spellEnd"/>
      <w:r w:rsidRPr="00C26F45">
        <w:rPr>
          <w:rFonts w:ascii="Verdana" w:hAnsi="Verdana"/>
          <w:sz w:val="16"/>
          <w:szCs w:val="16"/>
        </w:rPr>
        <w:t xml:space="preserve">, con 39 capacitados”, y </w:t>
      </w:r>
      <w:r w:rsidR="00E918B8">
        <w:rPr>
          <w:rFonts w:ascii="Verdana" w:hAnsi="Verdana"/>
          <w:sz w:val="16"/>
          <w:szCs w:val="16"/>
        </w:rPr>
        <w:t xml:space="preserve">(iii) </w:t>
      </w:r>
      <w:r w:rsidRPr="00C26F45">
        <w:rPr>
          <w:rFonts w:ascii="Verdana" w:hAnsi="Verdana"/>
          <w:sz w:val="16"/>
          <w:szCs w:val="16"/>
        </w:rPr>
        <w:t>“el 24 de mayo</w:t>
      </w:r>
      <w:r w:rsidR="00383D77">
        <w:rPr>
          <w:rFonts w:ascii="Verdana" w:hAnsi="Verdana"/>
          <w:sz w:val="16"/>
          <w:szCs w:val="16"/>
        </w:rPr>
        <w:t>”</w:t>
      </w:r>
      <w:r w:rsidRPr="00C26F45">
        <w:rPr>
          <w:rFonts w:ascii="Verdana" w:hAnsi="Verdana"/>
          <w:sz w:val="16"/>
          <w:szCs w:val="16"/>
        </w:rPr>
        <w:t xml:space="preserve"> este taller “con 39 participantes”. </w:t>
      </w:r>
    </w:p>
  </w:footnote>
  <w:footnote w:id="55">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Realizado “[e]l 4 de febrero […] a 6 agentes de seguridad penitenciaria en la ciudad de Bahía de </w:t>
      </w:r>
      <w:proofErr w:type="spellStart"/>
      <w:r w:rsidRPr="00C26F45">
        <w:rPr>
          <w:rFonts w:ascii="Verdana" w:hAnsi="Verdana"/>
          <w:sz w:val="16"/>
          <w:szCs w:val="16"/>
        </w:rPr>
        <w:t>Caráquez</w:t>
      </w:r>
      <w:proofErr w:type="spellEnd"/>
      <w:r w:rsidRPr="00C26F45">
        <w:rPr>
          <w:rFonts w:ascii="Verdana" w:hAnsi="Verdana"/>
          <w:sz w:val="16"/>
          <w:szCs w:val="16"/>
        </w:rPr>
        <w:t xml:space="preserve">”. </w:t>
      </w:r>
    </w:p>
  </w:footnote>
  <w:footnote w:id="56">
    <w:p w:rsidR="00B01195" w:rsidRPr="00C26F45" w:rsidRDefault="00B01195" w:rsidP="00C26F45">
      <w:pPr>
        <w:pStyle w:val="Textonotapie"/>
        <w:jc w:val="both"/>
        <w:rPr>
          <w:rFonts w:ascii="Verdana" w:hAnsi="Verdana"/>
          <w:sz w:val="16"/>
          <w:szCs w:val="16"/>
        </w:rPr>
      </w:pPr>
      <w:r w:rsidRPr="00C26F45">
        <w:rPr>
          <w:rFonts w:ascii="Verdana" w:hAnsi="Verdana"/>
          <w:sz w:val="16"/>
          <w:szCs w:val="16"/>
          <w:vertAlign w:val="superscript"/>
        </w:rPr>
        <w:footnoteRef/>
      </w:r>
      <w:r w:rsidRPr="00C26F45">
        <w:rPr>
          <w:rFonts w:ascii="Verdana" w:hAnsi="Verdana"/>
          <w:sz w:val="16"/>
          <w:szCs w:val="16"/>
        </w:rPr>
        <w:t xml:space="preserve"> </w:t>
      </w:r>
      <w:r w:rsidRPr="00C26F45">
        <w:rPr>
          <w:rFonts w:ascii="Verdana" w:hAnsi="Verdana"/>
          <w:sz w:val="16"/>
          <w:szCs w:val="16"/>
        </w:rPr>
        <w:tab/>
        <w:t>Realizada “[e]l 15 de mayo [para] personal administrativo de la Escuela Penitenciaria […], contando con la presencia de 38 personas capacitadas, entre los que constan educadores de los C[</w:t>
      </w:r>
      <w:proofErr w:type="spellStart"/>
      <w:r w:rsidRPr="00C26F45">
        <w:rPr>
          <w:rFonts w:ascii="Verdana" w:hAnsi="Verdana"/>
          <w:sz w:val="16"/>
          <w:szCs w:val="16"/>
        </w:rPr>
        <w:t>entros</w:t>
      </w:r>
      <w:proofErr w:type="spellEnd"/>
      <w:r w:rsidRPr="00C26F45">
        <w:rPr>
          <w:rFonts w:ascii="Verdana" w:hAnsi="Verdana"/>
          <w:sz w:val="16"/>
          <w:szCs w:val="16"/>
        </w:rPr>
        <w:t xml:space="preserve"> de Rehabilitación Social] y psicólogos”.</w:t>
      </w:r>
    </w:p>
  </w:footnote>
  <w:footnote w:id="57">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Realizado “[e]l 25 y 26 de julio en Bahía de </w:t>
      </w:r>
      <w:proofErr w:type="spellStart"/>
      <w:r w:rsidRPr="00C26F45">
        <w:rPr>
          <w:rFonts w:ascii="Verdana" w:hAnsi="Verdana"/>
          <w:sz w:val="16"/>
          <w:szCs w:val="16"/>
        </w:rPr>
        <w:t>Caráquez</w:t>
      </w:r>
      <w:proofErr w:type="spellEnd"/>
      <w:r w:rsidRPr="00C26F45">
        <w:rPr>
          <w:rFonts w:ascii="Verdana" w:hAnsi="Verdana"/>
          <w:sz w:val="16"/>
          <w:szCs w:val="16"/>
        </w:rPr>
        <w:t xml:space="preserve"> [con la participación de] 17 agentes de seguridad penitenciaria”.</w:t>
      </w:r>
    </w:p>
  </w:footnote>
  <w:footnote w:id="58">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Indicó que en el taller realizado “[e]l 3 y 4 de septiembre [participaron] 56 agentes de seguridad penitenciaria”, y que en el llevado a cabo “[e]l </w:t>
      </w:r>
      <w:r w:rsidR="00383D77">
        <w:rPr>
          <w:rFonts w:ascii="Verdana" w:hAnsi="Verdana"/>
          <w:sz w:val="16"/>
          <w:szCs w:val="16"/>
        </w:rPr>
        <w:t>1</w:t>
      </w:r>
      <w:r w:rsidRPr="00C26F45">
        <w:rPr>
          <w:rFonts w:ascii="Verdana" w:hAnsi="Verdana"/>
          <w:sz w:val="16"/>
          <w:szCs w:val="16"/>
        </w:rPr>
        <w:t>8 de septiembre [participaron] 9 agentes de tratamiento”.</w:t>
      </w:r>
    </w:p>
  </w:footnote>
  <w:footnote w:id="59">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Señaló que esta capacitación se llevó a cabo “[e]l 18 de septiembre […] en las instalaciones de la Penitenciaría del Litoral con la asistencia de 20 médicos”.</w:t>
      </w:r>
    </w:p>
  </w:footnote>
  <w:footnote w:id="60">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ab/>
        <w:t>Sostuvo que</w:t>
      </w:r>
      <w:r w:rsidR="00916DA1">
        <w:rPr>
          <w:rFonts w:ascii="Verdana" w:hAnsi="Verdana"/>
          <w:sz w:val="16"/>
          <w:szCs w:val="16"/>
        </w:rPr>
        <w:t>: (i)</w:t>
      </w:r>
      <w:r w:rsidRPr="00C26F45">
        <w:rPr>
          <w:rFonts w:ascii="Verdana" w:hAnsi="Verdana"/>
          <w:sz w:val="16"/>
          <w:szCs w:val="16"/>
        </w:rPr>
        <w:t xml:space="preserve">“[e]l 6 de junio </w:t>
      </w:r>
      <w:r w:rsidR="00916DA1" w:rsidRPr="00C26F45">
        <w:rPr>
          <w:rFonts w:ascii="Verdana" w:hAnsi="Verdana"/>
          <w:sz w:val="16"/>
          <w:szCs w:val="16"/>
        </w:rPr>
        <w:t>[</w:t>
      </w:r>
      <w:r w:rsidR="00916DA1">
        <w:rPr>
          <w:rFonts w:ascii="Verdana" w:hAnsi="Verdana"/>
          <w:sz w:val="16"/>
          <w:szCs w:val="16"/>
        </w:rPr>
        <w:t>se realizó</w:t>
      </w:r>
      <w:r w:rsidR="00916DA1" w:rsidRPr="00C26F45">
        <w:rPr>
          <w:rFonts w:ascii="Verdana" w:hAnsi="Verdana"/>
          <w:sz w:val="16"/>
          <w:szCs w:val="16"/>
        </w:rPr>
        <w:t xml:space="preserve">] </w:t>
      </w:r>
      <w:r w:rsidRPr="00C26F45">
        <w:rPr>
          <w:rFonts w:ascii="Verdana" w:hAnsi="Verdana"/>
          <w:sz w:val="16"/>
          <w:szCs w:val="16"/>
        </w:rPr>
        <w:t>un taller denominado ‘Género y Cultura dentro de los C[</w:t>
      </w:r>
      <w:proofErr w:type="spellStart"/>
      <w:r w:rsidRPr="00C26F45">
        <w:rPr>
          <w:rFonts w:ascii="Verdana" w:hAnsi="Verdana"/>
          <w:sz w:val="16"/>
          <w:szCs w:val="16"/>
        </w:rPr>
        <w:t>entros</w:t>
      </w:r>
      <w:proofErr w:type="spellEnd"/>
      <w:r w:rsidRPr="00C26F45">
        <w:rPr>
          <w:rFonts w:ascii="Verdana" w:hAnsi="Verdana"/>
          <w:sz w:val="16"/>
          <w:szCs w:val="16"/>
        </w:rPr>
        <w:t xml:space="preserve"> de Rehabilitación Social]’ con la asistencia de 32 </w:t>
      </w:r>
      <w:r w:rsidR="00383D77">
        <w:rPr>
          <w:rFonts w:ascii="Verdana" w:hAnsi="Verdana"/>
          <w:sz w:val="16"/>
          <w:szCs w:val="16"/>
        </w:rPr>
        <w:t>personas</w:t>
      </w:r>
      <w:r w:rsidRPr="00C26F45">
        <w:rPr>
          <w:rFonts w:ascii="Verdana" w:hAnsi="Verdana"/>
          <w:sz w:val="16"/>
          <w:szCs w:val="16"/>
        </w:rPr>
        <w:t xml:space="preserve"> incluyendo personal educativo de los C[</w:t>
      </w:r>
      <w:proofErr w:type="spellStart"/>
      <w:r w:rsidRPr="00C26F45">
        <w:rPr>
          <w:rFonts w:ascii="Verdana" w:hAnsi="Verdana"/>
          <w:sz w:val="16"/>
          <w:szCs w:val="16"/>
        </w:rPr>
        <w:t>entros</w:t>
      </w:r>
      <w:proofErr w:type="spellEnd"/>
      <w:r w:rsidRPr="00C26F45">
        <w:rPr>
          <w:rFonts w:ascii="Verdana" w:hAnsi="Verdana"/>
          <w:sz w:val="16"/>
          <w:szCs w:val="16"/>
        </w:rPr>
        <w:t xml:space="preserve"> de Rehabilitación Social] de todo el país”, y que</w:t>
      </w:r>
      <w:r w:rsidR="00916DA1">
        <w:rPr>
          <w:rFonts w:ascii="Verdana" w:hAnsi="Verdana"/>
          <w:sz w:val="16"/>
          <w:szCs w:val="16"/>
        </w:rPr>
        <w:t xml:space="preserve"> (ii)</w:t>
      </w:r>
      <w:r w:rsidRPr="00C26F45">
        <w:rPr>
          <w:rFonts w:ascii="Verdana" w:hAnsi="Verdana"/>
          <w:sz w:val="16"/>
          <w:szCs w:val="16"/>
        </w:rPr>
        <w:t xml:space="preserve"> “[el] 8 y 9 de agosto en la ciudad de Esmeraldas, se desarrolló el taller</w:t>
      </w:r>
      <w:r w:rsidR="00383D77">
        <w:rPr>
          <w:rFonts w:ascii="Verdana" w:hAnsi="Verdana"/>
          <w:sz w:val="16"/>
          <w:szCs w:val="16"/>
        </w:rPr>
        <w:t xml:space="preserve"> [de]</w:t>
      </w:r>
      <w:r w:rsidRPr="00C26F45">
        <w:rPr>
          <w:rFonts w:ascii="Verdana" w:hAnsi="Verdana"/>
          <w:sz w:val="16"/>
          <w:szCs w:val="16"/>
        </w:rPr>
        <w:t xml:space="preserve"> ‘Género en el contexto penitenciario’ con 45 participantes: administrativos, agentes de seguridad penitenciaria y profesores de los C[</w:t>
      </w:r>
      <w:proofErr w:type="spellStart"/>
      <w:r w:rsidRPr="00C26F45">
        <w:rPr>
          <w:rFonts w:ascii="Verdana" w:hAnsi="Verdana"/>
          <w:sz w:val="16"/>
          <w:szCs w:val="16"/>
        </w:rPr>
        <w:t>entros</w:t>
      </w:r>
      <w:proofErr w:type="spellEnd"/>
      <w:r w:rsidRPr="00C26F45">
        <w:rPr>
          <w:rFonts w:ascii="Verdana" w:hAnsi="Verdana"/>
          <w:sz w:val="16"/>
          <w:szCs w:val="16"/>
        </w:rPr>
        <w:t xml:space="preserve"> de Rehabilitación Social y] personal del Centro de Adolescentes en Conflicto con la Ley”.</w:t>
      </w:r>
    </w:p>
  </w:footnote>
  <w:footnote w:id="61">
    <w:p w:rsidR="00B01195" w:rsidRPr="00C26F45" w:rsidRDefault="00B01195" w:rsidP="00C26F45">
      <w:pPr>
        <w:pStyle w:val="Textonotapie"/>
        <w:jc w:val="both"/>
        <w:rPr>
          <w:rFonts w:ascii="Verdana" w:hAnsi="Verdana"/>
          <w:sz w:val="16"/>
          <w:szCs w:val="16"/>
        </w:rPr>
      </w:pPr>
      <w:r w:rsidRPr="00C26F45">
        <w:rPr>
          <w:rFonts w:ascii="Verdana" w:hAnsi="Verdana"/>
          <w:sz w:val="16"/>
          <w:szCs w:val="16"/>
          <w:vertAlign w:val="superscript"/>
        </w:rPr>
        <w:footnoteRef/>
      </w:r>
      <w:r w:rsidRPr="00C26F45">
        <w:rPr>
          <w:rFonts w:ascii="Verdana" w:hAnsi="Verdana"/>
          <w:sz w:val="16"/>
          <w:szCs w:val="16"/>
          <w:vertAlign w:val="superscript"/>
        </w:rPr>
        <w:t xml:space="preserve"> </w:t>
      </w:r>
      <w:r w:rsidRPr="00C26F45">
        <w:rPr>
          <w:rFonts w:ascii="Verdana" w:hAnsi="Verdana"/>
          <w:sz w:val="16"/>
          <w:szCs w:val="16"/>
        </w:rPr>
        <w:tab/>
        <w:t>Indicó que este taller se llevó a cabo el 20 de septiembre</w:t>
      </w:r>
      <w:r w:rsidR="00916DA1">
        <w:rPr>
          <w:rFonts w:ascii="Verdana" w:hAnsi="Verdana"/>
          <w:sz w:val="16"/>
          <w:szCs w:val="16"/>
        </w:rPr>
        <w:t xml:space="preserve"> de 2013</w:t>
      </w:r>
      <w:r w:rsidRPr="00C26F45">
        <w:rPr>
          <w:rFonts w:ascii="Verdana" w:hAnsi="Verdana"/>
          <w:sz w:val="16"/>
          <w:szCs w:val="16"/>
        </w:rPr>
        <w:t>, y que fue organizado por “la Dirección de Derechos Humanos”. Añadió que “contó con la participación [como] expositor […] del Responsable del Programa ante las Fuerzas Policiales para Bolivia, Ecuador y Perú del Comité Internacional de la Cruz Roja”</w:t>
      </w:r>
      <w:r w:rsidR="00916DA1">
        <w:rPr>
          <w:rFonts w:ascii="Verdana" w:hAnsi="Verdana"/>
          <w:sz w:val="16"/>
          <w:szCs w:val="16"/>
        </w:rPr>
        <w:t>,</w:t>
      </w:r>
      <w:r w:rsidRPr="00C26F45">
        <w:rPr>
          <w:rFonts w:ascii="Verdana" w:hAnsi="Verdana"/>
          <w:sz w:val="16"/>
          <w:szCs w:val="16"/>
        </w:rPr>
        <w:t xml:space="preserve"> y con “la asistencia de 34 personas[,] entre las cuales constaron: agentes de seguridad penitenciaria, delegados de varias Subsecretarías del Ministerio de Justicia, Derechos Humanos y Cultos y personal administrativo</w:t>
      </w:r>
      <w:r w:rsidR="00916DA1">
        <w:rPr>
          <w:rFonts w:ascii="Verdana" w:hAnsi="Verdana"/>
          <w:sz w:val="16"/>
          <w:szCs w:val="16"/>
        </w:rPr>
        <w:t>”</w:t>
      </w:r>
      <w:r w:rsidRPr="00C26F45">
        <w:rPr>
          <w:rFonts w:ascii="Verdana" w:hAnsi="Verdana"/>
          <w:sz w:val="16"/>
          <w:szCs w:val="16"/>
        </w:rPr>
        <w:t>.</w:t>
      </w:r>
    </w:p>
  </w:footnote>
  <w:footnote w:id="62">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Detalló que: (i) el “27 de enero se capacitó a 29 funcionarios del Grupo Especial </w:t>
      </w:r>
      <w:proofErr w:type="spellStart"/>
      <w:r w:rsidRPr="00C26F45">
        <w:rPr>
          <w:rFonts w:ascii="Verdana" w:hAnsi="Verdana"/>
          <w:sz w:val="16"/>
          <w:szCs w:val="16"/>
        </w:rPr>
        <w:t>Alpha</w:t>
      </w:r>
      <w:proofErr w:type="spellEnd"/>
      <w:r w:rsidRPr="00C26F45">
        <w:rPr>
          <w:rFonts w:ascii="Verdana" w:hAnsi="Verdana"/>
          <w:sz w:val="16"/>
          <w:szCs w:val="16"/>
        </w:rPr>
        <w:t xml:space="preserve"> en la temática de [f]</w:t>
      </w:r>
      <w:proofErr w:type="spellStart"/>
      <w:r w:rsidRPr="00C26F45">
        <w:rPr>
          <w:rFonts w:ascii="Verdana" w:hAnsi="Verdana"/>
          <w:sz w:val="16"/>
          <w:szCs w:val="16"/>
        </w:rPr>
        <w:t>undamentos</w:t>
      </w:r>
      <w:proofErr w:type="spellEnd"/>
      <w:r w:rsidRPr="00C26F45">
        <w:rPr>
          <w:rFonts w:ascii="Verdana" w:hAnsi="Verdana"/>
          <w:sz w:val="16"/>
          <w:szCs w:val="16"/>
        </w:rPr>
        <w:t xml:space="preserve"> [b]</w:t>
      </w:r>
      <w:proofErr w:type="spellStart"/>
      <w:r w:rsidRPr="00C26F45">
        <w:rPr>
          <w:rFonts w:ascii="Verdana" w:hAnsi="Verdana"/>
          <w:sz w:val="16"/>
          <w:szCs w:val="16"/>
        </w:rPr>
        <w:t>ásicos</w:t>
      </w:r>
      <w:proofErr w:type="spellEnd"/>
      <w:r w:rsidRPr="00C26F45">
        <w:rPr>
          <w:rFonts w:ascii="Verdana" w:hAnsi="Verdana"/>
          <w:sz w:val="16"/>
          <w:szCs w:val="16"/>
        </w:rPr>
        <w:t xml:space="preserve"> de [d]</w:t>
      </w:r>
      <w:proofErr w:type="spellStart"/>
      <w:r w:rsidRPr="00C26F45">
        <w:rPr>
          <w:rFonts w:ascii="Verdana" w:hAnsi="Verdana"/>
          <w:sz w:val="16"/>
          <w:szCs w:val="16"/>
        </w:rPr>
        <w:t>erechos</w:t>
      </w:r>
      <w:proofErr w:type="spellEnd"/>
      <w:r w:rsidRPr="00C26F45">
        <w:rPr>
          <w:rFonts w:ascii="Verdana" w:hAnsi="Verdana"/>
          <w:sz w:val="16"/>
          <w:szCs w:val="16"/>
        </w:rPr>
        <w:t xml:space="preserve"> [h]</w:t>
      </w:r>
      <w:proofErr w:type="spellStart"/>
      <w:r w:rsidRPr="00C26F45">
        <w:rPr>
          <w:rFonts w:ascii="Verdana" w:hAnsi="Verdana"/>
          <w:sz w:val="16"/>
          <w:szCs w:val="16"/>
        </w:rPr>
        <w:t>umanos</w:t>
      </w:r>
      <w:proofErr w:type="spellEnd"/>
      <w:r w:rsidRPr="00C26F45">
        <w:rPr>
          <w:rFonts w:ascii="Verdana" w:hAnsi="Verdana"/>
          <w:sz w:val="16"/>
          <w:szCs w:val="16"/>
        </w:rPr>
        <w:t>”; (ii) el “3 y 4 de febrero se capacitó a 52 [a]gentes de seguridad penitenciaria del Centro de Rehabilitación Social de Sucumbíos”; (iii) el “5 de febrero se capacitó en la temática de [d]</w:t>
      </w:r>
      <w:proofErr w:type="spellStart"/>
      <w:r w:rsidRPr="00C26F45">
        <w:rPr>
          <w:rFonts w:ascii="Verdana" w:hAnsi="Verdana"/>
          <w:sz w:val="16"/>
          <w:szCs w:val="16"/>
        </w:rPr>
        <w:t>erechos</w:t>
      </w:r>
      <w:proofErr w:type="spellEnd"/>
      <w:r w:rsidRPr="00C26F45">
        <w:rPr>
          <w:rFonts w:ascii="Verdana" w:hAnsi="Verdana"/>
          <w:sz w:val="16"/>
          <w:szCs w:val="16"/>
        </w:rPr>
        <w:t xml:space="preserve"> [h]</w:t>
      </w:r>
      <w:proofErr w:type="spellStart"/>
      <w:r w:rsidRPr="00C26F45">
        <w:rPr>
          <w:rFonts w:ascii="Verdana" w:hAnsi="Verdana"/>
          <w:sz w:val="16"/>
          <w:szCs w:val="16"/>
        </w:rPr>
        <w:t>umanos</w:t>
      </w:r>
      <w:proofErr w:type="spellEnd"/>
      <w:r w:rsidRPr="00C26F45">
        <w:rPr>
          <w:rFonts w:ascii="Verdana" w:hAnsi="Verdana"/>
          <w:sz w:val="16"/>
          <w:szCs w:val="16"/>
        </w:rPr>
        <w:t xml:space="preserve"> en el contexto penitenciario a 36 funcionarios/as de todo el país, mismos que laboran como Directores de Centros de Adolescentes en Conflicto con la Ley”; (iv) “[d]el 11 al 13 de febrero se capacitó en las temáticas de [f]</w:t>
      </w:r>
      <w:proofErr w:type="spellStart"/>
      <w:r w:rsidRPr="00C26F45">
        <w:rPr>
          <w:rFonts w:ascii="Verdana" w:hAnsi="Verdana"/>
          <w:sz w:val="16"/>
          <w:szCs w:val="16"/>
        </w:rPr>
        <w:t>undamentos</w:t>
      </w:r>
      <w:proofErr w:type="spellEnd"/>
      <w:r w:rsidRPr="00C26F45">
        <w:rPr>
          <w:rFonts w:ascii="Verdana" w:hAnsi="Verdana"/>
          <w:sz w:val="16"/>
          <w:szCs w:val="16"/>
        </w:rPr>
        <w:t xml:space="preserve"> de [d]</w:t>
      </w:r>
      <w:proofErr w:type="spellStart"/>
      <w:r w:rsidRPr="00C26F45">
        <w:rPr>
          <w:rFonts w:ascii="Verdana" w:hAnsi="Verdana"/>
          <w:sz w:val="16"/>
          <w:szCs w:val="16"/>
        </w:rPr>
        <w:t>erechos</w:t>
      </w:r>
      <w:proofErr w:type="spellEnd"/>
      <w:r w:rsidRPr="00C26F45">
        <w:rPr>
          <w:rFonts w:ascii="Verdana" w:hAnsi="Verdana"/>
          <w:sz w:val="16"/>
          <w:szCs w:val="16"/>
        </w:rPr>
        <w:t xml:space="preserve"> [h]</w:t>
      </w:r>
      <w:proofErr w:type="spellStart"/>
      <w:r w:rsidRPr="00C26F45">
        <w:rPr>
          <w:rFonts w:ascii="Verdana" w:hAnsi="Verdana"/>
          <w:sz w:val="16"/>
          <w:szCs w:val="16"/>
        </w:rPr>
        <w:t>umanos</w:t>
      </w:r>
      <w:proofErr w:type="spellEnd"/>
      <w:r w:rsidRPr="00C26F45">
        <w:rPr>
          <w:rFonts w:ascii="Verdana" w:hAnsi="Verdana"/>
          <w:sz w:val="16"/>
          <w:szCs w:val="16"/>
        </w:rPr>
        <w:t>, [d]</w:t>
      </w:r>
      <w:proofErr w:type="spellStart"/>
      <w:r w:rsidRPr="00C26F45">
        <w:rPr>
          <w:rFonts w:ascii="Verdana" w:hAnsi="Verdana"/>
          <w:sz w:val="16"/>
          <w:szCs w:val="16"/>
        </w:rPr>
        <w:t>erechos</w:t>
      </w:r>
      <w:proofErr w:type="spellEnd"/>
      <w:r w:rsidRPr="00C26F45">
        <w:rPr>
          <w:rFonts w:ascii="Verdana" w:hAnsi="Verdana"/>
          <w:sz w:val="16"/>
          <w:szCs w:val="16"/>
        </w:rPr>
        <w:t xml:space="preserve"> [h]</w:t>
      </w:r>
      <w:proofErr w:type="spellStart"/>
      <w:r w:rsidRPr="00C26F45">
        <w:rPr>
          <w:rFonts w:ascii="Verdana" w:hAnsi="Verdana"/>
          <w:sz w:val="16"/>
          <w:szCs w:val="16"/>
        </w:rPr>
        <w:t>umanos</w:t>
      </w:r>
      <w:proofErr w:type="spellEnd"/>
      <w:r w:rsidRPr="00C26F45">
        <w:rPr>
          <w:rFonts w:ascii="Verdana" w:hAnsi="Verdana"/>
          <w:sz w:val="16"/>
          <w:szCs w:val="16"/>
        </w:rPr>
        <w:t xml:space="preserve"> en el contexto penitenciario, [g]enero y cultura al interior de los [c]</w:t>
      </w:r>
      <w:proofErr w:type="spellStart"/>
      <w:r w:rsidRPr="00C26F45">
        <w:rPr>
          <w:rFonts w:ascii="Verdana" w:hAnsi="Verdana"/>
          <w:sz w:val="16"/>
          <w:szCs w:val="16"/>
        </w:rPr>
        <w:t>entros</w:t>
      </w:r>
      <w:proofErr w:type="spellEnd"/>
      <w:r w:rsidRPr="00C26F45">
        <w:rPr>
          <w:rFonts w:ascii="Verdana" w:hAnsi="Verdana"/>
          <w:sz w:val="16"/>
          <w:szCs w:val="16"/>
        </w:rPr>
        <w:t xml:space="preserve"> de [r]</w:t>
      </w:r>
      <w:proofErr w:type="spellStart"/>
      <w:r w:rsidRPr="00C26F45">
        <w:rPr>
          <w:rFonts w:ascii="Verdana" w:hAnsi="Verdana"/>
          <w:sz w:val="16"/>
          <w:szCs w:val="16"/>
        </w:rPr>
        <w:t>ehabilitación</w:t>
      </w:r>
      <w:proofErr w:type="spellEnd"/>
      <w:r w:rsidRPr="00C26F45">
        <w:rPr>
          <w:rFonts w:ascii="Verdana" w:hAnsi="Verdana"/>
          <w:sz w:val="16"/>
          <w:szCs w:val="16"/>
        </w:rPr>
        <w:t xml:space="preserve"> [s]</w:t>
      </w:r>
      <w:proofErr w:type="spellStart"/>
      <w:r w:rsidRPr="00C26F45">
        <w:rPr>
          <w:rFonts w:ascii="Verdana" w:hAnsi="Verdana"/>
          <w:sz w:val="16"/>
          <w:szCs w:val="16"/>
        </w:rPr>
        <w:t>ocial</w:t>
      </w:r>
      <w:proofErr w:type="spellEnd"/>
      <w:r w:rsidRPr="00C26F45">
        <w:rPr>
          <w:rFonts w:ascii="Verdana" w:hAnsi="Verdana"/>
          <w:sz w:val="16"/>
          <w:szCs w:val="16"/>
        </w:rPr>
        <w:t>, [i]</w:t>
      </w:r>
      <w:proofErr w:type="spellStart"/>
      <w:r w:rsidRPr="00C26F45">
        <w:rPr>
          <w:rFonts w:ascii="Verdana" w:hAnsi="Verdana"/>
          <w:sz w:val="16"/>
          <w:szCs w:val="16"/>
        </w:rPr>
        <w:t>gualdad</w:t>
      </w:r>
      <w:proofErr w:type="spellEnd"/>
      <w:r w:rsidRPr="00C26F45">
        <w:rPr>
          <w:rFonts w:ascii="Verdana" w:hAnsi="Verdana"/>
          <w:sz w:val="16"/>
          <w:szCs w:val="16"/>
        </w:rPr>
        <w:t xml:space="preserve"> y no discriminación, </w:t>
      </w:r>
      <w:r w:rsidR="00F33689">
        <w:rPr>
          <w:rFonts w:ascii="Verdana" w:hAnsi="Verdana"/>
          <w:sz w:val="16"/>
          <w:szCs w:val="16"/>
        </w:rPr>
        <w:t xml:space="preserve">[y] </w:t>
      </w:r>
      <w:r w:rsidRPr="00C26F45">
        <w:rPr>
          <w:rFonts w:ascii="Verdana" w:hAnsi="Verdana"/>
          <w:sz w:val="16"/>
          <w:szCs w:val="16"/>
        </w:rPr>
        <w:t xml:space="preserve">análisis del </w:t>
      </w:r>
      <w:r w:rsidRPr="00CF07CC">
        <w:rPr>
          <w:rFonts w:ascii="Verdana" w:hAnsi="Verdana"/>
          <w:i/>
          <w:sz w:val="16"/>
          <w:szCs w:val="16"/>
        </w:rPr>
        <w:t xml:space="preserve">Caso Tibi </w:t>
      </w:r>
      <w:r w:rsidR="00F33689">
        <w:rPr>
          <w:rFonts w:ascii="Verdana" w:hAnsi="Verdana"/>
          <w:i/>
          <w:sz w:val="16"/>
          <w:szCs w:val="16"/>
        </w:rPr>
        <w:t>V</w:t>
      </w:r>
      <w:r w:rsidRPr="00CF07CC">
        <w:rPr>
          <w:rFonts w:ascii="Verdana" w:hAnsi="Verdana"/>
          <w:i/>
          <w:sz w:val="16"/>
          <w:szCs w:val="16"/>
        </w:rPr>
        <w:t>s. Ecuador</w:t>
      </w:r>
      <w:r w:rsidRPr="00C26F45">
        <w:rPr>
          <w:rFonts w:ascii="Verdana" w:hAnsi="Verdana"/>
          <w:sz w:val="16"/>
          <w:szCs w:val="16"/>
        </w:rPr>
        <w:t xml:space="preserve"> y Karina Montenegro[,] a 185 aspirantes agentes de seguridad penitenciaria, dentro de la Escuela Policial en la Parroquia Esperanza-Provincia Manabí</w:t>
      </w:r>
      <w:r w:rsidR="00F33689">
        <w:rPr>
          <w:rFonts w:ascii="Verdana" w:hAnsi="Verdana"/>
          <w:sz w:val="16"/>
          <w:szCs w:val="16"/>
        </w:rPr>
        <w:t>”</w:t>
      </w:r>
      <w:r w:rsidRPr="00C26F45">
        <w:rPr>
          <w:rFonts w:ascii="Verdana" w:hAnsi="Verdana"/>
          <w:sz w:val="16"/>
          <w:szCs w:val="16"/>
        </w:rPr>
        <w:t xml:space="preserve">, y </w:t>
      </w:r>
      <w:r w:rsidR="00F33689">
        <w:rPr>
          <w:rFonts w:ascii="Verdana" w:hAnsi="Verdana"/>
          <w:sz w:val="16"/>
          <w:szCs w:val="16"/>
        </w:rPr>
        <w:t xml:space="preserve">que </w:t>
      </w:r>
      <w:r w:rsidRPr="00C26F45">
        <w:rPr>
          <w:rFonts w:ascii="Verdana" w:hAnsi="Verdana"/>
          <w:sz w:val="16"/>
          <w:szCs w:val="16"/>
        </w:rPr>
        <w:t>(v) “[e]l 17 y 18 de junio […] se capacitó a 60 [a]gentes de [s]</w:t>
      </w:r>
      <w:proofErr w:type="spellStart"/>
      <w:r w:rsidRPr="00C26F45">
        <w:rPr>
          <w:rFonts w:ascii="Verdana" w:hAnsi="Verdana"/>
          <w:sz w:val="16"/>
          <w:szCs w:val="16"/>
        </w:rPr>
        <w:t>eguridad</w:t>
      </w:r>
      <w:proofErr w:type="spellEnd"/>
      <w:r w:rsidRPr="00C26F45">
        <w:rPr>
          <w:rFonts w:ascii="Verdana" w:hAnsi="Verdana"/>
          <w:sz w:val="16"/>
          <w:szCs w:val="16"/>
        </w:rPr>
        <w:t xml:space="preserve"> [p]</w:t>
      </w:r>
      <w:proofErr w:type="spellStart"/>
      <w:r w:rsidRPr="00C26F45">
        <w:rPr>
          <w:rFonts w:ascii="Verdana" w:hAnsi="Verdana"/>
          <w:sz w:val="16"/>
          <w:szCs w:val="16"/>
        </w:rPr>
        <w:t>enitenciaria</w:t>
      </w:r>
      <w:proofErr w:type="spellEnd"/>
      <w:r w:rsidRPr="00C26F45">
        <w:rPr>
          <w:rFonts w:ascii="Verdana" w:hAnsi="Verdana"/>
          <w:sz w:val="16"/>
          <w:szCs w:val="16"/>
        </w:rPr>
        <w:t xml:space="preserve"> en la temática de [d]</w:t>
      </w:r>
      <w:proofErr w:type="spellStart"/>
      <w:r w:rsidRPr="00C26F45">
        <w:rPr>
          <w:rFonts w:ascii="Verdana" w:hAnsi="Verdana"/>
          <w:sz w:val="16"/>
          <w:szCs w:val="16"/>
        </w:rPr>
        <w:t>erechos</w:t>
      </w:r>
      <w:proofErr w:type="spellEnd"/>
      <w:r w:rsidRPr="00C26F45">
        <w:rPr>
          <w:rFonts w:ascii="Verdana" w:hAnsi="Verdana"/>
          <w:sz w:val="16"/>
          <w:szCs w:val="16"/>
        </w:rPr>
        <w:t xml:space="preserve"> [h]</w:t>
      </w:r>
      <w:proofErr w:type="spellStart"/>
      <w:r w:rsidRPr="00C26F45">
        <w:rPr>
          <w:rFonts w:ascii="Verdana" w:hAnsi="Verdana"/>
          <w:sz w:val="16"/>
          <w:szCs w:val="16"/>
        </w:rPr>
        <w:t>umanos</w:t>
      </w:r>
      <w:proofErr w:type="spellEnd"/>
      <w:r w:rsidRPr="00C26F45">
        <w:rPr>
          <w:rFonts w:ascii="Verdana" w:hAnsi="Verdana"/>
          <w:sz w:val="16"/>
          <w:szCs w:val="16"/>
        </w:rPr>
        <w:t xml:space="preserve"> y [s]</w:t>
      </w:r>
      <w:proofErr w:type="spellStart"/>
      <w:r w:rsidRPr="00C26F45">
        <w:rPr>
          <w:rFonts w:ascii="Verdana" w:hAnsi="Verdana"/>
          <w:sz w:val="16"/>
          <w:szCs w:val="16"/>
        </w:rPr>
        <w:t>istemas</w:t>
      </w:r>
      <w:proofErr w:type="spellEnd"/>
      <w:r w:rsidRPr="00C26F45">
        <w:rPr>
          <w:rFonts w:ascii="Verdana" w:hAnsi="Verdana"/>
          <w:sz w:val="16"/>
          <w:szCs w:val="16"/>
        </w:rPr>
        <w:t xml:space="preserve"> [i]</w:t>
      </w:r>
      <w:proofErr w:type="spellStart"/>
      <w:r w:rsidRPr="00C26F45">
        <w:rPr>
          <w:rFonts w:ascii="Verdana" w:hAnsi="Verdana"/>
          <w:sz w:val="16"/>
          <w:szCs w:val="16"/>
        </w:rPr>
        <w:t>nterncacionales</w:t>
      </w:r>
      <w:proofErr w:type="spellEnd"/>
      <w:r w:rsidRPr="00C26F45">
        <w:rPr>
          <w:rFonts w:ascii="Verdana" w:hAnsi="Verdana"/>
          <w:sz w:val="16"/>
          <w:szCs w:val="16"/>
        </w:rPr>
        <w:t xml:space="preserve"> de [p]</w:t>
      </w:r>
      <w:proofErr w:type="spellStart"/>
      <w:r w:rsidRPr="00C26F45">
        <w:rPr>
          <w:rFonts w:ascii="Verdana" w:hAnsi="Verdana"/>
          <w:sz w:val="16"/>
          <w:szCs w:val="16"/>
        </w:rPr>
        <w:t>rotección</w:t>
      </w:r>
      <w:proofErr w:type="spellEnd"/>
      <w:r w:rsidRPr="00C26F45">
        <w:rPr>
          <w:rFonts w:ascii="Verdana" w:hAnsi="Verdana"/>
          <w:sz w:val="16"/>
          <w:szCs w:val="16"/>
        </w:rPr>
        <w:t xml:space="preserve"> de [d]</w:t>
      </w:r>
      <w:proofErr w:type="spellStart"/>
      <w:r w:rsidRPr="00C26F45">
        <w:rPr>
          <w:rFonts w:ascii="Verdana" w:hAnsi="Verdana"/>
          <w:sz w:val="16"/>
          <w:szCs w:val="16"/>
        </w:rPr>
        <w:t>erechos</w:t>
      </w:r>
      <w:proofErr w:type="spellEnd"/>
      <w:r w:rsidRPr="00C26F45">
        <w:rPr>
          <w:rFonts w:ascii="Verdana" w:hAnsi="Verdana"/>
          <w:sz w:val="16"/>
          <w:szCs w:val="16"/>
        </w:rPr>
        <w:t>”.</w:t>
      </w:r>
    </w:p>
  </w:footnote>
  <w:footnote w:id="63">
    <w:p w:rsidR="00B01195" w:rsidRPr="00C26F45" w:rsidRDefault="00B01195" w:rsidP="00C26F45">
      <w:pPr>
        <w:autoSpaceDE w:val="0"/>
        <w:autoSpaceDN w:val="0"/>
        <w:adjustRightInd w:val="0"/>
        <w:spacing w:after="0" w:line="240" w:lineRule="auto"/>
        <w:jc w:val="both"/>
        <w:rPr>
          <w:rFonts w:ascii="Verdana" w:hAnsi="Verdana"/>
          <w:sz w:val="16"/>
          <w:szCs w:val="16"/>
          <w:lang w:val="es-CR"/>
        </w:rPr>
      </w:pPr>
      <w:r w:rsidRPr="00C26F45">
        <w:rPr>
          <w:rFonts w:ascii="Verdana" w:hAnsi="Verdana"/>
          <w:sz w:val="16"/>
          <w:szCs w:val="16"/>
          <w:vertAlign w:val="superscript"/>
        </w:rPr>
        <w:footnoteRef/>
      </w:r>
      <w:r w:rsidRPr="00C26F45">
        <w:rPr>
          <w:rFonts w:ascii="Verdana" w:hAnsi="Verdana"/>
          <w:sz w:val="16"/>
          <w:szCs w:val="16"/>
          <w:vertAlign w:val="superscript"/>
          <w:lang w:val="es-CR"/>
        </w:rPr>
        <w:t xml:space="preserve"> </w:t>
      </w:r>
      <w:r w:rsidRPr="00C26F45">
        <w:rPr>
          <w:rFonts w:ascii="Verdana" w:hAnsi="Verdana"/>
          <w:sz w:val="16"/>
          <w:szCs w:val="16"/>
          <w:lang w:val="es-CR"/>
        </w:rPr>
        <w:tab/>
      </w:r>
      <w:r w:rsidR="00C240F3">
        <w:rPr>
          <w:rFonts w:ascii="Verdana" w:hAnsi="Verdana"/>
          <w:sz w:val="16"/>
          <w:szCs w:val="16"/>
          <w:lang w:val="es-CR"/>
        </w:rPr>
        <w:t xml:space="preserve">Según la cláusula quinta del referido convenio, éste “tiene una vigencia de un año a partir de la fecha de su firma”, es decir, a partir del 7 de febrero de 2014, y que el mismo puede ser renovado “por mutuo acuerdo de las partes”. </w:t>
      </w:r>
      <w:r w:rsidRPr="00C26F45">
        <w:rPr>
          <w:rFonts w:ascii="Verdana" w:hAnsi="Verdana"/>
          <w:i/>
          <w:sz w:val="16"/>
          <w:szCs w:val="16"/>
          <w:lang w:val="es-CR"/>
        </w:rPr>
        <w:t>Cfr.</w:t>
      </w:r>
      <w:r w:rsidRPr="00C26F45">
        <w:rPr>
          <w:rFonts w:ascii="Verdana" w:hAnsi="Verdana"/>
          <w:sz w:val="16"/>
          <w:szCs w:val="16"/>
          <w:lang w:val="es-CR"/>
        </w:rPr>
        <w:t xml:space="preserve"> Convenio Específico de Cooperación Interinstitucional entre el Ministerio de Justicia, Derechos Humanos y Cultos de la República del Ecuador y el Comité Internacional de la Cruz Roja, de 7 de febrero de 2014 (anexo 1 al informe del Estado de 3 de abril de 2014).</w:t>
      </w:r>
    </w:p>
  </w:footnote>
  <w:footnote w:id="64">
    <w:p w:rsidR="00B01195" w:rsidRPr="00C26F45" w:rsidRDefault="00B01195" w:rsidP="00C26F45">
      <w:pPr>
        <w:pStyle w:val="Textonotapie"/>
        <w:jc w:val="both"/>
        <w:rPr>
          <w:rFonts w:ascii="Verdana" w:hAnsi="Verdana"/>
          <w:sz w:val="16"/>
          <w:szCs w:val="16"/>
        </w:rPr>
      </w:pPr>
      <w:r w:rsidRPr="00C26F45">
        <w:rPr>
          <w:rFonts w:ascii="Verdana" w:hAnsi="Verdana"/>
          <w:sz w:val="16"/>
          <w:szCs w:val="16"/>
          <w:vertAlign w:val="superscript"/>
        </w:rPr>
        <w:footnoteRef/>
      </w:r>
      <w:r w:rsidRPr="00C26F45">
        <w:rPr>
          <w:rFonts w:ascii="Verdana" w:hAnsi="Verdana"/>
          <w:sz w:val="16"/>
          <w:szCs w:val="16"/>
        </w:rPr>
        <w:t xml:space="preserve"> </w:t>
      </w:r>
      <w:r w:rsidRPr="00C26F45">
        <w:rPr>
          <w:rFonts w:ascii="Verdana" w:hAnsi="Verdana"/>
          <w:sz w:val="16"/>
          <w:szCs w:val="16"/>
        </w:rPr>
        <w:tab/>
      </w:r>
      <w:r w:rsidRPr="00D51B93">
        <w:rPr>
          <w:rFonts w:ascii="Verdana" w:eastAsia="Calibri" w:hAnsi="Verdana"/>
          <w:sz w:val="16"/>
          <w:szCs w:val="16"/>
          <w:lang w:eastAsia="en-US"/>
        </w:rPr>
        <w:t>Asimismo, alegó que “por medio de la ejecución del Convenio, se atiende a la disposición de la Corte IDH en lo relativo a crear un comité interinstitucional con el fin de</w:t>
      </w:r>
      <w:r w:rsidR="00383D77" w:rsidRPr="00D51B93">
        <w:rPr>
          <w:rFonts w:ascii="Verdana" w:eastAsia="Calibri" w:hAnsi="Verdana"/>
          <w:sz w:val="16"/>
          <w:szCs w:val="16"/>
          <w:lang w:eastAsia="en-US"/>
        </w:rPr>
        <w:t xml:space="preserve"> definir y</w:t>
      </w:r>
      <w:r w:rsidRPr="00D51B93">
        <w:rPr>
          <w:rFonts w:ascii="Verdana" w:eastAsia="Calibri" w:hAnsi="Verdana"/>
          <w:sz w:val="16"/>
          <w:szCs w:val="16"/>
          <w:lang w:eastAsia="en-US"/>
        </w:rPr>
        <w:t xml:space="preserve"> ejecutar los programas de capacitación”.</w:t>
      </w:r>
      <w:r w:rsidRPr="00C26F45">
        <w:rPr>
          <w:rFonts w:ascii="Verdana" w:hAnsi="Verdana"/>
          <w:b/>
          <w:sz w:val="16"/>
          <w:szCs w:val="16"/>
        </w:rPr>
        <w:t xml:space="preserve"> </w:t>
      </w:r>
    </w:p>
  </w:footnote>
  <w:footnote w:id="65">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El Estado sostuvo que dicho curso tendrá una duración de 94 horas de capacitación, y que “se incorporaron, </w:t>
      </w:r>
      <w:r w:rsidR="00383D77">
        <w:rPr>
          <w:rFonts w:ascii="Verdana" w:hAnsi="Verdana"/>
          <w:sz w:val="16"/>
          <w:szCs w:val="16"/>
        </w:rPr>
        <w:t>[</w:t>
      </w:r>
      <w:r w:rsidRPr="00C26F45">
        <w:rPr>
          <w:rFonts w:ascii="Verdana" w:hAnsi="Verdana"/>
          <w:sz w:val="16"/>
          <w:szCs w:val="16"/>
        </w:rPr>
        <w:t>entre otras,</w:t>
      </w:r>
      <w:r w:rsidR="00383D77">
        <w:rPr>
          <w:rFonts w:ascii="Verdana" w:hAnsi="Verdana"/>
          <w:sz w:val="16"/>
          <w:szCs w:val="16"/>
        </w:rPr>
        <w:t>]</w:t>
      </w:r>
      <w:r w:rsidRPr="00C26F45">
        <w:rPr>
          <w:rFonts w:ascii="Verdana" w:hAnsi="Verdana"/>
          <w:sz w:val="16"/>
          <w:szCs w:val="16"/>
        </w:rPr>
        <w:t xml:space="preserve"> las materias de Derechos Humanos, Normativa internacional y Bases Filosóficas de los Derechos Humanos”</w:t>
      </w:r>
      <w:r w:rsidR="005F0A65">
        <w:rPr>
          <w:rFonts w:ascii="Verdana" w:hAnsi="Verdana"/>
          <w:sz w:val="16"/>
          <w:szCs w:val="16"/>
        </w:rPr>
        <w:t>,</w:t>
      </w:r>
      <w:r w:rsidRPr="00C26F45">
        <w:rPr>
          <w:rFonts w:ascii="Verdana" w:hAnsi="Verdana"/>
          <w:sz w:val="16"/>
          <w:szCs w:val="16"/>
        </w:rPr>
        <w:t xml:space="preserve"> en relación con el “contexto penitenciario”, y que en ellas “se incluirá como metodología el análisis del </w:t>
      </w:r>
      <w:r w:rsidRPr="00CF07CC">
        <w:rPr>
          <w:rFonts w:ascii="Verdana" w:hAnsi="Verdana"/>
          <w:i/>
          <w:sz w:val="16"/>
          <w:szCs w:val="16"/>
        </w:rPr>
        <w:t xml:space="preserve">Caso Tibi Vs. </w:t>
      </w:r>
      <w:proofErr w:type="gramStart"/>
      <w:r w:rsidRPr="00CF07CC">
        <w:rPr>
          <w:rFonts w:ascii="Verdana" w:hAnsi="Verdana"/>
          <w:i/>
          <w:sz w:val="16"/>
          <w:szCs w:val="16"/>
        </w:rPr>
        <w:t>Ecuador</w:t>
      </w:r>
      <w:r w:rsidRPr="00C26F45">
        <w:rPr>
          <w:rFonts w:ascii="Verdana" w:hAnsi="Verdana"/>
          <w:sz w:val="16"/>
          <w:szCs w:val="16"/>
        </w:rPr>
        <w:t>[</w:t>
      </w:r>
      <w:proofErr w:type="gramEnd"/>
      <w:r w:rsidRPr="00C26F45">
        <w:rPr>
          <w:rFonts w:ascii="Verdana" w:hAnsi="Verdana"/>
          <w:sz w:val="16"/>
          <w:szCs w:val="16"/>
        </w:rPr>
        <w:t xml:space="preserve">,] así como de Karina Montenegro y otros”. Junto con su informe de 3 de abril de 2014 Ecuador aportó </w:t>
      </w:r>
      <w:r w:rsidR="005F0A65">
        <w:rPr>
          <w:rFonts w:ascii="Verdana" w:hAnsi="Verdana"/>
          <w:sz w:val="16"/>
          <w:szCs w:val="16"/>
        </w:rPr>
        <w:t xml:space="preserve">como anexos la </w:t>
      </w:r>
      <w:r w:rsidRPr="00C26F45">
        <w:rPr>
          <w:rFonts w:ascii="Verdana" w:hAnsi="Verdana"/>
          <w:sz w:val="16"/>
          <w:szCs w:val="16"/>
        </w:rPr>
        <w:t>copia de la “malla curricular”</w:t>
      </w:r>
      <w:r w:rsidR="00BC51D4">
        <w:rPr>
          <w:rFonts w:ascii="Verdana" w:hAnsi="Verdana"/>
          <w:sz w:val="16"/>
          <w:szCs w:val="16"/>
        </w:rPr>
        <w:t xml:space="preserve"> del curso, el cual comprendería el estudio, entre otros, de los siguientes temas: “seguridad penitenciaria”, “derechos humanos”, “normativas internacionales”, “salud penitenciaria”, “tratamiento penitenciario”</w:t>
      </w:r>
      <w:r w:rsidR="00A74F46">
        <w:rPr>
          <w:rFonts w:ascii="Verdana" w:hAnsi="Verdana"/>
          <w:sz w:val="16"/>
          <w:szCs w:val="16"/>
        </w:rPr>
        <w:t xml:space="preserve">, “derecho penal” y “derecho penitenciario”. También adjunto como anexo </w:t>
      </w:r>
      <w:r w:rsidR="005F0A65">
        <w:rPr>
          <w:rFonts w:ascii="Verdana" w:hAnsi="Verdana"/>
          <w:sz w:val="16"/>
          <w:szCs w:val="16"/>
        </w:rPr>
        <w:t xml:space="preserve">el </w:t>
      </w:r>
      <w:r w:rsidRPr="00C26F45">
        <w:rPr>
          <w:rFonts w:ascii="Verdana" w:hAnsi="Verdana"/>
          <w:sz w:val="16"/>
          <w:szCs w:val="16"/>
        </w:rPr>
        <w:t>“horario” del curso.</w:t>
      </w:r>
    </w:p>
  </w:footnote>
  <w:footnote w:id="66">
    <w:p w:rsidR="00B01195" w:rsidRPr="00C26F45" w:rsidRDefault="00B01195" w:rsidP="00C26F45">
      <w:pPr>
        <w:pStyle w:val="Textonotapie"/>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Cfr.</w:t>
      </w:r>
      <w:r w:rsidRPr="00C26F45">
        <w:rPr>
          <w:rFonts w:ascii="Verdana" w:hAnsi="Verdana"/>
          <w:sz w:val="16"/>
          <w:szCs w:val="16"/>
        </w:rPr>
        <w:t xml:space="preserve"> Cronograma de trabajo para el Primer Curso de Instructores de Derechos Humanos para Funcionarios y Funcionarias del Sistema Penitenciario y Manual de Apoyo (anexo 5 al informe del Estado de 3 de abril de 2014).</w:t>
      </w:r>
    </w:p>
  </w:footnote>
  <w:footnote w:id="67">
    <w:p w:rsidR="00B01195" w:rsidRPr="00C26F45" w:rsidRDefault="00B01195" w:rsidP="00C26F45">
      <w:pPr>
        <w:pStyle w:val="Textonotapie"/>
        <w:jc w:val="both"/>
        <w:rPr>
          <w:rFonts w:ascii="Verdana" w:hAnsi="Verdana"/>
          <w:b/>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Al respecto, los representantes observaron que “la firma de[l] Convenio [suscrito entre el Ministerio de Justicia, Derechos Humanos y Cultos y la CICR] es positiva y que “se debe dar seguimiento al desarrollo de los objetivos de dicho convenio, ya que el cronograma de trabajo comprende únicamente hasta julio 2014”.</w:t>
      </w:r>
    </w:p>
  </w:footnote>
  <w:footnote w:id="68">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Indicaron que, la valoran positivamente </w:t>
      </w:r>
      <w:r w:rsidR="007436F8">
        <w:rPr>
          <w:rFonts w:ascii="Verdana" w:hAnsi="Verdana"/>
          <w:sz w:val="16"/>
          <w:szCs w:val="16"/>
        </w:rPr>
        <w:t>el referido proyecto, a</w:t>
      </w:r>
      <w:r w:rsidR="007436F8" w:rsidRPr="00C26F45">
        <w:rPr>
          <w:rFonts w:ascii="Verdana" w:hAnsi="Verdana"/>
          <w:sz w:val="16"/>
          <w:szCs w:val="16"/>
        </w:rPr>
        <w:t xml:space="preserve"> pesar de </w:t>
      </w:r>
      <w:r w:rsidR="007436F8">
        <w:rPr>
          <w:rFonts w:ascii="Verdana" w:hAnsi="Verdana"/>
          <w:sz w:val="16"/>
          <w:szCs w:val="16"/>
        </w:rPr>
        <w:t>que se</w:t>
      </w:r>
      <w:r w:rsidR="007436F8" w:rsidRPr="00C26F45">
        <w:rPr>
          <w:rFonts w:ascii="Verdana" w:hAnsi="Verdana"/>
          <w:sz w:val="16"/>
          <w:szCs w:val="16"/>
        </w:rPr>
        <w:t xml:space="preserve"> enc</w:t>
      </w:r>
      <w:r w:rsidR="007436F8">
        <w:rPr>
          <w:rFonts w:ascii="Verdana" w:hAnsi="Verdana"/>
          <w:sz w:val="16"/>
          <w:szCs w:val="16"/>
        </w:rPr>
        <w:t>uentra</w:t>
      </w:r>
      <w:r w:rsidR="007436F8" w:rsidRPr="00C26F45">
        <w:rPr>
          <w:rFonts w:ascii="Verdana" w:hAnsi="Verdana"/>
          <w:sz w:val="16"/>
          <w:szCs w:val="16"/>
        </w:rPr>
        <w:t xml:space="preserve"> en una </w:t>
      </w:r>
      <w:r w:rsidR="007436F8">
        <w:rPr>
          <w:rFonts w:ascii="Verdana" w:hAnsi="Verdana"/>
          <w:sz w:val="16"/>
          <w:szCs w:val="16"/>
        </w:rPr>
        <w:t>“</w:t>
      </w:r>
      <w:r w:rsidR="007436F8" w:rsidRPr="00C26F45">
        <w:rPr>
          <w:rFonts w:ascii="Verdana" w:hAnsi="Verdana"/>
          <w:sz w:val="16"/>
          <w:szCs w:val="16"/>
        </w:rPr>
        <w:t>fase inicial”</w:t>
      </w:r>
      <w:r w:rsidR="007436F8">
        <w:rPr>
          <w:rFonts w:ascii="Verdana" w:hAnsi="Verdana"/>
          <w:sz w:val="16"/>
          <w:szCs w:val="16"/>
        </w:rPr>
        <w:t xml:space="preserve">, ya que </w:t>
      </w:r>
      <w:r w:rsidRPr="00C26F45">
        <w:rPr>
          <w:rFonts w:ascii="Verdana" w:hAnsi="Verdana"/>
          <w:sz w:val="16"/>
          <w:szCs w:val="16"/>
        </w:rPr>
        <w:t>“constituye un avance y que, de implementarse, podría contribuir a dar cumplimiento a la medida relativa a la capacitación a operadores de salud en centros penitenciarios”</w:t>
      </w:r>
      <w:r w:rsidRPr="00CB5684">
        <w:rPr>
          <w:rFonts w:ascii="Verdana" w:hAnsi="Verdana"/>
          <w:sz w:val="16"/>
          <w:szCs w:val="16"/>
        </w:rPr>
        <w:t>.</w:t>
      </w:r>
    </w:p>
  </w:footnote>
  <w:footnote w:id="69">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En este caso la Corte ordenó que el Ecuador “</w:t>
      </w:r>
      <w:proofErr w:type="spellStart"/>
      <w:proofErr w:type="gramStart"/>
      <w:r w:rsidRPr="00C26F45">
        <w:rPr>
          <w:rFonts w:ascii="Verdana" w:hAnsi="Verdana"/>
          <w:sz w:val="16"/>
          <w:szCs w:val="16"/>
        </w:rPr>
        <w:t>deb</w:t>
      </w:r>
      <w:proofErr w:type="spellEnd"/>
      <w:r w:rsidRPr="00C26F45">
        <w:rPr>
          <w:rFonts w:ascii="Verdana" w:hAnsi="Verdana"/>
          <w:sz w:val="16"/>
          <w:szCs w:val="16"/>
        </w:rPr>
        <w:t>[</w:t>
      </w:r>
      <w:proofErr w:type="spellStart"/>
      <w:proofErr w:type="gramEnd"/>
      <w:r w:rsidRPr="00C26F45">
        <w:rPr>
          <w:rFonts w:ascii="Verdana" w:hAnsi="Verdana"/>
          <w:sz w:val="16"/>
          <w:szCs w:val="16"/>
        </w:rPr>
        <w:t>ía</w:t>
      </w:r>
      <w:proofErr w:type="spellEnd"/>
      <w:r w:rsidRPr="00C26F45">
        <w:rPr>
          <w:rFonts w:ascii="Verdana" w:hAnsi="Verdana"/>
          <w:sz w:val="16"/>
          <w:szCs w:val="16"/>
        </w:rPr>
        <w:t xml:space="preserve">] realizar, en un plazo razonable un programa para la formación y capacitación a los operadores de justicia y profesionales de la salud sobre la normativa que el Ecuador ha implementado relativa a los derechos de los pacientes, y a la sanción por su incumplimiento”. </w:t>
      </w:r>
      <w:r w:rsidRPr="00CF07CC">
        <w:rPr>
          <w:rFonts w:ascii="Verdana" w:hAnsi="Verdana"/>
          <w:i/>
          <w:sz w:val="16"/>
          <w:szCs w:val="16"/>
        </w:rPr>
        <w:t>Cfr.</w:t>
      </w:r>
      <w:r w:rsidRPr="00C26F45">
        <w:rPr>
          <w:rFonts w:ascii="Verdana" w:hAnsi="Verdana"/>
          <w:sz w:val="16"/>
          <w:szCs w:val="16"/>
        </w:rPr>
        <w:t xml:space="preserve"> </w:t>
      </w:r>
      <w:r w:rsidRPr="00F35BBF">
        <w:rPr>
          <w:rFonts w:ascii="Verdana" w:hAnsi="Verdana"/>
          <w:i/>
          <w:sz w:val="16"/>
          <w:szCs w:val="16"/>
        </w:rPr>
        <w:t>Caso Albán Cornejo y otros Vs. Ecuador. Fondo, Reparaciones y Costas.</w:t>
      </w:r>
      <w:r w:rsidRPr="00C26F45">
        <w:rPr>
          <w:rFonts w:ascii="Verdana" w:hAnsi="Verdana"/>
          <w:sz w:val="16"/>
          <w:szCs w:val="16"/>
        </w:rPr>
        <w:t xml:space="preserve"> Sentencia de 22 de noviembre de 2007. Serie C No. 171, párr. 164 y punto resolutivo séptimo.</w:t>
      </w:r>
    </w:p>
  </w:footnote>
  <w:footnote w:id="70">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 xml:space="preserve">Cfr. </w:t>
      </w:r>
      <w:r w:rsidRPr="00C26F45">
        <w:rPr>
          <w:rStyle w:val="Textoennegrita"/>
          <w:rFonts w:ascii="Verdana" w:hAnsi="Verdana"/>
          <w:b w:val="0"/>
          <w:i/>
          <w:color w:val="000000"/>
          <w:sz w:val="16"/>
          <w:szCs w:val="16"/>
          <w:shd w:val="clear" w:color="auto" w:fill="FFFFFF"/>
        </w:rPr>
        <w:t>Caso Albán Cornejo y otros Vs. Ecuador. Supervisión de Cumplimiento de Sentencia.</w:t>
      </w:r>
      <w:r w:rsidRPr="00C26F45">
        <w:rPr>
          <w:rStyle w:val="Textoennegrita"/>
          <w:rFonts w:ascii="Verdana" w:hAnsi="Verdana"/>
          <w:b w:val="0"/>
          <w:color w:val="000000"/>
          <w:sz w:val="16"/>
          <w:szCs w:val="16"/>
          <w:shd w:val="clear" w:color="auto" w:fill="FFFFFF"/>
        </w:rPr>
        <w:t xml:space="preserve"> Resolución de la Corte Interamericana de Derechos Humanos de 28 de agosto de 2015, Considerandos 19 a 29.</w:t>
      </w:r>
    </w:p>
  </w:footnote>
  <w:footnote w:id="71">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Sostuvo, con base en el “[a]</w:t>
      </w:r>
      <w:proofErr w:type="spellStart"/>
      <w:r w:rsidRPr="00C26F45">
        <w:rPr>
          <w:rFonts w:ascii="Verdana" w:hAnsi="Verdana"/>
          <w:sz w:val="16"/>
          <w:szCs w:val="16"/>
        </w:rPr>
        <w:t>rtículo</w:t>
      </w:r>
      <w:proofErr w:type="spellEnd"/>
      <w:r w:rsidRPr="00C26F45">
        <w:rPr>
          <w:rFonts w:ascii="Verdana" w:hAnsi="Verdana"/>
          <w:sz w:val="16"/>
          <w:szCs w:val="16"/>
        </w:rPr>
        <w:t xml:space="preserve"> 12 del Estatuto Orgánico por Procesos del Ministerio de Justicia, Derechos Humanos y Cultos”, que “[d]entro de las competencias del [referido] Ministerio […] se encuentra la obligación de diseñar e implementar programas de capacitación en </w:t>
      </w:r>
      <w:r w:rsidR="00CB5684">
        <w:rPr>
          <w:rFonts w:ascii="Verdana" w:hAnsi="Verdana"/>
          <w:sz w:val="16"/>
          <w:szCs w:val="16"/>
        </w:rPr>
        <w:t>[</w:t>
      </w:r>
      <w:r w:rsidRPr="00C26F45">
        <w:rPr>
          <w:rFonts w:ascii="Verdana" w:hAnsi="Verdana"/>
          <w:sz w:val="16"/>
          <w:szCs w:val="16"/>
        </w:rPr>
        <w:t>d</w:t>
      </w:r>
      <w:r w:rsidR="00CB5684">
        <w:rPr>
          <w:rFonts w:ascii="Verdana" w:hAnsi="Verdana"/>
          <w:sz w:val="16"/>
          <w:szCs w:val="16"/>
        </w:rPr>
        <w:t>]</w:t>
      </w:r>
      <w:proofErr w:type="spellStart"/>
      <w:r w:rsidRPr="00C26F45">
        <w:rPr>
          <w:rFonts w:ascii="Verdana" w:hAnsi="Verdana"/>
          <w:sz w:val="16"/>
          <w:szCs w:val="16"/>
        </w:rPr>
        <w:t>erechos</w:t>
      </w:r>
      <w:proofErr w:type="spellEnd"/>
      <w:r w:rsidRPr="00C26F45">
        <w:rPr>
          <w:rFonts w:ascii="Verdana" w:hAnsi="Verdana"/>
          <w:sz w:val="16"/>
          <w:szCs w:val="16"/>
        </w:rPr>
        <w:t xml:space="preserve"> </w:t>
      </w:r>
      <w:r w:rsidR="00CB5684">
        <w:rPr>
          <w:rFonts w:ascii="Verdana" w:hAnsi="Verdana"/>
          <w:sz w:val="16"/>
          <w:szCs w:val="16"/>
        </w:rPr>
        <w:t>[</w:t>
      </w:r>
      <w:r w:rsidRPr="00C26F45">
        <w:rPr>
          <w:rFonts w:ascii="Verdana" w:hAnsi="Verdana"/>
          <w:sz w:val="16"/>
          <w:szCs w:val="16"/>
        </w:rPr>
        <w:t>h</w:t>
      </w:r>
      <w:r w:rsidR="00CB5684">
        <w:rPr>
          <w:rFonts w:ascii="Verdana" w:hAnsi="Verdana"/>
          <w:sz w:val="16"/>
          <w:szCs w:val="16"/>
        </w:rPr>
        <w:t>]</w:t>
      </w:r>
      <w:proofErr w:type="spellStart"/>
      <w:r w:rsidRPr="00C26F45">
        <w:rPr>
          <w:rFonts w:ascii="Verdana" w:hAnsi="Verdana"/>
          <w:sz w:val="16"/>
          <w:szCs w:val="16"/>
        </w:rPr>
        <w:t>umanos</w:t>
      </w:r>
      <w:proofErr w:type="spellEnd"/>
      <w:r w:rsidRPr="00C26F45">
        <w:rPr>
          <w:rFonts w:ascii="Verdana" w:hAnsi="Verdana"/>
          <w:sz w:val="16"/>
          <w:szCs w:val="16"/>
        </w:rPr>
        <w:t xml:space="preserve"> para funcionarios que prestan servicios de justicia y en las instituciones del sector público”.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AC1" w:rsidRPr="002E4AC1" w:rsidRDefault="002E4AC1" w:rsidP="002E4AC1">
    <w:pPr>
      <w:pStyle w:val="Encabezado"/>
      <w:jc w:val="center"/>
      <w:rPr>
        <w:rFonts w:ascii="Verdana" w:hAnsi="Verdana"/>
        <w:sz w:val="20"/>
        <w:szCs w:val="20"/>
      </w:rPr>
    </w:pPr>
    <w:r w:rsidRPr="002E4AC1">
      <w:rPr>
        <w:rFonts w:ascii="Verdana" w:hAnsi="Verdana"/>
        <w:sz w:val="20"/>
        <w:szCs w:val="20"/>
      </w:rPr>
      <w:t>-</w:t>
    </w:r>
    <w:r w:rsidRPr="002E4AC1">
      <w:rPr>
        <w:rFonts w:ascii="Verdana" w:hAnsi="Verdana"/>
        <w:sz w:val="20"/>
        <w:szCs w:val="20"/>
      </w:rPr>
      <w:fldChar w:fldCharType="begin"/>
    </w:r>
    <w:r w:rsidRPr="002E4AC1">
      <w:rPr>
        <w:rFonts w:ascii="Verdana" w:hAnsi="Verdana"/>
        <w:sz w:val="20"/>
        <w:szCs w:val="20"/>
      </w:rPr>
      <w:instrText>PAGE   \* MERGEFORMAT</w:instrText>
    </w:r>
    <w:r w:rsidRPr="002E4AC1">
      <w:rPr>
        <w:rFonts w:ascii="Verdana" w:hAnsi="Verdana"/>
        <w:sz w:val="20"/>
        <w:szCs w:val="20"/>
      </w:rPr>
      <w:fldChar w:fldCharType="separate"/>
    </w:r>
    <w:r w:rsidR="003000C3" w:rsidRPr="003000C3">
      <w:rPr>
        <w:rFonts w:ascii="Verdana" w:hAnsi="Verdana"/>
        <w:noProof/>
        <w:sz w:val="20"/>
        <w:szCs w:val="20"/>
        <w:lang w:val="es-ES"/>
      </w:rPr>
      <w:t>3</w:t>
    </w:r>
    <w:r w:rsidRPr="002E4AC1">
      <w:rPr>
        <w:rFonts w:ascii="Verdana" w:hAnsi="Verdana"/>
        <w:sz w:val="20"/>
        <w:szCs w:val="20"/>
      </w:rPr>
      <w:fldChar w:fldCharType="end"/>
    </w:r>
    <w:r w:rsidRPr="002E4AC1">
      <w:rPr>
        <w:rFonts w:ascii="Verdana" w:hAnsi="Verdana"/>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056DA"/>
    <w:multiLevelType w:val="hybridMultilevel"/>
    <w:tmpl w:val="70D28062"/>
    <w:lvl w:ilvl="0" w:tplc="140A0015">
      <w:start w:val="1"/>
      <w:numFmt w:val="upperLetter"/>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
    <w:nsid w:val="0A422CDA"/>
    <w:multiLevelType w:val="hybridMultilevel"/>
    <w:tmpl w:val="00B2EADE"/>
    <w:lvl w:ilvl="0" w:tplc="026AE5B2">
      <w:start w:val="1"/>
      <w:numFmt w:val="lowerLetter"/>
      <w:lvlText w:val="%1)"/>
      <w:lvlJc w:val="left"/>
      <w:pPr>
        <w:ind w:left="720" w:hanging="360"/>
      </w:pPr>
      <w:rPr>
        <w:rFonts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CB76B2C"/>
    <w:multiLevelType w:val="hybridMultilevel"/>
    <w:tmpl w:val="49E440BE"/>
    <w:lvl w:ilvl="0" w:tplc="50FA003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E5866E2"/>
    <w:multiLevelType w:val="hybridMultilevel"/>
    <w:tmpl w:val="7F4E4884"/>
    <w:lvl w:ilvl="0" w:tplc="140A001B">
      <w:start w:val="1"/>
      <w:numFmt w:val="lowerRoman"/>
      <w:lvlText w:val="%1."/>
      <w:lvlJc w:val="righ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nsid w:val="1C9B109E"/>
    <w:multiLevelType w:val="hybridMultilevel"/>
    <w:tmpl w:val="B96A9AF0"/>
    <w:lvl w:ilvl="0" w:tplc="96108668">
      <w:start w:val="1"/>
      <w:numFmt w:val="upperLetter"/>
      <w:pStyle w:val="TDC1"/>
      <w:lvlText w:val="%1."/>
      <w:lvlJc w:val="left"/>
      <w:pPr>
        <w:ind w:left="1211" w:hanging="360"/>
      </w:pPr>
      <w:rPr>
        <w:rFonts w:eastAsia="Calibri" w:hint="default"/>
        <w:i/>
        <w:color w:val="auto"/>
        <w:u w:val="none"/>
      </w:rPr>
    </w:lvl>
    <w:lvl w:ilvl="1" w:tplc="140A0019" w:tentative="1">
      <w:start w:val="1"/>
      <w:numFmt w:val="lowerLetter"/>
      <w:lvlText w:val="%2."/>
      <w:lvlJc w:val="left"/>
      <w:pPr>
        <w:ind w:left="1931" w:hanging="360"/>
      </w:pPr>
    </w:lvl>
    <w:lvl w:ilvl="2" w:tplc="140A001B" w:tentative="1">
      <w:start w:val="1"/>
      <w:numFmt w:val="lowerRoman"/>
      <w:lvlText w:val="%3."/>
      <w:lvlJc w:val="right"/>
      <w:pPr>
        <w:ind w:left="2651" w:hanging="180"/>
      </w:pPr>
    </w:lvl>
    <w:lvl w:ilvl="3" w:tplc="140A000F" w:tentative="1">
      <w:start w:val="1"/>
      <w:numFmt w:val="decimal"/>
      <w:lvlText w:val="%4."/>
      <w:lvlJc w:val="left"/>
      <w:pPr>
        <w:ind w:left="3371" w:hanging="360"/>
      </w:pPr>
    </w:lvl>
    <w:lvl w:ilvl="4" w:tplc="140A0019" w:tentative="1">
      <w:start w:val="1"/>
      <w:numFmt w:val="lowerLetter"/>
      <w:lvlText w:val="%5."/>
      <w:lvlJc w:val="left"/>
      <w:pPr>
        <w:ind w:left="4091" w:hanging="360"/>
      </w:pPr>
    </w:lvl>
    <w:lvl w:ilvl="5" w:tplc="140A001B" w:tentative="1">
      <w:start w:val="1"/>
      <w:numFmt w:val="lowerRoman"/>
      <w:lvlText w:val="%6."/>
      <w:lvlJc w:val="right"/>
      <w:pPr>
        <w:ind w:left="4811" w:hanging="180"/>
      </w:pPr>
    </w:lvl>
    <w:lvl w:ilvl="6" w:tplc="140A000F" w:tentative="1">
      <w:start w:val="1"/>
      <w:numFmt w:val="decimal"/>
      <w:lvlText w:val="%7."/>
      <w:lvlJc w:val="left"/>
      <w:pPr>
        <w:ind w:left="5531" w:hanging="360"/>
      </w:pPr>
    </w:lvl>
    <w:lvl w:ilvl="7" w:tplc="140A0019" w:tentative="1">
      <w:start w:val="1"/>
      <w:numFmt w:val="lowerLetter"/>
      <w:lvlText w:val="%8."/>
      <w:lvlJc w:val="left"/>
      <w:pPr>
        <w:ind w:left="6251" w:hanging="360"/>
      </w:pPr>
    </w:lvl>
    <w:lvl w:ilvl="8" w:tplc="140A001B" w:tentative="1">
      <w:start w:val="1"/>
      <w:numFmt w:val="lowerRoman"/>
      <w:lvlText w:val="%9."/>
      <w:lvlJc w:val="right"/>
      <w:pPr>
        <w:ind w:left="6971" w:hanging="180"/>
      </w:pPr>
    </w:lvl>
  </w:abstractNum>
  <w:abstractNum w:abstractNumId="5">
    <w:nsid w:val="257B14D3"/>
    <w:multiLevelType w:val="hybridMultilevel"/>
    <w:tmpl w:val="F0CAFF10"/>
    <w:lvl w:ilvl="0" w:tplc="66AC5D34">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nsid w:val="3F445DCE"/>
    <w:multiLevelType w:val="hybridMultilevel"/>
    <w:tmpl w:val="633EC0C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470E275F"/>
    <w:multiLevelType w:val="hybridMultilevel"/>
    <w:tmpl w:val="54D8422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4AF0250A"/>
    <w:multiLevelType w:val="hybridMultilevel"/>
    <w:tmpl w:val="5A1E8D7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4EE85EF4"/>
    <w:multiLevelType w:val="hybridMultilevel"/>
    <w:tmpl w:val="C60A153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5B784668"/>
    <w:multiLevelType w:val="hybridMultilevel"/>
    <w:tmpl w:val="02000D3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6B9B6D07"/>
    <w:multiLevelType w:val="hybridMultilevel"/>
    <w:tmpl w:val="8A427BF6"/>
    <w:lvl w:ilvl="0" w:tplc="07BC2452">
      <w:start w:val="1"/>
      <w:numFmt w:val="decimal"/>
      <w:lvlText w:val="%1."/>
      <w:lvlJc w:val="left"/>
      <w:pPr>
        <w:ind w:left="360" w:hanging="36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6DE40FAB"/>
    <w:multiLevelType w:val="hybridMultilevel"/>
    <w:tmpl w:val="DAF0E750"/>
    <w:lvl w:ilvl="0" w:tplc="7EAE4038">
      <w:start w:val="1"/>
      <w:numFmt w:val="decimal"/>
      <w:lvlText w:val="%1."/>
      <w:lvlJc w:val="left"/>
      <w:pPr>
        <w:ind w:left="1494"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757A12A2"/>
    <w:multiLevelType w:val="hybridMultilevel"/>
    <w:tmpl w:val="4664C6AC"/>
    <w:lvl w:ilvl="0" w:tplc="97D2B9D2">
      <w:start w:val="1"/>
      <w:numFmt w:val="decimal"/>
      <w:lvlText w:val="%1."/>
      <w:lvlJc w:val="left"/>
      <w:pPr>
        <w:ind w:left="1065" w:hanging="705"/>
      </w:pPr>
      <w:rPr>
        <w:b w:val="0"/>
        <w:i w:val="0"/>
        <w:color w:val="auto"/>
        <w:sz w:val="20"/>
        <w:szCs w:val="20"/>
      </w:rPr>
    </w:lvl>
    <w:lvl w:ilvl="1" w:tplc="140A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85F2E52"/>
    <w:multiLevelType w:val="hybridMultilevel"/>
    <w:tmpl w:val="B8AAC82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7E5314E4"/>
    <w:multiLevelType w:val="hybridMultilevel"/>
    <w:tmpl w:val="1096954C"/>
    <w:lvl w:ilvl="0" w:tplc="C6203790">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6">
    <w:nsid w:val="7E6D61DF"/>
    <w:multiLevelType w:val="hybridMultilevel"/>
    <w:tmpl w:val="B636B514"/>
    <w:lvl w:ilvl="0" w:tplc="500435DE">
      <w:start w:val="1"/>
      <w:numFmt w:val="decimal"/>
      <w:lvlText w:val="%1."/>
      <w:lvlJc w:val="left"/>
      <w:pPr>
        <w:ind w:left="1080" w:hanging="720"/>
      </w:pPr>
      <w:rPr>
        <w:rFonts w:cs="Times New Roman"/>
        <w:b w:val="0"/>
        <w:i w:val="0"/>
        <w:color w:val="auto"/>
        <w:sz w:val="20"/>
        <w:szCs w:val="20"/>
      </w:rPr>
    </w:lvl>
    <w:lvl w:ilvl="1" w:tplc="04090019">
      <w:start w:val="1"/>
      <w:numFmt w:val="lowerLetter"/>
      <w:lvlText w:val="%2)"/>
      <w:lvlJc w:val="left"/>
      <w:pPr>
        <w:ind w:left="1455" w:hanging="375"/>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num>
  <w:num w:numId="2">
    <w:abstractNumId w:val="11"/>
  </w:num>
  <w:num w:numId="3">
    <w:abstractNumId w:val="15"/>
  </w:num>
  <w:num w:numId="4">
    <w:abstractNumId w:val="12"/>
  </w:num>
  <w:num w:numId="5">
    <w:abstractNumId w:val="6"/>
  </w:num>
  <w:num w:numId="6">
    <w:abstractNumId w:val="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
  </w:num>
  <w:num w:numId="13">
    <w:abstractNumId w:val="10"/>
  </w:num>
  <w:num w:numId="14">
    <w:abstractNumId w:val="14"/>
  </w:num>
  <w:num w:numId="15">
    <w:abstractNumId w:val="9"/>
  </w:num>
  <w:num w:numId="16">
    <w:abstractNumId w:val="3"/>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28C3"/>
    <w:rsid w:val="0001140D"/>
    <w:rsid w:val="00014E1B"/>
    <w:rsid w:val="0002288E"/>
    <w:rsid w:val="0003134F"/>
    <w:rsid w:val="00032D01"/>
    <w:rsid w:val="0003367E"/>
    <w:rsid w:val="000347CB"/>
    <w:rsid w:val="00037F5B"/>
    <w:rsid w:val="00041881"/>
    <w:rsid w:val="00042395"/>
    <w:rsid w:val="00042F9D"/>
    <w:rsid w:val="00044347"/>
    <w:rsid w:val="000468CD"/>
    <w:rsid w:val="00047A6D"/>
    <w:rsid w:val="00050CFE"/>
    <w:rsid w:val="000512C4"/>
    <w:rsid w:val="00052793"/>
    <w:rsid w:val="00061BA8"/>
    <w:rsid w:val="000730C7"/>
    <w:rsid w:val="00076F43"/>
    <w:rsid w:val="000803E4"/>
    <w:rsid w:val="00080EA6"/>
    <w:rsid w:val="00081256"/>
    <w:rsid w:val="00082996"/>
    <w:rsid w:val="0008412B"/>
    <w:rsid w:val="0008711A"/>
    <w:rsid w:val="0009009E"/>
    <w:rsid w:val="000956A9"/>
    <w:rsid w:val="00095752"/>
    <w:rsid w:val="00096C21"/>
    <w:rsid w:val="000A7113"/>
    <w:rsid w:val="000A7128"/>
    <w:rsid w:val="000B2E16"/>
    <w:rsid w:val="000B33E8"/>
    <w:rsid w:val="000B4762"/>
    <w:rsid w:val="000C4724"/>
    <w:rsid w:val="000D068D"/>
    <w:rsid w:val="000D0A1C"/>
    <w:rsid w:val="000D50CF"/>
    <w:rsid w:val="000D781C"/>
    <w:rsid w:val="000E1219"/>
    <w:rsid w:val="000E2A6C"/>
    <w:rsid w:val="000E4BB5"/>
    <w:rsid w:val="000E5764"/>
    <w:rsid w:val="000E6942"/>
    <w:rsid w:val="000F0641"/>
    <w:rsid w:val="000F7C96"/>
    <w:rsid w:val="00101833"/>
    <w:rsid w:val="00102F5E"/>
    <w:rsid w:val="00103556"/>
    <w:rsid w:val="001039E2"/>
    <w:rsid w:val="00110334"/>
    <w:rsid w:val="00110BAC"/>
    <w:rsid w:val="001127A1"/>
    <w:rsid w:val="00113617"/>
    <w:rsid w:val="0012218A"/>
    <w:rsid w:val="00124459"/>
    <w:rsid w:val="00127285"/>
    <w:rsid w:val="001273D2"/>
    <w:rsid w:val="001273DE"/>
    <w:rsid w:val="00130199"/>
    <w:rsid w:val="001312AB"/>
    <w:rsid w:val="00135F89"/>
    <w:rsid w:val="00137C12"/>
    <w:rsid w:val="001414A9"/>
    <w:rsid w:val="0014389E"/>
    <w:rsid w:val="00143F37"/>
    <w:rsid w:val="00145900"/>
    <w:rsid w:val="00146F9B"/>
    <w:rsid w:val="00150056"/>
    <w:rsid w:val="00155004"/>
    <w:rsid w:val="00164556"/>
    <w:rsid w:val="00164755"/>
    <w:rsid w:val="00165C82"/>
    <w:rsid w:val="001708FC"/>
    <w:rsid w:val="00175033"/>
    <w:rsid w:val="001765D4"/>
    <w:rsid w:val="00176A08"/>
    <w:rsid w:val="001843D7"/>
    <w:rsid w:val="0018506F"/>
    <w:rsid w:val="001901A5"/>
    <w:rsid w:val="00192436"/>
    <w:rsid w:val="00192772"/>
    <w:rsid w:val="00194B13"/>
    <w:rsid w:val="001A0AC3"/>
    <w:rsid w:val="001A0F31"/>
    <w:rsid w:val="001A32E3"/>
    <w:rsid w:val="001B17C4"/>
    <w:rsid w:val="001B2515"/>
    <w:rsid w:val="001B292E"/>
    <w:rsid w:val="001B4900"/>
    <w:rsid w:val="001B4F51"/>
    <w:rsid w:val="001B5F4E"/>
    <w:rsid w:val="001C0339"/>
    <w:rsid w:val="001C224F"/>
    <w:rsid w:val="001C7D9E"/>
    <w:rsid w:val="001D1008"/>
    <w:rsid w:val="001D606D"/>
    <w:rsid w:val="001F4F08"/>
    <w:rsid w:val="001F6794"/>
    <w:rsid w:val="001F7B08"/>
    <w:rsid w:val="0020293A"/>
    <w:rsid w:val="0020592D"/>
    <w:rsid w:val="00207E73"/>
    <w:rsid w:val="00213263"/>
    <w:rsid w:val="00214B94"/>
    <w:rsid w:val="00217AD0"/>
    <w:rsid w:val="002217B1"/>
    <w:rsid w:val="00223D20"/>
    <w:rsid w:val="00225390"/>
    <w:rsid w:val="0022614D"/>
    <w:rsid w:val="00230037"/>
    <w:rsid w:val="00230ACB"/>
    <w:rsid w:val="00231011"/>
    <w:rsid w:val="00232213"/>
    <w:rsid w:val="00232B29"/>
    <w:rsid w:val="002344E6"/>
    <w:rsid w:val="002362E7"/>
    <w:rsid w:val="002425B4"/>
    <w:rsid w:val="0024524A"/>
    <w:rsid w:val="0024726A"/>
    <w:rsid w:val="002474EE"/>
    <w:rsid w:val="0024779A"/>
    <w:rsid w:val="002504E5"/>
    <w:rsid w:val="002538B6"/>
    <w:rsid w:val="00254D41"/>
    <w:rsid w:val="00256D8F"/>
    <w:rsid w:val="00256FD4"/>
    <w:rsid w:val="002624BF"/>
    <w:rsid w:val="00263AFA"/>
    <w:rsid w:val="00272703"/>
    <w:rsid w:val="002727CE"/>
    <w:rsid w:val="00277E03"/>
    <w:rsid w:val="00280CE3"/>
    <w:rsid w:val="00281D32"/>
    <w:rsid w:val="0028244A"/>
    <w:rsid w:val="00286172"/>
    <w:rsid w:val="00286963"/>
    <w:rsid w:val="002A0A48"/>
    <w:rsid w:val="002A2776"/>
    <w:rsid w:val="002A6BFE"/>
    <w:rsid w:val="002B051E"/>
    <w:rsid w:val="002B1226"/>
    <w:rsid w:val="002B3E19"/>
    <w:rsid w:val="002B5351"/>
    <w:rsid w:val="002B5A91"/>
    <w:rsid w:val="002C5A57"/>
    <w:rsid w:val="002D041C"/>
    <w:rsid w:val="002D0D78"/>
    <w:rsid w:val="002D5F74"/>
    <w:rsid w:val="002E4AC1"/>
    <w:rsid w:val="002E636F"/>
    <w:rsid w:val="002E7498"/>
    <w:rsid w:val="002F0708"/>
    <w:rsid w:val="002F0BE8"/>
    <w:rsid w:val="002F150F"/>
    <w:rsid w:val="002F3A7D"/>
    <w:rsid w:val="002F5BCB"/>
    <w:rsid w:val="003000C3"/>
    <w:rsid w:val="00301AC8"/>
    <w:rsid w:val="0030288F"/>
    <w:rsid w:val="00302E00"/>
    <w:rsid w:val="00303891"/>
    <w:rsid w:val="00304162"/>
    <w:rsid w:val="00307491"/>
    <w:rsid w:val="00311B4B"/>
    <w:rsid w:val="00312044"/>
    <w:rsid w:val="00315DAC"/>
    <w:rsid w:val="00320C4E"/>
    <w:rsid w:val="00321628"/>
    <w:rsid w:val="0032643A"/>
    <w:rsid w:val="00326493"/>
    <w:rsid w:val="0032724D"/>
    <w:rsid w:val="0033097D"/>
    <w:rsid w:val="00333B15"/>
    <w:rsid w:val="00334A0B"/>
    <w:rsid w:val="0033789E"/>
    <w:rsid w:val="00342678"/>
    <w:rsid w:val="00343971"/>
    <w:rsid w:val="003472D2"/>
    <w:rsid w:val="00351C4E"/>
    <w:rsid w:val="0035209A"/>
    <w:rsid w:val="00354511"/>
    <w:rsid w:val="00354B1A"/>
    <w:rsid w:val="003570B7"/>
    <w:rsid w:val="00357CEB"/>
    <w:rsid w:val="0036082A"/>
    <w:rsid w:val="00360DAC"/>
    <w:rsid w:val="003718E3"/>
    <w:rsid w:val="00373A6D"/>
    <w:rsid w:val="00377447"/>
    <w:rsid w:val="00377CDE"/>
    <w:rsid w:val="00383D77"/>
    <w:rsid w:val="003857F8"/>
    <w:rsid w:val="003907C8"/>
    <w:rsid w:val="00391D24"/>
    <w:rsid w:val="003966E7"/>
    <w:rsid w:val="003A1E25"/>
    <w:rsid w:val="003A2379"/>
    <w:rsid w:val="003A4C46"/>
    <w:rsid w:val="003A59A0"/>
    <w:rsid w:val="003B1BC4"/>
    <w:rsid w:val="003B254B"/>
    <w:rsid w:val="003B2C20"/>
    <w:rsid w:val="003B347D"/>
    <w:rsid w:val="003B3DA2"/>
    <w:rsid w:val="003B46D2"/>
    <w:rsid w:val="003B46F5"/>
    <w:rsid w:val="003B508B"/>
    <w:rsid w:val="003B6FAE"/>
    <w:rsid w:val="003B7375"/>
    <w:rsid w:val="003C19F0"/>
    <w:rsid w:val="003C240E"/>
    <w:rsid w:val="003C3F9F"/>
    <w:rsid w:val="003C62A3"/>
    <w:rsid w:val="003D1F10"/>
    <w:rsid w:val="003D2DCF"/>
    <w:rsid w:val="003D4407"/>
    <w:rsid w:val="003E03E9"/>
    <w:rsid w:val="003E2358"/>
    <w:rsid w:val="003E3C6B"/>
    <w:rsid w:val="003E7130"/>
    <w:rsid w:val="003F02FD"/>
    <w:rsid w:val="003F0DEE"/>
    <w:rsid w:val="003F51C6"/>
    <w:rsid w:val="003F6328"/>
    <w:rsid w:val="003F7D75"/>
    <w:rsid w:val="004016E0"/>
    <w:rsid w:val="00402B27"/>
    <w:rsid w:val="00403A9C"/>
    <w:rsid w:val="004117A5"/>
    <w:rsid w:val="00411B18"/>
    <w:rsid w:val="00413363"/>
    <w:rsid w:val="0041570F"/>
    <w:rsid w:val="004159E5"/>
    <w:rsid w:val="0041755F"/>
    <w:rsid w:val="00425728"/>
    <w:rsid w:val="004312A6"/>
    <w:rsid w:val="00432257"/>
    <w:rsid w:val="00433716"/>
    <w:rsid w:val="004346FC"/>
    <w:rsid w:val="00437C08"/>
    <w:rsid w:val="00445A42"/>
    <w:rsid w:val="004476EE"/>
    <w:rsid w:val="004512A3"/>
    <w:rsid w:val="00453691"/>
    <w:rsid w:val="00455C8D"/>
    <w:rsid w:val="00461CC5"/>
    <w:rsid w:val="00462AD5"/>
    <w:rsid w:val="0046353C"/>
    <w:rsid w:val="004663C2"/>
    <w:rsid w:val="00472459"/>
    <w:rsid w:val="00473017"/>
    <w:rsid w:val="004739AF"/>
    <w:rsid w:val="00475353"/>
    <w:rsid w:val="00476882"/>
    <w:rsid w:val="0048039E"/>
    <w:rsid w:val="0048128B"/>
    <w:rsid w:val="004866D6"/>
    <w:rsid w:val="00491078"/>
    <w:rsid w:val="0049335C"/>
    <w:rsid w:val="004A6D85"/>
    <w:rsid w:val="004B1B70"/>
    <w:rsid w:val="004B2438"/>
    <w:rsid w:val="004B4E7E"/>
    <w:rsid w:val="004B6376"/>
    <w:rsid w:val="004C2530"/>
    <w:rsid w:val="004C6B5D"/>
    <w:rsid w:val="004C7FE8"/>
    <w:rsid w:val="004D231F"/>
    <w:rsid w:val="004D28EF"/>
    <w:rsid w:val="004D7BFC"/>
    <w:rsid w:val="004E2224"/>
    <w:rsid w:val="004E275F"/>
    <w:rsid w:val="004E2B05"/>
    <w:rsid w:val="004E4288"/>
    <w:rsid w:val="004E598A"/>
    <w:rsid w:val="004E5EF8"/>
    <w:rsid w:val="004E6FDA"/>
    <w:rsid w:val="004E7E20"/>
    <w:rsid w:val="004F1568"/>
    <w:rsid w:val="004F4759"/>
    <w:rsid w:val="004F5F37"/>
    <w:rsid w:val="00507754"/>
    <w:rsid w:val="00510A81"/>
    <w:rsid w:val="00512286"/>
    <w:rsid w:val="00512702"/>
    <w:rsid w:val="00514FFA"/>
    <w:rsid w:val="0052145E"/>
    <w:rsid w:val="00523281"/>
    <w:rsid w:val="00523ABA"/>
    <w:rsid w:val="00525826"/>
    <w:rsid w:val="00532ADF"/>
    <w:rsid w:val="005346F8"/>
    <w:rsid w:val="00534925"/>
    <w:rsid w:val="005358F3"/>
    <w:rsid w:val="00535C25"/>
    <w:rsid w:val="005409FF"/>
    <w:rsid w:val="00543E33"/>
    <w:rsid w:val="00547A1A"/>
    <w:rsid w:val="00547F4A"/>
    <w:rsid w:val="005513D3"/>
    <w:rsid w:val="00553342"/>
    <w:rsid w:val="0056499A"/>
    <w:rsid w:val="00572BC8"/>
    <w:rsid w:val="005757D4"/>
    <w:rsid w:val="00575CEB"/>
    <w:rsid w:val="005812BB"/>
    <w:rsid w:val="00586649"/>
    <w:rsid w:val="005910FF"/>
    <w:rsid w:val="00592F0F"/>
    <w:rsid w:val="00596967"/>
    <w:rsid w:val="005A1337"/>
    <w:rsid w:val="005A549D"/>
    <w:rsid w:val="005A609C"/>
    <w:rsid w:val="005A72F0"/>
    <w:rsid w:val="005B02EC"/>
    <w:rsid w:val="005B0AF4"/>
    <w:rsid w:val="005B757E"/>
    <w:rsid w:val="005B7629"/>
    <w:rsid w:val="005C0CF5"/>
    <w:rsid w:val="005C116B"/>
    <w:rsid w:val="005C17AB"/>
    <w:rsid w:val="005C2594"/>
    <w:rsid w:val="005C4672"/>
    <w:rsid w:val="005D0D0A"/>
    <w:rsid w:val="005D36A0"/>
    <w:rsid w:val="005D42C9"/>
    <w:rsid w:val="005D4676"/>
    <w:rsid w:val="005D5E68"/>
    <w:rsid w:val="005D689C"/>
    <w:rsid w:val="005E424D"/>
    <w:rsid w:val="005E4791"/>
    <w:rsid w:val="005E5DC5"/>
    <w:rsid w:val="005E7241"/>
    <w:rsid w:val="005F0A65"/>
    <w:rsid w:val="005F3763"/>
    <w:rsid w:val="0060050F"/>
    <w:rsid w:val="00606C37"/>
    <w:rsid w:val="00611EC9"/>
    <w:rsid w:val="00617761"/>
    <w:rsid w:val="00624A1B"/>
    <w:rsid w:val="00630F70"/>
    <w:rsid w:val="00634E2F"/>
    <w:rsid w:val="0063704B"/>
    <w:rsid w:val="006440FE"/>
    <w:rsid w:val="00644F37"/>
    <w:rsid w:val="00647C59"/>
    <w:rsid w:val="006534C8"/>
    <w:rsid w:val="00665A6A"/>
    <w:rsid w:val="00673959"/>
    <w:rsid w:val="006749ED"/>
    <w:rsid w:val="00681532"/>
    <w:rsid w:val="006831DD"/>
    <w:rsid w:val="0068389D"/>
    <w:rsid w:val="00683E6E"/>
    <w:rsid w:val="00683EA0"/>
    <w:rsid w:val="006842BE"/>
    <w:rsid w:val="0068486A"/>
    <w:rsid w:val="00685EF6"/>
    <w:rsid w:val="00692623"/>
    <w:rsid w:val="00693F09"/>
    <w:rsid w:val="00694665"/>
    <w:rsid w:val="006A2F4A"/>
    <w:rsid w:val="006A3FFA"/>
    <w:rsid w:val="006A4E11"/>
    <w:rsid w:val="006A5728"/>
    <w:rsid w:val="006A5C94"/>
    <w:rsid w:val="006A6B27"/>
    <w:rsid w:val="006A7F64"/>
    <w:rsid w:val="006B05B3"/>
    <w:rsid w:val="006B1D2C"/>
    <w:rsid w:val="006B6135"/>
    <w:rsid w:val="006B74A5"/>
    <w:rsid w:val="006C2AA6"/>
    <w:rsid w:val="006C64E4"/>
    <w:rsid w:val="006C7A0C"/>
    <w:rsid w:val="006D2D99"/>
    <w:rsid w:val="006D3034"/>
    <w:rsid w:val="006E0752"/>
    <w:rsid w:val="006E1DA8"/>
    <w:rsid w:val="006E3C69"/>
    <w:rsid w:val="006F2327"/>
    <w:rsid w:val="006F23F6"/>
    <w:rsid w:val="006F6BCC"/>
    <w:rsid w:val="00702743"/>
    <w:rsid w:val="00707E5F"/>
    <w:rsid w:val="00710B68"/>
    <w:rsid w:val="00711537"/>
    <w:rsid w:val="0071167B"/>
    <w:rsid w:val="0071313A"/>
    <w:rsid w:val="0071315E"/>
    <w:rsid w:val="00716344"/>
    <w:rsid w:val="00717030"/>
    <w:rsid w:val="00720520"/>
    <w:rsid w:val="00721A31"/>
    <w:rsid w:val="00725630"/>
    <w:rsid w:val="00726114"/>
    <w:rsid w:val="007268D9"/>
    <w:rsid w:val="0072764E"/>
    <w:rsid w:val="007436F8"/>
    <w:rsid w:val="00746654"/>
    <w:rsid w:val="00751AAB"/>
    <w:rsid w:val="007559FB"/>
    <w:rsid w:val="00760238"/>
    <w:rsid w:val="007626EC"/>
    <w:rsid w:val="00765898"/>
    <w:rsid w:val="00766423"/>
    <w:rsid w:val="00767C2A"/>
    <w:rsid w:val="007703F0"/>
    <w:rsid w:val="0077099F"/>
    <w:rsid w:val="00771793"/>
    <w:rsid w:val="00775772"/>
    <w:rsid w:val="00776666"/>
    <w:rsid w:val="00786303"/>
    <w:rsid w:val="00793154"/>
    <w:rsid w:val="0079340B"/>
    <w:rsid w:val="00794923"/>
    <w:rsid w:val="007A35BC"/>
    <w:rsid w:val="007A57B5"/>
    <w:rsid w:val="007A6AB4"/>
    <w:rsid w:val="007B6EBB"/>
    <w:rsid w:val="007B7418"/>
    <w:rsid w:val="007C0405"/>
    <w:rsid w:val="007C094E"/>
    <w:rsid w:val="007C28C0"/>
    <w:rsid w:val="007C488C"/>
    <w:rsid w:val="007D0A5D"/>
    <w:rsid w:val="007D1556"/>
    <w:rsid w:val="007D2ED0"/>
    <w:rsid w:val="007D5450"/>
    <w:rsid w:val="007D663E"/>
    <w:rsid w:val="007F0868"/>
    <w:rsid w:val="007F145B"/>
    <w:rsid w:val="007F37BF"/>
    <w:rsid w:val="007F4C29"/>
    <w:rsid w:val="007F6C80"/>
    <w:rsid w:val="00800C07"/>
    <w:rsid w:val="00803431"/>
    <w:rsid w:val="00806EF8"/>
    <w:rsid w:val="00806FE4"/>
    <w:rsid w:val="00810FC2"/>
    <w:rsid w:val="0081170E"/>
    <w:rsid w:val="00812C89"/>
    <w:rsid w:val="00814CC2"/>
    <w:rsid w:val="00816C8A"/>
    <w:rsid w:val="00822B55"/>
    <w:rsid w:val="00823AFF"/>
    <w:rsid w:val="008335AA"/>
    <w:rsid w:val="00836697"/>
    <w:rsid w:val="008371BA"/>
    <w:rsid w:val="008379F3"/>
    <w:rsid w:val="00842B88"/>
    <w:rsid w:val="00843351"/>
    <w:rsid w:val="008535EC"/>
    <w:rsid w:val="008549B0"/>
    <w:rsid w:val="00856BA4"/>
    <w:rsid w:val="0086115E"/>
    <w:rsid w:val="00864ACF"/>
    <w:rsid w:val="008653CE"/>
    <w:rsid w:val="00866F28"/>
    <w:rsid w:val="00867000"/>
    <w:rsid w:val="0087048A"/>
    <w:rsid w:val="008727E9"/>
    <w:rsid w:val="00873E5E"/>
    <w:rsid w:val="00874B72"/>
    <w:rsid w:val="00881CC3"/>
    <w:rsid w:val="00885FB9"/>
    <w:rsid w:val="008915CB"/>
    <w:rsid w:val="008969F7"/>
    <w:rsid w:val="0089717F"/>
    <w:rsid w:val="00897850"/>
    <w:rsid w:val="008A1BFA"/>
    <w:rsid w:val="008A3CE3"/>
    <w:rsid w:val="008A66A3"/>
    <w:rsid w:val="008B55D5"/>
    <w:rsid w:val="008C3615"/>
    <w:rsid w:val="008D05D4"/>
    <w:rsid w:val="008D0EA0"/>
    <w:rsid w:val="008D21B4"/>
    <w:rsid w:val="008D4295"/>
    <w:rsid w:val="008E04AC"/>
    <w:rsid w:val="008E52E3"/>
    <w:rsid w:val="008F29E7"/>
    <w:rsid w:val="008F41E8"/>
    <w:rsid w:val="009020BE"/>
    <w:rsid w:val="0090429B"/>
    <w:rsid w:val="00905F9B"/>
    <w:rsid w:val="00911D2A"/>
    <w:rsid w:val="00912B30"/>
    <w:rsid w:val="00912FFE"/>
    <w:rsid w:val="009150C6"/>
    <w:rsid w:val="00916DA1"/>
    <w:rsid w:val="00930AB2"/>
    <w:rsid w:val="00940352"/>
    <w:rsid w:val="00940D7E"/>
    <w:rsid w:val="009411A3"/>
    <w:rsid w:val="0094366D"/>
    <w:rsid w:val="0094733E"/>
    <w:rsid w:val="00962251"/>
    <w:rsid w:val="0096262C"/>
    <w:rsid w:val="00962FA2"/>
    <w:rsid w:val="00963B1F"/>
    <w:rsid w:val="009670A2"/>
    <w:rsid w:val="00967DB1"/>
    <w:rsid w:val="00981785"/>
    <w:rsid w:val="00982261"/>
    <w:rsid w:val="009862A1"/>
    <w:rsid w:val="00986EA7"/>
    <w:rsid w:val="009912BF"/>
    <w:rsid w:val="00994C77"/>
    <w:rsid w:val="00996496"/>
    <w:rsid w:val="009A3AB0"/>
    <w:rsid w:val="009A3F11"/>
    <w:rsid w:val="009A6D66"/>
    <w:rsid w:val="009B2C87"/>
    <w:rsid w:val="009B3A42"/>
    <w:rsid w:val="009C1370"/>
    <w:rsid w:val="009C2F27"/>
    <w:rsid w:val="009C3422"/>
    <w:rsid w:val="009C6DB2"/>
    <w:rsid w:val="009C7543"/>
    <w:rsid w:val="009D0541"/>
    <w:rsid w:val="009D07AE"/>
    <w:rsid w:val="009D0F0D"/>
    <w:rsid w:val="009D1072"/>
    <w:rsid w:val="009E34FF"/>
    <w:rsid w:val="009E4139"/>
    <w:rsid w:val="009E5DFA"/>
    <w:rsid w:val="009F09BE"/>
    <w:rsid w:val="009F739E"/>
    <w:rsid w:val="009F769A"/>
    <w:rsid w:val="00A00186"/>
    <w:rsid w:val="00A00B9F"/>
    <w:rsid w:val="00A02730"/>
    <w:rsid w:val="00A10BAA"/>
    <w:rsid w:val="00A129D1"/>
    <w:rsid w:val="00A1405E"/>
    <w:rsid w:val="00A14097"/>
    <w:rsid w:val="00A1480C"/>
    <w:rsid w:val="00A2546E"/>
    <w:rsid w:val="00A34C88"/>
    <w:rsid w:val="00A36B72"/>
    <w:rsid w:val="00A41947"/>
    <w:rsid w:val="00A46040"/>
    <w:rsid w:val="00A4681B"/>
    <w:rsid w:val="00A71309"/>
    <w:rsid w:val="00A74F46"/>
    <w:rsid w:val="00A75779"/>
    <w:rsid w:val="00A7577B"/>
    <w:rsid w:val="00A76561"/>
    <w:rsid w:val="00A7698D"/>
    <w:rsid w:val="00A81B59"/>
    <w:rsid w:val="00A848F6"/>
    <w:rsid w:val="00A85E7E"/>
    <w:rsid w:val="00A86648"/>
    <w:rsid w:val="00A866CD"/>
    <w:rsid w:val="00A91405"/>
    <w:rsid w:val="00A91D2B"/>
    <w:rsid w:val="00A9386B"/>
    <w:rsid w:val="00A95FE0"/>
    <w:rsid w:val="00AA2EB2"/>
    <w:rsid w:val="00AB0FC1"/>
    <w:rsid w:val="00AB1188"/>
    <w:rsid w:val="00AB6F30"/>
    <w:rsid w:val="00AC3B29"/>
    <w:rsid w:val="00AD2696"/>
    <w:rsid w:val="00AE3689"/>
    <w:rsid w:val="00AE7DED"/>
    <w:rsid w:val="00AE7F2B"/>
    <w:rsid w:val="00AF0FA3"/>
    <w:rsid w:val="00AF1B09"/>
    <w:rsid w:val="00B01006"/>
    <w:rsid w:val="00B01195"/>
    <w:rsid w:val="00B03609"/>
    <w:rsid w:val="00B03940"/>
    <w:rsid w:val="00B04232"/>
    <w:rsid w:val="00B07B04"/>
    <w:rsid w:val="00B106F4"/>
    <w:rsid w:val="00B1378F"/>
    <w:rsid w:val="00B14342"/>
    <w:rsid w:val="00B148A3"/>
    <w:rsid w:val="00B20647"/>
    <w:rsid w:val="00B22F85"/>
    <w:rsid w:val="00B32D89"/>
    <w:rsid w:val="00B35657"/>
    <w:rsid w:val="00B3793A"/>
    <w:rsid w:val="00B406BE"/>
    <w:rsid w:val="00B41278"/>
    <w:rsid w:val="00B4149E"/>
    <w:rsid w:val="00B434D3"/>
    <w:rsid w:val="00B44701"/>
    <w:rsid w:val="00B46D6C"/>
    <w:rsid w:val="00B52C76"/>
    <w:rsid w:val="00B61358"/>
    <w:rsid w:val="00B73136"/>
    <w:rsid w:val="00B77F02"/>
    <w:rsid w:val="00B8580D"/>
    <w:rsid w:val="00B90CB2"/>
    <w:rsid w:val="00B92968"/>
    <w:rsid w:val="00B95DBA"/>
    <w:rsid w:val="00B97CEA"/>
    <w:rsid w:val="00BA048A"/>
    <w:rsid w:val="00BA0C90"/>
    <w:rsid w:val="00BA2513"/>
    <w:rsid w:val="00BA3586"/>
    <w:rsid w:val="00BA71B8"/>
    <w:rsid w:val="00BA78B4"/>
    <w:rsid w:val="00BB4253"/>
    <w:rsid w:val="00BB46C9"/>
    <w:rsid w:val="00BB5DC9"/>
    <w:rsid w:val="00BB756B"/>
    <w:rsid w:val="00BC03B5"/>
    <w:rsid w:val="00BC179E"/>
    <w:rsid w:val="00BC1B9B"/>
    <w:rsid w:val="00BC4116"/>
    <w:rsid w:val="00BC51D4"/>
    <w:rsid w:val="00BC5945"/>
    <w:rsid w:val="00BC5FAA"/>
    <w:rsid w:val="00BD7BC6"/>
    <w:rsid w:val="00BD7C3F"/>
    <w:rsid w:val="00BE16A8"/>
    <w:rsid w:val="00BE7945"/>
    <w:rsid w:val="00BF177C"/>
    <w:rsid w:val="00BF54B6"/>
    <w:rsid w:val="00BF7A26"/>
    <w:rsid w:val="00C03542"/>
    <w:rsid w:val="00C04143"/>
    <w:rsid w:val="00C07B4C"/>
    <w:rsid w:val="00C108B0"/>
    <w:rsid w:val="00C10DF0"/>
    <w:rsid w:val="00C1290A"/>
    <w:rsid w:val="00C17AAD"/>
    <w:rsid w:val="00C17F57"/>
    <w:rsid w:val="00C2032C"/>
    <w:rsid w:val="00C20B96"/>
    <w:rsid w:val="00C21055"/>
    <w:rsid w:val="00C21853"/>
    <w:rsid w:val="00C228C3"/>
    <w:rsid w:val="00C22FC7"/>
    <w:rsid w:val="00C240F3"/>
    <w:rsid w:val="00C24C63"/>
    <w:rsid w:val="00C255A4"/>
    <w:rsid w:val="00C25A07"/>
    <w:rsid w:val="00C26F45"/>
    <w:rsid w:val="00C327DE"/>
    <w:rsid w:val="00C34BBE"/>
    <w:rsid w:val="00C40E33"/>
    <w:rsid w:val="00C43B64"/>
    <w:rsid w:val="00C50169"/>
    <w:rsid w:val="00C6047B"/>
    <w:rsid w:val="00C625E7"/>
    <w:rsid w:val="00C635E8"/>
    <w:rsid w:val="00C63E05"/>
    <w:rsid w:val="00C64DDF"/>
    <w:rsid w:val="00C65BFD"/>
    <w:rsid w:val="00C71BB5"/>
    <w:rsid w:val="00C72FA4"/>
    <w:rsid w:val="00C74F96"/>
    <w:rsid w:val="00C76B83"/>
    <w:rsid w:val="00C77312"/>
    <w:rsid w:val="00C8205C"/>
    <w:rsid w:val="00C84D6D"/>
    <w:rsid w:val="00C8680E"/>
    <w:rsid w:val="00C908DD"/>
    <w:rsid w:val="00C9092F"/>
    <w:rsid w:val="00C90B7C"/>
    <w:rsid w:val="00CB0185"/>
    <w:rsid w:val="00CB41E0"/>
    <w:rsid w:val="00CB4D61"/>
    <w:rsid w:val="00CB5684"/>
    <w:rsid w:val="00CC299A"/>
    <w:rsid w:val="00CC4DB6"/>
    <w:rsid w:val="00CD3A5D"/>
    <w:rsid w:val="00CD5509"/>
    <w:rsid w:val="00CD6E2A"/>
    <w:rsid w:val="00CF07CC"/>
    <w:rsid w:val="00CF2A02"/>
    <w:rsid w:val="00CF2C27"/>
    <w:rsid w:val="00CF42CF"/>
    <w:rsid w:val="00CF5ACC"/>
    <w:rsid w:val="00CF64BB"/>
    <w:rsid w:val="00CF7C20"/>
    <w:rsid w:val="00D02E71"/>
    <w:rsid w:val="00D0347A"/>
    <w:rsid w:val="00D03573"/>
    <w:rsid w:val="00D043FC"/>
    <w:rsid w:val="00D04B99"/>
    <w:rsid w:val="00D126AB"/>
    <w:rsid w:val="00D223CA"/>
    <w:rsid w:val="00D22757"/>
    <w:rsid w:val="00D24E28"/>
    <w:rsid w:val="00D2538C"/>
    <w:rsid w:val="00D35408"/>
    <w:rsid w:val="00D433CF"/>
    <w:rsid w:val="00D43EDE"/>
    <w:rsid w:val="00D455C7"/>
    <w:rsid w:val="00D46041"/>
    <w:rsid w:val="00D460E7"/>
    <w:rsid w:val="00D476CA"/>
    <w:rsid w:val="00D51B93"/>
    <w:rsid w:val="00D54B83"/>
    <w:rsid w:val="00D6242F"/>
    <w:rsid w:val="00D62CB0"/>
    <w:rsid w:val="00D74773"/>
    <w:rsid w:val="00D81A6C"/>
    <w:rsid w:val="00D840C2"/>
    <w:rsid w:val="00DA0280"/>
    <w:rsid w:val="00DA2F7E"/>
    <w:rsid w:val="00DA3B03"/>
    <w:rsid w:val="00DA3BB6"/>
    <w:rsid w:val="00DA6EF2"/>
    <w:rsid w:val="00DB3490"/>
    <w:rsid w:val="00DC24ED"/>
    <w:rsid w:val="00DC29A0"/>
    <w:rsid w:val="00DC307F"/>
    <w:rsid w:val="00DC54E3"/>
    <w:rsid w:val="00DC6908"/>
    <w:rsid w:val="00DC7F22"/>
    <w:rsid w:val="00DD49F2"/>
    <w:rsid w:val="00DD657D"/>
    <w:rsid w:val="00DD753C"/>
    <w:rsid w:val="00DE018E"/>
    <w:rsid w:val="00DE1989"/>
    <w:rsid w:val="00DE1F71"/>
    <w:rsid w:val="00DE3AB1"/>
    <w:rsid w:val="00DF22C9"/>
    <w:rsid w:val="00DF51D9"/>
    <w:rsid w:val="00DF6784"/>
    <w:rsid w:val="00DF758B"/>
    <w:rsid w:val="00E00E05"/>
    <w:rsid w:val="00E018C1"/>
    <w:rsid w:val="00E04077"/>
    <w:rsid w:val="00E06FCC"/>
    <w:rsid w:val="00E10390"/>
    <w:rsid w:val="00E11B71"/>
    <w:rsid w:val="00E142F8"/>
    <w:rsid w:val="00E1461A"/>
    <w:rsid w:val="00E17CFD"/>
    <w:rsid w:val="00E17F2C"/>
    <w:rsid w:val="00E215A4"/>
    <w:rsid w:val="00E248BA"/>
    <w:rsid w:val="00E24EE0"/>
    <w:rsid w:val="00E2571C"/>
    <w:rsid w:val="00E27F5B"/>
    <w:rsid w:val="00E34EFE"/>
    <w:rsid w:val="00E374D3"/>
    <w:rsid w:val="00E408C1"/>
    <w:rsid w:val="00E4152A"/>
    <w:rsid w:val="00E44782"/>
    <w:rsid w:val="00E453DF"/>
    <w:rsid w:val="00E47FB7"/>
    <w:rsid w:val="00E53026"/>
    <w:rsid w:val="00E605A7"/>
    <w:rsid w:val="00E61276"/>
    <w:rsid w:val="00E63871"/>
    <w:rsid w:val="00E70BC2"/>
    <w:rsid w:val="00E71802"/>
    <w:rsid w:val="00E72395"/>
    <w:rsid w:val="00E727A1"/>
    <w:rsid w:val="00E770E6"/>
    <w:rsid w:val="00E8090D"/>
    <w:rsid w:val="00E80EFB"/>
    <w:rsid w:val="00E8472C"/>
    <w:rsid w:val="00E85CB8"/>
    <w:rsid w:val="00E87EA2"/>
    <w:rsid w:val="00E914F5"/>
    <w:rsid w:val="00E918B8"/>
    <w:rsid w:val="00E953F5"/>
    <w:rsid w:val="00E9599A"/>
    <w:rsid w:val="00E97409"/>
    <w:rsid w:val="00EA0284"/>
    <w:rsid w:val="00EA0D97"/>
    <w:rsid w:val="00EA2C7A"/>
    <w:rsid w:val="00EB0DB7"/>
    <w:rsid w:val="00EB3A62"/>
    <w:rsid w:val="00EB44D4"/>
    <w:rsid w:val="00EB4D04"/>
    <w:rsid w:val="00EB54BA"/>
    <w:rsid w:val="00EB5C3C"/>
    <w:rsid w:val="00EB63D6"/>
    <w:rsid w:val="00EC2309"/>
    <w:rsid w:val="00EC26D3"/>
    <w:rsid w:val="00EC28BF"/>
    <w:rsid w:val="00EC542F"/>
    <w:rsid w:val="00ED00D5"/>
    <w:rsid w:val="00ED3720"/>
    <w:rsid w:val="00ED593E"/>
    <w:rsid w:val="00EE0B46"/>
    <w:rsid w:val="00EE6512"/>
    <w:rsid w:val="00EE71E7"/>
    <w:rsid w:val="00EF1337"/>
    <w:rsid w:val="00EF7608"/>
    <w:rsid w:val="00F00F6C"/>
    <w:rsid w:val="00F01FD1"/>
    <w:rsid w:val="00F0259B"/>
    <w:rsid w:val="00F06C80"/>
    <w:rsid w:val="00F11844"/>
    <w:rsid w:val="00F12187"/>
    <w:rsid w:val="00F133DC"/>
    <w:rsid w:val="00F15E30"/>
    <w:rsid w:val="00F16661"/>
    <w:rsid w:val="00F1688A"/>
    <w:rsid w:val="00F17801"/>
    <w:rsid w:val="00F17964"/>
    <w:rsid w:val="00F20A26"/>
    <w:rsid w:val="00F20E22"/>
    <w:rsid w:val="00F21963"/>
    <w:rsid w:val="00F221A0"/>
    <w:rsid w:val="00F3195C"/>
    <w:rsid w:val="00F33689"/>
    <w:rsid w:val="00F33BFC"/>
    <w:rsid w:val="00F35346"/>
    <w:rsid w:val="00F35BBF"/>
    <w:rsid w:val="00F372E8"/>
    <w:rsid w:val="00F440EC"/>
    <w:rsid w:val="00F44CF7"/>
    <w:rsid w:val="00F45DDD"/>
    <w:rsid w:val="00F518BC"/>
    <w:rsid w:val="00F55F89"/>
    <w:rsid w:val="00F5665A"/>
    <w:rsid w:val="00F605C5"/>
    <w:rsid w:val="00F60EA2"/>
    <w:rsid w:val="00F679AA"/>
    <w:rsid w:val="00F8590E"/>
    <w:rsid w:val="00F9275E"/>
    <w:rsid w:val="00F94377"/>
    <w:rsid w:val="00FA0843"/>
    <w:rsid w:val="00FA3304"/>
    <w:rsid w:val="00FA3C6C"/>
    <w:rsid w:val="00FB0675"/>
    <w:rsid w:val="00FC2769"/>
    <w:rsid w:val="00FC4A53"/>
    <w:rsid w:val="00FC5D96"/>
    <w:rsid w:val="00FC602D"/>
    <w:rsid w:val="00FD0DE9"/>
    <w:rsid w:val="00FD36E3"/>
    <w:rsid w:val="00FD517E"/>
    <w:rsid w:val="00FD53F5"/>
    <w:rsid w:val="00FE06E9"/>
    <w:rsid w:val="00FE1CF4"/>
    <w:rsid w:val="00FE1D8B"/>
    <w:rsid w:val="00FE23FE"/>
    <w:rsid w:val="00FF08FC"/>
    <w:rsid w:val="00FF1258"/>
    <w:rsid w:val="00FF206F"/>
    <w:rsid w:val="00FF2F42"/>
    <w:rsid w:val="00FF4802"/>
    <w:rsid w:val="00FF69B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uiPriority w:val="9"/>
    <w:qFormat/>
    <w:rsid w:val="00C34BBE"/>
    <w:pPr>
      <w:keepNext/>
      <w:keepLines/>
      <w:spacing w:before="480" w:after="0"/>
      <w:outlineLvl w:val="0"/>
    </w:pPr>
    <w:rPr>
      <w:rFonts w:ascii="Cambria" w:eastAsia="MS Gothic"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C228C3"/>
    <w:rPr>
      <w:b/>
      <w:bCs/>
    </w:rPr>
  </w:style>
  <w:style w:type="paragraph" w:styleId="Prrafodelista">
    <w:name w:val="List Paragraph"/>
    <w:aliases w:val="Footnote"/>
    <w:basedOn w:val="Normal"/>
    <w:link w:val="PrrafodelistaCar"/>
    <w:uiPriority w:val="34"/>
    <w:qFormat/>
    <w:rsid w:val="00C228C3"/>
    <w:pPr>
      <w:ind w:left="720"/>
      <w:contextualSpacing/>
    </w:pPr>
    <w:rPr>
      <w:rFonts w:eastAsia="MS Mincho"/>
      <w:lang w:val="es-CR" w:eastAsia="es-CR"/>
    </w:rPr>
  </w:style>
  <w:style w:type="character" w:customStyle="1" w:styleId="PrrafodelistaCar">
    <w:name w:val="Párrafo de lista Car"/>
    <w:aliases w:val="Footnote Car"/>
    <w:link w:val="Prrafodelista"/>
    <w:uiPriority w:val="34"/>
    <w:rsid w:val="00C228C3"/>
    <w:rPr>
      <w:rFonts w:eastAsia="MS Mincho"/>
      <w:lang w:val="es-CR" w:eastAsia="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C228C3"/>
    <w:pPr>
      <w:spacing w:after="0" w:line="240" w:lineRule="auto"/>
    </w:pPr>
    <w:rPr>
      <w:rFonts w:eastAsia="MS Mincho"/>
      <w:sz w:val="20"/>
      <w:szCs w:val="20"/>
      <w:lang w:val="es-CR" w:eastAsia="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uiPriority w:val="99"/>
    <w:rsid w:val="00C228C3"/>
    <w:rPr>
      <w:rFonts w:eastAsia="MS Mincho"/>
      <w:sz w:val="20"/>
      <w:szCs w:val="20"/>
      <w:lang w:val="es-CR" w:eastAsia="es-CR"/>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unhideWhenUsed/>
    <w:qFormat/>
    <w:rsid w:val="00C228C3"/>
    <w:rPr>
      <w:vertAlign w:val="superscript"/>
    </w:rPr>
  </w:style>
  <w:style w:type="character" w:styleId="Refdecomentario">
    <w:name w:val="annotation reference"/>
    <w:uiPriority w:val="99"/>
    <w:semiHidden/>
    <w:unhideWhenUsed/>
    <w:rsid w:val="00C228C3"/>
    <w:rPr>
      <w:sz w:val="16"/>
      <w:szCs w:val="16"/>
    </w:rPr>
  </w:style>
  <w:style w:type="paragraph" w:styleId="Textocomentario">
    <w:name w:val="annotation text"/>
    <w:basedOn w:val="Normal"/>
    <w:link w:val="TextocomentarioCar"/>
    <w:uiPriority w:val="99"/>
    <w:unhideWhenUsed/>
    <w:rsid w:val="00C228C3"/>
    <w:pPr>
      <w:spacing w:line="240" w:lineRule="auto"/>
    </w:pPr>
    <w:rPr>
      <w:rFonts w:eastAsia="MS Mincho"/>
      <w:sz w:val="20"/>
      <w:szCs w:val="20"/>
      <w:lang w:val="es-CR" w:eastAsia="es-CR"/>
    </w:rPr>
  </w:style>
  <w:style w:type="character" w:customStyle="1" w:styleId="TextocomentarioCar">
    <w:name w:val="Texto comentario Car"/>
    <w:link w:val="Textocomentario"/>
    <w:uiPriority w:val="99"/>
    <w:rsid w:val="00C228C3"/>
    <w:rPr>
      <w:rFonts w:eastAsia="MS Mincho"/>
      <w:sz w:val="20"/>
      <w:szCs w:val="20"/>
      <w:lang w:val="es-CR" w:eastAsia="es-CR"/>
    </w:rPr>
  </w:style>
  <w:style w:type="character" w:styleId="Hipervnculo">
    <w:name w:val="Hyperlink"/>
    <w:uiPriority w:val="99"/>
    <w:unhideWhenUsed/>
    <w:rsid w:val="00C228C3"/>
    <w:rPr>
      <w:color w:val="0000FF"/>
      <w:u w:val="single"/>
    </w:rPr>
  </w:style>
  <w:style w:type="paragraph" w:styleId="Textodeglobo">
    <w:name w:val="Balloon Text"/>
    <w:basedOn w:val="Normal"/>
    <w:link w:val="TextodegloboCar"/>
    <w:uiPriority w:val="99"/>
    <w:semiHidden/>
    <w:unhideWhenUsed/>
    <w:rsid w:val="00C228C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C228C3"/>
    <w:rPr>
      <w:rFonts w:ascii="Tahoma" w:hAnsi="Tahoma" w:cs="Tahoma"/>
      <w:sz w:val="16"/>
      <w:szCs w:val="16"/>
    </w:rPr>
  </w:style>
  <w:style w:type="paragraph" w:customStyle="1" w:styleId="Default">
    <w:name w:val="Default"/>
    <w:rsid w:val="00C228C3"/>
    <w:pPr>
      <w:autoSpaceDE w:val="0"/>
      <w:autoSpaceDN w:val="0"/>
      <w:adjustRightInd w:val="0"/>
    </w:pPr>
    <w:rPr>
      <w:rFonts w:ascii="Verdana" w:eastAsia="MS Mincho" w:hAnsi="Verdana" w:cs="Verdana"/>
      <w:color w:val="000000"/>
      <w:sz w:val="24"/>
      <w:szCs w:val="24"/>
      <w:lang w:val="es-CR" w:eastAsia="es-CR"/>
    </w:rPr>
  </w:style>
  <w:style w:type="table" w:styleId="Tablaconcuadrcula">
    <w:name w:val="Table Grid"/>
    <w:basedOn w:val="Tablanormal"/>
    <w:uiPriority w:val="59"/>
    <w:rsid w:val="00CD3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BF7A26"/>
    <w:rPr>
      <w:rFonts w:eastAsia="Calibri"/>
      <w:b/>
      <w:bCs/>
      <w:lang w:val="en-US" w:eastAsia="en-US"/>
    </w:rPr>
  </w:style>
  <w:style w:type="character" w:customStyle="1" w:styleId="AsuntodelcomentarioCar">
    <w:name w:val="Asunto del comentario Car"/>
    <w:link w:val="Asuntodelcomentario"/>
    <w:uiPriority w:val="99"/>
    <w:semiHidden/>
    <w:rsid w:val="00BF7A26"/>
    <w:rPr>
      <w:rFonts w:eastAsia="MS Mincho"/>
      <w:b/>
      <w:bCs/>
      <w:sz w:val="20"/>
      <w:szCs w:val="20"/>
      <w:lang w:val="es-CR" w:eastAsia="es-CR"/>
    </w:rPr>
  </w:style>
  <w:style w:type="paragraph" w:styleId="Encabezado">
    <w:name w:val="header"/>
    <w:basedOn w:val="Normal"/>
    <w:link w:val="EncabezadoCar"/>
    <w:uiPriority w:val="99"/>
    <w:unhideWhenUsed/>
    <w:rsid w:val="001018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1833"/>
  </w:style>
  <w:style w:type="paragraph" w:styleId="Piedepgina">
    <w:name w:val="footer"/>
    <w:basedOn w:val="Normal"/>
    <w:link w:val="PiedepginaCar"/>
    <w:uiPriority w:val="99"/>
    <w:unhideWhenUsed/>
    <w:rsid w:val="001018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1833"/>
  </w:style>
  <w:style w:type="paragraph" w:styleId="Revisin">
    <w:name w:val="Revision"/>
    <w:hidden/>
    <w:uiPriority w:val="99"/>
    <w:semiHidden/>
    <w:rsid w:val="007F4C29"/>
    <w:rPr>
      <w:sz w:val="22"/>
      <w:szCs w:val="22"/>
      <w:lang w:val="en-US" w:eastAsia="en-US"/>
    </w:rPr>
  </w:style>
  <w:style w:type="character" w:styleId="Nmerodelnea">
    <w:name w:val="line number"/>
    <w:basedOn w:val="Fuentedeprrafopredeter"/>
    <w:uiPriority w:val="99"/>
    <w:semiHidden/>
    <w:unhideWhenUsed/>
    <w:rsid w:val="001D606D"/>
  </w:style>
  <w:style w:type="paragraph" w:styleId="TDC1">
    <w:name w:val="toc 1"/>
    <w:basedOn w:val="Normal"/>
    <w:next w:val="Normal"/>
    <w:autoRedefine/>
    <w:uiPriority w:val="39"/>
    <w:unhideWhenUsed/>
    <w:rsid w:val="00E04077"/>
    <w:pPr>
      <w:numPr>
        <w:numId w:val="18"/>
      </w:numPr>
      <w:tabs>
        <w:tab w:val="left" w:pos="660"/>
        <w:tab w:val="right" w:leader="dot" w:pos="8505"/>
      </w:tabs>
      <w:spacing w:before="120" w:after="0"/>
      <w:ind w:right="713"/>
      <w:jc w:val="both"/>
    </w:pPr>
    <w:rPr>
      <w:b/>
      <w:bCs/>
      <w:i/>
      <w:iCs/>
      <w:sz w:val="24"/>
      <w:szCs w:val="24"/>
    </w:rPr>
  </w:style>
  <w:style w:type="paragraph" w:styleId="TDC2">
    <w:name w:val="toc 2"/>
    <w:basedOn w:val="Normal"/>
    <w:next w:val="Normal"/>
    <w:autoRedefine/>
    <w:uiPriority w:val="39"/>
    <w:unhideWhenUsed/>
    <w:rsid w:val="00C34BBE"/>
    <w:pPr>
      <w:spacing w:before="120" w:after="0"/>
      <w:ind w:left="220"/>
    </w:pPr>
    <w:rPr>
      <w:b/>
      <w:bCs/>
    </w:rPr>
  </w:style>
  <w:style w:type="paragraph" w:styleId="TDC3">
    <w:name w:val="toc 3"/>
    <w:basedOn w:val="Normal"/>
    <w:next w:val="Normal"/>
    <w:autoRedefine/>
    <w:uiPriority w:val="39"/>
    <w:unhideWhenUsed/>
    <w:rsid w:val="00C34BBE"/>
    <w:pPr>
      <w:spacing w:after="0"/>
      <w:ind w:left="440"/>
    </w:pPr>
    <w:rPr>
      <w:sz w:val="20"/>
      <w:szCs w:val="20"/>
    </w:rPr>
  </w:style>
  <w:style w:type="paragraph" w:styleId="TDC4">
    <w:name w:val="toc 4"/>
    <w:basedOn w:val="Normal"/>
    <w:next w:val="Normal"/>
    <w:autoRedefine/>
    <w:uiPriority w:val="39"/>
    <w:unhideWhenUsed/>
    <w:rsid w:val="00C34BBE"/>
    <w:pPr>
      <w:spacing w:after="0"/>
      <w:ind w:left="660"/>
    </w:pPr>
    <w:rPr>
      <w:sz w:val="20"/>
      <w:szCs w:val="20"/>
    </w:rPr>
  </w:style>
  <w:style w:type="paragraph" w:styleId="TDC5">
    <w:name w:val="toc 5"/>
    <w:basedOn w:val="Normal"/>
    <w:next w:val="Normal"/>
    <w:autoRedefine/>
    <w:uiPriority w:val="39"/>
    <w:unhideWhenUsed/>
    <w:rsid w:val="00C34BBE"/>
    <w:pPr>
      <w:spacing w:after="0"/>
      <w:ind w:left="880"/>
    </w:pPr>
    <w:rPr>
      <w:sz w:val="20"/>
      <w:szCs w:val="20"/>
    </w:rPr>
  </w:style>
  <w:style w:type="paragraph" w:styleId="TDC6">
    <w:name w:val="toc 6"/>
    <w:basedOn w:val="Normal"/>
    <w:next w:val="Normal"/>
    <w:autoRedefine/>
    <w:uiPriority w:val="39"/>
    <w:unhideWhenUsed/>
    <w:rsid w:val="00C34BBE"/>
    <w:pPr>
      <w:spacing w:after="0"/>
      <w:ind w:left="1100"/>
    </w:pPr>
    <w:rPr>
      <w:sz w:val="20"/>
      <w:szCs w:val="20"/>
    </w:rPr>
  </w:style>
  <w:style w:type="paragraph" w:styleId="TDC7">
    <w:name w:val="toc 7"/>
    <w:basedOn w:val="Normal"/>
    <w:next w:val="Normal"/>
    <w:autoRedefine/>
    <w:uiPriority w:val="39"/>
    <w:unhideWhenUsed/>
    <w:rsid w:val="00C34BBE"/>
    <w:pPr>
      <w:spacing w:after="0"/>
      <w:ind w:left="1320"/>
    </w:pPr>
    <w:rPr>
      <w:sz w:val="20"/>
      <w:szCs w:val="20"/>
    </w:rPr>
  </w:style>
  <w:style w:type="paragraph" w:styleId="TDC8">
    <w:name w:val="toc 8"/>
    <w:basedOn w:val="Normal"/>
    <w:next w:val="Normal"/>
    <w:autoRedefine/>
    <w:uiPriority w:val="39"/>
    <w:unhideWhenUsed/>
    <w:rsid w:val="00C34BBE"/>
    <w:pPr>
      <w:spacing w:after="0"/>
      <w:ind w:left="1540"/>
    </w:pPr>
    <w:rPr>
      <w:sz w:val="20"/>
      <w:szCs w:val="20"/>
    </w:rPr>
  </w:style>
  <w:style w:type="paragraph" w:styleId="TDC9">
    <w:name w:val="toc 9"/>
    <w:basedOn w:val="Normal"/>
    <w:next w:val="Normal"/>
    <w:autoRedefine/>
    <w:uiPriority w:val="39"/>
    <w:unhideWhenUsed/>
    <w:rsid w:val="00C34BBE"/>
    <w:pPr>
      <w:spacing w:after="0"/>
      <w:ind w:left="1760"/>
    </w:pPr>
    <w:rPr>
      <w:sz w:val="20"/>
      <w:szCs w:val="20"/>
    </w:rPr>
  </w:style>
  <w:style w:type="character" w:customStyle="1" w:styleId="Ttulo1Car">
    <w:name w:val="Título 1 Car"/>
    <w:link w:val="Ttulo1"/>
    <w:uiPriority w:val="9"/>
    <w:rsid w:val="00C34BBE"/>
    <w:rPr>
      <w:rFonts w:ascii="Cambria" w:eastAsia="MS Gothic" w:hAnsi="Cambria" w:cs="Times New Roman"/>
      <w:b/>
      <w:bCs/>
      <w:color w:val="365F91"/>
      <w:sz w:val="28"/>
      <w:szCs w:val="28"/>
    </w:rPr>
  </w:style>
  <w:style w:type="paragraph" w:styleId="TtulodeTDC">
    <w:name w:val="TOC Heading"/>
    <w:basedOn w:val="Ttulo1"/>
    <w:next w:val="Normal"/>
    <w:uiPriority w:val="39"/>
    <w:semiHidden/>
    <w:unhideWhenUsed/>
    <w:qFormat/>
    <w:rsid w:val="00C34BBE"/>
    <w:pPr>
      <w:outlineLvl w:val="9"/>
    </w:pPr>
    <w:rPr>
      <w:lang w:val="es-CR" w:eastAsia="es-CR"/>
    </w:rPr>
  </w:style>
  <w:style w:type="character" w:customStyle="1" w:styleId="apple-converted-space">
    <w:name w:val="apple-converted-space"/>
    <w:basedOn w:val="Fuentedeprrafopredeter"/>
    <w:rsid w:val="006E3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957">
      <w:bodyDiv w:val="1"/>
      <w:marLeft w:val="0"/>
      <w:marRight w:val="0"/>
      <w:marTop w:val="0"/>
      <w:marBottom w:val="0"/>
      <w:divBdr>
        <w:top w:val="none" w:sz="0" w:space="0" w:color="auto"/>
        <w:left w:val="none" w:sz="0" w:space="0" w:color="auto"/>
        <w:bottom w:val="none" w:sz="0" w:space="0" w:color="auto"/>
        <w:right w:val="none" w:sz="0" w:space="0" w:color="auto"/>
      </w:divBdr>
    </w:div>
    <w:div w:id="116532971">
      <w:bodyDiv w:val="1"/>
      <w:marLeft w:val="0"/>
      <w:marRight w:val="0"/>
      <w:marTop w:val="0"/>
      <w:marBottom w:val="0"/>
      <w:divBdr>
        <w:top w:val="none" w:sz="0" w:space="0" w:color="auto"/>
        <w:left w:val="none" w:sz="0" w:space="0" w:color="auto"/>
        <w:bottom w:val="none" w:sz="0" w:space="0" w:color="auto"/>
        <w:right w:val="none" w:sz="0" w:space="0" w:color="auto"/>
      </w:divBdr>
    </w:div>
    <w:div w:id="155995037">
      <w:bodyDiv w:val="1"/>
      <w:marLeft w:val="0"/>
      <w:marRight w:val="0"/>
      <w:marTop w:val="0"/>
      <w:marBottom w:val="0"/>
      <w:divBdr>
        <w:top w:val="none" w:sz="0" w:space="0" w:color="auto"/>
        <w:left w:val="none" w:sz="0" w:space="0" w:color="auto"/>
        <w:bottom w:val="none" w:sz="0" w:space="0" w:color="auto"/>
        <w:right w:val="none" w:sz="0" w:space="0" w:color="auto"/>
      </w:divBdr>
    </w:div>
    <w:div w:id="684013907">
      <w:bodyDiv w:val="1"/>
      <w:marLeft w:val="0"/>
      <w:marRight w:val="0"/>
      <w:marTop w:val="0"/>
      <w:marBottom w:val="0"/>
      <w:divBdr>
        <w:top w:val="none" w:sz="0" w:space="0" w:color="auto"/>
        <w:left w:val="none" w:sz="0" w:space="0" w:color="auto"/>
        <w:bottom w:val="none" w:sz="0" w:space="0" w:color="auto"/>
        <w:right w:val="none" w:sz="0" w:space="0" w:color="auto"/>
      </w:divBdr>
    </w:div>
    <w:div w:id="686637190">
      <w:bodyDiv w:val="1"/>
      <w:marLeft w:val="0"/>
      <w:marRight w:val="0"/>
      <w:marTop w:val="0"/>
      <w:marBottom w:val="0"/>
      <w:divBdr>
        <w:top w:val="none" w:sz="0" w:space="0" w:color="auto"/>
        <w:left w:val="none" w:sz="0" w:space="0" w:color="auto"/>
        <w:bottom w:val="none" w:sz="0" w:space="0" w:color="auto"/>
        <w:right w:val="none" w:sz="0" w:space="0" w:color="auto"/>
      </w:divBdr>
    </w:div>
    <w:div w:id="1263104704">
      <w:bodyDiv w:val="1"/>
      <w:marLeft w:val="0"/>
      <w:marRight w:val="0"/>
      <w:marTop w:val="0"/>
      <w:marBottom w:val="0"/>
      <w:divBdr>
        <w:top w:val="none" w:sz="0" w:space="0" w:color="auto"/>
        <w:left w:val="none" w:sz="0" w:space="0" w:color="auto"/>
        <w:bottom w:val="none" w:sz="0" w:space="0" w:color="auto"/>
        <w:right w:val="none" w:sz="0" w:space="0" w:color="auto"/>
      </w:divBdr>
    </w:div>
    <w:div w:id="1339886325">
      <w:bodyDiv w:val="1"/>
      <w:marLeft w:val="0"/>
      <w:marRight w:val="0"/>
      <w:marTop w:val="0"/>
      <w:marBottom w:val="0"/>
      <w:divBdr>
        <w:top w:val="none" w:sz="0" w:space="0" w:color="auto"/>
        <w:left w:val="none" w:sz="0" w:space="0" w:color="auto"/>
        <w:bottom w:val="none" w:sz="0" w:space="0" w:color="auto"/>
        <w:right w:val="none" w:sz="0" w:space="0" w:color="auto"/>
      </w:divBdr>
    </w:div>
    <w:div w:id="1350061882">
      <w:bodyDiv w:val="1"/>
      <w:marLeft w:val="0"/>
      <w:marRight w:val="0"/>
      <w:marTop w:val="0"/>
      <w:marBottom w:val="0"/>
      <w:divBdr>
        <w:top w:val="none" w:sz="0" w:space="0" w:color="auto"/>
        <w:left w:val="none" w:sz="0" w:space="0" w:color="auto"/>
        <w:bottom w:val="none" w:sz="0" w:space="0" w:color="auto"/>
        <w:right w:val="none" w:sz="0" w:space="0" w:color="auto"/>
      </w:divBdr>
    </w:div>
    <w:div w:id="157778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tibi_01_07_09.pdf" TargetMode="External"/><Relationship Id="rId2" Type="http://schemas.openxmlformats.org/officeDocument/2006/relationships/hyperlink" Target="http://www.corteidh.or.cr/docs/supervisiones/tibi_22_09_06.pdf" TargetMode="External"/><Relationship Id="rId1" Type="http://schemas.openxmlformats.org/officeDocument/2006/relationships/hyperlink" Target="http://www.corteidh.or.cr/docs/casos/articulos/seriec_114_esp.pdf" TargetMode="External"/><Relationship Id="rId4" Type="http://schemas.openxmlformats.org/officeDocument/2006/relationships/hyperlink" Target="http://www.corteidh.or.cr/docs/supervisiones/tibi_03_03_1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271AA-7874-497C-BFE7-2C83D3B57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6820</Words>
  <Characters>37513</Characters>
  <Application>Microsoft Office Word</Application>
  <DocSecurity>0</DocSecurity>
  <Lines>312</Lines>
  <Paragraphs>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44245</CharactersWithSpaces>
  <SharedDoc>false</SharedDoc>
  <HLinks>
    <vt:vector size="36" baseType="variant">
      <vt:variant>
        <vt:i4>1048637</vt:i4>
      </vt:variant>
      <vt:variant>
        <vt:i4>8</vt:i4>
      </vt:variant>
      <vt:variant>
        <vt:i4>0</vt:i4>
      </vt:variant>
      <vt:variant>
        <vt:i4>5</vt:i4>
      </vt:variant>
      <vt:variant>
        <vt:lpwstr/>
      </vt:variant>
      <vt:variant>
        <vt:lpwstr>_Toc469667603</vt:lpwstr>
      </vt:variant>
      <vt:variant>
        <vt:i4>1048637</vt:i4>
      </vt:variant>
      <vt:variant>
        <vt:i4>2</vt:i4>
      </vt:variant>
      <vt:variant>
        <vt:i4>0</vt:i4>
      </vt:variant>
      <vt:variant>
        <vt:i4>5</vt:i4>
      </vt:variant>
      <vt:variant>
        <vt:lpwstr/>
      </vt:variant>
      <vt:variant>
        <vt:lpwstr>_Toc469667602</vt:lpwstr>
      </vt:variant>
      <vt:variant>
        <vt:i4>6881350</vt:i4>
      </vt:variant>
      <vt:variant>
        <vt:i4>9</vt:i4>
      </vt:variant>
      <vt:variant>
        <vt:i4>0</vt:i4>
      </vt:variant>
      <vt:variant>
        <vt:i4>5</vt:i4>
      </vt:variant>
      <vt:variant>
        <vt:lpwstr>http://www.corteidh.or.cr/docs/supervisiones/tibi_03_03_11.pdf</vt:lpwstr>
      </vt:variant>
      <vt:variant>
        <vt:lpwstr/>
      </vt:variant>
      <vt:variant>
        <vt:i4>6488131</vt:i4>
      </vt:variant>
      <vt:variant>
        <vt:i4>6</vt:i4>
      </vt:variant>
      <vt:variant>
        <vt:i4>0</vt:i4>
      </vt:variant>
      <vt:variant>
        <vt:i4>5</vt:i4>
      </vt:variant>
      <vt:variant>
        <vt:lpwstr>http://www.corteidh.or.cr/docs/supervisiones/tibi_01_07_09.pdf</vt:lpwstr>
      </vt:variant>
      <vt:variant>
        <vt:lpwstr/>
      </vt:variant>
      <vt:variant>
        <vt:i4>7274575</vt:i4>
      </vt:variant>
      <vt:variant>
        <vt:i4>3</vt:i4>
      </vt:variant>
      <vt:variant>
        <vt:i4>0</vt:i4>
      </vt:variant>
      <vt:variant>
        <vt:i4>5</vt:i4>
      </vt:variant>
      <vt:variant>
        <vt:lpwstr>http://www.corteidh.or.cr/docs/supervisiones/tibi_22_09_06.pdf</vt:lpwstr>
      </vt:variant>
      <vt:variant>
        <vt:lpwstr/>
      </vt:variant>
      <vt:variant>
        <vt:i4>5308497</vt:i4>
      </vt:variant>
      <vt:variant>
        <vt:i4>0</vt:i4>
      </vt:variant>
      <vt:variant>
        <vt:i4>0</vt:i4>
      </vt:variant>
      <vt:variant>
        <vt:i4>5</vt:i4>
      </vt:variant>
      <vt:variant>
        <vt:lpwstr>http://www.corteidh.or.cr/docs/casos/articulos/seriec_114_esp.pdf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2017-03-03T21:01:00Z</cp:lastPrinted>
  <dcterms:created xsi:type="dcterms:W3CDTF">2017-03-03T21:00:00Z</dcterms:created>
  <dcterms:modified xsi:type="dcterms:W3CDTF">2017-03-03T21:01:00Z</dcterms:modified>
</cp:coreProperties>
</file>