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9AF" w:rsidRDefault="00BB79AF" w:rsidP="00581B46">
      <w:pPr>
        <w:autoSpaceDE w:val="0"/>
        <w:autoSpaceDN w:val="0"/>
        <w:adjustRightInd w:val="0"/>
        <w:spacing w:after="0" w:line="240" w:lineRule="auto"/>
        <w:jc w:val="center"/>
        <w:rPr>
          <w:rFonts w:ascii="Verdana" w:hAnsi="Verdana" w:cs="Verdana"/>
          <w:b/>
          <w:bCs/>
          <w:sz w:val="20"/>
          <w:szCs w:val="20"/>
          <w:lang w:val="es-ES"/>
        </w:rPr>
      </w:pPr>
      <w:bookmarkStart w:id="0" w:name="_GoBack"/>
      <w:bookmarkEnd w:id="0"/>
    </w:p>
    <w:p w:rsidR="00BB79AF" w:rsidRDefault="00BB79AF" w:rsidP="00581B46">
      <w:pPr>
        <w:autoSpaceDE w:val="0"/>
        <w:autoSpaceDN w:val="0"/>
        <w:adjustRightInd w:val="0"/>
        <w:spacing w:after="0" w:line="240" w:lineRule="auto"/>
        <w:jc w:val="center"/>
        <w:rPr>
          <w:rFonts w:ascii="Verdana" w:hAnsi="Verdana" w:cs="Verdana"/>
          <w:b/>
          <w:bCs/>
          <w:sz w:val="20"/>
          <w:szCs w:val="20"/>
          <w:lang w:val="es-ES"/>
        </w:rPr>
      </w:pPr>
    </w:p>
    <w:p w:rsidR="00581B46" w:rsidRPr="0070116B" w:rsidRDefault="00581B46" w:rsidP="00581B46">
      <w:pPr>
        <w:autoSpaceDE w:val="0"/>
        <w:autoSpaceDN w:val="0"/>
        <w:adjustRightInd w:val="0"/>
        <w:spacing w:after="0" w:line="240" w:lineRule="auto"/>
        <w:jc w:val="center"/>
        <w:rPr>
          <w:rFonts w:ascii="Verdana" w:hAnsi="Verdana" w:cs="Verdana"/>
          <w:b/>
          <w:bCs/>
          <w:sz w:val="20"/>
          <w:szCs w:val="20"/>
          <w:lang w:val="es-ES"/>
        </w:rPr>
      </w:pPr>
      <w:r w:rsidRPr="0070116B">
        <w:rPr>
          <w:rFonts w:ascii="Verdana" w:hAnsi="Verdana" w:cs="Verdana"/>
          <w:b/>
          <w:bCs/>
          <w:sz w:val="20"/>
          <w:szCs w:val="20"/>
          <w:lang w:val="es-ES"/>
        </w:rPr>
        <w:t>RESOLUCIÓN DE LA</w:t>
      </w:r>
    </w:p>
    <w:p w:rsidR="00581B46" w:rsidRPr="0070116B" w:rsidRDefault="00581B46" w:rsidP="00581B46">
      <w:pPr>
        <w:autoSpaceDE w:val="0"/>
        <w:autoSpaceDN w:val="0"/>
        <w:adjustRightInd w:val="0"/>
        <w:spacing w:after="0" w:line="240" w:lineRule="auto"/>
        <w:jc w:val="center"/>
        <w:rPr>
          <w:rFonts w:ascii="Verdana" w:hAnsi="Verdana" w:cs="Verdana"/>
          <w:b/>
          <w:bCs/>
          <w:sz w:val="20"/>
          <w:szCs w:val="20"/>
          <w:lang w:val="es-ES"/>
        </w:rPr>
      </w:pPr>
      <w:r w:rsidRPr="0070116B">
        <w:rPr>
          <w:rFonts w:ascii="Verdana" w:hAnsi="Verdana" w:cs="Verdana"/>
          <w:b/>
          <w:bCs/>
          <w:sz w:val="20"/>
          <w:szCs w:val="20"/>
          <w:lang w:val="es-ES"/>
        </w:rPr>
        <w:t>CORTE INTERAMERICANA DE DERECHOS HUMANOS</w:t>
      </w:r>
    </w:p>
    <w:p w:rsidR="00581B46" w:rsidRPr="0070116B" w:rsidRDefault="00581B46" w:rsidP="00581B46">
      <w:pPr>
        <w:autoSpaceDE w:val="0"/>
        <w:autoSpaceDN w:val="0"/>
        <w:adjustRightInd w:val="0"/>
        <w:spacing w:after="0" w:line="240" w:lineRule="auto"/>
        <w:jc w:val="center"/>
        <w:rPr>
          <w:rFonts w:ascii="Verdana" w:hAnsi="Verdana" w:cs="Verdana"/>
          <w:b/>
          <w:bCs/>
          <w:sz w:val="20"/>
          <w:szCs w:val="20"/>
          <w:lang w:val="es-ES"/>
        </w:rPr>
      </w:pPr>
    </w:p>
    <w:p w:rsidR="00581B46" w:rsidRPr="00B722A4" w:rsidRDefault="00244408" w:rsidP="00581B46">
      <w:pPr>
        <w:spacing w:after="0"/>
        <w:jc w:val="center"/>
        <w:rPr>
          <w:rFonts w:ascii="Verdana" w:eastAsia="Calibri" w:hAnsi="Verdana"/>
          <w:b/>
          <w:smallCaps/>
          <w:sz w:val="20"/>
          <w:szCs w:val="20"/>
          <w:lang w:val="es-ES"/>
        </w:rPr>
      </w:pPr>
      <w:r>
        <w:rPr>
          <w:rFonts w:ascii="Verdana" w:eastAsia="Calibri" w:hAnsi="Verdana"/>
          <w:b/>
          <w:smallCaps/>
          <w:sz w:val="20"/>
          <w:szCs w:val="20"/>
          <w:lang w:val="es-ES"/>
        </w:rPr>
        <w:t>DE 22</w:t>
      </w:r>
      <w:r w:rsidR="00581B46" w:rsidRPr="00B722A4">
        <w:rPr>
          <w:rFonts w:ascii="Verdana" w:eastAsia="Calibri" w:hAnsi="Verdana"/>
          <w:b/>
          <w:smallCaps/>
          <w:sz w:val="20"/>
          <w:szCs w:val="20"/>
          <w:lang w:val="es-ES"/>
        </w:rPr>
        <w:t xml:space="preserve"> DE </w:t>
      </w:r>
      <w:r w:rsidR="00D34012">
        <w:rPr>
          <w:rFonts w:ascii="Verdana" w:eastAsia="Calibri" w:hAnsi="Verdana"/>
          <w:b/>
          <w:smallCaps/>
          <w:sz w:val="20"/>
          <w:szCs w:val="20"/>
          <w:lang w:val="es-ES"/>
        </w:rPr>
        <w:t xml:space="preserve">NOVIEMBRE </w:t>
      </w:r>
      <w:r w:rsidR="00581B46" w:rsidRPr="00B722A4">
        <w:rPr>
          <w:rFonts w:ascii="Verdana" w:eastAsia="Calibri" w:hAnsi="Verdana"/>
          <w:b/>
          <w:smallCaps/>
          <w:sz w:val="20"/>
          <w:szCs w:val="20"/>
          <w:lang w:val="es-ES"/>
        </w:rPr>
        <w:t>DE 2016</w:t>
      </w:r>
    </w:p>
    <w:p w:rsidR="00581B46" w:rsidRDefault="00581B46" w:rsidP="00581B46">
      <w:pPr>
        <w:autoSpaceDE w:val="0"/>
        <w:autoSpaceDN w:val="0"/>
        <w:adjustRightInd w:val="0"/>
        <w:spacing w:after="0" w:line="240" w:lineRule="auto"/>
        <w:jc w:val="center"/>
        <w:rPr>
          <w:rFonts w:ascii="Verdana" w:hAnsi="Verdana" w:cs="Verdana"/>
          <w:b/>
          <w:bCs/>
          <w:sz w:val="20"/>
          <w:szCs w:val="20"/>
          <w:lang w:val="es-ES"/>
        </w:rPr>
      </w:pPr>
    </w:p>
    <w:p w:rsidR="00684D64" w:rsidRPr="00B722A4" w:rsidRDefault="00684D64" w:rsidP="00581B46">
      <w:pPr>
        <w:autoSpaceDE w:val="0"/>
        <w:autoSpaceDN w:val="0"/>
        <w:adjustRightInd w:val="0"/>
        <w:spacing w:after="0" w:line="240" w:lineRule="auto"/>
        <w:jc w:val="center"/>
        <w:rPr>
          <w:rFonts w:ascii="Verdana" w:hAnsi="Verdana" w:cs="Verdana"/>
          <w:b/>
          <w:bCs/>
          <w:sz w:val="20"/>
          <w:szCs w:val="20"/>
          <w:lang w:val="es-ES"/>
        </w:rPr>
      </w:pPr>
    </w:p>
    <w:p w:rsidR="00581B46" w:rsidRPr="00B06A40" w:rsidRDefault="00156087" w:rsidP="00581B46">
      <w:pPr>
        <w:autoSpaceDE w:val="0"/>
        <w:autoSpaceDN w:val="0"/>
        <w:adjustRightInd w:val="0"/>
        <w:spacing w:after="0" w:line="240" w:lineRule="auto"/>
        <w:jc w:val="center"/>
        <w:rPr>
          <w:rFonts w:ascii="Verdana" w:hAnsi="Verdana" w:cs="Verdana"/>
          <w:b/>
          <w:bCs/>
          <w:i/>
          <w:sz w:val="20"/>
          <w:szCs w:val="20"/>
          <w:lang w:val="es-ES"/>
        </w:rPr>
      </w:pPr>
      <w:r>
        <w:rPr>
          <w:rFonts w:ascii="Verdana" w:hAnsi="Verdana" w:cs="Verdana"/>
          <w:b/>
          <w:bCs/>
          <w:i/>
          <w:sz w:val="20"/>
          <w:szCs w:val="20"/>
          <w:lang w:val="es-ES"/>
        </w:rPr>
        <w:t xml:space="preserve">CASO GARCÍA Y FAMILIARES </w:t>
      </w:r>
      <w:r w:rsidR="00581B46">
        <w:rPr>
          <w:rFonts w:ascii="Verdana" w:hAnsi="Verdana" w:cs="Verdana"/>
          <w:b/>
          <w:bCs/>
          <w:i/>
          <w:sz w:val="20"/>
          <w:szCs w:val="20"/>
          <w:lang w:val="es-ES"/>
        </w:rPr>
        <w:t xml:space="preserve">VS. GUATEMALA </w:t>
      </w:r>
    </w:p>
    <w:p w:rsidR="00581B46" w:rsidRDefault="00581B46" w:rsidP="00581B46">
      <w:pPr>
        <w:spacing w:after="0"/>
        <w:jc w:val="center"/>
        <w:rPr>
          <w:rFonts w:ascii="Verdana" w:hAnsi="Verdana" w:cs="Verdana"/>
          <w:b/>
          <w:bCs/>
          <w:sz w:val="20"/>
          <w:szCs w:val="20"/>
          <w:lang w:val="es-ES"/>
        </w:rPr>
      </w:pPr>
    </w:p>
    <w:p w:rsidR="00581B46" w:rsidRPr="00B722A4" w:rsidRDefault="00581B46" w:rsidP="00581B46">
      <w:pPr>
        <w:jc w:val="center"/>
        <w:rPr>
          <w:rFonts w:ascii="Verdana" w:hAnsi="Verdana" w:cs="Verdana"/>
          <w:b/>
          <w:bCs/>
          <w:sz w:val="20"/>
          <w:szCs w:val="20"/>
          <w:lang w:val="es-ES"/>
        </w:rPr>
      </w:pPr>
      <w:r w:rsidRPr="00B722A4">
        <w:rPr>
          <w:rFonts w:ascii="Verdana" w:hAnsi="Verdana" w:cs="Verdana"/>
          <w:b/>
          <w:bCs/>
          <w:sz w:val="20"/>
          <w:szCs w:val="20"/>
          <w:lang w:val="es-ES"/>
        </w:rPr>
        <w:t>SUPERVISIÓN DE CUMPLIMIENTO DE SENTENCIA</w:t>
      </w:r>
    </w:p>
    <w:p w:rsidR="00581B46" w:rsidRPr="006213A2" w:rsidRDefault="00581B46" w:rsidP="00581B46">
      <w:pPr>
        <w:autoSpaceDE w:val="0"/>
        <w:autoSpaceDN w:val="0"/>
        <w:adjustRightInd w:val="0"/>
        <w:spacing w:before="120" w:after="120" w:line="240" w:lineRule="auto"/>
        <w:rPr>
          <w:rFonts w:ascii="Verdana" w:hAnsi="Verdana" w:cs="Verdana"/>
          <w:b/>
          <w:bCs/>
          <w:sz w:val="20"/>
          <w:szCs w:val="20"/>
          <w:lang w:val="es-ES"/>
        </w:rPr>
      </w:pPr>
      <w:r w:rsidRPr="006213A2">
        <w:rPr>
          <w:rFonts w:ascii="Verdana" w:hAnsi="Verdana" w:cs="Verdana"/>
          <w:b/>
          <w:bCs/>
          <w:sz w:val="20"/>
          <w:szCs w:val="20"/>
          <w:lang w:val="es-ES"/>
        </w:rPr>
        <w:t xml:space="preserve">VISTO: </w:t>
      </w:r>
    </w:p>
    <w:p w:rsidR="00296770" w:rsidRPr="00FB2A00" w:rsidRDefault="00296770" w:rsidP="00296770">
      <w:pPr>
        <w:pStyle w:val="Default"/>
        <w:numPr>
          <w:ilvl w:val="0"/>
          <w:numId w:val="4"/>
        </w:numPr>
        <w:ind w:left="0" w:firstLine="0"/>
        <w:jc w:val="both"/>
        <w:rPr>
          <w:sz w:val="20"/>
          <w:szCs w:val="20"/>
          <w:lang w:val="es-MX"/>
        </w:rPr>
      </w:pPr>
      <w:bookmarkStart w:id="1" w:name="_Ref467850292"/>
      <w:r w:rsidRPr="00A20187">
        <w:rPr>
          <w:sz w:val="20"/>
          <w:lang w:val="es-ES"/>
        </w:rPr>
        <w:t>La</w:t>
      </w:r>
      <w:r w:rsidRPr="00383DE7">
        <w:rPr>
          <w:i/>
          <w:sz w:val="20"/>
          <w:lang w:val="es-ES"/>
        </w:rPr>
        <w:t xml:space="preserve"> </w:t>
      </w:r>
      <w:r w:rsidRPr="00F42A4A">
        <w:rPr>
          <w:sz w:val="20"/>
          <w:lang w:val="es-ES"/>
        </w:rPr>
        <w:t>Sentencia de fondo, reparaciones y costas (en adelante “la Sentencia”) dictada</w:t>
      </w:r>
      <w:r w:rsidRPr="00383DE7">
        <w:rPr>
          <w:sz w:val="20"/>
          <w:lang w:val="es-ES"/>
        </w:rPr>
        <w:t xml:space="preserve"> por la Corte Interamericana de Derechos Humanos (en adelante “la Corte”, “la Corte Interamericana” o “el T</w:t>
      </w:r>
      <w:r>
        <w:rPr>
          <w:sz w:val="20"/>
          <w:lang w:val="es-ES"/>
        </w:rPr>
        <w:t>ribunal”) el 29</w:t>
      </w:r>
      <w:r w:rsidRPr="00383DE7">
        <w:rPr>
          <w:sz w:val="20"/>
          <w:lang w:val="es-ES"/>
        </w:rPr>
        <w:t xml:space="preserve"> de </w:t>
      </w:r>
      <w:r>
        <w:rPr>
          <w:sz w:val="20"/>
          <w:lang w:val="es-ES"/>
        </w:rPr>
        <w:t>noviembre de 2012</w:t>
      </w:r>
      <w:r w:rsidRPr="00383DE7">
        <w:rPr>
          <w:rStyle w:val="Refdenotaalpie"/>
          <w:sz w:val="20"/>
          <w:lang w:val="es-ES"/>
        </w:rPr>
        <w:footnoteReference w:id="1"/>
      </w:r>
      <w:r w:rsidRPr="00383DE7">
        <w:rPr>
          <w:sz w:val="20"/>
          <w:lang w:val="es-ES"/>
        </w:rPr>
        <w:t xml:space="preserve">. </w:t>
      </w:r>
      <w:r w:rsidR="00A70D62">
        <w:rPr>
          <w:sz w:val="20"/>
          <w:lang w:val="es-ES"/>
        </w:rPr>
        <w:t xml:space="preserve">En dicho fallo la Corte tomó en cuenta el </w:t>
      </w:r>
      <w:r w:rsidR="00A70D62">
        <w:rPr>
          <w:rFonts w:cs="Arial"/>
          <w:sz w:val="20"/>
          <w:lang w:val="es-MX"/>
        </w:rPr>
        <w:t xml:space="preserve">reconocimiento </w:t>
      </w:r>
      <w:r w:rsidR="00A70D62" w:rsidRPr="00FB2A00">
        <w:rPr>
          <w:rFonts w:cs="Arial"/>
          <w:sz w:val="20"/>
          <w:lang w:val="es-MX"/>
        </w:rPr>
        <w:t>de responsabilidad</w:t>
      </w:r>
      <w:r w:rsidR="00796AE4">
        <w:rPr>
          <w:rFonts w:cs="Arial"/>
          <w:sz w:val="20"/>
          <w:lang w:val="es-MX"/>
        </w:rPr>
        <w:t xml:space="preserve"> parcial</w:t>
      </w:r>
      <w:r w:rsidR="00A70D62" w:rsidRPr="00FB2A00">
        <w:rPr>
          <w:rFonts w:cs="Arial"/>
          <w:sz w:val="20"/>
          <w:lang w:val="es-MX"/>
        </w:rPr>
        <w:t xml:space="preserve"> efectuado por la República de</w:t>
      </w:r>
      <w:r w:rsidR="00A70D62">
        <w:rPr>
          <w:rFonts w:cs="Arial"/>
          <w:sz w:val="20"/>
          <w:lang w:val="es-MX"/>
        </w:rPr>
        <w:t xml:space="preserve"> Guatemala</w:t>
      </w:r>
      <w:r w:rsidR="00A70D62" w:rsidRPr="00FB2A00">
        <w:rPr>
          <w:rFonts w:cs="Arial"/>
          <w:sz w:val="20"/>
          <w:lang w:val="es-MX"/>
        </w:rPr>
        <w:t xml:space="preserve"> (en adelante “el Estado” o “</w:t>
      </w:r>
      <w:r w:rsidR="00A70D62">
        <w:rPr>
          <w:rFonts w:cs="Arial"/>
          <w:sz w:val="20"/>
          <w:lang w:val="es-MX"/>
        </w:rPr>
        <w:t>Guatemala</w:t>
      </w:r>
      <w:r w:rsidR="00B83E15">
        <w:rPr>
          <w:rFonts w:cs="Arial"/>
          <w:sz w:val="20"/>
          <w:lang w:val="es-MX"/>
        </w:rPr>
        <w:t xml:space="preserve">”) y declaró su responsabilidad internacional </w:t>
      </w:r>
      <w:r w:rsidR="00E91915">
        <w:rPr>
          <w:rFonts w:cs="Arial"/>
          <w:sz w:val="20"/>
          <w:lang w:val="es-MX"/>
        </w:rPr>
        <w:t xml:space="preserve">por </w:t>
      </w:r>
      <w:r w:rsidRPr="00955F7E">
        <w:rPr>
          <w:sz w:val="20"/>
          <w:szCs w:val="20"/>
          <w:lang w:val="es-MX"/>
        </w:rPr>
        <w:t xml:space="preserve">la desaparición forzada de Edgar Fernando García, ocurrida a partir del 18 de febrero de 1984, sin que hasta la fecha </w:t>
      </w:r>
      <w:r w:rsidR="00F23EA2">
        <w:rPr>
          <w:sz w:val="20"/>
          <w:szCs w:val="20"/>
          <w:lang w:val="es-MX"/>
        </w:rPr>
        <w:t xml:space="preserve">de la Sentencia </w:t>
      </w:r>
      <w:r w:rsidRPr="00955F7E">
        <w:rPr>
          <w:sz w:val="20"/>
          <w:szCs w:val="20"/>
          <w:lang w:val="es-MX"/>
        </w:rPr>
        <w:t xml:space="preserve">se </w:t>
      </w:r>
      <w:r w:rsidR="00F23EA2">
        <w:rPr>
          <w:sz w:val="20"/>
          <w:szCs w:val="20"/>
          <w:lang w:val="es-MX"/>
        </w:rPr>
        <w:t xml:space="preserve">conociera </w:t>
      </w:r>
      <w:r w:rsidRPr="00955F7E">
        <w:rPr>
          <w:sz w:val="20"/>
          <w:szCs w:val="20"/>
          <w:lang w:val="es-MX"/>
        </w:rPr>
        <w:t>su paradero</w:t>
      </w:r>
      <w:r w:rsidR="00E91915">
        <w:rPr>
          <w:sz w:val="20"/>
          <w:szCs w:val="20"/>
          <w:lang w:val="es-MX"/>
        </w:rPr>
        <w:t>, así como por la falta de investigación de la misma</w:t>
      </w:r>
      <w:r w:rsidRPr="00955F7E">
        <w:rPr>
          <w:sz w:val="20"/>
          <w:szCs w:val="20"/>
          <w:lang w:val="es-MX"/>
        </w:rPr>
        <w:t>. La captura del señor García se encuentra registrada en un documento confidencial de inteligencia estatal guatemalteca conocido como el “Diario Militar”, así como en distintos documentos encontrados en el Archivo His</w:t>
      </w:r>
      <w:r>
        <w:rPr>
          <w:sz w:val="20"/>
          <w:szCs w:val="20"/>
          <w:lang w:val="es-MX"/>
        </w:rPr>
        <w:t xml:space="preserve">tórico de la Policía Nacional. </w:t>
      </w:r>
      <w:r w:rsidR="003C43FE">
        <w:rPr>
          <w:rFonts w:cs="Arial"/>
          <w:sz w:val="20"/>
          <w:lang w:val="es-MX"/>
        </w:rPr>
        <w:t xml:space="preserve">Asimismo, el Tribunal determinó </w:t>
      </w:r>
      <w:r>
        <w:rPr>
          <w:rFonts w:cs="Arial"/>
          <w:sz w:val="20"/>
          <w:lang w:val="es-MX"/>
        </w:rPr>
        <w:t xml:space="preserve">que </w:t>
      </w:r>
      <w:r w:rsidR="003C43FE">
        <w:rPr>
          <w:rFonts w:cs="Arial"/>
          <w:sz w:val="20"/>
          <w:lang w:val="es-MX"/>
        </w:rPr>
        <w:t xml:space="preserve">Guatemala </w:t>
      </w:r>
      <w:r>
        <w:rPr>
          <w:rFonts w:cs="Arial"/>
          <w:sz w:val="20"/>
          <w:lang w:val="es-MX"/>
        </w:rPr>
        <w:t xml:space="preserve">violó </w:t>
      </w:r>
      <w:r w:rsidR="003C43FE">
        <w:rPr>
          <w:rFonts w:cs="Arial"/>
          <w:sz w:val="20"/>
          <w:lang w:val="es-MX"/>
        </w:rPr>
        <w:t>el</w:t>
      </w:r>
      <w:r>
        <w:rPr>
          <w:rFonts w:cs="Arial"/>
          <w:sz w:val="20"/>
          <w:lang w:val="es-MX"/>
        </w:rPr>
        <w:t xml:space="preserve"> derecho </w:t>
      </w:r>
      <w:r w:rsidR="003C43FE">
        <w:rPr>
          <w:rFonts w:cs="Arial"/>
          <w:sz w:val="20"/>
          <w:lang w:val="es-MX"/>
        </w:rPr>
        <w:t xml:space="preserve">del señor García </w:t>
      </w:r>
      <w:r>
        <w:rPr>
          <w:rFonts w:cs="Arial"/>
          <w:sz w:val="20"/>
          <w:lang w:val="es-MX"/>
        </w:rPr>
        <w:t xml:space="preserve">a asociarse libremente en virtud de que su desaparición </w:t>
      </w:r>
      <w:r w:rsidR="00C80EB6">
        <w:rPr>
          <w:rFonts w:cs="Arial"/>
          <w:sz w:val="20"/>
          <w:lang w:val="es-MX"/>
        </w:rPr>
        <w:t>“</w:t>
      </w:r>
      <w:r>
        <w:rPr>
          <w:rFonts w:cs="Arial"/>
          <w:sz w:val="20"/>
          <w:lang w:val="es-MX"/>
        </w:rPr>
        <w:t xml:space="preserve">estuvo motivada en su participación en asociaciones sindicales y estudiantiles calificadas como </w:t>
      </w:r>
      <w:r w:rsidR="00ED1AC7">
        <w:rPr>
          <w:rFonts w:cs="Arial"/>
          <w:sz w:val="20"/>
          <w:lang w:val="es-MX"/>
        </w:rPr>
        <w:t>‘</w:t>
      </w:r>
      <w:r>
        <w:rPr>
          <w:rFonts w:cs="Arial"/>
          <w:sz w:val="20"/>
          <w:lang w:val="es-MX"/>
        </w:rPr>
        <w:t>opositoras y/o insurgentes</w:t>
      </w:r>
      <w:r w:rsidR="00ED1AC7">
        <w:rPr>
          <w:rFonts w:cs="Arial"/>
          <w:sz w:val="20"/>
          <w:lang w:val="es-MX"/>
        </w:rPr>
        <w:t>’</w:t>
      </w:r>
      <w:r>
        <w:rPr>
          <w:rFonts w:cs="Arial"/>
          <w:sz w:val="20"/>
          <w:lang w:val="es-MX"/>
        </w:rPr>
        <w:t xml:space="preserve"> en el contexto del conflicto armado interno en Guatemala</w:t>
      </w:r>
      <w:r w:rsidR="00C80EB6">
        <w:rPr>
          <w:rFonts w:cs="Arial"/>
          <w:sz w:val="20"/>
          <w:lang w:val="es-MX"/>
        </w:rPr>
        <w:t>”</w:t>
      </w:r>
      <w:r>
        <w:rPr>
          <w:rFonts w:cs="Arial"/>
          <w:sz w:val="20"/>
          <w:lang w:val="es-MX"/>
        </w:rPr>
        <w:t>. A</w:t>
      </w:r>
      <w:r w:rsidR="00CF7459">
        <w:rPr>
          <w:rFonts w:cs="Arial"/>
          <w:sz w:val="20"/>
          <w:lang w:val="es-MX"/>
        </w:rPr>
        <w:t>demás</w:t>
      </w:r>
      <w:r>
        <w:rPr>
          <w:rFonts w:cs="Arial"/>
          <w:sz w:val="20"/>
          <w:lang w:val="es-MX"/>
        </w:rPr>
        <w:t>, declaró al Estado responsable por</w:t>
      </w:r>
      <w:r w:rsidRPr="00FB2A00">
        <w:rPr>
          <w:rFonts w:cs="Arial"/>
          <w:sz w:val="20"/>
          <w:lang w:val="es-MX"/>
        </w:rPr>
        <w:t xml:space="preserve"> la violación de los derechos a las garantías judiciales</w:t>
      </w:r>
      <w:r>
        <w:rPr>
          <w:rFonts w:cs="Arial"/>
          <w:sz w:val="20"/>
          <w:lang w:val="es-MX"/>
        </w:rPr>
        <w:t xml:space="preserve"> y protección judicial en perjuicio de Nineth Varenca Montenegro Cottom, Alejandra García Montenegro y María Emilia García</w:t>
      </w:r>
      <w:r w:rsidR="000B1F67">
        <w:rPr>
          <w:rStyle w:val="Refdenotaalpie"/>
          <w:rFonts w:cs="Arial"/>
          <w:sz w:val="20"/>
          <w:lang w:val="es-MX"/>
        </w:rPr>
        <w:footnoteReference w:id="2"/>
      </w:r>
      <w:r>
        <w:rPr>
          <w:rFonts w:cs="Arial"/>
          <w:sz w:val="20"/>
          <w:lang w:val="es-MX"/>
        </w:rPr>
        <w:t>; por la ausencia de una investigación efectiva de los hechos, juzgamiento y sanción de todos los responsables del presente caso.</w:t>
      </w:r>
      <w:r w:rsidRPr="00FB2A00">
        <w:rPr>
          <w:rFonts w:cs="Arial"/>
          <w:sz w:val="20"/>
          <w:lang w:val="es-MX"/>
        </w:rPr>
        <w:t xml:space="preserve"> </w:t>
      </w:r>
      <w:r>
        <w:rPr>
          <w:rFonts w:cs="Arial"/>
          <w:sz w:val="20"/>
          <w:lang w:val="es-MX"/>
        </w:rPr>
        <w:t>Adicionalmente, e</w:t>
      </w:r>
      <w:r w:rsidRPr="006B1541">
        <w:rPr>
          <w:rFonts w:cs="Arial"/>
          <w:sz w:val="20"/>
          <w:lang w:val="es-MX"/>
        </w:rPr>
        <w:t>l Tribunal determinó que Guatemala</w:t>
      </w:r>
      <w:r>
        <w:rPr>
          <w:rFonts w:cs="Arial"/>
          <w:sz w:val="20"/>
          <w:lang w:val="es-MX"/>
        </w:rPr>
        <w:t xml:space="preserve"> era responsable por la violación al derecho a la integridad personal en perjuicio de las familiares de la víctima debido </w:t>
      </w:r>
      <w:r w:rsidR="002E129B">
        <w:rPr>
          <w:rFonts w:cs="Arial"/>
          <w:sz w:val="20"/>
          <w:lang w:val="es-MX"/>
        </w:rPr>
        <w:t xml:space="preserve">a </w:t>
      </w:r>
      <w:r>
        <w:rPr>
          <w:rFonts w:cs="Arial"/>
          <w:sz w:val="20"/>
          <w:lang w:val="es-MX"/>
        </w:rPr>
        <w:t>las consecuencias que sufrieron con motivo de la desaparición forzada del señor García. Por último, el Tribunal declaró que Guatemala violó el derecho a la libertad de asociación en perjuicio de Nineth Varenca Montenegro Cottom y María Emilia García, miembros y fundadoras del</w:t>
      </w:r>
      <w:r w:rsidR="00601D4F">
        <w:rPr>
          <w:rFonts w:cs="Arial"/>
          <w:sz w:val="20"/>
          <w:lang w:val="es-MX"/>
        </w:rPr>
        <w:t xml:space="preserve"> </w:t>
      </w:r>
      <w:r w:rsidR="00601D4F" w:rsidRPr="00601D4F">
        <w:rPr>
          <w:sz w:val="20"/>
          <w:szCs w:val="20"/>
          <w:lang w:val="es-MX"/>
        </w:rPr>
        <w:t>Grupo de Apoyo Mutuo</w:t>
      </w:r>
      <w:r>
        <w:rPr>
          <w:rFonts w:cs="Arial"/>
          <w:sz w:val="20"/>
          <w:lang w:val="es-MX"/>
        </w:rPr>
        <w:t xml:space="preserve"> </w:t>
      </w:r>
      <w:r w:rsidR="00601D4F">
        <w:rPr>
          <w:rFonts w:cs="Arial"/>
          <w:sz w:val="20"/>
          <w:lang w:val="es-MX"/>
        </w:rPr>
        <w:t>(“</w:t>
      </w:r>
      <w:r>
        <w:rPr>
          <w:rFonts w:cs="Arial"/>
          <w:sz w:val="20"/>
          <w:lang w:val="es-MX"/>
        </w:rPr>
        <w:t>GAM</w:t>
      </w:r>
      <w:r w:rsidR="00601D4F">
        <w:rPr>
          <w:rFonts w:cs="Arial"/>
          <w:sz w:val="20"/>
          <w:lang w:val="es-MX"/>
        </w:rPr>
        <w:t>”)</w:t>
      </w:r>
      <w:r>
        <w:rPr>
          <w:rFonts w:cs="Arial"/>
          <w:sz w:val="20"/>
          <w:lang w:val="es-MX"/>
        </w:rPr>
        <w:t xml:space="preserve">, al no </w:t>
      </w:r>
      <w:r w:rsidR="00601D4F">
        <w:rPr>
          <w:rFonts w:cs="Arial"/>
          <w:sz w:val="20"/>
          <w:lang w:val="es-MX"/>
        </w:rPr>
        <w:t xml:space="preserve">haber </w:t>
      </w:r>
      <w:r>
        <w:rPr>
          <w:rFonts w:cs="Arial"/>
          <w:sz w:val="20"/>
          <w:lang w:val="es-MX"/>
        </w:rPr>
        <w:t>cre</w:t>
      </w:r>
      <w:r w:rsidR="00601D4F">
        <w:rPr>
          <w:rFonts w:cs="Arial"/>
          <w:sz w:val="20"/>
          <w:lang w:val="es-MX"/>
        </w:rPr>
        <w:t>ado</w:t>
      </w:r>
      <w:r>
        <w:rPr>
          <w:rFonts w:cs="Arial"/>
          <w:sz w:val="20"/>
          <w:lang w:val="es-MX"/>
        </w:rPr>
        <w:t xml:space="preserve"> las condiciones necesarias para que los defensores de derechos humanos pudieran realizar sus actividades libremente.</w:t>
      </w:r>
      <w:r w:rsidRPr="006B1541">
        <w:rPr>
          <w:rFonts w:cs="Arial"/>
          <w:sz w:val="20"/>
          <w:lang w:val="es-MX"/>
        </w:rPr>
        <w:t xml:space="preserve"> </w:t>
      </w:r>
      <w:r w:rsidRPr="00F54BE0">
        <w:rPr>
          <w:sz w:val="20"/>
          <w:lang w:val="es-ES"/>
        </w:rPr>
        <w:t xml:space="preserve">La Corte estableció que su Sentencia constituye </w:t>
      </w:r>
      <w:r w:rsidR="007009B3">
        <w:rPr>
          <w:sz w:val="20"/>
          <w:lang w:val="es-ES"/>
        </w:rPr>
        <w:t>por sí misma</w:t>
      </w:r>
      <w:r w:rsidRPr="00F54BE0">
        <w:rPr>
          <w:sz w:val="20"/>
          <w:lang w:val="es-ES"/>
        </w:rPr>
        <w:t xml:space="preserve"> una forma de reparación y, adicionalmente, ordenó al Estado determinadas medidas de reparación (</w:t>
      </w:r>
      <w:r w:rsidRPr="00F54BE0">
        <w:rPr>
          <w:i/>
          <w:sz w:val="20"/>
          <w:lang w:val="es-ES"/>
        </w:rPr>
        <w:t>infra</w:t>
      </w:r>
      <w:r w:rsidR="001279C7">
        <w:rPr>
          <w:sz w:val="20"/>
          <w:lang w:val="es-ES"/>
        </w:rPr>
        <w:t xml:space="preserve"> Considerando </w:t>
      </w:r>
      <w:r w:rsidR="001764D9">
        <w:rPr>
          <w:sz w:val="20"/>
          <w:lang w:val="es-ES"/>
        </w:rPr>
        <w:fldChar w:fldCharType="begin"/>
      </w:r>
      <w:r w:rsidR="001764D9">
        <w:rPr>
          <w:sz w:val="20"/>
          <w:lang w:val="es-ES"/>
        </w:rPr>
        <w:instrText xml:space="preserve"> REF _Ref467850046 \r \h </w:instrText>
      </w:r>
      <w:r w:rsidR="001764D9">
        <w:rPr>
          <w:sz w:val="20"/>
          <w:lang w:val="es-ES"/>
        </w:rPr>
      </w:r>
      <w:r w:rsidR="001764D9">
        <w:rPr>
          <w:sz w:val="20"/>
          <w:lang w:val="es-ES"/>
        </w:rPr>
        <w:fldChar w:fldCharType="separate"/>
      </w:r>
      <w:r w:rsidR="00AC2F0E">
        <w:rPr>
          <w:sz w:val="20"/>
          <w:lang w:val="es-ES"/>
        </w:rPr>
        <w:t>2</w:t>
      </w:r>
      <w:r w:rsidR="001764D9">
        <w:rPr>
          <w:sz w:val="20"/>
          <w:lang w:val="es-ES"/>
        </w:rPr>
        <w:fldChar w:fldCharType="end"/>
      </w:r>
      <w:r w:rsidRPr="00F54BE0">
        <w:rPr>
          <w:sz w:val="20"/>
          <w:lang w:val="es-ES"/>
        </w:rPr>
        <w:t>).</w:t>
      </w:r>
      <w:bookmarkEnd w:id="1"/>
      <w:r w:rsidRPr="00F54BE0">
        <w:rPr>
          <w:sz w:val="20"/>
          <w:lang w:val="es-ES"/>
        </w:rPr>
        <w:t xml:space="preserve"> </w:t>
      </w:r>
    </w:p>
    <w:p w:rsidR="00296770" w:rsidRPr="00BA66A6" w:rsidRDefault="00296770" w:rsidP="00296770">
      <w:pPr>
        <w:pStyle w:val="Textonotapie"/>
        <w:numPr>
          <w:ilvl w:val="0"/>
          <w:numId w:val="4"/>
        </w:numPr>
        <w:spacing w:before="120" w:after="120"/>
        <w:ind w:left="0" w:firstLine="0"/>
        <w:jc w:val="both"/>
        <w:rPr>
          <w:rFonts w:ascii="Verdana" w:hAnsi="Verdana"/>
          <w:sz w:val="16"/>
          <w:szCs w:val="16"/>
        </w:rPr>
      </w:pPr>
      <w:r w:rsidRPr="00BA66A6">
        <w:rPr>
          <w:rFonts w:ascii="Verdana" w:hAnsi="Verdana" w:cs="Arial"/>
          <w:sz w:val="20"/>
          <w:lang w:val="es-ES"/>
        </w:rPr>
        <w:t xml:space="preserve">Los </w:t>
      </w:r>
      <w:r>
        <w:rPr>
          <w:rFonts w:ascii="Verdana" w:hAnsi="Verdana" w:cs="Arial"/>
          <w:sz w:val="20"/>
          <w:lang w:val="es-ES"/>
        </w:rPr>
        <w:t xml:space="preserve">dos </w:t>
      </w:r>
      <w:r>
        <w:rPr>
          <w:rFonts w:ascii="Verdana" w:hAnsi="Verdana"/>
          <w:sz w:val="20"/>
          <w:lang w:val="es-ES"/>
        </w:rPr>
        <w:t>informes</w:t>
      </w:r>
      <w:r w:rsidR="003E106B">
        <w:rPr>
          <w:rFonts w:ascii="Verdana" w:hAnsi="Verdana"/>
          <w:sz w:val="20"/>
          <w:lang w:val="es-ES"/>
        </w:rPr>
        <w:t xml:space="preserve"> presentados por el Estado </w:t>
      </w:r>
      <w:r w:rsidRPr="00BA66A6">
        <w:rPr>
          <w:rFonts w:ascii="Verdana" w:hAnsi="Verdana"/>
          <w:sz w:val="20"/>
          <w:lang w:val="es-ES"/>
        </w:rPr>
        <w:t>e</w:t>
      </w:r>
      <w:r w:rsidR="008E515C">
        <w:rPr>
          <w:rFonts w:ascii="Verdana" w:hAnsi="Verdana"/>
          <w:sz w:val="20"/>
          <w:lang w:val="es-ES"/>
        </w:rPr>
        <w:t>l 16</w:t>
      </w:r>
      <w:r w:rsidRPr="00BA66A6">
        <w:rPr>
          <w:rFonts w:ascii="Verdana" w:hAnsi="Verdana"/>
          <w:sz w:val="20"/>
          <w:lang w:val="es-ES"/>
        </w:rPr>
        <w:t xml:space="preserve"> </w:t>
      </w:r>
      <w:r>
        <w:rPr>
          <w:rFonts w:ascii="Verdana" w:hAnsi="Verdana"/>
          <w:sz w:val="20"/>
          <w:lang w:val="es-ES"/>
        </w:rPr>
        <w:t>enero de 2014</w:t>
      </w:r>
      <w:r w:rsidRPr="00BA66A6">
        <w:rPr>
          <w:rFonts w:ascii="Verdana" w:hAnsi="Verdana"/>
          <w:sz w:val="20"/>
          <w:lang w:val="es-ES"/>
        </w:rPr>
        <w:t xml:space="preserve"> </w:t>
      </w:r>
      <w:r>
        <w:rPr>
          <w:rFonts w:ascii="Verdana" w:hAnsi="Verdana"/>
          <w:sz w:val="20"/>
          <w:lang w:val="es-ES"/>
        </w:rPr>
        <w:t>y</w:t>
      </w:r>
      <w:r w:rsidRPr="00BA66A6">
        <w:rPr>
          <w:rFonts w:ascii="Verdana" w:hAnsi="Verdana"/>
          <w:sz w:val="20"/>
          <w:lang w:val="es-ES"/>
        </w:rPr>
        <w:t xml:space="preserve"> </w:t>
      </w:r>
      <w:r w:rsidR="008E515C">
        <w:rPr>
          <w:rFonts w:ascii="Verdana" w:hAnsi="Verdana"/>
          <w:sz w:val="20"/>
          <w:lang w:val="es-ES"/>
        </w:rPr>
        <w:t xml:space="preserve">20 </w:t>
      </w:r>
      <w:r w:rsidRPr="00BA66A6">
        <w:rPr>
          <w:rFonts w:ascii="Verdana" w:hAnsi="Verdana"/>
          <w:sz w:val="20"/>
          <w:lang w:val="es-ES"/>
        </w:rPr>
        <w:t>mayo de 2015</w:t>
      </w:r>
      <w:r>
        <w:rPr>
          <w:rFonts w:ascii="Verdana" w:hAnsi="Verdana"/>
          <w:sz w:val="20"/>
          <w:lang w:val="es-ES"/>
        </w:rPr>
        <w:t>.</w:t>
      </w:r>
      <w:r w:rsidR="008E515C" w:rsidRPr="008E515C">
        <w:rPr>
          <w:rFonts w:ascii="Verdana" w:hAnsi="Verdana"/>
          <w:b/>
          <w:sz w:val="20"/>
          <w:lang w:val="es-ES"/>
        </w:rPr>
        <w:t xml:space="preserve"> </w:t>
      </w:r>
    </w:p>
    <w:p w:rsidR="00296770" w:rsidRPr="00BA66A6" w:rsidRDefault="009C4C58" w:rsidP="00296770">
      <w:pPr>
        <w:pStyle w:val="Textonotapie"/>
        <w:numPr>
          <w:ilvl w:val="0"/>
          <w:numId w:val="4"/>
        </w:numPr>
        <w:spacing w:before="120" w:after="120"/>
        <w:ind w:left="0" w:firstLine="0"/>
        <w:jc w:val="both"/>
        <w:rPr>
          <w:rFonts w:ascii="Verdana" w:hAnsi="Verdana"/>
          <w:sz w:val="16"/>
          <w:szCs w:val="16"/>
        </w:rPr>
      </w:pPr>
      <w:r>
        <w:rPr>
          <w:rFonts w:ascii="Verdana" w:hAnsi="Verdana" w:cs="Arial"/>
          <w:sz w:val="20"/>
        </w:rPr>
        <w:t>Los dos escrito</w:t>
      </w:r>
      <w:r w:rsidR="00ED1AC7">
        <w:rPr>
          <w:rFonts w:ascii="Verdana" w:hAnsi="Verdana" w:cs="Arial"/>
          <w:sz w:val="20"/>
        </w:rPr>
        <w:t>s</w:t>
      </w:r>
      <w:r>
        <w:rPr>
          <w:rFonts w:ascii="Verdana" w:hAnsi="Verdana" w:cs="Arial"/>
          <w:sz w:val="20"/>
        </w:rPr>
        <w:t xml:space="preserve"> </w:t>
      </w:r>
      <w:r w:rsidR="006A5CE1">
        <w:rPr>
          <w:rFonts w:ascii="Verdana" w:hAnsi="Verdana" w:cs="Arial"/>
          <w:sz w:val="20"/>
        </w:rPr>
        <w:t xml:space="preserve">presentados por </w:t>
      </w:r>
      <w:r w:rsidR="00296770" w:rsidRPr="00BA66A6">
        <w:rPr>
          <w:rFonts w:ascii="Verdana" w:hAnsi="Verdana" w:cs="Arial"/>
          <w:sz w:val="20"/>
          <w:lang w:val="es-ES"/>
        </w:rPr>
        <w:t>los representantes de las víctimas (en adelante “los representantes”)</w:t>
      </w:r>
      <w:r w:rsidR="00296770">
        <w:rPr>
          <w:rStyle w:val="Refdenotaalpie"/>
          <w:rFonts w:ascii="Verdana" w:hAnsi="Verdana" w:cs="Arial"/>
          <w:sz w:val="20"/>
          <w:lang w:val="es-ES"/>
        </w:rPr>
        <w:footnoteReference w:id="3"/>
      </w:r>
      <w:r w:rsidR="00296770" w:rsidRPr="00BA66A6">
        <w:rPr>
          <w:rFonts w:ascii="Verdana" w:hAnsi="Verdana" w:cs="Arial"/>
          <w:sz w:val="20"/>
          <w:lang w:val="es-ES"/>
        </w:rPr>
        <w:t xml:space="preserve"> </w:t>
      </w:r>
      <w:r w:rsidR="006A5CE1">
        <w:rPr>
          <w:rFonts w:ascii="Verdana" w:hAnsi="Verdana" w:cs="Arial"/>
          <w:sz w:val="20"/>
          <w:lang w:val="es-ES"/>
        </w:rPr>
        <w:t>el</w:t>
      </w:r>
      <w:r>
        <w:rPr>
          <w:rFonts w:ascii="Verdana" w:hAnsi="Verdana" w:cs="Arial"/>
          <w:sz w:val="20"/>
        </w:rPr>
        <w:t xml:space="preserve"> </w:t>
      </w:r>
      <w:r>
        <w:rPr>
          <w:rFonts w:ascii="Verdana" w:hAnsi="Verdana" w:cs="Arial"/>
          <w:sz w:val="20"/>
          <w:lang w:val="es-ES"/>
        </w:rPr>
        <w:t>2 de octubre de 2013</w:t>
      </w:r>
      <w:r>
        <w:rPr>
          <w:rFonts w:ascii="Verdana" w:hAnsi="Verdana" w:cs="Arial"/>
          <w:sz w:val="20"/>
        </w:rPr>
        <w:t xml:space="preserve"> y </w:t>
      </w:r>
      <w:r w:rsidR="00CE7BCD">
        <w:rPr>
          <w:rFonts w:ascii="Verdana" w:hAnsi="Verdana" w:cs="Arial"/>
          <w:sz w:val="20"/>
          <w:lang w:val="es-ES"/>
        </w:rPr>
        <w:t>e</w:t>
      </w:r>
      <w:r w:rsidR="00690F1E">
        <w:rPr>
          <w:rFonts w:ascii="Verdana" w:hAnsi="Verdana" w:cs="Arial"/>
          <w:sz w:val="20"/>
          <w:lang w:val="es-ES"/>
        </w:rPr>
        <w:t>l</w:t>
      </w:r>
      <w:r w:rsidR="00296770">
        <w:rPr>
          <w:rFonts w:ascii="Verdana" w:hAnsi="Verdana" w:cs="Arial"/>
          <w:sz w:val="20"/>
          <w:lang w:val="es-ES"/>
        </w:rPr>
        <w:t xml:space="preserve"> </w:t>
      </w:r>
      <w:r w:rsidR="00690F1E">
        <w:rPr>
          <w:rFonts w:ascii="Verdana" w:hAnsi="Verdana" w:cs="Arial"/>
          <w:sz w:val="20"/>
          <w:lang w:val="es-ES"/>
        </w:rPr>
        <w:t xml:space="preserve">15 de </w:t>
      </w:r>
      <w:r w:rsidR="00296770">
        <w:rPr>
          <w:rFonts w:ascii="Verdana" w:hAnsi="Verdana" w:cs="Arial"/>
          <w:sz w:val="20"/>
          <w:lang w:val="es-ES"/>
        </w:rPr>
        <w:t xml:space="preserve">julio </w:t>
      </w:r>
      <w:r>
        <w:rPr>
          <w:rFonts w:ascii="Verdana" w:hAnsi="Verdana" w:cs="Arial"/>
          <w:sz w:val="20"/>
          <w:lang w:val="es-ES"/>
        </w:rPr>
        <w:t xml:space="preserve">de 2015, mediante los que </w:t>
      </w:r>
      <w:r>
        <w:rPr>
          <w:rFonts w:ascii="Verdana" w:hAnsi="Verdana" w:cs="Arial"/>
          <w:sz w:val="20"/>
          <w:lang w:val="es-ES"/>
        </w:rPr>
        <w:lastRenderedPageBreak/>
        <w:t>remitieron</w:t>
      </w:r>
      <w:r w:rsidR="00ED1AC7">
        <w:rPr>
          <w:rFonts w:ascii="Verdana" w:hAnsi="Verdana" w:cs="Arial"/>
          <w:sz w:val="20"/>
          <w:lang w:val="es-ES"/>
        </w:rPr>
        <w:t xml:space="preserve"> copa de una sentencia</w:t>
      </w:r>
      <w:r>
        <w:rPr>
          <w:rFonts w:ascii="Verdana" w:hAnsi="Verdana" w:cs="Arial"/>
          <w:sz w:val="20"/>
          <w:lang w:val="es-ES"/>
        </w:rPr>
        <w:t xml:space="preserve"> </w:t>
      </w:r>
      <w:r w:rsidR="00ED1AC7">
        <w:rPr>
          <w:rFonts w:ascii="Verdana" w:hAnsi="Verdana" w:cs="Arial"/>
          <w:sz w:val="20"/>
          <w:lang w:val="es-ES"/>
        </w:rPr>
        <w:t>emitida en</w:t>
      </w:r>
      <w:r>
        <w:rPr>
          <w:rFonts w:ascii="Verdana" w:hAnsi="Verdana" w:cs="Arial"/>
          <w:sz w:val="20"/>
          <w:lang w:val="es-ES"/>
        </w:rPr>
        <w:t xml:space="preserve"> septiembre de 2013</w:t>
      </w:r>
      <w:r w:rsidR="00ED1AC7">
        <w:rPr>
          <w:rFonts w:ascii="Verdana" w:hAnsi="Verdana" w:cs="Arial"/>
          <w:sz w:val="20"/>
          <w:lang w:val="es-ES"/>
        </w:rPr>
        <w:t xml:space="preserve"> en el proceso penal</w:t>
      </w:r>
      <w:r>
        <w:rPr>
          <w:rFonts w:ascii="Verdana" w:hAnsi="Verdana" w:cs="Arial"/>
          <w:sz w:val="20"/>
          <w:lang w:val="es-ES"/>
        </w:rPr>
        <w:t xml:space="preserve"> y observaciones al informe estatal</w:t>
      </w:r>
      <w:r w:rsidR="008934EF">
        <w:rPr>
          <w:rFonts w:ascii="Verdana" w:hAnsi="Verdana" w:cs="Arial"/>
          <w:sz w:val="20"/>
          <w:lang w:val="es-ES"/>
        </w:rPr>
        <w:t xml:space="preserve"> de 20 de mayo de 2015</w:t>
      </w:r>
      <w:r>
        <w:rPr>
          <w:rFonts w:ascii="Verdana" w:hAnsi="Verdana" w:cs="Arial"/>
          <w:sz w:val="20"/>
          <w:lang w:val="es-ES"/>
        </w:rPr>
        <w:t>, respectivamente.</w:t>
      </w:r>
    </w:p>
    <w:p w:rsidR="00443ECF" w:rsidRPr="00443ECF" w:rsidRDefault="00296770" w:rsidP="0006680A">
      <w:pPr>
        <w:pStyle w:val="Textonotapie"/>
        <w:numPr>
          <w:ilvl w:val="0"/>
          <w:numId w:val="4"/>
        </w:numPr>
        <w:spacing w:before="120" w:after="120"/>
        <w:ind w:left="0" w:firstLine="0"/>
        <w:jc w:val="both"/>
        <w:rPr>
          <w:rFonts w:ascii="Verdana" w:hAnsi="Verdana"/>
          <w:sz w:val="16"/>
          <w:szCs w:val="16"/>
        </w:rPr>
      </w:pPr>
      <w:r w:rsidRPr="00296770">
        <w:rPr>
          <w:rFonts w:ascii="Verdana" w:hAnsi="Verdana" w:cs="Arial"/>
          <w:sz w:val="20"/>
        </w:rPr>
        <w:t xml:space="preserve">El escrito </w:t>
      </w:r>
      <w:r w:rsidR="001019DA">
        <w:rPr>
          <w:rFonts w:ascii="Verdana" w:hAnsi="Verdana" w:cs="Arial"/>
          <w:sz w:val="20"/>
        </w:rPr>
        <w:t xml:space="preserve">presentado por </w:t>
      </w:r>
      <w:r w:rsidRPr="00296770">
        <w:rPr>
          <w:rFonts w:ascii="Verdana" w:hAnsi="Verdana" w:cs="Arial"/>
          <w:sz w:val="20"/>
        </w:rPr>
        <w:t xml:space="preserve"> los representantes </w:t>
      </w:r>
      <w:r w:rsidR="001019DA">
        <w:rPr>
          <w:rFonts w:ascii="Verdana" w:hAnsi="Verdana" w:cs="Arial"/>
          <w:sz w:val="20"/>
        </w:rPr>
        <w:t xml:space="preserve">el 21 </w:t>
      </w:r>
      <w:r w:rsidRPr="00296770">
        <w:rPr>
          <w:rFonts w:ascii="Verdana" w:hAnsi="Verdana" w:cs="Arial"/>
          <w:sz w:val="20"/>
        </w:rPr>
        <w:t>de enero de 2014</w:t>
      </w:r>
      <w:r w:rsidR="004C5E54">
        <w:rPr>
          <w:rFonts w:ascii="Verdana" w:hAnsi="Verdana" w:cs="Arial"/>
          <w:sz w:val="20"/>
        </w:rPr>
        <w:t xml:space="preserve">, </w:t>
      </w:r>
      <w:r w:rsidR="0072286B">
        <w:rPr>
          <w:rFonts w:ascii="Verdana" w:hAnsi="Verdana" w:cs="Arial"/>
          <w:sz w:val="20"/>
        </w:rPr>
        <w:t xml:space="preserve">en el que alegaron </w:t>
      </w:r>
      <w:r w:rsidR="00942191">
        <w:rPr>
          <w:rFonts w:ascii="Verdana" w:hAnsi="Verdana" w:cs="Arial"/>
          <w:sz w:val="20"/>
        </w:rPr>
        <w:t xml:space="preserve">que </w:t>
      </w:r>
      <w:r w:rsidR="0072286B">
        <w:rPr>
          <w:rFonts w:ascii="Verdana" w:hAnsi="Verdana" w:cs="Arial"/>
          <w:sz w:val="20"/>
        </w:rPr>
        <w:t>el Secretario de la Paz “filtró información sobre los montos indemnizatorios otorgados a los familiares de Edgar Fernando García”</w:t>
      </w:r>
      <w:r w:rsidR="005327FE">
        <w:rPr>
          <w:rFonts w:ascii="Verdana" w:hAnsi="Verdana" w:cs="Arial"/>
          <w:sz w:val="20"/>
        </w:rPr>
        <w:t>,</w:t>
      </w:r>
      <w:r w:rsidR="00D779C2">
        <w:rPr>
          <w:rFonts w:ascii="Verdana" w:hAnsi="Verdana" w:cs="Arial"/>
          <w:sz w:val="20"/>
        </w:rPr>
        <w:t xml:space="preserve"> en contravención</w:t>
      </w:r>
      <w:r w:rsidR="006B4E92">
        <w:rPr>
          <w:rFonts w:ascii="Verdana" w:hAnsi="Verdana" w:cs="Arial"/>
          <w:sz w:val="20"/>
        </w:rPr>
        <w:t xml:space="preserve"> a lo ordenado en </w:t>
      </w:r>
      <w:r w:rsidR="0072286B">
        <w:rPr>
          <w:rFonts w:ascii="Verdana" w:hAnsi="Verdana" w:cs="Arial"/>
          <w:sz w:val="20"/>
        </w:rPr>
        <w:t>la Sentencia</w:t>
      </w:r>
      <w:r w:rsidR="006B4E92">
        <w:rPr>
          <w:rFonts w:ascii="Verdana" w:hAnsi="Verdana" w:cs="Arial"/>
          <w:sz w:val="20"/>
        </w:rPr>
        <w:t>.</w:t>
      </w:r>
    </w:p>
    <w:p w:rsidR="0006680A" w:rsidRPr="00ED1AC7" w:rsidRDefault="0072286B" w:rsidP="00782A00">
      <w:pPr>
        <w:pStyle w:val="Textonotapie"/>
        <w:numPr>
          <w:ilvl w:val="0"/>
          <w:numId w:val="4"/>
        </w:numPr>
        <w:spacing w:before="120" w:after="120"/>
        <w:ind w:left="0" w:firstLine="0"/>
        <w:jc w:val="both"/>
        <w:rPr>
          <w:rFonts w:ascii="Verdana" w:hAnsi="Verdana"/>
          <w:sz w:val="16"/>
          <w:szCs w:val="16"/>
        </w:rPr>
      </w:pPr>
      <w:r w:rsidRPr="00443ECF">
        <w:rPr>
          <w:rFonts w:ascii="Verdana" w:hAnsi="Verdana" w:cs="Arial"/>
          <w:sz w:val="20"/>
        </w:rPr>
        <w:t>E</w:t>
      </w:r>
      <w:r w:rsidR="00B60CFD" w:rsidRPr="00443ECF">
        <w:rPr>
          <w:rFonts w:ascii="Verdana" w:hAnsi="Verdana" w:cs="Arial"/>
          <w:sz w:val="20"/>
        </w:rPr>
        <w:t xml:space="preserve">l escrito </w:t>
      </w:r>
      <w:r w:rsidR="00337928">
        <w:rPr>
          <w:rFonts w:ascii="Verdana" w:hAnsi="Verdana" w:cs="Arial"/>
          <w:sz w:val="20"/>
        </w:rPr>
        <w:t xml:space="preserve">presentado por el </w:t>
      </w:r>
      <w:r w:rsidR="00296770" w:rsidRPr="00443ECF">
        <w:rPr>
          <w:rFonts w:ascii="Verdana" w:hAnsi="Verdana" w:cs="Arial"/>
          <w:sz w:val="20"/>
        </w:rPr>
        <w:t xml:space="preserve">Estado </w:t>
      </w:r>
      <w:r w:rsidR="004245D9" w:rsidRPr="00443ECF">
        <w:rPr>
          <w:rFonts w:ascii="Verdana" w:hAnsi="Verdana" w:cs="Arial"/>
          <w:sz w:val="20"/>
        </w:rPr>
        <w:t xml:space="preserve">el 13 </w:t>
      </w:r>
      <w:r w:rsidR="00B60CFD" w:rsidRPr="00443ECF">
        <w:rPr>
          <w:rFonts w:ascii="Verdana" w:hAnsi="Verdana" w:cs="Arial"/>
          <w:sz w:val="20"/>
        </w:rPr>
        <w:t xml:space="preserve">de febrero de 2014 y </w:t>
      </w:r>
      <w:r w:rsidRPr="00443ECF">
        <w:rPr>
          <w:rFonts w:ascii="Verdana" w:hAnsi="Verdana" w:cs="Arial"/>
          <w:sz w:val="20"/>
        </w:rPr>
        <w:t>(</w:t>
      </w:r>
      <w:r w:rsidRPr="00443ECF">
        <w:rPr>
          <w:rFonts w:ascii="Verdana" w:hAnsi="Verdana" w:cs="Arial"/>
          <w:i/>
          <w:sz w:val="20"/>
        </w:rPr>
        <w:t xml:space="preserve">supra </w:t>
      </w:r>
      <w:r w:rsidRPr="00443ECF">
        <w:rPr>
          <w:rFonts w:ascii="Verdana" w:hAnsi="Verdana" w:cs="Arial"/>
          <w:sz w:val="20"/>
        </w:rPr>
        <w:t xml:space="preserve">Visto </w:t>
      </w:r>
      <w:r w:rsidR="001764D9">
        <w:rPr>
          <w:rFonts w:ascii="Verdana" w:hAnsi="Verdana" w:cs="Arial"/>
          <w:sz w:val="20"/>
        </w:rPr>
        <w:fldChar w:fldCharType="begin"/>
      </w:r>
      <w:r w:rsidR="001764D9">
        <w:rPr>
          <w:rFonts w:ascii="Verdana" w:hAnsi="Verdana" w:cs="Arial"/>
          <w:sz w:val="20"/>
        </w:rPr>
        <w:instrText xml:space="preserve"> REF _Ref467850080 \r \h </w:instrText>
      </w:r>
      <w:r w:rsidR="001764D9">
        <w:rPr>
          <w:rFonts w:ascii="Verdana" w:hAnsi="Verdana" w:cs="Arial"/>
          <w:sz w:val="20"/>
        </w:rPr>
      </w:r>
      <w:r w:rsidR="001764D9">
        <w:rPr>
          <w:rFonts w:ascii="Verdana" w:hAnsi="Verdana" w:cs="Arial"/>
          <w:sz w:val="20"/>
        </w:rPr>
        <w:fldChar w:fldCharType="separate"/>
      </w:r>
      <w:r w:rsidR="00AC2F0E">
        <w:rPr>
          <w:rFonts w:ascii="Verdana" w:hAnsi="Verdana" w:cs="Arial"/>
          <w:sz w:val="20"/>
        </w:rPr>
        <w:t>6</w:t>
      </w:r>
      <w:r w:rsidR="001764D9">
        <w:rPr>
          <w:rFonts w:ascii="Verdana" w:hAnsi="Verdana" w:cs="Arial"/>
          <w:sz w:val="20"/>
        </w:rPr>
        <w:fldChar w:fldCharType="end"/>
      </w:r>
      <w:r w:rsidRPr="00443ECF">
        <w:rPr>
          <w:rFonts w:ascii="Verdana" w:hAnsi="Verdana" w:cs="Arial"/>
          <w:sz w:val="20"/>
        </w:rPr>
        <w:t>)</w:t>
      </w:r>
      <w:r w:rsidR="004245D9" w:rsidRPr="00443ECF">
        <w:rPr>
          <w:rFonts w:ascii="Verdana" w:hAnsi="Verdana" w:cs="Arial"/>
          <w:sz w:val="20"/>
        </w:rPr>
        <w:t>, en respuesta a solicitudes efectuadas por el Presidente del Tribunal</w:t>
      </w:r>
      <w:r w:rsidR="001B0E6A" w:rsidRPr="00443ECF">
        <w:rPr>
          <w:rFonts w:ascii="Verdana" w:hAnsi="Verdana" w:cs="Arial"/>
          <w:sz w:val="20"/>
        </w:rPr>
        <w:t>,</w:t>
      </w:r>
      <w:r w:rsidR="004245D9" w:rsidRPr="00443ECF">
        <w:rPr>
          <w:rFonts w:ascii="Verdana" w:hAnsi="Verdana" w:cs="Arial"/>
          <w:sz w:val="20"/>
        </w:rPr>
        <w:t xml:space="preserve"> a través de notas de la Secretaría</w:t>
      </w:r>
      <w:r w:rsidR="004245D9">
        <w:rPr>
          <w:rStyle w:val="Refdenotaalpie"/>
          <w:rFonts w:ascii="Verdana" w:hAnsi="Verdana" w:cs="Arial"/>
          <w:sz w:val="20"/>
        </w:rPr>
        <w:footnoteReference w:id="4"/>
      </w:r>
      <w:r w:rsidR="001B0E6A" w:rsidRPr="00443ECF">
        <w:rPr>
          <w:rFonts w:ascii="Verdana" w:hAnsi="Verdana" w:cs="Arial"/>
          <w:sz w:val="20"/>
        </w:rPr>
        <w:t xml:space="preserve">, en relación con </w:t>
      </w:r>
      <w:r w:rsidR="006B4E92" w:rsidRPr="00443ECF">
        <w:rPr>
          <w:rFonts w:ascii="Verdana" w:hAnsi="Verdana" w:cs="Arial"/>
          <w:sz w:val="20"/>
        </w:rPr>
        <w:t>l</w:t>
      </w:r>
      <w:r w:rsidR="001B0E6A" w:rsidRPr="00443ECF">
        <w:rPr>
          <w:rFonts w:ascii="Verdana" w:hAnsi="Verdana" w:cs="Arial"/>
          <w:sz w:val="20"/>
        </w:rPr>
        <w:t>a</w:t>
      </w:r>
      <w:r w:rsidR="006B4E92" w:rsidRPr="00443ECF">
        <w:rPr>
          <w:rFonts w:ascii="Verdana" w:hAnsi="Verdana" w:cs="Arial"/>
          <w:sz w:val="20"/>
        </w:rPr>
        <w:t xml:space="preserve"> alegad</w:t>
      </w:r>
      <w:r w:rsidR="001B0E6A" w:rsidRPr="00443ECF">
        <w:rPr>
          <w:rFonts w:ascii="Verdana" w:hAnsi="Verdana" w:cs="Arial"/>
          <w:sz w:val="20"/>
        </w:rPr>
        <w:t>a</w:t>
      </w:r>
      <w:r w:rsidR="006B4E92" w:rsidRPr="00443ECF">
        <w:rPr>
          <w:rFonts w:ascii="Verdana" w:hAnsi="Verdana" w:cs="Arial"/>
          <w:sz w:val="20"/>
        </w:rPr>
        <w:t xml:space="preserve"> filtración de información.</w:t>
      </w:r>
      <w:r w:rsidR="006B4E92" w:rsidRPr="00782A00">
        <w:rPr>
          <w:rFonts w:ascii="Verdana" w:hAnsi="Verdana" w:cs="Arial"/>
          <w:sz w:val="20"/>
        </w:rPr>
        <w:t xml:space="preserve"> </w:t>
      </w:r>
    </w:p>
    <w:p w:rsidR="00ED1AC7" w:rsidRPr="00ED1AC7" w:rsidRDefault="00ED1AC7" w:rsidP="00ED1AC7">
      <w:pPr>
        <w:pStyle w:val="Textonotapie"/>
        <w:numPr>
          <w:ilvl w:val="0"/>
          <w:numId w:val="4"/>
        </w:numPr>
        <w:spacing w:before="120" w:after="120"/>
        <w:ind w:left="0" w:firstLine="0"/>
        <w:jc w:val="both"/>
        <w:rPr>
          <w:rFonts w:ascii="Verdana" w:hAnsi="Verdana"/>
          <w:sz w:val="16"/>
          <w:szCs w:val="16"/>
        </w:rPr>
      </w:pPr>
      <w:bookmarkStart w:id="2" w:name="_Ref467850080"/>
      <w:r w:rsidRPr="009D4791">
        <w:rPr>
          <w:rFonts w:ascii="Verdana" w:hAnsi="Verdana" w:cs="Arial"/>
          <w:sz w:val="20"/>
          <w:lang w:val="es-ES"/>
        </w:rPr>
        <w:t>Los dos escritos presentados por la Comisión Interamericana de Derechos Humanos (en adelante “la Comisión Int</w:t>
      </w:r>
      <w:r>
        <w:rPr>
          <w:rFonts w:ascii="Verdana" w:hAnsi="Verdana" w:cs="Arial"/>
          <w:sz w:val="20"/>
          <w:lang w:val="es-ES"/>
        </w:rPr>
        <w:t>eramericana” o “la Comisión”) el 28 de</w:t>
      </w:r>
      <w:r w:rsidRPr="009D4791">
        <w:rPr>
          <w:rFonts w:ascii="Verdana" w:hAnsi="Verdana" w:cs="Arial"/>
          <w:sz w:val="20"/>
          <w:lang w:val="es-ES"/>
        </w:rPr>
        <w:t xml:space="preserve"> </w:t>
      </w:r>
      <w:r>
        <w:rPr>
          <w:rFonts w:ascii="Verdana" w:hAnsi="Verdana" w:cs="Arial"/>
          <w:sz w:val="20"/>
          <w:lang w:val="es-ES"/>
        </w:rPr>
        <w:t xml:space="preserve">marzo de 2014 </w:t>
      </w:r>
      <w:r w:rsidRPr="009D4791">
        <w:rPr>
          <w:rFonts w:ascii="Verdana" w:hAnsi="Verdana" w:cs="Arial"/>
          <w:sz w:val="20"/>
          <w:lang w:val="es-ES"/>
        </w:rPr>
        <w:t xml:space="preserve">y </w:t>
      </w:r>
      <w:r>
        <w:rPr>
          <w:rFonts w:ascii="Verdana" w:hAnsi="Verdana" w:cs="Arial"/>
          <w:sz w:val="20"/>
          <w:lang w:val="es-ES"/>
        </w:rPr>
        <w:t>7 de agosto de 2015</w:t>
      </w:r>
      <w:bookmarkEnd w:id="2"/>
      <w:r>
        <w:rPr>
          <w:rFonts w:ascii="Verdana" w:hAnsi="Verdana" w:cs="Arial"/>
          <w:sz w:val="20"/>
          <w:lang w:val="es-ES"/>
        </w:rPr>
        <w:t xml:space="preserve">, en los que presentó </w:t>
      </w:r>
      <w:r w:rsidRPr="009D4791">
        <w:rPr>
          <w:rFonts w:ascii="Verdana" w:hAnsi="Verdana" w:cs="Arial"/>
          <w:sz w:val="20"/>
          <w:lang w:val="es-ES"/>
        </w:rPr>
        <w:t>observaciones</w:t>
      </w:r>
      <w:r>
        <w:rPr>
          <w:rFonts w:ascii="Verdana" w:hAnsi="Verdana" w:cs="Arial"/>
          <w:sz w:val="20"/>
          <w:lang w:val="es-ES"/>
        </w:rPr>
        <w:t xml:space="preserve"> a los informes estatales y al escrito estatal relacionado a la alegada filtración de información.</w:t>
      </w:r>
    </w:p>
    <w:p w:rsidR="00684D64" w:rsidRPr="00782A00" w:rsidRDefault="00684D64" w:rsidP="00684D64">
      <w:pPr>
        <w:pStyle w:val="Textonotapie"/>
        <w:spacing w:before="120" w:after="120"/>
        <w:jc w:val="both"/>
        <w:rPr>
          <w:rFonts w:ascii="Verdana" w:hAnsi="Verdana"/>
          <w:sz w:val="16"/>
          <w:szCs w:val="16"/>
        </w:rPr>
      </w:pPr>
    </w:p>
    <w:p w:rsidR="00581B46" w:rsidRPr="0008667B" w:rsidRDefault="00581B46" w:rsidP="00581B46">
      <w:pPr>
        <w:spacing w:before="120" w:after="120" w:line="240" w:lineRule="auto"/>
        <w:rPr>
          <w:rFonts w:ascii="Verdana" w:hAnsi="Verdana"/>
          <w:b/>
          <w:sz w:val="20"/>
          <w:szCs w:val="20"/>
        </w:rPr>
      </w:pPr>
      <w:r w:rsidRPr="0008667B">
        <w:rPr>
          <w:rFonts w:ascii="Verdana" w:hAnsi="Verdana"/>
          <w:b/>
          <w:sz w:val="20"/>
          <w:szCs w:val="20"/>
        </w:rPr>
        <w:t>CONSIDERANDO QUE:</w:t>
      </w:r>
    </w:p>
    <w:p w:rsidR="00732C44" w:rsidRDefault="00581B46" w:rsidP="00732C44">
      <w:pPr>
        <w:numPr>
          <w:ilvl w:val="0"/>
          <w:numId w:val="11"/>
        </w:numPr>
        <w:spacing w:after="0" w:line="240" w:lineRule="auto"/>
        <w:ind w:left="0" w:firstLine="0"/>
        <w:jc w:val="both"/>
        <w:rPr>
          <w:rFonts w:ascii="Verdana" w:hAnsi="Verdana"/>
          <w:sz w:val="20"/>
        </w:rPr>
      </w:pPr>
      <w:r w:rsidRPr="00732C44">
        <w:rPr>
          <w:rFonts w:ascii="Verdana" w:hAnsi="Verdana"/>
          <w:sz w:val="20"/>
          <w:szCs w:val="20"/>
          <w:lang w:val="es-ES"/>
        </w:rPr>
        <w:t>En el ejercicio de su función jurisdiccional de supervisar el cumplimiento de sus decisiones</w:t>
      </w:r>
      <w:r w:rsidRPr="00E6037F">
        <w:rPr>
          <w:rStyle w:val="Refdenotaalpie"/>
          <w:rFonts w:ascii="Verdana" w:hAnsi="Verdana"/>
          <w:sz w:val="20"/>
          <w:szCs w:val="20"/>
        </w:rPr>
        <w:footnoteReference w:id="5"/>
      </w:r>
      <w:r w:rsidRPr="00732C44">
        <w:rPr>
          <w:rFonts w:ascii="Verdana" w:hAnsi="Verdana"/>
          <w:sz w:val="20"/>
          <w:szCs w:val="20"/>
          <w:lang w:val="es-ES"/>
        </w:rPr>
        <w:t xml:space="preserve">, la Corte </w:t>
      </w:r>
      <w:r w:rsidR="00321A34" w:rsidRPr="00732C44">
        <w:rPr>
          <w:rFonts w:ascii="Verdana" w:hAnsi="Verdana"/>
          <w:sz w:val="20"/>
          <w:szCs w:val="20"/>
          <w:lang w:val="es-ES"/>
        </w:rPr>
        <w:t xml:space="preserve">ha venido </w:t>
      </w:r>
      <w:r w:rsidRPr="00732C44">
        <w:rPr>
          <w:rFonts w:ascii="Verdana" w:hAnsi="Verdana"/>
          <w:sz w:val="20"/>
          <w:szCs w:val="20"/>
          <w:lang w:val="es-ES"/>
        </w:rPr>
        <w:t>supervisa</w:t>
      </w:r>
      <w:r w:rsidR="00321A34" w:rsidRPr="00732C44">
        <w:rPr>
          <w:rFonts w:ascii="Verdana" w:hAnsi="Verdana"/>
          <w:sz w:val="20"/>
          <w:szCs w:val="20"/>
          <w:lang w:val="es-ES"/>
        </w:rPr>
        <w:t>ndo</w:t>
      </w:r>
      <w:r w:rsidRPr="00732C44">
        <w:rPr>
          <w:rFonts w:ascii="Verdana" w:hAnsi="Verdana"/>
          <w:sz w:val="20"/>
          <w:szCs w:val="20"/>
          <w:lang w:val="es-ES"/>
        </w:rPr>
        <w:t xml:space="preserve"> la ejecución de la Sentencia emitida </w:t>
      </w:r>
      <w:r w:rsidR="00B64ECB">
        <w:rPr>
          <w:rFonts w:ascii="Verdana" w:hAnsi="Verdana"/>
          <w:sz w:val="20"/>
          <w:szCs w:val="20"/>
          <w:lang w:val="es-MX"/>
        </w:rPr>
        <w:t xml:space="preserve">en el presente caso </w:t>
      </w:r>
      <w:r w:rsidR="00ED1AC7">
        <w:rPr>
          <w:rFonts w:ascii="Verdana" w:hAnsi="Verdana"/>
          <w:sz w:val="20"/>
          <w:szCs w:val="20"/>
          <w:lang w:val="es-MX"/>
        </w:rPr>
        <w:t>en</w:t>
      </w:r>
      <w:r w:rsidRPr="00732C44">
        <w:rPr>
          <w:rFonts w:ascii="Verdana" w:hAnsi="Verdana"/>
          <w:sz w:val="20"/>
          <w:szCs w:val="20"/>
          <w:lang w:val="es-MX"/>
        </w:rPr>
        <w:t xml:space="preserve"> el año 2012 (</w:t>
      </w:r>
      <w:r w:rsidRPr="00732C44">
        <w:rPr>
          <w:rFonts w:ascii="Verdana" w:hAnsi="Verdana"/>
          <w:i/>
          <w:sz w:val="20"/>
          <w:szCs w:val="20"/>
          <w:lang w:val="es-MX"/>
        </w:rPr>
        <w:t>supra</w:t>
      </w:r>
      <w:r w:rsidRPr="00732C44">
        <w:rPr>
          <w:rFonts w:ascii="Verdana" w:hAnsi="Verdana"/>
          <w:sz w:val="20"/>
          <w:szCs w:val="20"/>
          <w:lang w:val="es-MX"/>
        </w:rPr>
        <w:t xml:space="preserve"> Visto </w:t>
      </w:r>
      <w:r w:rsidR="001764D9">
        <w:rPr>
          <w:rFonts w:ascii="Verdana" w:hAnsi="Verdana"/>
          <w:sz w:val="20"/>
          <w:szCs w:val="20"/>
          <w:lang w:val="es-MX"/>
        </w:rPr>
        <w:fldChar w:fldCharType="begin"/>
      </w:r>
      <w:r w:rsidR="001764D9">
        <w:rPr>
          <w:rFonts w:ascii="Verdana" w:hAnsi="Verdana"/>
          <w:sz w:val="20"/>
          <w:szCs w:val="20"/>
          <w:lang w:val="es-MX"/>
        </w:rPr>
        <w:instrText xml:space="preserve"> REF _Ref467850292 \r \h </w:instrText>
      </w:r>
      <w:r w:rsidR="001764D9">
        <w:rPr>
          <w:rFonts w:ascii="Verdana" w:hAnsi="Verdana"/>
          <w:sz w:val="20"/>
          <w:szCs w:val="20"/>
          <w:lang w:val="es-MX"/>
        </w:rPr>
      </w:r>
      <w:r w:rsidR="001764D9">
        <w:rPr>
          <w:rFonts w:ascii="Verdana" w:hAnsi="Verdana"/>
          <w:sz w:val="20"/>
          <w:szCs w:val="20"/>
          <w:lang w:val="es-MX"/>
        </w:rPr>
        <w:fldChar w:fldCharType="separate"/>
      </w:r>
      <w:r w:rsidR="00AC2F0E">
        <w:rPr>
          <w:rFonts w:ascii="Verdana" w:hAnsi="Verdana"/>
          <w:sz w:val="20"/>
          <w:szCs w:val="20"/>
          <w:lang w:val="es-MX"/>
        </w:rPr>
        <w:t>1</w:t>
      </w:r>
      <w:r w:rsidR="001764D9">
        <w:rPr>
          <w:rFonts w:ascii="Verdana" w:hAnsi="Verdana"/>
          <w:sz w:val="20"/>
          <w:szCs w:val="20"/>
          <w:lang w:val="es-MX"/>
        </w:rPr>
        <w:fldChar w:fldCharType="end"/>
      </w:r>
      <w:r w:rsidRPr="00732C44">
        <w:rPr>
          <w:rFonts w:ascii="Verdana" w:hAnsi="Verdana"/>
          <w:sz w:val="20"/>
          <w:szCs w:val="20"/>
          <w:lang w:val="es-MX"/>
        </w:rPr>
        <w:t xml:space="preserve">). </w:t>
      </w:r>
      <w:r w:rsidR="00732C44" w:rsidRPr="00C9229D">
        <w:rPr>
          <w:rFonts w:ascii="Verdana" w:hAnsi="Verdana"/>
          <w:sz w:val="20"/>
          <w:szCs w:val="20"/>
          <w:lang w:val="es-MX"/>
        </w:rPr>
        <w:t xml:space="preserve">Es importante </w:t>
      </w:r>
      <w:r w:rsidR="00732C44">
        <w:rPr>
          <w:rFonts w:ascii="Verdana" w:hAnsi="Verdana"/>
          <w:sz w:val="20"/>
          <w:szCs w:val="20"/>
          <w:lang w:val="es-MX"/>
        </w:rPr>
        <w:t xml:space="preserve">recordar </w:t>
      </w:r>
      <w:r w:rsidR="00732C44" w:rsidRPr="00C9229D">
        <w:rPr>
          <w:rFonts w:ascii="Verdana" w:hAnsi="Verdana"/>
          <w:sz w:val="20"/>
          <w:szCs w:val="20"/>
          <w:lang w:val="es-MX"/>
        </w:rPr>
        <w:t>que en el presente caso el Estado y las víctimas celebraron un acuerdo s</w:t>
      </w:r>
      <w:r w:rsidR="00BB6111">
        <w:rPr>
          <w:rFonts w:ascii="Verdana" w:hAnsi="Verdana"/>
          <w:sz w:val="20"/>
          <w:szCs w:val="20"/>
          <w:lang w:val="es-MX"/>
        </w:rPr>
        <w:t>obre las medidas de reparación</w:t>
      </w:r>
      <w:r w:rsidR="00732C44" w:rsidRPr="00C9229D">
        <w:rPr>
          <w:rFonts w:ascii="Verdana" w:hAnsi="Verdana"/>
          <w:sz w:val="20"/>
          <w:szCs w:val="20"/>
          <w:lang w:val="es-MX"/>
        </w:rPr>
        <w:t xml:space="preserve">, el cual fue homologado por este Tribunal </w:t>
      </w:r>
      <w:r w:rsidR="00732C44">
        <w:rPr>
          <w:rFonts w:ascii="Verdana" w:hAnsi="Verdana"/>
          <w:sz w:val="20"/>
          <w:szCs w:val="20"/>
          <w:lang w:val="es-MX"/>
        </w:rPr>
        <w:t xml:space="preserve">en la Sentencia </w:t>
      </w:r>
      <w:r w:rsidR="00732C44" w:rsidRPr="00C9229D">
        <w:rPr>
          <w:rFonts w:ascii="Verdana" w:hAnsi="Verdana"/>
          <w:sz w:val="20"/>
          <w:szCs w:val="20"/>
          <w:lang w:val="es-MX"/>
        </w:rPr>
        <w:t>y cuyos alcances y formas de ejecución de las reparaciones acordadas fueron determinadas en la</w:t>
      </w:r>
      <w:r w:rsidR="00732C44">
        <w:rPr>
          <w:rFonts w:ascii="Verdana" w:hAnsi="Verdana"/>
          <w:sz w:val="20"/>
          <w:szCs w:val="20"/>
          <w:lang w:val="es-MX"/>
        </w:rPr>
        <w:t xml:space="preserve"> misma</w:t>
      </w:r>
      <w:r w:rsidR="00732C44" w:rsidRPr="00C9229D">
        <w:rPr>
          <w:rFonts w:ascii="Verdana" w:hAnsi="Verdana"/>
          <w:sz w:val="20"/>
          <w:szCs w:val="20"/>
          <w:lang w:val="es-MX"/>
        </w:rPr>
        <w:t xml:space="preserve">. </w:t>
      </w:r>
    </w:p>
    <w:p w:rsidR="00511D65" w:rsidRDefault="00511D65" w:rsidP="00732C44">
      <w:pPr>
        <w:spacing w:after="0" w:line="240" w:lineRule="auto"/>
        <w:jc w:val="both"/>
        <w:rPr>
          <w:rFonts w:ascii="Verdana" w:hAnsi="Verdana"/>
          <w:sz w:val="20"/>
        </w:rPr>
      </w:pPr>
    </w:p>
    <w:p w:rsidR="00684D64" w:rsidRPr="00732C44" w:rsidRDefault="00684D64" w:rsidP="00732C44">
      <w:pPr>
        <w:spacing w:after="0" w:line="240" w:lineRule="auto"/>
        <w:jc w:val="both"/>
        <w:rPr>
          <w:rFonts w:ascii="Verdana" w:hAnsi="Verdana"/>
          <w:sz w:val="20"/>
        </w:rPr>
      </w:pPr>
    </w:p>
    <w:p w:rsidR="001764D9" w:rsidRDefault="00ED1AC7" w:rsidP="001764D9">
      <w:pPr>
        <w:numPr>
          <w:ilvl w:val="0"/>
          <w:numId w:val="11"/>
        </w:numPr>
        <w:spacing w:after="0" w:line="240" w:lineRule="auto"/>
        <w:ind w:left="0" w:firstLine="0"/>
        <w:jc w:val="both"/>
        <w:rPr>
          <w:rFonts w:ascii="Verdana" w:hAnsi="Verdana"/>
          <w:sz w:val="20"/>
        </w:rPr>
      </w:pPr>
      <w:r w:rsidRPr="00732C44">
        <w:rPr>
          <w:rFonts w:ascii="Verdana" w:hAnsi="Verdana"/>
          <w:sz w:val="20"/>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por ésta, lo cual es fundamental para evaluar el estado de cumplimiento de la Sentencia en su conjunto.</w:t>
      </w:r>
      <w:r>
        <w:rPr>
          <w:rFonts w:ascii="Verdana" w:hAnsi="Verdana"/>
          <w:sz w:val="20"/>
        </w:rPr>
        <w:t xml:space="preserve"> </w:t>
      </w:r>
      <w:r w:rsidR="00511D65" w:rsidRPr="004F601A">
        <w:rPr>
          <w:rFonts w:ascii="Verdana" w:hAnsi="Verdana"/>
          <w:sz w:val="20"/>
        </w:rPr>
        <w:t>Los Estados Parte en la Convención deben garantizar el cumplimiento de las disposiciones convencionales y sus efectos propios (</w:t>
      </w:r>
      <w:r w:rsidR="00511D65" w:rsidRPr="004F601A">
        <w:rPr>
          <w:rFonts w:ascii="Verdana" w:hAnsi="Verdana"/>
          <w:i/>
          <w:sz w:val="20"/>
        </w:rPr>
        <w:t>effet utile</w:t>
      </w:r>
      <w:r w:rsidR="00511D65" w:rsidRPr="004F601A">
        <w:rPr>
          <w:rFonts w:ascii="Verdana" w:hAnsi="Verdana"/>
          <w:sz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511D65">
        <w:rPr>
          <w:rStyle w:val="Refdenotaalpie"/>
          <w:rFonts w:ascii="Verdana" w:hAnsi="Verdana"/>
          <w:sz w:val="20"/>
        </w:rPr>
        <w:footnoteReference w:id="6"/>
      </w:r>
      <w:r w:rsidR="00511D65">
        <w:rPr>
          <w:rFonts w:ascii="Verdana" w:hAnsi="Verdana"/>
          <w:sz w:val="20"/>
        </w:rPr>
        <w:t>.</w:t>
      </w:r>
      <w:bookmarkStart w:id="3" w:name="_Ref467850046"/>
    </w:p>
    <w:p w:rsidR="001764D9" w:rsidRPr="001764D9" w:rsidRDefault="001764D9" w:rsidP="001764D9">
      <w:pPr>
        <w:spacing w:after="0" w:line="240" w:lineRule="auto"/>
        <w:jc w:val="both"/>
        <w:rPr>
          <w:rFonts w:ascii="Verdana" w:hAnsi="Verdana"/>
          <w:sz w:val="20"/>
        </w:rPr>
      </w:pPr>
    </w:p>
    <w:p w:rsidR="00C60F18" w:rsidRPr="00643E9A" w:rsidRDefault="00511D65" w:rsidP="00643E9A">
      <w:pPr>
        <w:numPr>
          <w:ilvl w:val="0"/>
          <w:numId w:val="11"/>
        </w:numPr>
        <w:spacing w:after="0" w:line="240" w:lineRule="auto"/>
        <w:ind w:left="0" w:firstLine="0"/>
        <w:jc w:val="both"/>
        <w:rPr>
          <w:rFonts w:ascii="Verdana" w:hAnsi="Verdana"/>
          <w:sz w:val="20"/>
        </w:rPr>
      </w:pPr>
      <w:r w:rsidRPr="009F5ABB">
        <w:rPr>
          <w:rFonts w:ascii="Verdana" w:hAnsi="Verdana"/>
          <w:sz w:val="20"/>
        </w:rPr>
        <w:t xml:space="preserve">En la presente Resolución, este Tribunal se pronunciará sobre </w:t>
      </w:r>
      <w:r>
        <w:rPr>
          <w:rFonts w:ascii="Verdana" w:hAnsi="Verdana"/>
          <w:sz w:val="20"/>
        </w:rPr>
        <w:t xml:space="preserve">tres </w:t>
      </w:r>
      <w:r w:rsidRPr="009F5ABB">
        <w:rPr>
          <w:rFonts w:ascii="Verdana" w:hAnsi="Verdana"/>
          <w:sz w:val="20"/>
        </w:rPr>
        <w:t xml:space="preserve">medidas de reparación </w:t>
      </w:r>
      <w:r w:rsidR="00536155">
        <w:rPr>
          <w:rFonts w:ascii="Verdana" w:hAnsi="Verdana"/>
          <w:sz w:val="20"/>
        </w:rPr>
        <w:t xml:space="preserve">respecto de </w:t>
      </w:r>
      <w:r>
        <w:rPr>
          <w:rFonts w:ascii="Verdana" w:hAnsi="Verdana"/>
          <w:sz w:val="20"/>
        </w:rPr>
        <w:t xml:space="preserve">las cuales </w:t>
      </w:r>
      <w:r w:rsidRPr="009F5ABB">
        <w:rPr>
          <w:rFonts w:ascii="Verdana" w:hAnsi="Verdana"/>
          <w:sz w:val="20"/>
        </w:rPr>
        <w:t>estima que</w:t>
      </w:r>
      <w:r>
        <w:rPr>
          <w:rFonts w:ascii="Verdana" w:hAnsi="Verdana"/>
          <w:sz w:val="20"/>
        </w:rPr>
        <w:t xml:space="preserve"> las partes han aportado información suficiente para realizar una valor</w:t>
      </w:r>
      <w:r w:rsidR="00643E9A">
        <w:rPr>
          <w:rFonts w:ascii="Verdana" w:hAnsi="Verdana"/>
          <w:sz w:val="20"/>
        </w:rPr>
        <w:t xml:space="preserve">ación acerca de su cumplimiento. Adicionalmente, la Corte realizará una solicitud de información </w:t>
      </w:r>
      <w:r w:rsidR="00536155">
        <w:rPr>
          <w:rFonts w:ascii="Verdana" w:hAnsi="Verdana"/>
          <w:sz w:val="20"/>
        </w:rPr>
        <w:t xml:space="preserve">sobre el </w:t>
      </w:r>
      <w:r w:rsidR="00643E9A">
        <w:rPr>
          <w:rFonts w:ascii="Verdana" w:hAnsi="Verdana"/>
          <w:sz w:val="20"/>
        </w:rPr>
        <w:t xml:space="preserve">resto de las medidas de reparación ordenadas en la </w:t>
      </w:r>
      <w:r w:rsidR="00643E9A">
        <w:rPr>
          <w:rFonts w:ascii="Verdana" w:hAnsi="Verdana"/>
          <w:sz w:val="20"/>
        </w:rPr>
        <w:lastRenderedPageBreak/>
        <w:t xml:space="preserve">Sentencia </w:t>
      </w:r>
      <w:r w:rsidR="00306F71">
        <w:rPr>
          <w:rFonts w:ascii="Verdana" w:hAnsi="Verdana"/>
          <w:sz w:val="20"/>
        </w:rPr>
        <w:t>pendientes de cumplimiento</w:t>
      </w:r>
      <w:r w:rsidR="00306F71">
        <w:rPr>
          <w:rStyle w:val="Refdenotaalpie"/>
          <w:rFonts w:ascii="Verdana" w:hAnsi="Verdana"/>
          <w:sz w:val="20"/>
        </w:rPr>
        <w:footnoteReference w:id="7"/>
      </w:r>
      <w:r w:rsidR="00805207">
        <w:rPr>
          <w:rFonts w:ascii="Verdana" w:hAnsi="Verdana"/>
          <w:sz w:val="20"/>
        </w:rPr>
        <w:t>,</w:t>
      </w:r>
      <w:r w:rsidR="00306F71">
        <w:rPr>
          <w:rFonts w:ascii="Verdana" w:hAnsi="Verdana"/>
          <w:sz w:val="20"/>
        </w:rPr>
        <w:t xml:space="preserve"> </w:t>
      </w:r>
      <w:r w:rsidR="00643E9A">
        <w:rPr>
          <w:rFonts w:ascii="Verdana" w:hAnsi="Verdana"/>
          <w:sz w:val="20"/>
        </w:rPr>
        <w:t>a efecto de estar en posi</w:t>
      </w:r>
      <w:r w:rsidR="00306F71">
        <w:rPr>
          <w:rFonts w:ascii="Verdana" w:hAnsi="Verdana"/>
          <w:sz w:val="20"/>
        </w:rPr>
        <w:t>bilidad de pronunciarse sobre las mismas en una posterior resolución.</w:t>
      </w:r>
      <w:r>
        <w:rPr>
          <w:rFonts w:ascii="Verdana" w:hAnsi="Verdana"/>
          <w:sz w:val="20"/>
        </w:rPr>
        <w:t xml:space="preserve"> </w:t>
      </w:r>
      <w:r w:rsidR="00581B46" w:rsidRPr="00643E9A">
        <w:rPr>
          <w:rFonts w:ascii="Verdana" w:hAnsi="Verdana"/>
          <w:sz w:val="20"/>
          <w:lang w:val="es-ES"/>
        </w:rPr>
        <w:t>La Corte estructurará sus consideraciones en el siguiente orden:</w:t>
      </w:r>
      <w:bookmarkEnd w:id="3"/>
    </w:p>
    <w:p w:rsidR="001764D9" w:rsidRPr="001764D9" w:rsidRDefault="001764D9">
      <w:pPr>
        <w:pStyle w:val="TtulodeTDC"/>
        <w:rPr>
          <w:sz w:val="2"/>
          <w:szCs w:val="2"/>
        </w:rPr>
      </w:pPr>
    </w:p>
    <w:p w:rsidR="001764D9" w:rsidRPr="00A970AB" w:rsidRDefault="001764D9" w:rsidP="001764D9">
      <w:pPr>
        <w:pStyle w:val="TDC1"/>
        <w:rPr>
          <w:rFonts w:ascii="Verdana" w:eastAsia="Times New Roman" w:hAnsi="Verdana"/>
          <w:noProof/>
          <w:sz w:val="18"/>
          <w:szCs w:val="18"/>
          <w:lang w:val="en-US"/>
        </w:rPr>
      </w:pPr>
      <w:r w:rsidRPr="001764D9">
        <w:fldChar w:fldCharType="begin"/>
      </w:r>
      <w:r w:rsidRPr="001764D9">
        <w:instrText xml:space="preserve"> TOC \o "1-3" \h \z \u </w:instrText>
      </w:r>
      <w:r w:rsidRPr="001764D9">
        <w:fldChar w:fldCharType="separate"/>
      </w:r>
      <w:hyperlink w:anchor="_Toc467850124" w:history="1">
        <w:r w:rsidRPr="001764D9">
          <w:rPr>
            <w:rStyle w:val="Hipervnculo"/>
            <w:rFonts w:ascii="Verdana" w:hAnsi="Verdana"/>
            <w:i/>
            <w:noProof/>
            <w:sz w:val="18"/>
            <w:szCs w:val="18"/>
          </w:rPr>
          <w:t>A.Obligación de investigar, juzgar y, en su caso, sancionar</w:t>
        </w:r>
        <w:r w:rsidRPr="001764D9">
          <w:rPr>
            <w:rFonts w:ascii="Verdana" w:hAnsi="Verdana"/>
            <w:noProof/>
            <w:webHidden/>
            <w:sz w:val="18"/>
            <w:szCs w:val="18"/>
          </w:rPr>
          <w:tab/>
        </w:r>
        <w:r w:rsidRPr="001764D9">
          <w:rPr>
            <w:rFonts w:ascii="Verdana" w:hAnsi="Verdana"/>
            <w:noProof/>
            <w:webHidden/>
            <w:sz w:val="18"/>
            <w:szCs w:val="18"/>
          </w:rPr>
          <w:fldChar w:fldCharType="begin"/>
        </w:r>
        <w:r w:rsidRPr="001764D9">
          <w:rPr>
            <w:rFonts w:ascii="Verdana" w:hAnsi="Verdana"/>
            <w:noProof/>
            <w:webHidden/>
            <w:sz w:val="18"/>
            <w:szCs w:val="18"/>
          </w:rPr>
          <w:instrText xml:space="preserve"> PAGEREF _Toc467850124 \h </w:instrText>
        </w:r>
        <w:r w:rsidRPr="001764D9">
          <w:rPr>
            <w:rFonts w:ascii="Verdana" w:hAnsi="Verdana"/>
            <w:noProof/>
            <w:webHidden/>
            <w:sz w:val="18"/>
            <w:szCs w:val="18"/>
          </w:rPr>
        </w:r>
        <w:r w:rsidRPr="001764D9">
          <w:rPr>
            <w:rFonts w:ascii="Verdana" w:hAnsi="Verdana"/>
            <w:noProof/>
            <w:webHidden/>
            <w:sz w:val="18"/>
            <w:szCs w:val="18"/>
          </w:rPr>
          <w:fldChar w:fldCharType="separate"/>
        </w:r>
        <w:r w:rsidR="00AC2F0E">
          <w:rPr>
            <w:rFonts w:ascii="Verdana" w:hAnsi="Verdana"/>
            <w:noProof/>
            <w:webHidden/>
            <w:sz w:val="18"/>
            <w:szCs w:val="18"/>
          </w:rPr>
          <w:t>3</w:t>
        </w:r>
        <w:r w:rsidRPr="001764D9">
          <w:rPr>
            <w:rFonts w:ascii="Verdana" w:hAnsi="Verdana"/>
            <w:noProof/>
            <w:webHidden/>
            <w:sz w:val="18"/>
            <w:szCs w:val="18"/>
          </w:rPr>
          <w:fldChar w:fldCharType="end"/>
        </w:r>
      </w:hyperlink>
    </w:p>
    <w:p w:rsidR="001764D9" w:rsidRPr="00A970AB" w:rsidRDefault="00ED04B8" w:rsidP="001764D9">
      <w:pPr>
        <w:pStyle w:val="TDC1"/>
        <w:rPr>
          <w:rFonts w:ascii="Verdana" w:eastAsia="Times New Roman" w:hAnsi="Verdana"/>
          <w:noProof/>
          <w:sz w:val="18"/>
          <w:szCs w:val="18"/>
          <w:lang w:val="en-US"/>
        </w:rPr>
      </w:pPr>
      <w:hyperlink w:anchor="_Toc467850125" w:history="1">
        <w:r w:rsidR="001764D9" w:rsidRPr="001764D9">
          <w:rPr>
            <w:rStyle w:val="Hipervnculo"/>
            <w:rFonts w:ascii="Verdana" w:hAnsi="Verdana"/>
            <w:i/>
            <w:noProof/>
            <w:sz w:val="18"/>
            <w:szCs w:val="18"/>
          </w:rPr>
          <w:t>B.Indemnizaciones por concepto de daños materiales e inmateriales, y reintegro de costas y gastos</w:t>
        </w:r>
        <w:r w:rsidR="001764D9" w:rsidRPr="001764D9">
          <w:rPr>
            <w:rFonts w:ascii="Verdana" w:hAnsi="Verdana"/>
            <w:noProof/>
            <w:webHidden/>
            <w:sz w:val="18"/>
            <w:szCs w:val="18"/>
          </w:rPr>
          <w:tab/>
        </w:r>
        <w:r w:rsidR="001764D9" w:rsidRPr="001764D9">
          <w:rPr>
            <w:rFonts w:ascii="Verdana" w:hAnsi="Verdana"/>
            <w:noProof/>
            <w:webHidden/>
            <w:sz w:val="18"/>
            <w:szCs w:val="18"/>
          </w:rPr>
          <w:fldChar w:fldCharType="begin"/>
        </w:r>
        <w:r w:rsidR="001764D9" w:rsidRPr="001764D9">
          <w:rPr>
            <w:rFonts w:ascii="Verdana" w:hAnsi="Verdana"/>
            <w:noProof/>
            <w:webHidden/>
            <w:sz w:val="18"/>
            <w:szCs w:val="18"/>
          </w:rPr>
          <w:instrText xml:space="preserve"> PAGEREF _Toc467850125 \h </w:instrText>
        </w:r>
        <w:r w:rsidR="001764D9" w:rsidRPr="001764D9">
          <w:rPr>
            <w:rFonts w:ascii="Verdana" w:hAnsi="Verdana"/>
            <w:noProof/>
            <w:webHidden/>
            <w:sz w:val="18"/>
            <w:szCs w:val="18"/>
          </w:rPr>
        </w:r>
        <w:r w:rsidR="001764D9" w:rsidRPr="001764D9">
          <w:rPr>
            <w:rFonts w:ascii="Verdana" w:hAnsi="Verdana"/>
            <w:noProof/>
            <w:webHidden/>
            <w:sz w:val="18"/>
            <w:szCs w:val="18"/>
          </w:rPr>
          <w:fldChar w:fldCharType="separate"/>
        </w:r>
        <w:r w:rsidR="00AC2F0E">
          <w:rPr>
            <w:rFonts w:ascii="Verdana" w:hAnsi="Verdana"/>
            <w:noProof/>
            <w:webHidden/>
            <w:sz w:val="18"/>
            <w:szCs w:val="18"/>
          </w:rPr>
          <w:t>7</w:t>
        </w:r>
        <w:r w:rsidR="001764D9" w:rsidRPr="001764D9">
          <w:rPr>
            <w:rFonts w:ascii="Verdana" w:hAnsi="Verdana"/>
            <w:noProof/>
            <w:webHidden/>
            <w:sz w:val="18"/>
            <w:szCs w:val="18"/>
          </w:rPr>
          <w:fldChar w:fldCharType="end"/>
        </w:r>
      </w:hyperlink>
    </w:p>
    <w:p w:rsidR="001764D9" w:rsidRPr="00A970AB" w:rsidRDefault="00ED04B8" w:rsidP="001764D9">
      <w:pPr>
        <w:pStyle w:val="TDC1"/>
        <w:rPr>
          <w:rFonts w:ascii="Verdana" w:eastAsia="Times New Roman" w:hAnsi="Verdana"/>
          <w:noProof/>
          <w:sz w:val="18"/>
          <w:szCs w:val="18"/>
          <w:lang w:val="en-US"/>
        </w:rPr>
      </w:pPr>
      <w:hyperlink w:anchor="_Toc467850126" w:history="1">
        <w:r w:rsidR="001764D9" w:rsidRPr="001764D9">
          <w:rPr>
            <w:rStyle w:val="Hipervnculo"/>
            <w:rFonts w:ascii="Verdana" w:hAnsi="Verdana"/>
            <w:i/>
            <w:noProof/>
            <w:sz w:val="18"/>
            <w:szCs w:val="18"/>
          </w:rPr>
          <w:t>C.Solicitud de información sobre reparaciones pendientes de cumplimiento</w:t>
        </w:r>
        <w:r w:rsidR="001764D9" w:rsidRPr="001764D9">
          <w:rPr>
            <w:rFonts w:ascii="Verdana" w:hAnsi="Verdana"/>
            <w:noProof/>
            <w:webHidden/>
            <w:sz w:val="18"/>
            <w:szCs w:val="18"/>
          </w:rPr>
          <w:tab/>
        </w:r>
        <w:r w:rsidR="001764D9" w:rsidRPr="001764D9">
          <w:rPr>
            <w:rFonts w:ascii="Verdana" w:hAnsi="Verdana"/>
            <w:noProof/>
            <w:webHidden/>
            <w:sz w:val="18"/>
            <w:szCs w:val="18"/>
          </w:rPr>
          <w:fldChar w:fldCharType="begin"/>
        </w:r>
        <w:r w:rsidR="001764D9" w:rsidRPr="001764D9">
          <w:rPr>
            <w:rFonts w:ascii="Verdana" w:hAnsi="Verdana"/>
            <w:noProof/>
            <w:webHidden/>
            <w:sz w:val="18"/>
            <w:szCs w:val="18"/>
          </w:rPr>
          <w:instrText xml:space="preserve"> PAGEREF _Toc467850126 \h </w:instrText>
        </w:r>
        <w:r w:rsidR="001764D9" w:rsidRPr="001764D9">
          <w:rPr>
            <w:rFonts w:ascii="Verdana" w:hAnsi="Verdana"/>
            <w:noProof/>
            <w:webHidden/>
            <w:sz w:val="18"/>
            <w:szCs w:val="18"/>
          </w:rPr>
        </w:r>
        <w:r w:rsidR="001764D9" w:rsidRPr="001764D9">
          <w:rPr>
            <w:rFonts w:ascii="Verdana" w:hAnsi="Verdana"/>
            <w:noProof/>
            <w:webHidden/>
            <w:sz w:val="18"/>
            <w:szCs w:val="18"/>
          </w:rPr>
          <w:fldChar w:fldCharType="separate"/>
        </w:r>
        <w:r w:rsidR="00AC2F0E">
          <w:rPr>
            <w:rFonts w:ascii="Verdana" w:hAnsi="Verdana"/>
            <w:noProof/>
            <w:webHidden/>
            <w:sz w:val="18"/>
            <w:szCs w:val="18"/>
          </w:rPr>
          <w:t>8</w:t>
        </w:r>
        <w:r w:rsidR="001764D9" w:rsidRPr="001764D9">
          <w:rPr>
            <w:rFonts w:ascii="Verdana" w:hAnsi="Verdana"/>
            <w:noProof/>
            <w:webHidden/>
            <w:sz w:val="18"/>
            <w:szCs w:val="18"/>
          </w:rPr>
          <w:fldChar w:fldCharType="end"/>
        </w:r>
      </w:hyperlink>
    </w:p>
    <w:p w:rsidR="004515E0" w:rsidRPr="001764D9" w:rsidRDefault="001764D9" w:rsidP="001764D9">
      <w:r w:rsidRPr="001764D9">
        <w:rPr>
          <w:rFonts w:ascii="Verdana" w:hAnsi="Verdana"/>
          <w:bCs/>
          <w:noProof/>
          <w:sz w:val="18"/>
          <w:szCs w:val="18"/>
        </w:rPr>
        <w:fldChar w:fldCharType="end"/>
      </w:r>
    </w:p>
    <w:p w:rsidR="00581B46" w:rsidRPr="00343E5B" w:rsidRDefault="00E05A34" w:rsidP="001764D9">
      <w:pPr>
        <w:pStyle w:val="Prrafodelista"/>
        <w:numPr>
          <w:ilvl w:val="0"/>
          <w:numId w:val="3"/>
        </w:numPr>
        <w:tabs>
          <w:tab w:val="left" w:pos="709"/>
        </w:tabs>
        <w:spacing w:before="120" w:after="120" w:line="240" w:lineRule="auto"/>
        <w:jc w:val="both"/>
        <w:outlineLvl w:val="0"/>
        <w:rPr>
          <w:rFonts w:ascii="Verdana" w:hAnsi="Verdana"/>
          <w:i/>
          <w:noProof/>
          <w:sz w:val="20"/>
          <w:szCs w:val="20"/>
        </w:rPr>
      </w:pPr>
      <w:bookmarkStart w:id="4" w:name="_Toc467850124"/>
      <w:r>
        <w:rPr>
          <w:rFonts w:ascii="Verdana" w:hAnsi="Verdana"/>
          <w:b/>
          <w:i/>
          <w:noProof/>
          <w:sz w:val="20"/>
          <w:szCs w:val="20"/>
        </w:rPr>
        <w:t>Obligación de investigar, juzgar y, en su caso, sancionar</w:t>
      </w:r>
      <w:bookmarkEnd w:id="4"/>
    </w:p>
    <w:p w:rsidR="00581B46" w:rsidRDefault="00581B46" w:rsidP="00581B46">
      <w:pPr>
        <w:tabs>
          <w:tab w:val="left" w:pos="709"/>
        </w:tabs>
        <w:spacing w:before="120" w:after="120" w:line="240" w:lineRule="auto"/>
        <w:jc w:val="both"/>
        <w:rPr>
          <w:rFonts w:ascii="Verdana" w:hAnsi="Verdana"/>
          <w:b/>
          <w:i/>
          <w:noProof/>
          <w:sz w:val="20"/>
          <w:szCs w:val="20"/>
        </w:rPr>
      </w:pPr>
      <w:r w:rsidRPr="00343E5B">
        <w:rPr>
          <w:rFonts w:ascii="Verdana" w:hAnsi="Verdana"/>
          <w:i/>
          <w:noProof/>
          <w:sz w:val="20"/>
          <w:szCs w:val="20"/>
        </w:rPr>
        <w:tab/>
      </w:r>
      <w:r w:rsidR="00684D64">
        <w:rPr>
          <w:rFonts w:ascii="Verdana" w:hAnsi="Verdana"/>
          <w:i/>
          <w:noProof/>
          <w:sz w:val="20"/>
          <w:szCs w:val="20"/>
        </w:rPr>
        <w:tab/>
      </w:r>
      <w:r w:rsidR="00684D64">
        <w:rPr>
          <w:rFonts w:ascii="Verdana" w:hAnsi="Verdana"/>
          <w:i/>
          <w:noProof/>
          <w:sz w:val="20"/>
          <w:szCs w:val="20"/>
        </w:rPr>
        <w:tab/>
      </w:r>
      <w:r w:rsidRPr="00E05A34">
        <w:rPr>
          <w:rFonts w:ascii="Verdana" w:hAnsi="Verdana"/>
          <w:b/>
          <w:i/>
          <w:noProof/>
          <w:sz w:val="20"/>
          <w:szCs w:val="20"/>
        </w:rPr>
        <w:t>A.1. Medida ordenada por la Corte</w:t>
      </w:r>
    </w:p>
    <w:p w:rsidR="00684D64" w:rsidRPr="00E05A34" w:rsidRDefault="00684D64" w:rsidP="00581B46">
      <w:pPr>
        <w:tabs>
          <w:tab w:val="left" w:pos="709"/>
        </w:tabs>
        <w:spacing w:before="120" w:after="120" w:line="240" w:lineRule="auto"/>
        <w:jc w:val="both"/>
        <w:rPr>
          <w:rFonts w:ascii="Verdana" w:hAnsi="Verdana"/>
          <w:b/>
          <w:i/>
          <w:noProof/>
          <w:sz w:val="20"/>
          <w:szCs w:val="20"/>
        </w:rPr>
      </w:pPr>
    </w:p>
    <w:p w:rsidR="00A2152B" w:rsidRDefault="00581B46" w:rsidP="0065358B">
      <w:pPr>
        <w:numPr>
          <w:ilvl w:val="0"/>
          <w:numId w:val="11"/>
        </w:numPr>
        <w:spacing w:after="0" w:line="240" w:lineRule="auto"/>
        <w:ind w:left="0" w:firstLine="0"/>
        <w:jc w:val="both"/>
        <w:rPr>
          <w:rFonts w:ascii="Verdana" w:hAnsi="Verdana"/>
          <w:noProof/>
          <w:sz w:val="20"/>
          <w:szCs w:val="20"/>
        </w:rPr>
      </w:pPr>
      <w:r w:rsidRPr="00F969F3">
        <w:rPr>
          <w:rFonts w:ascii="Verdana" w:hAnsi="Verdana"/>
          <w:sz w:val="20"/>
          <w:szCs w:val="20"/>
          <w:lang w:val="es-ES"/>
        </w:rPr>
        <w:t xml:space="preserve">En el punto dispositivo segundo y en los párrafos 194 a 197 de la Sentencia, la Corte </w:t>
      </w:r>
      <w:r w:rsidR="00FF39F4">
        <w:rPr>
          <w:rFonts w:ascii="Verdana" w:hAnsi="Verdana"/>
          <w:sz w:val="20"/>
          <w:szCs w:val="20"/>
          <w:lang w:val="es-ES"/>
        </w:rPr>
        <w:t>estableció</w:t>
      </w:r>
      <w:r w:rsidRPr="00F969F3">
        <w:rPr>
          <w:rFonts w:ascii="Verdana" w:hAnsi="Verdana"/>
          <w:sz w:val="20"/>
          <w:szCs w:val="20"/>
          <w:lang w:val="es-ES"/>
        </w:rPr>
        <w:t xml:space="preserve"> que el Estado “</w:t>
      </w:r>
      <w:r w:rsidRPr="00F969F3">
        <w:rPr>
          <w:rFonts w:ascii="Verdana" w:hAnsi="Verdana"/>
          <w:sz w:val="20"/>
          <w:szCs w:val="20"/>
        </w:rPr>
        <w:t xml:space="preserve">debe continuar y concluir las investigaciones y procesos necesarios, en un </w:t>
      </w:r>
      <w:r w:rsidRPr="00D87EB5">
        <w:rPr>
          <w:rFonts w:ascii="Verdana" w:hAnsi="Verdana"/>
          <w:sz w:val="20"/>
        </w:rPr>
        <w:t>plazo</w:t>
      </w:r>
      <w:r w:rsidRPr="00F969F3">
        <w:rPr>
          <w:rFonts w:ascii="Verdana" w:hAnsi="Verdana"/>
          <w:sz w:val="20"/>
          <w:szCs w:val="20"/>
        </w:rPr>
        <w:t xml:space="preserve"> razonable, con el fin de establecer la verdad de los hechos, así como de determinar y, en su caso, sancionar a los responsables de la desaparición forzada de Edgar Fernando García”.</w:t>
      </w:r>
    </w:p>
    <w:p w:rsidR="0065358B" w:rsidRPr="0065358B" w:rsidRDefault="0065358B" w:rsidP="0065358B">
      <w:pPr>
        <w:spacing w:after="0" w:line="240" w:lineRule="auto"/>
        <w:jc w:val="both"/>
        <w:rPr>
          <w:rFonts w:ascii="Verdana" w:hAnsi="Verdana"/>
          <w:noProof/>
          <w:sz w:val="20"/>
          <w:szCs w:val="20"/>
        </w:rPr>
      </w:pPr>
    </w:p>
    <w:p w:rsidR="00581B46" w:rsidRPr="00432F91" w:rsidRDefault="001069C0" w:rsidP="00991707">
      <w:pPr>
        <w:numPr>
          <w:ilvl w:val="0"/>
          <w:numId w:val="11"/>
        </w:numPr>
        <w:spacing w:after="0" w:line="240" w:lineRule="auto"/>
        <w:ind w:left="0" w:firstLine="0"/>
        <w:jc w:val="both"/>
      </w:pPr>
      <w:r>
        <w:rPr>
          <w:rFonts w:ascii="Verdana" w:hAnsi="Verdana"/>
          <w:sz w:val="20"/>
          <w:szCs w:val="20"/>
        </w:rPr>
        <w:t>En consecuencia</w:t>
      </w:r>
      <w:r w:rsidR="00581B46" w:rsidRPr="00F67453">
        <w:rPr>
          <w:rFonts w:ascii="Verdana" w:hAnsi="Verdana"/>
          <w:sz w:val="20"/>
          <w:szCs w:val="20"/>
        </w:rPr>
        <w:t xml:space="preserve">, </w:t>
      </w:r>
      <w:r w:rsidR="0065358B">
        <w:rPr>
          <w:rFonts w:ascii="Verdana" w:hAnsi="Verdana"/>
          <w:sz w:val="20"/>
          <w:szCs w:val="20"/>
        </w:rPr>
        <w:t>aun cuando la Corte valoró positivamente “la voluntad demostrada por el Estado de avanzar en la investigación d</w:t>
      </w:r>
      <w:r w:rsidR="008041E5">
        <w:rPr>
          <w:rFonts w:ascii="Verdana" w:hAnsi="Verdana"/>
          <w:sz w:val="20"/>
          <w:szCs w:val="20"/>
        </w:rPr>
        <w:t xml:space="preserve">e los hechos del presente caso”, </w:t>
      </w:r>
      <w:r w:rsidR="00581B46" w:rsidRPr="00F67453">
        <w:rPr>
          <w:rFonts w:ascii="Verdana" w:hAnsi="Verdana"/>
          <w:sz w:val="20"/>
          <w:szCs w:val="20"/>
        </w:rPr>
        <w:t>en el párrafo 196</w:t>
      </w:r>
      <w:r w:rsidR="00A2152B">
        <w:rPr>
          <w:rFonts w:ascii="Verdana" w:hAnsi="Verdana"/>
          <w:sz w:val="20"/>
          <w:szCs w:val="20"/>
        </w:rPr>
        <w:t xml:space="preserve"> de la </w:t>
      </w:r>
      <w:r w:rsidR="0065358B">
        <w:rPr>
          <w:rFonts w:ascii="Verdana" w:hAnsi="Verdana"/>
          <w:sz w:val="20"/>
          <w:szCs w:val="20"/>
        </w:rPr>
        <w:t>Sentencia</w:t>
      </w:r>
      <w:r w:rsidR="00652D44">
        <w:rPr>
          <w:rFonts w:ascii="Verdana" w:hAnsi="Verdana"/>
          <w:sz w:val="20"/>
          <w:szCs w:val="20"/>
        </w:rPr>
        <w:t xml:space="preserve"> </w:t>
      </w:r>
      <w:r w:rsidR="00581B46" w:rsidRPr="00F67453">
        <w:rPr>
          <w:rFonts w:ascii="Verdana" w:hAnsi="Verdana"/>
          <w:sz w:val="20"/>
          <w:szCs w:val="20"/>
        </w:rPr>
        <w:t>recordó al Estado que debía</w:t>
      </w:r>
      <w:r w:rsidR="00581B46">
        <w:rPr>
          <w:rFonts w:ascii="Verdana" w:hAnsi="Verdana"/>
          <w:sz w:val="20"/>
          <w:szCs w:val="20"/>
        </w:rPr>
        <w:t xml:space="preserve"> continuar l</w:t>
      </w:r>
      <w:r w:rsidR="00581B46" w:rsidRPr="00F67453">
        <w:rPr>
          <w:rFonts w:ascii="Verdana" w:hAnsi="Verdana"/>
          <w:sz w:val="20"/>
          <w:szCs w:val="20"/>
        </w:rPr>
        <w:t>a</w:t>
      </w:r>
      <w:r w:rsidR="00581B46">
        <w:rPr>
          <w:rFonts w:ascii="Verdana" w:hAnsi="Verdana"/>
          <w:sz w:val="20"/>
          <w:szCs w:val="20"/>
        </w:rPr>
        <w:t>s</w:t>
      </w:r>
      <w:r w:rsidR="00581B46" w:rsidRPr="00F67453">
        <w:rPr>
          <w:rFonts w:ascii="Verdana" w:hAnsi="Verdana"/>
          <w:sz w:val="20"/>
          <w:szCs w:val="20"/>
        </w:rPr>
        <w:t xml:space="preserve"> investigaciones eficazmente y con la debida diligencia para “determinar y en su caso sancionar a los demás</w:t>
      </w:r>
      <w:r w:rsidR="0075336B">
        <w:rPr>
          <w:rFonts w:ascii="Verdana" w:hAnsi="Verdana"/>
          <w:sz w:val="20"/>
          <w:szCs w:val="20"/>
        </w:rPr>
        <w:t xml:space="preserve"> </w:t>
      </w:r>
      <w:r w:rsidR="0075336B" w:rsidRPr="00F67453">
        <w:rPr>
          <w:rFonts w:ascii="Verdana" w:hAnsi="Verdana"/>
          <w:sz w:val="20"/>
          <w:szCs w:val="20"/>
        </w:rPr>
        <w:t>responsables</w:t>
      </w:r>
      <w:r w:rsidR="00581B46" w:rsidRPr="00F67453">
        <w:rPr>
          <w:rFonts w:ascii="Verdana" w:hAnsi="Verdana"/>
          <w:sz w:val="20"/>
          <w:szCs w:val="20"/>
        </w:rPr>
        <w:t>, tanto materiales como intelectuales, de la desaparición forzada de Edgar Fernando García”</w:t>
      </w:r>
      <w:r w:rsidR="00ED1AC7">
        <w:rPr>
          <w:rFonts w:ascii="Verdana" w:hAnsi="Verdana"/>
          <w:sz w:val="20"/>
          <w:szCs w:val="20"/>
        </w:rPr>
        <w:t xml:space="preserve"> (</w:t>
      </w:r>
      <w:r w:rsidR="00ED1AC7">
        <w:rPr>
          <w:rFonts w:ascii="Verdana" w:hAnsi="Verdana"/>
          <w:i/>
          <w:sz w:val="20"/>
          <w:szCs w:val="20"/>
        </w:rPr>
        <w:t>infra</w:t>
      </w:r>
      <w:r w:rsidR="00ED1AC7">
        <w:rPr>
          <w:rFonts w:ascii="Verdana" w:hAnsi="Verdana"/>
          <w:sz w:val="20"/>
          <w:szCs w:val="20"/>
        </w:rPr>
        <w:t xml:space="preserve"> Considerando </w:t>
      </w:r>
      <w:r w:rsidR="00ED1AC7">
        <w:rPr>
          <w:rFonts w:ascii="Verdana" w:hAnsi="Verdana"/>
          <w:sz w:val="20"/>
          <w:szCs w:val="20"/>
        </w:rPr>
        <w:fldChar w:fldCharType="begin"/>
      </w:r>
      <w:r w:rsidR="00ED1AC7">
        <w:rPr>
          <w:rFonts w:ascii="Verdana" w:hAnsi="Verdana"/>
          <w:sz w:val="20"/>
          <w:szCs w:val="20"/>
        </w:rPr>
        <w:instrText xml:space="preserve"> REF _Ref467850509 \r \h </w:instrText>
      </w:r>
      <w:r w:rsidR="00ED1AC7">
        <w:rPr>
          <w:rFonts w:ascii="Verdana" w:hAnsi="Verdana"/>
          <w:sz w:val="20"/>
          <w:szCs w:val="20"/>
        </w:rPr>
      </w:r>
      <w:r w:rsidR="00ED1AC7">
        <w:rPr>
          <w:rFonts w:ascii="Verdana" w:hAnsi="Verdana"/>
          <w:sz w:val="20"/>
          <w:szCs w:val="20"/>
        </w:rPr>
        <w:fldChar w:fldCharType="separate"/>
      </w:r>
      <w:r w:rsidR="00AC2F0E">
        <w:rPr>
          <w:rFonts w:ascii="Verdana" w:hAnsi="Verdana"/>
          <w:sz w:val="20"/>
          <w:szCs w:val="20"/>
        </w:rPr>
        <w:t>6</w:t>
      </w:r>
      <w:r w:rsidR="00ED1AC7">
        <w:rPr>
          <w:rFonts w:ascii="Verdana" w:hAnsi="Verdana"/>
          <w:sz w:val="20"/>
          <w:szCs w:val="20"/>
        </w:rPr>
        <w:fldChar w:fldCharType="end"/>
      </w:r>
      <w:r w:rsidR="00ED1AC7">
        <w:rPr>
          <w:rFonts w:ascii="Verdana" w:hAnsi="Verdana"/>
          <w:sz w:val="20"/>
          <w:szCs w:val="20"/>
        </w:rPr>
        <w:t>) velando porque se observaran los siguientes criterios</w:t>
      </w:r>
      <w:r w:rsidR="00ED1AC7">
        <w:rPr>
          <w:rStyle w:val="Refdenotaalpie"/>
          <w:rFonts w:ascii="Verdana" w:hAnsi="Verdana"/>
          <w:sz w:val="20"/>
          <w:szCs w:val="20"/>
        </w:rPr>
        <w:footnoteReference w:id="8"/>
      </w:r>
      <w:r w:rsidR="00581B46" w:rsidRPr="00F67453">
        <w:rPr>
          <w:rFonts w:ascii="Verdana" w:hAnsi="Verdana"/>
          <w:sz w:val="20"/>
          <w:szCs w:val="20"/>
        </w:rPr>
        <w:t>:</w:t>
      </w:r>
    </w:p>
    <w:p w:rsidR="00E16767" w:rsidRDefault="00E16767" w:rsidP="00432F91">
      <w:pPr>
        <w:spacing w:after="0" w:line="240" w:lineRule="auto"/>
        <w:jc w:val="both"/>
      </w:pPr>
    </w:p>
    <w:p w:rsidR="00581B46" w:rsidRPr="00B6751D" w:rsidRDefault="00581B46" w:rsidP="00B6751D">
      <w:pPr>
        <w:tabs>
          <w:tab w:val="left" w:pos="630"/>
        </w:tabs>
        <w:spacing w:line="240" w:lineRule="auto"/>
        <w:ind w:left="360" w:right="720"/>
        <w:jc w:val="both"/>
        <w:rPr>
          <w:rFonts w:ascii="Verdana" w:hAnsi="Verdana"/>
          <w:sz w:val="16"/>
          <w:szCs w:val="16"/>
        </w:rPr>
      </w:pPr>
      <w:r w:rsidRPr="00B6751D">
        <w:rPr>
          <w:rFonts w:ascii="Verdana" w:hAnsi="Verdana"/>
          <w:sz w:val="16"/>
          <w:szCs w:val="16"/>
        </w:rPr>
        <w:t xml:space="preserve">a) </w:t>
      </w:r>
      <w:r w:rsidRPr="00B6751D">
        <w:rPr>
          <w:rFonts w:ascii="Verdana" w:hAnsi="Verdana"/>
          <w:sz w:val="16"/>
          <w:szCs w:val="16"/>
        </w:rPr>
        <w:tab/>
        <w:t>continuar y concluir la o las investigaciones pertinentes en relación con los hechos del presente caso, con el objeto de que el proceso y las investigaciones sean conducidas en consideración de la complejidad de los hechos y contexto de violaciones sistemáticas a los derechos humanos en que ocurrieron, con la debida diligencia evitando omisiones en la recolección de prueba y en el seguimiento de líneas lógicas de investigación;</w:t>
      </w:r>
    </w:p>
    <w:p w:rsidR="00581B46" w:rsidRPr="00B6751D" w:rsidRDefault="00581B46" w:rsidP="00B6751D">
      <w:pPr>
        <w:tabs>
          <w:tab w:val="left" w:pos="630"/>
        </w:tabs>
        <w:spacing w:line="240" w:lineRule="auto"/>
        <w:ind w:left="360" w:right="720"/>
        <w:jc w:val="both"/>
        <w:rPr>
          <w:rFonts w:ascii="Verdana" w:hAnsi="Verdana"/>
          <w:sz w:val="16"/>
          <w:szCs w:val="16"/>
        </w:rPr>
      </w:pPr>
      <w:r w:rsidRPr="00B6751D">
        <w:rPr>
          <w:rFonts w:ascii="Verdana" w:hAnsi="Verdana"/>
          <w:sz w:val="16"/>
          <w:szCs w:val="16"/>
        </w:rPr>
        <w:t>b)</w:t>
      </w:r>
      <w:r w:rsidRPr="00B6751D">
        <w:rPr>
          <w:rFonts w:ascii="Verdana" w:hAnsi="Verdana"/>
          <w:sz w:val="16"/>
          <w:szCs w:val="16"/>
        </w:rPr>
        <w:tab/>
        <w:t xml:space="preserve"> por tratarse de una violación grave a los derechos humanos el Estado deberá abstenerse de recurrir a figuras como la amnistía, ni argumentar prescripción, irretroactividad de la ley penal, cosa juzgada, ni el principio </w:t>
      </w:r>
      <w:r w:rsidRPr="00B6751D">
        <w:rPr>
          <w:rFonts w:ascii="Verdana" w:hAnsi="Verdana"/>
          <w:i/>
          <w:sz w:val="16"/>
          <w:szCs w:val="16"/>
        </w:rPr>
        <w:t>non bis in idem</w:t>
      </w:r>
      <w:r w:rsidRPr="00B6751D">
        <w:rPr>
          <w:rFonts w:ascii="Verdana" w:hAnsi="Verdana"/>
          <w:sz w:val="16"/>
          <w:szCs w:val="16"/>
        </w:rPr>
        <w:t xml:space="preserve"> o cualquier excluyente similar de responsabilidad, para excusarse de la obligación de investigar y sancionar a los responsables;</w:t>
      </w:r>
    </w:p>
    <w:p w:rsidR="00581B46" w:rsidRPr="00B6751D" w:rsidRDefault="00581B46" w:rsidP="00B6751D">
      <w:pPr>
        <w:tabs>
          <w:tab w:val="left" w:pos="630"/>
        </w:tabs>
        <w:spacing w:line="240" w:lineRule="auto"/>
        <w:ind w:left="360" w:right="720"/>
        <w:jc w:val="both"/>
        <w:rPr>
          <w:rFonts w:ascii="Verdana" w:hAnsi="Verdana"/>
          <w:sz w:val="16"/>
          <w:szCs w:val="16"/>
        </w:rPr>
      </w:pPr>
      <w:r w:rsidRPr="00B6751D">
        <w:rPr>
          <w:rFonts w:ascii="Verdana" w:hAnsi="Verdana"/>
          <w:sz w:val="16"/>
          <w:szCs w:val="16"/>
        </w:rPr>
        <w:lastRenderedPageBreak/>
        <w:t>c)</w:t>
      </w:r>
      <w:r w:rsidRPr="00B6751D">
        <w:rPr>
          <w:rFonts w:ascii="Verdana" w:hAnsi="Verdana"/>
          <w:sz w:val="16"/>
          <w:szCs w:val="16"/>
        </w:rPr>
        <w:tab/>
        <w:t xml:space="preserve">asegurarse que: i) las autoridades competentes realicen las investigaciones correspondientes </w:t>
      </w:r>
      <w:r w:rsidRPr="00B6751D">
        <w:rPr>
          <w:rFonts w:ascii="Verdana" w:hAnsi="Verdana"/>
          <w:i/>
          <w:sz w:val="16"/>
          <w:szCs w:val="16"/>
        </w:rPr>
        <w:t>ex officio</w:t>
      </w:r>
      <w:r w:rsidRPr="00B6751D">
        <w:rPr>
          <w:rFonts w:ascii="Verdana" w:hAnsi="Verdana"/>
          <w:sz w:val="16"/>
          <w:szCs w:val="16"/>
        </w:rPr>
        <w:t>, y que para tal efecto tengan a su alcance y utilicen todos los recursos logísticos y científicos necesarios para recabar y procesar las pruebas y, en particular, tengan las facultades para acceder a la documentación e información pertinentes para investigar los hechos denunciados y llevar a cabo con prontitud aquellas actuaciones y averiguaciones esenciales para esclarecer lo sucedido a Edgar Fernando García, y ii) las autoridades se abstengan de realizar actos que impliquen la obstrucción del proceso investigativo;</w:t>
      </w:r>
    </w:p>
    <w:p w:rsidR="00581B46" w:rsidRPr="00B6751D" w:rsidRDefault="00581B46" w:rsidP="00B6751D">
      <w:pPr>
        <w:tabs>
          <w:tab w:val="left" w:pos="630"/>
        </w:tabs>
        <w:spacing w:line="240" w:lineRule="auto"/>
        <w:ind w:left="360" w:right="720"/>
        <w:jc w:val="both"/>
        <w:rPr>
          <w:rFonts w:ascii="Verdana" w:hAnsi="Verdana"/>
          <w:sz w:val="16"/>
          <w:szCs w:val="16"/>
        </w:rPr>
      </w:pPr>
      <w:r w:rsidRPr="00B6751D">
        <w:rPr>
          <w:rFonts w:ascii="Verdana" w:hAnsi="Verdana"/>
          <w:sz w:val="16"/>
          <w:szCs w:val="16"/>
        </w:rPr>
        <w:t xml:space="preserve">d) </w:t>
      </w:r>
      <w:r w:rsidRPr="00B6751D">
        <w:rPr>
          <w:rFonts w:ascii="Verdana" w:hAnsi="Verdana"/>
          <w:sz w:val="16"/>
          <w:szCs w:val="16"/>
        </w:rPr>
        <w:tab/>
        <w:t xml:space="preserve"> deberá determinar la identidad de los presuntos autores materiales e intelectuales de la desaparición forzada de la víctima;</w:t>
      </w:r>
    </w:p>
    <w:p w:rsidR="00581B46" w:rsidRPr="00B6751D" w:rsidRDefault="00581B46" w:rsidP="00B6751D">
      <w:pPr>
        <w:pStyle w:val="Prrafodelista"/>
        <w:tabs>
          <w:tab w:val="left" w:pos="630"/>
          <w:tab w:val="num" w:pos="1517"/>
        </w:tabs>
        <w:spacing w:line="240" w:lineRule="auto"/>
        <w:ind w:left="360" w:right="720"/>
        <w:jc w:val="both"/>
        <w:rPr>
          <w:rFonts w:ascii="Verdana" w:hAnsi="Verdana" w:cs="Arial"/>
          <w:sz w:val="16"/>
          <w:szCs w:val="16"/>
        </w:rPr>
      </w:pPr>
      <w:r w:rsidRPr="00B6751D">
        <w:rPr>
          <w:rFonts w:ascii="Verdana" w:hAnsi="Verdana"/>
          <w:sz w:val="16"/>
          <w:szCs w:val="16"/>
        </w:rPr>
        <w:t xml:space="preserve">e) </w:t>
      </w:r>
      <w:r w:rsidRPr="00B6751D">
        <w:rPr>
          <w:rFonts w:ascii="Verdana" w:hAnsi="Verdana" w:cs="Arial"/>
          <w:sz w:val="16"/>
          <w:szCs w:val="16"/>
        </w:rPr>
        <w:t xml:space="preserve">deberá </w:t>
      </w:r>
      <w:r w:rsidRPr="00B6751D">
        <w:rPr>
          <w:rFonts w:ascii="Verdana" w:hAnsi="Verdana"/>
          <w:sz w:val="16"/>
          <w:szCs w:val="16"/>
        </w:rPr>
        <w:t xml:space="preserve">iniciar las </w:t>
      </w:r>
      <w:r w:rsidRPr="00B6751D">
        <w:rPr>
          <w:rFonts w:ascii="Verdana" w:hAnsi="Verdana" w:cs="Arial"/>
          <w:sz w:val="16"/>
          <w:szCs w:val="16"/>
        </w:rPr>
        <w:t xml:space="preserve">acciones disciplinarias, administrativas o penales, de acuerdo con su legislación interna, </w:t>
      </w:r>
      <w:r w:rsidRPr="00B6751D">
        <w:rPr>
          <w:rFonts w:ascii="Verdana" w:hAnsi="Verdana"/>
          <w:sz w:val="16"/>
          <w:szCs w:val="16"/>
        </w:rPr>
        <w:t xml:space="preserve">de las posibles autoridades del Estado que hayan obstaculizado o obstaculicen la investigación debida de los hechos, así como los responsables de las </w:t>
      </w:r>
      <w:r w:rsidRPr="00B6751D">
        <w:rPr>
          <w:rFonts w:ascii="Verdana" w:hAnsi="Verdana" w:cs="Arial"/>
          <w:sz w:val="16"/>
          <w:szCs w:val="16"/>
        </w:rPr>
        <w:t>distintas irregularidades procesales que han contribuido a prolongar su impunidad, y</w:t>
      </w:r>
    </w:p>
    <w:p w:rsidR="00581B46" w:rsidRPr="00B6751D" w:rsidRDefault="00581B46" w:rsidP="00B6751D">
      <w:pPr>
        <w:tabs>
          <w:tab w:val="left" w:pos="630"/>
        </w:tabs>
        <w:spacing w:before="120" w:after="120" w:line="240" w:lineRule="auto"/>
        <w:ind w:left="360" w:right="720"/>
        <w:jc w:val="both"/>
        <w:rPr>
          <w:rFonts w:ascii="Verdana" w:hAnsi="Verdana"/>
          <w:sz w:val="16"/>
          <w:szCs w:val="16"/>
        </w:rPr>
      </w:pPr>
      <w:r w:rsidRPr="00B6751D">
        <w:rPr>
          <w:rFonts w:ascii="Verdana" w:hAnsi="Verdana" w:cs="Arial"/>
          <w:sz w:val="16"/>
          <w:szCs w:val="16"/>
        </w:rPr>
        <w:t xml:space="preserve">f) deberá </w:t>
      </w:r>
      <w:r w:rsidRPr="00B6751D">
        <w:rPr>
          <w:rFonts w:ascii="Verdana" w:hAnsi="Verdana"/>
          <w:sz w:val="16"/>
          <w:szCs w:val="16"/>
        </w:rPr>
        <w:t xml:space="preserve">asegurar que </w:t>
      </w:r>
      <w:r w:rsidRPr="00B6751D">
        <w:rPr>
          <w:rFonts w:ascii="Verdana" w:hAnsi="Verdana" w:cs="TimesNewRomanPSMT"/>
          <w:sz w:val="16"/>
          <w:szCs w:val="16"/>
          <w:lang w:bidi="en-US"/>
        </w:rPr>
        <w:t>los distintos órganos del sistema de justicia involucrados en el caso cuenten con los recursos humanos y materiales necesarios para desempeñar sus tareas de manera adecuada, independiente e imparcial, y que las personas que participen en la investigación, entre ellas las víctimas o sus representantes, testigos y operadores de justicia, cuenten con las debidas garantías de seguridad</w:t>
      </w:r>
      <w:r w:rsidRPr="00B6751D">
        <w:rPr>
          <w:rFonts w:ascii="Verdana" w:hAnsi="Verdana"/>
          <w:sz w:val="16"/>
          <w:szCs w:val="16"/>
        </w:rPr>
        <w:t>.</w:t>
      </w:r>
      <w:r w:rsidR="00BB79AF">
        <w:rPr>
          <w:rFonts w:ascii="Verdana" w:hAnsi="Verdana"/>
          <w:sz w:val="16"/>
          <w:szCs w:val="16"/>
        </w:rPr>
        <w:t xml:space="preserve"> </w:t>
      </w:r>
    </w:p>
    <w:p w:rsidR="00581B46" w:rsidRPr="00F67453" w:rsidRDefault="00581B46" w:rsidP="00581B46">
      <w:pPr>
        <w:pStyle w:val="Prrafodelista"/>
        <w:spacing w:before="120" w:after="120" w:line="240" w:lineRule="auto"/>
        <w:ind w:left="709"/>
        <w:contextualSpacing w:val="0"/>
        <w:jc w:val="both"/>
        <w:rPr>
          <w:rFonts w:ascii="Verdana" w:hAnsi="Verdana"/>
          <w:i/>
          <w:sz w:val="20"/>
          <w:szCs w:val="20"/>
        </w:rPr>
      </w:pPr>
    </w:p>
    <w:p w:rsidR="00581B46" w:rsidRPr="00D92B2E" w:rsidRDefault="00581B46" w:rsidP="00581B46">
      <w:pPr>
        <w:pStyle w:val="Prrafodelista"/>
        <w:spacing w:before="120" w:after="120" w:line="240" w:lineRule="auto"/>
        <w:ind w:left="709"/>
        <w:contextualSpacing w:val="0"/>
        <w:jc w:val="both"/>
        <w:rPr>
          <w:rFonts w:ascii="Verdana" w:hAnsi="Verdana"/>
          <w:b/>
          <w:i/>
          <w:sz w:val="20"/>
          <w:szCs w:val="20"/>
          <w:lang w:val="es-ES"/>
        </w:rPr>
      </w:pPr>
      <w:r w:rsidRPr="00D92B2E">
        <w:rPr>
          <w:rFonts w:ascii="Verdana" w:hAnsi="Verdana"/>
          <w:b/>
          <w:i/>
          <w:sz w:val="20"/>
          <w:szCs w:val="20"/>
          <w:lang w:val="es-ES"/>
        </w:rPr>
        <w:t>A.2. Consideraciones de la Corte</w:t>
      </w:r>
    </w:p>
    <w:p w:rsidR="00D87EB5" w:rsidRPr="009A23C6" w:rsidRDefault="0065358B" w:rsidP="00991707">
      <w:pPr>
        <w:numPr>
          <w:ilvl w:val="0"/>
          <w:numId w:val="11"/>
        </w:numPr>
        <w:spacing w:after="0" w:line="240" w:lineRule="auto"/>
        <w:ind w:left="0" w:firstLine="0"/>
        <w:jc w:val="both"/>
        <w:rPr>
          <w:rFonts w:ascii="Verdana" w:hAnsi="Verdana"/>
          <w:sz w:val="20"/>
          <w:szCs w:val="20"/>
          <w:lang w:val="es-ES"/>
        </w:rPr>
      </w:pPr>
      <w:bookmarkStart w:id="5" w:name="_Ref467850509"/>
      <w:r w:rsidRPr="009A23C6">
        <w:rPr>
          <w:rFonts w:ascii="Verdana" w:hAnsi="Verdana"/>
          <w:sz w:val="20"/>
          <w:szCs w:val="20"/>
        </w:rPr>
        <w:t>En la Sentencia, la Corte reconoció que se habían producido recientes avances en la obligación de investigar, como lo fue la determinación judicial de responsabilidad penal de dos autores materiales de la desaparición</w:t>
      </w:r>
      <w:r w:rsidR="00652D44" w:rsidRPr="009A23C6">
        <w:rPr>
          <w:rFonts w:ascii="Verdana" w:hAnsi="Verdana"/>
          <w:sz w:val="20"/>
          <w:szCs w:val="20"/>
        </w:rPr>
        <w:t xml:space="preserve"> del señor García</w:t>
      </w:r>
      <w:r w:rsidRPr="009A23C6">
        <w:rPr>
          <w:rFonts w:ascii="Verdana" w:hAnsi="Verdana"/>
          <w:sz w:val="20"/>
          <w:szCs w:val="20"/>
        </w:rPr>
        <w:t>, pero indicó que se mantenía de forma parcial la impunidad que por 26 años había caracterizado este caso</w:t>
      </w:r>
      <w:r>
        <w:rPr>
          <w:rStyle w:val="Refdenotaalpie"/>
          <w:rFonts w:ascii="Verdana" w:hAnsi="Verdana"/>
          <w:sz w:val="20"/>
          <w:szCs w:val="20"/>
        </w:rPr>
        <w:footnoteReference w:id="9"/>
      </w:r>
      <w:r w:rsidRPr="009A23C6">
        <w:rPr>
          <w:rFonts w:ascii="Verdana" w:hAnsi="Verdana"/>
          <w:sz w:val="20"/>
          <w:szCs w:val="20"/>
        </w:rPr>
        <w:t xml:space="preserve">. La Corte consideró que, sin perjuicio de los avances alcanzados luego de 2009, </w:t>
      </w:r>
      <w:r w:rsidR="008C1E9C" w:rsidRPr="009A23C6">
        <w:rPr>
          <w:rFonts w:ascii="Verdana" w:hAnsi="Verdana"/>
          <w:sz w:val="20"/>
          <w:szCs w:val="20"/>
        </w:rPr>
        <w:t>“</w:t>
      </w:r>
      <w:r w:rsidRPr="009A23C6">
        <w:rPr>
          <w:rFonts w:ascii="Verdana" w:hAnsi="Verdana"/>
          <w:sz w:val="20"/>
          <w:szCs w:val="20"/>
        </w:rPr>
        <w:t>el Estado incumplió su obligación de iniciar una investigación de oficio, por todos los medios legales disponibles y con la debida diligencia sobre la desaparición forzada de Edgar Fernando García, así como tampoco respetó la garantía del plazo razonable</w:t>
      </w:r>
      <w:r w:rsidR="008C1E9C" w:rsidRPr="009A23C6">
        <w:rPr>
          <w:rFonts w:ascii="Verdana" w:hAnsi="Verdana"/>
          <w:sz w:val="20"/>
          <w:szCs w:val="20"/>
        </w:rPr>
        <w:t>”</w:t>
      </w:r>
      <w:r>
        <w:rPr>
          <w:rStyle w:val="Refdenotaalpie"/>
          <w:rFonts w:ascii="Verdana" w:hAnsi="Verdana"/>
          <w:sz w:val="20"/>
          <w:szCs w:val="20"/>
        </w:rPr>
        <w:footnoteReference w:id="10"/>
      </w:r>
      <w:r w:rsidRPr="009A23C6">
        <w:rPr>
          <w:rFonts w:ascii="Verdana" w:hAnsi="Verdana"/>
          <w:sz w:val="20"/>
          <w:szCs w:val="20"/>
        </w:rPr>
        <w:t>.</w:t>
      </w:r>
      <w:r w:rsidRPr="009A23C6">
        <w:rPr>
          <w:sz w:val="20"/>
          <w:szCs w:val="20"/>
        </w:rPr>
        <w:t xml:space="preserve"> </w:t>
      </w:r>
      <w:r w:rsidRPr="009A23C6">
        <w:rPr>
          <w:rFonts w:ascii="Verdana" w:hAnsi="Verdana"/>
          <w:sz w:val="20"/>
          <w:szCs w:val="20"/>
          <w:lang w:val="es-ES"/>
        </w:rPr>
        <w:t>A</w:t>
      </w:r>
      <w:r w:rsidR="00581B46" w:rsidRPr="009A23C6">
        <w:rPr>
          <w:rFonts w:ascii="Verdana" w:hAnsi="Verdana"/>
          <w:sz w:val="20"/>
          <w:szCs w:val="20"/>
          <w:lang w:val="es-ES"/>
        </w:rPr>
        <w:t xml:space="preserve"> la fecha en la que se dictó la Sentencia, </w:t>
      </w:r>
      <w:r w:rsidR="00BF4DE9" w:rsidRPr="009A23C6">
        <w:rPr>
          <w:rFonts w:ascii="Verdana" w:hAnsi="Verdana"/>
          <w:sz w:val="20"/>
          <w:szCs w:val="20"/>
          <w:lang w:val="es-ES"/>
        </w:rPr>
        <w:t>se habían producido los siguientes avances en la investigación y juzgamiento penal</w:t>
      </w:r>
      <w:r w:rsidR="00C8328C" w:rsidRPr="009A23C6">
        <w:rPr>
          <w:rFonts w:ascii="Verdana" w:hAnsi="Verdana"/>
          <w:sz w:val="20"/>
          <w:szCs w:val="20"/>
          <w:lang w:val="es-ES"/>
        </w:rPr>
        <w:t>: (i)</w:t>
      </w:r>
      <w:r w:rsidR="00581B46" w:rsidRPr="009A23C6">
        <w:rPr>
          <w:rFonts w:ascii="Verdana" w:hAnsi="Verdana"/>
          <w:sz w:val="20"/>
          <w:szCs w:val="20"/>
          <w:lang w:val="es-ES"/>
        </w:rPr>
        <w:t xml:space="preserve"> sentencia condenatoria firme de 28 de octubre de 2010 en contra de dos “autores materiales” de la desaparición de Edgar Fernando García</w:t>
      </w:r>
      <w:r w:rsidR="00581B46">
        <w:rPr>
          <w:rStyle w:val="Refdenotaalpie"/>
          <w:rFonts w:ascii="Verdana" w:hAnsi="Verdana"/>
          <w:sz w:val="20"/>
          <w:szCs w:val="20"/>
          <w:lang w:val="es-ES"/>
        </w:rPr>
        <w:footnoteReference w:id="11"/>
      </w:r>
      <w:r w:rsidR="00581B46" w:rsidRPr="009A23C6">
        <w:rPr>
          <w:rFonts w:ascii="Verdana" w:hAnsi="Verdana"/>
          <w:sz w:val="20"/>
          <w:szCs w:val="20"/>
          <w:lang w:val="es-ES"/>
        </w:rPr>
        <w:t xml:space="preserve">; </w:t>
      </w:r>
      <w:r w:rsidR="00C8328C" w:rsidRPr="009A23C6">
        <w:rPr>
          <w:rFonts w:ascii="Verdana" w:hAnsi="Verdana"/>
          <w:sz w:val="20"/>
          <w:szCs w:val="20"/>
          <w:lang w:val="es-ES"/>
        </w:rPr>
        <w:t xml:space="preserve">(ii) </w:t>
      </w:r>
      <w:r w:rsidR="00581B46" w:rsidRPr="009A23C6">
        <w:rPr>
          <w:rFonts w:ascii="Verdana" w:hAnsi="Verdana"/>
          <w:sz w:val="20"/>
          <w:szCs w:val="20"/>
          <w:lang w:val="es-ES"/>
        </w:rPr>
        <w:t xml:space="preserve">la identificación de otras dos personas </w:t>
      </w:r>
      <w:r w:rsidR="008D513A" w:rsidRPr="009A23C6">
        <w:rPr>
          <w:rFonts w:ascii="Verdana" w:hAnsi="Verdana"/>
          <w:sz w:val="20"/>
          <w:szCs w:val="20"/>
          <w:lang w:val="es-ES"/>
        </w:rPr>
        <w:t>sindicadas como</w:t>
      </w:r>
      <w:r w:rsidR="00581B46" w:rsidRPr="009A23C6">
        <w:rPr>
          <w:rFonts w:ascii="Verdana" w:hAnsi="Verdana"/>
          <w:sz w:val="20"/>
          <w:szCs w:val="20"/>
          <w:lang w:val="es-ES"/>
        </w:rPr>
        <w:t xml:space="preserve"> “autores materiales”</w:t>
      </w:r>
      <w:r w:rsidR="00581B46">
        <w:rPr>
          <w:rStyle w:val="Refdenotaalpie"/>
          <w:rFonts w:ascii="Verdana" w:hAnsi="Verdana"/>
          <w:sz w:val="20"/>
          <w:szCs w:val="20"/>
          <w:lang w:val="es-ES"/>
        </w:rPr>
        <w:footnoteReference w:id="12"/>
      </w:r>
      <w:r w:rsidR="00581B46" w:rsidRPr="009A23C6">
        <w:rPr>
          <w:rFonts w:ascii="Verdana" w:hAnsi="Verdana"/>
          <w:sz w:val="20"/>
          <w:szCs w:val="20"/>
          <w:lang w:val="es-ES"/>
        </w:rPr>
        <w:t xml:space="preserve">, quienes se encontraban </w:t>
      </w:r>
      <w:r w:rsidR="002E7349" w:rsidRPr="009A23C6">
        <w:rPr>
          <w:rFonts w:ascii="Verdana" w:hAnsi="Verdana"/>
          <w:sz w:val="20"/>
          <w:szCs w:val="20"/>
          <w:lang w:val="es-ES"/>
        </w:rPr>
        <w:t>“</w:t>
      </w:r>
      <w:r w:rsidR="00581B46" w:rsidRPr="009A23C6">
        <w:rPr>
          <w:rFonts w:ascii="Verdana" w:hAnsi="Verdana"/>
          <w:sz w:val="20"/>
          <w:szCs w:val="20"/>
          <w:lang w:val="es-ES"/>
        </w:rPr>
        <w:t>prófugos de la justicia desde 2009</w:t>
      </w:r>
      <w:r w:rsidR="00590034" w:rsidRPr="009A23C6">
        <w:rPr>
          <w:rFonts w:ascii="Verdana" w:hAnsi="Verdana"/>
          <w:sz w:val="20"/>
          <w:szCs w:val="20"/>
          <w:lang w:val="es-ES"/>
        </w:rPr>
        <w:t>”</w:t>
      </w:r>
      <w:r w:rsidR="00590034">
        <w:rPr>
          <w:rStyle w:val="Refdenotaalpie"/>
          <w:rFonts w:ascii="Verdana" w:hAnsi="Verdana"/>
          <w:sz w:val="20"/>
          <w:szCs w:val="20"/>
          <w:lang w:val="es-ES"/>
        </w:rPr>
        <w:footnoteReference w:id="13"/>
      </w:r>
      <w:r w:rsidR="00581B46" w:rsidRPr="009A23C6">
        <w:rPr>
          <w:rFonts w:ascii="Verdana" w:hAnsi="Verdana"/>
          <w:sz w:val="20"/>
          <w:szCs w:val="20"/>
          <w:lang w:val="es-ES"/>
        </w:rPr>
        <w:t xml:space="preserve">; y </w:t>
      </w:r>
      <w:r w:rsidR="00C8328C" w:rsidRPr="009A23C6">
        <w:rPr>
          <w:rFonts w:ascii="Verdana" w:hAnsi="Verdana"/>
          <w:sz w:val="20"/>
          <w:szCs w:val="20"/>
          <w:lang w:val="es-ES"/>
        </w:rPr>
        <w:t xml:space="preserve">(iii) </w:t>
      </w:r>
      <w:r w:rsidR="00F36B8E" w:rsidRPr="009A23C6">
        <w:rPr>
          <w:rFonts w:ascii="Verdana" w:hAnsi="Verdana"/>
          <w:sz w:val="20"/>
          <w:szCs w:val="20"/>
          <w:lang w:val="es-ES"/>
        </w:rPr>
        <w:t xml:space="preserve">la identificación de </w:t>
      </w:r>
      <w:r w:rsidR="00581B46" w:rsidRPr="009A23C6">
        <w:rPr>
          <w:rFonts w:ascii="Verdana" w:hAnsi="Verdana"/>
          <w:sz w:val="20"/>
          <w:szCs w:val="20"/>
          <w:lang w:val="es-ES"/>
        </w:rPr>
        <w:t>otras dos personas señaladas como presuntos “autores intelectuales”</w:t>
      </w:r>
      <w:r w:rsidR="00581B46">
        <w:rPr>
          <w:rStyle w:val="Refdenotaalpie"/>
          <w:rFonts w:ascii="Verdana" w:hAnsi="Verdana"/>
          <w:sz w:val="20"/>
          <w:szCs w:val="20"/>
          <w:lang w:val="es-ES"/>
        </w:rPr>
        <w:footnoteReference w:id="14"/>
      </w:r>
      <w:r w:rsidR="00581B46" w:rsidRPr="009A23C6">
        <w:rPr>
          <w:rFonts w:ascii="Verdana" w:hAnsi="Verdana"/>
          <w:sz w:val="20"/>
          <w:szCs w:val="20"/>
          <w:lang w:val="es-ES"/>
        </w:rPr>
        <w:t>, quienes en ese momento estaban siendo procesadas.</w:t>
      </w:r>
      <w:bookmarkEnd w:id="5"/>
      <w:r w:rsidR="00581B46" w:rsidRPr="009A23C6">
        <w:rPr>
          <w:rFonts w:ascii="Verdana" w:hAnsi="Verdana"/>
          <w:sz w:val="20"/>
          <w:szCs w:val="20"/>
          <w:lang w:val="es-ES"/>
        </w:rPr>
        <w:t xml:space="preserve"> </w:t>
      </w:r>
    </w:p>
    <w:p w:rsidR="009A23C6" w:rsidRPr="009A23C6" w:rsidRDefault="009A23C6" w:rsidP="009A23C6">
      <w:pPr>
        <w:spacing w:after="0" w:line="240" w:lineRule="auto"/>
        <w:jc w:val="both"/>
        <w:rPr>
          <w:rFonts w:ascii="Verdana" w:hAnsi="Verdana"/>
          <w:sz w:val="20"/>
          <w:szCs w:val="20"/>
          <w:lang w:val="es-ES"/>
        </w:rPr>
      </w:pPr>
    </w:p>
    <w:p w:rsidR="00581B46" w:rsidRDefault="00014908" w:rsidP="00991707">
      <w:pPr>
        <w:numPr>
          <w:ilvl w:val="0"/>
          <w:numId w:val="11"/>
        </w:numPr>
        <w:spacing w:after="0" w:line="240" w:lineRule="auto"/>
        <w:ind w:left="0" w:firstLine="0"/>
        <w:jc w:val="both"/>
        <w:rPr>
          <w:rFonts w:ascii="Verdana" w:hAnsi="Verdana"/>
          <w:sz w:val="20"/>
          <w:szCs w:val="20"/>
          <w:lang w:val="es-ES"/>
        </w:rPr>
      </w:pPr>
      <w:bookmarkStart w:id="6" w:name="_Ref467850542"/>
      <w:r>
        <w:rPr>
          <w:rFonts w:ascii="Verdana" w:hAnsi="Verdana"/>
          <w:sz w:val="20"/>
          <w:szCs w:val="20"/>
          <w:lang w:val="es-ES"/>
        </w:rPr>
        <w:t>L</w:t>
      </w:r>
      <w:r w:rsidR="00581B46" w:rsidRPr="009C160D">
        <w:rPr>
          <w:rFonts w:ascii="Verdana" w:hAnsi="Verdana"/>
          <w:sz w:val="20"/>
          <w:szCs w:val="20"/>
          <w:lang w:val="es-ES"/>
        </w:rPr>
        <w:t>a Corte constata que</w:t>
      </w:r>
      <w:r w:rsidR="00E33757">
        <w:rPr>
          <w:rFonts w:ascii="Verdana" w:hAnsi="Verdana"/>
          <w:sz w:val="20"/>
          <w:szCs w:val="20"/>
          <w:lang w:val="es-ES"/>
        </w:rPr>
        <w:t xml:space="preserve">, durante la etapa de supervisión de cumplimiento de </w:t>
      </w:r>
      <w:r w:rsidR="00EB3D58">
        <w:rPr>
          <w:rFonts w:ascii="Verdana" w:hAnsi="Verdana"/>
          <w:sz w:val="20"/>
          <w:szCs w:val="20"/>
          <w:lang w:val="es-ES"/>
        </w:rPr>
        <w:t>sentencia</w:t>
      </w:r>
      <w:r w:rsidR="00E33757">
        <w:rPr>
          <w:rFonts w:ascii="Verdana" w:hAnsi="Verdana"/>
          <w:sz w:val="20"/>
          <w:szCs w:val="20"/>
          <w:lang w:val="es-ES"/>
        </w:rPr>
        <w:t>,</w:t>
      </w:r>
      <w:r w:rsidR="00581B46" w:rsidRPr="009C160D">
        <w:rPr>
          <w:rFonts w:ascii="Verdana" w:hAnsi="Verdana"/>
          <w:sz w:val="20"/>
          <w:szCs w:val="20"/>
          <w:lang w:val="es-ES"/>
        </w:rPr>
        <w:t xml:space="preserve"> el 20 de septiembre del 2013</w:t>
      </w:r>
      <w:r w:rsidR="005C4126">
        <w:rPr>
          <w:rStyle w:val="Refdenotaalpie"/>
          <w:rFonts w:ascii="Verdana" w:hAnsi="Verdana"/>
          <w:sz w:val="20"/>
          <w:szCs w:val="20"/>
          <w:lang w:val="es-ES"/>
        </w:rPr>
        <w:footnoteReference w:id="15"/>
      </w:r>
      <w:r w:rsidR="00581B46" w:rsidRPr="009C160D">
        <w:rPr>
          <w:rFonts w:ascii="Verdana" w:hAnsi="Verdana"/>
          <w:sz w:val="20"/>
          <w:szCs w:val="20"/>
          <w:lang w:val="es-ES"/>
        </w:rPr>
        <w:t xml:space="preserve"> el Tribunal Primero de Sentencia Penal, </w:t>
      </w:r>
      <w:r w:rsidR="00581B46" w:rsidRPr="009C160D">
        <w:rPr>
          <w:rFonts w:ascii="Verdana" w:hAnsi="Verdana"/>
          <w:sz w:val="20"/>
          <w:szCs w:val="20"/>
          <w:lang w:val="es-ES"/>
        </w:rPr>
        <w:lastRenderedPageBreak/>
        <w:t>Narcoactividad y Delitos contra el Ambiente dictó sentencia condenatoria</w:t>
      </w:r>
      <w:r w:rsidR="00581B46">
        <w:rPr>
          <w:rFonts w:ascii="Verdana" w:hAnsi="Verdana"/>
          <w:sz w:val="20"/>
          <w:szCs w:val="20"/>
          <w:lang w:val="es-ES"/>
        </w:rPr>
        <w:t xml:space="preserve"> </w:t>
      </w:r>
      <w:r w:rsidR="00581B46" w:rsidRPr="009C160D">
        <w:rPr>
          <w:rFonts w:ascii="Verdana" w:hAnsi="Verdana"/>
          <w:sz w:val="20"/>
          <w:szCs w:val="20"/>
          <w:lang w:val="es-ES"/>
        </w:rPr>
        <w:t>en contra de Héctor Rafael Bol de la Cruz (Director de la Policía Nacional en la época en que se cometió el delito) y Jorge Alberto Gómez López (</w:t>
      </w:r>
      <w:r w:rsidR="00581B46">
        <w:rPr>
          <w:rFonts w:ascii="Verdana" w:hAnsi="Verdana"/>
          <w:sz w:val="20"/>
          <w:szCs w:val="20"/>
          <w:lang w:val="es-ES"/>
        </w:rPr>
        <w:t>Jefe del Cuarto C</w:t>
      </w:r>
      <w:r w:rsidR="00581B46" w:rsidRPr="009C160D">
        <w:rPr>
          <w:rFonts w:ascii="Verdana" w:hAnsi="Verdana"/>
          <w:sz w:val="20"/>
          <w:szCs w:val="20"/>
          <w:lang w:val="es-ES"/>
        </w:rPr>
        <w:t>uerpo de la Policía Nacional Civil que tenía asignado el sec</w:t>
      </w:r>
      <w:r w:rsidR="00581B46">
        <w:rPr>
          <w:rFonts w:ascii="Verdana" w:hAnsi="Verdana"/>
          <w:sz w:val="20"/>
          <w:szCs w:val="20"/>
          <w:lang w:val="es-ES"/>
        </w:rPr>
        <w:t>tor donde se cometió el delito)</w:t>
      </w:r>
      <w:r w:rsidR="005C2127">
        <w:rPr>
          <w:rFonts w:ascii="Verdana" w:hAnsi="Verdana"/>
          <w:sz w:val="20"/>
          <w:szCs w:val="20"/>
          <w:lang w:val="es-ES"/>
        </w:rPr>
        <w:t>,</w:t>
      </w:r>
      <w:r w:rsidR="00581B46">
        <w:rPr>
          <w:rFonts w:ascii="Verdana" w:hAnsi="Verdana"/>
          <w:sz w:val="20"/>
          <w:szCs w:val="20"/>
          <w:lang w:val="es-ES"/>
        </w:rPr>
        <w:t xml:space="preserve"> </w:t>
      </w:r>
      <w:r w:rsidR="005C2127">
        <w:rPr>
          <w:rFonts w:ascii="Verdana" w:hAnsi="Verdana"/>
          <w:sz w:val="20"/>
          <w:szCs w:val="20"/>
          <w:lang w:val="es-ES"/>
        </w:rPr>
        <w:t>declarándolos</w:t>
      </w:r>
      <w:r w:rsidR="00581B46" w:rsidRPr="009C160D">
        <w:rPr>
          <w:rFonts w:ascii="Verdana" w:hAnsi="Verdana"/>
          <w:sz w:val="20"/>
          <w:szCs w:val="20"/>
          <w:lang w:val="es-ES"/>
        </w:rPr>
        <w:t xml:space="preserve"> </w:t>
      </w:r>
      <w:r w:rsidR="00581B46">
        <w:rPr>
          <w:rFonts w:ascii="Verdana" w:hAnsi="Verdana"/>
          <w:sz w:val="20"/>
          <w:szCs w:val="20"/>
          <w:lang w:val="es-ES"/>
        </w:rPr>
        <w:t>“</w:t>
      </w:r>
      <w:r w:rsidR="00581B46" w:rsidRPr="009C160D">
        <w:rPr>
          <w:rFonts w:ascii="Verdana" w:hAnsi="Verdana"/>
          <w:sz w:val="20"/>
          <w:szCs w:val="20"/>
          <w:lang w:val="es-ES"/>
        </w:rPr>
        <w:t xml:space="preserve">responsables </w:t>
      </w:r>
      <w:r w:rsidR="005C2127">
        <w:rPr>
          <w:rFonts w:ascii="Verdana" w:hAnsi="Verdana"/>
          <w:sz w:val="20"/>
          <w:szCs w:val="20"/>
          <w:lang w:val="es-ES"/>
        </w:rPr>
        <w:t xml:space="preserve">como </w:t>
      </w:r>
      <w:r w:rsidR="00581B46" w:rsidRPr="009C160D">
        <w:rPr>
          <w:rFonts w:ascii="Verdana" w:hAnsi="Verdana"/>
          <w:sz w:val="20"/>
          <w:szCs w:val="20"/>
          <w:lang w:val="es-ES"/>
        </w:rPr>
        <w:t>autores del delito de desaparición forzada</w:t>
      </w:r>
      <w:r w:rsidR="005C2127">
        <w:rPr>
          <w:rFonts w:ascii="Verdana" w:hAnsi="Verdana"/>
          <w:sz w:val="20"/>
          <w:szCs w:val="20"/>
          <w:lang w:val="es-ES"/>
        </w:rPr>
        <w:t>,</w:t>
      </w:r>
      <w:r w:rsidR="00581B46" w:rsidRPr="009C160D">
        <w:rPr>
          <w:rFonts w:ascii="Verdana" w:hAnsi="Verdana"/>
          <w:sz w:val="20"/>
          <w:szCs w:val="20"/>
          <w:lang w:val="es-ES"/>
        </w:rPr>
        <w:t xml:space="preserve"> cometido en contra de la libertad y seguridad de Edgar Fernando García</w:t>
      </w:r>
      <w:r w:rsidR="00733441">
        <w:rPr>
          <w:rFonts w:ascii="Verdana" w:hAnsi="Verdana"/>
          <w:sz w:val="20"/>
          <w:szCs w:val="20"/>
          <w:lang w:val="es-ES"/>
        </w:rPr>
        <w:t>”</w:t>
      </w:r>
      <w:r w:rsidR="00D87EB5">
        <w:rPr>
          <w:rFonts w:ascii="Verdana" w:hAnsi="Verdana"/>
          <w:sz w:val="20"/>
          <w:szCs w:val="20"/>
          <w:lang w:val="es-ES"/>
        </w:rPr>
        <w:t>.</w:t>
      </w:r>
      <w:r w:rsidR="00ED1AC7">
        <w:rPr>
          <w:rFonts w:ascii="Verdana" w:hAnsi="Verdana"/>
          <w:sz w:val="20"/>
          <w:szCs w:val="20"/>
          <w:lang w:val="es-ES"/>
        </w:rPr>
        <w:t xml:space="preserve"> Se les impuso una pena de cuarenta años de prisión inconmutables.</w:t>
      </w:r>
      <w:r w:rsidR="00581B46">
        <w:rPr>
          <w:rFonts w:ascii="Verdana" w:hAnsi="Verdana"/>
          <w:sz w:val="20"/>
          <w:szCs w:val="20"/>
          <w:lang w:val="es-ES"/>
        </w:rPr>
        <w:t xml:space="preserve"> </w:t>
      </w:r>
      <w:r w:rsidR="00E33757">
        <w:rPr>
          <w:rFonts w:ascii="Verdana" w:hAnsi="Verdana"/>
          <w:sz w:val="20"/>
          <w:szCs w:val="20"/>
          <w:lang w:val="es-ES"/>
        </w:rPr>
        <w:t xml:space="preserve">En </w:t>
      </w:r>
      <w:r w:rsidR="00581B46" w:rsidRPr="009C160D">
        <w:rPr>
          <w:rFonts w:ascii="Verdana" w:hAnsi="Verdana"/>
          <w:sz w:val="20"/>
          <w:szCs w:val="20"/>
          <w:lang w:val="es-ES"/>
        </w:rPr>
        <w:t xml:space="preserve">el informe presentado el 20 de mayo de 2015 Guatemala confirmó que dicha </w:t>
      </w:r>
      <w:r w:rsidR="00E33757">
        <w:rPr>
          <w:rFonts w:ascii="Verdana" w:hAnsi="Verdana"/>
          <w:sz w:val="20"/>
          <w:szCs w:val="20"/>
          <w:lang w:val="es-ES"/>
        </w:rPr>
        <w:t>sentencia</w:t>
      </w:r>
      <w:r w:rsidR="00581B46" w:rsidRPr="009C160D">
        <w:rPr>
          <w:rFonts w:ascii="Verdana" w:hAnsi="Verdana"/>
          <w:sz w:val="20"/>
          <w:szCs w:val="20"/>
          <w:lang w:val="es-ES"/>
        </w:rPr>
        <w:t xml:space="preserve"> se encuentra firme</w:t>
      </w:r>
      <w:r w:rsidR="00753091">
        <w:rPr>
          <w:rFonts w:ascii="Verdana" w:hAnsi="Verdana"/>
          <w:sz w:val="20"/>
          <w:szCs w:val="20"/>
          <w:lang w:val="es-ES"/>
        </w:rPr>
        <w:t xml:space="preserve">, </w:t>
      </w:r>
      <w:r w:rsidR="00733711">
        <w:rPr>
          <w:rFonts w:ascii="Verdana" w:hAnsi="Verdana"/>
          <w:sz w:val="20"/>
          <w:szCs w:val="20"/>
          <w:lang w:val="es-ES"/>
        </w:rPr>
        <w:t xml:space="preserve">y aportó un informe del </w:t>
      </w:r>
      <w:r w:rsidR="00581B46">
        <w:rPr>
          <w:rFonts w:ascii="Verdana" w:hAnsi="Verdana"/>
          <w:sz w:val="20"/>
          <w:szCs w:val="20"/>
          <w:lang w:val="es-ES"/>
        </w:rPr>
        <w:t>Ministerio Público</w:t>
      </w:r>
      <w:r w:rsidR="00D87EB5">
        <w:rPr>
          <w:rStyle w:val="Refdenotaalpie"/>
          <w:rFonts w:ascii="Verdana" w:hAnsi="Verdana"/>
          <w:sz w:val="20"/>
          <w:szCs w:val="20"/>
          <w:lang w:val="es-ES"/>
        </w:rPr>
        <w:footnoteReference w:id="16"/>
      </w:r>
      <w:r w:rsidR="00581B46">
        <w:rPr>
          <w:rFonts w:ascii="Verdana" w:hAnsi="Verdana"/>
          <w:sz w:val="20"/>
          <w:szCs w:val="20"/>
          <w:lang w:val="es-ES"/>
        </w:rPr>
        <w:t xml:space="preserve"> </w:t>
      </w:r>
      <w:r w:rsidR="00733711">
        <w:rPr>
          <w:rFonts w:ascii="Verdana" w:hAnsi="Verdana"/>
          <w:sz w:val="20"/>
          <w:szCs w:val="20"/>
          <w:lang w:val="es-ES"/>
        </w:rPr>
        <w:t xml:space="preserve">en el cual se </w:t>
      </w:r>
      <w:r w:rsidR="00581B46">
        <w:rPr>
          <w:rFonts w:ascii="Verdana" w:hAnsi="Verdana"/>
          <w:sz w:val="20"/>
          <w:szCs w:val="20"/>
          <w:lang w:val="es-ES"/>
        </w:rPr>
        <w:t xml:space="preserve">expuso que existían </w:t>
      </w:r>
      <w:r w:rsidR="00EB3D58">
        <w:rPr>
          <w:rFonts w:ascii="Verdana" w:hAnsi="Verdana"/>
          <w:sz w:val="20"/>
          <w:szCs w:val="20"/>
          <w:lang w:val="es-ES"/>
        </w:rPr>
        <w:t xml:space="preserve">cuatro condenados que </w:t>
      </w:r>
      <w:r w:rsidR="00581B46">
        <w:rPr>
          <w:rFonts w:ascii="Verdana" w:hAnsi="Verdana"/>
          <w:sz w:val="20"/>
          <w:szCs w:val="20"/>
          <w:lang w:val="es-ES"/>
        </w:rPr>
        <w:t xml:space="preserve">se encontraban en prisión como consecuencia de sentencias condenatorias firmes y dos </w:t>
      </w:r>
      <w:r w:rsidR="00EB3D58">
        <w:rPr>
          <w:rFonts w:ascii="Verdana" w:hAnsi="Verdana"/>
          <w:sz w:val="20"/>
          <w:szCs w:val="20"/>
          <w:lang w:val="es-ES"/>
        </w:rPr>
        <w:t xml:space="preserve">sindicados que </w:t>
      </w:r>
      <w:r w:rsidR="00581B46">
        <w:rPr>
          <w:rFonts w:ascii="Verdana" w:hAnsi="Verdana"/>
          <w:sz w:val="20"/>
          <w:szCs w:val="20"/>
          <w:lang w:val="es-ES"/>
        </w:rPr>
        <w:t xml:space="preserve">estaban </w:t>
      </w:r>
      <w:r w:rsidR="00DF5AEA">
        <w:rPr>
          <w:rFonts w:ascii="Verdana" w:hAnsi="Verdana"/>
          <w:sz w:val="20"/>
          <w:szCs w:val="20"/>
          <w:lang w:val="es-ES"/>
        </w:rPr>
        <w:t>“pe</w:t>
      </w:r>
      <w:r w:rsidR="00753091">
        <w:rPr>
          <w:rFonts w:ascii="Verdana" w:hAnsi="Verdana"/>
          <w:sz w:val="20"/>
          <w:szCs w:val="20"/>
          <w:lang w:val="es-ES"/>
        </w:rPr>
        <w:t xml:space="preserve">ndientes de ser aprehendid[o]s” </w:t>
      </w:r>
      <w:r w:rsidR="00581B46">
        <w:rPr>
          <w:rFonts w:ascii="Verdana" w:hAnsi="Verdana"/>
          <w:sz w:val="20"/>
          <w:szCs w:val="20"/>
          <w:lang w:val="es-ES"/>
        </w:rPr>
        <w:t>con orden de aprehensión en su contra. Asimismo, proporcionó un listado tanto de las diligencias que ha realizado en relación a las personas que se encuentran pendientes de ser aprehendidas</w:t>
      </w:r>
      <w:r w:rsidR="0096494C">
        <w:rPr>
          <w:rStyle w:val="Refdenotaalpie"/>
          <w:rFonts w:ascii="Verdana" w:hAnsi="Verdana"/>
          <w:sz w:val="20"/>
          <w:szCs w:val="20"/>
          <w:lang w:val="es-ES"/>
        </w:rPr>
        <w:footnoteReference w:id="17"/>
      </w:r>
      <w:r w:rsidR="00581B46">
        <w:rPr>
          <w:rFonts w:ascii="Verdana" w:hAnsi="Verdana"/>
          <w:sz w:val="20"/>
          <w:szCs w:val="20"/>
          <w:lang w:val="es-ES"/>
        </w:rPr>
        <w:t xml:space="preserve"> como de las diligencias pendientes po</w:t>
      </w:r>
      <w:r w:rsidR="00DA7089">
        <w:rPr>
          <w:rFonts w:ascii="Verdana" w:hAnsi="Verdana"/>
          <w:sz w:val="20"/>
          <w:szCs w:val="20"/>
          <w:lang w:val="es-ES"/>
        </w:rPr>
        <w:t>r realizar consistentes en: a) c</w:t>
      </w:r>
      <w:r w:rsidR="00581B46">
        <w:rPr>
          <w:rFonts w:ascii="Verdana" w:hAnsi="Verdana"/>
          <w:sz w:val="20"/>
          <w:szCs w:val="20"/>
          <w:lang w:val="es-ES"/>
        </w:rPr>
        <w:t>ontinuar</w:t>
      </w:r>
      <w:r w:rsidR="00DA7089">
        <w:rPr>
          <w:rFonts w:ascii="Verdana" w:hAnsi="Verdana"/>
          <w:sz w:val="20"/>
          <w:szCs w:val="20"/>
          <w:lang w:val="es-ES"/>
        </w:rPr>
        <w:t xml:space="preserve"> el diligenciamiento respectivo</w:t>
      </w:r>
      <w:r w:rsidR="00581B46">
        <w:rPr>
          <w:rFonts w:ascii="Verdana" w:hAnsi="Verdana"/>
          <w:sz w:val="20"/>
          <w:szCs w:val="20"/>
          <w:lang w:val="es-ES"/>
        </w:rPr>
        <w:t xml:space="preserve"> para la aprehensión y extradición de</w:t>
      </w:r>
      <w:r w:rsidR="00C946F2">
        <w:rPr>
          <w:rFonts w:ascii="Verdana" w:hAnsi="Verdana"/>
          <w:sz w:val="20"/>
          <w:szCs w:val="20"/>
          <w:lang w:val="es-ES"/>
        </w:rPr>
        <w:t xml:space="preserve"> uno</w:t>
      </w:r>
      <w:r w:rsidR="00DA7089">
        <w:rPr>
          <w:rFonts w:ascii="Verdana" w:hAnsi="Verdana"/>
          <w:sz w:val="20"/>
          <w:szCs w:val="20"/>
          <w:lang w:val="es-ES"/>
        </w:rPr>
        <w:t xml:space="preserve"> de los agentes policiales</w:t>
      </w:r>
      <w:r w:rsidR="00581B46">
        <w:rPr>
          <w:rFonts w:ascii="Verdana" w:hAnsi="Verdana"/>
          <w:sz w:val="20"/>
          <w:szCs w:val="20"/>
          <w:lang w:val="es-ES"/>
        </w:rPr>
        <w:t>,</w:t>
      </w:r>
      <w:r w:rsidR="00DA7089">
        <w:rPr>
          <w:rFonts w:ascii="Verdana" w:hAnsi="Verdana"/>
          <w:sz w:val="20"/>
          <w:szCs w:val="20"/>
          <w:lang w:val="es-ES"/>
        </w:rPr>
        <w:t xml:space="preserve"> b) e</w:t>
      </w:r>
      <w:r w:rsidR="00581B46">
        <w:rPr>
          <w:rFonts w:ascii="Verdana" w:hAnsi="Verdana"/>
          <w:sz w:val="20"/>
          <w:szCs w:val="20"/>
          <w:lang w:val="es-ES"/>
        </w:rPr>
        <w:t>stablecer el lugar de permanencia de</w:t>
      </w:r>
      <w:r w:rsidR="00DA7089">
        <w:rPr>
          <w:rFonts w:ascii="Verdana" w:hAnsi="Verdana"/>
          <w:sz w:val="20"/>
          <w:szCs w:val="20"/>
          <w:lang w:val="es-ES"/>
        </w:rPr>
        <w:t>l segundo agente policial a efecto de</w:t>
      </w:r>
      <w:r w:rsidR="00581B46">
        <w:rPr>
          <w:rFonts w:ascii="Verdana" w:hAnsi="Verdana"/>
          <w:sz w:val="20"/>
          <w:szCs w:val="20"/>
          <w:lang w:val="es-ES"/>
        </w:rPr>
        <w:t xml:space="preserve"> poder llevar a cabo su aprehensión y posible extradición,</w:t>
      </w:r>
      <w:r w:rsidR="00DA7089">
        <w:rPr>
          <w:rFonts w:ascii="Verdana" w:hAnsi="Verdana"/>
          <w:sz w:val="20"/>
          <w:szCs w:val="20"/>
          <w:lang w:val="es-ES"/>
        </w:rPr>
        <w:t xml:space="preserve"> dependiente del lugar donde sea ubicado, y c) i</w:t>
      </w:r>
      <w:r w:rsidR="00581B46">
        <w:rPr>
          <w:rFonts w:ascii="Verdana" w:hAnsi="Verdana"/>
          <w:sz w:val="20"/>
          <w:szCs w:val="20"/>
          <w:lang w:val="es-ES"/>
        </w:rPr>
        <w:t>ndividualizaci</w:t>
      </w:r>
      <w:r w:rsidR="00DA7089">
        <w:rPr>
          <w:rFonts w:ascii="Verdana" w:hAnsi="Verdana"/>
          <w:sz w:val="20"/>
          <w:szCs w:val="20"/>
          <w:lang w:val="es-ES"/>
        </w:rPr>
        <w:t>ón de otros posibles sindicados</w:t>
      </w:r>
      <w:r w:rsidR="00581B46">
        <w:rPr>
          <w:rFonts w:ascii="Verdana" w:hAnsi="Verdana"/>
          <w:sz w:val="20"/>
          <w:szCs w:val="20"/>
          <w:lang w:val="es-ES"/>
        </w:rPr>
        <w:t>.</w:t>
      </w:r>
      <w:bookmarkEnd w:id="6"/>
    </w:p>
    <w:p w:rsidR="00EB0F65" w:rsidRDefault="00EB0F65" w:rsidP="0006680A">
      <w:pPr>
        <w:spacing w:after="0" w:line="240" w:lineRule="auto"/>
        <w:jc w:val="both"/>
        <w:rPr>
          <w:rFonts w:ascii="Verdana" w:hAnsi="Verdana"/>
          <w:sz w:val="20"/>
          <w:szCs w:val="20"/>
          <w:lang w:val="es-ES"/>
        </w:rPr>
      </w:pPr>
    </w:p>
    <w:p w:rsidR="00236DB1" w:rsidRPr="00EE76BB" w:rsidRDefault="003A4A70" w:rsidP="00236DB1">
      <w:pPr>
        <w:numPr>
          <w:ilvl w:val="0"/>
          <w:numId w:val="11"/>
        </w:numPr>
        <w:spacing w:after="0" w:line="240" w:lineRule="auto"/>
        <w:ind w:left="0" w:firstLine="0"/>
        <w:jc w:val="both"/>
        <w:rPr>
          <w:rFonts w:ascii="Verdana" w:hAnsi="Verdana"/>
          <w:sz w:val="20"/>
          <w:szCs w:val="20"/>
          <w:lang w:val="es-ES"/>
        </w:rPr>
      </w:pPr>
      <w:r w:rsidRPr="00EE76BB">
        <w:rPr>
          <w:rFonts w:ascii="Verdana" w:hAnsi="Verdana"/>
          <w:sz w:val="20"/>
          <w:szCs w:val="20"/>
          <w:lang w:val="es-ES"/>
        </w:rPr>
        <w:t>Con base en ello</w:t>
      </w:r>
      <w:r w:rsidR="00E734FF" w:rsidRPr="00EE76BB">
        <w:rPr>
          <w:rFonts w:ascii="Verdana" w:hAnsi="Verdana"/>
          <w:sz w:val="20"/>
          <w:szCs w:val="20"/>
          <w:lang w:val="es-ES"/>
        </w:rPr>
        <w:t>, el Estado sost</w:t>
      </w:r>
      <w:r w:rsidR="00930C0D" w:rsidRPr="00EE76BB">
        <w:rPr>
          <w:rFonts w:ascii="Verdana" w:hAnsi="Verdana"/>
          <w:sz w:val="20"/>
          <w:szCs w:val="20"/>
          <w:lang w:val="es-ES"/>
        </w:rPr>
        <w:t>uvo que había dado cumplimiento</w:t>
      </w:r>
      <w:r w:rsidR="00E734FF" w:rsidRPr="00EE76BB">
        <w:rPr>
          <w:rFonts w:ascii="Verdana" w:hAnsi="Verdana"/>
          <w:sz w:val="20"/>
          <w:szCs w:val="20"/>
          <w:lang w:val="es-ES"/>
        </w:rPr>
        <w:t xml:space="preserve"> a la obligación de investigar</w:t>
      </w:r>
      <w:r w:rsidR="0006680A">
        <w:rPr>
          <w:rStyle w:val="Refdenotaalpie"/>
          <w:rFonts w:ascii="Verdana" w:hAnsi="Verdana"/>
          <w:sz w:val="20"/>
          <w:szCs w:val="20"/>
          <w:lang w:val="es-ES"/>
        </w:rPr>
        <w:footnoteReference w:id="18"/>
      </w:r>
      <w:r w:rsidR="00E734FF" w:rsidRPr="00EE76BB">
        <w:rPr>
          <w:rFonts w:ascii="Verdana" w:hAnsi="Verdana"/>
          <w:sz w:val="20"/>
          <w:szCs w:val="20"/>
          <w:lang w:val="es-ES"/>
        </w:rPr>
        <w:t xml:space="preserve">. Por su parte, </w:t>
      </w:r>
      <w:r w:rsidR="00581B46" w:rsidRPr="00EE76BB">
        <w:rPr>
          <w:rFonts w:ascii="Verdana" w:hAnsi="Verdana"/>
          <w:sz w:val="20"/>
          <w:szCs w:val="20"/>
          <w:lang w:val="es-ES"/>
        </w:rPr>
        <w:t>los representantes de las víctimas</w:t>
      </w:r>
      <w:r w:rsidR="00C35E96">
        <w:rPr>
          <w:rStyle w:val="Refdenotaalpie"/>
          <w:rFonts w:ascii="Verdana" w:hAnsi="Verdana"/>
          <w:sz w:val="20"/>
          <w:szCs w:val="20"/>
          <w:lang w:val="es-ES"/>
        </w:rPr>
        <w:footnoteReference w:id="19"/>
      </w:r>
      <w:r w:rsidR="00581B46" w:rsidRPr="00EE76BB">
        <w:rPr>
          <w:rFonts w:ascii="Verdana" w:hAnsi="Verdana"/>
          <w:sz w:val="20"/>
          <w:szCs w:val="20"/>
          <w:lang w:val="es-ES"/>
        </w:rPr>
        <w:t xml:space="preserve"> </w:t>
      </w:r>
      <w:r w:rsidR="00C35E96" w:rsidRPr="00EE76BB">
        <w:rPr>
          <w:rFonts w:ascii="Verdana" w:hAnsi="Verdana"/>
          <w:sz w:val="20"/>
          <w:szCs w:val="20"/>
          <w:lang w:val="es-ES"/>
        </w:rPr>
        <w:t>y la Comisión</w:t>
      </w:r>
      <w:r w:rsidR="00735C69">
        <w:rPr>
          <w:rStyle w:val="Refdenotaalpie"/>
          <w:rFonts w:ascii="Verdana" w:hAnsi="Verdana"/>
          <w:sz w:val="20"/>
          <w:szCs w:val="20"/>
          <w:lang w:val="es-ES"/>
        </w:rPr>
        <w:footnoteReference w:id="20"/>
      </w:r>
      <w:r w:rsidR="00F759B0" w:rsidRPr="00EE76BB">
        <w:rPr>
          <w:rFonts w:ascii="Verdana" w:hAnsi="Verdana"/>
          <w:sz w:val="20"/>
          <w:szCs w:val="20"/>
          <w:lang w:val="es-ES"/>
        </w:rPr>
        <w:t xml:space="preserve"> señalaron </w:t>
      </w:r>
      <w:r w:rsidR="00930C0D" w:rsidRPr="00EE76BB">
        <w:rPr>
          <w:rFonts w:ascii="Verdana" w:hAnsi="Verdana"/>
          <w:sz w:val="20"/>
          <w:szCs w:val="20"/>
          <w:lang w:val="es-ES"/>
        </w:rPr>
        <w:t xml:space="preserve">que </w:t>
      </w:r>
      <w:r w:rsidR="00F759B0" w:rsidRPr="00EE76BB">
        <w:rPr>
          <w:rFonts w:ascii="Verdana" w:hAnsi="Verdana"/>
          <w:sz w:val="20"/>
          <w:szCs w:val="20"/>
          <w:lang w:val="es-ES"/>
        </w:rPr>
        <w:t>quedaba pendiente la captura</w:t>
      </w:r>
      <w:r w:rsidR="00ED1AC7">
        <w:rPr>
          <w:rFonts w:ascii="Verdana" w:hAnsi="Verdana"/>
          <w:sz w:val="20"/>
          <w:szCs w:val="20"/>
          <w:lang w:val="es-ES"/>
        </w:rPr>
        <w:t xml:space="preserve"> y </w:t>
      </w:r>
      <w:r w:rsidR="0052102C">
        <w:rPr>
          <w:rFonts w:ascii="Verdana" w:hAnsi="Verdana"/>
          <w:sz w:val="20"/>
          <w:szCs w:val="20"/>
          <w:lang w:val="es-ES"/>
        </w:rPr>
        <w:t>juzgamiento</w:t>
      </w:r>
      <w:r w:rsidR="00F759B0" w:rsidRPr="00EE76BB">
        <w:rPr>
          <w:rFonts w:ascii="Verdana" w:hAnsi="Verdana"/>
          <w:sz w:val="20"/>
          <w:szCs w:val="20"/>
          <w:lang w:val="es-ES"/>
        </w:rPr>
        <w:t xml:space="preserve"> de</w:t>
      </w:r>
      <w:r w:rsidR="00250292" w:rsidRPr="00EE76BB">
        <w:rPr>
          <w:rFonts w:ascii="Verdana" w:hAnsi="Verdana"/>
          <w:sz w:val="20"/>
          <w:szCs w:val="20"/>
          <w:lang w:val="es-ES"/>
        </w:rPr>
        <w:t xml:space="preserve"> los dos agentes policiales</w:t>
      </w:r>
      <w:r w:rsidR="00A420BD" w:rsidRPr="00EE76BB">
        <w:rPr>
          <w:rFonts w:ascii="Verdana" w:hAnsi="Verdana"/>
          <w:sz w:val="20"/>
          <w:szCs w:val="20"/>
          <w:lang w:val="es-ES"/>
        </w:rPr>
        <w:t xml:space="preserve"> identificados como “posibles autores materiales” de la desaparición forzada de Edgar Fernando García</w:t>
      </w:r>
      <w:r w:rsidR="00F759B0" w:rsidRPr="00EE76BB">
        <w:rPr>
          <w:rFonts w:ascii="Verdana" w:hAnsi="Verdana"/>
          <w:sz w:val="20"/>
          <w:szCs w:val="20"/>
          <w:lang w:val="es-ES"/>
        </w:rPr>
        <w:t>. Además, la Comisión observó “</w:t>
      </w:r>
      <w:r w:rsidR="00581B46" w:rsidRPr="00EE76BB">
        <w:rPr>
          <w:rFonts w:ascii="Verdana" w:hAnsi="Verdana"/>
          <w:sz w:val="20"/>
          <w:szCs w:val="20"/>
          <w:lang w:val="es-ES"/>
        </w:rPr>
        <w:t xml:space="preserve">la importancia de que el Estado </w:t>
      </w:r>
      <w:proofErr w:type="gramStart"/>
      <w:r w:rsidR="00581B46" w:rsidRPr="00EE76BB">
        <w:rPr>
          <w:rFonts w:ascii="Verdana" w:hAnsi="Verdana"/>
          <w:sz w:val="20"/>
          <w:szCs w:val="20"/>
          <w:lang w:val="es-ES"/>
        </w:rPr>
        <w:t>precis</w:t>
      </w:r>
      <w:r w:rsidR="00F759B0" w:rsidRPr="00EE76BB">
        <w:rPr>
          <w:rFonts w:ascii="Verdana" w:hAnsi="Verdana"/>
          <w:sz w:val="20"/>
          <w:szCs w:val="20"/>
          <w:lang w:val="es-ES"/>
        </w:rPr>
        <w:t>[</w:t>
      </w:r>
      <w:proofErr w:type="gramEnd"/>
      <w:r w:rsidR="00F759B0" w:rsidRPr="00EE76BB">
        <w:rPr>
          <w:rFonts w:ascii="Verdana" w:hAnsi="Verdana"/>
          <w:sz w:val="20"/>
          <w:szCs w:val="20"/>
          <w:lang w:val="es-ES"/>
        </w:rPr>
        <w:t>ara]</w:t>
      </w:r>
      <w:r w:rsidR="00581B46" w:rsidRPr="00EE76BB">
        <w:rPr>
          <w:rFonts w:ascii="Verdana" w:hAnsi="Verdana"/>
          <w:sz w:val="20"/>
          <w:szCs w:val="20"/>
          <w:lang w:val="es-ES"/>
        </w:rPr>
        <w:t xml:space="preserve"> la situación que guarda la investigación respecto de otras posibles responsabilidades</w:t>
      </w:r>
      <w:r w:rsidR="00AE3496" w:rsidRPr="00EE76BB">
        <w:rPr>
          <w:rFonts w:ascii="Verdana" w:hAnsi="Verdana"/>
          <w:sz w:val="20"/>
          <w:szCs w:val="20"/>
          <w:lang w:val="es-ES"/>
        </w:rPr>
        <w:t xml:space="preserve"> por los hechos materia del caso</w:t>
      </w:r>
      <w:r w:rsidR="00581B46" w:rsidRPr="00EE76BB">
        <w:rPr>
          <w:rFonts w:ascii="Verdana" w:hAnsi="Verdana"/>
          <w:sz w:val="20"/>
          <w:szCs w:val="20"/>
          <w:lang w:val="es-ES"/>
        </w:rPr>
        <w:t>”.</w:t>
      </w:r>
      <w:r w:rsidR="00F759B0" w:rsidRPr="00EE76BB">
        <w:rPr>
          <w:rFonts w:ascii="Verdana" w:hAnsi="Verdana"/>
          <w:sz w:val="20"/>
          <w:szCs w:val="20"/>
          <w:lang w:val="es-ES"/>
        </w:rPr>
        <w:t xml:space="preserve"> </w:t>
      </w:r>
    </w:p>
    <w:p w:rsidR="00EE76BB" w:rsidRPr="00EE76BB" w:rsidRDefault="00EE76BB" w:rsidP="00EE76BB">
      <w:pPr>
        <w:spacing w:after="0" w:line="240" w:lineRule="auto"/>
        <w:jc w:val="both"/>
        <w:rPr>
          <w:rFonts w:ascii="Verdana" w:hAnsi="Verdana"/>
          <w:sz w:val="20"/>
          <w:szCs w:val="20"/>
          <w:lang w:val="es-ES"/>
        </w:rPr>
      </w:pPr>
    </w:p>
    <w:p w:rsidR="00EB0F65" w:rsidRPr="008D513A" w:rsidRDefault="00B24C49" w:rsidP="00230307">
      <w:pPr>
        <w:numPr>
          <w:ilvl w:val="0"/>
          <w:numId w:val="11"/>
        </w:numPr>
        <w:spacing w:after="0" w:line="240" w:lineRule="auto"/>
        <w:ind w:left="0" w:firstLine="0"/>
        <w:jc w:val="both"/>
        <w:rPr>
          <w:rFonts w:ascii="Verdana" w:hAnsi="Verdana"/>
          <w:sz w:val="20"/>
          <w:szCs w:val="20"/>
        </w:rPr>
      </w:pPr>
      <w:bookmarkStart w:id="7" w:name="_Ref467850770"/>
      <w:r w:rsidRPr="008D513A">
        <w:rPr>
          <w:rFonts w:ascii="Verdana" w:hAnsi="Verdana"/>
          <w:sz w:val="20"/>
          <w:szCs w:val="20"/>
        </w:rPr>
        <w:t>L</w:t>
      </w:r>
      <w:r w:rsidR="00E97E6F" w:rsidRPr="008D513A">
        <w:rPr>
          <w:rFonts w:ascii="Verdana" w:hAnsi="Verdana"/>
          <w:sz w:val="20"/>
          <w:szCs w:val="20"/>
        </w:rPr>
        <w:t xml:space="preserve">a Corte </w:t>
      </w:r>
      <w:r w:rsidR="007A76BD" w:rsidRPr="008D513A">
        <w:rPr>
          <w:rFonts w:ascii="Verdana" w:hAnsi="Verdana"/>
          <w:sz w:val="20"/>
          <w:szCs w:val="20"/>
        </w:rPr>
        <w:t xml:space="preserve">valora positivamente que, adicionalmente a las determinaciones de responsabilidad </w:t>
      </w:r>
      <w:r w:rsidR="00251A35" w:rsidRPr="008D513A">
        <w:rPr>
          <w:rFonts w:ascii="Verdana" w:hAnsi="Verdana"/>
          <w:sz w:val="20"/>
          <w:szCs w:val="20"/>
        </w:rPr>
        <w:t xml:space="preserve">de dos agentes policiales en octubre de 2010 </w:t>
      </w:r>
      <w:r w:rsidR="007A76BD" w:rsidRPr="008D513A">
        <w:rPr>
          <w:rFonts w:ascii="Verdana" w:hAnsi="Verdana"/>
          <w:sz w:val="20"/>
          <w:szCs w:val="20"/>
        </w:rPr>
        <w:t>constatadas en la Sentencia (</w:t>
      </w:r>
      <w:r w:rsidR="007A76BD" w:rsidRPr="008D513A">
        <w:rPr>
          <w:rFonts w:ascii="Verdana" w:hAnsi="Verdana"/>
          <w:i/>
          <w:sz w:val="20"/>
          <w:szCs w:val="20"/>
        </w:rPr>
        <w:t>supra</w:t>
      </w:r>
      <w:r w:rsidR="006C0FCE">
        <w:rPr>
          <w:rFonts w:ascii="Verdana" w:hAnsi="Verdana"/>
          <w:sz w:val="20"/>
          <w:szCs w:val="20"/>
        </w:rPr>
        <w:t xml:space="preserve"> Considerando </w:t>
      </w:r>
      <w:r w:rsidR="00BB5B2F">
        <w:rPr>
          <w:rFonts w:ascii="Verdana" w:hAnsi="Verdana"/>
          <w:sz w:val="20"/>
          <w:szCs w:val="20"/>
        </w:rPr>
        <w:fldChar w:fldCharType="begin"/>
      </w:r>
      <w:r w:rsidR="00BB5B2F">
        <w:rPr>
          <w:rFonts w:ascii="Verdana" w:hAnsi="Verdana"/>
          <w:sz w:val="20"/>
          <w:szCs w:val="20"/>
        </w:rPr>
        <w:instrText xml:space="preserve"> REF _Ref467850509 \r \h </w:instrText>
      </w:r>
      <w:r w:rsidR="00BB5B2F">
        <w:rPr>
          <w:rFonts w:ascii="Verdana" w:hAnsi="Verdana"/>
          <w:sz w:val="20"/>
          <w:szCs w:val="20"/>
        </w:rPr>
      </w:r>
      <w:r w:rsidR="00BB5B2F">
        <w:rPr>
          <w:rFonts w:ascii="Verdana" w:hAnsi="Verdana"/>
          <w:sz w:val="20"/>
          <w:szCs w:val="20"/>
        </w:rPr>
        <w:fldChar w:fldCharType="separate"/>
      </w:r>
      <w:r w:rsidR="00AC2F0E">
        <w:rPr>
          <w:rFonts w:ascii="Verdana" w:hAnsi="Verdana"/>
          <w:sz w:val="20"/>
          <w:szCs w:val="20"/>
        </w:rPr>
        <w:t>6</w:t>
      </w:r>
      <w:r w:rsidR="00BB5B2F">
        <w:rPr>
          <w:rFonts w:ascii="Verdana" w:hAnsi="Verdana"/>
          <w:sz w:val="20"/>
          <w:szCs w:val="20"/>
        </w:rPr>
        <w:fldChar w:fldCharType="end"/>
      </w:r>
      <w:r w:rsidR="007A76BD" w:rsidRPr="008D513A">
        <w:rPr>
          <w:rFonts w:ascii="Verdana" w:hAnsi="Verdana"/>
          <w:sz w:val="20"/>
          <w:szCs w:val="20"/>
        </w:rPr>
        <w:t xml:space="preserve">), durante la etapa de supervisión de cumplimiento se han producido </w:t>
      </w:r>
      <w:r w:rsidR="00E97E6F" w:rsidRPr="008D513A">
        <w:rPr>
          <w:rFonts w:ascii="Verdana" w:hAnsi="Verdana"/>
          <w:sz w:val="20"/>
          <w:szCs w:val="20"/>
        </w:rPr>
        <w:t xml:space="preserve">avances en el </w:t>
      </w:r>
      <w:r w:rsidR="00E97E6F" w:rsidRPr="008D513A">
        <w:rPr>
          <w:rFonts w:ascii="Verdana" w:hAnsi="Verdana"/>
          <w:sz w:val="20"/>
          <w:szCs w:val="20"/>
          <w:lang w:val="es-ES"/>
        </w:rPr>
        <w:t>cumplimiento</w:t>
      </w:r>
      <w:r w:rsidR="00E97E6F" w:rsidRPr="008D513A">
        <w:rPr>
          <w:rFonts w:ascii="Verdana" w:hAnsi="Verdana"/>
          <w:sz w:val="20"/>
          <w:szCs w:val="20"/>
        </w:rPr>
        <w:t xml:space="preserve"> de la obligación de investigar, juzgar y, en su caso, sancionar a los responsables por los hechos del presente caso</w:t>
      </w:r>
      <w:r w:rsidR="00C419F7" w:rsidRPr="008D513A">
        <w:rPr>
          <w:rFonts w:ascii="Verdana" w:hAnsi="Verdana"/>
          <w:sz w:val="20"/>
          <w:szCs w:val="20"/>
        </w:rPr>
        <w:t>.</w:t>
      </w:r>
      <w:r w:rsidR="00DA5CB9">
        <w:rPr>
          <w:rFonts w:ascii="Verdana" w:hAnsi="Verdana"/>
          <w:sz w:val="20"/>
          <w:szCs w:val="20"/>
        </w:rPr>
        <w:t xml:space="preserve"> </w:t>
      </w:r>
      <w:r w:rsidR="00C419F7" w:rsidRPr="008D513A">
        <w:rPr>
          <w:rFonts w:ascii="Verdana" w:hAnsi="Verdana"/>
          <w:sz w:val="20"/>
          <w:szCs w:val="20"/>
        </w:rPr>
        <w:t xml:space="preserve">El Estado determinó otras responsabilidades penales a través de </w:t>
      </w:r>
      <w:r w:rsidR="00E97E6F" w:rsidRPr="008D513A">
        <w:rPr>
          <w:rFonts w:ascii="Verdana" w:hAnsi="Verdana"/>
          <w:sz w:val="20"/>
          <w:szCs w:val="20"/>
        </w:rPr>
        <w:t xml:space="preserve">la </w:t>
      </w:r>
      <w:r w:rsidR="00257D1C" w:rsidRPr="008D513A">
        <w:rPr>
          <w:rFonts w:ascii="Verdana" w:hAnsi="Verdana"/>
          <w:sz w:val="20"/>
          <w:szCs w:val="20"/>
        </w:rPr>
        <w:t xml:space="preserve">sentencia </w:t>
      </w:r>
      <w:r w:rsidR="00C419F7" w:rsidRPr="008D513A">
        <w:rPr>
          <w:rFonts w:ascii="Verdana" w:hAnsi="Verdana"/>
          <w:sz w:val="20"/>
          <w:szCs w:val="20"/>
        </w:rPr>
        <w:t xml:space="preserve">firme </w:t>
      </w:r>
      <w:r w:rsidR="00257D1C" w:rsidRPr="008D513A">
        <w:rPr>
          <w:rFonts w:ascii="Verdana" w:hAnsi="Verdana"/>
          <w:sz w:val="20"/>
          <w:szCs w:val="20"/>
        </w:rPr>
        <w:t xml:space="preserve">de </w:t>
      </w:r>
      <w:r w:rsidR="0038409B" w:rsidRPr="008D513A">
        <w:rPr>
          <w:rFonts w:ascii="Verdana" w:hAnsi="Verdana"/>
          <w:sz w:val="20"/>
          <w:szCs w:val="20"/>
        </w:rPr>
        <w:t xml:space="preserve">20 de </w:t>
      </w:r>
      <w:r w:rsidR="00257D1C" w:rsidRPr="008D513A">
        <w:rPr>
          <w:rFonts w:ascii="Verdana" w:hAnsi="Verdana"/>
          <w:sz w:val="20"/>
          <w:szCs w:val="20"/>
        </w:rPr>
        <w:t xml:space="preserve">septiembre de 2013 </w:t>
      </w:r>
      <w:r w:rsidR="00C419F7" w:rsidRPr="008D513A">
        <w:rPr>
          <w:rFonts w:ascii="Verdana" w:hAnsi="Verdana"/>
          <w:sz w:val="20"/>
          <w:szCs w:val="20"/>
        </w:rPr>
        <w:t xml:space="preserve">en que fueron condenados </w:t>
      </w:r>
      <w:r w:rsidR="00372187" w:rsidRPr="008D513A">
        <w:rPr>
          <w:rFonts w:ascii="Verdana" w:hAnsi="Verdana"/>
          <w:sz w:val="20"/>
          <w:szCs w:val="20"/>
        </w:rPr>
        <w:t xml:space="preserve">dos agentes policiales de alto rango </w:t>
      </w:r>
      <w:r w:rsidR="00E97E6F" w:rsidRPr="008D513A">
        <w:rPr>
          <w:rFonts w:ascii="Verdana" w:hAnsi="Verdana"/>
          <w:sz w:val="20"/>
          <w:szCs w:val="20"/>
        </w:rPr>
        <w:t>por la desaparición forzada de Edgar Fernando García</w:t>
      </w:r>
      <w:r w:rsidR="007A76BD" w:rsidRPr="008D513A">
        <w:rPr>
          <w:rFonts w:ascii="Verdana" w:hAnsi="Verdana"/>
          <w:sz w:val="20"/>
          <w:szCs w:val="20"/>
        </w:rPr>
        <w:t xml:space="preserve">, así como también se encuentran imputadas otras dos personas </w:t>
      </w:r>
      <w:r w:rsidR="00DF31A0" w:rsidRPr="008D513A">
        <w:rPr>
          <w:rFonts w:ascii="Verdana" w:hAnsi="Verdana"/>
          <w:sz w:val="20"/>
          <w:szCs w:val="20"/>
        </w:rPr>
        <w:lastRenderedPageBreak/>
        <w:t>(agentes de la Policía Nacional)</w:t>
      </w:r>
      <w:r w:rsidR="00F21818" w:rsidRPr="008D513A">
        <w:rPr>
          <w:rStyle w:val="Refdenotaalpie"/>
          <w:rFonts w:ascii="Verdana" w:hAnsi="Verdana"/>
          <w:sz w:val="20"/>
          <w:szCs w:val="20"/>
        </w:rPr>
        <w:footnoteReference w:id="21"/>
      </w:r>
      <w:r w:rsidR="00DF31A0" w:rsidRPr="008D513A">
        <w:rPr>
          <w:rFonts w:ascii="Verdana" w:hAnsi="Verdana"/>
          <w:sz w:val="20"/>
          <w:szCs w:val="20"/>
        </w:rPr>
        <w:t xml:space="preserve"> </w:t>
      </w:r>
      <w:r w:rsidR="007A76BD" w:rsidRPr="008D513A">
        <w:rPr>
          <w:rFonts w:ascii="Verdana" w:hAnsi="Verdana"/>
          <w:sz w:val="20"/>
          <w:szCs w:val="20"/>
        </w:rPr>
        <w:t>y el Estado ha efectuado acciones dirigidas a su localización, aprehensión y, de ser necesaria, su extradición</w:t>
      </w:r>
      <w:r w:rsidR="000C2462" w:rsidRPr="008D513A">
        <w:rPr>
          <w:rFonts w:ascii="Verdana" w:hAnsi="Verdana"/>
          <w:sz w:val="20"/>
          <w:szCs w:val="20"/>
        </w:rPr>
        <w:t>, en aras de continuar con su juzgamiento</w:t>
      </w:r>
      <w:r w:rsidR="009F4F6D" w:rsidRPr="008D513A">
        <w:rPr>
          <w:rFonts w:ascii="Verdana" w:hAnsi="Verdana"/>
          <w:sz w:val="20"/>
          <w:szCs w:val="20"/>
        </w:rPr>
        <w:t>.</w:t>
      </w:r>
      <w:r w:rsidR="00251A35" w:rsidRPr="008D513A">
        <w:rPr>
          <w:rFonts w:ascii="Verdana" w:hAnsi="Verdana"/>
          <w:sz w:val="20"/>
          <w:szCs w:val="20"/>
        </w:rPr>
        <w:t xml:space="preserve"> </w:t>
      </w:r>
      <w:r w:rsidR="00E97E6F" w:rsidRPr="008D513A">
        <w:rPr>
          <w:rFonts w:ascii="Verdana" w:hAnsi="Verdana"/>
          <w:sz w:val="20"/>
          <w:szCs w:val="20"/>
        </w:rPr>
        <w:t>(</w:t>
      </w:r>
      <w:r w:rsidR="00E97E6F" w:rsidRPr="008D513A">
        <w:rPr>
          <w:rFonts w:ascii="Verdana" w:hAnsi="Verdana"/>
          <w:i/>
          <w:sz w:val="20"/>
          <w:szCs w:val="20"/>
        </w:rPr>
        <w:t>supra</w:t>
      </w:r>
      <w:r w:rsidR="00E97E6F" w:rsidRPr="008D513A">
        <w:rPr>
          <w:rFonts w:ascii="Verdana" w:hAnsi="Verdana"/>
          <w:sz w:val="20"/>
          <w:szCs w:val="20"/>
        </w:rPr>
        <w:t xml:space="preserve"> Considerando </w:t>
      </w:r>
      <w:r w:rsidR="00D166E1">
        <w:rPr>
          <w:rFonts w:ascii="Verdana" w:hAnsi="Verdana"/>
          <w:sz w:val="20"/>
          <w:szCs w:val="20"/>
        </w:rPr>
        <w:fldChar w:fldCharType="begin"/>
      </w:r>
      <w:r w:rsidR="00D166E1">
        <w:rPr>
          <w:rFonts w:ascii="Verdana" w:hAnsi="Verdana"/>
          <w:sz w:val="20"/>
          <w:szCs w:val="20"/>
        </w:rPr>
        <w:instrText xml:space="preserve"> REF _Ref467850542 \r \h </w:instrText>
      </w:r>
      <w:r w:rsidR="00D166E1">
        <w:rPr>
          <w:rFonts w:ascii="Verdana" w:hAnsi="Verdana"/>
          <w:sz w:val="20"/>
          <w:szCs w:val="20"/>
        </w:rPr>
      </w:r>
      <w:r w:rsidR="00D166E1">
        <w:rPr>
          <w:rFonts w:ascii="Verdana" w:hAnsi="Verdana"/>
          <w:sz w:val="20"/>
          <w:szCs w:val="20"/>
        </w:rPr>
        <w:fldChar w:fldCharType="separate"/>
      </w:r>
      <w:r w:rsidR="00AC2F0E">
        <w:rPr>
          <w:rFonts w:ascii="Verdana" w:hAnsi="Verdana"/>
          <w:sz w:val="20"/>
          <w:szCs w:val="20"/>
        </w:rPr>
        <w:t>7</w:t>
      </w:r>
      <w:r w:rsidR="00D166E1">
        <w:rPr>
          <w:rFonts w:ascii="Verdana" w:hAnsi="Verdana"/>
          <w:sz w:val="20"/>
          <w:szCs w:val="20"/>
        </w:rPr>
        <w:fldChar w:fldCharType="end"/>
      </w:r>
      <w:r w:rsidR="00E97E6F" w:rsidRPr="008D513A">
        <w:rPr>
          <w:rFonts w:ascii="Verdana" w:hAnsi="Verdana"/>
          <w:sz w:val="20"/>
          <w:szCs w:val="20"/>
        </w:rPr>
        <w:t>).</w:t>
      </w:r>
      <w:r w:rsidR="00703A91">
        <w:rPr>
          <w:rFonts w:ascii="Verdana" w:hAnsi="Verdana"/>
          <w:sz w:val="20"/>
          <w:szCs w:val="20"/>
        </w:rPr>
        <w:t xml:space="preserve"> </w:t>
      </w:r>
      <w:r w:rsidR="002F7883" w:rsidRPr="008D513A">
        <w:rPr>
          <w:rFonts w:ascii="Verdana" w:hAnsi="Verdana"/>
          <w:sz w:val="20"/>
          <w:szCs w:val="20"/>
        </w:rPr>
        <w:t xml:space="preserve">En virtud de lo anterior, este Tribunal estima que </w:t>
      </w:r>
      <w:r w:rsidR="00DF31A0" w:rsidRPr="008D513A">
        <w:rPr>
          <w:rFonts w:ascii="Verdana" w:hAnsi="Verdana"/>
          <w:sz w:val="20"/>
          <w:szCs w:val="20"/>
        </w:rPr>
        <w:t xml:space="preserve">Guatemala </w:t>
      </w:r>
      <w:r w:rsidR="002F7883" w:rsidRPr="008D513A">
        <w:rPr>
          <w:rFonts w:ascii="Verdana" w:hAnsi="Verdana"/>
          <w:sz w:val="20"/>
          <w:szCs w:val="20"/>
        </w:rPr>
        <w:t>ha cumplido parcialmente con su obligación de investigar, juzgar y, en su caso, sancionar a los responsables por los hechos del presente caso.</w:t>
      </w:r>
      <w:bookmarkEnd w:id="7"/>
    </w:p>
    <w:p w:rsidR="00581B46" w:rsidRPr="008D513A" w:rsidRDefault="00581B46" w:rsidP="00432F91">
      <w:pPr>
        <w:pStyle w:val="Textonotapie"/>
        <w:jc w:val="both"/>
      </w:pPr>
    </w:p>
    <w:p w:rsidR="006F0C68" w:rsidRPr="008D513A" w:rsidRDefault="00DF31A0" w:rsidP="00A6572A">
      <w:pPr>
        <w:numPr>
          <w:ilvl w:val="0"/>
          <w:numId w:val="11"/>
        </w:numPr>
        <w:spacing w:after="0" w:line="240" w:lineRule="auto"/>
        <w:ind w:left="0" w:firstLine="0"/>
        <w:jc w:val="both"/>
        <w:rPr>
          <w:rFonts w:ascii="Verdana" w:hAnsi="Verdana"/>
          <w:sz w:val="20"/>
        </w:rPr>
      </w:pPr>
      <w:bookmarkStart w:id="8" w:name="_Ref467850823"/>
      <w:r w:rsidRPr="008D513A">
        <w:rPr>
          <w:rFonts w:ascii="Verdana" w:hAnsi="Verdana"/>
          <w:sz w:val="20"/>
          <w:szCs w:val="20"/>
        </w:rPr>
        <w:t xml:space="preserve">Teniendo en cuenta que </w:t>
      </w:r>
      <w:r w:rsidR="00A6572A" w:rsidRPr="008D513A">
        <w:rPr>
          <w:rFonts w:ascii="Verdana" w:hAnsi="Verdana"/>
          <w:sz w:val="20"/>
          <w:szCs w:val="20"/>
        </w:rPr>
        <w:t xml:space="preserve">el propio Estado ha informado </w:t>
      </w:r>
      <w:r w:rsidRPr="008D513A">
        <w:rPr>
          <w:rFonts w:ascii="Verdana" w:hAnsi="Verdana"/>
          <w:sz w:val="20"/>
          <w:szCs w:val="20"/>
        </w:rPr>
        <w:t xml:space="preserve">que </w:t>
      </w:r>
      <w:r w:rsidR="001A2082" w:rsidRPr="008D513A">
        <w:rPr>
          <w:rFonts w:ascii="Verdana" w:hAnsi="Verdana"/>
          <w:sz w:val="20"/>
          <w:szCs w:val="20"/>
        </w:rPr>
        <w:t xml:space="preserve">está en trámite un </w:t>
      </w:r>
      <w:r w:rsidR="00F21818" w:rsidRPr="008D513A">
        <w:rPr>
          <w:rFonts w:ascii="Verdana" w:hAnsi="Verdana"/>
          <w:sz w:val="20"/>
          <w:szCs w:val="20"/>
        </w:rPr>
        <w:t xml:space="preserve">proceso </w:t>
      </w:r>
      <w:r w:rsidRPr="008D513A">
        <w:rPr>
          <w:rFonts w:ascii="Verdana" w:hAnsi="Verdana"/>
          <w:sz w:val="20"/>
          <w:szCs w:val="20"/>
        </w:rPr>
        <w:t>penal para determinar otros posibles responsables</w:t>
      </w:r>
      <w:r w:rsidR="00F872FB" w:rsidRPr="008D513A">
        <w:rPr>
          <w:rFonts w:ascii="Verdana" w:hAnsi="Verdana"/>
          <w:sz w:val="20"/>
          <w:szCs w:val="20"/>
        </w:rPr>
        <w:t xml:space="preserve"> (</w:t>
      </w:r>
      <w:r w:rsidR="00F872FB" w:rsidRPr="008D513A">
        <w:rPr>
          <w:rFonts w:ascii="Verdana" w:hAnsi="Verdana"/>
          <w:i/>
          <w:sz w:val="20"/>
          <w:szCs w:val="20"/>
        </w:rPr>
        <w:t>supra</w:t>
      </w:r>
      <w:r w:rsidR="00512B75">
        <w:rPr>
          <w:rFonts w:ascii="Verdana" w:hAnsi="Verdana"/>
          <w:sz w:val="20"/>
          <w:szCs w:val="20"/>
        </w:rPr>
        <w:t xml:space="preserve"> Considerando </w:t>
      </w:r>
      <w:r w:rsidR="00D166E1">
        <w:rPr>
          <w:rFonts w:ascii="Verdana" w:hAnsi="Verdana"/>
          <w:sz w:val="20"/>
          <w:szCs w:val="20"/>
        </w:rPr>
        <w:fldChar w:fldCharType="begin"/>
      </w:r>
      <w:r w:rsidR="00D166E1">
        <w:rPr>
          <w:rFonts w:ascii="Verdana" w:hAnsi="Verdana"/>
          <w:sz w:val="20"/>
          <w:szCs w:val="20"/>
        </w:rPr>
        <w:instrText xml:space="preserve"> REF _Ref467850542 \r \h </w:instrText>
      </w:r>
      <w:r w:rsidR="00D166E1">
        <w:rPr>
          <w:rFonts w:ascii="Verdana" w:hAnsi="Verdana"/>
          <w:sz w:val="20"/>
          <w:szCs w:val="20"/>
        </w:rPr>
      </w:r>
      <w:r w:rsidR="00D166E1">
        <w:rPr>
          <w:rFonts w:ascii="Verdana" w:hAnsi="Verdana"/>
          <w:sz w:val="20"/>
          <w:szCs w:val="20"/>
        </w:rPr>
        <w:fldChar w:fldCharType="separate"/>
      </w:r>
      <w:r w:rsidR="00AC2F0E">
        <w:rPr>
          <w:rFonts w:ascii="Verdana" w:hAnsi="Verdana"/>
          <w:sz w:val="20"/>
          <w:szCs w:val="20"/>
        </w:rPr>
        <w:t>7</w:t>
      </w:r>
      <w:r w:rsidR="00D166E1">
        <w:rPr>
          <w:rFonts w:ascii="Verdana" w:hAnsi="Verdana"/>
          <w:sz w:val="20"/>
          <w:szCs w:val="20"/>
        </w:rPr>
        <w:fldChar w:fldCharType="end"/>
      </w:r>
      <w:r w:rsidR="00F872FB" w:rsidRPr="008D513A">
        <w:rPr>
          <w:rFonts w:ascii="Verdana" w:hAnsi="Verdana"/>
          <w:sz w:val="20"/>
          <w:szCs w:val="20"/>
        </w:rPr>
        <w:t>)</w:t>
      </w:r>
      <w:r w:rsidRPr="008D513A">
        <w:rPr>
          <w:rFonts w:ascii="Verdana" w:hAnsi="Verdana"/>
          <w:sz w:val="20"/>
          <w:szCs w:val="20"/>
        </w:rPr>
        <w:t xml:space="preserve">, </w:t>
      </w:r>
      <w:r w:rsidR="009145E5" w:rsidRPr="008D513A">
        <w:rPr>
          <w:rFonts w:ascii="Verdana" w:hAnsi="Verdana"/>
          <w:sz w:val="20"/>
          <w:szCs w:val="20"/>
          <w:lang w:val="es-ES"/>
        </w:rPr>
        <w:t>este Tribunal queda</w:t>
      </w:r>
      <w:r w:rsidR="00A6572A" w:rsidRPr="008D513A">
        <w:rPr>
          <w:rFonts w:ascii="Verdana" w:hAnsi="Verdana"/>
          <w:sz w:val="20"/>
          <w:szCs w:val="20"/>
          <w:lang w:val="es-ES"/>
        </w:rPr>
        <w:t xml:space="preserve"> a la espera de </w:t>
      </w:r>
      <w:r w:rsidR="009145E5" w:rsidRPr="008D513A">
        <w:rPr>
          <w:rFonts w:ascii="Verdana" w:hAnsi="Verdana"/>
          <w:sz w:val="20"/>
          <w:szCs w:val="20"/>
          <w:lang w:val="es-ES"/>
        </w:rPr>
        <w:t>información actualizada</w:t>
      </w:r>
      <w:r w:rsidR="0052102C">
        <w:rPr>
          <w:rFonts w:ascii="Verdana" w:hAnsi="Verdana"/>
          <w:sz w:val="20"/>
          <w:szCs w:val="20"/>
          <w:lang w:val="es-ES"/>
        </w:rPr>
        <w:t xml:space="preserve"> al</w:t>
      </w:r>
      <w:r w:rsidR="009145E5" w:rsidRPr="008D513A">
        <w:rPr>
          <w:rFonts w:ascii="Verdana" w:hAnsi="Verdana"/>
          <w:sz w:val="20"/>
          <w:szCs w:val="20"/>
          <w:lang w:val="es-ES"/>
        </w:rPr>
        <w:t xml:space="preserve"> respecto</w:t>
      </w:r>
      <w:r w:rsidR="001133F1" w:rsidRPr="008D513A">
        <w:rPr>
          <w:rFonts w:ascii="Verdana" w:hAnsi="Verdana"/>
          <w:sz w:val="20"/>
          <w:szCs w:val="20"/>
          <w:lang w:val="es-ES"/>
        </w:rPr>
        <w:t>.</w:t>
      </w:r>
      <w:bookmarkEnd w:id="8"/>
    </w:p>
    <w:p w:rsidR="00F36B8E" w:rsidRPr="008D513A" w:rsidRDefault="00F36B8E" w:rsidP="001E1BC9">
      <w:pPr>
        <w:spacing w:after="0" w:line="240" w:lineRule="auto"/>
        <w:jc w:val="both"/>
        <w:rPr>
          <w:rFonts w:ascii="Verdana" w:hAnsi="Verdana"/>
          <w:sz w:val="20"/>
          <w:szCs w:val="20"/>
        </w:rPr>
      </w:pPr>
    </w:p>
    <w:p w:rsidR="006209A5" w:rsidRPr="00925BA4" w:rsidRDefault="00951886" w:rsidP="006209A5">
      <w:pPr>
        <w:numPr>
          <w:ilvl w:val="0"/>
          <w:numId w:val="11"/>
        </w:numPr>
        <w:spacing w:after="0" w:line="240" w:lineRule="auto"/>
        <w:ind w:left="0" w:firstLine="0"/>
        <w:jc w:val="both"/>
        <w:rPr>
          <w:rFonts w:ascii="Verdana" w:hAnsi="Verdana"/>
          <w:b/>
          <w:sz w:val="20"/>
          <w:szCs w:val="20"/>
        </w:rPr>
      </w:pPr>
      <w:bookmarkStart w:id="9" w:name="_Ref467850837"/>
      <w:r w:rsidRPr="00925BA4">
        <w:rPr>
          <w:rFonts w:ascii="Verdana" w:hAnsi="Verdana"/>
          <w:sz w:val="20"/>
          <w:szCs w:val="20"/>
        </w:rPr>
        <w:t xml:space="preserve">Asimismo, </w:t>
      </w:r>
      <w:r w:rsidR="00490FAF" w:rsidRPr="00925BA4">
        <w:rPr>
          <w:rFonts w:ascii="Verdana" w:hAnsi="Verdana"/>
          <w:sz w:val="20"/>
          <w:szCs w:val="20"/>
        </w:rPr>
        <w:t xml:space="preserve">se </w:t>
      </w:r>
      <w:r w:rsidRPr="00925BA4">
        <w:rPr>
          <w:rFonts w:ascii="Verdana" w:hAnsi="Verdana"/>
          <w:sz w:val="20"/>
          <w:szCs w:val="20"/>
        </w:rPr>
        <w:t xml:space="preserve">requiere al Estado que proporcione información </w:t>
      </w:r>
      <w:r w:rsidRPr="00925BA4">
        <w:rPr>
          <w:rFonts w:ascii="Verdana" w:hAnsi="Verdana"/>
          <w:sz w:val="20"/>
          <w:szCs w:val="20"/>
          <w:lang w:val="es-ES"/>
        </w:rPr>
        <w:t>acerca</w:t>
      </w:r>
      <w:r w:rsidRPr="00925BA4">
        <w:rPr>
          <w:rFonts w:ascii="Verdana" w:hAnsi="Verdana"/>
          <w:sz w:val="20"/>
          <w:szCs w:val="20"/>
        </w:rPr>
        <w:t xml:space="preserve"> de las líneas de investigación que siguió o que sigue respecto a posibles responsabilidades de </w:t>
      </w:r>
      <w:r w:rsidR="00FF7BAB" w:rsidRPr="00925BA4">
        <w:rPr>
          <w:rFonts w:ascii="Verdana" w:hAnsi="Verdana"/>
          <w:sz w:val="20"/>
          <w:szCs w:val="20"/>
        </w:rPr>
        <w:t>miembros</w:t>
      </w:r>
      <w:r w:rsidRPr="00925BA4">
        <w:rPr>
          <w:rFonts w:ascii="Verdana" w:hAnsi="Verdana"/>
          <w:sz w:val="20"/>
          <w:szCs w:val="20"/>
        </w:rPr>
        <w:t xml:space="preserve"> del ejército por los hechos del presente caso. </w:t>
      </w:r>
      <w:r w:rsidR="00490FAF" w:rsidRPr="00925BA4">
        <w:rPr>
          <w:rFonts w:ascii="Verdana" w:hAnsi="Verdana"/>
          <w:sz w:val="20"/>
          <w:szCs w:val="20"/>
        </w:rPr>
        <w:t xml:space="preserve">La Corte recuerda que en su Sentencia </w:t>
      </w:r>
      <w:r w:rsidR="00581B46" w:rsidRPr="00925BA4">
        <w:rPr>
          <w:rFonts w:ascii="Verdana" w:hAnsi="Verdana"/>
          <w:sz w:val="20"/>
          <w:szCs w:val="20"/>
        </w:rPr>
        <w:t>señaló que</w:t>
      </w:r>
      <w:r w:rsidR="00FF7BAB" w:rsidRPr="00925BA4">
        <w:rPr>
          <w:rFonts w:ascii="Verdana" w:hAnsi="Verdana"/>
          <w:sz w:val="20"/>
          <w:szCs w:val="20"/>
        </w:rPr>
        <w:t>,</w:t>
      </w:r>
      <w:r w:rsidR="00581B46" w:rsidRPr="00925BA4">
        <w:rPr>
          <w:rFonts w:ascii="Verdana" w:hAnsi="Verdana"/>
          <w:sz w:val="20"/>
          <w:szCs w:val="20"/>
        </w:rPr>
        <w:t xml:space="preserve"> de la información aportada por las partes</w:t>
      </w:r>
      <w:r w:rsidR="00FF7BAB" w:rsidRPr="00925BA4">
        <w:rPr>
          <w:rFonts w:ascii="Verdana" w:hAnsi="Verdana"/>
          <w:sz w:val="20"/>
          <w:szCs w:val="20"/>
        </w:rPr>
        <w:t>,</w:t>
      </w:r>
      <w:r w:rsidR="00581B46" w:rsidRPr="00925BA4">
        <w:rPr>
          <w:rFonts w:ascii="Verdana" w:hAnsi="Verdana"/>
          <w:sz w:val="20"/>
          <w:szCs w:val="20"/>
        </w:rPr>
        <w:t xml:space="preserve"> “no se desprend[ía] que se hubiera efectivamente iniciado una línea de investigación respecto de la participación de autoridades militares en la desaparición forzada de Edgar Fernando García” no obstante que “en el Archivo Histórico de la Policía Nacional surgieron documentos” según los c</w:t>
      </w:r>
      <w:r w:rsidR="00DF3FFD" w:rsidRPr="00925BA4">
        <w:rPr>
          <w:rFonts w:ascii="Verdana" w:hAnsi="Verdana"/>
          <w:sz w:val="20"/>
          <w:szCs w:val="20"/>
        </w:rPr>
        <w:t>u</w:t>
      </w:r>
      <w:r w:rsidR="00581B46" w:rsidRPr="00925BA4">
        <w:rPr>
          <w:rFonts w:ascii="Verdana" w:hAnsi="Verdana"/>
          <w:sz w:val="20"/>
          <w:szCs w:val="20"/>
        </w:rPr>
        <w:t>ales el “Operativo de Limpieza y Patrullaje” había sido parte de un plan de “Control Básico de Seguridad” para el que “se recibió capacitación del Estado</w:t>
      </w:r>
      <w:r w:rsidR="0019176E" w:rsidRPr="00925BA4">
        <w:rPr>
          <w:rFonts w:ascii="Verdana" w:hAnsi="Verdana"/>
          <w:sz w:val="20"/>
          <w:szCs w:val="20"/>
        </w:rPr>
        <w:t xml:space="preserve"> Mayor de la Defensa Nacional”</w:t>
      </w:r>
      <w:r w:rsidRPr="008D513A">
        <w:rPr>
          <w:rStyle w:val="Refdenotaalpie"/>
          <w:rFonts w:ascii="Verdana" w:hAnsi="Verdana"/>
          <w:sz w:val="20"/>
          <w:szCs w:val="20"/>
        </w:rPr>
        <w:footnoteReference w:id="22"/>
      </w:r>
      <w:r w:rsidR="0019176E" w:rsidRPr="00925BA4">
        <w:rPr>
          <w:rFonts w:ascii="Verdana" w:hAnsi="Verdana"/>
          <w:sz w:val="20"/>
          <w:szCs w:val="20"/>
        </w:rPr>
        <w:t>.</w:t>
      </w:r>
      <w:r w:rsidR="00E83E9F" w:rsidRPr="00925BA4">
        <w:rPr>
          <w:rFonts w:ascii="Verdana" w:hAnsi="Verdana"/>
          <w:sz w:val="20"/>
          <w:szCs w:val="20"/>
        </w:rPr>
        <w:t xml:space="preserve"> </w:t>
      </w:r>
      <w:r w:rsidR="00E822A2" w:rsidRPr="00925BA4">
        <w:rPr>
          <w:rFonts w:ascii="Verdana" w:hAnsi="Verdana"/>
          <w:sz w:val="20"/>
          <w:szCs w:val="20"/>
        </w:rPr>
        <w:t xml:space="preserve">Asimismo, </w:t>
      </w:r>
      <w:r w:rsidR="00581B46" w:rsidRPr="00925BA4">
        <w:rPr>
          <w:rFonts w:ascii="Verdana" w:hAnsi="Verdana"/>
          <w:sz w:val="20"/>
          <w:szCs w:val="20"/>
        </w:rPr>
        <w:t xml:space="preserve">en la sentencia </w:t>
      </w:r>
      <w:r w:rsidR="008E4B56" w:rsidRPr="00925BA4">
        <w:rPr>
          <w:rFonts w:ascii="Verdana" w:hAnsi="Verdana"/>
          <w:sz w:val="20"/>
          <w:szCs w:val="20"/>
        </w:rPr>
        <w:t xml:space="preserve">en que </w:t>
      </w:r>
      <w:r w:rsidR="00581B46" w:rsidRPr="00925BA4">
        <w:rPr>
          <w:rFonts w:ascii="Verdana" w:hAnsi="Verdana"/>
          <w:sz w:val="20"/>
          <w:szCs w:val="20"/>
        </w:rPr>
        <w:t xml:space="preserve">se condenó a dos de los </w:t>
      </w:r>
      <w:r w:rsidR="00DF3FFD" w:rsidRPr="00925BA4">
        <w:rPr>
          <w:rFonts w:ascii="Verdana" w:hAnsi="Verdana"/>
          <w:sz w:val="20"/>
          <w:szCs w:val="20"/>
        </w:rPr>
        <w:t xml:space="preserve">autores materiales </w:t>
      </w:r>
      <w:r w:rsidR="008E4B56" w:rsidRPr="00925BA4">
        <w:rPr>
          <w:rFonts w:ascii="Verdana" w:hAnsi="Verdana"/>
          <w:sz w:val="20"/>
          <w:szCs w:val="20"/>
        </w:rPr>
        <w:t xml:space="preserve">en el 2010 </w:t>
      </w:r>
      <w:r w:rsidR="00E822A2" w:rsidRPr="00925BA4">
        <w:rPr>
          <w:rFonts w:ascii="Verdana" w:hAnsi="Verdana"/>
          <w:sz w:val="20"/>
          <w:szCs w:val="20"/>
        </w:rPr>
        <w:t xml:space="preserve">se </w:t>
      </w:r>
      <w:r w:rsidR="00DF3FFD" w:rsidRPr="00925BA4">
        <w:rPr>
          <w:rFonts w:ascii="Verdana" w:hAnsi="Verdana"/>
          <w:sz w:val="20"/>
          <w:szCs w:val="20"/>
        </w:rPr>
        <w:t>sostuvo</w:t>
      </w:r>
      <w:r w:rsidR="00331723" w:rsidRPr="00925BA4">
        <w:rPr>
          <w:rFonts w:ascii="Verdana" w:hAnsi="Verdana"/>
          <w:sz w:val="20"/>
          <w:szCs w:val="20"/>
        </w:rPr>
        <w:t xml:space="preserve"> que </w:t>
      </w:r>
      <w:r w:rsidR="00581B46" w:rsidRPr="00925BA4">
        <w:rPr>
          <w:rFonts w:ascii="Verdana" w:hAnsi="Verdana"/>
          <w:sz w:val="20"/>
          <w:szCs w:val="20"/>
        </w:rPr>
        <w:t xml:space="preserve">era </w:t>
      </w:r>
      <w:r w:rsidR="00331723" w:rsidRPr="00925BA4">
        <w:rPr>
          <w:rFonts w:ascii="Verdana" w:hAnsi="Verdana"/>
          <w:sz w:val="20"/>
          <w:szCs w:val="20"/>
        </w:rPr>
        <w:t>“</w:t>
      </w:r>
      <w:r w:rsidR="00581B46" w:rsidRPr="00925BA4">
        <w:rPr>
          <w:rFonts w:ascii="Verdana" w:hAnsi="Verdana"/>
          <w:sz w:val="20"/>
          <w:szCs w:val="20"/>
        </w:rPr>
        <w:t>evidente que esta desaparición forzada, fue ordenada por las instituciones del Estado” y que “en ella intervinieron el Ejército y la Policía Nacional”</w:t>
      </w:r>
      <w:r w:rsidR="003B7A54" w:rsidRPr="008D513A">
        <w:rPr>
          <w:rStyle w:val="Refdenotaalpie"/>
          <w:rFonts w:ascii="Verdana" w:hAnsi="Verdana"/>
          <w:sz w:val="20"/>
          <w:szCs w:val="20"/>
        </w:rPr>
        <w:footnoteReference w:id="23"/>
      </w:r>
      <w:r w:rsidR="00581B46" w:rsidRPr="00925BA4">
        <w:rPr>
          <w:rFonts w:ascii="Verdana" w:hAnsi="Verdana"/>
          <w:sz w:val="20"/>
          <w:szCs w:val="20"/>
        </w:rPr>
        <w:t xml:space="preserve">. </w:t>
      </w:r>
      <w:r w:rsidR="008E4B56" w:rsidRPr="00925BA4">
        <w:rPr>
          <w:rFonts w:ascii="Verdana" w:hAnsi="Verdana"/>
          <w:sz w:val="20"/>
          <w:szCs w:val="20"/>
        </w:rPr>
        <w:t>En ese mismo sentido,</w:t>
      </w:r>
      <w:r w:rsidR="008E4B56" w:rsidRPr="00925BA4">
        <w:rPr>
          <w:rFonts w:ascii="Verdana" w:hAnsi="Verdana"/>
          <w:b/>
          <w:sz w:val="20"/>
          <w:szCs w:val="20"/>
        </w:rPr>
        <w:t xml:space="preserve"> </w:t>
      </w:r>
      <w:r w:rsidR="001C7D63" w:rsidRPr="00925BA4">
        <w:rPr>
          <w:rFonts w:ascii="Verdana" w:hAnsi="Verdana"/>
          <w:sz w:val="20"/>
          <w:szCs w:val="20"/>
        </w:rPr>
        <w:t>de la</w:t>
      </w:r>
      <w:r w:rsidR="00DA402C" w:rsidRPr="00925BA4">
        <w:rPr>
          <w:rFonts w:ascii="Verdana" w:hAnsi="Verdana"/>
          <w:sz w:val="20"/>
          <w:szCs w:val="20"/>
        </w:rPr>
        <w:t xml:space="preserve"> sentencia </w:t>
      </w:r>
      <w:r w:rsidR="00577658" w:rsidRPr="00925BA4">
        <w:rPr>
          <w:rFonts w:ascii="Verdana" w:hAnsi="Verdana"/>
          <w:sz w:val="20"/>
          <w:szCs w:val="20"/>
        </w:rPr>
        <w:t xml:space="preserve">penal </w:t>
      </w:r>
      <w:r w:rsidR="00DA402C" w:rsidRPr="00925BA4">
        <w:rPr>
          <w:rFonts w:ascii="Verdana" w:hAnsi="Verdana"/>
          <w:sz w:val="20"/>
          <w:szCs w:val="20"/>
        </w:rPr>
        <w:t xml:space="preserve">condenatoria </w:t>
      </w:r>
      <w:r w:rsidR="001C7D63" w:rsidRPr="00925BA4">
        <w:rPr>
          <w:rFonts w:ascii="Verdana" w:hAnsi="Verdana"/>
          <w:sz w:val="20"/>
          <w:szCs w:val="20"/>
        </w:rPr>
        <w:t>dictada el 20 de septiembre de 2013 (</w:t>
      </w:r>
      <w:r w:rsidR="001C7D63" w:rsidRPr="00925BA4">
        <w:rPr>
          <w:rFonts w:ascii="Verdana" w:hAnsi="Verdana"/>
          <w:i/>
          <w:sz w:val="20"/>
          <w:szCs w:val="20"/>
        </w:rPr>
        <w:t>supra</w:t>
      </w:r>
      <w:r w:rsidR="001C7D63" w:rsidRPr="00925BA4">
        <w:rPr>
          <w:rFonts w:ascii="Verdana" w:hAnsi="Verdana"/>
          <w:sz w:val="20"/>
          <w:szCs w:val="20"/>
        </w:rPr>
        <w:t xml:space="preserve"> Considerando </w:t>
      </w:r>
      <w:r w:rsidR="00D166E1">
        <w:rPr>
          <w:rFonts w:ascii="Verdana" w:hAnsi="Verdana"/>
          <w:sz w:val="20"/>
          <w:szCs w:val="20"/>
        </w:rPr>
        <w:fldChar w:fldCharType="begin"/>
      </w:r>
      <w:r w:rsidR="00D166E1">
        <w:rPr>
          <w:rFonts w:ascii="Verdana" w:hAnsi="Verdana"/>
          <w:sz w:val="20"/>
          <w:szCs w:val="20"/>
        </w:rPr>
        <w:instrText xml:space="preserve"> REF _Ref467850542 \r \h </w:instrText>
      </w:r>
      <w:r w:rsidR="00D166E1">
        <w:rPr>
          <w:rFonts w:ascii="Verdana" w:hAnsi="Verdana"/>
          <w:sz w:val="20"/>
          <w:szCs w:val="20"/>
        </w:rPr>
      </w:r>
      <w:r w:rsidR="00D166E1">
        <w:rPr>
          <w:rFonts w:ascii="Verdana" w:hAnsi="Verdana"/>
          <w:sz w:val="20"/>
          <w:szCs w:val="20"/>
        </w:rPr>
        <w:fldChar w:fldCharType="separate"/>
      </w:r>
      <w:r w:rsidR="00AC2F0E">
        <w:rPr>
          <w:rFonts w:ascii="Verdana" w:hAnsi="Verdana"/>
          <w:sz w:val="20"/>
          <w:szCs w:val="20"/>
        </w:rPr>
        <w:t>7</w:t>
      </w:r>
      <w:r w:rsidR="00D166E1">
        <w:rPr>
          <w:rFonts w:ascii="Verdana" w:hAnsi="Verdana"/>
          <w:sz w:val="20"/>
          <w:szCs w:val="20"/>
        </w:rPr>
        <w:fldChar w:fldCharType="end"/>
      </w:r>
      <w:r w:rsidR="001C7D63" w:rsidRPr="00925BA4">
        <w:rPr>
          <w:rFonts w:ascii="Verdana" w:hAnsi="Verdana"/>
          <w:sz w:val="20"/>
          <w:szCs w:val="20"/>
        </w:rPr>
        <w:t xml:space="preserve">) </w:t>
      </w:r>
      <w:r w:rsidR="0082612A" w:rsidRPr="00925BA4">
        <w:rPr>
          <w:rFonts w:ascii="Verdana" w:hAnsi="Verdana"/>
          <w:sz w:val="20"/>
          <w:szCs w:val="20"/>
        </w:rPr>
        <w:t>se desprende</w:t>
      </w:r>
      <w:r w:rsidR="001C7D63" w:rsidRPr="00925BA4">
        <w:rPr>
          <w:rFonts w:ascii="Verdana" w:hAnsi="Verdana"/>
          <w:sz w:val="20"/>
          <w:szCs w:val="20"/>
        </w:rPr>
        <w:t xml:space="preserve"> </w:t>
      </w:r>
      <w:r w:rsidR="0082612A" w:rsidRPr="00925BA4">
        <w:rPr>
          <w:rFonts w:ascii="Verdana" w:hAnsi="Verdana"/>
          <w:sz w:val="20"/>
          <w:szCs w:val="20"/>
        </w:rPr>
        <w:t xml:space="preserve">que: </w:t>
      </w:r>
      <w:r w:rsidR="001C7D63" w:rsidRPr="00925BA4">
        <w:rPr>
          <w:rFonts w:ascii="Verdana" w:hAnsi="Verdana"/>
          <w:sz w:val="20"/>
          <w:szCs w:val="20"/>
        </w:rPr>
        <w:t>(i) en un peritaje sobre la estructura policial se sostuvo que “la Policía Nacional fue un instrumento contrainsurgente subordinado al Ejército de Guatemala”; (ii) un testigo declaró que en el operativo participó “personal del Cuarto Cuerpo de la Policía y la G2 del ejército” y (iii) el mismo testigo declaró que “Edgar Fernando García fue llevado al Cuarto Cuerpo de la Policía Nacional” e indicó que “en horas de la noche llegó una panel blanca, con gente armada de particular, elementos de la G2 quienes hablaron con el Jefe Jorge Alberto Gómez López y se lo llevaron”</w:t>
      </w:r>
      <w:r w:rsidR="0019176E" w:rsidRPr="00925BA4">
        <w:rPr>
          <w:rFonts w:ascii="Verdana" w:hAnsi="Verdana"/>
          <w:sz w:val="20"/>
          <w:szCs w:val="20"/>
        </w:rPr>
        <w:t>.</w:t>
      </w:r>
      <w:bookmarkEnd w:id="9"/>
    </w:p>
    <w:p w:rsidR="009220DD" w:rsidRPr="008D513A" w:rsidRDefault="009220DD" w:rsidP="009220DD">
      <w:pPr>
        <w:spacing w:after="0" w:line="240" w:lineRule="auto"/>
        <w:jc w:val="both"/>
        <w:rPr>
          <w:rFonts w:ascii="Verdana" w:hAnsi="Verdana"/>
          <w:b/>
          <w:sz w:val="20"/>
          <w:szCs w:val="20"/>
        </w:rPr>
      </w:pPr>
    </w:p>
    <w:p w:rsidR="00760875" w:rsidRPr="008D513A" w:rsidRDefault="00FE5732" w:rsidP="00A85BEA">
      <w:pPr>
        <w:numPr>
          <w:ilvl w:val="0"/>
          <w:numId w:val="11"/>
        </w:numPr>
        <w:spacing w:after="0" w:line="240" w:lineRule="auto"/>
        <w:ind w:left="0" w:firstLine="0"/>
        <w:jc w:val="both"/>
        <w:rPr>
          <w:rFonts w:ascii="Verdana" w:hAnsi="Verdana"/>
          <w:sz w:val="20"/>
          <w:szCs w:val="20"/>
        </w:rPr>
      </w:pPr>
      <w:bookmarkStart w:id="10" w:name="_Ref467850794"/>
      <w:r w:rsidRPr="008D513A">
        <w:rPr>
          <w:rFonts w:ascii="Verdana" w:hAnsi="Verdana"/>
          <w:sz w:val="20"/>
          <w:szCs w:val="20"/>
        </w:rPr>
        <w:t>En consecuencia</w:t>
      </w:r>
      <w:r w:rsidR="005E77AD" w:rsidRPr="008D513A">
        <w:rPr>
          <w:rFonts w:ascii="Verdana" w:hAnsi="Verdana"/>
          <w:sz w:val="20"/>
          <w:szCs w:val="20"/>
        </w:rPr>
        <w:t xml:space="preserve">, </w:t>
      </w:r>
      <w:r w:rsidR="0002371F" w:rsidRPr="008D513A">
        <w:rPr>
          <w:rFonts w:ascii="Verdana" w:hAnsi="Verdana"/>
          <w:sz w:val="20"/>
          <w:szCs w:val="20"/>
        </w:rPr>
        <w:t>el Tribunal considera que el Estado ha dado cumplimiento parcial a la obligación de investigar y considera necesario que continúe con las demás investigaciones y procesos dirigidos a la determinación de las responsabilidades de quienes participaron en las violaciones de este caso. En este sentido, Guatemala debe informar detalladamente sobre los avances y el estado de las mismas y las acciones que planea adelantar para concluirlas, particularmente que se refiera a la información r</w:t>
      </w:r>
      <w:r w:rsidR="00FF098A">
        <w:rPr>
          <w:rFonts w:ascii="Verdana" w:hAnsi="Verdana"/>
          <w:sz w:val="20"/>
          <w:szCs w:val="20"/>
        </w:rPr>
        <w:t xml:space="preserve">equerida en los Considerandos </w:t>
      </w:r>
      <w:r w:rsidR="002B7FFB">
        <w:rPr>
          <w:rFonts w:ascii="Verdana" w:hAnsi="Verdana"/>
          <w:sz w:val="20"/>
          <w:szCs w:val="20"/>
        </w:rPr>
        <w:fldChar w:fldCharType="begin"/>
      </w:r>
      <w:r w:rsidR="002B7FFB">
        <w:rPr>
          <w:rFonts w:ascii="Verdana" w:hAnsi="Verdana"/>
          <w:sz w:val="20"/>
          <w:szCs w:val="20"/>
        </w:rPr>
        <w:instrText xml:space="preserve"> REF _Ref467850823 \r \h </w:instrText>
      </w:r>
      <w:r w:rsidR="002B7FFB">
        <w:rPr>
          <w:rFonts w:ascii="Verdana" w:hAnsi="Verdana"/>
          <w:sz w:val="20"/>
          <w:szCs w:val="20"/>
        </w:rPr>
      </w:r>
      <w:r w:rsidR="002B7FFB">
        <w:rPr>
          <w:rFonts w:ascii="Verdana" w:hAnsi="Verdana"/>
          <w:sz w:val="20"/>
          <w:szCs w:val="20"/>
        </w:rPr>
        <w:fldChar w:fldCharType="separate"/>
      </w:r>
      <w:r w:rsidR="00AC2F0E">
        <w:rPr>
          <w:rFonts w:ascii="Verdana" w:hAnsi="Verdana"/>
          <w:sz w:val="20"/>
          <w:szCs w:val="20"/>
        </w:rPr>
        <w:t>10</w:t>
      </w:r>
      <w:r w:rsidR="002B7FFB">
        <w:rPr>
          <w:rFonts w:ascii="Verdana" w:hAnsi="Verdana"/>
          <w:sz w:val="20"/>
          <w:szCs w:val="20"/>
        </w:rPr>
        <w:fldChar w:fldCharType="end"/>
      </w:r>
      <w:r w:rsidR="00FF098A">
        <w:rPr>
          <w:rFonts w:ascii="Verdana" w:hAnsi="Verdana"/>
          <w:sz w:val="20"/>
          <w:szCs w:val="20"/>
        </w:rPr>
        <w:t xml:space="preserve"> y </w:t>
      </w:r>
      <w:r w:rsidR="002B7FFB">
        <w:rPr>
          <w:rFonts w:ascii="Verdana" w:hAnsi="Verdana"/>
          <w:sz w:val="20"/>
          <w:szCs w:val="20"/>
        </w:rPr>
        <w:fldChar w:fldCharType="begin"/>
      </w:r>
      <w:r w:rsidR="002B7FFB">
        <w:rPr>
          <w:rFonts w:ascii="Verdana" w:hAnsi="Verdana"/>
          <w:sz w:val="20"/>
          <w:szCs w:val="20"/>
        </w:rPr>
        <w:instrText xml:space="preserve"> REF _Ref467850837 \r \h </w:instrText>
      </w:r>
      <w:r w:rsidR="002B7FFB">
        <w:rPr>
          <w:rFonts w:ascii="Verdana" w:hAnsi="Verdana"/>
          <w:sz w:val="20"/>
          <w:szCs w:val="20"/>
        </w:rPr>
      </w:r>
      <w:r w:rsidR="002B7FFB">
        <w:rPr>
          <w:rFonts w:ascii="Verdana" w:hAnsi="Verdana"/>
          <w:sz w:val="20"/>
          <w:szCs w:val="20"/>
        </w:rPr>
        <w:fldChar w:fldCharType="separate"/>
      </w:r>
      <w:r w:rsidR="00AC2F0E">
        <w:rPr>
          <w:rFonts w:ascii="Verdana" w:hAnsi="Verdana"/>
          <w:sz w:val="20"/>
          <w:szCs w:val="20"/>
        </w:rPr>
        <w:t>11</w:t>
      </w:r>
      <w:r w:rsidR="002B7FFB">
        <w:rPr>
          <w:rFonts w:ascii="Verdana" w:hAnsi="Verdana"/>
          <w:sz w:val="20"/>
          <w:szCs w:val="20"/>
        </w:rPr>
        <w:fldChar w:fldCharType="end"/>
      </w:r>
      <w:r w:rsidR="00FF098A">
        <w:rPr>
          <w:rFonts w:ascii="Verdana" w:hAnsi="Verdana"/>
          <w:sz w:val="20"/>
          <w:szCs w:val="20"/>
        </w:rPr>
        <w:t xml:space="preserve"> de la presente Resolución</w:t>
      </w:r>
      <w:r w:rsidR="0002371F" w:rsidRPr="008D513A">
        <w:rPr>
          <w:rFonts w:ascii="Verdana" w:hAnsi="Verdana"/>
          <w:sz w:val="20"/>
          <w:szCs w:val="20"/>
        </w:rPr>
        <w:t xml:space="preserve">. Asimismo, se requiere que </w:t>
      </w:r>
      <w:r w:rsidR="002870A9" w:rsidRPr="008D513A">
        <w:rPr>
          <w:rFonts w:ascii="Verdana" w:hAnsi="Verdana"/>
          <w:sz w:val="20"/>
          <w:szCs w:val="20"/>
        </w:rPr>
        <w:t xml:space="preserve">aclare </w:t>
      </w:r>
      <w:r w:rsidR="005E77AD" w:rsidRPr="008D513A">
        <w:rPr>
          <w:rFonts w:ascii="Verdana" w:hAnsi="Verdana"/>
          <w:sz w:val="20"/>
          <w:szCs w:val="20"/>
        </w:rPr>
        <w:t xml:space="preserve">cuál es </w:t>
      </w:r>
      <w:r w:rsidR="002870A9" w:rsidRPr="008D513A">
        <w:rPr>
          <w:rFonts w:ascii="Verdana" w:hAnsi="Verdana"/>
          <w:sz w:val="20"/>
          <w:szCs w:val="20"/>
        </w:rPr>
        <w:t>el nombre correcto de uno de los agentes policiales</w:t>
      </w:r>
      <w:r w:rsidR="00240BCA">
        <w:rPr>
          <w:rFonts w:ascii="Verdana" w:hAnsi="Verdana"/>
          <w:sz w:val="20"/>
          <w:szCs w:val="20"/>
        </w:rPr>
        <w:t xml:space="preserve"> sindicados</w:t>
      </w:r>
      <w:r w:rsidR="0019176E" w:rsidRPr="008D513A">
        <w:rPr>
          <w:rFonts w:ascii="Verdana" w:hAnsi="Verdana"/>
          <w:sz w:val="20"/>
          <w:szCs w:val="20"/>
        </w:rPr>
        <w:t xml:space="preserve"> pendientes de ser aprehendidos</w:t>
      </w:r>
      <w:r w:rsidR="005E77AD" w:rsidRPr="008D513A">
        <w:rPr>
          <w:rFonts w:ascii="Verdana" w:hAnsi="Verdana"/>
          <w:sz w:val="20"/>
          <w:szCs w:val="20"/>
        </w:rPr>
        <w:t>, en virtud de q</w:t>
      </w:r>
      <w:r w:rsidR="0090542E" w:rsidRPr="008D513A">
        <w:rPr>
          <w:rFonts w:ascii="Verdana" w:hAnsi="Verdana"/>
          <w:sz w:val="20"/>
          <w:szCs w:val="20"/>
        </w:rPr>
        <w:t>ue</w:t>
      </w:r>
      <w:r w:rsidR="00A85BEA" w:rsidRPr="008D513A">
        <w:rPr>
          <w:rFonts w:ascii="Verdana" w:hAnsi="Verdana"/>
          <w:sz w:val="20"/>
          <w:szCs w:val="20"/>
        </w:rPr>
        <w:t xml:space="preserve"> esta Corte </w:t>
      </w:r>
      <w:r w:rsidRPr="008D513A">
        <w:rPr>
          <w:rFonts w:ascii="Verdana" w:hAnsi="Verdana"/>
          <w:sz w:val="20"/>
          <w:szCs w:val="20"/>
        </w:rPr>
        <w:t>nota</w:t>
      </w:r>
      <w:r w:rsidR="00A85BEA" w:rsidRPr="008D513A">
        <w:rPr>
          <w:rFonts w:ascii="Verdana" w:hAnsi="Verdana"/>
          <w:sz w:val="20"/>
          <w:szCs w:val="20"/>
        </w:rPr>
        <w:t xml:space="preserve"> que el nombre </w:t>
      </w:r>
      <w:r w:rsidR="00AE58B1" w:rsidRPr="008D513A">
        <w:rPr>
          <w:rFonts w:ascii="Verdana" w:hAnsi="Verdana"/>
          <w:sz w:val="20"/>
          <w:szCs w:val="20"/>
        </w:rPr>
        <w:t>utilizad</w:t>
      </w:r>
      <w:r w:rsidR="00240BCA">
        <w:rPr>
          <w:rFonts w:ascii="Verdana" w:hAnsi="Verdana"/>
          <w:sz w:val="20"/>
          <w:szCs w:val="20"/>
        </w:rPr>
        <w:t>o</w:t>
      </w:r>
      <w:r w:rsidR="00A85BEA" w:rsidRPr="008D513A">
        <w:rPr>
          <w:rFonts w:ascii="Verdana" w:hAnsi="Verdana"/>
          <w:sz w:val="20"/>
          <w:szCs w:val="20"/>
        </w:rPr>
        <w:t xml:space="preserve"> en el informe del Ministerio Público dentro del título de sindicados no coincide con el nombre </w:t>
      </w:r>
      <w:r w:rsidR="00AE58B1" w:rsidRPr="008D513A">
        <w:rPr>
          <w:rFonts w:ascii="Verdana" w:hAnsi="Verdana"/>
          <w:sz w:val="20"/>
          <w:szCs w:val="20"/>
        </w:rPr>
        <w:t xml:space="preserve">utilizado en los </w:t>
      </w:r>
      <w:r w:rsidR="008D513A" w:rsidRPr="008D513A">
        <w:rPr>
          <w:rFonts w:ascii="Verdana" w:hAnsi="Verdana"/>
          <w:sz w:val="20"/>
          <w:szCs w:val="20"/>
        </w:rPr>
        <w:t>requerimientos</w:t>
      </w:r>
      <w:r w:rsidR="00AE58B1" w:rsidRPr="008D513A">
        <w:rPr>
          <w:rFonts w:ascii="Verdana" w:hAnsi="Verdana"/>
          <w:sz w:val="20"/>
          <w:szCs w:val="20"/>
        </w:rPr>
        <w:t xml:space="preserve"> que dirigió </w:t>
      </w:r>
      <w:r w:rsidR="00A85BEA" w:rsidRPr="008D513A">
        <w:rPr>
          <w:rFonts w:ascii="Verdana" w:hAnsi="Verdana"/>
          <w:sz w:val="20"/>
          <w:szCs w:val="20"/>
        </w:rPr>
        <w:t>a diversas instituciones para obtener información acerca de su posible paradero</w:t>
      </w:r>
      <w:r w:rsidR="0002371F" w:rsidRPr="008D513A">
        <w:rPr>
          <w:rFonts w:ascii="Verdana" w:hAnsi="Verdana"/>
          <w:sz w:val="20"/>
          <w:szCs w:val="20"/>
        </w:rPr>
        <w:t>.</w:t>
      </w:r>
      <w:bookmarkEnd w:id="10"/>
    </w:p>
    <w:p w:rsidR="00EB767C" w:rsidRDefault="00EB767C" w:rsidP="00A42B3F">
      <w:pPr>
        <w:spacing w:after="0" w:line="240" w:lineRule="auto"/>
        <w:jc w:val="both"/>
        <w:rPr>
          <w:rFonts w:ascii="Verdana" w:hAnsi="Verdana"/>
          <w:sz w:val="20"/>
          <w:szCs w:val="20"/>
        </w:rPr>
      </w:pPr>
    </w:p>
    <w:p w:rsidR="00684D64" w:rsidRDefault="00684D64" w:rsidP="00A42B3F">
      <w:pPr>
        <w:spacing w:after="0" w:line="240" w:lineRule="auto"/>
        <w:jc w:val="both"/>
        <w:rPr>
          <w:rFonts w:ascii="Verdana" w:hAnsi="Verdana"/>
          <w:sz w:val="20"/>
          <w:szCs w:val="20"/>
        </w:rPr>
      </w:pPr>
    </w:p>
    <w:p w:rsidR="00581B46" w:rsidRDefault="005B275D" w:rsidP="001764D9">
      <w:pPr>
        <w:pStyle w:val="Prrafodelista"/>
        <w:numPr>
          <w:ilvl w:val="0"/>
          <w:numId w:val="3"/>
        </w:numPr>
        <w:tabs>
          <w:tab w:val="left" w:pos="709"/>
        </w:tabs>
        <w:spacing w:before="120" w:after="120" w:line="240" w:lineRule="auto"/>
        <w:jc w:val="both"/>
        <w:outlineLvl w:val="0"/>
        <w:rPr>
          <w:rFonts w:ascii="Verdana" w:hAnsi="Verdana"/>
          <w:b/>
          <w:i/>
          <w:noProof/>
          <w:sz w:val="20"/>
          <w:szCs w:val="20"/>
        </w:rPr>
      </w:pPr>
      <w:bookmarkStart w:id="11" w:name="_Toc467850125"/>
      <w:r>
        <w:rPr>
          <w:rFonts w:ascii="Verdana" w:hAnsi="Verdana"/>
          <w:b/>
          <w:i/>
          <w:noProof/>
          <w:sz w:val="20"/>
          <w:szCs w:val="20"/>
        </w:rPr>
        <w:lastRenderedPageBreak/>
        <w:t xml:space="preserve">Indemnizaciones </w:t>
      </w:r>
      <w:r w:rsidR="00581B46">
        <w:rPr>
          <w:rFonts w:ascii="Verdana" w:hAnsi="Verdana"/>
          <w:b/>
          <w:i/>
          <w:noProof/>
          <w:sz w:val="20"/>
          <w:szCs w:val="20"/>
        </w:rPr>
        <w:t xml:space="preserve">por concepto de </w:t>
      </w:r>
      <w:r>
        <w:rPr>
          <w:rFonts w:ascii="Verdana" w:hAnsi="Verdana"/>
          <w:b/>
          <w:i/>
          <w:noProof/>
          <w:sz w:val="20"/>
          <w:szCs w:val="20"/>
        </w:rPr>
        <w:t xml:space="preserve">daños materiales e inmateriales, </w:t>
      </w:r>
      <w:r w:rsidR="003808D9">
        <w:rPr>
          <w:rFonts w:ascii="Verdana" w:hAnsi="Verdana"/>
          <w:b/>
          <w:i/>
          <w:noProof/>
          <w:sz w:val="20"/>
          <w:szCs w:val="20"/>
        </w:rPr>
        <w:t>y reinteg</w:t>
      </w:r>
      <w:r w:rsidR="00EB767C">
        <w:rPr>
          <w:rFonts w:ascii="Verdana" w:hAnsi="Verdana"/>
          <w:b/>
          <w:i/>
          <w:noProof/>
          <w:sz w:val="20"/>
          <w:szCs w:val="20"/>
        </w:rPr>
        <w:t>r</w:t>
      </w:r>
      <w:r w:rsidR="003808D9">
        <w:rPr>
          <w:rFonts w:ascii="Verdana" w:hAnsi="Verdana"/>
          <w:b/>
          <w:i/>
          <w:noProof/>
          <w:sz w:val="20"/>
          <w:szCs w:val="20"/>
        </w:rPr>
        <w:t>o de costas y gastos</w:t>
      </w:r>
      <w:bookmarkEnd w:id="11"/>
    </w:p>
    <w:p w:rsidR="00684D64" w:rsidRPr="00851405" w:rsidRDefault="00684D64" w:rsidP="00684D64">
      <w:pPr>
        <w:pStyle w:val="Prrafodelista"/>
        <w:tabs>
          <w:tab w:val="left" w:pos="709"/>
        </w:tabs>
        <w:spacing w:before="120" w:after="120" w:line="240" w:lineRule="auto"/>
        <w:ind w:left="1080"/>
        <w:jc w:val="both"/>
        <w:outlineLvl w:val="0"/>
        <w:rPr>
          <w:rFonts w:ascii="Verdana" w:hAnsi="Verdana"/>
          <w:b/>
          <w:i/>
          <w:noProof/>
          <w:sz w:val="20"/>
          <w:szCs w:val="20"/>
        </w:rPr>
      </w:pPr>
    </w:p>
    <w:p w:rsidR="00581B46" w:rsidRPr="00D92B2E" w:rsidRDefault="00581B46" w:rsidP="00684D64">
      <w:pPr>
        <w:spacing w:before="120" w:after="120" w:line="240" w:lineRule="auto"/>
        <w:ind w:left="360" w:firstLine="720"/>
        <w:jc w:val="both"/>
        <w:rPr>
          <w:rFonts w:ascii="Verdana" w:hAnsi="Verdana" w:cs="Verdana"/>
          <w:b/>
          <w:i/>
          <w:spacing w:val="-2"/>
          <w:sz w:val="20"/>
          <w:szCs w:val="20"/>
          <w:lang w:val="es-ES"/>
        </w:rPr>
      </w:pPr>
      <w:r w:rsidRPr="00D92B2E">
        <w:rPr>
          <w:rFonts w:ascii="Verdana" w:hAnsi="Verdana" w:cs="Verdana"/>
          <w:b/>
          <w:i/>
          <w:spacing w:val="-2"/>
          <w:sz w:val="20"/>
          <w:szCs w:val="20"/>
          <w:lang w:val="es-ES"/>
        </w:rPr>
        <w:t>B.1. Medida</w:t>
      </w:r>
      <w:r w:rsidR="00B15D48">
        <w:rPr>
          <w:rFonts w:ascii="Verdana" w:hAnsi="Verdana" w:cs="Verdana"/>
          <w:b/>
          <w:i/>
          <w:spacing w:val="-2"/>
          <w:sz w:val="20"/>
          <w:szCs w:val="20"/>
          <w:lang w:val="es-ES"/>
        </w:rPr>
        <w:t>s</w:t>
      </w:r>
      <w:r w:rsidRPr="00D92B2E">
        <w:rPr>
          <w:rFonts w:ascii="Verdana" w:hAnsi="Verdana" w:cs="Verdana"/>
          <w:b/>
          <w:i/>
          <w:spacing w:val="-2"/>
          <w:sz w:val="20"/>
          <w:szCs w:val="20"/>
          <w:lang w:val="es-ES"/>
        </w:rPr>
        <w:t xml:space="preserve"> ordenada</w:t>
      </w:r>
      <w:r w:rsidR="00805207">
        <w:rPr>
          <w:rFonts w:ascii="Verdana" w:hAnsi="Verdana" w:cs="Verdana"/>
          <w:b/>
          <w:i/>
          <w:spacing w:val="-2"/>
          <w:sz w:val="20"/>
          <w:szCs w:val="20"/>
          <w:lang w:val="es-ES"/>
        </w:rPr>
        <w:t>s</w:t>
      </w:r>
      <w:r w:rsidRPr="00D92B2E">
        <w:rPr>
          <w:rFonts w:ascii="Verdana" w:hAnsi="Verdana" w:cs="Verdana"/>
          <w:b/>
          <w:i/>
          <w:spacing w:val="-2"/>
          <w:sz w:val="20"/>
          <w:szCs w:val="20"/>
          <w:lang w:val="es-ES"/>
        </w:rPr>
        <w:t xml:space="preserve"> por la Corte</w:t>
      </w:r>
    </w:p>
    <w:p w:rsidR="00581B46" w:rsidRPr="000C4EB3" w:rsidRDefault="00581B46" w:rsidP="000C4EB3">
      <w:pPr>
        <w:numPr>
          <w:ilvl w:val="0"/>
          <w:numId w:val="11"/>
        </w:numPr>
        <w:spacing w:after="0" w:line="240" w:lineRule="auto"/>
        <w:ind w:left="0" w:firstLine="0"/>
        <w:jc w:val="both"/>
        <w:rPr>
          <w:rFonts w:ascii="Verdana" w:hAnsi="Verdana"/>
          <w:sz w:val="20"/>
          <w:szCs w:val="20"/>
          <w:lang w:val="es-ES"/>
        </w:rPr>
      </w:pPr>
      <w:r w:rsidRPr="00862E7A">
        <w:rPr>
          <w:rFonts w:ascii="Verdana" w:hAnsi="Verdana"/>
          <w:sz w:val="20"/>
          <w:szCs w:val="20"/>
          <w:lang w:val="es-ES"/>
        </w:rPr>
        <w:t>En el punto dispositivo décimo primero y en los párrafos 225 a 227 de la Sentencia, la Corte dispuso que el Estado debía “</w:t>
      </w:r>
      <w:r w:rsidRPr="00862E7A">
        <w:rPr>
          <w:rFonts w:ascii="Verdana" w:hAnsi="Verdana"/>
          <w:sz w:val="20"/>
          <w:szCs w:val="20"/>
        </w:rPr>
        <w:t>pagar la cantidad fijada en el acuerdo de reparaciones por concepto de indemnizaciones por daños materiales e inmateriales, atención médica y psicológica”</w:t>
      </w:r>
      <w:r w:rsidR="00824D9E">
        <w:rPr>
          <w:rStyle w:val="Refdenotaalpie"/>
          <w:rFonts w:ascii="Verdana" w:hAnsi="Verdana"/>
          <w:sz w:val="20"/>
          <w:szCs w:val="20"/>
        </w:rPr>
        <w:footnoteReference w:id="24"/>
      </w:r>
      <w:r w:rsidRPr="00862E7A">
        <w:rPr>
          <w:rFonts w:ascii="Verdana" w:hAnsi="Verdana"/>
          <w:sz w:val="20"/>
          <w:szCs w:val="20"/>
        </w:rPr>
        <w:t>.</w:t>
      </w:r>
      <w:r w:rsidR="00BB0EFA">
        <w:rPr>
          <w:rFonts w:ascii="Verdana" w:hAnsi="Verdana"/>
          <w:sz w:val="20"/>
          <w:szCs w:val="20"/>
        </w:rPr>
        <w:t xml:space="preserve"> </w:t>
      </w:r>
      <w:r w:rsidRPr="00574987">
        <w:rPr>
          <w:rFonts w:ascii="Verdana" w:hAnsi="Verdana"/>
          <w:sz w:val="20"/>
          <w:szCs w:val="20"/>
          <w:lang w:val="es-ES"/>
        </w:rPr>
        <w:t xml:space="preserve">Asimismo, en los párrafos 226 y 227 </w:t>
      </w:r>
      <w:r w:rsidR="00084B5E">
        <w:rPr>
          <w:rFonts w:ascii="Verdana" w:hAnsi="Verdana"/>
          <w:sz w:val="20"/>
          <w:szCs w:val="20"/>
          <w:lang w:val="es-ES"/>
        </w:rPr>
        <w:t>el Tribunal</w:t>
      </w:r>
      <w:r w:rsidRPr="00574987">
        <w:rPr>
          <w:rFonts w:ascii="Verdana" w:hAnsi="Verdana"/>
          <w:sz w:val="20"/>
          <w:szCs w:val="20"/>
          <w:lang w:val="es-ES"/>
        </w:rPr>
        <w:t xml:space="preserve"> observó que</w:t>
      </w:r>
      <w:r w:rsidR="00A37F12">
        <w:rPr>
          <w:rFonts w:ascii="Verdana" w:hAnsi="Verdana"/>
          <w:sz w:val="20"/>
          <w:szCs w:val="20"/>
          <w:lang w:val="es-ES"/>
        </w:rPr>
        <w:t>,</w:t>
      </w:r>
      <w:r w:rsidRPr="00574987">
        <w:rPr>
          <w:rFonts w:ascii="Verdana" w:hAnsi="Verdana"/>
          <w:sz w:val="20"/>
          <w:szCs w:val="20"/>
          <w:lang w:val="es-ES"/>
        </w:rPr>
        <w:t xml:space="preserve"> “</w:t>
      </w:r>
      <w:r w:rsidRPr="00574987">
        <w:rPr>
          <w:rFonts w:ascii="Verdana" w:hAnsi="Verdana"/>
          <w:sz w:val="20"/>
          <w:szCs w:val="20"/>
        </w:rPr>
        <w:t>en los términos del acuerdo, se determinó una cantidad global sin haber establecido un monto específico para cada víctima y su distribución”</w:t>
      </w:r>
      <w:r w:rsidR="00245F3D">
        <w:rPr>
          <w:rFonts w:ascii="Verdana" w:hAnsi="Verdana"/>
          <w:sz w:val="20"/>
          <w:szCs w:val="20"/>
        </w:rPr>
        <w:t>,</w:t>
      </w:r>
      <w:r w:rsidRPr="00574987">
        <w:rPr>
          <w:rFonts w:ascii="Verdana" w:hAnsi="Verdana"/>
          <w:sz w:val="20"/>
          <w:szCs w:val="20"/>
        </w:rPr>
        <w:t xml:space="preserve"> por lo que deter</w:t>
      </w:r>
      <w:r>
        <w:rPr>
          <w:rFonts w:ascii="Verdana" w:hAnsi="Verdana"/>
          <w:sz w:val="20"/>
          <w:szCs w:val="20"/>
        </w:rPr>
        <w:t xml:space="preserve">minó que “la indemnización </w:t>
      </w:r>
      <w:proofErr w:type="gramStart"/>
      <w:r>
        <w:rPr>
          <w:rFonts w:ascii="Verdana" w:hAnsi="Verdana"/>
          <w:sz w:val="20"/>
          <w:szCs w:val="20"/>
        </w:rPr>
        <w:t>deb[</w:t>
      </w:r>
      <w:proofErr w:type="gramEnd"/>
      <w:r>
        <w:rPr>
          <w:rFonts w:ascii="Verdana" w:hAnsi="Verdana"/>
          <w:sz w:val="20"/>
          <w:szCs w:val="20"/>
        </w:rPr>
        <w:t>ía]</w:t>
      </w:r>
      <w:r w:rsidRPr="00574987">
        <w:rPr>
          <w:rFonts w:ascii="Verdana" w:hAnsi="Verdana"/>
          <w:sz w:val="20"/>
          <w:szCs w:val="20"/>
        </w:rPr>
        <w:t xml:space="preserve"> ser entregada a la madre, a la esposa y a la hija d</w:t>
      </w:r>
      <w:r w:rsidR="0047665B">
        <w:rPr>
          <w:rFonts w:ascii="Verdana" w:hAnsi="Verdana"/>
          <w:sz w:val="20"/>
          <w:szCs w:val="20"/>
        </w:rPr>
        <w:t>e la víctima en partes iguales”</w:t>
      </w:r>
      <w:r w:rsidR="00DA0375">
        <w:rPr>
          <w:rStyle w:val="Refdenotaalpie"/>
          <w:rFonts w:ascii="Verdana" w:hAnsi="Verdana"/>
          <w:sz w:val="20"/>
          <w:szCs w:val="20"/>
        </w:rPr>
        <w:footnoteReference w:id="25"/>
      </w:r>
      <w:r w:rsidR="0047665B">
        <w:rPr>
          <w:rFonts w:ascii="Verdana" w:hAnsi="Verdana"/>
          <w:sz w:val="20"/>
          <w:szCs w:val="20"/>
        </w:rPr>
        <w:t>.</w:t>
      </w:r>
    </w:p>
    <w:p w:rsidR="00EB767C" w:rsidRPr="008D1C06" w:rsidRDefault="00EB767C" w:rsidP="000C4EB3">
      <w:pPr>
        <w:spacing w:after="0" w:line="240" w:lineRule="auto"/>
        <w:jc w:val="both"/>
        <w:rPr>
          <w:rFonts w:ascii="Verdana" w:hAnsi="Verdana"/>
          <w:sz w:val="20"/>
          <w:szCs w:val="20"/>
          <w:lang w:val="es-ES"/>
        </w:rPr>
      </w:pPr>
    </w:p>
    <w:p w:rsidR="00B15D48" w:rsidRDefault="00B15D48" w:rsidP="00692522">
      <w:pPr>
        <w:numPr>
          <w:ilvl w:val="0"/>
          <w:numId w:val="11"/>
        </w:numPr>
        <w:spacing w:after="0" w:line="240" w:lineRule="auto"/>
        <w:ind w:left="0" w:firstLine="0"/>
        <w:jc w:val="both"/>
        <w:rPr>
          <w:rFonts w:ascii="Verdana" w:hAnsi="Verdana"/>
          <w:sz w:val="20"/>
          <w:szCs w:val="20"/>
        </w:rPr>
      </w:pPr>
      <w:r w:rsidRPr="00C65350">
        <w:rPr>
          <w:rFonts w:ascii="Verdana" w:hAnsi="Verdana"/>
          <w:sz w:val="20"/>
          <w:szCs w:val="20"/>
          <w:lang w:val="es-ES"/>
        </w:rPr>
        <w:t xml:space="preserve">En el punto dispositivo décimo segundo de la Sentencia, la Corte </w:t>
      </w:r>
      <w:r w:rsidR="00245F3D">
        <w:rPr>
          <w:rFonts w:ascii="Verdana" w:hAnsi="Verdana"/>
          <w:sz w:val="20"/>
          <w:szCs w:val="20"/>
          <w:lang w:val="es-ES"/>
        </w:rPr>
        <w:t xml:space="preserve">determinó </w:t>
      </w:r>
      <w:r w:rsidRPr="00C65350">
        <w:rPr>
          <w:rFonts w:ascii="Verdana" w:hAnsi="Verdana"/>
          <w:sz w:val="20"/>
          <w:szCs w:val="20"/>
          <w:lang w:val="es-ES"/>
        </w:rPr>
        <w:t xml:space="preserve"> que el Estado debe pagar “</w:t>
      </w:r>
      <w:r w:rsidRPr="00C65350">
        <w:rPr>
          <w:rFonts w:ascii="Verdana" w:hAnsi="Verdana"/>
          <w:sz w:val="20"/>
          <w:szCs w:val="20"/>
        </w:rPr>
        <w:t>la cantidad fijada en el acuer</w:t>
      </w:r>
      <w:r w:rsidR="00A03170">
        <w:rPr>
          <w:rFonts w:ascii="Verdana" w:hAnsi="Verdana"/>
          <w:sz w:val="20"/>
          <w:szCs w:val="20"/>
        </w:rPr>
        <w:t xml:space="preserve">do de reparaciones y el párrafo 231 </w:t>
      </w:r>
      <w:r w:rsidRPr="00C65350">
        <w:rPr>
          <w:rFonts w:ascii="Verdana" w:hAnsi="Verdana"/>
          <w:sz w:val="20"/>
          <w:szCs w:val="20"/>
        </w:rPr>
        <w:t xml:space="preserve">de esta Sentencia, por el reintegro de costas y gastos”. </w:t>
      </w:r>
      <w:r w:rsidRPr="00C65350">
        <w:rPr>
          <w:rFonts w:ascii="Verdana" w:hAnsi="Verdana"/>
          <w:sz w:val="20"/>
          <w:szCs w:val="20"/>
          <w:lang w:val="es-ES"/>
        </w:rPr>
        <w:t xml:space="preserve">En el párrafo 231 de la Sentencia se dispuso que el Estado otorgaría </w:t>
      </w:r>
      <w:r w:rsidRPr="00C65350">
        <w:rPr>
          <w:rFonts w:ascii="Verdana" w:hAnsi="Verdana"/>
          <w:sz w:val="20"/>
          <w:szCs w:val="20"/>
        </w:rPr>
        <w:t xml:space="preserve">al Grupo de Apoyo </w:t>
      </w:r>
      <w:r>
        <w:rPr>
          <w:rFonts w:ascii="Verdana" w:hAnsi="Verdana"/>
          <w:sz w:val="20"/>
          <w:szCs w:val="20"/>
        </w:rPr>
        <w:t>Mutuo (“GAM”) “la suma de Q.500</w:t>
      </w:r>
      <w:proofErr w:type="gramStart"/>
      <w:r>
        <w:rPr>
          <w:rFonts w:ascii="Verdana" w:hAnsi="Verdana"/>
          <w:sz w:val="20"/>
          <w:szCs w:val="20"/>
        </w:rPr>
        <w:t>,000.00</w:t>
      </w:r>
      <w:proofErr w:type="gramEnd"/>
      <w:r w:rsidRPr="00C65350">
        <w:rPr>
          <w:rFonts w:ascii="Verdana" w:hAnsi="Verdana"/>
          <w:sz w:val="20"/>
          <w:szCs w:val="20"/>
        </w:rPr>
        <w:t xml:space="preserve"> (quinientos mil quetzales)”</w:t>
      </w:r>
      <w:r>
        <w:rPr>
          <w:rStyle w:val="Refdenotaalpie"/>
          <w:rFonts w:ascii="Verdana" w:hAnsi="Verdana"/>
          <w:sz w:val="20"/>
          <w:szCs w:val="20"/>
        </w:rPr>
        <w:footnoteReference w:id="26"/>
      </w:r>
      <w:r w:rsidR="00A37F12">
        <w:rPr>
          <w:rFonts w:ascii="Verdana" w:hAnsi="Verdana"/>
          <w:sz w:val="20"/>
          <w:szCs w:val="20"/>
        </w:rPr>
        <w:t>.</w:t>
      </w:r>
    </w:p>
    <w:p w:rsidR="00581B46" w:rsidRPr="00DD282F" w:rsidRDefault="00B15D48" w:rsidP="00B15D48">
      <w:pPr>
        <w:spacing w:before="120" w:after="120" w:line="240" w:lineRule="auto"/>
        <w:jc w:val="both"/>
        <w:rPr>
          <w:rFonts w:ascii="Verdana" w:hAnsi="Verdana"/>
          <w:b/>
          <w:sz w:val="20"/>
          <w:szCs w:val="20"/>
        </w:rPr>
      </w:pPr>
      <w:r>
        <w:rPr>
          <w:rFonts w:ascii="Verdana" w:hAnsi="Verdana"/>
          <w:sz w:val="20"/>
          <w:szCs w:val="20"/>
        </w:rPr>
        <w:tab/>
        <w:t xml:space="preserve"> </w:t>
      </w:r>
    </w:p>
    <w:p w:rsidR="00581B46" w:rsidRPr="00DD282F" w:rsidRDefault="00581B46" w:rsidP="00581B46">
      <w:pPr>
        <w:spacing w:before="120" w:after="120" w:line="240" w:lineRule="auto"/>
        <w:ind w:firstLine="720"/>
        <w:jc w:val="both"/>
        <w:rPr>
          <w:rFonts w:ascii="Verdana" w:hAnsi="Verdana"/>
          <w:b/>
          <w:i/>
          <w:sz w:val="20"/>
          <w:szCs w:val="20"/>
          <w:lang w:val="es-ES"/>
        </w:rPr>
      </w:pPr>
      <w:r w:rsidRPr="00DD282F">
        <w:rPr>
          <w:rFonts w:ascii="Verdana" w:hAnsi="Verdana"/>
          <w:b/>
          <w:i/>
          <w:sz w:val="20"/>
          <w:szCs w:val="20"/>
          <w:lang w:val="es-ES"/>
        </w:rPr>
        <w:t>B.2. Consideraciones de la Corte</w:t>
      </w:r>
    </w:p>
    <w:p w:rsidR="00A51C52" w:rsidRPr="009F0BA6" w:rsidRDefault="00581B46" w:rsidP="00293910">
      <w:pPr>
        <w:numPr>
          <w:ilvl w:val="0"/>
          <w:numId w:val="11"/>
        </w:numPr>
        <w:spacing w:after="0" w:line="240" w:lineRule="auto"/>
        <w:ind w:left="0" w:firstLine="0"/>
        <w:jc w:val="both"/>
        <w:rPr>
          <w:rFonts w:ascii="Verdana" w:hAnsi="Verdana"/>
          <w:sz w:val="20"/>
        </w:rPr>
      </w:pPr>
      <w:r w:rsidRPr="009F0BA6">
        <w:rPr>
          <w:rFonts w:ascii="Verdana" w:hAnsi="Verdana"/>
          <w:sz w:val="20"/>
        </w:rPr>
        <w:t xml:space="preserve">Con base en la información aportada por el Estado, que consiste en copias de </w:t>
      </w:r>
      <w:r w:rsidR="00293910" w:rsidRPr="009F0BA6">
        <w:rPr>
          <w:rFonts w:ascii="Verdana" w:hAnsi="Verdana"/>
          <w:sz w:val="20"/>
        </w:rPr>
        <w:t>cuatro</w:t>
      </w:r>
      <w:r w:rsidR="00EB767C" w:rsidRPr="009F0BA6">
        <w:rPr>
          <w:rFonts w:ascii="Verdana" w:hAnsi="Verdana"/>
          <w:sz w:val="20"/>
        </w:rPr>
        <w:t xml:space="preserve"> </w:t>
      </w:r>
      <w:r w:rsidRPr="009F0BA6">
        <w:rPr>
          <w:rFonts w:ascii="Verdana" w:hAnsi="Verdana"/>
          <w:sz w:val="20"/>
        </w:rPr>
        <w:t>actas</w:t>
      </w:r>
      <w:r w:rsidRPr="009F0BA6">
        <w:rPr>
          <w:rStyle w:val="Refdenotaalpie"/>
          <w:rFonts w:ascii="Verdana" w:hAnsi="Verdana"/>
          <w:sz w:val="20"/>
        </w:rPr>
        <w:footnoteReference w:id="27"/>
      </w:r>
      <w:r w:rsidRPr="009F0BA6">
        <w:rPr>
          <w:rFonts w:ascii="Verdana" w:hAnsi="Verdana"/>
          <w:sz w:val="20"/>
        </w:rPr>
        <w:t xml:space="preserve"> firmadas por las víctimas y</w:t>
      </w:r>
      <w:r w:rsidR="00293910" w:rsidRPr="009F0BA6">
        <w:rPr>
          <w:rFonts w:ascii="Verdana" w:hAnsi="Verdana"/>
          <w:sz w:val="20"/>
        </w:rPr>
        <w:t xml:space="preserve"> por </w:t>
      </w:r>
      <w:r w:rsidR="005B275D" w:rsidRPr="009F0BA6">
        <w:rPr>
          <w:rFonts w:ascii="Verdana" w:hAnsi="Verdana"/>
          <w:sz w:val="20"/>
        </w:rPr>
        <w:t xml:space="preserve">el </w:t>
      </w:r>
      <w:r w:rsidR="005B275D" w:rsidRPr="009F0BA6">
        <w:rPr>
          <w:rFonts w:ascii="Verdana" w:hAnsi="Verdana"/>
          <w:sz w:val="20"/>
          <w:szCs w:val="20"/>
          <w:lang w:val="es-ES"/>
        </w:rPr>
        <w:t>r</w:t>
      </w:r>
      <w:r w:rsidR="00293910" w:rsidRPr="009F0BA6">
        <w:rPr>
          <w:rFonts w:ascii="Verdana" w:hAnsi="Verdana"/>
          <w:sz w:val="20"/>
          <w:szCs w:val="20"/>
          <w:lang w:val="es-ES"/>
        </w:rPr>
        <w:t>epresentante</w:t>
      </w:r>
      <w:r w:rsidR="00293910" w:rsidRPr="009F0BA6">
        <w:rPr>
          <w:rFonts w:ascii="Verdana" w:hAnsi="Verdana"/>
          <w:sz w:val="20"/>
        </w:rPr>
        <w:t xml:space="preserve"> legal de</w:t>
      </w:r>
      <w:r w:rsidR="005B275D" w:rsidRPr="009F0BA6">
        <w:rPr>
          <w:rFonts w:ascii="Verdana" w:hAnsi="Verdana"/>
          <w:sz w:val="20"/>
        </w:rPr>
        <w:t>l</w:t>
      </w:r>
      <w:r w:rsidR="00293910" w:rsidRPr="009F0BA6">
        <w:rPr>
          <w:rFonts w:ascii="Verdana" w:hAnsi="Verdana"/>
          <w:sz w:val="20"/>
        </w:rPr>
        <w:t xml:space="preserve"> Grupo de Apoyo Mutuo –GAM-,</w:t>
      </w:r>
      <w:r w:rsidR="001360AA" w:rsidRPr="009F0BA6">
        <w:rPr>
          <w:rFonts w:ascii="Verdana" w:hAnsi="Verdana"/>
          <w:sz w:val="20"/>
        </w:rPr>
        <w:t xml:space="preserve"> respectivamente,</w:t>
      </w:r>
      <w:r w:rsidR="00293910" w:rsidRPr="009F0BA6">
        <w:rPr>
          <w:rFonts w:ascii="Verdana" w:hAnsi="Verdana"/>
          <w:sz w:val="20"/>
        </w:rPr>
        <w:t xml:space="preserve"> </w:t>
      </w:r>
      <w:r w:rsidR="005B275D" w:rsidRPr="009F0BA6">
        <w:rPr>
          <w:rFonts w:ascii="Verdana" w:hAnsi="Verdana"/>
          <w:sz w:val="20"/>
        </w:rPr>
        <w:t>así como</w:t>
      </w:r>
      <w:r w:rsidR="00293910" w:rsidRPr="009F0BA6">
        <w:rPr>
          <w:rFonts w:ascii="Verdana" w:hAnsi="Verdana"/>
          <w:sz w:val="20"/>
        </w:rPr>
        <w:t xml:space="preserve"> por</w:t>
      </w:r>
      <w:r w:rsidRPr="009F0BA6">
        <w:rPr>
          <w:rFonts w:ascii="Verdana" w:hAnsi="Verdana"/>
          <w:sz w:val="20"/>
        </w:rPr>
        <w:t xml:space="preserve"> el Presidente de la Comisión Presidencial Coordinadora de la Política del Ejecutivo en materia de Derechos Humanos (COPREDEH), la Corte constata que</w:t>
      </w:r>
      <w:r w:rsidR="000834D2" w:rsidRPr="009F0BA6">
        <w:rPr>
          <w:rFonts w:ascii="Verdana" w:hAnsi="Verdana"/>
          <w:sz w:val="20"/>
        </w:rPr>
        <w:t xml:space="preserve"> el 17 de julio de 2013</w:t>
      </w:r>
      <w:r w:rsidRPr="009F0BA6">
        <w:rPr>
          <w:rFonts w:ascii="Verdana" w:hAnsi="Verdana"/>
          <w:sz w:val="20"/>
        </w:rPr>
        <w:t xml:space="preserve"> se entregó un cheque a cada un</w:t>
      </w:r>
      <w:r w:rsidR="00A57454" w:rsidRPr="009F0BA6">
        <w:rPr>
          <w:rFonts w:ascii="Verdana" w:hAnsi="Verdana"/>
          <w:sz w:val="20"/>
        </w:rPr>
        <w:t>a</w:t>
      </w:r>
      <w:r w:rsidRPr="009F0BA6">
        <w:rPr>
          <w:rFonts w:ascii="Verdana" w:hAnsi="Verdana"/>
          <w:sz w:val="20"/>
        </w:rPr>
        <w:t xml:space="preserve"> de </w:t>
      </w:r>
      <w:r w:rsidR="005B275D" w:rsidRPr="009F0BA6">
        <w:rPr>
          <w:rFonts w:ascii="Verdana" w:hAnsi="Verdana"/>
          <w:sz w:val="20"/>
        </w:rPr>
        <w:t xml:space="preserve">las víctimas y a dicha organización, </w:t>
      </w:r>
      <w:r w:rsidRPr="009F0BA6">
        <w:rPr>
          <w:rFonts w:ascii="Verdana" w:hAnsi="Verdana"/>
          <w:sz w:val="20"/>
        </w:rPr>
        <w:t>correspondiente</w:t>
      </w:r>
      <w:r w:rsidR="005B275D" w:rsidRPr="009F0BA6">
        <w:rPr>
          <w:rFonts w:ascii="Verdana" w:hAnsi="Verdana"/>
          <w:sz w:val="20"/>
        </w:rPr>
        <w:t>s</w:t>
      </w:r>
      <w:r w:rsidRPr="009F0BA6">
        <w:rPr>
          <w:rFonts w:ascii="Verdana" w:hAnsi="Verdana"/>
          <w:sz w:val="20"/>
        </w:rPr>
        <w:t xml:space="preserve"> a las cantidades ordenadas en la Sentencia</w:t>
      </w:r>
      <w:r w:rsidR="000834D2" w:rsidRPr="009F0BA6">
        <w:rPr>
          <w:rFonts w:ascii="Verdana" w:hAnsi="Verdana"/>
          <w:sz w:val="20"/>
        </w:rPr>
        <w:t>.</w:t>
      </w:r>
      <w:r w:rsidR="00A51C52" w:rsidRPr="009F0BA6">
        <w:rPr>
          <w:rFonts w:ascii="Verdana" w:hAnsi="Verdana"/>
          <w:sz w:val="20"/>
        </w:rPr>
        <w:t xml:space="preserve"> Asimismo</w:t>
      </w:r>
      <w:r w:rsidR="008E5A72" w:rsidRPr="009F0BA6">
        <w:rPr>
          <w:rFonts w:ascii="Verdana" w:hAnsi="Verdana"/>
          <w:sz w:val="20"/>
        </w:rPr>
        <w:t xml:space="preserve"> advierte que</w:t>
      </w:r>
      <w:r w:rsidR="00A51C52" w:rsidRPr="009F0BA6">
        <w:rPr>
          <w:rFonts w:ascii="Verdana" w:hAnsi="Verdana"/>
          <w:sz w:val="20"/>
        </w:rPr>
        <w:t>, tanto en su informe de 16 de enero de 2014</w:t>
      </w:r>
      <w:r w:rsidR="008E5A72" w:rsidRPr="009F0BA6">
        <w:rPr>
          <w:rFonts w:ascii="Verdana" w:hAnsi="Verdana"/>
          <w:b/>
          <w:sz w:val="20"/>
        </w:rPr>
        <w:t xml:space="preserve"> </w:t>
      </w:r>
      <w:r w:rsidR="00A51C52" w:rsidRPr="009F0BA6">
        <w:rPr>
          <w:rFonts w:ascii="Verdana" w:hAnsi="Verdana"/>
          <w:sz w:val="20"/>
        </w:rPr>
        <w:t>como en el de 20 de mayo de 2015</w:t>
      </w:r>
      <w:r w:rsidR="008A0D7B" w:rsidRPr="009F0BA6">
        <w:rPr>
          <w:rFonts w:ascii="Verdana" w:hAnsi="Verdana"/>
          <w:sz w:val="20"/>
        </w:rPr>
        <w:t xml:space="preserve">, </w:t>
      </w:r>
      <w:r w:rsidR="00A51C52" w:rsidRPr="009F0BA6">
        <w:rPr>
          <w:rFonts w:ascii="Verdana" w:hAnsi="Verdana"/>
          <w:sz w:val="20"/>
        </w:rPr>
        <w:t xml:space="preserve">el Estado sostuvo haber dado cumplimiento total a la “reparación económica” ordenada en la Sentencia, la cual comprendía tanto el pago de las indemnizaciones por daños materiales e inmateriales, atención médica y psicológica, como el pago por concepto de costas y gastos. </w:t>
      </w:r>
    </w:p>
    <w:p w:rsidR="00A51C52" w:rsidRDefault="00A51C52" w:rsidP="00A51C52">
      <w:pPr>
        <w:spacing w:after="0" w:line="240" w:lineRule="auto"/>
        <w:jc w:val="both"/>
        <w:rPr>
          <w:rFonts w:ascii="Verdana" w:hAnsi="Verdana"/>
          <w:sz w:val="20"/>
        </w:rPr>
      </w:pPr>
    </w:p>
    <w:p w:rsidR="00953B70" w:rsidRDefault="00581B46" w:rsidP="00953B70">
      <w:pPr>
        <w:numPr>
          <w:ilvl w:val="0"/>
          <w:numId w:val="11"/>
        </w:numPr>
        <w:spacing w:after="0" w:line="240" w:lineRule="auto"/>
        <w:ind w:left="0" w:firstLine="0"/>
        <w:jc w:val="both"/>
        <w:rPr>
          <w:rFonts w:ascii="Verdana" w:hAnsi="Verdana"/>
          <w:sz w:val="20"/>
        </w:rPr>
      </w:pPr>
      <w:bookmarkStart w:id="12" w:name="_Ref467850743"/>
      <w:r w:rsidRPr="00E03EE2">
        <w:rPr>
          <w:rFonts w:ascii="Verdana" w:hAnsi="Verdana"/>
          <w:sz w:val="20"/>
        </w:rPr>
        <w:t xml:space="preserve">Aun cuando los pagos se efectuaron aproximadamente un mes después del vencimiento del plazo de seis meses fijado en la Sentencia, la Corte toma en cuenta que los representantes de las víctimas reconocieron que “los montos indemnizatorios” habían sido </w:t>
      </w:r>
      <w:r w:rsidRPr="00E03EE2">
        <w:rPr>
          <w:rFonts w:ascii="Verdana" w:hAnsi="Verdana"/>
          <w:sz w:val="20"/>
        </w:rPr>
        <w:lastRenderedPageBreak/>
        <w:t>“otorgados a los familiares de Edgar Fernando García”</w:t>
      </w:r>
      <w:r w:rsidR="002B66DB">
        <w:rPr>
          <w:rStyle w:val="Refdenotaalpie"/>
          <w:rFonts w:ascii="Verdana" w:hAnsi="Verdana"/>
          <w:sz w:val="20"/>
        </w:rPr>
        <w:footnoteReference w:id="28"/>
      </w:r>
      <w:r w:rsidR="00474698">
        <w:rPr>
          <w:rFonts w:ascii="Verdana" w:hAnsi="Verdana"/>
          <w:sz w:val="20"/>
        </w:rPr>
        <w:t>,</w:t>
      </w:r>
      <w:r w:rsidRPr="00E03EE2">
        <w:rPr>
          <w:rFonts w:ascii="Verdana" w:hAnsi="Verdana"/>
          <w:sz w:val="20"/>
        </w:rPr>
        <w:t xml:space="preserve"> </w:t>
      </w:r>
      <w:r w:rsidR="00010C1A">
        <w:rPr>
          <w:rFonts w:ascii="Verdana" w:hAnsi="Verdana"/>
          <w:sz w:val="20"/>
        </w:rPr>
        <w:t xml:space="preserve">y </w:t>
      </w:r>
      <w:r w:rsidR="00866AD9">
        <w:rPr>
          <w:rFonts w:ascii="Verdana" w:hAnsi="Verdana"/>
          <w:sz w:val="20"/>
        </w:rPr>
        <w:t xml:space="preserve">no </w:t>
      </w:r>
      <w:r w:rsidR="000415CC">
        <w:rPr>
          <w:rFonts w:ascii="Verdana" w:hAnsi="Verdana"/>
          <w:sz w:val="20"/>
        </w:rPr>
        <w:t xml:space="preserve">formularon </w:t>
      </w:r>
      <w:r w:rsidRPr="00E03EE2">
        <w:rPr>
          <w:rFonts w:ascii="Verdana" w:hAnsi="Verdana"/>
          <w:sz w:val="20"/>
        </w:rPr>
        <w:t xml:space="preserve">objeción alguna respecto </w:t>
      </w:r>
      <w:r w:rsidR="00842CA8">
        <w:rPr>
          <w:rFonts w:ascii="Verdana" w:hAnsi="Verdana"/>
          <w:sz w:val="20"/>
        </w:rPr>
        <w:t>a la información aportada por el Estado referente a</w:t>
      </w:r>
      <w:r w:rsidRPr="00E03EE2">
        <w:rPr>
          <w:rFonts w:ascii="Verdana" w:hAnsi="Verdana"/>
          <w:sz w:val="20"/>
        </w:rPr>
        <w:t xml:space="preserve"> dichos pagos</w:t>
      </w:r>
      <w:r w:rsidR="002E7CE0">
        <w:rPr>
          <w:rFonts w:ascii="Verdana" w:hAnsi="Verdana"/>
          <w:sz w:val="20"/>
        </w:rPr>
        <w:t xml:space="preserve"> ni en lo que respecta a un reclamo de intereses moratorios</w:t>
      </w:r>
      <w:r w:rsidR="00474698">
        <w:rPr>
          <w:rStyle w:val="Refdenotaalpie"/>
          <w:rFonts w:ascii="Verdana" w:hAnsi="Verdana"/>
          <w:sz w:val="20"/>
        </w:rPr>
        <w:footnoteReference w:id="29"/>
      </w:r>
      <w:r w:rsidRPr="00E03EE2">
        <w:rPr>
          <w:rFonts w:ascii="Verdana" w:hAnsi="Verdana"/>
          <w:sz w:val="20"/>
        </w:rPr>
        <w:t xml:space="preserve">. Asimismo, la Corte nota que en cada una de las actas en las que se consignan la entrega de los cheques se dejó constancia de que las </w:t>
      </w:r>
      <w:r w:rsidR="002E7CE0">
        <w:rPr>
          <w:rFonts w:ascii="Verdana" w:hAnsi="Verdana"/>
          <w:sz w:val="20"/>
        </w:rPr>
        <w:t xml:space="preserve">víctimas y organización </w:t>
      </w:r>
      <w:r w:rsidRPr="00E03EE2">
        <w:rPr>
          <w:rFonts w:ascii="Verdana" w:hAnsi="Verdana"/>
          <w:sz w:val="20"/>
        </w:rPr>
        <w:t>beneficiarias de los pagos otorgaron “el más amplio y total finiquito de cumplimiento total” respecto de la</w:t>
      </w:r>
      <w:r w:rsidR="001360AA">
        <w:rPr>
          <w:rFonts w:ascii="Verdana" w:hAnsi="Verdana"/>
          <w:sz w:val="20"/>
        </w:rPr>
        <w:t>s</w:t>
      </w:r>
      <w:r w:rsidRPr="00E03EE2">
        <w:rPr>
          <w:rFonts w:ascii="Verdana" w:hAnsi="Verdana"/>
          <w:sz w:val="20"/>
        </w:rPr>
        <w:t xml:space="preserve"> </w:t>
      </w:r>
      <w:r w:rsidR="00010C1A">
        <w:rPr>
          <w:rFonts w:ascii="Verdana" w:hAnsi="Verdana"/>
          <w:sz w:val="20"/>
        </w:rPr>
        <w:t xml:space="preserve">referidas indemnizaciones </w:t>
      </w:r>
      <w:r w:rsidR="002E7CE0">
        <w:rPr>
          <w:rFonts w:ascii="Verdana" w:hAnsi="Verdana"/>
          <w:sz w:val="20"/>
        </w:rPr>
        <w:t>y reintegro de costas y gastos</w:t>
      </w:r>
      <w:r w:rsidRPr="00E03EE2">
        <w:rPr>
          <w:rFonts w:ascii="Verdana" w:hAnsi="Verdana"/>
          <w:sz w:val="20"/>
        </w:rPr>
        <w:t xml:space="preserve">. Por </w:t>
      </w:r>
      <w:r w:rsidR="002E7CE0">
        <w:rPr>
          <w:rFonts w:ascii="Verdana" w:hAnsi="Verdana"/>
          <w:sz w:val="20"/>
        </w:rPr>
        <w:t>tales razones</w:t>
      </w:r>
      <w:r w:rsidRPr="00E03EE2">
        <w:rPr>
          <w:rFonts w:ascii="Verdana" w:hAnsi="Verdana"/>
          <w:sz w:val="20"/>
        </w:rPr>
        <w:t xml:space="preserve">, </w:t>
      </w:r>
      <w:r w:rsidR="002E7CE0">
        <w:rPr>
          <w:rFonts w:ascii="Verdana" w:hAnsi="Verdana"/>
          <w:sz w:val="20"/>
        </w:rPr>
        <w:t xml:space="preserve">esta Corte considera que el Estado ha dado cumplimiento total a las medidas relativas al pago de indemnizaciones a favor de </w:t>
      </w:r>
      <w:r w:rsidRPr="00E03EE2">
        <w:rPr>
          <w:rFonts w:ascii="Verdana" w:hAnsi="Verdana"/>
          <w:sz w:val="20"/>
        </w:rPr>
        <w:t xml:space="preserve">las víctimas y </w:t>
      </w:r>
      <w:r w:rsidR="002E7CE0">
        <w:rPr>
          <w:rFonts w:ascii="Verdana" w:hAnsi="Verdana"/>
          <w:sz w:val="20"/>
        </w:rPr>
        <w:t xml:space="preserve">al reintegro de costas y gastos a favor de </w:t>
      </w:r>
      <w:r w:rsidR="002172C2">
        <w:rPr>
          <w:rFonts w:ascii="Verdana" w:hAnsi="Verdana"/>
          <w:sz w:val="20"/>
        </w:rPr>
        <w:t>sus representantes.</w:t>
      </w:r>
      <w:bookmarkEnd w:id="12"/>
    </w:p>
    <w:p w:rsidR="00953B70" w:rsidRDefault="00953B70" w:rsidP="00953B70">
      <w:pPr>
        <w:spacing w:after="0" w:line="240" w:lineRule="auto"/>
        <w:jc w:val="both"/>
        <w:rPr>
          <w:rFonts w:ascii="Verdana" w:hAnsi="Verdana"/>
          <w:sz w:val="20"/>
        </w:rPr>
      </w:pPr>
    </w:p>
    <w:p w:rsidR="009F0DA6" w:rsidRPr="00953B70" w:rsidRDefault="006C0DAD" w:rsidP="00953B70">
      <w:pPr>
        <w:numPr>
          <w:ilvl w:val="0"/>
          <w:numId w:val="11"/>
        </w:numPr>
        <w:spacing w:after="0" w:line="240" w:lineRule="auto"/>
        <w:ind w:left="0" w:firstLine="0"/>
        <w:jc w:val="both"/>
        <w:rPr>
          <w:rFonts w:ascii="Verdana" w:hAnsi="Verdana"/>
          <w:sz w:val="20"/>
        </w:rPr>
      </w:pPr>
      <w:bookmarkStart w:id="13" w:name="_Ref467851021"/>
      <w:r w:rsidRPr="00953B70">
        <w:rPr>
          <w:rFonts w:ascii="Verdana" w:hAnsi="Verdana"/>
          <w:sz w:val="20"/>
        </w:rPr>
        <w:t xml:space="preserve">Por otra parte, </w:t>
      </w:r>
      <w:r w:rsidR="0084626D" w:rsidRPr="00953B70">
        <w:rPr>
          <w:rFonts w:ascii="Verdana" w:hAnsi="Verdana"/>
          <w:sz w:val="20"/>
        </w:rPr>
        <w:t xml:space="preserve">la Corte se referirá al alegado incumplimiento </w:t>
      </w:r>
      <w:r w:rsidR="000F6D2F" w:rsidRPr="00953B70">
        <w:rPr>
          <w:rFonts w:ascii="Verdana" w:hAnsi="Verdana"/>
          <w:sz w:val="20"/>
        </w:rPr>
        <w:t xml:space="preserve">por el Estado </w:t>
      </w:r>
      <w:r w:rsidR="0084626D" w:rsidRPr="00953B70">
        <w:rPr>
          <w:rFonts w:ascii="Verdana" w:hAnsi="Verdana"/>
          <w:sz w:val="20"/>
        </w:rPr>
        <w:t>de la reserva sobre el monto de las indemnizaciones</w:t>
      </w:r>
      <w:r w:rsidR="000F6D2F" w:rsidRPr="00953B70">
        <w:rPr>
          <w:rFonts w:ascii="Verdana" w:hAnsi="Verdana"/>
          <w:sz w:val="20"/>
        </w:rPr>
        <w:t>, la cual había sido aprobada en la Sentencia</w:t>
      </w:r>
      <w:r w:rsidR="0084626D">
        <w:rPr>
          <w:rStyle w:val="Refdenotaalpie"/>
          <w:rFonts w:ascii="Verdana" w:hAnsi="Verdana"/>
          <w:sz w:val="20"/>
        </w:rPr>
        <w:footnoteReference w:id="30"/>
      </w:r>
      <w:r w:rsidR="0084626D" w:rsidRPr="00953B70">
        <w:rPr>
          <w:rFonts w:ascii="Verdana" w:hAnsi="Verdana"/>
          <w:sz w:val="20"/>
        </w:rPr>
        <w:t>.</w:t>
      </w:r>
      <w:r w:rsidR="00C83E9E" w:rsidRPr="00953B70">
        <w:rPr>
          <w:rFonts w:ascii="Verdana" w:hAnsi="Verdana"/>
          <w:sz w:val="20"/>
        </w:rPr>
        <w:t xml:space="preserve"> De la información aportada por las partes queda claro que en la época en que se realizaron los pagos, fue publicado en un medio de prensa información sobre los montos entregados a los familiares de Edgar Fernando García</w:t>
      </w:r>
      <w:r w:rsidR="00C83E9E">
        <w:rPr>
          <w:rStyle w:val="Refdenotaalpie"/>
          <w:rFonts w:ascii="Verdana" w:hAnsi="Verdana"/>
          <w:sz w:val="20"/>
        </w:rPr>
        <w:footnoteReference w:id="31"/>
      </w:r>
      <w:r w:rsidR="00C83E9E" w:rsidRPr="00953B70">
        <w:rPr>
          <w:rFonts w:ascii="Verdana" w:hAnsi="Verdana"/>
          <w:sz w:val="20"/>
        </w:rPr>
        <w:t xml:space="preserve">. El Estado sostuvo que era falso lo alegado por </w:t>
      </w:r>
      <w:r w:rsidR="00C06B66" w:rsidRPr="00953B70">
        <w:rPr>
          <w:rFonts w:ascii="Verdana" w:hAnsi="Verdana"/>
          <w:sz w:val="20"/>
        </w:rPr>
        <w:t xml:space="preserve">los representantes </w:t>
      </w:r>
      <w:r w:rsidR="00C83E9E" w:rsidRPr="00953B70">
        <w:rPr>
          <w:rFonts w:ascii="Verdana" w:hAnsi="Verdana"/>
          <w:sz w:val="20"/>
        </w:rPr>
        <w:t xml:space="preserve">en el sentido de que la información habría sido divulgada por el entonces </w:t>
      </w:r>
      <w:r w:rsidR="001476DA" w:rsidRPr="00953B70">
        <w:rPr>
          <w:rFonts w:ascii="Verdana" w:hAnsi="Verdana"/>
          <w:sz w:val="20"/>
        </w:rPr>
        <w:t xml:space="preserve">Secretario de </w:t>
      </w:r>
      <w:r w:rsidR="001E1BC9" w:rsidRPr="00953B70">
        <w:rPr>
          <w:rFonts w:ascii="Verdana" w:hAnsi="Verdana"/>
          <w:sz w:val="20"/>
        </w:rPr>
        <w:t>la Paz, Antonio Arenales Forno,</w:t>
      </w:r>
      <w:r w:rsidR="00955AD8" w:rsidRPr="00953B70">
        <w:rPr>
          <w:rFonts w:ascii="Verdana" w:hAnsi="Verdana"/>
          <w:sz w:val="20"/>
        </w:rPr>
        <w:t xml:space="preserve"> pero a la vez </w:t>
      </w:r>
      <w:r w:rsidR="009C0710" w:rsidRPr="00953B70">
        <w:rPr>
          <w:rFonts w:ascii="Verdana" w:hAnsi="Verdana"/>
          <w:sz w:val="20"/>
        </w:rPr>
        <w:t>solicitó a la Corte que tomara en consideración que “los documentos que amparan el pago y el trámite de las indemnizaciones son elaborados y manejados por varias personas, que por la labor que ejercen tie</w:t>
      </w:r>
      <w:r w:rsidR="00556EC7">
        <w:rPr>
          <w:rFonts w:ascii="Verdana" w:hAnsi="Verdana"/>
          <w:sz w:val="20"/>
        </w:rPr>
        <w:t>nen conocimiento de los mismos”</w:t>
      </w:r>
      <w:r w:rsidR="001E1BC9">
        <w:rPr>
          <w:rStyle w:val="Refdenotaalpie"/>
          <w:rFonts w:ascii="Verdana" w:hAnsi="Verdana"/>
          <w:sz w:val="20"/>
        </w:rPr>
        <w:footnoteReference w:id="32"/>
      </w:r>
      <w:r w:rsidR="00556EC7">
        <w:rPr>
          <w:rFonts w:ascii="Verdana" w:hAnsi="Verdana"/>
          <w:sz w:val="20"/>
        </w:rPr>
        <w:t>.</w:t>
      </w:r>
      <w:r w:rsidR="00E150F3" w:rsidRPr="00953B70">
        <w:rPr>
          <w:rFonts w:ascii="Verdana" w:hAnsi="Verdana"/>
          <w:sz w:val="20"/>
        </w:rPr>
        <w:t xml:space="preserve"> </w:t>
      </w:r>
      <w:r w:rsidR="00955AD8" w:rsidRPr="00953B70">
        <w:rPr>
          <w:rFonts w:ascii="Verdana" w:hAnsi="Verdana"/>
          <w:sz w:val="20"/>
        </w:rPr>
        <w:t>La Corte coincide con</w:t>
      </w:r>
      <w:r w:rsidR="002577DD" w:rsidRPr="00953B70">
        <w:rPr>
          <w:rFonts w:ascii="Verdana" w:hAnsi="Verdana"/>
          <w:sz w:val="20"/>
        </w:rPr>
        <w:t xml:space="preserve"> la Comisión</w:t>
      </w:r>
      <w:r w:rsidR="00046D02">
        <w:rPr>
          <w:rStyle w:val="Refdenotaalpie"/>
          <w:rFonts w:ascii="Verdana" w:hAnsi="Verdana"/>
          <w:sz w:val="20"/>
        </w:rPr>
        <w:footnoteReference w:id="33"/>
      </w:r>
      <w:r w:rsidR="002577DD" w:rsidRPr="00953B70">
        <w:rPr>
          <w:rFonts w:ascii="Verdana" w:hAnsi="Verdana"/>
          <w:sz w:val="20"/>
        </w:rPr>
        <w:t xml:space="preserve"> </w:t>
      </w:r>
      <w:r w:rsidR="00955AD8" w:rsidRPr="00953B70">
        <w:rPr>
          <w:rFonts w:ascii="Verdana" w:hAnsi="Verdana"/>
          <w:sz w:val="20"/>
        </w:rPr>
        <w:t>en cuanto a que, independiente de cu</w:t>
      </w:r>
      <w:r w:rsidR="00493B7C">
        <w:rPr>
          <w:rFonts w:ascii="Verdana" w:hAnsi="Verdana"/>
          <w:sz w:val="20"/>
        </w:rPr>
        <w:t>á</w:t>
      </w:r>
      <w:r w:rsidR="00955AD8" w:rsidRPr="00953B70">
        <w:rPr>
          <w:rFonts w:ascii="Verdana" w:hAnsi="Verdana"/>
          <w:sz w:val="20"/>
        </w:rPr>
        <w:t>l funcionario público en concreto divul</w:t>
      </w:r>
      <w:r w:rsidR="00727DAE">
        <w:rPr>
          <w:rFonts w:ascii="Verdana" w:hAnsi="Verdana"/>
          <w:sz w:val="20"/>
        </w:rPr>
        <w:t>gó esa información, correspondía</w:t>
      </w:r>
      <w:r w:rsidR="00955AD8" w:rsidRPr="00953B70">
        <w:rPr>
          <w:rFonts w:ascii="Verdana" w:hAnsi="Verdana"/>
          <w:sz w:val="20"/>
        </w:rPr>
        <w:t xml:space="preserve"> al Estado </w:t>
      </w:r>
      <w:r w:rsidR="002577DD" w:rsidRPr="00953B70">
        <w:rPr>
          <w:rFonts w:ascii="Verdana" w:hAnsi="Verdana"/>
          <w:sz w:val="20"/>
        </w:rPr>
        <w:t>adoptar las medidas necesarias para mantener en reserva tal información</w:t>
      </w:r>
      <w:r w:rsidR="00955AD8" w:rsidRPr="00953B70">
        <w:rPr>
          <w:rFonts w:ascii="Verdana" w:hAnsi="Verdana"/>
          <w:sz w:val="20"/>
        </w:rPr>
        <w:t>, tal como fue ordenado por la Corte en la Sentencia</w:t>
      </w:r>
      <w:bookmarkEnd w:id="13"/>
      <w:r w:rsidR="00727DAE">
        <w:rPr>
          <w:rFonts w:ascii="Verdana" w:hAnsi="Verdana"/>
          <w:sz w:val="20"/>
        </w:rPr>
        <w:t>, y no lo hizo.</w:t>
      </w:r>
    </w:p>
    <w:p w:rsidR="00581B46" w:rsidRDefault="00581B46" w:rsidP="00581B46">
      <w:pPr>
        <w:pStyle w:val="Prrafodelista"/>
        <w:spacing w:before="120" w:after="120" w:line="240" w:lineRule="auto"/>
        <w:ind w:left="0"/>
        <w:jc w:val="both"/>
        <w:rPr>
          <w:rFonts w:ascii="Verdana" w:hAnsi="Verdana"/>
          <w:b/>
          <w:i/>
          <w:sz w:val="20"/>
          <w:szCs w:val="20"/>
        </w:rPr>
      </w:pPr>
    </w:p>
    <w:p w:rsidR="006229B7" w:rsidRPr="00615D1E" w:rsidRDefault="006229B7" w:rsidP="00581B46">
      <w:pPr>
        <w:pStyle w:val="Prrafodelista"/>
        <w:spacing w:before="120" w:after="120" w:line="240" w:lineRule="auto"/>
        <w:ind w:left="0"/>
        <w:jc w:val="both"/>
        <w:rPr>
          <w:rFonts w:ascii="Verdana" w:hAnsi="Verdana"/>
          <w:b/>
          <w:i/>
          <w:sz w:val="20"/>
          <w:szCs w:val="20"/>
        </w:rPr>
      </w:pPr>
    </w:p>
    <w:p w:rsidR="00615D1E" w:rsidRDefault="00615D1E" w:rsidP="001764D9">
      <w:pPr>
        <w:pStyle w:val="Prrafodelista"/>
        <w:numPr>
          <w:ilvl w:val="0"/>
          <w:numId w:val="3"/>
        </w:numPr>
        <w:spacing w:before="120" w:after="120" w:line="240" w:lineRule="auto"/>
        <w:jc w:val="both"/>
        <w:outlineLvl w:val="0"/>
        <w:rPr>
          <w:rFonts w:ascii="Verdana" w:hAnsi="Verdana"/>
          <w:b/>
          <w:i/>
          <w:sz w:val="20"/>
          <w:szCs w:val="20"/>
        </w:rPr>
      </w:pPr>
      <w:bookmarkStart w:id="14" w:name="_Toc467850126"/>
      <w:r w:rsidRPr="00615D1E">
        <w:rPr>
          <w:rFonts w:ascii="Verdana" w:hAnsi="Verdana"/>
          <w:b/>
          <w:i/>
          <w:sz w:val="20"/>
          <w:szCs w:val="20"/>
        </w:rPr>
        <w:t>Solicitud de información sobre reparaciones pendientes de cumplimiento</w:t>
      </w:r>
      <w:bookmarkEnd w:id="14"/>
    </w:p>
    <w:p w:rsidR="00134FCB" w:rsidRDefault="00134FCB" w:rsidP="009F0DA6">
      <w:pPr>
        <w:numPr>
          <w:ilvl w:val="0"/>
          <w:numId w:val="11"/>
        </w:numPr>
        <w:spacing w:after="0" w:line="240" w:lineRule="auto"/>
        <w:ind w:left="0" w:firstLine="0"/>
        <w:jc w:val="both"/>
        <w:rPr>
          <w:rFonts w:ascii="Verdana" w:hAnsi="Verdana"/>
          <w:sz w:val="20"/>
          <w:szCs w:val="20"/>
        </w:rPr>
      </w:pPr>
      <w:bookmarkStart w:id="15" w:name="_Ref467850933"/>
      <w:r>
        <w:rPr>
          <w:rFonts w:ascii="Verdana" w:hAnsi="Verdana"/>
          <w:sz w:val="20"/>
          <w:szCs w:val="20"/>
        </w:rPr>
        <w:t xml:space="preserve">Esta Corte </w:t>
      </w:r>
      <w:r w:rsidR="006D2192">
        <w:rPr>
          <w:rFonts w:ascii="Verdana" w:hAnsi="Verdana"/>
          <w:sz w:val="20"/>
          <w:szCs w:val="20"/>
        </w:rPr>
        <w:t xml:space="preserve">considera necesario que </w:t>
      </w:r>
      <w:r>
        <w:rPr>
          <w:rFonts w:ascii="Verdana" w:hAnsi="Verdana"/>
          <w:sz w:val="20"/>
          <w:szCs w:val="20"/>
        </w:rPr>
        <w:t xml:space="preserve">Guatemala </w:t>
      </w:r>
      <w:r w:rsidR="006D2192">
        <w:rPr>
          <w:rFonts w:ascii="Verdana" w:hAnsi="Verdana"/>
          <w:sz w:val="20"/>
          <w:szCs w:val="20"/>
        </w:rPr>
        <w:t xml:space="preserve">presente </w:t>
      </w:r>
      <w:r w:rsidRPr="00134FCB">
        <w:rPr>
          <w:rFonts w:ascii="Verdana" w:hAnsi="Verdana"/>
          <w:sz w:val="20"/>
          <w:szCs w:val="20"/>
        </w:rPr>
        <w:t>información específica y actualizada respecto a las reparaciones ordenadas en la Sentencia que se encuentran pendientes de cumplimiento</w:t>
      </w:r>
      <w:r w:rsidR="006D2192">
        <w:rPr>
          <w:rFonts w:ascii="Verdana" w:hAnsi="Verdana"/>
          <w:sz w:val="20"/>
          <w:szCs w:val="20"/>
        </w:rPr>
        <w:t xml:space="preserve">, incluyendo aquellas respecto a las cuales ha </w:t>
      </w:r>
      <w:r w:rsidRPr="00134FCB">
        <w:rPr>
          <w:rFonts w:ascii="Verdana" w:hAnsi="Verdana"/>
          <w:sz w:val="20"/>
          <w:szCs w:val="20"/>
        </w:rPr>
        <w:t xml:space="preserve"> </w:t>
      </w:r>
      <w:r w:rsidR="00827B62">
        <w:rPr>
          <w:rFonts w:ascii="Verdana" w:hAnsi="Verdana"/>
          <w:sz w:val="20"/>
          <w:szCs w:val="20"/>
        </w:rPr>
        <w:t>afirma</w:t>
      </w:r>
      <w:r w:rsidR="006D2192">
        <w:rPr>
          <w:rFonts w:ascii="Verdana" w:hAnsi="Verdana"/>
          <w:sz w:val="20"/>
          <w:szCs w:val="20"/>
        </w:rPr>
        <w:t>do</w:t>
      </w:r>
      <w:r w:rsidR="00827B62">
        <w:rPr>
          <w:rFonts w:ascii="Verdana" w:hAnsi="Verdana"/>
          <w:sz w:val="20"/>
          <w:szCs w:val="20"/>
        </w:rPr>
        <w:t xml:space="preserve"> haber dado cumplimiento</w:t>
      </w:r>
      <w:r w:rsidR="006D2192">
        <w:rPr>
          <w:rFonts w:ascii="Verdana" w:hAnsi="Verdana"/>
          <w:sz w:val="20"/>
          <w:szCs w:val="20"/>
        </w:rPr>
        <w:t xml:space="preserve"> pero </w:t>
      </w:r>
      <w:r w:rsidRPr="00134FCB">
        <w:rPr>
          <w:rFonts w:ascii="Verdana" w:hAnsi="Verdana"/>
          <w:sz w:val="20"/>
          <w:szCs w:val="20"/>
        </w:rPr>
        <w:t>no ha presentado el soporte probatorio necesario para</w:t>
      </w:r>
      <w:r w:rsidR="00221177">
        <w:rPr>
          <w:rFonts w:ascii="Verdana" w:hAnsi="Verdana"/>
          <w:sz w:val="20"/>
          <w:szCs w:val="20"/>
        </w:rPr>
        <w:t xml:space="preserve"> que</w:t>
      </w:r>
      <w:r w:rsidRPr="00134FCB">
        <w:rPr>
          <w:rFonts w:ascii="Verdana" w:hAnsi="Verdana"/>
          <w:sz w:val="20"/>
          <w:szCs w:val="20"/>
        </w:rPr>
        <w:t xml:space="preserve"> este Tribunal </w:t>
      </w:r>
      <w:r w:rsidR="00EB767C" w:rsidRPr="00134FCB">
        <w:rPr>
          <w:rFonts w:ascii="Verdana" w:hAnsi="Verdana"/>
          <w:sz w:val="20"/>
          <w:szCs w:val="20"/>
        </w:rPr>
        <w:t>est</w:t>
      </w:r>
      <w:r w:rsidR="00EB767C">
        <w:rPr>
          <w:rFonts w:ascii="Verdana" w:hAnsi="Verdana"/>
          <w:sz w:val="20"/>
          <w:szCs w:val="20"/>
        </w:rPr>
        <w:t>é</w:t>
      </w:r>
      <w:r w:rsidR="00EB767C" w:rsidRPr="00134FCB">
        <w:rPr>
          <w:rFonts w:ascii="Verdana" w:hAnsi="Verdana"/>
          <w:sz w:val="20"/>
          <w:szCs w:val="20"/>
        </w:rPr>
        <w:t xml:space="preserve"> </w:t>
      </w:r>
      <w:r w:rsidRPr="00134FCB">
        <w:rPr>
          <w:rFonts w:ascii="Verdana" w:hAnsi="Verdana"/>
          <w:sz w:val="20"/>
          <w:szCs w:val="20"/>
        </w:rPr>
        <w:t>en posibilidad de valorar</w:t>
      </w:r>
      <w:r w:rsidR="006D2192">
        <w:rPr>
          <w:rFonts w:ascii="Verdana" w:hAnsi="Verdana"/>
          <w:sz w:val="20"/>
          <w:szCs w:val="20"/>
        </w:rPr>
        <w:t>lo</w:t>
      </w:r>
      <w:r w:rsidRPr="00134FCB">
        <w:rPr>
          <w:rFonts w:ascii="Verdana" w:hAnsi="Verdana"/>
          <w:sz w:val="20"/>
          <w:szCs w:val="20"/>
        </w:rPr>
        <w:t xml:space="preserve">. </w:t>
      </w:r>
      <w:r w:rsidR="00827B62">
        <w:rPr>
          <w:rFonts w:ascii="Verdana" w:hAnsi="Verdana"/>
          <w:sz w:val="20"/>
          <w:szCs w:val="20"/>
        </w:rPr>
        <w:t xml:space="preserve">En consecuencia, se solicita al Estado </w:t>
      </w:r>
      <w:r w:rsidR="006122CD">
        <w:rPr>
          <w:rFonts w:ascii="Verdana" w:hAnsi="Verdana"/>
          <w:sz w:val="20"/>
          <w:szCs w:val="20"/>
        </w:rPr>
        <w:t xml:space="preserve">que </w:t>
      </w:r>
      <w:r w:rsidR="006D2192">
        <w:rPr>
          <w:rFonts w:ascii="Verdana" w:hAnsi="Verdana"/>
          <w:sz w:val="20"/>
          <w:szCs w:val="20"/>
        </w:rPr>
        <w:t xml:space="preserve">en el informe requerido </w:t>
      </w:r>
      <w:r w:rsidR="006D2192" w:rsidRPr="00F36B8E">
        <w:rPr>
          <w:rFonts w:ascii="Verdana" w:hAnsi="Verdana"/>
          <w:sz w:val="20"/>
          <w:szCs w:val="20"/>
        </w:rPr>
        <w:t xml:space="preserve">en el </w:t>
      </w:r>
      <w:r w:rsidR="00F36B8E">
        <w:rPr>
          <w:rFonts w:ascii="Verdana" w:hAnsi="Verdana"/>
          <w:sz w:val="20"/>
          <w:szCs w:val="20"/>
        </w:rPr>
        <w:t>punto resolutivo</w:t>
      </w:r>
      <w:r w:rsidR="00953B70" w:rsidRPr="00F36B8E">
        <w:rPr>
          <w:rFonts w:ascii="Verdana" w:hAnsi="Verdana"/>
          <w:sz w:val="20"/>
          <w:szCs w:val="20"/>
        </w:rPr>
        <w:t xml:space="preserve"> 4</w:t>
      </w:r>
      <w:r w:rsidR="00827B62" w:rsidRPr="00F36B8E">
        <w:rPr>
          <w:rFonts w:ascii="Verdana" w:hAnsi="Verdana"/>
          <w:sz w:val="20"/>
          <w:szCs w:val="20"/>
        </w:rPr>
        <w:t xml:space="preserve"> se</w:t>
      </w:r>
      <w:r w:rsidR="00827B62">
        <w:rPr>
          <w:rFonts w:ascii="Verdana" w:hAnsi="Verdana"/>
          <w:sz w:val="20"/>
          <w:szCs w:val="20"/>
        </w:rPr>
        <w:t xml:space="preserve"> refiera</w:t>
      </w:r>
      <w:r w:rsidR="006122CD">
        <w:rPr>
          <w:rFonts w:ascii="Verdana" w:hAnsi="Verdana"/>
          <w:sz w:val="20"/>
          <w:szCs w:val="20"/>
        </w:rPr>
        <w:t>, en particular,</w:t>
      </w:r>
      <w:r w:rsidR="00827B62">
        <w:rPr>
          <w:rFonts w:ascii="Verdana" w:hAnsi="Verdana"/>
          <w:sz w:val="20"/>
          <w:szCs w:val="20"/>
        </w:rPr>
        <w:t xml:space="preserve"> a lo siguiente:</w:t>
      </w:r>
      <w:bookmarkEnd w:id="15"/>
    </w:p>
    <w:p w:rsidR="0093346A" w:rsidRDefault="0093346A" w:rsidP="0093346A">
      <w:pPr>
        <w:spacing w:after="0" w:line="240" w:lineRule="auto"/>
        <w:jc w:val="both"/>
        <w:rPr>
          <w:rFonts w:ascii="Verdana" w:hAnsi="Verdana"/>
          <w:sz w:val="20"/>
          <w:szCs w:val="20"/>
        </w:rPr>
      </w:pPr>
    </w:p>
    <w:p w:rsidR="006229B7" w:rsidRDefault="006229B7" w:rsidP="0093346A">
      <w:pPr>
        <w:spacing w:after="0" w:line="240" w:lineRule="auto"/>
        <w:jc w:val="both"/>
        <w:rPr>
          <w:rFonts w:ascii="Verdana" w:hAnsi="Verdana"/>
          <w:sz w:val="20"/>
          <w:szCs w:val="20"/>
        </w:rPr>
      </w:pPr>
    </w:p>
    <w:p w:rsidR="00827B62" w:rsidRDefault="002B6CA0" w:rsidP="00684D64">
      <w:pPr>
        <w:pStyle w:val="Prrafodelista"/>
        <w:numPr>
          <w:ilvl w:val="0"/>
          <w:numId w:val="13"/>
        </w:numPr>
        <w:spacing w:after="120" w:line="240" w:lineRule="auto"/>
        <w:ind w:left="714" w:hanging="357"/>
        <w:contextualSpacing w:val="0"/>
        <w:jc w:val="both"/>
        <w:rPr>
          <w:rFonts w:ascii="Verdana" w:hAnsi="Verdana"/>
          <w:sz w:val="20"/>
          <w:szCs w:val="20"/>
        </w:rPr>
      </w:pPr>
      <w:r>
        <w:rPr>
          <w:rFonts w:ascii="Verdana" w:hAnsi="Verdana"/>
          <w:sz w:val="20"/>
          <w:szCs w:val="20"/>
        </w:rPr>
        <w:t>Sobre la</w:t>
      </w:r>
      <w:r w:rsidR="00827B62" w:rsidRPr="00827B62">
        <w:rPr>
          <w:rFonts w:ascii="Verdana" w:hAnsi="Verdana"/>
          <w:sz w:val="20"/>
          <w:szCs w:val="20"/>
        </w:rPr>
        <w:t xml:space="preserve"> búsqueda </w:t>
      </w:r>
      <w:r w:rsidR="008506E5">
        <w:rPr>
          <w:rFonts w:ascii="Verdana" w:hAnsi="Verdana"/>
          <w:sz w:val="20"/>
          <w:szCs w:val="20"/>
        </w:rPr>
        <w:t xml:space="preserve">y </w:t>
      </w:r>
      <w:r w:rsidR="00EB767C" w:rsidRPr="00827B62">
        <w:rPr>
          <w:rFonts w:ascii="Verdana" w:hAnsi="Verdana"/>
          <w:sz w:val="20"/>
          <w:szCs w:val="20"/>
        </w:rPr>
        <w:t>determina</w:t>
      </w:r>
      <w:r w:rsidR="00EB767C">
        <w:rPr>
          <w:rFonts w:ascii="Verdana" w:hAnsi="Verdana"/>
          <w:sz w:val="20"/>
          <w:szCs w:val="20"/>
        </w:rPr>
        <w:t>ción</w:t>
      </w:r>
      <w:r w:rsidR="00EB767C" w:rsidRPr="00827B62">
        <w:rPr>
          <w:rFonts w:ascii="Verdana" w:hAnsi="Verdana"/>
          <w:sz w:val="20"/>
          <w:szCs w:val="20"/>
        </w:rPr>
        <w:t xml:space="preserve"> </w:t>
      </w:r>
      <w:r w:rsidR="00EB767C">
        <w:rPr>
          <w:rFonts w:ascii="Verdana" w:hAnsi="Verdana"/>
          <w:sz w:val="20"/>
          <w:szCs w:val="20"/>
        </w:rPr>
        <w:t>d</w:t>
      </w:r>
      <w:r w:rsidR="00827B62" w:rsidRPr="00827B62">
        <w:rPr>
          <w:rFonts w:ascii="Verdana" w:hAnsi="Verdana"/>
          <w:sz w:val="20"/>
          <w:szCs w:val="20"/>
        </w:rPr>
        <w:t>el paradero de Edgar Fernando García</w:t>
      </w:r>
      <w:r w:rsidR="00EB767C">
        <w:rPr>
          <w:rFonts w:ascii="Verdana" w:hAnsi="Verdana"/>
          <w:sz w:val="20"/>
          <w:szCs w:val="20"/>
        </w:rPr>
        <w:t xml:space="preserve"> </w:t>
      </w:r>
      <w:r w:rsidR="00EB767C" w:rsidRPr="007336B3">
        <w:rPr>
          <w:rFonts w:ascii="Verdana" w:hAnsi="Verdana"/>
          <w:i/>
          <w:sz w:val="20"/>
          <w:szCs w:val="20"/>
        </w:rPr>
        <w:t>(</w:t>
      </w:r>
      <w:r w:rsidR="00EB767C">
        <w:rPr>
          <w:rFonts w:ascii="Verdana" w:hAnsi="Verdana"/>
          <w:i/>
          <w:sz w:val="20"/>
          <w:szCs w:val="20"/>
        </w:rPr>
        <w:t xml:space="preserve">punto </w:t>
      </w:r>
      <w:r w:rsidR="00250A8D">
        <w:rPr>
          <w:rFonts w:ascii="Verdana" w:hAnsi="Verdana"/>
          <w:i/>
          <w:sz w:val="20"/>
          <w:szCs w:val="20"/>
        </w:rPr>
        <w:t>dispositivo</w:t>
      </w:r>
      <w:r w:rsidR="00953B70">
        <w:rPr>
          <w:rFonts w:ascii="Verdana" w:hAnsi="Verdana"/>
          <w:i/>
          <w:sz w:val="20"/>
          <w:szCs w:val="20"/>
        </w:rPr>
        <w:t xml:space="preserve"> </w:t>
      </w:r>
      <w:r w:rsidR="00EB767C" w:rsidRPr="007336B3">
        <w:rPr>
          <w:rFonts w:ascii="Verdana" w:hAnsi="Verdana"/>
          <w:i/>
          <w:sz w:val="20"/>
          <w:szCs w:val="20"/>
        </w:rPr>
        <w:t>tercero</w:t>
      </w:r>
      <w:r w:rsidR="00026CBD">
        <w:rPr>
          <w:rFonts w:ascii="Verdana" w:hAnsi="Verdana"/>
          <w:i/>
          <w:sz w:val="20"/>
          <w:szCs w:val="20"/>
        </w:rPr>
        <w:t xml:space="preserve"> de la Sentencia</w:t>
      </w:r>
      <w:r w:rsidR="00EB767C" w:rsidRPr="007336B3">
        <w:rPr>
          <w:rFonts w:ascii="Verdana" w:hAnsi="Verdana"/>
          <w:i/>
          <w:sz w:val="20"/>
          <w:szCs w:val="20"/>
        </w:rPr>
        <w:t>)</w:t>
      </w:r>
      <w:r>
        <w:rPr>
          <w:rFonts w:ascii="Verdana" w:hAnsi="Verdana"/>
          <w:sz w:val="20"/>
          <w:szCs w:val="20"/>
        </w:rPr>
        <w:t xml:space="preserve">, proporcione información detallada que indique </w:t>
      </w:r>
      <w:r>
        <w:rPr>
          <w:rFonts w:ascii="Verdana" w:hAnsi="Verdana"/>
          <w:sz w:val="20"/>
          <w:szCs w:val="20"/>
        </w:rPr>
        <w:lastRenderedPageBreak/>
        <w:t xml:space="preserve">las razones por las que el Estado sostuvo en su informe de 20 de mayo de 2015 </w:t>
      </w:r>
      <w:r w:rsidRPr="002B6CA0">
        <w:rPr>
          <w:rFonts w:ascii="Verdana" w:hAnsi="Verdana"/>
          <w:sz w:val="20"/>
          <w:szCs w:val="20"/>
        </w:rPr>
        <w:t>que dicha reparación se encontraba cumplida</w:t>
      </w:r>
      <w:r w:rsidR="005B4B9E">
        <w:rPr>
          <w:rStyle w:val="Refdenotaalpie"/>
          <w:rFonts w:ascii="Verdana" w:hAnsi="Verdana"/>
          <w:sz w:val="20"/>
          <w:szCs w:val="20"/>
        </w:rPr>
        <w:footnoteReference w:id="34"/>
      </w:r>
      <w:r w:rsidR="00C71709">
        <w:rPr>
          <w:rFonts w:ascii="Verdana" w:hAnsi="Verdana"/>
          <w:sz w:val="20"/>
          <w:szCs w:val="20"/>
        </w:rPr>
        <w:t>.</w:t>
      </w:r>
      <w:r w:rsidR="00EB767C">
        <w:rPr>
          <w:rFonts w:ascii="Verdana" w:hAnsi="Verdana"/>
          <w:sz w:val="20"/>
          <w:szCs w:val="20"/>
        </w:rPr>
        <w:t xml:space="preserve"> </w:t>
      </w:r>
    </w:p>
    <w:p w:rsidR="007336B3" w:rsidRDefault="00EB767C" w:rsidP="00684D64">
      <w:pPr>
        <w:pStyle w:val="Prrafodelista"/>
        <w:numPr>
          <w:ilvl w:val="0"/>
          <w:numId w:val="13"/>
        </w:numPr>
        <w:spacing w:after="120" w:line="240" w:lineRule="auto"/>
        <w:ind w:left="714" w:hanging="357"/>
        <w:contextualSpacing w:val="0"/>
        <w:jc w:val="both"/>
        <w:rPr>
          <w:rFonts w:ascii="Verdana" w:hAnsi="Verdana"/>
          <w:sz w:val="20"/>
          <w:szCs w:val="20"/>
        </w:rPr>
      </w:pPr>
      <w:r>
        <w:rPr>
          <w:rFonts w:ascii="Verdana" w:hAnsi="Verdana"/>
          <w:sz w:val="20"/>
          <w:szCs w:val="20"/>
        </w:rPr>
        <w:t xml:space="preserve">Respecto a </w:t>
      </w:r>
      <w:r w:rsidR="00827B62">
        <w:rPr>
          <w:rFonts w:ascii="Verdana" w:hAnsi="Verdana"/>
          <w:sz w:val="20"/>
          <w:szCs w:val="20"/>
        </w:rPr>
        <w:t>las publicaciones de la Sentencia</w:t>
      </w:r>
      <w:r>
        <w:rPr>
          <w:rFonts w:ascii="Verdana" w:hAnsi="Verdana"/>
          <w:sz w:val="20"/>
          <w:szCs w:val="20"/>
        </w:rPr>
        <w:t xml:space="preserve"> </w:t>
      </w:r>
      <w:r w:rsidRPr="007336B3">
        <w:rPr>
          <w:rFonts w:ascii="Verdana" w:hAnsi="Verdana"/>
          <w:i/>
          <w:sz w:val="20"/>
          <w:szCs w:val="20"/>
        </w:rPr>
        <w:t>(</w:t>
      </w:r>
      <w:r>
        <w:rPr>
          <w:rFonts w:ascii="Verdana" w:hAnsi="Verdana"/>
          <w:i/>
          <w:sz w:val="20"/>
          <w:szCs w:val="20"/>
        </w:rPr>
        <w:t xml:space="preserve">punto </w:t>
      </w:r>
      <w:r w:rsidR="00953B70">
        <w:rPr>
          <w:rFonts w:ascii="Verdana" w:hAnsi="Verdana"/>
          <w:i/>
          <w:sz w:val="20"/>
          <w:szCs w:val="20"/>
        </w:rPr>
        <w:t>dispositivo</w:t>
      </w:r>
      <w:r>
        <w:rPr>
          <w:rFonts w:ascii="Verdana" w:hAnsi="Verdana"/>
          <w:i/>
          <w:sz w:val="20"/>
          <w:szCs w:val="20"/>
        </w:rPr>
        <w:t xml:space="preserve"> cuarto</w:t>
      </w:r>
      <w:r w:rsidR="00026CBD">
        <w:rPr>
          <w:rFonts w:ascii="Verdana" w:hAnsi="Verdana"/>
          <w:i/>
          <w:sz w:val="20"/>
          <w:szCs w:val="20"/>
        </w:rPr>
        <w:t xml:space="preserve"> de la Sentencia</w:t>
      </w:r>
      <w:r w:rsidRPr="007336B3">
        <w:rPr>
          <w:rFonts w:ascii="Verdana" w:hAnsi="Verdana"/>
          <w:i/>
          <w:sz w:val="20"/>
          <w:szCs w:val="20"/>
        </w:rPr>
        <w:t>)</w:t>
      </w:r>
      <w:r w:rsidR="006122CD">
        <w:rPr>
          <w:rFonts w:ascii="Verdana" w:hAnsi="Verdana"/>
          <w:i/>
          <w:sz w:val="20"/>
          <w:szCs w:val="20"/>
        </w:rPr>
        <w:t>,</w:t>
      </w:r>
      <w:r w:rsidR="00827B62">
        <w:rPr>
          <w:rFonts w:ascii="Verdana" w:hAnsi="Verdana"/>
          <w:sz w:val="20"/>
          <w:szCs w:val="20"/>
        </w:rPr>
        <w:t xml:space="preserve"> que el Estado afirmó haber realizado</w:t>
      </w:r>
      <w:r w:rsidR="002B6CA0">
        <w:rPr>
          <w:rFonts w:ascii="Verdana" w:hAnsi="Verdana"/>
          <w:sz w:val="20"/>
          <w:szCs w:val="20"/>
        </w:rPr>
        <w:t xml:space="preserve"> en sus informes de enero de 2014 y mayo de 2015</w:t>
      </w:r>
      <w:r w:rsidR="00827B62">
        <w:rPr>
          <w:rFonts w:ascii="Verdana" w:hAnsi="Verdana"/>
          <w:sz w:val="20"/>
          <w:szCs w:val="20"/>
        </w:rPr>
        <w:t>, se solicita que remita copia de las referidas publicaciones</w:t>
      </w:r>
      <w:r w:rsidR="008506E5">
        <w:rPr>
          <w:rFonts w:ascii="Verdana" w:hAnsi="Verdana"/>
          <w:sz w:val="20"/>
          <w:szCs w:val="20"/>
        </w:rPr>
        <w:t>.</w:t>
      </w:r>
      <w:r w:rsidR="007336B3">
        <w:rPr>
          <w:rFonts w:ascii="Verdana" w:hAnsi="Verdana"/>
          <w:sz w:val="20"/>
          <w:szCs w:val="20"/>
        </w:rPr>
        <w:t xml:space="preserve"> </w:t>
      </w:r>
    </w:p>
    <w:p w:rsidR="002B6CA0" w:rsidRDefault="004D3481" w:rsidP="00684D64">
      <w:pPr>
        <w:pStyle w:val="Prrafodelista"/>
        <w:numPr>
          <w:ilvl w:val="0"/>
          <w:numId w:val="13"/>
        </w:numPr>
        <w:spacing w:after="120" w:line="240" w:lineRule="auto"/>
        <w:ind w:left="714" w:hanging="357"/>
        <w:contextualSpacing w:val="0"/>
        <w:jc w:val="both"/>
        <w:rPr>
          <w:rFonts w:ascii="Verdana" w:hAnsi="Verdana"/>
          <w:sz w:val="20"/>
          <w:szCs w:val="20"/>
        </w:rPr>
      </w:pPr>
      <w:r>
        <w:rPr>
          <w:rFonts w:ascii="Verdana" w:hAnsi="Verdana"/>
          <w:sz w:val="20"/>
          <w:szCs w:val="20"/>
        </w:rPr>
        <w:t>Sobre el acto público de reconocimiento de responsabilidad internacional</w:t>
      </w:r>
      <w:r w:rsidR="008506E5">
        <w:rPr>
          <w:rFonts w:ascii="Verdana" w:hAnsi="Verdana"/>
          <w:sz w:val="20"/>
          <w:szCs w:val="20"/>
        </w:rPr>
        <w:t xml:space="preserve"> </w:t>
      </w:r>
      <w:r w:rsidR="008506E5" w:rsidRPr="008506E5">
        <w:rPr>
          <w:rFonts w:ascii="Verdana" w:hAnsi="Verdana"/>
          <w:i/>
          <w:sz w:val="20"/>
          <w:szCs w:val="20"/>
        </w:rPr>
        <w:t>(</w:t>
      </w:r>
      <w:r w:rsidR="00026CBD">
        <w:rPr>
          <w:rFonts w:ascii="Verdana" w:hAnsi="Verdana"/>
          <w:i/>
          <w:sz w:val="20"/>
          <w:szCs w:val="20"/>
        </w:rPr>
        <w:t xml:space="preserve">punto </w:t>
      </w:r>
      <w:r w:rsidR="00953B70">
        <w:rPr>
          <w:rFonts w:ascii="Verdana" w:hAnsi="Verdana"/>
          <w:i/>
          <w:sz w:val="20"/>
          <w:szCs w:val="20"/>
        </w:rPr>
        <w:t xml:space="preserve">dispositivo </w:t>
      </w:r>
      <w:r w:rsidR="008506E5" w:rsidRPr="008506E5">
        <w:rPr>
          <w:rFonts w:ascii="Verdana" w:hAnsi="Verdana"/>
          <w:i/>
          <w:sz w:val="20"/>
          <w:szCs w:val="20"/>
        </w:rPr>
        <w:t>quinto</w:t>
      </w:r>
      <w:r w:rsidR="00026CBD">
        <w:rPr>
          <w:rFonts w:ascii="Verdana" w:hAnsi="Verdana"/>
          <w:i/>
          <w:sz w:val="20"/>
          <w:szCs w:val="20"/>
        </w:rPr>
        <w:t xml:space="preserve"> de la Sentencia</w:t>
      </w:r>
      <w:r w:rsidR="008506E5">
        <w:rPr>
          <w:rFonts w:ascii="Verdana" w:hAnsi="Verdana"/>
          <w:sz w:val="20"/>
          <w:szCs w:val="20"/>
        </w:rPr>
        <w:t>)</w:t>
      </w:r>
      <w:r>
        <w:rPr>
          <w:rFonts w:ascii="Verdana" w:hAnsi="Verdana"/>
          <w:sz w:val="20"/>
          <w:szCs w:val="20"/>
        </w:rPr>
        <w:t xml:space="preserve">, </w:t>
      </w:r>
      <w:r w:rsidR="00EB767C">
        <w:rPr>
          <w:rFonts w:ascii="Verdana" w:hAnsi="Verdana"/>
          <w:sz w:val="20"/>
          <w:szCs w:val="20"/>
        </w:rPr>
        <w:t>teniendo en cuenta que el Estado ha señalado que no ha</w:t>
      </w:r>
      <w:r w:rsidR="00995477">
        <w:rPr>
          <w:rFonts w:ascii="Verdana" w:hAnsi="Verdana"/>
          <w:sz w:val="20"/>
          <w:szCs w:val="20"/>
        </w:rPr>
        <w:t xml:space="preserve"> “logra</w:t>
      </w:r>
      <w:r w:rsidR="00BA2E0A">
        <w:rPr>
          <w:rFonts w:ascii="Verdana" w:hAnsi="Verdana"/>
          <w:sz w:val="20"/>
          <w:szCs w:val="20"/>
        </w:rPr>
        <w:t>[</w:t>
      </w:r>
      <w:r w:rsidR="00995477">
        <w:rPr>
          <w:rFonts w:ascii="Verdana" w:hAnsi="Verdana"/>
          <w:sz w:val="20"/>
          <w:szCs w:val="20"/>
        </w:rPr>
        <w:t>do</w:t>
      </w:r>
      <w:r w:rsidR="00BA2E0A">
        <w:rPr>
          <w:rFonts w:ascii="Verdana" w:hAnsi="Verdana"/>
          <w:sz w:val="20"/>
          <w:szCs w:val="20"/>
        </w:rPr>
        <w:t>] encontrar el</w:t>
      </w:r>
      <w:r w:rsidR="00995477">
        <w:rPr>
          <w:rFonts w:ascii="Verdana" w:hAnsi="Verdana"/>
          <w:sz w:val="20"/>
          <w:szCs w:val="20"/>
        </w:rPr>
        <w:t xml:space="preserve"> </w:t>
      </w:r>
      <w:r w:rsidR="00EB767C">
        <w:rPr>
          <w:rFonts w:ascii="Verdana" w:hAnsi="Verdana"/>
          <w:sz w:val="20"/>
          <w:szCs w:val="20"/>
        </w:rPr>
        <w:t xml:space="preserve">espacio </w:t>
      </w:r>
      <w:r w:rsidR="00995477">
        <w:rPr>
          <w:rFonts w:ascii="Verdana" w:hAnsi="Verdana"/>
          <w:sz w:val="20"/>
          <w:szCs w:val="20"/>
        </w:rPr>
        <w:t xml:space="preserve">en la agenda de las autoridades del Estado con el objeto de dar cumplimiento a este compromiso”, de acuerdo con lo </w:t>
      </w:r>
      <w:r w:rsidR="006122CD">
        <w:rPr>
          <w:rFonts w:ascii="Verdana" w:hAnsi="Verdana"/>
          <w:sz w:val="20"/>
          <w:szCs w:val="20"/>
        </w:rPr>
        <w:t>comunicado</w:t>
      </w:r>
      <w:r w:rsidR="00995477">
        <w:rPr>
          <w:rFonts w:ascii="Verdana" w:hAnsi="Verdana"/>
          <w:sz w:val="20"/>
          <w:szCs w:val="20"/>
        </w:rPr>
        <w:t xml:space="preserve"> en su informe de enero de 2014, </w:t>
      </w:r>
      <w:r w:rsidR="00EB767C">
        <w:rPr>
          <w:rFonts w:ascii="Verdana" w:hAnsi="Verdana"/>
          <w:sz w:val="20"/>
          <w:szCs w:val="20"/>
        </w:rPr>
        <w:t xml:space="preserve">se solicita que indique </w:t>
      </w:r>
      <w:r w:rsidR="00995477">
        <w:rPr>
          <w:rFonts w:ascii="Verdana" w:hAnsi="Verdana"/>
          <w:sz w:val="20"/>
          <w:szCs w:val="20"/>
        </w:rPr>
        <w:t>las gestiones que está realiza</w:t>
      </w:r>
      <w:r w:rsidR="00F87FA1">
        <w:rPr>
          <w:rFonts w:ascii="Verdana" w:hAnsi="Verdana"/>
          <w:sz w:val="20"/>
          <w:szCs w:val="20"/>
        </w:rPr>
        <w:t>n</w:t>
      </w:r>
      <w:r w:rsidR="00995477">
        <w:rPr>
          <w:rFonts w:ascii="Verdana" w:hAnsi="Verdana"/>
          <w:sz w:val="20"/>
          <w:szCs w:val="20"/>
        </w:rPr>
        <w:t>do el Estado para dar cumplimiento a la referida medida de reparación</w:t>
      </w:r>
      <w:r w:rsidR="00EB767C">
        <w:rPr>
          <w:rFonts w:ascii="Verdana" w:hAnsi="Verdana"/>
          <w:sz w:val="20"/>
          <w:szCs w:val="20"/>
        </w:rPr>
        <w:t xml:space="preserve">, y </w:t>
      </w:r>
      <w:r w:rsidR="006122CD">
        <w:rPr>
          <w:rFonts w:ascii="Verdana" w:hAnsi="Verdana"/>
          <w:sz w:val="20"/>
          <w:szCs w:val="20"/>
        </w:rPr>
        <w:t xml:space="preserve">si se ha acordado con los representantes una posible </w:t>
      </w:r>
      <w:r w:rsidR="00EB767C">
        <w:rPr>
          <w:rFonts w:ascii="Verdana" w:hAnsi="Verdana"/>
          <w:sz w:val="20"/>
          <w:szCs w:val="20"/>
        </w:rPr>
        <w:t>fecha en la que se realizará dicho acto</w:t>
      </w:r>
      <w:r w:rsidR="00995477">
        <w:rPr>
          <w:rFonts w:ascii="Verdana" w:hAnsi="Verdana"/>
          <w:sz w:val="20"/>
          <w:szCs w:val="20"/>
        </w:rPr>
        <w:t xml:space="preserve">. </w:t>
      </w:r>
    </w:p>
    <w:p w:rsidR="00827B62" w:rsidRPr="00D17CEA" w:rsidRDefault="00827B62" w:rsidP="00684D64">
      <w:pPr>
        <w:pStyle w:val="Prrafodelista"/>
        <w:numPr>
          <w:ilvl w:val="0"/>
          <w:numId w:val="13"/>
        </w:numPr>
        <w:spacing w:after="120" w:line="240" w:lineRule="auto"/>
        <w:ind w:left="714" w:hanging="357"/>
        <w:contextualSpacing w:val="0"/>
        <w:jc w:val="both"/>
        <w:rPr>
          <w:rFonts w:ascii="Verdana" w:hAnsi="Verdana"/>
          <w:i/>
          <w:sz w:val="20"/>
          <w:szCs w:val="20"/>
        </w:rPr>
      </w:pPr>
      <w:r>
        <w:rPr>
          <w:rFonts w:ascii="Verdana" w:hAnsi="Verdana"/>
          <w:sz w:val="20"/>
          <w:szCs w:val="20"/>
        </w:rPr>
        <w:t xml:space="preserve"> </w:t>
      </w:r>
      <w:r w:rsidR="00A46C75">
        <w:rPr>
          <w:rFonts w:ascii="Verdana" w:hAnsi="Verdana"/>
          <w:sz w:val="20"/>
          <w:szCs w:val="20"/>
        </w:rPr>
        <w:t>Sobre la iniciativa denominada “Memorial para la Concordia”</w:t>
      </w:r>
      <w:r w:rsidR="00AA5746">
        <w:rPr>
          <w:rStyle w:val="Refdenotaalpie"/>
          <w:rFonts w:ascii="Verdana" w:hAnsi="Verdana"/>
          <w:sz w:val="20"/>
          <w:szCs w:val="20"/>
        </w:rPr>
        <w:footnoteReference w:id="35"/>
      </w:r>
      <w:r w:rsidR="00AA5746">
        <w:rPr>
          <w:rFonts w:ascii="Verdana" w:hAnsi="Verdana"/>
          <w:sz w:val="20"/>
          <w:szCs w:val="20"/>
        </w:rPr>
        <w:t xml:space="preserve"> (</w:t>
      </w:r>
      <w:r w:rsidR="00026CBD" w:rsidRPr="00026CBD">
        <w:rPr>
          <w:rFonts w:ascii="Verdana" w:hAnsi="Verdana"/>
          <w:i/>
          <w:sz w:val="20"/>
          <w:szCs w:val="20"/>
        </w:rPr>
        <w:t xml:space="preserve">punto </w:t>
      </w:r>
      <w:r w:rsidR="00953B70">
        <w:rPr>
          <w:rFonts w:ascii="Verdana" w:hAnsi="Verdana"/>
          <w:i/>
          <w:sz w:val="20"/>
          <w:szCs w:val="20"/>
        </w:rPr>
        <w:t>dispostiv</w:t>
      </w:r>
      <w:r w:rsidR="00AA5746" w:rsidRPr="00D17CEA">
        <w:rPr>
          <w:rFonts w:ascii="Verdana" w:hAnsi="Verdana"/>
          <w:i/>
          <w:sz w:val="20"/>
          <w:szCs w:val="20"/>
        </w:rPr>
        <w:t>o sexto</w:t>
      </w:r>
      <w:r w:rsidR="00026CBD">
        <w:rPr>
          <w:rFonts w:ascii="Verdana" w:hAnsi="Verdana"/>
          <w:i/>
          <w:sz w:val="20"/>
          <w:szCs w:val="20"/>
        </w:rPr>
        <w:t xml:space="preserve"> de la Sentencia</w:t>
      </w:r>
      <w:r w:rsidR="00AA5746" w:rsidRPr="00D17CEA">
        <w:rPr>
          <w:rFonts w:ascii="Verdana" w:hAnsi="Verdana"/>
          <w:i/>
          <w:sz w:val="20"/>
          <w:szCs w:val="20"/>
        </w:rPr>
        <w:t>)</w:t>
      </w:r>
      <w:r w:rsidR="00A46C75">
        <w:rPr>
          <w:rFonts w:ascii="Verdana" w:hAnsi="Verdana"/>
          <w:sz w:val="20"/>
          <w:szCs w:val="20"/>
        </w:rPr>
        <w:t>, indique las razones por las que estima que dicha medida ya fue cumplida</w:t>
      </w:r>
      <w:r w:rsidR="00875721">
        <w:rPr>
          <w:rFonts w:ascii="Verdana" w:hAnsi="Verdana"/>
          <w:sz w:val="20"/>
          <w:szCs w:val="20"/>
        </w:rPr>
        <w:t xml:space="preserve"> </w:t>
      </w:r>
      <w:r w:rsidR="00A46C75">
        <w:rPr>
          <w:rFonts w:ascii="Verdana" w:hAnsi="Verdana"/>
          <w:sz w:val="20"/>
          <w:szCs w:val="20"/>
        </w:rPr>
        <w:t>como lo sostuvo en su informe de mayo de 201</w:t>
      </w:r>
      <w:r w:rsidR="00AA5746">
        <w:rPr>
          <w:rFonts w:ascii="Verdana" w:hAnsi="Verdana"/>
          <w:sz w:val="20"/>
          <w:szCs w:val="20"/>
        </w:rPr>
        <w:t>5</w:t>
      </w:r>
      <w:r w:rsidR="006050E4">
        <w:rPr>
          <w:rFonts w:ascii="Verdana" w:hAnsi="Verdana"/>
          <w:sz w:val="20"/>
          <w:szCs w:val="20"/>
        </w:rPr>
        <w:t xml:space="preserve"> y que aporte el soporte probatorio correspondiente</w:t>
      </w:r>
      <w:r w:rsidR="00A64442">
        <w:rPr>
          <w:rStyle w:val="Refdenotaalpie"/>
          <w:rFonts w:ascii="Verdana" w:hAnsi="Verdana"/>
          <w:sz w:val="20"/>
          <w:szCs w:val="20"/>
        </w:rPr>
        <w:footnoteReference w:id="36"/>
      </w:r>
      <w:r w:rsidR="00BA0F92">
        <w:rPr>
          <w:rFonts w:ascii="Verdana" w:hAnsi="Verdana"/>
          <w:sz w:val="20"/>
          <w:szCs w:val="20"/>
        </w:rPr>
        <w:t>.</w:t>
      </w:r>
      <w:r w:rsidR="00A46C75">
        <w:rPr>
          <w:rFonts w:ascii="Verdana" w:hAnsi="Verdana"/>
          <w:sz w:val="20"/>
          <w:szCs w:val="20"/>
        </w:rPr>
        <w:t xml:space="preserve"> </w:t>
      </w:r>
    </w:p>
    <w:p w:rsidR="00827B62" w:rsidRPr="00D05728" w:rsidRDefault="00E4137B" w:rsidP="00684D64">
      <w:pPr>
        <w:pStyle w:val="Prrafodelista"/>
        <w:numPr>
          <w:ilvl w:val="0"/>
          <w:numId w:val="13"/>
        </w:numPr>
        <w:spacing w:after="120" w:line="240" w:lineRule="auto"/>
        <w:ind w:left="714" w:hanging="357"/>
        <w:contextualSpacing w:val="0"/>
        <w:jc w:val="both"/>
        <w:rPr>
          <w:rFonts w:ascii="Verdana" w:hAnsi="Verdana"/>
          <w:sz w:val="20"/>
          <w:szCs w:val="20"/>
        </w:rPr>
      </w:pPr>
      <w:r>
        <w:rPr>
          <w:rFonts w:ascii="Verdana" w:hAnsi="Verdana"/>
          <w:sz w:val="20"/>
          <w:szCs w:val="20"/>
        </w:rPr>
        <w:t>Sobre la inclusión del nombre de señor Edgar Fernando García en la placa que se colocar</w:t>
      </w:r>
      <w:r w:rsidR="00963462">
        <w:rPr>
          <w:rFonts w:ascii="Verdana" w:hAnsi="Verdana"/>
          <w:sz w:val="20"/>
          <w:szCs w:val="20"/>
        </w:rPr>
        <w:t>á</w:t>
      </w:r>
      <w:r>
        <w:rPr>
          <w:rFonts w:ascii="Verdana" w:hAnsi="Verdana"/>
          <w:sz w:val="20"/>
          <w:szCs w:val="20"/>
        </w:rPr>
        <w:t xml:space="preserve"> en el parque o plaza que se construya en cumplimiento de lo ordenado </w:t>
      </w:r>
      <w:r w:rsidR="00875721">
        <w:rPr>
          <w:rFonts w:ascii="Verdana" w:hAnsi="Verdana"/>
          <w:sz w:val="20"/>
          <w:szCs w:val="20"/>
        </w:rPr>
        <w:t>en el punto resolutivo séptimo d</w:t>
      </w:r>
      <w:r>
        <w:rPr>
          <w:rFonts w:ascii="Verdana" w:hAnsi="Verdana"/>
          <w:sz w:val="20"/>
          <w:szCs w:val="20"/>
        </w:rPr>
        <w:t xml:space="preserve">e la Sentencia del caso Gudiel Álvarez y otros (“Diario Militar”) vs. </w:t>
      </w:r>
      <w:r w:rsidRPr="0015624D">
        <w:rPr>
          <w:rFonts w:ascii="Verdana" w:hAnsi="Verdana"/>
          <w:sz w:val="20"/>
          <w:szCs w:val="20"/>
        </w:rPr>
        <w:t>Guatemala</w:t>
      </w:r>
      <w:r w:rsidR="0015624D" w:rsidRPr="0015624D">
        <w:rPr>
          <w:rFonts w:ascii="Verdana" w:hAnsi="Verdana"/>
          <w:sz w:val="20"/>
          <w:szCs w:val="20"/>
        </w:rPr>
        <w:t xml:space="preserve"> </w:t>
      </w:r>
      <w:r w:rsidR="0015624D" w:rsidRPr="0015624D">
        <w:rPr>
          <w:rFonts w:ascii="Verdana" w:hAnsi="Verdana"/>
          <w:i/>
          <w:sz w:val="20"/>
          <w:szCs w:val="20"/>
        </w:rPr>
        <w:t>(</w:t>
      </w:r>
      <w:r w:rsidR="00963462">
        <w:rPr>
          <w:rFonts w:ascii="Verdana" w:hAnsi="Verdana"/>
          <w:i/>
          <w:sz w:val="20"/>
          <w:szCs w:val="20"/>
        </w:rPr>
        <w:t xml:space="preserve">punto </w:t>
      </w:r>
      <w:r w:rsidR="00953B70">
        <w:rPr>
          <w:rFonts w:ascii="Verdana" w:hAnsi="Verdana"/>
          <w:i/>
          <w:sz w:val="20"/>
          <w:szCs w:val="20"/>
        </w:rPr>
        <w:t>dispositivo</w:t>
      </w:r>
      <w:r w:rsidR="0015624D" w:rsidRPr="00D05728">
        <w:rPr>
          <w:rFonts w:ascii="Verdana" w:hAnsi="Verdana"/>
          <w:i/>
          <w:sz w:val="20"/>
          <w:szCs w:val="20"/>
        </w:rPr>
        <w:t xml:space="preserve"> séptimo</w:t>
      </w:r>
      <w:r w:rsidR="00963462">
        <w:rPr>
          <w:rFonts w:ascii="Verdana" w:hAnsi="Verdana"/>
          <w:i/>
          <w:sz w:val="20"/>
          <w:szCs w:val="20"/>
        </w:rPr>
        <w:t xml:space="preserve"> de la Sentencia</w:t>
      </w:r>
      <w:r w:rsidR="0015624D" w:rsidRPr="00D05728">
        <w:rPr>
          <w:rFonts w:ascii="Verdana" w:hAnsi="Verdana"/>
          <w:i/>
          <w:sz w:val="20"/>
          <w:szCs w:val="20"/>
        </w:rPr>
        <w:t>)</w:t>
      </w:r>
      <w:r>
        <w:rPr>
          <w:rFonts w:ascii="Verdana" w:hAnsi="Verdana"/>
          <w:sz w:val="20"/>
          <w:szCs w:val="20"/>
        </w:rPr>
        <w:t xml:space="preserve">, </w:t>
      </w:r>
      <w:r w:rsidR="00D05728">
        <w:rPr>
          <w:rFonts w:ascii="Verdana" w:hAnsi="Verdana"/>
          <w:sz w:val="20"/>
          <w:szCs w:val="20"/>
        </w:rPr>
        <w:t>informe acerca de los avances</w:t>
      </w:r>
      <w:r w:rsidR="00B92FCA">
        <w:rPr>
          <w:rFonts w:ascii="Verdana" w:hAnsi="Verdana"/>
          <w:sz w:val="20"/>
          <w:szCs w:val="20"/>
        </w:rPr>
        <w:t xml:space="preserve"> que ha realizado</w:t>
      </w:r>
      <w:r w:rsidR="00D05728">
        <w:rPr>
          <w:rFonts w:ascii="Verdana" w:hAnsi="Verdana"/>
          <w:sz w:val="20"/>
          <w:szCs w:val="20"/>
        </w:rPr>
        <w:t xml:space="preserve"> en la construcción del parque o plaza</w:t>
      </w:r>
      <w:r w:rsidR="00B92FCA">
        <w:rPr>
          <w:rFonts w:ascii="Verdana" w:hAnsi="Verdana"/>
          <w:sz w:val="20"/>
          <w:szCs w:val="20"/>
        </w:rPr>
        <w:t xml:space="preserve"> en cumplimiento a lo ordenado en la sentencia antes referida</w:t>
      </w:r>
      <w:r w:rsidR="00D05728">
        <w:rPr>
          <w:rFonts w:ascii="Verdana" w:hAnsi="Verdana"/>
          <w:sz w:val="20"/>
          <w:szCs w:val="20"/>
        </w:rPr>
        <w:t xml:space="preserve">. </w:t>
      </w:r>
      <w:r w:rsidR="0015624D">
        <w:rPr>
          <w:rFonts w:ascii="Verdana" w:hAnsi="Verdana"/>
          <w:sz w:val="20"/>
          <w:szCs w:val="20"/>
          <w:highlight w:val="yellow"/>
        </w:rPr>
        <w:t xml:space="preserve"> </w:t>
      </w:r>
    </w:p>
    <w:p w:rsidR="00D05728" w:rsidRPr="000C6FFF" w:rsidRDefault="008E3859" w:rsidP="00684D64">
      <w:pPr>
        <w:pStyle w:val="Prrafodelista"/>
        <w:numPr>
          <w:ilvl w:val="0"/>
          <w:numId w:val="13"/>
        </w:numPr>
        <w:spacing w:after="120" w:line="240" w:lineRule="auto"/>
        <w:ind w:left="714" w:hanging="357"/>
        <w:contextualSpacing w:val="0"/>
        <w:jc w:val="both"/>
        <w:rPr>
          <w:rFonts w:ascii="Verdana" w:hAnsi="Verdana"/>
          <w:sz w:val="20"/>
          <w:szCs w:val="20"/>
        </w:rPr>
      </w:pPr>
      <w:r>
        <w:rPr>
          <w:rFonts w:ascii="Verdana" w:hAnsi="Verdana"/>
          <w:sz w:val="20"/>
          <w:szCs w:val="20"/>
        </w:rPr>
        <w:t>Sobre impulsar el cambio de nombre de la escuela pública “Julia Ydigoras Fuentes” por el de Edgar Fernando García</w:t>
      </w:r>
      <w:r w:rsidR="007105AB">
        <w:rPr>
          <w:rFonts w:ascii="Verdana" w:hAnsi="Verdana"/>
          <w:sz w:val="20"/>
          <w:szCs w:val="20"/>
        </w:rPr>
        <w:t xml:space="preserve"> </w:t>
      </w:r>
      <w:r w:rsidR="007105AB" w:rsidRPr="00F65714">
        <w:rPr>
          <w:rFonts w:ascii="Verdana" w:hAnsi="Verdana"/>
          <w:i/>
          <w:sz w:val="20"/>
          <w:szCs w:val="20"/>
        </w:rPr>
        <w:t>(</w:t>
      </w:r>
      <w:r w:rsidR="00953B70">
        <w:rPr>
          <w:rFonts w:ascii="Verdana" w:hAnsi="Verdana"/>
          <w:i/>
          <w:sz w:val="20"/>
          <w:szCs w:val="20"/>
        </w:rPr>
        <w:t xml:space="preserve">punto dispositivo </w:t>
      </w:r>
      <w:r w:rsidR="007105AB" w:rsidRPr="00F65714">
        <w:rPr>
          <w:rFonts w:ascii="Verdana" w:hAnsi="Verdana"/>
          <w:i/>
          <w:sz w:val="20"/>
          <w:szCs w:val="20"/>
        </w:rPr>
        <w:t>octavo</w:t>
      </w:r>
      <w:r w:rsidR="00953B70">
        <w:rPr>
          <w:rFonts w:ascii="Verdana" w:hAnsi="Verdana"/>
          <w:i/>
          <w:sz w:val="20"/>
          <w:szCs w:val="20"/>
        </w:rPr>
        <w:t xml:space="preserve"> de la Sentencia</w:t>
      </w:r>
      <w:r w:rsidR="007105AB" w:rsidRPr="00F65714">
        <w:rPr>
          <w:rFonts w:ascii="Verdana" w:hAnsi="Verdana"/>
          <w:i/>
          <w:sz w:val="20"/>
          <w:szCs w:val="20"/>
        </w:rPr>
        <w:t>)</w:t>
      </w:r>
      <w:r>
        <w:rPr>
          <w:rFonts w:ascii="Verdana" w:hAnsi="Verdana"/>
          <w:sz w:val="20"/>
          <w:szCs w:val="20"/>
        </w:rPr>
        <w:t xml:space="preserve">, informe acerca de las gestiones y diligencias que ha realizado </w:t>
      </w:r>
      <w:r w:rsidR="00BA0F92">
        <w:rPr>
          <w:rFonts w:ascii="Verdana" w:hAnsi="Verdana"/>
          <w:sz w:val="20"/>
          <w:szCs w:val="20"/>
        </w:rPr>
        <w:t>para avanzar en el cumplimiento</w:t>
      </w:r>
      <w:r w:rsidR="00A64442">
        <w:rPr>
          <w:rStyle w:val="Refdenotaalpie"/>
          <w:rFonts w:ascii="Verdana" w:hAnsi="Verdana"/>
          <w:sz w:val="20"/>
          <w:szCs w:val="20"/>
        </w:rPr>
        <w:footnoteReference w:id="37"/>
      </w:r>
      <w:r w:rsidR="00BA0F92">
        <w:rPr>
          <w:rFonts w:ascii="Verdana" w:hAnsi="Verdana"/>
          <w:sz w:val="20"/>
          <w:szCs w:val="20"/>
        </w:rPr>
        <w:t>.</w:t>
      </w:r>
      <w:r>
        <w:rPr>
          <w:rFonts w:ascii="Verdana" w:hAnsi="Verdana"/>
          <w:sz w:val="20"/>
          <w:szCs w:val="20"/>
        </w:rPr>
        <w:t xml:space="preserve"> </w:t>
      </w:r>
    </w:p>
    <w:p w:rsidR="00686A9B" w:rsidRPr="00686A9B" w:rsidRDefault="000B5A9F" w:rsidP="00684D64">
      <w:pPr>
        <w:pStyle w:val="Prrafodelista"/>
        <w:numPr>
          <w:ilvl w:val="0"/>
          <w:numId w:val="13"/>
        </w:numPr>
        <w:spacing w:after="120" w:line="240" w:lineRule="auto"/>
        <w:ind w:left="714" w:hanging="357"/>
        <w:contextualSpacing w:val="0"/>
        <w:jc w:val="both"/>
        <w:rPr>
          <w:rFonts w:ascii="Verdana" w:hAnsi="Verdana"/>
          <w:sz w:val="20"/>
          <w:szCs w:val="20"/>
        </w:rPr>
      </w:pPr>
      <w:r>
        <w:rPr>
          <w:rFonts w:ascii="Verdana" w:hAnsi="Verdana"/>
          <w:sz w:val="20"/>
          <w:szCs w:val="20"/>
        </w:rPr>
        <w:t>Sobre la entrega de diez “bolsas de estudio” para ser designados por los familiares de Edgar Fernando García a hijos o nietos de pers</w:t>
      </w:r>
      <w:r w:rsidR="00686A9B">
        <w:rPr>
          <w:rFonts w:ascii="Verdana" w:hAnsi="Verdana"/>
          <w:sz w:val="20"/>
          <w:szCs w:val="20"/>
        </w:rPr>
        <w:t>onas desaparecidas forzadamente</w:t>
      </w:r>
      <w:r w:rsidR="009F7D8A">
        <w:rPr>
          <w:rFonts w:ascii="Verdana" w:hAnsi="Verdana"/>
          <w:sz w:val="20"/>
          <w:szCs w:val="20"/>
        </w:rPr>
        <w:t xml:space="preserve"> </w:t>
      </w:r>
      <w:r w:rsidR="009F7D8A" w:rsidRPr="000B5A9F">
        <w:rPr>
          <w:rFonts w:ascii="Verdana" w:hAnsi="Verdana"/>
          <w:i/>
          <w:sz w:val="20"/>
          <w:szCs w:val="20"/>
        </w:rPr>
        <w:t>(</w:t>
      </w:r>
      <w:r w:rsidR="004B2D9B">
        <w:rPr>
          <w:rFonts w:ascii="Verdana" w:hAnsi="Verdana"/>
          <w:i/>
          <w:sz w:val="20"/>
          <w:szCs w:val="20"/>
        </w:rPr>
        <w:t xml:space="preserve">punto dispositivo </w:t>
      </w:r>
      <w:r w:rsidR="009F7D8A">
        <w:rPr>
          <w:rFonts w:ascii="Verdana" w:hAnsi="Verdana"/>
          <w:i/>
          <w:sz w:val="20"/>
          <w:szCs w:val="20"/>
        </w:rPr>
        <w:t>noven</w:t>
      </w:r>
      <w:r w:rsidR="009F7D8A" w:rsidRPr="000B5A9F">
        <w:rPr>
          <w:rFonts w:ascii="Verdana" w:hAnsi="Verdana"/>
          <w:i/>
          <w:sz w:val="20"/>
          <w:szCs w:val="20"/>
        </w:rPr>
        <w:t>o</w:t>
      </w:r>
      <w:r w:rsidR="004B2D9B">
        <w:rPr>
          <w:rFonts w:ascii="Verdana" w:hAnsi="Verdana"/>
          <w:i/>
          <w:sz w:val="20"/>
          <w:szCs w:val="20"/>
        </w:rPr>
        <w:t xml:space="preserve"> de la Sentencia</w:t>
      </w:r>
      <w:r w:rsidR="009F7D8A" w:rsidRPr="000B5A9F">
        <w:rPr>
          <w:rFonts w:ascii="Verdana" w:hAnsi="Verdana"/>
          <w:i/>
          <w:sz w:val="20"/>
          <w:szCs w:val="20"/>
        </w:rPr>
        <w:t>)</w:t>
      </w:r>
      <w:r w:rsidRPr="00686A9B">
        <w:rPr>
          <w:rFonts w:ascii="Verdana" w:hAnsi="Verdana"/>
          <w:sz w:val="20"/>
          <w:szCs w:val="20"/>
        </w:rPr>
        <w:t xml:space="preserve">, informe si ya </w:t>
      </w:r>
      <w:r w:rsidR="001B1F7A">
        <w:rPr>
          <w:rFonts w:ascii="Verdana" w:hAnsi="Verdana"/>
          <w:sz w:val="20"/>
          <w:szCs w:val="20"/>
        </w:rPr>
        <w:t xml:space="preserve">se determinó quiénes serán los beneficiarios </w:t>
      </w:r>
      <w:r w:rsidRPr="00686A9B">
        <w:rPr>
          <w:rFonts w:ascii="Verdana" w:hAnsi="Verdana"/>
          <w:sz w:val="20"/>
          <w:szCs w:val="20"/>
        </w:rPr>
        <w:t>y las gestiones que está realizando para la respectiva entrega de las diez bolsas de estudio</w:t>
      </w:r>
      <w:r w:rsidR="00BA5CFF">
        <w:rPr>
          <w:rStyle w:val="Refdenotaalpie"/>
          <w:rFonts w:ascii="Verdana" w:hAnsi="Verdana"/>
          <w:sz w:val="20"/>
          <w:szCs w:val="20"/>
        </w:rPr>
        <w:footnoteReference w:id="38"/>
      </w:r>
      <w:r w:rsidR="009F7D8A">
        <w:rPr>
          <w:rFonts w:ascii="Verdana" w:hAnsi="Verdana"/>
          <w:sz w:val="20"/>
          <w:szCs w:val="20"/>
        </w:rPr>
        <w:t>.</w:t>
      </w:r>
      <w:r w:rsidR="00686A9B">
        <w:rPr>
          <w:rFonts w:ascii="Verdana" w:hAnsi="Verdana"/>
          <w:sz w:val="20"/>
          <w:szCs w:val="20"/>
        </w:rPr>
        <w:t xml:space="preserve"> </w:t>
      </w:r>
    </w:p>
    <w:p w:rsidR="008B1652" w:rsidRDefault="00FD3C96" w:rsidP="00684D64">
      <w:pPr>
        <w:pStyle w:val="Prrafodelista"/>
        <w:numPr>
          <w:ilvl w:val="0"/>
          <w:numId w:val="13"/>
        </w:numPr>
        <w:spacing w:after="120" w:line="240" w:lineRule="auto"/>
        <w:ind w:left="714" w:hanging="357"/>
        <w:contextualSpacing w:val="0"/>
        <w:jc w:val="both"/>
        <w:rPr>
          <w:rFonts w:ascii="Verdana" w:hAnsi="Verdana"/>
          <w:sz w:val="20"/>
          <w:szCs w:val="20"/>
        </w:rPr>
      </w:pPr>
      <w:r>
        <w:rPr>
          <w:rFonts w:ascii="Verdana" w:hAnsi="Verdana"/>
          <w:sz w:val="20"/>
          <w:szCs w:val="20"/>
        </w:rPr>
        <w:t>Sobre el impulso para la aprobación del proyecto de ley para la creación de la Comisión Nacional de Búsqueda de Personas Víctimas de Desaparición Forzada y otras Formas de Desaparición</w:t>
      </w:r>
      <w:r w:rsidR="008B1652">
        <w:rPr>
          <w:rFonts w:ascii="Verdana" w:hAnsi="Verdana"/>
          <w:sz w:val="20"/>
          <w:szCs w:val="20"/>
        </w:rPr>
        <w:t xml:space="preserve"> </w:t>
      </w:r>
      <w:r w:rsidR="008B1652" w:rsidRPr="004E35B2">
        <w:rPr>
          <w:rFonts w:ascii="Verdana" w:hAnsi="Verdana"/>
          <w:i/>
          <w:sz w:val="20"/>
          <w:szCs w:val="20"/>
        </w:rPr>
        <w:t>(</w:t>
      </w:r>
      <w:r w:rsidR="004B2D9B">
        <w:rPr>
          <w:rFonts w:ascii="Verdana" w:hAnsi="Verdana"/>
          <w:i/>
          <w:sz w:val="20"/>
          <w:szCs w:val="20"/>
        </w:rPr>
        <w:t xml:space="preserve">punto dispositivo </w:t>
      </w:r>
      <w:r w:rsidR="008B1652" w:rsidRPr="004E35B2">
        <w:rPr>
          <w:rFonts w:ascii="Verdana" w:hAnsi="Verdana"/>
          <w:i/>
          <w:sz w:val="20"/>
          <w:szCs w:val="20"/>
        </w:rPr>
        <w:t>décimo</w:t>
      </w:r>
      <w:r w:rsidR="004B2D9B">
        <w:rPr>
          <w:rFonts w:ascii="Verdana" w:hAnsi="Verdana"/>
          <w:i/>
          <w:sz w:val="20"/>
          <w:szCs w:val="20"/>
        </w:rPr>
        <w:t xml:space="preserve"> de la Sentencia</w:t>
      </w:r>
      <w:r w:rsidR="008B1652" w:rsidRPr="004E35B2">
        <w:rPr>
          <w:rFonts w:ascii="Verdana" w:hAnsi="Verdana"/>
          <w:i/>
          <w:sz w:val="20"/>
          <w:szCs w:val="20"/>
        </w:rPr>
        <w:t>)</w:t>
      </w:r>
      <w:r>
        <w:rPr>
          <w:rFonts w:ascii="Verdana" w:hAnsi="Verdana"/>
          <w:sz w:val="20"/>
          <w:szCs w:val="20"/>
        </w:rPr>
        <w:t xml:space="preserve">, </w:t>
      </w:r>
      <w:r w:rsidR="005D36B0">
        <w:rPr>
          <w:rFonts w:ascii="Verdana" w:hAnsi="Verdana"/>
          <w:sz w:val="20"/>
          <w:szCs w:val="20"/>
        </w:rPr>
        <w:t xml:space="preserve">se requiere </w:t>
      </w:r>
      <w:r w:rsidR="005D36B0">
        <w:rPr>
          <w:rFonts w:ascii="Verdana" w:hAnsi="Verdana"/>
          <w:sz w:val="20"/>
          <w:szCs w:val="20"/>
        </w:rPr>
        <w:lastRenderedPageBreak/>
        <w:t xml:space="preserve">que informe sobre el contenido del proyecto de ley </w:t>
      </w:r>
      <w:r w:rsidR="00197906">
        <w:rPr>
          <w:rFonts w:ascii="Verdana" w:hAnsi="Verdana"/>
          <w:sz w:val="20"/>
          <w:szCs w:val="20"/>
        </w:rPr>
        <w:t xml:space="preserve">antes </w:t>
      </w:r>
      <w:r w:rsidR="005D36B0">
        <w:rPr>
          <w:rFonts w:ascii="Verdana" w:hAnsi="Verdana"/>
          <w:sz w:val="20"/>
          <w:szCs w:val="20"/>
        </w:rPr>
        <w:t>citado, así como los avances en su aprobación por parte del Congreso</w:t>
      </w:r>
      <w:r w:rsidR="00506782">
        <w:rPr>
          <w:rStyle w:val="Refdenotaalpie"/>
          <w:rFonts w:ascii="Verdana" w:hAnsi="Verdana"/>
          <w:sz w:val="20"/>
          <w:szCs w:val="20"/>
        </w:rPr>
        <w:footnoteReference w:id="39"/>
      </w:r>
      <w:r w:rsidR="001B1F7A">
        <w:rPr>
          <w:rFonts w:ascii="Verdana" w:hAnsi="Verdana"/>
          <w:sz w:val="20"/>
          <w:szCs w:val="20"/>
        </w:rPr>
        <w:t>.</w:t>
      </w:r>
    </w:p>
    <w:p w:rsidR="00686A9B" w:rsidRDefault="00686A9B" w:rsidP="00684D64">
      <w:pPr>
        <w:pStyle w:val="Prrafodelista"/>
        <w:spacing w:before="120" w:after="120" w:line="240" w:lineRule="auto"/>
        <w:ind w:left="714"/>
        <w:jc w:val="both"/>
        <w:rPr>
          <w:rFonts w:ascii="Verdana" w:hAnsi="Verdana"/>
          <w:sz w:val="20"/>
          <w:szCs w:val="20"/>
        </w:rPr>
      </w:pPr>
    </w:p>
    <w:p w:rsidR="00684D64" w:rsidRPr="00D32327" w:rsidRDefault="00684D64" w:rsidP="008B1652">
      <w:pPr>
        <w:pStyle w:val="Prrafodelista"/>
        <w:spacing w:before="120" w:after="120" w:line="240" w:lineRule="auto"/>
        <w:jc w:val="both"/>
        <w:rPr>
          <w:rFonts w:ascii="Verdana" w:hAnsi="Verdana"/>
          <w:sz w:val="20"/>
          <w:szCs w:val="20"/>
        </w:rPr>
      </w:pPr>
    </w:p>
    <w:p w:rsidR="00581B46" w:rsidRDefault="00581B46" w:rsidP="00581B46">
      <w:pPr>
        <w:autoSpaceDE w:val="0"/>
        <w:autoSpaceDN w:val="0"/>
        <w:adjustRightInd w:val="0"/>
        <w:spacing w:before="120" w:after="120" w:line="240" w:lineRule="auto"/>
        <w:jc w:val="both"/>
        <w:rPr>
          <w:rFonts w:ascii="Verdana" w:hAnsi="Verdana"/>
          <w:b/>
          <w:sz w:val="20"/>
          <w:szCs w:val="20"/>
        </w:rPr>
      </w:pPr>
      <w:r w:rsidRPr="00844485">
        <w:rPr>
          <w:rFonts w:ascii="Verdana" w:hAnsi="Verdana"/>
          <w:b/>
          <w:sz w:val="20"/>
          <w:szCs w:val="20"/>
        </w:rPr>
        <w:t xml:space="preserve">POR TANTO: </w:t>
      </w:r>
    </w:p>
    <w:p w:rsidR="00684D64" w:rsidRPr="00844485" w:rsidRDefault="00684D64" w:rsidP="00581B46">
      <w:pPr>
        <w:autoSpaceDE w:val="0"/>
        <w:autoSpaceDN w:val="0"/>
        <w:adjustRightInd w:val="0"/>
        <w:spacing w:before="120" w:after="120" w:line="240" w:lineRule="auto"/>
        <w:jc w:val="both"/>
        <w:rPr>
          <w:rFonts w:ascii="Verdana" w:hAnsi="Verdana"/>
          <w:b/>
          <w:sz w:val="20"/>
          <w:szCs w:val="20"/>
        </w:rPr>
      </w:pPr>
    </w:p>
    <w:p w:rsidR="00581B46" w:rsidRPr="00844485" w:rsidRDefault="00581B46" w:rsidP="00581B46">
      <w:pPr>
        <w:autoSpaceDE w:val="0"/>
        <w:autoSpaceDN w:val="0"/>
        <w:adjustRightInd w:val="0"/>
        <w:spacing w:before="120" w:after="120" w:line="240" w:lineRule="auto"/>
        <w:jc w:val="both"/>
        <w:rPr>
          <w:rFonts w:ascii="Verdana" w:hAnsi="Verdana"/>
          <w:sz w:val="20"/>
          <w:szCs w:val="20"/>
        </w:rPr>
      </w:pPr>
      <w:r w:rsidRPr="00844485">
        <w:rPr>
          <w:rFonts w:ascii="Verdana" w:hAnsi="Verdana"/>
          <w:b/>
          <w:sz w:val="20"/>
          <w:szCs w:val="20"/>
        </w:rPr>
        <w:t>LA CORTE INTERAMERICANA DE DERECHOS HUMANOS,</w:t>
      </w:r>
      <w:r w:rsidRPr="00844485">
        <w:rPr>
          <w:rFonts w:ascii="Verdana" w:hAnsi="Verdana"/>
          <w:sz w:val="20"/>
          <w:szCs w:val="20"/>
        </w:rPr>
        <w:t xml:space="preserve"> </w:t>
      </w:r>
    </w:p>
    <w:p w:rsidR="00581B46" w:rsidRDefault="00581B46" w:rsidP="00581B46">
      <w:pPr>
        <w:tabs>
          <w:tab w:val="left" w:pos="567"/>
        </w:tabs>
        <w:spacing w:before="120" w:after="120" w:line="240" w:lineRule="auto"/>
        <w:jc w:val="both"/>
        <w:rPr>
          <w:rFonts w:ascii="Verdana" w:hAnsi="Verdana"/>
          <w:sz w:val="20"/>
        </w:rPr>
      </w:pPr>
      <w:r w:rsidRPr="00C16F1F">
        <w:rPr>
          <w:rFonts w:ascii="Verdana" w:hAnsi="Verdana"/>
          <w:sz w:val="20"/>
        </w:rPr>
        <w:t xml:space="preserve">en el ejercicio de sus atribuciones de supervisión del cumplimiento de sus decisiones, de conformidad con los artículos 33, 62.1, 62.3, </w:t>
      </w:r>
      <w:r>
        <w:rPr>
          <w:rFonts w:ascii="Verdana" w:hAnsi="Verdana"/>
          <w:sz w:val="20"/>
        </w:rPr>
        <w:t xml:space="preserve">65, 67 </w:t>
      </w:r>
      <w:r w:rsidRPr="00C16F1F">
        <w:rPr>
          <w:rFonts w:ascii="Verdana" w:hAnsi="Verdana"/>
          <w:sz w:val="20"/>
        </w:rPr>
        <w:t>y 68.1 de la Convención Americana sobre Derechos Humanos, 24</w:t>
      </w:r>
      <w:r>
        <w:rPr>
          <w:rFonts w:ascii="Verdana" w:hAnsi="Verdana"/>
          <w:sz w:val="20"/>
        </w:rPr>
        <w:t>, 25</w:t>
      </w:r>
      <w:r w:rsidRPr="00C16F1F">
        <w:rPr>
          <w:rFonts w:ascii="Verdana" w:hAnsi="Verdana"/>
          <w:sz w:val="20"/>
        </w:rPr>
        <w:t xml:space="preserve"> y 30 del Estatuto</w:t>
      </w:r>
      <w:r>
        <w:rPr>
          <w:rFonts w:ascii="Verdana" w:hAnsi="Verdana"/>
          <w:sz w:val="20"/>
        </w:rPr>
        <w:t>, y 31.2 y 69 de su Reglamento,</w:t>
      </w:r>
    </w:p>
    <w:p w:rsidR="00581B46" w:rsidRDefault="00581B46" w:rsidP="00581B46">
      <w:pPr>
        <w:tabs>
          <w:tab w:val="left" w:pos="567"/>
        </w:tabs>
        <w:spacing w:before="120" w:after="120" w:line="240" w:lineRule="auto"/>
        <w:jc w:val="both"/>
        <w:rPr>
          <w:rFonts w:ascii="Verdana" w:hAnsi="Verdana"/>
          <w:sz w:val="20"/>
        </w:rPr>
      </w:pPr>
    </w:p>
    <w:p w:rsidR="00581B46" w:rsidRPr="00844485" w:rsidRDefault="00581B46" w:rsidP="00581B46">
      <w:pPr>
        <w:autoSpaceDE w:val="0"/>
        <w:autoSpaceDN w:val="0"/>
        <w:adjustRightInd w:val="0"/>
        <w:spacing w:before="120" w:after="120"/>
        <w:jc w:val="both"/>
        <w:rPr>
          <w:rFonts w:ascii="Verdana" w:hAnsi="Verdana"/>
          <w:b/>
          <w:sz w:val="20"/>
          <w:szCs w:val="20"/>
        </w:rPr>
      </w:pPr>
      <w:r w:rsidRPr="00844485">
        <w:rPr>
          <w:rFonts w:ascii="Verdana" w:hAnsi="Verdana"/>
          <w:b/>
          <w:sz w:val="20"/>
          <w:szCs w:val="20"/>
        </w:rPr>
        <w:t>RESUELVE:</w:t>
      </w:r>
    </w:p>
    <w:p w:rsidR="00581B46" w:rsidRDefault="00581B46" w:rsidP="00581B46">
      <w:pPr>
        <w:pStyle w:val="Prrafodelista"/>
        <w:numPr>
          <w:ilvl w:val="0"/>
          <w:numId w:val="5"/>
        </w:numPr>
        <w:autoSpaceDE w:val="0"/>
        <w:autoSpaceDN w:val="0"/>
        <w:adjustRightInd w:val="0"/>
        <w:spacing w:before="120" w:after="120" w:line="240" w:lineRule="auto"/>
        <w:ind w:left="0" w:firstLine="0"/>
        <w:contextualSpacing w:val="0"/>
        <w:jc w:val="both"/>
        <w:rPr>
          <w:rFonts w:ascii="Verdana" w:hAnsi="Verdana"/>
          <w:sz w:val="20"/>
          <w:szCs w:val="20"/>
        </w:rPr>
      </w:pPr>
      <w:r w:rsidRPr="00844485">
        <w:rPr>
          <w:rFonts w:ascii="Verdana" w:hAnsi="Verdana"/>
          <w:sz w:val="20"/>
          <w:szCs w:val="20"/>
        </w:rPr>
        <w:t xml:space="preserve">Declarar, de conformidad con lo señalado en </w:t>
      </w:r>
      <w:r w:rsidR="00EF420B">
        <w:rPr>
          <w:rFonts w:ascii="Verdana" w:hAnsi="Verdana"/>
          <w:sz w:val="20"/>
          <w:szCs w:val="20"/>
        </w:rPr>
        <w:t>el</w:t>
      </w:r>
      <w:r w:rsidRPr="00844485">
        <w:rPr>
          <w:rFonts w:ascii="Verdana" w:hAnsi="Verdana"/>
          <w:sz w:val="20"/>
          <w:szCs w:val="20"/>
        </w:rPr>
        <w:t xml:space="preserve"> </w:t>
      </w:r>
      <w:r w:rsidR="008E2B5D">
        <w:rPr>
          <w:rFonts w:ascii="Verdana" w:hAnsi="Verdana"/>
          <w:sz w:val="20"/>
          <w:szCs w:val="20"/>
        </w:rPr>
        <w:t xml:space="preserve">Considerando </w:t>
      </w:r>
      <w:r w:rsidR="00612CC7">
        <w:rPr>
          <w:rFonts w:ascii="Verdana" w:hAnsi="Verdana"/>
          <w:sz w:val="20"/>
          <w:szCs w:val="20"/>
        </w:rPr>
        <w:fldChar w:fldCharType="begin"/>
      </w:r>
      <w:r w:rsidR="00612CC7">
        <w:rPr>
          <w:rFonts w:ascii="Verdana" w:hAnsi="Verdana"/>
          <w:sz w:val="20"/>
          <w:szCs w:val="20"/>
        </w:rPr>
        <w:instrText xml:space="preserve"> REF _Ref467850743 \r \h </w:instrText>
      </w:r>
      <w:r w:rsidR="00612CC7">
        <w:rPr>
          <w:rFonts w:ascii="Verdana" w:hAnsi="Verdana"/>
          <w:sz w:val="20"/>
          <w:szCs w:val="20"/>
        </w:rPr>
      </w:r>
      <w:r w:rsidR="00612CC7">
        <w:rPr>
          <w:rFonts w:ascii="Verdana" w:hAnsi="Verdana"/>
          <w:sz w:val="20"/>
          <w:szCs w:val="20"/>
        </w:rPr>
        <w:fldChar w:fldCharType="separate"/>
      </w:r>
      <w:r w:rsidR="00AC2F0E">
        <w:rPr>
          <w:rFonts w:ascii="Verdana" w:hAnsi="Verdana"/>
          <w:sz w:val="20"/>
          <w:szCs w:val="20"/>
        </w:rPr>
        <w:t>16</w:t>
      </w:r>
      <w:r w:rsidR="00612CC7">
        <w:rPr>
          <w:rFonts w:ascii="Verdana" w:hAnsi="Verdana"/>
          <w:sz w:val="20"/>
          <w:szCs w:val="20"/>
        </w:rPr>
        <w:fldChar w:fldCharType="end"/>
      </w:r>
      <w:r w:rsidR="00612CC7">
        <w:rPr>
          <w:rFonts w:ascii="Verdana" w:hAnsi="Verdana"/>
          <w:sz w:val="20"/>
          <w:szCs w:val="20"/>
        </w:rPr>
        <w:t xml:space="preserve"> </w:t>
      </w:r>
      <w:r w:rsidRPr="005048A8">
        <w:rPr>
          <w:rFonts w:ascii="Verdana" w:hAnsi="Verdana"/>
          <w:sz w:val="20"/>
          <w:szCs w:val="20"/>
        </w:rPr>
        <w:t>de</w:t>
      </w:r>
      <w:r w:rsidRPr="00844485">
        <w:rPr>
          <w:rFonts w:ascii="Verdana" w:hAnsi="Verdana"/>
          <w:sz w:val="20"/>
          <w:szCs w:val="20"/>
        </w:rPr>
        <w:t xml:space="preserve"> la presente Resolución, que el Estado ha dado </w:t>
      </w:r>
      <w:r w:rsidR="006A78CB" w:rsidRPr="00432F91">
        <w:rPr>
          <w:rFonts w:ascii="Verdana" w:hAnsi="Verdana"/>
          <w:sz w:val="20"/>
          <w:szCs w:val="20"/>
        </w:rPr>
        <w:t xml:space="preserve">cumplimiento </w:t>
      </w:r>
      <w:r w:rsidRPr="00432F91">
        <w:rPr>
          <w:rFonts w:ascii="Verdana" w:hAnsi="Verdana"/>
          <w:sz w:val="20"/>
          <w:szCs w:val="20"/>
        </w:rPr>
        <w:t>total</w:t>
      </w:r>
      <w:r>
        <w:rPr>
          <w:rFonts w:ascii="Verdana" w:hAnsi="Verdana"/>
          <w:sz w:val="20"/>
          <w:szCs w:val="20"/>
        </w:rPr>
        <w:t xml:space="preserve"> a la</w:t>
      </w:r>
      <w:r w:rsidR="006A78CB">
        <w:rPr>
          <w:rFonts w:ascii="Verdana" w:hAnsi="Verdana"/>
          <w:sz w:val="20"/>
          <w:szCs w:val="20"/>
        </w:rPr>
        <w:t>s</w:t>
      </w:r>
      <w:r>
        <w:rPr>
          <w:rFonts w:ascii="Verdana" w:hAnsi="Verdana"/>
          <w:sz w:val="20"/>
          <w:szCs w:val="20"/>
        </w:rPr>
        <w:t xml:space="preserve"> siguiente</w:t>
      </w:r>
      <w:r w:rsidR="006A78CB">
        <w:rPr>
          <w:rFonts w:ascii="Verdana" w:hAnsi="Verdana"/>
          <w:sz w:val="20"/>
          <w:szCs w:val="20"/>
        </w:rPr>
        <w:t>s reparacio</w:t>
      </w:r>
      <w:r>
        <w:rPr>
          <w:rFonts w:ascii="Verdana" w:hAnsi="Verdana"/>
          <w:sz w:val="20"/>
          <w:szCs w:val="20"/>
        </w:rPr>
        <w:t>n</w:t>
      </w:r>
      <w:r w:rsidR="006A78CB">
        <w:rPr>
          <w:rFonts w:ascii="Verdana" w:hAnsi="Verdana"/>
          <w:sz w:val="20"/>
          <w:szCs w:val="20"/>
        </w:rPr>
        <w:t>es</w:t>
      </w:r>
      <w:r w:rsidRPr="00844485">
        <w:rPr>
          <w:rFonts w:ascii="Verdana" w:hAnsi="Verdana"/>
          <w:sz w:val="20"/>
          <w:szCs w:val="20"/>
        </w:rPr>
        <w:t>:</w:t>
      </w:r>
    </w:p>
    <w:p w:rsidR="006A78CB" w:rsidRPr="006229B7" w:rsidRDefault="00493B7C" w:rsidP="006A78CB">
      <w:pPr>
        <w:pStyle w:val="Prrafodelista"/>
        <w:numPr>
          <w:ilvl w:val="0"/>
          <w:numId w:val="7"/>
        </w:numPr>
        <w:autoSpaceDE w:val="0"/>
        <w:autoSpaceDN w:val="0"/>
        <w:adjustRightInd w:val="0"/>
        <w:spacing w:before="120" w:after="120" w:line="240" w:lineRule="auto"/>
        <w:contextualSpacing w:val="0"/>
        <w:jc w:val="both"/>
        <w:rPr>
          <w:rFonts w:ascii="Verdana" w:hAnsi="Verdana"/>
          <w:sz w:val="20"/>
          <w:szCs w:val="20"/>
        </w:rPr>
      </w:pPr>
      <w:r w:rsidRPr="006229B7">
        <w:rPr>
          <w:rFonts w:ascii="Verdana" w:hAnsi="Verdana"/>
          <w:sz w:val="20"/>
          <w:szCs w:val="20"/>
        </w:rPr>
        <w:t>p</w:t>
      </w:r>
      <w:r w:rsidR="006A78CB" w:rsidRPr="006229B7">
        <w:rPr>
          <w:rFonts w:ascii="Verdana" w:hAnsi="Verdana"/>
          <w:sz w:val="20"/>
          <w:szCs w:val="20"/>
        </w:rPr>
        <w:t>agar la cantidad fijada en el acuerdo de reparaciones por concepto de indemnizaciones por daños materiales e inmateriales, atención médica y psicológica</w:t>
      </w:r>
      <w:r w:rsidRPr="006229B7">
        <w:rPr>
          <w:rFonts w:ascii="Verdana" w:hAnsi="Verdana"/>
          <w:sz w:val="20"/>
          <w:szCs w:val="20"/>
        </w:rPr>
        <w:t xml:space="preserve">, en los términos del párrafo </w:t>
      </w:r>
      <w:r w:rsidR="004E4104" w:rsidRPr="006229B7">
        <w:rPr>
          <w:rFonts w:ascii="Verdana" w:hAnsi="Verdana"/>
          <w:sz w:val="20"/>
          <w:szCs w:val="20"/>
        </w:rPr>
        <w:t>227</w:t>
      </w:r>
      <w:r w:rsidRPr="006229B7">
        <w:rPr>
          <w:rFonts w:ascii="Verdana" w:hAnsi="Verdana"/>
          <w:sz w:val="20"/>
          <w:szCs w:val="20"/>
        </w:rPr>
        <w:t xml:space="preserve"> de la Sentencia</w:t>
      </w:r>
      <w:r w:rsidR="006A78CB" w:rsidRPr="006229B7">
        <w:rPr>
          <w:rFonts w:ascii="Verdana" w:hAnsi="Verdana"/>
          <w:sz w:val="20"/>
          <w:szCs w:val="20"/>
        </w:rPr>
        <w:t xml:space="preserve"> </w:t>
      </w:r>
      <w:r w:rsidR="006A78CB" w:rsidRPr="006229B7">
        <w:rPr>
          <w:rFonts w:ascii="Verdana" w:hAnsi="Verdana"/>
          <w:i/>
          <w:sz w:val="20"/>
          <w:szCs w:val="20"/>
        </w:rPr>
        <w:t>(punto dispositivo décimo primero</w:t>
      </w:r>
      <w:r w:rsidR="00EF420B" w:rsidRPr="006229B7">
        <w:rPr>
          <w:rFonts w:ascii="Verdana" w:hAnsi="Verdana"/>
          <w:i/>
          <w:sz w:val="20"/>
          <w:szCs w:val="20"/>
        </w:rPr>
        <w:t xml:space="preserve"> de la Sentencia</w:t>
      </w:r>
      <w:r w:rsidR="006A78CB" w:rsidRPr="006229B7">
        <w:rPr>
          <w:rFonts w:ascii="Verdana" w:hAnsi="Verdana"/>
          <w:i/>
          <w:sz w:val="20"/>
          <w:szCs w:val="20"/>
        </w:rPr>
        <w:t>)</w:t>
      </w:r>
      <w:r w:rsidRPr="006229B7">
        <w:rPr>
          <w:rFonts w:ascii="Verdana" w:hAnsi="Verdana"/>
          <w:sz w:val="20"/>
          <w:szCs w:val="20"/>
        </w:rPr>
        <w:t>, y</w:t>
      </w:r>
    </w:p>
    <w:p w:rsidR="006A78CB" w:rsidRPr="006229B7" w:rsidRDefault="00493B7C" w:rsidP="006A78CB">
      <w:pPr>
        <w:pStyle w:val="Prrafodelista"/>
        <w:numPr>
          <w:ilvl w:val="0"/>
          <w:numId w:val="7"/>
        </w:numPr>
        <w:autoSpaceDE w:val="0"/>
        <w:autoSpaceDN w:val="0"/>
        <w:adjustRightInd w:val="0"/>
        <w:spacing w:before="120" w:after="120" w:line="240" w:lineRule="auto"/>
        <w:contextualSpacing w:val="0"/>
        <w:jc w:val="both"/>
        <w:rPr>
          <w:rFonts w:ascii="Verdana" w:hAnsi="Verdana"/>
          <w:sz w:val="20"/>
          <w:szCs w:val="20"/>
        </w:rPr>
      </w:pPr>
      <w:r w:rsidRPr="006229B7">
        <w:rPr>
          <w:rFonts w:ascii="Verdana" w:hAnsi="Verdana"/>
          <w:sz w:val="20"/>
          <w:szCs w:val="20"/>
        </w:rPr>
        <w:t>p</w:t>
      </w:r>
      <w:r w:rsidR="006A78CB" w:rsidRPr="006229B7">
        <w:rPr>
          <w:rFonts w:ascii="Verdana" w:hAnsi="Verdana"/>
          <w:sz w:val="20"/>
          <w:szCs w:val="20"/>
        </w:rPr>
        <w:t xml:space="preserve">agar la cantidad fijada en el acuerdo de reparaciones y el párrafo </w:t>
      </w:r>
      <w:r w:rsidR="00CB3DCF" w:rsidRPr="006229B7">
        <w:rPr>
          <w:rFonts w:ascii="Verdana" w:hAnsi="Verdana"/>
          <w:sz w:val="20"/>
          <w:szCs w:val="20"/>
        </w:rPr>
        <w:t>231</w:t>
      </w:r>
      <w:r w:rsidR="006A78CB" w:rsidRPr="006229B7">
        <w:rPr>
          <w:rFonts w:ascii="Verdana" w:hAnsi="Verdana"/>
          <w:sz w:val="20"/>
          <w:szCs w:val="20"/>
        </w:rPr>
        <w:t xml:space="preserve"> de </w:t>
      </w:r>
      <w:r w:rsidRPr="006229B7">
        <w:rPr>
          <w:rFonts w:ascii="Verdana" w:hAnsi="Verdana"/>
          <w:sz w:val="20"/>
          <w:szCs w:val="20"/>
        </w:rPr>
        <w:t>la</w:t>
      </w:r>
      <w:r w:rsidR="006A78CB" w:rsidRPr="006229B7">
        <w:rPr>
          <w:rFonts w:ascii="Verdana" w:hAnsi="Verdana"/>
          <w:sz w:val="20"/>
          <w:szCs w:val="20"/>
        </w:rPr>
        <w:t xml:space="preserve"> Sentencia por el reintegro de costas y gastos </w:t>
      </w:r>
      <w:r w:rsidR="006A78CB" w:rsidRPr="006229B7">
        <w:rPr>
          <w:rFonts w:ascii="Verdana" w:hAnsi="Verdana"/>
          <w:i/>
          <w:sz w:val="20"/>
          <w:szCs w:val="20"/>
        </w:rPr>
        <w:t>(punto dispositivo décimo segundo</w:t>
      </w:r>
      <w:r w:rsidR="00EF420B" w:rsidRPr="006229B7">
        <w:rPr>
          <w:rFonts w:ascii="Verdana" w:hAnsi="Verdana"/>
          <w:i/>
          <w:sz w:val="20"/>
          <w:szCs w:val="20"/>
        </w:rPr>
        <w:t xml:space="preserve"> de la Sentencia</w:t>
      </w:r>
      <w:r w:rsidR="00BB2581" w:rsidRPr="006229B7">
        <w:rPr>
          <w:rFonts w:ascii="Verdana" w:hAnsi="Verdana"/>
          <w:i/>
          <w:sz w:val="20"/>
          <w:szCs w:val="20"/>
        </w:rPr>
        <w:t>)</w:t>
      </w:r>
      <w:r w:rsidR="00092BEE" w:rsidRPr="006229B7">
        <w:rPr>
          <w:rFonts w:ascii="Verdana" w:hAnsi="Verdana"/>
          <w:i/>
          <w:sz w:val="20"/>
          <w:szCs w:val="20"/>
        </w:rPr>
        <w:t>.</w:t>
      </w:r>
    </w:p>
    <w:p w:rsidR="0016033F" w:rsidRPr="00FE5732" w:rsidRDefault="00EF420B" w:rsidP="00EF420B">
      <w:pPr>
        <w:autoSpaceDE w:val="0"/>
        <w:autoSpaceDN w:val="0"/>
        <w:adjustRightInd w:val="0"/>
        <w:spacing w:before="120" w:after="120" w:line="240" w:lineRule="auto"/>
        <w:jc w:val="both"/>
        <w:rPr>
          <w:rFonts w:ascii="Verdana" w:hAnsi="Verdana"/>
          <w:sz w:val="20"/>
          <w:szCs w:val="20"/>
        </w:rPr>
      </w:pPr>
      <w:r w:rsidRPr="00FE5732">
        <w:rPr>
          <w:rFonts w:ascii="Verdana" w:hAnsi="Verdana"/>
          <w:sz w:val="20"/>
          <w:szCs w:val="20"/>
        </w:rPr>
        <w:t>2.</w:t>
      </w:r>
      <w:r w:rsidRPr="00FE5732">
        <w:rPr>
          <w:rFonts w:ascii="Verdana" w:hAnsi="Verdana"/>
          <w:sz w:val="20"/>
          <w:szCs w:val="20"/>
        </w:rPr>
        <w:tab/>
      </w:r>
      <w:r w:rsidR="00581B46" w:rsidRPr="00FE5732">
        <w:rPr>
          <w:rFonts w:ascii="Verdana" w:hAnsi="Verdana"/>
          <w:sz w:val="20"/>
          <w:szCs w:val="20"/>
        </w:rPr>
        <w:t xml:space="preserve">Declarar, de conformidad con lo señalado en los Considerandos </w:t>
      </w:r>
      <w:r w:rsidR="00195E59">
        <w:rPr>
          <w:rFonts w:ascii="Verdana" w:hAnsi="Verdana"/>
          <w:sz w:val="20"/>
          <w:szCs w:val="20"/>
        </w:rPr>
        <w:fldChar w:fldCharType="begin"/>
      </w:r>
      <w:r w:rsidR="00195E59">
        <w:rPr>
          <w:rFonts w:ascii="Verdana" w:hAnsi="Verdana"/>
          <w:sz w:val="20"/>
          <w:szCs w:val="20"/>
        </w:rPr>
        <w:instrText xml:space="preserve"> REF _Ref467850770 \r \h </w:instrText>
      </w:r>
      <w:r w:rsidR="00195E59">
        <w:rPr>
          <w:rFonts w:ascii="Verdana" w:hAnsi="Verdana"/>
          <w:sz w:val="20"/>
          <w:szCs w:val="20"/>
        </w:rPr>
      </w:r>
      <w:r w:rsidR="00195E59">
        <w:rPr>
          <w:rFonts w:ascii="Verdana" w:hAnsi="Verdana"/>
          <w:sz w:val="20"/>
          <w:szCs w:val="20"/>
        </w:rPr>
        <w:fldChar w:fldCharType="separate"/>
      </w:r>
      <w:r w:rsidR="00AC2F0E">
        <w:rPr>
          <w:rFonts w:ascii="Verdana" w:hAnsi="Verdana"/>
          <w:sz w:val="20"/>
          <w:szCs w:val="20"/>
        </w:rPr>
        <w:t>9</w:t>
      </w:r>
      <w:r w:rsidR="00195E59">
        <w:rPr>
          <w:rFonts w:ascii="Verdana" w:hAnsi="Verdana"/>
          <w:sz w:val="20"/>
          <w:szCs w:val="20"/>
        </w:rPr>
        <w:fldChar w:fldCharType="end"/>
      </w:r>
      <w:r w:rsidR="0016033F" w:rsidRPr="00FE5732">
        <w:rPr>
          <w:rFonts w:ascii="Verdana" w:hAnsi="Verdana"/>
          <w:sz w:val="20"/>
          <w:szCs w:val="20"/>
        </w:rPr>
        <w:t xml:space="preserve"> a </w:t>
      </w:r>
      <w:r w:rsidR="00195E59">
        <w:rPr>
          <w:rFonts w:ascii="Verdana" w:hAnsi="Verdana"/>
          <w:sz w:val="20"/>
          <w:szCs w:val="20"/>
        </w:rPr>
        <w:fldChar w:fldCharType="begin"/>
      </w:r>
      <w:r w:rsidR="00195E59">
        <w:rPr>
          <w:rFonts w:ascii="Verdana" w:hAnsi="Verdana"/>
          <w:sz w:val="20"/>
          <w:szCs w:val="20"/>
        </w:rPr>
        <w:instrText xml:space="preserve"> REF _Ref467850794 \r \h </w:instrText>
      </w:r>
      <w:r w:rsidR="00195E59">
        <w:rPr>
          <w:rFonts w:ascii="Verdana" w:hAnsi="Verdana"/>
          <w:sz w:val="20"/>
          <w:szCs w:val="20"/>
        </w:rPr>
      </w:r>
      <w:r w:rsidR="00195E59">
        <w:rPr>
          <w:rFonts w:ascii="Verdana" w:hAnsi="Verdana"/>
          <w:sz w:val="20"/>
          <w:szCs w:val="20"/>
        </w:rPr>
        <w:fldChar w:fldCharType="separate"/>
      </w:r>
      <w:r w:rsidR="00AC2F0E">
        <w:rPr>
          <w:rFonts w:ascii="Verdana" w:hAnsi="Verdana"/>
          <w:sz w:val="20"/>
          <w:szCs w:val="20"/>
        </w:rPr>
        <w:t>12</w:t>
      </w:r>
      <w:r w:rsidR="00195E59">
        <w:rPr>
          <w:rFonts w:ascii="Verdana" w:hAnsi="Verdana"/>
          <w:sz w:val="20"/>
          <w:szCs w:val="20"/>
        </w:rPr>
        <w:fldChar w:fldCharType="end"/>
      </w:r>
      <w:r w:rsidR="00A921A2" w:rsidRPr="00FE5732">
        <w:rPr>
          <w:rFonts w:ascii="Verdana" w:hAnsi="Verdana"/>
          <w:sz w:val="20"/>
          <w:szCs w:val="20"/>
        </w:rPr>
        <w:t xml:space="preserve"> </w:t>
      </w:r>
      <w:r w:rsidR="00581B46" w:rsidRPr="00FE5732">
        <w:rPr>
          <w:rFonts w:ascii="Verdana" w:hAnsi="Verdana"/>
          <w:sz w:val="20"/>
          <w:szCs w:val="20"/>
        </w:rPr>
        <w:t xml:space="preserve">de la presente Resolución, que el Estado ha dado cumplimiento </w:t>
      </w:r>
      <w:r w:rsidR="0016033F" w:rsidRPr="00FE5732">
        <w:rPr>
          <w:rFonts w:ascii="Verdana" w:hAnsi="Verdana"/>
          <w:sz w:val="20"/>
          <w:szCs w:val="20"/>
        </w:rPr>
        <w:t>parcial</w:t>
      </w:r>
      <w:r w:rsidRPr="00FE5732">
        <w:rPr>
          <w:rFonts w:ascii="Verdana" w:hAnsi="Verdana"/>
          <w:sz w:val="20"/>
          <w:szCs w:val="20"/>
        </w:rPr>
        <w:t xml:space="preserve"> a</w:t>
      </w:r>
      <w:r w:rsidR="00BB55F8">
        <w:rPr>
          <w:rFonts w:ascii="Verdana" w:hAnsi="Verdana"/>
          <w:sz w:val="20"/>
          <w:szCs w:val="20"/>
        </w:rPr>
        <w:t xml:space="preserve"> </w:t>
      </w:r>
      <w:r w:rsidR="00BB55F8" w:rsidRPr="00BA51B2">
        <w:rPr>
          <w:rFonts w:ascii="Verdana" w:hAnsi="Verdana"/>
          <w:sz w:val="20"/>
          <w:szCs w:val="20"/>
        </w:rPr>
        <w:t>la obligación de investigar, juzgar y, en su caso, sancionar (</w:t>
      </w:r>
      <w:r w:rsidR="00BB55F8" w:rsidRPr="00BA51B2">
        <w:rPr>
          <w:rFonts w:ascii="Verdana" w:hAnsi="Verdana"/>
          <w:i/>
          <w:sz w:val="20"/>
          <w:szCs w:val="20"/>
        </w:rPr>
        <w:t xml:space="preserve">punto dispositivo segundo de la Sentencia) </w:t>
      </w:r>
      <w:r w:rsidR="00BB55F8" w:rsidRPr="00BA51B2">
        <w:rPr>
          <w:rFonts w:ascii="Verdana" w:hAnsi="Verdana"/>
          <w:sz w:val="20"/>
          <w:szCs w:val="20"/>
        </w:rPr>
        <w:t>tomando en cuenta las decisiones judiciales que resolvieron sobre la responsabilidad penal de cuatro agentes policiales por el delito de desaparición forzada.</w:t>
      </w:r>
      <w:r w:rsidR="00BB55F8" w:rsidRPr="00BA51B2">
        <w:rPr>
          <w:rFonts w:ascii="Verdana" w:hAnsi="Verdana"/>
          <w:color w:val="00B050"/>
          <w:sz w:val="20"/>
          <w:szCs w:val="20"/>
        </w:rPr>
        <w:t xml:space="preserve"> </w:t>
      </w:r>
      <w:r w:rsidR="00BB55F8" w:rsidRPr="00BA51B2">
        <w:rPr>
          <w:rFonts w:ascii="Verdana" w:hAnsi="Verdana"/>
          <w:sz w:val="20"/>
          <w:szCs w:val="20"/>
        </w:rPr>
        <w:t xml:space="preserve">Continúa pendiente que el Estado informe sobre el proceso que indicó que tiene en trámite para la determinación de otras posibles responsabilidades y sobre la investigación respecto a posibles responsabilidades de miembros del ejército por los hechos del presente caso, de conformidad con lo indicado en los Considerandos </w:t>
      </w:r>
      <w:r w:rsidR="00106353">
        <w:rPr>
          <w:rFonts w:ascii="Verdana" w:hAnsi="Verdana"/>
          <w:sz w:val="20"/>
          <w:szCs w:val="20"/>
        </w:rPr>
        <w:fldChar w:fldCharType="begin"/>
      </w:r>
      <w:r w:rsidR="00106353">
        <w:rPr>
          <w:rFonts w:ascii="Verdana" w:hAnsi="Verdana"/>
          <w:sz w:val="20"/>
          <w:szCs w:val="20"/>
        </w:rPr>
        <w:instrText xml:space="preserve"> REF _Ref467850823 \r \h </w:instrText>
      </w:r>
      <w:r w:rsidR="00106353">
        <w:rPr>
          <w:rFonts w:ascii="Verdana" w:hAnsi="Verdana"/>
          <w:sz w:val="20"/>
          <w:szCs w:val="20"/>
        </w:rPr>
      </w:r>
      <w:r w:rsidR="00106353">
        <w:rPr>
          <w:rFonts w:ascii="Verdana" w:hAnsi="Verdana"/>
          <w:sz w:val="20"/>
          <w:szCs w:val="20"/>
        </w:rPr>
        <w:fldChar w:fldCharType="separate"/>
      </w:r>
      <w:r w:rsidR="00AC2F0E">
        <w:rPr>
          <w:rFonts w:ascii="Verdana" w:hAnsi="Verdana"/>
          <w:sz w:val="20"/>
          <w:szCs w:val="20"/>
        </w:rPr>
        <w:t>10</w:t>
      </w:r>
      <w:r w:rsidR="00106353">
        <w:rPr>
          <w:rFonts w:ascii="Verdana" w:hAnsi="Verdana"/>
          <w:sz w:val="20"/>
          <w:szCs w:val="20"/>
        </w:rPr>
        <w:fldChar w:fldCharType="end"/>
      </w:r>
      <w:r w:rsidR="00BB55F8" w:rsidRPr="00BA51B2">
        <w:rPr>
          <w:rFonts w:ascii="Verdana" w:hAnsi="Verdana"/>
          <w:sz w:val="20"/>
          <w:szCs w:val="20"/>
        </w:rPr>
        <w:t xml:space="preserve"> y </w:t>
      </w:r>
      <w:r w:rsidR="00106353">
        <w:rPr>
          <w:rFonts w:ascii="Verdana" w:hAnsi="Verdana"/>
          <w:sz w:val="20"/>
          <w:szCs w:val="20"/>
        </w:rPr>
        <w:fldChar w:fldCharType="begin"/>
      </w:r>
      <w:r w:rsidR="00106353">
        <w:rPr>
          <w:rFonts w:ascii="Verdana" w:hAnsi="Verdana"/>
          <w:sz w:val="20"/>
          <w:szCs w:val="20"/>
        </w:rPr>
        <w:instrText xml:space="preserve"> REF _Ref467850837 \r \h </w:instrText>
      </w:r>
      <w:r w:rsidR="00106353">
        <w:rPr>
          <w:rFonts w:ascii="Verdana" w:hAnsi="Verdana"/>
          <w:sz w:val="20"/>
          <w:szCs w:val="20"/>
        </w:rPr>
      </w:r>
      <w:r w:rsidR="00106353">
        <w:rPr>
          <w:rFonts w:ascii="Verdana" w:hAnsi="Verdana"/>
          <w:sz w:val="20"/>
          <w:szCs w:val="20"/>
        </w:rPr>
        <w:fldChar w:fldCharType="separate"/>
      </w:r>
      <w:r w:rsidR="00AC2F0E">
        <w:rPr>
          <w:rFonts w:ascii="Verdana" w:hAnsi="Verdana"/>
          <w:sz w:val="20"/>
          <w:szCs w:val="20"/>
        </w:rPr>
        <w:t>11</w:t>
      </w:r>
      <w:r w:rsidR="00106353">
        <w:rPr>
          <w:rFonts w:ascii="Verdana" w:hAnsi="Verdana"/>
          <w:sz w:val="20"/>
          <w:szCs w:val="20"/>
        </w:rPr>
        <w:fldChar w:fldCharType="end"/>
      </w:r>
      <w:r w:rsidR="00BB55F8" w:rsidRPr="00BA51B2">
        <w:rPr>
          <w:rFonts w:ascii="Verdana" w:hAnsi="Verdana"/>
          <w:sz w:val="20"/>
          <w:szCs w:val="20"/>
        </w:rPr>
        <w:t xml:space="preserve"> de la presente Resolución.</w:t>
      </w:r>
      <w:r w:rsidRPr="00BA51B2">
        <w:rPr>
          <w:rFonts w:ascii="Verdana" w:hAnsi="Verdana"/>
          <w:sz w:val="20"/>
          <w:szCs w:val="20"/>
        </w:rPr>
        <w:t xml:space="preserve"> </w:t>
      </w:r>
    </w:p>
    <w:p w:rsidR="00581B46" w:rsidRDefault="0016033F" w:rsidP="00581B46">
      <w:pPr>
        <w:spacing w:before="20" w:after="0" w:line="240" w:lineRule="auto"/>
        <w:jc w:val="both"/>
        <w:rPr>
          <w:rFonts w:ascii="Verdana" w:hAnsi="Verdana"/>
          <w:sz w:val="20"/>
          <w:szCs w:val="20"/>
          <w:lang w:val="es-HN"/>
        </w:rPr>
      </w:pPr>
      <w:r>
        <w:rPr>
          <w:rFonts w:ascii="Verdana" w:hAnsi="Verdana"/>
          <w:sz w:val="20"/>
          <w:szCs w:val="20"/>
        </w:rPr>
        <w:t>3.</w:t>
      </w:r>
      <w:r>
        <w:rPr>
          <w:rFonts w:ascii="Verdana" w:hAnsi="Verdana"/>
          <w:sz w:val="20"/>
          <w:szCs w:val="20"/>
        </w:rPr>
        <w:tab/>
      </w:r>
      <w:r w:rsidR="00581B46" w:rsidRPr="0016033F">
        <w:rPr>
          <w:rFonts w:ascii="Verdana" w:hAnsi="Verdana"/>
          <w:sz w:val="20"/>
          <w:szCs w:val="20"/>
          <w:lang w:val="es-HN"/>
        </w:rPr>
        <w:t>Mantendrá abierto el procedimiento d</w:t>
      </w:r>
      <w:r w:rsidR="00EF420B">
        <w:rPr>
          <w:rFonts w:ascii="Verdana" w:hAnsi="Verdana"/>
          <w:sz w:val="20"/>
          <w:szCs w:val="20"/>
          <w:lang w:val="es-HN"/>
        </w:rPr>
        <w:t>e supervisión de cumplimiento respecto a las siguientes medidas de reparación:</w:t>
      </w:r>
    </w:p>
    <w:p w:rsidR="00684D64" w:rsidRPr="006229B7" w:rsidRDefault="00684D64" w:rsidP="00581B46">
      <w:pPr>
        <w:spacing w:before="20" w:after="0" w:line="240" w:lineRule="auto"/>
        <w:jc w:val="both"/>
        <w:rPr>
          <w:rFonts w:ascii="Verdana" w:hAnsi="Verdana"/>
          <w:sz w:val="20"/>
          <w:szCs w:val="20"/>
        </w:rPr>
      </w:pPr>
    </w:p>
    <w:p w:rsidR="00581B46" w:rsidRPr="006229B7" w:rsidRDefault="00493B7C" w:rsidP="00684D64">
      <w:pPr>
        <w:pStyle w:val="Prrafodelista"/>
        <w:numPr>
          <w:ilvl w:val="0"/>
          <w:numId w:val="8"/>
        </w:numPr>
        <w:tabs>
          <w:tab w:val="left" w:pos="720"/>
        </w:tabs>
        <w:spacing w:after="120" w:line="240" w:lineRule="auto"/>
        <w:ind w:left="714" w:hanging="357"/>
        <w:contextualSpacing w:val="0"/>
        <w:jc w:val="both"/>
        <w:rPr>
          <w:rFonts w:ascii="Verdana" w:hAnsi="Verdana"/>
          <w:b/>
          <w:sz w:val="20"/>
          <w:szCs w:val="20"/>
        </w:rPr>
      </w:pPr>
      <w:r w:rsidRPr="006229B7">
        <w:rPr>
          <w:rFonts w:ascii="Verdana" w:hAnsi="Verdana"/>
          <w:sz w:val="20"/>
          <w:szCs w:val="20"/>
        </w:rPr>
        <w:t>c</w:t>
      </w:r>
      <w:r w:rsidR="00581B46" w:rsidRPr="006229B7">
        <w:rPr>
          <w:rFonts w:ascii="Verdana" w:hAnsi="Verdana"/>
          <w:sz w:val="20"/>
          <w:szCs w:val="20"/>
        </w:rPr>
        <w:t>ontinuar y concluir las investigaciones y procesos necesarios, en un plazo razonable, con el fin de establecer la verdad de los hechos, así como de determinar y, en su caso, sancionar a los responsables de la desaparición forzada de Edgar Fernando García</w:t>
      </w:r>
      <w:r w:rsidR="00A32266" w:rsidRPr="006229B7">
        <w:rPr>
          <w:rFonts w:ascii="Verdana" w:hAnsi="Verdana"/>
          <w:sz w:val="20"/>
          <w:szCs w:val="20"/>
        </w:rPr>
        <w:t xml:space="preserve"> </w:t>
      </w:r>
      <w:r w:rsidR="00733E80" w:rsidRPr="006229B7">
        <w:rPr>
          <w:rFonts w:ascii="Verdana" w:hAnsi="Verdana"/>
          <w:i/>
          <w:sz w:val="20"/>
          <w:szCs w:val="20"/>
        </w:rPr>
        <w:t xml:space="preserve">(punto </w:t>
      </w:r>
      <w:r w:rsidR="0037619B" w:rsidRPr="006229B7">
        <w:rPr>
          <w:rFonts w:ascii="Verdana" w:hAnsi="Verdana"/>
          <w:i/>
          <w:sz w:val="20"/>
          <w:szCs w:val="20"/>
        </w:rPr>
        <w:t xml:space="preserve">dispositivo </w:t>
      </w:r>
      <w:r w:rsidR="00733E80" w:rsidRPr="006229B7">
        <w:rPr>
          <w:rFonts w:ascii="Verdana" w:hAnsi="Verdana"/>
          <w:i/>
          <w:sz w:val="20"/>
          <w:szCs w:val="20"/>
        </w:rPr>
        <w:t>segundo</w:t>
      </w:r>
      <w:r w:rsidR="00EF420B" w:rsidRPr="006229B7">
        <w:rPr>
          <w:rFonts w:ascii="Verdana" w:hAnsi="Verdana"/>
          <w:i/>
          <w:sz w:val="20"/>
          <w:szCs w:val="20"/>
        </w:rPr>
        <w:t xml:space="preserve"> de la Sentencia</w:t>
      </w:r>
      <w:r w:rsidR="00733E80" w:rsidRPr="006229B7">
        <w:rPr>
          <w:rFonts w:ascii="Verdana" w:hAnsi="Verdana"/>
          <w:i/>
          <w:sz w:val="20"/>
          <w:szCs w:val="20"/>
        </w:rPr>
        <w:t>)</w:t>
      </w:r>
      <w:r w:rsidRPr="006229B7">
        <w:rPr>
          <w:rFonts w:ascii="Verdana" w:hAnsi="Verdana"/>
          <w:sz w:val="20"/>
          <w:szCs w:val="20"/>
        </w:rPr>
        <w:t>;</w:t>
      </w:r>
    </w:p>
    <w:p w:rsidR="00581B46" w:rsidRPr="006229B7" w:rsidRDefault="00493B7C" w:rsidP="00684D64">
      <w:pPr>
        <w:pStyle w:val="Prrafodelista"/>
        <w:numPr>
          <w:ilvl w:val="0"/>
          <w:numId w:val="8"/>
        </w:numPr>
        <w:tabs>
          <w:tab w:val="left" w:pos="720"/>
        </w:tabs>
        <w:spacing w:after="120" w:line="240" w:lineRule="auto"/>
        <w:ind w:left="714" w:hanging="357"/>
        <w:contextualSpacing w:val="0"/>
        <w:jc w:val="both"/>
        <w:rPr>
          <w:rFonts w:ascii="Verdana" w:hAnsi="Verdana"/>
          <w:sz w:val="20"/>
          <w:szCs w:val="20"/>
        </w:rPr>
      </w:pPr>
      <w:r w:rsidRPr="006229B7">
        <w:rPr>
          <w:rFonts w:ascii="Verdana" w:hAnsi="Verdana"/>
          <w:sz w:val="20"/>
          <w:szCs w:val="20"/>
        </w:rPr>
        <w:lastRenderedPageBreak/>
        <w:t>e</w:t>
      </w:r>
      <w:r w:rsidR="00581B46" w:rsidRPr="006229B7">
        <w:rPr>
          <w:rFonts w:ascii="Verdana" w:hAnsi="Verdana"/>
          <w:sz w:val="20"/>
          <w:szCs w:val="20"/>
        </w:rPr>
        <w:t xml:space="preserve">fectuar, a la mayor brevedad, una búsqueda seria, en la cual realice todos los esfuerzos para determinar el paradero de Edgar Fernando García a la mayor brevedad </w:t>
      </w:r>
      <w:r w:rsidR="00581B46" w:rsidRPr="006229B7">
        <w:rPr>
          <w:rFonts w:ascii="Verdana" w:hAnsi="Verdana"/>
          <w:i/>
          <w:sz w:val="20"/>
          <w:szCs w:val="20"/>
        </w:rPr>
        <w:t>(punto dispositivo tercero</w:t>
      </w:r>
      <w:r w:rsidR="00EF420B" w:rsidRPr="006229B7">
        <w:rPr>
          <w:rFonts w:ascii="Verdana" w:hAnsi="Verdana"/>
          <w:i/>
          <w:sz w:val="20"/>
          <w:szCs w:val="20"/>
        </w:rPr>
        <w:t xml:space="preserve"> de la Sentencia</w:t>
      </w:r>
      <w:r w:rsidR="00581B46" w:rsidRPr="006229B7">
        <w:rPr>
          <w:rFonts w:ascii="Verdana" w:hAnsi="Verdana"/>
          <w:i/>
          <w:sz w:val="20"/>
          <w:szCs w:val="20"/>
        </w:rPr>
        <w:t>)</w:t>
      </w:r>
      <w:r w:rsidRPr="006229B7">
        <w:rPr>
          <w:rFonts w:ascii="Verdana" w:hAnsi="Verdana"/>
          <w:i/>
          <w:sz w:val="20"/>
          <w:szCs w:val="20"/>
        </w:rPr>
        <w:t>;</w:t>
      </w:r>
    </w:p>
    <w:p w:rsidR="00581B46" w:rsidRPr="006229B7" w:rsidRDefault="00493B7C" w:rsidP="00684D64">
      <w:pPr>
        <w:pStyle w:val="Prrafodelista"/>
        <w:numPr>
          <w:ilvl w:val="0"/>
          <w:numId w:val="8"/>
        </w:numPr>
        <w:tabs>
          <w:tab w:val="left" w:pos="720"/>
        </w:tabs>
        <w:spacing w:after="120" w:line="240" w:lineRule="auto"/>
        <w:ind w:left="714" w:hanging="357"/>
        <w:contextualSpacing w:val="0"/>
        <w:jc w:val="both"/>
        <w:rPr>
          <w:rFonts w:ascii="Verdana" w:hAnsi="Verdana"/>
          <w:sz w:val="20"/>
          <w:szCs w:val="20"/>
        </w:rPr>
      </w:pPr>
      <w:r w:rsidRPr="006229B7">
        <w:rPr>
          <w:rFonts w:ascii="Verdana" w:hAnsi="Verdana"/>
          <w:sz w:val="20"/>
          <w:szCs w:val="20"/>
        </w:rPr>
        <w:t>r</w:t>
      </w:r>
      <w:r w:rsidR="00581B46" w:rsidRPr="006229B7">
        <w:rPr>
          <w:rFonts w:ascii="Verdana" w:hAnsi="Verdana"/>
          <w:sz w:val="20"/>
          <w:szCs w:val="20"/>
        </w:rPr>
        <w:t>ealizar las publicac</w:t>
      </w:r>
      <w:r w:rsidR="00EF420B" w:rsidRPr="006229B7">
        <w:rPr>
          <w:rFonts w:ascii="Verdana" w:hAnsi="Verdana"/>
          <w:sz w:val="20"/>
          <w:szCs w:val="20"/>
        </w:rPr>
        <w:t xml:space="preserve">iones indicadas en los párrafos 201 a 203 </w:t>
      </w:r>
      <w:r w:rsidR="00581B46" w:rsidRPr="006229B7">
        <w:rPr>
          <w:rFonts w:ascii="Verdana" w:hAnsi="Verdana"/>
          <w:sz w:val="20"/>
          <w:szCs w:val="20"/>
        </w:rPr>
        <w:t xml:space="preserve">de la Sentencia </w:t>
      </w:r>
      <w:r w:rsidR="00581B46" w:rsidRPr="006229B7">
        <w:rPr>
          <w:rFonts w:ascii="Verdana" w:hAnsi="Verdana"/>
          <w:i/>
          <w:sz w:val="20"/>
          <w:szCs w:val="20"/>
        </w:rPr>
        <w:t>(punto dispositivo cuarto</w:t>
      </w:r>
      <w:r w:rsidR="00EF420B" w:rsidRPr="006229B7">
        <w:rPr>
          <w:rFonts w:ascii="Verdana" w:hAnsi="Verdana"/>
          <w:i/>
          <w:sz w:val="20"/>
          <w:szCs w:val="20"/>
        </w:rPr>
        <w:t xml:space="preserve"> de la Sentencia</w:t>
      </w:r>
      <w:r w:rsidR="00581B46" w:rsidRPr="006229B7">
        <w:rPr>
          <w:rFonts w:ascii="Verdana" w:hAnsi="Verdana"/>
          <w:i/>
          <w:sz w:val="20"/>
          <w:szCs w:val="20"/>
        </w:rPr>
        <w:t>)</w:t>
      </w:r>
      <w:r w:rsidRPr="006229B7">
        <w:rPr>
          <w:rFonts w:ascii="Verdana" w:hAnsi="Verdana"/>
          <w:i/>
          <w:sz w:val="20"/>
          <w:szCs w:val="20"/>
        </w:rPr>
        <w:t>;</w:t>
      </w:r>
    </w:p>
    <w:p w:rsidR="00581B46" w:rsidRPr="006229B7" w:rsidRDefault="00493B7C" w:rsidP="00684D64">
      <w:pPr>
        <w:pStyle w:val="Prrafodelista"/>
        <w:numPr>
          <w:ilvl w:val="0"/>
          <w:numId w:val="8"/>
        </w:numPr>
        <w:tabs>
          <w:tab w:val="left" w:pos="720"/>
        </w:tabs>
        <w:spacing w:after="120" w:line="240" w:lineRule="auto"/>
        <w:ind w:left="714" w:hanging="357"/>
        <w:contextualSpacing w:val="0"/>
        <w:jc w:val="both"/>
        <w:rPr>
          <w:rFonts w:ascii="Verdana" w:hAnsi="Verdana"/>
          <w:sz w:val="20"/>
          <w:szCs w:val="20"/>
        </w:rPr>
      </w:pPr>
      <w:r w:rsidRPr="006229B7">
        <w:rPr>
          <w:rFonts w:ascii="Verdana" w:eastAsia="Calibri" w:hAnsi="Verdana"/>
          <w:sz w:val="20"/>
          <w:szCs w:val="20"/>
        </w:rPr>
        <w:t>r</w:t>
      </w:r>
      <w:r w:rsidR="00581B46" w:rsidRPr="006229B7">
        <w:rPr>
          <w:rFonts w:ascii="Verdana" w:eastAsia="Calibri" w:hAnsi="Verdana"/>
          <w:sz w:val="20"/>
          <w:szCs w:val="20"/>
        </w:rPr>
        <w:t>ealizar un acto público de reconocimiento de responsabilidad internacional p</w:t>
      </w:r>
      <w:r w:rsidR="001466D0">
        <w:rPr>
          <w:rFonts w:ascii="Verdana" w:eastAsia="Calibri" w:hAnsi="Verdana"/>
          <w:sz w:val="20"/>
          <w:szCs w:val="20"/>
        </w:rPr>
        <w:t>or los hechos del presente caso</w:t>
      </w:r>
      <w:r w:rsidR="00581B46" w:rsidRPr="006229B7">
        <w:rPr>
          <w:rFonts w:ascii="Verdana" w:eastAsia="Calibri" w:hAnsi="Verdana"/>
          <w:sz w:val="20"/>
          <w:szCs w:val="20"/>
        </w:rPr>
        <w:t xml:space="preserve"> </w:t>
      </w:r>
      <w:r w:rsidR="00581B46" w:rsidRPr="006229B7">
        <w:rPr>
          <w:rFonts w:ascii="Verdana" w:hAnsi="Verdana"/>
          <w:i/>
          <w:sz w:val="20"/>
          <w:szCs w:val="20"/>
        </w:rPr>
        <w:t>(punto dispositivo quinto</w:t>
      </w:r>
      <w:r w:rsidR="00EF420B" w:rsidRPr="006229B7">
        <w:rPr>
          <w:rFonts w:ascii="Verdana" w:hAnsi="Verdana"/>
          <w:i/>
          <w:sz w:val="20"/>
          <w:szCs w:val="20"/>
        </w:rPr>
        <w:t xml:space="preserve"> de la Sentencia</w:t>
      </w:r>
      <w:r w:rsidR="00581B46" w:rsidRPr="006229B7">
        <w:rPr>
          <w:rFonts w:ascii="Verdana" w:hAnsi="Verdana"/>
          <w:i/>
          <w:sz w:val="20"/>
          <w:szCs w:val="20"/>
        </w:rPr>
        <w:t>)</w:t>
      </w:r>
      <w:r w:rsidRPr="006229B7">
        <w:rPr>
          <w:rFonts w:ascii="Verdana" w:hAnsi="Verdana"/>
          <w:i/>
          <w:sz w:val="20"/>
          <w:szCs w:val="20"/>
        </w:rPr>
        <w:t>;</w:t>
      </w:r>
    </w:p>
    <w:p w:rsidR="00581B46" w:rsidRPr="006229B7" w:rsidRDefault="00493B7C" w:rsidP="00684D64">
      <w:pPr>
        <w:pStyle w:val="Prrafodelista"/>
        <w:numPr>
          <w:ilvl w:val="0"/>
          <w:numId w:val="8"/>
        </w:numPr>
        <w:tabs>
          <w:tab w:val="left" w:pos="720"/>
        </w:tabs>
        <w:spacing w:after="120" w:line="240" w:lineRule="auto"/>
        <w:ind w:left="714" w:hanging="357"/>
        <w:contextualSpacing w:val="0"/>
        <w:jc w:val="both"/>
        <w:rPr>
          <w:rFonts w:ascii="Verdana" w:hAnsi="Verdana"/>
          <w:sz w:val="20"/>
          <w:szCs w:val="20"/>
        </w:rPr>
      </w:pPr>
      <w:r w:rsidRPr="006229B7">
        <w:rPr>
          <w:rFonts w:ascii="Verdana" w:hAnsi="Verdana"/>
          <w:sz w:val="20"/>
          <w:szCs w:val="20"/>
        </w:rPr>
        <w:t>i</w:t>
      </w:r>
      <w:r w:rsidR="00581B46" w:rsidRPr="006229B7">
        <w:rPr>
          <w:rFonts w:ascii="Verdana" w:hAnsi="Verdana"/>
          <w:sz w:val="20"/>
          <w:szCs w:val="20"/>
        </w:rPr>
        <w:t xml:space="preserve">mpulsar la iniciativa denominada “Memorial para la Concordia”, a través de la cual debe promover la construcción de espacios memorístico-culturales en los cuales se dignifique la memoria de las víctimas de violaciones de derechos humanos del conflicto armado interno </w:t>
      </w:r>
      <w:r w:rsidR="00581B46" w:rsidRPr="006229B7">
        <w:rPr>
          <w:rFonts w:ascii="Verdana" w:hAnsi="Verdana"/>
          <w:i/>
          <w:sz w:val="20"/>
          <w:szCs w:val="20"/>
        </w:rPr>
        <w:t>(punto dispositivo sexto</w:t>
      </w:r>
      <w:r w:rsidR="00EF420B" w:rsidRPr="006229B7">
        <w:rPr>
          <w:rFonts w:ascii="Verdana" w:hAnsi="Verdana"/>
          <w:i/>
          <w:sz w:val="20"/>
          <w:szCs w:val="20"/>
        </w:rPr>
        <w:t xml:space="preserve"> de la Sentencia</w:t>
      </w:r>
      <w:r w:rsidR="00581B46" w:rsidRPr="006229B7">
        <w:rPr>
          <w:rFonts w:ascii="Verdana" w:hAnsi="Verdana"/>
          <w:i/>
          <w:sz w:val="20"/>
          <w:szCs w:val="20"/>
        </w:rPr>
        <w:t>)</w:t>
      </w:r>
      <w:r w:rsidRPr="006229B7">
        <w:rPr>
          <w:rFonts w:ascii="Verdana" w:hAnsi="Verdana"/>
          <w:i/>
          <w:sz w:val="20"/>
          <w:szCs w:val="20"/>
        </w:rPr>
        <w:t>;</w:t>
      </w:r>
    </w:p>
    <w:p w:rsidR="00581B46" w:rsidRPr="006229B7" w:rsidRDefault="00493B7C" w:rsidP="00684D64">
      <w:pPr>
        <w:pStyle w:val="Prrafodelista"/>
        <w:numPr>
          <w:ilvl w:val="0"/>
          <w:numId w:val="8"/>
        </w:numPr>
        <w:tabs>
          <w:tab w:val="left" w:pos="720"/>
        </w:tabs>
        <w:spacing w:after="120" w:line="240" w:lineRule="auto"/>
        <w:ind w:left="714" w:hanging="357"/>
        <w:contextualSpacing w:val="0"/>
        <w:jc w:val="both"/>
        <w:rPr>
          <w:rFonts w:ascii="Verdana" w:hAnsi="Verdana"/>
          <w:sz w:val="20"/>
          <w:szCs w:val="20"/>
        </w:rPr>
      </w:pPr>
      <w:r w:rsidRPr="006229B7">
        <w:rPr>
          <w:rFonts w:ascii="Verdana" w:hAnsi="Verdana"/>
          <w:sz w:val="20"/>
          <w:szCs w:val="20"/>
        </w:rPr>
        <w:t>i</w:t>
      </w:r>
      <w:r w:rsidR="00581B46" w:rsidRPr="006229B7">
        <w:rPr>
          <w:rFonts w:ascii="Verdana" w:hAnsi="Verdana"/>
          <w:sz w:val="20"/>
          <w:szCs w:val="20"/>
        </w:rPr>
        <w:t xml:space="preserve">ncluir el nombre del señor Edgar Fernando García en la placa que se coloque en el parque o plaza que se construya en cumplimiento de lo ordenado en el punto resolutivo séptimo de la Sentencia del caso </w:t>
      </w:r>
      <w:r w:rsidR="00581B46" w:rsidRPr="006229B7">
        <w:rPr>
          <w:rFonts w:ascii="Verdana" w:hAnsi="Verdana"/>
          <w:i/>
          <w:sz w:val="20"/>
          <w:szCs w:val="20"/>
        </w:rPr>
        <w:t>Gudiel Álvarez y otros (“Diario Militar”) vs. Guatemala</w:t>
      </w:r>
      <w:r w:rsidR="00581B46" w:rsidRPr="006229B7">
        <w:rPr>
          <w:rFonts w:ascii="Verdana" w:hAnsi="Verdana"/>
          <w:sz w:val="20"/>
          <w:szCs w:val="20"/>
        </w:rPr>
        <w:t xml:space="preserve"> </w:t>
      </w:r>
      <w:r w:rsidR="00581B46" w:rsidRPr="006229B7">
        <w:rPr>
          <w:rFonts w:ascii="Verdana" w:hAnsi="Verdana"/>
          <w:i/>
          <w:sz w:val="20"/>
          <w:szCs w:val="20"/>
        </w:rPr>
        <w:t>(punto dispositivo séptimo</w:t>
      </w:r>
      <w:r w:rsidR="00EF420B" w:rsidRPr="006229B7">
        <w:rPr>
          <w:rFonts w:ascii="Verdana" w:hAnsi="Verdana"/>
          <w:i/>
          <w:sz w:val="20"/>
          <w:szCs w:val="20"/>
        </w:rPr>
        <w:t xml:space="preserve"> de la Sentencia</w:t>
      </w:r>
      <w:r w:rsidR="00581B46" w:rsidRPr="006229B7">
        <w:rPr>
          <w:rFonts w:ascii="Verdana" w:hAnsi="Verdana"/>
          <w:i/>
          <w:sz w:val="20"/>
          <w:szCs w:val="20"/>
        </w:rPr>
        <w:t>)</w:t>
      </w:r>
      <w:r w:rsidRPr="006229B7">
        <w:rPr>
          <w:rFonts w:ascii="Verdana" w:hAnsi="Verdana"/>
          <w:i/>
          <w:sz w:val="20"/>
          <w:szCs w:val="20"/>
        </w:rPr>
        <w:t>;</w:t>
      </w:r>
    </w:p>
    <w:p w:rsidR="00581B46" w:rsidRPr="006229B7" w:rsidRDefault="00493B7C" w:rsidP="00684D64">
      <w:pPr>
        <w:pStyle w:val="Prrafodelista"/>
        <w:numPr>
          <w:ilvl w:val="0"/>
          <w:numId w:val="8"/>
        </w:numPr>
        <w:tabs>
          <w:tab w:val="left" w:pos="720"/>
        </w:tabs>
        <w:spacing w:after="120" w:line="240" w:lineRule="auto"/>
        <w:ind w:left="714" w:hanging="357"/>
        <w:contextualSpacing w:val="0"/>
        <w:jc w:val="both"/>
        <w:rPr>
          <w:rFonts w:ascii="Verdana" w:hAnsi="Verdana"/>
          <w:sz w:val="20"/>
          <w:szCs w:val="20"/>
        </w:rPr>
      </w:pPr>
      <w:r w:rsidRPr="006229B7">
        <w:rPr>
          <w:rFonts w:ascii="Verdana" w:hAnsi="Verdana"/>
          <w:sz w:val="20"/>
          <w:szCs w:val="20"/>
        </w:rPr>
        <w:t>i</w:t>
      </w:r>
      <w:r w:rsidR="00581B46" w:rsidRPr="006229B7">
        <w:rPr>
          <w:rFonts w:ascii="Verdana" w:hAnsi="Verdana"/>
          <w:sz w:val="20"/>
          <w:szCs w:val="20"/>
        </w:rPr>
        <w:t>mpulsar el cambio de nombre de la escuela pública “Julia Ydigoras Fuentes” por el de Edgar Fernando García</w:t>
      </w:r>
      <w:r w:rsidR="00581B46" w:rsidRPr="006229B7">
        <w:rPr>
          <w:rFonts w:ascii="Verdana" w:eastAsia="Times" w:hAnsi="Verdana"/>
          <w:sz w:val="20"/>
          <w:szCs w:val="20"/>
        </w:rPr>
        <w:t xml:space="preserve"> </w:t>
      </w:r>
      <w:r w:rsidR="00581B46" w:rsidRPr="006229B7">
        <w:rPr>
          <w:rFonts w:ascii="Verdana" w:hAnsi="Verdana"/>
          <w:i/>
          <w:sz w:val="20"/>
          <w:szCs w:val="20"/>
        </w:rPr>
        <w:t>(punto dispositivo octavo</w:t>
      </w:r>
      <w:r w:rsidR="00EF420B" w:rsidRPr="006229B7">
        <w:rPr>
          <w:rFonts w:ascii="Verdana" w:hAnsi="Verdana"/>
          <w:i/>
          <w:sz w:val="20"/>
          <w:szCs w:val="20"/>
        </w:rPr>
        <w:t xml:space="preserve"> de la Sentencia</w:t>
      </w:r>
      <w:r w:rsidR="00581B46" w:rsidRPr="006229B7">
        <w:rPr>
          <w:rFonts w:ascii="Verdana" w:hAnsi="Verdana"/>
          <w:i/>
          <w:sz w:val="20"/>
          <w:szCs w:val="20"/>
        </w:rPr>
        <w:t>)</w:t>
      </w:r>
      <w:r w:rsidRPr="006229B7">
        <w:rPr>
          <w:rFonts w:ascii="Verdana" w:hAnsi="Verdana"/>
          <w:i/>
          <w:sz w:val="20"/>
          <w:szCs w:val="20"/>
        </w:rPr>
        <w:t>;</w:t>
      </w:r>
    </w:p>
    <w:p w:rsidR="00581B46" w:rsidRPr="006229B7" w:rsidRDefault="00493B7C" w:rsidP="00684D64">
      <w:pPr>
        <w:pStyle w:val="Prrafodelista"/>
        <w:numPr>
          <w:ilvl w:val="0"/>
          <w:numId w:val="8"/>
        </w:numPr>
        <w:tabs>
          <w:tab w:val="left" w:pos="720"/>
        </w:tabs>
        <w:spacing w:after="120" w:line="240" w:lineRule="auto"/>
        <w:ind w:left="714" w:hanging="357"/>
        <w:contextualSpacing w:val="0"/>
        <w:jc w:val="both"/>
        <w:rPr>
          <w:rFonts w:ascii="Verdana" w:hAnsi="Verdana"/>
          <w:sz w:val="20"/>
          <w:szCs w:val="20"/>
        </w:rPr>
      </w:pPr>
      <w:r w:rsidRPr="006229B7">
        <w:rPr>
          <w:rFonts w:ascii="Verdana" w:hAnsi="Verdana"/>
          <w:sz w:val="20"/>
          <w:szCs w:val="20"/>
        </w:rPr>
        <w:t>e</w:t>
      </w:r>
      <w:r w:rsidR="00581B46" w:rsidRPr="006229B7">
        <w:rPr>
          <w:rFonts w:ascii="Verdana" w:hAnsi="Verdana"/>
          <w:sz w:val="20"/>
          <w:szCs w:val="20"/>
        </w:rPr>
        <w:t>ntregar diez “bolsas de estudio” para ser designados por los familiares de Edgar Fernando García a hijos o nietos de pers</w:t>
      </w:r>
      <w:r w:rsidR="001466D0">
        <w:rPr>
          <w:rFonts w:ascii="Verdana" w:hAnsi="Verdana"/>
          <w:sz w:val="20"/>
          <w:szCs w:val="20"/>
        </w:rPr>
        <w:t>onas desaparecidas forzadamente</w:t>
      </w:r>
      <w:r w:rsidR="00581B46" w:rsidRPr="006229B7">
        <w:rPr>
          <w:rFonts w:ascii="Verdana" w:hAnsi="Verdana"/>
          <w:sz w:val="20"/>
          <w:szCs w:val="20"/>
        </w:rPr>
        <w:t xml:space="preserve"> </w:t>
      </w:r>
      <w:r w:rsidR="00581B46" w:rsidRPr="006229B7">
        <w:rPr>
          <w:rFonts w:ascii="Verdana" w:hAnsi="Verdana"/>
          <w:i/>
          <w:sz w:val="20"/>
          <w:szCs w:val="20"/>
        </w:rPr>
        <w:t>(punto dispositivo noveno</w:t>
      </w:r>
      <w:r w:rsidR="00EF420B" w:rsidRPr="006229B7">
        <w:rPr>
          <w:rFonts w:ascii="Verdana" w:hAnsi="Verdana"/>
          <w:i/>
          <w:sz w:val="20"/>
          <w:szCs w:val="20"/>
        </w:rPr>
        <w:t xml:space="preserve"> de la Sentencia</w:t>
      </w:r>
      <w:r w:rsidR="00581B46" w:rsidRPr="006229B7">
        <w:rPr>
          <w:rFonts w:ascii="Verdana" w:hAnsi="Verdana"/>
          <w:i/>
          <w:sz w:val="20"/>
          <w:szCs w:val="20"/>
        </w:rPr>
        <w:t>)</w:t>
      </w:r>
      <w:r w:rsidRPr="006229B7">
        <w:rPr>
          <w:rFonts w:ascii="Verdana" w:hAnsi="Verdana"/>
          <w:sz w:val="20"/>
          <w:szCs w:val="20"/>
        </w:rPr>
        <w:t>, y</w:t>
      </w:r>
    </w:p>
    <w:p w:rsidR="00C1644A" w:rsidRPr="006229B7" w:rsidRDefault="00493B7C" w:rsidP="00684D64">
      <w:pPr>
        <w:pStyle w:val="Prrafodelista"/>
        <w:numPr>
          <w:ilvl w:val="0"/>
          <w:numId w:val="8"/>
        </w:numPr>
        <w:tabs>
          <w:tab w:val="left" w:pos="720"/>
        </w:tabs>
        <w:spacing w:after="120" w:line="240" w:lineRule="auto"/>
        <w:ind w:left="714" w:hanging="357"/>
        <w:contextualSpacing w:val="0"/>
        <w:jc w:val="both"/>
        <w:rPr>
          <w:rFonts w:ascii="Verdana" w:hAnsi="Verdana"/>
          <w:sz w:val="20"/>
          <w:szCs w:val="20"/>
        </w:rPr>
      </w:pPr>
      <w:r w:rsidRPr="006229B7">
        <w:rPr>
          <w:rFonts w:ascii="Verdana" w:hAnsi="Verdana"/>
          <w:sz w:val="20"/>
          <w:szCs w:val="20"/>
        </w:rPr>
        <w:t>i</w:t>
      </w:r>
      <w:r w:rsidR="00581B46" w:rsidRPr="006229B7">
        <w:rPr>
          <w:rFonts w:ascii="Verdana" w:hAnsi="Verdana"/>
          <w:sz w:val="20"/>
          <w:szCs w:val="20"/>
        </w:rPr>
        <w:t>mpulsar la aprobación del proyecto de ley para la creación de la Comisión Nacional de Búsqueda de Personas Víctimas de Desaparición Forzada</w:t>
      </w:r>
      <w:r w:rsidR="001466D0">
        <w:rPr>
          <w:rFonts w:ascii="Verdana" w:hAnsi="Verdana"/>
          <w:sz w:val="20"/>
          <w:szCs w:val="20"/>
        </w:rPr>
        <w:t xml:space="preserve"> y otras Formas de Desaparición</w:t>
      </w:r>
      <w:r w:rsidR="00581B46" w:rsidRPr="006229B7">
        <w:rPr>
          <w:rFonts w:ascii="Verdana" w:hAnsi="Verdana"/>
          <w:sz w:val="20"/>
          <w:szCs w:val="20"/>
        </w:rPr>
        <w:t xml:space="preserve"> </w:t>
      </w:r>
      <w:r w:rsidR="00581B46" w:rsidRPr="006229B7">
        <w:rPr>
          <w:rFonts w:ascii="Verdana" w:hAnsi="Verdana"/>
          <w:i/>
          <w:sz w:val="20"/>
          <w:szCs w:val="20"/>
        </w:rPr>
        <w:t>(punto dispositivo décimo</w:t>
      </w:r>
      <w:r w:rsidR="00EF420B" w:rsidRPr="006229B7">
        <w:rPr>
          <w:rFonts w:ascii="Verdana" w:hAnsi="Verdana"/>
          <w:i/>
          <w:sz w:val="20"/>
          <w:szCs w:val="20"/>
        </w:rPr>
        <w:t xml:space="preserve"> de la Sentencia</w:t>
      </w:r>
      <w:r w:rsidR="00581B46" w:rsidRPr="006229B7">
        <w:rPr>
          <w:rFonts w:ascii="Verdana" w:hAnsi="Verdana"/>
          <w:i/>
          <w:sz w:val="20"/>
          <w:szCs w:val="20"/>
        </w:rPr>
        <w:t>)</w:t>
      </w:r>
      <w:r w:rsidRPr="006229B7">
        <w:rPr>
          <w:rFonts w:ascii="Verdana" w:hAnsi="Verdana"/>
          <w:i/>
          <w:sz w:val="20"/>
          <w:szCs w:val="20"/>
        </w:rPr>
        <w:t>.</w:t>
      </w:r>
    </w:p>
    <w:p w:rsidR="00C1644A" w:rsidRDefault="00C1644A" w:rsidP="00C1644A">
      <w:pPr>
        <w:tabs>
          <w:tab w:val="left" w:pos="720"/>
        </w:tabs>
        <w:spacing w:after="0" w:line="240" w:lineRule="auto"/>
        <w:jc w:val="both"/>
        <w:rPr>
          <w:rFonts w:ascii="Verdana" w:hAnsi="Verdana"/>
          <w:sz w:val="20"/>
          <w:szCs w:val="20"/>
        </w:rPr>
      </w:pPr>
    </w:p>
    <w:p w:rsidR="00447AE3" w:rsidRDefault="00C1644A" w:rsidP="00447AE3">
      <w:pPr>
        <w:tabs>
          <w:tab w:val="left" w:pos="720"/>
        </w:tabs>
        <w:spacing w:after="0" w:line="240" w:lineRule="auto"/>
        <w:jc w:val="both"/>
        <w:rPr>
          <w:rFonts w:ascii="Verdana" w:hAnsi="Verdana"/>
          <w:sz w:val="20"/>
          <w:szCs w:val="20"/>
          <w:lang w:val="es-ES"/>
        </w:rPr>
      </w:pPr>
      <w:r>
        <w:rPr>
          <w:rFonts w:ascii="Verdana" w:hAnsi="Verdana"/>
          <w:sz w:val="20"/>
          <w:szCs w:val="20"/>
        </w:rPr>
        <w:t>4.</w:t>
      </w:r>
      <w:r>
        <w:rPr>
          <w:rFonts w:ascii="Verdana" w:hAnsi="Verdana"/>
          <w:sz w:val="20"/>
          <w:szCs w:val="20"/>
        </w:rPr>
        <w:tab/>
      </w:r>
      <w:r w:rsidR="00B273AD" w:rsidRPr="00F36B8E">
        <w:rPr>
          <w:rFonts w:ascii="Verdana" w:hAnsi="Verdana"/>
          <w:sz w:val="20"/>
          <w:szCs w:val="20"/>
          <w:lang w:val="es-ES"/>
        </w:rPr>
        <w:t>Disponer que el Estado presente a la Corte Interamericana de Derechos Humanos, a más tardar el</w:t>
      </w:r>
      <w:r w:rsidR="00E209AE" w:rsidRPr="00F36B8E">
        <w:rPr>
          <w:rFonts w:ascii="Verdana" w:hAnsi="Verdana"/>
          <w:sz w:val="20"/>
          <w:szCs w:val="20"/>
          <w:lang w:val="es-ES"/>
        </w:rPr>
        <w:t xml:space="preserve"> </w:t>
      </w:r>
      <w:r w:rsidR="00F36B8E">
        <w:rPr>
          <w:rFonts w:ascii="Verdana" w:hAnsi="Verdana"/>
          <w:sz w:val="20"/>
          <w:szCs w:val="20"/>
          <w:lang w:val="es-ES"/>
        </w:rPr>
        <w:t>14</w:t>
      </w:r>
      <w:r w:rsidR="003359F1" w:rsidRPr="00F36B8E">
        <w:rPr>
          <w:rFonts w:ascii="Verdana" w:hAnsi="Verdana"/>
          <w:sz w:val="20"/>
          <w:szCs w:val="20"/>
          <w:lang w:val="es-ES"/>
        </w:rPr>
        <w:t xml:space="preserve"> de </w:t>
      </w:r>
      <w:r w:rsidR="00F36B8E">
        <w:rPr>
          <w:rFonts w:ascii="Verdana" w:hAnsi="Verdana"/>
          <w:sz w:val="20"/>
          <w:szCs w:val="20"/>
          <w:lang w:val="es-ES"/>
        </w:rPr>
        <w:t>abril</w:t>
      </w:r>
      <w:r w:rsidR="003359F1" w:rsidRPr="00F36B8E">
        <w:rPr>
          <w:rFonts w:ascii="Verdana" w:hAnsi="Verdana"/>
          <w:sz w:val="20"/>
          <w:szCs w:val="20"/>
          <w:lang w:val="es-ES"/>
        </w:rPr>
        <w:t xml:space="preserve"> </w:t>
      </w:r>
      <w:r w:rsidR="003359F1" w:rsidRPr="00432F91">
        <w:rPr>
          <w:rFonts w:ascii="Verdana" w:hAnsi="Verdana"/>
          <w:sz w:val="20"/>
          <w:szCs w:val="20"/>
          <w:lang w:val="es-ES"/>
        </w:rPr>
        <w:t>de 2017</w:t>
      </w:r>
      <w:r w:rsidR="00B273AD" w:rsidRPr="00AA1EAC">
        <w:rPr>
          <w:rFonts w:ascii="Verdana" w:hAnsi="Verdana"/>
          <w:sz w:val="20"/>
          <w:szCs w:val="20"/>
          <w:lang w:val="es-ES"/>
        </w:rPr>
        <w:t xml:space="preserve">, un informe </w:t>
      </w:r>
      <w:r w:rsidR="00B273AD">
        <w:rPr>
          <w:rFonts w:ascii="Verdana" w:hAnsi="Verdana"/>
          <w:sz w:val="20"/>
          <w:szCs w:val="20"/>
          <w:lang w:val="es-ES"/>
        </w:rPr>
        <w:t>sobre el cumplimiento de la Sentencia</w:t>
      </w:r>
      <w:r w:rsidR="00B273AD" w:rsidRPr="00AA1EAC">
        <w:rPr>
          <w:rFonts w:ascii="Verdana" w:hAnsi="Verdana"/>
          <w:sz w:val="20"/>
          <w:szCs w:val="20"/>
          <w:lang w:val="es-ES"/>
        </w:rPr>
        <w:t xml:space="preserve"> en el cual se refiera </w:t>
      </w:r>
      <w:r w:rsidR="00D823DC">
        <w:rPr>
          <w:rFonts w:ascii="Verdana" w:hAnsi="Verdana"/>
          <w:sz w:val="20"/>
          <w:szCs w:val="20"/>
          <w:lang w:val="es-ES"/>
        </w:rPr>
        <w:t xml:space="preserve">tanto a la información que le fue solicitada en el Considerando </w:t>
      </w:r>
      <w:r w:rsidR="00057498">
        <w:rPr>
          <w:rFonts w:ascii="Verdana" w:hAnsi="Verdana"/>
          <w:sz w:val="20"/>
          <w:szCs w:val="20"/>
          <w:lang w:val="es-ES"/>
        </w:rPr>
        <w:fldChar w:fldCharType="begin"/>
      </w:r>
      <w:r w:rsidR="00057498">
        <w:rPr>
          <w:rFonts w:ascii="Verdana" w:hAnsi="Verdana"/>
          <w:sz w:val="20"/>
          <w:szCs w:val="20"/>
          <w:lang w:val="es-ES"/>
        </w:rPr>
        <w:instrText xml:space="preserve"> REF _Ref467850794 \r \h </w:instrText>
      </w:r>
      <w:r w:rsidR="00057498">
        <w:rPr>
          <w:rFonts w:ascii="Verdana" w:hAnsi="Verdana"/>
          <w:sz w:val="20"/>
          <w:szCs w:val="20"/>
          <w:lang w:val="es-ES"/>
        </w:rPr>
      </w:r>
      <w:r w:rsidR="00057498">
        <w:rPr>
          <w:rFonts w:ascii="Verdana" w:hAnsi="Verdana"/>
          <w:sz w:val="20"/>
          <w:szCs w:val="20"/>
          <w:lang w:val="es-ES"/>
        </w:rPr>
        <w:fldChar w:fldCharType="separate"/>
      </w:r>
      <w:r w:rsidR="00AC2F0E">
        <w:rPr>
          <w:rFonts w:ascii="Verdana" w:hAnsi="Verdana"/>
          <w:sz w:val="20"/>
          <w:szCs w:val="20"/>
          <w:lang w:val="es-ES"/>
        </w:rPr>
        <w:t>12</w:t>
      </w:r>
      <w:r w:rsidR="00057498">
        <w:rPr>
          <w:rFonts w:ascii="Verdana" w:hAnsi="Verdana"/>
          <w:sz w:val="20"/>
          <w:szCs w:val="20"/>
          <w:lang w:val="es-ES"/>
        </w:rPr>
        <w:fldChar w:fldCharType="end"/>
      </w:r>
      <w:r w:rsidR="005C18B7">
        <w:rPr>
          <w:rFonts w:ascii="Verdana" w:hAnsi="Verdana"/>
          <w:sz w:val="20"/>
          <w:szCs w:val="20"/>
          <w:lang w:val="es-ES"/>
        </w:rPr>
        <w:t xml:space="preserve"> de la presente resolución</w:t>
      </w:r>
      <w:r w:rsidR="00D823DC">
        <w:rPr>
          <w:rFonts w:ascii="Verdana" w:hAnsi="Verdana"/>
          <w:sz w:val="20"/>
          <w:szCs w:val="20"/>
          <w:lang w:val="es-ES"/>
        </w:rPr>
        <w:t>, como a</w:t>
      </w:r>
      <w:r w:rsidR="00B273AD" w:rsidRPr="00AA1EAC">
        <w:rPr>
          <w:rFonts w:ascii="Verdana" w:hAnsi="Verdana"/>
          <w:sz w:val="20"/>
          <w:szCs w:val="20"/>
          <w:lang w:val="es-ES"/>
        </w:rPr>
        <w:t xml:space="preserve"> todas las reparaci</w:t>
      </w:r>
      <w:r w:rsidR="00D823DC">
        <w:rPr>
          <w:rFonts w:ascii="Verdana" w:hAnsi="Verdana"/>
          <w:sz w:val="20"/>
          <w:szCs w:val="20"/>
          <w:lang w:val="es-ES"/>
        </w:rPr>
        <w:t xml:space="preserve">ones pendientes de cumplimiento y, en su caso, con su respectivo soporte probatorio, de acuerdo con lo precisado en el Considerando </w:t>
      </w:r>
      <w:r w:rsidR="00A85721">
        <w:rPr>
          <w:rFonts w:ascii="Verdana" w:hAnsi="Verdana"/>
          <w:sz w:val="20"/>
          <w:szCs w:val="20"/>
          <w:lang w:val="es-ES"/>
        </w:rPr>
        <w:fldChar w:fldCharType="begin"/>
      </w:r>
      <w:r w:rsidR="00A85721">
        <w:rPr>
          <w:rFonts w:ascii="Verdana" w:hAnsi="Verdana"/>
          <w:sz w:val="20"/>
          <w:szCs w:val="20"/>
          <w:lang w:val="es-ES"/>
        </w:rPr>
        <w:instrText xml:space="preserve"> REF _Ref467850933 \r \h </w:instrText>
      </w:r>
      <w:r w:rsidR="00A85721">
        <w:rPr>
          <w:rFonts w:ascii="Verdana" w:hAnsi="Verdana"/>
          <w:sz w:val="20"/>
          <w:szCs w:val="20"/>
          <w:lang w:val="es-ES"/>
        </w:rPr>
      </w:r>
      <w:r w:rsidR="00A85721">
        <w:rPr>
          <w:rFonts w:ascii="Verdana" w:hAnsi="Verdana"/>
          <w:sz w:val="20"/>
          <w:szCs w:val="20"/>
          <w:lang w:val="es-ES"/>
        </w:rPr>
        <w:fldChar w:fldCharType="separate"/>
      </w:r>
      <w:r w:rsidR="00AC2F0E">
        <w:rPr>
          <w:rFonts w:ascii="Verdana" w:hAnsi="Verdana"/>
          <w:sz w:val="20"/>
          <w:szCs w:val="20"/>
          <w:lang w:val="es-ES"/>
        </w:rPr>
        <w:t>18</w:t>
      </w:r>
      <w:r w:rsidR="00A85721">
        <w:rPr>
          <w:rFonts w:ascii="Verdana" w:hAnsi="Verdana"/>
          <w:sz w:val="20"/>
          <w:szCs w:val="20"/>
          <w:lang w:val="es-ES"/>
        </w:rPr>
        <w:fldChar w:fldCharType="end"/>
      </w:r>
      <w:r w:rsidR="00D823DC">
        <w:rPr>
          <w:rFonts w:ascii="Verdana" w:hAnsi="Verdana"/>
          <w:sz w:val="20"/>
          <w:szCs w:val="20"/>
          <w:lang w:val="es-ES"/>
        </w:rPr>
        <w:t xml:space="preserve"> de la misma. </w:t>
      </w:r>
      <w:r w:rsidR="00D823DC" w:rsidRPr="00AA1EAC">
        <w:rPr>
          <w:rFonts w:ascii="Verdana" w:hAnsi="Verdana"/>
          <w:sz w:val="20"/>
          <w:szCs w:val="20"/>
          <w:lang w:val="es-ES"/>
        </w:rPr>
        <w:t xml:space="preserve">En posteriores resoluciones, este Tribunal evaluará el estado de cumplimiento </w:t>
      </w:r>
      <w:r w:rsidR="00D823DC">
        <w:rPr>
          <w:rFonts w:ascii="Verdana" w:hAnsi="Verdana"/>
          <w:sz w:val="20"/>
          <w:szCs w:val="20"/>
          <w:lang w:val="es-ES"/>
        </w:rPr>
        <w:t>de las reparaciones ordenadas.</w:t>
      </w:r>
    </w:p>
    <w:p w:rsidR="00447AE3" w:rsidRDefault="00447AE3" w:rsidP="00447AE3">
      <w:pPr>
        <w:tabs>
          <w:tab w:val="left" w:pos="720"/>
        </w:tabs>
        <w:spacing w:after="0" w:line="240" w:lineRule="auto"/>
        <w:jc w:val="both"/>
        <w:rPr>
          <w:rFonts w:ascii="Verdana" w:hAnsi="Verdana"/>
          <w:sz w:val="20"/>
        </w:rPr>
      </w:pPr>
    </w:p>
    <w:p w:rsidR="00447AE3" w:rsidRPr="00447AE3" w:rsidRDefault="00447AE3" w:rsidP="00447AE3">
      <w:pPr>
        <w:tabs>
          <w:tab w:val="left" w:pos="720"/>
        </w:tabs>
        <w:spacing w:after="0" w:line="240" w:lineRule="auto"/>
        <w:jc w:val="both"/>
        <w:rPr>
          <w:rFonts w:ascii="Verdana" w:hAnsi="Verdana"/>
          <w:sz w:val="20"/>
          <w:szCs w:val="20"/>
        </w:rPr>
      </w:pPr>
      <w:r>
        <w:rPr>
          <w:rFonts w:ascii="Verdana" w:hAnsi="Verdana"/>
          <w:sz w:val="20"/>
        </w:rPr>
        <w:t>5.</w:t>
      </w:r>
      <w:r>
        <w:rPr>
          <w:rFonts w:ascii="Verdana" w:hAnsi="Verdana"/>
          <w:sz w:val="20"/>
        </w:rPr>
        <w:tab/>
        <w:t xml:space="preserve">Solicitar a las representantes de las víctimas y a la Comisión Interamericana de </w:t>
      </w:r>
      <w:r>
        <w:rPr>
          <w:rFonts w:ascii="Verdana" w:eastAsia="Calibri" w:hAnsi="Verdana"/>
          <w:sz w:val="20"/>
        </w:rPr>
        <w:t>Derechos</w:t>
      </w:r>
      <w:r>
        <w:rPr>
          <w:rFonts w:ascii="Verdana" w:hAnsi="Verdana"/>
          <w:sz w:val="20"/>
        </w:rPr>
        <w:t xml:space="preserve"> Humanos que presenten observaciones al informe del Estado mencionado en el punto resolutivo anterior, en los plazos de cuatro y seis semanas, respectivamente, contados a partir de la recepción del informe.</w:t>
      </w:r>
    </w:p>
    <w:p w:rsidR="00447AE3" w:rsidRDefault="00447AE3" w:rsidP="00447AE3">
      <w:pPr>
        <w:pStyle w:val="Prrafodelista"/>
        <w:rPr>
          <w:rFonts w:ascii="Verdana" w:hAnsi="Verdana"/>
          <w:sz w:val="20"/>
        </w:rPr>
      </w:pPr>
    </w:p>
    <w:p w:rsidR="00581B46" w:rsidRDefault="00447AE3" w:rsidP="00432F91">
      <w:pPr>
        <w:pStyle w:val="Prrafodelista"/>
        <w:spacing w:before="120" w:after="0" w:line="240" w:lineRule="auto"/>
        <w:ind w:left="0" w:right="4"/>
        <w:jc w:val="both"/>
        <w:rPr>
          <w:rFonts w:ascii="Verdana" w:hAnsi="Verdana"/>
          <w:sz w:val="20"/>
        </w:rPr>
      </w:pPr>
      <w:r>
        <w:rPr>
          <w:rFonts w:ascii="Verdana" w:hAnsi="Verdana"/>
          <w:sz w:val="20"/>
        </w:rPr>
        <w:t>6.</w:t>
      </w:r>
      <w:r>
        <w:rPr>
          <w:rFonts w:ascii="Verdana" w:hAnsi="Verdana"/>
          <w:sz w:val="20"/>
        </w:rPr>
        <w:tab/>
      </w:r>
      <w:r w:rsidR="00581B46" w:rsidRPr="00C1644A">
        <w:rPr>
          <w:rFonts w:ascii="Verdana" w:hAnsi="Verdana"/>
          <w:sz w:val="20"/>
        </w:rPr>
        <w:t>Requerir a la Secretaría de la Corte que notifique la presente Resolución al Estado, a los representantes de las víctimas y a la Comisión Interamericana de Derechos Humanos.</w:t>
      </w:r>
    </w:p>
    <w:p w:rsidR="003765D5" w:rsidRPr="003765D5" w:rsidRDefault="003765D5" w:rsidP="003765D5">
      <w:pPr>
        <w:keepNext/>
        <w:spacing w:after="0" w:line="240" w:lineRule="auto"/>
        <w:jc w:val="both"/>
        <w:outlineLvl w:val="0"/>
        <w:rPr>
          <w:rFonts w:ascii="Verdana" w:eastAsia="Times" w:hAnsi="Verdana"/>
          <w:sz w:val="20"/>
          <w:szCs w:val="20"/>
          <w:lang w:eastAsia="en-US"/>
        </w:rPr>
      </w:pPr>
      <w:r w:rsidRPr="003765D5">
        <w:rPr>
          <w:rFonts w:ascii="Verdana" w:eastAsia="Times" w:hAnsi="Verdana"/>
          <w:sz w:val="20"/>
          <w:szCs w:val="20"/>
          <w:lang w:val="es-ES" w:eastAsia="en-US"/>
        </w:rPr>
        <w:t xml:space="preserve">Resolución de la Corte Interamericana de Derechos Humanos. </w:t>
      </w:r>
      <w:r w:rsidRPr="003765D5">
        <w:rPr>
          <w:rFonts w:ascii="Verdana" w:eastAsia="Times" w:hAnsi="Verdana"/>
          <w:sz w:val="20"/>
          <w:szCs w:val="20"/>
          <w:lang w:eastAsia="en-US"/>
        </w:rPr>
        <w:t>Caso García y familiares Vs. Guatemala.  Supervisión de Cumplimiento de Sentencia.</w:t>
      </w:r>
    </w:p>
    <w:p w:rsidR="003765D5" w:rsidRPr="003765D5" w:rsidRDefault="003765D5" w:rsidP="003765D5">
      <w:pPr>
        <w:spacing w:after="0" w:line="240" w:lineRule="auto"/>
        <w:jc w:val="center"/>
        <w:rPr>
          <w:rFonts w:ascii="Verdana" w:eastAsia="Times" w:hAnsi="Verdana"/>
          <w:sz w:val="20"/>
          <w:szCs w:val="20"/>
          <w:lang w:val="es-ES" w:eastAsia="en-US"/>
        </w:rPr>
      </w:pPr>
    </w:p>
    <w:p w:rsidR="003765D5" w:rsidRPr="003765D5" w:rsidRDefault="003765D5" w:rsidP="003765D5">
      <w:pPr>
        <w:spacing w:after="0" w:line="240" w:lineRule="auto"/>
        <w:jc w:val="center"/>
        <w:rPr>
          <w:rFonts w:ascii="Verdana" w:eastAsia="Times" w:hAnsi="Verdana"/>
          <w:sz w:val="20"/>
          <w:szCs w:val="20"/>
          <w:lang w:val="es-ES" w:eastAsia="en-US"/>
        </w:rPr>
      </w:pPr>
    </w:p>
    <w:p w:rsidR="003765D5" w:rsidRPr="003765D5" w:rsidRDefault="003765D5" w:rsidP="003765D5">
      <w:pPr>
        <w:spacing w:after="0" w:line="240" w:lineRule="auto"/>
        <w:jc w:val="center"/>
        <w:rPr>
          <w:rFonts w:ascii="Verdana" w:eastAsia="Times" w:hAnsi="Verdana"/>
          <w:sz w:val="20"/>
          <w:szCs w:val="20"/>
          <w:lang w:val="es-ES" w:eastAsia="en-US"/>
        </w:rPr>
      </w:pPr>
    </w:p>
    <w:p w:rsidR="003765D5" w:rsidRPr="003765D5" w:rsidRDefault="003765D5" w:rsidP="003765D5">
      <w:pPr>
        <w:spacing w:after="0" w:line="240" w:lineRule="auto"/>
        <w:jc w:val="center"/>
        <w:rPr>
          <w:rFonts w:ascii="Verdana" w:eastAsia="Times" w:hAnsi="Verdana"/>
          <w:sz w:val="20"/>
          <w:szCs w:val="20"/>
          <w:lang w:val="es-ES" w:eastAsia="en-US"/>
        </w:rPr>
      </w:pPr>
    </w:p>
    <w:p w:rsidR="003765D5" w:rsidRPr="003765D5" w:rsidRDefault="003765D5" w:rsidP="003765D5">
      <w:pPr>
        <w:spacing w:after="0" w:line="240" w:lineRule="auto"/>
        <w:jc w:val="center"/>
        <w:rPr>
          <w:rFonts w:ascii="Verdana" w:eastAsia="Times" w:hAnsi="Verdana"/>
          <w:sz w:val="20"/>
          <w:szCs w:val="20"/>
          <w:lang w:val="es-ES" w:eastAsia="en-US"/>
        </w:rPr>
      </w:pPr>
    </w:p>
    <w:p w:rsidR="003765D5" w:rsidRDefault="003765D5" w:rsidP="003765D5">
      <w:pPr>
        <w:spacing w:after="0" w:line="240" w:lineRule="auto"/>
        <w:jc w:val="center"/>
        <w:rPr>
          <w:rFonts w:ascii="Verdana" w:eastAsia="Times" w:hAnsi="Verdana"/>
          <w:sz w:val="20"/>
          <w:szCs w:val="20"/>
          <w:lang w:val="es-ES" w:eastAsia="en-US"/>
        </w:rPr>
      </w:pPr>
    </w:p>
    <w:p w:rsidR="00590506" w:rsidRPr="00590506" w:rsidRDefault="00590506" w:rsidP="00590506">
      <w:pPr>
        <w:keepNext/>
        <w:spacing w:after="0" w:line="240" w:lineRule="auto"/>
        <w:jc w:val="both"/>
        <w:outlineLvl w:val="0"/>
        <w:rPr>
          <w:rFonts w:ascii="Verdana" w:eastAsia="Times" w:hAnsi="Verdana"/>
          <w:sz w:val="20"/>
          <w:szCs w:val="20"/>
          <w:lang w:eastAsia="en-US"/>
        </w:rPr>
      </w:pPr>
      <w:r w:rsidRPr="00590506">
        <w:rPr>
          <w:rFonts w:ascii="Verdana" w:eastAsia="Times" w:hAnsi="Verdana"/>
          <w:sz w:val="20"/>
          <w:szCs w:val="20"/>
          <w:lang w:val="es-ES" w:eastAsia="en-US"/>
        </w:rPr>
        <w:lastRenderedPageBreak/>
        <w:t xml:space="preserve">Resolución de la Corte Interamericana de Derechos Humanos. </w:t>
      </w:r>
      <w:r w:rsidRPr="00590506">
        <w:rPr>
          <w:rFonts w:ascii="Verdana" w:eastAsia="Times" w:hAnsi="Verdana"/>
          <w:sz w:val="20"/>
          <w:szCs w:val="20"/>
          <w:lang w:eastAsia="en-US"/>
        </w:rPr>
        <w:t>Caso García y familiares Vs. Guatemala.  Supervisión de Cumplimiento de Sentencia.</w:t>
      </w:r>
    </w:p>
    <w:p w:rsidR="00590506" w:rsidRPr="00590506" w:rsidRDefault="00590506" w:rsidP="00590506">
      <w:pPr>
        <w:spacing w:after="0" w:line="240" w:lineRule="auto"/>
        <w:jc w:val="center"/>
        <w:rPr>
          <w:rFonts w:ascii="Verdana" w:eastAsia="Times" w:hAnsi="Verdana"/>
          <w:sz w:val="20"/>
          <w:szCs w:val="20"/>
          <w:lang w:val="es-ES" w:eastAsia="en-US"/>
        </w:rPr>
      </w:pPr>
    </w:p>
    <w:p w:rsidR="00590506" w:rsidRPr="00590506" w:rsidRDefault="00590506" w:rsidP="00590506">
      <w:pPr>
        <w:spacing w:after="0" w:line="240" w:lineRule="auto"/>
        <w:jc w:val="center"/>
        <w:rPr>
          <w:rFonts w:ascii="Verdana" w:eastAsia="Times" w:hAnsi="Verdana"/>
          <w:sz w:val="20"/>
          <w:szCs w:val="20"/>
          <w:lang w:val="es-ES" w:eastAsia="en-US"/>
        </w:rPr>
      </w:pPr>
    </w:p>
    <w:p w:rsidR="00590506" w:rsidRPr="00590506" w:rsidRDefault="00590506" w:rsidP="00590506">
      <w:pPr>
        <w:spacing w:after="0" w:line="240" w:lineRule="auto"/>
        <w:jc w:val="center"/>
        <w:rPr>
          <w:rFonts w:ascii="Verdana" w:eastAsia="Times" w:hAnsi="Verdana"/>
          <w:sz w:val="20"/>
          <w:szCs w:val="20"/>
          <w:lang w:val="es-ES" w:eastAsia="en-US"/>
        </w:rPr>
      </w:pPr>
    </w:p>
    <w:p w:rsidR="00590506" w:rsidRPr="00590506" w:rsidRDefault="00590506" w:rsidP="00590506">
      <w:pPr>
        <w:spacing w:after="0" w:line="240" w:lineRule="auto"/>
        <w:jc w:val="center"/>
        <w:rPr>
          <w:rFonts w:ascii="Verdana" w:eastAsia="Times" w:hAnsi="Verdana"/>
          <w:sz w:val="20"/>
          <w:szCs w:val="20"/>
          <w:lang w:val="es-ES" w:eastAsia="en-US"/>
        </w:rPr>
      </w:pPr>
    </w:p>
    <w:p w:rsidR="00590506" w:rsidRPr="00590506" w:rsidRDefault="00590506" w:rsidP="00590506">
      <w:pPr>
        <w:spacing w:after="0" w:line="240" w:lineRule="auto"/>
        <w:jc w:val="center"/>
        <w:rPr>
          <w:rFonts w:ascii="Verdana" w:eastAsia="Times" w:hAnsi="Verdana"/>
          <w:sz w:val="20"/>
          <w:szCs w:val="20"/>
          <w:lang w:val="es-ES" w:eastAsia="en-US"/>
        </w:rPr>
      </w:pPr>
    </w:p>
    <w:p w:rsidR="00590506" w:rsidRPr="00590506" w:rsidRDefault="00590506" w:rsidP="00590506">
      <w:pPr>
        <w:spacing w:after="0" w:line="240" w:lineRule="auto"/>
        <w:jc w:val="center"/>
        <w:rPr>
          <w:rFonts w:ascii="Verdana" w:eastAsia="Times" w:hAnsi="Verdana"/>
          <w:sz w:val="20"/>
          <w:szCs w:val="20"/>
          <w:lang w:val="es-ES" w:eastAsia="en-US"/>
        </w:rPr>
      </w:pPr>
      <w:r w:rsidRPr="00590506">
        <w:rPr>
          <w:rFonts w:ascii="Verdana" w:eastAsia="Times" w:hAnsi="Verdana"/>
          <w:sz w:val="20"/>
          <w:szCs w:val="20"/>
          <w:lang w:val="es-ES" w:eastAsia="en-US"/>
        </w:rPr>
        <w:t>Roberto F. Caldas</w:t>
      </w:r>
    </w:p>
    <w:p w:rsidR="00590506" w:rsidRPr="00590506" w:rsidRDefault="00590506" w:rsidP="00590506">
      <w:pPr>
        <w:spacing w:after="0" w:line="240" w:lineRule="auto"/>
        <w:jc w:val="center"/>
        <w:rPr>
          <w:rFonts w:ascii="Verdana" w:eastAsia="Times" w:hAnsi="Verdana"/>
          <w:sz w:val="20"/>
          <w:szCs w:val="20"/>
          <w:lang w:val="es-ES" w:eastAsia="en-US"/>
        </w:rPr>
      </w:pPr>
      <w:r w:rsidRPr="00590506">
        <w:rPr>
          <w:rFonts w:ascii="Verdana" w:eastAsia="Times" w:hAnsi="Verdana"/>
          <w:sz w:val="20"/>
          <w:szCs w:val="20"/>
          <w:lang w:val="es-ES" w:eastAsia="en-US"/>
        </w:rPr>
        <w:t xml:space="preserve">Presidente </w:t>
      </w: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tabs>
          <w:tab w:val="left" w:pos="1485"/>
        </w:tabs>
        <w:spacing w:after="0" w:line="240" w:lineRule="auto"/>
        <w:jc w:val="both"/>
        <w:rPr>
          <w:rFonts w:ascii="Verdana" w:eastAsia="Times" w:hAnsi="Verdana"/>
          <w:sz w:val="20"/>
          <w:szCs w:val="20"/>
          <w:lang w:val="es-ES" w:eastAsia="en-US"/>
        </w:rPr>
      </w:pPr>
      <w:r w:rsidRPr="00590506">
        <w:rPr>
          <w:rFonts w:ascii="Verdana" w:eastAsia="Times" w:hAnsi="Verdana"/>
          <w:sz w:val="20"/>
          <w:szCs w:val="20"/>
          <w:lang w:val="es-ES" w:eastAsia="en-US"/>
        </w:rPr>
        <w:tab/>
      </w: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r w:rsidRPr="00590506">
        <w:rPr>
          <w:rFonts w:ascii="Verdana" w:eastAsia="Times" w:hAnsi="Verdana"/>
          <w:sz w:val="20"/>
          <w:szCs w:val="20"/>
          <w:lang w:val="es-ES" w:eastAsia="en-US"/>
        </w:rPr>
        <w:t>Eduardo Ferrer Mac-Gregor Poisot</w:t>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t xml:space="preserve">       Eduardo Vio Grossi</w:t>
      </w: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r w:rsidRPr="00590506">
        <w:rPr>
          <w:rFonts w:ascii="Verdana" w:eastAsia="Times" w:hAnsi="Verdana"/>
          <w:sz w:val="20"/>
          <w:szCs w:val="20"/>
          <w:lang w:val="es-ES" w:eastAsia="en-US"/>
        </w:rPr>
        <w:t>Humberto Antonio Sierra Porto</w:t>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t xml:space="preserve">    Elizabeth Odio Benito </w:t>
      </w: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rPr>
          <w:rFonts w:ascii="Verdana" w:eastAsia="Times" w:hAnsi="Verdana"/>
          <w:sz w:val="20"/>
          <w:szCs w:val="20"/>
          <w:lang w:val="es-ES" w:eastAsia="en-US"/>
        </w:rPr>
      </w:pPr>
      <w:r w:rsidRPr="00590506">
        <w:rPr>
          <w:rFonts w:ascii="Verdana" w:eastAsia="Times" w:hAnsi="Verdana"/>
          <w:sz w:val="20"/>
          <w:szCs w:val="20"/>
          <w:lang w:val="es-ES" w:eastAsia="en-US"/>
        </w:rPr>
        <w:t xml:space="preserve">Eugenio Raúl Zaffaroni </w:t>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r>
      <w:r w:rsidRPr="00590506">
        <w:rPr>
          <w:rFonts w:ascii="Verdana" w:eastAsia="Times" w:hAnsi="Verdana"/>
          <w:sz w:val="20"/>
          <w:szCs w:val="20"/>
          <w:lang w:val="es-ES" w:eastAsia="en-US"/>
        </w:rPr>
        <w:tab/>
        <w:t xml:space="preserve">        L. Patricio Pazmiño Freire</w:t>
      </w: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center"/>
        <w:rPr>
          <w:rFonts w:ascii="Verdana" w:eastAsia="Times" w:hAnsi="Verdana"/>
          <w:sz w:val="20"/>
          <w:szCs w:val="20"/>
          <w:lang w:val="es-ES" w:eastAsia="en-US"/>
        </w:rPr>
      </w:pPr>
      <w:r w:rsidRPr="00590506">
        <w:rPr>
          <w:rFonts w:ascii="Verdana" w:eastAsia="Times" w:hAnsi="Verdana"/>
          <w:sz w:val="20"/>
          <w:szCs w:val="20"/>
          <w:lang w:val="es-ES" w:eastAsia="en-US"/>
        </w:rPr>
        <w:t>Pablo Saavedra Alessandri</w:t>
      </w:r>
    </w:p>
    <w:p w:rsidR="00590506" w:rsidRPr="00590506" w:rsidRDefault="00590506" w:rsidP="00590506">
      <w:pPr>
        <w:spacing w:after="0" w:line="240" w:lineRule="auto"/>
        <w:jc w:val="center"/>
        <w:rPr>
          <w:rFonts w:ascii="Verdana" w:eastAsia="Times" w:hAnsi="Verdana"/>
          <w:sz w:val="20"/>
          <w:szCs w:val="20"/>
          <w:lang w:val="es-ES" w:eastAsia="en-US"/>
        </w:rPr>
      </w:pPr>
      <w:r w:rsidRPr="00590506">
        <w:rPr>
          <w:rFonts w:ascii="Verdana" w:eastAsia="Times" w:hAnsi="Verdana"/>
          <w:sz w:val="20"/>
          <w:szCs w:val="20"/>
          <w:lang w:val="es-ES" w:eastAsia="en-US"/>
        </w:rPr>
        <w:t>Secretario</w:t>
      </w:r>
    </w:p>
    <w:p w:rsidR="00590506" w:rsidRPr="00590506" w:rsidRDefault="00590506" w:rsidP="00590506">
      <w:pPr>
        <w:spacing w:after="0" w:line="240" w:lineRule="auto"/>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r w:rsidRPr="00590506">
        <w:rPr>
          <w:rFonts w:ascii="Verdana" w:eastAsia="Times" w:hAnsi="Verdana"/>
          <w:sz w:val="20"/>
          <w:szCs w:val="20"/>
          <w:lang w:val="es-ES" w:eastAsia="en-US"/>
        </w:rPr>
        <w:t>Comuníquese y ejecútese,</w:t>
      </w: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ind w:left="4956" w:firstLine="708"/>
        <w:jc w:val="center"/>
        <w:rPr>
          <w:rFonts w:ascii="Verdana" w:eastAsia="Times" w:hAnsi="Verdana"/>
          <w:sz w:val="20"/>
          <w:szCs w:val="20"/>
          <w:lang w:val="es-ES" w:eastAsia="en-US"/>
        </w:rPr>
      </w:pPr>
      <w:r w:rsidRPr="00590506">
        <w:rPr>
          <w:rFonts w:ascii="Verdana" w:eastAsia="Times" w:hAnsi="Verdana"/>
          <w:sz w:val="20"/>
          <w:szCs w:val="20"/>
          <w:lang w:val="es-ES" w:eastAsia="en-US"/>
        </w:rPr>
        <w:t>Roberto F. Caldas</w:t>
      </w:r>
    </w:p>
    <w:p w:rsidR="00590506" w:rsidRPr="00590506" w:rsidRDefault="00590506" w:rsidP="00590506">
      <w:pPr>
        <w:spacing w:after="0" w:line="240" w:lineRule="auto"/>
        <w:ind w:left="4956" w:firstLine="708"/>
        <w:jc w:val="center"/>
        <w:rPr>
          <w:rFonts w:ascii="Verdana" w:eastAsia="Times" w:hAnsi="Verdana"/>
          <w:sz w:val="20"/>
          <w:szCs w:val="20"/>
          <w:lang w:val="es-ES" w:eastAsia="en-US"/>
        </w:rPr>
      </w:pPr>
      <w:r w:rsidRPr="00590506">
        <w:rPr>
          <w:rFonts w:ascii="Verdana" w:eastAsia="Times" w:hAnsi="Verdana"/>
          <w:sz w:val="20"/>
          <w:szCs w:val="20"/>
          <w:lang w:val="es-ES" w:eastAsia="en-US"/>
        </w:rPr>
        <w:t xml:space="preserve">Presidente </w:t>
      </w: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p>
    <w:p w:rsidR="00590506" w:rsidRPr="00590506" w:rsidRDefault="00590506" w:rsidP="00590506">
      <w:pPr>
        <w:spacing w:after="0" w:line="240" w:lineRule="auto"/>
        <w:jc w:val="both"/>
        <w:rPr>
          <w:rFonts w:ascii="Verdana" w:eastAsia="Times" w:hAnsi="Verdana"/>
          <w:sz w:val="20"/>
          <w:szCs w:val="20"/>
          <w:lang w:val="es-ES" w:eastAsia="en-US"/>
        </w:rPr>
      </w:pPr>
      <w:r w:rsidRPr="00590506">
        <w:rPr>
          <w:rFonts w:ascii="Verdana" w:eastAsia="Times" w:hAnsi="Verdana"/>
          <w:sz w:val="20"/>
          <w:szCs w:val="20"/>
          <w:lang w:val="es-ES" w:eastAsia="en-US"/>
        </w:rPr>
        <w:t>Pablo Saavedra Alessandri</w:t>
      </w:r>
    </w:p>
    <w:p w:rsidR="003765D5" w:rsidRPr="00590506" w:rsidRDefault="00590506" w:rsidP="00590506">
      <w:pPr>
        <w:spacing w:after="0" w:line="240" w:lineRule="auto"/>
        <w:rPr>
          <w:rFonts w:ascii="Verdana" w:eastAsia="Times" w:hAnsi="Verdana"/>
          <w:sz w:val="20"/>
          <w:szCs w:val="20"/>
          <w:lang w:eastAsia="en-US"/>
        </w:rPr>
      </w:pPr>
      <w:r w:rsidRPr="00590506">
        <w:rPr>
          <w:rFonts w:ascii="Verdana" w:eastAsia="Times" w:hAnsi="Verdana"/>
          <w:sz w:val="20"/>
          <w:szCs w:val="20"/>
          <w:lang w:val="es-ES" w:eastAsia="en-US"/>
        </w:rPr>
        <w:tab/>
      </w:r>
      <w:r w:rsidRPr="00590506">
        <w:rPr>
          <w:rFonts w:ascii="Verdana" w:eastAsia="Times" w:hAnsi="Verdana"/>
          <w:sz w:val="20"/>
          <w:szCs w:val="20"/>
          <w:lang w:eastAsia="en-US"/>
        </w:rPr>
        <w:t>Secretario</w:t>
      </w:r>
    </w:p>
    <w:sectPr w:rsidR="003765D5" w:rsidRPr="00590506" w:rsidSect="003063A2">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221" w:rsidRDefault="00430221" w:rsidP="00581B46">
      <w:pPr>
        <w:spacing w:after="0" w:line="240" w:lineRule="auto"/>
      </w:pPr>
      <w:r>
        <w:separator/>
      </w:r>
    </w:p>
  </w:endnote>
  <w:endnote w:type="continuationSeparator" w:id="0">
    <w:p w:rsidR="00430221" w:rsidRDefault="00430221" w:rsidP="0058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panose1 w:val="00000000000000000000"/>
    <w:charset w:val="4D"/>
    <w:family w:val="roman"/>
    <w:notTrueType/>
    <w:pitch w:val="default"/>
    <w:sig w:usb0="03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27" w:rsidRDefault="009F2127" w:rsidP="0051103E">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221" w:rsidRDefault="00430221" w:rsidP="00581B46">
      <w:pPr>
        <w:spacing w:after="0" w:line="240" w:lineRule="auto"/>
      </w:pPr>
      <w:r>
        <w:separator/>
      </w:r>
    </w:p>
  </w:footnote>
  <w:footnote w:type="continuationSeparator" w:id="0">
    <w:p w:rsidR="00430221" w:rsidRDefault="00430221" w:rsidP="00581B46">
      <w:pPr>
        <w:spacing w:after="0" w:line="240" w:lineRule="auto"/>
      </w:pPr>
      <w:r>
        <w:continuationSeparator/>
      </w:r>
    </w:p>
  </w:footnote>
  <w:footnote w:id="1">
    <w:p w:rsidR="009F2127" w:rsidRPr="001E3E69" w:rsidRDefault="009F2127" w:rsidP="00296770">
      <w:pPr>
        <w:pStyle w:val="Textonotapie"/>
        <w:jc w:val="both"/>
        <w:rPr>
          <w:rFonts w:ascii="Verdana" w:hAnsi="Verdana"/>
          <w:b/>
          <w:bCs/>
          <w:color w:val="000000"/>
          <w:sz w:val="16"/>
          <w:szCs w:val="16"/>
          <w:shd w:val="clear" w:color="auto" w:fill="FFFFFF"/>
        </w:rPr>
      </w:pPr>
      <w:r w:rsidRPr="00B305A0">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sidRPr="00B305A0">
        <w:rPr>
          <w:rFonts w:ascii="Verdana" w:hAnsi="Verdana"/>
          <w:i/>
          <w:sz w:val="16"/>
          <w:szCs w:val="16"/>
        </w:rPr>
        <w:t>Cfr</w:t>
      </w:r>
      <w:r w:rsidRPr="001E3E69">
        <w:rPr>
          <w:rFonts w:ascii="Verdana" w:hAnsi="Verdana"/>
          <w:b/>
          <w:i/>
          <w:sz w:val="16"/>
          <w:szCs w:val="16"/>
        </w:rPr>
        <w:t xml:space="preserve">. </w:t>
      </w:r>
      <w:r w:rsidRPr="001E3E69">
        <w:rPr>
          <w:rStyle w:val="Textoennegrita"/>
          <w:rFonts w:ascii="Verdana" w:hAnsi="Verdana"/>
          <w:b w:val="0"/>
          <w:i/>
          <w:sz w:val="16"/>
          <w:szCs w:val="16"/>
        </w:rPr>
        <w:t>Caso García y familiares Vs. Guatemala. Fondo</w:t>
      </w:r>
      <w:r w:rsidR="00ED1AC7">
        <w:rPr>
          <w:rStyle w:val="Textoennegrita"/>
          <w:rFonts w:ascii="Verdana" w:hAnsi="Verdana"/>
          <w:b w:val="0"/>
          <w:i/>
          <w:sz w:val="16"/>
          <w:szCs w:val="16"/>
        </w:rPr>
        <w:t>,</w:t>
      </w:r>
      <w:r w:rsidRPr="001E3E69">
        <w:rPr>
          <w:rStyle w:val="Textoennegrita"/>
          <w:rFonts w:ascii="Verdana" w:hAnsi="Verdana"/>
          <w:b w:val="0"/>
          <w:i/>
          <w:sz w:val="16"/>
          <w:szCs w:val="16"/>
        </w:rPr>
        <w:t xml:space="preserve"> Reparaciones y Costas. </w:t>
      </w:r>
      <w:r w:rsidRPr="0050289A">
        <w:rPr>
          <w:rStyle w:val="Textoennegrita"/>
          <w:rFonts w:ascii="Verdana" w:hAnsi="Verdana"/>
          <w:b w:val="0"/>
          <w:sz w:val="16"/>
          <w:szCs w:val="16"/>
        </w:rPr>
        <w:t>Sentencia de 29 noviembre de 2012</w:t>
      </w:r>
      <w:r w:rsidR="00ED1AC7">
        <w:rPr>
          <w:rStyle w:val="Textoennegrita"/>
          <w:rFonts w:ascii="Verdana" w:hAnsi="Verdana"/>
          <w:b w:val="0"/>
          <w:sz w:val="16"/>
          <w:szCs w:val="16"/>
        </w:rPr>
        <w:t>.</w:t>
      </w:r>
      <w:r w:rsidRPr="0050289A">
        <w:rPr>
          <w:rStyle w:val="Textoennegrita"/>
          <w:rFonts w:ascii="Verdana" w:hAnsi="Verdana"/>
          <w:b w:val="0"/>
          <w:sz w:val="16"/>
          <w:szCs w:val="16"/>
        </w:rPr>
        <w:t xml:space="preserve"> Serie C No. 258.</w:t>
      </w:r>
      <w:r>
        <w:rPr>
          <w:rFonts w:ascii="Verdana" w:hAnsi="Verdana"/>
          <w:sz w:val="18"/>
          <w:szCs w:val="18"/>
        </w:rPr>
        <w:t xml:space="preserve"> </w:t>
      </w:r>
      <w:r w:rsidRPr="00B305A0">
        <w:rPr>
          <w:rStyle w:val="Textoennegrita"/>
          <w:rFonts w:ascii="Verdana" w:hAnsi="Verdana"/>
          <w:b w:val="0"/>
          <w:color w:val="000000"/>
          <w:sz w:val="16"/>
          <w:szCs w:val="16"/>
          <w:shd w:val="clear" w:color="auto" w:fill="FFFFFF"/>
        </w:rPr>
        <w:t>El texto íntegro se encuentra disponible en</w:t>
      </w:r>
      <w:r w:rsidRPr="00B305A0">
        <w:rPr>
          <w:rStyle w:val="Textoennegrita"/>
          <w:rFonts w:ascii="Verdana" w:hAnsi="Verdana"/>
          <w:color w:val="000000"/>
          <w:sz w:val="16"/>
          <w:szCs w:val="16"/>
          <w:shd w:val="clear" w:color="auto" w:fill="FFFFFF"/>
        </w:rPr>
        <w:t xml:space="preserve">: </w:t>
      </w:r>
      <w:hyperlink r:id="rId1" w:history="1">
        <w:r w:rsidRPr="00A01929">
          <w:rPr>
            <w:rStyle w:val="Hipervnculo"/>
            <w:rFonts w:ascii="Verdana" w:hAnsi="Verdana"/>
            <w:sz w:val="16"/>
            <w:szCs w:val="16"/>
            <w:shd w:val="clear" w:color="auto" w:fill="FFFFFF"/>
          </w:rPr>
          <w:t>http://www.corteidh.or.cr/docs/casos/articulos/seriec_258_esp.pdf</w:t>
        </w:r>
      </w:hyperlink>
      <w:r>
        <w:rPr>
          <w:rStyle w:val="Hipervnculo"/>
          <w:rFonts w:ascii="Verdana" w:hAnsi="Verdana"/>
          <w:sz w:val="16"/>
          <w:szCs w:val="16"/>
          <w:shd w:val="clear" w:color="auto" w:fill="FFFFFF"/>
        </w:rPr>
        <w:t xml:space="preserve"> </w:t>
      </w:r>
      <w:r>
        <w:rPr>
          <w:rFonts w:ascii="Verdana" w:hAnsi="Verdana"/>
          <w:sz w:val="16"/>
          <w:szCs w:val="16"/>
        </w:rPr>
        <w:t>La Sentencia fue notificada el 21</w:t>
      </w:r>
      <w:r w:rsidRPr="00B305A0">
        <w:rPr>
          <w:rFonts w:ascii="Verdana" w:hAnsi="Verdana"/>
          <w:sz w:val="16"/>
          <w:szCs w:val="16"/>
        </w:rPr>
        <w:t xml:space="preserve"> de </w:t>
      </w:r>
      <w:r>
        <w:rPr>
          <w:rFonts w:ascii="Verdana" w:hAnsi="Verdana"/>
          <w:sz w:val="16"/>
          <w:szCs w:val="16"/>
        </w:rPr>
        <w:t>diciembre de 2012</w:t>
      </w:r>
      <w:r w:rsidRPr="00B305A0">
        <w:rPr>
          <w:rFonts w:ascii="Verdana" w:hAnsi="Verdana"/>
          <w:sz w:val="16"/>
          <w:szCs w:val="16"/>
        </w:rPr>
        <w:t xml:space="preserve">. </w:t>
      </w:r>
    </w:p>
  </w:footnote>
  <w:footnote w:id="2">
    <w:p w:rsidR="009F2127" w:rsidRPr="000B1F67" w:rsidRDefault="009F2127">
      <w:pPr>
        <w:pStyle w:val="Textonotapie"/>
      </w:pPr>
      <w:r w:rsidRPr="00432F91">
        <w:rPr>
          <w:rStyle w:val="Refdenotaalpie"/>
          <w:rFonts w:ascii="Verdana" w:hAnsi="Verdana"/>
          <w:sz w:val="16"/>
          <w:szCs w:val="16"/>
        </w:rPr>
        <w:footnoteRef/>
      </w:r>
      <w:r w:rsidRPr="00432F91">
        <w:rPr>
          <w:rFonts w:ascii="Verdana" w:hAnsi="Verdana"/>
          <w:sz w:val="16"/>
          <w:szCs w:val="16"/>
        </w:rPr>
        <w:t xml:space="preserve"> </w:t>
      </w:r>
      <w:r w:rsidRPr="00432F91">
        <w:rPr>
          <w:rFonts w:ascii="Verdana" w:hAnsi="Verdana"/>
          <w:sz w:val="16"/>
          <w:szCs w:val="16"/>
        </w:rPr>
        <w:tab/>
      </w:r>
      <w:r w:rsidRPr="00432F91">
        <w:rPr>
          <w:rFonts w:ascii="Verdana" w:hAnsi="Verdana" w:cs="Arial"/>
          <w:sz w:val="16"/>
          <w:szCs w:val="16"/>
        </w:rPr>
        <w:t>E</w:t>
      </w:r>
      <w:r w:rsidRPr="00432F91">
        <w:rPr>
          <w:rFonts w:ascii="Verdana" w:hAnsi="Verdana" w:cs="Arial"/>
          <w:sz w:val="16"/>
          <w:szCs w:val="16"/>
          <w:lang w:val="es-MX"/>
        </w:rPr>
        <w:t>sposa, hija y madre respectivamente del señor García.</w:t>
      </w:r>
    </w:p>
  </w:footnote>
  <w:footnote w:id="3">
    <w:p w:rsidR="009F2127" w:rsidRPr="002B2614" w:rsidRDefault="009F2127" w:rsidP="00296770">
      <w:pPr>
        <w:pStyle w:val="Textonotapie"/>
        <w:jc w:val="both"/>
        <w:rPr>
          <w:rFonts w:ascii="Verdana" w:hAnsi="Verdana"/>
          <w:sz w:val="16"/>
          <w:szCs w:val="16"/>
        </w:rPr>
      </w:pPr>
      <w:r w:rsidRPr="002B2614">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Las víctimas se encuentran representadas por el Grupo de Apoyo Mutuo (“GAM”).</w:t>
      </w:r>
    </w:p>
  </w:footnote>
  <w:footnote w:id="4">
    <w:p w:rsidR="009F2127" w:rsidRPr="005B542B" w:rsidRDefault="009F2127" w:rsidP="00D7020E">
      <w:pPr>
        <w:pStyle w:val="Textonotapie"/>
        <w:jc w:val="both"/>
        <w:rPr>
          <w:rFonts w:ascii="Verdana" w:hAnsi="Verdana"/>
          <w:sz w:val="16"/>
          <w:szCs w:val="16"/>
        </w:rPr>
      </w:pPr>
      <w:r w:rsidRPr="004245D9">
        <w:rPr>
          <w:rStyle w:val="Refdenotaalpie"/>
          <w:rFonts w:ascii="Verdana" w:hAnsi="Verdana"/>
          <w:sz w:val="16"/>
          <w:szCs w:val="16"/>
        </w:rPr>
        <w:footnoteRef/>
      </w:r>
      <w:r w:rsidRPr="004245D9">
        <w:rPr>
          <w:rFonts w:ascii="Verdana" w:hAnsi="Verdana"/>
          <w:sz w:val="16"/>
          <w:szCs w:val="16"/>
        </w:rPr>
        <w:t xml:space="preserve"> </w:t>
      </w:r>
      <w:r w:rsidRPr="004245D9">
        <w:rPr>
          <w:rFonts w:ascii="Verdana" w:hAnsi="Verdana"/>
          <w:sz w:val="16"/>
          <w:szCs w:val="16"/>
        </w:rPr>
        <w:tab/>
      </w:r>
      <w:r>
        <w:rPr>
          <w:rFonts w:ascii="Verdana" w:hAnsi="Verdana" w:cs="Arial"/>
          <w:sz w:val="16"/>
          <w:szCs w:val="16"/>
        </w:rPr>
        <w:t xml:space="preserve">Mediante nota de Secretaría de 6 de febrero de 2014 </w:t>
      </w:r>
      <w:r w:rsidRPr="004245D9">
        <w:rPr>
          <w:rFonts w:ascii="Verdana" w:hAnsi="Verdana" w:cs="Arial"/>
          <w:sz w:val="16"/>
          <w:szCs w:val="16"/>
        </w:rPr>
        <w:t>se requirió al Estado que presentara las observaciones pertinentes respecto a la información remitida por los representantes sobre la aludida filtración (</w:t>
      </w:r>
      <w:r w:rsidRPr="004245D9">
        <w:rPr>
          <w:rFonts w:ascii="Verdana" w:hAnsi="Verdana" w:cs="Arial"/>
          <w:i/>
          <w:sz w:val="16"/>
          <w:szCs w:val="16"/>
        </w:rPr>
        <w:t>supra</w:t>
      </w:r>
      <w:r w:rsidRPr="004245D9">
        <w:rPr>
          <w:rFonts w:ascii="Verdana" w:hAnsi="Verdana" w:cs="Arial"/>
          <w:sz w:val="16"/>
          <w:szCs w:val="16"/>
        </w:rPr>
        <w:t xml:space="preserve"> Visto 5).</w:t>
      </w:r>
      <w:r>
        <w:rPr>
          <w:rFonts w:ascii="Verdana" w:hAnsi="Verdana" w:cs="Arial"/>
          <w:sz w:val="16"/>
          <w:szCs w:val="16"/>
        </w:rPr>
        <w:t xml:space="preserve"> U</w:t>
      </w:r>
      <w:r w:rsidRPr="004245D9">
        <w:rPr>
          <w:rFonts w:ascii="Verdana" w:hAnsi="Verdana" w:cs="Arial"/>
          <w:sz w:val="16"/>
          <w:szCs w:val="16"/>
        </w:rPr>
        <w:t>na vez que el Estado presentó sus observaciones, mediante</w:t>
      </w:r>
      <w:r>
        <w:rPr>
          <w:rFonts w:ascii="Verdana" w:hAnsi="Verdana" w:cs="Arial"/>
          <w:sz w:val="16"/>
          <w:szCs w:val="16"/>
        </w:rPr>
        <w:t xml:space="preserve"> nota de Secretaría de 19 de febrero</w:t>
      </w:r>
      <w:r w:rsidRPr="004245D9">
        <w:rPr>
          <w:rFonts w:ascii="Verdana" w:hAnsi="Verdana" w:cs="Arial"/>
          <w:sz w:val="16"/>
          <w:szCs w:val="16"/>
        </w:rPr>
        <w:t xml:space="preserve">, se solicitó a los representantes de las víctimas y a la Comisión que presentaran las observaciones que estimaran pertinentes respecto a la información proporcionada en la contestación presentada por  el Estado. </w:t>
      </w:r>
    </w:p>
  </w:footnote>
  <w:footnote w:id="5">
    <w:p w:rsidR="009F2127" w:rsidRPr="002B2614" w:rsidRDefault="009F2127">
      <w:pPr>
        <w:pStyle w:val="Textonotapie"/>
        <w:jc w:val="both"/>
        <w:rPr>
          <w:rFonts w:ascii="Verdana" w:hAnsi="Verdana"/>
          <w:sz w:val="16"/>
          <w:szCs w:val="16"/>
          <w:lang w:val="es-CR"/>
        </w:rPr>
      </w:pPr>
      <w:r w:rsidRPr="002B2614">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sidRPr="002B2614">
        <w:rPr>
          <w:rFonts w:ascii="Verdana" w:hAnsi="Verdana"/>
          <w:sz w:val="16"/>
          <w:szCs w:val="16"/>
          <w:lang w:val="es-CR"/>
        </w:rPr>
        <w:t xml:space="preserve">Facultad que además </w:t>
      </w:r>
      <w:r w:rsidRPr="002B2614">
        <w:rPr>
          <w:rFonts w:ascii="Verdana" w:hAnsi="Verdana"/>
          <w:sz w:val="16"/>
          <w:szCs w:val="16"/>
          <w:lang w:val="es-ES"/>
        </w:rPr>
        <w:t xml:space="preserve">se desprende de lo dispuesto en los artículos 33, 62.1, 62.3 y 65 de la Convención Americana y </w:t>
      </w:r>
      <w:r w:rsidRPr="002B2614">
        <w:rPr>
          <w:rFonts w:ascii="Verdana" w:hAnsi="Verdana"/>
          <w:sz w:val="16"/>
          <w:szCs w:val="16"/>
          <w:lang w:val="es-CR"/>
        </w:rPr>
        <w:t>30 de su Estatuto y se encuentra regulada en el artículo 69 de su Reglamento.</w:t>
      </w:r>
    </w:p>
  </w:footnote>
  <w:footnote w:id="6">
    <w:p w:rsidR="009F2127" w:rsidRPr="00D00A0B" w:rsidRDefault="009F2127" w:rsidP="00511D65">
      <w:pPr>
        <w:pStyle w:val="Textonotapie"/>
        <w:jc w:val="both"/>
        <w:rPr>
          <w:rFonts w:ascii="Verdana" w:hAnsi="Verdana"/>
          <w:sz w:val="16"/>
          <w:szCs w:val="16"/>
          <w:lang w:val="es-MX"/>
        </w:rPr>
      </w:pPr>
      <w:r w:rsidRPr="00511D65">
        <w:rPr>
          <w:rStyle w:val="Refdenotaalpie"/>
          <w:rFonts w:ascii="Verdana" w:hAnsi="Verdana"/>
          <w:sz w:val="16"/>
          <w:szCs w:val="16"/>
        </w:rPr>
        <w:footnoteRef/>
      </w:r>
      <w:r w:rsidRPr="00511D65">
        <w:rPr>
          <w:rFonts w:ascii="Verdana" w:hAnsi="Verdana"/>
          <w:sz w:val="16"/>
          <w:szCs w:val="16"/>
        </w:rPr>
        <w:t xml:space="preserve"> </w:t>
      </w:r>
      <w:r>
        <w:rPr>
          <w:rFonts w:ascii="Verdana" w:hAnsi="Verdana"/>
          <w:sz w:val="16"/>
          <w:szCs w:val="16"/>
        </w:rPr>
        <w:tab/>
      </w:r>
      <w:r w:rsidRPr="00511D65">
        <w:rPr>
          <w:rFonts w:ascii="Verdana" w:hAnsi="Verdana"/>
          <w:i/>
          <w:noProof/>
          <w:color w:val="000000"/>
          <w:sz w:val="16"/>
          <w:szCs w:val="16"/>
          <w:lang w:val="de-DE"/>
        </w:rPr>
        <w:t xml:space="preserve">Cfr. Caso Ivcher Bronstein Vs. </w:t>
      </w:r>
      <w:r w:rsidRPr="00511D65">
        <w:rPr>
          <w:rFonts w:ascii="Verdana" w:hAnsi="Verdana"/>
          <w:i/>
          <w:noProof/>
          <w:color w:val="000000"/>
          <w:sz w:val="16"/>
          <w:szCs w:val="16"/>
          <w:lang w:val="es-ES"/>
        </w:rPr>
        <w:t>Perú. Competencia.</w:t>
      </w:r>
      <w:r w:rsidRPr="00511D65">
        <w:rPr>
          <w:rFonts w:ascii="Verdana" w:hAnsi="Verdana"/>
          <w:noProof/>
          <w:color w:val="000000"/>
          <w:sz w:val="16"/>
          <w:szCs w:val="16"/>
          <w:lang w:val="es-ES"/>
        </w:rPr>
        <w:t xml:space="preserve"> Sentencia de de la Corte Interamericana de Derechos Humanos de 24 de septiembre de 1999.</w:t>
      </w:r>
      <w:r w:rsidRPr="00511D65">
        <w:rPr>
          <w:rFonts w:ascii="Verdana" w:hAnsi="Verdana"/>
          <w:color w:val="000000"/>
          <w:sz w:val="16"/>
          <w:szCs w:val="16"/>
          <w:lang w:val="es-ES"/>
        </w:rPr>
        <w:t xml:space="preserve"> </w:t>
      </w:r>
      <w:r w:rsidRPr="00511D65">
        <w:rPr>
          <w:rFonts w:ascii="Verdana" w:hAnsi="Verdana"/>
          <w:noProof/>
          <w:color w:val="000000"/>
          <w:sz w:val="16"/>
          <w:szCs w:val="16"/>
          <w:lang w:val="es-ES"/>
        </w:rPr>
        <w:t xml:space="preserve">Serie C No. 54, párr. 37, </w:t>
      </w:r>
      <w:r w:rsidRPr="00511D65">
        <w:rPr>
          <w:rFonts w:ascii="Verdana" w:hAnsi="Verdana"/>
          <w:bCs/>
          <w:color w:val="000000"/>
          <w:sz w:val="16"/>
          <w:szCs w:val="16"/>
          <w:lang w:bidi="en-US"/>
        </w:rPr>
        <w:t>y</w:t>
      </w:r>
      <w:r w:rsidRPr="00511D65">
        <w:rPr>
          <w:rFonts w:ascii="Verdana" w:hAnsi="Verdana"/>
          <w:sz w:val="16"/>
          <w:szCs w:val="16"/>
        </w:rPr>
        <w:t xml:space="preserve"> </w:t>
      </w:r>
      <w:r w:rsidR="001603B0">
        <w:rPr>
          <w:rFonts w:ascii="Verdana" w:hAnsi="Verdana"/>
          <w:bCs/>
          <w:i/>
          <w:color w:val="000000"/>
          <w:sz w:val="16"/>
          <w:szCs w:val="16"/>
          <w:lang w:val="es-AR"/>
        </w:rPr>
        <w:t>Caso de las Comunidades Afrodescendientes desplazadas de la cuenca del Río Ca</w:t>
      </w:r>
      <w:r w:rsidR="00CA57FE">
        <w:rPr>
          <w:rFonts w:ascii="Verdana" w:hAnsi="Verdana"/>
          <w:bCs/>
          <w:i/>
          <w:color w:val="000000"/>
          <w:sz w:val="16"/>
          <w:szCs w:val="16"/>
          <w:lang w:val="es-AR"/>
        </w:rPr>
        <w:t>ca</w:t>
      </w:r>
      <w:r w:rsidR="001603B0">
        <w:rPr>
          <w:rFonts w:ascii="Verdana" w:hAnsi="Verdana"/>
          <w:bCs/>
          <w:i/>
          <w:color w:val="000000"/>
          <w:sz w:val="16"/>
          <w:szCs w:val="16"/>
          <w:lang w:val="es-AR"/>
        </w:rPr>
        <w:t xml:space="preserve">rica (Operación Génesis) Vs. Colombia. </w:t>
      </w:r>
      <w:r w:rsidR="001603B0" w:rsidRPr="001603B0">
        <w:rPr>
          <w:rFonts w:ascii="Verdana" w:hAnsi="Verdana"/>
          <w:bCs/>
          <w:color w:val="000000"/>
          <w:sz w:val="16"/>
          <w:szCs w:val="16"/>
          <w:lang w:val="es-AR"/>
        </w:rPr>
        <w:t>Supervisión de Cumplimiento de Sentencia.</w:t>
      </w:r>
      <w:r w:rsidR="001603B0">
        <w:rPr>
          <w:rFonts w:ascii="Verdana" w:hAnsi="Verdana"/>
          <w:bCs/>
          <w:i/>
          <w:color w:val="000000"/>
          <w:sz w:val="16"/>
          <w:szCs w:val="16"/>
          <w:lang w:val="es-AR"/>
        </w:rPr>
        <w:t xml:space="preserve"> </w:t>
      </w:r>
      <w:r w:rsidR="001603B0">
        <w:rPr>
          <w:rFonts w:ascii="Verdana" w:hAnsi="Verdana"/>
          <w:bCs/>
          <w:color w:val="000000"/>
          <w:sz w:val="16"/>
          <w:szCs w:val="16"/>
          <w:lang w:val="es-AR"/>
        </w:rPr>
        <w:t>Resolución de la Corte Interamericana de Derechos Humanos de 20 de octubre de 2016, Considerando 2.</w:t>
      </w:r>
    </w:p>
  </w:footnote>
  <w:footnote w:id="7">
    <w:p w:rsidR="009F2127" w:rsidRPr="00306F71" w:rsidRDefault="009F2127" w:rsidP="00F571F2">
      <w:pPr>
        <w:pStyle w:val="Textonotapie"/>
        <w:jc w:val="both"/>
      </w:pPr>
      <w:r w:rsidRPr="00643E9A">
        <w:rPr>
          <w:rStyle w:val="Refdenotaalpie"/>
          <w:rFonts w:ascii="Verdana" w:hAnsi="Verdana"/>
          <w:sz w:val="16"/>
          <w:szCs w:val="16"/>
        </w:rPr>
        <w:footnoteRef/>
      </w:r>
      <w:r w:rsidRPr="00643E9A">
        <w:rPr>
          <w:rFonts w:ascii="Verdana" w:hAnsi="Verdana"/>
          <w:sz w:val="16"/>
          <w:szCs w:val="16"/>
        </w:rPr>
        <w:t xml:space="preserve"> </w:t>
      </w:r>
      <w:r>
        <w:rPr>
          <w:rFonts w:ascii="Verdana" w:hAnsi="Verdana"/>
          <w:sz w:val="16"/>
          <w:szCs w:val="16"/>
        </w:rPr>
        <w:tab/>
      </w:r>
      <w:r w:rsidRPr="00643E9A">
        <w:rPr>
          <w:rFonts w:ascii="Verdana" w:hAnsi="Verdana"/>
          <w:sz w:val="16"/>
          <w:szCs w:val="16"/>
        </w:rPr>
        <w:t>El resto de las reparaciones ordenadas en la Sentencia, las cuales se encuentran pendiente de cumplimiento, son</w:t>
      </w:r>
      <w:r w:rsidRPr="00DA780F">
        <w:rPr>
          <w:rFonts w:ascii="Verdana" w:hAnsi="Verdana"/>
          <w:sz w:val="16"/>
          <w:szCs w:val="16"/>
        </w:rPr>
        <w:t xml:space="preserve">: a) efectuar, a la mayor brevedad, una búsqueda seria, en la cual realice todos los esfuerzos para determinar el paradero de Edgar Fernando García a la mayor brevedad; b) realizar las publicaciones de la Sentencia indicadas en los párrafos </w:t>
      </w:r>
      <w:r w:rsidR="0015565B" w:rsidRPr="00DA780F">
        <w:rPr>
          <w:rFonts w:ascii="Verdana" w:hAnsi="Verdana"/>
          <w:sz w:val="16"/>
          <w:szCs w:val="16"/>
        </w:rPr>
        <w:t xml:space="preserve">201 a 203 </w:t>
      </w:r>
      <w:r w:rsidRPr="00DA780F">
        <w:rPr>
          <w:rFonts w:ascii="Verdana" w:hAnsi="Verdana"/>
          <w:sz w:val="16"/>
          <w:szCs w:val="16"/>
        </w:rPr>
        <w:t xml:space="preserve">de la misma; c) </w:t>
      </w:r>
      <w:r w:rsidRPr="00DA780F">
        <w:rPr>
          <w:rFonts w:ascii="Verdana" w:eastAsia="Calibri" w:hAnsi="Verdana"/>
          <w:sz w:val="16"/>
          <w:szCs w:val="16"/>
        </w:rPr>
        <w:t xml:space="preserve">realizar un acto público de reconocimiento de responsabilidad internacional por los hechos del presente caso; d) </w:t>
      </w:r>
      <w:r w:rsidRPr="00DA780F">
        <w:rPr>
          <w:rFonts w:ascii="Verdana" w:hAnsi="Verdana"/>
          <w:sz w:val="16"/>
          <w:szCs w:val="16"/>
        </w:rPr>
        <w:t>impulsar</w:t>
      </w:r>
      <w:r w:rsidRPr="00643E9A">
        <w:rPr>
          <w:rFonts w:ascii="Verdana" w:hAnsi="Verdana"/>
          <w:sz w:val="16"/>
          <w:szCs w:val="16"/>
        </w:rPr>
        <w:t xml:space="preserve"> la iniciativa denominada “Memorial par</w:t>
      </w:r>
      <w:r w:rsidRPr="00DA780F">
        <w:rPr>
          <w:rFonts w:ascii="Verdana" w:hAnsi="Verdana"/>
          <w:sz w:val="16"/>
          <w:szCs w:val="16"/>
        </w:rPr>
        <w:t xml:space="preserve">a la Concordia”, a través de la cual debe promover la construcción de espacios memorístico-culturales en los cuales se dignifique la memoria de las víctimas de violaciones de derechos humanos del conflicto armado interno; e) incluir el nombre del señor Edgar Fernando García en la placa que se coloque en el parque o plaza que se construya en cumplimiento de lo ordenado en el punto resolutivo séptimo de la Sentencia del caso </w:t>
      </w:r>
      <w:r w:rsidRPr="00DA780F">
        <w:rPr>
          <w:rFonts w:ascii="Verdana" w:hAnsi="Verdana"/>
          <w:i/>
          <w:sz w:val="16"/>
          <w:szCs w:val="16"/>
        </w:rPr>
        <w:t xml:space="preserve">Gudiel Álvarez y otros (“Diario Militar”) vs. Guatemala; </w:t>
      </w:r>
      <w:r w:rsidRPr="00DA780F">
        <w:rPr>
          <w:rFonts w:ascii="Verdana" w:hAnsi="Verdana"/>
          <w:sz w:val="16"/>
          <w:szCs w:val="16"/>
        </w:rPr>
        <w:t>f) impulsar el cambio de nombre de la escuela pública “Julia Ydigoras Fuentes” por el de Edgar Fernando García; g) entregar diez “bolsas de estudio” para ser designados por los familiares de Edgar Fernando García a hijos o nietos de personas desaparecidas forzadamente; y h) impulsar la aprobación del proyecto de ley para la creación de la Comisión Nacional de Búsqueda de Personas Víctimas de Desaparición Forzada y otras Formas de Desaparición.</w:t>
      </w:r>
    </w:p>
  </w:footnote>
  <w:footnote w:id="8">
    <w:p w:rsidR="00ED1AC7" w:rsidRPr="00ED1AC7" w:rsidRDefault="00ED1AC7" w:rsidP="00ED1AC7">
      <w:pPr>
        <w:pStyle w:val="Textonotapie"/>
        <w:jc w:val="both"/>
        <w:rPr>
          <w:rFonts w:ascii="Verdana" w:hAnsi="Verdana"/>
          <w:sz w:val="16"/>
          <w:szCs w:val="16"/>
        </w:rPr>
      </w:pPr>
      <w:r w:rsidRPr="00ED1AC7">
        <w:rPr>
          <w:rStyle w:val="Refdenotaalpie"/>
          <w:rFonts w:ascii="Verdana" w:hAnsi="Verdana"/>
          <w:sz w:val="16"/>
          <w:szCs w:val="16"/>
        </w:rPr>
        <w:footnoteRef/>
      </w:r>
      <w:r w:rsidRPr="00ED1AC7">
        <w:rPr>
          <w:rFonts w:ascii="Verdana" w:hAnsi="Verdana"/>
          <w:sz w:val="16"/>
          <w:szCs w:val="16"/>
        </w:rPr>
        <w:t xml:space="preserve"> </w:t>
      </w:r>
      <w:r w:rsidRPr="00ED1AC7">
        <w:rPr>
          <w:rFonts w:ascii="Verdana" w:hAnsi="Verdana"/>
          <w:sz w:val="16"/>
          <w:szCs w:val="16"/>
        </w:rPr>
        <w:tab/>
      </w:r>
      <w:r w:rsidRPr="00ED1AC7">
        <w:rPr>
          <w:rStyle w:val="Textoennegrita"/>
          <w:rFonts w:ascii="Verdana" w:hAnsi="Verdana"/>
          <w:b w:val="0"/>
          <w:i/>
          <w:sz w:val="16"/>
          <w:szCs w:val="16"/>
        </w:rPr>
        <w:t>Caso García y familiares Vs. Guatemala</w:t>
      </w:r>
      <w:r w:rsidRPr="00ED1AC7">
        <w:rPr>
          <w:rStyle w:val="Textoennegrita"/>
          <w:rFonts w:ascii="Verdana" w:hAnsi="Verdana"/>
          <w:b w:val="0"/>
          <w:sz w:val="16"/>
          <w:szCs w:val="16"/>
        </w:rPr>
        <w:t xml:space="preserve">. </w:t>
      </w:r>
      <w:r w:rsidRPr="00ED1AC7">
        <w:rPr>
          <w:rStyle w:val="Textoennegrita"/>
          <w:rFonts w:ascii="Verdana" w:hAnsi="Verdana"/>
          <w:b w:val="0"/>
          <w:i/>
          <w:sz w:val="16"/>
          <w:szCs w:val="16"/>
        </w:rPr>
        <w:t>Fondo, Reparaciones y Costas.</w:t>
      </w:r>
      <w:r w:rsidRPr="00ED1AC7">
        <w:rPr>
          <w:rStyle w:val="Textoennegrita"/>
          <w:rFonts w:ascii="Verdana" w:hAnsi="Verdana"/>
          <w:b w:val="0"/>
          <w:sz w:val="16"/>
          <w:szCs w:val="16"/>
        </w:rPr>
        <w:t xml:space="preserve"> Sentencia de 29 noviembre de 2012</w:t>
      </w:r>
      <w:r>
        <w:rPr>
          <w:rStyle w:val="Textoennegrita"/>
          <w:rFonts w:ascii="Verdana" w:hAnsi="Verdana"/>
          <w:b w:val="0"/>
          <w:sz w:val="16"/>
          <w:szCs w:val="16"/>
        </w:rPr>
        <w:t>.</w:t>
      </w:r>
      <w:r w:rsidRPr="00ED1AC7">
        <w:rPr>
          <w:rStyle w:val="Textoennegrita"/>
          <w:rFonts w:ascii="Verdana" w:hAnsi="Verdana"/>
          <w:b w:val="0"/>
          <w:sz w:val="16"/>
          <w:szCs w:val="16"/>
        </w:rPr>
        <w:t xml:space="preserve"> Serie C No. 258, </w:t>
      </w:r>
      <w:r w:rsidRPr="00ED1AC7">
        <w:rPr>
          <w:rFonts w:ascii="Verdana" w:hAnsi="Verdana"/>
          <w:sz w:val="16"/>
          <w:szCs w:val="16"/>
        </w:rPr>
        <w:t>párr</w:t>
      </w:r>
      <w:r>
        <w:rPr>
          <w:rFonts w:ascii="Verdana" w:hAnsi="Verdana"/>
          <w:sz w:val="16"/>
          <w:szCs w:val="16"/>
        </w:rPr>
        <w:t>. 196.</w:t>
      </w:r>
    </w:p>
  </w:footnote>
  <w:footnote w:id="9">
    <w:p w:rsidR="0065358B" w:rsidRPr="004A1D54" w:rsidRDefault="0065358B" w:rsidP="00BA1958">
      <w:pPr>
        <w:pStyle w:val="Textonotapie"/>
        <w:jc w:val="both"/>
        <w:rPr>
          <w:rFonts w:ascii="Verdana" w:hAnsi="Verdana"/>
          <w:sz w:val="16"/>
          <w:szCs w:val="16"/>
        </w:rPr>
      </w:pPr>
      <w:r w:rsidRPr="004A1D54">
        <w:rPr>
          <w:rStyle w:val="Refdenotaalpie"/>
          <w:rFonts w:ascii="Verdana" w:hAnsi="Verdana"/>
          <w:sz w:val="16"/>
          <w:szCs w:val="16"/>
        </w:rPr>
        <w:footnoteRef/>
      </w:r>
      <w:r w:rsidRPr="004A1D54">
        <w:rPr>
          <w:rFonts w:ascii="Verdana" w:hAnsi="Verdana"/>
          <w:sz w:val="16"/>
          <w:szCs w:val="16"/>
        </w:rPr>
        <w:t xml:space="preserve"> </w:t>
      </w:r>
      <w:r w:rsidRPr="004A1D54">
        <w:rPr>
          <w:rFonts w:ascii="Verdana" w:hAnsi="Verdana"/>
          <w:sz w:val="16"/>
          <w:szCs w:val="16"/>
        </w:rPr>
        <w:tab/>
      </w:r>
      <w:r w:rsidR="00BA1958" w:rsidRPr="00251851">
        <w:rPr>
          <w:rStyle w:val="Textoennegrita"/>
          <w:rFonts w:ascii="Verdana" w:hAnsi="Verdana"/>
          <w:b w:val="0"/>
          <w:i/>
          <w:sz w:val="16"/>
          <w:szCs w:val="16"/>
        </w:rPr>
        <w:t>Caso García y familiares Vs. Guatemala</w:t>
      </w:r>
      <w:r w:rsidR="00BA1958" w:rsidRPr="00251851">
        <w:rPr>
          <w:rStyle w:val="Textoennegrita"/>
          <w:rFonts w:ascii="Verdana" w:hAnsi="Verdana"/>
          <w:b w:val="0"/>
          <w:sz w:val="16"/>
          <w:szCs w:val="16"/>
        </w:rPr>
        <w:t xml:space="preserve">. </w:t>
      </w:r>
      <w:r w:rsidR="00BA1958" w:rsidRPr="00ED1AC7">
        <w:rPr>
          <w:rStyle w:val="Textoennegrita"/>
          <w:rFonts w:ascii="Verdana" w:hAnsi="Verdana"/>
          <w:b w:val="0"/>
          <w:i/>
          <w:sz w:val="16"/>
          <w:szCs w:val="16"/>
        </w:rPr>
        <w:t>Fondo</w:t>
      </w:r>
      <w:r w:rsidR="00ED1AC7" w:rsidRPr="00ED1AC7">
        <w:rPr>
          <w:rStyle w:val="Textoennegrita"/>
          <w:rFonts w:ascii="Verdana" w:hAnsi="Verdana"/>
          <w:b w:val="0"/>
          <w:i/>
          <w:sz w:val="16"/>
          <w:szCs w:val="16"/>
        </w:rPr>
        <w:t>,</w:t>
      </w:r>
      <w:r w:rsidR="00BA1958" w:rsidRPr="00ED1AC7">
        <w:rPr>
          <w:rStyle w:val="Textoennegrita"/>
          <w:rFonts w:ascii="Verdana" w:hAnsi="Verdana"/>
          <w:b w:val="0"/>
          <w:i/>
          <w:sz w:val="16"/>
          <w:szCs w:val="16"/>
        </w:rPr>
        <w:t xml:space="preserve"> Reparaciones y Costas</w:t>
      </w:r>
      <w:r w:rsidR="00BA1958" w:rsidRPr="00251851">
        <w:rPr>
          <w:rStyle w:val="Textoennegrita"/>
          <w:rFonts w:ascii="Verdana" w:hAnsi="Verdana"/>
          <w:b w:val="0"/>
          <w:sz w:val="16"/>
          <w:szCs w:val="16"/>
        </w:rPr>
        <w:t>. Sentencia de 29 noviembre de 2012</w:t>
      </w:r>
      <w:r w:rsidR="00ED1AC7">
        <w:rPr>
          <w:rStyle w:val="Textoennegrita"/>
          <w:rFonts w:ascii="Verdana" w:hAnsi="Verdana"/>
          <w:b w:val="0"/>
          <w:sz w:val="16"/>
          <w:szCs w:val="16"/>
        </w:rPr>
        <w:t>.</w:t>
      </w:r>
      <w:r w:rsidR="00BA1958" w:rsidRPr="00251851">
        <w:rPr>
          <w:rStyle w:val="Textoennegrita"/>
          <w:rFonts w:ascii="Verdana" w:hAnsi="Verdana"/>
          <w:b w:val="0"/>
          <w:sz w:val="16"/>
          <w:szCs w:val="16"/>
        </w:rPr>
        <w:t xml:space="preserve"> Serie C No. 258, </w:t>
      </w:r>
      <w:r w:rsidR="00BA1958" w:rsidRPr="00251851">
        <w:rPr>
          <w:rFonts w:ascii="Verdana" w:hAnsi="Verdana"/>
          <w:sz w:val="16"/>
          <w:szCs w:val="16"/>
        </w:rPr>
        <w:t>p</w:t>
      </w:r>
      <w:r w:rsidRPr="00251851">
        <w:rPr>
          <w:rFonts w:ascii="Verdana" w:hAnsi="Verdana"/>
          <w:sz w:val="16"/>
          <w:szCs w:val="16"/>
        </w:rPr>
        <w:t>árrs. 147, 151 y 154.</w:t>
      </w:r>
      <w:r w:rsidRPr="00BA1958">
        <w:rPr>
          <w:rFonts w:ascii="Verdana" w:hAnsi="Verdana"/>
          <w:sz w:val="16"/>
          <w:szCs w:val="16"/>
        </w:rPr>
        <w:t xml:space="preserve"> </w:t>
      </w:r>
    </w:p>
  </w:footnote>
  <w:footnote w:id="10">
    <w:p w:rsidR="0065358B" w:rsidRPr="00A2152B" w:rsidRDefault="0065358B" w:rsidP="0065358B">
      <w:pPr>
        <w:pStyle w:val="Textonotapie"/>
        <w:rPr>
          <w:rFonts w:ascii="Verdana" w:hAnsi="Verdana"/>
          <w:sz w:val="16"/>
          <w:szCs w:val="16"/>
        </w:rPr>
      </w:pPr>
      <w:r w:rsidRPr="00A2152B">
        <w:rPr>
          <w:rStyle w:val="Refdenotaalpie"/>
          <w:rFonts w:ascii="Verdana" w:hAnsi="Verdana"/>
          <w:sz w:val="16"/>
          <w:szCs w:val="16"/>
        </w:rPr>
        <w:footnoteRef/>
      </w:r>
      <w:r w:rsidRPr="00A2152B">
        <w:rPr>
          <w:rFonts w:ascii="Verdana" w:hAnsi="Verdana"/>
          <w:sz w:val="16"/>
          <w:szCs w:val="16"/>
        </w:rPr>
        <w:t xml:space="preserve"> </w:t>
      </w:r>
      <w:r w:rsidRPr="00A2152B">
        <w:rPr>
          <w:rFonts w:ascii="Verdana" w:hAnsi="Verdana"/>
          <w:sz w:val="16"/>
          <w:szCs w:val="16"/>
        </w:rPr>
        <w:tab/>
      </w:r>
      <w:r w:rsidR="008F64D8" w:rsidRPr="00251851">
        <w:rPr>
          <w:rStyle w:val="Textoennegrita"/>
          <w:rFonts w:ascii="Verdana" w:hAnsi="Verdana"/>
          <w:b w:val="0"/>
          <w:i/>
          <w:sz w:val="16"/>
          <w:szCs w:val="16"/>
        </w:rPr>
        <w:t>Caso García y familiares Vs. Guatemala</w:t>
      </w:r>
      <w:r w:rsidR="008F64D8" w:rsidRPr="00251851">
        <w:rPr>
          <w:rStyle w:val="Textoennegrita"/>
          <w:rFonts w:ascii="Verdana" w:hAnsi="Verdana"/>
          <w:b w:val="0"/>
          <w:sz w:val="16"/>
          <w:szCs w:val="16"/>
        </w:rPr>
        <w:t xml:space="preserve">. </w:t>
      </w:r>
      <w:r w:rsidR="008F64D8" w:rsidRPr="00ED1AC7">
        <w:rPr>
          <w:rStyle w:val="Textoennegrita"/>
          <w:rFonts w:ascii="Verdana" w:hAnsi="Verdana"/>
          <w:b w:val="0"/>
          <w:i/>
          <w:sz w:val="16"/>
          <w:szCs w:val="16"/>
        </w:rPr>
        <w:t>Fondo</w:t>
      </w:r>
      <w:r w:rsidR="00ED1AC7" w:rsidRPr="00ED1AC7">
        <w:rPr>
          <w:rStyle w:val="Textoennegrita"/>
          <w:rFonts w:ascii="Verdana" w:hAnsi="Verdana"/>
          <w:b w:val="0"/>
          <w:i/>
          <w:sz w:val="16"/>
          <w:szCs w:val="16"/>
        </w:rPr>
        <w:t>,</w:t>
      </w:r>
      <w:r w:rsidR="008F64D8" w:rsidRPr="00ED1AC7">
        <w:rPr>
          <w:rStyle w:val="Textoennegrita"/>
          <w:rFonts w:ascii="Verdana" w:hAnsi="Verdana"/>
          <w:b w:val="0"/>
          <w:i/>
          <w:sz w:val="16"/>
          <w:szCs w:val="16"/>
        </w:rPr>
        <w:t xml:space="preserve"> Reparaciones y Costas</w:t>
      </w:r>
      <w:r w:rsidR="008F64D8" w:rsidRPr="00251851">
        <w:rPr>
          <w:rStyle w:val="Textoennegrita"/>
          <w:rFonts w:ascii="Verdana" w:hAnsi="Verdana"/>
          <w:b w:val="0"/>
          <w:sz w:val="16"/>
          <w:szCs w:val="16"/>
        </w:rPr>
        <w:t>. Sentencia de 29 noviembre de 2012</w:t>
      </w:r>
      <w:r w:rsidR="00ED1AC7">
        <w:rPr>
          <w:rStyle w:val="Textoennegrita"/>
          <w:rFonts w:ascii="Verdana" w:hAnsi="Verdana"/>
          <w:b w:val="0"/>
          <w:sz w:val="16"/>
          <w:szCs w:val="16"/>
        </w:rPr>
        <w:t>.</w:t>
      </w:r>
      <w:r w:rsidR="008F64D8" w:rsidRPr="00251851">
        <w:rPr>
          <w:rStyle w:val="Textoennegrita"/>
          <w:rFonts w:ascii="Verdana" w:hAnsi="Verdana"/>
          <w:b w:val="0"/>
          <w:sz w:val="16"/>
          <w:szCs w:val="16"/>
        </w:rPr>
        <w:t xml:space="preserve"> Serie C No. 258, </w:t>
      </w:r>
      <w:r w:rsidR="008F64D8" w:rsidRPr="00251851">
        <w:rPr>
          <w:rFonts w:ascii="Verdana" w:hAnsi="Verdana"/>
          <w:sz w:val="16"/>
          <w:szCs w:val="16"/>
        </w:rPr>
        <w:t>p</w:t>
      </w:r>
      <w:r w:rsidRPr="00251851">
        <w:rPr>
          <w:rFonts w:ascii="Verdana" w:hAnsi="Verdana"/>
          <w:sz w:val="16"/>
          <w:szCs w:val="16"/>
        </w:rPr>
        <w:t>árr. 155.</w:t>
      </w:r>
      <w:r w:rsidRPr="00A2152B">
        <w:rPr>
          <w:rFonts w:ascii="Verdana" w:hAnsi="Verdana"/>
          <w:sz w:val="16"/>
          <w:szCs w:val="16"/>
        </w:rPr>
        <w:t xml:space="preserve"> </w:t>
      </w:r>
    </w:p>
  </w:footnote>
  <w:footnote w:id="11">
    <w:p w:rsidR="009F2127" w:rsidRPr="00567890" w:rsidRDefault="009F2127" w:rsidP="00581B46">
      <w:pPr>
        <w:pStyle w:val="Textonotapie"/>
        <w:jc w:val="both"/>
      </w:pPr>
      <w:r w:rsidRPr="00567890">
        <w:rPr>
          <w:rStyle w:val="Refdenotaalpie"/>
          <w:rFonts w:ascii="Verdana" w:hAnsi="Verdana"/>
          <w:sz w:val="16"/>
          <w:szCs w:val="16"/>
        </w:rPr>
        <w:footnoteRef/>
      </w:r>
      <w:r w:rsidRPr="00567890">
        <w:rPr>
          <w:rFonts w:ascii="Verdana" w:hAnsi="Verdana"/>
          <w:sz w:val="16"/>
          <w:szCs w:val="16"/>
        </w:rPr>
        <w:t xml:space="preserve"> </w:t>
      </w:r>
      <w:r>
        <w:rPr>
          <w:rFonts w:ascii="Verdana" w:hAnsi="Verdana"/>
          <w:sz w:val="16"/>
          <w:szCs w:val="16"/>
        </w:rPr>
        <w:tab/>
      </w:r>
      <w:r w:rsidR="00ED1AC7" w:rsidRPr="00C77842">
        <w:rPr>
          <w:rFonts w:ascii="Verdana" w:hAnsi="Verdana"/>
          <w:sz w:val="16"/>
          <w:szCs w:val="16"/>
        </w:rPr>
        <w:t xml:space="preserve">Héctor Roderico Ramírez Ríos y Abraham Lancerio Gómez, identificados como agentes captores y actualmente en prisión. </w:t>
      </w:r>
      <w:r w:rsidRPr="00567890">
        <w:rPr>
          <w:rFonts w:ascii="Verdana" w:hAnsi="Verdana"/>
          <w:sz w:val="16"/>
          <w:szCs w:val="16"/>
        </w:rPr>
        <w:t xml:space="preserve">En la referida sentencia condenatoria se les impuso </w:t>
      </w:r>
      <w:r w:rsidRPr="00567890">
        <w:rPr>
          <w:rFonts w:ascii="Verdana" w:hAnsi="Verdana"/>
          <w:sz w:val="16"/>
          <w:szCs w:val="16"/>
          <w:lang w:val="es-ES"/>
        </w:rPr>
        <w:t>la pena de cuarenta años de prisión inconmutables</w:t>
      </w:r>
      <w:r>
        <w:rPr>
          <w:rFonts w:ascii="Verdana" w:hAnsi="Verdana"/>
          <w:sz w:val="16"/>
          <w:szCs w:val="16"/>
          <w:lang w:val="es-ES"/>
        </w:rPr>
        <w:t>.</w:t>
      </w:r>
      <w:r w:rsidRPr="00567890">
        <w:rPr>
          <w:rFonts w:ascii="Verdana" w:hAnsi="Verdana"/>
          <w:sz w:val="16"/>
          <w:szCs w:val="16"/>
          <w:lang w:val="es-ES"/>
        </w:rPr>
        <w:t xml:space="preserve"> </w:t>
      </w:r>
    </w:p>
  </w:footnote>
  <w:footnote w:id="12">
    <w:p w:rsidR="009F2127" w:rsidRPr="00C77842" w:rsidRDefault="009F2127" w:rsidP="00581B46">
      <w:pPr>
        <w:pStyle w:val="Textonotapie"/>
        <w:jc w:val="both"/>
        <w:rPr>
          <w:b/>
        </w:rPr>
      </w:pPr>
      <w:r w:rsidRPr="008D513A">
        <w:rPr>
          <w:rStyle w:val="Refdenotaalpie"/>
          <w:rFonts w:ascii="Verdana" w:hAnsi="Verdana"/>
          <w:sz w:val="16"/>
          <w:szCs w:val="16"/>
        </w:rPr>
        <w:footnoteRef/>
      </w:r>
      <w:r w:rsidRPr="008D513A">
        <w:rPr>
          <w:rFonts w:ascii="Verdana" w:hAnsi="Verdana"/>
          <w:sz w:val="16"/>
          <w:szCs w:val="16"/>
        </w:rPr>
        <w:t xml:space="preserve"> </w:t>
      </w:r>
      <w:r w:rsidRPr="008D513A">
        <w:rPr>
          <w:rFonts w:ascii="Verdana" w:hAnsi="Verdana"/>
          <w:sz w:val="16"/>
          <w:szCs w:val="16"/>
        </w:rPr>
        <w:tab/>
      </w:r>
      <w:r w:rsidR="000554A8" w:rsidRPr="008D513A">
        <w:rPr>
          <w:rFonts w:ascii="Verdana" w:hAnsi="Verdana"/>
          <w:sz w:val="16"/>
          <w:szCs w:val="16"/>
        </w:rPr>
        <w:t xml:space="preserve">Dos agentes </w:t>
      </w:r>
      <w:r w:rsidR="00652D44" w:rsidRPr="008D513A">
        <w:rPr>
          <w:rFonts w:ascii="Verdana" w:hAnsi="Verdana"/>
          <w:sz w:val="16"/>
          <w:szCs w:val="16"/>
        </w:rPr>
        <w:t xml:space="preserve">de la Policía Nacional </w:t>
      </w:r>
      <w:r w:rsidRPr="008D513A">
        <w:rPr>
          <w:rFonts w:ascii="Verdana" w:hAnsi="Verdana"/>
          <w:sz w:val="16"/>
          <w:szCs w:val="16"/>
        </w:rPr>
        <w:t>identificados como agentes captores y en contra de los cuales existe orden de aprehensión</w:t>
      </w:r>
      <w:r w:rsidR="009A23C6">
        <w:rPr>
          <w:rFonts w:ascii="Verdana" w:hAnsi="Verdana"/>
          <w:sz w:val="16"/>
          <w:szCs w:val="16"/>
        </w:rPr>
        <w:t>.</w:t>
      </w:r>
      <w:r w:rsidRPr="008D513A">
        <w:rPr>
          <w:rFonts w:ascii="Verdana" w:hAnsi="Verdana"/>
          <w:sz w:val="16"/>
          <w:szCs w:val="16"/>
        </w:rPr>
        <w:t xml:space="preserve"> </w:t>
      </w:r>
    </w:p>
  </w:footnote>
  <w:footnote w:id="13">
    <w:p w:rsidR="00590034" w:rsidRPr="00590034" w:rsidRDefault="00590034">
      <w:pPr>
        <w:pStyle w:val="Textonotapie"/>
        <w:rPr>
          <w:rFonts w:ascii="Verdana" w:hAnsi="Verdana"/>
          <w:sz w:val="16"/>
          <w:szCs w:val="16"/>
        </w:rPr>
      </w:pPr>
      <w:r w:rsidRPr="00590034">
        <w:rPr>
          <w:rStyle w:val="Refdenotaalpie"/>
          <w:rFonts w:ascii="Verdana" w:hAnsi="Verdana"/>
          <w:sz w:val="16"/>
          <w:szCs w:val="16"/>
        </w:rPr>
        <w:footnoteRef/>
      </w:r>
      <w:r w:rsidRPr="00590034">
        <w:rPr>
          <w:rFonts w:ascii="Verdana" w:hAnsi="Verdana"/>
          <w:sz w:val="16"/>
          <w:szCs w:val="16"/>
        </w:rPr>
        <w:t xml:space="preserve"> </w:t>
      </w:r>
      <w:r w:rsidRPr="00590034">
        <w:rPr>
          <w:rFonts w:ascii="Verdana" w:hAnsi="Verdana"/>
          <w:sz w:val="16"/>
          <w:szCs w:val="16"/>
        </w:rPr>
        <w:tab/>
      </w:r>
      <w:r w:rsidR="000E5023" w:rsidRPr="00251851">
        <w:rPr>
          <w:rStyle w:val="Textoennegrita"/>
          <w:rFonts w:ascii="Verdana" w:hAnsi="Verdana"/>
          <w:b w:val="0"/>
          <w:i/>
          <w:sz w:val="16"/>
          <w:szCs w:val="16"/>
        </w:rPr>
        <w:t>Caso García y familiares Vs. Guatemala</w:t>
      </w:r>
      <w:r w:rsidR="000E5023" w:rsidRPr="00251851">
        <w:rPr>
          <w:rStyle w:val="Textoennegrita"/>
          <w:rFonts w:ascii="Verdana" w:hAnsi="Verdana"/>
          <w:b w:val="0"/>
          <w:sz w:val="16"/>
          <w:szCs w:val="16"/>
        </w:rPr>
        <w:t xml:space="preserve">. </w:t>
      </w:r>
      <w:r w:rsidR="000E5023" w:rsidRPr="00ED1AC7">
        <w:rPr>
          <w:rStyle w:val="Textoennegrita"/>
          <w:rFonts w:ascii="Verdana" w:hAnsi="Verdana"/>
          <w:b w:val="0"/>
          <w:i/>
          <w:sz w:val="16"/>
          <w:szCs w:val="16"/>
        </w:rPr>
        <w:t>Fondo</w:t>
      </w:r>
      <w:r w:rsidR="00ED1AC7" w:rsidRPr="00ED1AC7">
        <w:rPr>
          <w:rStyle w:val="Textoennegrita"/>
          <w:rFonts w:ascii="Verdana" w:hAnsi="Verdana"/>
          <w:b w:val="0"/>
          <w:i/>
          <w:sz w:val="16"/>
          <w:szCs w:val="16"/>
        </w:rPr>
        <w:t>,</w:t>
      </w:r>
      <w:r w:rsidR="000E5023" w:rsidRPr="00ED1AC7">
        <w:rPr>
          <w:rStyle w:val="Textoennegrita"/>
          <w:rFonts w:ascii="Verdana" w:hAnsi="Verdana"/>
          <w:b w:val="0"/>
          <w:i/>
          <w:sz w:val="16"/>
          <w:szCs w:val="16"/>
        </w:rPr>
        <w:t xml:space="preserve"> Reparaciones y Costas</w:t>
      </w:r>
      <w:r w:rsidR="000E5023" w:rsidRPr="00251851">
        <w:rPr>
          <w:rStyle w:val="Textoennegrita"/>
          <w:rFonts w:ascii="Verdana" w:hAnsi="Verdana"/>
          <w:b w:val="0"/>
          <w:sz w:val="16"/>
          <w:szCs w:val="16"/>
        </w:rPr>
        <w:t>. Sentencia de 29 noviembre de 2012</w:t>
      </w:r>
      <w:r w:rsidR="00ED1AC7">
        <w:rPr>
          <w:rStyle w:val="Textoennegrita"/>
          <w:rFonts w:ascii="Verdana" w:hAnsi="Verdana"/>
          <w:b w:val="0"/>
          <w:sz w:val="16"/>
          <w:szCs w:val="16"/>
        </w:rPr>
        <w:t>.</w:t>
      </w:r>
      <w:r w:rsidR="000E5023" w:rsidRPr="00251851">
        <w:rPr>
          <w:rStyle w:val="Textoennegrita"/>
          <w:rFonts w:ascii="Verdana" w:hAnsi="Verdana"/>
          <w:b w:val="0"/>
          <w:sz w:val="16"/>
          <w:szCs w:val="16"/>
        </w:rPr>
        <w:t xml:space="preserve"> Serie C No. 258, </w:t>
      </w:r>
      <w:r w:rsidR="00ED1AC7">
        <w:rPr>
          <w:rFonts w:ascii="Verdana" w:hAnsi="Verdana"/>
          <w:sz w:val="16"/>
          <w:szCs w:val="16"/>
        </w:rPr>
        <w:t>p</w:t>
      </w:r>
      <w:r w:rsidRPr="00251851">
        <w:rPr>
          <w:rFonts w:ascii="Verdana" w:hAnsi="Verdana"/>
          <w:sz w:val="16"/>
          <w:szCs w:val="16"/>
        </w:rPr>
        <w:t>árr. 128</w:t>
      </w:r>
      <w:r w:rsidR="000E5023" w:rsidRPr="00251851">
        <w:rPr>
          <w:rFonts w:ascii="Verdana" w:hAnsi="Verdana"/>
          <w:sz w:val="16"/>
          <w:szCs w:val="16"/>
        </w:rPr>
        <w:t>.</w:t>
      </w:r>
      <w:r w:rsidR="000E5023" w:rsidRPr="00A2152B">
        <w:rPr>
          <w:rFonts w:ascii="Verdana" w:hAnsi="Verdana"/>
          <w:sz w:val="16"/>
          <w:szCs w:val="16"/>
        </w:rPr>
        <w:t xml:space="preserve"> </w:t>
      </w:r>
    </w:p>
  </w:footnote>
  <w:footnote w:id="14">
    <w:p w:rsidR="009F2127" w:rsidRPr="003A2D50" w:rsidRDefault="009F2127" w:rsidP="00581B46">
      <w:pPr>
        <w:pStyle w:val="Textonotapie"/>
        <w:jc w:val="both"/>
        <w:rPr>
          <w:rFonts w:ascii="Verdana" w:hAnsi="Verdana"/>
          <w:sz w:val="16"/>
          <w:szCs w:val="16"/>
        </w:rPr>
      </w:pPr>
      <w:r w:rsidRPr="003A2D50">
        <w:rPr>
          <w:rStyle w:val="Refdenotaalpie"/>
          <w:rFonts w:ascii="Verdana" w:hAnsi="Verdana"/>
          <w:sz w:val="16"/>
          <w:szCs w:val="16"/>
        </w:rPr>
        <w:footnoteRef/>
      </w:r>
      <w:r w:rsidRPr="003A2D50">
        <w:rPr>
          <w:rFonts w:ascii="Verdana" w:hAnsi="Verdana"/>
          <w:sz w:val="16"/>
          <w:szCs w:val="16"/>
        </w:rPr>
        <w:t xml:space="preserve"> </w:t>
      </w:r>
      <w:r>
        <w:rPr>
          <w:rFonts w:ascii="Verdana" w:hAnsi="Verdana"/>
          <w:sz w:val="16"/>
          <w:szCs w:val="16"/>
        </w:rPr>
        <w:tab/>
      </w:r>
      <w:r w:rsidRPr="003A2D50">
        <w:rPr>
          <w:rFonts w:ascii="Verdana" w:hAnsi="Verdana"/>
          <w:sz w:val="16"/>
          <w:szCs w:val="16"/>
        </w:rPr>
        <w:t>Héctor Rafael Bol de la Cruz y Jorge Alberto Gómez López, Director de la Policía Nacional en la época en la que se cometió el delito y Jefe del Cuarto Cuerpo de la Policía Nacional que tenía asignado el sector donde se cometió el delito, respectivamente</w:t>
      </w:r>
      <w:r w:rsidR="00E14AFB">
        <w:rPr>
          <w:rFonts w:ascii="Verdana" w:hAnsi="Verdana"/>
          <w:sz w:val="16"/>
          <w:szCs w:val="16"/>
        </w:rPr>
        <w:t>, posteriormente condenados mediante sentencia de 20 de septiembre de 2013 (</w:t>
      </w:r>
      <w:r w:rsidR="00E14AFB">
        <w:rPr>
          <w:rFonts w:ascii="Verdana" w:hAnsi="Verdana"/>
          <w:i/>
          <w:sz w:val="16"/>
          <w:szCs w:val="16"/>
        </w:rPr>
        <w:t>infra</w:t>
      </w:r>
      <w:r w:rsidR="00E14AFB">
        <w:rPr>
          <w:rFonts w:ascii="Verdana" w:hAnsi="Verdana"/>
          <w:sz w:val="16"/>
          <w:szCs w:val="16"/>
        </w:rPr>
        <w:t xml:space="preserve"> Considerando </w:t>
      </w:r>
      <w:r w:rsidR="00E14AFB">
        <w:rPr>
          <w:rFonts w:ascii="Verdana" w:hAnsi="Verdana"/>
          <w:sz w:val="16"/>
          <w:szCs w:val="16"/>
        </w:rPr>
        <w:fldChar w:fldCharType="begin"/>
      </w:r>
      <w:r w:rsidR="00E14AFB">
        <w:rPr>
          <w:rFonts w:ascii="Verdana" w:hAnsi="Verdana"/>
          <w:sz w:val="16"/>
          <w:szCs w:val="16"/>
        </w:rPr>
        <w:instrText xml:space="preserve"> REF _Ref467850542 \r \h </w:instrText>
      </w:r>
      <w:r w:rsidR="00E14AFB">
        <w:rPr>
          <w:rFonts w:ascii="Verdana" w:hAnsi="Verdana"/>
          <w:sz w:val="16"/>
          <w:szCs w:val="16"/>
        </w:rPr>
      </w:r>
      <w:r w:rsidR="00E14AFB">
        <w:rPr>
          <w:rFonts w:ascii="Verdana" w:hAnsi="Verdana"/>
          <w:sz w:val="16"/>
          <w:szCs w:val="16"/>
        </w:rPr>
        <w:fldChar w:fldCharType="separate"/>
      </w:r>
      <w:r w:rsidR="00AC2F0E">
        <w:rPr>
          <w:rFonts w:ascii="Verdana" w:hAnsi="Verdana"/>
          <w:sz w:val="16"/>
          <w:szCs w:val="16"/>
        </w:rPr>
        <w:t>7</w:t>
      </w:r>
      <w:r w:rsidR="00E14AFB">
        <w:rPr>
          <w:rFonts w:ascii="Verdana" w:hAnsi="Verdana"/>
          <w:sz w:val="16"/>
          <w:szCs w:val="16"/>
        </w:rPr>
        <w:fldChar w:fldCharType="end"/>
      </w:r>
      <w:r w:rsidR="00E14AFB">
        <w:rPr>
          <w:rFonts w:ascii="Verdana" w:hAnsi="Verdana"/>
          <w:sz w:val="16"/>
          <w:szCs w:val="16"/>
        </w:rPr>
        <w:t>).</w:t>
      </w:r>
      <w:r w:rsidRPr="003A2D50">
        <w:rPr>
          <w:rFonts w:ascii="Verdana" w:hAnsi="Verdana"/>
          <w:sz w:val="16"/>
          <w:szCs w:val="16"/>
        </w:rPr>
        <w:t xml:space="preserve"> </w:t>
      </w:r>
    </w:p>
  </w:footnote>
  <w:footnote w:id="15">
    <w:p w:rsidR="009F2127" w:rsidRPr="005C4126" w:rsidRDefault="009F2127" w:rsidP="005C4126">
      <w:pPr>
        <w:pStyle w:val="Textonotapie"/>
        <w:jc w:val="both"/>
        <w:rPr>
          <w:rFonts w:ascii="Verdana" w:hAnsi="Verdana"/>
          <w:sz w:val="16"/>
          <w:szCs w:val="16"/>
        </w:rPr>
      </w:pPr>
      <w:r w:rsidRPr="005C4126">
        <w:rPr>
          <w:rStyle w:val="Refdenotaalpie"/>
          <w:rFonts w:ascii="Verdana" w:hAnsi="Verdana"/>
          <w:sz w:val="16"/>
          <w:szCs w:val="16"/>
        </w:rPr>
        <w:footnoteRef/>
      </w:r>
      <w:r w:rsidRPr="005C4126">
        <w:rPr>
          <w:rFonts w:ascii="Verdana" w:hAnsi="Verdana"/>
          <w:sz w:val="16"/>
          <w:szCs w:val="16"/>
        </w:rPr>
        <w:t xml:space="preserve"> </w:t>
      </w:r>
      <w:r w:rsidR="00DF5AEA">
        <w:rPr>
          <w:rFonts w:ascii="Verdana" w:hAnsi="Verdana"/>
          <w:sz w:val="16"/>
          <w:szCs w:val="16"/>
        </w:rPr>
        <w:tab/>
      </w:r>
      <w:r w:rsidRPr="003865F0">
        <w:rPr>
          <w:rFonts w:ascii="Verdana" w:hAnsi="Verdana"/>
          <w:i/>
          <w:sz w:val="16"/>
          <w:szCs w:val="16"/>
          <w:lang w:val="es-CR"/>
        </w:rPr>
        <w:t>Cfr.</w:t>
      </w:r>
      <w:r>
        <w:rPr>
          <w:rFonts w:ascii="Verdana" w:hAnsi="Verdana"/>
          <w:sz w:val="16"/>
          <w:szCs w:val="16"/>
          <w:lang w:val="es-CR"/>
        </w:rPr>
        <w:t xml:space="preserve"> Sentencia emitida por el Tribun</w:t>
      </w:r>
      <w:r w:rsidR="00DE725C">
        <w:rPr>
          <w:rFonts w:ascii="Verdana" w:hAnsi="Verdana"/>
          <w:sz w:val="16"/>
          <w:szCs w:val="16"/>
          <w:lang w:val="es-CR"/>
        </w:rPr>
        <w:t>al Primero de Sentencia Penal, N</w:t>
      </w:r>
      <w:r>
        <w:rPr>
          <w:rFonts w:ascii="Verdana" w:hAnsi="Verdana"/>
          <w:sz w:val="16"/>
          <w:szCs w:val="16"/>
          <w:lang w:val="es-CR"/>
        </w:rPr>
        <w:t xml:space="preserve">arcoactividad y Delitos Contra el Ambiente de 20 de septiembre de 2013 </w:t>
      </w:r>
      <w:r w:rsidRPr="003865F0">
        <w:rPr>
          <w:rFonts w:ascii="Verdana" w:hAnsi="Verdana"/>
          <w:sz w:val="16"/>
          <w:szCs w:val="16"/>
          <w:lang w:val="es-CR"/>
        </w:rPr>
        <w:t>(anexo al</w:t>
      </w:r>
      <w:r>
        <w:rPr>
          <w:rFonts w:ascii="Verdana" w:hAnsi="Verdana"/>
          <w:sz w:val="16"/>
          <w:szCs w:val="16"/>
          <w:lang w:val="es-CR"/>
        </w:rPr>
        <w:t xml:space="preserve"> escrito presentado por los representantes el 2 de octubre de 2013)</w:t>
      </w:r>
      <w:r w:rsidRPr="003865F0">
        <w:rPr>
          <w:rFonts w:ascii="Verdana" w:hAnsi="Verdana"/>
          <w:sz w:val="16"/>
          <w:szCs w:val="16"/>
          <w:lang w:val="es-CR"/>
        </w:rPr>
        <w:t>.</w:t>
      </w:r>
    </w:p>
  </w:footnote>
  <w:footnote w:id="16">
    <w:p w:rsidR="009F2127" w:rsidRPr="00CD36B0" w:rsidRDefault="009F2127" w:rsidP="00D87EB5">
      <w:pPr>
        <w:pStyle w:val="Textonotapie"/>
      </w:pPr>
      <w:r w:rsidRPr="00CD36B0">
        <w:rPr>
          <w:rStyle w:val="Refdenotaalpie"/>
          <w:rFonts w:ascii="Verdana" w:hAnsi="Verdana"/>
          <w:sz w:val="16"/>
          <w:szCs w:val="16"/>
        </w:rPr>
        <w:footnoteRef/>
      </w:r>
      <w:r w:rsidRPr="00CD36B0">
        <w:rPr>
          <w:rFonts w:ascii="Verdana" w:hAnsi="Verdana"/>
          <w:sz w:val="16"/>
          <w:szCs w:val="16"/>
        </w:rPr>
        <w:t xml:space="preserve"> </w:t>
      </w:r>
      <w:r w:rsidR="00DF5AEA">
        <w:rPr>
          <w:rFonts w:ascii="Verdana" w:hAnsi="Verdana"/>
          <w:sz w:val="16"/>
          <w:szCs w:val="16"/>
        </w:rPr>
        <w:tab/>
      </w:r>
      <w:r w:rsidRPr="003865F0">
        <w:rPr>
          <w:rFonts w:ascii="Verdana" w:hAnsi="Verdana"/>
          <w:i/>
          <w:sz w:val="16"/>
          <w:szCs w:val="16"/>
          <w:lang w:val="es-CR"/>
        </w:rPr>
        <w:t>Cfr.</w:t>
      </w:r>
      <w:r w:rsidRPr="003865F0">
        <w:rPr>
          <w:rFonts w:ascii="Verdana" w:hAnsi="Verdana"/>
          <w:sz w:val="16"/>
          <w:szCs w:val="16"/>
          <w:lang w:val="es-CR"/>
        </w:rPr>
        <w:t xml:space="preserve"> Informe </w:t>
      </w:r>
      <w:r w:rsidR="0052102C" w:rsidRPr="003865F0">
        <w:rPr>
          <w:rFonts w:ascii="Verdana" w:hAnsi="Verdana"/>
          <w:sz w:val="16"/>
          <w:szCs w:val="16"/>
          <w:lang w:val="es-CR"/>
        </w:rPr>
        <w:t>de</w:t>
      </w:r>
      <w:r w:rsidR="0052102C">
        <w:rPr>
          <w:rFonts w:ascii="Verdana" w:hAnsi="Verdana"/>
          <w:sz w:val="16"/>
          <w:szCs w:val="16"/>
          <w:lang w:val="es-CR"/>
        </w:rPr>
        <w:t xml:space="preserve"> 18</w:t>
      </w:r>
      <w:r w:rsidR="0052102C" w:rsidRPr="003865F0">
        <w:rPr>
          <w:rFonts w:ascii="Verdana" w:hAnsi="Verdana"/>
          <w:sz w:val="16"/>
          <w:szCs w:val="16"/>
          <w:lang w:val="es-CR"/>
        </w:rPr>
        <w:t xml:space="preserve"> de </w:t>
      </w:r>
      <w:r w:rsidR="0052102C">
        <w:rPr>
          <w:rFonts w:ascii="Verdana" w:hAnsi="Verdana"/>
          <w:sz w:val="16"/>
          <w:szCs w:val="16"/>
          <w:lang w:val="es-CR"/>
        </w:rPr>
        <w:t xml:space="preserve">mayo de 2015 </w:t>
      </w:r>
      <w:r>
        <w:rPr>
          <w:rFonts w:ascii="Verdana" w:hAnsi="Verdana"/>
          <w:sz w:val="16"/>
          <w:szCs w:val="16"/>
          <w:lang w:val="es-CR"/>
        </w:rPr>
        <w:t>de la Fiscalía de Sección de Derechos Humanos, Unidad de Casos Especiales del Conflicto Armado Interno, Ministerio Público, Expediente No. MP001-2006-70307 (anexo al informe estatal de 20 de mayo de 2015</w:t>
      </w:r>
      <w:r w:rsidRPr="003865F0">
        <w:rPr>
          <w:rFonts w:ascii="Verdana" w:hAnsi="Verdana"/>
          <w:sz w:val="16"/>
          <w:szCs w:val="16"/>
          <w:lang w:val="es-CR"/>
        </w:rPr>
        <w:t>).</w:t>
      </w:r>
    </w:p>
  </w:footnote>
  <w:footnote w:id="17">
    <w:p w:rsidR="009F2127" w:rsidRPr="00487809" w:rsidRDefault="009F2127" w:rsidP="00487809">
      <w:pPr>
        <w:pStyle w:val="Textonotapie"/>
        <w:jc w:val="both"/>
        <w:rPr>
          <w:rFonts w:ascii="Verdana" w:hAnsi="Verdana"/>
          <w:sz w:val="16"/>
          <w:szCs w:val="16"/>
          <w:lang w:val="es-CR"/>
        </w:rPr>
      </w:pPr>
      <w:r w:rsidRPr="00013158">
        <w:rPr>
          <w:rStyle w:val="Refdenotaalpie"/>
          <w:rFonts w:ascii="Verdana" w:hAnsi="Verdana"/>
          <w:sz w:val="16"/>
          <w:szCs w:val="16"/>
        </w:rPr>
        <w:footnoteRef/>
      </w:r>
      <w:r w:rsidRPr="00013158">
        <w:rPr>
          <w:rFonts w:ascii="Verdana" w:hAnsi="Verdana"/>
          <w:sz w:val="16"/>
          <w:szCs w:val="16"/>
        </w:rPr>
        <w:t xml:space="preserve"> </w:t>
      </w:r>
      <w:r w:rsidR="00DF5AEA">
        <w:rPr>
          <w:rFonts w:ascii="Verdana" w:hAnsi="Verdana"/>
          <w:sz w:val="16"/>
          <w:szCs w:val="16"/>
        </w:rPr>
        <w:tab/>
      </w:r>
      <w:r w:rsidR="00A178C2" w:rsidRPr="00013158">
        <w:rPr>
          <w:rFonts w:ascii="Verdana" w:hAnsi="Verdana"/>
          <w:i/>
          <w:sz w:val="16"/>
          <w:szCs w:val="16"/>
          <w:lang w:val="es-CR"/>
        </w:rPr>
        <w:t>Cfr.</w:t>
      </w:r>
      <w:r w:rsidR="00A178C2" w:rsidRPr="00013158">
        <w:rPr>
          <w:rFonts w:ascii="Verdana" w:hAnsi="Verdana"/>
          <w:sz w:val="16"/>
          <w:szCs w:val="16"/>
          <w:lang w:val="es-CR"/>
        </w:rPr>
        <w:t xml:space="preserve"> Informe de la Fiscalía de Sección de Derechos Humanos, Unidad de Casos Especiales del Conflicto Armado Interno, Ministerio Público, Expediente No. MP001-2006-70307 de 18 de mayo de 2015 (anexo al informe estatal de 20 de mayo de 2015).</w:t>
      </w:r>
      <w:r w:rsidR="006C5011" w:rsidRPr="00013158">
        <w:rPr>
          <w:rFonts w:ascii="Verdana" w:hAnsi="Verdana"/>
          <w:sz w:val="16"/>
          <w:szCs w:val="16"/>
          <w:lang w:val="es-CR"/>
        </w:rPr>
        <w:t xml:space="preserve"> En dicho informe el Estado reportó que, a efecto de localizar a los dos agentes policiales</w:t>
      </w:r>
      <w:r w:rsidR="00493320">
        <w:rPr>
          <w:rFonts w:ascii="Verdana" w:hAnsi="Verdana"/>
          <w:sz w:val="16"/>
          <w:szCs w:val="16"/>
          <w:lang w:val="es-CR"/>
        </w:rPr>
        <w:t xml:space="preserve"> pendientes de ser aprehendidos</w:t>
      </w:r>
      <w:r w:rsidR="006C5011" w:rsidRPr="00013158">
        <w:rPr>
          <w:rFonts w:ascii="Verdana" w:hAnsi="Verdana"/>
          <w:sz w:val="16"/>
          <w:szCs w:val="16"/>
          <w:lang w:val="es-CR"/>
        </w:rPr>
        <w:t xml:space="preserve">, había hecho requerimientos de información específica a las siguientes dependencias: </w:t>
      </w:r>
      <w:r w:rsidR="006C5011" w:rsidRPr="00013158">
        <w:rPr>
          <w:rFonts w:ascii="Verdana" w:hAnsi="Verdana"/>
          <w:sz w:val="16"/>
          <w:szCs w:val="16"/>
          <w:lang w:val="es-ES"/>
        </w:rPr>
        <w:t xml:space="preserve">Dirección General de Migración, </w:t>
      </w:r>
      <w:r w:rsidR="00013158" w:rsidRPr="00013158">
        <w:rPr>
          <w:rFonts w:ascii="Verdana" w:hAnsi="Verdana"/>
          <w:sz w:val="16"/>
          <w:szCs w:val="16"/>
          <w:lang w:val="es-ES"/>
        </w:rPr>
        <w:t>Registro Mercantil General de la República, RENAP, Tribunal Sup</w:t>
      </w:r>
      <w:r w:rsidR="00EC448E">
        <w:rPr>
          <w:rFonts w:ascii="Verdana" w:hAnsi="Verdana"/>
          <w:sz w:val="16"/>
          <w:szCs w:val="16"/>
          <w:lang w:val="es-ES"/>
        </w:rPr>
        <w:t>remo</w:t>
      </w:r>
      <w:r w:rsidR="00013158" w:rsidRPr="00013158">
        <w:rPr>
          <w:rFonts w:ascii="Verdana" w:hAnsi="Verdana"/>
          <w:sz w:val="16"/>
          <w:szCs w:val="16"/>
          <w:lang w:val="es-ES"/>
        </w:rPr>
        <w:t xml:space="preserve"> Electoral, DICABI, AFIS, Dirección General del Diario de Centro América y Tipografía Nacional, </w:t>
      </w:r>
      <w:r w:rsidR="00487809" w:rsidRPr="00FE2F2D">
        <w:rPr>
          <w:rFonts w:ascii="Verdana" w:hAnsi="Verdana"/>
          <w:sz w:val="16"/>
          <w:szCs w:val="16"/>
          <w:lang w:val="es-ES"/>
        </w:rPr>
        <w:t>Gabinete Criminalístico de la Policía Nacional Civil</w:t>
      </w:r>
      <w:r w:rsidR="0081230B">
        <w:rPr>
          <w:rFonts w:ascii="Verdana" w:hAnsi="Verdana"/>
          <w:sz w:val="16"/>
          <w:szCs w:val="16"/>
          <w:lang w:val="es-ES"/>
        </w:rPr>
        <w:t xml:space="preserve"> y</w:t>
      </w:r>
      <w:r w:rsidR="00487809">
        <w:rPr>
          <w:rFonts w:ascii="Verdana" w:hAnsi="Verdana"/>
          <w:sz w:val="16"/>
          <w:szCs w:val="16"/>
          <w:lang w:val="es-ES"/>
        </w:rPr>
        <w:t xml:space="preserve"> Registro N</w:t>
      </w:r>
      <w:r w:rsidR="00487809" w:rsidRPr="00FE2F2D">
        <w:rPr>
          <w:rFonts w:ascii="Verdana" w:hAnsi="Verdana"/>
          <w:sz w:val="16"/>
          <w:szCs w:val="16"/>
          <w:lang w:val="es-ES"/>
        </w:rPr>
        <w:t>acional de las Personas</w:t>
      </w:r>
      <w:r w:rsidR="00487809">
        <w:rPr>
          <w:rFonts w:ascii="Verdana" w:hAnsi="Verdana"/>
          <w:sz w:val="16"/>
          <w:szCs w:val="16"/>
          <w:lang w:val="es-CR"/>
        </w:rPr>
        <w:t xml:space="preserve">. </w:t>
      </w:r>
      <w:r w:rsidR="00013158" w:rsidRPr="00013158">
        <w:rPr>
          <w:rFonts w:ascii="Verdana" w:hAnsi="Verdana"/>
          <w:sz w:val="16"/>
          <w:szCs w:val="16"/>
        </w:rPr>
        <w:t>Asimismo, el Estado</w:t>
      </w:r>
      <w:r w:rsidR="00493320">
        <w:rPr>
          <w:rFonts w:ascii="Verdana" w:hAnsi="Verdana"/>
          <w:sz w:val="16"/>
          <w:szCs w:val="16"/>
        </w:rPr>
        <w:t xml:space="preserve"> comunicó</w:t>
      </w:r>
      <w:r w:rsidR="0081230B">
        <w:rPr>
          <w:rFonts w:ascii="Verdana" w:hAnsi="Verdana"/>
          <w:sz w:val="16"/>
          <w:szCs w:val="16"/>
        </w:rPr>
        <w:t xml:space="preserve"> haber </w:t>
      </w:r>
      <w:r w:rsidR="0081230B">
        <w:rPr>
          <w:rFonts w:ascii="Verdana" w:hAnsi="Verdana"/>
          <w:sz w:val="16"/>
          <w:szCs w:val="16"/>
          <w:lang w:val="es-ES"/>
        </w:rPr>
        <w:t xml:space="preserve">presentado </w:t>
      </w:r>
      <w:r w:rsidRPr="00013158">
        <w:rPr>
          <w:rFonts w:ascii="Verdana" w:hAnsi="Verdana"/>
          <w:sz w:val="16"/>
          <w:szCs w:val="16"/>
          <w:lang w:val="es-ES"/>
        </w:rPr>
        <w:t>ante la Unidad Especializada de Asuntos Internacionales del Ministerio Público, memorial de solicitud y documentaci</w:t>
      </w:r>
      <w:r w:rsidR="0081230B">
        <w:rPr>
          <w:rFonts w:ascii="Verdana" w:hAnsi="Verdana"/>
          <w:sz w:val="16"/>
          <w:szCs w:val="16"/>
          <w:lang w:val="es-ES"/>
        </w:rPr>
        <w:t>ón requerida para que se realizara</w:t>
      </w:r>
      <w:r w:rsidRPr="00013158">
        <w:rPr>
          <w:rFonts w:ascii="Verdana" w:hAnsi="Verdana"/>
          <w:sz w:val="16"/>
          <w:szCs w:val="16"/>
          <w:lang w:val="es-ES"/>
        </w:rPr>
        <w:t>n las diligencias necesarias a efecto de llevar a cabo la detención y extradición de</w:t>
      </w:r>
      <w:r w:rsidR="00013158" w:rsidRPr="00013158">
        <w:rPr>
          <w:rFonts w:ascii="Verdana" w:hAnsi="Verdana"/>
          <w:sz w:val="16"/>
          <w:szCs w:val="16"/>
          <w:lang w:val="es-ES"/>
        </w:rPr>
        <w:t xml:space="preserve"> uno de los dos agentes policiales. </w:t>
      </w:r>
    </w:p>
  </w:footnote>
  <w:footnote w:id="18">
    <w:p w:rsidR="009F2127" w:rsidRPr="00B404F9" w:rsidRDefault="009F2127" w:rsidP="00B404F9">
      <w:pPr>
        <w:pStyle w:val="Textonotapie"/>
        <w:jc w:val="both"/>
        <w:rPr>
          <w:rFonts w:ascii="Verdana" w:hAnsi="Verdana"/>
          <w:sz w:val="16"/>
          <w:szCs w:val="16"/>
        </w:rPr>
      </w:pPr>
      <w:r w:rsidRPr="00B404F9">
        <w:rPr>
          <w:rStyle w:val="Refdenotaalpie"/>
          <w:rFonts w:ascii="Verdana" w:hAnsi="Verdana"/>
          <w:sz w:val="16"/>
          <w:szCs w:val="16"/>
        </w:rPr>
        <w:footnoteRef/>
      </w:r>
      <w:r w:rsidRPr="00B404F9">
        <w:rPr>
          <w:rFonts w:ascii="Verdana" w:hAnsi="Verdana"/>
          <w:sz w:val="16"/>
          <w:szCs w:val="16"/>
        </w:rPr>
        <w:t xml:space="preserve"> </w:t>
      </w:r>
      <w:r w:rsidRPr="00B404F9">
        <w:rPr>
          <w:rFonts w:ascii="Verdana" w:hAnsi="Verdana"/>
          <w:sz w:val="16"/>
          <w:szCs w:val="16"/>
        </w:rPr>
        <w:tab/>
        <w:t xml:space="preserve">Tanto en el informe de enero 2014 como en el de mayo de 2015 Guatemala concluyó con un listado de las medidas de reparación que, a su juicio, había dado cumplimiento, entre las cuales incluyó a “la investigación”. </w:t>
      </w:r>
    </w:p>
  </w:footnote>
  <w:footnote w:id="19">
    <w:p w:rsidR="009F2127" w:rsidRPr="00C35E96" w:rsidRDefault="009F2127" w:rsidP="00FE2F2D">
      <w:pPr>
        <w:pStyle w:val="Textonotapie"/>
        <w:jc w:val="both"/>
      </w:pPr>
      <w:r w:rsidRPr="00FE2F2D">
        <w:rPr>
          <w:rStyle w:val="Refdenotaalpie"/>
          <w:rFonts w:ascii="Verdana" w:hAnsi="Verdana"/>
          <w:sz w:val="16"/>
          <w:szCs w:val="16"/>
        </w:rPr>
        <w:footnoteRef/>
      </w:r>
      <w:r w:rsidRPr="00FE2F2D">
        <w:rPr>
          <w:rFonts w:ascii="Verdana" w:hAnsi="Verdana"/>
          <w:sz w:val="16"/>
          <w:szCs w:val="16"/>
        </w:rPr>
        <w:t xml:space="preserve"> </w:t>
      </w:r>
      <w:r>
        <w:rPr>
          <w:rFonts w:ascii="Verdana" w:hAnsi="Verdana"/>
          <w:sz w:val="16"/>
          <w:szCs w:val="16"/>
        </w:rPr>
        <w:tab/>
      </w:r>
      <w:r w:rsidRPr="00FE2F2D">
        <w:rPr>
          <w:rFonts w:ascii="Verdana" w:hAnsi="Verdana"/>
          <w:sz w:val="16"/>
          <w:szCs w:val="16"/>
        </w:rPr>
        <w:t>En su escrito</w:t>
      </w:r>
      <w:r w:rsidRPr="00C35E96">
        <w:rPr>
          <w:rFonts w:ascii="Verdana" w:hAnsi="Verdana"/>
          <w:sz w:val="16"/>
          <w:szCs w:val="16"/>
        </w:rPr>
        <w:t xml:space="preserve"> de observaciones de 15 de julio de 2015, respecto a la investigación, los representante</w:t>
      </w:r>
      <w:r w:rsidR="0052102C">
        <w:rPr>
          <w:rFonts w:ascii="Verdana" w:hAnsi="Verdana"/>
          <w:sz w:val="16"/>
          <w:szCs w:val="16"/>
        </w:rPr>
        <w:t>s</w:t>
      </w:r>
      <w:r w:rsidRPr="00C35E96">
        <w:rPr>
          <w:rFonts w:ascii="Verdana" w:hAnsi="Verdana"/>
          <w:sz w:val="16"/>
          <w:szCs w:val="16"/>
        </w:rPr>
        <w:t xml:space="preserve"> únicamente señalaron que </w:t>
      </w:r>
      <w:r w:rsidRPr="00C35E96">
        <w:rPr>
          <w:rFonts w:ascii="Verdana" w:hAnsi="Verdana"/>
          <w:sz w:val="16"/>
          <w:szCs w:val="16"/>
          <w:lang w:val="es-ES"/>
        </w:rPr>
        <w:t>“</w:t>
      </w:r>
      <w:proofErr w:type="gramStart"/>
      <w:r w:rsidRPr="00C35E96">
        <w:rPr>
          <w:rFonts w:ascii="Verdana" w:hAnsi="Verdana"/>
          <w:sz w:val="16"/>
          <w:szCs w:val="16"/>
          <w:lang w:val="es-ES"/>
        </w:rPr>
        <w:t>falta[</w:t>
      </w:r>
      <w:proofErr w:type="gramEnd"/>
      <w:r w:rsidRPr="00C35E96">
        <w:rPr>
          <w:rFonts w:ascii="Verdana" w:hAnsi="Verdana"/>
          <w:sz w:val="16"/>
          <w:szCs w:val="16"/>
          <w:lang w:val="es-ES"/>
        </w:rPr>
        <w:t xml:space="preserve">ba] por procesar a dos de los autores materiales de la captura de Edgar Fernando García, </w:t>
      </w:r>
      <w:r w:rsidR="00E50B62">
        <w:rPr>
          <w:rFonts w:ascii="Verdana" w:hAnsi="Verdana"/>
          <w:sz w:val="16"/>
          <w:szCs w:val="16"/>
          <w:lang w:val="es-ES"/>
        </w:rPr>
        <w:t xml:space="preserve">[…] </w:t>
      </w:r>
      <w:r w:rsidRPr="00C35E96">
        <w:rPr>
          <w:rFonts w:ascii="Verdana" w:hAnsi="Verdana"/>
          <w:sz w:val="16"/>
          <w:szCs w:val="16"/>
          <w:lang w:val="es-ES"/>
        </w:rPr>
        <w:t>quienes a la fecha se encuentran prófugos de la justicia</w:t>
      </w:r>
      <w:r>
        <w:rPr>
          <w:rFonts w:ascii="Verdana" w:hAnsi="Verdana"/>
          <w:sz w:val="20"/>
          <w:lang w:val="es-ES"/>
        </w:rPr>
        <w:t xml:space="preserve">”. </w:t>
      </w:r>
    </w:p>
  </w:footnote>
  <w:footnote w:id="20">
    <w:p w:rsidR="009F2127" w:rsidRPr="00735C69" w:rsidRDefault="009F2127" w:rsidP="00735C69">
      <w:pPr>
        <w:pStyle w:val="Textonotapie"/>
        <w:jc w:val="both"/>
        <w:rPr>
          <w:rFonts w:ascii="Verdana" w:hAnsi="Verdana"/>
          <w:sz w:val="16"/>
          <w:szCs w:val="16"/>
        </w:rPr>
      </w:pPr>
      <w:r w:rsidRPr="00735C69">
        <w:rPr>
          <w:rStyle w:val="Refdenotaalpie"/>
          <w:rFonts w:ascii="Verdana" w:hAnsi="Verdana"/>
          <w:sz w:val="16"/>
          <w:szCs w:val="16"/>
        </w:rPr>
        <w:footnoteRef/>
      </w:r>
      <w:r w:rsidRPr="00735C69">
        <w:rPr>
          <w:rFonts w:ascii="Verdana" w:hAnsi="Verdana"/>
          <w:sz w:val="16"/>
          <w:szCs w:val="16"/>
        </w:rPr>
        <w:t xml:space="preserve"> </w:t>
      </w:r>
      <w:r>
        <w:rPr>
          <w:rFonts w:ascii="Verdana" w:hAnsi="Verdana"/>
          <w:sz w:val="16"/>
          <w:szCs w:val="16"/>
        </w:rPr>
        <w:tab/>
      </w:r>
      <w:r w:rsidRPr="00735C69">
        <w:rPr>
          <w:rFonts w:ascii="Verdana" w:hAnsi="Verdana"/>
          <w:sz w:val="16"/>
          <w:szCs w:val="16"/>
        </w:rPr>
        <w:t xml:space="preserve">En su escrito de 7 de agosto de 2015, respecto a la investigación, la Comisión observó la importancia de que el Estado precisara </w:t>
      </w:r>
      <w:r w:rsidRPr="00735C69">
        <w:rPr>
          <w:rFonts w:ascii="Verdana" w:hAnsi="Verdana"/>
          <w:sz w:val="16"/>
          <w:szCs w:val="16"/>
          <w:lang w:val="es-ES"/>
        </w:rPr>
        <w:t xml:space="preserve">“las medidas adoptadas para lograr la captura de los </w:t>
      </w:r>
      <w:r w:rsidR="00A47F31" w:rsidRPr="00133756">
        <w:rPr>
          <w:rFonts w:ascii="Verdana" w:hAnsi="Verdana"/>
          <w:sz w:val="16"/>
          <w:szCs w:val="16"/>
          <w:lang w:val="es-ES"/>
        </w:rPr>
        <w:t>[dos agentes policiales</w:t>
      </w:r>
      <w:r w:rsidR="00251809" w:rsidRPr="00133756">
        <w:rPr>
          <w:rFonts w:ascii="Verdana" w:hAnsi="Verdana"/>
          <w:sz w:val="16"/>
          <w:szCs w:val="16"/>
          <w:lang w:val="es-ES"/>
        </w:rPr>
        <w:t xml:space="preserve"> sindicados</w:t>
      </w:r>
      <w:r w:rsidR="00133756" w:rsidRPr="00133756">
        <w:rPr>
          <w:rFonts w:ascii="Verdana" w:hAnsi="Verdana"/>
          <w:sz w:val="16"/>
          <w:szCs w:val="16"/>
          <w:lang w:val="es-ES"/>
        </w:rPr>
        <w:t xml:space="preserve">], quienes, según los representantes, se encuentran hasta </w:t>
      </w:r>
      <w:proofErr w:type="gramStart"/>
      <w:r w:rsidR="00133756" w:rsidRPr="00133756">
        <w:rPr>
          <w:rFonts w:ascii="Verdana" w:hAnsi="Verdana"/>
          <w:sz w:val="16"/>
          <w:szCs w:val="16"/>
          <w:lang w:val="es-ES"/>
        </w:rPr>
        <w:t>la fecha</w:t>
      </w:r>
      <w:r w:rsidR="00251809" w:rsidRPr="00133756">
        <w:rPr>
          <w:rFonts w:ascii="Verdana" w:hAnsi="Verdana"/>
          <w:sz w:val="16"/>
          <w:szCs w:val="16"/>
          <w:lang w:val="es-ES"/>
        </w:rPr>
        <w:t xml:space="preserve"> prófugos</w:t>
      </w:r>
      <w:proofErr w:type="gramEnd"/>
      <w:r w:rsidRPr="00133756">
        <w:rPr>
          <w:rFonts w:ascii="Verdana" w:hAnsi="Verdana"/>
          <w:sz w:val="16"/>
          <w:szCs w:val="16"/>
          <w:lang w:val="es-ES"/>
        </w:rPr>
        <w:t>”</w:t>
      </w:r>
      <w:r w:rsidRPr="00735C69">
        <w:rPr>
          <w:rFonts w:ascii="Verdana" w:hAnsi="Verdana"/>
          <w:sz w:val="16"/>
          <w:szCs w:val="16"/>
          <w:lang w:val="es-ES"/>
        </w:rPr>
        <w:t>.</w:t>
      </w:r>
      <w:r>
        <w:rPr>
          <w:rFonts w:ascii="Verdana" w:hAnsi="Verdana"/>
          <w:sz w:val="16"/>
          <w:szCs w:val="16"/>
          <w:lang w:val="es-ES"/>
        </w:rPr>
        <w:t xml:space="preserve"> </w:t>
      </w:r>
    </w:p>
  </w:footnote>
  <w:footnote w:id="21">
    <w:p w:rsidR="00F21818" w:rsidRPr="00F21818" w:rsidRDefault="00F21818" w:rsidP="00F21818">
      <w:pPr>
        <w:pStyle w:val="Textonotapie"/>
        <w:jc w:val="both"/>
        <w:rPr>
          <w:rFonts w:ascii="Verdana" w:hAnsi="Verdana"/>
          <w:sz w:val="16"/>
          <w:szCs w:val="16"/>
        </w:rPr>
      </w:pPr>
      <w:r w:rsidRPr="008D513A">
        <w:rPr>
          <w:rStyle w:val="Refdenotaalpie"/>
          <w:rFonts w:ascii="Verdana" w:hAnsi="Verdana"/>
          <w:sz w:val="16"/>
          <w:szCs w:val="16"/>
        </w:rPr>
        <w:footnoteRef/>
      </w:r>
      <w:r w:rsidRPr="008D513A">
        <w:rPr>
          <w:rFonts w:ascii="Verdana" w:hAnsi="Verdana"/>
          <w:sz w:val="16"/>
          <w:szCs w:val="16"/>
        </w:rPr>
        <w:t xml:space="preserve"> </w:t>
      </w:r>
      <w:r w:rsidRPr="008D513A">
        <w:rPr>
          <w:rFonts w:ascii="Verdana" w:hAnsi="Verdana"/>
          <w:sz w:val="16"/>
          <w:szCs w:val="16"/>
        </w:rPr>
        <w:tab/>
        <w:t xml:space="preserve">El Estado indicó que habrían sido </w:t>
      </w:r>
      <w:r w:rsidR="008D513A">
        <w:rPr>
          <w:rFonts w:ascii="Verdana" w:hAnsi="Verdana"/>
          <w:sz w:val="16"/>
          <w:szCs w:val="16"/>
        </w:rPr>
        <w:t>sindicadas</w:t>
      </w:r>
      <w:r w:rsidRPr="008D513A">
        <w:rPr>
          <w:rFonts w:ascii="Verdana" w:hAnsi="Verdana"/>
          <w:sz w:val="16"/>
          <w:szCs w:val="16"/>
        </w:rPr>
        <w:t xml:space="preserve"> como “agentes captores” del señor Edgar Fernando García. </w:t>
      </w:r>
    </w:p>
  </w:footnote>
  <w:footnote w:id="22">
    <w:p w:rsidR="00951886" w:rsidRPr="003B7A54" w:rsidRDefault="00951886" w:rsidP="003B7A54">
      <w:pPr>
        <w:pStyle w:val="Textonotapie"/>
        <w:jc w:val="both"/>
        <w:rPr>
          <w:rFonts w:ascii="Verdana" w:hAnsi="Verdana"/>
          <w:sz w:val="16"/>
          <w:szCs w:val="16"/>
        </w:rPr>
      </w:pPr>
      <w:r w:rsidRPr="003B7A54">
        <w:rPr>
          <w:rStyle w:val="Refdenotaalpie"/>
          <w:rFonts w:ascii="Verdana" w:hAnsi="Verdana"/>
          <w:sz w:val="16"/>
          <w:szCs w:val="16"/>
        </w:rPr>
        <w:footnoteRef/>
      </w:r>
      <w:r w:rsidRPr="003B7A54">
        <w:rPr>
          <w:rFonts w:ascii="Verdana" w:hAnsi="Verdana"/>
          <w:sz w:val="16"/>
          <w:szCs w:val="16"/>
        </w:rPr>
        <w:t xml:space="preserve"> </w:t>
      </w:r>
      <w:r w:rsidRPr="003B7A54">
        <w:rPr>
          <w:rFonts w:ascii="Verdana" w:hAnsi="Verdana"/>
          <w:sz w:val="16"/>
          <w:szCs w:val="16"/>
        </w:rPr>
        <w:tab/>
      </w:r>
      <w:r w:rsidR="003B6AF4" w:rsidRPr="00864F6B">
        <w:rPr>
          <w:rStyle w:val="Textoennegrita"/>
          <w:rFonts w:ascii="Verdana" w:hAnsi="Verdana"/>
          <w:b w:val="0"/>
          <w:i/>
          <w:sz w:val="16"/>
          <w:szCs w:val="16"/>
        </w:rPr>
        <w:t>Caso García y familiares Vs. Guatemala</w:t>
      </w:r>
      <w:r w:rsidR="003B6AF4" w:rsidRPr="00864F6B">
        <w:rPr>
          <w:rStyle w:val="Textoennegrita"/>
          <w:rFonts w:ascii="Verdana" w:hAnsi="Verdana"/>
          <w:b w:val="0"/>
          <w:sz w:val="16"/>
          <w:szCs w:val="16"/>
        </w:rPr>
        <w:t xml:space="preserve">. </w:t>
      </w:r>
      <w:r w:rsidR="003B6AF4" w:rsidRPr="0052102C">
        <w:rPr>
          <w:rStyle w:val="Textoennegrita"/>
          <w:rFonts w:ascii="Verdana" w:hAnsi="Verdana"/>
          <w:b w:val="0"/>
          <w:i/>
          <w:sz w:val="16"/>
          <w:szCs w:val="16"/>
        </w:rPr>
        <w:t>Fondo</w:t>
      </w:r>
      <w:r w:rsidR="0052102C" w:rsidRPr="0052102C">
        <w:rPr>
          <w:rStyle w:val="Textoennegrita"/>
          <w:rFonts w:ascii="Verdana" w:hAnsi="Verdana"/>
          <w:b w:val="0"/>
          <w:i/>
          <w:sz w:val="16"/>
          <w:szCs w:val="16"/>
        </w:rPr>
        <w:t>,</w:t>
      </w:r>
      <w:r w:rsidR="003B6AF4" w:rsidRPr="0052102C">
        <w:rPr>
          <w:rStyle w:val="Textoennegrita"/>
          <w:rFonts w:ascii="Verdana" w:hAnsi="Verdana"/>
          <w:b w:val="0"/>
          <w:i/>
          <w:sz w:val="16"/>
          <w:szCs w:val="16"/>
        </w:rPr>
        <w:t xml:space="preserve"> Reparaciones y Costas.</w:t>
      </w:r>
      <w:r w:rsidR="003B6AF4" w:rsidRPr="00864F6B">
        <w:rPr>
          <w:rStyle w:val="Textoennegrita"/>
          <w:rFonts w:ascii="Verdana" w:hAnsi="Verdana"/>
          <w:b w:val="0"/>
          <w:sz w:val="16"/>
          <w:szCs w:val="16"/>
        </w:rPr>
        <w:t xml:space="preserve"> Sentencia de 29 noviembre de 2012</w:t>
      </w:r>
      <w:r w:rsidR="0052102C">
        <w:rPr>
          <w:rStyle w:val="Textoennegrita"/>
          <w:rFonts w:ascii="Verdana" w:hAnsi="Verdana"/>
          <w:b w:val="0"/>
          <w:sz w:val="16"/>
          <w:szCs w:val="16"/>
        </w:rPr>
        <w:t>.</w:t>
      </w:r>
      <w:r w:rsidR="003B6AF4" w:rsidRPr="00864F6B">
        <w:rPr>
          <w:rStyle w:val="Textoennegrita"/>
          <w:rFonts w:ascii="Verdana" w:hAnsi="Verdana"/>
          <w:b w:val="0"/>
          <w:sz w:val="16"/>
          <w:szCs w:val="16"/>
        </w:rPr>
        <w:t xml:space="preserve"> Serie C No. 258, </w:t>
      </w:r>
      <w:r w:rsidR="0052102C">
        <w:rPr>
          <w:rFonts w:ascii="Verdana" w:hAnsi="Verdana"/>
          <w:sz w:val="16"/>
          <w:szCs w:val="16"/>
        </w:rPr>
        <w:t>p</w:t>
      </w:r>
      <w:r w:rsidR="003B6AF4" w:rsidRPr="00864F6B">
        <w:rPr>
          <w:rFonts w:ascii="Verdana" w:hAnsi="Verdana"/>
          <w:sz w:val="16"/>
          <w:szCs w:val="16"/>
        </w:rPr>
        <w:t xml:space="preserve">árr. 149. </w:t>
      </w:r>
      <w:r w:rsidR="003B7A54" w:rsidRPr="00864F6B">
        <w:rPr>
          <w:rFonts w:ascii="Verdana" w:hAnsi="Verdana"/>
          <w:sz w:val="16"/>
          <w:szCs w:val="16"/>
        </w:rPr>
        <w:t xml:space="preserve">Además, la Corte recuerda que en la Sentencia advirtió que “la aparición del Diario Militar en 1999 también reveló que las autoridades militares muy probablemente estaban al tanto de la </w:t>
      </w:r>
      <w:r w:rsidR="003B7A54" w:rsidRPr="00864F6B">
        <w:rPr>
          <w:rFonts w:ascii="Verdana" w:hAnsi="Verdana"/>
          <w:sz w:val="16"/>
          <w:szCs w:val="16"/>
          <w:lang w:val="es-ES"/>
        </w:rPr>
        <w:t>detención</w:t>
      </w:r>
      <w:r w:rsidR="003B7A54" w:rsidRPr="00864F6B">
        <w:rPr>
          <w:rFonts w:ascii="Verdana" w:hAnsi="Verdana"/>
          <w:sz w:val="16"/>
          <w:szCs w:val="16"/>
        </w:rPr>
        <w:t xml:space="preserve"> del señor García”.</w:t>
      </w:r>
      <w:r w:rsidR="003B7A54" w:rsidRPr="003D0ADD">
        <w:rPr>
          <w:rFonts w:ascii="Verdana" w:hAnsi="Verdana"/>
          <w:sz w:val="16"/>
          <w:szCs w:val="16"/>
          <w:u w:val="single"/>
        </w:rPr>
        <w:t xml:space="preserve"> </w:t>
      </w:r>
    </w:p>
  </w:footnote>
  <w:footnote w:id="23">
    <w:p w:rsidR="003B7A54" w:rsidRPr="003B7A54" w:rsidRDefault="003B7A54" w:rsidP="003B7A54">
      <w:pPr>
        <w:pStyle w:val="Textonotapie"/>
        <w:jc w:val="both"/>
        <w:rPr>
          <w:rFonts w:ascii="Verdana" w:hAnsi="Verdana"/>
          <w:sz w:val="16"/>
          <w:szCs w:val="16"/>
        </w:rPr>
      </w:pPr>
      <w:r w:rsidRPr="003B7A54">
        <w:rPr>
          <w:rStyle w:val="Refdenotaalpie"/>
          <w:rFonts w:ascii="Verdana" w:hAnsi="Verdana"/>
          <w:sz w:val="16"/>
          <w:szCs w:val="16"/>
        </w:rPr>
        <w:footnoteRef/>
      </w:r>
      <w:r w:rsidRPr="003B7A54">
        <w:rPr>
          <w:rFonts w:ascii="Verdana" w:hAnsi="Verdana"/>
          <w:sz w:val="16"/>
          <w:szCs w:val="16"/>
        </w:rPr>
        <w:t xml:space="preserve"> </w:t>
      </w:r>
      <w:r w:rsidRPr="003B7A54">
        <w:rPr>
          <w:rFonts w:ascii="Verdana" w:hAnsi="Verdana"/>
          <w:sz w:val="16"/>
          <w:szCs w:val="16"/>
        </w:rPr>
        <w:tab/>
        <w:t xml:space="preserve">Igualmente, la Corte observó que de “la investigación seguida […] por el Ministerio Público no se </w:t>
      </w:r>
      <w:proofErr w:type="gramStart"/>
      <w:r w:rsidRPr="003B7A54">
        <w:rPr>
          <w:rFonts w:ascii="Verdana" w:hAnsi="Verdana"/>
          <w:sz w:val="16"/>
          <w:szCs w:val="16"/>
        </w:rPr>
        <w:t>evidencia[</w:t>
      </w:r>
      <w:proofErr w:type="gramEnd"/>
      <w:r w:rsidRPr="003B7A54">
        <w:rPr>
          <w:rFonts w:ascii="Verdana" w:hAnsi="Verdana"/>
          <w:sz w:val="16"/>
          <w:szCs w:val="16"/>
        </w:rPr>
        <w:t xml:space="preserve">ba] que se est[uvieran] siguiendo todas las líneas de investigación que surg[ían] de la abundante prueba que ha[bía] aportado tanto el Archivo Histórico de la Policía Nacional como el Diario Militar”. </w:t>
      </w:r>
      <w:r w:rsidR="0052102C" w:rsidRPr="00864F6B">
        <w:rPr>
          <w:rStyle w:val="Textoennegrita"/>
          <w:rFonts w:ascii="Verdana" w:hAnsi="Verdana"/>
          <w:b w:val="0"/>
          <w:i/>
          <w:sz w:val="16"/>
          <w:szCs w:val="16"/>
        </w:rPr>
        <w:t>Caso García y familiares Vs. Guatemala</w:t>
      </w:r>
      <w:r w:rsidR="0052102C" w:rsidRPr="00864F6B">
        <w:rPr>
          <w:rStyle w:val="Textoennegrita"/>
          <w:rFonts w:ascii="Verdana" w:hAnsi="Verdana"/>
          <w:b w:val="0"/>
          <w:sz w:val="16"/>
          <w:szCs w:val="16"/>
        </w:rPr>
        <w:t xml:space="preserve">. </w:t>
      </w:r>
      <w:r w:rsidR="0052102C" w:rsidRPr="0052102C">
        <w:rPr>
          <w:rStyle w:val="Textoennegrita"/>
          <w:rFonts w:ascii="Verdana" w:hAnsi="Verdana"/>
          <w:b w:val="0"/>
          <w:i/>
          <w:sz w:val="16"/>
          <w:szCs w:val="16"/>
        </w:rPr>
        <w:t>Fondo, Reparaciones y Costas.</w:t>
      </w:r>
      <w:r w:rsidR="0052102C" w:rsidRPr="00864F6B">
        <w:rPr>
          <w:rStyle w:val="Textoennegrita"/>
          <w:rFonts w:ascii="Verdana" w:hAnsi="Verdana"/>
          <w:b w:val="0"/>
          <w:sz w:val="16"/>
          <w:szCs w:val="16"/>
        </w:rPr>
        <w:t xml:space="preserve"> Sentencia de 29 noviembre de 2012</w:t>
      </w:r>
      <w:r w:rsidR="0052102C">
        <w:rPr>
          <w:rStyle w:val="Textoennegrita"/>
          <w:rFonts w:ascii="Verdana" w:hAnsi="Verdana"/>
          <w:b w:val="0"/>
          <w:sz w:val="16"/>
          <w:szCs w:val="16"/>
        </w:rPr>
        <w:t>.</w:t>
      </w:r>
      <w:r w:rsidR="0052102C" w:rsidRPr="00864F6B">
        <w:rPr>
          <w:rStyle w:val="Textoennegrita"/>
          <w:rFonts w:ascii="Verdana" w:hAnsi="Verdana"/>
          <w:b w:val="0"/>
          <w:sz w:val="16"/>
          <w:szCs w:val="16"/>
        </w:rPr>
        <w:t xml:space="preserve"> Serie C No. 258, </w:t>
      </w:r>
      <w:r w:rsidR="0052102C">
        <w:rPr>
          <w:rFonts w:ascii="Verdana" w:hAnsi="Verdana"/>
          <w:sz w:val="16"/>
          <w:szCs w:val="16"/>
        </w:rPr>
        <w:t>p</w:t>
      </w:r>
      <w:r w:rsidR="0052102C" w:rsidRPr="00864F6B">
        <w:rPr>
          <w:rFonts w:ascii="Verdana" w:hAnsi="Verdana"/>
          <w:sz w:val="16"/>
          <w:szCs w:val="16"/>
        </w:rPr>
        <w:t>árr. 1</w:t>
      </w:r>
      <w:r w:rsidR="0052102C">
        <w:rPr>
          <w:rFonts w:ascii="Verdana" w:hAnsi="Verdana"/>
          <w:sz w:val="16"/>
          <w:szCs w:val="16"/>
        </w:rPr>
        <w:t>51</w:t>
      </w:r>
      <w:r w:rsidR="0052102C" w:rsidRPr="00864F6B">
        <w:rPr>
          <w:rFonts w:ascii="Verdana" w:hAnsi="Verdana"/>
          <w:sz w:val="16"/>
          <w:szCs w:val="16"/>
        </w:rPr>
        <w:t>.</w:t>
      </w:r>
    </w:p>
  </w:footnote>
  <w:footnote w:id="24">
    <w:p w:rsidR="009F2127" w:rsidRPr="000D6F4E" w:rsidRDefault="009F2127" w:rsidP="00DA2641">
      <w:pPr>
        <w:pStyle w:val="Textonotapie"/>
        <w:rPr>
          <w:rFonts w:ascii="Verdana" w:hAnsi="Verdana"/>
          <w:sz w:val="16"/>
          <w:szCs w:val="16"/>
        </w:rPr>
      </w:pPr>
      <w:r w:rsidRPr="000D6F4E">
        <w:rPr>
          <w:rStyle w:val="Refdenotaalpie"/>
          <w:rFonts w:ascii="Verdana" w:hAnsi="Verdana"/>
          <w:sz w:val="16"/>
          <w:szCs w:val="16"/>
        </w:rPr>
        <w:footnoteRef/>
      </w:r>
      <w:r w:rsidRPr="000D6F4E">
        <w:rPr>
          <w:rFonts w:ascii="Verdana" w:hAnsi="Verdana"/>
          <w:sz w:val="16"/>
          <w:szCs w:val="16"/>
        </w:rPr>
        <w:t xml:space="preserve"> </w:t>
      </w:r>
      <w:r w:rsidRPr="000D6F4E">
        <w:rPr>
          <w:rFonts w:ascii="Verdana" w:hAnsi="Verdana"/>
          <w:sz w:val="16"/>
          <w:szCs w:val="16"/>
        </w:rPr>
        <w:tab/>
        <w:t>El Tribunal aprobó la reserva de la información sobre el monto indemnizatorio (</w:t>
      </w:r>
      <w:r w:rsidRPr="00903463">
        <w:rPr>
          <w:rFonts w:ascii="Verdana" w:hAnsi="Verdana"/>
          <w:i/>
          <w:sz w:val="16"/>
          <w:szCs w:val="16"/>
        </w:rPr>
        <w:t xml:space="preserve">infra </w:t>
      </w:r>
      <w:r w:rsidRPr="000D6F4E">
        <w:rPr>
          <w:rFonts w:ascii="Verdana" w:hAnsi="Verdana"/>
          <w:sz w:val="16"/>
          <w:szCs w:val="16"/>
        </w:rPr>
        <w:t xml:space="preserve">Considerando </w:t>
      </w:r>
      <w:r w:rsidR="00314039">
        <w:rPr>
          <w:rFonts w:ascii="Verdana" w:hAnsi="Verdana"/>
          <w:sz w:val="16"/>
          <w:szCs w:val="16"/>
        </w:rPr>
        <w:fldChar w:fldCharType="begin"/>
      </w:r>
      <w:r w:rsidR="00314039">
        <w:rPr>
          <w:rFonts w:ascii="Verdana" w:hAnsi="Verdana"/>
          <w:sz w:val="16"/>
          <w:szCs w:val="16"/>
        </w:rPr>
        <w:instrText xml:space="preserve"> REF _Ref467851021 \r \h </w:instrText>
      </w:r>
      <w:r w:rsidR="00314039">
        <w:rPr>
          <w:rFonts w:ascii="Verdana" w:hAnsi="Verdana"/>
          <w:sz w:val="16"/>
          <w:szCs w:val="16"/>
        </w:rPr>
      </w:r>
      <w:r w:rsidR="00314039">
        <w:rPr>
          <w:rFonts w:ascii="Verdana" w:hAnsi="Verdana"/>
          <w:sz w:val="16"/>
          <w:szCs w:val="16"/>
        </w:rPr>
        <w:fldChar w:fldCharType="separate"/>
      </w:r>
      <w:r w:rsidR="00AC2F0E">
        <w:rPr>
          <w:rFonts w:ascii="Verdana" w:hAnsi="Verdana"/>
          <w:sz w:val="16"/>
          <w:szCs w:val="16"/>
        </w:rPr>
        <w:t>17</w:t>
      </w:r>
      <w:r w:rsidR="00314039">
        <w:rPr>
          <w:rFonts w:ascii="Verdana" w:hAnsi="Verdana"/>
          <w:sz w:val="16"/>
          <w:szCs w:val="16"/>
        </w:rPr>
        <w:fldChar w:fldCharType="end"/>
      </w:r>
      <w:r w:rsidRPr="000D6F4E">
        <w:rPr>
          <w:rFonts w:ascii="Verdana" w:hAnsi="Verdana"/>
          <w:sz w:val="16"/>
          <w:szCs w:val="16"/>
        </w:rPr>
        <w:t xml:space="preserve">). </w:t>
      </w:r>
    </w:p>
  </w:footnote>
  <w:footnote w:id="25">
    <w:p w:rsidR="009F2127" w:rsidRPr="00DA0375" w:rsidRDefault="009F2127" w:rsidP="00DA2641">
      <w:pPr>
        <w:pStyle w:val="Textonotapie"/>
        <w:jc w:val="both"/>
        <w:rPr>
          <w:rFonts w:ascii="Verdana" w:hAnsi="Verdana"/>
          <w:sz w:val="16"/>
          <w:szCs w:val="16"/>
        </w:rPr>
      </w:pPr>
      <w:r w:rsidRPr="00DA0375">
        <w:rPr>
          <w:rStyle w:val="Refdenotaalpie"/>
          <w:rFonts w:ascii="Verdana" w:hAnsi="Verdana"/>
          <w:sz w:val="16"/>
          <w:szCs w:val="16"/>
        </w:rPr>
        <w:footnoteRef/>
      </w:r>
      <w:r w:rsidRPr="00DA0375">
        <w:rPr>
          <w:rFonts w:ascii="Verdana" w:hAnsi="Verdana"/>
          <w:sz w:val="16"/>
          <w:szCs w:val="16"/>
        </w:rPr>
        <w:t xml:space="preserve"> </w:t>
      </w:r>
      <w:r w:rsidR="00881705">
        <w:rPr>
          <w:rFonts w:ascii="Verdana" w:hAnsi="Verdana"/>
          <w:sz w:val="16"/>
          <w:szCs w:val="16"/>
        </w:rPr>
        <w:tab/>
      </w:r>
      <w:r w:rsidRPr="00DA0375">
        <w:rPr>
          <w:rFonts w:ascii="Verdana" w:hAnsi="Verdana"/>
          <w:sz w:val="16"/>
          <w:szCs w:val="16"/>
        </w:rPr>
        <w:t>La Corte determinó que el pago debía hacerse en “un plazo máximo de seis meses, contado a partir de la notificación” de la Sentencia y, en caso contrario, el interés moratorio comenzaría a correr “una vez que hubieran transcurrido los seis meses” antes referidos.</w:t>
      </w:r>
    </w:p>
  </w:footnote>
  <w:footnote w:id="26">
    <w:p w:rsidR="009F2127" w:rsidRPr="00B15D48" w:rsidRDefault="009F2127" w:rsidP="00DA2641">
      <w:pPr>
        <w:spacing w:after="0" w:line="240" w:lineRule="auto"/>
        <w:jc w:val="both"/>
        <w:rPr>
          <w:rFonts w:ascii="Verdana" w:hAnsi="Verdana"/>
          <w:sz w:val="16"/>
          <w:szCs w:val="16"/>
        </w:rPr>
      </w:pPr>
      <w:r w:rsidRPr="00B15D48">
        <w:rPr>
          <w:rStyle w:val="Refdenotaalpie"/>
          <w:rFonts w:ascii="Verdana" w:hAnsi="Verdana"/>
          <w:sz w:val="16"/>
          <w:szCs w:val="16"/>
        </w:rPr>
        <w:footnoteRef/>
      </w:r>
      <w:r w:rsidRPr="00B15D48">
        <w:rPr>
          <w:rFonts w:ascii="Verdana" w:hAnsi="Verdana"/>
          <w:sz w:val="16"/>
          <w:szCs w:val="16"/>
        </w:rPr>
        <w:t xml:space="preserve"> </w:t>
      </w:r>
      <w:r w:rsidR="00881705">
        <w:rPr>
          <w:rFonts w:ascii="Verdana" w:hAnsi="Verdana"/>
          <w:sz w:val="16"/>
          <w:szCs w:val="16"/>
        </w:rPr>
        <w:tab/>
      </w:r>
      <w:r w:rsidRPr="00B15D48">
        <w:rPr>
          <w:rFonts w:ascii="Verdana" w:hAnsi="Verdana"/>
          <w:sz w:val="16"/>
          <w:szCs w:val="16"/>
        </w:rPr>
        <w:t xml:space="preserve">La Corte determinó que “el Estado </w:t>
      </w:r>
      <w:proofErr w:type="gramStart"/>
      <w:r w:rsidRPr="00B15D48">
        <w:rPr>
          <w:rFonts w:ascii="Verdana" w:hAnsi="Verdana"/>
          <w:sz w:val="16"/>
          <w:szCs w:val="16"/>
        </w:rPr>
        <w:t>deb[</w:t>
      </w:r>
      <w:proofErr w:type="gramEnd"/>
      <w:r w:rsidRPr="00B15D48">
        <w:rPr>
          <w:rFonts w:ascii="Verdana" w:hAnsi="Verdana"/>
          <w:sz w:val="16"/>
          <w:szCs w:val="16"/>
        </w:rPr>
        <w:t>ía] cancelar dicho monto en un plazo máximo de seis meses, contado a partir de la notificación” de la Sentencia y, en caso contrario, el interés moratorio comenzaría a correr “una vez que hubieran transcurrido los seis meses” antes referidos.</w:t>
      </w:r>
    </w:p>
  </w:footnote>
  <w:footnote w:id="27">
    <w:p w:rsidR="009F2127" w:rsidRPr="008A2249" w:rsidRDefault="009F2127" w:rsidP="00DA2641">
      <w:pPr>
        <w:pStyle w:val="Textonotapie"/>
        <w:jc w:val="both"/>
        <w:rPr>
          <w:rFonts w:ascii="Verdana" w:hAnsi="Verdana"/>
          <w:sz w:val="16"/>
          <w:szCs w:val="16"/>
          <w:lang w:val="es-CR"/>
        </w:rPr>
      </w:pPr>
      <w:r w:rsidRPr="00302B7E">
        <w:rPr>
          <w:rStyle w:val="Refdenotaalpie"/>
          <w:rFonts w:ascii="Verdana" w:hAnsi="Verdana"/>
          <w:sz w:val="16"/>
          <w:szCs w:val="16"/>
        </w:rPr>
        <w:footnoteRef/>
      </w:r>
      <w:r w:rsidRPr="00302B7E">
        <w:rPr>
          <w:rFonts w:ascii="Verdana" w:hAnsi="Verdana"/>
          <w:sz w:val="16"/>
          <w:szCs w:val="16"/>
        </w:rPr>
        <w:t xml:space="preserve"> </w:t>
      </w:r>
      <w:r w:rsidR="00881705">
        <w:rPr>
          <w:rFonts w:ascii="Verdana" w:hAnsi="Verdana"/>
          <w:sz w:val="16"/>
          <w:szCs w:val="16"/>
        </w:rPr>
        <w:tab/>
      </w:r>
      <w:r w:rsidRPr="00302B7E">
        <w:rPr>
          <w:rFonts w:ascii="Verdana" w:hAnsi="Verdana"/>
          <w:i/>
          <w:sz w:val="16"/>
          <w:szCs w:val="16"/>
          <w:lang w:val="es-CR"/>
        </w:rPr>
        <w:t xml:space="preserve">Cfr. </w:t>
      </w:r>
      <w:r>
        <w:rPr>
          <w:rFonts w:ascii="Verdana" w:hAnsi="Verdana"/>
          <w:sz w:val="16"/>
          <w:szCs w:val="16"/>
          <w:lang w:val="es-CR"/>
        </w:rPr>
        <w:t>Tres a</w:t>
      </w:r>
      <w:r w:rsidRPr="00302B7E">
        <w:rPr>
          <w:rFonts w:ascii="Verdana" w:hAnsi="Verdana"/>
          <w:sz w:val="16"/>
          <w:szCs w:val="16"/>
          <w:lang w:val="es-CR"/>
        </w:rPr>
        <w:t>cta</w:t>
      </w:r>
      <w:r>
        <w:rPr>
          <w:rFonts w:ascii="Verdana" w:hAnsi="Verdana"/>
          <w:sz w:val="16"/>
          <w:szCs w:val="16"/>
          <w:lang w:val="es-CR"/>
        </w:rPr>
        <w:t>s</w:t>
      </w:r>
      <w:r w:rsidRPr="00302B7E">
        <w:rPr>
          <w:rFonts w:ascii="Verdana" w:hAnsi="Verdana"/>
          <w:sz w:val="16"/>
          <w:szCs w:val="16"/>
          <w:lang w:val="es-CR"/>
        </w:rPr>
        <w:t xml:space="preserve"> </w:t>
      </w:r>
      <w:r>
        <w:rPr>
          <w:rFonts w:ascii="Verdana" w:hAnsi="Verdana"/>
          <w:sz w:val="16"/>
          <w:szCs w:val="16"/>
          <w:lang w:val="es-CR"/>
        </w:rPr>
        <w:t>suscritas por las víctimas y el Presidente de COPREDEH del 17 de julio de 2013, mediante las cuales se deja constancia de los pagos realizados, respectivamente, a Nineth Varenca Montenegro Cottom, Alejandra García Montenegro de Peraza  y María Emilia García, por concepto de “la reparación económica acordada con el Estado de Guatemala en el Acuerdo de Solución Amistosa indicado, medida de reparación homologada por la Corte Interamericana de Derechos Humanos”</w:t>
      </w:r>
      <w:r w:rsidR="00493B7C">
        <w:rPr>
          <w:rFonts w:ascii="Verdana" w:hAnsi="Verdana"/>
          <w:sz w:val="16"/>
          <w:szCs w:val="16"/>
          <w:lang w:val="es-CR"/>
        </w:rPr>
        <w:t>, y un</w:t>
      </w:r>
      <w:r w:rsidRPr="00E85782">
        <w:rPr>
          <w:rFonts w:ascii="Verdana" w:hAnsi="Verdana"/>
          <w:sz w:val="16"/>
          <w:szCs w:val="16"/>
          <w:lang w:val="es-CR"/>
        </w:rPr>
        <w:t xml:space="preserve"> acta suscrita por </w:t>
      </w:r>
      <w:r w:rsidRPr="00E85782">
        <w:rPr>
          <w:rFonts w:ascii="Verdana" w:hAnsi="Verdana"/>
          <w:sz w:val="16"/>
          <w:szCs w:val="16"/>
        </w:rPr>
        <w:t xml:space="preserve">Mario Alcides Polanco Pérez, en su calidad de Presidente y </w:t>
      </w:r>
      <w:r w:rsidR="00881705">
        <w:rPr>
          <w:rFonts w:ascii="Verdana" w:hAnsi="Verdana"/>
          <w:sz w:val="16"/>
          <w:szCs w:val="16"/>
          <w:lang w:val="es-ES"/>
        </w:rPr>
        <w:t>r</w:t>
      </w:r>
      <w:r w:rsidRPr="00E85782">
        <w:rPr>
          <w:rFonts w:ascii="Verdana" w:hAnsi="Verdana"/>
          <w:sz w:val="16"/>
          <w:szCs w:val="16"/>
          <w:lang w:val="es-ES"/>
        </w:rPr>
        <w:t>epresentante</w:t>
      </w:r>
      <w:r w:rsidRPr="00E85782">
        <w:rPr>
          <w:rFonts w:ascii="Verdana" w:hAnsi="Verdana"/>
          <w:sz w:val="16"/>
          <w:szCs w:val="16"/>
        </w:rPr>
        <w:t xml:space="preserve"> legal de la entidad Grupo de Apoyo Mutuo</w:t>
      </w:r>
      <w:r w:rsidR="00881705">
        <w:rPr>
          <w:rFonts w:ascii="Verdana" w:hAnsi="Verdana"/>
          <w:sz w:val="16"/>
          <w:szCs w:val="16"/>
        </w:rPr>
        <w:t xml:space="preserve"> –GAM-, y por el Presidente de </w:t>
      </w:r>
      <w:r w:rsidRPr="00E85782">
        <w:rPr>
          <w:rFonts w:ascii="Verdana" w:hAnsi="Verdana"/>
          <w:sz w:val="16"/>
          <w:szCs w:val="16"/>
        </w:rPr>
        <w:t>COPREDEH</w:t>
      </w:r>
      <w:r w:rsidRPr="00E85782">
        <w:rPr>
          <w:rFonts w:ascii="Verdana" w:hAnsi="Verdana"/>
          <w:sz w:val="16"/>
          <w:szCs w:val="16"/>
          <w:lang w:val="es-CR"/>
        </w:rPr>
        <w:t xml:space="preserve"> del 17 de julio de 2013, mediante la cual se deja constancia del pago que le fue realizado por la cantidad de </w:t>
      </w:r>
      <w:r w:rsidRPr="00E85782">
        <w:rPr>
          <w:rFonts w:ascii="Verdana" w:hAnsi="Verdana"/>
          <w:sz w:val="16"/>
          <w:szCs w:val="16"/>
        </w:rPr>
        <w:t>quinientos mil quetzales (Q. 500,000.00) en concepto del “aporte simbólico acordado con el Estado de Guatemala en el Acuerdo de Solución Amistosa indicado, aporte homologado por la Corte Interamericana de Derechos Humanos”.</w:t>
      </w:r>
      <w:r w:rsidRPr="00E85782">
        <w:rPr>
          <w:rFonts w:ascii="Verdana" w:hAnsi="Verdana"/>
          <w:sz w:val="16"/>
          <w:szCs w:val="16"/>
          <w:lang w:val="es-CR"/>
        </w:rPr>
        <w:t xml:space="preserve"> </w:t>
      </w:r>
      <w:r w:rsidRPr="008A2249">
        <w:rPr>
          <w:rFonts w:ascii="Verdana" w:hAnsi="Verdana"/>
          <w:sz w:val="16"/>
          <w:szCs w:val="16"/>
          <w:lang w:val="es-CR"/>
        </w:rPr>
        <w:t>(Anexos al informe del Estado de 20 de mayo de 2015).</w:t>
      </w:r>
    </w:p>
  </w:footnote>
  <w:footnote w:id="28">
    <w:p w:rsidR="009F2127" w:rsidRPr="00010C1A" w:rsidRDefault="009F2127" w:rsidP="00DA2641">
      <w:pPr>
        <w:pStyle w:val="Textonotapie"/>
        <w:jc w:val="both"/>
        <w:rPr>
          <w:rFonts w:ascii="Verdana" w:hAnsi="Verdana"/>
          <w:sz w:val="16"/>
          <w:szCs w:val="16"/>
        </w:rPr>
      </w:pPr>
      <w:r w:rsidRPr="00474698">
        <w:rPr>
          <w:rStyle w:val="Refdenotaalpie"/>
          <w:rFonts w:ascii="Verdana" w:hAnsi="Verdana"/>
          <w:sz w:val="16"/>
          <w:szCs w:val="16"/>
        </w:rPr>
        <w:footnoteRef/>
      </w:r>
      <w:r w:rsidRPr="00474698">
        <w:rPr>
          <w:rFonts w:ascii="Verdana" w:hAnsi="Verdana"/>
          <w:sz w:val="16"/>
          <w:szCs w:val="16"/>
        </w:rPr>
        <w:t xml:space="preserve"> </w:t>
      </w:r>
      <w:r w:rsidRPr="00474698">
        <w:rPr>
          <w:rFonts w:ascii="Verdana" w:hAnsi="Verdana"/>
          <w:sz w:val="16"/>
          <w:szCs w:val="16"/>
        </w:rPr>
        <w:tab/>
        <w:t xml:space="preserve">En su escrito presentado el </w:t>
      </w:r>
      <w:r w:rsidR="00F74DE4">
        <w:rPr>
          <w:rFonts w:ascii="Verdana" w:hAnsi="Verdana"/>
          <w:sz w:val="16"/>
          <w:szCs w:val="16"/>
        </w:rPr>
        <w:t>21</w:t>
      </w:r>
      <w:r w:rsidRPr="00474698">
        <w:rPr>
          <w:rFonts w:ascii="Verdana" w:hAnsi="Verdana"/>
          <w:sz w:val="16"/>
          <w:szCs w:val="16"/>
        </w:rPr>
        <w:t xml:space="preserve"> </w:t>
      </w:r>
      <w:r w:rsidRPr="00010C1A">
        <w:rPr>
          <w:rFonts w:ascii="Verdana" w:hAnsi="Verdana"/>
          <w:sz w:val="16"/>
          <w:szCs w:val="16"/>
        </w:rPr>
        <w:t xml:space="preserve">de enero de 2014 de observaciones al informe estatal de </w:t>
      </w:r>
      <w:r w:rsidR="00F74DE4">
        <w:rPr>
          <w:rFonts w:ascii="Verdana" w:hAnsi="Verdana"/>
          <w:sz w:val="16"/>
          <w:szCs w:val="16"/>
        </w:rPr>
        <w:t>16 de enero de 2014</w:t>
      </w:r>
      <w:r w:rsidRPr="00010C1A">
        <w:rPr>
          <w:rFonts w:ascii="Verdana" w:hAnsi="Verdana"/>
          <w:sz w:val="16"/>
          <w:szCs w:val="16"/>
        </w:rPr>
        <w:t>.</w:t>
      </w:r>
    </w:p>
  </w:footnote>
  <w:footnote w:id="29">
    <w:p w:rsidR="009F2127" w:rsidRPr="00474698" w:rsidRDefault="009F2127" w:rsidP="00474698">
      <w:pPr>
        <w:pStyle w:val="Textonotapie"/>
        <w:jc w:val="both"/>
      </w:pPr>
      <w:r w:rsidRPr="00474698">
        <w:rPr>
          <w:rStyle w:val="Refdenotaalpie"/>
          <w:rFonts w:ascii="Verdana" w:hAnsi="Verdana"/>
          <w:sz w:val="16"/>
          <w:szCs w:val="16"/>
        </w:rPr>
        <w:footnoteRef/>
      </w:r>
      <w:r w:rsidRPr="00474698">
        <w:rPr>
          <w:rFonts w:ascii="Verdana" w:hAnsi="Verdana"/>
          <w:sz w:val="16"/>
          <w:szCs w:val="16"/>
        </w:rPr>
        <w:t xml:space="preserve"> </w:t>
      </w:r>
      <w:r w:rsidRPr="00474698">
        <w:rPr>
          <w:rFonts w:ascii="Verdana" w:hAnsi="Verdana"/>
          <w:sz w:val="16"/>
          <w:szCs w:val="16"/>
        </w:rPr>
        <w:tab/>
        <w:t>En su escrito de observac</w:t>
      </w:r>
      <w:r w:rsidR="00C81D1F">
        <w:rPr>
          <w:rFonts w:ascii="Verdana" w:hAnsi="Verdana"/>
          <w:sz w:val="16"/>
          <w:szCs w:val="16"/>
        </w:rPr>
        <w:t>iones de 15 de julio de 2015 no</w:t>
      </w:r>
      <w:r w:rsidRPr="00474698">
        <w:rPr>
          <w:rFonts w:ascii="Verdana" w:hAnsi="Verdana"/>
          <w:sz w:val="16"/>
          <w:szCs w:val="16"/>
        </w:rPr>
        <w:t xml:space="preserve"> presentaron objeción alguna sobre las actas que el Estado adjuntó a su informe de </w:t>
      </w:r>
      <w:r w:rsidR="00F74DE4">
        <w:rPr>
          <w:rFonts w:ascii="Verdana" w:hAnsi="Verdana"/>
          <w:sz w:val="16"/>
          <w:szCs w:val="16"/>
        </w:rPr>
        <w:t>20 de mayo de 2015</w:t>
      </w:r>
      <w:r w:rsidRPr="00474698">
        <w:rPr>
          <w:rFonts w:ascii="Verdana" w:hAnsi="Verdana"/>
          <w:sz w:val="16"/>
          <w:szCs w:val="16"/>
        </w:rPr>
        <w:t xml:space="preserve"> como comprobantes de los referidos pagos.</w:t>
      </w:r>
    </w:p>
  </w:footnote>
  <w:footnote w:id="30">
    <w:p w:rsidR="009F2127" w:rsidRPr="000F6A80" w:rsidRDefault="009F2127" w:rsidP="00DC5933">
      <w:pPr>
        <w:pStyle w:val="Textonotapie"/>
        <w:jc w:val="both"/>
        <w:rPr>
          <w:rFonts w:ascii="Verdana" w:hAnsi="Verdana"/>
          <w:sz w:val="16"/>
          <w:szCs w:val="16"/>
        </w:rPr>
      </w:pPr>
      <w:r w:rsidRPr="000F6A80">
        <w:rPr>
          <w:rStyle w:val="Refdenotaalpie"/>
          <w:rFonts w:ascii="Verdana" w:hAnsi="Verdana"/>
          <w:sz w:val="16"/>
          <w:szCs w:val="16"/>
        </w:rPr>
        <w:footnoteRef/>
      </w:r>
      <w:r w:rsidRPr="000F6A80">
        <w:rPr>
          <w:rFonts w:ascii="Verdana" w:hAnsi="Verdana"/>
          <w:sz w:val="16"/>
          <w:szCs w:val="16"/>
        </w:rPr>
        <w:t xml:space="preserve"> </w:t>
      </w:r>
      <w:r w:rsidRPr="000F6A80">
        <w:rPr>
          <w:rFonts w:ascii="Verdana" w:hAnsi="Verdana"/>
          <w:sz w:val="16"/>
          <w:szCs w:val="16"/>
        </w:rPr>
        <w:tab/>
      </w:r>
      <w:r w:rsidR="00890AF6" w:rsidRPr="00DC5933">
        <w:rPr>
          <w:rStyle w:val="Textoennegrita"/>
          <w:rFonts w:ascii="Verdana" w:hAnsi="Verdana"/>
          <w:b w:val="0"/>
          <w:i/>
          <w:sz w:val="16"/>
          <w:szCs w:val="16"/>
        </w:rPr>
        <w:t>Caso García y familiares Vs. Guatemala</w:t>
      </w:r>
      <w:r w:rsidR="00890AF6" w:rsidRPr="00DC5933">
        <w:rPr>
          <w:rStyle w:val="Textoennegrita"/>
          <w:rFonts w:ascii="Verdana" w:hAnsi="Verdana"/>
          <w:b w:val="0"/>
          <w:sz w:val="16"/>
          <w:szCs w:val="16"/>
        </w:rPr>
        <w:t xml:space="preserve">. </w:t>
      </w:r>
      <w:r w:rsidR="00890AF6" w:rsidRPr="00493B7C">
        <w:rPr>
          <w:rStyle w:val="Textoennegrita"/>
          <w:rFonts w:ascii="Verdana" w:hAnsi="Verdana"/>
          <w:b w:val="0"/>
          <w:i/>
          <w:sz w:val="16"/>
          <w:szCs w:val="16"/>
        </w:rPr>
        <w:t>Fondo</w:t>
      </w:r>
      <w:r w:rsidR="00493B7C" w:rsidRPr="00493B7C">
        <w:rPr>
          <w:rStyle w:val="Textoennegrita"/>
          <w:rFonts w:ascii="Verdana" w:hAnsi="Verdana"/>
          <w:b w:val="0"/>
          <w:i/>
          <w:sz w:val="16"/>
          <w:szCs w:val="16"/>
        </w:rPr>
        <w:t>,</w:t>
      </w:r>
      <w:r w:rsidR="00890AF6" w:rsidRPr="00493B7C">
        <w:rPr>
          <w:rStyle w:val="Textoennegrita"/>
          <w:rFonts w:ascii="Verdana" w:hAnsi="Verdana"/>
          <w:b w:val="0"/>
          <w:i/>
          <w:sz w:val="16"/>
          <w:szCs w:val="16"/>
        </w:rPr>
        <w:t xml:space="preserve"> Reparaciones y Costas.</w:t>
      </w:r>
      <w:r w:rsidR="00890AF6" w:rsidRPr="00DC5933">
        <w:rPr>
          <w:rStyle w:val="Textoennegrita"/>
          <w:rFonts w:ascii="Verdana" w:hAnsi="Verdana"/>
          <w:b w:val="0"/>
          <w:sz w:val="16"/>
          <w:szCs w:val="16"/>
        </w:rPr>
        <w:t xml:space="preserve"> Sentencia de 29 noviembre de 2012</w:t>
      </w:r>
      <w:r w:rsidR="00493B7C">
        <w:rPr>
          <w:rStyle w:val="Textoennegrita"/>
          <w:rFonts w:ascii="Verdana" w:hAnsi="Verdana"/>
          <w:b w:val="0"/>
          <w:sz w:val="16"/>
          <w:szCs w:val="16"/>
        </w:rPr>
        <w:t>.</w:t>
      </w:r>
      <w:r w:rsidR="00890AF6" w:rsidRPr="00DC5933">
        <w:rPr>
          <w:rStyle w:val="Textoennegrita"/>
          <w:rFonts w:ascii="Verdana" w:hAnsi="Verdana"/>
          <w:b w:val="0"/>
          <w:sz w:val="16"/>
          <w:szCs w:val="16"/>
        </w:rPr>
        <w:t xml:space="preserve"> Serie C No. 258, </w:t>
      </w:r>
      <w:r w:rsidR="00493B7C">
        <w:rPr>
          <w:rFonts w:ascii="Verdana" w:hAnsi="Verdana"/>
          <w:sz w:val="16"/>
          <w:szCs w:val="16"/>
        </w:rPr>
        <w:t>p</w:t>
      </w:r>
      <w:r w:rsidR="00890AF6" w:rsidRPr="00DC5933">
        <w:rPr>
          <w:rFonts w:ascii="Verdana" w:hAnsi="Verdana"/>
          <w:sz w:val="16"/>
          <w:szCs w:val="16"/>
        </w:rPr>
        <w:t>árr. 225.</w:t>
      </w:r>
      <w:r w:rsidR="00890AF6" w:rsidRPr="00A2152B">
        <w:rPr>
          <w:rFonts w:ascii="Verdana" w:hAnsi="Verdana"/>
          <w:sz w:val="16"/>
          <w:szCs w:val="16"/>
        </w:rPr>
        <w:t xml:space="preserve"> </w:t>
      </w:r>
    </w:p>
  </w:footnote>
  <w:footnote w:id="31">
    <w:p w:rsidR="009F2127" w:rsidRPr="001E1BC9" w:rsidRDefault="009F2127" w:rsidP="001E1BC9">
      <w:pPr>
        <w:pStyle w:val="Textonotapie"/>
        <w:jc w:val="both"/>
        <w:rPr>
          <w:rFonts w:ascii="Verdana" w:hAnsi="Verdana"/>
          <w:sz w:val="16"/>
          <w:szCs w:val="16"/>
          <w:lang w:val="es-CR"/>
        </w:rPr>
      </w:pPr>
      <w:r w:rsidRPr="001E1BC9">
        <w:rPr>
          <w:rStyle w:val="Refdenotaalpie"/>
          <w:rFonts w:ascii="Verdana" w:hAnsi="Verdana"/>
          <w:sz w:val="16"/>
          <w:szCs w:val="16"/>
        </w:rPr>
        <w:footnoteRef/>
      </w:r>
      <w:r w:rsidRPr="001E1BC9">
        <w:rPr>
          <w:rFonts w:ascii="Verdana" w:hAnsi="Verdana"/>
          <w:sz w:val="16"/>
          <w:szCs w:val="16"/>
        </w:rPr>
        <w:t xml:space="preserve"> </w:t>
      </w:r>
      <w:r w:rsidR="001E1BC9" w:rsidRPr="001E1BC9">
        <w:rPr>
          <w:rFonts w:ascii="Verdana" w:hAnsi="Verdana"/>
          <w:sz w:val="16"/>
          <w:szCs w:val="16"/>
        </w:rPr>
        <w:tab/>
        <w:t xml:space="preserve">En escrito de 21 de enero de 2014 los representantes alegaron un “incumplimiento por parte del Estado de Guatemala de lo establecido en la Sentencia” al sostener que el Secretario de la Paz, Antonio Arenales Forno, “filtró información sobre los montos indemnizatorios otorgados a los familiares de Edgar Fernando García”, así como que “proporcionó a [una] periodista […] del Diario Siglo XXI </w:t>
      </w:r>
      <w:r w:rsidR="00493B7C">
        <w:rPr>
          <w:rFonts w:ascii="Verdana" w:hAnsi="Verdana"/>
          <w:sz w:val="16"/>
          <w:szCs w:val="16"/>
        </w:rPr>
        <w:t>‘</w:t>
      </w:r>
      <w:r w:rsidR="001E1BC9" w:rsidRPr="001E1BC9">
        <w:rPr>
          <w:rFonts w:ascii="Verdana" w:hAnsi="Verdana"/>
          <w:sz w:val="16"/>
          <w:szCs w:val="16"/>
        </w:rPr>
        <w:t>copia de los “</w:t>
      </w:r>
      <w:r w:rsidR="001E1BC9" w:rsidRPr="001E1BC9">
        <w:rPr>
          <w:rFonts w:ascii="Verdana" w:hAnsi="Verdana"/>
          <w:i/>
          <w:sz w:val="16"/>
          <w:szCs w:val="16"/>
        </w:rPr>
        <w:t>Vouche</w:t>
      </w:r>
      <w:r w:rsidR="001E1BC9" w:rsidRPr="001E1BC9">
        <w:rPr>
          <w:rFonts w:ascii="Verdana" w:hAnsi="Verdana"/>
          <w:sz w:val="16"/>
          <w:szCs w:val="16"/>
        </w:rPr>
        <w:t>r</w:t>
      </w:r>
      <w:r w:rsidR="00493B7C">
        <w:rPr>
          <w:rFonts w:ascii="Verdana" w:hAnsi="Verdana"/>
          <w:sz w:val="16"/>
          <w:szCs w:val="16"/>
        </w:rPr>
        <w:t>’</w:t>
      </w:r>
      <w:r w:rsidR="001E1BC9" w:rsidRPr="001E1BC9">
        <w:rPr>
          <w:rFonts w:ascii="Verdana" w:hAnsi="Verdana"/>
          <w:sz w:val="16"/>
          <w:szCs w:val="16"/>
        </w:rPr>
        <w:t xml:space="preserve"> en los cuales publica los montos proporcionados”  a las familiares de Edgar Fernando García</w:t>
      </w:r>
      <w:r w:rsidR="00556EC7">
        <w:rPr>
          <w:rFonts w:ascii="Verdana" w:hAnsi="Verdana"/>
          <w:sz w:val="16"/>
          <w:szCs w:val="16"/>
        </w:rPr>
        <w:t>.</w:t>
      </w:r>
      <w:r w:rsidR="001E1BC9" w:rsidRPr="001E1BC9">
        <w:rPr>
          <w:rFonts w:ascii="Verdana" w:hAnsi="Verdana"/>
          <w:sz w:val="16"/>
          <w:szCs w:val="16"/>
        </w:rPr>
        <w:t xml:space="preserve"> </w:t>
      </w:r>
    </w:p>
  </w:footnote>
  <w:footnote w:id="32">
    <w:p w:rsidR="001E1BC9" w:rsidRPr="001E1BC9" w:rsidRDefault="001E1BC9" w:rsidP="001E1BC9">
      <w:pPr>
        <w:pStyle w:val="Textonotapie"/>
        <w:jc w:val="both"/>
        <w:rPr>
          <w:rFonts w:ascii="Verdana" w:hAnsi="Verdana"/>
          <w:sz w:val="16"/>
          <w:szCs w:val="16"/>
        </w:rPr>
      </w:pPr>
      <w:r w:rsidRPr="001E1BC9">
        <w:rPr>
          <w:rStyle w:val="Refdenotaalpie"/>
          <w:rFonts w:ascii="Verdana" w:hAnsi="Verdana"/>
          <w:sz w:val="16"/>
          <w:szCs w:val="16"/>
        </w:rPr>
        <w:footnoteRef/>
      </w:r>
      <w:r w:rsidRPr="001E1BC9">
        <w:rPr>
          <w:rFonts w:ascii="Verdana" w:hAnsi="Verdana"/>
          <w:sz w:val="16"/>
          <w:szCs w:val="16"/>
        </w:rPr>
        <w:t xml:space="preserve"> </w:t>
      </w:r>
      <w:r>
        <w:rPr>
          <w:rFonts w:ascii="Verdana" w:hAnsi="Verdana"/>
          <w:sz w:val="16"/>
          <w:szCs w:val="16"/>
        </w:rPr>
        <w:tab/>
      </w:r>
      <w:r w:rsidRPr="001E1BC9">
        <w:rPr>
          <w:rFonts w:ascii="Verdana" w:hAnsi="Verdana"/>
          <w:sz w:val="16"/>
          <w:szCs w:val="16"/>
        </w:rPr>
        <w:t xml:space="preserve">Mediante Nota de Secretaría de 19 de febrero de 2014, siguiendo instrucciones del Presidente la Corte, se solicitó a los representantes de las víctimas y a la Comisión que presentaran las observaciones que estimaran pertinentes respecto a la información proporcionada por el Estado. </w:t>
      </w:r>
    </w:p>
  </w:footnote>
  <w:footnote w:id="33">
    <w:p w:rsidR="00046D02" w:rsidRPr="00046D02" w:rsidRDefault="00046D02" w:rsidP="00046D02">
      <w:pPr>
        <w:pStyle w:val="Textonotapie"/>
        <w:jc w:val="both"/>
        <w:rPr>
          <w:rFonts w:ascii="Verdana" w:hAnsi="Verdana"/>
          <w:sz w:val="16"/>
          <w:szCs w:val="16"/>
        </w:rPr>
      </w:pPr>
      <w:r w:rsidRPr="00046D02">
        <w:rPr>
          <w:rStyle w:val="Refdenotaalpie"/>
          <w:rFonts w:ascii="Verdana" w:hAnsi="Verdana"/>
          <w:sz w:val="16"/>
          <w:szCs w:val="16"/>
        </w:rPr>
        <w:footnoteRef/>
      </w:r>
      <w:r w:rsidRPr="00046D02">
        <w:rPr>
          <w:rFonts w:ascii="Verdana" w:hAnsi="Verdana"/>
          <w:sz w:val="16"/>
          <w:szCs w:val="16"/>
        </w:rPr>
        <w:t xml:space="preserve"> </w:t>
      </w:r>
      <w:r w:rsidRPr="00046D02">
        <w:rPr>
          <w:rFonts w:ascii="Verdana" w:hAnsi="Verdana"/>
          <w:sz w:val="16"/>
          <w:szCs w:val="16"/>
        </w:rPr>
        <w:tab/>
      </w:r>
      <w:r w:rsidR="00953B70">
        <w:rPr>
          <w:rFonts w:ascii="Verdana" w:hAnsi="Verdana"/>
          <w:sz w:val="16"/>
          <w:szCs w:val="16"/>
        </w:rPr>
        <w:t xml:space="preserve">En relación a lo </w:t>
      </w:r>
      <w:r w:rsidRPr="00046D02">
        <w:rPr>
          <w:rFonts w:ascii="Verdana" w:hAnsi="Verdana"/>
          <w:sz w:val="16"/>
          <w:szCs w:val="16"/>
        </w:rPr>
        <w:t xml:space="preserve">expuesto por la Comisión en escrito su escrito de observaciones de </w:t>
      </w:r>
      <w:r w:rsidR="00953B70">
        <w:rPr>
          <w:rFonts w:ascii="Verdana" w:hAnsi="Verdana"/>
          <w:sz w:val="16"/>
          <w:szCs w:val="16"/>
        </w:rPr>
        <w:t xml:space="preserve">28 de </w:t>
      </w:r>
      <w:r w:rsidRPr="00046D02">
        <w:rPr>
          <w:rFonts w:ascii="Verdana" w:hAnsi="Verdana"/>
          <w:sz w:val="16"/>
          <w:szCs w:val="16"/>
        </w:rPr>
        <w:t>marzo de 2014</w:t>
      </w:r>
      <w:r w:rsidR="00953B70">
        <w:rPr>
          <w:rFonts w:ascii="Verdana" w:hAnsi="Verdana"/>
          <w:sz w:val="16"/>
          <w:szCs w:val="16"/>
        </w:rPr>
        <w:t xml:space="preserve">. </w:t>
      </w:r>
    </w:p>
  </w:footnote>
  <w:footnote w:id="34">
    <w:p w:rsidR="009F2127" w:rsidRPr="005B4B9E" w:rsidRDefault="009F2127" w:rsidP="005B4B9E">
      <w:pPr>
        <w:pStyle w:val="Textonotapie"/>
        <w:jc w:val="both"/>
        <w:rPr>
          <w:rFonts w:ascii="Verdana" w:hAnsi="Verdana"/>
          <w:sz w:val="16"/>
          <w:szCs w:val="16"/>
        </w:rPr>
      </w:pPr>
      <w:r w:rsidRPr="005B4B9E">
        <w:rPr>
          <w:rStyle w:val="Refdenotaalpie"/>
          <w:rFonts w:ascii="Verdana" w:hAnsi="Verdana"/>
          <w:sz w:val="16"/>
          <w:szCs w:val="16"/>
        </w:rPr>
        <w:footnoteRef/>
      </w:r>
      <w:r w:rsidRPr="005B4B9E">
        <w:rPr>
          <w:rFonts w:ascii="Verdana" w:hAnsi="Verdana"/>
          <w:sz w:val="16"/>
          <w:szCs w:val="16"/>
        </w:rPr>
        <w:t xml:space="preserve"> </w:t>
      </w:r>
      <w:r w:rsidRPr="005B4B9E">
        <w:rPr>
          <w:rFonts w:ascii="Verdana" w:hAnsi="Verdana"/>
          <w:sz w:val="16"/>
          <w:szCs w:val="16"/>
        </w:rPr>
        <w:tab/>
        <w:t>La Corte nota que respecto a la presente reparación</w:t>
      </w:r>
      <w:r w:rsidR="00493B7C">
        <w:rPr>
          <w:rFonts w:ascii="Verdana" w:hAnsi="Verdana"/>
          <w:sz w:val="16"/>
          <w:szCs w:val="16"/>
        </w:rPr>
        <w:t>,</w:t>
      </w:r>
      <w:r w:rsidRPr="005B4B9E">
        <w:rPr>
          <w:rFonts w:ascii="Verdana" w:hAnsi="Verdana"/>
          <w:sz w:val="16"/>
          <w:szCs w:val="16"/>
        </w:rPr>
        <w:t xml:space="preserve"> del informe de enero de 2014 únicamente se desprende que el Estado envió “los oficios correspondientes a la Fundación de Antropología Forense de Guatemala (FAFG) y el Instituto Nacional de Ciencias Forenses (INACIF); para que realicen la búsqueda de los restos de Edgar Fernando García”, siendo que a dicha fecha éstos no habían dado respuesta a los referidos oficios.</w:t>
      </w:r>
    </w:p>
  </w:footnote>
  <w:footnote w:id="35">
    <w:p w:rsidR="009F2127" w:rsidRPr="00AA5746" w:rsidRDefault="009F2127" w:rsidP="00AA5746">
      <w:pPr>
        <w:pStyle w:val="Textonotapie"/>
        <w:jc w:val="both"/>
        <w:rPr>
          <w:rFonts w:ascii="Verdana" w:hAnsi="Verdana"/>
          <w:sz w:val="16"/>
          <w:szCs w:val="16"/>
          <w:lang w:val="es-MX"/>
        </w:rPr>
      </w:pPr>
      <w:r w:rsidRPr="00AA5746">
        <w:rPr>
          <w:rStyle w:val="Refdenotaalpie"/>
          <w:rFonts w:ascii="Verdana" w:hAnsi="Verdana"/>
          <w:sz w:val="16"/>
          <w:szCs w:val="16"/>
        </w:rPr>
        <w:footnoteRef/>
      </w:r>
      <w:r w:rsidRPr="00AA5746">
        <w:rPr>
          <w:rFonts w:ascii="Verdana" w:hAnsi="Verdana"/>
          <w:sz w:val="16"/>
          <w:szCs w:val="16"/>
        </w:rPr>
        <w:t xml:space="preserve"> </w:t>
      </w:r>
      <w:r>
        <w:rPr>
          <w:rFonts w:ascii="Verdana" w:hAnsi="Verdana"/>
          <w:sz w:val="16"/>
          <w:szCs w:val="16"/>
        </w:rPr>
        <w:tab/>
      </w:r>
      <w:r w:rsidRPr="00AA5746">
        <w:rPr>
          <w:rFonts w:ascii="Verdana" w:hAnsi="Verdana"/>
          <w:sz w:val="16"/>
          <w:szCs w:val="16"/>
        </w:rPr>
        <w:t>A través de la cual se debía promover la construcción de espacios memorístico-culturales en los cuales se dignificara la memoria de las víctimas de las violaciones de derechos humanos del conflicto armado interno.</w:t>
      </w:r>
      <w:r w:rsidRPr="00AA5746" w:rsidDel="00AA5746">
        <w:rPr>
          <w:rFonts w:ascii="Verdana" w:hAnsi="Verdana"/>
          <w:sz w:val="16"/>
          <w:szCs w:val="16"/>
        </w:rPr>
        <w:t xml:space="preserve"> </w:t>
      </w:r>
    </w:p>
  </w:footnote>
  <w:footnote w:id="36">
    <w:p w:rsidR="009F2127" w:rsidRPr="00A64442" w:rsidRDefault="009F2127" w:rsidP="00A64442">
      <w:pPr>
        <w:pStyle w:val="Textonotapie"/>
        <w:jc w:val="both"/>
        <w:rPr>
          <w:rFonts w:ascii="Verdana" w:hAnsi="Verdana"/>
          <w:sz w:val="16"/>
          <w:szCs w:val="16"/>
          <w:lang w:val="es-MX"/>
        </w:rPr>
      </w:pPr>
      <w:r w:rsidRPr="00A64442">
        <w:rPr>
          <w:rStyle w:val="Refdenotaalpie"/>
          <w:rFonts w:ascii="Verdana" w:hAnsi="Verdana"/>
          <w:sz w:val="16"/>
          <w:szCs w:val="16"/>
        </w:rPr>
        <w:footnoteRef/>
      </w:r>
      <w:r w:rsidRPr="00A64442">
        <w:rPr>
          <w:rFonts w:ascii="Verdana" w:hAnsi="Verdana"/>
          <w:sz w:val="16"/>
          <w:szCs w:val="16"/>
        </w:rPr>
        <w:t xml:space="preserve"> </w:t>
      </w:r>
      <w:r>
        <w:rPr>
          <w:rFonts w:ascii="Verdana" w:hAnsi="Verdana"/>
          <w:sz w:val="16"/>
          <w:szCs w:val="16"/>
        </w:rPr>
        <w:tab/>
      </w:r>
      <w:r w:rsidRPr="00A64442">
        <w:rPr>
          <w:rFonts w:ascii="Verdana" w:hAnsi="Verdana"/>
          <w:sz w:val="16"/>
          <w:szCs w:val="16"/>
        </w:rPr>
        <w:t>Lo anterior en virtud de que lo único que ha informado el Estado respecto a dicha medida fue en el informe de enero de 2014</w:t>
      </w:r>
      <w:r w:rsidR="00493B7C">
        <w:rPr>
          <w:rFonts w:ascii="Verdana" w:hAnsi="Verdana"/>
          <w:sz w:val="16"/>
          <w:szCs w:val="16"/>
        </w:rPr>
        <w:t>,</w:t>
      </w:r>
      <w:r w:rsidRPr="00A64442">
        <w:rPr>
          <w:rFonts w:ascii="Verdana" w:hAnsi="Verdana"/>
          <w:sz w:val="16"/>
          <w:szCs w:val="16"/>
        </w:rPr>
        <w:t xml:space="preserve"> en el que indicó que dicha medida estaba pendiente de cumplimiento en virtud de que se estaban “haciendo las coordinaciones necesarias con la Asociación Pro-monumento, a efecto que se pueda cumplir con dicho compromiso”. </w:t>
      </w:r>
    </w:p>
  </w:footnote>
  <w:footnote w:id="37">
    <w:p w:rsidR="009F2127" w:rsidRPr="00BA5CFF" w:rsidRDefault="009F2127" w:rsidP="00A64442">
      <w:pPr>
        <w:pStyle w:val="Textonotapie"/>
        <w:jc w:val="both"/>
        <w:rPr>
          <w:rFonts w:ascii="Verdana" w:hAnsi="Verdana"/>
          <w:sz w:val="16"/>
          <w:szCs w:val="16"/>
          <w:lang w:val="es-MX"/>
        </w:rPr>
      </w:pPr>
      <w:r w:rsidRPr="00A64442">
        <w:rPr>
          <w:rStyle w:val="Refdenotaalpie"/>
          <w:rFonts w:ascii="Verdana" w:hAnsi="Verdana"/>
          <w:sz w:val="16"/>
          <w:szCs w:val="16"/>
        </w:rPr>
        <w:footnoteRef/>
      </w:r>
      <w:r w:rsidRPr="00A64442">
        <w:rPr>
          <w:rFonts w:ascii="Verdana" w:hAnsi="Verdana"/>
          <w:sz w:val="16"/>
          <w:szCs w:val="16"/>
        </w:rPr>
        <w:t xml:space="preserve"> </w:t>
      </w:r>
      <w:r>
        <w:rPr>
          <w:rFonts w:ascii="Verdana" w:hAnsi="Verdana"/>
          <w:sz w:val="16"/>
          <w:szCs w:val="16"/>
        </w:rPr>
        <w:tab/>
      </w:r>
      <w:r w:rsidRPr="00A64442">
        <w:rPr>
          <w:rFonts w:ascii="Verdana" w:hAnsi="Verdana"/>
          <w:sz w:val="16"/>
          <w:szCs w:val="16"/>
        </w:rPr>
        <w:t>Ello tomando en cuenta que el Estado señaló en su informe de enero de 2014 que “a través del Organismo Ejecutivo llevaría a cabo las diligencias correspondientes para impulsar [este] compromiso”, así como que había enviado un oficio al Ministerio de Educación para solicitar “la información de las gestiones necesarias para llevar a cabo el cambio de nombre de</w:t>
      </w:r>
      <w:r w:rsidR="00A80473">
        <w:rPr>
          <w:rFonts w:ascii="Verdana" w:hAnsi="Verdana"/>
          <w:sz w:val="16"/>
          <w:szCs w:val="16"/>
        </w:rPr>
        <w:t xml:space="preserve"> la escuela”.</w:t>
      </w:r>
    </w:p>
  </w:footnote>
  <w:footnote w:id="38">
    <w:p w:rsidR="009F2127" w:rsidRPr="00BA5CFF" w:rsidRDefault="009F2127" w:rsidP="00BA5CFF">
      <w:pPr>
        <w:pStyle w:val="Textonotapie"/>
        <w:jc w:val="both"/>
        <w:rPr>
          <w:rFonts w:ascii="Verdana" w:hAnsi="Verdana"/>
          <w:sz w:val="16"/>
          <w:szCs w:val="16"/>
          <w:lang w:val="es-MX"/>
        </w:rPr>
      </w:pPr>
      <w:r w:rsidRPr="00BA5CFF">
        <w:rPr>
          <w:rStyle w:val="Refdenotaalpie"/>
          <w:rFonts w:ascii="Verdana" w:hAnsi="Verdana"/>
          <w:sz w:val="16"/>
          <w:szCs w:val="16"/>
        </w:rPr>
        <w:footnoteRef/>
      </w:r>
      <w:r w:rsidRPr="00BA5CFF">
        <w:rPr>
          <w:rFonts w:ascii="Verdana" w:hAnsi="Verdana"/>
          <w:sz w:val="16"/>
          <w:szCs w:val="16"/>
        </w:rPr>
        <w:t xml:space="preserve"> </w:t>
      </w:r>
      <w:r w:rsidR="00332BD8">
        <w:rPr>
          <w:rFonts w:ascii="Verdana" w:hAnsi="Verdana"/>
          <w:sz w:val="16"/>
          <w:szCs w:val="16"/>
          <w:lang w:val="es-MX"/>
        </w:rPr>
        <w:tab/>
        <w:t xml:space="preserve">Lo anterior debido a </w:t>
      </w:r>
      <w:r w:rsidRPr="00BA5CFF">
        <w:rPr>
          <w:rFonts w:ascii="Verdana" w:hAnsi="Verdana"/>
          <w:sz w:val="16"/>
          <w:szCs w:val="16"/>
          <w:lang w:val="es-MX"/>
        </w:rPr>
        <w:t xml:space="preserve">que </w:t>
      </w:r>
      <w:r w:rsidRPr="00BA5CFF">
        <w:rPr>
          <w:rFonts w:ascii="Verdana" w:hAnsi="Verdana"/>
          <w:sz w:val="16"/>
          <w:szCs w:val="16"/>
        </w:rPr>
        <w:t xml:space="preserve">el Estado manifestó en su informe de enero de 2014 que estaba “a la espera que los peticionarios informen sobre que personas quieren proponer para que reciban dichas bolsas”. </w:t>
      </w:r>
    </w:p>
  </w:footnote>
  <w:footnote w:id="39">
    <w:p w:rsidR="009F2127" w:rsidRPr="00506782" w:rsidRDefault="009F2127" w:rsidP="00506782">
      <w:pPr>
        <w:pStyle w:val="Textonotapie"/>
        <w:jc w:val="both"/>
        <w:rPr>
          <w:rFonts w:ascii="Verdana" w:hAnsi="Verdana"/>
          <w:sz w:val="16"/>
          <w:szCs w:val="16"/>
          <w:lang w:val="es-MX"/>
        </w:rPr>
      </w:pPr>
      <w:r w:rsidRPr="00506782">
        <w:rPr>
          <w:rStyle w:val="Refdenotaalpie"/>
          <w:rFonts w:ascii="Verdana" w:hAnsi="Verdana"/>
          <w:sz w:val="16"/>
          <w:szCs w:val="16"/>
        </w:rPr>
        <w:footnoteRef/>
      </w:r>
      <w:r w:rsidRPr="00506782">
        <w:rPr>
          <w:rFonts w:ascii="Verdana" w:hAnsi="Verdana"/>
          <w:sz w:val="16"/>
          <w:szCs w:val="16"/>
        </w:rPr>
        <w:t xml:space="preserve"> </w:t>
      </w:r>
      <w:r w:rsidRPr="00506782">
        <w:rPr>
          <w:rFonts w:ascii="Verdana" w:hAnsi="Verdana"/>
          <w:sz w:val="16"/>
          <w:szCs w:val="16"/>
          <w:lang w:val="es-MX"/>
        </w:rPr>
        <w:tab/>
        <w:t xml:space="preserve">Ello </w:t>
      </w:r>
      <w:r w:rsidR="00D07C8E">
        <w:rPr>
          <w:rFonts w:ascii="Verdana" w:hAnsi="Verdana"/>
          <w:sz w:val="16"/>
          <w:szCs w:val="16"/>
          <w:lang w:val="es-MX"/>
        </w:rPr>
        <w:t xml:space="preserve">debido a </w:t>
      </w:r>
      <w:r w:rsidRPr="00506782">
        <w:rPr>
          <w:rFonts w:ascii="Verdana" w:hAnsi="Verdana"/>
          <w:sz w:val="16"/>
          <w:szCs w:val="16"/>
          <w:lang w:val="es-MX"/>
        </w:rPr>
        <w:t xml:space="preserve">que </w:t>
      </w:r>
      <w:r w:rsidRPr="00506782">
        <w:rPr>
          <w:rFonts w:ascii="Verdana" w:hAnsi="Verdana"/>
          <w:sz w:val="16"/>
          <w:szCs w:val="16"/>
        </w:rPr>
        <w:t xml:space="preserve">el Estado </w:t>
      </w:r>
      <w:r w:rsidR="00493B7C">
        <w:rPr>
          <w:rFonts w:ascii="Verdana" w:hAnsi="Verdana"/>
          <w:sz w:val="16"/>
          <w:szCs w:val="16"/>
        </w:rPr>
        <w:t>aseveró</w:t>
      </w:r>
      <w:r w:rsidRPr="00506782">
        <w:rPr>
          <w:rFonts w:ascii="Verdana" w:hAnsi="Verdana"/>
          <w:sz w:val="16"/>
          <w:szCs w:val="16"/>
        </w:rPr>
        <w:t xml:space="preserve"> en su informe de mayo de 2015 que había dado cumplimiento a dicha reparación en virtud de que sostuvo haber impulsado “la aprobación en el Congreso de República, del proyecto de ley número tres mil quinientos noventa (3590), denominada “Ley de la Comisión Nacional de Búsqueda de Personas Víctimas de Desaparición Forzada y otras formas de Desaparición” a través del “Programa Nacional de Resarcimiento y la Comisión Presidencial Coordinadora de la Política del Ejecutivo en materia en Derechos Humanos en coordinación con la sociedad civil y el Programa de Acompañamiento a la Justicia de Transición en Guatemala”, así como haber revisado, estudiado y propuesto modificaciones </w:t>
      </w:r>
      <w:r w:rsidR="00404DBA">
        <w:rPr>
          <w:rFonts w:ascii="Verdana" w:hAnsi="Verdana"/>
          <w:sz w:val="16"/>
          <w:szCs w:val="16"/>
        </w:rPr>
        <w:t xml:space="preserve">a la referida propuesta de ley. </w:t>
      </w:r>
      <w:r w:rsidRPr="00506782">
        <w:rPr>
          <w:rFonts w:ascii="Verdana" w:hAnsi="Verdana"/>
          <w:sz w:val="16"/>
          <w:szCs w:val="16"/>
        </w:rPr>
        <w:t xml:space="preserve">En ese sentido, el Estado afirmó que “una vez que reciban en </w:t>
      </w:r>
      <w:r w:rsidR="00BE2677">
        <w:rPr>
          <w:rFonts w:ascii="Verdana" w:hAnsi="Verdana"/>
          <w:sz w:val="16"/>
          <w:szCs w:val="16"/>
        </w:rPr>
        <w:t>[</w:t>
      </w:r>
      <w:r w:rsidRPr="00506782">
        <w:rPr>
          <w:rFonts w:ascii="Verdana" w:hAnsi="Verdana"/>
          <w:sz w:val="16"/>
          <w:szCs w:val="16"/>
        </w:rPr>
        <w:t>la</w:t>
      </w:r>
      <w:r w:rsidR="00BE2677">
        <w:rPr>
          <w:rFonts w:ascii="Verdana" w:hAnsi="Verdana"/>
          <w:sz w:val="16"/>
          <w:szCs w:val="16"/>
        </w:rPr>
        <w:t>]</w:t>
      </w:r>
      <w:r w:rsidRPr="00506782">
        <w:rPr>
          <w:rFonts w:ascii="Verdana" w:hAnsi="Verdana"/>
          <w:sz w:val="16"/>
          <w:szCs w:val="16"/>
        </w:rPr>
        <w:t xml:space="preserve"> Comisión Presidencial información actualizada respecto al proceso de promulgación se estará enviando a la Honorable Corte”.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A2" w:rsidRDefault="003063A2">
    <w:pPr>
      <w:pStyle w:val="Encabezado"/>
      <w:jc w:val="center"/>
    </w:pPr>
    <w:r>
      <w:fldChar w:fldCharType="begin"/>
    </w:r>
    <w:r>
      <w:instrText xml:space="preserve"> PAGE   \* MERGEFORMAT </w:instrText>
    </w:r>
    <w:r>
      <w:fldChar w:fldCharType="separate"/>
    </w:r>
    <w:r w:rsidR="00AC2F0E">
      <w:rPr>
        <w:noProof/>
      </w:rPr>
      <w:t>3</w:t>
    </w:r>
    <w:r>
      <w:rPr>
        <w:noProof/>
      </w:rPr>
      <w:fldChar w:fldCharType="end"/>
    </w:r>
  </w:p>
  <w:p w:rsidR="009F2127" w:rsidRPr="00F23259" w:rsidRDefault="009F2127" w:rsidP="0051103E">
    <w:pPr>
      <w:pStyle w:val="Encabezado"/>
      <w:tabs>
        <w:tab w:val="left" w:pos="3102"/>
        <w:tab w:val="right" w:pos="9360"/>
      </w:tabs>
      <w:jc w:val="right"/>
      <w:rPr>
        <w:rFonts w:ascii="Verdana" w:hAnsi="Verdana"/>
        <w:b/>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7278"/>
    <w:multiLevelType w:val="hybridMultilevel"/>
    <w:tmpl w:val="B79E9930"/>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71A267F"/>
    <w:multiLevelType w:val="hybridMultilevel"/>
    <w:tmpl w:val="5516840E"/>
    <w:lvl w:ilvl="0" w:tplc="C6C4D11A">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nsid w:val="07EA4EA2"/>
    <w:multiLevelType w:val="hybridMultilevel"/>
    <w:tmpl w:val="DDFE020A"/>
    <w:lvl w:ilvl="0" w:tplc="9E16592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8D056DA"/>
    <w:multiLevelType w:val="hybridMultilevel"/>
    <w:tmpl w:val="70D28062"/>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nsid w:val="0B3D4E54"/>
    <w:multiLevelType w:val="hybridMultilevel"/>
    <w:tmpl w:val="536CCD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82664D"/>
    <w:multiLevelType w:val="hybridMultilevel"/>
    <w:tmpl w:val="D6CCDDF2"/>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A042C1"/>
    <w:multiLevelType w:val="hybridMultilevel"/>
    <w:tmpl w:val="7AD00140"/>
    <w:lvl w:ilvl="0" w:tplc="68A8594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A946F2"/>
    <w:multiLevelType w:val="hybridMultilevel"/>
    <w:tmpl w:val="8CC852AE"/>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D0539D"/>
    <w:multiLevelType w:val="hybridMultilevel"/>
    <w:tmpl w:val="00B454DE"/>
    <w:lvl w:ilvl="0" w:tplc="5D24C074">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571FC1"/>
    <w:multiLevelType w:val="hybridMultilevel"/>
    <w:tmpl w:val="2D9C0B48"/>
    <w:lvl w:ilvl="0" w:tplc="42C054FA">
      <w:start w:val="1"/>
      <w:numFmt w:val="decimal"/>
      <w:lvlText w:val="%1."/>
      <w:lvlJc w:val="left"/>
      <w:pPr>
        <w:ind w:left="720" w:hanging="360"/>
      </w:pPr>
      <w:rPr>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521A0255"/>
    <w:multiLevelType w:val="hybridMultilevel"/>
    <w:tmpl w:val="DB3AE4EC"/>
    <w:lvl w:ilvl="0" w:tplc="E64EEBFE">
      <w:start w:val="1"/>
      <w:numFmt w:val="decimal"/>
      <w:lvlText w:val="%1."/>
      <w:lvlJc w:val="left"/>
      <w:pPr>
        <w:ind w:left="502"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11">
    <w:nsid w:val="529B54ED"/>
    <w:multiLevelType w:val="hybridMultilevel"/>
    <w:tmpl w:val="102CE9C6"/>
    <w:lvl w:ilvl="0" w:tplc="2AE28072">
      <w:start w:val="1"/>
      <w:numFmt w:val="decimal"/>
      <w:lvlText w:val="%1."/>
      <w:lvlJc w:val="left"/>
      <w:pPr>
        <w:ind w:left="81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567F7EB0"/>
    <w:multiLevelType w:val="hybridMultilevel"/>
    <w:tmpl w:val="58B0BF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A90833"/>
    <w:multiLevelType w:val="hybridMultilevel"/>
    <w:tmpl w:val="547C6CE6"/>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98481C"/>
    <w:multiLevelType w:val="hybridMultilevel"/>
    <w:tmpl w:val="4CA4800E"/>
    <w:lvl w:ilvl="0" w:tplc="09464304">
      <w:start w:val="1"/>
      <w:numFmt w:val="lowerLetter"/>
      <w:lvlText w:val="%1)"/>
      <w:lvlJc w:val="left"/>
      <w:pPr>
        <w:ind w:left="1080" w:hanging="720"/>
      </w:pPr>
      <w:rPr>
        <w:rFonts w:ascii="Verdana" w:eastAsia="Times New Roman" w:hAnsi="Verdana" w:cs="Times New Roman" w:hint="default"/>
        <w:b w:val="0"/>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6C1407"/>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16">
    <w:nsid w:val="757A12A2"/>
    <w:multiLevelType w:val="hybridMultilevel"/>
    <w:tmpl w:val="0694DDCE"/>
    <w:lvl w:ilvl="0" w:tplc="97D2B9D2">
      <w:start w:val="1"/>
      <w:numFmt w:val="decimal"/>
      <w:lvlText w:val="%1."/>
      <w:lvlJc w:val="left"/>
      <w:pPr>
        <w:ind w:left="1065" w:hanging="705"/>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622484"/>
    <w:multiLevelType w:val="hybridMultilevel"/>
    <w:tmpl w:val="AA40D804"/>
    <w:lvl w:ilvl="0" w:tplc="C9DC8F02">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num w:numId="1">
    <w:abstractNumId w:val="16"/>
  </w:num>
  <w:num w:numId="2">
    <w:abstractNumId w:val="3"/>
  </w:num>
  <w:num w:numId="3">
    <w:abstractNumId w:val="6"/>
  </w:num>
  <w:num w:numId="4">
    <w:abstractNumId w:val="9"/>
  </w:num>
  <w:num w:numId="5">
    <w:abstractNumId w:val="11"/>
  </w:num>
  <w:num w:numId="6">
    <w:abstractNumId w:val="1"/>
  </w:num>
  <w:num w:numId="7">
    <w:abstractNumId w:val="12"/>
  </w:num>
  <w:num w:numId="8">
    <w:abstractNumId w:val="14"/>
  </w:num>
  <w:num w:numId="9">
    <w:abstractNumId w:val="13"/>
  </w:num>
  <w:num w:numId="10">
    <w:abstractNumId w:val="7"/>
  </w:num>
  <w:num w:numId="11">
    <w:abstractNumId w:val="17"/>
  </w:num>
  <w:num w:numId="12">
    <w:abstractNumId w:val="5"/>
  </w:num>
  <w:num w:numId="13">
    <w:abstractNumId w:val="8"/>
  </w:num>
  <w:num w:numId="14">
    <w:abstractNumId w:val="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B46"/>
    <w:rsid w:val="00000DBA"/>
    <w:rsid w:val="00005076"/>
    <w:rsid w:val="000108AD"/>
    <w:rsid w:val="00010C1A"/>
    <w:rsid w:val="00013158"/>
    <w:rsid w:val="0001424C"/>
    <w:rsid w:val="00014908"/>
    <w:rsid w:val="0002371F"/>
    <w:rsid w:val="00026CBD"/>
    <w:rsid w:val="000321A7"/>
    <w:rsid w:val="000415CC"/>
    <w:rsid w:val="00046D02"/>
    <w:rsid w:val="00046F8B"/>
    <w:rsid w:val="000507F0"/>
    <w:rsid w:val="00053F66"/>
    <w:rsid w:val="000554A8"/>
    <w:rsid w:val="00057498"/>
    <w:rsid w:val="0006413B"/>
    <w:rsid w:val="00064E4A"/>
    <w:rsid w:val="0006680A"/>
    <w:rsid w:val="00074A0C"/>
    <w:rsid w:val="00077A7C"/>
    <w:rsid w:val="000834D2"/>
    <w:rsid w:val="00084B5E"/>
    <w:rsid w:val="000864DD"/>
    <w:rsid w:val="00092BEE"/>
    <w:rsid w:val="000B1F67"/>
    <w:rsid w:val="000B5A9F"/>
    <w:rsid w:val="000B7F4B"/>
    <w:rsid w:val="000C2302"/>
    <w:rsid w:val="000C2462"/>
    <w:rsid w:val="000C4EB3"/>
    <w:rsid w:val="000C6ECE"/>
    <w:rsid w:val="000C6FFF"/>
    <w:rsid w:val="000D2F87"/>
    <w:rsid w:val="000D6F4E"/>
    <w:rsid w:val="000E12A8"/>
    <w:rsid w:val="000E1CDE"/>
    <w:rsid w:val="000E5023"/>
    <w:rsid w:val="000E58DE"/>
    <w:rsid w:val="000F460B"/>
    <w:rsid w:val="000F5FFF"/>
    <w:rsid w:val="000F6A80"/>
    <w:rsid w:val="000F6D2F"/>
    <w:rsid w:val="000F7260"/>
    <w:rsid w:val="001019DA"/>
    <w:rsid w:val="00102BEE"/>
    <w:rsid w:val="001031BD"/>
    <w:rsid w:val="00106353"/>
    <w:rsid w:val="00106611"/>
    <w:rsid w:val="001069C0"/>
    <w:rsid w:val="001071EF"/>
    <w:rsid w:val="001127D7"/>
    <w:rsid w:val="001133F1"/>
    <w:rsid w:val="0012082B"/>
    <w:rsid w:val="001208D1"/>
    <w:rsid w:val="001279C7"/>
    <w:rsid w:val="00133756"/>
    <w:rsid w:val="0013471A"/>
    <w:rsid w:val="00134EFB"/>
    <w:rsid w:val="00134FCB"/>
    <w:rsid w:val="0013504A"/>
    <w:rsid w:val="001360AA"/>
    <w:rsid w:val="001418F0"/>
    <w:rsid w:val="001466D0"/>
    <w:rsid w:val="001476DA"/>
    <w:rsid w:val="00147A85"/>
    <w:rsid w:val="00150CFF"/>
    <w:rsid w:val="0015565B"/>
    <w:rsid w:val="00156087"/>
    <w:rsid w:val="0015624D"/>
    <w:rsid w:val="00156B04"/>
    <w:rsid w:val="0016033F"/>
    <w:rsid w:val="001603B0"/>
    <w:rsid w:val="0016657D"/>
    <w:rsid w:val="00167CD2"/>
    <w:rsid w:val="00172F70"/>
    <w:rsid w:val="001736B6"/>
    <w:rsid w:val="00175C65"/>
    <w:rsid w:val="001764D9"/>
    <w:rsid w:val="00180047"/>
    <w:rsid w:val="00191316"/>
    <w:rsid w:val="0019176E"/>
    <w:rsid w:val="00195E59"/>
    <w:rsid w:val="00197906"/>
    <w:rsid w:val="001A2082"/>
    <w:rsid w:val="001A3AFA"/>
    <w:rsid w:val="001A4850"/>
    <w:rsid w:val="001B0E6A"/>
    <w:rsid w:val="001B16E4"/>
    <w:rsid w:val="001B1F7A"/>
    <w:rsid w:val="001B463C"/>
    <w:rsid w:val="001C0111"/>
    <w:rsid w:val="001C6448"/>
    <w:rsid w:val="001C7D63"/>
    <w:rsid w:val="001E0E70"/>
    <w:rsid w:val="001E1BC9"/>
    <w:rsid w:val="001E58B9"/>
    <w:rsid w:val="001F1139"/>
    <w:rsid w:val="001F7991"/>
    <w:rsid w:val="00201A92"/>
    <w:rsid w:val="00210213"/>
    <w:rsid w:val="002172C2"/>
    <w:rsid w:val="00221177"/>
    <w:rsid w:val="00225154"/>
    <w:rsid w:val="0022699B"/>
    <w:rsid w:val="00230307"/>
    <w:rsid w:val="00231925"/>
    <w:rsid w:val="00234B91"/>
    <w:rsid w:val="00236DB1"/>
    <w:rsid w:val="00237E49"/>
    <w:rsid w:val="00240BCA"/>
    <w:rsid w:val="00240DFC"/>
    <w:rsid w:val="00244408"/>
    <w:rsid w:val="00245F3D"/>
    <w:rsid w:val="00250292"/>
    <w:rsid w:val="00250A8D"/>
    <w:rsid w:val="00251809"/>
    <w:rsid w:val="00251851"/>
    <w:rsid w:val="00251A35"/>
    <w:rsid w:val="002532D1"/>
    <w:rsid w:val="00256F11"/>
    <w:rsid w:val="002577DD"/>
    <w:rsid w:val="00257D1C"/>
    <w:rsid w:val="002614A8"/>
    <w:rsid w:val="0026182C"/>
    <w:rsid w:val="00265E90"/>
    <w:rsid w:val="00283778"/>
    <w:rsid w:val="0028525F"/>
    <w:rsid w:val="002870A9"/>
    <w:rsid w:val="00290D01"/>
    <w:rsid w:val="00293910"/>
    <w:rsid w:val="00296770"/>
    <w:rsid w:val="002A1636"/>
    <w:rsid w:val="002A2896"/>
    <w:rsid w:val="002A6233"/>
    <w:rsid w:val="002A764E"/>
    <w:rsid w:val="002B17C0"/>
    <w:rsid w:val="002B66DB"/>
    <w:rsid w:val="002B6CA0"/>
    <w:rsid w:val="002B7FFB"/>
    <w:rsid w:val="002C1AC8"/>
    <w:rsid w:val="002C219B"/>
    <w:rsid w:val="002C349B"/>
    <w:rsid w:val="002C4039"/>
    <w:rsid w:val="002D77A3"/>
    <w:rsid w:val="002E129B"/>
    <w:rsid w:val="002E6BD6"/>
    <w:rsid w:val="002E7349"/>
    <w:rsid w:val="002E7CE0"/>
    <w:rsid w:val="002F2911"/>
    <w:rsid w:val="002F7883"/>
    <w:rsid w:val="002F7980"/>
    <w:rsid w:val="00303884"/>
    <w:rsid w:val="003063A2"/>
    <w:rsid w:val="00306F71"/>
    <w:rsid w:val="003078A0"/>
    <w:rsid w:val="00314039"/>
    <w:rsid w:val="00321A34"/>
    <w:rsid w:val="00326164"/>
    <w:rsid w:val="00331723"/>
    <w:rsid w:val="00332BD8"/>
    <w:rsid w:val="003337AB"/>
    <w:rsid w:val="0033472B"/>
    <w:rsid w:val="003359F1"/>
    <w:rsid w:val="00337928"/>
    <w:rsid w:val="00337ECF"/>
    <w:rsid w:val="00350381"/>
    <w:rsid w:val="00350AD5"/>
    <w:rsid w:val="00353873"/>
    <w:rsid w:val="00356252"/>
    <w:rsid w:val="00357928"/>
    <w:rsid w:val="003651EB"/>
    <w:rsid w:val="00372187"/>
    <w:rsid w:val="0037619B"/>
    <w:rsid w:val="003765D5"/>
    <w:rsid w:val="003808D9"/>
    <w:rsid w:val="00383B1C"/>
    <w:rsid w:val="0038409B"/>
    <w:rsid w:val="00392038"/>
    <w:rsid w:val="00392659"/>
    <w:rsid w:val="003A1C5B"/>
    <w:rsid w:val="003A1D42"/>
    <w:rsid w:val="003A4A70"/>
    <w:rsid w:val="003A7E5E"/>
    <w:rsid w:val="003B524B"/>
    <w:rsid w:val="003B6AF4"/>
    <w:rsid w:val="003B7A54"/>
    <w:rsid w:val="003C1D1D"/>
    <w:rsid w:val="003C43FE"/>
    <w:rsid w:val="003C63D6"/>
    <w:rsid w:val="003C7169"/>
    <w:rsid w:val="003D0ADD"/>
    <w:rsid w:val="003D2AC2"/>
    <w:rsid w:val="003D5F73"/>
    <w:rsid w:val="003E106B"/>
    <w:rsid w:val="00402197"/>
    <w:rsid w:val="00404DBA"/>
    <w:rsid w:val="004138F2"/>
    <w:rsid w:val="004149A9"/>
    <w:rsid w:val="004243BD"/>
    <w:rsid w:val="004245D9"/>
    <w:rsid w:val="00426871"/>
    <w:rsid w:val="00430221"/>
    <w:rsid w:val="00432F91"/>
    <w:rsid w:val="004434AD"/>
    <w:rsid w:val="00443ECF"/>
    <w:rsid w:val="0044668A"/>
    <w:rsid w:val="004469BC"/>
    <w:rsid w:val="00447AE3"/>
    <w:rsid w:val="00447EB5"/>
    <w:rsid w:val="00450FFC"/>
    <w:rsid w:val="004515E0"/>
    <w:rsid w:val="00456341"/>
    <w:rsid w:val="0045680E"/>
    <w:rsid w:val="00456AD5"/>
    <w:rsid w:val="004621A2"/>
    <w:rsid w:val="004741B3"/>
    <w:rsid w:val="00474698"/>
    <w:rsid w:val="0047665B"/>
    <w:rsid w:val="00487809"/>
    <w:rsid w:val="00490FAF"/>
    <w:rsid w:val="004917EF"/>
    <w:rsid w:val="00493320"/>
    <w:rsid w:val="00493B7C"/>
    <w:rsid w:val="004A097E"/>
    <w:rsid w:val="004A1D54"/>
    <w:rsid w:val="004A6337"/>
    <w:rsid w:val="004B00A8"/>
    <w:rsid w:val="004B2D9B"/>
    <w:rsid w:val="004B3D61"/>
    <w:rsid w:val="004B49EF"/>
    <w:rsid w:val="004B69EC"/>
    <w:rsid w:val="004C29F6"/>
    <w:rsid w:val="004C33C8"/>
    <w:rsid w:val="004C5E54"/>
    <w:rsid w:val="004C5F3F"/>
    <w:rsid w:val="004D3481"/>
    <w:rsid w:val="004D586F"/>
    <w:rsid w:val="004D6A0F"/>
    <w:rsid w:val="004E35B2"/>
    <w:rsid w:val="004E4104"/>
    <w:rsid w:val="004E51B2"/>
    <w:rsid w:val="004F1752"/>
    <w:rsid w:val="00501BBA"/>
    <w:rsid w:val="0050289A"/>
    <w:rsid w:val="00506782"/>
    <w:rsid w:val="0051103E"/>
    <w:rsid w:val="00511D65"/>
    <w:rsid w:val="00512B75"/>
    <w:rsid w:val="00520479"/>
    <w:rsid w:val="00520A26"/>
    <w:rsid w:val="0052102C"/>
    <w:rsid w:val="005327FE"/>
    <w:rsid w:val="00534533"/>
    <w:rsid w:val="00535450"/>
    <w:rsid w:val="00536155"/>
    <w:rsid w:val="00543B2B"/>
    <w:rsid w:val="00545092"/>
    <w:rsid w:val="005464B9"/>
    <w:rsid w:val="00546E0B"/>
    <w:rsid w:val="00554661"/>
    <w:rsid w:val="00556EC7"/>
    <w:rsid w:val="00557B5E"/>
    <w:rsid w:val="00566009"/>
    <w:rsid w:val="00577377"/>
    <w:rsid w:val="00577658"/>
    <w:rsid w:val="0058023A"/>
    <w:rsid w:val="00581B46"/>
    <w:rsid w:val="00583C9C"/>
    <w:rsid w:val="00590034"/>
    <w:rsid w:val="00590506"/>
    <w:rsid w:val="005B275D"/>
    <w:rsid w:val="005B4B9E"/>
    <w:rsid w:val="005B542B"/>
    <w:rsid w:val="005C18B7"/>
    <w:rsid w:val="005C2127"/>
    <w:rsid w:val="005C4126"/>
    <w:rsid w:val="005D33A2"/>
    <w:rsid w:val="005D36B0"/>
    <w:rsid w:val="005D36E6"/>
    <w:rsid w:val="005D3914"/>
    <w:rsid w:val="005D403D"/>
    <w:rsid w:val="005D4B8B"/>
    <w:rsid w:val="005E1F0B"/>
    <w:rsid w:val="005E30D0"/>
    <w:rsid w:val="005E53DB"/>
    <w:rsid w:val="005E77AD"/>
    <w:rsid w:val="005F34F3"/>
    <w:rsid w:val="005F45DD"/>
    <w:rsid w:val="005F48B7"/>
    <w:rsid w:val="005F734D"/>
    <w:rsid w:val="00601B07"/>
    <w:rsid w:val="00601D4F"/>
    <w:rsid w:val="006025DE"/>
    <w:rsid w:val="00604EA5"/>
    <w:rsid w:val="006050E4"/>
    <w:rsid w:val="00606F31"/>
    <w:rsid w:val="006122CD"/>
    <w:rsid w:val="00612CC7"/>
    <w:rsid w:val="006134A8"/>
    <w:rsid w:val="00614EA7"/>
    <w:rsid w:val="00615D1E"/>
    <w:rsid w:val="006209A5"/>
    <w:rsid w:val="006229B7"/>
    <w:rsid w:val="006238FA"/>
    <w:rsid w:val="0063589C"/>
    <w:rsid w:val="0063713C"/>
    <w:rsid w:val="00642EC6"/>
    <w:rsid w:val="00643E9A"/>
    <w:rsid w:val="00644E25"/>
    <w:rsid w:val="00651B26"/>
    <w:rsid w:val="00652D44"/>
    <w:rsid w:val="0065358B"/>
    <w:rsid w:val="00654B2F"/>
    <w:rsid w:val="00662F30"/>
    <w:rsid w:val="00665296"/>
    <w:rsid w:val="006756D1"/>
    <w:rsid w:val="006832B1"/>
    <w:rsid w:val="00684D64"/>
    <w:rsid w:val="006851D2"/>
    <w:rsid w:val="00685A96"/>
    <w:rsid w:val="00686A9B"/>
    <w:rsid w:val="00690D3D"/>
    <w:rsid w:val="00690F1E"/>
    <w:rsid w:val="00692522"/>
    <w:rsid w:val="00692AFF"/>
    <w:rsid w:val="00697C1B"/>
    <w:rsid w:val="00697CA6"/>
    <w:rsid w:val="006A1237"/>
    <w:rsid w:val="006A4CD3"/>
    <w:rsid w:val="006A5CE1"/>
    <w:rsid w:val="006A78CB"/>
    <w:rsid w:val="006B0453"/>
    <w:rsid w:val="006B0B44"/>
    <w:rsid w:val="006B10CE"/>
    <w:rsid w:val="006B4E92"/>
    <w:rsid w:val="006B50F6"/>
    <w:rsid w:val="006B53CB"/>
    <w:rsid w:val="006B6280"/>
    <w:rsid w:val="006C0DAD"/>
    <w:rsid w:val="006C0FCE"/>
    <w:rsid w:val="006C36EE"/>
    <w:rsid w:val="006C4FBB"/>
    <w:rsid w:val="006C5011"/>
    <w:rsid w:val="006D2192"/>
    <w:rsid w:val="006D2C37"/>
    <w:rsid w:val="006E0130"/>
    <w:rsid w:val="006E1E33"/>
    <w:rsid w:val="006E4444"/>
    <w:rsid w:val="006F0C68"/>
    <w:rsid w:val="006F29EC"/>
    <w:rsid w:val="006F34AC"/>
    <w:rsid w:val="007009B3"/>
    <w:rsid w:val="00702AF7"/>
    <w:rsid w:val="00703A91"/>
    <w:rsid w:val="00705A1A"/>
    <w:rsid w:val="007105AB"/>
    <w:rsid w:val="0072286B"/>
    <w:rsid w:val="00727DAE"/>
    <w:rsid w:val="00732C44"/>
    <w:rsid w:val="00733441"/>
    <w:rsid w:val="007336B3"/>
    <w:rsid w:val="00733711"/>
    <w:rsid w:val="00733C76"/>
    <w:rsid w:val="00733E80"/>
    <w:rsid w:val="00735C69"/>
    <w:rsid w:val="00750406"/>
    <w:rsid w:val="00753091"/>
    <w:rsid w:val="0075336B"/>
    <w:rsid w:val="00760875"/>
    <w:rsid w:val="00760AC1"/>
    <w:rsid w:val="007627D3"/>
    <w:rsid w:val="00763FCB"/>
    <w:rsid w:val="00772699"/>
    <w:rsid w:val="007764DD"/>
    <w:rsid w:val="00782A00"/>
    <w:rsid w:val="00787F32"/>
    <w:rsid w:val="00793638"/>
    <w:rsid w:val="00796AE4"/>
    <w:rsid w:val="007A76BD"/>
    <w:rsid w:val="007B1237"/>
    <w:rsid w:val="007B79A1"/>
    <w:rsid w:val="007C6C56"/>
    <w:rsid w:val="007D07DB"/>
    <w:rsid w:val="007E378C"/>
    <w:rsid w:val="00803C14"/>
    <w:rsid w:val="008041E5"/>
    <w:rsid w:val="00805207"/>
    <w:rsid w:val="0081230B"/>
    <w:rsid w:val="00812984"/>
    <w:rsid w:val="00816298"/>
    <w:rsid w:val="008243F3"/>
    <w:rsid w:val="00824464"/>
    <w:rsid w:val="00824D9E"/>
    <w:rsid w:val="0082612A"/>
    <w:rsid w:val="00827B62"/>
    <w:rsid w:val="008354B4"/>
    <w:rsid w:val="00842CA8"/>
    <w:rsid w:val="00843028"/>
    <w:rsid w:val="00843101"/>
    <w:rsid w:val="00844C46"/>
    <w:rsid w:val="0084626D"/>
    <w:rsid w:val="008506E5"/>
    <w:rsid w:val="00853E22"/>
    <w:rsid w:val="00857280"/>
    <w:rsid w:val="00861974"/>
    <w:rsid w:val="00864F6B"/>
    <w:rsid w:val="0086529C"/>
    <w:rsid w:val="00866AD9"/>
    <w:rsid w:val="00867D0B"/>
    <w:rsid w:val="00875721"/>
    <w:rsid w:val="00877A19"/>
    <w:rsid w:val="00881705"/>
    <w:rsid w:val="008821B6"/>
    <w:rsid w:val="00882684"/>
    <w:rsid w:val="00890AF6"/>
    <w:rsid w:val="008934EF"/>
    <w:rsid w:val="008A0D7B"/>
    <w:rsid w:val="008A2774"/>
    <w:rsid w:val="008A403D"/>
    <w:rsid w:val="008A47C7"/>
    <w:rsid w:val="008B1652"/>
    <w:rsid w:val="008B23DD"/>
    <w:rsid w:val="008C1E9C"/>
    <w:rsid w:val="008C525A"/>
    <w:rsid w:val="008C64F4"/>
    <w:rsid w:val="008C70BA"/>
    <w:rsid w:val="008C7B5D"/>
    <w:rsid w:val="008D1C06"/>
    <w:rsid w:val="008D513A"/>
    <w:rsid w:val="008E2B5D"/>
    <w:rsid w:val="008E3859"/>
    <w:rsid w:val="008E4B56"/>
    <w:rsid w:val="008E515C"/>
    <w:rsid w:val="008E5515"/>
    <w:rsid w:val="008E5A72"/>
    <w:rsid w:val="008E5C6B"/>
    <w:rsid w:val="008F1B94"/>
    <w:rsid w:val="008F1C60"/>
    <w:rsid w:val="008F64D8"/>
    <w:rsid w:val="00903463"/>
    <w:rsid w:val="0090542E"/>
    <w:rsid w:val="009145E5"/>
    <w:rsid w:val="00917C63"/>
    <w:rsid w:val="00921175"/>
    <w:rsid w:val="009220DD"/>
    <w:rsid w:val="00925BA4"/>
    <w:rsid w:val="00930C0D"/>
    <w:rsid w:val="00932E14"/>
    <w:rsid w:val="0093346A"/>
    <w:rsid w:val="0094033A"/>
    <w:rsid w:val="00940CB4"/>
    <w:rsid w:val="00942191"/>
    <w:rsid w:val="009450EE"/>
    <w:rsid w:val="00950555"/>
    <w:rsid w:val="00951886"/>
    <w:rsid w:val="00953B70"/>
    <w:rsid w:val="00954410"/>
    <w:rsid w:val="00955AD8"/>
    <w:rsid w:val="00963081"/>
    <w:rsid w:val="00963462"/>
    <w:rsid w:val="0096494C"/>
    <w:rsid w:val="00966192"/>
    <w:rsid w:val="00976D88"/>
    <w:rsid w:val="00981FC1"/>
    <w:rsid w:val="009832C0"/>
    <w:rsid w:val="00991707"/>
    <w:rsid w:val="00993ACF"/>
    <w:rsid w:val="00995477"/>
    <w:rsid w:val="009978E7"/>
    <w:rsid w:val="00997E01"/>
    <w:rsid w:val="009A23C6"/>
    <w:rsid w:val="009A29DB"/>
    <w:rsid w:val="009A2F14"/>
    <w:rsid w:val="009A40CB"/>
    <w:rsid w:val="009A4C31"/>
    <w:rsid w:val="009B2C3E"/>
    <w:rsid w:val="009B7965"/>
    <w:rsid w:val="009C0710"/>
    <w:rsid w:val="009C2475"/>
    <w:rsid w:val="009C4C58"/>
    <w:rsid w:val="009D14D5"/>
    <w:rsid w:val="009D73D9"/>
    <w:rsid w:val="009E4B79"/>
    <w:rsid w:val="009F0BA6"/>
    <w:rsid w:val="009F0DA6"/>
    <w:rsid w:val="009F2127"/>
    <w:rsid w:val="009F4F6D"/>
    <w:rsid w:val="009F528E"/>
    <w:rsid w:val="009F7D8A"/>
    <w:rsid w:val="00A01AA1"/>
    <w:rsid w:val="00A03170"/>
    <w:rsid w:val="00A15A15"/>
    <w:rsid w:val="00A178C2"/>
    <w:rsid w:val="00A2152B"/>
    <w:rsid w:val="00A223EB"/>
    <w:rsid w:val="00A237FE"/>
    <w:rsid w:val="00A24247"/>
    <w:rsid w:val="00A30A89"/>
    <w:rsid w:val="00A32266"/>
    <w:rsid w:val="00A37F12"/>
    <w:rsid w:val="00A420BD"/>
    <w:rsid w:val="00A42B3F"/>
    <w:rsid w:val="00A45BCC"/>
    <w:rsid w:val="00A46C75"/>
    <w:rsid w:val="00A47F31"/>
    <w:rsid w:val="00A51C52"/>
    <w:rsid w:val="00A531B9"/>
    <w:rsid w:val="00A57454"/>
    <w:rsid w:val="00A605C3"/>
    <w:rsid w:val="00A64442"/>
    <w:rsid w:val="00A6572A"/>
    <w:rsid w:val="00A669AB"/>
    <w:rsid w:val="00A70186"/>
    <w:rsid w:val="00A70D62"/>
    <w:rsid w:val="00A72AC6"/>
    <w:rsid w:val="00A80473"/>
    <w:rsid w:val="00A85721"/>
    <w:rsid w:val="00A85BEA"/>
    <w:rsid w:val="00A9077B"/>
    <w:rsid w:val="00A921A2"/>
    <w:rsid w:val="00A946F0"/>
    <w:rsid w:val="00A95AD2"/>
    <w:rsid w:val="00A970AB"/>
    <w:rsid w:val="00AA5088"/>
    <w:rsid w:val="00AA5746"/>
    <w:rsid w:val="00AB3741"/>
    <w:rsid w:val="00AB3927"/>
    <w:rsid w:val="00AB6DE0"/>
    <w:rsid w:val="00AC0600"/>
    <w:rsid w:val="00AC2F0E"/>
    <w:rsid w:val="00AE3496"/>
    <w:rsid w:val="00AE58B1"/>
    <w:rsid w:val="00B069E5"/>
    <w:rsid w:val="00B15D48"/>
    <w:rsid w:val="00B24303"/>
    <w:rsid w:val="00B24758"/>
    <w:rsid w:val="00B24C49"/>
    <w:rsid w:val="00B26719"/>
    <w:rsid w:val="00B273AD"/>
    <w:rsid w:val="00B404F9"/>
    <w:rsid w:val="00B500BF"/>
    <w:rsid w:val="00B55EC8"/>
    <w:rsid w:val="00B60CFD"/>
    <w:rsid w:val="00B64ECB"/>
    <w:rsid w:val="00B660EA"/>
    <w:rsid w:val="00B6751D"/>
    <w:rsid w:val="00B72BD3"/>
    <w:rsid w:val="00B77DF0"/>
    <w:rsid w:val="00B83E15"/>
    <w:rsid w:val="00B8666E"/>
    <w:rsid w:val="00B90EDD"/>
    <w:rsid w:val="00B92FCA"/>
    <w:rsid w:val="00BA0F92"/>
    <w:rsid w:val="00BA1958"/>
    <w:rsid w:val="00BA2E0A"/>
    <w:rsid w:val="00BA51B2"/>
    <w:rsid w:val="00BA5CFF"/>
    <w:rsid w:val="00BA6260"/>
    <w:rsid w:val="00BA717D"/>
    <w:rsid w:val="00BB0EFA"/>
    <w:rsid w:val="00BB2581"/>
    <w:rsid w:val="00BB55F8"/>
    <w:rsid w:val="00BB5B2F"/>
    <w:rsid w:val="00BB6111"/>
    <w:rsid w:val="00BB79AF"/>
    <w:rsid w:val="00BB7CE2"/>
    <w:rsid w:val="00BC20FF"/>
    <w:rsid w:val="00BC732F"/>
    <w:rsid w:val="00BD0774"/>
    <w:rsid w:val="00BD173B"/>
    <w:rsid w:val="00BD6329"/>
    <w:rsid w:val="00BE2677"/>
    <w:rsid w:val="00BF4DE9"/>
    <w:rsid w:val="00C04868"/>
    <w:rsid w:val="00C04FE2"/>
    <w:rsid w:val="00C06B66"/>
    <w:rsid w:val="00C1325A"/>
    <w:rsid w:val="00C16294"/>
    <w:rsid w:val="00C1644A"/>
    <w:rsid w:val="00C20C82"/>
    <w:rsid w:val="00C221CF"/>
    <w:rsid w:val="00C325D0"/>
    <w:rsid w:val="00C35E96"/>
    <w:rsid w:val="00C419F7"/>
    <w:rsid w:val="00C4509F"/>
    <w:rsid w:val="00C51798"/>
    <w:rsid w:val="00C5770C"/>
    <w:rsid w:val="00C60F18"/>
    <w:rsid w:val="00C66ED1"/>
    <w:rsid w:val="00C675B5"/>
    <w:rsid w:val="00C712CB"/>
    <w:rsid w:val="00C71709"/>
    <w:rsid w:val="00C72B26"/>
    <w:rsid w:val="00C80EB6"/>
    <w:rsid w:val="00C80EB7"/>
    <w:rsid w:val="00C81D1F"/>
    <w:rsid w:val="00C8328C"/>
    <w:rsid w:val="00C83773"/>
    <w:rsid w:val="00C83E9E"/>
    <w:rsid w:val="00C86417"/>
    <w:rsid w:val="00C91989"/>
    <w:rsid w:val="00C9229D"/>
    <w:rsid w:val="00C946F2"/>
    <w:rsid w:val="00C9551C"/>
    <w:rsid w:val="00CA5512"/>
    <w:rsid w:val="00CA57FE"/>
    <w:rsid w:val="00CB0148"/>
    <w:rsid w:val="00CB16F8"/>
    <w:rsid w:val="00CB1AEF"/>
    <w:rsid w:val="00CB3DCF"/>
    <w:rsid w:val="00CB5AE4"/>
    <w:rsid w:val="00CB627F"/>
    <w:rsid w:val="00CC10E6"/>
    <w:rsid w:val="00CC7FEF"/>
    <w:rsid w:val="00CD36B0"/>
    <w:rsid w:val="00CD6CBB"/>
    <w:rsid w:val="00CE1886"/>
    <w:rsid w:val="00CE7771"/>
    <w:rsid w:val="00CE7BCD"/>
    <w:rsid w:val="00CF3F39"/>
    <w:rsid w:val="00CF7459"/>
    <w:rsid w:val="00D00A0B"/>
    <w:rsid w:val="00D05728"/>
    <w:rsid w:val="00D07C8E"/>
    <w:rsid w:val="00D149A6"/>
    <w:rsid w:val="00D166E1"/>
    <w:rsid w:val="00D17AF1"/>
    <w:rsid w:val="00D17CEA"/>
    <w:rsid w:val="00D27612"/>
    <w:rsid w:val="00D31F52"/>
    <w:rsid w:val="00D32327"/>
    <w:rsid w:val="00D32DAD"/>
    <w:rsid w:val="00D34012"/>
    <w:rsid w:val="00D360DD"/>
    <w:rsid w:val="00D419D8"/>
    <w:rsid w:val="00D4349B"/>
    <w:rsid w:val="00D4671D"/>
    <w:rsid w:val="00D51A60"/>
    <w:rsid w:val="00D553FC"/>
    <w:rsid w:val="00D56C37"/>
    <w:rsid w:val="00D57775"/>
    <w:rsid w:val="00D64EEF"/>
    <w:rsid w:val="00D65B6E"/>
    <w:rsid w:val="00D6746F"/>
    <w:rsid w:val="00D7020E"/>
    <w:rsid w:val="00D779C2"/>
    <w:rsid w:val="00D81ADE"/>
    <w:rsid w:val="00D823DC"/>
    <w:rsid w:val="00D833C2"/>
    <w:rsid w:val="00D83FFF"/>
    <w:rsid w:val="00D87A48"/>
    <w:rsid w:val="00D87EB5"/>
    <w:rsid w:val="00D92B2E"/>
    <w:rsid w:val="00D92BEC"/>
    <w:rsid w:val="00D96054"/>
    <w:rsid w:val="00DA0375"/>
    <w:rsid w:val="00DA2641"/>
    <w:rsid w:val="00DA2FEC"/>
    <w:rsid w:val="00DA402C"/>
    <w:rsid w:val="00DA4101"/>
    <w:rsid w:val="00DA4828"/>
    <w:rsid w:val="00DA5CB9"/>
    <w:rsid w:val="00DA7089"/>
    <w:rsid w:val="00DA780F"/>
    <w:rsid w:val="00DB4C4C"/>
    <w:rsid w:val="00DC5933"/>
    <w:rsid w:val="00DD0146"/>
    <w:rsid w:val="00DD282F"/>
    <w:rsid w:val="00DD4A29"/>
    <w:rsid w:val="00DD6A9F"/>
    <w:rsid w:val="00DE24D7"/>
    <w:rsid w:val="00DE725C"/>
    <w:rsid w:val="00DF31A0"/>
    <w:rsid w:val="00DF36E6"/>
    <w:rsid w:val="00DF3FFD"/>
    <w:rsid w:val="00DF5368"/>
    <w:rsid w:val="00DF5AEA"/>
    <w:rsid w:val="00DF6324"/>
    <w:rsid w:val="00E0039D"/>
    <w:rsid w:val="00E05A34"/>
    <w:rsid w:val="00E05AA7"/>
    <w:rsid w:val="00E14AFB"/>
    <w:rsid w:val="00E150F3"/>
    <w:rsid w:val="00E16767"/>
    <w:rsid w:val="00E17975"/>
    <w:rsid w:val="00E209AE"/>
    <w:rsid w:val="00E33757"/>
    <w:rsid w:val="00E35603"/>
    <w:rsid w:val="00E401AD"/>
    <w:rsid w:val="00E4137B"/>
    <w:rsid w:val="00E41D44"/>
    <w:rsid w:val="00E4395A"/>
    <w:rsid w:val="00E44095"/>
    <w:rsid w:val="00E50B62"/>
    <w:rsid w:val="00E534F1"/>
    <w:rsid w:val="00E54B59"/>
    <w:rsid w:val="00E63A92"/>
    <w:rsid w:val="00E734FF"/>
    <w:rsid w:val="00E76841"/>
    <w:rsid w:val="00E80383"/>
    <w:rsid w:val="00E822A2"/>
    <w:rsid w:val="00E83E9F"/>
    <w:rsid w:val="00E852E9"/>
    <w:rsid w:val="00E85782"/>
    <w:rsid w:val="00E87A4F"/>
    <w:rsid w:val="00E87C2D"/>
    <w:rsid w:val="00E91915"/>
    <w:rsid w:val="00E93C38"/>
    <w:rsid w:val="00E959BD"/>
    <w:rsid w:val="00E97E6F"/>
    <w:rsid w:val="00EB0A45"/>
    <w:rsid w:val="00EB0F65"/>
    <w:rsid w:val="00EB3880"/>
    <w:rsid w:val="00EB3D58"/>
    <w:rsid w:val="00EB64F6"/>
    <w:rsid w:val="00EB73F9"/>
    <w:rsid w:val="00EB767C"/>
    <w:rsid w:val="00EC11CA"/>
    <w:rsid w:val="00EC20E8"/>
    <w:rsid w:val="00EC448E"/>
    <w:rsid w:val="00ED04B8"/>
    <w:rsid w:val="00ED1AC7"/>
    <w:rsid w:val="00ED603E"/>
    <w:rsid w:val="00ED70D9"/>
    <w:rsid w:val="00EE2BD9"/>
    <w:rsid w:val="00EE393A"/>
    <w:rsid w:val="00EE76BB"/>
    <w:rsid w:val="00EF3F0E"/>
    <w:rsid w:val="00EF420B"/>
    <w:rsid w:val="00EF4E78"/>
    <w:rsid w:val="00F05CB5"/>
    <w:rsid w:val="00F13166"/>
    <w:rsid w:val="00F213DE"/>
    <w:rsid w:val="00F21818"/>
    <w:rsid w:val="00F23EA2"/>
    <w:rsid w:val="00F269B0"/>
    <w:rsid w:val="00F26DBB"/>
    <w:rsid w:val="00F36B8E"/>
    <w:rsid w:val="00F45F9F"/>
    <w:rsid w:val="00F5119A"/>
    <w:rsid w:val="00F52F32"/>
    <w:rsid w:val="00F557B0"/>
    <w:rsid w:val="00F571F2"/>
    <w:rsid w:val="00F622B5"/>
    <w:rsid w:val="00F65714"/>
    <w:rsid w:val="00F67053"/>
    <w:rsid w:val="00F72721"/>
    <w:rsid w:val="00F74DE4"/>
    <w:rsid w:val="00F759B0"/>
    <w:rsid w:val="00F8335E"/>
    <w:rsid w:val="00F859AC"/>
    <w:rsid w:val="00F872FB"/>
    <w:rsid w:val="00F87FA1"/>
    <w:rsid w:val="00F92FE3"/>
    <w:rsid w:val="00F96C5B"/>
    <w:rsid w:val="00FA40E5"/>
    <w:rsid w:val="00FB1895"/>
    <w:rsid w:val="00FB62FB"/>
    <w:rsid w:val="00FB7DB8"/>
    <w:rsid w:val="00FC1F19"/>
    <w:rsid w:val="00FC3488"/>
    <w:rsid w:val="00FC52F5"/>
    <w:rsid w:val="00FC6E80"/>
    <w:rsid w:val="00FD0EE0"/>
    <w:rsid w:val="00FD3BEF"/>
    <w:rsid w:val="00FD3C96"/>
    <w:rsid w:val="00FE2F2D"/>
    <w:rsid w:val="00FE4DD4"/>
    <w:rsid w:val="00FE5732"/>
    <w:rsid w:val="00FF098A"/>
    <w:rsid w:val="00FF39F4"/>
    <w:rsid w:val="00FF4E44"/>
    <w:rsid w:val="00FF7B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B46"/>
    <w:pPr>
      <w:spacing w:after="200" w:line="276" w:lineRule="auto"/>
    </w:pPr>
    <w:rPr>
      <w:rFonts w:eastAsia="Times New Roman"/>
      <w:sz w:val="22"/>
      <w:szCs w:val="22"/>
      <w:lang w:val="es-CR" w:eastAsia="es-CR"/>
    </w:rPr>
  </w:style>
  <w:style w:type="paragraph" w:styleId="Ttulo1">
    <w:name w:val="heading 1"/>
    <w:basedOn w:val="Normal"/>
    <w:next w:val="Normal"/>
    <w:link w:val="Ttulo1Car"/>
    <w:uiPriority w:val="9"/>
    <w:qFormat/>
    <w:rsid w:val="000F460B"/>
    <w:pPr>
      <w:keepNext/>
      <w:keepLines/>
      <w:spacing w:before="480" w:after="0"/>
      <w:outlineLvl w:val="0"/>
    </w:pPr>
    <w:rPr>
      <w:rFonts w:ascii="Cambria"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
    <w:basedOn w:val="Normal"/>
    <w:link w:val="PrrafodelistaCar"/>
    <w:uiPriority w:val="34"/>
    <w:qFormat/>
    <w:rsid w:val="00581B46"/>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qFormat/>
    <w:rsid w:val="00581B46"/>
    <w:pPr>
      <w:spacing w:after="0" w:line="240" w:lineRule="auto"/>
    </w:pPr>
    <w:rPr>
      <w:rFonts w:ascii="Times" w:eastAsia="Times" w:hAnsi="Times"/>
      <w:sz w:val="24"/>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rsid w:val="00581B46"/>
    <w:rPr>
      <w:rFonts w:ascii="Times" w:eastAsia="Times" w:hAnsi="Times" w:cs="Times New Roman"/>
      <w:sz w:val="24"/>
      <w:szCs w:val="20"/>
      <w:lang w:val="es-ES_tradnl" w:eastAsia="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581B46"/>
    <w:rPr>
      <w:vertAlign w:val="superscript"/>
    </w:rPr>
  </w:style>
  <w:style w:type="character" w:styleId="Hipervnculo">
    <w:name w:val="Hyperlink"/>
    <w:uiPriority w:val="99"/>
    <w:unhideWhenUsed/>
    <w:rsid w:val="00581B46"/>
    <w:rPr>
      <w:color w:val="0000FF"/>
      <w:u w:val="single"/>
    </w:rPr>
  </w:style>
  <w:style w:type="character" w:customStyle="1" w:styleId="PrrafodelistaCar">
    <w:name w:val="Párrafo de lista Car"/>
    <w:aliases w:val="Footnote Car,Párrafo de lista1 Car,Colorful List - Accent 11 Car"/>
    <w:link w:val="Prrafodelista"/>
    <w:uiPriority w:val="34"/>
    <w:rsid w:val="00581B46"/>
    <w:rPr>
      <w:rFonts w:eastAsia="Times New Roman"/>
      <w:lang w:val="es-CR" w:eastAsia="es-CR"/>
    </w:rPr>
  </w:style>
  <w:style w:type="character" w:styleId="Textoennegrita">
    <w:name w:val="Strong"/>
    <w:uiPriority w:val="22"/>
    <w:qFormat/>
    <w:rsid w:val="00581B46"/>
    <w:rPr>
      <w:b/>
      <w:bCs/>
    </w:rPr>
  </w:style>
  <w:style w:type="paragraph" w:styleId="Encabezado">
    <w:name w:val="header"/>
    <w:basedOn w:val="Normal"/>
    <w:link w:val="EncabezadoCar"/>
    <w:uiPriority w:val="99"/>
    <w:unhideWhenUsed/>
    <w:rsid w:val="00581B46"/>
    <w:pPr>
      <w:tabs>
        <w:tab w:val="center" w:pos="4419"/>
        <w:tab w:val="right" w:pos="8838"/>
      </w:tabs>
      <w:spacing w:after="0" w:line="240" w:lineRule="auto"/>
    </w:pPr>
  </w:style>
  <w:style w:type="character" w:customStyle="1" w:styleId="EncabezadoCar">
    <w:name w:val="Encabezado Car"/>
    <w:link w:val="Encabezado"/>
    <w:uiPriority w:val="99"/>
    <w:rsid w:val="00581B46"/>
    <w:rPr>
      <w:rFonts w:eastAsia="Times New Roman"/>
      <w:lang w:val="es-CR" w:eastAsia="es-CR"/>
    </w:rPr>
  </w:style>
  <w:style w:type="paragraph" w:styleId="Piedepgina">
    <w:name w:val="footer"/>
    <w:basedOn w:val="Normal"/>
    <w:link w:val="PiedepginaCar"/>
    <w:uiPriority w:val="99"/>
    <w:unhideWhenUsed/>
    <w:rsid w:val="00581B46"/>
    <w:pPr>
      <w:tabs>
        <w:tab w:val="center" w:pos="4419"/>
        <w:tab w:val="right" w:pos="8838"/>
      </w:tabs>
      <w:spacing w:after="0" w:line="240" w:lineRule="auto"/>
    </w:pPr>
  </w:style>
  <w:style w:type="character" w:customStyle="1" w:styleId="PiedepginaCar">
    <w:name w:val="Pie de página Car"/>
    <w:link w:val="Piedepgina"/>
    <w:uiPriority w:val="99"/>
    <w:rsid w:val="00581B46"/>
    <w:rPr>
      <w:rFonts w:eastAsia="Times New Roman"/>
      <w:lang w:val="es-CR" w:eastAsia="es-CR"/>
    </w:rPr>
  </w:style>
  <w:style w:type="paragraph" w:customStyle="1" w:styleId="Default">
    <w:name w:val="Default"/>
    <w:rsid w:val="00581B46"/>
    <w:pPr>
      <w:autoSpaceDE w:val="0"/>
      <w:autoSpaceDN w:val="0"/>
      <w:adjustRightInd w:val="0"/>
    </w:pPr>
    <w:rPr>
      <w:rFonts w:ascii="Verdana" w:hAnsi="Verdana" w:cs="Verdana"/>
      <w:color w:val="000000"/>
      <w:sz w:val="24"/>
      <w:szCs w:val="24"/>
      <w:lang w:val="en-US" w:eastAsia="en-US"/>
    </w:rPr>
  </w:style>
  <w:style w:type="character" w:styleId="Nmerodelnea">
    <w:name w:val="line number"/>
    <w:basedOn w:val="Fuentedeprrafopredeter"/>
    <w:uiPriority w:val="99"/>
    <w:semiHidden/>
    <w:unhideWhenUsed/>
    <w:rsid w:val="00581B46"/>
  </w:style>
  <w:style w:type="paragraph" w:styleId="TDC1">
    <w:name w:val="toc 1"/>
    <w:basedOn w:val="Normal"/>
    <w:next w:val="Normal"/>
    <w:autoRedefine/>
    <w:uiPriority w:val="39"/>
    <w:unhideWhenUsed/>
    <w:qFormat/>
    <w:rsid w:val="001764D9"/>
    <w:pPr>
      <w:tabs>
        <w:tab w:val="left" w:pos="660"/>
        <w:tab w:val="right" w:leader="dot" w:pos="9000"/>
      </w:tabs>
      <w:spacing w:after="100" w:line="240" w:lineRule="auto"/>
      <w:ind w:left="540"/>
    </w:pPr>
    <w:rPr>
      <w:rFonts w:ascii="Garamond" w:eastAsia="Times" w:hAnsi="Garamond"/>
      <w:sz w:val="24"/>
      <w:szCs w:val="20"/>
      <w:lang w:val="es-ES_tradnl" w:eastAsia="en-US"/>
    </w:rPr>
  </w:style>
  <w:style w:type="character" w:styleId="Refdecomentario">
    <w:name w:val="annotation reference"/>
    <w:uiPriority w:val="99"/>
    <w:semiHidden/>
    <w:unhideWhenUsed/>
    <w:rsid w:val="007009B3"/>
    <w:rPr>
      <w:sz w:val="16"/>
      <w:szCs w:val="16"/>
    </w:rPr>
  </w:style>
  <w:style w:type="paragraph" w:styleId="Textocomentario">
    <w:name w:val="annotation text"/>
    <w:basedOn w:val="Normal"/>
    <w:link w:val="TextocomentarioCar"/>
    <w:uiPriority w:val="99"/>
    <w:semiHidden/>
    <w:unhideWhenUsed/>
    <w:rsid w:val="007009B3"/>
    <w:pPr>
      <w:spacing w:line="240" w:lineRule="auto"/>
    </w:pPr>
    <w:rPr>
      <w:sz w:val="20"/>
      <w:szCs w:val="20"/>
    </w:rPr>
  </w:style>
  <w:style w:type="character" w:customStyle="1" w:styleId="TextocomentarioCar">
    <w:name w:val="Texto comentario Car"/>
    <w:link w:val="Textocomentario"/>
    <w:uiPriority w:val="99"/>
    <w:semiHidden/>
    <w:rsid w:val="007009B3"/>
    <w:rPr>
      <w:rFonts w:eastAsia="Times New Roman"/>
      <w:sz w:val="20"/>
      <w:szCs w:val="20"/>
      <w:lang w:val="es-CR" w:eastAsia="es-CR"/>
    </w:rPr>
  </w:style>
  <w:style w:type="paragraph" w:styleId="Asuntodelcomentario">
    <w:name w:val="annotation subject"/>
    <w:basedOn w:val="Textocomentario"/>
    <w:next w:val="Textocomentario"/>
    <w:link w:val="AsuntodelcomentarioCar"/>
    <w:uiPriority w:val="99"/>
    <w:semiHidden/>
    <w:unhideWhenUsed/>
    <w:rsid w:val="007009B3"/>
    <w:rPr>
      <w:b/>
      <w:bCs/>
    </w:rPr>
  </w:style>
  <w:style w:type="character" w:customStyle="1" w:styleId="AsuntodelcomentarioCar">
    <w:name w:val="Asunto del comentario Car"/>
    <w:link w:val="Asuntodelcomentario"/>
    <w:uiPriority w:val="99"/>
    <w:semiHidden/>
    <w:rsid w:val="007009B3"/>
    <w:rPr>
      <w:rFonts w:eastAsia="Times New Roman"/>
      <w:b/>
      <w:bCs/>
      <w:sz w:val="20"/>
      <w:szCs w:val="20"/>
      <w:lang w:val="es-CR" w:eastAsia="es-CR"/>
    </w:rPr>
  </w:style>
  <w:style w:type="paragraph" w:styleId="Textodeglobo">
    <w:name w:val="Balloon Text"/>
    <w:basedOn w:val="Normal"/>
    <w:link w:val="TextodegloboCar"/>
    <w:uiPriority w:val="99"/>
    <w:semiHidden/>
    <w:unhideWhenUsed/>
    <w:rsid w:val="007009B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009B3"/>
    <w:rPr>
      <w:rFonts w:ascii="Tahoma" w:eastAsia="Times New Roman" w:hAnsi="Tahoma" w:cs="Tahoma"/>
      <w:sz w:val="16"/>
      <w:szCs w:val="16"/>
      <w:lang w:val="es-CR" w:eastAsia="es-CR"/>
    </w:rPr>
  </w:style>
  <w:style w:type="paragraph" w:styleId="Textonotaalfinal">
    <w:name w:val="endnote text"/>
    <w:basedOn w:val="Normal"/>
    <w:link w:val="TextonotaalfinalCar"/>
    <w:uiPriority w:val="99"/>
    <w:semiHidden/>
    <w:unhideWhenUsed/>
    <w:rsid w:val="00474698"/>
    <w:pPr>
      <w:spacing w:after="0" w:line="240" w:lineRule="auto"/>
    </w:pPr>
    <w:rPr>
      <w:sz w:val="20"/>
      <w:szCs w:val="20"/>
    </w:rPr>
  </w:style>
  <w:style w:type="character" w:customStyle="1" w:styleId="TextonotaalfinalCar">
    <w:name w:val="Texto nota al final Car"/>
    <w:link w:val="Textonotaalfinal"/>
    <w:uiPriority w:val="99"/>
    <w:semiHidden/>
    <w:rsid w:val="00474698"/>
    <w:rPr>
      <w:rFonts w:eastAsia="Times New Roman"/>
      <w:sz w:val="20"/>
      <w:szCs w:val="20"/>
      <w:lang w:val="es-CR" w:eastAsia="es-CR"/>
    </w:rPr>
  </w:style>
  <w:style w:type="character" w:styleId="Refdenotaalfinal">
    <w:name w:val="endnote reference"/>
    <w:uiPriority w:val="99"/>
    <w:semiHidden/>
    <w:unhideWhenUsed/>
    <w:rsid w:val="00474698"/>
    <w:rPr>
      <w:vertAlign w:val="superscript"/>
    </w:rPr>
  </w:style>
  <w:style w:type="paragraph" w:styleId="Revisin">
    <w:name w:val="Revision"/>
    <w:hidden/>
    <w:uiPriority w:val="99"/>
    <w:semiHidden/>
    <w:rsid w:val="00BB7CE2"/>
    <w:rPr>
      <w:rFonts w:eastAsia="Times New Roman"/>
      <w:sz w:val="22"/>
      <w:szCs w:val="22"/>
      <w:lang w:val="es-CR" w:eastAsia="es-CR"/>
    </w:rPr>
  </w:style>
  <w:style w:type="character" w:customStyle="1" w:styleId="Ttulo1Car">
    <w:name w:val="Título 1 Car"/>
    <w:link w:val="Ttulo1"/>
    <w:uiPriority w:val="9"/>
    <w:rsid w:val="000F460B"/>
    <w:rPr>
      <w:rFonts w:ascii="Cambria" w:eastAsia="Times New Roman" w:hAnsi="Cambria" w:cs="Times New Roman"/>
      <w:b/>
      <w:bCs/>
      <w:color w:val="365F91"/>
      <w:sz w:val="28"/>
      <w:szCs w:val="28"/>
      <w:lang w:val="es-CR" w:eastAsia="es-CR"/>
    </w:rPr>
  </w:style>
  <w:style w:type="paragraph" w:styleId="TtulodeTDC">
    <w:name w:val="TOC Heading"/>
    <w:basedOn w:val="Ttulo1"/>
    <w:next w:val="Normal"/>
    <w:uiPriority w:val="39"/>
    <w:unhideWhenUsed/>
    <w:qFormat/>
    <w:rsid w:val="000F460B"/>
    <w:pPr>
      <w:outlineLvl w:val="9"/>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359174">
      <w:bodyDiv w:val="1"/>
      <w:marLeft w:val="0"/>
      <w:marRight w:val="0"/>
      <w:marTop w:val="0"/>
      <w:marBottom w:val="0"/>
      <w:divBdr>
        <w:top w:val="none" w:sz="0" w:space="0" w:color="auto"/>
        <w:left w:val="none" w:sz="0" w:space="0" w:color="auto"/>
        <w:bottom w:val="none" w:sz="0" w:space="0" w:color="auto"/>
        <w:right w:val="none" w:sz="0" w:space="0" w:color="auto"/>
      </w:divBdr>
    </w:div>
    <w:div w:id="201178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258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71653-E1CE-400E-9E1D-290DDDB6E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4716</Words>
  <Characters>25938</Characters>
  <Application>Microsoft Office Word</Application>
  <DocSecurity>0</DocSecurity>
  <Lines>216</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30593</CharactersWithSpaces>
  <SharedDoc>false</SharedDoc>
  <HLinks>
    <vt:vector size="24" baseType="variant">
      <vt:variant>
        <vt:i4>1769527</vt:i4>
      </vt:variant>
      <vt:variant>
        <vt:i4>23</vt:i4>
      </vt:variant>
      <vt:variant>
        <vt:i4>0</vt:i4>
      </vt:variant>
      <vt:variant>
        <vt:i4>5</vt:i4>
      </vt:variant>
      <vt:variant>
        <vt:lpwstr/>
      </vt:variant>
      <vt:variant>
        <vt:lpwstr>_Toc467850126</vt:lpwstr>
      </vt:variant>
      <vt:variant>
        <vt:i4>1769527</vt:i4>
      </vt:variant>
      <vt:variant>
        <vt:i4>17</vt:i4>
      </vt:variant>
      <vt:variant>
        <vt:i4>0</vt:i4>
      </vt:variant>
      <vt:variant>
        <vt:i4>5</vt:i4>
      </vt:variant>
      <vt:variant>
        <vt:lpwstr/>
      </vt:variant>
      <vt:variant>
        <vt:lpwstr>_Toc467850125</vt:lpwstr>
      </vt:variant>
      <vt:variant>
        <vt:i4>1769527</vt:i4>
      </vt:variant>
      <vt:variant>
        <vt:i4>11</vt:i4>
      </vt:variant>
      <vt:variant>
        <vt:i4>0</vt:i4>
      </vt:variant>
      <vt:variant>
        <vt:i4>5</vt:i4>
      </vt:variant>
      <vt:variant>
        <vt:lpwstr/>
      </vt:variant>
      <vt:variant>
        <vt:lpwstr>_Toc467850124</vt:lpwstr>
      </vt:variant>
      <vt:variant>
        <vt:i4>5570654</vt:i4>
      </vt:variant>
      <vt:variant>
        <vt:i4>0</vt:i4>
      </vt:variant>
      <vt:variant>
        <vt:i4>0</vt:i4>
      </vt:variant>
      <vt:variant>
        <vt:i4>5</vt:i4>
      </vt:variant>
      <vt:variant>
        <vt:lpwstr>http://www.corteidh.or.cr/docs/casos/articulos/seriec_258_esp.pdf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2017-03-06T21:39:00Z</cp:lastPrinted>
  <dcterms:created xsi:type="dcterms:W3CDTF">2017-03-06T21:39:00Z</dcterms:created>
  <dcterms:modified xsi:type="dcterms:W3CDTF">2017-03-06T21:39:00Z</dcterms:modified>
</cp:coreProperties>
</file>