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388" w:rsidRPr="00102C59" w:rsidRDefault="00114388" w:rsidP="00114388">
      <w:pPr>
        <w:pStyle w:val="Default"/>
        <w:tabs>
          <w:tab w:val="left" w:pos="567"/>
        </w:tabs>
        <w:jc w:val="center"/>
        <w:rPr>
          <w:b/>
          <w:bCs/>
          <w:spacing w:val="-2"/>
          <w:sz w:val="20"/>
          <w:szCs w:val="20"/>
          <w:lang w:val="es-ES"/>
        </w:rPr>
      </w:pPr>
      <w:bookmarkStart w:id="0" w:name="_GoBack"/>
      <w:bookmarkEnd w:id="0"/>
      <w:r w:rsidRPr="00102C59">
        <w:rPr>
          <w:b/>
          <w:bCs/>
          <w:spacing w:val="-2"/>
          <w:sz w:val="20"/>
          <w:szCs w:val="20"/>
          <w:lang w:val="es-ES"/>
        </w:rPr>
        <w:t>RESOLUCIÓN DEL PRESIDENTE DE LA</w:t>
      </w:r>
    </w:p>
    <w:p w:rsidR="00114388" w:rsidRPr="00102C59" w:rsidRDefault="00114388" w:rsidP="00114388">
      <w:pPr>
        <w:pStyle w:val="Default"/>
        <w:tabs>
          <w:tab w:val="left" w:pos="567"/>
        </w:tabs>
        <w:jc w:val="center"/>
        <w:rPr>
          <w:b/>
          <w:bCs/>
          <w:spacing w:val="-2"/>
          <w:sz w:val="20"/>
          <w:szCs w:val="20"/>
          <w:lang w:val="es-ES"/>
        </w:rPr>
      </w:pPr>
    </w:p>
    <w:p w:rsidR="00114388" w:rsidRPr="00102C59" w:rsidRDefault="00114388" w:rsidP="00114388">
      <w:pPr>
        <w:pStyle w:val="Default"/>
        <w:tabs>
          <w:tab w:val="left" w:pos="567"/>
        </w:tabs>
        <w:jc w:val="center"/>
        <w:rPr>
          <w:spacing w:val="-2"/>
          <w:sz w:val="20"/>
          <w:szCs w:val="20"/>
          <w:lang w:val="es-ES"/>
        </w:rPr>
      </w:pPr>
      <w:r w:rsidRPr="00102C59">
        <w:rPr>
          <w:b/>
          <w:bCs/>
          <w:spacing w:val="-2"/>
          <w:sz w:val="20"/>
          <w:szCs w:val="20"/>
          <w:lang w:val="es-ES"/>
        </w:rPr>
        <w:t>CORTE INTERAMERICANA DE DERECHOS HUMANOS</w:t>
      </w:r>
    </w:p>
    <w:p w:rsidR="00114388" w:rsidRPr="00102C59" w:rsidRDefault="00114388" w:rsidP="00114388">
      <w:pPr>
        <w:pStyle w:val="Default"/>
        <w:tabs>
          <w:tab w:val="left" w:pos="567"/>
        </w:tabs>
        <w:jc w:val="center"/>
        <w:rPr>
          <w:spacing w:val="-2"/>
          <w:sz w:val="20"/>
          <w:szCs w:val="20"/>
          <w:lang w:val="es-ES"/>
        </w:rPr>
      </w:pPr>
    </w:p>
    <w:p w:rsidR="00114388" w:rsidRPr="00102C59" w:rsidRDefault="00114388" w:rsidP="00114388">
      <w:pPr>
        <w:pStyle w:val="Default"/>
        <w:tabs>
          <w:tab w:val="left" w:pos="567"/>
        </w:tabs>
        <w:jc w:val="center"/>
        <w:rPr>
          <w:b/>
          <w:bCs/>
          <w:spacing w:val="-2"/>
          <w:sz w:val="20"/>
          <w:szCs w:val="20"/>
          <w:lang w:val="es-ES"/>
        </w:rPr>
      </w:pPr>
      <w:r w:rsidRPr="00102C59">
        <w:rPr>
          <w:b/>
          <w:bCs/>
          <w:spacing w:val="-2"/>
          <w:sz w:val="20"/>
          <w:szCs w:val="20"/>
          <w:lang w:val="es-ES"/>
        </w:rPr>
        <w:t xml:space="preserve">DE </w:t>
      </w:r>
      <w:r>
        <w:rPr>
          <w:b/>
          <w:bCs/>
          <w:spacing w:val="-2"/>
          <w:sz w:val="20"/>
          <w:szCs w:val="20"/>
          <w:lang w:val="es-ES"/>
        </w:rPr>
        <w:t>22</w:t>
      </w:r>
      <w:r w:rsidRPr="00102C59">
        <w:rPr>
          <w:b/>
          <w:bCs/>
          <w:spacing w:val="-2"/>
          <w:sz w:val="20"/>
          <w:szCs w:val="20"/>
          <w:lang w:val="es-ES"/>
        </w:rPr>
        <w:t xml:space="preserve"> DE JUNIO DE 2016</w:t>
      </w:r>
    </w:p>
    <w:p w:rsidR="00114388" w:rsidRPr="00102C59" w:rsidRDefault="00114388" w:rsidP="00114388">
      <w:pPr>
        <w:pStyle w:val="Default"/>
        <w:tabs>
          <w:tab w:val="left" w:pos="567"/>
        </w:tabs>
        <w:jc w:val="center"/>
        <w:rPr>
          <w:spacing w:val="-2"/>
          <w:sz w:val="20"/>
          <w:szCs w:val="20"/>
          <w:lang w:val="es-ES"/>
        </w:rPr>
      </w:pPr>
    </w:p>
    <w:p w:rsidR="00114388" w:rsidRPr="00102C59" w:rsidRDefault="00114388" w:rsidP="00114388">
      <w:pPr>
        <w:pStyle w:val="Default"/>
        <w:tabs>
          <w:tab w:val="left" w:pos="567"/>
        </w:tabs>
        <w:jc w:val="center"/>
        <w:rPr>
          <w:b/>
          <w:bCs/>
          <w:spacing w:val="-2"/>
          <w:sz w:val="20"/>
          <w:szCs w:val="20"/>
          <w:lang w:val="es-ES"/>
        </w:rPr>
      </w:pPr>
      <w:r w:rsidRPr="00102C59">
        <w:rPr>
          <w:b/>
          <w:bCs/>
          <w:spacing w:val="-2"/>
          <w:sz w:val="20"/>
          <w:szCs w:val="20"/>
          <w:lang w:val="es-ES"/>
        </w:rPr>
        <w:t>FONDO DE ASISTENCIA LEGAL DE VÍCTIMAS</w:t>
      </w:r>
    </w:p>
    <w:p w:rsidR="00114388" w:rsidRPr="00102C59" w:rsidRDefault="00114388" w:rsidP="00114388">
      <w:pPr>
        <w:pStyle w:val="Default"/>
        <w:tabs>
          <w:tab w:val="left" w:pos="567"/>
        </w:tabs>
        <w:jc w:val="center"/>
        <w:rPr>
          <w:b/>
          <w:bCs/>
          <w:spacing w:val="-2"/>
          <w:sz w:val="20"/>
          <w:szCs w:val="20"/>
          <w:lang w:val="es-ES"/>
        </w:rPr>
      </w:pPr>
    </w:p>
    <w:p w:rsidR="00114388" w:rsidRPr="00102C59" w:rsidRDefault="00114388" w:rsidP="00114388">
      <w:pPr>
        <w:pStyle w:val="Default"/>
        <w:tabs>
          <w:tab w:val="left" w:pos="567"/>
        </w:tabs>
        <w:jc w:val="center"/>
        <w:rPr>
          <w:b/>
          <w:bCs/>
          <w:spacing w:val="-2"/>
          <w:sz w:val="20"/>
          <w:szCs w:val="20"/>
          <w:lang w:val="es-ES"/>
        </w:rPr>
      </w:pPr>
      <w:r w:rsidRPr="00102C59">
        <w:rPr>
          <w:b/>
          <w:bCs/>
          <w:spacing w:val="-2"/>
          <w:sz w:val="20"/>
          <w:szCs w:val="20"/>
          <w:lang w:val="es-ES"/>
        </w:rPr>
        <w:t>CASO TRABAJADORES CESADOS DE PETROPERÚ, DEL MINISTERIO DE EDUCACIÓN, DEL MINISTERIO DE ECONOMÍA Y FINANZAS, Y DE LA EMPRESA NACIONAL DE PUERTOS VS. PERÚ</w:t>
      </w:r>
    </w:p>
    <w:p w:rsidR="00114388" w:rsidRPr="00102C59" w:rsidRDefault="00114388" w:rsidP="00114388">
      <w:pPr>
        <w:pStyle w:val="Default"/>
        <w:tabs>
          <w:tab w:val="left" w:pos="567"/>
        </w:tabs>
        <w:jc w:val="both"/>
        <w:rPr>
          <w:b/>
          <w:bCs/>
          <w:spacing w:val="-2"/>
          <w:sz w:val="20"/>
          <w:szCs w:val="20"/>
          <w:lang w:val="es-ES"/>
        </w:rPr>
      </w:pPr>
    </w:p>
    <w:p w:rsidR="00114388" w:rsidRPr="00102C59" w:rsidRDefault="00114388" w:rsidP="00114388">
      <w:pPr>
        <w:pStyle w:val="Default"/>
        <w:tabs>
          <w:tab w:val="left" w:pos="567"/>
        </w:tabs>
        <w:jc w:val="both"/>
        <w:rPr>
          <w:b/>
          <w:bCs/>
          <w:spacing w:val="-2"/>
          <w:sz w:val="20"/>
          <w:szCs w:val="20"/>
          <w:lang w:val="es-ES"/>
        </w:rPr>
      </w:pPr>
    </w:p>
    <w:p w:rsidR="00114388" w:rsidRPr="00102C59" w:rsidRDefault="00114388" w:rsidP="00114388">
      <w:pPr>
        <w:pStyle w:val="Default"/>
        <w:tabs>
          <w:tab w:val="left" w:pos="567"/>
        </w:tabs>
        <w:jc w:val="both"/>
        <w:rPr>
          <w:b/>
          <w:bCs/>
          <w:spacing w:val="-2"/>
          <w:sz w:val="20"/>
          <w:szCs w:val="20"/>
          <w:lang w:val="es-ES"/>
        </w:rPr>
      </w:pPr>
      <w:r w:rsidRPr="00102C59">
        <w:rPr>
          <w:b/>
          <w:bCs/>
          <w:spacing w:val="-2"/>
          <w:sz w:val="20"/>
          <w:szCs w:val="20"/>
          <w:lang w:val="es-ES"/>
        </w:rPr>
        <w:t>VISTO:</w:t>
      </w:r>
    </w:p>
    <w:p w:rsidR="00114388" w:rsidRPr="00102C59" w:rsidRDefault="00114388" w:rsidP="00114388">
      <w:pPr>
        <w:pStyle w:val="Prrafodelista"/>
        <w:tabs>
          <w:tab w:val="left" w:pos="567"/>
        </w:tabs>
        <w:autoSpaceDE w:val="0"/>
        <w:autoSpaceDN w:val="0"/>
        <w:adjustRightInd w:val="0"/>
        <w:spacing w:after="0" w:line="240" w:lineRule="auto"/>
        <w:ind w:left="0"/>
        <w:jc w:val="both"/>
        <w:rPr>
          <w:rFonts w:ascii="Verdana" w:hAnsi="Verdana" w:cs="Verdana"/>
          <w:b/>
          <w:bCs/>
          <w:color w:val="000000"/>
          <w:spacing w:val="-2"/>
          <w:sz w:val="20"/>
          <w:szCs w:val="20"/>
          <w:lang w:val="es-ES"/>
        </w:rPr>
      </w:pPr>
    </w:p>
    <w:p w:rsidR="00114388" w:rsidRPr="00102C59" w:rsidRDefault="00114388" w:rsidP="00114388">
      <w:pPr>
        <w:pStyle w:val="Prrafodelista"/>
        <w:numPr>
          <w:ilvl w:val="3"/>
          <w:numId w:val="16"/>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102C59">
        <w:rPr>
          <w:rFonts w:ascii="Verdana" w:hAnsi="Verdana" w:cs="Verdana"/>
          <w:spacing w:val="-2"/>
          <w:sz w:val="20"/>
          <w:szCs w:val="20"/>
          <w:lang w:val="es-ES"/>
        </w:rPr>
        <w:t>El escrito de 13 de agosto de 2015 y sus anexos, mediante los cuales la Comisión Interamericana de Derechos Humanos (en adelante “la Comisión Interamericana” o “la Comisión”) sometió ante la Corte Interamericana de Derechos Humanos (en adelante “la Corte Interamericana”, “la Corte” o “el Tribunal”) el presente caso</w:t>
      </w:r>
      <w:r w:rsidRPr="00102C59">
        <w:rPr>
          <w:rStyle w:val="Refdenotaalpie"/>
          <w:rFonts w:ascii="Verdana" w:hAnsi="Verdana" w:cs="Verdana"/>
          <w:spacing w:val="-2"/>
          <w:sz w:val="20"/>
          <w:szCs w:val="20"/>
          <w:lang w:val="es-ES"/>
        </w:rPr>
        <w:footnoteReference w:id="1"/>
      </w:r>
      <w:r w:rsidRPr="00102C59">
        <w:rPr>
          <w:rFonts w:ascii="Verdana" w:hAnsi="Verdana" w:cs="Verdana"/>
          <w:spacing w:val="-2"/>
          <w:sz w:val="20"/>
          <w:szCs w:val="20"/>
          <w:lang w:val="es-ES"/>
        </w:rPr>
        <w:t>.</w:t>
      </w:r>
      <w:r w:rsidRPr="00102C59">
        <w:rPr>
          <w:rFonts w:ascii="Verdana" w:hAnsi="Verdana"/>
          <w:b/>
          <w:spacing w:val="-2"/>
          <w:sz w:val="20"/>
          <w:szCs w:val="20"/>
          <w:lang w:val="es-CR"/>
        </w:rPr>
        <w:t xml:space="preserve"> </w:t>
      </w:r>
    </w:p>
    <w:p w:rsidR="00114388" w:rsidRPr="00102C59" w:rsidRDefault="00114388" w:rsidP="00114388">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114388" w:rsidRPr="001B7C51" w:rsidRDefault="00114388" w:rsidP="00114388">
      <w:pPr>
        <w:pStyle w:val="Prrafodelista"/>
        <w:numPr>
          <w:ilvl w:val="3"/>
          <w:numId w:val="16"/>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102C59">
        <w:rPr>
          <w:rFonts w:ascii="Verdana" w:hAnsi="Verdana" w:cs="Verdana"/>
          <w:spacing w:val="-2"/>
          <w:sz w:val="20"/>
          <w:szCs w:val="20"/>
          <w:lang w:val="es-ES"/>
        </w:rPr>
        <w:t>El escrito de 10 de febrero de 2016, mediante el cual la señora Carolina Loayza Tamayo</w:t>
      </w:r>
      <w:r w:rsidRPr="00102C59">
        <w:rPr>
          <w:rFonts w:ascii="Verdana" w:hAnsi="Verdana" w:cs="Verdana"/>
          <w:spacing w:val="-2"/>
          <w:sz w:val="20"/>
          <w:szCs w:val="20"/>
          <w:lang w:val="es-AR"/>
        </w:rPr>
        <w:t>, en representación de un grupo de presuntas víctimas en el presente caso</w:t>
      </w:r>
      <w:r w:rsidRPr="00102C59">
        <w:rPr>
          <w:rFonts w:ascii="Verdana" w:hAnsi="Verdana" w:cs="Verdana"/>
          <w:spacing w:val="-2"/>
          <w:sz w:val="20"/>
          <w:szCs w:val="20"/>
          <w:lang w:val="es-ES"/>
        </w:rPr>
        <w:t>, remitió su escrito de solicitudes, argumentos y pruebas (en adelante “escrito de solicitudes y argumentos”), ofreció once declaraciones de presuntas víctimas</w:t>
      </w:r>
      <w:r>
        <w:rPr>
          <w:rFonts w:ascii="Verdana" w:hAnsi="Verdana" w:cs="Verdana"/>
          <w:spacing w:val="-2"/>
          <w:sz w:val="20"/>
          <w:szCs w:val="20"/>
          <w:lang w:val="es-ES"/>
        </w:rPr>
        <w:t xml:space="preserve"> y</w:t>
      </w:r>
      <w:r w:rsidRPr="00102C59">
        <w:rPr>
          <w:rFonts w:ascii="Verdana" w:hAnsi="Verdana" w:cs="Verdana"/>
          <w:spacing w:val="-2"/>
          <w:sz w:val="20"/>
          <w:szCs w:val="20"/>
          <w:lang w:val="es-ES"/>
        </w:rPr>
        <w:t xml:space="preserve"> cinco peritajes</w:t>
      </w:r>
      <w:r>
        <w:rPr>
          <w:rFonts w:ascii="Verdana" w:hAnsi="Verdana" w:cs="Verdana"/>
          <w:spacing w:val="-2"/>
          <w:sz w:val="20"/>
          <w:szCs w:val="20"/>
          <w:lang w:val="es-ES"/>
        </w:rPr>
        <w:t>,</w:t>
      </w:r>
      <w:r w:rsidRPr="00102C59">
        <w:rPr>
          <w:rFonts w:ascii="Verdana" w:hAnsi="Verdana" w:cs="Verdana"/>
          <w:spacing w:val="-2"/>
          <w:sz w:val="20"/>
          <w:szCs w:val="20"/>
          <w:lang w:val="es-ES"/>
        </w:rPr>
        <w:t xml:space="preserve"> y solicitó acogerse al Fondo de Asistencia Legal de Víctimas de la Corte (en adelante “Fondo de Asistencia de la Corte” o “Fondo”).</w:t>
      </w:r>
      <w:r>
        <w:rPr>
          <w:rFonts w:ascii="Verdana" w:hAnsi="Verdana" w:cs="Verdana"/>
          <w:spacing w:val="-2"/>
          <w:sz w:val="20"/>
          <w:szCs w:val="20"/>
          <w:lang w:val="es-ES"/>
        </w:rPr>
        <w:t xml:space="preserve"> </w:t>
      </w:r>
      <w:r w:rsidRPr="00102C59">
        <w:rPr>
          <w:rFonts w:ascii="Verdana" w:hAnsi="Verdana" w:cs="Verdana"/>
          <w:spacing w:val="-2"/>
          <w:sz w:val="20"/>
          <w:szCs w:val="20"/>
          <w:lang w:val="es-ES"/>
        </w:rPr>
        <w:t xml:space="preserve">Asimismo, </w:t>
      </w:r>
      <w:r>
        <w:rPr>
          <w:rFonts w:ascii="Verdana" w:hAnsi="Verdana"/>
          <w:spacing w:val="-2"/>
          <w:sz w:val="20"/>
          <w:szCs w:val="20"/>
          <w:lang w:val="es-CR"/>
        </w:rPr>
        <w:t>los escritos</w:t>
      </w:r>
      <w:r w:rsidRPr="00102C59">
        <w:rPr>
          <w:rFonts w:ascii="Verdana" w:hAnsi="Verdana"/>
          <w:spacing w:val="-2"/>
          <w:sz w:val="20"/>
          <w:szCs w:val="20"/>
          <w:lang w:val="es-CR"/>
        </w:rPr>
        <w:t xml:space="preserve"> de 2 </w:t>
      </w:r>
      <w:r>
        <w:rPr>
          <w:rFonts w:ascii="Verdana" w:hAnsi="Verdana"/>
          <w:spacing w:val="-2"/>
          <w:sz w:val="20"/>
          <w:szCs w:val="20"/>
          <w:lang w:val="es-CR"/>
        </w:rPr>
        <w:t xml:space="preserve">y 22 </w:t>
      </w:r>
      <w:r w:rsidRPr="00102C59">
        <w:rPr>
          <w:rFonts w:ascii="Verdana" w:hAnsi="Verdana"/>
          <w:spacing w:val="-2"/>
          <w:sz w:val="20"/>
          <w:szCs w:val="20"/>
          <w:lang w:val="es-CR"/>
        </w:rPr>
        <w:t xml:space="preserve">de marzo de 2016, mediante </w:t>
      </w:r>
      <w:r>
        <w:rPr>
          <w:rFonts w:ascii="Verdana" w:hAnsi="Verdana"/>
          <w:spacing w:val="-2"/>
          <w:sz w:val="20"/>
          <w:szCs w:val="20"/>
          <w:lang w:val="es-CR"/>
        </w:rPr>
        <w:t>los cuales</w:t>
      </w:r>
      <w:r w:rsidRPr="00102C59">
        <w:rPr>
          <w:rFonts w:ascii="Verdana" w:hAnsi="Verdana"/>
          <w:spacing w:val="-2"/>
          <w:sz w:val="20"/>
          <w:szCs w:val="20"/>
          <w:lang w:val="es-CR"/>
        </w:rPr>
        <w:t xml:space="preserve"> la señora </w:t>
      </w:r>
      <w:r w:rsidRPr="00102C59">
        <w:rPr>
          <w:rFonts w:ascii="Verdana" w:hAnsi="Verdana" w:cs="Verdana"/>
          <w:spacing w:val="-2"/>
          <w:sz w:val="20"/>
          <w:szCs w:val="20"/>
          <w:lang w:val="es-ES"/>
        </w:rPr>
        <w:t>Loayza</w:t>
      </w:r>
      <w:r w:rsidRPr="00102C59">
        <w:rPr>
          <w:rFonts w:ascii="Verdana" w:hAnsi="Verdana"/>
          <w:spacing w:val="-2"/>
          <w:sz w:val="20"/>
          <w:szCs w:val="20"/>
          <w:lang w:val="es-CR"/>
        </w:rPr>
        <w:t xml:space="preserve"> remitió</w:t>
      </w:r>
      <w:r>
        <w:rPr>
          <w:rFonts w:ascii="Verdana" w:hAnsi="Verdana"/>
          <w:spacing w:val="-2"/>
          <w:sz w:val="20"/>
          <w:szCs w:val="20"/>
          <w:lang w:val="es-CR"/>
        </w:rPr>
        <w:t xml:space="preserve"> </w:t>
      </w:r>
      <w:r w:rsidRPr="00102C59">
        <w:rPr>
          <w:rFonts w:ascii="Verdana" w:hAnsi="Verdana"/>
          <w:spacing w:val="-2"/>
          <w:sz w:val="20"/>
          <w:szCs w:val="20"/>
          <w:lang w:val="es-CR"/>
        </w:rPr>
        <w:t>los anexos al escrito de solicitudes y argumentos</w:t>
      </w:r>
      <w:r>
        <w:rPr>
          <w:rFonts w:ascii="Verdana" w:hAnsi="Verdana"/>
          <w:spacing w:val="-2"/>
          <w:sz w:val="20"/>
          <w:szCs w:val="20"/>
          <w:lang w:val="es-CR"/>
        </w:rPr>
        <w:t xml:space="preserve"> y las aclaraciones a los mismos según lo solicitado en la </w:t>
      </w:r>
      <w:r w:rsidRPr="007965C3">
        <w:rPr>
          <w:rFonts w:ascii="Verdana" w:hAnsi="Verdana" w:cs="Times New Roman"/>
          <w:sz w:val="20"/>
          <w:szCs w:val="20"/>
          <w:lang w:val="es-CR"/>
        </w:rPr>
        <w:t>nota de Secretaría de 15 de marzo de 2016.</w:t>
      </w:r>
      <w:r>
        <w:rPr>
          <w:rFonts w:ascii="Verdana" w:hAnsi="Verdana"/>
          <w:spacing w:val="-2"/>
          <w:sz w:val="20"/>
          <w:szCs w:val="20"/>
          <w:lang w:val="es-CR"/>
        </w:rPr>
        <w:t xml:space="preserve"> </w:t>
      </w:r>
    </w:p>
    <w:p w:rsidR="00114388" w:rsidRDefault="00114388" w:rsidP="00114388">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114388" w:rsidRPr="00B95AA6" w:rsidRDefault="00114388" w:rsidP="00114388">
      <w:pPr>
        <w:pStyle w:val="Prrafodelista"/>
        <w:numPr>
          <w:ilvl w:val="3"/>
          <w:numId w:val="16"/>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B95AA6">
        <w:rPr>
          <w:rFonts w:ascii="Verdana" w:hAnsi="Verdana" w:cs="Verdana"/>
          <w:spacing w:val="-2"/>
          <w:sz w:val="20"/>
          <w:szCs w:val="20"/>
          <w:lang w:val="es-ES"/>
        </w:rPr>
        <w:t>El escrito de 13 de junio d</w:t>
      </w:r>
      <w:r>
        <w:rPr>
          <w:rFonts w:ascii="Verdana" w:hAnsi="Verdana" w:cs="Verdana"/>
          <w:spacing w:val="-2"/>
          <w:sz w:val="20"/>
          <w:szCs w:val="20"/>
          <w:lang w:val="es-ES"/>
        </w:rPr>
        <w:t>e 2016 y sus anexos, mediante los</w:t>
      </w:r>
      <w:r w:rsidRPr="00B95AA6">
        <w:rPr>
          <w:rFonts w:ascii="Verdana" w:hAnsi="Verdana" w:cs="Verdana"/>
          <w:spacing w:val="-2"/>
          <w:sz w:val="20"/>
          <w:szCs w:val="20"/>
          <w:lang w:val="es-ES"/>
        </w:rPr>
        <w:t xml:space="preserve"> cual</w:t>
      </w:r>
      <w:r>
        <w:rPr>
          <w:rFonts w:ascii="Verdana" w:hAnsi="Verdana" w:cs="Verdana"/>
          <w:spacing w:val="-2"/>
          <w:sz w:val="20"/>
          <w:szCs w:val="20"/>
          <w:lang w:val="es-ES"/>
        </w:rPr>
        <w:t xml:space="preserve">es la República del </w:t>
      </w:r>
      <w:r w:rsidRPr="00B95AA6">
        <w:rPr>
          <w:rFonts w:ascii="Verdana" w:hAnsi="Verdana" w:cs="Verdana"/>
          <w:spacing w:val="-2"/>
          <w:sz w:val="20"/>
          <w:szCs w:val="20"/>
          <w:lang w:val="es-ES"/>
        </w:rPr>
        <w:t xml:space="preserve">Perú </w:t>
      </w:r>
      <w:r w:rsidRPr="001B7C51">
        <w:rPr>
          <w:rFonts w:ascii="Verdana" w:hAnsi="Verdana"/>
          <w:sz w:val="20"/>
          <w:szCs w:val="20"/>
          <w:lang w:val="es-CR"/>
        </w:rPr>
        <w:t>(en adelante “Perú” o “el Estado”) presentó la contestación al escrito de sometimiento de la Comisión y las observaciones a los escritos de s</w:t>
      </w:r>
      <w:r>
        <w:rPr>
          <w:rFonts w:ascii="Verdana" w:hAnsi="Verdana"/>
          <w:sz w:val="20"/>
          <w:szCs w:val="20"/>
          <w:lang w:val="es-CR"/>
        </w:rPr>
        <w:t>olicitudes y argumentos</w:t>
      </w:r>
      <w:r w:rsidRPr="001B7C51">
        <w:rPr>
          <w:rFonts w:ascii="Verdana" w:hAnsi="Verdana"/>
          <w:sz w:val="20"/>
          <w:szCs w:val="20"/>
          <w:lang w:val="es-CR"/>
        </w:rPr>
        <w:t xml:space="preserve"> de los intervinientes comunes</w:t>
      </w:r>
      <w:r>
        <w:rPr>
          <w:rFonts w:ascii="Verdana" w:hAnsi="Verdana"/>
          <w:sz w:val="20"/>
          <w:szCs w:val="20"/>
          <w:lang w:val="es-CR"/>
        </w:rPr>
        <w:t xml:space="preserve"> (en adelante “el escrito de contestación”).</w:t>
      </w:r>
    </w:p>
    <w:p w:rsidR="00114388" w:rsidRPr="00102C59" w:rsidRDefault="00114388" w:rsidP="00114388">
      <w:pPr>
        <w:tabs>
          <w:tab w:val="left" w:pos="567"/>
        </w:tabs>
        <w:autoSpaceDE w:val="0"/>
        <w:autoSpaceDN w:val="0"/>
        <w:adjustRightInd w:val="0"/>
        <w:spacing w:after="0" w:line="240" w:lineRule="auto"/>
        <w:jc w:val="both"/>
        <w:rPr>
          <w:rFonts w:ascii="Verdana" w:hAnsi="Verdana" w:cs="Verdana"/>
          <w:spacing w:val="-2"/>
          <w:sz w:val="20"/>
          <w:szCs w:val="20"/>
          <w:lang w:val="es-CR"/>
        </w:rPr>
      </w:pPr>
    </w:p>
    <w:p w:rsidR="00114388" w:rsidRPr="00102C59" w:rsidRDefault="00114388" w:rsidP="00114388">
      <w:pPr>
        <w:tabs>
          <w:tab w:val="left" w:pos="567"/>
        </w:tabs>
        <w:autoSpaceDE w:val="0"/>
        <w:autoSpaceDN w:val="0"/>
        <w:adjustRightInd w:val="0"/>
        <w:spacing w:after="0" w:line="240" w:lineRule="auto"/>
        <w:jc w:val="both"/>
        <w:rPr>
          <w:rFonts w:ascii="Verdana" w:hAnsi="Verdana"/>
          <w:spacing w:val="-2"/>
          <w:sz w:val="20"/>
          <w:szCs w:val="20"/>
          <w:lang w:val="es-ES"/>
        </w:rPr>
      </w:pPr>
    </w:p>
    <w:p w:rsidR="00114388" w:rsidRPr="00102C59" w:rsidRDefault="00114388" w:rsidP="00114388">
      <w:pPr>
        <w:pStyle w:val="Default"/>
        <w:tabs>
          <w:tab w:val="left" w:pos="567"/>
        </w:tabs>
        <w:jc w:val="both"/>
        <w:rPr>
          <w:b/>
          <w:bCs/>
          <w:spacing w:val="-2"/>
          <w:sz w:val="20"/>
          <w:szCs w:val="20"/>
          <w:lang w:val="es-ES"/>
        </w:rPr>
      </w:pPr>
      <w:r w:rsidRPr="00102C59">
        <w:rPr>
          <w:b/>
          <w:bCs/>
          <w:spacing w:val="-2"/>
          <w:sz w:val="20"/>
          <w:szCs w:val="20"/>
          <w:lang w:val="es-ES"/>
        </w:rPr>
        <w:t>CONSIDERANDO QUE:</w:t>
      </w:r>
    </w:p>
    <w:p w:rsidR="00114388" w:rsidRPr="00102C59" w:rsidRDefault="00114388" w:rsidP="00114388">
      <w:pPr>
        <w:pStyle w:val="Default"/>
        <w:tabs>
          <w:tab w:val="left" w:pos="567"/>
        </w:tabs>
        <w:jc w:val="both"/>
        <w:rPr>
          <w:b/>
          <w:bCs/>
          <w:spacing w:val="-2"/>
          <w:sz w:val="20"/>
          <w:szCs w:val="20"/>
          <w:lang w:val="es-ES"/>
        </w:rPr>
      </w:pPr>
    </w:p>
    <w:p w:rsidR="00114388" w:rsidRPr="00102C59" w:rsidRDefault="00114388" w:rsidP="00114388">
      <w:pPr>
        <w:pStyle w:val="Prrafodelista"/>
        <w:numPr>
          <w:ilvl w:val="0"/>
          <w:numId w:val="15"/>
        </w:numPr>
        <w:autoSpaceDE w:val="0"/>
        <w:autoSpaceDN w:val="0"/>
        <w:adjustRightInd w:val="0"/>
        <w:spacing w:after="0" w:line="240" w:lineRule="auto"/>
        <w:ind w:left="0" w:firstLine="0"/>
        <w:jc w:val="both"/>
        <w:rPr>
          <w:rFonts w:ascii="Verdana" w:hAnsi="Verdana" w:cs="Verdana"/>
          <w:sz w:val="20"/>
          <w:szCs w:val="20"/>
          <w:lang w:val="es-ES"/>
        </w:rPr>
      </w:pPr>
      <w:r>
        <w:rPr>
          <w:rFonts w:ascii="Verdana" w:hAnsi="Verdana" w:cs="Verdana"/>
          <w:sz w:val="20"/>
          <w:szCs w:val="20"/>
          <w:lang w:val="es-ES"/>
        </w:rPr>
        <w:t xml:space="preserve">El </w:t>
      </w:r>
      <w:r w:rsidRPr="00102C59">
        <w:rPr>
          <w:rFonts w:ascii="Verdana" w:hAnsi="Verdana" w:cs="Verdana"/>
          <w:sz w:val="20"/>
          <w:szCs w:val="20"/>
          <w:lang w:val="es-ES"/>
        </w:rPr>
        <w:t>Perú es Estado Parte de la Convención Americana sobre Derechos Humanos (en adelante la “Convención Americana” o la “Convención”) desde el 28 de julio de 1978 y reconoció la competencia contenciosa de la Corte el 21 de enero de 1981.</w:t>
      </w:r>
    </w:p>
    <w:p w:rsidR="00114388" w:rsidRPr="00102C59" w:rsidRDefault="00114388" w:rsidP="00114388">
      <w:pPr>
        <w:pStyle w:val="Prrafodelista"/>
        <w:autoSpaceDE w:val="0"/>
        <w:autoSpaceDN w:val="0"/>
        <w:adjustRightInd w:val="0"/>
        <w:spacing w:after="0" w:line="240" w:lineRule="auto"/>
        <w:ind w:left="0"/>
        <w:jc w:val="both"/>
        <w:rPr>
          <w:rFonts w:ascii="Verdana" w:hAnsi="Verdana" w:cs="Verdana"/>
          <w:sz w:val="20"/>
          <w:szCs w:val="20"/>
          <w:lang w:val="es-ES"/>
        </w:rPr>
      </w:pPr>
    </w:p>
    <w:p w:rsidR="00114388" w:rsidRPr="00102C59" w:rsidRDefault="00114388" w:rsidP="00114388">
      <w:pPr>
        <w:pStyle w:val="Prrafodelista"/>
        <w:numPr>
          <w:ilvl w:val="0"/>
          <w:numId w:val="15"/>
        </w:numPr>
        <w:autoSpaceDE w:val="0"/>
        <w:autoSpaceDN w:val="0"/>
        <w:adjustRightInd w:val="0"/>
        <w:spacing w:after="0" w:line="240" w:lineRule="auto"/>
        <w:ind w:left="0" w:firstLine="0"/>
        <w:jc w:val="both"/>
        <w:rPr>
          <w:rFonts w:ascii="Verdana" w:hAnsi="Verdana" w:cs="Verdana"/>
          <w:sz w:val="20"/>
          <w:szCs w:val="20"/>
          <w:lang w:val="es-ES"/>
        </w:rPr>
      </w:pPr>
      <w:r w:rsidRPr="00102C59">
        <w:rPr>
          <w:rFonts w:ascii="Verdana" w:hAnsi="Verdana" w:cs="Verdana"/>
          <w:spacing w:val="-2"/>
          <w:sz w:val="20"/>
          <w:szCs w:val="20"/>
          <w:lang w:val="es-ES"/>
        </w:rPr>
        <w:t xml:space="preserve">De acuerdo con el Reglamento de la Corte sobre el Funcionamiento del Fondo de Asistencia (en adelante el “Reglamento del Fondo de Asistencia de la Corte”), para que una presunta víctima pueda acogerse al Fondo se deben cumplir tres requisitos: 1) solicitarlo en su escrito de solicitudes y argumentos; 2) demostrar, mediante declaración jurada y otros medios probatorios idóneos que satisfagan al Tribunal, que carece de recursos económicos suficientes para solventar los costos del litigio ante la Corte Interamericana, y 3) indicar con precisión qué </w:t>
      </w:r>
      <w:r w:rsidRPr="00102C59">
        <w:rPr>
          <w:rFonts w:ascii="Verdana" w:hAnsi="Verdana" w:cs="Verdana"/>
          <w:spacing w:val="-2"/>
          <w:sz w:val="20"/>
          <w:szCs w:val="20"/>
          <w:lang w:val="es-ES"/>
        </w:rPr>
        <w:lastRenderedPageBreak/>
        <w:t>aspectos de su defensa en el proceso requieren el uso de recursos del Fondo de Asistencia de la Corte.</w:t>
      </w:r>
      <w:r>
        <w:rPr>
          <w:rFonts w:ascii="Verdana" w:hAnsi="Verdana" w:cs="Verdana"/>
          <w:spacing w:val="-2"/>
          <w:sz w:val="20"/>
          <w:szCs w:val="20"/>
          <w:lang w:val="es-ES"/>
        </w:rPr>
        <w:t xml:space="preserve"> Una vez presentada la solicitud</w:t>
      </w:r>
      <w:r w:rsidRPr="00102C59">
        <w:rPr>
          <w:rFonts w:ascii="Verdana" w:hAnsi="Verdana" w:cs="Verdana"/>
          <w:spacing w:val="-2"/>
          <w:sz w:val="20"/>
          <w:szCs w:val="20"/>
          <w:lang w:val="es-ES"/>
        </w:rPr>
        <w:t>, la Secretaría de la Corte hará un examen preliminar y requerirá al solicitante la remisión de la información que sea necesaria para completar los antecedentes y someterlos a la consideración del Presidente junto con la solicitud. El Presidente de la Corte evaluará la petición y resolverá lo pertinente en un plazo de tres meses contados a partir de la recepción de todos los antecedentes requeridos</w:t>
      </w:r>
      <w:r w:rsidRPr="00102C59">
        <w:rPr>
          <w:rStyle w:val="Refdenotaalpie"/>
          <w:rFonts w:ascii="Verdana" w:hAnsi="Verdana" w:cs="Verdana"/>
          <w:spacing w:val="-2"/>
          <w:sz w:val="20"/>
          <w:szCs w:val="20"/>
          <w:lang w:val="es-ES"/>
        </w:rPr>
        <w:footnoteReference w:id="2"/>
      </w:r>
      <w:r w:rsidRPr="00102C59">
        <w:rPr>
          <w:rFonts w:ascii="Verdana" w:hAnsi="Verdana" w:cs="Verdana"/>
          <w:spacing w:val="-2"/>
          <w:sz w:val="20"/>
          <w:szCs w:val="20"/>
          <w:lang w:val="es-ES"/>
        </w:rPr>
        <w:t>.</w:t>
      </w:r>
    </w:p>
    <w:p w:rsidR="00114388" w:rsidRPr="00102C59" w:rsidRDefault="00114388" w:rsidP="00114388">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114388" w:rsidRDefault="00114388" w:rsidP="00114388">
      <w:pPr>
        <w:pStyle w:val="Prrafodelista"/>
        <w:numPr>
          <w:ilvl w:val="0"/>
          <w:numId w:val="13"/>
        </w:numPr>
        <w:autoSpaceDE w:val="0"/>
        <w:autoSpaceDN w:val="0"/>
        <w:adjustRightInd w:val="0"/>
        <w:spacing w:after="0" w:line="240" w:lineRule="auto"/>
        <w:ind w:left="0" w:firstLine="0"/>
        <w:jc w:val="both"/>
        <w:rPr>
          <w:rFonts w:ascii="Verdana" w:hAnsi="Verdana"/>
          <w:sz w:val="20"/>
          <w:szCs w:val="20"/>
          <w:lang w:val="es-CR" w:eastAsia="es-CR"/>
        </w:rPr>
      </w:pPr>
      <w:r w:rsidRPr="00102C59">
        <w:rPr>
          <w:rFonts w:ascii="Verdana" w:hAnsi="Verdana" w:cs="Verdana"/>
          <w:spacing w:val="-2"/>
          <w:sz w:val="20"/>
          <w:szCs w:val="20"/>
          <w:lang w:val="es-ES"/>
        </w:rPr>
        <w:t xml:space="preserve">La señora Carolina Loayza Tamayo solicitó </w:t>
      </w:r>
      <w:r w:rsidRPr="00102C59">
        <w:rPr>
          <w:rFonts w:ascii="Verdana" w:hAnsi="Verdana"/>
          <w:spacing w:val="-2"/>
          <w:sz w:val="20"/>
          <w:szCs w:val="20"/>
          <w:lang w:val="es-CR"/>
        </w:rPr>
        <w:t xml:space="preserve">la asistencia del Fondo </w:t>
      </w:r>
      <w:r w:rsidRPr="00102C59">
        <w:rPr>
          <w:rFonts w:ascii="Verdana" w:hAnsi="Verdana"/>
          <w:sz w:val="20"/>
          <w:szCs w:val="20"/>
          <w:lang w:val="es-CR"/>
        </w:rPr>
        <w:t xml:space="preserve">para cubrir gastos de la defensa, </w:t>
      </w:r>
      <w:r w:rsidRPr="00102C59">
        <w:rPr>
          <w:rFonts w:ascii="Verdana" w:hAnsi="Verdana"/>
          <w:sz w:val="20"/>
          <w:szCs w:val="20"/>
          <w:lang w:val="es-CR" w:eastAsia="es-CR"/>
        </w:rPr>
        <w:t xml:space="preserve">debido a que </w:t>
      </w:r>
      <w:r w:rsidRPr="00102C59">
        <w:rPr>
          <w:rFonts w:ascii="Verdana" w:hAnsi="Verdana"/>
          <w:spacing w:val="-2"/>
          <w:sz w:val="20"/>
          <w:szCs w:val="20"/>
          <w:lang w:val="es-CR"/>
        </w:rPr>
        <w:t>las presuntas víctimas que representa “carecen de recursos para solventar los costos del litigio”. En primer lugar</w:t>
      </w:r>
      <w:r w:rsidRPr="00102C59">
        <w:rPr>
          <w:rFonts w:ascii="Verdana" w:hAnsi="Verdana"/>
          <w:sz w:val="20"/>
          <w:szCs w:val="20"/>
          <w:lang w:val="es-CR"/>
        </w:rPr>
        <w:t>,</w:t>
      </w:r>
      <w:r w:rsidRPr="00102C59">
        <w:rPr>
          <w:rFonts w:ascii="Verdana" w:hAnsi="Verdana"/>
          <w:spacing w:val="-2"/>
          <w:sz w:val="20"/>
          <w:szCs w:val="20"/>
          <w:lang w:val="es-CR"/>
        </w:rPr>
        <w:t xml:space="preserve"> </w:t>
      </w:r>
      <w:r w:rsidRPr="00102C59">
        <w:rPr>
          <w:rFonts w:ascii="Verdana" w:hAnsi="Verdana"/>
          <w:sz w:val="20"/>
          <w:szCs w:val="20"/>
          <w:lang w:val="es-CR" w:eastAsia="es-CR"/>
        </w:rPr>
        <w:t xml:space="preserve">requirió la cobertura de los gastos para la comparecencia </w:t>
      </w:r>
      <w:r w:rsidRPr="00102C59">
        <w:rPr>
          <w:rFonts w:ascii="Verdana" w:hAnsi="Verdana"/>
          <w:sz w:val="20"/>
          <w:szCs w:val="20"/>
          <w:lang w:val="es-CR"/>
        </w:rPr>
        <w:t>a la eventual audiencia pública</w:t>
      </w:r>
      <w:r w:rsidRPr="00102C59">
        <w:rPr>
          <w:rFonts w:ascii="Verdana" w:hAnsi="Verdana"/>
          <w:sz w:val="20"/>
          <w:szCs w:val="20"/>
          <w:lang w:val="es-CR" w:eastAsia="es-CR"/>
        </w:rPr>
        <w:t xml:space="preserve"> de algunas presuntas víctimas y peritos, lo cual incluye su traslado, hospedaje y viáticos. </w:t>
      </w:r>
      <w:r w:rsidRPr="00102C59">
        <w:rPr>
          <w:rFonts w:ascii="Verdana" w:hAnsi="Verdana"/>
          <w:spacing w:val="-2"/>
          <w:sz w:val="20"/>
          <w:szCs w:val="20"/>
          <w:lang w:val="es-CR"/>
        </w:rPr>
        <w:t>En segundo lugar</w:t>
      </w:r>
      <w:r w:rsidRPr="00102C59">
        <w:rPr>
          <w:rFonts w:ascii="Verdana" w:hAnsi="Verdana"/>
          <w:sz w:val="20"/>
          <w:szCs w:val="20"/>
          <w:lang w:val="es-CR" w:eastAsia="es-CR"/>
        </w:rPr>
        <w:t xml:space="preserve">, solicitó que se haga frente a “los costos que irroguen los servicios profesionales de los peritos y los demás gastos que los dictámenes periciales por affidávit generen”. </w:t>
      </w:r>
      <w:r w:rsidRPr="00102C59">
        <w:rPr>
          <w:rFonts w:ascii="Verdana" w:hAnsi="Verdana"/>
          <w:spacing w:val="-2"/>
          <w:sz w:val="20"/>
          <w:szCs w:val="20"/>
          <w:lang w:val="es-CR"/>
        </w:rPr>
        <w:t>En tercer lugar y haciendo referencia a</w:t>
      </w:r>
      <w:r w:rsidRPr="00102C59">
        <w:rPr>
          <w:rFonts w:ascii="Verdana" w:hAnsi="Verdana"/>
          <w:sz w:val="20"/>
          <w:szCs w:val="20"/>
          <w:lang w:val="es-CR" w:eastAsia="es-CR"/>
        </w:rPr>
        <w:t>l artículo 4 del Acuerdo de Entendimiento entre la Corte Interamericana y la Asociación Interamericana de Defensorías Públicas, solicitó</w:t>
      </w:r>
      <w:r w:rsidRPr="00102C59">
        <w:rPr>
          <w:rFonts w:ascii="Verdana" w:hAnsi="Verdana"/>
          <w:spacing w:val="-2"/>
          <w:sz w:val="20"/>
          <w:szCs w:val="20"/>
          <w:lang w:val="es-CR"/>
        </w:rPr>
        <w:t xml:space="preserve"> el “r</w:t>
      </w:r>
      <w:r w:rsidRPr="00102C59">
        <w:rPr>
          <w:rFonts w:ascii="Verdana" w:hAnsi="Verdana" w:cs="Calibri,Bold"/>
          <w:bCs/>
          <w:sz w:val="20"/>
          <w:szCs w:val="20"/>
          <w:lang w:val="es-CR" w:eastAsia="es-CR"/>
        </w:rPr>
        <w:t xml:space="preserve">eintegro de gastos necesarios y previsiones de gastos de la Representación Legal Pro Bono” que ejerce en el presente caso. En específico, </w:t>
      </w:r>
      <w:r w:rsidRPr="00102C59">
        <w:rPr>
          <w:rFonts w:ascii="Verdana" w:hAnsi="Verdana"/>
          <w:sz w:val="20"/>
          <w:szCs w:val="20"/>
          <w:lang w:val="es-CR" w:eastAsia="es-CR"/>
        </w:rPr>
        <w:t xml:space="preserve">solicitó </w:t>
      </w:r>
      <w:r>
        <w:rPr>
          <w:rFonts w:ascii="Verdana" w:hAnsi="Verdana"/>
          <w:sz w:val="20"/>
          <w:szCs w:val="20"/>
          <w:lang w:val="es-CR" w:eastAsia="es-CR"/>
        </w:rPr>
        <w:t xml:space="preserve">que </w:t>
      </w:r>
      <w:r w:rsidRPr="00102C59">
        <w:rPr>
          <w:rFonts w:ascii="Verdana" w:hAnsi="Verdana"/>
          <w:sz w:val="20"/>
          <w:szCs w:val="20"/>
          <w:lang w:val="es-CR" w:eastAsia="es-CR"/>
        </w:rPr>
        <w:t>se reintegre lo siguiente: a) “[e]l costo del viaje y de su estadía por tres días, a la ciudad de Talara para recopilar las pruebas relacionadas con el caso de Trabajadores Cesados de PETROPER</w:t>
      </w:r>
      <w:r w:rsidRPr="00624371">
        <w:rPr>
          <w:rFonts w:ascii="Verdana" w:hAnsi="Verdana"/>
          <w:sz w:val="20"/>
          <w:szCs w:val="20"/>
          <w:lang w:val="es-CR" w:eastAsia="es-CR"/>
        </w:rPr>
        <w:t>U</w:t>
      </w:r>
      <w:r w:rsidRPr="00102C59">
        <w:rPr>
          <w:rFonts w:ascii="Verdana" w:hAnsi="Verdana"/>
          <w:sz w:val="20"/>
          <w:szCs w:val="20"/>
          <w:lang w:val="es-CR" w:eastAsia="es-CR"/>
        </w:rPr>
        <w:t>, teniendo en consideración que el mayor número de víctimas reside en dicha ciudad”; b) “gastos futuros, c</w:t>
      </w:r>
      <w:r>
        <w:rPr>
          <w:rFonts w:ascii="Verdana" w:hAnsi="Verdana"/>
          <w:sz w:val="20"/>
          <w:szCs w:val="20"/>
          <w:lang w:val="es-CR" w:eastAsia="es-CR"/>
        </w:rPr>
        <w:t xml:space="preserve">omo cobertura por envío vía </w:t>
      </w:r>
      <w:proofErr w:type="spellStart"/>
      <w:r w:rsidRPr="00624371">
        <w:rPr>
          <w:rFonts w:ascii="Verdana" w:hAnsi="Verdana"/>
          <w:sz w:val="20"/>
          <w:szCs w:val="20"/>
          <w:lang w:val="es-CR" w:eastAsia="es-CR"/>
        </w:rPr>
        <w:t>courrier</w:t>
      </w:r>
      <w:proofErr w:type="spellEnd"/>
      <w:r w:rsidRPr="00102C59">
        <w:rPr>
          <w:rFonts w:ascii="Verdana" w:hAnsi="Verdana"/>
          <w:sz w:val="20"/>
          <w:szCs w:val="20"/>
          <w:lang w:val="es-CR" w:eastAsia="es-CR"/>
        </w:rPr>
        <w:t xml:space="preserve"> del original y las dos copias del [escrito de solicitudes y argumentos], junto con los anexos que lo integran”, el cual </w:t>
      </w:r>
      <w:r>
        <w:rPr>
          <w:rFonts w:ascii="Verdana" w:hAnsi="Verdana"/>
          <w:sz w:val="20"/>
          <w:szCs w:val="20"/>
          <w:lang w:val="es-CR" w:eastAsia="es-CR"/>
        </w:rPr>
        <w:t>es</w:t>
      </w:r>
      <w:r w:rsidRPr="00102C59">
        <w:rPr>
          <w:rFonts w:ascii="Verdana" w:hAnsi="Verdana"/>
          <w:sz w:val="20"/>
          <w:szCs w:val="20"/>
          <w:lang w:val="es-CR" w:eastAsia="es-CR"/>
        </w:rPr>
        <w:t xml:space="preserve"> un “monto a determinar”, y c)</w:t>
      </w:r>
      <w:r>
        <w:rPr>
          <w:rFonts w:ascii="Verdana" w:hAnsi="Verdana"/>
          <w:sz w:val="20"/>
          <w:szCs w:val="20"/>
          <w:lang w:val="es-CR" w:eastAsia="es-CR"/>
        </w:rPr>
        <w:t xml:space="preserve"> la</w:t>
      </w:r>
      <w:r w:rsidRPr="00102C59">
        <w:rPr>
          <w:rFonts w:ascii="Verdana" w:hAnsi="Verdana"/>
          <w:sz w:val="20"/>
          <w:szCs w:val="20"/>
          <w:lang w:val="es-CR" w:eastAsia="es-CR"/>
        </w:rPr>
        <w:t xml:space="preserve"> asistencia de la señora </w:t>
      </w:r>
      <w:r w:rsidRPr="00102C59">
        <w:rPr>
          <w:rFonts w:ascii="Verdana" w:hAnsi="Verdana" w:cs="Verdana"/>
          <w:spacing w:val="-2"/>
          <w:sz w:val="20"/>
          <w:szCs w:val="20"/>
          <w:lang w:val="es-ES"/>
        </w:rPr>
        <w:t>Carolina Loayza Tamayo</w:t>
      </w:r>
      <w:r w:rsidRPr="00102C59">
        <w:rPr>
          <w:rFonts w:ascii="Verdana" w:hAnsi="Verdana"/>
          <w:sz w:val="20"/>
          <w:szCs w:val="20"/>
          <w:lang w:val="es-CR" w:eastAsia="es-CR"/>
        </w:rPr>
        <w:t xml:space="preserve"> y de dos asistentes en la eventual audiencia pública, lo cual incluye gastos del viaje, traslados, hospedaje y viáticos, de acuerdo el artículo 37 del Reglamento de la Corte.</w:t>
      </w:r>
    </w:p>
    <w:p w:rsidR="00114388" w:rsidRDefault="00114388" w:rsidP="00114388">
      <w:pPr>
        <w:pStyle w:val="Prrafodelista"/>
        <w:autoSpaceDE w:val="0"/>
        <w:autoSpaceDN w:val="0"/>
        <w:adjustRightInd w:val="0"/>
        <w:spacing w:after="0" w:line="240" w:lineRule="auto"/>
        <w:ind w:left="0"/>
        <w:jc w:val="both"/>
        <w:rPr>
          <w:rFonts w:ascii="Verdana" w:hAnsi="Verdana"/>
          <w:sz w:val="20"/>
          <w:szCs w:val="20"/>
          <w:lang w:val="es-CR" w:eastAsia="es-CR"/>
        </w:rPr>
      </w:pPr>
    </w:p>
    <w:p w:rsidR="00114388" w:rsidRDefault="00114388" w:rsidP="00114388">
      <w:pPr>
        <w:pStyle w:val="Prrafodelista"/>
        <w:numPr>
          <w:ilvl w:val="0"/>
          <w:numId w:val="13"/>
        </w:numPr>
        <w:autoSpaceDE w:val="0"/>
        <w:autoSpaceDN w:val="0"/>
        <w:adjustRightInd w:val="0"/>
        <w:spacing w:after="0" w:line="240" w:lineRule="auto"/>
        <w:ind w:left="0" w:firstLine="0"/>
        <w:jc w:val="both"/>
        <w:rPr>
          <w:rFonts w:ascii="Verdana" w:hAnsi="Verdana"/>
          <w:sz w:val="20"/>
          <w:szCs w:val="20"/>
          <w:lang w:val="es-CR" w:eastAsia="es-CR"/>
        </w:rPr>
      </w:pPr>
      <w:r w:rsidRPr="00102C59">
        <w:rPr>
          <w:rFonts w:ascii="Verdana" w:hAnsi="Verdana"/>
          <w:spacing w:val="-2"/>
          <w:sz w:val="20"/>
          <w:szCs w:val="20"/>
          <w:lang w:val="es-CR"/>
        </w:rPr>
        <w:t xml:space="preserve">La solicitud para acogerse al Fondo de Asistencia de la Corte fue realizada oportunamente en el escrito de solicitudes y argumentos por </w:t>
      </w:r>
      <w:r w:rsidRPr="00102C59">
        <w:rPr>
          <w:rFonts w:ascii="Verdana" w:hAnsi="Verdana"/>
          <w:sz w:val="20"/>
          <w:szCs w:val="20"/>
          <w:lang w:val="es-CR"/>
        </w:rPr>
        <w:t xml:space="preserve">la </w:t>
      </w:r>
      <w:r w:rsidRPr="00102C59">
        <w:rPr>
          <w:rFonts w:ascii="Verdana" w:hAnsi="Verdana" w:cs="Verdana"/>
          <w:spacing w:val="-2"/>
          <w:sz w:val="20"/>
          <w:szCs w:val="20"/>
          <w:lang w:val="es-ES"/>
        </w:rPr>
        <w:t>señora Carolina Loayza Tamayo</w:t>
      </w:r>
      <w:r w:rsidRPr="00102C59">
        <w:rPr>
          <w:rFonts w:ascii="Verdana" w:hAnsi="Verdana"/>
          <w:sz w:val="20"/>
          <w:szCs w:val="20"/>
          <w:lang w:val="es-CR"/>
        </w:rPr>
        <w:t xml:space="preserve"> </w:t>
      </w:r>
      <w:r w:rsidRPr="00102C59">
        <w:rPr>
          <w:rFonts w:ascii="Verdana" w:hAnsi="Verdana"/>
          <w:spacing w:val="-2"/>
          <w:sz w:val="20"/>
          <w:szCs w:val="20"/>
          <w:lang w:val="es-CR"/>
        </w:rPr>
        <w:t xml:space="preserve">en nombre de las presuntas víctimas que representa. Junto con la referida solicitud, la señora Loayza remitió </w:t>
      </w:r>
      <w:r w:rsidRPr="00102C59">
        <w:rPr>
          <w:rFonts w:ascii="Verdana" w:hAnsi="Verdana"/>
          <w:sz w:val="20"/>
          <w:szCs w:val="20"/>
          <w:lang w:val="es-CR"/>
        </w:rPr>
        <w:t xml:space="preserve">la declaración jurada en la cual afirma: </w:t>
      </w:r>
      <w:r w:rsidRPr="00102C59">
        <w:rPr>
          <w:rFonts w:ascii="Verdana" w:hAnsi="Verdana"/>
          <w:sz w:val="20"/>
          <w:szCs w:val="20"/>
          <w:lang w:val="es-CR" w:eastAsia="es-CR"/>
        </w:rPr>
        <w:t>“</w:t>
      </w:r>
      <w:r w:rsidRPr="00102C59">
        <w:rPr>
          <w:rFonts w:ascii="Verdana" w:hAnsi="Verdana"/>
          <w:color w:val="000000"/>
          <w:sz w:val="20"/>
          <w:szCs w:val="20"/>
          <w:lang w:val="es-CR" w:eastAsia="es-CR"/>
        </w:rPr>
        <w:t>que luego de más de 19, 17 y 14 años de litigio ante el Sistema Interamericano”, las presuntas víctimas “se encuentran en una situación de vulnerabilidad y precariedad económica, no contando con los recursos económicos suficientes para solventar los costos del trámite del caso ante [la] Corte”</w:t>
      </w:r>
      <w:r w:rsidRPr="00102C59">
        <w:rPr>
          <w:rStyle w:val="Refdenotaalpie"/>
          <w:rFonts w:ascii="Verdana" w:hAnsi="Verdana"/>
          <w:spacing w:val="-2"/>
          <w:sz w:val="20"/>
          <w:szCs w:val="20"/>
          <w:lang w:val="es-CR"/>
        </w:rPr>
        <w:footnoteReference w:id="3"/>
      </w:r>
      <w:r w:rsidRPr="00102C59">
        <w:rPr>
          <w:rFonts w:ascii="Verdana" w:hAnsi="Verdana"/>
          <w:spacing w:val="-2"/>
          <w:sz w:val="20"/>
          <w:szCs w:val="20"/>
          <w:lang w:val="es-CR"/>
        </w:rPr>
        <w:t>.</w:t>
      </w:r>
    </w:p>
    <w:p w:rsidR="00114388" w:rsidRDefault="00114388" w:rsidP="00114388">
      <w:pPr>
        <w:pStyle w:val="Prrafodelista"/>
        <w:autoSpaceDE w:val="0"/>
        <w:autoSpaceDN w:val="0"/>
        <w:adjustRightInd w:val="0"/>
        <w:spacing w:after="0" w:line="240" w:lineRule="auto"/>
        <w:ind w:left="0"/>
        <w:jc w:val="both"/>
        <w:rPr>
          <w:rFonts w:ascii="Verdana" w:hAnsi="Verdana"/>
          <w:sz w:val="20"/>
          <w:szCs w:val="20"/>
          <w:lang w:val="es-CR" w:eastAsia="es-CR"/>
        </w:rPr>
      </w:pPr>
    </w:p>
    <w:p w:rsidR="00114388" w:rsidRPr="004C0A95" w:rsidRDefault="00114388" w:rsidP="00114388">
      <w:pPr>
        <w:pStyle w:val="Prrafodelista"/>
        <w:numPr>
          <w:ilvl w:val="0"/>
          <w:numId w:val="13"/>
        </w:numPr>
        <w:autoSpaceDE w:val="0"/>
        <w:autoSpaceDN w:val="0"/>
        <w:adjustRightInd w:val="0"/>
        <w:spacing w:after="0" w:line="240" w:lineRule="auto"/>
        <w:ind w:left="0" w:firstLine="0"/>
        <w:jc w:val="both"/>
        <w:rPr>
          <w:rFonts w:ascii="Verdana" w:hAnsi="Verdana"/>
          <w:sz w:val="20"/>
          <w:szCs w:val="20"/>
          <w:lang w:val="es-CR" w:eastAsia="es-CR"/>
        </w:rPr>
      </w:pPr>
      <w:r>
        <w:rPr>
          <w:rFonts w:ascii="Verdana" w:hAnsi="Verdana"/>
          <w:sz w:val="20"/>
          <w:szCs w:val="20"/>
          <w:lang w:val="es-CR" w:eastAsia="es-CR"/>
        </w:rPr>
        <w:t>E</w:t>
      </w:r>
      <w:r w:rsidRPr="004C0A95">
        <w:rPr>
          <w:rFonts w:ascii="Verdana" w:hAnsi="Verdana"/>
          <w:sz w:val="20"/>
          <w:szCs w:val="20"/>
          <w:lang w:val="es-CR"/>
        </w:rPr>
        <w:t xml:space="preserve">l Estado consideró como “excesivo” el número de testigos ofrecidos como prueba por parte de </w:t>
      </w:r>
      <w:r w:rsidRPr="004C0A95">
        <w:rPr>
          <w:rFonts w:ascii="Verdana" w:hAnsi="Verdana" w:cs="Verdana"/>
          <w:spacing w:val="-2"/>
          <w:sz w:val="20"/>
          <w:szCs w:val="20"/>
          <w:lang w:val="es-ES"/>
        </w:rPr>
        <w:t>la señora Carolina Loayza Tamayo</w:t>
      </w:r>
      <w:r w:rsidRPr="004C0A95">
        <w:rPr>
          <w:rFonts w:ascii="Verdana" w:hAnsi="Verdana"/>
          <w:sz w:val="20"/>
          <w:szCs w:val="20"/>
          <w:lang w:val="es-CR"/>
        </w:rPr>
        <w:t>.</w:t>
      </w:r>
      <w:r w:rsidRPr="004C0A95">
        <w:rPr>
          <w:rFonts w:ascii="Verdana" w:hAnsi="Verdana" w:cs="Times New Roman"/>
          <w:sz w:val="20"/>
          <w:szCs w:val="20"/>
          <w:lang w:val="es-CR" w:eastAsia="es-CR"/>
        </w:rPr>
        <w:t xml:space="preserve"> Señaló que “un uso desproporcionado del Fondo de Asistencia Legal desnaturalizaría su objeto </w:t>
      </w:r>
      <w:r w:rsidRPr="004C0A95">
        <w:rPr>
          <w:rFonts w:ascii="Verdana" w:hAnsi="Verdana" w:cs="Arial"/>
          <w:sz w:val="20"/>
          <w:szCs w:val="20"/>
          <w:lang w:val="es-CR" w:eastAsia="es-CR"/>
        </w:rPr>
        <w:t xml:space="preserve">y </w:t>
      </w:r>
      <w:r w:rsidRPr="004C0A95">
        <w:rPr>
          <w:rFonts w:ascii="Verdana" w:hAnsi="Verdana" w:cs="Times New Roman"/>
          <w:sz w:val="20"/>
          <w:szCs w:val="20"/>
          <w:lang w:val="es-CR" w:eastAsia="es-CR"/>
        </w:rPr>
        <w:t>fin”</w:t>
      </w:r>
      <w:r>
        <w:rPr>
          <w:rFonts w:ascii="Verdana" w:hAnsi="Verdana" w:cs="Times New Roman"/>
          <w:sz w:val="20"/>
          <w:szCs w:val="20"/>
          <w:lang w:val="es-CR" w:eastAsia="es-CR"/>
        </w:rPr>
        <w:t xml:space="preserve">, y </w:t>
      </w:r>
      <w:r w:rsidRPr="004C0A95">
        <w:rPr>
          <w:rFonts w:ascii="Verdana" w:hAnsi="Verdana" w:cs="Times New Roman"/>
          <w:sz w:val="20"/>
          <w:szCs w:val="20"/>
          <w:lang w:val="es-CR" w:eastAsia="es-CR"/>
        </w:rPr>
        <w:t xml:space="preserve">resaltó que “en muchos casos, en específico de graves violaciones a derechos humanos”, la Corte ha considerado “como testigo presencial a una sola persona”. Además, </w:t>
      </w:r>
      <w:r>
        <w:rPr>
          <w:rFonts w:ascii="Verdana" w:hAnsi="Verdana" w:cs="Times New Roman"/>
          <w:sz w:val="20"/>
          <w:szCs w:val="20"/>
          <w:lang w:val="es-CR" w:eastAsia="es-CR"/>
        </w:rPr>
        <w:t xml:space="preserve">indicó que </w:t>
      </w:r>
      <w:r w:rsidRPr="004C0A95">
        <w:rPr>
          <w:rFonts w:ascii="Verdana" w:hAnsi="Verdana" w:cs="Times New Roman"/>
          <w:sz w:val="20"/>
          <w:szCs w:val="20"/>
          <w:lang w:val="es-CR" w:eastAsia="es-CR"/>
        </w:rPr>
        <w:t>en el presente caso se debe considerar que debido a los procedimientos especiales que se aplicaron, los casos PETROPERÚ y ENAPU tienen gran similitud entre ellos, y los casos MINEDU y MEF tienen características similares. En consecuencia, solicitó a la Corte que “determine la cantidad de declaraciones presenciales en base al principio de economía procesal”. Por otro lado, el Estado solicitó a este Tribunal que desestime el pedido de “participación de la representante legal acompañada de dos asistentes a [</w:t>
      </w:r>
      <w:r>
        <w:rPr>
          <w:rFonts w:ascii="Verdana" w:hAnsi="Verdana" w:cs="Times New Roman"/>
          <w:sz w:val="20"/>
          <w:szCs w:val="20"/>
          <w:lang w:val="es-CR" w:eastAsia="es-CR"/>
        </w:rPr>
        <w:t xml:space="preserve">…la </w:t>
      </w:r>
      <w:r w:rsidRPr="004C0A95">
        <w:rPr>
          <w:rFonts w:ascii="Verdana" w:hAnsi="Verdana" w:cs="Times New Roman"/>
          <w:sz w:val="20"/>
          <w:szCs w:val="20"/>
          <w:lang w:val="es-CR" w:eastAsia="es-CR"/>
        </w:rPr>
        <w:t>eventual audiencia</w:t>
      </w:r>
      <w:r>
        <w:rPr>
          <w:rFonts w:ascii="Verdana" w:hAnsi="Verdana" w:cs="Times New Roman"/>
          <w:sz w:val="20"/>
          <w:szCs w:val="20"/>
          <w:lang w:val="es-CR" w:eastAsia="es-CR"/>
        </w:rPr>
        <w:t xml:space="preserve"> </w:t>
      </w:r>
      <w:r w:rsidRPr="004C0A95">
        <w:rPr>
          <w:rFonts w:ascii="Verdana" w:hAnsi="Verdana" w:cs="Times New Roman"/>
          <w:sz w:val="20"/>
          <w:szCs w:val="20"/>
          <w:lang w:val="es-CR" w:eastAsia="es-CR"/>
        </w:rPr>
        <w:t>pública]”, y consideró que el mismo no puede sustentarse en el artículo 37 del Reglamento de la Corte relativo a la representación del Defensor Interamericano durante la tramitación de un caso.</w:t>
      </w:r>
    </w:p>
    <w:p w:rsidR="00114388" w:rsidRPr="008D2B15" w:rsidRDefault="00114388" w:rsidP="00114388">
      <w:pPr>
        <w:pStyle w:val="Prrafodelista"/>
        <w:autoSpaceDE w:val="0"/>
        <w:autoSpaceDN w:val="0"/>
        <w:adjustRightInd w:val="0"/>
        <w:spacing w:after="0" w:line="240" w:lineRule="auto"/>
        <w:ind w:left="0"/>
        <w:jc w:val="both"/>
        <w:rPr>
          <w:rFonts w:ascii="Verdana" w:hAnsi="Verdana" w:cs="Verdana"/>
          <w:b/>
          <w:bCs/>
          <w:spacing w:val="-2"/>
          <w:sz w:val="20"/>
          <w:szCs w:val="20"/>
          <w:lang w:val="es-CR"/>
        </w:rPr>
      </w:pPr>
    </w:p>
    <w:p w:rsidR="00114388" w:rsidRPr="008D2B15" w:rsidRDefault="00114388" w:rsidP="00114388">
      <w:pPr>
        <w:tabs>
          <w:tab w:val="left" w:pos="567"/>
        </w:tabs>
        <w:autoSpaceDE w:val="0"/>
        <w:autoSpaceDN w:val="0"/>
        <w:adjustRightInd w:val="0"/>
        <w:spacing w:after="0" w:line="240" w:lineRule="auto"/>
        <w:jc w:val="both"/>
        <w:rPr>
          <w:rFonts w:ascii="Verdana" w:hAnsi="Verdana" w:cs="Verdana"/>
          <w:b/>
          <w:bCs/>
          <w:spacing w:val="-2"/>
          <w:sz w:val="20"/>
          <w:szCs w:val="20"/>
          <w:lang w:val="es-ES"/>
        </w:rPr>
      </w:pPr>
    </w:p>
    <w:p w:rsidR="00114388" w:rsidRPr="008D2B15" w:rsidRDefault="00114388" w:rsidP="00114388">
      <w:pPr>
        <w:tabs>
          <w:tab w:val="left" w:pos="567"/>
        </w:tabs>
        <w:autoSpaceDE w:val="0"/>
        <w:autoSpaceDN w:val="0"/>
        <w:adjustRightInd w:val="0"/>
        <w:spacing w:after="0" w:line="240" w:lineRule="auto"/>
        <w:jc w:val="both"/>
        <w:rPr>
          <w:rFonts w:ascii="Verdana" w:hAnsi="Verdana" w:cs="Verdana"/>
          <w:b/>
          <w:bCs/>
          <w:spacing w:val="-2"/>
          <w:sz w:val="20"/>
          <w:szCs w:val="20"/>
          <w:lang w:val="es-ES"/>
        </w:rPr>
      </w:pPr>
      <w:r w:rsidRPr="008D2B15">
        <w:rPr>
          <w:rFonts w:ascii="Verdana" w:hAnsi="Verdana" w:cs="Verdana"/>
          <w:b/>
          <w:bCs/>
          <w:spacing w:val="-2"/>
          <w:sz w:val="20"/>
          <w:szCs w:val="20"/>
          <w:lang w:val="es-ES"/>
        </w:rPr>
        <w:t>POR TANTO:</w:t>
      </w:r>
    </w:p>
    <w:p w:rsidR="00114388" w:rsidRPr="008D2B15" w:rsidRDefault="00114388" w:rsidP="00114388">
      <w:pPr>
        <w:tabs>
          <w:tab w:val="left" w:pos="567"/>
        </w:tabs>
        <w:autoSpaceDE w:val="0"/>
        <w:autoSpaceDN w:val="0"/>
        <w:adjustRightInd w:val="0"/>
        <w:spacing w:after="0" w:line="240" w:lineRule="auto"/>
        <w:jc w:val="both"/>
        <w:rPr>
          <w:rFonts w:ascii="Verdana" w:hAnsi="Verdana" w:cs="Verdana"/>
          <w:b/>
          <w:bCs/>
          <w:spacing w:val="-2"/>
          <w:sz w:val="20"/>
          <w:szCs w:val="20"/>
          <w:lang w:val="es-ES"/>
        </w:rPr>
      </w:pPr>
    </w:p>
    <w:p w:rsidR="00114388" w:rsidRPr="00102C59" w:rsidRDefault="00114388" w:rsidP="00114388">
      <w:pPr>
        <w:tabs>
          <w:tab w:val="left" w:pos="567"/>
        </w:tabs>
        <w:autoSpaceDE w:val="0"/>
        <w:autoSpaceDN w:val="0"/>
        <w:adjustRightInd w:val="0"/>
        <w:spacing w:after="0" w:line="240" w:lineRule="auto"/>
        <w:jc w:val="both"/>
        <w:rPr>
          <w:rFonts w:ascii="Verdana" w:hAnsi="Verdana" w:cs="Verdana"/>
          <w:b/>
          <w:bCs/>
          <w:spacing w:val="-2"/>
          <w:sz w:val="20"/>
          <w:szCs w:val="20"/>
          <w:lang w:val="es-ES"/>
        </w:rPr>
      </w:pPr>
      <w:r w:rsidRPr="00102C59">
        <w:rPr>
          <w:rFonts w:ascii="Verdana" w:hAnsi="Verdana" w:cs="Verdana"/>
          <w:b/>
          <w:bCs/>
          <w:spacing w:val="-2"/>
          <w:sz w:val="20"/>
          <w:szCs w:val="20"/>
          <w:lang w:val="es-ES"/>
        </w:rPr>
        <w:t>EL PRESIDENTE DE LA CORTE INTERAMERICANA DE DERECHOS HUMANOS,</w:t>
      </w:r>
    </w:p>
    <w:p w:rsidR="00114388" w:rsidRPr="00102C59" w:rsidRDefault="00114388" w:rsidP="00114388">
      <w:pPr>
        <w:tabs>
          <w:tab w:val="left" w:pos="567"/>
        </w:tabs>
        <w:autoSpaceDE w:val="0"/>
        <w:autoSpaceDN w:val="0"/>
        <w:adjustRightInd w:val="0"/>
        <w:spacing w:after="0" w:line="240" w:lineRule="auto"/>
        <w:jc w:val="both"/>
        <w:rPr>
          <w:rFonts w:ascii="Verdana" w:hAnsi="Verdana" w:cs="Verdana"/>
          <w:b/>
          <w:bCs/>
          <w:spacing w:val="-2"/>
          <w:sz w:val="20"/>
          <w:szCs w:val="20"/>
          <w:lang w:val="es-ES"/>
        </w:rPr>
      </w:pPr>
    </w:p>
    <w:p w:rsidR="00114388" w:rsidRPr="00102C59" w:rsidRDefault="00114388" w:rsidP="00114388">
      <w:pPr>
        <w:tabs>
          <w:tab w:val="left" w:pos="567"/>
        </w:tabs>
        <w:autoSpaceDE w:val="0"/>
        <w:autoSpaceDN w:val="0"/>
        <w:adjustRightInd w:val="0"/>
        <w:spacing w:after="0" w:line="240" w:lineRule="auto"/>
        <w:jc w:val="both"/>
        <w:rPr>
          <w:rFonts w:ascii="Verdana" w:hAnsi="Verdana" w:cs="Verdana"/>
          <w:spacing w:val="-2"/>
          <w:sz w:val="20"/>
          <w:szCs w:val="20"/>
          <w:lang w:val="es-ES"/>
        </w:rPr>
      </w:pPr>
      <w:r w:rsidRPr="00102C59">
        <w:rPr>
          <w:rFonts w:ascii="Verdana" w:hAnsi="Verdana" w:cs="Verdana"/>
          <w:spacing w:val="-2"/>
          <w:sz w:val="20"/>
          <w:szCs w:val="20"/>
          <w:lang w:val="es-ES"/>
        </w:rPr>
        <w:t>en ejercicio de sus atribuciones con relación al Fondo y de conformidad con el artículo 31 del Reglamento del Tribunal y el artículo 3 del Reglamento del Fondo de Asistencia de la Corte,</w:t>
      </w:r>
    </w:p>
    <w:p w:rsidR="00114388" w:rsidRPr="00102C59" w:rsidRDefault="00114388" w:rsidP="00114388">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114388" w:rsidRDefault="00114388" w:rsidP="00114388">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102C59">
        <w:rPr>
          <w:rFonts w:ascii="Verdana" w:hAnsi="Verdana"/>
          <w:spacing w:val="-2"/>
          <w:sz w:val="20"/>
          <w:szCs w:val="20"/>
          <w:lang w:val="es-CR"/>
        </w:rPr>
        <w:t>C</w:t>
      </w:r>
      <w:r w:rsidRPr="00102C59">
        <w:rPr>
          <w:rFonts w:ascii="Verdana" w:hAnsi="Verdana" w:cs="Verdana"/>
          <w:spacing w:val="-2"/>
          <w:sz w:val="20"/>
          <w:szCs w:val="20"/>
          <w:lang w:val="es-CR"/>
        </w:rPr>
        <w:t xml:space="preserve">onsidera </w:t>
      </w:r>
      <w:r w:rsidRPr="00102C59">
        <w:rPr>
          <w:rFonts w:ascii="Verdana" w:hAnsi="Verdana" w:cs="Verdana"/>
          <w:spacing w:val="-2"/>
          <w:sz w:val="20"/>
          <w:szCs w:val="20"/>
          <w:lang w:val="es-ES"/>
        </w:rPr>
        <w:t>suficiente la declaración jurada presentada, de conformidad con el artículo 2 del Reglamento del Fondo de Asistencia de la Corte, como evidencia de la carencia de recursos económicos de las presuntas víctimas del caso representadas por la señora Carolina Loayza Tamayo.</w:t>
      </w:r>
    </w:p>
    <w:p w:rsidR="00114388" w:rsidRDefault="00114388" w:rsidP="00114388">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114388" w:rsidRPr="0027322A" w:rsidRDefault="00114388" w:rsidP="00114388">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Pr>
          <w:rFonts w:ascii="Verdana" w:hAnsi="Verdana" w:cs="Corbel"/>
          <w:sz w:val="20"/>
          <w:szCs w:val="20"/>
          <w:lang w:val="es-CR" w:eastAsia="es-CR"/>
        </w:rPr>
        <w:t>Advierte que e</w:t>
      </w:r>
      <w:r w:rsidRPr="0027322A">
        <w:rPr>
          <w:rFonts w:ascii="Verdana" w:hAnsi="Verdana" w:cs="Corbel"/>
          <w:sz w:val="20"/>
          <w:szCs w:val="20"/>
          <w:lang w:val="es-CR" w:eastAsia="es-CR"/>
        </w:rPr>
        <w:t xml:space="preserve">n términos del artículo 37 del Reglamento del Tribunal, en el presente caso no se ha designado un Defensor Interamericano de oficio que represente durante la tramitación del caso a presuntas víctimas sin representación legal debidamente acreditada. </w:t>
      </w:r>
      <w:r w:rsidRPr="0027322A">
        <w:rPr>
          <w:rFonts w:ascii="Verdana" w:hAnsi="Verdana"/>
          <w:sz w:val="20"/>
          <w:szCs w:val="20"/>
          <w:lang w:val="es-CR" w:eastAsia="es-CR"/>
        </w:rPr>
        <w:t xml:space="preserve">Sin perjuicio de ello, esta Presidencia recuerda que a partir del </w:t>
      </w:r>
      <w:r w:rsidRPr="00C441C3">
        <w:rPr>
          <w:rStyle w:val="Textoennegrita"/>
          <w:rFonts w:ascii="Verdana" w:hAnsi="Verdana"/>
          <w:b w:val="0"/>
          <w:i/>
          <w:color w:val="000000"/>
          <w:sz w:val="20"/>
          <w:szCs w:val="20"/>
          <w:shd w:val="clear" w:color="auto" w:fill="FFFFFF"/>
          <w:lang w:val="es-CR"/>
        </w:rPr>
        <w:t>Caso Torres y otros Vs. Argentina</w:t>
      </w:r>
      <w:r w:rsidRPr="0027322A">
        <w:rPr>
          <w:rStyle w:val="Textoennegrita"/>
          <w:rFonts w:ascii="Verdana" w:hAnsi="Verdana"/>
          <w:b w:val="0"/>
          <w:color w:val="000000"/>
          <w:sz w:val="20"/>
          <w:szCs w:val="20"/>
          <w:shd w:val="clear" w:color="auto" w:fill="FFFFFF"/>
          <w:lang w:val="es-CR"/>
        </w:rPr>
        <w:t xml:space="preserve"> en el año 2011 y de manera reiterada se ha considerado </w:t>
      </w:r>
      <w:r w:rsidRPr="0027322A">
        <w:rPr>
          <w:rFonts w:ascii="Verdana" w:hAnsi="Verdana"/>
          <w:sz w:val="20"/>
          <w:szCs w:val="20"/>
          <w:lang w:val="es-CR"/>
        </w:rPr>
        <w:t>procedente otorgar la asistencia económica necesaria del Fondo de Asistencia Legal de Víctimas para la comparecencia de al menos un representante en la audiencia pública respectiva</w:t>
      </w:r>
      <w:r w:rsidRPr="008D2B15">
        <w:rPr>
          <w:rStyle w:val="Refdenotaalpie"/>
          <w:rFonts w:ascii="Verdana" w:hAnsi="Verdana" w:cs="Times New Roman"/>
          <w:sz w:val="20"/>
          <w:szCs w:val="20"/>
          <w:lang w:val="es-CR" w:eastAsia="es-CR"/>
        </w:rPr>
        <w:footnoteReference w:id="4"/>
      </w:r>
      <w:r w:rsidRPr="0027322A">
        <w:rPr>
          <w:rFonts w:ascii="Verdana" w:hAnsi="Verdana"/>
          <w:sz w:val="20"/>
          <w:szCs w:val="20"/>
          <w:lang w:val="es-CR"/>
        </w:rPr>
        <w:t>.</w:t>
      </w:r>
      <w:r w:rsidRPr="0027322A">
        <w:rPr>
          <w:rFonts w:ascii="Verdana" w:hAnsi="Verdana"/>
          <w:sz w:val="20"/>
          <w:szCs w:val="20"/>
          <w:lang w:val="es-CR" w:eastAsia="es-CR"/>
        </w:rPr>
        <w:t xml:space="preserve"> En consecuencia, </w:t>
      </w:r>
      <w:r>
        <w:rPr>
          <w:rFonts w:ascii="Verdana" w:hAnsi="Verdana"/>
          <w:sz w:val="20"/>
          <w:szCs w:val="20"/>
          <w:lang w:val="es-CR" w:eastAsia="es-CR"/>
        </w:rPr>
        <w:t>el Presidente</w:t>
      </w:r>
      <w:r w:rsidRPr="0027322A">
        <w:rPr>
          <w:rFonts w:ascii="Verdana" w:hAnsi="Verdana"/>
          <w:sz w:val="20"/>
          <w:szCs w:val="20"/>
          <w:lang w:val="es-CR" w:eastAsia="es-CR"/>
        </w:rPr>
        <w:t xml:space="preserve"> no encuentra motivo alguno para apartarse de los precedentes citados</w:t>
      </w:r>
      <w:r w:rsidRPr="0027322A">
        <w:rPr>
          <w:rFonts w:ascii="Verdana" w:hAnsi="Verdana" w:cs="Verdana"/>
          <w:spacing w:val="-2"/>
          <w:sz w:val="20"/>
          <w:szCs w:val="20"/>
          <w:lang w:val="es-CR"/>
        </w:rPr>
        <w:t>.</w:t>
      </w:r>
    </w:p>
    <w:p w:rsidR="00114388" w:rsidRPr="0027322A" w:rsidRDefault="00114388" w:rsidP="00114388">
      <w:pPr>
        <w:spacing w:after="0" w:line="240" w:lineRule="auto"/>
        <w:rPr>
          <w:rFonts w:ascii="Verdana" w:hAnsi="Verdana" w:cs="Verdana"/>
          <w:spacing w:val="-2"/>
          <w:sz w:val="20"/>
          <w:szCs w:val="20"/>
          <w:lang w:val="es-CR"/>
        </w:rPr>
      </w:pPr>
    </w:p>
    <w:p w:rsidR="00114388" w:rsidRPr="00102C59" w:rsidRDefault="00114388" w:rsidP="00114388">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102C59">
        <w:rPr>
          <w:rFonts w:ascii="Verdana" w:hAnsi="Verdana" w:cs="Verdana"/>
          <w:spacing w:val="-2"/>
          <w:sz w:val="20"/>
          <w:szCs w:val="20"/>
          <w:lang w:val="es-CR"/>
        </w:rPr>
        <w:t>Establece que es procedente la solicitud de las presuntas víctimas para acogerse al Fondo de Asistencia de la Corte</w:t>
      </w:r>
      <w:r>
        <w:rPr>
          <w:rFonts w:ascii="Verdana" w:hAnsi="Verdana" w:cs="Verdana"/>
          <w:spacing w:val="-2"/>
          <w:sz w:val="20"/>
          <w:szCs w:val="20"/>
          <w:lang w:val="es-CR"/>
        </w:rPr>
        <w:t xml:space="preserve">. </w:t>
      </w:r>
      <w:r w:rsidRPr="00102C59">
        <w:rPr>
          <w:rFonts w:ascii="Verdana" w:hAnsi="Verdana" w:cs="Verdana"/>
          <w:spacing w:val="-2"/>
          <w:sz w:val="20"/>
          <w:szCs w:val="20"/>
          <w:lang w:val="es-CR"/>
        </w:rPr>
        <w:t xml:space="preserve">En ese sentido, atendiendo a los recursos actualmente disponibles en el Fondo, se otorgará a las presuntas víctimas la ayuda económica necesaria para solventar los gastos que ocasionaría la </w:t>
      </w:r>
      <w:r w:rsidRPr="00F740EA">
        <w:rPr>
          <w:rFonts w:ascii="Verdana" w:hAnsi="Verdana" w:cs="Verdana"/>
          <w:spacing w:val="-2"/>
          <w:sz w:val="20"/>
          <w:szCs w:val="20"/>
          <w:lang w:val="es-CR"/>
        </w:rPr>
        <w:t>presentación de</w:t>
      </w:r>
      <w:r w:rsidRPr="003E10C9">
        <w:rPr>
          <w:rFonts w:ascii="Verdana" w:hAnsi="Verdana" w:cs="Verdana"/>
          <w:spacing w:val="-2"/>
          <w:sz w:val="20"/>
          <w:szCs w:val="20"/>
          <w:lang w:val="es-CR"/>
        </w:rPr>
        <w:t xml:space="preserve"> </w:t>
      </w:r>
      <w:r w:rsidRPr="00C441C3">
        <w:rPr>
          <w:rFonts w:ascii="Verdana" w:hAnsi="Verdana" w:cs="Verdana"/>
          <w:spacing w:val="-2"/>
          <w:sz w:val="20"/>
          <w:szCs w:val="20"/>
          <w:lang w:val="es-CR"/>
        </w:rPr>
        <w:t>dos declaraciones de presuntas víctimas y un peritaje</w:t>
      </w:r>
      <w:r w:rsidRPr="00F740EA">
        <w:rPr>
          <w:rFonts w:ascii="Verdana" w:hAnsi="Verdana" w:cs="Verdana"/>
          <w:spacing w:val="-2"/>
          <w:sz w:val="20"/>
          <w:szCs w:val="20"/>
          <w:lang w:val="es-CR"/>
        </w:rPr>
        <w:t xml:space="preserve">, en una eventual audiencia pública o por </w:t>
      </w:r>
      <w:r w:rsidRPr="003E10C9">
        <w:rPr>
          <w:rFonts w:ascii="Verdana" w:hAnsi="Verdana" w:cs="Verdana"/>
          <w:iCs/>
          <w:spacing w:val="-2"/>
          <w:sz w:val="20"/>
          <w:szCs w:val="20"/>
          <w:lang w:val="es-CR"/>
        </w:rPr>
        <w:t>affidávit</w:t>
      </w:r>
      <w:r w:rsidRPr="003E10C9">
        <w:rPr>
          <w:rFonts w:ascii="Verdana" w:hAnsi="Verdana"/>
          <w:sz w:val="20"/>
          <w:szCs w:val="20"/>
          <w:lang w:val="es-CR"/>
        </w:rPr>
        <w:t xml:space="preserve">, </w:t>
      </w:r>
      <w:r w:rsidRPr="00C441C3">
        <w:rPr>
          <w:rFonts w:ascii="Verdana" w:hAnsi="Verdana"/>
          <w:sz w:val="20"/>
          <w:szCs w:val="20"/>
          <w:lang w:val="es-CR"/>
        </w:rPr>
        <w:t xml:space="preserve">así como la comparecencia de la </w:t>
      </w:r>
      <w:r w:rsidRPr="00C441C3">
        <w:rPr>
          <w:rFonts w:ascii="Verdana" w:hAnsi="Verdana" w:cs="Verdana"/>
          <w:spacing w:val="-2"/>
          <w:sz w:val="20"/>
          <w:szCs w:val="20"/>
          <w:lang w:val="es-ES"/>
        </w:rPr>
        <w:t>señora Carolina Loayza Tamayo</w:t>
      </w:r>
      <w:r w:rsidRPr="00F740EA">
        <w:rPr>
          <w:rFonts w:ascii="Verdana" w:hAnsi="Verdana" w:cs="Verdana"/>
          <w:spacing w:val="-2"/>
          <w:sz w:val="20"/>
          <w:szCs w:val="20"/>
          <w:lang w:val="es-CR"/>
        </w:rPr>
        <w:t xml:space="preserve"> </w:t>
      </w:r>
      <w:r w:rsidRPr="003E10C9">
        <w:rPr>
          <w:rFonts w:ascii="Verdana" w:hAnsi="Verdana"/>
          <w:sz w:val="20"/>
          <w:szCs w:val="20"/>
          <w:lang w:val="es-CR"/>
        </w:rPr>
        <w:t>en</w:t>
      </w:r>
      <w:r w:rsidRPr="00102C59">
        <w:rPr>
          <w:rFonts w:ascii="Verdana" w:hAnsi="Verdana"/>
          <w:sz w:val="20"/>
          <w:szCs w:val="20"/>
          <w:lang w:val="es-CR"/>
        </w:rPr>
        <w:t xml:space="preserve"> la eventual audiencia pública que se convoque en el presente caso</w:t>
      </w:r>
      <w:r w:rsidRPr="00102C59">
        <w:rPr>
          <w:rFonts w:ascii="Verdana" w:hAnsi="Verdana" w:cs="Verdana"/>
          <w:spacing w:val="-2"/>
          <w:sz w:val="20"/>
          <w:szCs w:val="20"/>
          <w:lang w:val="es-CR"/>
        </w:rPr>
        <w:t xml:space="preserve">. </w:t>
      </w:r>
    </w:p>
    <w:p w:rsidR="00114388" w:rsidRPr="00102C59" w:rsidRDefault="00114388" w:rsidP="00114388">
      <w:pPr>
        <w:tabs>
          <w:tab w:val="left" w:pos="567"/>
        </w:tabs>
        <w:autoSpaceDE w:val="0"/>
        <w:autoSpaceDN w:val="0"/>
        <w:adjustRightInd w:val="0"/>
        <w:spacing w:after="0" w:line="240" w:lineRule="auto"/>
        <w:jc w:val="both"/>
        <w:rPr>
          <w:rFonts w:ascii="Verdana" w:hAnsi="Verdana" w:cs="Verdana"/>
          <w:spacing w:val="-2"/>
          <w:sz w:val="20"/>
          <w:szCs w:val="20"/>
          <w:lang w:val="es-CR"/>
        </w:rPr>
      </w:pPr>
    </w:p>
    <w:p w:rsidR="00114388" w:rsidRPr="00102C59" w:rsidRDefault="00114388" w:rsidP="00114388">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102C59">
        <w:rPr>
          <w:rFonts w:ascii="Verdana" w:hAnsi="Verdana" w:cs="Verdana"/>
          <w:spacing w:val="-2"/>
          <w:sz w:val="20"/>
          <w:szCs w:val="20"/>
          <w:lang w:val="es-CR"/>
        </w:rPr>
        <w:t>Estima conveniente postergar la determinación del monto, destino y objeto específicos de la asistencia económica que será brindada para el momento en el cual esta Presidencia, o la Corte, resuelvan sobre la procedencia y relevancia de las declaraciones ofrecidas y de los gastos solicitados y, en su caso, la apertura del procedimiento oral, conforme al artículo 50.1 del Reglamento del Tribunal, de forma tal que se tenga certeza de las declaraciones que serán recibidas por la Corte, así como de los medios por los cuales éstas serán evacuadas.</w:t>
      </w:r>
    </w:p>
    <w:p w:rsidR="00114388" w:rsidRPr="00102C59" w:rsidRDefault="00114388" w:rsidP="00114388">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114388" w:rsidRPr="00102C59" w:rsidRDefault="00114388" w:rsidP="00114388">
      <w:pPr>
        <w:numPr>
          <w:ilvl w:val="0"/>
          <w:numId w:val="14"/>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102C59">
        <w:rPr>
          <w:rFonts w:ascii="Verdana" w:hAnsi="Verdana" w:cs="Verdana"/>
          <w:spacing w:val="-2"/>
          <w:sz w:val="20"/>
          <w:szCs w:val="20"/>
          <w:lang w:val="es-CR"/>
        </w:rPr>
        <w:t>Recuerda que, según el artículo 5 del Reglamento del Fondo, se informará oportunamente al Estado demandado las erogaciones realizadas en aplicación del Fondo de Asistencia de la Corte, para que presente sus observaciones, si así lo desea, dentro del plazo que se establezca al efecto.</w:t>
      </w:r>
    </w:p>
    <w:p w:rsidR="00114388" w:rsidRPr="00102C59" w:rsidRDefault="00114388" w:rsidP="00114388">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114388" w:rsidRPr="00102C59" w:rsidRDefault="00114388" w:rsidP="00114388">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114388" w:rsidRPr="00102C59" w:rsidRDefault="00114388" w:rsidP="00114388">
      <w:pPr>
        <w:tabs>
          <w:tab w:val="left" w:pos="567"/>
        </w:tabs>
        <w:autoSpaceDE w:val="0"/>
        <w:autoSpaceDN w:val="0"/>
        <w:adjustRightInd w:val="0"/>
        <w:spacing w:after="0" w:line="240" w:lineRule="auto"/>
        <w:jc w:val="both"/>
        <w:rPr>
          <w:rFonts w:ascii="Verdana" w:hAnsi="Verdana" w:cs="Verdana"/>
          <w:b/>
          <w:bCs/>
          <w:spacing w:val="-2"/>
          <w:sz w:val="20"/>
          <w:szCs w:val="20"/>
          <w:lang w:val="es-ES"/>
        </w:rPr>
      </w:pPr>
      <w:r w:rsidRPr="00102C59">
        <w:rPr>
          <w:rFonts w:ascii="Verdana" w:hAnsi="Verdana" w:cs="Verdana"/>
          <w:b/>
          <w:bCs/>
          <w:spacing w:val="-2"/>
          <w:sz w:val="20"/>
          <w:szCs w:val="20"/>
          <w:lang w:val="es-ES"/>
        </w:rPr>
        <w:t>RESUELVE:</w:t>
      </w:r>
    </w:p>
    <w:p w:rsidR="00114388" w:rsidRPr="00102C59" w:rsidRDefault="00114388" w:rsidP="00114388">
      <w:pPr>
        <w:tabs>
          <w:tab w:val="left" w:pos="567"/>
        </w:tabs>
        <w:autoSpaceDE w:val="0"/>
        <w:autoSpaceDN w:val="0"/>
        <w:adjustRightInd w:val="0"/>
        <w:spacing w:after="0" w:line="240" w:lineRule="auto"/>
        <w:jc w:val="both"/>
        <w:rPr>
          <w:rFonts w:ascii="Verdana" w:hAnsi="Verdana" w:cs="Verdana"/>
          <w:b/>
          <w:bCs/>
          <w:spacing w:val="-2"/>
          <w:sz w:val="20"/>
          <w:szCs w:val="20"/>
          <w:lang w:val="es-ES"/>
        </w:rPr>
      </w:pPr>
    </w:p>
    <w:p w:rsidR="00114388" w:rsidRPr="00102C59" w:rsidRDefault="00114388" w:rsidP="00114388">
      <w:pPr>
        <w:pStyle w:val="Prrafodelista"/>
        <w:numPr>
          <w:ilvl w:val="3"/>
          <w:numId w:val="5"/>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102C59">
        <w:rPr>
          <w:rFonts w:ascii="Verdana" w:hAnsi="Verdana" w:cs="Verdana"/>
          <w:spacing w:val="-2"/>
          <w:sz w:val="20"/>
          <w:szCs w:val="20"/>
          <w:lang w:val="es-ES"/>
        </w:rPr>
        <w:t>Declarar procedente la solicitud interpuesta por las presuntas víctimas, a través de la interviniente común</w:t>
      </w:r>
      <w:r>
        <w:rPr>
          <w:rFonts w:ascii="Verdana" w:hAnsi="Verdana" w:cs="Verdana"/>
          <w:spacing w:val="-2"/>
          <w:sz w:val="20"/>
          <w:szCs w:val="20"/>
          <w:lang w:val="es-ES"/>
        </w:rPr>
        <w:t>,</w:t>
      </w:r>
      <w:r w:rsidRPr="00102C59">
        <w:rPr>
          <w:rFonts w:ascii="Verdana" w:hAnsi="Verdana" w:cs="Verdana"/>
          <w:spacing w:val="-2"/>
          <w:sz w:val="20"/>
          <w:szCs w:val="20"/>
          <w:lang w:val="es-ES"/>
        </w:rPr>
        <w:t xml:space="preserve"> para acogerse al Fondo de Asistencia Legal de Víctimas de la Corte Interamericana de Derechos Humanos, de modo que se otorgará el apoyo económico necesario, con cargo al Fondo, para la presentación de </w:t>
      </w:r>
      <w:r w:rsidRPr="00102C59">
        <w:rPr>
          <w:rFonts w:ascii="Verdana" w:hAnsi="Verdana" w:cs="Verdana"/>
          <w:spacing w:val="-2"/>
          <w:sz w:val="20"/>
          <w:szCs w:val="20"/>
          <w:lang w:val="es-CR"/>
        </w:rPr>
        <w:t xml:space="preserve">un </w:t>
      </w:r>
      <w:r w:rsidRPr="003E10C9">
        <w:rPr>
          <w:rFonts w:ascii="Verdana" w:hAnsi="Verdana" w:cs="Verdana"/>
          <w:spacing w:val="-2"/>
          <w:sz w:val="20"/>
          <w:szCs w:val="20"/>
          <w:lang w:val="es-CR"/>
        </w:rPr>
        <w:t>máximo de dos declaraciones de presuntas víctimas y un peritaje</w:t>
      </w:r>
      <w:r w:rsidRPr="003E10C9">
        <w:rPr>
          <w:rFonts w:ascii="Verdana" w:hAnsi="Verdana" w:cs="Verdana"/>
          <w:spacing w:val="-2"/>
          <w:sz w:val="20"/>
          <w:szCs w:val="20"/>
          <w:lang w:val="es-ES"/>
        </w:rPr>
        <w:t>, ya sea en audiencia o por aff</w:t>
      </w:r>
      <w:r w:rsidRPr="00327A21">
        <w:rPr>
          <w:rFonts w:ascii="Verdana" w:hAnsi="Verdana" w:cs="Verdana"/>
          <w:spacing w:val="-2"/>
          <w:sz w:val="20"/>
          <w:szCs w:val="20"/>
          <w:lang w:val="es-ES"/>
        </w:rPr>
        <w:t xml:space="preserve">idávit, </w:t>
      </w:r>
      <w:r w:rsidRPr="00327A21">
        <w:rPr>
          <w:rFonts w:ascii="Verdana" w:hAnsi="Verdana"/>
          <w:sz w:val="20"/>
          <w:szCs w:val="20"/>
          <w:lang w:val="es-CR"/>
        </w:rPr>
        <w:t xml:space="preserve">así como </w:t>
      </w:r>
      <w:r w:rsidRPr="003E10C9">
        <w:rPr>
          <w:rFonts w:ascii="Verdana" w:hAnsi="Verdana"/>
          <w:sz w:val="20"/>
          <w:szCs w:val="20"/>
          <w:lang w:val="es-CR"/>
        </w:rPr>
        <w:t xml:space="preserve">la comparecencia de la </w:t>
      </w:r>
      <w:r w:rsidRPr="003E10C9">
        <w:rPr>
          <w:rFonts w:ascii="Verdana" w:hAnsi="Verdana" w:cs="Verdana"/>
          <w:spacing w:val="-2"/>
          <w:sz w:val="20"/>
          <w:szCs w:val="20"/>
          <w:lang w:val="es-ES"/>
        </w:rPr>
        <w:t>señora Carolina Loayza Tamayo</w:t>
      </w:r>
      <w:r w:rsidRPr="003E10C9">
        <w:rPr>
          <w:rFonts w:ascii="Verdana" w:hAnsi="Verdana"/>
          <w:sz w:val="20"/>
          <w:szCs w:val="20"/>
          <w:lang w:val="es-CR"/>
        </w:rPr>
        <w:t xml:space="preserve"> </w:t>
      </w:r>
      <w:r w:rsidRPr="00102C59">
        <w:rPr>
          <w:rFonts w:ascii="Verdana" w:hAnsi="Verdana"/>
          <w:sz w:val="20"/>
          <w:szCs w:val="20"/>
          <w:lang w:val="es-CR"/>
        </w:rPr>
        <w:t>en la eventual audiencia pública que se convoque en el presente caso,</w:t>
      </w:r>
      <w:r w:rsidRPr="00102C59">
        <w:rPr>
          <w:rFonts w:ascii="Verdana" w:hAnsi="Verdana" w:cs="Verdana"/>
          <w:spacing w:val="-2"/>
          <w:sz w:val="20"/>
          <w:szCs w:val="20"/>
          <w:lang w:val="es-ES"/>
        </w:rPr>
        <w:t xml:space="preserve"> y que el monto, destino y objeto específicos de dicha asistencia serán precisados al momento de decidir sobre la evacuación de prueba testimonial y pericial, y la apertura del procedimiento oral en los términos del artículo 50 del Reglamento del Tribunal, de conformidad con lo establecido en esta Resolución.</w:t>
      </w:r>
    </w:p>
    <w:p w:rsidR="00114388" w:rsidRPr="00102C59" w:rsidRDefault="00114388" w:rsidP="00114388">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114388" w:rsidRPr="00102C59" w:rsidRDefault="00114388" w:rsidP="00114388">
      <w:pPr>
        <w:pStyle w:val="Prrafodelista"/>
        <w:numPr>
          <w:ilvl w:val="3"/>
          <w:numId w:val="5"/>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102C59">
        <w:rPr>
          <w:rFonts w:ascii="Verdana" w:hAnsi="Verdana" w:cs="Verdana"/>
          <w:spacing w:val="-2"/>
          <w:sz w:val="20"/>
          <w:szCs w:val="20"/>
          <w:lang w:val="es-ES"/>
        </w:rPr>
        <w:t xml:space="preserve">Disponer que la Secretaría de la Corte notifique la presente Resolución a los </w:t>
      </w:r>
      <w:r>
        <w:rPr>
          <w:rFonts w:ascii="Verdana" w:hAnsi="Verdana" w:cs="Verdana"/>
          <w:spacing w:val="-2"/>
          <w:sz w:val="20"/>
          <w:szCs w:val="20"/>
          <w:lang w:val="es-ES"/>
        </w:rPr>
        <w:t>intervinientes comunes</w:t>
      </w:r>
      <w:r w:rsidRPr="00102C59">
        <w:rPr>
          <w:rFonts w:ascii="Verdana" w:hAnsi="Verdana" w:cs="Verdana"/>
          <w:spacing w:val="-2"/>
          <w:sz w:val="20"/>
          <w:szCs w:val="20"/>
          <w:lang w:val="es-ES"/>
        </w:rPr>
        <w:t>, al Estado del Perú y a la Comisión Interamericana de Derechos Humanos.</w:t>
      </w:r>
    </w:p>
    <w:p w:rsidR="00114388" w:rsidRPr="00102C59" w:rsidRDefault="00114388" w:rsidP="00114388">
      <w:pPr>
        <w:widowControl w:val="0"/>
        <w:autoSpaceDE w:val="0"/>
        <w:autoSpaceDN w:val="0"/>
        <w:adjustRightInd w:val="0"/>
        <w:spacing w:after="0" w:line="240" w:lineRule="auto"/>
        <w:rPr>
          <w:rFonts w:ascii="Verdana" w:hAnsi="Verdana"/>
          <w:spacing w:val="-2"/>
          <w:sz w:val="20"/>
          <w:szCs w:val="20"/>
          <w:lang w:val="es-MX"/>
        </w:rPr>
      </w:pPr>
    </w:p>
    <w:p w:rsidR="006E6CAC" w:rsidRPr="001D6F6C" w:rsidRDefault="006E6CAC" w:rsidP="00114388">
      <w:pPr>
        <w:pStyle w:val="Prrafodelista"/>
        <w:rPr>
          <w:rFonts w:ascii="Verdana" w:hAnsi="Verdana"/>
          <w:spacing w:val="-2"/>
          <w:sz w:val="20"/>
          <w:szCs w:val="20"/>
          <w:lang w:val="es-MX"/>
        </w:rPr>
      </w:pPr>
    </w:p>
    <w:p w:rsidR="00067CD0" w:rsidRPr="001D6F6C" w:rsidRDefault="00067CD0" w:rsidP="001D6F6C">
      <w:pPr>
        <w:spacing w:after="0" w:line="240" w:lineRule="auto"/>
        <w:ind w:left="6480"/>
        <w:jc w:val="center"/>
        <w:rPr>
          <w:rFonts w:ascii="Verdana" w:hAnsi="Verdana"/>
          <w:sz w:val="20"/>
          <w:szCs w:val="20"/>
          <w:lang w:val="es-ES"/>
        </w:rPr>
      </w:pPr>
    </w:p>
    <w:p w:rsidR="001D6F6C" w:rsidRPr="001D6F6C" w:rsidRDefault="001D6F6C" w:rsidP="001D6F6C">
      <w:pPr>
        <w:spacing w:after="0" w:line="240" w:lineRule="auto"/>
        <w:jc w:val="center"/>
        <w:rPr>
          <w:rFonts w:ascii="Verdana" w:hAnsi="Verdana"/>
          <w:sz w:val="20"/>
          <w:szCs w:val="20"/>
          <w:lang w:val="es-ES"/>
        </w:rPr>
      </w:pPr>
    </w:p>
    <w:p w:rsidR="001D6F6C" w:rsidRPr="001D6F6C" w:rsidRDefault="001D6F6C" w:rsidP="001D6F6C">
      <w:pPr>
        <w:spacing w:after="0" w:line="240" w:lineRule="auto"/>
        <w:jc w:val="center"/>
        <w:rPr>
          <w:rFonts w:ascii="Verdana" w:hAnsi="Verdana"/>
          <w:sz w:val="20"/>
          <w:szCs w:val="20"/>
          <w:lang w:val="es-ES"/>
        </w:rPr>
      </w:pPr>
    </w:p>
    <w:p w:rsidR="001D6F6C" w:rsidRPr="001D6F6C" w:rsidRDefault="001D6F6C" w:rsidP="001D6F6C">
      <w:pPr>
        <w:spacing w:after="0" w:line="240" w:lineRule="auto"/>
        <w:ind w:left="5040" w:firstLine="720"/>
        <w:jc w:val="center"/>
        <w:rPr>
          <w:rFonts w:ascii="Verdana" w:hAnsi="Verdana"/>
          <w:sz w:val="20"/>
          <w:szCs w:val="20"/>
          <w:lang w:val="es-ES"/>
        </w:rPr>
      </w:pPr>
      <w:r w:rsidRPr="001D6F6C">
        <w:rPr>
          <w:rFonts w:ascii="Verdana" w:hAnsi="Verdana"/>
          <w:sz w:val="20"/>
          <w:szCs w:val="20"/>
          <w:lang w:val="es-ES"/>
        </w:rPr>
        <w:t>Roberto F. Caldas</w:t>
      </w:r>
    </w:p>
    <w:p w:rsidR="001D6F6C" w:rsidRPr="001D6F6C" w:rsidRDefault="001D6F6C" w:rsidP="001D6F6C">
      <w:pPr>
        <w:spacing w:after="0" w:line="240" w:lineRule="auto"/>
        <w:ind w:left="5040" w:firstLine="720"/>
        <w:jc w:val="center"/>
        <w:rPr>
          <w:rFonts w:ascii="Verdana" w:hAnsi="Verdana"/>
          <w:sz w:val="20"/>
          <w:szCs w:val="20"/>
          <w:lang w:val="es-ES"/>
        </w:rPr>
      </w:pPr>
      <w:r w:rsidRPr="001D6F6C">
        <w:rPr>
          <w:rFonts w:ascii="Verdana" w:hAnsi="Verdana"/>
          <w:sz w:val="20"/>
          <w:szCs w:val="20"/>
          <w:lang w:val="es-ES"/>
        </w:rPr>
        <w:t xml:space="preserve">Presidente </w:t>
      </w:r>
    </w:p>
    <w:p w:rsidR="001D6F6C" w:rsidRPr="001D6F6C" w:rsidRDefault="001D6F6C" w:rsidP="001D6F6C">
      <w:pPr>
        <w:spacing w:after="0" w:line="240" w:lineRule="auto"/>
        <w:rPr>
          <w:rFonts w:ascii="Verdana" w:hAnsi="Verdana"/>
          <w:sz w:val="20"/>
          <w:szCs w:val="20"/>
          <w:lang w:val="es-ES"/>
        </w:rPr>
      </w:pPr>
    </w:p>
    <w:p w:rsidR="001D6F6C" w:rsidRPr="001D6F6C" w:rsidRDefault="001D6F6C" w:rsidP="001D6F6C">
      <w:pPr>
        <w:spacing w:after="0" w:line="240" w:lineRule="auto"/>
        <w:rPr>
          <w:rFonts w:ascii="Verdana" w:hAnsi="Verdana"/>
          <w:sz w:val="20"/>
          <w:szCs w:val="20"/>
          <w:lang w:val="es-ES"/>
        </w:rPr>
      </w:pPr>
    </w:p>
    <w:p w:rsidR="001D6F6C" w:rsidRPr="001D6F6C" w:rsidRDefault="001D6F6C" w:rsidP="001D6F6C">
      <w:pPr>
        <w:spacing w:after="0" w:line="240" w:lineRule="auto"/>
        <w:rPr>
          <w:rFonts w:ascii="Verdana" w:hAnsi="Verdana"/>
          <w:sz w:val="20"/>
          <w:szCs w:val="20"/>
          <w:lang w:val="es-ES"/>
        </w:rPr>
      </w:pPr>
      <w:r w:rsidRPr="001D6F6C">
        <w:rPr>
          <w:rFonts w:ascii="Verdana" w:hAnsi="Verdana"/>
          <w:sz w:val="20"/>
          <w:szCs w:val="20"/>
          <w:lang w:val="es-ES"/>
        </w:rPr>
        <w:t>Pablo Saavedra Alessandri</w:t>
      </w:r>
    </w:p>
    <w:p w:rsidR="001D6F6C" w:rsidRPr="001D6F6C" w:rsidRDefault="001D6F6C" w:rsidP="001D6F6C">
      <w:pPr>
        <w:spacing w:after="0" w:line="240" w:lineRule="auto"/>
        <w:rPr>
          <w:rFonts w:ascii="Verdana" w:hAnsi="Verdana"/>
          <w:sz w:val="20"/>
          <w:szCs w:val="20"/>
          <w:lang w:val="es-ES"/>
        </w:rPr>
      </w:pPr>
      <w:r w:rsidRPr="001D6F6C">
        <w:rPr>
          <w:rFonts w:ascii="Verdana" w:hAnsi="Verdana"/>
          <w:sz w:val="20"/>
          <w:szCs w:val="20"/>
          <w:lang w:val="es-ES"/>
        </w:rPr>
        <w:t xml:space="preserve">          Secretario </w:t>
      </w:r>
    </w:p>
    <w:p w:rsidR="001D6F6C" w:rsidRDefault="001D6F6C" w:rsidP="001D6F6C">
      <w:pPr>
        <w:spacing w:after="0" w:line="240" w:lineRule="auto"/>
        <w:rPr>
          <w:rFonts w:ascii="Verdana" w:hAnsi="Verdana"/>
          <w:sz w:val="20"/>
          <w:szCs w:val="20"/>
          <w:lang w:val="es-CR"/>
        </w:rPr>
      </w:pPr>
    </w:p>
    <w:p w:rsidR="001D6F6C" w:rsidRPr="001D6F6C" w:rsidRDefault="001D6F6C" w:rsidP="001D6F6C">
      <w:pPr>
        <w:spacing w:after="0" w:line="240" w:lineRule="auto"/>
        <w:rPr>
          <w:rFonts w:ascii="Verdana" w:hAnsi="Verdana"/>
          <w:sz w:val="20"/>
          <w:szCs w:val="20"/>
          <w:lang w:val="es-CR"/>
        </w:rPr>
      </w:pPr>
      <w:r w:rsidRPr="001D6F6C">
        <w:rPr>
          <w:rFonts w:ascii="Verdana" w:hAnsi="Verdana"/>
          <w:sz w:val="20"/>
          <w:szCs w:val="20"/>
          <w:lang w:val="es-CR"/>
        </w:rPr>
        <w:t>Comuníquese y ejecútese,</w:t>
      </w:r>
    </w:p>
    <w:p w:rsidR="001D6F6C" w:rsidRPr="001D6F6C" w:rsidRDefault="001D6F6C" w:rsidP="001D6F6C">
      <w:pPr>
        <w:spacing w:after="0" w:line="240" w:lineRule="auto"/>
        <w:jc w:val="center"/>
        <w:rPr>
          <w:rFonts w:ascii="Verdana" w:hAnsi="Verdana"/>
          <w:sz w:val="20"/>
          <w:szCs w:val="20"/>
          <w:lang w:val="es-CR"/>
        </w:rPr>
      </w:pPr>
    </w:p>
    <w:p w:rsidR="001D6F6C" w:rsidRPr="001D6F6C" w:rsidRDefault="001D6F6C" w:rsidP="001D6F6C">
      <w:pPr>
        <w:spacing w:after="0" w:line="240" w:lineRule="auto"/>
        <w:jc w:val="center"/>
        <w:rPr>
          <w:rFonts w:ascii="Verdana" w:hAnsi="Verdana"/>
          <w:sz w:val="20"/>
          <w:szCs w:val="20"/>
          <w:lang w:val="es-ES"/>
        </w:rPr>
      </w:pPr>
    </w:p>
    <w:p w:rsidR="001D6F6C" w:rsidRPr="001D6F6C" w:rsidRDefault="001D6F6C" w:rsidP="001D6F6C">
      <w:pPr>
        <w:spacing w:after="0" w:line="240" w:lineRule="auto"/>
        <w:ind w:left="5040" w:firstLine="720"/>
        <w:jc w:val="center"/>
        <w:rPr>
          <w:rFonts w:ascii="Verdana" w:hAnsi="Verdana"/>
          <w:sz w:val="20"/>
          <w:szCs w:val="20"/>
          <w:lang w:val="es-ES"/>
        </w:rPr>
      </w:pPr>
      <w:r w:rsidRPr="001D6F6C">
        <w:rPr>
          <w:rFonts w:ascii="Verdana" w:hAnsi="Verdana"/>
          <w:sz w:val="20"/>
          <w:szCs w:val="20"/>
          <w:lang w:val="es-ES"/>
        </w:rPr>
        <w:t>Roberto F. Caldas</w:t>
      </w:r>
    </w:p>
    <w:p w:rsidR="001D6F6C" w:rsidRPr="001D6F6C" w:rsidRDefault="001D6F6C" w:rsidP="001D6F6C">
      <w:pPr>
        <w:spacing w:after="0" w:line="240" w:lineRule="auto"/>
        <w:ind w:left="5040" w:firstLine="720"/>
        <w:jc w:val="center"/>
        <w:rPr>
          <w:rFonts w:ascii="Verdana" w:hAnsi="Verdana"/>
          <w:sz w:val="20"/>
          <w:szCs w:val="20"/>
          <w:lang w:val="es-ES"/>
        </w:rPr>
      </w:pPr>
      <w:r w:rsidRPr="001D6F6C">
        <w:rPr>
          <w:rFonts w:ascii="Verdana" w:hAnsi="Verdana"/>
          <w:sz w:val="20"/>
          <w:szCs w:val="20"/>
          <w:lang w:val="es-ES"/>
        </w:rPr>
        <w:t xml:space="preserve">Presidente </w:t>
      </w:r>
    </w:p>
    <w:p w:rsidR="001D6F6C" w:rsidRPr="001D6F6C" w:rsidRDefault="001D6F6C" w:rsidP="001D6F6C">
      <w:pPr>
        <w:spacing w:after="0" w:line="240" w:lineRule="auto"/>
        <w:rPr>
          <w:rFonts w:ascii="Verdana" w:hAnsi="Verdana"/>
          <w:sz w:val="20"/>
          <w:szCs w:val="20"/>
          <w:lang w:val="es-ES"/>
        </w:rPr>
      </w:pPr>
    </w:p>
    <w:p w:rsidR="001D6F6C" w:rsidRPr="001D6F6C" w:rsidRDefault="001D6F6C" w:rsidP="001D6F6C">
      <w:pPr>
        <w:spacing w:after="0" w:line="240" w:lineRule="auto"/>
        <w:rPr>
          <w:rFonts w:ascii="Verdana" w:hAnsi="Verdana"/>
          <w:sz w:val="20"/>
          <w:szCs w:val="20"/>
          <w:lang w:val="es-ES"/>
        </w:rPr>
      </w:pPr>
    </w:p>
    <w:p w:rsidR="001D6F6C" w:rsidRPr="001D6F6C" w:rsidRDefault="001D6F6C" w:rsidP="001D6F6C">
      <w:pPr>
        <w:spacing w:after="0" w:line="240" w:lineRule="auto"/>
        <w:rPr>
          <w:rFonts w:ascii="Verdana" w:hAnsi="Verdana"/>
          <w:sz w:val="20"/>
          <w:szCs w:val="20"/>
          <w:lang w:val="es-ES"/>
        </w:rPr>
      </w:pPr>
    </w:p>
    <w:p w:rsidR="001D6F6C" w:rsidRPr="001D6F6C" w:rsidRDefault="001D6F6C" w:rsidP="001D6F6C">
      <w:pPr>
        <w:spacing w:after="0" w:line="240" w:lineRule="auto"/>
        <w:rPr>
          <w:rFonts w:ascii="Verdana" w:hAnsi="Verdana"/>
          <w:sz w:val="20"/>
          <w:szCs w:val="20"/>
          <w:lang w:val="es-ES"/>
        </w:rPr>
      </w:pPr>
      <w:r w:rsidRPr="001D6F6C">
        <w:rPr>
          <w:rFonts w:ascii="Verdana" w:hAnsi="Verdana"/>
          <w:sz w:val="20"/>
          <w:szCs w:val="20"/>
          <w:lang w:val="es-ES"/>
        </w:rPr>
        <w:t>Pablo Saavedra Alessandri</w:t>
      </w:r>
    </w:p>
    <w:p w:rsidR="001D6F6C" w:rsidRPr="001D6F6C" w:rsidRDefault="001D6F6C" w:rsidP="001D6F6C">
      <w:pPr>
        <w:spacing w:after="0" w:line="240" w:lineRule="auto"/>
        <w:rPr>
          <w:rFonts w:ascii="Verdana" w:hAnsi="Verdana"/>
          <w:sz w:val="20"/>
          <w:szCs w:val="20"/>
          <w:lang w:val="es-ES"/>
        </w:rPr>
      </w:pPr>
      <w:r w:rsidRPr="001D6F6C">
        <w:rPr>
          <w:rFonts w:ascii="Verdana" w:hAnsi="Verdana"/>
          <w:sz w:val="20"/>
          <w:szCs w:val="20"/>
          <w:lang w:val="es-ES"/>
        </w:rPr>
        <w:t xml:space="preserve">          Secretario </w:t>
      </w:r>
    </w:p>
    <w:sectPr w:rsidR="001D6F6C" w:rsidRPr="001D6F6C" w:rsidSect="00FD6196">
      <w:headerReference w:type="default" r:id="rId12"/>
      <w:headerReference w:type="first" r:id="rId13"/>
      <w:pgSz w:w="12240" w:h="15840" w:code="1"/>
      <w:pgMar w:top="1701" w:right="1304" w:bottom="1701" w:left="130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5D2" w:rsidRDefault="008F45D2" w:rsidP="00CA6AB4">
      <w:pPr>
        <w:spacing w:after="0" w:line="240" w:lineRule="auto"/>
      </w:pPr>
      <w:r>
        <w:separator/>
      </w:r>
    </w:p>
  </w:endnote>
  <w:endnote w:type="continuationSeparator" w:id="0">
    <w:p w:rsidR="008F45D2" w:rsidRDefault="008F45D2" w:rsidP="00CA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5D2" w:rsidRDefault="008F45D2" w:rsidP="00CA6AB4">
      <w:pPr>
        <w:spacing w:after="0" w:line="240" w:lineRule="auto"/>
      </w:pPr>
      <w:r>
        <w:separator/>
      </w:r>
    </w:p>
  </w:footnote>
  <w:footnote w:type="continuationSeparator" w:id="0">
    <w:p w:rsidR="008F45D2" w:rsidRDefault="008F45D2" w:rsidP="00CA6AB4">
      <w:pPr>
        <w:spacing w:after="0" w:line="240" w:lineRule="auto"/>
      </w:pPr>
      <w:r>
        <w:continuationSeparator/>
      </w:r>
    </w:p>
  </w:footnote>
  <w:footnote w:id="1">
    <w:p w:rsidR="00114388" w:rsidRPr="00102C59" w:rsidRDefault="00114388" w:rsidP="00114388">
      <w:pPr>
        <w:pStyle w:val="Textonotapie"/>
        <w:jc w:val="both"/>
        <w:rPr>
          <w:rFonts w:ascii="Verdana" w:hAnsi="Verdana"/>
          <w:sz w:val="16"/>
          <w:szCs w:val="16"/>
          <w:lang w:val="es-CR"/>
        </w:rPr>
      </w:pPr>
      <w:r w:rsidRPr="00102C59">
        <w:rPr>
          <w:rStyle w:val="Refdenotaalpie"/>
          <w:rFonts w:ascii="Verdana" w:hAnsi="Verdana"/>
          <w:sz w:val="16"/>
          <w:szCs w:val="16"/>
        </w:rPr>
        <w:footnoteRef/>
      </w:r>
      <w:r w:rsidRPr="00102C59">
        <w:rPr>
          <w:rFonts w:ascii="Verdana" w:hAnsi="Verdana"/>
          <w:sz w:val="16"/>
          <w:szCs w:val="16"/>
        </w:rPr>
        <w:t xml:space="preserve"> </w:t>
      </w:r>
      <w:r w:rsidRPr="00102C59">
        <w:rPr>
          <w:rFonts w:ascii="Verdana" w:hAnsi="Verdana"/>
          <w:sz w:val="16"/>
          <w:szCs w:val="16"/>
          <w:lang w:val="es-CR"/>
        </w:rPr>
        <w:tab/>
      </w:r>
      <w:r w:rsidRPr="00102C59">
        <w:rPr>
          <w:rFonts w:ascii="Verdana" w:hAnsi="Verdana"/>
          <w:sz w:val="16"/>
          <w:szCs w:val="16"/>
        </w:rPr>
        <w:t xml:space="preserve">En el presente caso existen </w:t>
      </w:r>
      <w:r w:rsidRPr="00102C59">
        <w:rPr>
          <w:rFonts w:ascii="Verdana" w:hAnsi="Verdana"/>
          <w:sz w:val="16"/>
          <w:szCs w:val="16"/>
          <w:lang w:val="es-CR"/>
        </w:rPr>
        <w:t>tres</w:t>
      </w:r>
      <w:r w:rsidRPr="00102C59">
        <w:rPr>
          <w:rFonts w:ascii="Verdana" w:hAnsi="Verdana"/>
          <w:sz w:val="16"/>
          <w:szCs w:val="16"/>
        </w:rPr>
        <w:t xml:space="preserve"> intervinientes comunes</w:t>
      </w:r>
      <w:r w:rsidRPr="00102C59">
        <w:rPr>
          <w:rFonts w:ascii="Verdana" w:hAnsi="Verdana"/>
          <w:sz w:val="16"/>
          <w:szCs w:val="16"/>
          <w:lang w:val="es-CR"/>
        </w:rPr>
        <w:t xml:space="preserve"> con</w:t>
      </w:r>
      <w:r w:rsidRPr="00102C59">
        <w:rPr>
          <w:rFonts w:ascii="Verdana" w:hAnsi="Verdana"/>
          <w:sz w:val="16"/>
          <w:szCs w:val="16"/>
        </w:rPr>
        <w:t xml:space="preserve"> participación autónoma: 1) la señora Carolina Loayza Tamayo; 2) la señora Roxana </w:t>
      </w:r>
      <w:proofErr w:type="spellStart"/>
      <w:r w:rsidRPr="00102C59">
        <w:rPr>
          <w:rFonts w:ascii="Verdana" w:hAnsi="Verdana"/>
          <w:sz w:val="16"/>
          <w:szCs w:val="16"/>
        </w:rPr>
        <w:t>Miriana</w:t>
      </w:r>
      <w:proofErr w:type="spellEnd"/>
      <w:r w:rsidRPr="00102C59">
        <w:rPr>
          <w:rFonts w:ascii="Verdana" w:hAnsi="Verdana"/>
          <w:sz w:val="16"/>
          <w:szCs w:val="16"/>
        </w:rPr>
        <w:t xml:space="preserve"> Palomino </w:t>
      </w:r>
      <w:proofErr w:type="spellStart"/>
      <w:r w:rsidRPr="00102C59">
        <w:rPr>
          <w:rFonts w:ascii="Verdana" w:hAnsi="Verdana"/>
          <w:sz w:val="16"/>
          <w:szCs w:val="16"/>
        </w:rPr>
        <w:t>Mayta</w:t>
      </w:r>
      <w:proofErr w:type="spellEnd"/>
      <w:r w:rsidRPr="00102C59">
        <w:rPr>
          <w:rFonts w:ascii="Verdana" w:hAnsi="Verdana"/>
          <w:sz w:val="16"/>
          <w:szCs w:val="16"/>
        </w:rPr>
        <w:t xml:space="preserve">, y 3) los señores Gregorio Paredes </w:t>
      </w:r>
      <w:proofErr w:type="spellStart"/>
      <w:r w:rsidRPr="00102C59">
        <w:rPr>
          <w:rFonts w:ascii="Verdana" w:hAnsi="Verdana"/>
          <w:sz w:val="16"/>
          <w:szCs w:val="16"/>
        </w:rPr>
        <w:t>Chipana</w:t>
      </w:r>
      <w:proofErr w:type="spellEnd"/>
      <w:r w:rsidRPr="00102C59">
        <w:rPr>
          <w:rFonts w:ascii="Verdana" w:hAnsi="Verdana"/>
          <w:sz w:val="16"/>
          <w:szCs w:val="16"/>
        </w:rPr>
        <w:t xml:space="preserve"> y </w:t>
      </w:r>
      <w:r w:rsidRPr="00102C59">
        <w:rPr>
          <w:rFonts w:ascii="Verdana" w:hAnsi="Verdana"/>
          <w:sz w:val="16"/>
          <w:szCs w:val="16"/>
          <w:lang w:val="es-CR"/>
        </w:rPr>
        <w:t xml:space="preserve">Manuel Eugenio </w:t>
      </w:r>
      <w:proofErr w:type="spellStart"/>
      <w:r w:rsidRPr="00102C59">
        <w:rPr>
          <w:rFonts w:ascii="Verdana" w:hAnsi="Verdana"/>
          <w:sz w:val="16"/>
          <w:szCs w:val="16"/>
          <w:lang w:val="es-CR"/>
        </w:rPr>
        <w:t>Paiba</w:t>
      </w:r>
      <w:proofErr w:type="spellEnd"/>
      <w:r w:rsidRPr="00102C59">
        <w:rPr>
          <w:rFonts w:ascii="Verdana" w:hAnsi="Verdana"/>
          <w:sz w:val="16"/>
          <w:szCs w:val="16"/>
          <w:lang w:val="es-CR"/>
        </w:rPr>
        <w:t xml:space="preserve"> </w:t>
      </w:r>
      <w:proofErr w:type="spellStart"/>
      <w:r w:rsidRPr="00102C59">
        <w:rPr>
          <w:rFonts w:ascii="Verdana" w:hAnsi="Verdana"/>
          <w:sz w:val="16"/>
          <w:szCs w:val="16"/>
          <w:lang w:val="es-CR"/>
        </w:rPr>
        <w:t>Cossíos</w:t>
      </w:r>
      <w:proofErr w:type="spellEnd"/>
      <w:r w:rsidRPr="00102C59">
        <w:rPr>
          <w:rFonts w:ascii="Verdana" w:hAnsi="Verdana"/>
          <w:sz w:val="16"/>
          <w:szCs w:val="16"/>
        </w:rPr>
        <w:t>.</w:t>
      </w:r>
    </w:p>
  </w:footnote>
  <w:footnote w:id="2">
    <w:p w:rsidR="00114388" w:rsidRPr="00102C59" w:rsidRDefault="00114388" w:rsidP="00114388">
      <w:pPr>
        <w:pStyle w:val="Textonotapie"/>
        <w:jc w:val="both"/>
        <w:rPr>
          <w:rFonts w:ascii="Verdana" w:hAnsi="Verdana" w:cs="Verdana"/>
          <w:spacing w:val="-4"/>
          <w:sz w:val="16"/>
          <w:szCs w:val="16"/>
          <w:lang w:val="es-ES"/>
        </w:rPr>
      </w:pPr>
      <w:r w:rsidRPr="00102C59">
        <w:rPr>
          <w:rStyle w:val="Refdenotaalpie"/>
          <w:rFonts w:ascii="Verdana" w:hAnsi="Verdana" w:cs="Verdana"/>
          <w:spacing w:val="-4"/>
          <w:sz w:val="16"/>
          <w:szCs w:val="16"/>
        </w:rPr>
        <w:footnoteRef/>
      </w:r>
      <w:r w:rsidRPr="00102C59">
        <w:rPr>
          <w:rFonts w:ascii="Verdana" w:hAnsi="Verdana" w:cs="Verdana"/>
          <w:spacing w:val="-4"/>
          <w:sz w:val="16"/>
          <w:szCs w:val="16"/>
          <w:lang w:val="es-ES"/>
        </w:rPr>
        <w:t xml:space="preserve"> </w:t>
      </w:r>
      <w:r w:rsidRPr="00102C59">
        <w:rPr>
          <w:rFonts w:ascii="Verdana" w:hAnsi="Verdana" w:cs="Verdana"/>
          <w:spacing w:val="-4"/>
          <w:sz w:val="16"/>
          <w:szCs w:val="16"/>
          <w:lang w:val="es-ES"/>
        </w:rPr>
        <w:tab/>
        <w:t>Reglamento de la Corte Interamericana de Derechos Humanos sobre el Funcionamiento del Fondo de Asistencia Legal de Víctimas, aprobado por el Tribunal el 4 de febrero de 2010, artículo</w:t>
      </w:r>
      <w:r>
        <w:rPr>
          <w:rFonts w:ascii="Verdana" w:hAnsi="Verdana" w:cs="Verdana"/>
          <w:spacing w:val="-4"/>
          <w:sz w:val="16"/>
          <w:szCs w:val="16"/>
          <w:lang w:val="es-ES"/>
        </w:rPr>
        <w:t>s</w:t>
      </w:r>
      <w:r w:rsidRPr="00102C59">
        <w:rPr>
          <w:rFonts w:ascii="Verdana" w:hAnsi="Verdana" w:cs="Verdana"/>
          <w:spacing w:val="-4"/>
          <w:sz w:val="16"/>
          <w:szCs w:val="16"/>
          <w:lang w:val="es-ES"/>
        </w:rPr>
        <w:t xml:space="preserve"> 2</w:t>
      </w:r>
      <w:r>
        <w:rPr>
          <w:rFonts w:ascii="Verdana" w:hAnsi="Verdana" w:cs="Verdana"/>
          <w:spacing w:val="-4"/>
          <w:sz w:val="16"/>
          <w:szCs w:val="16"/>
          <w:lang w:val="es-ES"/>
        </w:rPr>
        <w:t xml:space="preserve"> y 3</w:t>
      </w:r>
      <w:r w:rsidRPr="00102C59">
        <w:rPr>
          <w:rFonts w:ascii="Verdana" w:hAnsi="Verdana" w:cs="Verdana"/>
          <w:spacing w:val="-4"/>
          <w:sz w:val="16"/>
          <w:szCs w:val="16"/>
          <w:lang w:val="es-ES"/>
        </w:rPr>
        <w:t>.</w:t>
      </w:r>
    </w:p>
  </w:footnote>
  <w:footnote w:id="3">
    <w:p w:rsidR="00114388" w:rsidRPr="00102C59" w:rsidRDefault="00114388" w:rsidP="00114388">
      <w:pPr>
        <w:pStyle w:val="Textonotapie"/>
        <w:jc w:val="both"/>
        <w:rPr>
          <w:rFonts w:ascii="Verdana" w:hAnsi="Verdana"/>
          <w:sz w:val="16"/>
          <w:szCs w:val="16"/>
          <w:lang w:val="es-CR"/>
        </w:rPr>
      </w:pPr>
      <w:r w:rsidRPr="00102C59">
        <w:rPr>
          <w:rStyle w:val="Refdenotaalpie"/>
          <w:rFonts w:ascii="Verdana" w:hAnsi="Verdana"/>
          <w:sz w:val="16"/>
          <w:szCs w:val="16"/>
        </w:rPr>
        <w:footnoteRef/>
      </w:r>
      <w:r w:rsidRPr="00102C59">
        <w:rPr>
          <w:rFonts w:ascii="Verdana" w:hAnsi="Verdana"/>
          <w:sz w:val="16"/>
          <w:szCs w:val="16"/>
        </w:rPr>
        <w:t xml:space="preserve"> </w:t>
      </w:r>
      <w:r w:rsidRPr="00102C59">
        <w:rPr>
          <w:rFonts w:ascii="Verdana" w:hAnsi="Verdana"/>
          <w:sz w:val="16"/>
          <w:szCs w:val="16"/>
          <w:lang w:val="es-CR"/>
        </w:rPr>
        <w:tab/>
      </w:r>
      <w:r w:rsidRPr="00102C59">
        <w:rPr>
          <w:rFonts w:ascii="Verdana" w:hAnsi="Verdana"/>
          <w:spacing w:val="-2"/>
          <w:sz w:val="16"/>
          <w:szCs w:val="16"/>
          <w:lang w:val="es-CR"/>
        </w:rPr>
        <w:t xml:space="preserve">Declaración jurada de la señora </w:t>
      </w:r>
      <w:r w:rsidRPr="00102C59">
        <w:rPr>
          <w:rFonts w:ascii="Verdana" w:hAnsi="Verdana" w:cs="Verdana"/>
          <w:spacing w:val="-2"/>
          <w:sz w:val="16"/>
          <w:szCs w:val="16"/>
          <w:lang w:val="es-ES"/>
        </w:rPr>
        <w:t xml:space="preserve">Carolina Loayza Tamayo </w:t>
      </w:r>
      <w:r w:rsidRPr="00102C59">
        <w:rPr>
          <w:rFonts w:ascii="Verdana" w:hAnsi="Verdana"/>
          <w:sz w:val="16"/>
          <w:szCs w:val="16"/>
          <w:lang w:val="es-CR"/>
        </w:rPr>
        <w:t xml:space="preserve"> (expediente de prueba, folio 13811)</w:t>
      </w:r>
      <w:r w:rsidRPr="00102C59">
        <w:rPr>
          <w:rFonts w:ascii="Verdana" w:hAnsi="Verdana" w:cs="Verdana"/>
          <w:spacing w:val="-2"/>
          <w:sz w:val="16"/>
          <w:szCs w:val="16"/>
          <w:lang w:val="es-ES"/>
        </w:rPr>
        <w:t>.</w:t>
      </w:r>
    </w:p>
  </w:footnote>
  <w:footnote w:id="4">
    <w:p w:rsidR="00114388" w:rsidRPr="008D2B15" w:rsidRDefault="00114388" w:rsidP="00114388">
      <w:pPr>
        <w:pStyle w:val="Textonotapie"/>
        <w:jc w:val="both"/>
        <w:rPr>
          <w:lang w:val="es-CR"/>
        </w:rPr>
      </w:pPr>
      <w:r w:rsidRPr="008D2B15">
        <w:rPr>
          <w:rStyle w:val="Refdenotaalpie"/>
          <w:rFonts w:ascii="Verdana" w:hAnsi="Verdana"/>
          <w:sz w:val="16"/>
          <w:szCs w:val="16"/>
        </w:rPr>
        <w:footnoteRef/>
      </w:r>
      <w:r w:rsidRPr="008D2B15">
        <w:rPr>
          <w:rFonts w:ascii="Verdana" w:hAnsi="Verdana"/>
          <w:sz w:val="16"/>
          <w:szCs w:val="16"/>
        </w:rPr>
        <w:t xml:space="preserve"> </w:t>
      </w:r>
      <w:r>
        <w:rPr>
          <w:rFonts w:ascii="Verdana" w:hAnsi="Verdana"/>
          <w:sz w:val="16"/>
          <w:szCs w:val="16"/>
          <w:lang w:val="es-CR"/>
        </w:rPr>
        <w:tab/>
      </w:r>
      <w:r w:rsidRPr="008D2B15">
        <w:rPr>
          <w:rFonts w:ascii="Verdana" w:hAnsi="Verdana"/>
          <w:i/>
          <w:sz w:val="16"/>
          <w:szCs w:val="16"/>
          <w:lang w:val="es-CR"/>
        </w:rPr>
        <w:t>Cfr.</w:t>
      </w:r>
      <w:r w:rsidRPr="008D2B15">
        <w:rPr>
          <w:rFonts w:ascii="Verdana" w:hAnsi="Verdana"/>
          <w:sz w:val="16"/>
          <w:szCs w:val="16"/>
          <w:lang w:val="es-CR"/>
        </w:rPr>
        <w:t xml:space="preserve"> </w:t>
      </w:r>
      <w:r w:rsidRPr="008D2B15">
        <w:rPr>
          <w:rFonts w:ascii="Verdana" w:hAnsi="Verdana"/>
          <w:sz w:val="16"/>
          <w:szCs w:val="16"/>
        </w:rPr>
        <w:t xml:space="preserve">Resolución del Presidente de la Corte Interamericana de Derechos Humanos. </w:t>
      </w:r>
      <w:r w:rsidRPr="008D2B15">
        <w:rPr>
          <w:rFonts w:ascii="Verdana" w:hAnsi="Verdana"/>
          <w:i/>
          <w:sz w:val="16"/>
          <w:szCs w:val="16"/>
        </w:rPr>
        <w:t>Caso Torres y otros Vs. Argentina</w:t>
      </w:r>
      <w:r w:rsidRPr="008D2B15">
        <w:rPr>
          <w:rFonts w:ascii="Verdana" w:hAnsi="Verdana"/>
          <w:sz w:val="16"/>
          <w:szCs w:val="16"/>
        </w:rPr>
        <w:t>. Fondo de Asistencia Legal de Víctimas de 14 de abril de 2011</w:t>
      </w:r>
      <w:r>
        <w:rPr>
          <w:rFonts w:ascii="Verdana" w:hAnsi="Verdana"/>
          <w:sz w:val="16"/>
          <w:szCs w:val="16"/>
          <w:lang w:val="es-PR"/>
        </w:rPr>
        <w:t>,  punto resolutivo 1</w:t>
      </w:r>
      <w:r w:rsidRPr="008D2B15">
        <w:rPr>
          <w:rFonts w:ascii="Verdana" w:hAnsi="Verdana"/>
          <w:sz w:val="16"/>
          <w:szCs w:val="16"/>
          <w:lang w:val="es-CR"/>
        </w:rPr>
        <w:t xml:space="preserve">; Resolución del Presidente en ejercicio de la Corte Interamericana de Derechos Humanos. </w:t>
      </w:r>
      <w:r w:rsidRPr="008D2B15">
        <w:rPr>
          <w:rFonts w:ascii="Verdana" w:hAnsi="Verdana"/>
          <w:i/>
          <w:sz w:val="16"/>
          <w:szCs w:val="16"/>
          <w:lang w:val="es-CR"/>
        </w:rPr>
        <w:t>Caso J. Vs. Perú</w:t>
      </w:r>
      <w:r w:rsidRPr="008D2B15">
        <w:rPr>
          <w:rFonts w:ascii="Verdana" w:hAnsi="Verdana"/>
          <w:sz w:val="16"/>
          <w:szCs w:val="16"/>
          <w:lang w:val="es-CR"/>
        </w:rPr>
        <w:t>. Fondo de Asistencia Legal de Víctimas de 24 de octubre de 2012</w:t>
      </w:r>
      <w:r>
        <w:rPr>
          <w:rFonts w:ascii="Verdana" w:hAnsi="Verdana"/>
          <w:sz w:val="16"/>
          <w:szCs w:val="16"/>
          <w:lang w:val="es-PR"/>
        </w:rPr>
        <w:t>,  punto resolutivo 1</w:t>
      </w:r>
      <w:r w:rsidRPr="008D2B15">
        <w:rPr>
          <w:rFonts w:ascii="Verdana" w:hAnsi="Verdana"/>
          <w:sz w:val="16"/>
          <w:szCs w:val="16"/>
          <w:lang w:val="es-CR"/>
        </w:rPr>
        <w:t xml:space="preserve">; Resolución del Presidente de la Corte Interamericana de Derechos Humanos. </w:t>
      </w:r>
      <w:r w:rsidRPr="00383A9E">
        <w:rPr>
          <w:rFonts w:ascii="Verdana" w:hAnsi="Verdana"/>
          <w:i/>
          <w:sz w:val="16"/>
          <w:szCs w:val="16"/>
          <w:lang w:val="es-CR"/>
        </w:rPr>
        <w:t>Caso Comunidad Garífuna</w:t>
      </w:r>
      <w:r>
        <w:rPr>
          <w:rFonts w:ascii="Verdana" w:hAnsi="Verdana"/>
          <w:i/>
          <w:sz w:val="16"/>
          <w:szCs w:val="16"/>
          <w:lang w:val="es-CR"/>
        </w:rPr>
        <w:t xml:space="preserve"> Triunfo de la Cruz</w:t>
      </w:r>
      <w:r w:rsidRPr="00383A9E">
        <w:rPr>
          <w:rFonts w:ascii="Verdana" w:hAnsi="Verdana"/>
          <w:i/>
          <w:sz w:val="16"/>
          <w:szCs w:val="16"/>
          <w:lang w:val="es-CR"/>
        </w:rPr>
        <w:t xml:space="preserve"> y sus miembros Vs. Honduras</w:t>
      </w:r>
      <w:r w:rsidRPr="008D2B15">
        <w:rPr>
          <w:rFonts w:ascii="Verdana" w:hAnsi="Verdana"/>
          <w:sz w:val="16"/>
          <w:szCs w:val="16"/>
          <w:lang w:val="es-CR"/>
        </w:rPr>
        <w:t>. Fondo de Asistencia Legal de Víctimas de 18 de diciembre de 2013</w:t>
      </w:r>
      <w:r>
        <w:rPr>
          <w:rFonts w:ascii="Verdana" w:hAnsi="Verdana"/>
          <w:sz w:val="16"/>
          <w:szCs w:val="16"/>
          <w:lang w:val="es-PR"/>
        </w:rPr>
        <w:t>,  punto resolutivo 1</w:t>
      </w:r>
      <w:r w:rsidRPr="008D2B15">
        <w:rPr>
          <w:rFonts w:ascii="Verdana" w:hAnsi="Verdana"/>
          <w:sz w:val="16"/>
          <w:szCs w:val="16"/>
          <w:lang w:val="es-CR"/>
        </w:rPr>
        <w:t xml:space="preserve">; Resolución del Presidente de la Corte Interamericana de Derechos Humanos. </w:t>
      </w:r>
      <w:r w:rsidRPr="000E37CA">
        <w:rPr>
          <w:rFonts w:ascii="Verdana" w:hAnsi="Verdana"/>
          <w:i/>
          <w:sz w:val="16"/>
          <w:szCs w:val="16"/>
          <w:lang w:val="es-CR"/>
        </w:rPr>
        <w:t>Caso Comunidad Garífuna Punta Piedra y sus miembros Vs. Honduras</w:t>
      </w:r>
      <w:r w:rsidRPr="008D2B15">
        <w:rPr>
          <w:rFonts w:ascii="Verdana" w:hAnsi="Verdana"/>
          <w:sz w:val="16"/>
          <w:szCs w:val="16"/>
          <w:lang w:val="es-CR"/>
        </w:rPr>
        <w:t>. Fondo de Asistencia Legal de Víctimas de 30 de mayo de 2014</w:t>
      </w:r>
      <w:r>
        <w:rPr>
          <w:rFonts w:ascii="Verdana" w:hAnsi="Verdana"/>
          <w:sz w:val="16"/>
          <w:szCs w:val="16"/>
          <w:lang w:val="es-PR"/>
        </w:rPr>
        <w:t>,  punto resolutivo 1</w:t>
      </w:r>
      <w:r w:rsidRPr="008D2B15">
        <w:rPr>
          <w:rFonts w:ascii="Verdana" w:hAnsi="Verdana"/>
          <w:sz w:val="16"/>
          <w:szCs w:val="16"/>
          <w:lang w:val="es-CR"/>
        </w:rPr>
        <w:t xml:space="preserve">; Resolución del Presidente de la Corte Interamericana de Derechos Humanos. </w:t>
      </w:r>
      <w:r w:rsidRPr="00741FDE">
        <w:rPr>
          <w:rFonts w:ascii="Verdana" w:hAnsi="Verdana"/>
          <w:i/>
          <w:sz w:val="16"/>
          <w:szCs w:val="16"/>
          <w:lang w:val="es-CR"/>
        </w:rPr>
        <w:t xml:space="preserve">Caso Canales </w:t>
      </w:r>
      <w:proofErr w:type="spellStart"/>
      <w:r w:rsidRPr="00741FDE">
        <w:rPr>
          <w:rFonts w:ascii="Verdana" w:hAnsi="Verdana"/>
          <w:i/>
          <w:sz w:val="16"/>
          <w:szCs w:val="16"/>
          <w:lang w:val="es-CR"/>
        </w:rPr>
        <w:t>Huapaya</w:t>
      </w:r>
      <w:proofErr w:type="spellEnd"/>
      <w:r w:rsidRPr="00741FDE">
        <w:rPr>
          <w:rFonts w:ascii="Verdana" w:hAnsi="Verdana"/>
          <w:i/>
          <w:sz w:val="16"/>
          <w:szCs w:val="16"/>
          <w:lang w:val="es-CR"/>
        </w:rPr>
        <w:t xml:space="preserve"> y otros Vs. Perú</w:t>
      </w:r>
      <w:r w:rsidRPr="008D2B15">
        <w:rPr>
          <w:rFonts w:ascii="Verdana" w:hAnsi="Verdana"/>
          <w:sz w:val="16"/>
          <w:szCs w:val="16"/>
          <w:lang w:val="es-CR"/>
        </w:rPr>
        <w:t>. Fondo de Asistencia Legal de Víctimas de 29 de agosto de 2014</w:t>
      </w:r>
      <w:r>
        <w:rPr>
          <w:rFonts w:ascii="Verdana" w:hAnsi="Verdana"/>
          <w:sz w:val="16"/>
          <w:szCs w:val="16"/>
          <w:lang w:val="es-PR"/>
        </w:rPr>
        <w:t>,  punto resolutivo 2</w:t>
      </w:r>
      <w:r w:rsidRPr="008D2B15">
        <w:rPr>
          <w:rFonts w:ascii="Verdana" w:hAnsi="Verdana"/>
          <w:sz w:val="16"/>
          <w:szCs w:val="16"/>
          <w:lang w:val="es-CR"/>
        </w:rPr>
        <w:t xml:space="preserve">; Resolución del Presidente de la Corte Interamericana de Derechos Humanos. </w:t>
      </w:r>
      <w:r w:rsidRPr="00741FDE">
        <w:rPr>
          <w:rFonts w:ascii="Verdana" w:hAnsi="Verdana"/>
          <w:i/>
          <w:sz w:val="16"/>
          <w:szCs w:val="16"/>
          <w:lang w:val="es-CR"/>
        </w:rPr>
        <w:t xml:space="preserve">Caso Gonzáles </w:t>
      </w:r>
      <w:proofErr w:type="spellStart"/>
      <w:r w:rsidRPr="00741FDE">
        <w:rPr>
          <w:rFonts w:ascii="Verdana" w:hAnsi="Verdana"/>
          <w:i/>
          <w:sz w:val="16"/>
          <w:szCs w:val="16"/>
          <w:lang w:val="es-CR"/>
        </w:rPr>
        <w:t>Lluy</w:t>
      </w:r>
      <w:proofErr w:type="spellEnd"/>
      <w:r w:rsidRPr="00741FDE">
        <w:rPr>
          <w:rFonts w:ascii="Verdana" w:hAnsi="Verdana"/>
          <w:i/>
          <w:sz w:val="16"/>
          <w:szCs w:val="16"/>
          <w:lang w:val="es-CR"/>
        </w:rPr>
        <w:t xml:space="preserve"> (TGGL) y familia Vs. Ecuador</w:t>
      </w:r>
      <w:r w:rsidRPr="008D2B15">
        <w:rPr>
          <w:rFonts w:ascii="Verdana" w:hAnsi="Verdana"/>
          <w:sz w:val="16"/>
          <w:szCs w:val="16"/>
          <w:lang w:val="es-CR"/>
        </w:rPr>
        <w:t>. Fondo de Asistencia Legal de Víctimas de 07 de octubre de 2014</w:t>
      </w:r>
      <w:r>
        <w:rPr>
          <w:rFonts w:ascii="Verdana" w:hAnsi="Verdana"/>
          <w:sz w:val="16"/>
          <w:szCs w:val="16"/>
          <w:lang w:val="es-PR"/>
        </w:rPr>
        <w:t>,  punto resolutivo 1</w:t>
      </w:r>
      <w:r w:rsidRPr="008D2B15">
        <w:rPr>
          <w:rFonts w:ascii="Verdana" w:hAnsi="Verdana"/>
          <w:sz w:val="16"/>
          <w:szCs w:val="16"/>
          <w:lang w:val="es-CR"/>
        </w:rPr>
        <w:t xml:space="preserve">; Resolución del Presidente de la Corte Interamericana de Derechos Humanos. </w:t>
      </w:r>
      <w:r w:rsidRPr="00741FDE">
        <w:rPr>
          <w:rFonts w:ascii="Verdana" w:hAnsi="Verdana"/>
          <w:i/>
          <w:sz w:val="16"/>
          <w:szCs w:val="16"/>
          <w:lang w:val="es-CR"/>
        </w:rPr>
        <w:t>Caso Familia Barrios Vs. Venezuela</w:t>
      </w:r>
      <w:r w:rsidRPr="008D2B15">
        <w:rPr>
          <w:rFonts w:ascii="Verdana" w:hAnsi="Verdana"/>
          <w:sz w:val="16"/>
          <w:szCs w:val="16"/>
          <w:lang w:val="es-CR"/>
        </w:rPr>
        <w:t>. Fondo de A</w:t>
      </w:r>
      <w:r>
        <w:rPr>
          <w:rFonts w:ascii="Verdana" w:hAnsi="Verdana"/>
          <w:sz w:val="16"/>
          <w:szCs w:val="16"/>
          <w:lang w:val="es-CR"/>
        </w:rPr>
        <w:t xml:space="preserve">sistencia Legal de Víctimas de </w:t>
      </w:r>
      <w:r w:rsidRPr="008D2B15">
        <w:rPr>
          <w:rFonts w:ascii="Verdana" w:hAnsi="Verdana"/>
          <w:sz w:val="16"/>
          <w:szCs w:val="16"/>
          <w:lang w:val="es-CR"/>
        </w:rPr>
        <w:t>9 de enero de 2015</w:t>
      </w:r>
      <w:r>
        <w:rPr>
          <w:rFonts w:ascii="Verdana" w:hAnsi="Verdana"/>
          <w:sz w:val="16"/>
          <w:szCs w:val="16"/>
          <w:lang w:val="es-PR"/>
        </w:rPr>
        <w:t>,  punto resolutivo 1</w:t>
      </w:r>
      <w:r w:rsidRPr="008D2B15">
        <w:rPr>
          <w:rFonts w:ascii="Verdana" w:hAnsi="Verdana"/>
          <w:sz w:val="16"/>
          <w:szCs w:val="16"/>
          <w:lang w:val="es-CR"/>
        </w:rPr>
        <w:t xml:space="preserve">; Resolución del Presidente en Ejercicio para el Presente Caso de la Corte Interamericana de Derechos </w:t>
      </w:r>
      <w:r w:rsidRPr="00C441C3">
        <w:rPr>
          <w:rFonts w:ascii="Verdana" w:hAnsi="Verdana"/>
          <w:sz w:val="16"/>
          <w:szCs w:val="16"/>
          <w:lang w:val="es-CR"/>
        </w:rPr>
        <w:t xml:space="preserve">Humanos. </w:t>
      </w:r>
      <w:r w:rsidRPr="00C441C3">
        <w:rPr>
          <w:rFonts w:ascii="Verdana" w:hAnsi="Verdana"/>
          <w:i/>
          <w:sz w:val="16"/>
          <w:szCs w:val="16"/>
          <w:lang w:val="es-CR"/>
        </w:rPr>
        <w:t xml:space="preserve">Caso </w:t>
      </w:r>
      <w:proofErr w:type="spellStart"/>
      <w:r w:rsidRPr="00C441C3">
        <w:rPr>
          <w:rFonts w:ascii="Verdana" w:hAnsi="Verdana"/>
          <w:i/>
          <w:sz w:val="16"/>
          <w:szCs w:val="16"/>
          <w:lang w:val="es-CR"/>
        </w:rPr>
        <w:t>Yarce</w:t>
      </w:r>
      <w:proofErr w:type="spellEnd"/>
      <w:r w:rsidRPr="00C441C3">
        <w:rPr>
          <w:rFonts w:ascii="Verdana" w:hAnsi="Verdana"/>
          <w:i/>
          <w:sz w:val="16"/>
          <w:szCs w:val="16"/>
          <w:lang w:val="es-CR"/>
        </w:rPr>
        <w:t xml:space="preserve"> y otras Vs. Colombia</w:t>
      </w:r>
      <w:r w:rsidRPr="00C441C3">
        <w:rPr>
          <w:rFonts w:ascii="Verdana" w:hAnsi="Verdana"/>
          <w:sz w:val="16"/>
          <w:szCs w:val="16"/>
          <w:lang w:val="es-CR"/>
        </w:rPr>
        <w:t>. Fondo de Asistencia Legal de Víctimas de 3 de febrero de 2015</w:t>
      </w:r>
      <w:r>
        <w:rPr>
          <w:rFonts w:ascii="Verdana" w:hAnsi="Verdana"/>
          <w:sz w:val="16"/>
          <w:szCs w:val="16"/>
          <w:lang w:val="es-PR"/>
        </w:rPr>
        <w:t>,  punto resolutivo 1</w:t>
      </w:r>
      <w:r w:rsidRPr="00C441C3">
        <w:rPr>
          <w:rFonts w:ascii="Verdana" w:hAnsi="Verdana"/>
          <w:sz w:val="16"/>
          <w:szCs w:val="16"/>
          <w:lang w:val="es-CR"/>
        </w:rPr>
        <w:t>, y Resolución del Presidente</w:t>
      </w:r>
      <w:r w:rsidRPr="008D2B15">
        <w:rPr>
          <w:rFonts w:ascii="Verdana" w:hAnsi="Verdana"/>
          <w:sz w:val="16"/>
          <w:szCs w:val="16"/>
          <w:lang w:val="es-CR"/>
        </w:rPr>
        <w:t xml:space="preserve"> de la Corte Interamericana de Derechos Humanos. </w:t>
      </w:r>
      <w:r w:rsidRPr="00741FDE">
        <w:rPr>
          <w:rFonts w:ascii="Verdana" w:hAnsi="Verdana"/>
          <w:i/>
          <w:sz w:val="16"/>
          <w:szCs w:val="16"/>
          <w:lang w:val="es-CR"/>
        </w:rPr>
        <w:t>Caso Flor Freire Vs. Ecuador</w:t>
      </w:r>
      <w:r w:rsidRPr="008D2B15">
        <w:rPr>
          <w:rFonts w:ascii="Verdana" w:hAnsi="Verdana"/>
          <w:sz w:val="16"/>
          <w:szCs w:val="16"/>
          <w:lang w:val="es-CR"/>
        </w:rPr>
        <w:t>. Fondo de A</w:t>
      </w:r>
      <w:r>
        <w:rPr>
          <w:rFonts w:ascii="Verdana" w:hAnsi="Verdana"/>
          <w:sz w:val="16"/>
          <w:szCs w:val="16"/>
          <w:lang w:val="es-CR"/>
        </w:rPr>
        <w:t xml:space="preserve">sistencia Legal de Víctimas de </w:t>
      </w:r>
      <w:r w:rsidRPr="008D2B15">
        <w:rPr>
          <w:rFonts w:ascii="Verdana" w:hAnsi="Verdana"/>
          <w:sz w:val="16"/>
          <w:szCs w:val="16"/>
          <w:lang w:val="es-CR"/>
        </w:rPr>
        <w:t>3 de julio de 2015</w:t>
      </w:r>
      <w:r>
        <w:rPr>
          <w:rFonts w:ascii="Verdana" w:hAnsi="Verdana"/>
          <w:sz w:val="16"/>
          <w:szCs w:val="16"/>
          <w:lang w:val="es-PR"/>
        </w:rPr>
        <w:t>,  punto resolutivo 1</w:t>
      </w:r>
      <w:r w:rsidRPr="008D2B15">
        <w:rPr>
          <w:rFonts w:ascii="Verdana" w:hAnsi="Verdana"/>
          <w:sz w:val="16"/>
          <w:szCs w:val="16"/>
          <w:lang w:val="es-C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BDF" w:rsidRPr="00774767" w:rsidRDefault="00021BDF">
    <w:pPr>
      <w:pStyle w:val="Encabezado"/>
      <w:jc w:val="center"/>
      <w:rPr>
        <w:rFonts w:ascii="Verdana" w:hAnsi="Verdana"/>
        <w:sz w:val="20"/>
        <w:szCs w:val="20"/>
      </w:rPr>
    </w:pPr>
    <w:r w:rsidRPr="00774767">
      <w:rPr>
        <w:rFonts w:ascii="Verdana" w:hAnsi="Verdana"/>
        <w:sz w:val="20"/>
        <w:szCs w:val="20"/>
      </w:rPr>
      <w:fldChar w:fldCharType="begin"/>
    </w:r>
    <w:r w:rsidRPr="00774767">
      <w:rPr>
        <w:rFonts w:ascii="Verdana" w:hAnsi="Verdana"/>
        <w:sz w:val="20"/>
        <w:szCs w:val="20"/>
      </w:rPr>
      <w:instrText xml:space="preserve"> PAGE   \* MERGEFORMAT </w:instrText>
    </w:r>
    <w:r w:rsidRPr="00774767">
      <w:rPr>
        <w:rFonts w:ascii="Verdana" w:hAnsi="Verdana"/>
        <w:sz w:val="20"/>
        <w:szCs w:val="20"/>
      </w:rPr>
      <w:fldChar w:fldCharType="separate"/>
    </w:r>
    <w:r w:rsidR="002A135F">
      <w:rPr>
        <w:rFonts w:ascii="Verdana" w:hAnsi="Verdana"/>
        <w:noProof/>
        <w:sz w:val="20"/>
        <w:szCs w:val="20"/>
      </w:rPr>
      <w:t>4</w:t>
    </w:r>
    <w:r w:rsidRPr="00774767">
      <w:rPr>
        <w:rFonts w:ascii="Verdana" w:hAnsi="Verdana"/>
        <w:sz w:val="20"/>
        <w:szCs w:val="20"/>
      </w:rPr>
      <w:fldChar w:fldCharType="end"/>
    </w:r>
  </w:p>
  <w:p w:rsidR="00021BDF" w:rsidRDefault="00021BD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AFD" w:rsidRDefault="00725A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452C"/>
    <w:multiLevelType w:val="hybridMultilevel"/>
    <w:tmpl w:val="F378C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03E5FEE"/>
    <w:multiLevelType w:val="hybridMultilevel"/>
    <w:tmpl w:val="08A01E9A"/>
    <w:lvl w:ilvl="0" w:tplc="C6CC37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A38404A"/>
    <w:multiLevelType w:val="hybridMultilevel"/>
    <w:tmpl w:val="CAB04AD4"/>
    <w:lvl w:ilvl="0" w:tplc="06E03C86">
      <w:start w:val="1"/>
      <w:numFmt w:val="decimal"/>
      <w:lvlText w:val="%1."/>
      <w:lvlJc w:val="left"/>
      <w:pPr>
        <w:tabs>
          <w:tab w:val="num" w:pos="7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nsid w:val="3F3A4915"/>
    <w:multiLevelType w:val="hybridMultilevel"/>
    <w:tmpl w:val="25965F6E"/>
    <w:lvl w:ilvl="0" w:tplc="5428172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2E57EB5"/>
    <w:multiLevelType w:val="hybridMultilevel"/>
    <w:tmpl w:val="B75E3D0C"/>
    <w:lvl w:ilvl="0" w:tplc="C93A3D9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3A47789"/>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552537A9"/>
    <w:multiLevelType w:val="hybridMultilevel"/>
    <w:tmpl w:val="63424362"/>
    <w:lvl w:ilvl="0" w:tplc="82D48D10">
      <w:start w:val="1"/>
      <w:numFmt w:val="decimal"/>
      <w:lvlText w:val="%1."/>
      <w:lvlJc w:val="right"/>
      <w:pPr>
        <w:ind w:left="360" w:hanging="360"/>
      </w:pPr>
      <w:rPr>
        <w:rFonts w:ascii="Verdana" w:hAnsi="Verdana" w:cs="Verdana" w:hint="default"/>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8">
    <w:nsid w:val="56026572"/>
    <w:multiLevelType w:val="hybridMultilevel"/>
    <w:tmpl w:val="32540896"/>
    <w:lvl w:ilvl="0" w:tplc="EA4C0EF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A2C2230"/>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5C696402"/>
    <w:multiLevelType w:val="hybridMultilevel"/>
    <w:tmpl w:val="C276B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EC27779"/>
    <w:multiLevelType w:val="multilevel"/>
    <w:tmpl w:val="38DA8EF6"/>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lowerLetter"/>
      <w:lvlText w:val="%2)"/>
      <w:lvlJc w:val="left"/>
      <w:pPr>
        <w:tabs>
          <w:tab w:val="num" w:pos="720"/>
        </w:tabs>
        <w:ind w:left="720" w:hanging="360"/>
      </w:pPr>
      <w:rPr>
        <w:rFonts w:ascii="Verdana" w:hAnsi="Verdana" w:cs="Times New Roman" w:hint="default"/>
        <w:b w:val="0"/>
        <w:i/>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63B55012"/>
    <w:multiLevelType w:val="hybridMultilevel"/>
    <w:tmpl w:val="209683D0"/>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789112BA"/>
    <w:multiLevelType w:val="hybridMultilevel"/>
    <w:tmpl w:val="2DD6CD7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7BF53360"/>
    <w:multiLevelType w:val="hybridMultilevel"/>
    <w:tmpl w:val="F8045786"/>
    <w:lvl w:ilvl="0" w:tplc="A278865C">
      <w:start w:val="1"/>
      <w:numFmt w:val="decimal"/>
      <w:lvlText w:val="%1."/>
      <w:lvlJc w:val="left"/>
      <w:pPr>
        <w:ind w:left="720" w:hanging="360"/>
      </w:pPr>
      <w:rPr>
        <w:rFonts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E9152B0"/>
    <w:multiLevelType w:val="hybridMultilevel"/>
    <w:tmpl w:val="C40E0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15"/>
  </w:num>
  <w:num w:numId="3">
    <w:abstractNumId w:val="14"/>
  </w:num>
  <w:num w:numId="4">
    <w:abstractNumId w:val="8"/>
  </w:num>
  <w:num w:numId="5">
    <w:abstractNumId w:val="2"/>
  </w:num>
  <w:num w:numId="6">
    <w:abstractNumId w:val="1"/>
  </w:num>
  <w:num w:numId="7">
    <w:abstractNumId w:val="7"/>
  </w:num>
  <w:num w:numId="8">
    <w:abstractNumId w:val="3"/>
  </w:num>
  <w:num w:numId="9">
    <w:abstractNumId w:val="5"/>
  </w:num>
  <w:num w:numId="10">
    <w:abstractNumId w:val="4"/>
  </w:num>
  <w:num w:numId="11">
    <w:abstractNumId w:val="11"/>
  </w:num>
  <w:num w:numId="12">
    <w:abstractNumId w:val="0"/>
  </w:num>
  <w:num w:numId="13">
    <w:abstractNumId w:val="9"/>
  </w:num>
  <w:num w:numId="14">
    <w:abstractNumId w:val="6"/>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0E3"/>
    <w:rsid w:val="000038C5"/>
    <w:rsid w:val="00007326"/>
    <w:rsid w:val="0000742F"/>
    <w:rsid w:val="00015812"/>
    <w:rsid w:val="00021BDF"/>
    <w:rsid w:val="00021C8D"/>
    <w:rsid w:val="00022B99"/>
    <w:rsid w:val="000236A3"/>
    <w:rsid w:val="0003191C"/>
    <w:rsid w:val="00032076"/>
    <w:rsid w:val="0003316B"/>
    <w:rsid w:val="00033D28"/>
    <w:rsid w:val="00033E64"/>
    <w:rsid w:val="00035C83"/>
    <w:rsid w:val="00036240"/>
    <w:rsid w:val="00037300"/>
    <w:rsid w:val="00037F12"/>
    <w:rsid w:val="00043266"/>
    <w:rsid w:val="00044DF5"/>
    <w:rsid w:val="00046469"/>
    <w:rsid w:val="00046CEC"/>
    <w:rsid w:val="00051715"/>
    <w:rsid w:val="00056901"/>
    <w:rsid w:val="00063674"/>
    <w:rsid w:val="00064F3B"/>
    <w:rsid w:val="00066A4E"/>
    <w:rsid w:val="00067CD0"/>
    <w:rsid w:val="0007110C"/>
    <w:rsid w:val="000733BA"/>
    <w:rsid w:val="00073FD8"/>
    <w:rsid w:val="00074F51"/>
    <w:rsid w:val="00075982"/>
    <w:rsid w:val="00076350"/>
    <w:rsid w:val="0007665C"/>
    <w:rsid w:val="00076BD1"/>
    <w:rsid w:val="000777C9"/>
    <w:rsid w:val="000827A7"/>
    <w:rsid w:val="00084EAE"/>
    <w:rsid w:val="0008513C"/>
    <w:rsid w:val="0008769C"/>
    <w:rsid w:val="00090DE3"/>
    <w:rsid w:val="00091713"/>
    <w:rsid w:val="0009535A"/>
    <w:rsid w:val="000969D8"/>
    <w:rsid w:val="000A0F62"/>
    <w:rsid w:val="000A3A14"/>
    <w:rsid w:val="000A7CA2"/>
    <w:rsid w:val="000A7D63"/>
    <w:rsid w:val="000B051A"/>
    <w:rsid w:val="000B0E23"/>
    <w:rsid w:val="000B5774"/>
    <w:rsid w:val="000B7E74"/>
    <w:rsid w:val="000C00F0"/>
    <w:rsid w:val="000C38E2"/>
    <w:rsid w:val="000D0AFF"/>
    <w:rsid w:val="000D1E61"/>
    <w:rsid w:val="000E08B0"/>
    <w:rsid w:val="000E0D18"/>
    <w:rsid w:val="000E37CA"/>
    <w:rsid w:val="000E492A"/>
    <w:rsid w:val="000F4213"/>
    <w:rsid w:val="000F50CF"/>
    <w:rsid w:val="00100BBA"/>
    <w:rsid w:val="00101B9B"/>
    <w:rsid w:val="00102736"/>
    <w:rsid w:val="00102C59"/>
    <w:rsid w:val="00105DA4"/>
    <w:rsid w:val="00112303"/>
    <w:rsid w:val="00114388"/>
    <w:rsid w:val="001210B5"/>
    <w:rsid w:val="00121CFE"/>
    <w:rsid w:val="00122DD2"/>
    <w:rsid w:val="001232EE"/>
    <w:rsid w:val="00123E4E"/>
    <w:rsid w:val="00125662"/>
    <w:rsid w:val="00130193"/>
    <w:rsid w:val="001307A5"/>
    <w:rsid w:val="00131F28"/>
    <w:rsid w:val="00134E77"/>
    <w:rsid w:val="00134FEE"/>
    <w:rsid w:val="001357D2"/>
    <w:rsid w:val="00135CE9"/>
    <w:rsid w:val="001427E7"/>
    <w:rsid w:val="00142BC7"/>
    <w:rsid w:val="001479DD"/>
    <w:rsid w:val="00153DF6"/>
    <w:rsid w:val="0015782C"/>
    <w:rsid w:val="0016048E"/>
    <w:rsid w:val="001604F0"/>
    <w:rsid w:val="00161991"/>
    <w:rsid w:val="001656C8"/>
    <w:rsid w:val="0017358A"/>
    <w:rsid w:val="0017360C"/>
    <w:rsid w:val="00173710"/>
    <w:rsid w:val="00173DA5"/>
    <w:rsid w:val="00177640"/>
    <w:rsid w:val="001776A8"/>
    <w:rsid w:val="001817CB"/>
    <w:rsid w:val="00182B77"/>
    <w:rsid w:val="00182E27"/>
    <w:rsid w:val="001830EB"/>
    <w:rsid w:val="00185100"/>
    <w:rsid w:val="00186DA4"/>
    <w:rsid w:val="00192571"/>
    <w:rsid w:val="0019478A"/>
    <w:rsid w:val="00194A70"/>
    <w:rsid w:val="001959B2"/>
    <w:rsid w:val="001A0AFA"/>
    <w:rsid w:val="001A1B7B"/>
    <w:rsid w:val="001A5A3C"/>
    <w:rsid w:val="001A7056"/>
    <w:rsid w:val="001B2AC5"/>
    <w:rsid w:val="001B7C51"/>
    <w:rsid w:val="001C026B"/>
    <w:rsid w:val="001C27A0"/>
    <w:rsid w:val="001C2BE5"/>
    <w:rsid w:val="001C3F6C"/>
    <w:rsid w:val="001C4777"/>
    <w:rsid w:val="001C6DB6"/>
    <w:rsid w:val="001C7912"/>
    <w:rsid w:val="001D52DA"/>
    <w:rsid w:val="001D6331"/>
    <w:rsid w:val="001D6BE6"/>
    <w:rsid w:val="001D6F6C"/>
    <w:rsid w:val="001D6FF0"/>
    <w:rsid w:val="001D7D1A"/>
    <w:rsid w:val="001E0E9E"/>
    <w:rsid w:val="001E6AC5"/>
    <w:rsid w:val="001E7C64"/>
    <w:rsid w:val="001F07ED"/>
    <w:rsid w:val="001F17E4"/>
    <w:rsid w:val="001F3AD6"/>
    <w:rsid w:val="001F62E9"/>
    <w:rsid w:val="001F682B"/>
    <w:rsid w:val="001F7ED5"/>
    <w:rsid w:val="00213CC9"/>
    <w:rsid w:val="0021485D"/>
    <w:rsid w:val="002167AE"/>
    <w:rsid w:val="00221850"/>
    <w:rsid w:val="00224326"/>
    <w:rsid w:val="002279B7"/>
    <w:rsid w:val="00231046"/>
    <w:rsid w:val="00233A47"/>
    <w:rsid w:val="00236F75"/>
    <w:rsid w:val="0024044F"/>
    <w:rsid w:val="00244088"/>
    <w:rsid w:val="002479ED"/>
    <w:rsid w:val="002507CE"/>
    <w:rsid w:val="00251356"/>
    <w:rsid w:val="00256922"/>
    <w:rsid w:val="00257514"/>
    <w:rsid w:val="0026663E"/>
    <w:rsid w:val="002712C8"/>
    <w:rsid w:val="0027322A"/>
    <w:rsid w:val="0027693D"/>
    <w:rsid w:val="00280179"/>
    <w:rsid w:val="00283AA4"/>
    <w:rsid w:val="002844D2"/>
    <w:rsid w:val="00285ED7"/>
    <w:rsid w:val="0029016A"/>
    <w:rsid w:val="00293216"/>
    <w:rsid w:val="002A135F"/>
    <w:rsid w:val="002B06AD"/>
    <w:rsid w:val="002B101F"/>
    <w:rsid w:val="002B2729"/>
    <w:rsid w:val="002B2EA2"/>
    <w:rsid w:val="002B4D47"/>
    <w:rsid w:val="002B50F7"/>
    <w:rsid w:val="002B66B6"/>
    <w:rsid w:val="002D109A"/>
    <w:rsid w:val="002D1A09"/>
    <w:rsid w:val="002D4A23"/>
    <w:rsid w:val="002D6EBD"/>
    <w:rsid w:val="002E1ACE"/>
    <w:rsid w:val="002E4689"/>
    <w:rsid w:val="002F00BC"/>
    <w:rsid w:val="002F0AB2"/>
    <w:rsid w:val="002F5C73"/>
    <w:rsid w:val="00302774"/>
    <w:rsid w:val="0031128D"/>
    <w:rsid w:val="00315E48"/>
    <w:rsid w:val="00316DD7"/>
    <w:rsid w:val="00324D31"/>
    <w:rsid w:val="00327A21"/>
    <w:rsid w:val="003414F6"/>
    <w:rsid w:val="0035575D"/>
    <w:rsid w:val="003565F3"/>
    <w:rsid w:val="0036009F"/>
    <w:rsid w:val="00364821"/>
    <w:rsid w:val="00367563"/>
    <w:rsid w:val="003715C5"/>
    <w:rsid w:val="003731B6"/>
    <w:rsid w:val="0037763A"/>
    <w:rsid w:val="00383A9E"/>
    <w:rsid w:val="00385821"/>
    <w:rsid w:val="00387400"/>
    <w:rsid w:val="00390E1C"/>
    <w:rsid w:val="00394348"/>
    <w:rsid w:val="003A0D47"/>
    <w:rsid w:val="003A5B88"/>
    <w:rsid w:val="003A786C"/>
    <w:rsid w:val="003B0528"/>
    <w:rsid w:val="003B5D89"/>
    <w:rsid w:val="003C513C"/>
    <w:rsid w:val="003C6836"/>
    <w:rsid w:val="003C6CD3"/>
    <w:rsid w:val="003C7812"/>
    <w:rsid w:val="003C7EB8"/>
    <w:rsid w:val="003D286F"/>
    <w:rsid w:val="003D51CF"/>
    <w:rsid w:val="003D6F0E"/>
    <w:rsid w:val="003E0993"/>
    <w:rsid w:val="003E10C9"/>
    <w:rsid w:val="003E1573"/>
    <w:rsid w:val="003E2A84"/>
    <w:rsid w:val="003E458C"/>
    <w:rsid w:val="003E5C6A"/>
    <w:rsid w:val="003F324D"/>
    <w:rsid w:val="0040011D"/>
    <w:rsid w:val="0040021E"/>
    <w:rsid w:val="004014F6"/>
    <w:rsid w:val="0040175F"/>
    <w:rsid w:val="00402FCC"/>
    <w:rsid w:val="00403678"/>
    <w:rsid w:val="00404AB5"/>
    <w:rsid w:val="00404F8A"/>
    <w:rsid w:val="00410DFE"/>
    <w:rsid w:val="004115D6"/>
    <w:rsid w:val="004127DA"/>
    <w:rsid w:val="004153F7"/>
    <w:rsid w:val="0041646E"/>
    <w:rsid w:val="00424CDD"/>
    <w:rsid w:val="00426843"/>
    <w:rsid w:val="0042797F"/>
    <w:rsid w:val="00430608"/>
    <w:rsid w:val="0043071D"/>
    <w:rsid w:val="00431F3B"/>
    <w:rsid w:val="0043362D"/>
    <w:rsid w:val="00435626"/>
    <w:rsid w:val="00435B95"/>
    <w:rsid w:val="00436204"/>
    <w:rsid w:val="00440F3F"/>
    <w:rsid w:val="00441D59"/>
    <w:rsid w:val="004424C6"/>
    <w:rsid w:val="00445D7C"/>
    <w:rsid w:val="00446010"/>
    <w:rsid w:val="00447986"/>
    <w:rsid w:val="0045418F"/>
    <w:rsid w:val="004575B9"/>
    <w:rsid w:val="0046091C"/>
    <w:rsid w:val="00463DF6"/>
    <w:rsid w:val="00466355"/>
    <w:rsid w:val="00466F5C"/>
    <w:rsid w:val="00471D38"/>
    <w:rsid w:val="00472F6E"/>
    <w:rsid w:val="00473F5A"/>
    <w:rsid w:val="0047423A"/>
    <w:rsid w:val="004776C4"/>
    <w:rsid w:val="00477E29"/>
    <w:rsid w:val="004817EA"/>
    <w:rsid w:val="00481A5B"/>
    <w:rsid w:val="00483D8B"/>
    <w:rsid w:val="00487B0C"/>
    <w:rsid w:val="004919E8"/>
    <w:rsid w:val="00492D61"/>
    <w:rsid w:val="004948F8"/>
    <w:rsid w:val="00496374"/>
    <w:rsid w:val="004B068C"/>
    <w:rsid w:val="004B15CE"/>
    <w:rsid w:val="004B1D7F"/>
    <w:rsid w:val="004B4B87"/>
    <w:rsid w:val="004B6DE5"/>
    <w:rsid w:val="004B78E7"/>
    <w:rsid w:val="004B7DCB"/>
    <w:rsid w:val="004C0A95"/>
    <w:rsid w:val="004C6727"/>
    <w:rsid w:val="004D20D3"/>
    <w:rsid w:val="004D55E0"/>
    <w:rsid w:val="004E1752"/>
    <w:rsid w:val="004E2C03"/>
    <w:rsid w:val="004E4779"/>
    <w:rsid w:val="004E4F7A"/>
    <w:rsid w:val="004E50F6"/>
    <w:rsid w:val="004F53A3"/>
    <w:rsid w:val="004F5C62"/>
    <w:rsid w:val="0050278D"/>
    <w:rsid w:val="00507001"/>
    <w:rsid w:val="0051569F"/>
    <w:rsid w:val="00515A7F"/>
    <w:rsid w:val="00526B4E"/>
    <w:rsid w:val="00533C25"/>
    <w:rsid w:val="0054257D"/>
    <w:rsid w:val="0054382B"/>
    <w:rsid w:val="005451BA"/>
    <w:rsid w:val="005501CD"/>
    <w:rsid w:val="005510D2"/>
    <w:rsid w:val="00551F3B"/>
    <w:rsid w:val="00553E5E"/>
    <w:rsid w:val="00560B23"/>
    <w:rsid w:val="00565F23"/>
    <w:rsid w:val="005701F7"/>
    <w:rsid w:val="005704E5"/>
    <w:rsid w:val="005752A6"/>
    <w:rsid w:val="00587FDA"/>
    <w:rsid w:val="005921C8"/>
    <w:rsid w:val="00594628"/>
    <w:rsid w:val="00596A6F"/>
    <w:rsid w:val="005A393C"/>
    <w:rsid w:val="005A76FA"/>
    <w:rsid w:val="005B119B"/>
    <w:rsid w:val="005B2AE3"/>
    <w:rsid w:val="005B5F8C"/>
    <w:rsid w:val="005B743F"/>
    <w:rsid w:val="005C160A"/>
    <w:rsid w:val="005C3375"/>
    <w:rsid w:val="005C3DBD"/>
    <w:rsid w:val="005C7883"/>
    <w:rsid w:val="005D4AED"/>
    <w:rsid w:val="005D51F7"/>
    <w:rsid w:val="005E089B"/>
    <w:rsid w:val="005E1CF8"/>
    <w:rsid w:val="005E54B1"/>
    <w:rsid w:val="005F1BFF"/>
    <w:rsid w:val="005F4286"/>
    <w:rsid w:val="005F458A"/>
    <w:rsid w:val="005F74FE"/>
    <w:rsid w:val="005F7A60"/>
    <w:rsid w:val="005F7D6D"/>
    <w:rsid w:val="00607ED9"/>
    <w:rsid w:val="00613E5C"/>
    <w:rsid w:val="00624371"/>
    <w:rsid w:val="006270DD"/>
    <w:rsid w:val="00632D11"/>
    <w:rsid w:val="00632FD6"/>
    <w:rsid w:val="0063480D"/>
    <w:rsid w:val="00641E81"/>
    <w:rsid w:val="00644968"/>
    <w:rsid w:val="00647F4F"/>
    <w:rsid w:val="006509B6"/>
    <w:rsid w:val="00654FC6"/>
    <w:rsid w:val="006607FC"/>
    <w:rsid w:val="0066145A"/>
    <w:rsid w:val="00666CA2"/>
    <w:rsid w:val="00670DF1"/>
    <w:rsid w:val="00671FD8"/>
    <w:rsid w:val="00680216"/>
    <w:rsid w:val="00683AA5"/>
    <w:rsid w:val="00683CCA"/>
    <w:rsid w:val="00683F3E"/>
    <w:rsid w:val="006874CB"/>
    <w:rsid w:val="00690E14"/>
    <w:rsid w:val="00691A30"/>
    <w:rsid w:val="00692F47"/>
    <w:rsid w:val="006967B2"/>
    <w:rsid w:val="006A1D3C"/>
    <w:rsid w:val="006A6D63"/>
    <w:rsid w:val="006B0FB0"/>
    <w:rsid w:val="006C2B9B"/>
    <w:rsid w:val="006C47A9"/>
    <w:rsid w:val="006D0B9C"/>
    <w:rsid w:val="006D43E1"/>
    <w:rsid w:val="006E25CA"/>
    <w:rsid w:val="006E6CAC"/>
    <w:rsid w:val="006F6609"/>
    <w:rsid w:val="006F795D"/>
    <w:rsid w:val="006F7E42"/>
    <w:rsid w:val="00705611"/>
    <w:rsid w:val="00705E9B"/>
    <w:rsid w:val="00712301"/>
    <w:rsid w:val="007161A0"/>
    <w:rsid w:val="00721230"/>
    <w:rsid w:val="00725AFD"/>
    <w:rsid w:val="00731B72"/>
    <w:rsid w:val="00732275"/>
    <w:rsid w:val="0073307F"/>
    <w:rsid w:val="00734030"/>
    <w:rsid w:val="007359CB"/>
    <w:rsid w:val="00740447"/>
    <w:rsid w:val="00741A45"/>
    <w:rsid w:val="00741FDE"/>
    <w:rsid w:val="007437DE"/>
    <w:rsid w:val="0074536E"/>
    <w:rsid w:val="00746FE6"/>
    <w:rsid w:val="00753CF1"/>
    <w:rsid w:val="007549A0"/>
    <w:rsid w:val="00757E33"/>
    <w:rsid w:val="00763590"/>
    <w:rsid w:val="00765FC1"/>
    <w:rsid w:val="00766E15"/>
    <w:rsid w:val="00774767"/>
    <w:rsid w:val="00780FDC"/>
    <w:rsid w:val="00787DC1"/>
    <w:rsid w:val="00793031"/>
    <w:rsid w:val="00794E27"/>
    <w:rsid w:val="007965C3"/>
    <w:rsid w:val="00796D39"/>
    <w:rsid w:val="007A3C9A"/>
    <w:rsid w:val="007A4398"/>
    <w:rsid w:val="007A4927"/>
    <w:rsid w:val="007A5B68"/>
    <w:rsid w:val="007A6855"/>
    <w:rsid w:val="007A7DEB"/>
    <w:rsid w:val="007B0E1C"/>
    <w:rsid w:val="007B4818"/>
    <w:rsid w:val="007C44D3"/>
    <w:rsid w:val="007C60C0"/>
    <w:rsid w:val="007C688B"/>
    <w:rsid w:val="007D19DF"/>
    <w:rsid w:val="007E028D"/>
    <w:rsid w:val="007E1DFA"/>
    <w:rsid w:val="007E25F9"/>
    <w:rsid w:val="007E713F"/>
    <w:rsid w:val="007E7B12"/>
    <w:rsid w:val="007E7EE5"/>
    <w:rsid w:val="007F074D"/>
    <w:rsid w:val="007F29F5"/>
    <w:rsid w:val="00800A17"/>
    <w:rsid w:val="00801757"/>
    <w:rsid w:val="0080316E"/>
    <w:rsid w:val="00805370"/>
    <w:rsid w:val="008101CC"/>
    <w:rsid w:val="008235E8"/>
    <w:rsid w:val="00823C26"/>
    <w:rsid w:val="00824262"/>
    <w:rsid w:val="00825731"/>
    <w:rsid w:val="008404D2"/>
    <w:rsid w:val="00840AD7"/>
    <w:rsid w:val="008458F6"/>
    <w:rsid w:val="00851B46"/>
    <w:rsid w:val="00851F31"/>
    <w:rsid w:val="008602B1"/>
    <w:rsid w:val="0086087F"/>
    <w:rsid w:val="008664A2"/>
    <w:rsid w:val="00866BFB"/>
    <w:rsid w:val="00867829"/>
    <w:rsid w:val="00867985"/>
    <w:rsid w:val="00872EB7"/>
    <w:rsid w:val="0087335E"/>
    <w:rsid w:val="00877660"/>
    <w:rsid w:val="00877A29"/>
    <w:rsid w:val="0088054C"/>
    <w:rsid w:val="00882E6A"/>
    <w:rsid w:val="008846BE"/>
    <w:rsid w:val="00885C71"/>
    <w:rsid w:val="00895C57"/>
    <w:rsid w:val="0089666A"/>
    <w:rsid w:val="00896B59"/>
    <w:rsid w:val="0089703C"/>
    <w:rsid w:val="008A0086"/>
    <w:rsid w:val="008A39B4"/>
    <w:rsid w:val="008A572C"/>
    <w:rsid w:val="008B1BE4"/>
    <w:rsid w:val="008B1DDA"/>
    <w:rsid w:val="008B3084"/>
    <w:rsid w:val="008B4222"/>
    <w:rsid w:val="008C1375"/>
    <w:rsid w:val="008C3F64"/>
    <w:rsid w:val="008C7D9A"/>
    <w:rsid w:val="008D24CE"/>
    <w:rsid w:val="008D2B15"/>
    <w:rsid w:val="008D34AF"/>
    <w:rsid w:val="008D3A94"/>
    <w:rsid w:val="008D3C4F"/>
    <w:rsid w:val="008D5273"/>
    <w:rsid w:val="008E2E4A"/>
    <w:rsid w:val="008F0EAF"/>
    <w:rsid w:val="008F21AF"/>
    <w:rsid w:val="008F2BC1"/>
    <w:rsid w:val="008F3B7B"/>
    <w:rsid w:val="008F45D2"/>
    <w:rsid w:val="008F6E98"/>
    <w:rsid w:val="0090221C"/>
    <w:rsid w:val="00910FAE"/>
    <w:rsid w:val="0091662D"/>
    <w:rsid w:val="00916ED0"/>
    <w:rsid w:val="0092526A"/>
    <w:rsid w:val="00935C7A"/>
    <w:rsid w:val="00937192"/>
    <w:rsid w:val="00940FA2"/>
    <w:rsid w:val="009430A0"/>
    <w:rsid w:val="009459CD"/>
    <w:rsid w:val="009467EB"/>
    <w:rsid w:val="0095078D"/>
    <w:rsid w:val="00950FDE"/>
    <w:rsid w:val="00951315"/>
    <w:rsid w:val="00955A89"/>
    <w:rsid w:val="009612FD"/>
    <w:rsid w:val="00963647"/>
    <w:rsid w:val="00964002"/>
    <w:rsid w:val="00971A00"/>
    <w:rsid w:val="00971E65"/>
    <w:rsid w:val="009731FE"/>
    <w:rsid w:val="00973316"/>
    <w:rsid w:val="00975C12"/>
    <w:rsid w:val="00976D86"/>
    <w:rsid w:val="00976F8C"/>
    <w:rsid w:val="00982C6E"/>
    <w:rsid w:val="00983880"/>
    <w:rsid w:val="009876F7"/>
    <w:rsid w:val="009937B4"/>
    <w:rsid w:val="00993AB4"/>
    <w:rsid w:val="00995BAD"/>
    <w:rsid w:val="00996B7A"/>
    <w:rsid w:val="009A0223"/>
    <w:rsid w:val="009A1C5E"/>
    <w:rsid w:val="009A720F"/>
    <w:rsid w:val="009B4D57"/>
    <w:rsid w:val="009B52E1"/>
    <w:rsid w:val="009B59AA"/>
    <w:rsid w:val="009C079C"/>
    <w:rsid w:val="009C4604"/>
    <w:rsid w:val="009C5CFE"/>
    <w:rsid w:val="009C6734"/>
    <w:rsid w:val="009D002F"/>
    <w:rsid w:val="009D082A"/>
    <w:rsid w:val="009D0E7C"/>
    <w:rsid w:val="009D6417"/>
    <w:rsid w:val="009D7174"/>
    <w:rsid w:val="009E0E76"/>
    <w:rsid w:val="009E1166"/>
    <w:rsid w:val="009E286F"/>
    <w:rsid w:val="009E2BF0"/>
    <w:rsid w:val="009E4F23"/>
    <w:rsid w:val="009E514D"/>
    <w:rsid w:val="009E7CBD"/>
    <w:rsid w:val="009F4A98"/>
    <w:rsid w:val="009F7FEF"/>
    <w:rsid w:val="00A01CCB"/>
    <w:rsid w:val="00A136C8"/>
    <w:rsid w:val="00A14ED1"/>
    <w:rsid w:val="00A20F38"/>
    <w:rsid w:val="00A21FB4"/>
    <w:rsid w:val="00A22043"/>
    <w:rsid w:val="00A22058"/>
    <w:rsid w:val="00A256D6"/>
    <w:rsid w:val="00A313A3"/>
    <w:rsid w:val="00A3184B"/>
    <w:rsid w:val="00A32728"/>
    <w:rsid w:val="00A40AD3"/>
    <w:rsid w:val="00A44B06"/>
    <w:rsid w:val="00A460AD"/>
    <w:rsid w:val="00A56B43"/>
    <w:rsid w:val="00A60554"/>
    <w:rsid w:val="00A62658"/>
    <w:rsid w:val="00A638F3"/>
    <w:rsid w:val="00A6390F"/>
    <w:rsid w:val="00A64D9D"/>
    <w:rsid w:val="00A71076"/>
    <w:rsid w:val="00A7417C"/>
    <w:rsid w:val="00A74185"/>
    <w:rsid w:val="00A76CA1"/>
    <w:rsid w:val="00A771F6"/>
    <w:rsid w:val="00A77B9E"/>
    <w:rsid w:val="00A84223"/>
    <w:rsid w:val="00A858FE"/>
    <w:rsid w:val="00A95A81"/>
    <w:rsid w:val="00A95F09"/>
    <w:rsid w:val="00AA0651"/>
    <w:rsid w:val="00AA1DCD"/>
    <w:rsid w:val="00AA3837"/>
    <w:rsid w:val="00AA6A9D"/>
    <w:rsid w:val="00AA6AFC"/>
    <w:rsid w:val="00AB1CD9"/>
    <w:rsid w:val="00AB3576"/>
    <w:rsid w:val="00AB36F8"/>
    <w:rsid w:val="00AB77B3"/>
    <w:rsid w:val="00AC2BE0"/>
    <w:rsid w:val="00AD0873"/>
    <w:rsid w:val="00AD2A1F"/>
    <w:rsid w:val="00AD628B"/>
    <w:rsid w:val="00AE176C"/>
    <w:rsid w:val="00AE26DC"/>
    <w:rsid w:val="00AE2F56"/>
    <w:rsid w:val="00AF11EA"/>
    <w:rsid w:val="00AF2E4E"/>
    <w:rsid w:val="00B00FA6"/>
    <w:rsid w:val="00B041C0"/>
    <w:rsid w:val="00B113CC"/>
    <w:rsid w:val="00B116BC"/>
    <w:rsid w:val="00B12A7D"/>
    <w:rsid w:val="00B14BEC"/>
    <w:rsid w:val="00B17E8E"/>
    <w:rsid w:val="00B21EE6"/>
    <w:rsid w:val="00B22E5D"/>
    <w:rsid w:val="00B2503F"/>
    <w:rsid w:val="00B25303"/>
    <w:rsid w:val="00B308CE"/>
    <w:rsid w:val="00B320C6"/>
    <w:rsid w:val="00B368AC"/>
    <w:rsid w:val="00B37045"/>
    <w:rsid w:val="00B4066D"/>
    <w:rsid w:val="00B45561"/>
    <w:rsid w:val="00B47A35"/>
    <w:rsid w:val="00B51813"/>
    <w:rsid w:val="00B54414"/>
    <w:rsid w:val="00B57C4B"/>
    <w:rsid w:val="00B60716"/>
    <w:rsid w:val="00B6119A"/>
    <w:rsid w:val="00B63E86"/>
    <w:rsid w:val="00B6581A"/>
    <w:rsid w:val="00B66542"/>
    <w:rsid w:val="00B6725D"/>
    <w:rsid w:val="00B71335"/>
    <w:rsid w:val="00B77CAC"/>
    <w:rsid w:val="00B80116"/>
    <w:rsid w:val="00B801B9"/>
    <w:rsid w:val="00B860CA"/>
    <w:rsid w:val="00B91F9B"/>
    <w:rsid w:val="00B94640"/>
    <w:rsid w:val="00B9491C"/>
    <w:rsid w:val="00B95AA6"/>
    <w:rsid w:val="00B9756B"/>
    <w:rsid w:val="00BB1DAA"/>
    <w:rsid w:val="00BB247A"/>
    <w:rsid w:val="00BB27C9"/>
    <w:rsid w:val="00BB78FF"/>
    <w:rsid w:val="00BB7B46"/>
    <w:rsid w:val="00BC11E0"/>
    <w:rsid w:val="00BC4B8E"/>
    <w:rsid w:val="00BC5811"/>
    <w:rsid w:val="00BD44DA"/>
    <w:rsid w:val="00BD58BF"/>
    <w:rsid w:val="00BE15FD"/>
    <w:rsid w:val="00BE382B"/>
    <w:rsid w:val="00BE3EF9"/>
    <w:rsid w:val="00BE51DB"/>
    <w:rsid w:val="00BE6144"/>
    <w:rsid w:val="00BE711B"/>
    <w:rsid w:val="00BF03E4"/>
    <w:rsid w:val="00BF0E44"/>
    <w:rsid w:val="00BF6489"/>
    <w:rsid w:val="00C009AB"/>
    <w:rsid w:val="00C01800"/>
    <w:rsid w:val="00C02063"/>
    <w:rsid w:val="00C123FF"/>
    <w:rsid w:val="00C1458F"/>
    <w:rsid w:val="00C15683"/>
    <w:rsid w:val="00C15E1B"/>
    <w:rsid w:val="00C205A4"/>
    <w:rsid w:val="00C30496"/>
    <w:rsid w:val="00C3073D"/>
    <w:rsid w:val="00C32524"/>
    <w:rsid w:val="00C36872"/>
    <w:rsid w:val="00C406F7"/>
    <w:rsid w:val="00C41B02"/>
    <w:rsid w:val="00C41C17"/>
    <w:rsid w:val="00C441C3"/>
    <w:rsid w:val="00C50718"/>
    <w:rsid w:val="00C5222E"/>
    <w:rsid w:val="00C52673"/>
    <w:rsid w:val="00C531A4"/>
    <w:rsid w:val="00C53274"/>
    <w:rsid w:val="00C545B6"/>
    <w:rsid w:val="00C55B91"/>
    <w:rsid w:val="00C561CF"/>
    <w:rsid w:val="00C61DA1"/>
    <w:rsid w:val="00C67C8C"/>
    <w:rsid w:val="00C74830"/>
    <w:rsid w:val="00C81258"/>
    <w:rsid w:val="00C858D7"/>
    <w:rsid w:val="00C8720D"/>
    <w:rsid w:val="00C9151C"/>
    <w:rsid w:val="00C9312F"/>
    <w:rsid w:val="00C951A7"/>
    <w:rsid w:val="00C96649"/>
    <w:rsid w:val="00CA087E"/>
    <w:rsid w:val="00CA3F6B"/>
    <w:rsid w:val="00CA48E1"/>
    <w:rsid w:val="00CA6AB4"/>
    <w:rsid w:val="00CA758B"/>
    <w:rsid w:val="00CB1A40"/>
    <w:rsid w:val="00CB2AB2"/>
    <w:rsid w:val="00CB3B03"/>
    <w:rsid w:val="00CC4510"/>
    <w:rsid w:val="00CC53F2"/>
    <w:rsid w:val="00CC5773"/>
    <w:rsid w:val="00CD011E"/>
    <w:rsid w:val="00CD0301"/>
    <w:rsid w:val="00CD4559"/>
    <w:rsid w:val="00CE0CAC"/>
    <w:rsid w:val="00CE12BA"/>
    <w:rsid w:val="00CE1562"/>
    <w:rsid w:val="00CE2975"/>
    <w:rsid w:val="00CE2B5A"/>
    <w:rsid w:val="00CE409B"/>
    <w:rsid w:val="00CF12B0"/>
    <w:rsid w:val="00CF283B"/>
    <w:rsid w:val="00CF338B"/>
    <w:rsid w:val="00CF4DD9"/>
    <w:rsid w:val="00CF61C6"/>
    <w:rsid w:val="00CF629D"/>
    <w:rsid w:val="00D001CC"/>
    <w:rsid w:val="00D00B63"/>
    <w:rsid w:val="00D04A94"/>
    <w:rsid w:val="00D0501C"/>
    <w:rsid w:val="00D065F9"/>
    <w:rsid w:val="00D13A03"/>
    <w:rsid w:val="00D1418A"/>
    <w:rsid w:val="00D160E3"/>
    <w:rsid w:val="00D167D5"/>
    <w:rsid w:val="00D25384"/>
    <w:rsid w:val="00D30C80"/>
    <w:rsid w:val="00D32ADF"/>
    <w:rsid w:val="00D451A5"/>
    <w:rsid w:val="00D45A81"/>
    <w:rsid w:val="00D471EE"/>
    <w:rsid w:val="00D472F6"/>
    <w:rsid w:val="00D5215F"/>
    <w:rsid w:val="00D5765F"/>
    <w:rsid w:val="00D60AD9"/>
    <w:rsid w:val="00D6221A"/>
    <w:rsid w:val="00D63D5F"/>
    <w:rsid w:val="00D64591"/>
    <w:rsid w:val="00D66CF9"/>
    <w:rsid w:val="00D67281"/>
    <w:rsid w:val="00D70089"/>
    <w:rsid w:val="00D72725"/>
    <w:rsid w:val="00D747EE"/>
    <w:rsid w:val="00D76EB9"/>
    <w:rsid w:val="00D85523"/>
    <w:rsid w:val="00D8623E"/>
    <w:rsid w:val="00D93790"/>
    <w:rsid w:val="00D94A4D"/>
    <w:rsid w:val="00D96695"/>
    <w:rsid w:val="00D96E96"/>
    <w:rsid w:val="00DA034C"/>
    <w:rsid w:val="00DA1EA0"/>
    <w:rsid w:val="00DA7A1F"/>
    <w:rsid w:val="00DB1FE3"/>
    <w:rsid w:val="00DB5D79"/>
    <w:rsid w:val="00DC1B8E"/>
    <w:rsid w:val="00DC34E7"/>
    <w:rsid w:val="00DC4078"/>
    <w:rsid w:val="00DD0EA6"/>
    <w:rsid w:val="00DD32CA"/>
    <w:rsid w:val="00DD6BC9"/>
    <w:rsid w:val="00DE23ED"/>
    <w:rsid w:val="00DE3530"/>
    <w:rsid w:val="00DE4BC4"/>
    <w:rsid w:val="00DE4CAD"/>
    <w:rsid w:val="00DF16B3"/>
    <w:rsid w:val="00E07F4A"/>
    <w:rsid w:val="00E1001C"/>
    <w:rsid w:val="00E10414"/>
    <w:rsid w:val="00E108C9"/>
    <w:rsid w:val="00E1559E"/>
    <w:rsid w:val="00E16F8D"/>
    <w:rsid w:val="00E20187"/>
    <w:rsid w:val="00E23446"/>
    <w:rsid w:val="00E33BA0"/>
    <w:rsid w:val="00E35E16"/>
    <w:rsid w:val="00E379DB"/>
    <w:rsid w:val="00E401FF"/>
    <w:rsid w:val="00E403FF"/>
    <w:rsid w:val="00E43AFC"/>
    <w:rsid w:val="00E50E5D"/>
    <w:rsid w:val="00E54C79"/>
    <w:rsid w:val="00E57C12"/>
    <w:rsid w:val="00E57DD5"/>
    <w:rsid w:val="00E607DD"/>
    <w:rsid w:val="00E62DC7"/>
    <w:rsid w:val="00E66854"/>
    <w:rsid w:val="00E706F5"/>
    <w:rsid w:val="00E74BDA"/>
    <w:rsid w:val="00E74FF8"/>
    <w:rsid w:val="00E80D1E"/>
    <w:rsid w:val="00E84E4B"/>
    <w:rsid w:val="00E9448B"/>
    <w:rsid w:val="00E96FA8"/>
    <w:rsid w:val="00EA2E1F"/>
    <w:rsid w:val="00EA37E2"/>
    <w:rsid w:val="00EC3518"/>
    <w:rsid w:val="00EC6F34"/>
    <w:rsid w:val="00ED3B42"/>
    <w:rsid w:val="00ED3C70"/>
    <w:rsid w:val="00ED403F"/>
    <w:rsid w:val="00ED6FCA"/>
    <w:rsid w:val="00EE2C0F"/>
    <w:rsid w:val="00EE39EB"/>
    <w:rsid w:val="00EF39B8"/>
    <w:rsid w:val="00EF3FCA"/>
    <w:rsid w:val="00F0309C"/>
    <w:rsid w:val="00F03643"/>
    <w:rsid w:val="00F25006"/>
    <w:rsid w:val="00F25068"/>
    <w:rsid w:val="00F25F5E"/>
    <w:rsid w:val="00F2739F"/>
    <w:rsid w:val="00F30DB3"/>
    <w:rsid w:val="00F317D1"/>
    <w:rsid w:val="00F32330"/>
    <w:rsid w:val="00F334B8"/>
    <w:rsid w:val="00F35CCB"/>
    <w:rsid w:val="00F45204"/>
    <w:rsid w:val="00F469E1"/>
    <w:rsid w:val="00F47512"/>
    <w:rsid w:val="00F477D3"/>
    <w:rsid w:val="00F50AE4"/>
    <w:rsid w:val="00F53380"/>
    <w:rsid w:val="00F53873"/>
    <w:rsid w:val="00F55DCD"/>
    <w:rsid w:val="00F5695D"/>
    <w:rsid w:val="00F574D6"/>
    <w:rsid w:val="00F604D8"/>
    <w:rsid w:val="00F63A23"/>
    <w:rsid w:val="00F6595E"/>
    <w:rsid w:val="00F65D29"/>
    <w:rsid w:val="00F715F4"/>
    <w:rsid w:val="00F7332D"/>
    <w:rsid w:val="00F740EA"/>
    <w:rsid w:val="00F74814"/>
    <w:rsid w:val="00F7665B"/>
    <w:rsid w:val="00F8159E"/>
    <w:rsid w:val="00F84993"/>
    <w:rsid w:val="00F85321"/>
    <w:rsid w:val="00F92380"/>
    <w:rsid w:val="00F93378"/>
    <w:rsid w:val="00F96024"/>
    <w:rsid w:val="00F97CB8"/>
    <w:rsid w:val="00FA08BF"/>
    <w:rsid w:val="00FA0943"/>
    <w:rsid w:val="00FA4F64"/>
    <w:rsid w:val="00FB27EF"/>
    <w:rsid w:val="00FB61B2"/>
    <w:rsid w:val="00FC15D7"/>
    <w:rsid w:val="00FC3E51"/>
    <w:rsid w:val="00FC742C"/>
    <w:rsid w:val="00FD393F"/>
    <w:rsid w:val="00FD50B8"/>
    <w:rsid w:val="00FD6196"/>
    <w:rsid w:val="00FE188B"/>
    <w:rsid w:val="00FE1D79"/>
    <w:rsid w:val="00FE371E"/>
    <w:rsid w:val="00FE4C60"/>
    <w:rsid w:val="00FE4E41"/>
    <w:rsid w:val="00FE625E"/>
    <w:rsid w:val="00FE75C0"/>
    <w:rsid w:val="00FF0CA7"/>
    <w:rsid w:val="00FF1ACE"/>
    <w:rsid w:val="00FF4346"/>
    <w:rsid w:val="00FF57D9"/>
    <w:rsid w:val="00FF6F7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uiPriority="0"/>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0D"/>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List Paragraph1,Párrafo de lista1"/>
    <w:basedOn w:val="Normal"/>
    <w:uiPriority w:val="34"/>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CA6AB4"/>
    <w:rPr>
      <w:vertAlign w:val="superscript"/>
    </w:rPr>
  </w:style>
  <w:style w:type="paragraph" w:styleId="Encabezado">
    <w:name w:val="header"/>
    <w:basedOn w:val="Normal"/>
    <w:link w:val="EncabezadoCar"/>
    <w:rsid w:val="00CA6AB4"/>
    <w:pPr>
      <w:tabs>
        <w:tab w:val="center" w:pos="4680"/>
        <w:tab w:val="right" w:pos="9360"/>
      </w:tabs>
      <w:spacing w:after="0" w:line="240" w:lineRule="auto"/>
    </w:pPr>
  </w:style>
  <w:style w:type="character" w:customStyle="1" w:styleId="EncabezadoCar">
    <w:name w:val="Encabezado Car"/>
    <w:basedOn w:val="Fuentedeprrafopredeter"/>
    <w:link w:val="Encabezado"/>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lang w:val="x-none" w:eastAsia="x-none"/>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lang w:val="x-none" w:eastAsia="x-none"/>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eastAsia="x-none"/>
    </w:rPr>
  </w:style>
  <w:style w:type="character" w:customStyle="1" w:styleId="TextoindependienteCar">
    <w:name w:val="Texto independiente Car"/>
    <w:link w:val="Textoindependiente"/>
    <w:rsid w:val="004D20D3"/>
    <w:rPr>
      <w:rFonts w:ascii="Times" w:eastAsia="Times" w:hAnsi="Times"/>
      <w:sz w:val="24"/>
      <w:szCs w:val="20"/>
      <w:lang w:val="es-ES_tradnl"/>
    </w:rPr>
  </w:style>
  <w:style w:type="character" w:styleId="Nmerodelnea">
    <w:name w:val="line number"/>
    <w:uiPriority w:val="99"/>
    <w:semiHidden/>
    <w:unhideWhenUsed/>
    <w:rsid w:val="00007326"/>
  </w:style>
  <w:style w:type="character" w:styleId="Hipervnculo">
    <w:name w:val="Hyperlink"/>
    <w:basedOn w:val="Fuentedeprrafopredeter"/>
    <w:uiPriority w:val="99"/>
    <w:unhideWhenUsed/>
    <w:rsid w:val="001F07ED"/>
    <w:rPr>
      <w:color w:val="0000FF" w:themeColor="hyperlink"/>
      <w:u w:val="single"/>
    </w:rPr>
  </w:style>
  <w:style w:type="character" w:styleId="Textoennegrita">
    <w:name w:val="Strong"/>
    <w:basedOn w:val="Fuentedeprrafopredeter"/>
    <w:uiPriority w:val="22"/>
    <w:qFormat/>
    <w:locked/>
    <w:rsid w:val="008D2B15"/>
    <w:rPr>
      <w:b/>
      <w:bCs/>
    </w:rPr>
  </w:style>
  <w:style w:type="paragraph" w:styleId="NormalWeb">
    <w:name w:val="Normal (Web)"/>
    <w:basedOn w:val="Normal"/>
    <w:uiPriority w:val="99"/>
    <w:semiHidden/>
    <w:unhideWhenUsed/>
    <w:rsid w:val="0007665C"/>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customStyle="1" w:styleId="apple-converted-space">
    <w:name w:val="apple-converted-space"/>
    <w:basedOn w:val="Fuentedeprrafopredeter"/>
    <w:rsid w:val="000766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header" w:uiPriority="0"/>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0D"/>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List Paragraph1,Párrafo de lista1"/>
    <w:basedOn w:val="Normal"/>
    <w:uiPriority w:val="34"/>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CA6AB4"/>
    <w:rPr>
      <w:vertAlign w:val="superscript"/>
    </w:rPr>
  </w:style>
  <w:style w:type="paragraph" w:styleId="Encabezado">
    <w:name w:val="header"/>
    <w:basedOn w:val="Normal"/>
    <w:link w:val="EncabezadoCar"/>
    <w:rsid w:val="00CA6AB4"/>
    <w:pPr>
      <w:tabs>
        <w:tab w:val="center" w:pos="4680"/>
        <w:tab w:val="right" w:pos="9360"/>
      </w:tabs>
      <w:spacing w:after="0" w:line="240" w:lineRule="auto"/>
    </w:pPr>
  </w:style>
  <w:style w:type="character" w:customStyle="1" w:styleId="EncabezadoCar">
    <w:name w:val="Encabezado Car"/>
    <w:basedOn w:val="Fuentedeprrafopredeter"/>
    <w:link w:val="Encabezado"/>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lang w:val="x-none" w:eastAsia="x-none"/>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lang w:val="x-none" w:eastAsia="x-none"/>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eastAsia="x-none"/>
    </w:rPr>
  </w:style>
  <w:style w:type="character" w:customStyle="1" w:styleId="TextoindependienteCar">
    <w:name w:val="Texto independiente Car"/>
    <w:link w:val="Textoindependiente"/>
    <w:rsid w:val="004D20D3"/>
    <w:rPr>
      <w:rFonts w:ascii="Times" w:eastAsia="Times" w:hAnsi="Times"/>
      <w:sz w:val="24"/>
      <w:szCs w:val="20"/>
      <w:lang w:val="es-ES_tradnl"/>
    </w:rPr>
  </w:style>
  <w:style w:type="character" w:styleId="Nmerodelnea">
    <w:name w:val="line number"/>
    <w:uiPriority w:val="99"/>
    <w:semiHidden/>
    <w:unhideWhenUsed/>
    <w:rsid w:val="00007326"/>
  </w:style>
  <w:style w:type="character" w:styleId="Hipervnculo">
    <w:name w:val="Hyperlink"/>
    <w:basedOn w:val="Fuentedeprrafopredeter"/>
    <w:uiPriority w:val="99"/>
    <w:unhideWhenUsed/>
    <w:rsid w:val="001F07ED"/>
    <w:rPr>
      <w:color w:val="0000FF" w:themeColor="hyperlink"/>
      <w:u w:val="single"/>
    </w:rPr>
  </w:style>
  <w:style w:type="character" w:styleId="Textoennegrita">
    <w:name w:val="Strong"/>
    <w:basedOn w:val="Fuentedeprrafopredeter"/>
    <w:uiPriority w:val="22"/>
    <w:qFormat/>
    <w:locked/>
    <w:rsid w:val="008D2B15"/>
    <w:rPr>
      <w:b/>
      <w:bCs/>
    </w:rPr>
  </w:style>
  <w:style w:type="paragraph" w:styleId="NormalWeb">
    <w:name w:val="Normal (Web)"/>
    <w:basedOn w:val="Normal"/>
    <w:uiPriority w:val="99"/>
    <w:semiHidden/>
    <w:unhideWhenUsed/>
    <w:rsid w:val="0007665C"/>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customStyle="1" w:styleId="apple-converted-space">
    <w:name w:val="apple-converted-space"/>
    <w:basedOn w:val="Fuentedeprrafopredeter"/>
    <w:rsid w:val="00076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055537">
      <w:bodyDiv w:val="1"/>
      <w:marLeft w:val="0"/>
      <w:marRight w:val="0"/>
      <w:marTop w:val="0"/>
      <w:marBottom w:val="0"/>
      <w:divBdr>
        <w:top w:val="none" w:sz="0" w:space="0" w:color="auto"/>
        <w:left w:val="none" w:sz="0" w:space="0" w:color="auto"/>
        <w:bottom w:val="none" w:sz="0" w:space="0" w:color="auto"/>
        <w:right w:val="none" w:sz="0" w:space="0" w:color="auto"/>
      </w:divBdr>
    </w:div>
    <w:div w:id="961770503">
      <w:bodyDiv w:val="1"/>
      <w:marLeft w:val="0"/>
      <w:marRight w:val="0"/>
      <w:marTop w:val="0"/>
      <w:marBottom w:val="0"/>
      <w:divBdr>
        <w:top w:val="none" w:sz="0" w:space="0" w:color="auto"/>
        <w:left w:val="none" w:sz="0" w:space="0" w:color="auto"/>
        <w:bottom w:val="none" w:sz="0" w:space="0" w:color="auto"/>
        <w:right w:val="none" w:sz="0" w:space="0" w:color="auto"/>
      </w:divBdr>
    </w:div>
    <w:div w:id="1321156464">
      <w:bodyDiv w:val="1"/>
      <w:marLeft w:val="0"/>
      <w:marRight w:val="0"/>
      <w:marTop w:val="0"/>
      <w:marBottom w:val="0"/>
      <w:divBdr>
        <w:top w:val="none" w:sz="0" w:space="0" w:color="auto"/>
        <w:left w:val="none" w:sz="0" w:space="0" w:color="auto"/>
        <w:bottom w:val="none" w:sz="0" w:space="0" w:color="auto"/>
        <w:right w:val="none" w:sz="0" w:space="0" w:color="auto"/>
      </w:divBdr>
    </w:div>
    <w:div w:id="1984652871">
      <w:bodyDiv w:val="1"/>
      <w:marLeft w:val="0"/>
      <w:marRight w:val="0"/>
      <w:marTop w:val="0"/>
      <w:marBottom w:val="0"/>
      <w:divBdr>
        <w:top w:val="none" w:sz="0" w:space="0" w:color="auto"/>
        <w:left w:val="none" w:sz="0" w:space="0" w:color="auto"/>
        <w:bottom w:val="none" w:sz="0" w:space="0" w:color="auto"/>
        <w:right w:val="none" w:sz="0" w:space="0" w:color="auto"/>
      </w:divBdr>
    </w:div>
    <w:div w:id="210463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685F5-42DD-4F1B-A223-6408D9D491EE}">
  <ds:schemaRefs>
    <ds:schemaRef ds:uri="http://schemas.microsoft.com/sharepoint/v3/contenttype/forms"/>
  </ds:schemaRefs>
</ds:datastoreItem>
</file>

<file path=customXml/itemProps2.xml><?xml version="1.0" encoding="utf-8"?>
<ds:datastoreItem xmlns:ds="http://schemas.openxmlformats.org/officeDocument/2006/customXml" ds:itemID="{2DFA6320-49DC-4DB2-9D49-10B970948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99B85E0-EA71-4B5C-8FB3-F8DFFCC2BC44}">
  <ds:schemaRefs>
    <ds:schemaRef ds:uri="http://schemas.microsoft.com/office/2006/metadata/properties"/>
  </ds:schemaRefs>
</ds:datastoreItem>
</file>

<file path=customXml/itemProps4.xml><?xml version="1.0" encoding="utf-8"?>
<ds:datastoreItem xmlns:ds="http://schemas.openxmlformats.org/officeDocument/2006/customXml" ds:itemID="{3237C724-0DBE-48DA-976E-FB1A01084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1584</Words>
  <Characters>8717</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CIDH</Company>
  <LinksUpToDate>false</LinksUpToDate>
  <CharactersWithSpaces>10281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4</cp:revision>
  <cp:lastPrinted>2017-03-07T21:38:00Z</cp:lastPrinted>
  <dcterms:created xsi:type="dcterms:W3CDTF">2017-03-07T21:38:00Z</dcterms:created>
  <dcterms:modified xsi:type="dcterms:W3CDTF">2017-03-07T21:38:00Z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