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23" w:rsidRPr="00C367E3" w:rsidRDefault="00BB3223" w:rsidP="007E769C">
      <w:pPr>
        <w:tabs>
          <w:tab w:val="left" w:pos="0"/>
        </w:tabs>
        <w:spacing w:after="0" w:line="240" w:lineRule="auto"/>
        <w:jc w:val="center"/>
        <w:rPr>
          <w:rFonts w:ascii="Verdana" w:hAnsi="Verdana"/>
          <w:b/>
          <w:color w:val="000000"/>
          <w:sz w:val="20"/>
          <w:szCs w:val="20"/>
        </w:rPr>
      </w:pPr>
      <w:bookmarkStart w:id="0" w:name="_GoBack"/>
      <w:bookmarkEnd w:id="0"/>
    </w:p>
    <w:p w:rsidR="00BB3223" w:rsidRPr="00C367E3" w:rsidRDefault="00BB3223" w:rsidP="007E769C">
      <w:pPr>
        <w:tabs>
          <w:tab w:val="left" w:pos="0"/>
        </w:tabs>
        <w:spacing w:after="0" w:line="240" w:lineRule="auto"/>
        <w:jc w:val="center"/>
        <w:rPr>
          <w:rFonts w:ascii="Verdana" w:hAnsi="Verdana"/>
          <w:b/>
          <w:color w:val="000000"/>
          <w:sz w:val="20"/>
          <w:szCs w:val="20"/>
        </w:rPr>
      </w:pPr>
    </w:p>
    <w:p w:rsidR="005A3C79" w:rsidRDefault="005A3C79" w:rsidP="005A3C79">
      <w:pPr>
        <w:spacing w:after="0" w:line="240" w:lineRule="auto"/>
        <w:jc w:val="center"/>
        <w:rPr>
          <w:rFonts w:ascii="Verdana" w:hAnsi="Verdana"/>
          <w:b/>
          <w:sz w:val="20"/>
          <w:szCs w:val="20"/>
          <w:lang w:val="es-CR"/>
        </w:rPr>
      </w:pPr>
      <w:r>
        <w:rPr>
          <w:rFonts w:ascii="Verdana" w:hAnsi="Verdana"/>
          <w:b/>
          <w:sz w:val="20"/>
          <w:szCs w:val="20"/>
          <w:lang w:val="es-CR"/>
        </w:rPr>
        <w:t xml:space="preserve">RESOLUCIÓN DE LA </w:t>
      </w:r>
    </w:p>
    <w:p w:rsidR="005A3C79" w:rsidRDefault="005A3C79" w:rsidP="005A3C79">
      <w:pPr>
        <w:spacing w:after="0" w:line="240" w:lineRule="auto"/>
        <w:jc w:val="center"/>
        <w:rPr>
          <w:rFonts w:ascii="Verdana" w:hAnsi="Verdana"/>
          <w:b/>
          <w:sz w:val="20"/>
          <w:szCs w:val="20"/>
          <w:lang w:val="es-CR"/>
        </w:rPr>
      </w:pPr>
      <w:r>
        <w:rPr>
          <w:rFonts w:ascii="Verdana" w:hAnsi="Verdana"/>
          <w:b/>
          <w:sz w:val="20"/>
          <w:szCs w:val="20"/>
          <w:lang w:val="es-CR"/>
        </w:rPr>
        <w:t>CORTE INTERAMERICANA DE DERECHOS HUMANOS</w:t>
      </w:r>
      <w:r w:rsidR="00D040C8">
        <w:rPr>
          <w:rStyle w:val="Refdenotaalpie"/>
          <w:rFonts w:ascii="Verdana" w:hAnsi="Verdana"/>
          <w:b/>
          <w:smallCaps/>
          <w:sz w:val="20"/>
        </w:rPr>
        <w:footnoteReference w:customMarkFollows="1" w:id="1"/>
        <w:sym w:font="Symbol" w:char="F02A"/>
      </w:r>
    </w:p>
    <w:p w:rsidR="005A3C79" w:rsidRDefault="005A3C79" w:rsidP="005A3C79">
      <w:pPr>
        <w:spacing w:after="0" w:line="240" w:lineRule="auto"/>
        <w:jc w:val="center"/>
        <w:rPr>
          <w:rFonts w:ascii="Verdana" w:hAnsi="Verdana"/>
          <w:b/>
          <w:sz w:val="20"/>
          <w:szCs w:val="20"/>
          <w:lang w:val="es-CR"/>
        </w:rPr>
      </w:pPr>
    </w:p>
    <w:p w:rsidR="005A3C79" w:rsidRDefault="005A3C79" w:rsidP="005A3C79">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1C3257">
        <w:rPr>
          <w:rFonts w:ascii="Verdana" w:hAnsi="Verdana"/>
          <w:b/>
          <w:sz w:val="20"/>
          <w:szCs w:val="20"/>
          <w:lang w:val="es-CR"/>
        </w:rPr>
        <w:t>10</w:t>
      </w:r>
      <w:r>
        <w:rPr>
          <w:rFonts w:ascii="Verdana" w:hAnsi="Verdana"/>
          <w:b/>
          <w:sz w:val="20"/>
          <w:szCs w:val="20"/>
          <w:lang w:val="es-CR"/>
        </w:rPr>
        <w:t xml:space="preserve"> DE </w:t>
      </w:r>
      <w:r w:rsidR="005D3650">
        <w:rPr>
          <w:rFonts w:ascii="Verdana" w:hAnsi="Verdana"/>
          <w:b/>
          <w:sz w:val="20"/>
          <w:szCs w:val="20"/>
          <w:lang w:val="es-CR"/>
        </w:rPr>
        <w:t>FEBRERO</w:t>
      </w:r>
      <w:r>
        <w:rPr>
          <w:rFonts w:ascii="Verdana" w:hAnsi="Verdana"/>
          <w:b/>
          <w:sz w:val="20"/>
          <w:szCs w:val="20"/>
          <w:lang w:val="es-CR"/>
        </w:rPr>
        <w:t xml:space="preserve"> DE 201</w:t>
      </w:r>
      <w:r w:rsidR="003A58FF">
        <w:rPr>
          <w:rFonts w:ascii="Verdana" w:hAnsi="Verdana"/>
          <w:b/>
          <w:sz w:val="20"/>
          <w:szCs w:val="20"/>
          <w:lang w:val="es-CR"/>
        </w:rPr>
        <w:t>7</w:t>
      </w:r>
    </w:p>
    <w:p w:rsidR="005A3C79" w:rsidRDefault="005A3C79" w:rsidP="005A3C79">
      <w:pPr>
        <w:spacing w:after="0" w:line="240" w:lineRule="auto"/>
        <w:jc w:val="center"/>
        <w:rPr>
          <w:rFonts w:ascii="Verdana" w:hAnsi="Verdana"/>
          <w:b/>
          <w:sz w:val="20"/>
          <w:szCs w:val="20"/>
          <w:lang w:val="es-CR"/>
        </w:rPr>
      </w:pPr>
    </w:p>
    <w:p w:rsidR="005A3C79" w:rsidRDefault="005A3C79" w:rsidP="005A3C79">
      <w:pPr>
        <w:spacing w:after="0" w:line="240" w:lineRule="auto"/>
        <w:jc w:val="center"/>
        <w:rPr>
          <w:rFonts w:ascii="Verdana" w:hAnsi="Verdana"/>
          <w:b/>
          <w:i/>
          <w:sz w:val="20"/>
          <w:szCs w:val="20"/>
          <w:lang w:val="es-CR"/>
        </w:rPr>
      </w:pPr>
      <w:r>
        <w:rPr>
          <w:rFonts w:ascii="Verdana" w:hAnsi="Verdana"/>
          <w:b/>
          <w:i/>
          <w:sz w:val="20"/>
          <w:szCs w:val="20"/>
          <w:lang w:val="es-CR"/>
        </w:rPr>
        <w:t>CASO MÉMOLI VS. ARGENTINA</w:t>
      </w:r>
    </w:p>
    <w:p w:rsidR="005A3C79" w:rsidRDefault="005A3C79" w:rsidP="005A3C79">
      <w:pPr>
        <w:spacing w:after="0" w:line="240" w:lineRule="auto"/>
        <w:jc w:val="center"/>
        <w:rPr>
          <w:rFonts w:ascii="Verdana" w:hAnsi="Verdana"/>
          <w:b/>
          <w:sz w:val="20"/>
          <w:szCs w:val="20"/>
          <w:lang w:val="es-CR"/>
        </w:rPr>
      </w:pPr>
    </w:p>
    <w:p w:rsidR="005A3C79" w:rsidRDefault="005A3C79" w:rsidP="005A3C79">
      <w:pPr>
        <w:spacing w:after="0" w:line="240" w:lineRule="auto"/>
        <w:jc w:val="center"/>
        <w:rPr>
          <w:rFonts w:ascii="Times New Roman" w:hAnsi="Times New Roman"/>
          <w:sz w:val="24"/>
          <w:szCs w:val="24"/>
          <w:lang w:val="es-CR" w:eastAsia="es-CR"/>
        </w:rPr>
      </w:pPr>
      <w:r>
        <w:rPr>
          <w:rFonts w:ascii="Verdana" w:hAnsi="Verdana"/>
          <w:b/>
          <w:sz w:val="20"/>
          <w:szCs w:val="20"/>
          <w:lang w:val="es-CR"/>
        </w:rPr>
        <w:t>SUPERVISIÓN DE CUMPLIMIENTO DE SENTENCIA</w:t>
      </w:r>
    </w:p>
    <w:p w:rsidR="00303035" w:rsidRPr="00C367E3" w:rsidRDefault="00303035" w:rsidP="00110119">
      <w:pPr>
        <w:spacing w:before="120" w:after="120" w:line="240" w:lineRule="auto"/>
        <w:jc w:val="both"/>
        <w:rPr>
          <w:rFonts w:ascii="Verdana" w:hAnsi="Verdana"/>
          <w:b/>
          <w:color w:val="000000"/>
          <w:sz w:val="20"/>
          <w:szCs w:val="20"/>
          <w:lang w:val="es-CR"/>
        </w:rPr>
      </w:pPr>
    </w:p>
    <w:p w:rsidR="001B771E" w:rsidRPr="00C367E3" w:rsidRDefault="001B771E" w:rsidP="00110119">
      <w:pPr>
        <w:spacing w:before="120" w:after="120" w:line="240" w:lineRule="auto"/>
        <w:jc w:val="both"/>
        <w:rPr>
          <w:rFonts w:ascii="Verdana" w:hAnsi="Verdana"/>
          <w:b/>
          <w:color w:val="000000"/>
          <w:sz w:val="20"/>
          <w:szCs w:val="20"/>
          <w:lang w:val="es-CR"/>
        </w:rPr>
      </w:pPr>
    </w:p>
    <w:p w:rsidR="00110119" w:rsidRPr="00C367E3" w:rsidRDefault="00110119" w:rsidP="00110119">
      <w:pPr>
        <w:spacing w:before="120" w:after="120" w:line="240" w:lineRule="auto"/>
        <w:jc w:val="both"/>
        <w:rPr>
          <w:rFonts w:ascii="Verdana" w:hAnsi="Verdana"/>
          <w:b/>
          <w:color w:val="000000"/>
          <w:sz w:val="20"/>
          <w:szCs w:val="20"/>
          <w:lang w:val="es-CR"/>
        </w:rPr>
      </w:pPr>
      <w:r w:rsidRPr="00C367E3">
        <w:rPr>
          <w:rFonts w:ascii="Verdana" w:hAnsi="Verdana"/>
          <w:b/>
          <w:color w:val="000000"/>
          <w:sz w:val="20"/>
          <w:szCs w:val="20"/>
          <w:lang w:val="es-CR"/>
        </w:rPr>
        <w:t>VISTO:</w:t>
      </w:r>
    </w:p>
    <w:p w:rsidR="00DC49E3" w:rsidRPr="002366E1" w:rsidRDefault="00EA5605" w:rsidP="00110119">
      <w:pPr>
        <w:pStyle w:val="Prrafodelista"/>
        <w:numPr>
          <w:ilvl w:val="0"/>
          <w:numId w:val="14"/>
        </w:numPr>
        <w:spacing w:before="120" w:after="120" w:line="240" w:lineRule="auto"/>
        <w:ind w:left="0" w:firstLine="0"/>
        <w:contextualSpacing w:val="0"/>
        <w:jc w:val="both"/>
        <w:rPr>
          <w:rFonts w:ascii="Verdana" w:hAnsi="Verdana"/>
          <w:sz w:val="20"/>
          <w:szCs w:val="20"/>
        </w:rPr>
      </w:pPr>
      <w:r w:rsidRPr="007E769C">
        <w:rPr>
          <w:rFonts w:ascii="Verdana" w:hAnsi="Verdana"/>
          <w:sz w:val="20"/>
          <w:szCs w:val="20"/>
        </w:rPr>
        <w:t>La Sentencia de excepciones preliminares, fondo, reparaciones y costas (en adelante “la Sentencia</w:t>
      </w:r>
      <w:r w:rsidR="00001EDA">
        <w:rPr>
          <w:rFonts w:ascii="Verdana" w:hAnsi="Verdana"/>
          <w:sz w:val="20"/>
          <w:szCs w:val="20"/>
        </w:rPr>
        <w:t>”</w:t>
      </w:r>
      <w:r w:rsidRPr="007E769C">
        <w:rPr>
          <w:rFonts w:ascii="Verdana" w:hAnsi="Verdana"/>
          <w:sz w:val="20"/>
          <w:szCs w:val="20"/>
        </w:rPr>
        <w:t>) dictada por la Corte Interamericana de Derechos Humanos (en adelante “la Corte Interamericana”, “la Corte” o “el Tribunal”) el 22 de agosto de 2013</w:t>
      </w:r>
      <w:r w:rsidRPr="007E769C">
        <w:rPr>
          <w:rStyle w:val="Refdenotaalpie"/>
          <w:rFonts w:ascii="Verdana" w:hAnsi="Verdana"/>
          <w:sz w:val="20"/>
          <w:szCs w:val="20"/>
        </w:rPr>
        <w:footnoteReference w:id="2"/>
      </w:r>
      <w:r w:rsidR="00267BBD">
        <w:rPr>
          <w:rFonts w:ascii="Verdana" w:hAnsi="Verdana"/>
          <w:sz w:val="20"/>
          <w:szCs w:val="20"/>
        </w:rPr>
        <w:t>.</w:t>
      </w:r>
      <w:r w:rsidR="00C73235" w:rsidRPr="007E769C">
        <w:rPr>
          <w:rFonts w:ascii="Verdana" w:hAnsi="Verdana"/>
          <w:sz w:val="20"/>
          <w:szCs w:val="20"/>
        </w:rPr>
        <w:t xml:space="preserve"> </w:t>
      </w:r>
      <w:r w:rsidR="00267BBD">
        <w:rPr>
          <w:rFonts w:ascii="Verdana" w:hAnsi="Verdana"/>
          <w:sz w:val="20"/>
          <w:szCs w:val="20"/>
        </w:rPr>
        <w:t>L</w:t>
      </w:r>
      <w:r w:rsidR="00C17015" w:rsidRPr="007E769C">
        <w:rPr>
          <w:rFonts w:ascii="Verdana" w:hAnsi="Verdana"/>
          <w:sz w:val="20"/>
          <w:szCs w:val="20"/>
        </w:rPr>
        <w:t xml:space="preserve">a Corte </w:t>
      </w:r>
      <w:r w:rsidR="00C73235" w:rsidRPr="007E769C">
        <w:rPr>
          <w:rFonts w:ascii="Verdana" w:hAnsi="Verdana"/>
          <w:sz w:val="20"/>
          <w:szCs w:val="20"/>
        </w:rPr>
        <w:t>declar</w:t>
      </w:r>
      <w:r w:rsidR="00267BBD">
        <w:rPr>
          <w:rFonts w:ascii="Verdana" w:hAnsi="Verdana"/>
          <w:sz w:val="20"/>
          <w:szCs w:val="20"/>
        </w:rPr>
        <w:t>ó</w:t>
      </w:r>
      <w:r w:rsidR="00C73235" w:rsidRPr="007E769C">
        <w:rPr>
          <w:rFonts w:ascii="Verdana" w:hAnsi="Verdana"/>
          <w:sz w:val="20"/>
          <w:szCs w:val="20"/>
        </w:rPr>
        <w:t xml:space="preserve"> la responsabilidad internacional de la República Argentina (en adelante “el Estado” o “Argentina”)</w:t>
      </w:r>
      <w:r w:rsidR="005B68AB" w:rsidRPr="007E769C">
        <w:rPr>
          <w:rFonts w:ascii="Verdana" w:hAnsi="Verdana"/>
          <w:sz w:val="20"/>
          <w:szCs w:val="20"/>
        </w:rPr>
        <w:t xml:space="preserve"> por la violación a</w:t>
      </w:r>
      <w:r w:rsidR="00996849" w:rsidRPr="007E769C">
        <w:rPr>
          <w:rFonts w:ascii="Verdana" w:hAnsi="Verdana"/>
          <w:sz w:val="20"/>
          <w:szCs w:val="20"/>
        </w:rPr>
        <w:t xml:space="preserve"> </w:t>
      </w:r>
      <w:r w:rsidR="005B68AB" w:rsidRPr="007E769C">
        <w:rPr>
          <w:rFonts w:ascii="Verdana" w:hAnsi="Verdana"/>
          <w:sz w:val="20"/>
          <w:szCs w:val="20"/>
        </w:rPr>
        <w:t xml:space="preserve">la garantía judicial </w:t>
      </w:r>
      <w:r w:rsidR="008B6762">
        <w:rPr>
          <w:rFonts w:ascii="Verdana" w:hAnsi="Verdana"/>
          <w:sz w:val="20"/>
          <w:szCs w:val="20"/>
        </w:rPr>
        <w:t>del</w:t>
      </w:r>
      <w:r w:rsidR="000D01D8" w:rsidRPr="007E769C">
        <w:rPr>
          <w:rFonts w:ascii="Verdana" w:hAnsi="Verdana"/>
          <w:sz w:val="20"/>
          <w:szCs w:val="20"/>
        </w:rPr>
        <w:t xml:space="preserve"> plazo razonable</w:t>
      </w:r>
      <w:r w:rsidR="001A3DF4" w:rsidRPr="007E769C">
        <w:rPr>
          <w:rFonts w:ascii="Verdana" w:hAnsi="Verdana"/>
          <w:sz w:val="20"/>
          <w:szCs w:val="20"/>
        </w:rPr>
        <w:t xml:space="preserve"> </w:t>
      </w:r>
      <w:r w:rsidR="00267BBD">
        <w:rPr>
          <w:rFonts w:ascii="Verdana" w:hAnsi="Verdana"/>
          <w:sz w:val="20"/>
          <w:szCs w:val="20"/>
        </w:rPr>
        <w:t>y el derecho a la propiedad</w:t>
      </w:r>
      <w:r w:rsidR="00267BBD">
        <w:rPr>
          <w:rStyle w:val="Refdenotaalpie"/>
          <w:rFonts w:ascii="Verdana" w:hAnsi="Verdana"/>
          <w:sz w:val="20"/>
          <w:szCs w:val="20"/>
        </w:rPr>
        <w:footnoteReference w:id="3"/>
      </w:r>
      <w:r w:rsidR="00267BBD">
        <w:rPr>
          <w:rFonts w:ascii="Verdana" w:hAnsi="Verdana"/>
          <w:sz w:val="20"/>
          <w:szCs w:val="20"/>
        </w:rPr>
        <w:t xml:space="preserve"> </w:t>
      </w:r>
      <w:r w:rsidR="00023FF8" w:rsidRPr="007E769C">
        <w:rPr>
          <w:rFonts w:ascii="Verdana" w:hAnsi="Verdana"/>
          <w:sz w:val="20"/>
          <w:szCs w:val="20"/>
        </w:rPr>
        <w:t xml:space="preserve">en perjuicio de </w:t>
      </w:r>
      <w:r w:rsidR="00267BBD">
        <w:rPr>
          <w:rFonts w:ascii="Verdana" w:hAnsi="Verdana"/>
          <w:sz w:val="20"/>
          <w:szCs w:val="20"/>
        </w:rPr>
        <w:t>los señores</w:t>
      </w:r>
      <w:r w:rsidR="00023FF8" w:rsidRPr="007E769C">
        <w:rPr>
          <w:rFonts w:ascii="Verdana" w:hAnsi="Verdana"/>
          <w:sz w:val="20"/>
          <w:szCs w:val="20"/>
        </w:rPr>
        <w:t xml:space="preserve"> </w:t>
      </w:r>
      <w:r w:rsidR="00C148AE" w:rsidRPr="007E769C">
        <w:rPr>
          <w:rFonts w:ascii="Verdana" w:hAnsi="Verdana"/>
          <w:sz w:val="20"/>
          <w:szCs w:val="20"/>
        </w:rPr>
        <w:t xml:space="preserve">Carlos y Pablo </w:t>
      </w:r>
      <w:proofErr w:type="spellStart"/>
      <w:r w:rsidR="00C148AE" w:rsidRPr="007E769C">
        <w:rPr>
          <w:rFonts w:ascii="Verdana" w:hAnsi="Verdana"/>
          <w:sz w:val="20"/>
          <w:szCs w:val="20"/>
        </w:rPr>
        <w:t>M</w:t>
      </w:r>
      <w:r w:rsidR="00267BBD">
        <w:rPr>
          <w:rFonts w:ascii="Verdana" w:hAnsi="Verdana"/>
          <w:sz w:val="20"/>
          <w:szCs w:val="20"/>
        </w:rPr>
        <w:t>é</w:t>
      </w:r>
      <w:r w:rsidR="00C148AE" w:rsidRPr="007E769C">
        <w:rPr>
          <w:rFonts w:ascii="Verdana" w:hAnsi="Verdana"/>
          <w:sz w:val="20"/>
          <w:szCs w:val="20"/>
        </w:rPr>
        <w:t>moli</w:t>
      </w:r>
      <w:proofErr w:type="spellEnd"/>
      <w:r w:rsidR="00C148AE" w:rsidRPr="007E769C">
        <w:rPr>
          <w:rFonts w:ascii="Verdana" w:hAnsi="Verdana"/>
          <w:sz w:val="20"/>
          <w:szCs w:val="20"/>
        </w:rPr>
        <w:t xml:space="preserve"> (en adelante “los señores </w:t>
      </w:r>
      <w:proofErr w:type="spellStart"/>
      <w:r w:rsidR="00C148AE" w:rsidRPr="007E769C">
        <w:rPr>
          <w:rFonts w:ascii="Verdana" w:hAnsi="Verdana"/>
          <w:sz w:val="20"/>
          <w:szCs w:val="20"/>
        </w:rPr>
        <w:t>M</w:t>
      </w:r>
      <w:r w:rsidR="00267BBD">
        <w:rPr>
          <w:rFonts w:ascii="Verdana" w:hAnsi="Verdana"/>
          <w:sz w:val="20"/>
          <w:szCs w:val="20"/>
        </w:rPr>
        <w:t>é</w:t>
      </w:r>
      <w:r w:rsidR="00C148AE" w:rsidRPr="007E769C">
        <w:rPr>
          <w:rFonts w:ascii="Verdana" w:hAnsi="Verdana"/>
          <w:sz w:val="20"/>
          <w:szCs w:val="20"/>
        </w:rPr>
        <w:t>moli</w:t>
      </w:r>
      <w:proofErr w:type="spellEnd"/>
      <w:r w:rsidR="00C148AE" w:rsidRPr="007E769C">
        <w:rPr>
          <w:rFonts w:ascii="Verdana" w:hAnsi="Verdana"/>
          <w:sz w:val="20"/>
          <w:szCs w:val="20"/>
        </w:rPr>
        <w:t>”)</w:t>
      </w:r>
      <w:r w:rsidR="00267BBD">
        <w:rPr>
          <w:rFonts w:ascii="Verdana" w:hAnsi="Verdana"/>
          <w:sz w:val="20"/>
          <w:szCs w:val="20"/>
        </w:rPr>
        <w:t>. Dichas violaciones se declararon por la duración excesiva del</w:t>
      </w:r>
      <w:r w:rsidR="00C148AE" w:rsidRPr="007E769C">
        <w:rPr>
          <w:rFonts w:ascii="Verdana" w:hAnsi="Verdana"/>
          <w:sz w:val="20"/>
          <w:szCs w:val="20"/>
        </w:rPr>
        <w:t xml:space="preserve"> </w:t>
      </w:r>
      <w:r w:rsidR="001A3DF4" w:rsidRPr="007E769C">
        <w:rPr>
          <w:rFonts w:ascii="Verdana" w:hAnsi="Verdana"/>
          <w:sz w:val="20"/>
          <w:szCs w:val="20"/>
        </w:rPr>
        <w:t xml:space="preserve">proceso civil por daños y perjuicios </w:t>
      </w:r>
      <w:r w:rsidR="00267BBD">
        <w:rPr>
          <w:rFonts w:ascii="Verdana" w:hAnsi="Verdana"/>
          <w:sz w:val="20"/>
          <w:szCs w:val="20"/>
        </w:rPr>
        <w:t xml:space="preserve">seguido </w:t>
      </w:r>
      <w:r w:rsidR="001A3DF4" w:rsidRPr="007E769C">
        <w:rPr>
          <w:rFonts w:ascii="Verdana" w:hAnsi="Verdana"/>
          <w:sz w:val="20"/>
          <w:szCs w:val="20"/>
        </w:rPr>
        <w:t>en contra</w:t>
      </w:r>
      <w:r w:rsidR="00267BBD">
        <w:rPr>
          <w:rFonts w:ascii="Verdana" w:hAnsi="Verdana"/>
          <w:sz w:val="20"/>
          <w:szCs w:val="20"/>
        </w:rPr>
        <w:t xml:space="preserve"> de los señores </w:t>
      </w:r>
      <w:proofErr w:type="spellStart"/>
      <w:r w:rsidR="00267BBD">
        <w:rPr>
          <w:rFonts w:ascii="Verdana" w:hAnsi="Verdana"/>
          <w:sz w:val="20"/>
          <w:szCs w:val="20"/>
        </w:rPr>
        <w:t>Mémoli</w:t>
      </w:r>
      <w:proofErr w:type="spellEnd"/>
      <w:r w:rsidR="001C3257">
        <w:rPr>
          <w:rStyle w:val="Refdenotaalpie"/>
          <w:rFonts w:ascii="Verdana" w:hAnsi="Verdana"/>
          <w:sz w:val="20"/>
          <w:szCs w:val="20"/>
        </w:rPr>
        <w:footnoteReference w:id="4"/>
      </w:r>
      <w:r w:rsidR="00267BBD">
        <w:rPr>
          <w:rFonts w:ascii="Verdana" w:hAnsi="Verdana"/>
          <w:sz w:val="20"/>
          <w:szCs w:val="20"/>
        </w:rPr>
        <w:t xml:space="preserve">, ya que </w:t>
      </w:r>
      <w:r w:rsidR="00BA78FF">
        <w:rPr>
          <w:rFonts w:ascii="Verdana" w:hAnsi="Verdana"/>
          <w:sz w:val="20"/>
          <w:szCs w:val="20"/>
        </w:rPr>
        <w:t>habían transcurrido</w:t>
      </w:r>
      <w:r w:rsidR="001C3257">
        <w:rPr>
          <w:rFonts w:ascii="Verdana" w:hAnsi="Verdana"/>
          <w:sz w:val="20"/>
          <w:szCs w:val="20"/>
        </w:rPr>
        <w:t>, para ese momento,</w:t>
      </w:r>
      <w:r w:rsidR="00BA78FF">
        <w:rPr>
          <w:rFonts w:ascii="Verdana" w:hAnsi="Verdana"/>
          <w:sz w:val="20"/>
          <w:szCs w:val="20"/>
        </w:rPr>
        <w:t xml:space="preserve"> más de quince años sin que </w:t>
      </w:r>
      <w:r w:rsidR="00267BBD">
        <w:rPr>
          <w:rFonts w:ascii="Verdana" w:hAnsi="Verdana"/>
          <w:sz w:val="20"/>
          <w:szCs w:val="20"/>
        </w:rPr>
        <w:t xml:space="preserve">se hubiera emitido </w:t>
      </w:r>
      <w:r w:rsidR="00BA78FF">
        <w:rPr>
          <w:rFonts w:ascii="Verdana" w:hAnsi="Verdana"/>
          <w:sz w:val="20"/>
          <w:szCs w:val="20"/>
        </w:rPr>
        <w:t>la sentencia de primera instancia</w:t>
      </w:r>
      <w:r w:rsidR="00C75BF0">
        <w:rPr>
          <w:rFonts w:ascii="Verdana" w:hAnsi="Verdana"/>
          <w:sz w:val="20"/>
          <w:szCs w:val="20"/>
        </w:rPr>
        <w:t>. Asimismo,</w:t>
      </w:r>
      <w:r w:rsidR="001A3DF4" w:rsidRPr="007E769C">
        <w:rPr>
          <w:rFonts w:ascii="Verdana" w:hAnsi="Verdana"/>
          <w:sz w:val="20"/>
          <w:szCs w:val="20"/>
        </w:rPr>
        <w:t xml:space="preserve"> </w:t>
      </w:r>
      <w:r w:rsidR="00BA78FF">
        <w:rPr>
          <w:rFonts w:ascii="Verdana" w:hAnsi="Verdana"/>
          <w:sz w:val="20"/>
          <w:szCs w:val="20"/>
        </w:rPr>
        <w:t xml:space="preserve">tal demora prolongó la duración de </w:t>
      </w:r>
      <w:r w:rsidR="00267BBD">
        <w:rPr>
          <w:rFonts w:ascii="Verdana" w:hAnsi="Verdana"/>
          <w:sz w:val="20"/>
          <w:szCs w:val="20"/>
        </w:rPr>
        <w:t xml:space="preserve">la </w:t>
      </w:r>
      <w:r w:rsidR="00C0564F" w:rsidRPr="007E769C">
        <w:rPr>
          <w:rFonts w:ascii="Verdana" w:eastAsia="Batang" w:hAnsi="Verdana"/>
          <w:bCs/>
          <w:spacing w:val="-2"/>
          <w:sz w:val="20"/>
          <w:szCs w:val="20"/>
        </w:rPr>
        <w:t xml:space="preserve">medida cautelar </w:t>
      </w:r>
      <w:r w:rsidR="00C0564F" w:rsidRPr="007E769C">
        <w:rPr>
          <w:rFonts w:ascii="Verdana" w:eastAsia="Batang" w:hAnsi="Verdana"/>
          <w:spacing w:val="-2"/>
          <w:sz w:val="20"/>
          <w:szCs w:val="20"/>
        </w:rPr>
        <w:t xml:space="preserve">de </w:t>
      </w:r>
      <w:r w:rsidR="0019383F" w:rsidRPr="007E769C">
        <w:rPr>
          <w:rFonts w:ascii="Verdana" w:eastAsia="Batang" w:hAnsi="Verdana"/>
          <w:spacing w:val="-2"/>
          <w:sz w:val="20"/>
          <w:szCs w:val="20"/>
        </w:rPr>
        <w:t xml:space="preserve">inhibición general de </w:t>
      </w:r>
      <w:r w:rsidR="00637FBB" w:rsidRPr="007E769C">
        <w:rPr>
          <w:rFonts w:ascii="Verdana" w:eastAsia="Batang" w:hAnsi="Verdana"/>
          <w:spacing w:val="-2"/>
          <w:sz w:val="20"/>
          <w:szCs w:val="20"/>
        </w:rPr>
        <w:t xml:space="preserve">enajenar y gravar </w:t>
      </w:r>
      <w:r w:rsidR="0019383F" w:rsidRPr="007E769C">
        <w:rPr>
          <w:rFonts w:ascii="Verdana" w:eastAsia="Batang" w:hAnsi="Verdana"/>
          <w:spacing w:val="-2"/>
          <w:sz w:val="20"/>
          <w:szCs w:val="20"/>
        </w:rPr>
        <w:t>bienes</w:t>
      </w:r>
      <w:r w:rsidR="001A3DF4" w:rsidRPr="007E769C">
        <w:rPr>
          <w:rFonts w:ascii="Verdana" w:eastAsia="Batang" w:hAnsi="Verdana"/>
          <w:spacing w:val="-2"/>
          <w:sz w:val="20"/>
          <w:szCs w:val="20"/>
        </w:rPr>
        <w:t xml:space="preserve"> </w:t>
      </w:r>
      <w:r w:rsidR="00110119">
        <w:rPr>
          <w:rFonts w:ascii="Verdana" w:eastAsia="Batang" w:hAnsi="Verdana"/>
          <w:spacing w:val="-2"/>
          <w:sz w:val="20"/>
          <w:szCs w:val="20"/>
        </w:rPr>
        <w:t>que estaba vigente en dicho proceso</w:t>
      </w:r>
      <w:r w:rsidR="001C3257">
        <w:rPr>
          <w:rFonts w:ascii="Verdana" w:eastAsia="Batang" w:hAnsi="Verdana"/>
          <w:spacing w:val="-2"/>
          <w:sz w:val="20"/>
          <w:szCs w:val="20"/>
        </w:rPr>
        <w:t xml:space="preserve"> civil</w:t>
      </w:r>
      <w:r w:rsidR="00110119">
        <w:rPr>
          <w:rFonts w:ascii="Verdana" w:eastAsia="Batang" w:hAnsi="Verdana"/>
          <w:spacing w:val="-2"/>
          <w:sz w:val="20"/>
          <w:szCs w:val="20"/>
        </w:rPr>
        <w:t xml:space="preserve"> en contra de los señores </w:t>
      </w:r>
      <w:proofErr w:type="spellStart"/>
      <w:r w:rsidR="00110119">
        <w:rPr>
          <w:rFonts w:ascii="Verdana" w:eastAsia="Batang" w:hAnsi="Verdana"/>
          <w:spacing w:val="-2"/>
          <w:sz w:val="20"/>
          <w:szCs w:val="20"/>
        </w:rPr>
        <w:t>Mémoli</w:t>
      </w:r>
      <w:proofErr w:type="spellEnd"/>
      <w:r w:rsidR="00110119">
        <w:rPr>
          <w:rFonts w:ascii="Verdana" w:eastAsia="Batang" w:hAnsi="Verdana"/>
          <w:spacing w:val="-2"/>
          <w:sz w:val="20"/>
          <w:szCs w:val="20"/>
        </w:rPr>
        <w:t xml:space="preserve">, </w:t>
      </w:r>
      <w:r w:rsidR="001A3DF4" w:rsidRPr="007E769C">
        <w:rPr>
          <w:rFonts w:ascii="Verdana" w:eastAsia="Batang" w:hAnsi="Verdana"/>
          <w:spacing w:val="-2"/>
          <w:sz w:val="20"/>
          <w:szCs w:val="20"/>
        </w:rPr>
        <w:t>con el fin de garantizar el eventual pago que resultara del proceso</w:t>
      </w:r>
      <w:r w:rsidR="00BA78FF">
        <w:rPr>
          <w:rFonts w:ascii="Verdana" w:eastAsia="Batang" w:hAnsi="Verdana"/>
          <w:spacing w:val="-2"/>
          <w:sz w:val="20"/>
          <w:szCs w:val="20"/>
        </w:rPr>
        <w:t>, lo cual les afectó de forma desproporcionada</w:t>
      </w:r>
      <w:r w:rsidR="008057B0">
        <w:rPr>
          <w:rFonts w:ascii="Verdana" w:eastAsia="Batang" w:hAnsi="Verdana"/>
          <w:spacing w:val="-2"/>
          <w:sz w:val="20"/>
          <w:szCs w:val="20"/>
        </w:rPr>
        <w:t xml:space="preserve"> </w:t>
      </w:r>
      <w:r w:rsidR="001C3257">
        <w:rPr>
          <w:rFonts w:ascii="Verdana" w:eastAsia="Batang" w:hAnsi="Verdana"/>
          <w:spacing w:val="-2"/>
          <w:sz w:val="20"/>
          <w:szCs w:val="20"/>
        </w:rPr>
        <w:t>su</w:t>
      </w:r>
      <w:r w:rsidR="00BA78FF">
        <w:rPr>
          <w:rFonts w:ascii="Verdana" w:eastAsia="Batang" w:hAnsi="Verdana"/>
          <w:spacing w:val="-2"/>
          <w:sz w:val="20"/>
          <w:szCs w:val="20"/>
        </w:rPr>
        <w:t xml:space="preserve"> derecho a la propiedad privada</w:t>
      </w:r>
      <w:r w:rsidR="00110119">
        <w:rPr>
          <w:rFonts w:ascii="Verdana" w:eastAsia="Batang" w:hAnsi="Verdana"/>
          <w:spacing w:val="-2"/>
          <w:sz w:val="20"/>
          <w:szCs w:val="20"/>
        </w:rPr>
        <w:t>.</w:t>
      </w:r>
      <w:r w:rsidR="00034D6B" w:rsidRPr="007E769C">
        <w:rPr>
          <w:rFonts w:ascii="Verdana" w:eastAsia="Batang" w:hAnsi="Verdana"/>
          <w:spacing w:val="-2"/>
          <w:sz w:val="20"/>
          <w:szCs w:val="20"/>
        </w:rPr>
        <w:t xml:space="preserve"> </w:t>
      </w:r>
      <w:r w:rsidR="001C3257">
        <w:rPr>
          <w:rFonts w:ascii="Verdana" w:hAnsi="Verdana"/>
          <w:sz w:val="20"/>
          <w:szCs w:val="20"/>
        </w:rPr>
        <w:t>El Tribunal</w:t>
      </w:r>
      <w:r w:rsidR="00844583" w:rsidRPr="007E769C">
        <w:rPr>
          <w:rFonts w:ascii="Verdana" w:hAnsi="Verdana"/>
          <w:sz w:val="20"/>
          <w:szCs w:val="20"/>
        </w:rPr>
        <w:t xml:space="preserve"> estableció que su Sentencia constituye </w:t>
      </w:r>
      <w:r w:rsidR="00844583" w:rsidRPr="008057B0">
        <w:rPr>
          <w:rFonts w:ascii="Verdana" w:hAnsi="Verdana"/>
          <w:sz w:val="20"/>
          <w:szCs w:val="20"/>
        </w:rPr>
        <w:t>p</w:t>
      </w:r>
      <w:r w:rsidR="008057B0" w:rsidRPr="008057B0">
        <w:rPr>
          <w:rFonts w:ascii="Verdana" w:hAnsi="Verdana"/>
          <w:sz w:val="20"/>
          <w:szCs w:val="20"/>
        </w:rPr>
        <w:t>o</w:t>
      </w:r>
      <w:r w:rsidR="00844583" w:rsidRPr="008057B0">
        <w:rPr>
          <w:rFonts w:ascii="Verdana" w:hAnsi="Verdana"/>
          <w:sz w:val="20"/>
          <w:szCs w:val="20"/>
        </w:rPr>
        <w:t>r s</w:t>
      </w:r>
      <w:r w:rsidR="008057B0" w:rsidRPr="008057B0">
        <w:rPr>
          <w:rFonts w:ascii="Verdana" w:hAnsi="Verdana"/>
          <w:sz w:val="20"/>
          <w:szCs w:val="20"/>
        </w:rPr>
        <w:t>í misma</w:t>
      </w:r>
      <w:r w:rsidR="00844583" w:rsidRPr="007E769C">
        <w:rPr>
          <w:rFonts w:ascii="Verdana" w:hAnsi="Verdana"/>
          <w:sz w:val="20"/>
          <w:szCs w:val="20"/>
        </w:rPr>
        <w:t xml:space="preserve"> una forma de reparación y, adicionalmente, orden</w:t>
      </w:r>
      <w:r w:rsidR="00110119">
        <w:rPr>
          <w:rFonts w:ascii="Verdana" w:hAnsi="Verdana"/>
          <w:sz w:val="20"/>
          <w:szCs w:val="20"/>
        </w:rPr>
        <w:t>ó</w:t>
      </w:r>
      <w:r w:rsidR="00844583" w:rsidRPr="007E769C">
        <w:rPr>
          <w:rFonts w:ascii="Verdana" w:hAnsi="Verdana"/>
          <w:sz w:val="20"/>
          <w:szCs w:val="20"/>
        </w:rPr>
        <w:t xml:space="preserve"> al Estado determinadas medidas de reparación (</w:t>
      </w:r>
      <w:r w:rsidR="00844583" w:rsidRPr="002366E1">
        <w:rPr>
          <w:rFonts w:ascii="Verdana" w:hAnsi="Verdana"/>
          <w:i/>
          <w:sz w:val="20"/>
          <w:szCs w:val="20"/>
        </w:rPr>
        <w:t>infra</w:t>
      </w:r>
      <w:r w:rsidR="00023FF8" w:rsidRPr="002366E1">
        <w:rPr>
          <w:rFonts w:ascii="Verdana" w:hAnsi="Verdana"/>
          <w:sz w:val="20"/>
          <w:szCs w:val="20"/>
        </w:rPr>
        <w:t xml:space="preserve"> Considerando 1</w:t>
      </w:r>
      <w:r w:rsidR="00C17015" w:rsidRPr="002366E1">
        <w:rPr>
          <w:rFonts w:ascii="Verdana" w:hAnsi="Verdana"/>
          <w:sz w:val="20"/>
          <w:szCs w:val="20"/>
        </w:rPr>
        <w:t>)</w:t>
      </w:r>
      <w:r w:rsidR="00023FF8" w:rsidRPr="002366E1">
        <w:rPr>
          <w:rFonts w:ascii="Verdana" w:hAnsi="Verdana"/>
          <w:sz w:val="20"/>
          <w:szCs w:val="20"/>
        </w:rPr>
        <w:t>.</w:t>
      </w:r>
    </w:p>
    <w:p w:rsidR="00DC49E3" w:rsidRPr="00C367E3" w:rsidRDefault="00023FF8" w:rsidP="001C023E">
      <w:pPr>
        <w:pStyle w:val="Prrafodelista"/>
        <w:numPr>
          <w:ilvl w:val="0"/>
          <w:numId w:val="14"/>
        </w:numPr>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Los </w:t>
      </w:r>
      <w:r w:rsidR="002366E1" w:rsidRPr="00C367E3">
        <w:rPr>
          <w:rFonts w:ascii="Verdana" w:hAnsi="Verdana"/>
          <w:color w:val="000000"/>
          <w:sz w:val="20"/>
          <w:szCs w:val="20"/>
        </w:rPr>
        <w:t>once</w:t>
      </w:r>
      <w:r w:rsidR="00F5329B" w:rsidRPr="00C367E3">
        <w:rPr>
          <w:rFonts w:ascii="Verdana" w:hAnsi="Verdana"/>
          <w:color w:val="000000"/>
          <w:sz w:val="20"/>
          <w:szCs w:val="20"/>
        </w:rPr>
        <w:t xml:space="preserve"> </w:t>
      </w:r>
      <w:r w:rsidR="001A7F23" w:rsidRPr="00C367E3">
        <w:rPr>
          <w:rFonts w:ascii="Verdana" w:hAnsi="Verdana"/>
          <w:color w:val="000000"/>
          <w:sz w:val="20"/>
          <w:szCs w:val="20"/>
        </w:rPr>
        <w:t xml:space="preserve">informes presentados por el Estado entre abril de 2014 </w:t>
      </w:r>
      <w:r w:rsidR="00F5329B" w:rsidRPr="00C367E3">
        <w:rPr>
          <w:rFonts w:ascii="Verdana" w:hAnsi="Verdana"/>
          <w:color w:val="000000"/>
          <w:sz w:val="20"/>
          <w:szCs w:val="20"/>
        </w:rPr>
        <w:t xml:space="preserve">y </w:t>
      </w:r>
      <w:r w:rsidR="00A054AC" w:rsidRPr="00C367E3">
        <w:rPr>
          <w:rFonts w:ascii="Verdana" w:hAnsi="Verdana"/>
          <w:color w:val="000000"/>
          <w:sz w:val="20"/>
          <w:szCs w:val="20"/>
        </w:rPr>
        <w:t>diciembre</w:t>
      </w:r>
      <w:r w:rsidR="00332AC7" w:rsidRPr="00C367E3">
        <w:rPr>
          <w:rFonts w:ascii="Verdana" w:hAnsi="Verdana"/>
          <w:color w:val="000000"/>
          <w:sz w:val="20"/>
          <w:szCs w:val="20"/>
        </w:rPr>
        <w:t xml:space="preserve"> de</w:t>
      </w:r>
      <w:r w:rsidR="00F5329B" w:rsidRPr="00C367E3">
        <w:rPr>
          <w:rFonts w:ascii="Verdana" w:hAnsi="Verdana"/>
          <w:color w:val="000000"/>
          <w:sz w:val="20"/>
          <w:szCs w:val="20"/>
        </w:rPr>
        <w:t xml:space="preserve"> </w:t>
      </w:r>
      <w:r w:rsidR="00332AC7" w:rsidRPr="00C367E3">
        <w:rPr>
          <w:rFonts w:ascii="Verdana" w:hAnsi="Verdana"/>
          <w:color w:val="000000"/>
          <w:sz w:val="20"/>
          <w:szCs w:val="20"/>
        </w:rPr>
        <w:t>2016</w:t>
      </w:r>
      <w:r w:rsidR="00AC4F14" w:rsidRPr="00C367E3">
        <w:rPr>
          <w:rStyle w:val="Refdenotaalpie"/>
          <w:rFonts w:ascii="Verdana" w:hAnsi="Verdana"/>
          <w:color w:val="000000"/>
          <w:sz w:val="20"/>
          <w:szCs w:val="20"/>
        </w:rPr>
        <w:footnoteReference w:id="5"/>
      </w:r>
      <w:r w:rsidR="002366E1" w:rsidRPr="00C367E3">
        <w:rPr>
          <w:rFonts w:ascii="Verdana" w:hAnsi="Verdana"/>
          <w:color w:val="000000"/>
          <w:sz w:val="20"/>
          <w:szCs w:val="20"/>
        </w:rPr>
        <w:t>, en respuesta a solicitudes efectuadas por la Corte o su Presidente mediante notas de la Secretaría del Tribunal.</w:t>
      </w:r>
    </w:p>
    <w:p w:rsidR="001B771E" w:rsidRPr="00C367E3" w:rsidRDefault="001B771E" w:rsidP="001B771E">
      <w:pPr>
        <w:pStyle w:val="Prrafodelista"/>
        <w:spacing w:before="120" w:after="120" w:line="240" w:lineRule="auto"/>
        <w:ind w:left="0"/>
        <w:contextualSpacing w:val="0"/>
        <w:jc w:val="both"/>
        <w:rPr>
          <w:rFonts w:ascii="Verdana" w:hAnsi="Verdana"/>
          <w:color w:val="000000"/>
          <w:sz w:val="20"/>
          <w:szCs w:val="20"/>
        </w:rPr>
      </w:pPr>
    </w:p>
    <w:p w:rsidR="00DC49E3" w:rsidRPr="00C367E3" w:rsidRDefault="001A7F23" w:rsidP="001C023E">
      <w:pPr>
        <w:pStyle w:val="Prrafodelista"/>
        <w:numPr>
          <w:ilvl w:val="0"/>
          <w:numId w:val="14"/>
        </w:numPr>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lastRenderedPageBreak/>
        <w:t xml:space="preserve">Los </w:t>
      </w:r>
      <w:r w:rsidR="002366E1" w:rsidRPr="00C367E3">
        <w:rPr>
          <w:rFonts w:ascii="Verdana" w:hAnsi="Verdana"/>
          <w:color w:val="000000"/>
          <w:sz w:val="20"/>
          <w:szCs w:val="20"/>
        </w:rPr>
        <w:t>veintidós</w:t>
      </w:r>
      <w:r w:rsidR="00966CB5" w:rsidRPr="00C367E3">
        <w:rPr>
          <w:rFonts w:ascii="Verdana" w:hAnsi="Verdana"/>
          <w:color w:val="000000"/>
          <w:sz w:val="20"/>
          <w:szCs w:val="20"/>
        </w:rPr>
        <w:t xml:space="preserve"> </w:t>
      </w:r>
      <w:r w:rsidRPr="00C367E3">
        <w:rPr>
          <w:rFonts w:ascii="Verdana" w:hAnsi="Verdana"/>
          <w:color w:val="000000"/>
          <w:sz w:val="20"/>
          <w:szCs w:val="20"/>
        </w:rPr>
        <w:t xml:space="preserve">escritos presentados por los señores </w:t>
      </w:r>
      <w:proofErr w:type="spellStart"/>
      <w:r w:rsidRPr="00C367E3">
        <w:rPr>
          <w:rFonts w:ascii="Verdana" w:hAnsi="Verdana"/>
          <w:color w:val="000000"/>
          <w:sz w:val="20"/>
          <w:szCs w:val="20"/>
        </w:rPr>
        <w:t>M</w:t>
      </w:r>
      <w:r w:rsidR="007B664E" w:rsidRPr="00C367E3">
        <w:rPr>
          <w:rFonts w:ascii="Verdana" w:hAnsi="Verdana"/>
          <w:color w:val="000000"/>
          <w:sz w:val="20"/>
          <w:szCs w:val="20"/>
        </w:rPr>
        <w:t>é</w:t>
      </w:r>
      <w:r w:rsidRPr="00C367E3">
        <w:rPr>
          <w:rFonts w:ascii="Verdana" w:hAnsi="Verdana"/>
          <w:color w:val="000000"/>
          <w:sz w:val="20"/>
          <w:szCs w:val="20"/>
        </w:rPr>
        <w:t>moli</w:t>
      </w:r>
      <w:proofErr w:type="spellEnd"/>
      <w:r w:rsidRPr="00C367E3">
        <w:rPr>
          <w:rFonts w:ascii="Verdana" w:hAnsi="Verdana"/>
          <w:color w:val="000000"/>
          <w:sz w:val="20"/>
          <w:szCs w:val="20"/>
        </w:rPr>
        <w:t xml:space="preserve"> </w:t>
      </w:r>
      <w:r w:rsidR="00EB63CC" w:rsidRPr="00C367E3">
        <w:rPr>
          <w:rFonts w:ascii="Verdana" w:hAnsi="Verdana"/>
          <w:color w:val="000000"/>
          <w:sz w:val="20"/>
          <w:szCs w:val="20"/>
        </w:rPr>
        <w:t>entre mayo de 2014</w:t>
      </w:r>
      <w:r w:rsidR="00251259" w:rsidRPr="00C367E3">
        <w:rPr>
          <w:rFonts w:ascii="Verdana" w:hAnsi="Verdana"/>
          <w:color w:val="000000"/>
          <w:sz w:val="20"/>
          <w:szCs w:val="20"/>
        </w:rPr>
        <w:t xml:space="preserve"> </w:t>
      </w:r>
      <w:r w:rsidR="00F5329B" w:rsidRPr="00C367E3">
        <w:rPr>
          <w:rFonts w:ascii="Verdana" w:hAnsi="Verdana"/>
          <w:color w:val="000000"/>
          <w:sz w:val="20"/>
          <w:szCs w:val="20"/>
        </w:rPr>
        <w:t xml:space="preserve">y </w:t>
      </w:r>
      <w:r w:rsidR="002366E1" w:rsidRPr="00C367E3">
        <w:rPr>
          <w:rFonts w:ascii="Verdana" w:hAnsi="Verdana"/>
          <w:color w:val="000000"/>
          <w:sz w:val="20"/>
          <w:szCs w:val="20"/>
        </w:rPr>
        <w:t>diciembre</w:t>
      </w:r>
      <w:r w:rsidR="00966CB5" w:rsidRPr="00C367E3">
        <w:rPr>
          <w:rFonts w:ascii="Verdana" w:hAnsi="Verdana"/>
          <w:color w:val="000000"/>
          <w:sz w:val="20"/>
          <w:szCs w:val="20"/>
        </w:rPr>
        <w:t xml:space="preserve"> </w:t>
      </w:r>
      <w:r w:rsidRPr="00C367E3">
        <w:rPr>
          <w:rFonts w:ascii="Verdana" w:hAnsi="Verdana"/>
          <w:color w:val="000000"/>
          <w:sz w:val="20"/>
          <w:szCs w:val="20"/>
        </w:rPr>
        <w:t>de 2016</w:t>
      </w:r>
      <w:r w:rsidR="00AC4F14" w:rsidRPr="00C367E3">
        <w:rPr>
          <w:rStyle w:val="Refdenotaalpie"/>
          <w:rFonts w:ascii="Verdana" w:hAnsi="Verdana"/>
          <w:color w:val="000000"/>
          <w:sz w:val="20"/>
          <w:szCs w:val="20"/>
        </w:rPr>
        <w:footnoteReference w:id="6"/>
      </w:r>
      <w:r w:rsidR="00F5329B" w:rsidRPr="00C367E3">
        <w:rPr>
          <w:rFonts w:ascii="Verdana" w:hAnsi="Verdana"/>
          <w:color w:val="000000"/>
          <w:sz w:val="20"/>
          <w:szCs w:val="20"/>
        </w:rPr>
        <w:t xml:space="preserve">, mediante los cuales </w:t>
      </w:r>
      <w:r w:rsidR="001E669A" w:rsidRPr="00C367E3">
        <w:rPr>
          <w:rFonts w:ascii="Verdana" w:hAnsi="Verdana"/>
          <w:color w:val="000000"/>
          <w:sz w:val="20"/>
          <w:szCs w:val="20"/>
        </w:rPr>
        <w:t xml:space="preserve">remitieron </w:t>
      </w:r>
      <w:r w:rsidR="001E669A" w:rsidRPr="002366E1">
        <w:rPr>
          <w:rFonts w:ascii="Verdana" w:hAnsi="Verdana"/>
          <w:sz w:val="20"/>
          <w:szCs w:val="20"/>
        </w:rPr>
        <w:t>información sobre el cumplimiento de la Sentencia</w:t>
      </w:r>
      <w:r w:rsidR="001C3257">
        <w:rPr>
          <w:rFonts w:ascii="Verdana" w:hAnsi="Verdana"/>
          <w:sz w:val="20"/>
          <w:szCs w:val="20"/>
        </w:rPr>
        <w:t>,</w:t>
      </w:r>
      <w:r w:rsidR="001E669A" w:rsidRPr="002366E1">
        <w:rPr>
          <w:rFonts w:ascii="Verdana" w:hAnsi="Verdana"/>
          <w:sz w:val="20"/>
          <w:szCs w:val="20"/>
        </w:rPr>
        <w:t xml:space="preserve"> así como sus observaciones a lo informado por el Estado</w:t>
      </w:r>
      <w:r w:rsidRPr="00C367E3">
        <w:rPr>
          <w:rFonts w:ascii="Verdana" w:hAnsi="Verdana"/>
          <w:color w:val="000000"/>
          <w:sz w:val="20"/>
          <w:szCs w:val="20"/>
        </w:rPr>
        <w:t xml:space="preserve">. </w:t>
      </w:r>
    </w:p>
    <w:p w:rsidR="001B771E" w:rsidRPr="00C367E3" w:rsidRDefault="001B771E" w:rsidP="001B771E">
      <w:pPr>
        <w:pStyle w:val="Prrafodelista"/>
        <w:rPr>
          <w:rFonts w:ascii="Verdana" w:hAnsi="Verdana"/>
          <w:color w:val="000000"/>
          <w:sz w:val="20"/>
          <w:szCs w:val="20"/>
        </w:rPr>
      </w:pPr>
    </w:p>
    <w:p w:rsidR="00DC49E3" w:rsidRPr="00C367E3" w:rsidRDefault="00EB63CC" w:rsidP="002366E1">
      <w:pPr>
        <w:pStyle w:val="Prrafodelista"/>
        <w:numPr>
          <w:ilvl w:val="0"/>
          <w:numId w:val="14"/>
        </w:numPr>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Los </w:t>
      </w:r>
      <w:r w:rsidR="00BB3223" w:rsidRPr="00C367E3">
        <w:rPr>
          <w:rFonts w:ascii="Verdana" w:hAnsi="Verdana"/>
          <w:color w:val="000000"/>
          <w:sz w:val="20"/>
          <w:szCs w:val="20"/>
        </w:rPr>
        <w:t>nueve</w:t>
      </w:r>
      <w:r w:rsidR="001A7F23" w:rsidRPr="00C367E3">
        <w:rPr>
          <w:rFonts w:ascii="Verdana" w:hAnsi="Verdana"/>
          <w:color w:val="000000"/>
          <w:sz w:val="20"/>
          <w:szCs w:val="20"/>
        </w:rPr>
        <w:t xml:space="preserve"> escrito</w:t>
      </w:r>
      <w:r w:rsidRPr="00C367E3">
        <w:rPr>
          <w:rFonts w:ascii="Verdana" w:hAnsi="Verdana"/>
          <w:color w:val="000000"/>
          <w:sz w:val="20"/>
          <w:szCs w:val="20"/>
        </w:rPr>
        <w:t>s</w:t>
      </w:r>
      <w:r w:rsidR="001A7F23" w:rsidRPr="00C367E3">
        <w:rPr>
          <w:rFonts w:ascii="Verdana" w:hAnsi="Verdana"/>
          <w:color w:val="000000"/>
          <w:sz w:val="20"/>
          <w:szCs w:val="20"/>
        </w:rPr>
        <w:t xml:space="preserve"> de observaciones presentados por la </w:t>
      </w:r>
      <w:r w:rsidR="00B97A47" w:rsidRPr="00C367E3">
        <w:rPr>
          <w:rFonts w:ascii="Verdana" w:hAnsi="Verdana"/>
          <w:color w:val="000000"/>
          <w:sz w:val="20"/>
          <w:szCs w:val="20"/>
        </w:rPr>
        <w:t>Comisión</w:t>
      </w:r>
      <w:r w:rsidR="001A7F23" w:rsidRPr="00C367E3">
        <w:rPr>
          <w:rFonts w:ascii="Verdana" w:hAnsi="Verdana"/>
          <w:color w:val="000000"/>
          <w:sz w:val="20"/>
          <w:szCs w:val="20"/>
        </w:rPr>
        <w:t xml:space="preserve"> Inter</w:t>
      </w:r>
      <w:r w:rsidR="002366E1" w:rsidRPr="00C367E3">
        <w:rPr>
          <w:rFonts w:ascii="Verdana" w:hAnsi="Verdana"/>
          <w:color w:val="000000"/>
          <w:sz w:val="20"/>
          <w:szCs w:val="20"/>
        </w:rPr>
        <w:t>americana de Derechos Humanos (</w:t>
      </w:r>
      <w:r w:rsidR="001A7F23" w:rsidRPr="00C367E3">
        <w:rPr>
          <w:rFonts w:ascii="Verdana" w:hAnsi="Verdana"/>
          <w:color w:val="000000"/>
          <w:sz w:val="20"/>
          <w:szCs w:val="20"/>
        </w:rPr>
        <w:t xml:space="preserve">en adelante </w:t>
      </w:r>
      <w:r w:rsidR="00523A9C" w:rsidRPr="00C367E3">
        <w:rPr>
          <w:rFonts w:ascii="Verdana" w:hAnsi="Verdana"/>
          <w:color w:val="000000"/>
          <w:sz w:val="20"/>
          <w:szCs w:val="20"/>
        </w:rPr>
        <w:t>“</w:t>
      </w:r>
      <w:r w:rsidR="001A7F23" w:rsidRPr="00C367E3">
        <w:rPr>
          <w:rFonts w:ascii="Verdana" w:hAnsi="Verdana"/>
          <w:color w:val="000000"/>
          <w:sz w:val="20"/>
          <w:szCs w:val="20"/>
        </w:rPr>
        <w:t xml:space="preserve">la </w:t>
      </w:r>
      <w:r w:rsidR="00B97A47" w:rsidRPr="00C367E3">
        <w:rPr>
          <w:rFonts w:ascii="Verdana" w:hAnsi="Verdana"/>
          <w:color w:val="000000"/>
          <w:sz w:val="20"/>
          <w:szCs w:val="20"/>
        </w:rPr>
        <w:t>Comisión</w:t>
      </w:r>
      <w:r w:rsidR="001A7F23" w:rsidRPr="00C367E3">
        <w:rPr>
          <w:rFonts w:ascii="Verdana" w:hAnsi="Verdana"/>
          <w:color w:val="000000"/>
          <w:sz w:val="20"/>
          <w:szCs w:val="20"/>
        </w:rPr>
        <w:t xml:space="preserve"> Interamericana” o “la </w:t>
      </w:r>
      <w:r w:rsidR="00B97A47" w:rsidRPr="00C367E3">
        <w:rPr>
          <w:rFonts w:ascii="Verdana" w:hAnsi="Verdana"/>
          <w:color w:val="000000"/>
          <w:sz w:val="20"/>
          <w:szCs w:val="20"/>
        </w:rPr>
        <w:t>Comisión</w:t>
      </w:r>
      <w:r w:rsidR="001A7F23" w:rsidRPr="00C367E3">
        <w:rPr>
          <w:rFonts w:ascii="Verdana" w:hAnsi="Verdana"/>
          <w:color w:val="000000"/>
          <w:sz w:val="20"/>
          <w:szCs w:val="20"/>
        </w:rPr>
        <w:t xml:space="preserve">”) </w:t>
      </w:r>
      <w:r w:rsidR="003310CA" w:rsidRPr="00C367E3">
        <w:rPr>
          <w:rFonts w:ascii="Verdana" w:hAnsi="Verdana"/>
          <w:color w:val="000000"/>
          <w:sz w:val="20"/>
          <w:szCs w:val="20"/>
        </w:rPr>
        <w:t xml:space="preserve">entre junio de 2014 y </w:t>
      </w:r>
      <w:r w:rsidR="00BB3223" w:rsidRPr="00C367E3">
        <w:rPr>
          <w:rFonts w:ascii="Verdana" w:hAnsi="Verdana"/>
          <w:color w:val="000000"/>
          <w:sz w:val="20"/>
          <w:szCs w:val="20"/>
        </w:rPr>
        <w:t>febrero de 2017</w:t>
      </w:r>
      <w:r w:rsidR="003310CA" w:rsidRPr="00C367E3">
        <w:rPr>
          <w:rStyle w:val="Refdenotaalpie"/>
          <w:rFonts w:ascii="Verdana" w:hAnsi="Verdana"/>
          <w:color w:val="000000"/>
          <w:sz w:val="20"/>
          <w:szCs w:val="20"/>
        </w:rPr>
        <w:footnoteReference w:id="7"/>
      </w:r>
      <w:r w:rsidR="003310CA" w:rsidRPr="00C367E3">
        <w:rPr>
          <w:rFonts w:ascii="Verdana" w:hAnsi="Verdana"/>
          <w:color w:val="000000"/>
          <w:sz w:val="20"/>
          <w:szCs w:val="20"/>
        </w:rPr>
        <w:t>.</w:t>
      </w:r>
    </w:p>
    <w:p w:rsidR="00DC559D" w:rsidRDefault="00DC559D" w:rsidP="00110119">
      <w:pPr>
        <w:pStyle w:val="Prrafodelista"/>
        <w:spacing w:before="120" w:after="120" w:line="240" w:lineRule="auto"/>
        <w:ind w:left="0"/>
        <w:contextualSpacing w:val="0"/>
        <w:jc w:val="both"/>
        <w:rPr>
          <w:rFonts w:ascii="Verdana" w:hAnsi="Verdana"/>
          <w:b/>
          <w:sz w:val="20"/>
          <w:szCs w:val="20"/>
        </w:rPr>
      </w:pPr>
    </w:p>
    <w:p w:rsidR="00B97A47" w:rsidRDefault="00B97A47" w:rsidP="00110119">
      <w:pPr>
        <w:pStyle w:val="Prrafodelista"/>
        <w:spacing w:before="120" w:after="120" w:line="240" w:lineRule="auto"/>
        <w:ind w:left="0"/>
        <w:contextualSpacing w:val="0"/>
        <w:jc w:val="both"/>
        <w:rPr>
          <w:rFonts w:ascii="Verdana" w:hAnsi="Verdana"/>
          <w:b/>
          <w:sz w:val="20"/>
          <w:szCs w:val="20"/>
        </w:rPr>
      </w:pPr>
      <w:r w:rsidRPr="007E769C">
        <w:rPr>
          <w:rFonts w:ascii="Verdana" w:hAnsi="Verdana"/>
          <w:b/>
          <w:sz w:val="20"/>
          <w:szCs w:val="20"/>
        </w:rPr>
        <w:t>CONSIDERANDO QUE:</w:t>
      </w:r>
    </w:p>
    <w:p w:rsidR="00550D0C" w:rsidRPr="00B64906" w:rsidRDefault="00B97A47" w:rsidP="00110119">
      <w:pPr>
        <w:pStyle w:val="Prrafodelista"/>
        <w:numPr>
          <w:ilvl w:val="0"/>
          <w:numId w:val="17"/>
        </w:numPr>
        <w:tabs>
          <w:tab w:val="left" w:pos="0"/>
        </w:tabs>
        <w:spacing w:before="120" w:after="120" w:line="240" w:lineRule="auto"/>
        <w:ind w:left="0" w:firstLine="0"/>
        <w:contextualSpacing w:val="0"/>
        <w:jc w:val="both"/>
        <w:rPr>
          <w:rFonts w:ascii="Verdana" w:hAnsi="Verdana"/>
          <w:sz w:val="20"/>
          <w:szCs w:val="20"/>
        </w:rPr>
      </w:pPr>
      <w:r w:rsidRPr="007E769C">
        <w:rPr>
          <w:rFonts w:ascii="Verdana" w:hAnsi="Verdana"/>
          <w:sz w:val="20"/>
          <w:szCs w:val="20"/>
        </w:rPr>
        <w:t>En el ejercicio de su función jurisdiccional de supervisar el cumplimiento de sus decisiones</w:t>
      </w:r>
      <w:r w:rsidRPr="007E769C">
        <w:rPr>
          <w:rStyle w:val="Refdenotaalpie"/>
          <w:rFonts w:ascii="Verdana" w:hAnsi="Verdana"/>
          <w:sz w:val="20"/>
          <w:szCs w:val="20"/>
        </w:rPr>
        <w:footnoteReference w:id="8"/>
      </w:r>
      <w:r w:rsidR="000B4312">
        <w:rPr>
          <w:rFonts w:ascii="Verdana" w:hAnsi="Verdana"/>
          <w:sz w:val="20"/>
          <w:szCs w:val="20"/>
        </w:rPr>
        <w:t xml:space="preserve">, </w:t>
      </w:r>
      <w:r w:rsidRPr="007E769C">
        <w:rPr>
          <w:rFonts w:ascii="Verdana" w:hAnsi="Verdana"/>
          <w:sz w:val="20"/>
          <w:szCs w:val="20"/>
        </w:rPr>
        <w:t>la Corte ha venido supervisando la ejecución de la Sentencia emitida en el presente caso en el año 2013 (</w:t>
      </w:r>
      <w:r w:rsidR="00637FBB" w:rsidRPr="007E769C">
        <w:rPr>
          <w:rFonts w:ascii="Verdana" w:hAnsi="Verdana"/>
          <w:i/>
          <w:sz w:val="20"/>
          <w:szCs w:val="20"/>
        </w:rPr>
        <w:t>s</w:t>
      </w:r>
      <w:r w:rsidRPr="007E769C">
        <w:rPr>
          <w:rFonts w:ascii="Verdana" w:hAnsi="Verdana"/>
          <w:i/>
          <w:sz w:val="20"/>
          <w:szCs w:val="20"/>
        </w:rPr>
        <w:t>upra</w:t>
      </w:r>
      <w:r w:rsidRPr="007E769C">
        <w:rPr>
          <w:rFonts w:ascii="Verdana" w:hAnsi="Verdana"/>
          <w:sz w:val="20"/>
          <w:szCs w:val="20"/>
        </w:rPr>
        <w:t xml:space="preserve"> Visto 1). En la Sentencia</w:t>
      </w:r>
      <w:r w:rsidR="000B4312">
        <w:rPr>
          <w:rFonts w:ascii="Verdana" w:hAnsi="Verdana"/>
          <w:sz w:val="20"/>
          <w:szCs w:val="20"/>
        </w:rPr>
        <w:t>,</w:t>
      </w:r>
      <w:r w:rsidRPr="007E769C">
        <w:rPr>
          <w:rFonts w:ascii="Verdana" w:hAnsi="Verdana"/>
          <w:sz w:val="20"/>
          <w:szCs w:val="20"/>
        </w:rPr>
        <w:t xml:space="preserve"> </w:t>
      </w:r>
      <w:r w:rsidR="000B4312">
        <w:rPr>
          <w:rFonts w:ascii="Verdana" w:hAnsi="Verdana"/>
          <w:sz w:val="20"/>
          <w:szCs w:val="20"/>
        </w:rPr>
        <w:t>el Tribunal</w:t>
      </w:r>
      <w:r w:rsidRPr="007E769C">
        <w:rPr>
          <w:rFonts w:ascii="Verdana" w:hAnsi="Verdana"/>
          <w:sz w:val="20"/>
          <w:szCs w:val="20"/>
        </w:rPr>
        <w:t xml:space="preserve"> dispuso las siguientes medidas de reparación:</w:t>
      </w:r>
      <w:r w:rsidR="0035119B" w:rsidRPr="007E769C">
        <w:rPr>
          <w:rFonts w:ascii="Verdana" w:hAnsi="Verdana"/>
          <w:sz w:val="20"/>
          <w:szCs w:val="20"/>
        </w:rPr>
        <w:t xml:space="preserve"> </w:t>
      </w:r>
      <w:r w:rsidR="0035119B" w:rsidRPr="00426FFE">
        <w:rPr>
          <w:rFonts w:ascii="Verdana" w:hAnsi="Verdana"/>
          <w:sz w:val="20"/>
          <w:szCs w:val="20"/>
        </w:rPr>
        <w:t>a)</w:t>
      </w:r>
      <w:r w:rsidR="0035119B" w:rsidRPr="007E769C">
        <w:rPr>
          <w:rFonts w:ascii="Verdana" w:hAnsi="Verdana"/>
          <w:sz w:val="20"/>
          <w:szCs w:val="20"/>
        </w:rPr>
        <w:t xml:space="preserve"> </w:t>
      </w:r>
      <w:r w:rsidR="00550D0C" w:rsidRPr="007E769C">
        <w:rPr>
          <w:rFonts w:ascii="Verdana" w:eastAsia="Times New Roman" w:hAnsi="Verdana"/>
          <w:sz w:val="20"/>
          <w:szCs w:val="20"/>
        </w:rPr>
        <w:t>adoptar medidas para que se resuelva</w:t>
      </w:r>
      <w:r w:rsidR="000B4312">
        <w:rPr>
          <w:rFonts w:ascii="Verdana" w:eastAsia="Times New Roman" w:hAnsi="Verdana"/>
          <w:sz w:val="20"/>
          <w:szCs w:val="20"/>
        </w:rPr>
        <w:t xml:space="preserve"> con la mayor celeridad posible</w:t>
      </w:r>
      <w:r w:rsidR="00550D0C" w:rsidRPr="007E769C">
        <w:rPr>
          <w:rFonts w:ascii="Verdana" w:eastAsia="Times New Roman" w:hAnsi="Verdana"/>
          <w:sz w:val="20"/>
          <w:szCs w:val="20"/>
        </w:rPr>
        <w:t xml:space="preserve"> el proceso civil ini</w:t>
      </w:r>
      <w:r w:rsidR="0035119B" w:rsidRPr="007E769C">
        <w:rPr>
          <w:rFonts w:ascii="Verdana" w:eastAsia="Times New Roman" w:hAnsi="Verdana"/>
          <w:sz w:val="20"/>
          <w:szCs w:val="20"/>
        </w:rPr>
        <w:t xml:space="preserve">ciado contra los señores </w:t>
      </w:r>
      <w:proofErr w:type="spellStart"/>
      <w:r w:rsidR="0035119B" w:rsidRPr="007E769C">
        <w:rPr>
          <w:rFonts w:ascii="Verdana" w:eastAsia="Times New Roman" w:hAnsi="Verdana"/>
          <w:sz w:val="20"/>
          <w:szCs w:val="20"/>
        </w:rPr>
        <w:t>Mémoli</w:t>
      </w:r>
      <w:proofErr w:type="spellEnd"/>
      <w:r w:rsidR="0035119B" w:rsidRPr="007E769C">
        <w:rPr>
          <w:rFonts w:ascii="Verdana" w:eastAsia="Times New Roman" w:hAnsi="Verdana"/>
          <w:sz w:val="20"/>
          <w:szCs w:val="20"/>
        </w:rPr>
        <w:t>;</w:t>
      </w:r>
      <w:r w:rsidR="00550D0C" w:rsidRPr="007E769C">
        <w:rPr>
          <w:rFonts w:ascii="Verdana" w:eastAsia="Times New Roman" w:hAnsi="Verdana"/>
          <w:sz w:val="20"/>
          <w:szCs w:val="20"/>
        </w:rPr>
        <w:t xml:space="preserve"> </w:t>
      </w:r>
      <w:r w:rsidR="002C3C81" w:rsidRPr="00426FFE">
        <w:rPr>
          <w:rFonts w:ascii="Verdana" w:eastAsia="Times New Roman" w:hAnsi="Verdana"/>
          <w:sz w:val="20"/>
          <w:szCs w:val="20"/>
        </w:rPr>
        <w:t>b)</w:t>
      </w:r>
      <w:r w:rsidR="002C3C81" w:rsidRPr="007E769C">
        <w:rPr>
          <w:rFonts w:ascii="Verdana" w:eastAsia="Times New Roman" w:hAnsi="Verdana"/>
          <w:sz w:val="20"/>
          <w:szCs w:val="20"/>
        </w:rPr>
        <w:t xml:space="preserve"> </w:t>
      </w:r>
      <w:r w:rsidR="00550D0C" w:rsidRPr="007E769C">
        <w:rPr>
          <w:rFonts w:ascii="Verdana" w:eastAsia="Times New Roman" w:hAnsi="Verdana"/>
          <w:sz w:val="20"/>
          <w:szCs w:val="20"/>
        </w:rPr>
        <w:t>revocar</w:t>
      </w:r>
      <w:r w:rsidR="000B4312">
        <w:rPr>
          <w:rFonts w:ascii="Verdana" w:eastAsia="Times New Roman" w:hAnsi="Verdana"/>
          <w:sz w:val="20"/>
          <w:szCs w:val="20"/>
        </w:rPr>
        <w:t xml:space="preserve"> inmediatamente</w:t>
      </w:r>
      <w:r w:rsidR="00550D0C" w:rsidRPr="007E769C">
        <w:rPr>
          <w:rFonts w:ascii="Verdana" w:eastAsia="Times New Roman" w:hAnsi="Verdana"/>
          <w:sz w:val="20"/>
          <w:szCs w:val="20"/>
        </w:rPr>
        <w:t xml:space="preserve"> la medida cautelar de inhibición general de </w:t>
      </w:r>
      <w:r w:rsidR="0035119B" w:rsidRPr="007E769C">
        <w:rPr>
          <w:rFonts w:ascii="Verdana" w:eastAsia="Times New Roman" w:hAnsi="Verdana"/>
          <w:sz w:val="20"/>
          <w:szCs w:val="20"/>
        </w:rPr>
        <w:t>bienes</w:t>
      </w:r>
      <w:r w:rsidR="004A2617">
        <w:rPr>
          <w:rFonts w:ascii="Verdana" w:eastAsia="Times New Roman" w:hAnsi="Verdana"/>
          <w:sz w:val="20"/>
          <w:szCs w:val="20"/>
        </w:rPr>
        <w:t xml:space="preserve"> </w:t>
      </w:r>
      <w:r w:rsidR="00550D0C" w:rsidRPr="007E769C">
        <w:rPr>
          <w:rFonts w:ascii="Verdana" w:eastAsia="Times New Roman" w:hAnsi="Verdana"/>
          <w:sz w:val="20"/>
          <w:szCs w:val="20"/>
        </w:rPr>
        <w:t>que pesa sobre</w:t>
      </w:r>
      <w:r w:rsidR="00550D0C" w:rsidRPr="007E769C">
        <w:rPr>
          <w:rFonts w:ascii="Verdana" w:eastAsia="Times New Roman" w:hAnsi="Verdana"/>
          <w:sz w:val="20"/>
          <w:szCs w:val="20"/>
          <w:lang w:val="es-ES_tradnl"/>
        </w:rPr>
        <w:t xml:space="preserve"> </w:t>
      </w:r>
      <w:r w:rsidR="004A2617">
        <w:rPr>
          <w:rFonts w:ascii="Verdana" w:eastAsia="Times New Roman" w:hAnsi="Verdana"/>
          <w:sz w:val="20"/>
          <w:szCs w:val="20"/>
          <w:lang w:val="es-ES_tradnl"/>
        </w:rPr>
        <w:t xml:space="preserve">los señores </w:t>
      </w:r>
      <w:proofErr w:type="spellStart"/>
      <w:r w:rsidR="00550D0C" w:rsidRPr="007E769C">
        <w:rPr>
          <w:rFonts w:ascii="Verdana" w:eastAsia="Times New Roman" w:hAnsi="Verdana"/>
          <w:sz w:val="20"/>
          <w:szCs w:val="20"/>
          <w:lang w:val="es-ES_tradnl"/>
        </w:rPr>
        <w:t>Mémoli</w:t>
      </w:r>
      <w:proofErr w:type="spellEnd"/>
      <w:r w:rsidR="0035119B" w:rsidRPr="007E769C">
        <w:rPr>
          <w:rFonts w:ascii="Verdana" w:eastAsia="Times New Roman" w:hAnsi="Verdana"/>
          <w:sz w:val="20"/>
          <w:szCs w:val="20"/>
        </w:rPr>
        <w:t>;</w:t>
      </w:r>
      <w:r w:rsidR="00550D0C" w:rsidRPr="007E769C">
        <w:rPr>
          <w:rFonts w:ascii="Verdana" w:eastAsia="Times New Roman" w:hAnsi="Verdana"/>
          <w:sz w:val="20"/>
          <w:szCs w:val="20"/>
        </w:rPr>
        <w:t xml:space="preserve"> </w:t>
      </w:r>
      <w:r w:rsidR="002C3C81" w:rsidRPr="00426FFE">
        <w:rPr>
          <w:rFonts w:ascii="Verdana" w:eastAsia="Times New Roman" w:hAnsi="Verdana"/>
          <w:sz w:val="20"/>
          <w:szCs w:val="20"/>
        </w:rPr>
        <w:t>c)</w:t>
      </w:r>
      <w:r w:rsidR="002C3C81" w:rsidRPr="007E769C">
        <w:rPr>
          <w:rFonts w:ascii="Verdana" w:eastAsia="Times New Roman" w:hAnsi="Verdana"/>
          <w:sz w:val="20"/>
          <w:szCs w:val="20"/>
        </w:rPr>
        <w:t xml:space="preserve"> </w:t>
      </w:r>
      <w:r w:rsidR="00550D0C" w:rsidRPr="007E769C">
        <w:rPr>
          <w:rFonts w:ascii="Verdana" w:eastAsia="Times New Roman" w:hAnsi="Verdana"/>
          <w:sz w:val="20"/>
          <w:szCs w:val="20"/>
        </w:rPr>
        <w:t xml:space="preserve">realizar las publicaciones </w:t>
      </w:r>
      <w:r w:rsidR="002C3C81" w:rsidRPr="007E769C">
        <w:rPr>
          <w:rFonts w:ascii="Verdana" w:hAnsi="Verdana"/>
          <w:spacing w:val="-2"/>
          <w:sz w:val="20"/>
          <w:szCs w:val="20"/>
          <w:lang w:val="es-CR"/>
        </w:rPr>
        <w:t>de la Sentencia</w:t>
      </w:r>
      <w:r w:rsidR="004A2617">
        <w:rPr>
          <w:rFonts w:ascii="Verdana" w:hAnsi="Verdana"/>
          <w:spacing w:val="-2"/>
          <w:sz w:val="20"/>
          <w:szCs w:val="20"/>
          <w:lang w:val="es-CR"/>
        </w:rPr>
        <w:t xml:space="preserve"> y de su resumen oficial que se indican en el párrafo 207 de la misma</w:t>
      </w:r>
      <w:r w:rsidR="0035119B" w:rsidRPr="007E769C">
        <w:rPr>
          <w:rFonts w:ascii="Verdana" w:hAnsi="Verdana"/>
          <w:spacing w:val="-2"/>
          <w:sz w:val="20"/>
          <w:szCs w:val="20"/>
          <w:lang w:val="es-CR"/>
        </w:rPr>
        <w:t xml:space="preserve">; </w:t>
      </w:r>
      <w:r w:rsidR="0035119B" w:rsidRPr="00426FFE">
        <w:rPr>
          <w:rFonts w:ascii="Verdana" w:hAnsi="Verdana"/>
          <w:spacing w:val="-2"/>
          <w:sz w:val="20"/>
          <w:szCs w:val="20"/>
          <w:lang w:val="es-CR"/>
        </w:rPr>
        <w:t>d</w:t>
      </w:r>
      <w:r w:rsidR="002C3C81" w:rsidRPr="00426FFE">
        <w:rPr>
          <w:rFonts w:ascii="Verdana" w:hAnsi="Verdana"/>
          <w:spacing w:val="-2"/>
          <w:sz w:val="20"/>
          <w:szCs w:val="20"/>
          <w:lang w:val="es-CR"/>
        </w:rPr>
        <w:t>)</w:t>
      </w:r>
      <w:r w:rsidR="002C3C81" w:rsidRPr="007E769C">
        <w:rPr>
          <w:rFonts w:ascii="Verdana" w:hAnsi="Verdana"/>
          <w:spacing w:val="-2"/>
          <w:sz w:val="20"/>
          <w:szCs w:val="20"/>
          <w:lang w:val="es-CR"/>
        </w:rPr>
        <w:t xml:space="preserve"> </w:t>
      </w:r>
      <w:r w:rsidR="002C3C81" w:rsidRPr="007E769C">
        <w:rPr>
          <w:rFonts w:ascii="Verdana" w:eastAsia="Times New Roman" w:hAnsi="Verdana"/>
          <w:sz w:val="20"/>
          <w:szCs w:val="20"/>
        </w:rPr>
        <w:t xml:space="preserve">pagar </w:t>
      </w:r>
      <w:r w:rsidR="004A2617">
        <w:rPr>
          <w:rFonts w:ascii="Verdana" w:eastAsia="Times New Roman" w:hAnsi="Verdana"/>
          <w:sz w:val="20"/>
          <w:szCs w:val="20"/>
        </w:rPr>
        <w:t xml:space="preserve">a los señores </w:t>
      </w:r>
      <w:proofErr w:type="spellStart"/>
      <w:r w:rsidR="004A2617">
        <w:rPr>
          <w:rFonts w:ascii="Verdana" w:eastAsia="Times New Roman" w:hAnsi="Verdana"/>
          <w:sz w:val="20"/>
          <w:szCs w:val="20"/>
        </w:rPr>
        <w:t>Mémoli</w:t>
      </w:r>
      <w:proofErr w:type="spellEnd"/>
      <w:r w:rsidR="004A2617">
        <w:rPr>
          <w:rFonts w:ascii="Verdana" w:eastAsia="Times New Roman" w:hAnsi="Verdana"/>
          <w:sz w:val="20"/>
          <w:szCs w:val="20"/>
        </w:rPr>
        <w:t xml:space="preserve"> </w:t>
      </w:r>
      <w:r w:rsidR="002C3C81" w:rsidRPr="007E769C">
        <w:rPr>
          <w:rFonts w:ascii="Verdana" w:eastAsia="Times New Roman" w:hAnsi="Verdana"/>
          <w:sz w:val="20"/>
          <w:szCs w:val="20"/>
        </w:rPr>
        <w:t>las cantidades</w:t>
      </w:r>
      <w:r w:rsidR="002C3C81" w:rsidRPr="007E769C">
        <w:rPr>
          <w:rFonts w:ascii="Verdana" w:hAnsi="Verdana"/>
          <w:spacing w:val="-2"/>
          <w:sz w:val="20"/>
          <w:szCs w:val="20"/>
        </w:rPr>
        <w:t xml:space="preserve"> </w:t>
      </w:r>
      <w:r w:rsidR="004A2617">
        <w:rPr>
          <w:rFonts w:ascii="Verdana" w:hAnsi="Verdana"/>
          <w:spacing w:val="-2"/>
          <w:sz w:val="20"/>
          <w:szCs w:val="20"/>
        </w:rPr>
        <w:t xml:space="preserve">fijadas </w:t>
      </w:r>
      <w:r w:rsidR="0035119B" w:rsidRPr="007E769C">
        <w:rPr>
          <w:rFonts w:ascii="Verdana" w:eastAsia="Times New Roman" w:hAnsi="Verdana"/>
          <w:sz w:val="20"/>
          <w:szCs w:val="20"/>
        </w:rPr>
        <w:t>por concepto de indemnizaciones por daño inmaterial,</w:t>
      </w:r>
      <w:r w:rsidR="004A2617">
        <w:rPr>
          <w:rFonts w:ascii="Verdana" w:eastAsia="Times New Roman" w:hAnsi="Verdana"/>
          <w:sz w:val="20"/>
          <w:szCs w:val="20"/>
        </w:rPr>
        <w:t xml:space="preserve"> y </w:t>
      </w:r>
      <w:r w:rsidR="004A2617" w:rsidRPr="00426FFE">
        <w:rPr>
          <w:rFonts w:ascii="Verdana" w:eastAsia="Times New Roman" w:hAnsi="Verdana"/>
          <w:sz w:val="20"/>
          <w:szCs w:val="20"/>
        </w:rPr>
        <w:t>e)</w:t>
      </w:r>
      <w:r w:rsidR="004A2617">
        <w:rPr>
          <w:rFonts w:ascii="Verdana" w:eastAsia="Times New Roman" w:hAnsi="Verdana"/>
          <w:sz w:val="20"/>
          <w:szCs w:val="20"/>
        </w:rPr>
        <w:t xml:space="preserve"> pagar la cantidad fijada por reintegro de</w:t>
      </w:r>
      <w:r w:rsidR="0035119B" w:rsidRPr="007E769C">
        <w:rPr>
          <w:rFonts w:ascii="Verdana" w:hAnsi="Verdana"/>
          <w:spacing w:val="-2"/>
          <w:sz w:val="20"/>
          <w:szCs w:val="20"/>
        </w:rPr>
        <w:t xml:space="preserve"> </w:t>
      </w:r>
      <w:r w:rsidR="0035119B" w:rsidRPr="007E769C">
        <w:rPr>
          <w:rFonts w:ascii="Verdana" w:hAnsi="Verdana"/>
          <w:spacing w:val="-2"/>
          <w:sz w:val="20"/>
          <w:szCs w:val="20"/>
          <w:lang w:val="es-CR"/>
        </w:rPr>
        <w:t>costas y gastos.</w:t>
      </w:r>
    </w:p>
    <w:p w:rsidR="00B64906" w:rsidRPr="007E769C" w:rsidRDefault="00B64906" w:rsidP="00B64906">
      <w:pPr>
        <w:pStyle w:val="Prrafodelista"/>
        <w:tabs>
          <w:tab w:val="left" w:pos="0"/>
        </w:tabs>
        <w:spacing w:before="120" w:after="120" w:line="240" w:lineRule="auto"/>
        <w:ind w:left="0"/>
        <w:contextualSpacing w:val="0"/>
        <w:jc w:val="both"/>
        <w:rPr>
          <w:rFonts w:ascii="Verdana" w:hAnsi="Verdana"/>
          <w:sz w:val="20"/>
          <w:szCs w:val="20"/>
        </w:rPr>
      </w:pPr>
    </w:p>
    <w:p w:rsidR="004A2617" w:rsidRPr="00C367E3" w:rsidRDefault="0025576E" w:rsidP="00A054AC">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De conformidad con </w:t>
      </w:r>
      <w:r w:rsidRPr="00C367E3">
        <w:rPr>
          <w:rFonts w:ascii="Verdana" w:hAnsi="Verdana"/>
          <w:color w:val="000000"/>
          <w:sz w:val="20"/>
          <w:szCs w:val="20"/>
          <w:lang w:val="es-ES"/>
        </w:rPr>
        <w:t>lo establecido en el artículo</w:t>
      </w:r>
      <w:r w:rsidRPr="00C367E3">
        <w:rPr>
          <w:rFonts w:ascii="Verdana" w:hAnsi="Verdana"/>
          <w:color w:val="000000"/>
          <w:sz w:val="20"/>
          <w:szCs w:val="20"/>
        </w:rPr>
        <w:t xml:space="preserve"> </w:t>
      </w:r>
      <w:r w:rsidRPr="00C367E3">
        <w:rPr>
          <w:rFonts w:ascii="Verdana" w:hAnsi="Verdana"/>
          <w:color w:val="000000"/>
          <w:sz w:val="20"/>
          <w:szCs w:val="20"/>
          <w:lang w:val="es-CO"/>
        </w:rPr>
        <w:t xml:space="preserve">68.1 de la Convención Americana, “[l]os Estados Partes en la Convención se comprometen a cumplir la decisión de la </w:t>
      </w:r>
      <w:r w:rsidRPr="00C367E3">
        <w:rPr>
          <w:rFonts w:ascii="Verdana" w:hAnsi="Verdana"/>
          <w:color w:val="000000"/>
          <w:sz w:val="20"/>
          <w:szCs w:val="20"/>
          <w:lang w:val="es-MX"/>
        </w:rPr>
        <w:t>Corte en todo caso en que sean parte</w:t>
      </w:r>
      <w:r w:rsidRPr="00C367E3">
        <w:rPr>
          <w:rFonts w:ascii="Verdana" w:hAnsi="Verdana"/>
          <w:i/>
          <w:color w:val="000000"/>
          <w:sz w:val="20"/>
          <w:szCs w:val="20"/>
          <w:lang w:val="es-MX"/>
        </w:rPr>
        <w:t>s”</w:t>
      </w:r>
      <w:r w:rsidRPr="00C367E3">
        <w:rPr>
          <w:rFonts w:ascii="Verdana" w:hAnsi="Verdana" w:cs="Verdana"/>
          <w:i/>
          <w:color w:val="000000"/>
          <w:sz w:val="20"/>
          <w:szCs w:val="20"/>
          <w:lang w:val="es-MX"/>
        </w:rPr>
        <w:t>.</w:t>
      </w:r>
      <w:r w:rsidRPr="00C367E3">
        <w:rPr>
          <w:rFonts w:ascii="Verdana" w:hAnsi="Verdana" w:cs="Verdana"/>
          <w:color w:val="000000"/>
          <w:sz w:val="20"/>
          <w:szCs w:val="20"/>
          <w:lang w:val="es-MX"/>
        </w:rPr>
        <w:t xml:space="preserve"> </w:t>
      </w:r>
      <w:r w:rsidRPr="00C367E3">
        <w:rPr>
          <w:rFonts w:ascii="Verdana" w:hAnsi="Verdana"/>
          <w:color w:val="000000"/>
          <w:sz w:val="20"/>
          <w:szCs w:val="20"/>
          <w:lang w:val="es-MX"/>
        </w:rPr>
        <w:t>Esta obligación incluye el deber del Estado de informar a la Corte sobre las medidas adoptadas</w:t>
      </w:r>
      <w:r w:rsidRPr="00C367E3">
        <w:rPr>
          <w:rFonts w:ascii="Verdana" w:hAnsi="Verdana"/>
          <w:color w:val="000000"/>
          <w:sz w:val="20"/>
          <w:szCs w:val="20"/>
        </w:rPr>
        <w:t xml:space="preserve"> para cumplir cada uno de los puntos ordenados por ésta, lo cual es funda</w:t>
      </w:r>
      <w:r w:rsidRPr="00C367E3">
        <w:rPr>
          <w:rFonts w:ascii="Verdana" w:hAnsi="Verdana"/>
          <w:color w:val="000000"/>
          <w:sz w:val="20"/>
          <w:szCs w:val="20"/>
          <w:lang w:val="es-MX"/>
        </w:rPr>
        <w:t>mental para evaluar</w:t>
      </w:r>
      <w:r w:rsidRPr="00C367E3">
        <w:rPr>
          <w:rFonts w:ascii="Verdana" w:hAnsi="Verdana"/>
          <w:color w:val="000000"/>
          <w:sz w:val="20"/>
          <w:szCs w:val="20"/>
        </w:rPr>
        <w:t xml:space="preserve"> el estado de cumplimiento de la Sentencia en su conjunto</w:t>
      </w:r>
      <w:r w:rsidR="004A2617">
        <w:rPr>
          <w:rStyle w:val="Refdenotaalpie"/>
          <w:rFonts w:ascii="Verdana" w:hAnsi="Verdana"/>
        </w:rPr>
        <w:footnoteReference w:id="9"/>
      </w:r>
      <w:r w:rsidRPr="00C367E3">
        <w:rPr>
          <w:rFonts w:ascii="Verdana" w:hAnsi="Verdana"/>
          <w:color w:val="000000"/>
          <w:sz w:val="20"/>
          <w:szCs w:val="20"/>
        </w:rPr>
        <w:t>.</w:t>
      </w:r>
      <w:r w:rsidR="00A054AC" w:rsidRPr="00C367E3">
        <w:rPr>
          <w:rFonts w:ascii="Verdana" w:hAnsi="Verdana"/>
          <w:color w:val="000000"/>
          <w:sz w:val="20"/>
          <w:szCs w:val="20"/>
        </w:rPr>
        <w:t xml:space="preserve"> </w:t>
      </w:r>
      <w:r w:rsidRPr="00C367E3">
        <w:rPr>
          <w:rFonts w:ascii="Verdana" w:hAnsi="Verdana" w:cs="Verdana"/>
          <w:color w:val="000000"/>
          <w:sz w:val="20"/>
          <w:szCs w:val="20"/>
          <w:lang w:val="es-ES"/>
        </w:rPr>
        <w:t>Los Estados Parte en la Convención deben garantizar el cumplimiento de las disposiciones convencionales y sus efectos propios (</w:t>
      </w:r>
      <w:proofErr w:type="spellStart"/>
      <w:r w:rsidRPr="00C367E3">
        <w:rPr>
          <w:rFonts w:ascii="Verdana" w:hAnsi="Verdana" w:cs="Verdana-Italic"/>
          <w:i/>
          <w:iCs/>
          <w:color w:val="000000"/>
          <w:sz w:val="20"/>
          <w:szCs w:val="20"/>
          <w:lang w:val="es-ES"/>
        </w:rPr>
        <w:t>effet</w:t>
      </w:r>
      <w:proofErr w:type="spellEnd"/>
      <w:r w:rsidRPr="00C367E3">
        <w:rPr>
          <w:rFonts w:ascii="Verdana" w:hAnsi="Verdana" w:cs="Verdana-Italic"/>
          <w:i/>
          <w:iCs/>
          <w:color w:val="000000"/>
          <w:sz w:val="20"/>
          <w:szCs w:val="20"/>
          <w:lang w:val="es-ES"/>
        </w:rPr>
        <w:t xml:space="preserve"> </w:t>
      </w:r>
      <w:proofErr w:type="spellStart"/>
      <w:r w:rsidRPr="00C367E3">
        <w:rPr>
          <w:rFonts w:ascii="Verdana" w:hAnsi="Verdana" w:cs="Verdana-Italic"/>
          <w:i/>
          <w:iCs/>
          <w:color w:val="000000"/>
          <w:sz w:val="20"/>
          <w:szCs w:val="20"/>
          <w:lang w:val="es-ES"/>
        </w:rPr>
        <w:t>utile</w:t>
      </w:r>
      <w:proofErr w:type="spellEnd"/>
      <w:r w:rsidRPr="00C367E3">
        <w:rPr>
          <w:rFonts w:ascii="Verdana" w:hAnsi="Verdana" w:cs="Verdana"/>
          <w:color w:val="000000"/>
          <w:sz w:val="20"/>
          <w:szCs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C367E3">
        <w:rPr>
          <w:rStyle w:val="Refdenotaalpie"/>
          <w:rFonts w:ascii="Verdana" w:hAnsi="Verdana" w:cs="Verdana"/>
          <w:color w:val="000000"/>
          <w:sz w:val="20"/>
          <w:szCs w:val="20"/>
        </w:rPr>
        <w:footnoteReference w:id="10"/>
      </w:r>
      <w:r w:rsidRPr="00C367E3">
        <w:rPr>
          <w:rFonts w:ascii="Verdana" w:hAnsi="Verdana" w:cs="Verdana"/>
          <w:color w:val="000000"/>
          <w:sz w:val="20"/>
          <w:szCs w:val="20"/>
          <w:lang w:val="es-ES"/>
        </w:rPr>
        <w:t>.</w:t>
      </w:r>
    </w:p>
    <w:p w:rsidR="00B64906" w:rsidRPr="00C367E3" w:rsidRDefault="00B64906" w:rsidP="00B64906">
      <w:pPr>
        <w:pStyle w:val="Prrafodelista"/>
        <w:rPr>
          <w:rFonts w:ascii="Verdana" w:hAnsi="Verdana"/>
          <w:color w:val="000000"/>
          <w:sz w:val="20"/>
          <w:szCs w:val="20"/>
        </w:rPr>
      </w:pPr>
    </w:p>
    <w:p w:rsidR="0025576E" w:rsidRPr="00C367E3" w:rsidRDefault="004A2617" w:rsidP="004A2617">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Pr>
          <w:rFonts w:ascii="Verdana" w:hAnsi="Verdana"/>
          <w:sz w:val="20"/>
          <w:szCs w:val="20"/>
        </w:rPr>
        <w:t>L</w:t>
      </w:r>
      <w:r w:rsidR="0025576E" w:rsidRPr="004A2617">
        <w:rPr>
          <w:rFonts w:ascii="Verdana" w:hAnsi="Verdana"/>
          <w:sz w:val="20"/>
          <w:szCs w:val="20"/>
        </w:rPr>
        <w:t xml:space="preserve">a Corte </w:t>
      </w:r>
      <w:r w:rsidR="0025576E" w:rsidRPr="004A2617">
        <w:rPr>
          <w:rFonts w:ascii="Verdana" w:hAnsi="Verdana"/>
          <w:sz w:val="20"/>
          <w:szCs w:val="20"/>
          <w:lang w:val="es-ES"/>
        </w:rPr>
        <w:t xml:space="preserve">valorará la información presentada por las partes respecto de las </w:t>
      </w:r>
      <w:r w:rsidR="00C629B4" w:rsidRPr="004A2617">
        <w:rPr>
          <w:rFonts w:ascii="Verdana" w:hAnsi="Verdana"/>
          <w:sz w:val="20"/>
          <w:szCs w:val="20"/>
          <w:lang w:val="es-ES"/>
        </w:rPr>
        <w:t>c</w:t>
      </w:r>
      <w:r w:rsidR="00C629B4">
        <w:rPr>
          <w:rFonts w:ascii="Verdana" w:hAnsi="Verdana"/>
          <w:sz w:val="20"/>
          <w:szCs w:val="20"/>
          <w:lang w:val="es-ES"/>
        </w:rPr>
        <w:t>inco</w:t>
      </w:r>
      <w:r w:rsidR="00C629B4" w:rsidRPr="004A2617">
        <w:rPr>
          <w:rFonts w:ascii="Verdana" w:hAnsi="Verdana"/>
          <w:sz w:val="20"/>
          <w:szCs w:val="20"/>
          <w:lang w:val="es-ES"/>
        </w:rPr>
        <w:t xml:space="preserve"> </w:t>
      </w:r>
      <w:r w:rsidR="0025576E" w:rsidRPr="004A2617">
        <w:rPr>
          <w:rFonts w:ascii="Verdana" w:hAnsi="Verdana"/>
          <w:sz w:val="20"/>
          <w:szCs w:val="20"/>
          <w:lang w:val="es-ES"/>
        </w:rPr>
        <w:t>medidas de reparación ordenadas en este caso (</w:t>
      </w:r>
      <w:r w:rsidR="0025576E" w:rsidRPr="004A2617">
        <w:rPr>
          <w:rFonts w:ascii="Verdana" w:hAnsi="Verdana"/>
          <w:i/>
          <w:sz w:val="20"/>
          <w:szCs w:val="20"/>
          <w:lang w:val="es-ES"/>
        </w:rPr>
        <w:t xml:space="preserve">supra </w:t>
      </w:r>
      <w:r w:rsidR="0025576E" w:rsidRPr="004A2617">
        <w:rPr>
          <w:rFonts w:ascii="Verdana" w:hAnsi="Verdana"/>
          <w:sz w:val="20"/>
          <w:szCs w:val="20"/>
          <w:lang w:val="es-ES"/>
        </w:rPr>
        <w:t xml:space="preserve">Considerando 1), y determinará el grado de cumplimiento por parte del Estado. </w:t>
      </w:r>
      <w:r w:rsidR="00C629B4">
        <w:rPr>
          <w:rFonts w:ascii="Verdana" w:hAnsi="Verdana"/>
          <w:sz w:val="20"/>
          <w:szCs w:val="20"/>
          <w:lang w:val="es-ES"/>
        </w:rPr>
        <w:t xml:space="preserve">Las consideraciones se </w:t>
      </w:r>
      <w:r w:rsidR="0025576E" w:rsidRPr="004A2617">
        <w:rPr>
          <w:rFonts w:ascii="Verdana" w:hAnsi="Verdana"/>
          <w:sz w:val="20"/>
          <w:szCs w:val="20"/>
          <w:lang w:val="es-ES"/>
        </w:rPr>
        <w:t>estructurará</w:t>
      </w:r>
      <w:r w:rsidR="00C629B4">
        <w:rPr>
          <w:rFonts w:ascii="Verdana" w:hAnsi="Verdana"/>
          <w:sz w:val="20"/>
          <w:szCs w:val="20"/>
          <w:lang w:val="es-ES"/>
        </w:rPr>
        <w:t>n</w:t>
      </w:r>
      <w:r w:rsidR="0025576E" w:rsidRPr="004A2617">
        <w:rPr>
          <w:rFonts w:ascii="Verdana" w:hAnsi="Verdana"/>
          <w:sz w:val="20"/>
          <w:szCs w:val="20"/>
          <w:lang w:val="es-ES"/>
        </w:rPr>
        <w:t xml:space="preserve"> en el siguiente orden:</w:t>
      </w:r>
    </w:p>
    <w:p w:rsidR="001B771E" w:rsidRPr="00C367E3" w:rsidRDefault="001B771E" w:rsidP="001B771E">
      <w:pPr>
        <w:pStyle w:val="Prrafodelista"/>
        <w:spacing w:after="0" w:line="240" w:lineRule="auto"/>
        <w:contextualSpacing w:val="0"/>
        <w:rPr>
          <w:rFonts w:ascii="Verdana" w:hAnsi="Verdana"/>
          <w:color w:val="000000"/>
          <w:sz w:val="20"/>
          <w:szCs w:val="20"/>
        </w:rPr>
      </w:pPr>
    </w:p>
    <w:p w:rsidR="00AD20E2" w:rsidRPr="00C367E3" w:rsidRDefault="00B24862">
      <w:pPr>
        <w:pStyle w:val="TDC1"/>
        <w:tabs>
          <w:tab w:val="left" w:pos="1320"/>
        </w:tabs>
        <w:rPr>
          <w:rFonts w:ascii="Verdana" w:eastAsia="MS Mincho" w:hAnsi="Verdana"/>
          <w:noProof/>
          <w:sz w:val="16"/>
          <w:szCs w:val="16"/>
          <w:lang w:val="es-CR" w:eastAsia="es-CR"/>
        </w:rPr>
      </w:pPr>
      <w:r w:rsidRPr="00C367E3">
        <w:rPr>
          <w:rFonts w:ascii="Verdana" w:hAnsi="Verdana"/>
          <w:color w:val="000000"/>
          <w:sz w:val="16"/>
          <w:szCs w:val="16"/>
        </w:rPr>
        <w:lastRenderedPageBreak/>
        <w:fldChar w:fldCharType="begin"/>
      </w:r>
      <w:r w:rsidRPr="00C367E3">
        <w:rPr>
          <w:rFonts w:ascii="Verdana" w:hAnsi="Verdana"/>
          <w:color w:val="000000"/>
          <w:sz w:val="16"/>
          <w:szCs w:val="16"/>
        </w:rPr>
        <w:instrText xml:space="preserve"> TOC \o "1-3" \h \z \u </w:instrText>
      </w:r>
      <w:r w:rsidRPr="00C367E3">
        <w:rPr>
          <w:rFonts w:ascii="Verdana" w:hAnsi="Verdana"/>
          <w:color w:val="000000"/>
          <w:sz w:val="16"/>
          <w:szCs w:val="16"/>
        </w:rPr>
        <w:fldChar w:fldCharType="separate"/>
      </w:r>
      <w:hyperlink w:anchor="_Toc473708791" w:history="1">
        <w:r w:rsidR="00AD20E2" w:rsidRPr="00AD20E2">
          <w:rPr>
            <w:rStyle w:val="Hipervnculo"/>
            <w:rFonts w:ascii="Verdana" w:eastAsia="Times New Roman" w:hAnsi="Verdana"/>
            <w:i/>
            <w:noProof/>
            <w:sz w:val="16"/>
            <w:szCs w:val="16"/>
          </w:rPr>
          <w:t>A.</w:t>
        </w:r>
        <w:r w:rsidR="00AD20E2" w:rsidRPr="00C367E3">
          <w:rPr>
            <w:rFonts w:ascii="Verdana" w:eastAsia="MS Mincho" w:hAnsi="Verdana"/>
            <w:noProof/>
            <w:sz w:val="16"/>
            <w:szCs w:val="16"/>
            <w:lang w:val="es-CR" w:eastAsia="es-CR"/>
          </w:rPr>
          <w:tab/>
        </w:r>
        <w:r w:rsidR="00AD20E2" w:rsidRPr="00AD20E2">
          <w:rPr>
            <w:rStyle w:val="Hipervnculo"/>
            <w:rFonts w:ascii="Verdana" w:eastAsia="Times New Roman" w:hAnsi="Verdana"/>
            <w:i/>
            <w:noProof/>
            <w:sz w:val="16"/>
            <w:szCs w:val="16"/>
          </w:rPr>
          <w:t>Revocar inmediatamente la medida cautelar de inhibición general de bienes que pesa sobre los señores Mémoli</w:t>
        </w:r>
        <w:r w:rsidR="00AD20E2" w:rsidRPr="00AD20E2">
          <w:rPr>
            <w:rFonts w:ascii="Verdana" w:hAnsi="Verdana"/>
            <w:noProof/>
            <w:webHidden/>
            <w:sz w:val="16"/>
            <w:szCs w:val="16"/>
          </w:rPr>
          <w:tab/>
        </w:r>
        <w:r w:rsidR="00AD20E2" w:rsidRPr="00AD20E2">
          <w:rPr>
            <w:rFonts w:ascii="Verdana" w:hAnsi="Verdana"/>
            <w:noProof/>
            <w:webHidden/>
            <w:sz w:val="16"/>
            <w:szCs w:val="16"/>
          </w:rPr>
          <w:fldChar w:fldCharType="begin"/>
        </w:r>
        <w:r w:rsidR="00AD20E2" w:rsidRPr="00AD20E2">
          <w:rPr>
            <w:rFonts w:ascii="Verdana" w:hAnsi="Verdana"/>
            <w:noProof/>
            <w:webHidden/>
            <w:sz w:val="16"/>
            <w:szCs w:val="16"/>
          </w:rPr>
          <w:instrText xml:space="preserve"> PAGEREF _Toc473708791 \h </w:instrText>
        </w:r>
        <w:r w:rsidR="00AD20E2" w:rsidRPr="00AD20E2">
          <w:rPr>
            <w:rFonts w:ascii="Verdana" w:hAnsi="Verdana"/>
            <w:noProof/>
            <w:webHidden/>
            <w:sz w:val="16"/>
            <w:szCs w:val="16"/>
          </w:rPr>
        </w:r>
        <w:r w:rsidR="00AD20E2" w:rsidRPr="00AD20E2">
          <w:rPr>
            <w:rFonts w:ascii="Verdana" w:hAnsi="Verdana"/>
            <w:noProof/>
            <w:webHidden/>
            <w:sz w:val="16"/>
            <w:szCs w:val="16"/>
          </w:rPr>
          <w:fldChar w:fldCharType="separate"/>
        </w:r>
        <w:r w:rsidR="00322650">
          <w:rPr>
            <w:rFonts w:ascii="Verdana" w:hAnsi="Verdana"/>
            <w:noProof/>
            <w:webHidden/>
            <w:sz w:val="16"/>
            <w:szCs w:val="16"/>
          </w:rPr>
          <w:t>3</w:t>
        </w:r>
        <w:r w:rsidR="00AD20E2" w:rsidRPr="00AD20E2">
          <w:rPr>
            <w:rFonts w:ascii="Verdana" w:hAnsi="Verdana"/>
            <w:noProof/>
            <w:webHidden/>
            <w:sz w:val="16"/>
            <w:szCs w:val="16"/>
          </w:rPr>
          <w:fldChar w:fldCharType="end"/>
        </w:r>
      </w:hyperlink>
    </w:p>
    <w:p w:rsidR="00AD20E2" w:rsidRPr="00C367E3" w:rsidRDefault="007070CF">
      <w:pPr>
        <w:pStyle w:val="TDC1"/>
        <w:tabs>
          <w:tab w:val="left" w:pos="1320"/>
        </w:tabs>
        <w:rPr>
          <w:rFonts w:ascii="Verdana" w:eastAsia="MS Mincho" w:hAnsi="Verdana"/>
          <w:noProof/>
          <w:sz w:val="16"/>
          <w:szCs w:val="16"/>
          <w:lang w:val="es-CR" w:eastAsia="es-CR"/>
        </w:rPr>
      </w:pPr>
      <w:hyperlink w:anchor="_Toc473708792" w:history="1">
        <w:r w:rsidR="00AD20E2" w:rsidRPr="00AD20E2">
          <w:rPr>
            <w:rStyle w:val="Hipervnculo"/>
            <w:rFonts w:ascii="Verdana" w:hAnsi="Verdana"/>
            <w:i/>
            <w:noProof/>
            <w:sz w:val="16"/>
            <w:szCs w:val="16"/>
          </w:rPr>
          <w:t>B.</w:t>
        </w:r>
        <w:r w:rsidR="00AD20E2" w:rsidRPr="00C367E3">
          <w:rPr>
            <w:rFonts w:ascii="Verdana" w:eastAsia="MS Mincho" w:hAnsi="Verdana"/>
            <w:noProof/>
            <w:sz w:val="16"/>
            <w:szCs w:val="16"/>
            <w:lang w:val="es-CR" w:eastAsia="es-CR"/>
          </w:rPr>
          <w:tab/>
        </w:r>
        <w:r w:rsidR="00AD20E2" w:rsidRPr="00AD20E2">
          <w:rPr>
            <w:rStyle w:val="Hipervnculo"/>
            <w:rFonts w:ascii="Verdana" w:hAnsi="Verdana"/>
            <w:i/>
            <w:noProof/>
            <w:sz w:val="16"/>
            <w:szCs w:val="16"/>
          </w:rPr>
          <w:t>Resolver el proceso civil seguido contra los señores Mémoli</w:t>
        </w:r>
        <w:r w:rsidR="00AD20E2" w:rsidRPr="00AD20E2">
          <w:rPr>
            <w:rFonts w:ascii="Verdana" w:hAnsi="Verdana"/>
            <w:noProof/>
            <w:webHidden/>
            <w:sz w:val="16"/>
            <w:szCs w:val="16"/>
          </w:rPr>
          <w:tab/>
        </w:r>
        <w:r w:rsidR="00AD20E2" w:rsidRPr="00AD20E2">
          <w:rPr>
            <w:rFonts w:ascii="Verdana" w:hAnsi="Verdana"/>
            <w:noProof/>
            <w:webHidden/>
            <w:sz w:val="16"/>
            <w:szCs w:val="16"/>
          </w:rPr>
          <w:fldChar w:fldCharType="begin"/>
        </w:r>
        <w:r w:rsidR="00AD20E2" w:rsidRPr="00AD20E2">
          <w:rPr>
            <w:rFonts w:ascii="Verdana" w:hAnsi="Verdana"/>
            <w:noProof/>
            <w:webHidden/>
            <w:sz w:val="16"/>
            <w:szCs w:val="16"/>
          </w:rPr>
          <w:instrText xml:space="preserve"> PAGEREF _Toc473708792 \h </w:instrText>
        </w:r>
        <w:r w:rsidR="00AD20E2" w:rsidRPr="00AD20E2">
          <w:rPr>
            <w:rFonts w:ascii="Verdana" w:hAnsi="Verdana"/>
            <w:noProof/>
            <w:webHidden/>
            <w:sz w:val="16"/>
            <w:szCs w:val="16"/>
          </w:rPr>
        </w:r>
        <w:r w:rsidR="00AD20E2" w:rsidRPr="00AD20E2">
          <w:rPr>
            <w:rFonts w:ascii="Verdana" w:hAnsi="Verdana"/>
            <w:noProof/>
            <w:webHidden/>
            <w:sz w:val="16"/>
            <w:szCs w:val="16"/>
          </w:rPr>
          <w:fldChar w:fldCharType="separate"/>
        </w:r>
        <w:r w:rsidR="00322650">
          <w:rPr>
            <w:rFonts w:ascii="Verdana" w:hAnsi="Verdana"/>
            <w:noProof/>
            <w:webHidden/>
            <w:sz w:val="16"/>
            <w:szCs w:val="16"/>
          </w:rPr>
          <w:t>4</w:t>
        </w:r>
        <w:r w:rsidR="00AD20E2" w:rsidRPr="00AD20E2">
          <w:rPr>
            <w:rFonts w:ascii="Verdana" w:hAnsi="Verdana"/>
            <w:noProof/>
            <w:webHidden/>
            <w:sz w:val="16"/>
            <w:szCs w:val="16"/>
          </w:rPr>
          <w:fldChar w:fldCharType="end"/>
        </w:r>
      </w:hyperlink>
    </w:p>
    <w:p w:rsidR="00AD20E2" w:rsidRPr="00C367E3" w:rsidRDefault="007070CF">
      <w:pPr>
        <w:pStyle w:val="TDC1"/>
        <w:tabs>
          <w:tab w:val="left" w:pos="1320"/>
        </w:tabs>
        <w:rPr>
          <w:rFonts w:ascii="Verdana" w:eastAsia="MS Mincho" w:hAnsi="Verdana"/>
          <w:noProof/>
          <w:sz w:val="16"/>
          <w:szCs w:val="16"/>
          <w:lang w:val="es-CR" w:eastAsia="es-CR"/>
        </w:rPr>
      </w:pPr>
      <w:hyperlink w:anchor="_Toc473708793" w:history="1">
        <w:r w:rsidR="00AD20E2" w:rsidRPr="00AD20E2">
          <w:rPr>
            <w:rStyle w:val="Hipervnculo"/>
            <w:rFonts w:ascii="Verdana" w:hAnsi="Verdana"/>
            <w:i/>
            <w:noProof/>
            <w:sz w:val="16"/>
            <w:szCs w:val="16"/>
          </w:rPr>
          <w:t>C.</w:t>
        </w:r>
        <w:r w:rsidR="00AD20E2" w:rsidRPr="00C367E3">
          <w:rPr>
            <w:rFonts w:ascii="Verdana" w:eastAsia="MS Mincho" w:hAnsi="Verdana"/>
            <w:noProof/>
            <w:sz w:val="16"/>
            <w:szCs w:val="16"/>
            <w:lang w:val="es-CR" w:eastAsia="es-CR"/>
          </w:rPr>
          <w:tab/>
        </w:r>
        <w:r w:rsidR="000B4312">
          <w:rPr>
            <w:rStyle w:val="Hipervnculo"/>
            <w:rFonts w:ascii="Verdana" w:eastAsia="Times New Roman" w:hAnsi="Verdana"/>
            <w:i/>
            <w:noProof/>
            <w:sz w:val="16"/>
            <w:szCs w:val="16"/>
          </w:rPr>
          <w:t>P</w:t>
        </w:r>
        <w:r w:rsidR="00AD20E2" w:rsidRPr="00AD20E2">
          <w:rPr>
            <w:rStyle w:val="Hipervnculo"/>
            <w:rFonts w:ascii="Verdana" w:eastAsia="Times New Roman" w:hAnsi="Verdana"/>
            <w:i/>
            <w:noProof/>
            <w:sz w:val="16"/>
            <w:szCs w:val="16"/>
          </w:rPr>
          <w:t>ublicaci</w:t>
        </w:r>
        <w:r w:rsidR="000B4312">
          <w:rPr>
            <w:rStyle w:val="Hipervnculo"/>
            <w:rFonts w:ascii="Verdana" w:eastAsia="Times New Roman" w:hAnsi="Verdana"/>
            <w:i/>
            <w:noProof/>
            <w:sz w:val="16"/>
            <w:szCs w:val="16"/>
          </w:rPr>
          <w:t>ó</w:t>
        </w:r>
        <w:r w:rsidR="00AD20E2" w:rsidRPr="00AD20E2">
          <w:rPr>
            <w:rStyle w:val="Hipervnculo"/>
            <w:rFonts w:ascii="Verdana" w:eastAsia="Times New Roman" w:hAnsi="Verdana"/>
            <w:i/>
            <w:noProof/>
            <w:sz w:val="16"/>
            <w:szCs w:val="16"/>
          </w:rPr>
          <w:t xml:space="preserve">n de la Sentencia </w:t>
        </w:r>
        <w:r w:rsidR="000B4312">
          <w:rPr>
            <w:rStyle w:val="Hipervnculo"/>
            <w:rFonts w:ascii="Verdana" w:eastAsia="Times New Roman" w:hAnsi="Verdana"/>
            <w:i/>
            <w:noProof/>
            <w:sz w:val="16"/>
            <w:szCs w:val="16"/>
          </w:rPr>
          <w:t>y de su resumen oficial</w:t>
        </w:r>
        <w:r w:rsidR="00AD20E2" w:rsidRPr="00AD20E2">
          <w:rPr>
            <w:rFonts w:ascii="Verdana" w:hAnsi="Verdana"/>
            <w:noProof/>
            <w:webHidden/>
            <w:sz w:val="16"/>
            <w:szCs w:val="16"/>
          </w:rPr>
          <w:tab/>
        </w:r>
        <w:r w:rsidR="00AD20E2" w:rsidRPr="00AD20E2">
          <w:rPr>
            <w:rFonts w:ascii="Verdana" w:hAnsi="Verdana"/>
            <w:noProof/>
            <w:webHidden/>
            <w:sz w:val="16"/>
            <w:szCs w:val="16"/>
          </w:rPr>
          <w:fldChar w:fldCharType="begin"/>
        </w:r>
        <w:r w:rsidR="00AD20E2" w:rsidRPr="00AD20E2">
          <w:rPr>
            <w:rFonts w:ascii="Verdana" w:hAnsi="Verdana"/>
            <w:noProof/>
            <w:webHidden/>
            <w:sz w:val="16"/>
            <w:szCs w:val="16"/>
          </w:rPr>
          <w:instrText xml:space="preserve"> PAGEREF _Toc473708793 \h </w:instrText>
        </w:r>
        <w:r w:rsidR="00AD20E2" w:rsidRPr="00AD20E2">
          <w:rPr>
            <w:rFonts w:ascii="Verdana" w:hAnsi="Verdana"/>
            <w:noProof/>
            <w:webHidden/>
            <w:sz w:val="16"/>
            <w:szCs w:val="16"/>
          </w:rPr>
        </w:r>
        <w:r w:rsidR="00AD20E2" w:rsidRPr="00AD20E2">
          <w:rPr>
            <w:rFonts w:ascii="Verdana" w:hAnsi="Verdana"/>
            <w:noProof/>
            <w:webHidden/>
            <w:sz w:val="16"/>
            <w:szCs w:val="16"/>
          </w:rPr>
          <w:fldChar w:fldCharType="separate"/>
        </w:r>
        <w:r w:rsidR="00322650">
          <w:rPr>
            <w:rFonts w:ascii="Verdana" w:hAnsi="Verdana"/>
            <w:noProof/>
            <w:webHidden/>
            <w:sz w:val="16"/>
            <w:szCs w:val="16"/>
          </w:rPr>
          <w:t>5</w:t>
        </w:r>
        <w:r w:rsidR="00AD20E2" w:rsidRPr="00AD20E2">
          <w:rPr>
            <w:rFonts w:ascii="Verdana" w:hAnsi="Verdana"/>
            <w:noProof/>
            <w:webHidden/>
            <w:sz w:val="16"/>
            <w:szCs w:val="16"/>
          </w:rPr>
          <w:fldChar w:fldCharType="end"/>
        </w:r>
      </w:hyperlink>
    </w:p>
    <w:p w:rsidR="00AD20E2" w:rsidRPr="00C367E3" w:rsidRDefault="007070CF">
      <w:pPr>
        <w:pStyle w:val="TDC1"/>
        <w:tabs>
          <w:tab w:val="left" w:pos="1320"/>
        </w:tabs>
        <w:rPr>
          <w:rFonts w:eastAsia="MS Mincho"/>
          <w:noProof/>
          <w:lang w:val="es-CR" w:eastAsia="es-CR"/>
        </w:rPr>
      </w:pPr>
      <w:hyperlink w:anchor="_Toc473708794" w:history="1">
        <w:r w:rsidR="00AD20E2" w:rsidRPr="00AD20E2">
          <w:rPr>
            <w:rStyle w:val="Hipervnculo"/>
            <w:rFonts w:ascii="Verdana" w:hAnsi="Verdana"/>
            <w:i/>
            <w:noProof/>
            <w:sz w:val="16"/>
            <w:szCs w:val="16"/>
          </w:rPr>
          <w:t>D.</w:t>
        </w:r>
        <w:r w:rsidR="00AD20E2" w:rsidRPr="00C367E3">
          <w:rPr>
            <w:rFonts w:ascii="Verdana" w:eastAsia="MS Mincho" w:hAnsi="Verdana"/>
            <w:noProof/>
            <w:sz w:val="16"/>
            <w:szCs w:val="16"/>
            <w:lang w:val="es-CR" w:eastAsia="es-CR"/>
          </w:rPr>
          <w:tab/>
        </w:r>
        <w:r w:rsidR="00AD20E2" w:rsidRPr="00AD20E2">
          <w:rPr>
            <w:rStyle w:val="Hipervnculo"/>
            <w:rFonts w:ascii="Verdana" w:eastAsia="Times New Roman" w:hAnsi="Verdana"/>
            <w:i/>
            <w:noProof/>
            <w:sz w:val="16"/>
            <w:szCs w:val="16"/>
          </w:rPr>
          <w:t>Indemnizaciones por daño inmaterial y reintegro de costas y gastos</w:t>
        </w:r>
        <w:r w:rsidR="00AD20E2" w:rsidRPr="00AD20E2">
          <w:rPr>
            <w:rFonts w:ascii="Verdana" w:hAnsi="Verdana"/>
            <w:noProof/>
            <w:webHidden/>
            <w:sz w:val="16"/>
            <w:szCs w:val="16"/>
          </w:rPr>
          <w:tab/>
        </w:r>
        <w:r w:rsidR="00AD20E2" w:rsidRPr="00AD20E2">
          <w:rPr>
            <w:rFonts w:ascii="Verdana" w:hAnsi="Verdana"/>
            <w:noProof/>
            <w:webHidden/>
            <w:sz w:val="16"/>
            <w:szCs w:val="16"/>
          </w:rPr>
          <w:fldChar w:fldCharType="begin"/>
        </w:r>
        <w:r w:rsidR="00AD20E2" w:rsidRPr="00AD20E2">
          <w:rPr>
            <w:rFonts w:ascii="Verdana" w:hAnsi="Verdana"/>
            <w:noProof/>
            <w:webHidden/>
            <w:sz w:val="16"/>
            <w:szCs w:val="16"/>
          </w:rPr>
          <w:instrText xml:space="preserve"> PAGEREF _Toc473708794 \h </w:instrText>
        </w:r>
        <w:r w:rsidR="00AD20E2" w:rsidRPr="00AD20E2">
          <w:rPr>
            <w:rFonts w:ascii="Verdana" w:hAnsi="Verdana"/>
            <w:noProof/>
            <w:webHidden/>
            <w:sz w:val="16"/>
            <w:szCs w:val="16"/>
          </w:rPr>
        </w:r>
        <w:r w:rsidR="00AD20E2" w:rsidRPr="00AD20E2">
          <w:rPr>
            <w:rFonts w:ascii="Verdana" w:hAnsi="Verdana"/>
            <w:noProof/>
            <w:webHidden/>
            <w:sz w:val="16"/>
            <w:szCs w:val="16"/>
          </w:rPr>
          <w:fldChar w:fldCharType="separate"/>
        </w:r>
        <w:r w:rsidR="00322650">
          <w:rPr>
            <w:rFonts w:ascii="Verdana" w:hAnsi="Verdana"/>
            <w:noProof/>
            <w:webHidden/>
            <w:sz w:val="16"/>
            <w:szCs w:val="16"/>
          </w:rPr>
          <w:t>6</w:t>
        </w:r>
        <w:r w:rsidR="00AD20E2" w:rsidRPr="00AD20E2">
          <w:rPr>
            <w:rFonts w:ascii="Verdana" w:hAnsi="Verdana"/>
            <w:noProof/>
            <w:webHidden/>
            <w:sz w:val="16"/>
            <w:szCs w:val="16"/>
          </w:rPr>
          <w:fldChar w:fldCharType="end"/>
        </w:r>
      </w:hyperlink>
    </w:p>
    <w:p w:rsidR="002366E1" w:rsidRPr="00C367E3" w:rsidRDefault="00B24862" w:rsidP="00B64906">
      <w:pPr>
        <w:pStyle w:val="Prrafodelista"/>
        <w:tabs>
          <w:tab w:val="right" w:leader="dot" w:pos="8222"/>
        </w:tabs>
        <w:spacing w:before="120" w:after="120" w:line="240" w:lineRule="auto"/>
        <w:ind w:left="709" w:right="998"/>
        <w:contextualSpacing w:val="0"/>
        <w:jc w:val="both"/>
        <w:rPr>
          <w:rFonts w:ascii="Verdana" w:hAnsi="Verdana"/>
          <w:b/>
          <w:i/>
          <w:color w:val="000000"/>
          <w:sz w:val="2"/>
          <w:szCs w:val="2"/>
        </w:rPr>
      </w:pPr>
      <w:r w:rsidRPr="00C367E3">
        <w:rPr>
          <w:rFonts w:ascii="Verdana" w:hAnsi="Verdana"/>
          <w:i/>
          <w:color w:val="000000"/>
          <w:sz w:val="16"/>
          <w:szCs w:val="16"/>
        </w:rPr>
        <w:fldChar w:fldCharType="end"/>
      </w:r>
    </w:p>
    <w:p w:rsidR="00D14A86" w:rsidRPr="00C367E3" w:rsidRDefault="00D14A86" w:rsidP="00D14A86">
      <w:pPr>
        <w:pStyle w:val="Ttulo1"/>
        <w:numPr>
          <w:ilvl w:val="0"/>
          <w:numId w:val="27"/>
        </w:numPr>
        <w:rPr>
          <w:rFonts w:ascii="Verdana" w:eastAsia="Times New Roman" w:hAnsi="Verdana"/>
          <w:b w:val="0"/>
          <w:i/>
          <w:color w:val="000000"/>
          <w:sz w:val="20"/>
          <w:szCs w:val="20"/>
        </w:rPr>
      </w:pPr>
      <w:bookmarkStart w:id="1" w:name="_Toc473708791"/>
      <w:r w:rsidRPr="00C367E3">
        <w:rPr>
          <w:rFonts w:ascii="Verdana" w:eastAsia="Times New Roman" w:hAnsi="Verdana"/>
          <w:i/>
          <w:color w:val="000000"/>
          <w:sz w:val="20"/>
          <w:szCs w:val="20"/>
        </w:rPr>
        <w:t xml:space="preserve">Revocar inmediatamente la medida cautelar de inhibición general de bienes que pesa sobre los señores </w:t>
      </w:r>
      <w:proofErr w:type="spellStart"/>
      <w:r w:rsidRPr="00C367E3">
        <w:rPr>
          <w:rFonts w:ascii="Verdana" w:eastAsia="Times New Roman" w:hAnsi="Verdana"/>
          <w:i/>
          <w:color w:val="000000"/>
          <w:sz w:val="20"/>
          <w:szCs w:val="20"/>
        </w:rPr>
        <w:t>Mémoli</w:t>
      </w:r>
      <w:bookmarkEnd w:id="1"/>
      <w:proofErr w:type="spellEnd"/>
    </w:p>
    <w:p w:rsidR="00B64906" w:rsidRPr="00C367E3" w:rsidRDefault="00B64906" w:rsidP="00B64906">
      <w:pPr>
        <w:spacing w:before="120" w:after="120" w:line="240" w:lineRule="auto"/>
        <w:ind w:left="567"/>
        <w:contextualSpacing/>
        <w:jc w:val="both"/>
        <w:rPr>
          <w:rFonts w:ascii="Verdana" w:hAnsi="Verdana"/>
          <w:i/>
          <w:color w:val="000000"/>
          <w:sz w:val="20"/>
          <w:szCs w:val="20"/>
        </w:rPr>
      </w:pPr>
    </w:p>
    <w:p w:rsidR="00D14A86" w:rsidRPr="00C367E3" w:rsidRDefault="00D14A86" w:rsidP="00D14A86">
      <w:pPr>
        <w:spacing w:before="120" w:after="120" w:line="240" w:lineRule="auto"/>
        <w:ind w:left="567"/>
        <w:jc w:val="both"/>
        <w:rPr>
          <w:rFonts w:ascii="Verdana" w:hAnsi="Verdana"/>
          <w:b/>
          <w:i/>
          <w:color w:val="000000"/>
          <w:sz w:val="20"/>
          <w:szCs w:val="20"/>
        </w:rPr>
      </w:pPr>
      <w:r w:rsidRPr="00C367E3">
        <w:rPr>
          <w:rFonts w:ascii="Verdana" w:hAnsi="Verdana"/>
          <w:i/>
          <w:color w:val="000000"/>
          <w:sz w:val="20"/>
          <w:szCs w:val="20"/>
        </w:rPr>
        <w:t>A.1. Medida ordenada por la Corte</w:t>
      </w:r>
    </w:p>
    <w:p w:rsidR="00D14A86" w:rsidRPr="00C367E3" w:rsidRDefault="00D14A86" w:rsidP="00D14A86">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En el punto resolutivo octavo y en el párrafo 206 de la Sentencia, </w:t>
      </w:r>
      <w:r w:rsidR="006A74CC" w:rsidRPr="00C367E3">
        <w:rPr>
          <w:rFonts w:ascii="Verdana" w:hAnsi="Verdana"/>
          <w:color w:val="000000"/>
          <w:sz w:val="20"/>
          <w:szCs w:val="20"/>
        </w:rPr>
        <w:t xml:space="preserve">se </w:t>
      </w:r>
      <w:r w:rsidRPr="00C367E3">
        <w:rPr>
          <w:rFonts w:ascii="Verdana" w:hAnsi="Verdana"/>
          <w:color w:val="000000"/>
          <w:sz w:val="20"/>
          <w:szCs w:val="20"/>
        </w:rPr>
        <w:t>dispuso que “</w:t>
      </w:r>
      <w:r w:rsidRPr="00D42D53">
        <w:rPr>
          <w:rFonts w:ascii="Verdana" w:eastAsia="Times New Roman" w:hAnsi="Verdana"/>
          <w:sz w:val="20"/>
          <w:szCs w:val="20"/>
        </w:rPr>
        <w:t xml:space="preserve">el Estado </w:t>
      </w:r>
      <w:proofErr w:type="spellStart"/>
      <w:proofErr w:type="gramStart"/>
      <w:r w:rsidRPr="00D42D53">
        <w:rPr>
          <w:rFonts w:ascii="Verdana" w:eastAsia="Times New Roman" w:hAnsi="Verdana"/>
          <w:sz w:val="20"/>
          <w:szCs w:val="20"/>
        </w:rPr>
        <w:t>deb</w:t>
      </w:r>
      <w:proofErr w:type="spellEnd"/>
      <w:r w:rsidRPr="00D42D53">
        <w:rPr>
          <w:rFonts w:ascii="Verdana" w:eastAsia="Times New Roman" w:hAnsi="Verdana"/>
          <w:sz w:val="20"/>
          <w:szCs w:val="20"/>
        </w:rPr>
        <w:t>[</w:t>
      </w:r>
      <w:proofErr w:type="spellStart"/>
      <w:proofErr w:type="gramEnd"/>
      <w:r w:rsidRPr="00D42D53">
        <w:rPr>
          <w:rFonts w:ascii="Verdana" w:eastAsia="Times New Roman" w:hAnsi="Verdana"/>
          <w:sz w:val="20"/>
          <w:szCs w:val="20"/>
        </w:rPr>
        <w:t>ía</w:t>
      </w:r>
      <w:proofErr w:type="spellEnd"/>
      <w:r w:rsidRPr="00D42D53">
        <w:rPr>
          <w:rFonts w:ascii="Verdana" w:eastAsia="Times New Roman" w:hAnsi="Verdana"/>
          <w:sz w:val="20"/>
          <w:szCs w:val="20"/>
        </w:rPr>
        <w:t xml:space="preserve">] revocar inmediatamente la medida cautelar de inhibición general para enajenar y gravar bienes impuesta a los señores </w:t>
      </w:r>
      <w:proofErr w:type="spellStart"/>
      <w:r w:rsidRPr="00D42D53">
        <w:rPr>
          <w:rFonts w:ascii="Verdana" w:eastAsia="Times New Roman" w:hAnsi="Verdana"/>
          <w:sz w:val="20"/>
          <w:szCs w:val="20"/>
          <w:lang w:val="es-ES_tradnl"/>
        </w:rPr>
        <w:t>Mémoli</w:t>
      </w:r>
      <w:proofErr w:type="spellEnd"/>
      <w:r w:rsidRPr="00D42D53">
        <w:rPr>
          <w:rFonts w:ascii="Verdana" w:eastAsia="Times New Roman" w:hAnsi="Verdana"/>
          <w:sz w:val="20"/>
          <w:szCs w:val="20"/>
          <w:lang w:val="es-ES_tradnl"/>
        </w:rPr>
        <w:t>”</w:t>
      </w:r>
      <w:r>
        <w:rPr>
          <w:rStyle w:val="Refdenotaalpie"/>
          <w:rFonts w:ascii="Verdana" w:eastAsia="Times New Roman" w:hAnsi="Verdana"/>
          <w:sz w:val="20"/>
          <w:szCs w:val="20"/>
          <w:lang w:val="es-ES_tradnl"/>
        </w:rPr>
        <w:footnoteReference w:id="11"/>
      </w:r>
      <w:r w:rsidRPr="00D42D53">
        <w:rPr>
          <w:rFonts w:ascii="Verdana" w:eastAsia="Times New Roman" w:hAnsi="Verdana"/>
          <w:sz w:val="20"/>
          <w:szCs w:val="20"/>
          <w:lang w:val="es-ES_tradnl"/>
        </w:rPr>
        <w:t>.</w:t>
      </w:r>
    </w:p>
    <w:p w:rsidR="00B64906" w:rsidRPr="00C367E3" w:rsidRDefault="00B64906" w:rsidP="00426FFE">
      <w:pPr>
        <w:pStyle w:val="Prrafodelista"/>
        <w:spacing w:before="120" w:after="120" w:line="240" w:lineRule="auto"/>
        <w:ind w:left="567"/>
        <w:contextualSpacing w:val="0"/>
        <w:jc w:val="both"/>
        <w:rPr>
          <w:rFonts w:ascii="Verdana" w:hAnsi="Verdana"/>
          <w:i/>
          <w:color w:val="000000"/>
          <w:sz w:val="20"/>
          <w:szCs w:val="20"/>
        </w:rPr>
      </w:pPr>
    </w:p>
    <w:p w:rsidR="00D14A86" w:rsidRPr="00C367E3" w:rsidRDefault="00D14A86" w:rsidP="00426FFE">
      <w:pPr>
        <w:pStyle w:val="Prrafodelista"/>
        <w:spacing w:before="120" w:after="120" w:line="240" w:lineRule="auto"/>
        <w:ind w:left="567"/>
        <w:contextualSpacing w:val="0"/>
        <w:jc w:val="both"/>
        <w:rPr>
          <w:rFonts w:ascii="Verdana" w:hAnsi="Verdana"/>
          <w:i/>
          <w:color w:val="000000"/>
          <w:sz w:val="20"/>
          <w:szCs w:val="20"/>
        </w:rPr>
      </w:pPr>
      <w:r w:rsidRPr="00C367E3">
        <w:rPr>
          <w:rFonts w:ascii="Verdana" w:hAnsi="Verdana"/>
          <w:i/>
          <w:color w:val="000000"/>
          <w:sz w:val="20"/>
          <w:szCs w:val="20"/>
        </w:rPr>
        <w:t>A.2. Consideraciones de la Corte</w:t>
      </w:r>
    </w:p>
    <w:p w:rsidR="00D14A86" w:rsidRPr="00C367E3" w:rsidRDefault="00D14A86" w:rsidP="00D14A86">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Con base en la información </w:t>
      </w:r>
      <w:r w:rsidR="00C0584B" w:rsidRPr="00C367E3">
        <w:rPr>
          <w:rFonts w:ascii="Verdana" w:hAnsi="Verdana"/>
          <w:color w:val="000000"/>
          <w:sz w:val="20"/>
          <w:szCs w:val="20"/>
        </w:rPr>
        <w:t xml:space="preserve">y </w:t>
      </w:r>
      <w:r w:rsidR="007C6FE4" w:rsidRPr="00C367E3">
        <w:rPr>
          <w:rFonts w:ascii="Verdana" w:hAnsi="Verdana"/>
          <w:color w:val="000000"/>
          <w:sz w:val="20"/>
          <w:szCs w:val="20"/>
        </w:rPr>
        <w:t xml:space="preserve">documentación </w:t>
      </w:r>
      <w:r w:rsidRPr="00C367E3">
        <w:rPr>
          <w:rFonts w:ascii="Verdana" w:hAnsi="Verdana"/>
          <w:color w:val="000000"/>
          <w:sz w:val="20"/>
          <w:szCs w:val="20"/>
        </w:rPr>
        <w:t>aportada por el Estado</w:t>
      </w:r>
      <w:r w:rsidRPr="00C367E3">
        <w:rPr>
          <w:rStyle w:val="Refdenotaalpie"/>
          <w:rFonts w:ascii="Verdana" w:hAnsi="Verdana"/>
          <w:color w:val="000000"/>
          <w:sz w:val="20"/>
          <w:szCs w:val="20"/>
        </w:rPr>
        <w:footnoteReference w:id="12"/>
      </w:r>
      <w:r w:rsidRPr="00C367E3">
        <w:rPr>
          <w:rFonts w:ascii="Verdana" w:hAnsi="Verdana"/>
          <w:color w:val="000000"/>
          <w:sz w:val="20"/>
          <w:szCs w:val="20"/>
        </w:rPr>
        <w:t xml:space="preserve"> y las observaciones de los señores </w:t>
      </w:r>
      <w:proofErr w:type="spellStart"/>
      <w:r w:rsidRPr="00C367E3">
        <w:rPr>
          <w:rFonts w:ascii="Verdana" w:hAnsi="Verdana"/>
          <w:color w:val="000000"/>
          <w:sz w:val="20"/>
          <w:szCs w:val="20"/>
        </w:rPr>
        <w:t>Mémoli</w:t>
      </w:r>
      <w:proofErr w:type="spellEnd"/>
      <w:r w:rsidRPr="00C367E3">
        <w:rPr>
          <w:rStyle w:val="Refdenotaalpie"/>
          <w:rFonts w:ascii="Verdana" w:hAnsi="Verdana"/>
          <w:color w:val="000000"/>
          <w:sz w:val="20"/>
          <w:szCs w:val="20"/>
        </w:rPr>
        <w:footnoteReference w:id="13"/>
      </w:r>
      <w:r w:rsidRPr="00C367E3">
        <w:rPr>
          <w:rFonts w:ascii="Verdana" w:hAnsi="Verdana"/>
          <w:color w:val="000000"/>
          <w:sz w:val="20"/>
          <w:szCs w:val="20"/>
        </w:rPr>
        <w:t xml:space="preserve">, la Corte constata que </w:t>
      </w:r>
      <w:r w:rsidR="007C6FE4" w:rsidRPr="00C367E3">
        <w:rPr>
          <w:rFonts w:ascii="Verdana" w:hAnsi="Verdana"/>
          <w:color w:val="000000"/>
          <w:sz w:val="20"/>
          <w:szCs w:val="20"/>
        </w:rPr>
        <w:t>Argentina</w:t>
      </w:r>
      <w:r w:rsidRPr="00C367E3">
        <w:rPr>
          <w:rFonts w:ascii="Verdana" w:hAnsi="Verdana"/>
          <w:color w:val="000000"/>
          <w:sz w:val="20"/>
          <w:szCs w:val="20"/>
        </w:rPr>
        <w:t xml:space="preserve"> cumplió con revocar la medida cautelar de inhibición para enajenar y gra</w:t>
      </w:r>
      <w:r w:rsidR="007C6FE4" w:rsidRPr="00C367E3">
        <w:rPr>
          <w:rFonts w:ascii="Verdana" w:hAnsi="Verdana"/>
          <w:color w:val="000000"/>
          <w:sz w:val="20"/>
          <w:szCs w:val="20"/>
        </w:rPr>
        <w:t>v</w:t>
      </w:r>
      <w:r w:rsidRPr="00C367E3">
        <w:rPr>
          <w:rFonts w:ascii="Verdana" w:hAnsi="Verdana"/>
          <w:color w:val="000000"/>
          <w:sz w:val="20"/>
          <w:szCs w:val="20"/>
        </w:rPr>
        <w:t xml:space="preserve">ar bienes que pesaba sobre los señores Carlos y Pablo </w:t>
      </w:r>
      <w:proofErr w:type="spellStart"/>
      <w:r w:rsidRPr="00C367E3">
        <w:rPr>
          <w:rFonts w:ascii="Verdana" w:hAnsi="Verdana"/>
          <w:color w:val="000000"/>
          <w:sz w:val="20"/>
          <w:szCs w:val="20"/>
        </w:rPr>
        <w:t>Mémoli</w:t>
      </w:r>
      <w:proofErr w:type="spellEnd"/>
      <w:r w:rsidRPr="00C367E3">
        <w:rPr>
          <w:rFonts w:ascii="Verdana" w:hAnsi="Verdana"/>
          <w:color w:val="000000"/>
          <w:sz w:val="20"/>
          <w:szCs w:val="20"/>
        </w:rPr>
        <w:t>. Para ello, el 7 de enero de 2014, dos meses después de la notificación de la Sentencia de este Tribunal (</w:t>
      </w:r>
      <w:r w:rsidRPr="00C367E3">
        <w:rPr>
          <w:rFonts w:ascii="Verdana" w:hAnsi="Verdana"/>
          <w:i/>
          <w:color w:val="000000"/>
          <w:sz w:val="20"/>
          <w:szCs w:val="20"/>
        </w:rPr>
        <w:t>supra</w:t>
      </w:r>
      <w:r w:rsidRPr="00C367E3">
        <w:rPr>
          <w:rFonts w:ascii="Verdana" w:hAnsi="Verdana"/>
          <w:color w:val="000000"/>
          <w:sz w:val="20"/>
          <w:szCs w:val="20"/>
        </w:rPr>
        <w:t xml:space="preserve"> </w:t>
      </w:r>
      <w:r w:rsidR="007C6FE4" w:rsidRPr="00C367E3">
        <w:rPr>
          <w:rFonts w:ascii="Verdana" w:hAnsi="Verdana"/>
          <w:color w:val="000000"/>
          <w:sz w:val="20"/>
          <w:szCs w:val="20"/>
        </w:rPr>
        <w:t>nota al pie</w:t>
      </w:r>
      <w:r w:rsidRPr="00C367E3">
        <w:rPr>
          <w:rFonts w:ascii="Verdana" w:hAnsi="Verdana"/>
          <w:color w:val="000000"/>
          <w:sz w:val="20"/>
          <w:szCs w:val="20"/>
        </w:rPr>
        <w:t xml:space="preserve"> 1), e</w:t>
      </w:r>
      <w:r w:rsidR="007C6FE4" w:rsidRPr="00C367E3">
        <w:rPr>
          <w:rFonts w:ascii="Verdana" w:hAnsi="Verdana"/>
          <w:color w:val="000000"/>
          <w:sz w:val="20"/>
          <w:szCs w:val="20"/>
        </w:rPr>
        <w:t>l Juzgado de Primera Instancia en lo Civil y Comercial N</w:t>
      </w:r>
      <w:r w:rsidR="007C6FE4" w:rsidRPr="00C367E3">
        <w:rPr>
          <w:rFonts w:ascii="Verdana" w:hAnsi="Verdana"/>
          <w:color w:val="000000"/>
          <w:sz w:val="20"/>
          <w:szCs w:val="20"/>
          <w:vertAlign w:val="superscript"/>
        </w:rPr>
        <w:t>o</w:t>
      </w:r>
      <w:r w:rsidR="007C6FE4" w:rsidRPr="00C367E3">
        <w:rPr>
          <w:rFonts w:ascii="Verdana" w:hAnsi="Verdana"/>
          <w:color w:val="000000"/>
          <w:sz w:val="20"/>
          <w:szCs w:val="20"/>
        </w:rPr>
        <w:t xml:space="preserve"> 3 del Departamento de Mercedes</w:t>
      </w:r>
      <w:r w:rsidRPr="00C367E3">
        <w:rPr>
          <w:rFonts w:ascii="Verdana" w:hAnsi="Verdana"/>
          <w:color w:val="000000"/>
          <w:sz w:val="20"/>
          <w:szCs w:val="20"/>
        </w:rPr>
        <w:t xml:space="preserve"> dictó un auto</w:t>
      </w:r>
      <w:r w:rsidRPr="00C367E3">
        <w:rPr>
          <w:rStyle w:val="Refdenotaalpie"/>
          <w:rFonts w:ascii="Verdana" w:hAnsi="Verdana"/>
          <w:color w:val="000000"/>
          <w:sz w:val="20"/>
          <w:szCs w:val="20"/>
        </w:rPr>
        <w:footnoteReference w:id="14"/>
      </w:r>
      <w:r w:rsidRPr="00C367E3">
        <w:rPr>
          <w:rFonts w:ascii="Verdana" w:hAnsi="Verdana"/>
          <w:color w:val="000000"/>
          <w:sz w:val="20"/>
          <w:szCs w:val="20"/>
        </w:rPr>
        <w:t xml:space="preserve">, en el marco del proceso civil seguido contra los señores </w:t>
      </w:r>
      <w:proofErr w:type="spellStart"/>
      <w:r w:rsidRPr="00C367E3">
        <w:rPr>
          <w:rFonts w:ascii="Verdana" w:hAnsi="Verdana"/>
          <w:color w:val="000000"/>
          <w:sz w:val="20"/>
          <w:szCs w:val="20"/>
        </w:rPr>
        <w:t>Mémoli</w:t>
      </w:r>
      <w:proofErr w:type="spellEnd"/>
      <w:r w:rsidRPr="00C367E3">
        <w:rPr>
          <w:rFonts w:ascii="Verdana" w:hAnsi="Verdana"/>
          <w:color w:val="000000"/>
          <w:sz w:val="20"/>
          <w:szCs w:val="20"/>
        </w:rPr>
        <w:t>, mediante el cual se “orden[</w:t>
      </w:r>
      <w:proofErr w:type="spellStart"/>
      <w:r w:rsidRPr="00C367E3">
        <w:rPr>
          <w:rFonts w:ascii="Verdana" w:hAnsi="Verdana"/>
          <w:color w:val="000000"/>
          <w:sz w:val="20"/>
          <w:szCs w:val="20"/>
        </w:rPr>
        <w:t>ó</w:t>
      </w:r>
      <w:proofErr w:type="spellEnd"/>
      <w:r w:rsidRPr="00C367E3">
        <w:rPr>
          <w:rFonts w:ascii="Verdana" w:hAnsi="Verdana"/>
          <w:color w:val="000000"/>
          <w:sz w:val="20"/>
          <w:szCs w:val="20"/>
        </w:rPr>
        <w:t xml:space="preserve">] la revocación inmediata por parte del Estado de la medida cautelar de inhibición general de bienes que pesa sobre Carlos y Pablo </w:t>
      </w:r>
      <w:proofErr w:type="spellStart"/>
      <w:r w:rsidRPr="00C367E3">
        <w:rPr>
          <w:rFonts w:ascii="Verdana" w:hAnsi="Verdana"/>
          <w:color w:val="000000"/>
          <w:sz w:val="20"/>
          <w:szCs w:val="20"/>
        </w:rPr>
        <w:t>Mémoli</w:t>
      </w:r>
      <w:proofErr w:type="spellEnd"/>
      <w:r w:rsidRPr="00C367E3">
        <w:rPr>
          <w:rFonts w:ascii="Verdana" w:hAnsi="Verdana"/>
          <w:color w:val="000000"/>
          <w:sz w:val="20"/>
          <w:szCs w:val="20"/>
        </w:rPr>
        <w:t>”</w:t>
      </w:r>
      <w:r w:rsidRPr="00C367E3">
        <w:rPr>
          <w:rStyle w:val="Refdenotaalpie"/>
          <w:rFonts w:ascii="Verdana" w:hAnsi="Verdana"/>
          <w:color w:val="000000"/>
          <w:sz w:val="20"/>
          <w:szCs w:val="20"/>
        </w:rPr>
        <w:footnoteReference w:id="15"/>
      </w:r>
      <w:r w:rsidRPr="00C367E3">
        <w:rPr>
          <w:rFonts w:ascii="Verdana" w:hAnsi="Verdana"/>
          <w:color w:val="000000"/>
          <w:sz w:val="20"/>
          <w:szCs w:val="20"/>
        </w:rPr>
        <w:t xml:space="preserve">. El 13 de marzo de 2014 los señores </w:t>
      </w:r>
      <w:proofErr w:type="spellStart"/>
      <w:r w:rsidRPr="00C367E3">
        <w:rPr>
          <w:rFonts w:ascii="Verdana" w:hAnsi="Verdana"/>
          <w:color w:val="000000"/>
          <w:sz w:val="20"/>
          <w:szCs w:val="20"/>
        </w:rPr>
        <w:t>Mémoli</w:t>
      </w:r>
      <w:proofErr w:type="spellEnd"/>
      <w:r w:rsidRPr="00C367E3">
        <w:rPr>
          <w:rFonts w:ascii="Verdana" w:hAnsi="Verdana"/>
          <w:color w:val="000000"/>
          <w:sz w:val="20"/>
          <w:szCs w:val="20"/>
        </w:rPr>
        <w:t xml:space="preserve"> se “</w:t>
      </w:r>
      <w:proofErr w:type="gramStart"/>
      <w:r w:rsidRPr="00C367E3">
        <w:rPr>
          <w:rFonts w:ascii="Verdana" w:hAnsi="Verdana"/>
          <w:color w:val="000000"/>
          <w:sz w:val="20"/>
          <w:szCs w:val="20"/>
        </w:rPr>
        <w:t>notificar[</w:t>
      </w:r>
      <w:proofErr w:type="spellStart"/>
      <w:proofErr w:type="gramEnd"/>
      <w:r w:rsidRPr="00C367E3">
        <w:rPr>
          <w:rFonts w:ascii="Verdana" w:hAnsi="Verdana"/>
          <w:color w:val="000000"/>
          <w:sz w:val="20"/>
          <w:szCs w:val="20"/>
        </w:rPr>
        <w:t>on</w:t>
      </w:r>
      <w:proofErr w:type="spellEnd"/>
      <w:r w:rsidRPr="00C367E3">
        <w:rPr>
          <w:rFonts w:ascii="Verdana" w:hAnsi="Verdana"/>
          <w:color w:val="000000"/>
          <w:sz w:val="20"/>
          <w:szCs w:val="20"/>
        </w:rPr>
        <w:t>] personalmente” del referido auto y “agrega[ron] oficios para diligenciar ante el Registro de la Propiedad Inmueble”</w:t>
      </w:r>
      <w:r w:rsidRPr="00C367E3">
        <w:rPr>
          <w:rStyle w:val="Refdenotaalpie"/>
          <w:rFonts w:ascii="Verdana" w:hAnsi="Verdana"/>
          <w:color w:val="000000"/>
          <w:sz w:val="20"/>
          <w:szCs w:val="20"/>
        </w:rPr>
        <w:footnoteReference w:id="16"/>
      </w:r>
      <w:r w:rsidRPr="00C367E3">
        <w:rPr>
          <w:rFonts w:ascii="Verdana" w:hAnsi="Verdana"/>
          <w:color w:val="000000"/>
          <w:sz w:val="20"/>
          <w:szCs w:val="20"/>
        </w:rPr>
        <w:t xml:space="preserve">. El oficio para poder hacer efectivo </w:t>
      </w:r>
      <w:r w:rsidR="00101153" w:rsidRPr="00C367E3">
        <w:rPr>
          <w:rFonts w:ascii="Verdana" w:hAnsi="Verdana"/>
          <w:color w:val="000000"/>
          <w:sz w:val="20"/>
          <w:szCs w:val="20"/>
        </w:rPr>
        <w:t>dicho</w:t>
      </w:r>
      <w:r w:rsidRPr="00C367E3">
        <w:rPr>
          <w:rFonts w:ascii="Verdana" w:hAnsi="Verdana"/>
          <w:color w:val="000000"/>
          <w:sz w:val="20"/>
          <w:szCs w:val="20"/>
        </w:rPr>
        <w:t xml:space="preserve"> </w:t>
      </w:r>
      <w:r w:rsidR="00101153" w:rsidRPr="00C367E3">
        <w:rPr>
          <w:rFonts w:ascii="Verdana" w:hAnsi="Verdana"/>
          <w:color w:val="000000"/>
          <w:sz w:val="20"/>
          <w:szCs w:val="20"/>
        </w:rPr>
        <w:t>“</w:t>
      </w:r>
      <w:r w:rsidRPr="00C367E3">
        <w:rPr>
          <w:rFonts w:ascii="Verdana" w:hAnsi="Verdana"/>
          <w:color w:val="000000"/>
          <w:sz w:val="20"/>
          <w:szCs w:val="20"/>
        </w:rPr>
        <w:t xml:space="preserve">levantamiento de la </w:t>
      </w:r>
      <w:r w:rsidR="00101153" w:rsidRPr="00C367E3">
        <w:rPr>
          <w:rFonts w:ascii="Verdana" w:hAnsi="Verdana"/>
          <w:color w:val="000000"/>
          <w:sz w:val="20"/>
          <w:szCs w:val="20"/>
        </w:rPr>
        <w:t>[</w:t>
      </w:r>
      <w:r w:rsidRPr="00C367E3">
        <w:rPr>
          <w:rFonts w:ascii="Verdana" w:hAnsi="Verdana"/>
          <w:color w:val="000000"/>
          <w:sz w:val="20"/>
          <w:szCs w:val="20"/>
        </w:rPr>
        <w:t>i</w:t>
      </w:r>
      <w:r w:rsidR="00101153" w:rsidRPr="00C367E3">
        <w:rPr>
          <w:rFonts w:ascii="Verdana" w:hAnsi="Verdana"/>
          <w:color w:val="000000"/>
          <w:sz w:val="20"/>
          <w:szCs w:val="20"/>
        </w:rPr>
        <w:t>]</w:t>
      </w:r>
      <w:proofErr w:type="spellStart"/>
      <w:r w:rsidRPr="00C367E3">
        <w:rPr>
          <w:rFonts w:ascii="Verdana" w:hAnsi="Verdana"/>
          <w:color w:val="000000"/>
          <w:sz w:val="20"/>
          <w:szCs w:val="20"/>
        </w:rPr>
        <w:t>nhibición</w:t>
      </w:r>
      <w:proofErr w:type="spellEnd"/>
      <w:r w:rsidRPr="00C367E3">
        <w:rPr>
          <w:rFonts w:ascii="Verdana" w:hAnsi="Verdana"/>
          <w:color w:val="000000"/>
          <w:sz w:val="20"/>
          <w:szCs w:val="20"/>
        </w:rPr>
        <w:t xml:space="preserve"> </w:t>
      </w:r>
      <w:r w:rsidR="00101153" w:rsidRPr="00C367E3">
        <w:rPr>
          <w:rFonts w:ascii="Verdana" w:hAnsi="Verdana"/>
          <w:color w:val="000000"/>
          <w:sz w:val="20"/>
          <w:szCs w:val="20"/>
        </w:rPr>
        <w:t>[</w:t>
      </w:r>
      <w:r w:rsidRPr="00C367E3">
        <w:rPr>
          <w:rFonts w:ascii="Verdana" w:hAnsi="Verdana"/>
          <w:color w:val="000000"/>
          <w:sz w:val="20"/>
          <w:szCs w:val="20"/>
        </w:rPr>
        <w:t>g</w:t>
      </w:r>
      <w:r w:rsidR="00101153" w:rsidRPr="00C367E3">
        <w:rPr>
          <w:rFonts w:ascii="Verdana" w:hAnsi="Verdana"/>
          <w:color w:val="000000"/>
          <w:sz w:val="20"/>
          <w:szCs w:val="20"/>
        </w:rPr>
        <w:t>]</w:t>
      </w:r>
      <w:proofErr w:type="spellStart"/>
      <w:r w:rsidRPr="00C367E3">
        <w:rPr>
          <w:rFonts w:ascii="Verdana" w:hAnsi="Verdana"/>
          <w:color w:val="000000"/>
          <w:sz w:val="20"/>
          <w:szCs w:val="20"/>
        </w:rPr>
        <w:t>eneral</w:t>
      </w:r>
      <w:proofErr w:type="spellEnd"/>
      <w:r w:rsidRPr="00C367E3">
        <w:rPr>
          <w:rFonts w:ascii="Verdana" w:hAnsi="Verdana"/>
          <w:color w:val="000000"/>
          <w:sz w:val="20"/>
          <w:szCs w:val="20"/>
        </w:rPr>
        <w:t xml:space="preserve"> de </w:t>
      </w:r>
      <w:r w:rsidR="00101153" w:rsidRPr="00C367E3">
        <w:rPr>
          <w:rFonts w:ascii="Verdana" w:hAnsi="Verdana"/>
          <w:color w:val="000000"/>
          <w:sz w:val="20"/>
          <w:szCs w:val="20"/>
        </w:rPr>
        <w:t>[</w:t>
      </w:r>
      <w:r w:rsidRPr="00C367E3">
        <w:rPr>
          <w:rFonts w:ascii="Verdana" w:hAnsi="Verdana"/>
          <w:color w:val="000000"/>
          <w:sz w:val="20"/>
          <w:szCs w:val="20"/>
        </w:rPr>
        <w:t>b</w:t>
      </w:r>
      <w:r w:rsidR="00101153" w:rsidRPr="00C367E3">
        <w:rPr>
          <w:rFonts w:ascii="Verdana" w:hAnsi="Verdana"/>
          <w:color w:val="000000"/>
          <w:sz w:val="20"/>
          <w:szCs w:val="20"/>
        </w:rPr>
        <w:t>]</w:t>
      </w:r>
      <w:proofErr w:type="spellStart"/>
      <w:r w:rsidRPr="00C367E3">
        <w:rPr>
          <w:rFonts w:ascii="Verdana" w:hAnsi="Verdana"/>
          <w:color w:val="000000"/>
          <w:sz w:val="20"/>
          <w:szCs w:val="20"/>
        </w:rPr>
        <w:t>ienes</w:t>
      </w:r>
      <w:proofErr w:type="spellEnd"/>
      <w:r w:rsidR="00101153" w:rsidRPr="00C367E3">
        <w:rPr>
          <w:rFonts w:ascii="Verdana" w:hAnsi="Verdana"/>
          <w:color w:val="000000"/>
          <w:sz w:val="20"/>
          <w:szCs w:val="20"/>
        </w:rPr>
        <w:t>”</w:t>
      </w:r>
      <w:r w:rsidRPr="00C367E3">
        <w:rPr>
          <w:rFonts w:ascii="Verdana" w:hAnsi="Verdana"/>
          <w:color w:val="000000"/>
          <w:sz w:val="20"/>
          <w:szCs w:val="20"/>
        </w:rPr>
        <w:t xml:space="preserve"> fue presentado al Registro de la Propiedad Inmueble el 28 de marzo de 2014, el cual realizó la anotación del </w:t>
      </w:r>
      <w:r w:rsidR="00101153" w:rsidRPr="00C367E3">
        <w:rPr>
          <w:rFonts w:ascii="Verdana" w:hAnsi="Verdana"/>
          <w:color w:val="000000"/>
          <w:sz w:val="20"/>
          <w:szCs w:val="20"/>
        </w:rPr>
        <w:t>mismo</w:t>
      </w:r>
      <w:r w:rsidRPr="00C367E3">
        <w:rPr>
          <w:rStyle w:val="Refdenotaalpie"/>
          <w:rFonts w:ascii="Verdana" w:hAnsi="Verdana"/>
          <w:color w:val="000000"/>
          <w:sz w:val="20"/>
          <w:szCs w:val="20"/>
        </w:rPr>
        <w:footnoteReference w:id="17"/>
      </w:r>
      <w:r w:rsidRPr="00C367E3">
        <w:rPr>
          <w:rFonts w:ascii="Verdana" w:hAnsi="Verdana"/>
          <w:color w:val="000000"/>
          <w:sz w:val="20"/>
          <w:szCs w:val="20"/>
        </w:rPr>
        <w:t xml:space="preserve">. El señor Pablo </w:t>
      </w:r>
      <w:proofErr w:type="spellStart"/>
      <w:r w:rsidRPr="00C367E3">
        <w:rPr>
          <w:rFonts w:ascii="Verdana" w:hAnsi="Verdana"/>
          <w:color w:val="000000"/>
          <w:sz w:val="20"/>
          <w:szCs w:val="20"/>
        </w:rPr>
        <w:t>Mémoli</w:t>
      </w:r>
      <w:proofErr w:type="spellEnd"/>
      <w:r w:rsidRPr="00C367E3">
        <w:rPr>
          <w:rFonts w:ascii="Verdana" w:hAnsi="Verdana"/>
          <w:color w:val="000000"/>
          <w:sz w:val="20"/>
          <w:szCs w:val="20"/>
        </w:rPr>
        <w:t xml:space="preserve"> presentó un escrito al referido Juzgado informando que “el 28 de mayo </w:t>
      </w:r>
      <w:r w:rsidRPr="00C367E3">
        <w:rPr>
          <w:rFonts w:ascii="Verdana" w:hAnsi="Verdana"/>
          <w:color w:val="000000"/>
          <w:sz w:val="20"/>
          <w:szCs w:val="20"/>
        </w:rPr>
        <w:lastRenderedPageBreak/>
        <w:t xml:space="preserve">[de 2014] salieron del proceso con los levantamientos de las inhibiciones </w:t>
      </w:r>
      <w:r w:rsidR="00101153" w:rsidRPr="00C367E3">
        <w:rPr>
          <w:rFonts w:ascii="Verdana" w:hAnsi="Verdana"/>
          <w:color w:val="000000"/>
          <w:sz w:val="20"/>
          <w:szCs w:val="20"/>
        </w:rPr>
        <w:t>[</w:t>
      </w:r>
      <w:r w:rsidRPr="00C367E3">
        <w:rPr>
          <w:rFonts w:ascii="Verdana" w:hAnsi="Verdana"/>
          <w:color w:val="000000"/>
          <w:sz w:val="20"/>
          <w:szCs w:val="20"/>
        </w:rPr>
        <w:t>g</w:t>
      </w:r>
      <w:r w:rsidR="00101153" w:rsidRPr="00C367E3">
        <w:rPr>
          <w:rFonts w:ascii="Verdana" w:hAnsi="Verdana"/>
          <w:color w:val="000000"/>
          <w:sz w:val="20"/>
          <w:szCs w:val="20"/>
        </w:rPr>
        <w:t>]</w:t>
      </w:r>
      <w:proofErr w:type="spellStart"/>
      <w:r w:rsidRPr="00C367E3">
        <w:rPr>
          <w:rFonts w:ascii="Verdana" w:hAnsi="Verdana"/>
          <w:color w:val="000000"/>
          <w:sz w:val="20"/>
          <w:szCs w:val="20"/>
        </w:rPr>
        <w:t>enerales</w:t>
      </w:r>
      <w:proofErr w:type="spellEnd"/>
      <w:r w:rsidRPr="00C367E3">
        <w:rPr>
          <w:rFonts w:ascii="Verdana" w:hAnsi="Verdana"/>
          <w:color w:val="000000"/>
          <w:sz w:val="20"/>
          <w:szCs w:val="20"/>
        </w:rPr>
        <w:t xml:space="preserve"> de </w:t>
      </w:r>
      <w:r w:rsidR="00101153" w:rsidRPr="00C367E3">
        <w:rPr>
          <w:rFonts w:ascii="Verdana" w:hAnsi="Verdana"/>
          <w:color w:val="000000"/>
          <w:sz w:val="20"/>
          <w:szCs w:val="20"/>
        </w:rPr>
        <w:t>[</w:t>
      </w:r>
      <w:r w:rsidRPr="00C367E3">
        <w:rPr>
          <w:rFonts w:ascii="Verdana" w:hAnsi="Verdana"/>
          <w:color w:val="000000"/>
          <w:sz w:val="20"/>
          <w:szCs w:val="20"/>
        </w:rPr>
        <w:t>b</w:t>
      </w:r>
      <w:r w:rsidR="00101153" w:rsidRPr="00C367E3">
        <w:rPr>
          <w:rFonts w:ascii="Verdana" w:hAnsi="Verdana"/>
          <w:color w:val="000000"/>
          <w:sz w:val="20"/>
          <w:szCs w:val="20"/>
        </w:rPr>
        <w:t>]</w:t>
      </w:r>
      <w:proofErr w:type="spellStart"/>
      <w:r w:rsidRPr="00C367E3">
        <w:rPr>
          <w:rFonts w:ascii="Verdana" w:hAnsi="Verdana"/>
          <w:color w:val="000000"/>
          <w:sz w:val="20"/>
          <w:szCs w:val="20"/>
        </w:rPr>
        <w:t>ienes</w:t>
      </w:r>
      <w:proofErr w:type="spellEnd"/>
      <w:r w:rsidRPr="00C367E3">
        <w:rPr>
          <w:rFonts w:ascii="Verdana" w:hAnsi="Verdana"/>
          <w:color w:val="000000"/>
          <w:sz w:val="20"/>
          <w:szCs w:val="20"/>
        </w:rPr>
        <w:t>”</w:t>
      </w:r>
      <w:r w:rsidRPr="00C367E3">
        <w:rPr>
          <w:rStyle w:val="Refdenotaalpie"/>
          <w:rFonts w:ascii="Verdana" w:hAnsi="Verdana"/>
          <w:color w:val="000000"/>
          <w:sz w:val="20"/>
          <w:szCs w:val="20"/>
        </w:rPr>
        <w:footnoteReference w:id="18"/>
      </w:r>
      <w:r w:rsidRPr="00C367E3">
        <w:rPr>
          <w:rFonts w:ascii="Verdana" w:hAnsi="Verdana"/>
          <w:color w:val="000000"/>
          <w:sz w:val="20"/>
          <w:szCs w:val="20"/>
        </w:rPr>
        <w:t>.</w:t>
      </w:r>
    </w:p>
    <w:p w:rsidR="00D14A86" w:rsidRPr="00C367E3" w:rsidRDefault="00D14A86" w:rsidP="00D14A86">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Al respecto, la Corte hace notar que si bien esta medida debía ser cumplida “inmediatamente” después de la notificación de la Sentencia (</w:t>
      </w:r>
      <w:r w:rsidRPr="00C367E3">
        <w:rPr>
          <w:rFonts w:ascii="Verdana" w:hAnsi="Verdana"/>
          <w:i/>
          <w:color w:val="000000"/>
          <w:sz w:val="20"/>
          <w:szCs w:val="20"/>
        </w:rPr>
        <w:t>supra</w:t>
      </w:r>
      <w:r w:rsidRPr="00C367E3">
        <w:rPr>
          <w:rFonts w:ascii="Verdana" w:hAnsi="Verdana"/>
          <w:color w:val="000000"/>
          <w:sz w:val="20"/>
          <w:szCs w:val="20"/>
        </w:rPr>
        <w:t xml:space="preserve"> Considerando </w:t>
      </w:r>
      <w:r w:rsidR="00101153" w:rsidRPr="00C367E3">
        <w:rPr>
          <w:rFonts w:ascii="Verdana" w:hAnsi="Verdana"/>
          <w:color w:val="000000"/>
          <w:sz w:val="20"/>
          <w:szCs w:val="20"/>
        </w:rPr>
        <w:t>4</w:t>
      </w:r>
      <w:r w:rsidRPr="00C367E3">
        <w:rPr>
          <w:rFonts w:ascii="Verdana" w:hAnsi="Verdana"/>
          <w:color w:val="000000"/>
          <w:sz w:val="20"/>
          <w:szCs w:val="20"/>
        </w:rPr>
        <w:t xml:space="preserve">), son positivos los esfuerzos desplegados por el Estado y las referidas acciones de los señores </w:t>
      </w:r>
      <w:proofErr w:type="spellStart"/>
      <w:r w:rsidRPr="00C367E3">
        <w:rPr>
          <w:rFonts w:ascii="Verdana" w:hAnsi="Verdana"/>
          <w:color w:val="000000"/>
          <w:sz w:val="20"/>
          <w:szCs w:val="20"/>
        </w:rPr>
        <w:t>Mémoli</w:t>
      </w:r>
      <w:proofErr w:type="spellEnd"/>
      <w:r w:rsidRPr="00C367E3">
        <w:rPr>
          <w:rFonts w:ascii="Verdana" w:hAnsi="Verdana"/>
          <w:color w:val="000000"/>
          <w:sz w:val="20"/>
          <w:szCs w:val="20"/>
        </w:rPr>
        <w:t xml:space="preserve"> orientadas a</w:t>
      </w:r>
      <w:r w:rsidR="008F4647" w:rsidRPr="00C367E3">
        <w:rPr>
          <w:rFonts w:ascii="Verdana" w:hAnsi="Verdana"/>
          <w:color w:val="000000"/>
          <w:sz w:val="20"/>
          <w:szCs w:val="20"/>
        </w:rPr>
        <w:t xml:space="preserve"> su</w:t>
      </w:r>
      <w:r w:rsidRPr="00C367E3">
        <w:rPr>
          <w:rFonts w:ascii="Verdana" w:hAnsi="Verdana"/>
          <w:color w:val="000000"/>
          <w:sz w:val="20"/>
          <w:szCs w:val="20"/>
        </w:rPr>
        <w:t xml:space="preserve"> cumplimiento en un corto tiempo, </w:t>
      </w:r>
      <w:r w:rsidR="00101153" w:rsidRPr="00C367E3">
        <w:rPr>
          <w:rFonts w:ascii="Verdana" w:hAnsi="Verdana"/>
          <w:color w:val="000000"/>
          <w:sz w:val="20"/>
          <w:szCs w:val="20"/>
        </w:rPr>
        <w:t>cuatro</w:t>
      </w:r>
      <w:r w:rsidRPr="00C367E3">
        <w:rPr>
          <w:rFonts w:ascii="Verdana" w:hAnsi="Verdana"/>
          <w:color w:val="000000"/>
          <w:sz w:val="20"/>
          <w:szCs w:val="20"/>
        </w:rPr>
        <w:t xml:space="preserve"> meses después de la </w:t>
      </w:r>
      <w:r w:rsidR="00666B39" w:rsidRPr="00C367E3">
        <w:rPr>
          <w:rFonts w:ascii="Verdana" w:hAnsi="Verdana"/>
          <w:color w:val="000000"/>
          <w:sz w:val="20"/>
          <w:szCs w:val="20"/>
        </w:rPr>
        <w:t>notificac</w:t>
      </w:r>
      <w:r w:rsidRPr="00C367E3">
        <w:rPr>
          <w:rFonts w:ascii="Verdana" w:hAnsi="Verdana"/>
          <w:color w:val="000000"/>
          <w:sz w:val="20"/>
          <w:szCs w:val="20"/>
        </w:rPr>
        <w:t>ión de la Sentencia (</w:t>
      </w:r>
      <w:r w:rsidRPr="00C367E3">
        <w:rPr>
          <w:rFonts w:ascii="Verdana" w:hAnsi="Verdana"/>
          <w:i/>
          <w:color w:val="000000"/>
          <w:sz w:val="20"/>
          <w:szCs w:val="20"/>
        </w:rPr>
        <w:t>supra</w:t>
      </w:r>
      <w:r w:rsidRPr="00C367E3">
        <w:rPr>
          <w:rFonts w:ascii="Verdana" w:hAnsi="Verdana"/>
          <w:color w:val="000000"/>
          <w:sz w:val="20"/>
          <w:szCs w:val="20"/>
        </w:rPr>
        <w:t xml:space="preserve"> Visto 1).</w:t>
      </w:r>
    </w:p>
    <w:p w:rsidR="00D14A86" w:rsidRPr="00C367E3" w:rsidRDefault="00D14A86" w:rsidP="00D14A86">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Con base en lo anterior, el Tribunal considera que Argentina ha dado cumplimiento total a la medida ordenada en el punto </w:t>
      </w:r>
      <w:r w:rsidR="00666B39" w:rsidRPr="00C367E3">
        <w:rPr>
          <w:rFonts w:ascii="Verdana" w:hAnsi="Verdana"/>
          <w:color w:val="000000"/>
          <w:sz w:val="20"/>
          <w:szCs w:val="20"/>
        </w:rPr>
        <w:t>resolu</w:t>
      </w:r>
      <w:r w:rsidRPr="00C367E3">
        <w:rPr>
          <w:rFonts w:ascii="Verdana" w:hAnsi="Verdana"/>
          <w:color w:val="000000"/>
          <w:sz w:val="20"/>
          <w:szCs w:val="20"/>
        </w:rPr>
        <w:t xml:space="preserve">tivo octavo de la Sentencia, relativa a revocar la medida cautelar de inhibición general de bienes impuesta a los señores </w:t>
      </w:r>
      <w:proofErr w:type="spellStart"/>
      <w:r w:rsidRPr="00C367E3">
        <w:rPr>
          <w:rFonts w:ascii="Verdana" w:hAnsi="Verdana"/>
          <w:color w:val="000000"/>
          <w:sz w:val="20"/>
          <w:szCs w:val="20"/>
        </w:rPr>
        <w:t>Mémoli</w:t>
      </w:r>
      <w:proofErr w:type="spellEnd"/>
      <w:r w:rsidRPr="00C367E3">
        <w:rPr>
          <w:rFonts w:ascii="Verdana" w:hAnsi="Verdana"/>
          <w:color w:val="000000"/>
          <w:sz w:val="20"/>
          <w:szCs w:val="20"/>
        </w:rPr>
        <w:t>.</w:t>
      </w:r>
    </w:p>
    <w:p w:rsidR="00D14A86" w:rsidRPr="00C367E3" w:rsidRDefault="00D14A86" w:rsidP="00722171">
      <w:pPr>
        <w:spacing w:before="120" w:after="120" w:line="240" w:lineRule="auto"/>
        <w:jc w:val="both"/>
        <w:rPr>
          <w:rFonts w:ascii="Verdana" w:hAnsi="Verdana"/>
          <w:b/>
          <w:i/>
          <w:color w:val="000000"/>
          <w:sz w:val="20"/>
          <w:szCs w:val="20"/>
        </w:rPr>
      </w:pPr>
    </w:p>
    <w:p w:rsidR="000076BE" w:rsidRPr="00C367E3" w:rsidRDefault="000076BE" w:rsidP="004F2441">
      <w:pPr>
        <w:pStyle w:val="Prrafodelista"/>
        <w:numPr>
          <w:ilvl w:val="0"/>
          <w:numId w:val="29"/>
        </w:numPr>
        <w:spacing w:before="120" w:after="120" w:line="240" w:lineRule="auto"/>
        <w:jc w:val="both"/>
        <w:outlineLvl w:val="0"/>
        <w:rPr>
          <w:rFonts w:ascii="Verdana" w:hAnsi="Verdana"/>
          <w:b/>
          <w:i/>
          <w:color w:val="000000"/>
          <w:sz w:val="20"/>
          <w:szCs w:val="20"/>
        </w:rPr>
      </w:pPr>
      <w:bookmarkStart w:id="2" w:name="_Toc473708792"/>
      <w:r w:rsidRPr="00C367E3">
        <w:rPr>
          <w:rFonts w:ascii="Verdana" w:hAnsi="Verdana"/>
          <w:b/>
          <w:i/>
          <w:color w:val="000000"/>
          <w:sz w:val="20"/>
          <w:szCs w:val="20"/>
        </w:rPr>
        <w:t xml:space="preserve">Resolver el proceso civil seguido contra los señores </w:t>
      </w:r>
      <w:proofErr w:type="spellStart"/>
      <w:r w:rsidRPr="00C367E3">
        <w:rPr>
          <w:rFonts w:ascii="Verdana" w:hAnsi="Verdana"/>
          <w:b/>
          <w:i/>
          <w:color w:val="000000"/>
          <w:sz w:val="20"/>
          <w:szCs w:val="20"/>
        </w:rPr>
        <w:t>Mémoli</w:t>
      </w:r>
      <w:bookmarkEnd w:id="2"/>
      <w:proofErr w:type="spellEnd"/>
    </w:p>
    <w:p w:rsidR="00B64906" w:rsidRPr="00C367E3" w:rsidRDefault="00B64906" w:rsidP="00D42D53">
      <w:pPr>
        <w:spacing w:before="120" w:after="120" w:line="240" w:lineRule="auto"/>
        <w:ind w:left="567"/>
        <w:jc w:val="both"/>
        <w:rPr>
          <w:rFonts w:ascii="Verdana" w:hAnsi="Verdana"/>
          <w:i/>
          <w:color w:val="000000"/>
          <w:sz w:val="20"/>
          <w:szCs w:val="20"/>
        </w:rPr>
      </w:pPr>
    </w:p>
    <w:p w:rsidR="00D42D53" w:rsidRPr="00C367E3" w:rsidRDefault="004F2441" w:rsidP="00D42D53">
      <w:pPr>
        <w:spacing w:before="120" w:after="120" w:line="240" w:lineRule="auto"/>
        <w:ind w:left="567"/>
        <w:jc w:val="both"/>
        <w:rPr>
          <w:rFonts w:ascii="Verdana" w:hAnsi="Verdana"/>
          <w:b/>
          <w:i/>
          <w:color w:val="000000"/>
          <w:sz w:val="20"/>
          <w:szCs w:val="20"/>
        </w:rPr>
      </w:pPr>
      <w:r w:rsidRPr="00C367E3">
        <w:rPr>
          <w:rFonts w:ascii="Verdana" w:hAnsi="Verdana"/>
          <w:i/>
          <w:color w:val="000000"/>
          <w:sz w:val="20"/>
          <w:szCs w:val="20"/>
        </w:rPr>
        <w:t>B</w:t>
      </w:r>
      <w:r w:rsidR="00D42D53" w:rsidRPr="00C367E3">
        <w:rPr>
          <w:rFonts w:ascii="Verdana" w:hAnsi="Verdana"/>
          <w:i/>
          <w:color w:val="000000"/>
          <w:sz w:val="20"/>
          <w:szCs w:val="20"/>
        </w:rPr>
        <w:t>.1. Medida ordenada por la Corte</w:t>
      </w:r>
    </w:p>
    <w:p w:rsidR="00D42D53" w:rsidRPr="00C367E3" w:rsidRDefault="00A656C5" w:rsidP="00D42D53">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s="Verdana"/>
          <w:color w:val="000000"/>
          <w:sz w:val="20"/>
          <w:szCs w:val="20"/>
          <w:lang w:val="es-ES"/>
        </w:rPr>
        <w:t>En la Sentencia</w:t>
      </w:r>
      <w:r w:rsidR="00515999" w:rsidRPr="00C367E3">
        <w:rPr>
          <w:rStyle w:val="Refdenotaalpie"/>
          <w:rFonts w:ascii="Verdana" w:hAnsi="Verdana" w:cs="Verdana"/>
          <w:color w:val="000000"/>
          <w:sz w:val="20"/>
          <w:szCs w:val="20"/>
          <w:lang w:val="es-ES"/>
        </w:rPr>
        <w:footnoteReference w:id="19"/>
      </w:r>
      <w:r w:rsidRPr="00C367E3">
        <w:rPr>
          <w:rFonts w:ascii="Verdana" w:hAnsi="Verdana" w:cs="Verdana"/>
          <w:color w:val="000000"/>
          <w:sz w:val="20"/>
          <w:szCs w:val="20"/>
          <w:lang w:val="es-ES"/>
        </w:rPr>
        <w:t xml:space="preserve"> la Corte constató</w:t>
      </w:r>
      <w:r w:rsidR="006A74CC" w:rsidRPr="00C367E3">
        <w:rPr>
          <w:rFonts w:ascii="Verdana" w:hAnsi="Verdana" w:cs="Verdana"/>
          <w:color w:val="000000"/>
          <w:sz w:val="20"/>
          <w:szCs w:val="20"/>
          <w:lang w:val="es-ES"/>
        </w:rPr>
        <w:t xml:space="preserve"> </w:t>
      </w:r>
      <w:r w:rsidRPr="00C367E3">
        <w:rPr>
          <w:rFonts w:ascii="Verdana" w:hAnsi="Verdana" w:cs="Verdana"/>
          <w:color w:val="000000"/>
          <w:sz w:val="20"/>
          <w:szCs w:val="20"/>
          <w:lang w:val="es-ES"/>
        </w:rPr>
        <w:t>que</w:t>
      </w:r>
      <w:r w:rsidR="007334F3" w:rsidRPr="00C367E3">
        <w:rPr>
          <w:rFonts w:ascii="Verdana" w:hAnsi="Verdana" w:cs="Verdana"/>
          <w:color w:val="000000"/>
          <w:sz w:val="20"/>
          <w:szCs w:val="20"/>
          <w:lang w:val="es-ES"/>
        </w:rPr>
        <w:t>,</w:t>
      </w:r>
      <w:r w:rsidRPr="00C367E3">
        <w:rPr>
          <w:rFonts w:ascii="Verdana" w:hAnsi="Verdana" w:cs="Verdana"/>
          <w:color w:val="000000"/>
          <w:sz w:val="20"/>
          <w:szCs w:val="20"/>
          <w:lang w:val="es-ES"/>
        </w:rPr>
        <w:t xml:space="preserve"> </w:t>
      </w:r>
      <w:r w:rsidR="0002259B" w:rsidRPr="00C367E3">
        <w:rPr>
          <w:rFonts w:ascii="Verdana" w:hAnsi="Verdana" w:cs="Verdana"/>
          <w:color w:val="000000"/>
          <w:sz w:val="20"/>
          <w:szCs w:val="20"/>
          <w:lang w:val="es-ES"/>
        </w:rPr>
        <w:t>en diciembre de 1997</w:t>
      </w:r>
      <w:r w:rsidR="007334F3" w:rsidRPr="00C367E3">
        <w:rPr>
          <w:rFonts w:ascii="Verdana" w:hAnsi="Verdana" w:cs="Verdana"/>
          <w:color w:val="000000"/>
          <w:sz w:val="20"/>
          <w:szCs w:val="20"/>
          <w:lang w:val="es-ES"/>
        </w:rPr>
        <w:t>,</w:t>
      </w:r>
      <w:r w:rsidR="0002259B" w:rsidRPr="00C367E3">
        <w:rPr>
          <w:rFonts w:ascii="Verdana" w:hAnsi="Verdana" w:cs="Verdana"/>
          <w:color w:val="000000"/>
          <w:sz w:val="20"/>
          <w:szCs w:val="20"/>
          <w:lang w:val="es-ES"/>
        </w:rPr>
        <w:t xml:space="preserve"> los tres querellantes</w:t>
      </w:r>
      <w:r w:rsidR="004139B4" w:rsidRPr="00C367E3">
        <w:rPr>
          <w:rStyle w:val="Refdenotaalpie"/>
          <w:rFonts w:ascii="Verdana" w:hAnsi="Verdana" w:cs="Verdana"/>
          <w:color w:val="000000"/>
          <w:sz w:val="20"/>
          <w:szCs w:val="20"/>
          <w:lang w:val="es-ES"/>
        </w:rPr>
        <w:footnoteReference w:id="20"/>
      </w:r>
      <w:r w:rsidR="0002259B" w:rsidRPr="00C367E3">
        <w:rPr>
          <w:rFonts w:ascii="Verdana" w:hAnsi="Verdana" w:cs="Verdana"/>
          <w:color w:val="000000"/>
          <w:sz w:val="20"/>
          <w:szCs w:val="20"/>
          <w:lang w:val="es-ES"/>
        </w:rPr>
        <w:t xml:space="preserve">  </w:t>
      </w:r>
      <w:r w:rsidR="008F4647" w:rsidRPr="00C367E3">
        <w:rPr>
          <w:rFonts w:ascii="Verdana" w:hAnsi="Verdana" w:cs="Verdana"/>
          <w:color w:val="000000"/>
          <w:sz w:val="20"/>
          <w:szCs w:val="20"/>
          <w:lang w:val="es-ES"/>
        </w:rPr>
        <w:t>del</w:t>
      </w:r>
      <w:r w:rsidR="0002259B" w:rsidRPr="00C367E3">
        <w:rPr>
          <w:rFonts w:ascii="Verdana" w:hAnsi="Verdana" w:cs="Verdana"/>
          <w:color w:val="000000"/>
          <w:sz w:val="20"/>
          <w:szCs w:val="20"/>
          <w:lang w:val="es-ES"/>
        </w:rPr>
        <w:t xml:space="preserve"> proceso penal en el cual los señores Carlos y Pablo </w:t>
      </w:r>
      <w:proofErr w:type="spellStart"/>
      <w:r w:rsidR="0002259B" w:rsidRPr="00C367E3">
        <w:rPr>
          <w:rFonts w:ascii="Verdana" w:hAnsi="Verdana" w:cs="Verdana"/>
          <w:color w:val="000000"/>
          <w:sz w:val="20"/>
          <w:szCs w:val="20"/>
          <w:lang w:val="es-ES"/>
        </w:rPr>
        <w:t>Mémoli</w:t>
      </w:r>
      <w:proofErr w:type="spellEnd"/>
      <w:r w:rsidR="0002259B" w:rsidRPr="00C367E3">
        <w:rPr>
          <w:rFonts w:ascii="Verdana" w:hAnsi="Verdana" w:cs="Verdana"/>
          <w:color w:val="000000"/>
          <w:sz w:val="20"/>
          <w:szCs w:val="20"/>
          <w:lang w:val="es-ES"/>
        </w:rPr>
        <w:t xml:space="preserve"> fueron condenados por el delito de injurias, </w:t>
      </w:r>
      <w:r w:rsidR="008F4647" w:rsidRPr="00C367E3">
        <w:rPr>
          <w:rFonts w:ascii="Verdana" w:hAnsi="Verdana" w:cs="Verdana"/>
          <w:color w:val="000000"/>
          <w:sz w:val="20"/>
          <w:szCs w:val="20"/>
          <w:lang w:val="es-ES"/>
        </w:rPr>
        <w:t>interpusieron una demanda</w:t>
      </w:r>
      <w:r w:rsidR="0002259B" w:rsidRPr="00C367E3">
        <w:rPr>
          <w:rFonts w:ascii="Verdana" w:hAnsi="Verdana" w:cs="Verdana"/>
          <w:color w:val="000000"/>
          <w:sz w:val="20"/>
          <w:szCs w:val="20"/>
          <w:lang w:val="es-ES"/>
        </w:rPr>
        <w:t xml:space="preserve"> civil por daños y perjuicios </w:t>
      </w:r>
      <w:r w:rsidR="004A1730" w:rsidRPr="00C367E3">
        <w:rPr>
          <w:rFonts w:ascii="Verdana" w:hAnsi="Verdana" w:cs="Verdana"/>
          <w:color w:val="000000"/>
          <w:sz w:val="20"/>
          <w:szCs w:val="20"/>
          <w:lang w:val="es-ES"/>
        </w:rPr>
        <w:t xml:space="preserve">en </w:t>
      </w:r>
      <w:r w:rsidR="0002259B" w:rsidRPr="00C367E3">
        <w:rPr>
          <w:rFonts w:ascii="Verdana" w:hAnsi="Verdana" w:cs="Verdana"/>
          <w:color w:val="000000"/>
          <w:sz w:val="20"/>
          <w:szCs w:val="20"/>
          <w:lang w:val="es-ES"/>
        </w:rPr>
        <w:t xml:space="preserve">contra </w:t>
      </w:r>
      <w:r w:rsidR="004A1730" w:rsidRPr="00C367E3">
        <w:rPr>
          <w:rFonts w:ascii="Verdana" w:hAnsi="Verdana" w:cs="Verdana"/>
          <w:color w:val="000000"/>
          <w:sz w:val="20"/>
          <w:szCs w:val="20"/>
          <w:lang w:val="es-ES"/>
        </w:rPr>
        <w:t xml:space="preserve">de </w:t>
      </w:r>
      <w:r w:rsidR="0002259B" w:rsidRPr="00C367E3">
        <w:rPr>
          <w:rFonts w:ascii="Verdana" w:hAnsi="Verdana" w:cs="Verdana"/>
          <w:color w:val="000000"/>
          <w:sz w:val="20"/>
          <w:szCs w:val="20"/>
          <w:lang w:val="es-ES"/>
        </w:rPr>
        <w:t xml:space="preserve">los señores </w:t>
      </w:r>
      <w:proofErr w:type="spellStart"/>
      <w:r w:rsidR="0002259B" w:rsidRPr="00C367E3">
        <w:rPr>
          <w:rFonts w:ascii="Verdana" w:hAnsi="Verdana" w:cs="Verdana"/>
          <w:color w:val="000000"/>
          <w:sz w:val="20"/>
          <w:szCs w:val="20"/>
          <w:lang w:val="es-ES"/>
        </w:rPr>
        <w:t>Mémoli</w:t>
      </w:r>
      <w:proofErr w:type="spellEnd"/>
      <w:r w:rsidR="0002259B" w:rsidRPr="00C367E3">
        <w:rPr>
          <w:rFonts w:ascii="Verdana" w:hAnsi="Verdana" w:cs="Verdana"/>
          <w:color w:val="000000"/>
          <w:sz w:val="20"/>
          <w:szCs w:val="20"/>
          <w:lang w:val="es-ES"/>
        </w:rPr>
        <w:t xml:space="preserve">, con base en </w:t>
      </w:r>
      <w:proofErr w:type="gramStart"/>
      <w:r w:rsidR="0002259B" w:rsidRPr="00C367E3">
        <w:rPr>
          <w:rFonts w:ascii="Verdana" w:hAnsi="Verdana" w:cs="Verdana"/>
          <w:color w:val="000000"/>
          <w:sz w:val="20"/>
          <w:szCs w:val="20"/>
          <w:lang w:val="es-ES"/>
        </w:rPr>
        <w:t xml:space="preserve">las </w:t>
      </w:r>
      <w:r w:rsidR="004A1730" w:rsidRPr="00C367E3">
        <w:rPr>
          <w:rFonts w:ascii="Verdana" w:hAnsi="Verdana" w:cs="Verdana"/>
          <w:color w:val="000000"/>
          <w:sz w:val="20"/>
          <w:szCs w:val="20"/>
          <w:lang w:val="es-ES"/>
        </w:rPr>
        <w:t xml:space="preserve">referida </w:t>
      </w:r>
      <w:r w:rsidR="0002259B" w:rsidRPr="00C367E3">
        <w:rPr>
          <w:rFonts w:ascii="Verdana" w:hAnsi="Verdana" w:cs="Verdana"/>
          <w:color w:val="000000"/>
          <w:sz w:val="20"/>
          <w:szCs w:val="20"/>
          <w:lang w:val="es-ES"/>
        </w:rPr>
        <w:t>condena</w:t>
      </w:r>
      <w:r w:rsidR="004A1730" w:rsidRPr="00C367E3">
        <w:rPr>
          <w:rFonts w:ascii="Verdana" w:hAnsi="Verdana" w:cs="Verdana"/>
          <w:color w:val="000000"/>
          <w:sz w:val="20"/>
          <w:szCs w:val="20"/>
          <w:lang w:val="es-ES"/>
        </w:rPr>
        <w:t xml:space="preserve"> penal</w:t>
      </w:r>
      <w:proofErr w:type="gramEnd"/>
      <w:r w:rsidR="0002259B" w:rsidRPr="00C367E3">
        <w:rPr>
          <w:rFonts w:ascii="Verdana" w:hAnsi="Verdana" w:cs="Verdana"/>
          <w:color w:val="000000"/>
          <w:sz w:val="20"/>
          <w:szCs w:val="20"/>
          <w:lang w:val="es-ES"/>
        </w:rPr>
        <w:t>.</w:t>
      </w:r>
      <w:r w:rsidR="00515999" w:rsidRPr="00C367E3">
        <w:rPr>
          <w:rFonts w:ascii="Verdana" w:hAnsi="Verdana" w:cs="Verdana"/>
          <w:color w:val="000000"/>
          <w:sz w:val="20"/>
          <w:szCs w:val="20"/>
          <w:lang w:val="es-ES"/>
        </w:rPr>
        <w:t xml:space="preserve"> A partir del año 2001</w:t>
      </w:r>
      <w:r w:rsidR="004139B4" w:rsidRPr="00C367E3">
        <w:rPr>
          <w:rFonts w:ascii="Verdana" w:hAnsi="Verdana" w:cs="Verdana"/>
          <w:color w:val="000000"/>
          <w:sz w:val="20"/>
          <w:szCs w:val="20"/>
          <w:lang w:val="es-ES"/>
        </w:rPr>
        <w:t>,</w:t>
      </w:r>
      <w:r w:rsidR="00515999" w:rsidRPr="00C367E3">
        <w:rPr>
          <w:rFonts w:ascii="Verdana" w:hAnsi="Verdana" w:cs="Verdana"/>
          <w:color w:val="000000"/>
          <w:sz w:val="20"/>
          <w:szCs w:val="20"/>
          <w:lang w:val="es-ES"/>
        </w:rPr>
        <w:t xml:space="preserve"> el proceso civil abarcó solamente las pretensiones indemnizatorias de uno de los </w:t>
      </w:r>
      <w:r w:rsidR="00D90409" w:rsidRPr="00C367E3">
        <w:rPr>
          <w:rFonts w:ascii="Verdana" w:hAnsi="Verdana" w:cs="Verdana"/>
          <w:color w:val="000000"/>
          <w:sz w:val="20"/>
          <w:szCs w:val="20"/>
          <w:lang w:val="es-ES"/>
        </w:rPr>
        <w:t xml:space="preserve">referidos </w:t>
      </w:r>
      <w:r w:rsidR="00515999" w:rsidRPr="00C367E3">
        <w:rPr>
          <w:rFonts w:ascii="Verdana" w:hAnsi="Verdana" w:cs="Verdana"/>
          <w:color w:val="000000"/>
          <w:sz w:val="20"/>
          <w:szCs w:val="20"/>
          <w:lang w:val="es-ES"/>
        </w:rPr>
        <w:t>demandantes</w:t>
      </w:r>
      <w:r w:rsidR="004139B4" w:rsidRPr="00C367E3">
        <w:rPr>
          <w:rStyle w:val="Refdenotaalpie"/>
          <w:rFonts w:ascii="Verdana" w:hAnsi="Verdana" w:cs="Verdana"/>
          <w:color w:val="000000"/>
          <w:sz w:val="20"/>
          <w:szCs w:val="20"/>
          <w:lang w:val="es-ES"/>
        </w:rPr>
        <w:footnoteReference w:id="21"/>
      </w:r>
      <w:r w:rsidR="007334F3" w:rsidRPr="00C367E3">
        <w:rPr>
          <w:rFonts w:ascii="Verdana" w:hAnsi="Verdana" w:cs="Verdana"/>
          <w:color w:val="000000"/>
          <w:sz w:val="20"/>
          <w:szCs w:val="20"/>
          <w:lang w:val="es-ES"/>
        </w:rPr>
        <w:t>,</w:t>
      </w:r>
      <w:r w:rsidR="00515999" w:rsidRPr="00C367E3">
        <w:rPr>
          <w:rFonts w:ascii="Verdana" w:hAnsi="Verdana" w:cs="Verdana"/>
          <w:color w:val="000000"/>
          <w:sz w:val="20"/>
          <w:szCs w:val="20"/>
          <w:lang w:val="es-ES"/>
        </w:rPr>
        <w:t xml:space="preserve"> ya que los señores </w:t>
      </w:r>
      <w:proofErr w:type="spellStart"/>
      <w:r w:rsidR="00515999" w:rsidRPr="00C367E3">
        <w:rPr>
          <w:rFonts w:ascii="Verdana" w:hAnsi="Verdana" w:cs="Verdana"/>
          <w:color w:val="000000"/>
          <w:sz w:val="20"/>
          <w:szCs w:val="20"/>
          <w:lang w:val="es-ES"/>
        </w:rPr>
        <w:t>Mémoli</w:t>
      </w:r>
      <w:proofErr w:type="spellEnd"/>
      <w:r w:rsidR="00515999" w:rsidRPr="00C367E3">
        <w:rPr>
          <w:rFonts w:ascii="Verdana" w:hAnsi="Verdana" w:cs="Verdana"/>
          <w:color w:val="000000"/>
          <w:sz w:val="20"/>
          <w:szCs w:val="20"/>
          <w:lang w:val="es-ES"/>
        </w:rPr>
        <w:t xml:space="preserve"> llegaron a un acuerdo judicial con los otros dos. Desde el inicio del proceso</w:t>
      </w:r>
      <w:r w:rsidR="003769CE" w:rsidRPr="00C367E3">
        <w:rPr>
          <w:rFonts w:ascii="Verdana" w:hAnsi="Verdana" w:cs="Verdana"/>
          <w:color w:val="000000"/>
          <w:sz w:val="20"/>
          <w:szCs w:val="20"/>
          <w:lang w:val="es-ES"/>
        </w:rPr>
        <w:t xml:space="preserve"> civil</w:t>
      </w:r>
      <w:r w:rsidR="00515999" w:rsidRPr="00C367E3">
        <w:rPr>
          <w:rFonts w:ascii="Verdana" w:hAnsi="Verdana" w:cs="Verdana"/>
          <w:color w:val="000000"/>
          <w:sz w:val="20"/>
          <w:szCs w:val="20"/>
          <w:lang w:val="es-ES"/>
        </w:rPr>
        <w:t xml:space="preserve"> los señores </w:t>
      </w:r>
      <w:proofErr w:type="spellStart"/>
      <w:r w:rsidR="00515999" w:rsidRPr="00C367E3">
        <w:rPr>
          <w:rFonts w:ascii="Verdana" w:hAnsi="Verdana" w:cs="Verdana"/>
          <w:color w:val="000000"/>
          <w:sz w:val="20"/>
          <w:szCs w:val="20"/>
          <w:lang w:val="es-ES"/>
        </w:rPr>
        <w:t>Mémoli</w:t>
      </w:r>
      <w:proofErr w:type="spellEnd"/>
      <w:r w:rsidR="00515999" w:rsidRPr="00C367E3">
        <w:rPr>
          <w:rFonts w:ascii="Verdana" w:hAnsi="Verdana" w:cs="Verdana"/>
          <w:color w:val="000000"/>
          <w:sz w:val="20"/>
          <w:szCs w:val="20"/>
          <w:lang w:val="es-ES"/>
        </w:rPr>
        <w:t xml:space="preserve"> interpusieron</w:t>
      </w:r>
      <w:r w:rsidR="00851F4F" w:rsidRPr="00C367E3">
        <w:rPr>
          <w:rFonts w:ascii="Verdana" w:hAnsi="Verdana" w:cs="Verdana"/>
          <w:color w:val="000000"/>
          <w:sz w:val="20"/>
          <w:szCs w:val="20"/>
          <w:lang w:val="es-ES"/>
        </w:rPr>
        <w:t xml:space="preserve"> una excepción de cosa juzgada y </w:t>
      </w:r>
      <w:r w:rsidR="00515999" w:rsidRPr="00C367E3">
        <w:rPr>
          <w:rFonts w:ascii="Verdana" w:hAnsi="Verdana" w:cs="Verdana"/>
          <w:color w:val="000000"/>
          <w:sz w:val="20"/>
          <w:szCs w:val="20"/>
          <w:lang w:val="es-ES"/>
        </w:rPr>
        <w:t>una excepción de prescripción de la acción civil</w:t>
      </w:r>
      <w:r w:rsidR="00851F4F" w:rsidRPr="00C367E3">
        <w:rPr>
          <w:rFonts w:ascii="Verdana" w:hAnsi="Verdana" w:cs="Verdana"/>
          <w:color w:val="000000"/>
          <w:sz w:val="20"/>
          <w:szCs w:val="20"/>
          <w:lang w:val="es-ES"/>
        </w:rPr>
        <w:t>,</w:t>
      </w:r>
      <w:r w:rsidR="00515999" w:rsidRPr="00C367E3">
        <w:rPr>
          <w:rFonts w:ascii="Verdana" w:hAnsi="Verdana" w:cs="Verdana"/>
          <w:color w:val="000000"/>
          <w:sz w:val="20"/>
          <w:szCs w:val="20"/>
          <w:lang w:val="es-ES"/>
        </w:rPr>
        <w:t xml:space="preserve"> </w:t>
      </w:r>
      <w:r w:rsidR="00851F4F" w:rsidRPr="00C367E3">
        <w:rPr>
          <w:rFonts w:ascii="Verdana" w:hAnsi="Verdana" w:cs="Verdana"/>
          <w:color w:val="000000"/>
          <w:sz w:val="20"/>
          <w:szCs w:val="20"/>
          <w:lang w:val="es-ES"/>
        </w:rPr>
        <w:t>sobre la</w:t>
      </w:r>
      <w:r w:rsidR="00A25F82" w:rsidRPr="00C367E3">
        <w:rPr>
          <w:rFonts w:ascii="Verdana" w:hAnsi="Verdana" w:cs="Verdana"/>
          <w:color w:val="000000"/>
          <w:sz w:val="20"/>
          <w:szCs w:val="20"/>
          <w:lang w:val="es-ES"/>
        </w:rPr>
        <w:t>s</w:t>
      </w:r>
      <w:r w:rsidR="00851F4F" w:rsidRPr="00C367E3">
        <w:rPr>
          <w:rFonts w:ascii="Verdana" w:hAnsi="Verdana" w:cs="Verdana"/>
          <w:color w:val="000000"/>
          <w:sz w:val="20"/>
          <w:szCs w:val="20"/>
          <w:lang w:val="es-ES"/>
        </w:rPr>
        <w:t xml:space="preserve"> cual</w:t>
      </w:r>
      <w:r w:rsidR="00A25F82" w:rsidRPr="00C367E3">
        <w:rPr>
          <w:rFonts w:ascii="Verdana" w:hAnsi="Verdana" w:cs="Verdana"/>
          <w:color w:val="000000"/>
          <w:sz w:val="20"/>
          <w:szCs w:val="20"/>
          <w:lang w:val="es-ES"/>
        </w:rPr>
        <w:t>es</w:t>
      </w:r>
      <w:r w:rsidR="00515999" w:rsidRPr="00C367E3">
        <w:rPr>
          <w:rFonts w:ascii="Verdana" w:hAnsi="Verdana" w:cs="Verdana"/>
          <w:color w:val="000000"/>
          <w:sz w:val="20"/>
          <w:szCs w:val="20"/>
          <w:lang w:val="es-ES"/>
        </w:rPr>
        <w:t xml:space="preserve"> insistieron durante la tramitación de</w:t>
      </w:r>
      <w:r w:rsidR="008138B6" w:rsidRPr="00C367E3">
        <w:rPr>
          <w:rFonts w:ascii="Verdana" w:hAnsi="Verdana" w:cs="Verdana"/>
          <w:color w:val="000000"/>
          <w:sz w:val="20"/>
          <w:szCs w:val="20"/>
          <w:lang w:val="es-ES"/>
        </w:rPr>
        <w:t xml:space="preserve"> todo el</w:t>
      </w:r>
      <w:r w:rsidR="00515999" w:rsidRPr="00C367E3">
        <w:rPr>
          <w:rFonts w:ascii="Verdana" w:hAnsi="Verdana" w:cs="Verdana"/>
          <w:color w:val="000000"/>
          <w:sz w:val="20"/>
          <w:szCs w:val="20"/>
          <w:lang w:val="es-ES"/>
        </w:rPr>
        <w:t xml:space="preserve"> proceso. </w:t>
      </w:r>
      <w:r w:rsidR="004A1730" w:rsidRPr="00C367E3">
        <w:rPr>
          <w:rFonts w:ascii="Verdana" w:hAnsi="Verdana" w:cs="Verdana"/>
          <w:color w:val="000000"/>
          <w:sz w:val="20"/>
          <w:szCs w:val="20"/>
          <w:lang w:val="es-ES"/>
        </w:rPr>
        <w:t>A</w:t>
      </w:r>
      <w:r w:rsidR="00515999" w:rsidRPr="00C367E3">
        <w:rPr>
          <w:rFonts w:ascii="Verdana" w:hAnsi="Verdana" w:cs="Verdana"/>
          <w:color w:val="000000"/>
          <w:sz w:val="20"/>
          <w:szCs w:val="20"/>
          <w:lang w:val="es-ES"/>
        </w:rPr>
        <w:t xml:space="preserve">l momento de emitirse la Sentencia </w:t>
      </w:r>
      <w:r w:rsidR="004A1730" w:rsidRPr="00C367E3">
        <w:rPr>
          <w:rFonts w:ascii="Verdana" w:hAnsi="Verdana" w:cs="Verdana"/>
          <w:color w:val="000000"/>
          <w:sz w:val="20"/>
          <w:szCs w:val="20"/>
          <w:lang w:val="es-ES"/>
        </w:rPr>
        <w:t>de este Tribunal</w:t>
      </w:r>
      <w:r w:rsidR="008138B6" w:rsidRPr="00C367E3">
        <w:rPr>
          <w:rFonts w:ascii="Verdana" w:hAnsi="Verdana" w:cs="Verdana"/>
          <w:color w:val="000000"/>
          <w:sz w:val="20"/>
          <w:szCs w:val="20"/>
          <w:lang w:val="es-ES"/>
        </w:rPr>
        <w:t>,</w:t>
      </w:r>
      <w:r w:rsidR="004A1730" w:rsidRPr="00C367E3">
        <w:rPr>
          <w:rFonts w:ascii="Verdana" w:hAnsi="Verdana" w:cs="Verdana"/>
          <w:color w:val="000000"/>
          <w:sz w:val="20"/>
          <w:szCs w:val="20"/>
          <w:lang w:val="es-ES"/>
        </w:rPr>
        <w:t xml:space="preserve"> </w:t>
      </w:r>
      <w:r w:rsidR="00515999" w:rsidRPr="00C367E3">
        <w:rPr>
          <w:rFonts w:ascii="Verdana" w:hAnsi="Verdana" w:cs="Verdana"/>
          <w:color w:val="000000"/>
          <w:sz w:val="20"/>
          <w:szCs w:val="20"/>
          <w:lang w:val="es-ES"/>
        </w:rPr>
        <w:t>aún no se había</w:t>
      </w:r>
      <w:r w:rsidR="00A4688E" w:rsidRPr="00C367E3">
        <w:rPr>
          <w:rFonts w:ascii="Verdana" w:hAnsi="Verdana" w:cs="Verdana"/>
          <w:color w:val="000000"/>
          <w:sz w:val="20"/>
          <w:szCs w:val="20"/>
          <w:lang w:val="es-ES"/>
        </w:rPr>
        <w:t>n</w:t>
      </w:r>
      <w:r w:rsidR="00515999" w:rsidRPr="00C367E3">
        <w:rPr>
          <w:rFonts w:ascii="Verdana" w:hAnsi="Verdana" w:cs="Verdana"/>
          <w:color w:val="000000"/>
          <w:sz w:val="20"/>
          <w:szCs w:val="20"/>
          <w:lang w:val="es-ES"/>
        </w:rPr>
        <w:t xml:space="preserve"> resuelto</w:t>
      </w:r>
      <w:r w:rsidR="004A1730" w:rsidRPr="00C367E3">
        <w:rPr>
          <w:rFonts w:ascii="Verdana" w:hAnsi="Verdana" w:cs="Verdana"/>
          <w:color w:val="000000"/>
          <w:sz w:val="20"/>
          <w:szCs w:val="20"/>
          <w:lang w:val="es-ES"/>
        </w:rPr>
        <w:t xml:space="preserve"> la</w:t>
      </w:r>
      <w:r w:rsidR="00A4688E" w:rsidRPr="00C367E3">
        <w:rPr>
          <w:rFonts w:ascii="Verdana" w:hAnsi="Verdana" w:cs="Verdana"/>
          <w:color w:val="000000"/>
          <w:sz w:val="20"/>
          <w:szCs w:val="20"/>
          <w:lang w:val="es-ES"/>
        </w:rPr>
        <w:t>s</w:t>
      </w:r>
      <w:r w:rsidR="004A1730" w:rsidRPr="00C367E3">
        <w:rPr>
          <w:rFonts w:ascii="Verdana" w:hAnsi="Verdana" w:cs="Verdana"/>
          <w:color w:val="000000"/>
          <w:sz w:val="20"/>
          <w:szCs w:val="20"/>
          <w:lang w:val="es-ES"/>
        </w:rPr>
        <w:t xml:space="preserve"> referida</w:t>
      </w:r>
      <w:r w:rsidR="00A4688E" w:rsidRPr="00C367E3">
        <w:rPr>
          <w:rFonts w:ascii="Verdana" w:hAnsi="Verdana" w:cs="Verdana"/>
          <w:color w:val="000000"/>
          <w:sz w:val="20"/>
          <w:szCs w:val="20"/>
          <w:lang w:val="es-ES"/>
        </w:rPr>
        <w:t>s</w:t>
      </w:r>
      <w:r w:rsidR="004A1730" w:rsidRPr="00C367E3">
        <w:rPr>
          <w:rFonts w:ascii="Verdana" w:hAnsi="Verdana" w:cs="Verdana"/>
          <w:color w:val="000000"/>
          <w:sz w:val="20"/>
          <w:szCs w:val="20"/>
          <w:lang w:val="es-ES"/>
        </w:rPr>
        <w:t xml:space="preserve"> excepc</w:t>
      </w:r>
      <w:r w:rsidR="00A4688E" w:rsidRPr="00C367E3">
        <w:rPr>
          <w:rFonts w:ascii="Verdana" w:hAnsi="Verdana" w:cs="Verdana"/>
          <w:color w:val="000000"/>
          <w:sz w:val="20"/>
          <w:szCs w:val="20"/>
          <w:lang w:val="es-ES"/>
        </w:rPr>
        <w:t>iones,</w:t>
      </w:r>
      <w:r w:rsidR="00771471" w:rsidRPr="00C367E3">
        <w:rPr>
          <w:rFonts w:ascii="Verdana" w:hAnsi="Verdana" w:cs="Verdana"/>
          <w:color w:val="000000"/>
          <w:sz w:val="20"/>
          <w:szCs w:val="20"/>
          <w:lang w:val="es-ES"/>
        </w:rPr>
        <w:t xml:space="preserve"> puesto que el juez </w:t>
      </w:r>
      <w:r w:rsidR="00D3219D" w:rsidRPr="00C367E3">
        <w:rPr>
          <w:rFonts w:ascii="Verdana" w:hAnsi="Verdana" w:cs="Verdana"/>
          <w:color w:val="000000"/>
          <w:sz w:val="20"/>
          <w:szCs w:val="20"/>
          <w:lang w:val="es-ES"/>
        </w:rPr>
        <w:t>había diferido</w:t>
      </w:r>
      <w:r w:rsidR="00771471" w:rsidRPr="00C367E3">
        <w:rPr>
          <w:rFonts w:ascii="Verdana" w:hAnsi="Verdana" w:cs="Verdana"/>
          <w:color w:val="000000"/>
          <w:sz w:val="20"/>
          <w:szCs w:val="20"/>
          <w:lang w:val="es-ES"/>
        </w:rPr>
        <w:t xml:space="preserve"> </w:t>
      </w:r>
      <w:r w:rsidR="00D3219D" w:rsidRPr="00C367E3">
        <w:rPr>
          <w:rFonts w:ascii="Verdana" w:hAnsi="Verdana" w:cs="Verdana"/>
          <w:color w:val="000000"/>
          <w:sz w:val="20"/>
          <w:szCs w:val="20"/>
          <w:lang w:val="es-ES"/>
        </w:rPr>
        <w:t>el</w:t>
      </w:r>
      <w:r w:rsidR="00771471" w:rsidRPr="00C367E3">
        <w:rPr>
          <w:rFonts w:ascii="Verdana" w:hAnsi="Verdana" w:cs="Verdana"/>
          <w:color w:val="000000"/>
          <w:sz w:val="20"/>
          <w:szCs w:val="20"/>
          <w:lang w:val="es-ES"/>
        </w:rPr>
        <w:t xml:space="preserve"> tratamiento</w:t>
      </w:r>
      <w:r w:rsidR="00D3219D" w:rsidRPr="00C367E3">
        <w:rPr>
          <w:rFonts w:ascii="Verdana" w:hAnsi="Verdana" w:cs="Verdana"/>
          <w:color w:val="000000"/>
          <w:sz w:val="20"/>
          <w:szCs w:val="20"/>
          <w:lang w:val="es-ES"/>
        </w:rPr>
        <w:t xml:space="preserve"> de la excepción de prescripción para el momento de dictar sentencia definitiva</w:t>
      </w:r>
      <w:r w:rsidR="00650736" w:rsidRPr="00C367E3">
        <w:rPr>
          <w:rFonts w:ascii="Verdana" w:hAnsi="Verdana" w:cs="Verdana"/>
          <w:color w:val="000000"/>
          <w:sz w:val="20"/>
          <w:szCs w:val="20"/>
          <w:lang w:val="es-ES"/>
        </w:rPr>
        <w:t>;</w:t>
      </w:r>
      <w:r w:rsidR="002464B6" w:rsidRPr="00C367E3">
        <w:rPr>
          <w:rFonts w:ascii="Verdana" w:hAnsi="Verdana" w:cs="Verdana"/>
          <w:color w:val="000000"/>
          <w:sz w:val="20"/>
          <w:szCs w:val="20"/>
          <w:lang w:val="es-ES"/>
        </w:rPr>
        <w:t xml:space="preserve"> </w:t>
      </w:r>
      <w:r w:rsidR="004A1730" w:rsidRPr="00C367E3">
        <w:rPr>
          <w:rFonts w:ascii="Verdana" w:hAnsi="Verdana" w:cs="Verdana"/>
          <w:color w:val="000000"/>
          <w:sz w:val="20"/>
          <w:szCs w:val="20"/>
          <w:lang w:val="es-ES"/>
        </w:rPr>
        <w:t>tampoco se ha</w:t>
      </w:r>
      <w:r w:rsidR="002464B6" w:rsidRPr="00C367E3">
        <w:rPr>
          <w:rFonts w:ascii="Verdana" w:hAnsi="Verdana" w:cs="Verdana"/>
          <w:color w:val="000000"/>
          <w:sz w:val="20"/>
          <w:szCs w:val="20"/>
          <w:lang w:val="es-ES"/>
        </w:rPr>
        <w:t>bía cerrado la et</w:t>
      </w:r>
      <w:r w:rsidR="00FF66DB" w:rsidRPr="00C367E3">
        <w:rPr>
          <w:rFonts w:ascii="Verdana" w:hAnsi="Verdana" w:cs="Verdana"/>
          <w:color w:val="000000"/>
          <w:sz w:val="20"/>
          <w:szCs w:val="20"/>
          <w:lang w:val="es-ES"/>
        </w:rPr>
        <w:t xml:space="preserve">apa probatoria y </w:t>
      </w:r>
      <w:r w:rsidR="004A1730" w:rsidRPr="00C367E3">
        <w:rPr>
          <w:rFonts w:ascii="Verdana" w:hAnsi="Verdana" w:cs="Verdana"/>
          <w:color w:val="000000"/>
          <w:sz w:val="20"/>
          <w:szCs w:val="20"/>
          <w:lang w:val="es-ES"/>
        </w:rPr>
        <w:t>aún se encontraba pendiente e</w:t>
      </w:r>
      <w:r w:rsidR="003769CE" w:rsidRPr="00C367E3">
        <w:rPr>
          <w:rFonts w:ascii="Verdana" w:hAnsi="Verdana" w:cs="Verdana"/>
          <w:color w:val="000000"/>
          <w:sz w:val="20"/>
          <w:szCs w:val="20"/>
          <w:lang w:val="es-ES"/>
        </w:rPr>
        <w:t>l</w:t>
      </w:r>
      <w:r w:rsidR="002464B6" w:rsidRPr="00C367E3">
        <w:rPr>
          <w:rFonts w:ascii="Verdana" w:hAnsi="Verdana" w:cs="Verdana"/>
          <w:color w:val="000000"/>
          <w:sz w:val="20"/>
          <w:szCs w:val="20"/>
          <w:lang w:val="es-ES"/>
        </w:rPr>
        <w:t xml:space="preserve"> dictar</w:t>
      </w:r>
      <w:r w:rsidR="004A1730" w:rsidRPr="00C367E3">
        <w:rPr>
          <w:rFonts w:ascii="Verdana" w:hAnsi="Verdana" w:cs="Verdana"/>
          <w:color w:val="000000"/>
          <w:sz w:val="20"/>
          <w:szCs w:val="20"/>
          <w:lang w:val="es-ES"/>
        </w:rPr>
        <w:t xml:space="preserve"> la decisión de primera instancia.</w:t>
      </w:r>
      <w:r w:rsidR="00FF66DB" w:rsidRPr="00C367E3">
        <w:rPr>
          <w:rFonts w:ascii="Verdana" w:hAnsi="Verdana" w:cs="Verdana"/>
          <w:color w:val="000000"/>
          <w:sz w:val="20"/>
          <w:szCs w:val="20"/>
          <w:lang w:val="es-ES"/>
        </w:rPr>
        <w:t xml:space="preserve"> </w:t>
      </w:r>
    </w:p>
    <w:p w:rsidR="005256E3" w:rsidRPr="00C367E3" w:rsidRDefault="00A25F82" w:rsidP="00D42D53">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Debido a que </w:t>
      </w:r>
      <w:r w:rsidR="003769CE" w:rsidRPr="00C367E3">
        <w:rPr>
          <w:rFonts w:ascii="Verdana" w:hAnsi="Verdana"/>
          <w:color w:val="000000"/>
          <w:sz w:val="20"/>
          <w:szCs w:val="20"/>
        </w:rPr>
        <w:t>este Tribunal</w:t>
      </w:r>
      <w:r w:rsidRPr="00C367E3">
        <w:rPr>
          <w:rFonts w:ascii="Verdana" w:hAnsi="Verdana"/>
          <w:color w:val="000000"/>
          <w:sz w:val="20"/>
          <w:szCs w:val="20"/>
        </w:rPr>
        <w:t xml:space="preserve"> encontró que el Estado incurrió en una violación del principio del plazo razonable</w:t>
      </w:r>
      <w:r w:rsidR="005256E3" w:rsidRPr="00C367E3">
        <w:rPr>
          <w:rFonts w:ascii="Verdana" w:hAnsi="Verdana"/>
          <w:color w:val="000000"/>
          <w:sz w:val="20"/>
          <w:szCs w:val="20"/>
        </w:rPr>
        <w:t xml:space="preserve">, en el punto resolutivo séptimo y el párrafo 206 de la Sentencia, dispuso que “el Estado </w:t>
      </w:r>
      <w:proofErr w:type="spellStart"/>
      <w:proofErr w:type="gramStart"/>
      <w:r w:rsidR="005256E3" w:rsidRPr="00C367E3">
        <w:rPr>
          <w:rFonts w:ascii="Verdana" w:hAnsi="Verdana"/>
          <w:color w:val="000000"/>
          <w:sz w:val="20"/>
          <w:szCs w:val="20"/>
        </w:rPr>
        <w:t>deb</w:t>
      </w:r>
      <w:proofErr w:type="spellEnd"/>
      <w:r w:rsidR="005256E3" w:rsidRPr="00C367E3">
        <w:rPr>
          <w:rFonts w:ascii="Verdana" w:hAnsi="Verdana"/>
          <w:color w:val="000000"/>
          <w:sz w:val="20"/>
          <w:szCs w:val="20"/>
        </w:rPr>
        <w:t>[</w:t>
      </w:r>
      <w:proofErr w:type="spellStart"/>
      <w:proofErr w:type="gramEnd"/>
      <w:r w:rsidR="005256E3" w:rsidRPr="00C367E3">
        <w:rPr>
          <w:rFonts w:ascii="Verdana" w:hAnsi="Verdana"/>
          <w:color w:val="000000"/>
          <w:sz w:val="20"/>
          <w:szCs w:val="20"/>
        </w:rPr>
        <w:t>ía</w:t>
      </w:r>
      <w:proofErr w:type="spellEnd"/>
      <w:r w:rsidR="005256E3" w:rsidRPr="00C367E3">
        <w:rPr>
          <w:rFonts w:ascii="Verdana" w:hAnsi="Verdana"/>
          <w:color w:val="000000"/>
          <w:sz w:val="20"/>
          <w:szCs w:val="20"/>
        </w:rPr>
        <w:t>] adoptar las medidas necesarias para que, tomando en cuenta lo dispuesto en [la</w:t>
      </w:r>
      <w:r w:rsidRPr="00C367E3">
        <w:rPr>
          <w:rFonts w:ascii="Verdana" w:hAnsi="Verdana"/>
          <w:color w:val="000000"/>
          <w:sz w:val="20"/>
          <w:szCs w:val="20"/>
        </w:rPr>
        <w:t xml:space="preserve"> misma</w:t>
      </w:r>
      <w:r w:rsidR="005256E3" w:rsidRPr="00C367E3">
        <w:rPr>
          <w:rFonts w:ascii="Verdana" w:hAnsi="Verdana"/>
          <w:color w:val="000000"/>
          <w:sz w:val="20"/>
          <w:szCs w:val="20"/>
        </w:rPr>
        <w:t>], se res</w:t>
      </w:r>
      <w:r w:rsidR="003769CE" w:rsidRPr="00C367E3">
        <w:rPr>
          <w:rFonts w:ascii="Verdana" w:hAnsi="Verdana"/>
          <w:color w:val="000000"/>
          <w:sz w:val="20"/>
          <w:szCs w:val="20"/>
        </w:rPr>
        <w:t>[</w:t>
      </w:r>
      <w:proofErr w:type="spellStart"/>
      <w:r w:rsidR="003769CE" w:rsidRPr="00C367E3">
        <w:rPr>
          <w:rFonts w:ascii="Verdana" w:hAnsi="Verdana"/>
          <w:color w:val="000000"/>
          <w:sz w:val="20"/>
          <w:szCs w:val="20"/>
        </w:rPr>
        <w:t>olviera</w:t>
      </w:r>
      <w:proofErr w:type="spellEnd"/>
      <w:r w:rsidR="003769CE" w:rsidRPr="00C367E3">
        <w:rPr>
          <w:rFonts w:ascii="Verdana" w:hAnsi="Verdana"/>
          <w:color w:val="000000"/>
          <w:sz w:val="20"/>
          <w:szCs w:val="20"/>
        </w:rPr>
        <w:t>]</w:t>
      </w:r>
      <w:r w:rsidR="005256E3" w:rsidRPr="00C367E3">
        <w:rPr>
          <w:rFonts w:ascii="Verdana" w:hAnsi="Verdana"/>
          <w:color w:val="000000"/>
          <w:sz w:val="20"/>
          <w:szCs w:val="20"/>
        </w:rPr>
        <w:t xml:space="preserve"> con la mayor celeridad posible el […] proceso civil</w:t>
      </w:r>
      <w:r w:rsidR="00650736" w:rsidRPr="00C367E3">
        <w:rPr>
          <w:rFonts w:ascii="Verdana" w:hAnsi="Verdana"/>
          <w:color w:val="000000"/>
          <w:sz w:val="20"/>
          <w:szCs w:val="20"/>
        </w:rPr>
        <w:t>”</w:t>
      </w:r>
      <w:r w:rsidR="005256E3" w:rsidRPr="00C367E3">
        <w:rPr>
          <w:rFonts w:ascii="Verdana" w:hAnsi="Verdana"/>
          <w:color w:val="000000"/>
          <w:sz w:val="20"/>
          <w:szCs w:val="20"/>
        </w:rPr>
        <w:t xml:space="preserve"> por daños y perjuicios iniciado contra los señores </w:t>
      </w:r>
      <w:proofErr w:type="spellStart"/>
      <w:r w:rsidR="005256E3" w:rsidRPr="00C367E3">
        <w:rPr>
          <w:rFonts w:ascii="Verdana" w:hAnsi="Verdana"/>
          <w:color w:val="000000"/>
          <w:sz w:val="20"/>
          <w:szCs w:val="20"/>
        </w:rPr>
        <w:t>Mémoli</w:t>
      </w:r>
      <w:proofErr w:type="spellEnd"/>
      <w:r w:rsidR="005256E3" w:rsidRPr="00C367E3">
        <w:rPr>
          <w:rFonts w:ascii="Verdana" w:hAnsi="Verdana"/>
          <w:color w:val="000000"/>
          <w:sz w:val="20"/>
          <w:szCs w:val="20"/>
        </w:rPr>
        <w:t>.</w:t>
      </w:r>
    </w:p>
    <w:p w:rsidR="00AD20E2" w:rsidRPr="00C367E3" w:rsidRDefault="00AD20E2" w:rsidP="00AD20E2">
      <w:pPr>
        <w:pStyle w:val="Prrafodelista"/>
        <w:tabs>
          <w:tab w:val="left" w:pos="0"/>
        </w:tabs>
        <w:spacing w:before="120" w:after="120" w:line="240" w:lineRule="auto"/>
        <w:ind w:left="0"/>
        <w:contextualSpacing w:val="0"/>
        <w:jc w:val="both"/>
        <w:rPr>
          <w:rFonts w:ascii="Verdana" w:hAnsi="Verdana"/>
          <w:color w:val="000000"/>
          <w:sz w:val="20"/>
          <w:szCs w:val="20"/>
        </w:rPr>
      </w:pPr>
    </w:p>
    <w:p w:rsidR="005256E3" w:rsidRPr="00C367E3" w:rsidRDefault="008C54BB" w:rsidP="00757332">
      <w:pPr>
        <w:pStyle w:val="Prrafodelista"/>
        <w:spacing w:before="120" w:after="120" w:line="240" w:lineRule="auto"/>
        <w:contextualSpacing w:val="0"/>
        <w:jc w:val="both"/>
        <w:rPr>
          <w:rFonts w:ascii="Verdana" w:hAnsi="Verdana"/>
          <w:b/>
          <w:i/>
          <w:color w:val="000000"/>
          <w:sz w:val="20"/>
          <w:szCs w:val="20"/>
        </w:rPr>
      </w:pPr>
      <w:r w:rsidRPr="00C367E3">
        <w:rPr>
          <w:rFonts w:ascii="Verdana" w:hAnsi="Verdana"/>
          <w:i/>
          <w:color w:val="000000"/>
          <w:sz w:val="20"/>
          <w:szCs w:val="20"/>
        </w:rPr>
        <w:t>B</w:t>
      </w:r>
      <w:r w:rsidR="005256E3" w:rsidRPr="00C367E3">
        <w:rPr>
          <w:rFonts w:ascii="Verdana" w:hAnsi="Verdana"/>
          <w:i/>
          <w:color w:val="000000"/>
          <w:sz w:val="20"/>
          <w:szCs w:val="20"/>
        </w:rPr>
        <w:t>.2. Consideraciones de la Corte</w:t>
      </w:r>
    </w:p>
    <w:p w:rsidR="00252DFE" w:rsidRPr="00C367E3" w:rsidRDefault="00A25F82" w:rsidP="00252DFE">
      <w:pPr>
        <w:pStyle w:val="Prrafodelista"/>
        <w:numPr>
          <w:ilvl w:val="0"/>
          <w:numId w:val="17"/>
        </w:numPr>
        <w:tabs>
          <w:tab w:val="left" w:pos="0"/>
          <w:tab w:val="left" w:pos="567"/>
        </w:tabs>
        <w:spacing w:before="120" w:after="120" w:line="240" w:lineRule="auto"/>
        <w:ind w:left="0" w:firstLine="0"/>
        <w:contextualSpacing w:val="0"/>
        <w:jc w:val="both"/>
        <w:rPr>
          <w:rFonts w:ascii="Verdana" w:hAnsi="Verdana"/>
          <w:color w:val="000000"/>
          <w:sz w:val="20"/>
          <w:szCs w:val="20"/>
        </w:rPr>
      </w:pPr>
      <w:r>
        <w:rPr>
          <w:rFonts w:ascii="Verdana" w:eastAsia="Times New Roman" w:hAnsi="Verdana"/>
          <w:sz w:val="20"/>
          <w:szCs w:val="20"/>
        </w:rPr>
        <w:t>De acuerdo a la información aportada</w:t>
      </w:r>
      <w:r w:rsidR="003769CE">
        <w:rPr>
          <w:rFonts w:ascii="Verdana" w:eastAsia="Times New Roman" w:hAnsi="Verdana"/>
          <w:sz w:val="20"/>
          <w:szCs w:val="20"/>
        </w:rPr>
        <w:t xml:space="preserve"> por las partes</w:t>
      </w:r>
      <w:r>
        <w:rPr>
          <w:rFonts w:ascii="Verdana" w:eastAsia="Times New Roman" w:hAnsi="Verdana"/>
          <w:sz w:val="20"/>
          <w:szCs w:val="20"/>
        </w:rPr>
        <w:t xml:space="preserve">, </w:t>
      </w:r>
      <w:r w:rsidR="00757332">
        <w:rPr>
          <w:rFonts w:ascii="Verdana" w:eastAsia="Times New Roman" w:hAnsi="Verdana"/>
          <w:sz w:val="20"/>
          <w:szCs w:val="20"/>
        </w:rPr>
        <w:t xml:space="preserve">el </w:t>
      </w:r>
      <w:r w:rsidR="009252DB">
        <w:rPr>
          <w:rFonts w:ascii="Verdana" w:eastAsia="Times New Roman" w:hAnsi="Verdana"/>
          <w:sz w:val="20"/>
          <w:szCs w:val="20"/>
        </w:rPr>
        <w:t>5 de julio de 2016</w:t>
      </w:r>
      <w:r w:rsidR="00757332">
        <w:rPr>
          <w:rFonts w:ascii="Verdana" w:eastAsia="Times New Roman" w:hAnsi="Verdana"/>
          <w:sz w:val="20"/>
          <w:szCs w:val="20"/>
        </w:rPr>
        <w:t xml:space="preserve"> </w:t>
      </w:r>
      <w:r w:rsidR="008138B6">
        <w:rPr>
          <w:rFonts w:ascii="Verdana" w:eastAsia="Times New Roman" w:hAnsi="Verdana"/>
          <w:sz w:val="20"/>
          <w:szCs w:val="20"/>
        </w:rPr>
        <w:t>la Corte Suprema de Justicia de la Nación emitió</w:t>
      </w:r>
      <w:r w:rsidR="00757332">
        <w:rPr>
          <w:rFonts w:ascii="Verdana" w:eastAsia="Times New Roman" w:hAnsi="Verdana"/>
          <w:sz w:val="20"/>
          <w:szCs w:val="20"/>
        </w:rPr>
        <w:t xml:space="preserve"> la decisión con la cual se habría resuelto de manera definitiva el proceso civil por daños y perjuicios</w:t>
      </w:r>
      <w:r w:rsidR="009252DB">
        <w:rPr>
          <w:rFonts w:ascii="Verdana" w:eastAsia="Times New Roman" w:hAnsi="Verdana"/>
          <w:b/>
          <w:sz w:val="20"/>
          <w:szCs w:val="20"/>
        </w:rPr>
        <w:t xml:space="preserve"> </w:t>
      </w:r>
      <w:r w:rsidRPr="00A25F82">
        <w:rPr>
          <w:rFonts w:ascii="Verdana" w:eastAsia="Times New Roman" w:hAnsi="Verdana"/>
          <w:sz w:val="20"/>
          <w:szCs w:val="20"/>
        </w:rPr>
        <w:t>que había</w:t>
      </w:r>
      <w:r>
        <w:rPr>
          <w:rFonts w:ascii="Verdana" w:eastAsia="Times New Roman" w:hAnsi="Verdana"/>
          <w:b/>
          <w:sz w:val="20"/>
          <w:szCs w:val="20"/>
        </w:rPr>
        <w:t xml:space="preserve"> </w:t>
      </w:r>
      <w:r w:rsidR="00757332">
        <w:rPr>
          <w:rFonts w:ascii="Verdana" w:eastAsia="Times New Roman" w:hAnsi="Verdana"/>
          <w:sz w:val="20"/>
          <w:szCs w:val="20"/>
        </w:rPr>
        <w:t>iniciado hac</w:t>
      </w:r>
      <w:r>
        <w:rPr>
          <w:rFonts w:ascii="Verdana" w:eastAsia="Times New Roman" w:hAnsi="Verdana"/>
          <w:sz w:val="20"/>
          <w:szCs w:val="20"/>
        </w:rPr>
        <w:t>ía</w:t>
      </w:r>
      <w:r w:rsidR="00757332">
        <w:rPr>
          <w:rFonts w:ascii="Verdana" w:eastAsia="Times New Roman" w:hAnsi="Verdana"/>
          <w:sz w:val="20"/>
          <w:szCs w:val="20"/>
        </w:rPr>
        <w:t xml:space="preserve"> más de </w:t>
      </w:r>
      <w:r w:rsidR="009252DB">
        <w:rPr>
          <w:rFonts w:ascii="Verdana" w:eastAsia="Times New Roman" w:hAnsi="Verdana"/>
          <w:sz w:val="20"/>
          <w:szCs w:val="20"/>
        </w:rPr>
        <w:t>dieciocho</w:t>
      </w:r>
      <w:r w:rsidR="00757332">
        <w:rPr>
          <w:rFonts w:ascii="Verdana" w:eastAsia="Times New Roman" w:hAnsi="Verdana"/>
          <w:sz w:val="20"/>
          <w:szCs w:val="20"/>
        </w:rPr>
        <w:t xml:space="preserve"> años contra los señores </w:t>
      </w:r>
      <w:proofErr w:type="spellStart"/>
      <w:r w:rsidR="00757332">
        <w:rPr>
          <w:rFonts w:ascii="Verdana" w:eastAsia="Times New Roman" w:hAnsi="Verdana"/>
          <w:sz w:val="20"/>
          <w:szCs w:val="20"/>
        </w:rPr>
        <w:t>Mémoli</w:t>
      </w:r>
      <w:proofErr w:type="spellEnd"/>
      <w:r w:rsidR="00757332">
        <w:rPr>
          <w:rFonts w:ascii="Verdana" w:eastAsia="Times New Roman" w:hAnsi="Verdana"/>
          <w:sz w:val="20"/>
          <w:szCs w:val="20"/>
        </w:rPr>
        <w:t xml:space="preserve"> (</w:t>
      </w:r>
      <w:r w:rsidR="003769CE">
        <w:rPr>
          <w:rFonts w:ascii="Verdana" w:eastAsia="Times New Roman" w:hAnsi="Verdana"/>
          <w:i/>
          <w:sz w:val="20"/>
          <w:szCs w:val="20"/>
        </w:rPr>
        <w:t>sup</w:t>
      </w:r>
      <w:r w:rsidR="00D6518A" w:rsidRPr="00D6518A">
        <w:rPr>
          <w:rFonts w:ascii="Verdana" w:eastAsia="Times New Roman" w:hAnsi="Verdana"/>
          <w:i/>
          <w:sz w:val="20"/>
          <w:szCs w:val="20"/>
        </w:rPr>
        <w:t xml:space="preserve">ra </w:t>
      </w:r>
      <w:r w:rsidR="00D6518A">
        <w:rPr>
          <w:rFonts w:ascii="Verdana" w:eastAsia="Times New Roman" w:hAnsi="Verdana"/>
          <w:sz w:val="20"/>
          <w:szCs w:val="20"/>
        </w:rPr>
        <w:t xml:space="preserve">Considerando </w:t>
      </w:r>
      <w:r w:rsidR="003769CE">
        <w:rPr>
          <w:rFonts w:ascii="Verdana" w:eastAsia="Times New Roman" w:hAnsi="Verdana"/>
          <w:sz w:val="20"/>
          <w:szCs w:val="20"/>
        </w:rPr>
        <w:t>8</w:t>
      </w:r>
      <w:r w:rsidR="005C02DB">
        <w:rPr>
          <w:rFonts w:ascii="Verdana" w:eastAsia="Times New Roman" w:hAnsi="Verdana"/>
          <w:sz w:val="20"/>
          <w:szCs w:val="20"/>
        </w:rPr>
        <w:t xml:space="preserve">). </w:t>
      </w:r>
      <w:r w:rsidR="00252DFE" w:rsidRPr="00C367E3">
        <w:rPr>
          <w:rFonts w:ascii="Verdana" w:hAnsi="Verdana"/>
          <w:color w:val="000000"/>
          <w:sz w:val="20"/>
          <w:szCs w:val="20"/>
        </w:rPr>
        <w:t xml:space="preserve">Al respecto, el </w:t>
      </w:r>
      <w:r w:rsidR="00252DFE" w:rsidRPr="00C367E3">
        <w:rPr>
          <w:rFonts w:ascii="Verdana" w:hAnsi="Verdana"/>
          <w:i/>
          <w:color w:val="000000"/>
          <w:sz w:val="20"/>
          <w:szCs w:val="20"/>
        </w:rPr>
        <w:t>Estado</w:t>
      </w:r>
      <w:r w:rsidR="00252DFE" w:rsidRPr="00C367E3">
        <w:rPr>
          <w:rFonts w:ascii="Verdana" w:hAnsi="Verdana"/>
          <w:color w:val="000000"/>
          <w:sz w:val="20"/>
          <w:szCs w:val="20"/>
        </w:rPr>
        <w:t xml:space="preserve"> sostuvo que “</w:t>
      </w:r>
      <w:proofErr w:type="spellStart"/>
      <w:proofErr w:type="gramStart"/>
      <w:r w:rsidR="00252DFE" w:rsidRPr="00C367E3">
        <w:rPr>
          <w:rFonts w:ascii="Verdana" w:hAnsi="Verdana"/>
          <w:color w:val="000000"/>
          <w:sz w:val="20"/>
          <w:szCs w:val="20"/>
        </w:rPr>
        <w:t>deb</w:t>
      </w:r>
      <w:proofErr w:type="spellEnd"/>
      <w:r w:rsidR="00252DFE" w:rsidRPr="00C367E3">
        <w:rPr>
          <w:rFonts w:ascii="Verdana" w:hAnsi="Verdana"/>
          <w:color w:val="000000"/>
          <w:sz w:val="20"/>
          <w:szCs w:val="20"/>
        </w:rPr>
        <w:t>[</w:t>
      </w:r>
      <w:proofErr w:type="spellStart"/>
      <w:proofErr w:type="gramEnd"/>
      <w:r w:rsidR="00252DFE" w:rsidRPr="00C367E3">
        <w:rPr>
          <w:rFonts w:ascii="Verdana" w:hAnsi="Verdana"/>
          <w:color w:val="000000"/>
          <w:sz w:val="20"/>
          <w:szCs w:val="20"/>
        </w:rPr>
        <w:t>ía</w:t>
      </w:r>
      <w:proofErr w:type="spellEnd"/>
      <w:r w:rsidR="00252DFE" w:rsidRPr="00C367E3">
        <w:rPr>
          <w:rFonts w:ascii="Verdana" w:hAnsi="Verdana"/>
          <w:color w:val="000000"/>
          <w:sz w:val="20"/>
          <w:szCs w:val="20"/>
        </w:rPr>
        <w:t>] dar</w:t>
      </w:r>
      <w:r w:rsidR="003769CE" w:rsidRPr="00C367E3">
        <w:rPr>
          <w:rFonts w:ascii="Verdana" w:hAnsi="Verdana"/>
          <w:color w:val="000000"/>
          <w:sz w:val="20"/>
          <w:szCs w:val="20"/>
        </w:rPr>
        <w:t>se</w:t>
      </w:r>
      <w:r w:rsidR="00252DFE" w:rsidRPr="00C367E3">
        <w:rPr>
          <w:rFonts w:ascii="Verdana" w:hAnsi="Verdana"/>
          <w:color w:val="000000"/>
          <w:sz w:val="20"/>
          <w:szCs w:val="20"/>
        </w:rPr>
        <w:t xml:space="preserve"> por cumplid[a]” esta medida de reparación, en virtud de la referida decisión de la Corte Suprema de Justicia de la Nación. </w:t>
      </w:r>
      <w:r w:rsidR="00252DFE" w:rsidRPr="00A66FCE">
        <w:rPr>
          <w:rFonts w:ascii="Verdana" w:hAnsi="Verdana"/>
          <w:sz w:val="20"/>
          <w:szCs w:val="20"/>
        </w:rPr>
        <w:t xml:space="preserve">Por su parte, los </w:t>
      </w:r>
      <w:r w:rsidR="00252DFE" w:rsidRPr="00A66FCE">
        <w:rPr>
          <w:rFonts w:ascii="Verdana" w:hAnsi="Verdana"/>
          <w:i/>
          <w:sz w:val="20"/>
          <w:szCs w:val="20"/>
        </w:rPr>
        <w:t xml:space="preserve">señores </w:t>
      </w:r>
      <w:proofErr w:type="spellStart"/>
      <w:r w:rsidR="00252DFE" w:rsidRPr="00A66FCE">
        <w:rPr>
          <w:rFonts w:ascii="Verdana" w:hAnsi="Verdana"/>
          <w:i/>
          <w:sz w:val="20"/>
          <w:szCs w:val="20"/>
        </w:rPr>
        <w:t>Mémoli</w:t>
      </w:r>
      <w:proofErr w:type="spellEnd"/>
      <w:r w:rsidR="00252DFE" w:rsidRPr="00A66FCE">
        <w:rPr>
          <w:rFonts w:ascii="Verdana" w:hAnsi="Verdana"/>
          <w:i/>
          <w:sz w:val="20"/>
          <w:szCs w:val="20"/>
        </w:rPr>
        <w:t xml:space="preserve"> </w:t>
      </w:r>
      <w:r w:rsidR="00252DFE" w:rsidRPr="00A66FCE">
        <w:rPr>
          <w:rFonts w:ascii="Verdana" w:hAnsi="Verdana"/>
          <w:sz w:val="20"/>
          <w:szCs w:val="20"/>
        </w:rPr>
        <w:t xml:space="preserve">afirmaron que con esa </w:t>
      </w:r>
      <w:r w:rsidR="003769CE">
        <w:rPr>
          <w:rFonts w:ascii="Verdana" w:hAnsi="Verdana"/>
          <w:sz w:val="20"/>
          <w:szCs w:val="20"/>
        </w:rPr>
        <w:t>decisión</w:t>
      </w:r>
      <w:r w:rsidR="00252DFE" w:rsidRPr="00A66FCE">
        <w:rPr>
          <w:rFonts w:ascii="Verdana" w:hAnsi="Verdana"/>
          <w:sz w:val="20"/>
          <w:szCs w:val="20"/>
        </w:rPr>
        <w:t xml:space="preserve"> </w:t>
      </w:r>
      <w:r w:rsidR="000E6088">
        <w:rPr>
          <w:rFonts w:ascii="Verdana" w:hAnsi="Verdana"/>
          <w:sz w:val="20"/>
          <w:szCs w:val="20"/>
        </w:rPr>
        <w:t>“</w:t>
      </w:r>
      <w:r w:rsidR="00252DFE" w:rsidRPr="00A66FCE">
        <w:rPr>
          <w:rFonts w:ascii="Verdana" w:hAnsi="Verdana"/>
          <w:sz w:val="20"/>
          <w:szCs w:val="20"/>
        </w:rPr>
        <w:t>creería[n] que ha terminado” el proceso civil iniciado en su contra</w:t>
      </w:r>
      <w:r w:rsidR="000E6088" w:rsidRPr="00C23BB6">
        <w:rPr>
          <w:rFonts w:ascii="Verdana" w:hAnsi="Verdana"/>
          <w:sz w:val="20"/>
          <w:szCs w:val="20"/>
        </w:rPr>
        <w:t>.</w:t>
      </w:r>
      <w:r w:rsidR="00C23BB6" w:rsidRPr="00C23BB6">
        <w:rPr>
          <w:rFonts w:ascii="Verdana" w:hAnsi="Verdana"/>
          <w:sz w:val="20"/>
          <w:szCs w:val="20"/>
        </w:rPr>
        <w:t xml:space="preserve"> </w:t>
      </w:r>
      <w:r w:rsidR="000E6088">
        <w:rPr>
          <w:rFonts w:ascii="Verdana" w:hAnsi="Verdana"/>
          <w:sz w:val="20"/>
          <w:szCs w:val="20"/>
        </w:rPr>
        <w:t>L</w:t>
      </w:r>
      <w:r w:rsidR="00252DFE" w:rsidRPr="00A66FCE">
        <w:rPr>
          <w:rFonts w:ascii="Verdana" w:hAnsi="Verdana"/>
          <w:sz w:val="20"/>
          <w:szCs w:val="20"/>
        </w:rPr>
        <w:t xml:space="preserve">a </w:t>
      </w:r>
      <w:r w:rsidR="00252DFE" w:rsidRPr="00A66FCE">
        <w:rPr>
          <w:rFonts w:ascii="Verdana" w:hAnsi="Verdana"/>
          <w:i/>
          <w:sz w:val="20"/>
          <w:szCs w:val="20"/>
        </w:rPr>
        <w:lastRenderedPageBreak/>
        <w:t>Comisión Interamericana</w:t>
      </w:r>
      <w:r w:rsidR="00252DFE" w:rsidRPr="00A66FCE">
        <w:rPr>
          <w:rFonts w:ascii="Verdana" w:hAnsi="Verdana"/>
          <w:sz w:val="20"/>
          <w:szCs w:val="20"/>
        </w:rPr>
        <w:t xml:space="preserve"> observó que</w:t>
      </w:r>
      <w:r w:rsidR="00252DFE" w:rsidRPr="00C367E3">
        <w:rPr>
          <w:rFonts w:ascii="Verdana" w:hAnsi="Verdana"/>
          <w:color w:val="000000"/>
          <w:sz w:val="20"/>
          <w:szCs w:val="20"/>
        </w:rPr>
        <w:t xml:space="preserve"> dicho proceso “habría sido resuelto” y, en consecuencia, consideró que “el Estado cumplió con este extremo de la </w:t>
      </w:r>
      <w:r w:rsidR="000E6088" w:rsidRPr="00C367E3">
        <w:rPr>
          <w:rFonts w:ascii="Verdana" w:hAnsi="Verdana"/>
          <w:color w:val="000000"/>
          <w:sz w:val="20"/>
          <w:szCs w:val="20"/>
        </w:rPr>
        <w:t>[</w:t>
      </w:r>
      <w:r w:rsidR="00252DFE" w:rsidRPr="00C367E3">
        <w:rPr>
          <w:rFonts w:ascii="Verdana" w:hAnsi="Verdana"/>
          <w:color w:val="000000"/>
          <w:sz w:val="20"/>
          <w:szCs w:val="20"/>
        </w:rPr>
        <w:t>S</w:t>
      </w:r>
      <w:r w:rsidR="000E6088" w:rsidRPr="00C367E3">
        <w:rPr>
          <w:rFonts w:ascii="Verdana" w:hAnsi="Verdana"/>
          <w:color w:val="000000"/>
          <w:sz w:val="20"/>
          <w:szCs w:val="20"/>
        </w:rPr>
        <w:t>]</w:t>
      </w:r>
      <w:proofErr w:type="spellStart"/>
      <w:r w:rsidR="00252DFE" w:rsidRPr="00C367E3">
        <w:rPr>
          <w:rFonts w:ascii="Verdana" w:hAnsi="Verdana"/>
          <w:color w:val="000000"/>
          <w:sz w:val="20"/>
          <w:szCs w:val="20"/>
        </w:rPr>
        <w:t>entencia</w:t>
      </w:r>
      <w:proofErr w:type="spellEnd"/>
      <w:r w:rsidR="00252DFE" w:rsidRPr="00C367E3">
        <w:rPr>
          <w:rFonts w:ascii="Verdana" w:hAnsi="Verdana"/>
          <w:color w:val="000000"/>
          <w:sz w:val="20"/>
          <w:szCs w:val="20"/>
        </w:rPr>
        <w:t xml:space="preserve">”. </w:t>
      </w:r>
    </w:p>
    <w:p w:rsidR="00D97861" w:rsidRPr="00C367E3" w:rsidRDefault="006A74CC" w:rsidP="00AD20E2">
      <w:pPr>
        <w:pStyle w:val="Prrafodelista"/>
        <w:numPr>
          <w:ilvl w:val="0"/>
          <w:numId w:val="17"/>
        </w:numPr>
        <w:tabs>
          <w:tab w:val="left" w:pos="0"/>
          <w:tab w:val="left" w:pos="567"/>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Esta Corte constata que, </w:t>
      </w:r>
      <w:r w:rsidR="00252DFE" w:rsidRPr="00C367E3">
        <w:rPr>
          <w:rFonts w:ascii="Verdana" w:hAnsi="Verdana"/>
          <w:color w:val="000000"/>
          <w:sz w:val="20"/>
          <w:szCs w:val="20"/>
        </w:rPr>
        <w:t>previo a la referida decisión de la Corte Suprema de Justicia</w:t>
      </w:r>
      <w:r w:rsidRPr="00C367E3">
        <w:rPr>
          <w:rFonts w:ascii="Verdana" w:hAnsi="Verdana"/>
          <w:color w:val="000000"/>
          <w:sz w:val="20"/>
          <w:szCs w:val="20"/>
        </w:rPr>
        <w:t>,</w:t>
      </w:r>
      <w:r w:rsidR="00252DFE" w:rsidRPr="00C367E3">
        <w:rPr>
          <w:rFonts w:ascii="Verdana" w:hAnsi="Verdana"/>
          <w:color w:val="000000"/>
          <w:sz w:val="20"/>
          <w:szCs w:val="20"/>
        </w:rPr>
        <w:t xml:space="preserve"> se emitieron decisiones de primera</w:t>
      </w:r>
      <w:r w:rsidR="00252DFE" w:rsidRPr="00A66FCE">
        <w:rPr>
          <w:rStyle w:val="Refdenotaalpie"/>
          <w:rFonts w:ascii="Verdana" w:eastAsia="Times New Roman" w:hAnsi="Verdana"/>
          <w:sz w:val="20"/>
          <w:szCs w:val="20"/>
        </w:rPr>
        <w:footnoteReference w:id="22"/>
      </w:r>
      <w:r w:rsidR="00252DFE" w:rsidRPr="00C367E3">
        <w:rPr>
          <w:rFonts w:ascii="Verdana" w:hAnsi="Verdana"/>
          <w:color w:val="000000"/>
          <w:sz w:val="20"/>
          <w:szCs w:val="20"/>
        </w:rPr>
        <w:t xml:space="preserve"> y segunda</w:t>
      </w:r>
      <w:r w:rsidR="00252DFE" w:rsidRPr="00C367E3">
        <w:rPr>
          <w:rStyle w:val="Refdenotaalpie"/>
          <w:rFonts w:ascii="Verdana" w:hAnsi="Verdana"/>
          <w:color w:val="000000"/>
          <w:sz w:val="20"/>
          <w:szCs w:val="20"/>
        </w:rPr>
        <w:footnoteReference w:id="23"/>
      </w:r>
      <w:r w:rsidR="00252DFE" w:rsidRPr="00C367E3">
        <w:rPr>
          <w:rFonts w:ascii="Verdana" w:hAnsi="Verdana"/>
          <w:color w:val="000000"/>
          <w:sz w:val="20"/>
          <w:szCs w:val="20"/>
        </w:rPr>
        <w:t xml:space="preserve"> instancia por </w:t>
      </w:r>
      <w:r w:rsidRPr="00C367E3">
        <w:rPr>
          <w:rFonts w:ascii="Verdana" w:hAnsi="Verdana"/>
          <w:color w:val="000000"/>
          <w:sz w:val="20"/>
          <w:szCs w:val="20"/>
        </w:rPr>
        <w:t xml:space="preserve">los </w:t>
      </w:r>
      <w:r w:rsidR="00252DFE" w:rsidRPr="00C367E3">
        <w:rPr>
          <w:rFonts w:ascii="Verdana" w:hAnsi="Verdana"/>
          <w:color w:val="000000"/>
          <w:sz w:val="20"/>
          <w:szCs w:val="20"/>
        </w:rPr>
        <w:t>tribunales civiles</w:t>
      </w:r>
      <w:r w:rsidR="00E949C6" w:rsidRPr="00C367E3">
        <w:rPr>
          <w:rFonts w:ascii="Verdana" w:hAnsi="Verdana"/>
          <w:color w:val="000000"/>
          <w:sz w:val="20"/>
          <w:szCs w:val="20"/>
        </w:rPr>
        <w:t xml:space="preserve">. En esta última se declaró con lugar la excepción </w:t>
      </w:r>
      <w:r w:rsidRPr="00C367E3">
        <w:rPr>
          <w:rFonts w:ascii="Verdana" w:hAnsi="Verdana"/>
          <w:color w:val="000000"/>
          <w:sz w:val="20"/>
          <w:szCs w:val="20"/>
        </w:rPr>
        <w:t xml:space="preserve">de prescripción </w:t>
      </w:r>
      <w:r w:rsidR="00E949C6" w:rsidRPr="00C367E3">
        <w:rPr>
          <w:rFonts w:ascii="Verdana" w:hAnsi="Verdana"/>
          <w:color w:val="000000"/>
          <w:sz w:val="20"/>
          <w:szCs w:val="20"/>
        </w:rPr>
        <w:t xml:space="preserve">interpuesta por los señores </w:t>
      </w:r>
      <w:proofErr w:type="spellStart"/>
      <w:r w:rsidR="00E949C6" w:rsidRPr="00C367E3">
        <w:rPr>
          <w:rFonts w:ascii="Verdana" w:hAnsi="Verdana"/>
          <w:color w:val="000000"/>
          <w:sz w:val="20"/>
          <w:szCs w:val="20"/>
        </w:rPr>
        <w:t>Mémoli</w:t>
      </w:r>
      <w:proofErr w:type="spellEnd"/>
      <w:r w:rsidR="00E949C6" w:rsidRPr="00C367E3">
        <w:rPr>
          <w:rFonts w:ascii="Verdana" w:hAnsi="Verdana"/>
          <w:color w:val="000000"/>
          <w:sz w:val="20"/>
          <w:szCs w:val="20"/>
        </w:rPr>
        <w:t xml:space="preserve"> desde el inicio del proceso civil en 1997 (</w:t>
      </w:r>
      <w:r w:rsidR="00E949C6" w:rsidRPr="00C367E3">
        <w:rPr>
          <w:rFonts w:ascii="Verdana" w:hAnsi="Verdana"/>
          <w:i/>
          <w:color w:val="000000"/>
          <w:sz w:val="20"/>
          <w:szCs w:val="20"/>
        </w:rPr>
        <w:t>supra</w:t>
      </w:r>
      <w:r w:rsidR="00E949C6" w:rsidRPr="00C367E3">
        <w:rPr>
          <w:rFonts w:ascii="Verdana" w:hAnsi="Verdana"/>
          <w:color w:val="000000"/>
          <w:sz w:val="20"/>
          <w:szCs w:val="20"/>
        </w:rPr>
        <w:t xml:space="preserve"> Considerando 8)</w:t>
      </w:r>
      <w:r w:rsidR="00E949C6" w:rsidRPr="00C367E3">
        <w:rPr>
          <w:rStyle w:val="Refdenotaalpie"/>
          <w:rFonts w:ascii="Verdana" w:hAnsi="Verdana"/>
          <w:color w:val="000000"/>
          <w:sz w:val="20"/>
          <w:szCs w:val="20"/>
        </w:rPr>
        <w:footnoteReference w:id="24"/>
      </w:r>
      <w:r w:rsidR="00D97861" w:rsidRPr="00C367E3">
        <w:rPr>
          <w:rFonts w:ascii="Verdana" w:hAnsi="Verdana"/>
          <w:color w:val="000000"/>
          <w:sz w:val="20"/>
          <w:szCs w:val="20"/>
        </w:rPr>
        <w:t xml:space="preserve">. En contra de la decisión de segunda instancia, </w:t>
      </w:r>
      <w:r w:rsidR="0042793C" w:rsidRPr="00C367E3">
        <w:rPr>
          <w:rFonts w:ascii="Verdana" w:hAnsi="Verdana"/>
          <w:color w:val="000000"/>
          <w:sz w:val="20"/>
          <w:szCs w:val="20"/>
        </w:rPr>
        <w:t>la parte demandante</w:t>
      </w:r>
      <w:r w:rsidR="00D97861" w:rsidRPr="00C367E3">
        <w:rPr>
          <w:rFonts w:ascii="Verdana" w:hAnsi="Verdana"/>
          <w:color w:val="000000"/>
          <w:sz w:val="20"/>
          <w:szCs w:val="20"/>
        </w:rPr>
        <w:t xml:space="preserve"> del proceso civil interpuso </w:t>
      </w:r>
      <w:r w:rsidR="00A66FCE" w:rsidRPr="00C367E3">
        <w:rPr>
          <w:rFonts w:ascii="Verdana" w:hAnsi="Verdana"/>
          <w:color w:val="000000"/>
          <w:sz w:val="20"/>
          <w:szCs w:val="20"/>
        </w:rPr>
        <w:t>varios recursos</w:t>
      </w:r>
      <w:r w:rsidRPr="00C367E3">
        <w:rPr>
          <w:rStyle w:val="Refdenotaalpie"/>
          <w:rFonts w:ascii="Verdana" w:hAnsi="Verdana"/>
          <w:color w:val="000000"/>
          <w:sz w:val="20"/>
          <w:szCs w:val="20"/>
        </w:rPr>
        <w:footnoteReference w:id="25"/>
      </w:r>
      <w:r w:rsidR="00A66FCE" w:rsidRPr="00C367E3">
        <w:rPr>
          <w:rFonts w:ascii="Verdana" w:hAnsi="Verdana"/>
          <w:color w:val="000000"/>
          <w:sz w:val="20"/>
          <w:szCs w:val="20"/>
        </w:rPr>
        <w:t xml:space="preserve">, </w:t>
      </w:r>
      <w:r w:rsidRPr="00C367E3">
        <w:rPr>
          <w:rFonts w:ascii="Verdana" w:hAnsi="Verdana"/>
          <w:color w:val="000000"/>
          <w:sz w:val="20"/>
          <w:szCs w:val="20"/>
        </w:rPr>
        <w:t>siendo el último</w:t>
      </w:r>
      <w:r w:rsidR="0042793C" w:rsidRPr="00C367E3">
        <w:rPr>
          <w:rFonts w:ascii="Verdana" w:hAnsi="Verdana"/>
          <w:color w:val="000000"/>
          <w:sz w:val="20"/>
          <w:szCs w:val="20"/>
        </w:rPr>
        <w:t xml:space="preserve"> de ellos</w:t>
      </w:r>
      <w:r w:rsidRPr="00C367E3">
        <w:rPr>
          <w:rFonts w:ascii="Verdana" w:hAnsi="Verdana"/>
          <w:color w:val="000000"/>
          <w:sz w:val="20"/>
          <w:szCs w:val="20"/>
        </w:rPr>
        <w:t xml:space="preserve"> </w:t>
      </w:r>
      <w:r w:rsidR="00D97861" w:rsidRPr="00C367E3">
        <w:rPr>
          <w:rFonts w:ascii="Verdana" w:hAnsi="Verdana"/>
          <w:color w:val="000000"/>
          <w:sz w:val="20"/>
          <w:szCs w:val="20"/>
        </w:rPr>
        <w:t>un “recurso extraordinario federal”</w:t>
      </w:r>
      <w:r w:rsidR="0042793C" w:rsidRPr="00C367E3">
        <w:rPr>
          <w:rFonts w:ascii="Verdana" w:hAnsi="Verdana"/>
          <w:color w:val="000000"/>
          <w:sz w:val="20"/>
          <w:szCs w:val="20"/>
        </w:rPr>
        <w:t>,</w:t>
      </w:r>
      <w:r w:rsidR="00D97861" w:rsidRPr="00C367E3">
        <w:rPr>
          <w:rFonts w:ascii="Verdana" w:hAnsi="Verdana"/>
          <w:color w:val="000000"/>
          <w:sz w:val="20"/>
          <w:szCs w:val="20"/>
        </w:rPr>
        <w:t xml:space="preserve"> </w:t>
      </w:r>
      <w:r w:rsidRPr="00C367E3">
        <w:rPr>
          <w:rFonts w:ascii="Verdana" w:hAnsi="Verdana"/>
          <w:color w:val="000000"/>
          <w:sz w:val="20"/>
          <w:szCs w:val="20"/>
        </w:rPr>
        <w:t xml:space="preserve">resuelto mediante la referida decisión de 5 de julio de 2015 de </w:t>
      </w:r>
      <w:r w:rsidR="00D97861" w:rsidRPr="00C367E3">
        <w:rPr>
          <w:rFonts w:ascii="Verdana" w:hAnsi="Verdana"/>
          <w:color w:val="000000"/>
          <w:sz w:val="20"/>
          <w:szCs w:val="20"/>
        </w:rPr>
        <w:t>la Corte Suprema de Justicia de la Nación</w:t>
      </w:r>
      <w:r w:rsidR="0042793C" w:rsidRPr="00C367E3">
        <w:rPr>
          <w:rFonts w:ascii="Verdana" w:hAnsi="Verdana"/>
          <w:color w:val="000000"/>
          <w:sz w:val="20"/>
          <w:szCs w:val="20"/>
        </w:rPr>
        <w:t xml:space="preserve"> (</w:t>
      </w:r>
      <w:r w:rsidR="0042793C" w:rsidRPr="00C367E3">
        <w:rPr>
          <w:rFonts w:ascii="Verdana" w:hAnsi="Verdana"/>
          <w:i/>
          <w:color w:val="000000"/>
          <w:sz w:val="20"/>
          <w:szCs w:val="20"/>
        </w:rPr>
        <w:t xml:space="preserve">supra </w:t>
      </w:r>
      <w:r w:rsidR="0042793C" w:rsidRPr="00C367E3">
        <w:rPr>
          <w:rFonts w:ascii="Verdana" w:hAnsi="Verdana"/>
          <w:color w:val="000000"/>
          <w:sz w:val="20"/>
          <w:szCs w:val="20"/>
        </w:rPr>
        <w:t>Considerando 10)</w:t>
      </w:r>
      <w:r w:rsidR="00AD20E2" w:rsidRPr="00C367E3">
        <w:rPr>
          <w:rStyle w:val="Refdenotaalpie"/>
          <w:rFonts w:ascii="Verdana" w:hAnsi="Verdana"/>
          <w:color w:val="000000"/>
          <w:sz w:val="20"/>
          <w:szCs w:val="20"/>
        </w:rPr>
        <w:footnoteReference w:id="26"/>
      </w:r>
      <w:r w:rsidR="000861F0" w:rsidRPr="00C367E3">
        <w:rPr>
          <w:rFonts w:ascii="Verdana" w:hAnsi="Verdana"/>
          <w:color w:val="000000"/>
          <w:sz w:val="20"/>
          <w:szCs w:val="20"/>
        </w:rPr>
        <w:t xml:space="preserve">. </w:t>
      </w:r>
      <w:r w:rsidR="00AD20E2" w:rsidRPr="00C367E3">
        <w:rPr>
          <w:rFonts w:ascii="Verdana" w:hAnsi="Verdana"/>
          <w:color w:val="000000"/>
          <w:sz w:val="20"/>
          <w:szCs w:val="20"/>
        </w:rPr>
        <w:t>En esa decisión</w:t>
      </w:r>
      <w:r w:rsidR="000861F0" w:rsidRPr="00C367E3">
        <w:rPr>
          <w:rFonts w:ascii="Verdana" w:hAnsi="Verdana"/>
          <w:color w:val="000000"/>
          <w:sz w:val="20"/>
          <w:szCs w:val="20"/>
        </w:rPr>
        <w:t>,</w:t>
      </w:r>
      <w:r w:rsidR="00AD20E2" w:rsidRPr="00C367E3">
        <w:rPr>
          <w:rFonts w:ascii="Verdana" w:hAnsi="Verdana"/>
          <w:color w:val="000000"/>
          <w:sz w:val="20"/>
          <w:szCs w:val="20"/>
        </w:rPr>
        <w:t xml:space="preserve"> la Corte Suprema desestimó el recurso interpuesto, queda</w:t>
      </w:r>
      <w:r w:rsidR="000861F0" w:rsidRPr="00C367E3">
        <w:rPr>
          <w:rFonts w:ascii="Verdana" w:hAnsi="Verdana"/>
          <w:color w:val="000000"/>
          <w:sz w:val="20"/>
          <w:szCs w:val="20"/>
        </w:rPr>
        <w:t>nd</w:t>
      </w:r>
      <w:r w:rsidR="00AD20E2" w:rsidRPr="00C367E3">
        <w:rPr>
          <w:rFonts w:ascii="Verdana" w:hAnsi="Verdana"/>
          <w:color w:val="000000"/>
          <w:sz w:val="20"/>
          <w:szCs w:val="20"/>
        </w:rPr>
        <w:t xml:space="preserve">o en firme la decisión de segunda instancia que fue favorable a los intereses de los señores </w:t>
      </w:r>
      <w:proofErr w:type="spellStart"/>
      <w:r w:rsidR="00AD20E2" w:rsidRPr="00C367E3">
        <w:rPr>
          <w:rFonts w:ascii="Verdana" w:hAnsi="Verdana"/>
          <w:color w:val="000000"/>
          <w:sz w:val="20"/>
          <w:szCs w:val="20"/>
        </w:rPr>
        <w:t>Mémoli</w:t>
      </w:r>
      <w:proofErr w:type="spellEnd"/>
      <w:r w:rsidR="00AD20E2" w:rsidRPr="00C367E3">
        <w:rPr>
          <w:rFonts w:ascii="Verdana" w:hAnsi="Verdana"/>
          <w:color w:val="000000"/>
          <w:sz w:val="20"/>
          <w:szCs w:val="20"/>
        </w:rPr>
        <w:t xml:space="preserve">. Con ello, </w:t>
      </w:r>
      <w:r w:rsidR="000861F0" w:rsidRPr="00C367E3">
        <w:rPr>
          <w:rFonts w:ascii="Verdana" w:hAnsi="Verdana"/>
          <w:color w:val="000000"/>
          <w:sz w:val="20"/>
          <w:szCs w:val="20"/>
        </w:rPr>
        <w:t>este Tribunal</w:t>
      </w:r>
      <w:r w:rsidR="00AD20E2" w:rsidRPr="00C367E3">
        <w:rPr>
          <w:rFonts w:ascii="Verdana" w:hAnsi="Verdana"/>
          <w:color w:val="000000"/>
          <w:sz w:val="20"/>
          <w:szCs w:val="20"/>
        </w:rPr>
        <w:t xml:space="preserve"> entiende que se ha puesto fin, </w:t>
      </w:r>
      <w:r w:rsidR="00D97861" w:rsidRPr="00C367E3">
        <w:rPr>
          <w:rFonts w:ascii="Verdana" w:hAnsi="Verdana"/>
          <w:color w:val="000000"/>
          <w:sz w:val="20"/>
          <w:szCs w:val="20"/>
        </w:rPr>
        <w:t>después de</w:t>
      </w:r>
      <w:r w:rsidR="000861F0" w:rsidRPr="00C367E3">
        <w:rPr>
          <w:rFonts w:ascii="Verdana" w:hAnsi="Verdana"/>
          <w:color w:val="000000"/>
          <w:sz w:val="20"/>
          <w:szCs w:val="20"/>
        </w:rPr>
        <w:t xml:space="preserve"> más de</w:t>
      </w:r>
      <w:r w:rsidR="00D97861" w:rsidRPr="00C367E3">
        <w:rPr>
          <w:rFonts w:ascii="Verdana" w:hAnsi="Verdana"/>
          <w:color w:val="000000"/>
          <w:sz w:val="20"/>
          <w:szCs w:val="20"/>
        </w:rPr>
        <w:t xml:space="preserve"> dieci</w:t>
      </w:r>
      <w:r w:rsidR="0042793C" w:rsidRPr="00C367E3">
        <w:rPr>
          <w:rFonts w:ascii="Verdana" w:hAnsi="Verdana"/>
          <w:color w:val="000000"/>
          <w:sz w:val="20"/>
          <w:szCs w:val="20"/>
        </w:rPr>
        <w:t>nueve</w:t>
      </w:r>
      <w:r w:rsidR="00D97861" w:rsidRPr="00C367E3">
        <w:rPr>
          <w:rFonts w:ascii="Verdana" w:hAnsi="Verdana"/>
          <w:color w:val="000000"/>
          <w:sz w:val="20"/>
          <w:szCs w:val="20"/>
        </w:rPr>
        <w:t xml:space="preserve"> años, al proceso civil seguido contra los señores </w:t>
      </w:r>
      <w:proofErr w:type="spellStart"/>
      <w:r w:rsidR="00D97861" w:rsidRPr="00C367E3">
        <w:rPr>
          <w:rFonts w:ascii="Verdana" w:hAnsi="Verdana"/>
          <w:color w:val="000000"/>
          <w:sz w:val="20"/>
          <w:szCs w:val="20"/>
        </w:rPr>
        <w:t>Mémoli</w:t>
      </w:r>
      <w:proofErr w:type="spellEnd"/>
      <w:r w:rsidR="000861F0" w:rsidRPr="00C367E3">
        <w:rPr>
          <w:rFonts w:ascii="Verdana" w:hAnsi="Verdana"/>
          <w:color w:val="000000"/>
          <w:sz w:val="20"/>
          <w:szCs w:val="20"/>
        </w:rPr>
        <w:t>.</w:t>
      </w:r>
    </w:p>
    <w:p w:rsidR="00416EDB" w:rsidRPr="00C367E3" w:rsidRDefault="00416EDB" w:rsidP="00757332">
      <w:pPr>
        <w:pStyle w:val="Prrafodelista"/>
        <w:numPr>
          <w:ilvl w:val="0"/>
          <w:numId w:val="17"/>
        </w:numPr>
        <w:tabs>
          <w:tab w:val="left" w:pos="0"/>
          <w:tab w:val="left" w:pos="567"/>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Con base en lo anterior, la Corte considera que el Estado ha dado cumplimiento total a la medida ordenada en el punto resolutivo séptimo de la Sentencia relativa a resolver el proceso civil por daños y perjuicios seguido contra los señores </w:t>
      </w:r>
      <w:proofErr w:type="spellStart"/>
      <w:r w:rsidRPr="00C367E3">
        <w:rPr>
          <w:rFonts w:ascii="Verdana" w:hAnsi="Verdana"/>
          <w:color w:val="000000"/>
          <w:sz w:val="20"/>
          <w:szCs w:val="20"/>
        </w:rPr>
        <w:t>Mémoli</w:t>
      </w:r>
      <w:proofErr w:type="spellEnd"/>
      <w:r w:rsidRPr="00C367E3">
        <w:rPr>
          <w:rFonts w:ascii="Verdana" w:hAnsi="Verdana"/>
          <w:color w:val="000000"/>
          <w:sz w:val="20"/>
          <w:szCs w:val="20"/>
        </w:rPr>
        <w:t>.</w:t>
      </w:r>
    </w:p>
    <w:p w:rsidR="007864FD" w:rsidRPr="00C367E3" w:rsidRDefault="00881501" w:rsidP="00C23BB6">
      <w:pPr>
        <w:pStyle w:val="Ttulo1"/>
        <w:numPr>
          <w:ilvl w:val="0"/>
          <w:numId w:val="31"/>
        </w:numPr>
        <w:jc w:val="both"/>
        <w:rPr>
          <w:rFonts w:ascii="Verdana" w:hAnsi="Verdana"/>
          <w:b w:val="0"/>
          <w:i/>
          <w:color w:val="000000"/>
          <w:sz w:val="20"/>
          <w:szCs w:val="20"/>
        </w:rPr>
      </w:pPr>
      <w:bookmarkStart w:id="3" w:name="_Toc473708793"/>
      <w:r w:rsidRPr="00C367E3">
        <w:rPr>
          <w:rFonts w:ascii="Verdana" w:eastAsia="Times New Roman" w:hAnsi="Verdana"/>
          <w:i/>
          <w:color w:val="000000"/>
          <w:sz w:val="20"/>
          <w:szCs w:val="20"/>
        </w:rPr>
        <w:t>P</w:t>
      </w:r>
      <w:r w:rsidR="007864FD" w:rsidRPr="00C367E3">
        <w:rPr>
          <w:rFonts w:ascii="Verdana" w:eastAsia="Times New Roman" w:hAnsi="Verdana"/>
          <w:i/>
          <w:color w:val="000000"/>
          <w:sz w:val="20"/>
          <w:szCs w:val="20"/>
        </w:rPr>
        <w:t>ublicaci</w:t>
      </w:r>
      <w:r w:rsidRPr="00C367E3">
        <w:rPr>
          <w:rFonts w:ascii="Verdana" w:eastAsia="Times New Roman" w:hAnsi="Verdana"/>
          <w:i/>
          <w:color w:val="000000"/>
          <w:sz w:val="20"/>
          <w:szCs w:val="20"/>
        </w:rPr>
        <w:t>ó</w:t>
      </w:r>
      <w:r w:rsidR="007864FD" w:rsidRPr="00C367E3">
        <w:rPr>
          <w:rFonts w:ascii="Verdana" w:eastAsia="Times New Roman" w:hAnsi="Verdana"/>
          <w:i/>
          <w:color w:val="000000"/>
          <w:sz w:val="20"/>
          <w:szCs w:val="20"/>
        </w:rPr>
        <w:t xml:space="preserve">n </w:t>
      </w:r>
      <w:r w:rsidR="007A6150" w:rsidRPr="00C367E3">
        <w:rPr>
          <w:rFonts w:ascii="Verdana" w:eastAsia="Times New Roman" w:hAnsi="Verdana"/>
          <w:i/>
          <w:color w:val="000000"/>
          <w:sz w:val="20"/>
          <w:szCs w:val="20"/>
        </w:rPr>
        <w:t>de la S</w:t>
      </w:r>
      <w:r w:rsidR="007864FD" w:rsidRPr="00C367E3">
        <w:rPr>
          <w:rFonts w:ascii="Verdana" w:eastAsia="Times New Roman" w:hAnsi="Verdana"/>
          <w:i/>
          <w:color w:val="000000"/>
          <w:sz w:val="20"/>
          <w:szCs w:val="20"/>
        </w:rPr>
        <w:t>entencia</w:t>
      </w:r>
      <w:r w:rsidR="007A6150" w:rsidRPr="00C367E3">
        <w:rPr>
          <w:rFonts w:ascii="Verdana" w:eastAsia="Times New Roman" w:hAnsi="Verdana"/>
          <w:i/>
          <w:color w:val="000000"/>
          <w:sz w:val="20"/>
          <w:szCs w:val="20"/>
        </w:rPr>
        <w:t xml:space="preserve"> </w:t>
      </w:r>
      <w:r w:rsidRPr="00C367E3">
        <w:rPr>
          <w:rFonts w:ascii="Verdana" w:eastAsia="Times New Roman" w:hAnsi="Verdana"/>
          <w:i/>
          <w:color w:val="000000"/>
          <w:sz w:val="20"/>
          <w:szCs w:val="20"/>
        </w:rPr>
        <w:t>y de su resumen oficial</w:t>
      </w:r>
      <w:bookmarkEnd w:id="3"/>
    </w:p>
    <w:p w:rsidR="00B64906" w:rsidRPr="00C367E3" w:rsidRDefault="00B64906" w:rsidP="00B64906">
      <w:pPr>
        <w:spacing w:before="120" w:after="120" w:line="240" w:lineRule="auto"/>
        <w:ind w:left="567"/>
        <w:contextualSpacing/>
        <w:jc w:val="both"/>
        <w:rPr>
          <w:rFonts w:ascii="Verdana" w:hAnsi="Verdana"/>
          <w:i/>
          <w:color w:val="000000"/>
          <w:sz w:val="20"/>
          <w:szCs w:val="20"/>
        </w:rPr>
      </w:pPr>
    </w:p>
    <w:p w:rsidR="007864FD" w:rsidRPr="00C367E3" w:rsidRDefault="007864FD" w:rsidP="007864FD">
      <w:pPr>
        <w:spacing w:before="120" w:after="120" w:line="240" w:lineRule="auto"/>
        <w:ind w:left="567"/>
        <w:jc w:val="both"/>
        <w:rPr>
          <w:rFonts w:ascii="Verdana" w:hAnsi="Verdana"/>
          <w:i/>
          <w:color w:val="000000"/>
          <w:sz w:val="20"/>
          <w:szCs w:val="20"/>
        </w:rPr>
      </w:pPr>
      <w:r w:rsidRPr="00C367E3">
        <w:rPr>
          <w:rFonts w:ascii="Verdana" w:hAnsi="Verdana"/>
          <w:i/>
          <w:color w:val="000000"/>
          <w:sz w:val="20"/>
          <w:szCs w:val="20"/>
        </w:rPr>
        <w:t>C.1. Medida</w:t>
      </w:r>
      <w:r w:rsidR="007A6150" w:rsidRPr="00C367E3">
        <w:rPr>
          <w:rFonts w:ascii="Verdana" w:hAnsi="Verdana"/>
          <w:i/>
          <w:color w:val="000000"/>
          <w:sz w:val="20"/>
          <w:szCs w:val="20"/>
        </w:rPr>
        <w:t>s</w:t>
      </w:r>
      <w:r w:rsidRPr="00C367E3">
        <w:rPr>
          <w:rFonts w:ascii="Verdana" w:hAnsi="Verdana"/>
          <w:i/>
          <w:color w:val="000000"/>
          <w:sz w:val="20"/>
          <w:szCs w:val="20"/>
        </w:rPr>
        <w:t xml:space="preserve"> ordenada</w:t>
      </w:r>
      <w:r w:rsidR="007A6150" w:rsidRPr="00C367E3">
        <w:rPr>
          <w:rFonts w:ascii="Verdana" w:hAnsi="Verdana"/>
          <w:i/>
          <w:color w:val="000000"/>
          <w:sz w:val="20"/>
          <w:szCs w:val="20"/>
        </w:rPr>
        <w:t>s</w:t>
      </w:r>
      <w:r w:rsidRPr="00C367E3">
        <w:rPr>
          <w:rFonts w:ascii="Verdana" w:hAnsi="Verdana"/>
          <w:i/>
          <w:color w:val="000000"/>
          <w:sz w:val="20"/>
          <w:szCs w:val="20"/>
        </w:rPr>
        <w:t xml:space="preserve"> por la Corte</w:t>
      </w:r>
    </w:p>
    <w:p w:rsidR="007864FD" w:rsidRPr="00C367E3" w:rsidRDefault="004A293F" w:rsidP="007864FD">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En el punto </w:t>
      </w:r>
      <w:r w:rsidR="00B750C1" w:rsidRPr="00C367E3">
        <w:rPr>
          <w:rFonts w:ascii="Verdana" w:hAnsi="Verdana"/>
          <w:color w:val="000000"/>
          <w:sz w:val="20"/>
          <w:szCs w:val="20"/>
        </w:rPr>
        <w:t xml:space="preserve">resolutivo </w:t>
      </w:r>
      <w:r w:rsidRPr="00C367E3">
        <w:rPr>
          <w:rFonts w:ascii="Verdana" w:hAnsi="Verdana"/>
          <w:color w:val="000000"/>
          <w:sz w:val="20"/>
          <w:szCs w:val="20"/>
        </w:rPr>
        <w:t xml:space="preserve">noveno y en el </w:t>
      </w:r>
      <w:r w:rsidR="008B7D63" w:rsidRPr="00C367E3">
        <w:rPr>
          <w:rFonts w:ascii="Verdana" w:hAnsi="Verdana"/>
          <w:color w:val="000000"/>
          <w:sz w:val="20"/>
          <w:szCs w:val="20"/>
        </w:rPr>
        <w:t xml:space="preserve">párrafo 207 de la Sentencia, </w:t>
      </w:r>
      <w:r w:rsidR="00881501" w:rsidRPr="00C367E3">
        <w:rPr>
          <w:rFonts w:ascii="Verdana" w:hAnsi="Verdana"/>
          <w:color w:val="000000"/>
          <w:sz w:val="20"/>
          <w:szCs w:val="20"/>
        </w:rPr>
        <w:t>s</w:t>
      </w:r>
      <w:r w:rsidRPr="00C367E3">
        <w:rPr>
          <w:rFonts w:ascii="Verdana" w:hAnsi="Verdana"/>
          <w:color w:val="000000"/>
          <w:sz w:val="20"/>
          <w:szCs w:val="20"/>
        </w:rPr>
        <w:t xml:space="preserve">e </w:t>
      </w:r>
      <w:r w:rsidR="00B750C1" w:rsidRPr="00C367E3">
        <w:rPr>
          <w:rFonts w:ascii="Verdana" w:hAnsi="Verdana"/>
          <w:color w:val="000000"/>
          <w:sz w:val="20"/>
          <w:szCs w:val="20"/>
        </w:rPr>
        <w:t>“</w:t>
      </w:r>
      <w:proofErr w:type="spellStart"/>
      <w:r w:rsidRPr="00C367E3">
        <w:rPr>
          <w:rFonts w:ascii="Verdana" w:hAnsi="Verdana"/>
          <w:color w:val="000000"/>
          <w:sz w:val="20"/>
          <w:szCs w:val="20"/>
        </w:rPr>
        <w:t>disp</w:t>
      </w:r>
      <w:proofErr w:type="spellEnd"/>
      <w:r w:rsidR="00B750C1" w:rsidRPr="00C367E3">
        <w:rPr>
          <w:rFonts w:ascii="Verdana" w:hAnsi="Verdana"/>
          <w:color w:val="000000"/>
          <w:sz w:val="20"/>
          <w:szCs w:val="20"/>
        </w:rPr>
        <w:t>[</w:t>
      </w:r>
      <w:r w:rsidRPr="00C367E3">
        <w:rPr>
          <w:rFonts w:ascii="Verdana" w:hAnsi="Verdana"/>
          <w:color w:val="000000"/>
          <w:sz w:val="20"/>
          <w:szCs w:val="20"/>
        </w:rPr>
        <w:t>uso</w:t>
      </w:r>
      <w:r w:rsidR="00B750C1" w:rsidRPr="00C367E3">
        <w:rPr>
          <w:rFonts w:ascii="Verdana" w:hAnsi="Verdana"/>
          <w:color w:val="000000"/>
          <w:sz w:val="20"/>
          <w:szCs w:val="20"/>
        </w:rPr>
        <w:t>]</w:t>
      </w:r>
      <w:r w:rsidRPr="00C367E3">
        <w:rPr>
          <w:rFonts w:ascii="Verdana" w:hAnsi="Verdana"/>
          <w:color w:val="000000"/>
          <w:sz w:val="20"/>
          <w:szCs w:val="20"/>
        </w:rPr>
        <w:t xml:space="preserve"> que el Estado </w:t>
      </w:r>
      <w:proofErr w:type="spellStart"/>
      <w:r w:rsidR="00EE4641" w:rsidRPr="00C367E3">
        <w:rPr>
          <w:rFonts w:ascii="Verdana" w:hAnsi="Verdana"/>
          <w:color w:val="000000"/>
          <w:sz w:val="20"/>
          <w:szCs w:val="20"/>
        </w:rPr>
        <w:t>deb</w:t>
      </w:r>
      <w:proofErr w:type="spellEnd"/>
      <w:r w:rsidR="00881501" w:rsidRPr="00C367E3">
        <w:rPr>
          <w:rFonts w:ascii="Verdana" w:hAnsi="Verdana"/>
          <w:color w:val="000000"/>
          <w:sz w:val="20"/>
          <w:szCs w:val="20"/>
        </w:rPr>
        <w:t>[</w:t>
      </w:r>
      <w:proofErr w:type="spellStart"/>
      <w:r w:rsidR="00881501" w:rsidRPr="00C367E3">
        <w:rPr>
          <w:rFonts w:ascii="Verdana" w:hAnsi="Verdana"/>
          <w:color w:val="000000"/>
          <w:sz w:val="20"/>
          <w:szCs w:val="20"/>
        </w:rPr>
        <w:t>ía</w:t>
      </w:r>
      <w:proofErr w:type="spellEnd"/>
      <w:r w:rsidR="00881501" w:rsidRPr="00C367E3">
        <w:rPr>
          <w:rFonts w:ascii="Verdana" w:hAnsi="Verdana"/>
          <w:color w:val="000000"/>
          <w:sz w:val="20"/>
          <w:szCs w:val="20"/>
        </w:rPr>
        <w:t>]</w:t>
      </w:r>
      <w:r w:rsidR="00EE4641" w:rsidRPr="00C367E3">
        <w:rPr>
          <w:rFonts w:ascii="Verdana" w:hAnsi="Verdana"/>
          <w:color w:val="000000"/>
          <w:sz w:val="20"/>
          <w:szCs w:val="20"/>
        </w:rPr>
        <w:t xml:space="preserve"> </w:t>
      </w:r>
      <w:r w:rsidRPr="00C367E3">
        <w:rPr>
          <w:rFonts w:ascii="Verdana" w:hAnsi="Verdana"/>
          <w:color w:val="000000"/>
          <w:sz w:val="20"/>
          <w:szCs w:val="20"/>
        </w:rPr>
        <w:t>publicar</w:t>
      </w:r>
      <w:r w:rsidR="00881501" w:rsidRPr="00C367E3">
        <w:rPr>
          <w:rFonts w:ascii="Verdana" w:hAnsi="Verdana"/>
          <w:color w:val="000000"/>
          <w:sz w:val="20"/>
          <w:szCs w:val="20"/>
        </w:rPr>
        <w:t>,</w:t>
      </w:r>
      <w:r w:rsidRPr="00C367E3">
        <w:rPr>
          <w:rFonts w:ascii="Verdana" w:hAnsi="Verdana"/>
          <w:color w:val="000000"/>
          <w:sz w:val="20"/>
          <w:szCs w:val="20"/>
        </w:rPr>
        <w:t xml:space="preserve"> en </w:t>
      </w:r>
      <w:r w:rsidR="00B750C1" w:rsidRPr="00C367E3">
        <w:rPr>
          <w:rFonts w:ascii="Verdana" w:hAnsi="Verdana"/>
          <w:color w:val="000000"/>
          <w:sz w:val="20"/>
          <w:szCs w:val="20"/>
        </w:rPr>
        <w:t xml:space="preserve">un </w:t>
      </w:r>
      <w:r w:rsidRPr="00C367E3">
        <w:rPr>
          <w:rFonts w:ascii="Verdana" w:hAnsi="Verdana"/>
          <w:color w:val="000000"/>
          <w:sz w:val="20"/>
          <w:szCs w:val="20"/>
        </w:rPr>
        <w:t>plazo de seis meses</w:t>
      </w:r>
      <w:r w:rsidR="00B750C1" w:rsidRPr="00C367E3">
        <w:rPr>
          <w:rFonts w:ascii="Verdana" w:hAnsi="Verdana"/>
          <w:color w:val="000000"/>
          <w:sz w:val="20"/>
          <w:szCs w:val="20"/>
        </w:rPr>
        <w:t>, contado</w:t>
      </w:r>
      <w:r w:rsidR="00EE4641" w:rsidRPr="00C367E3">
        <w:rPr>
          <w:rFonts w:ascii="Verdana" w:hAnsi="Verdana"/>
          <w:color w:val="000000"/>
          <w:sz w:val="20"/>
          <w:szCs w:val="20"/>
        </w:rPr>
        <w:t xml:space="preserve"> a partir de la notificación de la […] Sentencia:</w:t>
      </w:r>
      <w:r w:rsidRPr="00C367E3">
        <w:rPr>
          <w:rFonts w:ascii="Verdana" w:hAnsi="Verdana"/>
          <w:color w:val="000000"/>
          <w:sz w:val="20"/>
          <w:szCs w:val="20"/>
        </w:rPr>
        <w:t xml:space="preserve"> a) el resumen oficial de la [..</w:t>
      </w:r>
      <w:r w:rsidR="00881501" w:rsidRPr="00C367E3">
        <w:rPr>
          <w:rFonts w:ascii="Verdana" w:hAnsi="Verdana"/>
          <w:color w:val="000000"/>
          <w:sz w:val="20"/>
          <w:szCs w:val="20"/>
        </w:rPr>
        <w:t>.</w:t>
      </w:r>
      <w:r w:rsidRPr="00C367E3">
        <w:rPr>
          <w:rFonts w:ascii="Verdana" w:hAnsi="Verdana"/>
          <w:color w:val="000000"/>
          <w:sz w:val="20"/>
          <w:szCs w:val="20"/>
        </w:rPr>
        <w:t>] Sentencia elaborado por la Corte, por una sola vez en el diario oficial, y b) la [</w:t>
      </w:r>
      <w:r w:rsidR="00B750C1" w:rsidRPr="00C367E3">
        <w:rPr>
          <w:rFonts w:ascii="Verdana" w:hAnsi="Verdana"/>
          <w:color w:val="000000"/>
          <w:sz w:val="20"/>
          <w:szCs w:val="20"/>
        </w:rPr>
        <w:t>…</w:t>
      </w:r>
      <w:r w:rsidRPr="00C367E3">
        <w:rPr>
          <w:rFonts w:ascii="Verdana" w:hAnsi="Verdana"/>
          <w:color w:val="000000"/>
          <w:sz w:val="20"/>
          <w:szCs w:val="20"/>
        </w:rPr>
        <w:t>]</w:t>
      </w:r>
      <w:r w:rsidR="001E5BFA" w:rsidRPr="00C367E3">
        <w:rPr>
          <w:rFonts w:ascii="Verdana" w:hAnsi="Verdana"/>
          <w:color w:val="000000"/>
          <w:sz w:val="20"/>
          <w:szCs w:val="20"/>
        </w:rPr>
        <w:t xml:space="preserve"> </w:t>
      </w:r>
      <w:r w:rsidRPr="00C367E3">
        <w:rPr>
          <w:rFonts w:ascii="Verdana" w:hAnsi="Verdana"/>
          <w:color w:val="000000"/>
          <w:sz w:val="20"/>
          <w:szCs w:val="20"/>
        </w:rPr>
        <w:t>Sentencia en su integridad, disponible por un per</w:t>
      </w:r>
      <w:r w:rsidR="00456166" w:rsidRPr="00C367E3">
        <w:rPr>
          <w:rFonts w:ascii="Verdana" w:hAnsi="Verdana"/>
          <w:color w:val="000000"/>
          <w:sz w:val="20"/>
          <w:szCs w:val="20"/>
        </w:rPr>
        <w:t>í</w:t>
      </w:r>
      <w:r w:rsidRPr="00C367E3">
        <w:rPr>
          <w:rFonts w:ascii="Verdana" w:hAnsi="Verdana"/>
          <w:color w:val="000000"/>
          <w:sz w:val="20"/>
          <w:szCs w:val="20"/>
        </w:rPr>
        <w:t>odo de un año en un sitio</w:t>
      </w:r>
      <w:r w:rsidR="00481FC7" w:rsidRPr="00C367E3">
        <w:rPr>
          <w:rFonts w:ascii="Verdana" w:hAnsi="Verdana"/>
          <w:color w:val="000000"/>
          <w:sz w:val="20"/>
          <w:szCs w:val="20"/>
        </w:rPr>
        <w:t xml:space="preserve"> </w:t>
      </w:r>
      <w:r w:rsidRPr="00C367E3">
        <w:rPr>
          <w:rFonts w:ascii="Verdana" w:hAnsi="Verdana"/>
          <w:i/>
          <w:color w:val="000000"/>
          <w:sz w:val="20"/>
          <w:szCs w:val="20"/>
        </w:rPr>
        <w:t>web</w:t>
      </w:r>
      <w:r w:rsidR="00EE4641" w:rsidRPr="00C367E3">
        <w:rPr>
          <w:rFonts w:ascii="Verdana" w:hAnsi="Verdana"/>
          <w:color w:val="000000"/>
          <w:sz w:val="20"/>
          <w:szCs w:val="20"/>
        </w:rPr>
        <w:t xml:space="preserve"> oficial”</w:t>
      </w:r>
      <w:r w:rsidRPr="00C367E3">
        <w:rPr>
          <w:rFonts w:ascii="Verdana" w:hAnsi="Verdana"/>
          <w:color w:val="000000"/>
          <w:sz w:val="20"/>
          <w:szCs w:val="20"/>
        </w:rPr>
        <w:t>.</w:t>
      </w:r>
    </w:p>
    <w:p w:rsidR="00B64906" w:rsidRPr="00C367E3" w:rsidRDefault="00B64906" w:rsidP="007864FD">
      <w:pPr>
        <w:spacing w:before="120" w:after="120" w:line="240" w:lineRule="auto"/>
        <w:ind w:firstLine="708"/>
        <w:jc w:val="both"/>
        <w:rPr>
          <w:rFonts w:ascii="Verdana" w:hAnsi="Verdana"/>
          <w:color w:val="000000"/>
          <w:sz w:val="20"/>
          <w:szCs w:val="20"/>
        </w:rPr>
      </w:pPr>
    </w:p>
    <w:p w:rsidR="007864FD" w:rsidRPr="00C367E3" w:rsidRDefault="007864FD" w:rsidP="007864FD">
      <w:pPr>
        <w:spacing w:before="120" w:after="120" w:line="240" w:lineRule="auto"/>
        <w:ind w:firstLine="708"/>
        <w:jc w:val="both"/>
        <w:rPr>
          <w:rFonts w:ascii="Verdana" w:hAnsi="Verdana"/>
          <w:i/>
          <w:color w:val="000000"/>
          <w:sz w:val="20"/>
          <w:szCs w:val="20"/>
        </w:rPr>
      </w:pPr>
      <w:r w:rsidRPr="00C367E3">
        <w:rPr>
          <w:rFonts w:ascii="Verdana" w:hAnsi="Verdana"/>
          <w:i/>
          <w:color w:val="000000"/>
          <w:sz w:val="20"/>
          <w:szCs w:val="20"/>
        </w:rPr>
        <w:t>C.2. Consideraciones de la Corte</w:t>
      </w:r>
    </w:p>
    <w:p w:rsidR="007864FD" w:rsidRPr="00C367E3" w:rsidRDefault="004A293F" w:rsidP="007864FD">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lastRenderedPageBreak/>
        <w:t xml:space="preserve">Con base </w:t>
      </w:r>
      <w:r w:rsidR="00E562D3" w:rsidRPr="00C367E3">
        <w:rPr>
          <w:rFonts w:ascii="Verdana" w:hAnsi="Verdana"/>
          <w:color w:val="000000"/>
          <w:sz w:val="20"/>
          <w:szCs w:val="20"/>
        </w:rPr>
        <w:t xml:space="preserve">en </w:t>
      </w:r>
      <w:r w:rsidR="001E5BFA" w:rsidRPr="00C367E3">
        <w:rPr>
          <w:rFonts w:ascii="Verdana" w:hAnsi="Verdana"/>
          <w:color w:val="000000"/>
          <w:sz w:val="20"/>
          <w:szCs w:val="20"/>
        </w:rPr>
        <w:t>l</w:t>
      </w:r>
      <w:r w:rsidR="00881501" w:rsidRPr="00C367E3">
        <w:rPr>
          <w:rFonts w:ascii="Verdana" w:hAnsi="Verdana"/>
          <w:color w:val="000000"/>
          <w:sz w:val="20"/>
          <w:szCs w:val="20"/>
        </w:rPr>
        <w:t>os</w:t>
      </w:r>
      <w:r w:rsidR="00E562D3" w:rsidRPr="00C367E3">
        <w:rPr>
          <w:rFonts w:ascii="Verdana" w:hAnsi="Verdana"/>
          <w:color w:val="000000"/>
          <w:sz w:val="20"/>
          <w:szCs w:val="20"/>
        </w:rPr>
        <w:t xml:space="preserve"> </w:t>
      </w:r>
      <w:r w:rsidR="001E5BFA" w:rsidRPr="00C367E3">
        <w:rPr>
          <w:rFonts w:ascii="Verdana" w:hAnsi="Verdana"/>
          <w:color w:val="000000"/>
          <w:sz w:val="20"/>
          <w:szCs w:val="20"/>
        </w:rPr>
        <w:t>comprobante</w:t>
      </w:r>
      <w:r w:rsidR="00881501" w:rsidRPr="00C367E3">
        <w:rPr>
          <w:rFonts w:ascii="Verdana" w:hAnsi="Verdana"/>
          <w:color w:val="000000"/>
          <w:sz w:val="20"/>
          <w:szCs w:val="20"/>
        </w:rPr>
        <w:t>s</w:t>
      </w:r>
      <w:r w:rsidR="000C5DF1" w:rsidRPr="00C367E3">
        <w:rPr>
          <w:rFonts w:ascii="Verdana" w:hAnsi="Verdana"/>
          <w:color w:val="000000"/>
          <w:sz w:val="20"/>
          <w:szCs w:val="20"/>
        </w:rPr>
        <w:t xml:space="preserve"> </w:t>
      </w:r>
      <w:r w:rsidRPr="00C367E3">
        <w:rPr>
          <w:rFonts w:ascii="Verdana" w:hAnsi="Verdana"/>
          <w:color w:val="000000"/>
          <w:sz w:val="20"/>
          <w:szCs w:val="20"/>
        </w:rPr>
        <w:t>aportad</w:t>
      </w:r>
      <w:r w:rsidR="001E5BFA" w:rsidRPr="00C367E3">
        <w:rPr>
          <w:rFonts w:ascii="Verdana" w:hAnsi="Verdana"/>
          <w:color w:val="000000"/>
          <w:sz w:val="20"/>
          <w:szCs w:val="20"/>
        </w:rPr>
        <w:t>o</w:t>
      </w:r>
      <w:r w:rsidR="00AB1F7F" w:rsidRPr="00C367E3">
        <w:rPr>
          <w:rFonts w:ascii="Verdana" w:hAnsi="Verdana"/>
          <w:color w:val="000000"/>
          <w:sz w:val="20"/>
          <w:szCs w:val="20"/>
        </w:rPr>
        <w:t>s</w:t>
      </w:r>
      <w:r w:rsidRPr="00C367E3">
        <w:rPr>
          <w:rFonts w:ascii="Verdana" w:hAnsi="Verdana"/>
          <w:color w:val="000000"/>
          <w:sz w:val="20"/>
          <w:szCs w:val="20"/>
        </w:rPr>
        <w:t xml:space="preserve"> por el Estado, </w:t>
      </w:r>
      <w:r w:rsidR="00AB1F7F" w:rsidRPr="00C367E3">
        <w:rPr>
          <w:rFonts w:ascii="Verdana" w:hAnsi="Verdana"/>
          <w:color w:val="000000"/>
          <w:sz w:val="20"/>
          <w:szCs w:val="20"/>
        </w:rPr>
        <w:t xml:space="preserve">los </w:t>
      </w:r>
      <w:r w:rsidRPr="00C367E3">
        <w:rPr>
          <w:rFonts w:ascii="Verdana" w:hAnsi="Verdana"/>
          <w:color w:val="000000"/>
          <w:sz w:val="20"/>
          <w:szCs w:val="20"/>
        </w:rPr>
        <w:t>cual</w:t>
      </w:r>
      <w:r w:rsidR="00AB1F7F" w:rsidRPr="00C367E3">
        <w:rPr>
          <w:rFonts w:ascii="Verdana" w:hAnsi="Verdana"/>
          <w:color w:val="000000"/>
          <w:sz w:val="20"/>
          <w:szCs w:val="20"/>
        </w:rPr>
        <w:t>es</w:t>
      </w:r>
      <w:r w:rsidR="00350A0D" w:rsidRPr="00C367E3">
        <w:rPr>
          <w:rFonts w:ascii="Verdana" w:hAnsi="Verdana"/>
          <w:color w:val="000000"/>
          <w:sz w:val="20"/>
          <w:szCs w:val="20"/>
        </w:rPr>
        <w:t xml:space="preserve"> </w:t>
      </w:r>
      <w:r w:rsidRPr="00C367E3">
        <w:rPr>
          <w:rFonts w:ascii="Verdana" w:hAnsi="Verdana"/>
          <w:color w:val="000000"/>
          <w:sz w:val="20"/>
          <w:szCs w:val="20"/>
        </w:rPr>
        <w:t>no fue</w:t>
      </w:r>
      <w:r w:rsidR="00AB1F7F" w:rsidRPr="00C367E3">
        <w:rPr>
          <w:rFonts w:ascii="Verdana" w:hAnsi="Verdana"/>
          <w:color w:val="000000"/>
          <w:sz w:val="20"/>
          <w:szCs w:val="20"/>
        </w:rPr>
        <w:t>ron</w:t>
      </w:r>
      <w:r w:rsidR="001E5BFA" w:rsidRPr="00C367E3">
        <w:rPr>
          <w:rFonts w:ascii="Verdana" w:hAnsi="Verdana"/>
          <w:color w:val="000000"/>
          <w:sz w:val="20"/>
          <w:szCs w:val="20"/>
        </w:rPr>
        <w:t xml:space="preserve"> controvertido</w:t>
      </w:r>
      <w:r w:rsidR="00AB1F7F" w:rsidRPr="00C367E3">
        <w:rPr>
          <w:rFonts w:ascii="Verdana" w:hAnsi="Verdana"/>
          <w:color w:val="000000"/>
          <w:sz w:val="20"/>
          <w:szCs w:val="20"/>
        </w:rPr>
        <w:t>s</w:t>
      </w:r>
      <w:r w:rsidR="001E5BFA" w:rsidRPr="00C367E3">
        <w:rPr>
          <w:rFonts w:ascii="Verdana" w:hAnsi="Verdana"/>
          <w:color w:val="000000"/>
          <w:sz w:val="20"/>
          <w:szCs w:val="20"/>
        </w:rPr>
        <w:t xml:space="preserve"> por los </w:t>
      </w:r>
      <w:r w:rsidR="00AB1F7F" w:rsidRPr="00C367E3">
        <w:rPr>
          <w:rFonts w:ascii="Verdana" w:hAnsi="Verdana"/>
          <w:color w:val="000000"/>
          <w:sz w:val="20"/>
          <w:szCs w:val="20"/>
        </w:rPr>
        <w:t xml:space="preserve">señores </w:t>
      </w:r>
      <w:proofErr w:type="spellStart"/>
      <w:r w:rsidR="00AB1F7F" w:rsidRPr="00C367E3">
        <w:rPr>
          <w:rFonts w:ascii="Verdana" w:hAnsi="Verdana"/>
          <w:color w:val="000000"/>
          <w:sz w:val="20"/>
          <w:szCs w:val="20"/>
        </w:rPr>
        <w:t>Mémoli</w:t>
      </w:r>
      <w:proofErr w:type="spellEnd"/>
      <w:r w:rsidR="00AB1F7F" w:rsidRPr="00C367E3">
        <w:rPr>
          <w:rFonts w:ascii="Verdana" w:hAnsi="Verdana"/>
          <w:color w:val="000000"/>
          <w:sz w:val="20"/>
          <w:szCs w:val="20"/>
        </w:rPr>
        <w:t xml:space="preserve"> </w:t>
      </w:r>
      <w:r w:rsidR="001E5BFA" w:rsidRPr="00C367E3">
        <w:rPr>
          <w:rFonts w:ascii="Verdana" w:hAnsi="Verdana"/>
          <w:color w:val="000000"/>
          <w:sz w:val="20"/>
          <w:szCs w:val="20"/>
        </w:rPr>
        <w:t>ni la Comisión</w:t>
      </w:r>
      <w:r w:rsidR="00350A0D" w:rsidRPr="00C367E3">
        <w:rPr>
          <w:rStyle w:val="Refdenotaalpie"/>
          <w:rFonts w:ascii="Verdana" w:hAnsi="Verdana"/>
          <w:color w:val="000000"/>
          <w:sz w:val="20"/>
          <w:szCs w:val="20"/>
        </w:rPr>
        <w:footnoteReference w:id="27"/>
      </w:r>
      <w:r w:rsidR="00EE4641" w:rsidRPr="00C367E3">
        <w:rPr>
          <w:rFonts w:ascii="Verdana" w:hAnsi="Verdana"/>
          <w:color w:val="000000"/>
          <w:sz w:val="20"/>
          <w:szCs w:val="20"/>
        </w:rPr>
        <w:t xml:space="preserve">, </w:t>
      </w:r>
      <w:r w:rsidR="007A6150" w:rsidRPr="00C367E3">
        <w:rPr>
          <w:rFonts w:ascii="Verdana" w:hAnsi="Verdana"/>
          <w:color w:val="000000"/>
          <w:sz w:val="20"/>
          <w:szCs w:val="20"/>
        </w:rPr>
        <w:t xml:space="preserve">se </w:t>
      </w:r>
      <w:r w:rsidRPr="00C367E3">
        <w:rPr>
          <w:rFonts w:ascii="Verdana" w:hAnsi="Verdana"/>
          <w:color w:val="000000"/>
          <w:sz w:val="20"/>
          <w:szCs w:val="20"/>
        </w:rPr>
        <w:t>constata que</w:t>
      </w:r>
      <w:r w:rsidR="00E562D3" w:rsidRPr="00C367E3">
        <w:rPr>
          <w:rFonts w:ascii="Verdana" w:hAnsi="Verdana"/>
          <w:color w:val="000000"/>
          <w:sz w:val="20"/>
          <w:szCs w:val="20"/>
        </w:rPr>
        <w:t>,</w:t>
      </w:r>
      <w:r w:rsidRPr="00C367E3">
        <w:rPr>
          <w:rFonts w:ascii="Verdana" w:hAnsi="Verdana"/>
          <w:color w:val="000000"/>
          <w:sz w:val="20"/>
          <w:szCs w:val="20"/>
        </w:rPr>
        <w:t xml:space="preserve"> dentro del plazo otorgado en la Sentencia,</w:t>
      </w:r>
      <w:r w:rsidR="00E562D3" w:rsidRPr="00C367E3">
        <w:rPr>
          <w:rFonts w:ascii="Verdana" w:hAnsi="Verdana"/>
          <w:color w:val="000000"/>
          <w:sz w:val="20"/>
          <w:szCs w:val="20"/>
        </w:rPr>
        <w:t xml:space="preserve"> el Estado cumplió con</w:t>
      </w:r>
      <w:r w:rsidRPr="00C367E3">
        <w:rPr>
          <w:rFonts w:ascii="Verdana" w:hAnsi="Verdana"/>
          <w:color w:val="000000"/>
          <w:sz w:val="20"/>
          <w:szCs w:val="20"/>
        </w:rPr>
        <w:t xml:space="preserve"> </w:t>
      </w:r>
      <w:r w:rsidR="00E562D3" w:rsidRPr="00C367E3">
        <w:rPr>
          <w:rFonts w:ascii="Verdana" w:hAnsi="Verdana"/>
          <w:color w:val="000000"/>
          <w:sz w:val="20"/>
          <w:szCs w:val="20"/>
        </w:rPr>
        <w:t xml:space="preserve">publicar </w:t>
      </w:r>
      <w:r w:rsidR="00556F7E" w:rsidRPr="00C367E3">
        <w:rPr>
          <w:rFonts w:ascii="Verdana" w:hAnsi="Verdana"/>
          <w:color w:val="000000"/>
          <w:sz w:val="20"/>
          <w:szCs w:val="20"/>
        </w:rPr>
        <w:t xml:space="preserve">el resumen oficial de la </w:t>
      </w:r>
      <w:r w:rsidR="007A6150" w:rsidRPr="00C367E3">
        <w:rPr>
          <w:rFonts w:ascii="Verdana" w:hAnsi="Verdana"/>
          <w:color w:val="000000"/>
          <w:sz w:val="20"/>
          <w:szCs w:val="20"/>
        </w:rPr>
        <w:t>misma</w:t>
      </w:r>
      <w:r w:rsidR="00556F7E" w:rsidRPr="00C367E3">
        <w:rPr>
          <w:rFonts w:ascii="Verdana" w:hAnsi="Verdana"/>
          <w:color w:val="000000"/>
          <w:sz w:val="20"/>
          <w:szCs w:val="20"/>
        </w:rPr>
        <w:t xml:space="preserve">, </w:t>
      </w:r>
      <w:r w:rsidRPr="00C367E3">
        <w:rPr>
          <w:rFonts w:ascii="Verdana" w:hAnsi="Verdana"/>
          <w:color w:val="000000"/>
          <w:sz w:val="20"/>
          <w:szCs w:val="20"/>
        </w:rPr>
        <w:t xml:space="preserve">en el Boletín </w:t>
      </w:r>
      <w:r w:rsidR="00E562D3" w:rsidRPr="00C367E3">
        <w:rPr>
          <w:rFonts w:ascii="Verdana" w:hAnsi="Verdana"/>
          <w:color w:val="000000"/>
          <w:sz w:val="20"/>
          <w:szCs w:val="20"/>
        </w:rPr>
        <w:t>O</w:t>
      </w:r>
      <w:r w:rsidRPr="00C367E3">
        <w:rPr>
          <w:rFonts w:ascii="Verdana" w:hAnsi="Verdana"/>
          <w:color w:val="000000"/>
          <w:sz w:val="20"/>
          <w:szCs w:val="20"/>
        </w:rPr>
        <w:t>ficial</w:t>
      </w:r>
      <w:r w:rsidR="008B7D63" w:rsidRPr="00C367E3">
        <w:rPr>
          <w:rFonts w:ascii="Verdana" w:hAnsi="Verdana"/>
          <w:color w:val="000000"/>
          <w:sz w:val="20"/>
          <w:szCs w:val="20"/>
        </w:rPr>
        <w:t xml:space="preserve"> </w:t>
      </w:r>
      <w:r w:rsidRPr="00C367E3">
        <w:rPr>
          <w:rFonts w:ascii="Verdana" w:hAnsi="Verdana"/>
          <w:color w:val="000000"/>
          <w:sz w:val="20"/>
          <w:szCs w:val="20"/>
        </w:rPr>
        <w:t>de la República Argen</w:t>
      </w:r>
      <w:r w:rsidR="000C5DF1" w:rsidRPr="00C367E3">
        <w:rPr>
          <w:rFonts w:ascii="Verdana" w:hAnsi="Verdana"/>
          <w:color w:val="000000"/>
          <w:sz w:val="20"/>
          <w:szCs w:val="20"/>
        </w:rPr>
        <w:t>tina</w:t>
      </w:r>
      <w:r w:rsidR="00556F7E" w:rsidRPr="00C367E3" w:rsidDel="00E562D3">
        <w:rPr>
          <w:rStyle w:val="Refdenotaalpie"/>
          <w:rFonts w:ascii="Verdana" w:hAnsi="Verdana"/>
          <w:color w:val="000000"/>
          <w:sz w:val="20"/>
          <w:szCs w:val="20"/>
        </w:rPr>
        <w:footnoteReference w:id="28"/>
      </w:r>
      <w:r w:rsidR="00881501" w:rsidRPr="00C367E3">
        <w:rPr>
          <w:rFonts w:ascii="Verdana" w:hAnsi="Verdana"/>
          <w:color w:val="000000"/>
          <w:sz w:val="20"/>
          <w:szCs w:val="20"/>
        </w:rPr>
        <w:t>,</w:t>
      </w:r>
      <w:r w:rsidR="00E562D3" w:rsidRPr="00C367E3">
        <w:rPr>
          <w:rFonts w:ascii="Verdana" w:hAnsi="Verdana"/>
          <w:color w:val="000000"/>
          <w:sz w:val="20"/>
          <w:szCs w:val="20"/>
        </w:rPr>
        <w:t xml:space="preserve"> </w:t>
      </w:r>
      <w:r w:rsidR="00881501" w:rsidRPr="00C367E3">
        <w:rPr>
          <w:rFonts w:ascii="Verdana" w:hAnsi="Verdana"/>
          <w:color w:val="000000"/>
          <w:sz w:val="20"/>
          <w:szCs w:val="20"/>
        </w:rPr>
        <w:t>a</w:t>
      </w:r>
      <w:r w:rsidRPr="00C367E3">
        <w:rPr>
          <w:rFonts w:ascii="Verdana" w:hAnsi="Verdana"/>
          <w:color w:val="000000"/>
          <w:sz w:val="20"/>
          <w:szCs w:val="20"/>
        </w:rPr>
        <w:t>s</w:t>
      </w:r>
      <w:r w:rsidR="00C23BB6" w:rsidRPr="00C367E3">
        <w:rPr>
          <w:rFonts w:ascii="Verdana" w:hAnsi="Verdana"/>
          <w:color w:val="000000"/>
          <w:sz w:val="20"/>
          <w:szCs w:val="20"/>
        </w:rPr>
        <w:t xml:space="preserve">í </w:t>
      </w:r>
      <w:r w:rsidR="00881501" w:rsidRPr="00C367E3">
        <w:rPr>
          <w:rFonts w:ascii="Verdana" w:hAnsi="Verdana"/>
          <w:color w:val="000000"/>
          <w:sz w:val="20"/>
          <w:szCs w:val="20"/>
        </w:rPr>
        <w:t>como</w:t>
      </w:r>
      <w:r w:rsidR="000C5DF1" w:rsidRPr="00C367E3">
        <w:rPr>
          <w:rFonts w:ascii="Verdana" w:hAnsi="Verdana"/>
          <w:color w:val="000000"/>
          <w:sz w:val="20"/>
          <w:szCs w:val="20"/>
        </w:rPr>
        <w:t xml:space="preserve"> con publicar de manera </w:t>
      </w:r>
      <w:r w:rsidR="003C102E" w:rsidRPr="00C367E3">
        <w:rPr>
          <w:rFonts w:ascii="Verdana" w:hAnsi="Verdana"/>
          <w:color w:val="000000"/>
          <w:sz w:val="20"/>
          <w:szCs w:val="20"/>
        </w:rPr>
        <w:t>íntegra</w:t>
      </w:r>
      <w:r w:rsidR="000C5DF1" w:rsidRPr="00C367E3">
        <w:rPr>
          <w:rFonts w:ascii="Verdana" w:hAnsi="Verdana"/>
          <w:i/>
          <w:color w:val="000000"/>
          <w:sz w:val="20"/>
          <w:szCs w:val="20"/>
        </w:rPr>
        <w:t xml:space="preserve"> </w:t>
      </w:r>
      <w:r w:rsidR="000C5DF1" w:rsidRPr="00C367E3">
        <w:rPr>
          <w:rFonts w:ascii="Verdana" w:hAnsi="Verdana"/>
          <w:color w:val="000000"/>
          <w:sz w:val="20"/>
          <w:szCs w:val="20"/>
        </w:rPr>
        <w:t>la Sentencia</w:t>
      </w:r>
      <w:r w:rsidR="000C5DF1" w:rsidRPr="00C367E3">
        <w:rPr>
          <w:rFonts w:ascii="Verdana" w:hAnsi="Verdana"/>
          <w:i/>
          <w:color w:val="000000"/>
          <w:sz w:val="20"/>
          <w:szCs w:val="20"/>
        </w:rPr>
        <w:t xml:space="preserve"> </w:t>
      </w:r>
      <w:r w:rsidRPr="00C367E3">
        <w:rPr>
          <w:rFonts w:ascii="Verdana" w:hAnsi="Verdana"/>
          <w:color w:val="000000"/>
          <w:sz w:val="20"/>
          <w:szCs w:val="20"/>
        </w:rPr>
        <w:t xml:space="preserve">en </w:t>
      </w:r>
      <w:r w:rsidR="00456166" w:rsidRPr="00C367E3">
        <w:rPr>
          <w:rFonts w:ascii="Verdana" w:hAnsi="Verdana"/>
          <w:color w:val="000000"/>
          <w:sz w:val="20"/>
          <w:szCs w:val="20"/>
        </w:rPr>
        <w:t xml:space="preserve">un sitio </w:t>
      </w:r>
      <w:r w:rsidR="00456166" w:rsidRPr="00C367E3">
        <w:rPr>
          <w:rFonts w:ascii="Verdana" w:hAnsi="Verdana"/>
          <w:i/>
          <w:color w:val="000000"/>
          <w:sz w:val="20"/>
          <w:szCs w:val="20"/>
        </w:rPr>
        <w:t>web</w:t>
      </w:r>
      <w:r w:rsidR="00456166" w:rsidRPr="00C367E3">
        <w:rPr>
          <w:rFonts w:ascii="Verdana" w:hAnsi="Verdana"/>
          <w:color w:val="000000"/>
          <w:sz w:val="20"/>
          <w:szCs w:val="20"/>
        </w:rPr>
        <w:t xml:space="preserve"> oficial, por el período de un año, efectuando esta publicación “en </w:t>
      </w:r>
      <w:r w:rsidRPr="00C367E3">
        <w:rPr>
          <w:rFonts w:ascii="Verdana" w:hAnsi="Verdana"/>
          <w:color w:val="000000"/>
          <w:sz w:val="20"/>
          <w:szCs w:val="20"/>
        </w:rPr>
        <w:t>el portal INFOJUS</w:t>
      </w:r>
      <w:r w:rsidR="003C102E" w:rsidRPr="00C367E3">
        <w:rPr>
          <w:rFonts w:ascii="Verdana" w:hAnsi="Verdana"/>
          <w:color w:val="000000"/>
          <w:sz w:val="20"/>
          <w:szCs w:val="20"/>
        </w:rPr>
        <w:t>”</w:t>
      </w:r>
      <w:r w:rsidR="000C5DF1" w:rsidRPr="00C367E3">
        <w:rPr>
          <w:rFonts w:ascii="Verdana" w:hAnsi="Verdana"/>
          <w:color w:val="000000"/>
          <w:sz w:val="20"/>
          <w:szCs w:val="20"/>
        </w:rPr>
        <w:t xml:space="preserve"> del</w:t>
      </w:r>
      <w:r w:rsidR="000C5DF1" w:rsidRPr="007864FD">
        <w:rPr>
          <w:rFonts w:ascii="Verdana" w:hAnsi="Verdana"/>
          <w:sz w:val="20"/>
          <w:szCs w:val="20"/>
        </w:rPr>
        <w:t xml:space="preserve"> Sistema Argentino de Información </w:t>
      </w:r>
      <w:r w:rsidR="00AB1F7F">
        <w:rPr>
          <w:rFonts w:ascii="Verdana" w:hAnsi="Verdana"/>
          <w:sz w:val="20"/>
          <w:szCs w:val="20"/>
        </w:rPr>
        <w:t>J</w:t>
      </w:r>
      <w:r w:rsidR="000C5DF1" w:rsidRPr="007864FD">
        <w:rPr>
          <w:rFonts w:ascii="Verdana" w:hAnsi="Verdana"/>
          <w:sz w:val="20"/>
          <w:szCs w:val="20"/>
        </w:rPr>
        <w:t xml:space="preserve">urídica </w:t>
      </w:r>
      <w:r w:rsidR="000C5DF1" w:rsidRPr="00C367E3">
        <w:rPr>
          <w:rFonts w:ascii="Verdana" w:hAnsi="Verdana"/>
          <w:color w:val="000000"/>
          <w:sz w:val="20"/>
          <w:szCs w:val="20"/>
        </w:rPr>
        <w:t>del Ministerio de Justicia y Derechos Humanos de la Nación</w:t>
      </w:r>
      <w:r w:rsidR="00881501" w:rsidRPr="00C367E3">
        <w:rPr>
          <w:rStyle w:val="Refdenotaalpie"/>
          <w:rFonts w:ascii="Verdana" w:hAnsi="Verdana"/>
          <w:color w:val="000000"/>
          <w:sz w:val="20"/>
          <w:szCs w:val="20"/>
        </w:rPr>
        <w:footnoteReference w:id="29"/>
      </w:r>
      <w:r w:rsidR="007A6150" w:rsidRPr="00C367E3">
        <w:rPr>
          <w:rFonts w:ascii="Verdana" w:hAnsi="Verdana"/>
          <w:color w:val="000000"/>
          <w:sz w:val="20"/>
          <w:szCs w:val="20"/>
        </w:rPr>
        <w:t>.</w:t>
      </w:r>
      <w:r w:rsidRPr="00C367E3">
        <w:rPr>
          <w:rFonts w:ascii="Verdana" w:hAnsi="Verdana"/>
          <w:color w:val="000000"/>
          <w:sz w:val="20"/>
          <w:szCs w:val="20"/>
        </w:rPr>
        <w:t xml:space="preserve"> </w:t>
      </w:r>
    </w:p>
    <w:p w:rsidR="007864FD" w:rsidRPr="00C367E3" w:rsidRDefault="004A293F" w:rsidP="007864FD">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En virtud de lo anterior, la Corte declara que el Estado ha dado cumplimiento total a las medidas de publicación</w:t>
      </w:r>
      <w:r w:rsidR="00E43B7E" w:rsidRPr="00C367E3">
        <w:rPr>
          <w:rFonts w:ascii="Verdana" w:hAnsi="Verdana"/>
          <w:color w:val="000000"/>
          <w:sz w:val="20"/>
          <w:szCs w:val="20"/>
        </w:rPr>
        <w:t xml:space="preserve"> y difusión de la Sentencia y </w:t>
      </w:r>
      <w:r w:rsidR="00DA5C7C" w:rsidRPr="00C367E3">
        <w:rPr>
          <w:rFonts w:ascii="Verdana" w:hAnsi="Verdana"/>
          <w:color w:val="000000"/>
          <w:sz w:val="20"/>
          <w:szCs w:val="20"/>
        </w:rPr>
        <w:t xml:space="preserve">de </w:t>
      </w:r>
      <w:r w:rsidR="00E43B7E" w:rsidRPr="00C367E3">
        <w:rPr>
          <w:rFonts w:ascii="Verdana" w:hAnsi="Verdana"/>
          <w:color w:val="000000"/>
          <w:sz w:val="20"/>
          <w:szCs w:val="20"/>
        </w:rPr>
        <w:t>su resumen oficial,</w:t>
      </w:r>
      <w:r w:rsidRPr="00C367E3">
        <w:rPr>
          <w:rFonts w:ascii="Verdana" w:hAnsi="Verdana"/>
          <w:color w:val="000000"/>
          <w:sz w:val="20"/>
          <w:szCs w:val="20"/>
        </w:rPr>
        <w:t xml:space="preserve"> ordenadas </w:t>
      </w:r>
      <w:r w:rsidR="008B7D63" w:rsidRPr="00C367E3">
        <w:rPr>
          <w:rFonts w:ascii="Verdana" w:hAnsi="Verdana"/>
          <w:color w:val="000000"/>
          <w:sz w:val="20"/>
          <w:szCs w:val="20"/>
        </w:rPr>
        <w:t>en</w:t>
      </w:r>
      <w:r w:rsidR="00E43B7E" w:rsidRPr="00C367E3">
        <w:rPr>
          <w:rFonts w:ascii="Verdana" w:hAnsi="Verdana"/>
          <w:color w:val="000000"/>
          <w:sz w:val="20"/>
          <w:szCs w:val="20"/>
        </w:rPr>
        <w:t xml:space="preserve"> el punto resolutivo noveno de</w:t>
      </w:r>
      <w:r w:rsidR="008B7D63" w:rsidRPr="00C367E3">
        <w:rPr>
          <w:rFonts w:ascii="Verdana" w:hAnsi="Verdana"/>
          <w:color w:val="000000"/>
          <w:sz w:val="20"/>
          <w:szCs w:val="20"/>
        </w:rPr>
        <w:t xml:space="preserve"> </w:t>
      </w:r>
      <w:r w:rsidRPr="00C367E3">
        <w:rPr>
          <w:rFonts w:ascii="Verdana" w:hAnsi="Verdana"/>
          <w:color w:val="000000"/>
          <w:sz w:val="20"/>
          <w:szCs w:val="20"/>
        </w:rPr>
        <w:t xml:space="preserve">la </w:t>
      </w:r>
      <w:r w:rsidR="00E43B7E" w:rsidRPr="00C367E3">
        <w:rPr>
          <w:rFonts w:ascii="Verdana" w:hAnsi="Verdana"/>
          <w:color w:val="000000"/>
          <w:sz w:val="20"/>
          <w:szCs w:val="20"/>
        </w:rPr>
        <w:t>misma</w:t>
      </w:r>
      <w:r w:rsidR="003C102E" w:rsidRPr="00C367E3">
        <w:rPr>
          <w:rFonts w:ascii="Verdana" w:hAnsi="Verdana"/>
          <w:color w:val="000000"/>
          <w:sz w:val="20"/>
          <w:szCs w:val="20"/>
        </w:rPr>
        <w:t>.</w:t>
      </w:r>
    </w:p>
    <w:p w:rsidR="007864FD" w:rsidRPr="00C367E3" w:rsidRDefault="007864FD" w:rsidP="00AD20E2">
      <w:pPr>
        <w:pStyle w:val="Ttulo1"/>
        <w:numPr>
          <w:ilvl w:val="0"/>
          <w:numId w:val="33"/>
        </w:numPr>
        <w:rPr>
          <w:rFonts w:ascii="Verdana" w:hAnsi="Verdana"/>
          <w:b w:val="0"/>
          <w:i/>
          <w:color w:val="000000"/>
          <w:sz w:val="20"/>
          <w:szCs w:val="20"/>
        </w:rPr>
      </w:pPr>
      <w:bookmarkStart w:id="4" w:name="_Toc473708794"/>
      <w:r w:rsidRPr="00C367E3">
        <w:rPr>
          <w:rFonts w:ascii="Verdana" w:eastAsia="Times New Roman" w:hAnsi="Verdana"/>
          <w:i/>
          <w:color w:val="000000"/>
          <w:sz w:val="20"/>
          <w:szCs w:val="20"/>
        </w:rPr>
        <w:t>Indemnizaciones por daño inmaterial y reintegro de costas y gastos</w:t>
      </w:r>
      <w:bookmarkEnd w:id="4"/>
    </w:p>
    <w:p w:rsidR="00B64906" w:rsidRPr="00C367E3" w:rsidRDefault="00B64906" w:rsidP="00B64906">
      <w:pPr>
        <w:spacing w:before="120" w:after="120" w:line="240" w:lineRule="auto"/>
        <w:ind w:left="567"/>
        <w:contextualSpacing/>
        <w:jc w:val="both"/>
        <w:rPr>
          <w:rFonts w:ascii="Verdana" w:hAnsi="Verdana"/>
          <w:i/>
          <w:color w:val="000000"/>
          <w:sz w:val="20"/>
          <w:szCs w:val="20"/>
        </w:rPr>
      </w:pPr>
    </w:p>
    <w:p w:rsidR="007864FD" w:rsidRPr="00C367E3" w:rsidRDefault="007864FD" w:rsidP="007864FD">
      <w:pPr>
        <w:spacing w:before="120" w:after="120" w:line="240" w:lineRule="auto"/>
        <w:ind w:left="567"/>
        <w:jc w:val="both"/>
        <w:rPr>
          <w:rFonts w:ascii="Verdana" w:hAnsi="Verdana"/>
          <w:i/>
          <w:color w:val="000000"/>
          <w:sz w:val="20"/>
          <w:szCs w:val="20"/>
        </w:rPr>
      </w:pPr>
      <w:r w:rsidRPr="00C367E3">
        <w:rPr>
          <w:rFonts w:ascii="Verdana" w:hAnsi="Verdana"/>
          <w:i/>
          <w:color w:val="000000"/>
          <w:sz w:val="20"/>
          <w:szCs w:val="20"/>
        </w:rPr>
        <w:t>D.1 Medida ordenada por la Corte</w:t>
      </w:r>
    </w:p>
    <w:p w:rsidR="007864FD" w:rsidRPr="00C367E3" w:rsidRDefault="00D2735E" w:rsidP="00227061">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En el pun</w:t>
      </w:r>
      <w:r w:rsidR="000204DD" w:rsidRPr="00C367E3">
        <w:rPr>
          <w:rFonts w:ascii="Verdana" w:hAnsi="Verdana"/>
          <w:color w:val="000000"/>
          <w:sz w:val="20"/>
          <w:szCs w:val="20"/>
        </w:rPr>
        <w:t>to</w:t>
      </w:r>
      <w:r w:rsidR="00C55030" w:rsidRPr="00C367E3">
        <w:rPr>
          <w:rFonts w:ascii="Verdana" w:hAnsi="Verdana"/>
          <w:color w:val="000000"/>
          <w:sz w:val="20"/>
          <w:szCs w:val="20"/>
        </w:rPr>
        <w:t xml:space="preserve"> resolutivo</w:t>
      </w:r>
      <w:r w:rsidR="000204DD" w:rsidRPr="00C367E3">
        <w:rPr>
          <w:rFonts w:ascii="Verdana" w:hAnsi="Verdana"/>
          <w:color w:val="000000"/>
          <w:sz w:val="20"/>
          <w:szCs w:val="20"/>
        </w:rPr>
        <w:t xml:space="preserve"> d</w:t>
      </w:r>
      <w:r w:rsidR="00C55030" w:rsidRPr="00C367E3">
        <w:rPr>
          <w:rFonts w:ascii="Verdana" w:hAnsi="Verdana"/>
          <w:color w:val="000000"/>
          <w:sz w:val="20"/>
          <w:szCs w:val="20"/>
        </w:rPr>
        <w:t>é</w:t>
      </w:r>
      <w:r w:rsidR="000204DD" w:rsidRPr="00C367E3">
        <w:rPr>
          <w:rFonts w:ascii="Verdana" w:hAnsi="Verdana"/>
          <w:color w:val="000000"/>
          <w:sz w:val="20"/>
          <w:szCs w:val="20"/>
        </w:rPr>
        <w:t xml:space="preserve">cimo </w:t>
      </w:r>
      <w:r w:rsidR="00E168DC" w:rsidRPr="00C367E3">
        <w:rPr>
          <w:rFonts w:ascii="Verdana" w:hAnsi="Verdana"/>
          <w:color w:val="000000"/>
          <w:sz w:val="20"/>
          <w:szCs w:val="20"/>
        </w:rPr>
        <w:t xml:space="preserve">y los párrafos 221 y 226 </w:t>
      </w:r>
      <w:r w:rsidRPr="00C367E3">
        <w:rPr>
          <w:rFonts w:ascii="Verdana" w:hAnsi="Verdana"/>
          <w:color w:val="000000"/>
          <w:sz w:val="20"/>
          <w:szCs w:val="20"/>
        </w:rPr>
        <w:t>de la Sentencia</w:t>
      </w:r>
      <w:r w:rsidR="0069563C" w:rsidRPr="00C367E3">
        <w:rPr>
          <w:rFonts w:ascii="Verdana" w:hAnsi="Verdana"/>
          <w:color w:val="000000"/>
          <w:sz w:val="20"/>
          <w:szCs w:val="20"/>
        </w:rPr>
        <w:t>,</w:t>
      </w:r>
      <w:r w:rsidRPr="00C367E3">
        <w:rPr>
          <w:rFonts w:ascii="Verdana" w:hAnsi="Verdana"/>
          <w:color w:val="000000"/>
          <w:sz w:val="20"/>
          <w:szCs w:val="20"/>
        </w:rPr>
        <w:t xml:space="preserve"> </w:t>
      </w:r>
      <w:r w:rsidR="00851940" w:rsidRPr="00C367E3">
        <w:rPr>
          <w:rFonts w:ascii="Verdana" w:hAnsi="Verdana"/>
          <w:color w:val="000000"/>
          <w:sz w:val="20"/>
          <w:szCs w:val="20"/>
        </w:rPr>
        <w:t xml:space="preserve">se </w:t>
      </w:r>
      <w:r w:rsidRPr="00C367E3">
        <w:rPr>
          <w:rFonts w:ascii="Verdana" w:hAnsi="Verdana"/>
          <w:color w:val="000000"/>
          <w:sz w:val="20"/>
          <w:szCs w:val="20"/>
        </w:rPr>
        <w:t>dispuso</w:t>
      </w:r>
      <w:r w:rsidR="00DA5C7C" w:rsidRPr="00C367E3">
        <w:rPr>
          <w:rFonts w:ascii="Verdana" w:hAnsi="Verdana"/>
          <w:color w:val="000000"/>
          <w:sz w:val="20"/>
          <w:szCs w:val="20"/>
        </w:rPr>
        <w:t>, respectivamente,</w:t>
      </w:r>
      <w:r w:rsidRPr="00C367E3">
        <w:rPr>
          <w:rFonts w:ascii="Verdana" w:hAnsi="Verdana"/>
          <w:color w:val="000000"/>
          <w:sz w:val="20"/>
          <w:szCs w:val="20"/>
        </w:rPr>
        <w:t xml:space="preserve"> </w:t>
      </w:r>
      <w:r w:rsidR="00C55030" w:rsidRPr="00C367E3">
        <w:rPr>
          <w:rFonts w:ascii="Verdana" w:hAnsi="Verdana"/>
          <w:color w:val="000000"/>
          <w:sz w:val="20"/>
          <w:szCs w:val="20"/>
        </w:rPr>
        <w:t>que</w:t>
      </w:r>
      <w:r w:rsidR="000204DD" w:rsidRPr="00C367E3">
        <w:rPr>
          <w:rFonts w:ascii="Verdana" w:hAnsi="Verdana"/>
          <w:color w:val="000000"/>
          <w:sz w:val="20"/>
          <w:szCs w:val="20"/>
        </w:rPr>
        <w:t xml:space="preserve"> </w:t>
      </w:r>
      <w:r w:rsidR="00E168DC" w:rsidRPr="00E168DC">
        <w:rPr>
          <w:rFonts w:ascii="Verdana" w:eastAsia="Times New Roman" w:hAnsi="Verdana"/>
          <w:sz w:val="20"/>
          <w:szCs w:val="20"/>
        </w:rPr>
        <w:t>e</w:t>
      </w:r>
      <w:r w:rsidR="000204DD" w:rsidRPr="00E168DC">
        <w:rPr>
          <w:rFonts w:ascii="Verdana" w:eastAsia="Times New Roman" w:hAnsi="Verdana"/>
          <w:sz w:val="20"/>
          <w:szCs w:val="20"/>
        </w:rPr>
        <w:t>l Estado deb</w:t>
      </w:r>
      <w:r w:rsidR="00DA5C7C">
        <w:rPr>
          <w:rFonts w:ascii="Verdana" w:eastAsia="Times New Roman" w:hAnsi="Verdana"/>
          <w:sz w:val="20"/>
          <w:szCs w:val="20"/>
        </w:rPr>
        <w:t>ía</w:t>
      </w:r>
      <w:r w:rsidR="000204DD" w:rsidRPr="00E168DC">
        <w:rPr>
          <w:rFonts w:ascii="Verdana" w:eastAsia="Times New Roman" w:hAnsi="Verdana"/>
          <w:sz w:val="20"/>
          <w:szCs w:val="20"/>
        </w:rPr>
        <w:t xml:space="preserve"> pagar</w:t>
      </w:r>
      <w:r w:rsidR="00A31A4B" w:rsidRPr="00E168DC">
        <w:rPr>
          <w:rFonts w:ascii="Verdana" w:eastAsia="Times New Roman" w:hAnsi="Verdana"/>
          <w:sz w:val="20"/>
          <w:szCs w:val="20"/>
        </w:rPr>
        <w:t xml:space="preserve"> a </w:t>
      </w:r>
      <w:r w:rsidR="00E168DC" w:rsidRPr="00E168DC">
        <w:rPr>
          <w:rFonts w:ascii="Verdana" w:eastAsia="Times New Roman" w:hAnsi="Verdana"/>
          <w:sz w:val="20"/>
          <w:szCs w:val="20"/>
        </w:rPr>
        <w:t xml:space="preserve">cada uno de </w:t>
      </w:r>
      <w:r w:rsidR="00A31A4B" w:rsidRPr="00E168DC">
        <w:rPr>
          <w:rFonts w:ascii="Verdana" w:eastAsia="Times New Roman" w:hAnsi="Verdana"/>
          <w:sz w:val="20"/>
          <w:szCs w:val="20"/>
        </w:rPr>
        <w:t xml:space="preserve">los señores </w:t>
      </w:r>
      <w:proofErr w:type="spellStart"/>
      <w:r w:rsidR="00A31A4B" w:rsidRPr="00E168DC">
        <w:rPr>
          <w:rFonts w:ascii="Verdana" w:eastAsia="Times New Roman" w:hAnsi="Verdana"/>
          <w:sz w:val="20"/>
          <w:szCs w:val="20"/>
        </w:rPr>
        <w:t>Mémoli</w:t>
      </w:r>
      <w:proofErr w:type="spellEnd"/>
      <w:r w:rsidR="00E168DC">
        <w:rPr>
          <w:rFonts w:ascii="Verdana" w:eastAsia="Times New Roman" w:hAnsi="Verdana"/>
          <w:sz w:val="20"/>
          <w:szCs w:val="20"/>
        </w:rPr>
        <w:t xml:space="preserve"> la suma de</w:t>
      </w:r>
      <w:r w:rsidR="000204DD" w:rsidRPr="00E168DC">
        <w:rPr>
          <w:rFonts w:ascii="Verdana" w:eastAsia="Times New Roman" w:hAnsi="Verdana"/>
          <w:sz w:val="20"/>
          <w:szCs w:val="20"/>
        </w:rPr>
        <w:t xml:space="preserve"> </w:t>
      </w:r>
      <w:r w:rsidR="00E168DC" w:rsidRPr="00E168DC">
        <w:rPr>
          <w:rFonts w:ascii="Verdana" w:eastAsia="Times New Roman" w:hAnsi="Verdana"/>
          <w:sz w:val="20"/>
          <w:szCs w:val="20"/>
        </w:rPr>
        <w:t xml:space="preserve">US$ 15.000,00 </w:t>
      </w:r>
      <w:r w:rsidR="00E168DC" w:rsidRPr="00E168DC">
        <w:rPr>
          <w:rFonts w:ascii="Verdana" w:hAnsi="Verdana"/>
          <w:spacing w:val="-2"/>
          <w:sz w:val="20"/>
          <w:szCs w:val="20"/>
        </w:rPr>
        <w:t xml:space="preserve">(quince mil dólares de los Estados Unidos de América) </w:t>
      </w:r>
      <w:r w:rsidR="00E168DC" w:rsidRPr="00E168DC">
        <w:rPr>
          <w:rFonts w:ascii="Verdana" w:eastAsia="Times New Roman" w:hAnsi="Verdana"/>
          <w:sz w:val="20"/>
          <w:szCs w:val="20"/>
        </w:rPr>
        <w:t xml:space="preserve">por concepto de indemnizaciones por daño inmaterial, y </w:t>
      </w:r>
      <w:r w:rsidR="00E168DC">
        <w:rPr>
          <w:rFonts w:ascii="Verdana" w:eastAsia="Times New Roman" w:hAnsi="Verdana"/>
          <w:sz w:val="20"/>
          <w:szCs w:val="20"/>
        </w:rPr>
        <w:t xml:space="preserve">la suma de </w:t>
      </w:r>
      <w:r w:rsidR="00E168DC" w:rsidRPr="00E168DC">
        <w:rPr>
          <w:rFonts w:ascii="Verdana" w:eastAsia="Times New Roman" w:hAnsi="Verdana"/>
          <w:sz w:val="20"/>
          <w:szCs w:val="20"/>
        </w:rPr>
        <w:t xml:space="preserve">US$8.000,00 </w:t>
      </w:r>
      <w:r w:rsidR="00E168DC" w:rsidRPr="00E168DC">
        <w:rPr>
          <w:rFonts w:ascii="Verdana" w:hAnsi="Verdana"/>
          <w:spacing w:val="-2"/>
          <w:sz w:val="20"/>
          <w:szCs w:val="20"/>
          <w:lang w:val="es-CR"/>
        </w:rPr>
        <w:t xml:space="preserve">(ocho mil dólares de los Estados Unidos de América) al señor Pablo </w:t>
      </w:r>
      <w:proofErr w:type="spellStart"/>
      <w:r w:rsidR="00E168DC" w:rsidRPr="00E168DC">
        <w:rPr>
          <w:rFonts w:ascii="Verdana" w:hAnsi="Verdana"/>
          <w:spacing w:val="-2"/>
          <w:sz w:val="20"/>
          <w:szCs w:val="20"/>
          <w:lang w:val="es-CR"/>
        </w:rPr>
        <w:t>Mémoli</w:t>
      </w:r>
      <w:proofErr w:type="spellEnd"/>
      <w:r w:rsidR="00E168DC" w:rsidRPr="00E168DC">
        <w:rPr>
          <w:rFonts w:ascii="Verdana" w:hAnsi="Verdana"/>
          <w:spacing w:val="-2"/>
          <w:sz w:val="20"/>
          <w:szCs w:val="20"/>
          <w:lang w:val="es-CR"/>
        </w:rPr>
        <w:t>, por concepto de</w:t>
      </w:r>
      <w:r w:rsidR="00E168DC" w:rsidRPr="00E168DC">
        <w:rPr>
          <w:rFonts w:ascii="Verdana" w:eastAsia="Times New Roman" w:hAnsi="Verdana"/>
          <w:sz w:val="20"/>
          <w:szCs w:val="20"/>
        </w:rPr>
        <w:t xml:space="preserve"> </w:t>
      </w:r>
      <w:r w:rsidR="000204DD" w:rsidRPr="00E168DC">
        <w:rPr>
          <w:rFonts w:ascii="Verdana" w:eastAsia="Times New Roman" w:hAnsi="Verdana"/>
          <w:sz w:val="20"/>
          <w:szCs w:val="20"/>
        </w:rPr>
        <w:t>reintegro de costas y gastos</w:t>
      </w:r>
      <w:r w:rsidR="000204DD" w:rsidRPr="00E168DC">
        <w:rPr>
          <w:rFonts w:ascii="Verdana" w:hAnsi="Verdana"/>
          <w:sz w:val="20"/>
          <w:szCs w:val="20"/>
        </w:rPr>
        <w:t>”</w:t>
      </w:r>
      <w:r w:rsidR="00C55030" w:rsidRPr="00E168DC">
        <w:rPr>
          <w:rFonts w:ascii="Verdana" w:hAnsi="Verdana"/>
          <w:sz w:val="20"/>
          <w:szCs w:val="20"/>
        </w:rPr>
        <w:t>.</w:t>
      </w:r>
      <w:r w:rsidR="00A31A4B" w:rsidRPr="00E168DC">
        <w:rPr>
          <w:rFonts w:ascii="Verdana" w:hAnsi="Verdana"/>
          <w:sz w:val="20"/>
          <w:szCs w:val="20"/>
        </w:rPr>
        <w:t xml:space="preserve"> </w:t>
      </w:r>
    </w:p>
    <w:p w:rsidR="00B80D8D" w:rsidRPr="00C367E3" w:rsidRDefault="00B80D8D" w:rsidP="00B80D8D">
      <w:pPr>
        <w:pStyle w:val="Prrafodelista"/>
        <w:tabs>
          <w:tab w:val="left" w:pos="0"/>
        </w:tabs>
        <w:spacing w:before="120" w:after="120" w:line="240" w:lineRule="auto"/>
        <w:ind w:left="0"/>
        <w:contextualSpacing w:val="0"/>
        <w:jc w:val="both"/>
        <w:rPr>
          <w:rFonts w:ascii="Verdana" w:hAnsi="Verdana"/>
          <w:color w:val="000000"/>
          <w:sz w:val="20"/>
          <w:szCs w:val="20"/>
        </w:rPr>
      </w:pPr>
    </w:p>
    <w:p w:rsidR="007864FD" w:rsidRPr="00C367E3" w:rsidRDefault="00DA5C7C" w:rsidP="007864FD">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Pr>
          <w:rFonts w:ascii="Verdana" w:hAnsi="Verdana"/>
          <w:sz w:val="20"/>
          <w:szCs w:val="20"/>
        </w:rPr>
        <w:t>Además,</w:t>
      </w:r>
      <w:r w:rsidR="00A31A4B" w:rsidRPr="007864FD">
        <w:rPr>
          <w:rFonts w:ascii="Verdana" w:hAnsi="Verdana"/>
          <w:sz w:val="20"/>
          <w:szCs w:val="20"/>
        </w:rPr>
        <w:t xml:space="preserve"> </w:t>
      </w:r>
      <w:r w:rsidR="00AB1F7F">
        <w:rPr>
          <w:rFonts w:ascii="Verdana" w:hAnsi="Verdana"/>
          <w:sz w:val="20"/>
          <w:szCs w:val="20"/>
        </w:rPr>
        <w:t xml:space="preserve">en </w:t>
      </w:r>
      <w:r w:rsidR="00A31A4B" w:rsidRPr="007864FD">
        <w:rPr>
          <w:rFonts w:ascii="Verdana" w:hAnsi="Verdana"/>
          <w:sz w:val="20"/>
          <w:szCs w:val="20"/>
        </w:rPr>
        <w:t>los párrafos 227</w:t>
      </w:r>
      <w:r w:rsidR="00155049" w:rsidRPr="007864FD">
        <w:rPr>
          <w:rFonts w:ascii="Verdana" w:hAnsi="Verdana"/>
          <w:sz w:val="20"/>
          <w:szCs w:val="20"/>
        </w:rPr>
        <w:t xml:space="preserve"> a 232</w:t>
      </w:r>
      <w:r w:rsidR="00A31A4B" w:rsidRPr="007864FD">
        <w:rPr>
          <w:rFonts w:ascii="Verdana" w:hAnsi="Verdana"/>
          <w:sz w:val="20"/>
          <w:szCs w:val="20"/>
        </w:rPr>
        <w:t xml:space="preserve"> de la Sentencia</w:t>
      </w:r>
      <w:r w:rsidR="007864FD">
        <w:rPr>
          <w:rFonts w:ascii="Verdana" w:hAnsi="Verdana"/>
          <w:sz w:val="20"/>
          <w:szCs w:val="20"/>
        </w:rPr>
        <w:t>,</w:t>
      </w:r>
      <w:r w:rsidR="00A31A4B" w:rsidRPr="007864FD">
        <w:rPr>
          <w:rFonts w:ascii="Verdana" w:hAnsi="Verdana"/>
          <w:sz w:val="20"/>
          <w:szCs w:val="20"/>
        </w:rPr>
        <w:t xml:space="preserve"> la Corte</w:t>
      </w:r>
      <w:r w:rsidR="00155049" w:rsidRPr="007864FD">
        <w:rPr>
          <w:rFonts w:ascii="Verdana" w:hAnsi="Verdana"/>
          <w:sz w:val="20"/>
          <w:szCs w:val="20"/>
        </w:rPr>
        <w:t xml:space="preserve"> se refirió a la “</w:t>
      </w:r>
      <w:r>
        <w:rPr>
          <w:rFonts w:ascii="Verdana" w:hAnsi="Verdana"/>
          <w:sz w:val="20"/>
          <w:szCs w:val="20"/>
        </w:rPr>
        <w:t>[</w:t>
      </w:r>
      <w:r w:rsidR="00155049" w:rsidRPr="007864FD">
        <w:rPr>
          <w:rFonts w:ascii="Verdana" w:hAnsi="Verdana"/>
          <w:sz w:val="20"/>
          <w:szCs w:val="20"/>
        </w:rPr>
        <w:t>m</w:t>
      </w:r>
      <w:r>
        <w:rPr>
          <w:rFonts w:ascii="Verdana" w:hAnsi="Verdana"/>
          <w:sz w:val="20"/>
          <w:szCs w:val="20"/>
        </w:rPr>
        <w:t>]</w:t>
      </w:r>
      <w:proofErr w:type="spellStart"/>
      <w:r w:rsidR="00155049" w:rsidRPr="007864FD">
        <w:rPr>
          <w:rFonts w:ascii="Verdana" w:hAnsi="Verdana"/>
          <w:sz w:val="20"/>
          <w:szCs w:val="20"/>
        </w:rPr>
        <w:t>odalidad</w:t>
      </w:r>
      <w:proofErr w:type="spellEnd"/>
      <w:r w:rsidR="00155049" w:rsidRPr="007864FD">
        <w:rPr>
          <w:rFonts w:ascii="Verdana" w:hAnsi="Verdana"/>
          <w:sz w:val="20"/>
          <w:szCs w:val="20"/>
        </w:rPr>
        <w:t xml:space="preserve"> de cumplimiento de los </w:t>
      </w:r>
      <w:r w:rsidR="00634730" w:rsidRPr="007864FD">
        <w:rPr>
          <w:rFonts w:ascii="Verdana" w:hAnsi="Verdana"/>
          <w:sz w:val="20"/>
          <w:szCs w:val="20"/>
        </w:rPr>
        <w:t xml:space="preserve">[referidos] </w:t>
      </w:r>
      <w:r w:rsidR="00155049" w:rsidRPr="007864FD">
        <w:rPr>
          <w:rFonts w:ascii="Verdana" w:hAnsi="Verdana"/>
          <w:sz w:val="20"/>
          <w:szCs w:val="20"/>
        </w:rPr>
        <w:t xml:space="preserve">pagos”. </w:t>
      </w:r>
      <w:r w:rsidR="00AB1F7F">
        <w:rPr>
          <w:rFonts w:ascii="Verdana" w:hAnsi="Verdana"/>
          <w:sz w:val="20"/>
          <w:szCs w:val="20"/>
        </w:rPr>
        <w:t>E</w:t>
      </w:r>
      <w:r w:rsidR="00155049" w:rsidRPr="007864FD">
        <w:rPr>
          <w:rFonts w:ascii="Verdana" w:hAnsi="Verdana"/>
          <w:sz w:val="20"/>
          <w:szCs w:val="20"/>
        </w:rPr>
        <w:t>ntre otros aspectos,</w:t>
      </w:r>
      <w:r w:rsidR="00A31A4B" w:rsidRPr="007864FD">
        <w:rPr>
          <w:rFonts w:ascii="Verdana" w:hAnsi="Verdana"/>
          <w:sz w:val="20"/>
          <w:szCs w:val="20"/>
        </w:rPr>
        <w:t xml:space="preserve"> </w:t>
      </w:r>
      <w:r w:rsidR="00AB1F7F">
        <w:rPr>
          <w:rFonts w:ascii="Verdana" w:hAnsi="Verdana"/>
          <w:sz w:val="20"/>
          <w:szCs w:val="20"/>
        </w:rPr>
        <w:t xml:space="preserve">estableció </w:t>
      </w:r>
      <w:r w:rsidR="00A31A4B" w:rsidRPr="007864FD">
        <w:rPr>
          <w:rFonts w:ascii="Verdana" w:hAnsi="Verdana"/>
          <w:sz w:val="20"/>
          <w:szCs w:val="20"/>
        </w:rPr>
        <w:t xml:space="preserve">que </w:t>
      </w:r>
      <w:r w:rsidR="00155049" w:rsidRPr="007864FD">
        <w:rPr>
          <w:rFonts w:ascii="Verdana" w:hAnsi="Verdana"/>
          <w:sz w:val="20"/>
          <w:szCs w:val="20"/>
        </w:rPr>
        <w:t>debían ser realizados “en el plazo de un año, contado a partir de la notificación de la […] Sentencia”</w:t>
      </w:r>
      <w:r w:rsidR="00155049">
        <w:rPr>
          <w:rStyle w:val="Refdenotaalpie"/>
          <w:rFonts w:ascii="Verdana" w:hAnsi="Verdana"/>
          <w:sz w:val="20"/>
          <w:szCs w:val="20"/>
        </w:rPr>
        <w:footnoteReference w:id="30"/>
      </w:r>
      <w:r w:rsidR="00155049" w:rsidRPr="007864FD">
        <w:rPr>
          <w:rFonts w:ascii="Verdana" w:hAnsi="Verdana"/>
          <w:sz w:val="20"/>
          <w:szCs w:val="20"/>
        </w:rPr>
        <w:t>, y que si el Estado “</w:t>
      </w:r>
      <w:proofErr w:type="spellStart"/>
      <w:proofErr w:type="gramStart"/>
      <w:r w:rsidR="00155049" w:rsidRPr="007864FD">
        <w:rPr>
          <w:rFonts w:ascii="Verdana" w:hAnsi="Verdana"/>
          <w:sz w:val="20"/>
          <w:szCs w:val="20"/>
        </w:rPr>
        <w:t>incurr</w:t>
      </w:r>
      <w:proofErr w:type="spellEnd"/>
      <w:r>
        <w:rPr>
          <w:rFonts w:ascii="Verdana" w:hAnsi="Verdana"/>
          <w:sz w:val="20"/>
          <w:szCs w:val="20"/>
        </w:rPr>
        <w:t>[</w:t>
      </w:r>
      <w:proofErr w:type="spellStart"/>
      <w:proofErr w:type="gramEnd"/>
      <w:r>
        <w:rPr>
          <w:rFonts w:ascii="Verdana" w:hAnsi="Verdana"/>
          <w:sz w:val="20"/>
          <w:szCs w:val="20"/>
        </w:rPr>
        <w:t>í</w:t>
      </w:r>
      <w:r w:rsidR="00155049" w:rsidRPr="007864FD">
        <w:rPr>
          <w:rFonts w:ascii="Verdana" w:hAnsi="Verdana"/>
          <w:sz w:val="20"/>
          <w:szCs w:val="20"/>
        </w:rPr>
        <w:t>a</w:t>
      </w:r>
      <w:proofErr w:type="spellEnd"/>
      <w:r>
        <w:rPr>
          <w:rFonts w:ascii="Verdana" w:hAnsi="Verdana"/>
          <w:sz w:val="20"/>
          <w:szCs w:val="20"/>
        </w:rPr>
        <w:t>]</w:t>
      </w:r>
      <w:r w:rsidR="00155049" w:rsidRPr="007864FD">
        <w:rPr>
          <w:rFonts w:ascii="Verdana" w:hAnsi="Verdana"/>
          <w:sz w:val="20"/>
          <w:szCs w:val="20"/>
        </w:rPr>
        <w:t xml:space="preserve"> en mora, </w:t>
      </w:r>
      <w:proofErr w:type="spellStart"/>
      <w:r w:rsidR="00155049" w:rsidRPr="007864FD">
        <w:rPr>
          <w:rFonts w:ascii="Verdana" w:hAnsi="Verdana"/>
          <w:sz w:val="20"/>
          <w:szCs w:val="20"/>
        </w:rPr>
        <w:t>deb</w:t>
      </w:r>
      <w:proofErr w:type="spellEnd"/>
      <w:r w:rsidR="00155049" w:rsidRPr="007864FD">
        <w:rPr>
          <w:rFonts w:ascii="Verdana" w:hAnsi="Verdana"/>
          <w:sz w:val="20"/>
          <w:szCs w:val="20"/>
        </w:rPr>
        <w:t>[</w:t>
      </w:r>
      <w:proofErr w:type="spellStart"/>
      <w:r w:rsidR="00155049" w:rsidRPr="007864FD">
        <w:rPr>
          <w:rFonts w:ascii="Verdana" w:hAnsi="Verdana"/>
          <w:sz w:val="20"/>
          <w:szCs w:val="20"/>
        </w:rPr>
        <w:t>ía</w:t>
      </w:r>
      <w:proofErr w:type="spellEnd"/>
      <w:r w:rsidR="00155049" w:rsidRPr="007864FD">
        <w:rPr>
          <w:rFonts w:ascii="Verdana" w:hAnsi="Verdana"/>
          <w:sz w:val="20"/>
          <w:szCs w:val="20"/>
        </w:rPr>
        <w:t>] pagar un interés sobre la cantidad adeudada correspondiente al interés bancario moratorio en Argentina”</w:t>
      </w:r>
      <w:r w:rsidR="00155049">
        <w:rPr>
          <w:rStyle w:val="Refdenotaalpie"/>
          <w:rFonts w:ascii="Verdana" w:hAnsi="Verdana"/>
          <w:sz w:val="20"/>
          <w:szCs w:val="20"/>
        </w:rPr>
        <w:footnoteReference w:id="31"/>
      </w:r>
      <w:r w:rsidR="00155049" w:rsidRPr="007864FD">
        <w:rPr>
          <w:rFonts w:ascii="Verdana" w:hAnsi="Verdana"/>
          <w:sz w:val="20"/>
          <w:szCs w:val="20"/>
        </w:rPr>
        <w:t xml:space="preserve">. Además, dispuso que el Estado debía realizar dichos pagos “en dólares de los Estados Unidos de América o su equivalente en moneda nacional, utilizando para el cálculo respectivo el tipo de cambio que se </w:t>
      </w:r>
      <w:proofErr w:type="spellStart"/>
      <w:proofErr w:type="gramStart"/>
      <w:r w:rsidR="00155049" w:rsidRPr="007864FD">
        <w:rPr>
          <w:rFonts w:ascii="Verdana" w:hAnsi="Verdana"/>
          <w:sz w:val="20"/>
          <w:szCs w:val="20"/>
        </w:rPr>
        <w:t>enc</w:t>
      </w:r>
      <w:proofErr w:type="spellEnd"/>
      <w:r w:rsidR="00155049" w:rsidRPr="007864FD">
        <w:rPr>
          <w:rFonts w:ascii="Verdana" w:hAnsi="Verdana"/>
          <w:sz w:val="20"/>
          <w:szCs w:val="20"/>
        </w:rPr>
        <w:t>[</w:t>
      </w:r>
      <w:proofErr w:type="spellStart"/>
      <w:proofErr w:type="gramEnd"/>
      <w:r w:rsidR="00155049" w:rsidRPr="007864FD">
        <w:rPr>
          <w:rFonts w:ascii="Verdana" w:hAnsi="Verdana"/>
          <w:sz w:val="20"/>
          <w:szCs w:val="20"/>
        </w:rPr>
        <w:t>ontrara</w:t>
      </w:r>
      <w:proofErr w:type="spellEnd"/>
      <w:r w:rsidR="00155049" w:rsidRPr="007864FD">
        <w:rPr>
          <w:rFonts w:ascii="Verdana" w:hAnsi="Verdana"/>
          <w:sz w:val="20"/>
          <w:szCs w:val="20"/>
        </w:rPr>
        <w:t>] vigente en la bolsa de Nueva York, Estados Unidos de América, el día anterior al pago”</w:t>
      </w:r>
      <w:r w:rsidR="00155049">
        <w:rPr>
          <w:rStyle w:val="Refdenotaalpie"/>
          <w:rFonts w:ascii="Verdana" w:hAnsi="Verdana"/>
          <w:sz w:val="20"/>
          <w:szCs w:val="20"/>
        </w:rPr>
        <w:footnoteReference w:id="32"/>
      </w:r>
      <w:r w:rsidR="00155049" w:rsidRPr="007864FD">
        <w:rPr>
          <w:rFonts w:ascii="Verdana" w:hAnsi="Verdana"/>
          <w:sz w:val="20"/>
          <w:szCs w:val="20"/>
        </w:rPr>
        <w:t>.</w:t>
      </w:r>
    </w:p>
    <w:p w:rsidR="00B80D8D" w:rsidRPr="00C367E3" w:rsidRDefault="00B80D8D" w:rsidP="00B80D8D">
      <w:pPr>
        <w:pStyle w:val="Prrafodelista"/>
        <w:rPr>
          <w:rFonts w:ascii="Verdana" w:hAnsi="Verdana"/>
          <w:color w:val="000000"/>
          <w:sz w:val="20"/>
          <w:szCs w:val="20"/>
        </w:rPr>
      </w:pPr>
    </w:p>
    <w:p w:rsidR="007864FD" w:rsidRPr="00C367E3" w:rsidRDefault="007864FD" w:rsidP="007864FD">
      <w:pPr>
        <w:spacing w:before="120" w:after="120" w:line="240" w:lineRule="auto"/>
        <w:ind w:left="567"/>
        <w:jc w:val="both"/>
        <w:rPr>
          <w:rFonts w:ascii="Verdana" w:hAnsi="Verdana"/>
          <w:i/>
          <w:color w:val="000000"/>
          <w:sz w:val="20"/>
          <w:szCs w:val="20"/>
        </w:rPr>
      </w:pPr>
      <w:r w:rsidRPr="00C367E3">
        <w:rPr>
          <w:rFonts w:ascii="Verdana" w:hAnsi="Verdana"/>
          <w:i/>
          <w:color w:val="000000"/>
          <w:sz w:val="20"/>
          <w:szCs w:val="20"/>
        </w:rPr>
        <w:t>D.2. Consideraciones de la Corte</w:t>
      </w:r>
    </w:p>
    <w:p w:rsidR="001B771E" w:rsidRPr="00C367E3" w:rsidRDefault="001B771E" w:rsidP="007864FD">
      <w:pPr>
        <w:spacing w:before="120" w:after="120" w:line="240" w:lineRule="auto"/>
        <w:ind w:left="567"/>
        <w:jc w:val="both"/>
        <w:rPr>
          <w:rFonts w:ascii="Verdana" w:hAnsi="Verdana"/>
          <w:i/>
          <w:color w:val="000000"/>
          <w:sz w:val="20"/>
          <w:szCs w:val="20"/>
        </w:rPr>
      </w:pPr>
    </w:p>
    <w:p w:rsidR="00CA0AF5" w:rsidRPr="00C367E3" w:rsidRDefault="00E168DC" w:rsidP="008F731C">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El </w:t>
      </w:r>
      <w:r w:rsidRPr="00C367E3">
        <w:rPr>
          <w:rFonts w:ascii="Verdana" w:hAnsi="Verdana"/>
          <w:i/>
          <w:color w:val="000000"/>
          <w:sz w:val="20"/>
          <w:szCs w:val="20"/>
        </w:rPr>
        <w:t>Estado</w:t>
      </w:r>
      <w:r w:rsidRPr="00C367E3">
        <w:rPr>
          <w:rFonts w:ascii="Verdana" w:hAnsi="Verdana"/>
          <w:color w:val="000000"/>
          <w:sz w:val="20"/>
          <w:szCs w:val="20"/>
        </w:rPr>
        <w:t xml:space="preserve"> alegó que “el pago de las cantidades fijadas por concepto de indemnizaciones por daño inmaterial y por el reintegro de costas y gastos fue efectivamente realizado”.</w:t>
      </w:r>
      <w:r w:rsidR="00CC23A8" w:rsidRPr="00C367E3">
        <w:rPr>
          <w:rFonts w:ascii="Verdana" w:hAnsi="Verdana"/>
          <w:color w:val="000000"/>
          <w:sz w:val="20"/>
          <w:szCs w:val="20"/>
        </w:rPr>
        <w:t xml:space="preserve"> </w:t>
      </w:r>
    </w:p>
    <w:p w:rsidR="00B80D8D" w:rsidRPr="00C367E3" w:rsidRDefault="00B80D8D" w:rsidP="00B80D8D">
      <w:pPr>
        <w:pStyle w:val="Prrafodelista"/>
        <w:tabs>
          <w:tab w:val="left" w:pos="0"/>
        </w:tabs>
        <w:spacing w:before="120" w:after="120" w:line="240" w:lineRule="auto"/>
        <w:ind w:left="0"/>
        <w:contextualSpacing w:val="0"/>
        <w:jc w:val="both"/>
        <w:rPr>
          <w:rFonts w:ascii="Verdana" w:hAnsi="Verdana"/>
          <w:color w:val="000000"/>
          <w:sz w:val="20"/>
          <w:szCs w:val="20"/>
        </w:rPr>
      </w:pPr>
    </w:p>
    <w:p w:rsidR="008F731C" w:rsidRPr="00C367E3" w:rsidRDefault="005C162D" w:rsidP="008F731C">
      <w:pPr>
        <w:pStyle w:val="Prrafodelista"/>
        <w:numPr>
          <w:ilvl w:val="0"/>
          <w:numId w:val="17"/>
        </w:numPr>
        <w:tabs>
          <w:tab w:val="left" w:pos="0"/>
        </w:tabs>
        <w:spacing w:before="120" w:after="120" w:line="240" w:lineRule="auto"/>
        <w:ind w:left="0" w:firstLine="0"/>
        <w:contextualSpacing w:val="0"/>
        <w:jc w:val="both"/>
        <w:rPr>
          <w:rFonts w:ascii="Verdana" w:hAnsi="Verdana"/>
          <w:color w:val="000000"/>
          <w:sz w:val="20"/>
          <w:szCs w:val="20"/>
        </w:rPr>
      </w:pPr>
      <w:r w:rsidRPr="00C367E3">
        <w:rPr>
          <w:rFonts w:ascii="Verdana" w:hAnsi="Verdana"/>
          <w:color w:val="000000"/>
          <w:sz w:val="20"/>
          <w:szCs w:val="20"/>
        </w:rPr>
        <w:t xml:space="preserve">Con base </w:t>
      </w:r>
      <w:r w:rsidR="00A67767" w:rsidRPr="00C367E3">
        <w:rPr>
          <w:rFonts w:ascii="Verdana" w:hAnsi="Verdana"/>
          <w:color w:val="000000"/>
          <w:sz w:val="20"/>
          <w:szCs w:val="20"/>
        </w:rPr>
        <w:t xml:space="preserve">en </w:t>
      </w:r>
      <w:r w:rsidR="000B307A" w:rsidRPr="00C367E3">
        <w:rPr>
          <w:rFonts w:ascii="Verdana" w:hAnsi="Verdana"/>
          <w:color w:val="000000"/>
          <w:sz w:val="20"/>
          <w:szCs w:val="20"/>
        </w:rPr>
        <w:t xml:space="preserve">los comprobantes aportados por </w:t>
      </w:r>
      <w:r w:rsidR="00E168DC" w:rsidRPr="00C367E3">
        <w:rPr>
          <w:rFonts w:ascii="Verdana" w:hAnsi="Verdana"/>
          <w:color w:val="000000"/>
          <w:sz w:val="20"/>
          <w:szCs w:val="20"/>
        </w:rPr>
        <w:t>Argentina</w:t>
      </w:r>
      <w:r w:rsidR="000B307A" w:rsidRPr="00C367E3">
        <w:rPr>
          <w:rFonts w:ascii="Verdana" w:hAnsi="Verdana"/>
          <w:color w:val="000000"/>
          <w:sz w:val="20"/>
          <w:szCs w:val="20"/>
        </w:rPr>
        <w:t xml:space="preserve">, </w:t>
      </w:r>
      <w:r w:rsidR="00DA5C7C" w:rsidRPr="00C367E3">
        <w:rPr>
          <w:rFonts w:ascii="Verdana" w:hAnsi="Verdana"/>
          <w:color w:val="000000"/>
          <w:sz w:val="20"/>
          <w:szCs w:val="20"/>
        </w:rPr>
        <w:t>e</w:t>
      </w:r>
      <w:r w:rsidR="000B307A" w:rsidRPr="00C367E3">
        <w:rPr>
          <w:rFonts w:ascii="Verdana" w:hAnsi="Verdana"/>
          <w:color w:val="000000"/>
          <w:sz w:val="20"/>
          <w:szCs w:val="20"/>
        </w:rPr>
        <w:t>l</w:t>
      </w:r>
      <w:r w:rsidR="00DA5C7C" w:rsidRPr="00C367E3">
        <w:rPr>
          <w:rFonts w:ascii="Verdana" w:hAnsi="Verdana"/>
          <w:color w:val="000000"/>
          <w:sz w:val="20"/>
          <w:szCs w:val="20"/>
        </w:rPr>
        <w:t xml:space="preserve"> Tribunal</w:t>
      </w:r>
      <w:r w:rsidR="000B307A" w:rsidRPr="00C367E3">
        <w:rPr>
          <w:rFonts w:ascii="Verdana" w:hAnsi="Verdana"/>
          <w:color w:val="000000"/>
          <w:sz w:val="20"/>
          <w:szCs w:val="20"/>
        </w:rPr>
        <w:t xml:space="preserve"> constata</w:t>
      </w:r>
      <w:r w:rsidR="007E769C" w:rsidRPr="00C367E3">
        <w:rPr>
          <w:rFonts w:ascii="Verdana" w:hAnsi="Verdana"/>
          <w:color w:val="000000"/>
          <w:sz w:val="20"/>
          <w:szCs w:val="20"/>
        </w:rPr>
        <w:t xml:space="preserve"> que</w:t>
      </w:r>
      <w:r w:rsidR="000B307A" w:rsidRPr="00C367E3">
        <w:rPr>
          <w:rFonts w:ascii="Verdana" w:hAnsi="Verdana"/>
          <w:color w:val="000000"/>
          <w:sz w:val="20"/>
          <w:szCs w:val="20"/>
        </w:rPr>
        <w:t xml:space="preserve"> </w:t>
      </w:r>
      <w:r w:rsidR="005F5BD9" w:rsidRPr="00C367E3">
        <w:rPr>
          <w:rFonts w:ascii="Verdana" w:hAnsi="Verdana"/>
          <w:color w:val="000000"/>
          <w:sz w:val="20"/>
          <w:szCs w:val="20"/>
        </w:rPr>
        <w:t>el 7 de agosto de 2015</w:t>
      </w:r>
      <w:r w:rsidR="00734C7E" w:rsidRPr="00C367E3">
        <w:rPr>
          <w:rFonts w:ascii="Verdana" w:hAnsi="Verdana"/>
          <w:color w:val="000000"/>
          <w:sz w:val="20"/>
          <w:szCs w:val="20"/>
        </w:rPr>
        <w:t xml:space="preserve"> pag</w:t>
      </w:r>
      <w:r w:rsidR="00DA5C7C" w:rsidRPr="00C367E3">
        <w:rPr>
          <w:rFonts w:ascii="Verdana" w:hAnsi="Verdana"/>
          <w:color w:val="000000"/>
          <w:sz w:val="20"/>
          <w:szCs w:val="20"/>
        </w:rPr>
        <w:t>ó</w:t>
      </w:r>
      <w:r w:rsidR="0031411D" w:rsidRPr="00C367E3">
        <w:rPr>
          <w:rFonts w:ascii="Verdana" w:hAnsi="Verdana"/>
          <w:color w:val="000000"/>
          <w:sz w:val="20"/>
          <w:szCs w:val="20"/>
        </w:rPr>
        <w:t xml:space="preserve"> los siguientes montos: i)</w:t>
      </w:r>
      <w:r w:rsidR="00734C7E" w:rsidRPr="00C367E3">
        <w:rPr>
          <w:rFonts w:ascii="Verdana" w:hAnsi="Verdana"/>
          <w:color w:val="000000"/>
          <w:sz w:val="20"/>
          <w:szCs w:val="20"/>
        </w:rPr>
        <w:t xml:space="preserve"> $160.804,99 (ciento sesenta mil ochocientos cuatro pesos argentinos con noventa y nueve centavos) al señor Carlos </w:t>
      </w:r>
      <w:proofErr w:type="spellStart"/>
      <w:r w:rsidR="00734C7E" w:rsidRPr="00C367E3">
        <w:rPr>
          <w:rFonts w:ascii="Verdana" w:hAnsi="Verdana"/>
          <w:color w:val="000000"/>
          <w:sz w:val="20"/>
          <w:szCs w:val="20"/>
        </w:rPr>
        <w:t>Mémoli</w:t>
      </w:r>
      <w:proofErr w:type="spellEnd"/>
      <w:r w:rsidR="0031411D" w:rsidRPr="00C367E3">
        <w:rPr>
          <w:rFonts w:ascii="Verdana" w:hAnsi="Verdana"/>
          <w:color w:val="000000"/>
          <w:sz w:val="20"/>
          <w:szCs w:val="20"/>
        </w:rPr>
        <w:t>,</w:t>
      </w:r>
      <w:r w:rsidR="00734C7E" w:rsidRPr="00C367E3">
        <w:rPr>
          <w:rFonts w:ascii="Verdana" w:hAnsi="Verdana"/>
          <w:color w:val="000000"/>
          <w:sz w:val="20"/>
          <w:szCs w:val="20"/>
        </w:rPr>
        <w:t xml:space="preserve"> y </w:t>
      </w:r>
      <w:r w:rsidR="0031411D" w:rsidRPr="00C367E3">
        <w:rPr>
          <w:rFonts w:ascii="Verdana" w:hAnsi="Verdana"/>
          <w:color w:val="000000"/>
          <w:sz w:val="20"/>
          <w:szCs w:val="20"/>
        </w:rPr>
        <w:t xml:space="preserve">ii) </w:t>
      </w:r>
      <w:r w:rsidR="00734C7E" w:rsidRPr="00C367E3">
        <w:rPr>
          <w:rFonts w:ascii="Verdana" w:hAnsi="Verdana"/>
          <w:color w:val="000000"/>
          <w:sz w:val="20"/>
          <w:szCs w:val="20"/>
        </w:rPr>
        <w:t xml:space="preserve">$246.567,61 (doscientos cuarenta y seis mil quinientos sesenta y siete pesos argentinos con sesenta y un centavos) al señor Pablo </w:t>
      </w:r>
      <w:proofErr w:type="spellStart"/>
      <w:r w:rsidR="00734C7E" w:rsidRPr="00C367E3">
        <w:rPr>
          <w:rFonts w:ascii="Verdana" w:hAnsi="Verdana"/>
          <w:color w:val="000000"/>
          <w:sz w:val="20"/>
          <w:szCs w:val="20"/>
        </w:rPr>
        <w:t>Mémoli</w:t>
      </w:r>
      <w:proofErr w:type="spellEnd"/>
      <w:r w:rsidR="00ED032A" w:rsidRPr="00C367E3">
        <w:rPr>
          <w:rStyle w:val="Refdenotaalpie"/>
          <w:rFonts w:ascii="Verdana" w:hAnsi="Verdana"/>
          <w:color w:val="000000"/>
          <w:sz w:val="20"/>
          <w:szCs w:val="20"/>
        </w:rPr>
        <w:footnoteReference w:id="33"/>
      </w:r>
      <w:r w:rsidR="002E761A" w:rsidRPr="00C367E3">
        <w:rPr>
          <w:rFonts w:ascii="Verdana" w:hAnsi="Verdana"/>
          <w:color w:val="000000"/>
          <w:sz w:val="20"/>
          <w:szCs w:val="20"/>
        </w:rPr>
        <w:t>.</w:t>
      </w:r>
      <w:r w:rsidR="002F2C74" w:rsidRPr="00C367E3">
        <w:rPr>
          <w:rFonts w:ascii="Verdana" w:hAnsi="Verdana"/>
          <w:color w:val="000000"/>
          <w:sz w:val="20"/>
          <w:szCs w:val="20"/>
        </w:rPr>
        <w:t xml:space="preserve"> </w:t>
      </w:r>
      <w:r w:rsidR="002E761A" w:rsidRPr="00C367E3">
        <w:rPr>
          <w:rFonts w:ascii="Verdana" w:hAnsi="Verdana"/>
          <w:color w:val="000000"/>
          <w:sz w:val="20"/>
          <w:szCs w:val="20"/>
        </w:rPr>
        <w:t>Indicó que para estos pagos</w:t>
      </w:r>
      <w:r w:rsidR="002F2C74" w:rsidRPr="00C367E3">
        <w:rPr>
          <w:rFonts w:ascii="Verdana" w:hAnsi="Verdana"/>
          <w:color w:val="000000"/>
          <w:sz w:val="20"/>
          <w:szCs w:val="20"/>
        </w:rPr>
        <w:t xml:space="preserve"> utilizó la “cotización de divisas en el mercado libre de cambios del Banco de la Nación Argentina” de “$9,1370”</w:t>
      </w:r>
      <w:r w:rsidR="00734C7E" w:rsidRPr="00C367E3">
        <w:rPr>
          <w:rFonts w:ascii="Verdana" w:hAnsi="Verdana"/>
          <w:color w:val="000000"/>
          <w:sz w:val="20"/>
          <w:szCs w:val="20"/>
        </w:rPr>
        <w:t>.</w:t>
      </w:r>
      <w:r w:rsidR="00E168DC" w:rsidRPr="00C367E3">
        <w:rPr>
          <w:rFonts w:ascii="Verdana" w:hAnsi="Verdana"/>
          <w:b/>
          <w:color w:val="000000"/>
          <w:sz w:val="20"/>
          <w:szCs w:val="20"/>
        </w:rPr>
        <w:t xml:space="preserve"> </w:t>
      </w:r>
      <w:r w:rsidR="00734C7E" w:rsidRPr="00C367E3">
        <w:rPr>
          <w:rFonts w:ascii="Verdana" w:hAnsi="Verdana"/>
          <w:color w:val="000000"/>
          <w:sz w:val="20"/>
          <w:szCs w:val="20"/>
        </w:rPr>
        <w:t xml:space="preserve">Según </w:t>
      </w:r>
      <w:r w:rsidR="00C91645" w:rsidRPr="00C367E3">
        <w:rPr>
          <w:rFonts w:ascii="Verdana" w:hAnsi="Verdana"/>
          <w:color w:val="000000"/>
          <w:sz w:val="20"/>
          <w:szCs w:val="20"/>
        </w:rPr>
        <w:t>los</w:t>
      </w:r>
      <w:r w:rsidR="00734C7E" w:rsidRPr="00C367E3">
        <w:rPr>
          <w:rFonts w:ascii="Verdana" w:hAnsi="Verdana"/>
          <w:color w:val="000000"/>
          <w:sz w:val="20"/>
          <w:szCs w:val="20"/>
        </w:rPr>
        <w:t xml:space="preserve"> referido</w:t>
      </w:r>
      <w:r w:rsidR="00C91645" w:rsidRPr="00C367E3">
        <w:rPr>
          <w:rFonts w:ascii="Verdana" w:hAnsi="Verdana"/>
          <w:color w:val="000000"/>
          <w:sz w:val="20"/>
          <w:szCs w:val="20"/>
        </w:rPr>
        <w:t>s</w:t>
      </w:r>
      <w:r w:rsidR="00734C7E" w:rsidRPr="00C367E3">
        <w:rPr>
          <w:rFonts w:ascii="Verdana" w:hAnsi="Verdana"/>
          <w:color w:val="000000"/>
          <w:sz w:val="20"/>
          <w:szCs w:val="20"/>
        </w:rPr>
        <w:t xml:space="preserve"> comprobante</w:t>
      </w:r>
      <w:r w:rsidR="00C91645" w:rsidRPr="00C367E3">
        <w:rPr>
          <w:rFonts w:ascii="Verdana" w:hAnsi="Verdana"/>
          <w:color w:val="000000"/>
          <w:sz w:val="20"/>
          <w:szCs w:val="20"/>
        </w:rPr>
        <w:t>s</w:t>
      </w:r>
      <w:r w:rsidR="00734C7E" w:rsidRPr="00C367E3">
        <w:rPr>
          <w:rFonts w:ascii="Verdana" w:hAnsi="Verdana"/>
          <w:color w:val="000000"/>
          <w:sz w:val="20"/>
          <w:szCs w:val="20"/>
        </w:rPr>
        <w:t xml:space="preserve"> y </w:t>
      </w:r>
      <w:r w:rsidR="00ED032A" w:rsidRPr="00C367E3">
        <w:rPr>
          <w:rFonts w:ascii="Verdana" w:hAnsi="Verdana"/>
          <w:color w:val="000000"/>
          <w:sz w:val="20"/>
          <w:szCs w:val="20"/>
        </w:rPr>
        <w:t xml:space="preserve">lo señalado en </w:t>
      </w:r>
      <w:r w:rsidR="00734C7E" w:rsidRPr="00C367E3">
        <w:rPr>
          <w:rFonts w:ascii="Verdana" w:hAnsi="Verdana"/>
          <w:color w:val="000000"/>
          <w:sz w:val="20"/>
          <w:szCs w:val="20"/>
        </w:rPr>
        <w:t>el Decreto Presidencial No. 975/2015</w:t>
      </w:r>
      <w:r w:rsidR="00ED032A" w:rsidRPr="00C367E3">
        <w:rPr>
          <w:rStyle w:val="Refdenotaalpie"/>
          <w:rFonts w:ascii="Verdana" w:hAnsi="Verdana"/>
          <w:color w:val="000000"/>
          <w:sz w:val="20"/>
          <w:szCs w:val="20"/>
        </w:rPr>
        <w:footnoteReference w:id="34"/>
      </w:r>
      <w:r w:rsidR="00734C7E" w:rsidRPr="00C367E3">
        <w:rPr>
          <w:rFonts w:ascii="Verdana" w:hAnsi="Verdana"/>
          <w:color w:val="000000"/>
          <w:sz w:val="20"/>
          <w:szCs w:val="20"/>
        </w:rPr>
        <w:t xml:space="preserve">, mediante el cual se ordenó realizar dichos pagos, estos </w:t>
      </w:r>
      <w:r w:rsidR="002F2C74" w:rsidRPr="00C367E3">
        <w:rPr>
          <w:rFonts w:ascii="Verdana" w:hAnsi="Verdana"/>
          <w:color w:val="000000"/>
          <w:sz w:val="20"/>
          <w:szCs w:val="20"/>
        </w:rPr>
        <w:t xml:space="preserve">corresponderían </w:t>
      </w:r>
      <w:r w:rsidR="00734C7E" w:rsidRPr="00C367E3">
        <w:rPr>
          <w:rFonts w:ascii="Verdana" w:hAnsi="Verdana"/>
          <w:color w:val="000000"/>
          <w:sz w:val="20"/>
          <w:szCs w:val="20"/>
        </w:rPr>
        <w:t>a</w:t>
      </w:r>
      <w:r w:rsidR="007864FD" w:rsidRPr="00C367E3">
        <w:rPr>
          <w:rFonts w:ascii="Verdana" w:hAnsi="Verdana"/>
          <w:color w:val="000000"/>
          <w:sz w:val="20"/>
          <w:szCs w:val="20"/>
        </w:rPr>
        <w:t>l pago de</w:t>
      </w:r>
      <w:r w:rsidR="00734C7E" w:rsidRPr="00C367E3">
        <w:rPr>
          <w:rFonts w:ascii="Verdana" w:hAnsi="Verdana"/>
          <w:color w:val="000000"/>
          <w:sz w:val="20"/>
          <w:szCs w:val="20"/>
        </w:rPr>
        <w:t xml:space="preserve"> </w:t>
      </w:r>
      <w:r w:rsidR="00ED032A" w:rsidRPr="00C367E3">
        <w:rPr>
          <w:rFonts w:ascii="Verdana" w:hAnsi="Verdana"/>
          <w:color w:val="000000"/>
          <w:sz w:val="20"/>
          <w:szCs w:val="20"/>
        </w:rPr>
        <w:t>la “</w:t>
      </w:r>
      <w:r w:rsidR="00ED032A" w:rsidRPr="00B64906">
        <w:rPr>
          <w:rFonts w:ascii="Verdana" w:eastAsia="Times New Roman" w:hAnsi="Verdana"/>
          <w:sz w:val="20"/>
          <w:szCs w:val="20"/>
        </w:rPr>
        <w:t xml:space="preserve">indemnización </w:t>
      </w:r>
      <w:r w:rsidRPr="00B64906">
        <w:rPr>
          <w:rFonts w:ascii="Verdana" w:eastAsia="Times New Roman" w:hAnsi="Verdana"/>
          <w:sz w:val="20"/>
          <w:szCs w:val="20"/>
        </w:rPr>
        <w:t xml:space="preserve">por daño inmaterial </w:t>
      </w:r>
      <w:r w:rsidR="00ED032A" w:rsidRPr="00B64906">
        <w:rPr>
          <w:rFonts w:ascii="Verdana" w:eastAsia="Times New Roman" w:hAnsi="Verdana"/>
          <w:sz w:val="20"/>
          <w:szCs w:val="20"/>
        </w:rPr>
        <w:t xml:space="preserve">a favor de las víctimas del caso </w:t>
      </w:r>
      <w:r w:rsidRPr="00B64906">
        <w:rPr>
          <w:rFonts w:ascii="Verdana" w:eastAsia="Times New Roman" w:hAnsi="Verdana"/>
          <w:sz w:val="20"/>
          <w:szCs w:val="20"/>
        </w:rPr>
        <w:t>y por reintegro de costas y gastos</w:t>
      </w:r>
      <w:r w:rsidR="00ED032A" w:rsidRPr="00B64906">
        <w:rPr>
          <w:rFonts w:ascii="Verdana" w:eastAsia="Times New Roman" w:hAnsi="Verdana"/>
          <w:sz w:val="20"/>
          <w:szCs w:val="20"/>
        </w:rPr>
        <w:t>”</w:t>
      </w:r>
      <w:r w:rsidR="0031411D" w:rsidRPr="00B64906">
        <w:rPr>
          <w:rFonts w:ascii="Verdana" w:eastAsia="Times New Roman" w:hAnsi="Verdana"/>
          <w:sz w:val="20"/>
          <w:szCs w:val="20"/>
        </w:rPr>
        <w:t>, más los intereses moratorios correspondientes</w:t>
      </w:r>
      <w:r w:rsidR="00AC0B5B" w:rsidRPr="00B64906">
        <w:rPr>
          <w:rStyle w:val="Refdenotaalpie"/>
          <w:rFonts w:ascii="Verdana" w:eastAsia="Times New Roman" w:hAnsi="Verdana"/>
          <w:sz w:val="20"/>
          <w:szCs w:val="20"/>
        </w:rPr>
        <w:footnoteReference w:id="35"/>
      </w:r>
      <w:r w:rsidR="00B80D8D">
        <w:rPr>
          <w:rFonts w:ascii="Verdana" w:eastAsia="Times New Roman" w:hAnsi="Verdana"/>
          <w:sz w:val="20"/>
          <w:szCs w:val="20"/>
        </w:rPr>
        <w:t>-</w:t>
      </w:r>
    </w:p>
    <w:p w:rsidR="00B80D8D" w:rsidRPr="00C367E3" w:rsidRDefault="00B80D8D" w:rsidP="00B80D8D">
      <w:pPr>
        <w:pStyle w:val="Prrafodelista"/>
        <w:rPr>
          <w:rFonts w:ascii="Verdana" w:hAnsi="Verdana"/>
          <w:color w:val="000000"/>
          <w:sz w:val="20"/>
          <w:szCs w:val="20"/>
        </w:rPr>
      </w:pPr>
    </w:p>
    <w:p w:rsidR="00386C84" w:rsidRDefault="00DA445F" w:rsidP="00F51727">
      <w:pPr>
        <w:pStyle w:val="Prrafodelista"/>
        <w:numPr>
          <w:ilvl w:val="0"/>
          <w:numId w:val="17"/>
        </w:numPr>
        <w:spacing w:before="120" w:after="120" w:line="240" w:lineRule="auto"/>
        <w:ind w:left="0" w:firstLine="0"/>
        <w:contextualSpacing w:val="0"/>
        <w:jc w:val="both"/>
        <w:rPr>
          <w:rFonts w:ascii="Verdana" w:hAnsi="Verdana"/>
          <w:sz w:val="20"/>
          <w:szCs w:val="20"/>
        </w:rPr>
      </w:pPr>
      <w:r w:rsidRPr="00B64906">
        <w:rPr>
          <w:rFonts w:ascii="Verdana" w:hAnsi="Verdana"/>
          <w:sz w:val="20"/>
          <w:szCs w:val="20"/>
        </w:rPr>
        <w:t>La Corte observa que</w:t>
      </w:r>
      <w:r w:rsidR="00CC23A8" w:rsidRPr="00B64906">
        <w:rPr>
          <w:rFonts w:ascii="Verdana" w:hAnsi="Verdana"/>
          <w:sz w:val="20"/>
          <w:szCs w:val="20"/>
        </w:rPr>
        <w:t>,</w:t>
      </w:r>
      <w:r w:rsidRPr="00B64906">
        <w:rPr>
          <w:rFonts w:ascii="Verdana" w:hAnsi="Verdana"/>
          <w:sz w:val="20"/>
          <w:szCs w:val="20"/>
        </w:rPr>
        <w:t xml:space="preserve"> en el mismo mes que Argentina efectuó el pago de las indemnizaciones y el reintegro de costas y gastos</w:t>
      </w:r>
      <w:r w:rsidR="00CC23A8" w:rsidRPr="00B64906">
        <w:rPr>
          <w:rFonts w:ascii="Verdana" w:hAnsi="Verdana"/>
          <w:sz w:val="20"/>
          <w:szCs w:val="20"/>
        </w:rPr>
        <w:t>,</w:t>
      </w:r>
      <w:r w:rsidRPr="00B64906">
        <w:rPr>
          <w:rFonts w:ascii="Verdana" w:hAnsi="Verdana"/>
          <w:sz w:val="20"/>
          <w:szCs w:val="20"/>
        </w:rPr>
        <w:t xml:space="preserve"> los señores </w:t>
      </w:r>
      <w:proofErr w:type="spellStart"/>
      <w:r w:rsidRPr="00B64906">
        <w:rPr>
          <w:rFonts w:ascii="Verdana" w:hAnsi="Verdana"/>
          <w:sz w:val="20"/>
          <w:szCs w:val="20"/>
        </w:rPr>
        <w:t>Mémoli</w:t>
      </w:r>
      <w:proofErr w:type="spellEnd"/>
      <w:r w:rsidRPr="00B64906">
        <w:rPr>
          <w:rFonts w:ascii="Verdana" w:hAnsi="Verdana"/>
          <w:sz w:val="20"/>
          <w:szCs w:val="20"/>
        </w:rPr>
        <w:t xml:space="preserve"> remitieron un escrito a este Tribunal en el cual aceptaron y manifestaron su conformidad con </w:t>
      </w:r>
      <w:r w:rsidR="00CC23A8" w:rsidRPr="00B64906">
        <w:rPr>
          <w:rFonts w:ascii="Verdana" w:hAnsi="Verdana"/>
          <w:sz w:val="20"/>
          <w:szCs w:val="20"/>
        </w:rPr>
        <w:t xml:space="preserve">los </w:t>
      </w:r>
      <w:r w:rsidRPr="00B64906">
        <w:rPr>
          <w:rFonts w:ascii="Verdana" w:hAnsi="Verdana"/>
          <w:sz w:val="20"/>
          <w:szCs w:val="20"/>
        </w:rPr>
        <w:t>pago</w:t>
      </w:r>
      <w:r w:rsidR="00CC23A8" w:rsidRPr="00B64906">
        <w:rPr>
          <w:rFonts w:ascii="Verdana" w:hAnsi="Verdana"/>
          <w:sz w:val="20"/>
          <w:szCs w:val="20"/>
        </w:rPr>
        <w:t>s</w:t>
      </w:r>
      <w:r w:rsidRPr="00B64906">
        <w:rPr>
          <w:rFonts w:ascii="Verdana" w:hAnsi="Verdana"/>
          <w:sz w:val="20"/>
          <w:szCs w:val="20"/>
        </w:rPr>
        <w:t xml:space="preserve"> realizado</w:t>
      </w:r>
      <w:r w:rsidR="00CC23A8" w:rsidRPr="00B64906">
        <w:rPr>
          <w:rFonts w:ascii="Verdana" w:hAnsi="Verdana"/>
          <w:sz w:val="20"/>
          <w:szCs w:val="20"/>
        </w:rPr>
        <w:t>s por el Estado</w:t>
      </w:r>
      <w:r w:rsidR="00D41221" w:rsidRPr="00B64906">
        <w:rPr>
          <w:rStyle w:val="Refdenotaalpie"/>
          <w:rFonts w:ascii="Verdana" w:hAnsi="Verdana"/>
          <w:sz w:val="20"/>
          <w:szCs w:val="20"/>
        </w:rPr>
        <w:footnoteReference w:id="36"/>
      </w:r>
      <w:r w:rsidR="00513D9F" w:rsidRPr="00B64906">
        <w:rPr>
          <w:rFonts w:ascii="Verdana" w:hAnsi="Verdana"/>
          <w:sz w:val="20"/>
          <w:szCs w:val="20"/>
        </w:rPr>
        <w:t xml:space="preserve">. </w:t>
      </w:r>
      <w:r w:rsidR="00467A0A" w:rsidRPr="00B64906">
        <w:rPr>
          <w:rFonts w:ascii="Verdana" w:hAnsi="Verdana"/>
          <w:sz w:val="20"/>
          <w:szCs w:val="20"/>
        </w:rPr>
        <w:t>Sin embargo, d</w:t>
      </w:r>
      <w:r w:rsidRPr="00B64906">
        <w:rPr>
          <w:rFonts w:ascii="Verdana" w:hAnsi="Verdana"/>
          <w:sz w:val="20"/>
          <w:szCs w:val="20"/>
        </w:rPr>
        <w:t xml:space="preserve">os meses después de </w:t>
      </w:r>
      <w:r w:rsidR="00513D9F" w:rsidRPr="00B64906">
        <w:rPr>
          <w:rFonts w:ascii="Verdana" w:hAnsi="Verdana"/>
          <w:sz w:val="20"/>
          <w:szCs w:val="20"/>
        </w:rPr>
        <w:t xml:space="preserve">haber expresado dicha conformidad, los señores </w:t>
      </w:r>
      <w:proofErr w:type="spellStart"/>
      <w:r w:rsidR="00513D9F" w:rsidRPr="00B64906">
        <w:rPr>
          <w:rFonts w:ascii="Verdana" w:hAnsi="Verdana"/>
          <w:sz w:val="20"/>
          <w:szCs w:val="20"/>
        </w:rPr>
        <w:t>Mémoli</w:t>
      </w:r>
      <w:proofErr w:type="spellEnd"/>
      <w:r w:rsidR="00513D9F" w:rsidRPr="00B64906">
        <w:rPr>
          <w:rFonts w:ascii="Verdana" w:hAnsi="Verdana"/>
          <w:sz w:val="20"/>
          <w:szCs w:val="20"/>
        </w:rPr>
        <w:t xml:space="preserve"> </w:t>
      </w:r>
      <w:r w:rsidR="00A74798" w:rsidRPr="00B64906">
        <w:rPr>
          <w:rFonts w:ascii="Verdana" w:hAnsi="Verdana"/>
          <w:sz w:val="20"/>
          <w:szCs w:val="20"/>
        </w:rPr>
        <w:t xml:space="preserve">cambiaron </w:t>
      </w:r>
      <w:r w:rsidR="00B66576" w:rsidRPr="00B64906">
        <w:rPr>
          <w:rFonts w:ascii="Verdana" w:hAnsi="Verdana"/>
          <w:sz w:val="20"/>
          <w:szCs w:val="20"/>
        </w:rPr>
        <w:t>la referida</w:t>
      </w:r>
      <w:r w:rsidR="00A74798" w:rsidRPr="00B64906">
        <w:rPr>
          <w:rFonts w:ascii="Verdana" w:hAnsi="Verdana"/>
          <w:sz w:val="20"/>
          <w:szCs w:val="20"/>
        </w:rPr>
        <w:t xml:space="preserve"> posición</w:t>
      </w:r>
      <w:r w:rsidR="00F51727">
        <w:rPr>
          <w:rFonts w:ascii="Verdana" w:hAnsi="Verdana"/>
          <w:sz w:val="20"/>
          <w:szCs w:val="20"/>
        </w:rPr>
        <w:t>,</w:t>
      </w:r>
      <w:r w:rsidR="00A74798" w:rsidRPr="00B64906">
        <w:rPr>
          <w:rFonts w:ascii="Verdana" w:hAnsi="Verdana"/>
          <w:sz w:val="20"/>
          <w:szCs w:val="20"/>
        </w:rPr>
        <w:t xml:space="preserve"> </w:t>
      </w:r>
      <w:r w:rsidR="00D41221" w:rsidRPr="00B64906">
        <w:rPr>
          <w:rFonts w:ascii="Verdana" w:hAnsi="Verdana"/>
          <w:sz w:val="20"/>
          <w:szCs w:val="20"/>
        </w:rPr>
        <w:t>presenta</w:t>
      </w:r>
      <w:r w:rsidR="00A74798" w:rsidRPr="00B64906">
        <w:rPr>
          <w:rFonts w:ascii="Verdana" w:hAnsi="Verdana"/>
          <w:sz w:val="20"/>
          <w:szCs w:val="20"/>
        </w:rPr>
        <w:t>ndo</w:t>
      </w:r>
      <w:r w:rsidR="00513D9F" w:rsidRPr="00B64906">
        <w:rPr>
          <w:rFonts w:ascii="Verdana" w:hAnsi="Verdana"/>
          <w:sz w:val="20"/>
          <w:szCs w:val="20"/>
        </w:rPr>
        <w:t>, por primera vez, objeciones y alegatos respecto al incumplimiento de lo dispuesto en la Sentencia</w:t>
      </w:r>
      <w:r w:rsidR="00B66576" w:rsidRPr="00B64906">
        <w:rPr>
          <w:rFonts w:ascii="Verdana" w:hAnsi="Verdana"/>
          <w:sz w:val="20"/>
          <w:szCs w:val="20"/>
        </w:rPr>
        <w:t xml:space="preserve"> en relación con esta reparación</w:t>
      </w:r>
      <w:r w:rsidR="00F51727">
        <w:rPr>
          <w:rFonts w:ascii="Verdana" w:hAnsi="Verdana"/>
          <w:sz w:val="20"/>
          <w:szCs w:val="20"/>
        </w:rPr>
        <w:t>, y solicitaron una “compensación económica” adicional</w:t>
      </w:r>
      <w:r w:rsidR="00A74798" w:rsidRPr="00B64906">
        <w:rPr>
          <w:rFonts w:ascii="Verdana" w:hAnsi="Verdana"/>
          <w:sz w:val="20"/>
          <w:szCs w:val="20"/>
        </w:rPr>
        <w:t>. Sus objeciones se referían, fundamentalmente,</w:t>
      </w:r>
      <w:r w:rsidR="00513D9F" w:rsidRPr="00B64906">
        <w:rPr>
          <w:rFonts w:ascii="Verdana" w:hAnsi="Verdana"/>
          <w:sz w:val="20"/>
          <w:szCs w:val="20"/>
        </w:rPr>
        <w:t xml:space="preserve"> </w:t>
      </w:r>
      <w:r w:rsidR="00A74798" w:rsidRPr="00B64906">
        <w:rPr>
          <w:rFonts w:ascii="Verdana" w:hAnsi="Verdana"/>
          <w:sz w:val="20"/>
          <w:szCs w:val="20"/>
        </w:rPr>
        <w:t>a</w:t>
      </w:r>
      <w:r w:rsidR="00386C84" w:rsidRPr="00B64906">
        <w:rPr>
          <w:rFonts w:ascii="Verdana" w:hAnsi="Verdana"/>
          <w:sz w:val="20"/>
          <w:szCs w:val="20"/>
        </w:rPr>
        <w:t xml:space="preserve"> su desacuerdo con e</w:t>
      </w:r>
      <w:r w:rsidR="00513D9F" w:rsidRPr="00B64906">
        <w:rPr>
          <w:rFonts w:ascii="Verdana" w:hAnsi="Verdana"/>
          <w:sz w:val="20"/>
          <w:szCs w:val="20"/>
        </w:rPr>
        <w:t xml:space="preserve">l tipo de cambio utilizado </w:t>
      </w:r>
      <w:r w:rsidR="00A74798" w:rsidRPr="00B64906">
        <w:rPr>
          <w:rFonts w:ascii="Verdana" w:hAnsi="Verdana"/>
          <w:sz w:val="20"/>
          <w:szCs w:val="20"/>
        </w:rPr>
        <w:t xml:space="preserve">por el Estado </w:t>
      </w:r>
      <w:r w:rsidR="00513D9F" w:rsidRPr="00B64906">
        <w:rPr>
          <w:rFonts w:ascii="Verdana" w:hAnsi="Verdana"/>
          <w:sz w:val="20"/>
          <w:szCs w:val="20"/>
        </w:rPr>
        <w:t xml:space="preserve">para </w:t>
      </w:r>
      <w:r w:rsidR="00A74798" w:rsidRPr="00B64906">
        <w:rPr>
          <w:rFonts w:ascii="Verdana" w:hAnsi="Verdana"/>
          <w:sz w:val="20"/>
          <w:szCs w:val="20"/>
        </w:rPr>
        <w:t>realizar</w:t>
      </w:r>
      <w:r w:rsidR="00F51727">
        <w:rPr>
          <w:rFonts w:ascii="Verdana" w:hAnsi="Verdana"/>
          <w:sz w:val="20"/>
          <w:szCs w:val="20"/>
        </w:rPr>
        <w:t xml:space="preserve"> </w:t>
      </w:r>
      <w:r w:rsidR="00D41221" w:rsidRPr="00B64906">
        <w:rPr>
          <w:rFonts w:ascii="Verdana" w:hAnsi="Verdana"/>
          <w:sz w:val="20"/>
          <w:szCs w:val="20"/>
        </w:rPr>
        <w:t xml:space="preserve">los </w:t>
      </w:r>
      <w:r w:rsidR="00513D9F" w:rsidRPr="00B64906">
        <w:rPr>
          <w:rFonts w:ascii="Verdana" w:hAnsi="Verdana"/>
          <w:sz w:val="20"/>
          <w:szCs w:val="20"/>
        </w:rPr>
        <w:t>pago</w:t>
      </w:r>
      <w:r w:rsidR="00D41221" w:rsidRPr="00B64906">
        <w:rPr>
          <w:rFonts w:ascii="Verdana" w:hAnsi="Verdana"/>
          <w:sz w:val="20"/>
          <w:szCs w:val="20"/>
        </w:rPr>
        <w:t>s</w:t>
      </w:r>
      <w:r w:rsidR="00386C84" w:rsidRPr="00B64906">
        <w:rPr>
          <w:rStyle w:val="Refdenotaalpie"/>
          <w:rFonts w:ascii="Verdana" w:hAnsi="Verdana"/>
          <w:sz w:val="20"/>
          <w:szCs w:val="20"/>
        </w:rPr>
        <w:footnoteReference w:id="37"/>
      </w:r>
      <w:r w:rsidR="007330D7" w:rsidRPr="00B64906">
        <w:rPr>
          <w:rFonts w:ascii="Verdana" w:hAnsi="Verdana"/>
          <w:sz w:val="20"/>
          <w:szCs w:val="20"/>
        </w:rPr>
        <w:t>,</w:t>
      </w:r>
      <w:r w:rsidR="00513D9F" w:rsidRPr="00B64906">
        <w:rPr>
          <w:rFonts w:ascii="Verdana" w:hAnsi="Verdana"/>
          <w:sz w:val="20"/>
          <w:szCs w:val="20"/>
        </w:rPr>
        <w:t xml:space="preserve"> </w:t>
      </w:r>
      <w:r w:rsidR="00F51727">
        <w:rPr>
          <w:rFonts w:ascii="Verdana" w:hAnsi="Verdana"/>
          <w:sz w:val="20"/>
          <w:szCs w:val="20"/>
        </w:rPr>
        <w:t xml:space="preserve">tomando en cuenta </w:t>
      </w:r>
      <w:r w:rsidR="00513D9F" w:rsidRPr="00B64906">
        <w:rPr>
          <w:rFonts w:ascii="Verdana" w:hAnsi="Verdana"/>
          <w:sz w:val="20"/>
          <w:szCs w:val="20"/>
        </w:rPr>
        <w:t xml:space="preserve">la situación de regulación cambiaria </w:t>
      </w:r>
      <w:r w:rsidR="00386C84" w:rsidRPr="00B64906">
        <w:rPr>
          <w:rFonts w:ascii="Verdana" w:hAnsi="Verdana"/>
          <w:sz w:val="20"/>
          <w:szCs w:val="20"/>
        </w:rPr>
        <w:t xml:space="preserve">vigente </w:t>
      </w:r>
      <w:r w:rsidR="00513D9F" w:rsidRPr="00B64906">
        <w:rPr>
          <w:rFonts w:ascii="Verdana" w:hAnsi="Verdana"/>
          <w:sz w:val="20"/>
          <w:szCs w:val="20"/>
        </w:rPr>
        <w:t xml:space="preserve">en Argentina </w:t>
      </w:r>
      <w:r w:rsidR="00386C84" w:rsidRPr="00B64906">
        <w:rPr>
          <w:rFonts w:ascii="Verdana" w:hAnsi="Verdana"/>
          <w:sz w:val="20"/>
          <w:szCs w:val="20"/>
        </w:rPr>
        <w:t xml:space="preserve">desde el 2011 </w:t>
      </w:r>
      <w:r w:rsidR="00B66576" w:rsidRPr="00B64906">
        <w:rPr>
          <w:rFonts w:ascii="Verdana" w:hAnsi="Verdana"/>
          <w:sz w:val="20"/>
          <w:szCs w:val="20"/>
        </w:rPr>
        <w:t>(“cepo cambiario”)</w:t>
      </w:r>
      <w:r w:rsidR="00B66576" w:rsidRPr="00B64906">
        <w:rPr>
          <w:rStyle w:val="Refdenotaalpie"/>
          <w:rFonts w:ascii="Verdana" w:hAnsi="Verdana"/>
          <w:sz w:val="20"/>
          <w:szCs w:val="20"/>
        </w:rPr>
        <w:footnoteReference w:id="38"/>
      </w:r>
      <w:r w:rsidR="00B66576" w:rsidRPr="00B64906">
        <w:rPr>
          <w:rFonts w:ascii="Verdana" w:hAnsi="Verdana"/>
          <w:sz w:val="20"/>
          <w:szCs w:val="20"/>
        </w:rPr>
        <w:t xml:space="preserve">. </w:t>
      </w:r>
      <w:r w:rsidR="007330D7" w:rsidRPr="00F51727">
        <w:rPr>
          <w:rFonts w:ascii="Verdana" w:hAnsi="Verdana"/>
          <w:sz w:val="20"/>
          <w:szCs w:val="20"/>
        </w:rPr>
        <w:t>El Estado</w:t>
      </w:r>
      <w:r w:rsidR="00F51727" w:rsidRPr="00B64906">
        <w:rPr>
          <w:rStyle w:val="Refdenotaalpie"/>
          <w:rFonts w:ascii="Verdana" w:hAnsi="Verdana"/>
          <w:sz w:val="20"/>
          <w:szCs w:val="20"/>
        </w:rPr>
        <w:footnoteReference w:id="39"/>
      </w:r>
      <w:r w:rsidR="007330D7" w:rsidRPr="00F51727">
        <w:rPr>
          <w:rFonts w:ascii="Verdana" w:hAnsi="Verdana"/>
          <w:sz w:val="20"/>
          <w:szCs w:val="20"/>
        </w:rPr>
        <w:t xml:space="preserve"> y la Comisión Interamericana</w:t>
      </w:r>
      <w:r w:rsidR="007330D7" w:rsidRPr="00B64906">
        <w:rPr>
          <w:rStyle w:val="Refdenotaalpie"/>
          <w:rFonts w:ascii="Verdana" w:hAnsi="Verdana"/>
          <w:sz w:val="20"/>
          <w:szCs w:val="20"/>
        </w:rPr>
        <w:footnoteReference w:id="40"/>
      </w:r>
      <w:r w:rsidR="007330D7" w:rsidRPr="00F51727">
        <w:rPr>
          <w:rFonts w:ascii="Verdana" w:hAnsi="Verdana"/>
          <w:sz w:val="20"/>
          <w:szCs w:val="20"/>
        </w:rPr>
        <w:t xml:space="preserve"> presentaron observaciones a las referidas objeciones de los señores </w:t>
      </w:r>
      <w:proofErr w:type="spellStart"/>
      <w:r w:rsidR="007330D7" w:rsidRPr="00F51727">
        <w:rPr>
          <w:rFonts w:ascii="Verdana" w:hAnsi="Verdana"/>
          <w:sz w:val="20"/>
          <w:szCs w:val="20"/>
        </w:rPr>
        <w:t>Mémoli</w:t>
      </w:r>
      <w:proofErr w:type="spellEnd"/>
      <w:r w:rsidR="007330D7" w:rsidRPr="00F51727">
        <w:rPr>
          <w:rFonts w:ascii="Verdana" w:hAnsi="Verdana"/>
          <w:sz w:val="20"/>
          <w:szCs w:val="20"/>
        </w:rPr>
        <w:t>.</w:t>
      </w:r>
    </w:p>
    <w:p w:rsidR="00B80D8D" w:rsidRPr="00B80D8D" w:rsidRDefault="00B80D8D" w:rsidP="00B80D8D">
      <w:pPr>
        <w:pStyle w:val="Prrafodelista"/>
        <w:rPr>
          <w:rFonts w:ascii="Verdana" w:hAnsi="Verdana"/>
          <w:sz w:val="20"/>
          <w:szCs w:val="20"/>
        </w:rPr>
      </w:pPr>
    </w:p>
    <w:p w:rsidR="00E8097D" w:rsidRDefault="00513D9F" w:rsidP="00513D9F">
      <w:pPr>
        <w:pStyle w:val="Prrafodelista"/>
        <w:numPr>
          <w:ilvl w:val="0"/>
          <w:numId w:val="17"/>
        </w:numPr>
        <w:spacing w:before="120" w:after="120" w:line="240" w:lineRule="auto"/>
        <w:ind w:left="0" w:firstLine="0"/>
        <w:contextualSpacing w:val="0"/>
        <w:jc w:val="both"/>
        <w:rPr>
          <w:rFonts w:ascii="Verdana" w:hAnsi="Verdana"/>
          <w:sz w:val="20"/>
          <w:szCs w:val="20"/>
        </w:rPr>
      </w:pPr>
      <w:r w:rsidRPr="00B64906">
        <w:rPr>
          <w:rFonts w:ascii="Verdana" w:hAnsi="Verdana"/>
          <w:sz w:val="20"/>
          <w:szCs w:val="20"/>
        </w:rPr>
        <w:t>Al respecto, este Tribunal recuerda que p</w:t>
      </w:r>
      <w:r w:rsidR="001102DC" w:rsidRPr="00B64906">
        <w:rPr>
          <w:rFonts w:ascii="Verdana" w:hAnsi="Verdana"/>
          <w:sz w:val="20"/>
          <w:szCs w:val="20"/>
        </w:rPr>
        <w:t xml:space="preserve">ara ordenar </w:t>
      </w:r>
      <w:r w:rsidR="00D52D57" w:rsidRPr="00B64906">
        <w:rPr>
          <w:rFonts w:ascii="Verdana" w:hAnsi="Verdana"/>
          <w:sz w:val="20"/>
          <w:szCs w:val="20"/>
        </w:rPr>
        <w:t xml:space="preserve">la modalidad de cumplimiento de los pagos </w:t>
      </w:r>
      <w:r w:rsidRPr="00B64906">
        <w:rPr>
          <w:rFonts w:ascii="Verdana" w:hAnsi="Verdana"/>
          <w:sz w:val="20"/>
          <w:szCs w:val="20"/>
        </w:rPr>
        <w:t>dispuestos</w:t>
      </w:r>
      <w:r w:rsidR="00D52D57" w:rsidRPr="00B64906">
        <w:rPr>
          <w:rFonts w:ascii="Verdana" w:hAnsi="Verdana"/>
          <w:sz w:val="20"/>
          <w:szCs w:val="20"/>
        </w:rPr>
        <w:t xml:space="preserve"> en la Sentencia</w:t>
      </w:r>
      <w:r w:rsidR="003742DE" w:rsidRPr="00B64906">
        <w:rPr>
          <w:rFonts w:ascii="Verdana" w:hAnsi="Verdana"/>
          <w:sz w:val="20"/>
          <w:szCs w:val="20"/>
        </w:rPr>
        <w:t xml:space="preserve"> del presente caso</w:t>
      </w:r>
      <w:r w:rsidR="00D52D57" w:rsidRPr="00B64906">
        <w:rPr>
          <w:rFonts w:ascii="Verdana" w:hAnsi="Verdana"/>
          <w:sz w:val="20"/>
          <w:szCs w:val="20"/>
        </w:rPr>
        <w:t xml:space="preserve">, siguió </w:t>
      </w:r>
      <w:r w:rsidR="00AE537E" w:rsidRPr="00B64906">
        <w:rPr>
          <w:rFonts w:ascii="Verdana" w:hAnsi="Verdana"/>
          <w:sz w:val="20"/>
          <w:szCs w:val="20"/>
        </w:rPr>
        <w:t>sus</w:t>
      </w:r>
      <w:r w:rsidR="00D52D57" w:rsidRPr="00B64906">
        <w:rPr>
          <w:rFonts w:ascii="Verdana" w:hAnsi="Verdana"/>
          <w:sz w:val="20"/>
          <w:szCs w:val="20"/>
        </w:rPr>
        <w:t xml:space="preserve"> </w:t>
      </w:r>
      <w:r w:rsidR="00395302" w:rsidRPr="00B64906">
        <w:rPr>
          <w:rFonts w:ascii="Verdana" w:hAnsi="Verdana"/>
          <w:sz w:val="20"/>
          <w:szCs w:val="20"/>
        </w:rPr>
        <w:t>criterios</w:t>
      </w:r>
      <w:r w:rsidR="00E81A76" w:rsidRPr="00B64906">
        <w:rPr>
          <w:rFonts w:ascii="Verdana" w:hAnsi="Verdana"/>
          <w:sz w:val="20"/>
          <w:szCs w:val="20"/>
        </w:rPr>
        <w:t xml:space="preserve"> </w:t>
      </w:r>
      <w:r w:rsidR="00D52D57" w:rsidRPr="00B64906">
        <w:rPr>
          <w:rFonts w:ascii="Verdana" w:hAnsi="Verdana"/>
          <w:sz w:val="20"/>
          <w:szCs w:val="20"/>
        </w:rPr>
        <w:t xml:space="preserve">usuales, </w:t>
      </w:r>
      <w:r w:rsidR="00AE537E" w:rsidRPr="00B64906">
        <w:rPr>
          <w:rFonts w:ascii="Verdana" w:hAnsi="Verdana"/>
          <w:sz w:val="20"/>
          <w:szCs w:val="20"/>
        </w:rPr>
        <w:t xml:space="preserve">entre los cuales se dispone que </w:t>
      </w:r>
      <w:r w:rsidR="003742DE" w:rsidRPr="00B64906">
        <w:rPr>
          <w:rFonts w:ascii="Verdana" w:hAnsi="Verdana"/>
          <w:sz w:val="20"/>
          <w:szCs w:val="20"/>
        </w:rPr>
        <w:t>los Estados</w:t>
      </w:r>
      <w:r w:rsidR="00AE537E" w:rsidRPr="00B64906">
        <w:rPr>
          <w:rFonts w:ascii="Verdana" w:hAnsi="Verdana"/>
          <w:sz w:val="20"/>
          <w:szCs w:val="20"/>
        </w:rPr>
        <w:t xml:space="preserve"> pueden </w:t>
      </w:r>
      <w:r w:rsidR="003742DE" w:rsidRPr="00B64906">
        <w:rPr>
          <w:rFonts w:ascii="Verdana" w:hAnsi="Verdana"/>
          <w:sz w:val="20"/>
          <w:szCs w:val="20"/>
        </w:rPr>
        <w:t xml:space="preserve">pagar en </w:t>
      </w:r>
      <w:r w:rsidR="00767DB2" w:rsidRPr="00B64906">
        <w:rPr>
          <w:rFonts w:ascii="Verdana" w:hAnsi="Verdana"/>
          <w:sz w:val="20"/>
          <w:szCs w:val="20"/>
        </w:rPr>
        <w:t>dólares de los Estados Unidos de América o su equivalente en moneda nacional</w:t>
      </w:r>
      <w:r w:rsidR="003742DE" w:rsidRPr="00B64906">
        <w:rPr>
          <w:rFonts w:ascii="Verdana" w:hAnsi="Verdana"/>
          <w:sz w:val="20"/>
          <w:szCs w:val="20"/>
        </w:rPr>
        <w:t>, utilizando el tipo de cambio “vigente en la bolsa de Nueva York, Estados Unidos de América, el día anterior al pago”</w:t>
      </w:r>
      <w:r w:rsidR="00AE537E" w:rsidRPr="00B64906">
        <w:rPr>
          <w:rFonts w:ascii="Verdana" w:hAnsi="Verdana"/>
          <w:sz w:val="20"/>
          <w:szCs w:val="20"/>
        </w:rPr>
        <w:t xml:space="preserve">. </w:t>
      </w:r>
      <w:r w:rsidR="00767DB2" w:rsidRPr="00B64906">
        <w:rPr>
          <w:rFonts w:ascii="Verdana" w:hAnsi="Verdana"/>
          <w:sz w:val="20"/>
          <w:szCs w:val="20"/>
        </w:rPr>
        <w:t xml:space="preserve">En la etapa de fondo </w:t>
      </w:r>
      <w:r w:rsidR="00BF4DB1">
        <w:rPr>
          <w:rFonts w:ascii="Verdana" w:hAnsi="Verdana"/>
          <w:sz w:val="20"/>
          <w:szCs w:val="20"/>
        </w:rPr>
        <w:t xml:space="preserve">de este proceso </w:t>
      </w:r>
      <w:r w:rsidR="000D45E9" w:rsidRPr="00B64906">
        <w:rPr>
          <w:rFonts w:ascii="Verdana" w:hAnsi="Verdana"/>
          <w:sz w:val="20"/>
          <w:szCs w:val="20"/>
        </w:rPr>
        <w:t xml:space="preserve">los señores </w:t>
      </w:r>
      <w:proofErr w:type="spellStart"/>
      <w:r w:rsidR="000D45E9" w:rsidRPr="00B64906">
        <w:rPr>
          <w:rFonts w:ascii="Verdana" w:hAnsi="Verdana"/>
          <w:sz w:val="20"/>
          <w:szCs w:val="20"/>
        </w:rPr>
        <w:t>Mémoli</w:t>
      </w:r>
      <w:proofErr w:type="spellEnd"/>
      <w:r w:rsidR="00767DB2" w:rsidRPr="00B64906">
        <w:rPr>
          <w:rFonts w:ascii="Verdana" w:hAnsi="Verdana"/>
          <w:sz w:val="20"/>
          <w:szCs w:val="20"/>
        </w:rPr>
        <w:t xml:space="preserve"> no presentaron ninguna solicitud respecto a la moneda de pago ni </w:t>
      </w:r>
      <w:r w:rsidRPr="00B64906">
        <w:rPr>
          <w:rFonts w:ascii="Verdana" w:hAnsi="Verdana"/>
          <w:sz w:val="20"/>
          <w:szCs w:val="20"/>
        </w:rPr>
        <w:t xml:space="preserve">al </w:t>
      </w:r>
      <w:r w:rsidR="00767DB2" w:rsidRPr="00B64906">
        <w:rPr>
          <w:rFonts w:ascii="Verdana" w:hAnsi="Verdana"/>
          <w:sz w:val="20"/>
          <w:szCs w:val="20"/>
        </w:rPr>
        <w:t>tipo de cambio</w:t>
      </w:r>
      <w:r w:rsidR="000D45E9" w:rsidRPr="00B64906">
        <w:rPr>
          <w:rFonts w:ascii="Verdana" w:hAnsi="Verdana"/>
          <w:sz w:val="20"/>
          <w:szCs w:val="20"/>
        </w:rPr>
        <w:t>,</w:t>
      </w:r>
      <w:r w:rsidR="00767DB2" w:rsidRPr="00B64906">
        <w:rPr>
          <w:rFonts w:ascii="Verdana" w:hAnsi="Verdana"/>
          <w:sz w:val="20"/>
          <w:szCs w:val="20"/>
        </w:rPr>
        <w:t xml:space="preserve"> aun cuando el referido “cepo cambiario” estaba vigente en Argentina desde antes del sometimiento de este caso ante la Corte</w:t>
      </w:r>
      <w:r w:rsidR="00767DB2" w:rsidRPr="00B64906">
        <w:rPr>
          <w:rStyle w:val="Refdenotaalpie"/>
          <w:rFonts w:ascii="Verdana" w:hAnsi="Verdana"/>
          <w:sz w:val="20"/>
          <w:szCs w:val="20"/>
        </w:rPr>
        <w:footnoteReference w:id="41"/>
      </w:r>
      <w:r w:rsidR="003742DE" w:rsidRPr="00B64906">
        <w:rPr>
          <w:rFonts w:ascii="Verdana" w:hAnsi="Verdana"/>
          <w:sz w:val="20"/>
          <w:szCs w:val="20"/>
        </w:rPr>
        <w:t xml:space="preserve">. Tampoco fueron expuestas solicitudes </w:t>
      </w:r>
      <w:r w:rsidR="000D45E9" w:rsidRPr="00B64906">
        <w:rPr>
          <w:rFonts w:ascii="Verdana" w:hAnsi="Verdana"/>
          <w:sz w:val="20"/>
          <w:szCs w:val="20"/>
        </w:rPr>
        <w:t xml:space="preserve">al respecto </w:t>
      </w:r>
      <w:r w:rsidR="003742DE" w:rsidRPr="00B64906">
        <w:rPr>
          <w:rFonts w:ascii="Verdana" w:hAnsi="Verdana"/>
          <w:sz w:val="20"/>
          <w:szCs w:val="20"/>
        </w:rPr>
        <w:t xml:space="preserve">durante el período previsto para plantear una solicitud de interpretación de la Sentencia. </w:t>
      </w:r>
    </w:p>
    <w:p w:rsidR="001B771E" w:rsidRDefault="001B771E" w:rsidP="001B771E">
      <w:pPr>
        <w:pStyle w:val="Prrafodelista"/>
        <w:spacing w:before="120" w:after="120" w:line="240" w:lineRule="auto"/>
        <w:ind w:left="0"/>
        <w:contextualSpacing w:val="0"/>
        <w:jc w:val="both"/>
        <w:rPr>
          <w:rFonts w:ascii="Verdana" w:hAnsi="Verdana"/>
          <w:sz w:val="20"/>
          <w:szCs w:val="20"/>
        </w:rPr>
      </w:pPr>
    </w:p>
    <w:p w:rsidR="00BF4DB1" w:rsidRDefault="00BF4DB1" w:rsidP="00513D9F">
      <w:pPr>
        <w:pStyle w:val="Prrafodelista"/>
        <w:numPr>
          <w:ilvl w:val="0"/>
          <w:numId w:val="17"/>
        </w:numPr>
        <w:spacing w:before="120" w:after="120" w:line="240" w:lineRule="auto"/>
        <w:ind w:left="0" w:firstLine="0"/>
        <w:contextualSpacing w:val="0"/>
        <w:jc w:val="both"/>
        <w:rPr>
          <w:rFonts w:ascii="Verdana" w:hAnsi="Verdana"/>
          <w:sz w:val="20"/>
          <w:szCs w:val="20"/>
        </w:rPr>
      </w:pPr>
      <w:r>
        <w:rPr>
          <w:rFonts w:ascii="Verdana" w:hAnsi="Verdana"/>
          <w:sz w:val="20"/>
          <w:szCs w:val="20"/>
        </w:rPr>
        <w:t xml:space="preserve">La Corte considera improcedente la solicitud de los señores </w:t>
      </w:r>
      <w:proofErr w:type="spellStart"/>
      <w:r>
        <w:rPr>
          <w:rFonts w:ascii="Verdana" w:hAnsi="Verdana"/>
          <w:sz w:val="20"/>
          <w:szCs w:val="20"/>
        </w:rPr>
        <w:t>Mémoli</w:t>
      </w:r>
      <w:proofErr w:type="spellEnd"/>
      <w:r>
        <w:rPr>
          <w:rFonts w:ascii="Verdana" w:hAnsi="Verdana"/>
          <w:sz w:val="20"/>
          <w:szCs w:val="20"/>
        </w:rPr>
        <w:t xml:space="preserve"> de que se ordene al Estado que pague una “compensación económica” adicional, debido a que dichos alegatos fueron expuestos recién dos meses después de haber expresado su posición de reconocer que el Estado había cumplido con la reparación (</w:t>
      </w:r>
      <w:r w:rsidRPr="00AE5C9A">
        <w:rPr>
          <w:rFonts w:ascii="Verdana" w:hAnsi="Verdana"/>
          <w:i/>
          <w:sz w:val="20"/>
          <w:szCs w:val="20"/>
        </w:rPr>
        <w:t>supra</w:t>
      </w:r>
      <w:r>
        <w:rPr>
          <w:rFonts w:ascii="Verdana" w:hAnsi="Verdana"/>
          <w:sz w:val="20"/>
          <w:szCs w:val="20"/>
        </w:rPr>
        <w:t xml:space="preserve"> Considerando 20).</w:t>
      </w:r>
    </w:p>
    <w:p w:rsidR="00B64906" w:rsidRPr="00B64906" w:rsidRDefault="00B64906" w:rsidP="00B64906">
      <w:pPr>
        <w:pStyle w:val="Prrafodelista"/>
        <w:spacing w:before="120" w:after="120" w:line="240" w:lineRule="auto"/>
        <w:ind w:left="0"/>
        <w:contextualSpacing w:val="0"/>
        <w:jc w:val="both"/>
        <w:rPr>
          <w:rFonts w:ascii="Verdana" w:hAnsi="Verdana"/>
          <w:sz w:val="20"/>
          <w:szCs w:val="20"/>
        </w:rPr>
      </w:pPr>
    </w:p>
    <w:p w:rsidR="00994842" w:rsidRPr="00B64906" w:rsidRDefault="00F465AB" w:rsidP="00E8097D">
      <w:pPr>
        <w:pStyle w:val="Prrafodelista"/>
        <w:numPr>
          <w:ilvl w:val="0"/>
          <w:numId w:val="17"/>
        </w:numPr>
        <w:spacing w:before="120" w:after="120" w:line="240" w:lineRule="auto"/>
        <w:ind w:left="0" w:firstLine="0"/>
        <w:contextualSpacing w:val="0"/>
        <w:jc w:val="both"/>
        <w:rPr>
          <w:rFonts w:ascii="Verdana" w:hAnsi="Verdana"/>
          <w:sz w:val="20"/>
          <w:szCs w:val="20"/>
        </w:rPr>
      </w:pPr>
      <w:r w:rsidRPr="00B64906">
        <w:rPr>
          <w:rFonts w:ascii="Verdana" w:hAnsi="Verdana"/>
          <w:sz w:val="20"/>
          <w:szCs w:val="20"/>
        </w:rPr>
        <w:t xml:space="preserve">Con base en lo expuesto, la Corte </w:t>
      </w:r>
      <w:r w:rsidR="00BF4DB1">
        <w:rPr>
          <w:rFonts w:ascii="Verdana" w:hAnsi="Verdana"/>
          <w:sz w:val="20"/>
          <w:szCs w:val="20"/>
        </w:rPr>
        <w:t>concluye</w:t>
      </w:r>
      <w:r w:rsidR="00BF4DB1" w:rsidRPr="00B64906">
        <w:rPr>
          <w:rFonts w:ascii="Verdana" w:hAnsi="Verdana"/>
          <w:sz w:val="20"/>
          <w:szCs w:val="20"/>
        </w:rPr>
        <w:t xml:space="preserve"> </w:t>
      </w:r>
      <w:r w:rsidRPr="00B64906">
        <w:rPr>
          <w:rFonts w:ascii="Verdana" w:hAnsi="Verdana"/>
          <w:sz w:val="20"/>
          <w:szCs w:val="20"/>
        </w:rPr>
        <w:t>que Argentina ha dado cumplimiento total a la medida ordenada en el punto resolutivo décimo de la Sentencia, relativa al pago de las cantidades fijadas en la misma a favor de los señores</w:t>
      </w:r>
      <w:r w:rsidR="00142FE2" w:rsidRPr="00B64906">
        <w:rPr>
          <w:rFonts w:ascii="Verdana" w:hAnsi="Verdana"/>
          <w:sz w:val="20"/>
          <w:szCs w:val="20"/>
        </w:rPr>
        <w:t xml:space="preserve"> Carlos y Pablo</w:t>
      </w:r>
      <w:r w:rsidRPr="00B64906">
        <w:rPr>
          <w:rFonts w:ascii="Verdana" w:hAnsi="Verdana"/>
          <w:sz w:val="20"/>
          <w:szCs w:val="20"/>
        </w:rPr>
        <w:t xml:space="preserve"> </w:t>
      </w:r>
      <w:proofErr w:type="spellStart"/>
      <w:r w:rsidRPr="00B64906">
        <w:rPr>
          <w:rFonts w:ascii="Verdana" w:hAnsi="Verdana"/>
          <w:sz w:val="20"/>
          <w:szCs w:val="20"/>
        </w:rPr>
        <w:t>Mémoli</w:t>
      </w:r>
      <w:proofErr w:type="spellEnd"/>
      <w:r w:rsidRPr="00B64906">
        <w:rPr>
          <w:rFonts w:ascii="Verdana" w:hAnsi="Verdana"/>
          <w:sz w:val="20"/>
          <w:szCs w:val="20"/>
        </w:rPr>
        <w:t xml:space="preserve"> por concepto de indemnización por daño inmaterial y por reintegro de costas y gastos.</w:t>
      </w:r>
    </w:p>
    <w:p w:rsidR="009C0163" w:rsidRPr="00844485" w:rsidRDefault="00B64906" w:rsidP="00B64906">
      <w:pPr>
        <w:tabs>
          <w:tab w:val="left" w:pos="5744"/>
        </w:tabs>
        <w:spacing w:before="120" w:after="120" w:line="240" w:lineRule="auto"/>
        <w:jc w:val="both"/>
        <w:rPr>
          <w:rFonts w:ascii="Verdana" w:hAnsi="Verdana"/>
          <w:sz w:val="20"/>
          <w:szCs w:val="20"/>
          <w:lang w:val="es-ES"/>
        </w:rPr>
      </w:pPr>
      <w:r>
        <w:rPr>
          <w:rFonts w:ascii="Verdana" w:hAnsi="Verdana"/>
          <w:sz w:val="20"/>
          <w:szCs w:val="20"/>
          <w:lang w:val="es-ES"/>
        </w:rPr>
        <w:tab/>
      </w:r>
    </w:p>
    <w:p w:rsidR="009C0163" w:rsidRDefault="009C0163" w:rsidP="009C0163">
      <w:pPr>
        <w:autoSpaceDE w:val="0"/>
        <w:autoSpaceDN w:val="0"/>
        <w:adjustRightInd w:val="0"/>
        <w:spacing w:before="120" w:after="120" w:line="240" w:lineRule="auto"/>
        <w:jc w:val="both"/>
        <w:rPr>
          <w:rFonts w:ascii="Verdana" w:hAnsi="Verdana"/>
          <w:b/>
          <w:sz w:val="20"/>
          <w:szCs w:val="20"/>
        </w:rPr>
      </w:pPr>
      <w:r w:rsidRPr="00844485">
        <w:rPr>
          <w:rFonts w:ascii="Verdana" w:hAnsi="Verdana"/>
          <w:b/>
          <w:sz w:val="20"/>
          <w:szCs w:val="20"/>
        </w:rPr>
        <w:t xml:space="preserve">POR TANTO: </w:t>
      </w:r>
    </w:p>
    <w:p w:rsidR="00A6120E" w:rsidRPr="00844485" w:rsidRDefault="00A6120E" w:rsidP="009C0163">
      <w:pPr>
        <w:autoSpaceDE w:val="0"/>
        <w:autoSpaceDN w:val="0"/>
        <w:adjustRightInd w:val="0"/>
        <w:spacing w:before="120" w:after="120" w:line="240" w:lineRule="auto"/>
        <w:jc w:val="both"/>
        <w:rPr>
          <w:rFonts w:ascii="Verdana" w:hAnsi="Verdana"/>
          <w:b/>
          <w:sz w:val="20"/>
          <w:szCs w:val="20"/>
        </w:rPr>
      </w:pPr>
    </w:p>
    <w:p w:rsidR="009C0163" w:rsidRDefault="009C0163" w:rsidP="009C0163">
      <w:pPr>
        <w:autoSpaceDE w:val="0"/>
        <w:autoSpaceDN w:val="0"/>
        <w:adjustRightInd w:val="0"/>
        <w:spacing w:before="120" w:after="120" w:line="240" w:lineRule="auto"/>
        <w:jc w:val="both"/>
        <w:rPr>
          <w:rFonts w:ascii="Verdana" w:hAnsi="Verdana"/>
          <w:sz w:val="20"/>
          <w:szCs w:val="20"/>
        </w:rPr>
      </w:pPr>
      <w:r w:rsidRPr="00844485">
        <w:rPr>
          <w:rFonts w:ascii="Verdana" w:hAnsi="Verdana"/>
          <w:b/>
          <w:sz w:val="20"/>
          <w:szCs w:val="20"/>
        </w:rPr>
        <w:t>LA CORTE INTERAMERICANA DE DERECHOS HUMANOS,</w:t>
      </w:r>
      <w:r w:rsidRPr="00844485">
        <w:rPr>
          <w:rFonts w:ascii="Verdana" w:hAnsi="Verdana"/>
          <w:sz w:val="20"/>
          <w:szCs w:val="20"/>
        </w:rPr>
        <w:t xml:space="preserve"> </w:t>
      </w:r>
    </w:p>
    <w:p w:rsidR="00A6120E" w:rsidRPr="00844485" w:rsidRDefault="00A6120E" w:rsidP="009C0163">
      <w:pPr>
        <w:autoSpaceDE w:val="0"/>
        <w:autoSpaceDN w:val="0"/>
        <w:adjustRightInd w:val="0"/>
        <w:spacing w:before="120" w:after="120" w:line="240" w:lineRule="auto"/>
        <w:jc w:val="both"/>
        <w:rPr>
          <w:rFonts w:ascii="Verdana" w:hAnsi="Verdana"/>
          <w:sz w:val="20"/>
          <w:szCs w:val="20"/>
        </w:rPr>
      </w:pPr>
    </w:p>
    <w:p w:rsidR="009C0163" w:rsidRDefault="009C0163" w:rsidP="009C0163">
      <w:pPr>
        <w:tabs>
          <w:tab w:val="left" w:pos="567"/>
        </w:tabs>
        <w:spacing w:before="120" w:after="120" w:line="240" w:lineRule="auto"/>
        <w:jc w:val="both"/>
        <w:rPr>
          <w:rFonts w:ascii="Verdana" w:hAnsi="Verdana"/>
          <w:sz w:val="20"/>
        </w:rPr>
      </w:pPr>
      <w:proofErr w:type="gramStart"/>
      <w:r w:rsidRPr="00C16F1F">
        <w:rPr>
          <w:rFonts w:ascii="Verdana" w:hAnsi="Verdana"/>
          <w:sz w:val="20"/>
        </w:rPr>
        <w:lastRenderedPageBreak/>
        <w:t>en</w:t>
      </w:r>
      <w:proofErr w:type="gramEnd"/>
      <w:r w:rsidRPr="00C16F1F">
        <w:rPr>
          <w:rFonts w:ascii="Verdana" w:hAnsi="Verdana"/>
          <w:sz w:val="20"/>
        </w:rPr>
        <w:t xml:space="preserve"> el ejercicio de sus atribuciones de supervisión del cumplimiento de sus decisiones, de conformidad con los artículos 33, 62.1, 62.3, </w:t>
      </w:r>
      <w:r>
        <w:rPr>
          <w:rFonts w:ascii="Verdana" w:hAnsi="Verdana"/>
          <w:sz w:val="20"/>
        </w:rPr>
        <w:t xml:space="preserve">65, 67 </w:t>
      </w:r>
      <w:r w:rsidRPr="00C16F1F">
        <w:rPr>
          <w:rFonts w:ascii="Verdana" w:hAnsi="Verdana"/>
          <w:sz w:val="20"/>
        </w:rPr>
        <w:t>y 68.1 de la Convención Americana sobre Derechos Humanos, 24</w:t>
      </w:r>
      <w:r>
        <w:rPr>
          <w:rFonts w:ascii="Verdana" w:hAnsi="Verdana"/>
          <w:sz w:val="20"/>
        </w:rPr>
        <w:t>, 25</w:t>
      </w:r>
      <w:r w:rsidRPr="00C16F1F">
        <w:rPr>
          <w:rFonts w:ascii="Verdana" w:hAnsi="Verdana"/>
          <w:sz w:val="20"/>
        </w:rPr>
        <w:t xml:space="preserve"> y 30 del Estatuto</w:t>
      </w:r>
      <w:r>
        <w:rPr>
          <w:rFonts w:ascii="Verdana" w:hAnsi="Verdana"/>
          <w:sz w:val="20"/>
        </w:rPr>
        <w:t>, y 31.2 y 69 de su Reglamento,</w:t>
      </w:r>
    </w:p>
    <w:p w:rsidR="001B771E" w:rsidRDefault="001B771E" w:rsidP="009C0163">
      <w:pPr>
        <w:autoSpaceDE w:val="0"/>
        <w:autoSpaceDN w:val="0"/>
        <w:adjustRightInd w:val="0"/>
        <w:spacing w:before="120" w:after="120"/>
        <w:jc w:val="both"/>
        <w:rPr>
          <w:rFonts w:ascii="Verdana" w:hAnsi="Verdana"/>
          <w:b/>
          <w:sz w:val="20"/>
          <w:szCs w:val="20"/>
        </w:rPr>
      </w:pPr>
    </w:p>
    <w:p w:rsidR="009C0163" w:rsidRDefault="009C0163" w:rsidP="001B771E">
      <w:pPr>
        <w:autoSpaceDE w:val="0"/>
        <w:autoSpaceDN w:val="0"/>
        <w:adjustRightInd w:val="0"/>
        <w:spacing w:after="0"/>
        <w:jc w:val="both"/>
        <w:rPr>
          <w:rFonts w:ascii="Verdana" w:hAnsi="Verdana"/>
          <w:b/>
          <w:sz w:val="20"/>
          <w:szCs w:val="20"/>
        </w:rPr>
      </w:pPr>
      <w:r w:rsidRPr="00844485">
        <w:rPr>
          <w:rFonts w:ascii="Verdana" w:hAnsi="Verdana"/>
          <w:b/>
          <w:sz w:val="20"/>
          <w:szCs w:val="20"/>
        </w:rPr>
        <w:t>RESUELVE:</w:t>
      </w:r>
    </w:p>
    <w:p w:rsidR="001B771E" w:rsidRDefault="001B771E" w:rsidP="001B771E">
      <w:pPr>
        <w:autoSpaceDE w:val="0"/>
        <w:autoSpaceDN w:val="0"/>
        <w:adjustRightInd w:val="0"/>
        <w:spacing w:after="0"/>
        <w:jc w:val="both"/>
        <w:rPr>
          <w:rFonts w:ascii="Verdana" w:hAnsi="Verdana"/>
          <w:b/>
          <w:sz w:val="20"/>
          <w:szCs w:val="20"/>
        </w:rPr>
      </w:pPr>
    </w:p>
    <w:p w:rsidR="009C0163" w:rsidRPr="00844485" w:rsidRDefault="009C0163" w:rsidP="001B771E">
      <w:pPr>
        <w:pStyle w:val="Prrafodelista"/>
        <w:numPr>
          <w:ilvl w:val="0"/>
          <w:numId w:val="8"/>
        </w:numPr>
        <w:autoSpaceDE w:val="0"/>
        <w:autoSpaceDN w:val="0"/>
        <w:adjustRightInd w:val="0"/>
        <w:spacing w:after="0" w:line="240" w:lineRule="auto"/>
        <w:ind w:left="0" w:firstLine="0"/>
        <w:contextualSpacing w:val="0"/>
        <w:jc w:val="both"/>
        <w:rPr>
          <w:rFonts w:ascii="Verdana" w:hAnsi="Verdana"/>
          <w:sz w:val="20"/>
          <w:szCs w:val="20"/>
        </w:rPr>
      </w:pPr>
      <w:r w:rsidRPr="00844485">
        <w:rPr>
          <w:rFonts w:ascii="Verdana" w:hAnsi="Verdana"/>
          <w:sz w:val="20"/>
          <w:szCs w:val="20"/>
        </w:rPr>
        <w:t xml:space="preserve">Declarar, de conformidad con lo señalado en los Considerandos </w:t>
      </w:r>
      <w:r w:rsidR="00B64906">
        <w:rPr>
          <w:rFonts w:ascii="Verdana" w:hAnsi="Verdana"/>
          <w:sz w:val="20"/>
          <w:szCs w:val="20"/>
        </w:rPr>
        <w:t>7, 12, 15 y 23</w:t>
      </w:r>
      <w:r w:rsidR="00B64906" w:rsidRPr="00844485">
        <w:rPr>
          <w:rFonts w:ascii="Verdana" w:hAnsi="Verdana"/>
          <w:sz w:val="20"/>
          <w:szCs w:val="20"/>
        </w:rPr>
        <w:t xml:space="preserve"> </w:t>
      </w:r>
      <w:r w:rsidRPr="00844485">
        <w:rPr>
          <w:rFonts w:ascii="Verdana" w:hAnsi="Verdana"/>
          <w:sz w:val="20"/>
          <w:szCs w:val="20"/>
        </w:rPr>
        <w:t>de la presente Resolución, que el Estado ha dado cumplimiento total a las siguientes reparaciones:</w:t>
      </w:r>
    </w:p>
    <w:p w:rsidR="00E8097D" w:rsidRDefault="00E8097D" w:rsidP="001B771E">
      <w:pPr>
        <w:pStyle w:val="Prrafodelista"/>
        <w:numPr>
          <w:ilvl w:val="0"/>
          <w:numId w:val="9"/>
        </w:numPr>
        <w:autoSpaceDE w:val="0"/>
        <w:autoSpaceDN w:val="0"/>
        <w:adjustRightInd w:val="0"/>
        <w:spacing w:before="120" w:after="120" w:line="240" w:lineRule="auto"/>
        <w:ind w:left="1066" w:hanging="357"/>
        <w:contextualSpacing w:val="0"/>
        <w:jc w:val="both"/>
        <w:rPr>
          <w:rFonts w:ascii="Verdana" w:hAnsi="Verdana"/>
          <w:sz w:val="20"/>
          <w:szCs w:val="20"/>
        </w:rPr>
      </w:pPr>
      <w:r w:rsidRPr="00844485">
        <w:rPr>
          <w:rFonts w:ascii="Verdana" w:hAnsi="Verdana"/>
          <w:sz w:val="20"/>
          <w:szCs w:val="20"/>
        </w:rPr>
        <w:t>r</w:t>
      </w:r>
      <w:r>
        <w:rPr>
          <w:rFonts w:ascii="Verdana" w:hAnsi="Verdana"/>
          <w:sz w:val="20"/>
          <w:szCs w:val="20"/>
        </w:rPr>
        <w:t xml:space="preserve">evocar inmediatamente la medida cautelar de inhibición general de bienes que pesa sobre los señores </w:t>
      </w:r>
      <w:proofErr w:type="spellStart"/>
      <w:r>
        <w:rPr>
          <w:rFonts w:ascii="Verdana" w:hAnsi="Verdana"/>
          <w:sz w:val="20"/>
          <w:szCs w:val="20"/>
        </w:rPr>
        <w:t>Mémoli</w:t>
      </w:r>
      <w:proofErr w:type="spellEnd"/>
      <w:r>
        <w:rPr>
          <w:rFonts w:ascii="Verdana" w:hAnsi="Verdana"/>
          <w:sz w:val="20"/>
          <w:szCs w:val="20"/>
        </w:rPr>
        <w:t xml:space="preserve"> </w:t>
      </w:r>
      <w:r w:rsidRPr="006B4ACB">
        <w:rPr>
          <w:rFonts w:ascii="Verdana" w:hAnsi="Verdana"/>
          <w:i/>
          <w:sz w:val="20"/>
          <w:szCs w:val="20"/>
        </w:rPr>
        <w:t xml:space="preserve">(punto dispositivo </w:t>
      </w:r>
      <w:r>
        <w:rPr>
          <w:rFonts w:ascii="Verdana" w:hAnsi="Verdana"/>
          <w:i/>
          <w:sz w:val="20"/>
          <w:szCs w:val="20"/>
        </w:rPr>
        <w:t>octavo</w:t>
      </w:r>
      <w:r w:rsidR="00AB1F7F">
        <w:rPr>
          <w:rFonts w:ascii="Verdana" w:hAnsi="Verdana"/>
          <w:i/>
          <w:sz w:val="20"/>
          <w:szCs w:val="20"/>
        </w:rPr>
        <w:t xml:space="preserve"> de la Sentencia</w:t>
      </w:r>
      <w:r w:rsidRPr="006B4ACB">
        <w:rPr>
          <w:rFonts w:ascii="Verdana" w:hAnsi="Verdana"/>
          <w:i/>
          <w:sz w:val="20"/>
          <w:szCs w:val="20"/>
        </w:rPr>
        <w:t>)</w:t>
      </w:r>
      <w:r>
        <w:rPr>
          <w:rFonts w:ascii="Verdana" w:hAnsi="Verdana"/>
          <w:sz w:val="20"/>
          <w:szCs w:val="20"/>
        </w:rPr>
        <w:t xml:space="preserve">; </w:t>
      </w:r>
    </w:p>
    <w:p w:rsidR="00E6727E" w:rsidRDefault="006B4ACB" w:rsidP="001B771E">
      <w:pPr>
        <w:pStyle w:val="Prrafodelista"/>
        <w:numPr>
          <w:ilvl w:val="0"/>
          <w:numId w:val="9"/>
        </w:numPr>
        <w:autoSpaceDE w:val="0"/>
        <w:autoSpaceDN w:val="0"/>
        <w:adjustRightInd w:val="0"/>
        <w:spacing w:before="120" w:after="120" w:line="240" w:lineRule="auto"/>
        <w:ind w:left="1066" w:hanging="357"/>
        <w:contextualSpacing w:val="0"/>
        <w:jc w:val="both"/>
        <w:rPr>
          <w:rFonts w:ascii="Verdana" w:hAnsi="Verdana"/>
          <w:sz w:val="20"/>
          <w:szCs w:val="20"/>
        </w:rPr>
      </w:pPr>
      <w:r>
        <w:rPr>
          <w:rFonts w:ascii="Verdana" w:hAnsi="Verdana"/>
          <w:sz w:val="20"/>
          <w:szCs w:val="20"/>
        </w:rPr>
        <w:t xml:space="preserve">adoptar las medidas necesarias para que se resuelva con la mayor celeridad posible el proceso civil iniciado contra los señores </w:t>
      </w:r>
      <w:proofErr w:type="spellStart"/>
      <w:r>
        <w:rPr>
          <w:rFonts w:ascii="Verdana" w:hAnsi="Verdana"/>
          <w:sz w:val="20"/>
          <w:szCs w:val="20"/>
        </w:rPr>
        <w:t>Mémoli</w:t>
      </w:r>
      <w:proofErr w:type="spellEnd"/>
      <w:r>
        <w:rPr>
          <w:rFonts w:ascii="Verdana" w:hAnsi="Verdana"/>
          <w:sz w:val="20"/>
          <w:szCs w:val="20"/>
        </w:rPr>
        <w:t xml:space="preserve"> </w:t>
      </w:r>
      <w:r w:rsidRPr="006B4ACB">
        <w:rPr>
          <w:rFonts w:ascii="Verdana" w:hAnsi="Verdana"/>
          <w:i/>
          <w:sz w:val="20"/>
          <w:szCs w:val="20"/>
        </w:rPr>
        <w:t>(punto dispositivo s</w:t>
      </w:r>
      <w:r>
        <w:rPr>
          <w:rFonts w:ascii="Verdana" w:hAnsi="Verdana"/>
          <w:i/>
          <w:sz w:val="20"/>
          <w:szCs w:val="20"/>
        </w:rPr>
        <w:t>éptimo</w:t>
      </w:r>
      <w:r w:rsidR="00AB1F7F">
        <w:rPr>
          <w:rFonts w:ascii="Verdana" w:hAnsi="Verdana"/>
          <w:i/>
          <w:sz w:val="20"/>
          <w:szCs w:val="20"/>
        </w:rPr>
        <w:t xml:space="preserve"> de la Sentencia</w:t>
      </w:r>
      <w:r w:rsidRPr="006B4ACB">
        <w:rPr>
          <w:rFonts w:ascii="Verdana" w:hAnsi="Verdana"/>
          <w:i/>
          <w:sz w:val="20"/>
          <w:szCs w:val="20"/>
        </w:rPr>
        <w:t>)</w:t>
      </w:r>
      <w:r>
        <w:rPr>
          <w:rFonts w:ascii="Verdana" w:hAnsi="Verdana"/>
          <w:sz w:val="20"/>
          <w:szCs w:val="20"/>
        </w:rPr>
        <w:t>;</w:t>
      </w:r>
    </w:p>
    <w:p w:rsidR="009C0163" w:rsidRDefault="006B4ACB" w:rsidP="001B771E">
      <w:pPr>
        <w:pStyle w:val="Prrafodelista"/>
        <w:numPr>
          <w:ilvl w:val="0"/>
          <w:numId w:val="9"/>
        </w:numPr>
        <w:autoSpaceDE w:val="0"/>
        <w:autoSpaceDN w:val="0"/>
        <w:adjustRightInd w:val="0"/>
        <w:spacing w:before="120" w:after="120" w:line="240" w:lineRule="auto"/>
        <w:ind w:left="1066" w:hanging="357"/>
        <w:contextualSpacing w:val="0"/>
        <w:jc w:val="both"/>
        <w:rPr>
          <w:rFonts w:ascii="Verdana" w:hAnsi="Verdana"/>
          <w:sz w:val="20"/>
          <w:szCs w:val="20"/>
        </w:rPr>
      </w:pPr>
      <w:r>
        <w:rPr>
          <w:rFonts w:ascii="Verdana" w:hAnsi="Verdana"/>
          <w:sz w:val="20"/>
          <w:szCs w:val="20"/>
        </w:rPr>
        <w:t>r</w:t>
      </w:r>
      <w:r w:rsidR="009C0163" w:rsidRPr="00844485">
        <w:rPr>
          <w:rFonts w:ascii="Verdana" w:hAnsi="Verdana"/>
          <w:sz w:val="20"/>
          <w:szCs w:val="20"/>
        </w:rPr>
        <w:t xml:space="preserve">ealizar las publicaciones </w:t>
      </w:r>
      <w:r w:rsidR="009C0163">
        <w:rPr>
          <w:rFonts w:ascii="Verdana" w:hAnsi="Verdana"/>
          <w:sz w:val="20"/>
          <w:szCs w:val="20"/>
        </w:rPr>
        <w:t>de la Sentencia o de su resumen oficial que se indican en el párrafo 2</w:t>
      </w:r>
      <w:r>
        <w:rPr>
          <w:rFonts w:ascii="Verdana" w:hAnsi="Verdana"/>
          <w:sz w:val="20"/>
          <w:szCs w:val="20"/>
        </w:rPr>
        <w:t>07</w:t>
      </w:r>
      <w:r w:rsidR="009C0163">
        <w:rPr>
          <w:rFonts w:ascii="Verdana" w:hAnsi="Verdana"/>
          <w:sz w:val="20"/>
          <w:szCs w:val="20"/>
        </w:rPr>
        <w:t xml:space="preserve"> de la misma </w:t>
      </w:r>
      <w:r w:rsidR="009C0163" w:rsidRPr="00844485">
        <w:rPr>
          <w:rFonts w:ascii="Verdana" w:hAnsi="Verdana"/>
          <w:i/>
          <w:sz w:val="20"/>
          <w:szCs w:val="20"/>
        </w:rPr>
        <w:t xml:space="preserve">(punto dispositivo </w:t>
      </w:r>
      <w:r>
        <w:rPr>
          <w:rFonts w:ascii="Verdana" w:hAnsi="Verdana"/>
          <w:i/>
          <w:sz w:val="20"/>
          <w:szCs w:val="20"/>
        </w:rPr>
        <w:t>noveno</w:t>
      </w:r>
      <w:r w:rsidR="00AB1F7F">
        <w:rPr>
          <w:rFonts w:ascii="Verdana" w:hAnsi="Verdana"/>
          <w:i/>
          <w:sz w:val="20"/>
          <w:szCs w:val="20"/>
        </w:rPr>
        <w:t xml:space="preserve"> de la Sentencia</w:t>
      </w:r>
      <w:r w:rsidR="009C0163" w:rsidRPr="00844485">
        <w:rPr>
          <w:rFonts w:ascii="Verdana" w:hAnsi="Verdana"/>
          <w:i/>
          <w:sz w:val="20"/>
          <w:szCs w:val="20"/>
        </w:rPr>
        <w:t>)</w:t>
      </w:r>
      <w:r>
        <w:rPr>
          <w:rFonts w:ascii="Verdana" w:hAnsi="Verdana"/>
          <w:sz w:val="20"/>
          <w:szCs w:val="20"/>
        </w:rPr>
        <w:t>, y</w:t>
      </w:r>
    </w:p>
    <w:p w:rsidR="009C0163" w:rsidRDefault="009C0163" w:rsidP="001B771E">
      <w:pPr>
        <w:pStyle w:val="Prrafodelista"/>
        <w:numPr>
          <w:ilvl w:val="0"/>
          <w:numId w:val="9"/>
        </w:numPr>
        <w:autoSpaceDE w:val="0"/>
        <w:autoSpaceDN w:val="0"/>
        <w:adjustRightInd w:val="0"/>
        <w:spacing w:before="120" w:after="120" w:line="240" w:lineRule="auto"/>
        <w:ind w:left="1066" w:hanging="357"/>
        <w:contextualSpacing w:val="0"/>
        <w:jc w:val="both"/>
        <w:rPr>
          <w:rFonts w:ascii="Verdana" w:hAnsi="Verdana"/>
          <w:sz w:val="20"/>
          <w:szCs w:val="20"/>
        </w:rPr>
      </w:pPr>
      <w:r w:rsidRPr="00456CD4">
        <w:rPr>
          <w:rFonts w:ascii="Verdana" w:hAnsi="Verdana"/>
          <w:sz w:val="20"/>
          <w:szCs w:val="20"/>
        </w:rPr>
        <w:t xml:space="preserve">pagar </w:t>
      </w:r>
      <w:r w:rsidR="006B4ACB">
        <w:rPr>
          <w:rFonts w:ascii="Verdana" w:hAnsi="Verdana"/>
          <w:sz w:val="20"/>
          <w:szCs w:val="20"/>
        </w:rPr>
        <w:t xml:space="preserve">las cantidades fijadas en los párrafos 221 y 226 de la Sentencia, por concepto de indemnizaciones por daño </w:t>
      </w:r>
      <w:r w:rsidR="00B64906">
        <w:rPr>
          <w:rFonts w:ascii="Verdana" w:hAnsi="Verdana"/>
          <w:sz w:val="20"/>
          <w:szCs w:val="20"/>
        </w:rPr>
        <w:t>in</w:t>
      </w:r>
      <w:r w:rsidR="006B4ACB">
        <w:rPr>
          <w:rFonts w:ascii="Verdana" w:hAnsi="Verdana"/>
          <w:sz w:val="20"/>
          <w:szCs w:val="20"/>
        </w:rPr>
        <w:t xml:space="preserve">material y reintegro de costas y gastos </w:t>
      </w:r>
      <w:r w:rsidRPr="00456CD4">
        <w:rPr>
          <w:rFonts w:ascii="Verdana" w:hAnsi="Verdana"/>
          <w:i/>
          <w:sz w:val="20"/>
          <w:szCs w:val="20"/>
        </w:rPr>
        <w:t xml:space="preserve">(punto dispositivo </w:t>
      </w:r>
      <w:r w:rsidR="006B4ACB">
        <w:rPr>
          <w:rFonts w:ascii="Verdana" w:hAnsi="Verdana"/>
          <w:i/>
          <w:sz w:val="20"/>
          <w:szCs w:val="20"/>
        </w:rPr>
        <w:t>décimo</w:t>
      </w:r>
      <w:r w:rsidR="00AB1F7F">
        <w:rPr>
          <w:rFonts w:ascii="Verdana" w:hAnsi="Verdana"/>
          <w:i/>
          <w:sz w:val="20"/>
          <w:szCs w:val="20"/>
        </w:rPr>
        <w:t xml:space="preserve"> de la Sentencia</w:t>
      </w:r>
      <w:r w:rsidRPr="00456CD4">
        <w:rPr>
          <w:rFonts w:ascii="Verdana" w:hAnsi="Verdana"/>
          <w:i/>
          <w:sz w:val="20"/>
          <w:szCs w:val="20"/>
        </w:rPr>
        <w:t>)</w:t>
      </w:r>
      <w:r w:rsidR="006B4ACB">
        <w:rPr>
          <w:rFonts w:ascii="Verdana" w:hAnsi="Verdana"/>
          <w:sz w:val="20"/>
          <w:szCs w:val="20"/>
        </w:rPr>
        <w:t>.</w:t>
      </w:r>
    </w:p>
    <w:p w:rsidR="001B771E" w:rsidRPr="00456CD4" w:rsidRDefault="001B771E" w:rsidP="001B771E">
      <w:pPr>
        <w:pStyle w:val="Prrafodelista"/>
        <w:autoSpaceDE w:val="0"/>
        <w:autoSpaceDN w:val="0"/>
        <w:adjustRightInd w:val="0"/>
        <w:spacing w:after="0" w:line="240" w:lineRule="auto"/>
        <w:ind w:left="1066"/>
        <w:contextualSpacing w:val="0"/>
        <w:jc w:val="both"/>
        <w:rPr>
          <w:rFonts w:ascii="Verdana" w:hAnsi="Verdana"/>
          <w:sz w:val="20"/>
          <w:szCs w:val="20"/>
        </w:rPr>
      </w:pPr>
    </w:p>
    <w:p w:rsidR="009C0163" w:rsidRDefault="009C0163" w:rsidP="001B771E">
      <w:pPr>
        <w:pStyle w:val="Prrafodelista"/>
        <w:numPr>
          <w:ilvl w:val="0"/>
          <w:numId w:val="8"/>
        </w:numPr>
        <w:autoSpaceDE w:val="0"/>
        <w:autoSpaceDN w:val="0"/>
        <w:adjustRightInd w:val="0"/>
        <w:spacing w:after="0" w:line="240" w:lineRule="auto"/>
        <w:ind w:left="0" w:hanging="11"/>
        <w:contextualSpacing w:val="0"/>
        <w:jc w:val="both"/>
        <w:rPr>
          <w:rFonts w:ascii="Verdana" w:hAnsi="Verdana"/>
          <w:sz w:val="20"/>
          <w:szCs w:val="20"/>
        </w:rPr>
      </w:pPr>
      <w:r w:rsidRPr="00844485">
        <w:rPr>
          <w:rFonts w:ascii="Verdana" w:hAnsi="Verdana"/>
          <w:sz w:val="20"/>
          <w:szCs w:val="20"/>
        </w:rPr>
        <w:t xml:space="preserve">Dar por concluido el caso </w:t>
      </w:r>
      <w:proofErr w:type="spellStart"/>
      <w:r w:rsidR="00E6727E">
        <w:rPr>
          <w:rFonts w:ascii="Verdana" w:hAnsi="Verdana"/>
          <w:sz w:val="20"/>
          <w:szCs w:val="20"/>
        </w:rPr>
        <w:t>Mémoli</w:t>
      </w:r>
      <w:proofErr w:type="spellEnd"/>
      <w:r w:rsidRPr="00844485">
        <w:rPr>
          <w:rFonts w:ascii="Verdana" w:hAnsi="Verdana"/>
          <w:sz w:val="20"/>
          <w:szCs w:val="20"/>
        </w:rPr>
        <w:t xml:space="preserve">, dado que la República </w:t>
      </w:r>
      <w:r w:rsidR="00E6727E">
        <w:rPr>
          <w:rFonts w:ascii="Verdana" w:hAnsi="Verdana"/>
          <w:sz w:val="20"/>
          <w:szCs w:val="20"/>
        </w:rPr>
        <w:t>Argentina</w:t>
      </w:r>
      <w:r w:rsidRPr="00844485">
        <w:rPr>
          <w:rFonts w:ascii="Verdana" w:hAnsi="Verdana"/>
          <w:sz w:val="20"/>
          <w:szCs w:val="20"/>
        </w:rPr>
        <w:t xml:space="preserve"> ha dado cumplimiento a lo dispuesto en la Sentencia emitida por la Corte el </w:t>
      </w:r>
      <w:r w:rsidR="006B4ACB">
        <w:rPr>
          <w:rFonts w:ascii="Verdana" w:hAnsi="Verdana"/>
          <w:sz w:val="20"/>
          <w:szCs w:val="20"/>
        </w:rPr>
        <w:t>22</w:t>
      </w:r>
      <w:r>
        <w:rPr>
          <w:rFonts w:ascii="Verdana" w:hAnsi="Verdana"/>
          <w:sz w:val="20"/>
          <w:szCs w:val="20"/>
        </w:rPr>
        <w:t xml:space="preserve"> de agosto de 2013</w:t>
      </w:r>
      <w:r w:rsidRPr="00844485">
        <w:rPr>
          <w:rFonts w:ascii="Verdana" w:hAnsi="Verdana"/>
          <w:sz w:val="20"/>
          <w:szCs w:val="20"/>
        </w:rPr>
        <w:t>.</w:t>
      </w:r>
    </w:p>
    <w:p w:rsidR="001B771E" w:rsidRDefault="001B771E" w:rsidP="001B771E">
      <w:pPr>
        <w:pStyle w:val="Prrafodelista"/>
        <w:autoSpaceDE w:val="0"/>
        <w:autoSpaceDN w:val="0"/>
        <w:adjustRightInd w:val="0"/>
        <w:spacing w:after="0" w:line="240" w:lineRule="auto"/>
        <w:ind w:left="0"/>
        <w:contextualSpacing w:val="0"/>
        <w:jc w:val="both"/>
        <w:rPr>
          <w:rFonts w:ascii="Verdana" w:hAnsi="Verdana"/>
          <w:sz w:val="20"/>
          <w:szCs w:val="20"/>
        </w:rPr>
      </w:pPr>
    </w:p>
    <w:p w:rsidR="009C0163" w:rsidRDefault="009C0163" w:rsidP="001B771E">
      <w:pPr>
        <w:pStyle w:val="Prrafodelista"/>
        <w:numPr>
          <w:ilvl w:val="0"/>
          <w:numId w:val="8"/>
        </w:numPr>
        <w:autoSpaceDE w:val="0"/>
        <w:autoSpaceDN w:val="0"/>
        <w:adjustRightInd w:val="0"/>
        <w:spacing w:after="0" w:line="240" w:lineRule="auto"/>
        <w:ind w:left="0" w:hanging="11"/>
        <w:contextualSpacing w:val="0"/>
        <w:jc w:val="both"/>
        <w:rPr>
          <w:rFonts w:ascii="Verdana" w:hAnsi="Verdana"/>
          <w:sz w:val="20"/>
          <w:szCs w:val="20"/>
        </w:rPr>
      </w:pPr>
      <w:r w:rsidRPr="00844485">
        <w:rPr>
          <w:rFonts w:ascii="Verdana" w:hAnsi="Verdana"/>
          <w:sz w:val="20"/>
          <w:szCs w:val="20"/>
        </w:rPr>
        <w:t>Comunicar esta Resolución a la Asamblea General de la Organización de los Estados Americanos por conducto del Informe Anual de la Corte Interamericana de Derechos Humanos del año 201</w:t>
      </w:r>
      <w:r w:rsidR="006B4ACB">
        <w:rPr>
          <w:rFonts w:ascii="Verdana" w:hAnsi="Verdana"/>
          <w:sz w:val="20"/>
          <w:szCs w:val="20"/>
        </w:rPr>
        <w:t>7</w:t>
      </w:r>
      <w:r w:rsidRPr="00844485">
        <w:rPr>
          <w:rFonts w:ascii="Verdana" w:hAnsi="Verdana"/>
          <w:sz w:val="20"/>
          <w:szCs w:val="20"/>
        </w:rPr>
        <w:t xml:space="preserve">. </w:t>
      </w:r>
    </w:p>
    <w:p w:rsidR="001B771E" w:rsidRPr="001B771E" w:rsidRDefault="001B771E" w:rsidP="001B771E">
      <w:pPr>
        <w:pStyle w:val="Prrafodelista"/>
        <w:rPr>
          <w:rFonts w:ascii="Verdana" w:hAnsi="Verdana"/>
          <w:sz w:val="20"/>
          <w:szCs w:val="20"/>
        </w:rPr>
      </w:pPr>
    </w:p>
    <w:p w:rsidR="009C0163" w:rsidRDefault="009C0163" w:rsidP="001B771E">
      <w:pPr>
        <w:pStyle w:val="Prrafodelista"/>
        <w:numPr>
          <w:ilvl w:val="0"/>
          <w:numId w:val="8"/>
        </w:numPr>
        <w:autoSpaceDE w:val="0"/>
        <w:autoSpaceDN w:val="0"/>
        <w:adjustRightInd w:val="0"/>
        <w:spacing w:after="0" w:line="240" w:lineRule="auto"/>
        <w:ind w:left="0" w:hanging="11"/>
        <w:contextualSpacing w:val="0"/>
        <w:jc w:val="both"/>
        <w:rPr>
          <w:rFonts w:ascii="Verdana" w:hAnsi="Verdana"/>
          <w:sz w:val="20"/>
          <w:szCs w:val="20"/>
        </w:rPr>
      </w:pPr>
      <w:r w:rsidRPr="00844485">
        <w:rPr>
          <w:rFonts w:ascii="Verdana" w:hAnsi="Verdana"/>
          <w:sz w:val="20"/>
          <w:szCs w:val="20"/>
        </w:rPr>
        <w:t>Disponer que la Secretaría de la Corte notifique la presente Resolución al Estado</w:t>
      </w:r>
      <w:r>
        <w:rPr>
          <w:rFonts w:ascii="Verdana" w:hAnsi="Verdana"/>
          <w:sz w:val="20"/>
          <w:szCs w:val="20"/>
        </w:rPr>
        <w:t xml:space="preserve">, a </w:t>
      </w:r>
      <w:r w:rsidRPr="00844485">
        <w:rPr>
          <w:rFonts w:ascii="Verdana" w:hAnsi="Verdana"/>
          <w:sz w:val="20"/>
          <w:szCs w:val="20"/>
        </w:rPr>
        <w:t>la</w:t>
      </w:r>
      <w:r>
        <w:rPr>
          <w:rFonts w:ascii="Verdana" w:hAnsi="Verdana"/>
          <w:sz w:val="20"/>
          <w:szCs w:val="20"/>
        </w:rPr>
        <w:t>s</w:t>
      </w:r>
      <w:r w:rsidRPr="00844485">
        <w:rPr>
          <w:rFonts w:ascii="Verdana" w:hAnsi="Verdana"/>
          <w:sz w:val="20"/>
          <w:szCs w:val="20"/>
        </w:rPr>
        <w:t xml:space="preserve"> víctima</w:t>
      </w:r>
      <w:r>
        <w:rPr>
          <w:rFonts w:ascii="Verdana" w:hAnsi="Verdana"/>
          <w:sz w:val="20"/>
          <w:szCs w:val="20"/>
        </w:rPr>
        <w:t>s</w:t>
      </w:r>
      <w:r w:rsidRPr="00844485">
        <w:rPr>
          <w:rFonts w:ascii="Verdana" w:hAnsi="Verdana"/>
          <w:sz w:val="20"/>
          <w:szCs w:val="20"/>
        </w:rPr>
        <w:t xml:space="preserve"> y a la Comisión Interamericana de Derechos Humanos. </w:t>
      </w:r>
    </w:p>
    <w:p w:rsidR="001B771E" w:rsidRDefault="001B771E" w:rsidP="001B771E">
      <w:pPr>
        <w:pStyle w:val="Prrafodelista"/>
        <w:autoSpaceDE w:val="0"/>
        <w:autoSpaceDN w:val="0"/>
        <w:adjustRightInd w:val="0"/>
        <w:spacing w:after="0" w:line="240" w:lineRule="auto"/>
        <w:ind w:left="0"/>
        <w:contextualSpacing w:val="0"/>
        <w:jc w:val="both"/>
        <w:rPr>
          <w:rFonts w:ascii="Verdana" w:hAnsi="Verdana"/>
          <w:sz w:val="20"/>
          <w:szCs w:val="20"/>
        </w:rPr>
      </w:pPr>
    </w:p>
    <w:p w:rsidR="009C0163" w:rsidRDefault="009C0163" w:rsidP="001B771E">
      <w:pPr>
        <w:pStyle w:val="Prrafodelista"/>
        <w:numPr>
          <w:ilvl w:val="0"/>
          <w:numId w:val="8"/>
        </w:numPr>
        <w:autoSpaceDE w:val="0"/>
        <w:autoSpaceDN w:val="0"/>
        <w:adjustRightInd w:val="0"/>
        <w:spacing w:after="0" w:line="240" w:lineRule="auto"/>
        <w:ind w:left="0" w:hanging="11"/>
        <w:contextualSpacing w:val="0"/>
        <w:jc w:val="both"/>
        <w:rPr>
          <w:rFonts w:ascii="Verdana" w:hAnsi="Verdana"/>
          <w:sz w:val="20"/>
          <w:szCs w:val="20"/>
        </w:rPr>
      </w:pPr>
      <w:r w:rsidRPr="00844485">
        <w:rPr>
          <w:rFonts w:ascii="Verdana" w:hAnsi="Verdana"/>
          <w:sz w:val="20"/>
          <w:szCs w:val="20"/>
        </w:rPr>
        <w:t>Archivar el expediente del presente caso.</w:t>
      </w:r>
    </w:p>
    <w:p w:rsidR="00D2735E" w:rsidRPr="00C367E3" w:rsidRDefault="00D2735E" w:rsidP="00227061">
      <w:pPr>
        <w:spacing w:before="120" w:after="120" w:line="240" w:lineRule="auto"/>
        <w:jc w:val="both"/>
        <w:rPr>
          <w:rFonts w:ascii="Verdana" w:hAnsi="Verdana"/>
          <w:color w:val="000000"/>
          <w:sz w:val="20"/>
          <w:szCs w:val="20"/>
        </w:rPr>
      </w:pPr>
    </w:p>
    <w:p w:rsidR="00D2735E" w:rsidRPr="00C367E3" w:rsidRDefault="00D2735E" w:rsidP="00227061">
      <w:pPr>
        <w:spacing w:before="120" w:after="120" w:line="240" w:lineRule="auto"/>
        <w:jc w:val="both"/>
        <w:rPr>
          <w:rFonts w:ascii="Verdana" w:hAnsi="Verdana"/>
          <w:color w:val="000000"/>
          <w:sz w:val="20"/>
          <w:szCs w:val="20"/>
        </w:rPr>
      </w:pPr>
    </w:p>
    <w:p w:rsidR="006C641E" w:rsidRPr="00C367E3" w:rsidRDefault="006C641E" w:rsidP="00227061">
      <w:pPr>
        <w:spacing w:before="120" w:after="120" w:line="240" w:lineRule="auto"/>
        <w:jc w:val="both"/>
        <w:rPr>
          <w:rFonts w:ascii="Verdana" w:hAnsi="Verdana"/>
          <w:color w:val="000000"/>
          <w:sz w:val="20"/>
          <w:szCs w:val="20"/>
        </w:rPr>
      </w:pPr>
    </w:p>
    <w:p w:rsidR="006C641E" w:rsidRPr="00C367E3" w:rsidRDefault="006C641E" w:rsidP="00227061">
      <w:pPr>
        <w:spacing w:before="120" w:after="120" w:line="240" w:lineRule="auto"/>
        <w:jc w:val="both"/>
        <w:rPr>
          <w:rFonts w:ascii="Verdana" w:hAnsi="Verdana"/>
          <w:color w:val="000000"/>
          <w:sz w:val="20"/>
          <w:szCs w:val="20"/>
        </w:rPr>
      </w:pPr>
    </w:p>
    <w:p w:rsidR="006C641E" w:rsidRPr="00C367E3" w:rsidRDefault="006C641E" w:rsidP="00227061">
      <w:pPr>
        <w:spacing w:before="120" w:after="120" w:line="240" w:lineRule="auto"/>
        <w:jc w:val="both"/>
        <w:rPr>
          <w:rFonts w:ascii="Verdana" w:hAnsi="Verdana"/>
          <w:color w:val="000000"/>
          <w:sz w:val="20"/>
          <w:szCs w:val="20"/>
        </w:rPr>
      </w:pPr>
    </w:p>
    <w:p w:rsidR="006C641E" w:rsidRPr="00C367E3" w:rsidRDefault="006C641E" w:rsidP="00227061">
      <w:pPr>
        <w:spacing w:before="120" w:after="120" w:line="240" w:lineRule="auto"/>
        <w:jc w:val="both"/>
        <w:rPr>
          <w:rFonts w:ascii="Verdana" w:hAnsi="Verdana"/>
          <w:color w:val="000000"/>
          <w:sz w:val="20"/>
          <w:szCs w:val="20"/>
        </w:rPr>
      </w:pPr>
    </w:p>
    <w:p w:rsidR="006C641E" w:rsidRPr="00C367E3" w:rsidRDefault="006C641E" w:rsidP="00227061">
      <w:pPr>
        <w:spacing w:before="120" w:after="120" w:line="240" w:lineRule="auto"/>
        <w:jc w:val="both"/>
        <w:rPr>
          <w:rFonts w:ascii="Verdana" w:hAnsi="Verdana"/>
          <w:color w:val="000000"/>
          <w:sz w:val="20"/>
          <w:szCs w:val="20"/>
        </w:rPr>
      </w:pPr>
    </w:p>
    <w:p w:rsidR="00C47AF2" w:rsidRPr="00C47AF2" w:rsidRDefault="00C47AF2" w:rsidP="00C47AF2">
      <w:pPr>
        <w:keepNext/>
        <w:spacing w:after="0" w:line="240" w:lineRule="auto"/>
        <w:jc w:val="both"/>
        <w:outlineLvl w:val="0"/>
        <w:rPr>
          <w:rFonts w:ascii="Verdana" w:eastAsia="Times" w:hAnsi="Verdana" w:cs="Verdana"/>
          <w:b/>
          <w:bCs/>
          <w:sz w:val="20"/>
          <w:szCs w:val="20"/>
          <w:lang w:val="es-ES"/>
        </w:rPr>
      </w:pPr>
      <w:r w:rsidRPr="00C47AF2">
        <w:rPr>
          <w:rFonts w:ascii="Verdana" w:eastAsia="Times" w:hAnsi="Verdana" w:cs="Courier New"/>
          <w:noProof/>
          <w:sz w:val="20"/>
          <w:szCs w:val="20"/>
          <w:lang w:val="es-AR"/>
        </w:rPr>
        <w:t xml:space="preserve">Corte IDH. </w:t>
      </w:r>
      <w:r w:rsidRPr="00C47AF2">
        <w:rPr>
          <w:rFonts w:ascii="Verdana" w:eastAsia="Times" w:hAnsi="Verdana"/>
          <w:bCs/>
          <w:i/>
          <w:sz w:val="20"/>
          <w:szCs w:val="20"/>
          <w:lang w:val="es-CR"/>
        </w:rPr>
        <w:t xml:space="preserve">Caso </w:t>
      </w:r>
      <w:proofErr w:type="spellStart"/>
      <w:r w:rsidRPr="00C47AF2">
        <w:rPr>
          <w:rFonts w:ascii="Verdana" w:eastAsia="Times" w:hAnsi="Verdana"/>
          <w:bCs/>
          <w:i/>
          <w:sz w:val="20"/>
          <w:szCs w:val="20"/>
          <w:lang w:val="es-CR"/>
        </w:rPr>
        <w:t>Mémoli</w:t>
      </w:r>
      <w:proofErr w:type="spellEnd"/>
      <w:r w:rsidRPr="00C47AF2">
        <w:rPr>
          <w:rFonts w:ascii="Verdana" w:eastAsia="Times" w:hAnsi="Verdana"/>
          <w:bCs/>
          <w:i/>
          <w:sz w:val="20"/>
          <w:szCs w:val="20"/>
          <w:lang w:val="es-CR"/>
        </w:rPr>
        <w:t xml:space="preserve"> Vs. Argentina</w:t>
      </w:r>
      <w:r w:rsidRPr="00C47AF2">
        <w:rPr>
          <w:rFonts w:ascii="Verdana" w:eastAsia="Times" w:hAnsi="Verdana"/>
          <w:i/>
          <w:sz w:val="20"/>
          <w:szCs w:val="20"/>
          <w:lang w:val="es-ES"/>
        </w:rPr>
        <w:t>.</w:t>
      </w:r>
      <w:r w:rsidRPr="00C47AF2">
        <w:rPr>
          <w:rFonts w:ascii="Verdana" w:eastAsia="Times" w:hAnsi="Verdana" w:cs="Arial"/>
          <w:i/>
          <w:sz w:val="20"/>
          <w:szCs w:val="20"/>
          <w:lang w:val="es-CR"/>
        </w:rPr>
        <w:t xml:space="preserve"> </w:t>
      </w:r>
      <w:r w:rsidRPr="00C47AF2">
        <w:rPr>
          <w:rFonts w:ascii="Verdana" w:eastAsia="Times" w:hAnsi="Verdana"/>
          <w:sz w:val="20"/>
          <w:szCs w:val="20"/>
          <w:lang w:val="es-CR"/>
        </w:rPr>
        <w:t xml:space="preserve">Supervisión de cumplimiento de sentencia. </w:t>
      </w:r>
      <w:r w:rsidRPr="00C47AF2">
        <w:rPr>
          <w:rFonts w:ascii="Verdana" w:eastAsia="Times" w:hAnsi="Verdana"/>
          <w:sz w:val="20"/>
          <w:szCs w:val="20"/>
          <w:lang w:val="es-ES"/>
        </w:rPr>
        <w:t xml:space="preserve">Resolución de la Corte Interamericana de Derechos Humanos de </w:t>
      </w:r>
      <w:r w:rsidRPr="00C47AF2">
        <w:rPr>
          <w:rFonts w:ascii="Verdana" w:eastAsia="Times" w:hAnsi="Verdana"/>
          <w:sz w:val="20"/>
          <w:szCs w:val="20"/>
          <w:lang w:val="es-CR"/>
        </w:rPr>
        <w:t>10 de febrero de 2017</w:t>
      </w:r>
      <w:r w:rsidRPr="00C47AF2">
        <w:rPr>
          <w:rFonts w:ascii="Verdana" w:eastAsia="Times" w:hAnsi="Verdana"/>
          <w:sz w:val="20"/>
          <w:szCs w:val="20"/>
          <w:lang w:val="es-ES"/>
        </w:rPr>
        <w:t xml:space="preserve">. </w:t>
      </w:r>
    </w:p>
    <w:p w:rsidR="00C47AF2" w:rsidRPr="00C47AF2" w:rsidRDefault="00C47AF2" w:rsidP="00C47AF2">
      <w:pPr>
        <w:spacing w:after="0" w:line="240" w:lineRule="auto"/>
        <w:jc w:val="center"/>
        <w:rPr>
          <w:rFonts w:ascii="Verdana" w:eastAsia="Times" w:hAnsi="Verdana"/>
          <w:sz w:val="20"/>
          <w:szCs w:val="20"/>
          <w:lang w:val="es-ES"/>
        </w:rPr>
      </w:pPr>
    </w:p>
    <w:p w:rsidR="00C47AF2" w:rsidRPr="00C47AF2" w:rsidRDefault="00C47AF2" w:rsidP="00C47AF2">
      <w:pPr>
        <w:spacing w:after="0" w:line="240" w:lineRule="auto"/>
        <w:jc w:val="center"/>
        <w:rPr>
          <w:rFonts w:ascii="Verdana" w:eastAsia="Times" w:hAnsi="Verdana"/>
          <w:i/>
          <w:iCs/>
          <w:sz w:val="20"/>
          <w:szCs w:val="20"/>
          <w:lang w:val="es-CR"/>
        </w:rPr>
      </w:pPr>
    </w:p>
    <w:p w:rsidR="00C47AF2" w:rsidRPr="00C47AF2" w:rsidRDefault="00C47AF2" w:rsidP="00C47AF2">
      <w:pPr>
        <w:spacing w:after="0" w:line="240" w:lineRule="auto"/>
        <w:jc w:val="center"/>
        <w:rPr>
          <w:rFonts w:ascii="Verdana" w:eastAsia="Times" w:hAnsi="Verdana"/>
          <w:i/>
          <w:iCs/>
          <w:sz w:val="20"/>
          <w:szCs w:val="20"/>
          <w:lang w:val="es-CR"/>
        </w:rPr>
      </w:pPr>
    </w:p>
    <w:p w:rsidR="00C47AF2" w:rsidRPr="00C47AF2" w:rsidRDefault="00C47AF2" w:rsidP="00C47AF2">
      <w:pPr>
        <w:spacing w:after="0" w:line="240" w:lineRule="auto"/>
        <w:jc w:val="center"/>
        <w:rPr>
          <w:rFonts w:ascii="Verdana" w:eastAsia="Times" w:hAnsi="Verdana"/>
          <w:i/>
          <w:iCs/>
          <w:sz w:val="20"/>
          <w:szCs w:val="20"/>
          <w:lang w:val="es-CR"/>
        </w:rPr>
      </w:pPr>
    </w:p>
    <w:p w:rsidR="00C47AF2" w:rsidRPr="00C47AF2" w:rsidRDefault="00C47AF2" w:rsidP="00C47AF2">
      <w:pPr>
        <w:spacing w:after="0" w:line="240" w:lineRule="auto"/>
        <w:jc w:val="center"/>
        <w:rPr>
          <w:rFonts w:ascii="Verdana" w:eastAsia="Times" w:hAnsi="Verdana"/>
          <w:i/>
          <w:iCs/>
          <w:sz w:val="20"/>
          <w:szCs w:val="20"/>
          <w:lang w:val="es-CR"/>
        </w:rPr>
      </w:pPr>
    </w:p>
    <w:p w:rsidR="00C47AF2" w:rsidRPr="00C47AF2" w:rsidRDefault="00C47AF2" w:rsidP="00C47AF2">
      <w:pPr>
        <w:spacing w:after="0" w:line="240" w:lineRule="auto"/>
        <w:jc w:val="center"/>
        <w:rPr>
          <w:rFonts w:ascii="Verdana" w:eastAsia="Times" w:hAnsi="Verdana"/>
          <w:sz w:val="20"/>
          <w:szCs w:val="20"/>
          <w:lang w:val="es-ES"/>
        </w:rPr>
      </w:pPr>
      <w:r w:rsidRPr="00C47AF2">
        <w:rPr>
          <w:rFonts w:ascii="Verdana" w:eastAsia="Times" w:hAnsi="Verdana"/>
          <w:sz w:val="20"/>
          <w:szCs w:val="20"/>
          <w:lang w:val="es-ES"/>
        </w:rPr>
        <w:lastRenderedPageBreak/>
        <w:t>Roberto F. Caldas</w:t>
      </w:r>
    </w:p>
    <w:p w:rsidR="00C47AF2" w:rsidRPr="00C47AF2" w:rsidRDefault="00C47AF2" w:rsidP="00C47AF2">
      <w:pPr>
        <w:spacing w:after="0" w:line="240" w:lineRule="auto"/>
        <w:jc w:val="center"/>
        <w:rPr>
          <w:rFonts w:ascii="Verdana" w:eastAsia="Times" w:hAnsi="Verdana"/>
          <w:sz w:val="20"/>
          <w:szCs w:val="20"/>
          <w:lang w:val="es-ES"/>
        </w:rPr>
      </w:pPr>
      <w:r w:rsidRPr="00C47AF2">
        <w:rPr>
          <w:rFonts w:ascii="Verdana" w:eastAsia="Times" w:hAnsi="Verdana"/>
          <w:sz w:val="20"/>
          <w:szCs w:val="20"/>
          <w:lang w:val="es-ES"/>
        </w:rPr>
        <w:t xml:space="preserve">Presidente </w:t>
      </w: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tabs>
          <w:tab w:val="left" w:pos="1485"/>
        </w:tabs>
        <w:spacing w:after="0" w:line="240" w:lineRule="auto"/>
        <w:jc w:val="both"/>
        <w:rPr>
          <w:rFonts w:ascii="Verdana" w:eastAsia="Times" w:hAnsi="Verdana"/>
          <w:sz w:val="20"/>
          <w:szCs w:val="20"/>
          <w:lang w:val="es-ES"/>
        </w:rPr>
      </w:pPr>
      <w:r w:rsidRPr="00C47AF2">
        <w:rPr>
          <w:rFonts w:ascii="Verdana" w:eastAsia="Times" w:hAnsi="Verdana"/>
          <w:sz w:val="20"/>
          <w:szCs w:val="20"/>
          <w:lang w:val="es-ES"/>
        </w:rPr>
        <w:tab/>
      </w: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r w:rsidRPr="00C47AF2">
        <w:rPr>
          <w:rFonts w:ascii="Verdana" w:eastAsia="Times" w:hAnsi="Verdana"/>
          <w:sz w:val="20"/>
          <w:szCs w:val="20"/>
          <w:lang w:val="es-ES"/>
        </w:rPr>
        <w:t>Eduardo Ferrer Mac-</w:t>
      </w:r>
      <w:proofErr w:type="spellStart"/>
      <w:r w:rsidRPr="00C47AF2">
        <w:rPr>
          <w:rFonts w:ascii="Verdana" w:eastAsia="Times" w:hAnsi="Verdana"/>
          <w:sz w:val="20"/>
          <w:szCs w:val="20"/>
          <w:lang w:val="es-ES"/>
        </w:rPr>
        <w:t>Gregor</w:t>
      </w:r>
      <w:proofErr w:type="spellEnd"/>
      <w:r w:rsidRPr="00C47AF2">
        <w:rPr>
          <w:rFonts w:ascii="Verdana" w:eastAsia="Times" w:hAnsi="Verdana"/>
          <w:sz w:val="20"/>
          <w:szCs w:val="20"/>
          <w:lang w:val="es-ES"/>
        </w:rPr>
        <w:t xml:space="preserve"> </w:t>
      </w:r>
      <w:proofErr w:type="spellStart"/>
      <w:r w:rsidRPr="00C47AF2">
        <w:rPr>
          <w:rFonts w:ascii="Verdana" w:eastAsia="Times" w:hAnsi="Verdana"/>
          <w:sz w:val="20"/>
          <w:szCs w:val="20"/>
          <w:lang w:val="es-ES"/>
        </w:rPr>
        <w:t>Poisot</w:t>
      </w:r>
      <w:proofErr w:type="spellEnd"/>
      <w:r w:rsidRPr="00C47AF2">
        <w:rPr>
          <w:rFonts w:ascii="Verdana" w:eastAsia="Times" w:hAnsi="Verdana"/>
          <w:sz w:val="20"/>
          <w:szCs w:val="20"/>
          <w:lang w:val="es-ES"/>
        </w:rPr>
        <w:tab/>
      </w:r>
      <w:r w:rsidRPr="00C47AF2">
        <w:rPr>
          <w:rFonts w:ascii="Verdana" w:eastAsia="Times" w:hAnsi="Verdana"/>
          <w:sz w:val="20"/>
          <w:szCs w:val="20"/>
          <w:lang w:val="es-ES"/>
        </w:rPr>
        <w:tab/>
      </w:r>
      <w:r w:rsidRPr="00C47AF2">
        <w:rPr>
          <w:rFonts w:ascii="Verdana" w:eastAsia="Times" w:hAnsi="Verdana"/>
          <w:sz w:val="20"/>
          <w:szCs w:val="20"/>
          <w:lang w:val="es-ES"/>
        </w:rPr>
        <w:tab/>
      </w:r>
      <w:r w:rsidRPr="00C47AF2">
        <w:rPr>
          <w:rFonts w:ascii="Verdana" w:eastAsia="Times" w:hAnsi="Verdana"/>
          <w:sz w:val="20"/>
          <w:szCs w:val="20"/>
          <w:lang w:val="es-ES"/>
        </w:rPr>
        <w:tab/>
      </w:r>
      <w:r w:rsidRPr="00C47AF2">
        <w:rPr>
          <w:rFonts w:ascii="Verdana" w:eastAsia="Times" w:hAnsi="Verdana"/>
          <w:sz w:val="20"/>
          <w:szCs w:val="20"/>
          <w:lang w:val="es-ES"/>
        </w:rPr>
        <w:tab/>
        <w:t xml:space="preserve">       Eduardo Vio Grossi</w:t>
      </w: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r w:rsidRPr="00C47AF2">
        <w:rPr>
          <w:rFonts w:ascii="Verdana" w:eastAsia="Times" w:hAnsi="Verdana"/>
          <w:sz w:val="20"/>
          <w:szCs w:val="20"/>
          <w:lang w:val="es-ES"/>
        </w:rPr>
        <w:t>Humberto Antonio Sierra Porto</w:t>
      </w:r>
      <w:r w:rsidRPr="00C47AF2">
        <w:rPr>
          <w:rFonts w:ascii="Verdana" w:eastAsia="Times" w:hAnsi="Verdana"/>
          <w:sz w:val="20"/>
          <w:szCs w:val="20"/>
          <w:lang w:val="es-ES"/>
        </w:rPr>
        <w:tab/>
      </w:r>
      <w:r w:rsidRPr="00C47AF2">
        <w:rPr>
          <w:rFonts w:ascii="Verdana" w:eastAsia="Times" w:hAnsi="Verdana"/>
          <w:sz w:val="20"/>
          <w:szCs w:val="20"/>
          <w:lang w:val="es-ES"/>
        </w:rPr>
        <w:tab/>
      </w:r>
      <w:r w:rsidRPr="00C47AF2">
        <w:rPr>
          <w:rFonts w:ascii="Verdana" w:eastAsia="Times" w:hAnsi="Verdana"/>
          <w:sz w:val="20"/>
          <w:szCs w:val="20"/>
          <w:lang w:val="es-ES"/>
        </w:rPr>
        <w:tab/>
      </w:r>
      <w:r w:rsidRPr="00C47AF2">
        <w:rPr>
          <w:rFonts w:ascii="Verdana" w:eastAsia="Times" w:hAnsi="Verdana"/>
          <w:sz w:val="20"/>
          <w:szCs w:val="20"/>
          <w:lang w:val="es-ES"/>
        </w:rPr>
        <w:tab/>
      </w:r>
      <w:r w:rsidRPr="00C47AF2">
        <w:rPr>
          <w:rFonts w:ascii="Verdana" w:eastAsia="Times" w:hAnsi="Verdana"/>
          <w:sz w:val="20"/>
          <w:szCs w:val="20"/>
          <w:lang w:val="es-ES"/>
        </w:rPr>
        <w:tab/>
        <w:t xml:space="preserve">    Elizabeth Odio Benito </w:t>
      </w: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CR"/>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center"/>
        <w:rPr>
          <w:rFonts w:ascii="Verdana" w:eastAsia="Times" w:hAnsi="Verdana"/>
          <w:sz w:val="20"/>
          <w:szCs w:val="20"/>
          <w:lang w:val="es-ES"/>
        </w:rPr>
      </w:pPr>
      <w:r w:rsidRPr="00C47AF2">
        <w:rPr>
          <w:rFonts w:ascii="Verdana" w:eastAsia="Times" w:hAnsi="Verdana"/>
          <w:sz w:val="20"/>
          <w:szCs w:val="20"/>
          <w:lang w:val="es-ES"/>
        </w:rPr>
        <w:t>Pablo Saavedra Alessandri</w:t>
      </w:r>
    </w:p>
    <w:p w:rsidR="00C47AF2" w:rsidRPr="00C47AF2" w:rsidRDefault="00C47AF2" w:rsidP="00C47AF2">
      <w:pPr>
        <w:spacing w:after="0" w:line="240" w:lineRule="auto"/>
        <w:jc w:val="center"/>
        <w:rPr>
          <w:rFonts w:ascii="Verdana" w:eastAsia="Times" w:hAnsi="Verdana"/>
          <w:sz w:val="20"/>
          <w:szCs w:val="20"/>
          <w:lang w:val="es-ES"/>
        </w:rPr>
      </w:pPr>
      <w:r w:rsidRPr="00C47AF2">
        <w:rPr>
          <w:rFonts w:ascii="Verdana" w:eastAsia="Times" w:hAnsi="Verdana"/>
          <w:sz w:val="20"/>
          <w:szCs w:val="20"/>
          <w:lang w:val="es-ES"/>
        </w:rPr>
        <w:t>Secretario</w:t>
      </w:r>
    </w:p>
    <w:p w:rsidR="00C47AF2" w:rsidRPr="00C47AF2" w:rsidRDefault="00C47AF2" w:rsidP="00C47AF2">
      <w:pPr>
        <w:spacing w:after="0" w:line="240" w:lineRule="auto"/>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r w:rsidRPr="00C47AF2">
        <w:rPr>
          <w:rFonts w:ascii="Verdana" w:eastAsia="Times" w:hAnsi="Verdana"/>
          <w:sz w:val="20"/>
          <w:szCs w:val="20"/>
          <w:lang w:val="es-ES"/>
        </w:rPr>
        <w:t>Comuníquese y ejecútese,</w:t>
      </w: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ind w:left="4956" w:firstLine="708"/>
        <w:jc w:val="center"/>
        <w:rPr>
          <w:rFonts w:ascii="Verdana" w:eastAsia="Times" w:hAnsi="Verdana"/>
          <w:sz w:val="20"/>
          <w:szCs w:val="20"/>
          <w:lang w:val="es-ES"/>
        </w:rPr>
      </w:pPr>
      <w:r w:rsidRPr="00C47AF2">
        <w:rPr>
          <w:rFonts w:ascii="Verdana" w:eastAsia="Times" w:hAnsi="Verdana"/>
          <w:sz w:val="20"/>
          <w:szCs w:val="20"/>
          <w:lang w:val="es-ES"/>
        </w:rPr>
        <w:t>Roberto F. Caldas</w:t>
      </w:r>
    </w:p>
    <w:p w:rsidR="00C47AF2" w:rsidRPr="00C47AF2" w:rsidRDefault="00C47AF2" w:rsidP="00C47AF2">
      <w:pPr>
        <w:spacing w:after="0" w:line="240" w:lineRule="auto"/>
        <w:ind w:left="4956" w:firstLine="708"/>
        <w:jc w:val="center"/>
        <w:rPr>
          <w:rFonts w:ascii="Verdana" w:eastAsia="Times" w:hAnsi="Verdana"/>
          <w:sz w:val="20"/>
          <w:szCs w:val="20"/>
          <w:lang w:val="es-ES"/>
        </w:rPr>
      </w:pPr>
      <w:r w:rsidRPr="00C47AF2">
        <w:rPr>
          <w:rFonts w:ascii="Verdana" w:eastAsia="Times" w:hAnsi="Verdana"/>
          <w:sz w:val="20"/>
          <w:szCs w:val="20"/>
          <w:lang w:val="es-ES"/>
        </w:rPr>
        <w:t xml:space="preserve">Presidente </w:t>
      </w: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p>
    <w:p w:rsidR="00C47AF2" w:rsidRPr="00C47AF2" w:rsidRDefault="00C47AF2" w:rsidP="00C47AF2">
      <w:pPr>
        <w:spacing w:after="0" w:line="240" w:lineRule="auto"/>
        <w:jc w:val="both"/>
        <w:rPr>
          <w:rFonts w:ascii="Verdana" w:eastAsia="Times" w:hAnsi="Verdana"/>
          <w:sz w:val="20"/>
          <w:szCs w:val="20"/>
          <w:lang w:val="es-ES"/>
        </w:rPr>
      </w:pPr>
      <w:r w:rsidRPr="00C47AF2">
        <w:rPr>
          <w:rFonts w:ascii="Verdana" w:eastAsia="Times" w:hAnsi="Verdana"/>
          <w:sz w:val="20"/>
          <w:szCs w:val="20"/>
          <w:lang w:val="es-ES"/>
        </w:rPr>
        <w:t>Pablo Saavedra Alessandri</w:t>
      </w:r>
    </w:p>
    <w:p w:rsidR="00C47AF2" w:rsidRPr="00C47AF2" w:rsidRDefault="00C47AF2" w:rsidP="00C47AF2">
      <w:pPr>
        <w:spacing w:after="0" w:line="240" w:lineRule="auto"/>
        <w:rPr>
          <w:rFonts w:ascii="Verdana" w:eastAsia="Times" w:hAnsi="Verdana"/>
          <w:sz w:val="20"/>
          <w:szCs w:val="20"/>
          <w:lang w:val="es-CR"/>
        </w:rPr>
      </w:pPr>
      <w:r w:rsidRPr="00C47AF2">
        <w:rPr>
          <w:rFonts w:ascii="Verdana" w:eastAsia="Times" w:hAnsi="Verdana"/>
          <w:sz w:val="20"/>
          <w:szCs w:val="20"/>
          <w:lang w:val="es-ES"/>
        </w:rPr>
        <w:tab/>
      </w:r>
      <w:r w:rsidRPr="00C47AF2">
        <w:rPr>
          <w:rFonts w:ascii="Verdana" w:eastAsia="Times" w:hAnsi="Verdana"/>
          <w:sz w:val="20"/>
          <w:szCs w:val="20"/>
          <w:lang w:val="es-CR"/>
        </w:rPr>
        <w:t>Secretario</w:t>
      </w:r>
    </w:p>
    <w:p w:rsidR="006C641E" w:rsidRPr="00C367E3" w:rsidRDefault="006C641E" w:rsidP="00227061">
      <w:pPr>
        <w:spacing w:before="120" w:after="120" w:line="240" w:lineRule="auto"/>
        <w:jc w:val="both"/>
        <w:rPr>
          <w:rFonts w:ascii="Verdana" w:hAnsi="Verdana"/>
          <w:color w:val="000000"/>
          <w:sz w:val="20"/>
          <w:szCs w:val="20"/>
        </w:rPr>
      </w:pPr>
    </w:p>
    <w:p w:rsidR="006C641E" w:rsidRPr="00C367E3" w:rsidRDefault="006C641E" w:rsidP="00227061">
      <w:pPr>
        <w:spacing w:before="120" w:after="120" w:line="240" w:lineRule="auto"/>
        <w:jc w:val="both"/>
        <w:rPr>
          <w:rFonts w:ascii="Verdana" w:hAnsi="Verdana"/>
          <w:color w:val="000000"/>
          <w:sz w:val="20"/>
          <w:szCs w:val="20"/>
        </w:rPr>
      </w:pPr>
    </w:p>
    <w:sectPr w:rsidR="006C641E" w:rsidRPr="00C367E3" w:rsidSect="002B416C">
      <w:headerReference w:type="default" r:id="rId8"/>
      <w:footerReference w:type="default" r:id="rId9"/>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D0F" w:rsidRDefault="00560D0F" w:rsidP="00EA5605">
      <w:pPr>
        <w:spacing w:after="0" w:line="240" w:lineRule="auto"/>
      </w:pPr>
      <w:r>
        <w:separator/>
      </w:r>
    </w:p>
  </w:endnote>
  <w:endnote w:type="continuationSeparator" w:id="0">
    <w:p w:rsidR="00560D0F" w:rsidRDefault="00560D0F" w:rsidP="00EA5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Italic">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AF5" w:rsidRPr="00D14A86" w:rsidRDefault="00CA0AF5" w:rsidP="00D14A86">
    <w:pPr>
      <w:pStyle w:val="Piedepgina"/>
      <w:jc w:val="center"/>
      <w:rPr>
        <w:rFonts w:ascii="Verdana" w:hAnsi="Verdan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D0F" w:rsidRDefault="00560D0F" w:rsidP="00EA5605">
      <w:pPr>
        <w:spacing w:after="0" w:line="240" w:lineRule="auto"/>
      </w:pPr>
      <w:r>
        <w:separator/>
      </w:r>
    </w:p>
  </w:footnote>
  <w:footnote w:type="continuationSeparator" w:id="0">
    <w:p w:rsidR="00560D0F" w:rsidRDefault="00560D0F" w:rsidP="00EA5605">
      <w:pPr>
        <w:spacing w:after="0" w:line="240" w:lineRule="auto"/>
      </w:pPr>
      <w:r>
        <w:continuationSeparator/>
      </w:r>
    </w:p>
  </w:footnote>
  <w:footnote w:id="1">
    <w:p w:rsidR="00CA0AF5" w:rsidRPr="00C23BB6" w:rsidRDefault="00CA0AF5" w:rsidP="00AD20E2">
      <w:pPr>
        <w:pStyle w:val="Textonotapie"/>
        <w:suppressLineNumbers/>
        <w:tabs>
          <w:tab w:val="left" w:pos="426"/>
          <w:tab w:val="left" w:pos="709"/>
          <w:tab w:val="left" w:pos="851"/>
        </w:tabs>
        <w:jc w:val="both"/>
        <w:rPr>
          <w:rFonts w:ascii="Verdana" w:hAnsi="Verdana"/>
          <w:sz w:val="16"/>
          <w:szCs w:val="16"/>
          <w:lang w:val="es-CR"/>
        </w:rPr>
      </w:pPr>
      <w:r w:rsidRPr="00C23BB6">
        <w:rPr>
          <w:rFonts w:ascii="Verdana" w:hAnsi="Verdana"/>
          <w:sz w:val="16"/>
          <w:szCs w:val="16"/>
          <w:lang w:val="es-CR"/>
        </w:rPr>
        <w:t>*</w:t>
      </w:r>
      <w:r w:rsidRPr="00C23BB6">
        <w:rPr>
          <w:rFonts w:ascii="Verdana" w:hAnsi="Verdana"/>
          <w:sz w:val="16"/>
          <w:szCs w:val="16"/>
          <w:lang w:val="es-CR"/>
        </w:rPr>
        <w:tab/>
        <w:t xml:space="preserve">El Juez Eugenio Raúl </w:t>
      </w:r>
      <w:proofErr w:type="spellStart"/>
      <w:r w:rsidRPr="00C23BB6">
        <w:rPr>
          <w:rFonts w:ascii="Verdana" w:hAnsi="Verdana"/>
          <w:sz w:val="16"/>
          <w:szCs w:val="16"/>
          <w:lang w:val="es-CR"/>
        </w:rPr>
        <w:t>Zaffaroni</w:t>
      </w:r>
      <w:proofErr w:type="spellEnd"/>
      <w:r w:rsidRPr="00C23BB6">
        <w:rPr>
          <w:rFonts w:ascii="Verdana" w:hAnsi="Verdana"/>
          <w:sz w:val="16"/>
          <w:szCs w:val="16"/>
          <w:lang w:val="es-CR"/>
        </w:rPr>
        <w:t>, de nacionalidad argentina, no participó en el conocimiento y deliberación de la presente Resolución, de conformidad con lo dispuesto en el artículo 19.1 del Reglamento de la Corte.</w:t>
      </w:r>
      <w:r w:rsidR="00523A9C">
        <w:rPr>
          <w:rFonts w:ascii="Verdana" w:hAnsi="Verdana"/>
          <w:sz w:val="16"/>
          <w:szCs w:val="16"/>
          <w:lang w:val="es-CR"/>
        </w:rPr>
        <w:t xml:space="preserve"> </w:t>
      </w:r>
      <w:r w:rsidRPr="00C23BB6">
        <w:rPr>
          <w:rFonts w:ascii="Verdana" w:hAnsi="Verdana"/>
          <w:color w:val="000000"/>
          <w:sz w:val="16"/>
          <w:szCs w:val="16"/>
        </w:rPr>
        <w:t>El</w:t>
      </w:r>
      <w:r w:rsidRPr="00C23BB6">
        <w:rPr>
          <w:rFonts w:ascii="Verdana" w:hAnsi="Verdana"/>
          <w:sz w:val="16"/>
          <w:szCs w:val="16"/>
        </w:rPr>
        <w:t xml:space="preserve"> Juez L. Patricio Pazmiño Freire no participó en la deliberación y firma de la presente Resolución por razones de fuerza mayor.</w:t>
      </w:r>
    </w:p>
  </w:footnote>
  <w:footnote w:id="2">
    <w:p w:rsidR="00CA0AF5" w:rsidRPr="00C23BB6" w:rsidRDefault="00CA0AF5" w:rsidP="00AD20E2">
      <w:pPr>
        <w:pStyle w:val="Textonotapie"/>
        <w:tabs>
          <w:tab w:val="left" w:pos="426"/>
          <w:tab w:val="left" w:pos="709"/>
          <w:tab w:val="left" w:pos="851"/>
        </w:tabs>
        <w:jc w:val="both"/>
        <w:rPr>
          <w:rFonts w:ascii="Verdana" w:hAnsi="Verdana" w:cs="Arial"/>
          <w:b/>
          <w:sz w:val="16"/>
          <w:szCs w:val="16"/>
        </w:rPr>
      </w:pPr>
      <w:r w:rsidRPr="00C23BB6">
        <w:rPr>
          <w:rStyle w:val="Refdenotaalpie"/>
          <w:rFonts w:ascii="Verdana" w:hAnsi="Verdana" w:cs="Arial"/>
          <w:sz w:val="16"/>
          <w:szCs w:val="16"/>
        </w:rPr>
        <w:footnoteRef/>
      </w:r>
      <w:r w:rsidRPr="00C23BB6">
        <w:rPr>
          <w:rFonts w:ascii="Verdana" w:hAnsi="Verdana" w:cs="Arial"/>
          <w:sz w:val="16"/>
          <w:szCs w:val="16"/>
        </w:rPr>
        <w:t xml:space="preserve"> </w:t>
      </w:r>
      <w:r w:rsidRPr="00C23BB6">
        <w:rPr>
          <w:rFonts w:ascii="Verdana" w:hAnsi="Verdana" w:cs="Arial"/>
          <w:b/>
          <w:sz w:val="16"/>
          <w:szCs w:val="16"/>
        </w:rPr>
        <w:tab/>
      </w:r>
      <w:r w:rsidRPr="00C23BB6">
        <w:rPr>
          <w:rFonts w:ascii="Verdana" w:hAnsi="Verdana" w:cs="Arial"/>
          <w:sz w:val="16"/>
          <w:szCs w:val="16"/>
        </w:rPr>
        <w:t xml:space="preserve">La Sentencia fue notificada el 4 de noviembre de 2013. </w:t>
      </w:r>
      <w:r w:rsidRPr="00C23BB6">
        <w:rPr>
          <w:rFonts w:ascii="Verdana" w:hAnsi="Verdana" w:cs="Arial"/>
          <w:b/>
          <w:sz w:val="16"/>
          <w:szCs w:val="16"/>
        </w:rPr>
        <w:t xml:space="preserve"> </w:t>
      </w:r>
      <w:r w:rsidRPr="002330EE">
        <w:rPr>
          <w:rFonts w:ascii="Verdana" w:hAnsi="Verdana" w:cs="Arial"/>
          <w:i/>
          <w:sz w:val="16"/>
          <w:szCs w:val="16"/>
          <w:lang w:val="it-IT"/>
        </w:rPr>
        <w:t>Cfr.</w:t>
      </w:r>
      <w:r w:rsidRPr="002330EE">
        <w:rPr>
          <w:rFonts w:ascii="Verdana" w:hAnsi="Verdana" w:cs="Arial"/>
          <w:b/>
          <w:i/>
          <w:sz w:val="16"/>
          <w:szCs w:val="16"/>
          <w:lang w:val="it-IT"/>
        </w:rPr>
        <w:t xml:space="preserve"> </w:t>
      </w:r>
      <w:r w:rsidRPr="002330EE">
        <w:rPr>
          <w:rStyle w:val="Textoennegrita"/>
          <w:rFonts w:ascii="Verdana" w:hAnsi="Verdana" w:cs="Arial"/>
          <w:b w:val="0"/>
          <w:i/>
          <w:sz w:val="16"/>
          <w:szCs w:val="16"/>
          <w:shd w:val="clear" w:color="auto" w:fill="FFFFFF"/>
          <w:lang w:val="it-IT"/>
        </w:rPr>
        <w:t xml:space="preserve">Caso Mémoli Vs. Argentina. </w:t>
      </w:r>
      <w:r w:rsidRPr="00C23BB6">
        <w:rPr>
          <w:rStyle w:val="Textoennegrita"/>
          <w:rFonts w:ascii="Verdana" w:hAnsi="Verdana" w:cs="Arial"/>
          <w:b w:val="0"/>
          <w:i/>
          <w:sz w:val="16"/>
          <w:szCs w:val="16"/>
          <w:shd w:val="clear" w:color="auto" w:fill="FFFFFF"/>
        </w:rPr>
        <w:t xml:space="preserve">Excepciones Preliminares, Fondo, Reparaciones y Costas. </w:t>
      </w:r>
      <w:r w:rsidRPr="002330EE">
        <w:rPr>
          <w:rStyle w:val="Textoennegrita"/>
          <w:rFonts w:ascii="Verdana" w:hAnsi="Verdana" w:cs="Arial"/>
          <w:b w:val="0"/>
          <w:sz w:val="16"/>
          <w:szCs w:val="16"/>
          <w:shd w:val="clear" w:color="auto" w:fill="FFFFFF"/>
        </w:rPr>
        <w:t>Sentencia de 22 de agosto de 2013. Serie C No. 265.</w:t>
      </w:r>
      <w:r w:rsidRPr="00C23BB6">
        <w:rPr>
          <w:rStyle w:val="Textoennegrita"/>
          <w:rFonts w:ascii="Verdana" w:hAnsi="Verdana" w:cs="Arial"/>
          <w:b w:val="0"/>
          <w:sz w:val="16"/>
          <w:szCs w:val="16"/>
          <w:shd w:val="clear" w:color="auto" w:fill="FFFFFF"/>
        </w:rPr>
        <w:t xml:space="preserve"> El texto íntegro se encuentra disponible en: </w:t>
      </w:r>
      <w:hyperlink r:id="rId1" w:history="1">
        <w:r w:rsidRPr="00C23BB6">
          <w:rPr>
            <w:rStyle w:val="Hipervnculo"/>
            <w:rFonts w:ascii="Verdana" w:hAnsi="Verdana" w:cs="Arial"/>
            <w:sz w:val="16"/>
            <w:szCs w:val="16"/>
            <w:shd w:val="clear" w:color="auto" w:fill="FFFFFF"/>
          </w:rPr>
          <w:t>http://www.corteidh.or.cr/docs/casos/articulos/seriec_265_esp.pdf</w:t>
        </w:r>
      </w:hyperlink>
      <w:r w:rsidRPr="00C23BB6">
        <w:rPr>
          <w:rStyle w:val="Textoennegrita"/>
          <w:rFonts w:ascii="Verdana" w:hAnsi="Verdana" w:cs="Arial"/>
          <w:b w:val="0"/>
          <w:sz w:val="16"/>
          <w:szCs w:val="16"/>
          <w:shd w:val="clear" w:color="auto" w:fill="FFFFFF"/>
        </w:rPr>
        <w:t xml:space="preserve">. </w:t>
      </w:r>
    </w:p>
  </w:footnote>
  <w:footnote w:id="3">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Consagrados, respectivamente, en los artículos 8.1 y 21 de la Convención Americana sobre Derechos Humanos, en relación con </w:t>
      </w:r>
      <w:r w:rsidRPr="00C23BB6">
        <w:rPr>
          <w:rFonts w:ascii="Verdana" w:hAnsi="Verdana"/>
          <w:spacing w:val="-2"/>
          <w:sz w:val="16"/>
          <w:szCs w:val="16"/>
        </w:rPr>
        <w:t>el artículo 1.1 de la misma.</w:t>
      </w:r>
    </w:p>
  </w:footnote>
  <w:footnote w:id="4">
    <w:p w:rsidR="00CA0AF5" w:rsidRPr="00C23BB6" w:rsidRDefault="00CA0AF5" w:rsidP="001C3257">
      <w:pPr>
        <w:pStyle w:val="NormalWeb"/>
        <w:tabs>
          <w:tab w:val="left" w:pos="426"/>
          <w:tab w:val="left" w:pos="709"/>
        </w:tabs>
        <w:spacing w:before="0" w:beforeAutospacing="0" w:after="0" w:afterAutospacing="0"/>
        <w:jc w:val="both"/>
        <w:rPr>
          <w:rFonts w:ascii="Verdana" w:hAnsi="Verdana"/>
          <w:sz w:val="16"/>
          <w:szCs w:val="16"/>
          <w:lang w:val="es-CR"/>
        </w:rPr>
      </w:pPr>
      <w:r w:rsidRPr="00C23BB6">
        <w:rPr>
          <w:rStyle w:val="Refdenotaalpie"/>
          <w:rFonts w:ascii="Verdana" w:hAnsi="Verdana"/>
          <w:sz w:val="16"/>
          <w:szCs w:val="16"/>
        </w:rPr>
        <w:footnoteRef/>
      </w:r>
      <w:r w:rsidRPr="00C23BB6">
        <w:rPr>
          <w:rFonts w:ascii="Verdana" w:hAnsi="Verdana"/>
          <w:sz w:val="16"/>
          <w:szCs w:val="16"/>
          <w:lang w:val="es-CR"/>
        </w:rPr>
        <w:t xml:space="preserve"> </w:t>
      </w:r>
      <w:r w:rsidRPr="00C23BB6">
        <w:rPr>
          <w:rFonts w:ascii="Verdana" w:hAnsi="Verdana"/>
          <w:sz w:val="16"/>
          <w:szCs w:val="16"/>
          <w:lang w:val="es-CR"/>
        </w:rPr>
        <w:tab/>
      </w:r>
      <w:proofErr w:type="spellStart"/>
      <w:r w:rsidRPr="00C23BB6">
        <w:rPr>
          <w:rFonts w:ascii="Verdana" w:hAnsi="Verdana"/>
          <w:sz w:val="16"/>
          <w:szCs w:val="16"/>
          <w:lang w:val="es-CR"/>
        </w:rPr>
        <w:t>Alegadamente</w:t>
      </w:r>
      <w:proofErr w:type="spellEnd"/>
      <w:r w:rsidRPr="00C23BB6">
        <w:rPr>
          <w:rFonts w:ascii="Verdana" w:hAnsi="Verdana"/>
          <w:sz w:val="16"/>
          <w:szCs w:val="16"/>
          <w:lang w:val="es-CR"/>
        </w:rPr>
        <w:t xml:space="preserve"> derivados de expresiones sobre el manejo de la Asociación Italiana de Socorros Mutuos, Cultural y Creativa “Porvenir de Italia” de San Andrés de Giles y una alegada defraudación cometida por tres miembros de la Directiva de dicha asociación, realizadas por medio de artículos de prensa, programas radiales y en un escrito presentado ante el Instituto Nacional de Acción Mutual. </w:t>
      </w:r>
      <w:r w:rsidRPr="00C23BB6">
        <w:rPr>
          <w:rFonts w:ascii="Verdana" w:hAnsi="Verdana"/>
          <w:i/>
          <w:sz w:val="16"/>
          <w:szCs w:val="16"/>
          <w:lang w:val="es-CR"/>
        </w:rPr>
        <w:t xml:space="preserve">Cfr. </w:t>
      </w:r>
      <w:r w:rsidRPr="002330EE">
        <w:rPr>
          <w:rFonts w:ascii="Verdana" w:hAnsi="Verdana"/>
          <w:i/>
          <w:sz w:val="16"/>
          <w:szCs w:val="16"/>
          <w:lang w:val="es-CR"/>
        </w:rPr>
        <w:t xml:space="preserve">Caso </w:t>
      </w:r>
      <w:proofErr w:type="spellStart"/>
      <w:r w:rsidRPr="002330EE">
        <w:rPr>
          <w:rFonts w:ascii="Verdana" w:hAnsi="Verdana"/>
          <w:i/>
          <w:sz w:val="16"/>
          <w:szCs w:val="16"/>
          <w:lang w:val="es-CR"/>
        </w:rPr>
        <w:t>Mémoli</w:t>
      </w:r>
      <w:proofErr w:type="spellEnd"/>
      <w:r w:rsidRPr="002330EE">
        <w:rPr>
          <w:rFonts w:ascii="Verdana" w:hAnsi="Verdana"/>
          <w:i/>
          <w:sz w:val="16"/>
          <w:szCs w:val="16"/>
          <w:lang w:val="es-CR"/>
        </w:rPr>
        <w:t xml:space="preserve"> Vs. Argentina, supra,</w:t>
      </w:r>
      <w:r w:rsidRPr="00C23BB6">
        <w:rPr>
          <w:rFonts w:ascii="Verdana" w:hAnsi="Verdana"/>
          <w:sz w:val="16"/>
          <w:szCs w:val="16"/>
          <w:lang w:val="es-CR"/>
        </w:rPr>
        <w:t xml:space="preserve"> párrafos 167, 172, 182 y 183.</w:t>
      </w:r>
    </w:p>
  </w:footnote>
  <w:footnote w:id="5">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Escritos de 7 de abril, 19 de septiembre,</w:t>
      </w:r>
      <w:r w:rsidR="00523A9C">
        <w:rPr>
          <w:rFonts w:ascii="Verdana" w:hAnsi="Verdana"/>
          <w:sz w:val="16"/>
          <w:szCs w:val="16"/>
        </w:rPr>
        <w:t xml:space="preserve"> </w:t>
      </w:r>
      <w:r w:rsidRPr="00C23BB6">
        <w:rPr>
          <w:rFonts w:ascii="Verdana" w:hAnsi="Verdana"/>
          <w:sz w:val="16"/>
          <w:szCs w:val="16"/>
        </w:rPr>
        <w:t xml:space="preserve">11 y 17 de noviembre de 2014, de 27 de enero, 11 de mayo, 22 de julio, 23 de septiembre </w:t>
      </w:r>
      <w:r w:rsidR="00523A9C">
        <w:rPr>
          <w:rFonts w:ascii="Verdana" w:hAnsi="Verdana"/>
          <w:sz w:val="16"/>
          <w:szCs w:val="16"/>
        </w:rPr>
        <w:t xml:space="preserve">y </w:t>
      </w:r>
      <w:r w:rsidRPr="00C23BB6">
        <w:rPr>
          <w:rFonts w:ascii="Verdana" w:hAnsi="Verdana"/>
          <w:sz w:val="16"/>
          <w:szCs w:val="16"/>
        </w:rPr>
        <w:t xml:space="preserve">17 de noviembre de 2015, </w:t>
      </w:r>
      <w:r w:rsidRPr="00C367E3">
        <w:rPr>
          <w:rFonts w:ascii="Verdana" w:hAnsi="Verdana"/>
          <w:color w:val="000000"/>
          <w:sz w:val="16"/>
          <w:szCs w:val="16"/>
        </w:rPr>
        <w:t>29 de julio y 16 de diciembre de 2016</w:t>
      </w:r>
      <w:r w:rsidRPr="00C23BB6">
        <w:rPr>
          <w:rFonts w:ascii="Verdana" w:hAnsi="Verdana"/>
          <w:sz w:val="16"/>
          <w:szCs w:val="16"/>
        </w:rPr>
        <w:t>.</w:t>
      </w:r>
    </w:p>
  </w:footnote>
  <w:footnote w:id="6">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Escritos de 16 y 17 de mayo, 30 de agosto, 19 y 22 de septiembre, 2 y 3 de octubre</w:t>
      </w:r>
      <w:r w:rsidRPr="00C23BB6">
        <w:rPr>
          <w:rFonts w:ascii="Verdana" w:hAnsi="Verdana"/>
          <w:b/>
          <w:sz w:val="16"/>
          <w:szCs w:val="16"/>
        </w:rPr>
        <w:t xml:space="preserve"> </w:t>
      </w:r>
      <w:r w:rsidRPr="00C23BB6">
        <w:rPr>
          <w:rFonts w:ascii="Verdana" w:hAnsi="Verdana"/>
          <w:sz w:val="16"/>
          <w:szCs w:val="16"/>
        </w:rPr>
        <w:t>y 12 de diciembre de 2014, de 31 de marzo, 11 de mayo, 10 y 26 de junio, 14 de agosto, 20 de octubre</w:t>
      </w:r>
      <w:r w:rsidRPr="00C23BB6">
        <w:rPr>
          <w:rFonts w:ascii="Verdana" w:hAnsi="Verdana"/>
          <w:b/>
          <w:sz w:val="16"/>
          <w:szCs w:val="16"/>
        </w:rPr>
        <w:t xml:space="preserve"> </w:t>
      </w:r>
      <w:r w:rsidRPr="00C23BB6">
        <w:rPr>
          <w:rFonts w:ascii="Verdana" w:hAnsi="Verdana"/>
          <w:sz w:val="16"/>
          <w:szCs w:val="16"/>
        </w:rPr>
        <w:t>y 10 diciembre de 2015, y de 1 de abril, 26 de mayo, 6 de julio, 13 de agosto, 29 de octubre, y de 13 y 22 de diciembre de 2016.</w:t>
      </w:r>
    </w:p>
  </w:footnote>
  <w:footnote w:id="7">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Escritos de 10 de junio de 2014, de 10 de abril, 30 de julio, 30 de septiembre y 12 de noviembre de 2015, de </w:t>
      </w:r>
      <w:r w:rsidRPr="00C367E3">
        <w:rPr>
          <w:rFonts w:ascii="Verdana" w:hAnsi="Verdana"/>
          <w:color w:val="000000"/>
          <w:sz w:val="16"/>
          <w:szCs w:val="16"/>
        </w:rPr>
        <w:t>29 de enero</w:t>
      </w:r>
      <w:r w:rsidRPr="00C23BB6">
        <w:rPr>
          <w:rFonts w:ascii="Verdana" w:hAnsi="Verdana"/>
          <w:sz w:val="16"/>
          <w:szCs w:val="16"/>
        </w:rPr>
        <w:t xml:space="preserve">, </w:t>
      </w:r>
      <w:r w:rsidRPr="00C367E3">
        <w:rPr>
          <w:rFonts w:ascii="Verdana" w:hAnsi="Verdana"/>
          <w:color w:val="000000"/>
          <w:sz w:val="16"/>
          <w:szCs w:val="16"/>
        </w:rPr>
        <w:t>22 de julio y 19 de agosto de 2016,</w:t>
      </w:r>
      <w:r w:rsidRPr="00C23BB6">
        <w:rPr>
          <w:rFonts w:ascii="Verdana" w:hAnsi="Verdana"/>
          <w:sz w:val="16"/>
          <w:szCs w:val="16"/>
        </w:rPr>
        <w:t xml:space="preserve"> y de 10 de febrero de 2017.</w:t>
      </w:r>
    </w:p>
  </w:footnote>
  <w:footnote w:id="8">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Facultad que además se desprende de los dispuesto en los artículos 33, 62.1, 62.3 y 65 de la Convención Americana y 30 de su Estatuto y se encuentra regulada en el artículo 69 de su Reglamento.</w:t>
      </w:r>
    </w:p>
  </w:footnote>
  <w:footnote w:id="9">
    <w:p w:rsidR="00CA0AF5" w:rsidRPr="00C23BB6" w:rsidRDefault="00CA0AF5" w:rsidP="00AD20E2">
      <w:pPr>
        <w:pStyle w:val="Textonotapie"/>
        <w:tabs>
          <w:tab w:val="left" w:pos="426"/>
          <w:tab w:val="left" w:pos="709"/>
          <w:tab w:val="left" w:pos="851"/>
        </w:tabs>
        <w:ind w:right="4"/>
        <w:jc w:val="both"/>
        <w:rPr>
          <w:rFonts w:ascii="Verdana" w:hAnsi="Verdana"/>
          <w:b/>
          <w:color w:val="000000"/>
          <w:sz w:val="16"/>
          <w:szCs w:val="16"/>
          <w:lang w:val="es-CR"/>
        </w:rPr>
      </w:pPr>
      <w:r w:rsidRPr="00C23BB6">
        <w:rPr>
          <w:rStyle w:val="Refdenotaalpie"/>
          <w:rFonts w:ascii="Verdana" w:hAnsi="Verdana"/>
          <w:sz w:val="16"/>
          <w:szCs w:val="16"/>
        </w:rPr>
        <w:footnoteRef/>
      </w:r>
      <w:r w:rsidRPr="00C23BB6">
        <w:rPr>
          <w:rFonts w:ascii="Verdana" w:hAnsi="Verdana"/>
          <w:i/>
          <w:color w:val="000000"/>
          <w:sz w:val="16"/>
          <w:szCs w:val="16"/>
          <w:lang w:val="es-AR"/>
        </w:rPr>
        <w:t xml:space="preserve"> </w:t>
      </w:r>
      <w:r w:rsidRPr="00C23BB6">
        <w:rPr>
          <w:rFonts w:ascii="Verdana" w:hAnsi="Verdana"/>
          <w:i/>
          <w:color w:val="000000"/>
          <w:sz w:val="16"/>
          <w:szCs w:val="16"/>
          <w:lang w:val="es-AR"/>
        </w:rPr>
        <w:tab/>
        <w:t>Cfr. Caso Cinco Pensionistas Vs. Perú, Supervisión de Cumplimiento de Sentencia,</w:t>
      </w:r>
      <w:r w:rsidRPr="00C23BB6">
        <w:rPr>
          <w:rFonts w:ascii="Verdana" w:hAnsi="Verdana"/>
          <w:color w:val="000000"/>
          <w:sz w:val="16"/>
          <w:szCs w:val="16"/>
          <w:lang w:val="es-AR"/>
        </w:rPr>
        <w:t xml:space="preserve"> Resolución de la Corte</w:t>
      </w:r>
      <w:r w:rsidR="00523A9C">
        <w:rPr>
          <w:rFonts w:ascii="Verdana" w:hAnsi="Verdana"/>
          <w:color w:val="000000"/>
          <w:sz w:val="16"/>
          <w:szCs w:val="16"/>
          <w:lang w:val="es-AR"/>
        </w:rPr>
        <w:t xml:space="preserve"> Interamericana de Derechos Humanos</w:t>
      </w:r>
      <w:r w:rsidRPr="00C23BB6">
        <w:rPr>
          <w:rFonts w:ascii="Verdana" w:hAnsi="Verdana"/>
          <w:color w:val="000000"/>
          <w:sz w:val="16"/>
          <w:szCs w:val="16"/>
          <w:lang w:val="es-AR"/>
        </w:rPr>
        <w:t xml:space="preserve"> de 17 de noviembre de 2004, Considerando quinto, y </w:t>
      </w:r>
      <w:r w:rsidRPr="00C23BB6">
        <w:rPr>
          <w:rStyle w:val="Textoennegrita"/>
          <w:rFonts w:ascii="Verdana" w:hAnsi="Verdana"/>
          <w:b w:val="0"/>
          <w:i/>
          <w:color w:val="000000"/>
          <w:sz w:val="16"/>
          <w:szCs w:val="16"/>
          <w:shd w:val="clear" w:color="auto" w:fill="FFFFFF"/>
          <w:lang w:val="es-CR"/>
        </w:rPr>
        <w:t xml:space="preserve">Caso </w:t>
      </w:r>
      <w:proofErr w:type="spellStart"/>
      <w:r w:rsidRPr="00C23BB6">
        <w:rPr>
          <w:rStyle w:val="Textoennegrita"/>
          <w:rFonts w:ascii="Verdana" w:hAnsi="Verdana"/>
          <w:b w:val="0"/>
          <w:i/>
          <w:color w:val="000000"/>
          <w:sz w:val="16"/>
          <w:szCs w:val="16"/>
          <w:shd w:val="clear" w:color="auto" w:fill="FFFFFF"/>
          <w:lang w:val="es-CR"/>
        </w:rPr>
        <w:t>Arg</w:t>
      </w:r>
      <w:r w:rsidRPr="00C23BB6">
        <w:rPr>
          <w:rFonts w:ascii="Verdana" w:hAnsi="Verdana"/>
          <w:i/>
          <w:sz w:val="16"/>
          <w:szCs w:val="16"/>
        </w:rPr>
        <w:t>üelles</w:t>
      </w:r>
      <w:proofErr w:type="spellEnd"/>
      <w:r w:rsidRPr="00C23BB6">
        <w:rPr>
          <w:rStyle w:val="Textoennegrita"/>
          <w:rFonts w:ascii="Verdana" w:hAnsi="Verdana"/>
          <w:b w:val="0"/>
          <w:i/>
          <w:color w:val="000000"/>
          <w:sz w:val="16"/>
          <w:szCs w:val="16"/>
          <w:shd w:val="clear" w:color="auto" w:fill="FFFFFF"/>
          <w:lang w:val="es-CR"/>
        </w:rPr>
        <w:t xml:space="preserve"> y otros Vs. Argentina. Supervisión de Cumplimiento de Sentencia, </w:t>
      </w:r>
      <w:r w:rsidRPr="00C23BB6">
        <w:rPr>
          <w:rStyle w:val="Textoennegrita"/>
          <w:rFonts w:ascii="Verdana" w:hAnsi="Verdana"/>
          <w:b w:val="0"/>
          <w:color w:val="000000"/>
          <w:sz w:val="16"/>
          <w:szCs w:val="16"/>
          <w:shd w:val="clear" w:color="auto" w:fill="FFFFFF"/>
          <w:lang w:val="es-CR"/>
        </w:rPr>
        <w:t>Resolución de la Corte Interamericana de Derechos Humanos de 22 de noviembre de 2016, Considerando segundo.</w:t>
      </w:r>
    </w:p>
  </w:footnote>
  <w:footnote w:id="10">
    <w:p w:rsidR="00CA0AF5" w:rsidRPr="00C23BB6" w:rsidRDefault="00CA0AF5" w:rsidP="00AD20E2">
      <w:pPr>
        <w:tabs>
          <w:tab w:val="left" w:pos="426"/>
          <w:tab w:val="left" w:pos="709"/>
          <w:tab w:val="left" w:pos="851"/>
        </w:tabs>
        <w:autoSpaceDE w:val="0"/>
        <w:autoSpaceDN w:val="0"/>
        <w:adjustRightInd w:val="0"/>
        <w:spacing w:after="0" w:line="240" w:lineRule="auto"/>
        <w:jc w:val="both"/>
        <w:rPr>
          <w:rFonts w:ascii="Verdana" w:hAnsi="Verdana"/>
          <w:b/>
          <w:color w:val="000000"/>
          <w:sz w:val="16"/>
          <w:szCs w:val="16"/>
          <w:lang w:val="es-AR"/>
        </w:rPr>
      </w:pPr>
      <w:r w:rsidRPr="00C23BB6">
        <w:rPr>
          <w:rStyle w:val="Refdenotaalpie"/>
          <w:rFonts w:ascii="Verdana" w:hAnsi="Verdana"/>
          <w:sz w:val="16"/>
          <w:szCs w:val="16"/>
        </w:rPr>
        <w:footnoteRef/>
      </w:r>
      <w:r w:rsidRPr="00C23BB6">
        <w:rPr>
          <w:rFonts w:ascii="Verdana" w:hAnsi="Verdana"/>
          <w:sz w:val="16"/>
          <w:szCs w:val="16"/>
          <w:lang w:val="de-DE"/>
        </w:rPr>
        <w:t xml:space="preserve"> </w:t>
      </w:r>
      <w:r w:rsidRPr="00C23BB6">
        <w:rPr>
          <w:rFonts w:ascii="Verdana" w:hAnsi="Verdana"/>
          <w:sz w:val="16"/>
          <w:szCs w:val="16"/>
          <w:lang w:val="de-DE"/>
        </w:rPr>
        <w:tab/>
      </w:r>
      <w:r w:rsidRPr="00C23BB6">
        <w:rPr>
          <w:rFonts w:ascii="Verdana" w:hAnsi="Verdana"/>
          <w:i/>
          <w:noProof/>
          <w:sz w:val="16"/>
          <w:szCs w:val="16"/>
          <w:lang w:val="de-DE"/>
        </w:rPr>
        <w:t xml:space="preserve">Cfr. Caso Ivcher Bronstein Vs. </w:t>
      </w:r>
      <w:r w:rsidRPr="00C23BB6">
        <w:rPr>
          <w:rFonts w:ascii="Verdana" w:hAnsi="Verdana"/>
          <w:i/>
          <w:noProof/>
          <w:sz w:val="16"/>
          <w:szCs w:val="16"/>
          <w:lang w:val="es-ES"/>
        </w:rPr>
        <w:t>Perú. Competencia.</w:t>
      </w:r>
      <w:r w:rsidRPr="00C23BB6">
        <w:rPr>
          <w:rFonts w:ascii="Verdana" w:hAnsi="Verdana"/>
          <w:noProof/>
          <w:sz w:val="16"/>
          <w:szCs w:val="16"/>
          <w:lang w:val="es-ES"/>
        </w:rPr>
        <w:t xml:space="preserve"> Sentencia de de la Corte Interamericana de Derechos Humanos de 24 de septiembre de 1999.</w:t>
      </w:r>
      <w:r w:rsidRPr="00C23BB6">
        <w:rPr>
          <w:rFonts w:ascii="Verdana" w:hAnsi="Verdana"/>
          <w:sz w:val="16"/>
          <w:szCs w:val="16"/>
          <w:lang w:val="es-ES"/>
        </w:rPr>
        <w:t xml:space="preserve"> </w:t>
      </w:r>
      <w:r w:rsidRPr="00C23BB6">
        <w:rPr>
          <w:rFonts w:ascii="Verdana" w:hAnsi="Verdana"/>
          <w:noProof/>
          <w:sz w:val="16"/>
          <w:szCs w:val="16"/>
          <w:lang w:val="es-ES"/>
        </w:rPr>
        <w:t xml:space="preserve">Serie C No. 54, párr. 37, </w:t>
      </w:r>
      <w:r w:rsidRPr="00C23BB6">
        <w:rPr>
          <w:rFonts w:ascii="Verdana" w:hAnsi="Verdana"/>
          <w:bCs/>
          <w:sz w:val="16"/>
          <w:szCs w:val="16"/>
          <w:lang w:bidi="en-US"/>
        </w:rPr>
        <w:t xml:space="preserve">y </w:t>
      </w:r>
      <w:r w:rsidRPr="00C23BB6">
        <w:rPr>
          <w:rStyle w:val="Textoennegrita"/>
          <w:rFonts w:ascii="Verdana" w:hAnsi="Verdana"/>
          <w:b w:val="0"/>
          <w:i/>
          <w:sz w:val="16"/>
          <w:szCs w:val="16"/>
          <w:shd w:val="clear" w:color="auto" w:fill="FFFFFF"/>
        </w:rPr>
        <w:t xml:space="preserve">Caso </w:t>
      </w:r>
      <w:proofErr w:type="spellStart"/>
      <w:r w:rsidRPr="00C23BB6">
        <w:rPr>
          <w:rStyle w:val="Textoennegrita"/>
          <w:rFonts w:ascii="Verdana" w:hAnsi="Verdana"/>
          <w:b w:val="0"/>
          <w:i/>
          <w:color w:val="000000"/>
          <w:sz w:val="16"/>
          <w:szCs w:val="16"/>
          <w:shd w:val="clear" w:color="auto" w:fill="FFFFFF"/>
          <w:lang w:val="es-CR"/>
        </w:rPr>
        <w:t>Arg</w:t>
      </w:r>
      <w:r w:rsidRPr="00C23BB6">
        <w:rPr>
          <w:rFonts w:ascii="Verdana" w:hAnsi="Verdana"/>
          <w:i/>
          <w:sz w:val="16"/>
          <w:szCs w:val="16"/>
        </w:rPr>
        <w:t>üelles</w:t>
      </w:r>
      <w:proofErr w:type="spellEnd"/>
      <w:r w:rsidRPr="00C23BB6">
        <w:rPr>
          <w:rStyle w:val="Textoennegrita"/>
          <w:rFonts w:ascii="Verdana" w:hAnsi="Verdana"/>
          <w:b w:val="0"/>
          <w:i/>
          <w:sz w:val="16"/>
          <w:szCs w:val="16"/>
          <w:shd w:val="clear" w:color="auto" w:fill="FFFFFF"/>
        </w:rPr>
        <w:t xml:space="preserve"> Vs. Argentina</w:t>
      </w:r>
      <w:r w:rsidR="00523A9C">
        <w:rPr>
          <w:rStyle w:val="Textoennegrita"/>
          <w:rFonts w:ascii="Verdana" w:hAnsi="Verdana"/>
          <w:b w:val="0"/>
          <w:i/>
          <w:sz w:val="16"/>
          <w:szCs w:val="16"/>
          <w:shd w:val="clear" w:color="auto" w:fill="FFFFFF"/>
        </w:rPr>
        <w:t>, supra,</w:t>
      </w:r>
      <w:r w:rsidRPr="00C23BB6">
        <w:rPr>
          <w:rStyle w:val="Textoennegrita"/>
          <w:rFonts w:ascii="Verdana" w:hAnsi="Verdana"/>
          <w:b w:val="0"/>
          <w:sz w:val="16"/>
          <w:szCs w:val="16"/>
          <w:shd w:val="clear" w:color="auto" w:fill="FFFFFF"/>
        </w:rPr>
        <w:t xml:space="preserve"> </w:t>
      </w:r>
      <w:r w:rsidRPr="00C23BB6">
        <w:rPr>
          <w:rFonts w:ascii="Verdana" w:hAnsi="Verdana"/>
          <w:bCs/>
          <w:sz w:val="16"/>
          <w:szCs w:val="16"/>
          <w:lang w:val="es-AR"/>
        </w:rPr>
        <w:t>Considerando segundo.</w:t>
      </w:r>
    </w:p>
  </w:footnote>
  <w:footnote w:id="11">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También dispuso que “el Estado </w:t>
      </w:r>
      <w:proofErr w:type="spellStart"/>
      <w:proofErr w:type="gramStart"/>
      <w:r w:rsidRPr="00C23BB6">
        <w:rPr>
          <w:rFonts w:ascii="Verdana" w:hAnsi="Verdana"/>
          <w:sz w:val="16"/>
          <w:szCs w:val="16"/>
        </w:rPr>
        <w:t>deb</w:t>
      </w:r>
      <w:proofErr w:type="spellEnd"/>
      <w:r w:rsidRPr="00C23BB6">
        <w:rPr>
          <w:rFonts w:ascii="Verdana" w:hAnsi="Verdana"/>
          <w:sz w:val="16"/>
          <w:szCs w:val="16"/>
        </w:rPr>
        <w:t>[</w:t>
      </w:r>
      <w:proofErr w:type="spellStart"/>
      <w:proofErr w:type="gramEnd"/>
      <w:r w:rsidRPr="00C23BB6">
        <w:rPr>
          <w:rFonts w:ascii="Verdana" w:hAnsi="Verdana"/>
          <w:sz w:val="16"/>
          <w:szCs w:val="16"/>
        </w:rPr>
        <w:t>ía</w:t>
      </w:r>
      <w:proofErr w:type="spellEnd"/>
      <w:r w:rsidRPr="00C23BB6">
        <w:rPr>
          <w:rFonts w:ascii="Verdana" w:hAnsi="Verdana"/>
          <w:sz w:val="16"/>
          <w:szCs w:val="16"/>
        </w:rPr>
        <w:t>] informar en un plazo de tres meses, contado a partir de la notificación de [la] Sentencia, sobre el cumplimiento de esta medida”.</w:t>
      </w:r>
    </w:p>
  </w:footnote>
  <w:footnote w:id="12">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El </w:t>
      </w:r>
      <w:r w:rsidRPr="00C23BB6">
        <w:rPr>
          <w:rFonts w:ascii="Verdana" w:hAnsi="Verdana"/>
          <w:i/>
          <w:sz w:val="16"/>
          <w:szCs w:val="16"/>
        </w:rPr>
        <w:t>Estado</w:t>
      </w:r>
      <w:r w:rsidRPr="00C23BB6">
        <w:rPr>
          <w:rFonts w:ascii="Verdana" w:hAnsi="Verdana"/>
          <w:sz w:val="16"/>
          <w:szCs w:val="16"/>
        </w:rPr>
        <w:t xml:space="preserve"> sostuvo que este punto de la Sentencia “se encuentra cumplido en tanto [l]a medida cautelar [de inhibición general de bienes que pesaba sobre Carlos y Pablo </w:t>
      </w:r>
      <w:proofErr w:type="spellStart"/>
      <w:r w:rsidRPr="00C23BB6">
        <w:rPr>
          <w:rFonts w:ascii="Verdana" w:hAnsi="Verdana"/>
          <w:sz w:val="16"/>
          <w:szCs w:val="16"/>
        </w:rPr>
        <w:t>Mémoli</w:t>
      </w:r>
      <w:proofErr w:type="spellEnd"/>
      <w:r w:rsidRPr="00C23BB6">
        <w:rPr>
          <w:rFonts w:ascii="Verdana" w:hAnsi="Verdana"/>
          <w:sz w:val="16"/>
          <w:szCs w:val="16"/>
        </w:rPr>
        <w:t xml:space="preserve">] fue oportunamente levantada”. </w:t>
      </w:r>
    </w:p>
  </w:footnote>
  <w:footnote w:id="13">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Los </w:t>
      </w:r>
      <w:r w:rsidRPr="00C23BB6">
        <w:rPr>
          <w:rFonts w:ascii="Verdana" w:hAnsi="Verdana"/>
          <w:i/>
          <w:sz w:val="16"/>
          <w:szCs w:val="16"/>
        </w:rPr>
        <w:t xml:space="preserve">señores </w:t>
      </w:r>
      <w:proofErr w:type="spellStart"/>
      <w:r w:rsidRPr="00C23BB6">
        <w:rPr>
          <w:rFonts w:ascii="Verdana" w:hAnsi="Verdana"/>
          <w:i/>
          <w:sz w:val="16"/>
          <w:szCs w:val="16"/>
        </w:rPr>
        <w:t>Mémoli</w:t>
      </w:r>
      <w:proofErr w:type="spellEnd"/>
      <w:r w:rsidRPr="00C23BB6">
        <w:rPr>
          <w:rFonts w:ascii="Verdana" w:hAnsi="Verdana"/>
          <w:i/>
          <w:sz w:val="16"/>
          <w:szCs w:val="16"/>
        </w:rPr>
        <w:t xml:space="preserve"> </w:t>
      </w:r>
      <w:r w:rsidRPr="00C23BB6">
        <w:rPr>
          <w:rFonts w:ascii="Verdana" w:hAnsi="Verdana"/>
          <w:sz w:val="16"/>
          <w:szCs w:val="16"/>
        </w:rPr>
        <w:t>sostuvieron que el Estado “cumplió acabadamente [con levantar las inhibiciones generales de bienes] el 28 de mayo [de 2014]”.</w:t>
      </w:r>
      <w:r w:rsidRPr="00C23BB6">
        <w:rPr>
          <w:rFonts w:ascii="Verdana" w:hAnsi="Verdana"/>
          <w:sz w:val="16"/>
          <w:szCs w:val="16"/>
        </w:rPr>
        <w:tab/>
      </w:r>
    </w:p>
  </w:footnote>
  <w:footnote w:id="14">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i/>
          <w:sz w:val="16"/>
          <w:szCs w:val="16"/>
        </w:rPr>
        <w:t>Cfr</w:t>
      </w:r>
      <w:r w:rsidRPr="00C23BB6">
        <w:rPr>
          <w:rFonts w:ascii="Verdana" w:hAnsi="Verdana"/>
          <w:sz w:val="16"/>
          <w:szCs w:val="16"/>
        </w:rPr>
        <w:t xml:space="preserve">. Auto emitido el 7 de enero de 2014 por la Juez Elisa F. </w:t>
      </w:r>
      <w:proofErr w:type="spellStart"/>
      <w:r w:rsidRPr="00C23BB6">
        <w:rPr>
          <w:rFonts w:ascii="Verdana" w:hAnsi="Verdana"/>
          <w:sz w:val="16"/>
          <w:szCs w:val="16"/>
        </w:rPr>
        <w:t>Marcelli</w:t>
      </w:r>
      <w:proofErr w:type="spellEnd"/>
      <w:r w:rsidRPr="00C23BB6">
        <w:rPr>
          <w:rFonts w:ascii="Verdana" w:hAnsi="Verdana"/>
          <w:sz w:val="16"/>
          <w:szCs w:val="16"/>
        </w:rPr>
        <w:t xml:space="preserve"> del Juzgado de Primera Instancia en lo Civil y Comercial N° 3 del Departamento Judicial de Mercedes (anexo al informe del Estado de 19 de septiembre de 2014). </w:t>
      </w:r>
    </w:p>
  </w:footnote>
  <w:footnote w:id="15">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El </w:t>
      </w:r>
      <w:r w:rsidRPr="00C23BB6">
        <w:rPr>
          <w:rFonts w:ascii="Verdana" w:hAnsi="Verdana"/>
          <w:i/>
          <w:sz w:val="16"/>
          <w:szCs w:val="16"/>
        </w:rPr>
        <w:t>Estado</w:t>
      </w:r>
      <w:r w:rsidRPr="00C23BB6">
        <w:rPr>
          <w:rFonts w:ascii="Verdana" w:hAnsi="Verdana"/>
          <w:sz w:val="16"/>
          <w:szCs w:val="16"/>
        </w:rPr>
        <w:t xml:space="preserve"> sostuvo que esta decisión se adoptó “luego de que la Suprema Corte de la Provincia de Buenos Aires le </w:t>
      </w:r>
      <w:proofErr w:type="spellStart"/>
      <w:r w:rsidRPr="00C23BB6">
        <w:rPr>
          <w:rFonts w:ascii="Verdana" w:hAnsi="Verdana"/>
          <w:sz w:val="16"/>
          <w:szCs w:val="16"/>
        </w:rPr>
        <w:t>inform</w:t>
      </w:r>
      <w:proofErr w:type="spellEnd"/>
      <w:r w:rsidRPr="00C23BB6">
        <w:rPr>
          <w:rFonts w:ascii="Verdana" w:hAnsi="Verdana"/>
          <w:sz w:val="16"/>
          <w:szCs w:val="16"/>
        </w:rPr>
        <w:t>[</w:t>
      </w:r>
      <w:proofErr w:type="spellStart"/>
      <w:r w:rsidRPr="00C23BB6">
        <w:rPr>
          <w:rFonts w:ascii="Verdana" w:hAnsi="Verdana"/>
          <w:sz w:val="16"/>
          <w:szCs w:val="16"/>
        </w:rPr>
        <w:t>ó</w:t>
      </w:r>
      <w:proofErr w:type="spellEnd"/>
      <w:r w:rsidRPr="00C23BB6">
        <w:rPr>
          <w:rFonts w:ascii="Verdana" w:hAnsi="Verdana"/>
          <w:sz w:val="16"/>
          <w:szCs w:val="16"/>
        </w:rPr>
        <w:t xml:space="preserve"> al Juzgado de Primera Instancia en lo Civil y Comercial] de la Sentencia dictada por la Corte I[</w:t>
      </w:r>
      <w:proofErr w:type="spellStart"/>
      <w:r w:rsidRPr="00C23BB6">
        <w:rPr>
          <w:rFonts w:ascii="Verdana" w:hAnsi="Verdana"/>
          <w:sz w:val="16"/>
          <w:szCs w:val="16"/>
        </w:rPr>
        <w:t>nteramericana</w:t>
      </w:r>
      <w:proofErr w:type="spellEnd"/>
      <w:r w:rsidRPr="00C23BB6">
        <w:rPr>
          <w:rFonts w:ascii="Verdana" w:hAnsi="Verdana"/>
          <w:sz w:val="16"/>
          <w:szCs w:val="16"/>
        </w:rPr>
        <w:t xml:space="preserve">], y en atención a que se trataba de una cuestión urgente, decidió habilitar la feria judicial el 7 de enero de 2014, lo que significó que el expediente siguió tramitándose a pesar del receso de verano, ordenando el levantamiento de la inhibición general de bienes”. </w:t>
      </w:r>
    </w:p>
  </w:footnote>
  <w:footnote w:id="16">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i/>
          <w:sz w:val="16"/>
          <w:szCs w:val="16"/>
        </w:rPr>
        <w:t>Cfr.</w:t>
      </w:r>
      <w:r w:rsidRPr="00C23BB6">
        <w:rPr>
          <w:rFonts w:ascii="Verdana" w:hAnsi="Verdana"/>
          <w:sz w:val="16"/>
          <w:szCs w:val="16"/>
        </w:rPr>
        <w:t xml:space="preserve"> Escrito presentado por el señor Pablo </w:t>
      </w:r>
      <w:proofErr w:type="spellStart"/>
      <w:r w:rsidRPr="00C23BB6">
        <w:rPr>
          <w:rFonts w:ascii="Verdana" w:hAnsi="Verdana"/>
          <w:sz w:val="16"/>
          <w:szCs w:val="16"/>
        </w:rPr>
        <w:t>Mémoli</w:t>
      </w:r>
      <w:proofErr w:type="spellEnd"/>
      <w:r w:rsidRPr="00C23BB6">
        <w:rPr>
          <w:rFonts w:ascii="Verdana" w:hAnsi="Verdana"/>
          <w:sz w:val="16"/>
          <w:szCs w:val="16"/>
        </w:rPr>
        <w:t xml:space="preserve"> el 13 de marzo de 2014 al Juzgado de Primera Instancia en lo Civil y Comercial (anexo al informe del Estado de 19 de septiembre de 2014).</w:t>
      </w:r>
    </w:p>
  </w:footnote>
  <w:footnote w:id="17">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Los oficios fueron librados el 20 de marzo de 2014 por el Juzgado y retirados por el señor Pablo </w:t>
      </w:r>
      <w:proofErr w:type="spellStart"/>
      <w:r w:rsidRPr="00C23BB6">
        <w:rPr>
          <w:rFonts w:ascii="Verdana" w:hAnsi="Verdana"/>
          <w:sz w:val="16"/>
          <w:szCs w:val="16"/>
        </w:rPr>
        <w:t>Mémoli</w:t>
      </w:r>
      <w:proofErr w:type="spellEnd"/>
      <w:r w:rsidRPr="00C23BB6">
        <w:rPr>
          <w:rFonts w:ascii="Verdana" w:hAnsi="Verdana"/>
          <w:sz w:val="16"/>
          <w:szCs w:val="16"/>
        </w:rPr>
        <w:t xml:space="preserve"> al día siguiente, quien los presentó al Registro de la Propiedad Inmueble el 28 de marzo de 2014. </w:t>
      </w:r>
      <w:r w:rsidRPr="00C23BB6">
        <w:rPr>
          <w:rFonts w:ascii="Verdana" w:hAnsi="Verdana"/>
          <w:i/>
          <w:sz w:val="16"/>
          <w:szCs w:val="16"/>
        </w:rPr>
        <w:t>Cfr.</w:t>
      </w:r>
      <w:r w:rsidRPr="00C23BB6">
        <w:rPr>
          <w:rFonts w:ascii="Verdana" w:hAnsi="Verdana"/>
          <w:sz w:val="16"/>
          <w:szCs w:val="16"/>
        </w:rPr>
        <w:t xml:space="preserve"> Oficios presentado el 21 de marzo de 2014 al Registro de la Propiedad Inmueble de Buenos Aires y “Constancia de Registración de la Medida” emitida el 28 de mayo de 2014 por la Dirección Provincial del Registro de la Propiedad (anexos al informe del Estado de 19 de septiembre de 2014). </w:t>
      </w:r>
    </w:p>
  </w:footnote>
  <w:footnote w:id="18">
    <w:p w:rsidR="00CA0AF5" w:rsidRPr="00C23BB6" w:rsidRDefault="00CA0AF5" w:rsidP="004139B4">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i/>
          <w:sz w:val="16"/>
          <w:szCs w:val="16"/>
        </w:rPr>
        <w:t>Cfr.</w:t>
      </w:r>
      <w:r w:rsidRPr="00C23BB6">
        <w:rPr>
          <w:rFonts w:ascii="Verdana" w:hAnsi="Verdana"/>
          <w:sz w:val="16"/>
          <w:szCs w:val="16"/>
        </w:rPr>
        <w:t xml:space="preserve"> Escrito presentado por el señor Pablo </w:t>
      </w:r>
      <w:proofErr w:type="spellStart"/>
      <w:r w:rsidRPr="00C23BB6">
        <w:rPr>
          <w:rFonts w:ascii="Verdana" w:hAnsi="Verdana"/>
          <w:sz w:val="16"/>
          <w:szCs w:val="16"/>
        </w:rPr>
        <w:t>Mémoli</w:t>
      </w:r>
      <w:proofErr w:type="spellEnd"/>
      <w:r w:rsidRPr="00C23BB6">
        <w:rPr>
          <w:rFonts w:ascii="Verdana" w:hAnsi="Verdana"/>
          <w:sz w:val="16"/>
          <w:szCs w:val="16"/>
        </w:rPr>
        <w:t xml:space="preserve"> el 4 de junio de 2014 al Juzgado de Primera Instancia en lo Civil y Comercial N°6 (anexo al informe del Estado de 19 de septiembre de 2014).</w:t>
      </w:r>
      <w:r w:rsidRPr="00C23BB6">
        <w:rPr>
          <w:rFonts w:ascii="Verdana" w:hAnsi="Verdana"/>
          <w:b/>
          <w:sz w:val="16"/>
          <w:szCs w:val="16"/>
        </w:rPr>
        <w:t xml:space="preserve">  </w:t>
      </w:r>
    </w:p>
  </w:footnote>
  <w:footnote w:id="19">
    <w:p w:rsidR="00CA0AF5" w:rsidRPr="00C23BB6" w:rsidRDefault="00CA0AF5" w:rsidP="00AD20E2">
      <w:pPr>
        <w:pStyle w:val="Textonotapie"/>
        <w:tabs>
          <w:tab w:val="left" w:pos="426"/>
          <w:tab w:val="left" w:pos="709"/>
          <w:tab w:val="left" w:pos="851"/>
        </w:tabs>
        <w:jc w:val="both"/>
        <w:rPr>
          <w:rFonts w:ascii="Verdana" w:hAnsi="Verdana"/>
          <w:sz w:val="16"/>
          <w:szCs w:val="16"/>
          <w:lang w:val="es-CR"/>
        </w:rPr>
      </w:pPr>
      <w:r w:rsidRPr="00C23BB6">
        <w:rPr>
          <w:rStyle w:val="Refdenotaalpie"/>
          <w:rFonts w:ascii="Verdana" w:hAnsi="Verdana"/>
          <w:sz w:val="16"/>
          <w:szCs w:val="16"/>
        </w:rPr>
        <w:footnoteRef/>
      </w:r>
      <w:r w:rsidRPr="00C23BB6">
        <w:rPr>
          <w:rFonts w:ascii="Verdana" w:hAnsi="Verdana"/>
          <w:sz w:val="16"/>
          <w:szCs w:val="16"/>
          <w:lang w:val="it-IT"/>
        </w:rPr>
        <w:t xml:space="preserve"> </w:t>
      </w:r>
      <w:r w:rsidRPr="00C23BB6">
        <w:rPr>
          <w:rFonts w:ascii="Verdana" w:hAnsi="Verdana"/>
          <w:sz w:val="16"/>
          <w:szCs w:val="16"/>
          <w:lang w:val="it-IT"/>
        </w:rPr>
        <w:tab/>
      </w:r>
      <w:r w:rsidRPr="00C23BB6">
        <w:rPr>
          <w:rFonts w:ascii="Verdana" w:hAnsi="Verdana" w:cs="Arial"/>
          <w:i/>
          <w:sz w:val="16"/>
          <w:szCs w:val="16"/>
          <w:lang w:val="it-IT"/>
        </w:rPr>
        <w:t>Cfr.</w:t>
      </w:r>
      <w:r w:rsidRPr="00C23BB6">
        <w:rPr>
          <w:rFonts w:ascii="Verdana" w:hAnsi="Verdana" w:cs="Arial"/>
          <w:b/>
          <w:i/>
          <w:sz w:val="16"/>
          <w:szCs w:val="16"/>
          <w:lang w:val="it-IT"/>
        </w:rPr>
        <w:t xml:space="preserve"> </w:t>
      </w:r>
      <w:r w:rsidRPr="00C23BB6">
        <w:rPr>
          <w:rStyle w:val="Textoennegrita"/>
          <w:rFonts w:ascii="Verdana" w:hAnsi="Verdana" w:cs="Arial"/>
          <w:b w:val="0"/>
          <w:i/>
          <w:sz w:val="16"/>
          <w:szCs w:val="16"/>
          <w:shd w:val="clear" w:color="auto" w:fill="FFFFFF"/>
          <w:lang w:val="it-IT"/>
        </w:rPr>
        <w:t xml:space="preserve">Caso Mémoli, supra, </w:t>
      </w:r>
      <w:r w:rsidRPr="00C23BB6">
        <w:rPr>
          <w:rStyle w:val="Textoennegrita"/>
          <w:rFonts w:ascii="Verdana" w:hAnsi="Verdana" w:cs="Arial"/>
          <w:b w:val="0"/>
          <w:sz w:val="16"/>
          <w:szCs w:val="16"/>
          <w:shd w:val="clear" w:color="auto" w:fill="FFFFFF"/>
          <w:lang w:val="it-IT"/>
        </w:rPr>
        <w:t xml:space="preserve">párrs. </w:t>
      </w:r>
      <w:r w:rsidRPr="00C23BB6">
        <w:rPr>
          <w:rStyle w:val="Textoennegrita"/>
          <w:rFonts w:ascii="Verdana" w:hAnsi="Verdana" w:cs="Arial"/>
          <w:b w:val="0"/>
          <w:sz w:val="16"/>
          <w:szCs w:val="16"/>
          <w:shd w:val="clear" w:color="auto" w:fill="FFFFFF"/>
          <w:lang w:val="es-CR"/>
        </w:rPr>
        <w:t>95 a 98, 108 y 167.</w:t>
      </w:r>
    </w:p>
  </w:footnote>
  <w:footnote w:id="20">
    <w:p w:rsidR="00CA0AF5" w:rsidRPr="00C23BB6" w:rsidRDefault="00CA0AF5" w:rsidP="00C23BB6">
      <w:pPr>
        <w:pStyle w:val="Textonotapie"/>
        <w:tabs>
          <w:tab w:val="left" w:pos="426"/>
        </w:tabs>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00AE5C9A">
        <w:rPr>
          <w:rFonts w:ascii="Verdana" w:hAnsi="Verdana"/>
          <w:sz w:val="16"/>
          <w:szCs w:val="16"/>
        </w:rPr>
        <w:tab/>
      </w:r>
      <w:r w:rsidRPr="00C23BB6">
        <w:rPr>
          <w:rFonts w:ascii="Verdana" w:hAnsi="Verdana"/>
          <w:sz w:val="16"/>
          <w:szCs w:val="16"/>
        </w:rPr>
        <w:t xml:space="preserve">Los señores Antonio </w:t>
      </w:r>
      <w:proofErr w:type="spellStart"/>
      <w:r w:rsidRPr="00C23BB6">
        <w:rPr>
          <w:rFonts w:ascii="Verdana" w:hAnsi="Verdana"/>
          <w:sz w:val="16"/>
          <w:szCs w:val="16"/>
        </w:rPr>
        <w:t>Guarracino</w:t>
      </w:r>
      <w:proofErr w:type="spellEnd"/>
      <w:r w:rsidRPr="00C23BB6">
        <w:rPr>
          <w:rFonts w:ascii="Verdana" w:hAnsi="Verdana"/>
          <w:sz w:val="16"/>
          <w:szCs w:val="16"/>
        </w:rPr>
        <w:t xml:space="preserve">, Humberto </w:t>
      </w:r>
      <w:proofErr w:type="spellStart"/>
      <w:r w:rsidRPr="00C23BB6">
        <w:rPr>
          <w:rFonts w:ascii="Verdana" w:hAnsi="Verdana"/>
          <w:sz w:val="16"/>
          <w:szCs w:val="16"/>
        </w:rPr>
        <w:t>Romanello</w:t>
      </w:r>
      <w:proofErr w:type="spellEnd"/>
      <w:r w:rsidRPr="00C23BB6">
        <w:rPr>
          <w:rFonts w:ascii="Verdana" w:hAnsi="Verdana"/>
          <w:sz w:val="16"/>
          <w:szCs w:val="16"/>
        </w:rPr>
        <w:t xml:space="preserve"> y Juan Bernardo </w:t>
      </w:r>
      <w:proofErr w:type="spellStart"/>
      <w:r w:rsidRPr="00C23BB6">
        <w:rPr>
          <w:rFonts w:ascii="Verdana" w:hAnsi="Verdana"/>
          <w:sz w:val="16"/>
          <w:szCs w:val="16"/>
        </w:rPr>
        <w:t>Piriz</w:t>
      </w:r>
      <w:proofErr w:type="spellEnd"/>
      <w:r w:rsidRPr="00C23BB6">
        <w:rPr>
          <w:rFonts w:ascii="Verdana" w:hAnsi="Verdana"/>
          <w:sz w:val="16"/>
          <w:szCs w:val="16"/>
        </w:rPr>
        <w:t>.</w:t>
      </w:r>
    </w:p>
  </w:footnote>
  <w:footnote w:id="21">
    <w:p w:rsidR="00CA0AF5" w:rsidRPr="00C23BB6" w:rsidRDefault="00CA0AF5" w:rsidP="00AE5C9A">
      <w:pPr>
        <w:pStyle w:val="Textonotapie"/>
        <w:tabs>
          <w:tab w:val="left" w:pos="426"/>
        </w:tabs>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00AE5C9A">
        <w:rPr>
          <w:rFonts w:ascii="Verdana" w:hAnsi="Verdana"/>
          <w:sz w:val="16"/>
          <w:szCs w:val="16"/>
        </w:rPr>
        <w:tab/>
      </w:r>
      <w:r w:rsidRPr="00C23BB6">
        <w:rPr>
          <w:rFonts w:ascii="Verdana" w:hAnsi="Verdana"/>
          <w:sz w:val="16"/>
          <w:szCs w:val="16"/>
        </w:rPr>
        <w:t xml:space="preserve">El señor Juan Bernardo </w:t>
      </w:r>
      <w:proofErr w:type="spellStart"/>
      <w:r w:rsidRPr="00C23BB6">
        <w:rPr>
          <w:rFonts w:ascii="Verdana" w:hAnsi="Verdana"/>
          <w:sz w:val="16"/>
          <w:szCs w:val="16"/>
        </w:rPr>
        <w:t>Piriz</w:t>
      </w:r>
      <w:proofErr w:type="spellEnd"/>
      <w:r w:rsidRPr="00C23BB6">
        <w:rPr>
          <w:rFonts w:ascii="Verdana" w:hAnsi="Verdana"/>
          <w:sz w:val="16"/>
          <w:szCs w:val="16"/>
        </w:rPr>
        <w:t>.</w:t>
      </w:r>
    </w:p>
  </w:footnote>
  <w:footnote w:id="22">
    <w:p w:rsidR="00CA0AF5" w:rsidRPr="00C23BB6" w:rsidRDefault="00CA0AF5" w:rsidP="00AD20E2">
      <w:pPr>
        <w:tabs>
          <w:tab w:val="left" w:pos="426"/>
          <w:tab w:val="left" w:pos="709"/>
        </w:tabs>
        <w:spacing w:after="0" w:line="240" w:lineRule="auto"/>
        <w:jc w:val="both"/>
        <w:rPr>
          <w:rFonts w:ascii="Verdana" w:eastAsia="Times New Roman"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eastAsia="Times New Roman" w:hAnsi="Verdana"/>
          <w:sz w:val="16"/>
          <w:szCs w:val="16"/>
        </w:rPr>
        <w:t>El 27 de agosto de 2014 el Juzgado en lo Civil y Comercial N</w:t>
      </w:r>
      <w:r w:rsidR="00650736">
        <w:rPr>
          <w:rFonts w:ascii="Verdana" w:eastAsia="Times New Roman" w:hAnsi="Verdana"/>
          <w:sz w:val="16"/>
          <w:szCs w:val="16"/>
        </w:rPr>
        <w:t>.</w:t>
      </w:r>
      <w:r w:rsidRPr="00C23BB6">
        <w:rPr>
          <w:rFonts w:ascii="Verdana" w:eastAsia="Times New Roman" w:hAnsi="Verdana"/>
          <w:sz w:val="16"/>
          <w:szCs w:val="16"/>
        </w:rPr>
        <w:t>6 del Departamento Judicial de Mercedes emitió la sentencia de primera instancia, en la cual resolvió, entre otros: “</w:t>
      </w:r>
      <w:proofErr w:type="spellStart"/>
      <w:r w:rsidRPr="00C23BB6">
        <w:rPr>
          <w:rFonts w:ascii="Verdana" w:eastAsia="Times New Roman" w:hAnsi="Verdana"/>
          <w:sz w:val="16"/>
          <w:szCs w:val="16"/>
        </w:rPr>
        <w:t>hac</w:t>
      </w:r>
      <w:proofErr w:type="spellEnd"/>
      <w:r w:rsidRPr="00C23BB6">
        <w:rPr>
          <w:rFonts w:ascii="Verdana" w:eastAsia="Times New Roman" w:hAnsi="Verdana"/>
          <w:sz w:val="16"/>
          <w:szCs w:val="16"/>
        </w:rPr>
        <w:t>[</w:t>
      </w:r>
      <w:proofErr w:type="spellStart"/>
      <w:r w:rsidRPr="00C23BB6">
        <w:rPr>
          <w:rFonts w:ascii="Verdana" w:eastAsia="Times New Roman" w:hAnsi="Verdana"/>
          <w:sz w:val="16"/>
          <w:szCs w:val="16"/>
        </w:rPr>
        <w:t>er</w:t>
      </w:r>
      <w:proofErr w:type="spellEnd"/>
      <w:r w:rsidRPr="00C23BB6">
        <w:rPr>
          <w:rFonts w:ascii="Verdana" w:eastAsia="Times New Roman" w:hAnsi="Verdana"/>
          <w:sz w:val="16"/>
          <w:szCs w:val="16"/>
        </w:rPr>
        <w:t xml:space="preserve">] lugar al desistimiento de la excepción de cosa juzgada efectuado por los [señores] Carlos </w:t>
      </w:r>
      <w:proofErr w:type="spellStart"/>
      <w:r w:rsidRPr="00C23BB6">
        <w:rPr>
          <w:rFonts w:ascii="Verdana" w:eastAsia="Times New Roman" w:hAnsi="Verdana"/>
          <w:sz w:val="16"/>
          <w:szCs w:val="16"/>
        </w:rPr>
        <w:t>Mémoli</w:t>
      </w:r>
      <w:proofErr w:type="spellEnd"/>
      <w:r w:rsidRPr="00C23BB6">
        <w:rPr>
          <w:rFonts w:ascii="Verdana" w:eastAsia="Times New Roman" w:hAnsi="Verdana"/>
          <w:sz w:val="16"/>
          <w:szCs w:val="16"/>
        </w:rPr>
        <w:t xml:space="preserve"> y Pablo Carlos </w:t>
      </w:r>
      <w:proofErr w:type="spellStart"/>
      <w:r w:rsidRPr="00C23BB6">
        <w:rPr>
          <w:rFonts w:ascii="Verdana" w:eastAsia="Times New Roman" w:hAnsi="Verdana"/>
          <w:sz w:val="16"/>
          <w:szCs w:val="16"/>
        </w:rPr>
        <w:t>Mémoli</w:t>
      </w:r>
      <w:proofErr w:type="spellEnd"/>
      <w:r w:rsidRPr="00C23BB6">
        <w:rPr>
          <w:rFonts w:ascii="Verdana" w:eastAsia="Times New Roman" w:hAnsi="Verdana"/>
          <w:sz w:val="16"/>
          <w:szCs w:val="16"/>
        </w:rPr>
        <w:t xml:space="preserve">”, “desestima[r] la excepción de prescripción articulada por los [señores] Carlos </w:t>
      </w:r>
      <w:proofErr w:type="spellStart"/>
      <w:r w:rsidRPr="00C23BB6">
        <w:rPr>
          <w:rFonts w:ascii="Verdana" w:eastAsia="Times New Roman" w:hAnsi="Verdana"/>
          <w:sz w:val="16"/>
          <w:szCs w:val="16"/>
        </w:rPr>
        <w:t>Mémoli</w:t>
      </w:r>
      <w:proofErr w:type="spellEnd"/>
      <w:r w:rsidRPr="00C23BB6">
        <w:rPr>
          <w:rFonts w:ascii="Verdana" w:eastAsia="Times New Roman" w:hAnsi="Verdana"/>
          <w:sz w:val="16"/>
          <w:szCs w:val="16"/>
        </w:rPr>
        <w:t xml:space="preserve"> y Pablo Carlos </w:t>
      </w:r>
      <w:proofErr w:type="spellStart"/>
      <w:r w:rsidRPr="00C23BB6">
        <w:rPr>
          <w:rFonts w:ascii="Verdana" w:eastAsia="Times New Roman" w:hAnsi="Verdana"/>
          <w:sz w:val="16"/>
          <w:szCs w:val="16"/>
        </w:rPr>
        <w:t>Mémoli</w:t>
      </w:r>
      <w:proofErr w:type="spellEnd"/>
      <w:r w:rsidRPr="00C23BB6">
        <w:rPr>
          <w:rFonts w:ascii="Verdana" w:eastAsia="Times New Roman" w:hAnsi="Verdana"/>
          <w:sz w:val="16"/>
          <w:szCs w:val="16"/>
        </w:rPr>
        <w:t>”, y “</w:t>
      </w:r>
      <w:proofErr w:type="spellStart"/>
      <w:r w:rsidRPr="00C23BB6">
        <w:rPr>
          <w:rFonts w:ascii="Verdana" w:eastAsia="Times New Roman" w:hAnsi="Verdana"/>
          <w:sz w:val="16"/>
          <w:szCs w:val="16"/>
        </w:rPr>
        <w:t>hac</w:t>
      </w:r>
      <w:proofErr w:type="spellEnd"/>
      <w:r w:rsidRPr="00C23BB6">
        <w:rPr>
          <w:rFonts w:ascii="Verdana" w:eastAsia="Times New Roman" w:hAnsi="Verdana"/>
          <w:sz w:val="16"/>
          <w:szCs w:val="16"/>
        </w:rPr>
        <w:t>[</w:t>
      </w:r>
      <w:proofErr w:type="spellStart"/>
      <w:r w:rsidRPr="00C23BB6">
        <w:rPr>
          <w:rFonts w:ascii="Verdana" w:eastAsia="Times New Roman" w:hAnsi="Verdana"/>
          <w:sz w:val="16"/>
          <w:szCs w:val="16"/>
        </w:rPr>
        <w:t>er</w:t>
      </w:r>
      <w:proofErr w:type="spellEnd"/>
      <w:r w:rsidRPr="00C23BB6">
        <w:rPr>
          <w:rFonts w:ascii="Verdana" w:eastAsia="Times New Roman" w:hAnsi="Verdana"/>
          <w:sz w:val="16"/>
          <w:szCs w:val="16"/>
        </w:rPr>
        <w:t xml:space="preserve">] lugar a la pretensión contenida en la demanda […] contra los Sres. Carlos </w:t>
      </w:r>
      <w:proofErr w:type="spellStart"/>
      <w:r w:rsidRPr="00C23BB6">
        <w:rPr>
          <w:rFonts w:ascii="Verdana" w:eastAsia="Times New Roman" w:hAnsi="Verdana"/>
          <w:sz w:val="16"/>
          <w:szCs w:val="16"/>
        </w:rPr>
        <w:t>Mémoli</w:t>
      </w:r>
      <w:proofErr w:type="spellEnd"/>
      <w:r w:rsidRPr="00C23BB6">
        <w:rPr>
          <w:rFonts w:ascii="Verdana" w:eastAsia="Times New Roman" w:hAnsi="Verdana"/>
          <w:sz w:val="16"/>
          <w:szCs w:val="16"/>
        </w:rPr>
        <w:t xml:space="preserve"> y Pablo Carlos </w:t>
      </w:r>
      <w:proofErr w:type="spellStart"/>
      <w:r w:rsidRPr="00C23BB6">
        <w:rPr>
          <w:rFonts w:ascii="Verdana" w:eastAsia="Times New Roman" w:hAnsi="Verdana"/>
          <w:sz w:val="16"/>
          <w:szCs w:val="16"/>
        </w:rPr>
        <w:t>Mémoli</w:t>
      </w:r>
      <w:proofErr w:type="spellEnd"/>
      <w:r w:rsidRPr="00C23BB6">
        <w:rPr>
          <w:rFonts w:ascii="Verdana" w:eastAsia="Times New Roman" w:hAnsi="Verdana"/>
          <w:sz w:val="16"/>
          <w:szCs w:val="16"/>
        </w:rPr>
        <w:t xml:space="preserve">, consecuentemente, condenando a estos últimos a abonar al [demandante] el monto de cuarenta mil [pesos argentinos]-$40.000”. </w:t>
      </w:r>
      <w:r w:rsidRPr="00C23BB6">
        <w:rPr>
          <w:rFonts w:ascii="Verdana" w:eastAsia="Times New Roman" w:hAnsi="Verdana"/>
          <w:b/>
          <w:sz w:val="16"/>
          <w:szCs w:val="16"/>
        </w:rPr>
        <w:t xml:space="preserve"> </w:t>
      </w:r>
      <w:r w:rsidRPr="00C23BB6">
        <w:rPr>
          <w:rFonts w:ascii="Verdana" w:hAnsi="Verdana"/>
          <w:i/>
          <w:sz w:val="16"/>
          <w:szCs w:val="16"/>
        </w:rPr>
        <w:t>Cfr.</w:t>
      </w:r>
      <w:r w:rsidRPr="00C23BB6">
        <w:rPr>
          <w:rFonts w:ascii="Verdana" w:hAnsi="Verdana"/>
          <w:sz w:val="16"/>
          <w:szCs w:val="16"/>
        </w:rPr>
        <w:t xml:space="preserve"> Sentencia emitida el 27 de agosto de 2014 por el Juzgado de Primera Instancia en lo Civil y Comercial No.</w:t>
      </w:r>
      <w:r w:rsidR="00650736">
        <w:rPr>
          <w:rFonts w:ascii="Verdana" w:hAnsi="Verdana"/>
          <w:sz w:val="16"/>
          <w:szCs w:val="16"/>
        </w:rPr>
        <w:t xml:space="preserve"> </w:t>
      </w:r>
      <w:r w:rsidRPr="00C23BB6">
        <w:rPr>
          <w:rFonts w:ascii="Verdana" w:hAnsi="Verdana"/>
          <w:sz w:val="16"/>
          <w:szCs w:val="16"/>
        </w:rPr>
        <w:t xml:space="preserve">6 del Departamento Judicial de Mercedes (anexo al informe del Estado de 11 de noviembre de 2014). </w:t>
      </w:r>
    </w:p>
  </w:footnote>
  <w:footnote w:id="23">
    <w:p w:rsidR="00CA0AF5" w:rsidRPr="00C23BB6" w:rsidRDefault="00CA0AF5" w:rsidP="00AD20E2">
      <w:pPr>
        <w:tabs>
          <w:tab w:val="left" w:pos="426"/>
          <w:tab w:val="left" w:pos="709"/>
        </w:tabs>
        <w:spacing w:after="0" w:line="240" w:lineRule="auto"/>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i/>
          <w:sz w:val="16"/>
          <w:szCs w:val="16"/>
        </w:rPr>
        <w:t>Cfr.</w:t>
      </w:r>
      <w:r w:rsidRPr="00C23BB6">
        <w:rPr>
          <w:rFonts w:ascii="Verdana" w:hAnsi="Verdana"/>
          <w:sz w:val="16"/>
          <w:szCs w:val="16"/>
        </w:rPr>
        <w:t xml:space="preserve"> Sentencia emitida el 17 de marzo de 2015 por la </w:t>
      </w:r>
      <w:r w:rsidRPr="00C367E3">
        <w:rPr>
          <w:rFonts w:ascii="Verdana" w:hAnsi="Verdana"/>
          <w:color w:val="000000"/>
          <w:sz w:val="16"/>
          <w:szCs w:val="16"/>
        </w:rPr>
        <w:t xml:space="preserve">Sala I de la Cámara de Apelaciones en lo Civil y Comercial del Departamento Judicial de Mercedes (anexo al escrito de los señores </w:t>
      </w:r>
      <w:proofErr w:type="spellStart"/>
      <w:r w:rsidRPr="00C367E3">
        <w:rPr>
          <w:rFonts w:ascii="Verdana" w:hAnsi="Verdana"/>
          <w:color w:val="000000"/>
          <w:sz w:val="16"/>
          <w:szCs w:val="16"/>
        </w:rPr>
        <w:t>Mémoli</w:t>
      </w:r>
      <w:proofErr w:type="spellEnd"/>
      <w:r w:rsidRPr="00C367E3">
        <w:rPr>
          <w:rFonts w:ascii="Verdana" w:hAnsi="Verdana"/>
          <w:color w:val="000000"/>
          <w:sz w:val="16"/>
          <w:szCs w:val="16"/>
        </w:rPr>
        <w:t xml:space="preserve"> de 31 de marzo de 2015). </w:t>
      </w:r>
    </w:p>
  </w:footnote>
  <w:footnote w:id="24">
    <w:p w:rsidR="00CA0AF5" w:rsidRPr="00C23BB6" w:rsidRDefault="00CA0AF5" w:rsidP="00AD20E2">
      <w:pPr>
        <w:pStyle w:val="Textonotapie"/>
        <w:tabs>
          <w:tab w:val="left" w:pos="426"/>
          <w:tab w:val="left" w:pos="709"/>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Al respecto, la Corte resalta que en la decisión  de la </w:t>
      </w:r>
      <w:r w:rsidRPr="00C367E3">
        <w:rPr>
          <w:rFonts w:ascii="Verdana" w:hAnsi="Verdana"/>
          <w:color w:val="000000"/>
          <w:sz w:val="16"/>
          <w:szCs w:val="16"/>
        </w:rPr>
        <w:t>Cámara de Apelaciones en lo Civil y Comercial del Departamento Judicial de Mercedes</w:t>
      </w:r>
      <w:r w:rsidRPr="00C23BB6">
        <w:rPr>
          <w:rFonts w:ascii="Verdana" w:hAnsi="Verdana"/>
          <w:sz w:val="16"/>
          <w:szCs w:val="16"/>
        </w:rPr>
        <w:t xml:space="preserve"> se  hizo notar “la perplejidad que […] causa que, luego de transcurridos trece años desde que el juez de primera instancia difiriera para el momento de la </w:t>
      </w:r>
      <w:r w:rsidR="00650736">
        <w:rPr>
          <w:rFonts w:ascii="Verdana" w:hAnsi="Verdana"/>
          <w:sz w:val="16"/>
          <w:szCs w:val="16"/>
        </w:rPr>
        <w:t>s</w:t>
      </w:r>
      <w:r w:rsidRPr="00C23BB6">
        <w:rPr>
          <w:rFonts w:ascii="Verdana" w:hAnsi="Verdana"/>
          <w:sz w:val="16"/>
          <w:szCs w:val="16"/>
        </w:rPr>
        <w:t xml:space="preserve">entencia la resolución de la excepción de prescripción opuesta […], finalmente […] se </w:t>
      </w:r>
      <w:proofErr w:type="gramStart"/>
      <w:r w:rsidRPr="00C23BB6">
        <w:rPr>
          <w:rFonts w:ascii="Verdana" w:hAnsi="Verdana"/>
          <w:sz w:val="16"/>
          <w:szCs w:val="16"/>
        </w:rPr>
        <w:t>h[</w:t>
      </w:r>
      <w:proofErr w:type="spellStart"/>
      <w:proofErr w:type="gramEnd"/>
      <w:r w:rsidRPr="00C23BB6">
        <w:rPr>
          <w:rFonts w:ascii="Verdana" w:hAnsi="Verdana"/>
          <w:sz w:val="16"/>
          <w:szCs w:val="16"/>
        </w:rPr>
        <w:t>iciera</w:t>
      </w:r>
      <w:proofErr w:type="spellEnd"/>
      <w:r w:rsidRPr="00C23BB6">
        <w:rPr>
          <w:rFonts w:ascii="Verdana" w:hAnsi="Verdana"/>
          <w:sz w:val="16"/>
          <w:szCs w:val="16"/>
        </w:rPr>
        <w:t xml:space="preserve">] lugar a la misma”. </w:t>
      </w:r>
      <w:r w:rsidRPr="00C23BB6">
        <w:rPr>
          <w:rFonts w:ascii="Verdana" w:hAnsi="Verdana"/>
          <w:b/>
          <w:sz w:val="16"/>
          <w:szCs w:val="16"/>
        </w:rPr>
        <w:t xml:space="preserve"> </w:t>
      </w:r>
      <w:r w:rsidRPr="00C23BB6">
        <w:rPr>
          <w:rFonts w:ascii="Verdana" w:hAnsi="Verdana"/>
          <w:sz w:val="16"/>
          <w:szCs w:val="16"/>
        </w:rPr>
        <w:t xml:space="preserve">Al declarar con lugar la excepción de prescripción, se rechazó </w:t>
      </w:r>
      <w:r w:rsidRPr="00C367E3">
        <w:rPr>
          <w:rFonts w:ascii="Verdana" w:hAnsi="Verdana"/>
          <w:color w:val="000000"/>
          <w:sz w:val="16"/>
          <w:szCs w:val="16"/>
        </w:rPr>
        <w:t xml:space="preserve">la demanda deducida por el actor contra los señores </w:t>
      </w:r>
      <w:proofErr w:type="spellStart"/>
      <w:r w:rsidRPr="00C367E3">
        <w:rPr>
          <w:rFonts w:ascii="Verdana" w:hAnsi="Verdana"/>
          <w:color w:val="000000"/>
          <w:sz w:val="16"/>
          <w:szCs w:val="16"/>
        </w:rPr>
        <w:t>Mémoli</w:t>
      </w:r>
      <w:proofErr w:type="spellEnd"/>
      <w:r w:rsidRPr="00C367E3">
        <w:rPr>
          <w:rFonts w:ascii="Verdana" w:hAnsi="Verdana"/>
          <w:color w:val="000000"/>
          <w:sz w:val="16"/>
          <w:szCs w:val="16"/>
        </w:rPr>
        <w:t xml:space="preserve">. </w:t>
      </w:r>
      <w:r w:rsidRPr="00C23BB6">
        <w:rPr>
          <w:rFonts w:ascii="Verdana" w:hAnsi="Verdana"/>
          <w:i/>
          <w:sz w:val="16"/>
          <w:szCs w:val="16"/>
        </w:rPr>
        <w:t>Cfr.</w:t>
      </w:r>
      <w:r w:rsidRPr="00C23BB6">
        <w:rPr>
          <w:rFonts w:ascii="Verdana" w:hAnsi="Verdana"/>
          <w:sz w:val="16"/>
          <w:szCs w:val="16"/>
        </w:rPr>
        <w:t xml:space="preserve"> Sentencia emitida el 17 de marzo de 2015 por la </w:t>
      </w:r>
      <w:r w:rsidRPr="00C367E3">
        <w:rPr>
          <w:rFonts w:ascii="Verdana" w:hAnsi="Verdana"/>
          <w:color w:val="000000"/>
          <w:sz w:val="16"/>
          <w:szCs w:val="16"/>
        </w:rPr>
        <w:t xml:space="preserve">Sala I de la Cámara de Apelaciones en lo Civil y Comercial del Departamento Judicial de Mercedes, página 12 (anexo al escrito de los señores </w:t>
      </w:r>
      <w:proofErr w:type="spellStart"/>
      <w:r w:rsidRPr="00C367E3">
        <w:rPr>
          <w:rFonts w:ascii="Verdana" w:hAnsi="Verdana"/>
          <w:color w:val="000000"/>
          <w:sz w:val="16"/>
          <w:szCs w:val="16"/>
        </w:rPr>
        <w:t>Mémoli</w:t>
      </w:r>
      <w:proofErr w:type="spellEnd"/>
      <w:r w:rsidRPr="00C367E3">
        <w:rPr>
          <w:rFonts w:ascii="Verdana" w:hAnsi="Verdana"/>
          <w:color w:val="000000"/>
          <w:sz w:val="16"/>
          <w:szCs w:val="16"/>
        </w:rPr>
        <w:t xml:space="preserve"> de 31 de marzo de 2015).</w:t>
      </w:r>
      <w:r w:rsidRPr="00C367E3">
        <w:rPr>
          <w:rFonts w:ascii="Verdana" w:hAnsi="Verdana"/>
          <w:b/>
          <w:color w:val="000000"/>
          <w:sz w:val="16"/>
          <w:szCs w:val="16"/>
        </w:rPr>
        <w:t xml:space="preserve">  </w:t>
      </w:r>
    </w:p>
  </w:footnote>
  <w:footnote w:id="25">
    <w:p w:rsidR="00CA0AF5" w:rsidRPr="00C23BB6" w:rsidRDefault="00CA0AF5" w:rsidP="00E168DC">
      <w:pPr>
        <w:pStyle w:val="Textonotapie"/>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A</w:t>
      </w:r>
      <w:r w:rsidRPr="00C367E3">
        <w:rPr>
          <w:rFonts w:ascii="Verdana" w:hAnsi="Verdana"/>
          <w:color w:val="000000"/>
          <w:sz w:val="16"/>
          <w:szCs w:val="16"/>
        </w:rPr>
        <w:t xml:space="preserve"> saber: un “recurso extraordinario de nulidad y en forma subsidiaria- [un] recurso extraordinario de inaplicabilidad de la ley”, los cuales fueron denegados, y un “recurso de queja” el cual fue rechazado.</w:t>
      </w:r>
      <w:r w:rsidRPr="00C23BB6">
        <w:rPr>
          <w:rFonts w:ascii="Verdana" w:hAnsi="Verdana"/>
          <w:i/>
          <w:sz w:val="16"/>
          <w:szCs w:val="16"/>
        </w:rPr>
        <w:t xml:space="preserve"> Cfr.</w:t>
      </w:r>
      <w:r w:rsidRPr="00C23BB6">
        <w:rPr>
          <w:rFonts w:ascii="Verdana" w:hAnsi="Verdana"/>
          <w:sz w:val="16"/>
          <w:szCs w:val="16"/>
        </w:rPr>
        <w:t xml:space="preserve"> Auto emitido el 21 de abril de 2015 por la </w:t>
      </w:r>
      <w:r w:rsidRPr="00C367E3">
        <w:rPr>
          <w:rFonts w:ascii="Verdana" w:hAnsi="Verdana"/>
          <w:color w:val="000000"/>
          <w:sz w:val="16"/>
          <w:szCs w:val="16"/>
        </w:rPr>
        <w:t xml:space="preserve">Cámara de Apelaciones en lo Civil y Comercial del Departamento Judicial de Mercedes (anexo al escrito de los señores </w:t>
      </w:r>
      <w:proofErr w:type="spellStart"/>
      <w:r w:rsidRPr="00C367E3">
        <w:rPr>
          <w:rFonts w:ascii="Verdana" w:hAnsi="Verdana"/>
          <w:color w:val="000000"/>
          <w:sz w:val="16"/>
          <w:szCs w:val="16"/>
        </w:rPr>
        <w:t>Mémoli</w:t>
      </w:r>
      <w:proofErr w:type="spellEnd"/>
      <w:r w:rsidRPr="00C367E3">
        <w:rPr>
          <w:rFonts w:ascii="Verdana" w:hAnsi="Verdana"/>
          <w:color w:val="000000"/>
          <w:sz w:val="16"/>
          <w:szCs w:val="16"/>
        </w:rPr>
        <w:t xml:space="preserve"> de 11 de mayo de 2015), y</w:t>
      </w:r>
      <w:r w:rsidRPr="00C23BB6">
        <w:rPr>
          <w:rFonts w:ascii="Verdana" w:hAnsi="Verdana"/>
          <w:i/>
          <w:sz w:val="16"/>
          <w:szCs w:val="16"/>
        </w:rPr>
        <w:t xml:space="preserve"> </w:t>
      </w:r>
      <w:r w:rsidRPr="00C23BB6">
        <w:rPr>
          <w:rFonts w:ascii="Verdana" w:hAnsi="Verdana"/>
          <w:sz w:val="16"/>
          <w:szCs w:val="16"/>
        </w:rPr>
        <w:t>Oficio de 12 de junio de 2015 suscrito por el Secretario de la Suprema Corte de Justicia de Buenos Aires y dirigido al Subsecretario de Justicia de la Provincia de Buenos Aires (anexo al informe del Estado de 22 de julio de 2015).</w:t>
      </w:r>
    </w:p>
  </w:footnote>
  <w:footnote w:id="26">
    <w:p w:rsidR="00CA0AF5" w:rsidRPr="00C23BB6" w:rsidRDefault="00CA0AF5" w:rsidP="00AD20E2">
      <w:pPr>
        <w:pStyle w:val="Textonotapie"/>
        <w:tabs>
          <w:tab w:val="left" w:pos="426"/>
          <w:tab w:val="left" w:pos="709"/>
        </w:tabs>
        <w:jc w:val="both"/>
        <w:rPr>
          <w:rFonts w:ascii="Verdana" w:hAnsi="Verdana"/>
          <w:sz w:val="16"/>
          <w:szCs w:val="16"/>
          <w:lang w:val="es-CR"/>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lang w:val="es-CR"/>
        </w:rPr>
        <w:tab/>
      </w:r>
      <w:r w:rsidRPr="00C23BB6">
        <w:rPr>
          <w:rFonts w:ascii="Verdana" w:hAnsi="Verdana"/>
          <w:i/>
          <w:sz w:val="16"/>
          <w:szCs w:val="16"/>
          <w:lang w:val="es-CR"/>
        </w:rPr>
        <w:t>Cfr.</w:t>
      </w:r>
      <w:r w:rsidRPr="00C23BB6">
        <w:rPr>
          <w:rFonts w:ascii="Verdana" w:hAnsi="Verdana"/>
          <w:sz w:val="16"/>
          <w:szCs w:val="16"/>
          <w:lang w:val="es-CR"/>
        </w:rPr>
        <w:t xml:space="preserve"> Decisión emitida el 5 de julio de 2016 por la Corte Suprema de Justicia de la Nación (anexo al escrito de los señores </w:t>
      </w:r>
      <w:proofErr w:type="spellStart"/>
      <w:r w:rsidRPr="00C23BB6">
        <w:rPr>
          <w:rFonts w:ascii="Verdana" w:hAnsi="Verdana"/>
          <w:sz w:val="16"/>
          <w:szCs w:val="16"/>
          <w:lang w:val="es-CR"/>
        </w:rPr>
        <w:t>Mémoli</w:t>
      </w:r>
      <w:proofErr w:type="spellEnd"/>
      <w:r w:rsidRPr="00C23BB6">
        <w:rPr>
          <w:rFonts w:ascii="Verdana" w:hAnsi="Verdana"/>
          <w:sz w:val="16"/>
          <w:szCs w:val="16"/>
          <w:lang w:val="es-CR"/>
        </w:rPr>
        <w:t xml:space="preserve"> de 6 de julio de 2016 y al informe del Estado de 16 de diciembre de 2016).</w:t>
      </w:r>
    </w:p>
  </w:footnote>
  <w:footnote w:id="27">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Los señores </w:t>
      </w:r>
      <w:proofErr w:type="spellStart"/>
      <w:r w:rsidRPr="00C23BB6">
        <w:rPr>
          <w:rFonts w:ascii="Verdana" w:hAnsi="Verdana"/>
          <w:sz w:val="16"/>
          <w:szCs w:val="16"/>
        </w:rPr>
        <w:t>Mémoli</w:t>
      </w:r>
      <w:proofErr w:type="spellEnd"/>
      <w:r w:rsidRPr="00C23BB6">
        <w:rPr>
          <w:rFonts w:ascii="Verdana" w:hAnsi="Verdana"/>
          <w:sz w:val="16"/>
          <w:szCs w:val="16"/>
        </w:rPr>
        <w:t xml:space="preserve"> y la Comisión no presentaron observaciones sobre el cumplimiento de esta medida.</w:t>
      </w:r>
    </w:p>
  </w:footnote>
  <w:footnote w:id="28">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i/>
          <w:sz w:val="16"/>
          <w:szCs w:val="16"/>
        </w:rPr>
        <w:t>Cfr.</w:t>
      </w:r>
      <w:r w:rsidRPr="00C23BB6">
        <w:rPr>
          <w:rFonts w:ascii="Verdana" w:hAnsi="Verdana"/>
          <w:sz w:val="16"/>
          <w:szCs w:val="16"/>
        </w:rPr>
        <w:t xml:space="preserve"> Copia del Boletín Oficial N° 32.781 de 9 de diciembre de 2013, págs. 24 y 25 (anexo al informe del Estado de 19 de septiembre de 2014</w:t>
      </w:r>
      <w:r w:rsidRPr="00C23BB6">
        <w:rPr>
          <w:rFonts w:ascii="Verdana" w:hAnsi="Verdana"/>
          <w:i/>
          <w:sz w:val="16"/>
          <w:szCs w:val="16"/>
        </w:rPr>
        <w:t>)</w:t>
      </w:r>
      <w:r w:rsidRPr="00C23BB6">
        <w:rPr>
          <w:rFonts w:ascii="Verdana" w:hAnsi="Verdana"/>
          <w:sz w:val="16"/>
          <w:szCs w:val="16"/>
        </w:rPr>
        <w:t>.</w:t>
      </w:r>
    </w:p>
  </w:footnote>
  <w:footnote w:id="29">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i/>
          <w:sz w:val="16"/>
          <w:szCs w:val="16"/>
        </w:rPr>
        <w:t>Cfr.</w:t>
      </w:r>
      <w:r w:rsidRPr="00C23BB6">
        <w:rPr>
          <w:rFonts w:ascii="Verdana" w:hAnsi="Verdana"/>
          <w:sz w:val="16"/>
          <w:szCs w:val="16"/>
        </w:rPr>
        <w:t xml:space="preserve"> Copia de la página del portal </w:t>
      </w:r>
      <w:proofErr w:type="spellStart"/>
      <w:r w:rsidRPr="00C23BB6">
        <w:rPr>
          <w:rFonts w:ascii="Verdana" w:hAnsi="Verdana"/>
          <w:sz w:val="16"/>
          <w:szCs w:val="16"/>
        </w:rPr>
        <w:t>Infojus</w:t>
      </w:r>
      <w:proofErr w:type="spellEnd"/>
      <w:r w:rsidRPr="00C23BB6">
        <w:rPr>
          <w:rFonts w:ascii="Verdana" w:hAnsi="Verdana"/>
          <w:sz w:val="16"/>
          <w:szCs w:val="16"/>
        </w:rPr>
        <w:t xml:space="preserve"> del Sistema Argentino de Información Jurídica del Ministerio de Justicia y Derechos Humanos de la Nación, en la cual se publicó el texto íntegro de la Sentencia (anexo al informe del Estado de 19 de septiembre de 2014). El Estado no indicó el enlace directo en el cual se encontraba disponible la publicación de la Sentencia, solo indicó </w:t>
      </w:r>
      <w:r w:rsidR="00AB1F7F">
        <w:rPr>
          <w:rFonts w:ascii="Verdana" w:hAnsi="Verdana"/>
          <w:sz w:val="16"/>
          <w:szCs w:val="16"/>
        </w:rPr>
        <w:t xml:space="preserve">la dirección de la página </w:t>
      </w:r>
      <w:r w:rsidR="00AB1F7F" w:rsidRPr="001B771E">
        <w:rPr>
          <w:rFonts w:ascii="Verdana" w:hAnsi="Verdana"/>
          <w:i/>
          <w:sz w:val="16"/>
          <w:szCs w:val="16"/>
        </w:rPr>
        <w:t>web</w:t>
      </w:r>
      <w:r w:rsidRPr="00C23BB6">
        <w:rPr>
          <w:rFonts w:ascii="Verdana" w:hAnsi="Verdana"/>
          <w:sz w:val="16"/>
          <w:szCs w:val="16"/>
        </w:rPr>
        <w:t xml:space="preserve"> de </w:t>
      </w:r>
      <w:proofErr w:type="spellStart"/>
      <w:r w:rsidRPr="00C23BB6">
        <w:rPr>
          <w:rFonts w:ascii="Verdana" w:hAnsi="Verdana"/>
          <w:sz w:val="16"/>
          <w:szCs w:val="16"/>
        </w:rPr>
        <w:t>Infojus</w:t>
      </w:r>
      <w:proofErr w:type="spellEnd"/>
      <w:r w:rsidRPr="00C23BB6">
        <w:rPr>
          <w:rFonts w:ascii="Verdana" w:hAnsi="Verdana"/>
          <w:sz w:val="16"/>
          <w:szCs w:val="16"/>
        </w:rPr>
        <w:t xml:space="preserve"> (</w:t>
      </w:r>
      <w:hyperlink r:id="rId2" w:history="1">
        <w:r w:rsidRPr="00C23BB6">
          <w:rPr>
            <w:rStyle w:val="Hipervnculo"/>
            <w:rFonts w:ascii="Verdana" w:hAnsi="Verdana"/>
            <w:sz w:val="16"/>
            <w:szCs w:val="16"/>
          </w:rPr>
          <w:t>www.infojus.gob.ar</w:t>
        </w:r>
      </w:hyperlink>
      <w:r w:rsidRPr="00C23BB6">
        <w:rPr>
          <w:rFonts w:ascii="Verdana" w:hAnsi="Verdana"/>
          <w:sz w:val="16"/>
          <w:szCs w:val="16"/>
        </w:rPr>
        <w:t>). No obstante, la Corte constata que se encuentra disponible actualmente a través del siguiente enlace directo de la referida página web: (</w:t>
      </w:r>
      <w:hyperlink r:id="rId3" w:history="1">
        <w:r w:rsidRPr="00C23BB6">
          <w:rPr>
            <w:rStyle w:val="Hipervnculo"/>
            <w:rFonts w:ascii="Verdana" w:hAnsi="Verdana"/>
            <w:sz w:val="16"/>
            <w:szCs w:val="16"/>
          </w:rPr>
          <w:t>http://www.saij.gob.ar/corte-interamericana-derechos-humanos-internacional-san-jose-costa-rica-memoli-argentina-fa13974151-2013-08-22/123456789-151-4793-1ots-eupmocsollaf?&amp;o=5&amp;f=Total%7CTipo%20de%20Documento%7CFecha%7CTema%5B5%2C1%5D%7COrganismo%5B5%2C1%5D%7CAutor%5B5%2C1%5D%7CEstado%20de%20Vigencia%5B5%2C1%5D%7CJurisdicci%F3n%5B5%2C1%5D%7CTribunal%5B5%2C1%5D%7CPublicaci%F3n%5B5%2C1%5D%7CColecci%F3n%20tem%E1tica%5B5%2C1%5D&amp;t=7</w:t>
        </w:r>
      </w:hyperlink>
      <w:r w:rsidRPr="00C23BB6">
        <w:rPr>
          <w:rFonts w:ascii="Verdana" w:hAnsi="Verdana"/>
          <w:sz w:val="16"/>
          <w:szCs w:val="16"/>
        </w:rPr>
        <w:t xml:space="preserve">), (visitada por última vez el 10 de febrero de 2017). </w:t>
      </w:r>
    </w:p>
  </w:footnote>
  <w:footnote w:id="30">
    <w:p w:rsidR="00CA0AF5" w:rsidRPr="00C23BB6" w:rsidRDefault="00CA0AF5" w:rsidP="00AD20E2">
      <w:pPr>
        <w:pStyle w:val="Textonotapie"/>
        <w:tabs>
          <w:tab w:val="left" w:pos="426"/>
          <w:tab w:val="left" w:pos="709"/>
          <w:tab w:val="left" w:pos="851"/>
        </w:tabs>
        <w:jc w:val="both"/>
        <w:rPr>
          <w:rFonts w:ascii="Verdana" w:hAnsi="Verdana"/>
          <w:sz w:val="2"/>
          <w:szCs w:val="2"/>
        </w:rPr>
      </w:pPr>
    </w:p>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cs="Arial"/>
          <w:i/>
          <w:sz w:val="16"/>
          <w:szCs w:val="16"/>
        </w:rPr>
        <w:t>Cfr.</w:t>
      </w:r>
      <w:r w:rsidRPr="00C23BB6">
        <w:rPr>
          <w:rFonts w:ascii="Verdana" w:hAnsi="Verdana" w:cs="Arial"/>
          <w:b/>
          <w:i/>
          <w:sz w:val="16"/>
          <w:szCs w:val="16"/>
        </w:rPr>
        <w:t xml:space="preserve"> </w:t>
      </w:r>
      <w:r w:rsidRPr="00C23BB6">
        <w:rPr>
          <w:rStyle w:val="Textoennegrita"/>
          <w:rFonts w:ascii="Verdana" w:hAnsi="Verdana" w:cs="Arial"/>
          <w:b w:val="0"/>
          <w:i/>
          <w:sz w:val="16"/>
          <w:szCs w:val="16"/>
          <w:shd w:val="clear" w:color="auto" w:fill="FFFFFF"/>
        </w:rPr>
        <w:t xml:space="preserve">Caso </w:t>
      </w:r>
      <w:proofErr w:type="spellStart"/>
      <w:r w:rsidRPr="00C23BB6">
        <w:rPr>
          <w:rStyle w:val="Textoennegrita"/>
          <w:rFonts w:ascii="Verdana" w:hAnsi="Verdana" w:cs="Arial"/>
          <w:b w:val="0"/>
          <w:i/>
          <w:sz w:val="16"/>
          <w:szCs w:val="16"/>
          <w:shd w:val="clear" w:color="auto" w:fill="FFFFFF"/>
        </w:rPr>
        <w:t>Mémoli</w:t>
      </w:r>
      <w:proofErr w:type="spellEnd"/>
      <w:r w:rsidRPr="00C23BB6">
        <w:rPr>
          <w:rStyle w:val="Textoennegrita"/>
          <w:rFonts w:ascii="Verdana" w:hAnsi="Verdana" w:cs="Arial"/>
          <w:b w:val="0"/>
          <w:i/>
          <w:sz w:val="16"/>
          <w:szCs w:val="16"/>
          <w:shd w:val="clear" w:color="auto" w:fill="FFFFFF"/>
        </w:rPr>
        <w:t xml:space="preserve">, supra, </w:t>
      </w:r>
      <w:r w:rsidRPr="00C23BB6">
        <w:rPr>
          <w:rStyle w:val="Textoennegrita"/>
          <w:rFonts w:ascii="Verdana" w:hAnsi="Verdana" w:cs="Arial"/>
          <w:b w:val="0"/>
          <w:sz w:val="16"/>
          <w:szCs w:val="16"/>
          <w:shd w:val="clear" w:color="auto" w:fill="FFFFFF"/>
        </w:rPr>
        <w:t>párr. 227.</w:t>
      </w:r>
    </w:p>
  </w:footnote>
  <w:footnote w:id="31">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cs="Arial"/>
          <w:i/>
          <w:sz w:val="16"/>
          <w:szCs w:val="16"/>
        </w:rPr>
        <w:t>Cfr.</w:t>
      </w:r>
      <w:r w:rsidRPr="00C23BB6">
        <w:rPr>
          <w:rFonts w:ascii="Verdana" w:hAnsi="Verdana" w:cs="Arial"/>
          <w:b/>
          <w:i/>
          <w:sz w:val="16"/>
          <w:szCs w:val="16"/>
        </w:rPr>
        <w:t xml:space="preserve"> </w:t>
      </w:r>
      <w:r w:rsidRPr="00C23BB6">
        <w:rPr>
          <w:rStyle w:val="Textoennegrita"/>
          <w:rFonts w:ascii="Verdana" w:hAnsi="Verdana" w:cs="Arial"/>
          <w:b w:val="0"/>
          <w:i/>
          <w:sz w:val="16"/>
          <w:szCs w:val="16"/>
          <w:shd w:val="clear" w:color="auto" w:fill="FFFFFF"/>
        </w:rPr>
        <w:t xml:space="preserve">Caso </w:t>
      </w:r>
      <w:proofErr w:type="spellStart"/>
      <w:r w:rsidRPr="00C23BB6">
        <w:rPr>
          <w:rStyle w:val="Textoennegrita"/>
          <w:rFonts w:ascii="Verdana" w:hAnsi="Verdana" w:cs="Arial"/>
          <w:b w:val="0"/>
          <w:i/>
          <w:sz w:val="16"/>
          <w:szCs w:val="16"/>
          <w:shd w:val="clear" w:color="auto" w:fill="FFFFFF"/>
        </w:rPr>
        <w:t>Mémoli</w:t>
      </w:r>
      <w:proofErr w:type="spellEnd"/>
      <w:r w:rsidRPr="00C23BB6">
        <w:rPr>
          <w:rStyle w:val="Textoennegrita"/>
          <w:rFonts w:ascii="Verdana" w:hAnsi="Verdana" w:cs="Arial"/>
          <w:b w:val="0"/>
          <w:i/>
          <w:sz w:val="16"/>
          <w:szCs w:val="16"/>
          <w:shd w:val="clear" w:color="auto" w:fill="FFFFFF"/>
        </w:rPr>
        <w:t xml:space="preserve">, supra, </w:t>
      </w:r>
      <w:r w:rsidRPr="00C23BB6">
        <w:rPr>
          <w:rStyle w:val="Textoennegrita"/>
          <w:rFonts w:ascii="Verdana" w:hAnsi="Verdana" w:cs="Arial"/>
          <w:b w:val="0"/>
          <w:sz w:val="16"/>
          <w:szCs w:val="16"/>
          <w:shd w:val="clear" w:color="auto" w:fill="FFFFFF"/>
        </w:rPr>
        <w:t>párr. 232.</w:t>
      </w:r>
    </w:p>
  </w:footnote>
  <w:footnote w:id="32">
    <w:p w:rsidR="00CA0AF5" w:rsidRPr="00C23BB6" w:rsidRDefault="00CA0AF5" w:rsidP="00AD20E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cs="Arial"/>
          <w:i/>
          <w:sz w:val="16"/>
          <w:szCs w:val="16"/>
        </w:rPr>
        <w:t>Cfr.</w:t>
      </w:r>
      <w:r w:rsidRPr="00C23BB6">
        <w:rPr>
          <w:rFonts w:ascii="Verdana" w:hAnsi="Verdana" w:cs="Arial"/>
          <w:b/>
          <w:i/>
          <w:sz w:val="16"/>
          <w:szCs w:val="16"/>
        </w:rPr>
        <w:t xml:space="preserve"> </w:t>
      </w:r>
      <w:r w:rsidRPr="00C23BB6">
        <w:rPr>
          <w:rStyle w:val="Textoennegrita"/>
          <w:rFonts w:ascii="Verdana" w:hAnsi="Verdana" w:cs="Arial"/>
          <w:b w:val="0"/>
          <w:i/>
          <w:sz w:val="16"/>
          <w:szCs w:val="16"/>
          <w:shd w:val="clear" w:color="auto" w:fill="FFFFFF"/>
        </w:rPr>
        <w:t xml:space="preserve">Caso </w:t>
      </w:r>
      <w:proofErr w:type="spellStart"/>
      <w:r w:rsidRPr="00C23BB6">
        <w:rPr>
          <w:rStyle w:val="Textoennegrita"/>
          <w:rFonts w:ascii="Verdana" w:hAnsi="Verdana" w:cs="Arial"/>
          <w:b w:val="0"/>
          <w:i/>
          <w:sz w:val="16"/>
          <w:szCs w:val="16"/>
          <w:shd w:val="clear" w:color="auto" w:fill="FFFFFF"/>
        </w:rPr>
        <w:t>Mémoli</w:t>
      </w:r>
      <w:proofErr w:type="spellEnd"/>
      <w:r w:rsidRPr="00C23BB6">
        <w:rPr>
          <w:rStyle w:val="Textoennegrita"/>
          <w:rFonts w:ascii="Verdana" w:hAnsi="Verdana" w:cs="Arial"/>
          <w:b w:val="0"/>
          <w:i/>
          <w:sz w:val="16"/>
          <w:szCs w:val="16"/>
          <w:shd w:val="clear" w:color="auto" w:fill="FFFFFF"/>
        </w:rPr>
        <w:t xml:space="preserve">, supra, </w:t>
      </w:r>
      <w:r w:rsidRPr="00C23BB6">
        <w:rPr>
          <w:rStyle w:val="Textoennegrita"/>
          <w:rFonts w:ascii="Verdana" w:hAnsi="Verdana" w:cs="Arial"/>
          <w:b w:val="0"/>
          <w:sz w:val="16"/>
          <w:szCs w:val="16"/>
          <w:shd w:val="clear" w:color="auto" w:fill="FFFFFF"/>
        </w:rPr>
        <w:t>párr. 229.</w:t>
      </w:r>
    </w:p>
  </w:footnote>
  <w:footnote w:id="33">
    <w:p w:rsidR="00CA0AF5" w:rsidRPr="00CC23A8" w:rsidRDefault="00CA0AF5" w:rsidP="00AD20E2">
      <w:pPr>
        <w:tabs>
          <w:tab w:val="left" w:pos="426"/>
          <w:tab w:val="left" w:pos="709"/>
          <w:tab w:val="left" w:pos="851"/>
        </w:tabs>
        <w:spacing w:after="0" w:line="240" w:lineRule="auto"/>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r>
      <w:r w:rsidRPr="00C23BB6">
        <w:rPr>
          <w:rFonts w:ascii="Verdana" w:hAnsi="Verdana"/>
          <w:i/>
          <w:sz w:val="16"/>
          <w:szCs w:val="16"/>
        </w:rPr>
        <w:t>Cfr.</w:t>
      </w:r>
      <w:r w:rsidRPr="00C23BB6">
        <w:rPr>
          <w:rFonts w:ascii="Verdana" w:hAnsi="Verdana"/>
          <w:sz w:val="16"/>
          <w:szCs w:val="16"/>
        </w:rPr>
        <w:t xml:space="preserve"> “Comprobante de [</w:t>
      </w:r>
      <w:r w:rsidRPr="00CC23A8">
        <w:rPr>
          <w:rFonts w:ascii="Verdana" w:hAnsi="Verdana"/>
          <w:sz w:val="16"/>
          <w:szCs w:val="16"/>
        </w:rPr>
        <w:t>p]</w:t>
      </w:r>
      <w:proofErr w:type="spellStart"/>
      <w:r w:rsidRPr="00CC23A8">
        <w:rPr>
          <w:rFonts w:ascii="Verdana" w:hAnsi="Verdana"/>
          <w:sz w:val="16"/>
          <w:szCs w:val="16"/>
        </w:rPr>
        <w:t>ago</w:t>
      </w:r>
      <w:proofErr w:type="spellEnd"/>
      <w:r w:rsidRPr="00CC23A8">
        <w:rPr>
          <w:rFonts w:ascii="Verdana" w:hAnsi="Verdana"/>
          <w:sz w:val="16"/>
          <w:szCs w:val="16"/>
        </w:rPr>
        <w:t>” PG 2015 1157 y “Comprobante de [p]</w:t>
      </w:r>
      <w:proofErr w:type="spellStart"/>
      <w:r w:rsidRPr="00CC23A8">
        <w:rPr>
          <w:rFonts w:ascii="Verdana" w:hAnsi="Verdana"/>
          <w:sz w:val="16"/>
          <w:szCs w:val="16"/>
        </w:rPr>
        <w:t>ago</w:t>
      </w:r>
      <w:proofErr w:type="spellEnd"/>
      <w:r w:rsidRPr="00CC23A8">
        <w:rPr>
          <w:rFonts w:ascii="Verdana" w:hAnsi="Verdana"/>
          <w:sz w:val="16"/>
          <w:szCs w:val="16"/>
        </w:rPr>
        <w:t xml:space="preserve">” PG 2015 1158 del Ministerio de Economía y Finanzas de Argentina de 7 de agosto de 2015 y Tabla de pagos del </w:t>
      </w:r>
      <w:r w:rsidRPr="00CC23A8">
        <w:rPr>
          <w:rFonts w:ascii="Verdana" w:hAnsi="Verdana"/>
          <w:i/>
          <w:sz w:val="16"/>
          <w:szCs w:val="16"/>
        </w:rPr>
        <w:t xml:space="preserve">Caso </w:t>
      </w:r>
      <w:proofErr w:type="spellStart"/>
      <w:r w:rsidRPr="00CC23A8">
        <w:rPr>
          <w:rFonts w:ascii="Verdana" w:hAnsi="Verdana"/>
          <w:i/>
          <w:sz w:val="16"/>
          <w:szCs w:val="16"/>
        </w:rPr>
        <w:t>Mémoli</w:t>
      </w:r>
      <w:proofErr w:type="spellEnd"/>
      <w:r w:rsidRPr="00CC23A8">
        <w:rPr>
          <w:rFonts w:ascii="Verdana" w:hAnsi="Verdana"/>
          <w:i/>
          <w:sz w:val="16"/>
          <w:szCs w:val="16"/>
        </w:rPr>
        <w:t xml:space="preserve"> y otros Vs. Argentina</w:t>
      </w:r>
      <w:r w:rsidRPr="00C23BB6">
        <w:rPr>
          <w:rFonts w:ascii="Verdana" w:hAnsi="Verdana"/>
          <w:sz w:val="16"/>
          <w:szCs w:val="16"/>
        </w:rPr>
        <w:t>, emitida por la Dirección de Obligaciones a cargo del Tesoro (anexos a</w:t>
      </w:r>
      <w:r w:rsidRPr="00CC23A8">
        <w:rPr>
          <w:rFonts w:ascii="Verdana" w:hAnsi="Verdana"/>
          <w:sz w:val="16"/>
          <w:szCs w:val="16"/>
        </w:rPr>
        <w:t xml:space="preserve">l informe del Estado de 23 de septiembre de 2015). </w:t>
      </w:r>
      <w:r w:rsidRPr="00CC23A8">
        <w:rPr>
          <w:rFonts w:ascii="Verdana" w:hAnsi="Verdana"/>
          <w:strike/>
          <w:sz w:val="16"/>
          <w:szCs w:val="16"/>
        </w:rPr>
        <w:t xml:space="preserve"> </w:t>
      </w:r>
    </w:p>
  </w:footnote>
  <w:footnote w:id="34">
    <w:p w:rsidR="00CA0AF5" w:rsidRPr="00C367E3" w:rsidRDefault="00CA0AF5" w:rsidP="00AD20E2">
      <w:pPr>
        <w:tabs>
          <w:tab w:val="left" w:pos="426"/>
          <w:tab w:val="left" w:pos="709"/>
          <w:tab w:val="left" w:pos="851"/>
        </w:tabs>
        <w:spacing w:after="0" w:line="240" w:lineRule="auto"/>
        <w:jc w:val="both"/>
        <w:rPr>
          <w:rFonts w:ascii="Verdana" w:hAnsi="Verdana"/>
          <w:color w:val="000000"/>
          <w:sz w:val="16"/>
          <w:szCs w:val="16"/>
        </w:rPr>
      </w:pPr>
      <w:r w:rsidRPr="00CC23A8">
        <w:rPr>
          <w:rStyle w:val="Refdenotaalpie"/>
          <w:rFonts w:ascii="Verdana" w:hAnsi="Verdana"/>
          <w:sz w:val="16"/>
          <w:szCs w:val="16"/>
        </w:rPr>
        <w:footnoteRef/>
      </w:r>
      <w:r w:rsidRPr="00CC23A8">
        <w:rPr>
          <w:rFonts w:ascii="Verdana" w:hAnsi="Verdana"/>
          <w:sz w:val="16"/>
          <w:szCs w:val="16"/>
        </w:rPr>
        <w:t xml:space="preserve"> </w:t>
      </w:r>
      <w:r w:rsidRPr="00CC23A8">
        <w:rPr>
          <w:rFonts w:ascii="Verdana" w:hAnsi="Verdana"/>
          <w:sz w:val="16"/>
          <w:szCs w:val="16"/>
        </w:rPr>
        <w:tab/>
      </w:r>
      <w:r w:rsidRPr="00CC23A8">
        <w:rPr>
          <w:rFonts w:ascii="Verdana" w:hAnsi="Verdana"/>
          <w:i/>
          <w:sz w:val="16"/>
          <w:szCs w:val="16"/>
        </w:rPr>
        <w:t>Cfr.</w:t>
      </w:r>
      <w:r w:rsidRPr="00CC23A8">
        <w:rPr>
          <w:rFonts w:ascii="Verdana" w:hAnsi="Verdana"/>
          <w:sz w:val="16"/>
          <w:szCs w:val="16"/>
        </w:rPr>
        <w:t xml:space="preserve"> </w:t>
      </w:r>
      <w:r w:rsidRPr="00C367E3">
        <w:rPr>
          <w:rFonts w:ascii="Verdana" w:hAnsi="Verdana"/>
          <w:color w:val="000000"/>
          <w:sz w:val="16"/>
          <w:szCs w:val="16"/>
        </w:rPr>
        <w:t xml:space="preserve">Decreto No. 975/2015 de la Presidencia de la Nación de 1 de junio de 2015 (anexo al informe del Estado de 22 de julio de 2015). </w:t>
      </w:r>
    </w:p>
  </w:footnote>
  <w:footnote w:id="35">
    <w:p w:rsidR="00CA0AF5" w:rsidRPr="00CA0AF5" w:rsidRDefault="00CA0AF5" w:rsidP="00AD20E2">
      <w:pPr>
        <w:pStyle w:val="Textonotapie"/>
        <w:tabs>
          <w:tab w:val="left" w:pos="426"/>
          <w:tab w:val="left" w:pos="709"/>
          <w:tab w:val="left" w:pos="851"/>
        </w:tabs>
        <w:jc w:val="both"/>
        <w:rPr>
          <w:rFonts w:ascii="Verdana" w:hAnsi="Verdana"/>
          <w:sz w:val="16"/>
          <w:szCs w:val="16"/>
          <w:lang w:val="es-CR"/>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lang w:val="es-CR"/>
        </w:rPr>
        <w:tab/>
        <w:t xml:space="preserve">De acuerdo con los </w:t>
      </w:r>
      <w:r w:rsidRPr="00CC23A8">
        <w:rPr>
          <w:rFonts w:ascii="Verdana" w:hAnsi="Verdana"/>
          <w:sz w:val="16"/>
          <w:szCs w:val="16"/>
          <w:lang w:val="es-CR"/>
        </w:rPr>
        <w:t>referidos comprobantes aportados por el Estado (</w:t>
      </w:r>
      <w:r w:rsidRPr="00B64906">
        <w:rPr>
          <w:rFonts w:ascii="Verdana" w:hAnsi="Verdana"/>
          <w:i/>
          <w:sz w:val="16"/>
          <w:szCs w:val="16"/>
          <w:lang w:val="es-CR"/>
        </w:rPr>
        <w:t>supra</w:t>
      </w:r>
      <w:r w:rsidRPr="00C23BB6">
        <w:rPr>
          <w:rFonts w:ascii="Verdana" w:hAnsi="Verdana"/>
          <w:sz w:val="16"/>
          <w:szCs w:val="16"/>
          <w:lang w:val="es-CR"/>
        </w:rPr>
        <w:t xml:space="preserve"> nota al pie 32</w:t>
      </w:r>
      <w:r w:rsidRPr="00CC23A8">
        <w:rPr>
          <w:rFonts w:ascii="Verdana" w:hAnsi="Verdana"/>
          <w:sz w:val="16"/>
          <w:szCs w:val="16"/>
          <w:lang w:val="es-CR"/>
        </w:rPr>
        <w:t>) se utilizó una tasa de interés moratorio de “17.3288%</w:t>
      </w:r>
      <w:r w:rsidRPr="00D41221">
        <w:rPr>
          <w:rFonts w:ascii="Verdana" w:hAnsi="Verdana"/>
          <w:sz w:val="16"/>
          <w:szCs w:val="16"/>
          <w:lang w:val="es-CR"/>
        </w:rPr>
        <w:t>”, que según lo informado por el Estado corresponde a “la [t]asa [a]</w:t>
      </w:r>
      <w:proofErr w:type="spellStart"/>
      <w:r w:rsidRPr="00D41221">
        <w:rPr>
          <w:rFonts w:ascii="Verdana" w:hAnsi="Verdana"/>
          <w:sz w:val="16"/>
          <w:szCs w:val="16"/>
          <w:lang w:val="es-CR"/>
        </w:rPr>
        <w:t>ctiva</w:t>
      </w:r>
      <w:proofErr w:type="spellEnd"/>
      <w:r w:rsidRPr="00D41221">
        <w:rPr>
          <w:rFonts w:ascii="Verdana" w:hAnsi="Verdana"/>
          <w:sz w:val="16"/>
          <w:szCs w:val="16"/>
          <w:lang w:val="es-CR"/>
        </w:rPr>
        <w:t xml:space="preserve"> del Banco Nación Argentina”. </w:t>
      </w:r>
      <w:r w:rsidRPr="00386C84">
        <w:rPr>
          <w:rFonts w:ascii="Verdana" w:hAnsi="Verdana"/>
          <w:b/>
          <w:sz w:val="16"/>
          <w:szCs w:val="16"/>
          <w:lang w:val="es-CR"/>
        </w:rPr>
        <w:t xml:space="preserve"> </w:t>
      </w:r>
      <w:r w:rsidRPr="00386C84">
        <w:rPr>
          <w:rFonts w:ascii="Verdana" w:hAnsi="Verdana"/>
          <w:sz w:val="16"/>
          <w:szCs w:val="16"/>
          <w:lang w:val="es-CR"/>
        </w:rPr>
        <w:t xml:space="preserve">Además, de los referidos comprobantes se desprende que </w:t>
      </w:r>
      <w:r w:rsidRPr="00B66576">
        <w:rPr>
          <w:rFonts w:ascii="Verdana" w:hAnsi="Verdana"/>
          <w:sz w:val="16"/>
          <w:szCs w:val="16"/>
          <w:lang w:val="es-CR"/>
        </w:rPr>
        <w:t xml:space="preserve">para el cálculo de los intereses moratorios adeudados a los señores </w:t>
      </w:r>
      <w:proofErr w:type="spellStart"/>
      <w:r w:rsidRPr="00B66576">
        <w:rPr>
          <w:rFonts w:ascii="Verdana" w:hAnsi="Verdana"/>
          <w:sz w:val="16"/>
          <w:szCs w:val="16"/>
          <w:lang w:val="es-CR"/>
        </w:rPr>
        <w:t>Mémoli</w:t>
      </w:r>
      <w:proofErr w:type="spellEnd"/>
      <w:r w:rsidRPr="00B66576">
        <w:rPr>
          <w:rFonts w:ascii="Verdana" w:hAnsi="Verdana"/>
          <w:sz w:val="16"/>
          <w:szCs w:val="16"/>
          <w:lang w:val="es-CR"/>
        </w:rPr>
        <w:t xml:space="preserve"> se tomó en cuenta la suma ordenada a favor de cada uno de ellos y el tiempo transcurrido desde el vencimiento del plazo para el cumplimiento de los pagos, es</w:t>
      </w:r>
      <w:r w:rsidRPr="007330D7">
        <w:rPr>
          <w:rFonts w:ascii="Verdana" w:hAnsi="Verdana"/>
          <w:sz w:val="16"/>
          <w:szCs w:val="16"/>
          <w:lang w:val="es-CR"/>
        </w:rPr>
        <w:t xml:space="preserve"> decir, desde 4 de noviembre de 2014 hasta el 30 de julio de 2015. Los señores </w:t>
      </w:r>
      <w:proofErr w:type="spellStart"/>
      <w:r w:rsidRPr="007330D7">
        <w:rPr>
          <w:rFonts w:ascii="Verdana" w:hAnsi="Verdana"/>
          <w:sz w:val="16"/>
          <w:szCs w:val="16"/>
          <w:lang w:val="es-CR"/>
        </w:rPr>
        <w:t>Mémoli</w:t>
      </w:r>
      <w:proofErr w:type="spellEnd"/>
      <w:r w:rsidRPr="007330D7">
        <w:rPr>
          <w:rFonts w:ascii="Verdana" w:hAnsi="Verdana"/>
          <w:sz w:val="16"/>
          <w:szCs w:val="16"/>
          <w:lang w:val="es-CR"/>
        </w:rPr>
        <w:t xml:space="preserve"> no presentaron observaciones con respecto al pago de los intereses moratorios.</w:t>
      </w:r>
    </w:p>
  </w:footnote>
  <w:footnote w:id="36">
    <w:p w:rsidR="00CA0AF5" w:rsidRPr="00B64906" w:rsidRDefault="00CA0AF5" w:rsidP="00B64906">
      <w:pPr>
        <w:pStyle w:val="Textonotapie"/>
        <w:jc w:val="both"/>
        <w:rPr>
          <w:rFonts w:ascii="Verdana" w:hAnsi="Verdana"/>
          <w:sz w:val="16"/>
          <w:szCs w:val="16"/>
        </w:rPr>
      </w:pPr>
      <w:r w:rsidRPr="00B64906">
        <w:rPr>
          <w:rStyle w:val="Refdenotaalpie"/>
          <w:rFonts w:ascii="Verdana" w:hAnsi="Verdana"/>
          <w:sz w:val="16"/>
          <w:szCs w:val="16"/>
        </w:rPr>
        <w:footnoteRef/>
      </w:r>
      <w:r w:rsidRPr="00B64906">
        <w:rPr>
          <w:rFonts w:ascii="Verdana" w:hAnsi="Verdana"/>
          <w:sz w:val="16"/>
          <w:szCs w:val="16"/>
        </w:rPr>
        <w:t xml:space="preserve"> </w:t>
      </w:r>
      <w:r w:rsidRPr="00B64906">
        <w:rPr>
          <w:rFonts w:ascii="Verdana" w:hAnsi="Verdana"/>
          <w:sz w:val="16"/>
          <w:szCs w:val="16"/>
        </w:rPr>
        <w:tab/>
        <w:t xml:space="preserve">En su escrito de agosto de 2015, los señores </w:t>
      </w:r>
      <w:proofErr w:type="spellStart"/>
      <w:r w:rsidRPr="00B64906">
        <w:rPr>
          <w:rFonts w:ascii="Verdana" w:hAnsi="Verdana"/>
          <w:sz w:val="16"/>
          <w:szCs w:val="16"/>
        </w:rPr>
        <w:t>Mémoli</w:t>
      </w:r>
      <w:proofErr w:type="spellEnd"/>
      <w:r w:rsidRPr="00B64906">
        <w:rPr>
          <w:rFonts w:ascii="Verdana" w:hAnsi="Verdana"/>
          <w:sz w:val="16"/>
          <w:szCs w:val="16"/>
        </w:rPr>
        <w:t xml:space="preserve"> reconocieron que el Estado “</w:t>
      </w:r>
      <w:proofErr w:type="gramStart"/>
      <w:r w:rsidRPr="00B64906">
        <w:rPr>
          <w:rFonts w:ascii="Verdana" w:hAnsi="Verdana"/>
          <w:sz w:val="16"/>
          <w:szCs w:val="16"/>
        </w:rPr>
        <w:t>ha[</w:t>
      </w:r>
      <w:proofErr w:type="spellStart"/>
      <w:proofErr w:type="gramEnd"/>
      <w:r w:rsidRPr="00B64906">
        <w:rPr>
          <w:rFonts w:ascii="Verdana" w:hAnsi="Verdana"/>
          <w:sz w:val="16"/>
          <w:szCs w:val="16"/>
        </w:rPr>
        <w:t>bía</w:t>
      </w:r>
      <w:proofErr w:type="spellEnd"/>
      <w:r w:rsidRPr="00B64906">
        <w:rPr>
          <w:rFonts w:ascii="Verdana" w:hAnsi="Verdana"/>
          <w:sz w:val="16"/>
          <w:szCs w:val="16"/>
        </w:rPr>
        <w:t>] pagado los montos establecidos” en la Sentencia por concepto de indemnizaciones por daño inmaterial y reintegro de costas y gastos. En cuanto al tipo de cambio utilizado, afirmaron que</w:t>
      </w:r>
      <w:r w:rsidR="00BF4DB1">
        <w:rPr>
          <w:rFonts w:ascii="Verdana" w:hAnsi="Verdana"/>
          <w:sz w:val="16"/>
          <w:szCs w:val="16"/>
        </w:rPr>
        <w:t>,</w:t>
      </w:r>
      <w:r w:rsidRPr="00B64906">
        <w:rPr>
          <w:rFonts w:ascii="Verdana" w:hAnsi="Verdana"/>
          <w:sz w:val="16"/>
          <w:szCs w:val="16"/>
        </w:rPr>
        <w:t xml:space="preserve"> aunque el Estado utilizó el del Banco de la Nación Argentina, y no el de la Bolsa de Nueva York, como lo indicaba la Sentencia, “no [era] su intención hacer reclamo alguno sino solo informar a [la] Corte” sobre este aspecto.</w:t>
      </w:r>
    </w:p>
  </w:footnote>
  <w:footnote w:id="37">
    <w:p w:rsidR="00CA0AF5" w:rsidRPr="00B64906" w:rsidRDefault="00CA0AF5" w:rsidP="00B64906">
      <w:pPr>
        <w:pStyle w:val="Textonotapie"/>
        <w:jc w:val="both"/>
        <w:rPr>
          <w:rFonts w:ascii="Verdana" w:hAnsi="Verdana"/>
          <w:sz w:val="16"/>
          <w:szCs w:val="16"/>
        </w:rPr>
      </w:pPr>
      <w:r w:rsidRPr="00B64906">
        <w:rPr>
          <w:rStyle w:val="Refdenotaalpie"/>
          <w:rFonts w:ascii="Verdana" w:hAnsi="Verdana"/>
          <w:sz w:val="16"/>
          <w:szCs w:val="16"/>
        </w:rPr>
        <w:footnoteRef/>
      </w:r>
      <w:r w:rsidRPr="00B64906">
        <w:rPr>
          <w:rFonts w:ascii="Verdana" w:hAnsi="Verdana"/>
          <w:sz w:val="16"/>
          <w:szCs w:val="16"/>
        </w:rPr>
        <w:t xml:space="preserve"> </w:t>
      </w:r>
      <w:r w:rsidRPr="00B64906">
        <w:rPr>
          <w:rFonts w:ascii="Verdana" w:hAnsi="Verdana"/>
          <w:sz w:val="16"/>
          <w:szCs w:val="16"/>
        </w:rPr>
        <w:tab/>
        <w:t>Alegaron que el Estado “no ha pagado la indemnización como lo indicó [la] Corte” en la Sentencia porque “la cotización del peso argentino no existe en la Bolsa de Nueva York”. Además, sostuvieron que en lugar de la cotización de la bolsa de Nueva York “que no existe”, no puede</w:t>
      </w:r>
      <w:r w:rsidRPr="00B64906">
        <w:rPr>
          <w:rFonts w:ascii="Verdana" w:hAnsi="Verdana"/>
          <w:b/>
          <w:sz w:val="16"/>
          <w:szCs w:val="16"/>
        </w:rPr>
        <w:t xml:space="preserve"> </w:t>
      </w:r>
      <w:r w:rsidRPr="00B64906">
        <w:rPr>
          <w:rFonts w:ascii="Verdana" w:hAnsi="Verdana"/>
          <w:sz w:val="16"/>
          <w:szCs w:val="16"/>
        </w:rPr>
        <w:t>tomarse la disponible en el periódico “</w:t>
      </w:r>
      <w:proofErr w:type="spellStart"/>
      <w:r w:rsidRPr="00B64906">
        <w:rPr>
          <w:rFonts w:ascii="Verdana" w:hAnsi="Verdana"/>
          <w:i/>
          <w:sz w:val="16"/>
          <w:szCs w:val="16"/>
        </w:rPr>
        <w:t>The</w:t>
      </w:r>
      <w:proofErr w:type="spellEnd"/>
      <w:r w:rsidRPr="00B64906">
        <w:rPr>
          <w:rFonts w:ascii="Verdana" w:hAnsi="Verdana"/>
          <w:i/>
          <w:sz w:val="16"/>
          <w:szCs w:val="16"/>
        </w:rPr>
        <w:t xml:space="preserve"> Wall Street </w:t>
      </w:r>
      <w:proofErr w:type="spellStart"/>
      <w:r w:rsidRPr="00B64906">
        <w:rPr>
          <w:rFonts w:ascii="Verdana" w:hAnsi="Verdana"/>
          <w:i/>
          <w:sz w:val="16"/>
          <w:szCs w:val="16"/>
        </w:rPr>
        <w:t>Journal</w:t>
      </w:r>
      <w:proofErr w:type="spellEnd"/>
      <w:r w:rsidRPr="00B64906">
        <w:rPr>
          <w:rStyle w:val="Refdenotaalpie"/>
          <w:rFonts w:ascii="Verdana" w:hAnsi="Verdana"/>
          <w:sz w:val="16"/>
          <w:szCs w:val="16"/>
          <w:vertAlign w:val="baseline"/>
        </w:rPr>
        <w:t>”</w:t>
      </w:r>
      <w:r w:rsidRPr="00B64906">
        <w:rPr>
          <w:rFonts w:ascii="Verdana" w:hAnsi="Verdana"/>
          <w:sz w:val="16"/>
          <w:szCs w:val="16"/>
        </w:rPr>
        <w:t>, ya que el valor allí disponible “era fijado discrecionalmente y unilateralmente por el gobierno de turno”.</w:t>
      </w:r>
    </w:p>
  </w:footnote>
  <w:footnote w:id="38">
    <w:p w:rsidR="00CA0AF5" w:rsidRPr="00B64906" w:rsidRDefault="00CA0AF5" w:rsidP="00B64906">
      <w:pPr>
        <w:pStyle w:val="Textonotapie"/>
        <w:jc w:val="both"/>
      </w:pPr>
      <w:r w:rsidRPr="00B64906">
        <w:rPr>
          <w:rStyle w:val="Refdenotaalpie"/>
          <w:rFonts w:ascii="Verdana" w:hAnsi="Verdana"/>
          <w:sz w:val="16"/>
          <w:szCs w:val="16"/>
        </w:rPr>
        <w:footnoteRef/>
      </w:r>
      <w:r w:rsidRPr="00B64906">
        <w:rPr>
          <w:rFonts w:ascii="Verdana" w:hAnsi="Verdana"/>
          <w:sz w:val="16"/>
          <w:szCs w:val="16"/>
        </w:rPr>
        <w:t xml:space="preserve"> </w:t>
      </w:r>
      <w:r w:rsidRPr="00B64906">
        <w:rPr>
          <w:rFonts w:ascii="Verdana" w:hAnsi="Verdana"/>
          <w:sz w:val="16"/>
          <w:szCs w:val="16"/>
        </w:rPr>
        <w:tab/>
        <w:t>Explicaron que con el “cepo cambiario” instaurado “para evitar la venta de dólares”</w:t>
      </w:r>
      <w:r w:rsidRPr="00B64906">
        <w:rPr>
          <w:rStyle w:val="Refdenotaalpie"/>
          <w:rFonts w:ascii="Verdana" w:hAnsi="Verdana"/>
          <w:sz w:val="16"/>
          <w:szCs w:val="16"/>
        </w:rPr>
        <w:t xml:space="preserve"> </w:t>
      </w:r>
      <w:r w:rsidRPr="00B64906">
        <w:rPr>
          <w:rFonts w:ascii="Verdana" w:hAnsi="Verdana"/>
          <w:sz w:val="16"/>
          <w:szCs w:val="16"/>
        </w:rPr>
        <w:t xml:space="preserve"> “[e]l gobierno fijó alrededor de cuatro tipos de cotización del dólar": [e]l dólar oficial de $9,12, un dólar ahorro, que sólo permitía comprar unos pocos por mes, con un 20% de recargo, un dólar turista, al que le aplicaban un 35% sobre el dólar oficial, un dólar llamado Contado con Liquidación, que cotizaba por entonces […] a unos 14 o 15 pesos y el dólar libre o paralelo, que cotizaba alrededor de 15 pesos en [la] fecha” en que el Estado realizó los pagos. Agregaron que el tipo de cambio oficial era además una “ficción” fijada “unilateral” y “discrecionalmente” por el propio Estado para “distorsionar el valor real” de la moneda, ya que “[n]</w:t>
      </w:r>
      <w:proofErr w:type="spellStart"/>
      <w:r w:rsidRPr="00B64906">
        <w:rPr>
          <w:rFonts w:ascii="Verdana" w:hAnsi="Verdana"/>
          <w:sz w:val="16"/>
          <w:szCs w:val="16"/>
        </w:rPr>
        <w:t>adie</w:t>
      </w:r>
      <w:proofErr w:type="spellEnd"/>
      <w:r w:rsidRPr="00B64906">
        <w:rPr>
          <w:rFonts w:ascii="Verdana" w:hAnsi="Verdana"/>
          <w:sz w:val="16"/>
          <w:szCs w:val="16"/>
        </w:rPr>
        <w:t xml:space="preserve"> podía comprar un dólar por ese valor para ninguna actividad” porque “estaba prohibido”, y que más bien el “dólar libre o paralelo” o “ilegal” “era el dólar real, el que determinaba la oferta y la demanda”.</w:t>
      </w:r>
      <w:r w:rsidR="00F51727" w:rsidRPr="00F51727">
        <w:rPr>
          <w:rFonts w:ascii="Verdana" w:hAnsi="Verdana"/>
          <w:sz w:val="16"/>
          <w:szCs w:val="16"/>
        </w:rPr>
        <w:t xml:space="preserve"> Indicaron que el Estado </w:t>
      </w:r>
      <w:r w:rsidR="00F51727" w:rsidRPr="001B771E">
        <w:rPr>
          <w:rFonts w:ascii="Verdana" w:hAnsi="Verdana"/>
          <w:sz w:val="16"/>
          <w:szCs w:val="16"/>
        </w:rPr>
        <w:t>escogió pagarles utilizando “la cotización oficial” de “$9,12” pesos argentinos por dólar, que era el tipo de cambio “más bajo” de los que habían lo cual les causó “serias diferencias monetarias”</w:t>
      </w:r>
      <w:r w:rsidR="00F51727" w:rsidRPr="00F51727">
        <w:rPr>
          <w:rFonts w:ascii="Verdana" w:hAnsi="Verdana"/>
          <w:sz w:val="16"/>
          <w:szCs w:val="16"/>
        </w:rPr>
        <w:t xml:space="preserve"> en el pago de la indemnización</w:t>
      </w:r>
      <w:r w:rsidR="00F51727">
        <w:rPr>
          <w:rFonts w:ascii="Verdana" w:hAnsi="Verdana"/>
          <w:sz w:val="16"/>
          <w:szCs w:val="16"/>
        </w:rPr>
        <w:t xml:space="preserve">. Al respecto, solicitaron a la Corte que </w:t>
      </w:r>
      <w:r w:rsidR="00F51727" w:rsidRPr="001B771E">
        <w:rPr>
          <w:rFonts w:ascii="Verdana" w:hAnsi="Verdana"/>
          <w:sz w:val="16"/>
          <w:szCs w:val="16"/>
        </w:rPr>
        <w:t xml:space="preserve"> “</w:t>
      </w:r>
      <w:proofErr w:type="spellStart"/>
      <w:proofErr w:type="gramStart"/>
      <w:r w:rsidR="00F51727" w:rsidRPr="001B771E">
        <w:rPr>
          <w:rFonts w:ascii="Verdana" w:hAnsi="Verdana"/>
          <w:sz w:val="16"/>
          <w:szCs w:val="16"/>
        </w:rPr>
        <w:t>conden</w:t>
      </w:r>
      <w:proofErr w:type="spellEnd"/>
      <w:r w:rsidR="00F51727" w:rsidRPr="001B771E">
        <w:rPr>
          <w:rFonts w:ascii="Verdana" w:hAnsi="Verdana"/>
          <w:sz w:val="16"/>
          <w:szCs w:val="16"/>
        </w:rPr>
        <w:t>[</w:t>
      </w:r>
      <w:proofErr w:type="gramEnd"/>
      <w:r w:rsidR="00F51727" w:rsidRPr="001B771E">
        <w:rPr>
          <w:rFonts w:ascii="Verdana" w:hAnsi="Verdana"/>
          <w:sz w:val="16"/>
          <w:szCs w:val="16"/>
        </w:rPr>
        <w:t>ar</w:t>
      </w:r>
      <w:r w:rsidR="00F51727">
        <w:rPr>
          <w:rFonts w:ascii="Verdana" w:hAnsi="Verdana"/>
          <w:sz w:val="16"/>
          <w:szCs w:val="16"/>
        </w:rPr>
        <w:t>a</w:t>
      </w:r>
      <w:r w:rsidR="00F51727" w:rsidRPr="001B771E">
        <w:rPr>
          <w:rFonts w:ascii="Verdana" w:hAnsi="Verdana"/>
          <w:sz w:val="16"/>
          <w:szCs w:val="16"/>
        </w:rPr>
        <w:t xml:space="preserve">]” al Estado a pagarles una “compensación económica”. </w:t>
      </w:r>
      <w:r w:rsidR="00F51727" w:rsidRPr="00F51727">
        <w:rPr>
          <w:rFonts w:ascii="Verdana" w:hAnsi="Verdana"/>
          <w:sz w:val="16"/>
          <w:szCs w:val="16"/>
        </w:rPr>
        <w:t xml:space="preserve">En sus escritos de abril, agosto, octubre y diciembre de 2016 los señores </w:t>
      </w:r>
      <w:proofErr w:type="spellStart"/>
      <w:r w:rsidR="00F51727" w:rsidRPr="00F51727">
        <w:rPr>
          <w:rFonts w:ascii="Verdana" w:hAnsi="Verdana"/>
          <w:sz w:val="16"/>
          <w:szCs w:val="16"/>
        </w:rPr>
        <w:t>Mémoli</w:t>
      </w:r>
      <w:proofErr w:type="spellEnd"/>
      <w:r w:rsidR="00F51727" w:rsidRPr="00F51727">
        <w:rPr>
          <w:rFonts w:ascii="Verdana" w:hAnsi="Verdana"/>
          <w:sz w:val="16"/>
          <w:szCs w:val="16"/>
        </w:rPr>
        <w:t xml:space="preserve"> presentaron diferentes estimaciones de lo que podría ser el monto que dejaron de percibir, más intereses, debido a que el Estado utilizó para los pagos la cotización oficial y no la de carácter libre.</w:t>
      </w:r>
    </w:p>
  </w:footnote>
  <w:footnote w:id="39">
    <w:p w:rsidR="00F51727" w:rsidRPr="00B64906" w:rsidRDefault="00F51727" w:rsidP="00F51727">
      <w:pPr>
        <w:pStyle w:val="Textonotapie"/>
        <w:jc w:val="both"/>
        <w:rPr>
          <w:rFonts w:ascii="Verdana" w:hAnsi="Verdana"/>
          <w:sz w:val="16"/>
          <w:szCs w:val="16"/>
        </w:rPr>
      </w:pPr>
      <w:r w:rsidRPr="00B64906">
        <w:rPr>
          <w:rStyle w:val="Refdenotaalpie"/>
          <w:rFonts w:ascii="Verdana" w:hAnsi="Verdana"/>
          <w:sz w:val="16"/>
          <w:szCs w:val="16"/>
        </w:rPr>
        <w:footnoteRef/>
      </w:r>
      <w:r w:rsidRPr="00B64906">
        <w:rPr>
          <w:rFonts w:ascii="Verdana" w:hAnsi="Verdana"/>
          <w:sz w:val="16"/>
          <w:szCs w:val="16"/>
        </w:rPr>
        <w:t xml:space="preserve"> </w:t>
      </w:r>
      <w:r w:rsidRPr="00B64906">
        <w:rPr>
          <w:rFonts w:ascii="Verdana" w:hAnsi="Verdana"/>
          <w:sz w:val="16"/>
          <w:szCs w:val="16"/>
        </w:rPr>
        <w:tab/>
      </w:r>
      <w:r w:rsidRPr="005D1940">
        <w:rPr>
          <w:rFonts w:ascii="Verdana" w:hAnsi="Verdana"/>
          <w:sz w:val="16"/>
          <w:szCs w:val="16"/>
        </w:rPr>
        <w:t xml:space="preserve">En particular, </w:t>
      </w:r>
      <w:r w:rsidRPr="005D1940">
        <w:rPr>
          <w:rFonts w:ascii="Verdana" w:hAnsi="Verdana"/>
          <w:i/>
          <w:sz w:val="16"/>
          <w:szCs w:val="16"/>
        </w:rPr>
        <w:t>Argentina</w:t>
      </w:r>
      <w:r w:rsidRPr="005D1940">
        <w:rPr>
          <w:rFonts w:ascii="Verdana" w:hAnsi="Verdana"/>
          <w:sz w:val="16"/>
          <w:szCs w:val="16"/>
        </w:rPr>
        <w:t xml:space="preserve"> sostuvo que “el criterio para cancelar el pago ordenado por [la] Corte se </w:t>
      </w:r>
      <w:proofErr w:type="spellStart"/>
      <w:r w:rsidRPr="005D1940">
        <w:rPr>
          <w:rFonts w:ascii="Verdana" w:hAnsi="Verdana"/>
          <w:sz w:val="16"/>
          <w:szCs w:val="16"/>
        </w:rPr>
        <w:t>ajust</w:t>
      </w:r>
      <w:proofErr w:type="spellEnd"/>
      <w:r w:rsidRPr="005D1940">
        <w:rPr>
          <w:rFonts w:ascii="Verdana" w:hAnsi="Verdana"/>
          <w:sz w:val="16"/>
          <w:szCs w:val="16"/>
        </w:rPr>
        <w:t>[</w:t>
      </w:r>
      <w:proofErr w:type="spellStart"/>
      <w:r w:rsidRPr="005D1940">
        <w:rPr>
          <w:rFonts w:ascii="Verdana" w:hAnsi="Verdana"/>
          <w:sz w:val="16"/>
          <w:szCs w:val="16"/>
        </w:rPr>
        <w:t>ó</w:t>
      </w:r>
      <w:proofErr w:type="spellEnd"/>
      <w:r w:rsidRPr="005D1940">
        <w:rPr>
          <w:rFonts w:ascii="Verdana" w:hAnsi="Verdana"/>
          <w:sz w:val="16"/>
          <w:szCs w:val="16"/>
        </w:rPr>
        <w:t xml:space="preserve">] a la normativa vigente y, en modo alguno, se </w:t>
      </w:r>
      <w:proofErr w:type="spellStart"/>
      <w:r w:rsidRPr="005D1940">
        <w:rPr>
          <w:rFonts w:ascii="Verdana" w:hAnsi="Verdana"/>
          <w:sz w:val="16"/>
          <w:szCs w:val="16"/>
        </w:rPr>
        <w:t>diferenci</w:t>
      </w:r>
      <w:proofErr w:type="spellEnd"/>
      <w:r w:rsidRPr="005D1940">
        <w:rPr>
          <w:rFonts w:ascii="Verdana" w:hAnsi="Verdana"/>
          <w:sz w:val="16"/>
          <w:szCs w:val="16"/>
        </w:rPr>
        <w:t>[</w:t>
      </w:r>
      <w:proofErr w:type="spellStart"/>
      <w:r w:rsidRPr="005D1940">
        <w:rPr>
          <w:rFonts w:ascii="Verdana" w:hAnsi="Verdana"/>
          <w:sz w:val="16"/>
          <w:szCs w:val="16"/>
        </w:rPr>
        <w:t>ó</w:t>
      </w:r>
      <w:proofErr w:type="spellEnd"/>
      <w:r w:rsidRPr="005D1940">
        <w:rPr>
          <w:rFonts w:ascii="Verdana" w:hAnsi="Verdana"/>
          <w:sz w:val="16"/>
          <w:szCs w:val="16"/>
        </w:rPr>
        <w:t xml:space="preserve">] del criterio respecto de los pagos efectuados en el contexto de otras sentencias dictadas por [este] Tribunal”. Al respecto, alegó </w:t>
      </w:r>
      <w:r w:rsidRPr="00C367E3">
        <w:rPr>
          <w:rFonts w:ascii="Verdana" w:hAnsi="Verdana"/>
          <w:color w:val="000000"/>
          <w:sz w:val="16"/>
          <w:szCs w:val="16"/>
        </w:rPr>
        <w:t xml:space="preserve">que </w:t>
      </w:r>
      <w:r w:rsidRPr="005D1940">
        <w:rPr>
          <w:rFonts w:ascii="Verdana" w:hAnsi="Verdana"/>
          <w:sz w:val="16"/>
          <w:szCs w:val="16"/>
        </w:rPr>
        <w:t xml:space="preserve">en la Sentencia se ordenaron “una serie de pagos en dólares ‘o su equivalente en moneda nacional’” y que para “calcular dicha equivalencia […] se tomó ‘la cotización de la divisa en el Banco de la Nación Argentina al cierre del día anterior al </w:t>
      </w:r>
      <w:proofErr w:type="spellStart"/>
      <w:r w:rsidRPr="005D1940">
        <w:rPr>
          <w:rFonts w:ascii="Verdana" w:hAnsi="Verdana"/>
          <w:sz w:val="16"/>
          <w:szCs w:val="16"/>
        </w:rPr>
        <w:t>devengamiento</w:t>
      </w:r>
      <w:proofErr w:type="spellEnd"/>
      <w:r w:rsidRPr="005D1940">
        <w:rPr>
          <w:rFonts w:ascii="Verdana" w:hAnsi="Verdana"/>
          <w:sz w:val="16"/>
          <w:szCs w:val="16"/>
        </w:rPr>
        <w:t>’”, el cual era de “$9,1370”, y “‘las competencias cambiarias establecidas en la Carta Orgánica del Banco Central de la R</w:t>
      </w:r>
      <w:r w:rsidR="00BF4DB1">
        <w:rPr>
          <w:rFonts w:ascii="Verdana" w:hAnsi="Verdana"/>
          <w:sz w:val="16"/>
          <w:szCs w:val="16"/>
        </w:rPr>
        <w:t xml:space="preserve">epública de Argentina”. Agregó </w:t>
      </w:r>
      <w:r w:rsidRPr="005D1940">
        <w:rPr>
          <w:rFonts w:ascii="Verdana" w:hAnsi="Verdana"/>
          <w:sz w:val="16"/>
          <w:szCs w:val="16"/>
        </w:rPr>
        <w:t xml:space="preserve">que “el peso argentino no cotiza en la bolsa de Nueva York” por lo que la pauta establecida por la Corte “no existe como tal”. Además, el Estado consideró que las referidas objeciones de los señores </w:t>
      </w:r>
      <w:proofErr w:type="spellStart"/>
      <w:r w:rsidRPr="005D1940">
        <w:rPr>
          <w:rFonts w:ascii="Verdana" w:hAnsi="Verdana"/>
          <w:sz w:val="16"/>
          <w:szCs w:val="16"/>
        </w:rPr>
        <w:t>Mémoli</w:t>
      </w:r>
      <w:proofErr w:type="spellEnd"/>
      <w:r w:rsidRPr="005D1940">
        <w:rPr>
          <w:rFonts w:ascii="Verdana" w:hAnsi="Verdana"/>
          <w:sz w:val="16"/>
          <w:szCs w:val="16"/>
        </w:rPr>
        <w:t xml:space="preserve"> “no </w:t>
      </w:r>
      <w:proofErr w:type="spellStart"/>
      <w:proofErr w:type="gramStart"/>
      <w:r w:rsidRPr="005D1940">
        <w:rPr>
          <w:rFonts w:ascii="Verdana" w:hAnsi="Verdana"/>
          <w:sz w:val="16"/>
          <w:szCs w:val="16"/>
        </w:rPr>
        <w:t>resist</w:t>
      </w:r>
      <w:proofErr w:type="spellEnd"/>
      <w:r w:rsidRPr="005D1940">
        <w:rPr>
          <w:rFonts w:ascii="Verdana" w:hAnsi="Verdana"/>
          <w:sz w:val="16"/>
          <w:szCs w:val="16"/>
        </w:rPr>
        <w:t>[</w:t>
      </w:r>
      <w:proofErr w:type="spellStart"/>
      <w:proofErr w:type="gramEnd"/>
      <w:r w:rsidRPr="005D1940">
        <w:rPr>
          <w:rFonts w:ascii="Verdana" w:hAnsi="Verdana"/>
          <w:sz w:val="16"/>
          <w:szCs w:val="16"/>
        </w:rPr>
        <w:t>ían</w:t>
      </w:r>
      <w:proofErr w:type="spellEnd"/>
      <w:r w:rsidRPr="005D1940">
        <w:rPr>
          <w:rFonts w:ascii="Verdana" w:hAnsi="Verdana"/>
          <w:sz w:val="16"/>
          <w:szCs w:val="16"/>
        </w:rPr>
        <w:t xml:space="preserve">] el menor análisis en sede internacional”, por lo cual solicitó que “no [fueran] </w:t>
      </w:r>
      <w:proofErr w:type="spellStart"/>
      <w:r w:rsidRPr="005D1940">
        <w:rPr>
          <w:rFonts w:ascii="Verdana" w:hAnsi="Verdana"/>
          <w:sz w:val="16"/>
          <w:szCs w:val="16"/>
        </w:rPr>
        <w:t>tenid</w:t>
      </w:r>
      <w:proofErr w:type="spellEnd"/>
      <w:r w:rsidRPr="005D1940">
        <w:rPr>
          <w:rFonts w:ascii="Verdana" w:hAnsi="Verdana"/>
          <w:sz w:val="16"/>
          <w:szCs w:val="16"/>
        </w:rPr>
        <w:t>[a]s en cuenta al momento de evaluar lo dispuesto en [este] punto resolutivo”.</w:t>
      </w:r>
    </w:p>
  </w:footnote>
  <w:footnote w:id="40">
    <w:p w:rsidR="00CA0AF5" w:rsidRPr="00B64906" w:rsidRDefault="00CA0AF5" w:rsidP="00B64906">
      <w:pPr>
        <w:pStyle w:val="Textonotapie"/>
        <w:jc w:val="both"/>
        <w:rPr>
          <w:rFonts w:ascii="Verdana" w:hAnsi="Verdana"/>
          <w:sz w:val="16"/>
          <w:szCs w:val="16"/>
        </w:rPr>
      </w:pPr>
      <w:r w:rsidRPr="00B64906">
        <w:rPr>
          <w:rStyle w:val="Refdenotaalpie"/>
          <w:rFonts w:ascii="Verdana" w:hAnsi="Verdana"/>
          <w:sz w:val="16"/>
          <w:szCs w:val="16"/>
        </w:rPr>
        <w:footnoteRef/>
      </w:r>
      <w:r w:rsidRPr="00B64906">
        <w:rPr>
          <w:rFonts w:ascii="Verdana" w:hAnsi="Verdana"/>
          <w:sz w:val="16"/>
          <w:szCs w:val="16"/>
        </w:rPr>
        <w:t xml:space="preserve"> </w:t>
      </w:r>
      <w:r w:rsidRPr="00B64906">
        <w:rPr>
          <w:rFonts w:ascii="Verdana" w:hAnsi="Verdana"/>
          <w:sz w:val="16"/>
          <w:szCs w:val="16"/>
        </w:rPr>
        <w:tab/>
        <w:t xml:space="preserve">La </w:t>
      </w:r>
      <w:r w:rsidRPr="00B64906">
        <w:rPr>
          <w:rFonts w:ascii="Verdana" w:hAnsi="Verdana"/>
          <w:i/>
          <w:sz w:val="16"/>
          <w:szCs w:val="16"/>
        </w:rPr>
        <w:t>Comisión Interamericana</w:t>
      </w:r>
      <w:r w:rsidRPr="00B64906">
        <w:rPr>
          <w:rFonts w:ascii="Verdana" w:hAnsi="Verdana"/>
          <w:sz w:val="16"/>
          <w:szCs w:val="16"/>
        </w:rPr>
        <w:t xml:space="preserve"> tomó nota de pagos efectuados por el Estado y observó que, “a luz de la documentación presentada por las partes” la Corte debía determinar “si el Estado efectivamente cumplió con la presente medida” o de establecer “las medidas adoptar por parte del Estado a efectos de completar [su] cumplimiento”.</w:t>
      </w:r>
    </w:p>
  </w:footnote>
  <w:footnote w:id="41">
    <w:p w:rsidR="00CA0AF5" w:rsidRPr="00D41221" w:rsidRDefault="00CA0AF5" w:rsidP="00767DB2">
      <w:pPr>
        <w:pStyle w:val="Textonotapie"/>
        <w:tabs>
          <w:tab w:val="left" w:pos="426"/>
          <w:tab w:val="left" w:pos="709"/>
          <w:tab w:val="left" w:pos="851"/>
        </w:tabs>
        <w:jc w:val="both"/>
        <w:rPr>
          <w:rFonts w:ascii="Verdana" w:hAnsi="Verdana"/>
          <w:sz w:val="16"/>
          <w:szCs w:val="16"/>
        </w:rPr>
      </w:pPr>
      <w:r w:rsidRPr="00C23BB6">
        <w:rPr>
          <w:rStyle w:val="Refdenotaalpie"/>
          <w:rFonts w:ascii="Verdana" w:hAnsi="Verdana"/>
          <w:sz w:val="16"/>
          <w:szCs w:val="16"/>
        </w:rPr>
        <w:footnoteRef/>
      </w:r>
      <w:r w:rsidRPr="00C23BB6">
        <w:rPr>
          <w:rFonts w:ascii="Verdana" w:hAnsi="Verdana"/>
          <w:sz w:val="16"/>
          <w:szCs w:val="16"/>
        </w:rPr>
        <w:t xml:space="preserve"> </w:t>
      </w:r>
      <w:r w:rsidRPr="00C23BB6">
        <w:rPr>
          <w:rFonts w:ascii="Verdana" w:hAnsi="Verdana"/>
          <w:sz w:val="16"/>
          <w:szCs w:val="16"/>
        </w:rPr>
        <w:tab/>
        <w:t xml:space="preserve">El presente caso fue sometido a conocimiento de la Corte el 3 de diciembre de 2011. </w:t>
      </w:r>
      <w:r w:rsidRPr="00C23BB6">
        <w:rPr>
          <w:rFonts w:ascii="Verdana" w:hAnsi="Verdana" w:cs="Arial"/>
          <w:i/>
          <w:sz w:val="16"/>
          <w:szCs w:val="16"/>
          <w:lang w:val="es-CR"/>
        </w:rPr>
        <w:t>Cfr.</w:t>
      </w:r>
      <w:r w:rsidRPr="00CC23A8">
        <w:rPr>
          <w:rFonts w:ascii="Verdana" w:hAnsi="Verdana" w:cs="Arial"/>
          <w:b/>
          <w:i/>
          <w:sz w:val="16"/>
          <w:szCs w:val="16"/>
          <w:lang w:val="es-CR"/>
        </w:rPr>
        <w:t xml:space="preserve"> </w:t>
      </w:r>
      <w:r w:rsidRPr="00CC23A8">
        <w:rPr>
          <w:rStyle w:val="Textoennegrita"/>
          <w:rFonts w:ascii="Verdana" w:hAnsi="Verdana" w:cs="Arial"/>
          <w:b w:val="0"/>
          <w:i/>
          <w:sz w:val="16"/>
          <w:szCs w:val="16"/>
          <w:shd w:val="clear" w:color="auto" w:fill="FFFFFF"/>
          <w:lang w:val="es-CR"/>
        </w:rPr>
        <w:t xml:space="preserve">Caso </w:t>
      </w:r>
      <w:proofErr w:type="spellStart"/>
      <w:r w:rsidRPr="00CC23A8">
        <w:rPr>
          <w:rStyle w:val="Textoennegrita"/>
          <w:rFonts w:ascii="Verdana" w:hAnsi="Verdana" w:cs="Arial"/>
          <w:b w:val="0"/>
          <w:i/>
          <w:sz w:val="16"/>
          <w:szCs w:val="16"/>
          <w:shd w:val="clear" w:color="auto" w:fill="FFFFFF"/>
          <w:lang w:val="es-CR"/>
        </w:rPr>
        <w:t>Mémoli</w:t>
      </w:r>
      <w:proofErr w:type="spellEnd"/>
      <w:r w:rsidRPr="00CC23A8">
        <w:rPr>
          <w:rStyle w:val="Textoennegrita"/>
          <w:rFonts w:ascii="Verdana" w:hAnsi="Verdana" w:cs="Arial"/>
          <w:b w:val="0"/>
          <w:i/>
          <w:sz w:val="16"/>
          <w:szCs w:val="16"/>
          <w:shd w:val="clear" w:color="auto" w:fill="FFFFFF"/>
          <w:lang w:val="es-CR"/>
        </w:rPr>
        <w:t xml:space="preserve">, supra, </w:t>
      </w:r>
      <w:r w:rsidRPr="00D41221">
        <w:rPr>
          <w:rStyle w:val="Textoennegrita"/>
          <w:rFonts w:ascii="Verdana" w:hAnsi="Verdana" w:cs="Arial"/>
          <w:b w:val="0"/>
          <w:sz w:val="16"/>
          <w:szCs w:val="16"/>
          <w:shd w:val="clear" w:color="auto" w:fill="FFFFFF"/>
          <w:lang w:val="es-CR"/>
        </w:rPr>
        <w:t xml:space="preserve">párr.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16C" w:rsidRPr="002B416C" w:rsidRDefault="002B416C">
    <w:pPr>
      <w:pStyle w:val="Encabezado"/>
      <w:jc w:val="center"/>
      <w:rPr>
        <w:rFonts w:ascii="Verdana" w:hAnsi="Verdana"/>
        <w:sz w:val="20"/>
        <w:szCs w:val="20"/>
      </w:rPr>
    </w:pPr>
    <w:r w:rsidRPr="002B416C">
      <w:rPr>
        <w:rFonts w:ascii="Verdana" w:hAnsi="Verdana"/>
        <w:sz w:val="20"/>
        <w:szCs w:val="20"/>
      </w:rPr>
      <w:t>-</w:t>
    </w:r>
    <w:r w:rsidRPr="002B416C">
      <w:rPr>
        <w:rFonts w:ascii="Verdana" w:hAnsi="Verdana"/>
        <w:sz w:val="20"/>
        <w:szCs w:val="20"/>
      </w:rPr>
      <w:fldChar w:fldCharType="begin"/>
    </w:r>
    <w:r w:rsidRPr="002B416C">
      <w:rPr>
        <w:rFonts w:ascii="Verdana" w:hAnsi="Verdana"/>
        <w:sz w:val="20"/>
        <w:szCs w:val="20"/>
      </w:rPr>
      <w:instrText>PAGE   \* MERGEFORMAT</w:instrText>
    </w:r>
    <w:r w:rsidRPr="002B416C">
      <w:rPr>
        <w:rFonts w:ascii="Verdana" w:hAnsi="Verdana"/>
        <w:sz w:val="20"/>
        <w:szCs w:val="20"/>
      </w:rPr>
      <w:fldChar w:fldCharType="separate"/>
    </w:r>
    <w:r w:rsidR="00322650" w:rsidRPr="00322650">
      <w:rPr>
        <w:rFonts w:ascii="Verdana" w:hAnsi="Verdana"/>
        <w:noProof/>
        <w:sz w:val="20"/>
        <w:szCs w:val="20"/>
        <w:lang w:val="es-ES"/>
      </w:rPr>
      <w:t>3</w:t>
    </w:r>
    <w:r w:rsidRPr="002B416C">
      <w:rPr>
        <w:rFonts w:ascii="Verdana" w:hAnsi="Verdana"/>
        <w:sz w:val="20"/>
        <w:szCs w:val="20"/>
      </w:rPr>
      <w:fldChar w:fldCharType="end"/>
    </w:r>
    <w:r w:rsidRPr="002B416C">
      <w:rPr>
        <w:rFonts w:ascii="Verdana" w:hAnsi="Verdana"/>
        <w:sz w:val="20"/>
        <w:szCs w:val="20"/>
      </w:rPr>
      <w:t>-</w:t>
    </w:r>
  </w:p>
  <w:p w:rsidR="00CA0AF5" w:rsidRPr="005A3C79" w:rsidRDefault="00CA0AF5" w:rsidP="005A3C79">
    <w:pPr>
      <w:pStyle w:val="Encabezado"/>
      <w:jc w:val="right"/>
      <w:rPr>
        <w:rFonts w:ascii="Verdana" w:hAnsi="Verdana"/>
        <w:b/>
        <w:i/>
        <w:sz w:val="16"/>
        <w:szCs w:val="16"/>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A267F"/>
    <w:multiLevelType w:val="hybridMultilevel"/>
    <w:tmpl w:val="5516840E"/>
    <w:lvl w:ilvl="0" w:tplc="C6C4D11A">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nsid w:val="076030B2"/>
    <w:multiLevelType w:val="hybridMultilevel"/>
    <w:tmpl w:val="33521748"/>
    <w:lvl w:ilvl="0" w:tplc="11DC9ACC">
      <w:start w:val="2"/>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nsid w:val="08D056DA"/>
    <w:multiLevelType w:val="hybridMultilevel"/>
    <w:tmpl w:val="70D28062"/>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nsid w:val="11755F3A"/>
    <w:multiLevelType w:val="hybridMultilevel"/>
    <w:tmpl w:val="9F449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D01C88"/>
    <w:multiLevelType w:val="hybridMultilevel"/>
    <w:tmpl w:val="E4BA3834"/>
    <w:lvl w:ilvl="0" w:tplc="9AC289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DF6ADF"/>
    <w:multiLevelType w:val="hybridMultilevel"/>
    <w:tmpl w:val="7FECE83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5113D52"/>
    <w:multiLevelType w:val="hybridMultilevel"/>
    <w:tmpl w:val="31F850B6"/>
    <w:lvl w:ilvl="0" w:tplc="C9C07CC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35F52A04"/>
    <w:multiLevelType w:val="hybridMultilevel"/>
    <w:tmpl w:val="6980E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510D85"/>
    <w:multiLevelType w:val="hybridMultilevel"/>
    <w:tmpl w:val="C02C0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215082"/>
    <w:multiLevelType w:val="hybridMultilevel"/>
    <w:tmpl w:val="413C18E4"/>
    <w:lvl w:ilvl="0" w:tplc="480A0015">
      <w:start w:val="1"/>
      <w:numFmt w:val="upperLetter"/>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0">
    <w:nsid w:val="3B736673"/>
    <w:multiLevelType w:val="hybridMultilevel"/>
    <w:tmpl w:val="63FAC8DE"/>
    <w:lvl w:ilvl="0" w:tplc="53D6B208">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43112DF8"/>
    <w:multiLevelType w:val="hybridMultilevel"/>
    <w:tmpl w:val="62946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927ED1"/>
    <w:multiLevelType w:val="hybridMultilevel"/>
    <w:tmpl w:val="F63E4600"/>
    <w:lvl w:ilvl="0" w:tplc="955A2320">
      <w:start w:val="1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4A82344A"/>
    <w:multiLevelType w:val="hybridMultilevel"/>
    <w:tmpl w:val="F19EFC54"/>
    <w:lvl w:ilvl="0" w:tplc="B62E9C3A">
      <w:start w:val="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4D021844"/>
    <w:multiLevelType w:val="hybridMultilevel"/>
    <w:tmpl w:val="304887D2"/>
    <w:lvl w:ilvl="0" w:tplc="55EE1750">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4D061ACD"/>
    <w:multiLevelType w:val="hybridMultilevel"/>
    <w:tmpl w:val="90580014"/>
    <w:lvl w:ilvl="0" w:tplc="B77C95C8">
      <w:start w:val="1"/>
      <w:numFmt w:val="lowerLetter"/>
      <w:lvlText w:val="%1)"/>
      <w:lvlJc w:val="left"/>
      <w:pPr>
        <w:ind w:left="1426" w:hanging="360"/>
      </w:pPr>
      <w:rPr>
        <w:rFonts w:eastAsia="Times New Roman"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6">
    <w:nsid w:val="4D980B33"/>
    <w:multiLevelType w:val="hybridMultilevel"/>
    <w:tmpl w:val="EE248A86"/>
    <w:lvl w:ilvl="0" w:tplc="D04EC076">
      <w:start w:val="1"/>
      <w:numFmt w:val="upp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4DD34BAD"/>
    <w:multiLevelType w:val="hybridMultilevel"/>
    <w:tmpl w:val="583C7B4A"/>
    <w:lvl w:ilvl="0" w:tplc="59F0B6D4">
      <w:start w:val="3"/>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529B54ED"/>
    <w:multiLevelType w:val="hybridMultilevel"/>
    <w:tmpl w:val="102CE9C6"/>
    <w:lvl w:ilvl="0" w:tplc="2AE2807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542C5FA0"/>
    <w:multiLevelType w:val="hybridMultilevel"/>
    <w:tmpl w:val="B278317E"/>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56E95E29"/>
    <w:multiLevelType w:val="hybridMultilevel"/>
    <w:tmpl w:val="22CE7B8C"/>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573F4413"/>
    <w:multiLevelType w:val="hybridMultilevel"/>
    <w:tmpl w:val="72A0C26C"/>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nsid w:val="59350097"/>
    <w:multiLevelType w:val="hybridMultilevel"/>
    <w:tmpl w:val="B84A80AE"/>
    <w:lvl w:ilvl="0" w:tplc="06043FEE">
      <w:start w:val="1"/>
      <w:numFmt w:val="decimal"/>
      <w:lvlText w:val="%1."/>
      <w:lvlJc w:val="left"/>
      <w:pPr>
        <w:ind w:left="360" w:hanging="360"/>
      </w:pPr>
      <w:rPr>
        <w:rFonts w:ascii="Calibri" w:eastAsia="Calibri" w:hAnsi="Calibri" w:cs="Times New Roman"/>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3">
    <w:nsid w:val="6B735C2A"/>
    <w:multiLevelType w:val="hybridMultilevel"/>
    <w:tmpl w:val="141E4532"/>
    <w:lvl w:ilvl="0" w:tplc="A76662E2">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4">
    <w:nsid w:val="71837F49"/>
    <w:multiLevelType w:val="hybridMultilevel"/>
    <w:tmpl w:val="BD7A6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7A12A2"/>
    <w:multiLevelType w:val="hybridMultilevel"/>
    <w:tmpl w:val="4664C6AC"/>
    <w:lvl w:ilvl="0" w:tplc="97D2B9D2">
      <w:start w:val="1"/>
      <w:numFmt w:val="decimal"/>
      <w:lvlText w:val="%1."/>
      <w:lvlJc w:val="left"/>
      <w:pPr>
        <w:ind w:left="1065" w:hanging="705"/>
      </w:pPr>
      <w:rPr>
        <w:rFonts w:hint="default"/>
        <w:b w:val="0"/>
        <w:i w:val="0"/>
        <w:color w:val="auto"/>
        <w:sz w:val="20"/>
        <w:szCs w:val="20"/>
      </w:rPr>
    </w:lvl>
    <w:lvl w:ilvl="1" w:tplc="140A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AD2321"/>
    <w:multiLevelType w:val="hybridMultilevel"/>
    <w:tmpl w:val="8050F9A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FA0547"/>
    <w:multiLevelType w:val="hybridMultilevel"/>
    <w:tmpl w:val="0050659C"/>
    <w:lvl w:ilvl="0" w:tplc="8EA0F77E">
      <w:start w:val="4"/>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7A7D511C"/>
    <w:multiLevelType w:val="hybridMultilevel"/>
    <w:tmpl w:val="82649874"/>
    <w:lvl w:ilvl="0" w:tplc="7AF2FE26">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9846DC"/>
    <w:multiLevelType w:val="hybridMultilevel"/>
    <w:tmpl w:val="681C5762"/>
    <w:lvl w:ilvl="0" w:tplc="D12AE62A">
      <w:start w:val="27"/>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7CE64D32"/>
    <w:multiLevelType w:val="hybridMultilevel"/>
    <w:tmpl w:val="DECCFC04"/>
    <w:lvl w:ilvl="0" w:tplc="2FD44600">
      <w:start w:val="1"/>
      <w:numFmt w:val="decimal"/>
      <w:lvlText w:val="%1."/>
      <w:lvlJc w:val="left"/>
      <w:pPr>
        <w:tabs>
          <w:tab w:val="num" w:pos="5640"/>
        </w:tabs>
      </w:pPr>
      <w:rPr>
        <w:rFonts w:ascii="Verdana" w:eastAsia="Times New Roman" w:hAnsi="Verdana"/>
        <w:b w:val="0"/>
        <w:bCs w:val="0"/>
        <w:i w:val="0"/>
        <w:iCs w:val="0"/>
        <w:strike w:val="0"/>
        <w:color w:val="auto"/>
        <w:sz w:val="20"/>
        <w:szCs w:val="20"/>
        <w:lang w:val="es-CR"/>
      </w:rPr>
    </w:lvl>
    <w:lvl w:ilvl="1" w:tplc="140A0003">
      <w:start w:val="1"/>
      <w:numFmt w:val="lowerLetter"/>
      <w:lvlText w:val="%2)"/>
      <w:lvlJc w:val="left"/>
      <w:pPr>
        <w:tabs>
          <w:tab w:val="num" w:pos="1080"/>
        </w:tabs>
        <w:ind w:left="1080" w:hanging="360"/>
      </w:pPr>
      <w:rPr>
        <w:rFonts w:hint="default"/>
        <w:b w:val="0"/>
        <w:bCs w:val="0"/>
        <w:i w:val="0"/>
        <w:iCs w:val="0"/>
        <w:sz w:val="20"/>
        <w:szCs w:val="20"/>
      </w:rPr>
    </w:lvl>
    <w:lvl w:ilvl="2" w:tplc="140A0005">
      <w:start w:val="1"/>
      <w:numFmt w:val="lowerRoman"/>
      <w:lvlText w:val="%3."/>
      <w:lvlJc w:val="right"/>
      <w:pPr>
        <w:tabs>
          <w:tab w:val="num" w:pos="2160"/>
        </w:tabs>
        <w:ind w:left="2160" w:hanging="180"/>
      </w:pPr>
    </w:lvl>
    <w:lvl w:ilvl="3" w:tplc="140A0001">
      <w:start w:val="1"/>
      <w:numFmt w:val="decimal"/>
      <w:lvlText w:val="%4."/>
      <w:lvlJc w:val="left"/>
      <w:pPr>
        <w:tabs>
          <w:tab w:val="num" w:pos="2880"/>
        </w:tabs>
        <w:ind w:left="2880" w:hanging="360"/>
      </w:pPr>
    </w:lvl>
    <w:lvl w:ilvl="4" w:tplc="140A0003">
      <w:start w:val="1"/>
      <w:numFmt w:val="lowerLetter"/>
      <w:lvlText w:val="%5."/>
      <w:lvlJc w:val="left"/>
      <w:pPr>
        <w:tabs>
          <w:tab w:val="num" w:pos="3600"/>
        </w:tabs>
        <w:ind w:left="3600" w:hanging="360"/>
      </w:pPr>
    </w:lvl>
    <w:lvl w:ilvl="5" w:tplc="140A0005">
      <w:start w:val="1"/>
      <w:numFmt w:val="lowerRoman"/>
      <w:lvlText w:val="%6."/>
      <w:lvlJc w:val="right"/>
      <w:pPr>
        <w:tabs>
          <w:tab w:val="num" w:pos="4320"/>
        </w:tabs>
        <w:ind w:left="4320" w:hanging="180"/>
      </w:pPr>
    </w:lvl>
    <w:lvl w:ilvl="6" w:tplc="140A0001">
      <w:start w:val="1"/>
      <w:numFmt w:val="decimal"/>
      <w:lvlText w:val="%7."/>
      <w:lvlJc w:val="left"/>
      <w:pPr>
        <w:tabs>
          <w:tab w:val="num" w:pos="5040"/>
        </w:tabs>
        <w:ind w:left="5040" w:hanging="360"/>
      </w:pPr>
    </w:lvl>
    <w:lvl w:ilvl="7" w:tplc="140A0003">
      <w:start w:val="1"/>
      <w:numFmt w:val="lowerLetter"/>
      <w:lvlText w:val="%8."/>
      <w:lvlJc w:val="left"/>
      <w:pPr>
        <w:tabs>
          <w:tab w:val="num" w:pos="5760"/>
        </w:tabs>
        <w:ind w:left="5760" w:hanging="360"/>
      </w:pPr>
    </w:lvl>
    <w:lvl w:ilvl="8" w:tplc="140A0005">
      <w:start w:val="1"/>
      <w:numFmt w:val="lowerRoman"/>
      <w:lvlText w:val="%9."/>
      <w:lvlJc w:val="right"/>
      <w:pPr>
        <w:tabs>
          <w:tab w:val="num" w:pos="6480"/>
        </w:tabs>
        <w:ind w:left="6480" w:hanging="180"/>
      </w:pPr>
    </w:lvl>
  </w:abstractNum>
  <w:abstractNum w:abstractNumId="31">
    <w:nsid w:val="7CFC2AB5"/>
    <w:multiLevelType w:val="hybridMultilevel"/>
    <w:tmpl w:val="EB582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3A5433"/>
    <w:multiLevelType w:val="hybridMultilevel"/>
    <w:tmpl w:val="C2AE07A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2"/>
  </w:num>
  <w:num w:numId="2">
    <w:abstractNumId w:val="28"/>
  </w:num>
  <w:num w:numId="3">
    <w:abstractNumId w:val="25"/>
  </w:num>
  <w:num w:numId="4">
    <w:abstractNumId w:val="1"/>
  </w:num>
  <w:num w:numId="5">
    <w:abstractNumId w:val="2"/>
  </w:num>
  <w:num w:numId="6">
    <w:abstractNumId w:val="9"/>
  </w:num>
  <w:num w:numId="7">
    <w:abstractNumId w:val="11"/>
  </w:num>
  <w:num w:numId="8">
    <w:abstractNumId w:val="18"/>
  </w:num>
  <w:num w:numId="9">
    <w:abstractNumId w:val="0"/>
  </w:num>
  <w:num w:numId="10">
    <w:abstractNumId w:val="15"/>
  </w:num>
  <w:num w:numId="11">
    <w:abstractNumId w:val="6"/>
  </w:num>
  <w:num w:numId="12">
    <w:abstractNumId w:val="8"/>
  </w:num>
  <w:num w:numId="13">
    <w:abstractNumId w:val="24"/>
  </w:num>
  <w:num w:numId="14">
    <w:abstractNumId w:val="4"/>
  </w:num>
  <w:num w:numId="15">
    <w:abstractNumId w:val="26"/>
  </w:num>
  <w:num w:numId="16">
    <w:abstractNumId w:val="3"/>
  </w:num>
  <w:num w:numId="17">
    <w:abstractNumId w:val="31"/>
  </w:num>
  <w:num w:numId="18">
    <w:abstractNumId w:val="7"/>
  </w:num>
  <w:num w:numId="19">
    <w:abstractNumId w:val="30"/>
  </w:num>
  <w:num w:numId="20">
    <w:abstractNumId w:val="21"/>
  </w:num>
  <w:num w:numId="21">
    <w:abstractNumId w:val="13"/>
  </w:num>
  <w:num w:numId="22">
    <w:abstractNumId w:val="10"/>
  </w:num>
  <w:num w:numId="23">
    <w:abstractNumId w:val="12"/>
  </w:num>
  <w:num w:numId="24">
    <w:abstractNumId w:val="23"/>
  </w:num>
  <w:num w:numId="25">
    <w:abstractNumId w:val="32"/>
  </w:num>
  <w:num w:numId="26">
    <w:abstractNumId w:val="29"/>
  </w:num>
  <w:num w:numId="27">
    <w:abstractNumId w:val="16"/>
  </w:num>
  <w:num w:numId="28">
    <w:abstractNumId w:val="20"/>
  </w:num>
  <w:num w:numId="29">
    <w:abstractNumId w:val="14"/>
  </w:num>
  <w:num w:numId="30">
    <w:abstractNumId w:val="5"/>
  </w:num>
  <w:num w:numId="31">
    <w:abstractNumId w:val="17"/>
  </w:num>
  <w:num w:numId="32">
    <w:abstractNumId w:val="19"/>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5605"/>
    <w:rsid w:val="00001EDA"/>
    <w:rsid w:val="0000220C"/>
    <w:rsid w:val="00006A2E"/>
    <w:rsid w:val="00007450"/>
    <w:rsid w:val="000076BE"/>
    <w:rsid w:val="00017829"/>
    <w:rsid w:val="000204DD"/>
    <w:rsid w:val="0002259B"/>
    <w:rsid w:val="00023FF8"/>
    <w:rsid w:val="00024E41"/>
    <w:rsid w:val="000267E9"/>
    <w:rsid w:val="00033D5A"/>
    <w:rsid w:val="00034D6B"/>
    <w:rsid w:val="00035D92"/>
    <w:rsid w:val="00041651"/>
    <w:rsid w:val="00051C3A"/>
    <w:rsid w:val="0005260E"/>
    <w:rsid w:val="0007064B"/>
    <w:rsid w:val="00076168"/>
    <w:rsid w:val="000765C9"/>
    <w:rsid w:val="00082EBA"/>
    <w:rsid w:val="000861F0"/>
    <w:rsid w:val="0009038D"/>
    <w:rsid w:val="000A04DF"/>
    <w:rsid w:val="000A6D49"/>
    <w:rsid w:val="000A797B"/>
    <w:rsid w:val="000B307A"/>
    <w:rsid w:val="000B3F22"/>
    <w:rsid w:val="000B4312"/>
    <w:rsid w:val="000B61D4"/>
    <w:rsid w:val="000C0300"/>
    <w:rsid w:val="000C3679"/>
    <w:rsid w:val="000C5DF1"/>
    <w:rsid w:val="000D01D8"/>
    <w:rsid w:val="000D0ED2"/>
    <w:rsid w:val="000D1204"/>
    <w:rsid w:val="000D1439"/>
    <w:rsid w:val="000D45E9"/>
    <w:rsid w:val="000D54B5"/>
    <w:rsid w:val="000E6088"/>
    <w:rsid w:val="000F79E3"/>
    <w:rsid w:val="00101153"/>
    <w:rsid w:val="00110119"/>
    <w:rsid w:val="001102DC"/>
    <w:rsid w:val="00113AC9"/>
    <w:rsid w:val="001165F1"/>
    <w:rsid w:val="00127A60"/>
    <w:rsid w:val="00133551"/>
    <w:rsid w:val="00142FE2"/>
    <w:rsid w:val="0015215E"/>
    <w:rsid w:val="00155049"/>
    <w:rsid w:val="001579EF"/>
    <w:rsid w:val="00164753"/>
    <w:rsid w:val="00165AF8"/>
    <w:rsid w:val="001730CF"/>
    <w:rsid w:val="0019383F"/>
    <w:rsid w:val="001A3DF4"/>
    <w:rsid w:val="001A7F23"/>
    <w:rsid w:val="001B06A9"/>
    <w:rsid w:val="001B169F"/>
    <w:rsid w:val="001B6F80"/>
    <w:rsid w:val="001B771E"/>
    <w:rsid w:val="001C023E"/>
    <w:rsid w:val="001C2EC6"/>
    <w:rsid w:val="001C3257"/>
    <w:rsid w:val="001E2134"/>
    <w:rsid w:val="001E5BFA"/>
    <w:rsid w:val="001E6674"/>
    <w:rsid w:val="001E669A"/>
    <w:rsid w:val="001F05FF"/>
    <w:rsid w:val="001F6945"/>
    <w:rsid w:val="002016AF"/>
    <w:rsid w:val="00215C3D"/>
    <w:rsid w:val="002201F4"/>
    <w:rsid w:val="00227061"/>
    <w:rsid w:val="00230A5F"/>
    <w:rsid w:val="00230D2C"/>
    <w:rsid w:val="002330EE"/>
    <w:rsid w:val="00234DC7"/>
    <w:rsid w:val="002366E1"/>
    <w:rsid w:val="00242D96"/>
    <w:rsid w:val="002464B6"/>
    <w:rsid w:val="002470C0"/>
    <w:rsid w:val="00250110"/>
    <w:rsid w:val="00251259"/>
    <w:rsid w:val="00252DFE"/>
    <w:rsid w:val="0025576E"/>
    <w:rsid w:val="002660DD"/>
    <w:rsid w:val="00267BBD"/>
    <w:rsid w:val="00271855"/>
    <w:rsid w:val="00276E16"/>
    <w:rsid w:val="00286C54"/>
    <w:rsid w:val="00291BAD"/>
    <w:rsid w:val="00294ACB"/>
    <w:rsid w:val="002B1021"/>
    <w:rsid w:val="002B416C"/>
    <w:rsid w:val="002C3C81"/>
    <w:rsid w:val="002C5038"/>
    <w:rsid w:val="002C76AE"/>
    <w:rsid w:val="002D1D2B"/>
    <w:rsid w:val="002E164D"/>
    <w:rsid w:val="002E6B09"/>
    <w:rsid w:val="002E761A"/>
    <w:rsid w:val="002F2C74"/>
    <w:rsid w:val="002F4C2F"/>
    <w:rsid w:val="002F6241"/>
    <w:rsid w:val="002F759C"/>
    <w:rsid w:val="00303035"/>
    <w:rsid w:val="0030717E"/>
    <w:rsid w:val="00312A95"/>
    <w:rsid w:val="00312B60"/>
    <w:rsid w:val="0031411D"/>
    <w:rsid w:val="00322650"/>
    <w:rsid w:val="003310CA"/>
    <w:rsid w:val="00332AC7"/>
    <w:rsid w:val="003409A9"/>
    <w:rsid w:val="00347E96"/>
    <w:rsid w:val="00350A0D"/>
    <w:rsid w:val="0035119B"/>
    <w:rsid w:val="00351FB2"/>
    <w:rsid w:val="00367937"/>
    <w:rsid w:val="00370057"/>
    <w:rsid w:val="00370B60"/>
    <w:rsid w:val="003742DE"/>
    <w:rsid w:val="003769CE"/>
    <w:rsid w:val="00386C84"/>
    <w:rsid w:val="00390BB5"/>
    <w:rsid w:val="00395302"/>
    <w:rsid w:val="003A58FF"/>
    <w:rsid w:val="003A5E75"/>
    <w:rsid w:val="003A73B5"/>
    <w:rsid w:val="003A7F65"/>
    <w:rsid w:val="003B7CAF"/>
    <w:rsid w:val="003C102E"/>
    <w:rsid w:val="003C1268"/>
    <w:rsid w:val="003D545B"/>
    <w:rsid w:val="003D7819"/>
    <w:rsid w:val="003E3BD7"/>
    <w:rsid w:val="003E4002"/>
    <w:rsid w:val="003E6864"/>
    <w:rsid w:val="003F065D"/>
    <w:rsid w:val="003F271D"/>
    <w:rsid w:val="00404778"/>
    <w:rsid w:val="00411B89"/>
    <w:rsid w:val="004139B4"/>
    <w:rsid w:val="00416EDB"/>
    <w:rsid w:val="004212CB"/>
    <w:rsid w:val="00426FFE"/>
    <w:rsid w:val="0042793C"/>
    <w:rsid w:val="0044021C"/>
    <w:rsid w:val="0044544C"/>
    <w:rsid w:val="0044578D"/>
    <w:rsid w:val="00450485"/>
    <w:rsid w:val="00456166"/>
    <w:rsid w:val="00466BF0"/>
    <w:rsid w:val="00467A0A"/>
    <w:rsid w:val="004756C5"/>
    <w:rsid w:val="00480349"/>
    <w:rsid w:val="00481FC7"/>
    <w:rsid w:val="00484CA3"/>
    <w:rsid w:val="00485F56"/>
    <w:rsid w:val="004868C9"/>
    <w:rsid w:val="00487C0A"/>
    <w:rsid w:val="0049360F"/>
    <w:rsid w:val="004A1730"/>
    <w:rsid w:val="004A1867"/>
    <w:rsid w:val="004A2617"/>
    <w:rsid w:val="004A2811"/>
    <w:rsid w:val="004A293F"/>
    <w:rsid w:val="004B69D5"/>
    <w:rsid w:val="004C078B"/>
    <w:rsid w:val="004E1526"/>
    <w:rsid w:val="004E3AB5"/>
    <w:rsid w:val="004E7204"/>
    <w:rsid w:val="004F2441"/>
    <w:rsid w:val="004F2D50"/>
    <w:rsid w:val="004F3026"/>
    <w:rsid w:val="004F3300"/>
    <w:rsid w:val="004F743D"/>
    <w:rsid w:val="00500164"/>
    <w:rsid w:val="00502F72"/>
    <w:rsid w:val="005101DE"/>
    <w:rsid w:val="00513D9F"/>
    <w:rsid w:val="005155BD"/>
    <w:rsid w:val="00515999"/>
    <w:rsid w:val="00515DE6"/>
    <w:rsid w:val="00521A6A"/>
    <w:rsid w:val="00523A9C"/>
    <w:rsid w:val="005256E3"/>
    <w:rsid w:val="00527900"/>
    <w:rsid w:val="005312C0"/>
    <w:rsid w:val="005331EC"/>
    <w:rsid w:val="005401CF"/>
    <w:rsid w:val="00543944"/>
    <w:rsid w:val="00550D0C"/>
    <w:rsid w:val="00552F1F"/>
    <w:rsid w:val="00556F7E"/>
    <w:rsid w:val="00560D0F"/>
    <w:rsid w:val="00570B00"/>
    <w:rsid w:val="005713EE"/>
    <w:rsid w:val="005734A7"/>
    <w:rsid w:val="0057674A"/>
    <w:rsid w:val="00593B8B"/>
    <w:rsid w:val="005967DD"/>
    <w:rsid w:val="005A3C79"/>
    <w:rsid w:val="005A6A9C"/>
    <w:rsid w:val="005B68AB"/>
    <w:rsid w:val="005B7E4D"/>
    <w:rsid w:val="005C02DB"/>
    <w:rsid w:val="005C0512"/>
    <w:rsid w:val="005C162D"/>
    <w:rsid w:val="005C1B2E"/>
    <w:rsid w:val="005C2F11"/>
    <w:rsid w:val="005D3650"/>
    <w:rsid w:val="005E5513"/>
    <w:rsid w:val="005E623E"/>
    <w:rsid w:val="005F49CA"/>
    <w:rsid w:val="005F5BD9"/>
    <w:rsid w:val="00602ABB"/>
    <w:rsid w:val="00613EAD"/>
    <w:rsid w:val="0061564C"/>
    <w:rsid w:val="00617481"/>
    <w:rsid w:val="00627630"/>
    <w:rsid w:val="00630F15"/>
    <w:rsid w:val="00634730"/>
    <w:rsid w:val="00637FBB"/>
    <w:rsid w:val="00650736"/>
    <w:rsid w:val="00655C2C"/>
    <w:rsid w:val="00664308"/>
    <w:rsid w:val="00666B39"/>
    <w:rsid w:val="0067247B"/>
    <w:rsid w:val="006752F0"/>
    <w:rsid w:val="00682A66"/>
    <w:rsid w:val="00686B20"/>
    <w:rsid w:val="006904FC"/>
    <w:rsid w:val="0069563C"/>
    <w:rsid w:val="006A5D69"/>
    <w:rsid w:val="006A74CC"/>
    <w:rsid w:val="006B252A"/>
    <w:rsid w:val="006B2737"/>
    <w:rsid w:val="006B4ACB"/>
    <w:rsid w:val="006C4BA0"/>
    <w:rsid w:val="006C641E"/>
    <w:rsid w:val="006D5B55"/>
    <w:rsid w:val="006D7DA3"/>
    <w:rsid w:val="006F22BF"/>
    <w:rsid w:val="006F32CE"/>
    <w:rsid w:val="006F7EDC"/>
    <w:rsid w:val="007070CF"/>
    <w:rsid w:val="00711A33"/>
    <w:rsid w:val="00714840"/>
    <w:rsid w:val="00722171"/>
    <w:rsid w:val="0072627B"/>
    <w:rsid w:val="007330D7"/>
    <w:rsid w:val="007334F3"/>
    <w:rsid w:val="00734C7E"/>
    <w:rsid w:val="00734FDE"/>
    <w:rsid w:val="00754FE1"/>
    <w:rsid w:val="00755858"/>
    <w:rsid w:val="00757332"/>
    <w:rsid w:val="00761CC3"/>
    <w:rsid w:val="0076718E"/>
    <w:rsid w:val="00767DB2"/>
    <w:rsid w:val="00771187"/>
    <w:rsid w:val="00771471"/>
    <w:rsid w:val="00771CD0"/>
    <w:rsid w:val="0078168C"/>
    <w:rsid w:val="007864FD"/>
    <w:rsid w:val="007932CA"/>
    <w:rsid w:val="007A6150"/>
    <w:rsid w:val="007B2827"/>
    <w:rsid w:val="007B664E"/>
    <w:rsid w:val="007C0480"/>
    <w:rsid w:val="007C6FE4"/>
    <w:rsid w:val="007D24EF"/>
    <w:rsid w:val="007D7AD1"/>
    <w:rsid w:val="007E769C"/>
    <w:rsid w:val="008057B0"/>
    <w:rsid w:val="0080585D"/>
    <w:rsid w:val="0081256C"/>
    <w:rsid w:val="008138B6"/>
    <w:rsid w:val="008232CD"/>
    <w:rsid w:val="00844583"/>
    <w:rsid w:val="00851940"/>
    <w:rsid w:val="00851F4F"/>
    <w:rsid w:val="00855EC0"/>
    <w:rsid w:val="008575B3"/>
    <w:rsid w:val="008650B3"/>
    <w:rsid w:val="00865490"/>
    <w:rsid w:val="0087342E"/>
    <w:rsid w:val="0087425C"/>
    <w:rsid w:val="00874A80"/>
    <w:rsid w:val="008772E0"/>
    <w:rsid w:val="00881501"/>
    <w:rsid w:val="00895C05"/>
    <w:rsid w:val="008A16B7"/>
    <w:rsid w:val="008B56D2"/>
    <w:rsid w:val="008B6762"/>
    <w:rsid w:val="008B7D63"/>
    <w:rsid w:val="008C2320"/>
    <w:rsid w:val="008C54BB"/>
    <w:rsid w:val="008D09C4"/>
    <w:rsid w:val="008D3473"/>
    <w:rsid w:val="008D64BF"/>
    <w:rsid w:val="008E3A65"/>
    <w:rsid w:val="008E5E65"/>
    <w:rsid w:val="008E6C3B"/>
    <w:rsid w:val="008F06D8"/>
    <w:rsid w:val="008F4647"/>
    <w:rsid w:val="008F731C"/>
    <w:rsid w:val="00902454"/>
    <w:rsid w:val="00904232"/>
    <w:rsid w:val="009073AD"/>
    <w:rsid w:val="00912E4A"/>
    <w:rsid w:val="0092011A"/>
    <w:rsid w:val="00921AB1"/>
    <w:rsid w:val="00922C1A"/>
    <w:rsid w:val="009252DB"/>
    <w:rsid w:val="009267AD"/>
    <w:rsid w:val="00933381"/>
    <w:rsid w:val="0093464A"/>
    <w:rsid w:val="00941589"/>
    <w:rsid w:val="009438BC"/>
    <w:rsid w:val="009440DA"/>
    <w:rsid w:val="00945921"/>
    <w:rsid w:val="00945AEF"/>
    <w:rsid w:val="009466FD"/>
    <w:rsid w:val="00951DD1"/>
    <w:rsid w:val="009532AD"/>
    <w:rsid w:val="009547CF"/>
    <w:rsid w:val="009625C1"/>
    <w:rsid w:val="00966138"/>
    <w:rsid w:val="00966CB5"/>
    <w:rsid w:val="0097510C"/>
    <w:rsid w:val="00982397"/>
    <w:rsid w:val="00984ED2"/>
    <w:rsid w:val="00990FFD"/>
    <w:rsid w:val="00994842"/>
    <w:rsid w:val="00996849"/>
    <w:rsid w:val="009A099B"/>
    <w:rsid w:val="009A244F"/>
    <w:rsid w:val="009A7094"/>
    <w:rsid w:val="009B3752"/>
    <w:rsid w:val="009B7C7D"/>
    <w:rsid w:val="009C0163"/>
    <w:rsid w:val="009C35CD"/>
    <w:rsid w:val="009C5247"/>
    <w:rsid w:val="009D44EE"/>
    <w:rsid w:val="009D4ED5"/>
    <w:rsid w:val="009E29A7"/>
    <w:rsid w:val="009E7D71"/>
    <w:rsid w:val="009F6DD8"/>
    <w:rsid w:val="00A05374"/>
    <w:rsid w:val="00A054AC"/>
    <w:rsid w:val="00A10B53"/>
    <w:rsid w:val="00A123A3"/>
    <w:rsid w:val="00A252DB"/>
    <w:rsid w:val="00A25F82"/>
    <w:rsid w:val="00A304AE"/>
    <w:rsid w:val="00A31A4B"/>
    <w:rsid w:val="00A34942"/>
    <w:rsid w:val="00A4276A"/>
    <w:rsid w:val="00A4688E"/>
    <w:rsid w:val="00A508D3"/>
    <w:rsid w:val="00A5443A"/>
    <w:rsid w:val="00A611CB"/>
    <w:rsid w:val="00A6120E"/>
    <w:rsid w:val="00A656C5"/>
    <w:rsid w:val="00A66FCE"/>
    <w:rsid w:val="00A67767"/>
    <w:rsid w:val="00A74798"/>
    <w:rsid w:val="00A81000"/>
    <w:rsid w:val="00A8474A"/>
    <w:rsid w:val="00A85597"/>
    <w:rsid w:val="00A865CB"/>
    <w:rsid w:val="00A86C03"/>
    <w:rsid w:val="00A9180C"/>
    <w:rsid w:val="00A94A2C"/>
    <w:rsid w:val="00AA02C0"/>
    <w:rsid w:val="00AA18CA"/>
    <w:rsid w:val="00AA18CF"/>
    <w:rsid w:val="00AA77DC"/>
    <w:rsid w:val="00AB1829"/>
    <w:rsid w:val="00AB1F7F"/>
    <w:rsid w:val="00AB5FBD"/>
    <w:rsid w:val="00AB7806"/>
    <w:rsid w:val="00AC041C"/>
    <w:rsid w:val="00AC0B5B"/>
    <w:rsid w:val="00AC407B"/>
    <w:rsid w:val="00AC4F14"/>
    <w:rsid w:val="00AD20E2"/>
    <w:rsid w:val="00AE537E"/>
    <w:rsid w:val="00AE5C9A"/>
    <w:rsid w:val="00AE684E"/>
    <w:rsid w:val="00AF2E2B"/>
    <w:rsid w:val="00AF631B"/>
    <w:rsid w:val="00AF6BE9"/>
    <w:rsid w:val="00AF72A7"/>
    <w:rsid w:val="00B111E7"/>
    <w:rsid w:val="00B17566"/>
    <w:rsid w:val="00B2037A"/>
    <w:rsid w:val="00B24862"/>
    <w:rsid w:val="00B24931"/>
    <w:rsid w:val="00B440EA"/>
    <w:rsid w:val="00B45255"/>
    <w:rsid w:val="00B50B82"/>
    <w:rsid w:val="00B56486"/>
    <w:rsid w:val="00B64906"/>
    <w:rsid w:val="00B66576"/>
    <w:rsid w:val="00B72020"/>
    <w:rsid w:val="00B740FC"/>
    <w:rsid w:val="00B750C1"/>
    <w:rsid w:val="00B75DAA"/>
    <w:rsid w:val="00B77AAD"/>
    <w:rsid w:val="00B80D8D"/>
    <w:rsid w:val="00B97A47"/>
    <w:rsid w:val="00BA6946"/>
    <w:rsid w:val="00BA731C"/>
    <w:rsid w:val="00BA78FF"/>
    <w:rsid w:val="00BB3223"/>
    <w:rsid w:val="00BC2120"/>
    <w:rsid w:val="00BC525C"/>
    <w:rsid w:val="00BC75EA"/>
    <w:rsid w:val="00BD157E"/>
    <w:rsid w:val="00BE0862"/>
    <w:rsid w:val="00BE2A93"/>
    <w:rsid w:val="00BE3C1F"/>
    <w:rsid w:val="00BF4DB1"/>
    <w:rsid w:val="00C022E6"/>
    <w:rsid w:val="00C0564F"/>
    <w:rsid w:val="00C0570E"/>
    <w:rsid w:val="00C0584B"/>
    <w:rsid w:val="00C06AD2"/>
    <w:rsid w:val="00C148AE"/>
    <w:rsid w:val="00C15115"/>
    <w:rsid w:val="00C17015"/>
    <w:rsid w:val="00C1770B"/>
    <w:rsid w:val="00C17FB2"/>
    <w:rsid w:val="00C21C3F"/>
    <w:rsid w:val="00C23BB6"/>
    <w:rsid w:val="00C278BB"/>
    <w:rsid w:val="00C3185C"/>
    <w:rsid w:val="00C35289"/>
    <w:rsid w:val="00C367E3"/>
    <w:rsid w:val="00C41A04"/>
    <w:rsid w:val="00C428CF"/>
    <w:rsid w:val="00C47AF2"/>
    <w:rsid w:val="00C536AF"/>
    <w:rsid w:val="00C55030"/>
    <w:rsid w:val="00C629B4"/>
    <w:rsid w:val="00C668D4"/>
    <w:rsid w:val="00C73235"/>
    <w:rsid w:val="00C75BF0"/>
    <w:rsid w:val="00C777A8"/>
    <w:rsid w:val="00C83DEA"/>
    <w:rsid w:val="00C91645"/>
    <w:rsid w:val="00C9542C"/>
    <w:rsid w:val="00CA0AF5"/>
    <w:rsid w:val="00CA57BD"/>
    <w:rsid w:val="00CA6564"/>
    <w:rsid w:val="00CC23A8"/>
    <w:rsid w:val="00CC3A92"/>
    <w:rsid w:val="00CE483C"/>
    <w:rsid w:val="00CE728F"/>
    <w:rsid w:val="00D040C8"/>
    <w:rsid w:val="00D11229"/>
    <w:rsid w:val="00D124E5"/>
    <w:rsid w:val="00D12DB2"/>
    <w:rsid w:val="00D130A0"/>
    <w:rsid w:val="00D14A86"/>
    <w:rsid w:val="00D2735E"/>
    <w:rsid w:val="00D2784F"/>
    <w:rsid w:val="00D31506"/>
    <w:rsid w:val="00D3219D"/>
    <w:rsid w:val="00D3780A"/>
    <w:rsid w:val="00D41221"/>
    <w:rsid w:val="00D41C45"/>
    <w:rsid w:val="00D42D53"/>
    <w:rsid w:val="00D45F1E"/>
    <w:rsid w:val="00D52D57"/>
    <w:rsid w:val="00D6518A"/>
    <w:rsid w:val="00D72990"/>
    <w:rsid w:val="00D73C91"/>
    <w:rsid w:val="00D7438B"/>
    <w:rsid w:val="00D74B41"/>
    <w:rsid w:val="00D814B9"/>
    <w:rsid w:val="00D81B3D"/>
    <w:rsid w:val="00D86E27"/>
    <w:rsid w:val="00D90409"/>
    <w:rsid w:val="00D93F57"/>
    <w:rsid w:val="00D97861"/>
    <w:rsid w:val="00DA445F"/>
    <w:rsid w:val="00DA494D"/>
    <w:rsid w:val="00DA5B3E"/>
    <w:rsid w:val="00DA5C7C"/>
    <w:rsid w:val="00DB34BE"/>
    <w:rsid w:val="00DB43E7"/>
    <w:rsid w:val="00DC0988"/>
    <w:rsid w:val="00DC49E3"/>
    <w:rsid w:val="00DC559D"/>
    <w:rsid w:val="00DC73B4"/>
    <w:rsid w:val="00DE77A6"/>
    <w:rsid w:val="00DF26FF"/>
    <w:rsid w:val="00E01826"/>
    <w:rsid w:val="00E14F33"/>
    <w:rsid w:val="00E1541C"/>
    <w:rsid w:val="00E168DC"/>
    <w:rsid w:val="00E258CF"/>
    <w:rsid w:val="00E2611C"/>
    <w:rsid w:val="00E43B7E"/>
    <w:rsid w:val="00E47826"/>
    <w:rsid w:val="00E562D3"/>
    <w:rsid w:val="00E60826"/>
    <w:rsid w:val="00E63A94"/>
    <w:rsid w:val="00E667FD"/>
    <w:rsid w:val="00E6727E"/>
    <w:rsid w:val="00E8097D"/>
    <w:rsid w:val="00E81A76"/>
    <w:rsid w:val="00E8471E"/>
    <w:rsid w:val="00E949C6"/>
    <w:rsid w:val="00E96A53"/>
    <w:rsid w:val="00EA28FC"/>
    <w:rsid w:val="00EA5605"/>
    <w:rsid w:val="00EB0FC7"/>
    <w:rsid w:val="00EB36DD"/>
    <w:rsid w:val="00EB63CC"/>
    <w:rsid w:val="00EC38DA"/>
    <w:rsid w:val="00ED032A"/>
    <w:rsid w:val="00EE3FC6"/>
    <w:rsid w:val="00EE4641"/>
    <w:rsid w:val="00EE4FAB"/>
    <w:rsid w:val="00F04C6C"/>
    <w:rsid w:val="00F1551B"/>
    <w:rsid w:val="00F176A5"/>
    <w:rsid w:val="00F17EF6"/>
    <w:rsid w:val="00F24868"/>
    <w:rsid w:val="00F24A14"/>
    <w:rsid w:val="00F3521D"/>
    <w:rsid w:val="00F352F9"/>
    <w:rsid w:val="00F44DA1"/>
    <w:rsid w:val="00F454C9"/>
    <w:rsid w:val="00F465AB"/>
    <w:rsid w:val="00F51727"/>
    <w:rsid w:val="00F521DD"/>
    <w:rsid w:val="00F5329B"/>
    <w:rsid w:val="00F6323D"/>
    <w:rsid w:val="00F7052A"/>
    <w:rsid w:val="00F82721"/>
    <w:rsid w:val="00F82FE3"/>
    <w:rsid w:val="00F928D6"/>
    <w:rsid w:val="00F95FC6"/>
    <w:rsid w:val="00FA50F2"/>
    <w:rsid w:val="00FA706C"/>
    <w:rsid w:val="00FA74F9"/>
    <w:rsid w:val="00FB6451"/>
    <w:rsid w:val="00FD5EBF"/>
    <w:rsid w:val="00FE1625"/>
    <w:rsid w:val="00FE690A"/>
    <w:rsid w:val="00FF66DB"/>
    <w:rsid w:val="00FF7E1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HN" w:eastAsia="en-US"/>
    </w:rPr>
  </w:style>
  <w:style w:type="paragraph" w:styleId="Ttulo1">
    <w:name w:val="heading 1"/>
    <w:basedOn w:val="Normal"/>
    <w:next w:val="Normal"/>
    <w:link w:val="Ttulo1Car"/>
    <w:uiPriority w:val="9"/>
    <w:qFormat/>
    <w:rsid w:val="002366E1"/>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link w:val="PrrafodelistaCar"/>
    <w:uiPriority w:val="34"/>
    <w:qFormat/>
    <w:rsid w:val="00EA5605"/>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EA560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EA5605"/>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EA5605"/>
    <w:rPr>
      <w:vertAlign w:val="superscript"/>
    </w:rPr>
  </w:style>
  <w:style w:type="character" w:styleId="Textoennegrita">
    <w:name w:val="Strong"/>
    <w:uiPriority w:val="22"/>
    <w:qFormat/>
    <w:rsid w:val="00EA5605"/>
    <w:rPr>
      <w:b/>
      <w:bCs/>
    </w:rPr>
  </w:style>
  <w:style w:type="character" w:styleId="Hipervnculo">
    <w:name w:val="Hyperlink"/>
    <w:uiPriority w:val="99"/>
    <w:unhideWhenUsed/>
    <w:rsid w:val="00BE0862"/>
    <w:rPr>
      <w:color w:val="0000FF"/>
      <w:u w:val="single"/>
    </w:rPr>
  </w:style>
  <w:style w:type="character" w:customStyle="1" w:styleId="PrrafodelistaCar">
    <w:name w:val="Párrafo de lista Car"/>
    <w:aliases w:val="Footnote Car"/>
    <w:link w:val="Prrafodelista"/>
    <w:uiPriority w:val="34"/>
    <w:rsid w:val="002016AF"/>
  </w:style>
  <w:style w:type="paragraph" w:customStyle="1" w:styleId="Prrafodelista2">
    <w:name w:val="Párrafo de lista2"/>
    <w:basedOn w:val="Normal"/>
    <w:uiPriority w:val="99"/>
    <w:rsid w:val="002C3C81"/>
    <w:pPr>
      <w:spacing w:after="0" w:line="240" w:lineRule="auto"/>
      <w:ind w:left="720"/>
    </w:pPr>
    <w:rPr>
      <w:rFonts w:ascii="Verdana" w:eastAsia="MS Mincho" w:hAnsi="Verdana" w:cs="Verdana"/>
      <w:sz w:val="20"/>
      <w:szCs w:val="20"/>
      <w:lang w:val="es-ES_tradnl"/>
    </w:rPr>
  </w:style>
  <w:style w:type="paragraph" w:styleId="Textodeglobo">
    <w:name w:val="Balloon Text"/>
    <w:basedOn w:val="Normal"/>
    <w:link w:val="TextodegloboCar"/>
    <w:uiPriority w:val="99"/>
    <w:semiHidden/>
    <w:unhideWhenUsed/>
    <w:rsid w:val="00165AF8"/>
    <w:pPr>
      <w:spacing w:after="0" w:line="240" w:lineRule="auto"/>
    </w:pPr>
    <w:rPr>
      <w:rFonts w:ascii="Tahoma" w:hAnsi="Tahoma" w:cs="Tahoma"/>
      <w:sz w:val="16"/>
      <w:szCs w:val="16"/>
      <w:lang w:val="es-CR"/>
    </w:rPr>
  </w:style>
  <w:style w:type="character" w:customStyle="1" w:styleId="TextodegloboCar">
    <w:name w:val="Texto de globo Car"/>
    <w:link w:val="Textodeglobo"/>
    <w:uiPriority w:val="99"/>
    <w:semiHidden/>
    <w:rsid w:val="00165AF8"/>
    <w:rPr>
      <w:rFonts w:ascii="Tahoma" w:hAnsi="Tahoma" w:cs="Tahoma"/>
      <w:sz w:val="16"/>
      <w:szCs w:val="16"/>
      <w:lang w:val="es-CR"/>
    </w:rPr>
  </w:style>
  <w:style w:type="character" w:styleId="Refdecomentario">
    <w:name w:val="annotation reference"/>
    <w:uiPriority w:val="99"/>
    <w:semiHidden/>
    <w:unhideWhenUsed/>
    <w:rsid w:val="000A04DF"/>
    <w:rPr>
      <w:sz w:val="16"/>
      <w:szCs w:val="16"/>
    </w:rPr>
  </w:style>
  <w:style w:type="paragraph" w:styleId="Textocomentario">
    <w:name w:val="annotation text"/>
    <w:basedOn w:val="Normal"/>
    <w:link w:val="TextocomentarioCar"/>
    <w:uiPriority w:val="99"/>
    <w:semiHidden/>
    <w:unhideWhenUsed/>
    <w:rsid w:val="000A04DF"/>
    <w:pPr>
      <w:spacing w:line="240" w:lineRule="auto"/>
    </w:pPr>
    <w:rPr>
      <w:sz w:val="20"/>
      <w:szCs w:val="20"/>
    </w:rPr>
  </w:style>
  <w:style w:type="character" w:customStyle="1" w:styleId="TextocomentarioCar">
    <w:name w:val="Texto comentario Car"/>
    <w:link w:val="Textocomentario"/>
    <w:uiPriority w:val="99"/>
    <w:semiHidden/>
    <w:rsid w:val="000A04DF"/>
    <w:rPr>
      <w:sz w:val="20"/>
      <w:szCs w:val="20"/>
    </w:rPr>
  </w:style>
  <w:style w:type="paragraph" w:styleId="Asuntodelcomentario">
    <w:name w:val="annotation subject"/>
    <w:basedOn w:val="Textocomentario"/>
    <w:next w:val="Textocomentario"/>
    <w:link w:val="AsuntodelcomentarioCar"/>
    <w:uiPriority w:val="99"/>
    <w:semiHidden/>
    <w:unhideWhenUsed/>
    <w:rsid w:val="000A04DF"/>
    <w:rPr>
      <w:b/>
      <w:bCs/>
    </w:rPr>
  </w:style>
  <w:style w:type="character" w:customStyle="1" w:styleId="AsuntodelcomentarioCar">
    <w:name w:val="Asunto del comentario Car"/>
    <w:link w:val="Asuntodelcomentario"/>
    <w:uiPriority w:val="99"/>
    <w:semiHidden/>
    <w:rsid w:val="000A04DF"/>
    <w:rPr>
      <w:b/>
      <w:bCs/>
      <w:sz w:val="20"/>
      <w:szCs w:val="20"/>
    </w:rPr>
  </w:style>
  <w:style w:type="paragraph" w:styleId="Encabezado">
    <w:name w:val="header"/>
    <w:basedOn w:val="Normal"/>
    <w:link w:val="EncabezadoCar"/>
    <w:uiPriority w:val="99"/>
    <w:unhideWhenUsed/>
    <w:rsid w:val="005A3C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3C79"/>
  </w:style>
  <w:style w:type="paragraph" w:styleId="Piedepgina">
    <w:name w:val="footer"/>
    <w:basedOn w:val="Normal"/>
    <w:link w:val="PiedepginaCar"/>
    <w:uiPriority w:val="99"/>
    <w:unhideWhenUsed/>
    <w:rsid w:val="005A3C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3C79"/>
  </w:style>
  <w:style w:type="table" w:styleId="Tablaconcuadrcula">
    <w:name w:val="Table Grid"/>
    <w:basedOn w:val="Tablanormal"/>
    <w:uiPriority w:val="59"/>
    <w:rsid w:val="00C62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
    <w:rsid w:val="002366E1"/>
    <w:rPr>
      <w:rFonts w:ascii="Cambria" w:eastAsia="MS Gothic" w:hAnsi="Cambria" w:cs="Times New Roman"/>
      <w:b/>
      <w:bCs/>
      <w:color w:val="365F91"/>
      <w:sz w:val="28"/>
      <w:szCs w:val="28"/>
    </w:rPr>
  </w:style>
  <w:style w:type="character" w:styleId="Nmerodelnea">
    <w:name w:val="line number"/>
    <w:basedOn w:val="Fuentedeprrafopredeter"/>
    <w:uiPriority w:val="99"/>
    <w:semiHidden/>
    <w:unhideWhenUsed/>
    <w:rsid w:val="00B24862"/>
  </w:style>
  <w:style w:type="paragraph" w:styleId="TDC1">
    <w:name w:val="toc 1"/>
    <w:basedOn w:val="Normal"/>
    <w:next w:val="Normal"/>
    <w:autoRedefine/>
    <w:uiPriority w:val="39"/>
    <w:unhideWhenUsed/>
    <w:rsid w:val="00B24862"/>
    <w:pPr>
      <w:tabs>
        <w:tab w:val="right" w:leader="dot" w:pos="8222"/>
      </w:tabs>
      <w:spacing w:after="100"/>
      <w:ind w:left="709" w:right="1138"/>
      <w:jc w:val="both"/>
    </w:pPr>
  </w:style>
  <w:style w:type="paragraph" w:styleId="NormalWeb">
    <w:name w:val="Normal (Web)"/>
    <w:basedOn w:val="Normal"/>
    <w:uiPriority w:val="99"/>
    <w:unhideWhenUsed/>
    <w:rsid w:val="008B6762"/>
    <w:pPr>
      <w:spacing w:before="100" w:beforeAutospacing="1" w:after="100" w:afterAutospacing="1" w:line="240" w:lineRule="auto"/>
    </w:pPr>
    <w:rPr>
      <w:rFonts w:ascii="Times" w:eastAsia="MS Mincho"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37300">
      <w:bodyDiv w:val="1"/>
      <w:marLeft w:val="0"/>
      <w:marRight w:val="0"/>
      <w:marTop w:val="0"/>
      <w:marBottom w:val="0"/>
      <w:divBdr>
        <w:top w:val="none" w:sz="0" w:space="0" w:color="auto"/>
        <w:left w:val="none" w:sz="0" w:space="0" w:color="auto"/>
        <w:bottom w:val="none" w:sz="0" w:space="0" w:color="auto"/>
        <w:right w:val="none" w:sz="0" w:space="0" w:color="auto"/>
      </w:divBdr>
    </w:div>
    <w:div w:id="596257515">
      <w:bodyDiv w:val="1"/>
      <w:marLeft w:val="0"/>
      <w:marRight w:val="0"/>
      <w:marTop w:val="0"/>
      <w:marBottom w:val="0"/>
      <w:divBdr>
        <w:top w:val="none" w:sz="0" w:space="0" w:color="auto"/>
        <w:left w:val="none" w:sz="0" w:space="0" w:color="auto"/>
        <w:bottom w:val="none" w:sz="0" w:space="0" w:color="auto"/>
        <w:right w:val="none" w:sz="0" w:space="0" w:color="auto"/>
      </w:divBdr>
    </w:div>
    <w:div w:id="970595258">
      <w:bodyDiv w:val="1"/>
      <w:marLeft w:val="0"/>
      <w:marRight w:val="0"/>
      <w:marTop w:val="0"/>
      <w:marBottom w:val="0"/>
      <w:divBdr>
        <w:top w:val="none" w:sz="0" w:space="0" w:color="auto"/>
        <w:left w:val="none" w:sz="0" w:space="0" w:color="auto"/>
        <w:bottom w:val="none" w:sz="0" w:space="0" w:color="auto"/>
        <w:right w:val="none" w:sz="0" w:space="0" w:color="auto"/>
      </w:divBdr>
      <w:divsChild>
        <w:div w:id="962884978">
          <w:marLeft w:val="0"/>
          <w:marRight w:val="0"/>
          <w:marTop w:val="0"/>
          <w:marBottom w:val="0"/>
          <w:divBdr>
            <w:top w:val="none" w:sz="0" w:space="0" w:color="auto"/>
            <w:left w:val="none" w:sz="0" w:space="0" w:color="auto"/>
            <w:bottom w:val="none" w:sz="0" w:space="0" w:color="auto"/>
            <w:right w:val="none" w:sz="0" w:space="0" w:color="auto"/>
          </w:divBdr>
          <w:divsChild>
            <w:div w:id="826477166">
              <w:marLeft w:val="0"/>
              <w:marRight w:val="0"/>
              <w:marTop w:val="0"/>
              <w:marBottom w:val="0"/>
              <w:divBdr>
                <w:top w:val="none" w:sz="0" w:space="0" w:color="auto"/>
                <w:left w:val="none" w:sz="0" w:space="0" w:color="auto"/>
                <w:bottom w:val="none" w:sz="0" w:space="0" w:color="auto"/>
                <w:right w:val="none" w:sz="0" w:space="0" w:color="auto"/>
              </w:divBdr>
              <w:divsChild>
                <w:div w:id="9752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202222">
      <w:bodyDiv w:val="1"/>
      <w:marLeft w:val="0"/>
      <w:marRight w:val="0"/>
      <w:marTop w:val="0"/>
      <w:marBottom w:val="0"/>
      <w:divBdr>
        <w:top w:val="none" w:sz="0" w:space="0" w:color="auto"/>
        <w:left w:val="none" w:sz="0" w:space="0" w:color="auto"/>
        <w:bottom w:val="none" w:sz="0" w:space="0" w:color="auto"/>
        <w:right w:val="none" w:sz="0" w:space="0" w:color="auto"/>
      </w:divBdr>
    </w:div>
    <w:div w:id="213051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saij.gob.ar/corte-interamericana-derechos-humanos-internacional-san-jose-costa-rica-memoli-argentina-fa13974151-2013-08-22/123456789-151-4793-1ots-eupmocsollaf?&amp;o=5&amp;f=Total%7CTipo%20de%20Documento%7CFecha%7CTema%5B5%2C1%5D%7COrganismo%5B5%2C1%5D%7CAutor%5B5%2C1%5D%7CEstado%20de%20Vigencia%5B5%2C1%5D%7CJurisdicci%F3n%5B5%2C1%5D%7CTribunal%5B5%2C1%5D%7CPublicaci%F3n%5B5%2C1%5D%7CColecci%F3n%20tem%E1tica%5B5%2C1%5D&amp;t=7" TargetMode="External"/><Relationship Id="rId2" Type="http://schemas.openxmlformats.org/officeDocument/2006/relationships/hyperlink" Target="http://www.infojus.gob.ar" TargetMode="External"/><Relationship Id="rId1" Type="http://schemas.openxmlformats.org/officeDocument/2006/relationships/hyperlink" Target="http://www.corteidh.or.cr/docs/casos/articulos/seriec_265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83770-B728-43E7-8E95-0D738B4B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2936</Words>
  <Characters>16154</Characters>
  <Application>Microsoft Office Word</Application>
  <DocSecurity>0</DocSecurity>
  <Lines>134</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19052</CharactersWithSpaces>
  <SharedDoc>false</SharedDoc>
  <HLinks>
    <vt:vector size="42" baseType="variant">
      <vt:variant>
        <vt:i4>1441840</vt:i4>
      </vt:variant>
      <vt:variant>
        <vt:i4>20</vt:i4>
      </vt:variant>
      <vt:variant>
        <vt:i4>0</vt:i4>
      </vt:variant>
      <vt:variant>
        <vt:i4>5</vt:i4>
      </vt:variant>
      <vt:variant>
        <vt:lpwstr/>
      </vt:variant>
      <vt:variant>
        <vt:lpwstr>_Toc473708794</vt:lpwstr>
      </vt:variant>
      <vt:variant>
        <vt:i4>1441840</vt:i4>
      </vt:variant>
      <vt:variant>
        <vt:i4>14</vt:i4>
      </vt:variant>
      <vt:variant>
        <vt:i4>0</vt:i4>
      </vt:variant>
      <vt:variant>
        <vt:i4>5</vt:i4>
      </vt:variant>
      <vt:variant>
        <vt:lpwstr/>
      </vt:variant>
      <vt:variant>
        <vt:lpwstr>_Toc473708793</vt:lpwstr>
      </vt:variant>
      <vt:variant>
        <vt:i4>1441840</vt:i4>
      </vt:variant>
      <vt:variant>
        <vt:i4>8</vt:i4>
      </vt:variant>
      <vt:variant>
        <vt:i4>0</vt:i4>
      </vt:variant>
      <vt:variant>
        <vt:i4>5</vt:i4>
      </vt:variant>
      <vt:variant>
        <vt:lpwstr/>
      </vt:variant>
      <vt:variant>
        <vt:lpwstr>_Toc473708792</vt:lpwstr>
      </vt:variant>
      <vt:variant>
        <vt:i4>1441840</vt:i4>
      </vt:variant>
      <vt:variant>
        <vt:i4>2</vt:i4>
      </vt:variant>
      <vt:variant>
        <vt:i4>0</vt:i4>
      </vt:variant>
      <vt:variant>
        <vt:i4>5</vt:i4>
      </vt:variant>
      <vt:variant>
        <vt:lpwstr/>
      </vt:variant>
      <vt:variant>
        <vt:lpwstr>_Toc473708791</vt:lpwstr>
      </vt:variant>
      <vt:variant>
        <vt:i4>7667813</vt:i4>
      </vt:variant>
      <vt:variant>
        <vt:i4>6</vt:i4>
      </vt:variant>
      <vt:variant>
        <vt:i4>0</vt:i4>
      </vt:variant>
      <vt:variant>
        <vt:i4>5</vt:i4>
      </vt:variant>
      <vt:variant>
        <vt:lpwstr>http://www.saij.gob.ar/corte-interamericana-derechos-humanos-internacional-san-jose-costa-rica-memoli-argentina-fa13974151-2013-08-22/123456789-151-4793-1ots-eupmocsollaf?&amp;o=5&amp;f=Total%7CTipo%20de%20Documento%7CFecha%7CTema%5B5%2C1%5D%7COrganismo%5B5%2C1%5D%7CAutor%5B5%2C1%5D%7CEstado%20de%20Vigencia%5B5%2C1%5D%7CJurisdicci%F3n%5B5%2C1%5D%7CTribunal%5B5%2C1%5D%7CPublicaci%F3n%5B5%2C1%5D%7CColecci%F3n%20tem%E1tica%5B5%2C1%5D&amp;t=7</vt:lpwstr>
      </vt:variant>
      <vt:variant>
        <vt:lpwstr/>
      </vt:variant>
      <vt:variant>
        <vt:i4>7733305</vt:i4>
      </vt:variant>
      <vt:variant>
        <vt:i4>3</vt:i4>
      </vt:variant>
      <vt:variant>
        <vt:i4>0</vt:i4>
      </vt:variant>
      <vt:variant>
        <vt:i4>5</vt:i4>
      </vt:variant>
      <vt:variant>
        <vt:lpwstr>http://www.infojus.gob.ar/</vt:lpwstr>
      </vt:variant>
      <vt:variant>
        <vt:lpwstr/>
      </vt:variant>
      <vt:variant>
        <vt:i4>5636179</vt:i4>
      </vt:variant>
      <vt:variant>
        <vt:i4>0</vt:i4>
      </vt:variant>
      <vt:variant>
        <vt:i4>0</vt:i4>
      </vt:variant>
      <vt:variant>
        <vt:i4>5</vt:i4>
      </vt:variant>
      <vt:variant>
        <vt:lpwstr>http://www.corteidh.or.cr/docs/casos/articulos/seriec_265_esp.pdf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2017-05-23T22:36:00Z</cp:lastPrinted>
  <dcterms:created xsi:type="dcterms:W3CDTF">2017-05-23T22:36:00Z</dcterms:created>
  <dcterms:modified xsi:type="dcterms:W3CDTF">2017-05-23T22:36:00Z</dcterms:modified>
</cp:coreProperties>
</file>