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15F" w:rsidRPr="00C43B1D" w:rsidRDefault="0075315F" w:rsidP="00C62DC3">
      <w:pPr>
        <w:tabs>
          <w:tab w:val="left" w:pos="567"/>
        </w:tabs>
        <w:spacing w:after="0" w:line="240" w:lineRule="auto"/>
        <w:jc w:val="center"/>
        <w:rPr>
          <w:rFonts w:ascii="Verdana" w:eastAsia="Times New Roman" w:hAnsi="Verdana" w:cs="Verdana"/>
          <w:b/>
          <w:bCs/>
          <w:caps/>
          <w:snapToGrid w:val="0"/>
          <w:sz w:val="20"/>
          <w:szCs w:val="20"/>
          <w:lang w:eastAsia="es-ES"/>
        </w:rPr>
      </w:pPr>
      <w:r w:rsidRPr="00C43B1D">
        <w:rPr>
          <w:rFonts w:ascii="Verdana" w:eastAsia="Times New Roman" w:hAnsi="Verdana" w:cs="Verdana"/>
          <w:b/>
          <w:bCs/>
          <w:caps/>
          <w:snapToGrid w:val="0"/>
          <w:sz w:val="20"/>
          <w:szCs w:val="20"/>
          <w:lang w:eastAsia="es-ES"/>
        </w:rPr>
        <w:t>Corte Interamericana de Derechos Humanos</w:t>
      </w:r>
    </w:p>
    <w:p w:rsidR="008879AA" w:rsidRPr="00C43B1D" w:rsidRDefault="008879AA" w:rsidP="00C62DC3">
      <w:pPr>
        <w:tabs>
          <w:tab w:val="left" w:pos="567"/>
        </w:tabs>
        <w:spacing w:after="0" w:line="240" w:lineRule="auto"/>
        <w:jc w:val="center"/>
        <w:rPr>
          <w:rFonts w:ascii="Verdana" w:eastAsia="Times New Roman" w:hAnsi="Verdana" w:cs="Verdana"/>
          <w:b/>
          <w:bCs/>
          <w:caps/>
          <w:snapToGrid w:val="0"/>
          <w:sz w:val="20"/>
          <w:szCs w:val="20"/>
          <w:lang w:eastAsia="es-ES"/>
        </w:rPr>
      </w:pPr>
    </w:p>
    <w:p w:rsidR="00D253AC" w:rsidRPr="00C43B1D" w:rsidRDefault="00D253AC" w:rsidP="00C62DC3">
      <w:pPr>
        <w:spacing w:after="0" w:line="240" w:lineRule="auto"/>
        <w:jc w:val="center"/>
        <w:rPr>
          <w:rFonts w:ascii="Verdana" w:hAnsi="Verdana"/>
          <w:b/>
          <w:smallCaps/>
          <w:sz w:val="20"/>
        </w:rPr>
      </w:pPr>
      <w:r w:rsidRPr="00C43B1D">
        <w:rPr>
          <w:rFonts w:ascii="Verdana" w:hAnsi="Verdana"/>
          <w:b/>
          <w:smallCaps/>
          <w:sz w:val="20"/>
        </w:rPr>
        <w:t xml:space="preserve">CASO </w:t>
      </w:r>
      <w:r w:rsidR="00123F96" w:rsidRPr="00C43B1D">
        <w:rPr>
          <w:rFonts w:ascii="Verdana" w:hAnsi="Verdana"/>
          <w:b/>
          <w:smallCaps/>
          <w:sz w:val="20"/>
        </w:rPr>
        <w:t>ARGÜELLES Y OTROS VS. ARGENTINA</w:t>
      </w:r>
    </w:p>
    <w:p w:rsidR="008879AA" w:rsidRPr="00C43B1D" w:rsidRDefault="008879AA" w:rsidP="00C62DC3">
      <w:pPr>
        <w:tabs>
          <w:tab w:val="left" w:pos="0"/>
          <w:tab w:val="left" w:pos="567"/>
        </w:tabs>
        <w:spacing w:after="0" w:line="240" w:lineRule="auto"/>
        <w:jc w:val="center"/>
        <w:rPr>
          <w:rFonts w:ascii="Verdana" w:eastAsia="Times New Roman" w:hAnsi="Verdana" w:cs="Verdana"/>
          <w:b/>
          <w:bCs/>
          <w:snapToGrid w:val="0"/>
          <w:sz w:val="20"/>
          <w:szCs w:val="20"/>
          <w:lang w:eastAsia="es-ES"/>
        </w:rPr>
      </w:pPr>
    </w:p>
    <w:p w:rsidR="00935358" w:rsidRPr="00C43B1D" w:rsidRDefault="00935358" w:rsidP="00C62DC3">
      <w:pPr>
        <w:tabs>
          <w:tab w:val="left" w:pos="0"/>
          <w:tab w:val="left" w:pos="567"/>
        </w:tabs>
        <w:spacing w:after="0" w:line="240" w:lineRule="auto"/>
        <w:jc w:val="center"/>
        <w:rPr>
          <w:rFonts w:ascii="Verdana" w:eastAsia="Times New Roman" w:hAnsi="Verdana"/>
          <w:b/>
          <w:bCs/>
          <w:caps/>
          <w:snapToGrid w:val="0"/>
          <w:sz w:val="20"/>
          <w:szCs w:val="20"/>
          <w:lang w:eastAsia="es-ES"/>
        </w:rPr>
      </w:pPr>
      <w:r w:rsidRPr="00C43B1D">
        <w:rPr>
          <w:rFonts w:ascii="Verdana" w:eastAsia="Times New Roman" w:hAnsi="Verdana" w:cs="Verdana"/>
          <w:b/>
          <w:bCs/>
          <w:snapToGrid w:val="0"/>
          <w:sz w:val="20"/>
          <w:szCs w:val="20"/>
          <w:lang w:eastAsia="es-ES"/>
        </w:rPr>
        <w:t xml:space="preserve">SENTENCIA DE </w:t>
      </w:r>
      <w:r w:rsidR="008D1D45">
        <w:rPr>
          <w:rFonts w:ascii="Verdana" w:eastAsia="Times New Roman" w:hAnsi="Verdana" w:cs="Verdana"/>
          <w:b/>
          <w:bCs/>
          <w:snapToGrid w:val="0"/>
          <w:sz w:val="20"/>
          <w:szCs w:val="20"/>
          <w:lang w:eastAsia="es-ES"/>
        </w:rPr>
        <w:t>23</w:t>
      </w:r>
      <w:r w:rsidR="008D1D45" w:rsidRPr="00C43B1D">
        <w:rPr>
          <w:rFonts w:ascii="Verdana" w:eastAsia="Times New Roman" w:hAnsi="Verdana" w:cs="Verdana"/>
          <w:b/>
          <w:bCs/>
          <w:snapToGrid w:val="0"/>
          <w:sz w:val="20"/>
          <w:szCs w:val="20"/>
          <w:lang w:eastAsia="es-ES"/>
        </w:rPr>
        <w:t xml:space="preserve"> </w:t>
      </w:r>
      <w:r w:rsidR="00123F96" w:rsidRPr="00C43B1D">
        <w:rPr>
          <w:rFonts w:ascii="Verdana" w:eastAsia="Times New Roman" w:hAnsi="Verdana" w:cs="Verdana"/>
          <w:b/>
          <w:bCs/>
          <w:snapToGrid w:val="0"/>
          <w:sz w:val="20"/>
          <w:szCs w:val="20"/>
          <w:lang w:eastAsia="es-ES"/>
        </w:rPr>
        <w:t xml:space="preserve">DE </w:t>
      </w:r>
      <w:r w:rsidR="008D1D45">
        <w:rPr>
          <w:rFonts w:ascii="Verdana" w:eastAsia="Times New Roman" w:hAnsi="Verdana" w:cs="Verdana"/>
          <w:b/>
          <w:bCs/>
          <w:snapToGrid w:val="0"/>
          <w:sz w:val="20"/>
          <w:szCs w:val="20"/>
          <w:lang w:eastAsia="es-ES"/>
        </w:rPr>
        <w:t>JUNIO</w:t>
      </w:r>
      <w:r w:rsidR="008D1D45" w:rsidRPr="00C43B1D">
        <w:rPr>
          <w:rFonts w:ascii="Verdana" w:eastAsia="Times New Roman" w:hAnsi="Verdana" w:cs="Verdana"/>
          <w:b/>
          <w:bCs/>
          <w:snapToGrid w:val="0"/>
          <w:sz w:val="20"/>
          <w:szCs w:val="20"/>
          <w:lang w:eastAsia="es-ES"/>
        </w:rPr>
        <w:t xml:space="preserve"> </w:t>
      </w:r>
      <w:r w:rsidRPr="00C43B1D">
        <w:rPr>
          <w:rFonts w:ascii="Verdana" w:eastAsia="Times New Roman" w:hAnsi="Verdana" w:cs="Verdana"/>
          <w:b/>
          <w:bCs/>
          <w:snapToGrid w:val="0"/>
          <w:sz w:val="20"/>
          <w:szCs w:val="20"/>
          <w:lang w:eastAsia="es-ES"/>
        </w:rPr>
        <w:t>DE 201</w:t>
      </w:r>
      <w:r w:rsidR="00123F96" w:rsidRPr="00C43B1D">
        <w:rPr>
          <w:rFonts w:ascii="Verdana" w:eastAsia="Times New Roman" w:hAnsi="Verdana" w:cs="Verdana"/>
          <w:b/>
          <w:bCs/>
          <w:snapToGrid w:val="0"/>
          <w:sz w:val="20"/>
          <w:szCs w:val="20"/>
          <w:lang w:eastAsia="es-ES"/>
        </w:rPr>
        <w:t>5</w:t>
      </w:r>
    </w:p>
    <w:p w:rsidR="00D253AC" w:rsidRPr="00C43B1D" w:rsidRDefault="00935358" w:rsidP="00C62DC3">
      <w:pPr>
        <w:tabs>
          <w:tab w:val="left" w:pos="567"/>
        </w:tabs>
        <w:spacing w:after="0" w:line="240" w:lineRule="auto"/>
        <w:jc w:val="center"/>
        <w:rPr>
          <w:rFonts w:ascii="Verdana" w:eastAsia="Times New Roman" w:hAnsi="Verdana"/>
          <w:sz w:val="20"/>
          <w:szCs w:val="20"/>
        </w:rPr>
      </w:pPr>
      <w:r w:rsidRPr="00C43B1D">
        <w:rPr>
          <w:rFonts w:ascii="Verdana" w:eastAsia="Times New Roman" w:hAnsi="Verdana" w:cs="Verdana"/>
          <w:b/>
          <w:bCs/>
          <w:i/>
          <w:iCs/>
          <w:snapToGrid w:val="0"/>
          <w:sz w:val="20"/>
          <w:szCs w:val="20"/>
          <w:lang w:eastAsia="es-ES"/>
        </w:rPr>
        <w:t>(</w:t>
      </w:r>
      <w:r w:rsidR="00C97C53" w:rsidRPr="00C43B1D">
        <w:rPr>
          <w:rFonts w:ascii="Verdana" w:eastAsia="Times New Roman" w:hAnsi="Verdana" w:cs="Verdana"/>
          <w:b/>
          <w:bCs/>
          <w:i/>
          <w:iCs/>
          <w:snapToGrid w:val="0"/>
          <w:sz w:val="20"/>
          <w:szCs w:val="20"/>
          <w:lang w:eastAsia="es-ES"/>
        </w:rPr>
        <w:t xml:space="preserve">Interpretación de la Sentencia </w:t>
      </w:r>
      <w:r w:rsidR="00D253AC" w:rsidRPr="00C43B1D">
        <w:rPr>
          <w:rFonts w:ascii="Verdana" w:eastAsia="Times New Roman" w:hAnsi="Verdana" w:cs="Verdana"/>
          <w:b/>
          <w:bCs/>
          <w:i/>
          <w:iCs/>
          <w:snapToGrid w:val="0"/>
          <w:sz w:val="20"/>
          <w:szCs w:val="20"/>
          <w:lang w:eastAsia="es-ES"/>
        </w:rPr>
        <w:t xml:space="preserve">de </w:t>
      </w:r>
      <w:r w:rsidR="00D253AC" w:rsidRPr="00C43B1D">
        <w:rPr>
          <w:rFonts w:ascii="Verdana" w:hAnsi="Verdana"/>
          <w:b/>
          <w:i/>
          <w:snapToGrid w:val="0"/>
          <w:sz w:val="20"/>
          <w:szCs w:val="20"/>
        </w:rPr>
        <w:t>Excepción Preliminar, Fondo, Reparaciones y Costas</w:t>
      </w:r>
      <w:r w:rsidR="00D253AC" w:rsidRPr="00C43B1D">
        <w:rPr>
          <w:rFonts w:ascii="Verdana" w:hAnsi="Verdana"/>
          <w:b/>
          <w:i/>
          <w:caps/>
          <w:snapToGrid w:val="0"/>
          <w:sz w:val="20"/>
          <w:szCs w:val="20"/>
        </w:rPr>
        <w:t>)</w:t>
      </w:r>
    </w:p>
    <w:p w:rsidR="00F9710A" w:rsidRPr="00C43B1D" w:rsidRDefault="00F9710A" w:rsidP="00C62DC3">
      <w:pPr>
        <w:tabs>
          <w:tab w:val="left" w:pos="567"/>
          <w:tab w:val="left" w:pos="720"/>
        </w:tabs>
        <w:spacing w:after="0" w:line="240" w:lineRule="auto"/>
        <w:jc w:val="both"/>
        <w:rPr>
          <w:rFonts w:ascii="Verdana" w:eastAsia="Times New Roman" w:hAnsi="Verdana"/>
          <w:sz w:val="20"/>
          <w:szCs w:val="20"/>
        </w:rPr>
      </w:pPr>
    </w:p>
    <w:p w:rsidR="003C67B7" w:rsidRPr="00C43B1D" w:rsidRDefault="003C67B7" w:rsidP="00C62DC3">
      <w:pPr>
        <w:spacing w:after="0" w:line="240" w:lineRule="auto"/>
        <w:rPr>
          <w:rFonts w:ascii="Verdana" w:hAnsi="Verdana"/>
          <w:sz w:val="20"/>
          <w:szCs w:val="20"/>
          <w:highlight w:val="yellow"/>
        </w:rPr>
      </w:pPr>
    </w:p>
    <w:p w:rsidR="008D430D" w:rsidRPr="00C43B1D" w:rsidRDefault="008D430D" w:rsidP="00C62DC3">
      <w:pPr>
        <w:spacing w:after="0" w:line="240" w:lineRule="auto"/>
        <w:rPr>
          <w:rFonts w:ascii="Verdana" w:hAnsi="Verdana"/>
          <w:sz w:val="20"/>
          <w:szCs w:val="20"/>
          <w:highlight w:val="yellow"/>
        </w:rPr>
      </w:pPr>
    </w:p>
    <w:p w:rsidR="003C67B7" w:rsidRPr="00C43B1D" w:rsidRDefault="003C67B7" w:rsidP="00C62DC3">
      <w:pPr>
        <w:spacing w:after="0" w:line="240" w:lineRule="auto"/>
        <w:rPr>
          <w:rFonts w:ascii="Verdana" w:hAnsi="Verdana"/>
          <w:sz w:val="20"/>
          <w:szCs w:val="20"/>
        </w:rPr>
      </w:pPr>
      <w:r w:rsidRPr="00C43B1D">
        <w:rPr>
          <w:rFonts w:ascii="Verdana" w:hAnsi="Verdana"/>
          <w:sz w:val="20"/>
          <w:szCs w:val="20"/>
        </w:rPr>
        <w:t xml:space="preserve">En el caso </w:t>
      </w:r>
      <w:r w:rsidR="00123F96" w:rsidRPr="00C43B1D">
        <w:rPr>
          <w:rFonts w:ascii="Verdana" w:hAnsi="Verdana"/>
          <w:sz w:val="20"/>
          <w:szCs w:val="20"/>
        </w:rPr>
        <w:t>Argüelles y otros Vs. Argentina</w:t>
      </w:r>
      <w:r w:rsidRPr="00C43B1D">
        <w:rPr>
          <w:rFonts w:ascii="Verdana" w:hAnsi="Verdana"/>
          <w:sz w:val="20"/>
          <w:szCs w:val="20"/>
        </w:rPr>
        <w:t>,</w:t>
      </w:r>
      <w:r w:rsidRPr="00C43B1D">
        <w:rPr>
          <w:rFonts w:ascii="Verdana" w:hAnsi="Verdana"/>
          <w:sz w:val="20"/>
          <w:szCs w:val="20"/>
        </w:rPr>
        <w:tab/>
      </w:r>
    </w:p>
    <w:p w:rsidR="003C67B7" w:rsidRPr="00C43B1D" w:rsidRDefault="003C67B7" w:rsidP="00C62DC3">
      <w:pPr>
        <w:tabs>
          <w:tab w:val="left" w:pos="851"/>
        </w:tabs>
        <w:spacing w:after="0" w:line="240" w:lineRule="auto"/>
        <w:rPr>
          <w:rFonts w:ascii="Verdana" w:hAnsi="Verdana"/>
          <w:sz w:val="20"/>
          <w:szCs w:val="20"/>
        </w:rPr>
      </w:pPr>
    </w:p>
    <w:p w:rsidR="003C67B7" w:rsidRPr="00C43B1D" w:rsidRDefault="0024346E" w:rsidP="00C62DC3">
      <w:pPr>
        <w:tabs>
          <w:tab w:val="left" w:pos="851"/>
        </w:tabs>
        <w:spacing w:after="0" w:line="240" w:lineRule="auto"/>
        <w:rPr>
          <w:rFonts w:ascii="Verdana" w:hAnsi="Verdana"/>
          <w:sz w:val="20"/>
          <w:szCs w:val="20"/>
        </w:rPr>
      </w:pPr>
      <w:proofErr w:type="gramStart"/>
      <w:r w:rsidRPr="00C43B1D">
        <w:rPr>
          <w:rFonts w:ascii="Verdana" w:hAnsi="Verdana"/>
          <w:sz w:val="20"/>
          <w:szCs w:val="20"/>
        </w:rPr>
        <w:t>l</w:t>
      </w:r>
      <w:r w:rsidR="003C67B7" w:rsidRPr="00C43B1D">
        <w:rPr>
          <w:rFonts w:ascii="Verdana" w:hAnsi="Verdana"/>
          <w:sz w:val="20"/>
          <w:szCs w:val="20"/>
        </w:rPr>
        <w:t>a</w:t>
      </w:r>
      <w:proofErr w:type="gramEnd"/>
      <w:r w:rsidR="003C67B7" w:rsidRPr="00C43B1D">
        <w:rPr>
          <w:rFonts w:ascii="Verdana" w:hAnsi="Verdana"/>
          <w:sz w:val="20"/>
          <w:szCs w:val="20"/>
        </w:rPr>
        <w:t xml:space="preserve"> Corte Interamericana de Derechos Humanos (en adelante “la Corte Interamericana”, “la Corte” o “el Tribunal”), integrada por los siguientes jueces</w:t>
      </w:r>
      <w:r w:rsidR="00E761FE" w:rsidRPr="00C43B1D">
        <w:rPr>
          <w:rStyle w:val="Refdenotaalpie"/>
          <w:rFonts w:ascii="Verdana" w:hAnsi="Verdana"/>
          <w:sz w:val="20"/>
          <w:szCs w:val="20"/>
        </w:rPr>
        <w:footnoteReference w:id="1"/>
      </w:r>
      <w:r w:rsidR="003C67B7" w:rsidRPr="00C43B1D">
        <w:rPr>
          <w:rFonts w:ascii="Verdana" w:hAnsi="Verdana"/>
          <w:sz w:val="20"/>
          <w:szCs w:val="20"/>
        </w:rPr>
        <w:t>:</w:t>
      </w:r>
    </w:p>
    <w:p w:rsidR="003C67B7" w:rsidRPr="00C43B1D" w:rsidRDefault="003C67B7" w:rsidP="00C62DC3">
      <w:pPr>
        <w:tabs>
          <w:tab w:val="left" w:pos="851"/>
        </w:tabs>
        <w:spacing w:after="0" w:line="240" w:lineRule="auto"/>
        <w:rPr>
          <w:rFonts w:ascii="Verdana" w:hAnsi="Verdana"/>
          <w:sz w:val="20"/>
          <w:szCs w:val="20"/>
        </w:rPr>
      </w:pPr>
    </w:p>
    <w:p w:rsidR="00E761FE" w:rsidRPr="00C43B1D" w:rsidRDefault="00E761FE" w:rsidP="00C62DC3">
      <w:pPr>
        <w:spacing w:after="0" w:line="240" w:lineRule="auto"/>
        <w:ind w:firstLine="720"/>
        <w:jc w:val="both"/>
        <w:rPr>
          <w:rFonts w:ascii="Verdana" w:hAnsi="Verdana" w:cs="Verdana"/>
          <w:sz w:val="20"/>
          <w:szCs w:val="20"/>
          <w:lang w:val="es-AR"/>
        </w:rPr>
      </w:pPr>
      <w:r w:rsidRPr="00C43B1D">
        <w:rPr>
          <w:rFonts w:ascii="Verdana" w:hAnsi="Verdana" w:cs="Verdana"/>
          <w:sz w:val="20"/>
          <w:szCs w:val="20"/>
          <w:lang w:val="es-AR"/>
        </w:rPr>
        <w:t>Humberto Antonio Sierra Porto, Presidente;</w:t>
      </w:r>
    </w:p>
    <w:p w:rsidR="00E761FE" w:rsidRPr="00C43B1D" w:rsidRDefault="00E761FE" w:rsidP="00C62DC3">
      <w:pPr>
        <w:spacing w:after="0" w:line="240" w:lineRule="auto"/>
        <w:ind w:firstLine="720"/>
        <w:jc w:val="both"/>
        <w:rPr>
          <w:rFonts w:ascii="Verdana" w:hAnsi="Verdana" w:cs="Verdana"/>
          <w:sz w:val="20"/>
          <w:szCs w:val="20"/>
          <w:lang w:val="es-AR"/>
        </w:rPr>
      </w:pPr>
      <w:r w:rsidRPr="00C43B1D">
        <w:rPr>
          <w:rFonts w:ascii="Verdana" w:hAnsi="Verdana" w:cs="Verdana"/>
          <w:sz w:val="20"/>
          <w:szCs w:val="20"/>
          <w:lang w:val="es-AR"/>
        </w:rPr>
        <w:t>Roberto F. Caldas, Vicepresidente;</w:t>
      </w:r>
    </w:p>
    <w:p w:rsidR="00E761FE" w:rsidRPr="00C43B1D" w:rsidRDefault="00E761FE" w:rsidP="00C62DC3">
      <w:pPr>
        <w:spacing w:after="0" w:line="240" w:lineRule="auto"/>
        <w:ind w:firstLine="720"/>
        <w:jc w:val="both"/>
        <w:rPr>
          <w:rFonts w:ascii="Verdana" w:hAnsi="Verdana" w:cs="Verdana"/>
          <w:sz w:val="20"/>
          <w:szCs w:val="20"/>
          <w:lang w:val="es-AR"/>
        </w:rPr>
      </w:pPr>
      <w:r w:rsidRPr="00C43B1D">
        <w:rPr>
          <w:rFonts w:ascii="Verdana" w:hAnsi="Verdana" w:cs="Verdana"/>
          <w:sz w:val="20"/>
          <w:szCs w:val="20"/>
          <w:lang w:val="es-AR"/>
        </w:rPr>
        <w:t>Manuel E. Ventura Robles, Juez;</w:t>
      </w:r>
    </w:p>
    <w:p w:rsidR="00E761FE" w:rsidRPr="00C43B1D" w:rsidRDefault="008879AA" w:rsidP="00C62DC3">
      <w:pPr>
        <w:spacing w:after="0" w:line="240" w:lineRule="auto"/>
        <w:ind w:firstLine="720"/>
        <w:jc w:val="both"/>
        <w:rPr>
          <w:rFonts w:ascii="Verdana" w:hAnsi="Verdana" w:cs="Verdana"/>
          <w:sz w:val="20"/>
          <w:szCs w:val="20"/>
        </w:rPr>
      </w:pPr>
      <w:r w:rsidRPr="00C43B1D">
        <w:rPr>
          <w:rFonts w:ascii="Verdana" w:hAnsi="Verdana" w:cs="Verdana"/>
          <w:sz w:val="20"/>
          <w:szCs w:val="20"/>
        </w:rPr>
        <w:t>Eduardo Vio Grossi, Juez,</w:t>
      </w:r>
      <w:r w:rsidR="00E761FE" w:rsidRPr="00C43B1D">
        <w:rPr>
          <w:rFonts w:ascii="Verdana" w:hAnsi="Verdana" w:cs="Verdana"/>
          <w:sz w:val="20"/>
          <w:szCs w:val="20"/>
        </w:rPr>
        <w:t xml:space="preserve"> y</w:t>
      </w:r>
    </w:p>
    <w:p w:rsidR="00E761FE" w:rsidRPr="00C43B1D" w:rsidRDefault="00E761FE" w:rsidP="00C62DC3">
      <w:pPr>
        <w:spacing w:after="0" w:line="240" w:lineRule="auto"/>
        <w:ind w:firstLine="720"/>
        <w:jc w:val="both"/>
        <w:rPr>
          <w:rFonts w:ascii="Verdana" w:hAnsi="Verdana" w:cs="Verdana"/>
          <w:i/>
          <w:sz w:val="20"/>
          <w:szCs w:val="20"/>
          <w:lang w:val="pt-BR"/>
        </w:rPr>
      </w:pPr>
      <w:r w:rsidRPr="00C43B1D">
        <w:rPr>
          <w:rFonts w:ascii="Verdana" w:hAnsi="Verdana" w:cs="Verdana"/>
          <w:sz w:val="20"/>
          <w:szCs w:val="20"/>
          <w:lang w:val="pt-BR"/>
        </w:rPr>
        <w:t>Eduardo Ferrer Mac-Gregor Poisot, Juez;</w:t>
      </w:r>
    </w:p>
    <w:p w:rsidR="003C67B7" w:rsidRPr="00C43B1D" w:rsidRDefault="003C67B7" w:rsidP="00C62DC3">
      <w:pPr>
        <w:tabs>
          <w:tab w:val="left" w:pos="851"/>
        </w:tabs>
        <w:spacing w:after="0" w:line="240" w:lineRule="auto"/>
        <w:rPr>
          <w:rFonts w:ascii="Verdana" w:hAnsi="Verdana"/>
          <w:sz w:val="20"/>
          <w:szCs w:val="20"/>
        </w:rPr>
      </w:pPr>
    </w:p>
    <w:p w:rsidR="003C67B7" w:rsidRPr="00C43B1D" w:rsidRDefault="003C67B7" w:rsidP="00C62DC3">
      <w:pPr>
        <w:tabs>
          <w:tab w:val="left" w:pos="851"/>
        </w:tabs>
        <w:spacing w:after="0" w:line="240" w:lineRule="auto"/>
        <w:rPr>
          <w:rFonts w:ascii="Verdana" w:hAnsi="Verdana"/>
          <w:sz w:val="20"/>
          <w:szCs w:val="20"/>
        </w:rPr>
      </w:pPr>
      <w:proofErr w:type="gramStart"/>
      <w:r w:rsidRPr="00C43B1D">
        <w:rPr>
          <w:rFonts w:ascii="Verdana" w:hAnsi="Verdana"/>
          <w:sz w:val="20"/>
          <w:szCs w:val="20"/>
        </w:rPr>
        <w:t>presentes</w:t>
      </w:r>
      <w:proofErr w:type="gramEnd"/>
      <w:r w:rsidRPr="00C43B1D">
        <w:rPr>
          <w:rFonts w:ascii="Verdana" w:hAnsi="Verdana"/>
          <w:sz w:val="20"/>
          <w:szCs w:val="20"/>
        </w:rPr>
        <w:t xml:space="preserve"> además, </w:t>
      </w:r>
    </w:p>
    <w:p w:rsidR="003C67B7" w:rsidRPr="00C43B1D" w:rsidRDefault="003C67B7" w:rsidP="00C62DC3">
      <w:pPr>
        <w:tabs>
          <w:tab w:val="left" w:pos="851"/>
        </w:tabs>
        <w:spacing w:after="0" w:line="240" w:lineRule="auto"/>
        <w:rPr>
          <w:rFonts w:ascii="Verdana" w:hAnsi="Verdana"/>
          <w:sz w:val="20"/>
          <w:szCs w:val="20"/>
        </w:rPr>
      </w:pPr>
    </w:p>
    <w:p w:rsidR="003C67B7" w:rsidRPr="00C43B1D" w:rsidRDefault="003C67B7" w:rsidP="00C62DC3">
      <w:pPr>
        <w:spacing w:after="0" w:line="240" w:lineRule="auto"/>
        <w:rPr>
          <w:rFonts w:ascii="Verdana" w:hAnsi="Verdana"/>
          <w:sz w:val="20"/>
          <w:szCs w:val="20"/>
        </w:rPr>
      </w:pPr>
      <w:r w:rsidRPr="00C43B1D">
        <w:rPr>
          <w:rFonts w:ascii="Verdana" w:hAnsi="Verdana"/>
          <w:sz w:val="20"/>
          <w:szCs w:val="20"/>
        </w:rPr>
        <w:t>Pablo Saavedra Alessandri, Secretario, y</w:t>
      </w:r>
    </w:p>
    <w:p w:rsidR="003C67B7" w:rsidRPr="00C43B1D" w:rsidRDefault="003C67B7" w:rsidP="00C62DC3">
      <w:pPr>
        <w:tabs>
          <w:tab w:val="left" w:pos="720"/>
          <w:tab w:val="left" w:pos="851"/>
        </w:tabs>
        <w:spacing w:after="0" w:line="240" w:lineRule="auto"/>
        <w:rPr>
          <w:rFonts w:ascii="Verdana" w:hAnsi="Verdana"/>
          <w:sz w:val="20"/>
          <w:szCs w:val="20"/>
        </w:rPr>
      </w:pPr>
      <w:r w:rsidRPr="00C43B1D">
        <w:rPr>
          <w:rFonts w:ascii="Verdana" w:hAnsi="Verdana"/>
          <w:sz w:val="20"/>
          <w:szCs w:val="20"/>
        </w:rPr>
        <w:t>Emilia Segares Rodríguez, Secretaria Adjunta,</w:t>
      </w:r>
    </w:p>
    <w:p w:rsidR="00B157A2" w:rsidRPr="00C43B1D" w:rsidRDefault="00B157A2" w:rsidP="00C62DC3">
      <w:pPr>
        <w:tabs>
          <w:tab w:val="left" w:pos="567"/>
        </w:tabs>
        <w:spacing w:after="0" w:line="240" w:lineRule="auto"/>
        <w:jc w:val="center"/>
        <w:rPr>
          <w:rFonts w:ascii="Verdana" w:eastAsia="Times New Roman" w:hAnsi="Verdana" w:cs="Verdana"/>
          <w:b/>
          <w:bCs/>
          <w:caps/>
          <w:snapToGrid w:val="0"/>
          <w:sz w:val="20"/>
          <w:szCs w:val="20"/>
          <w:lang w:eastAsia="es-ES"/>
        </w:rPr>
      </w:pPr>
    </w:p>
    <w:p w:rsidR="00C20E4E" w:rsidRPr="00C43B1D" w:rsidRDefault="00B157A2" w:rsidP="00C62DC3">
      <w:pPr>
        <w:tabs>
          <w:tab w:val="left" w:pos="567"/>
        </w:tabs>
        <w:autoSpaceDE w:val="0"/>
        <w:autoSpaceDN w:val="0"/>
        <w:adjustRightInd w:val="0"/>
        <w:spacing w:after="0" w:line="240" w:lineRule="auto"/>
        <w:jc w:val="both"/>
        <w:rPr>
          <w:rFonts w:ascii="Verdana" w:hAnsi="Verdana" w:cs="Verdana"/>
          <w:sz w:val="20"/>
          <w:szCs w:val="20"/>
        </w:rPr>
      </w:pPr>
      <w:r w:rsidRPr="00C43B1D">
        <w:rPr>
          <w:rFonts w:ascii="Verdana" w:hAnsi="Verdana" w:cs="Verdana"/>
          <w:sz w:val="20"/>
          <w:szCs w:val="20"/>
        </w:rPr>
        <w:t>de conformidad con el artículo 67 de la Convención Americana sobre Derechos Humanos (en adelante también “la Convención Americana” o “la Convención”) y el artículo 68 del Reglamento de la Corte</w:t>
      </w:r>
      <w:r w:rsidRPr="00C43B1D">
        <w:rPr>
          <w:rFonts w:ascii="Verdana" w:hAnsi="Verdana" w:cs="Verdana"/>
          <w:sz w:val="13"/>
          <w:szCs w:val="13"/>
        </w:rPr>
        <w:t xml:space="preserve"> </w:t>
      </w:r>
      <w:r w:rsidRPr="00C43B1D">
        <w:rPr>
          <w:rFonts w:ascii="Verdana" w:hAnsi="Verdana" w:cs="Verdana"/>
          <w:sz w:val="20"/>
          <w:szCs w:val="20"/>
        </w:rPr>
        <w:t>(en adelante “el Reglamento”), resuelve la</w:t>
      </w:r>
      <w:r w:rsidR="00123F96" w:rsidRPr="00C43B1D">
        <w:rPr>
          <w:rFonts w:ascii="Verdana" w:hAnsi="Verdana" w:cs="Verdana"/>
          <w:sz w:val="20"/>
          <w:szCs w:val="20"/>
        </w:rPr>
        <w:t>s</w:t>
      </w:r>
      <w:r w:rsidRPr="00C43B1D">
        <w:rPr>
          <w:rFonts w:ascii="Verdana" w:hAnsi="Verdana" w:cs="Verdana"/>
          <w:sz w:val="20"/>
          <w:szCs w:val="20"/>
        </w:rPr>
        <w:t xml:space="preserve"> solicitud</w:t>
      </w:r>
      <w:r w:rsidR="00123F96" w:rsidRPr="00C43B1D">
        <w:rPr>
          <w:rFonts w:ascii="Verdana" w:hAnsi="Verdana" w:cs="Verdana"/>
          <w:sz w:val="20"/>
          <w:szCs w:val="20"/>
        </w:rPr>
        <w:t>es</w:t>
      </w:r>
      <w:r w:rsidRPr="00C43B1D">
        <w:rPr>
          <w:rFonts w:ascii="Verdana" w:hAnsi="Verdana" w:cs="Verdana"/>
          <w:sz w:val="20"/>
          <w:szCs w:val="20"/>
        </w:rPr>
        <w:t xml:space="preserve"> de interpretación de la Sentencia de</w:t>
      </w:r>
      <w:r w:rsidR="00C20E4E" w:rsidRPr="00C43B1D">
        <w:rPr>
          <w:rFonts w:ascii="Verdana" w:hAnsi="Verdana" w:cs="Verdana"/>
          <w:sz w:val="20"/>
          <w:szCs w:val="20"/>
        </w:rPr>
        <w:t xml:space="preserve"> </w:t>
      </w:r>
      <w:r w:rsidR="008D1D45">
        <w:rPr>
          <w:rFonts w:ascii="Verdana" w:hAnsi="Verdana" w:cs="Verdana"/>
          <w:sz w:val="20"/>
          <w:szCs w:val="20"/>
        </w:rPr>
        <w:t>E</w:t>
      </w:r>
      <w:r w:rsidR="00C20E4E" w:rsidRPr="00C43B1D">
        <w:rPr>
          <w:rFonts w:ascii="Verdana" w:hAnsi="Verdana" w:cs="Verdana"/>
          <w:sz w:val="20"/>
          <w:szCs w:val="20"/>
        </w:rPr>
        <w:t xml:space="preserve">xcepción </w:t>
      </w:r>
      <w:r w:rsidR="008D1D45">
        <w:rPr>
          <w:rFonts w:ascii="Verdana" w:hAnsi="Verdana" w:cs="Verdana"/>
          <w:sz w:val="20"/>
          <w:szCs w:val="20"/>
        </w:rPr>
        <w:t>P</w:t>
      </w:r>
      <w:r w:rsidR="00C20E4E" w:rsidRPr="00C43B1D">
        <w:rPr>
          <w:rFonts w:ascii="Verdana" w:hAnsi="Verdana" w:cs="Verdana"/>
          <w:sz w:val="20"/>
          <w:szCs w:val="20"/>
        </w:rPr>
        <w:t>reliminar,</w:t>
      </w:r>
      <w:r w:rsidRPr="00C43B1D">
        <w:rPr>
          <w:rFonts w:ascii="Verdana" w:hAnsi="Verdana" w:cs="Verdana"/>
          <w:sz w:val="20"/>
          <w:szCs w:val="20"/>
        </w:rPr>
        <w:t xml:space="preserve"> </w:t>
      </w:r>
      <w:r w:rsidR="008D1D45">
        <w:rPr>
          <w:rFonts w:ascii="Verdana" w:hAnsi="Verdana" w:cs="Verdana"/>
          <w:sz w:val="20"/>
          <w:szCs w:val="20"/>
        </w:rPr>
        <w:t>F</w:t>
      </w:r>
      <w:r w:rsidRPr="00C43B1D">
        <w:rPr>
          <w:rFonts w:ascii="Verdana" w:hAnsi="Verdana" w:cs="Verdana"/>
          <w:sz w:val="20"/>
          <w:szCs w:val="20"/>
        </w:rPr>
        <w:t xml:space="preserve">ondo, </w:t>
      </w:r>
      <w:r w:rsidR="008D1D45">
        <w:rPr>
          <w:rFonts w:ascii="Verdana" w:hAnsi="Verdana" w:cs="Verdana"/>
          <w:sz w:val="20"/>
          <w:szCs w:val="20"/>
        </w:rPr>
        <w:t>R</w:t>
      </w:r>
      <w:r w:rsidRPr="00C43B1D">
        <w:rPr>
          <w:rFonts w:ascii="Verdana" w:hAnsi="Verdana" w:cs="Verdana"/>
          <w:sz w:val="20"/>
          <w:szCs w:val="20"/>
        </w:rPr>
        <w:t xml:space="preserve">eparaciones y </w:t>
      </w:r>
      <w:r w:rsidR="008D1D45">
        <w:rPr>
          <w:rFonts w:ascii="Verdana" w:hAnsi="Verdana" w:cs="Verdana"/>
          <w:sz w:val="20"/>
          <w:szCs w:val="20"/>
        </w:rPr>
        <w:t>C</w:t>
      </w:r>
      <w:r w:rsidRPr="00C43B1D">
        <w:rPr>
          <w:rFonts w:ascii="Verdana" w:hAnsi="Verdana" w:cs="Verdana"/>
          <w:sz w:val="20"/>
          <w:szCs w:val="20"/>
        </w:rPr>
        <w:t xml:space="preserve">ostas emitida por este Tribunal el </w:t>
      </w:r>
      <w:r w:rsidR="00123F96" w:rsidRPr="00C43B1D">
        <w:rPr>
          <w:rFonts w:ascii="Verdana" w:hAnsi="Verdana" w:cs="Verdana"/>
          <w:sz w:val="20"/>
          <w:szCs w:val="20"/>
        </w:rPr>
        <w:t>20 de noviembre de 2014</w:t>
      </w:r>
      <w:r w:rsidRPr="00C43B1D">
        <w:rPr>
          <w:rFonts w:ascii="Verdana" w:hAnsi="Verdana" w:cs="Verdana"/>
          <w:sz w:val="20"/>
          <w:szCs w:val="20"/>
        </w:rPr>
        <w:t xml:space="preserve"> en el presente caso (en adelante también “la Sentencia”), interpuesta</w:t>
      </w:r>
      <w:r w:rsidR="00123F96" w:rsidRPr="00C43B1D">
        <w:rPr>
          <w:rFonts w:ascii="Verdana" w:hAnsi="Verdana" w:cs="Verdana"/>
          <w:sz w:val="20"/>
          <w:szCs w:val="20"/>
        </w:rPr>
        <w:t>s</w:t>
      </w:r>
      <w:r w:rsidRPr="00C43B1D">
        <w:rPr>
          <w:rFonts w:ascii="Verdana" w:hAnsi="Verdana" w:cs="Verdana"/>
          <w:sz w:val="20"/>
          <w:szCs w:val="20"/>
        </w:rPr>
        <w:t xml:space="preserve"> el </w:t>
      </w:r>
      <w:r w:rsidR="003E5BBE" w:rsidRPr="00C43B1D">
        <w:rPr>
          <w:rFonts w:ascii="Verdana" w:hAnsi="Verdana" w:cs="Verdana"/>
          <w:sz w:val="20"/>
          <w:szCs w:val="20"/>
        </w:rPr>
        <w:t>16 de diciembre</w:t>
      </w:r>
      <w:r w:rsidR="00705C2B" w:rsidRPr="00C43B1D">
        <w:rPr>
          <w:rFonts w:ascii="Verdana" w:hAnsi="Verdana" w:cs="Verdana"/>
          <w:sz w:val="20"/>
          <w:szCs w:val="20"/>
        </w:rPr>
        <w:t xml:space="preserve"> de 2014 por lo</w:t>
      </w:r>
      <w:r w:rsidRPr="00C43B1D">
        <w:rPr>
          <w:rFonts w:ascii="Verdana" w:hAnsi="Verdana" w:cs="Verdana"/>
          <w:sz w:val="20"/>
          <w:szCs w:val="20"/>
        </w:rPr>
        <w:t xml:space="preserve">s representantes de las víctimas </w:t>
      </w:r>
      <w:r w:rsidR="00C20E4E" w:rsidRPr="00C43B1D">
        <w:rPr>
          <w:rFonts w:ascii="Verdana" w:hAnsi="Verdana" w:cs="Verdana"/>
          <w:sz w:val="20"/>
          <w:szCs w:val="20"/>
        </w:rPr>
        <w:t xml:space="preserve">Mauricio Cueto y Alberto De </w:t>
      </w:r>
      <w:r w:rsidR="003E5BBE" w:rsidRPr="00C43B1D">
        <w:rPr>
          <w:rFonts w:ascii="Verdana" w:hAnsi="Verdana" w:cs="Verdana"/>
          <w:sz w:val="20"/>
          <w:szCs w:val="20"/>
        </w:rPr>
        <w:t>Vita, y el 22 de diciembre de 2014</w:t>
      </w:r>
      <w:r w:rsidR="0023057F">
        <w:rPr>
          <w:rFonts w:ascii="Verdana" w:hAnsi="Verdana" w:cs="Verdana"/>
          <w:sz w:val="20"/>
          <w:szCs w:val="20"/>
        </w:rPr>
        <w:t>,</w:t>
      </w:r>
      <w:r w:rsidR="003E5BBE" w:rsidRPr="00C43B1D">
        <w:rPr>
          <w:rFonts w:ascii="Verdana" w:hAnsi="Verdana" w:cs="Verdana"/>
          <w:sz w:val="20"/>
          <w:szCs w:val="20"/>
        </w:rPr>
        <w:t xml:space="preserve"> por los Defensores Interamericanos.</w:t>
      </w:r>
    </w:p>
    <w:p w:rsidR="00B157A2" w:rsidRPr="00321497" w:rsidRDefault="00C20E4E" w:rsidP="00321497">
      <w:pPr>
        <w:tabs>
          <w:tab w:val="left" w:pos="567"/>
        </w:tabs>
        <w:autoSpaceDE w:val="0"/>
        <w:autoSpaceDN w:val="0"/>
        <w:adjustRightInd w:val="0"/>
        <w:spacing w:after="0" w:line="240" w:lineRule="auto"/>
        <w:jc w:val="center"/>
        <w:rPr>
          <w:rFonts w:ascii="Verdana" w:hAnsi="Verdana" w:cs="Verdana"/>
          <w:sz w:val="20"/>
          <w:szCs w:val="20"/>
        </w:rPr>
      </w:pPr>
      <w:r w:rsidRPr="00C43B1D">
        <w:rPr>
          <w:rFonts w:ascii="Verdana" w:hAnsi="Verdana" w:cs="Verdana"/>
          <w:sz w:val="20"/>
          <w:szCs w:val="20"/>
        </w:rPr>
        <w:br w:type="page"/>
      </w:r>
      <w:r w:rsidR="00B157A2" w:rsidRPr="00C43B1D">
        <w:rPr>
          <w:rFonts w:ascii="Verdana" w:eastAsia="Times New Roman" w:hAnsi="Verdana" w:cs="Verdana"/>
          <w:b/>
          <w:bCs/>
          <w:iCs/>
          <w:caps/>
          <w:snapToGrid w:val="0"/>
          <w:sz w:val="20"/>
          <w:szCs w:val="20"/>
          <w:lang w:eastAsia="es-ES"/>
        </w:rPr>
        <w:lastRenderedPageBreak/>
        <w:t>I</w:t>
      </w:r>
    </w:p>
    <w:p w:rsidR="00B157A2" w:rsidRPr="00C43B1D" w:rsidRDefault="00B157A2" w:rsidP="0023057F">
      <w:pPr>
        <w:tabs>
          <w:tab w:val="left" w:pos="567"/>
        </w:tabs>
        <w:autoSpaceDE w:val="0"/>
        <w:autoSpaceDN w:val="0"/>
        <w:adjustRightInd w:val="0"/>
        <w:spacing w:after="0" w:line="240" w:lineRule="auto"/>
        <w:jc w:val="center"/>
        <w:rPr>
          <w:rFonts w:ascii="Verdana" w:eastAsia="Times" w:hAnsi="Verdana"/>
          <w:sz w:val="20"/>
          <w:szCs w:val="20"/>
          <w:lang w:eastAsia="es-ES"/>
        </w:rPr>
      </w:pPr>
      <w:r w:rsidRPr="00C43B1D">
        <w:rPr>
          <w:rFonts w:ascii="Verdana" w:hAnsi="Verdana" w:cs="Verdana"/>
          <w:b/>
          <w:bCs/>
          <w:sz w:val="20"/>
          <w:szCs w:val="20"/>
        </w:rPr>
        <w:t>SOLICITUD DE INTERPRETACIÓN</w:t>
      </w:r>
      <w:r w:rsidR="0023057F">
        <w:rPr>
          <w:rFonts w:ascii="Verdana" w:hAnsi="Verdana" w:cs="Verdana"/>
          <w:b/>
          <w:bCs/>
          <w:sz w:val="20"/>
          <w:szCs w:val="20"/>
        </w:rPr>
        <w:t xml:space="preserve"> </w:t>
      </w:r>
      <w:r w:rsidRPr="00C43B1D">
        <w:rPr>
          <w:rFonts w:ascii="Verdana" w:hAnsi="Verdana" w:cs="Verdana"/>
          <w:b/>
          <w:bCs/>
          <w:sz w:val="20"/>
          <w:szCs w:val="20"/>
        </w:rPr>
        <w:t>Y PROCEDIMIENTO ANTE LA CORTE</w:t>
      </w:r>
    </w:p>
    <w:p w:rsidR="00B157A2" w:rsidRPr="00C43B1D" w:rsidRDefault="00B157A2" w:rsidP="00C62DC3">
      <w:pPr>
        <w:tabs>
          <w:tab w:val="left" w:pos="567"/>
        </w:tabs>
        <w:spacing w:after="0" w:line="240" w:lineRule="auto"/>
        <w:jc w:val="both"/>
        <w:rPr>
          <w:rFonts w:ascii="Verdana" w:eastAsia="Times" w:hAnsi="Verdana"/>
          <w:sz w:val="20"/>
          <w:szCs w:val="20"/>
        </w:rPr>
      </w:pPr>
    </w:p>
    <w:p w:rsidR="00B157A2" w:rsidRPr="00C43B1D" w:rsidRDefault="00B157A2" w:rsidP="00C62DC3">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C43B1D">
        <w:rPr>
          <w:rFonts w:ascii="Verdana" w:hAnsi="Verdana" w:cs="Verdana"/>
          <w:sz w:val="20"/>
          <w:szCs w:val="20"/>
        </w:rPr>
        <w:t xml:space="preserve">El </w:t>
      </w:r>
      <w:r w:rsidR="003E5BBE" w:rsidRPr="00C43B1D">
        <w:rPr>
          <w:rFonts w:ascii="Verdana" w:hAnsi="Verdana" w:cs="Verdana"/>
          <w:sz w:val="20"/>
          <w:szCs w:val="20"/>
        </w:rPr>
        <w:t>20 de noviembre de 2014</w:t>
      </w:r>
      <w:r w:rsidRPr="00C43B1D">
        <w:rPr>
          <w:rFonts w:ascii="Verdana" w:eastAsia="Times" w:hAnsi="Verdana"/>
          <w:sz w:val="20"/>
          <w:szCs w:val="20"/>
          <w:lang w:val="es-ES_tradnl"/>
        </w:rPr>
        <w:t xml:space="preserve"> la Corte emitió la Sentencia, la cual fue notificada a las partes y a la Comisión Interamericana de </w:t>
      </w:r>
      <w:r w:rsidRPr="00C43B1D">
        <w:rPr>
          <w:rFonts w:ascii="Verdana" w:hAnsi="Verdana" w:cs="Verdana"/>
          <w:sz w:val="20"/>
          <w:szCs w:val="20"/>
        </w:rPr>
        <w:t xml:space="preserve">Derechos Humanos (en adelante “la Comisión Interamericana” o “la Comisión”) </w:t>
      </w:r>
      <w:r w:rsidRPr="00C43B1D">
        <w:rPr>
          <w:rFonts w:ascii="Verdana" w:eastAsia="Times" w:hAnsi="Verdana"/>
          <w:sz w:val="20"/>
          <w:szCs w:val="20"/>
          <w:lang w:val="es-ES_tradnl"/>
        </w:rPr>
        <w:t xml:space="preserve">el </w:t>
      </w:r>
      <w:r w:rsidR="003E5BBE" w:rsidRPr="00C43B1D">
        <w:rPr>
          <w:rFonts w:ascii="Verdana" w:eastAsia="Times" w:hAnsi="Verdana"/>
          <w:sz w:val="20"/>
          <w:szCs w:val="20"/>
          <w:lang w:val="es-ES_tradnl"/>
        </w:rPr>
        <w:t>15 de diciembre</w:t>
      </w:r>
      <w:r w:rsidR="00705C2B" w:rsidRPr="00C43B1D">
        <w:rPr>
          <w:rFonts w:ascii="Verdana" w:eastAsia="Times" w:hAnsi="Verdana"/>
          <w:sz w:val="20"/>
          <w:szCs w:val="20"/>
          <w:lang w:val="es-ES_tradnl"/>
        </w:rPr>
        <w:t xml:space="preserve"> </w:t>
      </w:r>
      <w:r w:rsidRPr="00C43B1D">
        <w:rPr>
          <w:rFonts w:ascii="Verdana" w:eastAsia="Times" w:hAnsi="Verdana"/>
          <w:sz w:val="20"/>
          <w:szCs w:val="20"/>
          <w:lang w:val="es-ES_tradnl"/>
        </w:rPr>
        <w:t>del mismo año.</w:t>
      </w:r>
    </w:p>
    <w:p w:rsidR="00B157A2" w:rsidRPr="00C43B1D" w:rsidRDefault="00B157A2" w:rsidP="00C62DC3">
      <w:pPr>
        <w:tabs>
          <w:tab w:val="left" w:pos="567"/>
        </w:tabs>
        <w:autoSpaceDE w:val="0"/>
        <w:autoSpaceDN w:val="0"/>
        <w:adjustRightInd w:val="0"/>
        <w:spacing w:after="0" w:line="240" w:lineRule="auto"/>
        <w:jc w:val="both"/>
        <w:rPr>
          <w:rFonts w:ascii="Verdana" w:hAnsi="Verdana" w:cs="Verdana"/>
          <w:sz w:val="20"/>
          <w:szCs w:val="20"/>
        </w:rPr>
      </w:pPr>
    </w:p>
    <w:p w:rsidR="0034762E" w:rsidRPr="00C43B1D" w:rsidRDefault="003E5BBE" w:rsidP="00C62DC3">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sidRPr="00C43B1D">
        <w:rPr>
          <w:rFonts w:ascii="Verdana" w:hAnsi="Verdana" w:cs="Verdana"/>
          <w:sz w:val="20"/>
          <w:szCs w:val="20"/>
        </w:rPr>
        <w:t>El 16 de diciembre</w:t>
      </w:r>
      <w:r w:rsidR="006E17CF" w:rsidRPr="00C43B1D">
        <w:rPr>
          <w:rFonts w:ascii="Verdana" w:hAnsi="Verdana" w:cs="Verdana"/>
          <w:sz w:val="20"/>
          <w:szCs w:val="20"/>
        </w:rPr>
        <w:t xml:space="preserve"> de 2014 los representantes</w:t>
      </w:r>
      <w:r w:rsidRPr="00C43B1D">
        <w:rPr>
          <w:rFonts w:ascii="Verdana" w:hAnsi="Verdana" w:cs="Verdana"/>
          <w:sz w:val="20"/>
          <w:szCs w:val="20"/>
        </w:rPr>
        <w:t xml:space="preserve"> </w:t>
      </w:r>
      <w:r w:rsidR="00C20E4E" w:rsidRPr="00C43B1D">
        <w:rPr>
          <w:rFonts w:ascii="Verdana" w:hAnsi="Verdana" w:cs="Verdana"/>
          <w:sz w:val="20"/>
          <w:szCs w:val="20"/>
        </w:rPr>
        <w:t xml:space="preserve">Mauricio Cueto y Alberto De </w:t>
      </w:r>
      <w:r w:rsidRPr="00C43B1D">
        <w:rPr>
          <w:rFonts w:ascii="Verdana" w:hAnsi="Verdana" w:cs="Verdana"/>
          <w:sz w:val="20"/>
          <w:szCs w:val="20"/>
        </w:rPr>
        <w:t>Vita</w:t>
      </w:r>
      <w:r w:rsidR="006E17CF" w:rsidRPr="00C43B1D">
        <w:rPr>
          <w:rFonts w:ascii="Verdana" w:hAnsi="Verdana" w:cs="Verdana"/>
          <w:sz w:val="20"/>
          <w:szCs w:val="20"/>
        </w:rPr>
        <w:t xml:space="preserve"> presentaron </w:t>
      </w:r>
      <w:bookmarkStart w:id="0" w:name="_Ref363085373"/>
      <w:r w:rsidR="00B157A2" w:rsidRPr="00C43B1D">
        <w:rPr>
          <w:rFonts w:ascii="Verdana" w:eastAsia="Times" w:hAnsi="Verdana"/>
          <w:bCs/>
          <w:sz w:val="20"/>
          <w:szCs w:val="20"/>
        </w:rPr>
        <w:t>una solicitud de interpretación de la Sentencia</w:t>
      </w:r>
      <w:r w:rsidR="006E17CF" w:rsidRPr="00C43B1D">
        <w:rPr>
          <w:rFonts w:ascii="Verdana" w:eastAsia="Times" w:hAnsi="Verdana"/>
          <w:bCs/>
          <w:sz w:val="20"/>
          <w:szCs w:val="20"/>
        </w:rPr>
        <w:t xml:space="preserve"> </w:t>
      </w:r>
      <w:r w:rsidR="008D1D45">
        <w:rPr>
          <w:rFonts w:ascii="Verdana" w:eastAsia="Times" w:hAnsi="Verdana"/>
          <w:bCs/>
          <w:sz w:val="20"/>
          <w:szCs w:val="20"/>
        </w:rPr>
        <w:t>con</w:t>
      </w:r>
      <w:r w:rsidR="008D1D45" w:rsidRPr="00C43B1D">
        <w:rPr>
          <w:rFonts w:ascii="Verdana" w:eastAsia="Times" w:hAnsi="Verdana"/>
          <w:bCs/>
          <w:sz w:val="20"/>
          <w:szCs w:val="20"/>
        </w:rPr>
        <w:t xml:space="preserve"> </w:t>
      </w:r>
      <w:r w:rsidR="006E17CF" w:rsidRPr="00C43B1D">
        <w:rPr>
          <w:rFonts w:ascii="Verdana" w:eastAsia="Times" w:hAnsi="Verdana"/>
          <w:bCs/>
          <w:sz w:val="20"/>
          <w:szCs w:val="20"/>
        </w:rPr>
        <w:t xml:space="preserve">relación </w:t>
      </w:r>
      <w:r w:rsidR="009E05E6" w:rsidRPr="00C43B1D">
        <w:rPr>
          <w:rFonts w:ascii="Verdana" w:eastAsia="Times" w:hAnsi="Verdana"/>
          <w:bCs/>
          <w:sz w:val="20"/>
          <w:szCs w:val="20"/>
        </w:rPr>
        <w:t xml:space="preserve">a si el pago de costas y gastos ordenado en </w:t>
      </w:r>
      <w:r w:rsidR="00C20E4E" w:rsidRPr="00C43B1D">
        <w:rPr>
          <w:rFonts w:ascii="Verdana" w:eastAsia="Times" w:hAnsi="Verdana"/>
          <w:bCs/>
          <w:sz w:val="20"/>
          <w:szCs w:val="20"/>
        </w:rPr>
        <w:t xml:space="preserve">dicha </w:t>
      </w:r>
      <w:r w:rsidR="0023057F">
        <w:rPr>
          <w:rFonts w:ascii="Verdana" w:eastAsia="Times" w:hAnsi="Verdana"/>
          <w:bCs/>
          <w:sz w:val="20"/>
          <w:szCs w:val="20"/>
        </w:rPr>
        <w:t>Sentencia fue fijado</w:t>
      </w:r>
      <w:r w:rsidR="009E05E6" w:rsidRPr="00C43B1D">
        <w:rPr>
          <w:rFonts w:ascii="Verdana" w:eastAsia="Times" w:hAnsi="Verdana"/>
          <w:bCs/>
          <w:sz w:val="20"/>
          <w:szCs w:val="20"/>
        </w:rPr>
        <w:t xml:space="preserve"> en forma conjunta o individual a cada uno de los abogados apoderados que actuaron en defensa de los derechos humanos de las víctimas. </w:t>
      </w:r>
    </w:p>
    <w:p w:rsidR="003834C7" w:rsidRPr="00C43B1D" w:rsidRDefault="003834C7" w:rsidP="00C62DC3">
      <w:pPr>
        <w:tabs>
          <w:tab w:val="left" w:pos="567"/>
        </w:tabs>
        <w:autoSpaceDE w:val="0"/>
        <w:autoSpaceDN w:val="0"/>
        <w:adjustRightInd w:val="0"/>
        <w:spacing w:after="0" w:line="240" w:lineRule="auto"/>
        <w:jc w:val="both"/>
        <w:rPr>
          <w:rFonts w:ascii="Verdana" w:hAnsi="Verdana" w:cs="Verdana"/>
          <w:sz w:val="20"/>
          <w:szCs w:val="20"/>
          <w:u w:val="single"/>
        </w:rPr>
      </w:pPr>
    </w:p>
    <w:p w:rsidR="00783403" w:rsidRDefault="0034762E" w:rsidP="00783403">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sidRPr="00C43B1D">
        <w:rPr>
          <w:rFonts w:ascii="Verdana" w:eastAsia="Times" w:hAnsi="Verdana"/>
          <w:bCs/>
          <w:sz w:val="20"/>
          <w:szCs w:val="20"/>
        </w:rPr>
        <w:t xml:space="preserve">El 22 de diciembre de 2014 los Defensores Interamericanos presentaron una solicitud de interpretación de la Sentencia </w:t>
      </w:r>
      <w:r w:rsidR="008D1D45">
        <w:rPr>
          <w:rFonts w:ascii="Verdana" w:eastAsia="Times" w:hAnsi="Verdana"/>
          <w:bCs/>
          <w:sz w:val="20"/>
          <w:szCs w:val="20"/>
        </w:rPr>
        <w:t>con</w:t>
      </w:r>
      <w:r w:rsidR="008D1D45" w:rsidRPr="00C43B1D">
        <w:rPr>
          <w:rFonts w:ascii="Verdana" w:eastAsia="Times" w:hAnsi="Verdana"/>
          <w:bCs/>
          <w:sz w:val="20"/>
          <w:szCs w:val="20"/>
        </w:rPr>
        <w:t xml:space="preserve"> </w:t>
      </w:r>
      <w:r w:rsidRPr="00C43B1D">
        <w:rPr>
          <w:rFonts w:ascii="Verdana" w:eastAsia="Times" w:hAnsi="Verdana"/>
          <w:bCs/>
          <w:sz w:val="20"/>
          <w:szCs w:val="20"/>
        </w:rPr>
        <w:t>relación</w:t>
      </w:r>
      <w:r w:rsidR="00C035F0" w:rsidRPr="00C43B1D">
        <w:rPr>
          <w:rFonts w:ascii="Verdana" w:eastAsia="Times" w:hAnsi="Verdana"/>
          <w:bCs/>
          <w:sz w:val="20"/>
          <w:szCs w:val="20"/>
        </w:rPr>
        <w:t xml:space="preserve"> a la petición de reembolso de los gastos efectuados por el </w:t>
      </w:r>
      <w:r w:rsidR="00C20E4E" w:rsidRPr="00C43B1D">
        <w:rPr>
          <w:rFonts w:ascii="Verdana" w:eastAsia="Times" w:hAnsi="Verdana"/>
          <w:bCs/>
          <w:sz w:val="20"/>
          <w:szCs w:val="20"/>
        </w:rPr>
        <w:t xml:space="preserve">señor </w:t>
      </w:r>
      <w:r w:rsidR="00B038CF" w:rsidRPr="00C43B1D">
        <w:rPr>
          <w:rFonts w:ascii="Verdana" w:eastAsia="Times" w:hAnsi="Verdana"/>
          <w:bCs/>
          <w:sz w:val="20"/>
          <w:szCs w:val="20"/>
        </w:rPr>
        <w:t xml:space="preserve">Hugo Oscar </w:t>
      </w:r>
      <w:r w:rsidR="00C20E4E" w:rsidRPr="00C43B1D">
        <w:rPr>
          <w:rFonts w:ascii="Verdana" w:eastAsia="Times" w:hAnsi="Verdana"/>
          <w:bCs/>
          <w:sz w:val="20"/>
          <w:szCs w:val="20"/>
        </w:rPr>
        <w:t>Argü</w:t>
      </w:r>
      <w:r w:rsidR="00C035F0" w:rsidRPr="00C43B1D">
        <w:rPr>
          <w:rFonts w:ascii="Verdana" w:eastAsia="Times" w:hAnsi="Verdana"/>
          <w:bCs/>
          <w:sz w:val="20"/>
          <w:szCs w:val="20"/>
        </w:rPr>
        <w:t>elles</w:t>
      </w:r>
      <w:r w:rsidR="00B038CF" w:rsidRPr="00C43B1D">
        <w:rPr>
          <w:rFonts w:ascii="Verdana" w:eastAsia="Times" w:hAnsi="Verdana"/>
          <w:bCs/>
          <w:sz w:val="20"/>
          <w:szCs w:val="20"/>
        </w:rPr>
        <w:t>,</w:t>
      </w:r>
      <w:r w:rsidR="00C035F0" w:rsidRPr="00C43B1D">
        <w:rPr>
          <w:rFonts w:ascii="Verdana" w:eastAsia="Times" w:hAnsi="Verdana"/>
          <w:bCs/>
          <w:sz w:val="20"/>
          <w:szCs w:val="20"/>
        </w:rPr>
        <w:t xml:space="preserve"> en su calidad de representante de las victimas ante la Comisión desde 1998 hasta 2012.</w:t>
      </w:r>
      <w:r w:rsidR="00783403">
        <w:rPr>
          <w:rFonts w:ascii="Verdana" w:hAnsi="Verdana" w:cs="Verdana"/>
          <w:sz w:val="20"/>
          <w:szCs w:val="20"/>
          <w:u w:val="single"/>
        </w:rPr>
        <w:t xml:space="preserve"> </w:t>
      </w:r>
    </w:p>
    <w:p w:rsidR="0024346E" w:rsidRPr="00783403" w:rsidRDefault="0024346E" w:rsidP="00783403">
      <w:pPr>
        <w:tabs>
          <w:tab w:val="left" w:pos="567"/>
        </w:tabs>
        <w:autoSpaceDE w:val="0"/>
        <w:autoSpaceDN w:val="0"/>
        <w:adjustRightInd w:val="0"/>
        <w:spacing w:after="0" w:line="240" w:lineRule="auto"/>
        <w:jc w:val="both"/>
        <w:rPr>
          <w:rFonts w:ascii="Verdana" w:hAnsi="Verdana" w:cs="Verdana"/>
          <w:sz w:val="20"/>
          <w:szCs w:val="20"/>
          <w:u w:val="single"/>
        </w:rPr>
      </w:pPr>
    </w:p>
    <w:p w:rsidR="00B157A2" w:rsidRPr="00C43B1D" w:rsidRDefault="00B157A2" w:rsidP="00C62DC3">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bookmarkStart w:id="1" w:name="_Ref324683819"/>
      <w:bookmarkStart w:id="2" w:name="_Ref364679847"/>
      <w:bookmarkEnd w:id="0"/>
      <w:r w:rsidRPr="00C43B1D">
        <w:rPr>
          <w:rFonts w:ascii="Verdana" w:hAnsi="Verdana" w:cs="Verdana"/>
          <w:sz w:val="20"/>
          <w:szCs w:val="20"/>
        </w:rPr>
        <w:t xml:space="preserve">El </w:t>
      </w:r>
      <w:r w:rsidR="00C035F0" w:rsidRPr="00C43B1D">
        <w:rPr>
          <w:rFonts w:ascii="Verdana" w:hAnsi="Verdana" w:cs="Verdana"/>
          <w:sz w:val="20"/>
          <w:szCs w:val="20"/>
        </w:rPr>
        <w:t>8 y 9 de abril de 2015</w:t>
      </w:r>
      <w:r w:rsidR="00765ABE" w:rsidRPr="00C43B1D">
        <w:rPr>
          <w:rFonts w:ascii="Verdana" w:hAnsi="Verdana" w:cs="Verdana"/>
          <w:sz w:val="20"/>
          <w:szCs w:val="20"/>
        </w:rPr>
        <w:t xml:space="preserve"> </w:t>
      </w:r>
      <w:r w:rsidRPr="00C43B1D">
        <w:rPr>
          <w:rFonts w:ascii="Verdana" w:hAnsi="Verdana" w:cs="Verdana"/>
          <w:sz w:val="20"/>
          <w:szCs w:val="20"/>
        </w:rPr>
        <w:t>el Estado</w:t>
      </w:r>
      <w:r w:rsidR="00C035F0" w:rsidRPr="00C43B1D">
        <w:rPr>
          <w:rFonts w:ascii="Verdana" w:hAnsi="Verdana" w:cs="Verdana"/>
          <w:sz w:val="20"/>
          <w:szCs w:val="20"/>
        </w:rPr>
        <w:t xml:space="preserve"> y la Comisión</w:t>
      </w:r>
      <w:r w:rsidRPr="00C43B1D">
        <w:rPr>
          <w:rFonts w:ascii="Verdana" w:hAnsi="Verdana" w:cs="Verdana"/>
          <w:sz w:val="20"/>
          <w:szCs w:val="20"/>
        </w:rPr>
        <w:t xml:space="preserve"> presentaron</w:t>
      </w:r>
      <w:r w:rsidR="00765ABE" w:rsidRPr="00C43B1D">
        <w:rPr>
          <w:rFonts w:ascii="Verdana" w:hAnsi="Verdana" w:cs="Verdana"/>
          <w:sz w:val="20"/>
          <w:szCs w:val="20"/>
        </w:rPr>
        <w:t>, respectivamente</w:t>
      </w:r>
      <w:r w:rsidR="0055376B" w:rsidRPr="00C43B1D">
        <w:rPr>
          <w:rFonts w:ascii="Verdana" w:hAnsi="Verdana" w:cs="Verdana"/>
          <w:sz w:val="20"/>
          <w:szCs w:val="20"/>
        </w:rPr>
        <w:t>,</w:t>
      </w:r>
      <w:r w:rsidRPr="00C43B1D">
        <w:rPr>
          <w:rFonts w:ascii="Verdana" w:hAnsi="Verdana" w:cs="Verdana"/>
          <w:sz w:val="20"/>
          <w:szCs w:val="20"/>
        </w:rPr>
        <w:t xml:space="preserve"> sus </w:t>
      </w:r>
      <w:r w:rsidR="00B038CF" w:rsidRPr="00C43B1D">
        <w:rPr>
          <w:rFonts w:ascii="Verdana" w:hAnsi="Verdana" w:cs="Verdana"/>
          <w:sz w:val="20"/>
          <w:szCs w:val="20"/>
        </w:rPr>
        <w:t>observaciones</w:t>
      </w:r>
      <w:r w:rsidRPr="00C43B1D">
        <w:rPr>
          <w:rFonts w:ascii="Verdana" w:hAnsi="Verdana" w:cs="Verdana"/>
          <w:sz w:val="20"/>
          <w:szCs w:val="20"/>
        </w:rPr>
        <w:t xml:space="preserve"> escritas respecto de la</w:t>
      </w:r>
      <w:r w:rsidR="00B038CF" w:rsidRPr="00C43B1D">
        <w:rPr>
          <w:rFonts w:ascii="Verdana" w:hAnsi="Verdana" w:cs="Verdana"/>
          <w:sz w:val="20"/>
          <w:szCs w:val="20"/>
        </w:rPr>
        <w:t>s</w:t>
      </w:r>
      <w:r w:rsidRPr="00C43B1D">
        <w:rPr>
          <w:rFonts w:ascii="Verdana" w:hAnsi="Verdana" w:cs="Verdana"/>
          <w:sz w:val="20"/>
          <w:szCs w:val="20"/>
        </w:rPr>
        <w:t xml:space="preserve"> referida</w:t>
      </w:r>
      <w:r w:rsidR="00B038CF" w:rsidRPr="00C43B1D">
        <w:rPr>
          <w:rFonts w:ascii="Verdana" w:hAnsi="Verdana" w:cs="Verdana"/>
          <w:sz w:val="20"/>
          <w:szCs w:val="20"/>
        </w:rPr>
        <w:t>s</w:t>
      </w:r>
      <w:r w:rsidRPr="00C43B1D">
        <w:rPr>
          <w:rFonts w:ascii="Verdana" w:hAnsi="Verdana" w:cs="Verdana"/>
          <w:sz w:val="20"/>
          <w:szCs w:val="20"/>
        </w:rPr>
        <w:t xml:space="preserve"> solicitud</w:t>
      </w:r>
      <w:r w:rsidR="00B038CF" w:rsidRPr="00C43B1D">
        <w:rPr>
          <w:rFonts w:ascii="Verdana" w:hAnsi="Verdana" w:cs="Verdana"/>
          <w:sz w:val="20"/>
          <w:szCs w:val="20"/>
        </w:rPr>
        <w:t>es</w:t>
      </w:r>
      <w:r w:rsidRPr="00C43B1D">
        <w:rPr>
          <w:rFonts w:ascii="Verdana" w:hAnsi="Verdana" w:cs="Verdana"/>
          <w:sz w:val="20"/>
          <w:szCs w:val="20"/>
        </w:rPr>
        <w:t xml:space="preserve"> de interpretación.</w:t>
      </w:r>
      <w:bookmarkEnd w:id="1"/>
      <w:r w:rsidRPr="00C43B1D">
        <w:rPr>
          <w:rFonts w:ascii="Verdana" w:hAnsi="Verdana" w:cs="Verdana"/>
          <w:sz w:val="20"/>
          <w:szCs w:val="20"/>
        </w:rPr>
        <w:t xml:space="preserve"> </w:t>
      </w:r>
      <w:bookmarkEnd w:id="2"/>
    </w:p>
    <w:p w:rsidR="00B038CF" w:rsidRPr="00C43B1D" w:rsidRDefault="00B038CF" w:rsidP="00C62DC3">
      <w:pPr>
        <w:tabs>
          <w:tab w:val="left" w:pos="567"/>
        </w:tabs>
        <w:autoSpaceDE w:val="0"/>
        <w:autoSpaceDN w:val="0"/>
        <w:adjustRightInd w:val="0"/>
        <w:spacing w:after="0" w:line="240" w:lineRule="auto"/>
        <w:jc w:val="both"/>
        <w:rPr>
          <w:rFonts w:ascii="Verdana" w:hAnsi="Verdana" w:cs="Verdana"/>
          <w:b/>
          <w:color w:val="00B050"/>
          <w:sz w:val="20"/>
          <w:szCs w:val="20"/>
        </w:rPr>
      </w:pPr>
    </w:p>
    <w:p w:rsidR="00B157A2" w:rsidRPr="00C43B1D" w:rsidRDefault="00B157A2" w:rsidP="00C62DC3">
      <w:pPr>
        <w:tabs>
          <w:tab w:val="left" w:pos="567"/>
        </w:tabs>
        <w:spacing w:after="0" w:line="240" w:lineRule="auto"/>
        <w:jc w:val="center"/>
        <w:rPr>
          <w:rFonts w:ascii="Verdana" w:eastAsia="Times" w:hAnsi="Verdana"/>
          <w:b/>
          <w:bCs/>
          <w:sz w:val="20"/>
          <w:szCs w:val="20"/>
        </w:rPr>
      </w:pPr>
      <w:r w:rsidRPr="00C43B1D">
        <w:rPr>
          <w:rFonts w:ascii="Verdana" w:eastAsia="Times" w:hAnsi="Verdana"/>
          <w:b/>
          <w:bCs/>
          <w:sz w:val="20"/>
          <w:szCs w:val="20"/>
        </w:rPr>
        <w:t>II</w:t>
      </w:r>
    </w:p>
    <w:p w:rsidR="00B157A2" w:rsidRPr="00C43B1D" w:rsidRDefault="00B157A2" w:rsidP="00C62DC3">
      <w:pPr>
        <w:tabs>
          <w:tab w:val="left" w:pos="567"/>
        </w:tabs>
        <w:spacing w:after="0" w:line="240" w:lineRule="auto"/>
        <w:jc w:val="center"/>
        <w:rPr>
          <w:rFonts w:ascii="Verdana" w:eastAsia="Times" w:hAnsi="Verdana"/>
          <w:b/>
          <w:bCs/>
          <w:sz w:val="20"/>
          <w:szCs w:val="20"/>
        </w:rPr>
      </w:pPr>
      <w:r w:rsidRPr="00C43B1D">
        <w:rPr>
          <w:rFonts w:ascii="Verdana" w:eastAsia="Times" w:hAnsi="Verdana"/>
          <w:b/>
          <w:bCs/>
          <w:sz w:val="20"/>
          <w:szCs w:val="20"/>
        </w:rPr>
        <w:t>COMPETENCIA</w:t>
      </w:r>
    </w:p>
    <w:p w:rsidR="00B157A2" w:rsidRPr="00C43B1D" w:rsidRDefault="00B157A2" w:rsidP="00C62DC3">
      <w:pPr>
        <w:tabs>
          <w:tab w:val="left" w:pos="567"/>
        </w:tabs>
        <w:spacing w:after="0" w:line="240" w:lineRule="auto"/>
        <w:ind w:left="720"/>
        <w:jc w:val="both"/>
        <w:rPr>
          <w:rFonts w:ascii="Verdana" w:eastAsia="Batang" w:hAnsi="Verdana"/>
          <w:sz w:val="20"/>
          <w:szCs w:val="24"/>
        </w:rPr>
      </w:pPr>
    </w:p>
    <w:p w:rsidR="00B157A2" w:rsidRPr="00C43B1D" w:rsidRDefault="00B157A2" w:rsidP="00C62DC3">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bookmarkStart w:id="3" w:name="_Ref361668910"/>
      <w:r w:rsidRPr="00C43B1D">
        <w:rPr>
          <w:rFonts w:ascii="Verdana" w:eastAsia="Times" w:hAnsi="Verdana"/>
          <w:sz w:val="20"/>
          <w:szCs w:val="20"/>
        </w:rPr>
        <w:t>El artículo 67 de la Convención establece que:</w:t>
      </w:r>
      <w:bookmarkEnd w:id="3"/>
    </w:p>
    <w:p w:rsidR="00B157A2" w:rsidRPr="00C43B1D" w:rsidRDefault="00B157A2" w:rsidP="00C62DC3">
      <w:pPr>
        <w:tabs>
          <w:tab w:val="left" w:pos="567"/>
        </w:tabs>
        <w:autoSpaceDE w:val="0"/>
        <w:autoSpaceDN w:val="0"/>
        <w:adjustRightInd w:val="0"/>
        <w:spacing w:after="0" w:line="240" w:lineRule="auto"/>
        <w:jc w:val="both"/>
        <w:rPr>
          <w:rFonts w:ascii="Verdana" w:eastAsia="Times" w:hAnsi="Verdana"/>
          <w:bCs/>
          <w:sz w:val="20"/>
          <w:szCs w:val="20"/>
          <w:lang w:val="es-ES_tradnl"/>
        </w:rPr>
      </w:pPr>
    </w:p>
    <w:p w:rsidR="00B157A2" w:rsidRPr="00C43B1D" w:rsidRDefault="00B157A2" w:rsidP="00C62DC3">
      <w:pPr>
        <w:tabs>
          <w:tab w:val="left" w:pos="567"/>
        </w:tabs>
        <w:spacing w:after="0" w:line="240" w:lineRule="auto"/>
        <w:ind w:left="567" w:right="639"/>
        <w:jc w:val="both"/>
        <w:rPr>
          <w:rFonts w:ascii="Verdana" w:eastAsia="Times" w:hAnsi="Verdana"/>
          <w:sz w:val="16"/>
          <w:szCs w:val="16"/>
          <w:lang w:val="es-ES_tradnl"/>
        </w:rPr>
      </w:pPr>
      <w:r w:rsidRPr="00C43B1D">
        <w:rPr>
          <w:rFonts w:ascii="Verdana" w:eastAsia="Times" w:hAnsi="Verdana"/>
          <w:sz w:val="16"/>
          <w:szCs w:val="16"/>
          <w:lang w:val="es-ES_tradnl"/>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B157A2" w:rsidRPr="00C43B1D" w:rsidRDefault="00B157A2" w:rsidP="00C62DC3">
      <w:pPr>
        <w:tabs>
          <w:tab w:val="left" w:pos="567"/>
        </w:tabs>
        <w:spacing w:after="0" w:line="240" w:lineRule="auto"/>
        <w:ind w:left="720" w:right="639"/>
        <w:jc w:val="both"/>
        <w:rPr>
          <w:rFonts w:ascii="Verdana" w:eastAsia="Times" w:hAnsi="Verdana"/>
          <w:sz w:val="18"/>
          <w:szCs w:val="18"/>
          <w:lang w:val="es-ES_tradnl"/>
        </w:rPr>
      </w:pPr>
    </w:p>
    <w:p w:rsidR="00B157A2" w:rsidRPr="00C43B1D" w:rsidRDefault="00B157A2" w:rsidP="00C62DC3">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r w:rsidRPr="00C43B1D">
        <w:rPr>
          <w:rFonts w:ascii="Verdana" w:eastAsia="Times" w:hAnsi="Verdana"/>
          <w:sz w:val="20"/>
          <w:szCs w:val="20"/>
        </w:rPr>
        <w:t xml:space="preserve">De conformidad con el artículo citado, la Corte es competente para interpretar sus fallos. Para realizar el examen de la solicitud de interpretación y resolver lo que a este respecto corresponda, el Tribunal debe tener, si es posible, la misma composición que tenía al dictar la Sentencia respectiva, de acuerdo con el artículo 68.3 del Reglamento. En esta ocasión, la Corte se integra </w:t>
      </w:r>
      <w:r w:rsidR="009C7845">
        <w:rPr>
          <w:rFonts w:ascii="Verdana" w:eastAsia="Times" w:hAnsi="Verdana"/>
          <w:sz w:val="20"/>
          <w:szCs w:val="20"/>
        </w:rPr>
        <w:t>por</w:t>
      </w:r>
      <w:r w:rsidRPr="00C43B1D">
        <w:rPr>
          <w:rFonts w:ascii="Verdana" w:eastAsia="Times" w:hAnsi="Verdana"/>
          <w:sz w:val="20"/>
          <w:szCs w:val="20"/>
        </w:rPr>
        <w:t xml:space="preserve"> los </w:t>
      </w:r>
      <w:r w:rsidR="009C7845">
        <w:rPr>
          <w:rFonts w:ascii="Verdana" w:eastAsia="Times" w:hAnsi="Verdana"/>
          <w:sz w:val="20"/>
          <w:szCs w:val="20"/>
        </w:rPr>
        <w:t xml:space="preserve">mismos </w:t>
      </w:r>
      <w:r w:rsidRPr="00C43B1D">
        <w:rPr>
          <w:rFonts w:ascii="Verdana" w:eastAsia="Times" w:hAnsi="Verdana"/>
          <w:sz w:val="20"/>
          <w:szCs w:val="20"/>
        </w:rPr>
        <w:t>jueces que dictaron la Sentencia</w:t>
      </w:r>
      <w:bookmarkStart w:id="4" w:name="_Ref364680909"/>
      <w:r w:rsidR="00C035F0" w:rsidRPr="00C43B1D">
        <w:rPr>
          <w:rFonts w:ascii="Verdana" w:eastAsia="Times" w:hAnsi="Verdana"/>
          <w:sz w:val="20"/>
          <w:szCs w:val="20"/>
        </w:rPr>
        <w:t>.</w:t>
      </w:r>
    </w:p>
    <w:p w:rsidR="00B038CF" w:rsidRPr="00C43B1D" w:rsidRDefault="00B038CF" w:rsidP="00C62DC3">
      <w:pPr>
        <w:tabs>
          <w:tab w:val="left" w:pos="567"/>
        </w:tabs>
        <w:autoSpaceDE w:val="0"/>
        <w:autoSpaceDN w:val="0"/>
        <w:adjustRightInd w:val="0"/>
        <w:spacing w:after="0" w:line="240" w:lineRule="auto"/>
        <w:jc w:val="both"/>
        <w:rPr>
          <w:rFonts w:ascii="Verdana" w:eastAsia="Times" w:hAnsi="Verdana"/>
          <w:sz w:val="20"/>
          <w:szCs w:val="20"/>
          <w:lang w:val="es-ES_tradnl"/>
        </w:rPr>
      </w:pPr>
    </w:p>
    <w:bookmarkEnd w:id="4"/>
    <w:p w:rsidR="00B157A2" w:rsidRPr="00C43B1D" w:rsidRDefault="00561DD5" w:rsidP="00C62DC3">
      <w:pPr>
        <w:tabs>
          <w:tab w:val="left" w:pos="567"/>
        </w:tabs>
        <w:autoSpaceDE w:val="0"/>
        <w:autoSpaceDN w:val="0"/>
        <w:adjustRightInd w:val="0"/>
        <w:spacing w:after="0" w:line="240" w:lineRule="auto"/>
        <w:jc w:val="center"/>
        <w:rPr>
          <w:rFonts w:ascii="Verdana" w:hAnsi="Verdana" w:cs="Verdana"/>
          <w:b/>
          <w:sz w:val="20"/>
          <w:szCs w:val="20"/>
        </w:rPr>
      </w:pPr>
      <w:r w:rsidRPr="00C43B1D">
        <w:rPr>
          <w:rFonts w:ascii="Verdana" w:hAnsi="Verdana" w:cs="Verdana"/>
          <w:b/>
          <w:sz w:val="20"/>
          <w:szCs w:val="20"/>
        </w:rPr>
        <w:t>III</w:t>
      </w:r>
    </w:p>
    <w:p w:rsidR="00B157A2" w:rsidRPr="00C43B1D" w:rsidRDefault="00B157A2" w:rsidP="00C62DC3">
      <w:pPr>
        <w:tabs>
          <w:tab w:val="left" w:pos="567"/>
        </w:tabs>
        <w:autoSpaceDE w:val="0"/>
        <w:autoSpaceDN w:val="0"/>
        <w:adjustRightInd w:val="0"/>
        <w:spacing w:after="0" w:line="240" w:lineRule="auto"/>
        <w:jc w:val="center"/>
        <w:rPr>
          <w:rFonts w:ascii="Verdana" w:hAnsi="Verdana" w:cs="Verdana"/>
          <w:b/>
          <w:sz w:val="20"/>
          <w:szCs w:val="20"/>
        </w:rPr>
      </w:pPr>
      <w:r w:rsidRPr="00C43B1D">
        <w:rPr>
          <w:rFonts w:ascii="Verdana" w:hAnsi="Verdana" w:cs="Verdana"/>
          <w:b/>
          <w:sz w:val="20"/>
          <w:szCs w:val="20"/>
        </w:rPr>
        <w:t>ADMISIBILIDAD</w:t>
      </w:r>
    </w:p>
    <w:p w:rsidR="00B038CF" w:rsidRPr="00C43B1D" w:rsidRDefault="00B038CF" w:rsidP="00B038CF">
      <w:pPr>
        <w:tabs>
          <w:tab w:val="left" w:pos="567"/>
        </w:tabs>
        <w:autoSpaceDE w:val="0"/>
        <w:autoSpaceDN w:val="0"/>
        <w:adjustRightInd w:val="0"/>
        <w:spacing w:after="0" w:line="240" w:lineRule="auto"/>
        <w:jc w:val="both"/>
        <w:rPr>
          <w:rFonts w:ascii="Verdana" w:hAnsi="Verdana" w:cs="Verdana"/>
          <w:sz w:val="20"/>
          <w:szCs w:val="20"/>
        </w:rPr>
      </w:pPr>
      <w:bookmarkStart w:id="5" w:name="_Ref363125960"/>
    </w:p>
    <w:p w:rsidR="00B157A2" w:rsidRPr="00C43B1D" w:rsidRDefault="00B157A2" w:rsidP="00C62DC3">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C43B1D">
        <w:rPr>
          <w:rFonts w:ascii="Verdana" w:eastAsia="Times" w:hAnsi="Verdana"/>
          <w:sz w:val="20"/>
          <w:szCs w:val="20"/>
          <w:lang w:val="es-ES_tradnl"/>
        </w:rPr>
        <w:t>Corresponde a la Corte verificar s</w:t>
      </w:r>
      <w:r w:rsidR="00F31A0E" w:rsidRPr="00C43B1D">
        <w:rPr>
          <w:rFonts w:ascii="Verdana" w:eastAsia="Times" w:hAnsi="Verdana"/>
          <w:sz w:val="20"/>
          <w:szCs w:val="20"/>
          <w:lang w:val="es-ES_tradnl"/>
        </w:rPr>
        <w:t>i la</w:t>
      </w:r>
      <w:r w:rsidR="00B038CF" w:rsidRPr="00C43B1D">
        <w:rPr>
          <w:rFonts w:ascii="Verdana" w:eastAsia="Times" w:hAnsi="Verdana"/>
          <w:sz w:val="20"/>
          <w:szCs w:val="20"/>
          <w:lang w:val="es-ES_tradnl"/>
        </w:rPr>
        <w:t>s</w:t>
      </w:r>
      <w:r w:rsidR="00F31A0E" w:rsidRPr="00C43B1D">
        <w:rPr>
          <w:rFonts w:ascii="Verdana" w:eastAsia="Times" w:hAnsi="Verdana"/>
          <w:sz w:val="20"/>
          <w:szCs w:val="20"/>
          <w:lang w:val="es-ES_tradnl"/>
        </w:rPr>
        <w:t xml:space="preserve"> solicitud</w:t>
      </w:r>
      <w:r w:rsidR="00B038CF" w:rsidRPr="00C43B1D">
        <w:rPr>
          <w:rFonts w:ascii="Verdana" w:eastAsia="Times" w:hAnsi="Verdana"/>
          <w:sz w:val="20"/>
          <w:szCs w:val="20"/>
          <w:lang w:val="es-ES_tradnl"/>
        </w:rPr>
        <w:t>es</w:t>
      </w:r>
      <w:r w:rsidR="00F31A0E" w:rsidRPr="00C43B1D">
        <w:rPr>
          <w:rFonts w:ascii="Verdana" w:eastAsia="Times" w:hAnsi="Verdana"/>
          <w:sz w:val="20"/>
          <w:szCs w:val="20"/>
          <w:lang w:val="es-ES_tradnl"/>
        </w:rPr>
        <w:t xml:space="preserve"> presentada</w:t>
      </w:r>
      <w:r w:rsidR="00B038CF" w:rsidRPr="00C43B1D">
        <w:rPr>
          <w:rFonts w:ascii="Verdana" w:eastAsia="Times" w:hAnsi="Verdana"/>
          <w:sz w:val="20"/>
          <w:szCs w:val="20"/>
          <w:lang w:val="es-ES_tradnl"/>
        </w:rPr>
        <w:t>s</w:t>
      </w:r>
      <w:r w:rsidR="00F31A0E" w:rsidRPr="00C43B1D">
        <w:rPr>
          <w:rFonts w:ascii="Verdana" w:eastAsia="Times" w:hAnsi="Verdana"/>
          <w:sz w:val="20"/>
          <w:szCs w:val="20"/>
          <w:lang w:val="es-ES_tradnl"/>
        </w:rPr>
        <w:t xml:space="preserve"> por lo</w:t>
      </w:r>
      <w:r w:rsidRPr="00C43B1D">
        <w:rPr>
          <w:rFonts w:ascii="Verdana" w:eastAsia="Times" w:hAnsi="Verdana"/>
          <w:sz w:val="20"/>
          <w:szCs w:val="20"/>
          <w:lang w:val="es-ES_tradnl"/>
        </w:rPr>
        <w:t xml:space="preserve">s representantes </w:t>
      </w:r>
      <w:r w:rsidR="00C035F0" w:rsidRPr="00C43B1D">
        <w:rPr>
          <w:rFonts w:ascii="Verdana" w:eastAsia="Times" w:hAnsi="Verdana"/>
          <w:sz w:val="20"/>
          <w:szCs w:val="20"/>
          <w:lang w:val="es-ES_tradnl"/>
        </w:rPr>
        <w:t xml:space="preserve">y por los Defensores Interamericanos </w:t>
      </w:r>
      <w:r w:rsidRPr="00C43B1D">
        <w:rPr>
          <w:rFonts w:ascii="Verdana" w:eastAsia="Times" w:hAnsi="Verdana"/>
          <w:sz w:val="20"/>
          <w:szCs w:val="20"/>
          <w:lang w:val="es-ES_tradnl"/>
        </w:rPr>
        <w:t>cumple</w:t>
      </w:r>
      <w:r w:rsidR="00B038CF" w:rsidRPr="00C43B1D">
        <w:rPr>
          <w:rFonts w:ascii="Verdana" w:eastAsia="Times" w:hAnsi="Verdana"/>
          <w:sz w:val="20"/>
          <w:szCs w:val="20"/>
          <w:lang w:val="es-ES_tradnl"/>
        </w:rPr>
        <w:t>n</w:t>
      </w:r>
      <w:r w:rsidRPr="00C43B1D">
        <w:rPr>
          <w:rFonts w:ascii="Verdana" w:eastAsia="Times" w:hAnsi="Verdana"/>
          <w:sz w:val="20"/>
          <w:szCs w:val="20"/>
          <w:lang w:val="es-ES_tradnl"/>
        </w:rPr>
        <w:t xml:space="preserve"> con los requisitos establecidos en las normas aplicables a una solicitud de interpretación de Sentencia, a saber, el artículo 67 de la Convención, anteriormente citado, y el artículo 68 del Reglamento que dispone, en lo pertinente, que:</w:t>
      </w:r>
      <w:bookmarkEnd w:id="5"/>
    </w:p>
    <w:p w:rsidR="00B157A2" w:rsidRPr="00C43B1D" w:rsidRDefault="00B157A2" w:rsidP="00C62DC3">
      <w:pPr>
        <w:tabs>
          <w:tab w:val="left" w:pos="567"/>
        </w:tabs>
        <w:spacing w:after="0" w:line="240" w:lineRule="auto"/>
        <w:rPr>
          <w:rFonts w:ascii="Verdana" w:eastAsia="Times" w:hAnsi="Verdana"/>
          <w:sz w:val="16"/>
          <w:szCs w:val="20"/>
        </w:rPr>
      </w:pPr>
    </w:p>
    <w:p w:rsidR="00B157A2" w:rsidRPr="00C43B1D" w:rsidRDefault="00B157A2" w:rsidP="00C62DC3">
      <w:pPr>
        <w:tabs>
          <w:tab w:val="left" w:pos="567"/>
        </w:tabs>
        <w:spacing w:after="0" w:line="240" w:lineRule="auto"/>
        <w:ind w:left="567" w:right="720"/>
        <w:jc w:val="both"/>
        <w:rPr>
          <w:rFonts w:ascii="Verdana" w:eastAsia="Times" w:hAnsi="Verdana"/>
          <w:sz w:val="16"/>
          <w:szCs w:val="16"/>
          <w:lang w:val="es-ES_tradnl"/>
        </w:rPr>
      </w:pPr>
      <w:r w:rsidRPr="00C43B1D">
        <w:rPr>
          <w:rFonts w:ascii="Verdana" w:eastAsia="Times" w:hAnsi="Verdana"/>
          <w:sz w:val="16"/>
          <w:szCs w:val="16"/>
          <w:lang w:val="es-ES_tradnl"/>
        </w:rPr>
        <w:t>1.</w:t>
      </w:r>
      <w:r w:rsidRPr="00C43B1D">
        <w:rPr>
          <w:rFonts w:ascii="Verdana" w:eastAsia="Times" w:hAnsi="Verdana"/>
          <w:sz w:val="16"/>
          <w:szCs w:val="16"/>
          <w:lang w:val="es-ES_tradnl"/>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B157A2" w:rsidRPr="00C43B1D" w:rsidRDefault="00B157A2" w:rsidP="00C62DC3">
      <w:pPr>
        <w:tabs>
          <w:tab w:val="left" w:pos="567"/>
        </w:tabs>
        <w:spacing w:after="0" w:line="240" w:lineRule="auto"/>
        <w:ind w:left="567" w:right="720"/>
        <w:rPr>
          <w:rFonts w:ascii="Verdana" w:eastAsia="Times" w:hAnsi="Verdana"/>
          <w:sz w:val="16"/>
          <w:szCs w:val="16"/>
          <w:lang w:val="es-ES_tradnl"/>
        </w:rPr>
      </w:pPr>
      <w:r w:rsidRPr="00C43B1D">
        <w:rPr>
          <w:rFonts w:ascii="Verdana" w:eastAsia="Times" w:hAnsi="Verdana"/>
          <w:sz w:val="16"/>
          <w:szCs w:val="16"/>
          <w:lang w:val="es-ES_tradnl"/>
        </w:rPr>
        <w:t>[…]</w:t>
      </w:r>
    </w:p>
    <w:p w:rsidR="003B4B99" w:rsidRPr="00C43B1D" w:rsidRDefault="003B4B99" w:rsidP="00C62DC3">
      <w:pPr>
        <w:tabs>
          <w:tab w:val="left" w:pos="567"/>
        </w:tabs>
        <w:spacing w:after="0" w:line="240" w:lineRule="auto"/>
        <w:ind w:left="567" w:right="720"/>
        <w:rPr>
          <w:rFonts w:ascii="Verdana" w:eastAsia="Times" w:hAnsi="Verdana"/>
          <w:sz w:val="16"/>
          <w:szCs w:val="16"/>
          <w:lang w:val="es-ES_tradnl"/>
        </w:rPr>
      </w:pPr>
    </w:p>
    <w:p w:rsidR="00B157A2" w:rsidRPr="00C43B1D" w:rsidRDefault="00B157A2" w:rsidP="00C62DC3">
      <w:pPr>
        <w:tabs>
          <w:tab w:val="left" w:pos="567"/>
        </w:tabs>
        <w:spacing w:after="0" w:line="240" w:lineRule="auto"/>
        <w:ind w:left="567" w:right="720"/>
        <w:jc w:val="both"/>
        <w:rPr>
          <w:rFonts w:ascii="Verdana" w:eastAsia="Times" w:hAnsi="Verdana"/>
          <w:sz w:val="16"/>
          <w:szCs w:val="16"/>
          <w:lang w:val="es-ES_tradnl"/>
        </w:rPr>
      </w:pPr>
      <w:r w:rsidRPr="00C43B1D">
        <w:rPr>
          <w:rFonts w:ascii="Verdana" w:eastAsia="Times" w:hAnsi="Verdana"/>
          <w:sz w:val="16"/>
          <w:szCs w:val="16"/>
          <w:lang w:val="es-ES_tradnl"/>
        </w:rPr>
        <w:t>4.</w:t>
      </w:r>
      <w:r w:rsidRPr="00C43B1D">
        <w:rPr>
          <w:rFonts w:ascii="Verdana" w:eastAsia="Times" w:hAnsi="Verdana"/>
          <w:sz w:val="16"/>
          <w:szCs w:val="16"/>
          <w:lang w:val="es-ES_tradnl"/>
        </w:rPr>
        <w:tab/>
        <w:t>La solicitud de interpretación no suspenderá la ejecución de la sentencia.</w:t>
      </w:r>
    </w:p>
    <w:p w:rsidR="003B4B99" w:rsidRPr="00C43B1D" w:rsidRDefault="003B4B99" w:rsidP="00C62DC3">
      <w:pPr>
        <w:tabs>
          <w:tab w:val="left" w:pos="567"/>
        </w:tabs>
        <w:spacing w:after="0" w:line="240" w:lineRule="auto"/>
        <w:ind w:left="567" w:right="702"/>
        <w:jc w:val="both"/>
        <w:rPr>
          <w:rFonts w:ascii="Verdana" w:eastAsia="Times" w:hAnsi="Verdana"/>
          <w:sz w:val="16"/>
          <w:szCs w:val="16"/>
          <w:lang w:val="es-ES_tradnl"/>
        </w:rPr>
      </w:pPr>
    </w:p>
    <w:p w:rsidR="00B157A2" w:rsidRPr="00C43B1D" w:rsidRDefault="00B157A2" w:rsidP="00C62DC3">
      <w:pPr>
        <w:tabs>
          <w:tab w:val="left" w:pos="567"/>
        </w:tabs>
        <w:spacing w:after="0" w:line="240" w:lineRule="auto"/>
        <w:ind w:left="567" w:right="702"/>
        <w:jc w:val="both"/>
        <w:rPr>
          <w:rFonts w:ascii="Verdana" w:eastAsia="Times" w:hAnsi="Verdana"/>
          <w:sz w:val="16"/>
          <w:szCs w:val="16"/>
          <w:lang w:val="es-ES_tradnl"/>
        </w:rPr>
      </w:pPr>
      <w:r w:rsidRPr="00C43B1D">
        <w:rPr>
          <w:rFonts w:ascii="Verdana" w:eastAsia="Times" w:hAnsi="Verdana"/>
          <w:sz w:val="16"/>
          <w:szCs w:val="16"/>
          <w:lang w:val="es-ES_tradnl"/>
        </w:rPr>
        <w:t>5.</w:t>
      </w:r>
      <w:r w:rsidRPr="00C43B1D">
        <w:rPr>
          <w:rFonts w:ascii="Verdana" w:eastAsia="Times" w:hAnsi="Verdana"/>
          <w:sz w:val="16"/>
          <w:szCs w:val="16"/>
          <w:lang w:val="es-ES_tradnl"/>
        </w:rPr>
        <w:tab/>
        <w:t>La Corte determinará el procedimiento que se seguirá y resolverá mediante una sentencia.</w:t>
      </w:r>
      <w:r w:rsidRPr="00C43B1D">
        <w:rPr>
          <w:rFonts w:ascii="Verdana" w:eastAsia="Times" w:hAnsi="Verdana"/>
          <w:sz w:val="18"/>
          <w:szCs w:val="18"/>
          <w:lang w:val="es-ES_tradnl"/>
        </w:rPr>
        <w:t xml:space="preserve"> </w:t>
      </w:r>
    </w:p>
    <w:p w:rsidR="0058128C" w:rsidRPr="00C43B1D" w:rsidRDefault="0058128C" w:rsidP="00C62DC3">
      <w:pPr>
        <w:tabs>
          <w:tab w:val="left" w:pos="567"/>
        </w:tabs>
        <w:spacing w:after="0" w:line="240" w:lineRule="auto"/>
        <w:jc w:val="both"/>
        <w:rPr>
          <w:rFonts w:ascii="Verdana" w:eastAsia="Times" w:hAnsi="Verdana"/>
          <w:sz w:val="20"/>
          <w:szCs w:val="20"/>
          <w:lang w:val="es-ES_tradnl"/>
        </w:rPr>
      </w:pPr>
      <w:bookmarkStart w:id="6" w:name="_Ref363125964"/>
    </w:p>
    <w:p w:rsidR="00B157A2" w:rsidRPr="00C43B1D" w:rsidRDefault="00B157A2" w:rsidP="00C62DC3">
      <w:pPr>
        <w:numPr>
          <w:ilvl w:val="0"/>
          <w:numId w:val="1"/>
        </w:numPr>
        <w:tabs>
          <w:tab w:val="left" w:pos="567"/>
          <w:tab w:val="num" w:pos="720"/>
        </w:tabs>
        <w:spacing w:after="0" w:line="240" w:lineRule="auto"/>
        <w:jc w:val="both"/>
        <w:rPr>
          <w:rFonts w:ascii="Verdana" w:eastAsia="Times" w:hAnsi="Verdana"/>
          <w:sz w:val="20"/>
          <w:szCs w:val="20"/>
          <w:lang w:val="es-ES_tradnl"/>
        </w:rPr>
      </w:pPr>
      <w:r w:rsidRPr="00C43B1D">
        <w:rPr>
          <w:rFonts w:ascii="Verdana" w:eastAsia="Times" w:hAnsi="Verdana"/>
          <w:sz w:val="20"/>
          <w:szCs w:val="20"/>
          <w:lang w:val="es-ES_tradnl"/>
        </w:rPr>
        <w:lastRenderedPageBreak/>
        <w:t>Asimismo, el artículo 31.3 del Reglamento establece que “[c]ontra las sentencias y resoluciones de la Corte no procede ningún medio de impugnación”.</w:t>
      </w:r>
      <w:bookmarkEnd w:id="6"/>
    </w:p>
    <w:p w:rsidR="00B157A2" w:rsidRPr="00C43B1D" w:rsidRDefault="00B157A2" w:rsidP="00C62DC3">
      <w:pPr>
        <w:tabs>
          <w:tab w:val="left" w:pos="567"/>
        </w:tabs>
        <w:spacing w:after="0" w:line="240" w:lineRule="auto"/>
        <w:ind w:left="720"/>
        <w:jc w:val="both"/>
        <w:rPr>
          <w:rFonts w:ascii="Verdana" w:eastAsia="Batang" w:hAnsi="Verdana"/>
          <w:sz w:val="20"/>
          <w:szCs w:val="24"/>
          <w:lang w:val="es-ES_tradnl"/>
        </w:rPr>
      </w:pPr>
    </w:p>
    <w:p w:rsidR="00B157A2" w:rsidRPr="00C43B1D" w:rsidRDefault="00B157A2" w:rsidP="00C62DC3">
      <w:pPr>
        <w:numPr>
          <w:ilvl w:val="0"/>
          <w:numId w:val="1"/>
        </w:numPr>
        <w:tabs>
          <w:tab w:val="left" w:pos="567"/>
          <w:tab w:val="num" w:pos="720"/>
        </w:tabs>
        <w:spacing w:after="0" w:line="240" w:lineRule="auto"/>
        <w:jc w:val="both"/>
        <w:rPr>
          <w:rFonts w:ascii="Verdana" w:eastAsia="Times" w:hAnsi="Verdana"/>
          <w:sz w:val="20"/>
          <w:szCs w:val="20"/>
          <w:lang w:val="es-ES_tradnl"/>
        </w:rPr>
      </w:pPr>
      <w:r w:rsidRPr="00C43B1D">
        <w:rPr>
          <w:rFonts w:ascii="Verdana" w:eastAsia="Times" w:hAnsi="Verdana"/>
          <w:sz w:val="20"/>
          <w:szCs w:val="20"/>
          <w:lang w:val="es-ES_tradnl"/>
        </w:rPr>
        <w:t xml:space="preserve">La Corte </w:t>
      </w:r>
      <w:r w:rsidR="00783403">
        <w:rPr>
          <w:rFonts w:ascii="Verdana" w:eastAsia="Times" w:hAnsi="Verdana"/>
          <w:sz w:val="20"/>
          <w:szCs w:val="20"/>
          <w:lang w:val="es-ES_tradnl"/>
        </w:rPr>
        <w:t>observa</w:t>
      </w:r>
      <w:r w:rsidRPr="00C43B1D">
        <w:rPr>
          <w:rFonts w:ascii="Verdana" w:eastAsia="Times" w:hAnsi="Verdana"/>
          <w:sz w:val="20"/>
          <w:szCs w:val="20"/>
          <w:lang w:val="es-ES_tradnl"/>
        </w:rPr>
        <w:t xml:space="preserve"> que l</w:t>
      </w:r>
      <w:r w:rsidR="00F31A0E" w:rsidRPr="00C43B1D">
        <w:rPr>
          <w:rFonts w:ascii="Verdana" w:eastAsia="Times" w:hAnsi="Verdana"/>
          <w:sz w:val="20"/>
          <w:szCs w:val="20"/>
          <w:lang w:val="es-ES_tradnl"/>
        </w:rPr>
        <w:t>o</w:t>
      </w:r>
      <w:r w:rsidRPr="00C43B1D">
        <w:rPr>
          <w:rFonts w:ascii="Verdana" w:eastAsia="Times" w:hAnsi="Verdana"/>
          <w:sz w:val="20"/>
          <w:szCs w:val="20"/>
          <w:lang w:val="es-ES_tradnl"/>
        </w:rPr>
        <w:t>s representantes</w:t>
      </w:r>
      <w:r w:rsidR="008764A2" w:rsidRPr="00C43B1D">
        <w:rPr>
          <w:rFonts w:ascii="Verdana" w:eastAsia="Times" w:hAnsi="Verdana"/>
          <w:sz w:val="20"/>
          <w:szCs w:val="20"/>
          <w:lang w:val="es-ES_tradnl"/>
        </w:rPr>
        <w:t xml:space="preserve"> </w:t>
      </w:r>
      <w:r w:rsidR="00C20E4E" w:rsidRPr="00C43B1D">
        <w:rPr>
          <w:rFonts w:ascii="Verdana" w:hAnsi="Verdana" w:cs="Verdana"/>
          <w:sz w:val="20"/>
          <w:szCs w:val="20"/>
        </w:rPr>
        <w:t xml:space="preserve">Mauricio Cueto y Alberto De </w:t>
      </w:r>
      <w:r w:rsidR="008764A2" w:rsidRPr="00C43B1D">
        <w:rPr>
          <w:rFonts w:ascii="Verdana" w:hAnsi="Verdana" w:cs="Verdana"/>
          <w:sz w:val="20"/>
          <w:szCs w:val="20"/>
        </w:rPr>
        <w:t>Vita</w:t>
      </w:r>
      <w:r w:rsidRPr="00C43B1D">
        <w:rPr>
          <w:rFonts w:ascii="Verdana" w:eastAsia="Times" w:hAnsi="Verdana"/>
          <w:sz w:val="20"/>
          <w:szCs w:val="20"/>
          <w:lang w:val="es-ES_tradnl"/>
        </w:rPr>
        <w:t xml:space="preserve"> remitieron la solicitud de interpretación el </w:t>
      </w:r>
      <w:r w:rsidR="008764A2" w:rsidRPr="00C43B1D">
        <w:rPr>
          <w:rFonts w:ascii="Verdana" w:eastAsia="Times" w:hAnsi="Verdana"/>
          <w:sz w:val="20"/>
          <w:szCs w:val="20"/>
          <w:lang w:val="es-ES_tradnl"/>
        </w:rPr>
        <w:t>16</w:t>
      </w:r>
      <w:r w:rsidR="00AE0881" w:rsidRPr="00C43B1D">
        <w:rPr>
          <w:rFonts w:ascii="Verdana" w:eastAsia="Times" w:hAnsi="Verdana"/>
          <w:sz w:val="20"/>
          <w:szCs w:val="20"/>
          <w:lang w:val="es-ES_tradnl"/>
        </w:rPr>
        <w:t xml:space="preserve"> </w:t>
      </w:r>
      <w:r w:rsidRPr="00C43B1D">
        <w:rPr>
          <w:rFonts w:ascii="Verdana" w:eastAsia="Times" w:hAnsi="Verdana"/>
          <w:sz w:val="20"/>
          <w:szCs w:val="20"/>
          <w:lang w:val="es-ES_tradnl"/>
        </w:rPr>
        <w:t xml:space="preserve">de </w:t>
      </w:r>
      <w:r w:rsidR="008764A2" w:rsidRPr="00C43B1D">
        <w:rPr>
          <w:rFonts w:ascii="Verdana" w:eastAsia="Times" w:hAnsi="Verdana"/>
          <w:sz w:val="20"/>
          <w:szCs w:val="20"/>
          <w:lang w:val="es-ES_tradnl"/>
        </w:rPr>
        <w:t>diciembre</w:t>
      </w:r>
      <w:r w:rsidR="00AE0881" w:rsidRPr="00C43B1D">
        <w:rPr>
          <w:rFonts w:ascii="Verdana" w:eastAsia="Times" w:hAnsi="Verdana"/>
          <w:sz w:val="20"/>
          <w:szCs w:val="20"/>
          <w:lang w:val="es-ES_tradnl"/>
        </w:rPr>
        <w:t xml:space="preserve"> de 2014</w:t>
      </w:r>
      <w:r w:rsidRPr="00C43B1D">
        <w:rPr>
          <w:rFonts w:ascii="Verdana" w:eastAsia="Times" w:hAnsi="Verdana"/>
          <w:sz w:val="20"/>
          <w:szCs w:val="20"/>
          <w:lang w:val="es-ES_tradnl"/>
        </w:rPr>
        <w:t>,</w:t>
      </w:r>
      <w:r w:rsidR="008764A2" w:rsidRPr="00C43B1D">
        <w:rPr>
          <w:rFonts w:ascii="Verdana" w:eastAsia="Times" w:hAnsi="Verdana"/>
          <w:sz w:val="20"/>
          <w:szCs w:val="20"/>
          <w:lang w:val="es-ES_tradnl"/>
        </w:rPr>
        <w:t xml:space="preserve"> y los Defensores Interamericanos lo hicieron el 22 de diciembre de 2014, ambos</w:t>
      </w:r>
      <w:r w:rsidRPr="00C43B1D">
        <w:rPr>
          <w:rFonts w:ascii="Verdana" w:eastAsia="Times" w:hAnsi="Verdana"/>
          <w:sz w:val="20"/>
          <w:szCs w:val="20"/>
          <w:lang w:val="es-ES_tradnl"/>
        </w:rPr>
        <w:t xml:space="preserve"> dentro del plazo establecido en el artículo 67 de la Convención, ya</w:t>
      </w:r>
      <w:r w:rsidR="008764A2" w:rsidRPr="00C43B1D">
        <w:rPr>
          <w:rFonts w:ascii="Verdana" w:eastAsia="Times" w:hAnsi="Verdana"/>
          <w:sz w:val="20"/>
          <w:szCs w:val="20"/>
          <w:lang w:val="es-ES_tradnl"/>
        </w:rPr>
        <w:t xml:space="preserve"> que la misma fue notificada el 15 de diciembre de 2014</w:t>
      </w:r>
      <w:r w:rsidRPr="00C43B1D">
        <w:rPr>
          <w:rFonts w:ascii="Verdana" w:eastAsia="Times" w:hAnsi="Verdana"/>
          <w:sz w:val="20"/>
          <w:szCs w:val="20"/>
          <w:lang w:val="es-ES_tradnl"/>
        </w:rPr>
        <w:t>. Por ende, la</w:t>
      </w:r>
      <w:r w:rsidR="008764A2" w:rsidRPr="00C43B1D">
        <w:rPr>
          <w:rFonts w:ascii="Verdana" w:eastAsia="Times" w:hAnsi="Verdana"/>
          <w:sz w:val="20"/>
          <w:szCs w:val="20"/>
          <w:lang w:val="es-ES_tradnl"/>
        </w:rPr>
        <w:t>s</w:t>
      </w:r>
      <w:r w:rsidRPr="00C43B1D">
        <w:rPr>
          <w:rFonts w:ascii="Verdana" w:eastAsia="Times" w:hAnsi="Verdana"/>
          <w:sz w:val="20"/>
          <w:szCs w:val="20"/>
          <w:lang w:val="es-ES_tradnl"/>
        </w:rPr>
        <w:t xml:space="preserve"> solicitud</w:t>
      </w:r>
      <w:r w:rsidR="008764A2" w:rsidRPr="00C43B1D">
        <w:rPr>
          <w:rFonts w:ascii="Verdana" w:eastAsia="Times" w:hAnsi="Verdana"/>
          <w:sz w:val="20"/>
          <w:szCs w:val="20"/>
          <w:lang w:val="es-ES_tradnl"/>
        </w:rPr>
        <w:t>es</w:t>
      </w:r>
      <w:r w:rsidRPr="00C43B1D">
        <w:rPr>
          <w:rFonts w:ascii="Verdana" w:eastAsia="Times" w:hAnsi="Verdana"/>
          <w:sz w:val="20"/>
          <w:szCs w:val="20"/>
          <w:lang w:val="es-ES_tradnl"/>
        </w:rPr>
        <w:t xml:space="preserve"> resulta</w:t>
      </w:r>
      <w:r w:rsidR="008764A2" w:rsidRPr="00C43B1D">
        <w:rPr>
          <w:rFonts w:ascii="Verdana" w:eastAsia="Times" w:hAnsi="Verdana"/>
          <w:sz w:val="20"/>
          <w:szCs w:val="20"/>
          <w:lang w:val="es-ES_tradnl"/>
        </w:rPr>
        <w:t>n</w:t>
      </w:r>
      <w:r w:rsidRPr="00C43B1D">
        <w:rPr>
          <w:rFonts w:ascii="Verdana" w:eastAsia="Times" w:hAnsi="Verdana"/>
          <w:sz w:val="20"/>
          <w:szCs w:val="20"/>
          <w:lang w:val="es-ES_tradnl"/>
        </w:rPr>
        <w:t xml:space="preserve"> admisible</w:t>
      </w:r>
      <w:r w:rsidR="008764A2" w:rsidRPr="00C43B1D">
        <w:rPr>
          <w:rFonts w:ascii="Verdana" w:eastAsia="Times" w:hAnsi="Verdana"/>
          <w:sz w:val="20"/>
          <w:szCs w:val="20"/>
          <w:lang w:val="es-ES_tradnl"/>
        </w:rPr>
        <w:t>s</w:t>
      </w:r>
      <w:r w:rsidRPr="00C43B1D">
        <w:rPr>
          <w:rFonts w:ascii="Verdana" w:eastAsia="Times" w:hAnsi="Verdana"/>
          <w:sz w:val="20"/>
          <w:szCs w:val="20"/>
          <w:lang w:val="es-ES_tradnl"/>
        </w:rPr>
        <w:t xml:space="preserve"> en lo que se refiere al plazo de su presentación. </w:t>
      </w:r>
      <w:r w:rsidR="00783403">
        <w:rPr>
          <w:rFonts w:ascii="Verdana" w:eastAsia="Times" w:hAnsi="Verdana"/>
          <w:sz w:val="20"/>
          <w:szCs w:val="20"/>
          <w:lang w:val="es-ES_tradnl"/>
        </w:rPr>
        <w:t>En cuanto a los demás requisitos, la Corte realizará el análisis respectivo al examinar el contenido de la presente solicitud de interpretación en el próximo capítulo.</w:t>
      </w:r>
    </w:p>
    <w:p w:rsidR="003B4B99" w:rsidRPr="00C43B1D" w:rsidRDefault="003B4B99" w:rsidP="00C62DC3">
      <w:pPr>
        <w:tabs>
          <w:tab w:val="left" w:pos="567"/>
        </w:tabs>
        <w:spacing w:after="0" w:line="240" w:lineRule="auto"/>
        <w:jc w:val="both"/>
        <w:rPr>
          <w:rFonts w:ascii="Verdana" w:eastAsia="Times" w:hAnsi="Verdana"/>
          <w:sz w:val="20"/>
          <w:szCs w:val="20"/>
          <w:u w:val="single"/>
          <w:lang w:val="es-ES_tradnl"/>
        </w:rPr>
      </w:pPr>
    </w:p>
    <w:p w:rsidR="00B157A2" w:rsidRPr="00C43B1D" w:rsidRDefault="00B20F52" w:rsidP="00C62DC3">
      <w:pPr>
        <w:tabs>
          <w:tab w:val="left" w:pos="567"/>
        </w:tabs>
        <w:spacing w:after="0" w:line="240" w:lineRule="auto"/>
        <w:jc w:val="center"/>
        <w:rPr>
          <w:rFonts w:ascii="Verdana" w:eastAsia="Times" w:hAnsi="Verdana"/>
          <w:b/>
          <w:sz w:val="20"/>
          <w:szCs w:val="20"/>
        </w:rPr>
      </w:pPr>
      <w:r w:rsidRPr="00C43B1D">
        <w:rPr>
          <w:rFonts w:ascii="Verdana" w:eastAsia="Times" w:hAnsi="Verdana"/>
          <w:b/>
          <w:sz w:val="20"/>
          <w:szCs w:val="20"/>
        </w:rPr>
        <w:t>I</w:t>
      </w:r>
      <w:r w:rsidR="00B157A2" w:rsidRPr="00C43B1D">
        <w:rPr>
          <w:rFonts w:ascii="Verdana" w:eastAsia="Times" w:hAnsi="Verdana"/>
          <w:b/>
          <w:sz w:val="20"/>
          <w:szCs w:val="20"/>
        </w:rPr>
        <w:t>V</w:t>
      </w:r>
    </w:p>
    <w:p w:rsidR="00B157A2" w:rsidRPr="00C43B1D" w:rsidRDefault="00B157A2" w:rsidP="00C62DC3">
      <w:pPr>
        <w:tabs>
          <w:tab w:val="left" w:pos="567"/>
        </w:tabs>
        <w:autoSpaceDE w:val="0"/>
        <w:autoSpaceDN w:val="0"/>
        <w:adjustRightInd w:val="0"/>
        <w:spacing w:after="0" w:line="240" w:lineRule="auto"/>
        <w:jc w:val="center"/>
        <w:rPr>
          <w:rFonts w:ascii="Verdana" w:hAnsi="Verdana" w:cs="Verdana"/>
          <w:b/>
          <w:caps/>
          <w:sz w:val="20"/>
          <w:szCs w:val="20"/>
        </w:rPr>
      </w:pPr>
      <w:r w:rsidRPr="00C43B1D">
        <w:rPr>
          <w:rFonts w:ascii="Verdana" w:hAnsi="Verdana" w:cs="Verdana"/>
          <w:b/>
          <w:caps/>
          <w:sz w:val="20"/>
          <w:szCs w:val="20"/>
        </w:rPr>
        <w:t>ANÁLISIS DE LA PROCEDENCIA DE LA</w:t>
      </w:r>
      <w:r w:rsidR="00166B2A" w:rsidRPr="00C43B1D">
        <w:rPr>
          <w:rFonts w:ascii="Verdana" w:hAnsi="Verdana" w:cs="Verdana"/>
          <w:b/>
          <w:caps/>
          <w:sz w:val="20"/>
          <w:szCs w:val="20"/>
        </w:rPr>
        <w:t>s</w:t>
      </w:r>
      <w:r w:rsidRPr="00C43B1D">
        <w:rPr>
          <w:rFonts w:ascii="Verdana" w:hAnsi="Verdana" w:cs="Verdana"/>
          <w:b/>
          <w:caps/>
          <w:sz w:val="20"/>
          <w:szCs w:val="20"/>
        </w:rPr>
        <w:t xml:space="preserve"> SOLICITUD</w:t>
      </w:r>
      <w:r w:rsidR="00166B2A" w:rsidRPr="00C43B1D">
        <w:rPr>
          <w:rFonts w:ascii="Verdana" w:hAnsi="Verdana" w:cs="Verdana"/>
          <w:b/>
          <w:caps/>
          <w:sz w:val="20"/>
          <w:szCs w:val="20"/>
        </w:rPr>
        <w:t>es</w:t>
      </w:r>
      <w:r w:rsidRPr="00C43B1D">
        <w:rPr>
          <w:rFonts w:ascii="Verdana" w:hAnsi="Verdana" w:cs="Verdana"/>
          <w:b/>
          <w:caps/>
          <w:sz w:val="20"/>
          <w:szCs w:val="20"/>
        </w:rPr>
        <w:t xml:space="preserve"> DE INTERPRETACIÓN</w:t>
      </w:r>
    </w:p>
    <w:p w:rsidR="00B157A2" w:rsidRPr="00C43B1D" w:rsidRDefault="00B157A2" w:rsidP="00C62DC3">
      <w:pPr>
        <w:tabs>
          <w:tab w:val="left" w:pos="567"/>
        </w:tabs>
        <w:autoSpaceDE w:val="0"/>
        <w:autoSpaceDN w:val="0"/>
        <w:adjustRightInd w:val="0"/>
        <w:spacing w:after="0" w:line="240" w:lineRule="auto"/>
        <w:jc w:val="center"/>
        <w:rPr>
          <w:rFonts w:ascii="Verdana" w:hAnsi="Verdana" w:cs="Verdana"/>
          <w:b/>
          <w:caps/>
          <w:sz w:val="20"/>
          <w:szCs w:val="20"/>
        </w:rPr>
      </w:pPr>
    </w:p>
    <w:p w:rsidR="00217B98" w:rsidRDefault="00B157A2" w:rsidP="009C7845">
      <w:pPr>
        <w:numPr>
          <w:ilvl w:val="0"/>
          <w:numId w:val="1"/>
        </w:numPr>
        <w:tabs>
          <w:tab w:val="left" w:pos="567"/>
          <w:tab w:val="num" w:pos="720"/>
        </w:tabs>
        <w:spacing w:after="0" w:line="240" w:lineRule="auto"/>
        <w:jc w:val="both"/>
        <w:rPr>
          <w:rFonts w:ascii="Verdana" w:eastAsia="Times" w:hAnsi="Verdana"/>
          <w:sz w:val="20"/>
          <w:szCs w:val="20"/>
          <w:lang w:val="es-ES_tradnl"/>
        </w:rPr>
      </w:pPr>
      <w:bookmarkStart w:id="7" w:name="_Ref325023272"/>
      <w:r w:rsidRPr="00C43B1D">
        <w:rPr>
          <w:rFonts w:ascii="Verdana" w:eastAsia="Times" w:hAnsi="Verdana"/>
          <w:sz w:val="20"/>
          <w:szCs w:val="20"/>
          <w:lang w:val="es-ES_tradnl"/>
        </w:rPr>
        <w:t>A continuación el Tribu</w:t>
      </w:r>
      <w:r w:rsidR="00025B06" w:rsidRPr="00C43B1D">
        <w:rPr>
          <w:rFonts w:ascii="Verdana" w:eastAsia="Times" w:hAnsi="Verdana"/>
          <w:sz w:val="20"/>
          <w:szCs w:val="20"/>
          <w:lang w:val="es-ES_tradnl"/>
        </w:rPr>
        <w:t>nal analizará la</w:t>
      </w:r>
      <w:r w:rsidR="00B038CF" w:rsidRPr="00C43B1D">
        <w:rPr>
          <w:rFonts w:ascii="Verdana" w:eastAsia="Times" w:hAnsi="Verdana"/>
          <w:sz w:val="20"/>
          <w:szCs w:val="20"/>
          <w:lang w:val="es-ES_tradnl"/>
        </w:rPr>
        <w:t>s</w:t>
      </w:r>
      <w:r w:rsidR="00025B06" w:rsidRPr="00C43B1D">
        <w:rPr>
          <w:rFonts w:ascii="Verdana" w:eastAsia="Times" w:hAnsi="Verdana"/>
          <w:sz w:val="20"/>
          <w:szCs w:val="20"/>
          <w:lang w:val="es-ES_tradnl"/>
        </w:rPr>
        <w:t xml:space="preserve"> solicitud</w:t>
      </w:r>
      <w:r w:rsidR="00B038CF" w:rsidRPr="00C43B1D">
        <w:rPr>
          <w:rFonts w:ascii="Verdana" w:eastAsia="Times" w:hAnsi="Verdana"/>
          <w:sz w:val="20"/>
          <w:szCs w:val="20"/>
          <w:lang w:val="es-ES_tradnl"/>
        </w:rPr>
        <w:t>es</w:t>
      </w:r>
      <w:r w:rsidR="00025B06" w:rsidRPr="00C43B1D">
        <w:rPr>
          <w:rFonts w:ascii="Verdana" w:eastAsia="Times" w:hAnsi="Verdana"/>
          <w:sz w:val="20"/>
          <w:szCs w:val="20"/>
          <w:lang w:val="es-ES_tradnl"/>
        </w:rPr>
        <w:t xml:space="preserve"> de lo</w:t>
      </w:r>
      <w:r w:rsidRPr="00C43B1D">
        <w:rPr>
          <w:rFonts w:ascii="Verdana" w:eastAsia="Times" w:hAnsi="Verdana"/>
          <w:sz w:val="20"/>
          <w:szCs w:val="20"/>
          <w:lang w:val="es-ES_tradnl"/>
        </w:rPr>
        <w:t>s representantes</w:t>
      </w:r>
      <w:r w:rsidR="00457702" w:rsidRPr="00C43B1D">
        <w:rPr>
          <w:rFonts w:ascii="Verdana" w:eastAsia="Times" w:hAnsi="Verdana"/>
          <w:sz w:val="20"/>
          <w:szCs w:val="20"/>
          <w:lang w:val="es-ES_tradnl"/>
        </w:rPr>
        <w:t xml:space="preserve"> </w:t>
      </w:r>
      <w:r w:rsidR="00C20E4E" w:rsidRPr="00C43B1D">
        <w:rPr>
          <w:rFonts w:ascii="Verdana" w:hAnsi="Verdana" w:cs="Verdana"/>
          <w:sz w:val="20"/>
          <w:szCs w:val="20"/>
        </w:rPr>
        <w:t xml:space="preserve">Mauricio Cueto y Alberto De </w:t>
      </w:r>
      <w:r w:rsidR="00457702" w:rsidRPr="00C43B1D">
        <w:rPr>
          <w:rFonts w:ascii="Verdana" w:hAnsi="Verdana" w:cs="Verdana"/>
          <w:sz w:val="20"/>
          <w:szCs w:val="20"/>
        </w:rPr>
        <w:t>Vita</w:t>
      </w:r>
      <w:r w:rsidR="008D1D45">
        <w:rPr>
          <w:rStyle w:val="Refdenotaalpie"/>
          <w:rFonts w:ascii="Verdana" w:hAnsi="Verdana" w:cs="Verdana"/>
          <w:sz w:val="20"/>
          <w:szCs w:val="20"/>
        </w:rPr>
        <w:footnoteReference w:id="2"/>
      </w:r>
      <w:r w:rsidR="007E7B19">
        <w:rPr>
          <w:rFonts w:ascii="Verdana" w:hAnsi="Verdana" w:cs="Verdana"/>
          <w:sz w:val="20"/>
          <w:szCs w:val="20"/>
        </w:rPr>
        <w:t>, y de los Defensores Interamericanos</w:t>
      </w:r>
      <w:r w:rsidR="00921B82">
        <w:rPr>
          <w:rStyle w:val="Refdenotaalpie"/>
          <w:rFonts w:ascii="Verdana" w:hAnsi="Verdana" w:cs="Verdana"/>
          <w:sz w:val="20"/>
          <w:szCs w:val="20"/>
        </w:rPr>
        <w:footnoteReference w:id="3"/>
      </w:r>
      <w:r w:rsidRPr="00C43B1D">
        <w:rPr>
          <w:rFonts w:ascii="Verdana" w:eastAsia="Times" w:hAnsi="Verdana"/>
          <w:sz w:val="20"/>
          <w:szCs w:val="20"/>
          <w:lang w:val="es-ES_tradnl"/>
        </w:rPr>
        <w:t xml:space="preserve"> para determinar si, de acuerdo </w:t>
      </w:r>
      <w:r w:rsidR="008D1D45">
        <w:rPr>
          <w:rFonts w:ascii="Verdana" w:eastAsia="Times" w:hAnsi="Verdana"/>
          <w:sz w:val="20"/>
          <w:szCs w:val="20"/>
          <w:lang w:val="es-ES_tradnl"/>
        </w:rPr>
        <w:t>con</w:t>
      </w:r>
      <w:r w:rsidR="008D1D45" w:rsidRPr="00C43B1D">
        <w:rPr>
          <w:rFonts w:ascii="Verdana" w:eastAsia="Times" w:hAnsi="Verdana"/>
          <w:sz w:val="20"/>
          <w:szCs w:val="20"/>
          <w:lang w:val="es-ES_tradnl"/>
        </w:rPr>
        <w:t xml:space="preserve"> </w:t>
      </w:r>
      <w:r w:rsidRPr="00C43B1D">
        <w:rPr>
          <w:rFonts w:ascii="Verdana" w:eastAsia="Times" w:hAnsi="Verdana"/>
          <w:sz w:val="20"/>
          <w:szCs w:val="20"/>
          <w:lang w:val="es-ES_tradnl"/>
        </w:rPr>
        <w:t xml:space="preserve">la normativa y a los estándares desarrollados en su jurisprudencia, procede aclarar el sentido o alcance </w:t>
      </w:r>
      <w:r w:rsidR="00457702" w:rsidRPr="00C43B1D">
        <w:rPr>
          <w:rFonts w:ascii="Verdana" w:eastAsia="Times" w:hAnsi="Verdana"/>
          <w:sz w:val="20"/>
          <w:szCs w:val="20"/>
          <w:lang w:val="es-ES_tradnl"/>
        </w:rPr>
        <w:t>del párrafo 298</w:t>
      </w:r>
      <w:r w:rsidR="00025B06" w:rsidRPr="00C43B1D">
        <w:rPr>
          <w:rFonts w:ascii="Verdana" w:eastAsia="Times" w:hAnsi="Verdana"/>
          <w:sz w:val="20"/>
          <w:szCs w:val="20"/>
          <w:lang w:val="es-ES_tradnl"/>
        </w:rPr>
        <w:t xml:space="preserve"> de </w:t>
      </w:r>
      <w:r w:rsidRPr="00C43B1D">
        <w:rPr>
          <w:rFonts w:ascii="Verdana" w:eastAsia="Times" w:hAnsi="Verdana"/>
          <w:sz w:val="20"/>
          <w:szCs w:val="20"/>
          <w:lang w:val="es-ES_tradnl"/>
        </w:rPr>
        <w:t xml:space="preserve">la Sentencia. </w:t>
      </w:r>
      <w:bookmarkStart w:id="8" w:name="_Ref324754196"/>
      <w:bookmarkEnd w:id="7"/>
    </w:p>
    <w:p w:rsidR="009C7845" w:rsidRPr="00C43B1D" w:rsidRDefault="009C7845" w:rsidP="009C7845">
      <w:pPr>
        <w:tabs>
          <w:tab w:val="left" w:pos="567"/>
        </w:tabs>
        <w:spacing w:after="0" w:line="240" w:lineRule="auto"/>
        <w:jc w:val="both"/>
        <w:rPr>
          <w:rFonts w:ascii="Verdana" w:eastAsia="Times" w:hAnsi="Verdana"/>
          <w:sz w:val="20"/>
          <w:szCs w:val="20"/>
          <w:lang w:val="es-ES_tradnl"/>
        </w:rPr>
      </w:pPr>
    </w:p>
    <w:p w:rsidR="00B157A2" w:rsidRPr="00776A8E" w:rsidRDefault="00217B98" w:rsidP="00776A8E">
      <w:pPr>
        <w:numPr>
          <w:ilvl w:val="0"/>
          <w:numId w:val="4"/>
        </w:numPr>
        <w:tabs>
          <w:tab w:val="left" w:pos="567"/>
        </w:tabs>
        <w:spacing w:after="0" w:line="240" w:lineRule="auto"/>
        <w:jc w:val="both"/>
        <w:rPr>
          <w:rFonts w:ascii="Verdana" w:eastAsia="Times" w:hAnsi="Verdana"/>
          <w:b/>
          <w:i/>
          <w:sz w:val="20"/>
          <w:szCs w:val="20"/>
        </w:rPr>
      </w:pPr>
      <w:r w:rsidRPr="00776A8E">
        <w:rPr>
          <w:rFonts w:ascii="Verdana" w:eastAsia="Times" w:hAnsi="Verdana"/>
          <w:b/>
          <w:i/>
          <w:sz w:val="20"/>
          <w:szCs w:val="20"/>
        </w:rPr>
        <w:t>Argumentos de las partes</w:t>
      </w:r>
      <w:r w:rsidR="00B157A2" w:rsidRPr="00776A8E">
        <w:rPr>
          <w:rFonts w:ascii="Verdana" w:eastAsia="Times" w:hAnsi="Verdana"/>
          <w:b/>
          <w:i/>
          <w:sz w:val="20"/>
          <w:szCs w:val="20"/>
        </w:rPr>
        <w:t xml:space="preserve"> </w:t>
      </w:r>
    </w:p>
    <w:p w:rsidR="00B157A2" w:rsidRPr="00C43B1D" w:rsidRDefault="00B157A2" w:rsidP="00C62DC3">
      <w:pPr>
        <w:tabs>
          <w:tab w:val="left" w:pos="567"/>
        </w:tabs>
        <w:spacing w:after="0" w:line="240" w:lineRule="auto"/>
        <w:jc w:val="both"/>
        <w:rPr>
          <w:rFonts w:ascii="Verdana" w:eastAsia="Times" w:hAnsi="Verdana"/>
          <w:sz w:val="20"/>
          <w:szCs w:val="20"/>
        </w:rPr>
      </w:pPr>
    </w:p>
    <w:p w:rsidR="00780506" w:rsidRPr="00C43B1D" w:rsidRDefault="00025B06" w:rsidP="00C62DC3">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C43B1D">
        <w:rPr>
          <w:rFonts w:ascii="Verdana" w:hAnsi="Verdana" w:cs="Verdana"/>
          <w:sz w:val="20"/>
          <w:szCs w:val="20"/>
        </w:rPr>
        <w:t xml:space="preserve">Los </w:t>
      </w:r>
      <w:r w:rsidRPr="00783403">
        <w:rPr>
          <w:rFonts w:ascii="Verdana" w:hAnsi="Verdana" w:cs="Verdana"/>
          <w:b/>
          <w:i/>
          <w:sz w:val="20"/>
          <w:szCs w:val="20"/>
        </w:rPr>
        <w:t>representantes</w:t>
      </w:r>
      <w:r w:rsidRPr="00C43B1D">
        <w:rPr>
          <w:rFonts w:ascii="Verdana" w:hAnsi="Verdana" w:cs="Verdana"/>
          <w:sz w:val="20"/>
          <w:szCs w:val="20"/>
        </w:rPr>
        <w:t xml:space="preserve"> </w:t>
      </w:r>
      <w:r w:rsidR="00B038CF" w:rsidRPr="00C43B1D">
        <w:rPr>
          <w:rFonts w:ascii="Verdana" w:hAnsi="Verdana" w:cs="Verdana"/>
          <w:sz w:val="20"/>
          <w:szCs w:val="20"/>
        </w:rPr>
        <w:t xml:space="preserve">De Vita y Cueto </w:t>
      </w:r>
      <w:r w:rsidRPr="00C43B1D">
        <w:rPr>
          <w:rFonts w:ascii="Verdana" w:hAnsi="Verdana" w:cs="Verdana"/>
          <w:sz w:val="20"/>
          <w:szCs w:val="20"/>
        </w:rPr>
        <w:t xml:space="preserve">alegaron </w:t>
      </w:r>
      <w:r w:rsidR="00780506" w:rsidRPr="00C43B1D">
        <w:rPr>
          <w:rFonts w:ascii="Verdana" w:hAnsi="Verdana" w:cs="Verdana"/>
          <w:sz w:val="20"/>
          <w:szCs w:val="20"/>
        </w:rPr>
        <w:t xml:space="preserve">que </w:t>
      </w:r>
      <w:r w:rsidR="00780506" w:rsidRPr="00C43B1D">
        <w:rPr>
          <w:rFonts w:ascii="Verdana" w:hAnsi="Verdana"/>
          <w:sz w:val="20"/>
          <w:szCs w:val="20"/>
        </w:rPr>
        <w:t xml:space="preserve">la Corte </w:t>
      </w:r>
      <w:r w:rsidR="00B038CF" w:rsidRPr="00C43B1D">
        <w:rPr>
          <w:rFonts w:ascii="Verdana" w:hAnsi="Verdana"/>
          <w:sz w:val="20"/>
          <w:szCs w:val="20"/>
        </w:rPr>
        <w:t>“</w:t>
      </w:r>
      <w:r w:rsidR="00780506" w:rsidRPr="00C43B1D">
        <w:rPr>
          <w:rFonts w:ascii="Verdana" w:hAnsi="Verdana"/>
          <w:sz w:val="20"/>
          <w:szCs w:val="20"/>
        </w:rPr>
        <w:t>dispuso el pago a cargo del Estado de costas y honorarios a nuestro nombre, no especificando si el monto de U</w:t>
      </w:r>
      <w:r w:rsidR="008D1D45">
        <w:rPr>
          <w:rFonts w:ascii="Verdana" w:hAnsi="Verdana"/>
          <w:sz w:val="20"/>
          <w:szCs w:val="20"/>
        </w:rPr>
        <w:t>S</w:t>
      </w:r>
      <w:r w:rsidR="00780506" w:rsidRPr="00C43B1D">
        <w:rPr>
          <w:rFonts w:ascii="Verdana" w:hAnsi="Verdana"/>
          <w:sz w:val="20"/>
          <w:szCs w:val="20"/>
        </w:rPr>
        <w:t>$ 10.000 (diez mil dól</w:t>
      </w:r>
      <w:r w:rsidR="00041155">
        <w:rPr>
          <w:rFonts w:ascii="Verdana" w:hAnsi="Verdana"/>
          <w:sz w:val="20"/>
          <w:szCs w:val="20"/>
        </w:rPr>
        <w:t>ares norteamericanos) fue fijado</w:t>
      </w:r>
      <w:r w:rsidR="00780506" w:rsidRPr="00C43B1D">
        <w:rPr>
          <w:rFonts w:ascii="Verdana" w:hAnsi="Verdana"/>
          <w:sz w:val="20"/>
          <w:szCs w:val="20"/>
        </w:rPr>
        <w:t xml:space="preserve"> en forma conjunta o individual a cada uno de los abogados apoderados que actuáramos en defensa de los derechos humanos de las precitadas victimas</w:t>
      </w:r>
      <w:r w:rsidR="00166B2A" w:rsidRPr="00C43B1D">
        <w:rPr>
          <w:rFonts w:ascii="Verdana" w:hAnsi="Verdana"/>
          <w:sz w:val="20"/>
          <w:szCs w:val="20"/>
        </w:rPr>
        <w:t>”.</w:t>
      </w:r>
      <w:r w:rsidR="00B038CF" w:rsidRPr="00C43B1D">
        <w:rPr>
          <w:rFonts w:ascii="Verdana" w:hAnsi="Verdana"/>
          <w:sz w:val="20"/>
          <w:szCs w:val="20"/>
        </w:rPr>
        <w:t xml:space="preserve"> </w:t>
      </w:r>
      <w:r w:rsidR="00780506" w:rsidRPr="00C43B1D">
        <w:rPr>
          <w:rFonts w:ascii="Verdana" w:hAnsi="Verdana"/>
          <w:sz w:val="20"/>
          <w:szCs w:val="20"/>
        </w:rPr>
        <w:t>Por lo antes expuesto</w:t>
      </w:r>
      <w:r w:rsidR="003D5DD8" w:rsidRPr="00C43B1D">
        <w:rPr>
          <w:rFonts w:ascii="Verdana" w:hAnsi="Verdana"/>
          <w:sz w:val="20"/>
          <w:szCs w:val="20"/>
        </w:rPr>
        <w:t xml:space="preserve">, </w:t>
      </w:r>
      <w:r w:rsidR="00780506" w:rsidRPr="00C43B1D">
        <w:rPr>
          <w:rFonts w:ascii="Verdana" w:hAnsi="Verdana"/>
          <w:sz w:val="20"/>
          <w:szCs w:val="20"/>
        </w:rPr>
        <w:t>solicitaron a la Corte que tenga a bien precisar el alcance de lo oportunamente dispuesto en relación al pago de las costas y honorarios.</w:t>
      </w:r>
    </w:p>
    <w:p w:rsidR="00217B98" w:rsidRPr="00C43B1D" w:rsidRDefault="00217B98" w:rsidP="00C62DC3">
      <w:pPr>
        <w:tabs>
          <w:tab w:val="left" w:pos="567"/>
        </w:tabs>
        <w:autoSpaceDE w:val="0"/>
        <w:autoSpaceDN w:val="0"/>
        <w:adjustRightInd w:val="0"/>
        <w:spacing w:after="0" w:line="240" w:lineRule="auto"/>
        <w:jc w:val="both"/>
        <w:rPr>
          <w:rFonts w:ascii="Verdana" w:hAnsi="Verdana"/>
          <w:sz w:val="20"/>
          <w:szCs w:val="20"/>
        </w:rPr>
      </w:pPr>
    </w:p>
    <w:p w:rsidR="00217B98" w:rsidRPr="00C43B1D" w:rsidRDefault="00217B98" w:rsidP="00C62DC3">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C43B1D">
        <w:rPr>
          <w:rFonts w:ascii="Verdana" w:hAnsi="Verdana"/>
          <w:sz w:val="20"/>
          <w:szCs w:val="20"/>
        </w:rPr>
        <w:t>Al respecto,</w:t>
      </w:r>
      <w:r w:rsidR="00104EEC" w:rsidRPr="00C43B1D">
        <w:rPr>
          <w:rFonts w:ascii="Verdana" w:hAnsi="Verdana"/>
          <w:sz w:val="20"/>
          <w:szCs w:val="20"/>
        </w:rPr>
        <w:t xml:space="preserve"> ni </w:t>
      </w:r>
      <w:r w:rsidR="00921B82">
        <w:rPr>
          <w:rFonts w:ascii="Verdana" w:hAnsi="Verdana"/>
          <w:sz w:val="20"/>
          <w:szCs w:val="20"/>
        </w:rPr>
        <w:t xml:space="preserve">los </w:t>
      </w:r>
      <w:r w:rsidR="00104EEC" w:rsidRPr="00C43B1D">
        <w:rPr>
          <w:rFonts w:ascii="Verdana" w:hAnsi="Verdana"/>
          <w:sz w:val="20"/>
          <w:szCs w:val="20"/>
        </w:rPr>
        <w:t>representantes</w:t>
      </w:r>
      <w:r w:rsidRPr="00921B82">
        <w:rPr>
          <w:rFonts w:ascii="Verdana" w:hAnsi="Verdana"/>
          <w:sz w:val="20"/>
          <w:szCs w:val="20"/>
        </w:rPr>
        <w:t xml:space="preserve"> </w:t>
      </w:r>
      <w:r w:rsidR="00921B82" w:rsidRPr="00921B82">
        <w:rPr>
          <w:rFonts w:ascii="Verdana" w:hAnsi="Verdana"/>
          <w:sz w:val="20"/>
          <w:szCs w:val="20"/>
        </w:rPr>
        <w:t xml:space="preserve">Juan Carlos Vega y Christian Sommer </w:t>
      </w:r>
      <w:r w:rsidRPr="00C43B1D">
        <w:rPr>
          <w:rFonts w:ascii="Verdana" w:hAnsi="Verdana"/>
          <w:sz w:val="20"/>
          <w:szCs w:val="20"/>
        </w:rPr>
        <w:t xml:space="preserve">ni el </w:t>
      </w:r>
      <w:r w:rsidRPr="00783403">
        <w:rPr>
          <w:rFonts w:ascii="Verdana" w:hAnsi="Verdana"/>
          <w:b/>
          <w:i/>
          <w:sz w:val="20"/>
          <w:szCs w:val="20"/>
        </w:rPr>
        <w:t>Estado</w:t>
      </w:r>
      <w:r w:rsidRPr="00C43B1D">
        <w:rPr>
          <w:rFonts w:ascii="Verdana" w:hAnsi="Verdana"/>
          <w:sz w:val="20"/>
          <w:szCs w:val="20"/>
        </w:rPr>
        <w:t xml:space="preserve"> ni la </w:t>
      </w:r>
      <w:r w:rsidRPr="00783403">
        <w:rPr>
          <w:rFonts w:ascii="Verdana" w:hAnsi="Verdana"/>
          <w:b/>
          <w:i/>
          <w:sz w:val="20"/>
          <w:szCs w:val="20"/>
        </w:rPr>
        <w:t>Comisión</w:t>
      </w:r>
      <w:r w:rsidRPr="00C43B1D">
        <w:rPr>
          <w:rFonts w:ascii="Verdana" w:hAnsi="Verdana"/>
          <w:sz w:val="20"/>
          <w:szCs w:val="20"/>
        </w:rPr>
        <w:t xml:space="preserve"> </w:t>
      </w:r>
      <w:r w:rsidR="00B038CF" w:rsidRPr="00C43B1D">
        <w:rPr>
          <w:rFonts w:ascii="Verdana" w:hAnsi="Verdana"/>
          <w:sz w:val="20"/>
          <w:szCs w:val="20"/>
        </w:rPr>
        <w:t xml:space="preserve">presentaron </w:t>
      </w:r>
      <w:r w:rsidRPr="00C43B1D">
        <w:rPr>
          <w:rFonts w:ascii="Verdana" w:hAnsi="Verdana"/>
          <w:sz w:val="20"/>
          <w:szCs w:val="20"/>
        </w:rPr>
        <w:t>observaciones</w:t>
      </w:r>
      <w:r w:rsidRPr="00C43B1D">
        <w:rPr>
          <w:rFonts w:ascii="Verdana" w:hAnsi="Verdana" w:cs="Verdana"/>
          <w:sz w:val="20"/>
          <w:szCs w:val="20"/>
        </w:rPr>
        <w:t>.</w:t>
      </w:r>
    </w:p>
    <w:p w:rsidR="005C1D6C" w:rsidRPr="00C43B1D" w:rsidRDefault="005C1D6C" w:rsidP="00C62DC3">
      <w:pPr>
        <w:pStyle w:val="Prrafodelista"/>
        <w:spacing w:after="0" w:line="240" w:lineRule="auto"/>
        <w:rPr>
          <w:rFonts w:ascii="Verdana" w:hAnsi="Verdana"/>
          <w:sz w:val="20"/>
          <w:szCs w:val="20"/>
        </w:rPr>
      </w:pPr>
    </w:p>
    <w:p w:rsidR="0072364B" w:rsidRPr="002434DF" w:rsidRDefault="00FC1A78" w:rsidP="002434DF">
      <w:pPr>
        <w:numPr>
          <w:ilvl w:val="0"/>
          <w:numId w:val="1"/>
        </w:numPr>
        <w:tabs>
          <w:tab w:val="left" w:pos="567"/>
          <w:tab w:val="num" w:pos="720"/>
        </w:tabs>
        <w:spacing w:after="0" w:line="240" w:lineRule="auto"/>
        <w:jc w:val="both"/>
        <w:rPr>
          <w:rFonts w:ascii="Verdana" w:eastAsia="Times" w:hAnsi="Verdana"/>
          <w:sz w:val="20"/>
          <w:szCs w:val="20"/>
          <w:lang w:val="es-ES_tradnl"/>
        </w:rPr>
      </w:pPr>
      <w:r w:rsidRPr="00C43B1D">
        <w:rPr>
          <w:rFonts w:ascii="Verdana" w:eastAsia="Times" w:hAnsi="Verdana"/>
          <w:sz w:val="20"/>
          <w:szCs w:val="20"/>
          <w:lang w:val="es-ES_tradnl"/>
        </w:rPr>
        <w:t xml:space="preserve">Los </w:t>
      </w:r>
      <w:r w:rsidRPr="00783403">
        <w:rPr>
          <w:rFonts w:ascii="Verdana" w:eastAsia="Times" w:hAnsi="Verdana"/>
          <w:b/>
          <w:i/>
          <w:sz w:val="20"/>
          <w:szCs w:val="20"/>
          <w:lang w:val="es-ES_tradnl"/>
        </w:rPr>
        <w:t>Defensores Interamericanos</w:t>
      </w:r>
      <w:r w:rsidRPr="00C43B1D">
        <w:rPr>
          <w:rFonts w:ascii="Verdana" w:eastAsia="Times" w:hAnsi="Verdana"/>
          <w:sz w:val="20"/>
          <w:szCs w:val="20"/>
          <w:lang w:val="es-ES_tradnl"/>
        </w:rPr>
        <w:t xml:space="preserve"> observaron </w:t>
      </w:r>
      <w:r w:rsidR="007E7B19">
        <w:rPr>
          <w:rFonts w:ascii="Verdana" w:eastAsia="Times" w:hAnsi="Verdana"/>
          <w:sz w:val="20"/>
          <w:szCs w:val="20"/>
          <w:lang w:val="es-ES_tradnl"/>
        </w:rPr>
        <w:t xml:space="preserve">que </w:t>
      </w:r>
      <w:r w:rsidR="002A3778" w:rsidRPr="00C43B1D">
        <w:rPr>
          <w:rFonts w:ascii="Verdana" w:eastAsia="Times" w:hAnsi="Verdana"/>
          <w:sz w:val="20"/>
          <w:szCs w:val="20"/>
          <w:lang w:val="es-ES_tradnl"/>
        </w:rPr>
        <w:t>en su escrito de solicitudes, argumentos y pruebas “</w:t>
      </w:r>
      <w:r w:rsidRPr="00C43B1D">
        <w:rPr>
          <w:rFonts w:ascii="Verdana" w:eastAsia="Times" w:hAnsi="Verdana"/>
          <w:sz w:val="20"/>
          <w:szCs w:val="20"/>
          <w:lang w:val="es-ES_tradnl"/>
        </w:rPr>
        <w:t>solicitaron el reemb</w:t>
      </w:r>
      <w:r w:rsidR="00104EEC" w:rsidRPr="00C43B1D">
        <w:rPr>
          <w:rFonts w:ascii="Verdana" w:eastAsia="Times" w:hAnsi="Verdana"/>
          <w:sz w:val="20"/>
          <w:szCs w:val="20"/>
          <w:lang w:val="es-ES_tradnl"/>
        </w:rPr>
        <w:t>olso de los gastos efectuados po</w:t>
      </w:r>
      <w:r w:rsidR="00A737EE" w:rsidRPr="00C43B1D">
        <w:rPr>
          <w:rFonts w:ascii="Verdana" w:eastAsia="Times" w:hAnsi="Verdana"/>
          <w:sz w:val="20"/>
          <w:szCs w:val="20"/>
          <w:lang w:val="es-ES_tradnl"/>
        </w:rPr>
        <w:t>r el señor</w:t>
      </w:r>
      <w:r w:rsidRPr="00C43B1D">
        <w:rPr>
          <w:rFonts w:ascii="Verdana" w:eastAsia="Times" w:hAnsi="Verdana"/>
          <w:sz w:val="20"/>
          <w:szCs w:val="20"/>
          <w:lang w:val="es-ES_tradnl"/>
        </w:rPr>
        <w:t xml:space="preserve"> </w:t>
      </w:r>
      <w:r w:rsidR="002A3778" w:rsidRPr="00C43B1D">
        <w:rPr>
          <w:rFonts w:ascii="Verdana" w:eastAsia="Times" w:hAnsi="Verdana"/>
          <w:sz w:val="20"/>
          <w:szCs w:val="20"/>
          <w:lang w:val="es-ES_tradnl"/>
        </w:rPr>
        <w:t>Argüelles</w:t>
      </w:r>
      <w:r w:rsidRPr="00C43B1D">
        <w:rPr>
          <w:rFonts w:ascii="Verdana" w:eastAsia="Times" w:hAnsi="Verdana"/>
          <w:sz w:val="20"/>
          <w:szCs w:val="20"/>
          <w:lang w:val="es-ES_tradnl"/>
        </w:rPr>
        <w:t xml:space="preserve"> en su calidad de representante de las victimas ante la Comisión desde 1998 hasta la designación de los Defenso</w:t>
      </w:r>
      <w:r w:rsidR="00104EEC" w:rsidRPr="00C43B1D">
        <w:rPr>
          <w:rFonts w:ascii="Verdana" w:eastAsia="Times" w:hAnsi="Verdana"/>
          <w:sz w:val="20"/>
          <w:szCs w:val="20"/>
          <w:lang w:val="es-ES_tradnl"/>
        </w:rPr>
        <w:t>res Interamericanos en 2012</w:t>
      </w:r>
      <w:r w:rsidRPr="00C43B1D">
        <w:rPr>
          <w:rFonts w:ascii="Verdana" w:eastAsia="Times" w:hAnsi="Verdana"/>
          <w:sz w:val="20"/>
          <w:szCs w:val="20"/>
          <w:lang w:val="es-ES_tradnl"/>
        </w:rPr>
        <w:t>"</w:t>
      </w:r>
      <w:r w:rsidR="00104EEC" w:rsidRPr="00C43B1D">
        <w:rPr>
          <w:rFonts w:ascii="Verdana" w:eastAsia="Times" w:hAnsi="Verdana"/>
          <w:sz w:val="20"/>
          <w:szCs w:val="20"/>
          <w:lang w:val="es-ES_tradnl"/>
        </w:rPr>
        <w:t>.</w:t>
      </w:r>
      <w:r w:rsidR="002A3778" w:rsidRPr="00C43B1D">
        <w:rPr>
          <w:rFonts w:ascii="Verdana" w:eastAsia="Times" w:hAnsi="Verdana"/>
          <w:sz w:val="20"/>
          <w:szCs w:val="20"/>
          <w:lang w:val="es-ES_tradnl"/>
        </w:rPr>
        <w:t xml:space="preserve"> Al respecto, </w:t>
      </w:r>
      <w:r w:rsidR="002A3778" w:rsidRPr="00C43B1D">
        <w:rPr>
          <w:rFonts w:ascii="Verdana" w:hAnsi="Verdana"/>
          <w:sz w:val="20"/>
          <w:szCs w:val="20"/>
        </w:rPr>
        <w:t xml:space="preserve">señalaron </w:t>
      </w:r>
      <w:r w:rsidR="0072364B" w:rsidRPr="00C43B1D">
        <w:rPr>
          <w:rFonts w:ascii="Verdana" w:hAnsi="Verdana"/>
          <w:sz w:val="20"/>
          <w:szCs w:val="20"/>
        </w:rPr>
        <w:t xml:space="preserve">que en el párrafo 298 de la Sentencia en cuestión, la Corte estimó procedente conceder una suma razonable de US$ 10,000.00 (diez mil dólares estadounidenses) a los representantes Vega y Sommer, y la misma cantidad a los representantes De Vita y Cueto, pero no se </w:t>
      </w:r>
      <w:r w:rsidR="00783403">
        <w:rPr>
          <w:rFonts w:ascii="Verdana" w:hAnsi="Verdana"/>
          <w:sz w:val="20"/>
          <w:szCs w:val="20"/>
        </w:rPr>
        <w:t>pronunció</w:t>
      </w:r>
      <w:r w:rsidR="0072364B" w:rsidRPr="00C43B1D">
        <w:rPr>
          <w:rFonts w:ascii="Verdana" w:hAnsi="Verdana"/>
          <w:sz w:val="20"/>
          <w:szCs w:val="20"/>
        </w:rPr>
        <w:t xml:space="preserve"> </w:t>
      </w:r>
      <w:r w:rsidR="00783403">
        <w:rPr>
          <w:rFonts w:ascii="Verdana" w:hAnsi="Verdana"/>
          <w:sz w:val="20"/>
          <w:szCs w:val="20"/>
        </w:rPr>
        <w:t xml:space="preserve">respecto </w:t>
      </w:r>
      <w:r w:rsidR="008D1D45">
        <w:rPr>
          <w:rFonts w:ascii="Verdana" w:hAnsi="Verdana"/>
          <w:sz w:val="20"/>
          <w:szCs w:val="20"/>
        </w:rPr>
        <w:t>de</w:t>
      </w:r>
      <w:r w:rsidR="008D1D45" w:rsidRPr="00C43B1D">
        <w:rPr>
          <w:rFonts w:ascii="Verdana" w:hAnsi="Verdana"/>
          <w:sz w:val="20"/>
          <w:szCs w:val="20"/>
        </w:rPr>
        <w:t xml:space="preserve"> </w:t>
      </w:r>
      <w:r w:rsidR="00A737EE" w:rsidRPr="00C43B1D">
        <w:rPr>
          <w:rFonts w:ascii="Verdana" w:hAnsi="Verdana"/>
          <w:sz w:val="20"/>
          <w:szCs w:val="20"/>
        </w:rPr>
        <w:t>la solicitud con relación al señor</w:t>
      </w:r>
      <w:r w:rsidR="0072364B" w:rsidRPr="00C43B1D">
        <w:rPr>
          <w:rFonts w:ascii="Verdana" w:hAnsi="Verdana"/>
          <w:sz w:val="20"/>
          <w:szCs w:val="20"/>
        </w:rPr>
        <w:t xml:space="preserve"> </w:t>
      </w:r>
      <w:r w:rsidR="002A3778" w:rsidRPr="00C43B1D">
        <w:rPr>
          <w:rFonts w:ascii="Verdana" w:hAnsi="Verdana"/>
          <w:sz w:val="20"/>
          <w:szCs w:val="20"/>
        </w:rPr>
        <w:t>Argüelles</w:t>
      </w:r>
      <w:r w:rsidR="0072364B" w:rsidRPr="00C43B1D">
        <w:rPr>
          <w:rFonts w:ascii="Verdana" w:hAnsi="Verdana"/>
          <w:sz w:val="20"/>
          <w:szCs w:val="20"/>
        </w:rPr>
        <w:t xml:space="preserve"> por los años en que fue representante de las víctimas. </w:t>
      </w:r>
      <w:r w:rsidR="0072364B" w:rsidRPr="002434DF">
        <w:rPr>
          <w:rFonts w:ascii="Verdana" w:eastAsia="Times" w:hAnsi="Verdana"/>
          <w:sz w:val="20"/>
          <w:szCs w:val="20"/>
          <w:lang w:val="es-ES_tradnl"/>
        </w:rPr>
        <w:t>Por lo expuesto, los Defensores Interamericanos solicitaron</w:t>
      </w:r>
      <w:r w:rsidR="00A737EE" w:rsidRPr="002434DF">
        <w:rPr>
          <w:rFonts w:ascii="Verdana" w:eastAsia="Times" w:hAnsi="Verdana"/>
          <w:sz w:val="20"/>
          <w:szCs w:val="20"/>
          <w:lang w:val="es-ES_tradnl"/>
        </w:rPr>
        <w:t xml:space="preserve"> a la</w:t>
      </w:r>
      <w:r w:rsidR="0072364B" w:rsidRPr="002434DF">
        <w:rPr>
          <w:rFonts w:ascii="Verdana" w:eastAsia="Times" w:hAnsi="Verdana"/>
          <w:sz w:val="20"/>
          <w:szCs w:val="20"/>
          <w:lang w:val="es-ES_tradnl"/>
        </w:rPr>
        <w:t xml:space="preserve"> Corte precisar el alcance del fallo relacionado </w:t>
      </w:r>
      <w:r w:rsidR="008D1D45">
        <w:rPr>
          <w:rFonts w:ascii="Verdana" w:eastAsia="Times" w:hAnsi="Verdana"/>
          <w:sz w:val="20"/>
          <w:szCs w:val="20"/>
          <w:lang w:val="es-ES_tradnl"/>
        </w:rPr>
        <w:t>con</w:t>
      </w:r>
      <w:r w:rsidR="008D1D45" w:rsidRPr="002434DF">
        <w:rPr>
          <w:rFonts w:ascii="Verdana" w:eastAsia="Times" w:hAnsi="Verdana"/>
          <w:sz w:val="20"/>
          <w:szCs w:val="20"/>
          <w:lang w:val="es-ES_tradnl"/>
        </w:rPr>
        <w:t xml:space="preserve"> </w:t>
      </w:r>
      <w:r w:rsidR="0072364B" w:rsidRPr="002434DF">
        <w:rPr>
          <w:rFonts w:ascii="Verdana" w:eastAsia="Times" w:hAnsi="Verdana"/>
          <w:sz w:val="20"/>
          <w:szCs w:val="20"/>
          <w:lang w:val="es-ES_tradnl"/>
        </w:rPr>
        <w:t xml:space="preserve">la petición del reembolso de </w:t>
      </w:r>
      <w:r w:rsidR="00A737EE" w:rsidRPr="002434DF">
        <w:rPr>
          <w:rFonts w:ascii="Verdana" w:eastAsia="Times" w:hAnsi="Verdana"/>
          <w:sz w:val="20"/>
          <w:szCs w:val="20"/>
          <w:lang w:val="es-ES_tradnl"/>
        </w:rPr>
        <w:t>los gastos efectuados por el señor</w:t>
      </w:r>
      <w:r w:rsidR="0072364B" w:rsidRPr="002434DF">
        <w:rPr>
          <w:rFonts w:ascii="Verdana" w:eastAsia="Times" w:hAnsi="Verdana"/>
          <w:sz w:val="20"/>
          <w:szCs w:val="20"/>
          <w:lang w:val="es-ES_tradnl"/>
        </w:rPr>
        <w:t xml:space="preserve"> </w:t>
      </w:r>
      <w:r w:rsidR="002A3778" w:rsidRPr="002434DF">
        <w:rPr>
          <w:rFonts w:ascii="Verdana" w:eastAsia="Times" w:hAnsi="Verdana"/>
          <w:sz w:val="20"/>
          <w:szCs w:val="20"/>
          <w:lang w:val="es-ES_tradnl"/>
        </w:rPr>
        <w:t>Argüelles</w:t>
      </w:r>
      <w:r w:rsidR="0072364B" w:rsidRPr="002434DF">
        <w:rPr>
          <w:rFonts w:ascii="Verdana" w:eastAsia="Times" w:hAnsi="Verdana"/>
          <w:sz w:val="20"/>
          <w:szCs w:val="20"/>
          <w:lang w:val="es-ES_tradnl"/>
        </w:rPr>
        <w:t xml:space="preserve"> en el periodo antes mencionado.  </w:t>
      </w:r>
    </w:p>
    <w:p w:rsidR="00FC1A78" w:rsidRPr="00C43B1D" w:rsidRDefault="00FC1A78" w:rsidP="00C62DC3">
      <w:pPr>
        <w:tabs>
          <w:tab w:val="left" w:pos="567"/>
        </w:tabs>
        <w:spacing w:after="0" w:line="240" w:lineRule="auto"/>
        <w:jc w:val="both"/>
        <w:rPr>
          <w:rFonts w:ascii="Verdana" w:eastAsia="Times" w:hAnsi="Verdana"/>
          <w:sz w:val="20"/>
          <w:szCs w:val="20"/>
          <w:lang w:val="es-ES_tradnl"/>
        </w:rPr>
      </w:pPr>
    </w:p>
    <w:p w:rsidR="00551C59" w:rsidRPr="00C43B1D" w:rsidRDefault="00B157A2" w:rsidP="00C62DC3">
      <w:pPr>
        <w:numPr>
          <w:ilvl w:val="0"/>
          <w:numId w:val="1"/>
        </w:numPr>
        <w:tabs>
          <w:tab w:val="left" w:pos="567"/>
          <w:tab w:val="num" w:pos="720"/>
        </w:tabs>
        <w:autoSpaceDE w:val="0"/>
        <w:autoSpaceDN w:val="0"/>
        <w:adjustRightInd w:val="0"/>
        <w:spacing w:after="0" w:line="240" w:lineRule="auto"/>
        <w:jc w:val="both"/>
        <w:rPr>
          <w:rFonts w:ascii="Verdana" w:hAnsi="Verdana" w:cs="Arial"/>
          <w:sz w:val="20"/>
          <w:szCs w:val="20"/>
        </w:rPr>
      </w:pPr>
      <w:r w:rsidRPr="00C43B1D">
        <w:rPr>
          <w:rFonts w:ascii="Verdana" w:hAnsi="Verdana" w:cs="Verdana"/>
          <w:sz w:val="20"/>
          <w:szCs w:val="20"/>
        </w:rPr>
        <w:t xml:space="preserve">Al respecto, el </w:t>
      </w:r>
      <w:r w:rsidRPr="00C43B1D">
        <w:rPr>
          <w:rFonts w:ascii="Verdana" w:hAnsi="Verdana" w:cs="Verdana"/>
          <w:b/>
          <w:i/>
          <w:sz w:val="20"/>
          <w:szCs w:val="20"/>
        </w:rPr>
        <w:t>Estado</w:t>
      </w:r>
      <w:r w:rsidRPr="00C43B1D">
        <w:rPr>
          <w:rFonts w:ascii="Verdana" w:hAnsi="Verdana" w:cs="Verdana"/>
          <w:i/>
          <w:sz w:val="20"/>
          <w:szCs w:val="20"/>
        </w:rPr>
        <w:t xml:space="preserve"> </w:t>
      </w:r>
      <w:r w:rsidR="00DD7E4F" w:rsidRPr="00C43B1D">
        <w:rPr>
          <w:rFonts w:ascii="Verdana" w:hAnsi="Verdana" w:cs="Verdana"/>
          <w:sz w:val="20"/>
          <w:szCs w:val="20"/>
        </w:rPr>
        <w:t xml:space="preserve">en primer lugar </w:t>
      </w:r>
      <w:r w:rsidR="002A3778" w:rsidRPr="00C43B1D">
        <w:rPr>
          <w:rFonts w:ascii="Verdana" w:hAnsi="Verdana" w:cs="Verdana"/>
          <w:sz w:val="20"/>
          <w:szCs w:val="20"/>
        </w:rPr>
        <w:t xml:space="preserve">señaló que los </w:t>
      </w:r>
      <w:r w:rsidR="00104EEC" w:rsidRPr="00C43B1D">
        <w:rPr>
          <w:rFonts w:ascii="Verdana" w:hAnsi="Verdana"/>
          <w:sz w:val="20"/>
          <w:szCs w:val="20"/>
        </w:rPr>
        <w:t>Defensores</w:t>
      </w:r>
      <w:r w:rsidR="00DD7E4F" w:rsidRPr="00C43B1D">
        <w:rPr>
          <w:rFonts w:ascii="Verdana" w:hAnsi="Verdana"/>
          <w:sz w:val="20"/>
          <w:szCs w:val="20"/>
        </w:rPr>
        <w:t xml:space="preserve"> Interamericanos </w:t>
      </w:r>
      <w:r w:rsidR="002A3778" w:rsidRPr="00C43B1D">
        <w:rPr>
          <w:rFonts w:ascii="Verdana" w:hAnsi="Verdana"/>
          <w:sz w:val="20"/>
          <w:szCs w:val="20"/>
        </w:rPr>
        <w:t xml:space="preserve">no adjuntaron prueba de los gastos cuyo reembolso solicitaron en </w:t>
      </w:r>
      <w:r w:rsidR="00DD7E4F" w:rsidRPr="00C43B1D">
        <w:rPr>
          <w:rFonts w:ascii="Verdana" w:hAnsi="Verdana"/>
          <w:sz w:val="20"/>
          <w:szCs w:val="20"/>
        </w:rPr>
        <w:t>su escrito de solicitudes, argumentos y prueba.</w:t>
      </w:r>
      <w:r w:rsidR="002A3778" w:rsidRPr="00C43B1D">
        <w:rPr>
          <w:rFonts w:ascii="Verdana" w:hAnsi="Verdana"/>
          <w:sz w:val="20"/>
          <w:szCs w:val="20"/>
        </w:rPr>
        <w:t xml:space="preserve"> </w:t>
      </w:r>
      <w:r w:rsidR="00EF584C" w:rsidRPr="00C43B1D">
        <w:rPr>
          <w:rFonts w:ascii="Verdana" w:hAnsi="Verdana"/>
          <w:sz w:val="20"/>
          <w:szCs w:val="20"/>
        </w:rPr>
        <w:t xml:space="preserve">En ese sentido, </w:t>
      </w:r>
      <w:r w:rsidR="006C52F1">
        <w:rPr>
          <w:rFonts w:ascii="Verdana" w:hAnsi="Verdana"/>
          <w:sz w:val="20"/>
          <w:szCs w:val="20"/>
        </w:rPr>
        <w:t xml:space="preserve">argumentó que </w:t>
      </w:r>
      <w:r w:rsidR="00551C59" w:rsidRPr="00C43B1D">
        <w:rPr>
          <w:rFonts w:ascii="Verdana" w:hAnsi="Verdana" w:cs="Arial"/>
          <w:sz w:val="20"/>
          <w:szCs w:val="20"/>
        </w:rPr>
        <w:t xml:space="preserve">sin perjuicio de que la solicitud fuera introducida en el momento oportuno para presentar las pretensiones de costas y gastos, fue </w:t>
      </w:r>
      <w:r w:rsidR="006C52F1">
        <w:rPr>
          <w:rFonts w:ascii="Verdana" w:hAnsi="Verdana" w:cs="Arial"/>
          <w:sz w:val="20"/>
          <w:szCs w:val="20"/>
        </w:rPr>
        <w:lastRenderedPageBreak/>
        <w:t>hecho</w:t>
      </w:r>
      <w:r w:rsidR="00551C59" w:rsidRPr="00C43B1D">
        <w:rPr>
          <w:rFonts w:ascii="Verdana" w:hAnsi="Verdana" w:cs="Arial"/>
          <w:sz w:val="20"/>
          <w:szCs w:val="20"/>
        </w:rPr>
        <w:t xml:space="preserve"> de modo incompleto por dos r</w:t>
      </w:r>
      <w:r w:rsidR="00104EEC" w:rsidRPr="00C43B1D">
        <w:rPr>
          <w:rFonts w:ascii="Verdana" w:hAnsi="Verdana" w:cs="Arial"/>
          <w:sz w:val="20"/>
          <w:szCs w:val="20"/>
        </w:rPr>
        <w:t>azones</w:t>
      </w:r>
      <w:r w:rsidR="006C52F1">
        <w:rPr>
          <w:rFonts w:ascii="Verdana" w:hAnsi="Verdana" w:cs="Arial"/>
          <w:sz w:val="20"/>
          <w:szCs w:val="20"/>
        </w:rPr>
        <w:t xml:space="preserve">, pues, </w:t>
      </w:r>
      <w:r w:rsidR="00EF584C" w:rsidRPr="00C43B1D">
        <w:rPr>
          <w:rFonts w:ascii="Verdana" w:hAnsi="Verdana" w:cs="Arial"/>
          <w:sz w:val="20"/>
          <w:szCs w:val="20"/>
        </w:rPr>
        <w:t>por un lado</w:t>
      </w:r>
      <w:r w:rsidR="006C52F1">
        <w:rPr>
          <w:rFonts w:ascii="Verdana" w:hAnsi="Verdana" w:cs="Arial"/>
          <w:sz w:val="20"/>
          <w:szCs w:val="20"/>
        </w:rPr>
        <w:t xml:space="preserve"> los defensores interamericanos</w:t>
      </w:r>
      <w:r w:rsidR="00EF584C" w:rsidRPr="00C43B1D">
        <w:rPr>
          <w:rFonts w:ascii="Verdana" w:hAnsi="Verdana" w:cs="Arial"/>
          <w:sz w:val="20"/>
          <w:szCs w:val="20"/>
        </w:rPr>
        <w:t xml:space="preserve"> </w:t>
      </w:r>
      <w:r w:rsidR="00104EEC" w:rsidRPr="00C43B1D">
        <w:rPr>
          <w:rFonts w:ascii="Verdana" w:hAnsi="Verdana" w:cs="Arial"/>
          <w:sz w:val="20"/>
          <w:szCs w:val="20"/>
        </w:rPr>
        <w:t xml:space="preserve">no </w:t>
      </w:r>
      <w:r w:rsidR="00551C59" w:rsidRPr="00C43B1D">
        <w:rPr>
          <w:rFonts w:ascii="Verdana" w:hAnsi="Verdana" w:cs="Arial"/>
          <w:sz w:val="20"/>
          <w:szCs w:val="20"/>
        </w:rPr>
        <w:t>cuantifica</w:t>
      </w:r>
      <w:r w:rsidR="006C52F1">
        <w:rPr>
          <w:rFonts w:ascii="Verdana" w:hAnsi="Verdana" w:cs="Arial"/>
          <w:sz w:val="20"/>
          <w:szCs w:val="20"/>
        </w:rPr>
        <w:t>ron</w:t>
      </w:r>
      <w:r w:rsidR="00551C59" w:rsidRPr="00C43B1D">
        <w:rPr>
          <w:rFonts w:ascii="Verdana" w:hAnsi="Verdana" w:cs="Arial"/>
          <w:sz w:val="20"/>
          <w:szCs w:val="20"/>
        </w:rPr>
        <w:t xml:space="preserve"> dichos gastos y honorarios y, por otro lado, no aportaron ni una sola evidencia que respald</w:t>
      </w:r>
      <w:r w:rsidR="006C52F1">
        <w:rPr>
          <w:rFonts w:ascii="Verdana" w:hAnsi="Verdana" w:cs="Arial"/>
          <w:sz w:val="20"/>
          <w:szCs w:val="20"/>
        </w:rPr>
        <w:t>ara</w:t>
      </w:r>
      <w:r w:rsidR="00551C59" w:rsidRPr="00C43B1D">
        <w:rPr>
          <w:rFonts w:ascii="Verdana" w:hAnsi="Verdana" w:cs="Arial"/>
          <w:sz w:val="20"/>
          <w:szCs w:val="20"/>
        </w:rPr>
        <w:t xml:space="preserve"> y/o acredit</w:t>
      </w:r>
      <w:r w:rsidR="006C52F1">
        <w:rPr>
          <w:rFonts w:ascii="Verdana" w:hAnsi="Verdana" w:cs="Arial"/>
          <w:sz w:val="20"/>
          <w:szCs w:val="20"/>
        </w:rPr>
        <w:t>ara</w:t>
      </w:r>
      <w:r w:rsidR="00551C59" w:rsidRPr="00C43B1D">
        <w:rPr>
          <w:rFonts w:ascii="Verdana" w:hAnsi="Verdana" w:cs="Arial"/>
          <w:sz w:val="20"/>
          <w:szCs w:val="20"/>
        </w:rPr>
        <w:t xml:space="preserve"> los reembolsos solicitados. </w:t>
      </w:r>
      <w:r w:rsidR="00EF584C" w:rsidRPr="00C43B1D">
        <w:rPr>
          <w:rFonts w:ascii="Verdana" w:hAnsi="Verdana" w:cs="Arial"/>
          <w:sz w:val="20"/>
          <w:szCs w:val="20"/>
        </w:rPr>
        <w:t>Como consecuencia,</w:t>
      </w:r>
      <w:r w:rsidR="00551C59" w:rsidRPr="00C43B1D">
        <w:rPr>
          <w:rFonts w:ascii="Verdana" w:hAnsi="Verdana" w:cs="Arial"/>
          <w:sz w:val="20"/>
          <w:szCs w:val="20"/>
        </w:rPr>
        <w:t xml:space="preserve"> el Estado no contó con la posibilidad de analizar y determinar los montos y razones de los gastos, todo</w:t>
      </w:r>
      <w:r w:rsidR="00A737EE" w:rsidRPr="00C43B1D">
        <w:rPr>
          <w:rFonts w:ascii="Verdana" w:hAnsi="Verdana" w:cs="Arial"/>
          <w:sz w:val="20"/>
          <w:szCs w:val="20"/>
        </w:rPr>
        <w:t xml:space="preserve"> lo cual atentó</w:t>
      </w:r>
      <w:r w:rsidR="00551C59" w:rsidRPr="00C43B1D">
        <w:rPr>
          <w:rFonts w:ascii="Verdana" w:hAnsi="Verdana" w:cs="Arial"/>
          <w:sz w:val="20"/>
          <w:szCs w:val="20"/>
        </w:rPr>
        <w:t xml:space="preserve"> contra el derecho de defensa en sede internacional.</w:t>
      </w:r>
    </w:p>
    <w:p w:rsidR="00551C59" w:rsidRPr="00C43B1D" w:rsidRDefault="00551C59" w:rsidP="00C62DC3">
      <w:pPr>
        <w:tabs>
          <w:tab w:val="left" w:pos="567"/>
        </w:tabs>
        <w:autoSpaceDE w:val="0"/>
        <w:autoSpaceDN w:val="0"/>
        <w:adjustRightInd w:val="0"/>
        <w:spacing w:after="0" w:line="240" w:lineRule="auto"/>
        <w:jc w:val="both"/>
        <w:rPr>
          <w:rFonts w:ascii="Verdana" w:hAnsi="Verdana" w:cs="Arial"/>
          <w:sz w:val="20"/>
          <w:szCs w:val="20"/>
        </w:rPr>
      </w:pPr>
    </w:p>
    <w:p w:rsidR="00AC387C" w:rsidRPr="00C43B1D" w:rsidRDefault="006F4075" w:rsidP="00C62DC3">
      <w:pPr>
        <w:numPr>
          <w:ilvl w:val="0"/>
          <w:numId w:val="1"/>
        </w:numPr>
        <w:tabs>
          <w:tab w:val="left" w:pos="567"/>
          <w:tab w:val="num" w:pos="720"/>
        </w:tabs>
        <w:autoSpaceDE w:val="0"/>
        <w:autoSpaceDN w:val="0"/>
        <w:adjustRightInd w:val="0"/>
        <w:spacing w:after="0" w:line="240" w:lineRule="auto"/>
        <w:jc w:val="both"/>
        <w:rPr>
          <w:rFonts w:ascii="Verdana" w:hAnsi="Verdana" w:cs="Arial"/>
          <w:sz w:val="20"/>
          <w:szCs w:val="20"/>
        </w:rPr>
      </w:pPr>
      <w:r>
        <w:rPr>
          <w:rFonts w:ascii="Verdana" w:hAnsi="Verdana" w:cs="Arial"/>
          <w:sz w:val="20"/>
          <w:szCs w:val="20"/>
        </w:rPr>
        <w:t>En segundo lugar</w:t>
      </w:r>
      <w:r w:rsidR="00CB486C" w:rsidRPr="00C43B1D">
        <w:rPr>
          <w:rFonts w:ascii="Verdana" w:hAnsi="Verdana" w:cs="Arial"/>
          <w:sz w:val="20"/>
          <w:szCs w:val="20"/>
        </w:rPr>
        <w:t xml:space="preserve">, </w:t>
      </w:r>
      <w:r>
        <w:rPr>
          <w:rFonts w:ascii="Verdana" w:hAnsi="Verdana" w:cs="Arial"/>
          <w:sz w:val="20"/>
          <w:szCs w:val="20"/>
        </w:rPr>
        <w:t xml:space="preserve">el Estado </w:t>
      </w:r>
      <w:r w:rsidR="00A737EE" w:rsidRPr="00C43B1D">
        <w:rPr>
          <w:rFonts w:ascii="Verdana" w:hAnsi="Verdana" w:cs="Arial"/>
          <w:sz w:val="20"/>
          <w:szCs w:val="20"/>
        </w:rPr>
        <w:t>observó que no le resultó</w:t>
      </w:r>
      <w:r w:rsidR="00CB486C" w:rsidRPr="00C43B1D">
        <w:rPr>
          <w:rFonts w:ascii="Verdana" w:hAnsi="Verdana" w:cs="Arial"/>
          <w:sz w:val="20"/>
          <w:szCs w:val="20"/>
        </w:rPr>
        <w:t xml:space="preserve"> claro la calidad en virtud de la cual los Defensores Interamericanos han efectuado la solicitud de interpretación</w:t>
      </w:r>
      <w:r w:rsidR="00F93CE2">
        <w:rPr>
          <w:rFonts w:ascii="Verdana" w:hAnsi="Verdana" w:cs="Arial"/>
          <w:sz w:val="20"/>
          <w:szCs w:val="20"/>
        </w:rPr>
        <w:t xml:space="preserve">, debido a que se refiere al reconocimiento de costas y gastos a favor del señor Argüelles cuando </w:t>
      </w:r>
      <w:r w:rsidR="005F4102">
        <w:rPr>
          <w:rFonts w:ascii="Verdana" w:hAnsi="Verdana" w:cs="Arial"/>
          <w:sz w:val="20"/>
          <w:szCs w:val="20"/>
        </w:rPr>
        <w:t>actuaba como representante de sí</w:t>
      </w:r>
      <w:r w:rsidR="00F93CE2">
        <w:rPr>
          <w:rFonts w:ascii="Verdana" w:hAnsi="Verdana" w:cs="Arial"/>
          <w:sz w:val="20"/>
          <w:szCs w:val="20"/>
        </w:rPr>
        <w:t xml:space="preserve"> mismo y de otras víctimas, con anterioridad al trámite ante la Corte</w:t>
      </w:r>
      <w:r w:rsidR="00CB486C" w:rsidRPr="00C43B1D">
        <w:rPr>
          <w:rFonts w:ascii="Verdana" w:hAnsi="Verdana" w:cs="Arial"/>
          <w:sz w:val="20"/>
          <w:szCs w:val="20"/>
        </w:rPr>
        <w:t xml:space="preserve">. </w:t>
      </w:r>
    </w:p>
    <w:p w:rsidR="00AC387C" w:rsidRPr="00C43B1D" w:rsidRDefault="00AC387C" w:rsidP="00C62DC3">
      <w:pPr>
        <w:tabs>
          <w:tab w:val="left" w:pos="567"/>
        </w:tabs>
        <w:autoSpaceDE w:val="0"/>
        <w:autoSpaceDN w:val="0"/>
        <w:adjustRightInd w:val="0"/>
        <w:spacing w:after="0" w:line="240" w:lineRule="auto"/>
        <w:jc w:val="both"/>
        <w:rPr>
          <w:rFonts w:ascii="Verdana" w:hAnsi="Verdana" w:cs="Arial"/>
          <w:sz w:val="20"/>
          <w:szCs w:val="20"/>
        </w:rPr>
      </w:pPr>
    </w:p>
    <w:p w:rsidR="0024346E" w:rsidRPr="00C43B1D" w:rsidRDefault="00AC387C" w:rsidP="00C62DC3">
      <w:pPr>
        <w:numPr>
          <w:ilvl w:val="0"/>
          <w:numId w:val="1"/>
        </w:numPr>
        <w:tabs>
          <w:tab w:val="left" w:pos="567"/>
          <w:tab w:val="num" w:pos="720"/>
        </w:tabs>
        <w:autoSpaceDE w:val="0"/>
        <w:autoSpaceDN w:val="0"/>
        <w:adjustRightInd w:val="0"/>
        <w:spacing w:after="0" w:line="240" w:lineRule="auto"/>
        <w:jc w:val="both"/>
        <w:rPr>
          <w:rFonts w:ascii="Verdana" w:hAnsi="Verdana" w:cs="Arial"/>
          <w:sz w:val="20"/>
          <w:szCs w:val="20"/>
        </w:rPr>
      </w:pPr>
      <w:r w:rsidRPr="00C43B1D">
        <w:rPr>
          <w:rFonts w:ascii="Verdana" w:hAnsi="Verdana" w:cs="Verdana"/>
          <w:sz w:val="20"/>
          <w:szCs w:val="20"/>
        </w:rPr>
        <w:t xml:space="preserve">Del mismo modo, agregó que la situación planteada por la defensa interamericana resulta confusa por cuanto los actuales representantes se encontrarían ejerciendo la representación de otro representante, que a la vez ha resultado víctima. En efecto, </w:t>
      </w:r>
      <w:r w:rsidR="006C52F1">
        <w:rPr>
          <w:rFonts w:ascii="Verdana" w:hAnsi="Verdana" w:cs="Verdana"/>
          <w:sz w:val="20"/>
          <w:szCs w:val="20"/>
        </w:rPr>
        <w:t xml:space="preserve">alegó que </w:t>
      </w:r>
      <w:r w:rsidRPr="00C43B1D">
        <w:rPr>
          <w:rFonts w:ascii="Verdana" w:hAnsi="Verdana" w:cs="Verdana"/>
          <w:sz w:val="20"/>
          <w:szCs w:val="20"/>
        </w:rPr>
        <w:t xml:space="preserve">la determinación de costas y gastos a favor de otros representantes debe ser solicitada por cada representante y no por representantes nuevos respecto de los anteriores, </w:t>
      </w:r>
      <w:r w:rsidR="006C52F1">
        <w:rPr>
          <w:rFonts w:ascii="Verdana" w:hAnsi="Verdana" w:cs="Verdana"/>
          <w:sz w:val="20"/>
          <w:szCs w:val="20"/>
        </w:rPr>
        <w:t xml:space="preserve">y en este caso </w:t>
      </w:r>
      <w:r w:rsidRPr="00C43B1D">
        <w:rPr>
          <w:rFonts w:ascii="Verdana" w:hAnsi="Verdana" w:cs="Verdana"/>
          <w:sz w:val="20"/>
          <w:szCs w:val="20"/>
        </w:rPr>
        <w:t>los Defensores Interamericanos representan a las víctimas</w:t>
      </w:r>
      <w:r w:rsidR="006C52F1">
        <w:rPr>
          <w:rFonts w:ascii="Verdana" w:hAnsi="Verdana" w:cs="Verdana"/>
          <w:sz w:val="20"/>
          <w:szCs w:val="20"/>
        </w:rPr>
        <w:t xml:space="preserve">, </w:t>
      </w:r>
      <w:r w:rsidRPr="00C43B1D">
        <w:rPr>
          <w:rFonts w:ascii="Verdana" w:hAnsi="Verdana" w:cs="Verdana"/>
          <w:sz w:val="20"/>
          <w:szCs w:val="20"/>
        </w:rPr>
        <w:t>no a anteriores representantes.</w:t>
      </w:r>
      <w:r w:rsidRPr="00C43B1D">
        <w:rPr>
          <w:rFonts w:ascii="Verdana" w:hAnsi="Verdana" w:cs="Arial"/>
          <w:sz w:val="20"/>
          <w:szCs w:val="20"/>
        </w:rPr>
        <w:t xml:space="preserve"> </w:t>
      </w:r>
    </w:p>
    <w:p w:rsidR="0024346E" w:rsidRPr="00C43B1D" w:rsidRDefault="0024346E" w:rsidP="00C62DC3">
      <w:pPr>
        <w:tabs>
          <w:tab w:val="left" w:pos="567"/>
        </w:tabs>
        <w:autoSpaceDE w:val="0"/>
        <w:autoSpaceDN w:val="0"/>
        <w:adjustRightInd w:val="0"/>
        <w:spacing w:after="0" w:line="240" w:lineRule="auto"/>
        <w:jc w:val="both"/>
        <w:rPr>
          <w:rFonts w:ascii="Verdana" w:hAnsi="Verdana" w:cs="Arial"/>
          <w:sz w:val="20"/>
          <w:szCs w:val="20"/>
        </w:rPr>
      </w:pPr>
    </w:p>
    <w:p w:rsidR="00AC387C" w:rsidRPr="00C43B1D" w:rsidRDefault="00AC387C" w:rsidP="00C62DC3">
      <w:pPr>
        <w:numPr>
          <w:ilvl w:val="0"/>
          <w:numId w:val="1"/>
        </w:numPr>
        <w:tabs>
          <w:tab w:val="left" w:pos="567"/>
          <w:tab w:val="num" w:pos="720"/>
        </w:tabs>
        <w:autoSpaceDE w:val="0"/>
        <w:autoSpaceDN w:val="0"/>
        <w:adjustRightInd w:val="0"/>
        <w:spacing w:after="0" w:line="240" w:lineRule="auto"/>
        <w:jc w:val="both"/>
        <w:rPr>
          <w:rFonts w:ascii="Verdana" w:hAnsi="Verdana" w:cs="Arial"/>
          <w:sz w:val="20"/>
          <w:szCs w:val="20"/>
        </w:rPr>
      </w:pPr>
      <w:r w:rsidRPr="00C43B1D">
        <w:rPr>
          <w:rFonts w:ascii="Verdana" w:hAnsi="Verdana" w:cs="Arial"/>
          <w:sz w:val="20"/>
          <w:szCs w:val="20"/>
        </w:rPr>
        <w:t xml:space="preserve">El </w:t>
      </w:r>
      <w:r w:rsidRPr="00776A8E">
        <w:rPr>
          <w:rFonts w:ascii="Verdana" w:hAnsi="Verdana" w:cs="Arial"/>
          <w:sz w:val="20"/>
          <w:szCs w:val="20"/>
        </w:rPr>
        <w:t>Estado</w:t>
      </w:r>
      <w:r w:rsidRPr="00C43B1D">
        <w:rPr>
          <w:rFonts w:ascii="Verdana" w:hAnsi="Verdana" w:cs="Arial"/>
          <w:sz w:val="20"/>
          <w:szCs w:val="20"/>
        </w:rPr>
        <w:t xml:space="preserve"> concluyó que</w:t>
      </w:r>
      <w:r w:rsidR="00EF584C" w:rsidRPr="00C43B1D">
        <w:rPr>
          <w:rFonts w:ascii="Verdana" w:hAnsi="Verdana" w:cs="Arial"/>
          <w:sz w:val="20"/>
          <w:szCs w:val="20"/>
        </w:rPr>
        <w:t>,</w:t>
      </w:r>
      <w:r w:rsidRPr="00C43B1D">
        <w:rPr>
          <w:rFonts w:ascii="Verdana" w:hAnsi="Verdana" w:cs="Arial"/>
          <w:sz w:val="20"/>
          <w:szCs w:val="20"/>
        </w:rPr>
        <w:t xml:space="preserve"> en virtud de la falta de acreditación, la falta de cuantificación y la falta de legitimidad procesal para que unos representantes soliciten honorarios y gastos de otros representantes, tanto anteriores como actuales, la sentencia no requiere aclaraciones adicionales.</w:t>
      </w:r>
    </w:p>
    <w:p w:rsidR="00104EEC" w:rsidRPr="00C43B1D" w:rsidRDefault="00104EEC" w:rsidP="00C62DC3">
      <w:pPr>
        <w:tabs>
          <w:tab w:val="left" w:pos="567"/>
        </w:tabs>
        <w:autoSpaceDE w:val="0"/>
        <w:autoSpaceDN w:val="0"/>
        <w:adjustRightInd w:val="0"/>
        <w:spacing w:after="0" w:line="240" w:lineRule="auto"/>
        <w:jc w:val="both"/>
        <w:rPr>
          <w:rFonts w:ascii="Verdana" w:hAnsi="Verdana"/>
          <w:sz w:val="20"/>
          <w:szCs w:val="20"/>
        </w:rPr>
      </w:pPr>
    </w:p>
    <w:p w:rsidR="007E7B19" w:rsidRDefault="00EF584C" w:rsidP="007E7B19">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C43B1D">
        <w:rPr>
          <w:rFonts w:ascii="Verdana" w:hAnsi="Verdana"/>
          <w:sz w:val="20"/>
          <w:szCs w:val="20"/>
        </w:rPr>
        <w:t xml:space="preserve">En relación a la solicitud de interpretación de los </w:t>
      </w:r>
      <w:r w:rsidRPr="00776A8E">
        <w:rPr>
          <w:rFonts w:ascii="Verdana" w:hAnsi="Verdana"/>
          <w:b/>
          <w:i/>
          <w:sz w:val="20"/>
          <w:szCs w:val="20"/>
        </w:rPr>
        <w:t>Defensores Interamericanos</w:t>
      </w:r>
      <w:r w:rsidRPr="00C43B1D">
        <w:rPr>
          <w:rFonts w:ascii="Verdana" w:hAnsi="Verdana"/>
          <w:sz w:val="20"/>
          <w:szCs w:val="20"/>
        </w:rPr>
        <w:t xml:space="preserve">, </w:t>
      </w:r>
      <w:r w:rsidR="00104EEC" w:rsidRPr="00C43B1D">
        <w:rPr>
          <w:rFonts w:ascii="Verdana" w:hAnsi="Verdana"/>
          <w:sz w:val="20"/>
          <w:szCs w:val="20"/>
        </w:rPr>
        <w:t xml:space="preserve">ni los demás </w:t>
      </w:r>
      <w:r w:rsidR="00104EEC" w:rsidRPr="00776A8E">
        <w:rPr>
          <w:rFonts w:ascii="Verdana" w:hAnsi="Verdana"/>
          <w:b/>
          <w:i/>
          <w:sz w:val="20"/>
          <w:szCs w:val="20"/>
        </w:rPr>
        <w:t>representantes</w:t>
      </w:r>
      <w:r w:rsidR="00104EEC" w:rsidRPr="00C43B1D">
        <w:rPr>
          <w:rFonts w:ascii="Verdana" w:hAnsi="Verdana"/>
          <w:sz w:val="20"/>
          <w:szCs w:val="20"/>
        </w:rPr>
        <w:t xml:space="preserve"> ni la </w:t>
      </w:r>
      <w:r w:rsidR="00104EEC" w:rsidRPr="00776A8E">
        <w:rPr>
          <w:rFonts w:ascii="Verdana" w:hAnsi="Verdana"/>
          <w:b/>
          <w:i/>
          <w:sz w:val="20"/>
          <w:szCs w:val="20"/>
        </w:rPr>
        <w:t>Comisión</w:t>
      </w:r>
      <w:r w:rsidR="00104EEC" w:rsidRPr="00C43B1D">
        <w:rPr>
          <w:rFonts w:ascii="Verdana" w:hAnsi="Verdana"/>
          <w:sz w:val="20"/>
          <w:szCs w:val="20"/>
        </w:rPr>
        <w:t xml:space="preserve"> </w:t>
      </w:r>
      <w:r w:rsidRPr="00C43B1D">
        <w:rPr>
          <w:rFonts w:ascii="Verdana" w:hAnsi="Verdana"/>
          <w:sz w:val="20"/>
          <w:szCs w:val="20"/>
        </w:rPr>
        <w:t xml:space="preserve">presentaron </w:t>
      </w:r>
      <w:r w:rsidR="00104EEC" w:rsidRPr="00C43B1D">
        <w:rPr>
          <w:rFonts w:ascii="Verdana" w:hAnsi="Verdana"/>
          <w:sz w:val="20"/>
          <w:szCs w:val="20"/>
        </w:rPr>
        <w:t>observaciones.</w:t>
      </w:r>
    </w:p>
    <w:p w:rsidR="007E7B19" w:rsidRDefault="007E7B19" w:rsidP="007E7B19">
      <w:pPr>
        <w:tabs>
          <w:tab w:val="left" w:pos="567"/>
        </w:tabs>
        <w:autoSpaceDE w:val="0"/>
        <w:autoSpaceDN w:val="0"/>
        <w:adjustRightInd w:val="0"/>
        <w:spacing w:after="0" w:line="240" w:lineRule="auto"/>
        <w:jc w:val="both"/>
        <w:rPr>
          <w:rFonts w:ascii="Verdana" w:hAnsi="Verdana"/>
          <w:sz w:val="20"/>
          <w:szCs w:val="20"/>
        </w:rPr>
      </w:pPr>
    </w:p>
    <w:p w:rsidR="004607A7" w:rsidRPr="00776A8E" w:rsidRDefault="004607A7" w:rsidP="00776A8E">
      <w:pPr>
        <w:numPr>
          <w:ilvl w:val="0"/>
          <w:numId w:val="4"/>
        </w:numPr>
        <w:tabs>
          <w:tab w:val="left" w:pos="567"/>
        </w:tabs>
        <w:spacing w:after="0" w:line="240" w:lineRule="auto"/>
        <w:jc w:val="both"/>
        <w:rPr>
          <w:rFonts w:ascii="Verdana" w:eastAsia="Times" w:hAnsi="Verdana"/>
          <w:b/>
          <w:i/>
          <w:sz w:val="20"/>
          <w:szCs w:val="20"/>
        </w:rPr>
      </w:pPr>
      <w:r w:rsidRPr="00776A8E">
        <w:rPr>
          <w:rFonts w:ascii="Verdana" w:eastAsia="Times" w:hAnsi="Verdana"/>
          <w:b/>
          <w:i/>
          <w:sz w:val="20"/>
          <w:szCs w:val="20"/>
        </w:rPr>
        <w:t>Consideraciones de la Corte</w:t>
      </w:r>
    </w:p>
    <w:p w:rsidR="002434DF" w:rsidRDefault="002434DF" w:rsidP="004607A7">
      <w:pPr>
        <w:tabs>
          <w:tab w:val="left" w:pos="567"/>
        </w:tabs>
        <w:autoSpaceDE w:val="0"/>
        <w:autoSpaceDN w:val="0"/>
        <w:adjustRightInd w:val="0"/>
        <w:spacing w:after="0" w:line="240" w:lineRule="auto"/>
        <w:jc w:val="both"/>
        <w:rPr>
          <w:rFonts w:ascii="Verdana" w:hAnsi="Verdana"/>
          <w:sz w:val="20"/>
          <w:szCs w:val="20"/>
        </w:rPr>
      </w:pPr>
    </w:p>
    <w:p w:rsidR="009C7845" w:rsidRPr="009C7845" w:rsidRDefault="009C7845" w:rsidP="009C7845">
      <w:pPr>
        <w:numPr>
          <w:ilvl w:val="0"/>
          <w:numId w:val="1"/>
        </w:numPr>
        <w:tabs>
          <w:tab w:val="left" w:pos="567"/>
          <w:tab w:val="num" w:pos="720"/>
        </w:tabs>
        <w:autoSpaceDE w:val="0"/>
        <w:autoSpaceDN w:val="0"/>
        <w:adjustRightInd w:val="0"/>
        <w:spacing w:after="0" w:line="240" w:lineRule="auto"/>
        <w:jc w:val="both"/>
        <w:rPr>
          <w:rFonts w:ascii="Verdana" w:eastAsia="Times" w:hAnsi="Verdana"/>
          <w:sz w:val="20"/>
          <w:szCs w:val="20"/>
          <w:lang w:val="es-ES_tradnl"/>
        </w:rPr>
      </w:pPr>
      <w:r w:rsidRPr="009C7845">
        <w:rPr>
          <w:rFonts w:ascii="Verdana" w:hAnsi="Verdana"/>
          <w:sz w:val="20"/>
          <w:szCs w:val="20"/>
        </w:rPr>
        <w:t xml:space="preserve">La Corte observa que el párrafo 298 de la Sentencia </w:t>
      </w:r>
      <w:r w:rsidRPr="009C7845">
        <w:rPr>
          <w:rFonts w:ascii="Verdana" w:hAnsi="Verdana"/>
          <w:sz w:val="20"/>
        </w:rPr>
        <w:t>estableció que:</w:t>
      </w:r>
    </w:p>
    <w:p w:rsidR="009C7845" w:rsidRPr="00C43B1D" w:rsidRDefault="009C7845" w:rsidP="009C7845">
      <w:pPr>
        <w:pStyle w:val="Prrafodelista"/>
        <w:spacing w:after="0" w:line="240" w:lineRule="auto"/>
        <w:ind w:left="0"/>
        <w:jc w:val="both"/>
        <w:rPr>
          <w:rFonts w:ascii="Verdana" w:hAnsi="Verdana"/>
          <w:sz w:val="20"/>
        </w:rPr>
      </w:pPr>
    </w:p>
    <w:p w:rsidR="009C7845" w:rsidRPr="00C43B1D" w:rsidRDefault="009C7845" w:rsidP="009C7845">
      <w:pPr>
        <w:pStyle w:val="Prrafodelista"/>
        <w:tabs>
          <w:tab w:val="left" w:pos="709"/>
          <w:tab w:val="left" w:pos="993"/>
        </w:tabs>
        <w:spacing w:after="0" w:line="240" w:lineRule="auto"/>
        <w:ind w:left="709" w:right="684"/>
        <w:contextualSpacing w:val="0"/>
        <w:jc w:val="both"/>
        <w:rPr>
          <w:rFonts w:ascii="Verdana" w:hAnsi="Verdana"/>
          <w:sz w:val="16"/>
          <w:szCs w:val="16"/>
          <w:lang w:val="es-CO"/>
        </w:rPr>
      </w:pPr>
      <w:r w:rsidRPr="00C43B1D">
        <w:rPr>
          <w:rFonts w:ascii="Verdana" w:hAnsi="Verdana" w:cs="Arial"/>
          <w:sz w:val="16"/>
          <w:szCs w:val="16"/>
        </w:rPr>
        <w:t>“En el presente caso, esta Corte observa que los Representantes De Vita y Cueto y Vega y Sommer no acreditaron los gastos en que incurrieron, pues no detallaron las erogaciones que realizaron durante el litigio a nivel nacional e internacional, ni tampoco aportaron mayor prueba al respecto. Sin embargo, en virtud de que el litigio, tanto a nivel nacional como a nivel internacional, duró varios años, esta Corte estima procedente conceder una suma razonable de US$10,000.00 (diez mil dólares de los Estados Unidos de América) a los representantes Vega y Sommer y de US$10,000.00 (diez mil dólares de los Estados Unidos de América) a los representantes De Vita y Cueto por concepto de gastos y costas. Asimismo el Tribunal nota que en el escrito de solicitudes y argumentos, los Defensores Interamericanos solicitaron expresamente acogerse al Fondo de Asistencia Legal de Víctimas por los gastos erogados con motivo de la defensa en el presente caso. Asimismo, teniendo en cuenta lo anterior, la Corte estima procedente ordenar al Estado el reintegro de la cantidad de US$ 630.00 (seiscientos y treinta dólares de los Estados Unidos de América) a los Defensores Interamericanos Gustavo Luis Vitale y Clara Leite, con motivo de los gastos internos realizados durante la tramitación del proceso ante la Corte Interamericana de Derechos Humanos</w:t>
      </w:r>
      <w:r w:rsidRPr="00C43B1D">
        <w:rPr>
          <w:rFonts w:ascii="Verdana" w:hAnsi="Verdana"/>
          <w:sz w:val="16"/>
          <w:szCs w:val="16"/>
          <w:lang w:val="es-CO"/>
        </w:rPr>
        <w:t xml:space="preserve">”. </w:t>
      </w:r>
    </w:p>
    <w:p w:rsidR="009C7845" w:rsidRPr="009C7845" w:rsidRDefault="009C7845" w:rsidP="009C7845">
      <w:pPr>
        <w:tabs>
          <w:tab w:val="left" w:pos="567"/>
        </w:tabs>
        <w:autoSpaceDE w:val="0"/>
        <w:autoSpaceDN w:val="0"/>
        <w:adjustRightInd w:val="0"/>
        <w:spacing w:after="0" w:line="240" w:lineRule="auto"/>
        <w:jc w:val="both"/>
        <w:rPr>
          <w:rFonts w:ascii="Verdana" w:hAnsi="Verdana"/>
          <w:sz w:val="20"/>
          <w:szCs w:val="20"/>
          <w:lang w:val="es-CO"/>
        </w:rPr>
      </w:pPr>
    </w:p>
    <w:p w:rsidR="004607A7" w:rsidRDefault="007E7B19" w:rsidP="004607A7">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7E7B19">
        <w:rPr>
          <w:rFonts w:ascii="Verdana" w:hAnsi="Verdana"/>
          <w:sz w:val="20"/>
          <w:szCs w:val="20"/>
        </w:rPr>
        <w:t xml:space="preserve">Tal como lo ha dispuesto anteriormente este Tribunal en su jurisprudencia constante, una solicitud de interpretación de </w:t>
      </w:r>
      <w:r w:rsidR="008D1D45">
        <w:rPr>
          <w:rFonts w:ascii="Verdana" w:hAnsi="Verdana"/>
          <w:sz w:val="20"/>
          <w:szCs w:val="20"/>
        </w:rPr>
        <w:t>S</w:t>
      </w:r>
      <w:r w:rsidRPr="007E7B19">
        <w:rPr>
          <w:rFonts w:ascii="Verdana" w:hAnsi="Verdana"/>
          <w:sz w:val="20"/>
          <w:szCs w:val="20"/>
        </w:rPr>
        <w:t xml:space="preserve">entencia no puede utilizarse como medio de impugnación de la decisión cuya interpretación se solicita. Dicha solicitud tiene como objeto, exclusivamente, determinar el sentido de un fallo cuando alguna de las partes sostiene que el texto de sus puntos resolutivos o de sus consideraciones carece de claridad o precisión, </w:t>
      </w:r>
      <w:r w:rsidRPr="007E7B19">
        <w:rPr>
          <w:rFonts w:ascii="Verdana" w:hAnsi="Verdana"/>
          <w:sz w:val="20"/>
          <w:szCs w:val="20"/>
        </w:rPr>
        <w:lastRenderedPageBreak/>
        <w:t>siempre y cuando esas consideraciones incidan en dicha parte resolutiva</w:t>
      </w:r>
      <w:r w:rsidRPr="00C43B1D">
        <w:rPr>
          <w:rStyle w:val="Refdenotaalpie"/>
          <w:rFonts w:ascii="Verdana" w:hAnsi="Verdana"/>
          <w:sz w:val="20"/>
          <w:szCs w:val="20"/>
        </w:rPr>
        <w:footnoteReference w:id="4"/>
      </w:r>
      <w:r w:rsidRPr="007E7B19">
        <w:rPr>
          <w:rFonts w:ascii="Verdana" w:hAnsi="Verdana"/>
          <w:sz w:val="20"/>
          <w:szCs w:val="20"/>
        </w:rPr>
        <w:t xml:space="preserve">. Por lo tanto, no se puede pedir la modificación o anulación de la </w:t>
      </w:r>
      <w:r w:rsidR="008D1D45">
        <w:rPr>
          <w:rFonts w:ascii="Verdana" w:hAnsi="Verdana"/>
          <w:sz w:val="20"/>
          <w:szCs w:val="20"/>
        </w:rPr>
        <w:t>S</w:t>
      </w:r>
      <w:r w:rsidRPr="007E7B19">
        <w:rPr>
          <w:rFonts w:ascii="Verdana" w:hAnsi="Verdana"/>
          <w:sz w:val="20"/>
          <w:szCs w:val="20"/>
        </w:rPr>
        <w:t>entencia respectiva a través de una solicitud de interpretación</w:t>
      </w:r>
      <w:r w:rsidRPr="00C43B1D">
        <w:rPr>
          <w:rStyle w:val="Refdenotaalpie"/>
          <w:rFonts w:ascii="Verdana" w:hAnsi="Verdana"/>
          <w:sz w:val="20"/>
          <w:szCs w:val="20"/>
        </w:rPr>
        <w:footnoteReference w:id="5"/>
      </w:r>
      <w:r w:rsidRPr="007E7B19">
        <w:rPr>
          <w:rFonts w:ascii="Verdana" w:hAnsi="Verdana"/>
          <w:sz w:val="20"/>
          <w:szCs w:val="20"/>
        </w:rPr>
        <w:t xml:space="preserve">. </w:t>
      </w:r>
      <w:bookmarkStart w:id="9" w:name="_Ref363132082"/>
      <w:bookmarkEnd w:id="8"/>
    </w:p>
    <w:p w:rsidR="004607A7" w:rsidRDefault="004607A7" w:rsidP="004607A7">
      <w:pPr>
        <w:tabs>
          <w:tab w:val="left" w:pos="567"/>
        </w:tabs>
        <w:autoSpaceDE w:val="0"/>
        <w:autoSpaceDN w:val="0"/>
        <w:adjustRightInd w:val="0"/>
        <w:spacing w:after="0" w:line="240" w:lineRule="auto"/>
        <w:jc w:val="both"/>
        <w:rPr>
          <w:rFonts w:ascii="Verdana" w:hAnsi="Verdana"/>
          <w:sz w:val="20"/>
          <w:szCs w:val="20"/>
        </w:rPr>
      </w:pPr>
    </w:p>
    <w:p w:rsidR="00C43B1D" w:rsidRPr="004607A7" w:rsidRDefault="00C43B1D" w:rsidP="004607A7">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4607A7">
        <w:rPr>
          <w:rFonts w:ascii="Verdana" w:hAnsi="Verdana"/>
          <w:sz w:val="20"/>
          <w:szCs w:val="20"/>
        </w:rPr>
        <w:t>Asimismo, la Corte ha sostenido la improcedencia de utilizar una solicitud de interpretación para someter cuestiones de hecho y de derecho que ya fueron planteadas en su oportunidad procesal y sobre las cuales el Tribunal ya adoptó una decisión</w:t>
      </w:r>
      <w:r w:rsidRPr="00C43B1D">
        <w:rPr>
          <w:rStyle w:val="Refdenotaalpie"/>
          <w:rFonts w:ascii="Verdana" w:hAnsi="Verdana"/>
          <w:sz w:val="20"/>
          <w:szCs w:val="20"/>
        </w:rPr>
        <w:footnoteReference w:id="6"/>
      </w:r>
      <w:r w:rsidRPr="004607A7">
        <w:rPr>
          <w:rFonts w:ascii="Verdana" w:hAnsi="Verdana"/>
          <w:sz w:val="20"/>
          <w:szCs w:val="20"/>
        </w:rPr>
        <w:t>, así como para pretender que el Tribunal valore nuevamente cuestiones que ya han sido resueltas por éste en la Sentencia</w:t>
      </w:r>
      <w:r w:rsidRPr="00C43B1D">
        <w:rPr>
          <w:rStyle w:val="Refdenotaalpie"/>
          <w:rFonts w:ascii="Verdana" w:hAnsi="Verdana"/>
          <w:sz w:val="20"/>
          <w:szCs w:val="20"/>
        </w:rPr>
        <w:footnoteReference w:id="7"/>
      </w:r>
      <w:r w:rsidRPr="004607A7">
        <w:rPr>
          <w:rFonts w:ascii="Verdana" w:hAnsi="Verdana"/>
          <w:sz w:val="20"/>
          <w:szCs w:val="20"/>
        </w:rPr>
        <w:t>. De igual manera, por esta vía tampoco se puede intentar que se amplíe el alcance de una medida de reparación ordenada oportunamente</w:t>
      </w:r>
      <w:r w:rsidRPr="00C43B1D">
        <w:rPr>
          <w:rStyle w:val="Refdenotaalpie"/>
          <w:rFonts w:ascii="Verdana" w:hAnsi="Verdana"/>
          <w:sz w:val="20"/>
          <w:szCs w:val="20"/>
        </w:rPr>
        <w:footnoteReference w:id="8"/>
      </w:r>
      <w:r w:rsidRPr="004607A7">
        <w:rPr>
          <w:rFonts w:ascii="Verdana" w:hAnsi="Verdana"/>
          <w:sz w:val="20"/>
          <w:szCs w:val="20"/>
        </w:rPr>
        <w:t xml:space="preserve">. </w:t>
      </w:r>
    </w:p>
    <w:p w:rsidR="00C43B1D" w:rsidRDefault="00C43B1D" w:rsidP="00C43B1D">
      <w:pPr>
        <w:spacing w:after="0" w:line="240" w:lineRule="auto"/>
        <w:jc w:val="both"/>
        <w:rPr>
          <w:rFonts w:ascii="Verdana" w:hAnsi="Verdana"/>
          <w:sz w:val="20"/>
          <w:szCs w:val="20"/>
        </w:rPr>
      </w:pPr>
    </w:p>
    <w:bookmarkEnd w:id="9"/>
    <w:p w:rsidR="0092467F" w:rsidRPr="00F93CE2" w:rsidRDefault="0092467F" w:rsidP="0092467F">
      <w:pPr>
        <w:pStyle w:val="Prrafodelista2"/>
        <w:numPr>
          <w:ilvl w:val="0"/>
          <w:numId w:val="1"/>
        </w:numPr>
        <w:tabs>
          <w:tab w:val="clear" w:pos="1247"/>
          <w:tab w:val="num" w:pos="0"/>
          <w:tab w:val="left" w:pos="567"/>
          <w:tab w:val="left" w:pos="720"/>
          <w:tab w:val="num" w:pos="15467"/>
        </w:tabs>
        <w:contextualSpacing/>
        <w:jc w:val="both"/>
        <w:rPr>
          <w:lang w:val="es-CR"/>
        </w:rPr>
      </w:pPr>
      <w:r w:rsidRPr="00211FF9">
        <w:rPr>
          <w:rFonts w:eastAsia="Calibri" w:cs="Arial"/>
        </w:rPr>
        <w:t xml:space="preserve">El Tribunal nota que el párrafo 298 de la Sentencia se refiere a la determinación de los montos de costas y gastos a ser pagados por el Estado. La Corte mencionó que los representantes De Vita y Cueto no habían remitido prueba de las erogaciones realizadas y les determinó una suma razonable de US$ 10,000.00 (diez mil dólares de los Estados Unidos de </w:t>
      </w:r>
      <w:r w:rsidRPr="00F93CE2">
        <w:rPr>
          <w:rFonts w:eastAsia="Calibri" w:cs="Arial"/>
        </w:rPr>
        <w:t>América).</w:t>
      </w:r>
      <w:r w:rsidR="00A67495" w:rsidRPr="00F93CE2">
        <w:rPr>
          <w:rFonts w:eastAsia="Calibri" w:cs="Arial"/>
        </w:rPr>
        <w:t xml:space="preserve"> La Sentencia es clara en que esta suma es total para los representantes De Vita y Cueto, no pudiendo interpretarse que se trata de US$ 10,000.00 para cada uno de ellos.</w:t>
      </w:r>
    </w:p>
    <w:p w:rsidR="0092467F" w:rsidRPr="00F93CE2" w:rsidRDefault="0092467F" w:rsidP="0092467F">
      <w:pPr>
        <w:pStyle w:val="Prrafodelista2"/>
        <w:tabs>
          <w:tab w:val="left" w:pos="567"/>
          <w:tab w:val="left" w:pos="720"/>
          <w:tab w:val="num" w:pos="15467"/>
        </w:tabs>
        <w:ind w:left="0"/>
        <w:contextualSpacing/>
        <w:jc w:val="both"/>
        <w:rPr>
          <w:lang w:val="es-CR"/>
        </w:rPr>
      </w:pPr>
    </w:p>
    <w:p w:rsidR="0092467F" w:rsidRDefault="0092467F" w:rsidP="0092467F">
      <w:pPr>
        <w:pStyle w:val="Prrafodelista2"/>
        <w:numPr>
          <w:ilvl w:val="0"/>
          <w:numId w:val="1"/>
        </w:numPr>
        <w:tabs>
          <w:tab w:val="clear" w:pos="1247"/>
          <w:tab w:val="num" w:pos="0"/>
          <w:tab w:val="left" w:pos="567"/>
          <w:tab w:val="left" w:pos="720"/>
          <w:tab w:val="num" w:pos="15467"/>
        </w:tabs>
        <w:contextualSpacing/>
        <w:jc w:val="both"/>
        <w:rPr>
          <w:lang w:val="es-CR"/>
        </w:rPr>
      </w:pPr>
      <w:r w:rsidRPr="00F93CE2">
        <w:rPr>
          <w:lang w:val="es-CR"/>
        </w:rPr>
        <w:t xml:space="preserve">En relación con la solicitud de los Defensores Interamericanos, la Corte hizo notar en el mismo párrafo 298 la solicitud de reembolso de los gastos erogados con motivo del caso. Al respecto, consideró oportuno </w:t>
      </w:r>
      <w:r w:rsidR="00635B4E" w:rsidRPr="00F93CE2">
        <w:rPr>
          <w:lang w:val="es-CR"/>
        </w:rPr>
        <w:t xml:space="preserve">únicamente </w:t>
      </w:r>
      <w:r w:rsidRPr="00F93CE2">
        <w:rPr>
          <w:lang w:val="es-CR"/>
        </w:rPr>
        <w:t xml:space="preserve">el reintegro de los gastos adicionales </w:t>
      </w:r>
      <w:r w:rsidR="008D1D45">
        <w:rPr>
          <w:lang w:val="es-CR"/>
        </w:rPr>
        <w:t>de</w:t>
      </w:r>
      <w:r w:rsidR="008D1D45" w:rsidRPr="00F93CE2">
        <w:rPr>
          <w:lang w:val="es-CR"/>
        </w:rPr>
        <w:t xml:space="preserve"> </w:t>
      </w:r>
      <w:r w:rsidRPr="00F93CE2">
        <w:rPr>
          <w:lang w:val="es-CR"/>
        </w:rPr>
        <w:t>lo que fue autorizado por el Fondo de Asistencia Legal de Víctimas, incurridos en el trámite ante la Corte Interamericana</w:t>
      </w:r>
      <w:r w:rsidR="00635B4E" w:rsidRPr="00F93CE2">
        <w:rPr>
          <w:lang w:val="es-CR"/>
        </w:rPr>
        <w:t>, y no así otros gastos supuestamente realizados con anterioridad a la representación letrada de los Defensores Interamericanos en el caso</w:t>
      </w:r>
      <w:r w:rsidRPr="00F93CE2">
        <w:rPr>
          <w:lang w:val="es-CR"/>
        </w:rPr>
        <w:t>. Los Defensores Interamericanos</w:t>
      </w:r>
      <w:r w:rsidR="00635B4E" w:rsidRPr="00F93CE2">
        <w:rPr>
          <w:lang w:val="es-CR"/>
        </w:rPr>
        <w:t>, por tanto,</w:t>
      </w:r>
      <w:r w:rsidRPr="00F93CE2">
        <w:rPr>
          <w:lang w:val="es-CR"/>
        </w:rPr>
        <w:t xml:space="preserve"> pretenden que sea modificada la decisión tomada por la Corte </w:t>
      </w:r>
      <w:r w:rsidR="008D1D45">
        <w:rPr>
          <w:lang w:val="es-CR"/>
        </w:rPr>
        <w:t>sobre la determinación</w:t>
      </w:r>
      <w:r w:rsidRPr="00F93CE2">
        <w:rPr>
          <w:lang w:val="es-CR"/>
        </w:rPr>
        <w:t xml:space="preserve"> </w:t>
      </w:r>
      <w:r w:rsidR="008D1D45">
        <w:rPr>
          <w:lang w:val="es-CR"/>
        </w:rPr>
        <w:t>d</w:t>
      </w:r>
      <w:r w:rsidRPr="00F93CE2">
        <w:rPr>
          <w:lang w:val="es-CR"/>
        </w:rPr>
        <w:t>el reintegro de costas</w:t>
      </w:r>
      <w:r w:rsidRPr="00B812D7">
        <w:rPr>
          <w:lang w:val="es-CR"/>
        </w:rPr>
        <w:t xml:space="preserve"> y gastos en el párrafo 298.</w:t>
      </w:r>
    </w:p>
    <w:p w:rsidR="0092467F" w:rsidRDefault="0092467F" w:rsidP="0092467F">
      <w:pPr>
        <w:pStyle w:val="Prrafodelista2"/>
        <w:tabs>
          <w:tab w:val="left" w:pos="567"/>
          <w:tab w:val="left" w:pos="720"/>
          <w:tab w:val="num" w:pos="15467"/>
        </w:tabs>
        <w:ind w:left="0"/>
        <w:contextualSpacing/>
        <w:jc w:val="both"/>
        <w:rPr>
          <w:lang w:val="es-CR"/>
        </w:rPr>
      </w:pPr>
    </w:p>
    <w:p w:rsidR="0092467F" w:rsidRPr="00995D8F" w:rsidRDefault="0092467F" w:rsidP="0092467F">
      <w:pPr>
        <w:pStyle w:val="Prrafodelista2"/>
        <w:numPr>
          <w:ilvl w:val="0"/>
          <w:numId w:val="1"/>
        </w:numPr>
        <w:tabs>
          <w:tab w:val="clear" w:pos="1247"/>
          <w:tab w:val="num" w:pos="0"/>
          <w:tab w:val="left" w:pos="567"/>
          <w:tab w:val="left" w:pos="720"/>
          <w:tab w:val="num" w:pos="15467"/>
        </w:tabs>
        <w:contextualSpacing/>
        <w:jc w:val="both"/>
        <w:rPr>
          <w:lang w:val="es-CR"/>
        </w:rPr>
      </w:pPr>
      <w:r w:rsidRPr="00995D8F">
        <w:rPr>
          <w:lang w:val="es-CR"/>
        </w:rPr>
        <w:t>Teniendo en cuenta estas determinaciones y precisiones efectuada</w:t>
      </w:r>
      <w:r>
        <w:rPr>
          <w:lang w:val="es-CR"/>
        </w:rPr>
        <w:t>s por la Corte en el párrafo 298</w:t>
      </w:r>
      <w:r w:rsidRPr="00995D8F">
        <w:rPr>
          <w:lang w:val="es-CR"/>
        </w:rPr>
        <w:t>, la</w:t>
      </w:r>
      <w:r>
        <w:rPr>
          <w:lang w:val="es-CR"/>
        </w:rPr>
        <w:t>s</w:t>
      </w:r>
      <w:r w:rsidRPr="00995D8F">
        <w:rPr>
          <w:lang w:val="es-CR"/>
        </w:rPr>
        <w:t xml:space="preserve"> solicitud</w:t>
      </w:r>
      <w:r>
        <w:rPr>
          <w:lang w:val="es-CR"/>
        </w:rPr>
        <w:t>es</w:t>
      </w:r>
      <w:r w:rsidRPr="00995D8F">
        <w:rPr>
          <w:lang w:val="es-CR"/>
        </w:rPr>
        <w:t xml:space="preserve"> de interpretación </w:t>
      </w:r>
      <w:r>
        <w:rPr>
          <w:lang w:val="es-CR"/>
        </w:rPr>
        <w:t>son</w:t>
      </w:r>
      <w:r w:rsidRPr="00995D8F">
        <w:rPr>
          <w:lang w:val="es-CR"/>
        </w:rPr>
        <w:t xml:space="preserve"> improcedente</w:t>
      </w:r>
      <w:r w:rsidR="008D1D45">
        <w:rPr>
          <w:lang w:val="es-CR"/>
        </w:rPr>
        <w:t>s</w:t>
      </w:r>
      <w:r w:rsidRPr="00995D8F">
        <w:rPr>
          <w:lang w:val="es-CR"/>
        </w:rPr>
        <w:t xml:space="preserve"> en tanto constituye</w:t>
      </w:r>
      <w:r>
        <w:rPr>
          <w:lang w:val="es-CR"/>
        </w:rPr>
        <w:t>n</w:t>
      </w:r>
      <w:r w:rsidRPr="00995D8F">
        <w:rPr>
          <w:lang w:val="es-CR"/>
        </w:rPr>
        <w:t xml:space="preserve"> </w:t>
      </w:r>
      <w:r w:rsidR="008D1D45">
        <w:rPr>
          <w:lang w:val="es-CR"/>
        </w:rPr>
        <w:t xml:space="preserve">reevaluaciones de </w:t>
      </w:r>
      <w:r w:rsidRPr="00995D8F">
        <w:rPr>
          <w:lang w:val="es-CR"/>
        </w:rPr>
        <w:t>cuestiones que han sido resueltas por el Tribunal, sin que exista la posibilidad de que el fallo sea modificado o ampliado, de conformidad con los artículos 67 de la Convención Americana y 31.3 y 68 del Reglamento del Tribunal.</w:t>
      </w:r>
    </w:p>
    <w:p w:rsidR="0092467F" w:rsidRDefault="0092467F" w:rsidP="00C43B1D">
      <w:pPr>
        <w:tabs>
          <w:tab w:val="left" w:pos="720"/>
          <w:tab w:val="left" w:pos="1530"/>
          <w:tab w:val="left" w:pos="2140"/>
        </w:tabs>
        <w:spacing w:after="0" w:line="240" w:lineRule="auto"/>
        <w:jc w:val="both"/>
        <w:rPr>
          <w:rFonts w:ascii="Verdana" w:hAnsi="Verdana"/>
          <w:sz w:val="20"/>
          <w:szCs w:val="20"/>
        </w:rPr>
      </w:pPr>
    </w:p>
    <w:p w:rsidR="00B5541F" w:rsidRDefault="00B5541F" w:rsidP="00C43B1D">
      <w:pPr>
        <w:tabs>
          <w:tab w:val="left" w:pos="720"/>
          <w:tab w:val="left" w:pos="1530"/>
          <w:tab w:val="left" w:pos="2140"/>
        </w:tabs>
        <w:spacing w:after="0" w:line="240" w:lineRule="auto"/>
        <w:jc w:val="both"/>
        <w:rPr>
          <w:rFonts w:ascii="Verdana" w:hAnsi="Verdana"/>
          <w:sz w:val="20"/>
          <w:szCs w:val="20"/>
        </w:rPr>
      </w:pPr>
    </w:p>
    <w:p w:rsidR="00B5541F" w:rsidRPr="0092467F" w:rsidRDefault="00B5541F" w:rsidP="00C43B1D">
      <w:pPr>
        <w:tabs>
          <w:tab w:val="left" w:pos="720"/>
          <w:tab w:val="left" w:pos="1530"/>
          <w:tab w:val="left" w:pos="2140"/>
        </w:tabs>
        <w:spacing w:after="0" w:line="240" w:lineRule="auto"/>
        <w:jc w:val="both"/>
        <w:rPr>
          <w:rFonts w:ascii="Verdana" w:hAnsi="Verdana"/>
          <w:sz w:val="20"/>
          <w:szCs w:val="20"/>
        </w:rPr>
      </w:pPr>
    </w:p>
    <w:p w:rsidR="00336F2D" w:rsidRPr="00C43B1D" w:rsidRDefault="00336F2D" w:rsidP="00C62DC3">
      <w:pPr>
        <w:spacing w:after="0" w:line="240" w:lineRule="auto"/>
        <w:jc w:val="center"/>
        <w:rPr>
          <w:rFonts w:ascii="Verdana" w:hAnsi="Verdana"/>
          <w:b/>
          <w:sz w:val="20"/>
          <w:szCs w:val="20"/>
        </w:rPr>
      </w:pPr>
      <w:r w:rsidRPr="00C43B1D">
        <w:rPr>
          <w:rFonts w:ascii="Verdana" w:hAnsi="Verdana"/>
          <w:b/>
          <w:sz w:val="20"/>
          <w:szCs w:val="20"/>
        </w:rPr>
        <w:lastRenderedPageBreak/>
        <w:t>V</w:t>
      </w:r>
    </w:p>
    <w:p w:rsidR="00336F2D" w:rsidRDefault="00336F2D" w:rsidP="00C62DC3">
      <w:pPr>
        <w:spacing w:after="0" w:line="240" w:lineRule="auto"/>
        <w:jc w:val="center"/>
        <w:rPr>
          <w:rFonts w:ascii="Verdana" w:hAnsi="Verdana"/>
          <w:b/>
          <w:sz w:val="20"/>
          <w:szCs w:val="20"/>
        </w:rPr>
      </w:pPr>
      <w:r w:rsidRPr="00C43B1D">
        <w:rPr>
          <w:rFonts w:ascii="Verdana" w:hAnsi="Verdana"/>
          <w:b/>
          <w:sz w:val="20"/>
          <w:szCs w:val="20"/>
        </w:rPr>
        <w:t xml:space="preserve">PUNTOS RESOLUTIVOS </w:t>
      </w:r>
    </w:p>
    <w:p w:rsidR="001D3D17" w:rsidRPr="001D3D17" w:rsidRDefault="001D3D17" w:rsidP="00C62DC3">
      <w:pPr>
        <w:spacing w:after="0" w:line="240" w:lineRule="auto"/>
        <w:jc w:val="center"/>
        <w:rPr>
          <w:rFonts w:ascii="Verdana" w:hAnsi="Verdana" w:cs="Arial"/>
          <w:i/>
          <w:sz w:val="20"/>
          <w:szCs w:val="20"/>
        </w:rPr>
      </w:pPr>
    </w:p>
    <w:p w:rsidR="00336F2D" w:rsidRPr="00C43B1D" w:rsidRDefault="00336F2D" w:rsidP="00C62DC3">
      <w:pPr>
        <w:numPr>
          <w:ilvl w:val="0"/>
          <w:numId w:val="1"/>
        </w:numPr>
        <w:spacing w:after="0" w:line="240" w:lineRule="auto"/>
        <w:jc w:val="both"/>
        <w:rPr>
          <w:rFonts w:ascii="Verdana" w:hAnsi="Verdana" w:cs="Arial"/>
          <w:b/>
          <w:i/>
          <w:sz w:val="20"/>
          <w:szCs w:val="20"/>
        </w:rPr>
      </w:pPr>
      <w:r w:rsidRPr="00C43B1D">
        <w:rPr>
          <w:rFonts w:ascii="Verdana" w:hAnsi="Verdana"/>
          <w:sz w:val="20"/>
          <w:szCs w:val="20"/>
        </w:rPr>
        <w:t xml:space="preserve">Por tanto, </w:t>
      </w:r>
    </w:p>
    <w:p w:rsidR="00336F2D" w:rsidRPr="00C43B1D" w:rsidRDefault="00336F2D" w:rsidP="00C62DC3">
      <w:pPr>
        <w:spacing w:after="0" w:line="240" w:lineRule="auto"/>
        <w:rPr>
          <w:rFonts w:ascii="Verdana" w:hAnsi="Verdana"/>
          <w:b/>
          <w:sz w:val="20"/>
          <w:szCs w:val="20"/>
        </w:rPr>
      </w:pPr>
    </w:p>
    <w:p w:rsidR="00336F2D" w:rsidRPr="00C43B1D" w:rsidRDefault="00336F2D" w:rsidP="00C62DC3">
      <w:pPr>
        <w:spacing w:after="0" w:line="240" w:lineRule="auto"/>
        <w:rPr>
          <w:rFonts w:ascii="Verdana" w:hAnsi="Verdana"/>
          <w:b/>
          <w:sz w:val="20"/>
          <w:szCs w:val="20"/>
        </w:rPr>
      </w:pPr>
      <w:r w:rsidRPr="00C43B1D">
        <w:rPr>
          <w:rFonts w:ascii="Verdana" w:hAnsi="Verdana"/>
          <w:b/>
          <w:sz w:val="20"/>
          <w:szCs w:val="20"/>
        </w:rPr>
        <w:t>LA CORTE</w:t>
      </w:r>
      <w:r w:rsidR="00B2676A" w:rsidRPr="00C43B1D">
        <w:rPr>
          <w:rFonts w:ascii="Verdana" w:hAnsi="Verdana"/>
          <w:b/>
          <w:sz w:val="20"/>
          <w:szCs w:val="20"/>
        </w:rPr>
        <w:t>,</w:t>
      </w:r>
      <w:r w:rsidRPr="00C43B1D">
        <w:rPr>
          <w:rFonts w:ascii="Verdana" w:hAnsi="Verdana"/>
          <w:b/>
          <w:sz w:val="20"/>
          <w:szCs w:val="20"/>
        </w:rPr>
        <w:t xml:space="preserve"> </w:t>
      </w:r>
    </w:p>
    <w:p w:rsidR="00336F2D" w:rsidRPr="00C43B1D" w:rsidRDefault="00336F2D" w:rsidP="00C62DC3">
      <w:pPr>
        <w:spacing w:after="0" w:line="240" w:lineRule="auto"/>
        <w:rPr>
          <w:rFonts w:ascii="Verdana" w:hAnsi="Verdana"/>
          <w:sz w:val="20"/>
          <w:szCs w:val="20"/>
        </w:rPr>
      </w:pPr>
    </w:p>
    <w:p w:rsidR="00336F2D" w:rsidRPr="00C43B1D" w:rsidRDefault="00336F2D" w:rsidP="00C62DC3">
      <w:pPr>
        <w:spacing w:after="0" w:line="240" w:lineRule="auto"/>
        <w:jc w:val="both"/>
        <w:rPr>
          <w:rFonts w:ascii="Verdana" w:hAnsi="Verdana"/>
          <w:sz w:val="20"/>
          <w:szCs w:val="20"/>
        </w:rPr>
      </w:pPr>
      <w:r w:rsidRPr="00C43B1D">
        <w:rPr>
          <w:rFonts w:ascii="Verdana" w:hAnsi="Verdana"/>
          <w:sz w:val="20"/>
          <w:szCs w:val="20"/>
        </w:rPr>
        <w:t>de conformidad con el artículo 67 de la Convención Americana sobre Derechos Humanos y los artículos 31.3 y 68 del Reglamento,</w:t>
      </w:r>
    </w:p>
    <w:p w:rsidR="00336F2D" w:rsidRPr="00C43B1D" w:rsidRDefault="00336F2D" w:rsidP="00C62DC3">
      <w:pPr>
        <w:spacing w:after="0" w:line="240" w:lineRule="auto"/>
        <w:rPr>
          <w:rFonts w:ascii="Verdana" w:hAnsi="Verdana"/>
          <w:b/>
          <w:sz w:val="20"/>
          <w:szCs w:val="20"/>
        </w:rPr>
      </w:pPr>
    </w:p>
    <w:p w:rsidR="00336F2D" w:rsidRPr="00C43B1D" w:rsidRDefault="00336F2D" w:rsidP="00C62DC3">
      <w:pPr>
        <w:spacing w:after="0" w:line="240" w:lineRule="auto"/>
        <w:rPr>
          <w:rFonts w:ascii="Verdana" w:hAnsi="Verdana"/>
          <w:b/>
          <w:sz w:val="20"/>
          <w:szCs w:val="20"/>
        </w:rPr>
      </w:pPr>
      <w:r w:rsidRPr="00C43B1D">
        <w:rPr>
          <w:rFonts w:ascii="Verdana" w:hAnsi="Verdana"/>
          <w:b/>
          <w:sz w:val="20"/>
          <w:szCs w:val="20"/>
        </w:rPr>
        <w:t>DECIDE:</w:t>
      </w:r>
    </w:p>
    <w:p w:rsidR="00336F2D" w:rsidRPr="00C43B1D" w:rsidRDefault="00336F2D" w:rsidP="00C62DC3">
      <w:pPr>
        <w:spacing w:after="0" w:line="240" w:lineRule="auto"/>
        <w:rPr>
          <w:rFonts w:ascii="Verdana" w:hAnsi="Verdana"/>
          <w:sz w:val="20"/>
          <w:szCs w:val="20"/>
        </w:rPr>
      </w:pPr>
    </w:p>
    <w:p w:rsidR="00336F2D" w:rsidRPr="00074FB5" w:rsidRDefault="00336F2D" w:rsidP="00C62DC3">
      <w:pPr>
        <w:tabs>
          <w:tab w:val="center" w:pos="4252"/>
          <w:tab w:val="right" w:pos="8504"/>
        </w:tabs>
        <w:spacing w:after="0" w:line="240" w:lineRule="auto"/>
        <w:rPr>
          <w:rFonts w:ascii="Verdana" w:hAnsi="Verdana"/>
          <w:sz w:val="20"/>
          <w:szCs w:val="20"/>
        </w:rPr>
      </w:pPr>
      <w:r w:rsidRPr="00074FB5">
        <w:rPr>
          <w:rFonts w:ascii="Verdana" w:hAnsi="Verdana"/>
          <w:sz w:val="20"/>
          <w:szCs w:val="20"/>
        </w:rPr>
        <w:t xml:space="preserve">Por </w:t>
      </w:r>
      <w:r w:rsidR="00EA4966" w:rsidRPr="00074FB5">
        <w:rPr>
          <w:rFonts w:ascii="Verdana" w:hAnsi="Verdana"/>
          <w:sz w:val="20"/>
          <w:szCs w:val="20"/>
        </w:rPr>
        <w:t>unanimidad</w:t>
      </w:r>
      <w:r w:rsidRPr="00074FB5">
        <w:rPr>
          <w:rFonts w:ascii="Verdana" w:hAnsi="Verdana"/>
          <w:sz w:val="20"/>
          <w:szCs w:val="20"/>
        </w:rPr>
        <w:t>,</w:t>
      </w:r>
    </w:p>
    <w:p w:rsidR="00635B4E" w:rsidRDefault="00635B4E" w:rsidP="00226F33">
      <w:pPr>
        <w:spacing w:after="0" w:line="240" w:lineRule="auto"/>
        <w:jc w:val="both"/>
        <w:rPr>
          <w:rFonts w:ascii="Verdana" w:hAnsi="Verdana"/>
          <w:sz w:val="20"/>
          <w:szCs w:val="20"/>
          <w:u w:val="single"/>
        </w:rPr>
      </w:pPr>
    </w:p>
    <w:p w:rsidR="00635B4E" w:rsidRPr="00635B4E" w:rsidRDefault="00226F33" w:rsidP="00635B4E">
      <w:pPr>
        <w:numPr>
          <w:ilvl w:val="0"/>
          <w:numId w:val="3"/>
        </w:numPr>
        <w:spacing w:after="0" w:line="240" w:lineRule="auto"/>
        <w:ind w:left="0" w:firstLine="0"/>
        <w:jc w:val="both"/>
        <w:rPr>
          <w:rFonts w:ascii="Verdana" w:hAnsi="Verdana"/>
          <w:sz w:val="20"/>
          <w:szCs w:val="20"/>
        </w:rPr>
      </w:pPr>
      <w:r w:rsidRPr="00635B4E">
        <w:rPr>
          <w:rFonts w:ascii="Verdana" w:hAnsi="Verdana"/>
          <w:sz w:val="20"/>
          <w:szCs w:val="20"/>
        </w:rPr>
        <w:t xml:space="preserve">Rechazar por improcedentes las solicitudes de interpretación de la Sentencia de </w:t>
      </w:r>
      <w:r w:rsidR="008D1D45">
        <w:rPr>
          <w:rFonts w:ascii="Verdana" w:hAnsi="Verdana"/>
          <w:sz w:val="20"/>
          <w:szCs w:val="20"/>
        </w:rPr>
        <w:t>E</w:t>
      </w:r>
      <w:r w:rsidRPr="00635B4E">
        <w:rPr>
          <w:rFonts w:ascii="Verdana" w:hAnsi="Verdana"/>
          <w:sz w:val="20"/>
          <w:szCs w:val="20"/>
        </w:rPr>
        <w:t xml:space="preserve">xcepción </w:t>
      </w:r>
      <w:r w:rsidR="008D1D45">
        <w:rPr>
          <w:rFonts w:ascii="Verdana" w:hAnsi="Verdana"/>
          <w:sz w:val="20"/>
          <w:szCs w:val="20"/>
        </w:rPr>
        <w:t>P</w:t>
      </w:r>
      <w:r w:rsidRPr="00635B4E">
        <w:rPr>
          <w:rFonts w:ascii="Verdana" w:hAnsi="Verdana"/>
          <w:sz w:val="20"/>
          <w:szCs w:val="20"/>
        </w:rPr>
        <w:t xml:space="preserve">reliminar, </w:t>
      </w:r>
      <w:r w:rsidR="008D1D45">
        <w:rPr>
          <w:rFonts w:ascii="Verdana" w:hAnsi="Verdana"/>
          <w:sz w:val="20"/>
          <w:szCs w:val="20"/>
        </w:rPr>
        <w:t>F</w:t>
      </w:r>
      <w:r w:rsidRPr="00635B4E">
        <w:rPr>
          <w:rFonts w:ascii="Verdana" w:hAnsi="Verdana"/>
          <w:sz w:val="20"/>
          <w:szCs w:val="20"/>
        </w:rPr>
        <w:t xml:space="preserve">ondo, </w:t>
      </w:r>
      <w:r w:rsidR="008D1D45">
        <w:rPr>
          <w:rFonts w:ascii="Verdana" w:hAnsi="Verdana"/>
          <w:sz w:val="20"/>
          <w:szCs w:val="20"/>
        </w:rPr>
        <w:t>R</w:t>
      </w:r>
      <w:r w:rsidRPr="00635B4E">
        <w:rPr>
          <w:rFonts w:ascii="Verdana" w:hAnsi="Verdana"/>
          <w:sz w:val="20"/>
          <w:szCs w:val="20"/>
        </w:rPr>
        <w:t xml:space="preserve">eparaciones y </w:t>
      </w:r>
      <w:r w:rsidR="008D1D45">
        <w:rPr>
          <w:rFonts w:ascii="Verdana" w:hAnsi="Verdana"/>
          <w:sz w:val="20"/>
          <w:szCs w:val="20"/>
        </w:rPr>
        <w:t>C</w:t>
      </w:r>
      <w:r w:rsidRPr="00635B4E">
        <w:rPr>
          <w:rFonts w:ascii="Verdana" w:hAnsi="Verdana"/>
          <w:sz w:val="20"/>
          <w:szCs w:val="20"/>
        </w:rPr>
        <w:t xml:space="preserve">ostas dictada en el caso Argüelles y otros Vs. Argentina, interpuestas por los representantes de las víctimas </w:t>
      </w:r>
      <w:r w:rsidRPr="00635B4E">
        <w:rPr>
          <w:rFonts w:ascii="Verdana" w:hAnsi="Verdana" w:cs="Verdana"/>
          <w:sz w:val="20"/>
          <w:szCs w:val="20"/>
        </w:rPr>
        <w:t>Mauricio Cueto y Alberto De Vita,</w:t>
      </w:r>
      <w:r w:rsidRPr="00635B4E">
        <w:rPr>
          <w:rFonts w:ascii="Verdana" w:hAnsi="Verdana"/>
          <w:sz w:val="20"/>
          <w:szCs w:val="20"/>
        </w:rPr>
        <w:t xml:space="preserve"> y por los Defensores Interamericanos, por las razones señaladas en los párrafos relevantes de la presente Sentencia.</w:t>
      </w:r>
    </w:p>
    <w:p w:rsidR="00635B4E" w:rsidRDefault="00635B4E" w:rsidP="00635B4E">
      <w:pPr>
        <w:spacing w:after="0" w:line="240" w:lineRule="auto"/>
        <w:jc w:val="both"/>
        <w:rPr>
          <w:rFonts w:ascii="Verdana" w:hAnsi="Verdana"/>
          <w:sz w:val="20"/>
          <w:szCs w:val="20"/>
          <w:u w:val="single"/>
        </w:rPr>
      </w:pPr>
    </w:p>
    <w:p w:rsidR="00336F2D" w:rsidRPr="00635B4E" w:rsidRDefault="00336F2D" w:rsidP="00635B4E">
      <w:pPr>
        <w:numPr>
          <w:ilvl w:val="0"/>
          <w:numId w:val="3"/>
        </w:numPr>
        <w:spacing w:after="0" w:line="240" w:lineRule="auto"/>
        <w:ind w:left="0" w:firstLine="0"/>
        <w:jc w:val="both"/>
        <w:rPr>
          <w:rFonts w:ascii="Verdana" w:hAnsi="Verdana"/>
          <w:sz w:val="20"/>
          <w:szCs w:val="20"/>
          <w:u w:val="single"/>
        </w:rPr>
      </w:pPr>
      <w:r w:rsidRPr="00635B4E">
        <w:rPr>
          <w:rFonts w:ascii="Verdana" w:eastAsia="Batang" w:hAnsi="Verdana"/>
          <w:sz w:val="20"/>
          <w:szCs w:val="20"/>
        </w:rPr>
        <w:t xml:space="preserve">Disponer que la Secretaría de la Corte notifique la presente Sentencia al Estado de </w:t>
      </w:r>
      <w:r w:rsidR="00166B2A" w:rsidRPr="00635B4E">
        <w:rPr>
          <w:rFonts w:ascii="Verdana" w:eastAsia="Batang" w:hAnsi="Verdana"/>
          <w:sz w:val="20"/>
          <w:szCs w:val="20"/>
        </w:rPr>
        <w:t>Argentina</w:t>
      </w:r>
      <w:r w:rsidRPr="00635B4E">
        <w:rPr>
          <w:rFonts w:ascii="Verdana" w:eastAsia="Batang" w:hAnsi="Verdana"/>
          <w:sz w:val="20"/>
          <w:szCs w:val="20"/>
        </w:rPr>
        <w:t>, a los representantes de las víctimas</w:t>
      </w:r>
      <w:r w:rsidR="00166B2A" w:rsidRPr="00635B4E">
        <w:rPr>
          <w:rFonts w:ascii="Verdana" w:eastAsia="Batang" w:hAnsi="Verdana"/>
          <w:sz w:val="20"/>
          <w:szCs w:val="20"/>
        </w:rPr>
        <w:t>, a los Defensores Interamericanos,</w:t>
      </w:r>
      <w:r w:rsidRPr="00635B4E">
        <w:rPr>
          <w:rFonts w:ascii="Verdana" w:eastAsia="Batang" w:hAnsi="Verdana"/>
          <w:sz w:val="20"/>
          <w:szCs w:val="20"/>
        </w:rPr>
        <w:t xml:space="preserve"> y a la Comisión Interamericana de Derechos Humanos.</w:t>
      </w:r>
    </w:p>
    <w:p w:rsidR="004D116C" w:rsidRDefault="004D116C" w:rsidP="004D116C">
      <w:pPr>
        <w:spacing w:line="240" w:lineRule="auto"/>
        <w:jc w:val="both"/>
        <w:rPr>
          <w:rFonts w:ascii="Verdana" w:hAnsi="Verdana"/>
          <w:sz w:val="20"/>
          <w:szCs w:val="20"/>
        </w:rPr>
      </w:pPr>
    </w:p>
    <w:p w:rsidR="004D116C" w:rsidRPr="007C0BFD" w:rsidRDefault="004D116C" w:rsidP="004D116C">
      <w:pPr>
        <w:spacing w:line="240" w:lineRule="auto"/>
        <w:jc w:val="both"/>
        <w:rPr>
          <w:rFonts w:ascii="Verdana" w:eastAsia="Times" w:hAnsi="Verdana"/>
          <w:sz w:val="20"/>
          <w:szCs w:val="20"/>
          <w:lang w:val="es-ES"/>
        </w:rPr>
      </w:pPr>
      <w:r>
        <w:rPr>
          <w:rFonts w:ascii="Verdana" w:eastAsia="Times" w:hAnsi="Verdana"/>
          <w:sz w:val="20"/>
          <w:szCs w:val="20"/>
          <w:lang w:val="es-ES"/>
        </w:rPr>
        <w:t xml:space="preserve">Sentencia de </w:t>
      </w:r>
      <w:r w:rsidRPr="007C0BFD">
        <w:rPr>
          <w:rFonts w:ascii="Verdana" w:eastAsia="Times" w:hAnsi="Verdana"/>
          <w:sz w:val="20"/>
          <w:szCs w:val="20"/>
          <w:lang w:val="es-ES"/>
        </w:rPr>
        <w:t xml:space="preserve">Interpretación de la Sentencia </w:t>
      </w:r>
      <w:r>
        <w:rPr>
          <w:rFonts w:ascii="Verdana" w:eastAsia="Times" w:hAnsi="Verdana"/>
          <w:sz w:val="20"/>
          <w:szCs w:val="20"/>
          <w:lang w:val="es-ES"/>
        </w:rPr>
        <w:t>de Excepción</w:t>
      </w:r>
      <w:r w:rsidRPr="007C0BFD">
        <w:rPr>
          <w:rFonts w:ascii="Verdana" w:eastAsia="Times" w:hAnsi="Verdana"/>
          <w:sz w:val="20"/>
          <w:szCs w:val="20"/>
          <w:lang w:val="es-ES"/>
        </w:rPr>
        <w:t xml:space="preserve"> Preliminar, Fondo, Reparaciones y Costas.  Caso </w:t>
      </w:r>
      <w:r>
        <w:rPr>
          <w:rFonts w:ascii="Verdana" w:eastAsia="Times" w:hAnsi="Verdana"/>
          <w:sz w:val="20"/>
          <w:szCs w:val="20"/>
          <w:lang w:val="es-ES"/>
        </w:rPr>
        <w:t xml:space="preserve">Arguelles y otros Vs. Argentina. </w:t>
      </w:r>
    </w:p>
    <w:p w:rsidR="007A5C46" w:rsidRPr="00C43B1D" w:rsidRDefault="007A5C46" w:rsidP="004D116C">
      <w:pPr>
        <w:tabs>
          <w:tab w:val="left" w:pos="720"/>
        </w:tabs>
        <w:spacing w:after="0" w:line="240" w:lineRule="auto"/>
        <w:jc w:val="both"/>
        <w:rPr>
          <w:rFonts w:ascii="Verdana" w:hAnsi="Verdana"/>
          <w:sz w:val="20"/>
        </w:rPr>
      </w:pPr>
    </w:p>
    <w:p w:rsidR="00EF584C" w:rsidRPr="00C43B1D" w:rsidRDefault="00EF584C" w:rsidP="00C62DC3">
      <w:pPr>
        <w:spacing w:after="0" w:line="240" w:lineRule="auto"/>
        <w:jc w:val="both"/>
        <w:rPr>
          <w:rFonts w:ascii="Verdana" w:hAnsi="Verdana"/>
          <w:sz w:val="20"/>
        </w:rPr>
      </w:pPr>
    </w:p>
    <w:p w:rsidR="007A5C46" w:rsidRPr="00C43B1D" w:rsidRDefault="007A5C46" w:rsidP="00C62DC3">
      <w:pPr>
        <w:spacing w:after="0" w:line="240" w:lineRule="auto"/>
        <w:jc w:val="center"/>
        <w:rPr>
          <w:rFonts w:ascii="Verdana" w:hAnsi="Verdana"/>
          <w:sz w:val="20"/>
          <w:lang w:val="es-ES"/>
        </w:rPr>
      </w:pPr>
      <w:r w:rsidRPr="00C43B1D">
        <w:rPr>
          <w:rFonts w:ascii="Verdana" w:hAnsi="Verdana"/>
          <w:sz w:val="20"/>
          <w:lang w:val="es-ES"/>
        </w:rPr>
        <w:t>Humberto Antonio Sierra Porto</w:t>
      </w:r>
    </w:p>
    <w:p w:rsidR="007A5C46" w:rsidRPr="00C43B1D" w:rsidRDefault="007A5C46" w:rsidP="00C62DC3">
      <w:pPr>
        <w:spacing w:after="0" w:line="240" w:lineRule="auto"/>
        <w:jc w:val="center"/>
        <w:rPr>
          <w:rFonts w:ascii="Verdana" w:hAnsi="Verdana"/>
          <w:sz w:val="20"/>
          <w:lang w:val="es-ES"/>
        </w:rPr>
      </w:pPr>
      <w:r w:rsidRPr="00C43B1D">
        <w:rPr>
          <w:rFonts w:ascii="Verdana" w:hAnsi="Verdana"/>
          <w:sz w:val="20"/>
          <w:lang w:val="es-ES"/>
        </w:rPr>
        <w:t xml:space="preserve">Presidente </w:t>
      </w:r>
    </w:p>
    <w:p w:rsidR="007A5C46" w:rsidRPr="00C43B1D" w:rsidRDefault="007A5C46" w:rsidP="00C62DC3">
      <w:pPr>
        <w:spacing w:after="0" w:line="240" w:lineRule="auto"/>
        <w:jc w:val="both"/>
        <w:rPr>
          <w:rFonts w:ascii="Verdana" w:hAnsi="Verdana"/>
          <w:sz w:val="20"/>
          <w:lang w:val="es-ES"/>
        </w:rPr>
      </w:pPr>
    </w:p>
    <w:p w:rsidR="007A5C46" w:rsidRPr="00C43B1D" w:rsidRDefault="007A5C46" w:rsidP="00C62DC3">
      <w:pPr>
        <w:spacing w:after="0" w:line="240" w:lineRule="auto"/>
        <w:jc w:val="both"/>
        <w:rPr>
          <w:rFonts w:ascii="Verdana" w:hAnsi="Verdana"/>
          <w:sz w:val="20"/>
          <w:lang w:val="es-ES"/>
        </w:rPr>
      </w:pPr>
    </w:p>
    <w:p w:rsidR="00EF584C" w:rsidRDefault="00EF584C" w:rsidP="00C62DC3">
      <w:pPr>
        <w:spacing w:after="0" w:line="240" w:lineRule="auto"/>
        <w:jc w:val="both"/>
        <w:rPr>
          <w:rFonts w:ascii="Verdana" w:hAnsi="Verdana"/>
          <w:sz w:val="20"/>
          <w:lang w:val="es-ES"/>
        </w:rPr>
      </w:pPr>
    </w:p>
    <w:p w:rsidR="007A5C46" w:rsidRPr="00C43B1D" w:rsidRDefault="007A5C46" w:rsidP="004D116C">
      <w:pPr>
        <w:spacing w:after="0" w:line="240" w:lineRule="auto"/>
        <w:rPr>
          <w:rFonts w:ascii="Verdana" w:hAnsi="Verdana"/>
          <w:sz w:val="20"/>
          <w:lang w:val="es-ES"/>
        </w:rPr>
      </w:pPr>
      <w:r w:rsidRPr="00C43B1D">
        <w:rPr>
          <w:rFonts w:ascii="Verdana" w:hAnsi="Verdana"/>
          <w:sz w:val="20"/>
          <w:lang w:val="es-ES"/>
        </w:rPr>
        <w:t>Roberto F. Caldas</w:t>
      </w:r>
      <w:r w:rsidRPr="00C43B1D">
        <w:rPr>
          <w:rFonts w:ascii="Verdana" w:hAnsi="Verdana"/>
          <w:sz w:val="20"/>
          <w:lang w:val="es-ES"/>
        </w:rPr>
        <w:tab/>
      </w:r>
      <w:r w:rsidRPr="00C43B1D">
        <w:rPr>
          <w:rFonts w:ascii="Verdana" w:hAnsi="Verdana"/>
          <w:sz w:val="20"/>
          <w:lang w:val="es-ES"/>
        </w:rPr>
        <w:tab/>
      </w:r>
      <w:r w:rsidR="004D116C">
        <w:rPr>
          <w:rFonts w:ascii="Verdana" w:hAnsi="Verdana"/>
          <w:sz w:val="20"/>
          <w:lang w:val="es-ES"/>
        </w:rPr>
        <w:tab/>
      </w:r>
      <w:r w:rsidRPr="00C43B1D">
        <w:rPr>
          <w:rFonts w:ascii="Verdana" w:hAnsi="Verdana"/>
          <w:sz w:val="20"/>
          <w:lang w:val="es-ES"/>
        </w:rPr>
        <w:tab/>
      </w:r>
      <w:r w:rsidRPr="00C43B1D">
        <w:rPr>
          <w:rFonts w:ascii="Verdana" w:hAnsi="Verdana"/>
          <w:sz w:val="20"/>
          <w:lang w:val="es-ES"/>
        </w:rPr>
        <w:tab/>
      </w:r>
      <w:r w:rsidRPr="00C43B1D">
        <w:rPr>
          <w:rFonts w:ascii="Verdana" w:hAnsi="Verdana"/>
          <w:sz w:val="20"/>
          <w:lang w:val="es-ES"/>
        </w:rPr>
        <w:tab/>
      </w:r>
      <w:r w:rsidRPr="00C43B1D">
        <w:rPr>
          <w:rFonts w:ascii="Verdana" w:hAnsi="Verdana"/>
          <w:sz w:val="20"/>
          <w:lang w:val="es-ES"/>
        </w:rPr>
        <w:tab/>
        <w:t xml:space="preserve">    Manuel E. Ventura Robles</w:t>
      </w:r>
    </w:p>
    <w:p w:rsidR="007A5C46" w:rsidRPr="00C43B1D" w:rsidRDefault="007A5C46" w:rsidP="00C62DC3">
      <w:pPr>
        <w:spacing w:after="0" w:line="240" w:lineRule="auto"/>
        <w:jc w:val="both"/>
        <w:rPr>
          <w:rFonts w:ascii="Verdana" w:hAnsi="Verdana"/>
          <w:sz w:val="20"/>
          <w:lang w:val="es-ES"/>
        </w:rPr>
      </w:pPr>
    </w:p>
    <w:p w:rsidR="007A5C46" w:rsidRPr="00C43B1D" w:rsidRDefault="007A5C46" w:rsidP="00C62DC3">
      <w:pPr>
        <w:spacing w:after="0" w:line="240" w:lineRule="auto"/>
        <w:jc w:val="both"/>
        <w:rPr>
          <w:rFonts w:ascii="Verdana" w:hAnsi="Verdana"/>
          <w:sz w:val="20"/>
          <w:lang w:val="es-ES"/>
        </w:rPr>
      </w:pPr>
    </w:p>
    <w:p w:rsidR="00EF584C" w:rsidRDefault="00EF584C" w:rsidP="00C62DC3">
      <w:pPr>
        <w:spacing w:after="0" w:line="240" w:lineRule="auto"/>
        <w:jc w:val="both"/>
        <w:rPr>
          <w:rFonts w:ascii="Verdana" w:hAnsi="Verdana"/>
          <w:sz w:val="20"/>
          <w:lang w:val="es-ES"/>
        </w:rPr>
      </w:pPr>
    </w:p>
    <w:p w:rsidR="007A5C46" w:rsidRPr="00776A8E" w:rsidRDefault="007A5C46" w:rsidP="004D116C">
      <w:pPr>
        <w:spacing w:after="0" w:line="240" w:lineRule="auto"/>
        <w:rPr>
          <w:rFonts w:ascii="Verdana" w:hAnsi="Verdana"/>
          <w:sz w:val="20"/>
          <w:lang w:val="pt-BR"/>
        </w:rPr>
      </w:pPr>
      <w:r w:rsidRPr="00776A8E">
        <w:rPr>
          <w:rFonts w:ascii="Verdana" w:hAnsi="Verdana"/>
          <w:sz w:val="20"/>
          <w:lang w:val="pt-BR"/>
        </w:rPr>
        <w:t xml:space="preserve">Eduardo </w:t>
      </w:r>
      <w:proofErr w:type="spellStart"/>
      <w:r w:rsidRPr="00776A8E">
        <w:rPr>
          <w:rFonts w:ascii="Verdana" w:hAnsi="Verdana"/>
          <w:sz w:val="20"/>
          <w:lang w:val="pt-BR"/>
        </w:rPr>
        <w:t>Vio</w:t>
      </w:r>
      <w:proofErr w:type="spellEnd"/>
      <w:r w:rsidRPr="00776A8E">
        <w:rPr>
          <w:rFonts w:ascii="Verdana" w:hAnsi="Verdana"/>
          <w:sz w:val="20"/>
          <w:lang w:val="pt-BR"/>
        </w:rPr>
        <w:t xml:space="preserve"> Grossi</w:t>
      </w:r>
      <w:proofErr w:type="gramStart"/>
      <w:r w:rsidRPr="00776A8E">
        <w:rPr>
          <w:rFonts w:ascii="Verdana" w:hAnsi="Verdana"/>
          <w:sz w:val="20"/>
          <w:lang w:val="pt-BR"/>
        </w:rPr>
        <w:t xml:space="preserve">  </w:t>
      </w:r>
      <w:proofErr w:type="gramEnd"/>
      <w:r w:rsidRPr="00776A8E">
        <w:rPr>
          <w:rFonts w:ascii="Verdana" w:hAnsi="Verdana"/>
          <w:sz w:val="20"/>
          <w:lang w:val="pt-BR"/>
        </w:rPr>
        <w:tab/>
      </w:r>
      <w:r w:rsidRPr="00776A8E">
        <w:rPr>
          <w:rFonts w:ascii="Verdana" w:hAnsi="Verdana"/>
          <w:sz w:val="20"/>
          <w:lang w:val="pt-BR"/>
        </w:rPr>
        <w:tab/>
      </w:r>
      <w:r w:rsidRPr="00776A8E">
        <w:rPr>
          <w:rFonts w:ascii="Verdana" w:hAnsi="Verdana"/>
          <w:sz w:val="20"/>
          <w:lang w:val="pt-BR"/>
        </w:rPr>
        <w:tab/>
      </w:r>
      <w:r w:rsidR="004D116C">
        <w:rPr>
          <w:rFonts w:ascii="Verdana" w:hAnsi="Verdana"/>
          <w:sz w:val="20"/>
          <w:lang w:val="pt-BR"/>
        </w:rPr>
        <w:tab/>
      </w:r>
      <w:r w:rsidRPr="00776A8E">
        <w:rPr>
          <w:rFonts w:ascii="Verdana" w:hAnsi="Verdana"/>
          <w:sz w:val="20"/>
          <w:lang w:val="pt-BR"/>
        </w:rPr>
        <w:t xml:space="preserve">                      Eduardo Ferrer Mac-Gregor Poisot</w:t>
      </w:r>
    </w:p>
    <w:p w:rsidR="007A5C46" w:rsidRPr="00776A8E" w:rsidRDefault="007A5C46" w:rsidP="00C62DC3">
      <w:pPr>
        <w:spacing w:after="0" w:line="240" w:lineRule="auto"/>
        <w:jc w:val="both"/>
        <w:rPr>
          <w:rFonts w:ascii="Verdana" w:hAnsi="Verdana"/>
          <w:sz w:val="20"/>
          <w:lang w:val="pt-BR"/>
        </w:rPr>
      </w:pPr>
    </w:p>
    <w:p w:rsidR="007A5C46" w:rsidRPr="00776A8E" w:rsidRDefault="007A5C46" w:rsidP="00C62DC3">
      <w:pPr>
        <w:spacing w:after="0" w:line="240" w:lineRule="auto"/>
        <w:jc w:val="both"/>
        <w:rPr>
          <w:rFonts w:ascii="Verdana" w:hAnsi="Verdana"/>
          <w:sz w:val="20"/>
          <w:lang w:val="pt-BR"/>
        </w:rPr>
      </w:pPr>
    </w:p>
    <w:p w:rsidR="007A5C46" w:rsidRPr="00C43B1D" w:rsidRDefault="007A5C46" w:rsidP="00C62DC3">
      <w:pPr>
        <w:spacing w:after="0" w:line="240" w:lineRule="auto"/>
        <w:jc w:val="center"/>
        <w:rPr>
          <w:rFonts w:ascii="Verdana" w:hAnsi="Verdana"/>
          <w:sz w:val="20"/>
          <w:lang w:val="es-ES"/>
        </w:rPr>
      </w:pPr>
      <w:bookmarkStart w:id="10" w:name="_GoBack"/>
      <w:bookmarkEnd w:id="10"/>
      <w:r w:rsidRPr="00C43B1D">
        <w:rPr>
          <w:rFonts w:ascii="Verdana" w:hAnsi="Verdana"/>
          <w:sz w:val="20"/>
          <w:lang w:val="es-ES"/>
        </w:rPr>
        <w:t>Pablo Saavedra Alessandri</w:t>
      </w:r>
    </w:p>
    <w:p w:rsidR="007A5C46" w:rsidRPr="00C43B1D" w:rsidRDefault="007A5C46" w:rsidP="00C62DC3">
      <w:pPr>
        <w:spacing w:after="0" w:line="240" w:lineRule="auto"/>
        <w:jc w:val="center"/>
        <w:rPr>
          <w:rFonts w:ascii="Verdana" w:hAnsi="Verdana"/>
          <w:sz w:val="20"/>
          <w:lang w:val="es-ES"/>
        </w:rPr>
      </w:pPr>
      <w:r w:rsidRPr="00C43B1D">
        <w:rPr>
          <w:rFonts w:ascii="Verdana" w:hAnsi="Verdana"/>
          <w:sz w:val="20"/>
          <w:lang w:val="es-ES"/>
        </w:rPr>
        <w:t>Secretario</w:t>
      </w:r>
    </w:p>
    <w:p w:rsidR="007A5C46" w:rsidRPr="00C43B1D" w:rsidRDefault="007A5C46" w:rsidP="00C62DC3">
      <w:pPr>
        <w:pStyle w:val="Textonotapie"/>
        <w:rPr>
          <w:rFonts w:ascii="Verdana" w:hAnsi="Verdana"/>
          <w:lang w:val="es-ES"/>
        </w:rPr>
      </w:pPr>
    </w:p>
    <w:p w:rsidR="00EF584C" w:rsidRPr="00C43B1D" w:rsidRDefault="00EF584C" w:rsidP="00C62DC3">
      <w:pPr>
        <w:pStyle w:val="Textonotapie"/>
        <w:rPr>
          <w:rFonts w:ascii="Verdana" w:hAnsi="Verdana"/>
          <w:lang w:val="es-ES"/>
        </w:rPr>
      </w:pPr>
    </w:p>
    <w:p w:rsidR="007A5C46" w:rsidRPr="00C43B1D" w:rsidRDefault="007A5C46" w:rsidP="00C62DC3">
      <w:pPr>
        <w:spacing w:after="0" w:line="240" w:lineRule="auto"/>
        <w:jc w:val="both"/>
        <w:rPr>
          <w:rFonts w:ascii="Verdana" w:hAnsi="Verdana"/>
          <w:sz w:val="20"/>
          <w:lang w:val="es-ES"/>
        </w:rPr>
      </w:pPr>
      <w:r w:rsidRPr="00C43B1D">
        <w:rPr>
          <w:rFonts w:ascii="Verdana" w:hAnsi="Verdana"/>
          <w:sz w:val="20"/>
          <w:lang w:val="es-ES"/>
        </w:rPr>
        <w:t>Comuníquese y ejecútese,</w:t>
      </w:r>
    </w:p>
    <w:p w:rsidR="007A5C46" w:rsidRPr="00C43B1D" w:rsidRDefault="007A5C46" w:rsidP="00C62DC3">
      <w:pPr>
        <w:spacing w:after="0" w:line="240" w:lineRule="auto"/>
        <w:jc w:val="both"/>
        <w:rPr>
          <w:rFonts w:ascii="Verdana" w:hAnsi="Verdana"/>
          <w:sz w:val="20"/>
          <w:lang w:val="es-ES"/>
        </w:rPr>
      </w:pPr>
    </w:p>
    <w:p w:rsidR="007A5C46" w:rsidRPr="00C43B1D" w:rsidRDefault="007A5C46" w:rsidP="00C62DC3">
      <w:pPr>
        <w:spacing w:after="0" w:line="240" w:lineRule="auto"/>
        <w:ind w:left="5040"/>
        <w:rPr>
          <w:rFonts w:ascii="Verdana" w:hAnsi="Verdana"/>
          <w:sz w:val="20"/>
          <w:lang w:val="es-ES"/>
        </w:rPr>
      </w:pPr>
      <w:r w:rsidRPr="00C43B1D">
        <w:rPr>
          <w:rFonts w:ascii="Verdana" w:hAnsi="Verdana"/>
          <w:sz w:val="20"/>
          <w:lang w:val="es-ES"/>
        </w:rPr>
        <w:t xml:space="preserve">      </w:t>
      </w:r>
      <w:r w:rsidR="004D116C">
        <w:rPr>
          <w:rFonts w:ascii="Verdana" w:hAnsi="Verdana"/>
          <w:sz w:val="20"/>
          <w:lang w:val="es-ES"/>
        </w:rPr>
        <w:tab/>
      </w:r>
      <w:r w:rsidRPr="00C43B1D">
        <w:rPr>
          <w:rFonts w:ascii="Verdana" w:hAnsi="Verdana"/>
          <w:sz w:val="20"/>
          <w:lang w:val="es-ES"/>
        </w:rPr>
        <w:t xml:space="preserve"> </w:t>
      </w:r>
      <w:r w:rsidR="004D116C">
        <w:rPr>
          <w:rFonts w:ascii="Verdana" w:hAnsi="Verdana"/>
          <w:sz w:val="20"/>
          <w:lang w:val="es-ES"/>
        </w:rPr>
        <w:t xml:space="preserve">      </w:t>
      </w:r>
      <w:r w:rsidRPr="00C43B1D">
        <w:rPr>
          <w:rFonts w:ascii="Verdana" w:hAnsi="Verdana"/>
          <w:sz w:val="20"/>
          <w:lang w:val="es-ES"/>
        </w:rPr>
        <w:t>Humberto Antonio Sierra Porto</w:t>
      </w:r>
    </w:p>
    <w:p w:rsidR="007A5C46" w:rsidRPr="00C43B1D" w:rsidRDefault="007A5C46" w:rsidP="00C62DC3">
      <w:pPr>
        <w:spacing w:after="0" w:line="240" w:lineRule="auto"/>
        <w:ind w:left="5760"/>
        <w:jc w:val="center"/>
        <w:rPr>
          <w:rFonts w:ascii="Verdana" w:hAnsi="Verdana"/>
          <w:sz w:val="20"/>
          <w:lang w:val="es-ES"/>
        </w:rPr>
      </w:pPr>
      <w:r w:rsidRPr="00C43B1D">
        <w:rPr>
          <w:rFonts w:ascii="Verdana" w:hAnsi="Verdana"/>
          <w:sz w:val="20"/>
          <w:lang w:val="es-ES"/>
        </w:rPr>
        <w:t>Presidente</w:t>
      </w:r>
    </w:p>
    <w:p w:rsidR="007A5C46" w:rsidRDefault="007A5C46" w:rsidP="00C62DC3">
      <w:pPr>
        <w:spacing w:after="0" w:line="240" w:lineRule="auto"/>
        <w:jc w:val="both"/>
        <w:rPr>
          <w:rFonts w:ascii="Verdana" w:hAnsi="Verdana"/>
          <w:sz w:val="20"/>
          <w:lang w:val="es-ES"/>
        </w:rPr>
      </w:pPr>
    </w:p>
    <w:p w:rsidR="007A5C46" w:rsidRPr="00C43B1D" w:rsidRDefault="007A5C46" w:rsidP="00C62DC3">
      <w:pPr>
        <w:spacing w:after="0" w:line="240" w:lineRule="auto"/>
        <w:jc w:val="both"/>
        <w:rPr>
          <w:rFonts w:ascii="Verdana" w:hAnsi="Verdana"/>
          <w:sz w:val="20"/>
          <w:lang w:val="es-ES"/>
        </w:rPr>
      </w:pPr>
      <w:r w:rsidRPr="00C43B1D">
        <w:rPr>
          <w:rFonts w:ascii="Verdana" w:hAnsi="Verdana"/>
          <w:sz w:val="20"/>
          <w:lang w:val="es-ES"/>
        </w:rPr>
        <w:t>Pablo Saavedra Alessandri</w:t>
      </w:r>
    </w:p>
    <w:p w:rsidR="0002248B" w:rsidRPr="00C43B1D" w:rsidRDefault="007A5C46" w:rsidP="00C62DC3">
      <w:pPr>
        <w:spacing w:after="0" w:line="240" w:lineRule="auto"/>
        <w:rPr>
          <w:rFonts w:ascii="Verdana" w:hAnsi="Verdana"/>
          <w:sz w:val="20"/>
          <w:szCs w:val="20"/>
        </w:rPr>
      </w:pPr>
      <w:r w:rsidRPr="00C43B1D">
        <w:rPr>
          <w:rFonts w:ascii="Verdana" w:hAnsi="Verdana"/>
          <w:sz w:val="20"/>
          <w:lang w:val="es-ES"/>
        </w:rPr>
        <w:tab/>
      </w:r>
      <w:r w:rsidRPr="00C43B1D">
        <w:rPr>
          <w:rFonts w:ascii="Verdana" w:hAnsi="Verdana"/>
          <w:sz w:val="20"/>
        </w:rPr>
        <w:t>Secretario</w:t>
      </w:r>
    </w:p>
    <w:sectPr w:rsidR="0002248B" w:rsidRPr="00C43B1D" w:rsidSect="00B55C19">
      <w:headerReference w:type="even" r:id="rId7"/>
      <w:headerReference w:type="default" r:id="rId8"/>
      <w:footerReference w:type="default" r:id="rId9"/>
      <w:headerReference w:type="first" r:id="rId10"/>
      <w:pgSz w:w="12240" w:h="15840" w:code="1"/>
      <w:pgMar w:top="1440" w:right="1327"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950" w:rsidRDefault="00BA0950" w:rsidP="0075315F">
      <w:pPr>
        <w:spacing w:after="0" w:line="240" w:lineRule="auto"/>
      </w:pPr>
      <w:r>
        <w:separator/>
      </w:r>
    </w:p>
  </w:endnote>
  <w:endnote w:type="continuationSeparator" w:id="0">
    <w:p w:rsidR="00BA0950" w:rsidRDefault="00BA0950" w:rsidP="00753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37" w:rsidRPr="002434DF" w:rsidRDefault="00B97637">
    <w:pPr>
      <w:pStyle w:val="Piedepgina"/>
      <w:jc w:val="center"/>
      <w:rPr>
        <w:rFonts w:ascii="Verdana" w:hAnsi="Verdana"/>
        <w:sz w:val="20"/>
        <w:szCs w:val="20"/>
      </w:rPr>
    </w:pPr>
    <w:r w:rsidRPr="002434DF">
      <w:rPr>
        <w:rFonts w:ascii="Verdana" w:hAnsi="Verdana"/>
        <w:sz w:val="20"/>
        <w:szCs w:val="20"/>
      </w:rPr>
      <w:fldChar w:fldCharType="begin"/>
    </w:r>
    <w:r w:rsidRPr="002434DF">
      <w:rPr>
        <w:rFonts w:ascii="Verdana" w:hAnsi="Verdana"/>
        <w:sz w:val="20"/>
        <w:szCs w:val="20"/>
      </w:rPr>
      <w:instrText xml:space="preserve"> PAGE   \* MERGEFORMAT </w:instrText>
    </w:r>
    <w:r w:rsidRPr="002434DF">
      <w:rPr>
        <w:rFonts w:ascii="Verdana" w:hAnsi="Verdana"/>
        <w:sz w:val="20"/>
        <w:szCs w:val="20"/>
      </w:rPr>
      <w:fldChar w:fldCharType="separate"/>
    </w:r>
    <w:r w:rsidR="005F4318">
      <w:rPr>
        <w:rFonts w:ascii="Verdana" w:hAnsi="Verdana"/>
        <w:noProof/>
        <w:sz w:val="20"/>
        <w:szCs w:val="20"/>
      </w:rPr>
      <w:t>6</w:t>
    </w:r>
    <w:r w:rsidRPr="002434DF">
      <w:rPr>
        <w:rFonts w:ascii="Verdana" w:hAnsi="Verdana"/>
        <w:sz w:val="20"/>
        <w:szCs w:val="20"/>
      </w:rPr>
      <w:fldChar w:fldCharType="end"/>
    </w:r>
  </w:p>
  <w:p w:rsidR="00B97637" w:rsidRDefault="00B976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950" w:rsidRDefault="00BA0950" w:rsidP="0075315F">
      <w:pPr>
        <w:spacing w:after="0" w:line="240" w:lineRule="auto"/>
      </w:pPr>
      <w:r>
        <w:separator/>
      </w:r>
    </w:p>
  </w:footnote>
  <w:footnote w:type="continuationSeparator" w:id="0">
    <w:p w:rsidR="00BA0950" w:rsidRDefault="00BA0950" w:rsidP="0075315F">
      <w:pPr>
        <w:spacing w:after="0" w:line="240" w:lineRule="auto"/>
      </w:pPr>
      <w:r>
        <w:continuationSeparator/>
      </w:r>
    </w:p>
  </w:footnote>
  <w:footnote w:id="1">
    <w:p w:rsidR="00B97637" w:rsidRPr="00921B82" w:rsidRDefault="00B97637" w:rsidP="00921B82">
      <w:pPr>
        <w:spacing w:after="60" w:line="240" w:lineRule="auto"/>
        <w:jc w:val="both"/>
        <w:rPr>
          <w:rFonts w:ascii="Verdana" w:hAnsi="Verdana"/>
          <w:sz w:val="16"/>
          <w:szCs w:val="16"/>
        </w:rPr>
      </w:pPr>
      <w:r w:rsidRPr="00921B82">
        <w:rPr>
          <w:rStyle w:val="Refdenotaalpie"/>
          <w:rFonts w:ascii="Verdana" w:hAnsi="Verdana"/>
          <w:sz w:val="16"/>
          <w:szCs w:val="16"/>
        </w:rPr>
        <w:footnoteRef/>
      </w:r>
      <w:r w:rsidRPr="00921B82">
        <w:rPr>
          <w:rFonts w:ascii="Verdana" w:hAnsi="Verdana"/>
          <w:sz w:val="16"/>
          <w:szCs w:val="16"/>
        </w:rPr>
        <w:t xml:space="preserve"> </w:t>
      </w:r>
      <w:r w:rsidR="000E2A70">
        <w:rPr>
          <w:rFonts w:ascii="Verdana" w:hAnsi="Verdana"/>
          <w:sz w:val="16"/>
          <w:szCs w:val="16"/>
        </w:rPr>
        <w:tab/>
      </w:r>
      <w:r w:rsidRPr="00921B82">
        <w:rPr>
          <w:rFonts w:ascii="Verdana" w:hAnsi="Verdana"/>
          <w:sz w:val="16"/>
          <w:szCs w:val="16"/>
          <w:lang w:val="es-CO"/>
        </w:rPr>
        <w:t xml:space="preserve">Los jueces Diego García-Sayán y Alberto Pérez Pérez, </w:t>
      </w:r>
      <w:r w:rsidRPr="00921B82">
        <w:rPr>
          <w:rFonts w:ascii="Verdana" w:hAnsi="Verdana"/>
          <w:sz w:val="16"/>
          <w:szCs w:val="16"/>
        </w:rPr>
        <w:t>por motivos de fuerza mayor, no participaron en la deliberación y firma de la Sentencia de fondo, reparaciones y costas en el presente caso, por lo cual, conforme al artículo 68.3 del Reglamento del Tribunal, tampoco participaron de la deliberación y firma de la presente Sentencia.</w:t>
      </w:r>
    </w:p>
  </w:footnote>
  <w:footnote w:id="2">
    <w:p w:rsidR="008D1D45" w:rsidRPr="00776A8E" w:rsidRDefault="008D1D45" w:rsidP="00776A8E">
      <w:pPr>
        <w:pStyle w:val="Textonotapie"/>
        <w:jc w:val="both"/>
        <w:rPr>
          <w:rFonts w:ascii="Verdana" w:hAnsi="Verdana"/>
          <w:sz w:val="16"/>
          <w:szCs w:val="16"/>
        </w:rPr>
      </w:pPr>
      <w:r>
        <w:rPr>
          <w:rStyle w:val="Refdenotaalpie"/>
        </w:rPr>
        <w:footnoteRef/>
      </w:r>
      <w:r>
        <w:t xml:space="preserve"> </w:t>
      </w:r>
      <w:r>
        <w:tab/>
      </w:r>
      <w:r w:rsidRPr="00776A8E">
        <w:rPr>
          <w:rFonts w:ascii="Verdana" w:hAnsi="Verdana"/>
          <w:sz w:val="16"/>
          <w:szCs w:val="16"/>
        </w:rPr>
        <w:t xml:space="preserve">Los señores Alberto de Vita y Mauricio Cueto representaron a las siguientes víctimas: Enrique </w:t>
      </w:r>
      <w:proofErr w:type="spellStart"/>
      <w:r w:rsidRPr="00776A8E">
        <w:rPr>
          <w:rFonts w:ascii="Verdana" w:hAnsi="Verdana"/>
          <w:sz w:val="16"/>
          <w:szCs w:val="16"/>
        </w:rPr>
        <w:t>Pontecorvo</w:t>
      </w:r>
      <w:proofErr w:type="spellEnd"/>
      <w:r w:rsidRPr="00776A8E">
        <w:rPr>
          <w:rFonts w:ascii="Verdana" w:hAnsi="Verdana"/>
          <w:sz w:val="16"/>
          <w:szCs w:val="16"/>
        </w:rPr>
        <w:t xml:space="preserve">; Ricardo </w:t>
      </w:r>
      <w:proofErr w:type="spellStart"/>
      <w:r w:rsidRPr="00776A8E">
        <w:rPr>
          <w:rFonts w:ascii="Verdana" w:hAnsi="Verdana"/>
          <w:sz w:val="16"/>
          <w:szCs w:val="16"/>
        </w:rPr>
        <w:t>Candurra</w:t>
      </w:r>
      <w:proofErr w:type="spellEnd"/>
      <w:r w:rsidRPr="00776A8E">
        <w:rPr>
          <w:rFonts w:ascii="Verdana" w:hAnsi="Verdana"/>
          <w:sz w:val="16"/>
          <w:szCs w:val="16"/>
        </w:rPr>
        <w:t>; Aníbal Machín, José Di Rosa y Carlos Arancibia.</w:t>
      </w:r>
    </w:p>
  </w:footnote>
  <w:footnote w:id="3">
    <w:p w:rsidR="00B97637" w:rsidRPr="00921B82" w:rsidRDefault="00B97637" w:rsidP="008D1D45">
      <w:pPr>
        <w:pStyle w:val="Textonotapie"/>
        <w:jc w:val="both"/>
        <w:rPr>
          <w:rFonts w:ascii="Verdana" w:hAnsi="Verdana"/>
          <w:sz w:val="16"/>
          <w:szCs w:val="16"/>
        </w:rPr>
      </w:pPr>
      <w:r w:rsidRPr="008D1D45">
        <w:rPr>
          <w:rStyle w:val="Refdenotaalpie"/>
          <w:rFonts w:ascii="Verdana" w:hAnsi="Verdana"/>
          <w:sz w:val="16"/>
          <w:szCs w:val="16"/>
        </w:rPr>
        <w:footnoteRef/>
      </w:r>
      <w:r w:rsidRPr="008D1D45">
        <w:rPr>
          <w:rFonts w:ascii="Verdana" w:hAnsi="Verdana"/>
          <w:sz w:val="16"/>
          <w:szCs w:val="16"/>
        </w:rPr>
        <w:t xml:space="preserve"> </w:t>
      </w:r>
      <w:r w:rsidR="000E2A70" w:rsidRPr="008D1D45">
        <w:rPr>
          <w:rFonts w:ascii="Verdana" w:hAnsi="Verdana"/>
          <w:sz w:val="16"/>
          <w:szCs w:val="16"/>
        </w:rPr>
        <w:tab/>
      </w:r>
      <w:r w:rsidRPr="008D1D45">
        <w:rPr>
          <w:rFonts w:ascii="Verdana" w:hAnsi="Verdana"/>
          <w:sz w:val="16"/>
          <w:szCs w:val="16"/>
        </w:rPr>
        <w:t xml:space="preserve">Los Defensores Interamericanos representaron las siguientes víctimas: Gerardo Félix Giordano; Nicolás </w:t>
      </w:r>
      <w:proofErr w:type="spellStart"/>
      <w:r w:rsidRPr="008D1D45">
        <w:rPr>
          <w:rFonts w:ascii="Verdana" w:hAnsi="Verdana"/>
          <w:sz w:val="16"/>
          <w:szCs w:val="16"/>
        </w:rPr>
        <w:t>Tomasek</w:t>
      </w:r>
      <w:proofErr w:type="spellEnd"/>
      <w:r w:rsidRPr="008D1D45">
        <w:rPr>
          <w:rFonts w:ascii="Verdana" w:hAnsi="Verdana"/>
          <w:sz w:val="16"/>
          <w:szCs w:val="16"/>
        </w:rPr>
        <w:t xml:space="preserve">; Enrique Jesús Aracena; José Arnaldo </w:t>
      </w:r>
      <w:proofErr w:type="spellStart"/>
      <w:r w:rsidRPr="008D1D45">
        <w:rPr>
          <w:rFonts w:ascii="Verdana" w:hAnsi="Verdana"/>
          <w:sz w:val="16"/>
          <w:szCs w:val="16"/>
        </w:rPr>
        <w:t>Mercau</w:t>
      </w:r>
      <w:proofErr w:type="spellEnd"/>
      <w:r w:rsidRPr="008D1D45">
        <w:rPr>
          <w:rFonts w:ascii="Verdana" w:hAnsi="Verdana"/>
          <w:sz w:val="16"/>
          <w:szCs w:val="16"/>
        </w:rPr>
        <w:t xml:space="preserve">; Félix Oscar Morón; Miguel Oscar Cardozo; Luis José López </w:t>
      </w:r>
      <w:proofErr w:type="spellStart"/>
      <w:r w:rsidRPr="008D1D45">
        <w:rPr>
          <w:rFonts w:ascii="Verdana" w:hAnsi="Verdana"/>
          <w:sz w:val="16"/>
          <w:szCs w:val="16"/>
        </w:rPr>
        <w:t>Mattheus</w:t>
      </w:r>
      <w:proofErr w:type="spellEnd"/>
      <w:r w:rsidRPr="008D1D45">
        <w:rPr>
          <w:rFonts w:ascii="Verdana" w:hAnsi="Verdana"/>
          <w:sz w:val="16"/>
          <w:szCs w:val="16"/>
        </w:rPr>
        <w:t xml:space="preserve">; Julio César </w:t>
      </w:r>
      <w:proofErr w:type="spellStart"/>
      <w:r w:rsidRPr="008D1D45">
        <w:rPr>
          <w:rFonts w:ascii="Verdana" w:hAnsi="Verdana"/>
          <w:sz w:val="16"/>
          <w:szCs w:val="16"/>
        </w:rPr>
        <w:t>Allendes</w:t>
      </w:r>
      <w:proofErr w:type="spellEnd"/>
      <w:r w:rsidRPr="008D1D45">
        <w:rPr>
          <w:rFonts w:ascii="Verdana" w:hAnsi="Verdana"/>
          <w:sz w:val="16"/>
          <w:szCs w:val="16"/>
        </w:rPr>
        <w:t>; Horacio Eugenio Oscar Muñoz, Hugo Oscar Argüelles y Ambrosio Marcial y sus derechohabientes.</w:t>
      </w:r>
    </w:p>
  </w:footnote>
  <w:footnote w:id="4">
    <w:p w:rsidR="00B97637" w:rsidRPr="00921B82" w:rsidRDefault="00B97637" w:rsidP="00921B82">
      <w:pPr>
        <w:spacing w:after="60" w:line="240" w:lineRule="auto"/>
        <w:jc w:val="both"/>
        <w:rPr>
          <w:rFonts w:ascii="Verdana" w:hAnsi="Verdana"/>
          <w:b/>
          <w:sz w:val="16"/>
          <w:szCs w:val="16"/>
        </w:rPr>
      </w:pPr>
      <w:r w:rsidRPr="00921B82">
        <w:rPr>
          <w:rStyle w:val="Refdenotaalpie"/>
          <w:rFonts w:ascii="Verdana" w:hAnsi="Verdana"/>
          <w:sz w:val="16"/>
          <w:szCs w:val="16"/>
        </w:rPr>
        <w:footnoteRef/>
      </w:r>
      <w:r w:rsidRPr="00921B82">
        <w:rPr>
          <w:rFonts w:ascii="Verdana" w:hAnsi="Verdana"/>
          <w:sz w:val="16"/>
          <w:szCs w:val="16"/>
        </w:rPr>
        <w:t xml:space="preserve"> </w:t>
      </w:r>
      <w:r w:rsidRPr="00921B82">
        <w:rPr>
          <w:rFonts w:ascii="Verdana" w:hAnsi="Verdana"/>
          <w:sz w:val="16"/>
          <w:szCs w:val="16"/>
        </w:rPr>
        <w:tab/>
      </w:r>
      <w:r w:rsidRPr="00B97637">
        <w:rPr>
          <w:rFonts w:ascii="Verdana" w:hAnsi="Verdana"/>
          <w:i/>
          <w:sz w:val="16"/>
          <w:szCs w:val="16"/>
        </w:rPr>
        <w:t>Cfr</w:t>
      </w:r>
      <w:r w:rsidRPr="00921B82">
        <w:rPr>
          <w:rFonts w:ascii="Verdana" w:hAnsi="Verdana"/>
          <w:sz w:val="16"/>
          <w:szCs w:val="16"/>
        </w:rPr>
        <w:t xml:space="preserve">. Caso Loayza Tamayo Vs. Perú. Interpretación de la Sentencia de Fondo. Resolución de la Corte Interamericana de Derechos Humanos de 8 de marzo de 1998. Serie C No. 47, párr. 16, y </w:t>
      </w:r>
      <w:r w:rsidRPr="00921B82">
        <w:rPr>
          <w:rFonts w:ascii="Verdana" w:hAnsi="Verdana"/>
          <w:sz w:val="16"/>
          <w:szCs w:val="16"/>
          <w:lang w:val="es-CO"/>
        </w:rPr>
        <w:t>Caso de la Corte Suprema de Justicia (Quintana Coello y otros) Vs. Ecuador. Interpretación de la Sentencia de Excepción Preliminar, Fondo, Reparaciones y Costas. Sentencia de 21 de agosto de 2014. Serie C No. 280, párr. 17.</w:t>
      </w:r>
    </w:p>
  </w:footnote>
  <w:footnote w:id="5">
    <w:p w:rsidR="00B97637" w:rsidRPr="00921B82" w:rsidRDefault="00B97637" w:rsidP="00921B82">
      <w:pPr>
        <w:pStyle w:val="Textonotapie"/>
        <w:spacing w:after="60"/>
        <w:jc w:val="both"/>
        <w:rPr>
          <w:rFonts w:ascii="Verdana" w:hAnsi="Verdana"/>
          <w:sz w:val="16"/>
          <w:szCs w:val="16"/>
          <w:lang w:val="es-CO"/>
        </w:rPr>
      </w:pPr>
      <w:r w:rsidRPr="00921B82">
        <w:rPr>
          <w:rStyle w:val="Refdenotaalpie"/>
          <w:rFonts w:ascii="Verdana" w:hAnsi="Verdana"/>
          <w:sz w:val="16"/>
          <w:szCs w:val="16"/>
        </w:rPr>
        <w:footnoteRef/>
      </w:r>
      <w:r w:rsidRPr="00921B82">
        <w:rPr>
          <w:rFonts w:ascii="Verdana" w:hAnsi="Verdana"/>
          <w:sz w:val="16"/>
          <w:szCs w:val="16"/>
        </w:rPr>
        <w:t xml:space="preserve"> </w:t>
      </w:r>
      <w:r w:rsidRPr="00921B82">
        <w:rPr>
          <w:rFonts w:ascii="Verdana" w:hAnsi="Verdana"/>
          <w:sz w:val="16"/>
          <w:szCs w:val="16"/>
        </w:rPr>
        <w:tab/>
      </w:r>
      <w:r w:rsidRPr="000E2A70">
        <w:rPr>
          <w:rFonts w:ascii="Verdana" w:hAnsi="Verdana"/>
          <w:i/>
          <w:sz w:val="16"/>
          <w:szCs w:val="16"/>
        </w:rPr>
        <w:t>Cfr</w:t>
      </w:r>
      <w:r w:rsidRPr="00921B82">
        <w:rPr>
          <w:rFonts w:ascii="Verdana" w:hAnsi="Verdana"/>
          <w:sz w:val="16"/>
          <w:szCs w:val="16"/>
        </w:rPr>
        <w:t>. Caso Loayza Tamayo Vs. Perú. Interpretación de la Sentencia de Fondo, párr. 16</w:t>
      </w:r>
      <w:r w:rsidRPr="00921B82">
        <w:rPr>
          <w:rFonts w:ascii="Verdana" w:hAnsi="Verdana"/>
          <w:sz w:val="16"/>
          <w:szCs w:val="16"/>
          <w:lang w:val="es-CO"/>
        </w:rPr>
        <w:t>,</w:t>
      </w:r>
      <w:r w:rsidRPr="00921B82">
        <w:rPr>
          <w:rFonts w:ascii="Verdana" w:hAnsi="Verdana"/>
          <w:sz w:val="16"/>
          <w:szCs w:val="16"/>
        </w:rPr>
        <w:t xml:space="preserve"> y </w:t>
      </w:r>
      <w:r w:rsidRPr="00921B82">
        <w:rPr>
          <w:rFonts w:ascii="Verdana" w:hAnsi="Verdana"/>
          <w:sz w:val="16"/>
          <w:szCs w:val="16"/>
          <w:lang w:val="es-CO"/>
        </w:rPr>
        <w:t>Caso de la Corte Suprema de Justicia (Quintana Coello y otros) Vs. Ecuador. Interpretación de la Sentencia de Excepción Preliminar, Fondo, Reparaciones y Costas. Sentencia de 21 de agosto de 2014. Serie C No. 280, párr. 17.</w:t>
      </w:r>
    </w:p>
  </w:footnote>
  <w:footnote w:id="6">
    <w:p w:rsidR="00B97637" w:rsidRPr="00921B82" w:rsidRDefault="00B97637" w:rsidP="00921B82">
      <w:pPr>
        <w:spacing w:after="60" w:line="240" w:lineRule="auto"/>
        <w:jc w:val="both"/>
        <w:rPr>
          <w:rFonts w:ascii="Verdana" w:hAnsi="Verdana"/>
          <w:sz w:val="16"/>
          <w:szCs w:val="16"/>
        </w:rPr>
      </w:pPr>
      <w:r w:rsidRPr="00921B82">
        <w:rPr>
          <w:rStyle w:val="Refdenotaalpie"/>
          <w:rFonts w:ascii="Verdana" w:hAnsi="Verdana"/>
          <w:sz w:val="16"/>
          <w:szCs w:val="16"/>
        </w:rPr>
        <w:footnoteRef/>
      </w:r>
      <w:r w:rsidRPr="00921B82">
        <w:rPr>
          <w:rFonts w:ascii="Verdana" w:hAnsi="Verdana"/>
          <w:sz w:val="16"/>
          <w:szCs w:val="16"/>
        </w:rPr>
        <w:t xml:space="preserve"> </w:t>
      </w:r>
      <w:r w:rsidRPr="00921B82">
        <w:rPr>
          <w:rFonts w:ascii="Verdana" w:hAnsi="Verdana"/>
          <w:sz w:val="16"/>
          <w:szCs w:val="16"/>
        </w:rPr>
        <w:tab/>
      </w:r>
      <w:r w:rsidRPr="000E2A70">
        <w:rPr>
          <w:rFonts w:ascii="Verdana" w:hAnsi="Verdana"/>
          <w:i/>
          <w:sz w:val="16"/>
          <w:szCs w:val="16"/>
        </w:rPr>
        <w:t>Cfr</w:t>
      </w:r>
      <w:r w:rsidRPr="00921B82">
        <w:rPr>
          <w:rFonts w:ascii="Verdana" w:hAnsi="Verdana"/>
          <w:sz w:val="16"/>
          <w:szCs w:val="16"/>
        </w:rPr>
        <w:t>. Caso Loayza Tamayo Vs. Perú. Interpretación de la Sentencia de Reparaciones y Costas. Sentencia de 3 de junio de 1999. Serie C No. 53, párr. 15</w:t>
      </w:r>
      <w:r w:rsidRPr="00921B82">
        <w:rPr>
          <w:rFonts w:ascii="Verdana" w:hAnsi="Verdana"/>
          <w:sz w:val="16"/>
          <w:szCs w:val="16"/>
          <w:lang w:val="es-CO"/>
        </w:rPr>
        <w:t>, y</w:t>
      </w:r>
      <w:r w:rsidRPr="00921B82">
        <w:rPr>
          <w:rFonts w:ascii="Verdana" w:hAnsi="Verdana"/>
          <w:sz w:val="16"/>
          <w:szCs w:val="16"/>
        </w:rPr>
        <w:t xml:space="preserve">  </w:t>
      </w:r>
      <w:r w:rsidRPr="00921B82">
        <w:rPr>
          <w:rFonts w:ascii="Verdana" w:hAnsi="Verdana"/>
          <w:sz w:val="16"/>
          <w:szCs w:val="16"/>
          <w:lang w:val="es-CO"/>
        </w:rPr>
        <w:t>Caso de la Corte Suprema de Justicia (Quintana Coello y otros) Vs. Ecuador. Interpretación de la Sentencia de Excepción Preliminar, Fondo, Reparaciones y Costas. Sentencia de 21 de agosto de 2014. Serie C No. 280, párr. 17.</w:t>
      </w:r>
    </w:p>
  </w:footnote>
  <w:footnote w:id="7">
    <w:p w:rsidR="00B97637" w:rsidRPr="00921B82" w:rsidRDefault="00B97637" w:rsidP="00921B82">
      <w:pPr>
        <w:pStyle w:val="Textonotapie"/>
        <w:spacing w:after="60"/>
        <w:jc w:val="both"/>
        <w:rPr>
          <w:rFonts w:ascii="Verdana" w:hAnsi="Verdana"/>
          <w:sz w:val="16"/>
          <w:szCs w:val="16"/>
        </w:rPr>
      </w:pPr>
      <w:r w:rsidRPr="00921B82">
        <w:rPr>
          <w:rStyle w:val="Refdenotaalpie"/>
          <w:rFonts w:ascii="Verdana" w:hAnsi="Verdana"/>
          <w:sz w:val="16"/>
          <w:szCs w:val="16"/>
        </w:rPr>
        <w:footnoteRef/>
      </w:r>
      <w:r w:rsidRPr="00921B82">
        <w:rPr>
          <w:rFonts w:ascii="Verdana" w:hAnsi="Verdana"/>
          <w:sz w:val="16"/>
          <w:szCs w:val="16"/>
        </w:rPr>
        <w:t xml:space="preserve"> </w:t>
      </w:r>
      <w:r w:rsidRPr="00921B82">
        <w:rPr>
          <w:rFonts w:ascii="Verdana" w:hAnsi="Verdana"/>
          <w:sz w:val="16"/>
          <w:szCs w:val="16"/>
        </w:rPr>
        <w:tab/>
      </w:r>
      <w:r w:rsidRPr="000E2A70">
        <w:rPr>
          <w:rFonts w:ascii="Verdana" w:hAnsi="Verdana"/>
          <w:i/>
          <w:sz w:val="16"/>
          <w:szCs w:val="16"/>
        </w:rPr>
        <w:t>Cfr</w:t>
      </w:r>
      <w:r w:rsidRPr="00921B82">
        <w:rPr>
          <w:rFonts w:ascii="Verdana" w:hAnsi="Verdana"/>
          <w:sz w:val="16"/>
          <w:szCs w:val="16"/>
        </w:rPr>
        <w:t xml:space="preserve">. </w:t>
      </w:r>
      <w:r w:rsidRPr="00921B82">
        <w:rPr>
          <w:rFonts w:ascii="Verdana" w:hAnsi="Verdana"/>
          <w:bCs/>
          <w:color w:val="000000"/>
          <w:sz w:val="16"/>
          <w:szCs w:val="16"/>
        </w:rPr>
        <w:t xml:space="preserve">Caso Salvador Chiriboga Vs. Ecuador. </w:t>
      </w:r>
      <w:r w:rsidRPr="00921B82">
        <w:rPr>
          <w:rFonts w:ascii="Verdana" w:hAnsi="Verdana"/>
          <w:color w:val="000000"/>
          <w:sz w:val="16"/>
          <w:szCs w:val="16"/>
        </w:rPr>
        <w:t xml:space="preserve">Interpretación de la Sentencia de Reparaciones y Costas. Sentencia de 29 de agosto de 2011. Serie C No. 230, párr. 30, y </w:t>
      </w:r>
      <w:r w:rsidRPr="00921B82">
        <w:rPr>
          <w:rFonts w:ascii="Verdana" w:hAnsi="Verdana"/>
          <w:sz w:val="16"/>
          <w:szCs w:val="16"/>
          <w:lang w:val="es-CO"/>
        </w:rPr>
        <w:t>Caso de la Corte Suprema de Justicia (Quintana Coello y otros) Vs. Ecuador. Interpretación de la Sentencia de Excepción Preliminar, Fondo, Reparaciones y Costas. Sentencia de 21 de agosto de 2014. Serie C No. 280, párr. 18.</w:t>
      </w:r>
    </w:p>
  </w:footnote>
  <w:footnote w:id="8">
    <w:p w:rsidR="00B97637" w:rsidRPr="00921B82" w:rsidRDefault="00B97637" w:rsidP="00921B82">
      <w:pPr>
        <w:spacing w:after="60" w:line="240" w:lineRule="auto"/>
        <w:jc w:val="both"/>
        <w:rPr>
          <w:rFonts w:ascii="Verdana" w:hAnsi="Verdana"/>
          <w:sz w:val="16"/>
          <w:szCs w:val="16"/>
        </w:rPr>
      </w:pPr>
      <w:r w:rsidRPr="00921B82">
        <w:rPr>
          <w:rStyle w:val="Refdenotaalpie"/>
          <w:rFonts w:ascii="Verdana" w:hAnsi="Verdana"/>
          <w:sz w:val="16"/>
          <w:szCs w:val="16"/>
        </w:rPr>
        <w:footnoteRef/>
      </w:r>
      <w:r w:rsidRPr="00921B82">
        <w:rPr>
          <w:rFonts w:ascii="Verdana" w:hAnsi="Verdana"/>
          <w:sz w:val="16"/>
          <w:szCs w:val="16"/>
        </w:rPr>
        <w:t xml:space="preserve"> </w:t>
      </w:r>
      <w:r w:rsidRPr="00921B82">
        <w:rPr>
          <w:rFonts w:ascii="Verdana" w:hAnsi="Verdana"/>
          <w:sz w:val="16"/>
          <w:szCs w:val="16"/>
        </w:rPr>
        <w:tab/>
      </w:r>
      <w:r w:rsidRPr="000E2A70">
        <w:rPr>
          <w:rFonts w:ascii="Verdana" w:hAnsi="Verdana"/>
          <w:i/>
          <w:sz w:val="16"/>
          <w:szCs w:val="16"/>
        </w:rPr>
        <w:t>Cfr</w:t>
      </w:r>
      <w:r w:rsidRPr="00921B82">
        <w:rPr>
          <w:rFonts w:ascii="Verdana" w:hAnsi="Verdana"/>
          <w:sz w:val="16"/>
          <w:szCs w:val="16"/>
        </w:rPr>
        <w:t xml:space="preserve">. </w:t>
      </w:r>
      <w:hyperlink r:id="rId1" w:history="1">
        <w:r w:rsidRPr="00921B82">
          <w:rPr>
            <w:rStyle w:val="Hipervnculo"/>
            <w:rFonts w:ascii="Verdana" w:hAnsi="Verdana" w:cs="Arial"/>
            <w:color w:val="auto"/>
            <w:sz w:val="16"/>
            <w:szCs w:val="16"/>
          </w:rPr>
          <w:t>Caso Escher y otros Vs. Brasil. Interpretación de la Sentencia de Excepciones Preliminares, Fondo, Reparaciones y Costas. Sentencia de 20 de noviembre de 2009. Serie C No. 208, párr. 11</w:t>
        </w:r>
      </w:hyperlink>
      <w:r w:rsidRPr="00921B82">
        <w:rPr>
          <w:rFonts w:ascii="Verdana" w:hAnsi="Verdana" w:cs="Arial"/>
          <w:sz w:val="16"/>
          <w:szCs w:val="16"/>
        </w:rPr>
        <w:t xml:space="preserve">, y </w:t>
      </w:r>
      <w:r w:rsidRPr="00921B82">
        <w:rPr>
          <w:rFonts w:ascii="Verdana" w:hAnsi="Verdana"/>
          <w:sz w:val="16"/>
          <w:szCs w:val="16"/>
          <w:lang w:val="es-CO"/>
        </w:rPr>
        <w:t>Caso de la Corte Suprema de Justicia (Quintana Coello y otros) Vs. Ecuador. Interpretación de la Sentencia de Excepción Preliminar, Fondo, Reparaciones y Costas. Sentencia de 21 de agosto de 2014. Serie C No. 280, párr.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37" w:rsidRDefault="00B97637" w:rsidP="004252D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97637" w:rsidRDefault="00B9763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37" w:rsidRDefault="00B97637" w:rsidP="004252DE">
    <w:pPr>
      <w:pStyle w:val="Encabezad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37" w:rsidRPr="00AD6D04" w:rsidRDefault="00B97637" w:rsidP="004252DE">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83B86"/>
    <w:multiLevelType w:val="hybridMultilevel"/>
    <w:tmpl w:val="74485A8E"/>
    <w:name w:val="WW8Num2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2F5050E6"/>
    <w:multiLevelType w:val="hybridMultilevel"/>
    <w:tmpl w:val="4540232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6D0362A1"/>
    <w:multiLevelType w:val="hybridMultilevel"/>
    <w:tmpl w:val="11880254"/>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nsid w:val="7CE64D32"/>
    <w:multiLevelType w:val="hybridMultilevel"/>
    <w:tmpl w:val="49EA1064"/>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315F"/>
    <w:rsid w:val="000024D8"/>
    <w:rsid w:val="0000282C"/>
    <w:rsid w:val="00003AD9"/>
    <w:rsid w:val="00006243"/>
    <w:rsid w:val="000069AD"/>
    <w:rsid w:val="000135CC"/>
    <w:rsid w:val="000138F1"/>
    <w:rsid w:val="0001764C"/>
    <w:rsid w:val="00017A09"/>
    <w:rsid w:val="00017DEC"/>
    <w:rsid w:val="00017EAD"/>
    <w:rsid w:val="0002248B"/>
    <w:rsid w:val="00025B06"/>
    <w:rsid w:val="00026991"/>
    <w:rsid w:val="0003254A"/>
    <w:rsid w:val="00033A42"/>
    <w:rsid w:val="00041155"/>
    <w:rsid w:val="00043A38"/>
    <w:rsid w:val="0004424B"/>
    <w:rsid w:val="00044E18"/>
    <w:rsid w:val="000453AB"/>
    <w:rsid w:val="000453AC"/>
    <w:rsid w:val="00047EE1"/>
    <w:rsid w:val="00047F9E"/>
    <w:rsid w:val="000551BE"/>
    <w:rsid w:val="00055746"/>
    <w:rsid w:val="00055A86"/>
    <w:rsid w:val="00060CE2"/>
    <w:rsid w:val="000616D5"/>
    <w:rsid w:val="00062C62"/>
    <w:rsid w:val="0006650A"/>
    <w:rsid w:val="000701B2"/>
    <w:rsid w:val="00074FB5"/>
    <w:rsid w:val="000835DD"/>
    <w:rsid w:val="00091D4D"/>
    <w:rsid w:val="00092E74"/>
    <w:rsid w:val="000A30F9"/>
    <w:rsid w:val="000B4830"/>
    <w:rsid w:val="000B4E1A"/>
    <w:rsid w:val="000B511A"/>
    <w:rsid w:val="000C4963"/>
    <w:rsid w:val="000C6BF4"/>
    <w:rsid w:val="000C7D84"/>
    <w:rsid w:val="000D067D"/>
    <w:rsid w:val="000D15DD"/>
    <w:rsid w:val="000D242E"/>
    <w:rsid w:val="000E0B5B"/>
    <w:rsid w:val="000E2A70"/>
    <w:rsid w:val="000E3982"/>
    <w:rsid w:val="000E43BB"/>
    <w:rsid w:val="000E681C"/>
    <w:rsid w:val="000F03B0"/>
    <w:rsid w:val="000F239F"/>
    <w:rsid w:val="000F6405"/>
    <w:rsid w:val="001043AC"/>
    <w:rsid w:val="00104C01"/>
    <w:rsid w:val="00104EEC"/>
    <w:rsid w:val="00105607"/>
    <w:rsid w:val="00105B39"/>
    <w:rsid w:val="00107A51"/>
    <w:rsid w:val="001101D4"/>
    <w:rsid w:val="00113582"/>
    <w:rsid w:val="001136B2"/>
    <w:rsid w:val="001151EC"/>
    <w:rsid w:val="001236BF"/>
    <w:rsid w:val="00123F96"/>
    <w:rsid w:val="00132361"/>
    <w:rsid w:val="00133D83"/>
    <w:rsid w:val="001363B5"/>
    <w:rsid w:val="001364F3"/>
    <w:rsid w:val="001527AE"/>
    <w:rsid w:val="00153F10"/>
    <w:rsid w:val="00154A3F"/>
    <w:rsid w:val="00162308"/>
    <w:rsid w:val="0016592C"/>
    <w:rsid w:val="001668C4"/>
    <w:rsid w:val="00166B2A"/>
    <w:rsid w:val="001708DE"/>
    <w:rsid w:val="00172A95"/>
    <w:rsid w:val="001767B2"/>
    <w:rsid w:val="00180C31"/>
    <w:rsid w:val="00195BE2"/>
    <w:rsid w:val="00197912"/>
    <w:rsid w:val="001A074F"/>
    <w:rsid w:val="001A269F"/>
    <w:rsid w:val="001A340E"/>
    <w:rsid w:val="001A600D"/>
    <w:rsid w:val="001A6A63"/>
    <w:rsid w:val="001A72ED"/>
    <w:rsid w:val="001B3092"/>
    <w:rsid w:val="001B4BA4"/>
    <w:rsid w:val="001C0662"/>
    <w:rsid w:val="001C1DAF"/>
    <w:rsid w:val="001C2F47"/>
    <w:rsid w:val="001C4A00"/>
    <w:rsid w:val="001C5F5A"/>
    <w:rsid w:val="001C732D"/>
    <w:rsid w:val="001C7548"/>
    <w:rsid w:val="001D0AED"/>
    <w:rsid w:val="001D3029"/>
    <w:rsid w:val="001D3D17"/>
    <w:rsid w:val="001D4426"/>
    <w:rsid w:val="001D6BC3"/>
    <w:rsid w:val="001D7FF3"/>
    <w:rsid w:val="001E0684"/>
    <w:rsid w:val="001E069B"/>
    <w:rsid w:val="001E3945"/>
    <w:rsid w:val="001E3EE7"/>
    <w:rsid w:val="001E595D"/>
    <w:rsid w:val="001E5E9D"/>
    <w:rsid w:val="001F0497"/>
    <w:rsid w:val="001F0C37"/>
    <w:rsid w:val="001F5639"/>
    <w:rsid w:val="001F5E8C"/>
    <w:rsid w:val="00200CC6"/>
    <w:rsid w:val="002022BE"/>
    <w:rsid w:val="00202504"/>
    <w:rsid w:val="00202C48"/>
    <w:rsid w:val="00202DEC"/>
    <w:rsid w:val="002052CB"/>
    <w:rsid w:val="002105E5"/>
    <w:rsid w:val="002140D0"/>
    <w:rsid w:val="0021620C"/>
    <w:rsid w:val="00217B98"/>
    <w:rsid w:val="00226F33"/>
    <w:rsid w:val="0023057F"/>
    <w:rsid w:val="002312DF"/>
    <w:rsid w:val="00233BFB"/>
    <w:rsid w:val="002348C2"/>
    <w:rsid w:val="0024039A"/>
    <w:rsid w:val="00240F84"/>
    <w:rsid w:val="00242D36"/>
    <w:rsid w:val="0024346E"/>
    <w:rsid w:val="002434DF"/>
    <w:rsid w:val="00247E4E"/>
    <w:rsid w:val="00250BE1"/>
    <w:rsid w:val="00251BDD"/>
    <w:rsid w:val="00253850"/>
    <w:rsid w:val="00261810"/>
    <w:rsid w:val="00262725"/>
    <w:rsid w:val="002654BD"/>
    <w:rsid w:val="00265949"/>
    <w:rsid w:val="002712AC"/>
    <w:rsid w:val="002736F6"/>
    <w:rsid w:val="00276EED"/>
    <w:rsid w:val="002806E8"/>
    <w:rsid w:val="002811ED"/>
    <w:rsid w:val="00282C3F"/>
    <w:rsid w:val="00283B98"/>
    <w:rsid w:val="00285FF0"/>
    <w:rsid w:val="00286AE3"/>
    <w:rsid w:val="0029030C"/>
    <w:rsid w:val="002A15BE"/>
    <w:rsid w:val="002A2079"/>
    <w:rsid w:val="002A3778"/>
    <w:rsid w:val="002A4AB9"/>
    <w:rsid w:val="002B2280"/>
    <w:rsid w:val="002B3B91"/>
    <w:rsid w:val="002B4CFF"/>
    <w:rsid w:val="002B54DE"/>
    <w:rsid w:val="002B7934"/>
    <w:rsid w:val="002C0926"/>
    <w:rsid w:val="002C1078"/>
    <w:rsid w:val="002D0E10"/>
    <w:rsid w:val="002D47DB"/>
    <w:rsid w:val="002D5690"/>
    <w:rsid w:val="002D5FD0"/>
    <w:rsid w:val="002D6E5F"/>
    <w:rsid w:val="002D6F0C"/>
    <w:rsid w:val="002E0E4F"/>
    <w:rsid w:val="002E1E67"/>
    <w:rsid w:val="002E3672"/>
    <w:rsid w:val="002E43BB"/>
    <w:rsid w:val="002E4C19"/>
    <w:rsid w:val="002E6C29"/>
    <w:rsid w:val="002E764B"/>
    <w:rsid w:val="002F09CA"/>
    <w:rsid w:val="002F0F7B"/>
    <w:rsid w:val="002F12E1"/>
    <w:rsid w:val="002F1590"/>
    <w:rsid w:val="002F5F91"/>
    <w:rsid w:val="00301E46"/>
    <w:rsid w:val="003050EF"/>
    <w:rsid w:val="003061A9"/>
    <w:rsid w:val="00307ECA"/>
    <w:rsid w:val="003145C5"/>
    <w:rsid w:val="0031499F"/>
    <w:rsid w:val="00321497"/>
    <w:rsid w:val="0032654F"/>
    <w:rsid w:val="00332AAB"/>
    <w:rsid w:val="00336F2D"/>
    <w:rsid w:val="00337312"/>
    <w:rsid w:val="0034373B"/>
    <w:rsid w:val="00343933"/>
    <w:rsid w:val="0034762E"/>
    <w:rsid w:val="00347E27"/>
    <w:rsid w:val="00351199"/>
    <w:rsid w:val="00351976"/>
    <w:rsid w:val="003534CF"/>
    <w:rsid w:val="00354E10"/>
    <w:rsid w:val="00362201"/>
    <w:rsid w:val="0036293B"/>
    <w:rsid w:val="0036778B"/>
    <w:rsid w:val="003743ED"/>
    <w:rsid w:val="003759D5"/>
    <w:rsid w:val="00376766"/>
    <w:rsid w:val="003834C7"/>
    <w:rsid w:val="003858FD"/>
    <w:rsid w:val="003860F7"/>
    <w:rsid w:val="00390907"/>
    <w:rsid w:val="00391556"/>
    <w:rsid w:val="00391AEE"/>
    <w:rsid w:val="003A049E"/>
    <w:rsid w:val="003A18B2"/>
    <w:rsid w:val="003A2AEC"/>
    <w:rsid w:val="003A4428"/>
    <w:rsid w:val="003A6E78"/>
    <w:rsid w:val="003B09CF"/>
    <w:rsid w:val="003B2064"/>
    <w:rsid w:val="003B4B3E"/>
    <w:rsid w:val="003B4B99"/>
    <w:rsid w:val="003C0009"/>
    <w:rsid w:val="003C10E4"/>
    <w:rsid w:val="003C35A2"/>
    <w:rsid w:val="003C3952"/>
    <w:rsid w:val="003C404B"/>
    <w:rsid w:val="003C43FA"/>
    <w:rsid w:val="003C5B66"/>
    <w:rsid w:val="003C5DA2"/>
    <w:rsid w:val="003C67B7"/>
    <w:rsid w:val="003D54F6"/>
    <w:rsid w:val="003D5DD8"/>
    <w:rsid w:val="003D716C"/>
    <w:rsid w:val="003E1F69"/>
    <w:rsid w:val="003E2A3D"/>
    <w:rsid w:val="003E3090"/>
    <w:rsid w:val="003E5BBE"/>
    <w:rsid w:val="003F2C8F"/>
    <w:rsid w:val="003F3FB1"/>
    <w:rsid w:val="00400C60"/>
    <w:rsid w:val="004051B7"/>
    <w:rsid w:val="004175E7"/>
    <w:rsid w:val="004252DE"/>
    <w:rsid w:val="00426D2D"/>
    <w:rsid w:val="004277B1"/>
    <w:rsid w:val="00432837"/>
    <w:rsid w:val="00432B37"/>
    <w:rsid w:val="004362DF"/>
    <w:rsid w:val="00440309"/>
    <w:rsid w:val="00440C4A"/>
    <w:rsid w:val="00441A19"/>
    <w:rsid w:val="00443960"/>
    <w:rsid w:val="00445CBF"/>
    <w:rsid w:val="00446E48"/>
    <w:rsid w:val="00447379"/>
    <w:rsid w:val="00450BD6"/>
    <w:rsid w:val="00457702"/>
    <w:rsid w:val="004607A7"/>
    <w:rsid w:val="004649C1"/>
    <w:rsid w:val="00467341"/>
    <w:rsid w:val="004675B1"/>
    <w:rsid w:val="004730D6"/>
    <w:rsid w:val="0048360F"/>
    <w:rsid w:val="00485AF8"/>
    <w:rsid w:val="00486983"/>
    <w:rsid w:val="00487041"/>
    <w:rsid w:val="0048771F"/>
    <w:rsid w:val="00490B5A"/>
    <w:rsid w:val="00492AB5"/>
    <w:rsid w:val="00495B5C"/>
    <w:rsid w:val="004A1D19"/>
    <w:rsid w:val="004A31DE"/>
    <w:rsid w:val="004A3D98"/>
    <w:rsid w:val="004A5274"/>
    <w:rsid w:val="004A626F"/>
    <w:rsid w:val="004A71F4"/>
    <w:rsid w:val="004B3B4B"/>
    <w:rsid w:val="004B3BEC"/>
    <w:rsid w:val="004C2EAA"/>
    <w:rsid w:val="004C34E2"/>
    <w:rsid w:val="004C755D"/>
    <w:rsid w:val="004D116C"/>
    <w:rsid w:val="004D1F79"/>
    <w:rsid w:val="004D3DB0"/>
    <w:rsid w:val="004D3F7C"/>
    <w:rsid w:val="004D4D6F"/>
    <w:rsid w:val="004D7AC9"/>
    <w:rsid w:val="004E0E16"/>
    <w:rsid w:val="004E131A"/>
    <w:rsid w:val="004F29C3"/>
    <w:rsid w:val="004F3008"/>
    <w:rsid w:val="004F716F"/>
    <w:rsid w:val="004F75E6"/>
    <w:rsid w:val="00500E3E"/>
    <w:rsid w:val="00501A21"/>
    <w:rsid w:val="0050486F"/>
    <w:rsid w:val="00506629"/>
    <w:rsid w:val="00506FB6"/>
    <w:rsid w:val="00511DEE"/>
    <w:rsid w:val="00512709"/>
    <w:rsid w:val="0051665B"/>
    <w:rsid w:val="00517950"/>
    <w:rsid w:val="005229FC"/>
    <w:rsid w:val="00525FA6"/>
    <w:rsid w:val="00527C76"/>
    <w:rsid w:val="00540B53"/>
    <w:rsid w:val="00542F49"/>
    <w:rsid w:val="005440B7"/>
    <w:rsid w:val="00545258"/>
    <w:rsid w:val="00546B8C"/>
    <w:rsid w:val="00551C59"/>
    <w:rsid w:val="005534B1"/>
    <w:rsid w:val="0055376B"/>
    <w:rsid w:val="00553ED4"/>
    <w:rsid w:val="00554C10"/>
    <w:rsid w:val="00555AB1"/>
    <w:rsid w:val="00561DD5"/>
    <w:rsid w:val="0056208C"/>
    <w:rsid w:val="005620AD"/>
    <w:rsid w:val="0056470F"/>
    <w:rsid w:val="00567667"/>
    <w:rsid w:val="005711B3"/>
    <w:rsid w:val="005715F0"/>
    <w:rsid w:val="005716F7"/>
    <w:rsid w:val="005746F9"/>
    <w:rsid w:val="00580176"/>
    <w:rsid w:val="0058128C"/>
    <w:rsid w:val="005821C8"/>
    <w:rsid w:val="00582807"/>
    <w:rsid w:val="0058393F"/>
    <w:rsid w:val="00584D51"/>
    <w:rsid w:val="005854F2"/>
    <w:rsid w:val="00590D8C"/>
    <w:rsid w:val="00595409"/>
    <w:rsid w:val="005A0263"/>
    <w:rsid w:val="005A06AE"/>
    <w:rsid w:val="005A3288"/>
    <w:rsid w:val="005A47AF"/>
    <w:rsid w:val="005A6E71"/>
    <w:rsid w:val="005B26FE"/>
    <w:rsid w:val="005C1D6C"/>
    <w:rsid w:val="005C1E0D"/>
    <w:rsid w:val="005C7564"/>
    <w:rsid w:val="005D0515"/>
    <w:rsid w:val="005D2734"/>
    <w:rsid w:val="005D6A2B"/>
    <w:rsid w:val="005D6C0A"/>
    <w:rsid w:val="005E1031"/>
    <w:rsid w:val="005E2AB9"/>
    <w:rsid w:val="005E332E"/>
    <w:rsid w:val="005E689B"/>
    <w:rsid w:val="005F1A9C"/>
    <w:rsid w:val="005F4102"/>
    <w:rsid w:val="005F4318"/>
    <w:rsid w:val="0060192B"/>
    <w:rsid w:val="0060206F"/>
    <w:rsid w:val="00603017"/>
    <w:rsid w:val="00604CAA"/>
    <w:rsid w:val="0060735C"/>
    <w:rsid w:val="006101F1"/>
    <w:rsid w:val="00612547"/>
    <w:rsid w:val="0062066A"/>
    <w:rsid w:val="00621913"/>
    <w:rsid w:val="006234A3"/>
    <w:rsid w:val="006236A8"/>
    <w:rsid w:val="00630207"/>
    <w:rsid w:val="00630A2B"/>
    <w:rsid w:val="00630E83"/>
    <w:rsid w:val="00635B4E"/>
    <w:rsid w:val="0063654F"/>
    <w:rsid w:val="00640B4D"/>
    <w:rsid w:val="00641A70"/>
    <w:rsid w:val="00641CA1"/>
    <w:rsid w:val="00642DCE"/>
    <w:rsid w:val="00642E0C"/>
    <w:rsid w:val="00645A81"/>
    <w:rsid w:val="00645AD0"/>
    <w:rsid w:val="00647BFD"/>
    <w:rsid w:val="00653EC2"/>
    <w:rsid w:val="006574D5"/>
    <w:rsid w:val="00670CE3"/>
    <w:rsid w:val="00671CA1"/>
    <w:rsid w:val="006752F3"/>
    <w:rsid w:val="0067647C"/>
    <w:rsid w:val="0067720A"/>
    <w:rsid w:val="00682756"/>
    <w:rsid w:val="00685924"/>
    <w:rsid w:val="00685CC9"/>
    <w:rsid w:val="0068604B"/>
    <w:rsid w:val="0068734F"/>
    <w:rsid w:val="006874B3"/>
    <w:rsid w:val="0068789A"/>
    <w:rsid w:val="00694462"/>
    <w:rsid w:val="00694A7D"/>
    <w:rsid w:val="00696546"/>
    <w:rsid w:val="00696C1F"/>
    <w:rsid w:val="006974EA"/>
    <w:rsid w:val="006A22BE"/>
    <w:rsid w:val="006A44B3"/>
    <w:rsid w:val="006A53DD"/>
    <w:rsid w:val="006A6749"/>
    <w:rsid w:val="006A6BD0"/>
    <w:rsid w:val="006A763B"/>
    <w:rsid w:val="006A76E9"/>
    <w:rsid w:val="006B0068"/>
    <w:rsid w:val="006B0396"/>
    <w:rsid w:val="006B734A"/>
    <w:rsid w:val="006C0A09"/>
    <w:rsid w:val="006C20A5"/>
    <w:rsid w:val="006C52F1"/>
    <w:rsid w:val="006C57C8"/>
    <w:rsid w:val="006C5D05"/>
    <w:rsid w:val="006C5E99"/>
    <w:rsid w:val="006C694D"/>
    <w:rsid w:val="006C7847"/>
    <w:rsid w:val="006C7BEA"/>
    <w:rsid w:val="006D2B6E"/>
    <w:rsid w:val="006D32E8"/>
    <w:rsid w:val="006D77F1"/>
    <w:rsid w:val="006E05E3"/>
    <w:rsid w:val="006E17CF"/>
    <w:rsid w:val="006E3AE7"/>
    <w:rsid w:val="006E4098"/>
    <w:rsid w:val="006E4B3B"/>
    <w:rsid w:val="006E52FA"/>
    <w:rsid w:val="006E537F"/>
    <w:rsid w:val="006E5A1B"/>
    <w:rsid w:val="006E6C20"/>
    <w:rsid w:val="006F19C9"/>
    <w:rsid w:val="006F4075"/>
    <w:rsid w:val="006F5584"/>
    <w:rsid w:val="006F5C61"/>
    <w:rsid w:val="006F5CF4"/>
    <w:rsid w:val="006F63CA"/>
    <w:rsid w:val="006F6A72"/>
    <w:rsid w:val="00701D66"/>
    <w:rsid w:val="00704A36"/>
    <w:rsid w:val="00705C2B"/>
    <w:rsid w:val="00706CBB"/>
    <w:rsid w:val="007103DF"/>
    <w:rsid w:val="00715A4A"/>
    <w:rsid w:val="007164F2"/>
    <w:rsid w:val="0072287F"/>
    <w:rsid w:val="0072364B"/>
    <w:rsid w:val="00723AA8"/>
    <w:rsid w:val="00726022"/>
    <w:rsid w:val="00733394"/>
    <w:rsid w:val="00733B07"/>
    <w:rsid w:val="007405B4"/>
    <w:rsid w:val="00740CFA"/>
    <w:rsid w:val="007452B3"/>
    <w:rsid w:val="00751D78"/>
    <w:rsid w:val="00751DEA"/>
    <w:rsid w:val="00751EE7"/>
    <w:rsid w:val="00752C8E"/>
    <w:rsid w:val="00752F41"/>
    <w:rsid w:val="0075315F"/>
    <w:rsid w:val="00760D7B"/>
    <w:rsid w:val="00761120"/>
    <w:rsid w:val="00761145"/>
    <w:rsid w:val="007654ED"/>
    <w:rsid w:val="00765ABE"/>
    <w:rsid w:val="007707DB"/>
    <w:rsid w:val="00771049"/>
    <w:rsid w:val="00772AF4"/>
    <w:rsid w:val="00774F3C"/>
    <w:rsid w:val="00776A8E"/>
    <w:rsid w:val="00780506"/>
    <w:rsid w:val="00783403"/>
    <w:rsid w:val="0079112A"/>
    <w:rsid w:val="00792783"/>
    <w:rsid w:val="00793470"/>
    <w:rsid w:val="00793DB3"/>
    <w:rsid w:val="0079515E"/>
    <w:rsid w:val="00795703"/>
    <w:rsid w:val="00797CB1"/>
    <w:rsid w:val="007A3247"/>
    <w:rsid w:val="007A4199"/>
    <w:rsid w:val="007A5C46"/>
    <w:rsid w:val="007A6731"/>
    <w:rsid w:val="007A6748"/>
    <w:rsid w:val="007A7263"/>
    <w:rsid w:val="007B38D9"/>
    <w:rsid w:val="007B3FD0"/>
    <w:rsid w:val="007B4FB2"/>
    <w:rsid w:val="007B6092"/>
    <w:rsid w:val="007C25EA"/>
    <w:rsid w:val="007C293F"/>
    <w:rsid w:val="007C3839"/>
    <w:rsid w:val="007C604A"/>
    <w:rsid w:val="007C7042"/>
    <w:rsid w:val="007C7EB7"/>
    <w:rsid w:val="007D537F"/>
    <w:rsid w:val="007E5183"/>
    <w:rsid w:val="007E5958"/>
    <w:rsid w:val="007E7B19"/>
    <w:rsid w:val="007F237D"/>
    <w:rsid w:val="007F2553"/>
    <w:rsid w:val="007F47F3"/>
    <w:rsid w:val="00801B57"/>
    <w:rsid w:val="00805633"/>
    <w:rsid w:val="00810817"/>
    <w:rsid w:val="0081130D"/>
    <w:rsid w:val="008121A2"/>
    <w:rsid w:val="008141FE"/>
    <w:rsid w:val="00817D60"/>
    <w:rsid w:val="00821DA5"/>
    <w:rsid w:val="00822295"/>
    <w:rsid w:val="0082551A"/>
    <w:rsid w:val="0083543F"/>
    <w:rsid w:val="00841ADA"/>
    <w:rsid w:val="008473CE"/>
    <w:rsid w:val="00855A3F"/>
    <w:rsid w:val="00861B83"/>
    <w:rsid w:val="00862EA5"/>
    <w:rsid w:val="00864CDA"/>
    <w:rsid w:val="00864E54"/>
    <w:rsid w:val="00871D47"/>
    <w:rsid w:val="00873267"/>
    <w:rsid w:val="008764A2"/>
    <w:rsid w:val="00883F9B"/>
    <w:rsid w:val="00885E51"/>
    <w:rsid w:val="008879AA"/>
    <w:rsid w:val="00887D26"/>
    <w:rsid w:val="0089230F"/>
    <w:rsid w:val="00893593"/>
    <w:rsid w:val="008A7C31"/>
    <w:rsid w:val="008B55BB"/>
    <w:rsid w:val="008B744B"/>
    <w:rsid w:val="008B7D1B"/>
    <w:rsid w:val="008C1169"/>
    <w:rsid w:val="008C18B5"/>
    <w:rsid w:val="008C2117"/>
    <w:rsid w:val="008C29B6"/>
    <w:rsid w:val="008C29BB"/>
    <w:rsid w:val="008C58CE"/>
    <w:rsid w:val="008D15E8"/>
    <w:rsid w:val="008D1D45"/>
    <w:rsid w:val="008D430D"/>
    <w:rsid w:val="008D69A4"/>
    <w:rsid w:val="008D720E"/>
    <w:rsid w:val="008E1A03"/>
    <w:rsid w:val="008E64E2"/>
    <w:rsid w:val="008E7949"/>
    <w:rsid w:val="008F46A0"/>
    <w:rsid w:val="008F46AD"/>
    <w:rsid w:val="00902739"/>
    <w:rsid w:val="009051E3"/>
    <w:rsid w:val="00905694"/>
    <w:rsid w:val="00907BB2"/>
    <w:rsid w:val="009102BC"/>
    <w:rsid w:val="009158F0"/>
    <w:rsid w:val="00921B82"/>
    <w:rsid w:val="00921D28"/>
    <w:rsid w:val="0092467F"/>
    <w:rsid w:val="009250A9"/>
    <w:rsid w:val="00934017"/>
    <w:rsid w:val="00934D8D"/>
    <w:rsid w:val="00935358"/>
    <w:rsid w:val="00935CFA"/>
    <w:rsid w:val="00941AAE"/>
    <w:rsid w:val="00947541"/>
    <w:rsid w:val="00961718"/>
    <w:rsid w:val="009617C9"/>
    <w:rsid w:val="00963CA8"/>
    <w:rsid w:val="009650FF"/>
    <w:rsid w:val="009659A9"/>
    <w:rsid w:val="00976096"/>
    <w:rsid w:val="00982232"/>
    <w:rsid w:val="00995698"/>
    <w:rsid w:val="00995D8F"/>
    <w:rsid w:val="0099784C"/>
    <w:rsid w:val="009A20A4"/>
    <w:rsid w:val="009A361E"/>
    <w:rsid w:val="009A3C81"/>
    <w:rsid w:val="009A708B"/>
    <w:rsid w:val="009B6267"/>
    <w:rsid w:val="009B657D"/>
    <w:rsid w:val="009B6F69"/>
    <w:rsid w:val="009C020A"/>
    <w:rsid w:val="009C3520"/>
    <w:rsid w:val="009C5866"/>
    <w:rsid w:val="009C6613"/>
    <w:rsid w:val="009C7845"/>
    <w:rsid w:val="009D5B62"/>
    <w:rsid w:val="009D6A08"/>
    <w:rsid w:val="009D6E05"/>
    <w:rsid w:val="009D73A1"/>
    <w:rsid w:val="009E05E6"/>
    <w:rsid w:val="009E08CC"/>
    <w:rsid w:val="009E2590"/>
    <w:rsid w:val="009E4660"/>
    <w:rsid w:val="009E62D1"/>
    <w:rsid w:val="009E7016"/>
    <w:rsid w:val="009F0D80"/>
    <w:rsid w:val="009F5F3D"/>
    <w:rsid w:val="00A00076"/>
    <w:rsid w:val="00A0020C"/>
    <w:rsid w:val="00A02E20"/>
    <w:rsid w:val="00A05A9E"/>
    <w:rsid w:val="00A11A7F"/>
    <w:rsid w:val="00A12C2B"/>
    <w:rsid w:val="00A131B3"/>
    <w:rsid w:val="00A14029"/>
    <w:rsid w:val="00A213B3"/>
    <w:rsid w:val="00A23504"/>
    <w:rsid w:val="00A24760"/>
    <w:rsid w:val="00A27BCF"/>
    <w:rsid w:val="00A362C4"/>
    <w:rsid w:val="00A4171B"/>
    <w:rsid w:val="00A42001"/>
    <w:rsid w:val="00A43283"/>
    <w:rsid w:val="00A4478C"/>
    <w:rsid w:val="00A45141"/>
    <w:rsid w:val="00A62441"/>
    <w:rsid w:val="00A62F7D"/>
    <w:rsid w:val="00A65728"/>
    <w:rsid w:val="00A67495"/>
    <w:rsid w:val="00A710CB"/>
    <w:rsid w:val="00A72B52"/>
    <w:rsid w:val="00A737EE"/>
    <w:rsid w:val="00A74149"/>
    <w:rsid w:val="00A76684"/>
    <w:rsid w:val="00A86F8B"/>
    <w:rsid w:val="00A8783F"/>
    <w:rsid w:val="00A87EC9"/>
    <w:rsid w:val="00A90226"/>
    <w:rsid w:val="00A90F38"/>
    <w:rsid w:val="00A91199"/>
    <w:rsid w:val="00A95AB9"/>
    <w:rsid w:val="00AA07AA"/>
    <w:rsid w:val="00AA1593"/>
    <w:rsid w:val="00AA19A5"/>
    <w:rsid w:val="00AA49AA"/>
    <w:rsid w:val="00AA4D78"/>
    <w:rsid w:val="00AA7D7B"/>
    <w:rsid w:val="00AB0D97"/>
    <w:rsid w:val="00AB2975"/>
    <w:rsid w:val="00AB312B"/>
    <w:rsid w:val="00AB4A2C"/>
    <w:rsid w:val="00AB6091"/>
    <w:rsid w:val="00AC19D6"/>
    <w:rsid w:val="00AC1B09"/>
    <w:rsid w:val="00AC2E96"/>
    <w:rsid w:val="00AC387C"/>
    <w:rsid w:val="00AC77B8"/>
    <w:rsid w:val="00AD1778"/>
    <w:rsid w:val="00AD1DC0"/>
    <w:rsid w:val="00AD2088"/>
    <w:rsid w:val="00AD42E9"/>
    <w:rsid w:val="00AD477A"/>
    <w:rsid w:val="00AD659F"/>
    <w:rsid w:val="00AE0881"/>
    <w:rsid w:val="00AE1F2B"/>
    <w:rsid w:val="00AF40A8"/>
    <w:rsid w:val="00AF5A4B"/>
    <w:rsid w:val="00B038CF"/>
    <w:rsid w:val="00B0443A"/>
    <w:rsid w:val="00B072BB"/>
    <w:rsid w:val="00B1043F"/>
    <w:rsid w:val="00B142B4"/>
    <w:rsid w:val="00B157A2"/>
    <w:rsid w:val="00B20035"/>
    <w:rsid w:val="00B20D12"/>
    <w:rsid w:val="00B20F52"/>
    <w:rsid w:val="00B21EB8"/>
    <w:rsid w:val="00B227C1"/>
    <w:rsid w:val="00B26153"/>
    <w:rsid w:val="00B2676A"/>
    <w:rsid w:val="00B306D9"/>
    <w:rsid w:val="00B30E88"/>
    <w:rsid w:val="00B323FA"/>
    <w:rsid w:val="00B40D4C"/>
    <w:rsid w:val="00B42CAE"/>
    <w:rsid w:val="00B42E9F"/>
    <w:rsid w:val="00B436A2"/>
    <w:rsid w:val="00B4401D"/>
    <w:rsid w:val="00B476F9"/>
    <w:rsid w:val="00B54AB5"/>
    <w:rsid w:val="00B5541F"/>
    <w:rsid w:val="00B55C19"/>
    <w:rsid w:val="00B569B5"/>
    <w:rsid w:val="00B63468"/>
    <w:rsid w:val="00B72CD3"/>
    <w:rsid w:val="00B75A41"/>
    <w:rsid w:val="00B80FD2"/>
    <w:rsid w:val="00B812D7"/>
    <w:rsid w:val="00B90AE7"/>
    <w:rsid w:val="00B97637"/>
    <w:rsid w:val="00BA0950"/>
    <w:rsid w:val="00BA29B2"/>
    <w:rsid w:val="00BA3178"/>
    <w:rsid w:val="00BA4C82"/>
    <w:rsid w:val="00BB2AB3"/>
    <w:rsid w:val="00BB5689"/>
    <w:rsid w:val="00BB5B5A"/>
    <w:rsid w:val="00BB6E8D"/>
    <w:rsid w:val="00BC039B"/>
    <w:rsid w:val="00BC09CE"/>
    <w:rsid w:val="00BC6F88"/>
    <w:rsid w:val="00BD18B8"/>
    <w:rsid w:val="00BD42E8"/>
    <w:rsid w:val="00BD65FA"/>
    <w:rsid w:val="00BD6E33"/>
    <w:rsid w:val="00BD70E2"/>
    <w:rsid w:val="00BE3791"/>
    <w:rsid w:val="00BE4249"/>
    <w:rsid w:val="00BE65B4"/>
    <w:rsid w:val="00BE73E0"/>
    <w:rsid w:val="00BE7C92"/>
    <w:rsid w:val="00BF1448"/>
    <w:rsid w:val="00BF27AC"/>
    <w:rsid w:val="00BF6A20"/>
    <w:rsid w:val="00BF7963"/>
    <w:rsid w:val="00C009B4"/>
    <w:rsid w:val="00C02A2D"/>
    <w:rsid w:val="00C02E7F"/>
    <w:rsid w:val="00C035F0"/>
    <w:rsid w:val="00C06F52"/>
    <w:rsid w:val="00C11B6E"/>
    <w:rsid w:val="00C159D7"/>
    <w:rsid w:val="00C20E4E"/>
    <w:rsid w:val="00C230C7"/>
    <w:rsid w:val="00C26A66"/>
    <w:rsid w:val="00C321A0"/>
    <w:rsid w:val="00C34619"/>
    <w:rsid w:val="00C43B1D"/>
    <w:rsid w:val="00C467A9"/>
    <w:rsid w:val="00C51581"/>
    <w:rsid w:val="00C52B38"/>
    <w:rsid w:val="00C565B5"/>
    <w:rsid w:val="00C57A6C"/>
    <w:rsid w:val="00C61A54"/>
    <w:rsid w:val="00C62DC3"/>
    <w:rsid w:val="00C62DEB"/>
    <w:rsid w:val="00C632C8"/>
    <w:rsid w:val="00C70C68"/>
    <w:rsid w:val="00C76A28"/>
    <w:rsid w:val="00C777B8"/>
    <w:rsid w:val="00C82C23"/>
    <w:rsid w:val="00C8516A"/>
    <w:rsid w:val="00C86FD8"/>
    <w:rsid w:val="00C97C53"/>
    <w:rsid w:val="00CA59F4"/>
    <w:rsid w:val="00CA655C"/>
    <w:rsid w:val="00CB19A8"/>
    <w:rsid w:val="00CB3278"/>
    <w:rsid w:val="00CB37B6"/>
    <w:rsid w:val="00CB3B15"/>
    <w:rsid w:val="00CB486C"/>
    <w:rsid w:val="00CB4A21"/>
    <w:rsid w:val="00CB566C"/>
    <w:rsid w:val="00CB66DD"/>
    <w:rsid w:val="00CC1F23"/>
    <w:rsid w:val="00CC45F3"/>
    <w:rsid w:val="00CC72D9"/>
    <w:rsid w:val="00CC787D"/>
    <w:rsid w:val="00CD7218"/>
    <w:rsid w:val="00CE00F5"/>
    <w:rsid w:val="00CE06CA"/>
    <w:rsid w:val="00CE381D"/>
    <w:rsid w:val="00CE583B"/>
    <w:rsid w:val="00CF1521"/>
    <w:rsid w:val="00CF2D19"/>
    <w:rsid w:val="00D00A5D"/>
    <w:rsid w:val="00D00E0D"/>
    <w:rsid w:val="00D0337C"/>
    <w:rsid w:val="00D03ED8"/>
    <w:rsid w:val="00D06E9B"/>
    <w:rsid w:val="00D13823"/>
    <w:rsid w:val="00D14459"/>
    <w:rsid w:val="00D14CF9"/>
    <w:rsid w:val="00D22486"/>
    <w:rsid w:val="00D253AC"/>
    <w:rsid w:val="00D26965"/>
    <w:rsid w:val="00D26C30"/>
    <w:rsid w:val="00D31CAB"/>
    <w:rsid w:val="00D32198"/>
    <w:rsid w:val="00D33A1A"/>
    <w:rsid w:val="00D34ACC"/>
    <w:rsid w:val="00D365B1"/>
    <w:rsid w:val="00D45D0E"/>
    <w:rsid w:val="00D47D4A"/>
    <w:rsid w:val="00D53ACA"/>
    <w:rsid w:val="00D623CD"/>
    <w:rsid w:val="00D62553"/>
    <w:rsid w:val="00D62625"/>
    <w:rsid w:val="00D6353A"/>
    <w:rsid w:val="00D6460C"/>
    <w:rsid w:val="00D648C4"/>
    <w:rsid w:val="00D650EC"/>
    <w:rsid w:val="00D70268"/>
    <w:rsid w:val="00D70C0F"/>
    <w:rsid w:val="00D7260A"/>
    <w:rsid w:val="00D72C9F"/>
    <w:rsid w:val="00D72D11"/>
    <w:rsid w:val="00D72DA2"/>
    <w:rsid w:val="00D817DE"/>
    <w:rsid w:val="00D8189A"/>
    <w:rsid w:val="00D90A7B"/>
    <w:rsid w:val="00D96266"/>
    <w:rsid w:val="00D96340"/>
    <w:rsid w:val="00D96CB0"/>
    <w:rsid w:val="00DA2928"/>
    <w:rsid w:val="00DA799A"/>
    <w:rsid w:val="00DB247A"/>
    <w:rsid w:val="00DB3EB2"/>
    <w:rsid w:val="00DB6D04"/>
    <w:rsid w:val="00DB7566"/>
    <w:rsid w:val="00DC0890"/>
    <w:rsid w:val="00DC0ED0"/>
    <w:rsid w:val="00DC2B05"/>
    <w:rsid w:val="00DC2B8E"/>
    <w:rsid w:val="00DC7F79"/>
    <w:rsid w:val="00DD64C9"/>
    <w:rsid w:val="00DD7E4F"/>
    <w:rsid w:val="00DE2D72"/>
    <w:rsid w:val="00DE311A"/>
    <w:rsid w:val="00DE3C2A"/>
    <w:rsid w:val="00DE5510"/>
    <w:rsid w:val="00DE63ED"/>
    <w:rsid w:val="00DF3CCB"/>
    <w:rsid w:val="00DF54CD"/>
    <w:rsid w:val="00DF5C20"/>
    <w:rsid w:val="00DF71D1"/>
    <w:rsid w:val="00DF7E4C"/>
    <w:rsid w:val="00E004AB"/>
    <w:rsid w:val="00E04E72"/>
    <w:rsid w:val="00E0794E"/>
    <w:rsid w:val="00E171D1"/>
    <w:rsid w:val="00E17ADB"/>
    <w:rsid w:val="00E21384"/>
    <w:rsid w:val="00E21BBD"/>
    <w:rsid w:val="00E23C07"/>
    <w:rsid w:val="00E261C4"/>
    <w:rsid w:val="00E27837"/>
    <w:rsid w:val="00E27F75"/>
    <w:rsid w:val="00E27F99"/>
    <w:rsid w:val="00E32B70"/>
    <w:rsid w:val="00E34BBB"/>
    <w:rsid w:val="00E355BD"/>
    <w:rsid w:val="00E41FC5"/>
    <w:rsid w:val="00E47192"/>
    <w:rsid w:val="00E507A2"/>
    <w:rsid w:val="00E52119"/>
    <w:rsid w:val="00E54995"/>
    <w:rsid w:val="00E55F37"/>
    <w:rsid w:val="00E60582"/>
    <w:rsid w:val="00E6070E"/>
    <w:rsid w:val="00E64D91"/>
    <w:rsid w:val="00E65940"/>
    <w:rsid w:val="00E66DB1"/>
    <w:rsid w:val="00E723E4"/>
    <w:rsid w:val="00E761FE"/>
    <w:rsid w:val="00E80609"/>
    <w:rsid w:val="00E83F7F"/>
    <w:rsid w:val="00E853AD"/>
    <w:rsid w:val="00E92EA8"/>
    <w:rsid w:val="00E95BDA"/>
    <w:rsid w:val="00EA09B6"/>
    <w:rsid w:val="00EA2F47"/>
    <w:rsid w:val="00EA39A5"/>
    <w:rsid w:val="00EA4966"/>
    <w:rsid w:val="00EA4B1B"/>
    <w:rsid w:val="00EB16AE"/>
    <w:rsid w:val="00EB2341"/>
    <w:rsid w:val="00EB4D6D"/>
    <w:rsid w:val="00EB66F2"/>
    <w:rsid w:val="00EB7AB5"/>
    <w:rsid w:val="00EC00FC"/>
    <w:rsid w:val="00EC48CB"/>
    <w:rsid w:val="00ED235A"/>
    <w:rsid w:val="00EE2B59"/>
    <w:rsid w:val="00EE539E"/>
    <w:rsid w:val="00EE5684"/>
    <w:rsid w:val="00EE6B68"/>
    <w:rsid w:val="00EE75F2"/>
    <w:rsid w:val="00EE7CA1"/>
    <w:rsid w:val="00EF0384"/>
    <w:rsid w:val="00EF067C"/>
    <w:rsid w:val="00EF12C8"/>
    <w:rsid w:val="00EF12D3"/>
    <w:rsid w:val="00EF584C"/>
    <w:rsid w:val="00EF7BD1"/>
    <w:rsid w:val="00F037DD"/>
    <w:rsid w:val="00F06C98"/>
    <w:rsid w:val="00F172B2"/>
    <w:rsid w:val="00F23A3D"/>
    <w:rsid w:val="00F24837"/>
    <w:rsid w:val="00F25A25"/>
    <w:rsid w:val="00F31A0E"/>
    <w:rsid w:val="00F33353"/>
    <w:rsid w:val="00F406F2"/>
    <w:rsid w:val="00F45DA8"/>
    <w:rsid w:val="00F52D0A"/>
    <w:rsid w:val="00F52E1E"/>
    <w:rsid w:val="00F5605D"/>
    <w:rsid w:val="00F57909"/>
    <w:rsid w:val="00F60079"/>
    <w:rsid w:val="00F60CB7"/>
    <w:rsid w:val="00F642E4"/>
    <w:rsid w:val="00F66458"/>
    <w:rsid w:val="00F700A0"/>
    <w:rsid w:val="00F72593"/>
    <w:rsid w:val="00F7663A"/>
    <w:rsid w:val="00F80F6E"/>
    <w:rsid w:val="00F8141D"/>
    <w:rsid w:val="00F86F43"/>
    <w:rsid w:val="00F9015A"/>
    <w:rsid w:val="00F90EA9"/>
    <w:rsid w:val="00F923F1"/>
    <w:rsid w:val="00F938D2"/>
    <w:rsid w:val="00F93CE2"/>
    <w:rsid w:val="00F9608B"/>
    <w:rsid w:val="00F9710A"/>
    <w:rsid w:val="00FA05ED"/>
    <w:rsid w:val="00FA435E"/>
    <w:rsid w:val="00FA524C"/>
    <w:rsid w:val="00FB1B78"/>
    <w:rsid w:val="00FB4BD9"/>
    <w:rsid w:val="00FC0BE2"/>
    <w:rsid w:val="00FC1A78"/>
    <w:rsid w:val="00FC5433"/>
    <w:rsid w:val="00FC6254"/>
    <w:rsid w:val="00FC713F"/>
    <w:rsid w:val="00FD066C"/>
    <w:rsid w:val="00FD1589"/>
    <w:rsid w:val="00FD389D"/>
    <w:rsid w:val="00FD6CBC"/>
    <w:rsid w:val="00FD7BD8"/>
    <w:rsid w:val="00FD7E21"/>
    <w:rsid w:val="00FE2F81"/>
    <w:rsid w:val="00FE482F"/>
    <w:rsid w:val="00FE7EAE"/>
    <w:rsid w:val="00FF5FDE"/>
    <w:rsid w:val="00FF6D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12B"/>
    <w:pPr>
      <w:spacing w:after="200" w:line="276" w:lineRule="auto"/>
    </w:pPr>
    <w:rPr>
      <w:sz w:val="22"/>
      <w:szCs w:val="22"/>
      <w:lang w:val="es-CR" w:eastAsia="en-US"/>
    </w:rPr>
  </w:style>
  <w:style w:type="paragraph" w:styleId="Ttulo1">
    <w:name w:val="heading 1"/>
    <w:basedOn w:val="Normal"/>
    <w:next w:val="Normal"/>
    <w:link w:val="Ttulo1Car"/>
    <w:qFormat/>
    <w:rsid w:val="00A27BCF"/>
    <w:pPr>
      <w:keepNext/>
      <w:spacing w:after="0" w:line="240" w:lineRule="auto"/>
      <w:outlineLvl w:val="0"/>
    </w:pPr>
    <w:rPr>
      <w:rFonts w:ascii="Garamond" w:eastAsia="Times" w:hAnsi="Garamond"/>
      <w:i/>
      <w:sz w:val="24"/>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75315F"/>
    <w:pPr>
      <w:spacing w:after="0" w:line="240" w:lineRule="auto"/>
    </w:pPr>
    <w:rPr>
      <w:sz w:val="20"/>
      <w:szCs w:val="20"/>
      <w:lang w:val="x-none"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75315F"/>
    <w:rPr>
      <w:sz w:val="20"/>
      <w:szCs w:val="20"/>
    </w:rPr>
  </w:style>
  <w:style w:type="paragraph" w:styleId="Encabezado">
    <w:name w:val="header"/>
    <w:basedOn w:val="Normal"/>
    <w:link w:val="EncabezadoCar"/>
    <w:uiPriority w:val="99"/>
    <w:unhideWhenUsed/>
    <w:rsid w:val="007531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315F"/>
  </w:style>
  <w:style w:type="paragraph" w:styleId="Piedepgina">
    <w:name w:val="footer"/>
    <w:basedOn w:val="Normal"/>
    <w:link w:val="PiedepginaCar"/>
    <w:uiPriority w:val="99"/>
    <w:unhideWhenUsed/>
    <w:rsid w:val="007531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315F"/>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75315F"/>
    <w:rPr>
      <w:vertAlign w:val="superscript"/>
    </w:rPr>
  </w:style>
  <w:style w:type="character" w:styleId="Nmerodepgina">
    <w:name w:val="page number"/>
    <w:basedOn w:val="Fuentedeprrafopredeter"/>
    <w:uiPriority w:val="99"/>
    <w:rsid w:val="0075315F"/>
  </w:style>
  <w:style w:type="paragraph" w:styleId="Textonotaalfinal">
    <w:name w:val="endnote text"/>
    <w:basedOn w:val="Normal"/>
    <w:link w:val="TextonotaalfinalCar"/>
    <w:uiPriority w:val="99"/>
    <w:semiHidden/>
    <w:unhideWhenUsed/>
    <w:rsid w:val="00902739"/>
    <w:pPr>
      <w:spacing w:after="0" w:line="240" w:lineRule="auto"/>
    </w:pPr>
    <w:rPr>
      <w:sz w:val="20"/>
      <w:szCs w:val="20"/>
      <w:lang w:val="x-none" w:eastAsia="x-none"/>
    </w:rPr>
  </w:style>
  <w:style w:type="character" w:customStyle="1" w:styleId="TextonotaalfinalCar">
    <w:name w:val="Texto nota al final Car"/>
    <w:link w:val="Textonotaalfinal"/>
    <w:uiPriority w:val="99"/>
    <w:semiHidden/>
    <w:rsid w:val="00902739"/>
    <w:rPr>
      <w:sz w:val="20"/>
      <w:szCs w:val="20"/>
    </w:rPr>
  </w:style>
  <w:style w:type="character" w:styleId="Refdenotaalfinal">
    <w:name w:val="endnote reference"/>
    <w:uiPriority w:val="99"/>
    <w:semiHidden/>
    <w:unhideWhenUsed/>
    <w:rsid w:val="00902739"/>
    <w:rPr>
      <w:vertAlign w:val="superscript"/>
    </w:rPr>
  </w:style>
  <w:style w:type="paragraph" w:styleId="Prrafodelista">
    <w:name w:val="List Paragraph"/>
    <w:aliases w:val="Footnote,Colorful List - Accent 11"/>
    <w:basedOn w:val="Normal"/>
    <w:link w:val="PrrafodelistaCar"/>
    <w:uiPriority w:val="34"/>
    <w:qFormat/>
    <w:rsid w:val="00A45141"/>
    <w:pPr>
      <w:ind w:left="720"/>
      <w:contextualSpacing/>
    </w:pPr>
  </w:style>
  <w:style w:type="character" w:customStyle="1" w:styleId="FootnoteCharacters">
    <w:name w:val="Footnote Characters"/>
    <w:rsid w:val="00805633"/>
    <w:rPr>
      <w:sz w:val="20"/>
      <w:vertAlign w:val="superscript"/>
    </w:rPr>
  </w:style>
  <w:style w:type="paragraph" w:customStyle="1" w:styleId="Prrafodelista2">
    <w:name w:val="Párrafo de lista2"/>
    <w:basedOn w:val="Normal"/>
    <w:uiPriority w:val="99"/>
    <w:rsid w:val="00A23504"/>
    <w:pPr>
      <w:spacing w:after="0" w:line="240" w:lineRule="auto"/>
      <w:ind w:left="720"/>
    </w:pPr>
    <w:rPr>
      <w:rFonts w:ascii="Verdana" w:eastAsia="MS Mincho" w:hAnsi="Verdana" w:cs="Verdana"/>
      <w:sz w:val="20"/>
      <w:szCs w:val="20"/>
      <w:lang w:val="es-ES_tradnl"/>
    </w:rPr>
  </w:style>
  <w:style w:type="paragraph" w:styleId="NormalWeb">
    <w:name w:val="Normal (Web)"/>
    <w:basedOn w:val="Normal"/>
    <w:uiPriority w:val="99"/>
    <w:semiHidden/>
    <w:unhideWhenUsed/>
    <w:rsid w:val="00043A38"/>
    <w:rPr>
      <w:rFonts w:ascii="Times New Roman" w:hAnsi="Times New Roman"/>
      <w:sz w:val="24"/>
      <w:szCs w:val="24"/>
    </w:rPr>
  </w:style>
  <w:style w:type="character" w:customStyle="1" w:styleId="FootnoteTextChar3">
    <w:name w:val="Footnote Text Char3"/>
    <w:aliases w:val="Footnote Text Char Char Char Char Char Char3,Footnote Text Char Char Char Char Char4,Footnote reference Char3,FA Fu Char3,Footnote Text Char Char Char Char4,Footnote Text Cha Char3,FA Fußnotentext Char3,FA Fuﬂnotentext Char3,Ca Char3"/>
    <w:uiPriority w:val="99"/>
    <w:rsid w:val="00EF12D3"/>
    <w:rPr>
      <w:rFonts w:ascii="Verdana" w:eastAsia="Times New Roman" w:hAnsi="Verdana" w:cs="Verdana"/>
      <w:sz w:val="16"/>
      <w:szCs w:val="16"/>
      <w:lang w:val="es-ES_tradnl"/>
    </w:rPr>
  </w:style>
  <w:style w:type="character" w:customStyle="1" w:styleId="PrrafodelistaCar">
    <w:name w:val="Párrafo de lista Car"/>
    <w:aliases w:val="Footnote Car,Colorful List - Accent 11 Car"/>
    <w:basedOn w:val="Fuentedeprrafopredeter"/>
    <w:link w:val="Prrafodelista"/>
    <w:uiPriority w:val="34"/>
    <w:rsid w:val="00EF12D3"/>
  </w:style>
  <w:style w:type="character" w:customStyle="1" w:styleId="ListParagraphChar1">
    <w:name w:val="List Paragraph Char1"/>
    <w:uiPriority w:val="34"/>
    <w:rsid w:val="00EE7CA1"/>
    <w:rPr>
      <w:rFonts w:ascii="Verdana" w:eastAsia="Times New Roman" w:hAnsi="Verdana" w:cs="Verdana"/>
      <w:sz w:val="20"/>
      <w:szCs w:val="20"/>
      <w:lang w:val="es-ES_tradnl"/>
    </w:rPr>
  </w:style>
  <w:style w:type="character" w:customStyle="1" w:styleId="apple-converted-space">
    <w:name w:val="apple-converted-space"/>
    <w:basedOn w:val="Fuentedeprrafopredeter"/>
    <w:rsid w:val="00A90F38"/>
  </w:style>
  <w:style w:type="paragraph" w:styleId="Textodeglobo">
    <w:name w:val="Balloon Text"/>
    <w:basedOn w:val="Normal"/>
    <w:link w:val="TextodegloboCar"/>
    <w:uiPriority w:val="99"/>
    <w:semiHidden/>
    <w:unhideWhenUsed/>
    <w:rsid w:val="00C02E7F"/>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C02E7F"/>
    <w:rPr>
      <w:rFonts w:ascii="Tahoma" w:hAnsi="Tahoma" w:cs="Tahoma"/>
      <w:sz w:val="16"/>
      <w:szCs w:val="16"/>
    </w:rPr>
  </w:style>
  <w:style w:type="character" w:styleId="Hipervnculo">
    <w:name w:val="Hyperlink"/>
    <w:rsid w:val="00CC72D9"/>
    <w:rPr>
      <w:strike w:val="0"/>
      <w:dstrike w:val="0"/>
      <w:color w:val="FFFFFF"/>
      <w:u w:val="none"/>
      <w:effect w:val="none"/>
    </w:rPr>
  </w:style>
  <w:style w:type="paragraph" w:customStyle="1" w:styleId="Textoindependiente1">
    <w:name w:val="Texto independiente1"/>
    <w:basedOn w:val="Normal"/>
    <w:rsid w:val="00E23C07"/>
    <w:pPr>
      <w:widowControl w:val="0"/>
      <w:spacing w:after="0" w:line="240" w:lineRule="auto"/>
      <w:jc w:val="both"/>
    </w:pPr>
    <w:rPr>
      <w:rFonts w:ascii="New York" w:eastAsia="Times New Roman" w:hAnsi="New York"/>
      <w:sz w:val="24"/>
      <w:szCs w:val="20"/>
      <w:lang w:val="es-ES_tradnl"/>
    </w:rPr>
  </w:style>
  <w:style w:type="character" w:styleId="Nmerodelnea">
    <w:name w:val="line number"/>
    <w:uiPriority w:val="99"/>
    <w:unhideWhenUsed/>
    <w:rsid w:val="00006243"/>
    <w:rPr>
      <w:rFonts w:ascii="Verdana" w:hAnsi="Verdana"/>
      <w:sz w:val="18"/>
    </w:rPr>
  </w:style>
  <w:style w:type="table" w:styleId="Tablaconcuadrcula">
    <w:name w:val="Table Grid"/>
    <w:basedOn w:val="Tablanormal"/>
    <w:uiPriority w:val="59"/>
    <w:rsid w:val="00EA4B1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376766"/>
    <w:rPr>
      <w:sz w:val="16"/>
      <w:szCs w:val="16"/>
    </w:rPr>
  </w:style>
  <w:style w:type="paragraph" w:styleId="Textocomentario">
    <w:name w:val="annotation text"/>
    <w:basedOn w:val="Normal"/>
    <w:link w:val="TextocomentarioCar"/>
    <w:uiPriority w:val="99"/>
    <w:semiHidden/>
    <w:unhideWhenUsed/>
    <w:rsid w:val="00376766"/>
    <w:pPr>
      <w:spacing w:line="240" w:lineRule="auto"/>
    </w:pPr>
    <w:rPr>
      <w:sz w:val="20"/>
      <w:szCs w:val="20"/>
      <w:lang w:val="x-none" w:eastAsia="x-none"/>
    </w:rPr>
  </w:style>
  <w:style w:type="character" w:customStyle="1" w:styleId="TextocomentarioCar">
    <w:name w:val="Texto comentario Car"/>
    <w:link w:val="Textocomentario"/>
    <w:uiPriority w:val="99"/>
    <w:semiHidden/>
    <w:rsid w:val="00376766"/>
    <w:rPr>
      <w:sz w:val="20"/>
      <w:szCs w:val="20"/>
    </w:rPr>
  </w:style>
  <w:style w:type="paragraph" w:styleId="Asuntodelcomentario">
    <w:name w:val="annotation subject"/>
    <w:basedOn w:val="Textocomentario"/>
    <w:next w:val="Textocomentario"/>
    <w:link w:val="AsuntodelcomentarioCar"/>
    <w:uiPriority w:val="99"/>
    <w:semiHidden/>
    <w:unhideWhenUsed/>
    <w:rsid w:val="00376766"/>
    <w:rPr>
      <w:b/>
      <w:bCs/>
    </w:rPr>
  </w:style>
  <w:style w:type="character" w:customStyle="1" w:styleId="AsuntodelcomentarioCar">
    <w:name w:val="Asunto del comentario Car"/>
    <w:link w:val="Asuntodelcomentario"/>
    <w:uiPriority w:val="99"/>
    <w:semiHidden/>
    <w:rsid w:val="00376766"/>
    <w:rPr>
      <w:b/>
      <w:bCs/>
      <w:sz w:val="20"/>
      <w:szCs w:val="20"/>
    </w:rPr>
  </w:style>
  <w:style w:type="character" w:styleId="Hipervnculovisitado">
    <w:name w:val="FollowedHyperlink"/>
    <w:uiPriority w:val="99"/>
    <w:semiHidden/>
    <w:unhideWhenUsed/>
    <w:rsid w:val="00DB247A"/>
    <w:rPr>
      <w:color w:val="800080"/>
      <w:u w:val="single"/>
    </w:rPr>
  </w:style>
  <w:style w:type="character" w:customStyle="1" w:styleId="Ttulo1Car">
    <w:name w:val="Título 1 Car"/>
    <w:link w:val="Ttulo1"/>
    <w:rsid w:val="00A27BCF"/>
    <w:rPr>
      <w:rFonts w:ascii="Garamond" w:eastAsia="Times" w:hAnsi="Garamond" w:cs="Times New Roman"/>
      <w:i/>
      <w:sz w:val="24"/>
      <w:szCs w:val="20"/>
      <w:lang w:val="es-ES_tradnl"/>
    </w:rPr>
  </w:style>
  <w:style w:type="paragraph" w:customStyle="1" w:styleId="citaindirecta">
    <w:name w:val="cita indirecta"/>
    <w:basedOn w:val="Normal"/>
    <w:rsid w:val="003C67B7"/>
    <w:pPr>
      <w:spacing w:after="0" w:line="240" w:lineRule="auto"/>
      <w:ind w:left="708"/>
      <w:jc w:val="both"/>
    </w:pPr>
    <w:rPr>
      <w:rFonts w:ascii="Verdana" w:eastAsia="Times New Roman" w:hAnsi="Verdana"/>
      <w:sz w:val="20"/>
      <w:szCs w:val="20"/>
      <w:lang w:val="es-ES_tradnl"/>
    </w:rPr>
  </w:style>
  <w:style w:type="paragraph" w:customStyle="1" w:styleId="Default">
    <w:name w:val="Default"/>
    <w:rsid w:val="00CE583B"/>
    <w:pPr>
      <w:autoSpaceDE w:val="0"/>
      <w:autoSpaceDN w:val="0"/>
      <w:adjustRightInd w:val="0"/>
    </w:pPr>
    <w:rPr>
      <w:rFonts w:ascii="Cambria" w:hAnsi="Cambria" w:cs="Cambria"/>
      <w:color w:val="000000"/>
      <w:sz w:val="24"/>
      <w:szCs w:val="24"/>
      <w:lang w:val="es-CR" w:eastAsia="es-CR"/>
    </w:rPr>
  </w:style>
  <w:style w:type="character" w:styleId="Textoennegrita">
    <w:name w:val="Strong"/>
    <w:uiPriority w:val="22"/>
    <w:qFormat/>
    <w:rsid w:val="00123F96"/>
    <w:rPr>
      <w:b/>
      <w:bCs/>
    </w:rPr>
  </w:style>
  <w:style w:type="paragraph" w:styleId="Revisin">
    <w:name w:val="Revision"/>
    <w:hidden/>
    <w:uiPriority w:val="99"/>
    <w:semiHidden/>
    <w:rsid w:val="008D1D45"/>
    <w:rPr>
      <w:sz w:val="22"/>
      <w:szCs w:val="22"/>
      <w:lang w:val="es-C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4223">
      <w:bodyDiv w:val="1"/>
      <w:marLeft w:val="0"/>
      <w:marRight w:val="0"/>
      <w:marTop w:val="0"/>
      <w:marBottom w:val="0"/>
      <w:divBdr>
        <w:top w:val="none" w:sz="0" w:space="0" w:color="auto"/>
        <w:left w:val="none" w:sz="0" w:space="0" w:color="auto"/>
        <w:bottom w:val="none" w:sz="0" w:space="0" w:color="auto"/>
        <w:right w:val="none" w:sz="0" w:space="0" w:color="auto"/>
      </w:divBdr>
    </w:div>
    <w:div w:id="536937140">
      <w:bodyDiv w:val="1"/>
      <w:marLeft w:val="0"/>
      <w:marRight w:val="0"/>
      <w:marTop w:val="0"/>
      <w:marBottom w:val="0"/>
      <w:divBdr>
        <w:top w:val="none" w:sz="0" w:space="0" w:color="auto"/>
        <w:left w:val="none" w:sz="0" w:space="0" w:color="auto"/>
        <w:bottom w:val="none" w:sz="0" w:space="0" w:color="auto"/>
        <w:right w:val="none" w:sz="0" w:space="0" w:color="auto"/>
      </w:divBdr>
    </w:div>
    <w:div w:id="913471650">
      <w:bodyDiv w:val="1"/>
      <w:marLeft w:val="0"/>
      <w:marRight w:val="0"/>
      <w:marTop w:val="0"/>
      <w:marBottom w:val="0"/>
      <w:divBdr>
        <w:top w:val="none" w:sz="0" w:space="0" w:color="auto"/>
        <w:left w:val="none" w:sz="0" w:space="0" w:color="auto"/>
        <w:bottom w:val="none" w:sz="0" w:space="0" w:color="auto"/>
        <w:right w:val="none" w:sz="0" w:space="0" w:color="auto"/>
      </w:divBdr>
    </w:div>
    <w:div w:id="1191068325">
      <w:bodyDiv w:val="1"/>
      <w:marLeft w:val="0"/>
      <w:marRight w:val="0"/>
      <w:marTop w:val="0"/>
      <w:marBottom w:val="0"/>
      <w:divBdr>
        <w:top w:val="none" w:sz="0" w:space="0" w:color="auto"/>
        <w:left w:val="none" w:sz="0" w:space="0" w:color="auto"/>
        <w:bottom w:val="none" w:sz="0" w:space="0" w:color="auto"/>
        <w:right w:val="none" w:sz="0" w:space="0" w:color="auto"/>
      </w:divBdr>
    </w:div>
    <w:div w:id="146939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joomla.corteidh.or.cr:8080/joomla/es/jurisprudencia-oc/38-jurisprudencia/896-corte-idh-caso-escher-y-otros-vs-brasil-interpretacion-de-la-sentencia-de-excepciones-preliminares-fondo-reparaciones-y-costas-sentencia-de-20-de-noviembre-de-2009-serie-c-no-20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2253</Words>
  <Characters>12393</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14617</CharactersWithSpaces>
  <SharedDoc>false</SharedDoc>
  <HLinks>
    <vt:vector size="6" baseType="variant">
      <vt:variant>
        <vt:i4>3211380</vt:i4>
      </vt:variant>
      <vt:variant>
        <vt:i4>0</vt:i4>
      </vt:variant>
      <vt:variant>
        <vt:i4>0</vt:i4>
      </vt:variant>
      <vt:variant>
        <vt:i4>5</vt:i4>
      </vt:variant>
      <vt:variant>
        <vt:lpwstr>http://joomla.corteidh.or.cr:8080/joomla/es/jurisprudencia-oc/38-jurisprudencia/896-corte-idh-caso-escher-y-otros-vs-brasil-interpretacion-de-la-sentencia-de-excepciones-preliminares-fondo-reparaciones-y-costas-sentencia-de-20-de-noviembre-de-2009-serie-c-no-208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2017-05-23T22:43:00Z</cp:lastPrinted>
  <dcterms:created xsi:type="dcterms:W3CDTF">2017-05-23T22:43:00Z</dcterms:created>
  <dcterms:modified xsi:type="dcterms:W3CDTF">2017-05-23T22:43:00Z</dcterms:modified>
</cp:coreProperties>
</file>