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01" w:rsidRPr="002B6099" w:rsidRDefault="008F5901" w:rsidP="003C14FB">
      <w:pPr>
        <w:jc w:val="center"/>
        <w:rPr>
          <w:rFonts w:eastAsia="Times New Roman" w:cs="Verdana"/>
          <w:b/>
          <w:bCs/>
          <w:caps/>
          <w:snapToGrid w:val="0"/>
          <w:lang w:val="es-CR" w:eastAsia="es-ES"/>
        </w:rPr>
      </w:pPr>
      <w:bookmarkStart w:id="0" w:name="_GoBack"/>
      <w:bookmarkEnd w:id="0"/>
      <w:r w:rsidRPr="002B6099">
        <w:rPr>
          <w:rFonts w:eastAsia="Times New Roman" w:cs="Verdana"/>
          <w:b/>
          <w:bCs/>
          <w:caps/>
          <w:snapToGrid w:val="0"/>
          <w:lang w:val="es-CR" w:eastAsia="es-ES"/>
        </w:rPr>
        <w:t>Corte Interamericana de Derechos Humanos</w:t>
      </w:r>
    </w:p>
    <w:p w:rsidR="008F5901" w:rsidRDefault="008F5901" w:rsidP="003C14FB">
      <w:pPr>
        <w:jc w:val="center"/>
        <w:rPr>
          <w:rFonts w:eastAsia="Times New Roman" w:cs="Verdana"/>
          <w:b/>
          <w:bCs/>
          <w:caps/>
          <w:snapToGrid w:val="0"/>
          <w:lang w:val="es-CR" w:eastAsia="es-ES"/>
        </w:rPr>
      </w:pPr>
      <w:r w:rsidRPr="002B6099">
        <w:rPr>
          <w:rFonts w:eastAsia="Times New Roman" w:cs="Verdana"/>
          <w:b/>
          <w:bCs/>
          <w:caps/>
          <w:snapToGrid w:val="0"/>
          <w:lang w:val="es-CR" w:eastAsia="es-ES"/>
        </w:rPr>
        <w:t xml:space="preserve"> </w:t>
      </w:r>
    </w:p>
    <w:p w:rsidR="008F5901" w:rsidRPr="002B6099" w:rsidRDefault="008F5901" w:rsidP="003C14FB">
      <w:pPr>
        <w:jc w:val="center"/>
        <w:rPr>
          <w:rFonts w:eastAsia="Times New Roman" w:cs="Verdana"/>
          <w:b/>
          <w:bCs/>
          <w:caps/>
          <w:snapToGrid w:val="0"/>
          <w:lang w:val="es-CR" w:eastAsia="es-ES"/>
        </w:rPr>
      </w:pPr>
    </w:p>
    <w:p w:rsidR="008F5901" w:rsidRDefault="008F5901" w:rsidP="00E41F49">
      <w:pPr>
        <w:jc w:val="center"/>
        <w:rPr>
          <w:rFonts w:eastAsia="Times New Roman" w:cs="Verdana"/>
          <w:b/>
          <w:bCs/>
          <w:caps/>
          <w:snapToGrid w:val="0"/>
          <w:lang w:val="es-CR" w:eastAsia="es-ES"/>
        </w:rPr>
      </w:pPr>
      <w:r w:rsidRPr="002B6099">
        <w:rPr>
          <w:rFonts w:eastAsia="Times New Roman" w:cs="Verdana"/>
          <w:b/>
          <w:bCs/>
          <w:caps/>
          <w:snapToGrid w:val="0"/>
          <w:lang w:val="es-CR" w:eastAsia="es-ES"/>
        </w:rPr>
        <w:t xml:space="preserve">Caso </w:t>
      </w:r>
      <w:r w:rsidR="00081B54">
        <w:rPr>
          <w:rFonts w:eastAsia="Times New Roman" w:cs="Verdana"/>
          <w:b/>
          <w:bCs/>
          <w:caps/>
          <w:snapToGrid w:val="0"/>
          <w:lang w:val="es-CR" w:eastAsia="es-ES"/>
        </w:rPr>
        <w:t>Atala Riffo y niñas</w:t>
      </w:r>
      <w:r w:rsidRPr="002B6099">
        <w:rPr>
          <w:rFonts w:eastAsia="Times New Roman" w:cs="Verdana"/>
          <w:b/>
          <w:bCs/>
          <w:caps/>
          <w:snapToGrid w:val="0"/>
          <w:lang w:val="es-CR" w:eastAsia="es-ES"/>
        </w:rPr>
        <w:t xml:space="preserve"> </w:t>
      </w:r>
      <w:r w:rsidRPr="002B6099">
        <w:rPr>
          <w:rFonts w:eastAsia="Times New Roman" w:cs="Verdana"/>
          <w:b/>
          <w:bCs/>
          <w:i/>
          <w:caps/>
          <w:snapToGrid w:val="0"/>
          <w:lang w:val="es-CR" w:eastAsia="es-ES"/>
        </w:rPr>
        <w:t>Vs.</w:t>
      </w:r>
      <w:r w:rsidR="00081B54">
        <w:rPr>
          <w:rFonts w:eastAsia="Times New Roman" w:cs="Verdana"/>
          <w:b/>
          <w:bCs/>
          <w:caps/>
          <w:snapToGrid w:val="0"/>
          <w:lang w:val="es-CR" w:eastAsia="es-ES"/>
        </w:rPr>
        <w:t xml:space="preserve"> chile</w:t>
      </w:r>
    </w:p>
    <w:p w:rsidR="008F5901" w:rsidRDefault="008F5901" w:rsidP="003C14FB">
      <w:pPr>
        <w:jc w:val="center"/>
        <w:rPr>
          <w:rFonts w:eastAsia="Times New Roman" w:cs="Verdana"/>
          <w:b/>
          <w:bCs/>
          <w:caps/>
          <w:snapToGrid w:val="0"/>
          <w:lang w:val="es-CR" w:eastAsia="es-ES"/>
        </w:rPr>
      </w:pPr>
    </w:p>
    <w:p w:rsidR="008F5901" w:rsidRDefault="008F5901" w:rsidP="003C14FB">
      <w:pPr>
        <w:jc w:val="center"/>
        <w:rPr>
          <w:rFonts w:eastAsia="Times New Roman" w:cs="Verdana"/>
          <w:b/>
          <w:bCs/>
          <w:caps/>
          <w:snapToGrid w:val="0"/>
          <w:lang w:val="es-CR" w:eastAsia="es-ES"/>
        </w:rPr>
      </w:pPr>
    </w:p>
    <w:p w:rsidR="008F5901" w:rsidRPr="002B6099" w:rsidRDefault="008F5901" w:rsidP="003C14FB">
      <w:pPr>
        <w:jc w:val="center"/>
        <w:rPr>
          <w:rFonts w:eastAsia="Times New Roman" w:cs="Verdana"/>
          <w:b/>
          <w:bCs/>
          <w:caps/>
          <w:snapToGrid w:val="0"/>
          <w:lang w:val="es-CR" w:eastAsia="es-ES"/>
        </w:rPr>
      </w:pPr>
    </w:p>
    <w:p w:rsidR="008F5901" w:rsidRPr="002B6099" w:rsidRDefault="008F5901" w:rsidP="003C14FB">
      <w:pPr>
        <w:jc w:val="center"/>
        <w:rPr>
          <w:rFonts w:eastAsia="Times New Roman" w:cs="Verdana"/>
          <w:b/>
          <w:bCs/>
          <w:caps/>
          <w:snapToGrid w:val="0"/>
          <w:lang w:val="es-CR" w:eastAsia="es-ES"/>
        </w:rPr>
      </w:pPr>
      <w:r w:rsidRPr="002B6099">
        <w:rPr>
          <w:rFonts w:eastAsia="Times New Roman" w:cs="Verdana"/>
          <w:b/>
          <w:bCs/>
          <w:caps/>
          <w:snapToGrid w:val="0"/>
          <w:lang w:val="es-CR" w:eastAsia="es-ES"/>
        </w:rPr>
        <w:t xml:space="preserve">Sentencia de </w:t>
      </w:r>
      <w:r w:rsidR="00D07D32">
        <w:rPr>
          <w:rFonts w:eastAsia="Times New Roman" w:cs="Verdana"/>
          <w:b/>
          <w:bCs/>
          <w:caps/>
          <w:snapToGrid w:val="0"/>
          <w:lang w:val="es-CR" w:eastAsia="es-ES"/>
        </w:rPr>
        <w:t>21</w:t>
      </w:r>
      <w:r w:rsidRPr="002B6099">
        <w:rPr>
          <w:rFonts w:eastAsia="Times New Roman" w:cs="Verdana"/>
          <w:b/>
          <w:bCs/>
          <w:caps/>
          <w:snapToGrid w:val="0"/>
          <w:lang w:val="es-CR" w:eastAsia="es-ES"/>
        </w:rPr>
        <w:t xml:space="preserve"> de </w:t>
      </w:r>
      <w:r w:rsidR="00081B54">
        <w:rPr>
          <w:rFonts w:eastAsia="Times New Roman" w:cs="Verdana"/>
          <w:b/>
          <w:bCs/>
          <w:caps/>
          <w:snapToGrid w:val="0"/>
          <w:lang w:val="es-CR" w:eastAsia="es-ES"/>
        </w:rPr>
        <w:t>noviembre</w:t>
      </w:r>
      <w:r>
        <w:rPr>
          <w:rFonts w:eastAsia="Times New Roman" w:cs="Verdana"/>
          <w:b/>
          <w:bCs/>
          <w:caps/>
          <w:snapToGrid w:val="0"/>
          <w:lang w:val="es-CR" w:eastAsia="es-ES"/>
        </w:rPr>
        <w:t xml:space="preserve"> </w:t>
      </w:r>
      <w:r w:rsidRPr="002B6099">
        <w:rPr>
          <w:rFonts w:eastAsia="Times New Roman" w:cs="Verdana"/>
          <w:b/>
          <w:bCs/>
          <w:caps/>
          <w:snapToGrid w:val="0"/>
          <w:lang w:val="es-CR" w:eastAsia="es-ES"/>
        </w:rPr>
        <w:t>de 201</w:t>
      </w:r>
      <w:r>
        <w:rPr>
          <w:rFonts w:eastAsia="Times New Roman" w:cs="Verdana"/>
          <w:b/>
          <w:bCs/>
          <w:caps/>
          <w:snapToGrid w:val="0"/>
          <w:lang w:val="es-CR" w:eastAsia="es-ES"/>
        </w:rPr>
        <w:t>2</w:t>
      </w:r>
    </w:p>
    <w:p w:rsidR="008F5901" w:rsidRDefault="008F5901" w:rsidP="003C14FB">
      <w:pPr>
        <w:jc w:val="center"/>
        <w:rPr>
          <w:rFonts w:eastAsia="Times New Roman" w:cs="Verdana"/>
          <w:b/>
          <w:bCs/>
          <w:i/>
          <w:snapToGrid w:val="0"/>
          <w:lang w:val="es-CR" w:eastAsia="es-ES"/>
        </w:rPr>
      </w:pPr>
      <w:r w:rsidRPr="002B6099">
        <w:rPr>
          <w:rFonts w:eastAsia="Times New Roman" w:cs="Verdana"/>
          <w:b/>
          <w:bCs/>
          <w:i/>
          <w:snapToGrid w:val="0"/>
          <w:lang w:val="es-CR" w:eastAsia="es-ES"/>
        </w:rPr>
        <w:t>(</w:t>
      </w:r>
      <w:r w:rsidRPr="00363A6E">
        <w:rPr>
          <w:rFonts w:eastAsia="Times New Roman" w:cs="Verdana"/>
          <w:b/>
          <w:bCs/>
          <w:i/>
          <w:snapToGrid w:val="0"/>
          <w:lang w:val="es-CR" w:eastAsia="es-ES"/>
        </w:rPr>
        <w:t xml:space="preserve">Solicitud </w:t>
      </w:r>
      <w:r>
        <w:rPr>
          <w:rFonts w:eastAsia="Times New Roman" w:cs="Verdana"/>
          <w:b/>
          <w:bCs/>
          <w:i/>
          <w:snapToGrid w:val="0"/>
          <w:lang w:val="es-CR" w:eastAsia="es-ES"/>
        </w:rPr>
        <w:t xml:space="preserve">de Interpretación de la Sentencia </w:t>
      </w:r>
    </w:p>
    <w:p w:rsidR="008F5901" w:rsidRPr="00363A6E" w:rsidRDefault="008F5901" w:rsidP="003C14FB">
      <w:pPr>
        <w:jc w:val="center"/>
        <w:rPr>
          <w:rFonts w:eastAsia="Times New Roman" w:cs="Verdana"/>
          <w:b/>
          <w:bCs/>
          <w:i/>
          <w:snapToGrid w:val="0"/>
          <w:lang w:val="es-CR" w:eastAsia="es-ES"/>
        </w:rPr>
      </w:pPr>
      <w:proofErr w:type="gramStart"/>
      <w:r>
        <w:rPr>
          <w:rFonts w:eastAsia="Times New Roman" w:cs="Verdana"/>
          <w:b/>
          <w:bCs/>
          <w:i/>
          <w:snapToGrid w:val="0"/>
          <w:lang w:val="es-CR" w:eastAsia="es-ES"/>
        </w:rPr>
        <w:t>de</w:t>
      </w:r>
      <w:proofErr w:type="gramEnd"/>
      <w:r>
        <w:rPr>
          <w:rFonts w:eastAsia="Times New Roman" w:cs="Verdana"/>
          <w:b/>
          <w:bCs/>
          <w:i/>
          <w:snapToGrid w:val="0"/>
          <w:lang w:val="es-CR" w:eastAsia="es-ES"/>
        </w:rPr>
        <w:t xml:space="preserve"> Fondo, Reparaciones y Costas</w:t>
      </w:r>
      <w:r w:rsidRPr="002B6099">
        <w:rPr>
          <w:rFonts w:eastAsia="Times New Roman" w:cs="Verdana"/>
          <w:b/>
          <w:bCs/>
          <w:i/>
          <w:caps/>
          <w:snapToGrid w:val="0"/>
          <w:lang w:val="es-CR" w:eastAsia="es-ES"/>
        </w:rPr>
        <w:t>)</w:t>
      </w:r>
    </w:p>
    <w:p w:rsidR="008F5901" w:rsidRPr="002B6099" w:rsidRDefault="008F5901" w:rsidP="003C14FB">
      <w:pPr>
        <w:rPr>
          <w:b/>
          <w:smallCaps/>
          <w:lang w:val="es-CR"/>
        </w:rPr>
      </w:pPr>
    </w:p>
    <w:p w:rsidR="008F5901" w:rsidRDefault="008F5901" w:rsidP="003C14FB">
      <w:pPr>
        <w:jc w:val="both"/>
        <w:rPr>
          <w:lang w:val="es-CR"/>
        </w:rPr>
      </w:pPr>
    </w:p>
    <w:p w:rsidR="008F5901" w:rsidRDefault="008F5901" w:rsidP="003C14FB">
      <w:pPr>
        <w:jc w:val="both"/>
        <w:rPr>
          <w:lang w:val="es-CR"/>
        </w:rPr>
      </w:pPr>
    </w:p>
    <w:p w:rsidR="008F5901" w:rsidRPr="002B6099" w:rsidRDefault="008F5901" w:rsidP="003C14FB">
      <w:pPr>
        <w:jc w:val="both"/>
        <w:rPr>
          <w:lang w:val="es-CR"/>
        </w:rPr>
      </w:pPr>
    </w:p>
    <w:p w:rsidR="008F5901" w:rsidRPr="002B6099" w:rsidRDefault="008F5901" w:rsidP="003C14FB">
      <w:pPr>
        <w:jc w:val="both"/>
        <w:rPr>
          <w:i/>
          <w:lang w:val="es-CR"/>
        </w:rPr>
      </w:pPr>
      <w:r w:rsidRPr="002B6099">
        <w:rPr>
          <w:lang w:val="es-CR"/>
        </w:rPr>
        <w:t>En el caso</w:t>
      </w:r>
      <w:r w:rsidRPr="002B6099">
        <w:rPr>
          <w:i/>
          <w:lang w:val="es-CR"/>
        </w:rPr>
        <w:t xml:space="preserve"> </w:t>
      </w:r>
      <w:r w:rsidR="005D75F6">
        <w:rPr>
          <w:i/>
          <w:lang w:val="es-CR"/>
        </w:rPr>
        <w:t>Atala Riffo y niñas</w:t>
      </w:r>
      <w:r w:rsidRPr="002B6099">
        <w:rPr>
          <w:i/>
          <w:lang w:val="es-CR"/>
        </w:rPr>
        <w:t xml:space="preserve">, </w:t>
      </w:r>
    </w:p>
    <w:p w:rsidR="008F5901" w:rsidRPr="002B6099" w:rsidRDefault="008F5901" w:rsidP="003C14FB">
      <w:pPr>
        <w:jc w:val="both"/>
        <w:rPr>
          <w:lang w:val="es-CR"/>
        </w:rPr>
      </w:pPr>
    </w:p>
    <w:p w:rsidR="008F5901" w:rsidRPr="002B6099" w:rsidRDefault="008F5901" w:rsidP="003C14FB">
      <w:pPr>
        <w:jc w:val="both"/>
        <w:rPr>
          <w:lang w:val="es-CR"/>
        </w:rPr>
      </w:pPr>
      <w:proofErr w:type="gramStart"/>
      <w:r w:rsidRPr="002B6099">
        <w:rPr>
          <w:lang w:val="es-CR"/>
        </w:rPr>
        <w:t>la</w:t>
      </w:r>
      <w:proofErr w:type="gramEnd"/>
      <w:r w:rsidRPr="002B6099">
        <w:rPr>
          <w:lang w:val="es-CR"/>
        </w:rPr>
        <w:t xml:space="preserve"> Corte Interamericana de Derechos Humanos (en adelante “la Corte Interamericana”, “la Corte”, o “el Tribunal”), integrada por los siguientes jueces</w:t>
      </w:r>
      <w:r w:rsidRPr="002B6099">
        <w:rPr>
          <w:rStyle w:val="Refdenotaalpie"/>
          <w:lang w:val="es-CR"/>
        </w:rPr>
        <w:footnoteReference w:id="1"/>
      </w:r>
      <w:r w:rsidRPr="002B6099">
        <w:rPr>
          <w:lang w:val="es-CR"/>
        </w:rPr>
        <w:t>:</w:t>
      </w:r>
    </w:p>
    <w:p w:rsidR="008F5901" w:rsidRPr="002B6099" w:rsidRDefault="008F5901" w:rsidP="003C14FB">
      <w:pPr>
        <w:jc w:val="both"/>
        <w:rPr>
          <w:lang w:val="es-CR"/>
        </w:rPr>
      </w:pPr>
    </w:p>
    <w:p w:rsidR="008F5901" w:rsidRPr="002B6099" w:rsidRDefault="008F5901" w:rsidP="003C14FB">
      <w:pPr>
        <w:ind w:firstLine="720"/>
        <w:rPr>
          <w:rFonts w:cs="Verdana"/>
          <w:lang w:val="es-CR"/>
        </w:rPr>
      </w:pPr>
      <w:r w:rsidRPr="002B6099">
        <w:rPr>
          <w:rFonts w:cs="Verdana"/>
          <w:lang w:val="es-CR"/>
        </w:rPr>
        <w:t>Diego García-Sayán, Presidente;</w:t>
      </w:r>
    </w:p>
    <w:p w:rsidR="008F5901" w:rsidRPr="002B6099" w:rsidRDefault="008F5901" w:rsidP="003C14FB">
      <w:pPr>
        <w:ind w:firstLine="720"/>
        <w:rPr>
          <w:rFonts w:cs="Verdana"/>
          <w:lang w:val="es-CR"/>
        </w:rPr>
      </w:pPr>
      <w:r>
        <w:rPr>
          <w:rFonts w:cs="Verdana"/>
          <w:lang w:val="es-CR"/>
        </w:rPr>
        <w:t>Manuel E. Ventura Robles, Vicepresidente</w:t>
      </w:r>
      <w:r w:rsidRPr="002B6099">
        <w:rPr>
          <w:rFonts w:cs="Verdana"/>
          <w:lang w:val="es-CR"/>
        </w:rPr>
        <w:t>;</w:t>
      </w:r>
    </w:p>
    <w:p w:rsidR="005D75F6" w:rsidRDefault="005D75F6" w:rsidP="003C14FB">
      <w:pPr>
        <w:ind w:firstLine="720"/>
        <w:rPr>
          <w:rFonts w:cs="Verdana"/>
          <w:lang w:val="es-CR"/>
        </w:rPr>
      </w:pPr>
      <w:r>
        <w:rPr>
          <w:rFonts w:cs="Verdana"/>
          <w:lang w:val="es-CR"/>
        </w:rPr>
        <w:t>Leonardo A. Franco, Juez;</w:t>
      </w:r>
    </w:p>
    <w:p w:rsidR="008F5901" w:rsidRPr="002B6099" w:rsidRDefault="008F5901" w:rsidP="003C14FB">
      <w:pPr>
        <w:ind w:firstLine="720"/>
        <w:rPr>
          <w:rFonts w:cs="Verdana"/>
          <w:lang w:val="es-CR"/>
        </w:rPr>
      </w:pPr>
      <w:r w:rsidRPr="002B6099">
        <w:rPr>
          <w:rFonts w:cs="Verdana"/>
          <w:lang w:val="es-CR"/>
        </w:rPr>
        <w:t>Margarette May Macaulay, Jueza;</w:t>
      </w:r>
    </w:p>
    <w:p w:rsidR="008F5901" w:rsidRPr="002B6099" w:rsidRDefault="008F5901" w:rsidP="003C14FB">
      <w:pPr>
        <w:ind w:firstLine="720"/>
        <w:rPr>
          <w:rFonts w:cs="Verdana"/>
          <w:lang w:val="es-CR"/>
        </w:rPr>
      </w:pPr>
      <w:r w:rsidRPr="002B6099">
        <w:rPr>
          <w:rFonts w:cs="Verdana"/>
          <w:lang w:val="es-CR"/>
        </w:rPr>
        <w:t>Rh</w:t>
      </w:r>
      <w:r w:rsidR="00570456">
        <w:rPr>
          <w:rFonts w:cs="Verdana"/>
          <w:lang w:val="es-CR"/>
        </w:rPr>
        <w:t>adys Abreu Blondet, Jueza</w:t>
      </w:r>
      <w:r w:rsidR="001A2B9A">
        <w:rPr>
          <w:rFonts w:cs="Verdana"/>
          <w:lang w:val="es-CR"/>
        </w:rPr>
        <w:t>;</w:t>
      </w:r>
      <w:r w:rsidR="00570456">
        <w:rPr>
          <w:rFonts w:cs="Verdana"/>
          <w:lang w:val="es-CR"/>
        </w:rPr>
        <w:t xml:space="preserve"> y</w:t>
      </w:r>
      <w:r w:rsidR="005D75F6">
        <w:rPr>
          <w:rFonts w:cs="Verdana"/>
          <w:lang w:val="es-CR"/>
        </w:rPr>
        <w:t xml:space="preserve"> </w:t>
      </w:r>
    </w:p>
    <w:p w:rsidR="008F5901" w:rsidRPr="002B6099" w:rsidRDefault="00570456" w:rsidP="003C14FB">
      <w:pPr>
        <w:ind w:firstLine="720"/>
        <w:rPr>
          <w:rFonts w:cs="Verdana"/>
          <w:lang w:val="es-CR"/>
        </w:rPr>
      </w:pPr>
      <w:r>
        <w:rPr>
          <w:rFonts w:cs="Verdana"/>
          <w:lang w:val="es-CR"/>
        </w:rPr>
        <w:t>Alber</w:t>
      </w:r>
      <w:r w:rsidR="001A2B9A">
        <w:rPr>
          <w:rFonts w:cs="Verdana"/>
          <w:lang w:val="es-CR"/>
        </w:rPr>
        <w:t>to Pérez Pérez, Juez, y</w:t>
      </w:r>
    </w:p>
    <w:p w:rsidR="008F5901" w:rsidRDefault="008F5901" w:rsidP="003C14FB">
      <w:pPr>
        <w:jc w:val="both"/>
        <w:rPr>
          <w:lang w:val="es-CR"/>
        </w:rPr>
      </w:pPr>
    </w:p>
    <w:p w:rsidR="008F5901" w:rsidRPr="002B6099" w:rsidRDefault="008F5901" w:rsidP="003C14FB">
      <w:pPr>
        <w:jc w:val="both"/>
        <w:rPr>
          <w:lang w:val="es-CR"/>
        </w:rPr>
      </w:pPr>
    </w:p>
    <w:p w:rsidR="008F5901" w:rsidRPr="002B6099" w:rsidRDefault="008F5901" w:rsidP="003C14FB">
      <w:pPr>
        <w:jc w:val="both"/>
        <w:rPr>
          <w:lang w:val="es-CR"/>
        </w:rPr>
      </w:pPr>
      <w:proofErr w:type="gramStart"/>
      <w:r w:rsidRPr="002B6099">
        <w:rPr>
          <w:lang w:val="es-CR"/>
        </w:rPr>
        <w:t>presente</w:t>
      </w:r>
      <w:r>
        <w:rPr>
          <w:lang w:val="es-CR"/>
        </w:rPr>
        <w:t>s</w:t>
      </w:r>
      <w:proofErr w:type="gramEnd"/>
      <w:r w:rsidRPr="002B6099">
        <w:rPr>
          <w:lang w:val="es-CR"/>
        </w:rPr>
        <w:t xml:space="preserve"> además,</w:t>
      </w:r>
    </w:p>
    <w:p w:rsidR="008F5901" w:rsidRPr="002B6099" w:rsidRDefault="008F5901" w:rsidP="003C14FB">
      <w:pPr>
        <w:jc w:val="both"/>
        <w:rPr>
          <w:lang w:val="es-CR"/>
        </w:rPr>
      </w:pPr>
    </w:p>
    <w:p w:rsidR="008F5901" w:rsidRDefault="008F5901" w:rsidP="003C14FB">
      <w:pPr>
        <w:tabs>
          <w:tab w:val="left" w:pos="720"/>
        </w:tabs>
        <w:ind w:firstLine="720"/>
        <w:jc w:val="both"/>
        <w:rPr>
          <w:lang w:val="es-CR"/>
        </w:rPr>
      </w:pPr>
      <w:r w:rsidRPr="002B6099">
        <w:rPr>
          <w:lang w:val="es-CR"/>
        </w:rPr>
        <w:t>Pablo Saavedra Alessandri, Secretario,</w:t>
      </w:r>
      <w:r>
        <w:rPr>
          <w:lang w:val="es-CR"/>
        </w:rPr>
        <w:t xml:space="preserve"> y</w:t>
      </w:r>
    </w:p>
    <w:p w:rsidR="008F5901" w:rsidRPr="0007650C" w:rsidRDefault="008F5901" w:rsidP="003C14FB">
      <w:pPr>
        <w:tabs>
          <w:tab w:val="left" w:pos="720"/>
        </w:tabs>
        <w:ind w:firstLine="720"/>
        <w:jc w:val="both"/>
        <w:rPr>
          <w:lang w:val="es-CR"/>
        </w:rPr>
      </w:pPr>
      <w:r w:rsidRPr="0007650C">
        <w:rPr>
          <w:rFonts w:cs="Verdana"/>
          <w:szCs w:val="16"/>
          <w:lang w:val="es-CR" w:eastAsia="es-MX"/>
        </w:rPr>
        <w:t>Emilia Segares Rodríguez, Secretaria Adjunta</w:t>
      </w:r>
      <w:r>
        <w:rPr>
          <w:rFonts w:cs="Verdana"/>
          <w:szCs w:val="16"/>
          <w:lang w:val="es-CR" w:eastAsia="es-MX"/>
        </w:rPr>
        <w:t>,</w:t>
      </w:r>
    </w:p>
    <w:p w:rsidR="008F5901" w:rsidRDefault="008F5901" w:rsidP="003C14FB">
      <w:pPr>
        <w:jc w:val="both"/>
        <w:rPr>
          <w:lang w:val="es-CR"/>
        </w:rPr>
      </w:pPr>
    </w:p>
    <w:p w:rsidR="008F5901" w:rsidRPr="002B6099" w:rsidRDefault="008F5901" w:rsidP="003C14FB">
      <w:pPr>
        <w:jc w:val="both"/>
        <w:rPr>
          <w:lang w:val="es-CR"/>
        </w:rPr>
      </w:pPr>
    </w:p>
    <w:p w:rsidR="008F5901" w:rsidRPr="007711DC" w:rsidRDefault="008F5901" w:rsidP="003C14FB">
      <w:pPr>
        <w:autoSpaceDE w:val="0"/>
        <w:autoSpaceDN w:val="0"/>
        <w:adjustRightInd w:val="0"/>
        <w:jc w:val="both"/>
        <w:rPr>
          <w:rFonts w:eastAsia="Calibri" w:cs="Verdana"/>
          <w:lang w:val="es-CR"/>
        </w:rPr>
      </w:pPr>
      <w:r w:rsidRPr="00363A6E">
        <w:rPr>
          <w:rFonts w:eastAsia="Calibri" w:cs="Verdana"/>
          <w:lang w:val="es-CR"/>
        </w:rPr>
        <w:t>de conformidad con el artículo 67 de la Conv</w:t>
      </w:r>
      <w:r>
        <w:rPr>
          <w:rFonts w:eastAsia="Calibri" w:cs="Verdana"/>
          <w:lang w:val="es-CR"/>
        </w:rPr>
        <w:t xml:space="preserve">ención Americana sobre Derechos </w:t>
      </w:r>
      <w:r w:rsidRPr="00363A6E">
        <w:rPr>
          <w:rFonts w:eastAsia="Calibri" w:cs="Verdana"/>
          <w:lang w:val="es-CR"/>
        </w:rPr>
        <w:t>Humanos (en adelante también “la Convención Americana” o “la Convención”</w:t>
      </w:r>
      <w:r>
        <w:rPr>
          <w:rFonts w:eastAsia="Calibri" w:cs="Verdana"/>
          <w:lang w:val="es-CR"/>
        </w:rPr>
        <w:t xml:space="preserve">) y el </w:t>
      </w:r>
      <w:r w:rsidRPr="00363A6E">
        <w:rPr>
          <w:rFonts w:eastAsia="Calibri" w:cs="Verdana"/>
          <w:lang w:val="es-CR"/>
        </w:rPr>
        <w:t>artículo 68 del Reglamento de la Cor</w:t>
      </w:r>
      <w:r>
        <w:rPr>
          <w:rFonts w:eastAsia="Calibri" w:cs="Verdana"/>
          <w:lang w:val="es-CR"/>
        </w:rPr>
        <w:t>te</w:t>
      </w:r>
      <w:r w:rsidRPr="002B6099">
        <w:rPr>
          <w:rStyle w:val="Refdenotaalpie"/>
          <w:lang w:val="es-CR"/>
        </w:rPr>
        <w:footnoteReference w:id="2"/>
      </w:r>
      <w:r w:rsidRPr="00363A6E">
        <w:rPr>
          <w:rFonts w:eastAsia="Calibri" w:cs="Verdana"/>
          <w:sz w:val="13"/>
          <w:szCs w:val="13"/>
          <w:lang w:val="es-CR"/>
        </w:rPr>
        <w:t xml:space="preserve"> </w:t>
      </w:r>
      <w:r w:rsidRPr="00363A6E">
        <w:rPr>
          <w:rFonts w:eastAsia="Calibri" w:cs="Verdana"/>
          <w:lang w:val="es-CR"/>
        </w:rPr>
        <w:t>(en adelante “el Reglamento”</w:t>
      </w:r>
      <w:r>
        <w:rPr>
          <w:rFonts w:eastAsia="Calibri" w:cs="Verdana"/>
          <w:lang w:val="es-CR"/>
        </w:rPr>
        <w:t xml:space="preserve">), resuelve la solicitud de </w:t>
      </w:r>
      <w:r w:rsidRPr="00363A6E">
        <w:rPr>
          <w:rFonts w:eastAsia="Calibri" w:cs="Verdana"/>
          <w:lang w:val="es-CR"/>
        </w:rPr>
        <w:t>interpretación de la Sentencia de fondo</w:t>
      </w:r>
      <w:r>
        <w:rPr>
          <w:rFonts w:eastAsia="Calibri" w:cs="Verdana"/>
          <w:lang w:val="es-CR"/>
        </w:rPr>
        <w:t xml:space="preserve">, reparaciones y costas emitida </w:t>
      </w:r>
      <w:r w:rsidRPr="00363A6E">
        <w:rPr>
          <w:rFonts w:eastAsia="Calibri" w:cs="Verdana"/>
          <w:lang w:val="es-CR"/>
        </w:rPr>
        <w:t xml:space="preserve">por el Tribunal el </w:t>
      </w:r>
      <w:r w:rsidR="00A77058">
        <w:rPr>
          <w:rFonts w:eastAsia="Calibri" w:cs="Verdana"/>
          <w:lang w:val="es-CR"/>
        </w:rPr>
        <w:t>24</w:t>
      </w:r>
      <w:r>
        <w:rPr>
          <w:rFonts w:eastAsia="Calibri" w:cs="Verdana"/>
          <w:lang w:val="es-CR"/>
        </w:rPr>
        <w:t xml:space="preserve"> </w:t>
      </w:r>
      <w:r w:rsidRPr="00363A6E">
        <w:rPr>
          <w:rFonts w:eastAsia="Calibri" w:cs="Verdana"/>
          <w:lang w:val="es-CR"/>
        </w:rPr>
        <w:t xml:space="preserve">de </w:t>
      </w:r>
      <w:r w:rsidR="00A77058">
        <w:rPr>
          <w:rFonts w:eastAsia="Calibri" w:cs="Verdana"/>
          <w:lang w:val="es-CR"/>
        </w:rPr>
        <w:t>febrero de 2012</w:t>
      </w:r>
      <w:r w:rsidRPr="00363A6E">
        <w:rPr>
          <w:rFonts w:eastAsia="Calibri" w:cs="Verdana"/>
          <w:lang w:val="es-CR"/>
        </w:rPr>
        <w:t xml:space="preserve"> en el presente caso (en adelante también “</w:t>
      </w:r>
      <w:r>
        <w:rPr>
          <w:rFonts w:eastAsia="Calibri" w:cs="Verdana"/>
          <w:lang w:val="es-CR"/>
        </w:rPr>
        <w:t xml:space="preserve">la </w:t>
      </w:r>
      <w:r w:rsidRPr="00363A6E">
        <w:rPr>
          <w:rFonts w:eastAsia="Calibri" w:cs="Verdana"/>
          <w:lang w:val="es-CR"/>
        </w:rPr>
        <w:t xml:space="preserve">Sentencia”), interpuesta el </w:t>
      </w:r>
      <w:r w:rsidR="00BB3D2A">
        <w:rPr>
          <w:rFonts w:eastAsia="Calibri" w:cs="Verdana"/>
          <w:lang w:val="es-CR"/>
        </w:rPr>
        <w:t xml:space="preserve">5 </w:t>
      </w:r>
      <w:r w:rsidRPr="00363A6E">
        <w:rPr>
          <w:rFonts w:eastAsia="Calibri" w:cs="Verdana"/>
          <w:lang w:val="es-CR"/>
        </w:rPr>
        <w:t xml:space="preserve">de </w:t>
      </w:r>
      <w:r w:rsidR="00BB3D2A">
        <w:rPr>
          <w:rFonts w:eastAsia="Calibri" w:cs="Verdana"/>
          <w:lang w:val="es-CR"/>
        </w:rPr>
        <w:t xml:space="preserve">junio </w:t>
      </w:r>
      <w:r w:rsidRPr="00363A6E">
        <w:rPr>
          <w:rFonts w:eastAsia="Calibri" w:cs="Verdana"/>
          <w:lang w:val="es-CR"/>
        </w:rPr>
        <w:t>de 201</w:t>
      </w:r>
      <w:r>
        <w:rPr>
          <w:rFonts w:eastAsia="Calibri" w:cs="Verdana"/>
          <w:lang w:val="es-CR"/>
        </w:rPr>
        <w:t>2</w:t>
      </w:r>
      <w:r w:rsidRPr="00363A6E">
        <w:rPr>
          <w:rFonts w:eastAsia="Calibri" w:cs="Verdana"/>
          <w:lang w:val="es-CR"/>
        </w:rPr>
        <w:t xml:space="preserve"> por </w:t>
      </w:r>
      <w:r w:rsidR="00BB3D2A">
        <w:rPr>
          <w:rFonts w:eastAsia="Calibri" w:cs="Verdana"/>
          <w:lang w:val="es-CR"/>
        </w:rPr>
        <w:t xml:space="preserve">los representantes de </w:t>
      </w:r>
      <w:r w:rsidR="00570456">
        <w:rPr>
          <w:rFonts w:eastAsia="Calibri" w:cs="Verdana"/>
          <w:lang w:val="es-CR"/>
        </w:rPr>
        <w:t>la señora Atala Riffo</w:t>
      </w:r>
      <w:r w:rsidRPr="002B6099">
        <w:rPr>
          <w:bCs/>
          <w:lang w:val="es-CR"/>
        </w:rPr>
        <w:t xml:space="preserve"> (en </w:t>
      </w:r>
      <w:r w:rsidR="00BB3D2A">
        <w:rPr>
          <w:bCs/>
          <w:lang w:val="es-CR"/>
        </w:rPr>
        <w:t>adelante “lo</w:t>
      </w:r>
      <w:r w:rsidRPr="002B6099">
        <w:rPr>
          <w:bCs/>
          <w:lang w:val="es-CR"/>
        </w:rPr>
        <w:t>s representantes”)</w:t>
      </w:r>
      <w:r>
        <w:rPr>
          <w:rFonts w:eastAsia="Calibri" w:cs="Verdana"/>
          <w:lang w:val="es-CR"/>
        </w:rPr>
        <w:t>.</w:t>
      </w:r>
    </w:p>
    <w:p w:rsidR="008F5901" w:rsidRDefault="008F5901" w:rsidP="003C14FB">
      <w:pPr>
        <w:jc w:val="both"/>
        <w:rPr>
          <w:lang w:val="es-CR"/>
        </w:rPr>
      </w:pPr>
    </w:p>
    <w:p w:rsidR="008F5901" w:rsidRPr="002B6099" w:rsidRDefault="008F5901" w:rsidP="003C14FB">
      <w:pPr>
        <w:pStyle w:val="Ttulo2"/>
        <w:spacing w:before="0" w:after="0"/>
        <w:jc w:val="center"/>
        <w:rPr>
          <w:rFonts w:ascii="Verdana" w:eastAsia="Times New Roman" w:hAnsi="Verdana" w:cs="Verdana"/>
          <w:i w:val="0"/>
          <w:caps/>
          <w:snapToGrid w:val="0"/>
          <w:sz w:val="20"/>
          <w:szCs w:val="20"/>
          <w:lang w:val="es-CR" w:eastAsia="es-ES"/>
        </w:rPr>
      </w:pPr>
      <w:r w:rsidRPr="002B6099">
        <w:rPr>
          <w:rFonts w:ascii="Verdana" w:eastAsia="Times New Roman" w:hAnsi="Verdana" w:cs="Verdana"/>
          <w:i w:val="0"/>
          <w:caps/>
          <w:snapToGrid w:val="0"/>
          <w:sz w:val="20"/>
          <w:szCs w:val="20"/>
          <w:lang w:val="es-CR" w:eastAsia="es-ES"/>
        </w:rPr>
        <w:t>I</w:t>
      </w:r>
    </w:p>
    <w:p w:rsidR="008F5901" w:rsidRPr="00D46D1D" w:rsidRDefault="008F5901" w:rsidP="003C14FB">
      <w:pPr>
        <w:autoSpaceDE w:val="0"/>
        <w:autoSpaceDN w:val="0"/>
        <w:adjustRightInd w:val="0"/>
        <w:jc w:val="center"/>
        <w:rPr>
          <w:rFonts w:eastAsia="Calibri" w:cs="Verdana"/>
          <w:b/>
          <w:bCs/>
          <w:lang w:val="es-CR"/>
        </w:rPr>
      </w:pPr>
      <w:r w:rsidRPr="00D46D1D">
        <w:rPr>
          <w:rFonts w:eastAsia="Calibri" w:cs="Verdana"/>
          <w:b/>
          <w:bCs/>
          <w:lang w:val="es-CR"/>
        </w:rPr>
        <w:t>INTRODUCCIÓN DE LA SOLICITUD DE INTERPRETACIÓN</w:t>
      </w:r>
    </w:p>
    <w:p w:rsidR="008F5901" w:rsidRPr="002B6099" w:rsidRDefault="008F5901" w:rsidP="003C14FB">
      <w:pPr>
        <w:jc w:val="center"/>
        <w:rPr>
          <w:lang w:val="es-CR" w:eastAsia="es-ES"/>
        </w:rPr>
      </w:pPr>
      <w:r w:rsidRPr="007711DC">
        <w:rPr>
          <w:rFonts w:eastAsia="Calibri" w:cs="Verdana"/>
          <w:b/>
          <w:bCs/>
          <w:lang w:val="es-CR"/>
        </w:rPr>
        <w:t>Y PROCEDIMIENTO ANTE LA CORTE</w:t>
      </w:r>
    </w:p>
    <w:p w:rsidR="008F5901" w:rsidRDefault="008F5901" w:rsidP="003C14FB">
      <w:pPr>
        <w:jc w:val="both"/>
        <w:rPr>
          <w:lang w:val="es-CR"/>
        </w:rPr>
      </w:pPr>
    </w:p>
    <w:p w:rsidR="008F5901" w:rsidRPr="002B6099" w:rsidRDefault="008F5901" w:rsidP="003C14FB">
      <w:pPr>
        <w:jc w:val="both"/>
        <w:rPr>
          <w:lang w:val="es-CR"/>
        </w:rPr>
      </w:pPr>
    </w:p>
    <w:p w:rsidR="004644C9" w:rsidRPr="00CE37F7" w:rsidRDefault="004644C9" w:rsidP="003C14FB">
      <w:pPr>
        <w:numPr>
          <w:ilvl w:val="0"/>
          <w:numId w:val="1"/>
        </w:numPr>
        <w:tabs>
          <w:tab w:val="num" w:pos="720"/>
        </w:tabs>
        <w:autoSpaceDE w:val="0"/>
        <w:autoSpaceDN w:val="0"/>
        <w:adjustRightInd w:val="0"/>
        <w:jc w:val="both"/>
        <w:rPr>
          <w:rFonts w:eastAsia="Calibri" w:cs="Verdana"/>
          <w:lang w:val="es-CR"/>
        </w:rPr>
      </w:pPr>
      <w:r w:rsidRPr="00CE37F7">
        <w:rPr>
          <w:rFonts w:eastAsia="Calibri" w:cs="Verdana"/>
          <w:lang w:val="es-CR"/>
        </w:rPr>
        <w:t>El 24 de febrero de 2012</w:t>
      </w:r>
      <w:r w:rsidRPr="00CE37F7">
        <w:t xml:space="preserve"> la Corte emitió la Sentencia, la cual fue notificada a las partes </w:t>
      </w:r>
      <w:r w:rsidR="00570456">
        <w:t xml:space="preserve">y a la Comisión </w:t>
      </w:r>
      <w:r w:rsidRPr="00CE37F7">
        <w:t>el 20 de marzo del mismo año.</w:t>
      </w:r>
    </w:p>
    <w:p w:rsidR="004644C9" w:rsidRPr="00CE37F7" w:rsidRDefault="004644C9" w:rsidP="003C14FB">
      <w:pPr>
        <w:autoSpaceDE w:val="0"/>
        <w:autoSpaceDN w:val="0"/>
        <w:adjustRightInd w:val="0"/>
        <w:rPr>
          <w:rFonts w:eastAsia="Calibri" w:cs="Verdana"/>
          <w:lang w:val="es-CR"/>
        </w:rPr>
      </w:pPr>
    </w:p>
    <w:p w:rsidR="004644C9" w:rsidRPr="00CE37F7" w:rsidRDefault="00E41F49" w:rsidP="003C14FB">
      <w:pPr>
        <w:numPr>
          <w:ilvl w:val="0"/>
          <w:numId w:val="1"/>
        </w:numPr>
        <w:tabs>
          <w:tab w:val="num" w:pos="720"/>
        </w:tabs>
        <w:autoSpaceDE w:val="0"/>
        <w:autoSpaceDN w:val="0"/>
        <w:adjustRightInd w:val="0"/>
        <w:jc w:val="both"/>
        <w:rPr>
          <w:rFonts w:eastAsia="Calibri" w:cs="Verdana"/>
          <w:lang w:val="es-CR"/>
        </w:rPr>
      </w:pPr>
      <w:r>
        <w:rPr>
          <w:rFonts w:eastAsia="Calibri" w:cs="Verdana"/>
          <w:lang w:val="es-CR"/>
        </w:rPr>
        <w:t>El 5 de junio de 2012 lo</w:t>
      </w:r>
      <w:r w:rsidR="004644C9" w:rsidRPr="00CE37F7">
        <w:rPr>
          <w:rFonts w:eastAsia="Calibri" w:cs="Verdana"/>
          <w:lang w:val="es-CR"/>
        </w:rPr>
        <w:t>s representantes</w:t>
      </w:r>
      <w:r w:rsidR="004644C9" w:rsidRPr="00CE37F7">
        <w:rPr>
          <w:bCs/>
          <w:lang w:val="es-CR"/>
        </w:rPr>
        <w:t xml:space="preserve"> presentaron un escrito, mediante el cual sometieron al Tribunal una solicitud de interpretación de la Sentencia.</w:t>
      </w:r>
      <w:r w:rsidR="00570456">
        <w:rPr>
          <w:bCs/>
        </w:rPr>
        <w:t xml:space="preserve"> En esta</w:t>
      </w:r>
      <w:r w:rsidR="004644C9" w:rsidRPr="00CE37F7">
        <w:rPr>
          <w:bCs/>
        </w:rPr>
        <w:t>,</w:t>
      </w:r>
      <w:r w:rsidR="00B747C1">
        <w:rPr>
          <w:bCs/>
        </w:rPr>
        <w:t xml:space="preserve"> solicitaron a la Corte que: i) “</w:t>
      </w:r>
      <w:r w:rsidR="00B755A5">
        <w:rPr>
          <w:bCs/>
        </w:rPr>
        <w:t>[p]</w:t>
      </w:r>
      <w:r w:rsidR="004644C9" w:rsidRPr="00CE37F7">
        <w:rPr>
          <w:rFonts w:cs="TimesNewRomanPSMT"/>
        </w:rPr>
        <w:t>recise las condiciones en las que debe llevarse a cabo la entrevista con V. por la institución estatal responsable de la infancia, a efectos del párrafo 71. Y a su vez, que</w:t>
      </w:r>
      <w:r w:rsidR="004644C9" w:rsidRPr="00CE37F7">
        <w:rPr>
          <w:rFonts w:eastAsia="Calibri" w:cs="Verdana"/>
          <w:lang w:val="es-CR"/>
        </w:rPr>
        <w:t xml:space="preserve"> </w:t>
      </w:r>
      <w:r w:rsidR="004644C9" w:rsidRPr="00CE37F7">
        <w:rPr>
          <w:rFonts w:cs="TimesNewRomanPSMT"/>
        </w:rPr>
        <w:t>aclare el sentido y alcance del párrafo 71 de la sentencia, a la luz de los párrafos 255, 299</w:t>
      </w:r>
      <w:r w:rsidR="004644C9" w:rsidRPr="00CE37F7">
        <w:rPr>
          <w:rFonts w:eastAsia="Calibri" w:cs="Verdana"/>
          <w:lang w:val="es-CR"/>
        </w:rPr>
        <w:t xml:space="preserve"> </w:t>
      </w:r>
      <w:r w:rsidR="004644C9" w:rsidRPr="00CE37F7">
        <w:rPr>
          <w:rFonts w:cs="TimesNewRomanPSMT"/>
        </w:rPr>
        <w:t>y 313, diferenciando entre reparaciones, particularmente la rehabilitación, y la</w:t>
      </w:r>
      <w:r w:rsidR="004644C9" w:rsidRPr="00CE37F7">
        <w:rPr>
          <w:rFonts w:eastAsia="Calibri" w:cs="Verdana"/>
          <w:lang w:val="es-CR"/>
        </w:rPr>
        <w:t xml:space="preserve"> </w:t>
      </w:r>
      <w:r w:rsidR="004644C9" w:rsidRPr="00CE37F7">
        <w:rPr>
          <w:rFonts w:cs="TimesNewRomanPSMT"/>
        </w:rPr>
        <w:t>indemniza</w:t>
      </w:r>
      <w:r w:rsidR="00B755A5">
        <w:rPr>
          <w:rFonts w:cs="TimesNewRomanPSMT"/>
        </w:rPr>
        <w:t>ción”; ii)</w:t>
      </w:r>
      <w:r w:rsidR="004644C9" w:rsidRPr="00CE37F7">
        <w:rPr>
          <w:rFonts w:cs="TimesNewRomanPSMT"/>
        </w:rPr>
        <w:t xml:space="preserve"> </w:t>
      </w:r>
      <w:r w:rsidR="00B755A5">
        <w:rPr>
          <w:rFonts w:cs="TimesNewRomanPSMT"/>
        </w:rPr>
        <w:t>“[p]</w:t>
      </w:r>
      <w:r w:rsidR="004644C9" w:rsidRPr="00CE37F7">
        <w:rPr>
          <w:rFonts w:cs="TimesNewRomanPSMT"/>
        </w:rPr>
        <w:t>recise las condiciones materiales en las cuales es posible hacer efectivo el plazo de los seis meses para que las niñas M.</w:t>
      </w:r>
      <w:r w:rsidR="00B755A5">
        <w:rPr>
          <w:rFonts w:cs="TimesNewRomanPSMT"/>
        </w:rPr>
        <w:t xml:space="preserve">, </w:t>
      </w:r>
      <w:r w:rsidR="004644C9" w:rsidRPr="00CE37F7">
        <w:rPr>
          <w:rFonts w:cs="TimesNewRomanPSMT"/>
        </w:rPr>
        <w:t>V. y R, indiquen al Estado si quieren recibir tratamiento psicológico o psiquiátrico, como rehabilitación por las violaciones de sus derechos</w:t>
      </w:r>
      <w:r w:rsidR="004644C9" w:rsidRPr="00CE37F7">
        <w:rPr>
          <w:rFonts w:eastAsia="Calibri" w:cs="Verdana"/>
          <w:lang w:val="es-CR"/>
        </w:rPr>
        <w:t xml:space="preserve"> </w:t>
      </w:r>
      <w:r w:rsidR="004644C9" w:rsidRPr="00CE37F7">
        <w:rPr>
          <w:rFonts w:cs="TimesNewRomanPSMT"/>
        </w:rPr>
        <w:t>humanos. Las condiciones materiales debieran considerar la posibilidad que alcancen la</w:t>
      </w:r>
      <w:r w:rsidR="004644C9" w:rsidRPr="00CE37F7">
        <w:rPr>
          <w:rFonts w:eastAsia="Calibri" w:cs="Verdana"/>
          <w:lang w:val="es-CR"/>
        </w:rPr>
        <w:t xml:space="preserve"> </w:t>
      </w:r>
      <w:r w:rsidR="004644C9" w:rsidRPr="00CE37F7">
        <w:rPr>
          <w:rFonts w:cs="TimesNewRomanPSMT"/>
        </w:rPr>
        <w:t>madurez, autonomía e independencia necesarias para que puedan decidir libre y</w:t>
      </w:r>
      <w:r w:rsidR="004644C9" w:rsidRPr="00CE37F7">
        <w:rPr>
          <w:rFonts w:eastAsia="Calibri" w:cs="Verdana"/>
          <w:lang w:val="es-CR"/>
        </w:rPr>
        <w:t xml:space="preserve"> </w:t>
      </w:r>
      <w:r w:rsidR="004644C9" w:rsidRPr="00CE37F7">
        <w:rPr>
          <w:rFonts w:cs="TimesNewRomanPSMT"/>
        </w:rPr>
        <w:t>conscientemente</w:t>
      </w:r>
      <w:r w:rsidR="00B755A5">
        <w:rPr>
          <w:rFonts w:cs="TimesNewRomanPSMT"/>
        </w:rPr>
        <w:t xml:space="preserve"> sobre esta forma de reparación”, y iii) “[a]</w:t>
      </w:r>
      <w:r w:rsidR="004644C9" w:rsidRPr="00CE37F7">
        <w:rPr>
          <w:rFonts w:cs="TimesNewRomanPSMT"/>
        </w:rPr>
        <w:t xml:space="preserve">dicione a las costas, el pago de los honorarios y </w:t>
      </w:r>
      <w:r>
        <w:rPr>
          <w:rFonts w:cs="TimesNewRomanPSMT"/>
        </w:rPr>
        <w:t>[</w:t>
      </w:r>
      <w:r w:rsidR="004644C9" w:rsidRPr="00CE37F7">
        <w:rPr>
          <w:rFonts w:cs="TimesNewRomanPSMT"/>
        </w:rPr>
        <w:t>ga</w:t>
      </w:r>
      <w:r>
        <w:rPr>
          <w:rFonts w:cs="TimesNewRomanPSMT"/>
        </w:rPr>
        <w:t>s</w:t>
      </w:r>
      <w:r w:rsidR="004644C9" w:rsidRPr="00CE37F7">
        <w:rPr>
          <w:rFonts w:cs="TimesNewRomanPSMT"/>
        </w:rPr>
        <w:t>tos</w:t>
      </w:r>
      <w:r>
        <w:rPr>
          <w:rFonts w:cs="TimesNewRomanPSMT"/>
        </w:rPr>
        <w:t>]</w:t>
      </w:r>
      <w:r w:rsidR="004644C9" w:rsidRPr="00CE37F7">
        <w:rPr>
          <w:rFonts w:cs="TimesNewRomanPSMT"/>
        </w:rPr>
        <w:t xml:space="preserve"> de viaje incurridos por la perito María Alicia Espinoza Abarzúa, quien asistió a los funcionarios de la </w:t>
      </w:r>
      <w:r w:rsidR="00570456">
        <w:rPr>
          <w:rFonts w:cs="TimesNewRomanPSMT"/>
        </w:rPr>
        <w:t>[…]</w:t>
      </w:r>
      <w:r w:rsidR="004644C9" w:rsidRPr="00CE37F7">
        <w:rPr>
          <w:rFonts w:cs="TimesNewRomanPSMT"/>
        </w:rPr>
        <w:t xml:space="preserve"> Corte, en la medida para mejor resolver que ésta ordenó, consistente en la entrevista con las menores M., V. y R</w:t>
      </w:r>
      <w:r w:rsidR="004644C9">
        <w:rPr>
          <w:rFonts w:cs="TimesNewRomanPSMT"/>
        </w:rPr>
        <w:t>”</w:t>
      </w:r>
      <w:r w:rsidR="004644C9" w:rsidRPr="00CE37F7">
        <w:rPr>
          <w:rFonts w:cs="TimesNewRomanPSMT"/>
        </w:rPr>
        <w:t>.</w:t>
      </w:r>
    </w:p>
    <w:p w:rsidR="004644C9" w:rsidRPr="00CE37F7" w:rsidRDefault="004644C9" w:rsidP="003C14FB">
      <w:pPr>
        <w:autoSpaceDE w:val="0"/>
        <w:autoSpaceDN w:val="0"/>
        <w:adjustRightInd w:val="0"/>
        <w:rPr>
          <w:rFonts w:eastAsia="Calibri" w:cs="Verdana"/>
          <w:u w:val="single"/>
          <w:lang w:val="es-CR"/>
        </w:rPr>
      </w:pPr>
    </w:p>
    <w:p w:rsidR="004644C9" w:rsidRDefault="004644C9" w:rsidP="003C14FB">
      <w:pPr>
        <w:numPr>
          <w:ilvl w:val="0"/>
          <w:numId w:val="1"/>
        </w:numPr>
        <w:tabs>
          <w:tab w:val="num" w:pos="720"/>
        </w:tabs>
        <w:autoSpaceDE w:val="0"/>
        <w:autoSpaceDN w:val="0"/>
        <w:adjustRightInd w:val="0"/>
        <w:jc w:val="both"/>
        <w:rPr>
          <w:rFonts w:eastAsia="Calibri" w:cs="Verdana"/>
          <w:u w:val="single"/>
          <w:lang w:val="es-CR"/>
        </w:rPr>
      </w:pPr>
      <w:r w:rsidRPr="00CE37F7">
        <w:rPr>
          <w:rFonts w:eastAsia="Calibri" w:cs="Verdana"/>
          <w:lang w:val="es-CR"/>
        </w:rPr>
        <w:t xml:space="preserve">El 21 de junio de 2012, siguiendo instrucciones del Presidente de la Corte, la Secretaría del Tribunal transmitió la referida comunicación </w:t>
      </w:r>
      <w:r w:rsidR="00DC5A20">
        <w:rPr>
          <w:rFonts w:eastAsia="Calibri" w:cs="Verdana"/>
          <w:lang w:val="es-CR"/>
        </w:rPr>
        <w:t>al</w:t>
      </w:r>
      <w:r w:rsidR="00917D0F">
        <w:rPr>
          <w:rFonts w:eastAsia="Calibri" w:cs="Verdana"/>
          <w:lang w:val="es-CR"/>
        </w:rPr>
        <w:t xml:space="preserve"> Estado</w:t>
      </w:r>
      <w:r w:rsidRPr="00CE37F7">
        <w:rPr>
          <w:rFonts w:eastAsia="Calibri" w:cs="Verdana"/>
          <w:lang w:val="es-CR"/>
        </w:rPr>
        <w:t xml:space="preserve"> de Chile (en adelante</w:t>
      </w:r>
      <w:r>
        <w:rPr>
          <w:rFonts w:eastAsia="Calibri" w:cs="Verdana"/>
          <w:lang w:val="es-CR"/>
        </w:rPr>
        <w:t xml:space="preserve"> “Chile</w:t>
      </w:r>
      <w:r w:rsidRPr="00F478FC">
        <w:rPr>
          <w:rFonts w:eastAsia="Calibri" w:cs="Verdana"/>
          <w:lang w:val="es-CR"/>
        </w:rPr>
        <w:t xml:space="preserve">” o “el Estado”) y a la Comisión Interamericana de Derechos Humanos (en adelante “la Comisión Interamericana” o “la Comisión”). Asimismo, se informó al Estado y a la Comisión Interamericana que podrían presentar los alegatos escritos u observaciones que estimaran pertinentes, a más tardar el </w:t>
      </w:r>
      <w:r>
        <w:rPr>
          <w:rFonts w:eastAsia="Calibri" w:cs="Verdana"/>
          <w:lang w:val="es-CR"/>
        </w:rPr>
        <w:t>21</w:t>
      </w:r>
      <w:r w:rsidRPr="00F478FC">
        <w:rPr>
          <w:rFonts w:eastAsia="Calibri" w:cs="Verdana"/>
          <w:lang w:val="es-CR"/>
        </w:rPr>
        <w:t xml:space="preserve"> de </w:t>
      </w:r>
      <w:r>
        <w:rPr>
          <w:rFonts w:eastAsia="Calibri" w:cs="Verdana"/>
          <w:lang w:val="es-CR"/>
        </w:rPr>
        <w:t>julio</w:t>
      </w:r>
      <w:r w:rsidRPr="00F478FC">
        <w:rPr>
          <w:rFonts w:eastAsia="Calibri" w:cs="Verdana"/>
          <w:lang w:val="es-CR"/>
        </w:rPr>
        <w:t xml:space="preserve"> de 2012. </w:t>
      </w:r>
    </w:p>
    <w:p w:rsidR="004644C9" w:rsidRDefault="004644C9" w:rsidP="003C14FB">
      <w:pPr>
        <w:pStyle w:val="Prrafodelista"/>
        <w:rPr>
          <w:rFonts w:eastAsia="Calibri" w:cs="Verdana"/>
          <w:lang w:val="es-CR"/>
        </w:rPr>
      </w:pPr>
    </w:p>
    <w:p w:rsidR="004644C9" w:rsidRPr="00F478FC" w:rsidRDefault="004644C9" w:rsidP="003C14FB">
      <w:pPr>
        <w:numPr>
          <w:ilvl w:val="0"/>
          <w:numId w:val="1"/>
        </w:numPr>
        <w:tabs>
          <w:tab w:val="num" w:pos="720"/>
        </w:tabs>
        <w:autoSpaceDE w:val="0"/>
        <w:autoSpaceDN w:val="0"/>
        <w:adjustRightInd w:val="0"/>
        <w:jc w:val="both"/>
        <w:rPr>
          <w:rFonts w:eastAsia="Calibri" w:cs="Verdana"/>
          <w:u w:val="single"/>
          <w:lang w:val="es-CR"/>
        </w:rPr>
      </w:pPr>
      <w:r>
        <w:rPr>
          <w:rFonts w:eastAsia="Calibri" w:cs="Verdana"/>
          <w:lang w:val="es-CR"/>
        </w:rPr>
        <w:t xml:space="preserve">El 21 de julio de 2012, el Estado </w:t>
      </w:r>
      <w:r w:rsidRPr="00F478FC">
        <w:rPr>
          <w:rFonts w:eastAsia="Calibri" w:cs="Verdana"/>
          <w:lang w:val="es-CR"/>
        </w:rPr>
        <w:t>presentó</w:t>
      </w:r>
      <w:r>
        <w:rPr>
          <w:rFonts w:eastAsia="Calibri" w:cs="Verdana"/>
          <w:lang w:val="es-CR"/>
        </w:rPr>
        <w:t xml:space="preserve"> sus alegatos y</w:t>
      </w:r>
      <w:r w:rsidRPr="00F478FC">
        <w:rPr>
          <w:rFonts w:eastAsia="Calibri" w:cs="Verdana"/>
          <w:lang w:val="es-CR"/>
        </w:rPr>
        <w:t xml:space="preserve"> observaciones con respecto a la solicitud de </w:t>
      </w:r>
      <w:r>
        <w:rPr>
          <w:rFonts w:eastAsia="Calibri" w:cs="Verdana"/>
          <w:lang w:val="es-CR"/>
        </w:rPr>
        <w:t>interpretación de lo</w:t>
      </w:r>
      <w:r w:rsidRPr="00F478FC">
        <w:rPr>
          <w:rFonts w:eastAsia="Calibri" w:cs="Verdana"/>
          <w:lang w:val="es-CR"/>
        </w:rPr>
        <w:t xml:space="preserve">s representantes. </w:t>
      </w:r>
    </w:p>
    <w:p w:rsidR="004644C9" w:rsidRPr="00F478FC" w:rsidRDefault="004644C9" w:rsidP="003C14FB">
      <w:pPr>
        <w:autoSpaceDE w:val="0"/>
        <w:autoSpaceDN w:val="0"/>
        <w:adjustRightInd w:val="0"/>
        <w:rPr>
          <w:rFonts w:eastAsia="Calibri" w:cs="Verdana"/>
          <w:lang w:val="es-CR"/>
        </w:rPr>
      </w:pPr>
    </w:p>
    <w:p w:rsidR="004644C9" w:rsidRPr="00F478FC" w:rsidRDefault="004644C9" w:rsidP="003C14FB">
      <w:pPr>
        <w:numPr>
          <w:ilvl w:val="0"/>
          <w:numId w:val="1"/>
        </w:numPr>
        <w:tabs>
          <w:tab w:val="num" w:pos="720"/>
        </w:tabs>
        <w:autoSpaceDE w:val="0"/>
        <w:autoSpaceDN w:val="0"/>
        <w:adjustRightInd w:val="0"/>
        <w:jc w:val="both"/>
        <w:rPr>
          <w:rFonts w:eastAsia="Batang"/>
          <w:szCs w:val="24"/>
          <w:lang w:val="es-CR"/>
        </w:rPr>
      </w:pPr>
      <w:bookmarkStart w:id="1" w:name="_Ref324683819"/>
      <w:r w:rsidRPr="008111BE">
        <w:rPr>
          <w:rFonts w:eastAsia="Calibri" w:cs="Verdana"/>
          <w:lang w:val="es-CR"/>
        </w:rPr>
        <w:t xml:space="preserve">El </w:t>
      </w:r>
      <w:r>
        <w:rPr>
          <w:rFonts w:eastAsia="Calibri" w:cs="Verdana"/>
          <w:lang w:val="es-CR"/>
        </w:rPr>
        <w:t>mismo día</w:t>
      </w:r>
      <w:r w:rsidRPr="008111BE">
        <w:rPr>
          <w:rFonts w:eastAsia="Calibri" w:cs="Verdana"/>
          <w:lang w:val="es-CR"/>
        </w:rPr>
        <w:t>, la Comisión Interamericana presentó sus observaciones con respecto a la referida solicitud de interpretación de los representantes</w:t>
      </w:r>
      <w:bookmarkEnd w:id="1"/>
      <w:r>
        <w:rPr>
          <w:rFonts w:eastAsia="Calibri" w:cs="Verdana"/>
          <w:lang w:val="es-CR"/>
        </w:rPr>
        <w:t>.</w:t>
      </w:r>
    </w:p>
    <w:p w:rsidR="008F5901" w:rsidRDefault="008F5901" w:rsidP="003C14FB">
      <w:pPr>
        <w:autoSpaceDE w:val="0"/>
        <w:autoSpaceDN w:val="0"/>
        <w:adjustRightInd w:val="0"/>
        <w:jc w:val="both"/>
        <w:rPr>
          <w:rFonts w:eastAsia="Calibri" w:cs="Verdana"/>
          <w:lang w:val="es-CR"/>
        </w:rPr>
      </w:pPr>
    </w:p>
    <w:p w:rsidR="008F5901" w:rsidRPr="002B6099" w:rsidRDefault="008F5901" w:rsidP="003C14FB">
      <w:pPr>
        <w:jc w:val="center"/>
        <w:rPr>
          <w:b/>
          <w:bCs/>
          <w:lang w:val="es-CR"/>
        </w:rPr>
      </w:pPr>
      <w:r w:rsidRPr="002B6099">
        <w:rPr>
          <w:b/>
          <w:bCs/>
          <w:lang w:val="es-CR"/>
        </w:rPr>
        <w:t>II</w:t>
      </w:r>
    </w:p>
    <w:p w:rsidR="008F5901" w:rsidRPr="002B6099" w:rsidRDefault="008F5901" w:rsidP="003C14FB">
      <w:pPr>
        <w:jc w:val="center"/>
        <w:rPr>
          <w:b/>
          <w:bCs/>
          <w:lang w:val="es-CR"/>
        </w:rPr>
      </w:pPr>
      <w:r w:rsidRPr="002B6099">
        <w:rPr>
          <w:b/>
          <w:bCs/>
          <w:lang w:val="es-CR"/>
        </w:rPr>
        <w:t>COMPETENCIA</w:t>
      </w:r>
    </w:p>
    <w:p w:rsidR="008F5901" w:rsidRDefault="008F5901" w:rsidP="003C14FB">
      <w:pPr>
        <w:pStyle w:val="Prrafodelista"/>
        <w:rPr>
          <w:lang w:val="es-CR"/>
        </w:rPr>
      </w:pPr>
    </w:p>
    <w:p w:rsidR="008F5901" w:rsidRPr="00F7572E" w:rsidRDefault="008F5901" w:rsidP="003C14FB">
      <w:pPr>
        <w:numPr>
          <w:ilvl w:val="0"/>
          <w:numId w:val="1"/>
        </w:numPr>
        <w:tabs>
          <w:tab w:val="clear" w:pos="1247"/>
          <w:tab w:val="num" w:pos="720"/>
        </w:tabs>
        <w:autoSpaceDE w:val="0"/>
        <w:autoSpaceDN w:val="0"/>
        <w:adjustRightInd w:val="0"/>
        <w:jc w:val="both"/>
        <w:rPr>
          <w:bCs/>
        </w:rPr>
      </w:pPr>
      <w:r w:rsidRPr="0062046E">
        <w:rPr>
          <w:lang w:val="es-CR"/>
        </w:rPr>
        <w:t>El artículo 67 de la Convención establece que:</w:t>
      </w:r>
    </w:p>
    <w:p w:rsidR="008F5901" w:rsidRPr="00F7572E" w:rsidRDefault="008F5901" w:rsidP="003C14FB">
      <w:pPr>
        <w:autoSpaceDE w:val="0"/>
        <w:autoSpaceDN w:val="0"/>
        <w:adjustRightInd w:val="0"/>
        <w:jc w:val="both"/>
        <w:rPr>
          <w:bCs/>
        </w:rPr>
      </w:pPr>
    </w:p>
    <w:p w:rsidR="008F5901" w:rsidRPr="007F4C8C" w:rsidRDefault="008F5901" w:rsidP="003C14FB">
      <w:pPr>
        <w:ind w:left="720" w:right="639"/>
        <w:jc w:val="both"/>
        <w:rPr>
          <w:sz w:val="18"/>
          <w:szCs w:val="18"/>
        </w:rPr>
      </w:pPr>
      <w:r w:rsidRPr="007F4C8C">
        <w:rPr>
          <w:sz w:val="18"/>
          <w:szCs w:val="18"/>
        </w:rPr>
        <w:t>[</w:t>
      </w:r>
      <w:proofErr w:type="gramStart"/>
      <w:r w:rsidRPr="007F4C8C">
        <w:rPr>
          <w:sz w:val="18"/>
          <w:szCs w:val="18"/>
        </w:rPr>
        <w:t>e]</w:t>
      </w:r>
      <w:proofErr w:type="gramEnd"/>
      <w:r w:rsidRPr="007F4C8C">
        <w:rPr>
          <w:sz w:val="18"/>
          <w:szCs w:val="18"/>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8F5901" w:rsidRPr="00F7572E" w:rsidRDefault="008F5901" w:rsidP="003C14FB">
      <w:pPr>
        <w:autoSpaceDE w:val="0"/>
        <w:autoSpaceDN w:val="0"/>
        <w:adjustRightInd w:val="0"/>
        <w:jc w:val="both"/>
        <w:rPr>
          <w:bCs/>
        </w:rPr>
      </w:pPr>
    </w:p>
    <w:p w:rsidR="008F5901" w:rsidRPr="00F7572E" w:rsidRDefault="008F5901" w:rsidP="003C14FB">
      <w:pPr>
        <w:numPr>
          <w:ilvl w:val="0"/>
          <w:numId w:val="1"/>
        </w:numPr>
        <w:tabs>
          <w:tab w:val="clear" w:pos="1247"/>
          <w:tab w:val="num" w:pos="720"/>
        </w:tabs>
        <w:autoSpaceDE w:val="0"/>
        <w:autoSpaceDN w:val="0"/>
        <w:adjustRightInd w:val="0"/>
        <w:jc w:val="both"/>
        <w:rPr>
          <w:bCs/>
        </w:rPr>
      </w:pPr>
      <w:r w:rsidRPr="00F7572E">
        <w:rPr>
          <w:lang w:val="es-CR"/>
        </w:rPr>
        <w:t xml:space="preserve">De conformidad con el artículo citado, la Corte es competente para interpretar sus fallos. Para realizar el examen de la demanda de interpretación y resolver lo que a este respecto corresponda, el Tribunal debe tener, si es posible, la misma composición que tenía al dictar la Sentencia respectiva, de acuerdo con el artículo 68.3 del Reglamento. En esta </w:t>
      </w:r>
      <w:r w:rsidRPr="00F7572E">
        <w:rPr>
          <w:lang w:val="es-CR"/>
        </w:rPr>
        <w:lastRenderedPageBreak/>
        <w:t xml:space="preserve">ocasión, la Corte se integra con los jueces que dictaron la Sentencia cuya interpretación </w:t>
      </w:r>
      <w:r w:rsidR="007B20D4">
        <w:rPr>
          <w:lang w:val="es-CR"/>
        </w:rPr>
        <w:t>ha sido solicitada por lo</w:t>
      </w:r>
      <w:r w:rsidRPr="00F7572E">
        <w:rPr>
          <w:lang w:val="es-CR"/>
        </w:rPr>
        <w:t xml:space="preserve">s representantes. </w:t>
      </w:r>
    </w:p>
    <w:p w:rsidR="008F5901" w:rsidRDefault="008F5901" w:rsidP="003C14FB">
      <w:pPr>
        <w:autoSpaceDE w:val="0"/>
        <w:autoSpaceDN w:val="0"/>
        <w:adjustRightInd w:val="0"/>
        <w:jc w:val="both"/>
        <w:rPr>
          <w:rFonts w:eastAsia="Calibri" w:cs="Verdana"/>
          <w:lang w:val="es-CR"/>
        </w:rPr>
      </w:pPr>
    </w:p>
    <w:p w:rsidR="008F5901" w:rsidRDefault="008F5901" w:rsidP="003C14FB">
      <w:pPr>
        <w:autoSpaceDE w:val="0"/>
        <w:autoSpaceDN w:val="0"/>
        <w:adjustRightInd w:val="0"/>
        <w:jc w:val="center"/>
        <w:rPr>
          <w:rFonts w:eastAsia="Calibri" w:cs="Verdana"/>
          <w:b/>
          <w:lang w:val="es-CR"/>
        </w:rPr>
      </w:pPr>
      <w:r w:rsidRPr="00CA6E48">
        <w:rPr>
          <w:rFonts w:eastAsia="Calibri" w:cs="Verdana"/>
          <w:b/>
          <w:lang w:val="es-CR"/>
        </w:rPr>
        <w:t>III</w:t>
      </w:r>
    </w:p>
    <w:p w:rsidR="008F5901" w:rsidRDefault="008F5901" w:rsidP="003C14FB">
      <w:pPr>
        <w:autoSpaceDE w:val="0"/>
        <w:autoSpaceDN w:val="0"/>
        <w:adjustRightInd w:val="0"/>
        <w:jc w:val="center"/>
        <w:rPr>
          <w:rFonts w:eastAsia="Calibri" w:cs="Verdana"/>
          <w:b/>
          <w:lang w:val="es-CR"/>
        </w:rPr>
      </w:pPr>
      <w:r w:rsidRPr="00CA6E48">
        <w:rPr>
          <w:rFonts w:eastAsia="Calibri" w:cs="Verdana"/>
          <w:b/>
          <w:lang w:val="es-CR"/>
        </w:rPr>
        <w:t>ADMISIBILIDAD</w:t>
      </w:r>
    </w:p>
    <w:p w:rsidR="008F5901" w:rsidRPr="00CA6E48" w:rsidRDefault="008F5901" w:rsidP="003C14FB">
      <w:pPr>
        <w:autoSpaceDE w:val="0"/>
        <w:autoSpaceDN w:val="0"/>
        <w:adjustRightInd w:val="0"/>
        <w:rPr>
          <w:rFonts w:eastAsia="Calibri" w:cs="Verdana"/>
          <w:b/>
          <w:lang w:val="es-CR"/>
        </w:rPr>
      </w:pPr>
    </w:p>
    <w:p w:rsidR="008F5901" w:rsidRPr="00CA6E48" w:rsidRDefault="008F5901" w:rsidP="003C14FB">
      <w:pPr>
        <w:numPr>
          <w:ilvl w:val="0"/>
          <w:numId w:val="1"/>
        </w:numPr>
        <w:tabs>
          <w:tab w:val="clear" w:pos="1247"/>
          <w:tab w:val="num" w:pos="720"/>
        </w:tabs>
        <w:autoSpaceDE w:val="0"/>
        <w:autoSpaceDN w:val="0"/>
        <w:adjustRightInd w:val="0"/>
        <w:jc w:val="both"/>
        <w:rPr>
          <w:rFonts w:eastAsia="Calibri" w:cs="Verdana"/>
          <w:lang w:val="es-CR"/>
        </w:rPr>
      </w:pPr>
      <w:r w:rsidRPr="00C25DE5">
        <w:t xml:space="preserve">Corresponde a la Corte verificar si la </w:t>
      </w:r>
      <w:r>
        <w:t xml:space="preserve">solicitud presentada por </w:t>
      </w:r>
      <w:r w:rsidR="00DA42E0">
        <w:t>lo</w:t>
      </w:r>
      <w:r w:rsidRPr="00ED71AA">
        <w:t>s representantes cumple con los requisitos establecidos en las normas aplicables a una solicitud de interpretación</w:t>
      </w:r>
      <w:r>
        <w:t xml:space="preserve"> de Sentencia</w:t>
      </w:r>
      <w:r w:rsidRPr="00C25DE5">
        <w:t>, a saber, el artículo 67 de la Convención, anteri</w:t>
      </w:r>
      <w:r>
        <w:t>ormente citado, y el artículo 68</w:t>
      </w:r>
      <w:r w:rsidRPr="00C25DE5">
        <w:t xml:space="preserve"> del Reglamento que dispone, en lo pertinente, que:</w:t>
      </w:r>
    </w:p>
    <w:p w:rsidR="008F5901" w:rsidRPr="00CA6E48" w:rsidRDefault="008F5901" w:rsidP="003C14FB">
      <w:pPr>
        <w:rPr>
          <w:sz w:val="16"/>
          <w:lang w:val="es-CR"/>
        </w:rPr>
      </w:pPr>
    </w:p>
    <w:p w:rsidR="008F5901" w:rsidRDefault="008F5901" w:rsidP="003C14FB">
      <w:pPr>
        <w:ind w:left="720" w:right="720"/>
        <w:jc w:val="both"/>
        <w:rPr>
          <w:sz w:val="16"/>
          <w:szCs w:val="16"/>
        </w:rPr>
      </w:pPr>
      <w:r w:rsidRPr="00F1222B">
        <w:rPr>
          <w:sz w:val="16"/>
          <w:szCs w:val="16"/>
        </w:rPr>
        <w:t>1.</w:t>
      </w:r>
      <w:r w:rsidRPr="00F1222B">
        <w:rPr>
          <w:sz w:val="16"/>
          <w:szCs w:val="16"/>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8F5901" w:rsidRPr="00F1222B" w:rsidRDefault="008F5901" w:rsidP="003C14FB">
      <w:pPr>
        <w:ind w:left="720" w:right="720"/>
        <w:jc w:val="both"/>
        <w:rPr>
          <w:sz w:val="16"/>
          <w:szCs w:val="16"/>
        </w:rPr>
      </w:pPr>
    </w:p>
    <w:p w:rsidR="008F5901" w:rsidRPr="00F1222B" w:rsidRDefault="008F5901" w:rsidP="003C14FB">
      <w:pPr>
        <w:ind w:left="720" w:right="720"/>
        <w:rPr>
          <w:sz w:val="16"/>
          <w:szCs w:val="16"/>
        </w:rPr>
      </w:pPr>
      <w:r w:rsidRPr="00F1222B">
        <w:rPr>
          <w:sz w:val="16"/>
          <w:szCs w:val="16"/>
        </w:rPr>
        <w:t>[…]</w:t>
      </w:r>
    </w:p>
    <w:p w:rsidR="008F5901" w:rsidRDefault="008F5901" w:rsidP="003C14FB">
      <w:pPr>
        <w:ind w:left="720" w:right="720"/>
        <w:jc w:val="both"/>
        <w:rPr>
          <w:sz w:val="16"/>
          <w:szCs w:val="16"/>
        </w:rPr>
      </w:pPr>
    </w:p>
    <w:p w:rsidR="008F5901" w:rsidRPr="00F1222B" w:rsidRDefault="008F5901" w:rsidP="003C14FB">
      <w:pPr>
        <w:ind w:left="720" w:right="720"/>
        <w:jc w:val="both"/>
        <w:rPr>
          <w:sz w:val="16"/>
          <w:szCs w:val="16"/>
        </w:rPr>
      </w:pPr>
      <w:r w:rsidRPr="00F1222B">
        <w:rPr>
          <w:sz w:val="16"/>
          <w:szCs w:val="16"/>
        </w:rPr>
        <w:t>4.</w:t>
      </w:r>
      <w:r w:rsidRPr="00F1222B">
        <w:rPr>
          <w:sz w:val="16"/>
          <w:szCs w:val="16"/>
        </w:rPr>
        <w:tab/>
        <w:t>La solicitud de interpretación no suspenderá la ejecución de la sentencia.</w:t>
      </w:r>
    </w:p>
    <w:p w:rsidR="008F5901" w:rsidRPr="00F1222B" w:rsidRDefault="008F5901" w:rsidP="003C14FB">
      <w:pPr>
        <w:ind w:left="720" w:right="702"/>
        <w:rPr>
          <w:sz w:val="16"/>
          <w:szCs w:val="16"/>
        </w:rPr>
      </w:pPr>
    </w:p>
    <w:p w:rsidR="008F5901" w:rsidRPr="00F1222B" w:rsidRDefault="008F5901" w:rsidP="003C14FB">
      <w:pPr>
        <w:ind w:left="720" w:right="702"/>
        <w:jc w:val="both"/>
        <w:rPr>
          <w:sz w:val="16"/>
          <w:szCs w:val="16"/>
        </w:rPr>
      </w:pPr>
      <w:r w:rsidRPr="00F1222B">
        <w:rPr>
          <w:sz w:val="16"/>
          <w:szCs w:val="16"/>
        </w:rPr>
        <w:t>5.</w:t>
      </w:r>
      <w:r w:rsidRPr="00F1222B">
        <w:rPr>
          <w:sz w:val="16"/>
          <w:szCs w:val="16"/>
        </w:rPr>
        <w:tab/>
        <w:t>La Corte determinará el procedimiento que se s</w:t>
      </w:r>
      <w:r>
        <w:rPr>
          <w:sz w:val="16"/>
          <w:szCs w:val="16"/>
        </w:rPr>
        <w:t xml:space="preserve">eguirá y resolverá mediante una </w:t>
      </w:r>
      <w:r w:rsidRPr="00F1222B">
        <w:rPr>
          <w:sz w:val="16"/>
          <w:szCs w:val="16"/>
        </w:rPr>
        <w:t>sentencia.</w:t>
      </w:r>
    </w:p>
    <w:p w:rsidR="008F5901" w:rsidRDefault="008F5901" w:rsidP="003C14FB">
      <w:pPr>
        <w:ind w:left="720"/>
        <w:rPr>
          <w:sz w:val="18"/>
          <w:szCs w:val="18"/>
        </w:rPr>
      </w:pPr>
      <w:r w:rsidRPr="00F1222B">
        <w:rPr>
          <w:sz w:val="18"/>
          <w:szCs w:val="18"/>
        </w:rPr>
        <w:t xml:space="preserve"> </w:t>
      </w:r>
    </w:p>
    <w:p w:rsidR="008F5901" w:rsidRPr="00F1222B" w:rsidRDefault="008F5901" w:rsidP="003C14FB">
      <w:pPr>
        <w:ind w:left="720"/>
        <w:rPr>
          <w:sz w:val="18"/>
          <w:szCs w:val="18"/>
        </w:rPr>
      </w:pPr>
    </w:p>
    <w:p w:rsidR="000D6143" w:rsidRDefault="008F5901" w:rsidP="003C14FB">
      <w:pPr>
        <w:numPr>
          <w:ilvl w:val="0"/>
          <w:numId w:val="1"/>
        </w:numPr>
        <w:tabs>
          <w:tab w:val="clear" w:pos="1247"/>
          <w:tab w:val="num" w:pos="720"/>
        </w:tabs>
        <w:jc w:val="both"/>
      </w:pPr>
      <w:r>
        <w:t>Asimismo, el artículo 31.3 del Reglamento establece que “[c]ontra las sentencias y resoluciones de la Corte no procede ningún medio de impugnación”.</w:t>
      </w:r>
    </w:p>
    <w:p w:rsidR="000D6143" w:rsidRDefault="000D6143" w:rsidP="003C14FB">
      <w:pPr>
        <w:jc w:val="both"/>
      </w:pPr>
    </w:p>
    <w:p w:rsidR="000F528C" w:rsidRDefault="000D6143" w:rsidP="003C14FB">
      <w:pPr>
        <w:numPr>
          <w:ilvl w:val="0"/>
          <w:numId w:val="1"/>
        </w:numPr>
        <w:tabs>
          <w:tab w:val="clear" w:pos="1247"/>
          <w:tab w:val="num" w:pos="720"/>
        </w:tabs>
        <w:jc w:val="both"/>
      </w:pPr>
      <w:r w:rsidRPr="00DF3C2C">
        <w:t xml:space="preserve">La Corte observa que </w:t>
      </w:r>
      <w:r>
        <w:t>los</w:t>
      </w:r>
      <w:r w:rsidRPr="00DF3C2C">
        <w:t xml:space="preserve"> representante</w:t>
      </w:r>
      <w:r>
        <w:t>s presentaron</w:t>
      </w:r>
      <w:r w:rsidRPr="00DF3C2C">
        <w:t xml:space="preserve"> su solicitud de interpretación de la Sentencia dentro del plazo de </w:t>
      </w:r>
      <w:r>
        <w:t>noventa</w:t>
      </w:r>
      <w:r w:rsidRPr="00DF3C2C">
        <w:t xml:space="preserve"> días establecido en el artículo 67 de la Convención, ya que la misma fue </w:t>
      </w:r>
      <w:r>
        <w:t>notificada el 20 de marzo de 2012</w:t>
      </w:r>
      <w:r w:rsidRPr="00DF3C2C">
        <w:t xml:space="preserve">. </w:t>
      </w:r>
    </w:p>
    <w:p w:rsidR="000F528C" w:rsidRDefault="000F528C" w:rsidP="003C14FB">
      <w:pPr>
        <w:jc w:val="both"/>
      </w:pPr>
    </w:p>
    <w:p w:rsidR="0003160D" w:rsidRDefault="000D6143" w:rsidP="003C14FB">
      <w:pPr>
        <w:numPr>
          <w:ilvl w:val="0"/>
          <w:numId w:val="1"/>
        </w:numPr>
        <w:tabs>
          <w:tab w:val="clear" w:pos="1247"/>
          <w:tab w:val="num" w:pos="720"/>
        </w:tabs>
        <w:jc w:val="both"/>
      </w:pPr>
      <w:r w:rsidRPr="000A40BE">
        <w:t>Tal como lo ha dispuesto anteriormente este Tribunal en su jurisprudencia constante, claramente sustentada en el ordenamiento aplicable, una solicitud de interpretación de sentencia no debe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0A40BE">
        <w:rPr>
          <w:rStyle w:val="Refdenotaalpie"/>
        </w:rPr>
        <w:footnoteReference w:id="3"/>
      </w:r>
      <w:r w:rsidRPr="000A40BE">
        <w:t>. Por lo tanto, no se puede pedir la modificación o anulación de la sentencia respectiva a través de una solicitud de interpretación</w:t>
      </w:r>
      <w:r w:rsidRPr="000A40BE">
        <w:rPr>
          <w:rStyle w:val="Refdenotaalpie"/>
        </w:rPr>
        <w:footnoteReference w:id="4"/>
      </w:r>
      <w:r w:rsidRPr="000A40BE">
        <w:t xml:space="preserve">.  </w:t>
      </w:r>
    </w:p>
    <w:p w:rsidR="0003160D" w:rsidRDefault="0003160D" w:rsidP="003C14FB">
      <w:pPr>
        <w:jc w:val="both"/>
      </w:pPr>
    </w:p>
    <w:p w:rsidR="000D6143" w:rsidRPr="0035348F" w:rsidRDefault="000D6143" w:rsidP="003C14FB">
      <w:pPr>
        <w:numPr>
          <w:ilvl w:val="0"/>
          <w:numId w:val="1"/>
        </w:numPr>
        <w:tabs>
          <w:tab w:val="clear" w:pos="1247"/>
          <w:tab w:val="num" w:pos="720"/>
        </w:tabs>
        <w:jc w:val="both"/>
      </w:pPr>
      <w:r>
        <w:t>La Corte</w:t>
      </w:r>
      <w:r w:rsidRPr="0035348F">
        <w:t xml:space="preserve"> procederá a analizar la </w:t>
      </w:r>
      <w:r>
        <w:t>solicitud</w:t>
      </w:r>
      <w:r w:rsidRPr="0035348F">
        <w:t xml:space="preserve"> de interpretación presentada por </w:t>
      </w:r>
      <w:r w:rsidR="0003160D">
        <w:t>los</w:t>
      </w:r>
      <w:r w:rsidRPr="0035348F">
        <w:t xml:space="preserve"> </w:t>
      </w:r>
      <w:r>
        <w:t>representante</w:t>
      </w:r>
      <w:r w:rsidR="0003160D">
        <w:t>s</w:t>
      </w:r>
      <w:r w:rsidRPr="0035348F">
        <w:t xml:space="preserve"> y, en su caso, realizar</w:t>
      </w:r>
      <w:r>
        <w:t>á</w:t>
      </w:r>
      <w:r w:rsidRPr="0035348F">
        <w:t xml:space="preserve"> las aclaraciones que estime pertinentes. Para ello, examinará las cuestiones planteadas por </w:t>
      </w:r>
      <w:r w:rsidR="0003160D">
        <w:t>los</w:t>
      </w:r>
      <w:r>
        <w:t xml:space="preserve"> representante</w:t>
      </w:r>
      <w:r w:rsidR="0003160D">
        <w:t>s</w:t>
      </w:r>
      <w:r w:rsidRPr="0035348F">
        <w:t>, así como los alegatos</w:t>
      </w:r>
      <w:r w:rsidR="00570456">
        <w:t xml:space="preserve"> y observaciones</w:t>
      </w:r>
      <w:r>
        <w:t xml:space="preserve"> del Estado</w:t>
      </w:r>
      <w:r w:rsidR="0003160D">
        <w:t xml:space="preserve"> y </w:t>
      </w:r>
      <w:r w:rsidR="00570456">
        <w:t xml:space="preserve">de </w:t>
      </w:r>
      <w:r w:rsidR="0003160D">
        <w:t>la Comisión</w:t>
      </w:r>
      <w:r>
        <w:t xml:space="preserve">. </w:t>
      </w:r>
    </w:p>
    <w:p w:rsidR="00E07899" w:rsidRDefault="00E07899" w:rsidP="00FB34F9">
      <w:pPr>
        <w:rPr>
          <w:u w:val="single"/>
        </w:rPr>
      </w:pPr>
    </w:p>
    <w:p w:rsidR="008F5901" w:rsidRPr="00F04BF5" w:rsidRDefault="008F5901" w:rsidP="003C14FB">
      <w:pPr>
        <w:ind w:left="720"/>
        <w:jc w:val="center"/>
        <w:rPr>
          <w:b/>
          <w:lang w:val="es-CR"/>
        </w:rPr>
      </w:pPr>
      <w:r w:rsidRPr="00F04BF5">
        <w:rPr>
          <w:b/>
          <w:lang w:val="es-CR"/>
        </w:rPr>
        <w:t>IV</w:t>
      </w:r>
    </w:p>
    <w:p w:rsidR="0003160D" w:rsidRPr="000A14A6" w:rsidRDefault="00E052EB" w:rsidP="003C14FB">
      <w:pPr>
        <w:ind w:right="720"/>
        <w:jc w:val="center"/>
        <w:rPr>
          <w:b/>
        </w:rPr>
      </w:pPr>
      <w:r w:rsidRPr="005C3E3D">
        <w:rPr>
          <w:b/>
        </w:rPr>
        <w:t>ANÁLISIS</w:t>
      </w:r>
      <w:r w:rsidR="0003160D">
        <w:rPr>
          <w:b/>
        </w:rPr>
        <w:t xml:space="preserve"> DE LA SOLICITUD DE INTERPRETACIÓN</w:t>
      </w:r>
    </w:p>
    <w:p w:rsidR="008F5901" w:rsidRPr="004D4473" w:rsidRDefault="008F5901" w:rsidP="003C14FB">
      <w:pPr>
        <w:jc w:val="both"/>
        <w:rPr>
          <w:u w:val="single"/>
          <w:lang w:val="es-CR"/>
        </w:rPr>
      </w:pPr>
    </w:p>
    <w:p w:rsidR="003F579F" w:rsidRDefault="0003160D" w:rsidP="003C14FB">
      <w:pPr>
        <w:numPr>
          <w:ilvl w:val="0"/>
          <w:numId w:val="1"/>
        </w:numPr>
        <w:tabs>
          <w:tab w:val="clear" w:pos="1247"/>
          <w:tab w:val="num" w:pos="720"/>
        </w:tabs>
        <w:jc w:val="both"/>
      </w:pPr>
      <w:r>
        <w:lastRenderedPageBreak/>
        <w:t>Los representantes presentaron la solicitud de interpretación, con el fin de “determinar el sentido y alcance de tres aspectos puntuales rela</w:t>
      </w:r>
      <w:r w:rsidR="000815A9">
        <w:t>cionados con las reparaciones”</w:t>
      </w:r>
      <w:r>
        <w:t>, a saber: i) “recepción del consenti</w:t>
      </w:r>
      <w:r w:rsidR="00570456">
        <w:t>miento libre e informado de V. r</w:t>
      </w:r>
      <w:r>
        <w:t>elativo a si se considera parte lesionada”; ii) “ejecutabilidad de la rehabilitación, ordenada como reparaciones por la</w:t>
      </w:r>
      <w:r w:rsidR="000815A9">
        <w:t xml:space="preserve"> Corte a favor de M., V. y R.”</w:t>
      </w:r>
      <w:r>
        <w:t>, y iii) “pago de honorarios y gastos incurridos por la perito María Alicia Espinoza”.</w:t>
      </w:r>
      <w:r w:rsidR="003F579F">
        <w:t xml:space="preserve"> Teniendo en cuenta lo anterior, la Corte procederá a analizar cada uno de estos puntos de manera autónoma con el fin de determinar si es procedente o no.</w:t>
      </w:r>
    </w:p>
    <w:p w:rsidR="008F5901" w:rsidRDefault="008F5901" w:rsidP="003C14FB">
      <w:pPr>
        <w:jc w:val="both"/>
      </w:pPr>
    </w:p>
    <w:p w:rsidR="008F5901" w:rsidRPr="00A7027D" w:rsidRDefault="00A7027D" w:rsidP="003C14FB">
      <w:pPr>
        <w:jc w:val="both"/>
        <w:rPr>
          <w:b/>
        </w:rPr>
      </w:pPr>
      <w:r>
        <w:rPr>
          <w:b/>
        </w:rPr>
        <w:t xml:space="preserve">A. </w:t>
      </w:r>
      <w:r w:rsidR="00261A84">
        <w:rPr>
          <w:b/>
        </w:rPr>
        <w:tab/>
      </w:r>
      <w:r>
        <w:rPr>
          <w:b/>
        </w:rPr>
        <w:t>Recepción del consenti</w:t>
      </w:r>
      <w:r w:rsidR="00FC3DC7">
        <w:rPr>
          <w:b/>
        </w:rPr>
        <w:t>miento libre e informado de la niña V. r</w:t>
      </w:r>
      <w:r>
        <w:rPr>
          <w:b/>
        </w:rPr>
        <w:t>elativo a si se considera parte lesionada</w:t>
      </w:r>
    </w:p>
    <w:p w:rsidR="00A7027D" w:rsidRDefault="00A7027D" w:rsidP="003C14FB">
      <w:pPr>
        <w:jc w:val="both"/>
      </w:pPr>
    </w:p>
    <w:p w:rsidR="005B0BCB" w:rsidRDefault="0081454B" w:rsidP="003C14FB">
      <w:pPr>
        <w:numPr>
          <w:ilvl w:val="0"/>
          <w:numId w:val="1"/>
        </w:numPr>
        <w:tabs>
          <w:tab w:val="clear" w:pos="1247"/>
          <w:tab w:val="num" w:pos="720"/>
        </w:tabs>
        <w:jc w:val="both"/>
      </w:pPr>
      <w:r>
        <w:t xml:space="preserve">Los representantes </w:t>
      </w:r>
      <w:r w:rsidR="00984F68">
        <w:t>indicaron que “[n]o es claro para es[a] parte que el Estado de Chile haya ente</w:t>
      </w:r>
      <w:r w:rsidR="00570456">
        <w:t xml:space="preserve">ndido la diferencia hecha por </w:t>
      </w:r>
      <w:r w:rsidR="000815A9">
        <w:t>[la]</w:t>
      </w:r>
      <w:r w:rsidR="00984F68">
        <w:t xml:space="preserve"> Corte entre indemnización y otras reparaciones”, puesto que “el Estado considera que la entrevista con V. tendría por objeto determinar si se le cons</w:t>
      </w:r>
      <w:r w:rsidR="000815A9">
        <w:t>iderará víctima del proceso frente a</w:t>
      </w:r>
      <w:r w:rsidR="00984F68">
        <w:t xml:space="preserve"> la Corte”. Al respecto, los representantes alegaro</w:t>
      </w:r>
      <w:r w:rsidR="00570456">
        <w:t xml:space="preserve">n que los párrafos 71, 255, </w:t>
      </w:r>
      <w:r w:rsidR="000815A9">
        <w:t>299</w:t>
      </w:r>
      <w:r w:rsidR="00570456">
        <w:t xml:space="preserve"> y 313</w:t>
      </w:r>
      <w:r w:rsidR="00984F68">
        <w:t xml:space="preserve"> de la Sentencia, deben interpretarse</w:t>
      </w:r>
      <w:r w:rsidR="00783822">
        <w:t xml:space="preserve"> de manera que se entienda que “la indemnización no puede est</w:t>
      </w:r>
      <w:r w:rsidR="00100AE4">
        <w:t>ar en disputa”. Agregaron que “</w:t>
      </w:r>
      <w:r w:rsidR="00783822">
        <w:t>[c]ualquier otra interpretación, llevaría al absurdo de entender que [la] Corte le ha otorgado al mismo Estado infractor la posibilidad de determinar quiénes son víctimas de violaciones de derechos, y que la forma de cumplimiento</w:t>
      </w:r>
      <w:r w:rsidR="00783822" w:rsidRPr="00783822">
        <w:t xml:space="preserve"> </w:t>
      </w:r>
      <w:r w:rsidR="00783822">
        <w:t>constituye una nueva vulneración de los derechos de V. al</w:t>
      </w:r>
      <w:r w:rsidR="000815A9">
        <w:t xml:space="preserve"> violar su intimidad personal”</w:t>
      </w:r>
      <w:r w:rsidR="00783822">
        <w:t>.</w:t>
      </w:r>
    </w:p>
    <w:p w:rsidR="005B0BCB" w:rsidRDefault="005B0BCB" w:rsidP="003C14FB">
      <w:pPr>
        <w:jc w:val="both"/>
      </w:pPr>
    </w:p>
    <w:p w:rsidR="00565CCC" w:rsidRDefault="005B0BCB" w:rsidP="003C14FB">
      <w:pPr>
        <w:numPr>
          <w:ilvl w:val="0"/>
          <w:numId w:val="1"/>
        </w:numPr>
        <w:tabs>
          <w:tab w:val="clear" w:pos="1247"/>
          <w:tab w:val="num" w:pos="720"/>
        </w:tabs>
        <w:jc w:val="both"/>
      </w:pPr>
      <w:r>
        <w:t>El Estado manifestó que “[e]l objeto de recabar la opinión libre de la niña V. [le] parece absolutamente claro en la redacción de la [S]entencia”, pues entiende que los párrafos 71 y 313 aluden “a la necesidad de consultar a la niña V. respecto de las reparaciones que le atañen, en especial en lo referent</w:t>
      </w:r>
      <w:r w:rsidR="000815A9">
        <w:t>e al pago de la indemnización”</w:t>
      </w:r>
      <w:r w:rsidR="00057EF9">
        <w:t>. Asimismo, alegó que de la forma en que está dispuesto el párrafo 71 considera que éste establece “las garantías […]</w:t>
      </w:r>
      <w:r w:rsidR="00683DF6">
        <w:t xml:space="preserve"> para que no sea el Estado sino la propia joven la que determine libremente si desea o no ser considerada parte lesionada</w:t>
      </w:r>
      <w:r w:rsidR="000815A9">
        <w:t>”</w:t>
      </w:r>
      <w:r w:rsidR="00683DF6">
        <w:t>.</w:t>
      </w:r>
      <w:r w:rsidR="00565CCC">
        <w:t xml:space="preserve"> Agregó que “si la consulta a la menor [de edad] alude a las reparaciones, la indemnización necesariamente debe considerarse</w:t>
      </w:r>
      <w:r w:rsidR="000815A9">
        <w:t xml:space="preserve"> incluida como parte de estas”</w:t>
      </w:r>
      <w:r w:rsidR="00565CCC">
        <w:t>.</w:t>
      </w:r>
    </w:p>
    <w:p w:rsidR="00565CCC" w:rsidRDefault="00565CCC" w:rsidP="003C14FB">
      <w:pPr>
        <w:jc w:val="both"/>
      </w:pPr>
    </w:p>
    <w:p w:rsidR="003942F4" w:rsidRPr="003942F4" w:rsidRDefault="00565CCC" w:rsidP="003C14FB">
      <w:pPr>
        <w:numPr>
          <w:ilvl w:val="0"/>
          <w:numId w:val="1"/>
        </w:numPr>
        <w:tabs>
          <w:tab w:val="clear" w:pos="1247"/>
          <w:tab w:val="num" w:pos="720"/>
        </w:tabs>
        <w:jc w:val="both"/>
      </w:pPr>
      <w:r>
        <w:t xml:space="preserve">La Comisión indicó que “a efectos de lograr claridad sobre si la indemnización a favor de V. está condicionada a su manifestación de voluntad […] sería relevante una interpretación de </w:t>
      </w:r>
      <w:r w:rsidR="00212B23">
        <w:t>[</w:t>
      </w:r>
      <w:r>
        <w:t>la</w:t>
      </w:r>
      <w:r w:rsidR="00212B23">
        <w:t>]</w:t>
      </w:r>
      <w:r>
        <w:t xml:space="preserve"> Sentencia”. Añadió que dicha “interpretación podría beneficiar el proceso de cumplimiento de este punto”.</w:t>
      </w:r>
    </w:p>
    <w:p w:rsidR="000D21BA" w:rsidRDefault="000D21BA" w:rsidP="003C14FB">
      <w:pPr>
        <w:pStyle w:val="Prrafodelista"/>
        <w:rPr>
          <w:highlight w:val="yellow"/>
        </w:rPr>
      </w:pPr>
    </w:p>
    <w:p w:rsidR="000D21BA" w:rsidRDefault="000D21BA" w:rsidP="003C14FB">
      <w:pPr>
        <w:rPr>
          <w:i/>
        </w:rPr>
      </w:pPr>
      <w:r w:rsidRPr="002B09E2">
        <w:rPr>
          <w:i/>
        </w:rPr>
        <w:t>Consideraciones de la Corte</w:t>
      </w:r>
    </w:p>
    <w:p w:rsidR="000D21BA" w:rsidRDefault="000D21BA" w:rsidP="003C14FB">
      <w:pPr>
        <w:rPr>
          <w:i/>
        </w:rPr>
      </w:pPr>
    </w:p>
    <w:p w:rsidR="000D21BA" w:rsidRPr="003C14FB" w:rsidRDefault="003C14FB" w:rsidP="005E11F8">
      <w:pPr>
        <w:numPr>
          <w:ilvl w:val="0"/>
          <w:numId w:val="1"/>
        </w:numPr>
        <w:tabs>
          <w:tab w:val="clear" w:pos="1247"/>
          <w:tab w:val="num" w:pos="720"/>
        </w:tabs>
        <w:jc w:val="both"/>
      </w:pPr>
      <w:r w:rsidRPr="003C14FB">
        <w:rPr>
          <w:lang w:val="es-CR"/>
        </w:rPr>
        <w:t>La Corte resalta que, de conformidad con el artículo 63.1 de la Convención Americana, cuenta con facultades inherentes para ordenar reparaciones y, en específico, determinar el pago de una justa indemnización a la parte lesionada</w:t>
      </w:r>
      <w:r w:rsidRPr="003C14FB">
        <w:rPr>
          <w:rStyle w:val="Refdenotaalpie"/>
          <w:lang w:val="es-CR"/>
        </w:rPr>
        <w:footnoteReference w:id="5"/>
      </w:r>
      <w:r w:rsidRPr="003C14FB">
        <w:rPr>
          <w:lang w:val="es-CR"/>
        </w:rPr>
        <w:t>.</w:t>
      </w:r>
      <w:r w:rsidR="005E11F8">
        <w:rPr>
          <w:lang w:val="es-CR"/>
        </w:rPr>
        <w:t xml:space="preserve"> </w:t>
      </w:r>
      <w:r w:rsidR="005E11F8">
        <w:t>En particular, la Corte recuerda que en la Sentencia se estableció lo siguiente</w:t>
      </w:r>
      <w:r w:rsidR="000D21BA" w:rsidRPr="003C14FB">
        <w:t>:</w:t>
      </w:r>
    </w:p>
    <w:p w:rsidR="000D21BA" w:rsidRPr="00F478FC" w:rsidRDefault="000D21BA" w:rsidP="0083350E">
      <w:pPr>
        <w:ind w:right="540"/>
      </w:pPr>
    </w:p>
    <w:p w:rsidR="000D21BA" w:rsidRPr="005C1DDD" w:rsidRDefault="000D21BA" w:rsidP="0083350E">
      <w:pPr>
        <w:ind w:left="708" w:right="540"/>
        <w:jc w:val="both"/>
        <w:rPr>
          <w:sz w:val="16"/>
          <w:szCs w:val="16"/>
        </w:rPr>
      </w:pPr>
      <w:r w:rsidRPr="005C1DDD">
        <w:rPr>
          <w:sz w:val="16"/>
          <w:szCs w:val="16"/>
        </w:rPr>
        <w:t xml:space="preserve">“71. Como se indicó anteriormente, la niña V. no participó en dicha diligencia por motivos de fuerza mayor (supra párr. 13). Con base en las consideraciones anteriores, el Tribunal no halla ningún elemento para considerar que la niña V. no se encuentra en la misma condición que sus hermanas (infra párrs. 150, 176, 178 y 208). Sin embargo, para efectos de las reparaciones la autoridad </w:t>
      </w:r>
      <w:r w:rsidRPr="005C1DDD">
        <w:rPr>
          <w:sz w:val="16"/>
          <w:szCs w:val="16"/>
        </w:rPr>
        <w:lastRenderedPageBreak/>
        <w:t>nacional competente para la infancia deberá constatar en forma privada la opinión libre de la niña V. sobre si desea ser considerada parte lesionada.</w:t>
      </w:r>
    </w:p>
    <w:p w:rsidR="000D21BA" w:rsidRDefault="000D21BA" w:rsidP="003C14FB">
      <w:pPr>
        <w:ind w:left="708"/>
      </w:pPr>
    </w:p>
    <w:p w:rsidR="000D21BA" w:rsidRDefault="000D21BA" w:rsidP="003C14FB">
      <w:pPr>
        <w:pStyle w:val="Prrafodelista"/>
        <w:numPr>
          <w:ilvl w:val="0"/>
          <w:numId w:val="1"/>
        </w:numPr>
        <w:tabs>
          <w:tab w:val="left" w:pos="720"/>
        </w:tabs>
      </w:pPr>
      <w:bookmarkStart w:id="2" w:name="_Ref319941685"/>
      <w:r>
        <w:t>Respecto a la medida de rehabilitación de asistencia médica y psicológica, la Corte dispuso que</w:t>
      </w:r>
      <w:r w:rsidR="00570456">
        <w:t>:</w:t>
      </w:r>
    </w:p>
    <w:p w:rsidR="000D21BA" w:rsidRDefault="000D21BA" w:rsidP="003C14FB">
      <w:pPr>
        <w:pStyle w:val="Prrafodelista"/>
        <w:tabs>
          <w:tab w:val="left" w:pos="720"/>
        </w:tabs>
        <w:ind w:left="0"/>
      </w:pPr>
    </w:p>
    <w:p w:rsidR="000D21BA" w:rsidRPr="00B56B3C" w:rsidRDefault="000D21BA" w:rsidP="003C14FB">
      <w:pPr>
        <w:pStyle w:val="Prrafodelista"/>
        <w:tabs>
          <w:tab w:val="left" w:pos="720"/>
        </w:tabs>
        <w:ind w:left="709"/>
        <w:rPr>
          <w:sz w:val="16"/>
          <w:szCs w:val="16"/>
        </w:rPr>
      </w:pPr>
      <w:r w:rsidRPr="00B56B3C">
        <w:rPr>
          <w:sz w:val="16"/>
          <w:szCs w:val="16"/>
        </w:rPr>
        <w:tab/>
        <w:t>“255.  […]</w:t>
      </w:r>
      <w:r w:rsidR="005E11F8">
        <w:rPr>
          <w:sz w:val="16"/>
          <w:szCs w:val="16"/>
        </w:rPr>
        <w:t xml:space="preserve"> </w:t>
      </w:r>
      <w:r w:rsidRPr="00B56B3C">
        <w:rPr>
          <w:sz w:val="16"/>
          <w:szCs w:val="16"/>
        </w:rPr>
        <w:t>Las víctimas que soliciten esta medida de reparación, o sus representantes legales, disponen de un plazo de seis meses, contados a partir de la notificación de la presente Sentencia, para dar a conocer al Estado su intención de recibir atención psicológica o psiquiátrica.</w:t>
      </w:r>
      <w:bookmarkEnd w:id="2"/>
    </w:p>
    <w:p w:rsidR="000D21BA" w:rsidRDefault="000D21BA" w:rsidP="003C14FB">
      <w:pPr>
        <w:rPr>
          <w:sz w:val="22"/>
        </w:rPr>
      </w:pPr>
    </w:p>
    <w:p w:rsidR="000D21BA" w:rsidRPr="00B56B3C" w:rsidRDefault="000D21BA" w:rsidP="003C14FB">
      <w:pPr>
        <w:pStyle w:val="Prrafodelista"/>
        <w:numPr>
          <w:ilvl w:val="0"/>
          <w:numId w:val="1"/>
        </w:numPr>
        <w:tabs>
          <w:tab w:val="clear" w:pos="1247"/>
        </w:tabs>
        <w:contextualSpacing/>
        <w:rPr>
          <w:rFonts w:eastAsia="Times"/>
        </w:rPr>
      </w:pPr>
      <w:r w:rsidRPr="00B56B3C">
        <w:rPr>
          <w:rFonts w:eastAsia="Times"/>
        </w:rPr>
        <w:t>En cuanto a la indemnización, la Corte dispuso lo siguiente:</w:t>
      </w:r>
    </w:p>
    <w:p w:rsidR="000D21BA" w:rsidRPr="00B56B3C" w:rsidRDefault="000D21BA" w:rsidP="003C14FB">
      <w:pPr>
        <w:pStyle w:val="Prrafodelista"/>
        <w:ind w:left="0"/>
        <w:rPr>
          <w:rFonts w:eastAsia="Times"/>
          <w:sz w:val="16"/>
          <w:szCs w:val="16"/>
        </w:rPr>
      </w:pPr>
    </w:p>
    <w:p w:rsidR="000D21BA" w:rsidRPr="00B56B3C" w:rsidRDefault="000D21BA" w:rsidP="0083350E">
      <w:pPr>
        <w:tabs>
          <w:tab w:val="left" w:pos="720"/>
        </w:tabs>
        <w:ind w:left="709" w:right="450"/>
        <w:jc w:val="both"/>
        <w:rPr>
          <w:rFonts w:eastAsia="Times New Roman" w:cs="Arial"/>
          <w:i/>
          <w:sz w:val="16"/>
          <w:szCs w:val="16"/>
        </w:rPr>
      </w:pPr>
      <w:bookmarkStart w:id="3" w:name="_Ref319941899"/>
      <w:r w:rsidRPr="00B56B3C">
        <w:rPr>
          <w:rFonts w:eastAsia="Times New Roman"/>
          <w:sz w:val="16"/>
          <w:szCs w:val="16"/>
        </w:rPr>
        <w:tab/>
        <w:t>“299. […]</w:t>
      </w:r>
      <w:r w:rsidRPr="00B56B3C">
        <w:rPr>
          <w:rFonts w:eastAsia="Times New Roman" w:cs="Verdana"/>
          <w:sz w:val="16"/>
          <w:szCs w:val="16"/>
        </w:rPr>
        <w:t xml:space="preserve"> la Corte estima pertinente fijar, en equidad, la cantidad de </w:t>
      </w:r>
      <w:r w:rsidRPr="00B56B3C">
        <w:rPr>
          <w:rFonts w:eastAsia="Times New Roman" w:cs="Verdana"/>
          <w:bCs/>
          <w:sz w:val="16"/>
          <w:szCs w:val="16"/>
        </w:rPr>
        <w:t>US$ 20.000 (veinte mil dólares de los Estados Unidos de América)</w:t>
      </w:r>
      <w:r w:rsidRPr="00B56B3C">
        <w:rPr>
          <w:rFonts w:eastAsia="Times New Roman"/>
          <w:sz w:val="16"/>
          <w:szCs w:val="16"/>
        </w:rPr>
        <w:t xml:space="preserve"> para la señora Atala y de US$ 10.000 (diez mil dólares de los Estados Unidos de América) para cada una de las niñas M., V. y R. por concepto de indemnización por daño inmaterial.</w:t>
      </w:r>
      <w:bookmarkEnd w:id="3"/>
      <w:r w:rsidRPr="00B56B3C">
        <w:rPr>
          <w:rFonts w:eastAsia="Times New Roman"/>
          <w:sz w:val="16"/>
          <w:szCs w:val="16"/>
        </w:rPr>
        <w:t xml:space="preserve"> </w:t>
      </w:r>
    </w:p>
    <w:p w:rsidR="000D21BA" w:rsidRPr="00B56B3C" w:rsidRDefault="000D21BA" w:rsidP="0083350E">
      <w:pPr>
        <w:pStyle w:val="Prrafodelista"/>
        <w:ind w:left="0" w:right="450"/>
        <w:rPr>
          <w:rFonts w:eastAsia="Times"/>
          <w:sz w:val="16"/>
          <w:szCs w:val="16"/>
        </w:rPr>
      </w:pPr>
    </w:p>
    <w:p w:rsidR="000D21BA" w:rsidRPr="00B56B3C" w:rsidRDefault="000D21BA" w:rsidP="0083350E">
      <w:pPr>
        <w:ind w:left="708" w:right="450"/>
        <w:jc w:val="both"/>
        <w:rPr>
          <w:sz w:val="16"/>
          <w:szCs w:val="16"/>
        </w:rPr>
      </w:pPr>
      <w:r w:rsidRPr="00B56B3C">
        <w:rPr>
          <w:sz w:val="16"/>
          <w:szCs w:val="16"/>
        </w:rPr>
        <w:t>[…]</w:t>
      </w:r>
    </w:p>
    <w:p w:rsidR="000D21BA" w:rsidRPr="00B56B3C" w:rsidRDefault="000D21BA" w:rsidP="0083350E">
      <w:pPr>
        <w:ind w:right="450"/>
        <w:jc w:val="both"/>
        <w:rPr>
          <w:sz w:val="16"/>
          <w:szCs w:val="16"/>
        </w:rPr>
      </w:pPr>
    </w:p>
    <w:p w:rsidR="000D21BA" w:rsidRPr="0081253C" w:rsidRDefault="000D21BA" w:rsidP="0083350E">
      <w:pPr>
        <w:ind w:left="708" w:right="450"/>
        <w:jc w:val="both"/>
        <w:rPr>
          <w:sz w:val="16"/>
          <w:szCs w:val="16"/>
        </w:rPr>
      </w:pPr>
      <w:r w:rsidRPr="00B56B3C">
        <w:rPr>
          <w:sz w:val="16"/>
          <w:szCs w:val="16"/>
        </w:rPr>
        <w:t>313.</w:t>
      </w:r>
      <w:r w:rsidRPr="00B56B3C">
        <w:rPr>
          <w:sz w:val="16"/>
          <w:szCs w:val="16"/>
        </w:rPr>
        <w:tab/>
        <w:t xml:space="preserve">En cuanto a las indemnizaciones ordenadas a favor de las niñas M., V. y R., el Estado deberá depositarlas en una institución financiera chilena solvente en dólares estadounidenses. Las inversiones se harán dentro del plazo de un año, en las condiciones financieras más favorables que permitan la legislación y la práctica bancaria, mientras las beneficiarias sean menores de edad. Dicha suma podrá ser retirada por aquellas cuando alcancen la mayoría de edad, en su caso, o antes si así conviene al interés superior de las niñas, establecido por determinación de una autoridad judicial competente. Si no se reclaman las indemnizaciones correspondientes una vez transcurridos diez años contados a partir de la </w:t>
      </w:r>
      <w:r w:rsidRPr="00454E96">
        <w:rPr>
          <w:sz w:val="16"/>
          <w:szCs w:val="16"/>
        </w:rPr>
        <w:t xml:space="preserve">mayoría de edad de cada niña, la suma será devuelta al Estado con los intereses devengados. En lo que </w:t>
      </w:r>
      <w:r w:rsidRPr="0081253C">
        <w:rPr>
          <w:sz w:val="16"/>
          <w:szCs w:val="16"/>
        </w:rPr>
        <w:t>atañe a la niña V., a los efectos de las reparaciones, se debe estar a lo establecido en el párrafo 71 de la presente Sentencia.</w:t>
      </w:r>
    </w:p>
    <w:p w:rsidR="000009B1" w:rsidRPr="0081253C" w:rsidRDefault="000009B1" w:rsidP="0081253C">
      <w:pPr>
        <w:jc w:val="both"/>
      </w:pPr>
    </w:p>
    <w:p w:rsidR="00B16005" w:rsidRPr="005F33D0" w:rsidRDefault="0081253C" w:rsidP="005F33D0">
      <w:pPr>
        <w:numPr>
          <w:ilvl w:val="0"/>
          <w:numId w:val="1"/>
        </w:numPr>
        <w:tabs>
          <w:tab w:val="clear" w:pos="1247"/>
        </w:tabs>
        <w:jc w:val="both"/>
      </w:pPr>
      <w:r w:rsidRPr="0081253C">
        <w:t>Teniendo en cuenta lo establecido en los párrafos citados, la Corte considera que es claro que el Tribunal ordenó que para efectos de las reparaciones la autoridad nacional competente para la infancia deberá constatar en forma privada la opinión libre de la niña V. sobre si desea ser considerada parte lesionada. Al respecto, cabe destacar que si bien no se estableció en la Sentencia un procedimiento especifico de cómo deb</w:t>
      </w:r>
      <w:r w:rsidR="00212B23">
        <w:t>e realizarse la constatación, sí</w:t>
      </w:r>
      <w:r w:rsidRPr="0081253C">
        <w:t xml:space="preserve"> se estableció que debe ser de manera privada y, además, en la Sentencia, se brindaron estándares específicos sobre las consideraciones que se deben tener en cuenta para hacer efectivo el derecho a ser oídos de los niños y niñas. En particular, la Sentencia d</w:t>
      </w:r>
      <w:r w:rsidR="00212B23">
        <w:t>estacó la manera en que se llevó</w:t>
      </w:r>
      <w:r w:rsidRPr="0081253C">
        <w:t xml:space="preserve"> a cabo </w:t>
      </w:r>
      <w:r w:rsidRPr="00B16005">
        <w:t>la diligencia realizada por este Tribunal con las niñas M. y R. en los párrafos 68 y 69 de la misma</w:t>
      </w:r>
      <w:r w:rsidRPr="00B16005">
        <w:rPr>
          <w:rStyle w:val="Refdenotaalpie"/>
        </w:rPr>
        <w:footnoteReference w:id="6"/>
      </w:r>
      <w:r w:rsidRPr="00B16005">
        <w:t>, y</w:t>
      </w:r>
      <w:r w:rsidRPr="000009B1">
        <w:t xml:space="preserve"> en el acápite denominado “</w:t>
      </w:r>
      <w:bookmarkStart w:id="4" w:name="_Toc315819590"/>
      <w:bookmarkStart w:id="5" w:name="_Toc316333794"/>
      <w:bookmarkStart w:id="6" w:name="_Toc320017685"/>
      <w:r w:rsidRPr="0081253C">
        <w:rPr>
          <w:snapToGrid w:val="0"/>
          <w:kern w:val="32"/>
          <w:lang w:eastAsia="es-ES"/>
        </w:rPr>
        <w:t xml:space="preserve">Derecho de </w:t>
      </w:r>
      <w:r w:rsidRPr="0081253C">
        <w:rPr>
          <w:snapToGrid w:val="0"/>
          <w:kern w:val="32"/>
          <w:lang w:eastAsia="es-ES"/>
        </w:rPr>
        <w:lastRenderedPageBreak/>
        <w:t>las niñas M., V. y R</w:t>
      </w:r>
      <w:bookmarkEnd w:id="4"/>
      <w:bookmarkEnd w:id="5"/>
      <w:r w:rsidRPr="0081253C">
        <w:rPr>
          <w:snapToGrid w:val="0"/>
          <w:kern w:val="32"/>
          <w:lang w:eastAsia="es-ES"/>
        </w:rPr>
        <w:t>. a ser escuchadas y a que se tengan en cuenta sus opiniones</w:t>
      </w:r>
      <w:bookmarkEnd w:id="6"/>
      <w:r w:rsidRPr="000009B1">
        <w:t>”</w:t>
      </w:r>
      <w:r>
        <w:t xml:space="preserve"> se explicaron con detalle </w:t>
      </w:r>
      <w:r w:rsidR="0086501B">
        <w:t xml:space="preserve">las </w:t>
      </w:r>
      <w:r w:rsidR="0086501B" w:rsidRPr="00F61549">
        <w:t>previsiones sobre el derecho a ser escuchado</w:t>
      </w:r>
      <w:r w:rsidR="00B16005">
        <w:t>s</w:t>
      </w:r>
      <w:r w:rsidR="0086501B" w:rsidRPr="00F61549">
        <w:t xml:space="preserve"> de las niñas y los niños, con el objeto de que la intervención del niño se ajuste a las condiciones de éste y no redunde en perjuicio de su interés genuino</w:t>
      </w:r>
      <w:r w:rsidR="0086501B">
        <w:t>.</w:t>
      </w:r>
      <w:r w:rsidR="00B16005">
        <w:t xml:space="preserve"> </w:t>
      </w:r>
      <w:r w:rsidR="00AD536C">
        <w:t xml:space="preserve">Por ello, la Corte considera que </w:t>
      </w:r>
      <w:r w:rsidR="00262263">
        <w:t>no hay dudas respecto a</w:t>
      </w:r>
      <w:r w:rsidR="00AD536C">
        <w:t xml:space="preserve"> que la orden dada al Estado es la de </w:t>
      </w:r>
      <w:r w:rsidR="009543FF">
        <w:t>constatar</w:t>
      </w:r>
      <w:r w:rsidR="00AD536C" w:rsidRPr="005F33D0">
        <w:t xml:space="preserve"> la opinión libre de la niña V. </w:t>
      </w:r>
      <w:r w:rsidR="00212B23">
        <w:t>sobre si desea ser considerad</w:t>
      </w:r>
      <w:r w:rsidR="00ED0A84" w:rsidRPr="005F33D0">
        <w:t>a parte lesionada</w:t>
      </w:r>
      <w:r w:rsidR="005F33D0" w:rsidRPr="005F33D0">
        <w:t>.</w:t>
      </w:r>
      <w:r w:rsidR="00ED0A84" w:rsidRPr="005F33D0">
        <w:t xml:space="preserve"> </w:t>
      </w:r>
      <w:r w:rsidR="007001CD" w:rsidRPr="005F33D0">
        <w:rPr>
          <w:strike/>
        </w:rPr>
        <w:t xml:space="preserve"> </w:t>
      </w:r>
    </w:p>
    <w:p w:rsidR="00B16005" w:rsidRDefault="00B16005" w:rsidP="00B16005">
      <w:pPr>
        <w:jc w:val="both"/>
      </w:pPr>
    </w:p>
    <w:p w:rsidR="00790F0D" w:rsidRPr="00212B23" w:rsidRDefault="00790F0D" w:rsidP="00B16005">
      <w:pPr>
        <w:numPr>
          <w:ilvl w:val="0"/>
          <w:numId w:val="1"/>
        </w:numPr>
        <w:tabs>
          <w:tab w:val="clear" w:pos="1247"/>
        </w:tabs>
        <w:jc w:val="both"/>
      </w:pPr>
      <w:r w:rsidRPr="00212B23">
        <w:t>Al respecto, la Corte observa que existe una diferencia en la forma</w:t>
      </w:r>
      <w:r w:rsidR="007001CD" w:rsidRPr="00212B23">
        <w:t xml:space="preserve"> </w:t>
      </w:r>
      <w:r w:rsidR="007329DC" w:rsidRPr="00212B23">
        <w:t>de modalidad de cumplimiento entre la indemnización por concepto de daño inmaterial de</w:t>
      </w:r>
      <w:r w:rsidR="0056546F" w:rsidRPr="00212B23">
        <w:t xml:space="preserve"> </w:t>
      </w:r>
      <w:r w:rsidR="007329DC" w:rsidRPr="00212B23">
        <w:t>l</w:t>
      </w:r>
      <w:r w:rsidR="0056546F" w:rsidRPr="00212B23">
        <w:t>a</w:t>
      </w:r>
      <w:r w:rsidR="007329DC" w:rsidRPr="00212B23">
        <w:t xml:space="preserve"> qu</w:t>
      </w:r>
      <w:r w:rsidR="00DB4642" w:rsidRPr="00212B23">
        <w:t xml:space="preserve">e tratan los párrafos 299 y 313, y las demás reparaciones que se ordenaron </w:t>
      </w:r>
      <w:r w:rsidR="007329DC" w:rsidRPr="00212B23">
        <w:t>(</w:t>
      </w:r>
      <w:r w:rsidR="007329DC" w:rsidRPr="00212B23">
        <w:rPr>
          <w:i/>
        </w:rPr>
        <w:t>supra</w:t>
      </w:r>
      <w:r w:rsidR="00212B23" w:rsidRPr="00212B23">
        <w:t xml:space="preserve"> párr. 19</w:t>
      </w:r>
      <w:r w:rsidR="00DB4642" w:rsidRPr="00212B23">
        <w:t>).</w:t>
      </w:r>
      <w:r w:rsidR="007329DC" w:rsidRPr="00212B23">
        <w:t xml:space="preserve"> En </w:t>
      </w:r>
      <w:r w:rsidR="00D07D32" w:rsidRPr="00212B23">
        <w:t>este sentido</w:t>
      </w:r>
      <w:r w:rsidR="007329DC" w:rsidRPr="00212B23">
        <w:t xml:space="preserve">, el Tribunal </w:t>
      </w:r>
      <w:r w:rsidR="00D07D32" w:rsidRPr="00212B23">
        <w:t xml:space="preserve">precisa por vía de interpretación </w:t>
      </w:r>
      <w:r w:rsidR="007329DC" w:rsidRPr="00212B23">
        <w:t>que la indemnización otorgada deberá</w:t>
      </w:r>
      <w:r w:rsidR="005847DE" w:rsidRPr="00212B23">
        <w:t xml:space="preserve"> ser cumplida bajo</w:t>
      </w:r>
      <w:r w:rsidR="007329DC" w:rsidRPr="00212B23">
        <w:t xml:space="preserve"> la modalidad </w:t>
      </w:r>
      <w:r w:rsidR="0056546F" w:rsidRPr="00212B23">
        <w:t>establecida en el párrafo 313 de la Sentencia</w:t>
      </w:r>
      <w:r w:rsidR="007329DC" w:rsidRPr="00212B23">
        <w:t xml:space="preserve">, por lo cual el Estado </w:t>
      </w:r>
      <w:r w:rsidR="00DB4642" w:rsidRPr="00212B23">
        <w:t>deberá</w:t>
      </w:r>
      <w:r w:rsidR="007329DC" w:rsidRPr="00212B23">
        <w:t xml:space="preserve"> depositar el dinero en la institución financiera</w:t>
      </w:r>
      <w:r w:rsidR="00DB4642" w:rsidRPr="00212B23">
        <w:t xml:space="preserve"> mencionada</w:t>
      </w:r>
      <w:r w:rsidR="007329DC" w:rsidRPr="00212B23">
        <w:t xml:space="preserve">, </w:t>
      </w:r>
      <w:r w:rsidR="00DB4642" w:rsidRPr="00212B23">
        <w:t>sin requerir de</w:t>
      </w:r>
      <w:r w:rsidR="007329DC" w:rsidRPr="00212B23">
        <w:t xml:space="preserve"> la constatación de la </w:t>
      </w:r>
      <w:r w:rsidR="008249F7" w:rsidRPr="00212B23">
        <w:t xml:space="preserve">previa </w:t>
      </w:r>
      <w:r w:rsidR="007329DC" w:rsidRPr="00212B23">
        <w:t>opinión libre de la niña V.</w:t>
      </w:r>
      <w:r w:rsidR="008249F7" w:rsidRPr="00212B23">
        <w:t xml:space="preserve">, teniendo en cuenta que esos fondos pueden ser retirados por las destinatarias recién al adquirir </w:t>
      </w:r>
      <w:r w:rsidR="00FB34F9">
        <w:t xml:space="preserve">la </w:t>
      </w:r>
      <w:r w:rsidR="008249F7" w:rsidRPr="00212B23">
        <w:t>mayoría de edad</w:t>
      </w:r>
      <w:r w:rsidR="0002166C" w:rsidRPr="00212B23">
        <w:t>. Respecto a las demás medidas de reparación ordenadas</w:t>
      </w:r>
      <w:r w:rsidR="007329DC" w:rsidRPr="00212B23">
        <w:t xml:space="preserve"> a favor</w:t>
      </w:r>
      <w:r w:rsidR="0002166C" w:rsidRPr="00212B23">
        <w:t xml:space="preserve"> de la niña V</w:t>
      </w:r>
      <w:r w:rsidR="007329DC" w:rsidRPr="00212B23">
        <w:t>.</w:t>
      </w:r>
      <w:r w:rsidR="00212B23" w:rsidRPr="00212B23">
        <w:t>, sí</w:t>
      </w:r>
      <w:r w:rsidR="0002166C" w:rsidRPr="00212B23">
        <w:t xml:space="preserve"> se requerirá </w:t>
      </w:r>
      <w:r w:rsidR="00D07D32" w:rsidRPr="00212B23">
        <w:t xml:space="preserve">la constatación </w:t>
      </w:r>
      <w:r w:rsidR="005A4220" w:rsidRPr="00212B23">
        <w:t xml:space="preserve">de </w:t>
      </w:r>
      <w:r w:rsidR="0002166C" w:rsidRPr="00212B23">
        <w:t>dicha opinión libre.</w:t>
      </w:r>
    </w:p>
    <w:p w:rsidR="00DB2B3E" w:rsidRDefault="005A4220" w:rsidP="005A4220">
      <w:pPr>
        <w:pStyle w:val="Prrafodelista"/>
        <w:tabs>
          <w:tab w:val="left" w:pos="7718"/>
        </w:tabs>
      </w:pPr>
      <w:r>
        <w:tab/>
      </w:r>
    </w:p>
    <w:p w:rsidR="000D21BA" w:rsidRDefault="00DB2B3E" w:rsidP="00DB2B3E">
      <w:pPr>
        <w:numPr>
          <w:ilvl w:val="0"/>
          <w:numId w:val="1"/>
        </w:numPr>
        <w:tabs>
          <w:tab w:val="clear" w:pos="1247"/>
        </w:tabs>
        <w:jc w:val="both"/>
      </w:pPr>
      <w:r>
        <w:t>Por otra parte, el Tribunal</w:t>
      </w:r>
      <w:r w:rsidR="000D21BA" w:rsidRPr="009541F9">
        <w:t xml:space="preserve"> considera </w:t>
      </w:r>
      <w:r w:rsidR="001D6E8A">
        <w:t xml:space="preserve">que las diversas controversias que puedan surgir como consecuencia de la constatación libre de la opinión libre de la </w:t>
      </w:r>
      <w:r w:rsidR="000D21BA">
        <w:t xml:space="preserve">niña V. </w:t>
      </w:r>
      <w:r w:rsidR="001D6E8A">
        <w:t>deberán ser resueltas por la Corte</w:t>
      </w:r>
      <w:r w:rsidR="000D21BA" w:rsidRPr="009541F9">
        <w:t xml:space="preserve"> en el marco del proceso de supervisión del cumplimiento de la Sentencia. </w:t>
      </w:r>
    </w:p>
    <w:p w:rsidR="00E07899" w:rsidRDefault="00E07899" w:rsidP="003C14FB">
      <w:pPr>
        <w:jc w:val="both"/>
      </w:pPr>
    </w:p>
    <w:p w:rsidR="0081454B" w:rsidRPr="00565CCC" w:rsidRDefault="00565CCC" w:rsidP="003C14FB">
      <w:pPr>
        <w:jc w:val="both"/>
        <w:rPr>
          <w:b/>
        </w:rPr>
      </w:pPr>
      <w:r>
        <w:rPr>
          <w:b/>
        </w:rPr>
        <w:t xml:space="preserve">B. </w:t>
      </w:r>
      <w:r w:rsidR="00261A84">
        <w:rPr>
          <w:b/>
        </w:rPr>
        <w:tab/>
      </w:r>
      <w:r>
        <w:rPr>
          <w:b/>
        </w:rPr>
        <w:t>E</w:t>
      </w:r>
      <w:r w:rsidRPr="00565CCC">
        <w:rPr>
          <w:b/>
        </w:rPr>
        <w:t xml:space="preserve">jecutabilidad de la rehabilitación, ordenada como reparaciones </w:t>
      </w:r>
      <w:r w:rsidR="00212B23">
        <w:rPr>
          <w:b/>
        </w:rPr>
        <w:t>por la Corte a favor de M., V. y</w:t>
      </w:r>
      <w:r w:rsidRPr="00565CCC">
        <w:rPr>
          <w:b/>
        </w:rPr>
        <w:t xml:space="preserve"> R</w:t>
      </w:r>
    </w:p>
    <w:p w:rsidR="00A7027D" w:rsidRDefault="00A7027D" w:rsidP="003C14FB">
      <w:pPr>
        <w:jc w:val="both"/>
      </w:pPr>
    </w:p>
    <w:p w:rsidR="00B320EA" w:rsidRDefault="00956DC6" w:rsidP="003C14FB">
      <w:pPr>
        <w:numPr>
          <w:ilvl w:val="0"/>
          <w:numId w:val="1"/>
        </w:numPr>
        <w:tabs>
          <w:tab w:val="clear" w:pos="1247"/>
          <w:tab w:val="num" w:pos="720"/>
        </w:tabs>
        <w:jc w:val="both"/>
      </w:pPr>
      <w:r>
        <w:t>Los representantes alegaron que, debido a que “las niñas M., V. y R viven bajo la tutela y cuidado personal de su padre”, “ninguna de ellas se encuentra en este momento en condiciones de autonomía y libertad para expresar su aceptación de la terapia psicológica de manera plenamente libre, razón por la cual la medida de reparación ordenada corre el riesgo de ser inaplicable”.</w:t>
      </w:r>
      <w:r w:rsidR="00212B23">
        <w:t xml:space="preserve"> Por ello, solicitaron</w:t>
      </w:r>
      <w:r w:rsidR="00FA35BF">
        <w:t xml:space="preserve"> a la Corte que “indique expresamente las condiciones materiales en que es posible hacer efectivo el plazo de los seis meses, es decir a partir de que cumplan 18 años de </w:t>
      </w:r>
      <w:r w:rsidR="00212B23">
        <w:t>edad y terminen su escolaridad”.</w:t>
      </w:r>
    </w:p>
    <w:p w:rsidR="00B320EA" w:rsidRDefault="00B320EA" w:rsidP="003C14FB">
      <w:pPr>
        <w:jc w:val="both"/>
      </w:pPr>
    </w:p>
    <w:p w:rsidR="00A62262" w:rsidRDefault="00B320EA" w:rsidP="003C14FB">
      <w:pPr>
        <w:numPr>
          <w:ilvl w:val="0"/>
          <w:numId w:val="1"/>
        </w:numPr>
        <w:tabs>
          <w:tab w:val="clear" w:pos="1247"/>
          <w:tab w:val="num" w:pos="720"/>
        </w:tabs>
        <w:jc w:val="both"/>
      </w:pPr>
      <w:r>
        <w:t>El Estado</w:t>
      </w:r>
      <w:r w:rsidR="004F5615">
        <w:t xml:space="preserve"> argumentó que lo solicitado por los representantes “</w:t>
      </w:r>
      <w:proofErr w:type="gramStart"/>
      <w:r w:rsidR="004F5615">
        <w:t>implica[</w:t>
      </w:r>
      <w:proofErr w:type="gramEnd"/>
      <w:r w:rsidR="004F5615">
        <w:t>ría]</w:t>
      </w:r>
      <w:r w:rsidR="00212B23">
        <w:t xml:space="preserve"> una abierta contradicción a lo</w:t>
      </w:r>
      <w:r w:rsidR="004F5615">
        <w:t xml:space="preserve"> dispuesto por la sentencia y, lejos de ser una solicitud de interpretación, implica la pretensión de una modificación</w:t>
      </w:r>
      <w:r w:rsidR="00212B23">
        <w:t xml:space="preserve"> de lo sustantivo de la misma”</w:t>
      </w:r>
      <w:r w:rsidR="004F5615">
        <w:t>.</w:t>
      </w:r>
      <w:r w:rsidR="00535DE1">
        <w:t xml:space="preserve"> Asimismo, alegó que “[l]a petición de los representantes dejaría […] al Estado […] en una forzada situación de dilaci</w:t>
      </w:r>
      <w:r w:rsidR="00212B23">
        <w:t>ón del cumplimiento del fallo”</w:t>
      </w:r>
      <w:r w:rsidR="00535DE1">
        <w:t>.</w:t>
      </w:r>
    </w:p>
    <w:p w:rsidR="00A62262" w:rsidRDefault="00A62262" w:rsidP="003C14FB">
      <w:pPr>
        <w:jc w:val="both"/>
      </w:pPr>
    </w:p>
    <w:p w:rsidR="00552E0B" w:rsidRDefault="00A62262" w:rsidP="003C14FB">
      <w:pPr>
        <w:numPr>
          <w:ilvl w:val="0"/>
          <w:numId w:val="1"/>
        </w:numPr>
        <w:tabs>
          <w:tab w:val="clear" w:pos="1247"/>
          <w:tab w:val="num" w:pos="720"/>
        </w:tabs>
        <w:jc w:val="both"/>
      </w:pPr>
      <w:r>
        <w:t xml:space="preserve">La Comisión consideró “razonable que este tema sea debatido en el marco de supervisión a fin de realizar los ajustes necesarios”. Igualmente, indicó que en el marco de ejecución de la sentencia sería relevante que se tuviera en cuenta la información presentada por los representantes con el objetivo de “contar con cierta flexibilidad a fin de tomar en consideración circunstancias como las planteadas que podrían incidir en el carácter preclusivo del plazo </w:t>
      </w:r>
      <w:r w:rsidR="00212B23">
        <w:t>establecido en la [S]entencia”</w:t>
      </w:r>
      <w:r>
        <w:t>.</w:t>
      </w:r>
    </w:p>
    <w:p w:rsidR="000D21BA" w:rsidRPr="00BA72CF" w:rsidRDefault="000D21BA" w:rsidP="00BA72CF">
      <w:pPr>
        <w:rPr>
          <w:highlight w:val="yellow"/>
          <w:lang w:val="es-CR"/>
        </w:rPr>
      </w:pPr>
    </w:p>
    <w:p w:rsidR="000D21BA" w:rsidRPr="002B09E2" w:rsidRDefault="000D21BA" w:rsidP="003C14FB">
      <w:pPr>
        <w:rPr>
          <w:i/>
        </w:rPr>
      </w:pPr>
      <w:r w:rsidRPr="002B09E2">
        <w:rPr>
          <w:i/>
        </w:rPr>
        <w:t>Consideraciones de la Corte</w:t>
      </w:r>
    </w:p>
    <w:p w:rsidR="000D21BA" w:rsidRPr="002B09E2" w:rsidRDefault="000D21BA" w:rsidP="003C14FB"/>
    <w:p w:rsidR="00281596" w:rsidRPr="00281596" w:rsidRDefault="00281596" w:rsidP="003C14FB">
      <w:pPr>
        <w:pStyle w:val="Prrafodelista"/>
        <w:numPr>
          <w:ilvl w:val="0"/>
          <w:numId w:val="1"/>
        </w:numPr>
        <w:tabs>
          <w:tab w:val="clear" w:pos="1247"/>
        </w:tabs>
        <w:contextualSpacing/>
        <w:rPr>
          <w:rFonts w:eastAsia="Times"/>
          <w:i/>
          <w:lang w:val="es-CR"/>
        </w:rPr>
      </w:pPr>
      <w:r>
        <w:rPr>
          <w:rFonts w:eastAsia="Times"/>
          <w:lang w:val="es-CR"/>
        </w:rPr>
        <w:lastRenderedPageBreak/>
        <w:t xml:space="preserve">Sobre la medida de rehabilitación de asistencia médica y psicológica, la Corte ordenó en </w:t>
      </w:r>
      <w:r w:rsidR="00AF1DFB">
        <w:rPr>
          <w:rFonts w:eastAsia="Times"/>
          <w:lang w:val="es-CR"/>
        </w:rPr>
        <w:t xml:space="preserve">los </w:t>
      </w:r>
      <w:r>
        <w:rPr>
          <w:rFonts w:eastAsia="Times"/>
          <w:lang w:val="es-CR"/>
        </w:rPr>
        <w:t>párrafo</w:t>
      </w:r>
      <w:r w:rsidR="00AF1DFB">
        <w:rPr>
          <w:rFonts w:eastAsia="Times"/>
          <w:lang w:val="es-CR"/>
        </w:rPr>
        <w:t>s</w:t>
      </w:r>
      <w:r>
        <w:rPr>
          <w:rFonts w:eastAsia="Times"/>
          <w:lang w:val="es-CR"/>
        </w:rPr>
        <w:t xml:space="preserve"> 254</w:t>
      </w:r>
      <w:r w:rsidR="00690F91">
        <w:rPr>
          <w:rFonts w:eastAsia="Times"/>
          <w:lang w:val="es-CR"/>
        </w:rPr>
        <w:t xml:space="preserve"> y 255</w:t>
      </w:r>
      <w:r w:rsidR="00AF1DFB">
        <w:rPr>
          <w:rFonts w:eastAsia="Times"/>
          <w:lang w:val="es-CR"/>
        </w:rPr>
        <w:t xml:space="preserve"> de la S</w:t>
      </w:r>
      <w:r>
        <w:rPr>
          <w:rFonts w:eastAsia="Times"/>
          <w:lang w:val="es-CR"/>
        </w:rPr>
        <w:t>entencia lo siguiente:</w:t>
      </w:r>
    </w:p>
    <w:p w:rsidR="00281596" w:rsidRDefault="00281596" w:rsidP="00281596">
      <w:pPr>
        <w:contextualSpacing/>
        <w:rPr>
          <w:i/>
          <w:lang w:val="es-CR"/>
        </w:rPr>
      </w:pPr>
    </w:p>
    <w:p w:rsidR="00AF1DFB" w:rsidRDefault="00AF1DFB" w:rsidP="0083350E">
      <w:pPr>
        <w:pStyle w:val="Prrafodelista"/>
        <w:tabs>
          <w:tab w:val="left" w:pos="720"/>
        </w:tabs>
        <w:ind w:right="450"/>
        <w:rPr>
          <w:sz w:val="16"/>
          <w:szCs w:val="16"/>
        </w:rPr>
      </w:pPr>
      <w:bookmarkStart w:id="7" w:name="_Ref319941681"/>
      <w:r>
        <w:rPr>
          <w:sz w:val="16"/>
          <w:szCs w:val="16"/>
        </w:rPr>
        <w:t xml:space="preserve">254. </w:t>
      </w:r>
      <w:r w:rsidR="00281596" w:rsidRPr="00AF1DFB">
        <w:rPr>
          <w:sz w:val="16"/>
          <w:szCs w:val="16"/>
        </w:rPr>
        <w:t xml:space="preserve">La Corte estima, como lo ha hecho en otros casos, que es preciso disponer una medida de reparación que brinde una atención adecuada a los padecimientos psicológicos sufridos por las víctimas, atendiendo a sus especificidades. Por lo tanto, habiendo constatado las violaciones y los daños sufridos por las víctimas en el presente caso, el Tribunal dispone la obligación a cargo del Estado de brindarles gratuitamente y de forma inmediata, hasta por cuatro años, el tratamiento médico y psicológico que requieran. </w:t>
      </w:r>
      <w:r w:rsidR="00281596" w:rsidRPr="00AF1DFB">
        <w:rPr>
          <w:sz w:val="16"/>
          <w:szCs w:val="16"/>
          <w:lang w:val="es-CO"/>
        </w:rPr>
        <w:t xml:space="preserve">En particular, el tratamiento psicológico debe brindarse por personal e instituciones estatales especializadas en la atención de víctimas de hechos como los ocurridos en el presente caso. Al proveer dicho tratamiento se deben considerar, además, las circunstancias y necesidades particulares de cada víctima, de manera que se les brinden tratamientos familiares e individuales, según lo que se acuerde con cada una de ellas, después de una evaluación individual. </w:t>
      </w:r>
      <w:r w:rsidR="00281596" w:rsidRPr="00AF1DFB">
        <w:rPr>
          <w:sz w:val="16"/>
          <w:szCs w:val="16"/>
        </w:rPr>
        <w:t>Los tratamientos deben incluir la provisión de medicamentos y, en su caso, transporte y otros gastos que estén directamente relacionados y sean estrictamente necesarios.</w:t>
      </w:r>
      <w:bookmarkEnd w:id="7"/>
      <w:r w:rsidR="00281596" w:rsidRPr="00AF1DFB">
        <w:rPr>
          <w:sz w:val="16"/>
          <w:szCs w:val="16"/>
        </w:rPr>
        <w:t xml:space="preserve"> </w:t>
      </w:r>
    </w:p>
    <w:p w:rsidR="00AF1DFB" w:rsidRDefault="00AF1DFB" w:rsidP="0083350E">
      <w:pPr>
        <w:pStyle w:val="Prrafodelista"/>
        <w:tabs>
          <w:tab w:val="left" w:pos="720"/>
        </w:tabs>
        <w:ind w:right="450"/>
        <w:rPr>
          <w:sz w:val="16"/>
          <w:szCs w:val="16"/>
        </w:rPr>
      </w:pPr>
    </w:p>
    <w:p w:rsidR="00AF1DFB" w:rsidRPr="00AF1DFB" w:rsidRDefault="00AF1DFB" w:rsidP="0083350E">
      <w:pPr>
        <w:pStyle w:val="Prrafodelista"/>
        <w:tabs>
          <w:tab w:val="left" w:pos="720"/>
        </w:tabs>
        <w:ind w:right="450"/>
        <w:rPr>
          <w:sz w:val="16"/>
          <w:szCs w:val="16"/>
        </w:rPr>
      </w:pPr>
      <w:r>
        <w:rPr>
          <w:sz w:val="16"/>
          <w:szCs w:val="16"/>
        </w:rPr>
        <w:t xml:space="preserve">255. </w:t>
      </w:r>
      <w:r w:rsidRPr="00AF1DFB">
        <w:rPr>
          <w:sz w:val="16"/>
          <w:szCs w:val="16"/>
        </w:rPr>
        <w:t>En particular, dicho tratamiento se deberá brindar, en la medida de las posibilidades, en los centros más cercanos a su lugar de residencia. Las víctimas que soliciten esta medida de reparación, o sus representantes legales, disponen de un plazo de seis meses, contados a partir de la notificación de la presente Sentencia, para dar a conocer al Estado su intención de recibir atención psicológica o psiquiátrica.</w:t>
      </w:r>
    </w:p>
    <w:p w:rsidR="00281596" w:rsidRPr="00281596" w:rsidRDefault="00281596" w:rsidP="00281596">
      <w:pPr>
        <w:contextualSpacing/>
        <w:rPr>
          <w:i/>
        </w:rPr>
      </w:pPr>
    </w:p>
    <w:p w:rsidR="008B3796" w:rsidRDefault="0078238B" w:rsidP="00220A72">
      <w:pPr>
        <w:pStyle w:val="Prrafodelista"/>
        <w:numPr>
          <w:ilvl w:val="0"/>
          <w:numId w:val="1"/>
        </w:numPr>
        <w:tabs>
          <w:tab w:val="clear" w:pos="1247"/>
        </w:tabs>
        <w:contextualSpacing/>
        <w:rPr>
          <w:lang w:val="es-CR"/>
        </w:rPr>
      </w:pPr>
      <w:r>
        <w:rPr>
          <w:rFonts w:eastAsia="Times"/>
          <w:lang w:val="es-CR"/>
        </w:rPr>
        <w:t xml:space="preserve">De lo </w:t>
      </w:r>
      <w:r w:rsidRPr="00212B23">
        <w:rPr>
          <w:rFonts w:eastAsia="Times"/>
          <w:lang w:val="es-CR"/>
        </w:rPr>
        <w:t xml:space="preserve">dispuesto en dicho párrafo, la Corte considera que </w:t>
      </w:r>
      <w:r w:rsidR="007869E7" w:rsidRPr="00212B23">
        <w:rPr>
          <w:rFonts w:eastAsia="Times"/>
          <w:lang w:val="es-CR"/>
        </w:rPr>
        <w:t>es claro</w:t>
      </w:r>
      <w:r w:rsidR="00D62E83" w:rsidRPr="00212B23">
        <w:rPr>
          <w:rFonts w:eastAsia="Times"/>
          <w:lang w:val="es-CR"/>
        </w:rPr>
        <w:t xml:space="preserve"> que se ordenó</w:t>
      </w:r>
      <w:r w:rsidRPr="00212B23">
        <w:rPr>
          <w:rFonts w:eastAsia="Times"/>
          <w:lang w:val="es-CR"/>
        </w:rPr>
        <w:t xml:space="preserve"> al Estado prestar dicha reparación de </w:t>
      </w:r>
      <w:r w:rsidR="00D62E83" w:rsidRPr="00212B23">
        <w:rPr>
          <w:rFonts w:eastAsia="Times"/>
          <w:lang w:val="es-CR"/>
        </w:rPr>
        <w:t>forma</w:t>
      </w:r>
      <w:r w:rsidRPr="00212B23">
        <w:rPr>
          <w:rFonts w:eastAsia="Times"/>
          <w:lang w:val="es-CR"/>
        </w:rPr>
        <w:t xml:space="preserve"> inmediata</w:t>
      </w:r>
      <w:r w:rsidR="007869E7" w:rsidRPr="00212B23">
        <w:rPr>
          <w:rFonts w:eastAsia="Times"/>
          <w:lang w:val="es-CR"/>
        </w:rPr>
        <w:t>.</w:t>
      </w:r>
      <w:r w:rsidRPr="00212B23">
        <w:rPr>
          <w:rFonts w:eastAsia="Times"/>
          <w:lang w:val="es-CR"/>
        </w:rPr>
        <w:t xml:space="preserve"> </w:t>
      </w:r>
      <w:r w:rsidR="007869E7" w:rsidRPr="00212B23">
        <w:rPr>
          <w:rFonts w:eastAsia="Times"/>
          <w:lang w:val="es-CR"/>
        </w:rPr>
        <w:t xml:space="preserve">Lo que la Corte estableció fue un </w:t>
      </w:r>
      <w:r w:rsidR="000D21BA" w:rsidRPr="00212B23">
        <w:rPr>
          <w:rFonts w:eastAsia="Times"/>
        </w:rPr>
        <w:t xml:space="preserve">plazo de seis meses para </w:t>
      </w:r>
      <w:r w:rsidR="00D62E83" w:rsidRPr="00212B23">
        <w:rPr>
          <w:rFonts w:eastAsia="Times"/>
        </w:rPr>
        <w:t>dar a conocer al Estado la intenci</w:t>
      </w:r>
      <w:r w:rsidR="00212B23">
        <w:rPr>
          <w:rFonts w:eastAsia="Times"/>
        </w:rPr>
        <w:t>ón de recibir la atención contad</w:t>
      </w:r>
      <w:r w:rsidR="00D62E83" w:rsidRPr="00212B23">
        <w:rPr>
          <w:rFonts w:eastAsia="Times"/>
        </w:rPr>
        <w:t xml:space="preserve">a </w:t>
      </w:r>
      <w:r w:rsidR="000D21BA" w:rsidRPr="00212B23">
        <w:rPr>
          <w:rFonts w:eastAsia="Times"/>
        </w:rPr>
        <w:t>a partir de la notificación de la Sentencia</w:t>
      </w:r>
      <w:r w:rsidRPr="00212B23">
        <w:rPr>
          <w:rFonts w:eastAsia="Times"/>
        </w:rPr>
        <w:t>.</w:t>
      </w:r>
      <w:r w:rsidR="00220A72" w:rsidRPr="00212B23">
        <w:rPr>
          <w:rFonts w:eastAsia="Times"/>
        </w:rPr>
        <w:t xml:space="preserve"> Por tanto, la solicitud de los representantes no corresponde a una interpretación de los términos de la Sentencia, sino que lo que se pretende es una modificación de lo que fue ordenado en la misma</w:t>
      </w:r>
      <w:r w:rsidR="000E0E1F" w:rsidRPr="00212B23">
        <w:rPr>
          <w:rFonts w:eastAsia="Times"/>
        </w:rPr>
        <w:t>, por cuanto se solicitó que se entienda que la medida sólo podr</w:t>
      </w:r>
      <w:r w:rsidR="00D835DC" w:rsidRPr="00212B23">
        <w:rPr>
          <w:rFonts w:eastAsia="Times"/>
        </w:rPr>
        <w:t>ía</w:t>
      </w:r>
      <w:r w:rsidR="000E0E1F" w:rsidRPr="00212B23">
        <w:rPr>
          <w:rFonts w:eastAsia="Times"/>
        </w:rPr>
        <w:t xml:space="preserve"> ser ejecutable una vez las niñas M., V. y R alcance</w:t>
      </w:r>
      <w:r w:rsidR="00D62E83" w:rsidRPr="00212B23">
        <w:rPr>
          <w:rFonts w:eastAsia="Times"/>
        </w:rPr>
        <w:t>n</w:t>
      </w:r>
      <w:r w:rsidR="000E0E1F" w:rsidRPr="00212B23">
        <w:rPr>
          <w:rFonts w:eastAsia="Times"/>
        </w:rPr>
        <w:t xml:space="preserve"> la mayoría de edad y terminen su escolaridad</w:t>
      </w:r>
      <w:r w:rsidR="00220A72" w:rsidRPr="00212B23">
        <w:rPr>
          <w:rFonts w:eastAsia="Times"/>
        </w:rPr>
        <w:t xml:space="preserve">. Asimismo, en caso </w:t>
      </w:r>
      <w:r w:rsidR="00220A72" w:rsidRPr="00212B23">
        <w:rPr>
          <w:rFonts w:eastAsia="Times"/>
          <w:lang w:val="es-CR"/>
        </w:rPr>
        <w:t>de que llegara a surgir</w:t>
      </w:r>
      <w:r w:rsidR="000D21BA" w:rsidRPr="00212B23">
        <w:rPr>
          <w:rFonts w:eastAsia="Times"/>
          <w:lang w:val="es-CR"/>
        </w:rPr>
        <w:t xml:space="preserve"> una controversia entre las partes </w:t>
      </w:r>
      <w:r w:rsidR="00220A72" w:rsidRPr="00212B23">
        <w:rPr>
          <w:rFonts w:eastAsia="Times"/>
          <w:lang w:val="es-CR"/>
        </w:rPr>
        <w:t>sobre la forma en que debe</w:t>
      </w:r>
      <w:r w:rsidR="00220A72" w:rsidRPr="00220A72">
        <w:rPr>
          <w:rFonts w:eastAsia="Times"/>
          <w:lang w:val="es-CR"/>
        </w:rPr>
        <w:t xml:space="preserve"> ser implementada por el Estado esta medida</w:t>
      </w:r>
      <w:r w:rsidR="000D21BA" w:rsidRPr="00220A72">
        <w:rPr>
          <w:rFonts w:eastAsia="Times"/>
          <w:lang w:val="es-CR"/>
        </w:rPr>
        <w:t xml:space="preserve">, </w:t>
      </w:r>
      <w:bookmarkStart w:id="8" w:name="_Ref324754590"/>
      <w:r w:rsidR="008B3796" w:rsidRPr="00220A72">
        <w:rPr>
          <w:lang w:val="es-CR"/>
        </w:rPr>
        <w:t>el Tribunal considera, como lo ha hecho anteriormente</w:t>
      </w:r>
      <w:r w:rsidR="008B3796" w:rsidRPr="00220A72">
        <w:rPr>
          <w:rStyle w:val="Refdenotaalpie"/>
          <w:lang w:val="es-CR"/>
        </w:rPr>
        <w:footnoteReference w:id="7"/>
      </w:r>
      <w:r w:rsidR="008B3796" w:rsidRPr="00220A72">
        <w:rPr>
          <w:lang w:val="es-CR"/>
        </w:rPr>
        <w:t>, que la debida implementación de las medidas de reparación será evaluada durante la etapa de supervisión de cumplimiento de la Sentencia, por lo cual la Corte valorará oportunamente aquella información y observaciones que las partes pudieran presentar al respecto durante dicha etapa.</w:t>
      </w:r>
      <w:bookmarkEnd w:id="8"/>
    </w:p>
    <w:p w:rsidR="00CA40CB" w:rsidRDefault="00CA40CB" w:rsidP="00CA40CB">
      <w:pPr>
        <w:pStyle w:val="Prrafodelista"/>
        <w:ind w:left="0"/>
        <w:contextualSpacing/>
        <w:rPr>
          <w:lang w:val="es-CR"/>
        </w:rPr>
      </w:pPr>
    </w:p>
    <w:p w:rsidR="008B3796" w:rsidRPr="00CA40CB" w:rsidRDefault="00CA40CB" w:rsidP="008B3796">
      <w:pPr>
        <w:numPr>
          <w:ilvl w:val="0"/>
          <w:numId w:val="1"/>
        </w:numPr>
        <w:tabs>
          <w:tab w:val="clear" w:pos="1247"/>
        </w:tabs>
        <w:jc w:val="both"/>
      </w:pPr>
      <w:r>
        <w:rPr>
          <w:lang w:val="es-CR"/>
        </w:rPr>
        <w:t xml:space="preserve">Por ello, </w:t>
      </w:r>
      <w:r>
        <w:t>la Corte c</w:t>
      </w:r>
      <w:r w:rsidR="0083350E">
        <w:t>onsidera que es</w:t>
      </w:r>
      <w:r>
        <w:t xml:space="preserve"> improcedente esta</w:t>
      </w:r>
      <w:r w:rsidRPr="00DF038B">
        <w:t xml:space="preserve"> </w:t>
      </w:r>
      <w:r>
        <w:t xml:space="preserve">solicitud </w:t>
      </w:r>
      <w:r w:rsidRPr="002D27E6">
        <w:t>de interpretación</w:t>
      </w:r>
      <w:r w:rsidRPr="00DF038B">
        <w:t xml:space="preserve"> </w:t>
      </w:r>
      <w:r>
        <w:t>plan</w:t>
      </w:r>
      <w:r w:rsidR="00FC3DC7">
        <w:t>teada por lo</w:t>
      </w:r>
      <w:r>
        <w:t xml:space="preserve">s representantes, debido a que </w:t>
      </w:r>
      <w:r w:rsidRPr="007B39AF">
        <w:rPr>
          <w:rFonts w:eastAsia="Times New Roman"/>
          <w:szCs w:val="24"/>
          <w:lang w:val="es-CR"/>
        </w:rPr>
        <w:t xml:space="preserve">no constituye una solicitud de interpretación </w:t>
      </w:r>
      <w:r w:rsidR="00212B23">
        <w:rPr>
          <w:rFonts w:eastAsia="Times New Roman"/>
          <w:szCs w:val="24"/>
          <w:lang w:val="es-CR"/>
        </w:rPr>
        <w:t>sobre el sentido y alcance del f</w:t>
      </w:r>
      <w:r w:rsidRPr="007B39AF">
        <w:rPr>
          <w:rFonts w:eastAsia="Times New Roman"/>
          <w:szCs w:val="24"/>
          <w:lang w:val="es-CR"/>
        </w:rPr>
        <w:t>allo</w:t>
      </w:r>
      <w:r w:rsidRPr="00935E51">
        <w:rPr>
          <w:rFonts w:eastAsia="Times New Roman"/>
          <w:szCs w:val="24"/>
          <w:vertAlign w:val="superscript"/>
          <w:lang w:val="es-CR"/>
        </w:rPr>
        <w:footnoteReference w:id="8"/>
      </w:r>
      <w:r w:rsidRPr="007B39AF">
        <w:rPr>
          <w:rFonts w:eastAsia="Times New Roman"/>
          <w:szCs w:val="24"/>
          <w:lang w:val="es-CR"/>
        </w:rPr>
        <w:t xml:space="preserve">, </w:t>
      </w:r>
      <w:r>
        <w:t xml:space="preserve">lo cual no se adecua a los </w:t>
      </w:r>
      <w:r w:rsidRPr="00DF038B">
        <w:t>términos previsto</w:t>
      </w:r>
      <w:r>
        <w:t>s</w:t>
      </w:r>
      <w:r w:rsidRPr="00DF038B">
        <w:t xml:space="preserve"> en los artículos 67 de la Convención </w:t>
      </w:r>
      <w:r w:rsidRPr="007B39AF">
        <w:rPr>
          <w:rFonts w:eastAsia="Times New Roman"/>
          <w:szCs w:val="24"/>
          <w:lang w:val="es-CR"/>
        </w:rPr>
        <w:t>Americana y 31.3 y 68.1 del Reglamento del Tribunal.</w:t>
      </w:r>
    </w:p>
    <w:p w:rsidR="00E07899" w:rsidRDefault="00E07899" w:rsidP="003C14FB">
      <w:pPr>
        <w:jc w:val="both"/>
      </w:pPr>
    </w:p>
    <w:p w:rsidR="00A62262" w:rsidRPr="00CF2896" w:rsidRDefault="00CF2896" w:rsidP="003C14FB">
      <w:pPr>
        <w:jc w:val="both"/>
        <w:rPr>
          <w:b/>
        </w:rPr>
      </w:pPr>
      <w:r>
        <w:rPr>
          <w:b/>
        </w:rPr>
        <w:t xml:space="preserve">C. </w:t>
      </w:r>
      <w:r w:rsidR="00261A84">
        <w:rPr>
          <w:b/>
        </w:rPr>
        <w:tab/>
      </w:r>
      <w:r w:rsidRPr="00CF2896">
        <w:rPr>
          <w:b/>
        </w:rPr>
        <w:t>Pago de honorarios y gastos incurridos por la perito María Alicia Espinoza</w:t>
      </w:r>
    </w:p>
    <w:p w:rsidR="00956DC6" w:rsidRDefault="00956DC6" w:rsidP="003C14FB">
      <w:pPr>
        <w:jc w:val="both"/>
      </w:pPr>
    </w:p>
    <w:p w:rsidR="009A1D82" w:rsidRDefault="009A1D82" w:rsidP="003C14FB">
      <w:pPr>
        <w:numPr>
          <w:ilvl w:val="0"/>
          <w:numId w:val="1"/>
        </w:numPr>
        <w:tabs>
          <w:tab w:val="clear" w:pos="1247"/>
          <w:tab w:val="num" w:pos="720"/>
        </w:tabs>
        <w:jc w:val="both"/>
      </w:pPr>
      <w:r>
        <w:t>Los representantes solicitaron que se “adicione a las costas, el pago de honorarios y ga[s]tos de viaje incurridos por la perito María Alicia Espinoza […], quien asistió a […] la […] Cort</w:t>
      </w:r>
      <w:r w:rsidR="00212B23">
        <w:t>e” en la diligencia que se llevó</w:t>
      </w:r>
      <w:r>
        <w:t xml:space="preserve"> a cabo en Santiago de Chile.</w:t>
      </w:r>
    </w:p>
    <w:p w:rsidR="009A1D82" w:rsidRDefault="009A1D82" w:rsidP="003C14FB">
      <w:pPr>
        <w:jc w:val="both"/>
      </w:pPr>
      <w:r>
        <w:t xml:space="preserve"> </w:t>
      </w:r>
    </w:p>
    <w:p w:rsidR="0085446C" w:rsidRDefault="009A1D82" w:rsidP="003C14FB">
      <w:pPr>
        <w:numPr>
          <w:ilvl w:val="0"/>
          <w:numId w:val="1"/>
        </w:numPr>
        <w:tabs>
          <w:tab w:val="clear" w:pos="1247"/>
          <w:tab w:val="num" w:pos="720"/>
        </w:tabs>
        <w:jc w:val="both"/>
      </w:pPr>
      <w:r>
        <w:t xml:space="preserve">El Estado manifestó que “los representantes pretenden utilizar la instancia de </w:t>
      </w:r>
      <w:r w:rsidR="00212B23">
        <w:t xml:space="preserve">la </w:t>
      </w:r>
      <w:r>
        <w:t xml:space="preserve">solicitud de interpretación para agregar prueba respecto de los gastos de la perito, toda vez </w:t>
      </w:r>
      <w:r>
        <w:lastRenderedPageBreak/>
        <w:t>que la oportunidad procesal para hacerlo no fue utilizada por negligencia imputable</w:t>
      </w:r>
      <w:r w:rsidR="00212B23">
        <w:t xml:space="preserve"> a los propios representantes”</w:t>
      </w:r>
      <w:r w:rsidR="00FB34F9">
        <w:t xml:space="preserve">. </w:t>
      </w:r>
      <w:r>
        <w:t>Agregó que los representantes “pretenden adjuntar extemporáneamente” los comprobantes de gastos.</w:t>
      </w:r>
    </w:p>
    <w:p w:rsidR="0085446C" w:rsidRDefault="0085446C" w:rsidP="003C14FB">
      <w:pPr>
        <w:jc w:val="both"/>
      </w:pPr>
    </w:p>
    <w:p w:rsidR="0088139C" w:rsidRDefault="0085446C" w:rsidP="003C14FB">
      <w:pPr>
        <w:numPr>
          <w:ilvl w:val="0"/>
          <w:numId w:val="1"/>
        </w:numPr>
        <w:tabs>
          <w:tab w:val="clear" w:pos="1247"/>
          <w:tab w:val="num" w:pos="720"/>
        </w:tabs>
        <w:jc w:val="both"/>
      </w:pPr>
      <w:r>
        <w:t xml:space="preserve">La Comisión manifestó que “no </w:t>
      </w:r>
      <w:proofErr w:type="gramStart"/>
      <w:r>
        <w:t>ten</w:t>
      </w:r>
      <w:r w:rsidR="00212B23">
        <w:t>[</w:t>
      </w:r>
      <w:proofErr w:type="gramEnd"/>
      <w:r>
        <w:t>ía</w:t>
      </w:r>
      <w:r w:rsidR="00212B23">
        <w:t>]</w:t>
      </w:r>
      <w:r>
        <w:t xml:space="preserve"> observaciones que formular” sobre este punto.</w:t>
      </w:r>
    </w:p>
    <w:p w:rsidR="009A1D82" w:rsidRDefault="009A1D82" w:rsidP="003C14FB">
      <w:pPr>
        <w:jc w:val="both"/>
      </w:pPr>
    </w:p>
    <w:p w:rsidR="009719F8" w:rsidRPr="002B09E2" w:rsidRDefault="009719F8" w:rsidP="009719F8">
      <w:pPr>
        <w:rPr>
          <w:i/>
        </w:rPr>
      </w:pPr>
      <w:r w:rsidRPr="002B09E2">
        <w:rPr>
          <w:i/>
        </w:rPr>
        <w:t>Consideraciones de la Corte</w:t>
      </w:r>
    </w:p>
    <w:p w:rsidR="000D21BA" w:rsidRPr="00912371" w:rsidRDefault="000D21BA" w:rsidP="00912371">
      <w:pPr>
        <w:rPr>
          <w:highlight w:val="yellow"/>
        </w:rPr>
      </w:pPr>
    </w:p>
    <w:p w:rsidR="000D21BA" w:rsidRPr="00480ACA" w:rsidRDefault="000D21BA" w:rsidP="003C14FB">
      <w:pPr>
        <w:pStyle w:val="Prrafodelista"/>
        <w:numPr>
          <w:ilvl w:val="0"/>
          <w:numId w:val="1"/>
        </w:numPr>
        <w:tabs>
          <w:tab w:val="clear" w:pos="1247"/>
        </w:tabs>
        <w:contextualSpacing/>
        <w:rPr>
          <w:rFonts w:eastAsia="Times"/>
          <w:u w:val="single"/>
        </w:rPr>
      </w:pPr>
      <w:r>
        <w:rPr>
          <w:rFonts w:eastAsia="Times"/>
        </w:rPr>
        <w:t xml:space="preserve">La Corte </w:t>
      </w:r>
      <w:r w:rsidR="00A3007B">
        <w:rPr>
          <w:rFonts w:eastAsia="Times"/>
        </w:rPr>
        <w:t xml:space="preserve">observa que en la nota de pie número 304 de la Sentencia se estableció lo </w:t>
      </w:r>
      <w:r>
        <w:rPr>
          <w:rFonts w:eastAsia="Times"/>
        </w:rPr>
        <w:t>siguiente:</w:t>
      </w:r>
    </w:p>
    <w:p w:rsidR="000D21BA" w:rsidRDefault="000D21BA" w:rsidP="003C14FB">
      <w:pPr>
        <w:rPr>
          <w:u w:val="single"/>
        </w:rPr>
      </w:pPr>
    </w:p>
    <w:p w:rsidR="000D21BA" w:rsidRDefault="000D21BA" w:rsidP="0083350E">
      <w:pPr>
        <w:ind w:left="709" w:right="450"/>
        <w:jc w:val="both"/>
        <w:rPr>
          <w:rFonts w:eastAsia="Times New Roman" w:cs="Arial"/>
          <w:sz w:val="16"/>
          <w:szCs w:val="16"/>
        </w:rPr>
      </w:pPr>
      <w:r w:rsidRPr="00480ACA">
        <w:rPr>
          <w:rFonts w:eastAsia="Times New Roman"/>
          <w:sz w:val="16"/>
          <w:szCs w:val="16"/>
        </w:rPr>
        <w:t xml:space="preserve">En relación con la diligencia ordenada por la Corte y que se realizó en Santiago de Chile </w:t>
      </w:r>
      <w:r>
        <w:rPr>
          <w:rFonts w:eastAsia="Times New Roman"/>
          <w:sz w:val="16"/>
          <w:szCs w:val="16"/>
        </w:rPr>
        <w:t>[</w:t>
      </w:r>
      <w:r>
        <w:rPr>
          <w:rFonts w:eastAsia="Times New Roman"/>
          <w:sz w:val="14"/>
          <w:szCs w:val="16"/>
        </w:rPr>
        <w:t>…</w:t>
      </w:r>
      <w:r w:rsidRPr="00480ACA">
        <w:rPr>
          <w:rFonts w:eastAsia="Times New Roman"/>
          <w:sz w:val="16"/>
          <w:szCs w:val="16"/>
        </w:rPr>
        <w:t xml:space="preserve">], el 6 de febrero de 2012 los representantes informaron que </w:t>
      </w:r>
      <w:r w:rsidRPr="00480ACA">
        <w:rPr>
          <w:rFonts w:eastAsia="Times New Roman" w:cs="Arial"/>
          <w:sz w:val="16"/>
          <w:szCs w:val="16"/>
        </w:rPr>
        <w:t xml:space="preserve">la señora Atala “ha tenido que sufragar los costos para transportar a la señora Alicia Espinoza, y a sus hijas menores de edad, quienes no se encontraban en Santiago para efectos de garantizar su comparecencia a [dicha] diligencia”, razón por la cual solicitaron “tomar en consideración los costos incurridos por la Señora Atala al momento de fijar las costas de este proceso” </w:t>
      </w:r>
      <w:r>
        <w:rPr>
          <w:rFonts w:eastAsia="Times New Roman" w:cs="Arial"/>
          <w:sz w:val="16"/>
          <w:szCs w:val="16"/>
        </w:rPr>
        <w:t>[…]</w:t>
      </w:r>
      <w:r w:rsidRPr="00480ACA">
        <w:rPr>
          <w:rFonts w:eastAsia="Times New Roman" w:cs="Arial"/>
          <w:sz w:val="16"/>
          <w:szCs w:val="16"/>
        </w:rPr>
        <w:t xml:space="preserve"> Sin embargo, a esta última solicitud no fue adjuntado ningún comprobante de gastos</w:t>
      </w:r>
      <w:r>
        <w:rPr>
          <w:rStyle w:val="Refdenotaalpie"/>
          <w:rFonts w:eastAsia="Times New Roman" w:cs="Arial"/>
          <w:sz w:val="16"/>
          <w:szCs w:val="16"/>
        </w:rPr>
        <w:footnoteReference w:id="9"/>
      </w:r>
      <w:r w:rsidRPr="00480ACA">
        <w:rPr>
          <w:rFonts w:eastAsia="Times New Roman" w:cs="Arial"/>
          <w:sz w:val="16"/>
          <w:szCs w:val="16"/>
        </w:rPr>
        <w:t xml:space="preserve">. </w:t>
      </w:r>
    </w:p>
    <w:p w:rsidR="009719F8" w:rsidRDefault="009719F8" w:rsidP="003C14FB">
      <w:pPr>
        <w:ind w:left="709"/>
        <w:rPr>
          <w:rFonts w:eastAsia="Times New Roman" w:cs="Arial"/>
          <w:sz w:val="16"/>
          <w:szCs w:val="16"/>
        </w:rPr>
      </w:pPr>
    </w:p>
    <w:p w:rsidR="00D35EFF" w:rsidRDefault="00606FF3" w:rsidP="001F0C36">
      <w:pPr>
        <w:numPr>
          <w:ilvl w:val="0"/>
          <w:numId w:val="1"/>
        </w:numPr>
        <w:tabs>
          <w:tab w:val="clear" w:pos="1247"/>
          <w:tab w:val="num" w:pos="720"/>
        </w:tabs>
        <w:jc w:val="both"/>
      </w:pPr>
      <w:r w:rsidRPr="00212B23">
        <w:t>Teniendo en cuenta lo anterior,</w:t>
      </w:r>
      <w:r w:rsidR="00596B34" w:rsidRPr="00212B23">
        <w:t xml:space="preserve"> el Tribunal resalta que</w:t>
      </w:r>
      <w:r w:rsidR="001F0C36" w:rsidRPr="00212B23">
        <w:t xml:space="preserve"> para el cálculo del monto por concepto de costas y gastos se tuvo en cuenta que los representantes habían presentado una solicitud, mas no fue allegado ningún comprobante de gastos que la sustentara. Por ello, </w:t>
      </w:r>
      <w:r w:rsidRPr="00212B23">
        <w:t xml:space="preserve">la Corte </w:t>
      </w:r>
      <w:r w:rsidR="00A3007B" w:rsidRPr="00212B23">
        <w:t xml:space="preserve">considera que la </w:t>
      </w:r>
      <w:r w:rsidRPr="00212B23">
        <w:t xml:space="preserve">solicitud de los representantes </w:t>
      </w:r>
      <w:r w:rsidR="00A3007B" w:rsidRPr="00212B23">
        <w:t>que se adicione a las costas el pago de honorarios y de gastos de viaje incurridos por la perita María Alicia Espinoza constituye una nueva solicitud que se relaciona</w:t>
      </w:r>
      <w:r w:rsidR="00A3007B">
        <w:t xml:space="preserve"> </w:t>
      </w:r>
      <w:r w:rsidR="00A3007B" w:rsidRPr="00115EAB">
        <w:t>con cuestiones de hecho y de derecho sobre las cuales el Tribunal ya adoptó una decisión</w:t>
      </w:r>
      <w:r w:rsidRPr="00115EAB">
        <w:t>. Al respecto, el Tribunal</w:t>
      </w:r>
      <w:r w:rsidR="00912371" w:rsidRPr="00115EAB">
        <w:t xml:space="preserve"> ha sostenido la improcedencia de utilizar una solicitud de interpretación para someter cuestiones de hecho y de derecho que ya fueron planteadas en su oportunidad procesal y sobre las cuales el Tribunal ya adoptó una decisión</w:t>
      </w:r>
      <w:r w:rsidR="00912371" w:rsidRPr="00115EAB">
        <w:rPr>
          <w:rStyle w:val="Refdenotaalpie"/>
        </w:rPr>
        <w:footnoteReference w:id="10"/>
      </w:r>
      <w:r w:rsidR="00912371" w:rsidRPr="00115EAB">
        <w:t>.</w:t>
      </w:r>
      <w:r w:rsidR="00B671DB">
        <w:t xml:space="preserve"> </w:t>
      </w:r>
    </w:p>
    <w:p w:rsidR="00D35EFF" w:rsidRDefault="00D35EFF" w:rsidP="002C36C5">
      <w:pPr>
        <w:spacing w:afterLines="60" w:after="144"/>
        <w:jc w:val="both"/>
      </w:pPr>
    </w:p>
    <w:p w:rsidR="000D21BA" w:rsidRPr="00115EAB" w:rsidRDefault="00513DFE" w:rsidP="002C36C5">
      <w:pPr>
        <w:numPr>
          <w:ilvl w:val="0"/>
          <w:numId w:val="1"/>
        </w:numPr>
        <w:tabs>
          <w:tab w:val="clear" w:pos="1247"/>
          <w:tab w:val="num" w:pos="720"/>
        </w:tabs>
        <w:spacing w:afterLines="60" w:after="144"/>
        <w:jc w:val="both"/>
      </w:pPr>
      <w:r w:rsidRPr="00115EAB">
        <w:rPr>
          <w:lang w:val="es-CR"/>
        </w:rPr>
        <w:t xml:space="preserve">En razón de lo anterior, la solicitud de interpretación es improcedente en función a que la Sentencia es clara en cuanto a los elementos que fueron valorados para determinar el monto </w:t>
      </w:r>
      <w:r w:rsidR="00115EAB">
        <w:rPr>
          <w:lang w:val="es-CR"/>
        </w:rPr>
        <w:t>correspondiente a costas y gastos</w:t>
      </w:r>
      <w:r w:rsidRPr="00115EAB">
        <w:rPr>
          <w:lang w:val="es-CR"/>
        </w:rPr>
        <w:t xml:space="preserve">, y el Tribunal considera que </w:t>
      </w:r>
      <w:r w:rsidR="00115EAB">
        <w:rPr>
          <w:lang w:val="es-CR"/>
        </w:rPr>
        <w:t>los</w:t>
      </w:r>
      <w:r w:rsidRPr="00115EAB">
        <w:rPr>
          <w:lang w:val="es-CR"/>
        </w:rPr>
        <w:t xml:space="preserve"> representante</w:t>
      </w:r>
      <w:r w:rsidR="00115EAB">
        <w:rPr>
          <w:lang w:val="es-CR"/>
        </w:rPr>
        <w:t>s</w:t>
      </w:r>
      <w:r w:rsidRPr="00115EAB">
        <w:rPr>
          <w:lang w:val="es-CR"/>
        </w:rPr>
        <w:t xml:space="preserve"> pretende</w:t>
      </w:r>
      <w:r w:rsidR="00115EAB">
        <w:rPr>
          <w:lang w:val="es-CR"/>
        </w:rPr>
        <w:t>n</w:t>
      </w:r>
      <w:r w:rsidRPr="00115EAB">
        <w:rPr>
          <w:lang w:val="es-CR"/>
        </w:rPr>
        <w:t xml:space="preserve"> reevaluar cuestiones que han sido resueltas por la Corte, sin que exista la posibilidad de que el fallo sea modificado o ampliado</w:t>
      </w:r>
      <w:r w:rsidRPr="00115EAB">
        <w:rPr>
          <w:vertAlign w:val="superscript"/>
        </w:rPr>
        <w:footnoteReference w:id="11"/>
      </w:r>
      <w:r w:rsidRPr="00115EAB">
        <w:rPr>
          <w:lang w:val="es-CR"/>
        </w:rPr>
        <w:t>, de conformidad con los artículos 67 de la Convención Americana y 31.3 y 68 del Reglamento del Tribunal</w:t>
      </w:r>
      <w:r w:rsidR="00115EAB">
        <w:rPr>
          <w:lang w:val="es-CR"/>
        </w:rPr>
        <w:t xml:space="preserve">. </w:t>
      </w:r>
      <w:r w:rsidR="000D21BA" w:rsidRPr="00115EAB">
        <w:rPr>
          <w:rFonts w:eastAsia="Times New Roman"/>
        </w:rPr>
        <w:t xml:space="preserve">Por tanto, la Corte declara improcedente la solicitud </w:t>
      </w:r>
      <w:r w:rsidR="00115EAB" w:rsidRPr="00115EAB">
        <w:rPr>
          <w:rFonts w:eastAsia="Times New Roman"/>
        </w:rPr>
        <w:t xml:space="preserve">de interpretación </w:t>
      </w:r>
      <w:r w:rsidR="000D21BA" w:rsidRPr="00115EAB">
        <w:rPr>
          <w:rFonts w:eastAsia="Times New Roman"/>
        </w:rPr>
        <w:t>de los representantes</w:t>
      </w:r>
      <w:r w:rsidR="00115EAB" w:rsidRPr="00115EAB">
        <w:rPr>
          <w:rFonts w:eastAsia="Times New Roman"/>
        </w:rPr>
        <w:t xml:space="preserve"> sobre este punto</w:t>
      </w:r>
      <w:r w:rsidR="000D21BA" w:rsidRPr="00115EAB">
        <w:rPr>
          <w:rFonts w:eastAsia="Times New Roman"/>
        </w:rPr>
        <w:t>.</w:t>
      </w:r>
    </w:p>
    <w:p w:rsidR="008F5901" w:rsidRDefault="008F5901" w:rsidP="002C36C5">
      <w:pPr>
        <w:autoSpaceDE w:val="0"/>
        <w:autoSpaceDN w:val="0"/>
        <w:adjustRightInd w:val="0"/>
        <w:spacing w:afterLines="60" w:after="144"/>
        <w:jc w:val="both"/>
        <w:rPr>
          <w:rFonts w:eastAsia="Calibri" w:cs="Verdana"/>
          <w:sz w:val="19"/>
          <w:szCs w:val="19"/>
          <w:lang w:val="es-CR"/>
        </w:rPr>
      </w:pPr>
    </w:p>
    <w:p w:rsidR="00E07899" w:rsidRPr="00BB0483" w:rsidRDefault="00E07899" w:rsidP="002C36C5">
      <w:pPr>
        <w:autoSpaceDE w:val="0"/>
        <w:autoSpaceDN w:val="0"/>
        <w:adjustRightInd w:val="0"/>
        <w:spacing w:after="60"/>
        <w:jc w:val="both"/>
        <w:rPr>
          <w:rFonts w:eastAsia="Calibri" w:cs="Verdana"/>
          <w:sz w:val="19"/>
          <w:szCs w:val="19"/>
          <w:lang w:val="es-CR"/>
        </w:rPr>
      </w:pPr>
    </w:p>
    <w:p w:rsidR="008F5901" w:rsidRPr="002B6099" w:rsidRDefault="008F5901" w:rsidP="002C36C5">
      <w:pPr>
        <w:spacing w:after="60"/>
        <w:jc w:val="center"/>
        <w:rPr>
          <w:b/>
          <w:lang w:val="es-CR"/>
        </w:rPr>
      </w:pPr>
      <w:r>
        <w:rPr>
          <w:b/>
          <w:lang w:val="es-CR"/>
        </w:rPr>
        <w:t>V</w:t>
      </w:r>
    </w:p>
    <w:p w:rsidR="008F5901" w:rsidRPr="002B6099" w:rsidRDefault="008F5901" w:rsidP="002C36C5">
      <w:pPr>
        <w:spacing w:after="60"/>
        <w:jc w:val="center"/>
        <w:rPr>
          <w:b/>
          <w:lang w:val="es-CR"/>
        </w:rPr>
      </w:pPr>
      <w:r w:rsidRPr="002B6099">
        <w:rPr>
          <w:b/>
          <w:lang w:val="es-CR"/>
        </w:rPr>
        <w:t xml:space="preserve">PUNTOS RESOLUTIVOS </w:t>
      </w:r>
    </w:p>
    <w:p w:rsidR="008F5901" w:rsidRDefault="008F5901" w:rsidP="002C36C5">
      <w:pPr>
        <w:tabs>
          <w:tab w:val="left" w:pos="0"/>
        </w:tabs>
        <w:spacing w:after="60"/>
        <w:jc w:val="both"/>
        <w:rPr>
          <w:rFonts w:cs="Arial"/>
          <w:b/>
          <w:i/>
          <w:lang w:val="es-CR"/>
        </w:rPr>
      </w:pPr>
    </w:p>
    <w:p w:rsidR="008F5901" w:rsidRPr="002B6099" w:rsidRDefault="008F5901" w:rsidP="002C36C5">
      <w:pPr>
        <w:tabs>
          <w:tab w:val="left" w:pos="0"/>
        </w:tabs>
        <w:spacing w:after="60"/>
        <w:jc w:val="both"/>
        <w:rPr>
          <w:rFonts w:cs="Arial"/>
          <w:b/>
          <w:i/>
          <w:lang w:val="es-CR"/>
        </w:rPr>
      </w:pPr>
    </w:p>
    <w:p w:rsidR="008F5901" w:rsidRPr="002B6099" w:rsidRDefault="008F5901" w:rsidP="002C36C5">
      <w:pPr>
        <w:numPr>
          <w:ilvl w:val="0"/>
          <w:numId w:val="1"/>
        </w:numPr>
        <w:tabs>
          <w:tab w:val="clear" w:pos="1247"/>
          <w:tab w:val="left" w:pos="0"/>
          <w:tab w:val="num" w:pos="720"/>
        </w:tabs>
        <w:spacing w:after="60"/>
        <w:jc w:val="both"/>
        <w:rPr>
          <w:rFonts w:cs="Arial"/>
          <w:b/>
          <w:i/>
          <w:lang w:val="es-CR"/>
        </w:rPr>
      </w:pPr>
      <w:r w:rsidRPr="002B6099">
        <w:rPr>
          <w:lang w:val="es-CR"/>
        </w:rPr>
        <w:t xml:space="preserve">Por tanto, </w:t>
      </w:r>
    </w:p>
    <w:p w:rsidR="008F5901" w:rsidRDefault="008F5901" w:rsidP="002C36C5">
      <w:pPr>
        <w:spacing w:after="60"/>
        <w:rPr>
          <w:b/>
          <w:lang w:val="es-CR"/>
        </w:rPr>
      </w:pPr>
    </w:p>
    <w:p w:rsidR="008F5901" w:rsidRPr="002B6099" w:rsidRDefault="008F5901" w:rsidP="002C36C5">
      <w:pPr>
        <w:spacing w:after="60"/>
        <w:rPr>
          <w:b/>
          <w:lang w:val="es-CR"/>
        </w:rPr>
      </w:pPr>
    </w:p>
    <w:p w:rsidR="008F5901" w:rsidRPr="00BE6126" w:rsidRDefault="008F5901" w:rsidP="002C36C5">
      <w:pPr>
        <w:spacing w:after="60"/>
        <w:rPr>
          <w:b/>
          <w:lang w:val="es-CR"/>
        </w:rPr>
      </w:pPr>
      <w:r w:rsidRPr="002B6099">
        <w:rPr>
          <w:b/>
          <w:lang w:val="es-CR"/>
        </w:rPr>
        <w:t xml:space="preserve">LA CORTE </w:t>
      </w:r>
    </w:p>
    <w:p w:rsidR="008F5901" w:rsidRDefault="008F5901" w:rsidP="002C36C5">
      <w:pPr>
        <w:spacing w:after="60"/>
      </w:pPr>
    </w:p>
    <w:p w:rsidR="008F5901" w:rsidRDefault="008F5901" w:rsidP="002C36C5">
      <w:pPr>
        <w:spacing w:after="60"/>
      </w:pPr>
      <w:r>
        <w:t>de conformidad con el artículo 67 de la Convención Americana sobre Derechos Humanos y los artículos 31.3 y 68 del Reglamento,</w:t>
      </w:r>
    </w:p>
    <w:p w:rsidR="008F5901" w:rsidRPr="00E03080" w:rsidRDefault="008F5901" w:rsidP="002C36C5">
      <w:pPr>
        <w:spacing w:after="60"/>
        <w:rPr>
          <w:b/>
        </w:rPr>
      </w:pPr>
      <w:r>
        <w:br/>
      </w:r>
      <w:r w:rsidRPr="00E03080">
        <w:rPr>
          <w:b/>
        </w:rPr>
        <w:t>DECIDE:</w:t>
      </w:r>
    </w:p>
    <w:p w:rsidR="008F5901" w:rsidRDefault="008F5901" w:rsidP="002C36C5">
      <w:pPr>
        <w:spacing w:after="60"/>
      </w:pPr>
    </w:p>
    <w:p w:rsidR="000D21BA" w:rsidRPr="00F478FC" w:rsidRDefault="00933AE9" w:rsidP="002C36C5">
      <w:pPr>
        <w:tabs>
          <w:tab w:val="center" w:pos="4252"/>
          <w:tab w:val="right" w:pos="8504"/>
        </w:tabs>
        <w:spacing w:after="60"/>
      </w:pPr>
      <w:r>
        <w:t>Por unanimidad</w:t>
      </w:r>
      <w:r w:rsidR="000D21BA">
        <w:t>,</w:t>
      </w:r>
    </w:p>
    <w:p w:rsidR="00745E69" w:rsidRDefault="00745E69" w:rsidP="002C36C5">
      <w:pPr>
        <w:spacing w:after="60"/>
        <w:jc w:val="both"/>
      </w:pPr>
    </w:p>
    <w:p w:rsidR="00745E69" w:rsidRPr="006F119C" w:rsidRDefault="00745E69" w:rsidP="002C36C5">
      <w:pPr>
        <w:numPr>
          <w:ilvl w:val="0"/>
          <w:numId w:val="38"/>
        </w:numPr>
        <w:spacing w:after="60"/>
        <w:jc w:val="both"/>
      </w:pPr>
      <w:r w:rsidRPr="006F119C">
        <w:t xml:space="preserve">Declarar admisible la </w:t>
      </w:r>
      <w:r w:rsidR="00024767" w:rsidRPr="006F119C">
        <w:t>solicitud</w:t>
      </w:r>
      <w:r w:rsidRPr="006F119C">
        <w:t xml:space="preserve"> de interpretación de </w:t>
      </w:r>
      <w:r w:rsidR="00024767" w:rsidRPr="006F119C">
        <w:t>los párrafos 71, 255</w:t>
      </w:r>
      <w:r w:rsidR="00FB34F9">
        <w:t>, 299</w:t>
      </w:r>
      <w:r w:rsidR="00024767" w:rsidRPr="006F119C">
        <w:t xml:space="preserve"> y 313 de </w:t>
      </w:r>
      <w:r w:rsidRPr="006F119C">
        <w:t>la Sentencia de fondo, reparaciones y costas en el presente caso interpuesta por los representantes de las víctimas, en los t</w:t>
      </w:r>
      <w:r w:rsidRPr="006F119C">
        <w:rPr>
          <w:rFonts w:eastAsia="Times New Roman" w:cs="Arial"/>
          <w:lang w:eastAsia="ko-KR"/>
        </w:rPr>
        <w:t xml:space="preserve">érminos del párrafo </w:t>
      </w:r>
      <w:r w:rsidR="00024767" w:rsidRPr="006F119C">
        <w:rPr>
          <w:rFonts w:eastAsia="Times New Roman" w:cs="Arial"/>
          <w:lang w:eastAsia="ko-KR"/>
        </w:rPr>
        <w:t>21</w:t>
      </w:r>
      <w:r w:rsidRPr="006F119C">
        <w:rPr>
          <w:rFonts w:eastAsia="Times New Roman" w:cs="Arial"/>
          <w:lang w:eastAsia="ko-KR"/>
        </w:rPr>
        <w:t xml:space="preserve"> de la presente Sentencia de Interpretación.</w:t>
      </w:r>
    </w:p>
    <w:p w:rsidR="00745E69" w:rsidRPr="00024767" w:rsidRDefault="00745E69" w:rsidP="002C36C5">
      <w:pPr>
        <w:spacing w:after="60"/>
        <w:jc w:val="both"/>
        <w:rPr>
          <w:b/>
        </w:rPr>
      </w:pPr>
    </w:p>
    <w:p w:rsidR="00024767" w:rsidRPr="00933AE9" w:rsidRDefault="008C788D" w:rsidP="002C36C5">
      <w:pPr>
        <w:numPr>
          <w:ilvl w:val="0"/>
          <w:numId w:val="38"/>
        </w:numPr>
        <w:spacing w:after="60"/>
        <w:jc w:val="both"/>
      </w:pPr>
      <w:r w:rsidRPr="00933AE9">
        <w:t>Precisar por vía de interpretación</w:t>
      </w:r>
      <w:r w:rsidR="00745E69" w:rsidRPr="00933AE9">
        <w:t xml:space="preserve"> el sentido y el alcance de lo dispuesto en la Sentencia de fondo, reparaciones y costas,</w:t>
      </w:r>
      <w:r w:rsidR="00B81D74" w:rsidRPr="00933AE9">
        <w:t xml:space="preserve"> respecto a la indemnización por daño inmaterial</w:t>
      </w:r>
      <w:r w:rsidR="00FB34F9">
        <w:t xml:space="preserve"> a favor de la niña V.</w:t>
      </w:r>
      <w:r w:rsidR="00B81D74" w:rsidRPr="00933AE9">
        <w:t>,</w:t>
      </w:r>
      <w:r w:rsidR="00745E69" w:rsidRPr="00933AE9">
        <w:t xml:space="preserve"> en los términos de</w:t>
      </w:r>
      <w:r w:rsidR="00024767" w:rsidRPr="00933AE9">
        <w:t>l</w:t>
      </w:r>
      <w:r w:rsidR="00745E69" w:rsidRPr="00933AE9">
        <w:t xml:space="preserve"> </w:t>
      </w:r>
      <w:r w:rsidR="00024767" w:rsidRPr="00933AE9">
        <w:t>párrafo</w:t>
      </w:r>
      <w:r w:rsidR="00745E69" w:rsidRPr="00933AE9">
        <w:t xml:space="preserve"> 21 de la presente Sentencia de Interpretación.</w:t>
      </w:r>
    </w:p>
    <w:p w:rsidR="00024767" w:rsidRPr="00933AE9" w:rsidRDefault="00024767" w:rsidP="002C36C5">
      <w:pPr>
        <w:pStyle w:val="Prrafodelista"/>
        <w:spacing w:after="60"/>
        <w:rPr>
          <w:lang w:val="es-CR"/>
        </w:rPr>
      </w:pPr>
    </w:p>
    <w:p w:rsidR="00024767" w:rsidRPr="00933AE9" w:rsidRDefault="00917D0F" w:rsidP="002C36C5">
      <w:pPr>
        <w:numPr>
          <w:ilvl w:val="0"/>
          <w:numId w:val="38"/>
        </w:numPr>
        <w:spacing w:after="60"/>
        <w:jc w:val="both"/>
      </w:pPr>
      <w:r w:rsidRPr="00933AE9">
        <w:rPr>
          <w:lang w:val="es-CR"/>
        </w:rPr>
        <w:t>Rechazar la solicitud de interpretación de sentencia presentada por los representantes de las víctimas</w:t>
      </w:r>
      <w:r w:rsidR="00024767" w:rsidRPr="00933AE9">
        <w:rPr>
          <w:lang w:val="es-CR"/>
        </w:rPr>
        <w:t xml:space="preserve">, respecto a la medida de rehabilitación de asistencia médica y psicológica, </w:t>
      </w:r>
      <w:r w:rsidRPr="00933AE9">
        <w:rPr>
          <w:lang w:val="es-CR"/>
        </w:rPr>
        <w:t>de</w:t>
      </w:r>
      <w:r w:rsidR="00933AE9" w:rsidRPr="00933AE9">
        <w:rPr>
          <w:lang w:val="es-CR"/>
        </w:rPr>
        <w:t xml:space="preserve"> conformidad con los párrafos 26 a 28</w:t>
      </w:r>
      <w:r w:rsidRPr="00933AE9">
        <w:rPr>
          <w:lang w:val="es-CR"/>
        </w:rPr>
        <w:t xml:space="preserve"> de la presente Sentencia.</w:t>
      </w:r>
    </w:p>
    <w:p w:rsidR="00EB3234" w:rsidRPr="00933AE9" w:rsidRDefault="00EB3234" w:rsidP="002C36C5">
      <w:pPr>
        <w:pStyle w:val="Prrafodelista"/>
        <w:spacing w:after="60"/>
      </w:pPr>
    </w:p>
    <w:p w:rsidR="00EB3234" w:rsidRPr="00933AE9" w:rsidRDefault="00EB3234" w:rsidP="002C36C5">
      <w:pPr>
        <w:numPr>
          <w:ilvl w:val="0"/>
          <w:numId w:val="38"/>
        </w:numPr>
        <w:spacing w:after="60"/>
        <w:jc w:val="both"/>
      </w:pPr>
      <w:r w:rsidRPr="00933AE9">
        <w:rPr>
          <w:lang w:val="es-CR"/>
        </w:rPr>
        <w:t>Rechazar la solicitud de interpretación de sentencia presentada por los representantes de las víctimas, respecto al pago de honorarios y gastos, de</w:t>
      </w:r>
      <w:r w:rsidR="00FB34F9">
        <w:rPr>
          <w:lang w:val="es-CR"/>
        </w:rPr>
        <w:t xml:space="preserve"> conformidad con los párrafos 32</w:t>
      </w:r>
      <w:r w:rsidR="00933AE9" w:rsidRPr="00933AE9">
        <w:rPr>
          <w:lang w:val="es-CR"/>
        </w:rPr>
        <w:t xml:space="preserve"> a 34</w:t>
      </w:r>
      <w:r w:rsidRPr="00933AE9">
        <w:rPr>
          <w:lang w:val="es-CR"/>
        </w:rPr>
        <w:t xml:space="preserve"> de la presente Sentencia.</w:t>
      </w:r>
    </w:p>
    <w:p w:rsidR="00024767" w:rsidRDefault="00024767" w:rsidP="002C36C5">
      <w:pPr>
        <w:pStyle w:val="Prrafodelista"/>
        <w:spacing w:after="60"/>
      </w:pPr>
    </w:p>
    <w:p w:rsidR="000D21BA" w:rsidRPr="00024767" w:rsidRDefault="000D21BA" w:rsidP="002C36C5">
      <w:pPr>
        <w:numPr>
          <w:ilvl w:val="0"/>
          <w:numId w:val="38"/>
        </w:numPr>
        <w:spacing w:after="60"/>
        <w:jc w:val="both"/>
      </w:pPr>
      <w:r w:rsidRPr="00024767">
        <w:rPr>
          <w:rFonts w:eastAsia="Batang"/>
        </w:rPr>
        <w:t>Disponer que la Secretaría de la Corte notifique la p</w:t>
      </w:r>
      <w:r w:rsidR="00EB3234">
        <w:rPr>
          <w:rFonts w:eastAsia="Batang"/>
        </w:rPr>
        <w:t>resente Sentencia al</w:t>
      </w:r>
      <w:r w:rsidRPr="00024767">
        <w:rPr>
          <w:rFonts w:eastAsia="Batang"/>
        </w:rPr>
        <w:t xml:space="preserve"> </w:t>
      </w:r>
      <w:r w:rsidR="00917D0F" w:rsidRPr="00024767">
        <w:rPr>
          <w:rFonts w:eastAsia="Batang"/>
        </w:rPr>
        <w:t>Estado</w:t>
      </w:r>
      <w:r w:rsidRPr="00024767">
        <w:rPr>
          <w:rFonts w:eastAsia="Batang"/>
        </w:rPr>
        <w:t xml:space="preserve"> de Chile, a los representantes de la señora Atala Riffo y a la Comisión Interamericana de Derechos Humanos.</w:t>
      </w:r>
    </w:p>
    <w:p w:rsidR="008F5901" w:rsidRDefault="008F5901" w:rsidP="002C36C5">
      <w:pPr>
        <w:tabs>
          <w:tab w:val="left" w:pos="720"/>
        </w:tabs>
        <w:spacing w:after="60"/>
        <w:jc w:val="both"/>
        <w:rPr>
          <w:lang w:val="es-CR"/>
        </w:rPr>
      </w:pPr>
    </w:p>
    <w:p w:rsidR="008F5901" w:rsidRDefault="008F5901" w:rsidP="002C36C5">
      <w:pPr>
        <w:tabs>
          <w:tab w:val="left" w:pos="720"/>
        </w:tabs>
        <w:spacing w:after="60"/>
        <w:jc w:val="both"/>
        <w:rPr>
          <w:lang w:val="es-CR"/>
        </w:rPr>
      </w:pPr>
    </w:p>
    <w:p w:rsidR="005872A3" w:rsidRDefault="002C36C5" w:rsidP="005872A3">
      <w:pPr>
        <w:jc w:val="center"/>
      </w:pPr>
      <w:r>
        <w:br w:type="page"/>
      </w:r>
    </w:p>
    <w:p w:rsidR="005872A3" w:rsidRDefault="005872A3" w:rsidP="005872A3">
      <w:pPr>
        <w:jc w:val="center"/>
      </w:pPr>
    </w:p>
    <w:p w:rsidR="005872A3" w:rsidRDefault="005872A3" w:rsidP="005872A3">
      <w:pPr>
        <w:jc w:val="center"/>
      </w:pPr>
    </w:p>
    <w:p w:rsidR="005872A3" w:rsidRDefault="005872A3" w:rsidP="005872A3">
      <w:pPr>
        <w:jc w:val="center"/>
        <w:rPr>
          <w:lang w:val="es-ES"/>
        </w:rPr>
      </w:pPr>
      <w:r w:rsidRPr="00370276">
        <w:rPr>
          <w:lang w:val="es-ES"/>
        </w:rPr>
        <w:t>Diego García-Sayán</w:t>
      </w:r>
      <w:r w:rsidRPr="00370276">
        <w:rPr>
          <w:lang w:val="es-ES"/>
        </w:rPr>
        <w:tab/>
      </w:r>
    </w:p>
    <w:p w:rsidR="005872A3" w:rsidRPr="00370276" w:rsidRDefault="005872A3" w:rsidP="005872A3">
      <w:pPr>
        <w:jc w:val="center"/>
        <w:rPr>
          <w:lang w:val="es-ES"/>
        </w:rPr>
      </w:pPr>
      <w:r>
        <w:rPr>
          <w:lang w:val="es-ES"/>
        </w:rPr>
        <w:t>Presidente</w:t>
      </w: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r w:rsidRPr="00370276">
        <w:rPr>
          <w:lang w:val="es-ES"/>
        </w:rPr>
        <w:t xml:space="preserve">Manuel E. Ventura Robles </w:t>
      </w:r>
      <w:r>
        <w:rPr>
          <w:lang w:val="es-ES"/>
        </w:rPr>
        <w:tab/>
      </w:r>
      <w:r>
        <w:rPr>
          <w:lang w:val="es-ES"/>
        </w:rPr>
        <w:tab/>
      </w:r>
      <w:r>
        <w:rPr>
          <w:lang w:val="es-ES"/>
        </w:rPr>
        <w:tab/>
      </w:r>
      <w:r>
        <w:rPr>
          <w:lang w:val="es-ES"/>
        </w:rPr>
        <w:tab/>
      </w:r>
      <w:r>
        <w:rPr>
          <w:lang w:val="es-ES"/>
        </w:rPr>
        <w:tab/>
      </w:r>
      <w:r>
        <w:rPr>
          <w:lang w:val="es-ES"/>
        </w:rPr>
        <w:tab/>
        <w:t xml:space="preserve">  </w:t>
      </w:r>
      <w:r w:rsidRPr="00370276">
        <w:rPr>
          <w:lang w:val="es-ES"/>
        </w:rPr>
        <w:t>Leonardo A. Franco</w:t>
      </w:r>
      <w:r w:rsidRPr="00370276">
        <w:rPr>
          <w:lang w:val="es-ES"/>
        </w:rPr>
        <w:tab/>
        <w:t xml:space="preserve"> </w:t>
      </w:r>
    </w:p>
    <w:p w:rsidR="005872A3" w:rsidRPr="00370276" w:rsidRDefault="005872A3" w:rsidP="005872A3">
      <w:pPr>
        <w:jc w:val="both"/>
        <w:rPr>
          <w:lang w:val="es-ES"/>
        </w:rPr>
      </w:pPr>
    </w:p>
    <w:p w:rsidR="005872A3"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rPr>
          <w:lang w:val="es-ES"/>
        </w:rPr>
      </w:pPr>
    </w:p>
    <w:p w:rsidR="005872A3" w:rsidRPr="00370276" w:rsidRDefault="005872A3" w:rsidP="005872A3">
      <w:pPr>
        <w:rPr>
          <w:lang w:val="es-ES"/>
        </w:rPr>
      </w:pPr>
    </w:p>
    <w:p w:rsidR="005872A3" w:rsidRPr="005872A3" w:rsidRDefault="005872A3" w:rsidP="005872A3">
      <w:pPr>
        <w:rPr>
          <w:lang w:val="en-US"/>
        </w:rPr>
      </w:pPr>
      <w:r w:rsidRPr="005872A3">
        <w:rPr>
          <w:lang w:val="en-US"/>
        </w:rPr>
        <w:t xml:space="preserve">Margarette May Macaulay </w:t>
      </w:r>
      <w:r w:rsidRPr="005872A3">
        <w:rPr>
          <w:lang w:val="en-US"/>
        </w:rPr>
        <w:tab/>
      </w:r>
      <w:r w:rsidRPr="005872A3">
        <w:rPr>
          <w:lang w:val="en-US"/>
        </w:rPr>
        <w:tab/>
      </w:r>
      <w:r w:rsidRPr="005872A3">
        <w:rPr>
          <w:lang w:val="en-US"/>
        </w:rPr>
        <w:tab/>
      </w:r>
      <w:r w:rsidRPr="005872A3">
        <w:rPr>
          <w:lang w:val="en-US"/>
        </w:rPr>
        <w:tab/>
      </w:r>
      <w:r w:rsidRPr="005872A3">
        <w:rPr>
          <w:lang w:val="en-US"/>
        </w:rPr>
        <w:tab/>
        <w:t xml:space="preserve">         Rhadys Abreu Blondet</w:t>
      </w:r>
    </w:p>
    <w:p w:rsidR="005872A3" w:rsidRPr="005872A3" w:rsidRDefault="005872A3" w:rsidP="005872A3">
      <w:pPr>
        <w:rPr>
          <w:lang w:val="en-US"/>
        </w:rPr>
      </w:pPr>
    </w:p>
    <w:p w:rsidR="005872A3" w:rsidRPr="005872A3" w:rsidRDefault="005872A3" w:rsidP="005872A3">
      <w:pPr>
        <w:rPr>
          <w:lang w:val="en-US"/>
        </w:rPr>
      </w:pPr>
    </w:p>
    <w:p w:rsidR="005872A3" w:rsidRPr="005872A3" w:rsidRDefault="005872A3" w:rsidP="005872A3">
      <w:pPr>
        <w:rPr>
          <w:lang w:val="en-US"/>
        </w:rPr>
      </w:pPr>
    </w:p>
    <w:p w:rsidR="005872A3" w:rsidRPr="005872A3" w:rsidRDefault="005872A3" w:rsidP="005872A3">
      <w:pPr>
        <w:rPr>
          <w:lang w:val="en-US"/>
        </w:rPr>
      </w:pPr>
    </w:p>
    <w:p w:rsidR="005872A3" w:rsidRPr="005872A3" w:rsidRDefault="005872A3" w:rsidP="005872A3">
      <w:pPr>
        <w:rPr>
          <w:lang w:val="en-US"/>
        </w:rPr>
      </w:pPr>
    </w:p>
    <w:p w:rsidR="005872A3" w:rsidRDefault="005872A3" w:rsidP="005872A3">
      <w:pPr>
        <w:jc w:val="center"/>
        <w:rPr>
          <w:lang w:val="es-ES"/>
        </w:rPr>
      </w:pPr>
      <w:r w:rsidRPr="00370276">
        <w:rPr>
          <w:lang w:val="es-ES"/>
        </w:rPr>
        <w:t>Alberto Pérez Pérez</w:t>
      </w:r>
    </w:p>
    <w:p w:rsidR="005872A3" w:rsidRDefault="005872A3" w:rsidP="005872A3">
      <w:pPr>
        <w:rPr>
          <w:lang w:val="es-ES"/>
        </w:rPr>
      </w:pPr>
    </w:p>
    <w:p w:rsidR="005872A3" w:rsidRDefault="005872A3" w:rsidP="005872A3">
      <w:pPr>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center"/>
        <w:rPr>
          <w:lang w:val="es-ES"/>
        </w:rPr>
      </w:pPr>
      <w:r w:rsidRPr="00370276">
        <w:rPr>
          <w:lang w:val="es-ES"/>
        </w:rPr>
        <w:t>Pablo Saavedra Ale</w:t>
      </w:r>
      <w:r>
        <w:rPr>
          <w:lang w:val="es-ES"/>
        </w:rPr>
        <w:t>s</w:t>
      </w:r>
      <w:r w:rsidRPr="00370276">
        <w:rPr>
          <w:lang w:val="es-ES"/>
        </w:rPr>
        <w:t>sandri</w:t>
      </w:r>
    </w:p>
    <w:p w:rsidR="005872A3" w:rsidRPr="00370276" w:rsidRDefault="005872A3" w:rsidP="005872A3">
      <w:pPr>
        <w:jc w:val="center"/>
        <w:rPr>
          <w:lang w:val="es-ES"/>
        </w:rPr>
      </w:pPr>
      <w:r w:rsidRPr="00370276">
        <w:rPr>
          <w:lang w:val="es-ES"/>
        </w:rPr>
        <w:t>Secretario</w:t>
      </w:r>
    </w:p>
    <w:p w:rsidR="005872A3" w:rsidRPr="00370276" w:rsidRDefault="005872A3" w:rsidP="005872A3">
      <w:pPr>
        <w:jc w:val="center"/>
        <w:rPr>
          <w:lang w:val="es-ES"/>
        </w:rPr>
      </w:pPr>
    </w:p>
    <w:p w:rsidR="005872A3" w:rsidRPr="00370276" w:rsidRDefault="005872A3" w:rsidP="005872A3">
      <w:pPr>
        <w:pStyle w:val="Textonotapie"/>
        <w:rPr>
          <w:lang w:val="es-ES"/>
        </w:rPr>
      </w:pPr>
    </w:p>
    <w:p w:rsidR="005872A3" w:rsidRPr="00370276" w:rsidRDefault="005872A3" w:rsidP="005872A3">
      <w:pPr>
        <w:jc w:val="both"/>
        <w:rPr>
          <w:lang w:val="es-ES"/>
        </w:rPr>
      </w:pPr>
    </w:p>
    <w:p w:rsidR="005872A3" w:rsidRPr="00370276" w:rsidRDefault="005872A3" w:rsidP="005872A3">
      <w:pPr>
        <w:jc w:val="both"/>
        <w:rPr>
          <w:lang w:val="es-ES"/>
        </w:rPr>
      </w:pPr>
      <w:r w:rsidRPr="00370276">
        <w:rPr>
          <w:lang w:val="es-ES"/>
        </w:rPr>
        <w:t>Comuníquese y ejecútese,</w:t>
      </w: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Default="005872A3" w:rsidP="005872A3">
      <w:pPr>
        <w:jc w:val="both"/>
      </w:pPr>
    </w:p>
    <w:p w:rsidR="005872A3" w:rsidRDefault="005872A3" w:rsidP="005872A3">
      <w:pPr>
        <w:ind w:left="5760"/>
        <w:jc w:val="center"/>
        <w:rPr>
          <w:lang w:val="es-ES"/>
        </w:rPr>
      </w:pPr>
      <w:r w:rsidRPr="00370276">
        <w:rPr>
          <w:lang w:val="es-ES"/>
        </w:rPr>
        <w:t>Diego García-Sayán</w:t>
      </w:r>
      <w:r w:rsidRPr="00370276">
        <w:rPr>
          <w:lang w:val="es-ES"/>
        </w:rPr>
        <w:tab/>
      </w:r>
    </w:p>
    <w:p w:rsidR="005872A3" w:rsidRPr="00370276" w:rsidRDefault="005872A3" w:rsidP="005872A3">
      <w:pPr>
        <w:ind w:left="5760"/>
        <w:jc w:val="center"/>
        <w:rPr>
          <w:lang w:val="es-ES"/>
        </w:rPr>
      </w:pPr>
      <w:r>
        <w:rPr>
          <w:lang w:val="es-ES"/>
        </w:rPr>
        <w:t>Presidente</w:t>
      </w: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p>
    <w:p w:rsidR="005872A3" w:rsidRPr="00370276" w:rsidRDefault="005872A3" w:rsidP="005872A3">
      <w:pPr>
        <w:jc w:val="both"/>
        <w:rPr>
          <w:lang w:val="es-ES"/>
        </w:rPr>
      </w:pPr>
      <w:r w:rsidRPr="00370276">
        <w:rPr>
          <w:lang w:val="es-ES"/>
        </w:rPr>
        <w:t>Pablo Saavedra Alessandri</w:t>
      </w:r>
    </w:p>
    <w:p w:rsidR="005872A3" w:rsidRDefault="005872A3" w:rsidP="005872A3">
      <w:r w:rsidRPr="00370276">
        <w:rPr>
          <w:lang w:val="es-ES"/>
        </w:rPr>
        <w:tab/>
      </w:r>
      <w:r>
        <w:t>Secretario</w:t>
      </w:r>
    </w:p>
    <w:p w:rsidR="00A7027D" w:rsidRDefault="00A7027D" w:rsidP="003C14FB"/>
    <w:sectPr w:rsidR="00A7027D" w:rsidSect="00722677">
      <w:headerReference w:type="even" r:id="rId8"/>
      <w:headerReference w:type="default" r:id="rId9"/>
      <w:headerReference w:type="first" r:id="rId10"/>
      <w:pgSz w:w="12240" w:h="15840" w:code="1"/>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60C" w:rsidRDefault="009F360C" w:rsidP="0089721F">
      <w:r>
        <w:separator/>
      </w:r>
    </w:p>
  </w:endnote>
  <w:endnote w:type="continuationSeparator" w:id="0">
    <w:p w:rsidR="009F360C" w:rsidRDefault="009F360C" w:rsidP="0089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notTrueType/>
    <w:pitch w:val="fixed"/>
    <w:sig w:usb0="00000000"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60C" w:rsidRDefault="009F360C" w:rsidP="0089721F">
      <w:r>
        <w:separator/>
      </w:r>
    </w:p>
  </w:footnote>
  <w:footnote w:type="continuationSeparator" w:id="0">
    <w:p w:rsidR="009F360C" w:rsidRDefault="009F360C" w:rsidP="0089721F">
      <w:r>
        <w:continuationSeparator/>
      </w:r>
    </w:p>
  </w:footnote>
  <w:footnote w:id="1">
    <w:p w:rsidR="00212B23" w:rsidRDefault="00212B23" w:rsidP="00DA4A52">
      <w:pPr>
        <w:pStyle w:val="Textonotapie"/>
        <w:rPr>
          <w:szCs w:val="16"/>
          <w:lang w:val="es-CR"/>
        </w:rPr>
      </w:pPr>
      <w:r w:rsidRPr="007D52F3">
        <w:rPr>
          <w:rStyle w:val="Refdenotaalpie"/>
          <w:szCs w:val="16"/>
          <w:lang w:val="es-CR"/>
        </w:rPr>
        <w:footnoteRef/>
      </w:r>
      <w:r w:rsidRPr="007D52F3">
        <w:rPr>
          <w:szCs w:val="16"/>
          <w:lang w:val="es-CR"/>
        </w:rPr>
        <w:t xml:space="preserve"> </w:t>
      </w:r>
      <w:r w:rsidRPr="007D52F3">
        <w:rPr>
          <w:szCs w:val="16"/>
          <w:lang w:val="es-CR"/>
        </w:rPr>
        <w:tab/>
        <w:t>De conformidad con el artículo 19.1 del Reglamento de la Corte Interamericana aplicable al presente caso (</w:t>
      </w:r>
      <w:r w:rsidRPr="007D52F3">
        <w:rPr>
          <w:i/>
          <w:szCs w:val="16"/>
          <w:lang w:val="es-CR"/>
        </w:rPr>
        <w:t>infra</w:t>
      </w:r>
      <w:r w:rsidRPr="007D52F3">
        <w:rPr>
          <w:szCs w:val="16"/>
          <w:lang w:val="es-CR"/>
        </w:rPr>
        <w:t xml:space="preserve"> nota 2), que establece que </w:t>
      </w:r>
      <w:r w:rsidRPr="007D52F3">
        <w:rPr>
          <w:szCs w:val="16"/>
          <w:lang w:val="es-CR" w:eastAsia="es-ES"/>
        </w:rPr>
        <w:t>“[e]n los casos a que hace referencia el artículo 44 de la Convención Americana, los Jueces no podrán participar en su conocimiento y deliberación, cuando sean nacionales del Estado demandado”</w:t>
      </w:r>
      <w:r w:rsidRPr="007D52F3">
        <w:rPr>
          <w:szCs w:val="16"/>
          <w:lang w:val="es-CR"/>
        </w:rPr>
        <w:t xml:space="preserve">, el Juez Eduardo Vio Grossi, de nacionalidad chilena, no participó en la tramitación del presente caso, ni en la deliberación y firma de </w:t>
      </w:r>
      <w:r w:rsidRPr="007D52F3">
        <w:rPr>
          <w:rFonts w:cs="Verdana"/>
          <w:szCs w:val="16"/>
          <w:lang w:val="es-CR" w:eastAsia="es-MX"/>
        </w:rPr>
        <w:t xml:space="preserve">la Sentencia de fondo, reparaciones y costas de </w:t>
      </w:r>
      <w:r w:rsidRPr="007D52F3">
        <w:rPr>
          <w:szCs w:val="16"/>
          <w:lang w:val="es-CR"/>
        </w:rPr>
        <w:t xml:space="preserve">24 de febrero de 2012 y de la presente Sentencia. </w:t>
      </w:r>
    </w:p>
    <w:p w:rsidR="00722677" w:rsidRPr="007D52F3" w:rsidRDefault="00722677" w:rsidP="00DA4A52">
      <w:pPr>
        <w:pStyle w:val="Textonotapie"/>
        <w:rPr>
          <w:szCs w:val="16"/>
          <w:lang w:val="es-CR"/>
        </w:rPr>
      </w:pPr>
    </w:p>
  </w:footnote>
  <w:footnote w:id="2">
    <w:p w:rsidR="00212B23" w:rsidRPr="007D52F3" w:rsidRDefault="00212B23" w:rsidP="00DA4A52">
      <w:pPr>
        <w:autoSpaceDE w:val="0"/>
        <w:autoSpaceDN w:val="0"/>
        <w:adjustRightInd w:val="0"/>
        <w:jc w:val="both"/>
        <w:rPr>
          <w:rFonts w:eastAsia="Calibri" w:cs="Verdana"/>
          <w:sz w:val="16"/>
          <w:szCs w:val="16"/>
          <w:lang w:val="es-CR"/>
        </w:rPr>
      </w:pPr>
      <w:r w:rsidRPr="007D52F3">
        <w:rPr>
          <w:rStyle w:val="Refdenotaalpie"/>
          <w:sz w:val="16"/>
          <w:szCs w:val="16"/>
          <w:lang w:val="es-CR"/>
        </w:rPr>
        <w:footnoteRef/>
      </w:r>
      <w:r w:rsidRPr="007D52F3">
        <w:rPr>
          <w:sz w:val="16"/>
          <w:szCs w:val="16"/>
          <w:lang w:val="es-CR"/>
        </w:rPr>
        <w:t xml:space="preserve"> </w:t>
      </w:r>
      <w:r w:rsidRPr="007D52F3">
        <w:rPr>
          <w:sz w:val="16"/>
          <w:szCs w:val="16"/>
          <w:lang w:val="es-CR"/>
        </w:rPr>
        <w:tab/>
        <w:t xml:space="preserve">Reglamento de la Corte aprobado por el Tribunal en su LXXXV Período Ordinario de Sesiones celebrado del 16 al 28 de noviembre de 2009, el cual aplica al presente caso, de conformidad con el artículo 79 del mismo. </w:t>
      </w:r>
      <w:r w:rsidRPr="007D52F3">
        <w:rPr>
          <w:rFonts w:eastAsia="Calibri" w:cs="Verdana"/>
          <w:sz w:val="16"/>
          <w:szCs w:val="16"/>
          <w:lang w:val="es-CR"/>
        </w:rPr>
        <w:t>Según el artículo 79.2 de dicho Reglamento, “[c]uando la Comisión hubiese adoptado el informe al que se refiere el artículo 50 de la Convención con anterioridad a la entrada en vigor del presente Reglamento, la presentación del caso ante la Corte se regirá por los artículos 33 y 34 del Reglamento anteriormente vigente. En lo que respecta a la recepción de declaraciones se aplicarán las disposic</w:t>
      </w:r>
      <w:r w:rsidR="0083350E" w:rsidRPr="007D52F3">
        <w:rPr>
          <w:rFonts w:eastAsia="Calibri" w:cs="Verdana"/>
          <w:sz w:val="16"/>
          <w:szCs w:val="16"/>
          <w:lang w:val="es-CR"/>
        </w:rPr>
        <w:t>iones del presente Reglamento</w:t>
      </w:r>
      <w:r w:rsidRPr="007D52F3">
        <w:rPr>
          <w:rFonts w:eastAsia="Calibri" w:cs="Verdana"/>
          <w:sz w:val="16"/>
          <w:szCs w:val="16"/>
          <w:lang w:val="es-CR"/>
        </w:rPr>
        <w:t>”</w:t>
      </w:r>
      <w:r w:rsidR="0083350E" w:rsidRPr="007D52F3">
        <w:rPr>
          <w:rFonts w:eastAsia="Calibri" w:cs="Verdana"/>
          <w:sz w:val="16"/>
          <w:szCs w:val="16"/>
          <w:lang w:val="es-CR"/>
        </w:rPr>
        <w:t>.</w:t>
      </w:r>
      <w:r w:rsidRPr="007D52F3">
        <w:rPr>
          <w:rFonts w:eastAsia="Calibri" w:cs="Verdana"/>
          <w:sz w:val="16"/>
          <w:szCs w:val="16"/>
          <w:lang w:val="es-CR"/>
        </w:rPr>
        <w:t xml:space="preserve"> Por tanto, en lo que se refiere a la presentación del caso, fueron aplicables los artículos 33 y 34 del Reglamento aprobado por la Corte en su XLIX Período Ordinario de Sesiones. </w:t>
      </w:r>
    </w:p>
  </w:footnote>
  <w:footnote w:id="3">
    <w:p w:rsidR="00212B23" w:rsidRDefault="00212B23" w:rsidP="00DA4A52">
      <w:pPr>
        <w:pStyle w:val="Textonotapie"/>
        <w:rPr>
          <w:szCs w:val="16"/>
          <w:lang w:val="es-CR"/>
        </w:rPr>
      </w:pPr>
      <w:r w:rsidRPr="007D52F3">
        <w:rPr>
          <w:rStyle w:val="Refdenotaalpie"/>
          <w:szCs w:val="16"/>
        </w:rPr>
        <w:footnoteRef/>
      </w:r>
      <w:r w:rsidRPr="007D52F3">
        <w:rPr>
          <w:szCs w:val="16"/>
        </w:rPr>
        <w:t xml:space="preserve"> </w:t>
      </w:r>
      <w:r w:rsidRPr="007D52F3">
        <w:rPr>
          <w:szCs w:val="16"/>
        </w:rPr>
        <w:tab/>
      </w:r>
      <w:r w:rsidR="00AC5874" w:rsidRPr="007D52F3">
        <w:rPr>
          <w:i/>
          <w:szCs w:val="16"/>
          <w:lang w:val="es-CR"/>
        </w:rPr>
        <w:t>Cfr. Caso Loayza Tamayo Vs. Perú</w:t>
      </w:r>
      <w:r w:rsidR="00AC5874" w:rsidRPr="007D52F3">
        <w:rPr>
          <w:szCs w:val="16"/>
          <w:lang w:val="es-CR"/>
        </w:rPr>
        <w:t xml:space="preserve">. </w:t>
      </w:r>
      <w:r w:rsidR="00AC5874" w:rsidRPr="007D52F3">
        <w:rPr>
          <w:i/>
          <w:szCs w:val="16"/>
          <w:lang w:val="es-CR"/>
        </w:rPr>
        <w:t>Interpretación de la Sentencia de Fondo.</w:t>
      </w:r>
      <w:r w:rsidR="00AC5874" w:rsidRPr="007D52F3">
        <w:rPr>
          <w:szCs w:val="16"/>
          <w:lang w:val="es-CR"/>
        </w:rPr>
        <w:t xml:space="preserve"> Resolución de la Corte Interamericana de Derechos Humanos de 8 de marzo de 1998. Serie C Nº. 47, párr. 16, y </w:t>
      </w:r>
      <w:r w:rsidR="00AC5874" w:rsidRPr="007D52F3">
        <w:rPr>
          <w:bCs/>
          <w:i/>
          <w:szCs w:val="16"/>
          <w:lang w:val="es-CR"/>
        </w:rPr>
        <w:t xml:space="preserve">Caso Salvador Chiriboga Vs. Ecuador. </w:t>
      </w:r>
      <w:r w:rsidR="00AC5874" w:rsidRPr="007D52F3">
        <w:rPr>
          <w:i/>
          <w:szCs w:val="16"/>
          <w:lang w:val="es-CR"/>
        </w:rPr>
        <w:t>Interpretación de la Sentencia de Reparaciones y Costas.</w:t>
      </w:r>
      <w:r w:rsidR="00AC5874" w:rsidRPr="007D52F3">
        <w:rPr>
          <w:szCs w:val="16"/>
          <w:lang w:val="es-CR"/>
        </w:rPr>
        <w:t xml:space="preserve"> Sentencia de 29 de agosto de 2011. Serie C No. 230, párr. 11.</w:t>
      </w:r>
    </w:p>
    <w:p w:rsidR="00722677" w:rsidRPr="007D52F3" w:rsidRDefault="00722677" w:rsidP="00DA4A52">
      <w:pPr>
        <w:pStyle w:val="Textonotapie"/>
        <w:rPr>
          <w:szCs w:val="16"/>
        </w:rPr>
      </w:pPr>
    </w:p>
  </w:footnote>
  <w:footnote w:id="4">
    <w:p w:rsidR="00212B23" w:rsidRDefault="00212B23" w:rsidP="00DA4A52">
      <w:pPr>
        <w:pStyle w:val="Textonotapie"/>
        <w:rPr>
          <w:szCs w:val="16"/>
          <w:lang w:val="es-CO"/>
        </w:rPr>
      </w:pPr>
      <w:r w:rsidRPr="007D52F3">
        <w:rPr>
          <w:rStyle w:val="Refdenotaalpie"/>
          <w:szCs w:val="16"/>
        </w:rPr>
        <w:footnoteRef/>
      </w:r>
      <w:r w:rsidRPr="007D52F3">
        <w:rPr>
          <w:szCs w:val="16"/>
        </w:rPr>
        <w:t xml:space="preserve"> </w:t>
      </w:r>
      <w:r w:rsidRPr="007D52F3">
        <w:rPr>
          <w:szCs w:val="16"/>
        </w:rPr>
        <w:tab/>
      </w:r>
      <w:r w:rsidRPr="007D52F3">
        <w:rPr>
          <w:i/>
          <w:szCs w:val="16"/>
        </w:rPr>
        <w:t>Cfr. Caso Loayza Tamayo Vs. Perú</w:t>
      </w:r>
      <w:r w:rsidRPr="007D52F3">
        <w:rPr>
          <w:szCs w:val="16"/>
        </w:rPr>
        <w:t xml:space="preserve">. </w:t>
      </w:r>
      <w:r w:rsidRPr="007D52F3">
        <w:rPr>
          <w:i/>
          <w:szCs w:val="16"/>
        </w:rPr>
        <w:t>Interpretación de la Sentencia de Fondo</w:t>
      </w:r>
      <w:r w:rsidRPr="007D52F3">
        <w:rPr>
          <w:szCs w:val="16"/>
        </w:rPr>
        <w:t>, párr. 16</w:t>
      </w:r>
      <w:r w:rsidR="00AC5874" w:rsidRPr="007D52F3">
        <w:rPr>
          <w:szCs w:val="16"/>
          <w:lang w:val="es-CO"/>
        </w:rPr>
        <w:t>,</w:t>
      </w:r>
      <w:r w:rsidRPr="007D52F3">
        <w:rPr>
          <w:szCs w:val="16"/>
        </w:rPr>
        <w:t xml:space="preserve"> y </w:t>
      </w:r>
      <w:r w:rsidRPr="007D52F3">
        <w:rPr>
          <w:bCs/>
          <w:i/>
          <w:szCs w:val="16"/>
        </w:rPr>
        <w:t xml:space="preserve">Caso Salvador Chiriboga Vs. Ecuador. </w:t>
      </w:r>
      <w:r w:rsidRPr="007D52F3">
        <w:rPr>
          <w:i/>
          <w:szCs w:val="16"/>
        </w:rPr>
        <w:t>Interpretación de la Sentencia de Reparaciones y Costas</w:t>
      </w:r>
      <w:r w:rsidR="00AC5874" w:rsidRPr="007D52F3">
        <w:rPr>
          <w:szCs w:val="16"/>
        </w:rPr>
        <w:t>,</w:t>
      </w:r>
      <w:r w:rsidR="00AC5874" w:rsidRPr="007D52F3">
        <w:rPr>
          <w:szCs w:val="16"/>
          <w:lang w:val="es-CO"/>
        </w:rPr>
        <w:t xml:space="preserve"> </w:t>
      </w:r>
      <w:r w:rsidRPr="007D52F3">
        <w:rPr>
          <w:szCs w:val="16"/>
        </w:rPr>
        <w:t>párr. 11.</w:t>
      </w:r>
    </w:p>
    <w:p w:rsidR="00722677" w:rsidRPr="00722677" w:rsidRDefault="00722677" w:rsidP="00DA4A52">
      <w:pPr>
        <w:pStyle w:val="Textonotapie"/>
        <w:rPr>
          <w:szCs w:val="16"/>
          <w:lang w:val="es-CO"/>
        </w:rPr>
      </w:pPr>
    </w:p>
  </w:footnote>
  <w:footnote w:id="5">
    <w:p w:rsidR="00212B23" w:rsidRDefault="00212B23" w:rsidP="00DA4A52">
      <w:pPr>
        <w:pStyle w:val="Textonotapie"/>
        <w:rPr>
          <w:szCs w:val="16"/>
          <w:lang w:val="es-CR"/>
        </w:rPr>
      </w:pPr>
      <w:r w:rsidRPr="007D52F3">
        <w:rPr>
          <w:rStyle w:val="Refdenotaalpie"/>
          <w:szCs w:val="16"/>
        </w:rPr>
        <w:footnoteRef/>
      </w:r>
      <w:r w:rsidRPr="007D52F3">
        <w:rPr>
          <w:szCs w:val="16"/>
        </w:rPr>
        <w:t xml:space="preserve"> </w:t>
      </w:r>
      <w:r w:rsidRPr="007D52F3">
        <w:rPr>
          <w:szCs w:val="16"/>
          <w:lang w:val="es-CO"/>
        </w:rPr>
        <w:tab/>
      </w:r>
      <w:r w:rsidR="00797572" w:rsidRPr="007D52F3">
        <w:rPr>
          <w:i/>
          <w:szCs w:val="16"/>
          <w:lang w:val="es-CO"/>
        </w:rPr>
        <w:t xml:space="preserve">Cfr. </w:t>
      </w:r>
      <w:r w:rsidR="00797572" w:rsidRPr="007D52F3">
        <w:rPr>
          <w:bCs/>
          <w:i/>
          <w:szCs w:val="16"/>
          <w:lang w:val="es-CR"/>
        </w:rPr>
        <w:t xml:space="preserve">Caso Salvador Chiriboga Vs. Ecuador. </w:t>
      </w:r>
      <w:r w:rsidR="00797572" w:rsidRPr="007D52F3">
        <w:rPr>
          <w:i/>
          <w:szCs w:val="16"/>
          <w:lang w:val="es-CR"/>
        </w:rPr>
        <w:t>Interpretación de la Sentencia de Reparaciones y Costas</w:t>
      </w:r>
      <w:r w:rsidR="00797572" w:rsidRPr="007D52F3">
        <w:rPr>
          <w:szCs w:val="16"/>
          <w:lang w:val="es-CR"/>
        </w:rPr>
        <w:t xml:space="preserve">, párr. 29, y </w:t>
      </w:r>
      <w:r w:rsidR="00797572" w:rsidRPr="007D52F3">
        <w:rPr>
          <w:bCs/>
          <w:i/>
          <w:szCs w:val="16"/>
          <w:lang w:val="es-ES_tradnl"/>
        </w:rPr>
        <w:t xml:space="preserve">Caso </w:t>
      </w:r>
      <w:proofErr w:type="spellStart"/>
      <w:r w:rsidR="00797572" w:rsidRPr="007D52F3">
        <w:rPr>
          <w:bCs/>
          <w:i/>
          <w:szCs w:val="16"/>
          <w:lang w:val="es-ES_tradnl"/>
        </w:rPr>
        <w:t>Abrill</w:t>
      </w:r>
      <w:proofErr w:type="spellEnd"/>
      <w:r w:rsidR="00797572" w:rsidRPr="007D52F3">
        <w:rPr>
          <w:bCs/>
          <w:i/>
          <w:szCs w:val="16"/>
          <w:lang w:val="es-ES_tradnl"/>
        </w:rPr>
        <w:t xml:space="preserve"> </w:t>
      </w:r>
      <w:proofErr w:type="spellStart"/>
      <w:r w:rsidR="00797572" w:rsidRPr="007D52F3">
        <w:rPr>
          <w:bCs/>
          <w:i/>
          <w:szCs w:val="16"/>
          <w:lang w:val="es-ES_tradnl"/>
        </w:rPr>
        <w:t>Alosilla</w:t>
      </w:r>
      <w:proofErr w:type="spellEnd"/>
      <w:r w:rsidR="00797572" w:rsidRPr="007D52F3">
        <w:rPr>
          <w:bCs/>
          <w:i/>
          <w:szCs w:val="16"/>
          <w:lang w:val="es-ES_tradnl"/>
        </w:rPr>
        <w:t xml:space="preserve"> y otros Vs. Perú.</w:t>
      </w:r>
      <w:r w:rsidR="00797572" w:rsidRPr="007D52F3">
        <w:rPr>
          <w:b/>
          <w:bCs/>
          <w:i/>
          <w:szCs w:val="16"/>
          <w:lang w:val="es-ES_tradnl"/>
        </w:rPr>
        <w:t xml:space="preserve"> </w:t>
      </w:r>
      <w:r w:rsidR="00797572" w:rsidRPr="007D52F3">
        <w:rPr>
          <w:i/>
          <w:szCs w:val="16"/>
          <w:lang w:val="es-ES_tradnl"/>
        </w:rPr>
        <w:t xml:space="preserve">Interpretación de la Sentencia de Fondo, Reparaciones y Costas. </w:t>
      </w:r>
      <w:r w:rsidR="00797572" w:rsidRPr="007D52F3">
        <w:rPr>
          <w:szCs w:val="16"/>
          <w:lang w:val="es-ES_tradnl"/>
        </w:rPr>
        <w:t>Sentencia de 21 de noviembre de 2011. Serie C No. 235, párr. 16</w:t>
      </w:r>
      <w:r w:rsidR="00797572" w:rsidRPr="007D52F3">
        <w:rPr>
          <w:szCs w:val="16"/>
          <w:lang w:val="es-CR"/>
        </w:rPr>
        <w:t>.</w:t>
      </w:r>
    </w:p>
    <w:p w:rsidR="00722677" w:rsidRPr="007D52F3" w:rsidRDefault="00722677" w:rsidP="00DA4A52">
      <w:pPr>
        <w:pStyle w:val="Textonotapie"/>
        <w:rPr>
          <w:szCs w:val="16"/>
          <w:lang w:val="es-CO"/>
        </w:rPr>
      </w:pPr>
    </w:p>
  </w:footnote>
  <w:footnote w:id="6">
    <w:p w:rsidR="00212B23" w:rsidRDefault="00212B23" w:rsidP="00DA4A52">
      <w:pPr>
        <w:pStyle w:val="ListParagraph1"/>
        <w:tabs>
          <w:tab w:val="left" w:pos="720"/>
        </w:tabs>
        <w:spacing w:after="0" w:line="240" w:lineRule="auto"/>
        <w:ind w:left="0"/>
        <w:contextualSpacing w:val="0"/>
        <w:jc w:val="both"/>
        <w:rPr>
          <w:rFonts w:ascii="Verdana" w:hAnsi="Verdana"/>
          <w:sz w:val="16"/>
          <w:szCs w:val="16"/>
          <w:lang w:val="es-CO"/>
        </w:rPr>
      </w:pPr>
      <w:r w:rsidRPr="007D52F3">
        <w:rPr>
          <w:rStyle w:val="Refdenotaalpie"/>
          <w:rFonts w:ascii="Verdana" w:hAnsi="Verdana"/>
          <w:sz w:val="16"/>
          <w:szCs w:val="16"/>
        </w:rPr>
        <w:footnoteRef/>
      </w:r>
      <w:r w:rsidRPr="007D52F3">
        <w:rPr>
          <w:rFonts w:ascii="Verdana" w:hAnsi="Verdana"/>
          <w:sz w:val="16"/>
          <w:szCs w:val="16"/>
          <w:lang w:val="es-CO"/>
        </w:rPr>
        <w:t xml:space="preserve">  </w:t>
      </w:r>
      <w:r w:rsidR="00283CB0" w:rsidRPr="007D52F3">
        <w:rPr>
          <w:rFonts w:ascii="Verdana" w:hAnsi="Verdana"/>
          <w:sz w:val="16"/>
          <w:szCs w:val="16"/>
          <w:lang w:val="es-CO"/>
        </w:rPr>
        <w:tab/>
      </w:r>
      <w:r w:rsidRPr="007D52F3">
        <w:rPr>
          <w:rFonts w:ascii="Verdana" w:hAnsi="Verdana"/>
          <w:sz w:val="16"/>
          <w:szCs w:val="16"/>
          <w:lang w:val="es-CO"/>
        </w:rPr>
        <w:t xml:space="preserve">Dichos párrafos establecieron que: Por otra parte, el Tribunal, en dicha Resolución, señaló que los niños y niñas ejercen sus derechos de manera progresiva a medida que desarrollan un mayor nivel de autonomía personal, por lo que en su primera infancia actúan en este sentido por conducto de sus familiares. Evidentemente, hay gran variedad en el grado de desarrollo físico e intelectual, en la experiencia y en la información que poseen cada niña o niño. Por tanto, al llevarse a cabo la diligencia realizada según lo dispuesto en la mencionada Resolución </w:t>
      </w:r>
      <w:r w:rsidR="00283CB0" w:rsidRPr="007D52F3">
        <w:rPr>
          <w:rFonts w:ascii="Verdana" w:hAnsi="Verdana"/>
          <w:sz w:val="16"/>
          <w:szCs w:val="16"/>
          <w:lang w:val="es-CO"/>
        </w:rPr>
        <w:t>[…]</w:t>
      </w:r>
      <w:r w:rsidRPr="007D52F3">
        <w:rPr>
          <w:rFonts w:ascii="Verdana" w:hAnsi="Verdana"/>
          <w:sz w:val="16"/>
          <w:szCs w:val="16"/>
          <w:lang w:val="es-CO"/>
        </w:rPr>
        <w:t xml:space="preserve"> se tuvo en cuenta que las tres niñas tienen en este momento 12, 13 y 17 años de edad y, por tanto, podrían existir diferencias en sus opiniones y en el nivel de autonomía personal para el ejercicio de los derechos de cada una. En el presente caso, el 8 de febrero de 2012 se escuchó a dos de las niñas  </w:t>
      </w:r>
      <w:r w:rsidR="00283CB0" w:rsidRPr="007D52F3">
        <w:rPr>
          <w:rFonts w:ascii="Verdana" w:hAnsi="Verdana"/>
          <w:sz w:val="16"/>
          <w:szCs w:val="16"/>
          <w:lang w:val="es-CO"/>
        </w:rPr>
        <w:t>[…]</w:t>
      </w:r>
      <w:r w:rsidRPr="007D52F3">
        <w:rPr>
          <w:rFonts w:ascii="Verdana" w:hAnsi="Verdana"/>
          <w:sz w:val="16"/>
          <w:szCs w:val="16"/>
          <w:lang w:val="es-CO"/>
        </w:rPr>
        <w:t xml:space="preserve">. </w:t>
      </w:r>
      <w:r w:rsidRPr="007D52F3">
        <w:rPr>
          <w:rFonts w:ascii="Verdana" w:hAnsi="Verdana"/>
          <w:sz w:val="16"/>
          <w:szCs w:val="16"/>
          <w:lang w:val="es-ES"/>
        </w:rPr>
        <w:t xml:space="preserve">Durante dicha diligencia, el personal de la Secretaría estuvo acompañado por la psiquiatra María Alicia Espinoza. </w:t>
      </w:r>
      <w:r w:rsidRPr="007D52F3">
        <w:rPr>
          <w:rFonts w:ascii="Verdana" w:hAnsi="Verdana"/>
          <w:sz w:val="16"/>
          <w:szCs w:val="16"/>
          <w:lang w:val="es-CO"/>
        </w:rPr>
        <w:t xml:space="preserve">Antes de realizar la diligencia, la delegación de la Secretaría de la Corte </w:t>
      </w:r>
      <w:r w:rsidRPr="007D52F3">
        <w:rPr>
          <w:rFonts w:ascii="Verdana" w:hAnsi="Verdana"/>
          <w:sz w:val="16"/>
          <w:szCs w:val="16"/>
          <w:lang w:val="es-ES"/>
        </w:rPr>
        <w:t>sostuvo una reunión previa con dicha psiquiatra</w:t>
      </w:r>
      <w:r w:rsidRPr="007D52F3">
        <w:rPr>
          <w:rFonts w:ascii="Verdana" w:hAnsi="Verdana"/>
          <w:sz w:val="16"/>
          <w:szCs w:val="16"/>
          <w:lang w:val="es-CO"/>
        </w:rPr>
        <w:t>, la cual consistió en un intercambio de ideas con el fin de garantizar que la información brindada fuera accesible y apropiada para las niñas</w:t>
      </w:r>
      <w:r w:rsidRPr="007D52F3">
        <w:rPr>
          <w:rFonts w:ascii="Verdana" w:hAnsi="Verdana"/>
          <w:sz w:val="16"/>
          <w:szCs w:val="16"/>
          <w:lang w:val="es-ES"/>
        </w:rPr>
        <w:t xml:space="preserve">. </w:t>
      </w:r>
      <w:r w:rsidRPr="007D52F3">
        <w:rPr>
          <w:rFonts w:ascii="Verdana" w:hAnsi="Verdana"/>
          <w:sz w:val="16"/>
          <w:szCs w:val="16"/>
          <w:lang w:val="es-CO"/>
        </w:rPr>
        <w:t xml:space="preserve">Teniendo en cuenta los estándares internacionales sobre el derecho de las niñas y los niños a ser oídos </w:t>
      </w:r>
      <w:r w:rsidR="00283CB0" w:rsidRPr="007D52F3">
        <w:rPr>
          <w:rFonts w:ascii="Verdana" w:hAnsi="Verdana"/>
          <w:sz w:val="16"/>
          <w:szCs w:val="16"/>
          <w:lang w:val="es-ES"/>
        </w:rPr>
        <w:t>[…]</w:t>
      </w:r>
      <w:r w:rsidRPr="007D52F3">
        <w:rPr>
          <w:rFonts w:ascii="Verdana" w:hAnsi="Verdana"/>
          <w:sz w:val="16"/>
          <w:szCs w:val="16"/>
          <w:lang w:val="es-CO"/>
        </w:rPr>
        <w:t xml:space="preserve">, </w:t>
      </w:r>
      <w:r w:rsidRPr="007D52F3">
        <w:rPr>
          <w:rFonts w:ascii="Verdana" w:hAnsi="Verdana"/>
          <w:sz w:val="16"/>
          <w:szCs w:val="16"/>
          <w:lang w:val="es-ES"/>
        </w:rPr>
        <w:t xml:space="preserve">las niñas M. y R. fueron, en primer lugar, informadas de manera conjunta por el personal de la Secretaría sobre su derecho a ser oídas, </w:t>
      </w:r>
      <w:r w:rsidRPr="007D52F3">
        <w:rPr>
          <w:rFonts w:ascii="Verdana" w:hAnsi="Verdana"/>
          <w:sz w:val="16"/>
          <w:szCs w:val="16"/>
          <w:lang w:val="es-CO"/>
        </w:rPr>
        <w:t>los efectos o consecuencias que podían producir sus opiniones dentro del proceso contencioso en el presente caso, la posición y los alegatos de las partes en el presente caso, y se les consultó si querían continuar participando en la diligencia</w:t>
      </w:r>
      <w:r w:rsidRPr="007D52F3">
        <w:rPr>
          <w:rFonts w:ascii="Verdana" w:hAnsi="Verdana"/>
          <w:sz w:val="16"/>
          <w:szCs w:val="16"/>
          <w:lang w:val="es-ES"/>
        </w:rPr>
        <w:t>. Posteriormente, en lugar de desarrollar un examen unilateral, se sostuvo una</w:t>
      </w:r>
      <w:r w:rsidRPr="007D52F3">
        <w:rPr>
          <w:rFonts w:ascii="Verdana" w:hAnsi="Verdana"/>
          <w:sz w:val="16"/>
          <w:szCs w:val="16"/>
          <w:lang w:val="es-CO"/>
        </w:rPr>
        <w:t xml:space="preserve"> conversación con cada niña por separado, con el objetivo de brindar un ambiente propicio y de confianza a las niñas. Durante la diligencia no estuvieron presentes ninguno de los padres y ninguna de las partes. Además, la diligencia realizada con las niñas fue privada en razón del pedido de confidencialidad de la identidad de las niñas que han realizado tanto la Comisión como los representantes en el presente caso</w:t>
      </w:r>
      <w:r w:rsidR="00283CB0" w:rsidRPr="007D52F3">
        <w:rPr>
          <w:rFonts w:ascii="Verdana" w:hAnsi="Verdana"/>
          <w:sz w:val="16"/>
          <w:szCs w:val="16"/>
          <w:lang w:val="es-CO"/>
        </w:rPr>
        <w:t xml:space="preserve"> […]</w:t>
      </w:r>
      <w:r w:rsidRPr="007D52F3">
        <w:rPr>
          <w:rFonts w:ascii="Verdana" w:hAnsi="Verdana"/>
          <w:sz w:val="16"/>
          <w:szCs w:val="16"/>
          <w:lang w:val="es-CO"/>
        </w:rPr>
        <w:t>, como por la necesidad de proteger el interés superior de las niñas y su derecho a la intimidad. Además, las niñas solicitaron expresamente que se mantuviera absoluta reserva de todo lo que manifestaran en la reunión.</w:t>
      </w:r>
      <w:r w:rsidR="007D52F3" w:rsidRPr="007D52F3">
        <w:rPr>
          <w:rFonts w:ascii="Verdana" w:hAnsi="Verdana"/>
          <w:sz w:val="16"/>
          <w:szCs w:val="16"/>
          <w:lang w:val="es-CO"/>
        </w:rPr>
        <w:t xml:space="preserve"> </w:t>
      </w:r>
      <w:r w:rsidR="007D52F3" w:rsidRPr="007D52F3">
        <w:rPr>
          <w:rFonts w:ascii="Verdana" w:hAnsi="Verdana"/>
          <w:i/>
          <w:sz w:val="16"/>
          <w:szCs w:val="16"/>
          <w:lang w:val="es-CO"/>
        </w:rPr>
        <w:t xml:space="preserve">Caso </w:t>
      </w:r>
      <w:proofErr w:type="spellStart"/>
      <w:r w:rsidR="007D52F3" w:rsidRPr="007D52F3">
        <w:rPr>
          <w:rFonts w:ascii="Verdana" w:hAnsi="Verdana"/>
          <w:i/>
          <w:sz w:val="16"/>
          <w:szCs w:val="16"/>
          <w:lang w:val="es-CO"/>
        </w:rPr>
        <w:t>Atala</w:t>
      </w:r>
      <w:proofErr w:type="spellEnd"/>
      <w:r w:rsidR="007D52F3" w:rsidRPr="007D52F3">
        <w:rPr>
          <w:rFonts w:ascii="Verdana" w:hAnsi="Verdana"/>
          <w:i/>
          <w:sz w:val="16"/>
          <w:szCs w:val="16"/>
          <w:lang w:val="es-CO"/>
        </w:rPr>
        <w:t xml:space="preserve"> </w:t>
      </w:r>
      <w:proofErr w:type="spellStart"/>
      <w:r w:rsidR="007D52F3" w:rsidRPr="007D52F3">
        <w:rPr>
          <w:rFonts w:ascii="Verdana" w:hAnsi="Verdana"/>
          <w:i/>
          <w:sz w:val="16"/>
          <w:szCs w:val="16"/>
          <w:lang w:val="es-CO"/>
        </w:rPr>
        <w:t>Riffo</w:t>
      </w:r>
      <w:proofErr w:type="spellEnd"/>
      <w:r w:rsidR="007D52F3" w:rsidRPr="007D52F3">
        <w:rPr>
          <w:rFonts w:ascii="Verdana" w:hAnsi="Verdana"/>
          <w:i/>
          <w:sz w:val="16"/>
          <w:szCs w:val="16"/>
          <w:lang w:val="es-CO"/>
        </w:rPr>
        <w:t xml:space="preserve"> y Niñas Vs. Chile. Fondo, Reparaciones y Costas</w:t>
      </w:r>
      <w:r w:rsidR="007D52F3" w:rsidRPr="007D52F3">
        <w:rPr>
          <w:rFonts w:ascii="Verdana" w:hAnsi="Verdana"/>
          <w:sz w:val="16"/>
          <w:szCs w:val="16"/>
          <w:lang w:val="es-CO"/>
        </w:rPr>
        <w:t xml:space="preserve">. Sentencia del 24 de febrero de 2012. Serie C No. 239, </w:t>
      </w:r>
      <w:proofErr w:type="spellStart"/>
      <w:r w:rsidR="007D52F3" w:rsidRPr="007D52F3">
        <w:rPr>
          <w:rFonts w:ascii="Verdana" w:hAnsi="Verdana"/>
          <w:sz w:val="16"/>
          <w:szCs w:val="16"/>
          <w:lang w:val="es-CO"/>
        </w:rPr>
        <w:t>párrs</w:t>
      </w:r>
      <w:proofErr w:type="spellEnd"/>
      <w:r w:rsidR="007D52F3" w:rsidRPr="007D52F3">
        <w:rPr>
          <w:rFonts w:ascii="Verdana" w:hAnsi="Verdana"/>
          <w:sz w:val="16"/>
          <w:szCs w:val="16"/>
          <w:lang w:val="es-CO"/>
        </w:rPr>
        <w:t>. 6</w:t>
      </w:r>
      <w:r w:rsidR="007D52F3">
        <w:rPr>
          <w:rFonts w:ascii="Verdana" w:hAnsi="Verdana"/>
          <w:sz w:val="16"/>
          <w:szCs w:val="16"/>
          <w:lang w:val="es-CO"/>
        </w:rPr>
        <w:t>8 y 69</w:t>
      </w:r>
      <w:r w:rsidR="007D52F3" w:rsidRPr="007D52F3">
        <w:rPr>
          <w:rFonts w:ascii="Verdana" w:hAnsi="Verdana"/>
          <w:sz w:val="16"/>
          <w:szCs w:val="16"/>
          <w:lang w:val="es-CO"/>
        </w:rPr>
        <w:t>.</w:t>
      </w:r>
    </w:p>
    <w:p w:rsidR="00722677" w:rsidRPr="007D52F3" w:rsidRDefault="00722677" w:rsidP="00DA4A52">
      <w:pPr>
        <w:pStyle w:val="ListParagraph1"/>
        <w:tabs>
          <w:tab w:val="left" w:pos="720"/>
        </w:tabs>
        <w:spacing w:after="0" w:line="240" w:lineRule="auto"/>
        <w:ind w:left="0"/>
        <w:contextualSpacing w:val="0"/>
        <w:jc w:val="both"/>
        <w:rPr>
          <w:rFonts w:ascii="Verdana" w:hAnsi="Verdana"/>
          <w:sz w:val="16"/>
          <w:szCs w:val="16"/>
          <w:lang w:val="es-CO"/>
        </w:rPr>
      </w:pPr>
    </w:p>
  </w:footnote>
  <w:footnote w:id="7">
    <w:p w:rsidR="00212B23" w:rsidRPr="007D52F3" w:rsidRDefault="00212B23" w:rsidP="00DA4A52">
      <w:pPr>
        <w:pStyle w:val="Textonotapie"/>
        <w:rPr>
          <w:szCs w:val="16"/>
          <w:lang w:val="es-CR"/>
        </w:rPr>
      </w:pPr>
      <w:r w:rsidRPr="007D52F3">
        <w:rPr>
          <w:rStyle w:val="Refdenotaalpie"/>
          <w:szCs w:val="16"/>
        </w:rPr>
        <w:footnoteRef/>
      </w:r>
      <w:r w:rsidRPr="007D52F3">
        <w:rPr>
          <w:szCs w:val="16"/>
        </w:rPr>
        <w:t xml:space="preserve"> </w:t>
      </w:r>
      <w:r w:rsidRPr="007D52F3">
        <w:rPr>
          <w:szCs w:val="16"/>
        </w:rPr>
        <w:tab/>
      </w:r>
      <w:r w:rsidRPr="007D52F3">
        <w:rPr>
          <w:i/>
          <w:szCs w:val="16"/>
        </w:rPr>
        <w:t>Cfr</w:t>
      </w:r>
      <w:r w:rsidRPr="007D52F3">
        <w:rPr>
          <w:szCs w:val="16"/>
        </w:rPr>
        <w:t xml:space="preserve">. </w:t>
      </w:r>
      <w:r w:rsidRPr="007D52F3">
        <w:rPr>
          <w:i/>
          <w:szCs w:val="16"/>
        </w:rPr>
        <w:t xml:space="preserve">Caso </w:t>
      </w:r>
      <w:proofErr w:type="spellStart"/>
      <w:r w:rsidRPr="007D52F3">
        <w:rPr>
          <w:i/>
          <w:szCs w:val="16"/>
        </w:rPr>
        <w:t>Ticona</w:t>
      </w:r>
      <w:proofErr w:type="spellEnd"/>
      <w:r w:rsidRPr="007D52F3">
        <w:rPr>
          <w:i/>
          <w:szCs w:val="16"/>
        </w:rPr>
        <w:t xml:space="preserve"> Estrada y otros Vs. Bolivia</w:t>
      </w:r>
      <w:r w:rsidRPr="007D52F3">
        <w:rPr>
          <w:szCs w:val="16"/>
        </w:rPr>
        <w:t xml:space="preserve">. Interpretación de la Sentencia de Fondo, Reparaciones y Costas. Sentencia de 1 de julio de 2009. Serie C No. 199, párr. 26. </w:t>
      </w:r>
    </w:p>
  </w:footnote>
  <w:footnote w:id="8">
    <w:p w:rsidR="00722677" w:rsidRDefault="00722677" w:rsidP="00DA4A52">
      <w:pPr>
        <w:pStyle w:val="Textonotapie"/>
        <w:rPr>
          <w:szCs w:val="16"/>
          <w:lang w:val="es-CO"/>
        </w:rPr>
      </w:pPr>
    </w:p>
    <w:p w:rsidR="00212B23" w:rsidRDefault="00212B23" w:rsidP="00DA4A52">
      <w:pPr>
        <w:pStyle w:val="Textonotapie"/>
        <w:rPr>
          <w:szCs w:val="16"/>
          <w:lang w:val="es-CR"/>
        </w:rPr>
      </w:pPr>
      <w:r w:rsidRPr="007D52F3">
        <w:rPr>
          <w:rStyle w:val="Refdenotaalpie"/>
          <w:szCs w:val="16"/>
        </w:rPr>
        <w:footnoteRef/>
      </w:r>
      <w:r w:rsidRPr="007D52F3">
        <w:rPr>
          <w:szCs w:val="16"/>
        </w:rPr>
        <w:t xml:space="preserve"> </w:t>
      </w:r>
      <w:r w:rsidRPr="007D52F3">
        <w:rPr>
          <w:szCs w:val="16"/>
        </w:rPr>
        <w:tab/>
      </w:r>
      <w:r w:rsidR="007D52F3">
        <w:rPr>
          <w:i/>
          <w:szCs w:val="16"/>
          <w:lang w:val="es-CR"/>
        </w:rPr>
        <w:t xml:space="preserve">Cfr. </w:t>
      </w:r>
      <w:r w:rsidR="007D52F3" w:rsidRPr="005C6952">
        <w:rPr>
          <w:i/>
          <w:szCs w:val="16"/>
          <w:lang w:val="es-CR"/>
        </w:rPr>
        <w:t>Caso Loayza Tamayo Vs. Perú</w:t>
      </w:r>
      <w:r w:rsidR="007D52F3" w:rsidRPr="005C6952">
        <w:rPr>
          <w:szCs w:val="16"/>
          <w:lang w:val="es-CR"/>
        </w:rPr>
        <w:t xml:space="preserve">. </w:t>
      </w:r>
      <w:r w:rsidR="007D52F3" w:rsidRPr="00C00AA8">
        <w:rPr>
          <w:i/>
          <w:szCs w:val="16"/>
          <w:lang w:val="es-CR"/>
        </w:rPr>
        <w:t>Interpretación de la Sentencia de Fondo</w:t>
      </w:r>
      <w:r w:rsidR="007D52F3" w:rsidRPr="005C6952">
        <w:rPr>
          <w:szCs w:val="16"/>
          <w:lang w:val="es-CR"/>
        </w:rPr>
        <w:t>,</w:t>
      </w:r>
      <w:r w:rsidR="007D52F3">
        <w:rPr>
          <w:szCs w:val="16"/>
          <w:lang w:val="es-CR"/>
        </w:rPr>
        <w:t xml:space="preserve"> párr. 16</w:t>
      </w:r>
      <w:r w:rsidR="007D52F3" w:rsidRPr="005C6952">
        <w:rPr>
          <w:szCs w:val="16"/>
          <w:lang w:val="es-CR"/>
        </w:rPr>
        <w:t xml:space="preserve"> y </w:t>
      </w:r>
      <w:r w:rsidR="007D52F3">
        <w:rPr>
          <w:i/>
          <w:szCs w:val="16"/>
          <w:lang w:val="es-CR"/>
        </w:rPr>
        <w:t xml:space="preserve">Caso </w:t>
      </w:r>
      <w:proofErr w:type="spellStart"/>
      <w:r w:rsidR="007D52F3">
        <w:rPr>
          <w:i/>
          <w:szCs w:val="16"/>
          <w:lang w:val="es-CR"/>
        </w:rPr>
        <w:t>Abrill</w:t>
      </w:r>
      <w:proofErr w:type="spellEnd"/>
      <w:r w:rsidR="007D52F3">
        <w:rPr>
          <w:i/>
          <w:szCs w:val="16"/>
          <w:lang w:val="es-CR"/>
        </w:rPr>
        <w:t xml:space="preserve"> </w:t>
      </w:r>
      <w:proofErr w:type="spellStart"/>
      <w:r w:rsidR="007D52F3">
        <w:rPr>
          <w:i/>
          <w:szCs w:val="16"/>
          <w:lang w:val="es-CR"/>
        </w:rPr>
        <w:t>Alosilla</w:t>
      </w:r>
      <w:proofErr w:type="spellEnd"/>
      <w:r w:rsidR="007D52F3" w:rsidRPr="005C6952">
        <w:rPr>
          <w:i/>
          <w:szCs w:val="16"/>
          <w:lang w:val="es-CR"/>
        </w:rPr>
        <w:t xml:space="preserve"> y otros Vs. Perú</w:t>
      </w:r>
      <w:r w:rsidR="007D52F3" w:rsidRPr="005C6952">
        <w:rPr>
          <w:szCs w:val="16"/>
          <w:lang w:val="es-CR"/>
        </w:rPr>
        <w:t xml:space="preserve">. </w:t>
      </w:r>
      <w:r w:rsidR="007D52F3" w:rsidRPr="00C00AA8">
        <w:rPr>
          <w:i/>
          <w:szCs w:val="16"/>
          <w:lang w:val="es-CR"/>
        </w:rPr>
        <w:t>Interpretación de la Sentencia de Fondo, Reparaciones y Costas</w:t>
      </w:r>
      <w:r w:rsidR="007D52F3" w:rsidRPr="005C6952">
        <w:rPr>
          <w:szCs w:val="16"/>
          <w:lang w:val="es-CR"/>
        </w:rPr>
        <w:t>,</w:t>
      </w:r>
      <w:r w:rsidR="007D52F3">
        <w:rPr>
          <w:szCs w:val="16"/>
          <w:lang w:val="es-CR"/>
        </w:rPr>
        <w:t xml:space="preserve"> </w:t>
      </w:r>
      <w:r w:rsidR="007D52F3" w:rsidRPr="005C6952">
        <w:rPr>
          <w:szCs w:val="16"/>
          <w:lang w:val="es-CR"/>
        </w:rPr>
        <w:t>párr. 18.</w:t>
      </w:r>
    </w:p>
    <w:p w:rsidR="00722677" w:rsidRPr="007D52F3" w:rsidRDefault="00722677" w:rsidP="00DA4A52">
      <w:pPr>
        <w:pStyle w:val="Textonotapie"/>
        <w:rPr>
          <w:szCs w:val="16"/>
        </w:rPr>
      </w:pPr>
    </w:p>
  </w:footnote>
  <w:footnote w:id="9">
    <w:p w:rsidR="00212B23" w:rsidRDefault="00212B23" w:rsidP="00DA4A52">
      <w:pPr>
        <w:pStyle w:val="Textonotapie"/>
        <w:rPr>
          <w:szCs w:val="16"/>
          <w:lang w:val="es-CO"/>
        </w:rPr>
      </w:pPr>
      <w:r w:rsidRPr="007D52F3">
        <w:rPr>
          <w:rStyle w:val="Refdenotaalpie"/>
          <w:szCs w:val="16"/>
        </w:rPr>
        <w:footnoteRef/>
      </w:r>
      <w:r w:rsidRPr="007D52F3">
        <w:rPr>
          <w:szCs w:val="16"/>
        </w:rPr>
        <w:t xml:space="preserve"> </w:t>
      </w:r>
      <w:r w:rsidRPr="007D52F3">
        <w:rPr>
          <w:szCs w:val="16"/>
        </w:rPr>
        <w:tab/>
      </w:r>
      <w:r w:rsidRPr="007D52F3">
        <w:rPr>
          <w:i/>
          <w:szCs w:val="16"/>
        </w:rPr>
        <w:t xml:space="preserve">Caso </w:t>
      </w:r>
      <w:proofErr w:type="spellStart"/>
      <w:r w:rsidRPr="007D52F3">
        <w:rPr>
          <w:i/>
          <w:szCs w:val="16"/>
        </w:rPr>
        <w:t>Atala</w:t>
      </w:r>
      <w:proofErr w:type="spellEnd"/>
      <w:r w:rsidRPr="007D52F3">
        <w:rPr>
          <w:i/>
          <w:szCs w:val="16"/>
        </w:rPr>
        <w:t xml:space="preserve"> </w:t>
      </w:r>
      <w:proofErr w:type="spellStart"/>
      <w:r w:rsidRPr="007D52F3">
        <w:rPr>
          <w:i/>
          <w:szCs w:val="16"/>
        </w:rPr>
        <w:t>Riffo</w:t>
      </w:r>
      <w:proofErr w:type="spellEnd"/>
      <w:r w:rsidRPr="007D52F3">
        <w:rPr>
          <w:i/>
          <w:szCs w:val="16"/>
        </w:rPr>
        <w:t xml:space="preserve"> y Niñas Vs. Chile. Fondo, Reparaciones y Costas</w:t>
      </w:r>
      <w:r w:rsidRPr="007D52F3">
        <w:rPr>
          <w:szCs w:val="16"/>
        </w:rPr>
        <w:t>. Sentencia del 24 de febrero de 2012. Serie C No. 239, párr. 302, nota al pie de la página 304.</w:t>
      </w:r>
    </w:p>
    <w:p w:rsidR="00DA4A52" w:rsidRPr="00DA4A52" w:rsidRDefault="00DA4A52" w:rsidP="00DA4A52">
      <w:pPr>
        <w:pStyle w:val="Textonotapie"/>
        <w:rPr>
          <w:szCs w:val="16"/>
          <w:lang w:val="es-CO"/>
        </w:rPr>
      </w:pPr>
    </w:p>
  </w:footnote>
  <w:footnote w:id="10">
    <w:p w:rsidR="00DA4A52" w:rsidRDefault="00212B23" w:rsidP="00DA4A52">
      <w:pPr>
        <w:pStyle w:val="Textonotapie"/>
        <w:rPr>
          <w:szCs w:val="16"/>
          <w:lang w:val="es-CR"/>
        </w:rPr>
      </w:pPr>
      <w:r w:rsidRPr="007D52F3">
        <w:rPr>
          <w:rStyle w:val="Refdenotaalpie"/>
          <w:szCs w:val="16"/>
        </w:rPr>
        <w:footnoteRef/>
      </w:r>
      <w:r w:rsidRPr="007D52F3">
        <w:rPr>
          <w:szCs w:val="16"/>
        </w:rPr>
        <w:t xml:space="preserve"> </w:t>
      </w:r>
      <w:r w:rsidRPr="007D52F3">
        <w:rPr>
          <w:szCs w:val="16"/>
        </w:rPr>
        <w:tab/>
      </w:r>
      <w:r w:rsidR="00DA4A52" w:rsidRPr="005C6952">
        <w:rPr>
          <w:i/>
          <w:szCs w:val="16"/>
          <w:lang w:val="es-CR"/>
        </w:rPr>
        <w:t>Cfr</w:t>
      </w:r>
      <w:r w:rsidR="00DA4A52" w:rsidRPr="005C6952">
        <w:rPr>
          <w:szCs w:val="16"/>
          <w:lang w:val="es-CR"/>
        </w:rPr>
        <w:t xml:space="preserve">. </w:t>
      </w:r>
      <w:r w:rsidR="00DA4A52" w:rsidRPr="005C6952">
        <w:rPr>
          <w:i/>
          <w:szCs w:val="16"/>
          <w:lang w:val="es-CR"/>
        </w:rPr>
        <w:t>Caso Loayza Tamayo Vs. Perú</w:t>
      </w:r>
      <w:r w:rsidR="00DA4A52" w:rsidRPr="005C6952">
        <w:rPr>
          <w:szCs w:val="16"/>
          <w:lang w:val="es-CR"/>
        </w:rPr>
        <w:t xml:space="preserve">. </w:t>
      </w:r>
      <w:r w:rsidR="00DA4A52" w:rsidRPr="00E01B22">
        <w:rPr>
          <w:i/>
          <w:szCs w:val="16"/>
          <w:lang w:val="es-CR"/>
        </w:rPr>
        <w:t>Interpretación de la Sentencia de Reparaciones y Costas</w:t>
      </w:r>
      <w:r w:rsidR="00DA4A52">
        <w:rPr>
          <w:szCs w:val="16"/>
          <w:lang w:val="es-CR"/>
        </w:rPr>
        <w:t xml:space="preserve">, </w:t>
      </w:r>
      <w:r w:rsidR="00DA4A52" w:rsidRPr="005C6952">
        <w:rPr>
          <w:szCs w:val="16"/>
          <w:lang w:val="es-CR"/>
        </w:rPr>
        <w:t>párr. 15</w:t>
      </w:r>
      <w:r w:rsidR="00DA4A52">
        <w:rPr>
          <w:szCs w:val="16"/>
          <w:lang w:val="es-CR"/>
        </w:rPr>
        <w:t xml:space="preserve"> </w:t>
      </w:r>
      <w:r w:rsidR="00DA4A52" w:rsidRPr="005C6952">
        <w:rPr>
          <w:szCs w:val="16"/>
          <w:lang w:val="es-CR"/>
        </w:rPr>
        <w:t xml:space="preserve">y </w:t>
      </w:r>
      <w:r w:rsidR="00DA4A52" w:rsidRPr="005C6952">
        <w:rPr>
          <w:i/>
          <w:szCs w:val="16"/>
          <w:lang w:val="es-CR"/>
        </w:rPr>
        <w:t xml:space="preserve">Caso Abril </w:t>
      </w:r>
      <w:proofErr w:type="spellStart"/>
      <w:r w:rsidR="00DA4A52" w:rsidRPr="005C6952">
        <w:rPr>
          <w:i/>
          <w:szCs w:val="16"/>
          <w:lang w:val="es-CR"/>
        </w:rPr>
        <w:t>Alosilla</w:t>
      </w:r>
      <w:proofErr w:type="spellEnd"/>
      <w:r w:rsidR="00DA4A52" w:rsidRPr="005C6952">
        <w:rPr>
          <w:i/>
          <w:szCs w:val="16"/>
          <w:lang w:val="es-CR"/>
        </w:rPr>
        <w:t xml:space="preserve"> y otros Vs. Perú</w:t>
      </w:r>
      <w:r w:rsidR="00DA4A52" w:rsidRPr="005C6952">
        <w:rPr>
          <w:szCs w:val="16"/>
          <w:lang w:val="es-CR"/>
        </w:rPr>
        <w:t xml:space="preserve">. </w:t>
      </w:r>
      <w:r w:rsidR="00DA4A52" w:rsidRPr="00E01B22">
        <w:rPr>
          <w:i/>
          <w:szCs w:val="16"/>
          <w:lang w:val="es-CR"/>
        </w:rPr>
        <w:t>Interpretación de la Sentencia de Fondo, Reparaciones y Costas,</w:t>
      </w:r>
      <w:r w:rsidR="00DA4A52">
        <w:rPr>
          <w:i/>
          <w:szCs w:val="16"/>
          <w:lang w:val="es-CR"/>
        </w:rPr>
        <w:t xml:space="preserve"> </w:t>
      </w:r>
      <w:r w:rsidR="00DA4A52" w:rsidRPr="005C6952">
        <w:rPr>
          <w:szCs w:val="16"/>
          <w:lang w:val="es-CR"/>
        </w:rPr>
        <w:t>párr. 17.</w:t>
      </w:r>
    </w:p>
    <w:p w:rsidR="00212B23" w:rsidRPr="007D52F3" w:rsidRDefault="00212B23" w:rsidP="00DA4A52">
      <w:pPr>
        <w:pStyle w:val="Textonotapie"/>
        <w:rPr>
          <w:szCs w:val="16"/>
        </w:rPr>
      </w:pPr>
    </w:p>
  </w:footnote>
  <w:footnote w:id="11">
    <w:p w:rsidR="00212B23" w:rsidRDefault="00212B23" w:rsidP="00DA4A52">
      <w:pPr>
        <w:pStyle w:val="Textonotapie"/>
        <w:rPr>
          <w:szCs w:val="16"/>
          <w:lang w:val="es-CO"/>
        </w:rPr>
      </w:pPr>
      <w:r w:rsidRPr="007D52F3">
        <w:rPr>
          <w:rStyle w:val="Refdenotaalpie"/>
          <w:szCs w:val="16"/>
        </w:rPr>
        <w:footnoteRef/>
      </w:r>
      <w:r w:rsidRPr="007D52F3">
        <w:rPr>
          <w:szCs w:val="16"/>
        </w:rPr>
        <w:t xml:space="preserve"> </w:t>
      </w:r>
      <w:r w:rsidRPr="007D52F3">
        <w:rPr>
          <w:szCs w:val="16"/>
        </w:rPr>
        <w:tab/>
      </w:r>
      <w:r w:rsidR="00DA4A52" w:rsidRPr="005C6952">
        <w:rPr>
          <w:i/>
          <w:szCs w:val="16"/>
          <w:lang w:val="es-CR"/>
        </w:rPr>
        <w:t>Cfr. Caso Loayza Tamayo Vs. Perú</w:t>
      </w:r>
      <w:r w:rsidR="00DA4A52" w:rsidRPr="005C6952">
        <w:rPr>
          <w:szCs w:val="16"/>
          <w:lang w:val="es-CR"/>
        </w:rPr>
        <w:t xml:space="preserve">. </w:t>
      </w:r>
      <w:r w:rsidR="00DA4A52" w:rsidRPr="005C6952">
        <w:rPr>
          <w:i/>
          <w:szCs w:val="16"/>
          <w:lang w:val="es-CR"/>
        </w:rPr>
        <w:t>Interpretación de la Sentencia de Fondo</w:t>
      </w:r>
      <w:r w:rsidR="00DA4A52" w:rsidRPr="005C6952">
        <w:rPr>
          <w:szCs w:val="16"/>
          <w:lang w:val="es-CR"/>
        </w:rPr>
        <w:t xml:space="preserve">, párr. 16 y </w:t>
      </w:r>
      <w:r w:rsidR="00DA4A52" w:rsidRPr="005C6952">
        <w:rPr>
          <w:i/>
          <w:szCs w:val="16"/>
          <w:lang w:val="es-CR"/>
        </w:rPr>
        <w:t>Caso</w:t>
      </w:r>
      <w:r w:rsidR="00DA4A52" w:rsidRPr="005C6952">
        <w:rPr>
          <w:szCs w:val="16"/>
          <w:lang w:val="es-CR"/>
        </w:rPr>
        <w:t xml:space="preserve"> </w:t>
      </w:r>
      <w:r w:rsidR="00DA4A52" w:rsidRPr="005C6952">
        <w:rPr>
          <w:i/>
          <w:szCs w:val="16"/>
          <w:lang w:val="es-CR"/>
        </w:rPr>
        <w:t>Rosendo Cantú y otra Vs. México.</w:t>
      </w:r>
      <w:r w:rsidR="00DA4A52" w:rsidRPr="005C6952">
        <w:rPr>
          <w:szCs w:val="16"/>
          <w:lang w:val="es-CR"/>
        </w:rPr>
        <w:t xml:space="preserve"> </w:t>
      </w:r>
      <w:r w:rsidR="00DA4A52" w:rsidRPr="005C6952">
        <w:rPr>
          <w:i/>
          <w:szCs w:val="16"/>
          <w:lang w:val="es-CR"/>
        </w:rPr>
        <w:t xml:space="preserve">Interpretación de la Sentencia de de Excepción Preliminar, Fondo, Reparaciones y Costas. </w:t>
      </w:r>
      <w:r w:rsidR="00DA4A52">
        <w:rPr>
          <w:szCs w:val="16"/>
        </w:rPr>
        <w:t>Sentencia de 15 de mayo de 2011. Serie C No. 225, párr. 11.</w:t>
      </w:r>
    </w:p>
    <w:p w:rsidR="00722677" w:rsidRPr="00722677" w:rsidRDefault="00722677" w:rsidP="00DA4A52">
      <w:pPr>
        <w:pStyle w:val="Textonotapie"/>
        <w:rPr>
          <w:szCs w:val="16"/>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B23" w:rsidRDefault="00212B23" w:rsidP="00A7027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12B23" w:rsidRDefault="00212B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B23" w:rsidRDefault="00212B23">
    <w:pPr>
      <w:pStyle w:val="Encabezado"/>
      <w:jc w:val="center"/>
    </w:pPr>
    <w:r>
      <w:t>-</w:t>
    </w:r>
    <w:r>
      <w:fldChar w:fldCharType="begin"/>
    </w:r>
    <w:r>
      <w:instrText xml:space="preserve"> PAGE   \* MERGEFORMAT </w:instrText>
    </w:r>
    <w:r>
      <w:fldChar w:fldCharType="separate"/>
    </w:r>
    <w:r w:rsidR="00B95DEF">
      <w:rPr>
        <w:noProof/>
      </w:rPr>
      <w:t>10</w:t>
    </w:r>
    <w:r>
      <w:fldChar w:fldCharType="end"/>
    </w:r>
    <w:r>
      <w:t>-</w:t>
    </w:r>
  </w:p>
  <w:p w:rsidR="00212B23" w:rsidRDefault="00212B23" w:rsidP="00A7027D">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B23" w:rsidRPr="00AD6D04" w:rsidRDefault="00212B23" w:rsidP="00A7027D">
    <w:pPr>
      <w:pStyle w:val="Encabezado"/>
      <w:jc w:val="right"/>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CF3F27"/>
    <w:multiLevelType w:val="hybridMultilevel"/>
    <w:tmpl w:val="FBC65EDE"/>
    <w:lvl w:ilvl="0" w:tplc="14961684">
      <w:start w:val="76"/>
      <w:numFmt w:val="decimal"/>
      <w:lvlText w:val="%1."/>
      <w:lvlJc w:val="left"/>
      <w:pPr>
        <w:ind w:left="1170" w:hanging="720"/>
      </w:pPr>
      <w:rPr>
        <w:rFonts w:eastAsia="Batang" w:cs="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90B62"/>
    <w:multiLevelType w:val="hybridMultilevel"/>
    <w:tmpl w:val="D1B82D26"/>
    <w:lvl w:ilvl="0" w:tplc="85A2FA76">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5913789"/>
    <w:multiLevelType w:val="hybridMultilevel"/>
    <w:tmpl w:val="5D88A490"/>
    <w:lvl w:ilvl="0" w:tplc="C9DA622E">
      <w:start w:val="69"/>
      <w:numFmt w:val="decimal"/>
      <w:lvlText w:val="%1."/>
      <w:lvlJc w:val="left"/>
      <w:pPr>
        <w:ind w:left="990" w:hanging="720"/>
      </w:pPr>
      <w:rPr>
        <w:rFonts w:eastAsia="Batang" w:cs="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715B24"/>
    <w:multiLevelType w:val="hybridMultilevel"/>
    <w:tmpl w:val="01CAE3AE"/>
    <w:lvl w:ilvl="0" w:tplc="A4D298F2">
      <w:start w:val="1"/>
      <w:numFmt w:val="decimal"/>
      <w:lvlText w:val="%1."/>
      <w:lvlJc w:val="left"/>
      <w:pPr>
        <w:ind w:left="0" w:firstLine="0"/>
      </w:pPr>
      <w:rPr>
        <w:rFonts w:hint="default"/>
        <w:strike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5">
    <w:nsid w:val="0AAE71DE"/>
    <w:multiLevelType w:val="hybridMultilevel"/>
    <w:tmpl w:val="537E77EA"/>
    <w:lvl w:ilvl="0" w:tplc="ADCCFBF6">
      <w:start w:val="1"/>
      <w:numFmt w:val="decimal"/>
      <w:lvlText w:val="%1)"/>
      <w:lvlJc w:val="left"/>
      <w:pPr>
        <w:ind w:left="720" w:hanging="360"/>
      </w:pPr>
      <w:rPr>
        <w:rFonts w:ascii="Verdana" w:hAnsi="Verdana" w:hint="default"/>
        <w:b w:val="0"/>
        <w:sz w:val="20"/>
        <w:szCs w:val="20"/>
      </w:rPr>
    </w:lvl>
    <w:lvl w:ilvl="1" w:tplc="859E6168">
      <w:start w:val="1"/>
      <w:numFmt w:val="lowerLetter"/>
      <w:lvlText w:val="%2."/>
      <w:lvlJc w:val="left"/>
      <w:pPr>
        <w:ind w:left="153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660BD2"/>
    <w:multiLevelType w:val="hybridMultilevel"/>
    <w:tmpl w:val="5C083A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7">
    <w:nsid w:val="14D447A4"/>
    <w:multiLevelType w:val="hybridMultilevel"/>
    <w:tmpl w:val="10D2BC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F227F3"/>
    <w:multiLevelType w:val="hybridMultilevel"/>
    <w:tmpl w:val="9D345D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D49EB"/>
    <w:multiLevelType w:val="hybridMultilevel"/>
    <w:tmpl w:val="EB38550C"/>
    <w:lvl w:ilvl="0" w:tplc="BD6A066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4F1D17"/>
    <w:multiLevelType w:val="hybridMultilevel"/>
    <w:tmpl w:val="D40AFA5A"/>
    <w:lvl w:ilvl="0" w:tplc="A8483B00">
      <w:start w:val="4"/>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1D4559"/>
    <w:multiLevelType w:val="hybridMultilevel"/>
    <w:tmpl w:val="E8BE6A02"/>
    <w:lvl w:ilvl="0" w:tplc="F6A0B554">
      <w:start w:val="18"/>
      <w:numFmt w:val="decimal"/>
      <w:lvlText w:val="%1."/>
      <w:lvlJc w:val="left"/>
      <w:pPr>
        <w:tabs>
          <w:tab w:val="num" w:pos="720"/>
        </w:tabs>
        <w:ind w:left="720" w:hanging="360"/>
      </w:pPr>
      <w:rPr>
        <w:rFonts w:hint="default"/>
      </w:rPr>
    </w:lvl>
    <w:lvl w:ilvl="1" w:tplc="F12CFD88">
      <w:start w:val="3"/>
      <w:numFmt w:val="decimal"/>
      <w:lvlText w:val="%2."/>
      <w:lvlJc w:val="left"/>
      <w:pPr>
        <w:tabs>
          <w:tab w:val="num" w:pos="1800"/>
        </w:tabs>
        <w:ind w:left="1800" w:hanging="720"/>
      </w:pPr>
      <w:rPr>
        <w:rFonts w:hint="default"/>
      </w:rPr>
    </w:lvl>
    <w:lvl w:ilvl="2" w:tplc="9ED4E194">
      <w:start w:val="1"/>
      <w:numFmt w:val="lowerLetter"/>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27C275AF"/>
    <w:multiLevelType w:val="hybridMultilevel"/>
    <w:tmpl w:val="09CE82BA"/>
    <w:lvl w:ilvl="0" w:tplc="A8EA96E4">
      <w:start w:val="189"/>
      <w:numFmt w:val="decimal"/>
      <w:lvlText w:val="%1."/>
      <w:lvlJc w:val="left"/>
      <w:pPr>
        <w:ind w:left="1170" w:hanging="720"/>
      </w:pPr>
      <w:rPr>
        <w:rFonts w:eastAsia="Batang" w:cs="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DD15D5"/>
    <w:multiLevelType w:val="hybridMultilevel"/>
    <w:tmpl w:val="CC24F54E"/>
    <w:lvl w:ilvl="0" w:tplc="3D067AC2">
      <w:start w:val="302"/>
      <w:numFmt w:val="decimal"/>
      <w:lvlText w:val="%1."/>
      <w:lvlJc w:val="left"/>
      <w:pPr>
        <w:tabs>
          <w:tab w:val="num" w:pos="0"/>
        </w:tabs>
        <w:ind w:left="0" w:firstLine="0"/>
      </w:pPr>
      <w:rPr>
        <w:rFonts w:cs="Times New Roman" w:hint="default"/>
        <w:b w:val="0"/>
        <w:strike w:val="0"/>
        <w:sz w:val="20"/>
        <w:szCs w:val="2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82E1857"/>
    <w:multiLevelType w:val="hybridMultilevel"/>
    <w:tmpl w:val="A22E2FFE"/>
    <w:lvl w:ilvl="0" w:tplc="0AA85430">
      <w:start w:val="1"/>
      <w:numFmt w:val="decimal"/>
      <w:lvlText w:val="%1)"/>
      <w:lvlJc w:val="left"/>
      <w:pPr>
        <w:ind w:left="720" w:hanging="360"/>
      </w:pPr>
      <w:rPr>
        <w:rFonts w:ascii="Verdana" w:hAnsi="Verdana"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094409"/>
    <w:multiLevelType w:val="hybridMultilevel"/>
    <w:tmpl w:val="ADF07570"/>
    <w:lvl w:ilvl="0" w:tplc="9E5E1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2EB92BE2"/>
    <w:multiLevelType w:val="hybridMultilevel"/>
    <w:tmpl w:val="57B2C79E"/>
    <w:lvl w:ilvl="0" w:tplc="EBEA1C9A">
      <w:start w:val="1"/>
      <w:numFmt w:val="decimal"/>
      <w:lvlText w:val="%1."/>
      <w:lvlJc w:val="left"/>
      <w:pPr>
        <w:ind w:left="2160" w:hanging="720"/>
      </w:pPr>
      <w:rPr>
        <w:rFonts w:eastAsia="Batang" w:cs="Verdana" w:hint="default"/>
        <w:b/>
        <w:i w:val="0"/>
        <w:strike w:val="0"/>
        <w:color w:val="auto"/>
        <w:sz w:val="16"/>
        <w:szCs w:val="16"/>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377948A5"/>
    <w:multiLevelType w:val="hybridMultilevel"/>
    <w:tmpl w:val="D25E0D70"/>
    <w:name w:val="WW8Num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BE74B2B"/>
    <w:multiLevelType w:val="hybridMultilevel"/>
    <w:tmpl w:val="FEFCCDF2"/>
    <w:lvl w:ilvl="0" w:tplc="04090011">
      <w:start w:val="1"/>
      <w:numFmt w:val="decimal"/>
      <w:lvlText w:val="%1)"/>
      <w:lvlJc w:val="left"/>
      <w:pPr>
        <w:ind w:left="1080" w:hanging="360"/>
      </w:pPr>
      <w:rPr>
        <w:rFonts w:hint="default"/>
      </w:rPr>
    </w:lvl>
    <w:lvl w:ilvl="1" w:tplc="F5045D7E">
      <w:start w:val="60"/>
      <w:numFmt w:val="decimal"/>
      <w:lvlText w:val="%2."/>
      <w:lvlJc w:val="left"/>
      <w:pPr>
        <w:ind w:left="1170" w:hanging="720"/>
      </w:pPr>
      <w:rPr>
        <w:rFonts w:eastAsia="Batang" w:cs="Verdana" w:hint="default"/>
        <w:b w:val="0"/>
        <w:i w:val="0"/>
        <w:strike w:val="0"/>
        <w:color w:val="auto"/>
        <w:sz w:val="20"/>
        <w:szCs w:val="20"/>
        <w:lang w:val="es-CR"/>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F130E65"/>
    <w:multiLevelType w:val="multilevel"/>
    <w:tmpl w:val="748209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nsid w:val="4420397B"/>
    <w:multiLevelType w:val="hybridMultilevel"/>
    <w:tmpl w:val="9ECEBE2C"/>
    <w:lvl w:ilvl="0" w:tplc="4DE47CFE">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CFC2E6A"/>
    <w:multiLevelType w:val="hybridMultilevel"/>
    <w:tmpl w:val="182E1DC0"/>
    <w:lvl w:ilvl="0" w:tplc="CCE892A4">
      <w:start w:val="1"/>
      <w:numFmt w:val="bullet"/>
      <w:lvlText w:val=""/>
      <w:lvlJc w:val="left"/>
      <w:pPr>
        <w:ind w:left="720" w:hanging="360"/>
      </w:pPr>
      <w:rPr>
        <w:rFonts w:ascii="Symbol" w:hAnsi="Symbol" w:hint="default"/>
        <w:lang w:val="es-C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5E4514"/>
    <w:multiLevelType w:val="hybridMultilevel"/>
    <w:tmpl w:val="9EBAC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BD0B29"/>
    <w:multiLevelType w:val="hybridMultilevel"/>
    <w:tmpl w:val="04B4A59A"/>
    <w:lvl w:ilvl="0" w:tplc="C91231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CC0416"/>
    <w:multiLevelType w:val="hybridMultilevel"/>
    <w:tmpl w:val="9528C8FE"/>
    <w:lvl w:ilvl="0" w:tplc="FEBAE27E">
      <w:start w:val="1"/>
      <w:numFmt w:val="upperLetter"/>
      <w:lvlText w:val="%1)"/>
      <w:lvlJc w:val="left"/>
      <w:pPr>
        <w:ind w:left="1440" w:hanging="72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0ED1"/>
    <w:multiLevelType w:val="hybridMultilevel"/>
    <w:tmpl w:val="19C87416"/>
    <w:lvl w:ilvl="0" w:tplc="E5D823E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nsid w:val="64D87182"/>
    <w:multiLevelType w:val="hybridMultilevel"/>
    <w:tmpl w:val="9C305302"/>
    <w:lvl w:ilvl="0" w:tplc="0BD0944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98481C"/>
    <w:multiLevelType w:val="hybridMultilevel"/>
    <w:tmpl w:val="52D8B80E"/>
    <w:lvl w:ilvl="0" w:tplc="C91231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8957C8"/>
    <w:multiLevelType w:val="hybridMultilevel"/>
    <w:tmpl w:val="CA5A64BA"/>
    <w:lvl w:ilvl="0" w:tplc="A7064014">
      <w:start w:val="1"/>
      <w:numFmt w:val="upperLetter"/>
      <w:lvlText w:val="%1)"/>
      <w:lvlJc w:val="left"/>
      <w:pPr>
        <w:ind w:left="1080" w:hanging="360"/>
      </w:pPr>
      <w:rPr>
        <w:rFonts w:cs="Verdan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4C7063"/>
    <w:multiLevelType w:val="hybridMultilevel"/>
    <w:tmpl w:val="C83E8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CD5A31"/>
    <w:multiLevelType w:val="hybridMultilevel"/>
    <w:tmpl w:val="F264935C"/>
    <w:lvl w:ilvl="0" w:tplc="9C90CE6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46F2400"/>
    <w:multiLevelType w:val="hybridMultilevel"/>
    <w:tmpl w:val="CF627082"/>
    <w:lvl w:ilvl="0" w:tplc="743EFE7E">
      <w:start w:val="248"/>
      <w:numFmt w:val="decimal"/>
      <w:lvlText w:val="%1."/>
      <w:lvlJc w:val="left"/>
      <w:pPr>
        <w:tabs>
          <w:tab w:val="num" w:pos="1247"/>
        </w:tabs>
        <w:ind w:left="0" w:firstLine="0"/>
      </w:pPr>
      <w:rPr>
        <w:rFonts w:ascii="Verdana" w:eastAsia="Times" w:hAnsi="Verdana" w:cs="Times New Roman" w:hint="default"/>
        <w:b w:val="0"/>
        <w:i w:val="0"/>
        <w:color w:val="auto"/>
        <w:sz w:val="20"/>
      </w:rPr>
    </w:lvl>
    <w:lvl w:ilvl="1" w:tplc="04090019">
      <w:start w:val="1"/>
      <w:numFmt w:val="lowerLetter"/>
      <w:lvlText w:val="%2."/>
      <w:lvlJc w:val="left"/>
      <w:pPr>
        <w:ind w:left="1440" w:hanging="360"/>
      </w:pPr>
    </w:lvl>
    <w:lvl w:ilvl="2" w:tplc="A8B82126">
      <w:start w:val="1"/>
      <w:numFmt w:val="lowerLetter"/>
      <w:lvlText w:val="%3."/>
      <w:lvlJc w:val="left"/>
      <w:pPr>
        <w:ind w:left="2160" w:hanging="180"/>
      </w:pPr>
      <w:rPr>
        <w:rFonts w:hint="default"/>
        <w:b w:val="0"/>
        <w:i/>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3F6365"/>
    <w:multiLevelType w:val="hybridMultilevel"/>
    <w:tmpl w:val="384E8CD2"/>
    <w:lvl w:ilvl="0" w:tplc="B72C87F2">
      <w:start w:val="1"/>
      <w:numFmt w:val="upperLetter"/>
      <w:lvlText w:val="%1)"/>
      <w:lvlJc w:val="left"/>
      <w:pPr>
        <w:ind w:left="1080" w:hanging="360"/>
      </w:pPr>
      <w:rPr>
        <w:rFonts w:ascii="Verdana" w:eastAsia="Batang" w:hAnsi="Verdana" w:cs="Verdana"/>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AE62B7C"/>
    <w:multiLevelType w:val="hybridMultilevel"/>
    <w:tmpl w:val="E402E554"/>
    <w:lvl w:ilvl="0" w:tplc="3B2ED1C4">
      <w:start w:val="113"/>
      <w:numFmt w:val="decimal"/>
      <w:lvlText w:val="%1."/>
      <w:lvlJc w:val="left"/>
      <w:pPr>
        <w:ind w:left="1170" w:hanging="720"/>
      </w:pPr>
      <w:rPr>
        <w:rFonts w:eastAsia="Batang" w:cs="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E0238F"/>
    <w:multiLevelType w:val="hybridMultilevel"/>
    <w:tmpl w:val="6B60B5F0"/>
    <w:lvl w:ilvl="0" w:tplc="332A50D2">
      <w:start w:val="106"/>
      <w:numFmt w:val="decimal"/>
      <w:lvlText w:val="%1."/>
      <w:lvlJc w:val="left"/>
      <w:pPr>
        <w:ind w:left="1170" w:hanging="720"/>
      </w:pPr>
      <w:rPr>
        <w:rFonts w:eastAsia="Batang" w:cs="Verdana" w:hint="default"/>
        <w:b w:val="0"/>
        <w:i w:val="0"/>
        <w:strike w:val="0"/>
        <w:color w:val="auto"/>
        <w:sz w:val="20"/>
        <w:szCs w:val="20"/>
        <w:lang w:val="es-ES_tradn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E64D32"/>
    <w:multiLevelType w:val="hybridMultilevel"/>
    <w:tmpl w:val="152C9416"/>
    <w:lvl w:ilvl="0" w:tplc="B7CC7C1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ES_tradnl"/>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37"/>
  </w:num>
  <w:num w:numId="2">
    <w:abstractNumId w:val="15"/>
  </w:num>
  <w:num w:numId="3">
    <w:abstractNumId w:val="5"/>
  </w:num>
  <w:num w:numId="4">
    <w:abstractNumId w:val="20"/>
  </w:num>
  <w:num w:numId="5">
    <w:abstractNumId w:val="34"/>
  </w:num>
  <w:num w:numId="6">
    <w:abstractNumId w:val="16"/>
  </w:num>
  <w:num w:numId="7">
    <w:abstractNumId w:val="33"/>
  </w:num>
  <w:num w:numId="8">
    <w:abstractNumId w:val="30"/>
  </w:num>
  <w:num w:numId="9">
    <w:abstractNumId w:val="26"/>
  </w:num>
  <w:num w:numId="10">
    <w:abstractNumId w:val="22"/>
  </w:num>
  <w:num w:numId="11">
    <w:abstractNumId w:val="36"/>
  </w:num>
  <w:num w:numId="12">
    <w:abstractNumId w:val="35"/>
  </w:num>
  <w:num w:numId="13">
    <w:abstractNumId w:val="13"/>
  </w:num>
  <w:num w:numId="14">
    <w:abstractNumId w:val="1"/>
  </w:num>
  <w:num w:numId="15">
    <w:abstractNumId w:val="3"/>
  </w:num>
  <w:num w:numId="16">
    <w:abstractNumId w:val="8"/>
  </w:num>
  <w:num w:numId="17">
    <w:abstractNumId w:val="14"/>
  </w:num>
  <w:num w:numId="18">
    <w:abstractNumId w:val="25"/>
  </w:num>
  <w:num w:numId="19">
    <w:abstractNumId w:val="29"/>
  </w:num>
  <w:num w:numId="20">
    <w:abstractNumId w:val="11"/>
  </w:num>
  <w:num w:numId="21">
    <w:abstractNumId w:val="32"/>
  </w:num>
  <w:num w:numId="22">
    <w:abstractNumId w:val="18"/>
  </w:num>
  <w:num w:numId="23">
    <w:abstractNumId w:val="31"/>
  </w:num>
  <w:num w:numId="24">
    <w:abstractNumId w:val="28"/>
  </w:num>
  <w:num w:numId="25">
    <w:abstractNumId w:val="9"/>
  </w:num>
  <w:num w:numId="26">
    <w:abstractNumId w:val="27"/>
  </w:num>
  <w:num w:numId="27">
    <w:abstractNumId w:val="4"/>
  </w:num>
  <w:num w:numId="28">
    <w:abstractNumId w:val="10"/>
  </w:num>
  <w:num w:numId="29">
    <w:abstractNumId w:val="24"/>
  </w:num>
  <w:num w:numId="30">
    <w:abstractNumId w:val="7"/>
  </w:num>
  <w:num w:numId="31">
    <w:abstractNumId w:val="19"/>
  </w:num>
  <w:num w:numId="32">
    <w:abstractNumId w:val="2"/>
  </w:num>
  <w:num w:numId="33">
    <w:abstractNumId w:val="6"/>
  </w:num>
  <w:num w:numId="34">
    <w:abstractNumId w:val="23"/>
  </w:num>
  <w:num w:numId="35">
    <w:abstractNumId w:val="17"/>
  </w:num>
  <w:num w:numId="36">
    <w:abstractNumId w:val="0"/>
  </w:num>
  <w:num w:numId="37">
    <w:abstractNumId w:val="2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5901"/>
    <w:rsid w:val="000009B1"/>
    <w:rsid w:val="0002166C"/>
    <w:rsid w:val="00024767"/>
    <w:rsid w:val="0003160D"/>
    <w:rsid w:val="00057EF9"/>
    <w:rsid w:val="000815A9"/>
    <w:rsid w:val="00081B54"/>
    <w:rsid w:val="000A61DC"/>
    <w:rsid w:val="000D21BA"/>
    <w:rsid w:val="000D6143"/>
    <w:rsid w:val="000E0E1F"/>
    <w:rsid w:val="000F180C"/>
    <w:rsid w:val="000F528C"/>
    <w:rsid w:val="00100AE4"/>
    <w:rsid w:val="00115EAB"/>
    <w:rsid w:val="00125212"/>
    <w:rsid w:val="00133B29"/>
    <w:rsid w:val="00134ACB"/>
    <w:rsid w:val="00181B6C"/>
    <w:rsid w:val="00190A06"/>
    <w:rsid w:val="001A2B9A"/>
    <w:rsid w:val="001B7F05"/>
    <w:rsid w:val="001D2498"/>
    <w:rsid w:val="001D6E8A"/>
    <w:rsid w:val="001F0C36"/>
    <w:rsid w:val="001F2174"/>
    <w:rsid w:val="001F3F43"/>
    <w:rsid w:val="002013B9"/>
    <w:rsid w:val="00212B23"/>
    <w:rsid w:val="00220A72"/>
    <w:rsid w:val="0023398F"/>
    <w:rsid w:val="00242642"/>
    <w:rsid w:val="00261A84"/>
    <w:rsid w:val="00262263"/>
    <w:rsid w:val="00265D16"/>
    <w:rsid w:val="00281596"/>
    <w:rsid w:val="00283CB0"/>
    <w:rsid w:val="002A17E5"/>
    <w:rsid w:val="002B1A80"/>
    <w:rsid w:val="002C36C5"/>
    <w:rsid w:val="002D25DC"/>
    <w:rsid w:val="002F0905"/>
    <w:rsid w:val="0034286C"/>
    <w:rsid w:val="003942F4"/>
    <w:rsid w:val="003C14FB"/>
    <w:rsid w:val="003E416C"/>
    <w:rsid w:val="003F0991"/>
    <w:rsid w:val="003F579F"/>
    <w:rsid w:val="003F76A3"/>
    <w:rsid w:val="00420C1C"/>
    <w:rsid w:val="00422508"/>
    <w:rsid w:val="00425758"/>
    <w:rsid w:val="0042734D"/>
    <w:rsid w:val="00431869"/>
    <w:rsid w:val="00454E96"/>
    <w:rsid w:val="004606B6"/>
    <w:rsid w:val="004644C9"/>
    <w:rsid w:val="00477D7C"/>
    <w:rsid w:val="00481A76"/>
    <w:rsid w:val="004B7C93"/>
    <w:rsid w:val="004C1D30"/>
    <w:rsid w:val="004F5615"/>
    <w:rsid w:val="00513DFE"/>
    <w:rsid w:val="0053566C"/>
    <w:rsid w:val="00535DE1"/>
    <w:rsid w:val="00552E0B"/>
    <w:rsid w:val="0056546F"/>
    <w:rsid w:val="00565CCC"/>
    <w:rsid w:val="00570456"/>
    <w:rsid w:val="005847DE"/>
    <w:rsid w:val="005872A3"/>
    <w:rsid w:val="00596B34"/>
    <w:rsid w:val="005A4220"/>
    <w:rsid w:val="005B0BCB"/>
    <w:rsid w:val="005C3E3D"/>
    <w:rsid w:val="005D75F6"/>
    <w:rsid w:val="005E11F8"/>
    <w:rsid w:val="005F33D0"/>
    <w:rsid w:val="00605BF8"/>
    <w:rsid w:val="00606FF3"/>
    <w:rsid w:val="006434A3"/>
    <w:rsid w:val="00651551"/>
    <w:rsid w:val="00663E46"/>
    <w:rsid w:val="00683DF6"/>
    <w:rsid w:val="00690F91"/>
    <w:rsid w:val="006A5230"/>
    <w:rsid w:val="006F119C"/>
    <w:rsid w:val="006F4839"/>
    <w:rsid w:val="007001CD"/>
    <w:rsid w:val="00722677"/>
    <w:rsid w:val="007310F8"/>
    <w:rsid w:val="007329DC"/>
    <w:rsid w:val="00741BBA"/>
    <w:rsid w:val="00745E69"/>
    <w:rsid w:val="00752F7A"/>
    <w:rsid w:val="00763229"/>
    <w:rsid w:val="0078238B"/>
    <w:rsid w:val="00783822"/>
    <w:rsid w:val="00785BA2"/>
    <w:rsid w:val="007869E7"/>
    <w:rsid w:val="00790DD0"/>
    <w:rsid w:val="00790F0D"/>
    <w:rsid w:val="00795510"/>
    <w:rsid w:val="00797572"/>
    <w:rsid w:val="007B20D4"/>
    <w:rsid w:val="007B2941"/>
    <w:rsid w:val="007B4019"/>
    <w:rsid w:val="007B6971"/>
    <w:rsid w:val="007D52F3"/>
    <w:rsid w:val="00801728"/>
    <w:rsid w:val="00811F6F"/>
    <w:rsid w:val="0081253C"/>
    <w:rsid w:val="0081454B"/>
    <w:rsid w:val="008249F7"/>
    <w:rsid w:val="0083350E"/>
    <w:rsid w:val="0085446C"/>
    <w:rsid w:val="00863283"/>
    <w:rsid w:val="0086501B"/>
    <w:rsid w:val="00870E12"/>
    <w:rsid w:val="0088139C"/>
    <w:rsid w:val="00892B98"/>
    <w:rsid w:val="0089721F"/>
    <w:rsid w:val="008B3796"/>
    <w:rsid w:val="008C788D"/>
    <w:rsid w:val="008F5901"/>
    <w:rsid w:val="008F79CB"/>
    <w:rsid w:val="00906740"/>
    <w:rsid w:val="00912371"/>
    <w:rsid w:val="00917D0F"/>
    <w:rsid w:val="0092097D"/>
    <w:rsid w:val="00933AE9"/>
    <w:rsid w:val="00937344"/>
    <w:rsid w:val="009543FF"/>
    <w:rsid w:val="009569AB"/>
    <w:rsid w:val="00956DC6"/>
    <w:rsid w:val="009719F8"/>
    <w:rsid w:val="00984F68"/>
    <w:rsid w:val="0098573C"/>
    <w:rsid w:val="00990D7C"/>
    <w:rsid w:val="0099134A"/>
    <w:rsid w:val="009A1D82"/>
    <w:rsid w:val="009B44DB"/>
    <w:rsid w:val="009E2F83"/>
    <w:rsid w:val="009E55C9"/>
    <w:rsid w:val="009F360C"/>
    <w:rsid w:val="00A04E7F"/>
    <w:rsid w:val="00A3007B"/>
    <w:rsid w:val="00A62262"/>
    <w:rsid w:val="00A7027D"/>
    <w:rsid w:val="00A77058"/>
    <w:rsid w:val="00A87EE6"/>
    <w:rsid w:val="00AB1A1E"/>
    <w:rsid w:val="00AB24BE"/>
    <w:rsid w:val="00AC07BB"/>
    <w:rsid w:val="00AC5874"/>
    <w:rsid w:val="00AD536C"/>
    <w:rsid w:val="00AD6A71"/>
    <w:rsid w:val="00AF1DFB"/>
    <w:rsid w:val="00AF5565"/>
    <w:rsid w:val="00B16005"/>
    <w:rsid w:val="00B231E7"/>
    <w:rsid w:val="00B320EA"/>
    <w:rsid w:val="00B36943"/>
    <w:rsid w:val="00B46315"/>
    <w:rsid w:val="00B632A1"/>
    <w:rsid w:val="00B65909"/>
    <w:rsid w:val="00B671DB"/>
    <w:rsid w:val="00B6757E"/>
    <w:rsid w:val="00B747C1"/>
    <w:rsid w:val="00B755A5"/>
    <w:rsid w:val="00B81D44"/>
    <w:rsid w:val="00B81D74"/>
    <w:rsid w:val="00B85F38"/>
    <w:rsid w:val="00B95DEF"/>
    <w:rsid w:val="00BA72CF"/>
    <w:rsid w:val="00BB3D2A"/>
    <w:rsid w:val="00BC783C"/>
    <w:rsid w:val="00BD292C"/>
    <w:rsid w:val="00C40A35"/>
    <w:rsid w:val="00C56CAA"/>
    <w:rsid w:val="00CA40CB"/>
    <w:rsid w:val="00CB53C3"/>
    <w:rsid w:val="00CC1E29"/>
    <w:rsid w:val="00CF2896"/>
    <w:rsid w:val="00CF3DFA"/>
    <w:rsid w:val="00CF4DF4"/>
    <w:rsid w:val="00D04C22"/>
    <w:rsid w:val="00D05BA6"/>
    <w:rsid w:val="00D07D32"/>
    <w:rsid w:val="00D23C29"/>
    <w:rsid w:val="00D35EFF"/>
    <w:rsid w:val="00D62E83"/>
    <w:rsid w:val="00D835DC"/>
    <w:rsid w:val="00D84820"/>
    <w:rsid w:val="00D9283F"/>
    <w:rsid w:val="00DA2B11"/>
    <w:rsid w:val="00DA42E0"/>
    <w:rsid w:val="00DA4A52"/>
    <w:rsid w:val="00DB2B3E"/>
    <w:rsid w:val="00DB4642"/>
    <w:rsid w:val="00DC5A20"/>
    <w:rsid w:val="00DD79BD"/>
    <w:rsid w:val="00DF066F"/>
    <w:rsid w:val="00DF6D01"/>
    <w:rsid w:val="00E052EB"/>
    <w:rsid w:val="00E07899"/>
    <w:rsid w:val="00E26D7A"/>
    <w:rsid w:val="00E33B6D"/>
    <w:rsid w:val="00E41F49"/>
    <w:rsid w:val="00EB3234"/>
    <w:rsid w:val="00ED0A84"/>
    <w:rsid w:val="00EF2A45"/>
    <w:rsid w:val="00FA35BF"/>
    <w:rsid w:val="00FB34F9"/>
    <w:rsid w:val="00FC3DC7"/>
    <w:rsid w:val="00FE7C6E"/>
  </w:rsids>
  <m:mathPr>
    <m:mathFont m:val="Cambria Math"/>
    <m:brkBin m:val="before"/>
    <m:brkBinSub m:val="--"/>
    <m:smallFrac m:val="0"/>
    <m:dispDef m:val="0"/>
    <m:lMargin m:val="0"/>
    <m:rMargin m:val="0"/>
    <m:defJc m:val="centerGroup"/>
    <m:wrapRight/>
    <m:intLim m:val="subSup"/>
    <m:naryLim m:val="subSup"/>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01"/>
    <w:rPr>
      <w:rFonts w:ascii="Verdana" w:eastAsia="Times" w:hAnsi="Verdana"/>
      <w:lang w:val="es-ES_tradnl" w:eastAsia="en-US"/>
    </w:rPr>
  </w:style>
  <w:style w:type="paragraph" w:styleId="Ttulo1">
    <w:name w:val="heading 1"/>
    <w:basedOn w:val="Normal"/>
    <w:next w:val="Normal"/>
    <w:link w:val="Ttulo1Car"/>
    <w:uiPriority w:val="9"/>
    <w:qFormat/>
    <w:rsid w:val="008F5901"/>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8F5901"/>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0009B1"/>
    <w:pPr>
      <w:keepNext/>
      <w:keepLines/>
      <w:spacing w:before="200"/>
      <w:outlineLvl w:val="2"/>
    </w:pPr>
    <w:rPr>
      <w:rFonts w:ascii="Calibri" w:eastAsia="Times New Roman" w:hAnsi="Calibri"/>
      <w:b/>
      <w:bCs/>
      <w:color w:val="4F81BD"/>
    </w:rPr>
  </w:style>
  <w:style w:type="paragraph" w:styleId="Ttulo9">
    <w:name w:val="heading 9"/>
    <w:basedOn w:val="Normal"/>
    <w:next w:val="Normal"/>
    <w:link w:val="Ttulo9Car"/>
    <w:qFormat/>
    <w:rsid w:val="008F5901"/>
    <w:pPr>
      <w:keepNext/>
      <w:numPr>
        <w:numId w:val="35"/>
      </w:numPr>
      <w:outlineLvl w:val="8"/>
    </w:pPr>
    <w:rPr>
      <w:rFonts w:ascii="Garamond" w:hAnsi="Garamond"/>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F5901"/>
    <w:rPr>
      <w:rFonts w:ascii="Cambria" w:eastAsia="Times New Roman" w:hAnsi="Cambria" w:cs="Times New Roman"/>
      <w:b/>
      <w:bCs/>
      <w:kern w:val="32"/>
      <w:sz w:val="32"/>
      <w:szCs w:val="32"/>
    </w:rPr>
  </w:style>
  <w:style w:type="character" w:customStyle="1" w:styleId="Ttulo2Car">
    <w:name w:val="Título 2 Car"/>
    <w:link w:val="Ttulo2"/>
    <w:rsid w:val="008F5901"/>
    <w:rPr>
      <w:rFonts w:ascii="Arial" w:eastAsia="Times" w:hAnsi="Arial" w:cs="Times New Roman"/>
      <w:b/>
      <w:bCs/>
      <w:i/>
      <w:iCs/>
      <w:sz w:val="28"/>
      <w:szCs w:val="28"/>
    </w:rPr>
  </w:style>
  <w:style w:type="character" w:customStyle="1" w:styleId="Ttulo9Car">
    <w:name w:val="Título 9 Car"/>
    <w:link w:val="Ttulo9"/>
    <w:rsid w:val="008F5901"/>
    <w:rPr>
      <w:rFonts w:ascii="Garamond" w:eastAsia="Times" w:hAnsi="Garamond" w:cs="Times New Roman"/>
      <w:i/>
      <w:szCs w:val="20"/>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8F5901"/>
    <w:pPr>
      <w:jc w:val="both"/>
    </w:pPr>
    <w:rPr>
      <w:sz w:val="16"/>
      <w:lang w:val="x-none" w:eastAsia="x-none"/>
    </w:rPr>
  </w:style>
  <w:style w:type="character" w:customStyle="1" w:styleId="TextonotapieCar">
    <w:name w:val="Texto nota pie Car"/>
    <w:link w:val="Textonotapie"/>
    <w:rsid w:val="008F5901"/>
    <w:rPr>
      <w:rFonts w:ascii="Verdana" w:eastAsia="Times" w:hAnsi="Verdana" w:cs="Times New Roman"/>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link w:val="Textonotapie"/>
    <w:rsid w:val="008F5901"/>
    <w:rPr>
      <w:rFonts w:ascii="Verdana" w:eastAsia="Times"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rsid w:val="008F5901"/>
    <w:rPr>
      <w:vertAlign w:val="superscript"/>
    </w:rPr>
  </w:style>
  <w:style w:type="paragraph" w:styleId="Encabezado">
    <w:name w:val="header"/>
    <w:basedOn w:val="Normal"/>
    <w:link w:val="EncabezadoCar"/>
    <w:uiPriority w:val="99"/>
    <w:rsid w:val="008F5901"/>
    <w:pPr>
      <w:tabs>
        <w:tab w:val="center" w:pos="4252"/>
        <w:tab w:val="right" w:pos="8504"/>
      </w:tabs>
    </w:pPr>
  </w:style>
  <w:style w:type="character" w:customStyle="1" w:styleId="EncabezadoCar">
    <w:name w:val="Encabezado Car"/>
    <w:link w:val="Encabezado"/>
    <w:uiPriority w:val="99"/>
    <w:rsid w:val="008F5901"/>
    <w:rPr>
      <w:rFonts w:ascii="Verdana" w:eastAsia="Times" w:hAnsi="Verdana" w:cs="Times New Roman"/>
      <w:sz w:val="20"/>
      <w:szCs w:val="20"/>
    </w:rPr>
  </w:style>
  <w:style w:type="character" w:styleId="Nmerodepgina">
    <w:name w:val="page number"/>
    <w:basedOn w:val="Fuentedeprrafopredeter"/>
    <w:uiPriority w:val="99"/>
    <w:rsid w:val="008F5901"/>
  </w:style>
  <w:style w:type="paragraph" w:customStyle="1" w:styleId="Prrafodelista2">
    <w:name w:val="Párrafo de lista2"/>
    <w:basedOn w:val="Normal"/>
    <w:uiPriority w:val="34"/>
    <w:qFormat/>
    <w:rsid w:val="008F5901"/>
    <w:pPr>
      <w:ind w:left="720"/>
    </w:pPr>
  </w:style>
  <w:style w:type="paragraph" w:styleId="Textoindependiente2">
    <w:name w:val="Body Text 2"/>
    <w:basedOn w:val="Normal"/>
    <w:link w:val="Textoindependiente2Car"/>
    <w:uiPriority w:val="99"/>
    <w:semiHidden/>
    <w:unhideWhenUsed/>
    <w:rsid w:val="008F5901"/>
    <w:pPr>
      <w:spacing w:after="120" w:line="480" w:lineRule="auto"/>
    </w:pPr>
  </w:style>
  <w:style w:type="character" w:customStyle="1" w:styleId="Textoindependiente2Car">
    <w:name w:val="Texto independiente 2 Car"/>
    <w:link w:val="Textoindependiente2"/>
    <w:uiPriority w:val="99"/>
    <w:semiHidden/>
    <w:rsid w:val="008F5901"/>
    <w:rPr>
      <w:rFonts w:ascii="Verdana" w:eastAsia="Times" w:hAnsi="Verdana" w:cs="Times New Roman"/>
      <w:sz w:val="20"/>
      <w:szCs w:val="20"/>
    </w:rPr>
  </w:style>
  <w:style w:type="table" w:styleId="Tablaconcuadrcula">
    <w:name w:val="Table Grid"/>
    <w:basedOn w:val="Tablanormal"/>
    <w:uiPriority w:val="1"/>
    <w:rsid w:val="008F5901"/>
    <w:rPr>
      <w:rFonts w:ascii="Calibri" w:eastAsia="SimSun" w:hAnsi="Calibri"/>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epgina">
    <w:name w:val="footer"/>
    <w:basedOn w:val="Normal"/>
    <w:link w:val="PiedepginaCar"/>
    <w:uiPriority w:val="99"/>
    <w:semiHidden/>
    <w:unhideWhenUsed/>
    <w:rsid w:val="008F5901"/>
    <w:pPr>
      <w:tabs>
        <w:tab w:val="center" w:pos="4680"/>
        <w:tab w:val="right" w:pos="9360"/>
      </w:tabs>
    </w:pPr>
  </w:style>
  <w:style w:type="character" w:customStyle="1" w:styleId="PiedepginaCar">
    <w:name w:val="Pie de página Car"/>
    <w:link w:val="Piedepgina"/>
    <w:uiPriority w:val="99"/>
    <w:semiHidden/>
    <w:rsid w:val="008F5901"/>
    <w:rPr>
      <w:rFonts w:ascii="Verdana" w:eastAsia="Times" w:hAnsi="Verdana" w:cs="Times New Roman"/>
      <w:sz w:val="20"/>
      <w:szCs w:val="20"/>
    </w:rPr>
  </w:style>
  <w:style w:type="paragraph" w:styleId="Textodeglobo">
    <w:name w:val="Balloon Text"/>
    <w:basedOn w:val="Normal"/>
    <w:link w:val="TextodegloboCar"/>
    <w:uiPriority w:val="99"/>
    <w:semiHidden/>
    <w:unhideWhenUsed/>
    <w:rsid w:val="008F5901"/>
    <w:rPr>
      <w:rFonts w:ascii="Tahoma" w:hAnsi="Tahoma"/>
      <w:sz w:val="16"/>
      <w:szCs w:val="16"/>
    </w:rPr>
  </w:style>
  <w:style w:type="character" w:customStyle="1" w:styleId="TextodegloboCar">
    <w:name w:val="Texto de globo Car"/>
    <w:link w:val="Textodeglobo"/>
    <w:uiPriority w:val="99"/>
    <w:semiHidden/>
    <w:rsid w:val="008F5901"/>
    <w:rPr>
      <w:rFonts w:ascii="Tahoma" w:eastAsia="Times" w:hAnsi="Tahoma" w:cs="Times New Roman"/>
      <w:sz w:val="16"/>
      <w:szCs w:val="16"/>
    </w:rPr>
  </w:style>
  <w:style w:type="paragraph" w:styleId="Textonotaalfinal">
    <w:name w:val="endnote text"/>
    <w:basedOn w:val="Normal"/>
    <w:link w:val="TextonotaalfinalCar"/>
    <w:uiPriority w:val="99"/>
    <w:rsid w:val="008F5901"/>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link w:val="Textonotaalfinal"/>
    <w:uiPriority w:val="99"/>
    <w:rsid w:val="008F5901"/>
    <w:rPr>
      <w:rFonts w:ascii="CG Times" w:eastAsia="Times New Roman" w:hAnsi="CG Times" w:cs="Times New Roman"/>
      <w:sz w:val="22"/>
      <w:szCs w:val="20"/>
      <w:lang w:val="es-ES"/>
    </w:rPr>
  </w:style>
  <w:style w:type="paragraph" w:customStyle="1" w:styleId="PargrafodaLista">
    <w:name w:val="Parágrafo da Lista"/>
    <w:basedOn w:val="Normal"/>
    <w:qFormat/>
    <w:rsid w:val="008F5901"/>
    <w:pPr>
      <w:ind w:left="708"/>
    </w:pPr>
    <w:rPr>
      <w:rFonts w:eastAsia="Batang" w:cs="Times"/>
      <w:sz w:val="16"/>
      <w:szCs w:val="24"/>
    </w:rPr>
  </w:style>
  <w:style w:type="paragraph" w:customStyle="1" w:styleId="ListParagraph1">
    <w:name w:val="List Paragraph1"/>
    <w:basedOn w:val="Normal"/>
    <w:uiPriority w:val="34"/>
    <w:qFormat/>
    <w:rsid w:val="008F5901"/>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8F5901"/>
    <w:rPr>
      <w:color w:val="0000FF"/>
      <w:u w:val="single"/>
    </w:rPr>
  </w:style>
  <w:style w:type="paragraph" w:customStyle="1" w:styleId="Sinespaciado1">
    <w:name w:val="Sin espaciado1"/>
    <w:link w:val="SinespaciadoCar"/>
    <w:uiPriority w:val="1"/>
    <w:qFormat/>
    <w:rsid w:val="008F5901"/>
    <w:rPr>
      <w:rFonts w:ascii="Calibri" w:eastAsia="Times New Roman" w:hAnsi="Calibri"/>
      <w:sz w:val="22"/>
      <w:szCs w:val="22"/>
      <w:lang w:val="en-US"/>
    </w:rPr>
  </w:style>
  <w:style w:type="character" w:customStyle="1" w:styleId="SinespaciadoCar">
    <w:name w:val="Sin espaciado Car"/>
    <w:link w:val="Sinespaciado1"/>
    <w:uiPriority w:val="1"/>
    <w:rsid w:val="008F5901"/>
    <w:rPr>
      <w:rFonts w:ascii="Calibri" w:eastAsia="Times New Roman" w:hAnsi="Calibri"/>
      <w:sz w:val="22"/>
      <w:szCs w:val="22"/>
      <w:lang w:val="en-US" w:bidi="ar-SA"/>
    </w:rPr>
  </w:style>
  <w:style w:type="paragraph" w:customStyle="1" w:styleId="Sangradetindependiente2">
    <w:name w:val="Sangría de t. independiente2"/>
    <w:basedOn w:val="Normal"/>
    <w:rsid w:val="008F5901"/>
    <w:pPr>
      <w:spacing w:line="360" w:lineRule="atLeast"/>
    </w:pPr>
    <w:rPr>
      <w:rFonts w:ascii="Arial" w:eastAsia="Times New Roman" w:hAnsi="Arial"/>
      <w:sz w:val="24"/>
    </w:rPr>
  </w:style>
  <w:style w:type="character" w:styleId="Refdecomentario">
    <w:name w:val="annotation reference"/>
    <w:uiPriority w:val="99"/>
    <w:semiHidden/>
    <w:rsid w:val="008F5901"/>
    <w:rPr>
      <w:sz w:val="16"/>
      <w:szCs w:val="16"/>
    </w:rPr>
  </w:style>
  <w:style w:type="character" w:styleId="Refdenotaalfinal">
    <w:name w:val="endnote reference"/>
    <w:uiPriority w:val="99"/>
    <w:semiHidden/>
    <w:unhideWhenUsed/>
    <w:rsid w:val="008F5901"/>
    <w:rPr>
      <w:vertAlign w:val="superscript"/>
    </w:rPr>
  </w:style>
  <w:style w:type="character" w:styleId="Textoennegrita">
    <w:name w:val="Strong"/>
    <w:uiPriority w:val="22"/>
    <w:qFormat/>
    <w:rsid w:val="008F5901"/>
    <w:rPr>
      <w:b/>
      <w:bCs/>
    </w:rPr>
  </w:style>
  <w:style w:type="paragraph" w:customStyle="1" w:styleId="Prrafodelista1">
    <w:name w:val="Párrafo de lista1"/>
    <w:basedOn w:val="Normal"/>
    <w:uiPriority w:val="34"/>
    <w:qFormat/>
    <w:rsid w:val="008F5901"/>
    <w:pPr>
      <w:ind w:left="720"/>
    </w:pPr>
  </w:style>
  <w:style w:type="paragraph" w:styleId="NormalWeb">
    <w:name w:val="Normal (Web)"/>
    <w:basedOn w:val="Normal"/>
    <w:uiPriority w:val="99"/>
    <w:unhideWhenUsed/>
    <w:rsid w:val="008F5901"/>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8F5901"/>
    <w:rPr>
      <w:sz w:val="20"/>
      <w:vertAlign w:val="superscript"/>
    </w:rPr>
  </w:style>
  <w:style w:type="paragraph" w:customStyle="1" w:styleId="profile-textblock">
    <w:name w:val="profile-textblock"/>
    <w:basedOn w:val="Normal"/>
    <w:rsid w:val="008F5901"/>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8F5901"/>
    <w:pPr>
      <w:jc w:val="both"/>
    </w:pPr>
    <w:rPr>
      <w:rFonts w:ascii="Garamond" w:hAnsi="Garamond"/>
      <w:sz w:val="24"/>
      <w:lang w:eastAsia="es-ES"/>
    </w:rPr>
  </w:style>
  <w:style w:type="character" w:customStyle="1" w:styleId="TextoindependienteCar">
    <w:name w:val="Texto independiente Car"/>
    <w:link w:val="Textoindependiente"/>
    <w:rsid w:val="008F5901"/>
    <w:rPr>
      <w:rFonts w:ascii="Garamond" w:eastAsia="Times" w:hAnsi="Garamond" w:cs="Times New Roman"/>
      <w:szCs w:val="20"/>
      <w:lang w:eastAsia="es-ES"/>
    </w:rPr>
  </w:style>
  <w:style w:type="character" w:customStyle="1" w:styleId="apple-style-span">
    <w:name w:val="apple-style-span"/>
    <w:basedOn w:val="Fuentedeprrafopredeter"/>
    <w:rsid w:val="008F5901"/>
  </w:style>
  <w:style w:type="paragraph" w:styleId="Textocomentario">
    <w:name w:val="annotation text"/>
    <w:basedOn w:val="Normal"/>
    <w:link w:val="TextocomentarioCar"/>
    <w:uiPriority w:val="99"/>
    <w:semiHidden/>
    <w:unhideWhenUsed/>
    <w:rsid w:val="008F5901"/>
  </w:style>
  <w:style w:type="character" w:customStyle="1" w:styleId="TextocomentarioCar">
    <w:name w:val="Texto comentario Car"/>
    <w:link w:val="Textocomentario"/>
    <w:uiPriority w:val="99"/>
    <w:semiHidden/>
    <w:rsid w:val="008F5901"/>
    <w:rPr>
      <w:rFonts w:ascii="Verdana" w:eastAsia="Times" w:hAnsi="Verdana" w:cs="Times New Roman"/>
      <w:sz w:val="20"/>
      <w:szCs w:val="20"/>
    </w:rPr>
  </w:style>
  <w:style w:type="paragraph" w:styleId="Asuntodelcomentario">
    <w:name w:val="annotation subject"/>
    <w:aliases w:val=" Car2"/>
    <w:basedOn w:val="Textocomentario"/>
    <w:next w:val="Textocomentario"/>
    <w:link w:val="AsuntodelcomentarioCar"/>
    <w:uiPriority w:val="99"/>
    <w:semiHidden/>
    <w:unhideWhenUsed/>
    <w:rsid w:val="008F5901"/>
    <w:rPr>
      <w:b/>
      <w:bCs/>
    </w:rPr>
  </w:style>
  <w:style w:type="character" w:customStyle="1" w:styleId="AsuntodelcomentarioCar">
    <w:name w:val="Asunto del comentario Car"/>
    <w:aliases w:val=" Car2 Car"/>
    <w:link w:val="Asuntodelcomentario"/>
    <w:uiPriority w:val="99"/>
    <w:semiHidden/>
    <w:rsid w:val="008F5901"/>
    <w:rPr>
      <w:rFonts w:ascii="Verdana" w:eastAsia="Times" w:hAnsi="Verdana" w:cs="Times New Roman"/>
      <w:b/>
      <w:bCs/>
      <w:sz w:val="20"/>
      <w:szCs w:val="20"/>
    </w:rPr>
  </w:style>
  <w:style w:type="paragraph" w:customStyle="1" w:styleId="Revisin1">
    <w:name w:val="Revisión1"/>
    <w:hidden/>
    <w:uiPriority w:val="99"/>
    <w:semiHidden/>
    <w:rsid w:val="008F5901"/>
    <w:rPr>
      <w:rFonts w:ascii="Verdana" w:eastAsia="Times" w:hAnsi="Verdana"/>
      <w:lang w:val="es-ES_tradnl" w:eastAsia="en-US"/>
    </w:rPr>
  </w:style>
  <w:style w:type="character" w:styleId="Hipervnculovisitado">
    <w:name w:val="FollowedHyperlink"/>
    <w:rsid w:val="008F5901"/>
    <w:rPr>
      <w:color w:val="800080"/>
      <w:u w:val="single"/>
    </w:rPr>
  </w:style>
  <w:style w:type="character" w:customStyle="1" w:styleId="CarCar">
    <w:name w:val="Car Car"/>
    <w:rsid w:val="008F5901"/>
    <w:rPr>
      <w:rFonts w:ascii="Verdana" w:eastAsia="Times" w:hAnsi="Verdana" w:cs="Times New Roman"/>
      <w:sz w:val="20"/>
      <w:szCs w:val="20"/>
      <w:lang w:val="es-ES_tradnl"/>
    </w:rPr>
  </w:style>
  <w:style w:type="paragraph" w:styleId="Textodebloque">
    <w:name w:val="Block Text"/>
    <w:basedOn w:val="Normal"/>
    <w:rsid w:val="008F5901"/>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8F5901"/>
  </w:style>
  <w:style w:type="character" w:customStyle="1" w:styleId="FootnoteRef">
    <w:name w:val="Footnote Ref"/>
    <w:rsid w:val="008F5901"/>
    <w:rPr>
      <w:vertAlign w:val="superscript"/>
    </w:rPr>
  </w:style>
  <w:style w:type="character" w:customStyle="1" w:styleId="ju-005fpara--char">
    <w:name w:val="ju-005fpara--char"/>
    <w:basedOn w:val="Fuentedeprrafopredeter"/>
    <w:rsid w:val="008F5901"/>
  </w:style>
  <w:style w:type="character" w:customStyle="1" w:styleId="normal--char">
    <w:name w:val="normal--char"/>
    <w:basedOn w:val="Fuentedeprrafopredeter"/>
    <w:rsid w:val="008F5901"/>
  </w:style>
  <w:style w:type="paragraph" w:customStyle="1" w:styleId="Revisin2">
    <w:name w:val="Revisión2"/>
    <w:hidden/>
    <w:uiPriority w:val="99"/>
    <w:semiHidden/>
    <w:rsid w:val="008F5901"/>
    <w:rPr>
      <w:rFonts w:ascii="Verdana" w:eastAsia="Times" w:hAnsi="Verdana"/>
      <w:lang w:val="es-ES_tradnl" w:eastAsia="en-US"/>
    </w:rPr>
  </w:style>
  <w:style w:type="paragraph" w:customStyle="1" w:styleId="Body1">
    <w:name w:val="Body 1"/>
    <w:uiPriority w:val="99"/>
    <w:rsid w:val="008F5901"/>
    <w:pPr>
      <w:outlineLvl w:val="0"/>
    </w:pPr>
    <w:rPr>
      <w:rFonts w:ascii="Times New Roman" w:eastAsia="SimSun" w:hAnsi="Times New Roman"/>
      <w:color w:val="000000"/>
      <w:sz w:val="24"/>
      <w:lang w:val="en-US" w:eastAsia="en-US"/>
    </w:rPr>
  </w:style>
  <w:style w:type="paragraph" w:styleId="Prrafodelista">
    <w:name w:val="List Paragraph"/>
    <w:basedOn w:val="Normal"/>
    <w:link w:val="PrrafodelistaCar"/>
    <w:uiPriority w:val="99"/>
    <w:qFormat/>
    <w:rsid w:val="008F5901"/>
    <w:pPr>
      <w:ind w:left="720"/>
      <w:jc w:val="both"/>
    </w:pPr>
    <w:rPr>
      <w:rFonts w:eastAsia="Batang"/>
      <w:szCs w:val="24"/>
    </w:rPr>
  </w:style>
  <w:style w:type="character" w:customStyle="1" w:styleId="FootnoteTextCharCharCar">
    <w:name w:val="Footnote Text Char Char Car"/>
    <w:rsid w:val="008F5901"/>
    <w:rPr>
      <w:rFonts w:ascii="Verdana" w:eastAsia="Times" w:hAnsi="Verdana" w:cs="Times New Roman"/>
      <w:sz w:val="16"/>
      <w:szCs w:val="20"/>
      <w:lang w:val="es-ES_tradnl"/>
    </w:rPr>
  </w:style>
  <w:style w:type="character" w:customStyle="1" w:styleId="TextonotapieCarCar">
    <w:name w:val="Texto nota pie Car Car"/>
    <w:rsid w:val="000D6143"/>
    <w:rPr>
      <w:rFonts w:ascii="Verdana" w:eastAsia="Times" w:hAnsi="Verdana"/>
      <w:sz w:val="16"/>
      <w:lang w:val="es-ES_tradnl"/>
    </w:rPr>
  </w:style>
  <w:style w:type="character" w:customStyle="1" w:styleId="PrrafodelistaCar">
    <w:name w:val="Párrafo de lista Car"/>
    <w:link w:val="Prrafodelista"/>
    <w:uiPriority w:val="99"/>
    <w:rsid w:val="004644C9"/>
    <w:rPr>
      <w:rFonts w:ascii="Verdana" w:eastAsia="Batang" w:hAnsi="Verdana" w:cs="Times New Roman"/>
      <w:sz w:val="20"/>
    </w:rPr>
  </w:style>
  <w:style w:type="character" w:customStyle="1" w:styleId="Ttulo3Car">
    <w:name w:val="Título 3 Car"/>
    <w:link w:val="Ttulo3"/>
    <w:uiPriority w:val="9"/>
    <w:rsid w:val="000009B1"/>
    <w:rPr>
      <w:rFonts w:ascii="Calibri" w:eastAsia="Times New Roman" w:hAnsi="Calibri" w:cs="Times New Roman"/>
      <w:b/>
      <w:bCs/>
      <w:color w:val="4F81BD"/>
      <w:sz w:val="20"/>
      <w:szCs w:val="20"/>
    </w:rPr>
  </w:style>
  <w:style w:type="character" w:customStyle="1" w:styleId="ListParagraphChar1">
    <w:name w:val="List Paragraph Char1"/>
    <w:uiPriority w:val="99"/>
    <w:rsid w:val="00281596"/>
    <w:rPr>
      <w:rFonts w:ascii="Verdana" w:eastAsia="Times New Roman" w:hAnsi="Verdana"/>
      <w:lang w:val="es-ES_tradnl" w:eastAsia="en-US"/>
    </w:rPr>
  </w:style>
  <w:style w:type="paragraph" w:styleId="Mapadeldocumento">
    <w:name w:val="Document Map"/>
    <w:basedOn w:val="Normal"/>
    <w:link w:val="MapadeldocumentoCar"/>
    <w:uiPriority w:val="99"/>
    <w:semiHidden/>
    <w:unhideWhenUsed/>
    <w:rsid w:val="00FC3DC7"/>
    <w:rPr>
      <w:rFonts w:ascii="Tahoma" w:hAnsi="Tahoma" w:cs="Tahoma"/>
      <w:sz w:val="16"/>
      <w:szCs w:val="16"/>
    </w:rPr>
  </w:style>
  <w:style w:type="character" w:customStyle="1" w:styleId="MapadeldocumentoCar">
    <w:name w:val="Mapa del documento Car"/>
    <w:link w:val="Mapadeldocumento"/>
    <w:uiPriority w:val="99"/>
    <w:semiHidden/>
    <w:rsid w:val="00FC3DC7"/>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89D4C9-E089-4B91-A180-E29F9587B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3707</Words>
  <Characters>20390</Characters>
  <Application>Microsoft Office Word</Application>
  <DocSecurity>0</DocSecurity>
  <Lines>169</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24049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2017-06-22T00:42:00Z</cp:lastPrinted>
  <dcterms:created xsi:type="dcterms:W3CDTF">2017-06-22T00:42:00Z</dcterms:created>
  <dcterms:modified xsi:type="dcterms:W3CDTF">2017-06-22T00:43:00Z</dcterms:modified>
</cp:coreProperties>
</file>