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64950" w:rsidRPr="00327466" w:rsidRDefault="00264950" w:rsidP="00D333AB">
      <w:pPr>
        <w:tabs>
          <w:tab w:val="left" w:pos="567"/>
        </w:tabs>
        <w:jc w:val="center"/>
        <w:rPr>
          <w:rFonts w:ascii="Verdana" w:hAnsi="Verdana"/>
          <w:b/>
          <w:smallCaps/>
          <w:sz w:val="20"/>
        </w:rPr>
      </w:pPr>
      <w:bookmarkStart w:id="0" w:name="_GoBack"/>
      <w:bookmarkEnd w:id="0"/>
    </w:p>
    <w:p w:rsidR="001A657D" w:rsidRPr="00327466" w:rsidRDefault="001A657D" w:rsidP="00D333AB">
      <w:pPr>
        <w:tabs>
          <w:tab w:val="left" w:pos="567"/>
        </w:tabs>
        <w:jc w:val="center"/>
        <w:rPr>
          <w:rFonts w:ascii="Verdana" w:hAnsi="Verdana"/>
          <w:b/>
          <w:smallCaps/>
          <w:sz w:val="20"/>
        </w:rPr>
      </w:pPr>
      <w:r w:rsidRPr="00327466">
        <w:rPr>
          <w:rFonts w:ascii="Verdana" w:hAnsi="Verdana"/>
          <w:b/>
          <w:smallCaps/>
          <w:sz w:val="20"/>
        </w:rPr>
        <w:t xml:space="preserve">RESOLUCIÓN DE LA </w:t>
      </w:r>
    </w:p>
    <w:p w:rsidR="001A657D" w:rsidRPr="00327466" w:rsidRDefault="001A657D" w:rsidP="00D333AB">
      <w:pPr>
        <w:tabs>
          <w:tab w:val="left" w:pos="567"/>
        </w:tabs>
        <w:jc w:val="center"/>
        <w:rPr>
          <w:rFonts w:ascii="Verdana" w:hAnsi="Verdana"/>
          <w:b/>
          <w:smallCaps/>
          <w:sz w:val="20"/>
        </w:rPr>
      </w:pPr>
      <w:r w:rsidRPr="00327466">
        <w:rPr>
          <w:rFonts w:ascii="Verdana" w:hAnsi="Verdana"/>
          <w:b/>
          <w:smallCaps/>
          <w:sz w:val="20"/>
        </w:rPr>
        <w:t>CORTE INTERAMERICANA DE DERECHOS HUMANOS</w:t>
      </w:r>
    </w:p>
    <w:p w:rsidR="00AD39C0" w:rsidRPr="00327466" w:rsidRDefault="00AD39C0" w:rsidP="00D333AB">
      <w:pPr>
        <w:tabs>
          <w:tab w:val="left" w:pos="567"/>
        </w:tabs>
        <w:jc w:val="center"/>
        <w:rPr>
          <w:rFonts w:ascii="Verdana" w:hAnsi="Verdana"/>
          <w:b/>
          <w:smallCaps/>
          <w:sz w:val="20"/>
        </w:rPr>
      </w:pPr>
    </w:p>
    <w:p w:rsidR="002F7C69" w:rsidRPr="00327466" w:rsidRDefault="002F7C69" w:rsidP="00D333AB">
      <w:pPr>
        <w:tabs>
          <w:tab w:val="left" w:pos="567"/>
        </w:tabs>
        <w:jc w:val="center"/>
        <w:rPr>
          <w:rFonts w:ascii="Verdana" w:hAnsi="Verdana"/>
          <w:b/>
          <w:smallCaps/>
          <w:sz w:val="20"/>
        </w:rPr>
      </w:pPr>
      <w:r w:rsidRPr="00327466">
        <w:rPr>
          <w:rFonts w:ascii="Verdana" w:hAnsi="Verdana"/>
          <w:b/>
          <w:smallCaps/>
          <w:sz w:val="20"/>
        </w:rPr>
        <w:t xml:space="preserve">DE </w:t>
      </w:r>
      <w:r w:rsidR="00B30D89">
        <w:rPr>
          <w:rFonts w:ascii="Verdana" w:hAnsi="Verdana"/>
          <w:b/>
          <w:smallCaps/>
          <w:sz w:val="20"/>
        </w:rPr>
        <w:t>9</w:t>
      </w:r>
      <w:r w:rsidR="00B30D89" w:rsidRPr="00327466">
        <w:rPr>
          <w:rFonts w:ascii="Verdana" w:hAnsi="Verdana"/>
          <w:b/>
          <w:smallCaps/>
          <w:sz w:val="20"/>
        </w:rPr>
        <w:t xml:space="preserve"> </w:t>
      </w:r>
      <w:r w:rsidRPr="00327466">
        <w:rPr>
          <w:rFonts w:ascii="Verdana" w:hAnsi="Verdana"/>
          <w:b/>
          <w:smallCaps/>
          <w:sz w:val="20"/>
        </w:rPr>
        <w:t xml:space="preserve">DE </w:t>
      </w:r>
      <w:r w:rsidR="00FD57B3">
        <w:rPr>
          <w:rFonts w:ascii="Verdana" w:hAnsi="Verdana"/>
          <w:b/>
          <w:smallCaps/>
          <w:sz w:val="20"/>
        </w:rPr>
        <w:t>FEBRERO</w:t>
      </w:r>
      <w:r w:rsidR="00FD57B3" w:rsidRPr="00327466">
        <w:rPr>
          <w:rFonts w:ascii="Verdana" w:hAnsi="Verdana"/>
          <w:b/>
          <w:smallCaps/>
          <w:sz w:val="20"/>
        </w:rPr>
        <w:t xml:space="preserve"> </w:t>
      </w:r>
      <w:r w:rsidR="00A86202" w:rsidRPr="00327466">
        <w:rPr>
          <w:rFonts w:ascii="Verdana" w:hAnsi="Verdana"/>
          <w:b/>
          <w:smallCaps/>
          <w:sz w:val="20"/>
        </w:rPr>
        <w:t>DE 201</w:t>
      </w:r>
      <w:r w:rsidR="00FD57B3">
        <w:rPr>
          <w:rFonts w:ascii="Verdana" w:hAnsi="Verdana"/>
          <w:b/>
          <w:smallCaps/>
          <w:sz w:val="20"/>
        </w:rPr>
        <w:t>7</w:t>
      </w:r>
    </w:p>
    <w:p w:rsidR="00AD39C0" w:rsidRPr="00327466" w:rsidRDefault="00AD39C0" w:rsidP="00D333AB">
      <w:pPr>
        <w:tabs>
          <w:tab w:val="left" w:pos="567"/>
        </w:tabs>
        <w:jc w:val="center"/>
        <w:rPr>
          <w:rFonts w:ascii="Verdana" w:hAnsi="Verdana"/>
          <w:b/>
          <w:smallCaps/>
          <w:sz w:val="20"/>
        </w:rPr>
      </w:pPr>
    </w:p>
    <w:p w:rsidR="001A657D" w:rsidRPr="00327466" w:rsidRDefault="001A657D" w:rsidP="00D333AB">
      <w:pPr>
        <w:tabs>
          <w:tab w:val="left" w:pos="567"/>
        </w:tabs>
        <w:jc w:val="center"/>
        <w:rPr>
          <w:rFonts w:ascii="Verdana" w:hAnsi="Verdana"/>
          <w:b/>
          <w:i/>
          <w:smallCaps/>
          <w:sz w:val="20"/>
        </w:rPr>
      </w:pPr>
      <w:r w:rsidRPr="00327466">
        <w:rPr>
          <w:rFonts w:ascii="Verdana" w:hAnsi="Verdana"/>
          <w:b/>
          <w:i/>
          <w:smallCaps/>
          <w:sz w:val="20"/>
        </w:rPr>
        <w:t>CASO DEL PENAL MIGUEL CASTRO CASTRO VS. PERÚ</w:t>
      </w:r>
    </w:p>
    <w:p w:rsidR="00AD39C0" w:rsidRPr="00327466" w:rsidRDefault="00AD39C0" w:rsidP="00D333AB">
      <w:pPr>
        <w:tabs>
          <w:tab w:val="left" w:pos="567"/>
        </w:tabs>
        <w:jc w:val="center"/>
        <w:rPr>
          <w:rFonts w:ascii="Verdana" w:hAnsi="Verdana"/>
          <w:b/>
          <w:smallCaps/>
          <w:sz w:val="20"/>
        </w:rPr>
      </w:pPr>
    </w:p>
    <w:p w:rsidR="001A657D" w:rsidRPr="00327466" w:rsidRDefault="001A657D" w:rsidP="00D333AB">
      <w:pPr>
        <w:tabs>
          <w:tab w:val="left" w:pos="567"/>
        </w:tabs>
        <w:jc w:val="center"/>
        <w:rPr>
          <w:rFonts w:ascii="Verdana" w:hAnsi="Verdana"/>
          <w:b/>
          <w:smallCaps/>
          <w:sz w:val="20"/>
        </w:rPr>
      </w:pPr>
      <w:r w:rsidRPr="00327466">
        <w:rPr>
          <w:rFonts w:ascii="Verdana" w:hAnsi="Verdana"/>
          <w:b/>
          <w:smallCaps/>
          <w:sz w:val="20"/>
        </w:rPr>
        <w:t>SUPERVISIÓN DE CUMPLIMIENTO DE SENTENCIA</w:t>
      </w:r>
    </w:p>
    <w:p w:rsidR="00AD39C0" w:rsidRDefault="00AD39C0" w:rsidP="00D333AB">
      <w:pPr>
        <w:tabs>
          <w:tab w:val="left" w:pos="567"/>
        </w:tabs>
        <w:rPr>
          <w:rFonts w:ascii="Verdana" w:hAnsi="Verdana"/>
          <w:b/>
          <w:smallCaps/>
          <w:sz w:val="20"/>
        </w:rPr>
      </w:pPr>
    </w:p>
    <w:p w:rsidR="0035636A" w:rsidRPr="00327466" w:rsidRDefault="0035636A" w:rsidP="00D333AB">
      <w:pPr>
        <w:tabs>
          <w:tab w:val="left" w:pos="567"/>
        </w:tabs>
        <w:rPr>
          <w:rFonts w:ascii="Verdana" w:hAnsi="Verdana"/>
          <w:b/>
          <w:smallCaps/>
          <w:sz w:val="20"/>
        </w:rPr>
      </w:pPr>
    </w:p>
    <w:p w:rsidR="00AE324B" w:rsidRPr="00327466" w:rsidRDefault="001A657D" w:rsidP="00D333AB">
      <w:pPr>
        <w:tabs>
          <w:tab w:val="left" w:pos="567"/>
        </w:tabs>
        <w:jc w:val="both"/>
        <w:rPr>
          <w:rFonts w:ascii="Verdana" w:hAnsi="Verdana"/>
          <w:b/>
          <w:smallCaps/>
          <w:sz w:val="20"/>
        </w:rPr>
      </w:pPr>
      <w:r w:rsidRPr="00327466">
        <w:rPr>
          <w:rFonts w:ascii="Verdana" w:hAnsi="Verdana"/>
          <w:b/>
          <w:smallCaps/>
          <w:sz w:val="20"/>
        </w:rPr>
        <w:t>VISTO:</w:t>
      </w:r>
      <w:r w:rsidR="00AE324B" w:rsidRPr="00327466">
        <w:rPr>
          <w:rFonts w:ascii="Verdana" w:hAnsi="Verdana"/>
          <w:b/>
          <w:smallCaps/>
          <w:sz w:val="20"/>
        </w:rPr>
        <w:t xml:space="preserve"> </w:t>
      </w:r>
    </w:p>
    <w:p w:rsidR="001A657D" w:rsidRPr="00327466" w:rsidRDefault="001A657D" w:rsidP="00D333AB">
      <w:pPr>
        <w:tabs>
          <w:tab w:val="left" w:pos="567"/>
        </w:tabs>
        <w:jc w:val="both"/>
        <w:rPr>
          <w:rFonts w:ascii="Verdana" w:hAnsi="Verdana"/>
          <w:b/>
          <w:smallCaps/>
          <w:sz w:val="20"/>
        </w:rPr>
      </w:pPr>
    </w:p>
    <w:p w:rsidR="004A0CBD" w:rsidRPr="00327466" w:rsidRDefault="004A0CBD" w:rsidP="00D333AB">
      <w:pPr>
        <w:numPr>
          <w:ilvl w:val="0"/>
          <w:numId w:val="3"/>
        </w:numPr>
        <w:tabs>
          <w:tab w:val="left" w:pos="567"/>
        </w:tabs>
        <w:ind w:left="0" w:firstLine="0"/>
        <w:jc w:val="both"/>
        <w:rPr>
          <w:rFonts w:ascii="Verdana" w:hAnsi="Verdana" w:cs="Arial"/>
          <w:b/>
          <w:strike/>
          <w:sz w:val="20"/>
        </w:rPr>
      </w:pPr>
      <w:r w:rsidRPr="00327466">
        <w:rPr>
          <w:rFonts w:ascii="Verdana" w:hAnsi="Verdana" w:cs="Arial"/>
          <w:sz w:val="20"/>
        </w:rPr>
        <w:t>La Sentencia de fondo, reparaciones y costas (en adelante ‘‘la Sentencia’’) emitida en el presente caso por la Corte Interamericana de Derechos Humanos (en adelante “la Corte Interamericana”, “la Corte” o “el Tribunal”) el</w:t>
      </w:r>
      <w:r w:rsidR="00A766CE" w:rsidRPr="00327466">
        <w:rPr>
          <w:rFonts w:ascii="Verdana" w:hAnsi="Verdana" w:cs="Arial"/>
          <w:sz w:val="20"/>
        </w:rPr>
        <w:t xml:space="preserve"> 25 de noviembre de 2006</w:t>
      </w:r>
      <w:r w:rsidRPr="00327466">
        <w:rPr>
          <w:rStyle w:val="Refdenotaalpie"/>
          <w:rFonts w:ascii="Verdana" w:hAnsi="Verdana" w:cs="Arial"/>
          <w:sz w:val="20"/>
        </w:rPr>
        <w:footnoteReference w:id="1"/>
      </w:r>
      <w:r w:rsidRPr="00327466">
        <w:rPr>
          <w:rFonts w:ascii="Verdana" w:hAnsi="Verdana" w:cs="Arial"/>
          <w:sz w:val="20"/>
        </w:rPr>
        <w:t>. Tomando en cuenta el reconocimiento parcial de responsabilidad efectuado por la República del Perú (“el Estado” o “el Perú”)</w:t>
      </w:r>
      <w:r w:rsidR="004926DE" w:rsidRPr="00327466">
        <w:rPr>
          <w:rFonts w:ascii="Verdana" w:hAnsi="Verdana" w:cs="Arial"/>
          <w:sz w:val="20"/>
        </w:rPr>
        <w:t xml:space="preserve"> en el presente caso</w:t>
      </w:r>
      <w:r w:rsidRPr="00327466">
        <w:rPr>
          <w:rFonts w:ascii="Verdana" w:hAnsi="Verdana" w:cs="Arial"/>
          <w:sz w:val="20"/>
        </w:rPr>
        <w:t>, la Corte determinó que el Estado era internacionalmente responsable por violaciones a los derechos a la vida y a la integridad personal por la masacre, ejecuciones extrajudiciales y torturas perpetradas entre el 6 y el 9 de mayo de 1992 en el Penal Miguel Castro Castro</w:t>
      </w:r>
      <w:r w:rsidR="004C189C" w:rsidRPr="00327466">
        <w:rPr>
          <w:rFonts w:ascii="Verdana" w:hAnsi="Verdana" w:cs="Arial"/>
          <w:sz w:val="20"/>
        </w:rPr>
        <w:t xml:space="preserve">, </w:t>
      </w:r>
      <w:r w:rsidR="0097325B" w:rsidRPr="00327466">
        <w:rPr>
          <w:rFonts w:ascii="Verdana" w:hAnsi="Verdana" w:cs="Arial"/>
          <w:sz w:val="20"/>
        </w:rPr>
        <w:t xml:space="preserve">durante el </w:t>
      </w:r>
      <w:r w:rsidR="004C189C" w:rsidRPr="00327466">
        <w:rPr>
          <w:rFonts w:ascii="Verdana" w:hAnsi="Verdana" w:cs="Arial"/>
          <w:sz w:val="20"/>
        </w:rPr>
        <w:t xml:space="preserve">denominado </w:t>
      </w:r>
      <w:r w:rsidR="004C189C" w:rsidRPr="00327466">
        <w:rPr>
          <w:rFonts w:ascii="Verdana" w:hAnsi="Verdana" w:cs="Verdana"/>
          <w:sz w:val="20"/>
        </w:rPr>
        <w:t>“Operativo Mudanza 1”</w:t>
      </w:r>
      <w:r w:rsidR="00AD10E1" w:rsidRPr="00327466">
        <w:rPr>
          <w:rStyle w:val="Refdenotaalpie"/>
          <w:rFonts w:ascii="Verdana" w:hAnsi="Verdana" w:cs="Arial"/>
          <w:sz w:val="20"/>
        </w:rPr>
        <w:footnoteReference w:id="2"/>
      </w:r>
      <w:r w:rsidR="00165AEE" w:rsidRPr="00327466">
        <w:rPr>
          <w:rFonts w:ascii="Verdana" w:hAnsi="Verdana" w:cs="Verdana"/>
          <w:sz w:val="20"/>
        </w:rPr>
        <w:t>,</w:t>
      </w:r>
      <w:r w:rsidRPr="00327466">
        <w:rPr>
          <w:rFonts w:ascii="Verdana" w:hAnsi="Verdana" w:cs="Arial"/>
          <w:sz w:val="20"/>
        </w:rPr>
        <w:t xml:space="preserve"> contra l</w:t>
      </w:r>
      <w:r w:rsidR="009E4D8E" w:rsidRPr="00327466">
        <w:rPr>
          <w:rFonts w:ascii="Verdana" w:hAnsi="Verdana" w:cs="Arial"/>
          <w:sz w:val="20"/>
        </w:rPr>
        <w:t>as internas y l</w:t>
      </w:r>
      <w:r w:rsidRPr="00327466">
        <w:rPr>
          <w:rFonts w:ascii="Verdana" w:hAnsi="Verdana" w:cs="Arial"/>
          <w:sz w:val="20"/>
        </w:rPr>
        <w:t>os internos que se encontraban en los Pabellones 1A y 4B</w:t>
      </w:r>
      <w:r w:rsidR="004C3FB1" w:rsidRPr="00327466">
        <w:rPr>
          <w:rStyle w:val="Refdenotaalpie"/>
          <w:rFonts w:ascii="Verdana" w:hAnsi="Verdana" w:cs="Arial"/>
          <w:sz w:val="20"/>
        </w:rPr>
        <w:footnoteReference w:id="3"/>
      </w:r>
      <w:r w:rsidRPr="00327466">
        <w:rPr>
          <w:rFonts w:ascii="Verdana" w:hAnsi="Verdana" w:cs="Arial"/>
          <w:sz w:val="20"/>
        </w:rPr>
        <w:t>, acusados o sentenciados por delitos de terrorismo o traición a la patria</w:t>
      </w:r>
      <w:r w:rsidR="00612B6C" w:rsidRPr="00327466">
        <w:rPr>
          <w:rFonts w:ascii="Verdana" w:hAnsi="Verdana" w:cs="Arial"/>
          <w:sz w:val="20"/>
        </w:rPr>
        <w:t>, entre quienes se encontraban mujeres embarazadas</w:t>
      </w:r>
      <w:r w:rsidR="008F6C3F" w:rsidRPr="00327466">
        <w:rPr>
          <w:rFonts w:ascii="Verdana" w:hAnsi="Verdana" w:cs="Arial"/>
          <w:sz w:val="20"/>
        </w:rPr>
        <w:t>.</w:t>
      </w:r>
      <w:r w:rsidR="004C3FB1" w:rsidRPr="00327466">
        <w:rPr>
          <w:rFonts w:ascii="Verdana" w:hAnsi="Verdana" w:cs="Arial"/>
          <w:sz w:val="20"/>
        </w:rPr>
        <w:t xml:space="preserve"> E</w:t>
      </w:r>
      <w:r w:rsidR="008F6C3F" w:rsidRPr="00327466">
        <w:rPr>
          <w:rFonts w:ascii="Verdana" w:hAnsi="Verdana" w:cs="Verdana"/>
          <w:sz w:val="20"/>
        </w:rPr>
        <w:t xml:space="preserve">l Tribunal estimó que el comportamiento observado por los agentes de seguridad, altas autoridades del Estado y otros funcionarios estatales durante </w:t>
      </w:r>
      <w:r w:rsidR="004C189C" w:rsidRPr="00327466">
        <w:rPr>
          <w:rFonts w:ascii="Verdana" w:hAnsi="Verdana" w:cs="Verdana"/>
          <w:sz w:val="20"/>
        </w:rPr>
        <w:t xml:space="preserve">el </w:t>
      </w:r>
      <w:r w:rsidR="00487547" w:rsidRPr="00327466">
        <w:rPr>
          <w:rFonts w:ascii="Verdana" w:hAnsi="Verdana" w:cs="Verdana"/>
          <w:sz w:val="20"/>
        </w:rPr>
        <w:t xml:space="preserve">referido </w:t>
      </w:r>
      <w:r w:rsidR="008F6C3F" w:rsidRPr="00327466">
        <w:rPr>
          <w:rFonts w:ascii="Verdana" w:hAnsi="Verdana" w:cs="Verdana"/>
          <w:sz w:val="20"/>
        </w:rPr>
        <w:t>“Operativo”</w:t>
      </w:r>
      <w:r w:rsidR="00165AEE" w:rsidRPr="00327466">
        <w:rPr>
          <w:rStyle w:val="Refdenotaalpie"/>
          <w:rFonts w:ascii="Verdana" w:hAnsi="Verdana" w:cs="Verdana"/>
          <w:sz w:val="20"/>
        </w:rPr>
        <w:footnoteReference w:id="4"/>
      </w:r>
      <w:r w:rsidR="008F6C3F" w:rsidRPr="00327466">
        <w:rPr>
          <w:rFonts w:ascii="Verdana" w:hAnsi="Verdana" w:cs="Verdana"/>
          <w:sz w:val="20"/>
        </w:rPr>
        <w:t xml:space="preserve">, así como con posterioridad a éste, demuestran que se trató de </w:t>
      </w:r>
      <w:r w:rsidR="008F6C3F" w:rsidRPr="00327466">
        <w:rPr>
          <w:rFonts w:ascii="Verdana" w:hAnsi="Verdana"/>
          <w:sz w:val="20"/>
        </w:rPr>
        <w:t xml:space="preserve">una masacre, y </w:t>
      </w:r>
      <w:r w:rsidR="00111168" w:rsidRPr="00327466">
        <w:rPr>
          <w:rFonts w:ascii="Verdana" w:hAnsi="Verdana"/>
          <w:sz w:val="20"/>
        </w:rPr>
        <w:t xml:space="preserve">que dichas acciones </w:t>
      </w:r>
      <w:r w:rsidR="008F6C3F" w:rsidRPr="00327466">
        <w:rPr>
          <w:rFonts w:ascii="Verdana" w:hAnsi="Verdana"/>
          <w:sz w:val="20"/>
        </w:rPr>
        <w:t xml:space="preserve">tenían el fin de atentar contra la vida e integridad </w:t>
      </w:r>
      <w:r w:rsidR="008F6C3F" w:rsidRPr="00327466">
        <w:rPr>
          <w:rFonts w:ascii="Verdana" w:hAnsi="Verdana" w:cs="Verdana"/>
          <w:sz w:val="20"/>
        </w:rPr>
        <w:t xml:space="preserve">de las internas e internos que se encontraban en </w:t>
      </w:r>
      <w:r w:rsidR="00B52718" w:rsidRPr="00327466">
        <w:rPr>
          <w:rFonts w:ascii="Verdana" w:hAnsi="Verdana" w:cs="Verdana"/>
          <w:sz w:val="20"/>
        </w:rPr>
        <w:t xml:space="preserve">dichos </w:t>
      </w:r>
      <w:r w:rsidR="008F6C3F" w:rsidRPr="00327466">
        <w:rPr>
          <w:rFonts w:ascii="Verdana" w:hAnsi="Verdana" w:cs="Verdana"/>
          <w:sz w:val="20"/>
        </w:rPr>
        <w:t>pabellones</w:t>
      </w:r>
      <w:r w:rsidRPr="00327466">
        <w:rPr>
          <w:rFonts w:ascii="Verdana" w:hAnsi="Verdana" w:cs="Arial"/>
          <w:sz w:val="20"/>
        </w:rPr>
        <w:t>. Asimismo,</w:t>
      </w:r>
      <w:r w:rsidR="004926DE" w:rsidRPr="00327466">
        <w:rPr>
          <w:rFonts w:ascii="Verdana" w:hAnsi="Verdana" w:cs="Arial"/>
          <w:sz w:val="20"/>
        </w:rPr>
        <w:t xml:space="preserve"> la Corte</w:t>
      </w:r>
      <w:r w:rsidRPr="00327466">
        <w:rPr>
          <w:rFonts w:ascii="Verdana" w:hAnsi="Verdana" w:cs="Arial"/>
          <w:sz w:val="20"/>
        </w:rPr>
        <w:t xml:space="preserve"> encontró al Perú responsable de violaciones al derecho a la integridad personal </w:t>
      </w:r>
      <w:r w:rsidR="00612B6C" w:rsidRPr="00327466">
        <w:rPr>
          <w:rFonts w:ascii="Verdana" w:hAnsi="Verdana" w:cs="Arial"/>
          <w:sz w:val="20"/>
        </w:rPr>
        <w:t xml:space="preserve">perpetradas contra </w:t>
      </w:r>
      <w:r w:rsidRPr="00327466">
        <w:rPr>
          <w:rFonts w:ascii="Verdana" w:hAnsi="Verdana" w:cs="Arial"/>
          <w:sz w:val="20"/>
        </w:rPr>
        <w:t>las internas que sobrevivieron la</w:t>
      </w:r>
      <w:r w:rsidR="00EB2EC6" w:rsidRPr="00327466">
        <w:rPr>
          <w:rFonts w:ascii="Verdana" w:hAnsi="Verdana" w:cs="Arial"/>
          <w:sz w:val="20"/>
        </w:rPr>
        <w:t xml:space="preserve"> masacre</w:t>
      </w:r>
      <w:r w:rsidRPr="00327466">
        <w:rPr>
          <w:rFonts w:ascii="Verdana" w:hAnsi="Verdana" w:cs="Arial"/>
          <w:sz w:val="20"/>
        </w:rPr>
        <w:t xml:space="preserve"> cuando fueron llevadas al Hospital de la Policía y trasladadas a otros centros penales</w:t>
      </w:r>
      <w:r w:rsidR="00612B6C" w:rsidRPr="00327466">
        <w:rPr>
          <w:rFonts w:ascii="Verdana" w:hAnsi="Verdana" w:cs="Arial"/>
          <w:sz w:val="20"/>
        </w:rPr>
        <w:t xml:space="preserve">. Tres internas fueron víctimas de violaciones adicionales por la falta de atención médica pre y post natal, </w:t>
      </w:r>
      <w:r w:rsidR="00FF58BA" w:rsidRPr="00327466">
        <w:rPr>
          <w:rFonts w:ascii="Verdana" w:hAnsi="Verdana" w:cs="Arial"/>
          <w:sz w:val="20"/>
        </w:rPr>
        <w:t xml:space="preserve">una interna fue víctima de violación sexual y </w:t>
      </w:r>
      <w:r w:rsidR="00D01D4E" w:rsidRPr="00327466">
        <w:rPr>
          <w:rFonts w:ascii="Verdana" w:hAnsi="Verdana" w:cs="Arial"/>
          <w:sz w:val="20"/>
        </w:rPr>
        <w:t xml:space="preserve">seis </w:t>
      </w:r>
      <w:r w:rsidR="00FF58BA" w:rsidRPr="00327466">
        <w:rPr>
          <w:rFonts w:ascii="Verdana" w:hAnsi="Verdana" w:cs="Arial"/>
          <w:sz w:val="20"/>
        </w:rPr>
        <w:t>internas fueron sometidas a violencia sexual</w:t>
      </w:r>
      <w:r w:rsidRPr="00327466">
        <w:rPr>
          <w:rFonts w:ascii="Verdana" w:hAnsi="Verdana" w:cs="Arial"/>
          <w:sz w:val="20"/>
        </w:rPr>
        <w:t>. Adicionalmente, la Corte determinó que el Estado había incurrido en violaciones a la integridad personal de determinados familiares de los internos por el tratamiento que recibieron por las autoridades cuando se encontraban en búsqueda de información sobre lo ocurrido. Asimismo, el Tribunal declaró la responsabilidad estatal por violaciones a los derechos a las garantías judiciales y a la protección judicial</w:t>
      </w:r>
      <w:r w:rsidR="003E55E0" w:rsidRPr="00327466">
        <w:rPr>
          <w:rStyle w:val="Refdenotaalpie"/>
          <w:rFonts w:ascii="Verdana" w:hAnsi="Verdana" w:cs="Arial"/>
          <w:sz w:val="20"/>
        </w:rPr>
        <w:footnoteReference w:id="5"/>
      </w:r>
      <w:r w:rsidRPr="00327466">
        <w:rPr>
          <w:rFonts w:ascii="Verdana" w:hAnsi="Verdana" w:cs="Arial"/>
          <w:sz w:val="20"/>
        </w:rPr>
        <w:t xml:space="preserve">. </w:t>
      </w:r>
      <w:r w:rsidR="00BB0BDE" w:rsidRPr="00327466">
        <w:rPr>
          <w:rFonts w:ascii="Verdana" w:hAnsi="Verdana"/>
          <w:sz w:val="20"/>
        </w:rPr>
        <w:t xml:space="preserve">La Corte estableció que su Sentencia constituye </w:t>
      </w:r>
      <w:r w:rsidR="00434756" w:rsidRPr="00327466">
        <w:rPr>
          <w:rFonts w:ascii="Verdana" w:hAnsi="Verdana"/>
          <w:sz w:val="20"/>
        </w:rPr>
        <w:t xml:space="preserve">por sí misma </w:t>
      </w:r>
      <w:r w:rsidR="00BB0BDE" w:rsidRPr="00327466">
        <w:rPr>
          <w:rFonts w:ascii="Verdana" w:hAnsi="Verdana"/>
          <w:sz w:val="20"/>
        </w:rPr>
        <w:t>una forma de reparación y, adicionalmente</w:t>
      </w:r>
      <w:r w:rsidR="00B81785" w:rsidRPr="00327466">
        <w:rPr>
          <w:rFonts w:ascii="Verdana" w:hAnsi="Verdana"/>
          <w:sz w:val="20"/>
        </w:rPr>
        <w:t>,</w:t>
      </w:r>
      <w:r w:rsidR="00BB0BDE" w:rsidRPr="00327466">
        <w:rPr>
          <w:rFonts w:ascii="Verdana" w:hAnsi="Verdana"/>
          <w:sz w:val="20"/>
        </w:rPr>
        <w:t xml:space="preserve"> ordenó al Estado determinadas medidas de reparación</w:t>
      </w:r>
      <w:r w:rsidR="004C189C" w:rsidRPr="00327466">
        <w:rPr>
          <w:rFonts w:ascii="Verdana" w:hAnsi="Verdana"/>
          <w:sz w:val="20"/>
        </w:rPr>
        <w:t>.</w:t>
      </w:r>
    </w:p>
    <w:p w:rsidR="00AD39C0" w:rsidRPr="00327466" w:rsidRDefault="00AD39C0" w:rsidP="00D333AB">
      <w:pPr>
        <w:tabs>
          <w:tab w:val="left" w:pos="567"/>
        </w:tabs>
        <w:jc w:val="both"/>
        <w:rPr>
          <w:rFonts w:ascii="Verdana" w:hAnsi="Verdana" w:cs="Arial"/>
          <w:b/>
          <w:strike/>
          <w:sz w:val="20"/>
        </w:rPr>
      </w:pPr>
    </w:p>
    <w:p w:rsidR="004A0CBD" w:rsidRPr="00327466" w:rsidRDefault="004A0CBD" w:rsidP="00D333AB">
      <w:pPr>
        <w:numPr>
          <w:ilvl w:val="0"/>
          <w:numId w:val="3"/>
        </w:numPr>
        <w:tabs>
          <w:tab w:val="left" w:pos="567"/>
        </w:tabs>
        <w:ind w:left="0" w:firstLine="0"/>
        <w:jc w:val="both"/>
        <w:rPr>
          <w:rFonts w:ascii="Verdana" w:hAnsi="Verdana" w:cs="Arial"/>
          <w:sz w:val="20"/>
        </w:rPr>
      </w:pPr>
      <w:r w:rsidRPr="00327466">
        <w:rPr>
          <w:rFonts w:ascii="Verdana" w:hAnsi="Verdana"/>
          <w:sz w:val="20"/>
        </w:rPr>
        <w:t>La Sentencia de interpretación de la Sentencia de fondo, reparaciones y costas emitida el 2 de agosto de 2008</w:t>
      </w:r>
      <w:r w:rsidRPr="00327466">
        <w:rPr>
          <w:rStyle w:val="Refdenotaalpie"/>
          <w:rFonts w:ascii="Verdana" w:hAnsi="Verdana"/>
          <w:sz w:val="20"/>
        </w:rPr>
        <w:footnoteReference w:id="6"/>
      </w:r>
      <w:r w:rsidRPr="00327466">
        <w:rPr>
          <w:rFonts w:ascii="Verdana" w:hAnsi="Verdana"/>
          <w:sz w:val="20"/>
        </w:rPr>
        <w:t xml:space="preserve"> (en adelante “la Sentencia de Interpretación”).</w:t>
      </w:r>
    </w:p>
    <w:p w:rsidR="004A0CBD" w:rsidRPr="00327466" w:rsidRDefault="004A0CBD" w:rsidP="00D333AB">
      <w:pPr>
        <w:tabs>
          <w:tab w:val="left" w:pos="567"/>
        </w:tabs>
        <w:jc w:val="both"/>
        <w:rPr>
          <w:rFonts w:ascii="Verdana" w:hAnsi="Verdana" w:cs="Arial"/>
          <w:sz w:val="20"/>
        </w:rPr>
      </w:pPr>
    </w:p>
    <w:p w:rsidR="004A0CBD" w:rsidRPr="00327466" w:rsidRDefault="004A0CBD" w:rsidP="00D333AB">
      <w:pPr>
        <w:numPr>
          <w:ilvl w:val="0"/>
          <w:numId w:val="3"/>
        </w:numPr>
        <w:tabs>
          <w:tab w:val="left" w:pos="567"/>
        </w:tabs>
        <w:ind w:left="0" w:firstLine="0"/>
        <w:jc w:val="both"/>
        <w:rPr>
          <w:rFonts w:ascii="Verdana" w:hAnsi="Verdana" w:cs="Arial"/>
          <w:sz w:val="20"/>
        </w:rPr>
      </w:pPr>
      <w:r w:rsidRPr="00327466">
        <w:rPr>
          <w:rFonts w:ascii="Verdana" w:hAnsi="Verdana" w:cs="Arial"/>
          <w:sz w:val="20"/>
        </w:rPr>
        <w:t>La</w:t>
      </w:r>
      <w:r w:rsidR="00D97285" w:rsidRPr="00327466">
        <w:rPr>
          <w:rFonts w:ascii="Verdana" w:hAnsi="Verdana" w:cs="Arial"/>
          <w:sz w:val="20"/>
        </w:rPr>
        <w:t xml:space="preserve">s </w:t>
      </w:r>
      <w:r w:rsidR="004C189C" w:rsidRPr="00327466">
        <w:rPr>
          <w:rFonts w:ascii="Verdana" w:hAnsi="Verdana" w:cs="Arial"/>
          <w:sz w:val="20"/>
        </w:rPr>
        <w:t xml:space="preserve">Resoluciones de </w:t>
      </w:r>
      <w:r w:rsidR="00246EC1" w:rsidRPr="00327466">
        <w:rPr>
          <w:rFonts w:ascii="Verdana" w:hAnsi="Verdana" w:cs="Arial"/>
          <w:sz w:val="20"/>
        </w:rPr>
        <w:t>s</w:t>
      </w:r>
      <w:r w:rsidR="00184564" w:rsidRPr="00327466">
        <w:rPr>
          <w:rFonts w:ascii="Verdana" w:hAnsi="Verdana" w:cs="Arial"/>
          <w:sz w:val="20"/>
        </w:rPr>
        <w:t xml:space="preserve">upervisión de </w:t>
      </w:r>
      <w:r w:rsidR="004C189C" w:rsidRPr="00327466">
        <w:rPr>
          <w:rFonts w:ascii="Verdana" w:hAnsi="Verdana" w:cs="Arial"/>
          <w:sz w:val="20"/>
        </w:rPr>
        <w:t xml:space="preserve">cumplimiento de </w:t>
      </w:r>
      <w:r w:rsidR="00246EC1" w:rsidRPr="00327466">
        <w:rPr>
          <w:rFonts w:ascii="Verdana" w:hAnsi="Verdana" w:cs="Arial"/>
          <w:sz w:val="20"/>
        </w:rPr>
        <w:t>s</w:t>
      </w:r>
      <w:r w:rsidR="004C189C" w:rsidRPr="00327466">
        <w:rPr>
          <w:rFonts w:ascii="Verdana" w:hAnsi="Verdana" w:cs="Arial"/>
          <w:sz w:val="20"/>
        </w:rPr>
        <w:t>entencia</w:t>
      </w:r>
      <w:r w:rsidR="009C27ED" w:rsidRPr="00327466">
        <w:rPr>
          <w:rFonts w:ascii="Verdana" w:hAnsi="Verdana" w:cs="Arial"/>
          <w:sz w:val="20"/>
        </w:rPr>
        <w:t xml:space="preserve"> emitida</w:t>
      </w:r>
      <w:r w:rsidR="00EB28A4">
        <w:rPr>
          <w:rFonts w:ascii="Verdana" w:hAnsi="Verdana" w:cs="Arial"/>
          <w:sz w:val="20"/>
        </w:rPr>
        <w:t>s</w:t>
      </w:r>
      <w:r w:rsidR="009C27ED" w:rsidRPr="00327466">
        <w:rPr>
          <w:rFonts w:ascii="Verdana" w:hAnsi="Verdana" w:cs="Arial"/>
          <w:sz w:val="20"/>
        </w:rPr>
        <w:t xml:space="preserve"> el </w:t>
      </w:r>
      <w:r w:rsidR="00D97285" w:rsidRPr="00327466">
        <w:rPr>
          <w:rFonts w:ascii="Verdana" w:hAnsi="Verdana" w:cs="Arial"/>
          <w:sz w:val="20"/>
        </w:rPr>
        <w:t xml:space="preserve">28 de abril de </w:t>
      </w:r>
      <w:r w:rsidR="009C27ED" w:rsidRPr="00327466">
        <w:rPr>
          <w:rFonts w:ascii="Verdana" w:hAnsi="Verdana" w:cs="Arial"/>
          <w:sz w:val="20"/>
        </w:rPr>
        <w:t>2009</w:t>
      </w:r>
      <w:r w:rsidR="007234EA">
        <w:rPr>
          <w:rStyle w:val="Refdenotaalpie"/>
          <w:rFonts w:ascii="Verdana" w:hAnsi="Verdana" w:cs="Arial"/>
          <w:sz w:val="20"/>
        </w:rPr>
        <w:footnoteReference w:id="7"/>
      </w:r>
      <w:r w:rsidR="0039507D" w:rsidRPr="00327466">
        <w:rPr>
          <w:rFonts w:ascii="Verdana" w:hAnsi="Verdana" w:cs="Arial"/>
          <w:sz w:val="20"/>
        </w:rPr>
        <w:t>,</w:t>
      </w:r>
      <w:r w:rsidR="009C27ED" w:rsidRPr="00327466">
        <w:rPr>
          <w:rFonts w:ascii="Verdana" w:hAnsi="Verdana" w:cs="Arial"/>
          <w:sz w:val="20"/>
        </w:rPr>
        <w:t xml:space="preserve"> </w:t>
      </w:r>
      <w:r w:rsidR="00D97285" w:rsidRPr="00327466">
        <w:rPr>
          <w:rFonts w:ascii="Verdana" w:hAnsi="Verdana" w:cs="Arial"/>
          <w:sz w:val="20"/>
        </w:rPr>
        <w:t xml:space="preserve">el 31 de marzo de </w:t>
      </w:r>
      <w:r w:rsidR="009C27ED" w:rsidRPr="00327466">
        <w:rPr>
          <w:rFonts w:ascii="Verdana" w:hAnsi="Verdana" w:cs="Arial"/>
          <w:sz w:val="20"/>
        </w:rPr>
        <w:t>2014</w:t>
      </w:r>
      <w:r w:rsidR="007234EA">
        <w:rPr>
          <w:rStyle w:val="Refdenotaalpie"/>
          <w:rFonts w:ascii="Verdana" w:hAnsi="Verdana" w:cs="Arial"/>
          <w:sz w:val="20"/>
        </w:rPr>
        <w:footnoteReference w:id="8"/>
      </w:r>
      <w:r w:rsidR="0039507D" w:rsidRPr="00327466">
        <w:rPr>
          <w:rFonts w:ascii="Verdana" w:hAnsi="Verdana" w:cs="Arial"/>
          <w:sz w:val="20"/>
        </w:rPr>
        <w:t xml:space="preserve"> y </w:t>
      </w:r>
      <w:r w:rsidR="00EB28A4">
        <w:rPr>
          <w:rFonts w:ascii="Verdana" w:hAnsi="Verdana" w:cs="Arial"/>
          <w:sz w:val="20"/>
        </w:rPr>
        <w:t xml:space="preserve">el </w:t>
      </w:r>
      <w:r w:rsidR="0039507D" w:rsidRPr="00327466">
        <w:rPr>
          <w:rFonts w:ascii="Verdana" w:hAnsi="Verdana" w:cs="Arial"/>
          <w:sz w:val="20"/>
        </w:rPr>
        <w:t>17 de abril de 2015</w:t>
      </w:r>
      <w:r w:rsidR="006B760B" w:rsidRPr="00327466">
        <w:rPr>
          <w:rStyle w:val="Refdenotaalpie"/>
          <w:rFonts w:ascii="Verdana" w:hAnsi="Verdana" w:cs="Arial"/>
          <w:sz w:val="20"/>
        </w:rPr>
        <w:footnoteReference w:id="9"/>
      </w:r>
      <w:r w:rsidR="007759E3" w:rsidRPr="00327466">
        <w:rPr>
          <w:rFonts w:ascii="Verdana" w:hAnsi="Verdana" w:cs="Arial"/>
          <w:sz w:val="20"/>
        </w:rPr>
        <w:t xml:space="preserve"> (</w:t>
      </w:r>
      <w:r w:rsidR="007759E3" w:rsidRPr="00327466">
        <w:rPr>
          <w:rFonts w:ascii="Verdana" w:hAnsi="Verdana" w:cs="Arial"/>
          <w:i/>
          <w:sz w:val="20"/>
        </w:rPr>
        <w:t>infra</w:t>
      </w:r>
      <w:r w:rsidR="007759E3" w:rsidRPr="00327466">
        <w:rPr>
          <w:rFonts w:ascii="Verdana" w:hAnsi="Verdana" w:cs="Arial"/>
          <w:sz w:val="20"/>
        </w:rPr>
        <w:t xml:space="preserve"> Considerando 1)</w:t>
      </w:r>
      <w:r w:rsidR="004C3FB1" w:rsidRPr="00327466">
        <w:rPr>
          <w:rFonts w:ascii="Verdana" w:hAnsi="Verdana" w:cs="Arial"/>
          <w:sz w:val="20"/>
        </w:rPr>
        <w:t>.</w:t>
      </w:r>
      <w:r w:rsidRPr="00327466">
        <w:rPr>
          <w:rFonts w:ascii="Verdana" w:hAnsi="Verdana" w:cs="Arial"/>
          <w:sz w:val="20"/>
        </w:rPr>
        <w:t xml:space="preserve"> </w:t>
      </w:r>
    </w:p>
    <w:p w:rsidR="0020736C" w:rsidRPr="00327466" w:rsidRDefault="0020736C" w:rsidP="00D333AB">
      <w:pPr>
        <w:pStyle w:val="Cuadrculamedia1-nfasis2"/>
        <w:rPr>
          <w:rFonts w:ascii="Verdana" w:hAnsi="Verdana" w:cs="Arial"/>
          <w:sz w:val="20"/>
        </w:rPr>
      </w:pPr>
    </w:p>
    <w:p w:rsidR="00AB1772" w:rsidRDefault="000547BC" w:rsidP="00D333AB">
      <w:pPr>
        <w:numPr>
          <w:ilvl w:val="0"/>
          <w:numId w:val="3"/>
        </w:numPr>
        <w:tabs>
          <w:tab w:val="left" w:pos="567"/>
        </w:tabs>
        <w:ind w:left="0" w:firstLine="0"/>
        <w:jc w:val="both"/>
        <w:rPr>
          <w:rFonts w:ascii="Verdana" w:hAnsi="Verdana" w:cs="Arial"/>
          <w:sz w:val="20"/>
        </w:rPr>
      </w:pPr>
      <w:r>
        <w:rPr>
          <w:rFonts w:ascii="Verdana" w:hAnsi="Verdana" w:cs="Arial"/>
          <w:sz w:val="20"/>
        </w:rPr>
        <w:t>El escrito presentado por</w:t>
      </w:r>
      <w:r w:rsidR="00B44260">
        <w:rPr>
          <w:rFonts w:ascii="Verdana" w:hAnsi="Verdana" w:cs="Arial"/>
          <w:sz w:val="20"/>
        </w:rPr>
        <w:t xml:space="preserve"> la víctima</w:t>
      </w:r>
      <w:r>
        <w:rPr>
          <w:rFonts w:ascii="Verdana" w:hAnsi="Verdana" w:cs="Arial"/>
          <w:sz w:val="20"/>
        </w:rPr>
        <w:t xml:space="preserve"> Miguel Oswaldo </w:t>
      </w:r>
      <w:proofErr w:type="spellStart"/>
      <w:r>
        <w:rPr>
          <w:rFonts w:ascii="Verdana" w:hAnsi="Verdana" w:cs="Arial"/>
          <w:sz w:val="20"/>
        </w:rPr>
        <w:t>Cuicapusa</w:t>
      </w:r>
      <w:proofErr w:type="spellEnd"/>
      <w:r>
        <w:rPr>
          <w:rFonts w:ascii="Verdana" w:hAnsi="Verdana" w:cs="Arial"/>
          <w:sz w:val="20"/>
        </w:rPr>
        <w:t xml:space="preserve"> Martel</w:t>
      </w:r>
      <w:r w:rsidR="00B44260">
        <w:rPr>
          <w:rStyle w:val="Refdenotaalpie"/>
          <w:rFonts w:ascii="Verdana" w:hAnsi="Verdana" w:cs="Arial"/>
          <w:sz w:val="20"/>
        </w:rPr>
        <w:footnoteReference w:id="10"/>
      </w:r>
      <w:r w:rsidR="00B44260">
        <w:rPr>
          <w:rFonts w:ascii="Verdana" w:hAnsi="Verdana" w:cs="Arial"/>
          <w:sz w:val="20"/>
        </w:rPr>
        <w:t xml:space="preserve"> </w:t>
      </w:r>
      <w:r>
        <w:rPr>
          <w:rFonts w:ascii="Verdana" w:hAnsi="Verdana" w:cs="Arial"/>
          <w:sz w:val="20"/>
        </w:rPr>
        <w:t xml:space="preserve">el 25 de junio de 2015. </w:t>
      </w:r>
    </w:p>
    <w:p w:rsidR="00AB1772" w:rsidRPr="009878C8" w:rsidRDefault="00AB1772" w:rsidP="00D333AB">
      <w:pPr>
        <w:tabs>
          <w:tab w:val="left" w:pos="567"/>
        </w:tabs>
        <w:jc w:val="both"/>
        <w:rPr>
          <w:rFonts w:ascii="Verdana" w:hAnsi="Verdana" w:cs="Arial"/>
          <w:sz w:val="20"/>
        </w:rPr>
      </w:pPr>
    </w:p>
    <w:p w:rsidR="0021396B" w:rsidRPr="0021396B" w:rsidRDefault="0021396B" w:rsidP="00D333AB">
      <w:pPr>
        <w:numPr>
          <w:ilvl w:val="0"/>
          <w:numId w:val="3"/>
        </w:numPr>
        <w:tabs>
          <w:tab w:val="left" w:pos="567"/>
        </w:tabs>
        <w:ind w:left="0" w:firstLine="0"/>
        <w:jc w:val="both"/>
        <w:rPr>
          <w:rFonts w:ascii="Verdana" w:hAnsi="Verdana" w:cs="Arial"/>
          <w:sz w:val="20"/>
        </w:rPr>
      </w:pPr>
      <w:r>
        <w:rPr>
          <w:rFonts w:ascii="Verdana" w:hAnsi="Verdana" w:cs="Arial"/>
          <w:sz w:val="20"/>
        </w:rPr>
        <w:t xml:space="preserve">El </w:t>
      </w:r>
      <w:r w:rsidR="001A46C2">
        <w:rPr>
          <w:rFonts w:ascii="Verdana" w:hAnsi="Verdana" w:cs="Arial"/>
          <w:sz w:val="20"/>
        </w:rPr>
        <w:t>informe</w:t>
      </w:r>
      <w:r w:rsidRPr="00327466">
        <w:rPr>
          <w:rFonts w:ascii="Verdana" w:hAnsi="Verdana" w:cs="Arial"/>
          <w:sz w:val="20"/>
        </w:rPr>
        <w:t xml:space="preserve"> presentado por el Juez </w:t>
      </w:r>
      <w:r>
        <w:rPr>
          <w:rFonts w:ascii="Verdana" w:hAnsi="Verdana" w:cs="Arial"/>
          <w:sz w:val="20"/>
        </w:rPr>
        <w:t>T</w:t>
      </w:r>
      <w:r w:rsidRPr="00327466">
        <w:rPr>
          <w:rFonts w:ascii="Verdana" w:hAnsi="Verdana" w:cs="Arial"/>
          <w:sz w:val="20"/>
        </w:rPr>
        <w:t xml:space="preserve">itular del Juzgado Especializado en Ejecución de Sentencias Supranacionales de la Corte Superior de Justicia de Lima </w:t>
      </w:r>
      <w:r w:rsidRPr="00327466">
        <w:rPr>
          <w:rFonts w:ascii="Verdana" w:hAnsi="Verdana"/>
          <w:sz w:val="20"/>
        </w:rPr>
        <w:t>(en adelante “</w:t>
      </w:r>
      <w:r w:rsidR="001A46C2">
        <w:rPr>
          <w:rFonts w:ascii="Verdana" w:hAnsi="Verdana"/>
          <w:sz w:val="20"/>
        </w:rPr>
        <w:t xml:space="preserve">el </w:t>
      </w:r>
      <w:r w:rsidRPr="00327466">
        <w:rPr>
          <w:rFonts w:ascii="Verdana" w:hAnsi="Verdana"/>
          <w:sz w:val="20"/>
        </w:rPr>
        <w:t xml:space="preserve">Juzgado </w:t>
      </w:r>
      <w:r w:rsidR="001A46C2">
        <w:rPr>
          <w:rFonts w:ascii="Verdana" w:hAnsi="Verdana"/>
          <w:sz w:val="20"/>
        </w:rPr>
        <w:t>de Ejecución de Sentencias Supranacionales</w:t>
      </w:r>
      <w:r w:rsidRPr="00327466">
        <w:rPr>
          <w:rFonts w:ascii="Verdana" w:hAnsi="Verdana"/>
          <w:sz w:val="20"/>
        </w:rPr>
        <w:t>”)</w:t>
      </w:r>
      <w:r>
        <w:rPr>
          <w:rFonts w:ascii="Verdana" w:hAnsi="Verdana"/>
          <w:sz w:val="20"/>
        </w:rPr>
        <w:t xml:space="preserve"> el 26 de junio de 2015, en respuesta al pedido de información realizado por el Tribunal en la Resolución de 17 de abril de 2015, de conformidad con el artículo 69.2 del Reglamento de la Corte</w:t>
      </w:r>
      <w:r w:rsidRPr="00327466">
        <w:rPr>
          <w:rFonts w:ascii="Verdana" w:hAnsi="Verdana"/>
          <w:sz w:val="20"/>
        </w:rPr>
        <w:t>.</w:t>
      </w:r>
      <w:r w:rsidR="000547BC">
        <w:rPr>
          <w:rFonts w:ascii="Verdana" w:hAnsi="Verdana"/>
          <w:sz w:val="20"/>
        </w:rPr>
        <w:t xml:space="preserve"> </w:t>
      </w:r>
    </w:p>
    <w:p w:rsidR="0021396B" w:rsidRDefault="0021396B" w:rsidP="00D333AB">
      <w:pPr>
        <w:pStyle w:val="Cuadrculamedia1-nfasis2"/>
        <w:rPr>
          <w:rFonts w:ascii="Verdana" w:hAnsi="Verdana" w:cs="Arial"/>
          <w:sz w:val="20"/>
        </w:rPr>
      </w:pPr>
    </w:p>
    <w:p w:rsidR="00EA3240" w:rsidRPr="00EA3240" w:rsidRDefault="0021396B" w:rsidP="00D333AB">
      <w:pPr>
        <w:numPr>
          <w:ilvl w:val="0"/>
          <w:numId w:val="3"/>
        </w:numPr>
        <w:tabs>
          <w:tab w:val="left" w:pos="567"/>
        </w:tabs>
        <w:ind w:left="0" w:firstLine="0"/>
        <w:jc w:val="both"/>
        <w:rPr>
          <w:rFonts w:ascii="Verdana" w:hAnsi="Verdana" w:cs="Arial"/>
          <w:sz w:val="20"/>
        </w:rPr>
      </w:pPr>
      <w:r>
        <w:rPr>
          <w:rFonts w:ascii="Verdana" w:hAnsi="Verdana" w:cs="Arial"/>
          <w:sz w:val="20"/>
        </w:rPr>
        <w:t xml:space="preserve">Los </w:t>
      </w:r>
      <w:r w:rsidR="00EE2443">
        <w:rPr>
          <w:rFonts w:ascii="Verdana" w:hAnsi="Verdana" w:cs="Arial"/>
          <w:sz w:val="20"/>
        </w:rPr>
        <w:t>tres</w:t>
      </w:r>
      <w:r>
        <w:rPr>
          <w:rFonts w:ascii="Verdana" w:hAnsi="Verdana" w:cs="Arial"/>
          <w:sz w:val="20"/>
        </w:rPr>
        <w:t xml:space="preserve"> </w:t>
      </w:r>
      <w:r w:rsidR="00EA3240">
        <w:rPr>
          <w:rFonts w:ascii="Verdana" w:hAnsi="Verdana" w:cs="Arial"/>
          <w:sz w:val="20"/>
        </w:rPr>
        <w:t>i</w:t>
      </w:r>
      <w:r w:rsidR="00924521" w:rsidRPr="00327466">
        <w:rPr>
          <w:rFonts w:ascii="Verdana" w:hAnsi="Verdana" w:cs="Arial"/>
          <w:sz w:val="20"/>
        </w:rPr>
        <w:t xml:space="preserve">nformes presentados por el Estado entre </w:t>
      </w:r>
      <w:r w:rsidR="00EA3240">
        <w:rPr>
          <w:rFonts w:ascii="Verdana" w:hAnsi="Verdana" w:cs="Arial"/>
          <w:sz w:val="20"/>
        </w:rPr>
        <w:t>agosto</w:t>
      </w:r>
      <w:r w:rsidR="00EA3240" w:rsidRPr="00327466">
        <w:rPr>
          <w:rFonts w:ascii="Verdana" w:hAnsi="Verdana" w:cs="Arial"/>
          <w:sz w:val="20"/>
        </w:rPr>
        <w:t xml:space="preserve"> </w:t>
      </w:r>
      <w:r w:rsidR="00924521" w:rsidRPr="00327466">
        <w:rPr>
          <w:rFonts w:ascii="Verdana" w:hAnsi="Verdana"/>
          <w:sz w:val="20"/>
        </w:rPr>
        <w:t>de 2015</w:t>
      </w:r>
      <w:r w:rsidR="009D6F12" w:rsidRPr="00327466">
        <w:rPr>
          <w:rFonts w:ascii="Verdana" w:hAnsi="Verdana"/>
          <w:sz w:val="20"/>
        </w:rPr>
        <w:t xml:space="preserve"> y </w:t>
      </w:r>
      <w:r w:rsidR="00EA3240">
        <w:rPr>
          <w:rFonts w:ascii="Verdana" w:hAnsi="Verdana"/>
          <w:sz w:val="20"/>
        </w:rPr>
        <w:t>agosto</w:t>
      </w:r>
      <w:r w:rsidR="00EA3240" w:rsidRPr="00327466">
        <w:rPr>
          <w:rFonts w:ascii="Verdana" w:hAnsi="Verdana"/>
          <w:sz w:val="20"/>
        </w:rPr>
        <w:t xml:space="preserve"> </w:t>
      </w:r>
      <w:r w:rsidR="009D6F12" w:rsidRPr="00327466">
        <w:rPr>
          <w:rFonts w:ascii="Verdana" w:hAnsi="Verdana"/>
          <w:sz w:val="20"/>
        </w:rPr>
        <w:t>de 2016</w:t>
      </w:r>
      <w:r w:rsidR="00721DD6" w:rsidRPr="00327466">
        <w:rPr>
          <w:rStyle w:val="Refdenotaalpie"/>
          <w:rFonts w:ascii="Verdana" w:hAnsi="Verdana"/>
          <w:sz w:val="20"/>
        </w:rPr>
        <w:footnoteReference w:id="11"/>
      </w:r>
      <w:r w:rsidR="00EA3240">
        <w:rPr>
          <w:rFonts w:ascii="Verdana" w:hAnsi="Verdana"/>
          <w:sz w:val="20"/>
        </w:rPr>
        <w:t>.</w:t>
      </w:r>
    </w:p>
    <w:p w:rsidR="00EA3240" w:rsidRDefault="00EA3240" w:rsidP="00D333AB">
      <w:pPr>
        <w:pStyle w:val="Cuadrculamedia1-nfasis2"/>
        <w:rPr>
          <w:rFonts w:ascii="Verdana" w:hAnsi="Verdana"/>
          <w:sz w:val="20"/>
        </w:rPr>
      </w:pPr>
    </w:p>
    <w:p w:rsidR="00984AF7" w:rsidRDefault="00984AF7" w:rsidP="00D333AB">
      <w:pPr>
        <w:numPr>
          <w:ilvl w:val="0"/>
          <w:numId w:val="3"/>
        </w:numPr>
        <w:tabs>
          <w:tab w:val="left" w:pos="567"/>
        </w:tabs>
        <w:ind w:left="0" w:firstLine="0"/>
        <w:jc w:val="both"/>
        <w:rPr>
          <w:rFonts w:ascii="Verdana" w:hAnsi="Verdana" w:cs="Arial"/>
          <w:sz w:val="20"/>
        </w:rPr>
      </w:pPr>
      <w:r>
        <w:rPr>
          <w:rFonts w:ascii="Verdana" w:hAnsi="Verdana"/>
          <w:sz w:val="20"/>
        </w:rPr>
        <w:t>Los tres</w:t>
      </w:r>
      <w:r w:rsidR="00721DD6" w:rsidRPr="00327466">
        <w:rPr>
          <w:rFonts w:ascii="Verdana" w:hAnsi="Verdana"/>
          <w:sz w:val="20"/>
        </w:rPr>
        <w:t xml:space="preserve"> escrito</w:t>
      </w:r>
      <w:r>
        <w:rPr>
          <w:rFonts w:ascii="Verdana" w:hAnsi="Verdana"/>
          <w:sz w:val="20"/>
        </w:rPr>
        <w:t>s</w:t>
      </w:r>
      <w:r w:rsidR="00721DD6" w:rsidRPr="00327466">
        <w:rPr>
          <w:rFonts w:ascii="Verdana" w:hAnsi="Verdana"/>
          <w:sz w:val="20"/>
        </w:rPr>
        <w:t xml:space="preserve"> </w:t>
      </w:r>
      <w:r w:rsidRPr="00327466">
        <w:rPr>
          <w:rFonts w:ascii="Verdana" w:hAnsi="Verdana"/>
          <w:sz w:val="20"/>
        </w:rPr>
        <w:t>presentado</w:t>
      </w:r>
      <w:r>
        <w:rPr>
          <w:rFonts w:ascii="Verdana" w:hAnsi="Verdana"/>
          <w:sz w:val="20"/>
        </w:rPr>
        <w:t>s</w:t>
      </w:r>
      <w:r w:rsidRPr="00327466">
        <w:rPr>
          <w:rFonts w:ascii="Verdana" w:hAnsi="Verdana"/>
          <w:sz w:val="20"/>
        </w:rPr>
        <w:t xml:space="preserve"> por </w:t>
      </w:r>
      <w:r w:rsidRPr="00327466">
        <w:rPr>
          <w:rFonts w:ascii="Verdana" w:hAnsi="Verdana" w:cs="Arial"/>
          <w:sz w:val="20"/>
        </w:rPr>
        <w:t>Mónica Feria Tinta, víctima e interviniente común de los representantes de las víctimas (en adelante “la interviniente común Feria Tinta”)</w:t>
      </w:r>
      <w:r>
        <w:rPr>
          <w:rFonts w:ascii="Verdana" w:hAnsi="Verdana" w:cs="Arial"/>
          <w:sz w:val="20"/>
        </w:rPr>
        <w:t>, entre agosto y octubre de 2015</w:t>
      </w:r>
      <w:r w:rsidRPr="00B54E16">
        <w:rPr>
          <w:rStyle w:val="Refdenotaalpie"/>
          <w:rFonts w:ascii="Verdana" w:hAnsi="Verdana" w:cs="Arial"/>
          <w:sz w:val="20"/>
        </w:rPr>
        <w:footnoteReference w:id="12"/>
      </w:r>
      <w:r>
        <w:rPr>
          <w:rFonts w:ascii="Verdana" w:hAnsi="Verdana" w:cs="Arial"/>
          <w:sz w:val="20"/>
        </w:rPr>
        <w:t xml:space="preserve">. </w:t>
      </w:r>
    </w:p>
    <w:p w:rsidR="00984AF7" w:rsidRDefault="00984AF7" w:rsidP="00D333AB">
      <w:pPr>
        <w:pStyle w:val="Cuadrculamedia1-nfasis2"/>
        <w:rPr>
          <w:rFonts w:ascii="Verdana" w:hAnsi="Verdana"/>
          <w:sz w:val="20"/>
        </w:rPr>
      </w:pPr>
    </w:p>
    <w:p w:rsidR="00924521" w:rsidRPr="002514D6" w:rsidRDefault="00FF1184" w:rsidP="00D333AB">
      <w:pPr>
        <w:numPr>
          <w:ilvl w:val="0"/>
          <w:numId w:val="3"/>
        </w:numPr>
        <w:tabs>
          <w:tab w:val="left" w:pos="567"/>
        </w:tabs>
        <w:ind w:left="0" w:firstLine="0"/>
        <w:jc w:val="both"/>
        <w:rPr>
          <w:rFonts w:ascii="Verdana" w:hAnsi="Verdana" w:cs="Arial"/>
          <w:sz w:val="20"/>
        </w:rPr>
      </w:pPr>
      <w:r>
        <w:rPr>
          <w:rFonts w:ascii="Verdana" w:hAnsi="Verdana"/>
          <w:sz w:val="20"/>
        </w:rPr>
        <w:t>Los</w:t>
      </w:r>
      <w:r w:rsidR="00984AF7">
        <w:rPr>
          <w:rFonts w:ascii="Verdana" w:hAnsi="Verdana"/>
          <w:sz w:val="20"/>
        </w:rPr>
        <w:t xml:space="preserve"> </w:t>
      </w:r>
      <w:r>
        <w:rPr>
          <w:rFonts w:ascii="Verdana" w:hAnsi="Verdana"/>
          <w:sz w:val="20"/>
        </w:rPr>
        <w:t xml:space="preserve">dos </w:t>
      </w:r>
      <w:r w:rsidR="00984AF7">
        <w:rPr>
          <w:rFonts w:ascii="Verdana" w:hAnsi="Verdana"/>
          <w:sz w:val="20"/>
        </w:rPr>
        <w:t>escrito</w:t>
      </w:r>
      <w:r w:rsidR="00614C7C">
        <w:rPr>
          <w:rFonts w:ascii="Verdana" w:hAnsi="Verdana"/>
          <w:sz w:val="20"/>
        </w:rPr>
        <w:t>s</w:t>
      </w:r>
      <w:r w:rsidR="00984AF7">
        <w:rPr>
          <w:rFonts w:ascii="Verdana" w:hAnsi="Verdana"/>
          <w:sz w:val="20"/>
        </w:rPr>
        <w:t xml:space="preserve"> </w:t>
      </w:r>
      <w:r w:rsidR="00721DD6" w:rsidRPr="00327466">
        <w:rPr>
          <w:rFonts w:ascii="Verdana" w:hAnsi="Verdana"/>
          <w:sz w:val="20"/>
        </w:rPr>
        <w:t xml:space="preserve">de observaciones </w:t>
      </w:r>
      <w:r w:rsidR="00984AF7">
        <w:rPr>
          <w:rFonts w:ascii="Verdana" w:hAnsi="Verdana"/>
          <w:sz w:val="20"/>
        </w:rPr>
        <w:t>presentado</w:t>
      </w:r>
      <w:r w:rsidR="00614C7C">
        <w:rPr>
          <w:rFonts w:ascii="Verdana" w:hAnsi="Verdana"/>
          <w:sz w:val="20"/>
        </w:rPr>
        <w:t>s</w:t>
      </w:r>
      <w:r w:rsidR="00984AF7">
        <w:rPr>
          <w:rFonts w:ascii="Verdana" w:hAnsi="Verdana"/>
          <w:sz w:val="20"/>
        </w:rPr>
        <w:t xml:space="preserve"> por </w:t>
      </w:r>
      <w:r w:rsidR="00721DD6" w:rsidRPr="00327466">
        <w:rPr>
          <w:rFonts w:ascii="Verdana" w:hAnsi="Verdana"/>
          <w:sz w:val="20"/>
        </w:rPr>
        <w:t xml:space="preserve">la </w:t>
      </w:r>
      <w:r w:rsidR="00721DD6" w:rsidRPr="00327466">
        <w:rPr>
          <w:rFonts w:ascii="Verdana" w:hAnsi="Verdana"/>
          <w:sz w:val="20"/>
          <w:lang w:val="es-MX"/>
        </w:rPr>
        <w:t>Comisión Interamericana de Derechos Humanos (en adelante la “Comisión Interamericana” o la “Comisión”)</w:t>
      </w:r>
      <w:r w:rsidR="00984AF7">
        <w:rPr>
          <w:rFonts w:ascii="Verdana" w:hAnsi="Verdana"/>
          <w:sz w:val="20"/>
          <w:lang w:val="es-MX"/>
        </w:rPr>
        <w:t xml:space="preserve"> el 22 de septiembre de 2015</w:t>
      </w:r>
      <w:r>
        <w:rPr>
          <w:rFonts w:ascii="Verdana" w:hAnsi="Verdana"/>
          <w:sz w:val="20"/>
          <w:lang w:val="es-MX"/>
        </w:rPr>
        <w:t xml:space="preserve"> y el 3 de octubre de 2016</w:t>
      </w:r>
      <w:r w:rsidR="000547BC">
        <w:rPr>
          <w:rFonts w:ascii="Verdana" w:hAnsi="Verdana"/>
          <w:sz w:val="20"/>
          <w:lang w:val="es-MX"/>
        </w:rPr>
        <w:t xml:space="preserve">. </w:t>
      </w:r>
    </w:p>
    <w:p w:rsidR="002514D6" w:rsidRDefault="002514D6" w:rsidP="00D333AB">
      <w:pPr>
        <w:pStyle w:val="Cuadrculamedia1-nfasis2"/>
        <w:rPr>
          <w:rFonts w:ascii="Verdana" w:hAnsi="Verdana" w:cs="Arial"/>
          <w:sz w:val="20"/>
        </w:rPr>
      </w:pPr>
    </w:p>
    <w:p w:rsidR="002514D6" w:rsidRPr="00327466" w:rsidRDefault="002514D6" w:rsidP="00D333AB">
      <w:pPr>
        <w:numPr>
          <w:ilvl w:val="0"/>
          <w:numId w:val="3"/>
        </w:numPr>
        <w:tabs>
          <w:tab w:val="left" w:pos="567"/>
        </w:tabs>
        <w:ind w:left="0" w:firstLine="0"/>
        <w:jc w:val="both"/>
        <w:rPr>
          <w:rFonts w:ascii="Verdana" w:hAnsi="Verdana" w:cs="Arial"/>
          <w:sz w:val="20"/>
        </w:rPr>
      </w:pPr>
      <w:r>
        <w:rPr>
          <w:rFonts w:ascii="Verdana" w:hAnsi="Verdana" w:cs="Arial"/>
          <w:sz w:val="20"/>
        </w:rPr>
        <w:t xml:space="preserve">Los dos escritos presentados por </w:t>
      </w:r>
      <w:r w:rsidR="005371BE">
        <w:rPr>
          <w:rFonts w:ascii="Verdana" w:hAnsi="Verdana" w:cs="Arial"/>
          <w:sz w:val="20"/>
        </w:rPr>
        <w:t xml:space="preserve">la víctima </w:t>
      </w:r>
      <w:r>
        <w:rPr>
          <w:rFonts w:ascii="Verdana" w:hAnsi="Verdana" w:cs="Arial"/>
          <w:sz w:val="20"/>
        </w:rPr>
        <w:t xml:space="preserve">Joaquín Rodríguez León </w:t>
      </w:r>
      <w:r w:rsidR="00614C7C">
        <w:rPr>
          <w:rFonts w:ascii="Verdana" w:hAnsi="Verdana" w:cs="Arial"/>
          <w:sz w:val="20"/>
        </w:rPr>
        <w:t>los días</w:t>
      </w:r>
      <w:r>
        <w:rPr>
          <w:rFonts w:ascii="Verdana" w:hAnsi="Verdana" w:cs="Arial"/>
          <w:sz w:val="20"/>
        </w:rPr>
        <w:t xml:space="preserve"> 19 de mayo y 22 de agosto de 2016.</w:t>
      </w:r>
      <w:r w:rsidR="00855DC2">
        <w:rPr>
          <w:rFonts w:ascii="Verdana" w:hAnsi="Verdana" w:cs="Arial"/>
          <w:sz w:val="20"/>
        </w:rPr>
        <w:t xml:space="preserve"> </w:t>
      </w:r>
    </w:p>
    <w:p w:rsidR="0021396B" w:rsidRDefault="0021396B" w:rsidP="00D333AB">
      <w:pPr>
        <w:tabs>
          <w:tab w:val="left" w:pos="567"/>
        </w:tabs>
        <w:jc w:val="both"/>
        <w:rPr>
          <w:rFonts w:ascii="Verdana" w:hAnsi="Verdana" w:cs="Arial"/>
          <w:sz w:val="20"/>
        </w:rPr>
      </w:pPr>
    </w:p>
    <w:p w:rsidR="006F5E9B" w:rsidRDefault="006F5E9B" w:rsidP="00D333AB">
      <w:pPr>
        <w:tabs>
          <w:tab w:val="left" w:pos="567"/>
        </w:tabs>
        <w:jc w:val="both"/>
        <w:rPr>
          <w:rFonts w:ascii="Verdana" w:hAnsi="Verdana" w:cs="Arial"/>
          <w:sz w:val="20"/>
        </w:rPr>
      </w:pPr>
    </w:p>
    <w:p w:rsidR="006F5E9B" w:rsidRDefault="006F5E9B" w:rsidP="00D333AB">
      <w:pPr>
        <w:tabs>
          <w:tab w:val="left" w:pos="567"/>
        </w:tabs>
        <w:jc w:val="both"/>
        <w:rPr>
          <w:rFonts w:ascii="Verdana" w:hAnsi="Verdana" w:cs="Arial"/>
          <w:sz w:val="20"/>
        </w:rPr>
      </w:pPr>
    </w:p>
    <w:p w:rsidR="006F5E9B" w:rsidRDefault="006F5E9B" w:rsidP="00D333AB">
      <w:pPr>
        <w:tabs>
          <w:tab w:val="left" w:pos="567"/>
        </w:tabs>
        <w:jc w:val="both"/>
        <w:rPr>
          <w:rFonts w:ascii="Verdana" w:hAnsi="Verdana" w:cs="Arial"/>
          <w:sz w:val="20"/>
        </w:rPr>
      </w:pPr>
    </w:p>
    <w:p w:rsidR="0035636A" w:rsidRDefault="0035636A" w:rsidP="00D333AB">
      <w:pPr>
        <w:tabs>
          <w:tab w:val="left" w:pos="567"/>
        </w:tabs>
        <w:jc w:val="both"/>
        <w:rPr>
          <w:rFonts w:ascii="Verdana" w:hAnsi="Verdana" w:cs="Arial"/>
          <w:sz w:val="20"/>
        </w:rPr>
      </w:pPr>
    </w:p>
    <w:p w:rsidR="006F5E9B" w:rsidRDefault="006F5E9B" w:rsidP="00D333AB">
      <w:pPr>
        <w:tabs>
          <w:tab w:val="left" w:pos="567"/>
        </w:tabs>
        <w:rPr>
          <w:rFonts w:ascii="Verdana" w:hAnsi="Verdana"/>
          <w:b/>
          <w:sz w:val="20"/>
        </w:rPr>
      </w:pPr>
    </w:p>
    <w:p w:rsidR="001A657D" w:rsidRPr="00327466" w:rsidRDefault="001A657D" w:rsidP="00D333AB">
      <w:pPr>
        <w:tabs>
          <w:tab w:val="left" w:pos="567"/>
        </w:tabs>
        <w:rPr>
          <w:rFonts w:ascii="Verdana" w:hAnsi="Verdana"/>
          <w:b/>
          <w:sz w:val="20"/>
        </w:rPr>
      </w:pPr>
      <w:r w:rsidRPr="00327466">
        <w:rPr>
          <w:rFonts w:ascii="Verdana" w:hAnsi="Verdana"/>
          <w:b/>
          <w:sz w:val="20"/>
        </w:rPr>
        <w:t>CONSIDERANDO QUE:</w:t>
      </w:r>
    </w:p>
    <w:p w:rsidR="001A657D" w:rsidRDefault="001A657D" w:rsidP="00D333AB">
      <w:pPr>
        <w:tabs>
          <w:tab w:val="left" w:pos="567"/>
        </w:tabs>
        <w:rPr>
          <w:rFonts w:ascii="Verdana" w:hAnsi="Verdana"/>
          <w:b/>
          <w:sz w:val="20"/>
        </w:rPr>
      </w:pPr>
    </w:p>
    <w:p w:rsidR="006F5E9B" w:rsidRPr="00327466" w:rsidRDefault="006F5E9B" w:rsidP="00D333AB">
      <w:pPr>
        <w:tabs>
          <w:tab w:val="left" w:pos="567"/>
        </w:tabs>
        <w:rPr>
          <w:rFonts w:ascii="Verdana" w:hAnsi="Verdana"/>
          <w:b/>
          <w:sz w:val="20"/>
        </w:rPr>
      </w:pPr>
    </w:p>
    <w:p w:rsidR="00DB10B9" w:rsidRPr="00327466" w:rsidRDefault="00BB7A28" w:rsidP="00D333AB">
      <w:pPr>
        <w:numPr>
          <w:ilvl w:val="0"/>
          <w:numId w:val="1"/>
        </w:numPr>
        <w:tabs>
          <w:tab w:val="left" w:pos="567"/>
        </w:tabs>
        <w:ind w:left="0" w:firstLine="0"/>
        <w:contextualSpacing/>
        <w:jc w:val="both"/>
        <w:rPr>
          <w:rFonts w:ascii="Verdana" w:hAnsi="Verdana"/>
          <w:sz w:val="20"/>
        </w:rPr>
      </w:pPr>
      <w:r w:rsidRPr="00327466">
        <w:rPr>
          <w:rFonts w:ascii="Verdana" w:hAnsi="Verdana"/>
          <w:sz w:val="20"/>
        </w:rPr>
        <w:t>En el ejercicio de su función jurisdiccional de supervisar el cumplimiento de sus decisiones</w:t>
      </w:r>
      <w:r w:rsidRPr="00327466">
        <w:rPr>
          <w:rStyle w:val="Refdenotaalpie"/>
          <w:rFonts w:ascii="Verdana" w:hAnsi="Verdana"/>
          <w:sz w:val="20"/>
        </w:rPr>
        <w:footnoteReference w:id="13"/>
      </w:r>
      <w:r w:rsidRPr="00327466">
        <w:rPr>
          <w:rFonts w:ascii="Verdana" w:hAnsi="Verdana"/>
          <w:sz w:val="20"/>
        </w:rPr>
        <w:t xml:space="preserve">, la Corte ha venido supervisando la ejecución de la Sentencia emitida en el </w:t>
      </w:r>
      <w:r w:rsidRPr="00327466">
        <w:rPr>
          <w:rFonts w:ascii="Verdana" w:hAnsi="Verdana"/>
          <w:sz w:val="20"/>
        </w:rPr>
        <w:lastRenderedPageBreak/>
        <w:t xml:space="preserve">presente </w:t>
      </w:r>
      <w:r w:rsidRPr="00F26FB9">
        <w:rPr>
          <w:rFonts w:ascii="Verdana" w:hAnsi="Verdana"/>
          <w:sz w:val="20"/>
        </w:rPr>
        <w:t xml:space="preserve">caso </w:t>
      </w:r>
      <w:r w:rsidR="00260809" w:rsidRPr="00F26FB9">
        <w:rPr>
          <w:rFonts w:ascii="Verdana" w:hAnsi="Verdana"/>
          <w:sz w:val="20"/>
        </w:rPr>
        <w:t xml:space="preserve">hace </w:t>
      </w:r>
      <w:r w:rsidR="00F26FB9" w:rsidRPr="00F26FB9">
        <w:rPr>
          <w:rFonts w:ascii="Verdana" w:hAnsi="Verdana"/>
          <w:sz w:val="20"/>
        </w:rPr>
        <w:t xml:space="preserve">más de </w:t>
      </w:r>
      <w:r w:rsidR="00260809" w:rsidRPr="00F26FB9">
        <w:rPr>
          <w:rFonts w:ascii="Verdana" w:hAnsi="Verdana"/>
          <w:sz w:val="20"/>
        </w:rPr>
        <w:t xml:space="preserve">diez años </w:t>
      </w:r>
      <w:r w:rsidRPr="00F26FB9">
        <w:rPr>
          <w:rFonts w:ascii="Verdana" w:hAnsi="Verdana"/>
          <w:sz w:val="20"/>
        </w:rPr>
        <w:t>(</w:t>
      </w:r>
      <w:r w:rsidRPr="00327466">
        <w:rPr>
          <w:rFonts w:ascii="Verdana" w:hAnsi="Verdana"/>
          <w:i/>
          <w:sz w:val="20"/>
        </w:rPr>
        <w:t>supra</w:t>
      </w:r>
      <w:r w:rsidRPr="00327466">
        <w:rPr>
          <w:rFonts w:ascii="Verdana" w:hAnsi="Verdana"/>
          <w:sz w:val="20"/>
        </w:rPr>
        <w:t xml:space="preserve"> Visto</w:t>
      </w:r>
      <w:r w:rsidR="004926DE" w:rsidRPr="00327466">
        <w:rPr>
          <w:rFonts w:ascii="Verdana" w:hAnsi="Verdana"/>
          <w:sz w:val="20"/>
        </w:rPr>
        <w:t xml:space="preserve"> 1</w:t>
      </w:r>
      <w:r w:rsidRPr="00327466">
        <w:rPr>
          <w:rFonts w:ascii="Verdana" w:hAnsi="Verdana"/>
          <w:sz w:val="20"/>
        </w:rPr>
        <w:t>)</w:t>
      </w:r>
      <w:r w:rsidR="00614C7C">
        <w:rPr>
          <w:rFonts w:ascii="Verdana" w:hAnsi="Verdana"/>
          <w:sz w:val="20"/>
        </w:rPr>
        <w:t>.</w:t>
      </w:r>
      <w:r w:rsidR="00C4559D" w:rsidRPr="00327466">
        <w:rPr>
          <w:rFonts w:ascii="Verdana" w:hAnsi="Verdana"/>
          <w:sz w:val="20"/>
        </w:rPr>
        <w:t xml:space="preserve"> </w:t>
      </w:r>
      <w:r w:rsidR="00614C7C">
        <w:rPr>
          <w:rFonts w:ascii="Verdana" w:hAnsi="Verdana"/>
          <w:sz w:val="20"/>
        </w:rPr>
        <w:t>H</w:t>
      </w:r>
      <w:r w:rsidRPr="00327466">
        <w:rPr>
          <w:rFonts w:ascii="Verdana" w:hAnsi="Verdana"/>
          <w:sz w:val="20"/>
        </w:rPr>
        <w:t xml:space="preserve">a </w:t>
      </w:r>
      <w:r w:rsidRPr="00327466">
        <w:rPr>
          <w:rFonts w:ascii="Verdana" w:hAnsi="Verdana" w:cs="Arial"/>
          <w:sz w:val="20"/>
        </w:rPr>
        <w:t xml:space="preserve">emitido </w:t>
      </w:r>
      <w:r w:rsidR="00F177DF" w:rsidRPr="00327466">
        <w:rPr>
          <w:rFonts w:ascii="Verdana" w:hAnsi="Verdana" w:cs="Arial"/>
          <w:sz w:val="20"/>
        </w:rPr>
        <w:t>tres</w:t>
      </w:r>
      <w:r w:rsidRPr="00327466">
        <w:rPr>
          <w:rFonts w:ascii="Verdana" w:hAnsi="Verdana"/>
          <w:sz w:val="20"/>
        </w:rPr>
        <w:t xml:space="preserve"> resoluciones de supervisión en los años 2009</w:t>
      </w:r>
      <w:r w:rsidR="00F177DF" w:rsidRPr="00327466">
        <w:rPr>
          <w:rFonts w:ascii="Verdana" w:hAnsi="Verdana"/>
          <w:sz w:val="20"/>
        </w:rPr>
        <w:t>,</w:t>
      </w:r>
      <w:r w:rsidRPr="00327466">
        <w:rPr>
          <w:rFonts w:ascii="Verdana" w:hAnsi="Verdana"/>
          <w:sz w:val="20"/>
        </w:rPr>
        <w:t xml:space="preserve"> 2014 </w:t>
      </w:r>
      <w:r w:rsidR="00F177DF" w:rsidRPr="00327466">
        <w:rPr>
          <w:rFonts w:ascii="Verdana" w:hAnsi="Verdana"/>
          <w:sz w:val="20"/>
        </w:rPr>
        <w:t xml:space="preserve">y 2015 </w:t>
      </w:r>
      <w:r w:rsidRPr="00327466">
        <w:rPr>
          <w:rFonts w:ascii="Verdana" w:hAnsi="Verdana"/>
          <w:sz w:val="20"/>
        </w:rPr>
        <w:t>(</w:t>
      </w:r>
      <w:r w:rsidRPr="00327466">
        <w:rPr>
          <w:rFonts w:ascii="Verdana" w:hAnsi="Verdana"/>
          <w:i/>
          <w:sz w:val="20"/>
        </w:rPr>
        <w:t xml:space="preserve">supra </w:t>
      </w:r>
      <w:r w:rsidRPr="00327466">
        <w:rPr>
          <w:rFonts w:ascii="Verdana" w:hAnsi="Verdana"/>
          <w:sz w:val="20"/>
        </w:rPr>
        <w:t>Visto 3</w:t>
      </w:r>
      <w:r w:rsidR="00DB10B9" w:rsidRPr="00327466">
        <w:rPr>
          <w:rFonts w:ascii="Verdana" w:hAnsi="Verdana"/>
          <w:sz w:val="20"/>
        </w:rPr>
        <w:t>)</w:t>
      </w:r>
      <w:r w:rsidR="00441124">
        <w:rPr>
          <w:rFonts w:ascii="Verdana" w:hAnsi="Verdana"/>
          <w:sz w:val="20"/>
        </w:rPr>
        <w:t xml:space="preserve">, mediante las cuales declaró que el Estado no </w:t>
      </w:r>
      <w:r w:rsidR="00614C7C">
        <w:rPr>
          <w:rFonts w:ascii="Verdana" w:hAnsi="Verdana"/>
          <w:sz w:val="20"/>
        </w:rPr>
        <w:t>había</w:t>
      </w:r>
      <w:r w:rsidR="00441124">
        <w:rPr>
          <w:rFonts w:ascii="Verdana" w:hAnsi="Verdana"/>
          <w:sz w:val="20"/>
        </w:rPr>
        <w:t xml:space="preserve"> dado cumplimiento a ninguna de las medidas de reparación ordenadas en la Sentencia</w:t>
      </w:r>
      <w:r w:rsidR="00BD00BE">
        <w:rPr>
          <w:rFonts w:ascii="Verdana" w:hAnsi="Verdana"/>
          <w:sz w:val="20"/>
        </w:rPr>
        <w:t xml:space="preserve"> (</w:t>
      </w:r>
      <w:r w:rsidR="00BD00BE">
        <w:rPr>
          <w:rFonts w:ascii="Verdana" w:hAnsi="Verdana"/>
          <w:i/>
          <w:sz w:val="20"/>
        </w:rPr>
        <w:t xml:space="preserve">infra </w:t>
      </w:r>
      <w:r w:rsidR="00BD00BE">
        <w:rPr>
          <w:rFonts w:ascii="Verdana" w:hAnsi="Verdana"/>
          <w:sz w:val="20"/>
        </w:rPr>
        <w:t>Considerando</w:t>
      </w:r>
      <w:r w:rsidR="00F26FB9">
        <w:rPr>
          <w:rFonts w:ascii="Verdana" w:hAnsi="Verdana"/>
          <w:sz w:val="20"/>
        </w:rPr>
        <w:t>s 3 y</w:t>
      </w:r>
      <w:r w:rsidR="00BD00BE">
        <w:rPr>
          <w:rFonts w:ascii="Verdana" w:hAnsi="Verdana"/>
          <w:sz w:val="20"/>
        </w:rPr>
        <w:t xml:space="preserve"> </w:t>
      </w:r>
      <w:r w:rsidR="00D41484">
        <w:rPr>
          <w:rFonts w:ascii="Verdana" w:hAnsi="Verdana"/>
          <w:sz w:val="20"/>
        </w:rPr>
        <w:t>30</w:t>
      </w:r>
      <w:r w:rsidR="00BD00BE">
        <w:rPr>
          <w:rFonts w:ascii="Verdana" w:hAnsi="Verdana"/>
          <w:sz w:val="20"/>
        </w:rPr>
        <w:t>)</w:t>
      </w:r>
      <w:r w:rsidR="00614C7C">
        <w:rPr>
          <w:rFonts w:ascii="Verdana" w:hAnsi="Verdana"/>
          <w:sz w:val="20"/>
        </w:rPr>
        <w:t>,</w:t>
      </w:r>
      <w:r w:rsidR="007E5C14">
        <w:rPr>
          <w:rFonts w:ascii="Verdana" w:hAnsi="Verdana"/>
          <w:sz w:val="20"/>
        </w:rPr>
        <w:t xml:space="preserve"> lo cual </w:t>
      </w:r>
      <w:r w:rsidR="00614C7C">
        <w:rPr>
          <w:rFonts w:ascii="Verdana" w:hAnsi="Verdana"/>
          <w:sz w:val="20"/>
        </w:rPr>
        <w:t>constituía</w:t>
      </w:r>
      <w:r w:rsidR="007E5C14">
        <w:rPr>
          <w:rFonts w:ascii="Verdana" w:hAnsi="Verdana"/>
          <w:sz w:val="20"/>
        </w:rPr>
        <w:t xml:space="preserve"> “un grave incumplimiento de las obligaciones convencionales”</w:t>
      </w:r>
      <w:r w:rsidR="007E5C14">
        <w:rPr>
          <w:rStyle w:val="Refdenotaalpie"/>
          <w:rFonts w:ascii="Verdana" w:hAnsi="Verdana"/>
          <w:sz w:val="20"/>
        </w:rPr>
        <w:footnoteReference w:id="14"/>
      </w:r>
      <w:r w:rsidR="00441124">
        <w:rPr>
          <w:rFonts w:ascii="Verdana" w:hAnsi="Verdana"/>
          <w:sz w:val="20"/>
        </w:rPr>
        <w:t>.</w:t>
      </w:r>
    </w:p>
    <w:p w:rsidR="00CB3B6E" w:rsidRPr="00327466" w:rsidRDefault="00CB3B6E" w:rsidP="00D333AB">
      <w:pPr>
        <w:tabs>
          <w:tab w:val="left" w:pos="567"/>
        </w:tabs>
        <w:contextualSpacing/>
        <w:jc w:val="both"/>
        <w:rPr>
          <w:rFonts w:ascii="Verdana" w:hAnsi="Verdana"/>
          <w:sz w:val="20"/>
        </w:rPr>
      </w:pPr>
    </w:p>
    <w:p w:rsidR="00D15D70" w:rsidRPr="00D15D70" w:rsidRDefault="005643A7" w:rsidP="00D333AB">
      <w:pPr>
        <w:numPr>
          <w:ilvl w:val="0"/>
          <w:numId w:val="1"/>
        </w:numPr>
        <w:tabs>
          <w:tab w:val="left" w:pos="567"/>
        </w:tabs>
        <w:ind w:left="0" w:firstLine="0"/>
        <w:contextualSpacing/>
        <w:jc w:val="both"/>
        <w:rPr>
          <w:rFonts w:ascii="Verdana" w:hAnsi="Verdana"/>
          <w:sz w:val="20"/>
          <w:lang w:val="es-MX"/>
        </w:rPr>
      </w:pPr>
      <w:r w:rsidRPr="006815D0">
        <w:rPr>
          <w:rFonts w:ascii="Verdana" w:hAnsi="Verdana"/>
          <w:sz w:val="20"/>
        </w:rPr>
        <w:t>D</w:t>
      </w:r>
      <w:r w:rsidR="00D15D70" w:rsidRPr="00D15D70">
        <w:rPr>
          <w:rFonts w:ascii="Verdana" w:hAnsi="Verdana"/>
          <w:sz w:val="20"/>
        </w:rPr>
        <w:t xml:space="preserve">e conformidad con </w:t>
      </w:r>
      <w:r w:rsidR="00D15D70" w:rsidRPr="00D15D70">
        <w:rPr>
          <w:rFonts w:ascii="Verdana" w:hAnsi="Verdana"/>
          <w:sz w:val="20"/>
          <w:lang w:val="es-ES"/>
        </w:rPr>
        <w:t>lo establecido en el artículo</w:t>
      </w:r>
      <w:r w:rsidR="00D15D70" w:rsidRPr="00D15D70">
        <w:rPr>
          <w:rFonts w:ascii="Verdana" w:hAnsi="Verdana"/>
          <w:sz w:val="20"/>
        </w:rPr>
        <w:t xml:space="preserve"> </w:t>
      </w:r>
      <w:r w:rsidR="00D15D70" w:rsidRPr="00D15D70">
        <w:rPr>
          <w:rFonts w:ascii="Verdana" w:hAnsi="Verdana"/>
          <w:color w:val="000000"/>
          <w:sz w:val="20"/>
          <w:lang w:val="es-CO"/>
        </w:rPr>
        <w:t xml:space="preserve">68.1 de la Convención Americana, “[l]os Estados Partes en la Convención se comprometen a cumplir la decisión de la </w:t>
      </w:r>
      <w:r w:rsidR="00D15D70" w:rsidRPr="00D15D70">
        <w:rPr>
          <w:rFonts w:ascii="Verdana" w:hAnsi="Verdana"/>
          <w:color w:val="000000"/>
          <w:sz w:val="20"/>
          <w:lang w:val="es-MX"/>
        </w:rPr>
        <w:t>Corte en todo caso en que sean parte</w:t>
      </w:r>
      <w:r w:rsidR="00D15D70" w:rsidRPr="00D15D70">
        <w:rPr>
          <w:rFonts w:ascii="Verdana" w:hAnsi="Verdana"/>
          <w:i/>
          <w:color w:val="000000"/>
          <w:sz w:val="20"/>
          <w:lang w:val="es-MX"/>
        </w:rPr>
        <w:t>s”</w:t>
      </w:r>
      <w:r w:rsidR="00D15D70" w:rsidRPr="00D15D70">
        <w:rPr>
          <w:rFonts w:ascii="Verdana" w:hAnsi="Verdana" w:cs="Verdana"/>
          <w:i/>
          <w:sz w:val="20"/>
          <w:lang w:val="es-MX"/>
        </w:rPr>
        <w:t>.</w:t>
      </w:r>
      <w:r w:rsidR="00D15D70" w:rsidRPr="00D15D70">
        <w:rPr>
          <w:rFonts w:ascii="Verdana" w:hAnsi="Verdana" w:cs="Verdana"/>
          <w:sz w:val="20"/>
          <w:lang w:val="es-MX"/>
        </w:rPr>
        <w:t xml:space="preserve"> </w:t>
      </w:r>
      <w:r w:rsidR="00D15D70" w:rsidRPr="00D15D70">
        <w:rPr>
          <w:rFonts w:ascii="Verdana" w:hAnsi="Verdana"/>
          <w:sz w:val="20"/>
          <w:lang w:val="es-MX"/>
        </w:rPr>
        <w:t>Esta obligación incluye el deber del Estado de informar a la Corte sobre las medidas adoptadas</w:t>
      </w:r>
      <w:r w:rsidR="00D15D70" w:rsidRPr="00D15D70">
        <w:rPr>
          <w:rFonts w:ascii="Verdana" w:hAnsi="Verdana"/>
          <w:sz w:val="20"/>
        </w:rPr>
        <w:t xml:space="preserve"> para cumplir cada uno de los puntos ordenados por ésta, lo cual es funda</w:t>
      </w:r>
      <w:r w:rsidR="00D15D70" w:rsidRPr="00D15D70">
        <w:rPr>
          <w:rFonts w:ascii="Verdana" w:hAnsi="Verdana"/>
          <w:sz w:val="20"/>
          <w:lang w:val="es-MX"/>
        </w:rPr>
        <w:t>mental para evaluar</w:t>
      </w:r>
      <w:r w:rsidR="00D15D70" w:rsidRPr="00D15D70">
        <w:rPr>
          <w:rFonts w:ascii="Verdana" w:hAnsi="Verdana"/>
          <w:sz w:val="20"/>
        </w:rPr>
        <w:t xml:space="preserve"> el estado de cumplimiento de la Sentencia en su conjunto</w:t>
      </w:r>
      <w:r w:rsidR="00881C49">
        <w:rPr>
          <w:rStyle w:val="Refdenotaalpie"/>
          <w:rFonts w:ascii="Verdana" w:hAnsi="Verdana"/>
          <w:sz w:val="20"/>
        </w:rPr>
        <w:footnoteReference w:id="15"/>
      </w:r>
      <w:r w:rsidR="00D15D70" w:rsidRPr="00D15D70">
        <w:rPr>
          <w:rFonts w:ascii="Verdana" w:hAnsi="Verdana"/>
          <w:sz w:val="20"/>
        </w:rPr>
        <w:t>.</w:t>
      </w:r>
      <w:r w:rsidR="00D15D70" w:rsidRPr="00D15D70">
        <w:rPr>
          <w:rFonts w:ascii="Verdana" w:hAnsi="Verdana" w:cs="Verdana"/>
          <w:sz w:val="20"/>
          <w:lang w:val="es-ES"/>
        </w:rPr>
        <w:t xml:space="preserve"> Los Estados Parte en la Convención deben garantizar el cumplimiento de las disposiciones convencionales y sus efectos propios (</w:t>
      </w:r>
      <w:r w:rsidR="00D15D70" w:rsidRPr="00D15D70">
        <w:rPr>
          <w:rFonts w:ascii="Verdana" w:hAnsi="Verdana" w:cs="Verdana-Italic"/>
          <w:i/>
          <w:iCs/>
          <w:sz w:val="20"/>
          <w:lang w:val="es-ES"/>
        </w:rPr>
        <w:t>effet utile</w:t>
      </w:r>
      <w:r w:rsidR="00D15D70" w:rsidRPr="00D15D70">
        <w:rPr>
          <w:rFonts w:ascii="Verdana" w:hAnsi="Verdana" w:cs="Verdana"/>
          <w:sz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D15D70">
        <w:rPr>
          <w:rStyle w:val="Refdenotaalpie"/>
          <w:rFonts w:ascii="Verdana" w:hAnsi="Verdana" w:cs="Verdana"/>
          <w:sz w:val="20"/>
        </w:rPr>
        <w:footnoteReference w:id="16"/>
      </w:r>
      <w:r w:rsidR="009B1304">
        <w:rPr>
          <w:rFonts w:ascii="Verdana" w:hAnsi="Verdana" w:cs="Verdana"/>
          <w:sz w:val="20"/>
          <w:lang w:val="es-ES"/>
        </w:rPr>
        <w:t>.</w:t>
      </w:r>
      <w:r w:rsidR="00D15D70" w:rsidRPr="00D15D70">
        <w:rPr>
          <w:rFonts w:ascii="Times New Roman" w:eastAsia="Calibri" w:hAnsi="Times New Roman"/>
          <w:szCs w:val="24"/>
        </w:rPr>
        <w:t xml:space="preserve"> </w:t>
      </w:r>
    </w:p>
    <w:p w:rsidR="005643A7" w:rsidRDefault="005643A7" w:rsidP="00D333AB">
      <w:pPr>
        <w:pStyle w:val="Cuadrculamedia1-nfasis2"/>
        <w:ind w:left="0"/>
        <w:rPr>
          <w:rFonts w:ascii="Verdana" w:hAnsi="Verdana"/>
          <w:sz w:val="20"/>
        </w:rPr>
      </w:pPr>
    </w:p>
    <w:p w:rsidR="00697BA6" w:rsidRPr="00CB0199" w:rsidRDefault="003C3359" w:rsidP="00D333AB">
      <w:pPr>
        <w:numPr>
          <w:ilvl w:val="0"/>
          <w:numId w:val="1"/>
        </w:numPr>
        <w:tabs>
          <w:tab w:val="left" w:pos="567"/>
        </w:tabs>
        <w:ind w:left="0" w:firstLine="0"/>
        <w:contextualSpacing/>
        <w:jc w:val="both"/>
        <w:rPr>
          <w:rFonts w:ascii="Verdana" w:hAnsi="Verdana" w:cs="Verdana"/>
          <w:sz w:val="20"/>
          <w:lang w:val="es-ES"/>
        </w:rPr>
      </w:pPr>
      <w:r w:rsidRPr="00CB0199">
        <w:rPr>
          <w:rFonts w:ascii="Verdana" w:hAnsi="Verdana" w:cs="Verdana"/>
          <w:sz w:val="20"/>
          <w:lang w:val="es-ES"/>
        </w:rPr>
        <w:t xml:space="preserve">Esta Resolución tiene </w:t>
      </w:r>
      <w:r w:rsidR="00F729F5">
        <w:rPr>
          <w:rFonts w:ascii="Verdana" w:hAnsi="Verdana" w:cs="Verdana"/>
          <w:sz w:val="20"/>
          <w:lang w:val="es-ES"/>
        </w:rPr>
        <w:t>por</w:t>
      </w:r>
      <w:r w:rsidRPr="00CB0199">
        <w:rPr>
          <w:rFonts w:ascii="Verdana" w:hAnsi="Verdana" w:cs="Verdana"/>
          <w:sz w:val="20"/>
          <w:lang w:val="es-ES"/>
        </w:rPr>
        <w:t xml:space="preserve"> objeto</w:t>
      </w:r>
      <w:r w:rsidR="0084706D" w:rsidRPr="00CB0199">
        <w:rPr>
          <w:rFonts w:ascii="Verdana" w:hAnsi="Verdana" w:cs="Verdana"/>
          <w:sz w:val="20"/>
          <w:lang w:val="es-ES"/>
        </w:rPr>
        <w:t xml:space="preserve"> </w:t>
      </w:r>
      <w:r w:rsidR="00F729F5">
        <w:rPr>
          <w:rFonts w:ascii="Verdana" w:hAnsi="Verdana" w:cs="Verdana"/>
          <w:sz w:val="20"/>
          <w:lang w:val="es-ES"/>
        </w:rPr>
        <w:t xml:space="preserve">evaluar el </w:t>
      </w:r>
      <w:r w:rsidR="00F729F5" w:rsidRPr="00F729F5">
        <w:rPr>
          <w:rFonts w:ascii="Verdana" w:hAnsi="Verdana"/>
          <w:sz w:val="20"/>
          <w:lang w:val="es-CR"/>
        </w:rPr>
        <w:t xml:space="preserve">cumplimiento de las medidas de reparación relativas </w:t>
      </w:r>
      <w:r w:rsidR="00F729F5" w:rsidRPr="00F729F5">
        <w:rPr>
          <w:rFonts w:ascii="Verdana" w:hAnsi="Verdana" w:cs="Verdana"/>
          <w:sz w:val="20"/>
          <w:lang w:val="es-ES"/>
        </w:rPr>
        <w:t>al pago de un monto para la atención médica o psicológica de las víctimas que acrediten tener su domicilio en el exterior y de las indemnizaciones por daños materiales e inmateriales,</w:t>
      </w:r>
      <w:r w:rsidR="00F729F5" w:rsidRPr="00F729F5">
        <w:rPr>
          <w:rFonts w:ascii="Verdana" w:hAnsi="Verdana"/>
          <w:sz w:val="20"/>
          <w:lang w:val="es-CR"/>
        </w:rPr>
        <w:t xml:space="preserve"> que se encuentran pendientes de acatamiento.</w:t>
      </w:r>
      <w:r w:rsidR="009B1304">
        <w:rPr>
          <w:rFonts w:ascii="Verdana" w:hAnsi="Verdana"/>
          <w:sz w:val="20"/>
          <w:lang w:val="es-CR"/>
        </w:rPr>
        <w:t xml:space="preserve"> </w:t>
      </w:r>
      <w:r w:rsidR="00F729F5" w:rsidRPr="00F729F5">
        <w:rPr>
          <w:rFonts w:ascii="Verdana" w:hAnsi="Verdana" w:cs="Verdana"/>
          <w:sz w:val="20"/>
          <w:lang w:val="es-ES"/>
        </w:rPr>
        <w:t xml:space="preserve">Para ello </w:t>
      </w:r>
      <w:r w:rsidRPr="00F729F5">
        <w:rPr>
          <w:rFonts w:ascii="Verdana" w:hAnsi="Verdana" w:cs="Verdana"/>
          <w:sz w:val="20"/>
          <w:lang w:val="es-ES"/>
        </w:rPr>
        <w:t>valorar</w:t>
      </w:r>
      <w:r w:rsidR="00F729F5" w:rsidRPr="00F729F5">
        <w:rPr>
          <w:rFonts w:ascii="Verdana" w:hAnsi="Verdana" w:cs="Verdana"/>
          <w:sz w:val="20"/>
          <w:lang w:val="es-ES"/>
        </w:rPr>
        <w:t>á</w:t>
      </w:r>
      <w:r w:rsidR="00B84849" w:rsidRPr="00F729F5">
        <w:rPr>
          <w:rFonts w:ascii="Verdana" w:hAnsi="Verdana"/>
          <w:sz w:val="20"/>
          <w:lang w:val="es-CR"/>
        </w:rPr>
        <w:t xml:space="preserve">, en la medida de lo pertinente, lo expuesto por </w:t>
      </w:r>
      <w:r w:rsidR="00B84849" w:rsidRPr="00F729F5">
        <w:rPr>
          <w:rFonts w:ascii="Verdana" w:hAnsi="Verdana" w:cs="Verdana"/>
          <w:sz w:val="20"/>
          <w:lang w:val="es-ES"/>
        </w:rPr>
        <w:t xml:space="preserve">el </w:t>
      </w:r>
      <w:r w:rsidR="0002684A" w:rsidRPr="00F729F5">
        <w:rPr>
          <w:rFonts w:ascii="Verdana" w:hAnsi="Verdana"/>
          <w:sz w:val="20"/>
        </w:rPr>
        <w:t>Juzgado de Ejecución de Sentencias Supranacionales</w:t>
      </w:r>
      <w:r w:rsidR="000C3675" w:rsidRPr="00F729F5">
        <w:rPr>
          <w:rFonts w:ascii="Verdana" w:hAnsi="Verdana"/>
          <w:sz w:val="20"/>
        </w:rPr>
        <w:t xml:space="preserve"> </w:t>
      </w:r>
      <w:r w:rsidR="00B84849" w:rsidRPr="00F729F5">
        <w:rPr>
          <w:rFonts w:ascii="Verdana" w:hAnsi="Verdana"/>
          <w:sz w:val="20"/>
          <w:lang w:val="es-CR"/>
        </w:rPr>
        <w:t>respecto de</w:t>
      </w:r>
      <w:r w:rsidR="00F729F5" w:rsidRPr="00F729F5">
        <w:rPr>
          <w:rFonts w:ascii="Verdana" w:hAnsi="Verdana"/>
          <w:sz w:val="20"/>
          <w:lang w:val="es-CR"/>
        </w:rPr>
        <w:t xml:space="preserve"> </w:t>
      </w:r>
      <w:r w:rsidR="00B84849" w:rsidRPr="00F729F5">
        <w:rPr>
          <w:rFonts w:ascii="Verdana" w:hAnsi="Verdana"/>
          <w:sz w:val="20"/>
          <w:lang w:val="es-CR"/>
        </w:rPr>
        <w:t>l</w:t>
      </w:r>
      <w:r w:rsidR="00F729F5" w:rsidRPr="00F729F5">
        <w:rPr>
          <w:rFonts w:ascii="Verdana" w:hAnsi="Verdana"/>
          <w:sz w:val="20"/>
          <w:lang w:val="es-CR"/>
        </w:rPr>
        <w:t>as referidas medidas.</w:t>
      </w:r>
      <w:r w:rsidR="00B84849" w:rsidRPr="00F729F5">
        <w:rPr>
          <w:rFonts w:ascii="Verdana" w:hAnsi="Verdana"/>
          <w:sz w:val="20"/>
          <w:lang w:val="es-CR"/>
        </w:rPr>
        <w:t xml:space="preserve"> Ello será valorado por la Corte como “otra fuente de información” que le permita apreciar el cumplimiento de lo ordenado, conforme lo dispuesto en el artículo 69.2 de su Reglamento, y</w:t>
      </w:r>
      <w:r w:rsidR="00F729F5" w:rsidRPr="00F729F5">
        <w:rPr>
          <w:rFonts w:ascii="Verdana" w:hAnsi="Verdana"/>
          <w:sz w:val="20"/>
          <w:lang w:val="es-CR"/>
        </w:rPr>
        <w:t>a</w:t>
      </w:r>
      <w:r w:rsidR="00B84849" w:rsidRPr="00F729F5">
        <w:rPr>
          <w:rFonts w:ascii="Verdana" w:hAnsi="Verdana"/>
          <w:sz w:val="20"/>
          <w:lang w:val="es-CR"/>
        </w:rPr>
        <w:t xml:space="preserve"> </w:t>
      </w:r>
      <w:r w:rsidR="00F729F5" w:rsidRPr="00F729F5">
        <w:rPr>
          <w:rFonts w:ascii="Verdana" w:hAnsi="Verdana"/>
          <w:sz w:val="20"/>
          <w:lang w:val="es-CR"/>
        </w:rPr>
        <w:t>que</w:t>
      </w:r>
      <w:r w:rsidR="00B84849" w:rsidRPr="00F729F5">
        <w:rPr>
          <w:rFonts w:ascii="Verdana" w:hAnsi="Verdana"/>
          <w:sz w:val="20"/>
          <w:lang w:val="es-CR"/>
        </w:rPr>
        <w:t xml:space="preserve"> es</w:t>
      </w:r>
      <w:r w:rsidR="00F729F5" w:rsidRPr="00F729F5">
        <w:rPr>
          <w:rFonts w:ascii="Verdana" w:hAnsi="Verdana"/>
          <w:sz w:val="20"/>
          <w:lang w:val="es-CR"/>
        </w:rPr>
        <w:t>e</w:t>
      </w:r>
      <w:r w:rsidR="00B84849" w:rsidRPr="00F729F5">
        <w:rPr>
          <w:rFonts w:ascii="Verdana" w:hAnsi="Verdana"/>
          <w:sz w:val="20"/>
          <w:lang w:val="es-CR"/>
        </w:rPr>
        <w:t xml:space="preserve"> inform</w:t>
      </w:r>
      <w:r w:rsidR="00F729F5" w:rsidRPr="00F729F5">
        <w:rPr>
          <w:rFonts w:ascii="Verdana" w:hAnsi="Verdana"/>
          <w:sz w:val="20"/>
          <w:lang w:val="es-CR"/>
        </w:rPr>
        <w:t>e es distinto</w:t>
      </w:r>
      <w:r w:rsidR="00B84849" w:rsidRPr="00F729F5">
        <w:rPr>
          <w:rFonts w:ascii="Verdana" w:hAnsi="Verdana"/>
          <w:sz w:val="20"/>
          <w:lang w:val="es-CR"/>
        </w:rPr>
        <w:t xml:space="preserve"> al que brinda el Estado en su carácter de parte de este proceso de supervisión de cumplimiento</w:t>
      </w:r>
      <w:r w:rsidR="00B84849" w:rsidRPr="00CB0199">
        <w:rPr>
          <w:rFonts w:ascii="Verdana" w:hAnsi="Verdana"/>
          <w:sz w:val="20"/>
          <w:lang w:val="es-CR"/>
        </w:rPr>
        <w:t xml:space="preserve">. </w:t>
      </w:r>
      <w:r w:rsidR="005054A4">
        <w:rPr>
          <w:rFonts w:ascii="Verdana" w:hAnsi="Verdana"/>
          <w:sz w:val="20"/>
          <w:lang w:val="es-CR"/>
        </w:rPr>
        <w:t>Asimismo,</w:t>
      </w:r>
      <w:r w:rsidRPr="00CB0199">
        <w:rPr>
          <w:rFonts w:ascii="Verdana" w:hAnsi="Verdana" w:cs="Verdana"/>
          <w:sz w:val="20"/>
          <w:lang w:val="es-ES"/>
        </w:rPr>
        <w:t xml:space="preserve"> </w:t>
      </w:r>
      <w:r w:rsidR="00010648">
        <w:rPr>
          <w:rFonts w:ascii="Verdana" w:hAnsi="Verdana" w:cs="Verdana"/>
          <w:sz w:val="20"/>
          <w:lang w:val="es-ES"/>
        </w:rPr>
        <w:t xml:space="preserve">el Tribunal se pronunciará puntualmente sobre las medidas de reparación relativas a </w:t>
      </w:r>
      <w:r w:rsidR="004036DC" w:rsidRPr="00CB0199">
        <w:rPr>
          <w:rFonts w:ascii="Verdana" w:hAnsi="Verdana" w:cs="Verdana"/>
          <w:sz w:val="20"/>
          <w:lang w:val="es-ES"/>
        </w:rPr>
        <w:t xml:space="preserve">la entrega de los restos de </w:t>
      </w:r>
      <w:r w:rsidR="00881C49">
        <w:rPr>
          <w:rFonts w:ascii="Verdana" w:hAnsi="Verdana" w:cs="Verdana"/>
          <w:sz w:val="20"/>
          <w:lang w:val="es-ES"/>
        </w:rPr>
        <w:t xml:space="preserve">la víctima </w:t>
      </w:r>
      <w:r w:rsidR="004036DC" w:rsidRPr="00CB0199">
        <w:rPr>
          <w:rFonts w:ascii="Verdana" w:hAnsi="Verdana" w:cs="Verdana"/>
          <w:sz w:val="20"/>
          <w:lang w:val="es-ES"/>
        </w:rPr>
        <w:t>Mario Vásque</w:t>
      </w:r>
      <w:r w:rsidR="00010648">
        <w:rPr>
          <w:rFonts w:ascii="Verdana" w:hAnsi="Verdana" w:cs="Verdana"/>
          <w:sz w:val="20"/>
          <w:lang w:val="es-ES"/>
        </w:rPr>
        <w:t>z Aguilar Vega a sus familiares, así como</w:t>
      </w:r>
      <w:r w:rsidR="0084706D" w:rsidRPr="00CB0199">
        <w:rPr>
          <w:rFonts w:ascii="Verdana" w:hAnsi="Verdana" w:cs="Verdana"/>
          <w:sz w:val="20"/>
          <w:lang w:val="es-ES"/>
        </w:rPr>
        <w:t xml:space="preserve"> </w:t>
      </w:r>
      <w:r w:rsidR="004036DC" w:rsidRPr="00CB0199">
        <w:rPr>
          <w:rFonts w:ascii="Verdana" w:hAnsi="Verdana" w:cs="Verdana"/>
          <w:sz w:val="20"/>
          <w:lang w:val="es-ES"/>
        </w:rPr>
        <w:t xml:space="preserve">la publicación y difusión de la Sentencia </w:t>
      </w:r>
      <w:r w:rsidR="00C420B5">
        <w:rPr>
          <w:rFonts w:ascii="Verdana" w:hAnsi="Verdana" w:cs="Verdana"/>
          <w:sz w:val="20"/>
          <w:lang w:val="es-ES"/>
        </w:rPr>
        <w:t>(</w:t>
      </w:r>
      <w:r w:rsidR="00881C49" w:rsidRPr="00264950">
        <w:rPr>
          <w:rFonts w:ascii="Verdana" w:hAnsi="Verdana" w:cs="Verdana"/>
          <w:i/>
          <w:sz w:val="20"/>
          <w:lang w:val="es-ES"/>
        </w:rPr>
        <w:t>infra</w:t>
      </w:r>
      <w:r w:rsidR="00881C49">
        <w:rPr>
          <w:rFonts w:ascii="Verdana" w:hAnsi="Verdana" w:cs="Verdana"/>
          <w:sz w:val="20"/>
          <w:lang w:val="es-ES"/>
        </w:rPr>
        <w:t xml:space="preserve"> </w:t>
      </w:r>
      <w:r w:rsidR="00010648" w:rsidRPr="00CB0199">
        <w:rPr>
          <w:rFonts w:ascii="Verdana" w:hAnsi="Verdana" w:cs="Verdana"/>
          <w:sz w:val="20"/>
          <w:lang w:val="es-ES"/>
        </w:rPr>
        <w:t>Considerando</w:t>
      </w:r>
      <w:r w:rsidR="00881C49">
        <w:rPr>
          <w:rFonts w:ascii="Verdana" w:hAnsi="Verdana" w:cs="Verdana"/>
          <w:sz w:val="20"/>
          <w:lang w:val="es-ES"/>
        </w:rPr>
        <w:t>s</w:t>
      </w:r>
      <w:r w:rsidR="00010648" w:rsidRPr="00CB0199">
        <w:rPr>
          <w:rFonts w:ascii="Verdana" w:hAnsi="Verdana" w:cs="Verdana"/>
          <w:sz w:val="20"/>
          <w:lang w:val="es-ES"/>
        </w:rPr>
        <w:t xml:space="preserve"> 1</w:t>
      </w:r>
      <w:r w:rsidR="00881C49">
        <w:rPr>
          <w:rFonts w:ascii="Verdana" w:hAnsi="Verdana" w:cs="Verdana"/>
          <w:sz w:val="20"/>
          <w:lang w:val="es-ES"/>
        </w:rPr>
        <w:t>9 y 25</w:t>
      </w:r>
      <w:r w:rsidR="00010648" w:rsidRPr="00CB0199">
        <w:rPr>
          <w:rFonts w:ascii="Verdana" w:hAnsi="Verdana" w:cs="Verdana"/>
          <w:sz w:val="20"/>
          <w:lang w:val="es-ES"/>
        </w:rPr>
        <w:t>)</w:t>
      </w:r>
      <w:r w:rsidR="00010648">
        <w:rPr>
          <w:rFonts w:ascii="Verdana" w:hAnsi="Verdana" w:cs="Verdana"/>
          <w:sz w:val="20"/>
          <w:lang w:val="es-ES"/>
        </w:rPr>
        <w:t xml:space="preserve"> y, </w:t>
      </w:r>
      <w:r w:rsidR="00695E28" w:rsidRPr="00CB0199">
        <w:rPr>
          <w:rFonts w:ascii="Verdana" w:hAnsi="Verdana" w:cs="Verdana"/>
          <w:sz w:val="20"/>
          <w:lang w:val="es-ES"/>
        </w:rPr>
        <w:t>de manera general</w:t>
      </w:r>
      <w:r w:rsidR="00F729F5">
        <w:rPr>
          <w:rFonts w:ascii="Verdana" w:hAnsi="Verdana" w:cs="Verdana"/>
          <w:sz w:val="20"/>
          <w:lang w:val="es-ES"/>
        </w:rPr>
        <w:t>,</w:t>
      </w:r>
      <w:r w:rsidR="00695E28" w:rsidRPr="00CB0199">
        <w:rPr>
          <w:rFonts w:ascii="Verdana" w:hAnsi="Verdana" w:cs="Verdana"/>
          <w:sz w:val="20"/>
          <w:lang w:val="es-ES"/>
        </w:rPr>
        <w:t xml:space="preserve"> </w:t>
      </w:r>
      <w:r w:rsidR="00010648">
        <w:rPr>
          <w:rFonts w:ascii="Verdana" w:hAnsi="Verdana" w:cs="Verdana"/>
          <w:sz w:val="20"/>
          <w:lang w:val="es-ES"/>
        </w:rPr>
        <w:t>se referirá a</w:t>
      </w:r>
      <w:r w:rsidR="00695E28" w:rsidRPr="00CB0199">
        <w:rPr>
          <w:rFonts w:ascii="Verdana" w:hAnsi="Verdana" w:cs="Verdana"/>
          <w:sz w:val="20"/>
          <w:lang w:val="es-ES"/>
        </w:rPr>
        <w:t>l estado de cumplimiento de las demás medidas de reparación</w:t>
      </w:r>
      <w:r w:rsidR="00F937CA">
        <w:rPr>
          <w:rFonts w:ascii="Verdana" w:hAnsi="Verdana" w:cs="Verdana"/>
          <w:sz w:val="20"/>
          <w:lang w:val="es-ES"/>
        </w:rPr>
        <w:t xml:space="preserve"> (</w:t>
      </w:r>
      <w:r w:rsidR="00F937CA">
        <w:rPr>
          <w:rFonts w:ascii="Verdana" w:hAnsi="Verdana" w:cs="Verdana"/>
          <w:i/>
          <w:sz w:val="20"/>
          <w:lang w:val="es-ES"/>
        </w:rPr>
        <w:t xml:space="preserve">infra </w:t>
      </w:r>
      <w:r w:rsidR="00F937CA">
        <w:rPr>
          <w:rFonts w:ascii="Verdana" w:hAnsi="Verdana" w:cs="Verdana"/>
          <w:sz w:val="20"/>
          <w:lang w:val="es-ES"/>
        </w:rPr>
        <w:t xml:space="preserve">Considerando </w:t>
      </w:r>
      <w:r w:rsidR="00D41484">
        <w:rPr>
          <w:rFonts w:ascii="Verdana" w:hAnsi="Verdana" w:cs="Verdana"/>
          <w:sz w:val="20"/>
          <w:lang w:val="es-ES"/>
        </w:rPr>
        <w:t>30</w:t>
      </w:r>
      <w:r w:rsidR="00F937CA">
        <w:rPr>
          <w:rFonts w:ascii="Verdana" w:hAnsi="Verdana" w:cs="Verdana"/>
          <w:sz w:val="20"/>
          <w:lang w:val="es-ES"/>
        </w:rPr>
        <w:t>)</w:t>
      </w:r>
      <w:r w:rsidR="00695E28" w:rsidRPr="00CB0199">
        <w:rPr>
          <w:rFonts w:ascii="Verdana" w:hAnsi="Verdana" w:cs="Verdana"/>
          <w:sz w:val="20"/>
          <w:lang w:val="es-ES"/>
        </w:rPr>
        <w:t xml:space="preserve">, considerando que han transcurrido </w:t>
      </w:r>
      <w:r w:rsidR="00010648">
        <w:rPr>
          <w:rFonts w:ascii="Verdana" w:hAnsi="Verdana" w:cs="Verdana"/>
          <w:sz w:val="20"/>
          <w:lang w:val="es-ES"/>
        </w:rPr>
        <w:t xml:space="preserve">más de </w:t>
      </w:r>
      <w:r w:rsidR="00695E28" w:rsidRPr="00CB0199">
        <w:rPr>
          <w:rFonts w:ascii="Verdana" w:hAnsi="Verdana" w:cs="Verdana"/>
          <w:sz w:val="20"/>
          <w:lang w:val="es-ES"/>
        </w:rPr>
        <w:t xml:space="preserve">diez años desde la emisión de la Sentencia del presente caso. </w:t>
      </w:r>
      <w:r w:rsidR="0084706D" w:rsidRPr="00CB0199">
        <w:rPr>
          <w:rFonts w:ascii="Verdana" w:hAnsi="Verdana" w:cs="Verdana"/>
          <w:sz w:val="20"/>
          <w:lang w:val="es-ES"/>
        </w:rPr>
        <w:t>Finalmente,</w:t>
      </w:r>
      <w:r w:rsidR="00695E28" w:rsidRPr="00CB0199">
        <w:rPr>
          <w:rFonts w:ascii="Verdana" w:hAnsi="Verdana" w:cs="Verdana"/>
          <w:sz w:val="20"/>
          <w:lang w:val="es-ES"/>
        </w:rPr>
        <w:t xml:space="preserve"> la Corte hará referencia a la solicitud formulada por </w:t>
      </w:r>
      <w:r w:rsidR="00695E28" w:rsidRPr="00CB0199">
        <w:rPr>
          <w:rFonts w:ascii="Verdana" w:hAnsi="Verdana" w:cs="Arial"/>
          <w:sz w:val="20"/>
        </w:rPr>
        <w:t>la interviniente común Feria Tinta</w:t>
      </w:r>
      <w:r w:rsidR="00717976" w:rsidRPr="00CB0199">
        <w:rPr>
          <w:rFonts w:ascii="Verdana" w:hAnsi="Verdana" w:cs="Arial"/>
          <w:sz w:val="20"/>
        </w:rPr>
        <w:t xml:space="preserve"> </w:t>
      </w:r>
      <w:r w:rsidR="00B46EAC" w:rsidRPr="00B46EAC">
        <w:rPr>
          <w:rFonts w:ascii="Verdana" w:hAnsi="Verdana"/>
          <w:sz w:val="20"/>
          <w:lang w:val="es-CR"/>
        </w:rPr>
        <w:t>relativa a que la Corte ordene al Estado cubrir los costos y gastos de representación durante la etapa de supervisión</w:t>
      </w:r>
      <w:r w:rsidR="00F729F5">
        <w:rPr>
          <w:rFonts w:ascii="Verdana" w:hAnsi="Verdana"/>
          <w:sz w:val="20"/>
          <w:lang w:val="es-CR"/>
        </w:rPr>
        <w:t xml:space="preserve"> (</w:t>
      </w:r>
      <w:r w:rsidR="00F729F5">
        <w:rPr>
          <w:rFonts w:ascii="Verdana" w:hAnsi="Verdana"/>
          <w:i/>
          <w:sz w:val="20"/>
          <w:lang w:val="es-CR"/>
        </w:rPr>
        <w:t>infra</w:t>
      </w:r>
      <w:r w:rsidR="00F729F5">
        <w:rPr>
          <w:rFonts w:ascii="Verdana" w:hAnsi="Verdana"/>
          <w:sz w:val="20"/>
          <w:lang w:val="es-CR"/>
        </w:rPr>
        <w:t xml:space="preserve"> Considerando 40)</w:t>
      </w:r>
      <w:r w:rsidR="00695E28" w:rsidRPr="00B46EAC">
        <w:rPr>
          <w:rFonts w:ascii="Verdana" w:hAnsi="Verdana" w:cs="Arial"/>
          <w:sz w:val="20"/>
        </w:rPr>
        <w:t>.</w:t>
      </w:r>
      <w:r w:rsidR="00695E28" w:rsidRPr="00CB0199">
        <w:rPr>
          <w:rFonts w:ascii="Verdana" w:hAnsi="Verdana" w:cs="Arial"/>
          <w:sz w:val="20"/>
        </w:rPr>
        <w:t xml:space="preserve"> </w:t>
      </w:r>
      <w:r w:rsidR="00010648">
        <w:rPr>
          <w:rFonts w:ascii="Verdana" w:hAnsi="Verdana" w:cs="Verdana"/>
          <w:sz w:val="20"/>
          <w:lang w:val="es-ES"/>
        </w:rPr>
        <w:t>El Tribunal estructurará sus consideraciones</w:t>
      </w:r>
      <w:r w:rsidR="00697BA6" w:rsidRPr="00CB0199">
        <w:rPr>
          <w:rFonts w:ascii="Verdana" w:hAnsi="Verdana" w:cs="Verdana"/>
          <w:sz w:val="20"/>
          <w:lang w:val="es-ES"/>
        </w:rPr>
        <w:t xml:space="preserve"> en el siguiente orden:</w:t>
      </w:r>
    </w:p>
    <w:p w:rsidR="005649F7" w:rsidRPr="00D17419" w:rsidRDefault="005649F7" w:rsidP="00D333AB">
      <w:pPr>
        <w:tabs>
          <w:tab w:val="left" w:pos="567"/>
        </w:tabs>
        <w:spacing w:before="120" w:after="120"/>
        <w:contextualSpacing/>
        <w:jc w:val="both"/>
        <w:rPr>
          <w:rFonts w:ascii="Verdana" w:hAnsi="Verdana"/>
          <w:sz w:val="22"/>
        </w:rPr>
      </w:pPr>
    </w:p>
    <w:p w:rsidR="00FD6E66" w:rsidRPr="00B864D3" w:rsidRDefault="00AE180B">
      <w:pPr>
        <w:pStyle w:val="TDC1"/>
        <w:rPr>
          <w:rFonts w:ascii="Verdana" w:eastAsia="Times New Roman" w:hAnsi="Verdana"/>
          <w:b w:val="0"/>
          <w:bCs w:val="0"/>
          <w:i w:val="0"/>
          <w:iCs w:val="0"/>
          <w:noProof/>
          <w:sz w:val="16"/>
          <w:szCs w:val="16"/>
          <w:lang w:val="es-CR" w:eastAsia="es-CR"/>
        </w:rPr>
      </w:pPr>
      <w:r w:rsidRPr="00FD6E66">
        <w:rPr>
          <w:rFonts w:ascii="Verdana" w:hAnsi="Verdana"/>
          <w:b w:val="0"/>
          <w:sz w:val="16"/>
          <w:szCs w:val="16"/>
        </w:rPr>
        <w:fldChar w:fldCharType="begin"/>
      </w:r>
      <w:r w:rsidRPr="00FD6E66">
        <w:rPr>
          <w:rFonts w:ascii="Verdana" w:hAnsi="Verdana"/>
          <w:b w:val="0"/>
          <w:sz w:val="16"/>
          <w:szCs w:val="16"/>
        </w:rPr>
        <w:instrText xml:space="preserve"> </w:instrText>
      </w:r>
      <w:r w:rsidR="00B864D3" w:rsidRPr="00FD6E66">
        <w:rPr>
          <w:rFonts w:ascii="Verdana" w:hAnsi="Verdana"/>
          <w:b w:val="0"/>
          <w:sz w:val="16"/>
          <w:szCs w:val="16"/>
        </w:rPr>
        <w:instrText>TOC</w:instrText>
      </w:r>
      <w:r w:rsidRPr="00FD6E66">
        <w:rPr>
          <w:rFonts w:ascii="Verdana" w:hAnsi="Verdana"/>
          <w:b w:val="0"/>
          <w:sz w:val="16"/>
          <w:szCs w:val="16"/>
        </w:rPr>
        <w:instrText xml:space="preserve"> \o "1-3" \h \z \u </w:instrText>
      </w:r>
      <w:r w:rsidRPr="00FD6E66">
        <w:rPr>
          <w:rFonts w:ascii="Verdana" w:hAnsi="Verdana"/>
          <w:b w:val="0"/>
          <w:sz w:val="16"/>
          <w:szCs w:val="16"/>
        </w:rPr>
        <w:fldChar w:fldCharType="separate"/>
      </w:r>
      <w:hyperlink w:anchor="_Toc475555747" w:history="1">
        <w:r w:rsidR="00FD6E66" w:rsidRPr="00FD6E66">
          <w:rPr>
            <w:rStyle w:val="Hipervnculo"/>
            <w:rFonts w:ascii="Verdana" w:hAnsi="Verdana"/>
            <w:b w:val="0"/>
            <w:noProof/>
            <w:sz w:val="16"/>
            <w:szCs w:val="16"/>
          </w:rPr>
          <w:t>A.</w:t>
        </w:r>
        <w:r w:rsidR="00FD6E66" w:rsidRPr="00B864D3">
          <w:rPr>
            <w:rFonts w:ascii="Verdana" w:eastAsia="Times New Roman" w:hAnsi="Verdana"/>
            <w:b w:val="0"/>
            <w:bCs w:val="0"/>
            <w:i w:val="0"/>
            <w:iCs w:val="0"/>
            <w:noProof/>
            <w:sz w:val="16"/>
            <w:szCs w:val="16"/>
            <w:lang w:val="es-CR" w:eastAsia="es-CR"/>
          </w:rPr>
          <w:tab/>
        </w:r>
        <w:r w:rsidR="00FD6E66" w:rsidRPr="00FD6E66">
          <w:rPr>
            <w:rStyle w:val="Hipervnculo"/>
            <w:rFonts w:ascii="Verdana" w:hAnsi="Verdana"/>
            <w:b w:val="0"/>
            <w:noProof/>
            <w:sz w:val="16"/>
            <w:szCs w:val="16"/>
            <w:lang w:val="es-CR"/>
          </w:rPr>
          <w:t>Pago del monto relativo a atención médica y psicológica para las víctimas que residan en el exterior</w:t>
        </w:r>
        <w:r w:rsidR="00FD6E66" w:rsidRPr="00FD6E66">
          <w:rPr>
            <w:rStyle w:val="Hipervnculo"/>
            <w:rFonts w:ascii="Verdana" w:hAnsi="Verdana"/>
            <w:b w:val="0"/>
            <w:noProof/>
            <w:sz w:val="16"/>
            <w:szCs w:val="16"/>
          </w:rPr>
          <w:t xml:space="preserve"> </w:t>
        </w:r>
        <w:r w:rsidR="00FD6E66" w:rsidRPr="00FD6E66">
          <w:rPr>
            <w:rStyle w:val="Hipervnculo"/>
            <w:rFonts w:ascii="Verdana" w:hAnsi="Verdana"/>
            <w:b w:val="0"/>
            <w:noProof/>
            <w:sz w:val="16"/>
            <w:szCs w:val="16"/>
            <w:lang w:val="es-CR"/>
          </w:rPr>
          <w:t>y pago de las indemnizaciones por daños materiales e inmateriales</w:t>
        </w:r>
        <w:r w:rsidR="00FD6E66" w:rsidRPr="00FD6E66">
          <w:rPr>
            <w:rFonts w:ascii="Verdana" w:hAnsi="Verdana"/>
            <w:b w:val="0"/>
            <w:noProof/>
            <w:webHidden/>
            <w:sz w:val="16"/>
            <w:szCs w:val="16"/>
          </w:rPr>
          <w:tab/>
        </w:r>
        <w:r w:rsidR="00FD6E66" w:rsidRPr="00FD6E66">
          <w:rPr>
            <w:rFonts w:ascii="Verdana" w:hAnsi="Verdana"/>
            <w:b w:val="0"/>
            <w:noProof/>
            <w:webHidden/>
            <w:sz w:val="16"/>
            <w:szCs w:val="16"/>
          </w:rPr>
          <w:fldChar w:fldCharType="begin"/>
        </w:r>
        <w:r w:rsidR="00FD6E66" w:rsidRPr="00FD6E66">
          <w:rPr>
            <w:rFonts w:ascii="Verdana" w:hAnsi="Verdana"/>
            <w:b w:val="0"/>
            <w:noProof/>
            <w:webHidden/>
            <w:sz w:val="16"/>
            <w:szCs w:val="16"/>
          </w:rPr>
          <w:instrText xml:space="preserve"> PAGEREF _Toc475555747 \h </w:instrText>
        </w:r>
        <w:r w:rsidR="00FD6E66" w:rsidRPr="00FD6E66">
          <w:rPr>
            <w:rFonts w:ascii="Verdana" w:hAnsi="Verdana"/>
            <w:b w:val="0"/>
            <w:noProof/>
            <w:webHidden/>
            <w:sz w:val="16"/>
            <w:szCs w:val="16"/>
          </w:rPr>
        </w:r>
        <w:r w:rsidR="00FD6E66" w:rsidRPr="00FD6E66">
          <w:rPr>
            <w:rFonts w:ascii="Verdana" w:hAnsi="Verdana"/>
            <w:b w:val="0"/>
            <w:noProof/>
            <w:webHidden/>
            <w:sz w:val="16"/>
            <w:szCs w:val="16"/>
          </w:rPr>
          <w:fldChar w:fldCharType="separate"/>
        </w:r>
        <w:r w:rsidR="003437C0">
          <w:rPr>
            <w:rFonts w:ascii="Verdana" w:hAnsi="Verdana"/>
            <w:b w:val="0"/>
            <w:noProof/>
            <w:webHidden/>
            <w:sz w:val="16"/>
            <w:szCs w:val="16"/>
          </w:rPr>
          <w:t>4</w:t>
        </w:r>
        <w:r w:rsidR="00FD6E66" w:rsidRPr="00FD6E66">
          <w:rPr>
            <w:rFonts w:ascii="Verdana" w:hAnsi="Verdana"/>
            <w:b w:val="0"/>
            <w:noProof/>
            <w:webHidden/>
            <w:sz w:val="16"/>
            <w:szCs w:val="16"/>
          </w:rPr>
          <w:fldChar w:fldCharType="end"/>
        </w:r>
      </w:hyperlink>
    </w:p>
    <w:p w:rsidR="00FD6E66" w:rsidRPr="00B864D3" w:rsidRDefault="00FD6E66">
      <w:pPr>
        <w:pStyle w:val="TDC1"/>
        <w:rPr>
          <w:rFonts w:ascii="Verdana" w:eastAsia="Times New Roman" w:hAnsi="Verdana"/>
          <w:b w:val="0"/>
          <w:bCs w:val="0"/>
          <w:i w:val="0"/>
          <w:iCs w:val="0"/>
          <w:noProof/>
          <w:sz w:val="16"/>
          <w:szCs w:val="16"/>
          <w:lang w:val="es-CR" w:eastAsia="es-CR"/>
        </w:rPr>
      </w:pPr>
      <w:hyperlink w:anchor="_Toc475555752" w:history="1">
        <w:r w:rsidRPr="00FD6E66">
          <w:rPr>
            <w:rStyle w:val="Hipervnculo"/>
            <w:rFonts w:ascii="Verdana" w:hAnsi="Verdana"/>
            <w:b w:val="0"/>
            <w:noProof/>
            <w:sz w:val="16"/>
            <w:szCs w:val="16"/>
          </w:rPr>
          <w:t>B.</w:t>
        </w:r>
        <w:r w:rsidRPr="00B864D3">
          <w:rPr>
            <w:rFonts w:ascii="Verdana" w:eastAsia="Times New Roman" w:hAnsi="Verdana"/>
            <w:b w:val="0"/>
            <w:bCs w:val="0"/>
            <w:i w:val="0"/>
            <w:iCs w:val="0"/>
            <w:noProof/>
            <w:sz w:val="16"/>
            <w:szCs w:val="16"/>
            <w:lang w:val="es-CR" w:eastAsia="es-CR"/>
          </w:rPr>
          <w:tab/>
        </w:r>
        <w:r w:rsidRPr="00FD6E66">
          <w:rPr>
            <w:rStyle w:val="Hipervnculo"/>
            <w:rFonts w:ascii="Verdana" w:hAnsi="Verdana"/>
            <w:b w:val="0"/>
            <w:noProof/>
            <w:sz w:val="16"/>
            <w:szCs w:val="16"/>
          </w:rPr>
          <w:t>Entrega de los restos de</w:t>
        </w:r>
        <w:r w:rsidRPr="00FD6E66">
          <w:rPr>
            <w:rStyle w:val="Hipervnculo"/>
            <w:rFonts w:ascii="Verdana" w:hAnsi="Verdana"/>
            <w:b w:val="0"/>
            <w:noProof/>
            <w:sz w:val="16"/>
            <w:szCs w:val="16"/>
            <w:lang w:val="es-CR"/>
          </w:rPr>
          <w:t xml:space="preserve"> la víctima</w:t>
        </w:r>
        <w:r w:rsidRPr="00FD6E66">
          <w:rPr>
            <w:rStyle w:val="Hipervnculo"/>
            <w:rFonts w:ascii="Verdana" w:hAnsi="Verdana"/>
            <w:b w:val="0"/>
            <w:noProof/>
            <w:sz w:val="16"/>
            <w:szCs w:val="16"/>
          </w:rPr>
          <w:t xml:space="preserve"> Mario </w:t>
        </w:r>
        <w:r w:rsidRPr="00FD6E66">
          <w:rPr>
            <w:rStyle w:val="Hipervnculo"/>
            <w:rFonts w:ascii="Verdana" w:hAnsi="Verdana"/>
            <w:b w:val="0"/>
            <w:noProof/>
            <w:sz w:val="16"/>
            <w:szCs w:val="16"/>
            <w:lang w:val="es-CR"/>
          </w:rPr>
          <w:t>Francisco</w:t>
        </w:r>
        <w:r w:rsidRPr="00FD6E66">
          <w:rPr>
            <w:rStyle w:val="Hipervnculo"/>
            <w:rFonts w:ascii="Verdana" w:hAnsi="Verdana"/>
            <w:b w:val="0"/>
            <w:noProof/>
            <w:sz w:val="16"/>
            <w:szCs w:val="16"/>
          </w:rPr>
          <w:t xml:space="preserve"> Aguilar Vega a sus familiares</w:t>
        </w:r>
        <w:r w:rsidRPr="00FD6E66">
          <w:rPr>
            <w:rFonts w:ascii="Verdana" w:hAnsi="Verdana"/>
            <w:b w:val="0"/>
            <w:noProof/>
            <w:webHidden/>
            <w:sz w:val="16"/>
            <w:szCs w:val="16"/>
          </w:rPr>
          <w:tab/>
        </w:r>
        <w:r w:rsidRPr="00FD6E66">
          <w:rPr>
            <w:rFonts w:ascii="Verdana" w:hAnsi="Verdana"/>
            <w:b w:val="0"/>
            <w:noProof/>
            <w:webHidden/>
            <w:sz w:val="16"/>
            <w:szCs w:val="16"/>
          </w:rPr>
          <w:fldChar w:fldCharType="begin"/>
        </w:r>
        <w:r w:rsidRPr="00FD6E66">
          <w:rPr>
            <w:rFonts w:ascii="Verdana" w:hAnsi="Verdana"/>
            <w:b w:val="0"/>
            <w:noProof/>
            <w:webHidden/>
            <w:sz w:val="16"/>
            <w:szCs w:val="16"/>
          </w:rPr>
          <w:instrText xml:space="preserve"> PAGEREF _Toc475555752 \h </w:instrText>
        </w:r>
        <w:r w:rsidRPr="00FD6E66">
          <w:rPr>
            <w:rFonts w:ascii="Verdana" w:hAnsi="Verdana"/>
            <w:b w:val="0"/>
            <w:noProof/>
            <w:webHidden/>
            <w:sz w:val="16"/>
            <w:szCs w:val="16"/>
          </w:rPr>
        </w:r>
        <w:r w:rsidRPr="00FD6E66">
          <w:rPr>
            <w:rFonts w:ascii="Verdana" w:hAnsi="Verdana"/>
            <w:b w:val="0"/>
            <w:noProof/>
            <w:webHidden/>
            <w:sz w:val="16"/>
            <w:szCs w:val="16"/>
          </w:rPr>
          <w:fldChar w:fldCharType="separate"/>
        </w:r>
        <w:r w:rsidR="003437C0">
          <w:rPr>
            <w:rFonts w:ascii="Verdana" w:hAnsi="Verdana"/>
            <w:b w:val="0"/>
            <w:noProof/>
            <w:webHidden/>
            <w:sz w:val="16"/>
            <w:szCs w:val="16"/>
          </w:rPr>
          <w:t>13</w:t>
        </w:r>
        <w:r w:rsidRPr="00FD6E66">
          <w:rPr>
            <w:rFonts w:ascii="Verdana" w:hAnsi="Verdana"/>
            <w:b w:val="0"/>
            <w:noProof/>
            <w:webHidden/>
            <w:sz w:val="16"/>
            <w:szCs w:val="16"/>
          </w:rPr>
          <w:fldChar w:fldCharType="end"/>
        </w:r>
      </w:hyperlink>
    </w:p>
    <w:p w:rsidR="00FD6E66" w:rsidRPr="00B864D3" w:rsidRDefault="00FD6E66">
      <w:pPr>
        <w:pStyle w:val="TDC1"/>
        <w:rPr>
          <w:rFonts w:ascii="Verdana" w:eastAsia="Times New Roman" w:hAnsi="Verdana"/>
          <w:b w:val="0"/>
          <w:bCs w:val="0"/>
          <w:i w:val="0"/>
          <w:iCs w:val="0"/>
          <w:noProof/>
          <w:sz w:val="16"/>
          <w:szCs w:val="16"/>
          <w:lang w:val="es-CR" w:eastAsia="es-CR"/>
        </w:rPr>
      </w:pPr>
      <w:hyperlink w:anchor="_Toc475555754" w:history="1">
        <w:r w:rsidRPr="00FD6E66">
          <w:rPr>
            <w:rStyle w:val="Hipervnculo"/>
            <w:rFonts w:ascii="Verdana" w:hAnsi="Verdana"/>
            <w:b w:val="0"/>
            <w:noProof/>
            <w:sz w:val="16"/>
            <w:szCs w:val="16"/>
          </w:rPr>
          <w:t>C.</w:t>
        </w:r>
        <w:r w:rsidRPr="00B864D3">
          <w:rPr>
            <w:rFonts w:ascii="Verdana" w:eastAsia="Times New Roman" w:hAnsi="Verdana"/>
            <w:b w:val="0"/>
            <w:bCs w:val="0"/>
            <w:i w:val="0"/>
            <w:iCs w:val="0"/>
            <w:noProof/>
            <w:sz w:val="16"/>
            <w:szCs w:val="16"/>
            <w:lang w:val="es-CR" w:eastAsia="es-CR"/>
          </w:rPr>
          <w:tab/>
        </w:r>
        <w:r w:rsidRPr="00FD6E66">
          <w:rPr>
            <w:rStyle w:val="Hipervnculo"/>
            <w:rFonts w:ascii="Verdana" w:hAnsi="Verdana"/>
            <w:b w:val="0"/>
            <w:noProof/>
            <w:sz w:val="16"/>
            <w:szCs w:val="16"/>
          </w:rPr>
          <w:t>Publicación y difusión de la Sentencia</w:t>
        </w:r>
        <w:r w:rsidRPr="00FD6E66">
          <w:rPr>
            <w:rFonts w:ascii="Verdana" w:hAnsi="Verdana"/>
            <w:b w:val="0"/>
            <w:noProof/>
            <w:webHidden/>
            <w:sz w:val="16"/>
            <w:szCs w:val="16"/>
          </w:rPr>
          <w:tab/>
        </w:r>
        <w:r w:rsidRPr="00FD6E66">
          <w:rPr>
            <w:rFonts w:ascii="Verdana" w:hAnsi="Verdana"/>
            <w:b w:val="0"/>
            <w:noProof/>
            <w:webHidden/>
            <w:sz w:val="16"/>
            <w:szCs w:val="16"/>
          </w:rPr>
          <w:fldChar w:fldCharType="begin"/>
        </w:r>
        <w:r w:rsidRPr="00FD6E66">
          <w:rPr>
            <w:rFonts w:ascii="Verdana" w:hAnsi="Verdana"/>
            <w:b w:val="0"/>
            <w:noProof/>
            <w:webHidden/>
            <w:sz w:val="16"/>
            <w:szCs w:val="16"/>
          </w:rPr>
          <w:instrText xml:space="preserve"> PAGEREF _Toc475555754 \h </w:instrText>
        </w:r>
        <w:r w:rsidRPr="00FD6E66">
          <w:rPr>
            <w:rFonts w:ascii="Verdana" w:hAnsi="Verdana"/>
            <w:b w:val="0"/>
            <w:noProof/>
            <w:webHidden/>
            <w:sz w:val="16"/>
            <w:szCs w:val="16"/>
          </w:rPr>
        </w:r>
        <w:r w:rsidRPr="00FD6E66">
          <w:rPr>
            <w:rFonts w:ascii="Verdana" w:hAnsi="Verdana"/>
            <w:b w:val="0"/>
            <w:noProof/>
            <w:webHidden/>
            <w:sz w:val="16"/>
            <w:szCs w:val="16"/>
          </w:rPr>
          <w:fldChar w:fldCharType="separate"/>
        </w:r>
        <w:r w:rsidR="003437C0">
          <w:rPr>
            <w:rFonts w:ascii="Verdana" w:hAnsi="Verdana"/>
            <w:b w:val="0"/>
            <w:noProof/>
            <w:webHidden/>
            <w:sz w:val="16"/>
            <w:szCs w:val="16"/>
          </w:rPr>
          <w:t>15</w:t>
        </w:r>
        <w:r w:rsidRPr="00FD6E66">
          <w:rPr>
            <w:rFonts w:ascii="Verdana" w:hAnsi="Verdana"/>
            <w:b w:val="0"/>
            <w:noProof/>
            <w:webHidden/>
            <w:sz w:val="16"/>
            <w:szCs w:val="16"/>
          </w:rPr>
          <w:fldChar w:fldCharType="end"/>
        </w:r>
      </w:hyperlink>
    </w:p>
    <w:p w:rsidR="00FD6E66" w:rsidRPr="00B864D3" w:rsidRDefault="00FD6E66">
      <w:pPr>
        <w:pStyle w:val="TDC1"/>
        <w:rPr>
          <w:rFonts w:ascii="Verdana" w:eastAsia="Times New Roman" w:hAnsi="Verdana"/>
          <w:b w:val="0"/>
          <w:bCs w:val="0"/>
          <w:i w:val="0"/>
          <w:iCs w:val="0"/>
          <w:noProof/>
          <w:sz w:val="16"/>
          <w:szCs w:val="16"/>
          <w:lang w:val="es-CR" w:eastAsia="es-CR"/>
        </w:rPr>
      </w:pPr>
      <w:hyperlink w:anchor="_Toc475555755" w:history="1">
        <w:r w:rsidRPr="00FD6E66">
          <w:rPr>
            <w:rStyle w:val="Hipervnculo"/>
            <w:rFonts w:ascii="Verdana" w:hAnsi="Verdana"/>
            <w:b w:val="0"/>
            <w:noProof/>
            <w:sz w:val="16"/>
            <w:szCs w:val="16"/>
          </w:rPr>
          <w:t>D.</w:t>
        </w:r>
        <w:r w:rsidRPr="00B864D3">
          <w:rPr>
            <w:rFonts w:ascii="Verdana" w:eastAsia="Times New Roman" w:hAnsi="Verdana"/>
            <w:b w:val="0"/>
            <w:bCs w:val="0"/>
            <w:i w:val="0"/>
            <w:iCs w:val="0"/>
            <w:noProof/>
            <w:sz w:val="16"/>
            <w:szCs w:val="16"/>
            <w:lang w:val="es-CR" w:eastAsia="es-CR"/>
          </w:rPr>
          <w:tab/>
        </w:r>
        <w:r w:rsidRPr="00FD6E66">
          <w:rPr>
            <w:rStyle w:val="Hipervnculo"/>
            <w:rFonts w:ascii="Verdana" w:hAnsi="Verdana"/>
            <w:b w:val="0"/>
            <w:noProof/>
            <w:sz w:val="16"/>
            <w:szCs w:val="16"/>
            <w:lang w:val="es-CR"/>
          </w:rPr>
          <w:t>Estado de cumplimiento</w:t>
        </w:r>
        <w:r w:rsidRPr="00FD6E66">
          <w:rPr>
            <w:rStyle w:val="Hipervnculo"/>
            <w:rFonts w:ascii="Verdana" w:hAnsi="Verdana"/>
            <w:b w:val="0"/>
            <w:noProof/>
            <w:sz w:val="16"/>
            <w:szCs w:val="16"/>
          </w:rPr>
          <w:t xml:space="preserve"> de las demás medidas de reparación</w:t>
        </w:r>
        <w:r w:rsidRPr="00FD6E66">
          <w:rPr>
            <w:rFonts w:ascii="Verdana" w:hAnsi="Verdana"/>
            <w:b w:val="0"/>
            <w:noProof/>
            <w:webHidden/>
            <w:sz w:val="16"/>
            <w:szCs w:val="16"/>
          </w:rPr>
          <w:tab/>
        </w:r>
        <w:r w:rsidRPr="00FD6E66">
          <w:rPr>
            <w:rFonts w:ascii="Verdana" w:hAnsi="Verdana"/>
            <w:b w:val="0"/>
            <w:noProof/>
            <w:webHidden/>
            <w:sz w:val="16"/>
            <w:szCs w:val="16"/>
          </w:rPr>
          <w:fldChar w:fldCharType="begin"/>
        </w:r>
        <w:r w:rsidRPr="00FD6E66">
          <w:rPr>
            <w:rFonts w:ascii="Verdana" w:hAnsi="Verdana"/>
            <w:b w:val="0"/>
            <w:noProof/>
            <w:webHidden/>
            <w:sz w:val="16"/>
            <w:szCs w:val="16"/>
          </w:rPr>
          <w:instrText xml:space="preserve"> PAGEREF _Toc475555755 \h </w:instrText>
        </w:r>
        <w:r w:rsidRPr="00FD6E66">
          <w:rPr>
            <w:rFonts w:ascii="Verdana" w:hAnsi="Verdana"/>
            <w:b w:val="0"/>
            <w:noProof/>
            <w:webHidden/>
            <w:sz w:val="16"/>
            <w:szCs w:val="16"/>
          </w:rPr>
        </w:r>
        <w:r w:rsidRPr="00FD6E66">
          <w:rPr>
            <w:rFonts w:ascii="Verdana" w:hAnsi="Verdana"/>
            <w:b w:val="0"/>
            <w:noProof/>
            <w:webHidden/>
            <w:sz w:val="16"/>
            <w:szCs w:val="16"/>
          </w:rPr>
          <w:fldChar w:fldCharType="separate"/>
        </w:r>
        <w:r w:rsidR="003437C0">
          <w:rPr>
            <w:rFonts w:ascii="Verdana" w:hAnsi="Verdana"/>
            <w:b w:val="0"/>
            <w:noProof/>
            <w:webHidden/>
            <w:sz w:val="16"/>
            <w:szCs w:val="16"/>
          </w:rPr>
          <w:t>16</w:t>
        </w:r>
        <w:r w:rsidRPr="00FD6E66">
          <w:rPr>
            <w:rFonts w:ascii="Verdana" w:hAnsi="Verdana"/>
            <w:b w:val="0"/>
            <w:noProof/>
            <w:webHidden/>
            <w:sz w:val="16"/>
            <w:szCs w:val="16"/>
          </w:rPr>
          <w:fldChar w:fldCharType="end"/>
        </w:r>
      </w:hyperlink>
    </w:p>
    <w:p w:rsidR="00FD6E66" w:rsidRPr="00B864D3" w:rsidRDefault="00FD6E66">
      <w:pPr>
        <w:pStyle w:val="TDC1"/>
        <w:rPr>
          <w:rFonts w:ascii="Verdana" w:eastAsia="Times New Roman" w:hAnsi="Verdana"/>
          <w:b w:val="0"/>
          <w:bCs w:val="0"/>
          <w:i w:val="0"/>
          <w:iCs w:val="0"/>
          <w:noProof/>
          <w:sz w:val="16"/>
          <w:szCs w:val="16"/>
          <w:lang w:val="es-CR" w:eastAsia="es-CR"/>
        </w:rPr>
      </w:pPr>
      <w:hyperlink w:anchor="_Toc475555756" w:history="1">
        <w:r w:rsidRPr="00FD6E66">
          <w:rPr>
            <w:rStyle w:val="Hipervnculo"/>
            <w:rFonts w:ascii="Verdana" w:hAnsi="Verdana"/>
            <w:b w:val="0"/>
            <w:noProof/>
            <w:sz w:val="16"/>
            <w:szCs w:val="16"/>
          </w:rPr>
          <w:t>E.</w:t>
        </w:r>
        <w:r w:rsidRPr="00B864D3">
          <w:rPr>
            <w:rFonts w:ascii="Verdana" w:eastAsia="Times New Roman" w:hAnsi="Verdana"/>
            <w:b w:val="0"/>
            <w:bCs w:val="0"/>
            <w:i w:val="0"/>
            <w:iCs w:val="0"/>
            <w:noProof/>
            <w:sz w:val="16"/>
            <w:szCs w:val="16"/>
            <w:lang w:val="es-CR" w:eastAsia="es-CR"/>
          </w:rPr>
          <w:tab/>
        </w:r>
        <w:r w:rsidRPr="00FD6E66">
          <w:rPr>
            <w:rStyle w:val="Hipervnculo"/>
            <w:rFonts w:ascii="Verdana" w:hAnsi="Verdana"/>
            <w:b w:val="0"/>
            <w:noProof/>
            <w:sz w:val="16"/>
            <w:szCs w:val="16"/>
          </w:rPr>
          <w:t>Solicitud formulada por la interviniente común Feria Tinta</w:t>
        </w:r>
        <w:r w:rsidRPr="00FD6E66">
          <w:rPr>
            <w:rFonts w:ascii="Verdana" w:hAnsi="Verdana"/>
            <w:b w:val="0"/>
            <w:noProof/>
            <w:webHidden/>
            <w:sz w:val="16"/>
            <w:szCs w:val="16"/>
          </w:rPr>
          <w:tab/>
        </w:r>
        <w:r w:rsidRPr="00FD6E66">
          <w:rPr>
            <w:rFonts w:ascii="Verdana" w:hAnsi="Verdana"/>
            <w:b w:val="0"/>
            <w:noProof/>
            <w:webHidden/>
            <w:sz w:val="16"/>
            <w:szCs w:val="16"/>
          </w:rPr>
          <w:fldChar w:fldCharType="begin"/>
        </w:r>
        <w:r w:rsidRPr="00FD6E66">
          <w:rPr>
            <w:rFonts w:ascii="Verdana" w:hAnsi="Verdana"/>
            <w:b w:val="0"/>
            <w:noProof/>
            <w:webHidden/>
            <w:sz w:val="16"/>
            <w:szCs w:val="16"/>
          </w:rPr>
          <w:instrText xml:space="preserve"> PAGEREF _Toc475555756 \h </w:instrText>
        </w:r>
        <w:r w:rsidRPr="00FD6E66">
          <w:rPr>
            <w:rFonts w:ascii="Verdana" w:hAnsi="Verdana"/>
            <w:b w:val="0"/>
            <w:noProof/>
            <w:webHidden/>
            <w:sz w:val="16"/>
            <w:szCs w:val="16"/>
          </w:rPr>
        </w:r>
        <w:r w:rsidRPr="00FD6E66">
          <w:rPr>
            <w:rFonts w:ascii="Verdana" w:hAnsi="Verdana"/>
            <w:b w:val="0"/>
            <w:noProof/>
            <w:webHidden/>
            <w:sz w:val="16"/>
            <w:szCs w:val="16"/>
          </w:rPr>
          <w:fldChar w:fldCharType="separate"/>
        </w:r>
        <w:r w:rsidR="003437C0">
          <w:rPr>
            <w:rFonts w:ascii="Verdana" w:hAnsi="Verdana"/>
            <w:b w:val="0"/>
            <w:noProof/>
            <w:webHidden/>
            <w:sz w:val="16"/>
            <w:szCs w:val="16"/>
          </w:rPr>
          <w:t>21</w:t>
        </w:r>
        <w:r w:rsidRPr="00FD6E66">
          <w:rPr>
            <w:rFonts w:ascii="Verdana" w:hAnsi="Verdana"/>
            <w:b w:val="0"/>
            <w:noProof/>
            <w:webHidden/>
            <w:sz w:val="16"/>
            <w:szCs w:val="16"/>
          </w:rPr>
          <w:fldChar w:fldCharType="end"/>
        </w:r>
      </w:hyperlink>
    </w:p>
    <w:p w:rsidR="00950B99" w:rsidRDefault="00AE180B" w:rsidP="00C966DC">
      <w:pPr>
        <w:rPr>
          <w:rFonts w:ascii="Verdana" w:hAnsi="Verdana"/>
          <w:bCs/>
          <w:noProof/>
          <w:sz w:val="16"/>
          <w:szCs w:val="16"/>
        </w:rPr>
      </w:pPr>
      <w:r w:rsidRPr="00FD6E66">
        <w:rPr>
          <w:rFonts w:ascii="Verdana" w:hAnsi="Verdana"/>
          <w:bCs/>
          <w:noProof/>
          <w:sz w:val="16"/>
          <w:szCs w:val="16"/>
        </w:rPr>
        <w:lastRenderedPageBreak/>
        <w:fldChar w:fldCharType="end"/>
      </w:r>
      <w:bookmarkStart w:id="1" w:name="_Toc345249280"/>
    </w:p>
    <w:p w:rsidR="001E344B" w:rsidRDefault="001E344B" w:rsidP="00C966DC">
      <w:pPr>
        <w:rPr>
          <w:rFonts w:ascii="Verdana" w:hAnsi="Verdana"/>
          <w:bCs/>
          <w:noProof/>
          <w:sz w:val="16"/>
          <w:szCs w:val="16"/>
        </w:rPr>
      </w:pPr>
    </w:p>
    <w:p w:rsidR="001E344B" w:rsidRPr="00FD6E66" w:rsidRDefault="001E344B" w:rsidP="00C966DC">
      <w:pPr>
        <w:rPr>
          <w:rFonts w:ascii="Verdana" w:hAnsi="Verdana"/>
          <w:sz w:val="16"/>
          <w:szCs w:val="16"/>
        </w:rPr>
      </w:pPr>
    </w:p>
    <w:p w:rsidR="00F80209" w:rsidRPr="00AF53ED" w:rsidRDefault="00671D2D" w:rsidP="00D333AB">
      <w:pPr>
        <w:pStyle w:val="Ttulo1"/>
      </w:pPr>
      <w:bookmarkStart w:id="2" w:name="_Toc475555747"/>
      <w:r>
        <w:rPr>
          <w:lang w:val="es-CR"/>
        </w:rPr>
        <w:t>Pago del monto relativo a atención médica y psicológica para las víctimas que residan en el exterior</w:t>
      </w:r>
      <w:r w:rsidR="004B0DA6" w:rsidRPr="00AF53ED">
        <w:t xml:space="preserve"> </w:t>
      </w:r>
      <w:r w:rsidR="00D00412">
        <w:rPr>
          <w:lang w:val="es-CR"/>
        </w:rPr>
        <w:t>y pago de las indemnizaciones por daños material</w:t>
      </w:r>
      <w:r w:rsidR="00C119CC">
        <w:rPr>
          <w:lang w:val="es-CR"/>
        </w:rPr>
        <w:t>es</w:t>
      </w:r>
      <w:r w:rsidR="00D00412">
        <w:rPr>
          <w:lang w:val="es-CR"/>
        </w:rPr>
        <w:t xml:space="preserve"> e inmaterial</w:t>
      </w:r>
      <w:bookmarkEnd w:id="1"/>
      <w:r w:rsidR="00C119CC">
        <w:rPr>
          <w:lang w:val="es-CR"/>
        </w:rPr>
        <w:t>es</w:t>
      </w:r>
      <w:bookmarkEnd w:id="2"/>
    </w:p>
    <w:p w:rsidR="0080443C" w:rsidRDefault="0080443C" w:rsidP="00D333AB">
      <w:pPr>
        <w:tabs>
          <w:tab w:val="left" w:pos="567"/>
        </w:tabs>
        <w:rPr>
          <w:rFonts w:ascii="Verdana" w:hAnsi="Verdana"/>
          <w:sz w:val="20"/>
        </w:rPr>
      </w:pPr>
    </w:p>
    <w:p w:rsidR="0035636A" w:rsidRDefault="0035636A" w:rsidP="00D333AB">
      <w:pPr>
        <w:tabs>
          <w:tab w:val="left" w:pos="567"/>
        </w:tabs>
        <w:rPr>
          <w:rFonts w:ascii="Verdana" w:hAnsi="Verdana"/>
          <w:sz w:val="20"/>
        </w:rPr>
      </w:pPr>
    </w:p>
    <w:p w:rsidR="001A0FA6" w:rsidRDefault="001A0FA6" w:rsidP="00D333AB">
      <w:pPr>
        <w:pStyle w:val="Ttulo1"/>
        <w:numPr>
          <w:ilvl w:val="0"/>
          <w:numId w:val="0"/>
        </w:numPr>
        <w:ind w:firstLine="360"/>
        <w:rPr>
          <w:b w:val="0"/>
          <w:i/>
        </w:rPr>
      </w:pPr>
      <w:bookmarkStart w:id="3" w:name="_Toc345249281"/>
      <w:bookmarkStart w:id="4" w:name="_Toc475555748"/>
      <w:r w:rsidRPr="001A0FA6">
        <w:rPr>
          <w:b w:val="0"/>
          <w:i/>
        </w:rPr>
        <w:t>A.1</w:t>
      </w:r>
      <w:r w:rsidR="00911E38">
        <w:rPr>
          <w:b w:val="0"/>
          <w:i/>
        </w:rPr>
        <w:t>.</w:t>
      </w:r>
      <w:r w:rsidRPr="001A0FA6">
        <w:rPr>
          <w:b w:val="0"/>
          <w:i/>
        </w:rPr>
        <w:t xml:space="preserve"> </w:t>
      </w:r>
      <w:r w:rsidR="00806A6B">
        <w:rPr>
          <w:rStyle w:val="SubttuloCar"/>
          <w:b w:val="0"/>
          <w:i/>
          <w:lang w:val="es-CR"/>
        </w:rPr>
        <w:t>Medida</w:t>
      </w:r>
      <w:r w:rsidR="005529E6">
        <w:rPr>
          <w:rStyle w:val="SubttuloCar"/>
          <w:b w:val="0"/>
          <w:i/>
          <w:lang w:val="es-CR"/>
        </w:rPr>
        <w:t>s</w:t>
      </w:r>
      <w:r w:rsidR="00806A6B">
        <w:rPr>
          <w:rStyle w:val="SubttuloCar"/>
          <w:b w:val="0"/>
          <w:i/>
          <w:lang w:val="es-CR"/>
        </w:rPr>
        <w:t xml:space="preserve"> ordenada</w:t>
      </w:r>
      <w:r w:rsidR="005529E6">
        <w:rPr>
          <w:rStyle w:val="SubttuloCar"/>
          <w:b w:val="0"/>
          <w:i/>
          <w:lang w:val="es-CR"/>
        </w:rPr>
        <w:t>s</w:t>
      </w:r>
      <w:r w:rsidR="00806A6B">
        <w:rPr>
          <w:rStyle w:val="SubttuloCar"/>
          <w:b w:val="0"/>
          <w:i/>
          <w:lang w:val="es-CR"/>
        </w:rPr>
        <w:t xml:space="preserve"> por la Co</w:t>
      </w:r>
      <w:r w:rsidR="007234EA">
        <w:rPr>
          <w:rStyle w:val="SubttuloCar"/>
          <w:b w:val="0"/>
          <w:i/>
          <w:lang w:val="es-CR"/>
        </w:rPr>
        <w:t>rte y supervisión realizada en r</w:t>
      </w:r>
      <w:r w:rsidR="00806A6B">
        <w:rPr>
          <w:rStyle w:val="SubttuloCar"/>
          <w:b w:val="0"/>
          <w:i/>
          <w:lang w:val="es-CR"/>
        </w:rPr>
        <w:t>esoluciones anteriores</w:t>
      </w:r>
      <w:bookmarkEnd w:id="3"/>
      <w:bookmarkEnd w:id="4"/>
    </w:p>
    <w:p w:rsidR="00911E38" w:rsidRPr="00911E38" w:rsidRDefault="00911E38" w:rsidP="00D333AB"/>
    <w:p w:rsidR="00D81E55" w:rsidRDefault="00D00412" w:rsidP="00D333AB">
      <w:pPr>
        <w:pStyle w:val="Cuadrculamedia1-nfasis2"/>
        <w:numPr>
          <w:ilvl w:val="0"/>
          <w:numId w:val="1"/>
        </w:numPr>
        <w:tabs>
          <w:tab w:val="left" w:pos="567"/>
        </w:tabs>
        <w:ind w:left="0" w:firstLine="0"/>
        <w:contextualSpacing/>
        <w:jc w:val="both"/>
        <w:rPr>
          <w:rFonts w:ascii="Verdana" w:hAnsi="Verdana"/>
          <w:sz w:val="20"/>
        </w:rPr>
      </w:pPr>
      <w:r w:rsidRPr="00D81E55">
        <w:rPr>
          <w:rFonts w:ascii="Verdana" w:hAnsi="Verdana"/>
          <w:sz w:val="20"/>
        </w:rPr>
        <w:t>E</w:t>
      </w:r>
      <w:r w:rsidRPr="00D81E55">
        <w:rPr>
          <w:rFonts w:ascii="Verdana" w:hAnsi="Verdana"/>
          <w:sz w:val="20"/>
          <w:lang w:val="es-ES"/>
        </w:rPr>
        <w:t>n el punto resolutivo décimo cuarto y en los párrafos 450 y 461 de la Sentencia, la Corte ordenó “[r]</w:t>
      </w:r>
      <w:r w:rsidRPr="00D81E55">
        <w:rPr>
          <w:rFonts w:ascii="Verdana" w:hAnsi="Verdana"/>
          <w:sz w:val="20"/>
        </w:rPr>
        <w:t>especto de las víctimas que acrediten tener su domicilio en el exterior</w:t>
      </w:r>
      <w:r w:rsidR="00C119CC">
        <w:rPr>
          <w:rFonts w:ascii="Verdana" w:hAnsi="Verdana"/>
          <w:sz w:val="20"/>
        </w:rPr>
        <w:t xml:space="preserve"> y prueben</w:t>
      </w:r>
      <w:r w:rsidRPr="00D81E55">
        <w:rPr>
          <w:rFonts w:ascii="Verdana" w:hAnsi="Verdana"/>
          <w:sz w:val="20"/>
        </w:rPr>
        <w:t xml:space="preserve"> […] que con motivo de los hechos del […] caso necesitan recibir un tratamiento médico o psicológico adecuado, el Estado deberá depositarles en una cuenta bancaria que cada víctima indique, la cantidad de US$ 5.000,00 (cinco mil dólares de los Estados Unidos de América), con el propósito de que ese dinero pueda constituir una ayuda para dicho tratamiento”.</w:t>
      </w:r>
      <w:r w:rsidR="00D81E55" w:rsidRPr="00D81E55">
        <w:rPr>
          <w:rFonts w:ascii="Verdana" w:hAnsi="Verdana"/>
          <w:sz w:val="20"/>
        </w:rPr>
        <w:t xml:space="preserve"> Asimismo, indicó que las víctimas </w:t>
      </w:r>
      <w:r w:rsidR="00F440D4">
        <w:rPr>
          <w:rFonts w:ascii="Verdana" w:hAnsi="Verdana"/>
          <w:sz w:val="20"/>
        </w:rPr>
        <w:t>contaban con</w:t>
      </w:r>
      <w:r w:rsidR="00D81E55" w:rsidRPr="00D81E55">
        <w:rPr>
          <w:rFonts w:ascii="Verdana" w:hAnsi="Verdana"/>
          <w:sz w:val="20"/>
        </w:rPr>
        <w:t xml:space="preserve"> un “plazo de 8 meses a partir de la notificación de [la] Sentencia, [para] </w:t>
      </w:r>
      <w:proofErr w:type="gramStart"/>
      <w:r w:rsidR="00D81E55" w:rsidRPr="00D81E55">
        <w:rPr>
          <w:rFonts w:ascii="Verdana" w:hAnsi="Verdana"/>
          <w:sz w:val="20"/>
        </w:rPr>
        <w:t>acredit[</w:t>
      </w:r>
      <w:proofErr w:type="gramEnd"/>
      <w:r w:rsidR="00D81E55" w:rsidRPr="00D81E55">
        <w:rPr>
          <w:rFonts w:ascii="Verdana" w:hAnsi="Verdana"/>
          <w:sz w:val="20"/>
        </w:rPr>
        <w:t>ar] tener su domicilio en el exterior y pr[obar] que necesitan recibir un tratamiento médico o psicológico</w:t>
      </w:r>
      <w:r w:rsidR="00F440D4">
        <w:rPr>
          <w:rFonts w:ascii="Verdana" w:hAnsi="Verdana"/>
          <w:sz w:val="20"/>
        </w:rPr>
        <w:t>”, a la vez que</w:t>
      </w:r>
      <w:r w:rsidR="00D81E55" w:rsidRPr="00F440D4">
        <w:rPr>
          <w:rFonts w:ascii="Verdana" w:hAnsi="Verdana"/>
          <w:sz w:val="20"/>
        </w:rPr>
        <w:t xml:space="preserve"> el Estado tendría que depositarles la cantidad referida “en el plazo de 18 meses contado a partir de la notificación de </w:t>
      </w:r>
      <w:r w:rsidR="00C119CC">
        <w:rPr>
          <w:rFonts w:ascii="Verdana" w:hAnsi="Verdana"/>
          <w:sz w:val="20"/>
        </w:rPr>
        <w:t xml:space="preserve">la </w:t>
      </w:r>
      <w:r w:rsidR="00D81E55" w:rsidRPr="00F440D4">
        <w:rPr>
          <w:rFonts w:ascii="Verdana" w:hAnsi="Verdana"/>
          <w:sz w:val="20"/>
        </w:rPr>
        <w:t>[</w:t>
      </w:r>
      <w:r w:rsidR="00C119CC">
        <w:rPr>
          <w:rFonts w:ascii="Verdana" w:hAnsi="Verdana"/>
          <w:sz w:val="20"/>
        </w:rPr>
        <w:t>…</w:t>
      </w:r>
      <w:r w:rsidR="00D81E55" w:rsidRPr="00F440D4">
        <w:rPr>
          <w:rFonts w:ascii="Verdana" w:hAnsi="Verdana"/>
          <w:sz w:val="20"/>
        </w:rPr>
        <w:t>] Sentencia”.</w:t>
      </w:r>
    </w:p>
    <w:p w:rsidR="009A366B" w:rsidRDefault="009A366B" w:rsidP="00D333AB">
      <w:pPr>
        <w:pStyle w:val="Cuadrculamedia1-nfasis2"/>
        <w:tabs>
          <w:tab w:val="left" w:pos="567"/>
        </w:tabs>
        <w:ind w:left="0"/>
        <w:contextualSpacing/>
        <w:jc w:val="both"/>
        <w:rPr>
          <w:rFonts w:ascii="Verdana" w:hAnsi="Verdana"/>
          <w:sz w:val="20"/>
        </w:rPr>
      </w:pPr>
    </w:p>
    <w:p w:rsidR="00D81E55" w:rsidRPr="009A366B" w:rsidRDefault="009A366B" w:rsidP="00D333AB">
      <w:pPr>
        <w:pStyle w:val="Cuadrculamedia1-nfasis2"/>
        <w:numPr>
          <w:ilvl w:val="0"/>
          <w:numId w:val="1"/>
        </w:numPr>
        <w:tabs>
          <w:tab w:val="left" w:pos="567"/>
        </w:tabs>
        <w:ind w:left="0" w:firstLine="0"/>
        <w:contextualSpacing/>
        <w:jc w:val="both"/>
        <w:rPr>
          <w:rFonts w:ascii="Verdana" w:hAnsi="Verdana"/>
          <w:sz w:val="20"/>
        </w:rPr>
      </w:pPr>
      <w:r>
        <w:rPr>
          <w:rFonts w:ascii="Verdana" w:hAnsi="Verdana"/>
          <w:sz w:val="20"/>
        </w:rPr>
        <w:t>Respecto d</w:t>
      </w:r>
      <w:r w:rsidRPr="009A366B">
        <w:rPr>
          <w:rFonts w:ascii="Verdana" w:hAnsi="Verdana"/>
          <w:sz w:val="20"/>
        </w:rPr>
        <w:t>el pago de indemnizaciones para reparar los daños materiales e inmateriales</w:t>
      </w:r>
      <w:r>
        <w:rPr>
          <w:rFonts w:ascii="Verdana" w:hAnsi="Verdana"/>
          <w:sz w:val="20"/>
        </w:rPr>
        <w:t>, la Corte ordenó</w:t>
      </w:r>
      <w:r w:rsidR="002F1827">
        <w:rPr>
          <w:rFonts w:ascii="Verdana" w:hAnsi="Verdana"/>
          <w:sz w:val="20"/>
        </w:rPr>
        <w:t xml:space="preserve"> dichas medidas</w:t>
      </w:r>
      <w:r w:rsidRPr="009A366B">
        <w:rPr>
          <w:rFonts w:ascii="Verdana" w:hAnsi="Verdana"/>
          <w:sz w:val="20"/>
        </w:rPr>
        <w:t xml:space="preserve"> en los puntos resolutivos décimo octavo a vigésimo tercero y en los párrafos 424 a 428, 433, 434, 457, 458, 465, 466, 467 y 468 de la Sentencia. En lo que </w:t>
      </w:r>
      <w:r w:rsidR="005F31AF">
        <w:rPr>
          <w:rFonts w:ascii="Verdana" w:hAnsi="Verdana"/>
          <w:sz w:val="20"/>
        </w:rPr>
        <w:t>se refiere</w:t>
      </w:r>
      <w:r w:rsidRPr="009A366B">
        <w:rPr>
          <w:rFonts w:ascii="Verdana" w:hAnsi="Verdana"/>
          <w:sz w:val="20"/>
        </w:rPr>
        <w:t xml:space="preserve"> al daño material, la Corte dispuso que el Estado debe pagar, dentro del plazo de 18 meses, las cantidades fijadas en la Sentencia por concepto del daño material causado a los 41 internos fallecidos identificados, a los internos sobrevivientes y a los familiares de los internos por los gastos de búsqueda y gastos de entierro. Asimismo, en lo que respecta al daño inmaterial, la Corte fijó las correspondientes indemnizaciones que el Estado debe pagar </w:t>
      </w:r>
      <w:r w:rsidR="00CB4FCE">
        <w:rPr>
          <w:rFonts w:ascii="Verdana" w:hAnsi="Verdana"/>
          <w:sz w:val="20"/>
        </w:rPr>
        <w:t>respecto de</w:t>
      </w:r>
      <w:r w:rsidRPr="009A366B">
        <w:rPr>
          <w:rFonts w:ascii="Verdana" w:hAnsi="Verdana"/>
          <w:sz w:val="20"/>
        </w:rPr>
        <w:t xml:space="preserve"> cada una de las 41 víctimas fallecidas identificadas y </w:t>
      </w:r>
      <w:r w:rsidR="00CB4FCE">
        <w:rPr>
          <w:rFonts w:ascii="Verdana" w:hAnsi="Verdana"/>
          <w:sz w:val="20"/>
        </w:rPr>
        <w:t>a</w:t>
      </w:r>
      <w:r w:rsidRPr="009A366B">
        <w:rPr>
          <w:rFonts w:ascii="Verdana" w:hAnsi="Verdana"/>
          <w:sz w:val="20"/>
        </w:rPr>
        <w:t xml:space="preserve"> las víctimas sobrevivientes, a los familiares inmediatos de las 41 víctimas fallecidas identificadas y a los familiares declarados víctimas de la violación del artículo 5 de la Convención Americana determinados en los párrafos 336, 337, 340 y 341 e identificadas en el Anexo 2 de víctimas de la Sentencia. En el párrafo 433 de la Sentencia se ‘‘fij[ó] en equidad las […] indemnizaciones por concepto de daño inmaterial’’. Esp</w:t>
      </w:r>
      <w:r w:rsidR="00764D8F">
        <w:rPr>
          <w:rFonts w:ascii="Verdana" w:hAnsi="Verdana"/>
          <w:sz w:val="20"/>
        </w:rPr>
        <w:t>ecíficamente, en el párrafo 433.</w:t>
      </w:r>
      <w:r w:rsidRPr="009A366B">
        <w:rPr>
          <w:rFonts w:ascii="Verdana" w:hAnsi="Verdana"/>
          <w:sz w:val="20"/>
        </w:rPr>
        <w:t>c) se dispu</w:t>
      </w:r>
      <w:r w:rsidR="005327A8">
        <w:rPr>
          <w:rFonts w:ascii="Verdana" w:hAnsi="Verdana"/>
          <w:sz w:val="20"/>
        </w:rPr>
        <w:t>sieron</w:t>
      </w:r>
      <w:r w:rsidRPr="009A366B">
        <w:rPr>
          <w:rFonts w:ascii="Verdana" w:hAnsi="Verdana"/>
          <w:sz w:val="20"/>
        </w:rPr>
        <w:t xml:space="preserve"> las indemnizaciones por daño inmaterial respecto de las ‘‘víctimas sobrevivientes’’, para lo cual se estableci</w:t>
      </w:r>
      <w:r w:rsidR="005327A8">
        <w:rPr>
          <w:rFonts w:ascii="Verdana" w:hAnsi="Verdana"/>
          <w:sz w:val="20"/>
        </w:rPr>
        <w:t xml:space="preserve">eron </w:t>
      </w:r>
      <w:r w:rsidRPr="009A366B">
        <w:rPr>
          <w:rFonts w:ascii="Verdana" w:hAnsi="Verdana"/>
          <w:sz w:val="20"/>
        </w:rPr>
        <w:t>las siguientes categorías con cantidades diferenciadas de indemnización: i) para ‘‘las víctimas con lesiones o incapacidades físicas o psíquicas que implican una incapacidad total permanente para trabajar”</w:t>
      </w:r>
      <w:r w:rsidR="00764D8F">
        <w:rPr>
          <w:rFonts w:ascii="Verdana" w:hAnsi="Verdana"/>
          <w:sz w:val="20"/>
        </w:rPr>
        <w:t xml:space="preserve"> se</w:t>
      </w:r>
      <w:r w:rsidRPr="009A366B">
        <w:rPr>
          <w:rFonts w:ascii="Verdana" w:hAnsi="Verdana"/>
          <w:sz w:val="20"/>
        </w:rPr>
        <w:t xml:space="preserve"> fijó la cantidad de US$</w:t>
      </w:r>
      <w:r w:rsidR="00C119CC">
        <w:rPr>
          <w:rFonts w:ascii="Verdana" w:hAnsi="Verdana"/>
          <w:sz w:val="20"/>
        </w:rPr>
        <w:t xml:space="preserve"> </w:t>
      </w:r>
      <w:r w:rsidRPr="009A366B">
        <w:rPr>
          <w:rFonts w:ascii="Verdana" w:hAnsi="Verdana"/>
          <w:sz w:val="20"/>
        </w:rPr>
        <w:t>20.000,00</w:t>
      </w:r>
      <w:r w:rsidR="00C119CC">
        <w:rPr>
          <w:rFonts w:ascii="Verdana" w:hAnsi="Verdana"/>
          <w:sz w:val="20"/>
        </w:rPr>
        <w:t xml:space="preserve"> </w:t>
      </w:r>
      <w:r w:rsidR="00C119CC" w:rsidRPr="00D81E55">
        <w:rPr>
          <w:rFonts w:ascii="Verdana" w:hAnsi="Verdana"/>
          <w:sz w:val="20"/>
        </w:rPr>
        <w:t>(</w:t>
      </w:r>
      <w:r w:rsidR="00C119CC">
        <w:rPr>
          <w:rFonts w:ascii="Verdana" w:hAnsi="Verdana"/>
          <w:sz w:val="20"/>
        </w:rPr>
        <w:t>veinte</w:t>
      </w:r>
      <w:r w:rsidR="00C119CC" w:rsidRPr="00D81E55">
        <w:rPr>
          <w:rFonts w:ascii="Verdana" w:hAnsi="Verdana"/>
          <w:sz w:val="20"/>
        </w:rPr>
        <w:t xml:space="preserve"> mil dólares de los Estados Unidos de América)</w:t>
      </w:r>
      <w:r w:rsidRPr="009A366B">
        <w:rPr>
          <w:rFonts w:ascii="Verdana" w:hAnsi="Verdana"/>
          <w:sz w:val="20"/>
        </w:rPr>
        <w:t xml:space="preserve">; ii) para aquéllas ‘‘con lesiones o incapacidades físicas o psíquicas que implican una incapacidad parcial permanente para trabajar” </w:t>
      </w:r>
      <w:r w:rsidR="00764D8F">
        <w:rPr>
          <w:rFonts w:ascii="Verdana" w:hAnsi="Verdana"/>
          <w:sz w:val="20"/>
        </w:rPr>
        <w:t xml:space="preserve">se </w:t>
      </w:r>
      <w:r w:rsidRPr="009A366B">
        <w:rPr>
          <w:rFonts w:ascii="Verdana" w:hAnsi="Verdana"/>
          <w:sz w:val="20"/>
        </w:rPr>
        <w:t>fijó la cantidad de US$</w:t>
      </w:r>
      <w:r w:rsidR="00C119CC">
        <w:rPr>
          <w:rFonts w:ascii="Verdana" w:hAnsi="Verdana"/>
          <w:sz w:val="20"/>
        </w:rPr>
        <w:t xml:space="preserve"> </w:t>
      </w:r>
      <w:r w:rsidRPr="009A366B">
        <w:rPr>
          <w:rFonts w:ascii="Verdana" w:hAnsi="Verdana"/>
          <w:sz w:val="20"/>
        </w:rPr>
        <w:t>12.000,00</w:t>
      </w:r>
      <w:r w:rsidR="00C119CC">
        <w:rPr>
          <w:rFonts w:ascii="Verdana" w:hAnsi="Verdana"/>
          <w:sz w:val="20"/>
        </w:rPr>
        <w:t xml:space="preserve"> </w:t>
      </w:r>
      <w:r w:rsidR="00C119CC" w:rsidRPr="00D81E55">
        <w:rPr>
          <w:rFonts w:ascii="Verdana" w:hAnsi="Verdana"/>
          <w:sz w:val="20"/>
        </w:rPr>
        <w:t>(</w:t>
      </w:r>
      <w:r w:rsidR="00C119CC">
        <w:rPr>
          <w:rFonts w:ascii="Verdana" w:hAnsi="Verdana"/>
          <w:sz w:val="20"/>
        </w:rPr>
        <w:t>doce</w:t>
      </w:r>
      <w:r w:rsidR="00C119CC" w:rsidRPr="00D81E55">
        <w:rPr>
          <w:rFonts w:ascii="Verdana" w:hAnsi="Verdana"/>
          <w:sz w:val="20"/>
        </w:rPr>
        <w:t xml:space="preserve"> mil dólares de los Estados Unidos de América)</w:t>
      </w:r>
      <w:r w:rsidRPr="009A366B">
        <w:rPr>
          <w:rFonts w:ascii="Verdana" w:hAnsi="Verdana"/>
          <w:sz w:val="20"/>
        </w:rPr>
        <w:t>; iii) para aquéllas con “consecuencias permanentes por heridas sufridas que no generaron incapacidad total ni parcial”</w:t>
      </w:r>
      <w:r w:rsidR="00764D8F">
        <w:rPr>
          <w:rFonts w:ascii="Verdana" w:hAnsi="Verdana"/>
          <w:sz w:val="20"/>
        </w:rPr>
        <w:t xml:space="preserve"> se</w:t>
      </w:r>
      <w:r w:rsidRPr="009A366B">
        <w:rPr>
          <w:rFonts w:ascii="Verdana" w:hAnsi="Verdana"/>
          <w:sz w:val="20"/>
        </w:rPr>
        <w:t xml:space="preserve"> fijó la cantidad de US$</w:t>
      </w:r>
      <w:r w:rsidR="00C119CC">
        <w:rPr>
          <w:rFonts w:ascii="Verdana" w:hAnsi="Verdana"/>
          <w:sz w:val="20"/>
        </w:rPr>
        <w:t xml:space="preserve"> </w:t>
      </w:r>
      <w:r w:rsidRPr="009A366B">
        <w:rPr>
          <w:rFonts w:ascii="Verdana" w:hAnsi="Verdana"/>
          <w:sz w:val="20"/>
        </w:rPr>
        <w:t>8.000,00</w:t>
      </w:r>
      <w:r w:rsidR="00C119CC">
        <w:rPr>
          <w:rFonts w:ascii="Verdana" w:hAnsi="Verdana"/>
          <w:sz w:val="20"/>
        </w:rPr>
        <w:t xml:space="preserve"> </w:t>
      </w:r>
      <w:r w:rsidR="00C119CC" w:rsidRPr="00D81E55">
        <w:rPr>
          <w:rFonts w:ascii="Verdana" w:hAnsi="Verdana"/>
          <w:sz w:val="20"/>
        </w:rPr>
        <w:t>(</w:t>
      </w:r>
      <w:r w:rsidR="00C119CC">
        <w:rPr>
          <w:rFonts w:ascii="Verdana" w:hAnsi="Verdana"/>
          <w:sz w:val="20"/>
        </w:rPr>
        <w:t>ocho</w:t>
      </w:r>
      <w:r w:rsidR="00C119CC" w:rsidRPr="00D81E55">
        <w:rPr>
          <w:rFonts w:ascii="Verdana" w:hAnsi="Verdana"/>
          <w:sz w:val="20"/>
        </w:rPr>
        <w:t xml:space="preserve"> mil dólares de los Estados Unidos de América)</w:t>
      </w:r>
      <w:r w:rsidRPr="009A366B">
        <w:rPr>
          <w:rFonts w:ascii="Verdana" w:hAnsi="Verdana"/>
          <w:sz w:val="20"/>
        </w:rPr>
        <w:t xml:space="preserve">, y iv)para ‘‘las otras víctimas sobrevivientes que no queden incluidas en alguna de las categorías antes mencionadas’’ </w:t>
      </w:r>
      <w:r w:rsidR="007412CA">
        <w:rPr>
          <w:rFonts w:ascii="Verdana" w:hAnsi="Verdana"/>
          <w:sz w:val="20"/>
        </w:rPr>
        <w:t xml:space="preserve">se </w:t>
      </w:r>
      <w:r w:rsidRPr="009A366B">
        <w:rPr>
          <w:rFonts w:ascii="Verdana" w:hAnsi="Verdana"/>
          <w:sz w:val="20"/>
        </w:rPr>
        <w:t>fijó la cantidad de US$</w:t>
      </w:r>
      <w:r w:rsidR="00C119CC">
        <w:rPr>
          <w:rFonts w:ascii="Verdana" w:hAnsi="Verdana"/>
          <w:sz w:val="20"/>
        </w:rPr>
        <w:t xml:space="preserve"> </w:t>
      </w:r>
      <w:r w:rsidRPr="009A366B">
        <w:rPr>
          <w:rFonts w:ascii="Verdana" w:hAnsi="Verdana"/>
          <w:sz w:val="20"/>
        </w:rPr>
        <w:t>4.000,00</w:t>
      </w:r>
      <w:r w:rsidR="00C119CC">
        <w:rPr>
          <w:rFonts w:ascii="Verdana" w:hAnsi="Verdana"/>
          <w:sz w:val="20"/>
        </w:rPr>
        <w:t xml:space="preserve"> </w:t>
      </w:r>
      <w:r w:rsidR="00C119CC" w:rsidRPr="00D81E55">
        <w:rPr>
          <w:rFonts w:ascii="Verdana" w:hAnsi="Verdana"/>
          <w:sz w:val="20"/>
        </w:rPr>
        <w:t>(</w:t>
      </w:r>
      <w:r w:rsidR="00C119CC">
        <w:rPr>
          <w:rFonts w:ascii="Verdana" w:hAnsi="Verdana"/>
          <w:sz w:val="20"/>
        </w:rPr>
        <w:t>cuatro</w:t>
      </w:r>
      <w:r w:rsidR="00C119CC" w:rsidRPr="00D81E55">
        <w:rPr>
          <w:rFonts w:ascii="Verdana" w:hAnsi="Verdana"/>
          <w:sz w:val="20"/>
        </w:rPr>
        <w:t xml:space="preserve"> mil dólares de los Estados Unidos de América)</w:t>
      </w:r>
      <w:r w:rsidRPr="009A366B">
        <w:rPr>
          <w:rFonts w:ascii="Verdana" w:hAnsi="Verdana"/>
          <w:sz w:val="20"/>
        </w:rPr>
        <w:t>. Asimismo, en el párrafo 433</w:t>
      </w:r>
      <w:r w:rsidR="00764D8F">
        <w:rPr>
          <w:rFonts w:ascii="Verdana" w:hAnsi="Verdana"/>
          <w:sz w:val="20"/>
        </w:rPr>
        <w:t>.c)</w:t>
      </w:r>
      <w:r w:rsidRPr="009A366B">
        <w:rPr>
          <w:rFonts w:ascii="Verdana" w:hAnsi="Verdana"/>
          <w:sz w:val="20"/>
        </w:rPr>
        <w:t>v</w:t>
      </w:r>
      <w:r w:rsidR="00764D8F">
        <w:rPr>
          <w:rFonts w:ascii="Verdana" w:hAnsi="Verdana"/>
          <w:sz w:val="20"/>
        </w:rPr>
        <w:t>)</w:t>
      </w:r>
      <w:r w:rsidRPr="009A366B">
        <w:rPr>
          <w:rFonts w:ascii="Verdana" w:hAnsi="Verdana"/>
          <w:sz w:val="20"/>
        </w:rPr>
        <w:t xml:space="preserve"> estableció que ‘‘para determinar individualmente en cuál de las anteriores categorías se debe incluir a cada una de las víctimas sobrevivientes, dicha determinación deberá ser realizada por los órganos internos especializados en clasificación de lesiones e incapacidades a requerimiento de los interesados, quienes deberán presentar su solicitud dentro de 8 meses’’.</w:t>
      </w:r>
    </w:p>
    <w:p w:rsidR="00A32BD1" w:rsidRPr="00A32BD1" w:rsidRDefault="00A32BD1" w:rsidP="00D333AB">
      <w:pPr>
        <w:pStyle w:val="Cuadrculamedia1-nfasis2"/>
        <w:tabs>
          <w:tab w:val="left" w:pos="567"/>
        </w:tabs>
        <w:ind w:left="0"/>
        <w:contextualSpacing/>
        <w:jc w:val="both"/>
        <w:rPr>
          <w:rFonts w:ascii="Verdana" w:hAnsi="Verdana"/>
          <w:i/>
          <w:sz w:val="20"/>
        </w:rPr>
      </w:pPr>
    </w:p>
    <w:p w:rsidR="00F90BEF" w:rsidRDefault="001A0FA6" w:rsidP="00D333AB">
      <w:pPr>
        <w:pStyle w:val="Cuadrculamedia1-nfasis2"/>
        <w:numPr>
          <w:ilvl w:val="0"/>
          <w:numId w:val="1"/>
        </w:numPr>
        <w:tabs>
          <w:tab w:val="left" w:pos="567"/>
        </w:tabs>
        <w:ind w:left="0" w:firstLine="0"/>
        <w:contextualSpacing/>
        <w:jc w:val="both"/>
        <w:rPr>
          <w:rFonts w:ascii="Verdana" w:hAnsi="Verdana"/>
          <w:sz w:val="20"/>
        </w:rPr>
      </w:pPr>
      <w:r w:rsidRPr="00367EF3">
        <w:rPr>
          <w:rFonts w:ascii="Verdana" w:hAnsi="Verdana"/>
          <w:sz w:val="20"/>
        </w:rPr>
        <w:t xml:space="preserve">En </w:t>
      </w:r>
      <w:r w:rsidR="00A03A26">
        <w:rPr>
          <w:rFonts w:ascii="Verdana" w:hAnsi="Verdana"/>
          <w:sz w:val="20"/>
        </w:rPr>
        <w:t>las Resoluciones de supervisión de cumplimiento del presente caso (</w:t>
      </w:r>
      <w:r w:rsidR="00A03A26">
        <w:rPr>
          <w:rFonts w:ascii="Verdana" w:hAnsi="Verdana"/>
          <w:i/>
          <w:sz w:val="20"/>
        </w:rPr>
        <w:t xml:space="preserve">supra </w:t>
      </w:r>
      <w:r w:rsidR="00A03A26" w:rsidRPr="007234EA">
        <w:rPr>
          <w:rFonts w:ascii="Verdana" w:hAnsi="Verdana"/>
          <w:sz w:val="20"/>
        </w:rPr>
        <w:t>Visto 3),</w:t>
      </w:r>
      <w:r w:rsidR="00A03A26">
        <w:rPr>
          <w:rFonts w:ascii="Verdana" w:hAnsi="Verdana"/>
          <w:sz w:val="20"/>
        </w:rPr>
        <w:t xml:space="preserve"> la Corte hizo constar, con base en lo informado por las partes, que el Estado </w:t>
      </w:r>
      <w:r w:rsidR="005C4A08">
        <w:rPr>
          <w:rFonts w:ascii="Verdana" w:hAnsi="Verdana"/>
          <w:sz w:val="20"/>
        </w:rPr>
        <w:t>no había dado cumplimiento a las</w:t>
      </w:r>
      <w:r w:rsidR="00C4018C">
        <w:rPr>
          <w:rFonts w:ascii="Verdana" w:hAnsi="Verdana"/>
          <w:sz w:val="20"/>
        </w:rPr>
        <w:t xml:space="preserve"> referidas</w:t>
      </w:r>
      <w:r w:rsidR="005C4A08">
        <w:rPr>
          <w:rFonts w:ascii="Verdana" w:hAnsi="Verdana"/>
          <w:sz w:val="20"/>
        </w:rPr>
        <w:t xml:space="preserve"> medidas. Respecto al </w:t>
      </w:r>
      <w:r w:rsidR="008A092D" w:rsidRPr="005C4A08">
        <w:rPr>
          <w:rFonts w:ascii="Verdana" w:hAnsi="Verdana"/>
          <w:sz w:val="20"/>
        </w:rPr>
        <w:t>pago de la cantidad establecida en la Sentencia como ayuda para que</w:t>
      </w:r>
      <w:r w:rsidR="005C4A08">
        <w:rPr>
          <w:rFonts w:ascii="Verdana" w:hAnsi="Verdana"/>
          <w:i/>
          <w:sz w:val="20"/>
        </w:rPr>
        <w:t xml:space="preserve"> </w:t>
      </w:r>
      <w:r w:rsidR="008A092D" w:rsidRPr="005C4A08">
        <w:rPr>
          <w:rFonts w:ascii="Verdana" w:hAnsi="Verdana"/>
          <w:sz w:val="20"/>
        </w:rPr>
        <w:t>las víctimas que acrediten residir en el exterior reciban tratamiento médico y psicológico, la</w:t>
      </w:r>
      <w:r w:rsidR="005C4A08">
        <w:rPr>
          <w:rFonts w:ascii="Verdana" w:hAnsi="Verdana"/>
          <w:i/>
          <w:sz w:val="20"/>
        </w:rPr>
        <w:t xml:space="preserve"> </w:t>
      </w:r>
      <w:r w:rsidR="005C4A08">
        <w:rPr>
          <w:rFonts w:ascii="Verdana" w:hAnsi="Verdana"/>
          <w:sz w:val="20"/>
        </w:rPr>
        <w:t>Corte resaltó en su Resolución de 2014</w:t>
      </w:r>
      <w:r w:rsidR="008A092D" w:rsidRPr="005C4A08">
        <w:rPr>
          <w:rFonts w:ascii="Verdana" w:hAnsi="Verdana"/>
          <w:sz w:val="20"/>
        </w:rPr>
        <w:t xml:space="preserve"> </w:t>
      </w:r>
      <w:r w:rsidR="005C4A08">
        <w:rPr>
          <w:rFonts w:ascii="Verdana" w:hAnsi="Verdana"/>
          <w:sz w:val="20"/>
        </w:rPr>
        <w:t>“</w:t>
      </w:r>
      <w:r w:rsidR="008A092D" w:rsidRPr="005C4A08">
        <w:rPr>
          <w:rFonts w:ascii="Verdana" w:hAnsi="Verdana"/>
          <w:sz w:val="20"/>
        </w:rPr>
        <w:t xml:space="preserve">que el plazo para el cumplimiento de esta medida </w:t>
      </w:r>
      <w:proofErr w:type="gramStart"/>
      <w:r w:rsidR="008A092D" w:rsidRPr="005C4A08">
        <w:rPr>
          <w:rFonts w:ascii="Verdana" w:hAnsi="Verdana"/>
          <w:sz w:val="20"/>
        </w:rPr>
        <w:t>est</w:t>
      </w:r>
      <w:r w:rsidR="005C4A08">
        <w:rPr>
          <w:rFonts w:ascii="Verdana" w:hAnsi="Verdana"/>
          <w:sz w:val="20"/>
        </w:rPr>
        <w:t>[</w:t>
      </w:r>
      <w:proofErr w:type="gramEnd"/>
      <w:r w:rsidR="005C4A08">
        <w:rPr>
          <w:rFonts w:ascii="Verdana" w:hAnsi="Verdana"/>
          <w:sz w:val="20"/>
        </w:rPr>
        <w:t>aba]</w:t>
      </w:r>
      <w:r w:rsidR="008A092D" w:rsidRPr="005C4A08">
        <w:rPr>
          <w:rFonts w:ascii="Verdana" w:hAnsi="Verdana"/>
          <w:sz w:val="20"/>
        </w:rPr>
        <w:t xml:space="preserve"> ampliamente excedido,</w:t>
      </w:r>
      <w:r w:rsidR="005C4A08">
        <w:rPr>
          <w:rFonts w:ascii="Verdana" w:hAnsi="Verdana"/>
          <w:i/>
          <w:sz w:val="20"/>
        </w:rPr>
        <w:t xml:space="preserve"> </w:t>
      </w:r>
      <w:r w:rsidR="008A092D" w:rsidRPr="005C4A08">
        <w:rPr>
          <w:rFonts w:ascii="Verdana" w:hAnsi="Verdana"/>
          <w:sz w:val="20"/>
        </w:rPr>
        <w:t xml:space="preserve">ya que, de acuerdo con la Sentencia, los pagos debían ser efectuados dentro de </w:t>
      </w:r>
      <w:r w:rsidR="005C4A08">
        <w:rPr>
          <w:rFonts w:ascii="Verdana" w:hAnsi="Verdana"/>
          <w:sz w:val="20"/>
        </w:rPr>
        <w:t>los 18</w:t>
      </w:r>
      <w:r w:rsidR="005C4A08">
        <w:rPr>
          <w:rFonts w:ascii="Verdana" w:hAnsi="Verdana"/>
          <w:i/>
          <w:sz w:val="20"/>
        </w:rPr>
        <w:t xml:space="preserve"> </w:t>
      </w:r>
      <w:r w:rsidR="008A092D" w:rsidRPr="005C4A08">
        <w:rPr>
          <w:rFonts w:ascii="Verdana" w:hAnsi="Verdana"/>
          <w:sz w:val="20"/>
        </w:rPr>
        <w:t>meses a partir de su notificación</w:t>
      </w:r>
      <w:r w:rsidR="005C4A08">
        <w:rPr>
          <w:rFonts w:ascii="Verdana" w:hAnsi="Verdana"/>
          <w:sz w:val="20"/>
        </w:rPr>
        <w:t>”</w:t>
      </w:r>
      <w:r w:rsidR="008A092D" w:rsidRPr="005C4A08">
        <w:rPr>
          <w:rFonts w:ascii="Verdana" w:hAnsi="Verdana"/>
          <w:sz w:val="20"/>
        </w:rPr>
        <w:t>.</w:t>
      </w:r>
      <w:r w:rsidR="00F90BEF">
        <w:rPr>
          <w:rFonts w:ascii="Verdana" w:hAnsi="Verdana"/>
          <w:sz w:val="20"/>
        </w:rPr>
        <w:t xml:space="preserve"> La Corte notó</w:t>
      </w:r>
      <w:r w:rsidR="008A092D" w:rsidRPr="00F90BEF">
        <w:rPr>
          <w:rFonts w:ascii="Verdana" w:hAnsi="Verdana"/>
          <w:sz w:val="20"/>
        </w:rPr>
        <w:t xml:space="preserve"> que el Estado</w:t>
      </w:r>
      <w:r w:rsidR="00F90BEF">
        <w:rPr>
          <w:rFonts w:ascii="Verdana" w:hAnsi="Verdana"/>
          <w:sz w:val="20"/>
        </w:rPr>
        <w:t xml:space="preserve"> “fundamenta</w:t>
      </w:r>
      <w:r w:rsidR="008A092D" w:rsidRPr="00F90BEF">
        <w:rPr>
          <w:rFonts w:ascii="Verdana" w:hAnsi="Verdana"/>
          <w:sz w:val="20"/>
        </w:rPr>
        <w:t xml:space="preserve"> la falta de ejecución de esta reparación en que esta medida de reparación se</w:t>
      </w:r>
      <w:r w:rsidR="00F90BEF">
        <w:rPr>
          <w:rFonts w:ascii="Verdana" w:hAnsi="Verdana"/>
          <w:sz w:val="20"/>
        </w:rPr>
        <w:t xml:space="preserve"> encuentra ‘judicializada’</w:t>
      </w:r>
      <w:r w:rsidR="00B02C2C">
        <w:rPr>
          <w:rFonts w:ascii="Verdana" w:hAnsi="Verdana"/>
          <w:sz w:val="20"/>
        </w:rPr>
        <w:t xml:space="preserve">”, </w:t>
      </w:r>
      <w:r w:rsidR="007412CA">
        <w:rPr>
          <w:rFonts w:ascii="Verdana" w:hAnsi="Verdana"/>
          <w:sz w:val="20"/>
        </w:rPr>
        <w:t>respecto a</w:t>
      </w:r>
      <w:r w:rsidR="00B02C2C">
        <w:rPr>
          <w:rFonts w:ascii="Verdana" w:hAnsi="Verdana"/>
          <w:sz w:val="20"/>
        </w:rPr>
        <w:t xml:space="preserve"> lo cual</w:t>
      </w:r>
      <w:r w:rsidR="008A092D" w:rsidRPr="00F90BEF">
        <w:rPr>
          <w:rFonts w:ascii="Verdana" w:hAnsi="Verdana"/>
          <w:sz w:val="20"/>
        </w:rPr>
        <w:t xml:space="preserve"> </w:t>
      </w:r>
      <w:r w:rsidR="00B02C2C">
        <w:rPr>
          <w:rFonts w:ascii="Verdana" w:hAnsi="Verdana"/>
          <w:sz w:val="20"/>
        </w:rPr>
        <w:t>“</w:t>
      </w:r>
      <w:r w:rsidR="008A092D" w:rsidRPr="00F90BEF">
        <w:rPr>
          <w:rFonts w:ascii="Verdana" w:hAnsi="Verdana"/>
          <w:sz w:val="20"/>
        </w:rPr>
        <w:t xml:space="preserve">el Tribunal </w:t>
      </w:r>
      <w:proofErr w:type="spellStart"/>
      <w:r w:rsidR="008A092D" w:rsidRPr="00F90BEF">
        <w:rPr>
          <w:rFonts w:ascii="Verdana" w:hAnsi="Verdana"/>
          <w:sz w:val="20"/>
        </w:rPr>
        <w:t>consider</w:t>
      </w:r>
      <w:proofErr w:type="spellEnd"/>
      <w:r w:rsidR="005327A8">
        <w:rPr>
          <w:rFonts w:ascii="Verdana" w:hAnsi="Verdana"/>
          <w:sz w:val="20"/>
        </w:rPr>
        <w:t>[</w:t>
      </w:r>
      <w:proofErr w:type="spellStart"/>
      <w:r w:rsidR="005327A8">
        <w:rPr>
          <w:rFonts w:ascii="Verdana" w:hAnsi="Verdana"/>
          <w:sz w:val="20"/>
        </w:rPr>
        <w:t>ó</w:t>
      </w:r>
      <w:proofErr w:type="spellEnd"/>
      <w:r w:rsidR="005327A8">
        <w:rPr>
          <w:rFonts w:ascii="Verdana" w:hAnsi="Verdana"/>
          <w:sz w:val="20"/>
        </w:rPr>
        <w:t>]</w:t>
      </w:r>
      <w:r w:rsidR="008A092D" w:rsidRPr="00F90BEF">
        <w:rPr>
          <w:rFonts w:ascii="Verdana" w:hAnsi="Verdana"/>
          <w:sz w:val="20"/>
        </w:rPr>
        <w:t xml:space="preserve"> que la modalidad de</w:t>
      </w:r>
      <w:r w:rsidR="00F90BEF">
        <w:rPr>
          <w:rFonts w:ascii="Verdana" w:hAnsi="Verdana"/>
          <w:sz w:val="20"/>
        </w:rPr>
        <w:t xml:space="preserve"> </w:t>
      </w:r>
      <w:r w:rsidR="008A092D" w:rsidRPr="00F90BEF">
        <w:rPr>
          <w:rFonts w:ascii="Verdana" w:hAnsi="Verdana"/>
          <w:sz w:val="20"/>
        </w:rPr>
        <w:t>cumplimiento de esta reparación no implicaba necesariamente un proceso judicial, mucho</w:t>
      </w:r>
      <w:r w:rsidR="00F90BEF">
        <w:rPr>
          <w:rFonts w:ascii="Verdana" w:hAnsi="Verdana"/>
          <w:sz w:val="20"/>
        </w:rPr>
        <w:t xml:space="preserve"> </w:t>
      </w:r>
      <w:r w:rsidR="008A092D" w:rsidRPr="00F90BEF">
        <w:rPr>
          <w:rFonts w:ascii="Verdana" w:hAnsi="Verdana"/>
          <w:sz w:val="20"/>
        </w:rPr>
        <w:t>menos si han transcurrido más de siete años sin que ese medio haya permitido ejecutar</w:t>
      </w:r>
      <w:r w:rsidR="00F90BEF">
        <w:rPr>
          <w:rFonts w:ascii="Verdana" w:hAnsi="Verdana"/>
          <w:sz w:val="20"/>
        </w:rPr>
        <w:t xml:space="preserve"> </w:t>
      </w:r>
      <w:r w:rsidR="008A092D" w:rsidRPr="00F90BEF">
        <w:rPr>
          <w:rFonts w:ascii="Verdana" w:hAnsi="Verdana"/>
          <w:sz w:val="20"/>
        </w:rPr>
        <w:t>efectivamente la reparación</w:t>
      </w:r>
      <w:r w:rsidR="00F90BEF">
        <w:rPr>
          <w:rFonts w:ascii="Verdana" w:hAnsi="Verdana"/>
          <w:sz w:val="20"/>
        </w:rPr>
        <w:t>”</w:t>
      </w:r>
      <w:r w:rsidR="008A092D" w:rsidRPr="00F90BEF">
        <w:rPr>
          <w:rFonts w:ascii="Verdana" w:hAnsi="Verdana"/>
          <w:sz w:val="20"/>
        </w:rPr>
        <w:t xml:space="preserve">. </w:t>
      </w:r>
      <w:r w:rsidR="00F90BEF">
        <w:rPr>
          <w:rFonts w:ascii="Verdana" w:hAnsi="Verdana"/>
          <w:sz w:val="20"/>
        </w:rPr>
        <w:t>En razón de ello, la Corte solicitó</w:t>
      </w:r>
      <w:r w:rsidR="008A092D" w:rsidRPr="00F90BEF">
        <w:rPr>
          <w:rFonts w:ascii="Verdana" w:hAnsi="Verdana"/>
          <w:sz w:val="20"/>
        </w:rPr>
        <w:t xml:space="preserve"> al Estado </w:t>
      </w:r>
      <w:r w:rsidR="00F90BEF">
        <w:rPr>
          <w:rFonts w:ascii="Verdana" w:hAnsi="Verdana"/>
          <w:sz w:val="20"/>
        </w:rPr>
        <w:t>informar “</w:t>
      </w:r>
      <w:r w:rsidR="008A092D" w:rsidRPr="00F90BEF">
        <w:rPr>
          <w:rFonts w:ascii="Verdana" w:hAnsi="Verdana"/>
          <w:sz w:val="20"/>
        </w:rPr>
        <w:t>cuál o cuales otros</w:t>
      </w:r>
      <w:r w:rsidR="00F90BEF">
        <w:rPr>
          <w:rFonts w:ascii="Verdana" w:hAnsi="Verdana"/>
          <w:sz w:val="20"/>
        </w:rPr>
        <w:t xml:space="preserve"> </w:t>
      </w:r>
      <w:r w:rsidR="008A092D" w:rsidRPr="00F90BEF">
        <w:rPr>
          <w:rFonts w:ascii="Verdana" w:hAnsi="Verdana"/>
          <w:sz w:val="20"/>
        </w:rPr>
        <w:t>órganos o instituciones competentes no judiciales podrían, a la mayor brevedad, realizar las</w:t>
      </w:r>
      <w:r w:rsidR="00F90BEF">
        <w:rPr>
          <w:rFonts w:ascii="Verdana" w:hAnsi="Verdana"/>
          <w:sz w:val="20"/>
        </w:rPr>
        <w:t xml:space="preserve"> </w:t>
      </w:r>
      <w:r w:rsidR="008A092D" w:rsidRPr="00F90BEF">
        <w:rPr>
          <w:rFonts w:ascii="Verdana" w:hAnsi="Verdana"/>
          <w:sz w:val="20"/>
        </w:rPr>
        <w:t xml:space="preserve">determinaciones correspondientes para la ejecución de esta medida </w:t>
      </w:r>
      <w:r w:rsidR="00F90BEF">
        <w:rPr>
          <w:rFonts w:ascii="Verdana" w:hAnsi="Verdana"/>
          <w:sz w:val="20"/>
        </w:rPr>
        <w:t xml:space="preserve">[…] </w:t>
      </w:r>
      <w:r w:rsidR="008A092D" w:rsidRPr="00F90BEF">
        <w:rPr>
          <w:rFonts w:ascii="Verdana" w:hAnsi="Verdana"/>
          <w:sz w:val="20"/>
        </w:rPr>
        <w:t xml:space="preserve">para cualquier </w:t>
      </w:r>
      <w:r w:rsidR="00F90BEF">
        <w:rPr>
          <w:rFonts w:ascii="Verdana" w:hAnsi="Verdana"/>
          <w:sz w:val="20"/>
        </w:rPr>
        <w:t>[…]</w:t>
      </w:r>
      <w:r w:rsidR="008A092D" w:rsidRPr="00F90BEF">
        <w:rPr>
          <w:rFonts w:ascii="Verdana" w:hAnsi="Verdana"/>
          <w:sz w:val="20"/>
        </w:rPr>
        <w:t xml:space="preserve"> víctima que haya presentado información o</w:t>
      </w:r>
      <w:r w:rsidR="00F90BEF">
        <w:rPr>
          <w:rFonts w:ascii="Verdana" w:hAnsi="Verdana"/>
          <w:sz w:val="20"/>
        </w:rPr>
        <w:t xml:space="preserve"> </w:t>
      </w:r>
      <w:r w:rsidR="008A092D" w:rsidRPr="00F90BEF">
        <w:rPr>
          <w:rFonts w:ascii="Verdana" w:hAnsi="Verdana"/>
          <w:sz w:val="20"/>
        </w:rPr>
        <w:t>solicitud al respecto</w:t>
      </w:r>
      <w:r w:rsidR="00F90BEF">
        <w:rPr>
          <w:rFonts w:ascii="Verdana" w:hAnsi="Verdana"/>
          <w:sz w:val="20"/>
        </w:rPr>
        <w:t>”</w:t>
      </w:r>
      <w:r w:rsidR="008A092D" w:rsidRPr="00F90BEF">
        <w:rPr>
          <w:rFonts w:ascii="Verdana" w:hAnsi="Verdana"/>
          <w:sz w:val="20"/>
        </w:rPr>
        <w:t>.</w:t>
      </w:r>
      <w:r w:rsidR="00F90BEF">
        <w:rPr>
          <w:rFonts w:ascii="Verdana" w:hAnsi="Verdana"/>
          <w:sz w:val="20"/>
        </w:rPr>
        <w:t xml:space="preserve"> Posteriormente, en la Resolución de 2015, la Corte verificó que “</w:t>
      </w:r>
      <w:r w:rsidR="00F90BEF" w:rsidRPr="008A092D">
        <w:rPr>
          <w:rFonts w:ascii="Verdana" w:hAnsi="Verdana"/>
          <w:sz w:val="20"/>
        </w:rPr>
        <w:t>el Estado no adoptó acciones necesarias para dar</w:t>
      </w:r>
      <w:r w:rsidR="00F90BEF">
        <w:rPr>
          <w:rFonts w:ascii="Verdana" w:hAnsi="Verdana"/>
          <w:sz w:val="20"/>
        </w:rPr>
        <w:t xml:space="preserve"> </w:t>
      </w:r>
      <w:r w:rsidR="00F90BEF" w:rsidRPr="008A092D">
        <w:rPr>
          <w:rFonts w:ascii="Verdana" w:hAnsi="Verdana"/>
          <w:sz w:val="20"/>
        </w:rPr>
        <w:t>cumplimiento a esta medida, ni informó acerca de avances y resultados en su</w:t>
      </w:r>
      <w:r w:rsidR="00F90BEF">
        <w:rPr>
          <w:rFonts w:ascii="Verdana" w:hAnsi="Verdana"/>
          <w:sz w:val="20"/>
        </w:rPr>
        <w:t xml:space="preserve"> </w:t>
      </w:r>
      <w:r w:rsidR="00F90BEF" w:rsidRPr="008A092D">
        <w:rPr>
          <w:rFonts w:ascii="Verdana" w:hAnsi="Verdana"/>
          <w:sz w:val="20"/>
        </w:rPr>
        <w:t>implementación</w:t>
      </w:r>
      <w:r w:rsidR="00F90BEF">
        <w:rPr>
          <w:rFonts w:ascii="Verdana" w:hAnsi="Verdana"/>
          <w:sz w:val="20"/>
        </w:rPr>
        <w:t>”.</w:t>
      </w:r>
    </w:p>
    <w:p w:rsidR="00C4018C" w:rsidRPr="009123E5" w:rsidRDefault="00C4018C" w:rsidP="00D333AB">
      <w:pPr>
        <w:pStyle w:val="Cuadrculamedia1-nfasis2"/>
        <w:tabs>
          <w:tab w:val="left" w:pos="567"/>
        </w:tabs>
        <w:ind w:left="0"/>
        <w:contextualSpacing/>
        <w:jc w:val="both"/>
        <w:rPr>
          <w:rFonts w:ascii="Verdana" w:hAnsi="Verdana"/>
          <w:sz w:val="20"/>
        </w:rPr>
      </w:pPr>
    </w:p>
    <w:p w:rsidR="009123E5" w:rsidRPr="009123E5" w:rsidRDefault="00C4018C" w:rsidP="00D333AB">
      <w:pPr>
        <w:pStyle w:val="Cuadrculamedia1-nfasis2"/>
        <w:numPr>
          <w:ilvl w:val="0"/>
          <w:numId w:val="1"/>
        </w:numPr>
        <w:tabs>
          <w:tab w:val="left" w:pos="567"/>
        </w:tabs>
        <w:ind w:left="0" w:firstLine="0"/>
        <w:contextualSpacing/>
        <w:jc w:val="both"/>
        <w:rPr>
          <w:rFonts w:ascii="Verdana" w:hAnsi="Verdana"/>
          <w:sz w:val="20"/>
        </w:rPr>
      </w:pPr>
      <w:r w:rsidRPr="009123E5">
        <w:rPr>
          <w:rFonts w:ascii="Verdana" w:hAnsi="Verdana"/>
          <w:sz w:val="20"/>
        </w:rPr>
        <w:t>Respecto del pago de indemnizaciones para reparar los daños materiales e inmateriales, la Corte señaló en su Resolución de 2014 que el Estado sostenía que “‘</w:t>
      </w:r>
      <w:r w:rsidR="008A092D" w:rsidRPr="009123E5">
        <w:rPr>
          <w:rFonts w:ascii="Verdana" w:hAnsi="Verdana"/>
          <w:sz w:val="20"/>
        </w:rPr>
        <w:t xml:space="preserve">la </w:t>
      </w:r>
      <w:r w:rsidRPr="009123E5">
        <w:rPr>
          <w:rFonts w:ascii="Verdana" w:hAnsi="Verdana"/>
          <w:sz w:val="20"/>
        </w:rPr>
        <w:t>responsabilidad’</w:t>
      </w:r>
      <w:r w:rsidR="008A092D" w:rsidRPr="009123E5">
        <w:rPr>
          <w:rFonts w:ascii="Verdana" w:hAnsi="Verdana"/>
          <w:sz w:val="20"/>
        </w:rPr>
        <w:t xml:space="preserve"> de pagar las</w:t>
      </w:r>
      <w:r w:rsidRPr="009123E5">
        <w:rPr>
          <w:rFonts w:ascii="Verdana" w:hAnsi="Verdana"/>
          <w:sz w:val="20"/>
        </w:rPr>
        <w:t xml:space="preserve"> </w:t>
      </w:r>
      <w:r w:rsidR="008A092D" w:rsidRPr="009123E5">
        <w:rPr>
          <w:rFonts w:ascii="Verdana" w:hAnsi="Verdana"/>
          <w:sz w:val="20"/>
        </w:rPr>
        <w:t>indemnizaciones por daño material e inma</w:t>
      </w:r>
      <w:r w:rsidRPr="009123E5">
        <w:rPr>
          <w:rFonts w:ascii="Verdana" w:hAnsi="Verdana"/>
          <w:sz w:val="20"/>
        </w:rPr>
        <w:t>terial fijadas en la Sentencia ‘</w:t>
      </w:r>
      <w:r w:rsidR="008A092D" w:rsidRPr="009123E5">
        <w:rPr>
          <w:rFonts w:ascii="Verdana" w:hAnsi="Verdana"/>
          <w:sz w:val="20"/>
        </w:rPr>
        <w:t>está condicionada al</w:t>
      </w:r>
      <w:r w:rsidRPr="009123E5">
        <w:rPr>
          <w:rFonts w:ascii="Verdana" w:hAnsi="Verdana"/>
          <w:sz w:val="20"/>
        </w:rPr>
        <w:t xml:space="preserve"> </w:t>
      </w:r>
      <w:r w:rsidR="008A092D" w:rsidRPr="009123E5">
        <w:rPr>
          <w:rFonts w:ascii="Verdana" w:hAnsi="Verdana"/>
          <w:sz w:val="20"/>
        </w:rPr>
        <w:t>resultado del proceso judicial que se encuentra en trámi</w:t>
      </w:r>
      <w:r w:rsidRPr="009123E5">
        <w:rPr>
          <w:rFonts w:ascii="Verdana" w:hAnsi="Verdana"/>
          <w:sz w:val="20"/>
        </w:rPr>
        <w:t>te en [sede nacional]’</w:t>
      </w:r>
      <w:r w:rsidR="008A092D" w:rsidRPr="009123E5">
        <w:rPr>
          <w:rFonts w:ascii="Verdana" w:hAnsi="Verdana"/>
          <w:sz w:val="20"/>
        </w:rPr>
        <w:t xml:space="preserve"> ante el</w:t>
      </w:r>
      <w:r w:rsidRPr="009123E5">
        <w:rPr>
          <w:rFonts w:ascii="Verdana" w:hAnsi="Verdana"/>
          <w:sz w:val="20"/>
        </w:rPr>
        <w:t xml:space="preserve"> </w:t>
      </w:r>
      <w:r w:rsidR="008A092D" w:rsidRPr="009123E5">
        <w:rPr>
          <w:rFonts w:ascii="Verdana" w:hAnsi="Verdana"/>
          <w:sz w:val="20"/>
        </w:rPr>
        <w:t>Juzgado Especializado en Ejecución de Sentencia Supranacional</w:t>
      </w:r>
      <w:r w:rsidRPr="009123E5">
        <w:rPr>
          <w:rFonts w:ascii="Verdana" w:hAnsi="Verdana"/>
          <w:sz w:val="20"/>
        </w:rPr>
        <w:t>”. El Tribunal entonces estimó pertinente “</w:t>
      </w:r>
      <w:r w:rsidR="008A092D" w:rsidRPr="009123E5">
        <w:rPr>
          <w:rFonts w:ascii="Verdana" w:hAnsi="Verdana"/>
          <w:sz w:val="20"/>
        </w:rPr>
        <w:t>aclarar que no corresponde a las autoridades judiciales internas</w:t>
      </w:r>
      <w:r w:rsidRPr="009123E5">
        <w:rPr>
          <w:rFonts w:ascii="Verdana" w:hAnsi="Verdana"/>
          <w:sz w:val="20"/>
        </w:rPr>
        <w:t xml:space="preserve"> </w:t>
      </w:r>
      <w:r w:rsidR="008A092D" w:rsidRPr="009123E5">
        <w:rPr>
          <w:rFonts w:ascii="Verdana" w:hAnsi="Verdana"/>
          <w:sz w:val="20"/>
        </w:rPr>
        <w:t>del Perú determinar la obligación de reparar el daño material e inmaterial ya que dicha</w:t>
      </w:r>
      <w:r w:rsidRPr="009123E5">
        <w:rPr>
          <w:rFonts w:ascii="Verdana" w:hAnsi="Verdana"/>
          <w:sz w:val="20"/>
        </w:rPr>
        <w:t xml:space="preserve"> </w:t>
      </w:r>
      <w:r w:rsidR="008A092D" w:rsidRPr="009123E5">
        <w:rPr>
          <w:rFonts w:ascii="Verdana" w:hAnsi="Verdana"/>
          <w:sz w:val="20"/>
        </w:rPr>
        <w:t>obligación y sus aspectos, tales como la determinación de los beneficiarios de las</w:t>
      </w:r>
      <w:r w:rsidRPr="009123E5">
        <w:rPr>
          <w:rFonts w:ascii="Verdana" w:hAnsi="Verdana"/>
          <w:sz w:val="20"/>
        </w:rPr>
        <w:t xml:space="preserve"> </w:t>
      </w:r>
      <w:r w:rsidR="008A092D" w:rsidRPr="009123E5">
        <w:rPr>
          <w:rFonts w:ascii="Verdana" w:hAnsi="Verdana"/>
          <w:sz w:val="20"/>
        </w:rPr>
        <w:t>reparaciones y los montos a indemnizar fueron determinados por la Corte en la Sentencia</w:t>
      </w:r>
      <w:r w:rsidR="00A10403" w:rsidRPr="009123E5">
        <w:rPr>
          <w:rFonts w:ascii="Verdana" w:hAnsi="Verdana"/>
          <w:sz w:val="20"/>
        </w:rPr>
        <w:t xml:space="preserve"> [precisamente]</w:t>
      </w:r>
      <w:r w:rsidR="008A092D" w:rsidRPr="009123E5">
        <w:rPr>
          <w:rFonts w:ascii="Verdana" w:hAnsi="Verdana"/>
          <w:sz w:val="20"/>
        </w:rPr>
        <w:t xml:space="preserve"> para</w:t>
      </w:r>
      <w:r w:rsidRPr="009123E5">
        <w:rPr>
          <w:rFonts w:ascii="Verdana" w:hAnsi="Verdana"/>
          <w:sz w:val="20"/>
        </w:rPr>
        <w:t xml:space="preserve"> </w:t>
      </w:r>
      <w:r w:rsidR="008A092D" w:rsidRPr="009123E5">
        <w:rPr>
          <w:rFonts w:ascii="Verdana" w:hAnsi="Verdana"/>
          <w:sz w:val="20"/>
        </w:rPr>
        <w:t>evitar, en la medida de lo posible, que los beneficiarios de estas reparaciones pecuniarias</w:t>
      </w:r>
      <w:r w:rsidRPr="009123E5">
        <w:rPr>
          <w:rFonts w:ascii="Verdana" w:hAnsi="Verdana"/>
          <w:sz w:val="20"/>
        </w:rPr>
        <w:t xml:space="preserve"> </w:t>
      </w:r>
      <w:r w:rsidR="008A092D" w:rsidRPr="009123E5">
        <w:rPr>
          <w:rFonts w:ascii="Verdana" w:hAnsi="Verdana"/>
          <w:sz w:val="20"/>
        </w:rPr>
        <w:t>tengan que acudir a un proceso interno, que pudiera dilatar innecesariamente la entrega de</w:t>
      </w:r>
      <w:r w:rsidRPr="009123E5">
        <w:rPr>
          <w:rFonts w:ascii="Verdana" w:hAnsi="Verdana"/>
          <w:sz w:val="20"/>
        </w:rPr>
        <w:t xml:space="preserve"> </w:t>
      </w:r>
      <w:r w:rsidR="008A092D" w:rsidRPr="009123E5">
        <w:rPr>
          <w:rFonts w:ascii="Verdana" w:hAnsi="Verdana"/>
          <w:sz w:val="20"/>
        </w:rPr>
        <w:t>las indemnizaciones fijadas en la Sentencia</w:t>
      </w:r>
      <w:r w:rsidR="009123E5" w:rsidRPr="009123E5">
        <w:rPr>
          <w:rFonts w:ascii="Verdana" w:hAnsi="Verdana"/>
          <w:sz w:val="20"/>
        </w:rPr>
        <w:t>”</w:t>
      </w:r>
      <w:r w:rsidR="008A092D" w:rsidRPr="009123E5">
        <w:rPr>
          <w:rFonts w:ascii="Verdana" w:hAnsi="Verdana"/>
          <w:sz w:val="20"/>
        </w:rPr>
        <w:t xml:space="preserve">. </w:t>
      </w:r>
      <w:r w:rsidR="00A10403" w:rsidRPr="009123E5">
        <w:rPr>
          <w:rFonts w:ascii="Verdana" w:hAnsi="Verdana"/>
          <w:sz w:val="20"/>
        </w:rPr>
        <w:t>No obstante ello, la Corte hizo la salvedad respecto de lo establecido en “</w:t>
      </w:r>
      <w:r w:rsidR="008A092D" w:rsidRPr="009123E5">
        <w:rPr>
          <w:rFonts w:ascii="Verdana" w:hAnsi="Verdana"/>
          <w:sz w:val="20"/>
        </w:rPr>
        <w:t>los párrafos 425 y</w:t>
      </w:r>
      <w:r w:rsidR="00A10403" w:rsidRPr="009123E5">
        <w:rPr>
          <w:rFonts w:ascii="Verdana" w:hAnsi="Verdana"/>
          <w:sz w:val="20"/>
        </w:rPr>
        <w:t xml:space="preserve"> </w:t>
      </w:r>
      <w:r w:rsidR="008A092D" w:rsidRPr="009123E5">
        <w:rPr>
          <w:rFonts w:ascii="Verdana" w:hAnsi="Verdana"/>
          <w:sz w:val="20"/>
        </w:rPr>
        <w:t>4</w:t>
      </w:r>
      <w:r w:rsidR="007412CA">
        <w:rPr>
          <w:rFonts w:ascii="Verdana" w:hAnsi="Verdana"/>
          <w:sz w:val="20"/>
        </w:rPr>
        <w:t>33.</w:t>
      </w:r>
      <w:r w:rsidR="008A092D" w:rsidRPr="009123E5">
        <w:rPr>
          <w:rFonts w:ascii="Verdana" w:hAnsi="Verdana"/>
          <w:sz w:val="20"/>
        </w:rPr>
        <w:t>c)</w:t>
      </w:r>
      <w:r w:rsidR="007412CA">
        <w:rPr>
          <w:rFonts w:ascii="Verdana" w:hAnsi="Verdana"/>
          <w:sz w:val="20"/>
        </w:rPr>
        <w:t>.</w:t>
      </w:r>
      <w:r w:rsidR="008A092D" w:rsidRPr="009123E5">
        <w:rPr>
          <w:rFonts w:ascii="Verdana" w:hAnsi="Verdana"/>
          <w:sz w:val="20"/>
        </w:rPr>
        <w:t>v y vi de la Sentencia relativos a la indemnización del daño material e inmaterial,</w:t>
      </w:r>
      <w:r w:rsidR="00A10403" w:rsidRPr="009123E5">
        <w:rPr>
          <w:rFonts w:ascii="Verdana" w:hAnsi="Verdana"/>
          <w:sz w:val="20"/>
        </w:rPr>
        <w:t xml:space="preserve"> </w:t>
      </w:r>
      <w:r w:rsidR="008A092D" w:rsidRPr="009123E5">
        <w:rPr>
          <w:rFonts w:ascii="Verdana" w:hAnsi="Verdana"/>
          <w:sz w:val="20"/>
        </w:rPr>
        <w:t>respectivamente, de las víctimas sobrevivientes</w:t>
      </w:r>
      <w:r w:rsidR="00A10403" w:rsidRPr="009123E5">
        <w:rPr>
          <w:rFonts w:ascii="Verdana" w:hAnsi="Verdana"/>
          <w:sz w:val="20"/>
        </w:rPr>
        <w:t>”, en tanto el Tribunal dispuso que</w:t>
      </w:r>
      <w:r w:rsidR="008A092D" w:rsidRPr="009123E5">
        <w:rPr>
          <w:rFonts w:ascii="Verdana" w:hAnsi="Verdana"/>
          <w:sz w:val="20"/>
        </w:rPr>
        <w:t xml:space="preserve"> </w:t>
      </w:r>
      <w:r w:rsidR="00A10403" w:rsidRPr="009123E5">
        <w:rPr>
          <w:rFonts w:ascii="Verdana" w:hAnsi="Verdana"/>
          <w:sz w:val="20"/>
        </w:rPr>
        <w:t>“</w:t>
      </w:r>
      <w:r w:rsidR="008A092D" w:rsidRPr="009123E5">
        <w:rPr>
          <w:rFonts w:ascii="Verdana" w:hAnsi="Verdana"/>
          <w:sz w:val="20"/>
        </w:rPr>
        <w:t>debido a que no</w:t>
      </w:r>
      <w:r w:rsidR="00A10403" w:rsidRPr="009123E5">
        <w:rPr>
          <w:rFonts w:ascii="Verdana" w:hAnsi="Verdana"/>
          <w:sz w:val="20"/>
        </w:rPr>
        <w:t xml:space="preserve"> </w:t>
      </w:r>
      <w:r w:rsidR="008A092D" w:rsidRPr="009123E5">
        <w:rPr>
          <w:rFonts w:ascii="Verdana" w:hAnsi="Verdana"/>
          <w:sz w:val="20"/>
        </w:rPr>
        <w:t>contaba con la prueba necesaria para determinar individualmente en cuál categoría de</w:t>
      </w:r>
      <w:r w:rsidR="00A10403" w:rsidRPr="009123E5">
        <w:rPr>
          <w:rFonts w:ascii="Verdana" w:hAnsi="Verdana"/>
          <w:sz w:val="20"/>
        </w:rPr>
        <w:t xml:space="preserve"> </w:t>
      </w:r>
      <w:r w:rsidR="008A092D" w:rsidRPr="009123E5">
        <w:rPr>
          <w:rFonts w:ascii="Verdana" w:hAnsi="Verdana"/>
          <w:sz w:val="20"/>
        </w:rPr>
        <w:t>incapacidad se debía incluir a cada una de estas víctimas, dicha determinación debía ser</w:t>
      </w:r>
      <w:r w:rsidR="00A10403" w:rsidRPr="009123E5">
        <w:rPr>
          <w:rFonts w:ascii="Verdana" w:hAnsi="Verdana"/>
          <w:sz w:val="20"/>
        </w:rPr>
        <w:t xml:space="preserve"> </w:t>
      </w:r>
      <w:r w:rsidR="008A092D" w:rsidRPr="009123E5">
        <w:rPr>
          <w:rFonts w:ascii="Verdana" w:hAnsi="Verdana"/>
          <w:sz w:val="20"/>
        </w:rPr>
        <w:t>realizada por los órganos internos especializados en clasificación de lesiones e incapacidades</w:t>
      </w:r>
      <w:r w:rsidR="00A10403" w:rsidRPr="009123E5">
        <w:rPr>
          <w:rFonts w:ascii="Verdana" w:hAnsi="Verdana"/>
          <w:sz w:val="20"/>
        </w:rPr>
        <w:t xml:space="preserve"> </w:t>
      </w:r>
      <w:r w:rsidR="008A092D" w:rsidRPr="009123E5">
        <w:rPr>
          <w:rFonts w:ascii="Verdana" w:hAnsi="Verdana"/>
          <w:sz w:val="20"/>
        </w:rPr>
        <w:t>a requerimiento de los interesados</w:t>
      </w:r>
      <w:r w:rsidR="009123E5" w:rsidRPr="009123E5">
        <w:rPr>
          <w:rFonts w:ascii="Verdana" w:hAnsi="Verdana"/>
          <w:sz w:val="20"/>
        </w:rPr>
        <w:t xml:space="preserve">”. </w:t>
      </w:r>
      <w:r w:rsidR="00A10403" w:rsidRPr="009123E5">
        <w:rPr>
          <w:rFonts w:ascii="Verdana" w:hAnsi="Verdana"/>
          <w:sz w:val="20"/>
        </w:rPr>
        <w:t>En razón de ello, la Corte resaltó que “</w:t>
      </w:r>
      <w:r w:rsidR="008A092D" w:rsidRPr="009123E5">
        <w:rPr>
          <w:rFonts w:ascii="Verdana" w:hAnsi="Verdana"/>
          <w:sz w:val="20"/>
        </w:rPr>
        <w:t>la intervención de los órganos internos en el presente caso</w:t>
      </w:r>
      <w:r w:rsidR="00A10403" w:rsidRPr="009123E5">
        <w:rPr>
          <w:rFonts w:ascii="Verdana" w:hAnsi="Verdana"/>
          <w:sz w:val="20"/>
        </w:rPr>
        <w:t xml:space="preserve"> </w:t>
      </w:r>
      <w:r w:rsidR="008A092D" w:rsidRPr="009123E5">
        <w:rPr>
          <w:rFonts w:ascii="Verdana" w:hAnsi="Verdana"/>
          <w:sz w:val="20"/>
        </w:rPr>
        <w:t>aplica únicamente para la determinación de la categoría de incapacidad de las víctimas</w:t>
      </w:r>
      <w:r w:rsidR="00A10403" w:rsidRPr="009123E5">
        <w:rPr>
          <w:rFonts w:ascii="Verdana" w:hAnsi="Verdana"/>
          <w:sz w:val="20"/>
        </w:rPr>
        <w:t xml:space="preserve"> </w:t>
      </w:r>
      <w:r w:rsidR="008A092D" w:rsidRPr="009123E5">
        <w:rPr>
          <w:rFonts w:ascii="Verdana" w:hAnsi="Verdana"/>
          <w:sz w:val="20"/>
        </w:rPr>
        <w:t>sobrevivientes y no para las otras indemnizaciones dispuestas en la Sentencia</w:t>
      </w:r>
      <w:r w:rsidR="009123E5" w:rsidRPr="009123E5">
        <w:rPr>
          <w:rFonts w:ascii="Verdana" w:hAnsi="Verdana"/>
          <w:sz w:val="20"/>
        </w:rPr>
        <w:t>”</w:t>
      </w:r>
      <w:r w:rsidR="008A092D" w:rsidRPr="009123E5">
        <w:rPr>
          <w:rFonts w:ascii="Verdana" w:hAnsi="Verdana"/>
          <w:sz w:val="20"/>
        </w:rPr>
        <w:t>.</w:t>
      </w:r>
      <w:r w:rsidR="00DA2329" w:rsidRPr="009123E5">
        <w:rPr>
          <w:rFonts w:ascii="Verdana" w:hAnsi="Verdana"/>
          <w:sz w:val="20"/>
        </w:rPr>
        <w:t xml:space="preserve"> </w:t>
      </w:r>
      <w:r w:rsidR="00E1313D" w:rsidRPr="009123E5">
        <w:rPr>
          <w:rFonts w:ascii="Verdana" w:hAnsi="Verdana"/>
          <w:sz w:val="20"/>
        </w:rPr>
        <w:t xml:space="preserve">Asimismo, </w:t>
      </w:r>
      <w:r w:rsidR="009123E5" w:rsidRPr="009123E5">
        <w:rPr>
          <w:rFonts w:ascii="Verdana" w:hAnsi="Verdana"/>
          <w:sz w:val="20"/>
        </w:rPr>
        <w:t>el Tribunal</w:t>
      </w:r>
      <w:r w:rsidR="00E1313D" w:rsidRPr="009123E5">
        <w:rPr>
          <w:rFonts w:ascii="Verdana" w:hAnsi="Verdana"/>
          <w:sz w:val="20"/>
        </w:rPr>
        <w:t xml:space="preserve"> indicó al Estado que debía “</w:t>
      </w:r>
      <w:proofErr w:type="gramStart"/>
      <w:r w:rsidR="008A092D" w:rsidRPr="009123E5">
        <w:rPr>
          <w:rFonts w:ascii="Verdana" w:hAnsi="Verdana"/>
          <w:sz w:val="20"/>
        </w:rPr>
        <w:t>flexibili</w:t>
      </w:r>
      <w:r w:rsidR="00E1313D" w:rsidRPr="009123E5">
        <w:rPr>
          <w:rFonts w:ascii="Verdana" w:hAnsi="Verdana"/>
          <w:sz w:val="20"/>
        </w:rPr>
        <w:t>[</w:t>
      </w:r>
      <w:proofErr w:type="gramEnd"/>
      <w:r w:rsidR="00E1313D" w:rsidRPr="009123E5">
        <w:rPr>
          <w:rFonts w:ascii="Verdana" w:hAnsi="Verdana"/>
          <w:sz w:val="20"/>
        </w:rPr>
        <w:t>zar]</w:t>
      </w:r>
      <w:r w:rsidR="008A092D" w:rsidRPr="009123E5">
        <w:rPr>
          <w:rFonts w:ascii="Verdana" w:hAnsi="Verdana"/>
          <w:sz w:val="20"/>
        </w:rPr>
        <w:t xml:space="preserve"> la aceptación de las solicitudes de las víctimas sobrevivientes</w:t>
      </w:r>
      <w:r w:rsidR="00E1313D" w:rsidRPr="009123E5">
        <w:rPr>
          <w:rFonts w:ascii="Verdana" w:hAnsi="Verdana"/>
          <w:sz w:val="20"/>
        </w:rPr>
        <w:t xml:space="preserve"> </w:t>
      </w:r>
      <w:r w:rsidR="008A092D" w:rsidRPr="009123E5">
        <w:rPr>
          <w:rFonts w:ascii="Verdana" w:hAnsi="Verdana"/>
          <w:sz w:val="20"/>
        </w:rPr>
        <w:t>y sus familiares y sus medios probatorios, máxime cuando después de notificada la</w:t>
      </w:r>
      <w:r w:rsidR="00E1313D" w:rsidRPr="009123E5">
        <w:rPr>
          <w:rFonts w:ascii="Verdana" w:hAnsi="Verdana"/>
          <w:sz w:val="20"/>
        </w:rPr>
        <w:t xml:space="preserve"> </w:t>
      </w:r>
      <w:r w:rsidR="008A092D" w:rsidRPr="009123E5">
        <w:rPr>
          <w:rFonts w:ascii="Verdana" w:hAnsi="Verdana"/>
          <w:sz w:val="20"/>
        </w:rPr>
        <w:t>Sentencia el Perú no comunicó de forma clara y amplia a las víctimas cuál sería el</w:t>
      </w:r>
      <w:r w:rsidR="00E1313D" w:rsidRPr="009123E5">
        <w:rPr>
          <w:rFonts w:ascii="Verdana" w:hAnsi="Verdana"/>
          <w:sz w:val="20"/>
        </w:rPr>
        <w:t xml:space="preserve"> </w:t>
      </w:r>
      <w:r w:rsidR="008A092D" w:rsidRPr="009123E5">
        <w:rPr>
          <w:rFonts w:ascii="Verdana" w:hAnsi="Verdana"/>
          <w:sz w:val="20"/>
        </w:rPr>
        <w:t>mecanismo o procedimiento previsto para ejecutar la medida y cuáles autoridades serían las</w:t>
      </w:r>
      <w:r w:rsidR="00E1313D" w:rsidRPr="009123E5">
        <w:rPr>
          <w:rFonts w:ascii="Verdana" w:hAnsi="Verdana"/>
          <w:sz w:val="20"/>
        </w:rPr>
        <w:t xml:space="preserve"> </w:t>
      </w:r>
      <w:r w:rsidR="008A092D" w:rsidRPr="009123E5">
        <w:rPr>
          <w:rFonts w:ascii="Verdana" w:hAnsi="Verdana"/>
          <w:sz w:val="20"/>
        </w:rPr>
        <w:t>encargadas de hacerlo</w:t>
      </w:r>
      <w:r w:rsidR="009123E5" w:rsidRPr="009123E5">
        <w:rPr>
          <w:rFonts w:ascii="Verdana" w:hAnsi="Verdana"/>
          <w:sz w:val="20"/>
        </w:rPr>
        <w:t>”. La Corte</w:t>
      </w:r>
      <w:r w:rsidR="00E1313D" w:rsidRPr="009123E5">
        <w:rPr>
          <w:rFonts w:ascii="Verdana" w:hAnsi="Verdana"/>
          <w:sz w:val="20"/>
        </w:rPr>
        <w:t xml:space="preserve"> señaló que el Estado debía “</w:t>
      </w:r>
      <w:proofErr w:type="gramStart"/>
      <w:r w:rsidR="008A092D" w:rsidRPr="009123E5">
        <w:rPr>
          <w:rFonts w:ascii="Verdana" w:hAnsi="Verdana"/>
          <w:sz w:val="20"/>
        </w:rPr>
        <w:t>proced</w:t>
      </w:r>
      <w:r w:rsidR="00E1313D" w:rsidRPr="009123E5">
        <w:rPr>
          <w:rFonts w:ascii="Verdana" w:hAnsi="Verdana"/>
          <w:sz w:val="20"/>
        </w:rPr>
        <w:t>[</w:t>
      </w:r>
      <w:proofErr w:type="gramEnd"/>
      <w:r w:rsidR="00E1313D" w:rsidRPr="009123E5">
        <w:rPr>
          <w:rFonts w:ascii="Verdana" w:hAnsi="Verdana"/>
          <w:sz w:val="20"/>
        </w:rPr>
        <w:t>er]</w:t>
      </w:r>
      <w:r w:rsidR="008A092D" w:rsidRPr="009123E5">
        <w:rPr>
          <w:rFonts w:ascii="Verdana" w:hAnsi="Verdana"/>
          <w:sz w:val="20"/>
        </w:rPr>
        <w:t xml:space="preserve"> de inmediato y de forma directa</w:t>
      </w:r>
      <w:r w:rsidR="00E1313D" w:rsidRPr="009123E5">
        <w:rPr>
          <w:rFonts w:ascii="Verdana" w:hAnsi="Verdana"/>
          <w:sz w:val="20"/>
        </w:rPr>
        <w:t xml:space="preserve"> c</w:t>
      </w:r>
      <w:r w:rsidR="008A092D" w:rsidRPr="009123E5">
        <w:rPr>
          <w:rFonts w:ascii="Verdana" w:hAnsi="Verdana"/>
          <w:sz w:val="20"/>
        </w:rPr>
        <w:t>on el cumplimiento de todas aquellas indemnizaciones que no requieran una determinación</w:t>
      </w:r>
      <w:r w:rsidR="00E1313D" w:rsidRPr="009123E5">
        <w:rPr>
          <w:rFonts w:ascii="Verdana" w:hAnsi="Verdana"/>
          <w:sz w:val="20"/>
        </w:rPr>
        <w:t xml:space="preserve"> </w:t>
      </w:r>
      <w:r w:rsidR="008A092D" w:rsidRPr="009123E5">
        <w:rPr>
          <w:rFonts w:ascii="Verdana" w:hAnsi="Verdana"/>
          <w:sz w:val="20"/>
        </w:rPr>
        <w:t>por parte de las autoridades internas y, en el caso de aquellas en cuya intervención es</w:t>
      </w:r>
      <w:r w:rsidR="00E1313D" w:rsidRPr="009123E5">
        <w:rPr>
          <w:rFonts w:ascii="Verdana" w:hAnsi="Verdana"/>
          <w:sz w:val="20"/>
        </w:rPr>
        <w:t xml:space="preserve"> </w:t>
      </w:r>
      <w:r w:rsidR="008A092D" w:rsidRPr="009123E5">
        <w:rPr>
          <w:rFonts w:ascii="Verdana" w:hAnsi="Verdana"/>
          <w:sz w:val="20"/>
        </w:rPr>
        <w:t>requerida, que implemente las medidas necesarias para que se realicen a la mayor brevedad</w:t>
      </w:r>
      <w:r w:rsidR="00E1313D" w:rsidRPr="009123E5">
        <w:rPr>
          <w:rFonts w:ascii="Verdana" w:hAnsi="Verdana"/>
          <w:sz w:val="20"/>
        </w:rPr>
        <w:t xml:space="preserve"> </w:t>
      </w:r>
      <w:r w:rsidR="008A092D" w:rsidRPr="009123E5">
        <w:rPr>
          <w:rFonts w:ascii="Verdana" w:hAnsi="Verdana"/>
          <w:sz w:val="20"/>
        </w:rPr>
        <w:t>y sin superar un período de seis meses</w:t>
      </w:r>
      <w:r w:rsidR="00E1313D" w:rsidRPr="009123E5">
        <w:rPr>
          <w:rFonts w:ascii="Verdana" w:hAnsi="Verdana"/>
          <w:sz w:val="20"/>
        </w:rPr>
        <w:t>”</w:t>
      </w:r>
      <w:r w:rsidR="008A092D" w:rsidRPr="009123E5">
        <w:rPr>
          <w:rFonts w:ascii="Verdana" w:hAnsi="Verdana"/>
          <w:sz w:val="20"/>
        </w:rPr>
        <w:t>.</w:t>
      </w:r>
      <w:r w:rsidR="00E1313D" w:rsidRPr="009123E5">
        <w:rPr>
          <w:rFonts w:ascii="Verdana" w:hAnsi="Verdana"/>
          <w:sz w:val="20"/>
        </w:rPr>
        <w:t xml:space="preserve"> </w:t>
      </w:r>
    </w:p>
    <w:p w:rsidR="009123E5" w:rsidRPr="009123E5" w:rsidRDefault="009123E5" w:rsidP="009123E5">
      <w:pPr>
        <w:pStyle w:val="Cuadrculamedia1-nfasis2"/>
        <w:tabs>
          <w:tab w:val="left" w:pos="567"/>
        </w:tabs>
        <w:ind w:left="0"/>
        <w:contextualSpacing/>
        <w:jc w:val="both"/>
        <w:rPr>
          <w:rFonts w:ascii="Verdana" w:hAnsi="Verdana"/>
          <w:sz w:val="20"/>
        </w:rPr>
      </w:pPr>
    </w:p>
    <w:p w:rsidR="004D7DD1" w:rsidRPr="009123E5" w:rsidRDefault="00E1313D" w:rsidP="00D333AB">
      <w:pPr>
        <w:pStyle w:val="Cuadrculamedia1-nfasis2"/>
        <w:numPr>
          <w:ilvl w:val="0"/>
          <w:numId w:val="1"/>
        </w:numPr>
        <w:tabs>
          <w:tab w:val="left" w:pos="567"/>
        </w:tabs>
        <w:ind w:left="0" w:firstLine="0"/>
        <w:contextualSpacing/>
        <w:jc w:val="both"/>
        <w:rPr>
          <w:rFonts w:ascii="Verdana" w:hAnsi="Verdana"/>
          <w:sz w:val="20"/>
        </w:rPr>
      </w:pPr>
      <w:r w:rsidRPr="009123E5">
        <w:rPr>
          <w:rFonts w:ascii="Verdana" w:hAnsi="Verdana"/>
          <w:sz w:val="20"/>
        </w:rPr>
        <w:lastRenderedPageBreak/>
        <w:t xml:space="preserve">En su Resolución de 2015, la Corte valoró positivamente que el </w:t>
      </w:r>
      <w:r w:rsidR="0002684A">
        <w:rPr>
          <w:rFonts w:ascii="Verdana" w:hAnsi="Verdana"/>
          <w:sz w:val="20"/>
        </w:rPr>
        <w:t>Juzgado de Ejecución de Sentencias Supranacionales</w:t>
      </w:r>
      <w:r w:rsidR="00E47B93" w:rsidRPr="009123E5">
        <w:rPr>
          <w:rFonts w:ascii="Verdana" w:hAnsi="Verdana"/>
          <w:sz w:val="20"/>
        </w:rPr>
        <w:t xml:space="preserve"> </w:t>
      </w:r>
      <w:r w:rsidRPr="009123E5">
        <w:rPr>
          <w:rFonts w:ascii="Verdana" w:hAnsi="Verdana"/>
          <w:sz w:val="20"/>
        </w:rPr>
        <w:t>“</w:t>
      </w:r>
      <w:r w:rsidR="0071400F" w:rsidRPr="009123E5">
        <w:rPr>
          <w:rFonts w:ascii="Verdana" w:hAnsi="Verdana"/>
          <w:sz w:val="20"/>
        </w:rPr>
        <w:t xml:space="preserve">emitió el 15 de octubre de 2014 una resolución en la que decidió, </w:t>
      </w:r>
      <w:r w:rsidRPr="009123E5">
        <w:rPr>
          <w:rFonts w:ascii="Verdana" w:hAnsi="Verdana"/>
          <w:sz w:val="20"/>
        </w:rPr>
        <w:t>[entre otras cosas], que se ‘</w:t>
      </w:r>
      <w:r w:rsidR="0071400F" w:rsidRPr="009123E5">
        <w:rPr>
          <w:rFonts w:ascii="Verdana" w:hAnsi="Verdana"/>
          <w:sz w:val="20"/>
        </w:rPr>
        <w:t xml:space="preserve">podrán seguir incorporando beneficiarios de la sentencia supranacional hasta que no se produzca la publicación de la </w:t>
      </w:r>
      <w:r w:rsidRPr="009123E5">
        <w:rPr>
          <w:rFonts w:ascii="Verdana" w:hAnsi="Verdana"/>
          <w:sz w:val="20"/>
        </w:rPr>
        <w:t xml:space="preserve">sentencia ordenada por la Corte’”. </w:t>
      </w:r>
      <w:r w:rsidR="0071400F" w:rsidRPr="009123E5">
        <w:rPr>
          <w:rFonts w:ascii="Verdana" w:hAnsi="Verdana"/>
          <w:sz w:val="20"/>
        </w:rPr>
        <w:t xml:space="preserve">No </w:t>
      </w:r>
      <w:r w:rsidRPr="009123E5">
        <w:rPr>
          <w:rFonts w:ascii="Verdana" w:hAnsi="Verdana"/>
          <w:sz w:val="20"/>
        </w:rPr>
        <w:t>obstante, la Corte destacó</w:t>
      </w:r>
      <w:r w:rsidR="0071400F" w:rsidRPr="009123E5">
        <w:rPr>
          <w:rFonts w:ascii="Verdana" w:hAnsi="Verdana"/>
          <w:sz w:val="20"/>
        </w:rPr>
        <w:t xml:space="preserve"> que el </w:t>
      </w:r>
      <w:r w:rsidRPr="009123E5">
        <w:rPr>
          <w:rFonts w:ascii="Verdana" w:hAnsi="Verdana"/>
          <w:sz w:val="20"/>
        </w:rPr>
        <w:t>Estado “</w:t>
      </w:r>
      <w:r w:rsidR="0071400F" w:rsidRPr="009123E5">
        <w:rPr>
          <w:rFonts w:ascii="Verdana" w:hAnsi="Verdana"/>
          <w:sz w:val="20"/>
        </w:rPr>
        <w:t>presentó información insuficiente con respecto al estado</w:t>
      </w:r>
      <w:r w:rsidRPr="009123E5">
        <w:rPr>
          <w:rFonts w:ascii="Verdana" w:hAnsi="Verdana"/>
          <w:sz w:val="20"/>
        </w:rPr>
        <w:t xml:space="preserve"> actual de ese proceso interno</w:t>
      </w:r>
      <w:r w:rsidR="0071400F" w:rsidRPr="009123E5">
        <w:rPr>
          <w:rFonts w:ascii="Verdana" w:hAnsi="Verdana"/>
          <w:sz w:val="20"/>
        </w:rPr>
        <w:t xml:space="preserve">, de lo cual se desprende que no ha concluido con las </w:t>
      </w:r>
      <w:r w:rsidRPr="009123E5">
        <w:rPr>
          <w:rFonts w:ascii="Verdana" w:hAnsi="Verdana"/>
          <w:sz w:val="20"/>
        </w:rPr>
        <w:t>determinaciones respectivas</w:t>
      </w:r>
      <w:r w:rsidR="0071400F" w:rsidRPr="009123E5">
        <w:rPr>
          <w:rFonts w:ascii="Verdana" w:hAnsi="Verdana"/>
          <w:sz w:val="20"/>
        </w:rPr>
        <w:t xml:space="preserve">, ni efectuado los pagos de indemnizaciones, a pesar de que han transcurrido más de siete años desde el vencimiento del plazo de 18 meses concedido </w:t>
      </w:r>
      <w:r w:rsidRPr="009123E5">
        <w:rPr>
          <w:rFonts w:ascii="Verdana" w:hAnsi="Verdana"/>
          <w:sz w:val="20"/>
        </w:rPr>
        <w:t>para su cumplimiento”.</w:t>
      </w:r>
      <w:r w:rsidR="0071400F" w:rsidRPr="009123E5">
        <w:rPr>
          <w:rFonts w:ascii="Verdana" w:hAnsi="Verdana"/>
          <w:sz w:val="20"/>
        </w:rPr>
        <w:t xml:space="preserve"> La Corte </w:t>
      </w:r>
      <w:r w:rsidR="00E47B93" w:rsidRPr="009123E5">
        <w:rPr>
          <w:rFonts w:ascii="Verdana" w:hAnsi="Verdana"/>
          <w:sz w:val="20"/>
        </w:rPr>
        <w:t>consideró</w:t>
      </w:r>
      <w:r w:rsidR="0071400F" w:rsidRPr="009123E5">
        <w:rPr>
          <w:rFonts w:ascii="Verdana" w:hAnsi="Verdana"/>
          <w:sz w:val="20"/>
        </w:rPr>
        <w:t xml:space="preserve"> que </w:t>
      </w:r>
      <w:r w:rsidR="00E47B93" w:rsidRPr="009123E5">
        <w:rPr>
          <w:rFonts w:ascii="Verdana" w:hAnsi="Verdana"/>
          <w:sz w:val="20"/>
        </w:rPr>
        <w:t>“el Estado omitió</w:t>
      </w:r>
      <w:r w:rsidR="0071400F" w:rsidRPr="009123E5">
        <w:rPr>
          <w:rFonts w:ascii="Verdana" w:hAnsi="Verdana"/>
          <w:sz w:val="20"/>
        </w:rPr>
        <w:t xml:space="preserve"> tomar en cuenta lo indicado y solicitado en </w:t>
      </w:r>
      <w:r w:rsidR="00E47B93" w:rsidRPr="009123E5">
        <w:rPr>
          <w:rFonts w:ascii="Verdana" w:hAnsi="Verdana"/>
          <w:sz w:val="20"/>
        </w:rPr>
        <w:t>[la]</w:t>
      </w:r>
      <w:r w:rsidR="0071400F" w:rsidRPr="009123E5">
        <w:rPr>
          <w:rFonts w:ascii="Verdana" w:hAnsi="Verdana"/>
          <w:sz w:val="20"/>
        </w:rPr>
        <w:t xml:space="preserve"> Resolución</w:t>
      </w:r>
      <w:r w:rsidR="00E47B93" w:rsidRPr="009123E5">
        <w:rPr>
          <w:rFonts w:ascii="Verdana" w:hAnsi="Verdana"/>
          <w:sz w:val="20"/>
        </w:rPr>
        <w:t xml:space="preserve"> [de 2014]”. </w:t>
      </w:r>
    </w:p>
    <w:p w:rsidR="004D7DD1" w:rsidRDefault="004D7DD1" w:rsidP="00D333AB">
      <w:pPr>
        <w:pStyle w:val="Cuadrculamedia1-nfasis2"/>
        <w:ind w:left="0"/>
        <w:rPr>
          <w:rFonts w:ascii="Verdana" w:hAnsi="Verdana"/>
          <w:sz w:val="20"/>
        </w:rPr>
      </w:pPr>
    </w:p>
    <w:p w:rsidR="00862E9A" w:rsidRPr="00862E9A" w:rsidRDefault="004D7DD1" w:rsidP="00862E9A">
      <w:pPr>
        <w:pStyle w:val="Cuadrculamedia1-nfasis2"/>
        <w:numPr>
          <w:ilvl w:val="0"/>
          <w:numId w:val="1"/>
        </w:numPr>
        <w:tabs>
          <w:tab w:val="left" w:pos="567"/>
        </w:tabs>
        <w:ind w:left="0" w:firstLine="0"/>
        <w:contextualSpacing/>
        <w:jc w:val="both"/>
        <w:rPr>
          <w:rFonts w:ascii="Verdana" w:hAnsi="Verdana"/>
          <w:i/>
          <w:sz w:val="20"/>
        </w:rPr>
      </w:pPr>
      <w:r>
        <w:rPr>
          <w:rFonts w:ascii="Verdana" w:hAnsi="Verdana"/>
          <w:sz w:val="20"/>
        </w:rPr>
        <w:t>En razón de que “[e]</w:t>
      </w:r>
      <w:r w:rsidRPr="004D7DD1">
        <w:rPr>
          <w:rFonts w:ascii="Verdana" w:hAnsi="Verdana"/>
          <w:sz w:val="20"/>
        </w:rPr>
        <w:t>l Estado ha in</w:t>
      </w:r>
      <w:r>
        <w:rPr>
          <w:rFonts w:ascii="Verdana" w:hAnsi="Verdana"/>
          <w:sz w:val="20"/>
        </w:rPr>
        <w:t>formado que desde el 2010 está ‘judicializado’</w:t>
      </w:r>
      <w:r w:rsidRPr="004D7DD1">
        <w:rPr>
          <w:rFonts w:ascii="Verdana" w:hAnsi="Verdana"/>
          <w:sz w:val="20"/>
        </w:rPr>
        <w:t xml:space="preserve"> ante el Juzgado Especializado en Ejecución de Sentencias Supranacionales de la Corte Superior de Justicia de Lima las reparaciones relativas al pago de las indemnizaciones p</w:t>
      </w:r>
      <w:r>
        <w:rPr>
          <w:rFonts w:ascii="Verdana" w:hAnsi="Verdana"/>
          <w:sz w:val="20"/>
        </w:rPr>
        <w:t>or daños material e inmaterial</w:t>
      </w:r>
      <w:r w:rsidRPr="004D7DD1">
        <w:rPr>
          <w:rFonts w:ascii="Verdana" w:hAnsi="Verdana"/>
          <w:sz w:val="20"/>
        </w:rPr>
        <w:t xml:space="preserve"> y el pago del monto relativo a atención médica y psicológica para las víctimas que residan en el exterior</w:t>
      </w:r>
      <w:r>
        <w:rPr>
          <w:rFonts w:ascii="Verdana" w:hAnsi="Verdana"/>
          <w:sz w:val="20"/>
        </w:rPr>
        <w:t>”, la Corte, en aplicación del artículo 69.2 de su Reglamento, requirió mediante</w:t>
      </w:r>
      <w:r w:rsidR="001A0FA6" w:rsidRPr="00367EF3">
        <w:rPr>
          <w:rFonts w:ascii="Verdana" w:hAnsi="Verdana"/>
          <w:sz w:val="20"/>
        </w:rPr>
        <w:t xml:space="preserve"> la </w:t>
      </w:r>
      <w:r w:rsidR="001A0FA6">
        <w:rPr>
          <w:rFonts w:ascii="Verdana" w:hAnsi="Verdana"/>
          <w:sz w:val="20"/>
        </w:rPr>
        <w:t xml:space="preserve">Resolución </w:t>
      </w:r>
      <w:r>
        <w:rPr>
          <w:rFonts w:ascii="Verdana" w:hAnsi="Verdana"/>
          <w:sz w:val="20"/>
        </w:rPr>
        <w:t xml:space="preserve">de </w:t>
      </w:r>
      <w:r w:rsidR="007412CA">
        <w:rPr>
          <w:rFonts w:ascii="Verdana" w:hAnsi="Verdana"/>
          <w:sz w:val="20"/>
        </w:rPr>
        <w:t xml:space="preserve">abril de </w:t>
      </w:r>
      <w:r w:rsidR="001A0FA6">
        <w:rPr>
          <w:rFonts w:ascii="Verdana" w:hAnsi="Verdana"/>
          <w:sz w:val="20"/>
        </w:rPr>
        <w:t>2015</w:t>
      </w:r>
      <w:r>
        <w:rPr>
          <w:rFonts w:ascii="Verdana" w:hAnsi="Verdana"/>
          <w:sz w:val="20"/>
        </w:rPr>
        <w:t xml:space="preserve"> que el</w:t>
      </w:r>
      <w:r w:rsidR="001A0FA6">
        <w:rPr>
          <w:rFonts w:ascii="Verdana" w:hAnsi="Verdana"/>
          <w:sz w:val="20"/>
        </w:rPr>
        <w:t xml:space="preserve"> </w:t>
      </w:r>
      <w:r w:rsidR="00B02C2C">
        <w:rPr>
          <w:rFonts w:ascii="Verdana" w:hAnsi="Verdana"/>
          <w:sz w:val="20"/>
        </w:rPr>
        <w:t xml:space="preserve">referido </w:t>
      </w:r>
      <w:r w:rsidR="007412CA">
        <w:rPr>
          <w:rFonts w:ascii="Verdana" w:hAnsi="Verdana"/>
          <w:sz w:val="20"/>
        </w:rPr>
        <w:t>j</w:t>
      </w:r>
      <w:r w:rsidR="0002684A">
        <w:rPr>
          <w:rFonts w:ascii="Verdana" w:hAnsi="Verdana"/>
          <w:sz w:val="20"/>
        </w:rPr>
        <w:t>uzgado</w:t>
      </w:r>
      <w:r w:rsidR="001A0FA6">
        <w:rPr>
          <w:rFonts w:ascii="Verdana" w:hAnsi="Verdana"/>
          <w:sz w:val="20"/>
        </w:rPr>
        <w:t xml:space="preserve"> </w:t>
      </w:r>
      <w:r>
        <w:rPr>
          <w:rFonts w:ascii="Verdana" w:hAnsi="Verdana"/>
          <w:sz w:val="20"/>
        </w:rPr>
        <w:t>rindiera</w:t>
      </w:r>
      <w:r w:rsidR="001A0FA6">
        <w:rPr>
          <w:rFonts w:ascii="Verdana" w:hAnsi="Verdana"/>
          <w:sz w:val="20"/>
        </w:rPr>
        <w:t xml:space="preserve"> un informe a</w:t>
      </w:r>
      <w:r>
        <w:rPr>
          <w:rFonts w:ascii="Verdana" w:hAnsi="Verdana"/>
          <w:sz w:val="20"/>
        </w:rPr>
        <w:t xml:space="preserve">l Tribunal, en el cual </w:t>
      </w:r>
      <w:r w:rsidRPr="004D7DD1">
        <w:rPr>
          <w:rFonts w:ascii="Verdana" w:hAnsi="Verdana"/>
          <w:sz w:val="20"/>
        </w:rPr>
        <w:t>presentar</w:t>
      </w:r>
      <w:r>
        <w:rPr>
          <w:rFonts w:ascii="Verdana" w:hAnsi="Verdana"/>
          <w:sz w:val="20"/>
        </w:rPr>
        <w:t>a</w:t>
      </w:r>
      <w:r w:rsidRPr="004D7DD1">
        <w:rPr>
          <w:rFonts w:ascii="Verdana" w:hAnsi="Verdana"/>
          <w:sz w:val="20"/>
        </w:rPr>
        <w:t xml:space="preserve"> </w:t>
      </w:r>
      <w:r>
        <w:rPr>
          <w:rFonts w:ascii="Verdana" w:hAnsi="Verdana"/>
          <w:sz w:val="20"/>
        </w:rPr>
        <w:t>“</w:t>
      </w:r>
      <w:r w:rsidRPr="004D7DD1">
        <w:rPr>
          <w:rFonts w:ascii="Verdana" w:hAnsi="Verdana"/>
          <w:sz w:val="20"/>
        </w:rPr>
        <w:t>la información que estime relevante, en el ámbito de s</w:t>
      </w:r>
      <w:r>
        <w:rPr>
          <w:rFonts w:ascii="Verdana" w:hAnsi="Verdana"/>
          <w:sz w:val="20"/>
        </w:rPr>
        <w:t>us competencias, sobre el caso ‘</w:t>
      </w:r>
      <w:r w:rsidRPr="004D7DD1">
        <w:rPr>
          <w:rFonts w:ascii="Verdana" w:hAnsi="Verdana"/>
          <w:sz w:val="20"/>
        </w:rPr>
        <w:t>ejecución de sentencia suprana</w:t>
      </w:r>
      <w:r>
        <w:rPr>
          <w:rFonts w:ascii="Verdana" w:hAnsi="Verdana"/>
          <w:sz w:val="20"/>
        </w:rPr>
        <w:t>cional caso Penal Castro Castro’”</w:t>
      </w:r>
      <w:r w:rsidRPr="004D7DD1">
        <w:rPr>
          <w:rFonts w:ascii="Verdana" w:hAnsi="Verdana"/>
          <w:sz w:val="20"/>
        </w:rPr>
        <w:t xml:space="preserve">. En </w:t>
      </w:r>
      <w:r>
        <w:rPr>
          <w:rFonts w:ascii="Verdana" w:hAnsi="Verdana"/>
          <w:sz w:val="20"/>
        </w:rPr>
        <w:t xml:space="preserve">particular, </w:t>
      </w:r>
      <w:r w:rsidR="00B02C2C">
        <w:rPr>
          <w:rFonts w:ascii="Verdana" w:hAnsi="Verdana"/>
          <w:sz w:val="20"/>
        </w:rPr>
        <w:t>el Tribunal</w:t>
      </w:r>
      <w:r>
        <w:rPr>
          <w:rFonts w:ascii="Verdana" w:hAnsi="Verdana"/>
          <w:sz w:val="20"/>
        </w:rPr>
        <w:t xml:space="preserve"> solicitó que en dicho </w:t>
      </w:r>
      <w:r w:rsidR="007412CA">
        <w:rPr>
          <w:rFonts w:ascii="Verdana" w:hAnsi="Verdana"/>
          <w:sz w:val="20"/>
        </w:rPr>
        <w:t>informe, el referido j</w:t>
      </w:r>
      <w:r w:rsidR="00B94878">
        <w:rPr>
          <w:rFonts w:ascii="Verdana" w:hAnsi="Verdana"/>
          <w:sz w:val="20"/>
        </w:rPr>
        <w:t>uzgado in</w:t>
      </w:r>
      <w:r>
        <w:rPr>
          <w:rFonts w:ascii="Verdana" w:hAnsi="Verdana"/>
          <w:sz w:val="20"/>
        </w:rPr>
        <w:t>dicara: “</w:t>
      </w:r>
      <w:r w:rsidRPr="004D7DD1">
        <w:rPr>
          <w:rFonts w:ascii="Verdana" w:hAnsi="Verdana"/>
          <w:sz w:val="20"/>
        </w:rPr>
        <w:t xml:space="preserve">(i) cuál es el procedimiento seguido por ese juzgado y, (ii) teniendo en cuenta los plazos </w:t>
      </w:r>
      <w:r>
        <w:rPr>
          <w:rFonts w:ascii="Verdana" w:hAnsi="Verdana"/>
          <w:sz w:val="20"/>
        </w:rPr>
        <w:t>establecidos en la Sentencia</w:t>
      </w:r>
      <w:r w:rsidRPr="004D7DD1">
        <w:rPr>
          <w:rFonts w:ascii="Verdana" w:hAnsi="Verdana"/>
          <w:sz w:val="20"/>
        </w:rPr>
        <w:t>, explique fundadamente cuándo tiene previsto concluir con una o varias decisiones que resuelvan judicialmente este asunto</w:t>
      </w:r>
      <w:r>
        <w:rPr>
          <w:rFonts w:ascii="Verdana" w:hAnsi="Verdana"/>
          <w:sz w:val="20"/>
        </w:rPr>
        <w:t>”</w:t>
      </w:r>
      <w:r w:rsidRPr="004D7DD1">
        <w:rPr>
          <w:rFonts w:ascii="Verdana" w:hAnsi="Verdana"/>
          <w:sz w:val="20"/>
        </w:rPr>
        <w:t xml:space="preserve">. </w:t>
      </w:r>
    </w:p>
    <w:p w:rsidR="00862E9A" w:rsidRDefault="00862E9A" w:rsidP="00862E9A">
      <w:pPr>
        <w:pStyle w:val="Cuadrculamedia1-nfasis2"/>
        <w:tabs>
          <w:tab w:val="left" w:pos="567"/>
        </w:tabs>
        <w:ind w:left="0"/>
        <w:contextualSpacing/>
        <w:jc w:val="both"/>
        <w:rPr>
          <w:rFonts w:ascii="Verdana" w:hAnsi="Verdana"/>
          <w:i/>
          <w:sz w:val="20"/>
        </w:rPr>
      </w:pPr>
    </w:p>
    <w:p w:rsidR="0035636A" w:rsidRDefault="0035636A" w:rsidP="00862E9A">
      <w:pPr>
        <w:pStyle w:val="Cuadrculamedia1-nfasis2"/>
        <w:tabs>
          <w:tab w:val="left" w:pos="567"/>
        </w:tabs>
        <w:ind w:left="0"/>
        <w:contextualSpacing/>
        <w:jc w:val="both"/>
        <w:rPr>
          <w:rFonts w:ascii="Verdana" w:hAnsi="Verdana"/>
          <w:i/>
          <w:sz w:val="20"/>
        </w:rPr>
      </w:pPr>
    </w:p>
    <w:p w:rsidR="00862E9A" w:rsidRPr="003F1EED" w:rsidRDefault="00862E9A" w:rsidP="00862E9A">
      <w:pPr>
        <w:pStyle w:val="Ttulo2"/>
        <w:numPr>
          <w:ilvl w:val="0"/>
          <w:numId w:val="0"/>
        </w:numPr>
      </w:pPr>
      <w:bookmarkStart w:id="5" w:name="_Toc470015980"/>
      <w:bookmarkStart w:id="6" w:name="_Toc470016708"/>
      <w:r>
        <w:rPr>
          <w:i w:val="0"/>
        </w:rPr>
        <w:tab/>
      </w:r>
      <w:bookmarkStart w:id="7" w:name="_Toc345249283"/>
      <w:bookmarkStart w:id="8" w:name="_Toc475555749"/>
      <w:r>
        <w:t>A.2</w:t>
      </w:r>
      <w:r w:rsidRPr="003F1EED">
        <w:t xml:space="preserve">. </w:t>
      </w:r>
      <w:r w:rsidRPr="003F1EED">
        <w:rPr>
          <w:lang w:val="es-MX"/>
        </w:rPr>
        <w:t>Información y observaciones de las partes y de la Comisión</w:t>
      </w:r>
      <w:bookmarkEnd w:id="5"/>
      <w:bookmarkEnd w:id="6"/>
      <w:bookmarkEnd w:id="7"/>
      <w:bookmarkEnd w:id="8"/>
      <w:r w:rsidRPr="003F1EED">
        <w:t xml:space="preserve"> </w:t>
      </w:r>
    </w:p>
    <w:p w:rsidR="00862E9A" w:rsidRDefault="00862E9A" w:rsidP="00862E9A">
      <w:pPr>
        <w:pStyle w:val="Cuadrculamedia1-nfasis2"/>
        <w:tabs>
          <w:tab w:val="left" w:pos="567"/>
        </w:tabs>
        <w:ind w:left="0"/>
        <w:contextualSpacing/>
        <w:jc w:val="both"/>
        <w:rPr>
          <w:rFonts w:ascii="Verdana" w:hAnsi="Verdana"/>
          <w:i/>
          <w:sz w:val="20"/>
        </w:rPr>
      </w:pPr>
    </w:p>
    <w:p w:rsidR="009944C1" w:rsidRPr="00862E9A" w:rsidRDefault="00CF139A" w:rsidP="009944C1">
      <w:pPr>
        <w:pStyle w:val="Cuadrculamedia1-nfasis2"/>
        <w:numPr>
          <w:ilvl w:val="0"/>
          <w:numId w:val="1"/>
        </w:numPr>
        <w:tabs>
          <w:tab w:val="left" w:pos="567"/>
        </w:tabs>
        <w:ind w:left="0" w:firstLine="0"/>
        <w:contextualSpacing/>
        <w:jc w:val="both"/>
        <w:rPr>
          <w:rFonts w:ascii="Verdana" w:hAnsi="Verdana"/>
          <w:i/>
          <w:sz w:val="20"/>
        </w:rPr>
      </w:pPr>
      <w:r w:rsidRPr="00862E9A">
        <w:rPr>
          <w:rFonts w:ascii="Verdana" w:hAnsi="Verdana"/>
          <w:sz w:val="20"/>
        </w:rPr>
        <w:t xml:space="preserve">El </w:t>
      </w:r>
      <w:r w:rsidRPr="00862E9A">
        <w:rPr>
          <w:rFonts w:ascii="Verdana" w:hAnsi="Verdana"/>
          <w:i/>
          <w:sz w:val="20"/>
        </w:rPr>
        <w:t>Estado</w:t>
      </w:r>
      <w:r w:rsidRPr="00862E9A">
        <w:rPr>
          <w:rFonts w:ascii="Verdana" w:hAnsi="Verdana"/>
          <w:sz w:val="20"/>
        </w:rPr>
        <w:t xml:space="preserve"> reiteró en agosto de 2015 que el pago de las indemnizaciones por daños material e inmaterial “se ha judicializado en sede interna”, en razón del “</w:t>
      </w:r>
      <w:r w:rsidR="00D60272">
        <w:rPr>
          <w:rFonts w:ascii="Verdana" w:hAnsi="Verdana"/>
          <w:sz w:val="20"/>
        </w:rPr>
        <w:t>[</w:t>
      </w:r>
      <w:r w:rsidRPr="00862E9A">
        <w:rPr>
          <w:rFonts w:ascii="Verdana" w:hAnsi="Verdana"/>
          <w:sz w:val="20"/>
        </w:rPr>
        <w:t>p</w:t>
      </w:r>
      <w:r w:rsidR="00D60272">
        <w:rPr>
          <w:rFonts w:ascii="Verdana" w:hAnsi="Verdana"/>
          <w:sz w:val="20"/>
        </w:rPr>
        <w:t>]</w:t>
      </w:r>
      <w:proofErr w:type="spellStart"/>
      <w:r w:rsidRPr="00862E9A">
        <w:rPr>
          <w:rFonts w:ascii="Verdana" w:hAnsi="Verdana"/>
          <w:sz w:val="20"/>
        </w:rPr>
        <w:t>roceso</w:t>
      </w:r>
      <w:proofErr w:type="spellEnd"/>
      <w:r w:rsidRPr="00862E9A">
        <w:rPr>
          <w:rFonts w:ascii="Verdana" w:hAnsi="Verdana"/>
          <w:sz w:val="20"/>
        </w:rPr>
        <w:t xml:space="preserve"> </w:t>
      </w:r>
      <w:r w:rsidR="00D60272">
        <w:rPr>
          <w:rFonts w:ascii="Verdana" w:hAnsi="Verdana" w:cs="Verdana"/>
          <w:sz w:val="20"/>
          <w:lang w:val="es-ES"/>
        </w:rPr>
        <w:t>N</w:t>
      </w:r>
      <w:r w:rsidR="00D60272">
        <w:rPr>
          <w:rFonts w:ascii="Verdana" w:hAnsi="Verdana" w:cs="Verdana"/>
          <w:sz w:val="20"/>
          <w:lang w:val="es-ES"/>
        </w:rPr>
        <w:sym w:font="Symbol" w:char="F0B0"/>
      </w:r>
      <w:r w:rsidR="00D60272">
        <w:rPr>
          <w:rFonts w:ascii="Verdana" w:hAnsi="Verdana" w:cs="Verdana"/>
          <w:sz w:val="20"/>
          <w:lang w:val="es-ES"/>
        </w:rPr>
        <w:t xml:space="preserve"> </w:t>
      </w:r>
      <w:r w:rsidRPr="00862E9A">
        <w:rPr>
          <w:rFonts w:ascii="Verdana" w:hAnsi="Verdana"/>
          <w:sz w:val="20"/>
        </w:rPr>
        <w:t xml:space="preserve">11891-2010 seguido ante el </w:t>
      </w:r>
      <w:r w:rsidR="0002684A">
        <w:rPr>
          <w:rFonts w:ascii="Verdana" w:hAnsi="Verdana"/>
          <w:sz w:val="20"/>
        </w:rPr>
        <w:t>Juzgado de Ejecución de Sentencias Supranacionales</w:t>
      </w:r>
      <w:r w:rsidRPr="00862E9A">
        <w:rPr>
          <w:rFonts w:ascii="Verdana" w:hAnsi="Verdana"/>
          <w:sz w:val="20"/>
        </w:rPr>
        <w:t xml:space="preserve"> […</w:t>
      </w:r>
      <w:r w:rsidR="00425557" w:rsidRPr="00862E9A">
        <w:rPr>
          <w:rFonts w:ascii="Verdana" w:hAnsi="Verdana"/>
          <w:sz w:val="20"/>
        </w:rPr>
        <w:t>] desde el 7 de abril de 2010”.</w:t>
      </w:r>
      <w:r w:rsidR="006E0ED1" w:rsidRPr="00862E9A">
        <w:rPr>
          <w:rFonts w:ascii="Verdana" w:hAnsi="Verdana"/>
          <w:sz w:val="20"/>
        </w:rPr>
        <w:t xml:space="preserve"> Asimismo, indicó que respecto a la información presentada por el </w:t>
      </w:r>
      <w:r w:rsidR="004E6157" w:rsidRPr="00862E9A">
        <w:rPr>
          <w:rFonts w:ascii="Verdana" w:hAnsi="Verdana"/>
          <w:sz w:val="20"/>
        </w:rPr>
        <w:t>Juez Titular del Juzgado Especializado en Ejecución de Sentencias Supranacionales</w:t>
      </w:r>
      <w:r w:rsidR="007D0CCF" w:rsidRPr="00862E9A">
        <w:rPr>
          <w:rFonts w:ascii="Verdana" w:hAnsi="Verdana"/>
          <w:sz w:val="20"/>
        </w:rPr>
        <w:t xml:space="preserve"> (</w:t>
      </w:r>
      <w:r w:rsidR="007D0CCF" w:rsidRPr="00862E9A">
        <w:rPr>
          <w:rFonts w:ascii="Verdana" w:hAnsi="Verdana"/>
          <w:i/>
          <w:sz w:val="20"/>
        </w:rPr>
        <w:t xml:space="preserve">infra </w:t>
      </w:r>
      <w:r w:rsidR="007D0CCF" w:rsidRPr="00862E9A">
        <w:rPr>
          <w:rFonts w:ascii="Verdana" w:hAnsi="Verdana"/>
          <w:sz w:val="20"/>
        </w:rPr>
        <w:t xml:space="preserve">Considerando </w:t>
      </w:r>
      <w:r w:rsidR="00A523AF">
        <w:rPr>
          <w:rFonts w:ascii="Verdana" w:hAnsi="Verdana"/>
          <w:sz w:val="20"/>
        </w:rPr>
        <w:t>13</w:t>
      </w:r>
      <w:r w:rsidR="007D0CCF" w:rsidRPr="00862E9A">
        <w:rPr>
          <w:rFonts w:ascii="Verdana" w:hAnsi="Verdana"/>
          <w:sz w:val="20"/>
        </w:rPr>
        <w:t>)</w:t>
      </w:r>
      <w:r w:rsidR="006E0ED1" w:rsidRPr="00862E9A">
        <w:rPr>
          <w:rFonts w:ascii="Verdana" w:hAnsi="Verdana"/>
          <w:sz w:val="20"/>
        </w:rPr>
        <w:t xml:space="preserve">, “se ha solicitado un informe a la Procuraduría Pública del Ministerio de Justicia y Derechos Humanos sobre las acciones que se están llevando a cabo para dar cumplimiento a lo ordenado por el </w:t>
      </w:r>
      <w:r w:rsidR="006852CE">
        <w:rPr>
          <w:rFonts w:ascii="Verdana" w:hAnsi="Verdana"/>
          <w:sz w:val="20"/>
        </w:rPr>
        <w:t>[j]</w:t>
      </w:r>
      <w:proofErr w:type="spellStart"/>
      <w:r w:rsidR="006E0ED1" w:rsidRPr="00862E9A">
        <w:rPr>
          <w:rFonts w:ascii="Verdana" w:hAnsi="Verdana"/>
          <w:sz w:val="20"/>
        </w:rPr>
        <w:t>uzgado</w:t>
      </w:r>
      <w:proofErr w:type="spellEnd"/>
      <w:r w:rsidR="006E0ED1" w:rsidRPr="00862E9A">
        <w:rPr>
          <w:rFonts w:ascii="Verdana" w:hAnsi="Verdana"/>
          <w:sz w:val="20"/>
        </w:rPr>
        <w:t>”.</w:t>
      </w:r>
      <w:r w:rsidRPr="00862E9A">
        <w:rPr>
          <w:rFonts w:ascii="Verdana" w:hAnsi="Verdana"/>
          <w:sz w:val="20"/>
        </w:rPr>
        <w:t xml:space="preserve"> </w:t>
      </w:r>
      <w:r w:rsidR="001F235F" w:rsidRPr="00862E9A">
        <w:rPr>
          <w:rFonts w:ascii="Verdana" w:hAnsi="Verdana"/>
          <w:sz w:val="20"/>
        </w:rPr>
        <w:t>Posteriormente, en julio de 2016,</w:t>
      </w:r>
      <w:r w:rsidR="00D60272">
        <w:rPr>
          <w:rFonts w:ascii="Verdana" w:hAnsi="Verdana"/>
          <w:sz w:val="20"/>
        </w:rPr>
        <w:t xml:space="preserve"> ante una solicitud real</w:t>
      </w:r>
      <w:r w:rsidR="00A262D4">
        <w:rPr>
          <w:rFonts w:ascii="Verdana" w:hAnsi="Verdana"/>
          <w:sz w:val="20"/>
        </w:rPr>
        <w:t>izada mediante nota de la Secretarí</w:t>
      </w:r>
      <w:r w:rsidR="00D60272">
        <w:rPr>
          <w:rFonts w:ascii="Verdana" w:hAnsi="Verdana"/>
          <w:sz w:val="20"/>
        </w:rPr>
        <w:t xml:space="preserve">a </w:t>
      </w:r>
      <w:r w:rsidR="00A262D4">
        <w:rPr>
          <w:rFonts w:ascii="Verdana" w:hAnsi="Verdana"/>
          <w:sz w:val="20"/>
        </w:rPr>
        <w:t xml:space="preserve">de la Corte </w:t>
      </w:r>
      <w:r w:rsidR="00D60272">
        <w:rPr>
          <w:rFonts w:ascii="Verdana" w:hAnsi="Verdana"/>
          <w:sz w:val="20"/>
        </w:rPr>
        <w:t>respecto de un caso de diferencia material entre el nombre de una víctima consignado en la Sentencia y</w:t>
      </w:r>
      <w:r w:rsidR="00A262D4">
        <w:rPr>
          <w:rFonts w:ascii="Verdana" w:hAnsi="Verdana"/>
          <w:sz w:val="20"/>
        </w:rPr>
        <w:t xml:space="preserve"> el</w:t>
      </w:r>
      <w:r w:rsidR="00D60272">
        <w:rPr>
          <w:rFonts w:ascii="Verdana" w:hAnsi="Verdana"/>
          <w:sz w:val="20"/>
        </w:rPr>
        <w:t xml:space="preserve"> registrado a nivel interno,</w:t>
      </w:r>
      <w:r w:rsidR="001F235F" w:rsidRPr="00862E9A">
        <w:rPr>
          <w:rFonts w:ascii="Verdana" w:hAnsi="Verdana"/>
          <w:sz w:val="20"/>
        </w:rPr>
        <w:t xml:space="preserve"> el </w:t>
      </w:r>
      <w:r w:rsidR="001F235F" w:rsidRPr="00862E9A">
        <w:rPr>
          <w:rFonts w:ascii="Verdana" w:hAnsi="Verdana"/>
          <w:i/>
          <w:sz w:val="20"/>
        </w:rPr>
        <w:t>Estado</w:t>
      </w:r>
      <w:r w:rsidR="001F235F" w:rsidRPr="00862E9A">
        <w:rPr>
          <w:rFonts w:ascii="Verdana" w:hAnsi="Verdana"/>
          <w:sz w:val="20"/>
        </w:rPr>
        <w:t xml:space="preserve"> indicó que “la ejecución de la [S]entencia […] se está llevando a cabo bajo un</w:t>
      </w:r>
      <w:r w:rsidR="009944C1" w:rsidRPr="00862E9A">
        <w:rPr>
          <w:rFonts w:ascii="Verdana" w:hAnsi="Verdana"/>
          <w:sz w:val="20"/>
        </w:rPr>
        <w:t xml:space="preserve"> </w:t>
      </w:r>
      <w:r w:rsidR="001F235F" w:rsidRPr="00862E9A">
        <w:rPr>
          <w:rFonts w:ascii="Verdana" w:hAnsi="Verdana"/>
          <w:sz w:val="20"/>
        </w:rPr>
        <w:t>estricto respeto a los derechos de los beneficiarios</w:t>
      </w:r>
      <w:r w:rsidR="0067252B" w:rsidRPr="00862E9A">
        <w:rPr>
          <w:rFonts w:ascii="Verdana" w:hAnsi="Verdana"/>
          <w:sz w:val="20"/>
        </w:rPr>
        <w:t>[</w:t>
      </w:r>
      <w:r w:rsidR="00A262D4">
        <w:rPr>
          <w:rFonts w:ascii="Verdana" w:hAnsi="Verdana"/>
          <w:sz w:val="20"/>
        </w:rPr>
        <w:t>, y que d</w:t>
      </w:r>
      <w:r w:rsidR="0067252B" w:rsidRPr="00862E9A">
        <w:rPr>
          <w:rFonts w:ascii="Verdana" w:hAnsi="Verdana"/>
          <w:sz w:val="20"/>
        </w:rPr>
        <w:t>]</w:t>
      </w:r>
      <w:proofErr w:type="spellStart"/>
      <w:r w:rsidR="001F235F" w:rsidRPr="00862E9A">
        <w:rPr>
          <w:rFonts w:ascii="Verdana" w:hAnsi="Verdana"/>
          <w:sz w:val="20"/>
        </w:rPr>
        <w:t>ado</w:t>
      </w:r>
      <w:proofErr w:type="spellEnd"/>
      <w:r w:rsidR="001F235F" w:rsidRPr="00862E9A">
        <w:rPr>
          <w:rFonts w:ascii="Verdana" w:hAnsi="Verdana"/>
          <w:sz w:val="20"/>
        </w:rPr>
        <w:t xml:space="preserve"> que la ejecución de la </w:t>
      </w:r>
      <w:r w:rsidR="0067252B" w:rsidRPr="00862E9A">
        <w:rPr>
          <w:rFonts w:ascii="Verdana" w:hAnsi="Verdana"/>
          <w:sz w:val="20"/>
        </w:rPr>
        <w:t>[misma]</w:t>
      </w:r>
      <w:r w:rsidR="001F235F" w:rsidRPr="00862E9A">
        <w:rPr>
          <w:rFonts w:ascii="Verdana" w:hAnsi="Verdana"/>
          <w:sz w:val="20"/>
        </w:rPr>
        <w:t xml:space="preserve"> implica comprometer recursos del Estado[,] es necesario tener la certeza de que los pagos se están realizando a las personas a las que les asiste dicho derecho, </w:t>
      </w:r>
      <w:r w:rsidR="0067252B" w:rsidRPr="00862E9A">
        <w:rPr>
          <w:rFonts w:ascii="Verdana" w:hAnsi="Verdana"/>
          <w:sz w:val="20"/>
        </w:rPr>
        <w:t>[ya]</w:t>
      </w:r>
      <w:r w:rsidR="001F235F" w:rsidRPr="00862E9A">
        <w:rPr>
          <w:rFonts w:ascii="Verdana" w:hAnsi="Verdana"/>
          <w:sz w:val="20"/>
        </w:rPr>
        <w:t xml:space="preserve"> que pueden presentarse casos de homonimias o errores en la identificación de los beneficiarios”.</w:t>
      </w:r>
      <w:r w:rsidR="0067252B" w:rsidRPr="00862E9A">
        <w:rPr>
          <w:rFonts w:ascii="Verdana" w:hAnsi="Verdana"/>
          <w:sz w:val="20"/>
        </w:rPr>
        <w:t xml:space="preserve"> Señaló que “representantes del Estado solicitaron la aclaración de algunos nombres antes de consignar el pago dispuesto por el </w:t>
      </w:r>
      <w:r w:rsidR="006852CE">
        <w:rPr>
          <w:rFonts w:ascii="Verdana" w:hAnsi="Verdana"/>
          <w:sz w:val="20"/>
        </w:rPr>
        <w:t>[j]</w:t>
      </w:r>
      <w:proofErr w:type="spellStart"/>
      <w:proofErr w:type="gramStart"/>
      <w:r w:rsidR="0067252B" w:rsidRPr="00862E9A">
        <w:rPr>
          <w:rFonts w:ascii="Verdana" w:hAnsi="Verdana"/>
          <w:sz w:val="20"/>
        </w:rPr>
        <w:t>uzgado</w:t>
      </w:r>
      <w:proofErr w:type="spellEnd"/>
      <w:r w:rsidR="0067252B" w:rsidRPr="00862E9A">
        <w:rPr>
          <w:rFonts w:ascii="Verdana" w:hAnsi="Verdana"/>
          <w:sz w:val="20"/>
        </w:rPr>
        <w:t>[</w:t>
      </w:r>
      <w:proofErr w:type="gramEnd"/>
      <w:r w:rsidR="0067252B" w:rsidRPr="00862E9A">
        <w:rPr>
          <w:rFonts w:ascii="Verdana" w:hAnsi="Verdana"/>
          <w:sz w:val="20"/>
        </w:rPr>
        <w:t>, el cual</w:t>
      </w:r>
      <w:r w:rsidR="00426FA0">
        <w:rPr>
          <w:rFonts w:ascii="Verdana" w:hAnsi="Verdana"/>
          <w:sz w:val="20"/>
        </w:rPr>
        <w:t>]</w:t>
      </w:r>
      <w:r w:rsidR="0067252B" w:rsidRPr="00862E9A">
        <w:rPr>
          <w:rFonts w:ascii="Verdana" w:hAnsi="Verdana"/>
          <w:sz w:val="20"/>
        </w:rPr>
        <w:t xml:space="preserve"> haciendo referencia al </w:t>
      </w:r>
      <w:r w:rsidR="0086201B" w:rsidRPr="00862E9A">
        <w:rPr>
          <w:rFonts w:ascii="Verdana" w:hAnsi="Verdana"/>
          <w:sz w:val="20"/>
        </w:rPr>
        <w:t>[Considerando]</w:t>
      </w:r>
      <w:r w:rsidR="0067252B" w:rsidRPr="00862E9A">
        <w:rPr>
          <w:rFonts w:ascii="Verdana" w:hAnsi="Verdana"/>
          <w:sz w:val="20"/>
        </w:rPr>
        <w:t xml:space="preserve"> 75</w:t>
      </w:r>
      <w:r w:rsidR="0086201B" w:rsidRPr="00862E9A">
        <w:rPr>
          <w:rFonts w:ascii="Verdana" w:hAnsi="Verdana"/>
          <w:sz w:val="20"/>
        </w:rPr>
        <w:t xml:space="preserve"> de la Resolución […] de marzo de 2014, decidió que tendrá por aclarados los nombres […] una vez que los beneficiarios </w:t>
      </w:r>
      <w:r w:rsidR="00426FA0">
        <w:rPr>
          <w:rFonts w:ascii="Verdana" w:hAnsi="Verdana"/>
          <w:sz w:val="20"/>
        </w:rPr>
        <w:t xml:space="preserve">[…] </w:t>
      </w:r>
      <w:r w:rsidR="0086201B" w:rsidRPr="00862E9A">
        <w:rPr>
          <w:rFonts w:ascii="Verdana" w:hAnsi="Verdana"/>
          <w:sz w:val="20"/>
        </w:rPr>
        <w:t xml:space="preserve">presenten copia de su Documento Nacional de Identidad. Producida la aclaración, se procederá a consignar el nombre correcto para proceder al pago de la reparación”. </w:t>
      </w:r>
    </w:p>
    <w:p w:rsidR="005D20C6" w:rsidRDefault="005D20C6" w:rsidP="005D20C6">
      <w:pPr>
        <w:pStyle w:val="Listamedia2-nfasis4"/>
        <w:tabs>
          <w:tab w:val="left" w:pos="567"/>
        </w:tabs>
        <w:ind w:left="0"/>
        <w:jc w:val="both"/>
        <w:rPr>
          <w:rFonts w:ascii="Verdana" w:hAnsi="Verdana"/>
          <w:sz w:val="20"/>
        </w:rPr>
      </w:pPr>
    </w:p>
    <w:p w:rsidR="006F5E9B" w:rsidRPr="0085035B" w:rsidRDefault="006F5E9B" w:rsidP="005D20C6">
      <w:pPr>
        <w:pStyle w:val="Listamedia2-nfasis4"/>
        <w:tabs>
          <w:tab w:val="left" w:pos="567"/>
        </w:tabs>
        <w:ind w:left="0"/>
        <w:jc w:val="both"/>
        <w:rPr>
          <w:rFonts w:ascii="Verdana" w:hAnsi="Verdana"/>
          <w:sz w:val="20"/>
        </w:rPr>
      </w:pPr>
    </w:p>
    <w:p w:rsidR="005D20C6" w:rsidRDefault="006E0ED1" w:rsidP="00D333AB">
      <w:pPr>
        <w:pStyle w:val="Listamedia2-nfasis4"/>
        <w:numPr>
          <w:ilvl w:val="0"/>
          <w:numId w:val="1"/>
        </w:numPr>
        <w:tabs>
          <w:tab w:val="left" w:pos="567"/>
        </w:tabs>
        <w:ind w:left="0" w:firstLine="0"/>
        <w:jc w:val="both"/>
        <w:rPr>
          <w:rFonts w:ascii="Verdana" w:hAnsi="Verdana"/>
          <w:sz w:val="20"/>
        </w:rPr>
      </w:pPr>
      <w:r w:rsidRPr="0085035B">
        <w:rPr>
          <w:rFonts w:ascii="Verdana" w:hAnsi="Verdana"/>
          <w:sz w:val="20"/>
        </w:rPr>
        <w:t>L</w:t>
      </w:r>
      <w:r w:rsidR="00425557" w:rsidRPr="0085035B">
        <w:rPr>
          <w:rFonts w:ascii="Verdana" w:hAnsi="Verdana"/>
          <w:sz w:val="20"/>
        </w:rPr>
        <w:t xml:space="preserve">os </w:t>
      </w:r>
      <w:r w:rsidR="00425557" w:rsidRPr="0085035B">
        <w:rPr>
          <w:rFonts w:ascii="Verdana" w:hAnsi="Verdana"/>
          <w:i/>
          <w:sz w:val="20"/>
        </w:rPr>
        <w:t>intervinientes comunes</w:t>
      </w:r>
      <w:r w:rsidR="00425557" w:rsidRPr="0085035B">
        <w:rPr>
          <w:rFonts w:ascii="Verdana" w:hAnsi="Verdana"/>
          <w:sz w:val="20"/>
        </w:rPr>
        <w:t xml:space="preserve"> no hicieron referencia alguna a la información presentada por el </w:t>
      </w:r>
      <w:r w:rsidR="00A262D4" w:rsidRPr="00862E9A">
        <w:rPr>
          <w:rFonts w:ascii="Verdana" w:hAnsi="Verdana"/>
          <w:sz w:val="20"/>
        </w:rPr>
        <w:t>Juzgado Especializado en Ejecución de Sentencias Supranacionales</w:t>
      </w:r>
      <w:r w:rsidR="00425557" w:rsidRPr="0085035B">
        <w:rPr>
          <w:rFonts w:ascii="Verdana" w:hAnsi="Verdana"/>
          <w:sz w:val="20"/>
        </w:rPr>
        <w:t xml:space="preserve">. </w:t>
      </w:r>
      <w:r w:rsidR="005D20C6" w:rsidRPr="0085035B">
        <w:rPr>
          <w:rFonts w:ascii="Verdana" w:hAnsi="Verdana"/>
          <w:sz w:val="20"/>
        </w:rPr>
        <w:t xml:space="preserve">No obstante, las </w:t>
      </w:r>
      <w:r w:rsidR="005D20C6" w:rsidRPr="0085035B">
        <w:rPr>
          <w:rFonts w:ascii="Verdana" w:hAnsi="Verdana"/>
          <w:i/>
          <w:sz w:val="20"/>
        </w:rPr>
        <w:t xml:space="preserve">víctimas </w:t>
      </w:r>
      <w:r w:rsidR="005D20C6" w:rsidRPr="005327A8">
        <w:rPr>
          <w:rFonts w:ascii="Verdana" w:hAnsi="Verdana"/>
          <w:sz w:val="20"/>
        </w:rPr>
        <w:t xml:space="preserve">Miguel Oswaldo Cuicapusa Marte y </w:t>
      </w:r>
      <w:r w:rsidR="005D20C6" w:rsidRPr="005327A8">
        <w:rPr>
          <w:rFonts w:ascii="Verdana" w:hAnsi="Verdana" w:cs="Arial"/>
          <w:sz w:val="20"/>
        </w:rPr>
        <w:t>Joaquín Rodríguez León</w:t>
      </w:r>
      <w:r w:rsidR="005D20C6" w:rsidRPr="0085035B">
        <w:rPr>
          <w:rFonts w:ascii="Verdana" w:hAnsi="Verdana" w:cs="Arial"/>
          <w:sz w:val="20"/>
        </w:rPr>
        <w:t xml:space="preserve"> (</w:t>
      </w:r>
      <w:r w:rsidR="005D20C6" w:rsidRPr="0085035B">
        <w:rPr>
          <w:rFonts w:ascii="Verdana" w:hAnsi="Verdana" w:cs="Arial"/>
          <w:i/>
          <w:sz w:val="20"/>
        </w:rPr>
        <w:t xml:space="preserve">supra </w:t>
      </w:r>
      <w:r w:rsidR="005D20C6" w:rsidRPr="0085035B">
        <w:rPr>
          <w:rFonts w:ascii="Verdana" w:hAnsi="Verdana" w:cs="Arial"/>
          <w:sz w:val="20"/>
        </w:rPr>
        <w:t>Vistos 4 y 9)</w:t>
      </w:r>
      <w:r w:rsidR="00CF11F5" w:rsidRPr="0085035B">
        <w:rPr>
          <w:rFonts w:ascii="Verdana" w:hAnsi="Verdana" w:cs="Arial"/>
          <w:sz w:val="20"/>
        </w:rPr>
        <w:t xml:space="preserve"> </w:t>
      </w:r>
      <w:r w:rsidR="00CF11F5" w:rsidRPr="0085035B">
        <w:rPr>
          <w:rFonts w:ascii="Verdana" w:hAnsi="Verdana" w:cs="Arial"/>
          <w:sz w:val="20"/>
        </w:rPr>
        <w:lastRenderedPageBreak/>
        <w:t xml:space="preserve">remitieron, respectivamente en junio de 2015 y mayo de 2016, </w:t>
      </w:r>
      <w:r w:rsidR="00426FA0">
        <w:rPr>
          <w:rFonts w:ascii="Verdana" w:hAnsi="Verdana" w:cs="Arial"/>
          <w:sz w:val="20"/>
        </w:rPr>
        <w:t>comunicaciones</w:t>
      </w:r>
      <w:r w:rsidR="00426FA0" w:rsidRPr="0085035B">
        <w:rPr>
          <w:rFonts w:ascii="Verdana" w:hAnsi="Verdana" w:cs="Arial"/>
          <w:sz w:val="20"/>
        </w:rPr>
        <w:t xml:space="preserve"> </w:t>
      </w:r>
      <w:r w:rsidR="00CF11F5" w:rsidRPr="0085035B">
        <w:rPr>
          <w:rFonts w:ascii="Verdana" w:hAnsi="Verdana" w:cs="Arial"/>
          <w:sz w:val="20"/>
        </w:rPr>
        <w:t xml:space="preserve">a la Corte </w:t>
      </w:r>
      <w:r w:rsidR="00426FA0">
        <w:rPr>
          <w:rFonts w:ascii="Verdana" w:hAnsi="Verdana" w:cs="Arial"/>
          <w:sz w:val="20"/>
        </w:rPr>
        <w:t>señalando</w:t>
      </w:r>
      <w:r w:rsidR="005D20C6" w:rsidRPr="0085035B">
        <w:rPr>
          <w:rFonts w:ascii="Verdana" w:hAnsi="Verdana" w:cs="Arial"/>
          <w:sz w:val="20"/>
        </w:rPr>
        <w:t xml:space="preserve"> que</w:t>
      </w:r>
      <w:r w:rsidR="00CF11F5" w:rsidRPr="0085035B">
        <w:rPr>
          <w:rFonts w:ascii="Verdana" w:hAnsi="Verdana" w:cs="Arial"/>
          <w:sz w:val="20"/>
        </w:rPr>
        <w:t xml:space="preserve"> existen diferencias entre los nombres </w:t>
      </w:r>
      <w:r w:rsidR="002B7F65">
        <w:rPr>
          <w:rFonts w:ascii="Verdana" w:hAnsi="Verdana" w:cs="Arial"/>
          <w:sz w:val="20"/>
        </w:rPr>
        <w:t xml:space="preserve">de las víctimas </w:t>
      </w:r>
      <w:r w:rsidR="00CF11F5" w:rsidRPr="0085035B">
        <w:rPr>
          <w:rFonts w:ascii="Verdana" w:hAnsi="Verdana" w:cs="Arial"/>
          <w:sz w:val="20"/>
        </w:rPr>
        <w:t xml:space="preserve">consignados en la Sentencia y los nombres de las </w:t>
      </w:r>
      <w:r w:rsidR="002B7F65">
        <w:rPr>
          <w:rFonts w:ascii="Verdana" w:hAnsi="Verdana" w:cs="Arial"/>
          <w:sz w:val="20"/>
        </w:rPr>
        <w:t>mismas registrados a nivel interno</w:t>
      </w:r>
      <w:r w:rsidR="00BB10B0" w:rsidRPr="0085035B">
        <w:rPr>
          <w:rFonts w:ascii="Verdana" w:hAnsi="Verdana" w:cs="Arial"/>
          <w:sz w:val="20"/>
        </w:rPr>
        <w:t>. En el caso del primero, señaló que “por error material [su] nombre ha sido consignado erróneamente” en el Anexo 2 de víctimas de la Sentencia como “Quicapusa Martel Miguel”, siendo su nombre correcto “</w:t>
      </w:r>
      <w:r w:rsidR="002B7F65" w:rsidRPr="0085035B">
        <w:rPr>
          <w:rFonts w:ascii="Verdana" w:hAnsi="Verdana" w:cs="Arial"/>
          <w:sz w:val="20"/>
        </w:rPr>
        <w:t xml:space="preserve">Miguel Oswaldo </w:t>
      </w:r>
      <w:proofErr w:type="spellStart"/>
      <w:r w:rsidR="00BB10B0" w:rsidRPr="0085035B">
        <w:rPr>
          <w:rFonts w:ascii="Verdana" w:hAnsi="Verdana" w:cs="Arial"/>
          <w:sz w:val="20"/>
        </w:rPr>
        <w:t>Cuicapusa</w:t>
      </w:r>
      <w:proofErr w:type="spellEnd"/>
      <w:r w:rsidR="00BB10B0" w:rsidRPr="0085035B">
        <w:rPr>
          <w:rFonts w:ascii="Verdana" w:hAnsi="Verdana" w:cs="Arial"/>
          <w:sz w:val="20"/>
        </w:rPr>
        <w:t xml:space="preserve"> Martel”. En razón de ello, solicitó a la Corte “corregir el error material indicado” y ordenar al Estado que cumpla con pagarle la indemnización ordenada en la Sentencia.</w:t>
      </w:r>
      <w:r w:rsidR="001F235F" w:rsidRPr="0085035B">
        <w:rPr>
          <w:rFonts w:ascii="Verdana" w:hAnsi="Verdana" w:cs="Arial"/>
          <w:sz w:val="20"/>
        </w:rPr>
        <w:t xml:space="preserve"> </w:t>
      </w:r>
      <w:r w:rsidR="00BB10B0" w:rsidRPr="0085035B">
        <w:rPr>
          <w:rFonts w:ascii="Verdana" w:hAnsi="Verdana" w:cs="Arial"/>
          <w:sz w:val="20"/>
        </w:rPr>
        <w:t>En caso del segundo, su hermano</w:t>
      </w:r>
      <w:r w:rsidR="001F235F" w:rsidRPr="0085035B">
        <w:rPr>
          <w:rFonts w:ascii="Verdana" w:hAnsi="Verdana" w:cs="Arial"/>
          <w:sz w:val="20"/>
        </w:rPr>
        <w:t xml:space="preserve"> fue una de las víctimas fallecidas cuyo nombre fue consignado en el Anexo 1 de la Sentencia como “Wilmer Rodríguez León”, siendo “lo correcto</w:t>
      </w:r>
      <w:r w:rsidR="00A262D4">
        <w:rPr>
          <w:rFonts w:ascii="Verdana" w:hAnsi="Verdana" w:cs="Arial"/>
          <w:sz w:val="20"/>
        </w:rPr>
        <w:t>”</w:t>
      </w:r>
      <w:r w:rsidR="001F235F" w:rsidRPr="0085035B">
        <w:rPr>
          <w:rFonts w:ascii="Verdana" w:hAnsi="Verdana" w:cs="Arial"/>
          <w:sz w:val="20"/>
        </w:rPr>
        <w:t xml:space="preserve"> </w:t>
      </w:r>
      <w:proofErr w:type="spellStart"/>
      <w:r w:rsidR="001F235F" w:rsidRPr="0085035B">
        <w:rPr>
          <w:rFonts w:ascii="Verdana" w:hAnsi="Verdana" w:cs="Arial"/>
          <w:sz w:val="20"/>
        </w:rPr>
        <w:t>Wuilmer</w:t>
      </w:r>
      <w:proofErr w:type="spellEnd"/>
      <w:r w:rsidR="001F235F" w:rsidRPr="0085035B">
        <w:rPr>
          <w:rFonts w:ascii="Verdana" w:hAnsi="Verdana" w:cs="Arial"/>
          <w:sz w:val="20"/>
        </w:rPr>
        <w:t xml:space="preserve"> R</w:t>
      </w:r>
      <w:r w:rsidR="00A262D4">
        <w:rPr>
          <w:rFonts w:ascii="Verdana" w:hAnsi="Verdana" w:cs="Arial"/>
          <w:sz w:val="20"/>
        </w:rPr>
        <w:t>odríguez León</w:t>
      </w:r>
      <w:r w:rsidR="001F235F" w:rsidRPr="0085035B">
        <w:rPr>
          <w:rFonts w:ascii="Verdana" w:hAnsi="Verdana" w:cs="Arial"/>
          <w:sz w:val="20"/>
        </w:rPr>
        <w:t>.</w:t>
      </w:r>
      <w:r w:rsidR="00BB10B0" w:rsidRPr="0085035B">
        <w:rPr>
          <w:rFonts w:ascii="Verdana" w:hAnsi="Verdana" w:cs="Arial"/>
          <w:sz w:val="20"/>
        </w:rPr>
        <w:t xml:space="preserve"> </w:t>
      </w:r>
    </w:p>
    <w:p w:rsidR="005D20C6" w:rsidRDefault="005D20C6" w:rsidP="005D20C6">
      <w:pPr>
        <w:pStyle w:val="Listamedia2-nfasis4"/>
        <w:tabs>
          <w:tab w:val="left" w:pos="567"/>
        </w:tabs>
        <w:ind w:left="0"/>
        <w:jc w:val="both"/>
        <w:rPr>
          <w:rFonts w:ascii="Verdana" w:hAnsi="Verdana"/>
          <w:sz w:val="20"/>
        </w:rPr>
      </w:pPr>
    </w:p>
    <w:p w:rsidR="00425557" w:rsidRPr="00887151" w:rsidRDefault="00887151" w:rsidP="00D333AB">
      <w:pPr>
        <w:pStyle w:val="Listamedia2-nfasis4"/>
        <w:numPr>
          <w:ilvl w:val="0"/>
          <w:numId w:val="1"/>
        </w:numPr>
        <w:tabs>
          <w:tab w:val="left" w:pos="567"/>
        </w:tabs>
        <w:ind w:left="0" w:firstLine="0"/>
        <w:jc w:val="both"/>
        <w:rPr>
          <w:rFonts w:ascii="Verdana" w:hAnsi="Verdana"/>
          <w:sz w:val="20"/>
        </w:rPr>
      </w:pPr>
      <w:r>
        <w:rPr>
          <w:rFonts w:ascii="Verdana" w:hAnsi="Verdana"/>
          <w:sz w:val="20"/>
        </w:rPr>
        <w:t xml:space="preserve">En </w:t>
      </w:r>
      <w:r w:rsidR="00A262D4">
        <w:rPr>
          <w:rFonts w:ascii="Verdana" w:hAnsi="Verdana"/>
          <w:sz w:val="20"/>
        </w:rPr>
        <w:t xml:space="preserve">sus observaciones de </w:t>
      </w:r>
      <w:r w:rsidR="00501AB4">
        <w:rPr>
          <w:rFonts w:ascii="Verdana" w:hAnsi="Verdana"/>
          <w:sz w:val="20"/>
        </w:rPr>
        <w:t>septiembre de 2015</w:t>
      </w:r>
      <w:r w:rsidR="00A262D4">
        <w:rPr>
          <w:rFonts w:ascii="Verdana" w:hAnsi="Verdana"/>
          <w:sz w:val="20"/>
        </w:rPr>
        <w:t>,</w:t>
      </w:r>
      <w:r w:rsidR="00501AB4">
        <w:rPr>
          <w:rFonts w:ascii="Verdana" w:hAnsi="Verdana"/>
          <w:sz w:val="20"/>
        </w:rPr>
        <w:t xml:space="preserve"> </w:t>
      </w:r>
      <w:r w:rsidR="00425557">
        <w:rPr>
          <w:rFonts w:ascii="Verdana" w:hAnsi="Verdana"/>
          <w:sz w:val="20"/>
        </w:rPr>
        <w:t xml:space="preserve">la </w:t>
      </w:r>
      <w:r w:rsidR="00425557">
        <w:rPr>
          <w:rFonts w:ascii="Verdana" w:hAnsi="Verdana"/>
          <w:i/>
          <w:sz w:val="20"/>
        </w:rPr>
        <w:t>Comisión</w:t>
      </w:r>
      <w:r w:rsidR="00425557">
        <w:rPr>
          <w:rFonts w:ascii="Verdana" w:hAnsi="Verdana"/>
          <w:sz w:val="20"/>
        </w:rPr>
        <w:t xml:space="preserve"> resaltó que “el Juez [T]itular indicó que se podrían proceder a pagar de ‘manera</w:t>
      </w:r>
      <w:r w:rsidR="007D0CCF">
        <w:rPr>
          <w:rFonts w:ascii="Verdana" w:hAnsi="Verdana"/>
          <w:sz w:val="20"/>
        </w:rPr>
        <w:t xml:space="preserve"> inmediata y de forma directa’ </w:t>
      </w:r>
      <w:r w:rsidR="00425557">
        <w:rPr>
          <w:rFonts w:ascii="Verdana" w:hAnsi="Verdana"/>
          <w:sz w:val="20"/>
        </w:rPr>
        <w:t>las indemnizaciones que no requieran una determinación por parte de las autoridades internas, lo cual depende del Ministerio de Justicia y Derechos Humanos</w:t>
      </w:r>
      <w:r w:rsidR="00AB32A4">
        <w:rPr>
          <w:rFonts w:ascii="Verdana" w:hAnsi="Verdana"/>
          <w:sz w:val="20"/>
        </w:rPr>
        <w:t xml:space="preserve">” </w:t>
      </w:r>
      <w:r w:rsidR="00A262D4">
        <w:rPr>
          <w:rFonts w:ascii="Verdana" w:hAnsi="Verdana"/>
          <w:sz w:val="20"/>
        </w:rPr>
        <w:t>(</w:t>
      </w:r>
      <w:r w:rsidR="00A262D4">
        <w:rPr>
          <w:rFonts w:ascii="Verdana" w:hAnsi="Verdana"/>
          <w:i/>
          <w:sz w:val="20"/>
        </w:rPr>
        <w:t xml:space="preserve">infra </w:t>
      </w:r>
      <w:r w:rsidR="00A262D4">
        <w:rPr>
          <w:rFonts w:ascii="Verdana" w:hAnsi="Verdana"/>
          <w:sz w:val="20"/>
        </w:rPr>
        <w:t xml:space="preserve">Considerando 13) </w:t>
      </w:r>
      <w:r w:rsidR="00AB32A4">
        <w:rPr>
          <w:rFonts w:ascii="Verdana" w:hAnsi="Verdana"/>
          <w:sz w:val="20"/>
        </w:rPr>
        <w:t>y, por tanto, destacó “</w:t>
      </w:r>
      <w:r w:rsidR="00425557">
        <w:rPr>
          <w:rFonts w:ascii="Verdana" w:hAnsi="Verdana"/>
          <w:sz w:val="20"/>
        </w:rPr>
        <w:t xml:space="preserve">la importancia de que el Estado precise las medidas planificadas para poder pagar a la brevedad de manera directa tales indemnizaciones”. </w:t>
      </w:r>
    </w:p>
    <w:p w:rsidR="001A0FA6" w:rsidRDefault="001A0FA6" w:rsidP="00D333AB">
      <w:pPr>
        <w:pStyle w:val="Listamedia2-nfasis4"/>
        <w:tabs>
          <w:tab w:val="left" w:pos="567"/>
        </w:tabs>
        <w:ind w:left="0"/>
        <w:jc w:val="both"/>
        <w:rPr>
          <w:rFonts w:ascii="Verdana" w:hAnsi="Verdana"/>
          <w:sz w:val="20"/>
        </w:rPr>
      </w:pPr>
    </w:p>
    <w:p w:rsidR="0035636A" w:rsidRDefault="0035636A" w:rsidP="00D333AB">
      <w:pPr>
        <w:pStyle w:val="Listamedia2-nfasis4"/>
        <w:tabs>
          <w:tab w:val="left" w:pos="567"/>
        </w:tabs>
        <w:ind w:left="0"/>
        <w:jc w:val="both"/>
        <w:rPr>
          <w:rFonts w:ascii="Verdana" w:hAnsi="Verdana"/>
          <w:sz w:val="20"/>
        </w:rPr>
      </w:pPr>
    </w:p>
    <w:p w:rsidR="007D0CCF" w:rsidRPr="00911E38" w:rsidRDefault="007D0CCF" w:rsidP="007D0CCF">
      <w:pPr>
        <w:pStyle w:val="Ttulo1"/>
        <w:numPr>
          <w:ilvl w:val="0"/>
          <w:numId w:val="0"/>
        </w:numPr>
        <w:ind w:left="567"/>
        <w:rPr>
          <w:b w:val="0"/>
          <w:i/>
        </w:rPr>
      </w:pPr>
      <w:bookmarkStart w:id="9" w:name="_Toc345249282"/>
      <w:bookmarkStart w:id="10" w:name="_Toc475555750"/>
      <w:r>
        <w:rPr>
          <w:b w:val="0"/>
          <w:i/>
        </w:rPr>
        <w:t>A.</w:t>
      </w:r>
      <w:r>
        <w:rPr>
          <w:b w:val="0"/>
          <w:i/>
          <w:lang w:val="es-CR"/>
        </w:rPr>
        <w:t>3</w:t>
      </w:r>
      <w:r>
        <w:rPr>
          <w:b w:val="0"/>
          <w:i/>
        </w:rPr>
        <w:t xml:space="preserve">. </w:t>
      </w:r>
      <w:r>
        <w:rPr>
          <w:rStyle w:val="SubttuloCar"/>
          <w:b w:val="0"/>
          <w:i/>
          <w:lang w:val="es-CR"/>
        </w:rPr>
        <w:t xml:space="preserve">Informe presentado por el </w:t>
      </w:r>
      <w:r w:rsidRPr="003A24EE">
        <w:rPr>
          <w:rStyle w:val="SubttuloCar"/>
          <w:b w:val="0"/>
          <w:i/>
          <w:lang w:val="es-CR"/>
        </w:rPr>
        <w:t>Juzgado Especializado en Ejecución de Sentencias Supranacionales de la Corte Superior de Justicia de Lima</w:t>
      </w:r>
      <w:bookmarkEnd w:id="9"/>
      <w:bookmarkEnd w:id="10"/>
      <w:r w:rsidRPr="003A24EE">
        <w:rPr>
          <w:rStyle w:val="SubttuloCar"/>
          <w:b w:val="0"/>
          <w:i/>
          <w:lang w:val="es-CR"/>
        </w:rPr>
        <w:t xml:space="preserve"> </w:t>
      </w:r>
    </w:p>
    <w:p w:rsidR="007D0CCF" w:rsidRPr="005203A6" w:rsidRDefault="007D0CCF" w:rsidP="007D0CCF">
      <w:pPr>
        <w:pStyle w:val="Cuadrculamedia1-nfasis2"/>
        <w:tabs>
          <w:tab w:val="left" w:pos="567"/>
        </w:tabs>
        <w:ind w:left="0"/>
        <w:contextualSpacing/>
        <w:jc w:val="both"/>
        <w:rPr>
          <w:rFonts w:ascii="Verdana" w:hAnsi="Verdana"/>
          <w:sz w:val="20"/>
        </w:rPr>
      </w:pPr>
    </w:p>
    <w:p w:rsidR="007D0CCF" w:rsidRDefault="007D0CCF" w:rsidP="007D0CCF">
      <w:pPr>
        <w:pStyle w:val="Cuadrculamedia1-nfasis2"/>
        <w:numPr>
          <w:ilvl w:val="0"/>
          <w:numId w:val="1"/>
        </w:numPr>
        <w:tabs>
          <w:tab w:val="left" w:pos="567"/>
        </w:tabs>
        <w:ind w:left="0" w:firstLine="0"/>
        <w:contextualSpacing/>
        <w:jc w:val="both"/>
        <w:rPr>
          <w:rFonts w:ascii="Verdana" w:hAnsi="Verdana" w:cs="Verdana"/>
          <w:sz w:val="20"/>
          <w:lang w:val="es-ES"/>
        </w:rPr>
      </w:pPr>
      <w:r>
        <w:rPr>
          <w:rFonts w:ascii="Verdana" w:hAnsi="Verdana" w:cs="Verdana"/>
          <w:sz w:val="20"/>
          <w:lang w:val="es-ES"/>
        </w:rPr>
        <w:t>En atención a lo dispuesto en la Resolución de 2015 (</w:t>
      </w:r>
      <w:r>
        <w:rPr>
          <w:rFonts w:ascii="Verdana" w:hAnsi="Verdana" w:cs="Verdana"/>
          <w:i/>
          <w:sz w:val="20"/>
          <w:lang w:val="es-ES"/>
        </w:rPr>
        <w:t>supra</w:t>
      </w:r>
      <w:r>
        <w:rPr>
          <w:rFonts w:ascii="Verdana" w:hAnsi="Verdana" w:cs="Verdana"/>
          <w:sz w:val="20"/>
          <w:lang w:val="es-ES"/>
        </w:rPr>
        <w:t xml:space="preserve"> Considerando </w:t>
      </w:r>
      <w:r w:rsidR="002B7F65">
        <w:rPr>
          <w:rFonts w:ascii="Verdana" w:hAnsi="Verdana" w:cs="Verdana"/>
          <w:sz w:val="20"/>
          <w:lang w:val="es-ES"/>
        </w:rPr>
        <w:t>9</w:t>
      </w:r>
      <w:r>
        <w:rPr>
          <w:rFonts w:ascii="Verdana" w:hAnsi="Verdana" w:cs="Verdana"/>
          <w:sz w:val="20"/>
          <w:lang w:val="es-ES"/>
        </w:rPr>
        <w:t>),</w:t>
      </w:r>
      <w:r w:rsidRPr="0032068E">
        <w:rPr>
          <w:rFonts w:ascii="Verdana" w:hAnsi="Verdana" w:cs="Verdana"/>
          <w:sz w:val="20"/>
          <w:lang w:val="es-ES"/>
        </w:rPr>
        <w:t xml:space="preserve"> </w:t>
      </w:r>
      <w:r w:rsidR="00FF38C9">
        <w:rPr>
          <w:rFonts w:ascii="Verdana" w:hAnsi="Verdana"/>
          <w:sz w:val="20"/>
        </w:rPr>
        <w:t xml:space="preserve">en junio de 2015 </w:t>
      </w:r>
      <w:r w:rsidRPr="0032068E">
        <w:rPr>
          <w:rFonts w:ascii="Verdana" w:hAnsi="Verdana" w:cs="Verdana"/>
          <w:sz w:val="20"/>
          <w:lang w:val="es-ES"/>
        </w:rPr>
        <w:t xml:space="preserve">el </w:t>
      </w:r>
      <w:r>
        <w:rPr>
          <w:rFonts w:ascii="Verdana" w:hAnsi="Verdana" w:cs="Verdana"/>
          <w:sz w:val="20"/>
          <w:lang w:val="es-ES"/>
        </w:rPr>
        <w:t xml:space="preserve">Juez Titular del </w:t>
      </w:r>
      <w:r w:rsidR="0002684A">
        <w:rPr>
          <w:rFonts w:ascii="Verdana" w:hAnsi="Verdana"/>
          <w:sz w:val="20"/>
        </w:rPr>
        <w:t>Juzgado de Ejecución de Sentencias Supranacionales</w:t>
      </w:r>
      <w:r w:rsidRPr="006F66C8">
        <w:rPr>
          <w:rFonts w:ascii="Verdana" w:hAnsi="Verdana"/>
          <w:sz w:val="20"/>
        </w:rPr>
        <w:t xml:space="preserve"> </w:t>
      </w:r>
      <w:r>
        <w:rPr>
          <w:rFonts w:ascii="Verdana" w:hAnsi="Verdana"/>
          <w:sz w:val="20"/>
        </w:rPr>
        <w:t xml:space="preserve">presentó </w:t>
      </w:r>
      <w:r w:rsidR="0083373C">
        <w:rPr>
          <w:rFonts w:ascii="Verdana" w:hAnsi="Verdana"/>
          <w:sz w:val="20"/>
        </w:rPr>
        <w:t>el</w:t>
      </w:r>
      <w:r>
        <w:rPr>
          <w:rFonts w:ascii="Verdana" w:hAnsi="Verdana"/>
          <w:sz w:val="20"/>
        </w:rPr>
        <w:t xml:space="preserve"> informe </w:t>
      </w:r>
      <w:r w:rsidR="0083373C">
        <w:rPr>
          <w:rFonts w:ascii="Verdana" w:hAnsi="Verdana"/>
          <w:sz w:val="20"/>
        </w:rPr>
        <w:t xml:space="preserve">requerido </w:t>
      </w:r>
      <w:r w:rsidRPr="000C0CC3">
        <w:rPr>
          <w:rFonts w:ascii="Verdana" w:hAnsi="Verdana" w:cs="Verdana"/>
          <w:sz w:val="20"/>
          <w:lang w:val="es-ES"/>
        </w:rPr>
        <w:t>(</w:t>
      </w:r>
      <w:r w:rsidRPr="000C0CC3">
        <w:rPr>
          <w:rFonts w:ascii="Verdana" w:hAnsi="Verdana" w:cs="Verdana"/>
          <w:i/>
          <w:sz w:val="20"/>
          <w:lang w:val="es-ES"/>
        </w:rPr>
        <w:t>supra</w:t>
      </w:r>
      <w:r w:rsidRPr="000C0CC3">
        <w:rPr>
          <w:rFonts w:ascii="Verdana" w:hAnsi="Verdana" w:cs="Verdana"/>
          <w:sz w:val="20"/>
          <w:lang w:val="es-ES"/>
        </w:rPr>
        <w:t xml:space="preserve"> Visto</w:t>
      </w:r>
      <w:r>
        <w:rPr>
          <w:rFonts w:ascii="Verdana" w:hAnsi="Verdana" w:cs="Verdana"/>
          <w:sz w:val="20"/>
          <w:lang w:val="es-ES"/>
        </w:rPr>
        <w:t xml:space="preserve"> </w:t>
      </w:r>
      <w:r w:rsidR="00511FCD">
        <w:rPr>
          <w:rFonts w:ascii="Verdana" w:hAnsi="Verdana" w:cs="Verdana"/>
          <w:sz w:val="20"/>
          <w:lang w:val="es-ES"/>
        </w:rPr>
        <w:t>5</w:t>
      </w:r>
      <w:r>
        <w:rPr>
          <w:rFonts w:ascii="Verdana" w:hAnsi="Verdana" w:cs="Verdana"/>
          <w:sz w:val="20"/>
          <w:lang w:val="es-ES"/>
        </w:rPr>
        <w:t xml:space="preserve">), mediante el cual realizó una síntesis </w:t>
      </w:r>
      <w:bookmarkStart w:id="11" w:name="_Ref437850624"/>
      <w:r w:rsidRPr="006F66C8">
        <w:rPr>
          <w:rFonts w:ascii="Verdana" w:hAnsi="Verdana" w:cs="Verdana"/>
          <w:sz w:val="20"/>
          <w:lang w:val="es-ES"/>
        </w:rPr>
        <w:t xml:space="preserve">sobre </w:t>
      </w:r>
      <w:r>
        <w:rPr>
          <w:rFonts w:ascii="Verdana" w:hAnsi="Verdana"/>
          <w:sz w:val="20"/>
        </w:rPr>
        <w:t>“</w:t>
      </w:r>
      <w:r w:rsidRPr="006F66C8">
        <w:rPr>
          <w:rFonts w:ascii="Verdana" w:hAnsi="Verdana" w:cs="Verdana"/>
          <w:sz w:val="20"/>
          <w:lang w:val="es-ES"/>
        </w:rPr>
        <w:t>el desarrollo</w:t>
      </w:r>
      <w:r>
        <w:rPr>
          <w:rFonts w:ascii="Verdana" w:hAnsi="Verdana" w:cs="Verdana"/>
          <w:sz w:val="20"/>
          <w:lang w:val="es-ES"/>
        </w:rPr>
        <w:t xml:space="preserve"> procesal</w:t>
      </w:r>
      <w:r w:rsidRPr="006F66C8">
        <w:rPr>
          <w:rFonts w:ascii="Verdana" w:hAnsi="Verdana" w:cs="Verdana"/>
          <w:sz w:val="20"/>
          <w:lang w:val="es-ES"/>
        </w:rPr>
        <w:t xml:space="preserve"> efectuado </w:t>
      </w:r>
      <w:r>
        <w:rPr>
          <w:rFonts w:ascii="Verdana" w:hAnsi="Verdana" w:cs="Verdana"/>
          <w:sz w:val="20"/>
          <w:lang w:val="es-ES"/>
        </w:rPr>
        <w:t>por [dicho</w:t>
      </w:r>
      <w:r w:rsidR="006852CE">
        <w:rPr>
          <w:rFonts w:ascii="Verdana" w:hAnsi="Verdana" w:cs="Verdana"/>
          <w:sz w:val="20"/>
          <w:lang w:val="es-ES"/>
        </w:rPr>
        <w:t xml:space="preserve"> j</w:t>
      </w:r>
      <w:proofErr w:type="gramStart"/>
      <w:r>
        <w:rPr>
          <w:rFonts w:ascii="Verdana" w:hAnsi="Verdana" w:cs="Verdana"/>
          <w:sz w:val="20"/>
          <w:lang w:val="es-ES"/>
        </w:rPr>
        <w:t>]</w:t>
      </w:r>
      <w:proofErr w:type="spellStart"/>
      <w:r>
        <w:rPr>
          <w:rFonts w:ascii="Verdana" w:hAnsi="Verdana" w:cs="Verdana"/>
          <w:sz w:val="20"/>
          <w:lang w:val="es-ES"/>
        </w:rPr>
        <w:t>uzgado</w:t>
      </w:r>
      <w:proofErr w:type="spellEnd"/>
      <w:proofErr w:type="gramEnd"/>
      <w:r>
        <w:rPr>
          <w:rFonts w:ascii="Verdana" w:hAnsi="Verdana" w:cs="Verdana"/>
          <w:sz w:val="20"/>
          <w:lang w:val="es-ES"/>
        </w:rPr>
        <w:t xml:space="preserve"> […] </w:t>
      </w:r>
      <w:r w:rsidRPr="006F66C8">
        <w:rPr>
          <w:rFonts w:ascii="Verdana" w:hAnsi="Verdana" w:cs="Verdana"/>
          <w:sz w:val="20"/>
          <w:lang w:val="es-ES"/>
        </w:rPr>
        <w:t xml:space="preserve">en el expediente </w:t>
      </w:r>
      <w:r>
        <w:rPr>
          <w:rFonts w:ascii="Verdana" w:hAnsi="Verdana" w:cs="Verdana"/>
          <w:sz w:val="20"/>
          <w:lang w:val="es-ES"/>
        </w:rPr>
        <w:t>N</w:t>
      </w:r>
      <w:r>
        <w:rPr>
          <w:rFonts w:ascii="Verdana" w:hAnsi="Verdana" w:cs="Verdana"/>
          <w:sz w:val="20"/>
          <w:lang w:val="es-ES"/>
        </w:rPr>
        <w:sym w:font="Symbol" w:char="F0B0"/>
      </w:r>
      <w:r>
        <w:rPr>
          <w:rFonts w:ascii="Verdana" w:hAnsi="Verdana" w:cs="Verdana"/>
          <w:sz w:val="20"/>
          <w:lang w:val="es-ES"/>
        </w:rPr>
        <w:t xml:space="preserve"> 11891-2010, referido a la Ejecución de Sentencia S</w:t>
      </w:r>
      <w:r w:rsidRPr="00032E09">
        <w:rPr>
          <w:rFonts w:ascii="Verdana" w:hAnsi="Verdana" w:cs="Verdana"/>
          <w:sz w:val="20"/>
          <w:lang w:val="es-ES"/>
        </w:rPr>
        <w:t xml:space="preserve">upranacional del Caso Penal </w:t>
      </w:r>
      <w:r>
        <w:rPr>
          <w:rFonts w:ascii="Verdana" w:hAnsi="Verdana" w:cs="Verdana"/>
          <w:sz w:val="20"/>
          <w:lang w:val="es-ES"/>
        </w:rPr>
        <w:t>‘</w:t>
      </w:r>
      <w:r w:rsidRPr="00032E09">
        <w:rPr>
          <w:rFonts w:ascii="Verdana" w:hAnsi="Verdana" w:cs="Verdana"/>
          <w:sz w:val="20"/>
          <w:lang w:val="es-ES"/>
        </w:rPr>
        <w:t>Miguel Castro Castro</w:t>
      </w:r>
      <w:r>
        <w:rPr>
          <w:rFonts w:ascii="Verdana" w:hAnsi="Verdana" w:cs="Verdana"/>
          <w:sz w:val="20"/>
          <w:lang w:val="es-ES"/>
        </w:rPr>
        <w:t>’</w:t>
      </w:r>
      <w:r>
        <w:rPr>
          <w:rFonts w:ascii="Verdana" w:hAnsi="Verdana"/>
          <w:sz w:val="20"/>
        </w:rPr>
        <w:t xml:space="preserve">”. </w:t>
      </w:r>
      <w:r>
        <w:rPr>
          <w:rFonts w:ascii="Verdana" w:hAnsi="Verdana" w:cs="Verdana"/>
          <w:sz w:val="20"/>
          <w:lang w:val="es-ES"/>
        </w:rPr>
        <w:t xml:space="preserve">A continuación, la Corte realizará un resumen del referido informe, destacando las principales </w:t>
      </w:r>
      <w:r w:rsidR="00FF38C9">
        <w:rPr>
          <w:rFonts w:ascii="Verdana" w:hAnsi="Verdana" w:cs="Verdana"/>
          <w:sz w:val="20"/>
          <w:lang w:val="es-ES"/>
        </w:rPr>
        <w:t xml:space="preserve">decisiones </w:t>
      </w:r>
      <w:r>
        <w:rPr>
          <w:rFonts w:ascii="Verdana" w:hAnsi="Verdana" w:cs="Verdana"/>
          <w:sz w:val="20"/>
          <w:lang w:val="es-ES"/>
        </w:rPr>
        <w:t xml:space="preserve">ahí señaladas: </w:t>
      </w:r>
      <w:bookmarkEnd w:id="11"/>
    </w:p>
    <w:p w:rsidR="007D0CCF" w:rsidRDefault="007D0CCF" w:rsidP="007D0CCF">
      <w:pPr>
        <w:pStyle w:val="Cuadrculamedia1-nfasis2"/>
        <w:tabs>
          <w:tab w:val="left" w:pos="567"/>
        </w:tabs>
        <w:ind w:left="0"/>
        <w:contextualSpacing/>
        <w:jc w:val="both"/>
        <w:rPr>
          <w:rFonts w:ascii="Verdana" w:hAnsi="Verdana" w:cs="Verdana"/>
          <w:sz w:val="20"/>
          <w:lang w:val="es-ES"/>
        </w:rPr>
      </w:pPr>
    </w:p>
    <w:p w:rsidR="007C681F" w:rsidRDefault="007D0CCF" w:rsidP="007C681F">
      <w:pPr>
        <w:pStyle w:val="Cuadrculamedia1-nfasis2"/>
        <w:numPr>
          <w:ilvl w:val="0"/>
          <w:numId w:val="37"/>
        </w:numPr>
        <w:ind w:left="540"/>
        <w:contextualSpacing/>
        <w:jc w:val="both"/>
        <w:rPr>
          <w:rFonts w:ascii="Verdana" w:hAnsi="Verdana" w:cs="Verdana"/>
          <w:sz w:val="19"/>
          <w:szCs w:val="19"/>
          <w:lang w:val="es-ES"/>
        </w:rPr>
      </w:pPr>
      <w:r w:rsidRPr="007C681F">
        <w:rPr>
          <w:rFonts w:ascii="Verdana" w:hAnsi="Verdana" w:cs="Verdana"/>
          <w:sz w:val="19"/>
          <w:szCs w:val="19"/>
          <w:lang w:val="es-ES"/>
        </w:rPr>
        <w:t>Mediante la “Resolución Administrativa N</w:t>
      </w:r>
      <w:r w:rsidRPr="00FE0A01">
        <w:rPr>
          <w:rFonts w:ascii="Verdana" w:hAnsi="Verdana" w:cs="Verdana"/>
          <w:sz w:val="19"/>
          <w:szCs w:val="19"/>
          <w:lang w:val="es-ES"/>
        </w:rPr>
        <w:sym w:font="Symbol" w:char="F0B0"/>
      </w:r>
      <w:r w:rsidRPr="007C681F">
        <w:rPr>
          <w:rFonts w:ascii="Verdana" w:hAnsi="Verdana" w:cs="Verdana"/>
          <w:sz w:val="19"/>
          <w:szCs w:val="19"/>
          <w:lang w:val="es-ES"/>
        </w:rPr>
        <w:t xml:space="preserve"> 089-2010-CE-PJ” de 11 de marzo de 2010, el “Consejo Ejecutivo del Poder Judicial dispuso convertir el entonces 48</w:t>
      </w:r>
      <w:r w:rsidRPr="00FE0A01">
        <w:rPr>
          <w:rFonts w:ascii="Verdana" w:hAnsi="Verdana" w:cs="Verdana"/>
          <w:sz w:val="19"/>
          <w:szCs w:val="19"/>
          <w:lang w:val="es-ES"/>
        </w:rPr>
        <w:sym w:font="Symbol" w:char="F0B0"/>
      </w:r>
      <w:r w:rsidRPr="007C681F">
        <w:rPr>
          <w:rFonts w:ascii="Verdana" w:hAnsi="Verdana" w:cs="Verdana"/>
          <w:sz w:val="19"/>
          <w:szCs w:val="19"/>
          <w:lang w:val="es-ES"/>
        </w:rPr>
        <w:t xml:space="preserve"> Juzgado Especializado Civil del Distrito Judicial de Lima en Juzgado Especializado en Ejecución de Sentencias Supranacionales”. </w:t>
      </w:r>
    </w:p>
    <w:p w:rsidR="007C681F" w:rsidRDefault="00770A5A" w:rsidP="007C681F">
      <w:pPr>
        <w:pStyle w:val="Cuadrculamedia1-nfasis2"/>
        <w:numPr>
          <w:ilvl w:val="0"/>
          <w:numId w:val="37"/>
        </w:numPr>
        <w:tabs>
          <w:tab w:val="left" w:pos="567"/>
        </w:tabs>
        <w:contextualSpacing/>
        <w:jc w:val="both"/>
        <w:rPr>
          <w:rFonts w:ascii="Verdana" w:hAnsi="Verdana" w:cs="Verdana"/>
          <w:sz w:val="19"/>
          <w:szCs w:val="19"/>
          <w:lang w:val="es-ES"/>
        </w:rPr>
      </w:pPr>
      <w:r>
        <w:rPr>
          <w:rFonts w:ascii="Verdana" w:hAnsi="Verdana" w:cs="Verdana"/>
          <w:sz w:val="19"/>
          <w:szCs w:val="19"/>
          <w:lang w:val="es-ES"/>
        </w:rPr>
        <w:t>El 12 de mayo de 2010</w:t>
      </w:r>
      <w:r w:rsidR="007D0CCF" w:rsidRPr="007C681F">
        <w:rPr>
          <w:rFonts w:ascii="Verdana" w:hAnsi="Verdana" w:cs="Verdana"/>
          <w:sz w:val="19"/>
          <w:szCs w:val="19"/>
          <w:lang w:val="es-ES"/>
        </w:rPr>
        <w:t xml:space="preserve"> el </w:t>
      </w:r>
      <w:r w:rsidR="0002684A" w:rsidRPr="007C681F">
        <w:rPr>
          <w:rFonts w:ascii="Verdana" w:hAnsi="Verdana" w:cs="Verdana"/>
          <w:sz w:val="19"/>
          <w:szCs w:val="19"/>
          <w:lang w:val="es-ES"/>
        </w:rPr>
        <w:t>Juzgado de Ejecución de Sentencias Supranacionales</w:t>
      </w:r>
      <w:r w:rsidR="007D0CCF" w:rsidRPr="007C681F">
        <w:rPr>
          <w:rFonts w:ascii="Verdana" w:hAnsi="Verdana" w:cs="Verdana"/>
          <w:sz w:val="19"/>
          <w:szCs w:val="19"/>
          <w:lang w:val="es-ES"/>
        </w:rPr>
        <w:t xml:space="preserve"> dio apertura al expediente 11891-2010 emitiendo su primera resolución para el caso. </w:t>
      </w:r>
    </w:p>
    <w:p w:rsidR="007D0CCF" w:rsidRPr="007C681F" w:rsidRDefault="007D0CCF" w:rsidP="007C681F">
      <w:pPr>
        <w:pStyle w:val="Cuadrculamedia1-nfasis2"/>
        <w:numPr>
          <w:ilvl w:val="0"/>
          <w:numId w:val="37"/>
        </w:numPr>
        <w:tabs>
          <w:tab w:val="left" w:pos="567"/>
        </w:tabs>
        <w:contextualSpacing/>
        <w:jc w:val="both"/>
        <w:rPr>
          <w:rFonts w:ascii="Verdana" w:hAnsi="Verdana" w:cs="Verdana"/>
          <w:sz w:val="19"/>
          <w:szCs w:val="19"/>
          <w:lang w:val="es-ES"/>
        </w:rPr>
      </w:pPr>
      <w:r w:rsidRPr="007C681F">
        <w:rPr>
          <w:rFonts w:ascii="Verdana" w:hAnsi="Verdana" w:cs="Verdana"/>
          <w:sz w:val="19"/>
          <w:szCs w:val="19"/>
          <w:lang w:val="es-ES"/>
        </w:rPr>
        <w:t xml:space="preserve">Entre julio de 2010 y enero de 2011, el </w:t>
      </w:r>
      <w:r w:rsidR="0002684A" w:rsidRPr="007C681F">
        <w:rPr>
          <w:rFonts w:ascii="Verdana" w:hAnsi="Verdana" w:cs="Verdana"/>
          <w:sz w:val="19"/>
          <w:szCs w:val="19"/>
          <w:lang w:val="es-ES"/>
        </w:rPr>
        <w:t>Juzgado de Ejecución de Sentencias Supranacionales</w:t>
      </w:r>
      <w:r w:rsidR="002B7F65" w:rsidRPr="007C681F">
        <w:rPr>
          <w:rFonts w:ascii="Verdana" w:hAnsi="Verdana" w:cs="Verdana"/>
          <w:sz w:val="19"/>
          <w:szCs w:val="19"/>
          <w:lang w:val="es-ES"/>
        </w:rPr>
        <w:t xml:space="preserve"> </w:t>
      </w:r>
      <w:r w:rsidRPr="007C681F">
        <w:rPr>
          <w:rFonts w:ascii="Verdana" w:hAnsi="Verdana" w:cs="Verdana"/>
          <w:sz w:val="19"/>
          <w:szCs w:val="19"/>
          <w:lang w:val="es-ES"/>
        </w:rPr>
        <w:t xml:space="preserve">emitió varias resoluciones para designar los nombramientos de “apoderado[s] com[u]n[es]” en atención “a la complejidad del caso </w:t>
      </w:r>
      <w:r w:rsidR="002B7F65" w:rsidRPr="007C681F">
        <w:rPr>
          <w:rFonts w:ascii="Verdana" w:hAnsi="Verdana" w:cs="Verdana"/>
          <w:sz w:val="19"/>
          <w:szCs w:val="19"/>
          <w:lang w:val="es-ES"/>
        </w:rPr>
        <w:t>[</w:t>
      </w:r>
      <w:r w:rsidRPr="007C681F">
        <w:rPr>
          <w:rFonts w:ascii="Verdana" w:hAnsi="Verdana" w:cs="Verdana"/>
          <w:sz w:val="19"/>
          <w:szCs w:val="19"/>
          <w:lang w:val="es-ES"/>
        </w:rPr>
        <w:t>y</w:t>
      </w:r>
      <w:r w:rsidR="002B7F65" w:rsidRPr="007C681F">
        <w:rPr>
          <w:rFonts w:ascii="Verdana" w:hAnsi="Verdana" w:cs="Verdana"/>
          <w:sz w:val="19"/>
          <w:szCs w:val="19"/>
          <w:lang w:val="es-ES"/>
        </w:rPr>
        <w:t>]</w:t>
      </w:r>
      <w:r w:rsidRPr="007C681F">
        <w:rPr>
          <w:rFonts w:ascii="Verdana" w:hAnsi="Verdana" w:cs="Verdana"/>
          <w:sz w:val="19"/>
          <w:szCs w:val="19"/>
          <w:lang w:val="es-ES"/>
        </w:rPr>
        <w:t xml:space="preserve"> verificándose que muchos de los ciudadanos apersonados a la instancia eran defendidos por el mismo letrado”. </w:t>
      </w:r>
    </w:p>
    <w:p w:rsidR="007D0CCF" w:rsidRPr="00FE0A01" w:rsidRDefault="00770A5A" w:rsidP="007C681F">
      <w:pPr>
        <w:pStyle w:val="Cuadrculamedia1-nfasis2"/>
        <w:numPr>
          <w:ilvl w:val="0"/>
          <w:numId w:val="37"/>
        </w:numPr>
        <w:tabs>
          <w:tab w:val="left" w:pos="567"/>
        </w:tabs>
        <w:contextualSpacing/>
        <w:jc w:val="both"/>
        <w:rPr>
          <w:rFonts w:ascii="Verdana" w:hAnsi="Verdana" w:cs="Verdana"/>
          <w:sz w:val="19"/>
          <w:szCs w:val="19"/>
          <w:lang w:val="es-ES"/>
        </w:rPr>
      </w:pPr>
      <w:r>
        <w:rPr>
          <w:rFonts w:ascii="Verdana" w:hAnsi="Verdana" w:cs="Verdana"/>
          <w:sz w:val="19"/>
          <w:szCs w:val="19"/>
          <w:lang w:val="es-ES"/>
        </w:rPr>
        <w:t>E</w:t>
      </w:r>
      <w:r w:rsidR="006852CE">
        <w:rPr>
          <w:rFonts w:ascii="Verdana" w:hAnsi="Verdana" w:cs="Verdana"/>
          <w:sz w:val="19"/>
          <w:szCs w:val="19"/>
          <w:lang w:val="es-ES"/>
        </w:rPr>
        <w:t>l j</w:t>
      </w:r>
      <w:r w:rsidR="007D0CCF" w:rsidRPr="00FE0A01">
        <w:rPr>
          <w:rFonts w:ascii="Verdana" w:hAnsi="Verdana" w:cs="Verdana"/>
          <w:sz w:val="19"/>
          <w:szCs w:val="19"/>
          <w:lang w:val="es-ES"/>
        </w:rPr>
        <w:t>uzgado fue “dictando las resoluciones pertinentes” para el pago de la indemnización por daños “material o inmaterial –según corresponda</w:t>
      </w:r>
      <w:r w:rsidR="00B54E16" w:rsidRPr="00FE0A01">
        <w:rPr>
          <w:rFonts w:ascii="Verdana" w:hAnsi="Verdana" w:cs="Verdana"/>
          <w:sz w:val="19"/>
          <w:szCs w:val="19"/>
          <w:lang w:val="es-ES"/>
        </w:rPr>
        <w:t>-”</w:t>
      </w:r>
      <w:r w:rsidR="007D0CCF" w:rsidRPr="00FE0A01">
        <w:rPr>
          <w:rFonts w:ascii="Verdana" w:hAnsi="Verdana" w:cs="Verdana"/>
          <w:sz w:val="19"/>
          <w:szCs w:val="19"/>
          <w:lang w:val="es-ES"/>
        </w:rPr>
        <w:t xml:space="preserve"> conforme “los interesados” se fueron apersonando a dicha instancia. </w:t>
      </w:r>
    </w:p>
    <w:p w:rsidR="007D0CCF" w:rsidRPr="00FE0A01" w:rsidRDefault="00770A5A" w:rsidP="007C681F">
      <w:pPr>
        <w:pStyle w:val="Cuadrculamedia1-nfasis2"/>
        <w:numPr>
          <w:ilvl w:val="0"/>
          <w:numId w:val="37"/>
        </w:numPr>
        <w:tabs>
          <w:tab w:val="left" w:pos="567"/>
        </w:tabs>
        <w:contextualSpacing/>
        <w:jc w:val="both"/>
        <w:rPr>
          <w:rFonts w:ascii="Verdana" w:hAnsi="Verdana" w:cs="Verdana"/>
          <w:sz w:val="19"/>
          <w:szCs w:val="19"/>
          <w:lang w:val="es-ES"/>
        </w:rPr>
      </w:pPr>
      <w:r>
        <w:rPr>
          <w:rFonts w:ascii="Verdana" w:hAnsi="Verdana" w:cs="Verdana"/>
          <w:sz w:val="19"/>
          <w:szCs w:val="19"/>
          <w:lang w:val="es-ES"/>
        </w:rPr>
        <w:t>E</w:t>
      </w:r>
      <w:r w:rsidRPr="00FE0A01">
        <w:rPr>
          <w:rFonts w:ascii="Verdana" w:hAnsi="Verdana" w:cs="Verdana"/>
          <w:sz w:val="19"/>
          <w:szCs w:val="19"/>
          <w:lang w:val="es-ES"/>
        </w:rPr>
        <w:t>ntre el 22 de septiembre y 1 de octubre de 2010</w:t>
      </w:r>
      <w:r>
        <w:rPr>
          <w:rFonts w:ascii="Verdana" w:hAnsi="Verdana" w:cs="Verdana"/>
          <w:sz w:val="19"/>
          <w:szCs w:val="19"/>
          <w:lang w:val="es-ES"/>
        </w:rPr>
        <w:t xml:space="preserve">, el juzgado emitió </w:t>
      </w:r>
      <w:r w:rsidRPr="00FE0A01">
        <w:rPr>
          <w:rFonts w:ascii="Verdana" w:hAnsi="Verdana" w:cs="Verdana"/>
          <w:sz w:val="19"/>
          <w:szCs w:val="19"/>
          <w:lang w:val="es-ES"/>
        </w:rPr>
        <w:t>tre</w:t>
      </w:r>
      <w:r>
        <w:rPr>
          <w:rFonts w:ascii="Verdana" w:hAnsi="Verdana" w:cs="Verdana"/>
          <w:sz w:val="19"/>
          <w:szCs w:val="19"/>
          <w:lang w:val="es-ES"/>
        </w:rPr>
        <w:t xml:space="preserve">s resoluciones </w:t>
      </w:r>
      <w:r w:rsidRPr="00FE0A01">
        <w:rPr>
          <w:rFonts w:ascii="Verdana" w:hAnsi="Verdana" w:cs="Verdana"/>
          <w:sz w:val="19"/>
          <w:szCs w:val="19"/>
          <w:lang w:val="es-ES"/>
        </w:rPr>
        <w:t>que dispusieron requerir a</w:t>
      </w:r>
      <w:r>
        <w:rPr>
          <w:rFonts w:ascii="Verdana" w:hAnsi="Verdana" w:cs="Verdana"/>
          <w:sz w:val="19"/>
          <w:szCs w:val="19"/>
          <w:lang w:val="es-ES"/>
        </w:rPr>
        <w:t>l</w:t>
      </w:r>
      <w:r w:rsidRPr="00FE0A01">
        <w:rPr>
          <w:rFonts w:ascii="Verdana" w:hAnsi="Verdana" w:cs="Verdana"/>
          <w:sz w:val="19"/>
          <w:szCs w:val="19"/>
          <w:lang w:val="es-ES"/>
        </w:rPr>
        <w:t xml:space="preserve"> Ministerio de Justicia y Derechos Humanos cumplir con el pago de determinadas sumas a favor de tres beneficiarios</w:t>
      </w:r>
      <w:r>
        <w:rPr>
          <w:rFonts w:ascii="Verdana" w:hAnsi="Verdana" w:cs="Verdana"/>
          <w:sz w:val="19"/>
          <w:szCs w:val="19"/>
          <w:lang w:val="es-ES"/>
        </w:rPr>
        <w:t>.</w:t>
      </w:r>
      <w:r w:rsidRPr="00FE0A01">
        <w:rPr>
          <w:rFonts w:ascii="Verdana" w:hAnsi="Verdana" w:cs="Verdana"/>
          <w:sz w:val="19"/>
          <w:szCs w:val="19"/>
          <w:lang w:val="es-ES"/>
        </w:rPr>
        <w:t xml:space="preserve"> </w:t>
      </w:r>
      <w:r w:rsidR="007D0CCF" w:rsidRPr="00FE0A01">
        <w:rPr>
          <w:rFonts w:ascii="Verdana" w:hAnsi="Verdana" w:cs="Verdana"/>
          <w:sz w:val="19"/>
          <w:szCs w:val="19"/>
          <w:lang w:val="es-ES"/>
        </w:rPr>
        <w:t xml:space="preserve">El Estado, “representado por el </w:t>
      </w:r>
      <w:r>
        <w:rPr>
          <w:rFonts w:ascii="Verdana" w:hAnsi="Verdana" w:cs="Verdana"/>
          <w:sz w:val="19"/>
          <w:szCs w:val="19"/>
          <w:lang w:val="es-ES"/>
        </w:rPr>
        <w:t xml:space="preserve">[referido] </w:t>
      </w:r>
      <w:proofErr w:type="gramStart"/>
      <w:r w:rsidR="007D0CCF" w:rsidRPr="00FE0A01">
        <w:rPr>
          <w:rFonts w:ascii="Verdana" w:hAnsi="Verdana" w:cs="Verdana"/>
          <w:sz w:val="19"/>
          <w:szCs w:val="19"/>
          <w:lang w:val="es-ES"/>
        </w:rPr>
        <w:t>Ministerio[</w:t>
      </w:r>
      <w:proofErr w:type="gramEnd"/>
      <w:r w:rsidR="007D0CCF" w:rsidRPr="00FE0A01">
        <w:rPr>
          <w:rFonts w:ascii="Verdana" w:hAnsi="Verdana" w:cs="Verdana"/>
          <w:sz w:val="19"/>
          <w:szCs w:val="19"/>
          <w:lang w:val="es-ES"/>
        </w:rPr>
        <w:t xml:space="preserve">,] interpuso [recursos de apelación]” contra </w:t>
      </w:r>
      <w:r>
        <w:rPr>
          <w:rFonts w:ascii="Verdana" w:hAnsi="Verdana" w:cs="Verdana"/>
          <w:sz w:val="19"/>
          <w:szCs w:val="19"/>
          <w:lang w:val="es-ES"/>
        </w:rPr>
        <w:t xml:space="preserve">dichas resoluciones. </w:t>
      </w:r>
      <w:r w:rsidR="007D0CCF" w:rsidRPr="00FE0A01">
        <w:rPr>
          <w:rFonts w:ascii="Verdana" w:hAnsi="Verdana" w:cs="Verdana"/>
          <w:sz w:val="19"/>
          <w:szCs w:val="19"/>
          <w:lang w:val="es-ES"/>
        </w:rPr>
        <w:t xml:space="preserve">Al respecto, la “Quinta Sala Civil” declaró el 7 de julio de 2011 que era “improcedente” el recurso de apelación interpuesto contra la resolución emitida el 1 de octubre de 2010 y el 12 de julio </w:t>
      </w:r>
      <w:r w:rsidR="007D0CCF" w:rsidRPr="00FE0A01">
        <w:rPr>
          <w:rFonts w:ascii="Verdana" w:hAnsi="Verdana" w:cs="Verdana"/>
          <w:sz w:val="19"/>
          <w:szCs w:val="19"/>
          <w:lang w:val="es-ES"/>
        </w:rPr>
        <w:lastRenderedPageBreak/>
        <w:t>de 2011 confirmó “los autos apelados expedidos mediante las resoluciones” de 22 de septiembre de 2010</w:t>
      </w:r>
      <w:r w:rsidR="007D0CCF" w:rsidRPr="00FE0A01">
        <w:rPr>
          <w:rStyle w:val="Refdenotaalpie"/>
          <w:rFonts w:ascii="Verdana" w:hAnsi="Verdana" w:cs="Verdana"/>
          <w:sz w:val="19"/>
          <w:szCs w:val="19"/>
          <w:lang w:val="es-ES"/>
        </w:rPr>
        <w:footnoteReference w:id="17"/>
      </w:r>
      <w:r w:rsidR="007D0CCF" w:rsidRPr="00FE0A01">
        <w:rPr>
          <w:rFonts w:ascii="Verdana" w:hAnsi="Verdana" w:cs="Verdana"/>
          <w:sz w:val="19"/>
          <w:szCs w:val="19"/>
          <w:lang w:val="es-ES"/>
        </w:rPr>
        <w:t xml:space="preserve">. </w:t>
      </w:r>
    </w:p>
    <w:p w:rsidR="007D0CCF" w:rsidRPr="00FE0A01" w:rsidRDefault="007D0CCF" w:rsidP="007C681F">
      <w:pPr>
        <w:pStyle w:val="Cuadrculamedia1-nfasis2"/>
        <w:numPr>
          <w:ilvl w:val="0"/>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 xml:space="preserve">El 22 de marzo de 2013 el </w:t>
      </w:r>
      <w:r w:rsidR="0002684A">
        <w:rPr>
          <w:rFonts w:ascii="Verdana" w:hAnsi="Verdana" w:cs="Verdana"/>
          <w:sz w:val="19"/>
          <w:szCs w:val="19"/>
          <w:lang w:val="es-ES"/>
        </w:rPr>
        <w:t>Juzgado de Ejecución de Sentencias Supranacionales</w:t>
      </w:r>
      <w:r w:rsidRPr="00FE0A01">
        <w:rPr>
          <w:rFonts w:ascii="Verdana" w:hAnsi="Verdana" w:cs="Verdana"/>
          <w:sz w:val="19"/>
          <w:szCs w:val="19"/>
          <w:lang w:val="es-ES"/>
        </w:rPr>
        <w:t xml:space="preserve"> emitió la “resolución número 204” que dispuso:</w:t>
      </w:r>
    </w:p>
    <w:p w:rsidR="007D0CCF" w:rsidRPr="00FE0A01" w:rsidRDefault="007D0CCF" w:rsidP="007C681F">
      <w:pPr>
        <w:pStyle w:val="Cuadrculamedia1-nfasis2"/>
        <w:numPr>
          <w:ilvl w:val="1"/>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Requerir al “Ministerio de Justicia” para que, dentro de un determinado plazo, “[cumpla] con el pago de las sumas reclamadas o su equivalente en [m]oneda [n]acional a favor de [siete beneficiarios]”;</w:t>
      </w:r>
    </w:p>
    <w:p w:rsidR="007D0CCF" w:rsidRPr="00FE0A01" w:rsidRDefault="007D0CCF" w:rsidP="007C681F">
      <w:pPr>
        <w:pStyle w:val="Cuadrculamedia1-nfasis2"/>
        <w:numPr>
          <w:ilvl w:val="1"/>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Realizar una “[a]udiencia de [c]onciliación” respecto de las peticiones formuladas por nueve personas interesadas, y</w:t>
      </w:r>
    </w:p>
    <w:p w:rsidR="007D0CCF" w:rsidRPr="00FE0A01" w:rsidRDefault="007D0CCF" w:rsidP="007C681F">
      <w:pPr>
        <w:pStyle w:val="Cuadrculamedia1-nfasis2"/>
        <w:numPr>
          <w:ilvl w:val="1"/>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Requerir al apoderado común de una persona interesada que “cumpla con acreditar que [dicha persona] ha sido declarada heredera por [s]ucesión [i]ntestada mediante declaración judicial o notarial de la causante”</w:t>
      </w:r>
      <w:r w:rsidRPr="00FE0A01">
        <w:rPr>
          <w:rStyle w:val="Refdenotaalpie"/>
          <w:rFonts w:ascii="Verdana" w:hAnsi="Verdana" w:cs="Verdana"/>
          <w:sz w:val="19"/>
          <w:szCs w:val="19"/>
          <w:lang w:val="es-ES"/>
        </w:rPr>
        <w:footnoteReference w:id="18"/>
      </w:r>
      <w:r w:rsidRPr="00FE0A01">
        <w:rPr>
          <w:rFonts w:ascii="Verdana" w:hAnsi="Verdana" w:cs="Verdana"/>
          <w:sz w:val="19"/>
          <w:szCs w:val="19"/>
          <w:lang w:val="es-ES"/>
        </w:rPr>
        <w:t xml:space="preserve">. </w:t>
      </w:r>
    </w:p>
    <w:p w:rsidR="007D0CCF" w:rsidRPr="00FE0A01" w:rsidRDefault="007D0CCF" w:rsidP="007C681F">
      <w:pPr>
        <w:pStyle w:val="Cuadrculamedia1-nfasis2"/>
        <w:numPr>
          <w:ilvl w:val="0"/>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La “Quinta Sala Civil” declaró nulas “las resoluciones […] 195 y 205 [que fueron apeladas</w:t>
      </w:r>
      <w:r w:rsidR="001901DB">
        <w:rPr>
          <w:rFonts w:ascii="Verdana" w:hAnsi="Verdana" w:cs="Verdana"/>
          <w:sz w:val="19"/>
          <w:szCs w:val="19"/>
          <w:lang w:val="es-ES"/>
        </w:rPr>
        <w:t xml:space="preserve"> por varios beneficiarios y </w:t>
      </w:r>
      <w:r w:rsidRPr="00FE0A01">
        <w:rPr>
          <w:rFonts w:ascii="Verdana" w:hAnsi="Verdana" w:cs="Verdana"/>
          <w:sz w:val="19"/>
          <w:szCs w:val="19"/>
          <w:lang w:val="es-ES"/>
        </w:rPr>
        <w:t xml:space="preserve">se referían] al plazo de presentación [para] solicitar la ejecución de la sentencia supranacional”. </w:t>
      </w:r>
      <w:r w:rsidR="001901DB">
        <w:rPr>
          <w:rFonts w:ascii="Verdana" w:hAnsi="Verdana" w:cs="Verdana"/>
          <w:sz w:val="19"/>
          <w:szCs w:val="19"/>
          <w:lang w:val="es-ES"/>
        </w:rPr>
        <w:t xml:space="preserve">De esta manera, dichos beneficiarios pudieron continuar el proceso para recibir los pagos correspondientes, según se determinaron en la Sentencia. </w:t>
      </w:r>
    </w:p>
    <w:p w:rsidR="007D0CCF" w:rsidRPr="00FE0A01" w:rsidRDefault="007D0CCF" w:rsidP="007C681F">
      <w:pPr>
        <w:pStyle w:val="Cuadrculamedia1-nfasis2"/>
        <w:numPr>
          <w:ilvl w:val="0"/>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 xml:space="preserve">El 17 de septiembre de 2014 el </w:t>
      </w:r>
      <w:r w:rsidR="006852CE">
        <w:rPr>
          <w:rFonts w:ascii="Verdana" w:hAnsi="Verdana" w:cs="Verdana"/>
          <w:sz w:val="19"/>
          <w:szCs w:val="19"/>
          <w:lang w:val="es-ES"/>
        </w:rPr>
        <w:t>j</w:t>
      </w:r>
      <w:r w:rsidRPr="00FE0A01">
        <w:rPr>
          <w:rFonts w:ascii="Verdana" w:hAnsi="Verdana" w:cs="Verdana"/>
          <w:sz w:val="19"/>
          <w:szCs w:val="19"/>
          <w:lang w:val="es-ES"/>
        </w:rPr>
        <w:t>uzgado emitió la resolución número 234, a efectos de que “[e]l Ministerio de Justicia […] cumpla con pagar las sumas reclamadas</w:t>
      </w:r>
      <w:r w:rsidR="00775206" w:rsidRPr="00FE0A01">
        <w:rPr>
          <w:rFonts w:ascii="Verdana" w:hAnsi="Verdana" w:cs="Verdana"/>
          <w:sz w:val="19"/>
          <w:szCs w:val="19"/>
          <w:lang w:val="es-ES"/>
        </w:rPr>
        <w:t>”</w:t>
      </w:r>
      <w:r w:rsidRPr="00FE0A01">
        <w:rPr>
          <w:rFonts w:ascii="Verdana" w:hAnsi="Verdana" w:cs="Verdana"/>
          <w:sz w:val="19"/>
          <w:szCs w:val="19"/>
          <w:lang w:val="es-ES"/>
        </w:rPr>
        <w:t>.</w:t>
      </w:r>
    </w:p>
    <w:p w:rsidR="007D0CCF" w:rsidRPr="00FE0A01" w:rsidRDefault="001901DB" w:rsidP="007C681F">
      <w:pPr>
        <w:pStyle w:val="Cuadrculamedia1-nfasis2"/>
        <w:numPr>
          <w:ilvl w:val="0"/>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el 15 de octubre de 2014</w:t>
      </w:r>
      <w:r>
        <w:rPr>
          <w:rFonts w:ascii="Verdana" w:hAnsi="Verdana" w:cs="Verdana"/>
          <w:sz w:val="19"/>
          <w:szCs w:val="19"/>
          <w:lang w:val="es-ES"/>
        </w:rPr>
        <w:t xml:space="preserve"> e</w:t>
      </w:r>
      <w:r w:rsidR="006852CE">
        <w:rPr>
          <w:rFonts w:ascii="Verdana" w:hAnsi="Verdana" w:cs="Verdana"/>
          <w:sz w:val="19"/>
          <w:szCs w:val="19"/>
          <w:lang w:val="es-ES"/>
        </w:rPr>
        <w:t>l j</w:t>
      </w:r>
      <w:r w:rsidR="007D0CCF" w:rsidRPr="00FE0A01">
        <w:rPr>
          <w:rFonts w:ascii="Verdana" w:hAnsi="Verdana" w:cs="Verdana"/>
          <w:sz w:val="19"/>
          <w:szCs w:val="19"/>
          <w:lang w:val="es-ES"/>
        </w:rPr>
        <w:t xml:space="preserve">uzgado emitió la resolución número 242, mediante la cual “dispuso admitir las solicitudes presentadas por [cuatro personas], requiriéndose al Estado, representado por el Procurador Público a cargo de los Asuntos Judiciales del Ministerio de Justicia, para que cumpla con pagar a favor de los solicitantes”. </w:t>
      </w:r>
    </w:p>
    <w:p w:rsidR="007D0CCF" w:rsidRPr="00FE0A01" w:rsidRDefault="007D0CCF" w:rsidP="007C681F">
      <w:pPr>
        <w:pStyle w:val="Cuadrculamedia1-nfasis2"/>
        <w:numPr>
          <w:ilvl w:val="0"/>
          <w:numId w:val="37"/>
        </w:numPr>
        <w:tabs>
          <w:tab w:val="left" w:pos="567"/>
        </w:tabs>
        <w:contextualSpacing/>
        <w:jc w:val="both"/>
        <w:rPr>
          <w:rFonts w:ascii="Verdana" w:hAnsi="Verdana" w:cs="Verdana"/>
          <w:sz w:val="19"/>
          <w:szCs w:val="19"/>
          <w:lang w:val="es-ES"/>
        </w:rPr>
      </w:pPr>
      <w:r w:rsidRPr="00FE0A01">
        <w:rPr>
          <w:rFonts w:ascii="Verdana" w:hAnsi="Verdana" w:cs="Verdana"/>
          <w:sz w:val="19"/>
          <w:szCs w:val="19"/>
          <w:lang w:val="es-ES"/>
        </w:rPr>
        <w:t>Mediante la resolución número 24</w:t>
      </w:r>
      <w:r w:rsidR="006852CE">
        <w:rPr>
          <w:rFonts w:ascii="Verdana" w:hAnsi="Verdana" w:cs="Verdana"/>
          <w:sz w:val="19"/>
          <w:szCs w:val="19"/>
          <w:lang w:val="es-ES"/>
        </w:rPr>
        <w:t>8 de 30 de octubre de 2014, el j</w:t>
      </w:r>
      <w:r w:rsidRPr="00FE0A01">
        <w:rPr>
          <w:rFonts w:ascii="Verdana" w:hAnsi="Verdana" w:cs="Verdana"/>
          <w:sz w:val="19"/>
          <w:szCs w:val="19"/>
          <w:lang w:val="es-ES"/>
        </w:rPr>
        <w:t>uzgado dispuso “reprogramar la audiencia pendiente de actuación”, la cual se realizó el 4 de diciembre de ese mismo año. En dicha diligencia “se actuaron los medios probatorios ofrecidos por los demandantes, disponiéndose como medio probatorio de oficio, se proceda con [oficiar] al Instituto de Medicina Legal del Ministerio Público, para efectos que una [c]omisión de [m]</w:t>
      </w:r>
      <w:proofErr w:type="spellStart"/>
      <w:r w:rsidRPr="00FE0A01">
        <w:rPr>
          <w:rFonts w:ascii="Verdana" w:hAnsi="Verdana" w:cs="Verdana"/>
          <w:sz w:val="19"/>
          <w:szCs w:val="19"/>
          <w:lang w:val="es-ES"/>
        </w:rPr>
        <w:t>édicos</w:t>
      </w:r>
      <w:proofErr w:type="spellEnd"/>
      <w:r w:rsidRPr="00FE0A01">
        <w:rPr>
          <w:rFonts w:ascii="Verdana" w:hAnsi="Verdana" w:cs="Verdana"/>
          <w:sz w:val="19"/>
          <w:szCs w:val="19"/>
          <w:lang w:val="es-ES"/>
        </w:rPr>
        <w:t xml:space="preserve"> verifique </w:t>
      </w:r>
      <w:r w:rsidR="00062103">
        <w:rPr>
          <w:rFonts w:ascii="Verdana" w:hAnsi="Verdana" w:cs="Verdana"/>
          <w:sz w:val="19"/>
          <w:szCs w:val="19"/>
          <w:lang w:val="es-ES"/>
        </w:rPr>
        <w:t>[respecto de]</w:t>
      </w:r>
      <w:r w:rsidR="00062103" w:rsidRPr="00FE0A01">
        <w:rPr>
          <w:rFonts w:ascii="Verdana" w:hAnsi="Verdana" w:cs="Verdana"/>
          <w:sz w:val="19"/>
          <w:szCs w:val="19"/>
          <w:lang w:val="es-ES"/>
        </w:rPr>
        <w:t xml:space="preserve"> </w:t>
      </w:r>
      <w:r w:rsidRPr="00FE0A01">
        <w:rPr>
          <w:rFonts w:ascii="Verdana" w:hAnsi="Verdana" w:cs="Verdana"/>
          <w:sz w:val="19"/>
          <w:szCs w:val="19"/>
          <w:lang w:val="es-ES"/>
        </w:rPr>
        <w:t xml:space="preserve">cada uno de los solicitantes el grado de incapacidad alegado en forma individual, debiendo apersonarse los </w:t>
      </w:r>
      <w:r w:rsidR="00062103">
        <w:rPr>
          <w:rFonts w:ascii="Verdana" w:hAnsi="Verdana" w:cs="Verdana"/>
          <w:sz w:val="19"/>
          <w:szCs w:val="19"/>
          <w:lang w:val="es-ES"/>
        </w:rPr>
        <w:t xml:space="preserve">[cuatro] </w:t>
      </w:r>
      <w:r w:rsidRPr="00FE0A01">
        <w:rPr>
          <w:rFonts w:ascii="Verdana" w:hAnsi="Verdana" w:cs="Verdana"/>
          <w:sz w:val="19"/>
          <w:szCs w:val="19"/>
          <w:lang w:val="es-ES"/>
        </w:rPr>
        <w:t xml:space="preserve">recurrentes al lugar, en la fecha y hora que anticipadamente deberá comunicar </w:t>
      </w:r>
      <w:r w:rsidR="00062103">
        <w:rPr>
          <w:rFonts w:ascii="Verdana" w:hAnsi="Verdana" w:cs="Verdana"/>
          <w:sz w:val="19"/>
          <w:szCs w:val="19"/>
          <w:lang w:val="es-ES"/>
        </w:rPr>
        <w:t>a</w:t>
      </w:r>
      <w:r w:rsidR="006852CE">
        <w:rPr>
          <w:rFonts w:ascii="Verdana" w:hAnsi="Verdana" w:cs="Verdana"/>
          <w:sz w:val="19"/>
          <w:szCs w:val="19"/>
          <w:lang w:val="es-ES"/>
        </w:rPr>
        <w:t>l [j]</w:t>
      </w:r>
      <w:proofErr w:type="spellStart"/>
      <w:r w:rsidRPr="00FE0A01">
        <w:rPr>
          <w:rFonts w:ascii="Verdana" w:hAnsi="Verdana" w:cs="Verdana"/>
          <w:sz w:val="19"/>
          <w:szCs w:val="19"/>
          <w:lang w:val="es-ES"/>
        </w:rPr>
        <w:t>uzgado</w:t>
      </w:r>
      <w:proofErr w:type="spellEnd"/>
      <w:r w:rsidRPr="00FE0A01">
        <w:rPr>
          <w:rFonts w:ascii="Verdana" w:hAnsi="Verdana" w:cs="Verdana"/>
          <w:sz w:val="19"/>
          <w:szCs w:val="19"/>
          <w:lang w:val="es-ES"/>
        </w:rPr>
        <w:t xml:space="preserve">”. </w:t>
      </w:r>
    </w:p>
    <w:p w:rsidR="007D0CCF" w:rsidRPr="00FE0A01" w:rsidRDefault="001901DB" w:rsidP="007C681F">
      <w:pPr>
        <w:pStyle w:val="Cuadrculamedia1-nfasis2"/>
        <w:numPr>
          <w:ilvl w:val="0"/>
          <w:numId w:val="37"/>
        </w:numPr>
        <w:tabs>
          <w:tab w:val="left" w:pos="567"/>
        </w:tabs>
        <w:contextualSpacing/>
        <w:jc w:val="both"/>
        <w:rPr>
          <w:rFonts w:ascii="Verdana" w:hAnsi="Verdana"/>
          <w:sz w:val="19"/>
          <w:szCs w:val="19"/>
        </w:rPr>
      </w:pPr>
      <w:r>
        <w:rPr>
          <w:rFonts w:ascii="Verdana" w:hAnsi="Verdana"/>
          <w:sz w:val="19"/>
          <w:szCs w:val="19"/>
        </w:rPr>
        <w:t>El 23 de diciembre de 2014</w:t>
      </w:r>
      <w:r w:rsidR="007D0CCF" w:rsidRPr="00FE0A01">
        <w:rPr>
          <w:rFonts w:ascii="Verdana" w:hAnsi="Verdana"/>
          <w:sz w:val="19"/>
          <w:szCs w:val="19"/>
        </w:rPr>
        <w:t xml:space="preserve"> “el Sub Director de la División Clínico Forense de la Gerencia Criminalística del Instituto de </w:t>
      </w:r>
      <w:proofErr w:type="gramStart"/>
      <w:r w:rsidR="007D0CCF" w:rsidRPr="00FE0A01">
        <w:rPr>
          <w:rFonts w:ascii="Verdana" w:hAnsi="Verdana"/>
          <w:sz w:val="19"/>
          <w:szCs w:val="19"/>
        </w:rPr>
        <w:t>Medi[</w:t>
      </w:r>
      <w:proofErr w:type="gramEnd"/>
      <w:r w:rsidR="007D0CCF" w:rsidRPr="00FE0A01">
        <w:rPr>
          <w:rFonts w:ascii="Verdana" w:hAnsi="Verdana"/>
          <w:sz w:val="19"/>
          <w:szCs w:val="19"/>
        </w:rPr>
        <w:t>cin]a Legal del Min</w:t>
      </w:r>
      <w:r w:rsidR="006852CE">
        <w:rPr>
          <w:rFonts w:ascii="Verdana" w:hAnsi="Verdana"/>
          <w:sz w:val="19"/>
          <w:szCs w:val="19"/>
        </w:rPr>
        <w:t xml:space="preserve">isterio </w:t>
      </w:r>
      <w:proofErr w:type="spellStart"/>
      <w:r w:rsidR="006852CE">
        <w:rPr>
          <w:rFonts w:ascii="Verdana" w:hAnsi="Verdana"/>
          <w:sz w:val="19"/>
          <w:szCs w:val="19"/>
        </w:rPr>
        <w:t>Públic</w:t>
      </w:r>
      <w:proofErr w:type="spellEnd"/>
      <w:r w:rsidR="006852CE">
        <w:rPr>
          <w:rFonts w:ascii="Verdana" w:hAnsi="Verdana"/>
          <w:sz w:val="19"/>
          <w:szCs w:val="19"/>
        </w:rPr>
        <w:t xml:space="preserve">[o] </w:t>
      </w:r>
      <w:proofErr w:type="spellStart"/>
      <w:r w:rsidR="006852CE">
        <w:rPr>
          <w:rFonts w:ascii="Verdana" w:hAnsi="Verdana"/>
          <w:sz w:val="19"/>
          <w:szCs w:val="19"/>
        </w:rPr>
        <w:t>inform</w:t>
      </w:r>
      <w:proofErr w:type="spellEnd"/>
      <w:r>
        <w:rPr>
          <w:rFonts w:ascii="Verdana" w:hAnsi="Verdana"/>
          <w:sz w:val="19"/>
          <w:szCs w:val="19"/>
        </w:rPr>
        <w:t>[</w:t>
      </w:r>
      <w:proofErr w:type="spellStart"/>
      <w:r>
        <w:rPr>
          <w:rFonts w:ascii="Verdana" w:hAnsi="Verdana"/>
          <w:sz w:val="19"/>
          <w:szCs w:val="19"/>
        </w:rPr>
        <w:t>ó</w:t>
      </w:r>
      <w:proofErr w:type="spellEnd"/>
      <w:r>
        <w:rPr>
          <w:rFonts w:ascii="Verdana" w:hAnsi="Verdana"/>
          <w:sz w:val="19"/>
          <w:szCs w:val="19"/>
        </w:rPr>
        <w:t>]</w:t>
      </w:r>
      <w:r w:rsidR="006852CE">
        <w:rPr>
          <w:rFonts w:ascii="Verdana" w:hAnsi="Verdana"/>
          <w:sz w:val="19"/>
          <w:szCs w:val="19"/>
        </w:rPr>
        <w:t xml:space="preserve"> al [j]</w:t>
      </w:r>
      <w:proofErr w:type="spellStart"/>
      <w:r w:rsidR="007D0CCF" w:rsidRPr="00FE0A01">
        <w:rPr>
          <w:rFonts w:ascii="Verdana" w:hAnsi="Verdana"/>
          <w:sz w:val="19"/>
          <w:szCs w:val="19"/>
        </w:rPr>
        <w:t>uzgado</w:t>
      </w:r>
      <w:proofErr w:type="spellEnd"/>
      <w:r w:rsidR="007D0CCF" w:rsidRPr="00FE0A01">
        <w:rPr>
          <w:rFonts w:ascii="Verdana" w:hAnsi="Verdana"/>
          <w:sz w:val="19"/>
          <w:szCs w:val="19"/>
        </w:rPr>
        <w:t xml:space="preserve"> que los exámenes médicos ordenados habían sido programados para [esa misma fecha]”. En ra</w:t>
      </w:r>
      <w:r w:rsidR="006852CE">
        <w:rPr>
          <w:rFonts w:ascii="Verdana" w:hAnsi="Verdana"/>
          <w:sz w:val="19"/>
          <w:szCs w:val="19"/>
        </w:rPr>
        <w:t>zón de que fue “comunicado al [j</w:t>
      </w:r>
      <w:r w:rsidR="007D0CCF" w:rsidRPr="00FE0A01">
        <w:rPr>
          <w:rFonts w:ascii="Verdana" w:hAnsi="Verdana"/>
          <w:sz w:val="19"/>
          <w:szCs w:val="19"/>
        </w:rPr>
        <w:t xml:space="preserve">uzgado] el mismo día, mediante la resolución número 275 de fecha 29 de diciembre de dicho año, se dispuso oficiar nuevamente a dicha dependencia del Ministerio Público para efectos que [cumplan] con informar con la debida anticipación al </w:t>
      </w:r>
      <w:r w:rsidR="006852CE">
        <w:rPr>
          <w:rFonts w:ascii="Verdana" w:hAnsi="Verdana"/>
          <w:sz w:val="19"/>
          <w:szCs w:val="19"/>
        </w:rPr>
        <w:t>[j]</w:t>
      </w:r>
      <w:proofErr w:type="spellStart"/>
      <w:r w:rsidR="007D0CCF" w:rsidRPr="00FE0A01">
        <w:rPr>
          <w:rFonts w:ascii="Verdana" w:hAnsi="Verdana"/>
          <w:sz w:val="19"/>
          <w:szCs w:val="19"/>
        </w:rPr>
        <w:t>uzgado</w:t>
      </w:r>
      <w:proofErr w:type="spellEnd"/>
      <w:r w:rsidR="007D0CCF" w:rsidRPr="00FE0A01">
        <w:rPr>
          <w:rFonts w:ascii="Verdana" w:hAnsi="Verdana"/>
          <w:sz w:val="19"/>
          <w:szCs w:val="19"/>
        </w:rPr>
        <w:t xml:space="preserve"> el l</w:t>
      </w:r>
      <w:r w:rsidR="00062103">
        <w:rPr>
          <w:rFonts w:ascii="Verdana" w:hAnsi="Verdana"/>
          <w:sz w:val="19"/>
          <w:szCs w:val="19"/>
        </w:rPr>
        <w:t>u</w:t>
      </w:r>
      <w:r w:rsidR="007D0CCF" w:rsidRPr="00FE0A01">
        <w:rPr>
          <w:rFonts w:ascii="Verdana" w:hAnsi="Verdana"/>
          <w:sz w:val="19"/>
          <w:szCs w:val="19"/>
        </w:rPr>
        <w:t xml:space="preserve">gar, fecha y hora para la realización del examen solicitado, debiendo considerar a su vez dicha dependencia […] que los solicitantes deben ser notificados con la debida anticipación”. </w:t>
      </w:r>
    </w:p>
    <w:p w:rsidR="007D0CCF" w:rsidRPr="00FE0A01" w:rsidRDefault="006852CE" w:rsidP="007C681F">
      <w:pPr>
        <w:pStyle w:val="Cuadrculamedia1-nfasis2"/>
        <w:numPr>
          <w:ilvl w:val="0"/>
          <w:numId w:val="37"/>
        </w:numPr>
        <w:tabs>
          <w:tab w:val="left" w:pos="567"/>
        </w:tabs>
        <w:contextualSpacing/>
        <w:jc w:val="both"/>
        <w:rPr>
          <w:rFonts w:ascii="Verdana" w:hAnsi="Verdana"/>
          <w:sz w:val="19"/>
          <w:szCs w:val="19"/>
        </w:rPr>
      </w:pPr>
      <w:r>
        <w:rPr>
          <w:rFonts w:ascii="Verdana" w:hAnsi="Verdana" w:cs="Verdana"/>
          <w:sz w:val="19"/>
          <w:szCs w:val="19"/>
          <w:lang w:val="es-ES"/>
        </w:rPr>
        <w:lastRenderedPageBreak/>
        <w:t>El 29 de diciembre de 2014 el j</w:t>
      </w:r>
      <w:r w:rsidR="007D0CCF" w:rsidRPr="00FE0A01">
        <w:rPr>
          <w:rFonts w:ascii="Verdana" w:hAnsi="Verdana" w:cs="Verdana"/>
          <w:sz w:val="19"/>
          <w:szCs w:val="19"/>
          <w:lang w:val="es-ES"/>
        </w:rPr>
        <w:t>uzgado emitió la resolución número 264 “[a]nte el incumplimiento por parte del Ministerio de Justicia y Derechos Humanos” y “se requirió al Procurador Público a cargo de los Asuntos Judiciales del Ministerio de Justicia para efectos que cumpla con informar documentadamente al Despacho haber coordinado con el titular del sector, la adopción de las medidas que sean necesarias para dar efectivo cumplimiento para atender el pago de sumas de dinero por concepto de daños y perjuicios ordenado por la Sentencia [s]upranacional, en concordancia con lo resuelto con fecha 31 de [m]arzo de 201[4] por la [Corte]</w:t>
      </w:r>
      <w:r w:rsidR="00775206" w:rsidRPr="00FE0A01">
        <w:rPr>
          <w:rFonts w:ascii="Verdana" w:hAnsi="Verdana" w:cs="Verdana"/>
          <w:sz w:val="19"/>
          <w:szCs w:val="19"/>
          <w:lang w:val="es-ES"/>
        </w:rPr>
        <w:t>”.</w:t>
      </w:r>
      <w:r w:rsidR="007D0CCF" w:rsidRPr="00FE0A01">
        <w:rPr>
          <w:rFonts w:ascii="Verdana" w:hAnsi="Verdana" w:cs="Verdana"/>
          <w:sz w:val="19"/>
          <w:szCs w:val="19"/>
          <w:lang w:val="es-ES"/>
        </w:rPr>
        <w:t xml:space="preserve"> </w:t>
      </w:r>
    </w:p>
    <w:p w:rsidR="007D0CCF" w:rsidRPr="00FE0A01" w:rsidRDefault="00A94C88" w:rsidP="007C681F">
      <w:pPr>
        <w:pStyle w:val="Cuadrculamedia1-nfasis2"/>
        <w:numPr>
          <w:ilvl w:val="0"/>
          <w:numId w:val="37"/>
        </w:numPr>
        <w:tabs>
          <w:tab w:val="left" w:pos="567"/>
        </w:tabs>
        <w:contextualSpacing/>
        <w:jc w:val="both"/>
        <w:rPr>
          <w:rFonts w:ascii="Verdana" w:hAnsi="Verdana"/>
          <w:sz w:val="19"/>
          <w:szCs w:val="19"/>
        </w:rPr>
      </w:pPr>
      <w:r>
        <w:rPr>
          <w:rFonts w:ascii="Verdana" w:hAnsi="Verdana" w:cs="Verdana"/>
          <w:sz w:val="19"/>
          <w:szCs w:val="19"/>
          <w:lang w:val="es-ES"/>
        </w:rPr>
        <w:t>E</w:t>
      </w:r>
      <w:r w:rsidRPr="00FE0A01">
        <w:rPr>
          <w:rFonts w:ascii="Verdana" w:hAnsi="Verdana" w:cs="Verdana"/>
          <w:sz w:val="19"/>
          <w:szCs w:val="19"/>
          <w:lang w:val="es-ES"/>
        </w:rPr>
        <w:t>l 14 de abril de 2015</w:t>
      </w:r>
      <w:r>
        <w:rPr>
          <w:rFonts w:ascii="Verdana" w:hAnsi="Verdana" w:cs="Verdana"/>
          <w:sz w:val="19"/>
          <w:szCs w:val="19"/>
          <w:lang w:val="es-ES"/>
        </w:rPr>
        <w:t xml:space="preserve"> e</w:t>
      </w:r>
      <w:r w:rsidR="006852CE">
        <w:rPr>
          <w:rFonts w:ascii="Verdana" w:hAnsi="Verdana" w:cs="Verdana"/>
          <w:sz w:val="19"/>
          <w:szCs w:val="19"/>
          <w:lang w:val="es-ES"/>
        </w:rPr>
        <w:t>l j</w:t>
      </w:r>
      <w:r w:rsidR="007D0CCF" w:rsidRPr="00FE0A01">
        <w:rPr>
          <w:rFonts w:ascii="Verdana" w:hAnsi="Verdana" w:cs="Verdana"/>
          <w:sz w:val="19"/>
          <w:szCs w:val="19"/>
          <w:lang w:val="es-ES"/>
        </w:rPr>
        <w:t xml:space="preserve">uzgado emitió la resolución número 275, mediante la cual se “notific[ó] al Procurador Público a cargo de los Asuntos Judiciales del Ministerio de Justicia y Derechos Humanos a fin [de] qu[e cumpla] con informar documentadamente al Despacho haber coordinado con el titular del sector, la adopción de las medidas que sean necesarias para dar efectivo cumplimiento para atender el pago de sumas de dinero por concepto de daños y perjuicios ordenado por la Sentencia [s]upranacional reclamadas por los recurrentes”. </w:t>
      </w:r>
    </w:p>
    <w:p w:rsidR="007D0CCF" w:rsidRPr="00FE0A01" w:rsidRDefault="007D0CCF" w:rsidP="007C681F">
      <w:pPr>
        <w:pStyle w:val="Cuadrculamedia1-nfasis2"/>
        <w:numPr>
          <w:ilvl w:val="0"/>
          <w:numId w:val="37"/>
        </w:numPr>
        <w:tabs>
          <w:tab w:val="left" w:pos="567"/>
        </w:tabs>
        <w:contextualSpacing/>
        <w:jc w:val="both"/>
        <w:rPr>
          <w:rFonts w:ascii="Verdana" w:hAnsi="Verdana"/>
          <w:sz w:val="19"/>
          <w:szCs w:val="19"/>
        </w:rPr>
      </w:pPr>
      <w:r w:rsidRPr="00FE0A01">
        <w:rPr>
          <w:rFonts w:ascii="Verdana" w:hAnsi="Verdana" w:cs="Verdana"/>
          <w:sz w:val="19"/>
          <w:szCs w:val="19"/>
          <w:lang w:val="es-ES"/>
        </w:rPr>
        <w:t xml:space="preserve">Mediante la resolución número 276, cuya fecha no se señala </w:t>
      </w:r>
      <w:r w:rsidR="006852CE">
        <w:rPr>
          <w:rFonts w:ascii="Verdana" w:hAnsi="Verdana" w:cs="Verdana"/>
          <w:sz w:val="19"/>
          <w:szCs w:val="19"/>
          <w:lang w:val="es-ES"/>
        </w:rPr>
        <w:t>en el informe, el j</w:t>
      </w:r>
      <w:r w:rsidRPr="00FE0A01">
        <w:rPr>
          <w:rFonts w:ascii="Verdana" w:hAnsi="Verdana" w:cs="Verdana"/>
          <w:sz w:val="19"/>
          <w:szCs w:val="19"/>
          <w:lang w:val="es-ES"/>
        </w:rPr>
        <w:t xml:space="preserve">uzgado “dispuso oficiar al Coordinador de la Unidad de Medicina […] </w:t>
      </w:r>
      <w:r w:rsidRPr="00FE0A01">
        <w:rPr>
          <w:rFonts w:ascii="Verdana" w:hAnsi="Verdana"/>
          <w:sz w:val="19"/>
          <w:szCs w:val="19"/>
        </w:rPr>
        <w:t xml:space="preserve">de la División Clínico Forense de la Gerencia Criminalística del Instituto de Medicina Legal del Ministerio Público para efectos que cumpla con informar directamente al </w:t>
      </w:r>
      <w:r w:rsidR="006852CE">
        <w:rPr>
          <w:rFonts w:ascii="Verdana" w:hAnsi="Verdana"/>
          <w:sz w:val="19"/>
          <w:szCs w:val="19"/>
        </w:rPr>
        <w:t>[j]</w:t>
      </w:r>
      <w:proofErr w:type="spellStart"/>
      <w:r w:rsidRPr="00FE0A01">
        <w:rPr>
          <w:rFonts w:ascii="Verdana" w:hAnsi="Verdana"/>
          <w:sz w:val="19"/>
          <w:szCs w:val="19"/>
        </w:rPr>
        <w:t>uzgado</w:t>
      </w:r>
      <w:proofErr w:type="spellEnd"/>
      <w:r w:rsidRPr="00FE0A01">
        <w:rPr>
          <w:rFonts w:ascii="Verdana" w:hAnsi="Verdana"/>
          <w:sz w:val="19"/>
          <w:szCs w:val="19"/>
        </w:rPr>
        <w:t xml:space="preserve">[,] con la debida antelación[,] el lugar, fecha y hora para la realización del examen médico solicitado, </w:t>
      </w:r>
      <w:r w:rsidR="00062103">
        <w:rPr>
          <w:rFonts w:ascii="Verdana" w:hAnsi="Verdana"/>
          <w:sz w:val="19"/>
          <w:szCs w:val="19"/>
        </w:rPr>
        <w:t>[…]</w:t>
      </w:r>
      <w:r w:rsidRPr="00FE0A01">
        <w:rPr>
          <w:rFonts w:ascii="Verdana" w:hAnsi="Verdana"/>
          <w:sz w:val="19"/>
          <w:szCs w:val="19"/>
        </w:rPr>
        <w:t xml:space="preserve"> debido a que el oficio que fue remitido por el Sub Gerente [del referido departamento del Ministerio Público] era remitido tardíamente”. En razón de que “no obstante lo ordenado, el siguiente informe de dicha área administrativa dependiente del Ministerio Público fue remitido [con el mismo error], el </w:t>
      </w:r>
      <w:r w:rsidR="006852CE">
        <w:rPr>
          <w:rFonts w:ascii="Verdana" w:hAnsi="Verdana"/>
          <w:sz w:val="19"/>
          <w:szCs w:val="19"/>
        </w:rPr>
        <w:t>[j]</w:t>
      </w:r>
      <w:proofErr w:type="spellStart"/>
      <w:r w:rsidRPr="00FE0A01">
        <w:rPr>
          <w:rFonts w:ascii="Verdana" w:hAnsi="Verdana"/>
          <w:sz w:val="19"/>
          <w:szCs w:val="19"/>
        </w:rPr>
        <w:t>uzgado</w:t>
      </w:r>
      <w:proofErr w:type="spellEnd"/>
      <w:r w:rsidRPr="00FE0A01">
        <w:rPr>
          <w:rFonts w:ascii="Verdana" w:hAnsi="Verdana"/>
          <w:sz w:val="19"/>
          <w:szCs w:val="19"/>
        </w:rPr>
        <w:t xml:space="preserve"> emitió la resolución número 296 de 2 de junio de 2015, mediante la cual se reiteró la orden formulada en la resolución 276, añadiendo que</w:t>
      </w:r>
      <w:r w:rsidR="006852CE">
        <w:rPr>
          <w:rFonts w:ascii="Verdana" w:hAnsi="Verdana"/>
          <w:sz w:val="19"/>
          <w:szCs w:val="19"/>
        </w:rPr>
        <w:t xml:space="preserve"> la obligación de “informar al [j]</w:t>
      </w:r>
      <w:proofErr w:type="spellStart"/>
      <w:r w:rsidRPr="00FE0A01">
        <w:rPr>
          <w:rFonts w:ascii="Verdana" w:hAnsi="Verdana"/>
          <w:sz w:val="19"/>
          <w:szCs w:val="19"/>
        </w:rPr>
        <w:t>uzgado</w:t>
      </w:r>
      <w:proofErr w:type="spellEnd"/>
      <w:r w:rsidRPr="00FE0A01">
        <w:rPr>
          <w:rFonts w:ascii="Verdana" w:hAnsi="Verdana"/>
          <w:sz w:val="19"/>
          <w:szCs w:val="19"/>
        </w:rPr>
        <w:t xml:space="preserve"> con la debida antelación […] para la realización de los exámenes médicos solicitados” es “bajo responsabilidad penal[,] sin perjuicio de imponers[e una] multa” a la citada división del Ministerio Público. </w:t>
      </w:r>
    </w:p>
    <w:p w:rsidR="007D0CCF" w:rsidRPr="00FE0A01" w:rsidRDefault="007D0CCF" w:rsidP="007C681F">
      <w:pPr>
        <w:pStyle w:val="Cuadrculamedia1-nfasis2"/>
        <w:numPr>
          <w:ilvl w:val="0"/>
          <w:numId w:val="37"/>
        </w:numPr>
        <w:tabs>
          <w:tab w:val="left" w:pos="567"/>
        </w:tabs>
        <w:contextualSpacing/>
        <w:jc w:val="both"/>
        <w:rPr>
          <w:rFonts w:ascii="Verdana" w:hAnsi="Verdana"/>
          <w:sz w:val="19"/>
          <w:szCs w:val="19"/>
        </w:rPr>
      </w:pPr>
      <w:r w:rsidRPr="00FE0A01">
        <w:rPr>
          <w:rFonts w:ascii="Verdana" w:hAnsi="Verdana"/>
          <w:sz w:val="19"/>
          <w:szCs w:val="19"/>
        </w:rPr>
        <w:t xml:space="preserve">El 10 de junio de 2015 el Sub Gerente de la Gerencia Criminalística de la División Clínico Forense del Instituto de Medicina Legal del Ministerio Público “comunicó que la fecha para realización de los exámenes médicos estaba programada para el [2] de </w:t>
      </w:r>
      <w:r w:rsidR="00062103">
        <w:rPr>
          <w:rFonts w:ascii="Verdana" w:hAnsi="Verdana"/>
          <w:sz w:val="19"/>
          <w:szCs w:val="19"/>
        </w:rPr>
        <w:t>[</w:t>
      </w:r>
      <w:r w:rsidRPr="00FE0A01">
        <w:rPr>
          <w:rFonts w:ascii="Verdana" w:hAnsi="Verdana"/>
          <w:sz w:val="19"/>
          <w:szCs w:val="19"/>
        </w:rPr>
        <w:t>j</w:t>
      </w:r>
      <w:r w:rsidR="00062103">
        <w:rPr>
          <w:rFonts w:ascii="Verdana" w:hAnsi="Verdana"/>
          <w:sz w:val="19"/>
          <w:szCs w:val="19"/>
        </w:rPr>
        <w:t>]</w:t>
      </w:r>
      <w:proofErr w:type="spellStart"/>
      <w:r w:rsidRPr="00FE0A01">
        <w:rPr>
          <w:rFonts w:ascii="Verdana" w:hAnsi="Verdana"/>
          <w:sz w:val="19"/>
          <w:szCs w:val="19"/>
        </w:rPr>
        <w:t>ulio</w:t>
      </w:r>
      <w:proofErr w:type="spellEnd"/>
      <w:r w:rsidRPr="00FE0A01">
        <w:rPr>
          <w:rFonts w:ascii="Verdana" w:hAnsi="Verdana"/>
          <w:sz w:val="19"/>
          <w:szCs w:val="19"/>
        </w:rPr>
        <w:t xml:space="preserve"> </w:t>
      </w:r>
      <w:r w:rsidR="006852CE">
        <w:rPr>
          <w:rFonts w:ascii="Verdana" w:hAnsi="Verdana"/>
          <w:sz w:val="19"/>
          <w:szCs w:val="19"/>
        </w:rPr>
        <w:t>de 2015”. En razón de ello, el [j]</w:t>
      </w:r>
      <w:proofErr w:type="spellStart"/>
      <w:r w:rsidRPr="00FE0A01">
        <w:rPr>
          <w:rFonts w:ascii="Verdana" w:hAnsi="Verdana"/>
          <w:sz w:val="19"/>
          <w:szCs w:val="19"/>
        </w:rPr>
        <w:t>uzgado</w:t>
      </w:r>
      <w:proofErr w:type="spellEnd"/>
      <w:r w:rsidRPr="00FE0A01">
        <w:rPr>
          <w:rFonts w:ascii="Verdana" w:hAnsi="Verdana"/>
          <w:sz w:val="19"/>
          <w:szCs w:val="19"/>
        </w:rPr>
        <w:t xml:space="preserve"> emitió la Resolución 302 de 11 de junio de 2015 para “notifica[r] oportunamente a todos los interesados”. </w:t>
      </w:r>
    </w:p>
    <w:p w:rsidR="00A94C88" w:rsidRDefault="007D0CCF" w:rsidP="00A94C88">
      <w:pPr>
        <w:pStyle w:val="Cuadrculamedia1-nfasis2"/>
        <w:numPr>
          <w:ilvl w:val="0"/>
          <w:numId w:val="37"/>
        </w:numPr>
        <w:tabs>
          <w:tab w:val="left" w:pos="567"/>
        </w:tabs>
        <w:contextualSpacing/>
        <w:jc w:val="both"/>
        <w:rPr>
          <w:rFonts w:ascii="Verdana" w:hAnsi="Verdana"/>
          <w:sz w:val="19"/>
          <w:szCs w:val="19"/>
        </w:rPr>
      </w:pPr>
      <w:r w:rsidRPr="00FE0A01">
        <w:rPr>
          <w:rFonts w:ascii="Verdana" w:hAnsi="Verdana"/>
          <w:sz w:val="19"/>
          <w:szCs w:val="19"/>
        </w:rPr>
        <w:t xml:space="preserve">El </w:t>
      </w:r>
      <w:r w:rsidR="0000406B">
        <w:rPr>
          <w:rFonts w:ascii="Verdana" w:hAnsi="Verdana"/>
          <w:sz w:val="19"/>
          <w:szCs w:val="19"/>
        </w:rPr>
        <w:t xml:space="preserve">6 de mayo de 2015 </w:t>
      </w:r>
      <w:r w:rsidR="0000406B">
        <w:rPr>
          <w:rFonts w:ascii="Verdana" w:hAnsi="Verdana" w:cs="Verdana"/>
          <w:sz w:val="19"/>
          <w:szCs w:val="19"/>
          <w:lang w:val="es-ES"/>
        </w:rPr>
        <w:t>el j</w:t>
      </w:r>
      <w:r w:rsidR="0000406B" w:rsidRPr="00FE0A01">
        <w:rPr>
          <w:rFonts w:ascii="Verdana" w:hAnsi="Verdana" w:cs="Verdana"/>
          <w:sz w:val="19"/>
          <w:szCs w:val="19"/>
          <w:lang w:val="es-ES"/>
        </w:rPr>
        <w:t xml:space="preserve">uzgado emitió la resolución número </w:t>
      </w:r>
      <w:r w:rsidR="0000406B">
        <w:rPr>
          <w:rFonts w:ascii="Verdana" w:hAnsi="Verdana" w:cs="Verdana"/>
          <w:sz w:val="19"/>
          <w:szCs w:val="19"/>
          <w:lang w:val="es-ES"/>
        </w:rPr>
        <w:t xml:space="preserve">281, mediante la cual se requirió al Procurador Público a cargo de los Asuntos Judiciales del </w:t>
      </w:r>
      <w:r w:rsidRPr="00FE0A01">
        <w:rPr>
          <w:rFonts w:ascii="Verdana" w:hAnsi="Verdana"/>
          <w:sz w:val="19"/>
          <w:szCs w:val="19"/>
        </w:rPr>
        <w:t>Ministerio de Justicia y Derechos Humanos</w:t>
      </w:r>
      <w:r w:rsidR="0000406B">
        <w:rPr>
          <w:rFonts w:ascii="Verdana" w:hAnsi="Verdana"/>
          <w:sz w:val="19"/>
          <w:szCs w:val="19"/>
        </w:rPr>
        <w:t xml:space="preserve"> que “</w:t>
      </w:r>
      <w:proofErr w:type="spellStart"/>
      <w:proofErr w:type="gramStart"/>
      <w:r w:rsidR="0000406B">
        <w:rPr>
          <w:rFonts w:ascii="Verdana" w:hAnsi="Verdana"/>
          <w:sz w:val="19"/>
          <w:szCs w:val="19"/>
        </w:rPr>
        <w:t>cumpl</w:t>
      </w:r>
      <w:proofErr w:type="spellEnd"/>
      <w:r w:rsidR="0000406B">
        <w:rPr>
          <w:rFonts w:ascii="Verdana" w:hAnsi="Verdana"/>
          <w:sz w:val="19"/>
          <w:szCs w:val="19"/>
        </w:rPr>
        <w:t>[</w:t>
      </w:r>
      <w:proofErr w:type="spellStart"/>
      <w:proofErr w:type="gramEnd"/>
      <w:r w:rsidR="0000406B" w:rsidRPr="000A00D0">
        <w:rPr>
          <w:rFonts w:ascii="Verdana" w:hAnsi="Verdana"/>
          <w:sz w:val="19"/>
          <w:szCs w:val="19"/>
        </w:rPr>
        <w:t>iera</w:t>
      </w:r>
      <w:proofErr w:type="spellEnd"/>
      <w:r w:rsidR="0000406B" w:rsidRPr="000A00D0">
        <w:rPr>
          <w:rFonts w:ascii="Verdana" w:hAnsi="Verdana"/>
          <w:sz w:val="19"/>
          <w:szCs w:val="19"/>
        </w:rPr>
        <w:t xml:space="preserve">] con lo ordenado” mediante la resolución número 275. </w:t>
      </w:r>
      <w:r w:rsidR="006A26B5" w:rsidRPr="000A00D0">
        <w:rPr>
          <w:rFonts w:ascii="Verdana" w:hAnsi="Verdana"/>
          <w:sz w:val="19"/>
          <w:szCs w:val="19"/>
        </w:rPr>
        <w:t xml:space="preserve">Asimismo, el 13 de mayo de 2015 el referido juzgado emitió la resolución número 287 que ordenó pagos a beneficiarios de la Sentencia. </w:t>
      </w:r>
      <w:r w:rsidR="0000406B" w:rsidRPr="000A00D0">
        <w:rPr>
          <w:rFonts w:ascii="Verdana" w:hAnsi="Verdana"/>
          <w:sz w:val="19"/>
          <w:szCs w:val="19"/>
        </w:rPr>
        <w:t>El 20 de mayo de 2015 el referido Ministerio</w:t>
      </w:r>
      <w:r w:rsidRPr="000A00D0">
        <w:rPr>
          <w:rFonts w:ascii="Verdana" w:hAnsi="Verdana"/>
          <w:sz w:val="19"/>
          <w:szCs w:val="19"/>
        </w:rPr>
        <w:t xml:space="preserve"> solicitó que </w:t>
      </w:r>
      <w:proofErr w:type="spellStart"/>
      <w:r w:rsidRPr="000A00D0">
        <w:rPr>
          <w:rFonts w:ascii="Verdana" w:hAnsi="Verdana"/>
          <w:sz w:val="19"/>
          <w:szCs w:val="19"/>
        </w:rPr>
        <w:t>el</w:t>
      </w:r>
      <w:proofErr w:type="spellEnd"/>
      <w:r w:rsidRPr="000A00D0">
        <w:rPr>
          <w:rFonts w:ascii="Verdana" w:hAnsi="Verdana"/>
          <w:sz w:val="19"/>
          <w:szCs w:val="19"/>
        </w:rPr>
        <w:t xml:space="preserve"> </w:t>
      </w:r>
      <w:r w:rsidR="006852CE" w:rsidRPr="000A00D0">
        <w:rPr>
          <w:rFonts w:ascii="Verdana" w:hAnsi="Verdana"/>
          <w:sz w:val="19"/>
          <w:szCs w:val="19"/>
        </w:rPr>
        <w:t>[j]</w:t>
      </w:r>
      <w:proofErr w:type="spellStart"/>
      <w:r w:rsidR="0002684A" w:rsidRPr="000A00D0">
        <w:rPr>
          <w:rFonts w:ascii="Verdana" w:hAnsi="Verdana"/>
          <w:sz w:val="19"/>
          <w:szCs w:val="19"/>
        </w:rPr>
        <w:t>uzgado</w:t>
      </w:r>
      <w:proofErr w:type="spellEnd"/>
      <w:r w:rsidR="0002684A" w:rsidRPr="000A00D0">
        <w:rPr>
          <w:rFonts w:ascii="Verdana" w:hAnsi="Verdana"/>
          <w:sz w:val="19"/>
          <w:szCs w:val="19"/>
        </w:rPr>
        <w:t xml:space="preserve"> de Ejecución de Sentencias Supranacionales</w:t>
      </w:r>
      <w:r w:rsidR="00062103" w:rsidRPr="000A00D0">
        <w:rPr>
          <w:rFonts w:ascii="Verdana" w:hAnsi="Verdana"/>
          <w:sz w:val="19"/>
          <w:szCs w:val="19"/>
        </w:rPr>
        <w:t xml:space="preserve"> </w:t>
      </w:r>
      <w:r w:rsidRPr="000A00D0">
        <w:rPr>
          <w:rFonts w:ascii="Verdana" w:hAnsi="Verdana"/>
          <w:sz w:val="19"/>
          <w:szCs w:val="19"/>
        </w:rPr>
        <w:t>tuviera “por cumplido lo ordenado” en la</w:t>
      </w:r>
      <w:r w:rsidR="006A26B5" w:rsidRPr="000A00D0">
        <w:rPr>
          <w:rFonts w:ascii="Verdana" w:hAnsi="Verdana"/>
          <w:sz w:val="19"/>
          <w:szCs w:val="19"/>
        </w:rPr>
        <w:t>s resolucio</w:t>
      </w:r>
      <w:r w:rsidRPr="000A00D0">
        <w:rPr>
          <w:rFonts w:ascii="Verdana" w:hAnsi="Verdana"/>
          <w:sz w:val="19"/>
          <w:szCs w:val="19"/>
        </w:rPr>
        <w:t>n</w:t>
      </w:r>
      <w:r w:rsidR="006A26B5" w:rsidRPr="000A00D0">
        <w:rPr>
          <w:rFonts w:ascii="Verdana" w:hAnsi="Verdana"/>
          <w:sz w:val="19"/>
          <w:szCs w:val="19"/>
        </w:rPr>
        <w:t>es</w:t>
      </w:r>
      <w:r w:rsidRPr="000A00D0">
        <w:rPr>
          <w:rFonts w:ascii="Verdana" w:hAnsi="Verdana"/>
          <w:sz w:val="19"/>
          <w:szCs w:val="19"/>
        </w:rPr>
        <w:t xml:space="preserve"> número 281</w:t>
      </w:r>
      <w:r w:rsidR="006A26B5" w:rsidRPr="000A00D0">
        <w:rPr>
          <w:rFonts w:ascii="Verdana" w:hAnsi="Verdana"/>
          <w:sz w:val="19"/>
          <w:szCs w:val="19"/>
        </w:rPr>
        <w:t xml:space="preserve"> y 287</w:t>
      </w:r>
      <w:r w:rsidRPr="000A00D0">
        <w:rPr>
          <w:rFonts w:ascii="Verdana" w:hAnsi="Verdana"/>
          <w:sz w:val="19"/>
          <w:szCs w:val="19"/>
        </w:rPr>
        <w:t xml:space="preserve">, en tanto “la Procuraduría Pública […] </w:t>
      </w:r>
      <w:proofErr w:type="spellStart"/>
      <w:r w:rsidRPr="000A00D0">
        <w:rPr>
          <w:rFonts w:ascii="Verdana" w:hAnsi="Verdana"/>
          <w:sz w:val="19"/>
          <w:szCs w:val="19"/>
        </w:rPr>
        <w:t>comunic</w:t>
      </w:r>
      <w:proofErr w:type="spellEnd"/>
      <w:r w:rsidRPr="000A00D0">
        <w:rPr>
          <w:rFonts w:ascii="Verdana" w:hAnsi="Verdana"/>
          <w:sz w:val="19"/>
          <w:szCs w:val="19"/>
        </w:rPr>
        <w:t>[</w:t>
      </w:r>
      <w:proofErr w:type="spellStart"/>
      <w:r w:rsidRPr="000A00D0">
        <w:rPr>
          <w:rFonts w:ascii="Verdana" w:hAnsi="Verdana"/>
          <w:sz w:val="19"/>
          <w:szCs w:val="19"/>
        </w:rPr>
        <w:t>ó</w:t>
      </w:r>
      <w:proofErr w:type="spellEnd"/>
      <w:r w:rsidRPr="000A00D0">
        <w:rPr>
          <w:rFonts w:ascii="Verdana" w:hAnsi="Verdana"/>
          <w:sz w:val="19"/>
          <w:szCs w:val="19"/>
        </w:rPr>
        <w:t>] de manera oportuna a la Oficina General de Administración, al Consejo de Defensa Jurídica del Estado –entre otras entidades</w:t>
      </w:r>
      <w:r w:rsidRPr="00FE0A01">
        <w:rPr>
          <w:rFonts w:ascii="Verdana" w:hAnsi="Verdana"/>
          <w:sz w:val="19"/>
          <w:szCs w:val="19"/>
        </w:rPr>
        <w:t>- la necesidad de programar y efectuar los pagos correspondientes de los beneficiarios de la [S]</w:t>
      </w:r>
      <w:proofErr w:type="spellStart"/>
      <w:r w:rsidRPr="00FE0A01">
        <w:rPr>
          <w:rFonts w:ascii="Verdana" w:hAnsi="Verdana"/>
          <w:sz w:val="19"/>
          <w:szCs w:val="19"/>
        </w:rPr>
        <w:t>entencia</w:t>
      </w:r>
      <w:proofErr w:type="spellEnd"/>
      <w:r w:rsidRPr="00FE0A01">
        <w:rPr>
          <w:rFonts w:ascii="Verdana" w:hAnsi="Verdana"/>
          <w:sz w:val="19"/>
          <w:szCs w:val="19"/>
        </w:rPr>
        <w:t>”. Esta</w:t>
      </w:r>
      <w:r w:rsidR="006852CE">
        <w:rPr>
          <w:rFonts w:ascii="Verdana" w:hAnsi="Verdana"/>
          <w:sz w:val="19"/>
          <w:szCs w:val="19"/>
        </w:rPr>
        <w:t xml:space="preserve"> solicitud fue resuelta por el j</w:t>
      </w:r>
      <w:r w:rsidRPr="00FE0A01">
        <w:rPr>
          <w:rFonts w:ascii="Verdana" w:hAnsi="Verdana"/>
          <w:sz w:val="19"/>
          <w:szCs w:val="19"/>
        </w:rPr>
        <w:t>uzgado mediante la resolución número 306 de 22 de junio de 2015,</w:t>
      </w:r>
      <w:r w:rsidR="0000406B">
        <w:rPr>
          <w:rFonts w:ascii="Verdana" w:hAnsi="Verdana"/>
          <w:sz w:val="19"/>
          <w:szCs w:val="19"/>
        </w:rPr>
        <w:t xml:space="preserve"> en</w:t>
      </w:r>
      <w:r w:rsidRPr="00FE0A01">
        <w:rPr>
          <w:rFonts w:ascii="Verdana" w:hAnsi="Verdana"/>
          <w:sz w:val="19"/>
          <w:szCs w:val="19"/>
        </w:rPr>
        <w:t xml:space="preserve"> la cual indicó</w:t>
      </w:r>
      <w:r w:rsidR="0000406B">
        <w:rPr>
          <w:rFonts w:ascii="Verdana" w:hAnsi="Verdana"/>
          <w:sz w:val="19"/>
          <w:szCs w:val="19"/>
        </w:rPr>
        <w:t xml:space="preserve"> y dispuso</w:t>
      </w:r>
      <w:r w:rsidRPr="00FE0A01">
        <w:rPr>
          <w:rFonts w:ascii="Verdana" w:hAnsi="Verdana"/>
          <w:sz w:val="19"/>
          <w:szCs w:val="19"/>
        </w:rPr>
        <w:t>, entr</w:t>
      </w:r>
      <w:r w:rsidR="0000406B">
        <w:rPr>
          <w:rFonts w:ascii="Verdana" w:hAnsi="Verdana"/>
          <w:sz w:val="19"/>
          <w:szCs w:val="19"/>
        </w:rPr>
        <w:t>e otras</w:t>
      </w:r>
      <w:r w:rsidRPr="00FE0A01">
        <w:rPr>
          <w:rFonts w:ascii="Verdana" w:hAnsi="Verdana"/>
          <w:sz w:val="19"/>
          <w:szCs w:val="19"/>
        </w:rPr>
        <w:t xml:space="preserve"> cosas, que:</w:t>
      </w:r>
    </w:p>
    <w:p w:rsidR="00A94C88" w:rsidRPr="00FE0A01" w:rsidRDefault="00A94C88" w:rsidP="00A94C88">
      <w:pPr>
        <w:numPr>
          <w:ilvl w:val="1"/>
          <w:numId w:val="42"/>
        </w:numPr>
        <w:tabs>
          <w:tab w:val="left" w:pos="567"/>
        </w:tabs>
        <w:contextualSpacing/>
        <w:jc w:val="both"/>
        <w:rPr>
          <w:rFonts w:ascii="Verdana" w:hAnsi="Verdana"/>
          <w:sz w:val="19"/>
          <w:szCs w:val="19"/>
        </w:rPr>
      </w:pPr>
      <w:r w:rsidRPr="00FE0A01">
        <w:rPr>
          <w:rFonts w:ascii="Verdana" w:hAnsi="Verdana"/>
          <w:sz w:val="19"/>
          <w:szCs w:val="19"/>
        </w:rPr>
        <w:t>“el Procurador Púb</w:t>
      </w:r>
      <w:r>
        <w:rPr>
          <w:rFonts w:ascii="Verdana" w:hAnsi="Verdana"/>
          <w:sz w:val="19"/>
          <w:szCs w:val="19"/>
        </w:rPr>
        <w:t>lico […] no puede solicitar al [j]</w:t>
      </w:r>
      <w:proofErr w:type="spellStart"/>
      <w:r w:rsidRPr="00FE0A01">
        <w:rPr>
          <w:rFonts w:ascii="Verdana" w:hAnsi="Verdana"/>
          <w:sz w:val="19"/>
          <w:szCs w:val="19"/>
        </w:rPr>
        <w:t>uzgado</w:t>
      </w:r>
      <w:proofErr w:type="spellEnd"/>
      <w:r w:rsidRPr="00FE0A01">
        <w:rPr>
          <w:rFonts w:ascii="Verdana" w:hAnsi="Verdana"/>
          <w:sz w:val="19"/>
          <w:szCs w:val="19"/>
        </w:rPr>
        <w:t xml:space="preserve"> tener por cumplido el mandato, toda vez que lo único que ha quedado demostrado es el haberse comunicado a las dependencias internas del propio Ministerio de Justicia y Derecho</w:t>
      </w:r>
      <w:r>
        <w:rPr>
          <w:rFonts w:ascii="Verdana" w:hAnsi="Verdana"/>
          <w:sz w:val="19"/>
          <w:szCs w:val="19"/>
        </w:rPr>
        <w:t>s Humanos lo ordenado por el j</w:t>
      </w:r>
      <w:r w:rsidRPr="00FE0A01">
        <w:rPr>
          <w:rFonts w:ascii="Verdana" w:hAnsi="Verdana"/>
          <w:sz w:val="19"/>
          <w:szCs w:val="19"/>
        </w:rPr>
        <w:t xml:space="preserve">uzgado y de la necesidad de programar y efectuar los pagos correspondientes”; </w:t>
      </w:r>
    </w:p>
    <w:p w:rsidR="00A94C88" w:rsidRPr="00FE0A01" w:rsidRDefault="00A94C88" w:rsidP="00A94C88">
      <w:pPr>
        <w:numPr>
          <w:ilvl w:val="1"/>
          <w:numId w:val="42"/>
        </w:numPr>
        <w:tabs>
          <w:tab w:val="left" w:pos="567"/>
        </w:tabs>
        <w:contextualSpacing/>
        <w:jc w:val="both"/>
        <w:rPr>
          <w:rFonts w:ascii="Verdana" w:hAnsi="Verdana"/>
          <w:sz w:val="19"/>
          <w:szCs w:val="19"/>
        </w:rPr>
      </w:pPr>
      <w:r w:rsidRPr="00FE0A01">
        <w:rPr>
          <w:rFonts w:ascii="Verdana" w:hAnsi="Verdana"/>
          <w:sz w:val="19"/>
          <w:szCs w:val="19"/>
        </w:rPr>
        <w:t xml:space="preserve">“lo argumentado por el Procurador Público […] en sentido que la sentencia supranacional no ha establecido de manera individual, cierta y clara la indemnización que le corresponde a cada uno de los beneficiarios y que corresponde que en estos autos </w:t>
      </w:r>
      <w:r>
        <w:rPr>
          <w:rFonts w:ascii="Verdana" w:hAnsi="Verdana"/>
          <w:sz w:val="19"/>
          <w:szCs w:val="19"/>
        </w:rPr>
        <w:t>[…]</w:t>
      </w:r>
      <w:r w:rsidRPr="00FE0A01">
        <w:rPr>
          <w:rFonts w:ascii="Verdana" w:hAnsi="Verdana"/>
          <w:sz w:val="19"/>
          <w:szCs w:val="19"/>
        </w:rPr>
        <w:t xml:space="preserve"> se proceda a individualizarlos e identificar a cada uno de los beneficiarios, así como los montos indemnizatorios correspondientes, carece</w:t>
      </w:r>
      <w:r>
        <w:rPr>
          <w:rFonts w:ascii="Verdana" w:hAnsi="Verdana"/>
          <w:sz w:val="19"/>
          <w:szCs w:val="19"/>
        </w:rPr>
        <w:t>[</w:t>
      </w:r>
      <w:r w:rsidRPr="00FE0A01">
        <w:rPr>
          <w:rFonts w:ascii="Verdana" w:hAnsi="Verdana"/>
          <w:sz w:val="19"/>
          <w:szCs w:val="19"/>
        </w:rPr>
        <w:t>n</w:t>
      </w:r>
      <w:r>
        <w:rPr>
          <w:rFonts w:ascii="Verdana" w:hAnsi="Verdana"/>
          <w:sz w:val="19"/>
          <w:szCs w:val="19"/>
        </w:rPr>
        <w:t>]</w:t>
      </w:r>
      <w:r w:rsidRPr="00FE0A01">
        <w:rPr>
          <w:rFonts w:ascii="Verdana" w:hAnsi="Verdana"/>
          <w:sz w:val="19"/>
          <w:szCs w:val="19"/>
        </w:rPr>
        <w:t xml:space="preserve"> de sustento”; </w:t>
      </w:r>
    </w:p>
    <w:p w:rsidR="00A94C88" w:rsidRPr="00FE0A01" w:rsidRDefault="00A94C88" w:rsidP="00A94C88">
      <w:pPr>
        <w:numPr>
          <w:ilvl w:val="1"/>
          <w:numId w:val="42"/>
        </w:numPr>
        <w:tabs>
          <w:tab w:val="left" w:pos="567"/>
        </w:tabs>
        <w:contextualSpacing/>
        <w:jc w:val="both"/>
        <w:rPr>
          <w:rFonts w:ascii="Verdana" w:hAnsi="Verdana"/>
          <w:sz w:val="19"/>
          <w:szCs w:val="19"/>
        </w:rPr>
      </w:pPr>
      <w:r w:rsidRPr="00FE0A01">
        <w:rPr>
          <w:rFonts w:ascii="Verdana" w:hAnsi="Verdana"/>
          <w:sz w:val="19"/>
          <w:szCs w:val="19"/>
        </w:rPr>
        <w:lastRenderedPageBreak/>
        <w:t xml:space="preserve">“no obstante ello, […] el Secretario Técnico d[el Fondo Especial de Administración del Dinero Obtenido Ilícitamente en perjuicio del Estado- FEDADOI] </w:t>
      </w:r>
      <w:proofErr w:type="spellStart"/>
      <w:r w:rsidRPr="00FE0A01">
        <w:rPr>
          <w:rFonts w:ascii="Verdana" w:hAnsi="Verdana"/>
          <w:sz w:val="19"/>
          <w:szCs w:val="19"/>
        </w:rPr>
        <w:t>comunic</w:t>
      </w:r>
      <w:proofErr w:type="spellEnd"/>
      <w:r w:rsidRPr="00FE0A01">
        <w:rPr>
          <w:rFonts w:ascii="Verdana" w:hAnsi="Verdana"/>
          <w:sz w:val="19"/>
          <w:szCs w:val="19"/>
        </w:rPr>
        <w:t>[</w:t>
      </w:r>
      <w:proofErr w:type="spellStart"/>
      <w:r w:rsidRPr="00FE0A01">
        <w:rPr>
          <w:rFonts w:ascii="Verdana" w:hAnsi="Verdana"/>
          <w:sz w:val="19"/>
          <w:szCs w:val="19"/>
        </w:rPr>
        <w:t>ó</w:t>
      </w:r>
      <w:proofErr w:type="spellEnd"/>
      <w:r w:rsidRPr="00FE0A01">
        <w:rPr>
          <w:rFonts w:ascii="Verdana" w:hAnsi="Verdana"/>
          <w:sz w:val="19"/>
          <w:szCs w:val="19"/>
        </w:rPr>
        <w:t xml:space="preserve">] al Procurador Público […] que el Fondo no cuenta con recursos suficientes para atender [el] requerimiento” del pago de las obligaciones establecidas en la Sentencia; </w:t>
      </w:r>
    </w:p>
    <w:p w:rsidR="00A94C88" w:rsidRPr="00FE0A01" w:rsidRDefault="00A94C88" w:rsidP="00A94C88">
      <w:pPr>
        <w:numPr>
          <w:ilvl w:val="1"/>
          <w:numId w:val="42"/>
        </w:numPr>
        <w:tabs>
          <w:tab w:val="left" w:pos="567"/>
        </w:tabs>
        <w:contextualSpacing/>
        <w:jc w:val="both"/>
        <w:rPr>
          <w:rFonts w:ascii="Verdana" w:hAnsi="Verdana"/>
          <w:sz w:val="19"/>
          <w:szCs w:val="19"/>
        </w:rPr>
      </w:pPr>
      <w:r w:rsidRPr="00FE0A01">
        <w:rPr>
          <w:rFonts w:ascii="Verdana" w:hAnsi="Verdana"/>
          <w:sz w:val="19"/>
          <w:szCs w:val="19"/>
        </w:rPr>
        <w:t xml:space="preserve">“los Procuradores Públicos deberán coordinar con los titulares de cada entidad el cumplimiento y ejecución de las sentencias […] debiendo elaborar anualmente un plan de cumplimiento que deberá ser aprobado por el Titular de la Entidad, quien asumirá con recursos presupuestados de la Entidad correspondiente la ejecución de lo dispuesto en las resoluciones jurisdiccionales nacionales, extranjeras o de la Corte Supranacional”, y </w:t>
      </w:r>
    </w:p>
    <w:p w:rsidR="00A94C88" w:rsidRDefault="00A94C88" w:rsidP="00A94C88">
      <w:pPr>
        <w:pStyle w:val="Cuadrculamedia1-nfasis2"/>
        <w:numPr>
          <w:ilvl w:val="1"/>
          <w:numId w:val="42"/>
        </w:numPr>
        <w:tabs>
          <w:tab w:val="left" w:pos="567"/>
        </w:tabs>
        <w:contextualSpacing/>
        <w:jc w:val="both"/>
        <w:rPr>
          <w:rFonts w:ascii="Verdana" w:hAnsi="Verdana"/>
          <w:sz w:val="19"/>
          <w:szCs w:val="19"/>
        </w:rPr>
      </w:pPr>
      <w:r w:rsidRPr="00FE0A01">
        <w:rPr>
          <w:rFonts w:ascii="Verdana" w:hAnsi="Verdana"/>
          <w:sz w:val="19"/>
          <w:szCs w:val="19"/>
        </w:rPr>
        <w:t xml:space="preserve">“declarar tener por no cumplido lo ordenado […] mediante la[s] </w:t>
      </w:r>
      <w:proofErr w:type="spellStart"/>
      <w:r w:rsidRPr="00FE0A01">
        <w:rPr>
          <w:rFonts w:ascii="Verdana" w:hAnsi="Verdana"/>
          <w:sz w:val="19"/>
          <w:szCs w:val="19"/>
        </w:rPr>
        <w:t>resoluci</w:t>
      </w:r>
      <w:proofErr w:type="spellEnd"/>
      <w:r w:rsidRPr="00FE0A01">
        <w:rPr>
          <w:rFonts w:ascii="Verdana" w:hAnsi="Verdana"/>
          <w:sz w:val="19"/>
          <w:szCs w:val="19"/>
        </w:rPr>
        <w:t>[</w:t>
      </w:r>
      <w:proofErr w:type="spellStart"/>
      <w:r w:rsidRPr="00FE0A01">
        <w:rPr>
          <w:rFonts w:ascii="Verdana" w:hAnsi="Verdana"/>
          <w:sz w:val="19"/>
          <w:szCs w:val="19"/>
        </w:rPr>
        <w:t>ones</w:t>
      </w:r>
      <w:proofErr w:type="spellEnd"/>
      <w:r w:rsidRPr="00FE0A01">
        <w:rPr>
          <w:rFonts w:ascii="Verdana" w:hAnsi="Verdana"/>
          <w:sz w:val="19"/>
          <w:szCs w:val="19"/>
        </w:rPr>
        <w:t xml:space="preserve">] número 281 [… y] 287” y, por tanto, requirió al </w:t>
      </w:r>
      <w:r w:rsidRPr="00FE0A01">
        <w:rPr>
          <w:rFonts w:ascii="Verdana" w:hAnsi="Verdana" w:cs="Verdana"/>
          <w:sz w:val="19"/>
          <w:szCs w:val="19"/>
          <w:lang w:val="es-ES"/>
        </w:rPr>
        <w:t xml:space="preserve">Procurador Público a cargo de los Asuntos Judiciales del Ministerio de Justicia y Derechos Humanos que cumpliera con informar al </w:t>
      </w:r>
      <w:r>
        <w:rPr>
          <w:rFonts w:ascii="Verdana" w:hAnsi="Verdana" w:cs="Verdana"/>
          <w:sz w:val="19"/>
          <w:szCs w:val="19"/>
          <w:lang w:val="es-ES"/>
        </w:rPr>
        <w:t xml:space="preserve">Juzgado de Ejecución de Sentencias Supranacionales </w:t>
      </w:r>
      <w:r w:rsidRPr="00FE0A01">
        <w:rPr>
          <w:rFonts w:ascii="Verdana" w:hAnsi="Verdana" w:cs="Verdana"/>
          <w:sz w:val="19"/>
          <w:szCs w:val="19"/>
          <w:lang w:val="es-ES"/>
        </w:rPr>
        <w:t>haber “coordinado con el titular del sector […] la adopción de las medidas que sean necesarias para dar efectivo cumplimiento para atender el pago de sumas de dinero</w:t>
      </w:r>
      <w:r w:rsidR="00247B8D">
        <w:rPr>
          <w:rFonts w:ascii="Verdana" w:hAnsi="Verdana" w:cs="Verdana"/>
          <w:sz w:val="19"/>
          <w:szCs w:val="19"/>
          <w:lang w:val="es-ES"/>
        </w:rPr>
        <w:t>”</w:t>
      </w:r>
      <w:r w:rsidRPr="00FE0A01">
        <w:rPr>
          <w:rFonts w:ascii="Verdana" w:hAnsi="Verdana" w:cs="Verdana"/>
          <w:sz w:val="19"/>
          <w:szCs w:val="19"/>
          <w:lang w:val="es-ES"/>
        </w:rPr>
        <w:t xml:space="preserve"> ordenadas</w:t>
      </w:r>
      <w:r w:rsidR="00247B8D">
        <w:rPr>
          <w:rFonts w:ascii="Verdana" w:hAnsi="Verdana" w:cs="Verdana"/>
          <w:sz w:val="19"/>
          <w:szCs w:val="19"/>
          <w:lang w:val="es-ES"/>
        </w:rPr>
        <w:t xml:space="preserve"> por la Sentencia</w:t>
      </w:r>
      <w:r w:rsidRPr="00FE0A01">
        <w:rPr>
          <w:rFonts w:ascii="Verdana" w:hAnsi="Verdana" w:cs="Verdana"/>
          <w:sz w:val="19"/>
          <w:szCs w:val="19"/>
          <w:lang w:val="es-ES"/>
        </w:rPr>
        <w:t>.</w:t>
      </w:r>
    </w:p>
    <w:p w:rsidR="00A94C88" w:rsidRDefault="007D0CCF" w:rsidP="00A94C88">
      <w:pPr>
        <w:pStyle w:val="Cuadrculamedia1-nfasis2"/>
        <w:numPr>
          <w:ilvl w:val="0"/>
          <w:numId w:val="37"/>
        </w:numPr>
        <w:tabs>
          <w:tab w:val="left" w:pos="567"/>
        </w:tabs>
        <w:contextualSpacing/>
        <w:jc w:val="both"/>
        <w:rPr>
          <w:rFonts w:ascii="Verdana" w:hAnsi="Verdana"/>
          <w:sz w:val="19"/>
          <w:szCs w:val="19"/>
        </w:rPr>
      </w:pPr>
      <w:r w:rsidRPr="00A94C88">
        <w:rPr>
          <w:rFonts w:ascii="Verdana" w:hAnsi="Verdana" w:cs="Verdana"/>
          <w:sz w:val="19"/>
          <w:szCs w:val="19"/>
          <w:lang w:val="es-ES"/>
        </w:rPr>
        <w:t>El Juez Titular</w:t>
      </w:r>
      <w:r w:rsidR="00A8551A">
        <w:rPr>
          <w:rFonts w:ascii="Verdana" w:hAnsi="Verdana" w:cs="Verdana"/>
          <w:sz w:val="19"/>
          <w:szCs w:val="19"/>
          <w:lang w:val="es-ES"/>
        </w:rPr>
        <w:t xml:space="preserve"> del </w:t>
      </w:r>
      <w:r w:rsidR="00A8551A" w:rsidRPr="00A8551A">
        <w:rPr>
          <w:rFonts w:ascii="Verdana" w:hAnsi="Verdana" w:cs="Verdana"/>
          <w:sz w:val="19"/>
          <w:szCs w:val="19"/>
          <w:lang w:val="es-ES"/>
        </w:rPr>
        <w:t>Juzgado de Ejecución de Sentencias Supranacionales</w:t>
      </w:r>
      <w:r w:rsidRPr="00A94C88">
        <w:rPr>
          <w:rFonts w:ascii="Verdana" w:hAnsi="Verdana" w:cs="Verdana"/>
          <w:sz w:val="19"/>
          <w:szCs w:val="19"/>
          <w:lang w:val="es-ES"/>
        </w:rPr>
        <w:t xml:space="preserve"> también señaló que “aún no es posible establecer </w:t>
      </w:r>
      <w:proofErr w:type="spellStart"/>
      <w:r w:rsidRPr="00A94C88">
        <w:rPr>
          <w:rFonts w:ascii="Verdana" w:hAnsi="Verdana" w:cs="Verdana"/>
          <w:sz w:val="19"/>
          <w:szCs w:val="19"/>
          <w:lang w:val="es-ES"/>
        </w:rPr>
        <w:t>cu</w:t>
      </w:r>
      <w:proofErr w:type="spellEnd"/>
      <w:r w:rsidRPr="00A94C88">
        <w:rPr>
          <w:rFonts w:ascii="Verdana" w:hAnsi="Verdana" w:cs="Verdana"/>
          <w:sz w:val="19"/>
          <w:szCs w:val="19"/>
          <w:lang w:val="es-ES"/>
        </w:rPr>
        <w:t>[á]l es la categoría de incapacidad que le corresponde” a las personas que están solicitando dicha declaración, en razón de “los inconvenientes de carácter administrativos señalados”</w:t>
      </w:r>
      <w:r w:rsidR="00542E76" w:rsidRPr="00A94C88">
        <w:rPr>
          <w:rFonts w:ascii="Verdana" w:hAnsi="Verdana" w:cs="Verdana"/>
          <w:sz w:val="19"/>
          <w:szCs w:val="19"/>
          <w:lang w:val="es-ES"/>
        </w:rPr>
        <w:t xml:space="preserve"> en el informe</w:t>
      </w:r>
      <w:r w:rsidRPr="00A94C88">
        <w:rPr>
          <w:rFonts w:ascii="Verdana" w:hAnsi="Verdana" w:cs="Verdana"/>
          <w:sz w:val="19"/>
          <w:szCs w:val="19"/>
          <w:lang w:val="es-ES"/>
        </w:rPr>
        <w:t xml:space="preserve">. </w:t>
      </w:r>
    </w:p>
    <w:p w:rsidR="007D0CCF" w:rsidRPr="000B4903" w:rsidRDefault="007D0CCF" w:rsidP="00A94C88">
      <w:pPr>
        <w:pStyle w:val="Cuadrculamedia1-nfasis2"/>
        <w:numPr>
          <w:ilvl w:val="0"/>
          <w:numId w:val="37"/>
        </w:numPr>
        <w:tabs>
          <w:tab w:val="left" w:pos="567"/>
        </w:tabs>
        <w:contextualSpacing/>
        <w:jc w:val="both"/>
        <w:rPr>
          <w:rFonts w:ascii="Verdana" w:hAnsi="Verdana"/>
          <w:sz w:val="19"/>
          <w:szCs w:val="19"/>
        </w:rPr>
      </w:pPr>
      <w:r w:rsidRPr="000B4903">
        <w:rPr>
          <w:rFonts w:ascii="Verdana" w:hAnsi="Verdana" w:cs="Verdana"/>
          <w:sz w:val="19"/>
          <w:szCs w:val="19"/>
          <w:lang w:val="es-ES"/>
        </w:rPr>
        <w:t>Asimismo, el referido Juez Titular indicó que “la presentación de las declaraciones de sucesión intestada que se encuentran pendiente[s] de ser adjuntadas por parte de los interesados, dependen única y exc</w:t>
      </w:r>
      <w:r w:rsidR="000B4903" w:rsidRPr="000B4903">
        <w:rPr>
          <w:rFonts w:ascii="Verdana" w:hAnsi="Verdana" w:cs="Verdana"/>
          <w:sz w:val="19"/>
          <w:szCs w:val="19"/>
          <w:lang w:val="es-ES"/>
        </w:rPr>
        <w:t xml:space="preserve">lusivamente de dichas personas[ así como que] </w:t>
      </w:r>
      <w:r w:rsidRPr="000B4903">
        <w:rPr>
          <w:rFonts w:ascii="Verdana" w:hAnsi="Verdana" w:cs="Verdana"/>
          <w:sz w:val="19"/>
          <w:szCs w:val="19"/>
          <w:lang w:val="es-ES"/>
        </w:rPr>
        <w:t>el cumplimiento por parte de[l] Estado de proceder de manera inmediata y de forma directa con el cumplimiento de todas aquellas indemnizaciones que no requieran una determinación por parte de las autoridades internas, depende directamente [del] Ministerio</w:t>
      </w:r>
      <w:r w:rsidR="000B4903">
        <w:rPr>
          <w:rFonts w:ascii="Verdana" w:hAnsi="Verdana" w:cs="Verdana"/>
          <w:sz w:val="19"/>
          <w:szCs w:val="19"/>
          <w:lang w:val="es-ES"/>
        </w:rPr>
        <w:t xml:space="preserve"> de Justicia y Derechos Humanos</w:t>
      </w:r>
      <w:r w:rsidR="000B4903" w:rsidRPr="000B4903">
        <w:rPr>
          <w:rFonts w:ascii="Verdana" w:hAnsi="Verdana" w:cs="Verdana"/>
          <w:sz w:val="19"/>
          <w:szCs w:val="19"/>
          <w:lang w:val="es-ES"/>
        </w:rPr>
        <w:t xml:space="preserve"> </w:t>
      </w:r>
      <w:r w:rsidR="000B4903">
        <w:rPr>
          <w:rFonts w:ascii="Verdana" w:hAnsi="Verdana" w:cs="Verdana"/>
          <w:sz w:val="19"/>
          <w:szCs w:val="19"/>
          <w:lang w:val="es-ES"/>
        </w:rPr>
        <w:t>[</w:t>
      </w:r>
      <w:r w:rsidR="000B4903" w:rsidRPr="000B4903">
        <w:rPr>
          <w:rFonts w:ascii="Verdana" w:hAnsi="Verdana" w:cs="Verdana"/>
          <w:sz w:val="19"/>
          <w:szCs w:val="19"/>
          <w:lang w:val="es-ES"/>
        </w:rPr>
        <w:t>y</w:t>
      </w:r>
      <w:r w:rsidR="000B4903">
        <w:rPr>
          <w:rFonts w:ascii="Verdana" w:hAnsi="Verdana" w:cs="Verdana"/>
          <w:sz w:val="19"/>
          <w:szCs w:val="19"/>
          <w:lang w:val="es-ES"/>
        </w:rPr>
        <w:t>] podría ser efectuad[o]</w:t>
      </w:r>
      <w:r w:rsidRPr="000B4903">
        <w:rPr>
          <w:rFonts w:ascii="Verdana" w:hAnsi="Verdana" w:cs="Verdana"/>
          <w:sz w:val="19"/>
          <w:szCs w:val="19"/>
          <w:lang w:val="es-ES"/>
        </w:rPr>
        <w:t xml:space="preserve"> por [e]l Estado, conforme a lo dispuesto por el párrafo 466 de la Sentencia”. </w:t>
      </w:r>
    </w:p>
    <w:p w:rsidR="006F5E9B" w:rsidRDefault="006F5E9B" w:rsidP="00D333AB">
      <w:pPr>
        <w:pStyle w:val="Listamedia2-nfasis4"/>
        <w:tabs>
          <w:tab w:val="left" w:pos="567"/>
        </w:tabs>
        <w:ind w:left="0"/>
        <w:jc w:val="both"/>
        <w:rPr>
          <w:rFonts w:ascii="Verdana" w:hAnsi="Verdana"/>
          <w:sz w:val="20"/>
        </w:rPr>
      </w:pPr>
    </w:p>
    <w:p w:rsidR="0035636A" w:rsidRPr="009F36A1" w:rsidRDefault="0035636A" w:rsidP="00D333AB">
      <w:pPr>
        <w:pStyle w:val="Listamedia2-nfasis4"/>
        <w:tabs>
          <w:tab w:val="left" w:pos="567"/>
        </w:tabs>
        <w:ind w:left="0"/>
        <w:jc w:val="both"/>
        <w:rPr>
          <w:rFonts w:ascii="Verdana" w:hAnsi="Verdana"/>
          <w:sz w:val="20"/>
        </w:rPr>
      </w:pPr>
    </w:p>
    <w:p w:rsidR="001A0FA6" w:rsidRPr="009F36A1" w:rsidRDefault="00E5588E" w:rsidP="00D333AB">
      <w:pPr>
        <w:pStyle w:val="Ttulo2"/>
        <w:numPr>
          <w:ilvl w:val="0"/>
          <w:numId w:val="0"/>
        </w:numPr>
      </w:pPr>
      <w:bookmarkStart w:id="12" w:name="_Toc414468623"/>
      <w:bookmarkStart w:id="13" w:name="_Toc414469307"/>
      <w:bookmarkStart w:id="14" w:name="_Toc415063546"/>
      <w:bookmarkStart w:id="15" w:name="_Toc470015981"/>
      <w:bookmarkStart w:id="16" w:name="_Toc470016709"/>
      <w:r>
        <w:tab/>
      </w:r>
      <w:bookmarkStart w:id="17" w:name="_Toc345249284"/>
      <w:bookmarkStart w:id="18" w:name="_Toc475555751"/>
      <w:r>
        <w:t xml:space="preserve">A.4. </w:t>
      </w:r>
      <w:r w:rsidR="001A0FA6" w:rsidRPr="009F36A1">
        <w:t>Consideraciones de la Corte</w:t>
      </w:r>
      <w:bookmarkEnd w:id="15"/>
      <w:bookmarkEnd w:id="16"/>
      <w:bookmarkEnd w:id="17"/>
      <w:bookmarkEnd w:id="18"/>
      <w:r w:rsidR="001A0FA6" w:rsidRPr="009F36A1">
        <w:t xml:space="preserve"> </w:t>
      </w:r>
      <w:bookmarkEnd w:id="12"/>
      <w:bookmarkEnd w:id="13"/>
      <w:bookmarkEnd w:id="14"/>
    </w:p>
    <w:p w:rsidR="001A0FA6" w:rsidRPr="009F36A1" w:rsidRDefault="001A0FA6" w:rsidP="00D333AB">
      <w:pPr>
        <w:tabs>
          <w:tab w:val="left" w:pos="567"/>
        </w:tabs>
        <w:rPr>
          <w:rFonts w:ascii="Verdana" w:hAnsi="Verdana"/>
          <w:sz w:val="20"/>
        </w:rPr>
      </w:pPr>
    </w:p>
    <w:p w:rsidR="0061145C" w:rsidRPr="0061145C" w:rsidRDefault="002A2095" w:rsidP="0061145C">
      <w:pPr>
        <w:pStyle w:val="Cuadrculamedia1-nfasis2"/>
        <w:numPr>
          <w:ilvl w:val="0"/>
          <w:numId w:val="1"/>
        </w:numPr>
        <w:ind w:left="0" w:firstLine="0"/>
        <w:contextualSpacing/>
        <w:jc w:val="both"/>
        <w:rPr>
          <w:rFonts w:ascii="Verdana" w:hAnsi="Verdana"/>
          <w:sz w:val="20"/>
        </w:rPr>
      </w:pPr>
      <w:r w:rsidRPr="00A27FB4">
        <w:rPr>
          <w:rFonts w:ascii="Verdana" w:hAnsi="Verdana"/>
          <w:sz w:val="20"/>
        </w:rPr>
        <w:t>Durante la etapa de supervisión del presente caso, l</w:t>
      </w:r>
      <w:r w:rsidR="001A0FA6" w:rsidRPr="00A27FB4">
        <w:rPr>
          <w:rFonts w:ascii="Verdana" w:hAnsi="Verdana"/>
          <w:sz w:val="20"/>
        </w:rPr>
        <w:t>a Corte</w:t>
      </w:r>
      <w:r w:rsidRPr="00A27FB4">
        <w:rPr>
          <w:rFonts w:ascii="Verdana" w:hAnsi="Verdana"/>
          <w:sz w:val="20"/>
        </w:rPr>
        <w:t xml:space="preserve"> ha constatado </w:t>
      </w:r>
      <w:r w:rsidR="007C6829" w:rsidRPr="00A27FB4">
        <w:rPr>
          <w:rFonts w:ascii="Verdana" w:hAnsi="Verdana"/>
          <w:sz w:val="20"/>
        </w:rPr>
        <w:t>que el Estado no ha dado cumplimiento a las medidas de reparación ordenadas en la Sentencia, entre las cuales se incluyen las medidas relativas a pagos de indemnizaciones por daños material</w:t>
      </w:r>
      <w:r w:rsidR="00542E76">
        <w:rPr>
          <w:rFonts w:ascii="Verdana" w:hAnsi="Verdana"/>
          <w:sz w:val="20"/>
        </w:rPr>
        <w:t>es</w:t>
      </w:r>
      <w:r w:rsidR="007C6829" w:rsidRPr="00A27FB4">
        <w:rPr>
          <w:rFonts w:ascii="Verdana" w:hAnsi="Verdana"/>
          <w:sz w:val="20"/>
        </w:rPr>
        <w:t xml:space="preserve"> e inmaterial</w:t>
      </w:r>
      <w:r w:rsidR="00542E76">
        <w:rPr>
          <w:rFonts w:ascii="Verdana" w:hAnsi="Verdana"/>
          <w:sz w:val="20"/>
        </w:rPr>
        <w:t>es</w:t>
      </w:r>
      <w:r w:rsidR="007C6829" w:rsidRPr="00A27FB4">
        <w:rPr>
          <w:rFonts w:ascii="Verdana" w:hAnsi="Verdana"/>
          <w:sz w:val="20"/>
        </w:rPr>
        <w:t xml:space="preserve"> y el pago del monto relativo a atención médica y psicológica para las víctimas que residan en el exterior (</w:t>
      </w:r>
      <w:r w:rsidR="007C6829" w:rsidRPr="00A27FB4">
        <w:rPr>
          <w:rFonts w:ascii="Verdana" w:hAnsi="Verdana"/>
          <w:i/>
          <w:sz w:val="20"/>
        </w:rPr>
        <w:t xml:space="preserve">supra </w:t>
      </w:r>
      <w:r w:rsidR="007C6829" w:rsidRPr="00A27FB4">
        <w:rPr>
          <w:rFonts w:ascii="Verdana" w:hAnsi="Verdana"/>
          <w:sz w:val="20"/>
        </w:rPr>
        <w:t>Considerando</w:t>
      </w:r>
      <w:r w:rsidR="003645A9">
        <w:rPr>
          <w:rFonts w:ascii="Verdana" w:hAnsi="Verdana"/>
          <w:sz w:val="20"/>
        </w:rPr>
        <w:t xml:space="preserve">s </w:t>
      </w:r>
      <w:r w:rsidR="00542E76">
        <w:rPr>
          <w:rFonts w:ascii="Verdana" w:hAnsi="Verdana"/>
          <w:sz w:val="20"/>
        </w:rPr>
        <w:t>4</w:t>
      </w:r>
      <w:r w:rsidR="003645A9">
        <w:rPr>
          <w:rFonts w:ascii="Verdana" w:hAnsi="Verdana"/>
          <w:sz w:val="20"/>
        </w:rPr>
        <w:t xml:space="preserve"> y </w:t>
      </w:r>
      <w:r w:rsidR="00542E76">
        <w:rPr>
          <w:rFonts w:ascii="Verdana" w:hAnsi="Verdana"/>
          <w:sz w:val="20"/>
        </w:rPr>
        <w:t>5</w:t>
      </w:r>
      <w:r w:rsidR="007C6829" w:rsidRPr="00A27FB4">
        <w:rPr>
          <w:rFonts w:ascii="Verdana" w:hAnsi="Verdana"/>
          <w:sz w:val="20"/>
        </w:rPr>
        <w:t>).</w:t>
      </w:r>
      <w:r w:rsidR="00862E9A" w:rsidRPr="00A27FB4">
        <w:rPr>
          <w:rFonts w:ascii="Verdana" w:hAnsi="Verdana"/>
          <w:sz w:val="20"/>
        </w:rPr>
        <w:t xml:space="preserve"> En concreto, las referidas reparaciones no han sido cumplidas porque el Estado ha informado </w:t>
      </w:r>
      <w:r w:rsidR="00180587" w:rsidRPr="00A27FB4">
        <w:rPr>
          <w:rFonts w:ascii="Verdana" w:hAnsi="Verdana"/>
          <w:sz w:val="20"/>
        </w:rPr>
        <w:t xml:space="preserve">que éstas se han “judicializado” </w:t>
      </w:r>
      <w:r w:rsidR="00542E76" w:rsidRPr="00A27FB4">
        <w:rPr>
          <w:rFonts w:ascii="Verdana" w:hAnsi="Verdana"/>
          <w:sz w:val="20"/>
        </w:rPr>
        <w:t>desde el 2010</w:t>
      </w:r>
      <w:r w:rsidR="00542E76">
        <w:rPr>
          <w:rFonts w:ascii="Verdana" w:hAnsi="Verdana"/>
          <w:sz w:val="20"/>
        </w:rPr>
        <w:t>,</w:t>
      </w:r>
      <w:r w:rsidR="00542E76" w:rsidRPr="00A27FB4">
        <w:rPr>
          <w:rFonts w:ascii="Verdana" w:hAnsi="Verdana"/>
          <w:sz w:val="20"/>
        </w:rPr>
        <w:t xml:space="preserve"> </w:t>
      </w:r>
      <w:r w:rsidR="00180587" w:rsidRPr="00A27FB4">
        <w:rPr>
          <w:rFonts w:ascii="Verdana" w:hAnsi="Verdana"/>
          <w:sz w:val="20"/>
        </w:rPr>
        <w:t>lo cual fue reiterado en su informe de agosto de 2015 (</w:t>
      </w:r>
      <w:r w:rsidR="00180587" w:rsidRPr="00A27FB4">
        <w:rPr>
          <w:rFonts w:ascii="Verdana" w:hAnsi="Verdana"/>
          <w:i/>
          <w:sz w:val="20"/>
        </w:rPr>
        <w:t xml:space="preserve">supra </w:t>
      </w:r>
      <w:r w:rsidR="00265900">
        <w:rPr>
          <w:rFonts w:ascii="Verdana" w:hAnsi="Verdana"/>
          <w:sz w:val="20"/>
        </w:rPr>
        <w:t>Considerando 10</w:t>
      </w:r>
      <w:r w:rsidR="00180587" w:rsidRPr="00A27FB4">
        <w:rPr>
          <w:rFonts w:ascii="Verdana" w:hAnsi="Verdana"/>
          <w:sz w:val="20"/>
        </w:rPr>
        <w:t xml:space="preserve">). </w:t>
      </w:r>
      <w:r w:rsidR="00AB1B4B">
        <w:rPr>
          <w:rFonts w:ascii="Verdana" w:hAnsi="Verdana"/>
          <w:sz w:val="20"/>
        </w:rPr>
        <w:t>P</w:t>
      </w:r>
      <w:r w:rsidR="009D1F8C" w:rsidRPr="00A27FB4">
        <w:rPr>
          <w:rFonts w:ascii="Verdana" w:hAnsi="Verdana"/>
          <w:sz w:val="20"/>
        </w:rPr>
        <w:t xml:space="preserve">ese </w:t>
      </w:r>
      <w:r w:rsidR="00F97CA9" w:rsidRPr="00A27FB4">
        <w:rPr>
          <w:rFonts w:ascii="Verdana" w:hAnsi="Verdana"/>
          <w:sz w:val="20"/>
        </w:rPr>
        <w:t>a los requerimientos realizados</w:t>
      </w:r>
      <w:r w:rsidR="00775206">
        <w:rPr>
          <w:rFonts w:ascii="Verdana" w:hAnsi="Verdana"/>
          <w:sz w:val="20"/>
        </w:rPr>
        <w:t xml:space="preserve"> por la Corte</w:t>
      </w:r>
      <w:r w:rsidR="009D1F8C" w:rsidRPr="00A27FB4">
        <w:rPr>
          <w:rFonts w:ascii="Verdana" w:hAnsi="Verdana"/>
          <w:sz w:val="20"/>
        </w:rPr>
        <w:t xml:space="preserve"> mediante sus Resoluciones</w:t>
      </w:r>
      <w:r w:rsidR="009359DC" w:rsidRPr="00A27FB4">
        <w:rPr>
          <w:rFonts w:ascii="Verdana" w:hAnsi="Verdana"/>
          <w:sz w:val="20"/>
        </w:rPr>
        <w:t xml:space="preserve"> (</w:t>
      </w:r>
      <w:r w:rsidR="009359DC" w:rsidRPr="00A27FB4">
        <w:rPr>
          <w:rFonts w:ascii="Verdana" w:hAnsi="Verdana"/>
          <w:i/>
          <w:sz w:val="20"/>
        </w:rPr>
        <w:t xml:space="preserve">supra </w:t>
      </w:r>
      <w:r w:rsidR="009359DC" w:rsidRPr="00A27FB4">
        <w:rPr>
          <w:rFonts w:ascii="Verdana" w:hAnsi="Verdana"/>
          <w:sz w:val="20"/>
        </w:rPr>
        <w:t xml:space="preserve">Considerandos </w:t>
      </w:r>
      <w:r w:rsidR="00EE1010">
        <w:rPr>
          <w:rFonts w:ascii="Verdana" w:hAnsi="Verdana"/>
          <w:sz w:val="20"/>
        </w:rPr>
        <w:t xml:space="preserve">6, </w:t>
      </w:r>
      <w:r w:rsidR="00265900">
        <w:rPr>
          <w:rFonts w:ascii="Verdana" w:hAnsi="Verdana"/>
          <w:sz w:val="20"/>
        </w:rPr>
        <w:t>7 y 8</w:t>
      </w:r>
      <w:r w:rsidR="009359DC" w:rsidRPr="00A27FB4">
        <w:rPr>
          <w:rFonts w:ascii="Verdana" w:hAnsi="Verdana"/>
          <w:sz w:val="20"/>
        </w:rPr>
        <w:t>)</w:t>
      </w:r>
      <w:r w:rsidR="00180587" w:rsidRPr="00A27FB4">
        <w:rPr>
          <w:rFonts w:ascii="Verdana" w:hAnsi="Verdana"/>
          <w:sz w:val="20"/>
        </w:rPr>
        <w:t xml:space="preserve">, el Estado </w:t>
      </w:r>
      <w:r w:rsidR="00542E76">
        <w:rPr>
          <w:rFonts w:ascii="Verdana" w:hAnsi="Verdana"/>
          <w:sz w:val="20"/>
        </w:rPr>
        <w:t xml:space="preserve">no </w:t>
      </w:r>
      <w:r w:rsidR="00180587" w:rsidRPr="00A27FB4">
        <w:rPr>
          <w:rFonts w:ascii="Verdana" w:hAnsi="Verdana"/>
          <w:sz w:val="20"/>
        </w:rPr>
        <w:t>ha</w:t>
      </w:r>
      <w:r w:rsidR="00542E76">
        <w:rPr>
          <w:rFonts w:ascii="Verdana" w:hAnsi="Verdana"/>
          <w:sz w:val="20"/>
        </w:rPr>
        <w:t>bía</w:t>
      </w:r>
      <w:r w:rsidR="00180587" w:rsidRPr="00A27FB4">
        <w:rPr>
          <w:rFonts w:ascii="Verdana" w:hAnsi="Verdana"/>
          <w:sz w:val="20"/>
        </w:rPr>
        <w:t xml:space="preserve"> aportado información que </w:t>
      </w:r>
      <w:r w:rsidR="009D1F8C" w:rsidRPr="00A27FB4">
        <w:rPr>
          <w:rFonts w:ascii="Verdana" w:hAnsi="Verdana"/>
          <w:sz w:val="20"/>
        </w:rPr>
        <w:t>permit</w:t>
      </w:r>
      <w:r w:rsidR="00542E76">
        <w:rPr>
          <w:rFonts w:ascii="Verdana" w:hAnsi="Verdana"/>
          <w:sz w:val="20"/>
        </w:rPr>
        <w:t>ier</w:t>
      </w:r>
      <w:r w:rsidR="009D1F8C" w:rsidRPr="00A27FB4">
        <w:rPr>
          <w:rFonts w:ascii="Verdana" w:hAnsi="Verdana"/>
          <w:sz w:val="20"/>
        </w:rPr>
        <w:t>a</w:t>
      </w:r>
      <w:r w:rsidR="00180587" w:rsidRPr="00A27FB4">
        <w:rPr>
          <w:rFonts w:ascii="Verdana" w:hAnsi="Verdana"/>
          <w:sz w:val="20"/>
        </w:rPr>
        <w:t xml:space="preserve"> a</w:t>
      </w:r>
      <w:r w:rsidR="00775206">
        <w:rPr>
          <w:rFonts w:ascii="Verdana" w:hAnsi="Verdana"/>
          <w:sz w:val="20"/>
        </w:rPr>
        <w:t>l Tribunal</w:t>
      </w:r>
      <w:r w:rsidR="00180587" w:rsidRPr="00A27FB4">
        <w:rPr>
          <w:rFonts w:ascii="Verdana" w:hAnsi="Verdana"/>
          <w:sz w:val="20"/>
        </w:rPr>
        <w:t xml:space="preserve"> evaluar si el </w:t>
      </w:r>
      <w:r w:rsidR="0002684A">
        <w:rPr>
          <w:rFonts w:ascii="Verdana" w:hAnsi="Verdana"/>
          <w:sz w:val="20"/>
        </w:rPr>
        <w:t>Juzgado de Ejecución de Sentencias Supranacionales</w:t>
      </w:r>
      <w:r w:rsidR="00180587" w:rsidRPr="00A27FB4">
        <w:rPr>
          <w:rFonts w:ascii="Verdana" w:hAnsi="Verdana"/>
          <w:sz w:val="20"/>
        </w:rPr>
        <w:t xml:space="preserve"> no había concluido las determinaciones correspondientes ni cuándo se tendría previsto que concluyera el proceso ante el referido </w:t>
      </w:r>
      <w:r w:rsidR="007412CA">
        <w:rPr>
          <w:rFonts w:ascii="Verdana" w:hAnsi="Verdana"/>
          <w:sz w:val="20"/>
        </w:rPr>
        <w:t>j</w:t>
      </w:r>
      <w:r w:rsidR="00180587" w:rsidRPr="00A27FB4">
        <w:rPr>
          <w:rFonts w:ascii="Verdana" w:hAnsi="Verdana"/>
          <w:sz w:val="20"/>
        </w:rPr>
        <w:t>uzgado. En razón de ello, mediante su Resoluci</w:t>
      </w:r>
      <w:r w:rsidR="009D1F8C" w:rsidRPr="00A27FB4">
        <w:rPr>
          <w:rFonts w:ascii="Verdana" w:hAnsi="Verdana"/>
          <w:sz w:val="20"/>
        </w:rPr>
        <w:t>ón de abril de 2015 y en uso del artículo 69.2 de su Reglamento (</w:t>
      </w:r>
      <w:r w:rsidR="009D1F8C" w:rsidRPr="00A27FB4">
        <w:rPr>
          <w:rFonts w:ascii="Verdana" w:hAnsi="Verdana"/>
          <w:i/>
          <w:sz w:val="20"/>
        </w:rPr>
        <w:t xml:space="preserve">supra </w:t>
      </w:r>
      <w:r w:rsidR="00265900">
        <w:rPr>
          <w:rFonts w:ascii="Verdana" w:hAnsi="Verdana"/>
          <w:sz w:val="20"/>
        </w:rPr>
        <w:t>Considerando 9</w:t>
      </w:r>
      <w:r w:rsidR="009D1F8C" w:rsidRPr="00A27FB4">
        <w:rPr>
          <w:rFonts w:ascii="Verdana" w:hAnsi="Verdana"/>
          <w:sz w:val="20"/>
        </w:rPr>
        <w:t xml:space="preserve">), el Tribunal requirió al </w:t>
      </w:r>
      <w:r w:rsidR="0002684A">
        <w:rPr>
          <w:rFonts w:ascii="Verdana" w:hAnsi="Verdana"/>
          <w:sz w:val="20"/>
        </w:rPr>
        <w:t>Juzgado de Ejecución de Sentencias Supranacionales</w:t>
      </w:r>
      <w:r w:rsidR="009D1F8C" w:rsidRPr="00A27FB4">
        <w:rPr>
          <w:rFonts w:ascii="Verdana" w:hAnsi="Verdana"/>
          <w:sz w:val="20"/>
        </w:rPr>
        <w:t xml:space="preserve"> rendir un informe que permitiera conocer cuál es el p</w:t>
      </w:r>
      <w:r w:rsidR="007412CA">
        <w:rPr>
          <w:rFonts w:ascii="Verdana" w:hAnsi="Verdana"/>
          <w:sz w:val="20"/>
        </w:rPr>
        <w:t>rocedimiento seguido por dicho j</w:t>
      </w:r>
      <w:r w:rsidR="009D1F8C" w:rsidRPr="00A27FB4">
        <w:rPr>
          <w:rFonts w:ascii="Verdana" w:hAnsi="Verdana"/>
          <w:sz w:val="20"/>
        </w:rPr>
        <w:t>uzgado y cuáles serían los plazos en los que se concluirían las decisiones pendientes que permitirían resolver judicialmente los referidos pagos ordenados en la Sentencia.</w:t>
      </w:r>
      <w:r w:rsidR="00731010" w:rsidRPr="00A27FB4">
        <w:rPr>
          <w:rFonts w:ascii="Verdana" w:hAnsi="Verdana"/>
          <w:sz w:val="20"/>
        </w:rPr>
        <w:t xml:space="preserve"> </w:t>
      </w:r>
      <w:r w:rsidR="007D57D9" w:rsidRPr="0061145C">
        <w:rPr>
          <w:rFonts w:ascii="Verdana" w:hAnsi="Verdana"/>
          <w:sz w:val="20"/>
        </w:rPr>
        <w:t>E</w:t>
      </w:r>
      <w:r w:rsidR="00731010" w:rsidRPr="0061145C">
        <w:rPr>
          <w:rFonts w:ascii="Verdana" w:hAnsi="Verdana"/>
          <w:sz w:val="20"/>
        </w:rPr>
        <w:t xml:space="preserve">n virtud de dicho requerimiento, </w:t>
      </w:r>
      <w:r w:rsidR="007D57D9" w:rsidRPr="0061145C">
        <w:rPr>
          <w:rFonts w:ascii="Verdana" w:hAnsi="Verdana"/>
          <w:sz w:val="20"/>
        </w:rPr>
        <w:t xml:space="preserve">el Juez Titular del </w:t>
      </w:r>
      <w:r w:rsidR="0002684A">
        <w:rPr>
          <w:rFonts w:ascii="Verdana" w:hAnsi="Verdana"/>
          <w:sz w:val="20"/>
        </w:rPr>
        <w:t>Juzgado de Ejecución de Sentencias Supranacionales</w:t>
      </w:r>
      <w:r w:rsidR="007D57D9" w:rsidRPr="0061145C">
        <w:rPr>
          <w:rFonts w:ascii="Verdana" w:hAnsi="Verdana"/>
          <w:sz w:val="20"/>
        </w:rPr>
        <w:t xml:space="preserve"> </w:t>
      </w:r>
      <w:r w:rsidR="00731010" w:rsidRPr="0061145C">
        <w:rPr>
          <w:rFonts w:ascii="Verdana" w:hAnsi="Verdana"/>
          <w:sz w:val="20"/>
        </w:rPr>
        <w:t xml:space="preserve">presentó </w:t>
      </w:r>
      <w:r w:rsidR="00307154" w:rsidRPr="0061145C">
        <w:rPr>
          <w:rFonts w:ascii="Verdana" w:hAnsi="Verdana"/>
          <w:sz w:val="20"/>
        </w:rPr>
        <w:t>de manera diligente el informe requerido por este Tribunal</w:t>
      </w:r>
      <w:r w:rsidR="009F5985">
        <w:rPr>
          <w:rFonts w:ascii="Verdana" w:hAnsi="Verdana"/>
          <w:sz w:val="20"/>
        </w:rPr>
        <w:t xml:space="preserve"> </w:t>
      </w:r>
      <w:r w:rsidR="009F5985" w:rsidRPr="0061145C">
        <w:rPr>
          <w:rFonts w:ascii="Verdana" w:hAnsi="Verdana"/>
          <w:sz w:val="20"/>
        </w:rPr>
        <w:t>(</w:t>
      </w:r>
      <w:r w:rsidR="009F5985" w:rsidRPr="0061145C">
        <w:rPr>
          <w:rFonts w:ascii="Verdana" w:hAnsi="Verdana"/>
          <w:i/>
          <w:sz w:val="20"/>
        </w:rPr>
        <w:t xml:space="preserve">supra </w:t>
      </w:r>
      <w:r w:rsidR="009F5985" w:rsidRPr="0061145C">
        <w:rPr>
          <w:rFonts w:ascii="Verdana" w:hAnsi="Verdana"/>
          <w:sz w:val="20"/>
        </w:rPr>
        <w:t xml:space="preserve">Considerando </w:t>
      </w:r>
      <w:r w:rsidR="009F5985">
        <w:rPr>
          <w:rFonts w:ascii="Verdana" w:hAnsi="Verdana"/>
          <w:sz w:val="20"/>
        </w:rPr>
        <w:t>13</w:t>
      </w:r>
      <w:r w:rsidR="009F5985" w:rsidRPr="0061145C">
        <w:rPr>
          <w:rFonts w:ascii="Verdana" w:hAnsi="Verdana"/>
          <w:sz w:val="20"/>
        </w:rPr>
        <w:t>)</w:t>
      </w:r>
      <w:r w:rsidR="00307154" w:rsidRPr="0061145C">
        <w:rPr>
          <w:rFonts w:ascii="Verdana" w:hAnsi="Verdana"/>
          <w:sz w:val="20"/>
        </w:rPr>
        <w:t xml:space="preserve">. Dicho informe ha permitido que la Corte obtenga información precisa respecto del </w:t>
      </w:r>
      <w:r w:rsidR="00307154" w:rsidRPr="0061145C">
        <w:rPr>
          <w:rFonts w:ascii="Verdana" w:hAnsi="Verdana"/>
          <w:sz w:val="20"/>
        </w:rPr>
        <w:lastRenderedPageBreak/>
        <w:t xml:space="preserve">estado de cumplimiento de las reparaciones relativas a </w:t>
      </w:r>
      <w:r w:rsidR="00542E76" w:rsidRPr="0061145C">
        <w:rPr>
          <w:rFonts w:ascii="Verdana" w:hAnsi="Verdana"/>
          <w:sz w:val="20"/>
        </w:rPr>
        <w:t xml:space="preserve">los </w:t>
      </w:r>
      <w:r w:rsidR="00307154" w:rsidRPr="0061145C">
        <w:rPr>
          <w:rFonts w:ascii="Verdana" w:hAnsi="Verdana"/>
          <w:sz w:val="20"/>
        </w:rPr>
        <w:t xml:space="preserve">pagos de </w:t>
      </w:r>
      <w:r w:rsidR="00542E76">
        <w:rPr>
          <w:rFonts w:ascii="Verdana" w:hAnsi="Verdana"/>
          <w:sz w:val="20"/>
        </w:rPr>
        <w:t xml:space="preserve">las </w:t>
      </w:r>
      <w:r w:rsidR="00307154" w:rsidRPr="0061145C">
        <w:rPr>
          <w:rFonts w:ascii="Verdana" w:hAnsi="Verdana"/>
          <w:sz w:val="20"/>
        </w:rPr>
        <w:t xml:space="preserve">indemnizaciones y atención médica y psicológica para las víctimas que residan en el exterior. </w:t>
      </w:r>
      <w:r w:rsidR="0061145C">
        <w:rPr>
          <w:rFonts w:ascii="Verdana" w:hAnsi="Verdana"/>
          <w:sz w:val="20"/>
        </w:rPr>
        <w:t>A continuación la Corte valorará la información ahí presentada.</w:t>
      </w:r>
    </w:p>
    <w:p w:rsidR="0061145C" w:rsidRDefault="0061145C" w:rsidP="0061145C">
      <w:pPr>
        <w:pStyle w:val="Listavistosa-nfasis1"/>
        <w:rPr>
          <w:rFonts w:ascii="Verdana" w:hAnsi="Verdana"/>
          <w:sz w:val="20"/>
        </w:rPr>
      </w:pPr>
    </w:p>
    <w:p w:rsidR="009D1F8C" w:rsidRDefault="0061145C" w:rsidP="00862E9A">
      <w:pPr>
        <w:pStyle w:val="Cuadrculamedia1-nfasis2"/>
        <w:numPr>
          <w:ilvl w:val="0"/>
          <w:numId w:val="1"/>
        </w:numPr>
        <w:ind w:left="0" w:firstLine="0"/>
        <w:contextualSpacing/>
        <w:jc w:val="both"/>
        <w:rPr>
          <w:rFonts w:ascii="Verdana" w:hAnsi="Verdana"/>
          <w:sz w:val="20"/>
        </w:rPr>
      </w:pPr>
      <w:r>
        <w:rPr>
          <w:rFonts w:ascii="Verdana" w:hAnsi="Verdana"/>
          <w:sz w:val="20"/>
        </w:rPr>
        <w:t>El</w:t>
      </w:r>
      <w:r w:rsidR="000F7FF6" w:rsidRPr="00A27FB4">
        <w:rPr>
          <w:rFonts w:ascii="Verdana" w:hAnsi="Verdana"/>
          <w:sz w:val="20"/>
        </w:rPr>
        <w:t xml:space="preserve"> referido Juez Titular </w:t>
      </w:r>
      <w:r>
        <w:rPr>
          <w:rFonts w:ascii="Verdana" w:hAnsi="Verdana"/>
          <w:sz w:val="20"/>
        </w:rPr>
        <w:t>indicó en su informe</w:t>
      </w:r>
      <w:r w:rsidR="000F7FF6" w:rsidRPr="00A27FB4">
        <w:rPr>
          <w:rFonts w:ascii="Verdana" w:hAnsi="Verdana"/>
          <w:sz w:val="20"/>
        </w:rPr>
        <w:t xml:space="preserve"> que el </w:t>
      </w:r>
      <w:r w:rsidR="0002684A">
        <w:rPr>
          <w:rFonts w:ascii="Verdana" w:hAnsi="Verdana"/>
          <w:sz w:val="20"/>
        </w:rPr>
        <w:t>Juzgado de Ejecución de Sentencias Supranacionales</w:t>
      </w:r>
      <w:r w:rsidR="000F7FF6" w:rsidRPr="00A27FB4">
        <w:rPr>
          <w:rFonts w:ascii="Verdana" w:hAnsi="Verdana"/>
          <w:sz w:val="20"/>
        </w:rPr>
        <w:t xml:space="preserve"> ha ido </w:t>
      </w:r>
      <w:r w:rsidR="00B60061">
        <w:rPr>
          <w:rFonts w:ascii="Verdana" w:hAnsi="Verdana"/>
          <w:sz w:val="20"/>
        </w:rPr>
        <w:t>emitiendo</w:t>
      </w:r>
      <w:r w:rsidR="000F7FF6" w:rsidRPr="00A27FB4">
        <w:rPr>
          <w:rFonts w:ascii="Verdana" w:hAnsi="Verdana"/>
          <w:sz w:val="20"/>
        </w:rPr>
        <w:t xml:space="preserve"> las resoluciones pertinentes para el pago de las indemnizaciones por daños material</w:t>
      </w:r>
      <w:r w:rsidR="00542E76">
        <w:rPr>
          <w:rFonts w:ascii="Verdana" w:hAnsi="Verdana"/>
          <w:sz w:val="20"/>
        </w:rPr>
        <w:t>es</w:t>
      </w:r>
      <w:r w:rsidR="000F7FF6" w:rsidRPr="00A27FB4">
        <w:rPr>
          <w:rFonts w:ascii="Verdana" w:hAnsi="Verdana"/>
          <w:sz w:val="20"/>
        </w:rPr>
        <w:t xml:space="preserve"> o inmaterial</w:t>
      </w:r>
      <w:r w:rsidR="00542E76">
        <w:rPr>
          <w:rFonts w:ascii="Verdana" w:hAnsi="Verdana"/>
          <w:sz w:val="20"/>
        </w:rPr>
        <w:t>es</w:t>
      </w:r>
      <w:r>
        <w:rPr>
          <w:rFonts w:ascii="Verdana" w:hAnsi="Verdana"/>
          <w:sz w:val="20"/>
        </w:rPr>
        <w:t>,</w:t>
      </w:r>
      <w:r w:rsidR="000F7FF6" w:rsidRPr="00A27FB4">
        <w:rPr>
          <w:rFonts w:ascii="Verdana" w:hAnsi="Verdana"/>
          <w:sz w:val="20"/>
        </w:rPr>
        <w:t xml:space="preserve"> conforme las personas beneficiarias se han ido apersonando a dicha instancia</w:t>
      </w:r>
      <w:r w:rsidR="00644EBB" w:rsidRPr="00A27FB4">
        <w:rPr>
          <w:rFonts w:ascii="Verdana" w:hAnsi="Verdana"/>
          <w:sz w:val="20"/>
        </w:rPr>
        <w:t>, ordenando</w:t>
      </w:r>
      <w:r>
        <w:rPr>
          <w:rFonts w:ascii="Verdana" w:hAnsi="Verdana"/>
          <w:sz w:val="20"/>
        </w:rPr>
        <w:t xml:space="preserve"> en </w:t>
      </w:r>
      <w:r w:rsidR="000D5510">
        <w:rPr>
          <w:rFonts w:ascii="Verdana" w:hAnsi="Verdana"/>
          <w:sz w:val="20"/>
        </w:rPr>
        <w:t>esas</w:t>
      </w:r>
      <w:r>
        <w:rPr>
          <w:rFonts w:ascii="Verdana" w:hAnsi="Verdana"/>
          <w:sz w:val="20"/>
        </w:rPr>
        <w:t xml:space="preserve"> decisiones que</w:t>
      </w:r>
      <w:r w:rsidR="00644EBB" w:rsidRPr="00A27FB4">
        <w:rPr>
          <w:rFonts w:ascii="Verdana" w:hAnsi="Verdana"/>
          <w:sz w:val="20"/>
        </w:rPr>
        <w:t xml:space="preserve"> </w:t>
      </w:r>
      <w:r>
        <w:rPr>
          <w:rFonts w:ascii="Verdana" w:hAnsi="Verdana"/>
          <w:sz w:val="20"/>
        </w:rPr>
        <w:t>e</w:t>
      </w:r>
      <w:r w:rsidR="00644EBB" w:rsidRPr="00A27FB4">
        <w:rPr>
          <w:rFonts w:ascii="Verdana" w:hAnsi="Verdana"/>
          <w:sz w:val="20"/>
        </w:rPr>
        <w:t>l Ministerio de Just</w:t>
      </w:r>
      <w:r>
        <w:rPr>
          <w:rFonts w:ascii="Verdana" w:hAnsi="Verdana"/>
          <w:sz w:val="20"/>
        </w:rPr>
        <w:t>icia y Derechos Humanos realice</w:t>
      </w:r>
      <w:r w:rsidR="00644EBB" w:rsidRPr="00A27FB4">
        <w:rPr>
          <w:rFonts w:ascii="Verdana" w:hAnsi="Verdana"/>
          <w:sz w:val="20"/>
        </w:rPr>
        <w:t xml:space="preserve"> los pagos correspondientes en </w:t>
      </w:r>
      <w:r>
        <w:rPr>
          <w:rFonts w:ascii="Verdana" w:hAnsi="Verdana"/>
          <w:sz w:val="20"/>
        </w:rPr>
        <w:t>el</w:t>
      </w:r>
      <w:r w:rsidR="00644EBB" w:rsidRPr="00A27FB4">
        <w:rPr>
          <w:rFonts w:ascii="Verdana" w:hAnsi="Verdana"/>
          <w:sz w:val="20"/>
        </w:rPr>
        <w:t xml:space="preserve"> plazo determinado por ley</w:t>
      </w:r>
      <w:r w:rsidR="000F7FF6" w:rsidRPr="00A27FB4">
        <w:rPr>
          <w:rFonts w:ascii="Verdana" w:hAnsi="Verdana"/>
          <w:sz w:val="20"/>
        </w:rPr>
        <w:t>. No obstante ello, el Juez Titular indica</w:t>
      </w:r>
      <w:r w:rsidR="00644EBB" w:rsidRPr="00A27FB4">
        <w:rPr>
          <w:rFonts w:ascii="Verdana" w:hAnsi="Verdana"/>
          <w:sz w:val="20"/>
        </w:rPr>
        <w:t xml:space="preserve"> que</w:t>
      </w:r>
      <w:r w:rsidR="000D5510">
        <w:rPr>
          <w:rFonts w:ascii="Verdana" w:hAnsi="Verdana"/>
          <w:sz w:val="20"/>
        </w:rPr>
        <w:t>,</w:t>
      </w:r>
      <w:r w:rsidR="00644EBB" w:rsidRPr="00A27FB4">
        <w:rPr>
          <w:rFonts w:ascii="Verdana" w:hAnsi="Verdana"/>
          <w:sz w:val="20"/>
        </w:rPr>
        <w:t xml:space="preserve"> </w:t>
      </w:r>
      <w:r w:rsidRPr="00A27FB4">
        <w:rPr>
          <w:rFonts w:ascii="Verdana" w:hAnsi="Verdana"/>
          <w:sz w:val="20"/>
        </w:rPr>
        <w:t>“[a]</w:t>
      </w:r>
      <w:proofErr w:type="spellStart"/>
      <w:r w:rsidRPr="00A27FB4">
        <w:rPr>
          <w:rFonts w:ascii="Verdana" w:hAnsi="Verdana"/>
          <w:sz w:val="20"/>
        </w:rPr>
        <w:t>nte</w:t>
      </w:r>
      <w:proofErr w:type="spellEnd"/>
      <w:r w:rsidRPr="00A27FB4">
        <w:rPr>
          <w:rFonts w:ascii="Verdana" w:hAnsi="Verdana"/>
          <w:sz w:val="20"/>
        </w:rPr>
        <w:t xml:space="preserve"> el incumplimiento por parte del [mencionado] Ministerio”</w:t>
      </w:r>
      <w:r>
        <w:rPr>
          <w:rFonts w:ascii="Verdana" w:hAnsi="Verdana"/>
          <w:sz w:val="20"/>
        </w:rPr>
        <w:t xml:space="preserve">, </w:t>
      </w:r>
      <w:r w:rsidR="00644EBB" w:rsidRPr="00A27FB4">
        <w:rPr>
          <w:rFonts w:ascii="Verdana" w:hAnsi="Verdana"/>
          <w:sz w:val="20"/>
        </w:rPr>
        <w:t>entre diciembre de 20</w:t>
      </w:r>
      <w:r w:rsidR="007412CA">
        <w:rPr>
          <w:rFonts w:ascii="Verdana" w:hAnsi="Verdana"/>
          <w:sz w:val="20"/>
        </w:rPr>
        <w:t>14 y junio de 2015 el referido j</w:t>
      </w:r>
      <w:r w:rsidR="00644EBB" w:rsidRPr="00A27FB4">
        <w:rPr>
          <w:rFonts w:ascii="Verdana" w:hAnsi="Verdana"/>
          <w:sz w:val="20"/>
        </w:rPr>
        <w:t>uzgado tuvo que emitir tres resoluciones requiriendo al Procurador Público a cargo de los Asuntos Judiciales de</w:t>
      </w:r>
      <w:r>
        <w:rPr>
          <w:rFonts w:ascii="Verdana" w:hAnsi="Verdana"/>
          <w:sz w:val="20"/>
        </w:rPr>
        <w:t>l</w:t>
      </w:r>
      <w:r w:rsidR="00644EBB" w:rsidRPr="00A27FB4">
        <w:rPr>
          <w:rFonts w:ascii="Verdana" w:hAnsi="Verdana"/>
          <w:sz w:val="20"/>
        </w:rPr>
        <w:t xml:space="preserve"> Ministerio </w:t>
      </w:r>
      <w:r>
        <w:rPr>
          <w:rFonts w:ascii="Verdana" w:hAnsi="Verdana"/>
          <w:sz w:val="20"/>
        </w:rPr>
        <w:t xml:space="preserve">de Justicia y Derechos Humanos, </w:t>
      </w:r>
      <w:r w:rsidR="00644EBB" w:rsidRPr="00A27FB4">
        <w:rPr>
          <w:rFonts w:ascii="Verdana" w:hAnsi="Verdana"/>
          <w:sz w:val="20"/>
        </w:rPr>
        <w:t xml:space="preserve">informar </w:t>
      </w:r>
      <w:r>
        <w:rPr>
          <w:rFonts w:ascii="Verdana" w:hAnsi="Verdana"/>
          <w:sz w:val="20"/>
        </w:rPr>
        <w:t>de qué manera va a cumplir</w:t>
      </w:r>
      <w:r w:rsidR="00644EBB" w:rsidRPr="00A27FB4">
        <w:rPr>
          <w:rFonts w:ascii="Verdana" w:hAnsi="Verdana"/>
          <w:sz w:val="20"/>
        </w:rPr>
        <w:t xml:space="preserve"> con coordinar las medidas necesarias para dar cumplimiento al pago de las montos ordenados en la Sentencia. Asimismo, el Juez Titular señaló que</w:t>
      </w:r>
      <w:r w:rsidR="000D5510">
        <w:rPr>
          <w:rFonts w:ascii="Verdana" w:hAnsi="Verdana"/>
          <w:sz w:val="20"/>
        </w:rPr>
        <w:t>,</w:t>
      </w:r>
      <w:r w:rsidR="00644EBB" w:rsidRPr="00A27FB4">
        <w:rPr>
          <w:rFonts w:ascii="Verdana" w:hAnsi="Verdana"/>
          <w:sz w:val="20"/>
        </w:rPr>
        <w:t xml:space="preserve"> en </w:t>
      </w:r>
      <w:r w:rsidR="00542E76">
        <w:rPr>
          <w:rFonts w:ascii="Verdana" w:hAnsi="Verdana"/>
          <w:sz w:val="20"/>
        </w:rPr>
        <w:t>una</w:t>
      </w:r>
      <w:r w:rsidR="00542E76" w:rsidRPr="00A27FB4">
        <w:rPr>
          <w:rFonts w:ascii="Verdana" w:hAnsi="Verdana"/>
          <w:sz w:val="20"/>
        </w:rPr>
        <w:t xml:space="preserve"> </w:t>
      </w:r>
      <w:r w:rsidR="00644EBB" w:rsidRPr="00A27FB4">
        <w:rPr>
          <w:rFonts w:ascii="Verdana" w:hAnsi="Verdana"/>
          <w:sz w:val="20"/>
        </w:rPr>
        <w:t>resolución de junio de 2015</w:t>
      </w:r>
      <w:r w:rsidR="000D5510">
        <w:rPr>
          <w:rFonts w:ascii="Verdana" w:hAnsi="Verdana"/>
          <w:sz w:val="20"/>
        </w:rPr>
        <w:t>,</w:t>
      </w:r>
      <w:r w:rsidR="00644EBB" w:rsidRPr="00A27FB4">
        <w:rPr>
          <w:rFonts w:ascii="Verdana" w:hAnsi="Verdana"/>
          <w:sz w:val="20"/>
        </w:rPr>
        <w:t xml:space="preserve"> debió indicar al referido Procurador Público que “carecen de sustento”</w:t>
      </w:r>
      <w:r w:rsidR="007C2878">
        <w:rPr>
          <w:rFonts w:ascii="Verdana" w:hAnsi="Verdana"/>
          <w:sz w:val="20"/>
        </w:rPr>
        <w:t xml:space="preserve"> </w:t>
      </w:r>
      <w:r w:rsidR="00644EBB" w:rsidRPr="00A27FB4">
        <w:rPr>
          <w:rFonts w:ascii="Verdana" w:hAnsi="Verdana"/>
          <w:sz w:val="20"/>
        </w:rPr>
        <w:t xml:space="preserve">los argumentos </w:t>
      </w:r>
      <w:r>
        <w:rPr>
          <w:rFonts w:ascii="Verdana" w:hAnsi="Verdana"/>
          <w:sz w:val="20"/>
        </w:rPr>
        <w:t xml:space="preserve">por él </w:t>
      </w:r>
      <w:r w:rsidR="007412CA">
        <w:rPr>
          <w:rFonts w:ascii="Verdana" w:hAnsi="Verdana"/>
          <w:sz w:val="20"/>
        </w:rPr>
        <w:t>presentados ante dicho j</w:t>
      </w:r>
      <w:r w:rsidR="00644EBB" w:rsidRPr="00A27FB4">
        <w:rPr>
          <w:rFonts w:ascii="Verdana" w:hAnsi="Verdana"/>
          <w:sz w:val="20"/>
        </w:rPr>
        <w:t>uzgado, relativos</w:t>
      </w:r>
      <w:r w:rsidR="000D5510">
        <w:rPr>
          <w:rFonts w:ascii="Verdana" w:hAnsi="Verdana"/>
          <w:sz w:val="20"/>
        </w:rPr>
        <w:t xml:space="preserve"> a</w:t>
      </w:r>
      <w:r w:rsidR="00644EBB" w:rsidRPr="00A27FB4">
        <w:rPr>
          <w:rFonts w:ascii="Verdana" w:hAnsi="Verdana"/>
          <w:sz w:val="20"/>
        </w:rPr>
        <w:t xml:space="preserve"> que en la Sentencia no se establec</w:t>
      </w:r>
      <w:r w:rsidR="000D5510">
        <w:rPr>
          <w:rFonts w:ascii="Verdana" w:hAnsi="Verdana"/>
          <w:sz w:val="20"/>
        </w:rPr>
        <w:t>ió</w:t>
      </w:r>
      <w:r w:rsidR="00644EBB" w:rsidRPr="00A27FB4">
        <w:rPr>
          <w:rFonts w:ascii="Verdana" w:hAnsi="Verdana"/>
          <w:sz w:val="20"/>
        </w:rPr>
        <w:t xml:space="preserve"> “de manera individual, cierta y clara la indemnización que le corresponde a cada uno de los beneficiarios” y que</w:t>
      </w:r>
      <w:r>
        <w:rPr>
          <w:rFonts w:ascii="Verdana" w:hAnsi="Verdana"/>
          <w:sz w:val="20"/>
        </w:rPr>
        <w:t>,</w:t>
      </w:r>
      <w:r w:rsidR="00644EBB" w:rsidRPr="00A27FB4">
        <w:rPr>
          <w:rFonts w:ascii="Verdana" w:hAnsi="Verdana"/>
          <w:sz w:val="20"/>
        </w:rPr>
        <w:t xml:space="preserve"> por tanto</w:t>
      </w:r>
      <w:r>
        <w:rPr>
          <w:rFonts w:ascii="Verdana" w:hAnsi="Verdana"/>
          <w:sz w:val="20"/>
        </w:rPr>
        <w:t>,</w:t>
      </w:r>
      <w:r w:rsidR="006852CE">
        <w:rPr>
          <w:rFonts w:ascii="Verdana" w:hAnsi="Verdana"/>
          <w:sz w:val="20"/>
        </w:rPr>
        <w:t xml:space="preserve"> el j</w:t>
      </w:r>
      <w:r w:rsidR="00644EBB" w:rsidRPr="00A27FB4">
        <w:rPr>
          <w:rFonts w:ascii="Verdana" w:hAnsi="Verdana"/>
          <w:sz w:val="20"/>
        </w:rPr>
        <w:t xml:space="preserve">uzgado en cuestión debía proceder a individualizarlos. </w:t>
      </w:r>
      <w:r w:rsidR="00997051" w:rsidRPr="00A27FB4">
        <w:rPr>
          <w:rFonts w:ascii="Verdana" w:hAnsi="Verdana"/>
          <w:sz w:val="20"/>
        </w:rPr>
        <w:t xml:space="preserve">En este sentido, </w:t>
      </w:r>
      <w:r w:rsidR="002467FB" w:rsidRPr="00A27FB4">
        <w:rPr>
          <w:rFonts w:ascii="Verdana" w:hAnsi="Verdana"/>
          <w:sz w:val="20"/>
        </w:rPr>
        <w:t>de lo indicado por el</w:t>
      </w:r>
      <w:r w:rsidR="00997051" w:rsidRPr="00A27FB4">
        <w:rPr>
          <w:rFonts w:ascii="Verdana" w:hAnsi="Verdana"/>
          <w:sz w:val="20"/>
        </w:rPr>
        <w:t xml:space="preserve"> Juez Titular</w:t>
      </w:r>
      <w:r w:rsidR="002467FB" w:rsidRPr="00A27FB4">
        <w:rPr>
          <w:rFonts w:ascii="Verdana" w:hAnsi="Verdana"/>
          <w:sz w:val="20"/>
        </w:rPr>
        <w:t xml:space="preserve"> en su info</w:t>
      </w:r>
      <w:r w:rsidR="00B60061">
        <w:rPr>
          <w:rFonts w:ascii="Verdana" w:hAnsi="Verdana"/>
          <w:sz w:val="20"/>
        </w:rPr>
        <w:t>rme</w:t>
      </w:r>
      <w:r w:rsidR="002467FB" w:rsidRPr="00A27FB4">
        <w:rPr>
          <w:rFonts w:ascii="Verdana" w:hAnsi="Verdana"/>
          <w:sz w:val="20"/>
        </w:rPr>
        <w:t xml:space="preserve"> se desprende </w:t>
      </w:r>
      <w:r w:rsidR="00997051" w:rsidRPr="00A27FB4">
        <w:rPr>
          <w:rFonts w:ascii="Verdana" w:hAnsi="Verdana"/>
          <w:sz w:val="20"/>
        </w:rPr>
        <w:t xml:space="preserve">que </w:t>
      </w:r>
      <w:r w:rsidR="002467FB" w:rsidRPr="00A27FB4">
        <w:rPr>
          <w:rFonts w:ascii="Verdana" w:hAnsi="Verdana"/>
          <w:sz w:val="20"/>
        </w:rPr>
        <w:t>las personas beneficiarias de la</w:t>
      </w:r>
      <w:r w:rsidR="006852CE">
        <w:rPr>
          <w:rFonts w:ascii="Verdana" w:hAnsi="Verdana"/>
          <w:sz w:val="20"/>
        </w:rPr>
        <w:t>s reparaciones deben acudir al j</w:t>
      </w:r>
      <w:r w:rsidR="002467FB" w:rsidRPr="00A27FB4">
        <w:rPr>
          <w:rFonts w:ascii="Verdana" w:hAnsi="Verdana"/>
          <w:sz w:val="20"/>
        </w:rPr>
        <w:t>uzgado únicamente en dos escenarios: i) cuando se debe acreditar que la persona es beneficiaria de la</w:t>
      </w:r>
      <w:r w:rsidR="00542E76">
        <w:rPr>
          <w:rFonts w:ascii="Verdana" w:hAnsi="Verdana"/>
          <w:sz w:val="20"/>
        </w:rPr>
        <w:t xml:space="preserve"> respectiva</w:t>
      </w:r>
      <w:r w:rsidR="002467FB" w:rsidRPr="00A27FB4">
        <w:rPr>
          <w:rFonts w:ascii="Verdana" w:hAnsi="Verdana"/>
          <w:sz w:val="20"/>
        </w:rPr>
        <w:t xml:space="preserve"> indemnización porque “ha sido declarada heredera por [s]</w:t>
      </w:r>
      <w:proofErr w:type="spellStart"/>
      <w:r w:rsidR="002467FB" w:rsidRPr="00A27FB4">
        <w:rPr>
          <w:rFonts w:ascii="Verdana" w:hAnsi="Verdana"/>
          <w:sz w:val="20"/>
        </w:rPr>
        <w:t>ucesión</w:t>
      </w:r>
      <w:proofErr w:type="spellEnd"/>
      <w:r w:rsidR="002467FB" w:rsidRPr="00A27FB4">
        <w:rPr>
          <w:rFonts w:ascii="Verdana" w:hAnsi="Verdana"/>
          <w:sz w:val="20"/>
        </w:rPr>
        <w:t xml:space="preserve"> [i]</w:t>
      </w:r>
      <w:proofErr w:type="spellStart"/>
      <w:r w:rsidR="002467FB" w:rsidRPr="00A27FB4">
        <w:rPr>
          <w:rFonts w:ascii="Verdana" w:hAnsi="Verdana"/>
          <w:sz w:val="20"/>
        </w:rPr>
        <w:t>n</w:t>
      </w:r>
      <w:r w:rsidR="00B60061">
        <w:rPr>
          <w:rFonts w:ascii="Verdana" w:hAnsi="Verdana"/>
          <w:sz w:val="20"/>
        </w:rPr>
        <w:t>testada</w:t>
      </w:r>
      <w:proofErr w:type="spellEnd"/>
      <w:r w:rsidR="00B60061">
        <w:rPr>
          <w:rFonts w:ascii="Verdana" w:hAnsi="Verdana"/>
          <w:sz w:val="20"/>
        </w:rPr>
        <w:t>”</w:t>
      </w:r>
      <w:r w:rsidR="00542E76">
        <w:rPr>
          <w:rFonts w:ascii="Verdana" w:hAnsi="Verdana"/>
          <w:sz w:val="20"/>
        </w:rPr>
        <w:t>,</w:t>
      </w:r>
      <w:r w:rsidR="00F30B2B">
        <w:rPr>
          <w:rFonts w:ascii="Verdana" w:hAnsi="Verdana"/>
          <w:sz w:val="20"/>
        </w:rPr>
        <w:t xml:space="preserve"> </w:t>
      </w:r>
      <w:r w:rsidR="002467FB" w:rsidRPr="00A27FB4">
        <w:rPr>
          <w:rFonts w:ascii="Verdana" w:hAnsi="Verdana"/>
          <w:sz w:val="20"/>
        </w:rPr>
        <w:t>y ii) cuando la persona beneficiaria requiere que una comisión de médicos del Institu</w:t>
      </w:r>
      <w:r w:rsidR="00A27FB4" w:rsidRPr="00A27FB4">
        <w:rPr>
          <w:rFonts w:ascii="Verdana" w:hAnsi="Verdana"/>
          <w:sz w:val="20"/>
        </w:rPr>
        <w:t>t</w:t>
      </w:r>
      <w:r w:rsidR="002467FB" w:rsidRPr="00A27FB4">
        <w:rPr>
          <w:rFonts w:ascii="Verdana" w:hAnsi="Verdana"/>
          <w:sz w:val="20"/>
        </w:rPr>
        <w:t>o de Medicina Legal del Ministerio Público verifique “el grado de incapacidad”</w:t>
      </w:r>
      <w:r>
        <w:rPr>
          <w:rFonts w:ascii="Verdana" w:hAnsi="Verdana"/>
          <w:sz w:val="20"/>
        </w:rPr>
        <w:t>,</w:t>
      </w:r>
      <w:r w:rsidR="00A27FB4">
        <w:rPr>
          <w:rFonts w:ascii="Verdana" w:hAnsi="Verdana"/>
          <w:sz w:val="20"/>
        </w:rPr>
        <w:t xml:space="preserve"> por </w:t>
      </w:r>
      <w:r w:rsidR="006E4F39">
        <w:rPr>
          <w:rFonts w:ascii="Verdana" w:hAnsi="Verdana"/>
          <w:sz w:val="20"/>
        </w:rPr>
        <w:t xml:space="preserve">ser dicha persona una víctima sobreviviente que </w:t>
      </w:r>
      <w:r>
        <w:rPr>
          <w:rFonts w:ascii="Verdana" w:hAnsi="Verdana"/>
          <w:sz w:val="20"/>
        </w:rPr>
        <w:t>tiene derecho a</w:t>
      </w:r>
      <w:r w:rsidR="006E4F39">
        <w:rPr>
          <w:rFonts w:ascii="Verdana" w:hAnsi="Verdana"/>
          <w:sz w:val="20"/>
        </w:rPr>
        <w:t xml:space="preserve"> recibir una </w:t>
      </w:r>
      <w:r w:rsidR="006E4F39" w:rsidRPr="009A366B">
        <w:rPr>
          <w:rFonts w:ascii="Verdana" w:hAnsi="Verdana"/>
          <w:sz w:val="20"/>
        </w:rPr>
        <w:t>indemnizaci</w:t>
      </w:r>
      <w:r w:rsidR="006E4F39">
        <w:rPr>
          <w:rFonts w:ascii="Verdana" w:hAnsi="Verdana"/>
          <w:sz w:val="20"/>
        </w:rPr>
        <w:t xml:space="preserve">ón </w:t>
      </w:r>
      <w:r w:rsidR="006E4F39" w:rsidRPr="009A366B">
        <w:rPr>
          <w:rFonts w:ascii="Verdana" w:hAnsi="Verdana"/>
          <w:sz w:val="20"/>
        </w:rPr>
        <w:t>por daño inmaterial</w:t>
      </w:r>
      <w:r w:rsidR="00B60061">
        <w:rPr>
          <w:rFonts w:ascii="Verdana" w:hAnsi="Verdana"/>
          <w:sz w:val="20"/>
        </w:rPr>
        <w:t xml:space="preserve"> (</w:t>
      </w:r>
      <w:r w:rsidR="00B60061">
        <w:rPr>
          <w:rFonts w:ascii="Verdana" w:hAnsi="Verdana"/>
          <w:i/>
          <w:sz w:val="20"/>
        </w:rPr>
        <w:t xml:space="preserve">supra </w:t>
      </w:r>
      <w:r w:rsidR="00B60061">
        <w:rPr>
          <w:rFonts w:ascii="Verdana" w:hAnsi="Verdana"/>
          <w:sz w:val="20"/>
        </w:rPr>
        <w:t>Considerando 5)</w:t>
      </w:r>
      <w:r w:rsidR="006E4F39">
        <w:rPr>
          <w:rFonts w:ascii="Verdana" w:hAnsi="Verdana"/>
          <w:sz w:val="20"/>
        </w:rPr>
        <w:t xml:space="preserve">. </w:t>
      </w:r>
      <w:r w:rsidR="00691F5D">
        <w:rPr>
          <w:rFonts w:ascii="Verdana" w:hAnsi="Verdana"/>
          <w:sz w:val="20"/>
        </w:rPr>
        <w:t xml:space="preserve">Respecto de las demás personas beneficiarias que no requieran una de las dos referidas determinaciones por parte de las autoridades internas, el Juez Titular señaló que el Estado puede dar cumplimiento </w:t>
      </w:r>
      <w:r w:rsidR="008A0E3D">
        <w:rPr>
          <w:rFonts w:ascii="Verdana" w:hAnsi="Verdana"/>
          <w:sz w:val="20"/>
        </w:rPr>
        <w:t xml:space="preserve">“de manera inmediata y de forma directa” </w:t>
      </w:r>
      <w:r w:rsidR="00691F5D">
        <w:rPr>
          <w:rFonts w:ascii="Verdana" w:hAnsi="Verdana"/>
          <w:sz w:val="20"/>
        </w:rPr>
        <w:t xml:space="preserve">a las indemnizaciones, en los términos establecidos en la Sentencia. </w:t>
      </w:r>
    </w:p>
    <w:p w:rsidR="005A14FC" w:rsidRPr="00416109" w:rsidRDefault="005A14FC" w:rsidP="005A14FC">
      <w:pPr>
        <w:pStyle w:val="Cuadrculamedia1-nfasis2"/>
        <w:ind w:left="0"/>
        <w:contextualSpacing/>
        <w:jc w:val="both"/>
        <w:rPr>
          <w:rFonts w:ascii="Verdana" w:hAnsi="Verdana"/>
          <w:sz w:val="20"/>
        </w:rPr>
      </w:pPr>
    </w:p>
    <w:p w:rsidR="0094069A" w:rsidRPr="00CF5FD9" w:rsidRDefault="00EE6E3D" w:rsidP="00D26CE8">
      <w:pPr>
        <w:pStyle w:val="Cuadrculamedia1-nfasis2"/>
        <w:numPr>
          <w:ilvl w:val="0"/>
          <w:numId w:val="1"/>
        </w:numPr>
        <w:ind w:left="0" w:firstLine="0"/>
        <w:contextualSpacing/>
        <w:jc w:val="both"/>
        <w:rPr>
          <w:rFonts w:ascii="Verdana" w:hAnsi="Verdana"/>
          <w:sz w:val="20"/>
        </w:rPr>
      </w:pPr>
      <w:r>
        <w:rPr>
          <w:rFonts w:ascii="Verdana" w:hAnsi="Verdana"/>
          <w:sz w:val="20"/>
        </w:rPr>
        <w:t xml:space="preserve">El Tribunal valora positivamente </w:t>
      </w:r>
      <w:r w:rsidR="00B14337" w:rsidRPr="00416109">
        <w:rPr>
          <w:rFonts w:ascii="Verdana" w:hAnsi="Verdana"/>
          <w:sz w:val="20"/>
        </w:rPr>
        <w:t xml:space="preserve">la </w:t>
      </w:r>
      <w:r w:rsidR="00B14337" w:rsidRPr="000A00D0">
        <w:rPr>
          <w:rFonts w:ascii="Verdana" w:hAnsi="Verdana"/>
          <w:sz w:val="20"/>
        </w:rPr>
        <w:t xml:space="preserve">información </w:t>
      </w:r>
      <w:r w:rsidR="0084128D" w:rsidRPr="000A00D0">
        <w:rPr>
          <w:rFonts w:ascii="Verdana" w:hAnsi="Verdana"/>
          <w:sz w:val="20"/>
        </w:rPr>
        <w:t xml:space="preserve">detallada y actualizada </w:t>
      </w:r>
      <w:r w:rsidR="00B14337" w:rsidRPr="000A00D0">
        <w:rPr>
          <w:rFonts w:ascii="Verdana" w:hAnsi="Verdana"/>
          <w:sz w:val="20"/>
        </w:rPr>
        <w:t>presentada por el Juez Ti</w:t>
      </w:r>
      <w:r w:rsidRPr="000A00D0">
        <w:rPr>
          <w:rFonts w:ascii="Verdana" w:hAnsi="Verdana"/>
          <w:sz w:val="20"/>
        </w:rPr>
        <w:t xml:space="preserve">tular del </w:t>
      </w:r>
      <w:r w:rsidR="0002684A" w:rsidRPr="000A00D0">
        <w:rPr>
          <w:rFonts w:ascii="Verdana" w:hAnsi="Verdana"/>
          <w:sz w:val="20"/>
        </w:rPr>
        <w:t>Juzgado de Ejecución de</w:t>
      </w:r>
      <w:r w:rsidR="0002684A">
        <w:rPr>
          <w:rFonts w:ascii="Verdana" w:hAnsi="Verdana"/>
          <w:sz w:val="20"/>
        </w:rPr>
        <w:t xml:space="preserve"> Sentencias Supranacionales</w:t>
      </w:r>
      <w:r w:rsidR="000D5510">
        <w:rPr>
          <w:rFonts w:ascii="Verdana" w:hAnsi="Verdana"/>
          <w:sz w:val="20"/>
        </w:rPr>
        <w:t xml:space="preserve"> y </w:t>
      </w:r>
      <w:r w:rsidR="00B14337" w:rsidRPr="00416109">
        <w:rPr>
          <w:rFonts w:ascii="Verdana" w:hAnsi="Verdana"/>
          <w:sz w:val="20"/>
        </w:rPr>
        <w:t xml:space="preserve">considera que el argumento reiterado por el Estado </w:t>
      </w:r>
      <w:r w:rsidR="00416109">
        <w:rPr>
          <w:rFonts w:ascii="Verdana" w:hAnsi="Verdana"/>
          <w:sz w:val="20"/>
        </w:rPr>
        <w:t xml:space="preserve">a lo largo de la presente etapa de supervisión, </w:t>
      </w:r>
      <w:r w:rsidR="00591BD3" w:rsidRPr="00416109">
        <w:rPr>
          <w:rFonts w:ascii="Verdana" w:hAnsi="Verdana"/>
          <w:sz w:val="20"/>
        </w:rPr>
        <w:t>referente</w:t>
      </w:r>
      <w:r w:rsidR="00B14337" w:rsidRPr="00416109">
        <w:rPr>
          <w:rFonts w:ascii="Verdana" w:hAnsi="Verdana"/>
          <w:sz w:val="20"/>
        </w:rPr>
        <w:t xml:space="preserve"> a que no se ha dado cumplimiento a las </w:t>
      </w:r>
      <w:r w:rsidR="00AA5E13">
        <w:rPr>
          <w:rFonts w:ascii="Verdana" w:hAnsi="Verdana"/>
          <w:sz w:val="20"/>
        </w:rPr>
        <w:t xml:space="preserve">referidas </w:t>
      </w:r>
      <w:r w:rsidR="00B14337" w:rsidRPr="00416109">
        <w:rPr>
          <w:rFonts w:ascii="Verdana" w:hAnsi="Verdana"/>
          <w:sz w:val="20"/>
        </w:rPr>
        <w:t>reparaciones porque los procesos de pago se han “judicializado en sede interna”</w:t>
      </w:r>
      <w:r w:rsidR="000D5510">
        <w:rPr>
          <w:rFonts w:ascii="Verdana" w:hAnsi="Verdana"/>
          <w:sz w:val="20"/>
        </w:rPr>
        <w:t>,</w:t>
      </w:r>
      <w:r w:rsidR="00B14337" w:rsidRPr="00416109">
        <w:rPr>
          <w:rFonts w:ascii="Verdana" w:hAnsi="Verdana"/>
          <w:sz w:val="20"/>
        </w:rPr>
        <w:t xml:space="preserve"> no tiene fundamento.</w:t>
      </w:r>
      <w:r w:rsidR="00542E76">
        <w:rPr>
          <w:rFonts w:ascii="Verdana" w:hAnsi="Verdana"/>
          <w:sz w:val="20"/>
        </w:rPr>
        <w:t xml:space="preserve"> </w:t>
      </w:r>
      <w:r w:rsidR="0084128D">
        <w:rPr>
          <w:rFonts w:ascii="Verdana" w:hAnsi="Verdana"/>
          <w:sz w:val="20"/>
        </w:rPr>
        <w:t>L</w:t>
      </w:r>
      <w:r w:rsidR="00542E76">
        <w:rPr>
          <w:rFonts w:ascii="Verdana" w:hAnsi="Verdana"/>
          <w:sz w:val="20"/>
        </w:rPr>
        <w:t>as autoridades estatales encargadas</w:t>
      </w:r>
      <w:r w:rsidR="004A50B5" w:rsidRPr="00437764">
        <w:rPr>
          <w:rFonts w:ascii="Verdana" w:hAnsi="Verdana"/>
          <w:sz w:val="20"/>
        </w:rPr>
        <w:t xml:space="preserve"> incluso </w:t>
      </w:r>
      <w:r w:rsidR="00542E76">
        <w:rPr>
          <w:rFonts w:ascii="Verdana" w:hAnsi="Verdana"/>
          <w:sz w:val="20"/>
        </w:rPr>
        <w:t>h</w:t>
      </w:r>
      <w:r w:rsidR="004A50B5" w:rsidRPr="00437764">
        <w:rPr>
          <w:rFonts w:ascii="Verdana" w:hAnsi="Verdana"/>
          <w:sz w:val="20"/>
        </w:rPr>
        <w:t>a</w:t>
      </w:r>
      <w:r w:rsidR="00542E76">
        <w:rPr>
          <w:rFonts w:ascii="Verdana" w:hAnsi="Verdana"/>
          <w:sz w:val="20"/>
        </w:rPr>
        <w:t>n</w:t>
      </w:r>
      <w:r w:rsidR="004A50B5" w:rsidRPr="00437764">
        <w:rPr>
          <w:rFonts w:ascii="Verdana" w:hAnsi="Verdana"/>
          <w:sz w:val="20"/>
        </w:rPr>
        <w:t xml:space="preserve"> cuestiona</w:t>
      </w:r>
      <w:r w:rsidR="00542E76">
        <w:rPr>
          <w:rFonts w:ascii="Verdana" w:hAnsi="Verdana"/>
          <w:sz w:val="20"/>
        </w:rPr>
        <w:t>do lo ordenado en la Sentencia</w:t>
      </w:r>
      <w:r w:rsidR="004A50B5" w:rsidRPr="00437764">
        <w:rPr>
          <w:rFonts w:ascii="Verdana" w:hAnsi="Verdana"/>
          <w:sz w:val="20"/>
        </w:rPr>
        <w:t xml:space="preserve"> en instancias judiciales internas (</w:t>
      </w:r>
      <w:r w:rsidR="004A50B5" w:rsidRPr="00437764">
        <w:rPr>
          <w:rFonts w:ascii="Verdana" w:hAnsi="Verdana"/>
          <w:i/>
          <w:sz w:val="20"/>
        </w:rPr>
        <w:t xml:space="preserve">supra </w:t>
      </w:r>
      <w:r w:rsidR="0084128D" w:rsidRPr="00437764">
        <w:rPr>
          <w:rFonts w:ascii="Verdana" w:hAnsi="Verdana"/>
          <w:sz w:val="20"/>
        </w:rPr>
        <w:t>Considerando 13</w:t>
      </w:r>
      <w:r w:rsidR="0084128D">
        <w:rPr>
          <w:rFonts w:ascii="Verdana" w:hAnsi="Verdana"/>
          <w:sz w:val="20"/>
        </w:rPr>
        <w:t>.</w:t>
      </w:r>
      <w:r w:rsidR="004A50B5" w:rsidRPr="00437764">
        <w:rPr>
          <w:rFonts w:ascii="Verdana" w:hAnsi="Verdana"/>
          <w:sz w:val="20"/>
        </w:rPr>
        <w:t>p.ii</w:t>
      </w:r>
      <w:r w:rsidR="00A93094" w:rsidRPr="00437764">
        <w:rPr>
          <w:rFonts w:ascii="Verdana" w:hAnsi="Verdana"/>
          <w:sz w:val="20"/>
        </w:rPr>
        <w:t>,</w:t>
      </w:r>
      <w:r w:rsidR="004A50B5" w:rsidRPr="00437764">
        <w:rPr>
          <w:rFonts w:ascii="Verdana" w:hAnsi="Verdana"/>
          <w:i/>
          <w:sz w:val="20"/>
        </w:rPr>
        <w:t>)</w:t>
      </w:r>
      <w:r w:rsidR="00287460" w:rsidRPr="00437764">
        <w:rPr>
          <w:rFonts w:ascii="Verdana" w:hAnsi="Verdana"/>
          <w:sz w:val="20"/>
        </w:rPr>
        <w:t xml:space="preserve"> </w:t>
      </w:r>
      <w:r w:rsidR="00381372">
        <w:rPr>
          <w:rFonts w:ascii="Verdana" w:hAnsi="Verdana"/>
          <w:sz w:val="20"/>
        </w:rPr>
        <w:t>y</w:t>
      </w:r>
      <w:r w:rsidR="00287460" w:rsidRPr="00437764">
        <w:rPr>
          <w:rFonts w:ascii="Verdana" w:hAnsi="Verdana"/>
          <w:sz w:val="20"/>
        </w:rPr>
        <w:t xml:space="preserve"> tampoco </w:t>
      </w:r>
      <w:r w:rsidR="0084128D">
        <w:rPr>
          <w:rFonts w:ascii="Verdana" w:hAnsi="Verdana"/>
          <w:sz w:val="20"/>
        </w:rPr>
        <w:t xml:space="preserve">han </w:t>
      </w:r>
      <w:r w:rsidR="00287460" w:rsidRPr="00437764">
        <w:rPr>
          <w:rFonts w:ascii="Verdana" w:hAnsi="Verdana"/>
          <w:sz w:val="20"/>
        </w:rPr>
        <w:t>ejecuta</w:t>
      </w:r>
      <w:r w:rsidR="0084128D">
        <w:rPr>
          <w:rFonts w:ascii="Verdana" w:hAnsi="Verdana"/>
          <w:sz w:val="20"/>
        </w:rPr>
        <w:t xml:space="preserve">do </w:t>
      </w:r>
      <w:r w:rsidR="00287460" w:rsidRPr="00437764">
        <w:rPr>
          <w:rFonts w:ascii="Verdana" w:hAnsi="Verdana"/>
          <w:sz w:val="20"/>
        </w:rPr>
        <w:t xml:space="preserve">los </w:t>
      </w:r>
      <w:r w:rsidR="00B14337" w:rsidRPr="00437764">
        <w:rPr>
          <w:rFonts w:ascii="Verdana" w:hAnsi="Verdana"/>
          <w:sz w:val="20"/>
        </w:rPr>
        <w:t>requerimientos de</w:t>
      </w:r>
      <w:r w:rsidR="00F92AC5" w:rsidRPr="00437764">
        <w:rPr>
          <w:rFonts w:ascii="Verdana" w:hAnsi="Verdana"/>
          <w:sz w:val="20"/>
        </w:rPr>
        <w:t xml:space="preserve"> decisiones judiciales internas</w:t>
      </w:r>
      <w:r w:rsidR="00AA5E13">
        <w:rPr>
          <w:rFonts w:ascii="Verdana" w:hAnsi="Verdana"/>
          <w:sz w:val="20"/>
        </w:rPr>
        <w:t xml:space="preserve"> para cumplir las reparaciones</w:t>
      </w:r>
      <w:r w:rsidR="00F92AC5" w:rsidRPr="00437764">
        <w:rPr>
          <w:rFonts w:ascii="Verdana" w:hAnsi="Verdana"/>
          <w:sz w:val="20"/>
        </w:rPr>
        <w:t xml:space="preserve"> </w:t>
      </w:r>
      <w:r w:rsidR="0084128D">
        <w:rPr>
          <w:rFonts w:ascii="Verdana" w:hAnsi="Verdana"/>
          <w:sz w:val="20"/>
        </w:rPr>
        <w:t>(</w:t>
      </w:r>
      <w:r w:rsidR="0084128D">
        <w:rPr>
          <w:rFonts w:ascii="Verdana" w:hAnsi="Verdana"/>
          <w:i/>
          <w:sz w:val="20"/>
        </w:rPr>
        <w:t xml:space="preserve">supra </w:t>
      </w:r>
      <w:r w:rsidR="0084128D">
        <w:rPr>
          <w:rFonts w:ascii="Verdana" w:hAnsi="Verdana"/>
          <w:sz w:val="20"/>
        </w:rPr>
        <w:t xml:space="preserve">Considerando 13.h, l, m y p) </w:t>
      </w:r>
      <w:r w:rsidR="00F92AC5" w:rsidRPr="00437764">
        <w:rPr>
          <w:rFonts w:ascii="Verdana" w:hAnsi="Verdana"/>
          <w:sz w:val="20"/>
        </w:rPr>
        <w:t>o</w:t>
      </w:r>
      <w:r w:rsidR="0084128D">
        <w:rPr>
          <w:rFonts w:ascii="Verdana" w:hAnsi="Verdana"/>
          <w:sz w:val="20"/>
        </w:rPr>
        <w:t>,</w:t>
      </w:r>
      <w:r w:rsidR="00F92AC5" w:rsidRPr="00437764">
        <w:rPr>
          <w:rFonts w:ascii="Verdana" w:hAnsi="Verdana"/>
          <w:sz w:val="20"/>
        </w:rPr>
        <w:t xml:space="preserve"> bien, algunas instituciones </w:t>
      </w:r>
      <w:r w:rsidR="00D42FA8">
        <w:rPr>
          <w:rFonts w:ascii="Verdana" w:hAnsi="Verdana"/>
          <w:sz w:val="20"/>
        </w:rPr>
        <w:t xml:space="preserve">han actuado de forma tal que </w:t>
      </w:r>
      <w:r w:rsidR="00F92AC5" w:rsidRPr="00437764">
        <w:rPr>
          <w:rFonts w:ascii="Verdana" w:hAnsi="Verdana"/>
          <w:sz w:val="20"/>
        </w:rPr>
        <w:t xml:space="preserve">obstaculizan el procedimiento para la </w:t>
      </w:r>
      <w:r w:rsidR="00D42FA8">
        <w:rPr>
          <w:rFonts w:ascii="Verdana" w:hAnsi="Verdana"/>
          <w:sz w:val="20"/>
        </w:rPr>
        <w:t>determinación de la categoría de incapacidad de las víctimas</w:t>
      </w:r>
      <w:r w:rsidR="00BA5D48" w:rsidRPr="00437764">
        <w:rPr>
          <w:rFonts w:ascii="Verdana" w:hAnsi="Verdana"/>
          <w:sz w:val="20"/>
        </w:rPr>
        <w:t xml:space="preserve"> (</w:t>
      </w:r>
      <w:r w:rsidR="00BA5D48" w:rsidRPr="00437764">
        <w:rPr>
          <w:rFonts w:ascii="Verdana" w:hAnsi="Verdana"/>
          <w:i/>
          <w:sz w:val="20"/>
        </w:rPr>
        <w:t xml:space="preserve">supra </w:t>
      </w:r>
      <w:r w:rsidR="00BA5D48" w:rsidRPr="00437764">
        <w:rPr>
          <w:rFonts w:ascii="Verdana" w:hAnsi="Verdana"/>
          <w:sz w:val="20"/>
        </w:rPr>
        <w:t>Considerando 13</w:t>
      </w:r>
      <w:r w:rsidR="0084128D">
        <w:rPr>
          <w:rFonts w:ascii="Verdana" w:hAnsi="Verdana"/>
          <w:sz w:val="20"/>
        </w:rPr>
        <w:t>.k, n y q</w:t>
      </w:r>
      <w:r w:rsidR="00BA5D48" w:rsidRPr="0084128D">
        <w:rPr>
          <w:rFonts w:ascii="Verdana" w:hAnsi="Verdana"/>
          <w:sz w:val="20"/>
        </w:rPr>
        <w:t>)</w:t>
      </w:r>
      <w:r w:rsidR="00F92AC5" w:rsidRPr="00437764">
        <w:rPr>
          <w:rFonts w:ascii="Verdana" w:hAnsi="Verdana"/>
          <w:sz w:val="20"/>
        </w:rPr>
        <w:t>.</w:t>
      </w:r>
      <w:r w:rsidR="00287460" w:rsidRPr="00437764">
        <w:rPr>
          <w:rFonts w:ascii="Verdana" w:hAnsi="Verdana"/>
          <w:sz w:val="20"/>
        </w:rPr>
        <w:t xml:space="preserve"> </w:t>
      </w:r>
      <w:r w:rsidR="00D42FA8">
        <w:rPr>
          <w:rFonts w:ascii="Verdana" w:hAnsi="Verdana"/>
          <w:sz w:val="20"/>
        </w:rPr>
        <w:t>En relación con</w:t>
      </w:r>
      <w:r w:rsidR="001B3607">
        <w:rPr>
          <w:rFonts w:ascii="Verdana" w:hAnsi="Verdana"/>
          <w:sz w:val="20"/>
        </w:rPr>
        <w:t xml:space="preserve"> este último punto</w:t>
      </w:r>
      <w:r w:rsidR="00D42FA8">
        <w:rPr>
          <w:rFonts w:ascii="Verdana" w:hAnsi="Verdana"/>
          <w:sz w:val="20"/>
        </w:rPr>
        <w:t>,</w:t>
      </w:r>
      <w:r w:rsidR="00D42FA8" w:rsidRPr="00D42FA8">
        <w:rPr>
          <w:rFonts w:ascii="Verdana" w:hAnsi="Verdana"/>
          <w:sz w:val="20"/>
        </w:rPr>
        <w:t xml:space="preserve"> </w:t>
      </w:r>
      <w:r w:rsidR="001B3607">
        <w:rPr>
          <w:rFonts w:ascii="Verdana" w:hAnsi="Verdana"/>
          <w:sz w:val="20"/>
        </w:rPr>
        <w:t>la Corte considera también grave que</w:t>
      </w:r>
      <w:r w:rsidR="000D5510">
        <w:rPr>
          <w:rFonts w:ascii="Verdana" w:hAnsi="Verdana"/>
          <w:sz w:val="20"/>
        </w:rPr>
        <w:t>,</w:t>
      </w:r>
      <w:r w:rsidR="001B3607">
        <w:rPr>
          <w:rFonts w:ascii="Verdana" w:hAnsi="Verdana"/>
          <w:sz w:val="20"/>
        </w:rPr>
        <w:t xml:space="preserve"> a más de diez años de emitida la Sentencia, </w:t>
      </w:r>
      <w:r w:rsidR="00D42FA8">
        <w:rPr>
          <w:rFonts w:ascii="Verdana" w:hAnsi="Verdana"/>
          <w:sz w:val="20"/>
        </w:rPr>
        <w:t>pareciera que no se ha resuelto ninguna solicitud de determinación de categoría de incapacidad presentadas por las víctimas sobrevivientes con lesiones o incapacidades físicas o psíquicas</w:t>
      </w:r>
      <w:r w:rsidR="001B3607">
        <w:rPr>
          <w:rFonts w:ascii="Verdana" w:hAnsi="Verdana"/>
          <w:sz w:val="20"/>
        </w:rPr>
        <w:t>,</w:t>
      </w:r>
      <w:r w:rsidR="00D42FA8">
        <w:rPr>
          <w:rFonts w:ascii="Verdana" w:hAnsi="Verdana"/>
          <w:sz w:val="20"/>
        </w:rPr>
        <w:t xml:space="preserve"> en tanto la información presentada</w:t>
      </w:r>
      <w:r w:rsidR="001B3607">
        <w:rPr>
          <w:rFonts w:ascii="Verdana" w:hAnsi="Verdana"/>
          <w:sz w:val="20"/>
        </w:rPr>
        <w:t xml:space="preserve"> </w:t>
      </w:r>
      <w:r w:rsidR="00D42FA8">
        <w:rPr>
          <w:rFonts w:ascii="Verdana" w:hAnsi="Verdana"/>
          <w:sz w:val="20"/>
        </w:rPr>
        <w:t>no contiene</w:t>
      </w:r>
      <w:r w:rsidR="00995731">
        <w:rPr>
          <w:rFonts w:ascii="Verdana" w:hAnsi="Verdana"/>
          <w:sz w:val="20"/>
        </w:rPr>
        <w:t xml:space="preserve"> elementos </w:t>
      </w:r>
      <w:r w:rsidR="00D42FA8">
        <w:rPr>
          <w:rFonts w:ascii="Verdana" w:hAnsi="Verdana"/>
          <w:sz w:val="20"/>
        </w:rPr>
        <w:t>que permitan</w:t>
      </w:r>
      <w:r w:rsidR="00995731">
        <w:rPr>
          <w:rFonts w:ascii="Verdana" w:hAnsi="Verdana"/>
          <w:sz w:val="20"/>
        </w:rPr>
        <w:t xml:space="preserve"> saber si </w:t>
      </w:r>
      <w:r w:rsidR="001B3607">
        <w:rPr>
          <w:rFonts w:ascii="Verdana" w:hAnsi="Verdana"/>
          <w:sz w:val="20"/>
        </w:rPr>
        <w:t xml:space="preserve">dichas víctimas </w:t>
      </w:r>
      <w:r w:rsidR="00995731">
        <w:rPr>
          <w:rFonts w:ascii="Verdana" w:hAnsi="Verdana"/>
          <w:sz w:val="20"/>
        </w:rPr>
        <w:t>están teniendo</w:t>
      </w:r>
      <w:r w:rsidR="001B3607">
        <w:rPr>
          <w:rFonts w:ascii="Verdana" w:hAnsi="Verdana"/>
          <w:sz w:val="20"/>
        </w:rPr>
        <w:t xml:space="preserve"> acceso al efecto reparador de la indemnización ordenada por esta Corte.</w:t>
      </w:r>
      <w:r w:rsidR="00D42FA8" w:rsidRPr="00437764">
        <w:rPr>
          <w:rFonts w:ascii="Verdana" w:hAnsi="Verdana"/>
          <w:sz w:val="20"/>
        </w:rPr>
        <w:t xml:space="preserve"> </w:t>
      </w:r>
      <w:r w:rsidR="008035F3" w:rsidRPr="00437764">
        <w:rPr>
          <w:rFonts w:ascii="Verdana" w:hAnsi="Verdana"/>
          <w:sz w:val="20"/>
        </w:rPr>
        <w:t>De esta manera el Perú</w:t>
      </w:r>
      <w:r w:rsidR="00FF7AB2" w:rsidRPr="00437764">
        <w:rPr>
          <w:rFonts w:ascii="Verdana" w:hAnsi="Verdana"/>
          <w:sz w:val="20"/>
        </w:rPr>
        <w:t xml:space="preserve"> </w:t>
      </w:r>
      <w:r w:rsidR="00591BD3" w:rsidRPr="00437764">
        <w:rPr>
          <w:rFonts w:ascii="Verdana" w:hAnsi="Verdana"/>
          <w:sz w:val="20"/>
        </w:rPr>
        <w:t>evidencia</w:t>
      </w:r>
      <w:r w:rsidR="000D5510">
        <w:rPr>
          <w:rFonts w:ascii="Verdana" w:hAnsi="Verdana"/>
          <w:sz w:val="20"/>
        </w:rPr>
        <w:t>,</w:t>
      </w:r>
      <w:r w:rsidR="00FF7AB2" w:rsidRPr="00437764">
        <w:rPr>
          <w:rFonts w:ascii="Verdana" w:hAnsi="Verdana"/>
          <w:sz w:val="20"/>
        </w:rPr>
        <w:t xml:space="preserve"> </w:t>
      </w:r>
      <w:r w:rsidR="00983E43">
        <w:rPr>
          <w:rFonts w:ascii="Verdana" w:hAnsi="Verdana"/>
          <w:sz w:val="20"/>
        </w:rPr>
        <w:t xml:space="preserve">a lo largo de esta etapa de supervisión de cumplimiento, </w:t>
      </w:r>
      <w:r w:rsidR="00FF7AB2" w:rsidRPr="00437764">
        <w:rPr>
          <w:rFonts w:ascii="Verdana" w:hAnsi="Verdana"/>
          <w:sz w:val="20"/>
        </w:rPr>
        <w:t xml:space="preserve">una </w:t>
      </w:r>
      <w:r w:rsidR="003F2ADB" w:rsidRPr="00437764">
        <w:rPr>
          <w:rFonts w:ascii="Verdana" w:hAnsi="Verdana"/>
          <w:sz w:val="20"/>
        </w:rPr>
        <w:t xml:space="preserve">reiterada </w:t>
      </w:r>
      <w:r w:rsidR="00FF7AB2" w:rsidRPr="00437764">
        <w:rPr>
          <w:rFonts w:ascii="Verdana" w:hAnsi="Verdana"/>
          <w:sz w:val="20"/>
        </w:rPr>
        <w:t>falta de debida diligencia en reparar a las víctimas</w:t>
      </w:r>
      <w:r w:rsidR="00591BD3" w:rsidRPr="00437764">
        <w:rPr>
          <w:rFonts w:ascii="Verdana" w:hAnsi="Verdana"/>
          <w:sz w:val="20"/>
        </w:rPr>
        <w:t xml:space="preserve"> </w:t>
      </w:r>
      <w:r w:rsidR="007C13AE">
        <w:rPr>
          <w:rFonts w:ascii="Verdana" w:hAnsi="Verdana"/>
          <w:sz w:val="20"/>
        </w:rPr>
        <w:t>por</w:t>
      </w:r>
      <w:r w:rsidR="007C13AE" w:rsidRPr="00437764">
        <w:rPr>
          <w:rFonts w:ascii="Verdana" w:hAnsi="Verdana"/>
          <w:sz w:val="20"/>
        </w:rPr>
        <w:t xml:space="preserve"> </w:t>
      </w:r>
      <w:r w:rsidR="00591BD3" w:rsidRPr="00437764">
        <w:rPr>
          <w:rFonts w:ascii="Verdana" w:hAnsi="Verdana"/>
          <w:sz w:val="20"/>
        </w:rPr>
        <w:t>no tomar</w:t>
      </w:r>
      <w:r w:rsidR="00FF7AB2" w:rsidRPr="00437764">
        <w:rPr>
          <w:rFonts w:ascii="Verdana" w:hAnsi="Verdana"/>
          <w:sz w:val="20"/>
        </w:rPr>
        <w:t xml:space="preserve"> </w:t>
      </w:r>
      <w:r w:rsidR="00591BD3" w:rsidRPr="00437764">
        <w:rPr>
          <w:rFonts w:ascii="Verdana" w:hAnsi="Verdana"/>
          <w:sz w:val="20"/>
        </w:rPr>
        <w:t>acciones y medidas que</w:t>
      </w:r>
      <w:r w:rsidR="00591BD3" w:rsidRPr="00CF5FD9">
        <w:rPr>
          <w:rFonts w:ascii="Verdana" w:hAnsi="Verdana"/>
          <w:sz w:val="20"/>
        </w:rPr>
        <w:t xml:space="preserve"> permitan </w:t>
      </w:r>
      <w:r w:rsidR="004A50B5" w:rsidRPr="00CF5FD9">
        <w:rPr>
          <w:rFonts w:ascii="Verdana" w:hAnsi="Verdana"/>
          <w:sz w:val="20"/>
        </w:rPr>
        <w:t>dar cumplimiento a</w:t>
      </w:r>
      <w:r w:rsidR="00AA5E13">
        <w:rPr>
          <w:rFonts w:ascii="Verdana" w:hAnsi="Verdana"/>
          <w:sz w:val="20"/>
        </w:rPr>
        <w:t xml:space="preserve"> las </w:t>
      </w:r>
      <w:r w:rsidR="00D42FA8">
        <w:rPr>
          <w:rFonts w:ascii="Verdana" w:hAnsi="Verdana"/>
          <w:sz w:val="20"/>
        </w:rPr>
        <w:t>reparaciones</w:t>
      </w:r>
      <w:r w:rsidR="00AA5E13">
        <w:rPr>
          <w:rFonts w:ascii="Verdana" w:hAnsi="Verdana"/>
          <w:sz w:val="20"/>
        </w:rPr>
        <w:t xml:space="preserve"> relativas </w:t>
      </w:r>
      <w:r w:rsidR="00AA5E13" w:rsidRPr="00416109">
        <w:rPr>
          <w:rFonts w:ascii="Verdana" w:hAnsi="Verdana"/>
          <w:sz w:val="20"/>
        </w:rPr>
        <w:t>al pago de las indemnizaciones por daño material e inmaterial y del monto relativo a atención médica y psicológica para las víctimas qu</w:t>
      </w:r>
      <w:r w:rsidR="00CE2840">
        <w:rPr>
          <w:rFonts w:ascii="Verdana" w:hAnsi="Verdana"/>
          <w:sz w:val="20"/>
        </w:rPr>
        <w:t xml:space="preserve">e residan en el exterior. </w:t>
      </w:r>
      <w:r w:rsidR="00983E43">
        <w:rPr>
          <w:rFonts w:ascii="Verdana" w:hAnsi="Verdana"/>
          <w:sz w:val="20"/>
        </w:rPr>
        <w:t xml:space="preserve">En este sentido, las víctimas que han acudido al </w:t>
      </w:r>
      <w:r w:rsidR="0002684A">
        <w:rPr>
          <w:rFonts w:ascii="Verdana" w:hAnsi="Verdana"/>
          <w:sz w:val="20"/>
        </w:rPr>
        <w:t>Juzgado de Ejecución de Sentencias Supranacionales</w:t>
      </w:r>
      <w:r w:rsidR="00983E43">
        <w:rPr>
          <w:rFonts w:ascii="Verdana" w:hAnsi="Verdana"/>
          <w:sz w:val="20"/>
        </w:rPr>
        <w:t xml:space="preserve"> han debido atravesar un proceso judicial que ha </w:t>
      </w:r>
      <w:r w:rsidR="00983E43">
        <w:rPr>
          <w:rFonts w:ascii="Verdana" w:hAnsi="Verdana"/>
          <w:sz w:val="20"/>
        </w:rPr>
        <w:lastRenderedPageBreak/>
        <w:t xml:space="preserve">demorado excesivamente por la renuencia de las autoridades estatales competentes de dar cumplimiento a </w:t>
      </w:r>
      <w:r w:rsidR="008707D3">
        <w:rPr>
          <w:rFonts w:ascii="Verdana" w:hAnsi="Verdana"/>
          <w:sz w:val="20"/>
        </w:rPr>
        <w:t>lo ordenado en dicha instancia judicial, mientras que las víctimas que no requier</w:t>
      </w:r>
      <w:r w:rsidR="007412CA">
        <w:rPr>
          <w:rFonts w:ascii="Verdana" w:hAnsi="Verdana"/>
          <w:sz w:val="20"/>
        </w:rPr>
        <w:t>en de la intervención de dicho j</w:t>
      </w:r>
      <w:r w:rsidR="008707D3">
        <w:rPr>
          <w:rFonts w:ascii="Verdana" w:hAnsi="Verdana"/>
          <w:sz w:val="20"/>
        </w:rPr>
        <w:t xml:space="preserve">uzgado tampoco han podido recibir la indemnización respectiva por </w:t>
      </w:r>
      <w:r w:rsidR="00BA7ACF">
        <w:rPr>
          <w:rFonts w:ascii="Verdana" w:hAnsi="Verdana"/>
          <w:sz w:val="20"/>
        </w:rPr>
        <w:t>la insistencia</w:t>
      </w:r>
      <w:r w:rsidR="008707D3">
        <w:rPr>
          <w:rFonts w:ascii="Verdana" w:hAnsi="Verdana"/>
          <w:sz w:val="20"/>
        </w:rPr>
        <w:t xml:space="preserve"> del Estado de que deben acudir a instancias judiciales</w:t>
      </w:r>
      <w:r w:rsidR="00BA7ACF">
        <w:rPr>
          <w:rFonts w:ascii="Verdana" w:hAnsi="Verdana"/>
          <w:sz w:val="20"/>
        </w:rPr>
        <w:t xml:space="preserve"> internas</w:t>
      </w:r>
      <w:r w:rsidR="008707D3">
        <w:rPr>
          <w:rFonts w:ascii="Verdana" w:hAnsi="Verdana"/>
          <w:sz w:val="20"/>
        </w:rPr>
        <w:t>, a pesa</w:t>
      </w:r>
      <w:r w:rsidR="00BA7ACF">
        <w:rPr>
          <w:rFonts w:ascii="Verdana" w:hAnsi="Verdana"/>
          <w:sz w:val="20"/>
        </w:rPr>
        <w:t>r de lo determinado por la Corte en su Sentencia y reiterado en sus Resoluciones (</w:t>
      </w:r>
      <w:r w:rsidR="00BA7ACF">
        <w:rPr>
          <w:rFonts w:ascii="Verdana" w:hAnsi="Verdana"/>
          <w:i/>
          <w:sz w:val="20"/>
        </w:rPr>
        <w:t xml:space="preserve">supra </w:t>
      </w:r>
      <w:r w:rsidR="00BA7ACF">
        <w:rPr>
          <w:rFonts w:ascii="Verdana" w:hAnsi="Verdana"/>
          <w:sz w:val="20"/>
        </w:rPr>
        <w:t>Considerando</w:t>
      </w:r>
      <w:r w:rsidR="00261D26">
        <w:rPr>
          <w:rFonts w:ascii="Verdana" w:hAnsi="Verdana"/>
          <w:sz w:val="20"/>
        </w:rPr>
        <w:t>s</w:t>
      </w:r>
      <w:r w:rsidR="00BA7ACF">
        <w:rPr>
          <w:rFonts w:ascii="Verdana" w:hAnsi="Verdana"/>
          <w:sz w:val="20"/>
        </w:rPr>
        <w:t xml:space="preserve"> </w:t>
      </w:r>
      <w:r w:rsidR="00261D26">
        <w:rPr>
          <w:rFonts w:ascii="Verdana" w:hAnsi="Verdana"/>
          <w:sz w:val="20"/>
        </w:rPr>
        <w:t xml:space="preserve">6 y </w:t>
      </w:r>
      <w:r w:rsidR="00BA7ACF">
        <w:rPr>
          <w:rFonts w:ascii="Verdana" w:hAnsi="Verdana"/>
          <w:sz w:val="20"/>
        </w:rPr>
        <w:t>7)</w:t>
      </w:r>
      <w:r w:rsidR="008707D3">
        <w:rPr>
          <w:rFonts w:ascii="Verdana" w:hAnsi="Verdana"/>
          <w:sz w:val="20"/>
        </w:rPr>
        <w:t>.</w:t>
      </w:r>
      <w:r w:rsidR="00983E43">
        <w:rPr>
          <w:rFonts w:ascii="Verdana" w:hAnsi="Verdana"/>
          <w:sz w:val="20"/>
        </w:rPr>
        <w:t xml:space="preserve"> </w:t>
      </w:r>
    </w:p>
    <w:p w:rsidR="0094069A" w:rsidRDefault="0094069A" w:rsidP="0094069A">
      <w:pPr>
        <w:pStyle w:val="Cuadrculamedia1-nfasis2"/>
        <w:ind w:left="0"/>
        <w:contextualSpacing/>
        <w:jc w:val="both"/>
        <w:rPr>
          <w:rFonts w:ascii="Verdana" w:hAnsi="Verdana"/>
          <w:sz w:val="20"/>
        </w:rPr>
      </w:pPr>
    </w:p>
    <w:p w:rsidR="00BC14F8" w:rsidRPr="000A00D0" w:rsidRDefault="00BC14F8" w:rsidP="003E26A7">
      <w:pPr>
        <w:pStyle w:val="Listamedia2-nfasis4"/>
        <w:numPr>
          <w:ilvl w:val="0"/>
          <w:numId w:val="1"/>
        </w:numPr>
        <w:tabs>
          <w:tab w:val="left" w:pos="567"/>
        </w:tabs>
        <w:ind w:left="0" w:firstLine="0"/>
        <w:jc w:val="both"/>
        <w:rPr>
          <w:rFonts w:ascii="Verdana" w:hAnsi="Verdana"/>
          <w:sz w:val="20"/>
        </w:rPr>
      </w:pPr>
      <w:r>
        <w:rPr>
          <w:rFonts w:ascii="Verdana" w:hAnsi="Verdana"/>
          <w:sz w:val="20"/>
        </w:rPr>
        <w:t xml:space="preserve">Respecto a lo señalado por las víctimas </w:t>
      </w:r>
      <w:r w:rsidRPr="00BC14F8">
        <w:rPr>
          <w:rFonts w:ascii="Verdana" w:hAnsi="Verdana"/>
          <w:sz w:val="20"/>
        </w:rPr>
        <w:t>Cuicapusa Marte y Rodríguez León</w:t>
      </w:r>
      <w:r>
        <w:rPr>
          <w:rFonts w:ascii="Verdana" w:hAnsi="Verdana"/>
          <w:sz w:val="20"/>
        </w:rPr>
        <w:t xml:space="preserve"> (</w:t>
      </w:r>
      <w:r>
        <w:rPr>
          <w:rFonts w:ascii="Verdana" w:hAnsi="Verdana"/>
          <w:i/>
          <w:sz w:val="20"/>
        </w:rPr>
        <w:t xml:space="preserve">supra </w:t>
      </w:r>
      <w:r>
        <w:rPr>
          <w:rFonts w:ascii="Verdana" w:hAnsi="Verdana"/>
          <w:sz w:val="20"/>
        </w:rPr>
        <w:t>Considerando 11)</w:t>
      </w:r>
      <w:r w:rsidR="000D5510">
        <w:rPr>
          <w:rFonts w:ascii="Verdana" w:hAnsi="Verdana"/>
          <w:sz w:val="20"/>
        </w:rPr>
        <w:t>,</w:t>
      </w:r>
      <w:r w:rsidR="00C66CAE">
        <w:rPr>
          <w:rFonts w:ascii="Verdana" w:hAnsi="Verdana"/>
          <w:sz w:val="20"/>
        </w:rPr>
        <w:t xml:space="preserve"> relativo a</w:t>
      </w:r>
      <w:r w:rsidR="001B3607">
        <w:rPr>
          <w:rFonts w:ascii="Verdana" w:hAnsi="Verdana"/>
          <w:sz w:val="20"/>
        </w:rPr>
        <w:t xml:space="preserve"> que</w:t>
      </w:r>
      <w:r w:rsidR="00BA7ACF">
        <w:rPr>
          <w:rFonts w:ascii="Verdana" w:hAnsi="Verdana"/>
          <w:sz w:val="20"/>
        </w:rPr>
        <w:t xml:space="preserve"> el Estado no ha realizado los respectivos pagos porque</w:t>
      </w:r>
      <w:r w:rsidR="001B3607">
        <w:rPr>
          <w:rFonts w:ascii="Verdana" w:hAnsi="Verdana"/>
          <w:sz w:val="20"/>
        </w:rPr>
        <w:t xml:space="preserve"> existen</w:t>
      </w:r>
      <w:r w:rsidR="00C66CAE">
        <w:rPr>
          <w:rFonts w:ascii="Verdana" w:hAnsi="Verdana"/>
          <w:sz w:val="20"/>
        </w:rPr>
        <w:t xml:space="preserve"> diferencias entre los nombres consignados en </w:t>
      </w:r>
      <w:r w:rsidR="00261D26">
        <w:rPr>
          <w:rFonts w:ascii="Verdana" w:hAnsi="Verdana"/>
          <w:sz w:val="20"/>
        </w:rPr>
        <w:t>los anexos respectivos de</w:t>
      </w:r>
      <w:r w:rsidR="00C66CAE">
        <w:rPr>
          <w:rFonts w:ascii="Verdana" w:hAnsi="Verdana"/>
          <w:sz w:val="20"/>
        </w:rPr>
        <w:t xml:space="preserve"> la Sentencia y los nombres de las víctimas</w:t>
      </w:r>
      <w:r w:rsidR="00261D26">
        <w:rPr>
          <w:rFonts w:ascii="Verdana" w:hAnsi="Verdana"/>
          <w:sz w:val="20"/>
        </w:rPr>
        <w:t xml:space="preserve"> registrados a nivel interno</w:t>
      </w:r>
      <w:r w:rsidR="00C66CAE">
        <w:rPr>
          <w:rFonts w:ascii="Verdana" w:hAnsi="Verdana"/>
          <w:sz w:val="20"/>
        </w:rPr>
        <w:t>,</w:t>
      </w:r>
      <w:r>
        <w:rPr>
          <w:rFonts w:ascii="Verdana" w:hAnsi="Verdana"/>
          <w:sz w:val="20"/>
        </w:rPr>
        <w:t xml:space="preserve"> la Corte nota que el Estado indicó que el </w:t>
      </w:r>
      <w:r w:rsidR="0002684A">
        <w:rPr>
          <w:rFonts w:ascii="Verdana" w:hAnsi="Verdana"/>
          <w:sz w:val="20"/>
        </w:rPr>
        <w:t>Juzgado de Ejecución de Sentencias Supranacionales</w:t>
      </w:r>
      <w:r>
        <w:rPr>
          <w:rFonts w:ascii="Verdana" w:hAnsi="Verdana"/>
          <w:sz w:val="20"/>
        </w:rPr>
        <w:t xml:space="preserve"> ya ha emitido para otros casos una “resolución aclaratoria r</w:t>
      </w:r>
      <w:r w:rsidR="00C66CAE">
        <w:rPr>
          <w:rFonts w:ascii="Verdana" w:hAnsi="Verdana"/>
          <w:sz w:val="20"/>
        </w:rPr>
        <w:t>especto [de]</w:t>
      </w:r>
      <w:r>
        <w:rPr>
          <w:rFonts w:ascii="Verdana" w:hAnsi="Verdana"/>
          <w:sz w:val="20"/>
        </w:rPr>
        <w:t xml:space="preserve"> los datos </w:t>
      </w:r>
      <w:r w:rsidR="00C66CAE">
        <w:rPr>
          <w:rFonts w:ascii="Verdana" w:hAnsi="Verdana"/>
          <w:sz w:val="20"/>
        </w:rPr>
        <w:t>[de identidad]</w:t>
      </w:r>
      <w:r>
        <w:rPr>
          <w:rFonts w:ascii="Verdana" w:hAnsi="Verdana"/>
          <w:sz w:val="20"/>
        </w:rPr>
        <w:t xml:space="preserve"> de los beneficiarios de la [S]entencia […] a efectos de viabilizar el pago indemnizatorio correspondiente”</w:t>
      </w:r>
      <w:r>
        <w:rPr>
          <w:rStyle w:val="Refdenotaalpie"/>
          <w:rFonts w:ascii="Verdana" w:hAnsi="Verdana"/>
          <w:sz w:val="20"/>
        </w:rPr>
        <w:footnoteReference w:id="19"/>
      </w:r>
      <w:r>
        <w:rPr>
          <w:rFonts w:ascii="Verdana" w:hAnsi="Verdana"/>
          <w:sz w:val="20"/>
        </w:rPr>
        <w:t>.</w:t>
      </w:r>
      <w:r w:rsidR="00DB557B">
        <w:rPr>
          <w:rFonts w:ascii="Verdana" w:hAnsi="Verdana"/>
          <w:sz w:val="20"/>
        </w:rPr>
        <w:t xml:space="preserve"> </w:t>
      </w:r>
      <w:r w:rsidR="009D49C7">
        <w:rPr>
          <w:rFonts w:ascii="Verdana" w:hAnsi="Verdana"/>
          <w:sz w:val="20"/>
        </w:rPr>
        <w:t xml:space="preserve">El Tribunal valora positivamente que </w:t>
      </w:r>
      <w:r w:rsidR="009D49C7" w:rsidRPr="000A00D0">
        <w:rPr>
          <w:rFonts w:ascii="Verdana" w:hAnsi="Verdana"/>
          <w:sz w:val="20"/>
        </w:rPr>
        <w:t>las autoridades internas brinden a las víctimas una solución para aclarar diferencias que no resultan determinantes para la identificación de las víctimas</w:t>
      </w:r>
      <w:r w:rsidR="009D49C7" w:rsidRPr="000A00D0">
        <w:rPr>
          <w:rStyle w:val="Refdenotaalpie"/>
          <w:rFonts w:ascii="Verdana" w:hAnsi="Verdana"/>
          <w:sz w:val="20"/>
        </w:rPr>
        <w:footnoteReference w:id="20"/>
      </w:r>
      <w:r w:rsidR="00DB557B" w:rsidRPr="000A00D0">
        <w:rPr>
          <w:rFonts w:ascii="Verdana" w:hAnsi="Verdana"/>
          <w:sz w:val="20"/>
        </w:rPr>
        <w:t xml:space="preserve"> y exhorta al Estado a </w:t>
      </w:r>
      <w:r w:rsidR="00237306" w:rsidRPr="000A00D0">
        <w:rPr>
          <w:rFonts w:ascii="Verdana" w:hAnsi="Verdana"/>
          <w:sz w:val="20"/>
        </w:rPr>
        <w:t>realizarla a la mayor brevedad respecto de las referidas víctimas.</w:t>
      </w:r>
      <w:r w:rsidR="00237306" w:rsidRPr="000A00D0">
        <w:rPr>
          <w:rFonts w:ascii="Verdana" w:hAnsi="Verdana"/>
          <w:strike/>
          <w:sz w:val="20"/>
        </w:rPr>
        <w:t xml:space="preserve"> </w:t>
      </w:r>
    </w:p>
    <w:p w:rsidR="00BC14F8" w:rsidRPr="000A00D0" w:rsidRDefault="00BC14F8" w:rsidP="00BC14F8">
      <w:pPr>
        <w:pStyle w:val="Listavistosa-nfasis1"/>
        <w:rPr>
          <w:rFonts w:ascii="Verdana" w:hAnsi="Verdana"/>
          <w:sz w:val="20"/>
        </w:rPr>
      </w:pPr>
    </w:p>
    <w:p w:rsidR="000F5424" w:rsidRDefault="00463C9A" w:rsidP="00D26CE8">
      <w:pPr>
        <w:pStyle w:val="Cuadrculamedia1-nfasis2"/>
        <w:numPr>
          <w:ilvl w:val="0"/>
          <w:numId w:val="1"/>
        </w:numPr>
        <w:ind w:left="0" w:firstLine="0"/>
        <w:contextualSpacing/>
        <w:jc w:val="both"/>
        <w:rPr>
          <w:rFonts w:ascii="Verdana" w:hAnsi="Verdana"/>
          <w:sz w:val="20"/>
        </w:rPr>
      </w:pPr>
      <w:r w:rsidRPr="000A00D0">
        <w:rPr>
          <w:rFonts w:ascii="Verdana" w:hAnsi="Verdana"/>
          <w:sz w:val="20"/>
        </w:rPr>
        <w:t>En razón de lo anterior</w:t>
      </w:r>
      <w:r>
        <w:rPr>
          <w:rFonts w:ascii="Verdana" w:hAnsi="Verdana"/>
          <w:sz w:val="20"/>
        </w:rPr>
        <w:t xml:space="preserve"> y tomando en cuenta que han </w:t>
      </w:r>
      <w:r w:rsidRPr="000F5424">
        <w:rPr>
          <w:rFonts w:ascii="Verdana" w:hAnsi="Verdana"/>
          <w:sz w:val="20"/>
        </w:rPr>
        <w:t xml:space="preserve">transcurrido más de </w:t>
      </w:r>
      <w:r w:rsidR="00186C67">
        <w:rPr>
          <w:rFonts w:ascii="Verdana" w:hAnsi="Verdana"/>
          <w:sz w:val="20"/>
        </w:rPr>
        <w:t>nueve</w:t>
      </w:r>
      <w:r w:rsidR="00186C67" w:rsidRPr="000F5424">
        <w:rPr>
          <w:rFonts w:ascii="Verdana" w:hAnsi="Verdana"/>
          <w:sz w:val="20"/>
        </w:rPr>
        <w:t xml:space="preserve"> </w:t>
      </w:r>
      <w:r w:rsidRPr="000F5424">
        <w:rPr>
          <w:rFonts w:ascii="Verdana" w:hAnsi="Verdana"/>
          <w:sz w:val="20"/>
        </w:rPr>
        <w:t xml:space="preserve">años desde que </w:t>
      </w:r>
      <w:r w:rsidR="00237306">
        <w:rPr>
          <w:rFonts w:ascii="Verdana" w:hAnsi="Verdana"/>
          <w:sz w:val="20"/>
        </w:rPr>
        <w:t xml:space="preserve">venció el plazo para que el Estado </w:t>
      </w:r>
      <w:r w:rsidRPr="000F5424">
        <w:rPr>
          <w:rFonts w:ascii="Verdana" w:hAnsi="Verdana"/>
          <w:sz w:val="20"/>
        </w:rPr>
        <w:t>paga</w:t>
      </w:r>
      <w:r w:rsidR="00237306">
        <w:rPr>
          <w:rFonts w:ascii="Verdana" w:hAnsi="Verdana"/>
          <w:sz w:val="20"/>
        </w:rPr>
        <w:t>ra</w:t>
      </w:r>
      <w:r w:rsidRPr="000F5424">
        <w:rPr>
          <w:rFonts w:ascii="Verdana" w:hAnsi="Verdana"/>
          <w:sz w:val="20"/>
        </w:rPr>
        <w:t xml:space="preserve"> las indemnizaciones ord</w:t>
      </w:r>
      <w:r>
        <w:rPr>
          <w:rFonts w:ascii="Verdana" w:hAnsi="Verdana"/>
          <w:sz w:val="20"/>
        </w:rPr>
        <w:t>enadas en la Sentencia,</w:t>
      </w:r>
      <w:r w:rsidR="00591BD3" w:rsidRPr="00CF5FD9">
        <w:rPr>
          <w:rFonts w:ascii="Verdana" w:hAnsi="Verdana"/>
          <w:sz w:val="20"/>
        </w:rPr>
        <w:t xml:space="preserve"> </w:t>
      </w:r>
      <w:r>
        <w:rPr>
          <w:rFonts w:ascii="Verdana" w:hAnsi="Verdana"/>
          <w:sz w:val="20"/>
        </w:rPr>
        <w:t xml:space="preserve">la </w:t>
      </w:r>
      <w:r w:rsidR="00591BD3" w:rsidRPr="00CF5FD9">
        <w:rPr>
          <w:rFonts w:ascii="Verdana" w:hAnsi="Verdana"/>
          <w:sz w:val="20"/>
        </w:rPr>
        <w:t xml:space="preserve">Corte requiere al </w:t>
      </w:r>
      <w:r>
        <w:rPr>
          <w:rFonts w:ascii="Verdana" w:hAnsi="Verdana"/>
          <w:sz w:val="20"/>
        </w:rPr>
        <w:t>Perú</w:t>
      </w:r>
      <w:r w:rsidR="00591BD3" w:rsidRPr="00CF5FD9">
        <w:rPr>
          <w:rFonts w:ascii="Verdana" w:hAnsi="Verdana"/>
          <w:sz w:val="20"/>
        </w:rPr>
        <w:t xml:space="preserve"> proceder de inmediato y de forma directa con</w:t>
      </w:r>
      <w:r w:rsidR="004A50B5" w:rsidRPr="00CF5FD9">
        <w:rPr>
          <w:rFonts w:ascii="Verdana" w:hAnsi="Verdana"/>
          <w:sz w:val="20"/>
        </w:rPr>
        <w:t xml:space="preserve">: </w:t>
      </w:r>
    </w:p>
    <w:p w:rsidR="000F5424" w:rsidRDefault="00591BD3" w:rsidP="000F5424">
      <w:pPr>
        <w:pStyle w:val="Cuadrculamedia1-nfasis2"/>
        <w:numPr>
          <w:ilvl w:val="0"/>
          <w:numId w:val="35"/>
        </w:numPr>
        <w:contextualSpacing/>
        <w:jc w:val="both"/>
        <w:rPr>
          <w:rFonts w:ascii="Verdana" w:hAnsi="Verdana"/>
          <w:sz w:val="20"/>
        </w:rPr>
      </w:pPr>
      <w:r w:rsidRPr="00CF5FD9">
        <w:rPr>
          <w:rFonts w:ascii="Verdana" w:hAnsi="Verdana"/>
          <w:sz w:val="20"/>
        </w:rPr>
        <w:t>el cumplimiento de todas aquellas indemnizaciones que no requieran una determinación por parte de las autoridades internas</w:t>
      </w:r>
      <w:r w:rsidR="001345CD">
        <w:rPr>
          <w:rFonts w:ascii="Verdana" w:hAnsi="Verdana"/>
          <w:sz w:val="20"/>
        </w:rPr>
        <w:t>, según los términos establecidos en la Sentencia</w:t>
      </w:r>
      <w:r w:rsidR="004A50B5" w:rsidRPr="00CF5FD9">
        <w:rPr>
          <w:rFonts w:ascii="Verdana" w:hAnsi="Verdana"/>
          <w:sz w:val="20"/>
        </w:rPr>
        <w:t xml:space="preserve">; </w:t>
      </w:r>
    </w:p>
    <w:p w:rsidR="000F5424" w:rsidRDefault="001345CD" w:rsidP="000F5424">
      <w:pPr>
        <w:pStyle w:val="Cuadrculamedia1-nfasis2"/>
        <w:numPr>
          <w:ilvl w:val="0"/>
          <w:numId w:val="35"/>
        </w:numPr>
        <w:contextualSpacing/>
        <w:jc w:val="both"/>
        <w:rPr>
          <w:rFonts w:ascii="Verdana" w:hAnsi="Verdana"/>
          <w:sz w:val="20"/>
        </w:rPr>
      </w:pPr>
      <w:r>
        <w:rPr>
          <w:rFonts w:ascii="Verdana" w:hAnsi="Verdana"/>
          <w:sz w:val="20"/>
        </w:rPr>
        <w:t>la implementación de</w:t>
      </w:r>
      <w:r w:rsidR="005279DD">
        <w:rPr>
          <w:rFonts w:ascii="Verdana" w:hAnsi="Verdana"/>
          <w:sz w:val="20"/>
        </w:rPr>
        <w:t xml:space="preserve"> todas</w:t>
      </w:r>
      <w:r w:rsidR="005279DD" w:rsidRPr="00CF5FD9">
        <w:rPr>
          <w:rFonts w:ascii="Verdana" w:hAnsi="Verdana"/>
          <w:sz w:val="20"/>
        </w:rPr>
        <w:t xml:space="preserve"> las medidas </w:t>
      </w:r>
      <w:r w:rsidR="005279DD">
        <w:rPr>
          <w:rFonts w:ascii="Verdana" w:hAnsi="Verdana"/>
          <w:sz w:val="20"/>
        </w:rPr>
        <w:t xml:space="preserve">adicionales </w:t>
      </w:r>
      <w:r w:rsidR="005279DD" w:rsidRPr="00CF5FD9">
        <w:rPr>
          <w:rFonts w:ascii="Verdana" w:hAnsi="Verdana"/>
          <w:sz w:val="20"/>
        </w:rPr>
        <w:t xml:space="preserve">necesarias para que se </w:t>
      </w:r>
      <w:r w:rsidR="005279DD">
        <w:rPr>
          <w:rFonts w:ascii="Verdana" w:hAnsi="Verdana"/>
          <w:sz w:val="20"/>
        </w:rPr>
        <w:t>ejecuten</w:t>
      </w:r>
      <w:r w:rsidR="00A56CAB">
        <w:rPr>
          <w:rFonts w:ascii="Verdana" w:hAnsi="Verdana"/>
          <w:sz w:val="20"/>
        </w:rPr>
        <w:t xml:space="preserve"> en su totalidad</w:t>
      </w:r>
      <w:r w:rsidR="004A50B5" w:rsidRPr="00CF5FD9">
        <w:rPr>
          <w:rFonts w:ascii="Verdana" w:hAnsi="Verdana"/>
          <w:sz w:val="20"/>
        </w:rPr>
        <w:t xml:space="preserve"> las decisiones internas dictadas por el </w:t>
      </w:r>
      <w:r w:rsidR="0002684A">
        <w:rPr>
          <w:rFonts w:ascii="Verdana" w:hAnsi="Verdana"/>
          <w:sz w:val="20"/>
        </w:rPr>
        <w:t>Juzgado de Ejecución de Sentencias Supranacionales</w:t>
      </w:r>
      <w:r w:rsidR="004A50B5" w:rsidRPr="00CF5FD9">
        <w:rPr>
          <w:rFonts w:ascii="Verdana" w:hAnsi="Verdana"/>
          <w:sz w:val="20"/>
        </w:rPr>
        <w:t xml:space="preserve"> que han resuelto emitir pagos a favor de </w:t>
      </w:r>
      <w:r w:rsidR="007D3969">
        <w:rPr>
          <w:rFonts w:ascii="Verdana" w:hAnsi="Verdana"/>
          <w:sz w:val="20"/>
        </w:rPr>
        <w:t>personas beneficiarias;</w:t>
      </w:r>
      <w:r w:rsidR="004A50B5" w:rsidRPr="00CF5FD9">
        <w:rPr>
          <w:rFonts w:ascii="Verdana" w:hAnsi="Verdana"/>
          <w:sz w:val="20"/>
        </w:rPr>
        <w:t xml:space="preserve"> </w:t>
      </w:r>
    </w:p>
    <w:p w:rsidR="000F5424" w:rsidRPr="000A00D0" w:rsidRDefault="000F5424" w:rsidP="000F5424">
      <w:pPr>
        <w:pStyle w:val="Cuadrculamedia1-nfasis2"/>
        <w:numPr>
          <w:ilvl w:val="0"/>
          <w:numId w:val="35"/>
        </w:numPr>
        <w:contextualSpacing/>
        <w:jc w:val="both"/>
        <w:rPr>
          <w:rFonts w:ascii="Verdana" w:hAnsi="Verdana"/>
          <w:sz w:val="20"/>
        </w:rPr>
      </w:pPr>
      <w:r>
        <w:rPr>
          <w:rFonts w:ascii="Verdana" w:hAnsi="Verdana"/>
          <w:sz w:val="20"/>
        </w:rPr>
        <w:t>la valoración de las víctimas sobrevivientes con lesiones o incapacidades físicas o psíquicas por los órganos internos especializados en clasificaci</w:t>
      </w:r>
      <w:r w:rsidR="00560500">
        <w:rPr>
          <w:rFonts w:ascii="Verdana" w:hAnsi="Verdana"/>
          <w:sz w:val="20"/>
        </w:rPr>
        <w:t xml:space="preserve">ón de lesiones e incapacidades, para </w:t>
      </w:r>
      <w:r>
        <w:rPr>
          <w:rFonts w:ascii="Verdana" w:hAnsi="Verdana"/>
          <w:sz w:val="20"/>
        </w:rPr>
        <w:t>determinar y pagar la indemnización correspondiente para dichas víctimas, según los términ</w:t>
      </w:r>
      <w:r w:rsidR="003637F4">
        <w:rPr>
          <w:rFonts w:ascii="Verdana" w:hAnsi="Verdana"/>
          <w:sz w:val="20"/>
        </w:rPr>
        <w:t xml:space="preserve">os establecidos en la </w:t>
      </w:r>
      <w:r w:rsidR="003637F4" w:rsidRPr="000A00D0">
        <w:rPr>
          <w:rFonts w:ascii="Verdana" w:hAnsi="Verdana"/>
          <w:sz w:val="20"/>
        </w:rPr>
        <w:t xml:space="preserve">Sentencia, </w:t>
      </w:r>
      <w:r w:rsidR="00237306" w:rsidRPr="000A00D0">
        <w:rPr>
          <w:rFonts w:ascii="Verdana" w:hAnsi="Verdana"/>
          <w:sz w:val="20"/>
        </w:rPr>
        <w:t>y</w:t>
      </w:r>
    </w:p>
    <w:p w:rsidR="00560500" w:rsidRPr="000A00D0" w:rsidRDefault="00237306" w:rsidP="000F5424">
      <w:pPr>
        <w:pStyle w:val="Cuadrculamedia1-nfasis2"/>
        <w:numPr>
          <w:ilvl w:val="0"/>
          <w:numId w:val="35"/>
        </w:numPr>
        <w:contextualSpacing/>
        <w:jc w:val="both"/>
        <w:rPr>
          <w:rFonts w:ascii="Verdana" w:hAnsi="Verdana"/>
          <w:sz w:val="20"/>
        </w:rPr>
      </w:pPr>
      <w:r w:rsidRPr="000A00D0">
        <w:rPr>
          <w:rFonts w:ascii="Verdana" w:hAnsi="Verdana"/>
          <w:sz w:val="20"/>
        </w:rPr>
        <w:t xml:space="preserve">resolver las solicitudes presentadas por las víctimas </w:t>
      </w:r>
      <w:proofErr w:type="spellStart"/>
      <w:r w:rsidRPr="000A00D0">
        <w:rPr>
          <w:rFonts w:ascii="Verdana" w:hAnsi="Verdana"/>
          <w:sz w:val="20"/>
        </w:rPr>
        <w:t>Cuicapusa</w:t>
      </w:r>
      <w:proofErr w:type="spellEnd"/>
      <w:r w:rsidRPr="000A00D0">
        <w:rPr>
          <w:rFonts w:ascii="Verdana" w:hAnsi="Verdana"/>
          <w:sz w:val="20"/>
        </w:rPr>
        <w:t xml:space="preserve"> Marte y Rodríguez León</w:t>
      </w:r>
      <w:r w:rsidR="00916221" w:rsidRPr="000A00D0">
        <w:rPr>
          <w:rFonts w:ascii="Verdana" w:hAnsi="Verdana"/>
          <w:sz w:val="20"/>
        </w:rPr>
        <w:t xml:space="preserve"> relativas a corregir </w:t>
      </w:r>
      <w:r w:rsidR="00FE1F77" w:rsidRPr="000A00D0">
        <w:rPr>
          <w:rFonts w:ascii="Verdana" w:hAnsi="Verdana"/>
          <w:sz w:val="20"/>
        </w:rPr>
        <w:t xml:space="preserve">cualquier </w:t>
      </w:r>
      <w:r w:rsidR="006D3E11" w:rsidRPr="000A00D0">
        <w:rPr>
          <w:rFonts w:ascii="Verdana" w:hAnsi="Verdana"/>
          <w:sz w:val="20"/>
        </w:rPr>
        <w:t>error material</w:t>
      </w:r>
      <w:r w:rsidR="00916221" w:rsidRPr="000A00D0">
        <w:rPr>
          <w:rFonts w:ascii="Verdana" w:hAnsi="Verdana"/>
          <w:sz w:val="20"/>
        </w:rPr>
        <w:t xml:space="preserve"> </w:t>
      </w:r>
      <w:r w:rsidR="007D3969" w:rsidRPr="000A00D0">
        <w:rPr>
          <w:rFonts w:ascii="Verdana" w:hAnsi="Verdana"/>
          <w:sz w:val="20"/>
        </w:rPr>
        <w:t>entre los nombres consignados en la Sentencia y los nombres de las víctimas</w:t>
      </w:r>
      <w:r w:rsidR="006D3E11" w:rsidRPr="000A00D0">
        <w:rPr>
          <w:rFonts w:ascii="Verdana" w:hAnsi="Verdana"/>
          <w:sz w:val="20"/>
        </w:rPr>
        <w:t xml:space="preserve"> registrados a nivel interno</w:t>
      </w:r>
      <w:r w:rsidR="000A00D0" w:rsidRPr="000A00D0">
        <w:rPr>
          <w:rFonts w:ascii="Verdana" w:hAnsi="Verdana"/>
          <w:sz w:val="20"/>
        </w:rPr>
        <w:t>.</w:t>
      </w:r>
    </w:p>
    <w:p w:rsidR="00560500" w:rsidRDefault="00560500" w:rsidP="00560500">
      <w:pPr>
        <w:pStyle w:val="Cuadrculamedia1-nfasis2"/>
        <w:ind w:left="0"/>
        <w:contextualSpacing/>
        <w:jc w:val="both"/>
        <w:rPr>
          <w:rFonts w:ascii="Verdana" w:hAnsi="Verdana"/>
          <w:sz w:val="20"/>
        </w:rPr>
      </w:pPr>
    </w:p>
    <w:p w:rsidR="00560500" w:rsidRDefault="00560500" w:rsidP="00560500">
      <w:pPr>
        <w:pStyle w:val="Cuadrculamedia1-nfasis2"/>
        <w:ind w:left="0"/>
        <w:contextualSpacing/>
        <w:jc w:val="both"/>
        <w:rPr>
          <w:rFonts w:ascii="Verdana" w:hAnsi="Verdana"/>
          <w:sz w:val="20"/>
        </w:rPr>
      </w:pPr>
      <w:r>
        <w:rPr>
          <w:rFonts w:ascii="Verdana" w:hAnsi="Verdana"/>
          <w:sz w:val="20"/>
        </w:rPr>
        <w:t>Asimismo, e</w:t>
      </w:r>
      <w:r w:rsidR="0061300D" w:rsidRPr="00CF5FD9">
        <w:rPr>
          <w:rFonts w:ascii="Verdana" w:hAnsi="Verdana"/>
          <w:sz w:val="20"/>
        </w:rPr>
        <w:t>n un plazo de seis meses a partir de la notificación de la presente Resolución, e</w:t>
      </w:r>
      <w:r w:rsidR="00591BD3" w:rsidRPr="00CF5FD9">
        <w:rPr>
          <w:rFonts w:ascii="Verdana" w:hAnsi="Verdana"/>
          <w:sz w:val="20"/>
        </w:rPr>
        <w:t>l Estado deberá</w:t>
      </w:r>
      <w:r w:rsidR="0061300D" w:rsidRPr="00CF5FD9">
        <w:rPr>
          <w:rFonts w:ascii="Verdana" w:hAnsi="Verdana"/>
          <w:sz w:val="20"/>
        </w:rPr>
        <w:t xml:space="preserve"> presentar un informe en el cual se refiera</w:t>
      </w:r>
      <w:r w:rsidR="00591BD3" w:rsidRPr="00CF5FD9">
        <w:rPr>
          <w:rFonts w:ascii="Verdana" w:hAnsi="Verdana"/>
          <w:sz w:val="20"/>
        </w:rPr>
        <w:t xml:space="preserve"> en forma detallada y completa</w:t>
      </w:r>
      <w:r w:rsidR="0061300D" w:rsidRPr="00CF5FD9">
        <w:rPr>
          <w:rFonts w:ascii="Verdana" w:hAnsi="Verdana"/>
          <w:sz w:val="20"/>
        </w:rPr>
        <w:t xml:space="preserve"> sobre:</w:t>
      </w:r>
      <w:r w:rsidR="00591BD3" w:rsidRPr="00CF5FD9">
        <w:rPr>
          <w:rFonts w:ascii="Verdana" w:hAnsi="Verdana"/>
          <w:sz w:val="20"/>
        </w:rPr>
        <w:t xml:space="preserve"> </w:t>
      </w:r>
    </w:p>
    <w:p w:rsidR="00560500" w:rsidRDefault="0061300D" w:rsidP="00560500">
      <w:pPr>
        <w:pStyle w:val="Cuadrculamedia1-nfasis2"/>
        <w:numPr>
          <w:ilvl w:val="0"/>
          <w:numId w:val="36"/>
        </w:numPr>
        <w:contextualSpacing/>
        <w:jc w:val="both"/>
        <w:rPr>
          <w:rFonts w:ascii="Verdana" w:hAnsi="Verdana"/>
          <w:sz w:val="20"/>
        </w:rPr>
      </w:pPr>
      <w:r w:rsidRPr="00CF5FD9">
        <w:rPr>
          <w:rFonts w:ascii="Verdana" w:hAnsi="Verdana"/>
          <w:sz w:val="20"/>
        </w:rPr>
        <w:t xml:space="preserve">el detalle individualizado de las víctimas y familiares, según corresponda, cuyos pagos no requieren determinación alguna por parte de autoridades internas, </w:t>
      </w:r>
      <w:r w:rsidR="00D26CE8" w:rsidRPr="00CF5FD9">
        <w:rPr>
          <w:rFonts w:ascii="Verdana" w:hAnsi="Verdana"/>
          <w:sz w:val="20"/>
        </w:rPr>
        <w:t>así como el estado en que se encuentra el trámite del pago de las indemnizaciones que les corresponde de acuerdo con lo dispuesto en la Sentencia</w:t>
      </w:r>
      <w:r w:rsidRPr="00CF5FD9">
        <w:rPr>
          <w:rFonts w:ascii="Verdana" w:hAnsi="Verdana"/>
          <w:sz w:val="20"/>
        </w:rPr>
        <w:t xml:space="preserve">; </w:t>
      </w:r>
    </w:p>
    <w:p w:rsidR="00560500" w:rsidRDefault="00591BD3" w:rsidP="00560500">
      <w:pPr>
        <w:pStyle w:val="Cuadrculamedia1-nfasis2"/>
        <w:numPr>
          <w:ilvl w:val="0"/>
          <w:numId w:val="36"/>
        </w:numPr>
        <w:contextualSpacing/>
        <w:jc w:val="both"/>
        <w:rPr>
          <w:rFonts w:ascii="Verdana" w:hAnsi="Verdana"/>
          <w:sz w:val="20"/>
        </w:rPr>
      </w:pPr>
      <w:r w:rsidRPr="00CF5FD9">
        <w:rPr>
          <w:rFonts w:ascii="Verdana" w:hAnsi="Verdana"/>
          <w:sz w:val="20"/>
        </w:rPr>
        <w:t xml:space="preserve">el detalle individualizado </w:t>
      </w:r>
      <w:r w:rsidR="0061300D" w:rsidRPr="00CF5FD9">
        <w:rPr>
          <w:rFonts w:ascii="Verdana" w:hAnsi="Verdana"/>
          <w:sz w:val="20"/>
        </w:rPr>
        <w:t>de las víctimas y familiares</w:t>
      </w:r>
      <w:r w:rsidR="00D26CE8" w:rsidRPr="00CF5FD9">
        <w:rPr>
          <w:rFonts w:ascii="Verdana" w:hAnsi="Verdana"/>
          <w:sz w:val="20"/>
        </w:rPr>
        <w:t xml:space="preserve">, según corresponda, sobre los cuales el </w:t>
      </w:r>
      <w:r w:rsidR="0002684A">
        <w:rPr>
          <w:rFonts w:ascii="Verdana" w:hAnsi="Verdana"/>
          <w:sz w:val="20"/>
        </w:rPr>
        <w:t>Juzgado de Ejecución de Sentencias Supranacionales</w:t>
      </w:r>
      <w:r w:rsidR="00D26CE8" w:rsidRPr="00CF5FD9">
        <w:rPr>
          <w:rFonts w:ascii="Verdana" w:hAnsi="Verdana"/>
          <w:sz w:val="20"/>
        </w:rPr>
        <w:t xml:space="preserve"> ya ha emitido decisiones ordenando pagos, así como el estado en que se encuentra </w:t>
      </w:r>
      <w:r w:rsidRPr="00CF5FD9">
        <w:rPr>
          <w:rFonts w:ascii="Verdana" w:hAnsi="Verdana"/>
          <w:sz w:val="20"/>
        </w:rPr>
        <w:t xml:space="preserve">el trámite del pago de las indemnizaciones que les corresponde de acuerdo con lo dispuesto </w:t>
      </w:r>
      <w:r w:rsidR="00560500">
        <w:rPr>
          <w:rFonts w:ascii="Verdana" w:hAnsi="Verdana"/>
          <w:sz w:val="20"/>
        </w:rPr>
        <w:t>en dichas decisiones;</w:t>
      </w:r>
    </w:p>
    <w:p w:rsidR="00D26CE8" w:rsidRPr="000A00D0" w:rsidRDefault="00D26CE8" w:rsidP="00560500">
      <w:pPr>
        <w:pStyle w:val="Cuadrculamedia1-nfasis2"/>
        <w:numPr>
          <w:ilvl w:val="0"/>
          <w:numId w:val="36"/>
        </w:numPr>
        <w:contextualSpacing/>
        <w:jc w:val="both"/>
        <w:rPr>
          <w:rFonts w:ascii="Verdana" w:hAnsi="Verdana"/>
          <w:sz w:val="20"/>
        </w:rPr>
      </w:pPr>
      <w:r w:rsidRPr="00CF5FD9">
        <w:rPr>
          <w:rFonts w:ascii="Verdana" w:hAnsi="Verdana"/>
          <w:sz w:val="20"/>
        </w:rPr>
        <w:lastRenderedPageBreak/>
        <w:t>las acciones y medidas que se han tomado para que</w:t>
      </w:r>
      <w:r w:rsidR="00873673" w:rsidRPr="00446F43">
        <w:rPr>
          <w:rFonts w:ascii="Verdana" w:hAnsi="Verdana"/>
          <w:sz w:val="20"/>
        </w:rPr>
        <w:t>, a la mayor brevedad,</w:t>
      </w:r>
      <w:r w:rsidRPr="00CF5FD9">
        <w:rPr>
          <w:rFonts w:ascii="Verdana" w:hAnsi="Verdana"/>
          <w:sz w:val="20"/>
        </w:rPr>
        <w:t xml:space="preserve"> las víctimas sobrevivientes que presentaron una solicitud relativa a la declaración de una incapacidad tengan la valoración requerida y </w:t>
      </w:r>
      <w:r w:rsidRPr="000A00D0">
        <w:rPr>
          <w:rFonts w:ascii="Verdana" w:hAnsi="Verdana"/>
          <w:sz w:val="20"/>
        </w:rPr>
        <w:t>se emita la decisión correspondien</w:t>
      </w:r>
      <w:r w:rsidR="00560500" w:rsidRPr="000A00D0">
        <w:rPr>
          <w:rFonts w:ascii="Verdana" w:hAnsi="Verdana"/>
          <w:sz w:val="20"/>
        </w:rPr>
        <w:t>te por las autoridades internas, y</w:t>
      </w:r>
    </w:p>
    <w:p w:rsidR="00560500" w:rsidRPr="000A00D0" w:rsidRDefault="00560500" w:rsidP="00560500">
      <w:pPr>
        <w:pStyle w:val="Cuadrculamedia1-nfasis2"/>
        <w:numPr>
          <w:ilvl w:val="0"/>
          <w:numId w:val="36"/>
        </w:numPr>
        <w:contextualSpacing/>
        <w:jc w:val="both"/>
        <w:rPr>
          <w:rFonts w:ascii="Verdana" w:hAnsi="Verdana"/>
          <w:sz w:val="20"/>
        </w:rPr>
      </w:pPr>
      <w:r w:rsidRPr="000A00D0">
        <w:rPr>
          <w:rFonts w:ascii="Verdana" w:hAnsi="Verdana"/>
          <w:sz w:val="20"/>
        </w:rPr>
        <w:t xml:space="preserve">las acciones concretas que ha tomado para </w:t>
      </w:r>
      <w:r w:rsidR="00652D49" w:rsidRPr="000A00D0">
        <w:rPr>
          <w:rFonts w:ascii="Verdana" w:hAnsi="Verdana"/>
          <w:sz w:val="20"/>
        </w:rPr>
        <w:t xml:space="preserve">resolver las solicitudes presentadas por las víctimas </w:t>
      </w:r>
      <w:proofErr w:type="spellStart"/>
      <w:r w:rsidR="00652D49" w:rsidRPr="000A00D0">
        <w:rPr>
          <w:rFonts w:ascii="Verdana" w:hAnsi="Verdana"/>
          <w:sz w:val="20"/>
        </w:rPr>
        <w:t>Cuicapusa</w:t>
      </w:r>
      <w:proofErr w:type="spellEnd"/>
      <w:r w:rsidR="00652D49" w:rsidRPr="000A00D0">
        <w:rPr>
          <w:rFonts w:ascii="Verdana" w:hAnsi="Verdana"/>
          <w:sz w:val="20"/>
        </w:rPr>
        <w:t xml:space="preserve"> Marte y Rodríguez León relativas a corregir </w:t>
      </w:r>
      <w:r w:rsidR="00EF4911" w:rsidRPr="000A00D0">
        <w:rPr>
          <w:rFonts w:ascii="Verdana" w:hAnsi="Verdana"/>
          <w:sz w:val="20"/>
        </w:rPr>
        <w:t xml:space="preserve">cualquier error material </w:t>
      </w:r>
      <w:r w:rsidRPr="000A00D0">
        <w:rPr>
          <w:rFonts w:ascii="Verdana" w:hAnsi="Verdana"/>
          <w:sz w:val="20"/>
        </w:rPr>
        <w:t>entre los nombres consignados en la Sentencia y los nombres de las víctimas</w:t>
      </w:r>
      <w:r w:rsidR="002F2AB4" w:rsidRPr="000A00D0">
        <w:rPr>
          <w:rFonts w:ascii="Verdana" w:hAnsi="Verdana"/>
          <w:sz w:val="20"/>
        </w:rPr>
        <w:t xml:space="preserve"> registrados a nivel interno</w:t>
      </w:r>
      <w:r w:rsidRPr="000A00D0">
        <w:rPr>
          <w:rFonts w:ascii="Verdana" w:hAnsi="Verdana"/>
          <w:sz w:val="20"/>
        </w:rPr>
        <w:t>.</w:t>
      </w:r>
    </w:p>
    <w:p w:rsidR="006F5E9B" w:rsidRDefault="006F5E9B" w:rsidP="00CA3190">
      <w:pPr>
        <w:pStyle w:val="Ttulo"/>
        <w:numPr>
          <w:ilvl w:val="0"/>
          <w:numId w:val="0"/>
        </w:numPr>
        <w:ind w:left="630" w:right="0"/>
        <w:rPr>
          <w:lang w:val="es-ES_tradnl"/>
        </w:rPr>
      </w:pPr>
    </w:p>
    <w:p w:rsidR="001E344B" w:rsidRDefault="001E344B" w:rsidP="00CA3190">
      <w:pPr>
        <w:pStyle w:val="Ttulo"/>
        <w:numPr>
          <w:ilvl w:val="0"/>
          <w:numId w:val="0"/>
        </w:numPr>
        <w:ind w:left="630" w:right="0"/>
        <w:rPr>
          <w:lang w:val="es-ES_tradnl"/>
        </w:rPr>
      </w:pPr>
    </w:p>
    <w:p w:rsidR="001E344B" w:rsidRPr="00CA3190" w:rsidRDefault="001E344B" w:rsidP="00CA3190">
      <w:pPr>
        <w:pStyle w:val="Ttulo"/>
        <w:numPr>
          <w:ilvl w:val="0"/>
          <w:numId w:val="0"/>
        </w:numPr>
        <w:ind w:left="630" w:right="0"/>
        <w:rPr>
          <w:lang w:val="es-ES_tradnl"/>
        </w:rPr>
      </w:pPr>
    </w:p>
    <w:p w:rsidR="00893053" w:rsidRPr="002E4BD2" w:rsidRDefault="00AF53ED" w:rsidP="00D333AB">
      <w:pPr>
        <w:pStyle w:val="Ttulo"/>
        <w:ind w:right="0"/>
        <w:rPr>
          <w:lang w:val="es-ES_tradnl"/>
        </w:rPr>
      </w:pPr>
      <w:bookmarkStart w:id="19" w:name="_Toc475555752"/>
      <w:r w:rsidRPr="000F4777">
        <w:t>Entrega de los restos de</w:t>
      </w:r>
      <w:r w:rsidR="00A571AA">
        <w:rPr>
          <w:lang w:val="es-CR"/>
        </w:rPr>
        <w:t xml:space="preserve"> la víctima</w:t>
      </w:r>
      <w:r w:rsidRPr="000F4777">
        <w:t xml:space="preserve"> Mario </w:t>
      </w:r>
      <w:r w:rsidR="00D04AE7" w:rsidRPr="00DA3666">
        <w:rPr>
          <w:lang w:val="es-CR"/>
        </w:rPr>
        <w:t>Francisco</w:t>
      </w:r>
      <w:r w:rsidRPr="000F4777">
        <w:t xml:space="preserve"> Aguilar Vega a sus familiares</w:t>
      </w:r>
      <w:bookmarkEnd w:id="19"/>
    </w:p>
    <w:p w:rsidR="00893053" w:rsidRDefault="00893053" w:rsidP="00D333AB">
      <w:pPr>
        <w:pStyle w:val="Listamedia2-nfasis4"/>
        <w:tabs>
          <w:tab w:val="left" w:pos="567"/>
        </w:tabs>
        <w:ind w:left="0"/>
        <w:jc w:val="both"/>
        <w:rPr>
          <w:rFonts w:ascii="Verdana" w:hAnsi="Verdana"/>
          <w:sz w:val="20"/>
        </w:rPr>
      </w:pPr>
    </w:p>
    <w:p w:rsidR="0035636A" w:rsidRDefault="0035636A" w:rsidP="00D333AB">
      <w:pPr>
        <w:pStyle w:val="Listamedia2-nfasis4"/>
        <w:tabs>
          <w:tab w:val="left" w:pos="567"/>
        </w:tabs>
        <w:ind w:left="0"/>
        <w:jc w:val="both"/>
        <w:rPr>
          <w:rFonts w:ascii="Verdana" w:hAnsi="Verdana"/>
          <w:sz w:val="20"/>
        </w:rPr>
      </w:pPr>
    </w:p>
    <w:p w:rsidR="001A0FA6" w:rsidRDefault="001A1A1A" w:rsidP="00D333AB">
      <w:pPr>
        <w:pStyle w:val="Ttulo2"/>
        <w:numPr>
          <w:ilvl w:val="0"/>
          <w:numId w:val="0"/>
        </w:numPr>
      </w:pPr>
      <w:bookmarkStart w:id="20" w:name="_Toc470015975"/>
      <w:bookmarkStart w:id="21" w:name="_Toc470016703"/>
      <w:bookmarkStart w:id="22" w:name="_Toc345249286"/>
      <w:r>
        <w:tab/>
      </w:r>
      <w:bookmarkStart w:id="23" w:name="_Toc475555753"/>
      <w:r>
        <w:t>B.1. Medida ordenada</w:t>
      </w:r>
      <w:r w:rsidR="001A0FA6">
        <w:t xml:space="preserve"> por la Corte y su</w:t>
      </w:r>
      <w:r>
        <w:t>pervisión realizada en resolucio</w:t>
      </w:r>
      <w:r w:rsidR="001A0FA6">
        <w:t>n</w:t>
      </w:r>
      <w:r>
        <w:t>es</w:t>
      </w:r>
      <w:r w:rsidR="001A0FA6">
        <w:t xml:space="preserve"> anterior</w:t>
      </w:r>
      <w:bookmarkEnd w:id="20"/>
      <w:bookmarkEnd w:id="21"/>
      <w:bookmarkEnd w:id="22"/>
      <w:r>
        <w:t>es</w:t>
      </w:r>
      <w:bookmarkEnd w:id="23"/>
    </w:p>
    <w:p w:rsidR="001A0FA6" w:rsidRDefault="001A0FA6" w:rsidP="00D333AB">
      <w:pPr>
        <w:pStyle w:val="Ttulo2"/>
        <w:numPr>
          <w:ilvl w:val="0"/>
          <w:numId w:val="0"/>
        </w:numPr>
      </w:pPr>
    </w:p>
    <w:p w:rsidR="001A0FA6" w:rsidRPr="00D92A85" w:rsidRDefault="001A0FA6" w:rsidP="00D333AB">
      <w:pPr>
        <w:pStyle w:val="Cuadrculamedia1-nfasis2"/>
        <w:numPr>
          <w:ilvl w:val="0"/>
          <w:numId w:val="1"/>
        </w:numPr>
        <w:tabs>
          <w:tab w:val="left" w:pos="567"/>
        </w:tabs>
        <w:ind w:left="0" w:firstLine="0"/>
        <w:contextualSpacing/>
        <w:jc w:val="both"/>
        <w:rPr>
          <w:rFonts w:ascii="Verdana" w:hAnsi="Verdana"/>
          <w:sz w:val="20"/>
        </w:rPr>
      </w:pPr>
      <w:r w:rsidRPr="002A7E12">
        <w:rPr>
          <w:rFonts w:ascii="Verdana" w:hAnsi="Verdana"/>
          <w:sz w:val="20"/>
        </w:rPr>
        <w:t xml:space="preserve">En el punto resolutivo décimo y en </w:t>
      </w:r>
      <w:r w:rsidR="00D92A85">
        <w:rPr>
          <w:rFonts w:ascii="Verdana" w:hAnsi="Verdana"/>
          <w:sz w:val="20"/>
        </w:rPr>
        <w:t>los</w:t>
      </w:r>
      <w:r w:rsidRPr="002A7E12">
        <w:rPr>
          <w:rFonts w:ascii="Verdana" w:hAnsi="Verdana"/>
          <w:sz w:val="20"/>
        </w:rPr>
        <w:t xml:space="preserve"> párrafo</w:t>
      </w:r>
      <w:r w:rsidR="00D92A85">
        <w:rPr>
          <w:rFonts w:ascii="Verdana" w:hAnsi="Verdana"/>
          <w:sz w:val="20"/>
        </w:rPr>
        <w:t>s</w:t>
      </w:r>
      <w:r w:rsidRPr="002A7E12">
        <w:rPr>
          <w:rFonts w:ascii="Verdana" w:hAnsi="Verdana"/>
          <w:sz w:val="20"/>
        </w:rPr>
        <w:t xml:space="preserve"> 443</w:t>
      </w:r>
      <w:r w:rsidR="00D92A85">
        <w:rPr>
          <w:rFonts w:ascii="Verdana" w:hAnsi="Verdana"/>
          <w:sz w:val="20"/>
        </w:rPr>
        <w:t xml:space="preserve"> y 460</w:t>
      </w:r>
      <w:r w:rsidRPr="002A7E12">
        <w:rPr>
          <w:rFonts w:ascii="Verdana" w:hAnsi="Verdana"/>
          <w:sz w:val="20"/>
        </w:rPr>
        <w:t xml:space="preserve"> de la Sentencia, la Corte determinó que </w:t>
      </w:r>
      <w:r w:rsidR="00D92A85">
        <w:rPr>
          <w:rFonts w:ascii="Verdana" w:hAnsi="Verdana"/>
          <w:sz w:val="20"/>
        </w:rPr>
        <w:t>“[</w:t>
      </w:r>
      <w:r w:rsidRPr="002A7E12">
        <w:rPr>
          <w:rFonts w:ascii="Verdana" w:hAnsi="Verdana"/>
          <w:sz w:val="20"/>
        </w:rPr>
        <w:t>e</w:t>
      </w:r>
      <w:r w:rsidR="00D92A85">
        <w:rPr>
          <w:rFonts w:ascii="Verdana" w:hAnsi="Verdana"/>
          <w:sz w:val="20"/>
        </w:rPr>
        <w:t xml:space="preserve">]l Estado </w:t>
      </w:r>
      <w:r w:rsidRPr="002A7E12">
        <w:rPr>
          <w:rFonts w:ascii="Verdana" w:hAnsi="Verdana"/>
          <w:sz w:val="20"/>
        </w:rPr>
        <w:t>debe realizar todas las actuaciones necesarias y adecuadas para garantizar</w:t>
      </w:r>
      <w:r w:rsidR="00D92A85">
        <w:rPr>
          <w:rFonts w:ascii="Verdana" w:hAnsi="Verdana"/>
          <w:sz w:val="20"/>
        </w:rPr>
        <w:t xml:space="preserve"> de manera efectiva la entrega </w:t>
      </w:r>
      <w:r w:rsidRPr="002A7E12">
        <w:rPr>
          <w:rFonts w:ascii="Verdana" w:hAnsi="Verdana"/>
          <w:sz w:val="20"/>
        </w:rPr>
        <w:t>de los restos de la víctima Mario Francisc</w:t>
      </w:r>
      <w:r w:rsidR="00D92A85">
        <w:rPr>
          <w:rFonts w:ascii="Verdana" w:hAnsi="Verdana"/>
          <w:sz w:val="20"/>
        </w:rPr>
        <w:t>o Aguilar Vega a sus familiares</w:t>
      </w:r>
      <w:r w:rsidRPr="002A7E12">
        <w:rPr>
          <w:rFonts w:ascii="Verdana" w:hAnsi="Verdana"/>
          <w:sz w:val="20"/>
        </w:rPr>
        <w:t>, dentro de un plazo de seis meses</w:t>
      </w:r>
      <w:r w:rsidRPr="00B1133C">
        <w:rPr>
          <w:rFonts w:ascii="Verdana" w:hAnsi="Verdana"/>
          <w:sz w:val="20"/>
        </w:rPr>
        <w:t xml:space="preserve">, </w:t>
      </w:r>
      <w:r w:rsidR="00D92A85" w:rsidRPr="00B1133C">
        <w:rPr>
          <w:rFonts w:ascii="Verdana" w:hAnsi="Verdana"/>
          <w:sz w:val="20"/>
        </w:rPr>
        <w:t>y debe cubrir todos los gastos de entrega así como los gastos de entierro en los que los familiares puedan incurrir</w:t>
      </w:r>
      <w:r w:rsidR="00D92A85">
        <w:rPr>
          <w:rFonts w:ascii="Verdana" w:hAnsi="Verdana"/>
          <w:sz w:val="20"/>
        </w:rPr>
        <w:t>”. Asimismo, dispuso que los familiares pueden “</w:t>
      </w:r>
      <w:r w:rsidRPr="00D92A85">
        <w:rPr>
          <w:rFonts w:ascii="Verdana" w:hAnsi="Verdana" w:cs="Verdana"/>
          <w:sz w:val="20"/>
          <w:lang w:val="es-CR"/>
        </w:rPr>
        <w:t>darle la sepultura de la forma que estimen pertinente”</w:t>
      </w:r>
      <w:r w:rsidRPr="002A7E12">
        <w:rPr>
          <w:rStyle w:val="Refdenotaalpie"/>
          <w:rFonts w:ascii="Verdana" w:hAnsi="Verdana" w:cs="Verdana"/>
          <w:sz w:val="20"/>
          <w:lang w:val="es-CR"/>
        </w:rPr>
        <w:footnoteReference w:id="21"/>
      </w:r>
      <w:r w:rsidRPr="00D92A85">
        <w:rPr>
          <w:rFonts w:ascii="Verdana" w:hAnsi="Verdana"/>
          <w:sz w:val="20"/>
        </w:rPr>
        <w:t xml:space="preserve">. </w:t>
      </w:r>
    </w:p>
    <w:p w:rsidR="00D92A85" w:rsidRPr="00C84044" w:rsidRDefault="00D92A85" w:rsidP="00D333AB">
      <w:pPr>
        <w:pStyle w:val="Cuadrculamedia1-nfasis2"/>
        <w:tabs>
          <w:tab w:val="left" w:pos="567"/>
        </w:tabs>
        <w:ind w:left="0"/>
        <w:contextualSpacing/>
        <w:jc w:val="both"/>
      </w:pPr>
    </w:p>
    <w:p w:rsidR="001A0FA6" w:rsidRPr="00136D42" w:rsidRDefault="00BA13A2" w:rsidP="00D333AB">
      <w:pPr>
        <w:pStyle w:val="Cuadrculamedia1-nfasis2"/>
        <w:numPr>
          <w:ilvl w:val="0"/>
          <w:numId w:val="1"/>
        </w:numPr>
        <w:tabs>
          <w:tab w:val="left" w:pos="567"/>
        </w:tabs>
        <w:ind w:left="0" w:firstLine="0"/>
        <w:contextualSpacing/>
        <w:jc w:val="both"/>
        <w:rPr>
          <w:rFonts w:ascii="Verdana" w:hAnsi="Verdana"/>
          <w:sz w:val="20"/>
        </w:rPr>
      </w:pPr>
      <w:r>
        <w:rPr>
          <w:rFonts w:ascii="Verdana" w:hAnsi="Verdana"/>
          <w:sz w:val="20"/>
        </w:rPr>
        <w:t xml:space="preserve">En la Resolución </w:t>
      </w:r>
      <w:r w:rsidR="001A0FA6" w:rsidRPr="009122C9">
        <w:rPr>
          <w:rFonts w:ascii="Verdana" w:hAnsi="Verdana"/>
          <w:sz w:val="20"/>
        </w:rPr>
        <w:t xml:space="preserve">de </w:t>
      </w:r>
      <w:r>
        <w:rPr>
          <w:rFonts w:ascii="Verdana" w:hAnsi="Verdana"/>
          <w:sz w:val="20"/>
        </w:rPr>
        <w:t xml:space="preserve">marzo de 2014 </w:t>
      </w:r>
      <w:r w:rsidR="000D5510">
        <w:rPr>
          <w:rFonts w:ascii="Verdana" w:hAnsi="Verdana"/>
          <w:sz w:val="20"/>
        </w:rPr>
        <w:t>(</w:t>
      </w:r>
      <w:r w:rsidR="000D5510">
        <w:rPr>
          <w:rFonts w:ascii="Verdana" w:hAnsi="Verdana"/>
          <w:i/>
          <w:sz w:val="20"/>
        </w:rPr>
        <w:t xml:space="preserve">supra </w:t>
      </w:r>
      <w:r w:rsidR="000D5510">
        <w:rPr>
          <w:rFonts w:ascii="Verdana" w:hAnsi="Verdana"/>
          <w:sz w:val="20"/>
        </w:rPr>
        <w:t xml:space="preserve">Visto 3) </w:t>
      </w:r>
      <w:r>
        <w:rPr>
          <w:rFonts w:ascii="Verdana" w:hAnsi="Verdana"/>
          <w:sz w:val="20"/>
        </w:rPr>
        <w:t xml:space="preserve">este Tribunal </w:t>
      </w:r>
      <w:r w:rsidR="00346735">
        <w:rPr>
          <w:rFonts w:ascii="Verdana" w:hAnsi="Verdana"/>
          <w:sz w:val="20"/>
        </w:rPr>
        <w:t>estimó que existía “</w:t>
      </w:r>
      <w:r w:rsidR="00346735" w:rsidRPr="00346735">
        <w:rPr>
          <w:rFonts w:ascii="Verdana" w:hAnsi="Verdana"/>
          <w:sz w:val="20"/>
        </w:rPr>
        <w:t xml:space="preserve">falta de claridad con respecto </w:t>
      </w:r>
      <w:proofErr w:type="gramStart"/>
      <w:r w:rsidR="00346735" w:rsidRPr="00346735">
        <w:rPr>
          <w:rFonts w:ascii="Verdana" w:hAnsi="Verdana"/>
          <w:sz w:val="20"/>
        </w:rPr>
        <w:t>a</w:t>
      </w:r>
      <w:r w:rsidR="00AB30B9">
        <w:rPr>
          <w:rFonts w:ascii="Verdana" w:hAnsi="Verdana"/>
          <w:sz w:val="20"/>
        </w:rPr>
        <w:t>[</w:t>
      </w:r>
      <w:proofErr w:type="gramEnd"/>
      <w:r w:rsidR="00AB30B9">
        <w:rPr>
          <w:rFonts w:ascii="Verdana" w:hAnsi="Verdana"/>
          <w:sz w:val="20"/>
        </w:rPr>
        <w:t>l señor Ladislao Alberto Huamán Loayza,]</w:t>
      </w:r>
      <w:r w:rsidR="00346735" w:rsidRPr="00346735">
        <w:rPr>
          <w:rFonts w:ascii="Verdana" w:hAnsi="Verdana"/>
          <w:sz w:val="20"/>
        </w:rPr>
        <w:t xml:space="preserve"> a quien fueron supuestamente</w:t>
      </w:r>
      <w:r w:rsidR="00346735">
        <w:rPr>
          <w:rFonts w:ascii="Verdana" w:hAnsi="Verdana"/>
          <w:sz w:val="20"/>
        </w:rPr>
        <w:t xml:space="preserve"> </w:t>
      </w:r>
      <w:r w:rsidR="00346735" w:rsidRPr="00346735">
        <w:rPr>
          <w:rFonts w:ascii="Verdana" w:hAnsi="Verdana"/>
          <w:sz w:val="20"/>
        </w:rPr>
        <w:t xml:space="preserve">entregados los restos del señor Aguilar Vega y la legalidad de </w:t>
      </w:r>
      <w:r w:rsidR="00AB30B9">
        <w:rPr>
          <w:rFonts w:ascii="Verdana" w:hAnsi="Verdana"/>
          <w:sz w:val="20"/>
        </w:rPr>
        <w:t>[dicha]</w:t>
      </w:r>
      <w:r w:rsidR="00346735" w:rsidRPr="00346735">
        <w:rPr>
          <w:rFonts w:ascii="Verdana" w:hAnsi="Verdana"/>
          <w:sz w:val="20"/>
        </w:rPr>
        <w:t xml:space="preserve"> entrega</w:t>
      </w:r>
      <w:r w:rsidR="00AB30B9">
        <w:rPr>
          <w:rFonts w:ascii="Verdana" w:hAnsi="Verdana"/>
          <w:sz w:val="20"/>
        </w:rPr>
        <w:t xml:space="preserve">[, considerando que] </w:t>
      </w:r>
      <w:r w:rsidR="00346735" w:rsidRPr="00346735">
        <w:rPr>
          <w:rFonts w:ascii="Verdana" w:hAnsi="Verdana"/>
          <w:sz w:val="20"/>
        </w:rPr>
        <w:t>la viuda del</w:t>
      </w:r>
      <w:r w:rsidR="00346735">
        <w:rPr>
          <w:rFonts w:ascii="Verdana" w:hAnsi="Verdana"/>
          <w:sz w:val="20"/>
        </w:rPr>
        <w:t xml:space="preserve"> </w:t>
      </w:r>
      <w:r w:rsidR="00346735" w:rsidRPr="00346735">
        <w:rPr>
          <w:rFonts w:ascii="Verdana" w:hAnsi="Verdana"/>
          <w:sz w:val="20"/>
        </w:rPr>
        <w:t xml:space="preserve">señor Aguilar Vega sostiene no haber recibido tales restos y desconocer </w:t>
      </w:r>
      <w:r w:rsidR="00AB30B9">
        <w:rPr>
          <w:rFonts w:ascii="Verdana" w:hAnsi="Verdana"/>
          <w:sz w:val="20"/>
        </w:rPr>
        <w:t>[quién el señor Huamán Loayza,] persona</w:t>
      </w:r>
      <w:r w:rsidR="00346735" w:rsidRPr="00346735">
        <w:rPr>
          <w:rFonts w:ascii="Verdana" w:hAnsi="Verdana"/>
          <w:sz w:val="20"/>
        </w:rPr>
        <w:t xml:space="preserve"> a quien</w:t>
      </w:r>
      <w:r w:rsidR="00346735">
        <w:rPr>
          <w:rFonts w:ascii="Verdana" w:hAnsi="Verdana"/>
          <w:sz w:val="20"/>
        </w:rPr>
        <w:t xml:space="preserve"> </w:t>
      </w:r>
      <w:r w:rsidR="00346735" w:rsidRPr="00346735">
        <w:rPr>
          <w:rFonts w:ascii="Verdana" w:hAnsi="Verdana"/>
          <w:sz w:val="20"/>
        </w:rPr>
        <w:t>supuestamente habrían sido entregados</w:t>
      </w:r>
      <w:r w:rsidR="00346735">
        <w:rPr>
          <w:rFonts w:ascii="Verdana" w:hAnsi="Verdana"/>
          <w:sz w:val="20"/>
        </w:rPr>
        <w:t>”</w:t>
      </w:r>
      <w:r w:rsidR="00346735">
        <w:rPr>
          <w:rStyle w:val="Refdenotaalpie"/>
          <w:rFonts w:ascii="Verdana" w:hAnsi="Verdana"/>
          <w:sz w:val="20"/>
        </w:rPr>
        <w:footnoteReference w:id="22"/>
      </w:r>
      <w:r w:rsidR="00346735" w:rsidRPr="00346735">
        <w:rPr>
          <w:rFonts w:ascii="Verdana" w:hAnsi="Verdana"/>
          <w:sz w:val="20"/>
        </w:rPr>
        <w:t>.</w:t>
      </w:r>
      <w:r w:rsidR="00346735">
        <w:rPr>
          <w:rFonts w:ascii="Verdana" w:hAnsi="Verdana"/>
          <w:sz w:val="20"/>
        </w:rPr>
        <w:t xml:space="preserve"> En razón de ello,</w:t>
      </w:r>
      <w:r w:rsidR="000D5510">
        <w:rPr>
          <w:rFonts w:ascii="Verdana" w:hAnsi="Verdana"/>
          <w:sz w:val="20"/>
        </w:rPr>
        <w:t xml:space="preserve"> l</w:t>
      </w:r>
      <w:r w:rsidR="00346735" w:rsidRPr="00346735">
        <w:rPr>
          <w:rFonts w:ascii="Verdana" w:hAnsi="Verdana"/>
          <w:sz w:val="20"/>
        </w:rPr>
        <w:t xml:space="preserve">a Corte </w:t>
      </w:r>
      <w:r w:rsidR="00346735">
        <w:rPr>
          <w:rFonts w:ascii="Verdana" w:hAnsi="Verdana"/>
          <w:sz w:val="20"/>
        </w:rPr>
        <w:t>ordenó al Estado que: i) informara “</w:t>
      </w:r>
      <w:r w:rsidR="00346735" w:rsidRPr="00346735">
        <w:rPr>
          <w:rFonts w:ascii="Verdana" w:hAnsi="Verdana"/>
          <w:sz w:val="20"/>
        </w:rPr>
        <w:t>si</w:t>
      </w:r>
      <w:r w:rsidR="00346735">
        <w:rPr>
          <w:rFonts w:ascii="Verdana" w:hAnsi="Verdana"/>
          <w:sz w:val="20"/>
        </w:rPr>
        <w:t xml:space="preserve"> </w:t>
      </w:r>
      <w:r w:rsidR="00346735" w:rsidRPr="00346735">
        <w:rPr>
          <w:rFonts w:ascii="Verdana" w:hAnsi="Verdana"/>
          <w:sz w:val="20"/>
        </w:rPr>
        <w:t>fueron cumplidos los requerimientos para efectuar la entrega de los restos fehacientemente</w:t>
      </w:r>
      <w:r w:rsidR="00346735">
        <w:rPr>
          <w:rFonts w:ascii="Verdana" w:hAnsi="Verdana"/>
          <w:sz w:val="20"/>
        </w:rPr>
        <w:t xml:space="preserve"> </w:t>
      </w:r>
      <w:r w:rsidR="00346735" w:rsidRPr="00346735">
        <w:rPr>
          <w:rFonts w:ascii="Verdana" w:hAnsi="Verdana"/>
          <w:sz w:val="20"/>
        </w:rPr>
        <w:t xml:space="preserve">identificados a los familiares </w:t>
      </w:r>
      <w:r w:rsidR="00346735">
        <w:rPr>
          <w:rFonts w:ascii="Verdana" w:hAnsi="Verdana"/>
          <w:sz w:val="20"/>
        </w:rPr>
        <w:t>[y]</w:t>
      </w:r>
      <w:r w:rsidR="00346735" w:rsidRPr="00346735">
        <w:rPr>
          <w:rFonts w:ascii="Verdana" w:hAnsi="Verdana"/>
          <w:sz w:val="20"/>
        </w:rPr>
        <w:t xml:space="preserve"> si efectivamente medió una orden judicial</w:t>
      </w:r>
      <w:r w:rsidR="00346735">
        <w:rPr>
          <w:rFonts w:ascii="Verdana" w:hAnsi="Verdana"/>
          <w:sz w:val="20"/>
        </w:rPr>
        <w:t xml:space="preserve"> [para ello</w:t>
      </w:r>
      <w:r w:rsidR="00F65965">
        <w:rPr>
          <w:rFonts w:ascii="Verdana" w:hAnsi="Verdana"/>
          <w:sz w:val="20"/>
        </w:rPr>
        <w:t>]</w:t>
      </w:r>
      <w:r w:rsidR="00346735">
        <w:rPr>
          <w:rFonts w:ascii="Verdana" w:hAnsi="Verdana"/>
          <w:sz w:val="20"/>
        </w:rPr>
        <w:t>”; y ii) implementara</w:t>
      </w:r>
      <w:r w:rsidR="00346735" w:rsidRPr="00346735">
        <w:rPr>
          <w:rFonts w:ascii="Verdana" w:hAnsi="Verdana"/>
          <w:sz w:val="20"/>
        </w:rPr>
        <w:t xml:space="preserve"> </w:t>
      </w:r>
      <w:r w:rsidR="00346735">
        <w:rPr>
          <w:rFonts w:ascii="Verdana" w:hAnsi="Verdana"/>
          <w:sz w:val="20"/>
        </w:rPr>
        <w:t>“</w:t>
      </w:r>
      <w:r w:rsidR="00346735" w:rsidRPr="00346735">
        <w:rPr>
          <w:rFonts w:ascii="Verdana" w:hAnsi="Verdana"/>
          <w:sz w:val="20"/>
        </w:rPr>
        <w:t>todas las medidas necesarias para establecer</w:t>
      </w:r>
      <w:r w:rsidR="00346735">
        <w:rPr>
          <w:rFonts w:ascii="Verdana" w:hAnsi="Verdana"/>
          <w:sz w:val="20"/>
        </w:rPr>
        <w:t xml:space="preserve"> </w:t>
      </w:r>
      <w:r w:rsidR="00346735" w:rsidRPr="00346735">
        <w:rPr>
          <w:rFonts w:ascii="Verdana" w:hAnsi="Verdana"/>
          <w:sz w:val="20"/>
        </w:rPr>
        <w:t>con certeza si los restos d</w:t>
      </w:r>
      <w:r w:rsidR="004266CB">
        <w:rPr>
          <w:rFonts w:ascii="Verdana" w:hAnsi="Verdana"/>
          <w:sz w:val="20"/>
        </w:rPr>
        <w:t>el señor Aguilar Vega fueron fe</w:t>
      </w:r>
      <w:r w:rsidR="00346735" w:rsidRPr="00346735">
        <w:rPr>
          <w:rFonts w:ascii="Verdana" w:hAnsi="Verdana"/>
          <w:sz w:val="20"/>
        </w:rPr>
        <w:t>hacientemente identificados y lo</w:t>
      </w:r>
      <w:r w:rsidR="00346735">
        <w:rPr>
          <w:rFonts w:ascii="Verdana" w:hAnsi="Verdana"/>
          <w:sz w:val="20"/>
        </w:rPr>
        <w:t xml:space="preserve"> </w:t>
      </w:r>
      <w:r w:rsidR="00346735" w:rsidRPr="00346735">
        <w:rPr>
          <w:rFonts w:ascii="Verdana" w:hAnsi="Verdana"/>
          <w:sz w:val="20"/>
        </w:rPr>
        <w:t>sucedido con los mismos y que, previo a cumplir con entregarlos debidamente a sus</w:t>
      </w:r>
      <w:r w:rsidR="00346735">
        <w:rPr>
          <w:rFonts w:ascii="Verdana" w:hAnsi="Verdana"/>
          <w:sz w:val="20"/>
        </w:rPr>
        <w:t xml:space="preserve"> </w:t>
      </w:r>
      <w:r w:rsidR="00346735" w:rsidRPr="00346735">
        <w:rPr>
          <w:rFonts w:ascii="Verdana" w:hAnsi="Verdana"/>
          <w:sz w:val="20"/>
        </w:rPr>
        <w:t>familiares, adopte las medidas correspondientes para comprobarles que se trata de los</w:t>
      </w:r>
      <w:r w:rsidR="00346735">
        <w:rPr>
          <w:rFonts w:ascii="Verdana" w:hAnsi="Verdana"/>
          <w:sz w:val="20"/>
        </w:rPr>
        <w:t xml:space="preserve"> </w:t>
      </w:r>
      <w:r w:rsidR="00346735" w:rsidRPr="00346735">
        <w:rPr>
          <w:rFonts w:ascii="Verdana" w:hAnsi="Verdana"/>
          <w:sz w:val="20"/>
        </w:rPr>
        <w:t>restos identificados del señor Mario Francisco Aguilar Vega</w:t>
      </w:r>
      <w:r w:rsidR="00346735">
        <w:rPr>
          <w:rFonts w:ascii="Verdana" w:hAnsi="Verdana"/>
          <w:sz w:val="20"/>
        </w:rPr>
        <w:t>”</w:t>
      </w:r>
      <w:r w:rsidR="00346735" w:rsidRPr="00346735">
        <w:rPr>
          <w:rFonts w:ascii="Verdana" w:hAnsi="Verdana"/>
          <w:sz w:val="20"/>
        </w:rPr>
        <w:t xml:space="preserve">. </w:t>
      </w:r>
      <w:r w:rsidR="00346735">
        <w:rPr>
          <w:rFonts w:ascii="Verdana" w:hAnsi="Verdana"/>
          <w:sz w:val="20"/>
        </w:rPr>
        <w:t>El Tribunal indicó al Estado que debía “</w:t>
      </w:r>
      <w:r w:rsidR="00346735" w:rsidRPr="00346735">
        <w:rPr>
          <w:rFonts w:ascii="Verdana" w:hAnsi="Verdana"/>
          <w:sz w:val="20"/>
        </w:rPr>
        <w:t>aportar la</w:t>
      </w:r>
      <w:r w:rsidR="00346735">
        <w:rPr>
          <w:rFonts w:ascii="Verdana" w:hAnsi="Verdana"/>
          <w:sz w:val="20"/>
        </w:rPr>
        <w:t xml:space="preserve"> </w:t>
      </w:r>
      <w:r w:rsidR="00346735" w:rsidRPr="00346735">
        <w:rPr>
          <w:rFonts w:ascii="Verdana" w:hAnsi="Verdana"/>
          <w:sz w:val="20"/>
        </w:rPr>
        <w:t xml:space="preserve">documentación de </w:t>
      </w:r>
      <w:r w:rsidR="00346735" w:rsidRPr="00346735">
        <w:rPr>
          <w:rFonts w:ascii="Verdana" w:hAnsi="Verdana"/>
          <w:sz w:val="20"/>
        </w:rPr>
        <w:lastRenderedPageBreak/>
        <w:t xml:space="preserve">soporte de tales </w:t>
      </w:r>
      <w:proofErr w:type="spellStart"/>
      <w:r w:rsidR="00346735" w:rsidRPr="00346735">
        <w:rPr>
          <w:rFonts w:ascii="Verdana" w:hAnsi="Verdana"/>
          <w:sz w:val="20"/>
        </w:rPr>
        <w:t>explicacione</w:t>
      </w:r>
      <w:proofErr w:type="spellEnd"/>
      <w:r w:rsidR="00501D72">
        <w:rPr>
          <w:rFonts w:ascii="Verdana" w:hAnsi="Verdana"/>
          <w:sz w:val="20"/>
        </w:rPr>
        <w:t>[</w:t>
      </w:r>
      <w:r w:rsidR="00346735">
        <w:rPr>
          <w:rFonts w:ascii="Verdana" w:hAnsi="Verdana"/>
          <w:sz w:val="20"/>
        </w:rPr>
        <w:t>s</w:t>
      </w:r>
      <w:r w:rsidR="00501D72">
        <w:rPr>
          <w:rFonts w:ascii="Verdana" w:hAnsi="Verdana"/>
          <w:sz w:val="20"/>
        </w:rPr>
        <w:t>]</w:t>
      </w:r>
      <w:r w:rsidR="00346735">
        <w:rPr>
          <w:rFonts w:ascii="Verdana" w:hAnsi="Verdana"/>
          <w:sz w:val="20"/>
        </w:rPr>
        <w:t>” y que, en razón del tiempo transcurrido así como “</w:t>
      </w:r>
      <w:r w:rsidR="00346735" w:rsidRPr="00346735">
        <w:rPr>
          <w:rFonts w:ascii="Verdana" w:hAnsi="Verdana"/>
          <w:sz w:val="20"/>
        </w:rPr>
        <w:t>la relevancia que este tipo de</w:t>
      </w:r>
      <w:r w:rsidR="00346735">
        <w:rPr>
          <w:rFonts w:ascii="Verdana" w:hAnsi="Verdana"/>
          <w:sz w:val="20"/>
        </w:rPr>
        <w:t xml:space="preserve"> </w:t>
      </w:r>
      <w:r w:rsidR="00346735" w:rsidRPr="00346735">
        <w:rPr>
          <w:rFonts w:ascii="Verdana" w:hAnsi="Verdana"/>
          <w:sz w:val="20"/>
        </w:rPr>
        <w:t xml:space="preserve">medida tiene para los familiares de la víctima </w:t>
      </w:r>
      <w:proofErr w:type="gramStart"/>
      <w:r w:rsidR="00346735" w:rsidRPr="00346735">
        <w:rPr>
          <w:rFonts w:ascii="Verdana" w:hAnsi="Verdana"/>
          <w:sz w:val="20"/>
        </w:rPr>
        <w:t>fallecida</w:t>
      </w:r>
      <w:r w:rsidR="00363202">
        <w:rPr>
          <w:rFonts w:ascii="Verdana" w:hAnsi="Verdana"/>
          <w:sz w:val="20"/>
        </w:rPr>
        <w:t>[</w:t>
      </w:r>
      <w:proofErr w:type="gramEnd"/>
      <w:r w:rsidR="000D5510">
        <w:rPr>
          <w:rFonts w:ascii="Verdana" w:hAnsi="Verdana"/>
          <w:sz w:val="20"/>
        </w:rPr>
        <w:t xml:space="preserve">, </w:t>
      </w:r>
      <w:r w:rsidR="00363202">
        <w:rPr>
          <w:rFonts w:ascii="Verdana" w:hAnsi="Verdana"/>
          <w:sz w:val="20"/>
        </w:rPr>
        <w:t>obtener] una satisfacción moral y</w:t>
      </w:r>
      <w:r w:rsidR="00501D72">
        <w:rPr>
          <w:rFonts w:ascii="Verdana" w:hAnsi="Verdana"/>
          <w:sz w:val="20"/>
        </w:rPr>
        <w:t xml:space="preserve"> […]</w:t>
      </w:r>
      <w:r w:rsidR="00363202">
        <w:rPr>
          <w:rFonts w:ascii="Verdana" w:hAnsi="Verdana"/>
          <w:sz w:val="20"/>
        </w:rPr>
        <w:t xml:space="preserve"> cerrar el proceso de duelo</w:t>
      </w:r>
      <w:r w:rsidR="00346735">
        <w:rPr>
          <w:rFonts w:ascii="Verdana" w:hAnsi="Verdana"/>
          <w:sz w:val="20"/>
        </w:rPr>
        <w:t>”</w:t>
      </w:r>
      <w:r w:rsidR="00346735" w:rsidRPr="00346735">
        <w:rPr>
          <w:rFonts w:ascii="Verdana" w:hAnsi="Verdana"/>
          <w:sz w:val="20"/>
        </w:rPr>
        <w:t xml:space="preserve">, </w:t>
      </w:r>
      <w:r w:rsidR="00346735">
        <w:rPr>
          <w:rFonts w:ascii="Verdana" w:hAnsi="Verdana"/>
          <w:sz w:val="20"/>
        </w:rPr>
        <w:t>se requ</w:t>
      </w:r>
      <w:r w:rsidR="00346735" w:rsidRPr="00346735">
        <w:rPr>
          <w:rFonts w:ascii="Verdana" w:hAnsi="Verdana"/>
          <w:sz w:val="20"/>
        </w:rPr>
        <w:t>e</w:t>
      </w:r>
      <w:r w:rsidR="00346735">
        <w:rPr>
          <w:rFonts w:ascii="Verdana" w:hAnsi="Verdana"/>
          <w:sz w:val="20"/>
        </w:rPr>
        <w:t xml:space="preserve">ría “su </w:t>
      </w:r>
      <w:r w:rsidR="00346735" w:rsidRPr="00346735">
        <w:rPr>
          <w:rFonts w:ascii="Verdana" w:hAnsi="Verdana"/>
          <w:sz w:val="20"/>
        </w:rPr>
        <w:t>cumplimiento a la mayor brevedad</w:t>
      </w:r>
      <w:r w:rsidR="00346735">
        <w:rPr>
          <w:rFonts w:ascii="Verdana" w:hAnsi="Verdana"/>
          <w:sz w:val="20"/>
        </w:rPr>
        <w:t>”</w:t>
      </w:r>
      <w:r w:rsidR="00346735" w:rsidRPr="00346735">
        <w:rPr>
          <w:rFonts w:ascii="Verdana" w:hAnsi="Verdana"/>
          <w:sz w:val="20"/>
        </w:rPr>
        <w:t>.</w:t>
      </w:r>
    </w:p>
    <w:p w:rsidR="001A0FA6" w:rsidRDefault="001A0FA6" w:rsidP="00D333AB">
      <w:pPr>
        <w:pStyle w:val="Cuadrculamedia1-nfasis2"/>
        <w:rPr>
          <w:rFonts w:ascii="Verdana" w:hAnsi="Verdana"/>
          <w:sz w:val="20"/>
        </w:rPr>
      </w:pPr>
    </w:p>
    <w:p w:rsidR="00D77B77" w:rsidRPr="00840F0E" w:rsidRDefault="00136D42" w:rsidP="00D333AB">
      <w:pPr>
        <w:pStyle w:val="Cuadrculamedia1-nfasis2"/>
        <w:numPr>
          <w:ilvl w:val="0"/>
          <w:numId w:val="1"/>
        </w:numPr>
        <w:tabs>
          <w:tab w:val="left" w:pos="567"/>
        </w:tabs>
        <w:ind w:left="0" w:firstLine="0"/>
        <w:contextualSpacing/>
        <w:jc w:val="both"/>
        <w:rPr>
          <w:rFonts w:ascii="Verdana" w:hAnsi="Verdana"/>
          <w:sz w:val="20"/>
        </w:rPr>
      </w:pPr>
      <w:r w:rsidRPr="00E50180">
        <w:rPr>
          <w:rFonts w:ascii="Verdana" w:hAnsi="Verdana"/>
          <w:sz w:val="20"/>
        </w:rPr>
        <w:t>Posteriormente, la Corte indicó en su Resolución de abril de 2015 que “</w:t>
      </w:r>
      <w:proofErr w:type="gramStart"/>
      <w:r w:rsidRPr="00E50180">
        <w:rPr>
          <w:rFonts w:ascii="Verdana" w:hAnsi="Verdana"/>
          <w:sz w:val="20"/>
        </w:rPr>
        <w:t>enc[</w:t>
      </w:r>
      <w:proofErr w:type="gramEnd"/>
      <w:r w:rsidRPr="00E50180">
        <w:rPr>
          <w:rFonts w:ascii="Verdana" w:hAnsi="Verdana"/>
          <w:sz w:val="20"/>
        </w:rPr>
        <w:t>ontraba] particularmente grave que el Perú no hubiere efectuado otras diligencias</w:t>
      </w:r>
      <w:r w:rsidR="00AB30B9">
        <w:rPr>
          <w:rFonts w:ascii="Verdana" w:hAnsi="Verdana"/>
          <w:sz w:val="20"/>
        </w:rPr>
        <w:t xml:space="preserve"> [adicionales a citaciones judiciales y otras solicitudes de declaración al señor Huamán Loayza]</w:t>
      </w:r>
      <w:r w:rsidRPr="00E50180">
        <w:rPr>
          <w:rFonts w:ascii="Verdana" w:hAnsi="Verdana"/>
          <w:sz w:val="20"/>
        </w:rPr>
        <w:t xml:space="preserve"> dirigidas a esclarecer lo sucedido con los restos de la víctima Aguilar Vega”, considerando que el Estado “no acató” lo solicitado mediante la Resolución de marzo de 2014</w:t>
      </w:r>
      <w:r w:rsidR="000D5510">
        <w:rPr>
          <w:rFonts w:ascii="Verdana" w:hAnsi="Verdana"/>
          <w:sz w:val="20"/>
        </w:rPr>
        <w:t>,</w:t>
      </w:r>
      <w:r w:rsidRPr="00E50180">
        <w:rPr>
          <w:rFonts w:ascii="Verdana" w:hAnsi="Verdana"/>
          <w:sz w:val="20"/>
        </w:rPr>
        <w:t xml:space="preserve"> lo cual “denota una falta de diligencia en el cumplimiento”. Asimismo, el Tribunal resaltó que dicha situación “es particularmente grave si se toma en cuenta la relevancia que este tipo de medida tiene para </w:t>
      </w:r>
      <w:r w:rsidRPr="00840F0E">
        <w:rPr>
          <w:rFonts w:ascii="Verdana" w:hAnsi="Verdana"/>
          <w:sz w:val="20"/>
        </w:rPr>
        <w:t xml:space="preserve">los familiares de la víctima”. </w:t>
      </w:r>
    </w:p>
    <w:p w:rsidR="004B74F4" w:rsidRDefault="004B74F4" w:rsidP="00D333AB">
      <w:pPr>
        <w:pStyle w:val="Cuadrculamedia1-nfasis2"/>
        <w:tabs>
          <w:tab w:val="left" w:pos="567"/>
        </w:tabs>
        <w:ind w:left="0"/>
        <w:contextualSpacing/>
        <w:jc w:val="both"/>
        <w:rPr>
          <w:rFonts w:ascii="Verdana" w:hAnsi="Verdana"/>
          <w:sz w:val="20"/>
        </w:rPr>
      </w:pPr>
    </w:p>
    <w:p w:rsidR="0035636A" w:rsidRPr="00840F0E" w:rsidRDefault="0035636A" w:rsidP="00D333AB">
      <w:pPr>
        <w:pStyle w:val="Cuadrculamedia1-nfasis2"/>
        <w:tabs>
          <w:tab w:val="left" w:pos="567"/>
        </w:tabs>
        <w:ind w:left="0"/>
        <w:contextualSpacing/>
        <w:jc w:val="both"/>
        <w:rPr>
          <w:rFonts w:ascii="Verdana" w:hAnsi="Verdana"/>
          <w:sz w:val="20"/>
        </w:rPr>
      </w:pPr>
    </w:p>
    <w:p w:rsidR="004B74F4" w:rsidRPr="00840F0E" w:rsidRDefault="004B74F4" w:rsidP="00D333AB">
      <w:pPr>
        <w:pStyle w:val="Cuadrculamedia1-nfasis2"/>
        <w:tabs>
          <w:tab w:val="left" w:pos="567"/>
        </w:tabs>
        <w:ind w:left="0"/>
        <w:contextualSpacing/>
        <w:jc w:val="both"/>
        <w:rPr>
          <w:rFonts w:ascii="Verdana" w:hAnsi="Verdana"/>
          <w:i/>
          <w:sz w:val="20"/>
          <w:lang w:val="es-MX"/>
        </w:rPr>
      </w:pPr>
      <w:r w:rsidRPr="00840F0E">
        <w:rPr>
          <w:rFonts w:ascii="Verdana" w:hAnsi="Verdana"/>
          <w:i/>
          <w:sz w:val="20"/>
        </w:rPr>
        <w:tab/>
        <w:t>B.2.</w:t>
      </w:r>
      <w:r w:rsidRPr="00840F0E">
        <w:rPr>
          <w:rFonts w:ascii="Verdana" w:hAnsi="Verdana"/>
          <w:i/>
          <w:sz w:val="20"/>
        </w:rPr>
        <w:tab/>
      </w:r>
      <w:r w:rsidRPr="00840F0E">
        <w:rPr>
          <w:rFonts w:ascii="Verdana" w:hAnsi="Verdana"/>
          <w:i/>
          <w:sz w:val="20"/>
          <w:lang w:val="es-MX"/>
        </w:rPr>
        <w:t>Información y observaciones de las partes y de la Comisión</w:t>
      </w:r>
    </w:p>
    <w:p w:rsidR="004B74F4" w:rsidRPr="00840F0E" w:rsidRDefault="004B74F4" w:rsidP="00D333AB">
      <w:pPr>
        <w:pStyle w:val="Cuadrculamedia1-nfasis2"/>
        <w:tabs>
          <w:tab w:val="left" w:pos="567"/>
        </w:tabs>
        <w:ind w:left="0"/>
        <w:contextualSpacing/>
        <w:jc w:val="both"/>
        <w:rPr>
          <w:rFonts w:ascii="Verdana" w:hAnsi="Verdana"/>
          <w:sz w:val="20"/>
        </w:rPr>
      </w:pPr>
    </w:p>
    <w:p w:rsidR="004B74F4" w:rsidRPr="00840F0E" w:rsidRDefault="004B74F4" w:rsidP="00D333AB">
      <w:pPr>
        <w:pStyle w:val="Cuadrculamedia1-nfasis2"/>
        <w:numPr>
          <w:ilvl w:val="0"/>
          <w:numId w:val="1"/>
        </w:numPr>
        <w:tabs>
          <w:tab w:val="left" w:pos="567"/>
        </w:tabs>
        <w:ind w:left="0" w:firstLine="0"/>
        <w:contextualSpacing/>
        <w:jc w:val="both"/>
        <w:rPr>
          <w:rFonts w:ascii="Verdana" w:hAnsi="Verdana"/>
          <w:sz w:val="20"/>
        </w:rPr>
      </w:pPr>
      <w:r w:rsidRPr="00840F0E">
        <w:rPr>
          <w:rFonts w:ascii="Verdana" w:hAnsi="Verdana"/>
          <w:sz w:val="20"/>
        </w:rPr>
        <w:t xml:space="preserve">El </w:t>
      </w:r>
      <w:r w:rsidRPr="00840F0E">
        <w:rPr>
          <w:rFonts w:ascii="Verdana" w:hAnsi="Verdana"/>
          <w:i/>
          <w:sz w:val="20"/>
        </w:rPr>
        <w:t xml:space="preserve">Estado </w:t>
      </w:r>
      <w:r w:rsidRPr="00840F0E">
        <w:rPr>
          <w:rFonts w:ascii="Verdana" w:hAnsi="Verdana"/>
          <w:sz w:val="20"/>
        </w:rPr>
        <w:t>señaló</w:t>
      </w:r>
      <w:r w:rsidR="000D5510">
        <w:rPr>
          <w:rFonts w:ascii="Verdana" w:hAnsi="Verdana"/>
          <w:sz w:val="20"/>
        </w:rPr>
        <w:t>,</w:t>
      </w:r>
      <w:r w:rsidRPr="00840F0E">
        <w:rPr>
          <w:rFonts w:ascii="Verdana" w:hAnsi="Verdana"/>
          <w:sz w:val="20"/>
        </w:rPr>
        <w:t xml:space="preserve"> en</w:t>
      </w:r>
      <w:r>
        <w:rPr>
          <w:rFonts w:ascii="Verdana" w:hAnsi="Verdana"/>
          <w:sz w:val="20"/>
        </w:rPr>
        <w:t xml:space="preserve"> agosto de 2015</w:t>
      </w:r>
      <w:r w:rsidR="000D5510">
        <w:rPr>
          <w:rFonts w:ascii="Verdana" w:hAnsi="Verdana"/>
          <w:sz w:val="20"/>
        </w:rPr>
        <w:t>,</w:t>
      </w:r>
      <w:r>
        <w:rPr>
          <w:rFonts w:ascii="Verdana" w:hAnsi="Verdana"/>
          <w:sz w:val="20"/>
        </w:rPr>
        <w:t xml:space="preserve"> que </w:t>
      </w:r>
      <w:r w:rsidR="00E73CAA">
        <w:rPr>
          <w:rFonts w:ascii="Verdana" w:hAnsi="Verdana"/>
          <w:sz w:val="20"/>
        </w:rPr>
        <w:t xml:space="preserve">había “indagado sobre lo sucedido con los restos del señor Francisco Aguilar Vega y </w:t>
      </w:r>
      <w:r w:rsidR="00456EB9">
        <w:rPr>
          <w:rFonts w:ascii="Verdana" w:hAnsi="Verdana"/>
          <w:sz w:val="20"/>
        </w:rPr>
        <w:t>logró</w:t>
      </w:r>
      <w:r w:rsidR="00E73CAA">
        <w:rPr>
          <w:rFonts w:ascii="Verdana" w:hAnsi="Verdana"/>
          <w:sz w:val="20"/>
        </w:rPr>
        <w:t xml:space="preserve"> ubicar al señor Ladislao Alberto Huamán Loayza”, quien labora para el “Consejo Nacional de la Magistratura”. Dicha oficina “informó que puso en conocimiento </w:t>
      </w:r>
      <w:proofErr w:type="gramStart"/>
      <w:r w:rsidR="00E73CAA">
        <w:rPr>
          <w:rFonts w:ascii="Verdana" w:hAnsi="Verdana"/>
          <w:sz w:val="20"/>
        </w:rPr>
        <w:t>de[</w:t>
      </w:r>
      <w:proofErr w:type="gramEnd"/>
      <w:r w:rsidR="00E73CAA">
        <w:rPr>
          <w:rFonts w:ascii="Verdana" w:hAnsi="Verdana"/>
          <w:sz w:val="20"/>
        </w:rPr>
        <w:t xml:space="preserve">l señor Huamán Loayza] las resoluciones emitidas por el Segundo Juzgado Penal </w:t>
      </w:r>
      <w:proofErr w:type="spellStart"/>
      <w:r w:rsidR="00E73CAA">
        <w:rPr>
          <w:rFonts w:ascii="Verdana" w:hAnsi="Verdana"/>
          <w:sz w:val="20"/>
        </w:rPr>
        <w:t>Supraprovincial</w:t>
      </w:r>
      <w:proofErr w:type="spellEnd"/>
      <w:r w:rsidR="00E73CAA">
        <w:rPr>
          <w:rFonts w:ascii="Verdana" w:hAnsi="Verdana"/>
          <w:sz w:val="20"/>
        </w:rPr>
        <w:t xml:space="preserve"> en las que se requería su declaración sobre el paradero de los restos de Mario Francisco Aguilar Vega”. </w:t>
      </w:r>
      <w:r w:rsidR="00E62EAF">
        <w:rPr>
          <w:rFonts w:ascii="Verdana" w:hAnsi="Verdana"/>
          <w:sz w:val="20"/>
        </w:rPr>
        <w:t xml:space="preserve">Los </w:t>
      </w:r>
      <w:r w:rsidR="00E62EAF" w:rsidRPr="004266CB">
        <w:rPr>
          <w:rFonts w:ascii="Verdana" w:hAnsi="Verdana"/>
          <w:i/>
          <w:sz w:val="20"/>
        </w:rPr>
        <w:t xml:space="preserve">intervinientes comunes </w:t>
      </w:r>
      <w:r w:rsidR="00E62EAF">
        <w:rPr>
          <w:rFonts w:ascii="Verdana" w:hAnsi="Verdana"/>
          <w:sz w:val="20"/>
        </w:rPr>
        <w:t>no presentaron observaciones al respecto. P</w:t>
      </w:r>
      <w:r w:rsidR="00067356">
        <w:rPr>
          <w:rFonts w:ascii="Verdana" w:hAnsi="Verdana"/>
          <w:sz w:val="20"/>
        </w:rPr>
        <w:t>o</w:t>
      </w:r>
      <w:r w:rsidR="00E62EAF">
        <w:rPr>
          <w:rFonts w:ascii="Verdana" w:hAnsi="Verdana"/>
          <w:sz w:val="20"/>
        </w:rPr>
        <w:t>r su parte</w:t>
      </w:r>
      <w:r w:rsidR="00067356">
        <w:rPr>
          <w:rFonts w:ascii="Verdana" w:hAnsi="Verdana"/>
          <w:sz w:val="20"/>
        </w:rPr>
        <w:t xml:space="preserve">, la </w:t>
      </w:r>
      <w:r w:rsidR="00067356" w:rsidRPr="004266CB">
        <w:rPr>
          <w:rFonts w:ascii="Verdana" w:hAnsi="Verdana"/>
          <w:i/>
          <w:sz w:val="20"/>
        </w:rPr>
        <w:t>Comisión</w:t>
      </w:r>
      <w:r w:rsidR="00067356">
        <w:rPr>
          <w:rFonts w:ascii="Verdana" w:hAnsi="Verdana"/>
          <w:sz w:val="20"/>
        </w:rPr>
        <w:t xml:space="preserve"> señaló en sus observaciones de septiembre de 2015 que </w:t>
      </w:r>
      <w:r w:rsidR="004B4612">
        <w:rPr>
          <w:rFonts w:ascii="Verdana" w:hAnsi="Verdana"/>
          <w:sz w:val="20"/>
        </w:rPr>
        <w:t>“</w:t>
      </w:r>
      <w:r w:rsidR="00920AC3">
        <w:rPr>
          <w:rFonts w:ascii="Verdana" w:hAnsi="Verdana"/>
          <w:sz w:val="20"/>
        </w:rPr>
        <w:t>la aus</w:t>
      </w:r>
      <w:r w:rsidR="00067356">
        <w:rPr>
          <w:rFonts w:ascii="Verdana" w:hAnsi="Verdana"/>
          <w:sz w:val="20"/>
        </w:rPr>
        <w:t xml:space="preserve">encia de mayores esfuerzos estatales a lo largo de estos años para lograr la efectiva entrega de los restos, continúa dificultando que los familiares del señor Aguilar vega puedan </w:t>
      </w:r>
      <w:r w:rsidR="00067356" w:rsidRPr="00840F0E">
        <w:rPr>
          <w:rFonts w:ascii="Verdana" w:hAnsi="Verdana"/>
          <w:sz w:val="20"/>
        </w:rPr>
        <w:t>cerrar el proceso de duelo que han estado viviendo a lo largo de los años”.</w:t>
      </w:r>
    </w:p>
    <w:p w:rsidR="004B74F4" w:rsidRDefault="004B74F4" w:rsidP="00D333AB">
      <w:pPr>
        <w:pStyle w:val="Cuadrculamedia1-nfasis2"/>
        <w:tabs>
          <w:tab w:val="left" w:pos="567"/>
        </w:tabs>
        <w:ind w:left="0"/>
        <w:contextualSpacing/>
        <w:jc w:val="both"/>
        <w:rPr>
          <w:rFonts w:ascii="Verdana" w:hAnsi="Verdana"/>
          <w:i/>
          <w:sz w:val="20"/>
          <w:lang w:val="es-MX"/>
        </w:rPr>
      </w:pPr>
      <w:bookmarkStart w:id="24" w:name="_Toc470015976"/>
      <w:bookmarkStart w:id="25" w:name="_Toc470016704"/>
      <w:bookmarkStart w:id="26" w:name="_Toc345249287"/>
    </w:p>
    <w:p w:rsidR="0035636A" w:rsidRDefault="0035636A" w:rsidP="00D333AB">
      <w:pPr>
        <w:pStyle w:val="Cuadrculamedia1-nfasis2"/>
        <w:tabs>
          <w:tab w:val="left" w:pos="567"/>
        </w:tabs>
        <w:ind w:left="0"/>
        <w:contextualSpacing/>
        <w:jc w:val="both"/>
        <w:rPr>
          <w:rFonts w:ascii="Verdana" w:hAnsi="Verdana"/>
          <w:i/>
          <w:sz w:val="20"/>
          <w:lang w:val="es-MX"/>
        </w:rPr>
      </w:pPr>
    </w:p>
    <w:p w:rsidR="001A0FA6" w:rsidRPr="003C4EFF" w:rsidRDefault="004B74F4" w:rsidP="00D333AB">
      <w:pPr>
        <w:pStyle w:val="Cuadrculamedia1-nfasis2"/>
        <w:tabs>
          <w:tab w:val="left" w:pos="567"/>
        </w:tabs>
        <w:ind w:left="0"/>
        <w:contextualSpacing/>
        <w:jc w:val="both"/>
        <w:rPr>
          <w:rFonts w:ascii="Verdana" w:hAnsi="Verdana"/>
          <w:i/>
          <w:color w:val="000000"/>
          <w:sz w:val="20"/>
          <w:lang w:val="es-MX"/>
        </w:rPr>
      </w:pPr>
      <w:r w:rsidRPr="003C4EFF">
        <w:rPr>
          <w:color w:val="000000"/>
        </w:rPr>
        <w:tab/>
      </w:r>
      <w:r w:rsidRPr="003C4EFF">
        <w:rPr>
          <w:rFonts w:ascii="Verdana" w:hAnsi="Verdana"/>
          <w:i/>
          <w:color w:val="000000"/>
          <w:sz w:val="20"/>
        </w:rPr>
        <w:t xml:space="preserve">B.3. </w:t>
      </w:r>
      <w:r w:rsidR="001A0FA6" w:rsidRPr="003C4EFF">
        <w:rPr>
          <w:rFonts w:ascii="Verdana" w:hAnsi="Verdana"/>
          <w:i/>
          <w:color w:val="000000"/>
          <w:sz w:val="20"/>
        </w:rPr>
        <w:t>Consideraciones de la Corte</w:t>
      </w:r>
      <w:bookmarkEnd w:id="24"/>
      <w:bookmarkEnd w:id="25"/>
      <w:bookmarkEnd w:id="26"/>
    </w:p>
    <w:p w:rsidR="001A0FA6" w:rsidRDefault="001A0FA6" w:rsidP="00D333AB">
      <w:pPr>
        <w:tabs>
          <w:tab w:val="left" w:pos="567"/>
        </w:tabs>
        <w:jc w:val="both"/>
        <w:rPr>
          <w:rFonts w:ascii="Verdana" w:hAnsi="Verdana"/>
          <w:i/>
          <w:color w:val="000000"/>
          <w:sz w:val="20"/>
        </w:rPr>
      </w:pPr>
    </w:p>
    <w:p w:rsidR="001A0FA6" w:rsidRDefault="00D04AE7" w:rsidP="00D333AB">
      <w:pPr>
        <w:pStyle w:val="Cuadrculamedia1-nfasis2"/>
        <w:numPr>
          <w:ilvl w:val="0"/>
          <w:numId w:val="1"/>
        </w:numPr>
        <w:tabs>
          <w:tab w:val="left" w:pos="567"/>
        </w:tabs>
        <w:ind w:left="0" w:firstLine="0"/>
        <w:contextualSpacing/>
        <w:jc w:val="both"/>
        <w:rPr>
          <w:rFonts w:ascii="Verdana" w:hAnsi="Verdana"/>
          <w:sz w:val="20"/>
        </w:rPr>
      </w:pPr>
      <w:r w:rsidRPr="00B31C0A">
        <w:rPr>
          <w:rFonts w:ascii="Verdana" w:hAnsi="Verdana"/>
          <w:sz w:val="20"/>
        </w:rPr>
        <w:t xml:space="preserve">Si bien la Corte valora positivamente la ubicación del señor Huamán Loayza, </w:t>
      </w:r>
      <w:r w:rsidR="000D5510">
        <w:rPr>
          <w:rFonts w:ascii="Verdana" w:hAnsi="Verdana"/>
          <w:sz w:val="20"/>
        </w:rPr>
        <w:t>hace notar</w:t>
      </w:r>
      <w:r w:rsidRPr="00B31C0A">
        <w:rPr>
          <w:rFonts w:ascii="Verdana" w:hAnsi="Verdana"/>
          <w:sz w:val="20"/>
        </w:rPr>
        <w:t xml:space="preserve"> que </w:t>
      </w:r>
      <w:r w:rsidR="001A0FA6" w:rsidRPr="00B31C0A">
        <w:rPr>
          <w:rFonts w:ascii="Verdana" w:hAnsi="Verdana"/>
          <w:sz w:val="20"/>
        </w:rPr>
        <w:t>el Estado</w:t>
      </w:r>
      <w:r w:rsidRPr="00B31C0A">
        <w:rPr>
          <w:rFonts w:ascii="Verdana" w:hAnsi="Verdana"/>
          <w:sz w:val="20"/>
        </w:rPr>
        <w:t xml:space="preserve"> no informa de manera precisa </w:t>
      </w:r>
      <w:r w:rsidR="00456EB9">
        <w:rPr>
          <w:rFonts w:ascii="Verdana" w:hAnsi="Verdana"/>
          <w:sz w:val="20"/>
        </w:rPr>
        <w:t>las</w:t>
      </w:r>
      <w:r w:rsidRPr="00B31C0A">
        <w:rPr>
          <w:rFonts w:ascii="Verdana" w:hAnsi="Verdana"/>
          <w:sz w:val="20"/>
        </w:rPr>
        <w:t xml:space="preserve"> diligencia</w:t>
      </w:r>
      <w:r w:rsidR="00456EB9">
        <w:rPr>
          <w:rFonts w:ascii="Verdana" w:hAnsi="Verdana"/>
          <w:sz w:val="20"/>
        </w:rPr>
        <w:t>s</w:t>
      </w:r>
      <w:r w:rsidRPr="00B31C0A">
        <w:rPr>
          <w:rFonts w:ascii="Verdana" w:hAnsi="Verdana"/>
          <w:sz w:val="20"/>
        </w:rPr>
        <w:t xml:space="preserve"> </w:t>
      </w:r>
      <w:r w:rsidR="00456EB9">
        <w:rPr>
          <w:rFonts w:ascii="Verdana" w:hAnsi="Verdana"/>
          <w:sz w:val="20"/>
        </w:rPr>
        <w:t xml:space="preserve">adicionales que estén </w:t>
      </w:r>
      <w:r w:rsidRPr="00B31C0A">
        <w:rPr>
          <w:rFonts w:ascii="Verdana" w:hAnsi="Verdana"/>
          <w:sz w:val="20"/>
        </w:rPr>
        <w:t xml:space="preserve">encaminada a </w:t>
      </w:r>
      <w:r w:rsidR="00A93094">
        <w:rPr>
          <w:rFonts w:ascii="Verdana" w:hAnsi="Verdana"/>
          <w:sz w:val="20"/>
        </w:rPr>
        <w:t xml:space="preserve">contactar a dicha persona para </w:t>
      </w:r>
      <w:r w:rsidRPr="00B31C0A">
        <w:rPr>
          <w:rFonts w:ascii="Verdana" w:hAnsi="Verdana"/>
          <w:sz w:val="20"/>
        </w:rPr>
        <w:t xml:space="preserve">esclarecer lo sucedido con los restos de la víctima Aguilar Vega. </w:t>
      </w:r>
      <w:r w:rsidR="000D5510">
        <w:rPr>
          <w:rFonts w:ascii="Verdana" w:hAnsi="Verdana"/>
          <w:sz w:val="20"/>
        </w:rPr>
        <w:t>H</w:t>
      </w:r>
      <w:r w:rsidRPr="00DA3550">
        <w:rPr>
          <w:rFonts w:ascii="Verdana" w:hAnsi="Verdana"/>
          <w:sz w:val="20"/>
        </w:rPr>
        <w:t xml:space="preserve">an transcurrido más de </w:t>
      </w:r>
      <w:r w:rsidR="001A0FA6" w:rsidRPr="00DA3550">
        <w:rPr>
          <w:rFonts w:ascii="Verdana" w:hAnsi="Verdana"/>
          <w:sz w:val="20"/>
        </w:rPr>
        <w:t>24 años de</w:t>
      </w:r>
      <w:r w:rsidRPr="00DA3550">
        <w:rPr>
          <w:rFonts w:ascii="Verdana" w:hAnsi="Verdana"/>
          <w:sz w:val="20"/>
        </w:rPr>
        <w:t>sde que ocurrieron</w:t>
      </w:r>
      <w:r w:rsidR="001A0FA6" w:rsidRPr="00DA3550">
        <w:rPr>
          <w:rFonts w:ascii="Verdana" w:hAnsi="Verdana"/>
          <w:sz w:val="20"/>
        </w:rPr>
        <w:t xml:space="preserve"> los hechos y más de </w:t>
      </w:r>
      <w:r w:rsidR="00DA3550" w:rsidRPr="00DA3550">
        <w:rPr>
          <w:rFonts w:ascii="Verdana" w:hAnsi="Verdana"/>
          <w:sz w:val="20"/>
        </w:rPr>
        <w:t xml:space="preserve">diez </w:t>
      </w:r>
      <w:r w:rsidR="001A0FA6" w:rsidRPr="00DA3550">
        <w:rPr>
          <w:rFonts w:ascii="Verdana" w:hAnsi="Verdana"/>
          <w:sz w:val="20"/>
        </w:rPr>
        <w:t>años de</w:t>
      </w:r>
      <w:r w:rsidRPr="00DA3550">
        <w:rPr>
          <w:rFonts w:ascii="Verdana" w:hAnsi="Verdana"/>
          <w:sz w:val="20"/>
        </w:rPr>
        <w:t>sde que se emitió la S</w:t>
      </w:r>
      <w:r w:rsidR="001A0FA6" w:rsidRPr="00DA3550">
        <w:rPr>
          <w:rFonts w:ascii="Verdana" w:hAnsi="Verdana"/>
          <w:sz w:val="20"/>
        </w:rPr>
        <w:t>entencia</w:t>
      </w:r>
      <w:r w:rsidR="00DA3550" w:rsidRPr="00DA3550">
        <w:rPr>
          <w:rFonts w:ascii="Verdana" w:hAnsi="Verdana"/>
          <w:sz w:val="20"/>
        </w:rPr>
        <w:t>,</w:t>
      </w:r>
      <w:r w:rsidR="001A0FA6" w:rsidRPr="00DA3550">
        <w:rPr>
          <w:rFonts w:ascii="Verdana" w:hAnsi="Verdana"/>
          <w:sz w:val="20"/>
        </w:rPr>
        <w:t xml:space="preserve"> sin</w:t>
      </w:r>
      <w:r w:rsidRPr="00DA3550">
        <w:rPr>
          <w:rFonts w:ascii="Verdana" w:hAnsi="Verdana"/>
          <w:sz w:val="20"/>
        </w:rPr>
        <w:t xml:space="preserve"> que el Estado haya entregado los restos del</w:t>
      </w:r>
      <w:r w:rsidRPr="00B31C0A">
        <w:rPr>
          <w:rFonts w:ascii="Verdana" w:hAnsi="Verdana"/>
          <w:sz w:val="20"/>
        </w:rPr>
        <w:t xml:space="preserve"> señor Aguilar Vega a sus familiares. En razón de ello, la Corte debe reiterar que lo informado por el Perú</w:t>
      </w:r>
      <w:r w:rsidR="00717B41">
        <w:rPr>
          <w:rFonts w:ascii="Verdana" w:hAnsi="Verdana"/>
          <w:sz w:val="20"/>
        </w:rPr>
        <w:t xml:space="preserve"> denota una falta de diligencia en el cumplimiento de la medida. Esta</w:t>
      </w:r>
      <w:r w:rsidRPr="00B31C0A">
        <w:rPr>
          <w:rFonts w:ascii="Verdana" w:hAnsi="Verdana"/>
          <w:sz w:val="20"/>
        </w:rPr>
        <w:t xml:space="preserve"> situación es particularmente grave si se toma en cuenta la relevancia que este tipo de medida tiene para los </w:t>
      </w:r>
      <w:r w:rsidRPr="00DA3550">
        <w:rPr>
          <w:rFonts w:ascii="Verdana" w:hAnsi="Verdana"/>
          <w:sz w:val="20"/>
        </w:rPr>
        <w:t>fam</w:t>
      </w:r>
      <w:r w:rsidR="000D5510">
        <w:rPr>
          <w:rFonts w:ascii="Verdana" w:hAnsi="Verdana"/>
          <w:sz w:val="20"/>
        </w:rPr>
        <w:t>iliares de la víctima fallecida</w:t>
      </w:r>
      <w:r w:rsidRPr="00DA3550">
        <w:rPr>
          <w:rFonts w:ascii="Verdana" w:hAnsi="Verdana"/>
          <w:sz w:val="20"/>
        </w:rPr>
        <w:t>.</w:t>
      </w:r>
    </w:p>
    <w:p w:rsidR="006F5E9B" w:rsidRPr="00DA3550" w:rsidRDefault="006F5E9B" w:rsidP="006F5E9B">
      <w:pPr>
        <w:pStyle w:val="Cuadrculamedia1-nfasis2"/>
        <w:tabs>
          <w:tab w:val="left" w:pos="567"/>
        </w:tabs>
        <w:ind w:left="0"/>
        <w:contextualSpacing/>
        <w:jc w:val="both"/>
        <w:rPr>
          <w:rFonts w:ascii="Verdana" w:hAnsi="Verdana"/>
          <w:sz w:val="20"/>
        </w:rPr>
      </w:pPr>
    </w:p>
    <w:p w:rsidR="001A0FA6" w:rsidRPr="00DA3550" w:rsidRDefault="001A0FA6" w:rsidP="00D333AB">
      <w:pPr>
        <w:pStyle w:val="Cuadrculamedia1-nfasis2"/>
        <w:tabs>
          <w:tab w:val="left" w:pos="567"/>
        </w:tabs>
        <w:contextualSpacing/>
        <w:jc w:val="both"/>
        <w:rPr>
          <w:rFonts w:ascii="Verdana" w:hAnsi="Verdana"/>
          <w:sz w:val="16"/>
        </w:rPr>
      </w:pPr>
    </w:p>
    <w:p w:rsidR="001A0FA6" w:rsidRPr="007A6227" w:rsidRDefault="001A0FA6" w:rsidP="00D333AB">
      <w:pPr>
        <w:pStyle w:val="Cuadrculamedia1-nfasis2"/>
        <w:numPr>
          <w:ilvl w:val="0"/>
          <w:numId w:val="1"/>
        </w:numPr>
        <w:tabs>
          <w:tab w:val="left" w:pos="567"/>
        </w:tabs>
        <w:ind w:left="0" w:firstLine="0"/>
        <w:contextualSpacing/>
        <w:jc w:val="both"/>
        <w:rPr>
          <w:rFonts w:ascii="Verdana" w:hAnsi="Verdana" w:cs="Arial"/>
          <w:sz w:val="20"/>
        </w:rPr>
      </w:pPr>
      <w:r w:rsidRPr="00DA3550">
        <w:rPr>
          <w:rFonts w:ascii="Verdana" w:hAnsi="Verdana"/>
          <w:sz w:val="20"/>
        </w:rPr>
        <w:t>En consecuencia,</w:t>
      </w:r>
      <w:r w:rsidRPr="007A6227">
        <w:rPr>
          <w:rFonts w:ascii="Verdana" w:hAnsi="Verdana"/>
          <w:sz w:val="20"/>
        </w:rPr>
        <w:t xml:space="preserve"> e</w:t>
      </w:r>
      <w:r w:rsidR="00E72089">
        <w:rPr>
          <w:rFonts w:ascii="Verdana" w:hAnsi="Verdana"/>
          <w:sz w:val="20"/>
        </w:rPr>
        <w:t>l</w:t>
      </w:r>
      <w:r w:rsidRPr="007A6227">
        <w:rPr>
          <w:rFonts w:ascii="Verdana" w:hAnsi="Verdana"/>
          <w:sz w:val="20"/>
        </w:rPr>
        <w:t xml:space="preserve"> Tribunal </w:t>
      </w:r>
      <w:r w:rsidR="00E72089">
        <w:rPr>
          <w:rFonts w:ascii="Verdana" w:hAnsi="Verdana"/>
          <w:sz w:val="20"/>
        </w:rPr>
        <w:t>requiere</w:t>
      </w:r>
      <w:r w:rsidRPr="007A6227">
        <w:rPr>
          <w:rFonts w:ascii="Verdana" w:hAnsi="Verdana"/>
          <w:sz w:val="20"/>
        </w:rPr>
        <w:t xml:space="preserve"> al Estado </w:t>
      </w:r>
      <w:r w:rsidR="00A93094">
        <w:rPr>
          <w:rFonts w:ascii="Verdana" w:hAnsi="Verdana"/>
          <w:sz w:val="20"/>
        </w:rPr>
        <w:t>que, a la mayor brevedad, presente</w:t>
      </w:r>
      <w:r w:rsidRPr="007A6227">
        <w:rPr>
          <w:rFonts w:ascii="Verdana" w:hAnsi="Verdana"/>
          <w:sz w:val="20"/>
        </w:rPr>
        <w:t xml:space="preserve"> información actualizada, concreta y detallada </w:t>
      </w:r>
      <w:r w:rsidR="00717B41">
        <w:rPr>
          <w:rFonts w:ascii="Verdana" w:hAnsi="Verdana"/>
          <w:sz w:val="20"/>
        </w:rPr>
        <w:t xml:space="preserve">sobre: i) los motivos que </w:t>
      </w:r>
      <w:r w:rsidR="000D5510">
        <w:rPr>
          <w:rFonts w:ascii="Verdana" w:hAnsi="Verdana"/>
          <w:sz w:val="20"/>
        </w:rPr>
        <w:t xml:space="preserve">le han impedido </w:t>
      </w:r>
      <w:r w:rsidR="00717B41">
        <w:rPr>
          <w:rFonts w:ascii="Verdana" w:hAnsi="Verdana"/>
          <w:sz w:val="20"/>
        </w:rPr>
        <w:t xml:space="preserve">dar cumplimiento a la referida medida; </w:t>
      </w:r>
      <w:r w:rsidR="00C47330" w:rsidRPr="000A00D0">
        <w:rPr>
          <w:rFonts w:ascii="Verdana" w:hAnsi="Verdana"/>
          <w:sz w:val="20"/>
        </w:rPr>
        <w:t>ii</w:t>
      </w:r>
      <w:r w:rsidR="00717B41" w:rsidRPr="000A00D0">
        <w:rPr>
          <w:rFonts w:ascii="Verdana" w:hAnsi="Verdana"/>
          <w:sz w:val="20"/>
        </w:rPr>
        <w:t>)</w:t>
      </w:r>
      <w:r w:rsidR="00C47330" w:rsidRPr="000A00D0">
        <w:rPr>
          <w:rFonts w:ascii="Verdana" w:hAnsi="Verdana"/>
          <w:sz w:val="20"/>
        </w:rPr>
        <w:t xml:space="preserve"> cuál </w:t>
      </w:r>
      <w:r w:rsidR="00456EB9" w:rsidRPr="000A00D0">
        <w:rPr>
          <w:rFonts w:ascii="Verdana" w:hAnsi="Verdana"/>
          <w:sz w:val="20"/>
        </w:rPr>
        <w:t>es</w:t>
      </w:r>
      <w:r w:rsidR="00B50776" w:rsidRPr="000A00D0">
        <w:rPr>
          <w:rFonts w:ascii="Verdana" w:hAnsi="Verdana"/>
          <w:sz w:val="20"/>
        </w:rPr>
        <w:t xml:space="preserve"> </w:t>
      </w:r>
      <w:r w:rsidR="00C47330" w:rsidRPr="000A00D0">
        <w:rPr>
          <w:rFonts w:ascii="Verdana" w:hAnsi="Verdana"/>
          <w:sz w:val="20"/>
        </w:rPr>
        <w:t>la autoridad estatal encargada o responsable de implementar su ejecuci</w:t>
      </w:r>
      <w:r w:rsidR="00B50776" w:rsidRPr="000A00D0">
        <w:rPr>
          <w:rFonts w:ascii="Verdana" w:hAnsi="Verdana"/>
          <w:sz w:val="20"/>
        </w:rPr>
        <w:t>ón</w:t>
      </w:r>
      <w:r w:rsidR="00C47330" w:rsidRPr="000A00D0">
        <w:rPr>
          <w:rFonts w:ascii="Verdana" w:hAnsi="Verdana"/>
          <w:sz w:val="20"/>
        </w:rPr>
        <w:t>, y</w:t>
      </w:r>
      <w:r w:rsidR="00717B41" w:rsidRPr="000A00D0">
        <w:rPr>
          <w:rFonts w:ascii="Verdana" w:hAnsi="Verdana"/>
          <w:sz w:val="20"/>
        </w:rPr>
        <w:t xml:space="preserve"> i</w:t>
      </w:r>
      <w:r w:rsidR="00C47330" w:rsidRPr="000A00D0">
        <w:rPr>
          <w:rFonts w:ascii="Verdana" w:hAnsi="Verdana"/>
          <w:sz w:val="20"/>
        </w:rPr>
        <w:t>i</w:t>
      </w:r>
      <w:r w:rsidR="00717B41" w:rsidRPr="000A00D0">
        <w:rPr>
          <w:rFonts w:ascii="Verdana" w:hAnsi="Verdana"/>
          <w:sz w:val="20"/>
        </w:rPr>
        <w:t xml:space="preserve">i) </w:t>
      </w:r>
      <w:r w:rsidR="00B50776" w:rsidRPr="000A00D0">
        <w:rPr>
          <w:rFonts w:ascii="Verdana" w:hAnsi="Verdana"/>
          <w:sz w:val="20"/>
        </w:rPr>
        <w:t xml:space="preserve">un cronograma que indique </w:t>
      </w:r>
      <w:r w:rsidR="00717B41" w:rsidRPr="000A00D0">
        <w:rPr>
          <w:rFonts w:ascii="Verdana" w:hAnsi="Verdana"/>
          <w:sz w:val="20"/>
        </w:rPr>
        <w:t xml:space="preserve">las acciones adicionales a las ya informadas </w:t>
      </w:r>
      <w:r w:rsidR="00B50776" w:rsidRPr="000A00D0">
        <w:rPr>
          <w:rFonts w:ascii="Verdana" w:hAnsi="Verdana"/>
          <w:sz w:val="20"/>
        </w:rPr>
        <w:t>que permitan dar, a la mayor brevedad,</w:t>
      </w:r>
      <w:r w:rsidR="00717B41" w:rsidRPr="000A00D0">
        <w:rPr>
          <w:rFonts w:ascii="Verdana" w:hAnsi="Verdana"/>
          <w:sz w:val="20"/>
        </w:rPr>
        <w:t xml:space="preserve"> </w:t>
      </w:r>
      <w:r w:rsidR="00B50776" w:rsidRPr="000A00D0">
        <w:rPr>
          <w:rFonts w:ascii="Verdana" w:hAnsi="Verdana"/>
          <w:sz w:val="20"/>
        </w:rPr>
        <w:t>una solución final para</w:t>
      </w:r>
      <w:r w:rsidR="00717B41" w:rsidRPr="000A00D0">
        <w:rPr>
          <w:rFonts w:ascii="Verdana" w:hAnsi="Verdana"/>
          <w:sz w:val="20"/>
        </w:rPr>
        <w:t xml:space="preserve"> la</w:t>
      </w:r>
      <w:r w:rsidRPr="000A00D0">
        <w:rPr>
          <w:rFonts w:ascii="Verdana" w:hAnsi="Verdana"/>
          <w:sz w:val="20"/>
        </w:rPr>
        <w:t xml:space="preserve"> localización</w:t>
      </w:r>
      <w:r w:rsidR="00456EB9" w:rsidRPr="000A00D0">
        <w:rPr>
          <w:rFonts w:ascii="Verdana" w:hAnsi="Verdana"/>
          <w:sz w:val="20"/>
        </w:rPr>
        <w:t>, identificación fehaciente</w:t>
      </w:r>
      <w:r w:rsidRPr="000A00D0">
        <w:rPr>
          <w:rFonts w:ascii="Verdana" w:hAnsi="Verdana"/>
          <w:sz w:val="20"/>
        </w:rPr>
        <w:t xml:space="preserve"> y entrega de los restos de Mario Francisco Aguilar </w:t>
      </w:r>
      <w:r w:rsidRPr="000A00D0">
        <w:rPr>
          <w:rFonts w:ascii="Verdana" w:hAnsi="Verdana"/>
          <w:sz w:val="20"/>
        </w:rPr>
        <w:lastRenderedPageBreak/>
        <w:t xml:space="preserve">Vega. Para ello, el Estado </w:t>
      </w:r>
      <w:r w:rsidR="002D4547" w:rsidRPr="000A00D0">
        <w:rPr>
          <w:rFonts w:ascii="Verdana" w:hAnsi="Verdana"/>
          <w:sz w:val="20"/>
        </w:rPr>
        <w:t xml:space="preserve">también </w:t>
      </w:r>
      <w:r w:rsidRPr="000A00D0">
        <w:rPr>
          <w:rFonts w:ascii="Verdana" w:hAnsi="Verdana"/>
          <w:sz w:val="20"/>
        </w:rPr>
        <w:t>deberá</w:t>
      </w:r>
      <w:r w:rsidRPr="007A6227">
        <w:rPr>
          <w:rFonts w:ascii="Verdana" w:hAnsi="Verdana"/>
          <w:sz w:val="20"/>
        </w:rPr>
        <w:t xml:space="preserve"> tomar en cuenta las solicitudes específicas que ha </w:t>
      </w:r>
      <w:r w:rsidR="00456EB9">
        <w:rPr>
          <w:rFonts w:ascii="Verdana" w:hAnsi="Verdana"/>
          <w:sz w:val="20"/>
        </w:rPr>
        <w:t>efectuado</w:t>
      </w:r>
      <w:r w:rsidRPr="007A6227">
        <w:rPr>
          <w:rFonts w:ascii="Verdana" w:hAnsi="Verdana"/>
          <w:sz w:val="20"/>
        </w:rPr>
        <w:t xml:space="preserve"> este Tribunal en resoluciones de supervisión anteriores</w:t>
      </w:r>
      <w:r w:rsidR="00E00F24">
        <w:rPr>
          <w:rStyle w:val="Refdenotaalpie"/>
          <w:rFonts w:ascii="Verdana" w:hAnsi="Verdana"/>
          <w:sz w:val="20"/>
        </w:rPr>
        <w:footnoteReference w:id="23"/>
      </w:r>
      <w:r w:rsidRPr="007A6227">
        <w:rPr>
          <w:rFonts w:ascii="Verdana" w:hAnsi="Verdana"/>
          <w:sz w:val="20"/>
        </w:rPr>
        <w:t>.</w:t>
      </w:r>
    </w:p>
    <w:p w:rsidR="009C4D92" w:rsidRDefault="009C4D92" w:rsidP="00D333AB">
      <w:pPr>
        <w:pStyle w:val="Cuadrculamedia1-nfasis2"/>
        <w:ind w:left="0"/>
        <w:rPr>
          <w:rFonts w:ascii="Verdana" w:hAnsi="Verdana"/>
          <w:sz w:val="20"/>
        </w:rPr>
      </w:pPr>
    </w:p>
    <w:p w:rsidR="001E344B" w:rsidRDefault="001E344B" w:rsidP="00D333AB">
      <w:pPr>
        <w:pStyle w:val="Cuadrculamedia1-nfasis2"/>
        <w:ind w:left="0"/>
        <w:rPr>
          <w:rFonts w:ascii="Verdana" w:hAnsi="Verdana"/>
          <w:sz w:val="20"/>
        </w:rPr>
      </w:pPr>
    </w:p>
    <w:p w:rsidR="001A0FA6" w:rsidRPr="00437C7B" w:rsidRDefault="00AF53ED" w:rsidP="00D333AB">
      <w:pPr>
        <w:pStyle w:val="Ttulo"/>
        <w:ind w:right="0"/>
      </w:pPr>
      <w:bookmarkStart w:id="27" w:name="_Toc475555754"/>
      <w:r>
        <w:t xml:space="preserve">Publicación y difusión de </w:t>
      </w:r>
      <w:r w:rsidR="006739EC">
        <w:t>la S</w:t>
      </w:r>
      <w:r>
        <w:t>entencia</w:t>
      </w:r>
      <w:bookmarkEnd w:id="27"/>
    </w:p>
    <w:p w:rsidR="001A0FA6" w:rsidRDefault="001A0FA6" w:rsidP="00D333AB">
      <w:pPr>
        <w:pStyle w:val="Listamedia2-nfasis4"/>
        <w:tabs>
          <w:tab w:val="left" w:pos="567"/>
        </w:tabs>
        <w:ind w:left="0"/>
        <w:jc w:val="both"/>
        <w:rPr>
          <w:rFonts w:ascii="Verdana" w:hAnsi="Verdana"/>
          <w:sz w:val="20"/>
        </w:rPr>
      </w:pPr>
    </w:p>
    <w:p w:rsidR="0035636A" w:rsidRDefault="0035636A" w:rsidP="00D333AB">
      <w:pPr>
        <w:pStyle w:val="Listamedia2-nfasis4"/>
        <w:tabs>
          <w:tab w:val="left" w:pos="567"/>
        </w:tabs>
        <w:ind w:left="0"/>
        <w:jc w:val="both"/>
        <w:rPr>
          <w:rFonts w:ascii="Verdana" w:hAnsi="Verdana"/>
          <w:sz w:val="20"/>
        </w:rPr>
      </w:pPr>
    </w:p>
    <w:p w:rsidR="00437C7B" w:rsidRDefault="00437C7B" w:rsidP="00D333AB">
      <w:pPr>
        <w:pStyle w:val="Listamedia2-nfasis4"/>
        <w:tabs>
          <w:tab w:val="left" w:pos="567"/>
        </w:tabs>
        <w:ind w:left="0"/>
        <w:jc w:val="both"/>
        <w:rPr>
          <w:rFonts w:ascii="Verdana" w:hAnsi="Verdana"/>
          <w:i/>
          <w:sz w:val="20"/>
        </w:rPr>
      </w:pPr>
      <w:r>
        <w:rPr>
          <w:rFonts w:ascii="Verdana" w:hAnsi="Verdana"/>
          <w:sz w:val="20"/>
        </w:rPr>
        <w:tab/>
        <w:t xml:space="preserve">C.1. </w:t>
      </w:r>
      <w:r>
        <w:rPr>
          <w:rFonts w:ascii="Verdana" w:hAnsi="Verdana"/>
          <w:i/>
          <w:sz w:val="20"/>
        </w:rPr>
        <w:t>Medida ordenada</w:t>
      </w:r>
      <w:r w:rsidRPr="00DF7E56">
        <w:rPr>
          <w:rFonts w:ascii="Verdana" w:hAnsi="Verdana"/>
          <w:i/>
          <w:sz w:val="20"/>
        </w:rPr>
        <w:t xml:space="preserve"> por la Corte</w:t>
      </w:r>
      <w:r>
        <w:rPr>
          <w:rFonts w:ascii="Verdana" w:hAnsi="Verdana"/>
          <w:i/>
          <w:sz w:val="20"/>
        </w:rPr>
        <w:t xml:space="preserve"> </w:t>
      </w:r>
      <w:r w:rsidRPr="00883BD2">
        <w:rPr>
          <w:rFonts w:ascii="Verdana" w:hAnsi="Verdana"/>
          <w:i/>
          <w:sz w:val="20"/>
        </w:rPr>
        <w:t>y sup</w:t>
      </w:r>
      <w:r>
        <w:rPr>
          <w:rFonts w:ascii="Verdana" w:hAnsi="Verdana"/>
          <w:i/>
          <w:sz w:val="20"/>
        </w:rPr>
        <w:t>ervisión realizada en resoluciones</w:t>
      </w:r>
      <w:r w:rsidRPr="00883BD2">
        <w:rPr>
          <w:rFonts w:ascii="Verdana" w:hAnsi="Verdana"/>
          <w:i/>
          <w:sz w:val="20"/>
        </w:rPr>
        <w:t xml:space="preserve"> anterior</w:t>
      </w:r>
      <w:r>
        <w:rPr>
          <w:rFonts w:ascii="Verdana" w:hAnsi="Verdana"/>
          <w:i/>
          <w:sz w:val="20"/>
        </w:rPr>
        <w:t>es</w:t>
      </w:r>
    </w:p>
    <w:p w:rsidR="00437C7B" w:rsidRDefault="00437C7B" w:rsidP="00D333AB">
      <w:pPr>
        <w:pStyle w:val="Listamedia2-nfasis4"/>
        <w:tabs>
          <w:tab w:val="left" w:pos="567"/>
        </w:tabs>
        <w:ind w:left="0"/>
        <w:jc w:val="both"/>
        <w:rPr>
          <w:rFonts w:ascii="Verdana" w:hAnsi="Verdana"/>
          <w:sz w:val="20"/>
        </w:rPr>
      </w:pPr>
    </w:p>
    <w:p w:rsidR="00437C7B" w:rsidRPr="00437C7B" w:rsidRDefault="001A0FA6" w:rsidP="00D333AB">
      <w:pPr>
        <w:pStyle w:val="Cuadrculamedia1-nfasis2"/>
        <w:numPr>
          <w:ilvl w:val="0"/>
          <w:numId w:val="1"/>
        </w:numPr>
        <w:tabs>
          <w:tab w:val="left" w:pos="567"/>
        </w:tabs>
        <w:ind w:left="0" w:firstLine="0"/>
        <w:contextualSpacing/>
        <w:jc w:val="both"/>
        <w:rPr>
          <w:rFonts w:ascii="Verdana" w:hAnsi="Verdana"/>
          <w:sz w:val="20"/>
        </w:rPr>
      </w:pPr>
      <w:r w:rsidRPr="00367EF3">
        <w:rPr>
          <w:rFonts w:ascii="Verdana" w:hAnsi="Verdana"/>
          <w:sz w:val="20"/>
        </w:rPr>
        <w:t xml:space="preserve">En el punto resolutivo </w:t>
      </w:r>
      <w:r>
        <w:rPr>
          <w:rFonts w:ascii="Verdana" w:hAnsi="Verdana"/>
          <w:sz w:val="20"/>
        </w:rPr>
        <w:t>decimoséptimo</w:t>
      </w:r>
      <w:r w:rsidR="00437C7B">
        <w:rPr>
          <w:rFonts w:ascii="Verdana" w:hAnsi="Verdana"/>
          <w:sz w:val="20"/>
        </w:rPr>
        <w:t xml:space="preserve"> y en los párrafos 446, 447 y 459 de la Sentencia,</w:t>
      </w:r>
      <w:r w:rsidRPr="00367EF3">
        <w:rPr>
          <w:rFonts w:ascii="Verdana" w:hAnsi="Verdana"/>
          <w:sz w:val="20"/>
        </w:rPr>
        <w:t xml:space="preserve"> la Corte </w:t>
      </w:r>
      <w:r w:rsidR="00437C7B">
        <w:rPr>
          <w:rFonts w:ascii="Verdana" w:hAnsi="Verdana"/>
          <w:sz w:val="20"/>
        </w:rPr>
        <w:t>dispuso que “[e]</w:t>
      </w:r>
      <w:r w:rsidR="00437C7B" w:rsidRPr="00437C7B">
        <w:rPr>
          <w:rFonts w:ascii="Verdana" w:hAnsi="Verdana"/>
          <w:sz w:val="20"/>
        </w:rPr>
        <w:t>l Estado debe, dentro del plazo de seis meses, publicar en el Diario Oficial y en otro</w:t>
      </w:r>
      <w:r w:rsidR="00437C7B">
        <w:rPr>
          <w:rFonts w:ascii="Verdana" w:hAnsi="Verdana"/>
          <w:sz w:val="20"/>
        </w:rPr>
        <w:t xml:space="preserve"> </w:t>
      </w:r>
      <w:r w:rsidR="00437C7B" w:rsidRPr="00437C7B">
        <w:rPr>
          <w:rFonts w:ascii="Verdana" w:hAnsi="Verdana"/>
          <w:sz w:val="20"/>
        </w:rPr>
        <w:t>diario de amplia circulación nacional, por una sola vez, el capítulo relativo a los Hechos probados</w:t>
      </w:r>
      <w:r w:rsidR="00437C7B">
        <w:rPr>
          <w:rFonts w:ascii="Verdana" w:hAnsi="Verdana"/>
          <w:sz w:val="20"/>
        </w:rPr>
        <w:t xml:space="preserve"> </w:t>
      </w:r>
      <w:r w:rsidR="00437C7B" w:rsidRPr="00437C7B">
        <w:rPr>
          <w:rFonts w:ascii="Verdana" w:hAnsi="Verdana"/>
          <w:sz w:val="20"/>
        </w:rPr>
        <w:t xml:space="preserve">de </w:t>
      </w:r>
      <w:r w:rsidR="00437C7B">
        <w:rPr>
          <w:rFonts w:ascii="Verdana" w:hAnsi="Verdana"/>
          <w:sz w:val="20"/>
        </w:rPr>
        <w:t>[la]</w:t>
      </w:r>
      <w:r w:rsidR="00437C7B" w:rsidRPr="00437C7B">
        <w:rPr>
          <w:rFonts w:ascii="Verdana" w:hAnsi="Verdana"/>
          <w:sz w:val="20"/>
        </w:rPr>
        <w:t xml:space="preserve"> Sentencia, sin las notas al pie de página, y la parte resolutiva de </w:t>
      </w:r>
      <w:r w:rsidR="00437C7B">
        <w:rPr>
          <w:rFonts w:ascii="Verdana" w:hAnsi="Verdana"/>
          <w:sz w:val="20"/>
        </w:rPr>
        <w:t>[la misma]</w:t>
      </w:r>
      <w:r w:rsidR="00437C7B" w:rsidRPr="00437C7B">
        <w:rPr>
          <w:rFonts w:ascii="Verdana" w:hAnsi="Verdana"/>
          <w:sz w:val="20"/>
        </w:rPr>
        <w:t>, así</w:t>
      </w:r>
      <w:r w:rsidR="00437C7B">
        <w:rPr>
          <w:rFonts w:ascii="Verdana" w:hAnsi="Verdana"/>
          <w:sz w:val="20"/>
        </w:rPr>
        <w:t xml:space="preserve"> </w:t>
      </w:r>
      <w:r w:rsidR="00437C7B" w:rsidRPr="00437C7B">
        <w:rPr>
          <w:rFonts w:ascii="Verdana" w:hAnsi="Verdana"/>
          <w:sz w:val="20"/>
        </w:rPr>
        <w:t xml:space="preserve">como difundir las referidas partes de la </w:t>
      </w:r>
      <w:r w:rsidR="00437C7B">
        <w:rPr>
          <w:rFonts w:ascii="Verdana" w:hAnsi="Verdana"/>
          <w:sz w:val="20"/>
        </w:rPr>
        <w:t xml:space="preserve">[…] </w:t>
      </w:r>
      <w:r w:rsidR="00437C7B" w:rsidRPr="00437C7B">
        <w:rPr>
          <w:rFonts w:ascii="Verdana" w:hAnsi="Verdana"/>
          <w:sz w:val="20"/>
        </w:rPr>
        <w:t>Sentencia a través de una emisora radial y un</w:t>
      </w:r>
      <w:r w:rsidR="00437C7B">
        <w:rPr>
          <w:rFonts w:ascii="Verdana" w:hAnsi="Verdana"/>
          <w:sz w:val="20"/>
        </w:rPr>
        <w:t xml:space="preserve"> </w:t>
      </w:r>
      <w:r w:rsidR="00437C7B" w:rsidRPr="00437C7B">
        <w:rPr>
          <w:rFonts w:ascii="Verdana" w:hAnsi="Verdana"/>
          <w:sz w:val="20"/>
        </w:rPr>
        <w:t>canal de televisión, ambos de amplia cobertura nacional, al menos en dos ocasiones con un</w:t>
      </w:r>
      <w:r w:rsidR="00437C7B">
        <w:rPr>
          <w:rFonts w:ascii="Verdana" w:hAnsi="Verdana"/>
          <w:sz w:val="20"/>
        </w:rPr>
        <w:t xml:space="preserve"> </w:t>
      </w:r>
      <w:r w:rsidR="00437C7B" w:rsidRPr="00437C7B">
        <w:rPr>
          <w:rFonts w:ascii="Verdana" w:hAnsi="Verdana"/>
          <w:sz w:val="20"/>
        </w:rPr>
        <w:t>intervalo de dos semanas entre cada una</w:t>
      </w:r>
      <w:r w:rsidR="00437C7B">
        <w:rPr>
          <w:rFonts w:ascii="Verdana" w:hAnsi="Verdana"/>
          <w:sz w:val="20"/>
        </w:rPr>
        <w:t xml:space="preserve">”. </w:t>
      </w:r>
    </w:p>
    <w:p w:rsidR="00437C7B" w:rsidRPr="00437C7B" w:rsidRDefault="00437C7B" w:rsidP="00D333AB">
      <w:pPr>
        <w:pStyle w:val="Listamedia2-nfasis4"/>
        <w:tabs>
          <w:tab w:val="left" w:pos="567"/>
        </w:tabs>
        <w:ind w:left="0"/>
        <w:jc w:val="both"/>
        <w:rPr>
          <w:rFonts w:ascii="Verdana" w:hAnsi="Verdana"/>
          <w:sz w:val="20"/>
        </w:rPr>
      </w:pPr>
    </w:p>
    <w:p w:rsidR="008957D9" w:rsidRDefault="001A0FA6" w:rsidP="00D333AB">
      <w:pPr>
        <w:pStyle w:val="Cuadrculamedia1-nfasis2"/>
        <w:numPr>
          <w:ilvl w:val="0"/>
          <w:numId w:val="1"/>
        </w:numPr>
        <w:tabs>
          <w:tab w:val="left" w:pos="567"/>
        </w:tabs>
        <w:ind w:left="0" w:firstLine="0"/>
        <w:contextualSpacing/>
        <w:jc w:val="both"/>
        <w:rPr>
          <w:rFonts w:ascii="Verdana" w:hAnsi="Verdana"/>
          <w:sz w:val="20"/>
        </w:rPr>
      </w:pPr>
      <w:r w:rsidRPr="009122C9">
        <w:rPr>
          <w:rFonts w:ascii="Verdana" w:hAnsi="Verdana"/>
          <w:sz w:val="20"/>
        </w:rPr>
        <w:t xml:space="preserve">En </w:t>
      </w:r>
      <w:r w:rsidR="00DB7823">
        <w:rPr>
          <w:rFonts w:ascii="Verdana" w:hAnsi="Verdana"/>
          <w:sz w:val="20"/>
        </w:rPr>
        <w:t xml:space="preserve">su Resolución de marzo de 2014, el Tribunal </w:t>
      </w:r>
      <w:r w:rsidR="00EA1F16">
        <w:rPr>
          <w:rFonts w:ascii="Verdana" w:hAnsi="Verdana"/>
          <w:sz w:val="20"/>
        </w:rPr>
        <w:t>indicó</w:t>
      </w:r>
      <w:r w:rsidR="00DB7823">
        <w:rPr>
          <w:rFonts w:ascii="Verdana" w:hAnsi="Verdana"/>
          <w:sz w:val="20"/>
        </w:rPr>
        <w:t xml:space="preserve"> que </w:t>
      </w:r>
      <w:r w:rsidR="00B26421">
        <w:rPr>
          <w:rFonts w:ascii="Verdana" w:hAnsi="Verdana"/>
          <w:sz w:val="20"/>
        </w:rPr>
        <w:t>el Estado estaba incurriendo en una “</w:t>
      </w:r>
      <w:r w:rsidR="00DB7823" w:rsidRPr="00B26421">
        <w:rPr>
          <w:rFonts w:ascii="Verdana" w:hAnsi="Verdana"/>
          <w:sz w:val="20"/>
        </w:rPr>
        <w:t>dilación injustificada y excesiva</w:t>
      </w:r>
      <w:r w:rsidR="00B26421">
        <w:rPr>
          <w:rFonts w:ascii="Verdana" w:hAnsi="Verdana"/>
          <w:sz w:val="20"/>
        </w:rPr>
        <w:t xml:space="preserve">” </w:t>
      </w:r>
      <w:r w:rsidR="00456EB9">
        <w:rPr>
          <w:rFonts w:ascii="Verdana" w:hAnsi="Verdana"/>
          <w:sz w:val="20"/>
        </w:rPr>
        <w:t>en</w:t>
      </w:r>
      <w:r w:rsidR="00B26421">
        <w:rPr>
          <w:rFonts w:ascii="Verdana" w:hAnsi="Verdana"/>
          <w:sz w:val="20"/>
        </w:rPr>
        <w:t xml:space="preserve"> el cumplimiento de </w:t>
      </w:r>
      <w:r w:rsidR="004B4612">
        <w:rPr>
          <w:rFonts w:ascii="Verdana" w:hAnsi="Verdana"/>
          <w:sz w:val="20"/>
        </w:rPr>
        <w:t xml:space="preserve">las </w:t>
      </w:r>
      <w:r w:rsidR="00B26421">
        <w:rPr>
          <w:rFonts w:ascii="Verdana" w:hAnsi="Verdana"/>
          <w:sz w:val="20"/>
        </w:rPr>
        <w:t>medidas</w:t>
      </w:r>
      <w:r w:rsidR="004B4612">
        <w:rPr>
          <w:rFonts w:ascii="Verdana" w:hAnsi="Verdana"/>
          <w:sz w:val="20"/>
        </w:rPr>
        <w:t xml:space="preserve"> de satisfacción</w:t>
      </w:r>
      <w:r w:rsidR="00B26421">
        <w:rPr>
          <w:rFonts w:ascii="Verdana" w:hAnsi="Verdana"/>
          <w:sz w:val="20"/>
        </w:rPr>
        <w:t xml:space="preserve">. </w:t>
      </w:r>
      <w:r w:rsidR="00EA1F16">
        <w:rPr>
          <w:rFonts w:ascii="Verdana" w:hAnsi="Verdana"/>
          <w:sz w:val="20"/>
        </w:rPr>
        <w:t>Resaltó que “</w:t>
      </w:r>
      <w:r w:rsidR="00DB7823" w:rsidRPr="00EA1F16">
        <w:rPr>
          <w:rFonts w:ascii="Verdana" w:hAnsi="Verdana"/>
          <w:sz w:val="20"/>
        </w:rPr>
        <w:t>la publicación y difusión de las partes</w:t>
      </w:r>
      <w:r w:rsidR="00EA1F16">
        <w:rPr>
          <w:rFonts w:ascii="Verdana" w:hAnsi="Verdana"/>
          <w:sz w:val="20"/>
        </w:rPr>
        <w:t xml:space="preserve"> </w:t>
      </w:r>
      <w:r w:rsidR="00DB7823" w:rsidRPr="00EA1F16">
        <w:rPr>
          <w:rFonts w:ascii="Verdana" w:hAnsi="Verdana"/>
          <w:sz w:val="20"/>
        </w:rPr>
        <w:t>relevantes de la Sentencia están dirigidas a permitir un desagravio a las víctimas y sus</w:t>
      </w:r>
      <w:r w:rsidR="00EA1F16">
        <w:rPr>
          <w:rFonts w:ascii="Verdana" w:hAnsi="Verdana"/>
          <w:sz w:val="20"/>
        </w:rPr>
        <w:t xml:space="preserve"> </w:t>
      </w:r>
      <w:r w:rsidR="00DB7823" w:rsidRPr="00EA1F16">
        <w:rPr>
          <w:rFonts w:ascii="Verdana" w:hAnsi="Verdana"/>
          <w:sz w:val="20"/>
        </w:rPr>
        <w:t>familiares por las graves violaciones y los daños causados por el Estado en este caso</w:t>
      </w:r>
      <w:r w:rsidR="00EA1F16">
        <w:rPr>
          <w:rFonts w:ascii="Verdana" w:hAnsi="Verdana"/>
          <w:sz w:val="20"/>
        </w:rPr>
        <w:t>” y, además, que dichas medidas “</w:t>
      </w:r>
      <w:r w:rsidR="00DB7823" w:rsidRPr="00EA1F16">
        <w:rPr>
          <w:rFonts w:ascii="Verdana" w:hAnsi="Verdana"/>
          <w:sz w:val="20"/>
        </w:rPr>
        <w:t>permiten evitar la</w:t>
      </w:r>
      <w:r w:rsidR="00EA1F16">
        <w:rPr>
          <w:rFonts w:ascii="Verdana" w:hAnsi="Verdana"/>
          <w:sz w:val="20"/>
        </w:rPr>
        <w:t xml:space="preserve"> </w:t>
      </w:r>
      <w:r w:rsidR="00DB7823" w:rsidRPr="00EA1F16">
        <w:rPr>
          <w:rFonts w:ascii="Verdana" w:hAnsi="Verdana"/>
          <w:sz w:val="20"/>
        </w:rPr>
        <w:t>repetición de violaciones a los derechos humanos como las del presente caso, dando a</w:t>
      </w:r>
      <w:r w:rsidR="00EA1F16">
        <w:rPr>
          <w:rFonts w:ascii="Verdana" w:hAnsi="Verdana"/>
          <w:sz w:val="20"/>
        </w:rPr>
        <w:t xml:space="preserve"> </w:t>
      </w:r>
      <w:r w:rsidR="00DB7823" w:rsidRPr="00EA1F16">
        <w:rPr>
          <w:rFonts w:ascii="Verdana" w:hAnsi="Verdana"/>
          <w:sz w:val="20"/>
        </w:rPr>
        <w:t>conocer a las autoridades estatales y a los miembros de la sociedad los hechos violatorios</w:t>
      </w:r>
      <w:r w:rsidR="00EA1F16">
        <w:rPr>
          <w:rFonts w:ascii="Verdana" w:hAnsi="Verdana"/>
          <w:sz w:val="20"/>
        </w:rPr>
        <w:t xml:space="preserve"> </w:t>
      </w:r>
      <w:r w:rsidR="00DB7823" w:rsidRPr="00EA1F16">
        <w:rPr>
          <w:rFonts w:ascii="Verdana" w:hAnsi="Verdana"/>
          <w:sz w:val="20"/>
        </w:rPr>
        <w:t>ocurridos</w:t>
      </w:r>
      <w:r w:rsidR="00EA1F16">
        <w:rPr>
          <w:rFonts w:ascii="Verdana" w:hAnsi="Verdana"/>
          <w:sz w:val="20"/>
        </w:rPr>
        <w:t>”</w:t>
      </w:r>
      <w:r w:rsidR="00DB7823" w:rsidRPr="00EA1F16">
        <w:rPr>
          <w:rFonts w:ascii="Verdana" w:hAnsi="Verdana"/>
          <w:sz w:val="20"/>
        </w:rPr>
        <w:t>.</w:t>
      </w:r>
      <w:r w:rsidR="008957D9">
        <w:rPr>
          <w:rFonts w:ascii="Verdana" w:hAnsi="Verdana"/>
          <w:sz w:val="20"/>
        </w:rPr>
        <w:t xml:space="preserve"> </w:t>
      </w:r>
      <w:r w:rsidR="00C216C7">
        <w:rPr>
          <w:rFonts w:ascii="Verdana" w:hAnsi="Verdana"/>
          <w:sz w:val="20"/>
        </w:rPr>
        <w:t>La Corte</w:t>
      </w:r>
      <w:r w:rsidR="008957D9">
        <w:rPr>
          <w:rFonts w:ascii="Verdana" w:hAnsi="Verdana"/>
          <w:sz w:val="20"/>
        </w:rPr>
        <w:t xml:space="preserve"> indicó que “[d]</w:t>
      </w:r>
      <w:r w:rsidR="008957D9" w:rsidRPr="008957D9">
        <w:rPr>
          <w:rFonts w:ascii="Verdana" w:hAnsi="Verdana"/>
          <w:sz w:val="20"/>
        </w:rPr>
        <w:t>e ninguna manera el Perú podrá demorarse más allá de seis meses, contados a partir de la</w:t>
      </w:r>
      <w:r w:rsidR="008957D9">
        <w:rPr>
          <w:rFonts w:ascii="Verdana" w:hAnsi="Verdana"/>
          <w:sz w:val="20"/>
        </w:rPr>
        <w:t xml:space="preserve"> </w:t>
      </w:r>
      <w:r w:rsidR="008957D9" w:rsidRPr="008957D9">
        <w:rPr>
          <w:rFonts w:ascii="Verdana" w:hAnsi="Verdana"/>
          <w:sz w:val="20"/>
        </w:rPr>
        <w:t xml:space="preserve">notificación de </w:t>
      </w:r>
      <w:r w:rsidR="008957D9">
        <w:rPr>
          <w:rFonts w:ascii="Verdana" w:hAnsi="Verdana"/>
          <w:sz w:val="20"/>
        </w:rPr>
        <w:t>[dicha]</w:t>
      </w:r>
      <w:r w:rsidR="008957D9" w:rsidRPr="008957D9">
        <w:rPr>
          <w:rFonts w:ascii="Verdana" w:hAnsi="Verdana"/>
          <w:sz w:val="20"/>
        </w:rPr>
        <w:t xml:space="preserve"> Resolución, para dar cumplimiento total a </w:t>
      </w:r>
      <w:r w:rsidR="008957D9">
        <w:rPr>
          <w:rFonts w:ascii="Verdana" w:hAnsi="Verdana"/>
          <w:sz w:val="20"/>
        </w:rPr>
        <w:t>[las referidas]</w:t>
      </w:r>
      <w:r w:rsidR="008957D9" w:rsidRPr="008957D9">
        <w:rPr>
          <w:rFonts w:ascii="Verdana" w:hAnsi="Verdana"/>
          <w:sz w:val="20"/>
        </w:rPr>
        <w:t xml:space="preserve"> medidas</w:t>
      </w:r>
      <w:r w:rsidR="008957D9">
        <w:rPr>
          <w:rFonts w:ascii="Verdana" w:hAnsi="Verdana"/>
          <w:sz w:val="20"/>
        </w:rPr>
        <w:t>”</w:t>
      </w:r>
      <w:r w:rsidR="008957D9" w:rsidRPr="008957D9">
        <w:rPr>
          <w:rFonts w:ascii="Verdana" w:hAnsi="Verdana"/>
          <w:sz w:val="20"/>
        </w:rPr>
        <w:t>.</w:t>
      </w:r>
      <w:r w:rsidR="00DB7823" w:rsidRPr="008957D9">
        <w:rPr>
          <w:rFonts w:ascii="Verdana" w:hAnsi="Verdana"/>
          <w:sz w:val="20"/>
        </w:rPr>
        <w:t xml:space="preserve"> </w:t>
      </w:r>
      <w:r w:rsidR="008957D9" w:rsidRPr="008957D9">
        <w:rPr>
          <w:rFonts w:ascii="Verdana" w:hAnsi="Verdana"/>
          <w:sz w:val="20"/>
        </w:rPr>
        <w:t xml:space="preserve">En su Resolución de abril de 2015, </w:t>
      </w:r>
      <w:r w:rsidR="005B7D2C">
        <w:rPr>
          <w:rFonts w:ascii="Verdana" w:hAnsi="Verdana"/>
          <w:sz w:val="20"/>
        </w:rPr>
        <w:t>el Tribunal</w:t>
      </w:r>
      <w:r w:rsidR="008957D9" w:rsidRPr="008957D9">
        <w:rPr>
          <w:rFonts w:ascii="Verdana" w:hAnsi="Verdana"/>
          <w:sz w:val="20"/>
        </w:rPr>
        <w:t xml:space="preserve"> “constat[ó] el incumplimiento del Estado” respecto a la</w:t>
      </w:r>
      <w:r w:rsidR="008957D9">
        <w:rPr>
          <w:rFonts w:ascii="Verdana" w:hAnsi="Verdana"/>
          <w:sz w:val="20"/>
        </w:rPr>
        <w:t xml:space="preserve"> </w:t>
      </w:r>
      <w:r w:rsidR="00456EB9">
        <w:rPr>
          <w:rFonts w:ascii="Verdana" w:hAnsi="Verdana"/>
          <w:sz w:val="20"/>
        </w:rPr>
        <w:t xml:space="preserve">referida </w:t>
      </w:r>
      <w:r w:rsidR="008957D9">
        <w:rPr>
          <w:rFonts w:ascii="Verdana" w:hAnsi="Verdana"/>
          <w:sz w:val="20"/>
        </w:rPr>
        <w:t xml:space="preserve">publicación y difusión de la Sentencia. </w:t>
      </w:r>
    </w:p>
    <w:p w:rsidR="00DB7823" w:rsidRDefault="00DB7823" w:rsidP="00D333AB">
      <w:pPr>
        <w:pStyle w:val="Cuadrculamedia1-nfasis2"/>
        <w:ind w:left="0"/>
        <w:rPr>
          <w:rFonts w:ascii="Verdana" w:hAnsi="Verdana"/>
          <w:sz w:val="20"/>
        </w:rPr>
      </w:pPr>
    </w:p>
    <w:p w:rsidR="006F5E9B" w:rsidRDefault="006F5E9B" w:rsidP="00D333AB">
      <w:pPr>
        <w:pStyle w:val="Cuadrculamedia1-nfasis2"/>
        <w:ind w:left="0"/>
        <w:rPr>
          <w:rFonts w:ascii="Verdana" w:hAnsi="Verdana"/>
          <w:sz w:val="20"/>
        </w:rPr>
      </w:pPr>
    </w:p>
    <w:p w:rsidR="001A0FA6" w:rsidRPr="00EB5123" w:rsidRDefault="00DB7823" w:rsidP="00D333AB">
      <w:pPr>
        <w:pStyle w:val="Cuadrculamedia1-nfasis2"/>
        <w:ind w:left="540"/>
        <w:rPr>
          <w:rFonts w:ascii="Verdana" w:hAnsi="Verdana"/>
          <w:i/>
          <w:sz w:val="20"/>
        </w:rPr>
      </w:pPr>
      <w:r>
        <w:rPr>
          <w:rFonts w:ascii="Verdana" w:hAnsi="Verdana"/>
          <w:i/>
          <w:sz w:val="20"/>
        </w:rPr>
        <w:t>C</w:t>
      </w:r>
      <w:r w:rsidR="00EB5123" w:rsidRPr="00EB5123">
        <w:rPr>
          <w:rFonts w:ascii="Verdana" w:hAnsi="Verdana"/>
          <w:i/>
          <w:sz w:val="20"/>
        </w:rPr>
        <w:t xml:space="preserve">.2. </w:t>
      </w:r>
      <w:r w:rsidR="00B36F67">
        <w:rPr>
          <w:rFonts w:ascii="Verdana" w:hAnsi="Verdana"/>
          <w:i/>
          <w:sz w:val="20"/>
        </w:rPr>
        <w:t>Consideraciones de la Corte</w:t>
      </w:r>
    </w:p>
    <w:p w:rsidR="001A0FA6" w:rsidRPr="000A7B3D" w:rsidRDefault="001A0FA6" w:rsidP="00D333AB">
      <w:pPr>
        <w:pStyle w:val="Cuadrculamedia1-nfasis2"/>
        <w:ind w:left="0"/>
        <w:rPr>
          <w:rFonts w:ascii="Verdana" w:hAnsi="Verdana"/>
          <w:sz w:val="20"/>
        </w:rPr>
      </w:pPr>
    </w:p>
    <w:p w:rsidR="00AE27E4" w:rsidRDefault="001A0FA6" w:rsidP="00D333AB">
      <w:pPr>
        <w:pStyle w:val="Cuadrculamedia1-nfasis2"/>
        <w:numPr>
          <w:ilvl w:val="0"/>
          <w:numId w:val="1"/>
        </w:numPr>
        <w:tabs>
          <w:tab w:val="left" w:pos="567"/>
        </w:tabs>
        <w:ind w:left="0" w:firstLine="0"/>
        <w:contextualSpacing/>
        <w:jc w:val="both"/>
        <w:rPr>
          <w:rFonts w:ascii="Verdana" w:hAnsi="Verdana"/>
          <w:sz w:val="20"/>
        </w:rPr>
      </w:pPr>
      <w:r w:rsidRPr="000A7B3D">
        <w:rPr>
          <w:rFonts w:ascii="Verdana" w:hAnsi="Verdana"/>
          <w:sz w:val="20"/>
        </w:rPr>
        <w:t xml:space="preserve">Con base en los comprobantes aportados por el Estado, la Corte ha constatado que </w:t>
      </w:r>
      <w:r w:rsidR="007F3B89" w:rsidRPr="000A7B3D">
        <w:rPr>
          <w:rFonts w:ascii="Verdana" w:hAnsi="Verdana"/>
          <w:sz w:val="20"/>
        </w:rPr>
        <w:t>éste publicó</w:t>
      </w:r>
      <w:r w:rsidR="007F3B89">
        <w:rPr>
          <w:rFonts w:ascii="Verdana" w:hAnsi="Verdana"/>
          <w:sz w:val="20"/>
        </w:rPr>
        <w:t xml:space="preserve"> </w:t>
      </w:r>
      <w:r w:rsidR="007F3B89" w:rsidRPr="000A7B3D">
        <w:rPr>
          <w:rFonts w:ascii="Verdana" w:hAnsi="Verdana"/>
          <w:sz w:val="20"/>
        </w:rPr>
        <w:t>el 17 de junio de 2015</w:t>
      </w:r>
      <w:r w:rsidR="007F3B89">
        <w:rPr>
          <w:rFonts w:ascii="Verdana" w:hAnsi="Verdana"/>
          <w:sz w:val="20"/>
        </w:rPr>
        <w:t xml:space="preserve"> los extractos </w:t>
      </w:r>
      <w:r w:rsidR="007F3B89" w:rsidRPr="00437C7B">
        <w:rPr>
          <w:rFonts w:ascii="Verdana" w:hAnsi="Verdana"/>
          <w:sz w:val="20"/>
        </w:rPr>
        <w:t xml:space="preserve">de </w:t>
      </w:r>
      <w:r w:rsidR="007F3B89">
        <w:rPr>
          <w:rFonts w:ascii="Verdana" w:hAnsi="Verdana"/>
          <w:sz w:val="20"/>
        </w:rPr>
        <w:t>la</w:t>
      </w:r>
      <w:r w:rsidR="007F3B89" w:rsidRPr="00437C7B">
        <w:rPr>
          <w:rFonts w:ascii="Verdana" w:hAnsi="Verdana"/>
          <w:sz w:val="20"/>
        </w:rPr>
        <w:t xml:space="preserve"> Sentencia</w:t>
      </w:r>
      <w:r w:rsidR="007F3B89">
        <w:rPr>
          <w:rFonts w:ascii="Verdana" w:hAnsi="Verdana"/>
          <w:sz w:val="20"/>
        </w:rPr>
        <w:t xml:space="preserve"> (</w:t>
      </w:r>
      <w:r w:rsidR="007F3B89">
        <w:rPr>
          <w:rFonts w:ascii="Verdana" w:hAnsi="Verdana"/>
          <w:i/>
          <w:sz w:val="20"/>
        </w:rPr>
        <w:t xml:space="preserve">supra </w:t>
      </w:r>
      <w:r w:rsidR="007F3B89">
        <w:rPr>
          <w:rFonts w:ascii="Verdana" w:hAnsi="Verdana"/>
          <w:sz w:val="20"/>
        </w:rPr>
        <w:t xml:space="preserve">Considerando </w:t>
      </w:r>
      <w:r w:rsidR="00D41484">
        <w:rPr>
          <w:rFonts w:ascii="Verdana" w:hAnsi="Verdana"/>
          <w:sz w:val="20"/>
        </w:rPr>
        <w:t>25</w:t>
      </w:r>
      <w:r w:rsidR="007F3B89">
        <w:rPr>
          <w:rFonts w:ascii="Verdana" w:hAnsi="Verdana"/>
          <w:sz w:val="20"/>
        </w:rPr>
        <w:t>)</w:t>
      </w:r>
      <w:r w:rsidR="007F3B89" w:rsidRPr="00437C7B">
        <w:rPr>
          <w:rFonts w:ascii="Verdana" w:hAnsi="Verdana"/>
          <w:sz w:val="20"/>
        </w:rPr>
        <w:t xml:space="preserve">, </w:t>
      </w:r>
      <w:r w:rsidR="007F3B89">
        <w:rPr>
          <w:rFonts w:ascii="Verdana" w:hAnsi="Verdana"/>
          <w:sz w:val="20"/>
        </w:rPr>
        <w:t xml:space="preserve">tanto </w:t>
      </w:r>
      <w:r w:rsidRPr="000A7B3D">
        <w:rPr>
          <w:rFonts w:ascii="Verdana" w:hAnsi="Verdana"/>
          <w:sz w:val="20"/>
        </w:rPr>
        <w:t xml:space="preserve">en el </w:t>
      </w:r>
      <w:r w:rsidR="007F3B89">
        <w:rPr>
          <w:rFonts w:ascii="Verdana" w:hAnsi="Verdana"/>
          <w:sz w:val="20"/>
        </w:rPr>
        <w:t xml:space="preserve">“Diario Oficial </w:t>
      </w:r>
      <w:r w:rsidRPr="000A7B3D">
        <w:rPr>
          <w:rFonts w:ascii="Verdana" w:hAnsi="Verdana"/>
          <w:sz w:val="20"/>
        </w:rPr>
        <w:t xml:space="preserve">El Peruano” como en el </w:t>
      </w:r>
      <w:r w:rsidR="007F3B89">
        <w:rPr>
          <w:rFonts w:ascii="Verdana" w:hAnsi="Verdana"/>
          <w:sz w:val="20"/>
        </w:rPr>
        <w:t>D</w:t>
      </w:r>
      <w:r w:rsidRPr="000A7B3D">
        <w:rPr>
          <w:rFonts w:ascii="Verdana" w:hAnsi="Verdana"/>
          <w:sz w:val="20"/>
        </w:rPr>
        <w:t>iario Expreso</w:t>
      </w:r>
      <w:r w:rsidR="00963DA0">
        <w:rPr>
          <w:rFonts w:ascii="Verdana" w:hAnsi="Verdana"/>
          <w:sz w:val="20"/>
        </w:rPr>
        <w:t>, indicando que este último es</w:t>
      </w:r>
      <w:r w:rsidRPr="000A7B3D">
        <w:rPr>
          <w:rFonts w:ascii="Verdana" w:hAnsi="Verdana"/>
          <w:sz w:val="20"/>
        </w:rPr>
        <w:t xml:space="preserve"> de alcance nacional</w:t>
      </w:r>
      <w:r w:rsidRPr="000A7B3D">
        <w:rPr>
          <w:rStyle w:val="Refdenotaalpie"/>
          <w:rFonts w:ascii="Verdana" w:hAnsi="Verdana"/>
          <w:sz w:val="20"/>
        </w:rPr>
        <w:footnoteReference w:id="24"/>
      </w:r>
      <w:r w:rsidRPr="000A7B3D">
        <w:rPr>
          <w:rFonts w:ascii="Verdana" w:hAnsi="Verdana"/>
          <w:sz w:val="20"/>
        </w:rPr>
        <w:t xml:space="preserve">. Los </w:t>
      </w:r>
      <w:r w:rsidR="007F3B89">
        <w:rPr>
          <w:rFonts w:ascii="Verdana" w:hAnsi="Verdana"/>
          <w:sz w:val="20"/>
        </w:rPr>
        <w:t>intervinientes comunes</w:t>
      </w:r>
      <w:r w:rsidRPr="000A7B3D">
        <w:rPr>
          <w:rFonts w:ascii="Verdana" w:hAnsi="Verdana"/>
          <w:sz w:val="20"/>
        </w:rPr>
        <w:t xml:space="preserve"> de </w:t>
      </w:r>
      <w:r w:rsidR="00963DA0">
        <w:rPr>
          <w:rFonts w:ascii="Verdana" w:hAnsi="Verdana"/>
          <w:sz w:val="20"/>
        </w:rPr>
        <w:t>los representantes de las</w:t>
      </w:r>
      <w:r w:rsidRPr="000A7B3D">
        <w:rPr>
          <w:rFonts w:ascii="Verdana" w:hAnsi="Verdana"/>
          <w:sz w:val="20"/>
        </w:rPr>
        <w:t xml:space="preserve"> víctimas no </w:t>
      </w:r>
      <w:r w:rsidR="007F3B89">
        <w:rPr>
          <w:rFonts w:ascii="Verdana" w:hAnsi="Verdana"/>
          <w:sz w:val="20"/>
        </w:rPr>
        <w:t>presentaron observaciones al</w:t>
      </w:r>
      <w:r w:rsidRPr="000A7B3D">
        <w:rPr>
          <w:rFonts w:ascii="Verdana" w:hAnsi="Verdana"/>
          <w:sz w:val="20"/>
        </w:rPr>
        <w:t xml:space="preserve"> respecto</w:t>
      </w:r>
      <w:r w:rsidR="00963DA0">
        <w:rPr>
          <w:rFonts w:ascii="Verdana" w:hAnsi="Verdana"/>
          <w:sz w:val="20"/>
        </w:rPr>
        <w:t xml:space="preserve"> y </w:t>
      </w:r>
      <w:r w:rsidRPr="000A7B3D">
        <w:rPr>
          <w:rFonts w:ascii="Verdana" w:hAnsi="Verdana"/>
          <w:sz w:val="20"/>
        </w:rPr>
        <w:t>la Comisión</w:t>
      </w:r>
      <w:r w:rsidR="00963DA0">
        <w:rPr>
          <w:rFonts w:ascii="Verdana" w:hAnsi="Verdana"/>
          <w:sz w:val="20"/>
        </w:rPr>
        <w:t xml:space="preserve"> hizo notar la ext</w:t>
      </w:r>
      <w:r w:rsidR="00A10BE5">
        <w:rPr>
          <w:rFonts w:ascii="Verdana" w:hAnsi="Verdana"/>
          <w:sz w:val="20"/>
        </w:rPr>
        <w:t>emporaneidad en el cumplimiento</w:t>
      </w:r>
      <w:r w:rsidR="005E68E0">
        <w:rPr>
          <w:rFonts w:ascii="Verdana" w:hAnsi="Verdana"/>
          <w:sz w:val="20"/>
        </w:rPr>
        <w:t>.</w:t>
      </w:r>
    </w:p>
    <w:p w:rsidR="00AE27E4" w:rsidRDefault="00AE27E4" w:rsidP="00D333AB">
      <w:pPr>
        <w:pStyle w:val="Cuadrculamedia1-nfasis2"/>
        <w:tabs>
          <w:tab w:val="left" w:pos="567"/>
        </w:tabs>
        <w:ind w:left="0"/>
        <w:contextualSpacing/>
        <w:jc w:val="both"/>
        <w:rPr>
          <w:rFonts w:ascii="Verdana" w:hAnsi="Verdana"/>
          <w:sz w:val="20"/>
        </w:rPr>
      </w:pPr>
    </w:p>
    <w:p w:rsidR="001A0FA6" w:rsidRPr="000354BA" w:rsidRDefault="00FC1884" w:rsidP="00D333AB">
      <w:pPr>
        <w:pStyle w:val="Cuadrculamedia1-nfasis2"/>
        <w:numPr>
          <w:ilvl w:val="0"/>
          <w:numId w:val="1"/>
        </w:numPr>
        <w:tabs>
          <w:tab w:val="left" w:pos="567"/>
        </w:tabs>
        <w:ind w:left="0" w:firstLine="0"/>
        <w:contextualSpacing/>
        <w:jc w:val="both"/>
        <w:rPr>
          <w:rFonts w:ascii="Verdana" w:hAnsi="Verdana"/>
          <w:sz w:val="20"/>
        </w:rPr>
      </w:pPr>
      <w:r>
        <w:rPr>
          <w:rFonts w:ascii="Verdana" w:hAnsi="Verdana"/>
          <w:sz w:val="20"/>
        </w:rPr>
        <w:t>Si bien la Corte valora positivamente</w:t>
      </w:r>
      <w:r w:rsidR="00A10BE5">
        <w:rPr>
          <w:rFonts w:ascii="Verdana" w:hAnsi="Verdana"/>
          <w:sz w:val="20"/>
        </w:rPr>
        <w:t xml:space="preserve"> que, finalmente, el Perú efectuó</w:t>
      </w:r>
      <w:r>
        <w:rPr>
          <w:rFonts w:ascii="Verdana" w:hAnsi="Verdana"/>
          <w:sz w:val="20"/>
        </w:rPr>
        <w:t xml:space="preserve"> la publicación de los extractos de la Sentencia, hace notar que</w:t>
      </w:r>
      <w:r w:rsidR="0077783B" w:rsidRPr="00AE27E4">
        <w:rPr>
          <w:rFonts w:ascii="Verdana" w:hAnsi="Verdana"/>
          <w:sz w:val="20"/>
        </w:rPr>
        <w:t xml:space="preserve"> </w:t>
      </w:r>
      <w:r w:rsidR="00A10BE5">
        <w:rPr>
          <w:rFonts w:ascii="Verdana" w:hAnsi="Verdana"/>
          <w:sz w:val="20"/>
        </w:rPr>
        <w:t>lo</w:t>
      </w:r>
      <w:r w:rsidR="004B2D87">
        <w:rPr>
          <w:rFonts w:ascii="Verdana" w:hAnsi="Verdana"/>
          <w:sz w:val="20"/>
        </w:rPr>
        <w:t xml:space="preserve"> hizo </w:t>
      </w:r>
      <w:r w:rsidR="007C5C6C">
        <w:rPr>
          <w:rFonts w:ascii="Verdana" w:hAnsi="Verdana"/>
          <w:sz w:val="20"/>
        </w:rPr>
        <w:t xml:space="preserve">ocho años después del </w:t>
      </w:r>
      <w:r w:rsidR="00A10BE5">
        <w:rPr>
          <w:rFonts w:ascii="Verdana" w:hAnsi="Verdana"/>
          <w:sz w:val="20"/>
        </w:rPr>
        <w:t xml:space="preserve">vencimiento del </w:t>
      </w:r>
      <w:r w:rsidR="007C5C6C">
        <w:rPr>
          <w:rFonts w:ascii="Verdana" w:hAnsi="Verdana"/>
          <w:sz w:val="20"/>
        </w:rPr>
        <w:t>plazo ordenado en la misma</w:t>
      </w:r>
      <w:r w:rsidR="007015BE">
        <w:rPr>
          <w:rFonts w:ascii="Verdana" w:hAnsi="Verdana"/>
          <w:sz w:val="20"/>
        </w:rPr>
        <w:t xml:space="preserve">, </w:t>
      </w:r>
      <w:r w:rsidR="00A10BE5">
        <w:rPr>
          <w:rFonts w:ascii="Verdana" w:hAnsi="Verdana"/>
          <w:sz w:val="20"/>
        </w:rPr>
        <w:t>a pesar de que</w:t>
      </w:r>
      <w:r w:rsidR="007015BE">
        <w:rPr>
          <w:rFonts w:ascii="Verdana" w:hAnsi="Verdana"/>
          <w:sz w:val="20"/>
        </w:rPr>
        <w:t xml:space="preserve"> esta medida </w:t>
      </w:r>
      <w:r w:rsidR="00A10BE5">
        <w:rPr>
          <w:rFonts w:ascii="Verdana" w:hAnsi="Verdana"/>
          <w:sz w:val="20"/>
        </w:rPr>
        <w:t xml:space="preserve">no era </w:t>
      </w:r>
      <w:r w:rsidR="007015BE">
        <w:rPr>
          <w:rFonts w:ascii="Verdana" w:hAnsi="Verdana"/>
          <w:sz w:val="20"/>
        </w:rPr>
        <w:t>de complejo cumplimiento</w:t>
      </w:r>
      <w:r w:rsidR="007C5C6C">
        <w:rPr>
          <w:rFonts w:ascii="Verdana" w:hAnsi="Verdana"/>
          <w:sz w:val="20"/>
        </w:rPr>
        <w:t xml:space="preserve">. Adicionalmente, el Tribunal nota que el </w:t>
      </w:r>
      <w:r w:rsidR="0077783B" w:rsidRPr="00AE27E4">
        <w:rPr>
          <w:rFonts w:ascii="Verdana" w:hAnsi="Verdana"/>
          <w:sz w:val="20"/>
        </w:rPr>
        <w:t xml:space="preserve">Estado no presentó información </w:t>
      </w:r>
      <w:r w:rsidR="00194347" w:rsidRPr="00AE27E4">
        <w:rPr>
          <w:rFonts w:ascii="Verdana" w:hAnsi="Verdana"/>
          <w:sz w:val="20"/>
        </w:rPr>
        <w:t xml:space="preserve">alguna </w:t>
      </w:r>
      <w:r>
        <w:rPr>
          <w:rFonts w:ascii="Verdana" w:hAnsi="Verdana"/>
          <w:sz w:val="20"/>
        </w:rPr>
        <w:t>respecto de la difusión de la Sentencia</w:t>
      </w:r>
      <w:r w:rsidR="00CF1307">
        <w:rPr>
          <w:rFonts w:ascii="Verdana" w:hAnsi="Verdana"/>
          <w:sz w:val="20"/>
        </w:rPr>
        <w:t xml:space="preserve"> a través de una emisora radial y un canal de televisión</w:t>
      </w:r>
      <w:r>
        <w:rPr>
          <w:rFonts w:ascii="Verdana" w:hAnsi="Verdana"/>
          <w:sz w:val="20"/>
        </w:rPr>
        <w:t>. En razón de ello, e</w:t>
      </w:r>
      <w:r w:rsidR="00194347" w:rsidRPr="00AE27E4">
        <w:rPr>
          <w:rFonts w:ascii="Verdana" w:hAnsi="Verdana"/>
          <w:sz w:val="20"/>
        </w:rPr>
        <w:t xml:space="preserve">l Tribunal </w:t>
      </w:r>
      <w:r>
        <w:rPr>
          <w:rFonts w:ascii="Verdana" w:hAnsi="Verdana"/>
          <w:sz w:val="20"/>
        </w:rPr>
        <w:t xml:space="preserve">no tiene </w:t>
      </w:r>
      <w:r w:rsidR="00194347" w:rsidRPr="00AE27E4">
        <w:rPr>
          <w:rFonts w:ascii="Verdana" w:hAnsi="Verdana"/>
          <w:sz w:val="20"/>
        </w:rPr>
        <w:t>conoc</w:t>
      </w:r>
      <w:r>
        <w:rPr>
          <w:rFonts w:ascii="Verdana" w:hAnsi="Verdana"/>
          <w:sz w:val="20"/>
        </w:rPr>
        <w:t>imiento de</w:t>
      </w:r>
      <w:r w:rsidR="00194347" w:rsidRPr="00AE27E4">
        <w:rPr>
          <w:rFonts w:ascii="Verdana" w:hAnsi="Verdana"/>
          <w:sz w:val="20"/>
        </w:rPr>
        <w:t xml:space="preserve"> qué acciones está adoptando </w:t>
      </w:r>
      <w:r>
        <w:rPr>
          <w:rFonts w:ascii="Verdana" w:hAnsi="Verdana"/>
          <w:sz w:val="20"/>
        </w:rPr>
        <w:t xml:space="preserve">el Perú </w:t>
      </w:r>
      <w:r w:rsidR="00194347" w:rsidRPr="00AE27E4">
        <w:rPr>
          <w:rFonts w:ascii="Verdana" w:hAnsi="Verdana"/>
          <w:sz w:val="20"/>
        </w:rPr>
        <w:t>para terminar con la dilación</w:t>
      </w:r>
      <w:r>
        <w:rPr>
          <w:rFonts w:ascii="Verdana" w:hAnsi="Verdana"/>
          <w:sz w:val="20"/>
        </w:rPr>
        <w:t xml:space="preserve"> injustificada</w:t>
      </w:r>
      <w:r w:rsidR="00AE27E4">
        <w:rPr>
          <w:rFonts w:ascii="Verdana" w:hAnsi="Verdana"/>
          <w:sz w:val="20"/>
        </w:rPr>
        <w:t xml:space="preserve"> de más de</w:t>
      </w:r>
      <w:r w:rsidR="00194347" w:rsidRPr="00AE27E4">
        <w:rPr>
          <w:rFonts w:ascii="Verdana" w:hAnsi="Verdana"/>
          <w:sz w:val="20"/>
        </w:rPr>
        <w:t xml:space="preserve"> </w:t>
      </w:r>
      <w:r w:rsidR="00D65D84">
        <w:rPr>
          <w:rFonts w:ascii="Verdana" w:hAnsi="Verdana"/>
          <w:sz w:val="20"/>
        </w:rPr>
        <w:t>ocho</w:t>
      </w:r>
      <w:r>
        <w:rPr>
          <w:rFonts w:ascii="Verdana" w:hAnsi="Verdana"/>
          <w:sz w:val="20"/>
        </w:rPr>
        <w:t xml:space="preserve"> años </w:t>
      </w:r>
      <w:r w:rsidR="00194347" w:rsidRPr="00AE27E4">
        <w:rPr>
          <w:rFonts w:ascii="Verdana" w:hAnsi="Verdana"/>
          <w:sz w:val="20"/>
        </w:rPr>
        <w:t xml:space="preserve">para </w:t>
      </w:r>
      <w:r w:rsidR="006B39FF">
        <w:rPr>
          <w:rFonts w:ascii="Verdana" w:hAnsi="Verdana"/>
          <w:sz w:val="20"/>
        </w:rPr>
        <w:t>el cumplimiento de</w:t>
      </w:r>
      <w:r w:rsidR="00CF1307">
        <w:rPr>
          <w:rFonts w:ascii="Verdana" w:hAnsi="Verdana"/>
          <w:sz w:val="20"/>
        </w:rPr>
        <w:t xml:space="preserve"> este extremo de</w:t>
      </w:r>
      <w:r w:rsidR="006B39FF">
        <w:rPr>
          <w:rFonts w:ascii="Verdana" w:hAnsi="Verdana"/>
          <w:sz w:val="20"/>
        </w:rPr>
        <w:t xml:space="preserve"> </w:t>
      </w:r>
      <w:r w:rsidR="00CF1307">
        <w:rPr>
          <w:rFonts w:ascii="Verdana" w:hAnsi="Verdana"/>
          <w:sz w:val="20"/>
        </w:rPr>
        <w:t>la</w:t>
      </w:r>
      <w:r w:rsidR="006B39FF">
        <w:rPr>
          <w:rFonts w:ascii="Verdana" w:hAnsi="Verdana"/>
          <w:sz w:val="20"/>
        </w:rPr>
        <w:t xml:space="preserve"> medida</w:t>
      </w:r>
      <w:r w:rsidR="00C82EF6">
        <w:rPr>
          <w:rFonts w:ascii="Verdana" w:hAnsi="Verdana"/>
          <w:sz w:val="20"/>
        </w:rPr>
        <w:t>.</w:t>
      </w:r>
      <w:r w:rsidR="006B39FF">
        <w:rPr>
          <w:rFonts w:ascii="Verdana" w:hAnsi="Verdana"/>
          <w:sz w:val="20"/>
        </w:rPr>
        <w:t xml:space="preserve"> </w:t>
      </w:r>
      <w:r w:rsidR="00C82EF6">
        <w:rPr>
          <w:rFonts w:ascii="Verdana" w:hAnsi="Verdana"/>
          <w:sz w:val="20"/>
        </w:rPr>
        <w:t>P</w:t>
      </w:r>
      <w:r w:rsidR="006B39FF">
        <w:rPr>
          <w:rFonts w:ascii="Verdana" w:hAnsi="Verdana"/>
          <w:sz w:val="20"/>
        </w:rPr>
        <w:t>ese a haber reiterado en Resoluciones anteriores</w:t>
      </w:r>
      <w:r w:rsidR="00CF1307">
        <w:rPr>
          <w:rStyle w:val="Refdenotaalpie"/>
          <w:rFonts w:ascii="Verdana" w:hAnsi="Verdana"/>
          <w:sz w:val="20"/>
        </w:rPr>
        <w:footnoteReference w:id="25"/>
      </w:r>
      <w:r w:rsidR="006B39FF">
        <w:rPr>
          <w:rFonts w:ascii="Verdana" w:hAnsi="Verdana"/>
          <w:sz w:val="20"/>
        </w:rPr>
        <w:t xml:space="preserve"> la importancia </w:t>
      </w:r>
      <w:r w:rsidR="006B39FF">
        <w:rPr>
          <w:rFonts w:ascii="Verdana" w:hAnsi="Verdana"/>
          <w:sz w:val="20"/>
        </w:rPr>
        <w:lastRenderedPageBreak/>
        <w:t xml:space="preserve">que el cumplimiento de esta medida conlleva </w:t>
      </w:r>
      <w:r w:rsidR="006B39FF" w:rsidRPr="00841966">
        <w:rPr>
          <w:rFonts w:ascii="Verdana" w:hAnsi="Verdana"/>
          <w:sz w:val="20"/>
        </w:rPr>
        <w:t>para las víctimas y sus familiares, así como haber ordenado plazos para llevar a cabo su ejecución, el Estado no ha realizado la difusión radial y televisiva a la Sentencia.</w:t>
      </w:r>
      <w:r w:rsidR="00AF20EC" w:rsidRPr="00841966">
        <w:rPr>
          <w:rFonts w:ascii="Verdana" w:hAnsi="Verdana"/>
          <w:sz w:val="20"/>
        </w:rPr>
        <w:t xml:space="preserve"> El Tribunal requiere al Perú que cumpla de forma efectiva con la referida difusión </w:t>
      </w:r>
      <w:r w:rsidR="005A124D" w:rsidRPr="00841966">
        <w:rPr>
          <w:rFonts w:ascii="Verdana" w:hAnsi="Verdana"/>
          <w:sz w:val="20"/>
        </w:rPr>
        <w:t>a la mayor brevedad</w:t>
      </w:r>
      <w:r w:rsidR="00D65D84">
        <w:rPr>
          <w:rFonts w:ascii="Verdana" w:hAnsi="Verdana"/>
          <w:sz w:val="20"/>
        </w:rPr>
        <w:t xml:space="preserve"> y que presente </w:t>
      </w:r>
      <w:r w:rsidR="00D65D84" w:rsidRPr="007A6227">
        <w:rPr>
          <w:rFonts w:ascii="Verdana" w:hAnsi="Verdana"/>
          <w:sz w:val="20"/>
        </w:rPr>
        <w:t xml:space="preserve">información actualizada, concreta y detallada </w:t>
      </w:r>
      <w:r w:rsidR="00D65D84">
        <w:rPr>
          <w:rFonts w:ascii="Verdana" w:hAnsi="Verdana"/>
          <w:sz w:val="20"/>
        </w:rPr>
        <w:t>sobre las acciones que llevará a cabo para ejecutar dicha medida</w:t>
      </w:r>
      <w:r w:rsidR="00A63A1B">
        <w:rPr>
          <w:rFonts w:ascii="Verdana" w:hAnsi="Verdana"/>
          <w:sz w:val="20"/>
        </w:rPr>
        <w:t xml:space="preserve"> a la mayor brevedad</w:t>
      </w:r>
      <w:r w:rsidR="00AF20EC" w:rsidRPr="00841966">
        <w:rPr>
          <w:rFonts w:ascii="Verdana" w:hAnsi="Verdana"/>
          <w:sz w:val="20"/>
        </w:rPr>
        <w:t>.</w:t>
      </w:r>
    </w:p>
    <w:p w:rsidR="001A0FA6" w:rsidRPr="00D937D1" w:rsidRDefault="001A0FA6" w:rsidP="00D333AB">
      <w:pPr>
        <w:pStyle w:val="Cuadrculamedia1-nfasis2"/>
        <w:tabs>
          <w:tab w:val="left" w:pos="567"/>
        </w:tabs>
        <w:ind w:left="0"/>
        <w:contextualSpacing/>
        <w:jc w:val="both"/>
        <w:rPr>
          <w:rFonts w:ascii="Verdana" w:hAnsi="Verdana"/>
          <w:sz w:val="20"/>
        </w:rPr>
      </w:pPr>
    </w:p>
    <w:p w:rsidR="00505078" w:rsidRPr="00505078" w:rsidRDefault="001A0FA6" w:rsidP="00D333AB">
      <w:pPr>
        <w:pStyle w:val="Cuadrculamedia1-nfasis2"/>
        <w:numPr>
          <w:ilvl w:val="0"/>
          <w:numId w:val="1"/>
        </w:numPr>
        <w:tabs>
          <w:tab w:val="left" w:pos="567"/>
        </w:tabs>
        <w:ind w:left="0" w:firstLine="0"/>
        <w:contextualSpacing/>
        <w:jc w:val="both"/>
        <w:rPr>
          <w:rFonts w:ascii="Verdana" w:hAnsi="Verdana"/>
          <w:sz w:val="20"/>
        </w:rPr>
      </w:pPr>
      <w:r w:rsidRPr="00C453EC">
        <w:rPr>
          <w:rFonts w:ascii="Verdana" w:hAnsi="Verdana"/>
          <w:sz w:val="20"/>
        </w:rPr>
        <w:t xml:space="preserve">En razón de lo anterior, la Corte considera que el Estado ha dado cumplimiento </w:t>
      </w:r>
      <w:r>
        <w:rPr>
          <w:rFonts w:ascii="Verdana" w:hAnsi="Verdana"/>
          <w:sz w:val="20"/>
        </w:rPr>
        <w:t xml:space="preserve">parcial </w:t>
      </w:r>
      <w:r w:rsidRPr="00C453EC">
        <w:rPr>
          <w:rFonts w:ascii="Verdana" w:hAnsi="Verdana"/>
          <w:sz w:val="20"/>
        </w:rPr>
        <w:t xml:space="preserve">a </w:t>
      </w:r>
      <w:r>
        <w:rPr>
          <w:rFonts w:ascii="Verdana" w:hAnsi="Verdana"/>
          <w:sz w:val="20"/>
        </w:rPr>
        <w:t>la</w:t>
      </w:r>
      <w:r w:rsidR="00A10BE5">
        <w:rPr>
          <w:rFonts w:ascii="Verdana" w:hAnsi="Verdana"/>
          <w:sz w:val="20"/>
        </w:rPr>
        <w:t>s</w:t>
      </w:r>
      <w:r>
        <w:rPr>
          <w:rFonts w:ascii="Verdana" w:hAnsi="Verdana"/>
          <w:sz w:val="20"/>
        </w:rPr>
        <w:t xml:space="preserve"> </w:t>
      </w:r>
      <w:r w:rsidRPr="00F637A8">
        <w:rPr>
          <w:rFonts w:ascii="Verdana" w:hAnsi="Verdana"/>
          <w:color w:val="000000"/>
          <w:sz w:val="20"/>
        </w:rPr>
        <w:t>medida</w:t>
      </w:r>
      <w:r w:rsidR="00A10BE5">
        <w:rPr>
          <w:rFonts w:ascii="Verdana" w:hAnsi="Verdana"/>
          <w:color w:val="000000"/>
          <w:sz w:val="20"/>
        </w:rPr>
        <w:t>s ordenadas en el punto resolutivo décimo séptimo de la Sentencia, ya que cumplió con</w:t>
      </w:r>
      <w:r>
        <w:rPr>
          <w:rFonts w:ascii="Verdana" w:hAnsi="Verdana"/>
          <w:sz w:val="20"/>
        </w:rPr>
        <w:t xml:space="preserve"> </w:t>
      </w:r>
      <w:r w:rsidR="002E742D" w:rsidRPr="00437C7B">
        <w:rPr>
          <w:rFonts w:ascii="Verdana" w:hAnsi="Verdana"/>
          <w:sz w:val="20"/>
        </w:rPr>
        <w:t>publicar en el Diario Oficial y en otro</w:t>
      </w:r>
      <w:r w:rsidR="002E742D">
        <w:rPr>
          <w:rFonts w:ascii="Verdana" w:hAnsi="Verdana"/>
          <w:sz w:val="20"/>
        </w:rPr>
        <w:t xml:space="preserve"> </w:t>
      </w:r>
      <w:r w:rsidR="002E742D" w:rsidRPr="00437C7B">
        <w:rPr>
          <w:rFonts w:ascii="Verdana" w:hAnsi="Verdana"/>
          <w:sz w:val="20"/>
        </w:rPr>
        <w:t>diario de amplia circulación nacional, por una sola v</w:t>
      </w:r>
      <w:r w:rsidR="00705398">
        <w:rPr>
          <w:rFonts w:ascii="Verdana" w:hAnsi="Verdana"/>
          <w:sz w:val="20"/>
        </w:rPr>
        <w:t>ez, el capítulo relativo a los h</w:t>
      </w:r>
      <w:r w:rsidR="002E742D" w:rsidRPr="00437C7B">
        <w:rPr>
          <w:rFonts w:ascii="Verdana" w:hAnsi="Verdana"/>
          <w:sz w:val="20"/>
        </w:rPr>
        <w:t>echos probados</w:t>
      </w:r>
      <w:r w:rsidR="002E742D">
        <w:rPr>
          <w:rFonts w:ascii="Verdana" w:hAnsi="Verdana"/>
          <w:sz w:val="20"/>
        </w:rPr>
        <w:t xml:space="preserve"> </w:t>
      </w:r>
      <w:r w:rsidR="002E742D" w:rsidRPr="00437C7B">
        <w:rPr>
          <w:rFonts w:ascii="Verdana" w:hAnsi="Verdana"/>
          <w:sz w:val="20"/>
        </w:rPr>
        <w:t xml:space="preserve">de </w:t>
      </w:r>
      <w:r w:rsidR="00705398">
        <w:rPr>
          <w:rFonts w:ascii="Verdana" w:hAnsi="Verdana"/>
          <w:sz w:val="20"/>
        </w:rPr>
        <w:t>la</w:t>
      </w:r>
      <w:r w:rsidR="002E742D" w:rsidRPr="00437C7B">
        <w:rPr>
          <w:rFonts w:ascii="Verdana" w:hAnsi="Verdana"/>
          <w:sz w:val="20"/>
        </w:rPr>
        <w:t xml:space="preserve"> Sentencia, sin las notas al pie de página, y la parte resolutiva de </w:t>
      </w:r>
      <w:r w:rsidR="00705398">
        <w:rPr>
          <w:rFonts w:ascii="Verdana" w:hAnsi="Verdana"/>
          <w:sz w:val="20"/>
        </w:rPr>
        <w:t>la misma</w:t>
      </w:r>
      <w:r w:rsidR="00536159">
        <w:rPr>
          <w:rFonts w:ascii="Verdana" w:hAnsi="Verdana"/>
          <w:sz w:val="20"/>
        </w:rPr>
        <w:t xml:space="preserve"> y continúa pendiente de cumplimiento</w:t>
      </w:r>
      <w:r w:rsidR="0038102E">
        <w:rPr>
          <w:rFonts w:ascii="Verdana" w:hAnsi="Verdana"/>
          <w:sz w:val="20"/>
        </w:rPr>
        <w:t xml:space="preserve"> </w:t>
      </w:r>
      <w:r w:rsidR="002E742D" w:rsidRPr="00437C7B">
        <w:rPr>
          <w:rFonts w:ascii="Verdana" w:hAnsi="Verdana"/>
          <w:sz w:val="20"/>
        </w:rPr>
        <w:t>difundir las referidas partes de la</w:t>
      </w:r>
      <w:r w:rsidR="002E742D">
        <w:rPr>
          <w:rFonts w:ascii="Verdana" w:hAnsi="Verdana"/>
          <w:sz w:val="20"/>
        </w:rPr>
        <w:t xml:space="preserve"> </w:t>
      </w:r>
      <w:r w:rsidR="002E742D" w:rsidRPr="00437C7B">
        <w:rPr>
          <w:rFonts w:ascii="Verdana" w:hAnsi="Verdana"/>
          <w:sz w:val="20"/>
        </w:rPr>
        <w:t>Sentencia a través de una emisora radial y un</w:t>
      </w:r>
      <w:r w:rsidR="002E742D">
        <w:rPr>
          <w:rFonts w:ascii="Verdana" w:hAnsi="Verdana"/>
          <w:sz w:val="20"/>
        </w:rPr>
        <w:t xml:space="preserve"> </w:t>
      </w:r>
      <w:r w:rsidR="002E742D" w:rsidRPr="00437C7B">
        <w:rPr>
          <w:rFonts w:ascii="Verdana" w:hAnsi="Verdana"/>
          <w:sz w:val="20"/>
        </w:rPr>
        <w:t>canal de televisión, ambos de amplia cobertura nacional, al menos en dos ocasiones con un</w:t>
      </w:r>
      <w:r w:rsidR="002E742D">
        <w:rPr>
          <w:rFonts w:ascii="Verdana" w:hAnsi="Verdana"/>
          <w:sz w:val="20"/>
        </w:rPr>
        <w:t xml:space="preserve"> </w:t>
      </w:r>
      <w:r w:rsidR="002E742D" w:rsidRPr="00437C7B">
        <w:rPr>
          <w:rFonts w:ascii="Verdana" w:hAnsi="Verdana"/>
          <w:sz w:val="20"/>
        </w:rPr>
        <w:t>intervalo de dos semanas entre cada una</w:t>
      </w:r>
      <w:r w:rsidR="005E5578">
        <w:rPr>
          <w:rFonts w:ascii="Verdana" w:hAnsi="Verdana"/>
          <w:sz w:val="20"/>
        </w:rPr>
        <w:t xml:space="preserve">, </w:t>
      </w:r>
      <w:r w:rsidR="00AF20EC">
        <w:rPr>
          <w:rFonts w:ascii="Verdana" w:hAnsi="Verdana"/>
          <w:sz w:val="20"/>
        </w:rPr>
        <w:t>ordenadas</w:t>
      </w:r>
      <w:r w:rsidR="00C82EF6">
        <w:rPr>
          <w:rFonts w:ascii="Verdana" w:hAnsi="Verdana"/>
          <w:sz w:val="20"/>
        </w:rPr>
        <w:t xml:space="preserve"> en el mismo punto resolutivo.</w:t>
      </w:r>
    </w:p>
    <w:p w:rsidR="00505078" w:rsidRDefault="00505078" w:rsidP="00D333AB">
      <w:pPr>
        <w:pStyle w:val="Cuadrculamedia1-nfasis2"/>
        <w:ind w:left="0"/>
        <w:contextualSpacing/>
        <w:jc w:val="both"/>
        <w:rPr>
          <w:rFonts w:ascii="Verdana" w:hAnsi="Verdana"/>
          <w:sz w:val="20"/>
        </w:rPr>
      </w:pPr>
    </w:p>
    <w:p w:rsidR="001E344B" w:rsidRDefault="001E344B" w:rsidP="00D333AB">
      <w:pPr>
        <w:pStyle w:val="Cuadrculamedia1-nfasis2"/>
        <w:ind w:left="0"/>
        <w:contextualSpacing/>
        <w:jc w:val="both"/>
        <w:rPr>
          <w:rFonts w:ascii="Verdana" w:hAnsi="Verdana"/>
          <w:sz w:val="20"/>
        </w:rPr>
      </w:pPr>
    </w:p>
    <w:p w:rsidR="00505078" w:rsidRPr="00AE180B" w:rsidRDefault="00C15692" w:rsidP="00D333AB">
      <w:pPr>
        <w:pStyle w:val="Ttulo"/>
        <w:ind w:right="0"/>
      </w:pPr>
      <w:bookmarkStart w:id="28" w:name="_Toc475555755"/>
      <w:r>
        <w:rPr>
          <w:lang w:val="es-CR"/>
        </w:rPr>
        <w:t>Estado de cumplimiento</w:t>
      </w:r>
      <w:r w:rsidR="00505078">
        <w:t xml:space="preserve"> de las demás medidas de reparación</w:t>
      </w:r>
      <w:bookmarkEnd w:id="28"/>
    </w:p>
    <w:p w:rsidR="00137243" w:rsidRDefault="00137243" w:rsidP="00D333AB">
      <w:pPr>
        <w:pStyle w:val="Ttulo"/>
        <w:numPr>
          <w:ilvl w:val="0"/>
          <w:numId w:val="0"/>
        </w:numPr>
        <w:ind w:right="0"/>
        <w:rPr>
          <w:b w:val="0"/>
        </w:rPr>
      </w:pPr>
    </w:p>
    <w:p w:rsidR="00505078" w:rsidRDefault="00505078" w:rsidP="00D333AB">
      <w:pPr>
        <w:numPr>
          <w:ilvl w:val="0"/>
          <w:numId w:val="1"/>
        </w:numPr>
        <w:tabs>
          <w:tab w:val="left" w:pos="567"/>
        </w:tabs>
        <w:ind w:left="0" w:firstLine="0"/>
        <w:contextualSpacing/>
        <w:jc w:val="both"/>
        <w:rPr>
          <w:rFonts w:ascii="Verdana" w:hAnsi="Verdana"/>
          <w:sz w:val="20"/>
        </w:rPr>
      </w:pPr>
      <w:r w:rsidRPr="00505078">
        <w:rPr>
          <w:rFonts w:ascii="Verdana" w:hAnsi="Verdana"/>
          <w:sz w:val="20"/>
        </w:rPr>
        <w:t>Además de las medidas de reparación valoradas en la</w:t>
      </w:r>
      <w:r w:rsidR="00405E14">
        <w:rPr>
          <w:rFonts w:ascii="Verdana" w:hAnsi="Verdana"/>
          <w:sz w:val="20"/>
        </w:rPr>
        <w:t>s consideraciones previas de la</w:t>
      </w:r>
      <w:r w:rsidRPr="00505078">
        <w:rPr>
          <w:rFonts w:ascii="Verdana" w:hAnsi="Verdana"/>
          <w:sz w:val="20"/>
        </w:rPr>
        <w:t xml:space="preserve"> </w:t>
      </w:r>
      <w:r>
        <w:rPr>
          <w:rFonts w:ascii="Verdana" w:hAnsi="Verdana"/>
          <w:sz w:val="20"/>
        </w:rPr>
        <w:t xml:space="preserve">presente </w:t>
      </w:r>
      <w:r w:rsidRPr="00505078">
        <w:rPr>
          <w:rFonts w:ascii="Verdana" w:hAnsi="Verdana"/>
          <w:sz w:val="20"/>
        </w:rPr>
        <w:t>Resolución (</w:t>
      </w:r>
      <w:r w:rsidRPr="00505078">
        <w:rPr>
          <w:rFonts w:ascii="Verdana" w:hAnsi="Verdana"/>
          <w:i/>
          <w:sz w:val="20"/>
        </w:rPr>
        <w:t>supra</w:t>
      </w:r>
      <w:r w:rsidRPr="00505078">
        <w:rPr>
          <w:rFonts w:ascii="Verdana" w:hAnsi="Verdana"/>
          <w:sz w:val="20"/>
        </w:rPr>
        <w:t xml:space="preserve"> Considerando</w:t>
      </w:r>
      <w:r>
        <w:rPr>
          <w:rFonts w:ascii="Verdana" w:hAnsi="Verdana"/>
          <w:sz w:val="20"/>
        </w:rPr>
        <w:t xml:space="preserve"> </w:t>
      </w:r>
      <w:r w:rsidR="00533EC6">
        <w:rPr>
          <w:rFonts w:ascii="Verdana" w:hAnsi="Verdana"/>
          <w:sz w:val="20"/>
        </w:rPr>
        <w:t>3)</w:t>
      </w:r>
      <w:r w:rsidRPr="00505078">
        <w:rPr>
          <w:rFonts w:ascii="Verdana" w:hAnsi="Verdana"/>
          <w:sz w:val="20"/>
        </w:rPr>
        <w:t xml:space="preserve">, la Corte ordenó </w:t>
      </w:r>
      <w:r w:rsidR="00405E14">
        <w:rPr>
          <w:rFonts w:ascii="Verdana" w:hAnsi="Verdana"/>
          <w:sz w:val="20"/>
        </w:rPr>
        <w:t>al Estado otras ocho</w:t>
      </w:r>
      <w:r w:rsidRPr="00505078">
        <w:rPr>
          <w:rFonts w:ascii="Verdana" w:hAnsi="Verdana"/>
          <w:sz w:val="20"/>
        </w:rPr>
        <w:t xml:space="preserve"> reparaciones</w:t>
      </w:r>
      <w:r w:rsidR="00274219">
        <w:rPr>
          <w:rFonts w:ascii="Verdana" w:hAnsi="Verdana"/>
          <w:sz w:val="20"/>
        </w:rPr>
        <w:t xml:space="preserve"> en su Sentencia</w:t>
      </w:r>
      <w:r w:rsidRPr="00505078">
        <w:rPr>
          <w:rFonts w:ascii="Verdana" w:hAnsi="Verdana"/>
          <w:sz w:val="20"/>
        </w:rPr>
        <w:t>:</w:t>
      </w:r>
    </w:p>
    <w:p w:rsidR="00505078" w:rsidRDefault="00505078" w:rsidP="00D333AB">
      <w:pPr>
        <w:tabs>
          <w:tab w:val="left" w:pos="567"/>
        </w:tabs>
        <w:contextualSpacing/>
        <w:jc w:val="both"/>
        <w:rPr>
          <w:rFonts w:ascii="Verdana" w:hAnsi="Verdana"/>
          <w:sz w:val="20"/>
        </w:rPr>
      </w:pPr>
    </w:p>
    <w:p w:rsidR="00FB07A5" w:rsidRDefault="000976F8" w:rsidP="00F83FF4">
      <w:pPr>
        <w:numPr>
          <w:ilvl w:val="0"/>
          <w:numId w:val="43"/>
        </w:numPr>
        <w:tabs>
          <w:tab w:val="left" w:pos="567"/>
        </w:tabs>
        <w:contextualSpacing/>
        <w:jc w:val="both"/>
        <w:rPr>
          <w:rFonts w:ascii="Verdana" w:hAnsi="Verdana"/>
          <w:sz w:val="20"/>
          <w:lang w:val="es-CR"/>
        </w:rPr>
      </w:pPr>
      <w:r w:rsidRPr="000976F8">
        <w:rPr>
          <w:rFonts w:ascii="Verdana" w:hAnsi="Verdana"/>
          <w:sz w:val="20"/>
          <w:lang w:val="es-CR"/>
        </w:rPr>
        <w:t>investigar efectivamente los hechos denunciados en el caso, identificar y, en su caso, sancionar a los responsables, para lo cual debe abrir los procesos pertinentes y conducir eficazmente los procesos penales que se encuentran en trámite así como los que se llegaren a abrir, adoptar todas las medidas necesarias que permitan el esclarecimiento de todos los hechos del caso, con el propósito de determinar la responsabilidad intelectual y material de quienes participaron en dichas violaciones, y divulgar públicamente los resultados de estos procesos penales (</w:t>
      </w:r>
      <w:r w:rsidRPr="000976F8">
        <w:rPr>
          <w:rFonts w:ascii="Verdana" w:hAnsi="Verdana"/>
          <w:i/>
          <w:sz w:val="20"/>
          <w:lang w:val="es-CR"/>
        </w:rPr>
        <w:t>punto resolutivo octavo de la Sentencia</w:t>
      </w:r>
      <w:r w:rsidRPr="000976F8">
        <w:rPr>
          <w:rFonts w:ascii="Verdana" w:hAnsi="Verdana"/>
          <w:sz w:val="20"/>
          <w:lang w:val="es-CR"/>
        </w:rPr>
        <w:t xml:space="preserve">); </w:t>
      </w:r>
    </w:p>
    <w:p w:rsidR="00F83FF4" w:rsidRDefault="000976F8" w:rsidP="00F83FF4">
      <w:pPr>
        <w:numPr>
          <w:ilvl w:val="0"/>
          <w:numId w:val="43"/>
        </w:numPr>
        <w:tabs>
          <w:tab w:val="left" w:pos="567"/>
        </w:tabs>
        <w:contextualSpacing/>
        <w:jc w:val="both"/>
        <w:rPr>
          <w:rFonts w:ascii="Verdana" w:hAnsi="Verdana"/>
          <w:sz w:val="20"/>
          <w:lang w:val="es-CR"/>
        </w:rPr>
      </w:pPr>
      <w:r w:rsidRPr="000976F8">
        <w:rPr>
          <w:rFonts w:ascii="Verdana" w:hAnsi="Verdana"/>
          <w:sz w:val="20"/>
          <w:lang w:val="es-CR"/>
        </w:rPr>
        <w:t>establecer los medios necesarios para asegurar que la información y documentación relacionada con investigaciones policiales relativa a hechos muy graves se conserve de forma tal que sea posible llevar a cabo las correspondientes investigaciones (</w:t>
      </w:r>
      <w:r w:rsidRPr="000976F8">
        <w:rPr>
          <w:rFonts w:ascii="Verdana" w:hAnsi="Verdana"/>
          <w:i/>
          <w:sz w:val="20"/>
          <w:lang w:val="es-CR"/>
        </w:rPr>
        <w:t xml:space="preserve">punto resolutivo noveno de la </w:t>
      </w:r>
      <w:r w:rsidRPr="00881389">
        <w:rPr>
          <w:rFonts w:ascii="Verdana" w:hAnsi="Verdana"/>
          <w:i/>
          <w:sz w:val="20"/>
          <w:lang w:val="es-CR"/>
        </w:rPr>
        <w:t>Sentencia</w:t>
      </w:r>
      <w:r w:rsidRPr="00881389">
        <w:rPr>
          <w:rFonts w:ascii="Verdana" w:hAnsi="Verdana"/>
          <w:sz w:val="20"/>
          <w:lang w:val="es-CR"/>
        </w:rPr>
        <w:t xml:space="preserve">); </w:t>
      </w:r>
    </w:p>
    <w:p w:rsidR="00FB07A5" w:rsidRPr="00F83FF4" w:rsidRDefault="000976F8" w:rsidP="009F3054">
      <w:pPr>
        <w:numPr>
          <w:ilvl w:val="0"/>
          <w:numId w:val="43"/>
        </w:numPr>
        <w:tabs>
          <w:tab w:val="left" w:pos="720"/>
        </w:tabs>
        <w:contextualSpacing/>
        <w:jc w:val="both"/>
        <w:rPr>
          <w:rFonts w:ascii="Verdana" w:hAnsi="Verdana"/>
          <w:sz w:val="20"/>
          <w:lang w:val="es-CR"/>
        </w:rPr>
      </w:pPr>
      <w:r w:rsidRPr="00F83FF4">
        <w:rPr>
          <w:rFonts w:ascii="Verdana" w:hAnsi="Verdana"/>
          <w:sz w:val="20"/>
          <w:lang w:val="es-CR"/>
        </w:rPr>
        <w:t>adoptar todas las medidas necesarias para asegurar que todos los internos que fallecieron como consecuencia del ataque sean identificados y sus restos entregados a sus familiares, de acuerdo con su legislación interna. En caso de que se llegue a identificar otros internos fallecidos, sus familiares podrán hacer las reclamaciones correspondientes en el derecho interno (</w:t>
      </w:r>
      <w:r w:rsidRPr="00F83FF4">
        <w:rPr>
          <w:rFonts w:ascii="Verdana" w:hAnsi="Verdana"/>
          <w:i/>
          <w:sz w:val="20"/>
          <w:lang w:val="es-CR"/>
        </w:rPr>
        <w:t>punto resolutivo décimo primero de la Sentencia</w:t>
      </w:r>
      <w:r w:rsidRPr="00F83FF4">
        <w:rPr>
          <w:rFonts w:ascii="Verdana" w:hAnsi="Verdana"/>
          <w:sz w:val="20"/>
          <w:lang w:val="es-CR"/>
        </w:rPr>
        <w:t xml:space="preserve">); </w:t>
      </w:r>
    </w:p>
    <w:p w:rsidR="00FB07A5" w:rsidRDefault="000976F8" w:rsidP="00F83FF4">
      <w:pPr>
        <w:numPr>
          <w:ilvl w:val="0"/>
          <w:numId w:val="43"/>
        </w:numPr>
        <w:tabs>
          <w:tab w:val="left" w:pos="567"/>
        </w:tabs>
        <w:contextualSpacing/>
        <w:jc w:val="both"/>
        <w:rPr>
          <w:rFonts w:ascii="Verdana" w:hAnsi="Verdana"/>
          <w:sz w:val="20"/>
          <w:lang w:val="es-CR"/>
        </w:rPr>
      </w:pPr>
      <w:r w:rsidRPr="00881389">
        <w:rPr>
          <w:rFonts w:ascii="Verdana" w:hAnsi="Verdana"/>
          <w:sz w:val="20"/>
          <w:lang w:val="es-CR"/>
        </w:rPr>
        <w:t>realizar un acto público de reconocimiento</w:t>
      </w:r>
      <w:r w:rsidRPr="000976F8">
        <w:rPr>
          <w:rFonts w:ascii="Verdana" w:hAnsi="Verdana"/>
          <w:sz w:val="20"/>
          <w:lang w:val="es-CR"/>
        </w:rPr>
        <w:t xml:space="preserve"> de su responsabilidad internacional en relación con las violaciones declaradas en la Sentencia en desagravio a las víctimas y para satisfacción de sus familiares, en una ceremonia pública, con la presencia de altas autoridades del Estado y de las víctimas y sus familiares, </w:t>
      </w:r>
      <w:r w:rsidR="004F11CB">
        <w:rPr>
          <w:rFonts w:ascii="Verdana" w:hAnsi="Verdana"/>
          <w:sz w:val="20"/>
          <w:lang w:val="es-CR"/>
        </w:rPr>
        <w:t>así como</w:t>
      </w:r>
      <w:r w:rsidR="004F11CB" w:rsidRPr="000976F8">
        <w:rPr>
          <w:rFonts w:ascii="Verdana" w:hAnsi="Verdana"/>
          <w:sz w:val="20"/>
          <w:lang w:val="es-CR"/>
        </w:rPr>
        <w:t xml:space="preserve"> </w:t>
      </w:r>
      <w:r w:rsidRPr="000976F8">
        <w:rPr>
          <w:rFonts w:ascii="Verdana" w:hAnsi="Verdana"/>
          <w:sz w:val="20"/>
          <w:lang w:val="es-CR"/>
        </w:rPr>
        <w:t>difundir dicho acto a través de los medios de comunicación, incluyendo la difusión en la radio y televisión (</w:t>
      </w:r>
      <w:r w:rsidRPr="000976F8">
        <w:rPr>
          <w:rFonts w:ascii="Verdana" w:hAnsi="Verdana"/>
          <w:i/>
          <w:sz w:val="20"/>
          <w:lang w:val="es-CR"/>
        </w:rPr>
        <w:t>punto resolutivo décimo segundo de la Sentencia</w:t>
      </w:r>
      <w:r w:rsidRPr="000976F8">
        <w:rPr>
          <w:rFonts w:ascii="Verdana" w:hAnsi="Verdana"/>
          <w:sz w:val="20"/>
          <w:lang w:val="es-CR"/>
        </w:rPr>
        <w:t xml:space="preserve">); </w:t>
      </w:r>
    </w:p>
    <w:p w:rsidR="00FB07A5" w:rsidRDefault="000976F8" w:rsidP="00F83FF4">
      <w:pPr>
        <w:numPr>
          <w:ilvl w:val="0"/>
          <w:numId w:val="43"/>
        </w:numPr>
        <w:tabs>
          <w:tab w:val="left" w:pos="567"/>
        </w:tabs>
        <w:contextualSpacing/>
        <w:jc w:val="both"/>
        <w:rPr>
          <w:rFonts w:ascii="Verdana" w:hAnsi="Verdana"/>
          <w:sz w:val="20"/>
          <w:lang w:val="es-CR"/>
        </w:rPr>
      </w:pPr>
      <w:r w:rsidRPr="000976F8">
        <w:rPr>
          <w:rFonts w:ascii="Verdana" w:hAnsi="Verdana"/>
          <w:sz w:val="20"/>
          <w:lang w:val="es-CR"/>
        </w:rPr>
        <w:t>brindar gratuitamente, a través de sus instituciones de salud especializadas, el tratamiento médico y psicológico requerido por las víctimas y los familiares, incluyendo los medicamentos que éstos requieran, tomando en consideración los padecimientos de cada uno de ellos después de una evaluación individual (</w:t>
      </w:r>
      <w:r w:rsidRPr="000976F8">
        <w:rPr>
          <w:rFonts w:ascii="Verdana" w:hAnsi="Verdana"/>
          <w:i/>
          <w:sz w:val="20"/>
          <w:lang w:val="es-CR"/>
        </w:rPr>
        <w:t>punto resolutivo décimo tercero de la Sentencia</w:t>
      </w:r>
      <w:r w:rsidRPr="000976F8">
        <w:rPr>
          <w:rFonts w:ascii="Verdana" w:hAnsi="Verdana"/>
          <w:sz w:val="20"/>
          <w:lang w:val="es-CR"/>
        </w:rPr>
        <w:t xml:space="preserve">); </w:t>
      </w:r>
    </w:p>
    <w:p w:rsidR="00FB07A5" w:rsidRDefault="000976F8" w:rsidP="009F3054">
      <w:pPr>
        <w:numPr>
          <w:ilvl w:val="0"/>
          <w:numId w:val="43"/>
        </w:numPr>
        <w:tabs>
          <w:tab w:val="left" w:pos="720"/>
        </w:tabs>
        <w:contextualSpacing/>
        <w:jc w:val="both"/>
        <w:rPr>
          <w:rFonts w:ascii="Verdana" w:hAnsi="Verdana"/>
          <w:sz w:val="20"/>
          <w:lang w:val="es-CR"/>
        </w:rPr>
      </w:pPr>
      <w:r w:rsidRPr="000976F8">
        <w:rPr>
          <w:rFonts w:ascii="Verdana" w:hAnsi="Verdana"/>
          <w:sz w:val="20"/>
          <w:lang w:val="es-CR"/>
        </w:rPr>
        <w:lastRenderedPageBreak/>
        <w:t>diseñar e implementar, en un plazo razonable, programas de educación en derechos humanos dirigidos a agentes de las fuerzas de seguridad peruanas, sobre los estándares internacionales aplicables en materia de tratamiento de los reclusos (</w:t>
      </w:r>
      <w:r w:rsidRPr="000976F8">
        <w:rPr>
          <w:rFonts w:ascii="Verdana" w:hAnsi="Verdana"/>
          <w:i/>
          <w:sz w:val="20"/>
          <w:lang w:val="es-CR"/>
        </w:rPr>
        <w:t>punto resolutivo décimo quinto de la Sentencia</w:t>
      </w:r>
      <w:r w:rsidR="00FB07A5">
        <w:rPr>
          <w:rFonts w:ascii="Verdana" w:hAnsi="Verdana"/>
          <w:sz w:val="20"/>
          <w:lang w:val="es-CR"/>
        </w:rPr>
        <w:t>)</w:t>
      </w:r>
      <w:r w:rsidR="00501D72">
        <w:rPr>
          <w:rFonts w:ascii="Verdana" w:hAnsi="Verdana"/>
          <w:sz w:val="20"/>
          <w:lang w:val="es-CR"/>
        </w:rPr>
        <w:t>;</w:t>
      </w:r>
    </w:p>
    <w:p w:rsidR="000976F8" w:rsidRDefault="000976F8" w:rsidP="00F83FF4">
      <w:pPr>
        <w:numPr>
          <w:ilvl w:val="0"/>
          <w:numId w:val="43"/>
        </w:numPr>
        <w:tabs>
          <w:tab w:val="left" w:pos="567"/>
        </w:tabs>
        <w:contextualSpacing/>
        <w:jc w:val="both"/>
        <w:rPr>
          <w:rFonts w:ascii="Verdana" w:hAnsi="Verdana"/>
          <w:sz w:val="20"/>
          <w:lang w:val="es-CR"/>
        </w:rPr>
      </w:pPr>
      <w:r w:rsidRPr="000976F8">
        <w:rPr>
          <w:rFonts w:ascii="Verdana" w:hAnsi="Verdana"/>
          <w:sz w:val="20"/>
          <w:lang w:val="es-CR"/>
        </w:rPr>
        <w:t>establecer un parque o erigir un monumento que satisfaga el sentido y fin de la medida de reparación ordenada en la Sentencia (</w:t>
      </w:r>
      <w:r w:rsidRPr="000976F8">
        <w:rPr>
          <w:rFonts w:ascii="Verdana" w:hAnsi="Verdana"/>
          <w:i/>
          <w:sz w:val="20"/>
          <w:lang w:val="es-CR"/>
        </w:rPr>
        <w:t>punto resolutivo décimo sexto de la Sentencia y punto resolutivo segundo de la Sentencia de interpretación</w:t>
      </w:r>
      <w:r w:rsidR="00FB07A5">
        <w:rPr>
          <w:rFonts w:ascii="Verdana" w:hAnsi="Verdana"/>
          <w:sz w:val="20"/>
          <w:lang w:val="es-CR"/>
        </w:rPr>
        <w:t>)</w:t>
      </w:r>
      <w:r w:rsidR="00501D72">
        <w:rPr>
          <w:rFonts w:ascii="Verdana" w:hAnsi="Verdana"/>
          <w:sz w:val="20"/>
          <w:lang w:val="es-CR"/>
        </w:rPr>
        <w:t>, y</w:t>
      </w:r>
    </w:p>
    <w:p w:rsidR="008B771A" w:rsidRPr="008B771A" w:rsidRDefault="008B771A" w:rsidP="00F83FF4">
      <w:pPr>
        <w:numPr>
          <w:ilvl w:val="0"/>
          <w:numId w:val="43"/>
        </w:numPr>
        <w:tabs>
          <w:tab w:val="left" w:pos="567"/>
        </w:tabs>
        <w:contextualSpacing/>
        <w:jc w:val="both"/>
        <w:rPr>
          <w:rFonts w:ascii="Verdana" w:hAnsi="Verdana"/>
          <w:sz w:val="20"/>
          <w:lang w:val="es-CR"/>
        </w:rPr>
      </w:pPr>
      <w:r w:rsidRPr="008B771A">
        <w:rPr>
          <w:rFonts w:ascii="Verdana" w:hAnsi="Verdana"/>
          <w:sz w:val="20"/>
          <w:lang w:val="es-CR"/>
        </w:rPr>
        <w:t>reintegrar por concepto de costas y gastos la cantidad de US$75.000,00 (setenta y cinco mil dólares de los Estados Unidos de América o su equivalente en moneda peruana) a la interviniente común Mónica Feria Tinta, y la cantidad de US$15.000,00 (quince mil dólares de los Estados Unidos de América o su equivalente en moneda peruana) al grupo de representantes conformado por Sabina</w:t>
      </w:r>
      <w:r>
        <w:rPr>
          <w:rFonts w:ascii="Verdana" w:hAnsi="Verdana"/>
          <w:sz w:val="20"/>
          <w:lang w:val="es-CR"/>
        </w:rPr>
        <w:t xml:space="preserve"> </w:t>
      </w:r>
      <w:r w:rsidRPr="008B771A">
        <w:rPr>
          <w:rFonts w:ascii="Verdana" w:hAnsi="Verdana"/>
          <w:sz w:val="20"/>
          <w:lang w:val="es-CR"/>
        </w:rPr>
        <w:t>Astete, Douglas Casse</w:t>
      </w:r>
      <w:r>
        <w:rPr>
          <w:rFonts w:ascii="Verdana" w:hAnsi="Verdana"/>
          <w:sz w:val="20"/>
          <w:lang w:val="es-CR"/>
        </w:rPr>
        <w:t>l, Peter Elinder y Berta Flores (</w:t>
      </w:r>
      <w:r>
        <w:rPr>
          <w:rFonts w:ascii="Verdana" w:hAnsi="Verdana"/>
          <w:i/>
          <w:sz w:val="20"/>
          <w:lang w:val="es-CR"/>
        </w:rPr>
        <w:t>párrafo 456 de la Sentencia</w:t>
      </w:r>
      <w:r w:rsidRPr="008B771A">
        <w:rPr>
          <w:rFonts w:ascii="Verdana" w:hAnsi="Verdana"/>
          <w:sz w:val="20"/>
          <w:lang w:val="es-CR"/>
        </w:rPr>
        <w:t>)</w:t>
      </w:r>
      <w:r>
        <w:rPr>
          <w:rFonts w:ascii="Verdana" w:hAnsi="Verdana"/>
          <w:i/>
          <w:sz w:val="20"/>
          <w:lang w:val="es-CR"/>
        </w:rPr>
        <w:t>.</w:t>
      </w:r>
    </w:p>
    <w:p w:rsidR="000976F8" w:rsidRDefault="000976F8" w:rsidP="00E37383">
      <w:pPr>
        <w:tabs>
          <w:tab w:val="left" w:pos="567"/>
        </w:tabs>
        <w:contextualSpacing/>
        <w:jc w:val="both"/>
        <w:rPr>
          <w:rFonts w:ascii="Verdana" w:hAnsi="Verdana"/>
          <w:sz w:val="20"/>
        </w:rPr>
      </w:pPr>
    </w:p>
    <w:p w:rsidR="004B0550" w:rsidRDefault="004B0550" w:rsidP="00E37383">
      <w:pPr>
        <w:tabs>
          <w:tab w:val="left" w:pos="567"/>
        </w:tabs>
        <w:contextualSpacing/>
        <w:jc w:val="both"/>
        <w:rPr>
          <w:rFonts w:ascii="Verdana" w:hAnsi="Verdana"/>
          <w:sz w:val="20"/>
        </w:rPr>
      </w:pPr>
    </w:p>
    <w:p w:rsidR="00505078" w:rsidRPr="002B2EF9" w:rsidRDefault="002B2EF9" w:rsidP="00D333AB">
      <w:pPr>
        <w:numPr>
          <w:ilvl w:val="0"/>
          <w:numId w:val="1"/>
        </w:numPr>
        <w:tabs>
          <w:tab w:val="left" w:pos="567"/>
        </w:tabs>
        <w:ind w:left="0" w:firstLine="0"/>
        <w:contextualSpacing/>
        <w:jc w:val="both"/>
        <w:rPr>
          <w:rFonts w:ascii="Verdana" w:hAnsi="Verdana"/>
          <w:sz w:val="20"/>
        </w:rPr>
      </w:pPr>
      <w:r w:rsidRPr="002B2EF9">
        <w:rPr>
          <w:rFonts w:ascii="Verdana" w:hAnsi="Verdana"/>
          <w:sz w:val="20"/>
        </w:rPr>
        <w:t>Sobre la totalidad de las reparaciones señaladas en el Considerando anterior, en</w:t>
      </w:r>
      <w:r>
        <w:rPr>
          <w:rFonts w:ascii="Verdana" w:hAnsi="Verdana"/>
          <w:sz w:val="20"/>
        </w:rPr>
        <w:t xml:space="preserve"> </w:t>
      </w:r>
      <w:r w:rsidRPr="002B2EF9">
        <w:rPr>
          <w:rFonts w:ascii="Verdana" w:hAnsi="Verdana"/>
          <w:sz w:val="20"/>
        </w:rPr>
        <w:t xml:space="preserve">su informe de </w:t>
      </w:r>
      <w:r>
        <w:rPr>
          <w:rFonts w:ascii="Verdana" w:hAnsi="Verdana"/>
          <w:sz w:val="20"/>
        </w:rPr>
        <w:t>agosto</w:t>
      </w:r>
      <w:r w:rsidRPr="002B2EF9">
        <w:rPr>
          <w:rFonts w:ascii="Verdana" w:hAnsi="Verdana"/>
          <w:sz w:val="20"/>
        </w:rPr>
        <w:t xml:space="preserve"> de 2015 el Estado</w:t>
      </w:r>
      <w:r>
        <w:rPr>
          <w:rFonts w:ascii="Verdana" w:hAnsi="Verdana"/>
          <w:sz w:val="20"/>
        </w:rPr>
        <w:t xml:space="preserve"> </w:t>
      </w:r>
      <w:r w:rsidR="00505078" w:rsidRPr="002B2EF9">
        <w:rPr>
          <w:rFonts w:ascii="Verdana" w:hAnsi="Verdana"/>
          <w:sz w:val="20"/>
        </w:rPr>
        <w:t>s</w:t>
      </w:r>
      <w:r>
        <w:rPr>
          <w:rFonts w:ascii="Verdana" w:hAnsi="Verdana"/>
          <w:sz w:val="20"/>
        </w:rPr>
        <w:t xml:space="preserve">e refirió </w:t>
      </w:r>
      <w:r w:rsidRPr="00881389">
        <w:rPr>
          <w:rFonts w:ascii="Verdana" w:hAnsi="Verdana"/>
          <w:sz w:val="20"/>
        </w:rPr>
        <w:t xml:space="preserve">únicamente a </w:t>
      </w:r>
      <w:r w:rsidR="00841966" w:rsidRPr="00881389">
        <w:rPr>
          <w:rFonts w:ascii="Verdana" w:hAnsi="Verdana"/>
          <w:sz w:val="20"/>
        </w:rPr>
        <w:t>cinco</w:t>
      </w:r>
      <w:r w:rsidRPr="00881389">
        <w:rPr>
          <w:rFonts w:ascii="Verdana" w:hAnsi="Verdana"/>
          <w:sz w:val="20"/>
        </w:rPr>
        <w:t xml:space="preserve"> de </w:t>
      </w:r>
      <w:r w:rsidR="004C5207">
        <w:rPr>
          <w:rFonts w:ascii="Verdana" w:hAnsi="Verdana"/>
          <w:sz w:val="20"/>
        </w:rPr>
        <w:t>ellas</w:t>
      </w:r>
      <w:r w:rsidR="00841966" w:rsidRPr="00881389">
        <w:rPr>
          <w:rFonts w:ascii="Verdana" w:hAnsi="Verdana"/>
          <w:sz w:val="20"/>
        </w:rPr>
        <w:t xml:space="preserve"> (</w:t>
      </w:r>
      <w:r w:rsidR="00841966" w:rsidRPr="00881389">
        <w:rPr>
          <w:rFonts w:ascii="Verdana" w:hAnsi="Verdana"/>
          <w:i/>
          <w:sz w:val="20"/>
        </w:rPr>
        <w:t xml:space="preserve">infra </w:t>
      </w:r>
      <w:r w:rsidR="00841966" w:rsidRPr="00881389">
        <w:rPr>
          <w:rFonts w:ascii="Verdana" w:hAnsi="Verdana"/>
          <w:sz w:val="20"/>
        </w:rPr>
        <w:t>Considerando</w:t>
      </w:r>
      <w:r w:rsidR="004C5207">
        <w:rPr>
          <w:rFonts w:ascii="Verdana" w:hAnsi="Verdana"/>
          <w:sz w:val="20"/>
        </w:rPr>
        <w:t>s 32 a</w:t>
      </w:r>
      <w:r w:rsidR="00841966" w:rsidRPr="00881389">
        <w:rPr>
          <w:rFonts w:ascii="Verdana" w:hAnsi="Verdana"/>
          <w:sz w:val="20"/>
        </w:rPr>
        <w:t xml:space="preserve"> </w:t>
      </w:r>
      <w:r w:rsidR="00881389" w:rsidRPr="00881389">
        <w:rPr>
          <w:rFonts w:ascii="Verdana" w:hAnsi="Verdana"/>
          <w:sz w:val="20"/>
        </w:rPr>
        <w:t>3</w:t>
      </w:r>
      <w:r w:rsidR="00D41484">
        <w:rPr>
          <w:rFonts w:ascii="Verdana" w:hAnsi="Verdana"/>
          <w:sz w:val="20"/>
        </w:rPr>
        <w:t>6</w:t>
      </w:r>
      <w:r w:rsidR="00881389" w:rsidRPr="00881389">
        <w:rPr>
          <w:rFonts w:ascii="Verdana" w:hAnsi="Verdana"/>
          <w:sz w:val="20"/>
        </w:rPr>
        <w:t>)</w:t>
      </w:r>
      <w:r w:rsidRPr="00881389">
        <w:rPr>
          <w:rFonts w:ascii="Verdana" w:hAnsi="Verdana"/>
          <w:sz w:val="20"/>
        </w:rPr>
        <w:t xml:space="preserve"> sin presentar </w:t>
      </w:r>
      <w:r w:rsidR="004C5207">
        <w:rPr>
          <w:rFonts w:ascii="Verdana" w:hAnsi="Verdana"/>
          <w:sz w:val="20"/>
        </w:rPr>
        <w:t>la</w:t>
      </w:r>
      <w:r w:rsidR="00731584" w:rsidRPr="00881389">
        <w:rPr>
          <w:rFonts w:ascii="Verdana" w:hAnsi="Verdana"/>
          <w:sz w:val="20"/>
        </w:rPr>
        <w:t xml:space="preserve"> </w:t>
      </w:r>
      <w:r w:rsidR="008C236F" w:rsidRPr="00881389">
        <w:rPr>
          <w:rFonts w:ascii="Verdana" w:hAnsi="Verdana"/>
          <w:sz w:val="20"/>
        </w:rPr>
        <w:t>información precisa</w:t>
      </w:r>
      <w:r w:rsidR="004C5207">
        <w:rPr>
          <w:rFonts w:ascii="Verdana" w:hAnsi="Verdana"/>
          <w:sz w:val="20"/>
        </w:rPr>
        <w:t xml:space="preserve"> que</w:t>
      </w:r>
      <w:r w:rsidR="008C236F" w:rsidRPr="00881389">
        <w:rPr>
          <w:rFonts w:ascii="Verdana" w:hAnsi="Verdana"/>
          <w:sz w:val="20"/>
        </w:rPr>
        <w:t xml:space="preserve"> </w:t>
      </w:r>
      <w:r w:rsidRPr="00881389">
        <w:rPr>
          <w:rFonts w:ascii="Verdana" w:hAnsi="Verdana"/>
          <w:sz w:val="20"/>
        </w:rPr>
        <w:t xml:space="preserve">le </w:t>
      </w:r>
      <w:r w:rsidR="00C17E37" w:rsidRPr="00881389">
        <w:rPr>
          <w:rFonts w:ascii="Verdana" w:hAnsi="Verdana"/>
          <w:sz w:val="20"/>
        </w:rPr>
        <w:t>fue</w:t>
      </w:r>
      <w:r w:rsidR="004C5207">
        <w:rPr>
          <w:rFonts w:ascii="Verdana" w:hAnsi="Verdana"/>
          <w:sz w:val="20"/>
        </w:rPr>
        <w:t xml:space="preserve"> requerida</w:t>
      </w:r>
      <w:r w:rsidR="008C236F" w:rsidRPr="00881389">
        <w:rPr>
          <w:rFonts w:ascii="Verdana" w:hAnsi="Verdana"/>
          <w:sz w:val="20"/>
        </w:rPr>
        <w:t xml:space="preserve"> por este Tribunal</w:t>
      </w:r>
      <w:r w:rsidRPr="00881389">
        <w:rPr>
          <w:rFonts w:ascii="Verdana" w:hAnsi="Verdana"/>
          <w:sz w:val="20"/>
        </w:rPr>
        <w:t xml:space="preserve"> en Resoluciones previas (</w:t>
      </w:r>
      <w:r w:rsidRPr="00881389">
        <w:rPr>
          <w:rFonts w:ascii="Verdana" w:hAnsi="Verdana"/>
          <w:i/>
          <w:sz w:val="20"/>
        </w:rPr>
        <w:t>supra</w:t>
      </w:r>
      <w:r>
        <w:rPr>
          <w:rFonts w:ascii="Verdana" w:hAnsi="Verdana"/>
          <w:i/>
          <w:sz w:val="20"/>
        </w:rPr>
        <w:t xml:space="preserve"> </w:t>
      </w:r>
      <w:r w:rsidR="00881389">
        <w:rPr>
          <w:rFonts w:ascii="Verdana" w:hAnsi="Verdana"/>
          <w:sz w:val="20"/>
        </w:rPr>
        <w:t>Visto 3</w:t>
      </w:r>
      <w:r>
        <w:rPr>
          <w:rFonts w:ascii="Verdana" w:hAnsi="Verdana"/>
          <w:sz w:val="20"/>
        </w:rPr>
        <w:t>)</w:t>
      </w:r>
      <w:r w:rsidR="00F40BE8">
        <w:rPr>
          <w:rFonts w:ascii="Verdana" w:hAnsi="Verdana"/>
          <w:sz w:val="20"/>
        </w:rPr>
        <w:t>.</w:t>
      </w:r>
    </w:p>
    <w:p w:rsidR="00505078" w:rsidRDefault="00505078" w:rsidP="00D333AB">
      <w:pPr>
        <w:tabs>
          <w:tab w:val="left" w:pos="567"/>
        </w:tabs>
        <w:jc w:val="both"/>
        <w:rPr>
          <w:rFonts w:ascii="Verdana" w:hAnsi="Verdana"/>
          <w:sz w:val="20"/>
        </w:rPr>
      </w:pPr>
    </w:p>
    <w:p w:rsidR="004B0550" w:rsidRPr="005D0F1E" w:rsidRDefault="004B0550" w:rsidP="00D333AB">
      <w:pPr>
        <w:tabs>
          <w:tab w:val="left" w:pos="567"/>
        </w:tabs>
        <w:jc w:val="both"/>
        <w:rPr>
          <w:rFonts w:ascii="Verdana" w:hAnsi="Verdana"/>
          <w:sz w:val="20"/>
        </w:rPr>
      </w:pPr>
    </w:p>
    <w:p w:rsidR="00505078" w:rsidRPr="00C65FBD" w:rsidRDefault="00505078" w:rsidP="00D333AB">
      <w:pPr>
        <w:numPr>
          <w:ilvl w:val="0"/>
          <w:numId w:val="1"/>
        </w:numPr>
        <w:tabs>
          <w:tab w:val="left" w:pos="567"/>
        </w:tabs>
        <w:ind w:left="0" w:firstLine="0"/>
        <w:contextualSpacing/>
        <w:jc w:val="both"/>
        <w:rPr>
          <w:rFonts w:ascii="Verdana" w:hAnsi="Verdana"/>
          <w:sz w:val="20"/>
        </w:rPr>
      </w:pPr>
      <w:r w:rsidRPr="005D0F1E">
        <w:rPr>
          <w:rFonts w:ascii="Verdana" w:hAnsi="Verdana"/>
          <w:sz w:val="20"/>
        </w:rPr>
        <w:t xml:space="preserve">En </w:t>
      </w:r>
      <w:r w:rsidRPr="002103A1">
        <w:rPr>
          <w:rFonts w:ascii="Verdana" w:hAnsi="Verdana"/>
          <w:sz w:val="20"/>
        </w:rPr>
        <w:t xml:space="preserve">relación </w:t>
      </w:r>
      <w:r w:rsidR="0038102E">
        <w:rPr>
          <w:rFonts w:ascii="Verdana" w:hAnsi="Verdana"/>
          <w:sz w:val="20"/>
        </w:rPr>
        <w:t>con</w:t>
      </w:r>
      <w:r w:rsidRPr="002103A1">
        <w:rPr>
          <w:rFonts w:ascii="Verdana" w:hAnsi="Verdana"/>
          <w:sz w:val="20"/>
        </w:rPr>
        <w:t xml:space="preserve"> la </w:t>
      </w:r>
      <w:r w:rsidRPr="002103A1">
        <w:rPr>
          <w:rFonts w:ascii="Verdana" w:hAnsi="Verdana"/>
          <w:i/>
          <w:sz w:val="20"/>
        </w:rPr>
        <w:t>obligación de investigar los</w:t>
      </w:r>
      <w:r w:rsidRPr="005D0F1E">
        <w:rPr>
          <w:rFonts w:ascii="Verdana" w:hAnsi="Verdana"/>
          <w:i/>
          <w:sz w:val="20"/>
        </w:rPr>
        <w:t xml:space="preserve"> hechos que generaron las violaciones en el presente caso, identificar y, en su caso, sancionar a los responsables</w:t>
      </w:r>
      <w:r w:rsidRPr="005D0F1E">
        <w:rPr>
          <w:rFonts w:ascii="Verdana" w:hAnsi="Verdana"/>
          <w:sz w:val="20"/>
        </w:rPr>
        <w:t xml:space="preserve">, </w:t>
      </w:r>
      <w:r w:rsidRPr="00881389">
        <w:rPr>
          <w:rFonts w:ascii="Verdana" w:hAnsi="Verdana"/>
          <w:sz w:val="20"/>
        </w:rPr>
        <w:t xml:space="preserve">el </w:t>
      </w:r>
      <w:r w:rsidRPr="00881389">
        <w:rPr>
          <w:rFonts w:ascii="Verdana" w:hAnsi="Verdana"/>
          <w:i/>
          <w:sz w:val="20"/>
        </w:rPr>
        <w:t>Estado</w:t>
      </w:r>
      <w:r w:rsidRPr="005D0F1E">
        <w:rPr>
          <w:rFonts w:ascii="Verdana" w:hAnsi="Verdana"/>
          <w:sz w:val="20"/>
        </w:rPr>
        <w:t xml:space="preserve"> informó </w:t>
      </w:r>
      <w:r w:rsidR="004F11CB">
        <w:rPr>
          <w:rFonts w:ascii="Verdana" w:hAnsi="Verdana"/>
          <w:sz w:val="20"/>
        </w:rPr>
        <w:t xml:space="preserve">en agosto de 2015 </w:t>
      </w:r>
      <w:r w:rsidRPr="005D0F1E">
        <w:rPr>
          <w:rFonts w:ascii="Verdana" w:hAnsi="Verdana"/>
          <w:sz w:val="20"/>
        </w:rPr>
        <w:t>que “</w:t>
      </w:r>
      <w:r w:rsidR="00A55879">
        <w:rPr>
          <w:rFonts w:ascii="Verdana" w:hAnsi="Verdana"/>
          <w:sz w:val="20"/>
        </w:rPr>
        <w:t>[e]l proceso que ha sido declarado c</w:t>
      </w:r>
      <w:r w:rsidR="00C122AF">
        <w:rPr>
          <w:rFonts w:ascii="Verdana" w:hAnsi="Verdana"/>
          <w:sz w:val="20"/>
        </w:rPr>
        <w:t xml:space="preserve">omplejo está actualmente en etapa de instrucción e investigación por parte de la Primera Fiscalía Superior </w:t>
      </w:r>
      <w:r w:rsidR="00501D72">
        <w:rPr>
          <w:rFonts w:ascii="Verdana" w:hAnsi="Verdana"/>
          <w:sz w:val="20"/>
        </w:rPr>
        <w:t xml:space="preserve">Penal </w:t>
      </w:r>
      <w:r w:rsidR="00C122AF">
        <w:rPr>
          <w:rFonts w:ascii="Verdana" w:hAnsi="Verdana"/>
          <w:sz w:val="20"/>
        </w:rPr>
        <w:t>Nacional[,] que recibió el expediente el 1 de febrero de 2012” y que</w:t>
      </w:r>
      <w:r w:rsidR="00ED08B2">
        <w:rPr>
          <w:rFonts w:ascii="Verdana" w:hAnsi="Verdana"/>
          <w:sz w:val="20"/>
        </w:rPr>
        <w:t>,</w:t>
      </w:r>
      <w:r w:rsidR="00C122AF">
        <w:rPr>
          <w:rFonts w:ascii="Verdana" w:hAnsi="Verdana"/>
          <w:sz w:val="20"/>
        </w:rPr>
        <w:t xml:space="preserve"> desde entonces</w:t>
      </w:r>
      <w:r w:rsidR="00ED08B2">
        <w:rPr>
          <w:rFonts w:ascii="Verdana" w:hAnsi="Verdana"/>
          <w:sz w:val="20"/>
        </w:rPr>
        <w:t>,</w:t>
      </w:r>
      <w:r w:rsidR="00C122AF">
        <w:rPr>
          <w:rFonts w:ascii="Verdana" w:hAnsi="Verdana"/>
          <w:sz w:val="20"/>
        </w:rPr>
        <w:t xml:space="preserve"> “se han realizado una serie de diligencias tendientes a la individualización e identificación de los procesados y agraviados”. </w:t>
      </w:r>
      <w:r w:rsidR="008759F2">
        <w:rPr>
          <w:rFonts w:ascii="Verdana" w:hAnsi="Verdana"/>
          <w:sz w:val="20"/>
        </w:rPr>
        <w:t xml:space="preserve">Indicó que los delitos que están siendo investigados son: “[h]omicidio calificado en las modalidades de muerte por explosión y alevosía, lesiones graves, homicidio calificado en las modalidades de muerte por explosión y alevosía por omisión impropi[a] y lesiones graves por omisión impropia”. </w:t>
      </w:r>
      <w:r w:rsidR="00D33113">
        <w:rPr>
          <w:rFonts w:ascii="Verdana" w:hAnsi="Verdana"/>
          <w:sz w:val="20"/>
        </w:rPr>
        <w:t>Asimismo</w:t>
      </w:r>
      <w:r w:rsidR="00ED08B2">
        <w:rPr>
          <w:rFonts w:ascii="Verdana" w:hAnsi="Verdana"/>
          <w:sz w:val="20"/>
        </w:rPr>
        <w:t>,</w:t>
      </w:r>
      <w:r w:rsidR="00D33113">
        <w:rPr>
          <w:rFonts w:ascii="Verdana" w:hAnsi="Verdana"/>
          <w:sz w:val="20"/>
        </w:rPr>
        <w:t xml:space="preserve"> señaló que en total hay catorce personas procesada</w:t>
      </w:r>
      <w:r w:rsidR="006E3978">
        <w:rPr>
          <w:rFonts w:ascii="Verdana" w:hAnsi="Verdana"/>
          <w:sz w:val="20"/>
        </w:rPr>
        <w:t>s</w:t>
      </w:r>
      <w:r w:rsidR="00D33113">
        <w:rPr>
          <w:rFonts w:ascii="Verdana" w:hAnsi="Verdana"/>
          <w:sz w:val="20"/>
        </w:rPr>
        <w:t xml:space="preserve"> y “se contemplan cuarenta y tres” personas agraviadas, de las cuales “cuarenta […] son víctimas mortales y tres […] víctimas de lesiones graves</w:t>
      </w:r>
      <w:r w:rsidR="00B424CE">
        <w:rPr>
          <w:rFonts w:ascii="Verdana" w:hAnsi="Verdana"/>
          <w:sz w:val="20"/>
        </w:rPr>
        <w:t>”</w:t>
      </w:r>
      <w:r w:rsidR="00AB2287">
        <w:rPr>
          <w:rStyle w:val="Refdenotaalpie"/>
          <w:rFonts w:ascii="Verdana" w:hAnsi="Verdana"/>
          <w:sz w:val="20"/>
        </w:rPr>
        <w:footnoteReference w:id="26"/>
      </w:r>
      <w:r w:rsidR="00B424CE">
        <w:rPr>
          <w:rFonts w:ascii="Verdana" w:hAnsi="Verdana"/>
          <w:sz w:val="20"/>
        </w:rPr>
        <w:t xml:space="preserve">. </w:t>
      </w:r>
      <w:r w:rsidR="00FF1A79">
        <w:rPr>
          <w:rFonts w:ascii="Verdana" w:hAnsi="Verdana"/>
          <w:sz w:val="20"/>
        </w:rPr>
        <w:t>Respecto de las “personas que figuran en la [S]</w:t>
      </w:r>
      <w:proofErr w:type="spellStart"/>
      <w:r w:rsidR="00FF1A79">
        <w:rPr>
          <w:rFonts w:ascii="Verdana" w:hAnsi="Verdana"/>
          <w:sz w:val="20"/>
        </w:rPr>
        <w:t>entencia</w:t>
      </w:r>
      <w:proofErr w:type="spellEnd"/>
      <w:r w:rsidR="00FF1A79">
        <w:rPr>
          <w:rFonts w:ascii="Verdana" w:hAnsi="Verdana"/>
          <w:sz w:val="20"/>
        </w:rPr>
        <w:t xml:space="preserve"> </w:t>
      </w:r>
      <w:r w:rsidR="00F537EC">
        <w:rPr>
          <w:rFonts w:ascii="Verdana" w:hAnsi="Verdana"/>
          <w:sz w:val="20"/>
        </w:rPr>
        <w:t xml:space="preserve">[que habrían sufrido daños físicos y psicológicos </w:t>
      </w:r>
      <w:r w:rsidR="00E76D63" w:rsidRPr="00E76D63">
        <w:rPr>
          <w:rFonts w:ascii="Verdana" w:hAnsi="Verdana"/>
          <w:sz w:val="20"/>
        </w:rPr>
        <w:t>pero que</w:t>
      </w:r>
      <w:r w:rsidR="00F537EC" w:rsidRPr="00E76D63">
        <w:rPr>
          <w:rFonts w:ascii="Verdana" w:hAnsi="Verdana"/>
          <w:sz w:val="20"/>
        </w:rPr>
        <w:t>]</w:t>
      </w:r>
      <w:r w:rsidR="00FF1A79">
        <w:rPr>
          <w:rFonts w:ascii="Verdana" w:hAnsi="Verdana"/>
          <w:sz w:val="20"/>
        </w:rPr>
        <w:t xml:space="preserve"> no estaban contempladas en el proceso”, el Estado señaló que “solicitó […] que se recaben los certificados médicos legales y las historias clínicas que pudiesen registrar los distintos establecimientos hospitalarios [sobre las referidas personas</w:t>
      </w:r>
      <w:r w:rsidR="00ED08B2">
        <w:rPr>
          <w:rFonts w:ascii="Verdana" w:hAnsi="Verdana"/>
          <w:sz w:val="20"/>
        </w:rPr>
        <w:t>]”, pero que</w:t>
      </w:r>
      <w:r w:rsidR="00FF1A79">
        <w:rPr>
          <w:rFonts w:ascii="Verdana" w:hAnsi="Verdana"/>
          <w:sz w:val="20"/>
        </w:rPr>
        <w:t xml:space="preserve"> </w:t>
      </w:r>
      <w:r w:rsidR="00ED08B2">
        <w:rPr>
          <w:rFonts w:ascii="Verdana" w:hAnsi="Verdana"/>
          <w:sz w:val="20"/>
        </w:rPr>
        <w:t>a la fecha del informe</w:t>
      </w:r>
      <w:r w:rsidR="00FF1A79">
        <w:rPr>
          <w:rFonts w:ascii="Verdana" w:hAnsi="Verdana"/>
          <w:sz w:val="20"/>
        </w:rPr>
        <w:t xml:space="preserve"> </w:t>
      </w:r>
      <w:r w:rsidR="00ED08B2">
        <w:rPr>
          <w:rFonts w:ascii="Verdana" w:hAnsi="Verdana"/>
          <w:sz w:val="20"/>
        </w:rPr>
        <w:t>“</w:t>
      </w:r>
      <w:r w:rsidR="00FF1A79">
        <w:rPr>
          <w:rFonts w:ascii="Verdana" w:hAnsi="Verdana"/>
          <w:sz w:val="20"/>
        </w:rPr>
        <w:t xml:space="preserve">sólo se han recabado los certificados médicos legales de 26 personas respecto a las cuales se ha solicitado se practique el protocolo de tortura y pericias psicológicas, trámite que aún no ha culminado”. </w:t>
      </w:r>
      <w:r w:rsidR="00863CA9" w:rsidRPr="00863CA9">
        <w:rPr>
          <w:rFonts w:ascii="Verdana" w:hAnsi="Verdana"/>
          <w:sz w:val="20"/>
        </w:rPr>
        <w:t>Respecto al “</w:t>
      </w:r>
      <w:r w:rsidR="00501D72">
        <w:rPr>
          <w:rFonts w:ascii="Verdana" w:hAnsi="Verdana"/>
          <w:sz w:val="20"/>
        </w:rPr>
        <w:t>[</w:t>
      </w:r>
      <w:r w:rsidR="00863CA9" w:rsidRPr="00863CA9">
        <w:rPr>
          <w:rFonts w:ascii="Verdana" w:hAnsi="Verdana"/>
          <w:sz w:val="20"/>
        </w:rPr>
        <w:t>e</w:t>
      </w:r>
      <w:r w:rsidR="00501D72">
        <w:rPr>
          <w:rFonts w:ascii="Verdana" w:hAnsi="Verdana"/>
          <w:sz w:val="20"/>
        </w:rPr>
        <w:t>]</w:t>
      </w:r>
      <w:proofErr w:type="spellStart"/>
      <w:r w:rsidR="00863CA9" w:rsidRPr="00863CA9">
        <w:rPr>
          <w:rFonts w:ascii="Verdana" w:hAnsi="Verdana"/>
          <w:sz w:val="20"/>
        </w:rPr>
        <w:t>stado</w:t>
      </w:r>
      <w:proofErr w:type="spellEnd"/>
      <w:r w:rsidR="00863CA9" w:rsidRPr="00863CA9">
        <w:rPr>
          <w:rFonts w:ascii="Verdana" w:hAnsi="Verdana"/>
          <w:sz w:val="20"/>
        </w:rPr>
        <w:t xml:space="preserve"> del trámite de la solicitud de ampliación de extradición del ex presidente Alberto Fujimori”, el Estado señaló que “el expediente respectivo fue remitido [en junio de 2015] a la Dirección </w:t>
      </w:r>
      <w:r w:rsidR="00863CA9" w:rsidRPr="00863CA9">
        <w:rPr>
          <w:rFonts w:ascii="Verdana" w:hAnsi="Verdana"/>
          <w:sz w:val="20"/>
        </w:rPr>
        <w:lastRenderedPageBreak/>
        <w:t>General de Justicia y Cultos para su revisión y actualización de datos, luego de lo cual será enviado a la Oficina de Asesoría Jurídica del Ministerio de Justicia y Derechos Humanos para la actualización de los vistos de</w:t>
      </w:r>
      <w:r w:rsidR="002872A7">
        <w:rPr>
          <w:rFonts w:ascii="Verdana" w:hAnsi="Verdana"/>
          <w:sz w:val="20"/>
        </w:rPr>
        <w:t xml:space="preserve"> [los]</w:t>
      </w:r>
      <w:r w:rsidR="00863CA9" w:rsidRPr="00863CA9">
        <w:rPr>
          <w:rFonts w:ascii="Verdana" w:hAnsi="Verdana"/>
          <w:sz w:val="20"/>
        </w:rPr>
        <w:t xml:space="preserve"> funcionarios encargados”. Asimismo, señaló que “</w:t>
      </w:r>
      <w:r w:rsidR="00501D72">
        <w:rPr>
          <w:rFonts w:ascii="Verdana" w:hAnsi="Verdana"/>
          <w:sz w:val="20"/>
        </w:rPr>
        <w:t>[</w:t>
      </w:r>
      <w:r w:rsidR="00863CA9" w:rsidRPr="00863CA9">
        <w:rPr>
          <w:rFonts w:ascii="Verdana" w:hAnsi="Verdana"/>
          <w:sz w:val="20"/>
        </w:rPr>
        <w:t>u</w:t>
      </w:r>
      <w:r w:rsidR="00501D72">
        <w:rPr>
          <w:rFonts w:ascii="Verdana" w:hAnsi="Verdana"/>
          <w:sz w:val="20"/>
        </w:rPr>
        <w:t>]</w:t>
      </w:r>
      <w:r w:rsidR="00863CA9" w:rsidRPr="00863CA9">
        <w:rPr>
          <w:rFonts w:ascii="Verdana" w:hAnsi="Verdana"/>
          <w:sz w:val="20"/>
        </w:rPr>
        <w:t>na vez concluida esta etapa se enviará a la alta dirección del [referido Ministerio] para que se adopte una decisión con relación a su inclusión en la agenda del Consejo de Ministros”.</w:t>
      </w:r>
      <w:r w:rsidR="00863CA9">
        <w:rPr>
          <w:rFonts w:ascii="Verdana" w:hAnsi="Verdana"/>
          <w:sz w:val="20"/>
        </w:rPr>
        <w:t xml:space="preserve"> </w:t>
      </w:r>
      <w:r w:rsidR="001E4EFF">
        <w:rPr>
          <w:rFonts w:ascii="Verdana" w:hAnsi="Verdana"/>
          <w:sz w:val="20"/>
        </w:rPr>
        <w:t>L</w:t>
      </w:r>
      <w:r w:rsidR="008071F2">
        <w:rPr>
          <w:rFonts w:ascii="Verdana" w:hAnsi="Verdana"/>
          <w:sz w:val="20"/>
        </w:rPr>
        <w:t xml:space="preserve">os </w:t>
      </w:r>
      <w:r w:rsidR="008071F2" w:rsidRPr="0098526A">
        <w:rPr>
          <w:rFonts w:ascii="Verdana" w:hAnsi="Verdana"/>
          <w:i/>
          <w:sz w:val="20"/>
        </w:rPr>
        <w:t>intervinientes comunes</w:t>
      </w:r>
      <w:r w:rsidR="008071F2">
        <w:rPr>
          <w:rFonts w:ascii="Verdana" w:hAnsi="Verdana"/>
          <w:sz w:val="20"/>
        </w:rPr>
        <w:t xml:space="preserve"> no presentaron observaciones</w:t>
      </w:r>
      <w:r w:rsidR="001E4EFF">
        <w:rPr>
          <w:rFonts w:ascii="Verdana" w:hAnsi="Verdana"/>
          <w:sz w:val="20"/>
        </w:rPr>
        <w:t xml:space="preserve"> al respecto. Por su parte,</w:t>
      </w:r>
      <w:r w:rsidR="00331A1C">
        <w:rPr>
          <w:rFonts w:ascii="Verdana" w:hAnsi="Verdana"/>
          <w:sz w:val="20"/>
        </w:rPr>
        <w:t xml:space="preserve"> la </w:t>
      </w:r>
      <w:r w:rsidR="00331A1C" w:rsidRPr="00DC1E29">
        <w:rPr>
          <w:rFonts w:ascii="Verdana" w:hAnsi="Verdana"/>
          <w:i/>
          <w:sz w:val="20"/>
        </w:rPr>
        <w:t>Comisión</w:t>
      </w:r>
      <w:r w:rsidR="00622CFB">
        <w:rPr>
          <w:rFonts w:ascii="Verdana" w:hAnsi="Verdana"/>
          <w:i/>
          <w:sz w:val="20"/>
        </w:rPr>
        <w:t xml:space="preserve"> Interamericana</w:t>
      </w:r>
      <w:r w:rsidR="00331A1C">
        <w:rPr>
          <w:rFonts w:ascii="Verdana" w:hAnsi="Verdana"/>
          <w:sz w:val="20"/>
        </w:rPr>
        <w:t xml:space="preserve"> indicó en sus observaciones de septiembre de 2015 que “el Estado no presentó información sobre los plazos legales y pasos que dará para avanzar con los procesos penales, o bien, sobre los obstáculos que atraviesa y las medidas adoptadas para superarlos”. Respecto a la referida solicitud de ampliación de extradición, la Comisión observó que seguía sin existir una decisión al respecto.</w:t>
      </w:r>
      <w:r w:rsidR="00DC1E29">
        <w:rPr>
          <w:rFonts w:ascii="Verdana" w:hAnsi="Verdana"/>
          <w:sz w:val="20"/>
        </w:rPr>
        <w:t xml:space="preserve"> </w:t>
      </w:r>
      <w:r w:rsidR="00873CE3">
        <w:rPr>
          <w:rFonts w:ascii="Verdana" w:hAnsi="Verdana"/>
          <w:sz w:val="20"/>
        </w:rPr>
        <w:t>De la información aportada por el Perú</w:t>
      </w:r>
      <w:r w:rsidR="00873CE3">
        <w:rPr>
          <w:rStyle w:val="Refdenotaalpie"/>
          <w:rFonts w:ascii="Verdana" w:hAnsi="Verdana"/>
          <w:sz w:val="20"/>
        </w:rPr>
        <w:footnoteReference w:id="27"/>
      </w:r>
      <w:r w:rsidR="00873CE3">
        <w:rPr>
          <w:rFonts w:ascii="Verdana" w:hAnsi="Verdana"/>
          <w:sz w:val="20"/>
        </w:rPr>
        <w:t>, l</w:t>
      </w:r>
      <w:r w:rsidRPr="00DC1E29">
        <w:rPr>
          <w:rFonts w:ascii="Verdana" w:hAnsi="Verdana"/>
          <w:sz w:val="20"/>
        </w:rPr>
        <w:t xml:space="preserve">a Corte constata que los procesos penales continúan en etapa de instrucción </w:t>
      </w:r>
      <w:r w:rsidR="00E13A97">
        <w:rPr>
          <w:rFonts w:ascii="Verdana" w:hAnsi="Verdana"/>
          <w:sz w:val="20"/>
        </w:rPr>
        <w:t xml:space="preserve">y el Estado sigue sin presentar </w:t>
      </w:r>
      <w:r w:rsidRPr="00DC1E29">
        <w:rPr>
          <w:rFonts w:ascii="Verdana" w:hAnsi="Verdana"/>
          <w:sz w:val="20"/>
        </w:rPr>
        <w:t>las explicaciones que le fueron requeridas en el Considerando 25 de la Resolución de 2014</w:t>
      </w:r>
      <w:r w:rsidR="00E13A97">
        <w:rPr>
          <w:rFonts w:ascii="Verdana" w:hAnsi="Verdana"/>
          <w:sz w:val="20"/>
        </w:rPr>
        <w:t>, lo cual fue reiterado en el Considerando 10 de la Resolución de 2015</w:t>
      </w:r>
      <w:r w:rsidRPr="00DC1E29">
        <w:rPr>
          <w:rFonts w:ascii="Verdana" w:hAnsi="Verdana"/>
          <w:sz w:val="20"/>
        </w:rPr>
        <w:t xml:space="preserve">. Al respecto, la Corte </w:t>
      </w:r>
      <w:r w:rsidR="003845FB">
        <w:rPr>
          <w:rFonts w:ascii="Verdana" w:hAnsi="Verdana"/>
          <w:sz w:val="20"/>
        </w:rPr>
        <w:t>recalca nuevamente</w:t>
      </w:r>
      <w:r w:rsidR="00622CFB">
        <w:rPr>
          <w:rFonts w:ascii="Verdana" w:hAnsi="Verdana"/>
          <w:sz w:val="20"/>
        </w:rPr>
        <w:t xml:space="preserve"> </w:t>
      </w:r>
      <w:r w:rsidR="00E13A97">
        <w:rPr>
          <w:rFonts w:ascii="Verdana" w:hAnsi="Verdana"/>
          <w:sz w:val="20"/>
        </w:rPr>
        <w:t>q</w:t>
      </w:r>
      <w:r w:rsidR="00622CFB">
        <w:rPr>
          <w:rFonts w:ascii="Verdana" w:hAnsi="Verdana"/>
          <w:sz w:val="20"/>
        </w:rPr>
        <w:t xml:space="preserve">ue el estado de cumplimiento de esta medida </w:t>
      </w:r>
      <w:r w:rsidRPr="00DC1E29">
        <w:rPr>
          <w:rFonts w:ascii="Verdana" w:hAnsi="Verdana"/>
          <w:sz w:val="20"/>
        </w:rPr>
        <w:t xml:space="preserve">refleja la ausencia de debida diligencia </w:t>
      </w:r>
      <w:r w:rsidR="00622CFB">
        <w:rPr>
          <w:rFonts w:ascii="Verdana" w:hAnsi="Verdana"/>
          <w:sz w:val="20"/>
        </w:rPr>
        <w:t>en la obligación de investigar por parte del Perú</w:t>
      </w:r>
      <w:r w:rsidR="00067075">
        <w:rPr>
          <w:rFonts w:ascii="Verdana" w:hAnsi="Verdana"/>
          <w:sz w:val="20"/>
        </w:rPr>
        <w:t xml:space="preserve"> y </w:t>
      </w:r>
      <w:r w:rsidR="00067075" w:rsidRPr="00C9404E">
        <w:rPr>
          <w:rFonts w:ascii="Verdana" w:hAnsi="Verdana"/>
          <w:sz w:val="20"/>
        </w:rPr>
        <w:t xml:space="preserve">requiere que el Estado remita </w:t>
      </w:r>
      <w:r w:rsidR="00067075">
        <w:rPr>
          <w:rFonts w:ascii="Verdana" w:hAnsi="Verdana"/>
          <w:sz w:val="20"/>
        </w:rPr>
        <w:t>información actualizada y detallada sobre el avance en el cumplimiento de esta medida.</w:t>
      </w:r>
      <w:r w:rsidR="00067075" w:rsidRPr="00067075">
        <w:rPr>
          <w:rFonts w:ascii="Verdana" w:hAnsi="Verdana"/>
          <w:sz w:val="20"/>
        </w:rPr>
        <w:t xml:space="preserve"> </w:t>
      </w:r>
      <w:r w:rsidR="00067075" w:rsidRPr="007A6227">
        <w:rPr>
          <w:rFonts w:ascii="Verdana" w:hAnsi="Verdana"/>
          <w:sz w:val="20"/>
        </w:rPr>
        <w:t>Para ello, el Estado deberá tomar en cuenta las solicitudes específicas que ha realizado este Tribunal en resoluciones de supervisión anteriores</w:t>
      </w:r>
      <w:r w:rsidR="006E3978" w:rsidRPr="006E3978">
        <w:rPr>
          <w:rStyle w:val="Refdenotaalpie"/>
          <w:rFonts w:ascii="Verdana" w:hAnsi="Verdana"/>
          <w:sz w:val="20"/>
        </w:rPr>
        <w:footnoteReference w:id="28"/>
      </w:r>
      <w:r w:rsidR="006E3978">
        <w:rPr>
          <w:rFonts w:ascii="Verdana" w:hAnsi="Verdana"/>
          <w:sz w:val="20"/>
        </w:rPr>
        <w:t>.</w:t>
      </w:r>
    </w:p>
    <w:p w:rsidR="00505078" w:rsidRDefault="00505078" w:rsidP="00D333AB">
      <w:pPr>
        <w:tabs>
          <w:tab w:val="left" w:pos="567"/>
        </w:tabs>
        <w:jc w:val="both"/>
        <w:rPr>
          <w:rFonts w:ascii="Verdana" w:hAnsi="Verdana"/>
          <w:sz w:val="20"/>
        </w:rPr>
      </w:pPr>
    </w:p>
    <w:p w:rsidR="004B0550" w:rsidRPr="005D0F1E" w:rsidRDefault="004B0550" w:rsidP="00D333AB">
      <w:pPr>
        <w:tabs>
          <w:tab w:val="left" w:pos="567"/>
        </w:tabs>
        <w:jc w:val="both"/>
        <w:rPr>
          <w:rFonts w:ascii="Verdana" w:hAnsi="Verdana"/>
          <w:sz w:val="20"/>
        </w:rPr>
      </w:pPr>
    </w:p>
    <w:p w:rsidR="008879A6" w:rsidRPr="00C9404E" w:rsidRDefault="00C65FBD" w:rsidP="00D333AB">
      <w:pPr>
        <w:numPr>
          <w:ilvl w:val="0"/>
          <w:numId w:val="1"/>
        </w:numPr>
        <w:tabs>
          <w:tab w:val="left" w:pos="567"/>
          <w:tab w:val="left" w:pos="3544"/>
        </w:tabs>
        <w:ind w:left="0" w:firstLine="0"/>
        <w:contextualSpacing/>
        <w:jc w:val="both"/>
        <w:rPr>
          <w:rFonts w:ascii="Verdana" w:hAnsi="Verdana"/>
          <w:sz w:val="20"/>
        </w:rPr>
      </w:pPr>
      <w:r w:rsidRPr="00C9404E">
        <w:rPr>
          <w:rFonts w:ascii="Verdana" w:hAnsi="Verdana"/>
          <w:sz w:val="20"/>
        </w:rPr>
        <w:t>Con respecto</w:t>
      </w:r>
      <w:r w:rsidR="00505078" w:rsidRPr="00C9404E">
        <w:rPr>
          <w:rFonts w:ascii="Verdana" w:hAnsi="Verdana"/>
          <w:sz w:val="20"/>
        </w:rPr>
        <w:t xml:space="preserve"> a la medida relativa a </w:t>
      </w:r>
      <w:r w:rsidR="004C237B" w:rsidRPr="00C9404E">
        <w:rPr>
          <w:rFonts w:ascii="Verdana" w:hAnsi="Verdana"/>
          <w:i/>
          <w:sz w:val="20"/>
        </w:rPr>
        <w:t>asegurar que la información y documentación de investigaciones policiales se conserve</w:t>
      </w:r>
      <w:r w:rsidR="004C237B" w:rsidRPr="00C9404E">
        <w:rPr>
          <w:rFonts w:ascii="Verdana" w:hAnsi="Verdana"/>
          <w:sz w:val="20"/>
        </w:rPr>
        <w:t xml:space="preserve">, </w:t>
      </w:r>
      <w:r w:rsidR="007D41BE" w:rsidRPr="00C9404E">
        <w:rPr>
          <w:rFonts w:ascii="Verdana" w:hAnsi="Verdana"/>
          <w:sz w:val="20"/>
        </w:rPr>
        <w:t xml:space="preserve">el </w:t>
      </w:r>
      <w:r w:rsidR="007D41BE" w:rsidRPr="00C9404E">
        <w:rPr>
          <w:rFonts w:ascii="Verdana" w:hAnsi="Verdana"/>
          <w:i/>
          <w:sz w:val="20"/>
        </w:rPr>
        <w:t xml:space="preserve">Estado </w:t>
      </w:r>
      <w:r w:rsidR="007D41BE" w:rsidRPr="00C9404E">
        <w:rPr>
          <w:rFonts w:ascii="Verdana" w:hAnsi="Verdana"/>
          <w:sz w:val="20"/>
        </w:rPr>
        <w:t xml:space="preserve">indicó </w:t>
      </w:r>
      <w:r w:rsidR="00C42379">
        <w:rPr>
          <w:rFonts w:ascii="Verdana" w:hAnsi="Verdana"/>
          <w:sz w:val="20"/>
        </w:rPr>
        <w:t xml:space="preserve">en su informe de agosto de 2015 </w:t>
      </w:r>
      <w:r w:rsidR="007D41BE" w:rsidRPr="00C9404E">
        <w:rPr>
          <w:rFonts w:ascii="Verdana" w:hAnsi="Verdana"/>
          <w:sz w:val="20"/>
        </w:rPr>
        <w:t xml:space="preserve">que “ha adoptado una serie de medidas para garantizar la conservación de la documentación en las investigaciones policiales y fiscales, a raíz [de] la implementación del nuevo Código Procesal Penal”. </w:t>
      </w:r>
      <w:r w:rsidR="001E02CE" w:rsidRPr="00C9404E">
        <w:rPr>
          <w:rFonts w:ascii="Verdana" w:hAnsi="Verdana"/>
          <w:sz w:val="20"/>
        </w:rPr>
        <w:t xml:space="preserve">Resaltó que una de las disposiciones es el “Reglamento de la [c]arpeta </w:t>
      </w:r>
      <w:proofErr w:type="gramStart"/>
      <w:r w:rsidR="001E02CE" w:rsidRPr="00C9404E">
        <w:rPr>
          <w:rFonts w:ascii="Verdana" w:hAnsi="Verdana"/>
          <w:sz w:val="20"/>
        </w:rPr>
        <w:t>fiscal[</w:t>
      </w:r>
      <w:proofErr w:type="gramEnd"/>
      <w:r w:rsidR="001E02CE" w:rsidRPr="00C9404E">
        <w:rPr>
          <w:rFonts w:ascii="Verdana" w:hAnsi="Verdana"/>
          <w:sz w:val="20"/>
        </w:rPr>
        <w:t>,] aprobado por Resolución de Fiscalía de la Nación N</w:t>
      </w:r>
      <w:r w:rsidR="001E02CE" w:rsidRPr="00C9404E">
        <w:rPr>
          <w:rFonts w:ascii="Verdana" w:hAnsi="Verdana"/>
          <w:sz w:val="20"/>
        </w:rPr>
        <w:sym w:font="Symbol" w:char="F0B0"/>
      </w:r>
      <w:r w:rsidR="001E02CE" w:rsidRPr="00C9404E">
        <w:rPr>
          <w:rFonts w:ascii="Verdana" w:hAnsi="Verdana"/>
          <w:sz w:val="20"/>
        </w:rPr>
        <w:t xml:space="preserve"> 748-2006-MP-FN del 21 de junio de 2006”</w:t>
      </w:r>
      <w:r w:rsidR="00964C7D" w:rsidRPr="00C9404E">
        <w:rPr>
          <w:rFonts w:ascii="Verdana" w:hAnsi="Verdana"/>
          <w:sz w:val="20"/>
        </w:rPr>
        <w:t xml:space="preserve">, el cual “contempla </w:t>
      </w:r>
      <w:r w:rsidR="00C42379">
        <w:rPr>
          <w:rFonts w:ascii="Verdana" w:hAnsi="Verdana"/>
          <w:sz w:val="20"/>
        </w:rPr>
        <w:t>[…]</w:t>
      </w:r>
      <w:r w:rsidR="00501D72">
        <w:rPr>
          <w:rFonts w:ascii="Verdana" w:hAnsi="Verdana"/>
          <w:sz w:val="20"/>
        </w:rPr>
        <w:t xml:space="preserve"> </w:t>
      </w:r>
      <w:r w:rsidR="00964C7D" w:rsidRPr="00C9404E">
        <w:rPr>
          <w:rFonts w:ascii="Verdana" w:hAnsi="Verdana"/>
          <w:sz w:val="20"/>
        </w:rPr>
        <w:t>que la carpeta fiscal [debe contener] la denuncia, el informe policial y las diligencias de investigación”. Asimismo, el Estado destacó que dicha normativa “contempla la digitalización de la información en una carpeta electrónica que garantice la conservación de la documentación”</w:t>
      </w:r>
      <w:r w:rsidR="00CA607A" w:rsidRPr="00C9404E">
        <w:rPr>
          <w:rFonts w:ascii="Verdana" w:hAnsi="Verdana"/>
          <w:sz w:val="20"/>
        </w:rPr>
        <w:t>.</w:t>
      </w:r>
      <w:r w:rsidR="00A37A85" w:rsidRPr="00C9404E">
        <w:rPr>
          <w:rFonts w:ascii="Verdana" w:hAnsi="Verdana"/>
          <w:sz w:val="20"/>
        </w:rPr>
        <w:t xml:space="preserve"> </w:t>
      </w:r>
      <w:r w:rsidR="0098526A" w:rsidRPr="00C9404E">
        <w:rPr>
          <w:rFonts w:ascii="Verdana" w:hAnsi="Verdana"/>
          <w:sz w:val="20"/>
        </w:rPr>
        <w:t xml:space="preserve">Los </w:t>
      </w:r>
      <w:r w:rsidR="0098526A" w:rsidRPr="00C9404E">
        <w:rPr>
          <w:rFonts w:ascii="Verdana" w:hAnsi="Verdana"/>
          <w:i/>
          <w:sz w:val="20"/>
        </w:rPr>
        <w:t>intervinientes comunes</w:t>
      </w:r>
      <w:r w:rsidR="0098526A" w:rsidRPr="00C9404E">
        <w:rPr>
          <w:rFonts w:ascii="Verdana" w:hAnsi="Verdana"/>
          <w:sz w:val="20"/>
        </w:rPr>
        <w:t xml:space="preserve"> no presentaron observaciones al respecto, mientras que la </w:t>
      </w:r>
      <w:r w:rsidR="0098526A" w:rsidRPr="00C9404E">
        <w:rPr>
          <w:rFonts w:ascii="Verdana" w:hAnsi="Verdana"/>
          <w:i/>
          <w:sz w:val="20"/>
        </w:rPr>
        <w:t>Comisión Interamericana</w:t>
      </w:r>
      <w:r w:rsidR="0098526A" w:rsidRPr="00C9404E">
        <w:rPr>
          <w:rFonts w:ascii="Verdana" w:hAnsi="Verdana"/>
          <w:sz w:val="20"/>
        </w:rPr>
        <w:t xml:space="preserve"> señaló que “el Estado no presentó información </w:t>
      </w:r>
      <w:proofErr w:type="spellStart"/>
      <w:r w:rsidR="0098526A" w:rsidRPr="00C9404E">
        <w:rPr>
          <w:rFonts w:ascii="Verdana" w:hAnsi="Verdana"/>
          <w:sz w:val="20"/>
        </w:rPr>
        <w:t>específic</w:t>
      </w:r>
      <w:proofErr w:type="spellEnd"/>
      <w:r w:rsidR="0098526A" w:rsidRPr="00C9404E">
        <w:rPr>
          <w:rFonts w:ascii="Verdana" w:hAnsi="Verdana"/>
          <w:sz w:val="20"/>
        </w:rPr>
        <w:t xml:space="preserve">[a] respecto del </w:t>
      </w:r>
      <w:r w:rsidR="0098526A" w:rsidRPr="000A00D0">
        <w:rPr>
          <w:rFonts w:ascii="Verdana" w:hAnsi="Verdana"/>
          <w:sz w:val="20"/>
        </w:rPr>
        <w:t xml:space="preserve">resguardo de las investigaciones policiales”. </w:t>
      </w:r>
      <w:r w:rsidR="009D69E7" w:rsidRPr="000A00D0">
        <w:rPr>
          <w:rFonts w:ascii="Verdana" w:hAnsi="Verdana"/>
          <w:sz w:val="20"/>
        </w:rPr>
        <w:t>A partir del sustento documental aportado</w:t>
      </w:r>
      <w:r w:rsidR="00B717D8" w:rsidRPr="000A00D0">
        <w:rPr>
          <w:rFonts w:ascii="Verdana" w:hAnsi="Verdana"/>
          <w:sz w:val="20"/>
        </w:rPr>
        <w:t xml:space="preserve"> por el Estado</w:t>
      </w:r>
      <w:r w:rsidR="009D69E7" w:rsidRPr="000A00D0">
        <w:rPr>
          <w:rStyle w:val="Refdenotaalpie"/>
          <w:rFonts w:ascii="Verdana" w:hAnsi="Verdana"/>
          <w:sz w:val="20"/>
        </w:rPr>
        <w:footnoteReference w:id="29"/>
      </w:r>
      <w:r w:rsidR="002179A0" w:rsidRPr="000A00D0">
        <w:rPr>
          <w:rFonts w:ascii="Verdana" w:hAnsi="Verdana"/>
          <w:sz w:val="20"/>
        </w:rPr>
        <w:t>, la Corte</w:t>
      </w:r>
      <w:r w:rsidR="009D69E7" w:rsidRPr="000A00D0">
        <w:rPr>
          <w:rFonts w:ascii="Verdana" w:hAnsi="Verdana"/>
          <w:sz w:val="20"/>
        </w:rPr>
        <w:t xml:space="preserve"> observa que</w:t>
      </w:r>
      <w:r w:rsidR="00873CE3" w:rsidRPr="000A00D0">
        <w:rPr>
          <w:rFonts w:ascii="Verdana" w:hAnsi="Verdana"/>
          <w:sz w:val="20"/>
        </w:rPr>
        <w:t xml:space="preserve"> si bien del contenido</w:t>
      </w:r>
      <w:r w:rsidR="009D69E7" w:rsidRPr="000A00D0">
        <w:rPr>
          <w:rFonts w:ascii="Verdana" w:hAnsi="Verdana"/>
          <w:sz w:val="20"/>
        </w:rPr>
        <w:t xml:space="preserve"> </w:t>
      </w:r>
      <w:r w:rsidR="00873CE3" w:rsidRPr="000A00D0">
        <w:rPr>
          <w:rFonts w:ascii="Verdana" w:hAnsi="Verdana"/>
          <w:sz w:val="20"/>
        </w:rPr>
        <w:t>d</w:t>
      </w:r>
      <w:r w:rsidR="00C41A04" w:rsidRPr="000A00D0">
        <w:rPr>
          <w:rFonts w:ascii="Verdana" w:hAnsi="Verdana"/>
          <w:sz w:val="20"/>
        </w:rPr>
        <w:t xml:space="preserve">el </w:t>
      </w:r>
      <w:r w:rsidR="00B717D8" w:rsidRPr="000A00D0">
        <w:rPr>
          <w:rFonts w:ascii="Verdana" w:hAnsi="Verdana"/>
          <w:sz w:val="20"/>
        </w:rPr>
        <w:t xml:space="preserve">referido </w:t>
      </w:r>
      <w:r w:rsidR="00C41A04" w:rsidRPr="000A00D0">
        <w:rPr>
          <w:rFonts w:ascii="Verdana" w:hAnsi="Verdana"/>
          <w:sz w:val="20"/>
        </w:rPr>
        <w:t>reglament</w:t>
      </w:r>
      <w:r w:rsidR="00873CE3" w:rsidRPr="000A00D0">
        <w:rPr>
          <w:rFonts w:ascii="Verdana" w:hAnsi="Verdana"/>
          <w:sz w:val="20"/>
        </w:rPr>
        <w:t xml:space="preserve">o pareciera que se </w:t>
      </w:r>
      <w:r w:rsidR="000A00D0">
        <w:rPr>
          <w:rFonts w:ascii="Verdana" w:hAnsi="Verdana"/>
          <w:sz w:val="20"/>
        </w:rPr>
        <w:t>resguarda</w:t>
      </w:r>
      <w:r w:rsidR="00873CE3" w:rsidRPr="000A00D0">
        <w:rPr>
          <w:rFonts w:ascii="Verdana" w:hAnsi="Verdana"/>
          <w:sz w:val="20"/>
        </w:rPr>
        <w:t xml:space="preserve"> digitalmente el informe policial como parte de la carpeta fiscal, se requiere una mayor explicación del Estado respecto</w:t>
      </w:r>
      <w:r w:rsidR="00A67DB5" w:rsidRPr="000A00D0">
        <w:rPr>
          <w:rFonts w:ascii="Verdana" w:hAnsi="Verdana"/>
          <w:sz w:val="20"/>
        </w:rPr>
        <w:t xml:space="preserve"> a cómo ello ayuda a conservar la información policial necesaria para no obstaculizar investigaciones relativas a violaciones de derechos humanos</w:t>
      </w:r>
      <w:r w:rsidR="000A00D0" w:rsidRPr="000A00D0">
        <w:rPr>
          <w:rFonts w:ascii="Verdana" w:hAnsi="Verdana"/>
          <w:sz w:val="20"/>
        </w:rPr>
        <w:t>.</w:t>
      </w:r>
      <w:r w:rsidR="005C12AB" w:rsidRPr="000A00D0">
        <w:rPr>
          <w:rFonts w:ascii="Verdana" w:hAnsi="Verdana"/>
          <w:sz w:val="20"/>
        </w:rPr>
        <w:t xml:space="preserve"> </w:t>
      </w:r>
      <w:r w:rsidR="002C5949" w:rsidRPr="000A00D0">
        <w:rPr>
          <w:rFonts w:ascii="Verdana" w:hAnsi="Verdana"/>
          <w:sz w:val="20"/>
        </w:rPr>
        <w:t xml:space="preserve">Asimismo, el Tribunal </w:t>
      </w:r>
      <w:r w:rsidR="00C41A04" w:rsidRPr="000A00D0">
        <w:rPr>
          <w:rFonts w:ascii="Verdana" w:hAnsi="Verdana"/>
          <w:sz w:val="20"/>
        </w:rPr>
        <w:t>nota que el Estado no presentó información alguna respecto al “nuevo Código Procesal Penal” indicado en su informe.</w:t>
      </w:r>
      <w:r w:rsidR="007171D1" w:rsidRPr="000A00D0">
        <w:rPr>
          <w:rFonts w:ascii="Verdana" w:hAnsi="Verdana"/>
          <w:sz w:val="20"/>
        </w:rPr>
        <w:t xml:space="preserve"> En el Considerando </w:t>
      </w:r>
      <w:r w:rsidR="008D7505" w:rsidRPr="000A00D0">
        <w:rPr>
          <w:rFonts w:ascii="Verdana" w:hAnsi="Verdana"/>
          <w:sz w:val="20"/>
        </w:rPr>
        <w:t>30</w:t>
      </w:r>
      <w:r w:rsidR="007171D1" w:rsidRPr="000A00D0">
        <w:rPr>
          <w:rFonts w:ascii="Verdana" w:hAnsi="Verdana"/>
          <w:sz w:val="20"/>
        </w:rPr>
        <w:t xml:space="preserve"> de s</w:t>
      </w:r>
      <w:r w:rsidR="008879A6" w:rsidRPr="000A00D0">
        <w:rPr>
          <w:rFonts w:ascii="Verdana" w:hAnsi="Verdana"/>
          <w:sz w:val="20"/>
        </w:rPr>
        <w:t xml:space="preserve">u Resolución de marzo de 2014, </w:t>
      </w:r>
      <w:r w:rsidR="002C5949" w:rsidRPr="000A00D0">
        <w:rPr>
          <w:rFonts w:ascii="Verdana" w:hAnsi="Verdana"/>
          <w:sz w:val="20"/>
        </w:rPr>
        <w:t>la Corte</w:t>
      </w:r>
      <w:r w:rsidR="008879A6" w:rsidRPr="000A00D0">
        <w:rPr>
          <w:rFonts w:ascii="Verdana" w:hAnsi="Verdana"/>
          <w:sz w:val="20"/>
        </w:rPr>
        <w:t xml:space="preserve"> recordó que </w:t>
      </w:r>
      <w:r w:rsidR="007171D1" w:rsidRPr="000A00D0">
        <w:rPr>
          <w:rFonts w:ascii="Verdana" w:hAnsi="Verdana"/>
          <w:sz w:val="20"/>
        </w:rPr>
        <w:t>esta medida “</w:t>
      </w:r>
      <w:r w:rsidR="008879A6" w:rsidRPr="000A00D0">
        <w:rPr>
          <w:rFonts w:ascii="Verdana" w:hAnsi="Verdana"/>
          <w:sz w:val="20"/>
        </w:rPr>
        <w:t>tiene un carácter</w:t>
      </w:r>
      <w:r w:rsidR="008879A6" w:rsidRPr="00C9404E">
        <w:rPr>
          <w:rFonts w:ascii="Verdana" w:hAnsi="Verdana"/>
          <w:sz w:val="20"/>
        </w:rPr>
        <w:t xml:space="preserve"> amplio que va más</w:t>
      </w:r>
      <w:r w:rsidR="007171D1" w:rsidRPr="00C9404E">
        <w:rPr>
          <w:rFonts w:ascii="Verdana" w:hAnsi="Verdana"/>
          <w:sz w:val="20"/>
        </w:rPr>
        <w:t xml:space="preserve"> </w:t>
      </w:r>
      <w:r w:rsidR="008879A6" w:rsidRPr="00C9404E">
        <w:rPr>
          <w:rFonts w:ascii="Verdana" w:hAnsi="Verdana"/>
          <w:sz w:val="20"/>
        </w:rPr>
        <w:t>allá del presente caso</w:t>
      </w:r>
      <w:r w:rsidR="007171D1" w:rsidRPr="00C9404E">
        <w:rPr>
          <w:rFonts w:ascii="Verdana" w:hAnsi="Verdana"/>
          <w:sz w:val="20"/>
        </w:rPr>
        <w:t>” y que</w:t>
      </w:r>
      <w:r w:rsidR="00D47AFE">
        <w:rPr>
          <w:rFonts w:ascii="Verdana" w:hAnsi="Verdana"/>
          <w:sz w:val="20"/>
        </w:rPr>
        <w:t>,</w:t>
      </w:r>
      <w:r w:rsidR="007171D1" w:rsidRPr="00C9404E">
        <w:rPr>
          <w:rFonts w:ascii="Verdana" w:hAnsi="Verdana"/>
          <w:sz w:val="20"/>
        </w:rPr>
        <w:t xml:space="preserve"> para darle cumplimiento, “</w:t>
      </w:r>
      <w:r w:rsidR="008879A6" w:rsidRPr="00C9404E">
        <w:rPr>
          <w:rFonts w:ascii="Verdana" w:hAnsi="Verdana"/>
          <w:sz w:val="20"/>
        </w:rPr>
        <w:t>el Perú debía</w:t>
      </w:r>
      <w:r w:rsidR="007171D1" w:rsidRPr="00C9404E">
        <w:rPr>
          <w:rFonts w:ascii="Verdana" w:hAnsi="Verdana"/>
          <w:sz w:val="20"/>
        </w:rPr>
        <w:t xml:space="preserve"> </w:t>
      </w:r>
      <w:r w:rsidR="008879A6" w:rsidRPr="00C9404E">
        <w:rPr>
          <w:rFonts w:ascii="Verdana" w:hAnsi="Verdana"/>
          <w:sz w:val="20"/>
        </w:rPr>
        <w:t>adecuar el derecho interno para asegurar que la información y documentación de</w:t>
      </w:r>
      <w:r w:rsidR="007171D1" w:rsidRPr="00C9404E">
        <w:rPr>
          <w:rFonts w:ascii="Verdana" w:hAnsi="Verdana"/>
          <w:sz w:val="20"/>
        </w:rPr>
        <w:t xml:space="preserve"> </w:t>
      </w:r>
      <w:r w:rsidR="008879A6" w:rsidRPr="00C9404E">
        <w:rPr>
          <w:rFonts w:ascii="Verdana" w:hAnsi="Verdana"/>
          <w:sz w:val="20"/>
        </w:rPr>
        <w:t>investigaciones policiales relativa a graves violaciones a los derechos humanos se conserve</w:t>
      </w:r>
      <w:r w:rsidR="007171D1" w:rsidRPr="00C9404E">
        <w:rPr>
          <w:rFonts w:ascii="Verdana" w:hAnsi="Verdana"/>
          <w:sz w:val="20"/>
        </w:rPr>
        <w:t xml:space="preserve"> </w:t>
      </w:r>
      <w:r w:rsidR="008879A6" w:rsidRPr="00C9404E">
        <w:rPr>
          <w:rFonts w:ascii="Verdana" w:hAnsi="Verdana"/>
          <w:sz w:val="20"/>
        </w:rPr>
        <w:t>durante un tiempo extenso que permita llevar a cabo las correspondientes investigaciones y</w:t>
      </w:r>
      <w:r w:rsidR="007171D1" w:rsidRPr="00C9404E">
        <w:rPr>
          <w:rFonts w:ascii="Verdana" w:hAnsi="Verdana"/>
          <w:sz w:val="20"/>
        </w:rPr>
        <w:t xml:space="preserve"> </w:t>
      </w:r>
      <w:r w:rsidR="008879A6" w:rsidRPr="00C9404E">
        <w:rPr>
          <w:rFonts w:ascii="Verdana" w:hAnsi="Verdana"/>
          <w:sz w:val="20"/>
        </w:rPr>
        <w:t>pueda ser consultada</w:t>
      </w:r>
      <w:r w:rsidR="007171D1" w:rsidRPr="00C9404E">
        <w:rPr>
          <w:rFonts w:ascii="Verdana" w:hAnsi="Verdana"/>
          <w:sz w:val="20"/>
        </w:rPr>
        <w:t>”</w:t>
      </w:r>
      <w:r w:rsidR="008879A6" w:rsidRPr="00C9404E">
        <w:rPr>
          <w:rFonts w:ascii="Verdana" w:hAnsi="Verdana"/>
          <w:sz w:val="20"/>
        </w:rPr>
        <w:t xml:space="preserve">. </w:t>
      </w:r>
      <w:r w:rsidR="007171D1" w:rsidRPr="00C9404E">
        <w:rPr>
          <w:rFonts w:ascii="Verdana" w:hAnsi="Verdana"/>
          <w:sz w:val="20"/>
        </w:rPr>
        <w:t>Al no contar con información específica y detallada sobre este punto</w:t>
      </w:r>
      <w:r w:rsidR="008879A6" w:rsidRPr="00C9404E">
        <w:rPr>
          <w:rFonts w:ascii="Verdana" w:hAnsi="Verdana"/>
          <w:sz w:val="20"/>
        </w:rPr>
        <w:t xml:space="preserve">, la Corte </w:t>
      </w:r>
      <w:r w:rsidR="00F825BA" w:rsidRPr="00C9404E">
        <w:rPr>
          <w:rFonts w:ascii="Verdana" w:hAnsi="Verdana"/>
          <w:sz w:val="20"/>
        </w:rPr>
        <w:t xml:space="preserve">reitera </w:t>
      </w:r>
      <w:r w:rsidR="008879A6" w:rsidRPr="00C9404E">
        <w:rPr>
          <w:rFonts w:ascii="Verdana" w:hAnsi="Verdana"/>
          <w:sz w:val="20"/>
        </w:rPr>
        <w:t>que</w:t>
      </w:r>
      <w:r w:rsidR="007171D1" w:rsidRPr="00C9404E">
        <w:rPr>
          <w:rFonts w:ascii="Verdana" w:hAnsi="Verdana"/>
          <w:sz w:val="20"/>
        </w:rPr>
        <w:t xml:space="preserve"> </w:t>
      </w:r>
      <w:r w:rsidR="008879A6" w:rsidRPr="00C9404E">
        <w:rPr>
          <w:rFonts w:ascii="Verdana" w:hAnsi="Verdana"/>
          <w:sz w:val="20"/>
        </w:rPr>
        <w:t>esta medida se encuentra pendiente de cumplimiento y</w:t>
      </w:r>
      <w:r w:rsidR="00F825BA" w:rsidRPr="00C9404E">
        <w:rPr>
          <w:rFonts w:ascii="Verdana" w:hAnsi="Verdana"/>
          <w:sz w:val="20"/>
        </w:rPr>
        <w:t>, por tanto,</w:t>
      </w:r>
      <w:r w:rsidR="008879A6" w:rsidRPr="00C9404E">
        <w:rPr>
          <w:rFonts w:ascii="Verdana" w:hAnsi="Verdana"/>
          <w:sz w:val="20"/>
        </w:rPr>
        <w:t xml:space="preserve"> requiere que el Estado remita </w:t>
      </w:r>
      <w:r w:rsidR="008879A6" w:rsidRPr="00C9404E">
        <w:rPr>
          <w:rFonts w:ascii="Verdana" w:hAnsi="Verdana"/>
          <w:sz w:val="20"/>
        </w:rPr>
        <w:lastRenderedPageBreak/>
        <w:t>mayor</w:t>
      </w:r>
      <w:r w:rsidR="007171D1" w:rsidRPr="00C9404E">
        <w:rPr>
          <w:rFonts w:ascii="Verdana" w:hAnsi="Verdana"/>
          <w:sz w:val="20"/>
        </w:rPr>
        <w:t xml:space="preserve"> </w:t>
      </w:r>
      <w:r w:rsidR="008879A6" w:rsidRPr="00C9404E">
        <w:rPr>
          <w:rFonts w:ascii="Verdana" w:hAnsi="Verdana"/>
          <w:sz w:val="20"/>
        </w:rPr>
        <w:t>información al respecto</w:t>
      </w:r>
      <w:r w:rsidR="002179A0">
        <w:rPr>
          <w:rFonts w:ascii="Verdana" w:hAnsi="Verdana"/>
          <w:sz w:val="20"/>
        </w:rPr>
        <w:t>, tomando en consideración para ello lo requerido en Resoluciones anteriores</w:t>
      </w:r>
      <w:r w:rsidR="002179A0" w:rsidRPr="002179A0">
        <w:rPr>
          <w:rStyle w:val="Refdenotaalpie"/>
          <w:rFonts w:ascii="Verdana" w:hAnsi="Verdana"/>
          <w:sz w:val="20"/>
        </w:rPr>
        <w:footnoteReference w:id="30"/>
      </w:r>
      <w:r w:rsidR="008879A6" w:rsidRPr="00C9404E">
        <w:rPr>
          <w:rFonts w:ascii="Verdana" w:hAnsi="Verdana"/>
          <w:sz w:val="20"/>
        </w:rPr>
        <w:t>.</w:t>
      </w:r>
    </w:p>
    <w:p w:rsidR="00505078" w:rsidRDefault="00505078" w:rsidP="00D333AB">
      <w:pPr>
        <w:tabs>
          <w:tab w:val="left" w:pos="567"/>
        </w:tabs>
        <w:jc w:val="both"/>
        <w:rPr>
          <w:rFonts w:ascii="Verdana" w:hAnsi="Verdana"/>
          <w:sz w:val="20"/>
        </w:rPr>
      </w:pPr>
    </w:p>
    <w:p w:rsidR="004B0550" w:rsidRPr="005D0F1E" w:rsidRDefault="004B0550" w:rsidP="00D333AB">
      <w:pPr>
        <w:tabs>
          <w:tab w:val="left" w:pos="567"/>
        </w:tabs>
        <w:jc w:val="both"/>
        <w:rPr>
          <w:rFonts w:ascii="Verdana" w:hAnsi="Verdana"/>
          <w:sz w:val="20"/>
        </w:rPr>
      </w:pPr>
    </w:p>
    <w:p w:rsidR="00505078" w:rsidRPr="00FC5FDB" w:rsidRDefault="0038102E" w:rsidP="00D333AB">
      <w:pPr>
        <w:numPr>
          <w:ilvl w:val="0"/>
          <w:numId w:val="1"/>
        </w:numPr>
        <w:tabs>
          <w:tab w:val="left" w:pos="567"/>
        </w:tabs>
        <w:ind w:left="0" w:firstLine="0"/>
        <w:contextualSpacing/>
        <w:jc w:val="both"/>
        <w:rPr>
          <w:rFonts w:ascii="Verdana" w:hAnsi="Verdana"/>
          <w:i/>
          <w:sz w:val="20"/>
        </w:rPr>
      </w:pPr>
      <w:r>
        <w:rPr>
          <w:rFonts w:ascii="Verdana" w:hAnsi="Verdana"/>
          <w:sz w:val="20"/>
        </w:rPr>
        <w:t>En relación con</w:t>
      </w:r>
      <w:r w:rsidR="00505078" w:rsidRPr="005D0F1E">
        <w:rPr>
          <w:rFonts w:ascii="Verdana" w:hAnsi="Verdana"/>
          <w:sz w:val="20"/>
        </w:rPr>
        <w:t xml:space="preserve"> la medida de</w:t>
      </w:r>
      <w:r w:rsidR="00505078" w:rsidRPr="005D0F1E">
        <w:rPr>
          <w:rFonts w:ascii="Verdana" w:hAnsi="Verdana"/>
          <w:i/>
          <w:sz w:val="20"/>
        </w:rPr>
        <w:t xml:space="preserve"> educación a agentes de las fuerzas de seguridad peruanas sobre estándares internacionales en materia de tratamiento de reclusos</w:t>
      </w:r>
      <w:r w:rsidR="00505078" w:rsidRPr="00644D22">
        <w:rPr>
          <w:rFonts w:ascii="Verdana" w:hAnsi="Verdana"/>
          <w:sz w:val="20"/>
        </w:rPr>
        <w:t>,</w:t>
      </w:r>
      <w:r w:rsidR="00505078" w:rsidRPr="005D0F1E">
        <w:rPr>
          <w:rFonts w:ascii="Verdana" w:hAnsi="Verdana"/>
          <w:i/>
          <w:sz w:val="20"/>
        </w:rPr>
        <w:t xml:space="preserve"> </w:t>
      </w:r>
      <w:r w:rsidR="00505078" w:rsidRPr="005D0F1E">
        <w:rPr>
          <w:rFonts w:ascii="Verdana" w:hAnsi="Verdana"/>
          <w:sz w:val="20"/>
        </w:rPr>
        <w:t xml:space="preserve">el </w:t>
      </w:r>
      <w:r w:rsidR="00505078" w:rsidRPr="00066B01">
        <w:rPr>
          <w:rFonts w:ascii="Verdana" w:hAnsi="Verdana"/>
          <w:i/>
          <w:sz w:val="20"/>
        </w:rPr>
        <w:t>Estado</w:t>
      </w:r>
      <w:r w:rsidR="00505078" w:rsidRPr="005D0F1E">
        <w:rPr>
          <w:rFonts w:ascii="Verdana" w:hAnsi="Verdana"/>
          <w:sz w:val="20"/>
        </w:rPr>
        <w:t xml:space="preserve"> indicó</w:t>
      </w:r>
      <w:r w:rsidR="00C42379">
        <w:rPr>
          <w:rFonts w:ascii="Verdana" w:hAnsi="Verdana"/>
          <w:sz w:val="20"/>
        </w:rPr>
        <w:t xml:space="preserve"> en su informe de agosto de 2015</w:t>
      </w:r>
      <w:r w:rsidR="00505078" w:rsidRPr="005D0F1E">
        <w:rPr>
          <w:rFonts w:ascii="Verdana" w:hAnsi="Verdana"/>
          <w:sz w:val="20"/>
        </w:rPr>
        <w:t xml:space="preserve"> que </w:t>
      </w:r>
      <w:r w:rsidR="00AE535A">
        <w:rPr>
          <w:rFonts w:ascii="Verdana" w:hAnsi="Verdana"/>
          <w:sz w:val="20"/>
        </w:rPr>
        <w:t>“reitera la información contenida en el último informe</w:t>
      </w:r>
      <w:r w:rsidR="00066B01">
        <w:rPr>
          <w:rFonts w:ascii="Verdana" w:hAnsi="Verdana"/>
          <w:sz w:val="20"/>
        </w:rPr>
        <w:t xml:space="preserve"> [estatal]”</w:t>
      </w:r>
      <w:r w:rsidR="00C42379">
        <w:rPr>
          <w:rStyle w:val="Refdenotaalpie"/>
          <w:rFonts w:ascii="Verdana" w:hAnsi="Verdana"/>
          <w:sz w:val="20"/>
        </w:rPr>
        <w:footnoteReference w:id="31"/>
      </w:r>
      <w:r w:rsidR="00066B01">
        <w:rPr>
          <w:rFonts w:ascii="Verdana" w:hAnsi="Verdana"/>
          <w:sz w:val="20"/>
        </w:rPr>
        <w:t>.</w:t>
      </w:r>
      <w:r w:rsidR="00CA5F23" w:rsidRPr="006E2A86">
        <w:rPr>
          <w:rFonts w:ascii="Verdana" w:hAnsi="Verdana"/>
          <w:sz w:val="20"/>
        </w:rPr>
        <w:t xml:space="preserve"> </w:t>
      </w:r>
      <w:r w:rsidR="00AF33A9">
        <w:rPr>
          <w:rFonts w:ascii="Verdana" w:hAnsi="Verdana"/>
          <w:sz w:val="20"/>
        </w:rPr>
        <w:t xml:space="preserve">Los </w:t>
      </w:r>
      <w:r w:rsidR="00AF33A9" w:rsidRPr="00FC7BC0">
        <w:rPr>
          <w:rFonts w:ascii="Verdana" w:hAnsi="Verdana"/>
          <w:i/>
          <w:sz w:val="20"/>
        </w:rPr>
        <w:t>intervinientes comunes</w:t>
      </w:r>
      <w:r w:rsidR="00AF33A9">
        <w:rPr>
          <w:rFonts w:ascii="Verdana" w:hAnsi="Verdana"/>
          <w:sz w:val="20"/>
        </w:rPr>
        <w:t xml:space="preserve"> no presentaron observaciones al respecto</w:t>
      </w:r>
      <w:r w:rsidR="00D34BA7">
        <w:rPr>
          <w:rFonts w:ascii="Verdana" w:hAnsi="Verdana"/>
          <w:sz w:val="20"/>
        </w:rPr>
        <w:t xml:space="preserve">. La </w:t>
      </w:r>
      <w:r w:rsidR="00D34BA7">
        <w:rPr>
          <w:rFonts w:ascii="Verdana" w:hAnsi="Verdana"/>
          <w:i/>
          <w:sz w:val="20"/>
        </w:rPr>
        <w:t xml:space="preserve">Comisión </w:t>
      </w:r>
      <w:r w:rsidR="00D34BA7">
        <w:rPr>
          <w:rFonts w:ascii="Verdana" w:hAnsi="Verdana"/>
          <w:sz w:val="20"/>
        </w:rPr>
        <w:t>señaló que e</w:t>
      </w:r>
      <w:r w:rsidR="00AF33A9" w:rsidRPr="00AF33A9">
        <w:rPr>
          <w:rFonts w:ascii="Verdana" w:hAnsi="Verdana"/>
          <w:sz w:val="20"/>
        </w:rPr>
        <w:t>l Estado no tomó en cuenta lo</w:t>
      </w:r>
      <w:r w:rsidR="00D47AFE">
        <w:rPr>
          <w:rFonts w:ascii="Verdana" w:hAnsi="Verdana"/>
          <w:sz w:val="20"/>
        </w:rPr>
        <w:t>s</w:t>
      </w:r>
      <w:r w:rsidR="00AF33A9">
        <w:rPr>
          <w:rFonts w:ascii="Verdana" w:hAnsi="Verdana"/>
          <w:sz w:val="20"/>
        </w:rPr>
        <w:t xml:space="preserve"> </w:t>
      </w:r>
      <w:r w:rsidR="00D47AFE">
        <w:rPr>
          <w:rFonts w:ascii="Verdana" w:hAnsi="Verdana"/>
          <w:sz w:val="20"/>
        </w:rPr>
        <w:t>requerimientos realizados</w:t>
      </w:r>
      <w:r w:rsidR="00AF33A9" w:rsidRPr="00AF33A9">
        <w:rPr>
          <w:rFonts w:ascii="Verdana" w:hAnsi="Verdana"/>
          <w:sz w:val="20"/>
        </w:rPr>
        <w:t xml:space="preserve"> por el Tribunal en</w:t>
      </w:r>
      <w:r w:rsidR="00D47AFE">
        <w:rPr>
          <w:rFonts w:ascii="Verdana" w:hAnsi="Verdana"/>
          <w:sz w:val="20"/>
        </w:rPr>
        <w:t xml:space="preserve"> sus Resoluciones de marzo de 2014 y abril de 2015</w:t>
      </w:r>
      <w:r w:rsidR="00FC5FDB">
        <w:rPr>
          <w:rFonts w:ascii="Verdana" w:hAnsi="Verdana"/>
          <w:sz w:val="20"/>
        </w:rPr>
        <w:t xml:space="preserve">. </w:t>
      </w:r>
      <w:r w:rsidR="00D47AFE">
        <w:rPr>
          <w:rFonts w:ascii="Verdana" w:hAnsi="Verdana"/>
          <w:sz w:val="20"/>
        </w:rPr>
        <w:t>La Corte</w:t>
      </w:r>
      <w:r w:rsidR="00FC5FDB">
        <w:rPr>
          <w:rFonts w:ascii="Verdana" w:hAnsi="Verdana"/>
          <w:sz w:val="20"/>
        </w:rPr>
        <w:t xml:space="preserve"> </w:t>
      </w:r>
      <w:r w:rsidR="00D47AFE">
        <w:rPr>
          <w:rFonts w:ascii="Verdana" w:hAnsi="Verdana"/>
          <w:sz w:val="20"/>
        </w:rPr>
        <w:t>recuerda que en la referida Resolución de 2014, indicó que para “</w:t>
      </w:r>
      <w:r w:rsidR="00D47AFE" w:rsidRPr="00AF33A9">
        <w:rPr>
          <w:rFonts w:ascii="Verdana" w:hAnsi="Verdana"/>
          <w:sz w:val="20"/>
        </w:rPr>
        <w:t>evaluar</w:t>
      </w:r>
      <w:r w:rsidR="00D47AFE">
        <w:rPr>
          <w:rFonts w:ascii="Verdana" w:hAnsi="Verdana"/>
          <w:sz w:val="20"/>
        </w:rPr>
        <w:t xml:space="preserve"> </w:t>
      </w:r>
      <w:r w:rsidR="00D47AFE" w:rsidRPr="00AF33A9">
        <w:rPr>
          <w:rFonts w:ascii="Verdana" w:hAnsi="Verdana"/>
          <w:sz w:val="20"/>
        </w:rPr>
        <w:t>adecuadamente el cumplimiento de esta medida de reparación y declararla cumplida,</w:t>
      </w:r>
      <w:r w:rsidR="00D47AFE">
        <w:rPr>
          <w:rFonts w:ascii="Verdana" w:hAnsi="Verdana"/>
          <w:sz w:val="20"/>
        </w:rPr>
        <w:t xml:space="preserve"> [la Corte] </w:t>
      </w:r>
      <w:r w:rsidR="00D47AFE" w:rsidRPr="00AF33A9">
        <w:rPr>
          <w:rFonts w:ascii="Verdana" w:hAnsi="Verdana"/>
          <w:sz w:val="20"/>
        </w:rPr>
        <w:t xml:space="preserve">requiere que el Perú aporte copia de los documentos que </w:t>
      </w:r>
      <w:r w:rsidR="00D47AFE">
        <w:rPr>
          <w:rFonts w:ascii="Verdana" w:hAnsi="Verdana"/>
          <w:sz w:val="20"/>
        </w:rPr>
        <w:t xml:space="preserve">comprueben las acciones llevada </w:t>
      </w:r>
      <w:r w:rsidR="00D47AFE" w:rsidRPr="00AF33A9">
        <w:rPr>
          <w:rFonts w:ascii="Verdana" w:hAnsi="Verdana"/>
          <w:sz w:val="20"/>
        </w:rPr>
        <w:t>a cabo, que su contenido abarca los estándares internacionales en materia de uso de la</w:t>
      </w:r>
      <w:r w:rsidR="00D47AFE">
        <w:rPr>
          <w:rFonts w:ascii="Verdana" w:hAnsi="Verdana"/>
          <w:sz w:val="20"/>
        </w:rPr>
        <w:t xml:space="preserve"> </w:t>
      </w:r>
      <w:r w:rsidR="00D47AFE" w:rsidRPr="00AF33A9">
        <w:rPr>
          <w:rFonts w:ascii="Verdana" w:hAnsi="Verdana"/>
          <w:sz w:val="20"/>
        </w:rPr>
        <w:t>fuerza para mantener el orden público en centros peni</w:t>
      </w:r>
      <w:r w:rsidR="00D47AFE">
        <w:rPr>
          <w:rFonts w:ascii="Verdana" w:hAnsi="Verdana"/>
          <w:sz w:val="20"/>
        </w:rPr>
        <w:t xml:space="preserve">tenciarios, así como claridad en </w:t>
      </w:r>
      <w:r w:rsidR="00D47AFE" w:rsidRPr="00AF33A9">
        <w:rPr>
          <w:rFonts w:ascii="Verdana" w:hAnsi="Verdana"/>
          <w:sz w:val="20"/>
        </w:rPr>
        <w:t>cuanto a los funcionarios que han recibido y recibirán la capacitación, y permanencia de la</w:t>
      </w:r>
      <w:r w:rsidR="00D47AFE">
        <w:rPr>
          <w:rFonts w:ascii="Verdana" w:hAnsi="Verdana"/>
          <w:sz w:val="20"/>
        </w:rPr>
        <w:t xml:space="preserve"> misma”. El Tribunal </w:t>
      </w:r>
      <w:r w:rsidR="00FC5FDB">
        <w:rPr>
          <w:rFonts w:ascii="Verdana" w:hAnsi="Verdana"/>
          <w:sz w:val="20"/>
        </w:rPr>
        <w:t>requiere que en su próximo informe, el Estado presente información detallada al re</w:t>
      </w:r>
      <w:r w:rsidR="00B36FD2">
        <w:rPr>
          <w:rFonts w:ascii="Verdana" w:hAnsi="Verdana"/>
          <w:sz w:val="20"/>
        </w:rPr>
        <w:t>specto, incluyendo la información que le ha sido solicitada en Resoluciones anteriores</w:t>
      </w:r>
      <w:r w:rsidR="00D47AFE" w:rsidRPr="00FC7BC0">
        <w:rPr>
          <w:rStyle w:val="Refdenotaalpie"/>
          <w:rFonts w:ascii="Verdana" w:hAnsi="Verdana"/>
          <w:sz w:val="20"/>
        </w:rPr>
        <w:footnoteReference w:id="32"/>
      </w:r>
      <w:r w:rsidR="006865A5">
        <w:rPr>
          <w:rFonts w:ascii="Verdana" w:hAnsi="Verdana"/>
          <w:sz w:val="20"/>
        </w:rPr>
        <w:t>.</w:t>
      </w:r>
      <w:r w:rsidR="00FC5FDB">
        <w:rPr>
          <w:rFonts w:ascii="Verdana" w:hAnsi="Verdana"/>
          <w:sz w:val="20"/>
        </w:rPr>
        <w:t xml:space="preserve"> </w:t>
      </w:r>
    </w:p>
    <w:p w:rsidR="00505078" w:rsidRDefault="00505078" w:rsidP="00D333AB">
      <w:pPr>
        <w:tabs>
          <w:tab w:val="left" w:pos="567"/>
        </w:tabs>
        <w:rPr>
          <w:rFonts w:ascii="Verdana" w:hAnsi="Verdana"/>
          <w:i/>
          <w:sz w:val="20"/>
        </w:rPr>
      </w:pPr>
    </w:p>
    <w:p w:rsidR="004B0550" w:rsidRPr="005D0F1E" w:rsidRDefault="004B0550" w:rsidP="00D333AB">
      <w:pPr>
        <w:tabs>
          <w:tab w:val="left" w:pos="567"/>
        </w:tabs>
        <w:rPr>
          <w:rFonts w:ascii="Verdana" w:hAnsi="Verdana"/>
          <w:i/>
          <w:sz w:val="20"/>
        </w:rPr>
      </w:pPr>
    </w:p>
    <w:p w:rsidR="00F9085A" w:rsidRPr="006A08BD" w:rsidRDefault="0038102E" w:rsidP="00D333AB">
      <w:pPr>
        <w:numPr>
          <w:ilvl w:val="0"/>
          <w:numId w:val="1"/>
        </w:numPr>
        <w:tabs>
          <w:tab w:val="left" w:pos="567"/>
        </w:tabs>
        <w:ind w:left="0" w:firstLine="0"/>
        <w:contextualSpacing/>
        <w:jc w:val="both"/>
        <w:rPr>
          <w:rFonts w:ascii="Verdana" w:hAnsi="Verdana"/>
          <w:sz w:val="20"/>
        </w:rPr>
      </w:pPr>
      <w:r>
        <w:rPr>
          <w:rFonts w:ascii="Verdana" w:hAnsi="Verdana"/>
          <w:sz w:val="20"/>
        </w:rPr>
        <w:t>Con respecto</w:t>
      </w:r>
      <w:r w:rsidR="00505078" w:rsidRPr="005D0F1E">
        <w:rPr>
          <w:rFonts w:ascii="Verdana" w:hAnsi="Verdana"/>
          <w:sz w:val="20"/>
        </w:rPr>
        <w:t xml:space="preserve"> a las medidas relativas </w:t>
      </w:r>
      <w:r w:rsidR="00505078" w:rsidRPr="005D0F1E">
        <w:rPr>
          <w:rFonts w:ascii="Verdana" w:hAnsi="Verdana"/>
          <w:i/>
          <w:sz w:val="20"/>
        </w:rPr>
        <w:t>al acto público de reconocimiento</w:t>
      </w:r>
      <w:r w:rsidR="00505078">
        <w:rPr>
          <w:rFonts w:ascii="Verdana" w:hAnsi="Verdana"/>
          <w:i/>
          <w:sz w:val="20"/>
        </w:rPr>
        <w:t xml:space="preserve"> de responsabilidad internacional</w:t>
      </w:r>
      <w:r w:rsidR="006F0B39">
        <w:rPr>
          <w:rFonts w:ascii="Verdana" w:hAnsi="Verdana"/>
          <w:i/>
          <w:sz w:val="20"/>
        </w:rPr>
        <w:t xml:space="preserve"> </w:t>
      </w:r>
      <w:r w:rsidR="006F0B39">
        <w:rPr>
          <w:rFonts w:ascii="Verdana" w:hAnsi="Verdana"/>
          <w:sz w:val="20"/>
        </w:rPr>
        <w:t>y</w:t>
      </w:r>
      <w:r w:rsidR="00505078" w:rsidRPr="005D0F1E">
        <w:rPr>
          <w:rFonts w:ascii="Verdana" w:hAnsi="Verdana"/>
          <w:i/>
          <w:sz w:val="20"/>
        </w:rPr>
        <w:t xml:space="preserve"> el monumento</w:t>
      </w:r>
      <w:r w:rsidR="006F0B39">
        <w:rPr>
          <w:rFonts w:ascii="Verdana" w:hAnsi="Verdana"/>
          <w:i/>
          <w:sz w:val="20"/>
        </w:rPr>
        <w:t xml:space="preserve">, </w:t>
      </w:r>
      <w:r w:rsidR="00505078" w:rsidRPr="005D0F1E">
        <w:rPr>
          <w:rFonts w:ascii="Verdana" w:hAnsi="Verdana"/>
          <w:sz w:val="20"/>
        </w:rPr>
        <w:t xml:space="preserve">el Estado </w:t>
      </w:r>
      <w:r w:rsidR="006F0B39">
        <w:rPr>
          <w:rFonts w:ascii="Verdana" w:hAnsi="Verdana"/>
          <w:sz w:val="20"/>
        </w:rPr>
        <w:t>indicó en su informe de agosto de 2015 que “</w:t>
      </w:r>
      <w:r w:rsidR="004A63D2">
        <w:rPr>
          <w:rFonts w:ascii="Verdana" w:hAnsi="Verdana"/>
          <w:sz w:val="20"/>
        </w:rPr>
        <w:t xml:space="preserve">no se ha producido alguna decisión posterior a abril del 2011 orientada a concretar” la ejecución de las referidas medidas de reparación. </w:t>
      </w:r>
      <w:r w:rsidR="00262976">
        <w:rPr>
          <w:rFonts w:ascii="Verdana" w:hAnsi="Verdana"/>
          <w:sz w:val="20"/>
        </w:rPr>
        <w:t xml:space="preserve">Los </w:t>
      </w:r>
      <w:r w:rsidR="00262976">
        <w:rPr>
          <w:rFonts w:ascii="Verdana" w:hAnsi="Verdana"/>
          <w:i/>
          <w:sz w:val="20"/>
        </w:rPr>
        <w:t xml:space="preserve">intervinientes comunes </w:t>
      </w:r>
      <w:r w:rsidR="00262976">
        <w:rPr>
          <w:rFonts w:ascii="Verdana" w:hAnsi="Verdana"/>
          <w:sz w:val="20"/>
        </w:rPr>
        <w:t xml:space="preserve">no presentaron observaciones al respecto. Por su parte, la </w:t>
      </w:r>
      <w:r w:rsidR="00262976">
        <w:rPr>
          <w:rFonts w:ascii="Verdana" w:hAnsi="Verdana"/>
          <w:i/>
          <w:sz w:val="20"/>
        </w:rPr>
        <w:t xml:space="preserve">Comisión Interamericana </w:t>
      </w:r>
      <w:r w:rsidR="00262976">
        <w:rPr>
          <w:rFonts w:ascii="Verdana" w:hAnsi="Verdana"/>
          <w:sz w:val="20"/>
        </w:rPr>
        <w:t>manifestó “su preocupación” por la ausencia de “avances sustantivos” respecto de dichas medidas.</w:t>
      </w:r>
      <w:r w:rsidR="00262976">
        <w:rPr>
          <w:rFonts w:ascii="Verdana" w:hAnsi="Verdana"/>
          <w:b/>
          <w:sz w:val="20"/>
        </w:rPr>
        <w:t xml:space="preserve"> </w:t>
      </w:r>
      <w:r w:rsidR="00F9085A">
        <w:rPr>
          <w:rFonts w:ascii="Verdana" w:hAnsi="Verdana"/>
          <w:sz w:val="20"/>
        </w:rPr>
        <w:t xml:space="preserve">El Tribunal coincide </w:t>
      </w:r>
      <w:r w:rsidR="00D47AFE">
        <w:rPr>
          <w:rFonts w:ascii="Verdana" w:hAnsi="Verdana"/>
          <w:sz w:val="20"/>
        </w:rPr>
        <w:t>con</w:t>
      </w:r>
      <w:r w:rsidR="00F9085A">
        <w:rPr>
          <w:rFonts w:ascii="Verdana" w:hAnsi="Verdana"/>
          <w:sz w:val="20"/>
        </w:rPr>
        <w:t xml:space="preserve"> lo señalado por la Comisión y recuerda que en el Considerando 62 de su Resolución de marzo de 2014, reiterado mediante el Considerando 15 de su Resolución de abril de 2015, requirió al Estado indicar </w:t>
      </w:r>
      <w:r w:rsidR="00F9085A" w:rsidRPr="00F9085A">
        <w:rPr>
          <w:rFonts w:ascii="Verdana" w:hAnsi="Verdana"/>
          <w:sz w:val="20"/>
        </w:rPr>
        <w:t>“qué tramites estarían dilatando durante tantos</w:t>
      </w:r>
      <w:r w:rsidR="00F9085A">
        <w:rPr>
          <w:rFonts w:ascii="Verdana" w:hAnsi="Verdana"/>
          <w:sz w:val="20"/>
        </w:rPr>
        <w:t xml:space="preserve"> </w:t>
      </w:r>
      <w:r w:rsidR="00F9085A" w:rsidRPr="00F9085A">
        <w:rPr>
          <w:rFonts w:ascii="Verdana" w:hAnsi="Verdana"/>
          <w:sz w:val="20"/>
        </w:rPr>
        <w:t>años el cumplimiento de las medidas” de acto público de reconocimiento y de publicación de</w:t>
      </w:r>
      <w:r w:rsidR="00F9085A">
        <w:rPr>
          <w:rFonts w:ascii="Verdana" w:hAnsi="Verdana"/>
          <w:sz w:val="20"/>
        </w:rPr>
        <w:t xml:space="preserve"> </w:t>
      </w:r>
      <w:r w:rsidR="00F9085A" w:rsidRPr="00F9085A">
        <w:rPr>
          <w:rFonts w:ascii="Verdana" w:hAnsi="Verdana"/>
          <w:sz w:val="20"/>
        </w:rPr>
        <w:t xml:space="preserve">la Sentencia, </w:t>
      </w:r>
      <w:r w:rsidR="00D34BA7">
        <w:rPr>
          <w:rFonts w:ascii="Verdana" w:hAnsi="Verdana"/>
          <w:sz w:val="20"/>
        </w:rPr>
        <w:t>así como</w:t>
      </w:r>
      <w:r w:rsidR="00D34BA7" w:rsidRPr="00F9085A">
        <w:rPr>
          <w:rFonts w:ascii="Verdana" w:hAnsi="Verdana"/>
          <w:sz w:val="20"/>
        </w:rPr>
        <w:t xml:space="preserve"> </w:t>
      </w:r>
      <w:r w:rsidR="00F9085A" w:rsidRPr="00F9085A">
        <w:rPr>
          <w:rFonts w:ascii="Verdana" w:hAnsi="Verdana"/>
          <w:sz w:val="20"/>
        </w:rPr>
        <w:t>“cuáles acciones ha adoptado para terminar con [</w:t>
      </w:r>
      <w:r w:rsidR="00F9085A">
        <w:rPr>
          <w:rFonts w:ascii="Verdana" w:hAnsi="Verdana"/>
          <w:sz w:val="20"/>
        </w:rPr>
        <w:t>dicha</w:t>
      </w:r>
      <w:r w:rsidR="00F9085A" w:rsidRPr="00F9085A">
        <w:rPr>
          <w:rFonts w:ascii="Verdana" w:hAnsi="Verdana"/>
          <w:sz w:val="20"/>
        </w:rPr>
        <w:t>] situación”</w:t>
      </w:r>
      <w:r w:rsidR="00D47AFE" w:rsidRPr="00D47AFE">
        <w:rPr>
          <w:rStyle w:val="Refdenotaalpie"/>
          <w:rFonts w:ascii="Verdana" w:hAnsi="Verdana"/>
          <w:sz w:val="20"/>
        </w:rPr>
        <w:t xml:space="preserve"> </w:t>
      </w:r>
      <w:r w:rsidR="00D47AFE" w:rsidRPr="007665BD">
        <w:rPr>
          <w:rStyle w:val="Refdenotaalpie"/>
          <w:rFonts w:ascii="Verdana" w:hAnsi="Verdana"/>
          <w:sz w:val="20"/>
        </w:rPr>
        <w:footnoteReference w:id="33"/>
      </w:r>
      <w:r w:rsidR="00F9085A" w:rsidRPr="00F9085A">
        <w:rPr>
          <w:rFonts w:ascii="Verdana" w:hAnsi="Verdana"/>
          <w:sz w:val="20"/>
        </w:rPr>
        <w:t>.</w:t>
      </w:r>
      <w:r w:rsidR="00F9085A">
        <w:rPr>
          <w:rFonts w:ascii="Verdana" w:hAnsi="Verdana"/>
          <w:sz w:val="20"/>
        </w:rPr>
        <w:t xml:space="preserve"> </w:t>
      </w:r>
      <w:r w:rsidR="006A08BD">
        <w:rPr>
          <w:rFonts w:ascii="Verdana" w:hAnsi="Verdana"/>
          <w:sz w:val="20"/>
        </w:rPr>
        <w:t xml:space="preserve">Esta situación es particularmente grave considerando que en la referida Resolución de 2014 la Corte indicó que </w:t>
      </w:r>
      <w:r w:rsidR="006A08BD" w:rsidRPr="006A08BD">
        <w:rPr>
          <w:rFonts w:ascii="Verdana" w:hAnsi="Verdana"/>
          <w:sz w:val="20"/>
        </w:rPr>
        <w:t>“[de] ninguna</w:t>
      </w:r>
      <w:r w:rsidR="006A08BD">
        <w:rPr>
          <w:rFonts w:ascii="Verdana" w:hAnsi="Verdana"/>
          <w:sz w:val="20"/>
        </w:rPr>
        <w:t xml:space="preserve"> </w:t>
      </w:r>
      <w:r w:rsidR="006A08BD" w:rsidRPr="006A08BD">
        <w:rPr>
          <w:rFonts w:ascii="Verdana" w:hAnsi="Verdana"/>
          <w:sz w:val="20"/>
        </w:rPr>
        <w:t>manera el Perú podrá demorarse más allá de seis meses, contados a partir de la notificación</w:t>
      </w:r>
      <w:r w:rsidR="006A08BD">
        <w:rPr>
          <w:rFonts w:ascii="Verdana" w:hAnsi="Verdana"/>
          <w:sz w:val="20"/>
        </w:rPr>
        <w:t xml:space="preserve"> </w:t>
      </w:r>
      <w:r w:rsidR="006A08BD" w:rsidRPr="006A08BD">
        <w:rPr>
          <w:rFonts w:ascii="Verdana" w:hAnsi="Verdana"/>
          <w:sz w:val="20"/>
        </w:rPr>
        <w:t>de esta Resolución, para dar cumpl</w:t>
      </w:r>
      <w:r w:rsidR="006A08BD">
        <w:rPr>
          <w:rFonts w:ascii="Verdana" w:hAnsi="Verdana"/>
          <w:sz w:val="20"/>
        </w:rPr>
        <w:t>im</w:t>
      </w:r>
      <w:r w:rsidR="006A08BD" w:rsidRPr="00805667">
        <w:rPr>
          <w:rFonts w:ascii="Verdana" w:hAnsi="Verdana"/>
          <w:sz w:val="20"/>
        </w:rPr>
        <w:t xml:space="preserve">iento total a [l]as [referidas] medidas [de satisfacción]”. </w:t>
      </w:r>
      <w:r w:rsidR="00147A9E" w:rsidRPr="00805667">
        <w:rPr>
          <w:rFonts w:ascii="Verdana" w:hAnsi="Verdana"/>
          <w:sz w:val="20"/>
        </w:rPr>
        <w:t>En razón de ello, el Tribunal requiere al Perú que cumpla de forma efectiva con las referidas medidas a la mayor brevedad</w:t>
      </w:r>
      <w:r w:rsidR="00805667">
        <w:rPr>
          <w:rFonts w:ascii="Verdana" w:hAnsi="Verdana"/>
          <w:sz w:val="20"/>
        </w:rPr>
        <w:t>, detallando las medidas</w:t>
      </w:r>
      <w:r w:rsidR="007665BD">
        <w:rPr>
          <w:rFonts w:ascii="Verdana" w:hAnsi="Verdana"/>
          <w:sz w:val="20"/>
        </w:rPr>
        <w:t xml:space="preserve"> adicionales</w:t>
      </w:r>
      <w:r w:rsidR="00805667">
        <w:rPr>
          <w:rFonts w:ascii="Verdana" w:hAnsi="Verdana"/>
          <w:sz w:val="20"/>
        </w:rPr>
        <w:t xml:space="preserve"> adoptadas para dicho fin en su próximo informe</w:t>
      </w:r>
      <w:r w:rsidR="00147A9E" w:rsidRPr="00805667">
        <w:rPr>
          <w:rFonts w:ascii="Verdana" w:hAnsi="Verdana"/>
          <w:sz w:val="20"/>
        </w:rPr>
        <w:t>.</w:t>
      </w:r>
    </w:p>
    <w:p w:rsidR="006A02ED" w:rsidRDefault="006A02ED" w:rsidP="00D333AB">
      <w:pPr>
        <w:tabs>
          <w:tab w:val="left" w:pos="567"/>
        </w:tabs>
        <w:contextualSpacing/>
        <w:jc w:val="both"/>
        <w:rPr>
          <w:rFonts w:ascii="Verdana" w:hAnsi="Verdana"/>
          <w:sz w:val="20"/>
          <w:lang w:eastAsia="x-none"/>
        </w:rPr>
      </w:pPr>
    </w:p>
    <w:p w:rsidR="00A535CF" w:rsidRDefault="00A535CF" w:rsidP="00D333AB">
      <w:pPr>
        <w:tabs>
          <w:tab w:val="left" w:pos="567"/>
        </w:tabs>
        <w:contextualSpacing/>
        <w:jc w:val="both"/>
        <w:rPr>
          <w:rFonts w:ascii="Verdana" w:hAnsi="Verdana"/>
          <w:sz w:val="20"/>
          <w:lang w:eastAsia="x-none"/>
        </w:rPr>
      </w:pPr>
    </w:p>
    <w:p w:rsidR="006A02ED" w:rsidRPr="007665BD" w:rsidRDefault="0038102E" w:rsidP="00D333AB">
      <w:pPr>
        <w:numPr>
          <w:ilvl w:val="0"/>
          <w:numId w:val="1"/>
        </w:numPr>
        <w:tabs>
          <w:tab w:val="left" w:pos="567"/>
          <w:tab w:val="left" w:pos="3544"/>
        </w:tabs>
        <w:ind w:left="0" w:firstLine="0"/>
        <w:contextualSpacing/>
        <w:jc w:val="both"/>
        <w:rPr>
          <w:rFonts w:ascii="Verdana" w:hAnsi="Verdana"/>
          <w:sz w:val="20"/>
        </w:rPr>
      </w:pPr>
      <w:r>
        <w:rPr>
          <w:rFonts w:ascii="Verdana" w:hAnsi="Verdana"/>
          <w:sz w:val="20"/>
        </w:rPr>
        <w:t>En relación con</w:t>
      </w:r>
      <w:r w:rsidR="006A02ED">
        <w:rPr>
          <w:rFonts w:ascii="Verdana" w:hAnsi="Verdana"/>
          <w:sz w:val="20"/>
        </w:rPr>
        <w:t xml:space="preserve"> las medidas relativas a </w:t>
      </w:r>
      <w:r w:rsidR="006A02ED" w:rsidRPr="005D0F1E">
        <w:rPr>
          <w:rFonts w:ascii="Verdana" w:hAnsi="Verdana"/>
          <w:i/>
          <w:sz w:val="20"/>
        </w:rPr>
        <w:t>asegurar que todos los internos fallecidos sean identificados</w:t>
      </w:r>
      <w:r w:rsidR="006A02ED">
        <w:rPr>
          <w:rFonts w:ascii="Verdana" w:hAnsi="Verdana"/>
          <w:i/>
          <w:sz w:val="20"/>
        </w:rPr>
        <w:t xml:space="preserve"> y sus restos entregados a sus familiares</w:t>
      </w:r>
      <w:r w:rsidR="00EA06C2">
        <w:rPr>
          <w:rStyle w:val="Refdenotaalpie"/>
          <w:rFonts w:ascii="Verdana" w:hAnsi="Verdana"/>
          <w:i/>
          <w:sz w:val="20"/>
        </w:rPr>
        <w:footnoteReference w:id="34"/>
      </w:r>
      <w:r w:rsidR="006A02ED">
        <w:rPr>
          <w:rFonts w:ascii="Verdana" w:hAnsi="Verdana"/>
          <w:sz w:val="20"/>
        </w:rPr>
        <w:t xml:space="preserve">, la obligación de </w:t>
      </w:r>
      <w:r w:rsidR="006A02ED">
        <w:rPr>
          <w:rFonts w:ascii="Verdana" w:hAnsi="Verdana"/>
          <w:i/>
          <w:sz w:val="20"/>
        </w:rPr>
        <w:t xml:space="preserve">brindar tratamiento </w:t>
      </w:r>
      <w:r w:rsidR="006A02ED">
        <w:rPr>
          <w:rFonts w:ascii="Verdana" w:hAnsi="Verdana"/>
          <w:i/>
          <w:sz w:val="20"/>
        </w:rPr>
        <w:lastRenderedPageBreak/>
        <w:t>médico y psicológico a las víctimas y a sus familiares</w:t>
      </w:r>
      <w:r w:rsidR="00EA06C2">
        <w:rPr>
          <w:rStyle w:val="Refdenotaalpie"/>
          <w:rFonts w:ascii="Verdana" w:hAnsi="Verdana"/>
          <w:i/>
          <w:sz w:val="20"/>
        </w:rPr>
        <w:footnoteReference w:id="35"/>
      </w:r>
      <w:r w:rsidR="006A02ED">
        <w:rPr>
          <w:rFonts w:ascii="Verdana" w:hAnsi="Verdana"/>
          <w:sz w:val="20"/>
        </w:rPr>
        <w:t xml:space="preserve"> y el </w:t>
      </w:r>
      <w:r w:rsidR="006A02ED">
        <w:rPr>
          <w:rFonts w:ascii="Verdana" w:hAnsi="Verdana"/>
          <w:i/>
          <w:sz w:val="20"/>
        </w:rPr>
        <w:t>reintegro de costas y gastos</w:t>
      </w:r>
      <w:r w:rsidR="00D34BA7">
        <w:rPr>
          <w:rStyle w:val="Refdenotaalpie"/>
          <w:rFonts w:ascii="Verdana" w:hAnsi="Verdana"/>
          <w:i/>
          <w:sz w:val="20"/>
        </w:rPr>
        <w:footnoteReference w:id="36"/>
      </w:r>
      <w:r>
        <w:rPr>
          <w:rFonts w:ascii="Verdana" w:hAnsi="Verdana"/>
          <w:i/>
          <w:sz w:val="20"/>
        </w:rPr>
        <w:t>,</w:t>
      </w:r>
      <w:r w:rsidR="006A02ED">
        <w:rPr>
          <w:rFonts w:ascii="Verdana" w:hAnsi="Verdana"/>
          <w:i/>
          <w:sz w:val="20"/>
        </w:rPr>
        <w:t xml:space="preserve"> </w:t>
      </w:r>
      <w:r w:rsidR="006A02ED" w:rsidRPr="005D0F1E">
        <w:rPr>
          <w:rFonts w:ascii="Verdana" w:hAnsi="Verdana"/>
          <w:sz w:val="20"/>
        </w:rPr>
        <w:t xml:space="preserve">el </w:t>
      </w:r>
      <w:r w:rsidR="006A02ED" w:rsidRPr="00110574">
        <w:rPr>
          <w:rFonts w:ascii="Verdana" w:hAnsi="Verdana"/>
          <w:i/>
          <w:sz w:val="20"/>
        </w:rPr>
        <w:t>Estado</w:t>
      </w:r>
      <w:r w:rsidR="006A02ED" w:rsidRPr="005D0F1E">
        <w:rPr>
          <w:rFonts w:ascii="Verdana" w:hAnsi="Verdana"/>
          <w:sz w:val="20"/>
        </w:rPr>
        <w:t xml:space="preserve"> </w:t>
      </w:r>
      <w:r w:rsidR="006A02ED">
        <w:rPr>
          <w:rFonts w:ascii="Verdana" w:hAnsi="Verdana"/>
          <w:sz w:val="20"/>
        </w:rPr>
        <w:t xml:space="preserve">no presentó información alguna sobre los avances en la ejecución de dichas medidas. </w:t>
      </w:r>
      <w:r w:rsidR="00045D5E">
        <w:rPr>
          <w:rFonts w:ascii="Verdana" w:hAnsi="Verdana"/>
          <w:sz w:val="20"/>
        </w:rPr>
        <w:t>L</w:t>
      </w:r>
      <w:r w:rsidR="006A02ED" w:rsidRPr="00EA06C2">
        <w:rPr>
          <w:rFonts w:ascii="Verdana" w:hAnsi="Verdana"/>
          <w:sz w:val="20"/>
        </w:rPr>
        <w:t>a Corte considera que el Estado está incumpliendo su deber de informar respecto de la</w:t>
      </w:r>
      <w:r w:rsidR="00EA06C2">
        <w:rPr>
          <w:rFonts w:ascii="Verdana" w:hAnsi="Verdana"/>
          <w:sz w:val="20"/>
        </w:rPr>
        <w:t>s</w:t>
      </w:r>
      <w:r w:rsidR="006A02ED" w:rsidRPr="00EA06C2">
        <w:rPr>
          <w:rFonts w:ascii="Verdana" w:hAnsi="Verdana"/>
          <w:sz w:val="20"/>
        </w:rPr>
        <w:t xml:space="preserve"> referida</w:t>
      </w:r>
      <w:r w:rsidR="00EA06C2">
        <w:rPr>
          <w:rFonts w:ascii="Verdana" w:hAnsi="Verdana"/>
          <w:sz w:val="20"/>
        </w:rPr>
        <w:t>s reparaciones</w:t>
      </w:r>
      <w:r w:rsidR="006A02ED" w:rsidRPr="00EA06C2">
        <w:rPr>
          <w:rFonts w:ascii="Verdana" w:hAnsi="Verdana"/>
          <w:sz w:val="20"/>
        </w:rPr>
        <w:t xml:space="preserve"> y </w:t>
      </w:r>
      <w:r w:rsidR="003B45DD" w:rsidRPr="003B45DD">
        <w:rPr>
          <w:rFonts w:ascii="Verdana" w:hAnsi="Verdana"/>
          <w:sz w:val="20"/>
        </w:rPr>
        <w:t>que no ha adoptado medidas orientadas a dar cumplimiento a las mismas, a pesar del tiempo transcurrido desde la emisión de la Sentencia.</w:t>
      </w:r>
    </w:p>
    <w:p w:rsidR="006A02ED" w:rsidRDefault="006A02ED" w:rsidP="00D333AB">
      <w:pPr>
        <w:tabs>
          <w:tab w:val="left" w:pos="567"/>
        </w:tabs>
        <w:contextualSpacing/>
        <w:jc w:val="both"/>
        <w:rPr>
          <w:rFonts w:ascii="Verdana" w:hAnsi="Verdana"/>
          <w:sz w:val="20"/>
          <w:lang w:eastAsia="x-none"/>
        </w:rPr>
      </w:pPr>
    </w:p>
    <w:p w:rsidR="00A535CF" w:rsidRDefault="00A535CF" w:rsidP="00D333AB">
      <w:pPr>
        <w:tabs>
          <w:tab w:val="left" w:pos="567"/>
        </w:tabs>
        <w:contextualSpacing/>
        <w:jc w:val="both"/>
        <w:rPr>
          <w:rFonts w:ascii="Verdana" w:hAnsi="Verdana"/>
          <w:sz w:val="20"/>
          <w:lang w:eastAsia="x-none"/>
        </w:rPr>
      </w:pPr>
    </w:p>
    <w:p w:rsidR="005A5660" w:rsidRPr="00AD1343" w:rsidRDefault="00505078" w:rsidP="00D333AB">
      <w:pPr>
        <w:numPr>
          <w:ilvl w:val="0"/>
          <w:numId w:val="1"/>
        </w:numPr>
        <w:tabs>
          <w:tab w:val="left" w:pos="567"/>
        </w:tabs>
        <w:ind w:left="0" w:firstLine="0"/>
        <w:contextualSpacing/>
        <w:jc w:val="both"/>
        <w:rPr>
          <w:rFonts w:ascii="Verdana" w:hAnsi="Verdana"/>
          <w:sz w:val="20"/>
        </w:rPr>
      </w:pPr>
      <w:r w:rsidRPr="005A5660">
        <w:rPr>
          <w:rFonts w:ascii="Verdana" w:hAnsi="Verdana"/>
          <w:sz w:val="20"/>
        </w:rPr>
        <w:t>Por las razones expuestas, la Corte concluye que</w:t>
      </w:r>
      <w:r w:rsidR="00890A08" w:rsidRPr="00890A08">
        <w:rPr>
          <w:rFonts w:ascii="Verdana" w:hAnsi="Verdana" w:cs="Arial"/>
          <w:sz w:val="20"/>
        </w:rPr>
        <w:t xml:space="preserve"> </w:t>
      </w:r>
      <w:r w:rsidR="00890A08" w:rsidRPr="005A5660">
        <w:rPr>
          <w:rFonts w:ascii="Verdana" w:hAnsi="Verdana" w:cs="Arial"/>
          <w:sz w:val="20"/>
        </w:rPr>
        <w:t>habiendo transcurrido más de diez años desde que se emitió la Sentencia</w:t>
      </w:r>
      <w:r w:rsidR="00890A08">
        <w:rPr>
          <w:rFonts w:ascii="Verdana" w:hAnsi="Verdana" w:cs="Arial"/>
          <w:sz w:val="20"/>
        </w:rPr>
        <w:t xml:space="preserve"> y después de emitidas tres Resoluciones de supervisión</w:t>
      </w:r>
      <w:r w:rsidRPr="005A5660">
        <w:rPr>
          <w:rFonts w:ascii="Verdana" w:hAnsi="Verdana"/>
          <w:sz w:val="20"/>
        </w:rPr>
        <w:t xml:space="preserve">, </w:t>
      </w:r>
      <w:r w:rsidR="0024722C" w:rsidRPr="005A5660">
        <w:rPr>
          <w:rFonts w:ascii="Verdana" w:hAnsi="Verdana"/>
          <w:sz w:val="20"/>
        </w:rPr>
        <w:t>salvo la publicación de extractos de la Sentencia en el diario oficial y en otro de amplia circulación nacional (</w:t>
      </w:r>
      <w:r w:rsidR="0024722C" w:rsidRPr="005A5660">
        <w:rPr>
          <w:rFonts w:ascii="Verdana" w:hAnsi="Verdana"/>
          <w:i/>
          <w:sz w:val="20"/>
        </w:rPr>
        <w:t xml:space="preserve">supra </w:t>
      </w:r>
      <w:r w:rsidR="00D41484">
        <w:rPr>
          <w:rFonts w:ascii="Verdana" w:hAnsi="Verdana"/>
          <w:sz w:val="20"/>
        </w:rPr>
        <w:t>Considerando 29</w:t>
      </w:r>
      <w:r w:rsidR="0024722C" w:rsidRPr="005A5660">
        <w:rPr>
          <w:rFonts w:ascii="Verdana" w:hAnsi="Verdana"/>
          <w:sz w:val="20"/>
        </w:rPr>
        <w:t xml:space="preserve">), continúa la situación de incumplimiento de las </w:t>
      </w:r>
      <w:r w:rsidR="00217CB0">
        <w:rPr>
          <w:rFonts w:ascii="Verdana" w:hAnsi="Verdana"/>
          <w:sz w:val="20"/>
        </w:rPr>
        <w:t xml:space="preserve">restantes </w:t>
      </w:r>
      <w:r w:rsidR="0024722C" w:rsidRPr="005A5660">
        <w:rPr>
          <w:rFonts w:ascii="Verdana" w:hAnsi="Verdana"/>
          <w:sz w:val="20"/>
        </w:rPr>
        <w:t>medidas ordenadas</w:t>
      </w:r>
      <w:r w:rsidR="004C5DF3">
        <w:rPr>
          <w:rFonts w:ascii="Verdana" w:hAnsi="Verdana"/>
          <w:sz w:val="20"/>
        </w:rPr>
        <w:t xml:space="preserve"> así como de información inadecuada por parte del Estado</w:t>
      </w:r>
      <w:r w:rsidR="0024722C" w:rsidRPr="005A5660">
        <w:rPr>
          <w:rFonts w:ascii="Verdana" w:hAnsi="Verdana"/>
          <w:sz w:val="20"/>
        </w:rPr>
        <w:t xml:space="preserve">. </w:t>
      </w:r>
      <w:r w:rsidR="005A5660" w:rsidRPr="005A5660">
        <w:rPr>
          <w:rFonts w:ascii="Verdana" w:hAnsi="Verdana"/>
          <w:sz w:val="20"/>
        </w:rPr>
        <w:t xml:space="preserve">Una vez más </w:t>
      </w:r>
      <w:r w:rsidR="005A5660" w:rsidRPr="005A5660">
        <w:rPr>
          <w:rFonts w:ascii="Verdana" w:hAnsi="Verdana" w:cs="Arial"/>
          <w:sz w:val="20"/>
        </w:rPr>
        <w:t>el Tribunal encuentra que la situación verificada en esta Resolución para el presente caso constituye un grave incumplimiento de las obligaciones emanadas de la Sentencia dictada por el Tribunal y de los compromisos convencionales del Estado, que impide que se reparen las violaciones a los derechos humanos declaradas en el Fallo y despoja el efecto útil de la Convención en el caso concreto</w:t>
      </w:r>
      <w:r w:rsidR="005A5660" w:rsidRPr="005D0F1E">
        <w:rPr>
          <w:rStyle w:val="Refdenotaalpie"/>
          <w:rFonts w:ascii="Verdana" w:hAnsi="Verdana" w:cs="Arial"/>
          <w:sz w:val="20"/>
        </w:rPr>
        <w:footnoteReference w:id="37"/>
      </w:r>
      <w:r w:rsidR="005A5660" w:rsidRPr="005A5660">
        <w:rPr>
          <w:rFonts w:ascii="Verdana" w:hAnsi="Verdana" w:cs="Arial"/>
          <w:sz w:val="20"/>
        </w:rPr>
        <w:t xml:space="preserve">. </w:t>
      </w:r>
    </w:p>
    <w:p w:rsidR="00505078" w:rsidRDefault="00505078" w:rsidP="00D333AB">
      <w:pPr>
        <w:tabs>
          <w:tab w:val="left" w:pos="567"/>
        </w:tabs>
        <w:jc w:val="both"/>
        <w:rPr>
          <w:rFonts w:ascii="Verdana" w:hAnsi="Verdana"/>
          <w:sz w:val="20"/>
        </w:rPr>
      </w:pPr>
    </w:p>
    <w:p w:rsidR="00A535CF" w:rsidRPr="00AD1343" w:rsidRDefault="00A535CF" w:rsidP="00D333AB">
      <w:pPr>
        <w:tabs>
          <w:tab w:val="left" w:pos="567"/>
        </w:tabs>
        <w:jc w:val="both"/>
        <w:rPr>
          <w:rFonts w:ascii="Verdana" w:hAnsi="Verdana"/>
          <w:sz w:val="20"/>
        </w:rPr>
      </w:pPr>
    </w:p>
    <w:p w:rsidR="00505078" w:rsidRPr="00AD1343" w:rsidRDefault="00505078" w:rsidP="00D333AB">
      <w:pPr>
        <w:numPr>
          <w:ilvl w:val="0"/>
          <w:numId w:val="1"/>
        </w:numPr>
        <w:tabs>
          <w:tab w:val="left" w:pos="567"/>
        </w:tabs>
        <w:ind w:left="0" w:firstLine="0"/>
        <w:contextualSpacing/>
        <w:jc w:val="both"/>
        <w:rPr>
          <w:rFonts w:ascii="Verdana" w:hAnsi="Verdana"/>
          <w:sz w:val="20"/>
        </w:rPr>
      </w:pPr>
      <w:r w:rsidRPr="00AD1343">
        <w:rPr>
          <w:rFonts w:ascii="Verdana" w:hAnsi="Verdana"/>
          <w:sz w:val="20"/>
        </w:rPr>
        <w:t>La Corte afirma que los</w:t>
      </w:r>
      <w:r w:rsidRPr="00AD1343">
        <w:rPr>
          <w:rFonts w:ascii="Verdana" w:eastAsia="Times New Roman" w:hAnsi="Verdana"/>
          <w:sz w:val="20"/>
        </w:rPr>
        <w:t xml:space="preserve"> Estados Partes de la Convención Americana tienen la obligación convencional de implementar</w:t>
      </w:r>
      <w:r w:rsidR="0038102E">
        <w:rPr>
          <w:rFonts w:ascii="Verdana" w:eastAsia="Times New Roman" w:hAnsi="Verdana"/>
          <w:sz w:val="20"/>
        </w:rPr>
        <w:t>,</w:t>
      </w:r>
      <w:r w:rsidRPr="00AD1343">
        <w:rPr>
          <w:rFonts w:ascii="Verdana" w:eastAsia="Times New Roman" w:hAnsi="Verdana"/>
          <w:sz w:val="20"/>
        </w:rPr>
        <w:t xml:space="preserve"> tanto a nivel internacional como interno y de forma pronta e íntegra, lo dispuesto por el Tribunal en las Sentencias que a ellos conciernan, obligación que, de acuerdo al derecho internacional consuetudinario y lo establecido por la Corte, vincula a todos los poderes y órganos estatales</w:t>
      </w:r>
      <w:r w:rsidRPr="00AD1343">
        <w:rPr>
          <w:rStyle w:val="Refdenotaalpie"/>
          <w:rFonts w:ascii="Verdana" w:hAnsi="Verdana" w:cs="Verdana"/>
          <w:sz w:val="20"/>
        </w:rPr>
        <w:footnoteReference w:id="38"/>
      </w:r>
      <w:r w:rsidRPr="00AD1343">
        <w:rPr>
          <w:rFonts w:ascii="Verdana" w:eastAsia="Times New Roman" w:hAnsi="Verdana"/>
          <w:sz w:val="20"/>
        </w:rPr>
        <w:t xml:space="preserve">, y que, de no cumplirse, se incurre en un ilícito internacional. </w:t>
      </w:r>
      <w:r w:rsidRPr="00AD1343">
        <w:rPr>
          <w:rFonts w:ascii="Verdana" w:hAnsi="Verdana"/>
          <w:sz w:val="20"/>
        </w:rPr>
        <w:t>Asimismo, recuerda que “una vez que [se ha] pronunciado sobre el fondo y las reparaciones y costas en un caso que fue sometido a su conocimiento, resulta necesario que el Estado observe las normas de la Convención que se refieren al cumplimiento de las Sentencias”</w:t>
      </w:r>
      <w:r w:rsidRPr="00AD1343">
        <w:rPr>
          <w:rStyle w:val="Refdenotaalpie"/>
          <w:rFonts w:ascii="Verdana" w:hAnsi="Verdana"/>
          <w:sz w:val="20"/>
        </w:rPr>
        <w:footnoteReference w:id="39"/>
      </w:r>
      <w:r w:rsidRPr="00AD1343">
        <w:rPr>
          <w:rFonts w:ascii="Verdana" w:hAnsi="Verdana"/>
          <w:sz w:val="20"/>
        </w:rPr>
        <w:t>. D</w:t>
      </w:r>
      <w:r w:rsidRPr="00AD1343">
        <w:rPr>
          <w:rFonts w:ascii="Verdana" w:eastAsia="Calibri" w:hAnsi="Verdana" w:cs="Verdana"/>
          <w:sz w:val="20"/>
          <w:lang w:eastAsia="es-CR"/>
        </w:rPr>
        <w:t>e manera que “[s]i el Estado responsable no ejecuta en el ámbito interno las medidas de reparación dispuestas por la Corte estaría negando el derecho de acceso a la justicia internacional”</w:t>
      </w:r>
      <w:r w:rsidRPr="00AD1343">
        <w:rPr>
          <w:rStyle w:val="Refdenotaalpie"/>
          <w:rFonts w:ascii="Verdana" w:eastAsia="Calibri" w:hAnsi="Verdana" w:cs="Verdana"/>
          <w:sz w:val="20"/>
          <w:lang w:eastAsia="es-CR"/>
        </w:rPr>
        <w:footnoteReference w:id="40"/>
      </w:r>
      <w:r w:rsidR="00B727FF">
        <w:rPr>
          <w:rFonts w:ascii="Verdana" w:eastAsia="Calibri" w:hAnsi="Verdana" w:cs="Verdana"/>
          <w:sz w:val="20"/>
          <w:lang w:eastAsia="es-CR"/>
        </w:rPr>
        <w:t>.</w:t>
      </w:r>
      <w:r w:rsidRPr="00AD1343">
        <w:rPr>
          <w:rFonts w:ascii="Verdana" w:eastAsia="Calibri" w:hAnsi="Verdana" w:cs="Verdana"/>
          <w:sz w:val="20"/>
          <w:lang w:eastAsia="es-CR"/>
        </w:rPr>
        <w:t xml:space="preserve"> </w:t>
      </w:r>
    </w:p>
    <w:p w:rsidR="00505078" w:rsidRDefault="00505078" w:rsidP="00D333AB">
      <w:pPr>
        <w:tabs>
          <w:tab w:val="left" w:pos="567"/>
        </w:tabs>
        <w:rPr>
          <w:rFonts w:ascii="Verdana" w:hAnsi="Verdana"/>
          <w:sz w:val="20"/>
        </w:rPr>
      </w:pPr>
    </w:p>
    <w:p w:rsidR="00A535CF" w:rsidRPr="005D0F1E" w:rsidRDefault="00A535CF" w:rsidP="00D333AB">
      <w:pPr>
        <w:tabs>
          <w:tab w:val="left" w:pos="567"/>
        </w:tabs>
        <w:rPr>
          <w:rFonts w:ascii="Verdana" w:hAnsi="Verdana"/>
          <w:sz w:val="20"/>
        </w:rPr>
      </w:pPr>
    </w:p>
    <w:p w:rsidR="00505078" w:rsidRPr="00A367E8" w:rsidRDefault="00505078" w:rsidP="00D333AB">
      <w:pPr>
        <w:numPr>
          <w:ilvl w:val="0"/>
          <w:numId w:val="1"/>
        </w:numPr>
        <w:tabs>
          <w:tab w:val="left" w:pos="567"/>
        </w:tabs>
        <w:ind w:left="0" w:firstLine="0"/>
        <w:contextualSpacing/>
        <w:jc w:val="both"/>
        <w:rPr>
          <w:rFonts w:ascii="Verdana" w:hAnsi="Verdana"/>
          <w:sz w:val="20"/>
        </w:rPr>
      </w:pPr>
      <w:r w:rsidRPr="00A367E8">
        <w:rPr>
          <w:rFonts w:ascii="Verdana" w:hAnsi="Verdana"/>
          <w:sz w:val="20"/>
        </w:rPr>
        <w:t>En este sentido, el Tribunal reitera</w:t>
      </w:r>
      <w:r w:rsidR="005A5660">
        <w:rPr>
          <w:rFonts w:ascii="Verdana" w:hAnsi="Verdana"/>
          <w:sz w:val="20"/>
        </w:rPr>
        <w:t xml:space="preserve"> </w:t>
      </w:r>
      <w:r w:rsidRPr="00A367E8">
        <w:rPr>
          <w:rFonts w:ascii="Verdana" w:hAnsi="Verdana"/>
          <w:sz w:val="20"/>
        </w:rPr>
        <w:t>al Perú que debe adoptar todas las providencias necesarias para dar inmediato y efectivo cumplimiento a lo dispuesto en la Sentencia, por lo</w:t>
      </w:r>
      <w:r w:rsidRPr="00C01DC5">
        <w:rPr>
          <w:rFonts w:ascii="Verdana" w:hAnsi="Verdana"/>
          <w:sz w:val="20"/>
        </w:rPr>
        <w:t xml:space="preserve"> que </w:t>
      </w:r>
      <w:r w:rsidR="0038102E">
        <w:rPr>
          <w:rFonts w:ascii="Verdana" w:hAnsi="Verdana"/>
          <w:sz w:val="20"/>
        </w:rPr>
        <w:t xml:space="preserve">le </w:t>
      </w:r>
      <w:r w:rsidRPr="00C01DC5">
        <w:rPr>
          <w:rFonts w:ascii="Verdana" w:hAnsi="Verdana"/>
          <w:sz w:val="20"/>
        </w:rPr>
        <w:t xml:space="preserve">requiere </w:t>
      </w:r>
      <w:r w:rsidRPr="00C01DC5">
        <w:rPr>
          <w:rFonts w:ascii="Verdana" w:hAnsi="Verdana" w:cs="Arial"/>
          <w:sz w:val="20"/>
        </w:rPr>
        <w:t xml:space="preserve">que presente el </w:t>
      </w:r>
      <w:r w:rsidR="00954A1C">
        <w:rPr>
          <w:rFonts w:ascii="Verdana" w:hAnsi="Verdana" w:cs="Arial"/>
          <w:sz w:val="20"/>
        </w:rPr>
        <w:t>i</w:t>
      </w:r>
      <w:r w:rsidRPr="00C01DC5">
        <w:rPr>
          <w:rFonts w:ascii="Verdana" w:hAnsi="Verdana" w:cs="Arial"/>
          <w:sz w:val="20"/>
        </w:rPr>
        <w:t xml:space="preserve">nforme solicitado en el punto resolutivo </w:t>
      </w:r>
      <w:r w:rsidR="00EB13C6">
        <w:rPr>
          <w:rFonts w:ascii="Verdana" w:hAnsi="Verdana" w:cs="Arial"/>
          <w:sz w:val="20"/>
        </w:rPr>
        <w:t>quinto</w:t>
      </w:r>
      <w:r w:rsidRPr="00A367E8">
        <w:rPr>
          <w:rFonts w:ascii="Verdana" w:hAnsi="Verdana" w:cs="Arial"/>
          <w:sz w:val="20"/>
        </w:rPr>
        <w:t xml:space="preserve"> de esta Resolución</w:t>
      </w:r>
      <w:r w:rsidRPr="00A367E8">
        <w:rPr>
          <w:rFonts w:ascii="Verdana" w:hAnsi="Verdana"/>
          <w:sz w:val="20"/>
        </w:rPr>
        <w:t xml:space="preserve">. </w:t>
      </w:r>
    </w:p>
    <w:p w:rsidR="00505078" w:rsidRDefault="00505078" w:rsidP="00D333AB">
      <w:pPr>
        <w:pStyle w:val="Ttulo"/>
        <w:numPr>
          <w:ilvl w:val="0"/>
          <w:numId w:val="0"/>
        </w:numPr>
        <w:ind w:left="630" w:right="0" w:hanging="630"/>
        <w:rPr>
          <w:b w:val="0"/>
          <w:lang w:val="es-CR"/>
        </w:rPr>
      </w:pPr>
    </w:p>
    <w:p w:rsidR="006F5E9B" w:rsidRDefault="006F5E9B" w:rsidP="00D333AB">
      <w:pPr>
        <w:pStyle w:val="Ttulo"/>
        <w:numPr>
          <w:ilvl w:val="0"/>
          <w:numId w:val="0"/>
        </w:numPr>
        <w:ind w:left="630" w:right="0" w:hanging="630"/>
        <w:rPr>
          <w:b w:val="0"/>
          <w:lang w:val="es-CR"/>
        </w:rPr>
      </w:pPr>
    </w:p>
    <w:p w:rsidR="00DD7B8D" w:rsidRDefault="00DD7B8D" w:rsidP="00D333AB">
      <w:pPr>
        <w:pStyle w:val="Ttulo"/>
        <w:numPr>
          <w:ilvl w:val="0"/>
          <w:numId w:val="0"/>
        </w:numPr>
        <w:ind w:left="630" w:right="0" w:hanging="630"/>
        <w:rPr>
          <w:b w:val="0"/>
          <w:lang w:val="es-CR"/>
        </w:rPr>
      </w:pPr>
    </w:p>
    <w:p w:rsidR="00DD7B8D" w:rsidRPr="006F5E9B" w:rsidRDefault="00DD7B8D" w:rsidP="00D333AB">
      <w:pPr>
        <w:pStyle w:val="Ttulo"/>
        <w:numPr>
          <w:ilvl w:val="0"/>
          <w:numId w:val="0"/>
        </w:numPr>
        <w:ind w:left="630" w:right="0" w:hanging="630"/>
        <w:rPr>
          <w:b w:val="0"/>
          <w:lang w:val="es-CR"/>
        </w:rPr>
      </w:pPr>
    </w:p>
    <w:p w:rsidR="00AE180B" w:rsidRDefault="00AE180B" w:rsidP="00D333AB">
      <w:pPr>
        <w:pStyle w:val="Ttulo"/>
        <w:ind w:right="0"/>
      </w:pPr>
      <w:bookmarkStart w:id="29" w:name="_Toc475555756"/>
      <w:r>
        <w:t>Solicitud formulada por la interviniente común Feria Tinta</w:t>
      </w:r>
      <w:bookmarkEnd w:id="29"/>
    </w:p>
    <w:p w:rsidR="00A21504" w:rsidRDefault="00A21504" w:rsidP="00A21504">
      <w:pPr>
        <w:pStyle w:val="Ttulo1"/>
        <w:numPr>
          <w:ilvl w:val="0"/>
          <w:numId w:val="0"/>
        </w:numPr>
        <w:rPr>
          <w:b w:val="0"/>
          <w:lang w:val="es-CR"/>
        </w:rPr>
      </w:pPr>
    </w:p>
    <w:p w:rsidR="00DD7B8D" w:rsidRPr="00DD7B8D" w:rsidRDefault="00DD7B8D" w:rsidP="00DD7B8D">
      <w:pPr>
        <w:rPr>
          <w:lang w:val="es-CR"/>
        </w:rPr>
      </w:pPr>
    </w:p>
    <w:p w:rsidR="00A21504" w:rsidRPr="00FA0041" w:rsidRDefault="008960D7" w:rsidP="00A21504">
      <w:pPr>
        <w:ind w:firstLine="360"/>
        <w:rPr>
          <w:rFonts w:ascii="Verdana" w:hAnsi="Verdana"/>
          <w:i/>
          <w:sz w:val="20"/>
        </w:rPr>
      </w:pPr>
      <w:r>
        <w:rPr>
          <w:rFonts w:ascii="Verdana" w:hAnsi="Verdana"/>
          <w:i/>
          <w:sz w:val="20"/>
        </w:rPr>
        <w:t>E</w:t>
      </w:r>
      <w:r w:rsidR="00A21504" w:rsidRPr="00FA0041">
        <w:rPr>
          <w:rFonts w:ascii="Verdana" w:hAnsi="Verdana"/>
          <w:i/>
          <w:sz w:val="20"/>
        </w:rPr>
        <w:t>.1</w:t>
      </w:r>
      <w:r w:rsidR="00A21504">
        <w:rPr>
          <w:rFonts w:ascii="Verdana" w:hAnsi="Verdana"/>
          <w:i/>
          <w:sz w:val="20"/>
        </w:rPr>
        <w:t>. Solicitud formulada por la int</w:t>
      </w:r>
      <w:r w:rsidR="00A21504" w:rsidRPr="00FA0041">
        <w:rPr>
          <w:rFonts w:ascii="Verdana" w:hAnsi="Verdana"/>
          <w:i/>
          <w:sz w:val="20"/>
        </w:rPr>
        <w:t>erv</w:t>
      </w:r>
      <w:r w:rsidR="00A21504">
        <w:rPr>
          <w:rFonts w:ascii="Verdana" w:hAnsi="Verdana"/>
          <w:i/>
          <w:sz w:val="20"/>
        </w:rPr>
        <w:t>i</w:t>
      </w:r>
      <w:r w:rsidR="00A21504" w:rsidRPr="00FA0041">
        <w:rPr>
          <w:rFonts w:ascii="Verdana" w:hAnsi="Verdana"/>
          <w:i/>
          <w:sz w:val="20"/>
        </w:rPr>
        <w:t>niente común Feria Tinta</w:t>
      </w:r>
    </w:p>
    <w:p w:rsidR="00A21504" w:rsidRPr="00FA0041" w:rsidRDefault="00A21504" w:rsidP="00A21504">
      <w:pPr>
        <w:rPr>
          <w:i/>
        </w:rPr>
      </w:pPr>
    </w:p>
    <w:p w:rsidR="00A21504" w:rsidRPr="00A6797D" w:rsidRDefault="00A21504" w:rsidP="00A21504">
      <w:pPr>
        <w:pStyle w:val="Cuadrculamedia1-nfasis2"/>
        <w:numPr>
          <w:ilvl w:val="0"/>
          <w:numId w:val="1"/>
        </w:numPr>
        <w:tabs>
          <w:tab w:val="left" w:pos="567"/>
        </w:tabs>
        <w:ind w:left="0" w:firstLine="0"/>
        <w:contextualSpacing/>
        <w:jc w:val="both"/>
        <w:rPr>
          <w:rFonts w:ascii="Verdana" w:hAnsi="Verdana"/>
          <w:sz w:val="20"/>
        </w:rPr>
      </w:pPr>
      <w:r w:rsidRPr="00D81E55">
        <w:rPr>
          <w:rFonts w:ascii="Verdana" w:hAnsi="Verdana"/>
          <w:sz w:val="20"/>
        </w:rPr>
        <w:t>E</w:t>
      </w:r>
      <w:r w:rsidRPr="00D81E55">
        <w:rPr>
          <w:rFonts w:ascii="Verdana" w:hAnsi="Verdana"/>
          <w:sz w:val="20"/>
          <w:lang w:val="es-ES"/>
        </w:rPr>
        <w:t xml:space="preserve">n </w:t>
      </w:r>
      <w:r>
        <w:rPr>
          <w:rFonts w:ascii="Verdana" w:hAnsi="Verdana"/>
          <w:sz w:val="20"/>
          <w:lang w:val="es-ES"/>
        </w:rPr>
        <w:t xml:space="preserve">sus escritos de agosto y octubre de 2015, la interviniente común Feria Tinta solicitó a la Corte que “provea una medida que ordene al Estado […] cubrir los costos y gastos de representación […] por la extensión </w:t>
      </w:r>
      <w:proofErr w:type="spellStart"/>
      <w:r>
        <w:rPr>
          <w:rFonts w:ascii="Verdana" w:hAnsi="Verdana"/>
          <w:sz w:val="20"/>
          <w:lang w:val="es-ES"/>
        </w:rPr>
        <w:t>exacer</w:t>
      </w:r>
      <w:proofErr w:type="spellEnd"/>
      <w:r w:rsidR="00B727FF">
        <w:rPr>
          <w:rFonts w:ascii="Verdana" w:hAnsi="Verdana"/>
          <w:sz w:val="20"/>
          <w:lang w:val="es-ES"/>
        </w:rPr>
        <w:t>[</w:t>
      </w:r>
      <w:r>
        <w:rPr>
          <w:rFonts w:ascii="Verdana" w:hAnsi="Verdana"/>
          <w:sz w:val="20"/>
          <w:lang w:val="es-ES"/>
        </w:rPr>
        <w:t>b</w:t>
      </w:r>
      <w:r w:rsidR="00B727FF">
        <w:rPr>
          <w:rFonts w:ascii="Verdana" w:hAnsi="Verdana"/>
          <w:sz w:val="20"/>
          <w:lang w:val="es-ES"/>
        </w:rPr>
        <w:t>]</w:t>
      </w:r>
      <w:proofErr w:type="spellStart"/>
      <w:r>
        <w:rPr>
          <w:rFonts w:ascii="Verdana" w:hAnsi="Verdana"/>
          <w:sz w:val="20"/>
          <w:lang w:val="es-ES"/>
        </w:rPr>
        <w:t>ada</w:t>
      </w:r>
      <w:proofErr w:type="spellEnd"/>
      <w:r>
        <w:rPr>
          <w:rFonts w:ascii="Verdana" w:hAnsi="Verdana"/>
          <w:sz w:val="20"/>
          <w:lang w:val="es-ES"/>
        </w:rPr>
        <w:t xml:space="preserve"> de [e]</w:t>
      </w:r>
      <w:proofErr w:type="spellStart"/>
      <w:r>
        <w:rPr>
          <w:rFonts w:ascii="Verdana" w:hAnsi="Verdana"/>
          <w:sz w:val="20"/>
          <w:lang w:val="es-ES"/>
        </w:rPr>
        <w:t>ste</w:t>
      </w:r>
      <w:proofErr w:type="spellEnd"/>
      <w:r>
        <w:rPr>
          <w:rFonts w:ascii="Verdana" w:hAnsi="Verdana"/>
          <w:sz w:val="20"/>
          <w:lang w:val="es-ES"/>
        </w:rPr>
        <w:t xml:space="preserve"> período de implementación de la [S]entencia debido al incumplimiento [de la misma]</w:t>
      </w:r>
      <w:r w:rsidR="00890A08">
        <w:rPr>
          <w:rFonts w:ascii="Verdana" w:hAnsi="Verdana"/>
          <w:sz w:val="20"/>
          <w:lang w:val="es-ES"/>
        </w:rPr>
        <w:t>”</w:t>
      </w:r>
      <w:r>
        <w:rPr>
          <w:rFonts w:ascii="Verdana" w:hAnsi="Verdana"/>
          <w:sz w:val="20"/>
          <w:lang w:val="es-ES"/>
        </w:rPr>
        <w:t xml:space="preserve">. </w:t>
      </w:r>
      <w:r w:rsidR="00890A08">
        <w:rPr>
          <w:rFonts w:ascii="Verdana" w:hAnsi="Verdana"/>
          <w:sz w:val="20"/>
          <w:lang w:val="es-ES"/>
        </w:rPr>
        <w:t>Solicitó que [e]</w:t>
      </w:r>
      <w:proofErr w:type="spellStart"/>
      <w:r>
        <w:rPr>
          <w:rFonts w:ascii="Verdana" w:hAnsi="Verdana"/>
          <w:sz w:val="20"/>
          <w:lang w:val="es-ES"/>
        </w:rPr>
        <w:t>sa</w:t>
      </w:r>
      <w:proofErr w:type="spellEnd"/>
      <w:r>
        <w:rPr>
          <w:rFonts w:ascii="Verdana" w:hAnsi="Verdana"/>
          <w:sz w:val="20"/>
          <w:lang w:val="es-ES"/>
        </w:rPr>
        <w:t xml:space="preserve"> suma a ser pagada por el Estado deberá ser considerada en </w:t>
      </w:r>
      <w:proofErr w:type="gramStart"/>
      <w:r>
        <w:rPr>
          <w:rFonts w:ascii="Verdana" w:hAnsi="Verdana"/>
          <w:sz w:val="20"/>
          <w:lang w:val="es-ES"/>
        </w:rPr>
        <w:t>equidad[</w:t>
      </w:r>
      <w:proofErr w:type="gramEnd"/>
      <w:r>
        <w:rPr>
          <w:rFonts w:ascii="Verdana" w:hAnsi="Verdana"/>
          <w:sz w:val="20"/>
          <w:lang w:val="es-ES"/>
        </w:rPr>
        <w:t xml:space="preserve">, </w:t>
      </w:r>
      <w:r w:rsidR="00890A08">
        <w:rPr>
          <w:rFonts w:ascii="Verdana" w:hAnsi="Verdana"/>
          <w:sz w:val="20"/>
          <w:lang w:val="es-ES"/>
        </w:rPr>
        <w:t>tomando en cuenta</w:t>
      </w:r>
      <w:r>
        <w:rPr>
          <w:rFonts w:ascii="Verdana" w:hAnsi="Verdana"/>
          <w:sz w:val="20"/>
          <w:lang w:val="es-ES"/>
        </w:rPr>
        <w:t xml:space="preserve"> para ello</w:t>
      </w:r>
      <w:r w:rsidR="00B727FF">
        <w:rPr>
          <w:rFonts w:ascii="Verdana" w:hAnsi="Verdana"/>
          <w:sz w:val="20"/>
          <w:lang w:val="es-ES"/>
        </w:rPr>
        <w:t xml:space="preserve"> que</w:t>
      </w:r>
      <w:r>
        <w:rPr>
          <w:rFonts w:ascii="Verdana" w:hAnsi="Verdana"/>
          <w:sz w:val="20"/>
          <w:lang w:val="es-ES"/>
        </w:rPr>
        <w:t>] los gastos de impresión, copias [y] gastos postales desde el año 2007 en relación a este caso</w:t>
      </w:r>
      <w:r w:rsidR="00B727FF">
        <w:rPr>
          <w:rFonts w:ascii="Verdana" w:hAnsi="Verdana"/>
          <w:sz w:val="20"/>
          <w:lang w:val="es-ES"/>
        </w:rPr>
        <w:t xml:space="preserve"> […] han sido su[s]</w:t>
      </w:r>
      <w:proofErr w:type="spellStart"/>
      <w:r w:rsidR="00B727FF">
        <w:rPr>
          <w:rFonts w:ascii="Verdana" w:hAnsi="Verdana"/>
          <w:sz w:val="20"/>
          <w:lang w:val="es-ES"/>
        </w:rPr>
        <w:t>tanciales</w:t>
      </w:r>
      <w:proofErr w:type="spellEnd"/>
      <w:r w:rsidR="00B727FF">
        <w:rPr>
          <w:rFonts w:ascii="Verdana" w:hAnsi="Verdana"/>
          <w:sz w:val="20"/>
          <w:lang w:val="es-ES"/>
        </w:rPr>
        <w:t xml:space="preserve"> pues [la referida interviniente común] ha venido actuando en representación de cientos de víctimas</w:t>
      </w:r>
      <w:r>
        <w:rPr>
          <w:rFonts w:ascii="Verdana" w:hAnsi="Verdana"/>
          <w:sz w:val="20"/>
          <w:lang w:val="es-ES"/>
        </w:rPr>
        <w:t>”.</w:t>
      </w:r>
    </w:p>
    <w:p w:rsidR="00A21504" w:rsidRDefault="00A21504" w:rsidP="00A21504">
      <w:pPr>
        <w:pStyle w:val="Cuadrculamedia1-nfasis2"/>
        <w:tabs>
          <w:tab w:val="left" w:pos="567"/>
        </w:tabs>
        <w:ind w:left="0"/>
        <w:contextualSpacing/>
        <w:jc w:val="both"/>
        <w:rPr>
          <w:rFonts w:ascii="Verdana" w:hAnsi="Verdana"/>
          <w:sz w:val="20"/>
        </w:rPr>
      </w:pPr>
    </w:p>
    <w:p w:rsidR="006F5E9B" w:rsidRDefault="006F5E9B" w:rsidP="00A21504">
      <w:pPr>
        <w:pStyle w:val="Cuadrculamedia1-nfasis2"/>
        <w:tabs>
          <w:tab w:val="left" w:pos="567"/>
        </w:tabs>
        <w:ind w:left="0"/>
        <w:contextualSpacing/>
        <w:jc w:val="both"/>
        <w:rPr>
          <w:rFonts w:ascii="Verdana" w:hAnsi="Verdana"/>
          <w:sz w:val="20"/>
        </w:rPr>
      </w:pPr>
    </w:p>
    <w:p w:rsidR="00A21504" w:rsidRDefault="00A21504" w:rsidP="00A21504">
      <w:pPr>
        <w:pStyle w:val="Cuadrculamedia1-nfasis2"/>
        <w:tabs>
          <w:tab w:val="left" w:pos="567"/>
        </w:tabs>
        <w:ind w:left="0"/>
        <w:contextualSpacing/>
        <w:jc w:val="both"/>
        <w:rPr>
          <w:rFonts w:ascii="Verdana" w:hAnsi="Verdana"/>
          <w:i/>
          <w:sz w:val="20"/>
        </w:rPr>
      </w:pPr>
      <w:r>
        <w:rPr>
          <w:rFonts w:ascii="Verdana" w:hAnsi="Verdana"/>
          <w:sz w:val="20"/>
        </w:rPr>
        <w:tab/>
      </w:r>
      <w:r w:rsidR="008960D7">
        <w:rPr>
          <w:rFonts w:ascii="Verdana" w:hAnsi="Verdana"/>
          <w:i/>
          <w:sz w:val="20"/>
        </w:rPr>
        <w:t>E</w:t>
      </w:r>
      <w:r>
        <w:rPr>
          <w:rFonts w:ascii="Verdana" w:hAnsi="Verdana"/>
          <w:i/>
          <w:sz w:val="20"/>
        </w:rPr>
        <w:t>.2</w:t>
      </w:r>
      <w:r w:rsidRPr="00F265BA">
        <w:rPr>
          <w:rFonts w:ascii="Verdana" w:hAnsi="Verdana"/>
          <w:i/>
          <w:sz w:val="20"/>
        </w:rPr>
        <w:t>.</w:t>
      </w:r>
      <w:r>
        <w:rPr>
          <w:rFonts w:ascii="Verdana" w:hAnsi="Verdana"/>
          <w:sz w:val="20"/>
        </w:rPr>
        <w:t xml:space="preserve"> </w:t>
      </w:r>
      <w:r>
        <w:rPr>
          <w:rFonts w:ascii="Verdana" w:hAnsi="Verdana"/>
          <w:i/>
          <w:sz w:val="20"/>
        </w:rPr>
        <w:t>Consideraciones de la Corte</w:t>
      </w:r>
    </w:p>
    <w:p w:rsidR="00A21504" w:rsidRPr="00F265BA" w:rsidRDefault="00A21504" w:rsidP="00A21504">
      <w:pPr>
        <w:pStyle w:val="Cuadrculamedia1-nfasis2"/>
        <w:tabs>
          <w:tab w:val="left" w:pos="567"/>
        </w:tabs>
        <w:ind w:left="0"/>
        <w:contextualSpacing/>
        <w:jc w:val="both"/>
        <w:rPr>
          <w:rFonts w:ascii="Verdana" w:hAnsi="Verdana"/>
          <w:i/>
          <w:sz w:val="20"/>
        </w:rPr>
      </w:pPr>
    </w:p>
    <w:p w:rsidR="00A21504" w:rsidRDefault="00A21504" w:rsidP="00A5452F">
      <w:pPr>
        <w:pStyle w:val="Cuadrculamedia1-nfasis2"/>
        <w:numPr>
          <w:ilvl w:val="0"/>
          <w:numId w:val="1"/>
        </w:numPr>
        <w:tabs>
          <w:tab w:val="left" w:pos="567"/>
        </w:tabs>
        <w:ind w:left="0" w:right="48" w:firstLine="0"/>
        <w:contextualSpacing/>
        <w:jc w:val="both"/>
        <w:rPr>
          <w:rFonts w:ascii="Verdana" w:hAnsi="Verdana"/>
          <w:sz w:val="20"/>
          <w:lang w:val="es-ES"/>
        </w:rPr>
      </w:pPr>
      <w:r w:rsidRPr="005F30BF">
        <w:rPr>
          <w:rFonts w:ascii="Verdana" w:hAnsi="Verdana"/>
          <w:sz w:val="20"/>
          <w:lang w:val="es-ES"/>
        </w:rPr>
        <w:t xml:space="preserve"> </w:t>
      </w:r>
      <w:r w:rsidR="00954A1C" w:rsidRPr="005F30BF">
        <w:rPr>
          <w:rFonts w:ascii="Verdana" w:hAnsi="Verdana"/>
          <w:sz w:val="20"/>
          <w:lang w:val="es-ES"/>
        </w:rPr>
        <w:t>La Corte recuerda que</w:t>
      </w:r>
      <w:r w:rsidR="0038102E">
        <w:rPr>
          <w:rFonts w:ascii="Verdana" w:hAnsi="Verdana"/>
          <w:sz w:val="20"/>
          <w:lang w:val="es-ES"/>
        </w:rPr>
        <w:t>,</w:t>
      </w:r>
      <w:r w:rsidR="00954A1C" w:rsidRPr="005F30BF">
        <w:rPr>
          <w:rFonts w:ascii="Verdana" w:hAnsi="Verdana"/>
          <w:sz w:val="20"/>
          <w:lang w:val="es-ES"/>
        </w:rPr>
        <w:t xml:space="preserve"> al </w:t>
      </w:r>
      <w:r w:rsidR="00CD1C8B">
        <w:rPr>
          <w:rFonts w:ascii="Verdana" w:hAnsi="Verdana"/>
          <w:sz w:val="20"/>
          <w:lang w:val="es-ES"/>
        </w:rPr>
        <w:t xml:space="preserve">pronunciarse </w:t>
      </w:r>
      <w:r w:rsidR="00954A1C" w:rsidRPr="005F30BF">
        <w:rPr>
          <w:rFonts w:ascii="Verdana" w:hAnsi="Verdana"/>
          <w:sz w:val="20"/>
          <w:lang w:val="es-ES"/>
        </w:rPr>
        <w:t xml:space="preserve">en la Sentencia </w:t>
      </w:r>
      <w:r w:rsidR="00CD1C8B">
        <w:rPr>
          <w:rFonts w:ascii="Verdana" w:hAnsi="Verdana"/>
          <w:sz w:val="20"/>
          <w:lang w:val="es-ES"/>
        </w:rPr>
        <w:t xml:space="preserve">sobre el reintegro </w:t>
      </w:r>
      <w:r w:rsidR="002E11D7">
        <w:rPr>
          <w:rFonts w:ascii="Verdana" w:hAnsi="Verdana"/>
          <w:sz w:val="20"/>
          <w:lang w:val="es-ES"/>
        </w:rPr>
        <w:t>por</w:t>
      </w:r>
      <w:r w:rsidR="00C54E42">
        <w:rPr>
          <w:rFonts w:ascii="Verdana" w:hAnsi="Verdana"/>
          <w:sz w:val="20"/>
          <w:lang w:val="es-ES"/>
        </w:rPr>
        <w:t xml:space="preserve"> </w:t>
      </w:r>
      <w:r w:rsidR="00954A1C" w:rsidRPr="005F30BF">
        <w:rPr>
          <w:rFonts w:ascii="Verdana" w:hAnsi="Verdana"/>
          <w:sz w:val="20"/>
          <w:lang w:val="es-ES"/>
        </w:rPr>
        <w:t>concepto de costas y gastos (</w:t>
      </w:r>
      <w:r w:rsidR="00954A1C" w:rsidRPr="005F30BF">
        <w:rPr>
          <w:rFonts w:ascii="Verdana" w:hAnsi="Verdana"/>
          <w:i/>
          <w:sz w:val="20"/>
          <w:lang w:val="es-ES"/>
        </w:rPr>
        <w:t xml:space="preserve">supra </w:t>
      </w:r>
      <w:r w:rsidR="00954A1C" w:rsidRPr="005F30BF">
        <w:rPr>
          <w:rFonts w:ascii="Verdana" w:hAnsi="Verdana"/>
          <w:sz w:val="20"/>
          <w:lang w:val="es-ES"/>
        </w:rPr>
        <w:t>Considerando 30</w:t>
      </w:r>
      <w:r w:rsidR="00920A22">
        <w:rPr>
          <w:rFonts w:ascii="Verdana" w:hAnsi="Verdana"/>
          <w:sz w:val="20"/>
          <w:lang w:val="es-ES"/>
        </w:rPr>
        <w:t>.h</w:t>
      </w:r>
      <w:r w:rsidR="00954A1C" w:rsidRPr="005F30BF">
        <w:rPr>
          <w:rFonts w:ascii="Verdana" w:hAnsi="Verdana"/>
          <w:sz w:val="20"/>
          <w:lang w:val="es-ES"/>
        </w:rPr>
        <w:t>)</w:t>
      </w:r>
      <w:r w:rsidR="0038102E">
        <w:rPr>
          <w:rFonts w:ascii="Verdana" w:hAnsi="Verdana"/>
          <w:sz w:val="20"/>
          <w:lang w:val="es-ES"/>
        </w:rPr>
        <w:t>,</w:t>
      </w:r>
      <w:r w:rsidR="00954A1C" w:rsidRPr="005F30BF">
        <w:rPr>
          <w:rFonts w:ascii="Verdana" w:hAnsi="Verdana"/>
          <w:sz w:val="20"/>
          <w:lang w:val="es-ES"/>
        </w:rPr>
        <w:t xml:space="preserve"> no incluyó </w:t>
      </w:r>
      <w:r w:rsidR="00920A22">
        <w:rPr>
          <w:rFonts w:ascii="Verdana" w:hAnsi="Verdana"/>
          <w:sz w:val="20"/>
          <w:lang w:val="es-ES"/>
        </w:rPr>
        <w:t>una disposición en el sentido de que</w:t>
      </w:r>
      <w:r w:rsidR="00C54E42">
        <w:rPr>
          <w:rFonts w:ascii="Verdana" w:hAnsi="Verdana"/>
          <w:sz w:val="20"/>
          <w:lang w:val="es-ES"/>
        </w:rPr>
        <w:t>,</w:t>
      </w:r>
      <w:r w:rsidR="00920A22">
        <w:rPr>
          <w:rFonts w:ascii="Verdana" w:hAnsi="Verdana"/>
          <w:sz w:val="20"/>
          <w:lang w:val="es-ES"/>
        </w:rPr>
        <w:t xml:space="preserve"> </w:t>
      </w:r>
      <w:r w:rsidR="00CD1C8B">
        <w:rPr>
          <w:rFonts w:ascii="Verdana" w:hAnsi="Verdana"/>
          <w:sz w:val="20"/>
          <w:lang w:val="es-ES"/>
        </w:rPr>
        <w:t xml:space="preserve">en la etapa de supervisión </w:t>
      </w:r>
      <w:r w:rsidR="00C54E42">
        <w:rPr>
          <w:rFonts w:ascii="Verdana" w:hAnsi="Verdana"/>
          <w:sz w:val="20"/>
          <w:lang w:val="es-ES"/>
        </w:rPr>
        <w:t>de cumplimiento, el Tribunal podría ordenar a</w:t>
      </w:r>
      <w:r w:rsidR="00920A22">
        <w:rPr>
          <w:rFonts w:ascii="Verdana" w:hAnsi="Verdana"/>
          <w:sz w:val="20"/>
          <w:lang w:val="es-ES"/>
        </w:rPr>
        <w:t xml:space="preserve">l Estado </w:t>
      </w:r>
      <w:r w:rsidR="00C54E42">
        <w:rPr>
          <w:rFonts w:ascii="Verdana" w:hAnsi="Verdana"/>
          <w:sz w:val="20"/>
          <w:lang w:val="es-ES"/>
        </w:rPr>
        <w:t xml:space="preserve">que reembolse a los representantes de las víctimas </w:t>
      </w:r>
      <w:r w:rsidR="00954A1C" w:rsidRPr="005F30BF">
        <w:rPr>
          <w:rFonts w:ascii="Verdana" w:hAnsi="Verdana"/>
          <w:sz w:val="20"/>
          <w:lang w:val="es-ES"/>
        </w:rPr>
        <w:t xml:space="preserve">los gastos </w:t>
      </w:r>
      <w:r w:rsidR="00C54E42">
        <w:rPr>
          <w:rFonts w:ascii="Verdana" w:hAnsi="Verdana"/>
          <w:sz w:val="20"/>
          <w:lang w:val="es-ES"/>
        </w:rPr>
        <w:t xml:space="preserve">razonables </w:t>
      </w:r>
      <w:r w:rsidR="00954A1C" w:rsidRPr="005F30BF">
        <w:rPr>
          <w:rFonts w:ascii="Verdana" w:hAnsi="Verdana"/>
          <w:sz w:val="20"/>
          <w:lang w:val="es-ES"/>
        </w:rPr>
        <w:t>en que incurri</w:t>
      </w:r>
      <w:r w:rsidR="00C54E42">
        <w:rPr>
          <w:rFonts w:ascii="Verdana" w:hAnsi="Verdana"/>
          <w:sz w:val="20"/>
          <w:lang w:val="es-ES"/>
        </w:rPr>
        <w:t>eren</w:t>
      </w:r>
      <w:r w:rsidR="00954A1C" w:rsidRPr="005F30BF">
        <w:rPr>
          <w:rFonts w:ascii="Verdana" w:hAnsi="Verdana"/>
          <w:sz w:val="20"/>
          <w:lang w:val="es-ES"/>
        </w:rPr>
        <w:t xml:space="preserve"> en </w:t>
      </w:r>
      <w:r w:rsidR="00C54E42">
        <w:rPr>
          <w:rFonts w:ascii="Verdana" w:hAnsi="Verdana"/>
          <w:sz w:val="20"/>
          <w:lang w:val="es-ES"/>
        </w:rPr>
        <w:t>dicha</w:t>
      </w:r>
      <w:r w:rsidR="00954A1C" w:rsidRPr="005F30BF">
        <w:rPr>
          <w:rFonts w:ascii="Verdana" w:hAnsi="Verdana"/>
          <w:sz w:val="20"/>
          <w:lang w:val="es-ES"/>
        </w:rPr>
        <w:t xml:space="preserve"> etapa</w:t>
      </w:r>
      <w:r w:rsidR="00954A1C">
        <w:rPr>
          <w:rStyle w:val="Refdenotaalpie"/>
          <w:rFonts w:ascii="Verdana" w:hAnsi="Verdana"/>
          <w:sz w:val="20"/>
          <w:lang w:val="es-ES"/>
        </w:rPr>
        <w:footnoteReference w:id="41"/>
      </w:r>
      <w:r w:rsidR="00954A1C" w:rsidRPr="005F30BF">
        <w:rPr>
          <w:rFonts w:ascii="Verdana" w:hAnsi="Verdana"/>
          <w:sz w:val="20"/>
          <w:lang w:val="es-ES"/>
        </w:rPr>
        <w:t xml:space="preserve">. </w:t>
      </w:r>
      <w:r w:rsidR="00920A22">
        <w:rPr>
          <w:rFonts w:ascii="Verdana" w:hAnsi="Verdana"/>
          <w:sz w:val="20"/>
          <w:lang w:val="es-ES"/>
        </w:rPr>
        <w:t>Por ello</w:t>
      </w:r>
      <w:r w:rsidR="00954A1C" w:rsidRPr="005F30BF">
        <w:rPr>
          <w:rFonts w:ascii="Verdana" w:hAnsi="Verdana"/>
          <w:sz w:val="20"/>
          <w:lang w:val="es-ES"/>
        </w:rPr>
        <w:t xml:space="preserve">, </w:t>
      </w:r>
      <w:r w:rsidR="002A26A8">
        <w:rPr>
          <w:rFonts w:ascii="Verdana" w:hAnsi="Verdana"/>
          <w:sz w:val="20"/>
          <w:lang w:val="es-ES"/>
        </w:rPr>
        <w:t xml:space="preserve">la Corte </w:t>
      </w:r>
      <w:r w:rsidR="005F30BF" w:rsidRPr="005F30BF">
        <w:rPr>
          <w:rFonts w:ascii="Verdana" w:hAnsi="Verdana"/>
          <w:sz w:val="20"/>
          <w:lang w:val="es-ES"/>
        </w:rPr>
        <w:t>no</w:t>
      </w:r>
      <w:r w:rsidR="00954A1C" w:rsidRPr="005F30BF">
        <w:rPr>
          <w:rFonts w:ascii="Verdana" w:hAnsi="Verdana"/>
          <w:sz w:val="20"/>
          <w:lang w:val="es-ES"/>
        </w:rPr>
        <w:t xml:space="preserve"> puede </w:t>
      </w:r>
      <w:r w:rsidR="002A26A8">
        <w:rPr>
          <w:rFonts w:ascii="Verdana" w:hAnsi="Verdana"/>
          <w:sz w:val="20"/>
          <w:lang w:val="es-ES"/>
        </w:rPr>
        <w:t>en esta etapa de supervisión de cumplimiento ordenar</w:t>
      </w:r>
      <w:r w:rsidR="00954A1C" w:rsidRPr="005F30BF">
        <w:rPr>
          <w:rFonts w:ascii="Verdana" w:hAnsi="Verdana"/>
          <w:sz w:val="20"/>
          <w:lang w:val="es-ES"/>
        </w:rPr>
        <w:t xml:space="preserve"> medidas adicionales a las ya </w:t>
      </w:r>
      <w:r w:rsidR="00C54E42">
        <w:rPr>
          <w:rFonts w:ascii="Verdana" w:hAnsi="Verdana"/>
          <w:sz w:val="20"/>
          <w:lang w:val="es-ES"/>
        </w:rPr>
        <w:t xml:space="preserve">determinadas </w:t>
      </w:r>
      <w:r w:rsidR="00954A1C" w:rsidRPr="005F30BF">
        <w:rPr>
          <w:rFonts w:ascii="Verdana" w:hAnsi="Verdana"/>
          <w:sz w:val="20"/>
          <w:lang w:val="es-ES"/>
        </w:rPr>
        <w:t>oportunamente en la Sentencia. Declarar procedente la referida</w:t>
      </w:r>
      <w:r w:rsidR="005F30BF" w:rsidRPr="005F30BF">
        <w:rPr>
          <w:rFonts w:ascii="Verdana" w:hAnsi="Verdana"/>
          <w:sz w:val="20"/>
          <w:lang w:val="es-ES"/>
        </w:rPr>
        <w:t xml:space="preserve"> </w:t>
      </w:r>
      <w:r w:rsidR="00954A1C" w:rsidRPr="005F30BF">
        <w:rPr>
          <w:rFonts w:ascii="Verdana" w:hAnsi="Verdana"/>
          <w:sz w:val="20"/>
          <w:lang w:val="es-ES"/>
        </w:rPr>
        <w:t xml:space="preserve">solicitud </w:t>
      </w:r>
      <w:r w:rsidR="005F30BF" w:rsidRPr="005F30BF">
        <w:rPr>
          <w:rFonts w:ascii="Verdana" w:hAnsi="Verdana"/>
          <w:sz w:val="20"/>
          <w:lang w:val="es-ES"/>
        </w:rPr>
        <w:t>conllevaría imponer al Perú</w:t>
      </w:r>
      <w:r w:rsidR="00954A1C" w:rsidRPr="005F30BF">
        <w:rPr>
          <w:rFonts w:ascii="Verdana" w:hAnsi="Verdana"/>
          <w:sz w:val="20"/>
          <w:lang w:val="es-ES"/>
        </w:rPr>
        <w:t xml:space="preserve"> una nueva obligación</w:t>
      </w:r>
      <w:r w:rsidR="005F30BF">
        <w:rPr>
          <w:rFonts w:ascii="Verdana" w:hAnsi="Verdana"/>
          <w:sz w:val="20"/>
          <w:lang w:val="es-ES"/>
        </w:rPr>
        <w:t xml:space="preserve"> </w:t>
      </w:r>
      <w:r w:rsidR="00954A1C" w:rsidRPr="005F30BF">
        <w:rPr>
          <w:rFonts w:ascii="Verdana" w:hAnsi="Verdana"/>
          <w:sz w:val="20"/>
          <w:lang w:val="es-ES"/>
        </w:rPr>
        <w:t>no dispuesta al ordenar las reparaciones en la Sentencia</w:t>
      </w:r>
      <w:r w:rsidR="005F30BF">
        <w:rPr>
          <w:rStyle w:val="Refdenotaalpie"/>
          <w:rFonts w:ascii="Verdana" w:hAnsi="Verdana"/>
          <w:sz w:val="20"/>
          <w:lang w:val="es-ES"/>
        </w:rPr>
        <w:footnoteReference w:id="42"/>
      </w:r>
      <w:r w:rsidR="00954A1C" w:rsidRPr="005F30BF">
        <w:rPr>
          <w:rFonts w:ascii="Verdana" w:hAnsi="Verdana"/>
          <w:sz w:val="20"/>
          <w:lang w:val="es-ES"/>
        </w:rPr>
        <w:t>.</w:t>
      </w:r>
      <w:r w:rsidR="002A26A8">
        <w:rPr>
          <w:rFonts w:ascii="Verdana" w:hAnsi="Verdana"/>
          <w:sz w:val="20"/>
          <w:lang w:val="es-ES"/>
        </w:rPr>
        <w:t xml:space="preserve"> No obstante, </w:t>
      </w:r>
      <w:r w:rsidR="00C54E42">
        <w:rPr>
          <w:rFonts w:ascii="Verdana" w:hAnsi="Verdana"/>
          <w:sz w:val="20"/>
          <w:lang w:val="es-ES"/>
        </w:rPr>
        <w:t xml:space="preserve">es preciso recordar que en la presente etapa de supervisión se brindó apoyo a la representante Feria Tinta a través del Fondo de Asistencia Legal de Víctimas </w:t>
      </w:r>
      <w:r w:rsidR="005F6683">
        <w:rPr>
          <w:rFonts w:ascii="Verdana" w:hAnsi="Verdana"/>
          <w:sz w:val="20"/>
          <w:lang w:val="es-ES"/>
        </w:rPr>
        <w:t xml:space="preserve">para </w:t>
      </w:r>
      <w:r w:rsidR="00C54E42">
        <w:rPr>
          <w:rFonts w:ascii="Verdana" w:hAnsi="Verdana"/>
          <w:sz w:val="20"/>
          <w:lang w:val="es-ES"/>
        </w:rPr>
        <w:t xml:space="preserve">que ella y otras víctimas pudieran </w:t>
      </w:r>
      <w:r w:rsidR="00DE4F33">
        <w:rPr>
          <w:rFonts w:ascii="Verdana" w:hAnsi="Verdana"/>
          <w:sz w:val="20"/>
          <w:lang w:val="es-ES"/>
        </w:rPr>
        <w:t xml:space="preserve">asistir a la audiencia de supervisión de cumplimiento </w:t>
      </w:r>
      <w:r w:rsidR="00C54E42">
        <w:rPr>
          <w:rFonts w:ascii="Verdana" w:hAnsi="Verdana"/>
          <w:sz w:val="20"/>
          <w:lang w:val="es-ES"/>
        </w:rPr>
        <w:t xml:space="preserve">que se realizó en </w:t>
      </w:r>
      <w:r w:rsidR="00DE4F33">
        <w:rPr>
          <w:rFonts w:ascii="Verdana" w:hAnsi="Verdana"/>
          <w:sz w:val="20"/>
          <w:lang w:val="es-ES"/>
        </w:rPr>
        <w:t>agosto de 2013 en la sede del Tribunal</w:t>
      </w:r>
      <w:r w:rsidR="005F6683">
        <w:rPr>
          <w:rFonts w:ascii="Verdana" w:hAnsi="Verdana"/>
          <w:sz w:val="20"/>
          <w:lang w:val="es-ES"/>
        </w:rPr>
        <w:t>”</w:t>
      </w:r>
      <w:r w:rsidR="005F6683">
        <w:rPr>
          <w:rStyle w:val="Refdenotaalpie"/>
          <w:rFonts w:ascii="Verdana" w:hAnsi="Verdana"/>
          <w:sz w:val="20"/>
          <w:lang w:val="es-ES"/>
        </w:rPr>
        <w:footnoteReference w:id="43"/>
      </w:r>
      <w:r w:rsidR="00A5452F">
        <w:rPr>
          <w:rFonts w:ascii="Verdana" w:hAnsi="Verdana"/>
          <w:sz w:val="20"/>
          <w:lang w:val="es-ES"/>
        </w:rPr>
        <w:t>.</w:t>
      </w:r>
      <w:r w:rsidR="005F6683">
        <w:rPr>
          <w:rFonts w:ascii="Verdana" w:hAnsi="Verdana"/>
          <w:sz w:val="20"/>
          <w:lang w:val="es-ES"/>
        </w:rPr>
        <w:t xml:space="preserve"> </w:t>
      </w:r>
    </w:p>
    <w:p w:rsidR="00A5452F" w:rsidRPr="00EA1E41" w:rsidRDefault="00A5452F" w:rsidP="00A5452F">
      <w:pPr>
        <w:pStyle w:val="Cuadrculamedia1-nfasis2"/>
        <w:tabs>
          <w:tab w:val="left" w:pos="567"/>
        </w:tabs>
        <w:ind w:left="0" w:right="48"/>
        <w:contextualSpacing/>
        <w:jc w:val="both"/>
        <w:rPr>
          <w:rFonts w:ascii="Verdana" w:hAnsi="Verdana"/>
          <w:sz w:val="20"/>
          <w:lang w:val="es-CR"/>
        </w:rPr>
      </w:pPr>
    </w:p>
    <w:p w:rsidR="0063202D" w:rsidRDefault="0063202D" w:rsidP="006E2A86">
      <w:pPr>
        <w:pStyle w:val="Cuadrculamedia1-nfasis2"/>
        <w:tabs>
          <w:tab w:val="left" w:pos="567"/>
        </w:tabs>
        <w:ind w:left="0" w:right="48"/>
        <w:contextualSpacing/>
        <w:jc w:val="both"/>
        <w:rPr>
          <w:rFonts w:ascii="Verdana" w:hAnsi="Verdana"/>
          <w:sz w:val="20"/>
          <w:lang w:val="es-ES"/>
        </w:rPr>
      </w:pPr>
    </w:p>
    <w:p w:rsidR="00A21504" w:rsidRPr="009C48D1" w:rsidRDefault="00A5452F" w:rsidP="00A21504">
      <w:pPr>
        <w:pStyle w:val="Cuadrculamedia1-nfasis2"/>
        <w:numPr>
          <w:ilvl w:val="0"/>
          <w:numId w:val="1"/>
        </w:numPr>
        <w:tabs>
          <w:tab w:val="left" w:pos="567"/>
        </w:tabs>
        <w:ind w:left="0" w:firstLine="0"/>
        <w:contextualSpacing/>
        <w:jc w:val="both"/>
        <w:rPr>
          <w:rFonts w:ascii="Verdana" w:hAnsi="Verdana"/>
          <w:sz w:val="20"/>
          <w:lang w:val="es-ES"/>
        </w:rPr>
      </w:pPr>
      <w:r>
        <w:rPr>
          <w:rFonts w:ascii="Verdana" w:hAnsi="Verdana"/>
          <w:sz w:val="20"/>
          <w:lang w:val="es-ES"/>
        </w:rPr>
        <w:t>Asimismo, s</w:t>
      </w:r>
      <w:r w:rsidR="00A21504">
        <w:rPr>
          <w:rFonts w:ascii="Verdana" w:hAnsi="Verdana"/>
          <w:sz w:val="20"/>
          <w:lang w:val="es-ES"/>
        </w:rPr>
        <w:t xml:space="preserve">i bien este Tribunal no puede ordenar en la presente etapa de supervisión una nueva medida de reparación a cargo del Estado, sí coincide con la interviniente común Feria Tinta en que el prolongado incumplimiento </w:t>
      </w:r>
      <w:r w:rsidR="00920A22">
        <w:rPr>
          <w:rFonts w:ascii="Verdana" w:hAnsi="Verdana"/>
          <w:sz w:val="20"/>
          <w:lang w:val="es-ES"/>
        </w:rPr>
        <w:t xml:space="preserve">de la Sentencia </w:t>
      </w:r>
      <w:r w:rsidR="00A21504">
        <w:rPr>
          <w:rFonts w:ascii="Verdana" w:hAnsi="Verdana"/>
          <w:sz w:val="20"/>
          <w:lang w:val="es-ES"/>
        </w:rPr>
        <w:t xml:space="preserve">por parte del Estado genera una situación grave y difícil, tanto para las víctimas y sus familiares como para </w:t>
      </w:r>
      <w:r>
        <w:rPr>
          <w:rFonts w:ascii="Verdana" w:hAnsi="Verdana"/>
          <w:sz w:val="20"/>
          <w:lang w:val="es-ES"/>
        </w:rPr>
        <w:t>el grupo de representantes e interviniente común</w:t>
      </w:r>
      <w:r w:rsidR="00D7215A">
        <w:rPr>
          <w:rFonts w:ascii="Verdana" w:hAnsi="Verdana"/>
          <w:sz w:val="20"/>
          <w:lang w:val="es-ES"/>
        </w:rPr>
        <w:t xml:space="preserve"> (</w:t>
      </w:r>
      <w:r w:rsidR="00D7215A">
        <w:rPr>
          <w:rFonts w:ascii="Verdana" w:hAnsi="Verdana"/>
          <w:i/>
          <w:sz w:val="20"/>
          <w:lang w:val="es-ES"/>
        </w:rPr>
        <w:t xml:space="preserve">supra </w:t>
      </w:r>
      <w:r w:rsidR="00D7215A">
        <w:rPr>
          <w:rFonts w:ascii="Verdana" w:hAnsi="Verdana"/>
          <w:sz w:val="20"/>
          <w:lang w:val="es-ES"/>
        </w:rPr>
        <w:t>Considerando 30)</w:t>
      </w:r>
      <w:r>
        <w:rPr>
          <w:rFonts w:ascii="Verdana" w:hAnsi="Verdana"/>
          <w:sz w:val="20"/>
          <w:lang w:val="es-ES"/>
        </w:rPr>
        <w:t xml:space="preserve"> </w:t>
      </w:r>
      <w:r w:rsidR="00A21504">
        <w:rPr>
          <w:rFonts w:ascii="Verdana" w:hAnsi="Verdana"/>
          <w:sz w:val="20"/>
          <w:lang w:val="es-ES"/>
        </w:rPr>
        <w:t xml:space="preserve">que no han recibido el reintegro de las costas y gastos que fueron ordenadas hace más de </w:t>
      </w:r>
      <w:r w:rsidR="005A5660">
        <w:rPr>
          <w:rFonts w:ascii="Verdana" w:hAnsi="Verdana"/>
          <w:sz w:val="20"/>
          <w:lang w:val="es-ES"/>
        </w:rPr>
        <w:t>diez</w:t>
      </w:r>
      <w:r w:rsidR="00A21504">
        <w:rPr>
          <w:rFonts w:ascii="Verdana" w:hAnsi="Verdana"/>
          <w:sz w:val="20"/>
          <w:lang w:val="es-ES"/>
        </w:rPr>
        <w:t xml:space="preserve"> años y cuyo cumplimiento debió haberse dado hace más de </w:t>
      </w:r>
      <w:r w:rsidR="005A5660">
        <w:rPr>
          <w:rFonts w:ascii="Verdana" w:hAnsi="Verdana"/>
          <w:sz w:val="20"/>
          <w:lang w:val="es-ES"/>
        </w:rPr>
        <w:t>nueve</w:t>
      </w:r>
      <w:r w:rsidR="00A21504">
        <w:rPr>
          <w:rFonts w:ascii="Verdana" w:hAnsi="Verdana"/>
          <w:sz w:val="20"/>
          <w:lang w:val="es-ES"/>
        </w:rPr>
        <w:t xml:space="preserve"> años (</w:t>
      </w:r>
      <w:r w:rsidR="005A5660">
        <w:rPr>
          <w:rFonts w:ascii="Verdana" w:hAnsi="Verdana"/>
          <w:i/>
          <w:sz w:val="20"/>
          <w:lang w:val="es-ES"/>
        </w:rPr>
        <w:t>supra</w:t>
      </w:r>
      <w:r w:rsidR="00A21504">
        <w:rPr>
          <w:rFonts w:ascii="Verdana" w:hAnsi="Verdana"/>
          <w:i/>
          <w:sz w:val="20"/>
          <w:lang w:val="es-ES"/>
        </w:rPr>
        <w:t xml:space="preserve"> </w:t>
      </w:r>
      <w:r w:rsidR="005A5660" w:rsidRPr="009C48D1">
        <w:rPr>
          <w:rFonts w:ascii="Verdana" w:hAnsi="Verdana"/>
          <w:sz w:val="20"/>
          <w:lang w:val="es-ES"/>
        </w:rPr>
        <w:t xml:space="preserve">Considerandos </w:t>
      </w:r>
      <w:r>
        <w:rPr>
          <w:rFonts w:ascii="Verdana" w:hAnsi="Verdana"/>
          <w:sz w:val="20"/>
          <w:lang w:val="es-ES"/>
        </w:rPr>
        <w:t>36 a</w:t>
      </w:r>
      <w:r w:rsidR="005A5660" w:rsidRPr="009C48D1">
        <w:rPr>
          <w:rFonts w:ascii="Verdana" w:hAnsi="Verdana"/>
          <w:sz w:val="20"/>
          <w:lang w:val="es-ES"/>
        </w:rPr>
        <w:t xml:space="preserve"> 3</w:t>
      </w:r>
      <w:r w:rsidR="00D41484">
        <w:rPr>
          <w:rFonts w:ascii="Verdana" w:hAnsi="Verdana"/>
          <w:sz w:val="20"/>
          <w:lang w:val="es-ES"/>
        </w:rPr>
        <w:t>8</w:t>
      </w:r>
      <w:r w:rsidR="00A21504" w:rsidRPr="009C48D1">
        <w:rPr>
          <w:rFonts w:ascii="Verdana" w:hAnsi="Verdana"/>
          <w:sz w:val="20"/>
          <w:lang w:val="es-ES"/>
        </w:rPr>
        <w:t>).</w:t>
      </w:r>
    </w:p>
    <w:p w:rsidR="00FE0A01" w:rsidRDefault="00FE0A01" w:rsidP="00D333AB">
      <w:pPr>
        <w:pStyle w:val="Textoindependiente"/>
        <w:tabs>
          <w:tab w:val="left" w:pos="360"/>
          <w:tab w:val="left" w:pos="567"/>
        </w:tabs>
        <w:spacing w:after="0"/>
        <w:rPr>
          <w:rFonts w:ascii="Verdana" w:hAnsi="Verdana"/>
          <w:b/>
          <w:sz w:val="20"/>
          <w:lang w:val="es-ES"/>
        </w:rPr>
      </w:pPr>
    </w:p>
    <w:p w:rsidR="006D0165" w:rsidRDefault="006D0165" w:rsidP="00D333AB">
      <w:pPr>
        <w:pStyle w:val="Textoindependiente"/>
        <w:tabs>
          <w:tab w:val="left" w:pos="360"/>
          <w:tab w:val="left" w:pos="567"/>
        </w:tabs>
        <w:spacing w:after="0"/>
        <w:rPr>
          <w:rFonts w:ascii="Verdana" w:hAnsi="Verdana"/>
          <w:b/>
          <w:sz w:val="20"/>
          <w:lang w:val="es-ES"/>
        </w:rPr>
      </w:pPr>
    </w:p>
    <w:p w:rsidR="00A535CF" w:rsidRDefault="00A535CF" w:rsidP="00D333AB">
      <w:pPr>
        <w:pStyle w:val="Textoindependiente"/>
        <w:tabs>
          <w:tab w:val="left" w:pos="360"/>
          <w:tab w:val="left" w:pos="567"/>
        </w:tabs>
        <w:spacing w:after="0"/>
        <w:rPr>
          <w:rFonts w:ascii="Verdana" w:hAnsi="Verdana"/>
          <w:b/>
          <w:sz w:val="20"/>
          <w:lang w:val="es-ES"/>
        </w:rPr>
      </w:pPr>
    </w:p>
    <w:p w:rsidR="00A535CF" w:rsidRDefault="00A535CF" w:rsidP="00D333AB">
      <w:pPr>
        <w:pStyle w:val="Textoindependiente"/>
        <w:tabs>
          <w:tab w:val="left" w:pos="360"/>
          <w:tab w:val="left" w:pos="567"/>
        </w:tabs>
        <w:spacing w:after="0"/>
        <w:rPr>
          <w:rFonts w:ascii="Verdana" w:hAnsi="Verdana"/>
          <w:b/>
          <w:sz w:val="20"/>
          <w:lang w:val="es-ES"/>
        </w:rPr>
      </w:pPr>
    </w:p>
    <w:p w:rsidR="00C01116" w:rsidRPr="00301F84" w:rsidRDefault="00C01116" w:rsidP="00D333AB">
      <w:pPr>
        <w:pStyle w:val="Textoindependiente"/>
        <w:tabs>
          <w:tab w:val="left" w:pos="360"/>
          <w:tab w:val="left" w:pos="567"/>
        </w:tabs>
        <w:spacing w:after="0"/>
        <w:rPr>
          <w:rFonts w:ascii="Verdana" w:hAnsi="Verdana"/>
          <w:b/>
          <w:sz w:val="20"/>
        </w:rPr>
      </w:pPr>
      <w:r w:rsidRPr="009C48D1">
        <w:rPr>
          <w:rFonts w:ascii="Verdana" w:hAnsi="Verdana"/>
          <w:b/>
          <w:sz w:val="20"/>
        </w:rPr>
        <w:t>POR</w:t>
      </w:r>
      <w:r w:rsidRPr="00301F84">
        <w:rPr>
          <w:rFonts w:ascii="Verdana" w:hAnsi="Verdana"/>
          <w:b/>
          <w:sz w:val="20"/>
        </w:rPr>
        <w:t xml:space="preserve"> TANTO:</w:t>
      </w:r>
    </w:p>
    <w:p w:rsidR="00C01116" w:rsidRPr="00301F84" w:rsidRDefault="00C01116" w:rsidP="00D333AB">
      <w:pPr>
        <w:pStyle w:val="Textoindependiente"/>
        <w:tabs>
          <w:tab w:val="left" w:pos="360"/>
          <w:tab w:val="left" w:pos="567"/>
        </w:tabs>
        <w:spacing w:after="0"/>
        <w:rPr>
          <w:rFonts w:ascii="Verdana" w:hAnsi="Verdana"/>
          <w:b/>
          <w:sz w:val="20"/>
        </w:rPr>
      </w:pPr>
    </w:p>
    <w:p w:rsidR="00C01116" w:rsidRPr="00301F84" w:rsidRDefault="00C01116" w:rsidP="00D333AB">
      <w:pPr>
        <w:pStyle w:val="Textoindependiente"/>
        <w:tabs>
          <w:tab w:val="left" w:pos="360"/>
          <w:tab w:val="left" w:pos="567"/>
        </w:tabs>
        <w:spacing w:after="0"/>
        <w:rPr>
          <w:rFonts w:ascii="Verdana" w:hAnsi="Verdana"/>
          <w:b/>
          <w:sz w:val="20"/>
        </w:rPr>
      </w:pPr>
      <w:r w:rsidRPr="00301F84">
        <w:rPr>
          <w:rFonts w:ascii="Verdana" w:hAnsi="Verdana"/>
          <w:b/>
          <w:sz w:val="20"/>
        </w:rPr>
        <w:t>LA CORTE INTERAMERICANA DE DERECHOS HUMANOS,</w:t>
      </w:r>
    </w:p>
    <w:p w:rsidR="00DE4552" w:rsidRPr="00301F84" w:rsidRDefault="00DE4552" w:rsidP="00D333AB">
      <w:pPr>
        <w:pStyle w:val="Textoindependiente"/>
        <w:tabs>
          <w:tab w:val="left" w:pos="360"/>
          <w:tab w:val="left" w:pos="567"/>
        </w:tabs>
        <w:spacing w:after="0"/>
        <w:rPr>
          <w:rFonts w:ascii="Verdana" w:hAnsi="Verdana"/>
          <w:b/>
          <w:sz w:val="20"/>
        </w:rPr>
      </w:pPr>
    </w:p>
    <w:p w:rsidR="00C01116" w:rsidRPr="00301F84" w:rsidRDefault="00C01116" w:rsidP="00D333AB">
      <w:pPr>
        <w:tabs>
          <w:tab w:val="left" w:pos="567"/>
        </w:tabs>
        <w:jc w:val="both"/>
        <w:rPr>
          <w:rFonts w:ascii="Verdana" w:hAnsi="Verdana"/>
          <w:sz w:val="20"/>
        </w:rPr>
      </w:pPr>
      <w:proofErr w:type="gramStart"/>
      <w:r w:rsidRPr="00301F84">
        <w:rPr>
          <w:rFonts w:ascii="Verdana" w:hAnsi="Verdana"/>
          <w:sz w:val="20"/>
        </w:rPr>
        <w:t>en</w:t>
      </w:r>
      <w:proofErr w:type="gramEnd"/>
      <w:r w:rsidRPr="00301F84">
        <w:rPr>
          <w:rFonts w:ascii="Verdana" w:hAnsi="Verdana"/>
          <w:sz w:val="20"/>
        </w:rPr>
        <w:t xml:space="preserve"> el ejercicio de sus atribuciones de supervisión del cumplimiento de sus decisiones</w:t>
      </w:r>
      <w:r w:rsidR="00DE4552" w:rsidRPr="00301F84">
        <w:rPr>
          <w:rFonts w:ascii="Verdana" w:hAnsi="Verdana"/>
          <w:sz w:val="20"/>
        </w:rPr>
        <w:t xml:space="preserve"> y</w:t>
      </w:r>
      <w:r w:rsidRPr="00301F84">
        <w:rPr>
          <w:rFonts w:ascii="Verdana" w:hAnsi="Verdana"/>
          <w:sz w:val="20"/>
        </w:rPr>
        <w:t xml:space="preserve"> de conformidad con los artículos 33, 62.1, 62.3,</w:t>
      </w:r>
      <w:r w:rsidR="00F41D4E">
        <w:rPr>
          <w:rFonts w:ascii="Verdana" w:hAnsi="Verdana"/>
          <w:sz w:val="20"/>
        </w:rPr>
        <w:t xml:space="preserve"> 65, 67</w:t>
      </w:r>
      <w:r w:rsidRPr="00301F84">
        <w:rPr>
          <w:rFonts w:ascii="Verdana" w:hAnsi="Verdana"/>
          <w:sz w:val="20"/>
        </w:rPr>
        <w:t xml:space="preserve"> y 68.1 de la Convención Ameri</w:t>
      </w:r>
      <w:r w:rsidR="004D5E56">
        <w:rPr>
          <w:rFonts w:ascii="Verdana" w:hAnsi="Verdana"/>
          <w:sz w:val="20"/>
        </w:rPr>
        <w:t xml:space="preserve">cana sobre Derechos Humanos, 24, 25 </w:t>
      </w:r>
      <w:r w:rsidRPr="00301F84">
        <w:rPr>
          <w:rFonts w:ascii="Verdana" w:hAnsi="Verdana"/>
          <w:sz w:val="20"/>
        </w:rPr>
        <w:t>y 30 del Estatuto, y 31.2 y 69 de su Reglamento,</w:t>
      </w:r>
    </w:p>
    <w:p w:rsidR="00C01116" w:rsidRDefault="00C01116" w:rsidP="00D333AB">
      <w:pPr>
        <w:tabs>
          <w:tab w:val="left" w:pos="567"/>
        </w:tabs>
        <w:jc w:val="both"/>
        <w:rPr>
          <w:rFonts w:ascii="Verdana" w:hAnsi="Verdana"/>
          <w:sz w:val="20"/>
        </w:rPr>
      </w:pPr>
    </w:p>
    <w:p w:rsidR="006D0165" w:rsidRPr="00301F84" w:rsidRDefault="006D0165" w:rsidP="00D333AB">
      <w:pPr>
        <w:tabs>
          <w:tab w:val="left" w:pos="567"/>
        </w:tabs>
        <w:jc w:val="both"/>
        <w:rPr>
          <w:rFonts w:ascii="Verdana" w:hAnsi="Verdana"/>
          <w:sz w:val="20"/>
        </w:rPr>
      </w:pPr>
    </w:p>
    <w:p w:rsidR="00C01116" w:rsidRPr="00301F84" w:rsidRDefault="00B910F5" w:rsidP="00D333AB">
      <w:pPr>
        <w:tabs>
          <w:tab w:val="left" w:pos="567"/>
        </w:tabs>
        <w:jc w:val="both"/>
        <w:rPr>
          <w:rFonts w:ascii="Verdana" w:hAnsi="Verdana"/>
          <w:b/>
          <w:sz w:val="20"/>
        </w:rPr>
      </w:pPr>
      <w:r w:rsidRPr="00301F84">
        <w:rPr>
          <w:rFonts w:ascii="Verdana" w:hAnsi="Verdana"/>
          <w:b/>
          <w:sz w:val="20"/>
        </w:rPr>
        <w:t>RESUELVE</w:t>
      </w:r>
      <w:r w:rsidR="00C01116" w:rsidRPr="00301F84">
        <w:rPr>
          <w:rFonts w:ascii="Verdana" w:hAnsi="Verdana"/>
          <w:b/>
          <w:sz w:val="20"/>
        </w:rPr>
        <w:t>:</w:t>
      </w:r>
    </w:p>
    <w:p w:rsidR="00C01116" w:rsidRPr="00301F84" w:rsidRDefault="00C01116" w:rsidP="00D333AB">
      <w:pPr>
        <w:tabs>
          <w:tab w:val="left" w:pos="567"/>
        </w:tabs>
        <w:jc w:val="both"/>
        <w:rPr>
          <w:rFonts w:ascii="Verdana" w:hAnsi="Verdana"/>
          <w:sz w:val="20"/>
        </w:rPr>
      </w:pPr>
    </w:p>
    <w:p w:rsidR="00705398" w:rsidRDefault="00705398" w:rsidP="00D333AB">
      <w:pPr>
        <w:pStyle w:val="Listamedia2-nfasis4"/>
        <w:numPr>
          <w:ilvl w:val="0"/>
          <w:numId w:val="5"/>
        </w:numPr>
        <w:tabs>
          <w:tab w:val="left" w:pos="567"/>
          <w:tab w:val="left" w:pos="851"/>
        </w:tabs>
        <w:ind w:left="0" w:firstLine="0"/>
        <w:jc w:val="both"/>
        <w:rPr>
          <w:rFonts w:ascii="Verdana" w:hAnsi="Verdana"/>
          <w:sz w:val="20"/>
        </w:rPr>
      </w:pPr>
      <w:r>
        <w:rPr>
          <w:rFonts w:ascii="Verdana" w:hAnsi="Verdana"/>
          <w:sz w:val="20"/>
        </w:rPr>
        <w:t xml:space="preserve">Declarar, de conformidad con lo señalado en los Considerandos 27 a 29 de la presente Resolución, </w:t>
      </w:r>
      <w:r w:rsidR="00920A22">
        <w:rPr>
          <w:rFonts w:ascii="Verdana" w:hAnsi="Verdana"/>
          <w:sz w:val="20"/>
        </w:rPr>
        <w:t xml:space="preserve">que </w:t>
      </w:r>
      <w:r w:rsidR="00920A22" w:rsidRPr="00C453EC">
        <w:rPr>
          <w:rFonts w:ascii="Verdana" w:hAnsi="Verdana"/>
          <w:sz w:val="20"/>
        </w:rPr>
        <w:t xml:space="preserve">el Estado ha dado cumplimiento </w:t>
      </w:r>
      <w:r w:rsidR="00920A22">
        <w:rPr>
          <w:rFonts w:ascii="Verdana" w:hAnsi="Verdana"/>
          <w:sz w:val="20"/>
        </w:rPr>
        <w:t xml:space="preserve">parcial </w:t>
      </w:r>
      <w:r w:rsidR="00920A22" w:rsidRPr="00C453EC">
        <w:rPr>
          <w:rFonts w:ascii="Verdana" w:hAnsi="Verdana"/>
          <w:sz w:val="20"/>
        </w:rPr>
        <w:t xml:space="preserve">a </w:t>
      </w:r>
      <w:r w:rsidR="00920A22">
        <w:rPr>
          <w:rFonts w:ascii="Verdana" w:hAnsi="Verdana"/>
          <w:sz w:val="20"/>
        </w:rPr>
        <w:t xml:space="preserve">las </w:t>
      </w:r>
      <w:r w:rsidR="00920A22" w:rsidRPr="00F637A8">
        <w:rPr>
          <w:rFonts w:ascii="Verdana" w:hAnsi="Verdana"/>
          <w:color w:val="000000"/>
          <w:sz w:val="20"/>
        </w:rPr>
        <w:t>medida</w:t>
      </w:r>
      <w:r w:rsidR="00920A22">
        <w:rPr>
          <w:rFonts w:ascii="Verdana" w:hAnsi="Verdana"/>
          <w:color w:val="000000"/>
          <w:sz w:val="20"/>
        </w:rPr>
        <w:t>s ordenadas en el punto resolutivo décimo séptimo de la Sentencia, ya que cumplió con</w:t>
      </w:r>
      <w:r w:rsidR="00920A22">
        <w:rPr>
          <w:rFonts w:ascii="Verdana" w:hAnsi="Verdana"/>
          <w:sz w:val="20"/>
        </w:rPr>
        <w:t xml:space="preserve"> </w:t>
      </w:r>
      <w:r w:rsidR="00920A22" w:rsidRPr="00437C7B">
        <w:rPr>
          <w:rFonts w:ascii="Verdana" w:hAnsi="Verdana"/>
          <w:sz w:val="20"/>
        </w:rPr>
        <w:t>publicar en el Diario Oficial y en otro</w:t>
      </w:r>
      <w:r w:rsidR="00920A22">
        <w:rPr>
          <w:rFonts w:ascii="Verdana" w:hAnsi="Verdana"/>
          <w:sz w:val="20"/>
        </w:rPr>
        <w:t xml:space="preserve"> </w:t>
      </w:r>
      <w:r w:rsidR="00920A22" w:rsidRPr="00437C7B">
        <w:rPr>
          <w:rFonts w:ascii="Verdana" w:hAnsi="Verdana"/>
          <w:sz w:val="20"/>
        </w:rPr>
        <w:t>diario de amplia circulación nacional, por una sola v</w:t>
      </w:r>
      <w:r w:rsidR="00920A22">
        <w:rPr>
          <w:rFonts w:ascii="Verdana" w:hAnsi="Verdana"/>
          <w:sz w:val="20"/>
        </w:rPr>
        <w:t>ez, el capítulo relativo a los h</w:t>
      </w:r>
      <w:r w:rsidR="00920A22" w:rsidRPr="00437C7B">
        <w:rPr>
          <w:rFonts w:ascii="Verdana" w:hAnsi="Verdana"/>
          <w:sz w:val="20"/>
        </w:rPr>
        <w:t>echos probados</w:t>
      </w:r>
      <w:r w:rsidR="00920A22">
        <w:rPr>
          <w:rFonts w:ascii="Verdana" w:hAnsi="Verdana"/>
          <w:sz w:val="20"/>
        </w:rPr>
        <w:t xml:space="preserve"> </w:t>
      </w:r>
      <w:r w:rsidR="00920A22" w:rsidRPr="00437C7B">
        <w:rPr>
          <w:rFonts w:ascii="Verdana" w:hAnsi="Verdana"/>
          <w:sz w:val="20"/>
        </w:rPr>
        <w:t xml:space="preserve">de </w:t>
      </w:r>
      <w:r w:rsidR="00920A22">
        <w:rPr>
          <w:rFonts w:ascii="Verdana" w:hAnsi="Verdana"/>
          <w:sz w:val="20"/>
        </w:rPr>
        <w:t>la</w:t>
      </w:r>
      <w:r w:rsidR="00920A22" w:rsidRPr="00437C7B">
        <w:rPr>
          <w:rFonts w:ascii="Verdana" w:hAnsi="Verdana"/>
          <w:sz w:val="20"/>
        </w:rPr>
        <w:t xml:space="preserve"> Sentencia, sin las notas al pie de página, y la parte resolutiva de </w:t>
      </w:r>
      <w:r w:rsidR="00920A22">
        <w:rPr>
          <w:rFonts w:ascii="Verdana" w:hAnsi="Verdana"/>
          <w:sz w:val="20"/>
        </w:rPr>
        <w:t xml:space="preserve">la misma y continúa pendiente de cumplimiento </w:t>
      </w:r>
      <w:r w:rsidR="00920A22" w:rsidRPr="00437C7B">
        <w:rPr>
          <w:rFonts w:ascii="Verdana" w:hAnsi="Verdana"/>
          <w:sz w:val="20"/>
        </w:rPr>
        <w:t>difundir las referidas partes de la</w:t>
      </w:r>
      <w:r w:rsidR="00920A22">
        <w:rPr>
          <w:rFonts w:ascii="Verdana" w:hAnsi="Verdana"/>
          <w:sz w:val="20"/>
        </w:rPr>
        <w:t xml:space="preserve"> </w:t>
      </w:r>
      <w:r w:rsidR="00920A22" w:rsidRPr="00437C7B">
        <w:rPr>
          <w:rFonts w:ascii="Verdana" w:hAnsi="Verdana"/>
          <w:sz w:val="20"/>
        </w:rPr>
        <w:t>Sentencia a través de una emisora radial y un</w:t>
      </w:r>
      <w:r w:rsidR="00920A22">
        <w:rPr>
          <w:rFonts w:ascii="Verdana" w:hAnsi="Verdana"/>
          <w:sz w:val="20"/>
        </w:rPr>
        <w:t xml:space="preserve"> </w:t>
      </w:r>
      <w:r w:rsidR="00920A22" w:rsidRPr="00437C7B">
        <w:rPr>
          <w:rFonts w:ascii="Verdana" w:hAnsi="Verdana"/>
          <w:sz w:val="20"/>
        </w:rPr>
        <w:t>canal de televisión, ambos de amplia cobertura nacional, al menos en dos ocasiones con un</w:t>
      </w:r>
      <w:r w:rsidR="00920A22">
        <w:rPr>
          <w:rFonts w:ascii="Verdana" w:hAnsi="Verdana"/>
          <w:sz w:val="20"/>
        </w:rPr>
        <w:t xml:space="preserve"> </w:t>
      </w:r>
      <w:r w:rsidR="00920A22" w:rsidRPr="00437C7B">
        <w:rPr>
          <w:rFonts w:ascii="Verdana" w:hAnsi="Verdana"/>
          <w:sz w:val="20"/>
        </w:rPr>
        <w:t>intervalo de dos semanas entre cada una</w:t>
      </w:r>
      <w:r w:rsidR="00920A22">
        <w:rPr>
          <w:rFonts w:ascii="Verdana" w:hAnsi="Verdana"/>
          <w:sz w:val="20"/>
        </w:rPr>
        <w:t>, ordenadas en el mismo punto resolutivo.</w:t>
      </w:r>
    </w:p>
    <w:p w:rsidR="006F5E9B" w:rsidRDefault="006F5E9B" w:rsidP="00705398">
      <w:pPr>
        <w:pStyle w:val="Listamedia2-nfasis4"/>
        <w:tabs>
          <w:tab w:val="left" w:pos="567"/>
          <w:tab w:val="left" w:pos="851"/>
        </w:tabs>
        <w:ind w:left="0"/>
        <w:jc w:val="both"/>
        <w:rPr>
          <w:rFonts w:ascii="Verdana" w:hAnsi="Verdana"/>
          <w:sz w:val="20"/>
        </w:rPr>
      </w:pPr>
    </w:p>
    <w:p w:rsidR="007A021D" w:rsidRPr="00301F84" w:rsidRDefault="00B011C0" w:rsidP="00D333AB">
      <w:pPr>
        <w:pStyle w:val="Listamedia2-nfasis4"/>
        <w:numPr>
          <w:ilvl w:val="0"/>
          <w:numId w:val="5"/>
        </w:numPr>
        <w:tabs>
          <w:tab w:val="left" w:pos="567"/>
          <w:tab w:val="left" w:pos="851"/>
        </w:tabs>
        <w:ind w:left="0" w:firstLine="0"/>
        <w:jc w:val="both"/>
        <w:rPr>
          <w:rFonts w:ascii="Verdana" w:hAnsi="Verdana"/>
          <w:sz w:val="20"/>
        </w:rPr>
      </w:pPr>
      <w:r w:rsidRPr="00301F84">
        <w:rPr>
          <w:rFonts w:ascii="Verdana" w:hAnsi="Verdana"/>
          <w:sz w:val="20"/>
        </w:rPr>
        <w:t>Q</w:t>
      </w:r>
      <w:r w:rsidR="007838C4" w:rsidRPr="00301F84">
        <w:rPr>
          <w:rFonts w:ascii="Verdana" w:hAnsi="Verdana"/>
          <w:sz w:val="20"/>
        </w:rPr>
        <w:t>ue</w:t>
      </w:r>
      <w:r w:rsidR="00694FEF" w:rsidRPr="00301F84">
        <w:rPr>
          <w:rFonts w:ascii="Verdana" w:hAnsi="Verdana"/>
          <w:sz w:val="20"/>
        </w:rPr>
        <w:t xml:space="preserve"> constituye un </w:t>
      </w:r>
      <w:r w:rsidR="00694FEF" w:rsidRPr="00301F84">
        <w:rPr>
          <w:rFonts w:ascii="Verdana" w:hAnsi="Verdana" w:cs="Arial"/>
          <w:sz w:val="20"/>
        </w:rPr>
        <w:t>grave incumplimiento de las obligaciones convencionales</w:t>
      </w:r>
      <w:r w:rsidRPr="00301F84">
        <w:rPr>
          <w:rFonts w:ascii="Verdana" w:hAnsi="Verdana" w:cs="Arial"/>
          <w:sz w:val="20"/>
        </w:rPr>
        <w:t xml:space="preserve"> que</w:t>
      </w:r>
      <w:r w:rsidR="00B34244" w:rsidRPr="00301F84">
        <w:rPr>
          <w:rFonts w:ascii="Verdana" w:hAnsi="Verdana"/>
          <w:sz w:val="20"/>
        </w:rPr>
        <w:t xml:space="preserve"> </w:t>
      </w:r>
      <w:r w:rsidR="00A06221" w:rsidRPr="00301F84">
        <w:rPr>
          <w:rFonts w:ascii="Verdana" w:hAnsi="Verdana"/>
          <w:sz w:val="20"/>
        </w:rPr>
        <w:t xml:space="preserve">el Perú </w:t>
      </w:r>
      <w:r w:rsidR="00B34244" w:rsidRPr="00301F84">
        <w:rPr>
          <w:rFonts w:ascii="Verdana" w:hAnsi="Verdana"/>
          <w:sz w:val="20"/>
        </w:rPr>
        <w:t>continú</w:t>
      </w:r>
      <w:r w:rsidR="005A4CB7" w:rsidRPr="00301F84">
        <w:rPr>
          <w:rFonts w:ascii="Verdana" w:hAnsi="Verdana"/>
          <w:sz w:val="20"/>
        </w:rPr>
        <w:t>e</w:t>
      </w:r>
      <w:r w:rsidR="00B34244" w:rsidRPr="00301F84">
        <w:rPr>
          <w:rFonts w:ascii="Verdana" w:hAnsi="Verdana"/>
          <w:sz w:val="20"/>
        </w:rPr>
        <w:t xml:space="preserve"> sin </w:t>
      </w:r>
      <w:r w:rsidR="009D3782" w:rsidRPr="00301F84">
        <w:rPr>
          <w:rFonts w:ascii="Verdana" w:hAnsi="Verdana"/>
          <w:sz w:val="20"/>
        </w:rPr>
        <w:t>ejecutar</w:t>
      </w:r>
      <w:r w:rsidR="00B34244" w:rsidRPr="00301F84">
        <w:rPr>
          <w:rFonts w:ascii="Verdana" w:hAnsi="Verdana"/>
          <w:sz w:val="20"/>
        </w:rPr>
        <w:t xml:space="preserve"> las </w:t>
      </w:r>
      <w:r w:rsidR="00705398">
        <w:rPr>
          <w:rFonts w:ascii="Verdana" w:hAnsi="Verdana"/>
          <w:sz w:val="20"/>
        </w:rPr>
        <w:t xml:space="preserve">demás </w:t>
      </w:r>
      <w:r w:rsidR="00B34244" w:rsidRPr="00301F84">
        <w:rPr>
          <w:rFonts w:ascii="Verdana" w:hAnsi="Verdana"/>
          <w:sz w:val="20"/>
        </w:rPr>
        <w:t>reparaciones ordenadas en la Sentencia</w:t>
      </w:r>
      <w:r w:rsidR="00A367E8" w:rsidRPr="00301F84">
        <w:rPr>
          <w:rFonts w:ascii="Verdana" w:hAnsi="Verdana"/>
          <w:sz w:val="20"/>
        </w:rPr>
        <w:t xml:space="preserve"> emitida el 25 de noviembre de</w:t>
      </w:r>
      <w:r w:rsidR="00B34244" w:rsidRPr="00301F84">
        <w:rPr>
          <w:rFonts w:ascii="Verdana" w:hAnsi="Verdana"/>
          <w:sz w:val="20"/>
        </w:rPr>
        <w:t xml:space="preserve"> 2006</w:t>
      </w:r>
      <w:r w:rsidR="00A06221" w:rsidRPr="00301F84">
        <w:rPr>
          <w:rFonts w:ascii="Verdana" w:hAnsi="Verdana"/>
          <w:sz w:val="20"/>
        </w:rPr>
        <w:t xml:space="preserve"> </w:t>
      </w:r>
      <w:r w:rsidR="007A021D" w:rsidRPr="00301F84">
        <w:rPr>
          <w:rFonts w:ascii="Verdana" w:hAnsi="Verdana"/>
          <w:sz w:val="20"/>
        </w:rPr>
        <w:t>y</w:t>
      </w:r>
      <w:r w:rsidR="009D3782" w:rsidRPr="00301F84">
        <w:rPr>
          <w:rFonts w:ascii="Verdana" w:hAnsi="Verdana"/>
          <w:sz w:val="20"/>
        </w:rPr>
        <w:t xml:space="preserve"> sin </w:t>
      </w:r>
      <w:r w:rsidR="007A021D" w:rsidRPr="00301F84">
        <w:rPr>
          <w:rFonts w:ascii="Verdana" w:hAnsi="Verdana"/>
          <w:sz w:val="20"/>
        </w:rPr>
        <w:t xml:space="preserve">informar </w:t>
      </w:r>
      <w:r w:rsidR="006754B7" w:rsidRPr="00301F84">
        <w:rPr>
          <w:rFonts w:ascii="Verdana" w:hAnsi="Verdana"/>
          <w:sz w:val="20"/>
        </w:rPr>
        <w:t>adecuadamente</w:t>
      </w:r>
      <w:r w:rsidR="007A021D" w:rsidRPr="00301F84">
        <w:rPr>
          <w:rFonts w:ascii="Verdana" w:hAnsi="Verdana"/>
          <w:sz w:val="20"/>
        </w:rPr>
        <w:t xml:space="preserve">, de acuerdo a lo indicado en los Considerandos </w:t>
      </w:r>
      <w:r w:rsidR="00705398">
        <w:rPr>
          <w:rFonts w:ascii="Verdana" w:hAnsi="Verdana"/>
          <w:sz w:val="20"/>
        </w:rPr>
        <w:t>1</w:t>
      </w:r>
      <w:r w:rsidR="00EB1A37">
        <w:rPr>
          <w:rFonts w:ascii="Verdana" w:hAnsi="Verdana"/>
          <w:sz w:val="20"/>
        </w:rPr>
        <w:t>4</w:t>
      </w:r>
      <w:r w:rsidR="00623E9E" w:rsidRPr="00301F84">
        <w:rPr>
          <w:rFonts w:ascii="Verdana" w:hAnsi="Verdana"/>
          <w:sz w:val="20"/>
        </w:rPr>
        <w:t xml:space="preserve"> a </w:t>
      </w:r>
      <w:r w:rsidR="0031065A">
        <w:rPr>
          <w:rFonts w:ascii="Verdana" w:hAnsi="Verdana"/>
          <w:sz w:val="20"/>
        </w:rPr>
        <w:t>18, 22 a 24,</w:t>
      </w:r>
      <w:r w:rsidR="00705398">
        <w:rPr>
          <w:rFonts w:ascii="Verdana" w:hAnsi="Verdana"/>
          <w:sz w:val="20"/>
        </w:rPr>
        <w:t xml:space="preserve"> 30 a 39</w:t>
      </w:r>
      <w:r w:rsidR="0031065A">
        <w:rPr>
          <w:rFonts w:ascii="Verdana" w:hAnsi="Verdana"/>
          <w:sz w:val="20"/>
        </w:rPr>
        <w:t xml:space="preserve"> y 42</w:t>
      </w:r>
      <w:r w:rsidR="00623E9E" w:rsidRPr="00301F84">
        <w:rPr>
          <w:rFonts w:ascii="Verdana" w:hAnsi="Verdana"/>
          <w:sz w:val="20"/>
        </w:rPr>
        <w:t xml:space="preserve"> </w:t>
      </w:r>
      <w:r w:rsidR="007A021D" w:rsidRPr="00301F84">
        <w:rPr>
          <w:rFonts w:ascii="Verdana" w:hAnsi="Verdana"/>
          <w:sz w:val="20"/>
        </w:rPr>
        <w:t xml:space="preserve">de la presente Resolución. </w:t>
      </w:r>
    </w:p>
    <w:p w:rsidR="006F5E9B" w:rsidRPr="00301F84" w:rsidRDefault="006F5E9B" w:rsidP="00D333AB">
      <w:pPr>
        <w:pStyle w:val="Listamedia2-nfasis4"/>
        <w:tabs>
          <w:tab w:val="left" w:pos="567"/>
          <w:tab w:val="left" w:pos="851"/>
        </w:tabs>
        <w:ind w:left="0"/>
        <w:jc w:val="both"/>
        <w:rPr>
          <w:rFonts w:ascii="Verdana" w:hAnsi="Verdana"/>
          <w:sz w:val="20"/>
        </w:rPr>
      </w:pPr>
    </w:p>
    <w:p w:rsidR="00C01116" w:rsidRPr="005E75C8" w:rsidRDefault="00B910F5" w:rsidP="00D333AB">
      <w:pPr>
        <w:pStyle w:val="Listamedia2-nfasis4"/>
        <w:numPr>
          <w:ilvl w:val="0"/>
          <w:numId w:val="5"/>
        </w:numPr>
        <w:tabs>
          <w:tab w:val="left" w:pos="567"/>
          <w:tab w:val="left" w:pos="851"/>
        </w:tabs>
        <w:ind w:left="0" w:firstLine="0"/>
        <w:jc w:val="both"/>
        <w:rPr>
          <w:rFonts w:ascii="Verdana" w:hAnsi="Verdana"/>
          <w:sz w:val="20"/>
        </w:rPr>
      </w:pPr>
      <w:r w:rsidRPr="00301F84">
        <w:rPr>
          <w:rFonts w:ascii="Verdana" w:hAnsi="Verdana"/>
          <w:sz w:val="20"/>
        </w:rPr>
        <w:t>Mantener</w:t>
      </w:r>
      <w:r w:rsidR="00C01116" w:rsidRPr="00301F84">
        <w:rPr>
          <w:rFonts w:ascii="Verdana" w:hAnsi="Verdana"/>
          <w:sz w:val="20"/>
        </w:rPr>
        <w:t xml:space="preserve"> abierto el procedimiento </w:t>
      </w:r>
      <w:r w:rsidR="00C01116" w:rsidRPr="005E75C8">
        <w:rPr>
          <w:rFonts w:ascii="Verdana" w:hAnsi="Verdana"/>
          <w:sz w:val="20"/>
        </w:rPr>
        <w:t xml:space="preserve">de supervisión de cumplimiento respecto de </w:t>
      </w:r>
      <w:r w:rsidR="0015725B" w:rsidRPr="005E75C8">
        <w:rPr>
          <w:rFonts w:ascii="Verdana" w:hAnsi="Verdana"/>
          <w:sz w:val="20"/>
        </w:rPr>
        <w:t xml:space="preserve">todas las medidas de reparación ordenadas en </w:t>
      </w:r>
      <w:r w:rsidR="00B446BC" w:rsidRPr="005E75C8">
        <w:rPr>
          <w:rFonts w:ascii="Verdana" w:hAnsi="Verdana"/>
          <w:sz w:val="20"/>
        </w:rPr>
        <w:t>la Sentencia</w:t>
      </w:r>
      <w:r w:rsidR="005A4CB7" w:rsidRPr="005E75C8">
        <w:rPr>
          <w:rFonts w:ascii="Verdana" w:hAnsi="Verdana"/>
          <w:sz w:val="20"/>
        </w:rPr>
        <w:t>.</w:t>
      </w:r>
    </w:p>
    <w:p w:rsidR="006F5E9B" w:rsidRPr="005E75C8" w:rsidRDefault="006F5E9B" w:rsidP="00D333AB">
      <w:pPr>
        <w:pStyle w:val="Listamedia2-nfasis4"/>
        <w:tabs>
          <w:tab w:val="left" w:pos="567"/>
          <w:tab w:val="left" w:pos="851"/>
        </w:tabs>
        <w:ind w:left="0"/>
        <w:jc w:val="both"/>
        <w:rPr>
          <w:rFonts w:ascii="Verdana" w:hAnsi="Verdana"/>
          <w:sz w:val="20"/>
        </w:rPr>
      </w:pPr>
    </w:p>
    <w:p w:rsidR="006754B7" w:rsidRPr="00301F84" w:rsidRDefault="006754B7" w:rsidP="00D333AB">
      <w:pPr>
        <w:pStyle w:val="Listamedia2-nfasis4"/>
        <w:numPr>
          <w:ilvl w:val="0"/>
          <w:numId w:val="5"/>
        </w:numPr>
        <w:tabs>
          <w:tab w:val="left" w:pos="0"/>
          <w:tab w:val="left" w:pos="567"/>
          <w:tab w:val="left" w:pos="851"/>
        </w:tabs>
        <w:ind w:left="0" w:firstLine="0"/>
        <w:jc w:val="both"/>
        <w:rPr>
          <w:rFonts w:ascii="Verdana" w:hAnsi="Verdana"/>
          <w:sz w:val="20"/>
        </w:rPr>
      </w:pPr>
      <w:r w:rsidRPr="005E75C8">
        <w:rPr>
          <w:rFonts w:ascii="Verdana" w:hAnsi="Verdana"/>
          <w:sz w:val="20"/>
        </w:rPr>
        <w:t xml:space="preserve">Requerir al Estado que adopte, de forma definitiva y a la mayor brevedad, </w:t>
      </w:r>
      <w:r w:rsidRPr="005E75C8">
        <w:rPr>
          <w:rFonts w:ascii="Verdana" w:eastAsia="Calibri" w:hAnsi="Verdana"/>
          <w:sz w:val="20"/>
        </w:rPr>
        <w:t>todas las medidas que sean necesarias para dar efectivo</w:t>
      </w:r>
      <w:r w:rsidRPr="00301F84">
        <w:rPr>
          <w:rFonts w:ascii="Verdana" w:eastAsia="Calibri" w:hAnsi="Verdana"/>
          <w:sz w:val="20"/>
        </w:rPr>
        <w:t xml:space="preserve"> y pronto cumplimiento a la Sentencia de este caso, de acuerdo con lo considerado en la misma y con lo estipulado en el </w:t>
      </w:r>
      <w:r w:rsidR="002D10CB" w:rsidRPr="00301F84">
        <w:rPr>
          <w:rFonts w:ascii="Verdana" w:eastAsia="Calibri" w:hAnsi="Verdana"/>
          <w:sz w:val="20"/>
        </w:rPr>
        <w:t>artículo</w:t>
      </w:r>
      <w:r w:rsidRPr="00301F84">
        <w:rPr>
          <w:rFonts w:ascii="Verdana" w:eastAsia="Calibri" w:hAnsi="Verdana"/>
          <w:sz w:val="20"/>
        </w:rPr>
        <w:t xml:space="preserve"> 68.1 de la </w:t>
      </w:r>
      <w:r w:rsidR="00EC0459" w:rsidRPr="00301F84">
        <w:rPr>
          <w:rFonts w:ascii="Verdana" w:eastAsia="Calibri" w:hAnsi="Verdana"/>
          <w:sz w:val="20"/>
        </w:rPr>
        <w:t>Convención</w:t>
      </w:r>
      <w:r w:rsidRPr="00301F84">
        <w:rPr>
          <w:rFonts w:ascii="Verdana" w:eastAsia="Calibri" w:hAnsi="Verdana"/>
          <w:sz w:val="20"/>
        </w:rPr>
        <w:t xml:space="preserve"> Americana sobre Derechos Humanos. </w:t>
      </w:r>
    </w:p>
    <w:p w:rsidR="006F5E9B" w:rsidRPr="00135E79" w:rsidRDefault="006F5E9B" w:rsidP="00D333AB">
      <w:pPr>
        <w:pStyle w:val="Sombreadovistoso-nfasis3"/>
        <w:tabs>
          <w:tab w:val="left" w:pos="567"/>
          <w:tab w:val="left" w:pos="851"/>
        </w:tabs>
        <w:ind w:left="0"/>
        <w:rPr>
          <w:rFonts w:ascii="Verdana" w:hAnsi="Verdana"/>
          <w:sz w:val="20"/>
        </w:rPr>
      </w:pPr>
    </w:p>
    <w:p w:rsidR="00F96536" w:rsidRPr="00135E79" w:rsidRDefault="000F74A9" w:rsidP="00D333AB">
      <w:pPr>
        <w:pStyle w:val="Listamedia2-nfasis4"/>
        <w:numPr>
          <w:ilvl w:val="0"/>
          <w:numId w:val="5"/>
        </w:numPr>
        <w:tabs>
          <w:tab w:val="left" w:pos="567"/>
          <w:tab w:val="left" w:pos="851"/>
        </w:tabs>
        <w:ind w:left="0" w:firstLine="0"/>
        <w:jc w:val="both"/>
        <w:rPr>
          <w:rFonts w:ascii="Verdana" w:hAnsi="Verdana"/>
          <w:sz w:val="20"/>
        </w:rPr>
      </w:pPr>
      <w:r w:rsidRPr="00135E79">
        <w:rPr>
          <w:rFonts w:ascii="Verdana" w:hAnsi="Verdana"/>
          <w:sz w:val="20"/>
        </w:rPr>
        <w:t xml:space="preserve">Disponer que el Estado presente a la Corte Interamericana de Derechos Humanos, a más tardar el </w:t>
      </w:r>
      <w:r w:rsidR="00920A22">
        <w:rPr>
          <w:rFonts w:ascii="Verdana" w:hAnsi="Verdana"/>
          <w:sz w:val="20"/>
        </w:rPr>
        <w:t>15</w:t>
      </w:r>
      <w:r w:rsidR="00D7215A" w:rsidRPr="00264950">
        <w:rPr>
          <w:rFonts w:ascii="Verdana" w:hAnsi="Verdana"/>
          <w:sz w:val="20"/>
        </w:rPr>
        <w:t xml:space="preserve"> </w:t>
      </w:r>
      <w:r w:rsidR="00EB1A37" w:rsidRPr="00264950">
        <w:rPr>
          <w:rFonts w:ascii="Verdana" w:hAnsi="Verdana"/>
          <w:sz w:val="20"/>
        </w:rPr>
        <w:t xml:space="preserve">de </w:t>
      </w:r>
      <w:r w:rsidR="00920A22">
        <w:rPr>
          <w:rFonts w:ascii="Verdana" w:hAnsi="Verdana"/>
          <w:sz w:val="20"/>
        </w:rPr>
        <w:t>junio</w:t>
      </w:r>
      <w:r w:rsidR="00301F84" w:rsidRPr="00264950">
        <w:rPr>
          <w:rFonts w:ascii="Verdana" w:hAnsi="Verdana"/>
          <w:sz w:val="20"/>
        </w:rPr>
        <w:t xml:space="preserve"> </w:t>
      </w:r>
      <w:r w:rsidRPr="00264950">
        <w:rPr>
          <w:rFonts w:ascii="Verdana" w:hAnsi="Verdana"/>
          <w:sz w:val="20"/>
        </w:rPr>
        <w:t>de 201</w:t>
      </w:r>
      <w:r w:rsidR="00EB1A37" w:rsidRPr="00264950">
        <w:rPr>
          <w:rFonts w:ascii="Verdana" w:hAnsi="Verdana"/>
          <w:sz w:val="20"/>
        </w:rPr>
        <w:t>7</w:t>
      </w:r>
      <w:r w:rsidRPr="00135E79">
        <w:rPr>
          <w:rFonts w:ascii="Verdana" w:hAnsi="Verdana"/>
          <w:sz w:val="20"/>
        </w:rPr>
        <w:t xml:space="preserve">, un informe </w:t>
      </w:r>
      <w:r w:rsidR="00F96536" w:rsidRPr="00135E79">
        <w:rPr>
          <w:rFonts w:ascii="Verdana" w:hAnsi="Verdana" w:cs="Arial"/>
          <w:sz w:val="20"/>
        </w:rPr>
        <w:t xml:space="preserve">completo, detallado y actualizado respecto de las acciones realizadas tendientes a dar cumplimiento a todas las medidas de reparación ordenadas en la Sentencia, tomando en consideración los parámetros </w:t>
      </w:r>
      <w:r w:rsidR="00F96536" w:rsidRPr="00135E79">
        <w:rPr>
          <w:rFonts w:ascii="Verdana" w:hAnsi="Verdana"/>
          <w:sz w:val="20"/>
        </w:rPr>
        <w:t>exigidos por la Corte en su</w:t>
      </w:r>
      <w:r w:rsidR="00EB1A37" w:rsidRPr="00135E79">
        <w:rPr>
          <w:rFonts w:ascii="Verdana" w:hAnsi="Verdana"/>
          <w:sz w:val="20"/>
        </w:rPr>
        <w:t>s Resolucio</w:t>
      </w:r>
      <w:r w:rsidR="00F96536" w:rsidRPr="00135E79">
        <w:rPr>
          <w:rFonts w:ascii="Verdana" w:hAnsi="Verdana"/>
          <w:sz w:val="20"/>
        </w:rPr>
        <w:t>n</w:t>
      </w:r>
      <w:r w:rsidR="00EB1A37" w:rsidRPr="00135E79">
        <w:rPr>
          <w:rFonts w:ascii="Verdana" w:hAnsi="Verdana"/>
          <w:sz w:val="20"/>
        </w:rPr>
        <w:t>es</w:t>
      </w:r>
      <w:r w:rsidR="00F96536" w:rsidRPr="00135E79">
        <w:rPr>
          <w:rFonts w:ascii="Verdana" w:hAnsi="Verdana"/>
          <w:sz w:val="20"/>
        </w:rPr>
        <w:t xml:space="preserve"> de supervisión de cumplimiento de sentencia de marzo de 2014</w:t>
      </w:r>
      <w:r w:rsidR="00301F84" w:rsidRPr="00135E79">
        <w:rPr>
          <w:rFonts w:ascii="Verdana" w:hAnsi="Verdana"/>
          <w:sz w:val="20"/>
        </w:rPr>
        <w:t>, abril de 2015</w:t>
      </w:r>
      <w:r w:rsidR="00F96536" w:rsidRPr="00135E79">
        <w:rPr>
          <w:rFonts w:ascii="Verdana" w:hAnsi="Verdana"/>
          <w:sz w:val="20"/>
        </w:rPr>
        <w:t xml:space="preserve"> y en la presente Resolución</w:t>
      </w:r>
      <w:r w:rsidR="00C31AF6">
        <w:rPr>
          <w:rFonts w:ascii="Verdana" w:hAnsi="Verdana"/>
          <w:sz w:val="20"/>
        </w:rPr>
        <w:t>,</w:t>
      </w:r>
      <w:r w:rsidR="00F96536" w:rsidRPr="00135E79">
        <w:rPr>
          <w:rFonts w:ascii="Verdana" w:hAnsi="Verdana"/>
          <w:sz w:val="20"/>
        </w:rPr>
        <w:t xml:space="preserve"> de conformidad con lo señalado en </w:t>
      </w:r>
      <w:r w:rsidR="00705398">
        <w:rPr>
          <w:rFonts w:ascii="Verdana" w:hAnsi="Verdana"/>
          <w:sz w:val="20"/>
        </w:rPr>
        <w:t xml:space="preserve">la parte considerativa de la </w:t>
      </w:r>
      <w:r w:rsidR="00C31AF6">
        <w:rPr>
          <w:rFonts w:ascii="Verdana" w:hAnsi="Verdana"/>
          <w:sz w:val="20"/>
        </w:rPr>
        <w:t>misma</w:t>
      </w:r>
      <w:r w:rsidR="00F96536" w:rsidRPr="00135E79">
        <w:rPr>
          <w:rFonts w:ascii="Verdana" w:hAnsi="Verdana"/>
          <w:sz w:val="20"/>
        </w:rPr>
        <w:t>.</w:t>
      </w:r>
    </w:p>
    <w:p w:rsidR="006F5E9B" w:rsidRPr="00135E79" w:rsidRDefault="006F5E9B" w:rsidP="00135E79">
      <w:pPr>
        <w:pStyle w:val="Cuadrculamedia1-nfasis2"/>
        <w:ind w:left="0"/>
        <w:rPr>
          <w:rFonts w:ascii="Verdana" w:hAnsi="Verdana"/>
          <w:sz w:val="20"/>
        </w:rPr>
      </w:pPr>
    </w:p>
    <w:p w:rsidR="000F74A9" w:rsidRPr="00F448B5" w:rsidRDefault="000F74A9" w:rsidP="00D333AB">
      <w:pPr>
        <w:pStyle w:val="Listamedia2-nfasis4"/>
        <w:numPr>
          <w:ilvl w:val="0"/>
          <w:numId w:val="5"/>
        </w:numPr>
        <w:tabs>
          <w:tab w:val="left" w:pos="567"/>
          <w:tab w:val="left" w:pos="851"/>
        </w:tabs>
        <w:ind w:left="0" w:firstLine="0"/>
        <w:jc w:val="both"/>
        <w:rPr>
          <w:rFonts w:ascii="Verdana" w:hAnsi="Verdana"/>
          <w:sz w:val="20"/>
        </w:rPr>
      </w:pPr>
      <w:r w:rsidRPr="00F448B5">
        <w:rPr>
          <w:rFonts w:ascii="Verdana" w:hAnsi="Verdana"/>
          <w:sz w:val="20"/>
        </w:rPr>
        <w:t>Requerir</w:t>
      </w:r>
      <w:r w:rsidRPr="00F448B5">
        <w:rPr>
          <w:rFonts w:ascii="Verdana" w:eastAsia="Times New Roman" w:hAnsi="Verdana"/>
          <w:sz w:val="20"/>
        </w:rPr>
        <w:t xml:space="preserve"> a los intervinientes comunes </w:t>
      </w:r>
      <w:r w:rsidR="00A367E8" w:rsidRPr="00F448B5">
        <w:rPr>
          <w:rFonts w:ascii="Verdana" w:eastAsia="Times New Roman" w:hAnsi="Verdana"/>
          <w:sz w:val="20"/>
        </w:rPr>
        <w:t xml:space="preserve">de los </w:t>
      </w:r>
      <w:r w:rsidRPr="00F448B5">
        <w:rPr>
          <w:rFonts w:ascii="Verdana" w:eastAsia="Times New Roman" w:hAnsi="Verdana"/>
          <w:sz w:val="20"/>
        </w:rPr>
        <w:t xml:space="preserve">representantes </w:t>
      </w:r>
      <w:r w:rsidR="00A367E8" w:rsidRPr="00F448B5">
        <w:rPr>
          <w:rFonts w:ascii="Verdana" w:eastAsia="Times New Roman" w:hAnsi="Verdana"/>
          <w:sz w:val="20"/>
        </w:rPr>
        <w:t xml:space="preserve">de las víctimas </w:t>
      </w:r>
      <w:r w:rsidR="00331600" w:rsidRPr="00F448B5">
        <w:rPr>
          <w:rFonts w:ascii="Verdana" w:eastAsia="Times New Roman" w:hAnsi="Verdana"/>
          <w:sz w:val="20"/>
        </w:rPr>
        <w:t>y sus familiares</w:t>
      </w:r>
      <w:r w:rsidR="0061203E" w:rsidRPr="00F448B5">
        <w:rPr>
          <w:rFonts w:ascii="Verdana" w:eastAsia="Times New Roman" w:hAnsi="Verdana"/>
          <w:sz w:val="20"/>
        </w:rPr>
        <w:t xml:space="preserve"> </w:t>
      </w:r>
      <w:r w:rsidRPr="00F448B5">
        <w:rPr>
          <w:rFonts w:ascii="Verdana" w:eastAsia="Times New Roman" w:hAnsi="Verdana"/>
          <w:sz w:val="20"/>
        </w:rPr>
        <w:t xml:space="preserve">y a la Comisión Interamericana de Derechos Humanos </w:t>
      </w:r>
      <w:r w:rsidRPr="00F448B5">
        <w:rPr>
          <w:rFonts w:ascii="Verdana" w:hAnsi="Verdana"/>
          <w:sz w:val="20"/>
        </w:rPr>
        <w:t>que presenten observaciones al informe del Estado mencionado en el punto resolutivo anterior, en los plazos de cuatro y seis semanas, respectivamente, contados a partir de la recepción del informe.</w:t>
      </w:r>
    </w:p>
    <w:p w:rsidR="006F5E9B" w:rsidRPr="00F448B5" w:rsidRDefault="006F5E9B" w:rsidP="00D333AB">
      <w:pPr>
        <w:pStyle w:val="Sombreadovistoso-nfasis3"/>
        <w:tabs>
          <w:tab w:val="left" w:pos="567"/>
          <w:tab w:val="left" w:pos="851"/>
        </w:tabs>
        <w:ind w:left="0"/>
        <w:rPr>
          <w:rFonts w:ascii="Verdana" w:hAnsi="Verdana"/>
          <w:sz w:val="20"/>
        </w:rPr>
      </w:pPr>
    </w:p>
    <w:p w:rsidR="0037176D" w:rsidRDefault="0037176D" w:rsidP="00D333AB">
      <w:pPr>
        <w:pStyle w:val="Listamedia2-nfasis4"/>
        <w:numPr>
          <w:ilvl w:val="0"/>
          <w:numId w:val="5"/>
        </w:numPr>
        <w:tabs>
          <w:tab w:val="left" w:pos="567"/>
          <w:tab w:val="left" w:pos="851"/>
        </w:tabs>
        <w:ind w:left="0" w:firstLine="0"/>
        <w:jc w:val="both"/>
        <w:rPr>
          <w:rFonts w:ascii="Verdana" w:hAnsi="Verdana"/>
          <w:sz w:val="20"/>
        </w:rPr>
      </w:pPr>
      <w:r w:rsidRPr="00F448B5">
        <w:rPr>
          <w:rFonts w:ascii="Verdana" w:hAnsi="Verdana"/>
          <w:sz w:val="20"/>
        </w:rPr>
        <w:t xml:space="preserve">Requerir a la Secretaría de la Corte </w:t>
      </w:r>
      <w:r w:rsidR="00B80B6C" w:rsidRPr="00F448B5">
        <w:rPr>
          <w:rFonts w:ascii="Verdana" w:hAnsi="Verdana"/>
          <w:sz w:val="20"/>
        </w:rPr>
        <w:t xml:space="preserve">que </w:t>
      </w:r>
      <w:r w:rsidRPr="00F448B5">
        <w:rPr>
          <w:rFonts w:ascii="Verdana" w:hAnsi="Verdana"/>
          <w:sz w:val="20"/>
        </w:rPr>
        <w:t>notifique la p</w:t>
      </w:r>
      <w:r w:rsidR="000D7F3F" w:rsidRPr="00F448B5">
        <w:rPr>
          <w:rFonts w:ascii="Verdana" w:hAnsi="Verdana"/>
          <w:sz w:val="20"/>
        </w:rPr>
        <w:t>resente Resolución al Estado, a los intervinientes comunes de los</w:t>
      </w:r>
      <w:r w:rsidRPr="00F448B5">
        <w:rPr>
          <w:rFonts w:ascii="Verdana" w:hAnsi="Verdana"/>
          <w:sz w:val="20"/>
        </w:rPr>
        <w:t xml:space="preserve"> representantes de las víctimas y sus familiares</w:t>
      </w:r>
      <w:r w:rsidR="000D7F3F" w:rsidRPr="00F448B5">
        <w:rPr>
          <w:rFonts w:ascii="Verdana" w:hAnsi="Verdana"/>
          <w:sz w:val="20"/>
        </w:rPr>
        <w:t xml:space="preserve"> y a la Comisión Interamericana de Derechos Humanos</w:t>
      </w:r>
      <w:r w:rsidRPr="00F448B5">
        <w:rPr>
          <w:rFonts w:ascii="Verdana" w:hAnsi="Verdana"/>
          <w:sz w:val="20"/>
        </w:rPr>
        <w:t>.</w:t>
      </w:r>
    </w:p>
    <w:p w:rsidR="00BB190C" w:rsidRDefault="00BB190C" w:rsidP="00BB190C">
      <w:pPr>
        <w:pStyle w:val="Prrafodelista"/>
        <w:rPr>
          <w:rFonts w:ascii="Verdana" w:hAnsi="Verdana"/>
          <w:sz w:val="20"/>
        </w:rPr>
      </w:pPr>
    </w:p>
    <w:p w:rsidR="00BB190C" w:rsidRDefault="00BB190C" w:rsidP="00BB190C">
      <w:pPr>
        <w:keepNext/>
        <w:jc w:val="both"/>
        <w:outlineLvl w:val="0"/>
        <w:rPr>
          <w:rFonts w:ascii="Verdana" w:hAnsi="Verdana" w:cs="Verdana"/>
          <w:b/>
          <w:bCs/>
          <w:sz w:val="20"/>
          <w:lang w:val="es-ES"/>
        </w:rPr>
      </w:pPr>
      <w:r>
        <w:rPr>
          <w:rFonts w:ascii="Verdana" w:hAnsi="Verdana" w:cs="Courier New"/>
          <w:noProof/>
          <w:sz w:val="20"/>
          <w:lang w:val="es-AR"/>
        </w:rPr>
        <w:lastRenderedPageBreak/>
        <w:t xml:space="preserve">Corte IDH. </w:t>
      </w:r>
      <w:r w:rsidRPr="004E4723">
        <w:rPr>
          <w:rFonts w:ascii="Verdana" w:hAnsi="Verdana"/>
          <w:bCs/>
          <w:i/>
          <w:sz w:val="20"/>
          <w:lang w:val="es-CR"/>
        </w:rPr>
        <w:t xml:space="preserve">Caso del Penal Miguel Castro </w:t>
      </w:r>
      <w:proofErr w:type="spellStart"/>
      <w:r w:rsidRPr="004E4723">
        <w:rPr>
          <w:rFonts w:ascii="Verdana" w:hAnsi="Verdana"/>
          <w:bCs/>
          <w:i/>
          <w:sz w:val="20"/>
          <w:lang w:val="es-CR"/>
        </w:rPr>
        <w:t>Castro</w:t>
      </w:r>
      <w:proofErr w:type="spellEnd"/>
      <w:r w:rsidRPr="004E4723">
        <w:rPr>
          <w:rFonts w:ascii="Verdana" w:hAnsi="Verdana"/>
          <w:bCs/>
          <w:i/>
          <w:sz w:val="20"/>
          <w:lang w:val="es-CR"/>
        </w:rPr>
        <w:t xml:space="preserve"> Vs. Perú</w:t>
      </w:r>
      <w:r>
        <w:rPr>
          <w:rFonts w:ascii="Verdana" w:hAnsi="Verdana"/>
          <w:i/>
          <w:sz w:val="20"/>
          <w:lang w:val="es-ES"/>
        </w:rPr>
        <w:t>.</w:t>
      </w:r>
      <w:r>
        <w:rPr>
          <w:rFonts w:ascii="Verdana" w:hAnsi="Verdana" w:cs="Arial"/>
          <w:i/>
          <w:sz w:val="20"/>
          <w:lang w:val="es-CR"/>
        </w:rPr>
        <w:t xml:space="preserve"> </w:t>
      </w:r>
      <w:r>
        <w:rPr>
          <w:rFonts w:ascii="Verdana" w:hAnsi="Verdana"/>
          <w:sz w:val="20"/>
          <w:lang w:val="es-CR"/>
        </w:rPr>
        <w:t xml:space="preserve">Supervisión de cumplimiento de sentencia. </w:t>
      </w:r>
      <w:r>
        <w:rPr>
          <w:rFonts w:ascii="Verdana" w:hAnsi="Verdana"/>
          <w:sz w:val="20"/>
          <w:lang w:val="es-ES"/>
        </w:rPr>
        <w:t xml:space="preserve">Resolución de la Corte Interamericana de Derechos Humanos de </w:t>
      </w:r>
      <w:r>
        <w:rPr>
          <w:rFonts w:ascii="Verdana" w:hAnsi="Verdana"/>
          <w:sz w:val="20"/>
          <w:lang w:val="es-CR"/>
        </w:rPr>
        <w:t>9 de febrero de 2017</w:t>
      </w:r>
      <w:r>
        <w:rPr>
          <w:rFonts w:ascii="Verdana" w:hAnsi="Verdana"/>
          <w:sz w:val="20"/>
          <w:lang w:val="es-ES"/>
        </w:rPr>
        <w:t xml:space="preserve">. </w:t>
      </w:r>
    </w:p>
    <w:p w:rsidR="00BB190C" w:rsidRDefault="00BB190C" w:rsidP="00BB190C">
      <w:pPr>
        <w:jc w:val="center"/>
        <w:rPr>
          <w:rFonts w:ascii="Verdana" w:hAnsi="Verdana"/>
          <w:sz w:val="20"/>
          <w:lang w:val="es-ES"/>
        </w:rPr>
      </w:pPr>
    </w:p>
    <w:p w:rsidR="00BB190C" w:rsidRDefault="00BB190C" w:rsidP="00BB190C">
      <w:pPr>
        <w:jc w:val="center"/>
        <w:rPr>
          <w:rFonts w:ascii="Verdana" w:hAnsi="Verdana"/>
          <w:sz w:val="20"/>
          <w:lang w:val="es-ES"/>
        </w:rPr>
      </w:pPr>
    </w:p>
    <w:p w:rsidR="00BB190C" w:rsidRDefault="00BB190C" w:rsidP="00BB190C">
      <w:pPr>
        <w:jc w:val="center"/>
        <w:rPr>
          <w:rFonts w:ascii="Verdana" w:hAnsi="Verdana"/>
          <w:sz w:val="20"/>
          <w:lang w:val="es-ES"/>
        </w:rPr>
      </w:pPr>
    </w:p>
    <w:p w:rsidR="00BB190C" w:rsidRDefault="00BB190C" w:rsidP="00BB190C">
      <w:pPr>
        <w:jc w:val="center"/>
        <w:rPr>
          <w:rFonts w:ascii="Verdana" w:hAnsi="Verdana"/>
          <w:sz w:val="20"/>
          <w:lang w:val="es-ES"/>
        </w:rPr>
      </w:pPr>
    </w:p>
    <w:p w:rsidR="00BB190C" w:rsidRPr="004B7A1D" w:rsidRDefault="00BB190C" w:rsidP="00BB190C">
      <w:pPr>
        <w:jc w:val="center"/>
        <w:rPr>
          <w:rFonts w:ascii="Verdana" w:hAnsi="Verdana"/>
          <w:sz w:val="20"/>
          <w:lang w:val="es-ES"/>
        </w:rPr>
      </w:pPr>
      <w:r>
        <w:rPr>
          <w:rFonts w:ascii="Verdana" w:hAnsi="Verdana"/>
          <w:sz w:val="20"/>
          <w:lang w:val="es-ES"/>
        </w:rPr>
        <w:t>Roberto F. Caldas</w:t>
      </w:r>
    </w:p>
    <w:p w:rsidR="00BB190C" w:rsidRPr="004B7A1D" w:rsidRDefault="00BB190C" w:rsidP="00BB190C">
      <w:pPr>
        <w:jc w:val="center"/>
        <w:rPr>
          <w:rFonts w:ascii="Verdana" w:hAnsi="Verdana"/>
          <w:sz w:val="20"/>
          <w:lang w:val="es-ES"/>
        </w:rPr>
      </w:pPr>
      <w:r w:rsidRPr="004B7A1D">
        <w:rPr>
          <w:rFonts w:ascii="Verdana" w:hAnsi="Verdana"/>
          <w:sz w:val="20"/>
          <w:lang w:val="es-ES"/>
        </w:rPr>
        <w:t xml:space="preserve">Presidente </w:t>
      </w: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L. Patricio Pazmiño Freire</w:t>
      </w: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CR"/>
        </w:rPr>
      </w:pPr>
    </w:p>
    <w:p w:rsidR="00BB190C" w:rsidRPr="004B7A1D" w:rsidRDefault="00BB190C" w:rsidP="00BB190C">
      <w:pPr>
        <w:jc w:val="both"/>
        <w:rPr>
          <w:rFonts w:ascii="Verdana" w:hAnsi="Verdana"/>
          <w:sz w:val="20"/>
          <w:lang w:val="es-ES"/>
        </w:rPr>
      </w:pPr>
    </w:p>
    <w:p w:rsidR="00BB190C" w:rsidRPr="004B7A1D" w:rsidRDefault="00BB190C" w:rsidP="00BB190C">
      <w:pPr>
        <w:jc w:val="center"/>
        <w:rPr>
          <w:rFonts w:ascii="Verdana" w:hAnsi="Verdana"/>
          <w:sz w:val="20"/>
          <w:lang w:val="es-ES"/>
        </w:rPr>
      </w:pPr>
      <w:r w:rsidRPr="004B7A1D">
        <w:rPr>
          <w:rFonts w:ascii="Verdana" w:hAnsi="Verdana"/>
          <w:sz w:val="20"/>
          <w:lang w:val="es-ES"/>
        </w:rPr>
        <w:t>Pablo Saavedra Alessandri</w:t>
      </w:r>
    </w:p>
    <w:p w:rsidR="00BB190C" w:rsidRPr="004B7A1D" w:rsidRDefault="00BB190C" w:rsidP="00BB190C">
      <w:pPr>
        <w:jc w:val="center"/>
        <w:rPr>
          <w:rFonts w:ascii="Verdana" w:hAnsi="Verdana"/>
          <w:sz w:val="20"/>
          <w:lang w:val="es-ES"/>
        </w:rPr>
      </w:pPr>
      <w:r w:rsidRPr="004B7A1D">
        <w:rPr>
          <w:rFonts w:ascii="Verdana" w:hAnsi="Verdana"/>
          <w:sz w:val="20"/>
          <w:lang w:val="es-ES"/>
        </w:rPr>
        <w:t>Secretario</w:t>
      </w:r>
    </w:p>
    <w:p w:rsidR="00BB190C" w:rsidRPr="004B7A1D" w:rsidRDefault="00BB190C" w:rsidP="00BB190C">
      <w:pPr>
        <w:rPr>
          <w:rFonts w:ascii="Verdana" w:hAnsi="Verdana"/>
          <w:sz w:val="20"/>
          <w:lang w:val="es-ES"/>
        </w:rPr>
      </w:pPr>
    </w:p>
    <w:p w:rsidR="00BB190C" w:rsidRPr="004B7A1D" w:rsidRDefault="00BB190C" w:rsidP="00BB190C">
      <w:pPr>
        <w:pStyle w:val="Textonotapie"/>
        <w:rPr>
          <w:lang w:val="es-ES"/>
        </w:rPr>
      </w:pPr>
    </w:p>
    <w:p w:rsidR="00BB190C" w:rsidRPr="004B7A1D" w:rsidRDefault="00BB190C" w:rsidP="00BB190C">
      <w:pPr>
        <w:jc w:val="both"/>
        <w:rPr>
          <w:rFonts w:ascii="Verdana" w:hAnsi="Verdana"/>
          <w:sz w:val="20"/>
          <w:lang w:val="es-ES"/>
        </w:rPr>
      </w:pPr>
      <w:r w:rsidRPr="004B7A1D">
        <w:rPr>
          <w:rFonts w:ascii="Verdana" w:hAnsi="Verdana"/>
          <w:sz w:val="20"/>
          <w:lang w:val="es-ES"/>
        </w:rPr>
        <w:t>Comuníquese y ejecútese,</w:t>
      </w: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ind w:left="4956" w:firstLine="708"/>
        <w:jc w:val="center"/>
        <w:rPr>
          <w:rFonts w:ascii="Verdana" w:hAnsi="Verdana"/>
          <w:sz w:val="20"/>
          <w:lang w:val="es-ES"/>
        </w:rPr>
      </w:pPr>
      <w:r>
        <w:rPr>
          <w:rFonts w:ascii="Verdana" w:hAnsi="Verdana"/>
          <w:sz w:val="20"/>
          <w:lang w:val="es-ES"/>
        </w:rPr>
        <w:t>Roberto F. Caldas</w:t>
      </w:r>
    </w:p>
    <w:p w:rsidR="00BB190C" w:rsidRPr="004B7A1D" w:rsidRDefault="00BB190C" w:rsidP="00BB190C">
      <w:pPr>
        <w:ind w:left="4956" w:firstLine="708"/>
        <w:jc w:val="center"/>
        <w:rPr>
          <w:rFonts w:ascii="Verdana" w:hAnsi="Verdana"/>
          <w:sz w:val="20"/>
          <w:lang w:val="es-ES"/>
        </w:rPr>
      </w:pPr>
      <w:r w:rsidRPr="004B7A1D">
        <w:rPr>
          <w:rFonts w:ascii="Verdana" w:hAnsi="Verdana"/>
          <w:sz w:val="20"/>
          <w:lang w:val="es-ES"/>
        </w:rPr>
        <w:t xml:space="preserve">Presidente </w:t>
      </w: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p>
    <w:p w:rsidR="00BB190C" w:rsidRPr="004B7A1D" w:rsidRDefault="00BB190C" w:rsidP="00BB190C">
      <w:pPr>
        <w:jc w:val="both"/>
        <w:rPr>
          <w:rFonts w:ascii="Verdana" w:hAnsi="Verdana"/>
          <w:sz w:val="20"/>
          <w:lang w:val="es-ES"/>
        </w:rPr>
      </w:pPr>
      <w:r w:rsidRPr="004B7A1D">
        <w:rPr>
          <w:rFonts w:ascii="Verdana" w:hAnsi="Verdana"/>
          <w:sz w:val="20"/>
          <w:lang w:val="es-ES"/>
        </w:rPr>
        <w:t>Pablo Saavedra Alessandri</w:t>
      </w:r>
    </w:p>
    <w:p w:rsidR="00BB190C" w:rsidRPr="004B7A1D" w:rsidRDefault="00BB190C" w:rsidP="00BB190C">
      <w:pPr>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BB190C" w:rsidRPr="00F448B5" w:rsidRDefault="00BB190C" w:rsidP="00BB190C">
      <w:pPr>
        <w:pStyle w:val="Listamedia2-nfasis4"/>
        <w:tabs>
          <w:tab w:val="left" w:pos="567"/>
          <w:tab w:val="left" w:pos="851"/>
        </w:tabs>
        <w:ind w:left="0"/>
        <w:jc w:val="both"/>
        <w:rPr>
          <w:rFonts w:ascii="Verdana" w:hAnsi="Verdana"/>
          <w:sz w:val="20"/>
        </w:rPr>
      </w:pPr>
    </w:p>
    <w:sectPr w:rsidR="00BB190C" w:rsidRPr="00F448B5" w:rsidSect="00FD6E66">
      <w:headerReference w:type="even" r:id="rId8"/>
      <w:headerReference w:type="default" r:id="rId9"/>
      <w:headerReference w:type="first" r:id="rId10"/>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47F" w:rsidRDefault="00B5647F" w:rsidP="001A657D">
      <w:r>
        <w:separator/>
      </w:r>
    </w:p>
  </w:endnote>
  <w:endnote w:type="continuationSeparator" w:id="0">
    <w:p w:rsidR="00B5647F" w:rsidRDefault="00B5647F" w:rsidP="001A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Italic">
    <w:altName w:val="Verdana Italic"/>
    <w:panose1 w:val="00000000000000000000"/>
    <w:charset w:val="4D"/>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47F" w:rsidRDefault="00B5647F" w:rsidP="001A657D">
      <w:r>
        <w:separator/>
      </w:r>
    </w:p>
  </w:footnote>
  <w:footnote w:type="continuationSeparator" w:id="0">
    <w:p w:rsidR="00B5647F" w:rsidRDefault="00B5647F" w:rsidP="001A657D">
      <w:r>
        <w:continuationSeparator/>
      </w:r>
    </w:p>
  </w:footnote>
  <w:footnote w:id="1">
    <w:p w:rsidR="005D20C6" w:rsidRPr="00FA611D" w:rsidRDefault="005D20C6" w:rsidP="00290512">
      <w:pPr>
        <w:pStyle w:val="Textonotapie"/>
        <w:tabs>
          <w:tab w:val="left" w:pos="450"/>
        </w:tabs>
        <w:rPr>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Pr="00FA611D">
        <w:rPr>
          <w:i/>
          <w:szCs w:val="16"/>
          <w:lang w:val="es-CR"/>
        </w:rPr>
        <w:t>Cfr.</w:t>
      </w:r>
      <w:r w:rsidRPr="00FA611D">
        <w:rPr>
          <w:szCs w:val="16"/>
          <w:lang w:val="es-CR"/>
        </w:rPr>
        <w:t xml:space="preserve"> </w:t>
      </w:r>
      <w:r w:rsidRPr="00FA611D">
        <w:rPr>
          <w:i/>
          <w:szCs w:val="16"/>
          <w:lang w:val="es-CR"/>
        </w:rPr>
        <w:t>Caso del Penal Miguel Castro Castro Vs. Perú. Fondo, Reparaciones y Costas</w:t>
      </w:r>
      <w:r w:rsidRPr="00FA611D">
        <w:rPr>
          <w:szCs w:val="16"/>
          <w:lang w:val="es-CR"/>
        </w:rPr>
        <w:t xml:space="preserve">. Sentencia de 25 de noviembre de 2006. Serie C No. 160. El texto íntegro de la Sentencia se encuentra disponible en: </w:t>
      </w:r>
      <w:hyperlink r:id="rId1" w:history="1">
        <w:r w:rsidRPr="00FA611D">
          <w:rPr>
            <w:rStyle w:val="Hipervnculo"/>
            <w:color w:val="auto"/>
            <w:szCs w:val="16"/>
            <w:lang w:val="es-CR"/>
          </w:rPr>
          <w:t>http://www.corteidh.or.cr/docs/casos/articulos/seriec_160_esp.pdf</w:t>
        </w:r>
      </w:hyperlink>
      <w:r w:rsidRPr="00FA611D">
        <w:rPr>
          <w:szCs w:val="16"/>
          <w:lang w:val="es-CR"/>
        </w:rPr>
        <w:t xml:space="preserve"> y un resumen de las normas internacionales violadas en el presente caso, se encuentra en el pie de página del Visto 1 de la </w:t>
      </w:r>
      <w:r w:rsidRPr="00FA611D">
        <w:rPr>
          <w:bCs/>
          <w:szCs w:val="16"/>
          <w:lang w:val="es-CR"/>
        </w:rPr>
        <w:t xml:space="preserve">Resolución de la Corte Interamericana de Derechos Humanos de </w:t>
      </w:r>
      <w:r w:rsidRPr="00FA611D">
        <w:rPr>
          <w:rFonts w:cs="Arial"/>
          <w:szCs w:val="16"/>
          <w:lang w:val="es-CR"/>
        </w:rPr>
        <w:t>31 de marzo de 2014 (</w:t>
      </w:r>
      <w:r w:rsidRPr="00FA611D">
        <w:rPr>
          <w:rFonts w:cs="Arial"/>
          <w:i/>
          <w:szCs w:val="16"/>
          <w:lang w:val="es-CR"/>
        </w:rPr>
        <w:t xml:space="preserve">infra </w:t>
      </w:r>
      <w:r w:rsidRPr="00FF1184">
        <w:rPr>
          <w:rFonts w:cs="Arial"/>
          <w:szCs w:val="16"/>
          <w:lang w:val="es-CR"/>
        </w:rPr>
        <w:t xml:space="preserve">nota </w:t>
      </w:r>
      <w:r w:rsidR="007234EA">
        <w:rPr>
          <w:rFonts w:cs="Arial"/>
          <w:szCs w:val="16"/>
          <w:lang w:val="es-CR"/>
        </w:rPr>
        <w:t>8</w:t>
      </w:r>
      <w:r w:rsidRPr="00FA611D">
        <w:rPr>
          <w:rFonts w:cs="Arial"/>
          <w:szCs w:val="16"/>
          <w:lang w:val="es-CR"/>
        </w:rPr>
        <w:t xml:space="preserve">). </w:t>
      </w:r>
      <w:r w:rsidR="004C7EEA">
        <w:rPr>
          <w:rFonts w:cs="Arial"/>
          <w:szCs w:val="16"/>
          <w:lang w:val="es-CR"/>
        </w:rPr>
        <w:t xml:space="preserve">La Sentencia fue notificada el </w:t>
      </w:r>
      <w:r w:rsidR="00BA2B19">
        <w:rPr>
          <w:rFonts w:cs="Arial"/>
          <w:szCs w:val="16"/>
          <w:lang w:val="es-CR"/>
        </w:rPr>
        <w:t>20 de diciembre de 2006.</w:t>
      </w:r>
    </w:p>
  </w:footnote>
  <w:footnote w:id="2">
    <w:p w:rsidR="005D20C6" w:rsidRPr="00FA611D" w:rsidRDefault="005D20C6" w:rsidP="00290512">
      <w:pPr>
        <w:pStyle w:val="Textosinformato"/>
        <w:tabs>
          <w:tab w:val="left" w:pos="450"/>
          <w:tab w:val="left" w:pos="567"/>
        </w:tabs>
        <w:jc w:val="both"/>
        <w:rPr>
          <w:rFonts w:ascii="Verdana" w:hAnsi="Verdana"/>
          <w:sz w:val="16"/>
          <w:szCs w:val="16"/>
        </w:rPr>
      </w:pPr>
      <w:r w:rsidRPr="00FA611D">
        <w:rPr>
          <w:rStyle w:val="Refdenotaalpie"/>
          <w:rFonts w:ascii="Verdana" w:hAnsi="Verdana"/>
          <w:sz w:val="16"/>
          <w:szCs w:val="16"/>
        </w:rPr>
        <w:footnoteRef/>
      </w:r>
      <w:r w:rsidRPr="00FA611D">
        <w:rPr>
          <w:rFonts w:ascii="Verdana" w:hAnsi="Verdana"/>
          <w:sz w:val="16"/>
          <w:szCs w:val="16"/>
        </w:rPr>
        <w:t xml:space="preserve"> </w:t>
      </w:r>
      <w:r w:rsidRPr="00FA611D">
        <w:rPr>
          <w:rFonts w:ascii="Verdana" w:hAnsi="Verdana"/>
          <w:sz w:val="16"/>
          <w:szCs w:val="16"/>
        </w:rPr>
        <w:tab/>
      </w:r>
      <w:r w:rsidRPr="00FA611D">
        <w:rPr>
          <w:rFonts w:ascii="Verdana" w:hAnsi="Verdana" w:cs="Verdana"/>
          <w:sz w:val="16"/>
          <w:szCs w:val="16"/>
        </w:rPr>
        <w:t xml:space="preserve">El Estado sostuvo que los hechos ocurrieron en el marco del llamado “Operativo Mudanza 1”, que según fuentes oficiales pretendía el traslado de las internas que se encontraban en el pabellón 1A del Penal Miguel Castro Castro a otra cárcel de máxima seguridad de mujeres. </w:t>
      </w:r>
      <w:r w:rsidRPr="00FA611D">
        <w:rPr>
          <w:rFonts w:ascii="Verdana" w:hAnsi="Verdana"/>
          <w:i/>
          <w:sz w:val="16"/>
          <w:szCs w:val="16"/>
        </w:rPr>
        <w:t>Cfr.</w:t>
      </w:r>
      <w:r w:rsidRPr="00FA611D">
        <w:rPr>
          <w:rFonts w:ascii="Verdana" w:hAnsi="Verdana"/>
          <w:sz w:val="16"/>
          <w:szCs w:val="16"/>
        </w:rPr>
        <w:t xml:space="preserve"> </w:t>
      </w:r>
      <w:r w:rsidRPr="00264950">
        <w:rPr>
          <w:rFonts w:ascii="Verdana" w:hAnsi="Verdana"/>
          <w:i/>
          <w:sz w:val="16"/>
          <w:szCs w:val="16"/>
        </w:rPr>
        <w:t xml:space="preserve">Caso del Penal Miguel Castro </w:t>
      </w:r>
      <w:r w:rsidRPr="00264950">
        <w:rPr>
          <w:rFonts w:ascii="Verdana" w:hAnsi="Verdana"/>
          <w:i/>
          <w:sz w:val="16"/>
          <w:szCs w:val="16"/>
        </w:rPr>
        <w:t>Castro. Fondo, Reparaciones y Costas</w:t>
      </w:r>
      <w:r w:rsidR="00B30D89">
        <w:rPr>
          <w:rFonts w:ascii="Verdana" w:hAnsi="Verdana"/>
          <w:sz w:val="16"/>
          <w:szCs w:val="16"/>
          <w:lang w:val="es-CR"/>
        </w:rPr>
        <w:t xml:space="preserve">, </w:t>
      </w:r>
      <w:r w:rsidR="00B30D89">
        <w:rPr>
          <w:rFonts w:ascii="Verdana" w:hAnsi="Verdana"/>
          <w:i/>
          <w:sz w:val="16"/>
          <w:szCs w:val="16"/>
          <w:lang w:val="es-CR"/>
        </w:rPr>
        <w:t xml:space="preserve">supra </w:t>
      </w:r>
      <w:r w:rsidR="00B30D89">
        <w:rPr>
          <w:rFonts w:ascii="Verdana" w:hAnsi="Verdana"/>
          <w:sz w:val="16"/>
          <w:szCs w:val="16"/>
          <w:lang w:val="es-CR"/>
        </w:rPr>
        <w:t>nota 1,</w:t>
      </w:r>
      <w:r w:rsidRPr="00FA611D">
        <w:rPr>
          <w:rFonts w:ascii="Verdana" w:hAnsi="Verdana"/>
          <w:sz w:val="16"/>
          <w:szCs w:val="16"/>
        </w:rPr>
        <w:t xml:space="preserve"> </w:t>
      </w:r>
      <w:proofErr w:type="spellStart"/>
      <w:r w:rsidRPr="00FA611D">
        <w:rPr>
          <w:rFonts w:ascii="Verdana" w:hAnsi="Verdana" w:cs="Verdana"/>
          <w:sz w:val="16"/>
          <w:szCs w:val="16"/>
        </w:rPr>
        <w:t>párrs</w:t>
      </w:r>
      <w:proofErr w:type="spellEnd"/>
      <w:r w:rsidRPr="00FA611D">
        <w:rPr>
          <w:rFonts w:ascii="Verdana" w:hAnsi="Verdana" w:cs="Verdana"/>
          <w:sz w:val="16"/>
          <w:szCs w:val="16"/>
        </w:rPr>
        <w:t xml:space="preserve">. 210 a 216. </w:t>
      </w:r>
    </w:p>
  </w:footnote>
  <w:footnote w:id="3">
    <w:p w:rsidR="005D20C6" w:rsidRPr="00FA611D" w:rsidRDefault="005D20C6" w:rsidP="00290512">
      <w:pPr>
        <w:pStyle w:val="Textonotapie"/>
        <w:tabs>
          <w:tab w:val="left" w:pos="450"/>
          <w:tab w:val="left" w:pos="567"/>
        </w:tabs>
        <w:rPr>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Pr="00FA611D">
        <w:rPr>
          <w:szCs w:val="16"/>
          <w:lang w:val="es-CR"/>
        </w:rPr>
        <w:t>Aproximadamente 135 mujeres y 450 hombres.</w:t>
      </w:r>
    </w:p>
  </w:footnote>
  <w:footnote w:id="4">
    <w:p w:rsidR="005D20C6" w:rsidRPr="00FA611D" w:rsidRDefault="005D20C6" w:rsidP="00290512">
      <w:pPr>
        <w:pStyle w:val="Textonotapie"/>
        <w:tabs>
          <w:tab w:val="left" w:pos="450"/>
          <w:tab w:val="left" w:pos="567"/>
        </w:tabs>
        <w:rPr>
          <w:szCs w:val="16"/>
          <w:lang w:val="es-ES_tradnl"/>
        </w:rPr>
      </w:pPr>
      <w:r w:rsidRPr="00FA611D">
        <w:rPr>
          <w:rStyle w:val="Refdenotaalpie"/>
          <w:szCs w:val="16"/>
        </w:rPr>
        <w:footnoteRef/>
      </w:r>
      <w:r w:rsidRPr="00FA611D">
        <w:rPr>
          <w:szCs w:val="16"/>
          <w:lang w:val="es-CR"/>
        </w:rPr>
        <w:t xml:space="preserve"> </w:t>
      </w:r>
      <w:r w:rsidRPr="00FA611D">
        <w:rPr>
          <w:szCs w:val="16"/>
          <w:lang w:val="es-CR"/>
        </w:rPr>
        <w:tab/>
      </w:r>
      <w:r w:rsidRPr="00FA611D">
        <w:rPr>
          <w:rFonts w:cs="Verdana"/>
          <w:szCs w:val="16"/>
          <w:lang w:val="es-CR"/>
        </w:rPr>
        <w:t>La Corte consideró que no fue probado que existiera un motín u otra situación que ameritara el uso legítimo de la fuerza por los agentes estatales cuando se realizó el primer acto del “operativo”.</w:t>
      </w:r>
    </w:p>
  </w:footnote>
  <w:footnote w:id="5">
    <w:p w:rsidR="005D20C6" w:rsidRPr="00FA611D" w:rsidRDefault="005D20C6" w:rsidP="00290512">
      <w:pPr>
        <w:pStyle w:val="Textonotapie"/>
        <w:tabs>
          <w:tab w:val="left" w:pos="450"/>
        </w:tabs>
        <w:rPr>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Pr="00FA611D">
        <w:rPr>
          <w:szCs w:val="16"/>
          <w:lang w:val="es-CR"/>
        </w:rPr>
        <w:t>En perjuicio de</w:t>
      </w:r>
      <w:r w:rsidRPr="00FA611D">
        <w:rPr>
          <w:rFonts w:cs="Arial"/>
          <w:szCs w:val="16"/>
          <w:lang w:val="es-CR"/>
        </w:rPr>
        <w:t xml:space="preserve"> los familiares inmediatos de los internos fallecidos identificados, de los internos sobrevivientes y de los familiares de los internos determinados e identificados en la Sentencia.</w:t>
      </w:r>
    </w:p>
  </w:footnote>
  <w:footnote w:id="6">
    <w:p w:rsidR="005D20C6" w:rsidRPr="00FA611D" w:rsidRDefault="005D20C6" w:rsidP="00290512">
      <w:pPr>
        <w:pStyle w:val="Textonotapie"/>
        <w:tabs>
          <w:tab w:val="left" w:pos="450"/>
          <w:tab w:val="left" w:pos="567"/>
        </w:tabs>
        <w:rPr>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Pr="00FA611D">
        <w:rPr>
          <w:i/>
          <w:szCs w:val="16"/>
          <w:lang w:val="es-CR"/>
        </w:rPr>
        <w:t>Cfr.</w:t>
      </w:r>
      <w:r w:rsidRPr="00FA611D">
        <w:rPr>
          <w:szCs w:val="16"/>
          <w:lang w:val="es-CR"/>
        </w:rPr>
        <w:t xml:space="preserve"> </w:t>
      </w:r>
      <w:r w:rsidRPr="00FA611D">
        <w:rPr>
          <w:i/>
          <w:szCs w:val="16"/>
          <w:lang w:val="es-CR"/>
        </w:rPr>
        <w:t>Caso del Penal Miguel Castro Castro</w:t>
      </w:r>
      <w:r w:rsidRPr="00FA611D">
        <w:rPr>
          <w:szCs w:val="16"/>
          <w:lang w:val="es-CR"/>
        </w:rPr>
        <w:t xml:space="preserve">. Interpretación de </w:t>
      </w:r>
      <w:r w:rsidR="00881C49">
        <w:rPr>
          <w:szCs w:val="16"/>
          <w:lang w:val="es-CR"/>
        </w:rPr>
        <w:t xml:space="preserve">la </w:t>
      </w:r>
      <w:r w:rsidRPr="00FA611D">
        <w:rPr>
          <w:szCs w:val="16"/>
          <w:lang w:val="es-CR"/>
        </w:rPr>
        <w:t xml:space="preserve">Sentencia de Fondo, Reparaciones y Costas. Sentencia de 2 de agosto de 2008, Serie C No. 181. Disponible en: </w:t>
      </w:r>
      <w:r w:rsidRPr="00FA611D">
        <w:rPr>
          <w:szCs w:val="16"/>
        </w:rPr>
        <w:fldChar w:fldCharType="begin"/>
      </w:r>
      <w:r w:rsidR="00B864D3">
        <w:rPr>
          <w:szCs w:val="16"/>
          <w:lang w:val="es-CR"/>
        </w:rPr>
        <w:instrText>HYPERLINK</w:instrText>
      </w:r>
      <w:r w:rsidRPr="00FA611D">
        <w:rPr>
          <w:szCs w:val="16"/>
          <w:lang w:val="es-CR"/>
        </w:rPr>
        <w:instrText xml:space="preserve"> "http://www.corteidh.or.cr/docs/casos/articulos/seriec_181_esp.pdf"</w:instrText>
      </w:r>
      <w:r w:rsidRPr="00FA611D">
        <w:rPr>
          <w:szCs w:val="16"/>
        </w:rPr>
        <w:fldChar w:fldCharType="separate"/>
      </w:r>
      <w:r w:rsidRPr="00FA611D">
        <w:rPr>
          <w:rStyle w:val="Hipervnculo"/>
          <w:color w:val="auto"/>
          <w:szCs w:val="16"/>
          <w:lang w:val="es-CR"/>
        </w:rPr>
        <w:t>http://www.corteidh.or.cr/docs/casos</w:t>
      </w:r>
      <w:r w:rsidRPr="00FA611D">
        <w:rPr>
          <w:rStyle w:val="Hipervnculo"/>
          <w:color w:val="auto"/>
          <w:szCs w:val="16"/>
          <w:lang w:val="es-CR"/>
        </w:rPr>
        <w:t>/</w:t>
      </w:r>
      <w:r w:rsidRPr="00FA611D">
        <w:rPr>
          <w:rStyle w:val="Hipervnculo"/>
          <w:color w:val="auto"/>
          <w:szCs w:val="16"/>
          <w:lang w:val="es-CR"/>
        </w:rPr>
        <w:t>articulos/seriec_181_esp.pdf</w:t>
      </w:r>
      <w:r w:rsidRPr="00FA611D">
        <w:rPr>
          <w:szCs w:val="16"/>
        </w:rPr>
        <w:fldChar w:fldCharType="end"/>
      </w:r>
      <w:r w:rsidR="00881C49" w:rsidRPr="00264950">
        <w:rPr>
          <w:szCs w:val="16"/>
          <w:u w:val="single"/>
        </w:rPr>
        <w:t>.</w:t>
      </w:r>
    </w:p>
  </w:footnote>
  <w:footnote w:id="7">
    <w:p w:rsidR="007234EA" w:rsidRPr="007234EA" w:rsidRDefault="007234EA" w:rsidP="00290512">
      <w:pPr>
        <w:pStyle w:val="Textonotapie"/>
        <w:tabs>
          <w:tab w:val="left" w:pos="450"/>
        </w:tabs>
        <w:rPr>
          <w:lang w:val="es-CR"/>
        </w:rPr>
      </w:pPr>
      <w:r>
        <w:rPr>
          <w:rStyle w:val="Refdenotaalpie"/>
        </w:rPr>
        <w:footnoteRef/>
      </w:r>
      <w:r w:rsidRPr="007234EA">
        <w:rPr>
          <w:lang w:val="es-CR"/>
        </w:rPr>
        <w:t xml:space="preserve"> </w:t>
      </w:r>
      <w:r w:rsidR="00FB7D5B">
        <w:rPr>
          <w:lang w:val="es-CR"/>
        </w:rPr>
        <w:tab/>
      </w:r>
      <w:r w:rsidR="00FB7D5B" w:rsidRPr="00FB7D5B">
        <w:rPr>
          <w:i/>
          <w:szCs w:val="16"/>
          <w:lang w:val="es-CR"/>
        </w:rPr>
        <w:t>Cfr.</w:t>
      </w:r>
      <w:r w:rsidR="00FB7D5B" w:rsidRPr="00FA611D">
        <w:rPr>
          <w:szCs w:val="16"/>
          <w:lang w:val="es-CR"/>
        </w:rPr>
        <w:t xml:space="preserve"> </w:t>
      </w:r>
      <w:r w:rsidR="00FB7D5B" w:rsidRPr="00FA611D">
        <w:rPr>
          <w:i/>
          <w:szCs w:val="16"/>
          <w:lang w:val="es-CR"/>
        </w:rPr>
        <w:t>Caso del Penal Miguel Castro Castro. Vs. Perú. Supervisión de Cumplimiento de Sentencia.</w:t>
      </w:r>
      <w:r w:rsidR="00FB7D5B" w:rsidRPr="00FA611D">
        <w:rPr>
          <w:szCs w:val="16"/>
          <w:lang w:val="es-CR"/>
        </w:rPr>
        <w:t xml:space="preserve"> Resolución de la Corte Interamericana de Derechos Humanos </w:t>
      </w:r>
      <w:r w:rsidR="00881C49">
        <w:rPr>
          <w:szCs w:val="16"/>
          <w:lang w:val="es-CR"/>
        </w:rPr>
        <w:t xml:space="preserve">de </w:t>
      </w:r>
      <w:r w:rsidR="00FB7D5B" w:rsidRPr="00FA611D">
        <w:rPr>
          <w:szCs w:val="16"/>
          <w:lang w:val="es-CR"/>
        </w:rPr>
        <w:t xml:space="preserve">28 de abril de 2009, disponible en: </w:t>
      </w:r>
      <w:hyperlink r:id="rId2" w:history="1">
        <w:r w:rsidR="00FB7D5B" w:rsidRPr="00FA611D">
          <w:rPr>
            <w:rStyle w:val="Hipervnculo"/>
            <w:color w:val="auto"/>
            <w:szCs w:val="16"/>
            <w:lang w:val="es-CR"/>
          </w:rPr>
          <w:t>http://www.corteidh.or.cr/doc</w:t>
        </w:r>
        <w:r w:rsidR="00FB7D5B" w:rsidRPr="00FA611D">
          <w:rPr>
            <w:rStyle w:val="Hipervnculo"/>
            <w:color w:val="auto"/>
            <w:szCs w:val="16"/>
            <w:lang w:val="es-CR"/>
          </w:rPr>
          <w:t>s</w:t>
        </w:r>
        <w:r w:rsidR="00FB7D5B" w:rsidRPr="00FA611D">
          <w:rPr>
            <w:rStyle w:val="Hipervnculo"/>
            <w:color w:val="auto"/>
            <w:szCs w:val="16"/>
            <w:lang w:val="es-CR"/>
          </w:rPr>
          <w:t>/supervisiones/castro_28_04_09.pdf</w:t>
        </w:r>
      </w:hyperlink>
      <w:r w:rsidR="00881C49" w:rsidRPr="00881C49">
        <w:rPr>
          <w:rStyle w:val="Hipervnculo"/>
          <w:color w:val="auto"/>
          <w:szCs w:val="16"/>
          <w:u w:val="none"/>
          <w:lang w:val="es-CR"/>
        </w:rPr>
        <w:t>.</w:t>
      </w:r>
    </w:p>
  </w:footnote>
  <w:footnote w:id="8">
    <w:p w:rsidR="007234EA" w:rsidRPr="007234EA" w:rsidRDefault="007234EA" w:rsidP="00290512">
      <w:pPr>
        <w:pStyle w:val="Textonotapie"/>
        <w:tabs>
          <w:tab w:val="left" w:pos="450"/>
        </w:tabs>
        <w:rPr>
          <w:lang w:val="es-CR"/>
        </w:rPr>
      </w:pPr>
      <w:r>
        <w:rPr>
          <w:rStyle w:val="Refdenotaalpie"/>
        </w:rPr>
        <w:footnoteRef/>
      </w:r>
      <w:r w:rsidRPr="007234EA">
        <w:rPr>
          <w:lang w:val="es-CR"/>
        </w:rPr>
        <w:t xml:space="preserve"> </w:t>
      </w:r>
      <w:r w:rsidR="00FB7D5B">
        <w:rPr>
          <w:lang w:val="es-CR"/>
        </w:rPr>
        <w:tab/>
      </w:r>
      <w:r w:rsidR="00FB7D5B" w:rsidRPr="00FB7D5B">
        <w:rPr>
          <w:i/>
          <w:lang w:val="es-CR"/>
        </w:rPr>
        <w:t xml:space="preserve">Cfr. </w:t>
      </w:r>
      <w:r w:rsidR="00FB7D5B" w:rsidRPr="00FA611D">
        <w:rPr>
          <w:i/>
          <w:szCs w:val="16"/>
          <w:lang w:val="es-CR"/>
        </w:rPr>
        <w:t>Caso del Penal Miguel Castro Castro. Vs. Perú. Supervisión de Cumplimiento de Sentencia.</w:t>
      </w:r>
      <w:r w:rsidR="00FB7D5B" w:rsidRPr="00FA611D">
        <w:rPr>
          <w:szCs w:val="16"/>
          <w:lang w:val="es-CR"/>
        </w:rPr>
        <w:t xml:space="preserve"> Resolución de la Corte Interamericana de Derechos Humanos </w:t>
      </w:r>
      <w:r w:rsidR="00881C49">
        <w:rPr>
          <w:szCs w:val="16"/>
          <w:lang w:val="es-CR"/>
        </w:rPr>
        <w:t xml:space="preserve">de </w:t>
      </w:r>
      <w:r w:rsidR="00FB7D5B" w:rsidRPr="00FA611D">
        <w:rPr>
          <w:szCs w:val="16"/>
          <w:lang w:val="es-CR"/>
        </w:rPr>
        <w:t xml:space="preserve">31 de marzo de 2014, disponible en: </w:t>
      </w:r>
      <w:r w:rsidR="00FB7D5B" w:rsidRPr="00FA611D">
        <w:rPr>
          <w:rStyle w:val="Hipervnculo"/>
          <w:color w:val="auto"/>
          <w:szCs w:val="16"/>
        </w:rPr>
        <w:fldChar w:fldCharType="begin"/>
      </w:r>
      <w:r w:rsidR="00FB7D5B" w:rsidRPr="00FA611D">
        <w:rPr>
          <w:rStyle w:val="Hipervnculo"/>
          <w:color w:val="auto"/>
          <w:szCs w:val="16"/>
          <w:lang w:val="es-MX"/>
        </w:rPr>
        <w:instrText xml:space="preserve"> </w:instrText>
      </w:r>
      <w:r w:rsidR="00B864D3">
        <w:rPr>
          <w:rStyle w:val="Hipervnculo"/>
          <w:color w:val="auto"/>
          <w:szCs w:val="16"/>
          <w:lang w:val="es-MX"/>
        </w:rPr>
        <w:instrText>HYPERLINK</w:instrText>
      </w:r>
      <w:r w:rsidR="00FB7D5B" w:rsidRPr="00FA611D">
        <w:rPr>
          <w:rStyle w:val="Hipervnculo"/>
          <w:color w:val="auto"/>
          <w:szCs w:val="16"/>
          <w:lang w:val="es-MX"/>
        </w:rPr>
        <w:instrText xml:space="preserve"> "http://www.corteidh.or.cr/docs/supervisiones/castro_31_03_14.pdf" </w:instrText>
      </w:r>
      <w:r w:rsidR="00FB7D5B" w:rsidRPr="00FA611D">
        <w:rPr>
          <w:rStyle w:val="Hipervnculo"/>
          <w:color w:val="auto"/>
          <w:szCs w:val="16"/>
        </w:rPr>
        <w:fldChar w:fldCharType="separate"/>
      </w:r>
      <w:r w:rsidR="00FB7D5B" w:rsidRPr="00FA611D">
        <w:rPr>
          <w:rStyle w:val="Hipervnculo"/>
          <w:color w:val="auto"/>
          <w:szCs w:val="16"/>
          <w:lang w:val="es-CR"/>
        </w:rPr>
        <w:t>http://www.corteidh.or.cr/docs/supervisiones/castro_31_03_14.pdf</w:t>
      </w:r>
      <w:r w:rsidR="00FB7D5B" w:rsidRPr="00FA611D">
        <w:rPr>
          <w:rStyle w:val="Hipervnculo"/>
          <w:color w:val="auto"/>
          <w:szCs w:val="16"/>
        </w:rPr>
        <w:fldChar w:fldCharType="end"/>
      </w:r>
      <w:r w:rsidR="00881C49" w:rsidRPr="00264950">
        <w:rPr>
          <w:rStyle w:val="Hipervnculo"/>
          <w:color w:val="auto"/>
          <w:szCs w:val="16"/>
          <w:u w:val="none"/>
          <w:lang w:val="es-CR"/>
        </w:rPr>
        <w:t>.</w:t>
      </w:r>
    </w:p>
  </w:footnote>
  <w:footnote w:id="9">
    <w:p w:rsidR="005D20C6" w:rsidRPr="00FA611D" w:rsidRDefault="005D20C6" w:rsidP="00290512">
      <w:pPr>
        <w:pStyle w:val="Textonotapie"/>
        <w:tabs>
          <w:tab w:val="left" w:pos="450"/>
          <w:tab w:val="left" w:pos="567"/>
        </w:tabs>
        <w:rPr>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00FB7D5B">
        <w:rPr>
          <w:i/>
          <w:szCs w:val="16"/>
          <w:lang w:val="es-CR"/>
        </w:rPr>
        <w:t xml:space="preserve">Cfr. </w:t>
      </w:r>
      <w:r w:rsidRPr="00FA611D">
        <w:rPr>
          <w:i/>
          <w:szCs w:val="16"/>
          <w:lang w:val="es-CR"/>
        </w:rPr>
        <w:t xml:space="preserve">Caso del Penal Miguel Castro </w:t>
      </w:r>
      <w:r w:rsidRPr="00FA611D">
        <w:rPr>
          <w:i/>
          <w:szCs w:val="16"/>
          <w:lang w:val="es-CR"/>
        </w:rPr>
        <w:t>Castro. Vs. Perú. Supervisión de Cumplimiento de Sentencia.</w:t>
      </w:r>
      <w:r w:rsidRPr="00FA611D">
        <w:rPr>
          <w:szCs w:val="16"/>
          <w:lang w:val="es-CR"/>
        </w:rPr>
        <w:t xml:space="preserve"> Resolución de la Corte Interamericana de Derechos Humanos </w:t>
      </w:r>
      <w:r w:rsidR="00881C49">
        <w:rPr>
          <w:szCs w:val="16"/>
          <w:lang w:val="es-CR"/>
        </w:rPr>
        <w:t xml:space="preserve">de </w:t>
      </w:r>
      <w:r w:rsidRPr="00FA611D">
        <w:rPr>
          <w:szCs w:val="16"/>
          <w:lang w:val="es-CR"/>
        </w:rPr>
        <w:t xml:space="preserve">17 de abril de 2015, disponible en: </w:t>
      </w:r>
      <w:r w:rsidRPr="00FA611D">
        <w:rPr>
          <w:rStyle w:val="Hipervnculo"/>
          <w:color w:val="auto"/>
          <w:szCs w:val="16"/>
          <w:lang w:val="es-CR"/>
        </w:rPr>
        <w:t>http://www.corteidh.or.cr/docs/supervisiones/penalcastro_17_04_15.pdf</w:t>
      </w:r>
      <w:r w:rsidRPr="00FA611D">
        <w:rPr>
          <w:szCs w:val="16"/>
          <w:lang w:val="es-CR"/>
        </w:rPr>
        <w:t xml:space="preserve">. </w:t>
      </w:r>
    </w:p>
  </w:footnote>
  <w:footnote w:id="10">
    <w:p w:rsidR="00B44260" w:rsidRPr="00B44260" w:rsidRDefault="00B44260" w:rsidP="00290512">
      <w:pPr>
        <w:pStyle w:val="Textonotapie"/>
        <w:tabs>
          <w:tab w:val="left" w:pos="450"/>
        </w:tabs>
        <w:rPr>
          <w:lang w:val="es-CR"/>
        </w:rPr>
      </w:pPr>
      <w:r>
        <w:rPr>
          <w:rStyle w:val="Refdenotaalpie"/>
        </w:rPr>
        <w:footnoteRef/>
      </w:r>
      <w:r w:rsidRPr="00B44260">
        <w:rPr>
          <w:lang w:val="es-CR"/>
        </w:rPr>
        <w:t xml:space="preserve"> </w:t>
      </w:r>
      <w:r>
        <w:rPr>
          <w:lang w:val="es-CR"/>
        </w:rPr>
        <w:tab/>
      </w:r>
      <w:r w:rsidR="001E1E61">
        <w:rPr>
          <w:lang w:val="es-CR"/>
        </w:rPr>
        <w:t>El señor Cuicapusa</w:t>
      </w:r>
      <w:r w:rsidRPr="00B44260">
        <w:rPr>
          <w:lang w:val="es-CR"/>
        </w:rPr>
        <w:t xml:space="preserve"> indicó </w:t>
      </w:r>
      <w:r w:rsidR="001E1E61">
        <w:rPr>
          <w:lang w:val="es-CR"/>
        </w:rPr>
        <w:t xml:space="preserve">que </w:t>
      </w:r>
      <w:r w:rsidRPr="00B44260">
        <w:rPr>
          <w:lang w:val="es-CR"/>
        </w:rPr>
        <w:t>es la víctima consignada en el Anexo 2 de la Sentencia como “Quicapusa Martel Miguel</w:t>
      </w:r>
      <w:r>
        <w:rPr>
          <w:lang w:val="es-CR"/>
        </w:rPr>
        <w:t>”.</w:t>
      </w:r>
    </w:p>
  </w:footnote>
  <w:footnote w:id="11">
    <w:p w:rsidR="005D20C6" w:rsidRPr="00FA611D" w:rsidRDefault="005D20C6" w:rsidP="00290512">
      <w:pPr>
        <w:pStyle w:val="Textonotapie"/>
        <w:tabs>
          <w:tab w:val="left" w:pos="450"/>
        </w:tabs>
        <w:rPr>
          <w:szCs w:val="16"/>
          <w:lang w:val="es-ES"/>
        </w:rPr>
      </w:pPr>
      <w:r w:rsidRPr="00FA611D">
        <w:rPr>
          <w:rStyle w:val="Refdenotaalpie"/>
          <w:szCs w:val="16"/>
        </w:rPr>
        <w:footnoteRef/>
      </w:r>
      <w:r w:rsidRPr="00FA611D">
        <w:rPr>
          <w:szCs w:val="16"/>
          <w:lang w:val="es-ES"/>
        </w:rPr>
        <w:t xml:space="preserve"> </w:t>
      </w:r>
      <w:r w:rsidRPr="00FA611D">
        <w:rPr>
          <w:szCs w:val="16"/>
          <w:lang w:val="es-ES"/>
        </w:rPr>
        <w:tab/>
        <w:t xml:space="preserve">Escritos de 3 de agosto de 2015, 22 de julio y 18 de agosto de 2016. </w:t>
      </w:r>
    </w:p>
  </w:footnote>
  <w:footnote w:id="12">
    <w:p w:rsidR="005D20C6" w:rsidRPr="00FA611D" w:rsidRDefault="005D20C6" w:rsidP="00290512">
      <w:pPr>
        <w:pStyle w:val="Textonotapie"/>
        <w:tabs>
          <w:tab w:val="left" w:pos="450"/>
        </w:tabs>
        <w:rPr>
          <w:szCs w:val="16"/>
          <w:lang w:val="es-ES"/>
        </w:rPr>
      </w:pPr>
      <w:r w:rsidRPr="00FA611D">
        <w:rPr>
          <w:rStyle w:val="Refdenotaalpie"/>
          <w:szCs w:val="16"/>
        </w:rPr>
        <w:footnoteRef/>
      </w:r>
      <w:r w:rsidRPr="00FA611D">
        <w:rPr>
          <w:szCs w:val="16"/>
          <w:lang w:val="es-ES"/>
        </w:rPr>
        <w:t xml:space="preserve"> </w:t>
      </w:r>
      <w:r w:rsidRPr="00FA611D">
        <w:rPr>
          <w:szCs w:val="16"/>
          <w:lang w:val="es-ES"/>
        </w:rPr>
        <w:tab/>
        <w:t xml:space="preserve">Escritos de 15 de agosto, 20 de agosto y 7 de octubre de 2015. </w:t>
      </w:r>
    </w:p>
  </w:footnote>
  <w:footnote w:id="13">
    <w:p w:rsidR="005D20C6" w:rsidRPr="00FA611D" w:rsidRDefault="005D20C6" w:rsidP="00290512">
      <w:pPr>
        <w:pStyle w:val="Textonotapie"/>
        <w:tabs>
          <w:tab w:val="left" w:pos="450"/>
          <w:tab w:val="left" w:pos="567"/>
        </w:tabs>
        <w:rPr>
          <w:szCs w:val="16"/>
          <w:lang w:val="es-CR"/>
        </w:rPr>
      </w:pPr>
      <w:r w:rsidRPr="00FA611D">
        <w:rPr>
          <w:rStyle w:val="Refdenotaalpie"/>
          <w:szCs w:val="16"/>
          <w:lang w:val="es-CR"/>
        </w:rPr>
        <w:footnoteRef/>
      </w:r>
      <w:r w:rsidRPr="00FA611D">
        <w:rPr>
          <w:szCs w:val="16"/>
          <w:lang w:val="es-CR"/>
        </w:rPr>
        <w:t xml:space="preserve"> </w:t>
      </w:r>
      <w:r w:rsidRPr="00FA611D">
        <w:rPr>
          <w:szCs w:val="16"/>
          <w:lang w:val="es-CR"/>
        </w:rPr>
        <w:tab/>
        <w:t>Facultad que además se desprende de lo dispuesto en los artículos 33, 62.1, 62.3 y 65 de la Convención Americana y 30 de su Estatuto y se encuentra regulada en el artículo 69 de su Reglamento.</w:t>
      </w:r>
    </w:p>
  </w:footnote>
  <w:footnote w:id="14">
    <w:p w:rsidR="005D20C6" w:rsidRPr="00FA611D" w:rsidRDefault="005D20C6" w:rsidP="00290512">
      <w:pPr>
        <w:pStyle w:val="Textonotapie"/>
        <w:tabs>
          <w:tab w:val="left" w:pos="450"/>
        </w:tabs>
        <w:rPr>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Pr="00FA611D">
        <w:rPr>
          <w:i/>
          <w:szCs w:val="16"/>
          <w:lang w:val="es-CR"/>
        </w:rPr>
        <w:t xml:space="preserve">Cfr. Caso del Penal Miguel Castro </w:t>
      </w:r>
      <w:r w:rsidRPr="00FA611D">
        <w:rPr>
          <w:i/>
          <w:szCs w:val="16"/>
          <w:lang w:val="es-CR"/>
        </w:rPr>
        <w:t xml:space="preserve">Castro Vs. Perú, supra </w:t>
      </w:r>
      <w:r w:rsidRPr="00FA611D">
        <w:rPr>
          <w:szCs w:val="16"/>
          <w:lang w:val="es-CR"/>
        </w:rPr>
        <w:t xml:space="preserve">nota </w:t>
      </w:r>
      <w:r w:rsidR="00881C49">
        <w:rPr>
          <w:szCs w:val="16"/>
          <w:lang w:val="es-CR"/>
        </w:rPr>
        <w:t>9</w:t>
      </w:r>
      <w:r w:rsidRPr="00FA611D">
        <w:rPr>
          <w:szCs w:val="16"/>
          <w:lang w:val="es-CR"/>
        </w:rPr>
        <w:t>, punto resolutivo primero.</w:t>
      </w:r>
    </w:p>
  </w:footnote>
  <w:footnote w:id="15">
    <w:p w:rsidR="00881C49" w:rsidRPr="00264950" w:rsidRDefault="00881C49" w:rsidP="00290512">
      <w:pPr>
        <w:pStyle w:val="Textonotapie"/>
        <w:tabs>
          <w:tab w:val="left" w:pos="450"/>
        </w:tabs>
        <w:rPr>
          <w:lang w:val="es-CR"/>
        </w:rPr>
      </w:pPr>
      <w:r>
        <w:rPr>
          <w:rStyle w:val="Refdenotaalpie"/>
        </w:rPr>
        <w:footnoteRef/>
      </w:r>
      <w:r w:rsidRPr="00264950">
        <w:rPr>
          <w:lang w:val="es-CR"/>
        </w:rPr>
        <w:t xml:space="preserve"> </w:t>
      </w:r>
      <w:r>
        <w:rPr>
          <w:lang w:val="es-CR"/>
        </w:rPr>
        <w:tab/>
      </w:r>
      <w:r w:rsidRPr="00264950">
        <w:rPr>
          <w:i/>
          <w:szCs w:val="16"/>
          <w:lang w:val="es-CR"/>
        </w:rPr>
        <w:t>Cfr. Caso Cinco Pensionistas Vs. Perú. Supervisión de Cumplimiento de Sentencia</w:t>
      </w:r>
      <w:r w:rsidRPr="00264950">
        <w:rPr>
          <w:szCs w:val="16"/>
          <w:lang w:val="es-CR"/>
        </w:rPr>
        <w:t xml:space="preserve">. Resolución de la Corte de 17 de noviembre de 2004, Considerando quinto, y </w:t>
      </w:r>
      <w:r w:rsidRPr="00264950">
        <w:rPr>
          <w:i/>
          <w:szCs w:val="16"/>
          <w:lang w:val="es-CR"/>
        </w:rPr>
        <w:t>Caso Tibi Vs. Ecuador. Supervisión de Cumplimiento de Sentencia</w:t>
      </w:r>
      <w:r w:rsidRPr="00264950">
        <w:rPr>
          <w:szCs w:val="16"/>
          <w:lang w:val="es-CR"/>
        </w:rPr>
        <w:t>. Resolución de la Corte Interamericana de Derechos Humanos 22 de n</w:t>
      </w:r>
      <w:r w:rsidR="002C093B">
        <w:rPr>
          <w:szCs w:val="16"/>
          <w:lang w:val="es-CR"/>
        </w:rPr>
        <w:t>oviembre de 2016, Considerando segundo</w:t>
      </w:r>
      <w:r w:rsidRPr="00264950">
        <w:rPr>
          <w:szCs w:val="16"/>
          <w:lang w:val="es-CR"/>
        </w:rPr>
        <w:t>.</w:t>
      </w:r>
    </w:p>
  </w:footnote>
  <w:footnote w:id="16">
    <w:p w:rsidR="005D20C6" w:rsidRPr="00FA611D" w:rsidRDefault="005D20C6" w:rsidP="00290512">
      <w:pPr>
        <w:tabs>
          <w:tab w:val="left" w:pos="450"/>
        </w:tabs>
        <w:autoSpaceDE w:val="0"/>
        <w:autoSpaceDN w:val="0"/>
        <w:adjustRightInd w:val="0"/>
        <w:ind w:right="-96"/>
        <w:jc w:val="both"/>
        <w:rPr>
          <w:rFonts w:ascii="Verdana" w:eastAsia="Times New Roman" w:hAnsi="Verdana"/>
          <w:b/>
          <w:sz w:val="16"/>
          <w:szCs w:val="16"/>
          <w:lang w:val="es-AR"/>
        </w:rPr>
      </w:pPr>
      <w:r w:rsidRPr="00FA611D">
        <w:rPr>
          <w:rStyle w:val="Refdenotaalpie"/>
          <w:rFonts w:ascii="Verdana" w:hAnsi="Verdana"/>
          <w:sz w:val="16"/>
          <w:szCs w:val="16"/>
        </w:rPr>
        <w:footnoteRef/>
      </w:r>
      <w:r w:rsidRPr="00FA611D">
        <w:rPr>
          <w:rFonts w:ascii="Verdana" w:hAnsi="Verdana"/>
          <w:sz w:val="16"/>
          <w:szCs w:val="16"/>
          <w:lang w:val="de-DE"/>
        </w:rPr>
        <w:t xml:space="preserve"> </w:t>
      </w:r>
      <w:r w:rsidRPr="00FA611D">
        <w:rPr>
          <w:rFonts w:ascii="Verdana" w:hAnsi="Verdana"/>
          <w:sz w:val="16"/>
          <w:szCs w:val="16"/>
          <w:lang w:val="de-DE"/>
        </w:rPr>
        <w:tab/>
      </w:r>
      <w:r w:rsidRPr="00FA611D">
        <w:rPr>
          <w:rFonts w:ascii="Verdana" w:hAnsi="Verdana"/>
          <w:i/>
          <w:noProof/>
          <w:sz w:val="16"/>
          <w:szCs w:val="16"/>
          <w:lang w:val="de-DE"/>
        </w:rPr>
        <w:t xml:space="preserve">Cfr. Caso Ivcher Bronstein Vs. </w:t>
      </w:r>
      <w:r w:rsidRPr="00FA611D">
        <w:rPr>
          <w:rFonts w:ascii="Verdana" w:hAnsi="Verdana"/>
          <w:i/>
          <w:noProof/>
          <w:sz w:val="16"/>
          <w:szCs w:val="16"/>
          <w:lang w:val="es-ES"/>
        </w:rPr>
        <w:t>Perú. Competencia.</w:t>
      </w:r>
      <w:r w:rsidRPr="00FA611D">
        <w:rPr>
          <w:rFonts w:ascii="Verdana" w:hAnsi="Verdana"/>
          <w:noProof/>
          <w:sz w:val="16"/>
          <w:szCs w:val="16"/>
          <w:lang w:val="es-ES"/>
        </w:rPr>
        <w:t xml:space="preserve"> Sentencia de de la Corte Interamericana de Derechos Humanos de 24 de septiembre de 1999.</w:t>
      </w:r>
      <w:r w:rsidRPr="00FA611D">
        <w:rPr>
          <w:rFonts w:ascii="Verdana" w:hAnsi="Verdana"/>
          <w:sz w:val="16"/>
          <w:szCs w:val="16"/>
          <w:lang w:val="es-ES"/>
        </w:rPr>
        <w:t xml:space="preserve"> </w:t>
      </w:r>
      <w:r w:rsidRPr="00FA611D">
        <w:rPr>
          <w:rFonts w:ascii="Verdana" w:hAnsi="Verdana"/>
          <w:noProof/>
          <w:sz w:val="16"/>
          <w:szCs w:val="16"/>
          <w:lang w:val="es-ES"/>
        </w:rPr>
        <w:t xml:space="preserve">Serie C No. 54, párr. 37, </w:t>
      </w:r>
      <w:r w:rsidRPr="00FA611D">
        <w:rPr>
          <w:rFonts w:ascii="Verdana" w:hAnsi="Verdana"/>
          <w:bCs/>
          <w:sz w:val="16"/>
          <w:szCs w:val="16"/>
          <w:lang w:bidi="en-US"/>
        </w:rPr>
        <w:t xml:space="preserve">y </w:t>
      </w:r>
      <w:r w:rsidR="001376AC" w:rsidRPr="001376AC">
        <w:rPr>
          <w:rStyle w:val="Textoennegrita"/>
          <w:rFonts w:ascii="Verdana" w:hAnsi="Verdana"/>
          <w:b w:val="0"/>
          <w:i/>
          <w:sz w:val="16"/>
          <w:szCs w:val="16"/>
        </w:rPr>
        <w:t xml:space="preserve">Caso Defensor de Derechos Humanos y otros Vs. Guatemala. Supervisión de Cumplimiento de Sentencia. </w:t>
      </w:r>
      <w:r w:rsidR="001376AC" w:rsidRPr="001376AC">
        <w:rPr>
          <w:rStyle w:val="Textoennegrita"/>
          <w:rFonts w:ascii="Verdana" w:hAnsi="Verdana"/>
          <w:b w:val="0"/>
          <w:sz w:val="16"/>
          <w:szCs w:val="16"/>
        </w:rPr>
        <w:t>Resolución de la Corte Interamericana de Derechos Hum</w:t>
      </w:r>
      <w:r w:rsidR="001376AC">
        <w:rPr>
          <w:rStyle w:val="Textoennegrita"/>
          <w:rFonts w:ascii="Verdana" w:hAnsi="Verdana"/>
          <w:b w:val="0"/>
          <w:sz w:val="16"/>
          <w:szCs w:val="16"/>
        </w:rPr>
        <w:t>anos de 22 de noviembre de 2016</w:t>
      </w:r>
      <w:r w:rsidRPr="001376AC">
        <w:rPr>
          <w:rStyle w:val="Textoennegrita"/>
          <w:rFonts w:ascii="Verdana" w:hAnsi="Verdana"/>
          <w:b w:val="0"/>
          <w:sz w:val="16"/>
          <w:szCs w:val="16"/>
          <w:shd w:val="clear" w:color="auto" w:fill="FFFFFF"/>
        </w:rPr>
        <w:t>,</w:t>
      </w:r>
      <w:r w:rsidR="001376AC" w:rsidRPr="001376AC">
        <w:rPr>
          <w:rStyle w:val="Textoennegrita"/>
          <w:rFonts w:ascii="Verdana" w:hAnsi="Verdana"/>
          <w:b w:val="0"/>
          <w:sz w:val="16"/>
          <w:szCs w:val="16"/>
          <w:shd w:val="clear" w:color="auto" w:fill="FFFFFF"/>
        </w:rPr>
        <w:t xml:space="preserve"> </w:t>
      </w:r>
      <w:r w:rsidRPr="00FA611D">
        <w:rPr>
          <w:rFonts w:ascii="Verdana" w:hAnsi="Verdana"/>
          <w:bCs/>
          <w:sz w:val="16"/>
          <w:szCs w:val="16"/>
          <w:lang w:val="es-AR"/>
        </w:rPr>
        <w:t>Considerando segundo.</w:t>
      </w:r>
    </w:p>
  </w:footnote>
  <w:footnote w:id="17">
    <w:p w:rsidR="007D0CCF" w:rsidRPr="003C4520" w:rsidRDefault="007D0CCF" w:rsidP="00290512">
      <w:pPr>
        <w:pStyle w:val="Textonotapie"/>
        <w:tabs>
          <w:tab w:val="left" w:pos="450"/>
        </w:tabs>
        <w:rPr>
          <w:b/>
          <w:szCs w:val="16"/>
          <w:lang w:val="es-ES_tradnl"/>
        </w:rPr>
      </w:pPr>
      <w:r w:rsidRPr="00FA611D">
        <w:rPr>
          <w:rStyle w:val="Refdenotaalpie"/>
          <w:szCs w:val="16"/>
        </w:rPr>
        <w:footnoteRef/>
      </w:r>
      <w:r w:rsidRPr="007D0CCF">
        <w:rPr>
          <w:szCs w:val="16"/>
          <w:lang w:val="es-CR"/>
        </w:rPr>
        <w:t xml:space="preserve"> </w:t>
      </w:r>
      <w:r w:rsidRPr="00FA611D">
        <w:rPr>
          <w:szCs w:val="16"/>
          <w:lang w:val="es-ES_tradnl"/>
        </w:rPr>
        <w:tab/>
      </w:r>
      <w:r>
        <w:rPr>
          <w:szCs w:val="16"/>
          <w:lang w:val="es-ES_tradnl"/>
        </w:rPr>
        <w:t>El Juez Titular</w:t>
      </w:r>
      <w:r w:rsidR="001901DB">
        <w:rPr>
          <w:szCs w:val="16"/>
          <w:lang w:val="es-ES_tradnl"/>
        </w:rPr>
        <w:t xml:space="preserve"> del </w:t>
      </w:r>
      <w:r w:rsidR="001901DB" w:rsidRPr="001901DB">
        <w:rPr>
          <w:szCs w:val="16"/>
          <w:lang w:val="es-ES_tradnl"/>
        </w:rPr>
        <w:t>Juzgado de Ejecución de Sentencias Supranacionales</w:t>
      </w:r>
      <w:r>
        <w:rPr>
          <w:szCs w:val="16"/>
          <w:lang w:val="es-ES_tradnl"/>
        </w:rPr>
        <w:t xml:space="preserve"> indicó que en el transcurso de las referidas apelaciones, “se presentó un inconveniente en lo que respecta a la notificación oportuna”, debido a que “dos personas debían ser notificadas mediante oficios dirigidos a los Establecimientos Penales de Mujeres de Chorrillos y Miguel Castro </w:t>
      </w:r>
      <w:proofErr w:type="spellStart"/>
      <w:r>
        <w:rPr>
          <w:szCs w:val="16"/>
          <w:lang w:val="es-ES_tradnl"/>
        </w:rPr>
        <w:t>Castro</w:t>
      </w:r>
      <w:proofErr w:type="spellEnd"/>
      <w:r>
        <w:rPr>
          <w:szCs w:val="16"/>
          <w:lang w:val="es-ES_tradnl"/>
        </w:rPr>
        <w:t xml:space="preserve">”, lo cual “generaba un considerable atraso para efectos de elevar los autos al Superior Tribunal”. </w:t>
      </w:r>
      <w:r w:rsidR="001901DB">
        <w:rPr>
          <w:szCs w:val="16"/>
          <w:lang w:val="es-ES_tradnl"/>
        </w:rPr>
        <w:t xml:space="preserve">Explicó </w:t>
      </w:r>
      <w:r>
        <w:rPr>
          <w:szCs w:val="16"/>
          <w:lang w:val="es-ES_tradnl"/>
        </w:rPr>
        <w:t>que</w:t>
      </w:r>
      <w:r w:rsidR="001901DB">
        <w:rPr>
          <w:szCs w:val="16"/>
          <w:lang w:val="es-ES_tradnl"/>
        </w:rPr>
        <w:t>,</w:t>
      </w:r>
      <w:r>
        <w:rPr>
          <w:szCs w:val="16"/>
          <w:lang w:val="es-ES_tradnl"/>
        </w:rPr>
        <w:t xml:space="preserve"> a pesar de que “el Especialista </w:t>
      </w:r>
      <w:r w:rsidR="00062103">
        <w:rPr>
          <w:szCs w:val="16"/>
          <w:lang w:val="es-ES_tradnl"/>
        </w:rPr>
        <w:t>L</w:t>
      </w:r>
      <w:r>
        <w:rPr>
          <w:szCs w:val="16"/>
          <w:lang w:val="es-ES_tradnl"/>
        </w:rPr>
        <w:t xml:space="preserve">egal de la causa [se presentó] en varias oportunidades a efectos de diligenciar los oficios directamente a dicha entidad </w:t>
      </w:r>
      <w:proofErr w:type="gramStart"/>
      <w:r>
        <w:rPr>
          <w:szCs w:val="16"/>
          <w:lang w:val="es-ES_tradnl"/>
        </w:rPr>
        <w:t>administrativa[</w:t>
      </w:r>
      <w:proofErr w:type="gramEnd"/>
      <w:r w:rsidR="001901DB">
        <w:rPr>
          <w:szCs w:val="16"/>
          <w:lang w:val="es-ES_tradnl"/>
        </w:rPr>
        <w:t>,</w:t>
      </w:r>
      <w:r>
        <w:rPr>
          <w:szCs w:val="16"/>
          <w:lang w:val="es-ES_tradnl"/>
        </w:rPr>
        <w:t xml:space="preserve">] de nada servía el esfuerzo[,] toda vez que los Directores demoraban en remitir los cargos de notificación debidamente firmados por los correspondientes destinatarios”. </w:t>
      </w:r>
    </w:p>
  </w:footnote>
  <w:footnote w:id="18">
    <w:p w:rsidR="007D0CCF" w:rsidRPr="004E1455" w:rsidRDefault="007D0CCF" w:rsidP="00290512">
      <w:pPr>
        <w:pStyle w:val="Textonotapie"/>
        <w:tabs>
          <w:tab w:val="left" w:pos="450"/>
        </w:tabs>
        <w:rPr>
          <w:lang w:val="es-ES_tradnl"/>
        </w:rPr>
      </w:pPr>
      <w:r>
        <w:rPr>
          <w:rStyle w:val="Refdenotaalpie"/>
        </w:rPr>
        <w:footnoteRef/>
      </w:r>
      <w:r w:rsidRPr="007D0CCF">
        <w:rPr>
          <w:lang w:val="es-CR"/>
        </w:rPr>
        <w:t xml:space="preserve"> </w:t>
      </w:r>
      <w:r>
        <w:rPr>
          <w:lang w:val="es-ES_tradnl"/>
        </w:rPr>
        <w:tab/>
        <w:t xml:space="preserve">Al respecto, </w:t>
      </w:r>
      <w:r w:rsidR="001901DB">
        <w:rPr>
          <w:szCs w:val="16"/>
          <w:lang w:val="es-ES_tradnl"/>
        </w:rPr>
        <w:t xml:space="preserve">Juez Titular del </w:t>
      </w:r>
      <w:r w:rsidR="001901DB" w:rsidRPr="001901DB">
        <w:rPr>
          <w:szCs w:val="16"/>
          <w:lang w:val="es-ES_tradnl"/>
        </w:rPr>
        <w:t>Juzgado de Ejecución de Sentencias Supranacionales</w:t>
      </w:r>
      <w:r w:rsidR="001901DB">
        <w:rPr>
          <w:szCs w:val="16"/>
          <w:lang w:val="es-ES_tradnl"/>
        </w:rPr>
        <w:t xml:space="preserve"> i</w:t>
      </w:r>
      <w:r>
        <w:rPr>
          <w:lang w:val="es-ES_tradnl"/>
        </w:rPr>
        <w:t>ndic</w:t>
      </w:r>
      <w:r w:rsidR="00062103">
        <w:rPr>
          <w:lang w:val="es-ES_tradnl"/>
        </w:rPr>
        <w:t>ó</w:t>
      </w:r>
      <w:r>
        <w:rPr>
          <w:lang w:val="es-ES_tradnl"/>
        </w:rPr>
        <w:t xml:space="preserve"> que “conforme lo dispuesto por el artículo 66[0] del Código Civil, desde el momento de la muerte de una persona, los bienes, derechos y obligaciones que constituyen la herencia se </w:t>
      </w:r>
      <w:proofErr w:type="spellStart"/>
      <w:r>
        <w:rPr>
          <w:lang w:val="es-ES_tradnl"/>
        </w:rPr>
        <w:t>tra</w:t>
      </w:r>
      <w:proofErr w:type="spellEnd"/>
      <w:r>
        <w:rPr>
          <w:lang w:val="es-ES_tradnl"/>
        </w:rPr>
        <w:t>[n]</w:t>
      </w:r>
      <w:proofErr w:type="spellStart"/>
      <w:r>
        <w:rPr>
          <w:lang w:val="es-ES_tradnl"/>
        </w:rPr>
        <w:t>smiten</w:t>
      </w:r>
      <w:proofErr w:type="spellEnd"/>
      <w:r>
        <w:rPr>
          <w:lang w:val="es-ES_tradnl"/>
        </w:rPr>
        <w:t xml:space="preserve"> a sus sucesores; norma legal concordante con el inciso primero del artículo 10[8] del Código Procesal Civil […] Se presenta la sucesión procesal cuando […] fallecida una persona que sea parte en el proceso, es reemplazada por su sucesor, salvo disposición legal en contrario. Dicho procedimiento se ha solicitado a varios </w:t>
      </w:r>
      <w:proofErr w:type="gramStart"/>
      <w:r>
        <w:rPr>
          <w:lang w:val="es-ES_tradnl"/>
        </w:rPr>
        <w:t>ciudadanos[</w:t>
      </w:r>
      <w:proofErr w:type="gramEnd"/>
      <w:r>
        <w:rPr>
          <w:lang w:val="es-ES_tradnl"/>
        </w:rPr>
        <w:t xml:space="preserve">,] quienes se han apersonado al proceso señalando ser el heredero de tal o cual interno fallecido en los sucesos que fueron materia de la demanda supranacional [o] de algún interno fallecido [posteriormente]”. El referido </w:t>
      </w:r>
      <w:r w:rsidR="00A94C88">
        <w:rPr>
          <w:lang w:val="es-ES_tradnl"/>
        </w:rPr>
        <w:t>j</w:t>
      </w:r>
      <w:r>
        <w:rPr>
          <w:lang w:val="es-ES_tradnl"/>
        </w:rPr>
        <w:t>uez señal</w:t>
      </w:r>
      <w:r w:rsidR="00062103">
        <w:rPr>
          <w:lang w:val="es-ES_tradnl"/>
        </w:rPr>
        <w:t>ó</w:t>
      </w:r>
      <w:r>
        <w:rPr>
          <w:lang w:val="es-ES_tradnl"/>
        </w:rPr>
        <w:t xml:space="preserve"> que “de procederse de otra </w:t>
      </w:r>
      <w:proofErr w:type="gramStart"/>
      <w:r>
        <w:rPr>
          <w:lang w:val="es-ES_tradnl"/>
        </w:rPr>
        <w:t>manera[</w:t>
      </w:r>
      <w:proofErr w:type="gramEnd"/>
      <w:r>
        <w:rPr>
          <w:lang w:val="es-ES_tradnl"/>
        </w:rPr>
        <w:t xml:space="preserve">,] se estaría vulnerando el legítimo derecho hereditario de los familiares de las 41 víctimas fallecidas identificadas y de las víctimas sobrevivientes”. </w:t>
      </w:r>
    </w:p>
  </w:footnote>
  <w:footnote w:id="19">
    <w:p w:rsidR="00BC14F8" w:rsidRPr="00BC14F8" w:rsidRDefault="00BC14F8" w:rsidP="00290512">
      <w:pPr>
        <w:pStyle w:val="Textonotapie"/>
        <w:tabs>
          <w:tab w:val="left" w:pos="450"/>
        </w:tabs>
        <w:rPr>
          <w:b/>
          <w:lang w:val="es-CR"/>
        </w:rPr>
      </w:pPr>
      <w:r>
        <w:rPr>
          <w:rStyle w:val="Refdenotaalpie"/>
        </w:rPr>
        <w:footnoteRef/>
      </w:r>
      <w:r w:rsidRPr="00BC14F8">
        <w:rPr>
          <w:lang w:val="es-CR"/>
        </w:rPr>
        <w:t xml:space="preserve"> </w:t>
      </w:r>
      <w:r>
        <w:rPr>
          <w:lang w:val="es-CR"/>
        </w:rPr>
        <w:tab/>
        <w:t>Escrito No. 105 de 25 de enero de 2016 relativo a la “Aclaración de [</w:t>
      </w:r>
      <w:r>
        <w:rPr>
          <w:lang w:val="es-CR"/>
        </w:rPr>
        <w:t>d]atos de [i]dentificación de [b]eneficiarios de Sentencia [s]upranacional”, suscrito por el Procurador Adjunto del Ministerio de Justicia y Derechos Humanos y dirigido al Juzgado Especializado en Ejecución de Sentencias Supranacionales de Lima (anexo al informe e</w:t>
      </w:r>
      <w:r w:rsidR="00446F43">
        <w:rPr>
          <w:lang w:val="es-CR"/>
        </w:rPr>
        <w:t>statal de 22 de julio de 2016).</w:t>
      </w:r>
    </w:p>
  </w:footnote>
  <w:footnote w:id="20">
    <w:p w:rsidR="009D49C7" w:rsidRPr="009D49C7" w:rsidRDefault="009D49C7" w:rsidP="00290512">
      <w:pPr>
        <w:pStyle w:val="Textonotapie"/>
        <w:tabs>
          <w:tab w:val="left" w:pos="450"/>
        </w:tabs>
        <w:rPr>
          <w:lang w:val="es-CR"/>
        </w:rPr>
      </w:pPr>
      <w:r>
        <w:rPr>
          <w:rStyle w:val="Refdenotaalpie"/>
        </w:rPr>
        <w:footnoteRef/>
      </w:r>
      <w:r w:rsidRPr="009D49C7">
        <w:rPr>
          <w:lang w:val="es-CR"/>
        </w:rPr>
        <w:t xml:space="preserve"> </w:t>
      </w:r>
      <w:r>
        <w:rPr>
          <w:lang w:val="es-CR"/>
        </w:rPr>
        <w:tab/>
      </w:r>
      <w:r>
        <w:rPr>
          <w:i/>
          <w:lang w:val="es-CR"/>
        </w:rPr>
        <w:t xml:space="preserve">Cfr. Caso del Penal </w:t>
      </w:r>
      <w:r w:rsidRPr="00675B38">
        <w:rPr>
          <w:i/>
          <w:lang w:val="es-CR"/>
        </w:rPr>
        <w:t xml:space="preserve">Miguel Castro Castro, supra </w:t>
      </w:r>
      <w:r>
        <w:rPr>
          <w:lang w:val="es-CR"/>
        </w:rPr>
        <w:t>nota 8, Considerando 75.</w:t>
      </w:r>
    </w:p>
  </w:footnote>
  <w:footnote w:id="21">
    <w:p w:rsidR="005D20C6" w:rsidRPr="00FA611D" w:rsidRDefault="005D20C6" w:rsidP="00290512">
      <w:pPr>
        <w:pStyle w:val="Textonotapie"/>
        <w:tabs>
          <w:tab w:val="left" w:pos="450"/>
        </w:tabs>
        <w:rPr>
          <w:color w:val="000000"/>
          <w:szCs w:val="16"/>
          <w:lang w:val="es-CR"/>
        </w:rPr>
      </w:pPr>
      <w:r w:rsidRPr="00FA611D">
        <w:rPr>
          <w:rStyle w:val="Refdenotaalpie"/>
          <w:szCs w:val="16"/>
        </w:rPr>
        <w:footnoteRef/>
      </w:r>
      <w:r w:rsidRPr="00FA611D">
        <w:rPr>
          <w:szCs w:val="16"/>
          <w:lang w:val="es-CR"/>
        </w:rPr>
        <w:t xml:space="preserve"> </w:t>
      </w:r>
      <w:r w:rsidRPr="00FA611D">
        <w:rPr>
          <w:szCs w:val="16"/>
          <w:lang w:val="es-CR"/>
        </w:rPr>
        <w:tab/>
      </w:r>
      <w:r w:rsidRPr="00FA611D">
        <w:rPr>
          <w:color w:val="000000"/>
          <w:szCs w:val="16"/>
          <w:lang w:val="es-CR"/>
        </w:rPr>
        <w:t xml:space="preserve">El señor Mario Francisco Aguilar Vega figura como unos de los 41 internos fallecidos identificados y se supone que a él se refería el </w:t>
      </w:r>
      <w:r w:rsidR="00AB30B9">
        <w:rPr>
          <w:rFonts w:cs="Verdana"/>
          <w:color w:val="000000"/>
          <w:szCs w:val="16"/>
          <w:lang w:val="es-CR"/>
        </w:rPr>
        <w:t xml:space="preserve">protocolo de necropsia </w:t>
      </w:r>
      <w:r w:rsidRPr="00FA611D">
        <w:rPr>
          <w:rFonts w:cs="Verdana"/>
          <w:color w:val="000000"/>
          <w:szCs w:val="16"/>
          <w:lang w:val="es-CR"/>
        </w:rPr>
        <w:t>Nº 2007</w:t>
      </w:r>
      <w:r w:rsidR="00AB30B9">
        <w:rPr>
          <w:rFonts w:cs="Verdana"/>
          <w:color w:val="000000"/>
          <w:szCs w:val="16"/>
          <w:lang w:val="es-CR"/>
        </w:rPr>
        <w:t>-1992</w:t>
      </w:r>
      <w:r w:rsidRPr="00FA611D">
        <w:rPr>
          <w:rFonts w:cs="Verdana"/>
          <w:color w:val="000000"/>
          <w:szCs w:val="16"/>
          <w:lang w:val="es-CR"/>
        </w:rPr>
        <w:t xml:space="preserve">. De la prueba testimonial y documental aportada surgió que sus familiares no habían recibido sus restos. </w:t>
      </w:r>
      <w:r w:rsidRPr="00FA611D">
        <w:rPr>
          <w:rFonts w:cs="Verdana"/>
          <w:i/>
          <w:color w:val="000000"/>
          <w:szCs w:val="16"/>
          <w:lang w:val="es-CR"/>
        </w:rPr>
        <w:t>Cfr.</w:t>
      </w:r>
      <w:r w:rsidRPr="00FA611D">
        <w:rPr>
          <w:rFonts w:cs="Verdana"/>
          <w:color w:val="000000"/>
          <w:szCs w:val="16"/>
          <w:lang w:val="es-CR"/>
        </w:rPr>
        <w:t xml:space="preserve"> </w:t>
      </w:r>
      <w:r w:rsidRPr="00FA611D">
        <w:rPr>
          <w:i/>
          <w:color w:val="000000"/>
          <w:szCs w:val="16"/>
          <w:lang w:val="es-CR"/>
        </w:rPr>
        <w:t>Caso del Penal Miguel Castro Castro</w:t>
      </w:r>
      <w:r w:rsidR="007D5169">
        <w:rPr>
          <w:i/>
          <w:color w:val="000000"/>
          <w:szCs w:val="16"/>
          <w:lang w:val="es-CR"/>
        </w:rPr>
        <w:t xml:space="preserve">, supra </w:t>
      </w:r>
      <w:r w:rsidR="007D5169">
        <w:rPr>
          <w:color w:val="000000"/>
          <w:szCs w:val="16"/>
          <w:lang w:val="es-CR"/>
        </w:rPr>
        <w:t xml:space="preserve">nota 1, </w:t>
      </w:r>
      <w:r w:rsidRPr="00FA611D">
        <w:rPr>
          <w:color w:val="000000"/>
          <w:szCs w:val="16"/>
          <w:lang w:val="es-CR"/>
        </w:rPr>
        <w:t xml:space="preserve">párrs. </w:t>
      </w:r>
      <w:r w:rsidR="004B4612">
        <w:rPr>
          <w:color w:val="000000"/>
          <w:szCs w:val="16"/>
          <w:lang w:val="es-CR"/>
        </w:rPr>
        <w:t xml:space="preserve">250, </w:t>
      </w:r>
      <w:r w:rsidRPr="00FA611D">
        <w:rPr>
          <w:color w:val="000000"/>
          <w:szCs w:val="16"/>
          <w:lang w:val="es-CR"/>
        </w:rPr>
        <w:t>251 y 443.</w:t>
      </w:r>
    </w:p>
  </w:footnote>
  <w:footnote w:id="22">
    <w:p w:rsidR="005D20C6" w:rsidRPr="00346735" w:rsidRDefault="005D20C6" w:rsidP="00290512">
      <w:pPr>
        <w:pStyle w:val="Cuadrculamedia1-nfasis2"/>
        <w:tabs>
          <w:tab w:val="left" w:pos="450"/>
          <w:tab w:val="left" w:pos="567"/>
        </w:tabs>
        <w:ind w:left="0"/>
        <w:contextualSpacing/>
        <w:jc w:val="both"/>
      </w:pPr>
      <w:r w:rsidRPr="007D5169">
        <w:rPr>
          <w:rStyle w:val="Refdenotaalpie"/>
          <w:rFonts w:ascii="Verdana" w:hAnsi="Verdana"/>
          <w:sz w:val="16"/>
          <w:szCs w:val="16"/>
        </w:rPr>
        <w:footnoteRef/>
      </w:r>
      <w:r w:rsidRPr="007D5169">
        <w:rPr>
          <w:rFonts w:ascii="Verdana" w:hAnsi="Verdana"/>
          <w:sz w:val="16"/>
          <w:szCs w:val="16"/>
        </w:rPr>
        <w:t xml:space="preserve"> </w:t>
      </w:r>
      <w:r w:rsidRPr="007D5169">
        <w:rPr>
          <w:rFonts w:ascii="Verdana" w:hAnsi="Verdana"/>
          <w:sz w:val="16"/>
          <w:szCs w:val="16"/>
        </w:rPr>
        <w:tab/>
      </w:r>
      <w:r w:rsidR="007D5169" w:rsidRPr="007D5169">
        <w:rPr>
          <w:rFonts w:ascii="Verdana" w:hAnsi="Verdana"/>
          <w:sz w:val="16"/>
          <w:szCs w:val="16"/>
        </w:rPr>
        <w:t>En dicha Resolución, la Corte señaló que “</w:t>
      </w:r>
      <w:r w:rsidRPr="007D5169">
        <w:rPr>
          <w:rFonts w:ascii="Verdana" w:hAnsi="Verdana"/>
          <w:sz w:val="16"/>
          <w:szCs w:val="16"/>
        </w:rPr>
        <w:t>en su Sentencia de 2006 tuvo por probado</w:t>
      </w:r>
      <w:r w:rsidR="007D5169" w:rsidRPr="007D5169">
        <w:rPr>
          <w:rFonts w:ascii="Verdana" w:hAnsi="Verdana"/>
          <w:sz w:val="16"/>
          <w:szCs w:val="16"/>
        </w:rPr>
        <w:t xml:space="preserve"> […]</w:t>
      </w:r>
      <w:r w:rsidR="004B4612">
        <w:rPr>
          <w:rFonts w:ascii="Verdana" w:hAnsi="Verdana"/>
          <w:sz w:val="16"/>
          <w:szCs w:val="16"/>
        </w:rPr>
        <w:t xml:space="preserve"> </w:t>
      </w:r>
      <w:r w:rsidRPr="007D5169">
        <w:rPr>
          <w:rFonts w:ascii="Verdana" w:hAnsi="Verdana"/>
          <w:sz w:val="16"/>
          <w:szCs w:val="16"/>
        </w:rPr>
        <w:t xml:space="preserve">que </w:t>
      </w:r>
      <w:r w:rsidR="007D5169" w:rsidRPr="007D5169">
        <w:rPr>
          <w:rFonts w:ascii="Verdana" w:hAnsi="Verdana"/>
          <w:sz w:val="16"/>
          <w:szCs w:val="16"/>
        </w:rPr>
        <w:t>[los]</w:t>
      </w:r>
      <w:r w:rsidRPr="007D5169">
        <w:rPr>
          <w:rFonts w:ascii="Verdana" w:hAnsi="Verdana"/>
          <w:sz w:val="16"/>
          <w:szCs w:val="16"/>
        </w:rPr>
        <w:t xml:space="preserve"> restos </w:t>
      </w:r>
      <w:r w:rsidR="007D5169" w:rsidRPr="007D5169">
        <w:rPr>
          <w:rFonts w:ascii="Verdana" w:hAnsi="Verdana"/>
          <w:sz w:val="16"/>
          <w:szCs w:val="16"/>
        </w:rPr>
        <w:t xml:space="preserve">[del señor Aguilar Vega] </w:t>
      </w:r>
      <w:r w:rsidRPr="007D5169">
        <w:rPr>
          <w:rFonts w:ascii="Verdana" w:hAnsi="Verdana"/>
          <w:sz w:val="16"/>
          <w:szCs w:val="16"/>
        </w:rPr>
        <w:t>no habían sido entregados a sus familiares. Al respecto, el Estado sostuvo en la audiencia privada de agosto de 2013 que habría dado cumplimiento a lo ordenado. Como anexo a su informe de septiembre de ese año aportó copia de los siguientes documentos relevantes: r</w:t>
      </w:r>
      <w:r w:rsidR="007D5169" w:rsidRPr="007D5169">
        <w:rPr>
          <w:rFonts w:ascii="Verdana" w:hAnsi="Verdana"/>
          <w:sz w:val="16"/>
          <w:szCs w:val="16"/>
        </w:rPr>
        <w:t>egistro de defunción del señor ‘Mario Francisco Aguilar Vega’</w:t>
      </w:r>
      <w:r w:rsidRPr="007D5169">
        <w:rPr>
          <w:rFonts w:ascii="Verdana" w:hAnsi="Verdana"/>
          <w:sz w:val="16"/>
          <w:szCs w:val="16"/>
        </w:rPr>
        <w:t>, en el cual, entre otros datos</w:t>
      </w:r>
      <w:r w:rsidR="007D5169" w:rsidRPr="007D5169">
        <w:rPr>
          <w:rFonts w:ascii="Verdana" w:hAnsi="Verdana"/>
          <w:sz w:val="16"/>
          <w:szCs w:val="16"/>
        </w:rPr>
        <w:t xml:space="preserve">, se consigna que el número de ‘Protocolo de necropsia’ es el ‘dos mil siete </w:t>
      </w:r>
      <w:proofErr w:type="spellStart"/>
      <w:r w:rsidR="007D5169" w:rsidRPr="007D5169">
        <w:rPr>
          <w:rFonts w:ascii="Verdana" w:hAnsi="Verdana"/>
          <w:sz w:val="16"/>
          <w:szCs w:val="16"/>
        </w:rPr>
        <w:t>guión</w:t>
      </w:r>
      <w:proofErr w:type="spellEnd"/>
      <w:r w:rsidR="007D5169" w:rsidRPr="007D5169">
        <w:rPr>
          <w:rFonts w:ascii="Verdana" w:hAnsi="Verdana"/>
          <w:sz w:val="16"/>
          <w:szCs w:val="16"/>
        </w:rPr>
        <w:t xml:space="preserve"> </w:t>
      </w:r>
      <w:proofErr w:type="spellStart"/>
      <w:r w:rsidR="007D5169" w:rsidRPr="007D5169">
        <w:rPr>
          <w:rFonts w:ascii="Verdana" w:hAnsi="Verdana"/>
          <w:sz w:val="16"/>
          <w:szCs w:val="16"/>
        </w:rPr>
        <w:t>noventidos</w:t>
      </w:r>
      <w:proofErr w:type="spellEnd"/>
      <w:r w:rsidR="007D5169" w:rsidRPr="007D5169">
        <w:rPr>
          <w:rFonts w:ascii="Verdana" w:hAnsi="Verdana"/>
          <w:sz w:val="16"/>
          <w:szCs w:val="16"/>
        </w:rPr>
        <w:t>’; ‘</w:t>
      </w:r>
      <w:r w:rsidRPr="007D5169">
        <w:rPr>
          <w:rFonts w:ascii="Verdana" w:hAnsi="Verdana"/>
          <w:sz w:val="16"/>
          <w:szCs w:val="16"/>
        </w:rPr>
        <w:t xml:space="preserve">Acta </w:t>
      </w:r>
      <w:r w:rsidR="007D5169" w:rsidRPr="007D5169">
        <w:rPr>
          <w:rFonts w:ascii="Verdana" w:hAnsi="Verdana"/>
          <w:sz w:val="16"/>
          <w:szCs w:val="16"/>
        </w:rPr>
        <w:t xml:space="preserve">de reconocimiento’ del cadáver de ‘Mario </w:t>
      </w:r>
      <w:proofErr w:type="spellStart"/>
      <w:r w:rsidR="007D5169" w:rsidRPr="007D5169">
        <w:rPr>
          <w:rFonts w:ascii="Verdana" w:hAnsi="Verdana"/>
          <w:sz w:val="16"/>
          <w:szCs w:val="16"/>
        </w:rPr>
        <w:t>Franciso</w:t>
      </w:r>
      <w:proofErr w:type="spellEnd"/>
      <w:r w:rsidR="007D5169" w:rsidRPr="007D5169">
        <w:rPr>
          <w:rFonts w:ascii="Verdana" w:hAnsi="Verdana"/>
          <w:sz w:val="16"/>
          <w:szCs w:val="16"/>
        </w:rPr>
        <w:t xml:space="preserve"> Aguilar Vega’</w:t>
      </w:r>
      <w:r w:rsidRPr="007D5169">
        <w:rPr>
          <w:rFonts w:ascii="Verdana" w:hAnsi="Verdana"/>
          <w:sz w:val="16"/>
          <w:szCs w:val="16"/>
        </w:rPr>
        <w:t xml:space="preserve"> suscrita por un señor de apellidos Hurtado Mendoza; oficio de fecha 26 de febrero de 2007 suscrito por un funcionario del Instituto de Medicina Legal del Ministerio Público dirigido al Segundo Juzgado Penal Supraprovinci</w:t>
      </w:r>
      <w:r w:rsidR="007D5169" w:rsidRPr="007D5169">
        <w:rPr>
          <w:rFonts w:ascii="Verdana" w:hAnsi="Verdana"/>
          <w:sz w:val="16"/>
          <w:szCs w:val="16"/>
        </w:rPr>
        <w:t>al, mediante el cual le remite ‘</w:t>
      </w:r>
      <w:r w:rsidRPr="007D5169">
        <w:rPr>
          <w:rFonts w:ascii="Verdana" w:hAnsi="Verdana"/>
          <w:sz w:val="16"/>
          <w:szCs w:val="16"/>
        </w:rPr>
        <w:t xml:space="preserve">copia del Recibo de Inhumación del cadáver signado con Protocolo de Necropsia N° 2007-1992, retirado el 16-05-92 por el Sr. Ladislao Alberto </w:t>
      </w:r>
      <w:r w:rsidR="00AB30B9" w:rsidRPr="007D5169">
        <w:rPr>
          <w:rFonts w:ascii="Verdana" w:hAnsi="Verdana"/>
          <w:sz w:val="16"/>
          <w:szCs w:val="16"/>
        </w:rPr>
        <w:t>Huamán</w:t>
      </w:r>
      <w:r w:rsidR="007D5169" w:rsidRPr="007D5169">
        <w:rPr>
          <w:rFonts w:ascii="Verdana" w:hAnsi="Verdana"/>
          <w:sz w:val="16"/>
          <w:szCs w:val="16"/>
        </w:rPr>
        <w:t xml:space="preserve"> Loayza […], por orden del Juez’</w:t>
      </w:r>
      <w:r w:rsidRPr="007D5169">
        <w:rPr>
          <w:rFonts w:ascii="Verdana" w:hAnsi="Verdana"/>
          <w:sz w:val="16"/>
          <w:szCs w:val="16"/>
        </w:rPr>
        <w:t>. En ese documento no se indica el grado de parentesco que guardaba el señor Huamán Loayza con la víctima. En sus observaciones a dicha información estatal, la interviniente común Feria Tinta afirmó que la referida esposa del señor Aguilar Vega afirma que no ha recibido los restos de su esposo y que la persona a quien el Estado</w:t>
      </w:r>
      <w:r w:rsidR="007D5169" w:rsidRPr="007D5169">
        <w:rPr>
          <w:rFonts w:ascii="Verdana" w:hAnsi="Verdana"/>
          <w:sz w:val="16"/>
          <w:szCs w:val="16"/>
        </w:rPr>
        <w:t xml:space="preserve"> afirma que entregó los restos ‘</w:t>
      </w:r>
      <w:r w:rsidRPr="007D5169">
        <w:rPr>
          <w:rFonts w:ascii="Verdana" w:hAnsi="Verdana"/>
          <w:sz w:val="16"/>
          <w:szCs w:val="16"/>
        </w:rPr>
        <w:t>no es familiar de ella y descono</w:t>
      </w:r>
      <w:r w:rsidR="007D5169" w:rsidRPr="007D5169">
        <w:rPr>
          <w:rFonts w:ascii="Verdana" w:hAnsi="Verdana"/>
          <w:sz w:val="16"/>
          <w:szCs w:val="16"/>
        </w:rPr>
        <w:t>ce totalmente de quién se trata’”</w:t>
      </w:r>
      <w:r w:rsidRPr="007D5169">
        <w:rPr>
          <w:rFonts w:ascii="Verdana" w:hAnsi="Verdana"/>
          <w:sz w:val="16"/>
          <w:szCs w:val="16"/>
        </w:rPr>
        <w:t>.</w:t>
      </w:r>
      <w:r w:rsidR="007D5169">
        <w:rPr>
          <w:rFonts w:ascii="Verdana" w:hAnsi="Verdana"/>
          <w:sz w:val="16"/>
          <w:szCs w:val="16"/>
        </w:rPr>
        <w:t xml:space="preserve"> </w:t>
      </w:r>
      <w:r w:rsidR="007D5169">
        <w:rPr>
          <w:rFonts w:ascii="Verdana" w:hAnsi="Verdana"/>
          <w:i/>
          <w:sz w:val="16"/>
          <w:szCs w:val="16"/>
        </w:rPr>
        <w:t xml:space="preserve">Cfr. </w:t>
      </w:r>
      <w:r w:rsidR="007D5169" w:rsidRPr="007D5169">
        <w:rPr>
          <w:rFonts w:ascii="Verdana" w:hAnsi="Verdana"/>
          <w:i/>
          <w:sz w:val="16"/>
          <w:szCs w:val="16"/>
        </w:rPr>
        <w:t xml:space="preserve">Caso del Penal Miguel Castro </w:t>
      </w:r>
      <w:proofErr w:type="spellStart"/>
      <w:r w:rsidR="007D5169" w:rsidRPr="007D5169">
        <w:rPr>
          <w:rFonts w:ascii="Verdana" w:hAnsi="Verdana"/>
          <w:i/>
          <w:sz w:val="16"/>
          <w:szCs w:val="16"/>
        </w:rPr>
        <w:t>Castro</w:t>
      </w:r>
      <w:proofErr w:type="spellEnd"/>
      <w:r w:rsidR="007D5169" w:rsidRPr="007D5169">
        <w:rPr>
          <w:rFonts w:ascii="Verdana" w:hAnsi="Verdana"/>
          <w:i/>
          <w:sz w:val="16"/>
          <w:szCs w:val="16"/>
        </w:rPr>
        <w:t xml:space="preserve">, supra </w:t>
      </w:r>
      <w:r w:rsidR="007D5169">
        <w:rPr>
          <w:rFonts w:ascii="Verdana" w:hAnsi="Verdana"/>
          <w:sz w:val="16"/>
          <w:szCs w:val="16"/>
        </w:rPr>
        <w:t>nota 8, Considerando 37.</w:t>
      </w:r>
    </w:p>
  </w:footnote>
  <w:footnote w:id="23">
    <w:p w:rsidR="00E00F24" w:rsidRPr="00675B38" w:rsidRDefault="00E00F24" w:rsidP="00290512">
      <w:pPr>
        <w:pStyle w:val="Textonotapie"/>
        <w:tabs>
          <w:tab w:val="left" w:pos="450"/>
        </w:tabs>
        <w:rPr>
          <w:lang w:val="es-CR"/>
        </w:rPr>
      </w:pPr>
      <w:r>
        <w:rPr>
          <w:rStyle w:val="Refdenotaalpie"/>
        </w:rPr>
        <w:footnoteRef/>
      </w:r>
      <w:r w:rsidRPr="00E00F24">
        <w:rPr>
          <w:lang w:val="es-CR"/>
        </w:rPr>
        <w:t xml:space="preserve"> </w:t>
      </w:r>
      <w:r>
        <w:rPr>
          <w:lang w:val="es-CR"/>
        </w:rPr>
        <w:tab/>
      </w:r>
      <w:r>
        <w:rPr>
          <w:i/>
          <w:lang w:val="es-CR"/>
        </w:rPr>
        <w:t xml:space="preserve">Cfr. Caso del Penal </w:t>
      </w:r>
      <w:r w:rsidRPr="00675B38">
        <w:rPr>
          <w:i/>
          <w:lang w:val="es-CR"/>
        </w:rPr>
        <w:t xml:space="preserve">Miguel Castro </w:t>
      </w:r>
      <w:r w:rsidRPr="00675B38">
        <w:rPr>
          <w:i/>
          <w:lang w:val="es-CR"/>
        </w:rPr>
        <w:t xml:space="preserve">Castro, supra </w:t>
      </w:r>
      <w:r w:rsidRPr="00675B38">
        <w:rPr>
          <w:lang w:val="es-CR"/>
        </w:rPr>
        <w:t xml:space="preserve">nota 8, Considerando 38 y </w:t>
      </w:r>
      <w:r w:rsidRPr="00675B38">
        <w:rPr>
          <w:i/>
          <w:lang w:val="es-CR"/>
        </w:rPr>
        <w:t xml:space="preserve">Caso del Penal Miguel Castro Castro, supra </w:t>
      </w:r>
      <w:r w:rsidRPr="00675B38">
        <w:rPr>
          <w:lang w:val="es-CR"/>
        </w:rPr>
        <w:t>nota 9, Considerando 11.</w:t>
      </w:r>
    </w:p>
  </w:footnote>
  <w:footnote w:id="24">
    <w:p w:rsidR="005D20C6" w:rsidRPr="00FA611D" w:rsidRDefault="005D20C6" w:rsidP="00290512">
      <w:pPr>
        <w:pStyle w:val="Textonotapie"/>
        <w:tabs>
          <w:tab w:val="left" w:pos="450"/>
        </w:tabs>
        <w:rPr>
          <w:szCs w:val="16"/>
          <w:lang w:val="es-ES"/>
        </w:rPr>
      </w:pPr>
      <w:r w:rsidRPr="00675B38">
        <w:rPr>
          <w:rStyle w:val="Refdenotaalpie"/>
          <w:szCs w:val="16"/>
        </w:rPr>
        <w:footnoteRef/>
      </w:r>
      <w:r w:rsidRPr="00675B38">
        <w:rPr>
          <w:szCs w:val="16"/>
          <w:lang w:val="es-ES"/>
        </w:rPr>
        <w:t xml:space="preserve"> </w:t>
      </w:r>
      <w:r w:rsidRPr="00675B38">
        <w:rPr>
          <w:szCs w:val="16"/>
          <w:lang w:val="es-ES"/>
        </w:rPr>
        <w:tab/>
      </w:r>
      <w:r w:rsidRPr="00675B38">
        <w:rPr>
          <w:i/>
          <w:szCs w:val="16"/>
          <w:lang w:val="es-ES"/>
        </w:rPr>
        <w:t>Cfr</w:t>
      </w:r>
      <w:r w:rsidRPr="00675B38">
        <w:rPr>
          <w:szCs w:val="16"/>
          <w:lang w:val="es-ES"/>
        </w:rPr>
        <w:t>. Copia de la publicación en el Diario Oficial El Peruano y copia de la publicación en el diario Expreso, ambos de fecha 17 de junio de 2015 (anexos al informe estatal de 3 de agosto de 2015</w:t>
      </w:r>
      <w:r w:rsidRPr="00675B38">
        <w:rPr>
          <w:szCs w:val="16"/>
          <w:lang w:val="es-CR"/>
        </w:rPr>
        <w:t>)</w:t>
      </w:r>
      <w:r w:rsidRPr="00675B38">
        <w:rPr>
          <w:szCs w:val="16"/>
          <w:lang w:val="es-ES"/>
        </w:rPr>
        <w:t>.</w:t>
      </w:r>
    </w:p>
  </w:footnote>
  <w:footnote w:id="25">
    <w:p w:rsidR="00CF1307" w:rsidRPr="00CF1307" w:rsidRDefault="00CF1307" w:rsidP="00290512">
      <w:pPr>
        <w:pStyle w:val="Textonotapie"/>
        <w:tabs>
          <w:tab w:val="left" w:pos="450"/>
        </w:tabs>
        <w:rPr>
          <w:lang w:val="es-CR"/>
        </w:rPr>
      </w:pPr>
      <w:r>
        <w:rPr>
          <w:rStyle w:val="Refdenotaalpie"/>
        </w:rPr>
        <w:footnoteRef/>
      </w:r>
      <w:r w:rsidRPr="00CF1307">
        <w:rPr>
          <w:lang w:val="es-CR"/>
        </w:rPr>
        <w:t xml:space="preserve"> </w:t>
      </w:r>
      <w:r>
        <w:rPr>
          <w:lang w:val="es-CR"/>
        </w:rPr>
        <w:tab/>
      </w:r>
      <w:r>
        <w:rPr>
          <w:i/>
          <w:lang w:val="es-CR"/>
        </w:rPr>
        <w:t xml:space="preserve">Cfr. Caso del Penal Miguel Castro </w:t>
      </w:r>
      <w:r>
        <w:rPr>
          <w:i/>
          <w:lang w:val="es-CR"/>
        </w:rPr>
        <w:t xml:space="preserve">Castro, supra </w:t>
      </w:r>
      <w:r>
        <w:rPr>
          <w:lang w:val="es-CR"/>
        </w:rPr>
        <w:t xml:space="preserve">nota 8, Considerandos 60 a 62 y </w:t>
      </w:r>
      <w:r>
        <w:rPr>
          <w:i/>
          <w:lang w:val="es-CR"/>
        </w:rPr>
        <w:t xml:space="preserve">Caso del Penal Miguel Castro Castro, supra </w:t>
      </w:r>
      <w:r>
        <w:rPr>
          <w:lang w:val="es-CR"/>
        </w:rPr>
        <w:t>nota 9, Considerando 15.</w:t>
      </w:r>
    </w:p>
  </w:footnote>
  <w:footnote w:id="26">
    <w:p w:rsidR="005D20C6" w:rsidRPr="00AB2287" w:rsidRDefault="005D20C6" w:rsidP="00290512">
      <w:pPr>
        <w:pStyle w:val="Textonotapie"/>
        <w:tabs>
          <w:tab w:val="left" w:pos="450"/>
        </w:tabs>
        <w:rPr>
          <w:lang w:val="es-ES_tradnl"/>
        </w:rPr>
      </w:pPr>
      <w:r>
        <w:rPr>
          <w:rStyle w:val="Refdenotaalpie"/>
        </w:rPr>
        <w:footnoteRef/>
      </w:r>
      <w:r w:rsidRPr="007D0CCF">
        <w:rPr>
          <w:lang w:val="es-CR"/>
        </w:rPr>
        <w:t xml:space="preserve"> </w:t>
      </w:r>
      <w:r>
        <w:rPr>
          <w:lang w:val="es-ES_tradnl"/>
        </w:rPr>
        <w:tab/>
        <w:t xml:space="preserve">Respecto a las víctimas mortales, el Estado indicó que “el informe del Ministerio Público precisa que en el atestado policial que contiene el resultado de las investigaciones de los sucesos, se contemplan [40] internos fallecidos, que son los considerados como agraviados en el proceso; sin embargo el mismo documento menciona el fallecimiento del efectivo policial SO2 PNP Jorge </w:t>
      </w:r>
      <w:proofErr w:type="spellStart"/>
      <w:r>
        <w:rPr>
          <w:lang w:val="es-ES_tradnl"/>
        </w:rPr>
        <w:t>Hidrogo</w:t>
      </w:r>
      <w:proofErr w:type="spellEnd"/>
      <w:r>
        <w:rPr>
          <w:lang w:val="es-ES_tradnl"/>
        </w:rPr>
        <w:t xml:space="preserve"> Olano[,] con lo que serían 41 personas fallecidas respecto a las cuales se emitieron los respectivos certificados [m]</w:t>
      </w:r>
      <w:proofErr w:type="spellStart"/>
      <w:r>
        <w:rPr>
          <w:lang w:val="es-ES_tradnl"/>
        </w:rPr>
        <w:t>édicos</w:t>
      </w:r>
      <w:proofErr w:type="spellEnd"/>
      <w:r>
        <w:rPr>
          <w:lang w:val="es-ES_tradnl"/>
        </w:rPr>
        <w:t xml:space="preserve"> [l]</w:t>
      </w:r>
      <w:proofErr w:type="spellStart"/>
      <w:r>
        <w:rPr>
          <w:lang w:val="es-ES_tradnl"/>
        </w:rPr>
        <w:t>egales</w:t>
      </w:r>
      <w:proofErr w:type="spellEnd"/>
      <w:r>
        <w:rPr>
          <w:lang w:val="es-ES_tradnl"/>
        </w:rPr>
        <w:t>”. Asimismo, el Perú indicó que si bien “el Anexo 2 de la [S]</w:t>
      </w:r>
      <w:proofErr w:type="spellStart"/>
      <w:r>
        <w:rPr>
          <w:lang w:val="es-ES_tradnl"/>
        </w:rPr>
        <w:t>entencia</w:t>
      </w:r>
      <w:proofErr w:type="spellEnd"/>
      <w:r>
        <w:rPr>
          <w:lang w:val="es-ES_tradnl"/>
        </w:rPr>
        <w:t xml:space="preserve"> […] contempla una lista de 41 internos fallecidos, entre los que se menciona a Agatino Chávez Correa, [éste] no se encuentra comprendido como agraviado en la investigación en curso y sobre quien, de acuerdo con el Ministerio Público, no obran documentos que acrediten su identidad […] Sin embargo, [la] Procuraduría pondrá en conocimiento del Ministerio Público que [en</w:t>
      </w:r>
      <w:r w:rsidR="00501D72">
        <w:rPr>
          <w:lang w:val="es-ES_tradnl"/>
        </w:rPr>
        <w:t>]</w:t>
      </w:r>
      <w:r>
        <w:rPr>
          <w:lang w:val="es-ES_tradnl"/>
        </w:rPr>
        <w:t xml:space="preserve"> el informe de la Comisión de la Verdad y Reconciliación, al tratar el caso del penal Castro </w:t>
      </w:r>
      <w:proofErr w:type="spellStart"/>
      <w:r>
        <w:rPr>
          <w:lang w:val="es-ES_tradnl"/>
        </w:rPr>
        <w:t>Castro</w:t>
      </w:r>
      <w:proofErr w:type="spellEnd"/>
      <w:r>
        <w:rPr>
          <w:lang w:val="es-ES_tradnl"/>
        </w:rPr>
        <w:t>, [se] hace mención a un certificado de necropsia de Agatino Chávez Correa, a fin de que sobre la base de esa información se realicen nuevamente las gestiones que correspondan”.</w:t>
      </w:r>
    </w:p>
  </w:footnote>
  <w:footnote w:id="27">
    <w:p w:rsidR="00873CE3" w:rsidRPr="00264950" w:rsidRDefault="00873CE3" w:rsidP="00873CE3">
      <w:pPr>
        <w:pStyle w:val="Textonotapie"/>
        <w:tabs>
          <w:tab w:val="left" w:pos="450"/>
        </w:tabs>
        <w:rPr>
          <w:lang w:val="es-ES_tradnl"/>
        </w:rPr>
      </w:pPr>
      <w:r>
        <w:rPr>
          <w:rStyle w:val="Refdenotaalpie"/>
        </w:rPr>
        <w:footnoteRef/>
      </w:r>
      <w:r w:rsidRPr="00264950">
        <w:rPr>
          <w:lang w:val="es-ES_tradnl"/>
        </w:rPr>
        <w:t xml:space="preserve"> </w:t>
      </w:r>
      <w:r>
        <w:rPr>
          <w:lang w:val="es-ES_tradnl"/>
        </w:rPr>
        <w:tab/>
      </w:r>
      <w:r>
        <w:rPr>
          <w:i/>
          <w:lang w:val="es-ES_tradnl"/>
        </w:rPr>
        <w:t xml:space="preserve">Cfr. </w:t>
      </w:r>
      <w:r>
        <w:rPr>
          <w:lang w:val="es-ES_tradnl"/>
        </w:rPr>
        <w:t>Informe de 22 de junio de 2015 suscrito por el Fiscal Superior de la Primera Fiscalía Superior Penal Nacional del Ministerio Público del Perú (anexo al informe estatal de 3 de agosto de 2015).</w:t>
      </w:r>
    </w:p>
  </w:footnote>
  <w:footnote w:id="28">
    <w:p w:rsidR="006E3978" w:rsidRPr="00881389" w:rsidRDefault="006E3978" w:rsidP="00290512">
      <w:pPr>
        <w:pStyle w:val="Textonotapie"/>
        <w:tabs>
          <w:tab w:val="left" w:pos="450"/>
        </w:tabs>
        <w:rPr>
          <w:lang w:val="es-CR"/>
        </w:rPr>
      </w:pPr>
      <w:r>
        <w:rPr>
          <w:rStyle w:val="Refdenotaalpie"/>
        </w:rPr>
        <w:footnoteRef/>
      </w:r>
      <w:r w:rsidRPr="00881389">
        <w:rPr>
          <w:lang w:val="es-CR"/>
        </w:rPr>
        <w:t xml:space="preserve"> </w:t>
      </w:r>
      <w:r>
        <w:rPr>
          <w:lang w:val="es-CR"/>
        </w:rPr>
        <w:tab/>
      </w:r>
      <w:r>
        <w:rPr>
          <w:i/>
          <w:lang w:val="es-CR"/>
        </w:rPr>
        <w:t xml:space="preserve">Cfr. Caso del Penal Miguel Castro </w:t>
      </w:r>
      <w:r>
        <w:rPr>
          <w:i/>
          <w:lang w:val="es-CR"/>
        </w:rPr>
        <w:t xml:space="preserve">Castro, supra </w:t>
      </w:r>
      <w:r>
        <w:rPr>
          <w:lang w:val="es-CR"/>
        </w:rPr>
        <w:t xml:space="preserve">nota 8, Considerandos 16 a 25 y </w:t>
      </w:r>
      <w:r>
        <w:rPr>
          <w:i/>
          <w:lang w:val="es-CR"/>
        </w:rPr>
        <w:t xml:space="preserve">Caso del Penal Miguel Castro Castro, supra </w:t>
      </w:r>
      <w:r>
        <w:rPr>
          <w:lang w:val="es-CR"/>
        </w:rPr>
        <w:t>nota 9, Considerando 10.</w:t>
      </w:r>
    </w:p>
  </w:footnote>
  <w:footnote w:id="29">
    <w:p w:rsidR="005D20C6" w:rsidRPr="009D69E7" w:rsidRDefault="005D20C6" w:rsidP="00290512">
      <w:pPr>
        <w:pStyle w:val="Textonotapie"/>
        <w:tabs>
          <w:tab w:val="left" w:pos="450"/>
        </w:tabs>
        <w:rPr>
          <w:lang w:val="es-ES_tradnl"/>
        </w:rPr>
      </w:pPr>
      <w:r w:rsidRPr="00481342">
        <w:rPr>
          <w:rStyle w:val="Refdenotaalpie"/>
        </w:rPr>
        <w:footnoteRef/>
      </w:r>
      <w:r w:rsidRPr="00481342">
        <w:rPr>
          <w:lang w:val="es-CR"/>
        </w:rPr>
        <w:t xml:space="preserve"> </w:t>
      </w:r>
      <w:r w:rsidRPr="00481342">
        <w:rPr>
          <w:lang w:val="es-ES_tradnl"/>
        </w:rPr>
        <w:tab/>
      </w:r>
      <w:r w:rsidR="002F0878" w:rsidRPr="00481342">
        <w:rPr>
          <w:i/>
          <w:lang w:val="es-ES_tradnl"/>
        </w:rPr>
        <w:t xml:space="preserve">Cfr. </w:t>
      </w:r>
      <w:r w:rsidR="00481342" w:rsidRPr="00481342">
        <w:rPr>
          <w:lang w:val="es-ES_tradnl"/>
        </w:rPr>
        <w:t>Reglamento de la Carpeta Fiscal aprobado por Resolución de la Fiscalía de la Nación No. 748-2006-MP-FN de 21 de junio de 2006 (anexo al informe estatal de 3 de agosto de 2015).</w:t>
      </w:r>
    </w:p>
  </w:footnote>
  <w:footnote w:id="30">
    <w:p w:rsidR="002179A0" w:rsidRPr="00481342" w:rsidRDefault="002179A0" w:rsidP="00290512">
      <w:pPr>
        <w:pStyle w:val="Textonotapie"/>
        <w:tabs>
          <w:tab w:val="left" w:pos="450"/>
        </w:tabs>
        <w:rPr>
          <w:lang w:val="es-CR"/>
        </w:rPr>
      </w:pPr>
      <w:r>
        <w:rPr>
          <w:rStyle w:val="Refdenotaalpie"/>
        </w:rPr>
        <w:footnoteRef/>
      </w:r>
      <w:r w:rsidRPr="00C9404E">
        <w:rPr>
          <w:lang w:val="es-CR"/>
        </w:rPr>
        <w:t xml:space="preserve"> </w:t>
      </w:r>
      <w:r>
        <w:rPr>
          <w:lang w:val="es-CR"/>
        </w:rPr>
        <w:tab/>
      </w:r>
      <w:r>
        <w:rPr>
          <w:i/>
          <w:lang w:val="es-CR"/>
        </w:rPr>
        <w:t xml:space="preserve">Cfr. Caso del Penal Miguel Castro Castro, supra </w:t>
      </w:r>
      <w:r>
        <w:rPr>
          <w:lang w:val="es-CR"/>
        </w:rPr>
        <w:t xml:space="preserve">nota 8, Considerando 30 y </w:t>
      </w:r>
      <w:r>
        <w:rPr>
          <w:i/>
          <w:lang w:val="es-CR"/>
        </w:rPr>
        <w:t xml:space="preserve">Caso </w:t>
      </w:r>
      <w:r w:rsidRPr="00481342">
        <w:rPr>
          <w:i/>
          <w:lang w:val="es-CR"/>
        </w:rPr>
        <w:t xml:space="preserve">del Penal Miguel Castro Castro, supra </w:t>
      </w:r>
      <w:r w:rsidRPr="00481342">
        <w:rPr>
          <w:lang w:val="es-CR"/>
        </w:rPr>
        <w:t>nota 9, Considerando 17.</w:t>
      </w:r>
    </w:p>
  </w:footnote>
  <w:footnote w:id="31">
    <w:p w:rsidR="00C42379" w:rsidRPr="00264950" w:rsidRDefault="00C42379" w:rsidP="00290512">
      <w:pPr>
        <w:pStyle w:val="Textonotapie"/>
        <w:tabs>
          <w:tab w:val="left" w:pos="450"/>
        </w:tabs>
        <w:rPr>
          <w:lang w:val="es-CR"/>
        </w:rPr>
      </w:pPr>
      <w:r>
        <w:rPr>
          <w:rStyle w:val="Refdenotaalpie"/>
        </w:rPr>
        <w:footnoteRef/>
      </w:r>
      <w:r w:rsidRPr="00264950">
        <w:rPr>
          <w:lang w:val="es-CR"/>
        </w:rPr>
        <w:t xml:space="preserve"> </w:t>
      </w:r>
      <w:r>
        <w:rPr>
          <w:lang w:val="es-CR"/>
        </w:rPr>
        <w:tab/>
        <w:t xml:space="preserve">Al respecto, indicó que “ha llevado a cabo una serie de medidas de capacitación dirigidas a funcionarios de diversos sectores […] Sólo durante el año 2014 se […] </w:t>
      </w:r>
      <w:proofErr w:type="gramStart"/>
      <w:r>
        <w:rPr>
          <w:lang w:val="es-CR"/>
        </w:rPr>
        <w:t>capacita[</w:t>
      </w:r>
      <w:proofErr w:type="gramEnd"/>
      <w:r>
        <w:rPr>
          <w:lang w:val="es-CR"/>
        </w:rPr>
        <w:t xml:space="preserve">ron] a [4512] efectivos policiales”. Asimismo, señaló que dichas “capacitaciones” se han basado en el Manual de Derechos Humanos </w:t>
      </w:r>
      <w:r w:rsidR="00045D5E">
        <w:rPr>
          <w:lang w:val="es-CR"/>
        </w:rPr>
        <w:t>aplicados a la función policial.</w:t>
      </w:r>
    </w:p>
  </w:footnote>
  <w:footnote w:id="32">
    <w:p w:rsidR="00D47AFE" w:rsidRPr="00675B38" w:rsidRDefault="00D47AFE" w:rsidP="00D47AFE">
      <w:pPr>
        <w:pStyle w:val="Textonotapie"/>
        <w:tabs>
          <w:tab w:val="left" w:pos="450"/>
        </w:tabs>
        <w:rPr>
          <w:lang w:val="es-CR"/>
        </w:rPr>
      </w:pPr>
      <w:r>
        <w:rPr>
          <w:rStyle w:val="Refdenotaalpie"/>
        </w:rPr>
        <w:footnoteRef/>
      </w:r>
      <w:r w:rsidRPr="00675B38">
        <w:rPr>
          <w:lang w:val="es-CR"/>
        </w:rPr>
        <w:t xml:space="preserve"> </w:t>
      </w:r>
      <w:r>
        <w:rPr>
          <w:lang w:val="es-CR"/>
        </w:rPr>
        <w:tab/>
      </w:r>
      <w:r>
        <w:rPr>
          <w:i/>
          <w:lang w:val="es-CR"/>
        </w:rPr>
        <w:t xml:space="preserve">Cfr. </w:t>
      </w:r>
      <w:r>
        <w:rPr>
          <w:i/>
          <w:lang w:val="es-CR"/>
        </w:rPr>
        <w:t xml:space="preserve">Caso del Penal Miguel Castro Castro, supra </w:t>
      </w:r>
      <w:r>
        <w:rPr>
          <w:lang w:val="es-CR"/>
        </w:rPr>
        <w:t xml:space="preserve">nota 8, Considerando 54 y </w:t>
      </w:r>
      <w:r>
        <w:rPr>
          <w:i/>
          <w:lang w:val="es-CR"/>
        </w:rPr>
        <w:t xml:space="preserve">Caso </w:t>
      </w:r>
      <w:r w:rsidRPr="00481342">
        <w:rPr>
          <w:i/>
          <w:lang w:val="es-CR"/>
        </w:rPr>
        <w:t xml:space="preserve">del Penal Miguel Castro Castro, supra </w:t>
      </w:r>
      <w:r w:rsidRPr="00481342">
        <w:rPr>
          <w:lang w:val="es-CR"/>
        </w:rPr>
        <w:t>nota 9, Considerando 1</w:t>
      </w:r>
      <w:r>
        <w:rPr>
          <w:lang w:val="es-CR"/>
        </w:rPr>
        <w:t>4</w:t>
      </w:r>
      <w:r w:rsidRPr="00481342">
        <w:rPr>
          <w:lang w:val="es-CR"/>
        </w:rPr>
        <w:t>.</w:t>
      </w:r>
    </w:p>
  </w:footnote>
  <w:footnote w:id="33">
    <w:p w:rsidR="00D47AFE" w:rsidRPr="00132CB4" w:rsidRDefault="00D47AFE" w:rsidP="00D47AFE">
      <w:pPr>
        <w:pStyle w:val="Textonotapie"/>
        <w:tabs>
          <w:tab w:val="left" w:pos="450"/>
        </w:tabs>
        <w:rPr>
          <w:lang w:val="es-CR"/>
        </w:rPr>
      </w:pPr>
      <w:r>
        <w:rPr>
          <w:rStyle w:val="Refdenotaalpie"/>
        </w:rPr>
        <w:footnoteRef/>
      </w:r>
      <w:r w:rsidRPr="00132CB4">
        <w:rPr>
          <w:lang w:val="es-CR"/>
        </w:rPr>
        <w:t xml:space="preserve"> </w:t>
      </w:r>
      <w:r>
        <w:rPr>
          <w:lang w:val="es-CR"/>
        </w:rPr>
        <w:tab/>
      </w:r>
      <w:r>
        <w:rPr>
          <w:i/>
          <w:lang w:val="es-CR"/>
        </w:rPr>
        <w:t xml:space="preserve">Cfr. </w:t>
      </w:r>
      <w:r>
        <w:rPr>
          <w:i/>
          <w:lang w:val="es-CR"/>
        </w:rPr>
        <w:t xml:space="preserve">Caso del Penal Miguel Castro Castro, supra </w:t>
      </w:r>
      <w:r>
        <w:rPr>
          <w:lang w:val="es-CR"/>
        </w:rPr>
        <w:t xml:space="preserve">nota 8, Considerandos 60 a 63 y </w:t>
      </w:r>
      <w:r>
        <w:rPr>
          <w:i/>
          <w:lang w:val="es-CR"/>
        </w:rPr>
        <w:t xml:space="preserve">Caso </w:t>
      </w:r>
      <w:r w:rsidRPr="00481342">
        <w:rPr>
          <w:i/>
          <w:lang w:val="es-CR"/>
        </w:rPr>
        <w:t xml:space="preserve">del Penal Miguel Castro Castro, supra </w:t>
      </w:r>
      <w:r w:rsidRPr="00481342">
        <w:rPr>
          <w:lang w:val="es-CR"/>
        </w:rPr>
        <w:t>nota 9, Considerando 1</w:t>
      </w:r>
      <w:r>
        <w:rPr>
          <w:lang w:val="es-CR"/>
        </w:rPr>
        <w:t>5</w:t>
      </w:r>
      <w:r w:rsidRPr="00481342">
        <w:rPr>
          <w:lang w:val="es-CR"/>
        </w:rPr>
        <w:t>.</w:t>
      </w:r>
    </w:p>
  </w:footnote>
  <w:footnote w:id="34">
    <w:p w:rsidR="00EA06C2" w:rsidRPr="00EA06C2" w:rsidRDefault="00EA06C2" w:rsidP="00290512">
      <w:pPr>
        <w:pStyle w:val="Textonotapie"/>
        <w:tabs>
          <w:tab w:val="left" w:pos="450"/>
        </w:tabs>
        <w:rPr>
          <w:lang w:val="es-CR"/>
        </w:rPr>
      </w:pPr>
      <w:r>
        <w:rPr>
          <w:rStyle w:val="Refdenotaalpie"/>
        </w:rPr>
        <w:footnoteRef/>
      </w:r>
      <w:r w:rsidRPr="00EA06C2">
        <w:rPr>
          <w:lang w:val="es-CR"/>
        </w:rPr>
        <w:t xml:space="preserve"> </w:t>
      </w:r>
      <w:r>
        <w:rPr>
          <w:lang w:val="es-CR"/>
        </w:rPr>
        <w:tab/>
      </w:r>
      <w:r>
        <w:rPr>
          <w:i/>
          <w:lang w:val="es-CR"/>
        </w:rPr>
        <w:t xml:space="preserve">Cfr. </w:t>
      </w:r>
      <w:r>
        <w:rPr>
          <w:i/>
          <w:lang w:val="es-CR"/>
        </w:rPr>
        <w:t xml:space="preserve">Caso del Penal Miguel Castro Castro, supra </w:t>
      </w:r>
      <w:r>
        <w:rPr>
          <w:lang w:val="es-CR"/>
        </w:rPr>
        <w:t xml:space="preserve">nota 8, Considerando 39 y </w:t>
      </w:r>
      <w:r>
        <w:rPr>
          <w:i/>
          <w:lang w:val="es-CR"/>
        </w:rPr>
        <w:t xml:space="preserve">Caso </w:t>
      </w:r>
      <w:r w:rsidRPr="00481342">
        <w:rPr>
          <w:i/>
          <w:lang w:val="es-CR"/>
        </w:rPr>
        <w:t xml:space="preserve">del Penal Miguel Castro Castro, supra </w:t>
      </w:r>
      <w:r w:rsidRPr="00481342">
        <w:rPr>
          <w:lang w:val="es-CR"/>
        </w:rPr>
        <w:t>nota 9, Considerando 1</w:t>
      </w:r>
      <w:r>
        <w:rPr>
          <w:lang w:val="es-CR"/>
        </w:rPr>
        <w:t>2</w:t>
      </w:r>
      <w:r w:rsidRPr="00481342">
        <w:rPr>
          <w:lang w:val="es-CR"/>
        </w:rPr>
        <w:t>.</w:t>
      </w:r>
    </w:p>
  </w:footnote>
  <w:footnote w:id="35">
    <w:p w:rsidR="00EA06C2" w:rsidRPr="00EA06C2" w:rsidRDefault="00EA06C2" w:rsidP="00290512">
      <w:pPr>
        <w:pStyle w:val="Textonotapie"/>
        <w:tabs>
          <w:tab w:val="left" w:pos="450"/>
        </w:tabs>
        <w:rPr>
          <w:lang w:val="es-CR"/>
        </w:rPr>
      </w:pPr>
      <w:r>
        <w:rPr>
          <w:rStyle w:val="Refdenotaalpie"/>
        </w:rPr>
        <w:footnoteRef/>
      </w:r>
      <w:r w:rsidRPr="00EA06C2">
        <w:rPr>
          <w:lang w:val="es-CR"/>
        </w:rPr>
        <w:t xml:space="preserve"> </w:t>
      </w:r>
      <w:r>
        <w:rPr>
          <w:lang w:val="es-CR"/>
        </w:rPr>
        <w:tab/>
      </w:r>
      <w:r>
        <w:rPr>
          <w:i/>
          <w:lang w:val="es-CR"/>
        </w:rPr>
        <w:t xml:space="preserve">Cfr. Caso del Penal Miguel Castro Castro, supra </w:t>
      </w:r>
      <w:r>
        <w:rPr>
          <w:lang w:val="es-CR"/>
        </w:rPr>
        <w:t xml:space="preserve">nota 8, Considerandos </w:t>
      </w:r>
      <w:r w:rsidR="008B771A">
        <w:rPr>
          <w:lang w:val="es-CR"/>
        </w:rPr>
        <w:t>45</w:t>
      </w:r>
      <w:r>
        <w:rPr>
          <w:lang w:val="es-CR"/>
        </w:rPr>
        <w:t xml:space="preserve"> a </w:t>
      </w:r>
      <w:r w:rsidR="008B771A">
        <w:rPr>
          <w:lang w:val="es-CR"/>
        </w:rPr>
        <w:t>47</w:t>
      </w:r>
      <w:r>
        <w:rPr>
          <w:lang w:val="es-CR"/>
        </w:rPr>
        <w:t xml:space="preserve"> y </w:t>
      </w:r>
      <w:r>
        <w:rPr>
          <w:i/>
          <w:lang w:val="es-CR"/>
        </w:rPr>
        <w:t xml:space="preserve">Caso </w:t>
      </w:r>
      <w:r w:rsidRPr="00481342">
        <w:rPr>
          <w:i/>
          <w:lang w:val="es-CR"/>
        </w:rPr>
        <w:t xml:space="preserve">del Penal Miguel Castro Castro, supra </w:t>
      </w:r>
      <w:r w:rsidRPr="00481342">
        <w:rPr>
          <w:lang w:val="es-CR"/>
        </w:rPr>
        <w:t>nota 9, Considerando 1</w:t>
      </w:r>
      <w:r w:rsidR="008B771A">
        <w:rPr>
          <w:lang w:val="es-CR"/>
        </w:rPr>
        <w:t>3</w:t>
      </w:r>
      <w:r w:rsidRPr="00481342">
        <w:rPr>
          <w:lang w:val="es-CR"/>
        </w:rPr>
        <w:t>.</w:t>
      </w:r>
    </w:p>
  </w:footnote>
  <w:footnote w:id="36">
    <w:p w:rsidR="00D34BA7" w:rsidRPr="00EA06C2" w:rsidRDefault="00D34BA7" w:rsidP="00290512">
      <w:pPr>
        <w:pStyle w:val="Textonotapie"/>
        <w:tabs>
          <w:tab w:val="left" w:pos="450"/>
        </w:tabs>
        <w:rPr>
          <w:lang w:val="es-CR"/>
        </w:rPr>
      </w:pPr>
      <w:r>
        <w:rPr>
          <w:rStyle w:val="Refdenotaalpie"/>
        </w:rPr>
        <w:footnoteRef/>
      </w:r>
      <w:r w:rsidRPr="00EA06C2">
        <w:rPr>
          <w:lang w:val="es-CR"/>
        </w:rPr>
        <w:t xml:space="preserve"> </w:t>
      </w:r>
      <w:r>
        <w:rPr>
          <w:lang w:val="es-CR"/>
        </w:rPr>
        <w:tab/>
      </w:r>
      <w:r>
        <w:rPr>
          <w:i/>
          <w:lang w:val="es-CR"/>
        </w:rPr>
        <w:t xml:space="preserve">Cfr. </w:t>
      </w:r>
      <w:r>
        <w:rPr>
          <w:i/>
          <w:lang w:val="es-CR"/>
        </w:rPr>
        <w:t xml:space="preserve">Caso del Penal Miguel Castro Castro, supra </w:t>
      </w:r>
      <w:r>
        <w:rPr>
          <w:lang w:val="es-CR"/>
        </w:rPr>
        <w:t xml:space="preserve">nota 8, Considerando 83 y </w:t>
      </w:r>
      <w:r>
        <w:rPr>
          <w:i/>
          <w:lang w:val="es-CR"/>
        </w:rPr>
        <w:t xml:space="preserve">Caso </w:t>
      </w:r>
      <w:r w:rsidRPr="00481342">
        <w:rPr>
          <w:i/>
          <w:lang w:val="es-CR"/>
        </w:rPr>
        <w:t xml:space="preserve">del Penal Miguel Castro Castro, supra </w:t>
      </w:r>
      <w:r w:rsidRPr="00481342">
        <w:rPr>
          <w:lang w:val="es-CR"/>
        </w:rPr>
        <w:t>nota 9, Considerando 1</w:t>
      </w:r>
      <w:r>
        <w:rPr>
          <w:lang w:val="es-CR"/>
        </w:rPr>
        <w:t>7</w:t>
      </w:r>
      <w:r w:rsidRPr="00481342">
        <w:rPr>
          <w:lang w:val="es-CR"/>
        </w:rPr>
        <w:t>.</w:t>
      </w:r>
    </w:p>
  </w:footnote>
  <w:footnote w:id="37">
    <w:p w:rsidR="005A5660" w:rsidRPr="00F72F33" w:rsidRDefault="005A5660" w:rsidP="00290512">
      <w:pPr>
        <w:tabs>
          <w:tab w:val="left" w:pos="450"/>
          <w:tab w:val="left" w:pos="567"/>
        </w:tabs>
        <w:ind w:right="48"/>
        <w:jc w:val="both"/>
        <w:rPr>
          <w:lang w:val="es-CR"/>
        </w:rPr>
      </w:pPr>
      <w:r w:rsidRPr="00A775CC">
        <w:rPr>
          <w:rStyle w:val="Refdenotaalpie"/>
          <w:rFonts w:ascii="Verdana" w:hAnsi="Verdana"/>
          <w:sz w:val="16"/>
          <w:szCs w:val="16"/>
        </w:rPr>
        <w:footnoteRef/>
      </w:r>
      <w:r w:rsidRPr="00A775CC">
        <w:rPr>
          <w:rFonts w:ascii="Verdana" w:hAnsi="Verdana"/>
          <w:sz w:val="16"/>
          <w:szCs w:val="16"/>
          <w:lang w:val="es-CR"/>
        </w:rPr>
        <w:t xml:space="preserve"> </w:t>
      </w:r>
      <w:r w:rsidRPr="00A775CC">
        <w:rPr>
          <w:rFonts w:ascii="Verdana" w:hAnsi="Verdana"/>
          <w:sz w:val="16"/>
          <w:szCs w:val="16"/>
          <w:lang w:val="es-CR"/>
        </w:rPr>
        <w:tab/>
      </w:r>
      <w:r w:rsidRPr="00854063">
        <w:rPr>
          <w:rFonts w:ascii="Verdana" w:hAnsi="Verdana" w:cs="Verdana"/>
          <w:bCs/>
          <w:i/>
          <w:sz w:val="16"/>
          <w:szCs w:val="16"/>
          <w:lang w:val="es-CR"/>
        </w:rPr>
        <w:t>Cfr</w:t>
      </w:r>
      <w:r w:rsidRPr="00854063">
        <w:rPr>
          <w:rFonts w:ascii="Verdana" w:hAnsi="Verdana" w:cs="Verdana"/>
          <w:bCs/>
          <w:sz w:val="16"/>
          <w:szCs w:val="16"/>
          <w:lang w:val="es-CR"/>
        </w:rPr>
        <w:t xml:space="preserve">. </w:t>
      </w:r>
      <w:r w:rsidRPr="00854063">
        <w:rPr>
          <w:rFonts w:ascii="Verdana" w:hAnsi="Verdana" w:cs="Arial"/>
          <w:i/>
          <w:sz w:val="16"/>
          <w:szCs w:val="16"/>
          <w:lang w:val="es-CR"/>
        </w:rPr>
        <w:t xml:space="preserve">Caso </w:t>
      </w:r>
      <w:r w:rsidR="00890A08">
        <w:rPr>
          <w:rFonts w:ascii="Verdana" w:hAnsi="Verdana" w:cs="Arial"/>
          <w:i/>
          <w:sz w:val="16"/>
          <w:szCs w:val="16"/>
          <w:lang w:val="es-CR"/>
        </w:rPr>
        <w:t>YATAMA</w:t>
      </w:r>
      <w:r w:rsidRPr="00854063">
        <w:rPr>
          <w:rFonts w:ascii="Verdana" w:hAnsi="Verdana" w:cs="Arial"/>
          <w:i/>
          <w:sz w:val="16"/>
          <w:szCs w:val="16"/>
          <w:lang w:val="es-CR"/>
        </w:rPr>
        <w:t xml:space="preserve"> Vs.</w:t>
      </w:r>
      <w:r w:rsidRPr="00854063">
        <w:rPr>
          <w:rFonts w:ascii="Verdana" w:hAnsi="Verdana" w:cs="Arial"/>
          <w:i/>
          <w:sz w:val="16"/>
          <w:szCs w:val="16"/>
          <w:lang w:val="es-CR"/>
        </w:rPr>
        <w:t xml:space="preserve"> Nicaragua</w:t>
      </w:r>
      <w:r w:rsidRPr="00854063">
        <w:rPr>
          <w:rStyle w:val="Textoennegrita"/>
          <w:rFonts w:ascii="Verdana" w:hAnsi="Verdana"/>
          <w:b w:val="0"/>
          <w:color w:val="000000"/>
          <w:sz w:val="16"/>
          <w:szCs w:val="16"/>
          <w:shd w:val="clear" w:color="auto" w:fill="FFFFFF"/>
        </w:rPr>
        <w:t>. Supervisión de Cumplimiento de Sentencia. Resolución de la Corte Interamericana de Derechos Humanos de 22 de agosto de 2013,</w:t>
      </w:r>
      <w:r w:rsidRPr="00854063">
        <w:rPr>
          <w:rFonts w:ascii="Verdana" w:hAnsi="Verdana" w:cs="Arial"/>
          <w:sz w:val="16"/>
          <w:szCs w:val="16"/>
          <w:lang w:val="es-CR"/>
        </w:rPr>
        <w:t xml:space="preserve"> C</w:t>
      </w:r>
      <w:r w:rsidRPr="00854063">
        <w:rPr>
          <w:rFonts w:ascii="Verdana" w:hAnsi="Verdana" w:cs="Verdana"/>
          <w:bCs/>
          <w:sz w:val="16"/>
          <w:szCs w:val="16"/>
          <w:lang w:val="es-CR"/>
        </w:rPr>
        <w:t>onsiderando décimo quinto.</w:t>
      </w:r>
      <w:r w:rsidRPr="00317FA8">
        <w:rPr>
          <w:rFonts w:ascii="Verdana" w:hAnsi="Verdana" w:cs="Verdana"/>
          <w:bCs/>
          <w:sz w:val="16"/>
          <w:szCs w:val="16"/>
          <w:lang w:val="es-CR"/>
        </w:rPr>
        <w:t xml:space="preserve"> </w:t>
      </w:r>
    </w:p>
  </w:footnote>
  <w:footnote w:id="38">
    <w:p w:rsidR="005D20C6" w:rsidRPr="00F72F33" w:rsidRDefault="005D20C6" w:rsidP="00290512">
      <w:pPr>
        <w:pStyle w:val="Textonotapie"/>
        <w:tabs>
          <w:tab w:val="left" w:pos="450"/>
          <w:tab w:val="left" w:pos="567"/>
        </w:tabs>
        <w:ind w:right="48"/>
        <w:rPr>
          <w:color w:val="000000"/>
          <w:szCs w:val="16"/>
          <w:lang w:val="es-CR"/>
        </w:rPr>
      </w:pPr>
      <w:r w:rsidRPr="00F72F33">
        <w:rPr>
          <w:rStyle w:val="Refdenotaalpie"/>
          <w:szCs w:val="16"/>
        </w:rPr>
        <w:footnoteRef/>
      </w:r>
      <w:r>
        <w:rPr>
          <w:szCs w:val="16"/>
          <w:lang w:val="es-CR"/>
        </w:rPr>
        <w:tab/>
      </w:r>
      <w:r w:rsidRPr="001578A8">
        <w:rPr>
          <w:szCs w:val="16"/>
          <w:lang w:val="es-CR"/>
        </w:rPr>
        <w:t xml:space="preserve"> </w:t>
      </w:r>
      <w:r w:rsidRPr="00724DD4">
        <w:rPr>
          <w:i/>
          <w:color w:val="000000"/>
          <w:szCs w:val="16"/>
          <w:lang w:val="es-MX"/>
        </w:rPr>
        <w:t xml:space="preserve">Cfr. </w:t>
      </w:r>
      <w:r w:rsidRPr="00724DD4">
        <w:rPr>
          <w:i/>
          <w:color w:val="000000"/>
          <w:szCs w:val="16"/>
          <w:lang w:val="es-MX"/>
        </w:rPr>
        <w:t>Caso Castillo Petruzzi y otros Vs. Perú</w:t>
      </w:r>
      <w:r w:rsidRPr="001578A8">
        <w:rPr>
          <w:color w:val="000000"/>
          <w:szCs w:val="16"/>
          <w:lang w:val="es-MX"/>
        </w:rPr>
        <w:t xml:space="preserve">. Supervisión de Cumplimiento de Sentencia. Resolución de la Corte </w:t>
      </w:r>
      <w:r w:rsidR="00501D72">
        <w:rPr>
          <w:color w:val="000000"/>
          <w:szCs w:val="16"/>
          <w:lang w:val="es-MX"/>
        </w:rPr>
        <w:t xml:space="preserve">Interamericana de Derechos Humanos </w:t>
      </w:r>
      <w:r w:rsidRPr="001578A8">
        <w:rPr>
          <w:color w:val="000000"/>
          <w:szCs w:val="16"/>
          <w:lang w:val="es-MX"/>
        </w:rPr>
        <w:t xml:space="preserve">de 17 de noviembre de 1999, Considerando tercero; </w:t>
      </w:r>
      <w:r w:rsidRPr="00724DD4">
        <w:rPr>
          <w:i/>
          <w:szCs w:val="16"/>
          <w:lang w:val="es-ES"/>
        </w:rPr>
        <w:t>Caso Baena Ricardo y otros Vs. Panamá</w:t>
      </w:r>
      <w:r w:rsidRPr="001578A8">
        <w:rPr>
          <w:szCs w:val="16"/>
          <w:lang w:val="es-ES"/>
        </w:rPr>
        <w:t>. Competencia. Sentencia de 28 de noviembre de 2003. Serie C No. 104, párr. 131,</w:t>
      </w:r>
      <w:r w:rsidRPr="001578A8">
        <w:rPr>
          <w:color w:val="000000"/>
          <w:szCs w:val="16"/>
          <w:lang w:val="es-MX"/>
        </w:rPr>
        <w:t xml:space="preserve"> y </w:t>
      </w:r>
      <w:r w:rsidRPr="00DD2BFE">
        <w:rPr>
          <w:rStyle w:val="Textoennegrita"/>
          <w:b w:val="0"/>
          <w:i/>
          <w:color w:val="000000"/>
          <w:shd w:val="clear" w:color="auto" w:fill="FFFFFF"/>
          <w:lang w:val="es-CR"/>
        </w:rPr>
        <w:t>Caso Acevedo Buendía y otros (“Cesantes y Jubilados de la Contraloría”) Vs. Perú. Supervisión de Cumplimiento de Sentencia.</w:t>
      </w:r>
      <w:r w:rsidRPr="00DD2BFE">
        <w:rPr>
          <w:rStyle w:val="Textoennegrita"/>
          <w:b w:val="0"/>
          <w:color w:val="000000"/>
          <w:shd w:val="clear" w:color="auto" w:fill="FFFFFF"/>
          <w:lang w:val="es-CR"/>
        </w:rPr>
        <w:t xml:space="preserve"> Resolución de la Corte Interamericana de Derechos</w:t>
      </w:r>
      <w:r w:rsidRPr="001578A8">
        <w:rPr>
          <w:rStyle w:val="Textoennegrita"/>
          <w:b w:val="0"/>
          <w:color w:val="000000"/>
          <w:shd w:val="clear" w:color="auto" w:fill="FFFFFF"/>
          <w:lang w:val="es-CR"/>
        </w:rPr>
        <w:t xml:space="preserve"> H</w:t>
      </w:r>
      <w:r>
        <w:rPr>
          <w:rStyle w:val="Textoennegrita"/>
          <w:b w:val="0"/>
          <w:color w:val="000000"/>
          <w:shd w:val="clear" w:color="auto" w:fill="FFFFFF"/>
          <w:lang w:val="es-CR"/>
        </w:rPr>
        <w:t>umanos de 28 de enero de 2015, C</w:t>
      </w:r>
      <w:r w:rsidRPr="001578A8">
        <w:rPr>
          <w:rStyle w:val="Textoennegrita"/>
          <w:b w:val="0"/>
          <w:color w:val="000000"/>
          <w:shd w:val="clear" w:color="auto" w:fill="FFFFFF"/>
          <w:lang w:val="es-CR"/>
        </w:rPr>
        <w:t>onsiderando tercero.</w:t>
      </w:r>
    </w:p>
  </w:footnote>
  <w:footnote w:id="39">
    <w:p w:rsidR="005D20C6" w:rsidRPr="00F72F33" w:rsidRDefault="005D20C6" w:rsidP="00290512">
      <w:pPr>
        <w:pStyle w:val="Textonotapie"/>
        <w:tabs>
          <w:tab w:val="left" w:pos="450"/>
          <w:tab w:val="left" w:pos="567"/>
        </w:tabs>
        <w:ind w:right="48"/>
        <w:rPr>
          <w:color w:val="000000"/>
          <w:szCs w:val="16"/>
          <w:lang w:val="es-ES"/>
        </w:rPr>
      </w:pPr>
      <w:r w:rsidRPr="00F72F33">
        <w:rPr>
          <w:rStyle w:val="Refdenotaalpie"/>
          <w:szCs w:val="16"/>
        </w:rPr>
        <w:footnoteRef/>
      </w:r>
      <w:r w:rsidRPr="00F72F33">
        <w:rPr>
          <w:szCs w:val="16"/>
          <w:lang w:val="es-CO"/>
        </w:rPr>
        <w:tab/>
      </w:r>
      <w:r w:rsidRPr="003C797F">
        <w:rPr>
          <w:i/>
          <w:szCs w:val="16"/>
          <w:lang w:val="es-CO"/>
        </w:rPr>
        <w:t>Cfr</w:t>
      </w:r>
      <w:r w:rsidRPr="00BB01B5">
        <w:rPr>
          <w:szCs w:val="16"/>
          <w:lang w:val="es-CO"/>
        </w:rPr>
        <w:t xml:space="preserve">. </w:t>
      </w:r>
      <w:r w:rsidRPr="00724DD4">
        <w:rPr>
          <w:bCs/>
          <w:i/>
          <w:color w:val="000000"/>
          <w:szCs w:val="16"/>
          <w:lang w:val="es-CO"/>
        </w:rPr>
        <w:t>Caso Baena Ricardo y otros Vs. Panamá</w:t>
      </w:r>
      <w:r w:rsidR="00501D72">
        <w:rPr>
          <w:bCs/>
          <w:color w:val="000000"/>
          <w:szCs w:val="16"/>
          <w:lang w:val="es-CO"/>
        </w:rPr>
        <w:t xml:space="preserve">, </w:t>
      </w:r>
      <w:r w:rsidR="00501D72" w:rsidRPr="00264950">
        <w:rPr>
          <w:bCs/>
          <w:i/>
          <w:color w:val="000000"/>
          <w:szCs w:val="16"/>
          <w:lang w:val="es-CO"/>
        </w:rPr>
        <w:t>supra</w:t>
      </w:r>
      <w:r w:rsidR="007430A8">
        <w:rPr>
          <w:bCs/>
          <w:i/>
          <w:color w:val="000000"/>
          <w:szCs w:val="16"/>
          <w:lang w:val="es-CO"/>
        </w:rPr>
        <w:t xml:space="preserve"> </w:t>
      </w:r>
      <w:r w:rsidR="00890A08">
        <w:rPr>
          <w:bCs/>
          <w:color w:val="000000"/>
          <w:szCs w:val="16"/>
          <w:lang w:val="es-CO"/>
        </w:rPr>
        <w:t>nota 38</w:t>
      </w:r>
      <w:r w:rsidRPr="00BB01B5">
        <w:rPr>
          <w:color w:val="000000"/>
          <w:szCs w:val="16"/>
          <w:lang w:val="es-ES"/>
        </w:rPr>
        <w:t xml:space="preserve">, párr. 60; </w:t>
      </w:r>
      <w:r w:rsidRPr="00724DD4">
        <w:rPr>
          <w:i/>
          <w:szCs w:val="16"/>
          <w:lang w:val="es-CR"/>
        </w:rPr>
        <w:t>Caso Apitz Barbera y Otros ("Corte Primera de lo Contencioso Administrativo") Vs. Venezuela</w:t>
      </w:r>
      <w:r w:rsidRPr="00BB01B5">
        <w:rPr>
          <w:szCs w:val="16"/>
          <w:lang w:val="es-CR"/>
        </w:rPr>
        <w:t xml:space="preserve">. Supervisión de Cumplimiento de Sentencia. Resolución de la Corte Interamericana de Derechos Humanos de 23 de noviembre de 2012, Considerando vigésimo primero, y </w:t>
      </w:r>
      <w:r w:rsidRPr="00DD2BFE">
        <w:rPr>
          <w:rStyle w:val="Textoennegrita"/>
          <w:b w:val="0"/>
          <w:color w:val="000000"/>
          <w:shd w:val="clear" w:color="auto" w:fill="FFFFFF"/>
          <w:lang w:val="es-CR"/>
        </w:rPr>
        <w:t>C</w:t>
      </w:r>
      <w:r w:rsidRPr="00724DD4">
        <w:rPr>
          <w:rStyle w:val="Textoennegrita"/>
          <w:b w:val="0"/>
          <w:i/>
          <w:color w:val="000000"/>
          <w:shd w:val="clear" w:color="auto" w:fill="FFFFFF"/>
          <w:lang w:val="es-CR"/>
        </w:rPr>
        <w:t>asos Masacres de Río Negro y Gudiel Álvarez y otros Vs. Guatemala</w:t>
      </w:r>
      <w:r w:rsidRPr="00DD2BFE">
        <w:rPr>
          <w:rStyle w:val="Textoennegrita"/>
          <w:b w:val="0"/>
          <w:color w:val="000000"/>
          <w:shd w:val="clear" w:color="auto" w:fill="FFFFFF"/>
          <w:lang w:val="es-CR"/>
        </w:rPr>
        <w:t>. Supervisión de Cumplimiento de Sentencia. Resolución de la Corte Interamericana de Derechos Humanos de 21 de agosto de 2014</w:t>
      </w:r>
      <w:r>
        <w:rPr>
          <w:szCs w:val="16"/>
          <w:lang w:val="es-CR"/>
        </w:rPr>
        <w:t>, C</w:t>
      </w:r>
      <w:r w:rsidRPr="00DD2BFE">
        <w:rPr>
          <w:szCs w:val="16"/>
          <w:lang w:val="es-CR"/>
        </w:rPr>
        <w:t>onsiderando undécimo.</w:t>
      </w:r>
      <w:r w:rsidRPr="00BB01B5">
        <w:rPr>
          <w:szCs w:val="16"/>
          <w:lang w:val="es-CR"/>
        </w:rPr>
        <w:t xml:space="preserve"> </w:t>
      </w:r>
    </w:p>
  </w:footnote>
  <w:footnote w:id="40">
    <w:p w:rsidR="005D20C6" w:rsidRPr="00F72F33" w:rsidRDefault="005D20C6" w:rsidP="00290512">
      <w:pPr>
        <w:pStyle w:val="Textoindependiente"/>
        <w:tabs>
          <w:tab w:val="left" w:pos="450"/>
          <w:tab w:val="left" w:pos="567"/>
        </w:tabs>
        <w:spacing w:after="0"/>
        <w:ind w:right="48"/>
        <w:jc w:val="both"/>
        <w:rPr>
          <w:rFonts w:ascii="Verdana" w:hAnsi="Verdana"/>
          <w:bCs/>
          <w:sz w:val="16"/>
          <w:szCs w:val="16"/>
        </w:rPr>
      </w:pPr>
      <w:r w:rsidRPr="00F72F33">
        <w:rPr>
          <w:rStyle w:val="Refdenotaalpie"/>
          <w:rFonts w:ascii="Verdana" w:hAnsi="Verdana"/>
          <w:sz w:val="16"/>
          <w:szCs w:val="16"/>
        </w:rPr>
        <w:footnoteRef/>
      </w:r>
      <w:r w:rsidRPr="00F72F33">
        <w:rPr>
          <w:rFonts w:ascii="Verdana" w:hAnsi="Verdana"/>
          <w:sz w:val="16"/>
          <w:szCs w:val="16"/>
          <w:lang w:val="es-CR"/>
        </w:rPr>
        <w:t xml:space="preserve"> </w:t>
      </w:r>
      <w:r w:rsidRPr="00F72F33">
        <w:rPr>
          <w:rFonts w:ascii="Verdana" w:hAnsi="Verdana"/>
          <w:sz w:val="16"/>
          <w:szCs w:val="16"/>
          <w:lang w:val="es-CR"/>
        </w:rPr>
        <w:tab/>
      </w:r>
      <w:r w:rsidRPr="00A367E8">
        <w:rPr>
          <w:rFonts w:ascii="Verdana" w:hAnsi="Verdana"/>
          <w:i/>
          <w:sz w:val="16"/>
          <w:szCs w:val="16"/>
          <w:lang w:val="es-CR"/>
        </w:rPr>
        <w:t>Cfr</w:t>
      </w:r>
      <w:r w:rsidRPr="00F72F33">
        <w:rPr>
          <w:rFonts w:ascii="Verdana" w:hAnsi="Verdana"/>
          <w:sz w:val="16"/>
          <w:szCs w:val="16"/>
          <w:lang w:val="es-CR"/>
        </w:rPr>
        <w:t xml:space="preserve">. </w:t>
      </w:r>
      <w:r w:rsidRPr="00724DD4">
        <w:rPr>
          <w:rFonts w:ascii="Verdana" w:hAnsi="Verdana"/>
          <w:i/>
          <w:sz w:val="16"/>
          <w:szCs w:val="16"/>
          <w:lang w:val="es-CR"/>
        </w:rPr>
        <w:t xml:space="preserve">Caso </w:t>
      </w:r>
      <w:r w:rsidRPr="00724DD4">
        <w:rPr>
          <w:rStyle w:val="Textoennegrita"/>
          <w:rFonts w:ascii="Verdana" w:hAnsi="Verdana"/>
          <w:b w:val="0"/>
          <w:i/>
          <w:sz w:val="16"/>
          <w:szCs w:val="16"/>
        </w:rPr>
        <w:t>Baena Ricardo y otros Vs. Panamá</w:t>
      </w:r>
      <w:r w:rsidR="007430A8">
        <w:rPr>
          <w:rStyle w:val="Textoennegrita"/>
          <w:rFonts w:ascii="Verdana" w:hAnsi="Verdana"/>
          <w:b w:val="0"/>
          <w:i/>
          <w:sz w:val="16"/>
          <w:szCs w:val="16"/>
        </w:rPr>
        <w:t>, s</w:t>
      </w:r>
      <w:r w:rsidRPr="00A367E8">
        <w:rPr>
          <w:rStyle w:val="Textoennegrita"/>
          <w:rFonts w:ascii="Verdana" w:hAnsi="Verdana"/>
          <w:b w:val="0"/>
          <w:i/>
          <w:sz w:val="16"/>
          <w:szCs w:val="16"/>
        </w:rPr>
        <w:t>upra</w:t>
      </w:r>
      <w:r w:rsidR="007430A8">
        <w:rPr>
          <w:rStyle w:val="Textoennegrita"/>
          <w:rFonts w:ascii="Verdana" w:hAnsi="Verdana"/>
          <w:b w:val="0"/>
          <w:i/>
          <w:sz w:val="16"/>
          <w:szCs w:val="16"/>
        </w:rPr>
        <w:t xml:space="preserve"> </w:t>
      </w:r>
      <w:r w:rsidR="00890A08">
        <w:rPr>
          <w:rStyle w:val="Textoennegrita"/>
          <w:rFonts w:ascii="Verdana" w:hAnsi="Verdana"/>
          <w:b w:val="0"/>
          <w:sz w:val="16"/>
          <w:szCs w:val="16"/>
        </w:rPr>
        <w:t>nota 38</w:t>
      </w:r>
      <w:r w:rsidRPr="00F72F33">
        <w:rPr>
          <w:rStyle w:val="Textoennegrita"/>
          <w:rFonts w:ascii="Verdana" w:hAnsi="Verdana"/>
          <w:b w:val="0"/>
          <w:sz w:val="16"/>
          <w:szCs w:val="16"/>
        </w:rPr>
        <w:t xml:space="preserve">, </w:t>
      </w:r>
      <w:proofErr w:type="spellStart"/>
      <w:r w:rsidRPr="00F72F33">
        <w:rPr>
          <w:rStyle w:val="Textoennegrita"/>
          <w:rFonts w:ascii="Verdana" w:hAnsi="Verdana"/>
          <w:b w:val="0"/>
          <w:sz w:val="16"/>
          <w:szCs w:val="16"/>
        </w:rPr>
        <w:t>párrs</w:t>
      </w:r>
      <w:proofErr w:type="spellEnd"/>
      <w:r w:rsidRPr="00F72F33">
        <w:rPr>
          <w:rStyle w:val="Textoennegrita"/>
          <w:rFonts w:ascii="Verdana" w:hAnsi="Verdana"/>
          <w:b w:val="0"/>
          <w:sz w:val="16"/>
          <w:szCs w:val="16"/>
        </w:rPr>
        <w:t>. 82 y 83</w:t>
      </w:r>
      <w:r>
        <w:rPr>
          <w:rStyle w:val="Textoennegrita"/>
          <w:rFonts w:ascii="Verdana" w:hAnsi="Verdana"/>
          <w:b w:val="0"/>
          <w:sz w:val="16"/>
          <w:szCs w:val="16"/>
        </w:rPr>
        <w:t>.</w:t>
      </w:r>
    </w:p>
  </w:footnote>
  <w:footnote w:id="41">
    <w:p w:rsidR="00954A1C" w:rsidRPr="007C2F30" w:rsidRDefault="00954A1C" w:rsidP="00290512">
      <w:pPr>
        <w:pStyle w:val="Textonotapie"/>
        <w:tabs>
          <w:tab w:val="left" w:pos="450"/>
        </w:tabs>
        <w:rPr>
          <w:lang w:val="es-ES_tradnl"/>
        </w:rPr>
      </w:pPr>
      <w:r>
        <w:rPr>
          <w:rStyle w:val="Refdenotaalpie"/>
        </w:rPr>
        <w:footnoteRef/>
      </w:r>
      <w:r w:rsidRPr="004E4F12">
        <w:rPr>
          <w:lang w:val="es-CR"/>
        </w:rPr>
        <w:t xml:space="preserve"> </w:t>
      </w:r>
      <w:r>
        <w:rPr>
          <w:lang w:val="es-ES_tradnl"/>
        </w:rPr>
        <w:tab/>
      </w:r>
      <w:r>
        <w:rPr>
          <w:i/>
          <w:lang w:val="es-CR"/>
        </w:rPr>
        <w:t xml:space="preserve">Cfr. Caso del Penal Miguel Castro </w:t>
      </w:r>
      <w:r>
        <w:rPr>
          <w:i/>
          <w:lang w:val="es-CR"/>
        </w:rPr>
        <w:t xml:space="preserve">Castro, supra </w:t>
      </w:r>
      <w:r>
        <w:rPr>
          <w:lang w:val="es-CR"/>
        </w:rPr>
        <w:t>nota 1, p</w:t>
      </w:r>
      <w:proofErr w:type="spellStart"/>
      <w:r>
        <w:rPr>
          <w:lang w:val="es-ES_tradnl"/>
        </w:rPr>
        <w:t>árrs</w:t>
      </w:r>
      <w:proofErr w:type="spellEnd"/>
      <w:r>
        <w:rPr>
          <w:lang w:val="es-ES_tradnl"/>
        </w:rPr>
        <w:t>. 411, 417 y 456.</w:t>
      </w:r>
    </w:p>
  </w:footnote>
  <w:footnote w:id="42">
    <w:p w:rsidR="005F30BF" w:rsidRPr="005F30BF" w:rsidRDefault="005F30BF" w:rsidP="00290512">
      <w:pPr>
        <w:pStyle w:val="Textonotapie"/>
        <w:tabs>
          <w:tab w:val="left" w:pos="450"/>
        </w:tabs>
        <w:rPr>
          <w:lang w:val="es-CR"/>
        </w:rPr>
      </w:pPr>
      <w:r>
        <w:rPr>
          <w:rStyle w:val="Refdenotaalpie"/>
        </w:rPr>
        <w:footnoteRef/>
      </w:r>
      <w:r w:rsidRPr="005F30BF">
        <w:rPr>
          <w:lang w:val="es-CR"/>
        </w:rPr>
        <w:t xml:space="preserve"> </w:t>
      </w:r>
      <w:r>
        <w:rPr>
          <w:lang w:val="es-CR"/>
        </w:rPr>
        <w:tab/>
      </w:r>
      <w:r>
        <w:rPr>
          <w:i/>
          <w:lang w:val="es-CR"/>
        </w:rPr>
        <w:t>Cfr. C</w:t>
      </w:r>
      <w:r w:rsidRPr="005F30BF">
        <w:rPr>
          <w:i/>
          <w:lang w:val="es-CR"/>
        </w:rPr>
        <w:t xml:space="preserve">aso del Tribunal Constitucional (Camba Campos y otros) Vs. Ecuador. Supervisión de Cumplimiento de Sentencia. </w:t>
      </w:r>
      <w:r w:rsidRPr="005F30BF">
        <w:rPr>
          <w:lang w:val="es-CR"/>
        </w:rPr>
        <w:t>Resolución de la Corte Interamericana de Derechos</w:t>
      </w:r>
      <w:r w:rsidR="00A2431E">
        <w:rPr>
          <w:lang w:val="es-CR"/>
        </w:rPr>
        <w:t xml:space="preserve"> Humanos de 23 de junio de 2016, Considerando 20 y </w:t>
      </w:r>
      <w:r w:rsidR="00A2431E" w:rsidRPr="00A2431E">
        <w:rPr>
          <w:i/>
          <w:lang w:val="es-CR"/>
        </w:rPr>
        <w:t>Caso de la Corte Suprema de Justicia (Quintana Coello y otros) Vs. Ecuador. Supervisión de Cumplimiento de Sentencia</w:t>
      </w:r>
      <w:r w:rsidR="00A2431E" w:rsidRPr="00A2431E">
        <w:rPr>
          <w:lang w:val="es-CR"/>
        </w:rPr>
        <w:t>. Resolución de la Corte Interamericana de Derechos H</w:t>
      </w:r>
      <w:r w:rsidR="00A2431E">
        <w:rPr>
          <w:lang w:val="es-CR"/>
        </w:rPr>
        <w:t>umanos de 20 de octubre de 2016, Considerando 23.</w:t>
      </w:r>
    </w:p>
  </w:footnote>
  <w:footnote w:id="43">
    <w:p w:rsidR="005F6683" w:rsidRPr="005F6683" w:rsidRDefault="005F6683" w:rsidP="00290512">
      <w:pPr>
        <w:pStyle w:val="Textonotapie"/>
        <w:tabs>
          <w:tab w:val="left" w:pos="450"/>
        </w:tabs>
        <w:rPr>
          <w:i/>
          <w:lang w:val="es-CR"/>
        </w:rPr>
      </w:pPr>
      <w:r>
        <w:rPr>
          <w:rStyle w:val="Refdenotaalpie"/>
        </w:rPr>
        <w:footnoteRef/>
      </w:r>
      <w:r w:rsidRPr="005F6683">
        <w:rPr>
          <w:lang w:val="es-CR"/>
        </w:rPr>
        <w:t xml:space="preserve"> </w:t>
      </w:r>
      <w:r>
        <w:rPr>
          <w:lang w:val="es-CR"/>
        </w:rPr>
        <w:tab/>
      </w:r>
      <w:r>
        <w:rPr>
          <w:i/>
          <w:lang w:val="es-CR"/>
        </w:rPr>
        <w:t xml:space="preserve">Cfr. </w:t>
      </w:r>
      <w:r w:rsidRPr="005F6683">
        <w:rPr>
          <w:i/>
          <w:lang w:val="es-CR"/>
        </w:rPr>
        <w:t xml:space="preserve">Caso del Penal Miguel Castro </w:t>
      </w:r>
      <w:r w:rsidRPr="005F6683">
        <w:rPr>
          <w:i/>
          <w:lang w:val="es-CR"/>
        </w:rPr>
        <w:t xml:space="preserve">Castro Vs. Perú. Supervisión de Cumplimiento de Sentencia. </w:t>
      </w:r>
      <w:r w:rsidRPr="005F6683">
        <w:rPr>
          <w:lang w:val="es-CR"/>
        </w:rPr>
        <w:t>Resolución del Presidente en ejercicio de la Corte Interamericana de Derechos</w:t>
      </w:r>
      <w:r>
        <w:rPr>
          <w:lang w:val="es-CR"/>
        </w:rPr>
        <w:t xml:space="preserve"> Humanos de 29 de julio de 2013, Considerando 12 y punto resolutivo primero.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CCB" w:rsidRDefault="00E87CCB" w:rsidP="00E87CCB">
    <w:pPr>
      <w:pStyle w:val="Encabezado"/>
      <w:jc w:val="right"/>
      <w:rPr>
        <w:rFonts w:ascii="Verdana" w:hAnsi="Verdana"/>
        <w:sz w:val="16"/>
        <w:szCs w:val="16"/>
      </w:rPr>
    </w:pPr>
    <w:r>
      <w:rPr>
        <w:rFonts w:ascii="Verdana" w:hAnsi="Verdana"/>
        <w:sz w:val="16"/>
        <w:szCs w:val="16"/>
      </w:rPr>
      <w:t>Proyecto de Resolución de Supervisión de Cumplimiento de Sentencia</w:t>
    </w:r>
  </w:p>
  <w:p w:rsidR="00E87CCB" w:rsidRDefault="00E87CCB" w:rsidP="00E87CCB">
    <w:pPr>
      <w:pStyle w:val="Encabezado"/>
      <w:jc w:val="right"/>
      <w:rPr>
        <w:rFonts w:ascii="Verdana" w:hAnsi="Verdana"/>
        <w:sz w:val="16"/>
        <w:szCs w:val="16"/>
      </w:rPr>
    </w:pPr>
    <w:r>
      <w:rPr>
        <w:rFonts w:ascii="Verdana" w:hAnsi="Verdana"/>
        <w:sz w:val="16"/>
        <w:szCs w:val="16"/>
      </w:rPr>
      <w:t xml:space="preserve">Caso del Penal Miguel Castro </w:t>
    </w:r>
    <w:proofErr w:type="spellStart"/>
    <w:r>
      <w:rPr>
        <w:rFonts w:ascii="Verdana" w:hAnsi="Verdana"/>
        <w:sz w:val="16"/>
        <w:szCs w:val="16"/>
      </w:rPr>
      <w:t>Castro</w:t>
    </w:r>
    <w:proofErr w:type="spellEnd"/>
    <w:r>
      <w:rPr>
        <w:rFonts w:ascii="Verdana" w:hAnsi="Verdana"/>
        <w:sz w:val="16"/>
        <w:szCs w:val="16"/>
      </w:rPr>
      <w:t xml:space="preserve"> Vs. Perú</w:t>
    </w:r>
  </w:p>
  <w:p w:rsidR="00E87CCB" w:rsidRPr="005E75C8" w:rsidRDefault="00E87CCB" w:rsidP="00E87CCB">
    <w:pPr>
      <w:pStyle w:val="Encabezado"/>
      <w:jc w:val="right"/>
      <w:rPr>
        <w:rFonts w:ascii="Verdana" w:hAnsi="Verdana"/>
        <w:b/>
        <w:i/>
        <w:sz w:val="16"/>
        <w:szCs w:val="16"/>
      </w:rPr>
    </w:pPr>
    <w:r w:rsidRPr="005E75C8">
      <w:rPr>
        <w:rFonts w:ascii="Verdana" w:hAnsi="Verdana"/>
        <w:b/>
        <w:i/>
        <w:sz w:val="16"/>
        <w:szCs w:val="16"/>
      </w:rPr>
      <w:t>CONFIDENCIAL</w:t>
    </w:r>
  </w:p>
  <w:p w:rsidR="00E87CCB" w:rsidRDefault="00E87CC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0C6" w:rsidRPr="00FD57B3" w:rsidRDefault="005D20C6">
    <w:pPr>
      <w:pStyle w:val="Encabezado"/>
      <w:jc w:val="center"/>
      <w:rPr>
        <w:rFonts w:ascii="Verdana" w:hAnsi="Verdana"/>
        <w:sz w:val="16"/>
        <w:szCs w:val="16"/>
      </w:rPr>
    </w:pPr>
    <w:r>
      <w:rPr>
        <w:rFonts w:ascii="Verdana" w:hAnsi="Verdana"/>
        <w:sz w:val="16"/>
        <w:szCs w:val="16"/>
      </w:rPr>
      <w:t>-</w:t>
    </w:r>
    <w:r w:rsidRPr="00FD57B3">
      <w:rPr>
        <w:rFonts w:ascii="Verdana" w:hAnsi="Verdana"/>
        <w:sz w:val="16"/>
        <w:szCs w:val="16"/>
      </w:rPr>
      <w:fldChar w:fldCharType="begin"/>
    </w:r>
    <w:r w:rsidRPr="00FD57B3">
      <w:rPr>
        <w:rFonts w:ascii="Verdana" w:hAnsi="Verdana"/>
        <w:sz w:val="16"/>
        <w:szCs w:val="16"/>
      </w:rPr>
      <w:instrText xml:space="preserve"> </w:instrText>
    </w:r>
    <w:r w:rsidR="00B864D3">
      <w:rPr>
        <w:rFonts w:ascii="Verdana" w:hAnsi="Verdana"/>
        <w:sz w:val="16"/>
        <w:szCs w:val="16"/>
      </w:rPr>
      <w:instrText>PAGE</w:instrText>
    </w:r>
    <w:r w:rsidRPr="00FD57B3">
      <w:rPr>
        <w:rFonts w:ascii="Verdana" w:hAnsi="Verdana"/>
        <w:sz w:val="16"/>
        <w:szCs w:val="16"/>
      </w:rPr>
      <w:instrText xml:space="preserve">   \* MERGEFORMAT </w:instrText>
    </w:r>
    <w:r w:rsidRPr="00FD57B3">
      <w:rPr>
        <w:rFonts w:ascii="Verdana" w:hAnsi="Verdana"/>
        <w:sz w:val="16"/>
        <w:szCs w:val="16"/>
      </w:rPr>
      <w:fldChar w:fldCharType="separate"/>
    </w:r>
    <w:r w:rsidR="003437C0">
      <w:rPr>
        <w:rFonts w:ascii="Verdana" w:hAnsi="Verdana"/>
        <w:noProof/>
        <w:sz w:val="16"/>
        <w:szCs w:val="16"/>
      </w:rPr>
      <w:t>3</w:t>
    </w:r>
    <w:r w:rsidRPr="00FD57B3">
      <w:rPr>
        <w:rFonts w:ascii="Verdana" w:hAnsi="Verdana"/>
        <w:noProof/>
        <w:sz w:val="16"/>
        <w:szCs w:val="16"/>
      </w:rPr>
      <w:fldChar w:fldCharType="end"/>
    </w:r>
    <w:r>
      <w:rPr>
        <w:rFonts w:ascii="Verdana" w:hAnsi="Verdana"/>
        <w:noProof/>
        <w:sz w:val="16"/>
        <w:szCs w:val="16"/>
      </w:rPr>
      <w:t>-</w:t>
    </w:r>
  </w:p>
  <w:p w:rsidR="005D20C6" w:rsidRDefault="005D20C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C8" w:rsidRDefault="005E75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C9E44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9162FD"/>
    <w:multiLevelType w:val="multilevel"/>
    <w:tmpl w:val="DE22409C"/>
    <w:lvl w:ilvl="0">
      <w:start w:val="1"/>
      <w:numFmt w:val="upperLetter"/>
      <w:pStyle w:val="Ttulo1"/>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08D056DA"/>
    <w:multiLevelType w:val="hybridMultilevel"/>
    <w:tmpl w:val="FE5A7CDC"/>
    <w:lvl w:ilvl="0" w:tplc="730611C6">
      <w:start w:val="1"/>
      <w:numFmt w:val="upperLetter"/>
      <w:lvlText w:val="%1."/>
      <w:lvlJc w:val="left"/>
      <w:pPr>
        <w:ind w:left="360" w:hanging="360"/>
      </w:pPr>
      <w:rPr>
        <w:color w:val="auto"/>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3">
    <w:nsid w:val="10886ADD"/>
    <w:multiLevelType w:val="hybridMultilevel"/>
    <w:tmpl w:val="F662D108"/>
    <w:lvl w:ilvl="0" w:tplc="80BE8022">
      <w:start w:val="1"/>
      <w:numFmt w:val="lowerRoman"/>
      <w:lvlText w:val="%1)"/>
      <w:lvlJc w:val="left"/>
      <w:pPr>
        <w:ind w:left="1068" w:hanging="360"/>
      </w:pPr>
      <w:rPr>
        <w:rFonts w:hint="default"/>
      </w:rPr>
    </w:lvl>
    <w:lvl w:ilvl="1" w:tplc="0409001B">
      <w:start w:val="1"/>
      <w:numFmt w:val="lowerRoman"/>
      <w:lvlText w:val="%2."/>
      <w:lvlJc w:val="righ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1F361011"/>
    <w:multiLevelType w:val="hybridMultilevel"/>
    <w:tmpl w:val="31C47B06"/>
    <w:lvl w:ilvl="0" w:tplc="6D64045A">
      <w:start w:val="1"/>
      <w:numFmt w:val="lowerRoman"/>
      <w:lvlText w:val="%1)"/>
      <w:lvlJc w:val="left"/>
      <w:pPr>
        <w:ind w:left="1305" w:hanging="360"/>
      </w:pPr>
      <w:rPr>
        <w:rFonts w:hint="default"/>
        <w:i/>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5">
    <w:nsid w:val="229A1B75"/>
    <w:multiLevelType w:val="hybridMultilevel"/>
    <w:tmpl w:val="1DE2E2C4"/>
    <w:lvl w:ilvl="0" w:tplc="E58A8336">
      <w:start w:val="17"/>
      <w:numFmt w:val="lowerLetter"/>
      <w:lvlText w:val="%1."/>
      <w:lvlJc w:val="left"/>
      <w:pPr>
        <w:ind w:left="1068" w:hanging="360"/>
      </w:pPr>
      <w:rPr>
        <w:rFonts w:hint="default"/>
      </w:rPr>
    </w:lvl>
    <w:lvl w:ilvl="1" w:tplc="140A0019" w:tentative="1">
      <w:start w:val="1"/>
      <w:numFmt w:val="lowerLetter"/>
      <w:lvlText w:val="%2."/>
      <w:lvlJc w:val="left"/>
      <w:pPr>
        <w:ind w:left="861" w:hanging="360"/>
      </w:pPr>
    </w:lvl>
    <w:lvl w:ilvl="2" w:tplc="140A001B" w:tentative="1">
      <w:start w:val="1"/>
      <w:numFmt w:val="lowerRoman"/>
      <w:lvlText w:val="%3."/>
      <w:lvlJc w:val="right"/>
      <w:pPr>
        <w:ind w:left="1581" w:hanging="180"/>
      </w:pPr>
    </w:lvl>
    <w:lvl w:ilvl="3" w:tplc="140A000F" w:tentative="1">
      <w:start w:val="1"/>
      <w:numFmt w:val="decimal"/>
      <w:lvlText w:val="%4."/>
      <w:lvlJc w:val="left"/>
      <w:pPr>
        <w:ind w:left="2301" w:hanging="360"/>
      </w:pPr>
    </w:lvl>
    <w:lvl w:ilvl="4" w:tplc="140A0019" w:tentative="1">
      <w:start w:val="1"/>
      <w:numFmt w:val="lowerLetter"/>
      <w:lvlText w:val="%5."/>
      <w:lvlJc w:val="left"/>
      <w:pPr>
        <w:ind w:left="3021" w:hanging="360"/>
      </w:pPr>
    </w:lvl>
    <w:lvl w:ilvl="5" w:tplc="140A001B" w:tentative="1">
      <w:start w:val="1"/>
      <w:numFmt w:val="lowerRoman"/>
      <w:lvlText w:val="%6."/>
      <w:lvlJc w:val="right"/>
      <w:pPr>
        <w:ind w:left="3741" w:hanging="180"/>
      </w:pPr>
    </w:lvl>
    <w:lvl w:ilvl="6" w:tplc="140A000F" w:tentative="1">
      <w:start w:val="1"/>
      <w:numFmt w:val="decimal"/>
      <w:lvlText w:val="%7."/>
      <w:lvlJc w:val="left"/>
      <w:pPr>
        <w:ind w:left="4461" w:hanging="360"/>
      </w:pPr>
    </w:lvl>
    <w:lvl w:ilvl="7" w:tplc="140A0019" w:tentative="1">
      <w:start w:val="1"/>
      <w:numFmt w:val="lowerLetter"/>
      <w:lvlText w:val="%8."/>
      <w:lvlJc w:val="left"/>
      <w:pPr>
        <w:ind w:left="5181" w:hanging="360"/>
      </w:pPr>
    </w:lvl>
    <w:lvl w:ilvl="8" w:tplc="140A001B" w:tentative="1">
      <w:start w:val="1"/>
      <w:numFmt w:val="lowerRoman"/>
      <w:lvlText w:val="%9."/>
      <w:lvlJc w:val="right"/>
      <w:pPr>
        <w:ind w:left="5901" w:hanging="180"/>
      </w:pPr>
    </w:lvl>
  </w:abstractNum>
  <w:abstractNum w:abstractNumId="6">
    <w:nsid w:val="24C720E4"/>
    <w:multiLevelType w:val="hybridMultilevel"/>
    <w:tmpl w:val="2542CFDE"/>
    <w:lvl w:ilvl="0" w:tplc="04090019">
      <w:start w:val="1"/>
      <w:numFmt w:val="lowerLetter"/>
      <w:lvlText w:val="%1."/>
      <w:lvlJc w:val="left"/>
      <w:pPr>
        <w:ind w:left="927" w:hanging="360"/>
      </w:pPr>
    </w:lvl>
    <w:lvl w:ilvl="1" w:tplc="140A001B">
      <w:start w:val="1"/>
      <w:numFmt w:val="lowerRoman"/>
      <w:lvlText w:val="%2."/>
      <w:lvlJc w:val="righ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7290543"/>
    <w:multiLevelType w:val="hybridMultilevel"/>
    <w:tmpl w:val="91F01398"/>
    <w:lvl w:ilvl="0" w:tplc="BBA8BB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C3BB0"/>
    <w:multiLevelType w:val="hybridMultilevel"/>
    <w:tmpl w:val="438CA8D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2BE51DFB"/>
    <w:multiLevelType w:val="hybridMultilevel"/>
    <w:tmpl w:val="9A5AECF8"/>
    <w:lvl w:ilvl="0" w:tplc="6D64045A">
      <w:start w:val="1"/>
      <w:numFmt w:val="lowerRoman"/>
      <w:lvlText w:val="%1)"/>
      <w:lvlJc w:val="left"/>
      <w:pPr>
        <w:ind w:left="1305" w:hanging="360"/>
      </w:pPr>
      <w:rPr>
        <w:rFonts w:hint="default"/>
        <w:i/>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0">
    <w:nsid w:val="3113526E"/>
    <w:multiLevelType w:val="hybridMultilevel"/>
    <w:tmpl w:val="13C2464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3C9C6DCC"/>
    <w:multiLevelType w:val="hybridMultilevel"/>
    <w:tmpl w:val="85F21D9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41BF0DFA"/>
    <w:multiLevelType w:val="hybridMultilevel"/>
    <w:tmpl w:val="BEC07C1C"/>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nsid w:val="47597069"/>
    <w:multiLevelType w:val="hybridMultilevel"/>
    <w:tmpl w:val="8806D8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965DC4"/>
    <w:multiLevelType w:val="hybridMultilevel"/>
    <w:tmpl w:val="C70CC5DA"/>
    <w:lvl w:ilvl="0" w:tplc="04090019">
      <w:start w:val="1"/>
      <w:numFmt w:val="lowerLetter"/>
      <w:lvlText w:val="%1."/>
      <w:lvlJc w:val="left"/>
      <w:pPr>
        <w:ind w:left="927" w:hanging="360"/>
      </w:pPr>
    </w:lvl>
    <w:lvl w:ilvl="1" w:tplc="0409001B">
      <w:start w:val="1"/>
      <w:numFmt w:val="lowerRoman"/>
      <w:lvlText w:val="%2."/>
      <w:lvlJc w:val="righ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9E35F58"/>
    <w:multiLevelType w:val="hybridMultilevel"/>
    <w:tmpl w:val="CF629046"/>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4C1464BD"/>
    <w:multiLevelType w:val="hybridMultilevel"/>
    <w:tmpl w:val="42DA2FAC"/>
    <w:lvl w:ilvl="0" w:tplc="20B41342">
      <w:start w:val="1"/>
      <w:numFmt w:val="decimal"/>
      <w:pStyle w:val="Ttulo2"/>
      <w:lvlText w:val="A.%1)"/>
      <w:lvlJc w:val="left"/>
      <w:pPr>
        <w:ind w:left="927" w:hanging="360"/>
      </w:pPr>
      <w:rPr>
        <w:rFonts w:hint="default"/>
      </w:r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7">
    <w:nsid w:val="4E4044E8"/>
    <w:multiLevelType w:val="hybridMultilevel"/>
    <w:tmpl w:val="7D247558"/>
    <w:lvl w:ilvl="0" w:tplc="6D64045A">
      <w:start w:val="1"/>
      <w:numFmt w:val="lowerRoman"/>
      <w:lvlText w:val="%1)"/>
      <w:lvlJc w:val="left"/>
      <w:pPr>
        <w:ind w:left="1305" w:hanging="360"/>
      </w:pPr>
      <w:rPr>
        <w:rFonts w:hint="default"/>
        <w:i/>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8">
    <w:nsid w:val="50E65D35"/>
    <w:multiLevelType w:val="hybridMultilevel"/>
    <w:tmpl w:val="2C923452"/>
    <w:lvl w:ilvl="0" w:tplc="6D64045A">
      <w:start w:val="1"/>
      <w:numFmt w:val="lowerRoman"/>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16F4CC4"/>
    <w:multiLevelType w:val="hybridMultilevel"/>
    <w:tmpl w:val="BEC07C1C"/>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nsid w:val="52CB0603"/>
    <w:multiLevelType w:val="hybridMultilevel"/>
    <w:tmpl w:val="81D07FB6"/>
    <w:lvl w:ilvl="0" w:tplc="331047BC">
      <w:start w:val="1"/>
      <w:numFmt w:val="decimal"/>
      <w:lvlText w:val="%1."/>
      <w:lvlJc w:val="left"/>
      <w:pPr>
        <w:ind w:left="1407" w:hanging="84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1">
    <w:nsid w:val="54B90041"/>
    <w:multiLevelType w:val="hybridMultilevel"/>
    <w:tmpl w:val="7272F814"/>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56345FC5"/>
    <w:multiLevelType w:val="hybridMultilevel"/>
    <w:tmpl w:val="9A5AECF8"/>
    <w:lvl w:ilvl="0" w:tplc="6D64045A">
      <w:start w:val="1"/>
      <w:numFmt w:val="lowerRoman"/>
      <w:lvlText w:val="%1)"/>
      <w:lvlJc w:val="left"/>
      <w:pPr>
        <w:ind w:left="1305" w:hanging="360"/>
      </w:pPr>
      <w:rPr>
        <w:rFonts w:hint="default"/>
        <w:i/>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3">
    <w:nsid w:val="5E41356D"/>
    <w:multiLevelType w:val="hybridMultilevel"/>
    <w:tmpl w:val="C70CC5DA"/>
    <w:lvl w:ilvl="0" w:tplc="04090019">
      <w:start w:val="1"/>
      <w:numFmt w:val="lowerLetter"/>
      <w:lvlText w:val="%1."/>
      <w:lvlJc w:val="left"/>
      <w:pPr>
        <w:ind w:left="927" w:hanging="360"/>
      </w:pPr>
    </w:lvl>
    <w:lvl w:ilvl="1" w:tplc="0409001B">
      <w:start w:val="1"/>
      <w:numFmt w:val="lowerRoman"/>
      <w:lvlText w:val="%2."/>
      <w:lvlJc w:val="righ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FEE6678"/>
    <w:multiLevelType w:val="hybridMultilevel"/>
    <w:tmpl w:val="9ECA2704"/>
    <w:lvl w:ilvl="0" w:tplc="140A0017">
      <w:start w:val="1"/>
      <w:numFmt w:val="lowerLetter"/>
      <w:lvlText w:val="%1)"/>
      <w:lvlJc w:val="left"/>
      <w:pPr>
        <w:ind w:left="567" w:hanging="360"/>
      </w:pPr>
    </w:lvl>
    <w:lvl w:ilvl="1" w:tplc="140A0019">
      <w:start w:val="1"/>
      <w:numFmt w:val="lowerLetter"/>
      <w:lvlText w:val="%2."/>
      <w:lvlJc w:val="left"/>
      <w:pPr>
        <w:ind w:left="1287" w:hanging="360"/>
      </w:pPr>
    </w:lvl>
    <w:lvl w:ilvl="2" w:tplc="140A001B" w:tentative="1">
      <w:start w:val="1"/>
      <w:numFmt w:val="lowerRoman"/>
      <w:lvlText w:val="%3."/>
      <w:lvlJc w:val="right"/>
      <w:pPr>
        <w:ind w:left="2007" w:hanging="180"/>
      </w:pPr>
    </w:lvl>
    <w:lvl w:ilvl="3" w:tplc="140A000F" w:tentative="1">
      <w:start w:val="1"/>
      <w:numFmt w:val="decimal"/>
      <w:lvlText w:val="%4."/>
      <w:lvlJc w:val="left"/>
      <w:pPr>
        <w:ind w:left="2727" w:hanging="360"/>
      </w:pPr>
    </w:lvl>
    <w:lvl w:ilvl="4" w:tplc="140A0019" w:tentative="1">
      <w:start w:val="1"/>
      <w:numFmt w:val="lowerLetter"/>
      <w:lvlText w:val="%5."/>
      <w:lvlJc w:val="left"/>
      <w:pPr>
        <w:ind w:left="3447" w:hanging="360"/>
      </w:pPr>
    </w:lvl>
    <w:lvl w:ilvl="5" w:tplc="140A001B" w:tentative="1">
      <w:start w:val="1"/>
      <w:numFmt w:val="lowerRoman"/>
      <w:lvlText w:val="%6."/>
      <w:lvlJc w:val="right"/>
      <w:pPr>
        <w:ind w:left="4167" w:hanging="180"/>
      </w:pPr>
    </w:lvl>
    <w:lvl w:ilvl="6" w:tplc="140A000F" w:tentative="1">
      <w:start w:val="1"/>
      <w:numFmt w:val="decimal"/>
      <w:lvlText w:val="%7."/>
      <w:lvlJc w:val="left"/>
      <w:pPr>
        <w:ind w:left="4887" w:hanging="360"/>
      </w:pPr>
    </w:lvl>
    <w:lvl w:ilvl="7" w:tplc="140A0019" w:tentative="1">
      <w:start w:val="1"/>
      <w:numFmt w:val="lowerLetter"/>
      <w:lvlText w:val="%8."/>
      <w:lvlJc w:val="left"/>
      <w:pPr>
        <w:ind w:left="5607" w:hanging="360"/>
      </w:pPr>
    </w:lvl>
    <w:lvl w:ilvl="8" w:tplc="140A001B" w:tentative="1">
      <w:start w:val="1"/>
      <w:numFmt w:val="lowerRoman"/>
      <w:lvlText w:val="%9."/>
      <w:lvlJc w:val="right"/>
      <w:pPr>
        <w:ind w:left="6327" w:hanging="180"/>
      </w:pPr>
    </w:lvl>
  </w:abstractNum>
  <w:abstractNum w:abstractNumId="25">
    <w:nsid w:val="5FFD259A"/>
    <w:multiLevelType w:val="hybridMultilevel"/>
    <w:tmpl w:val="5BA8BF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DC284E"/>
    <w:multiLevelType w:val="hybridMultilevel"/>
    <w:tmpl w:val="A9384056"/>
    <w:lvl w:ilvl="0" w:tplc="7E9E0248">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F41D25"/>
    <w:multiLevelType w:val="hybridMultilevel"/>
    <w:tmpl w:val="7AA47732"/>
    <w:lvl w:ilvl="0" w:tplc="140A001B">
      <w:start w:val="1"/>
      <w:numFmt w:val="lowerRoman"/>
      <w:lvlText w:val="%1."/>
      <w:lvlJc w:val="right"/>
      <w:pPr>
        <w:ind w:left="927" w:hanging="360"/>
      </w:pPr>
    </w:lvl>
    <w:lvl w:ilvl="1" w:tplc="0409001B">
      <w:start w:val="1"/>
      <w:numFmt w:val="lowerRoman"/>
      <w:lvlText w:val="%2."/>
      <w:lvlJc w:val="righ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6B9B6D07"/>
    <w:multiLevelType w:val="hybridMultilevel"/>
    <w:tmpl w:val="FF46A4FC"/>
    <w:lvl w:ilvl="0" w:tplc="06263900">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6E992D95"/>
    <w:multiLevelType w:val="hybridMultilevel"/>
    <w:tmpl w:val="ECF0763C"/>
    <w:lvl w:ilvl="0" w:tplc="140A0017">
      <w:start w:val="1"/>
      <w:numFmt w:val="lowerLetter"/>
      <w:lvlText w:val="%1)"/>
      <w:lvlJc w:val="left"/>
      <w:pPr>
        <w:ind w:left="567" w:hanging="360"/>
      </w:pPr>
    </w:lvl>
    <w:lvl w:ilvl="1" w:tplc="140A001B">
      <w:start w:val="1"/>
      <w:numFmt w:val="lowerRoman"/>
      <w:lvlText w:val="%2."/>
      <w:lvlJc w:val="right"/>
      <w:pPr>
        <w:ind w:left="1287" w:hanging="360"/>
      </w:pPr>
    </w:lvl>
    <w:lvl w:ilvl="2" w:tplc="140A001B" w:tentative="1">
      <w:start w:val="1"/>
      <w:numFmt w:val="lowerRoman"/>
      <w:lvlText w:val="%3."/>
      <w:lvlJc w:val="right"/>
      <w:pPr>
        <w:ind w:left="2007" w:hanging="180"/>
      </w:pPr>
    </w:lvl>
    <w:lvl w:ilvl="3" w:tplc="140A000F" w:tentative="1">
      <w:start w:val="1"/>
      <w:numFmt w:val="decimal"/>
      <w:lvlText w:val="%4."/>
      <w:lvlJc w:val="left"/>
      <w:pPr>
        <w:ind w:left="2727" w:hanging="360"/>
      </w:pPr>
    </w:lvl>
    <w:lvl w:ilvl="4" w:tplc="140A0019" w:tentative="1">
      <w:start w:val="1"/>
      <w:numFmt w:val="lowerLetter"/>
      <w:lvlText w:val="%5."/>
      <w:lvlJc w:val="left"/>
      <w:pPr>
        <w:ind w:left="3447" w:hanging="360"/>
      </w:pPr>
    </w:lvl>
    <w:lvl w:ilvl="5" w:tplc="140A001B" w:tentative="1">
      <w:start w:val="1"/>
      <w:numFmt w:val="lowerRoman"/>
      <w:lvlText w:val="%6."/>
      <w:lvlJc w:val="right"/>
      <w:pPr>
        <w:ind w:left="4167" w:hanging="180"/>
      </w:pPr>
    </w:lvl>
    <w:lvl w:ilvl="6" w:tplc="140A000F" w:tentative="1">
      <w:start w:val="1"/>
      <w:numFmt w:val="decimal"/>
      <w:lvlText w:val="%7."/>
      <w:lvlJc w:val="left"/>
      <w:pPr>
        <w:ind w:left="4887" w:hanging="360"/>
      </w:pPr>
    </w:lvl>
    <w:lvl w:ilvl="7" w:tplc="140A0019" w:tentative="1">
      <w:start w:val="1"/>
      <w:numFmt w:val="lowerLetter"/>
      <w:lvlText w:val="%8."/>
      <w:lvlJc w:val="left"/>
      <w:pPr>
        <w:ind w:left="5607" w:hanging="360"/>
      </w:pPr>
    </w:lvl>
    <w:lvl w:ilvl="8" w:tplc="140A001B" w:tentative="1">
      <w:start w:val="1"/>
      <w:numFmt w:val="lowerRoman"/>
      <w:lvlText w:val="%9."/>
      <w:lvlJc w:val="right"/>
      <w:pPr>
        <w:ind w:left="6327" w:hanging="180"/>
      </w:pPr>
    </w:lvl>
  </w:abstractNum>
  <w:abstractNum w:abstractNumId="30">
    <w:nsid w:val="757A12A2"/>
    <w:multiLevelType w:val="hybridMultilevel"/>
    <w:tmpl w:val="0694DDCE"/>
    <w:lvl w:ilvl="0" w:tplc="97D2B9D2">
      <w:start w:val="1"/>
      <w:numFmt w:val="decimal"/>
      <w:lvlText w:val="%1."/>
      <w:lvlJc w:val="left"/>
      <w:pPr>
        <w:ind w:left="1065" w:hanging="705"/>
      </w:pPr>
      <w:rPr>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796027D"/>
    <w:multiLevelType w:val="hybridMultilevel"/>
    <w:tmpl w:val="47A024BC"/>
    <w:lvl w:ilvl="0" w:tplc="04090019">
      <w:start w:val="1"/>
      <w:numFmt w:val="lowerLetter"/>
      <w:lvlText w:val="%1."/>
      <w:lvlJc w:val="left"/>
      <w:pPr>
        <w:ind w:left="927" w:hanging="360"/>
      </w:pPr>
    </w:lvl>
    <w:lvl w:ilvl="1" w:tplc="140A001B">
      <w:start w:val="1"/>
      <w:numFmt w:val="lowerRoman"/>
      <w:lvlText w:val="%2."/>
      <w:lvlJc w:val="righ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7BE75CD"/>
    <w:multiLevelType w:val="hybridMultilevel"/>
    <w:tmpl w:val="329037A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7983635B"/>
    <w:multiLevelType w:val="hybridMultilevel"/>
    <w:tmpl w:val="67744AB6"/>
    <w:lvl w:ilvl="0" w:tplc="C1B49366">
      <w:start w:val="1"/>
      <w:numFmt w:val="decimal"/>
      <w:lvlText w:val="%1."/>
      <w:lvlJc w:val="left"/>
      <w:pPr>
        <w:ind w:left="720" w:hanging="360"/>
      </w:pPr>
      <w:rPr>
        <w:rFonts w:ascii="Verdana" w:hAnsi="Verdana" w:hint="default"/>
        <w:b w:val="0"/>
        <w:i w:val="0"/>
        <w:color w:val="auto"/>
        <w:sz w:val="20"/>
        <w:szCs w:val="20"/>
      </w:rPr>
    </w:lvl>
    <w:lvl w:ilvl="1" w:tplc="80BE8022">
      <w:start w:val="1"/>
      <w:numFmt w:val="low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3"/>
  </w:num>
  <w:num w:numId="2">
    <w:abstractNumId w:val="1"/>
  </w:num>
  <w:num w:numId="3">
    <w:abstractNumId w:val="26"/>
  </w:num>
  <w:num w:numId="4">
    <w:abstractNumId w:val="16"/>
  </w:num>
  <w:num w:numId="5">
    <w:abstractNumId w:val="2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lvlOverride w:ilvl="0">
      <w:startOverride w:val="1"/>
    </w:lvlOverride>
  </w:num>
  <w:num w:numId="9">
    <w:abstractNumId w:val="28"/>
  </w:num>
  <w:num w:numId="10">
    <w:abstractNumId w:val="1"/>
  </w:num>
  <w:num w:numId="11">
    <w:abstractNumId w:val="1"/>
  </w:num>
  <w:num w:numId="12">
    <w:abstractNumId w:val="1"/>
  </w:num>
  <w:num w:numId="13">
    <w:abstractNumId w:val="1"/>
  </w:num>
  <w:num w:numId="14">
    <w:abstractNumId w:val="16"/>
  </w:num>
  <w:num w:numId="15">
    <w:abstractNumId w:val="12"/>
  </w:num>
  <w:num w:numId="16">
    <w:abstractNumId w:val="17"/>
  </w:num>
  <w:num w:numId="17">
    <w:abstractNumId w:val="4"/>
  </w:num>
  <w:num w:numId="18">
    <w:abstractNumId w:val="9"/>
  </w:num>
  <w:num w:numId="19">
    <w:abstractNumId w:val="22"/>
  </w:num>
  <w:num w:numId="20">
    <w:abstractNumId w:val="18"/>
  </w:num>
  <w:num w:numId="21">
    <w:abstractNumId w:val="19"/>
  </w:num>
  <w:num w:numId="22">
    <w:abstractNumId w:val="16"/>
  </w:num>
  <w:num w:numId="23">
    <w:abstractNumId w:val="11"/>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3"/>
  </w:num>
  <w:num w:numId="27">
    <w:abstractNumId w:val="23"/>
  </w:num>
  <w:num w:numId="28">
    <w:abstractNumId w:val="7"/>
  </w:num>
  <w:num w:numId="29">
    <w:abstractNumId w:val="25"/>
  </w:num>
  <w:num w:numId="30">
    <w:abstractNumId w:val="2"/>
  </w:num>
  <w:num w:numId="31">
    <w:abstractNumId w:val="31"/>
  </w:num>
  <w:num w:numId="32">
    <w:abstractNumId w:val="6"/>
  </w:num>
  <w:num w:numId="33">
    <w:abstractNumId w:val="32"/>
  </w:num>
  <w:num w:numId="34">
    <w:abstractNumId w:val="8"/>
  </w:num>
  <w:num w:numId="35">
    <w:abstractNumId w:val="21"/>
  </w:num>
  <w:num w:numId="36">
    <w:abstractNumId w:val="15"/>
  </w:num>
  <w:num w:numId="37">
    <w:abstractNumId w:val="24"/>
  </w:num>
  <w:num w:numId="38">
    <w:abstractNumId w:val="14"/>
  </w:num>
  <w:num w:numId="39">
    <w:abstractNumId w:val="5"/>
  </w:num>
  <w:num w:numId="40">
    <w:abstractNumId w:val="27"/>
  </w:num>
  <w:num w:numId="41">
    <w:abstractNumId w:val="3"/>
  </w:num>
  <w:num w:numId="42">
    <w:abstractNumId w:val="29"/>
  </w:num>
  <w:num w:numId="4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657D"/>
    <w:rsid w:val="00001410"/>
    <w:rsid w:val="00002283"/>
    <w:rsid w:val="00002882"/>
    <w:rsid w:val="00003042"/>
    <w:rsid w:val="000034E3"/>
    <w:rsid w:val="00004007"/>
    <w:rsid w:val="0000406B"/>
    <w:rsid w:val="00004BB7"/>
    <w:rsid w:val="00005E59"/>
    <w:rsid w:val="00006B6E"/>
    <w:rsid w:val="00006D54"/>
    <w:rsid w:val="0000788E"/>
    <w:rsid w:val="00010648"/>
    <w:rsid w:val="000137D0"/>
    <w:rsid w:val="00013EE0"/>
    <w:rsid w:val="0001426C"/>
    <w:rsid w:val="00014C63"/>
    <w:rsid w:val="0001539F"/>
    <w:rsid w:val="00015461"/>
    <w:rsid w:val="00015C74"/>
    <w:rsid w:val="0001607D"/>
    <w:rsid w:val="00016859"/>
    <w:rsid w:val="000178C7"/>
    <w:rsid w:val="00017CB5"/>
    <w:rsid w:val="00020C77"/>
    <w:rsid w:val="000217E2"/>
    <w:rsid w:val="00021B63"/>
    <w:rsid w:val="00021E63"/>
    <w:rsid w:val="000223EB"/>
    <w:rsid w:val="0002297F"/>
    <w:rsid w:val="000230D4"/>
    <w:rsid w:val="00023920"/>
    <w:rsid w:val="00023A15"/>
    <w:rsid w:val="00024267"/>
    <w:rsid w:val="000253EF"/>
    <w:rsid w:val="00025A7C"/>
    <w:rsid w:val="000267E0"/>
    <w:rsid w:val="0002684A"/>
    <w:rsid w:val="00026BD4"/>
    <w:rsid w:val="00026F1B"/>
    <w:rsid w:val="00027094"/>
    <w:rsid w:val="000270EF"/>
    <w:rsid w:val="000276BC"/>
    <w:rsid w:val="00027C20"/>
    <w:rsid w:val="00030697"/>
    <w:rsid w:val="00031138"/>
    <w:rsid w:val="00031528"/>
    <w:rsid w:val="0003174E"/>
    <w:rsid w:val="000319CA"/>
    <w:rsid w:val="00032914"/>
    <w:rsid w:val="00032E09"/>
    <w:rsid w:val="00034A31"/>
    <w:rsid w:val="00034FBE"/>
    <w:rsid w:val="000353B9"/>
    <w:rsid w:val="000354BA"/>
    <w:rsid w:val="00035887"/>
    <w:rsid w:val="00035C94"/>
    <w:rsid w:val="00037C23"/>
    <w:rsid w:val="00037DA9"/>
    <w:rsid w:val="00040632"/>
    <w:rsid w:val="00040F18"/>
    <w:rsid w:val="00041749"/>
    <w:rsid w:val="000417D5"/>
    <w:rsid w:val="00042BD5"/>
    <w:rsid w:val="00042E29"/>
    <w:rsid w:val="00043E7D"/>
    <w:rsid w:val="00043FA3"/>
    <w:rsid w:val="000446C8"/>
    <w:rsid w:val="00044C10"/>
    <w:rsid w:val="00045069"/>
    <w:rsid w:val="00045AE5"/>
    <w:rsid w:val="00045D5E"/>
    <w:rsid w:val="000464F3"/>
    <w:rsid w:val="00047306"/>
    <w:rsid w:val="000473AB"/>
    <w:rsid w:val="00050BA2"/>
    <w:rsid w:val="000512B7"/>
    <w:rsid w:val="0005216E"/>
    <w:rsid w:val="000528A4"/>
    <w:rsid w:val="0005372E"/>
    <w:rsid w:val="000539F0"/>
    <w:rsid w:val="00054363"/>
    <w:rsid w:val="000547BC"/>
    <w:rsid w:val="00054A04"/>
    <w:rsid w:val="00054B7B"/>
    <w:rsid w:val="0005510F"/>
    <w:rsid w:val="000551BE"/>
    <w:rsid w:val="00055472"/>
    <w:rsid w:val="000555D8"/>
    <w:rsid w:val="00055A22"/>
    <w:rsid w:val="000560C0"/>
    <w:rsid w:val="000565B8"/>
    <w:rsid w:val="00056A05"/>
    <w:rsid w:val="00056CB5"/>
    <w:rsid w:val="00057029"/>
    <w:rsid w:val="000571B8"/>
    <w:rsid w:val="00057690"/>
    <w:rsid w:val="00057D95"/>
    <w:rsid w:val="00057F07"/>
    <w:rsid w:val="00060190"/>
    <w:rsid w:val="00060D97"/>
    <w:rsid w:val="00062103"/>
    <w:rsid w:val="00062A86"/>
    <w:rsid w:val="00063031"/>
    <w:rsid w:val="000631C8"/>
    <w:rsid w:val="00063D0E"/>
    <w:rsid w:val="00063F9F"/>
    <w:rsid w:val="00064B6D"/>
    <w:rsid w:val="000655AD"/>
    <w:rsid w:val="00065889"/>
    <w:rsid w:val="0006623C"/>
    <w:rsid w:val="00066B01"/>
    <w:rsid w:val="00066CF0"/>
    <w:rsid w:val="00066EF0"/>
    <w:rsid w:val="00067075"/>
    <w:rsid w:val="00067356"/>
    <w:rsid w:val="00067FA7"/>
    <w:rsid w:val="00070A89"/>
    <w:rsid w:val="0007150A"/>
    <w:rsid w:val="00071641"/>
    <w:rsid w:val="000729F6"/>
    <w:rsid w:val="00072AD6"/>
    <w:rsid w:val="0007311A"/>
    <w:rsid w:val="00073A37"/>
    <w:rsid w:val="00073C57"/>
    <w:rsid w:val="00074603"/>
    <w:rsid w:val="000749CE"/>
    <w:rsid w:val="0007559F"/>
    <w:rsid w:val="0007591A"/>
    <w:rsid w:val="00075AB0"/>
    <w:rsid w:val="00076BA8"/>
    <w:rsid w:val="00076F12"/>
    <w:rsid w:val="00076F94"/>
    <w:rsid w:val="000771B8"/>
    <w:rsid w:val="000776B8"/>
    <w:rsid w:val="00077A4B"/>
    <w:rsid w:val="00077B25"/>
    <w:rsid w:val="000802EB"/>
    <w:rsid w:val="00080BC4"/>
    <w:rsid w:val="0008126A"/>
    <w:rsid w:val="00081757"/>
    <w:rsid w:val="0008350D"/>
    <w:rsid w:val="00084A26"/>
    <w:rsid w:val="0008648E"/>
    <w:rsid w:val="000865C7"/>
    <w:rsid w:val="00087E17"/>
    <w:rsid w:val="00091246"/>
    <w:rsid w:val="00092315"/>
    <w:rsid w:val="00092862"/>
    <w:rsid w:val="00092B22"/>
    <w:rsid w:val="0009385F"/>
    <w:rsid w:val="00093DB5"/>
    <w:rsid w:val="00093FE0"/>
    <w:rsid w:val="0009498D"/>
    <w:rsid w:val="00094CF9"/>
    <w:rsid w:val="00095BB3"/>
    <w:rsid w:val="00095D7D"/>
    <w:rsid w:val="000961CE"/>
    <w:rsid w:val="000964FF"/>
    <w:rsid w:val="000965D2"/>
    <w:rsid w:val="00096CE7"/>
    <w:rsid w:val="00096EAA"/>
    <w:rsid w:val="000976F8"/>
    <w:rsid w:val="00097A21"/>
    <w:rsid w:val="00097E22"/>
    <w:rsid w:val="000A00D0"/>
    <w:rsid w:val="000A082E"/>
    <w:rsid w:val="000A0DD5"/>
    <w:rsid w:val="000A2034"/>
    <w:rsid w:val="000A2BDA"/>
    <w:rsid w:val="000A3062"/>
    <w:rsid w:val="000A3EAB"/>
    <w:rsid w:val="000A4E8A"/>
    <w:rsid w:val="000A58A4"/>
    <w:rsid w:val="000A5921"/>
    <w:rsid w:val="000A59F9"/>
    <w:rsid w:val="000A5E1C"/>
    <w:rsid w:val="000A5F0B"/>
    <w:rsid w:val="000A65E2"/>
    <w:rsid w:val="000A684B"/>
    <w:rsid w:val="000A7B3D"/>
    <w:rsid w:val="000A7E14"/>
    <w:rsid w:val="000B0015"/>
    <w:rsid w:val="000B02D6"/>
    <w:rsid w:val="000B078E"/>
    <w:rsid w:val="000B1464"/>
    <w:rsid w:val="000B2B92"/>
    <w:rsid w:val="000B30A7"/>
    <w:rsid w:val="000B3DE3"/>
    <w:rsid w:val="000B4903"/>
    <w:rsid w:val="000B498E"/>
    <w:rsid w:val="000B5069"/>
    <w:rsid w:val="000B5289"/>
    <w:rsid w:val="000B5646"/>
    <w:rsid w:val="000B6185"/>
    <w:rsid w:val="000B6B6F"/>
    <w:rsid w:val="000B7062"/>
    <w:rsid w:val="000B72BA"/>
    <w:rsid w:val="000B73EC"/>
    <w:rsid w:val="000B7AFE"/>
    <w:rsid w:val="000B7F8A"/>
    <w:rsid w:val="000C0527"/>
    <w:rsid w:val="000C07DC"/>
    <w:rsid w:val="000C11F4"/>
    <w:rsid w:val="000C2A97"/>
    <w:rsid w:val="000C3675"/>
    <w:rsid w:val="000C3695"/>
    <w:rsid w:val="000C4194"/>
    <w:rsid w:val="000C44A5"/>
    <w:rsid w:val="000C4ACB"/>
    <w:rsid w:val="000C4BC6"/>
    <w:rsid w:val="000C4FE7"/>
    <w:rsid w:val="000C56B8"/>
    <w:rsid w:val="000C5B05"/>
    <w:rsid w:val="000C5F45"/>
    <w:rsid w:val="000C7377"/>
    <w:rsid w:val="000D04C9"/>
    <w:rsid w:val="000D0E93"/>
    <w:rsid w:val="000D105F"/>
    <w:rsid w:val="000D150E"/>
    <w:rsid w:val="000D1658"/>
    <w:rsid w:val="000D1B56"/>
    <w:rsid w:val="000D2207"/>
    <w:rsid w:val="000D2F64"/>
    <w:rsid w:val="000D2FDA"/>
    <w:rsid w:val="000D3CFF"/>
    <w:rsid w:val="000D4D83"/>
    <w:rsid w:val="000D5510"/>
    <w:rsid w:val="000D5606"/>
    <w:rsid w:val="000D61BC"/>
    <w:rsid w:val="000D7F3F"/>
    <w:rsid w:val="000E005E"/>
    <w:rsid w:val="000E053D"/>
    <w:rsid w:val="000E1E84"/>
    <w:rsid w:val="000E2DBA"/>
    <w:rsid w:val="000E2F57"/>
    <w:rsid w:val="000E3674"/>
    <w:rsid w:val="000E37C0"/>
    <w:rsid w:val="000E3827"/>
    <w:rsid w:val="000E4880"/>
    <w:rsid w:val="000E4F21"/>
    <w:rsid w:val="000E52B9"/>
    <w:rsid w:val="000E59B0"/>
    <w:rsid w:val="000E5FAF"/>
    <w:rsid w:val="000E71BF"/>
    <w:rsid w:val="000E73E1"/>
    <w:rsid w:val="000F0523"/>
    <w:rsid w:val="000F1106"/>
    <w:rsid w:val="000F142A"/>
    <w:rsid w:val="000F1775"/>
    <w:rsid w:val="000F1B08"/>
    <w:rsid w:val="000F1B2A"/>
    <w:rsid w:val="000F1D88"/>
    <w:rsid w:val="000F1F6F"/>
    <w:rsid w:val="000F264F"/>
    <w:rsid w:val="000F2A2A"/>
    <w:rsid w:val="000F3663"/>
    <w:rsid w:val="000F38DA"/>
    <w:rsid w:val="000F4777"/>
    <w:rsid w:val="000F49D6"/>
    <w:rsid w:val="000F4F85"/>
    <w:rsid w:val="000F5424"/>
    <w:rsid w:val="000F56E9"/>
    <w:rsid w:val="000F5D76"/>
    <w:rsid w:val="000F5E5F"/>
    <w:rsid w:val="000F6387"/>
    <w:rsid w:val="000F6BEF"/>
    <w:rsid w:val="000F70D4"/>
    <w:rsid w:val="000F74A9"/>
    <w:rsid w:val="000F7722"/>
    <w:rsid w:val="000F7FF6"/>
    <w:rsid w:val="001003CC"/>
    <w:rsid w:val="00100B07"/>
    <w:rsid w:val="001018D5"/>
    <w:rsid w:val="001019FC"/>
    <w:rsid w:val="0010209B"/>
    <w:rsid w:val="00102491"/>
    <w:rsid w:val="001026FA"/>
    <w:rsid w:val="00102E74"/>
    <w:rsid w:val="0010314F"/>
    <w:rsid w:val="00104488"/>
    <w:rsid w:val="00104920"/>
    <w:rsid w:val="00105292"/>
    <w:rsid w:val="001060E7"/>
    <w:rsid w:val="001101D3"/>
    <w:rsid w:val="00110574"/>
    <w:rsid w:val="00111168"/>
    <w:rsid w:val="00111A60"/>
    <w:rsid w:val="0011220F"/>
    <w:rsid w:val="001129A7"/>
    <w:rsid w:val="00112B4B"/>
    <w:rsid w:val="00113720"/>
    <w:rsid w:val="00113D27"/>
    <w:rsid w:val="00113F9B"/>
    <w:rsid w:val="0011447D"/>
    <w:rsid w:val="00115562"/>
    <w:rsid w:val="00115B8C"/>
    <w:rsid w:val="00116784"/>
    <w:rsid w:val="001168D5"/>
    <w:rsid w:val="0011772C"/>
    <w:rsid w:val="001178CB"/>
    <w:rsid w:val="00117BA4"/>
    <w:rsid w:val="00121357"/>
    <w:rsid w:val="00121C67"/>
    <w:rsid w:val="001221D1"/>
    <w:rsid w:val="001223F6"/>
    <w:rsid w:val="0012287E"/>
    <w:rsid w:val="001231AC"/>
    <w:rsid w:val="00124271"/>
    <w:rsid w:val="00124327"/>
    <w:rsid w:val="00124AEA"/>
    <w:rsid w:val="00124D4D"/>
    <w:rsid w:val="0012527B"/>
    <w:rsid w:val="00125AE7"/>
    <w:rsid w:val="00125F7F"/>
    <w:rsid w:val="00126236"/>
    <w:rsid w:val="001262AE"/>
    <w:rsid w:val="00126A05"/>
    <w:rsid w:val="00127177"/>
    <w:rsid w:val="0012766C"/>
    <w:rsid w:val="00127734"/>
    <w:rsid w:val="001277B2"/>
    <w:rsid w:val="00130115"/>
    <w:rsid w:val="00130C80"/>
    <w:rsid w:val="0013131B"/>
    <w:rsid w:val="001317F5"/>
    <w:rsid w:val="00131A09"/>
    <w:rsid w:val="00131DA6"/>
    <w:rsid w:val="00131DDB"/>
    <w:rsid w:val="001326D0"/>
    <w:rsid w:val="001328BC"/>
    <w:rsid w:val="00132CB4"/>
    <w:rsid w:val="001331B5"/>
    <w:rsid w:val="001337E3"/>
    <w:rsid w:val="00133876"/>
    <w:rsid w:val="00133C6B"/>
    <w:rsid w:val="001345CD"/>
    <w:rsid w:val="001345D4"/>
    <w:rsid w:val="00134D17"/>
    <w:rsid w:val="00134E76"/>
    <w:rsid w:val="00134FBD"/>
    <w:rsid w:val="00135E79"/>
    <w:rsid w:val="001361C1"/>
    <w:rsid w:val="0013624B"/>
    <w:rsid w:val="00136687"/>
    <w:rsid w:val="00136BD6"/>
    <w:rsid w:val="00136D42"/>
    <w:rsid w:val="00137243"/>
    <w:rsid w:val="00137623"/>
    <w:rsid w:val="001376AC"/>
    <w:rsid w:val="00140DAB"/>
    <w:rsid w:val="001412A1"/>
    <w:rsid w:val="00142041"/>
    <w:rsid w:val="00142ACE"/>
    <w:rsid w:val="00142E76"/>
    <w:rsid w:val="0014343A"/>
    <w:rsid w:val="00143F7E"/>
    <w:rsid w:val="00145135"/>
    <w:rsid w:val="0014516A"/>
    <w:rsid w:val="00145720"/>
    <w:rsid w:val="00145EDD"/>
    <w:rsid w:val="00145F10"/>
    <w:rsid w:val="00145FD9"/>
    <w:rsid w:val="00146375"/>
    <w:rsid w:val="001463AF"/>
    <w:rsid w:val="001467ED"/>
    <w:rsid w:val="00147693"/>
    <w:rsid w:val="001479ED"/>
    <w:rsid w:val="00147A9E"/>
    <w:rsid w:val="001500EC"/>
    <w:rsid w:val="00150BD1"/>
    <w:rsid w:val="0015153E"/>
    <w:rsid w:val="001528EA"/>
    <w:rsid w:val="00152A54"/>
    <w:rsid w:val="00152D1F"/>
    <w:rsid w:val="00152FDB"/>
    <w:rsid w:val="001534FA"/>
    <w:rsid w:val="00153E90"/>
    <w:rsid w:val="001546DA"/>
    <w:rsid w:val="001546E3"/>
    <w:rsid w:val="00156E86"/>
    <w:rsid w:val="001570E9"/>
    <w:rsid w:val="0015725B"/>
    <w:rsid w:val="00157278"/>
    <w:rsid w:val="001578A8"/>
    <w:rsid w:val="00157FB2"/>
    <w:rsid w:val="001601E8"/>
    <w:rsid w:val="00160878"/>
    <w:rsid w:val="00160ECC"/>
    <w:rsid w:val="001612FD"/>
    <w:rsid w:val="00161580"/>
    <w:rsid w:val="001617F3"/>
    <w:rsid w:val="00161934"/>
    <w:rsid w:val="001632A9"/>
    <w:rsid w:val="001639E4"/>
    <w:rsid w:val="00164535"/>
    <w:rsid w:val="001646D3"/>
    <w:rsid w:val="00165AEE"/>
    <w:rsid w:val="00165FAD"/>
    <w:rsid w:val="0016607A"/>
    <w:rsid w:val="001668DB"/>
    <w:rsid w:val="001669DB"/>
    <w:rsid w:val="00167470"/>
    <w:rsid w:val="00167A91"/>
    <w:rsid w:val="0017012B"/>
    <w:rsid w:val="0017048C"/>
    <w:rsid w:val="001704CE"/>
    <w:rsid w:val="0017059C"/>
    <w:rsid w:val="0017286B"/>
    <w:rsid w:val="00173C9A"/>
    <w:rsid w:val="00173D09"/>
    <w:rsid w:val="00173D1E"/>
    <w:rsid w:val="00173F1C"/>
    <w:rsid w:val="0017420E"/>
    <w:rsid w:val="001742CD"/>
    <w:rsid w:val="001750FA"/>
    <w:rsid w:val="001757C7"/>
    <w:rsid w:val="001759E7"/>
    <w:rsid w:val="00176824"/>
    <w:rsid w:val="00177B57"/>
    <w:rsid w:val="00180587"/>
    <w:rsid w:val="00180DC2"/>
    <w:rsid w:val="00181A2C"/>
    <w:rsid w:val="001827A3"/>
    <w:rsid w:val="00183632"/>
    <w:rsid w:val="00183E89"/>
    <w:rsid w:val="00184218"/>
    <w:rsid w:val="00184564"/>
    <w:rsid w:val="00184B11"/>
    <w:rsid w:val="00185442"/>
    <w:rsid w:val="001856D5"/>
    <w:rsid w:val="00185769"/>
    <w:rsid w:val="00186C67"/>
    <w:rsid w:val="0018733A"/>
    <w:rsid w:val="00187647"/>
    <w:rsid w:val="001900F0"/>
    <w:rsid w:val="001901DB"/>
    <w:rsid w:val="00190524"/>
    <w:rsid w:val="0019057F"/>
    <w:rsid w:val="00190810"/>
    <w:rsid w:val="0019125C"/>
    <w:rsid w:val="00191367"/>
    <w:rsid w:val="00191432"/>
    <w:rsid w:val="00191920"/>
    <w:rsid w:val="00191AD4"/>
    <w:rsid w:val="00191EFD"/>
    <w:rsid w:val="00193AB2"/>
    <w:rsid w:val="00193F61"/>
    <w:rsid w:val="00194347"/>
    <w:rsid w:val="0019573F"/>
    <w:rsid w:val="00195C61"/>
    <w:rsid w:val="0019655B"/>
    <w:rsid w:val="00196A54"/>
    <w:rsid w:val="00196F96"/>
    <w:rsid w:val="00197376"/>
    <w:rsid w:val="001A0051"/>
    <w:rsid w:val="001A035F"/>
    <w:rsid w:val="001A0FA6"/>
    <w:rsid w:val="001A11E6"/>
    <w:rsid w:val="001A11EE"/>
    <w:rsid w:val="001A1A1A"/>
    <w:rsid w:val="001A2AB5"/>
    <w:rsid w:val="001A324A"/>
    <w:rsid w:val="001A3F19"/>
    <w:rsid w:val="001A4260"/>
    <w:rsid w:val="001A46C2"/>
    <w:rsid w:val="001A5045"/>
    <w:rsid w:val="001A5B62"/>
    <w:rsid w:val="001A5CF3"/>
    <w:rsid w:val="001A657D"/>
    <w:rsid w:val="001A6D05"/>
    <w:rsid w:val="001A6EB6"/>
    <w:rsid w:val="001A7750"/>
    <w:rsid w:val="001B03D2"/>
    <w:rsid w:val="001B13B1"/>
    <w:rsid w:val="001B21DA"/>
    <w:rsid w:val="001B2B2E"/>
    <w:rsid w:val="001B3353"/>
    <w:rsid w:val="001B337F"/>
    <w:rsid w:val="001B3607"/>
    <w:rsid w:val="001B4161"/>
    <w:rsid w:val="001B4450"/>
    <w:rsid w:val="001B46FB"/>
    <w:rsid w:val="001B4BB0"/>
    <w:rsid w:val="001B50F2"/>
    <w:rsid w:val="001B56E7"/>
    <w:rsid w:val="001B5CDB"/>
    <w:rsid w:val="001B6E61"/>
    <w:rsid w:val="001B7157"/>
    <w:rsid w:val="001B7789"/>
    <w:rsid w:val="001B7B85"/>
    <w:rsid w:val="001B7FE1"/>
    <w:rsid w:val="001C0E6E"/>
    <w:rsid w:val="001C105B"/>
    <w:rsid w:val="001C1A49"/>
    <w:rsid w:val="001C1D54"/>
    <w:rsid w:val="001C1F6C"/>
    <w:rsid w:val="001C206A"/>
    <w:rsid w:val="001C2A33"/>
    <w:rsid w:val="001C2E5D"/>
    <w:rsid w:val="001C3971"/>
    <w:rsid w:val="001C3F9B"/>
    <w:rsid w:val="001C4D4E"/>
    <w:rsid w:val="001C5544"/>
    <w:rsid w:val="001C5630"/>
    <w:rsid w:val="001C5FCF"/>
    <w:rsid w:val="001C6534"/>
    <w:rsid w:val="001C69DE"/>
    <w:rsid w:val="001C701C"/>
    <w:rsid w:val="001C71AF"/>
    <w:rsid w:val="001C7320"/>
    <w:rsid w:val="001C7CEC"/>
    <w:rsid w:val="001D1DC2"/>
    <w:rsid w:val="001D29D8"/>
    <w:rsid w:val="001D3337"/>
    <w:rsid w:val="001D35F4"/>
    <w:rsid w:val="001D4208"/>
    <w:rsid w:val="001D4C48"/>
    <w:rsid w:val="001D5743"/>
    <w:rsid w:val="001D6A27"/>
    <w:rsid w:val="001D70BE"/>
    <w:rsid w:val="001D727C"/>
    <w:rsid w:val="001D7FE0"/>
    <w:rsid w:val="001E02CE"/>
    <w:rsid w:val="001E0643"/>
    <w:rsid w:val="001E0BEA"/>
    <w:rsid w:val="001E1E61"/>
    <w:rsid w:val="001E2B6C"/>
    <w:rsid w:val="001E344B"/>
    <w:rsid w:val="001E4EFF"/>
    <w:rsid w:val="001E503D"/>
    <w:rsid w:val="001E656F"/>
    <w:rsid w:val="001E6E53"/>
    <w:rsid w:val="001E713C"/>
    <w:rsid w:val="001E75DE"/>
    <w:rsid w:val="001E7695"/>
    <w:rsid w:val="001E7AE0"/>
    <w:rsid w:val="001F1501"/>
    <w:rsid w:val="001F235F"/>
    <w:rsid w:val="001F2850"/>
    <w:rsid w:val="001F339D"/>
    <w:rsid w:val="001F3A69"/>
    <w:rsid w:val="001F3E87"/>
    <w:rsid w:val="001F4543"/>
    <w:rsid w:val="001F5412"/>
    <w:rsid w:val="001F7863"/>
    <w:rsid w:val="001F7DC1"/>
    <w:rsid w:val="002012C6"/>
    <w:rsid w:val="00201578"/>
    <w:rsid w:val="002016FB"/>
    <w:rsid w:val="00201AAF"/>
    <w:rsid w:val="00201BFC"/>
    <w:rsid w:val="00201C42"/>
    <w:rsid w:val="00201E8F"/>
    <w:rsid w:val="00202081"/>
    <w:rsid w:val="00202101"/>
    <w:rsid w:val="00202257"/>
    <w:rsid w:val="00202AFE"/>
    <w:rsid w:val="00203BCA"/>
    <w:rsid w:val="00204075"/>
    <w:rsid w:val="00204E20"/>
    <w:rsid w:val="00204FD4"/>
    <w:rsid w:val="0020510D"/>
    <w:rsid w:val="00205668"/>
    <w:rsid w:val="002057F8"/>
    <w:rsid w:val="00205E0C"/>
    <w:rsid w:val="00206006"/>
    <w:rsid w:val="0020688B"/>
    <w:rsid w:val="0020736C"/>
    <w:rsid w:val="002103A1"/>
    <w:rsid w:val="002103E7"/>
    <w:rsid w:val="00211C58"/>
    <w:rsid w:val="00211F28"/>
    <w:rsid w:val="00212798"/>
    <w:rsid w:val="002134F5"/>
    <w:rsid w:val="0021396B"/>
    <w:rsid w:val="00213E6C"/>
    <w:rsid w:val="00213F65"/>
    <w:rsid w:val="00214A97"/>
    <w:rsid w:val="00214D28"/>
    <w:rsid w:val="00214DFC"/>
    <w:rsid w:val="00214E1E"/>
    <w:rsid w:val="00216C87"/>
    <w:rsid w:val="002174DA"/>
    <w:rsid w:val="002179A0"/>
    <w:rsid w:val="00217A82"/>
    <w:rsid w:val="00217CB0"/>
    <w:rsid w:val="002202F4"/>
    <w:rsid w:val="00220738"/>
    <w:rsid w:val="00220A0D"/>
    <w:rsid w:val="002212B6"/>
    <w:rsid w:val="002214F6"/>
    <w:rsid w:val="00221C68"/>
    <w:rsid w:val="002221C4"/>
    <w:rsid w:val="002224BB"/>
    <w:rsid w:val="00222BF4"/>
    <w:rsid w:val="00223161"/>
    <w:rsid w:val="002232C2"/>
    <w:rsid w:val="00223869"/>
    <w:rsid w:val="00225567"/>
    <w:rsid w:val="00225C14"/>
    <w:rsid w:val="00226E79"/>
    <w:rsid w:val="00227763"/>
    <w:rsid w:val="0022790C"/>
    <w:rsid w:val="0022797A"/>
    <w:rsid w:val="00227CBC"/>
    <w:rsid w:val="00227E84"/>
    <w:rsid w:val="00227FB9"/>
    <w:rsid w:val="0023063C"/>
    <w:rsid w:val="00230843"/>
    <w:rsid w:val="0023097D"/>
    <w:rsid w:val="002309FE"/>
    <w:rsid w:val="00231320"/>
    <w:rsid w:val="002318B7"/>
    <w:rsid w:val="00232C8D"/>
    <w:rsid w:val="00232E14"/>
    <w:rsid w:val="00232E64"/>
    <w:rsid w:val="00233017"/>
    <w:rsid w:val="00233715"/>
    <w:rsid w:val="00233B8A"/>
    <w:rsid w:val="00236779"/>
    <w:rsid w:val="00237306"/>
    <w:rsid w:val="00237916"/>
    <w:rsid w:val="00237EC7"/>
    <w:rsid w:val="002400F5"/>
    <w:rsid w:val="002402D9"/>
    <w:rsid w:val="0024054C"/>
    <w:rsid w:val="00240DCD"/>
    <w:rsid w:val="00241043"/>
    <w:rsid w:val="002410C5"/>
    <w:rsid w:val="0024111D"/>
    <w:rsid w:val="002415B4"/>
    <w:rsid w:val="00241E01"/>
    <w:rsid w:val="002428A3"/>
    <w:rsid w:val="00242CC6"/>
    <w:rsid w:val="00243466"/>
    <w:rsid w:val="0024381F"/>
    <w:rsid w:val="00243C34"/>
    <w:rsid w:val="00243C7F"/>
    <w:rsid w:val="00243EDC"/>
    <w:rsid w:val="002444B6"/>
    <w:rsid w:val="00244D3D"/>
    <w:rsid w:val="00244F7E"/>
    <w:rsid w:val="00245AA1"/>
    <w:rsid w:val="0024636C"/>
    <w:rsid w:val="00246447"/>
    <w:rsid w:val="002467FB"/>
    <w:rsid w:val="00246A5A"/>
    <w:rsid w:val="00246EC1"/>
    <w:rsid w:val="0024722C"/>
    <w:rsid w:val="002477C4"/>
    <w:rsid w:val="00247981"/>
    <w:rsid w:val="00247B8D"/>
    <w:rsid w:val="00247EDB"/>
    <w:rsid w:val="002514D6"/>
    <w:rsid w:val="00251C65"/>
    <w:rsid w:val="00252C07"/>
    <w:rsid w:val="00252D3B"/>
    <w:rsid w:val="00252D58"/>
    <w:rsid w:val="002536B8"/>
    <w:rsid w:val="00253778"/>
    <w:rsid w:val="00253E25"/>
    <w:rsid w:val="002556C3"/>
    <w:rsid w:val="002556FB"/>
    <w:rsid w:val="002560E1"/>
    <w:rsid w:val="002560E4"/>
    <w:rsid w:val="002576F2"/>
    <w:rsid w:val="002577F6"/>
    <w:rsid w:val="00257F32"/>
    <w:rsid w:val="00260809"/>
    <w:rsid w:val="002611A3"/>
    <w:rsid w:val="002613EB"/>
    <w:rsid w:val="002614C4"/>
    <w:rsid w:val="0026194A"/>
    <w:rsid w:val="00261B89"/>
    <w:rsid w:val="00261D26"/>
    <w:rsid w:val="00261F15"/>
    <w:rsid w:val="00262976"/>
    <w:rsid w:val="00263159"/>
    <w:rsid w:val="002634AD"/>
    <w:rsid w:val="002635BB"/>
    <w:rsid w:val="002639AA"/>
    <w:rsid w:val="00263D01"/>
    <w:rsid w:val="00263ED5"/>
    <w:rsid w:val="002642C3"/>
    <w:rsid w:val="00264950"/>
    <w:rsid w:val="002650B2"/>
    <w:rsid w:val="00265263"/>
    <w:rsid w:val="00265900"/>
    <w:rsid w:val="002659AE"/>
    <w:rsid w:val="00265A4A"/>
    <w:rsid w:val="00265D10"/>
    <w:rsid w:val="00266534"/>
    <w:rsid w:val="002667AD"/>
    <w:rsid w:val="00266C34"/>
    <w:rsid w:val="00267573"/>
    <w:rsid w:val="00267F13"/>
    <w:rsid w:val="00270497"/>
    <w:rsid w:val="00271154"/>
    <w:rsid w:val="00271518"/>
    <w:rsid w:val="00271888"/>
    <w:rsid w:val="00271F26"/>
    <w:rsid w:val="0027285F"/>
    <w:rsid w:val="0027303B"/>
    <w:rsid w:val="00273C5E"/>
    <w:rsid w:val="00274219"/>
    <w:rsid w:val="00274526"/>
    <w:rsid w:val="00274620"/>
    <w:rsid w:val="00274755"/>
    <w:rsid w:val="002747AE"/>
    <w:rsid w:val="0027503F"/>
    <w:rsid w:val="00275C0F"/>
    <w:rsid w:val="00275C67"/>
    <w:rsid w:val="00276540"/>
    <w:rsid w:val="00276885"/>
    <w:rsid w:val="00277032"/>
    <w:rsid w:val="002772F2"/>
    <w:rsid w:val="00277306"/>
    <w:rsid w:val="002773C8"/>
    <w:rsid w:val="00280DDB"/>
    <w:rsid w:val="00280E28"/>
    <w:rsid w:val="00280F6F"/>
    <w:rsid w:val="00281CA0"/>
    <w:rsid w:val="00281EF9"/>
    <w:rsid w:val="00283B18"/>
    <w:rsid w:val="002845FC"/>
    <w:rsid w:val="00285008"/>
    <w:rsid w:val="00285A2D"/>
    <w:rsid w:val="00285E3A"/>
    <w:rsid w:val="00286565"/>
    <w:rsid w:val="0028699F"/>
    <w:rsid w:val="00286A37"/>
    <w:rsid w:val="00286D88"/>
    <w:rsid w:val="00286E87"/>
    <w:rsid w:val="002872A7"/>
    <w:rsid w:val="00287460"/>
    <w:rsid w:val="00287860"/>
    <w:rsid w:val="00287B74"/>
    <w:rsid w:val="00290512"/>
    <w:rsid w:val="00291191"/>
    <w:rsid w:val="00291192"/>
    <w:rsid w:val="002922AF"/>
    <w:rsid w:val="00294897"/>
    <w:rsid w:val="00294BF4"/>
    <w:rsid w:val="00296F5A"/>
    <w:rsid w:val="002979B2"/>
    <w:rsid w:val="002A0FB9"/>
    <w:rsid w:val="002A1F76"/>
    <w:rsid w:val="002A2095"/>
    <w:rsid w:val="002A2633"/>
    <w:rsid w:val="002A26A8"/>
    <w:rsid w:val="002A2AC8"/>
    <w:rsid w:val="002A2AD9"/>
    <w:rsid w:val="002A2B95"/>
    <w:rsid w:val="002A3D06"/>
    <w:rsid w:val="002A5669"/>
    <w:rsid w:val="002A567E"/>
    <w:rsid w:val="002A68C2"/>
    <w:rsid w:val="002A6E58"/>
    <w:rsid w:val="002A776F"/>
    <w:rsid w:val="002A7E12"/>
    <w:rsid w:val="002B0037"/>
    <w:rsid w:val="002B0603"/>
    <w:rsid w:val="002B0B07"/>
    <w:rsid w:val="002B106F"/>
    <w:rsid w:val="002B2797"/>
    <w:rsid w:val="002B2E84"/>
    <w:rsid w:val="002B2EF9"/>
    <w:rsid w:val="002B2F16"/>
    <w:rsid w:val="002B3C19"/>
    <w:rsid w:val="002B5C28"/>
    <w:rsid w:val="002B7938"/>
    <w:rsid w:val="002B7F65"/>
    <w:rsid w:val="002C0302"/>
    <w:rsid w:val="002C0682"/>
    <w:rsid w:val="002C0754"/>
    <w:rsid w:val="002C093B"/>
    <w:rsid w:val="002C1CF6"/>
    <w:rsid w:val="002C216B"/>
    <w:rsid w:val="002C2C86"/>
    <w:rsid w:val="002C31B5"/>
    <w:rsid w:val="002C374A"/>
    <w:rsid w:val="002C388A"/>
    <w:rsid w:val="002C421B"/>
    <w:rsid w:val="002C4466"/>
    <w:rsid w:val="002C5142"/>
    <w:rsid w:val="002C5523"/>
    <w:rsid w:val="002C5949"/>
    <w:rsid w:val="002C5ADE"/>
    <w:rsid w:val="002C5AE9"/>
    <w:rsid w:val="002C5B74"/>
    <w:rsid w:val="002C5C2E"/>
    <w:rsid w:val="002C5EFC"/>
    <w:rsid w:val="002C6837"/>
    <w:rsid w:val="002C68DF"/>
    <w:rsid w:val="002C6D45"/>
    <w:rsid w:val="002C739E"/>
    <w:rsid w:val="002C7B46"/>
    <w:rsid w:val="002D029E"/>
    <w:rsid w:val="002D06CD"/>
    <w:rsid w:val="002D08A3"/>
    <w:rsid w:val="002D10CB"/>
    <w:rsid w:val="002D1B9D"/>
    <w:rsid w:val="002D31F6"/>
    <w:rsid w:val="002D32DF"/>
    <w:rsid w:val="002D34CB"/>
    <w:rsid w:val="002D3721"/>
    <w:rsid w:val="002D3B7E"/>
    <w:rsid w:val="002D42A0"/>
    <w:rsid w:val="002D4547"/>
    <w:rsid w:val="002D60CC"/>
    <w:rsid w:val="002D6A82"/>
    <w:rsid w:val="002D6B08"/>
    <w:rsid w:val="002E1163"/>
    <w:rsid w:val="002E11D7"/>
    <w:rsid w:val="002E12E1"/>
    <w:rsid w:val="002E18DA"/>
    <w:rsid w:val="002E1B2A"/>
    <w:rsid w:val="002E1CFF"/>
    <w:rsid w:val="002E21A4"/>
    <w:rsid w:val="002E2245"/>
    <w:rsid w:val="002E2358"/>
    <w:rsid w:val="002E4235"/>
    <w:rsid w:val="002E4BD2"/>
    <w:rsid w:val="002E56E5"/>
    <w:rsid w:val="002E6E83"/>
    <w:rsid w:val="002E742D"/>
    <w:rsid w:val="002E76AC"/>
    <w:rsid w:val="002F0878"/>
    <w:rsid w:val="002F1827"/>
    <w:rsid w:val="002F1E9A"/>
    <w:rsid w:val="002F22ED"/>
    <w:rsid w:val="002F273E"/>
    <w:rsid w:val="002F2A0D"/>
    <w:rsid w:val="002F2AB4"/>
    <w:rsid w:val="002F37E1"/>
    <w:rsid w:val="002F38CC"/>
    <w:rsid w:val="002F3C08"/>
    <w:rsid w:val="002F4315"/>
    <w:rsid w:val="002F4EFF"/>
    <w:rsid w:val="002F57DC"/>
    <w:rsid w:val="002F5B1F"/>
    <w:rsid w:val="002F6D77"/>
    <w:rsid w:val="002F7C69"/>
    <w:rsid w:val="00300F7E"/>
    <w:rsid w:val="00300FBF"/>
    <w:rsid w:val="00300FEA"/>
    <w:rsid w:val="0030140E"/>
    <w:rsid w:val="00301F84"/>
    <w:rsid w:val="003026B7"/>
    <w:rsid w:val="00302D87"/>
    <w:rsid w:val="00303411"/>
    <w:rsid w:val="0030385E"/>
    <w:rsid w:val="003039D9"/>
    <w:rsid w:val="00304358"/>
    <w:rsid w:val="00304FEA"/>
    <w:rsid w:val="00305248"/>
    <w:rsid w:val="003059AB"/>
    <w:rsid w:val="00306022"/>
    <w:rsid w:val="00307154"/>
    <w:rsid w:val="00307332"/>
    <w:rsid w:val="00307354"/>
    <w:rsid w:val="00307EF1"/>
    <w:rsid w:val="00310036"/>
    <w:rsid w:val="00310577"/>
    <w:rsid w:val="0031065A"/>
    <w:rsid w:val="00310B0A"/>
    <w:rsid w:val="00312E73"/>
    <w:rsid w:val="00313BAF"/>
    <w:rsid w:val="00314F60"/>
    <w:rsid w:val="00315C22"/>
    <w:rsid w:val="00315FA0"/>
    <w:rsid w:val="003160EC"/>
    <w:rsid w:val="0031636C"/>
    <w:rsid w:val="0031663B"/>
    <w:rsid w:val="00316A9B"/>
    <w:rsid w:val="003170AD"/>
    <w:rsid w:val="003172B4"/>
    <w:rsid w:val="00317BB8"/>
    <w:rsid w:val="00317FA8"/>
    <w:rsid w:val="00320831"/>
    <w:rsid w:val="00320D16"/>
    <w:rsid w:val="00321092"/>
    <w:rsid w:val="00321952"/>
    <w:rsid w:val="00321AC9"/>
    <w:rsid w:val="003226C6"/>
    <w:rsid w:val="00322D70"/>
    <w:rsid w:val="00322FCD"/>
    <w:rsid w:val="00323CAB"/>
    <w:rsid w:val="00324138"/>
    <w:rsid w:val="003258BA"/>
    <w:rsid w:val="003261FA"/>
    <w:rsid w:val="00326261"/>
    <w:rsid w:val="003262FC"/>
    <w:rsid w:val="00326308"/>
    <w:rsid w:val="00327466"/>
    <w:rsid w:val="00327D94"/>
    <w:rsid w:val="00330970"/>
    <w:rsid w:val="003309B1"/>
    <w:rsid w:val="00330EE8"/>
    <w:rsid w:val="00331288"/>
    <w:rsid w:val="0033148C"/>
    <w:rsid w:val="00331600"/>
    <w:rsid w:val="00331824"/>
    <w:rsid w:val="00331A1C"/>
    <w:rsid w:val="00331B07"/>
    <w:rsid w:val="00331BC2"/>
    <w:rsid w:val="00333018"/>
    <w:rsid w:val="00333867"/>
    <w:rsid w:val="00333A67"/>
    <w:rsid w:val="00333DAB"/>
    <w:rsid w:val="00333DEF"/>
    <w:rsid w:val="00335E2F"/>
    <w:rsid w:val="0033638C"/>
    <w:rsid w:val="003363A7"/>
    <w:rsid w:val="00336D98"/>
    <w:rsid w:val="00337ADF"/>
    <w:rsid w:val="00337EC0"/>
    <w:rsid w:val="00340944"/>
    <w:rsid w:val="00341292"/>
    <w:rsid w:val="0034158F"/>
    <w:rsid w:val="0034269B"/>
    <w:rsid w:val="003426E3"/>
    <w:rsid w:val="00342960"/>
    <w:rsid w:val="003429DE"/>
    <w:rsid w:val="00343098"/>
    <w:rsid w:val="0034337B"/>
    <w:rsid w:val="003437C0"/>
    <w:rsid w:val="003443CD"/>
    <w:rsid w:val="00345EF9"/>
    <w:rsid w:val="003465C1"/>
    <w:rsid w:val="00346735"/>
    <w:rsid w:val="003474E4"/>
    <w:rsid w:val="0034757A"/>
    <w:rsid w:val="0035089C"/>
    <w:rsid w:val="00350A0A"/>
    <w:rsid w:val="00350C33"/>
    <w:rsid w:val="0035197C"/>
    <w:rsid w:val="00352A90"/>
    <w:rsid w:val="0035332D"/>
    <w:rsid w:val="003537A6"/>
    <w:rsid w:val="00353DF5"/>
    <w:rsid w:val="00354257"/>
    <w:rsid w:val="0035429A"/>
    <w:rsid w:val="003557FD"/>
    <w:rsid w:val="00355A60"/>
    <w:rsid w:val="003560F3"/>
    <w:rsid w:val="0035636A"/>
    <w:rsid w:val="003601A9"/>
    <w:rsid w:val="003611B7"/>
    <w:rsid w:val="00361C54"/>
    <w:rsid w:val="003627A8"/>
    <w:rsid w:val="003627AC"/>
    <w:rsid w:val="00363202"/>
    <w:rsid w:val="003637F4"/>
    <w:rsid w:val="003645A9"/>
    <w:rsid w:val="003651D0"/>
    <w:rsid w:val="003664F9"/>
    <w:rsid w:val="0036697A"/>
    <w:rsid w:val="003669AF"/>
    <w:rsid w:val="00367372"/>
    <w:rsid w:val="0036783D"/>
    <w:rsid w:val="003679C5"/>
    <w:rsid w:val="003679DE"/>
    <w:rsid w:val="00367EF3"/>
    <w:rsid w:val="00367FB4"/>
    <w:rsid w:val="0037101E"/>
    <w:rsid w:val="00371266"/>
    <w:rsid w:val="0037176D"/>
    <w:rsid w:val="00371988"/>
    <w:rsid w:val="003731AE"/>
    <w:rsid w:val="00373534"/>
    <w:rsid w:val="003735C5"/>
    <w:rsid w:val="00373E39"/>
    <w:rsid w:val="00373E47"/>
    <w:rsid w:val="00374212"/>
    <w:rsid w:val="003743A9"/>
    <w:rsid w:val="0037479F"/>
    <w:rsid w:val="00376866"/>
    <w:rsid w:val="00376DFF"/>
    <w:rsid w:val="003778F3"/>
    <w:rsid w:val="00380064"/>
    <w:rsid w:val="00380820"/>
    <w:rsid w:val="0038102E"/>
    <w:rsid w:val="00381095"/>
    <w:rsid w:val="00381372"/>
    <w:rsid w:val="00381470"/>
    <w:rsid w:val="003819B9"/>
    <w:rsid w:val="00381BC3"/>
    <w:rsid w:val="0038233A"/>
    <w:rsid w:val="00382538"/>
    <w:rsid w:val="00383EBC"/>
    <w:rsid w:val="003845FB"/>
    <w:rsid w:val="003852E5"/>
    <w:rsid w:val="00385E50"/>
    <w:rsid w:val="00386203"/>
    <w:rsid w:val="00387875"/>
    <w:rsid w:val="00391CE9"/>
    <w:rsid w:val="00391D14"/>
    <w:rsid w:val="00392411"/>
    <w:rsid w:val="00392B61"/>
    <w:rsid w:val="00393807"/>
    <w:rsid w:val="00393E9A"/>
    <w:rsid w:val="00394477"/>
    <w:rsid w:val="0039474F"/>
    <w:rsid w:val="00394FAD"/>
    <w:rsid w:val="0039507D"/>
    <w:rsid w:val="00395A5C"/>
    <w:rsid w:val="00396132"/>
    <w:rsid w:val="003961CC"/>
    <w:rsid w:val="00396F3E"/>
    <w:rsid w:val="00397241"/>
    <w:rsid w:val="003972F1"/>
    <w:rsid w:val="00397946"/>
    <w:rsid w:val="003A0865"/>
    <w:rsid w:val="003A09B6"/>
    <w:rsid w:val="003A0DAE"/>
    <w:rsid w:val="003A1876"/>
    <w:rsid w:val="003A1BA9"/>
    <w:rsid w:val="003A2442"/>
    <w:rsid w:val="003A24EE"/>
    <w:rsid w:val="003A2A6B"/>
    <w:rsid w:val="003A2F92"/>
    <w:rsid w:val="003A31B0"/>
    <w:rsid w:val="003A3B79"/>
    <w:rsid w:val="003A45A0"/>
    <w:rsid w:val="003A47DA"/>
    <w:rsid w:val="003A56C3"/>
    <w:rsid w:val="003A5718"/>
    <w:rsid w:val="003A5AD9"/>
    <w:rsid w:val="003A5CB8"/>
    <w:rsid w:val="003A5E16"/>
    <w:rsid w:val="003A652F"/>
    <w:rsid w:val="003A69FC"/>
    <w:rsid w:val="003B007E"/>
    <w:rsid w:val="003B10AD"/>
    <w:rsid w:val="003B10C1"/>
    <w:rsid w:val="003B2517"/>
    <w:rsid w:val="003B3300"/>
    <w:rsid w:val="003B3511"/>
    <w:rsid w:val="003B3606"/>
    <w:rsid w:val="003B42F6"/>
    <w:rsid w:val="003B45DD"/>
    <w:rsid w:val="003B53BA"/>
    <w:rsid w:val="003B5823"/>
    <w:rsid w:val="003B6165"/>
    <w:rsid w:val="003B7AF4"/>
    <w:rsid w:val="003C0726"/>
    <w:rsid w:val="003C30BB"/>
    <w:rsid w:val="003C3359"/>
    <w:rsid w:val="003C3593"/>
    <w:rsid w:val="003C4520"/>
    <w:rsid w:val="003C4EB9"/>
    <w:rsid w:val="003C4EFF"/>
    <w:rsid w:val="003C558D"/>
    <w:rsid w:val="003C662C"/>
    <w:rsid w:val="003C6D90"/>
    <w:rsid w:val="003C7041"/>
    <w:rsid w:val="003C797F"/>
    <w:rsid w:val="003D00CF"/>
    <w:rsid w:val="003D0FF9"/>
    <w:rsid w:val="003D21AA"/>
    <w:rsid w:val="003D2EC6"/>
    <w:rsid w:val="003D3297"/>
    <w:rsid w:val="003D4109"/>
    <w:rsid w:val="003D4923"/>
    <w:rsid w:val="003D5504"/>
    <w:rsid w:val="003D58E1"/>
    <w:rsid w:val="003D61D1"/>
    <w:rsid w:val="003D710A"/>
    <w:rsid w:val="003D77C9"/>
    <w:rsid w:val="003E0175"/>
    <w:rsid w:val="003E02F0"/>
    <w:rsid w:val="003E067D"/>
    <w:rsid w:val="003E09A4"/>
    <w:rsid w:val="003E0C4A"/>
    <w:rsid w:val="003E1651"/>
    <w:rsid w:val="003E19D3"/>
    <w:rsid w:val="003E22A0"/>
    <w:rsid w:val="003E26A7"/>
    <w:rsid w:val="003E34BF"/>
    <w:rsid w:val="003E3678"/>
    <w:rsid w:val="003E4575"/>
    <w:rsid w:val="003E51AF"/>
    <w:rsid w:val="003E55E0"/>
    <w:rsid w:val="003E585E"/>
    <w:rsid w:val="003E5C0F"/>
    <w:rsid w:val="003E6855"/>
    <w:rsid w:val="003E7C22"/>
    <w:rsid w:val="003F11B4"/>
    <w:rsid w:val="003F1EED"/>
    <w:rsid w:val="003F217D"/>
    <w:rsid w:val="003F2ADB"/>
    <w:rsid w:val="003F2CC8"/>
    <w:rsid w:val="003F300B"/>
    <w:rsid w:val="003F3101"/>
    <w:rsid w:val="003F3D63"/>
    <w:rsid w:val="003F59A3"/>
    <w:rsid w:val="003F6411"/>
    <w:rsid w:val="003F712A"/>
    <w:rsid w:val="00400130"/>
    <w:rsid w:val="00400BE6"/>
    <w:rsid w:val="004016AD"/>
    <w:rsid w:val="00401DDF"/>
    <w:rsid w:val="00401FEB"/>
    <w:rsid w:val="00402C0C"/>
    <w:rsid w:val="0040358F"/>
    <w:rsid w:val="00403685"/>
    <w:rsid w:val="004036DC"/>
    <w:rsid w:val="00404AFE"/>
    <w:rsid w:val="00404D1E"/>
    <w:rsid w:val="004050E2"/>
    <w:rsid w:val="00405E14"/>
    <w:rsid w:val="00406342"/>
    <w:rsid w:val="00407B37"/>
    <w:rsid w:val="00407C23"/>
    <w:rsid w:val="00407ED1"/>
    <w:rsid w:val="00410EA3"/>
    <w:rsid w:val="00411A61"/>
    <w:rsid w:val="004122A7"/>
    <w:rsid w:val="00412489"/>
    <w:rsid w:val="00412B65"/>
    <w:rsid w:val="0041322C"/>
    <w:rsid w:val="004139C4"/>
    <w:rsid w:val="004142EB"/>
    <w:rsid w:val="00415029"/>
    <w:rsid w:val="0041554E"/>
    <w:rsid w:val="00416109"/>
    <w:rsid w:val="004167CB"/>
    <w:rsid w:val="00416C1C"/>
    <w:rsid w:val="00417690"/>
    <w:rsid w:val="00420AAD"/>
    <w:rsid w:val="00420F77"/>
    <w:rsid w:val="00421FCB"/>
    <w:rsid w:val="004234D4"/>
    <w:rsid w:val="00423A11"/>
    <w:rsid w:val="00425557"/>
    <w:rsid w:val="00426098"/>
    <w:rsid w:val="00426335"/>
    <w:rsid w:val="004266CB"/>
    <w:rsid w:val="00426FA0"/>
    <w:rsid w:val="004270A1"/>
    <w:rsid w:val="00427DC8"/>
    <w:rsid w:val="0043037F"/>
    <w:rsid w:val="004306F1"/>
    <w:rsid w:val="00430879"/>
    <w:rsid w:val="00430A52"/>
    <w:rsid w:val="00432229"/>
    <w:rsid w:val="0043222F"/>
    <w:rsid w:val="00432250"/>
    <w:rsid w:val="00432EA4"/>
    <w:rsid w:val="004330D6"/>
    <w:rsid w:val="00433405"/>
    <w:rsid w:val="0043376F"/>
    <w:rsid w:val="0043391D"/>
    <w:rsid w:val="00433938"/>
    <w:rsid w:val="00434756"/>
    <w:rsid w:val="004353BE"/>
    <w:rsid w:val="0043556F"/>
    <w:rsid w:val="00435D91"/>
    <w:rsid w:val="004362E3"/>
    <w:rsid w:val="004362ED"/>
    <w:rsid w:val="00437764"/>
    <w:rsid w:val="0043780E"/>
    <w:rsid w:val="00437C7B"/>
    <w:rsid w:val="00437DAC"/>
    <w:rsid w:val="00440880"/>
    <w:rsid w:val="00441124"/>
    <w:rsid w:val="004414FF"/>
    <w:rsid w:val="00441C39"/>
    <w:rsid w:val="0044260A"/>
    <w:rsid w:val="004429C1"/>
    <w:rsid w:val="00443023"/>
    <w:rsid w:val="004430DA"/>
    <w:rsid w:val="00443545"/>
    <w:rsid w:val="004442BA"/>
    <w:rsid w:val="00444A65"/>
    <w:rsid w:val="00445AA7"/>
    <w:rsid w:val="004465AD"/>
    <w:rsid w:val="00446F43"/>
    <w:rsid w:val="0044760E"/>
    <w:rsid w:val="00447620"/>
    <w:rsid w:val="004476B6"/>
    <w:rsid w:val="00447B97"/>
    <w:rsid w:val="00450176"/>
    <w:rsid w:val="00451C52"/>
    <w:rsid w:val="004529BE"/>
    <w:rsid w:val="00452C51"/>
    <w:rsid w:val="004532D9"/>
    <w:rsid w:val="004536AF"/>
    <w:rsid w:val="00453B32"/>
    <w:rsid w:val="00453F5C"/>
    <w:rsid w:val="00454027"/>
    <w:rsid w:val="0045526E"/>
    <w:rsid w:val="004554E0"/>
    <w:rsid w:val="00455AD4"/>
    <w:rsid w:val="00456469"/>
    <w:rsid w:val="004567B0"/>
    <w:rsid w:val="00456EB9"/>
    <w:rsid w:val="00457062"/>
    <w:rsid w:val="0045781F"/>
    <w:rsid w:val="00457A74"/>
    <w:rsid w:val="00457C55"/>
    <w:rsid w:val="00460FEE"/>
    <w:rsid w:val="0046150A"/>
    <w:rsid w:val="00461A3B"/>
    <w:rsid w:val="00461FCF"/>
    <w:rsid w:val="0046232A"/>
    <w:rsid w:val="00462C85"/>
    <w:rsid w:val="004632CA"/>
    <w:rsid w:val="00463C9A"/>
    <w:rsid w:val="00463E29"/>
    <w:rsid w:val="00465244"/>
    <w:rsid w:val="004655E4"/>
    <w:rsid w:val="004701FF"/>
    <w:rsid w:val="0047055C"/>
    <w:rsid w:val="00470816"/>
    <w:rsid w:val="00471C3B"/>
    <w:rsid w:val="00471E89"/>
    <w:rsid w:val="0047255B"/>
    <w:rsid w:val="00472A43"/>
    <w:rsid w:val="00472BCC"/>
    <w:rsid w:val="004730FF"/>
    <w:rsid w:val="00473956"/>
    <w:rsid w:val="00473EE2"/>
    <w:rsid w:val="00473FC5"/>
    <w:rsid w:val="004756A2"/>
    <w:rsid w:val="00475793"/>
    <w:rsid w:val="00476ABA"/>
    <w:rsid w:val="00476B1F"/>
    <w:rsid w:val="00476F0F"/>
    <w:rsid w:val="00477A76"/>
    <w:rsid w:val="00481342"/>
    <w:rsid w:val="004814E2"/>
    <w:rsid w:val="004825A9"/>
    <w:rsid w:val="0048301A"/>
    <w:rsid w:val="0048329F"/>
    <w:rsid w:val="004837F6"/>
    <w:rsid w:val="004841CA"/>
    <w:rsid w:val="00484577"/>
    <w:rsid w:val="00484875"/>
    <w:rsid w:val="00484CD1"/>
    <w:rsid w:val="00484FB9"/>
    <w:rsid w:val="004853CB"/>
    <w:rsid w:val="00486277"/>
    <w:rsid w:val="00487547"/>
    <w:rsid w:val="00487C35"/>
    <w:rsid w:val="00487D22"/>
    <w:rsid w:val="00490675"/>
    <w:rsid w:val="00490CA3"/>
    <w:rsid w:val="00491F2F"/>
    <w:rsid w:val="004926DE"/>
    <w:rsid w:val="00492CCA"/>
    <w:rsid w:val="00492FC7"/>
    <w:rsid w:val="0049316E"/>
    <w:rsid w:val="0049344A"/>
    <w:rsid w:val="004943E9"/>
    <w:rsid w:val="0049539A"/>
    <w:rsid w:val="00496EF7"/>
    <w:rsid w:val="0049789F"/>
    <w:rsid w:val="004A0CBD"/>
    <w:rsid w:val="004A0E66"/>
    <w:rsid w:val="004A0FF3"/>
    <w:rsid w:val="004A2184"/>
    <w:rsid w:val="004A23BF"/>
    <w:rsid w:val="004A2E5A"/>
    <w:rsid w:val="004A2EAE"/>
    <w:rsid w:val="004A318D"/>
    <w:rsid w:val="004A50B5"/>
    <w:rsid w:val="004A61AF"/>
    <w:rsid w:val="004A63D2"/>
    <w:rsid w:val="004A664E"/>
    <w:rsid w:val="004A6911"/>
    <w:rsid w:val="004A7CD5"/>
    <w:rsid w:val="004B0550"/>
    <w:rsid w:val="004B0A1A"/>
    <w:rsid w:val="004B0B5A"/>
    <w:rsid w:val="004B0DA6"/>
    <w:rsid w:val="004B1A14"/>
    <w:rsid w:val="004B228A"/>
    <w:rsid w:val="004B2D87"/>
    <w:rsid w:val="004B30DC"/>
    <w:rsid w:val="004B324A"/>
    <w:rsid w:val="004B3FAA"/>
    <w:rsid w:val="004B41A0"/>
    <w:rsid w:val="004B4612"/>
    <w:rsid w:val="004B4C64"/>
    <w:rsid w:val="004B5251"/>
    <w:rsid w:val="004B530D"/>
    <w:rsid w:val="004B64B1"/>
    <w:rsid w:val="004B6EA9"/>
    <w:rsid w:val="004B7147"/>
    <w:rsid w:val="004B714D"/>
    <w:rsid w:val="004B74F4"/>
    <w:rsid w:val="004B7D46"/>
    <w:rsid w:val="004B7F62"/>
    <w:rsid w:val="004C0EEF"/>
    <w:rsid w:val="004C15A5"/>
    <w:rsid w:val="004C1754"/>
    <w:rsid w:val="004C189C"/>
    <w:rsid w:val="004C1CD9"/>
    <w:rsid w:val="004C237B"/>
    <w:rsid w:val="004C24BA"/>
    <w:rsid w:val="004C3E44"/>
    <w:rsid w:val="004C3FB1"/>
    <w:rsid w:val="004C421A"/>
    <w:rsid w:val="004C48C7"/>
    <w:rsid w:val="004C4C07"/>
    <w:rsid w:val="004C4D01"/>
    <w:rsid w:val="004C5207"/>
    <w:rsid w:val="004C568B"/>
    <w:rsid w:val="004C57E5"/>
    <w:rsid w:val="004C5DF3"/>
    <w:rsid w:val="004C631B"/>
    <w:rsid w:val="004C7E3D"/>
    <w:rsid w:val="004C7EEA"/>
    <w:rsid w:val="004D0424"/>
    <w:rsid w:val="004D1095"/>
    <w:rsid w:val="004D24CE"/>
    <w:rsid w:val="004D2785"/>
    <w:rsid w:val="004D307D"/>
    <w:rsid w:val="004D36AA"/>
    <w:rsid w:val="004D3A84"/>
    <w:rsid w:val="004D4655"/>
    <w:rsid w:val="004D484C"/>
    <w:rsid w:val="004D5E56"/>
    <w:rsid w:val="004D6790"/>
    <w:rsid w:val="004D6931"/>
    <w:rsid w:val="004D70E7"/>
    <w:rsid w:val="004D7724"/>
    <w:rsid w:val="004D7D20"/>
    <w:rsid w:val="004D7DD1"/>
    <w:rsid w:val="004E1455"/>
    <w:rsid w:val="004E1560"/>
    <w:rsid w:val="004E1898"/>
    <w:rsid w:val="004E192A"/>
    <w:rsid w:val="004E27C3"/>
    <w:rsid w:val="004E2E3A"/>
    <w:rsid w:val="004E3B2D"/>
    <w:rsid w:val="004E3F8F"/>
    <w:rsid w:val="004E401F"/>
    <w:rsid w:val="004E4094"/>
    <w:rsid w:val="004E48B9"/>
    <w:rsid w:val="004E4F12"/>
    <w:rsid w:val="004E5E22"/>
    <w:rsid w:val="004E6139"/>
    <w:rsid w:val="004E6157"/>
    <w:rsid w:val="004E650E"/>
    <w:rsid w:val="004E65DE"/>
    <w:rsid w:val="004E6E6C"/>
    <w:rsid w:val="004E7788"/>
    <w:rsid w:val="004F0D71"/>
    <w:rsid w:val="004F11CB"/>
    <w:rsid w:val="004F15B6"/>
    <w:rsid w:val="004F1739"/>
    <w:rsid w:val="004F21C5"/>
    <w:rsid w:val="004F3087"/>
    <w:rsid w:val="004F383A"/>
    <w:rsid w:val="004F3A3F"/>
    <w:rsid w:val="004F40CE"/>
    <w:rsid w:val="004F467C"/>
    <w:rsid w:val="004F4E0D"/>
    <w:rsid w:val="004F4F87"/>
    <w:rsid w:val="004F5187"/>
    <w:rsid w:val="004F5552"/>
    <w:rsid w:val="004F5A7A"/>
    <w:rsid w:val="004F5ED0"/>
    <w:rsid w:val="004F6601"/>
    <w:rsid w:val="004F6E92"/>
    <w:rsid w:val="004F7493"/>
    <w:rsid w:val="004F7DFF"/>
    <w:rsid w:val="005001EA"/>
    <w:rsid w:val="00500895"/>
    <w:rsid w:val="00501AB4"/>
    <w:rsid w:val="00501D72"/>
    <w:rsid w:val="00501E12"/>
    <w:rsid w:val="00502038"/>
    <w:rsid w:val="00504019"/>
    <w:rsid w:val="005046FE"/>
    <w:rsid w:val="00504C0E"/>
    <w:rsid w:val="00505078"/>
    <w:rsid w:val="005054A4"/>
    <w:rsid w:val="005059A6"/>
    <w:rsid w:val="00505B48"/>
    <w:rsid w:val="00505B88"/>
    <w:rsid w:val="005060BF"/>
    <w:rsid w:val="00506140"/>
    <w:rsid w:val="00506639"/>
    <w:rsid w:val="005075FD"/>
    <w:rsid w:val="00507E1C"/>
    <w:rsid w:val="005103F0"/>
    <w:rsid w:val="005105DD"/>
    <w:rsid w:val="00510826"/>
    <w:rsid w:val="00510D2C"/>
    <w:rsid w:val="00510E8E"/>
    <w:rsid w:val="00511FCD"/>
    <w:rsid w:val="005127B5"/>
    <w:rsid w:val="005133CC"/>
    <w:rsid w:val="00513AB1"/>
    <w:rsid w:val="00514260"/>
    <w:rsid w:val="00514C22"/>
    <w:rsid w:val="00516D2F"/>
    <w:rsid w:val="0051754C"/>
    <w:rsid w:val="005177B9"/>
    <w:rsid w:val="005203A6"/>
    <w:rsid w:val="00520CEE"/>
    <w:rsid w:val="0052193E"/>
    <w:rsid w:val="00521E90"/>
    <w:rsid w:val="00522556"/>
    <w:rsid w:val="005227E6"/>
    <w:rsid w:val="00522B6E"/>
    <w:rsid w:val="005231B6"/>
    <w:rsid w:val="005236B6"/>
    <w:rsid w:val="005245F2"/>
    <w:rsid w:val="0052592E"/>
    <w:rsid w:val="005259D8"/>
    <w:rsid w:val="00527390"/>
    <w:rsid w:val="005279DD"/>
    <w:rsid w:val="00527D8F"/>
    <w:rsid w:val="005303E9"/>
    <w:rsid w:val="0053040E"/>
    <w:rsid w:val="00530915"/>
    <w:rsid w:val="00532383"/>
    <w:rsid w:val="00532542"/>
    <w:rsid w:val="00532680"/>
    <w:rsid w:val="005327A8"/>
    <w:rsid w:val="005327B8"/>
    <w:rsid w:val="00533EC6"/>
    <w:rsid w:val="00534D19"/>
    <w:rsid w:val="00534F98"/>
    <w:rsid w:val="005351AA"/>
    <w:rsid w:val="005352ED"/>
    <w:rsid w:val="0053539E"/>
    <w:rsid w:val="00536159"/>
    <w:rsid w:val="00536187"/>
    <w:rsid w:val="00536317"/>
    <w:rsid w:val="005363E2"/>
    <w:rsid w:val="00536ED1"/>
    <w:rsid w:val="005371BE"/>
    <w:rsid w:val="00537AE2"/>
    <w:rsid w:val="005401D4"/>
    <w:rsid w:val="0054081B"/>
    <w:rsid w:val="005415F0"/>
    <w:rsid w:val="00542D55"/>
    <w:rsid w:val="00542E76"/>
    <w:rsid w:val="00544586"/>
    <w:rsid w:val="00544CED"/>
    <w:rsid w:val="00545054"/>
    <w:rsid w:val="00545232"/>
    <w:rsid w:val="005458A4"/>
    <w:rsid w:val="00545B83"/>
    <w:rsid w:val="005462F0"/>
    <w:rsid w:val="00546633"/>
    <w:rsid w:val="0054708B"/>
    <w:rsid w:val="0054709F"/>
    <w:rsid w:val="005500BF"/>
    <w:rsid w:val="005509C3"/>
    <w:rsid w:val="005512D7"/>
    <w:rsid w:val="00552756"/>
    <w:rsid w:val="005529E6"/>
    <w:rsid w:val="00553327"/>
    <w:rsid w:val="005537E0"/>
    <w:rsid w:val="0055380C"/>
    <w:rsid w:val="00554AC6"/>
    <w:rsid w:val="00554F3D"/>
    <w:rsid w:val="00555160"/>
    <w:rsid w:val="0055612D"/>
    <w:rsid w:val="00556A45"/>
    <w:rsid w:val="005574D8"/>
    <w:rsid w:val="00557907"/>
    <w:rsid w:val="0055793F"/>
    <w:rsid w:val="00557DCD"/>
    <w:rsid w:val="00560256"/>
    <w:rsid w:val="005603E1"/>
    <w:rsid w:val="00560500"/>
    <w:rsid w:val="0056073F"/>
    <w:rsid w:val="005608D9"/>
    <w:rsid w:val="00560ADE"/>
    <w:rsid w:val="00561055"/>
    <w:rsid w:val="0056124C"/>
    <w:rsid w:val="005612A1"/>
    <w:rsid w:val="00561FA8"/>
    <w:rsid w:val="00562DD6"/>
    <w:rsid w:val="00563541"/>
    <w:rsid w:val="00563E7F"/>
    <w:rsid w:val="00564005"/>
    <w:rsid w:val="00564048"/>
    <w:rsid w:val="005643A7"/>
    <w:rsid w:val="005649F7"/>
    <w:rsid w:val="00564B0E"/>
    <w:rsid w:val="005653F1"/>
    <w:rsid w:val="00565695"/>
    <w:rsid w:val="0056593F"/>
    <w:rsid w:val="0056663B"/>
    <w:rsid w:val="00566A2E"/>
    <w:rsid w:val="00567B85"/>
    <w:rsid w:val="0057093C"/>
    <w:rsid w:val="00570F67"/>
    <w:rsid w:val="00571058"/>
    <w:rsid w:val="0057150A"/>
    <w:rsid w:val="005717AB"/>
    <w:rsid w:val="005719B4"/>
    <w:rsid w:val="00571D3F"/>
    <w:rsid w:val="00571E4A"/>
    <w:rsid w:val="00572235"/>
    <w:rsid w:val="0057349E"/>
    <w:rsid w:val="00573637"/>
    <w:rsid w:val="0057419D"/>
    <w:rsid w:val="0057513D"/>
    <w:rsid w:val="005751D9"/>
    <w:rsid w:val="00577EAB"/>
    <w:rsid w:val="00580400"/>
    <w:rsid w:val="00581109"/>
    <w:rsid w:val="005815E7"/>
    <w:rsid w:val="005818B5"/>
    <w:rsid w:val="00581E13"/>
    <w:rsid w:val="00582457"/>
    <w:rsid w:val="005829E9"/>
    <w:rsid w:val="00582B4A"/>
    <w:rsid w:val="00582DE1"/>
    <w:rsid w:val="00583D67"/>
    <w:rsid w:val="0058480A"/>
    <w:rsid w:val="005854C8"/>
    <w:rsid w:val="00585874"/>
    <w:rsid w:val="00586302"/>
    <w:rsid w:val="00586637"/>
    <w:rsid w:val="00587D92"/>
    <w:rsid w:val="00587F1A"/>
    <w:rsid w:val="00590291"/>
    <w:rsid w:val="0059125B"/>
    <w:rsid w:val="005919D7"/>
    <w:rsid w:val="00591BD3"/>
    <w:rsid w:val="00591C4A"/>
    <w:rsid w:val="00592370"/>
    <w:rsid w:val="00592406"/>
    <w:rsid w:val="00592A07"/>
    <w:rsid w:val="00592EB4"/>
    <w:rsid w:val="00592F14"/>
    <w:rsid w:val="0059351A"/>
    <w:rsid w:val="00593C55"/>
    <w:rsid w:val="00593E64"/>
    <w:rsid w:val="00594001"/>
    <w:rsid w:val="00595072"/>
    <w:rsid w:val="005952D9"/>
    <w:rsid w:val="00596867"/>
    <w:rsid w:val="00596AAF"/>
    <w:rsid w:val="00596AC8"/>
    <w:rsid w:val="005970BB"/>
    <w:rsid w:val="005A01AA"/>
    <w:rsid w:val="005A071E"/>
    <w:rsid w:val="005A09C5"/>
    <w:rsid w:val="005A124D"/>
    <w:rsid w:val="005A14FC"/>
    <w:rsid w:val="005A18FA"/>
    <w:rsid w:val="005A1AE2"/>
    <w:rsid w:val="005A1B26"/>
    <w:rsid w:val="005A20E0"/>
    <w:rsid w:val="005A23BE"/>
    <w:rsid w:val="005A2527"/>
    <w:rsid w:val="005A2FA5"/>
    <w:rsid w:val="005A3768"/>
    <w:rsid w:val="005A3A44"/>
    <w:rsid w:val="005A4CB7"/>
    <w:rsid w:val="005A5660"/>
    <w:rsid w:val="005A59A3"/>
    <w:rsid w:val="005A7C21"/>
    <w:rsid w:val="005A7C6A"/>
    <w:rsid w:val="005A7EF4"/>
    <w:rsid w:val="005A7FCE"/>
    <w:rsid w:val="005B00BE"/>
    <w:rsid w:val="005B094F"/>
    <w:rsid w:val="005B1454"/>
    <w:rsid w:val="005B1E0B"/>
    <w:rsid w:val="005B2013"/>
    <w:rsid w:val="005B2473"/>
    <w:rsid w:val="005B2742"/>
    <w:rsid w:val="005B338F"/>
    <w:rsid w:val="005B353A"/>
    <w:rsid w:val="005B4626"/>
    <w:rsid w:val="005B4B45"/>
    <w:rsid w:val="005B5505"/>
    <w:rsid w:val="005B59D6"/>
    <w:rsid w:val="005B5BFF"/>
    <w:rsid w:val="005B628F"/>
    <w:rsid w:val="005B64DC"/>
    <w:rsid w:val="005B6CF8"/>
    <w:rsid w:val="005B6ECF"/>
    <w:rsid w:val="005B7A4F"/>
    <w:rsid w:val="005B7D2C"/>
    <w:rsid w:val="005C0717"/>
    <w:rsid w:val="005C0C1C"/>
    <w:rsid w:val="005C12AB"/>
    <w:rsid w:val="005C1854"/>
    <w:rsid w:val="005C1E0E"/>
    <w:rsid w:val="005C1F6A"/>
    <w:rsid w:val="005C2206"/>
    <w:rsid w:val="005C221D"/>
    <w:rsid w:val="005C24A1"/>
    <w:rsid w:val="005C2515"/>
    <w:rsid w:val="005C25C4"/>
    <w:rsid w:val="005C2E73"/>
    <w:rsid w:val="005C305C"/>
    <w:rsid w:val="005C311B"/>
    <w:rsid w:val="005C3693"/>
    <w:rsid w:val="005C3ADE"/>
    <w:rsid w:val="005C3AED"/>
    <w:rsid w:val="005C44CB"/>
    <w:rsid w:val="005C4844"/>
    <w:rsid w:val="005C4A08"/>
    <w:rsid w:val="005C4A1B"/>
    <w:rsid w:val="005C5034"/>
    <w:rsid w:val="005C66E7"/>
    <w:rsid w:val="005C681B"/>
    <w:rsid w:val="005C6918"/>
    <w:rsid w:val="005C6B90"/>
    <w:rsid w:val="005C6C06"/>
    <w:rsid w:val="005C6E42"/>
    <w:rsid w:val="005C6F82"/>
    <w:rsid w:val="005C6F96"/>
    <w:rsid w:val="005C7126"/>
    <w:rsid w:val="005C71A8"/>
    <w:rsid w:val="005C763A"/>
    <w:rsid w:val="005D029E"/>
    <w:rsid w:val="005D0DA2"/>
    <w:rsid w:val="005D0F1E"/>
    <w:rsid w:val="005D19CF"/>
    <w:rsid w:val="005D20C6"/>
    <w:rsid w:val="005D2533"/>
    <w:rsid w:val="005D2963"/>
    <w:rsid w:val="005D2D7A"/>
    <w:rsid w:val="005D3605"/>
    <w:rsid w:val="005D44C6"/>
    <w:rsid w:val="005D5266"/>
    <w:rsid w:val="005D53C1"/>
    <w:rsid w:val="005D58F2"/>
    <w:rsid w:val="005D7084"/>
    <w:rsid w:val="005D75C3"/>
    <w:rsid w:val="005D7810"/>
    <w:rsid w:val="005D7842"/>
    <w:rsid w:val="005D7F5D"/>
    <w:rsid w:val="005E0471"/>
    <w:rsid w:val="005E062E"/>
    <w:rsid w:val="005E08BC"/>
    <w:rsid w:val="005E1357"/>
    <w:rsid w:val="005E1A6A"/>
    <w:rsid w:val="005E280E"/>
    <w:rsid w:val="005E2C4A"/>
    <w:rsid w:val="005E2EB7"/>
    <w:rsid w:val="005E3A95"/>
    <w:rsid w:val="005E3D7D"/>
    <w:rsid w:val="005E460D"/>
    <w:rsid w:val="005E4BCE"/>
    <w:rsid w:val="005E505D"/>
    <w:rsid w:val="005E5578"/>
    <w:rsid w:val="005E68E0"/>
    <w:rsid w:val="005E6943"/>
    <w:rsid w:val="005E75C8"/>
    <w:rsid w:val="005F02F7"/>
    <w:rsid w:val="005F0357"/>
    <w:rsid w:val="005F07ED"/>
    <w:rsid w:val="005F0A3F"/>
    <w:rsid w:val="005F0DA5"/>
    <w:rsid w:val="005F1D87"/>
    <w:rsid w:val="005F2BF6"/>
    <w:rsid w:val="005F3049"/>
    <w:rsid w:val="005F30BF"/>
    <w:rsid w:val="005F31AF"/>
    <w:rsid w:val="005F32EB"/>
    <w:rsid w:val="005F37E1"/>
    <w:rsid w:val="005F3D43"/>
    <w:rsid w:val="005F4214"/>
    <w:rsid w:val="005F57C5"/>
    <w:rsid w:val="005F5806"/>
    <w:rsid w:val="005F63B8"/>
    <w:rsid w:val="005F6683"/>
    <w:rsid w:val="005F770C"/>
    <w:rsid w:val="005F7EDF"/>
    <w:rsid w:val="00602D3C"/>
    <w:rsid w:val="0060389B"/>
    <w:rsid w:val="00603B61"/>
    <w:rsid w:val="006049C1"/>
    <w:rsid w:val="00604B4C"/>
    <w:rsid w:val="00604C0C"/>
    <w:rsid w:val="00605CC5"/>
    <w:rsid w:val="00606FFC"/>
    <w:rsid w:val="00610457"/>
    <w:rsid w:val="0061145C"/>
    <w:rsid w:val="006119F8"/>
    <w:rsid w:val="0061203E"/>
    <w:rsid w:val="00612092"/>
    <w:rsid w:val="006120BB"/>
    <w:rsid w:val="0061248A"/>
    <w:rsid w:val="00612B6C"/>
    <w:rsid w:val="0061300D"/>
    <w:rsid w:val="006135E9"/>
    <w:rsid w:val="00614016"/>
    <w:rsid w:val="00614435"/>
    <w:rsid w:val="00614C7C"/>
    <w:rsid w:val="00614FA1"/>
    <w:rsid w:val="0061672F"/>
    <w:rsid w:val="00617AB7"/>
    <w:rsid w:val="00617B64"/>
    <w:rsid w:val="00617BBA"/>
    <w:rsid w:val="006203DB"/>
    <w:rsid w:val="00620DB7"/>
    <w:rsid w:val="006214DE"/>
    <w:rsid w:val="0062175F"/>
    <w:rsid w:val="0062195B"/>
    <w:rsid w:val="00621E7F"/>
    <w:rsid w:val="00622CFB"/>
    <w:rsid w:val="00622E69"/>
    <w:rsid w:val="00623237"/>
    <w:rsid w:val="00623E9E"/>
    <w:rsid w:val="0062545A"/>
    <w:rsid w:val="0062569A"/>
    <w:rsid w:val="006256D8"/>
    <w:rsid w:val="00627310"/>
    <w:rsid w:val="00627891"/>
    <w:rsid w:val="00630F1A"/>
    <w:rsid w:val="00631107"/>
    <w:rsid w:val="00631715"/>
    <w:rsid w:val="00631B95"/>
    <w:rsid w:val="00631C1E"/>
    <w:rsid w:val="0063202D"/>
    <w:rsid w:val="0063205C"/>
    <w:rsid w:val="0063284A"/>
    <w:rsid w:val="006329BC"/>
    <w:rsid w:val="00632F67"/>
    <w:rsid w:val="00633CC1"/>
    <w:rsid w:val="00633E07"/>
    <w:rsid w:val="006343B6"/>
    <w:rsid w:val="00634AB7"/>
    <w:rsid w:val="00634C67"/>
    <w:rsid w:val="00634FB9"/>
    <w:rsid w:val="00635EB3"/>
    <w:rsid w:val="00635F47"/>
    <w:rsid w:val="00636BC8"/>
    <w:rsid w:val="00637251"/>
    <w:rsid w:val="00637F90"/>
    <w:rsid w:val="00640470"/>
    <w:rsid w:val="00640F02"/>
    <w:rsid w:val="00641E13"/>
    <w:rsid w:val="00642241"/>
    <w:rsid w:val="00642437"/>
    <w:rsid w:val="0064299F"/>
    <w:rsid w:val="00642F1D"/>
    <w:rsid w:val="00644338"/>
    <w:rsid w:val="00644350"/>
    <w:rsid w:val="00644D22"/>
    <w:rsid w:val="00644EBB"/>
    <w:rsid w:val="0064613C"/>
    <w:rsid w:val="006465D2"/>
    <w:rsid w:val="006468F1"/>
    <w:rsid w:val="00646E4A"/>
    <w:rsid w:val="00646FE6"/>
    <w:rsid w:val="006474FE"/>
    <w:rsid w:val="006505A7"/>
    <w:rsid w:val="006513F1"/>
    <w:rsid w:val="0065158F"/>
    <w:rsid w:val="00651E3E"/>
    <w:rsid w:val="00652478"/>
    <w:rsid w:val="00652C2D"/>
    <w:rsid w:val="00652D49"/>
    <w:rsid w:val="00652F3A"/>
    <w:rsid w:val="0065359F"/>
    <w:rsid w:val="00653830"/>
    <w:rsid w:val="00653A47"/>
    <w:rsid w:val="00653BF6"/>
    <w:rsid w:val="00655168"/>
    <w:rsid w:val="00655207"/>
    <w:rsid w:val="00655F5E"/>
    <w:rsid w:val="006563CF"/>
    <w:rsid w:val="006566AD"/>
    <w:rsid w:val="00656F1F"/>
    <w:rsid w:val="00657112"/>
    <w:rsid w:val="00657721"/>
    <w:rsid w:val="00657CF0"/>
    <w:rsid w:val="00660102"/>
    <w:rsid w:val="006609B4"/>
    <w:rsid w:val="00660C7B"/>
    <w:rsid w:val="00660ECA"/>
    <w:rsid w:val="006614F0"/>
    <w:rsid w:val="006619BD"/>
    <w:rsid w:val="00661DC4"/>
    <w:rsid w:val="00661E9A"/>
    <w:rsid w:val="00662436"/>
    <w:rsid w:val="0066293D"/>
    <w:rsid w:val="00663480"/>
    <w:rsid w:val="006634DC"/>
    <w:rsid w:val="0066358E"/>
    <w:rsid w:val="00663AC5"/>
    <w:rsid w:val="00664219"/>
    <w:rsid w:val="00664430"/>
    <w:rsid w:val="00664C36"/>
    <w:rsid w:val="00665052"/>
    <w:rsid w:val="00665197"/>
    <w:rsid w:val="0066565B"/>
    <w:rsid w:val="00666322"/>
    <w:rsid w:val="00666862"/>
    <w:rsid w:val="00666B3B"/>
    <w:rsid w:val="00666F83"/>
    <w:rsid w:val="00667221"/>
    <w:rsid w:val="00667226"/>
    <w:rsid w:val="00671098"/>
    <w:rsid w:val="00671D2D"/>
    <w:rsid w:val="0067252B"/>
    <w:rsid w:val="00672652"/>
    <w:rsid w:val="006739EC"/>
    <w:rsid w:val="00673C0F"/>
    <w:rsid w:val="00673D95"/>
    <w:rsid w:val="00674061"/>
    <w:rsid w:val="006748ED"/>
    <w:rsid w:val="00674948"/>
    <w:rsid w:val="006749ED"/>
    <w:rsid w:val="00674F5E"/>
    <w:rsid w:val="0067508D"/>
    <w:rsid w:val="00675279"/>
    <w:rsid w:val="006754B7"/>
    <w:rsid w:val="00675B38"/>
    <w:rsid w:val="006764F6"/>
    <w:rsid w:val="00676A71"/>
    <w:rsid w:val="00676EC7"/>
    <w:rsid w:val="006770F7"/>
    <w:rsid w:val="0067747B"/>
    <w:rsid w:val="00677F78"/>
    <w:rsid w:val="00680A13"/>
    <w:rsid w:val="00680DBB"/>
    <w:rsid w:val="006815D0"/>
    <w:rsid w:val="006818BF"/>
    <w:rsid w:val="00682352"/>
    <w:rsid w:val="00683535"/>
    <w:rsid w:val="006835EB"/>
    <w:rsid w:val="00684A19"/>
    <w:rsid w:val="006852CE"/>
    <w:rsid w:val="006865A5"/>
    <w:rsid w:val="0068747B"/>
    <w:rsid w:val="006916F9"/>
    <w:rsid w:val="00691999"/>
    <w:rsid w:val="006919A6"/>
    <w:rsid w:val="00691D03"/>
    <w:rsid w:val="00691F5D"/>
    <w:rsid w:val="006923E3"/>
    <w:rsid w:val="006933FA"/>
    <w:rsid w:val="00694FEF"/>
    <w:rsid w:val="00695A6E"/>
    <w:rsid w:val="00695D85"/>
    <w:rsid w:val="00695E28"/>
    <w:rsid w:val="00696343"/>
    <w:rsid w:val="00697451"/>
    <w:rsid w:val="0069749D"/>
    <w:rsid w:val="006977C1"/>
    <w:rsid w:val="00697BA6"/>
    <w:rsid w:val="006A02ED"/>
    <w:rsid w:val="006A08BD"/>
    <w:rsid w:val="006A09D5"/>
    <w:rsid w:val="006A0F2A"/>
    <w:rsid w:val="006A0FB2"/>
    <w:rsid w:val="006A1281"/>
    <w:rsid w:val="006A26B5"/>
    <w:rsid w:val="006A4392"/>
    <w:rsid w:val="006A53F6"/>
    <w:rsid w:val="006A5889"/>
    <w:rsid w:val="006A68A6"/>
    <w:rsid w:val="006A6EC4"/>
    <w:rsid w:val="006A75EF"/>
    <w:rsid w:val="006A79F0"/>
    <w:rsid w:val="006B0FA5"/>
    <w:rsid w:val="006B23FA"/>
    <w:rsid w:val="006B2787"/>
    <w:rsid w:val="006B36C5"/>
    <w:rsid w:val="006B3824"/>
    <w:rsid w:val="006B39FF"/>
    <w:rsid w:val="006B400E"/>
    <w:rsid w:val="006B469A"/>
    <w:rsid w:val="006B4B6F"/>
    <w:rsid w:val="006B52D4"/>
    <w:rsid w:val="006B5B22"/>
    <w:rsid w:val="006B760B"/>
    <w:rsid w:val="006B7661"/>
    <w:rsid w:val="006C26AC"/>
    <w:rsid w:val="006C2E7B"/>
    <w:rsid w:val="006C42B6"/>
    <w:rsid w:val="006C49D9"/>
    <w:rsid w:val="006C4ADD"/>
    <w:rsid w:val="006C4F30"/>
    <w:rsid w:val="006C4FA4"/>
    <w:rsid w:val="006C4FCA"/>
    <w:rsid w:val="006C7686"/>
    <w:rsid w:val="006C7DF6"/>
    <w:rsid w:val="006C7E2F"/>
    <w:rsid w:val="006C7E76"/>
    <w:rsid w:val="006D0165"/>
    <w:rsid w:val="006D0813"/>
    <w:rsid w:val="006D0B77"/>
    <w:rsid w:val="006D0E8E"/>
    <w:rsid w:val="006D12BD"/>
    <w:rsid w:val="006D12CE"/>
    <w:rsid w:val="006D2BA3"/>
    <w:rsid w:val="006D2E07"/>
    <w:rsid w:val="006D3110"/>
    <w:rsid w:val="006D31A9"/>
    <w:rsid w:val="006D37A3"/>
    <w:rsid w:val="006D3AE9"/>
    <w:rsid w:val="006D3E11"/>
    <w:rsid w:val="006D46E8"/>
    <w:rsid w:val="006D51C7"/>
    <w:rsid w:val="006D642B"/>
    <w:rsid w:val="006D64A3"/>
    <w:rsid w:val="006D72AB"/>
    <w:rsid w:val="006D7EC7"/>
    <w:rsid w:val="006D7F79"/>
    <w:rsid w:val="006E065E"/>
    <w:rsid w:val="006E0B44"/>
    <w:rsid w:val="006E0B4A"/>
    <w:rsid w:val="006E0ED1"/>
    <w:rsid w:val="006E1ECA"/>
    <w:rsid w:val="006E2797"/>
    <w:rsid w:val="006E27E3"/>
    <w:rsid w:val="006E2A86"/>
    <w:rsid w:val="006E2C69"/>
    <w:rsid w:val="006E3784"/>
    <w:rsid w:val="006E3978"/>
    <w:rsid w:val="006E3F86"/>
    <w:rsid w:val="006E4F39"/>
    <w:rsid w:val="006E5878"/>
    <w:rsid w:val="006E5B86"/>
    <w:rsid w:val="006E74B2"/>
    <w:rsid w:val="006F0149"/>
    <w:rsid w:val="006F0B39"/>
    <w:rsid w:val="006F1351"/>
    <w:rsid w:val="006F1E6D"/>
    <w:rsid w:val="006F2BFB"/>
    <w:rsid w:val="006F2C88"/>
    <w:rsid w:val="006F2ECE"/>
    <w:rsid w:val="006F303D"/>
    <w:rsid w:val="006F3179"/>
    <w:rsid w:val="006F365B"/>
    <w:rsid w:val="006F3BCC"/>
    <w:rsid w:val="006F3BDC"/>
    <w:rsid w:val="006F45F1"/>
    <w:rsid w:val="006F4AFD"/>
    <w:rsid w:val="006F5CB3"/>
    <w:rsid w:val="006F5E9B"/>
    <w:rsid w:val="006F66C8"/>
    <w:rsid w:val="006F6B7D"/>
    <w:rsid w:val="00700907"/>
    <w:rsid w:val="007013C8"/>
    <w:rsid w:val="007015BE"/>
    <w:rsid w:val="00702A7B"/>
    <w:rsid w:val="00702C49"/>
    <w:rsid w:val="00702E40"/>
    <w:rsid w:val="00703362"/>
    <w:rsid w:val="00704217"/>
    <w:rsid w:val="00704315"/>
    <w:rsid w:val="007043C7"/>
    <w:rsid w:val="007049C6"/>
    <w:rsid w:val="00705398"/>
    <w:rsid w:val="007057C7"/>
    <w:rsid w:val="00706A44"/>
    <w:rsid w:val="007079AE"/>
    <w:rsid w:val="00707AD4"/>
    <w:rsid w:val="00710A3C"/>
    <w:rsid w:val="00710EFB"/>
    <w:rsid w:val="00712476"/>
    <w:rsid w:val="00712614"/>
    <w:rsid w:val="00712FAF"/>
    <w:rsid w:val="007134BD"/>
    <w:rsid w:val="0071400F"/>
    <w:rsid w:val="007149D0"/>
    <w:rsid w:val="00715216"/>
    <w:rsid w:val="0071659E"/>
    <w:rsid w:val="007170B1"/>
    <w:rsid w:val="007171D1"/>
    <w:rsid w:val="00717976"/>
    <w:rsid w:val="007179AA"/>
    <w:rsid w:val="00717B41"/>
    <w:rsid w:val="00717C0B"/>
    <w:rsid w:val="00720154"/>
    <w:rsid w:val="00720AB9"/>
    <w:rsid w:val="007216C7"/>
    <w:rsid w:val="00721C44"/>
    <w:rsid w:val="00721C98"/>
    <w:rsid w:val="00721DD6"/>
    <w:rsid w:val="0072206F"/>
    <w:rsid w:val="0072240C"/>
    <w:rsid w:val="0072245A"/>
    <w:rsid w:val="007234EA"/>
    <w:rsid w:val="00724912"/>
    <w:rsid w:val="00724B52"/>
    <w:rsid w:val="00724DD4"/>
    <w:rsid w:val="00725C7E"/>
    <w:rsid w:val="00726F0A"/>
    <w:rsid w:val="00726FB5"/>
    <w:rsid w:val="0072702C"/>
    <w:rsid w:val="00727B94"/>
    <w:rsid w:val="00730178"/>
    <w:rsid w:val="0073043A"/>
    <w:rsid w:val="00730ED9"/>
    <w:rsid w:val="00731010"/>
    <w:rsid w:val="00731061"/>
    <w:rsid w:val="00731180"/>
    <w:rsid w:val="00731584"/>
    <w:rsid w:val="007323E1"/>
    <w:rsid w:val="00734CD6"/>
    <w:rsid w:val="00735368"/>
    <w:rsid w:val="0073560A"/>
    <w:rsid w:val="00737D9A"/>
    <w:rsid w:val="007403C8"/>
    <w:rsid w:val="007406DA"/>
    <w:rsid w:val="00740AFD"/>
    <w:rsid w:val="00740C98"/>
    <w:rsid w:val="00740F38"/>
    <w:rsid w:val="007412CA"/>
    <w:rsid w:val="007414B9"/>
    <w:rsid w:val="007426AB"/>
    <w:rsid w:val="007430A8"/>
    <w:rsid w:val="00744BFC"/>
    <w:rsid w:val="007454BB"/>
    <w:rsid w:val="007454CD"/>
    <w:rsid w:val="00745B4D"/>
    <w:rsid w:val="007469CA"/>
    <w:rsid w:val="00746FE8"/>
    <w:rsid w:val="00747C33"/>
    <w:rsid w:val="0075066F"/>
    <w:rsid w:val="00750A44"/>
    <w:rsid w:val="00750C9C"/>
    <w:rsid w:val="0075205B"/>
    <w:rsid w:val="0075216B"/>
    <w:rsid w:val="00752A1A"/>
    <w:rsid w:val="007539C2"/>
    <w:rsid w:val="00753F3F"/>
    <w:rsid w:val="007547C5"/>
    <w:rsid w:val="007557E0"/>
    <w:rsid w:val="007559F2"/>
    <w:rsid w:val="00757836"/>
    <w:rsid w:val="00760C3C"/>
    <w:rsid w:val="00760E27"/>
    <w:rsid w:val="00761A21"/>
    <w:rsid w:val="00762114"/>
    <w:rsid w:val="0076362D"/>
    <w:rsid w:val="0076363B"/>
    <w:rsid w:val="007637A8"/>
    <w:rsid w:val="007641D2"/>
    <w:rsid w:val="00764348"/>
    <w:rsid w:val="00764D8F"/>
    <w:rsid w:val="00765410"/>
    <w:rsid w:val="00765EFF"/>
    <w:rsid w:val="00765F0E"/>
    <w:rsid w:val="00765F47"/>
    <w:rsid w:val="007665BD"/>
    <w:rsid w:val="00767557"/>
    <w:rsid w:val="00767801"/>
    <w:rsid w:val="0077050D"/>
    <w:rsid w:val="00770584"/>
    <w:rsid w:val="00770A5A"/>
    <w:rsid w:val="00771B09"/>
    <w:rsid w:val="00771C7E"/>
    <w:rsid w:val="00772326"/>
    <w:rsid w:val="0077311A"/>
    <w:rsid w:val="00773C09"/>
    <w:rsid w:val="00774339"/>
    <w:rsid w:val="0077475C"/>
    <w:rsid w:val="00774DE1"/>
    <w:rsid w:val="00774E01"/>
    <w:rsid w:val="00775206"/>
    <w:rsid w:val="007758EA"/>
    <w:rsid w:val="007759E3"/>
    <w:rsid w:val="00775DEC"/>
    <w:rsid w:val="00776A80"/>
    <w:rsid w:val="0077783B"/>
    <w:rsid w:val="007801D2"/>
    <w:rsid w:val="00781928"/>
    <w:rsid w:val="00781BCA"/>
    <w:rsid w:val="007821C9"/>
    <w:rsid w:val="007835EE"/>
    <w:rsid w:val="00783721"/>
    <w:rsid w:val="007838C4"/>
    <w:rsid w:val="00783FC2"/>
    <w:rsid w:val="007840C7"/>
    <w:rsid w:val="00784846"/>
    <w:rsid w:val="00784DB6"/>
    <w:rsid w:val="00785EBF"/>
    <w:rsid w:val="00786D35"/>
    <w:rsid w:val="00787131"/>
    <w:rsid w:val="0078765F"/>
    <w:rsid w:val="00787805"/>
    <w:rsid w:val="0078789D"/>
    <w:rsid w:val="0079114A"/>
    <w:rsid w:val="00791B63"/>
    <w:rsid w:val="007920AD"/>
    <w:rsid w:val="00792105"/>
    <w:rsid w:val="00792156"/>
    <w:rsid w:val="007924B3"/>
    <w:rsid w:val="00792F89"/>
    <w:rsid w:val="0079376F"/>
    <w:rsid w:val="00793C6D"/>
    <w:rsid w:val="00793DFC"/>
    <w:rsid w:val="00793F54"/>
    <w:rsid w:val="00794697"/>
    <w:rsid w:val="007947A8"/>
    <w:rsid w:val="007951A2"/>
    <w:rsid w:val="007951F3"/>
    <w:rsid w:val="00795AB9"/>
    <w:rsid w:val="007972F3"/>
    <w:rsid w:val="0079738B"/>
    <w:rsid w:val="0079742C"/>
    <w:rsid w:val="00797488"/>
    <w:rsid w:val="00797DA8"/>
    <w:rsid w:val="007A021D"/>
    <w:rsid w:val="007A0503"/>
    <w:rsid w:val="007A0D25"/>
    <w:rsid w:val="007A12A0"/>
    <w:rsid w:val="007A1808"/>
    <w:rsid w:val="007A2226"/>
    <w:rsid w:val="007A2A45"/>
    <w:rsid w:val="007A3656"/>
    <w:rsid w:val="007A3C3F"/>
    <w:rsid w:val="007A457F"/>
    <w:rsid w:val="007A46B6"/>
    <w:rsid w:val="007A48DA"/>
    <w:rsid w:val="007A4988"/>
    <w:rsid w:val="007A4FA3"/>
    <w:rsid w:val="007A4FC8"/>
    <w:rsid w:val="007A598B"/>
    <w:rsid w:val="007A5B80"/>
    <w:rsid w:val="007A5C04"/>
    <w:rsid w:val="007A610F"/>
    <w:rsid w:val="007A61F2"/>
    <w:rsid w:val="007A6227"/>
    <w:rsid w:val="007A66B5"/>
    <w:rsid w:val="007A6B92"/>
    <w:rsid w:val="007A7FF9"/>
    <w:rsid w:val="007B02F2"/>
    <w:rsid w:val="007B0829"/>
    <w:rsid w:val="007B0916"/>
    <w:rsid w:val="007B0FFA"/>
    <w:rsid w:val="007B12DA"/>
    <w:rsid w:val="007B142B"/>
    <w:rsid w:val="007B254E"/>
    <w:rsid w:val="007B255E"/>
    <w:rsid w:val="007B3AAC"/>
    <w:rsid w:val="007B3D01"/>
    <w:rsid w:val="007B44A2"/>
    <w:rsid w:val="007B4BE0"/>
    <w:rsid w:val="007B7246"/>
    <w:rsid w:val="007B7E8F"/>
    <w:rsid w:val="007C1021"/>
    <w:rsid w:val="007C13AE"/>
    <w:rsid w:val="007C172B"/>
    <w:rsid w:val="007C20BB"/>
    <w:rsid w:val="007C261B"/>
    <w:rsid w:val="007C2878"/>
    <w:rsid w:val="007C2F30"/>
    <w:rsid w:val="007C31C4"/>
    <w:rsid w:val="007C3544"/>
    <w:rsid w:val="007C3BE5"/>
    <w:rsid w:val="007C52A7"/>
    <w:rsid w:val="007C5C6C"/>
    <w:rsid w:val="007C5F71"/>
    <w:rsid w:val="007C6186"/>
    <w:rsid w:val="007C633B"/>
    <w:rsid w:val="007C681F"/>
    <w:rsid w:val="007C6829"/>
    <w:rsid w:val="007C7CCA"/>
    <w:rsid w:val="007D05FE"/>
    <w:rsid w:val="007D0CCF"/>
    <w:rsid w:val="007D1825"/>
    <w:rsid w:val="007D1CE6"/>
    <w:rsid w:val="007D34BF"/>
    <w:rsid w:val="007D3969"/>
    <w:rsid w:val="007D41BE"/>
    <w:rsid w:val="007D4B1F"/>
    <w:rsid w:val="007D5169"/>
    <w:rsid w:val="007D57D9"/>
    <w:rsid w:val="007D5A7B"/>
    <w:rsid w:val="007D664C"/>
    <w:rsid w:val="007D7ABC"/>
    <w:rsid w:val="007D7D4A"/>
    <w:rsid w:val="007D7E5D"/>
    <w:rsid w:val="007D7F60"/>
    <w:rsid w:val="007E09E9"/>
    <w:rsid w:val="007E0D0A"/>
    <w:rsid w:val="007E1B82"/>
    <w:rsid w:val="007E2933"/>
    <w:rsid w:val="007E313F"/>
    <w:rsid w:val="007E417D"/>
    <w:rsid w:val="007E524D"/>
    <w:rsid w:val="007E5C14"/>
    <w:rsid w:val="007E6036"/>
    <w:rsid w:val="007E6263"/>
    <w:rsid w:val="007E6597"/>
    <w:rsid w:val="007E6706"/>
    <w:rsid w:val="007E6950"/>
    <w:rsid w:val="007E6B91"/>
    <w:rsid w:val="007E6F3A"/>
    <w:rsid w:val="007E722E"/>
    <w:rsid w:val="007E759D"/>
    <w:rsid w:val="007E76BB"/>
    <w:rsid w:val="007E77CF"/>
    <w:rsid w:val="007E7C80"/>
    <w:rsid w:val="007E7DE9"/>
    <w:rsid w:val="007E7FF0"/>
    <w:rsid w:val="007F0009"/>
    <w:rsid w:val="007F099C"/>
    <w:rsid w:val="007F0E38"/>
    <w:rsid w:val="007F0EA1"/>
    <w:rsid w:val="007F1226"/>
    <w:rsid w:val="007F182B"/>
    <w:rsid w:val="007F2095"/>
    <w:rsid w:val="007F2230"/>
    <w:rsid w:val="007F36A2"/>
    <w:rsid w:val="007F3803"/>
    <w:rsid w:val="007F3B89"/>
    <w:rsid w:val="007F3B9B"/>
    <w:rsid w:val="007F4554"/>
    <w:rsid w:val="007F45BF"/>
    <w:rsid w:val="007F4766"/>
    <w:rsid w:val="007F4AB4"/>
    <w:rsid w:val="007F577A"/>
    <w:rsid w:val="007F5D90"/>
    <w:rsid w:val="007F5ED4"/>
    <w:rsid w:val="007F5FD7"/>
    <w:rsid w:val="007F64C6"/>
    <w:rsid w:val="007F67CF"/>
    <w:rsid w:val="007F759C"/>
    <w:rsid w:val="007F7D05"/>
    <w:rsid w:val="007F7F5C"/>
    <w:rsid w:val="00800ACF"/>
    <w:rsid w:val="00801563"/>
    <w:rsid w:val="0080199F"/>
    <w:rsid w:val="0080254F"/>
    <w:rsid w:val="00802CEE"/>
    <w:rsid w:val="008035F3"/>
    <w:rsid w:val="00803647"/>
    <w:rsid w:val="00803780"/>
    <w:rsid w:val="00803AF9"/>
    <w:rsid w:val="0080443C"/>
    <w:rsid w:val="00804D92"/>
    <w:rsid w:val="00805156"/>
    <w:rsid w:val="00805447"/>
    <w:rsid w:val="008054D2"/>
    <w:rsid w:val="00805667"/>
    <w:rsid w:val="00806444"/>
    <w:rsid w:val="008068EF"/>
    <w:rsid w:val="00806A6B"/>
    <w:rsid w:val="008071F2"/>
    <w:rsid w:val="008074BA"/>
    <w:rsid w:val="0080773B"/>
    <w:rsid w:val="00807800"/>
    <w:rsid w:val="00807ED3"/>
    <w:rsid w:val="00810792"/>
    <w:rsid w:val="00810C4C"/>
    <w:rsid w:val="00811378"/>
    <w:rsid w:val="008118A9"/>
    <w:rsid w:val="00811F08"/>
    <w:rsid w:val="00812137"/>
    <w:rsid w:val="008123CF"/>
    <w:rsid w:val="0081391F"/>
    <w:rsid w:val="00813A5F"/>
    <w:rsid w:val="00814340"/>
    <w:rsid w:val="008148F0"/>
    <w:rsid w:val="00814D9B"/>
    <w:rsid w:val="008165C7"/>
    <w:rsid w:val="008173CA"/>
    <w:rsid w:val="008177D7"/>
    <w:rsid w:val="008179E5"/>
    <w:rsid w:val="00817B8D"/>
    <w:rsid w:val="00817BEE"/>
    <w:rsid w:val="00820120"/>
    <w:rsid w:val="0082089F"/>
    <w:rsid w:val="00820EC4"/>
    <w:rsid w:val="0082121F"/>
    <w:rsid w:val="008217C3"/>
    <w:rsid w:val="00821BFB"/>
    <w:rsid w:val="00821F27"/>
    <w:rsid w:val="00822731"/>
    <w:rsid w:val="00822939"/>
    <w:rsid w:val="00822E8D"/>
    <w:rsid w:val="00824165"/>
    <w:rsid w:val="008244FA"/>
    <w:rsid w:val="008247C4"/>
    <w:rsid w:val="00824E76"/>
    <w:rsid w:val="008256FD"/>
    <w:rsid w:val="00825AA1"/>
    <w:rsid w:val="008279D7"/>
    <w:rsid w:val="00827EB8"/>
    <w:rsid w:val="0083066A"/>
    <w:rsid w:val="008309ED"/>
    <w:rsid w:val="00830E62"/>
    <w:rsid w:val="008319FB"/>
    <w:rsid w:val="00833450"/>
    <w:rsid w:val="008334B6"/>
    <w:rsid w:val="0083373C"/>
    <w:rsid w:val="00834067"/>
    <w:rsid w:val="00834E0E"/>
    <w:rsid w:val="008351FE"/>
    <w:rsid w:val="00835F10"/>
    <w:rsid w:val="00836183"/>
    <w:rsid w:val="008364AB"/>
    <w:rsid w:val="0083733D"/>
    <w:rsid w:val="00837501"/>
    <w:rsid w:val="0084010C"/>
    <w:rsid w:val="00840F0E"/>
    <w:rsid w:val="0084128D"/>
    <w:rsid w:val="00841827"/>
    <w:rsid w:val="00841966"/>
    <w:rsid w:val="00841A95"/>
    <w:rsid w:val="0084272E"/>
    <w:rsid w:val="008437E1"/>
    <w:rsid w:val="00843A80"/>
    <w:rsid w:val="0084409C"/>
    <w:rsid w:val="00844198"/>
    <w:rsid w:val="0084435C"/>
    <w:rsid w:val="00845496"/>
    <w:rsid w:val="0084675A"/>
    <w:rsid w:val="00846AC1"/>
    <w:rsid w:val="0084706D"/>
    <w:rsid w:val="008476EF"/>
    <w:rsid w:val="008477E7"/>
    <w:rsid w:val="0085035B"/>
    <w:rsid w:val="008514BF"/>
    <w:rsid w:val="00851704"/>
    <w:rsid w:val="0085217B"/>
    <w:rsid w:val="008530A5"/>
    <w:rsid w:val="008533FE"/>
    <w:rsid w:val="00854063"/>
    <w:rsid w:val="00854384"/>
    <w:rsid w:val="00855DC2"/>
    <w:rsid w:val="00855FFC"/>
    <w:rsid w:val="00856106"/>
    <w:rsid w:val="0085616E"/>
    <w:rsid w:val="008567BD"/>
    <w:rsid w:val="008568F7"/>
    <w:rsid w:val="00856E12"/>
    <w:rsid w:val="00856F48"/>
    <w:rsid w:val="008576F3"/>
    <w:rsid w:val="00857FF8"/>
    <w:rsid w:val="008619C4"/>
    <w:rsid w:val="0086201B"/>
    <w:rsid w:val="0086281E"/>
    <w:rsid w:val="00862E9A"/>
    <w:rsid w:val="00862FE9"/>
    <w:rsid w:val="0086300E"/>
    <w:rsid w:val="008639B2"/>
    <w:rsid w:val="00863CA9"/>
    <w:rsid w:val="00864539"/>
    <w:rsid w:val="008645CF"/>
    <w:rsid w:val="008647E1"/>
    <w:rsid w:val="0086495B"/>
    <w:rsid w:val="008649AD"/>
    <w:rsid w:val="00864A05"/>
    <w:rsid w:val="00864B53"/>
    <w:rsid w:val="00865213"/>
    <w:rsid w:val="00865222"/>
    <w:rsid w:val="008652CE"/>
    <w:rsid w:val="008652D3"/>
    <w:rsid w:val="00865793"/>
    <w:rsid w:val="008658BC"/>
    <w:rsid w:val="008660B9"/>
    <w:rsid w:val="00867AE8"/>
    <w:rsid w:val="008700BB"/>
    <w:rsid w:val="00870389"/>
    <w:rsid w:val="0087040A"/>
    <w:rsid w:val="00870665"/>
    <w:rsid w:val="008707D3"/>
    <w:rsid w:val="008709A7"/>
    <w:rsid w:val="00870CC1"/>
    <w:rsid w:val="0087140A"/>
    <w:rsid w:val="008714F3"/>
    <w:rsid w:val="00871A96"/>
    <w:rsid w:val="00872CBA"/>
    <w:rsid w:val="00873673"/>
    <w:rsid w:val="00873CE3"/>
    <w:rsid w:val="00874210"/>
    <w:rsid w:val="0087453A"/>
    <w:rsid w:val="00874D89"/>
    <w:rsid w:val="008752AC"/>
    <w:rsid w:val="00875373"/>
    <w:rsid w:val="008756AC"/>
    <w:rsid w:val="008759F2"/>
    <w:rsid w:val="00875D7D"/>
    <w:rsid w:val="00875E83"/>
    <w:rsid w:val="008769AA"/>
    <w:rsid w:val="00876C6E"/>
    <w:rsid w:val="008778C1"/>
    <w:rsid w:val="008801ED"/>
    <w:rsid w:val="0088024A"/>
    <w:rsid w:val="00880726"/>
    <w:rsid w:val="008808FE"/>
    <w:rsid w:val="00880D5E"/>
    <w:rsid w:val="00881389"/>
    <w:rsid w:val="00881C49"/>
    <w:rsid w:val="00881FFB"/>
    <w:rsid w:val="00882173"/>
    <w:rsid w:val="00883402"/>
    <w:rsid w:val="00883BD2"/>
    <w:rsid w:val="00883D7A"/>
    <w:rsid w:val="00884A2E"/>
    <w:rsid w:val="00884B21"/>
    <w:rsid w:val="00884B9F"/>
    <w:rsid w:val="008856E9"/>
    <w:rsid w:val="00886673"/>
    <w:rsid w:val="00886EFB"/>
    <w:rsid w:val="00887151"/>
    <w:rsid w:val="0088727B"/>
    <w:rsid w:val="00887783"/>
    <w:rsid w:val="00887830"/>
    <w:rsid w:val="008879A6"/>
    <w:rsid w:val="0089030E"/>
    <w:rsid w:val="00890336"/>
    <w:rsid w:val="008908C2"/>
    <w:rsid w:val="00890A08"/>
    <w:rsid w:val="00890E5B"/>
    <w:rsid w:val="00890EF7"/>
    <w:rsid w:val="00892481"/>
    <w:rsid w:val="008926C1"/>
    <w:rsid w:val="00892AC4"/>
    <w:rsid w:val="00892CE4"/>
    <w:rsid w:val="00892F10"/>
    <w:rsid w:val="00893053"/>
    <w:rsid w:val="00893BCD"/>
    <w:rsid w:val="00893EDD"/>
    <w:rsid w:val="008949F2"/>
    <w:rsid w:val="00894CB5"/>
    <w:rsid w:val="008957D9"/>
    <w:rsid w:val="00895DD4"/>
    <w:rsid w:val="008960D7"/>
    <w:rsid w:val="00896A78"/>
    <w:rsid w:val="00897572"/>
    <w:rsid w:val="008979B4"/>
    <w:rsid w:val="008A01DC"/>
    <w:rsid w:val="008A03D8"/>
    <w:rsid w:val="008A092D"/>
    <w:rsid w:val="008A0992"/>
    <w:rsid w:val="008A0E3D"/>
    <w:rsid w:val="008A0FDB"/>
    <w:rsid w:val="008A1BD6"/>
    <w:rsid w:val="008A2921"/>
    <w:rsid w:val="008A412B"/>
    <w:rsid w:val="008A41C2"/>
    <w:rsid w:val="008A4588"/>
    <w:rsid w:val="008A4EE5"/>
    <w:rsid w:val="008A4FB3"/>
    <w:rsid w:val="008A5E0C"/>
    <w:rsid w:val="008A6B33"/>
    <w:rsid w:val="008A725F"/>
    <w:rsid w:val="008A781D"/>
    <w:rsid w:val="008A7854"/>
    <w:rsid w:val="008B06E0"/>
    <w:rsid w:val="008B072E"/>
    <w:rsid w:val="008B1B6B"/>
    <w:rsid w:val="008B2E4B"/>
    <w:rsid w:val="008B3065"/>
    <w:rsid w:val="008B3F5D"/>
    <w:rsid w:val="008B491D"/>
    <w:rsid w:val="008B771A"/>
    <w:rsid w:val="008C006B"/>
    <w:rsid w:val="008C0775"/>
    <w:rsid w:val="008C0A8C"/>
    <w:rsid w:val="008C0B09"/>
    <w:rsid w:val="008C18E7"/>
    <w:rsid w:val="008C2063"/>
    <w:rsid w:val="008C236F"/>
    <w:rsid w:val="008C3646"/>
    <w:rsid w:val="008C3AF3"/>
    <w:rsid w:val="008C3EFF"/>
    <w:rsid w:val="008C465E"/>
    <w:rsid w:val="008C47A9"/>
    <w:rsid w:val="008C47AA"/>
    <w:rsid w:val="008C4B66"/>
    <w:rsid w:val="008C4EDF"/>
    <w:rsid w:val="008C542F"/>
    <w:rsid w:val="008C5919"/>
    <w:rsid w:val="008C5F32"/>
    <w:rsid w:val="008C5FF7"/>
    <w:rsid w:val="008C606B"/>
    <w:rsid w:val="008C60F6"/>
    <w:rsid w:val="008C61D2"/>
    <w:rsid w:val="008C61F4"/>
    <w:rsid w:val="008C637E"/>
    <w:rsid w:val="008C6810"/>
    <w:rsid w:val="008C7049"/>
    <w:rsid w:val="008C7505"/>
    <w:rsid w:val="008C79C3"/>
    <w:rsid w:val="008D0516"/>
    <w:rsid w:val="008D0CC1"/>
    <w:rsid w:val="008D0CEA"/>
    <w:rsid w:val="008D0D38"/>
    <w:rsid w:val="008D139A"/>
    <w:rsid w:val="008D2089"/>
    <w:rsid w:val="008D2E21"/>
    <w:rsid w:val="008D35D7"/>
    <w:rsid w:val="008D3A71"/>
    <w:rsid w:val="008D4617"/>
    <w:rsid w:val="008D4753"/>
    <w:rsid w:val="008D4874"/>
    <w:rsid w:val="008D5EEC"/>
    <w:rsid w:val="008D7505"/>
    <w:rsid w:val="008E0CB8"/>
    <w:rsid w:val="008E12F6"/>
    <w:rsid w:val="008E154F"/>
    <w:rsid w:val="008E1EE0"/>
    <w:rsid w:val="008E235E"/>
    <w:rsid w:val="008E2DBF"/>
    <w:rsid w:val="008E3096"/>
    <w:rsid w:val="008E37CF"/>
    <w:rsid w:val="008E3ECC"/>
    <w:rsid w:val="008E4918"/>
    <w:rsid w:val="008E4AD0"/>
    <w:rsid w:val="008E5358"/>
    <w:rsid w:val="008E5432"/>
    <w:rsid w:val="008E573A"/>
    <w:rsid w:val="008E6D94"/>
    <w:rsid w:val="008E6E42"/>
    <w:rsid w:val="008E7120"/>
    <w:rsid w:val="008E72BE"/>
    <w:rsid w:val="008E7728"/>
    <w:rsid w:val="008E7920"/>
    <w:rsid w:val="008E7A39"/>
    <w:rsid w:val="008F05AC"/>
    <w:rsid w:val="008F11A6"/>
    <w:rsid w:val="008F22B1"/>
    <w:rsid w:val="008F29B0"/>
    <w:rsid w:val="008F40E7"/>
    <w:rsid w:val="008F4BFD"/>
    <w:rsid w:val="008F5198"/>
    <w:rsid w:val="008F55F8"/>
    <w:rsid w:val="008F574F"/>
    <w:rsid w:val="008F5A9B"/>
    <w:rsid w:val="008F5B38"/>
    <w:rsid w:val="008F6121"/>
    <w:rsid w:val="008F6350"/>
    <w:rsid w:val="008F6C3F"/>
    <w:rsid w:val="008F70CE"/>
    <w:rsid w:val="008F7476"/>
    <w:rsid w:val="008F7C6D"/>
    <w:rsid w:val="00900066"/>
    <w:rsid w:val="009002B0"/>
    <w:rsid w:val="00900A8E"/>
    <w:rsid w:val="00900D6F"/>
    <w:rsid w:val="0090129D"/>
    <w:rsid w:val="00901C0A"/>
    <w:rsid w:val="00902780"/>
    <w:rsid w:val="009027B6"/>
    <w:rsid w:val="00902E4B"/>
    <w:rsid w:val="00903D14"/>
    <w:rsid w:val="009042A1"/>
    <w:rsid w:val="00904B03"/>
    <w:rsid w:val="0090536F"/>
    <w:rsid w:val="00905A40"/>
    <w:rsid w:val="00905B4C"/>
    <w:rsid w:val="00906308"/>
    <w:rsid w:val="00906779"/>
    <w:rsid w:val="00906AC7"/>
    <w:rsid w:val="00907A18"/>
    <w:rsid w:val="00907B3E"/>
    <w:rsid w:val="00911317"/>
    <w:rsid w:val="009114D1"/>
    <w:rsid w:val="009119D7"/>
    <w:rsid w:val="00911E1C"/>
    <w:rsid w:val="00911E38"/>
    <w:rsid w:val="009121EC"/>
    <w:rsid w:val="009122C9"/>
    <w:rsid w:val="009123B7"/>
    <w:rsid w:val="009123E5"/>
    <w:rsid w:val="009125BB"/>
    <w:rsid w:val="009128EA"/>
    <w:rsid w:val="00913156"/>
    <w:rsid w:val="009133C6"/>
    <w:rsid w:val="00914CFB"/>
    <w:rsid w:val="00915453"/>
    <w:rsid w:val="00915C9E"/>
    <w:rsid w:val="0091619C"/>
    <w:rsid w:val="00916221"/>
    <w:rsid w:val="00916480"/>
    <w:rsid w:val="00916F1D"/>
    <w:rsid w:val="009173DE"/>
    <w:rsid w:val="009175FB"/>
    <w:rsid w:val="009176B2"/>
    <w:rsid w:val="00920A22"/>
    <w:rsid w:val="00920AC3"/>
    <w:rsid w:val="00920E11"/>
    <w:rsid w:val="0092145D"/>
    <w:rsid w:val="00921520"/>
    <w:rsid w:val="009215C5"/>
    <w:rsid w:val="00922B0A"/>
    <w:rsid w:val="009231F9"/>
    <w:rsid w:val="00923684"/>
    <w:rsid w:val="009237BB"/>
    <w:rsid w:val="009244DC"/>
    <w:rsid w:val="00924521"/>
    <w:rsid w:val="00925088"/>
    <w:rsid w:val="00925DB6"/>
    <w:rsid w:val="0092677C"/>
    <w:rsid w:val="0092710F"/>
    <w:rsid w:val="0093000D"/>
    <w:rsid w:val="0093029C"/>
    <w:rsid w:val="009303DB"/>
    <w:rsid w:val="00930A2C"/>
    <w:rsid w:val="00930CBD"/>
    <w:rsid w:val="00930D91"/>
    <w:rsid w:val="00931406"/>
    <w:rsid w:val="0093156D"/>
    <w:rsid w:val="009324F9"/>
    <w:rsid w:val="00932675"/>
    <w:rsid w:val="00932962"/>
    <w:rsid w:val="0093393B"/>
    <w:rsid w:val="00933B50"/>
    <w:rsid w:val="00933E53"/>
    <w:rsid w:val="009341B6"/>
    <w:rsid w:val="00934C74"/>
    <w:rsid w:val="009359DC"/>
    <w:rsid w:val="00936A3D"/>
    <w:rsid w:val="00937151"/>
    <w:rsid w:val="0094069A"/>
    <w:rsid w:val="00940DD9"/>
    <w:rsid w:val="00940F0F"/>
    <w:rsid w:val="00941A53"/>
    <w:rsid w:val="00941DFA"/>
    <w:rsid w:val="00942238"/>
    <w:rsid w:val="009438A9"/>
    <w:rsid w:val="009439CF"/>
    <w:rsid w:val="00943A44"/>
    <w:rsid w:val="00943C28"/>
    <w:rsid w:val="00943FFD"/>
    <w:rsid w:val="009443F7"/>
    <w:rsid w:val="00946364"/>
    <w:rsid w:val="00946736"/>
    <w:rsid w:val="009479A8"/>
    <w:rsid w:val="00950B99"/>
    <w:rsid w:val="00950F7B"/>
    <w:rsid w:val="00951118"/>
    <w:rsid w:val="009518E2"/>
    <w:rsid w:val="00951928"/>
    <w:rsid w:val="00951FFD"/>
    <w:rsid w:val="00952150"/>
    <w:rsid w:val="009525C7"/>
    <w:rsid w:val="0095280B"/>
    <w:rsid w:val="009528EE"/>
    <w:rsid w:val="00953509"/>
    <w:rsid w:val="00953677"/>
    <w:rsid w:val="009539E2"/>
    <w:rsid w:val="00953B72"/>
    <w:rsid w:val="00954128"/>
    <w:rsid w:val="00954A1C"/>
    <w:rsid w:val="00954D16"/>
    <w:rsid w:val="00954DC1"/>
    <w:rsid w:val="00954DD0"/>
    <w:rsid w:val="009550B3"/>
    <w:rsid w:val="009554B4"/>
    <w:rsid w:val="00955927"/>
    <w:rsid w:val="00955C1C"/>
    <w:rsid w:val="00955F7A"/>
    <w:rsid w:val="00956C11"/>
    <w:rsid w:val="00956CB7"/>
    <w:rsid w:val="00956EB0"/>
    <w:rsid w:val="00956F63"/>
    <w:rsid w:val="009572AB"/>
    <w:rsid w:val="009576C7"/>
    <w:rsid w:val="009578FD"/>
    <w:rsid w:val="00960771"/>
    <w:rsid w:val="00961644"/>
    <w:rsid w:val="00962954"/>
    <w:rsid w:val="00963209"/>
    <w:rsid w:val="009634CC"/>
    <w:rsid w:val="009639FA"/>
    <w:rsid w:val="00963DA0"/>
    <w:rsid w:val="00964A4F"/>
    <w:rsid w:val="00964AC3"/>
    <w:rsid w:val="00964C7D"/>
    <w:rsid w:val="00964E79"/>
    <w:rsid w:val="00965312"/>
    <w:rsid w:val="00965BD6"/>
    <w:rsid w:val="009660E6"/>
    <w:rsid w:val="009662B2"/>
    <w:rsid w:val="009663F7"/>
    <w:rsid w:val="0096688D"/>
    <w:rsid w:val="00966F39"/>
    <w:rsid w:val="0096724B"/>
    <w:rsid w:val="00967593"/>
    <w:rsid w:val="0096792F"/>
    <w:rsid w:val="00970190"/>
    <w:rsid w:val="009706CA"/>
    <w:rsid w:val="009708C0"/>
    <w:rsid w:val="00970E59"/>
    <w:rsid w:val="0097104E"/>
    <w:rsid w:val="00971D7D"/>
    <w:rsid w:val="0097304D"/>
    <w:rsid w:val="0097325B"/>
    <w:rsid w:val="0097335C"/>
    <w:rsid w:val="00973409"/>
    <w:rsid w:val="009735B9"/>
    <w:rsid w:val="0097404E"/>
    <w:rsid w:val="0097412B"/>
    <w:rsid w:val="009745F9"/>
    <w:rsid w:val="00974897"/>
    <w:rsid w:val="00974B9E"/>
    <w:rsid w:val="00975126"/>
    <w:rsid w:val="00975336"/>
    <w:rsid w:val="00976648"/>
    <w:rsid w:val="0097664E"/>
    <w:rsid w:val="00977ACF"/>
    <w:rsid w:val="00977B18"/>
    <w:rsid w:val="00977C11"/>
    <w:rsid w:val="0098065C"/>
    <w:rsid w:val="00980A39"/>
    <w:rsid w:val="009815CF"/>
    <w:rsid w:val="00981D8C"/>
    <w:rsid w:val="009825F1"/>
    <w:rsid w:val="00982FE5"/>
    <w:rsid w:val="009835D6"/>
    <w:rsid w:val="00983E43"/>
    <w:rsid w:val="009847AE"/>
    <w:rsid w:val="00984AF7"/>
    <w:rsid w:val="009851AF"/>
    <w:rsid w:val="0098526A"/>
    <w:rsid w:val="00985295"/>
    <w:rsid w:val="009878A9"/>
    <w:rsid w:val="009878C8"/>
    <w:rsid w:val="00991368"/>
    <w:rsid w:val="00991D90"/>
    <w:rsid w:val="00991E69"/>
    <w:rsid w:val="00991FE7"/>
    <w:rsid w:val="00992013"/>
    <w:rsid w:val="00992068"/>
    <w:rsid w:val="009925FE"/>
    <w:rsid w:val="00992B09"/>
    <w:rsid w:val="00992B50"/>
    <w:rsid w:val="00992F5F"/>
    <w:rsid w:val="00993155"/>
    <w:rsid w:val="0099378F"/>
    <w:rsid w:val="00993C96"/>
    <w:rsid w:val="00993F62"/>
    <w:rsid w:val="009944C1"/>
    <w:rsid w:val="00994B45"/>
    <w:rsid w:val="00995731"/>
    <w:rsid w:val="00995D86"/>
    <w:rsid w:val="00996708"/>
    <w:rsid w:val="0099681A"/>
    <w:rsid w:val="00997051"/>
    <w:rsid w:val="009975A8"/>
    <w:rsid w:val="00997AE4"/>
    <w:rsid w:val="009A1989"/>
    <w:rsid w:val="009A1E3B"/>
    <w:rsid w:val="009A21F9"/>
    <w:rsid w:val="009A26EB"/>
    <w:rsid w:val="009A3394"/>
    <w:rsid w:val="009A366B"/>
    <w:rsid w:val="009A387D"/>
    <w:rsid w:val="009A38B5"/>
    <w:rsid w:val="009A3ECF"/>
    <w:rsid w:val="009A41D8"/>
    <w:rsid w:val="009A434C"/>
    <w:rsid w:val="009A49DB"/>
    <w:rsid w:val="009A5A88"/>
    <w:rsid w:val="009A5C50"/>
    <w:rsid w:val="009A5DFE"/>
    <w:rsid w:val="009A6B41"/>
    <w:rsid w:val="009B041A"/>
    <w:rsid w:val="009B0C92"/>
    <w:rsid w:val="009B1304"/>
    <w:rsid w:val="009B207E"/>
    <w:rsid w:val="009B33ED"/>
    <w:rsid w:val="009B3727"/>
    <w:rsid w:val="009B39A9"/>
    <w:rsid w:val="009B4F01"/>
    <w:rsid w:val="009B5A3A"/>
    <w:rsid w:val="009B635C"/>
    <w:rsid w:val="009B6857"/>
    <w:rsid w:val="009B69A7"/>
    <w:rsid w:val="009B758F"/>
    <w:rsid w:val="009B7F02"/>
    <w:rsid w:val="009C0092"/>
    <w:rsid w:val="009C05B6"/>
    <w:rsid w:val="009C05DE"/>
    <w:rsid w:val="009C0B05"/>
    <w:rsid w:val="009C0B21"/>
    <w:rsid w:val="009C1744"/>
    <w:rsid w:val="009C182D"/>
    <w:rsid w:val="009C27ED"/>
    <w:rsid w:val="009C2DC4"/>
    <w:rsid w:val="009C34E8"/>
    <w:rsid w:val="009C36F5"/>
    <w:rsid w:val="009C388C"/>
    <w:rsid w:val="009C4040"/>
    <w:rsid w:val="009C4524"/>
    <w:rsid w:val="009C48D1"/>
    <w:rsid w:val="009C4D92"/>
    <w:rsid w:val="009C4F5B"/>
    <w:rsid w:val="009C4FD3"/>
    <w:rsid w:val="009C65F9"/>
    <w:rsid w:val="009C67F7"/>
    <w:rsid w:val="009C7337"/>
    <w:rsid w:val="009C7F37"/>
    <w:rsid w:val="009D005A"/>
    <w:rsid w:val="009D0C93"/>
    <w:rsid w:val="009D1142"/>
    <w:rsid w:val="009D1A4E"/>
    <w:rsid w:val="009D1F8C"/>
    <w:rsid w:val="009D2160"/>
    <w:rsid w:val="009D26C0"/>
    <w:rsid w:val="009D29C5"/>
    <w:rsid w:val="009D2EC9"/>
    <w:rsid w:val="009D30D2"/>
    <w:rsid w:val="009D3327"/>
    <w:rsid w:val="009D3782"/>
    <w:rsid w:val="009D3ED2"/>
    <w:rsid w:val="009D4272"/>
    <w:rsid w:val="009D433F"/>
    <w:rsid w:val="009D49C7"/>
    <w:rsid w:val="009D50D2"/>
    <w:rsid w:val="009D5408"/>
    <w:rsid w:val="009D5AA0"/>
    <w:rsid w:val="009D69E7"/>
    <w:rsid w:val="009D6A16"/>
    <w:rsid w:val="009D6B48"/>
    <w:rsid w:val="009D6F12"/>
    <w:rsid w:val="009D6FEA"/>
    <w:rsid w:val="009D78CD"/>
    <w:rsid w:val="009E16D3"/>
    <w:rsid w:val="009E1BFF"/>
    <w:rsid w:val="009E2B70"/>
    <w:rsid w:val="009E2D77"/>
    <w:rsid w:val="009E3AA3"/>
    <w:rsid w:val="009E42E8"/>
    <w:rsid w:val="009E4D8E"/>
    <w:rsid w:val="009E5D30"/>
    <w:rsid w:val="009E6935"/>
    <w:rsid w:val="009E6FCA"/>
    <w:rsid w:val="009E7A9A"/>
    <w:rsid w:val="009F02CC"/>
    <w:rsid w:val="009F042C"/>
    <w:rsid w:val="009F04E4"/>
    <w:rsid w:val="009F2FA2"/>
    <w:rsid w:val="009F3054"/>
    <w:rsid w:val="009F35A3"/>
    <w:rsid w:val="009F36A1"/>
    <w:rsid w:val="009F3AB0"/>
    <w:rsid w:val="009F3BBE"/>
    <w:rsid w:val="009F3DD2"/>
    <w:rsid w:val="009F4408"/>
    <w:rsid w:val="009F490A"/>
    <w:rsid w:val="009F5029"/>
    <w:rsid w:val="009F5985"/>
    <w:rsid w:val="009F5B8D"/>
    <w:rsid w:val="009F6523"/>
    <w:rsid w:val="009F6AE3"/>
    <w:rsid w:val="009F6EC1"/>
    <w:rsid w:val="009F6FF0"/>
    <w:rsid w:val="009F70FF"/>
    <w:rsid w:val="009F7192"/>
    <w:rsid w:val="009F7C09"/>
    <w:rsid w:val="00A001AF"/>
    <w:rsid w:val="00A005DB"/>
    <w:rsid w:val="00A007A1"/>
    <w:rsid w:val="00A00924"/>
    <w:rsid w:val="00A0099F"/>
    <w:rsid w:val="00A01459"/>
    <w:rsid w:val="00A0179D"/>
    <w:rsid w:val="00A01957"/>
    <w:rsid w:val="00A01FE2"/>
    <w:rsid w:val="00A022DB"/>
    <w:rsid w:val="00A02771"/>
    <w:rsid w:val="00A02816"/>
    <w:rsid w:val="00A02BDD"/>
    <w:rsid w:val="00A030A5"/>
    <w:rsid w:val="00A03A26"/>
    <w:rsid w:val="00A03CC8"/>
    <w:rsid w:val="00A0420A"/>
    <w:rsid w:val="00A048AE"/>
    <w:rsid w:val="00A04A63"/>
    <w:rsid w:val="00A05022"/>
    <w:rsid w:val="00A06221"/>
    <w:rsid w:val="00A06598"/>
    <w:rsid w:val="00A0679E"/>
    <w:rsid w:val="00A073AB"/>
    <w:rsid w:val="00A10403"/>
    <w:rsid w:val="00A10426"/>
    <w:rsid w:val="00A10ABB"/>
    <w:rsid w:val="00A10BE5"/>
    <w:rsid w:val="00A10E1C"/>
    <w:rsid w:val="00A114F4"/>
    <w:rsid w:val="00A12B16"/>
    <w:rsid w:val="00A12F0F"/>
    <w:rsid w:val="00A131A2"/>
    <w:rsid w:val="00A142A0"/>
    <w:rsid w:val="00A147AA"/>
    <w:rsid w:val="00A14F43"/>
    <w:rsid w:val="00A15350"/>
    <w:rsid w:val="00A1537A"/>
    <w:rsid w:val="00A155EB"/>
    <w:rsid w:val="00A15C4F"/>
    <w:rsid w:val="00A15F64"/>
    <w:rsid w:val="00A15FD9"/>
    <w:rsid w:val="00A1622D"/>
    <w:rsid w:val="00A168CD"/>
    <w:rsid w:val="00A16A26"/>
    <w:rsid w:val="00A16C8B"/>
    <w:rsid w:val="00A17B3B"/>
    <w:rsid w:val="00A2089B"/>
    <w:rsid w:val="00A20D28"/>
    <w:rsid w:val="00A21074"/>
    <w:rsid w:val="00A214C9"/>
    <w:rsid w:val="00A21504"/>
    <w:rsid w:val="00A215E2"/>
    <w:rsid w:val="00A220E6"/>
    <w:rsid w:val="00A22395"/>
    <w:rsid w:val="00A224CA"/>
    <w:rsid w:val="00A23517"/>
    <w:rsid w:val="00A23FF4"/>
    <w:rsid w:val="00A2431E"/>
    <w:rsid w:val="00A2475B"/>
    <w:rsid w:val="00A24C73"/>
    <w:rsid w:val="00A25520"/>
    <w:rsid w:val="00A25556"/>
    <w:rsid w:val="00A262D4"/>
    <w:rsid w:val="00A26905"/>
    <w:rsid w:val="00A26D0E"/>
    <w:rsid w:val="00A27197"/>
    <w:rsid w:val="00A27632"/>
    <w:rsid w:val="00A27A9C"/>
    <w:rsid w:val="00A27FB4"/>
    <w:rsid w:val="00A300AE"/>
    <w:rsid w:val="00A30508"/>
    <w:rsid w:val="00A30731"/>
    <w:rsid w:val="00A30E4E"/>
    <w:rsid w:val="00A31024"/>
    <w:rsid w:val="00A3114B"/>
    <w:rsid w:val="00A3172C"/>
    <w:rsid w:val="00A31AC2"/>
    <w:rsid w:val="00A31F5A"/>
    <w:rsid w:val="00A32516"/>
    <w:rsid w:val="00A32566"/>
    <w:rsid w:val="00A32BD1"/>
    <w:rsid w:val="00A33294"/>
    <w:rsid w:val="00A3334E"/>
    <w:rsid w:val="00A337A6"/>
    <w:rsid w:val="00A33D49"/>
    <w:rsid w:val="00A34A98"/>
    <w:rsid w:val="00A35B16"/>
    <w:rsid w:val="00A35B33"/>
    <w:rsid w:val="00A35EF3"/>
    <w:rsid w:val="00A367E8"/>
    <w:rsid w:val="00A36D6C"/>
    <w:rsid w:val="00A37908"/>
    <w:rsid w:val="00A37995"/>
    <w:rsid w:val="00A379E7"/>
    <w:rsid w:val="00A37A85"/>
    <w:rsid w:val="00A41514"/>
    <w:rsid w:val="00A41734"/>
    <w:rsid w:val="00A423A4"/>
    <w:rsid w:val="00A42B83"/>
    <w:rsid w:val="00A433B7"/>
    <w:rsid w:val="00A434F6"/>
    <w:rsid w:val="00A43834"/>
    <w:rsid w:val="00A44C56"/>
    <w:rsid w:val="00A45AA9"/>
    <w:rsid w:val="00A470F5"/>
    <w:rsid w:val="00A47663"/>
    <w:rsid w:val="00A50865"/>
    <w:rsid w:val="00A5090B"/>
    <w:rsid w:val="00A50B63"/>
    <w:rsid w:val="00A50C84"/>
    <w:rsid w:val="00A50E54"/>
    <w:rsid w:val="00A51F55"/>
    <w:rsid w:val="00A523AF"/>
    <w:rsid w:val="00A52FB5"/>
    <w:rsid w:val="00A53082"/>
    <w:rsid w:val="00A53393"/>
    <w:rsid w:val="00A535CF"/>
    <w:rsid w:val="00A535DE"/>
    <w:rsid w:val="00A53912"/>
    <w:rsid w:val="00A53C71"/>
    <w:rsid w:val="00A542F2"/>
    <w:rsid w:val="00A5452F"/>
    <w:rsid w:val="00A55879"/>
    <w:rsid w:val="00A55CDB"/>
    <w:rsid w:val="00A562A5"/>
    <w:rsid w:val="00A56CAB"/>
    <w:rsid w:val="00A571AA"/>
    <w:rsid w:val="00A57619"/>
    <w:rsid w:val="00A57C87"/>
    <w:rsid w:val="00A57D13"/>
    <w:rsid w:val="00A60062"/>
    <w:rsid w:val="00A61B3D"/>
    <w:rsid w:val="00A62732"/>
    <w:rsid w:val="00A63A1B"/>
    <w:rsid w:val="00A64007"/>
    <w:rsid w:val="00A6442F"/>
    <w:rsid w:val="00A64928"/>
    <w:rsid w:val="00A64C26"/>
    <w:rsid w:val="00A65764"/>
    <w:rsid w:val="00A65A96"/>
    <w:rsid w:val="00A665E0"/>
    <w:rsid w:val="00A66BAA"/>
    <w:rsid w:val="00A674CE"/>
    <w:rsid w:val="00A6797D"/>
    <w:rsid w:val="00A679A1"/>
    <w:rsid w:val="00A67C1A"/>
    <w:rsid w:val="00A67DB5"/>
    <w:rsid w:val="00A70FEF"/>
    <w:rsid w:val="00A7124D"/>
    <w:rsid w:val="00A71454"/>
    <w:rsid w:val="00A71524"/>
    <w:rsid w:val="00A717D3"/>
    <w:rsid w:val="00A71B00"/>
    <w:rsid w:val="00A71C42"/>
    <w:rsid w:val="00A71CC5"/>
    <w:rsid w:val="00A728FF"/>
    <w:rsid w:val="00A72A2F"/>
    <w:rsid w:val="00A73BE1"/>
    <w:rsid w:val="00A74634"/>
    <w:rsid w:val="00A75AEA"/>
    <w:rsid w:val="00A75D78"/>
    <w:rsid w:val="00A766CE"/>
    <w:rsid w:val="00A77110"/>
    <w:rsid w:val="00A775CC"/>
    <w:rsid w:val="00A7796B"/>
    <w:rsid w:val="00A77AFC"/>
    <w:rsid w:val="00A77C30"/>
    <w:rsid w:val="00A8129E"/>
    <w:rsid w:val="00A81654"/>
    <w:rsid w:val="00A818CB"/>
    <w:rsid w:val="00A820E1"/>
    <w:rsid w:val="00A821E2"/>
    <w:rsid w:val="00A833DA"/>
    <w:rsid w:val="00A83AF1"/>
    <w:rsid w:val="00A84754"/>
    <w:rsid w:val="00A853FB"/>
    <w:rsid w:val="00A8551A"/>
    <w:rsid w:val="00A85720"/>
    <w:rsid w:val="00A8607B"/>
    <w:rsid w:val="00A86202"/>
    <w:rsid w:val="00A867F9"/>
    <w:rsid w:val="00A871D7"/>
    <w:rsid w:val="00A87252"/>
    <w:rsid w:val="00A8787A"/>
    <w:rsid w:val="00A87A71"/>
    <w:rsid w:val="00A90F2E"/>
    <w:rsid w:val="00A91A45"/>
    <w:rsid w:val="00A92A4D"/>
    <w:rsid w:val="00A93094"/>
    <w:rsid w:val="00A93143"/>
    <w:rsid w:val="00A93D47"/>
    <w:rsid w:val="00A94AB9"/>
    <w:rsid w:val="00A94C88"/>
    <w:rsid w:val="00A9521C"/>
    <w:rsid w:val="00A953F0"/>
    <w:rsid w:val="00A96FCC"/>
    <w:rsid w:val="00A9714D"/>
    <w:rsid w:val="00A97C9F"/>
    <w:rsid w:val="00A97E50"/>
    <w:rsid w:val="00AA11FA"/>
    <w:rsid w:val="00AA2A2C"/>
    <w:rsid w:val="00AA2A40"/>
    <w:rsid w:val="00AA2D02"/>
    <w:rsid w:val="00AA46E0"/>
    <w:rsid w:val="00AA4874"/>
    <w:rsid w:val="00AA5853"/>
    <w:rsid w:val="00AA5E13"/>
    <w:rsid w:val="00AA61F8"/>
    <w:rsid w:val="00AA62D9"/>
    <w:rsid w:val="00AB034B"/>
    <w:rsid w:val="00AB0EBA"/>
    <w:rsid w:val="00AB0F56"/>
    <w:rsid w:val="00AB10F0"/>
    <w:rsid w:val="00AB120E"/>
    <w:rsid w:val="00AB1772"/>
    <w:rsid w:val="00AB1B4B"/>
    <w:rsid w:val="00AB1D21"/>
    <w:rsid w:val="00AB2287"/>
    <w:rsid w:val="00AB2E80"/>
    <w:rsid w:val="00AB2ED6"/>
    <w:rsid w:val="00AB30B9"/>
    <w:rsid w:val="00AB32A4"/>
    <w:rsid w:val="00AB3509"/>
    <w:rsid w:val="00AB3646"/>
    <w:rsid w:val="00AB37CC"/>
    <w:rsid w:val="00AB4A09"/>
    <w:rsid w:val="00AB4A51"/>
    <w:rsid w:val="00AB630F"/>
    <w:rsid w:val="00AB656A"/>
    <w:rsid w:val="00AB715E"/>
    <w:rsid w:val="00AB723A"/>
    <w:rsid w:val="00AB754A"/>
    <w:rsid w:val="00AB7850"/>
    <w:rsid w:val="00AC0092"/>
    <w:rsid w:val="00AC0803"/>
    <w:rsid w:val="00AC1581"/>
    <w:rsid w:val="00AC236B"/>
    <w:rsid w:val="00AC2871"/>
    <w:rsid w:val="00AC2A22"/>
    <w:rsid w:val="00AC2EBE"/>
    <w:rsid w:val="00AC3054"/>
    <w:rsid w:val="00AC3EAB"/>
    <w:rsid w:val="00AC5578"/>
    <w:rsid w:val="00AC58C4"/>
    <w:rsid w:val="00AC5AA2"/>
    <w:rsid w:val="00AC5B04"/>
    <w:rsid w:val="00AC5E65"/>
    <w:rsid w:val="00AC6B2B"/>
    <w:rsid w:val="00AC77C5"/>
    <w:rsid w:val="00AC7895"/>
    <w:rsid w:val="00AC7B75"/>
    <w:rsid w:val="00AC7ECC"/>
    <w:rsid w:val="00AC7FB9"/>
    <w:rsid w:val="00AC7FE4"/>
    <w:rsid w:val="00AD0A17"/>
    <w:rsid w:val="00AD0C79"/>
    <w:rsid w:val="00AD10E1"/>
    <w:rsid w:val="00AD1343"/>
    <w:rsid w:val="00AD20B2"/>
    <w:rsid w:val="00AD2DD7"/>
    <w:rsid w:val="00AD31DA"/>
    <w:rsid w:val="00AD39C0"/>
    <w:rsid w:val="00AD4A68"/>
    <w:rsid w:val="00AD5053"/>
    <w:rsid w:val="00AD6322"/>
    <w:rsid w:val="00AD7009"/>
    <w:rsid w:val="00AE086D"/>
    <w:rsid w:val="00AE0DA3"/>
    <w:rsid w:val="00AE12E8"/>
    <w:rsid w:val="00AE180B"/>
    <w:rsid w:val="00AE1C03"/>
    <w:rsid w:val="00AE1F72"/>
    <w:rsid w:val="00AE27E4"/>
    <w:rsid w:val="00AE324B"/>
    <w:rsid w:val="00AE3809"/>
    <w:rsid w:val="00AE4584"/>
    <w:rsid w:val="00AE495A"/>
    <w:rsid w:val="00AE514F"/>
    <w:rsid w:val="00AE535A"/>
    <w:rsid w:val="00AE5D93"/>
    <w:rsid w:val="00AE6B6B"/>
    <w:rsid w:val="00AE7508"/>
    <w:rsid w:val="00AE7C6C"/>
    <w:rsid w:val="00AF0096"/>
    <w:rsid w:val="00AF0EC1"/>
    <w:rsid w:val="00AF103F"/>
    <w:rsid w:val="00AF1168"/>
    <w:rsid w:val="00AF11F7"/>
    <w:rsid w:val="00AF1A32"/>
    <w:rsid w:val="00AF2093"/>
    <w:rsid w:val="00AF20EC"/>
    <w:rsid w:val="00AF2F45"/>
    <w:rsid w:val="00AF33A9"/>
    <w:rsid w:val="00AF38A9"/>
    <w:rsid w:val="00AF44FD"/>
    <w:rsid w:val="00AF519B"/>
    <w:rsid w:val="00AF53ED"/>
    <w:rsid w:val="00AF551E"/>
    <w:rsid w:val="00AF5A99"/>
    <w:rsid w:val="00AF5B3A"/>
    <w:rsid w:val="00AF5B91"/>
    <w:rsid w:val="00AF6622"/>
    <w:rsid w:val="00AF6EAB"/>
    <w:rsid w:val="00AF7D11"/>
    <w:rsid w:val="00AF7D9F"/>
    <w:rsid w:val="00B0053A"/>
    <w:rsid w:val="00B00CE8"/>
    <w:rsid w:val="00B011C0"/>
    <w:rsid w:val="00B01C84"/>
    <w:rsid w:val="00B02B45"/>
    <w:rsid w:val="00B02C2C"/>
    <w:rsid w:val="00B02E15"/>
    <w:rsid w:val="00B030EA"/>
    <w:rsid w:val="00B047AF"/>
    <w:rsid w:val="00B04B52"/>
    <w:rsid w:val="00B04C78"/>
    <w:rsid w:val="00B05735"/>
    <w:rsid w:val="00B05881"/>
    <w:rsid w:val="00B0676E"/>
    <w:rsid w:val="00B0688D"/>
    <w:rsid w:val="00B07878"/>
    <w:rsid w:val="00B07C9A"/>
    <w:rsid w:val="00B07CE7"/>
    <w:rsid w:val="00B10378"/>
    <w:rsid w:val="00B10FAD"/>
    <w:rsid w:val="00B1133C"/>
    <w:rsid w:val="00B1134D"/>
    <w:rsid w:val="00B11606"/>
    <w:rsid w:val="00B116D8"/>
    <w:rsid w:val="00B1186E"/>
    <w:rsid w:val="00B122BA"/>
    <w:rsid w:val="00B12ECC"/>
    <w:rsid w:val="00B13AC4"/>
    <w:rsid w:val="00B13F15"/>
    <w:rsid w:val="00B13F3C"/>
    <w:rsid w:val="00B14337"/>
    <w:rsid w:val="00B14383"/>
    <w:rsid w:val="00B1469F"/>
    <w:rsid w:val="00B14C4E"/>
    <w:rsid w:val="00B158E3"/>
    <w:rsid w:val="00B15CAE"/>
    <w:rsid w:val="00B15FAB"/>
    <w:rsid w:val="00B17311"/>
    <w:rsid w:val="00B17383"/>
    <w:rsid w:val="00B21101"/>
    <w:rsid w:val="00B215DE"/>
    <w:rsid w:val="00B22318"/>
    <w:rsid w:val="00B2266D"/>
    <w:rsid w:val="00B23289"/>
    <w:rsid w:val="00B236E5"/>
    <w:rsid w:val="00B23A6A"/>
    <w:rsid w:val="00B23FDE"/>
    <w:rsid w:val="00B2430D"/>
    <w:rsid w:val="00B24562"/>
    <w:rsid w:val="00B2459E"/>
    <w:rsid w:val="00B2466F"/>
    <w:rsid w:val="00B24EB3"/>
    <w:rsid w:val="00B24F55"/>
    <w:rsid w:val="00B2521E"/>
    <w:rsid w:val="00B252E6"/>
    <w:rsid w:val="00B25B8C"/>
    <w:rsid w:val="00B25CEC"/>
    <w:rsid w:val="00B25E66"/>
    <w:rsid w:val="00B25FF8"/>
    <w:rsid w:val="00B26421"/>
    <w:rsid w:val="00B26D3C"/>
    <w:rsid w:val="00B26DF3"/>
    <w:rsid w:val="00B27B08"/>
    <w:rsid w:val="00B30058"/>
    <w:rsid w:val="00B30683"/>
    <w:rsid w:val="00B30709"/>
    <w:rsid w:val="00B30D89"/>
    <w:rsid w:val="00B31512"/>
    <w:rsid w:val="00B31C0A"/>
    <w:rsid w:val="00B3327E"/>
    <w:rsid w:val="00B34244"/>
    <w:rsid w:val="00B3510D"/>
    <w:rsid w:val="00B35880"/>
    <w:rsid w:val="00B35E80"/>
    <w:rsid w:val="00B36457"/>
    <w:rsid w:val="00B36B7F"/>
    <w:rsid w:val="00B36F67"/>
    <w:rsid w:val="00B36FD2"/>
    <w:rsid w:val="00B3704E"/>
    <w:rsid w:val="00B371FE"/>
    <w:rsid w:val="00B37903"/>
    <w:rsid w:val="00B37A1E"/>
    <w:rsid w:val="00B37A7D"/>
    <w:rsid w:val="00B37F5A"/>
    <w:rsid w:val="00B4060E"/>
    <w:rsid w:val="00B416B9"/>
    <w:rsid w:val="00B41FD0"/>
    <w:rsid w:val="00B4247C"/>
    <w:rsid w:val="00B424CE"/>
    <w:rsid w:val="00B428CB"/>
    <w:rsid w:val="00B437EA"/>
    <w:rsid w:val="00B43886"/>
    <w:rsid w:val="00B4402F"/>
    <w:rsid w:val="00B44260"/>
    <w:rsid w:val="00B4433C"/>
    <w:rsid w:val="00B446BC"/>
    <w:rsid w:val="00B45CD6"/>
    <w:rsid w:val="00B462E9"/>
    <w:rsid w:val="00B4694D"/>
    <w:rsid w:val="00B46E72"/>
    <w:rsid w:val="00B46EAC"/>
    <w:rsid w:val="00B477D4"/>
    <w:rsid w:val="00B479B0"/>
    <w:rsid w:val="00B47EA6"/>
    <w:rsid w:val="00B50776"/>
    <w:rsid w:val="00B507BD"/>
    <w:rsid w:val="00B507D8"/>
    <w:rsid w:val="00B508C1"/>
    <w:rsid w:val="00B50D1E"/>
    <w:rsid w:val="00B512AC"/>
    <w:rsid w:val="00B51D2D"/>
    <w:rsid w:val="00B51E7F"/>
    <w:rsid w:val="00B52718"/>
    <w:rsid w:val="00B53290"/>
    <w:rsid w:val="00B544A8"/>
    <w:rsid w:val="00B54E16"/>
    <w:rsid w:val="00B55293"/>
    <w:rsid w:val="00B55911"/>
    <w:rsid w:val="00B5647F"/>
    <w:rsid w:val="00B56A9A"/>
    <w:rsid w:val="00B573F2"/>
    <w:rsid w:val="00B60061"/>
    <w:rsid w:val="00B60932"/>
    <w:rsid w:val="00B612DE"/>
    <w:rsid w:val="00B6154C"/>
    <w:rsid w:val="00B6198C"/>
    <w:rsid w:val="00B61B8E"/>
    <w:rsid w:val="00B6361D"/>
    <w:rsid w:val="00B6399C"/>
    <w:rsid w:val="00B63EE7"/>
    <w:rsid w:val="00B6424F"/>
    <w:rsid w:val="00B64C88"/>
    <w:rsid w:val="00B65D21"/>
    <w:rsid w:val="00B6634A"/>
    <w:rsid w:val="00B667EE"/>
    <w:rsid w:val="00B67023"/>
    <w:rsid w:val="00B67316"/>
    <w:rsid w:val="00B6740F"/>
    <w:rsid w:val="00B70596"/>
    <w:rsid w:val="00B713BF"/>
    <w:rsid w:val="00B717D8"/>
    <w:rsid w:val="00B7196A"/>
    <w:rsid w:val="00B72313"/>
    <w:rsid w:val="00B727FF"/>
    <w:rsid w:val="00B733BE"/>
    <w:rsid w:val="00B733CD"/>
    <w:rsid w:val="00B734FF"/>
    <w:rsid w:val="00B73978"/>
    <w:rsid w:val="00B73BDD"/>
    <w:rsid w:val="00B74300"/>
    <w:rsid w:val="00B74A85"/>
    <w:rsid w:val="00B74B18"/>
    <w:rsid w:val="00B74C29"/>
    <w:rsid w:val="00B74F02"/>
    <w:rsid w:val="00B751B5"/>
    <w:rsid w:val="00B77D2D"/>
    <w:rsid w:val="00B77FD8"/>
    <w:rsid w:val="00B8023C"/>
    <w:rsid w:val="00B80464"/>
    <w:rsid w:val="00B8051D"/>
    <w:rsid w:val="00B80B6C"/>
    <w:rsid w:val="00B81785"/>
    <w:rsid w:val="00B81ECF"/>
    <w:rsid w:val="00B82EE0"/>
    <w:rsid w:val="00B83ECD"/>
    <w:rsid w:val="00B84849"/>
    <w:rsid w:val="00B84E4A"/>
    <w:rsid w:val="00B864D3"/>
    <w:rsid w:val="00B8743C"/>
    <w:rsid w:val="00B87675"/>
    <w:rsid w:val="00B87897"/>
    <w:rsid w:val="00B87AE6"/>
    <w:rsid w:val="00B907DB"/>
    <w:rsid w:val="00B910F5"/>
    <w:rsid w:val="00B915C5"/>
    <w:rsid w:val="00B91C4E"/>
    <w:rsid w:val="00B91E63"/>
    <w:rsid w:val="00B92917"/>
    <w:rsid w:val="00B92D9B"/>
    <w:rsid w:val="00B93A9C"/>
    <w:rsid w:val="00B94170"/>
    <w:rsid w:val="00B946D7"/>
    <w:rsid w:val="00B94878"/>
    <w:rsid w:val="00B9559C"/>
    <w:rsid w:val="00B95EF3"/>
    <w:rsid w:val="00B960B9"/>
    <w:rsid w:val="00B9628E"/>
    <w:rsid w:val="00B962C4"/>
    <w:rsid w:val="00BA00DF"/>
    <w:rsid w:val="00BA046D"/>
    <w:rsid w:val="00BA13A2"/>
    <w:rsid w:val="00BA172D"/>
    <w:rsid w:val="00BA1939"/>
    <w:rsid w:val="00BA1A8F"/>
    <w:rsid w:val="00BA1AB1"/>
    <w:rsid w:val="00BA22F5"/>
    <w:rsid w:val="00BA2547"/>
    <w:rsid w:val="00BA2B19"/>
    <w:rsid w:val="00BA3007"/>
    <w:rsid w:val="00BA3129"/>
    <w:rsid w:val="00BA3680"/>
    <w:rsid w:val="00BA382F"/>
    <w:rsid w:val="00BA398B"/>
    <w:rsid w:val="00BA3F60"/>
    <w:rsid w:val="00BA423C"/>
    <w:rsid w:val="00BA52D1"/>
    <w:rsid w:val="00BA5D48"/>
    <w:rsid w:val="00BA61D3"/>
    <w:rsid w:val="00BA6644"/>
    <w:rsid w:val="00BA6C0C"/>
    <w:rsid w:val="00BA7691"/>
    <w:rsid w:val="00BA7ACF"/>
    <w:rsid w:val="00BB01B5"/>
    <w:rsid w:val="00BB0BDE"/>
    <w:rsid w:val="00BB10B0"/>
    <w:rsid w:val="00BB1257"/>
    <w:rsid w:val="00BB190C"/>
    <w:rsid w:val="00BB2C0F"/>
    <w:rsid w:val="00BB304B"/>
    <w:rsid w:val="00BB36AD"/>
    <w:rsid w:val="00BB4C02"/>
    <w:rsid w:val="00BB4CE8"/>
    <w:rsid w:val="00BB4F2F"/>
    <w:rsid w:val="00BB600E"/>
    <w:rsid w:val="00BB7257"/>
    <w:rsid w:val="00BB77E4"/>
    <w:rsid w:val="00BB7A28"/>
    <w:rsid w:val="00BC04D3"/>
    <w:rsid w:val="00BC06DA"/>
    <w:rsid w:val="00BC0B84"/>
    <w:rsid w:val="00BC0D40"/>
    <w:rsid w:val="00BC14F8"/>
    <w:rsid w:val="00BC1CB1"/>
    <w:rsid w:val="00BC21A0"/>
    <w:rsid w:val="00BC259C"/>
    <w:rsid w:val="00BC2CCF"/>
    <w:rsid w:val="00BC2D97"/>
    <w:rsid w:val="00BC34E9"/>
    <w:rsid w:val="00BC369A"/>
    <w:rsid w:val="00BC3BCE"/>
    <w:rsid w:val="00BC3FBC"/>
    <w:rsid w:val="00BC467B"/>
    <w:rsid w:val="00BC528D"/>
    <w:rsid w:val="00BC537C"/>
    <w:rsid w:val="00BC568E"/>
    <w:rsid w:val="00BC57AA"/>
    <w:rsid w:val="00BC583E"/>
    <w:rsid w:val="00BC6404"/>
    <w:rsid w:val="00BC6494"/>
    <w:rsid w:val="00BC6767"/>
    <w:rsid w:val="00BC6AA2"/>
    <w:rsid w:val="00BC6BB5"/>
    <w:rsid w:val="00BC6FFA"/>
    <w:rsid w:val="00BD00B4"/>
    <w:rsid w:val="00BD00BE"/>
    <w:rsid w:val="00BD02ED"/>
    <w:rsid w:val="00BD03B1"/>
    <w:rsid w:val="00BD18A9"/>
    <w:rsid w:val="00BD1EBB"/>
    <w:rsid w:val="00BD21F5"/>
    <w:rsid w:val="00BD3386"/>
    <w:rsid w:val="00BD3610"/>
    <w:rsid w:val="00BD36B4"/>
    <w:rsid w:val="00BD4535"/>
    <w:rsid w:val="00BD4C5B"/>
    <w:rsid w:val="00BD510B"/>
    <w:rsid w:val="00BD768F"/>
    <w:rsid w:val="00BD7926"/>
    <w:rsid w:val="00BE0843"/>
    <w:rsid w:val="00BE1240"/>
    <w:rsid w:val="00BE3089"/>
    <w:rsid w:val="00BE3676"/>
    <w:rsid w:val="00BE3B07"/>
    <w:rsid w:val="00BE3F5E"/>
    <w:rsid w:val="00BE51D8"/>
    <w:rsid w:val="00BE61DD"/>
    <w:rsid w:val="00BE61E7"/>
    <w:rsid w:val="00BE65EA"/>
    <w:rsid w:val="00BE6BAA"/>
    <w:rsid w:val="00BE7022"/>
    <w:rsid w:val="00BE7C0D"/>
    <w:rsid w:val="00BF0F52"/>
    <w:rsid w:val="00BF10EE"/>
    <w:rsid w:val="00BF140D"/>
    <w:rsid w:val="00BF193E"/>
    <w:rsid w:val="00BF1BA0"/>
    <w:rsid w:val="00BF2A71"/>
    <w:rsid w:val="00BF32F8"/>
    <w:rsid w:val="00BF3947"/>
    <w:rsid w:val="00BF4A6F"/>
    <w:rsid w:val="00BF5996"/>
    <w:rsid w:val="00BF5AB0"/>
    <w:rsid w:val="00C00FBA"/>
    <w:rsid w:val="00C01116"/>
    <w:rsid w:val="00C01903"/>
    <w:rsid w:val="00C01DC5"/>
    <w:rsid w:val="00C02BD0"/>
    <w:rsid w:val="00C02ECB"/>
    <w:rsid w:val="00C03488"/>
    <w:rsid w:val="00C039C0"/>
    <w:rsid w:val="00C03B61"/>
    <w:rsid w:val="00C049CA"/>
    <w:rsid w:val="00C04D4E"/>
    <w:rsid w:val="00C04D87"/>
    <w:rsid w:val="00C055EA"/>
    <w:rsid w:val="00C05B5E"/>
    <w:rsid w:val="00C05BD9"/>
    <w:rsid w:val="00C0633F"/>
    <w:rsid w:val="00C06BC2"/>
    <w:rsid w:val="00C10D66"/>
    <w:rsid w:val="00C10FAB"/>
    <w:rsid w:val="00C1118D"/>
    <w:rsid w:val="00C112F1"/>
    <w:rsid w:val="00C119CC"/>
    <w:rsid w:val="00C11A90"/>
    <w:rsid w:val="00C122AF"/>
    <w:rsid w:val="00C126F9"/>
    <w:rsid w:val="00C12F12"/>
    <w:rsid w:val="00C12FA0"/>
    <w:rsid w:val="00C13AE1"/>
    <w:rsid w:val="00C13D7F"/>
    <w:rsid w:val="00C14715"/>
    <w:rsid w:val="00C14955"/>
    <w:rsid w:val="00C14AF4"/>
    <w:rsid w:val="00C14BD2"/>
    <w:rsid w:val="00C1503C"/>
    <w:rsid w:val="00C1516D"/>
    <w:rsid w:val="00C15692"/>
    <w:rsid w:val="00C15B5C"/>
    <w:rsid w:val="00C15F34"/>
    <w:rsid w:val="00C16119"/>
    <w:rsid w:val="00C16C82"/>
    <w:rsid w:val="00C1723F"/>
    <w:rsid w:val="00C1736D"/>
    <w:rsid w:val="00C17E37"/>
    <w:rsid w:val="00C202CC"/>
    <w:rsid w:val="00C20A86"/>
    <w:rsid w:val="00C21104"/>
    <w:rsid w:val="00C2135E"/>
    <w:rsid w:val="00C216C7"/>
    <w:rsid w:val="00C23336"/>
    <w:rsid w:val="00C23E79"/>
    <w:rsid w:val="00C23FAC"/>
    <w:rsid w:val="00C24786"/>
    <w:rsid w:val="00C25F32"/>
    <w:rsid w:val="00C26212"/>
    <w:rsid w:val="00C26334"/>
    <w:rsid w:val="00C267E0"/>
    <w:rsid w:val="00C268D3"/>
    <w:rsid w:val="00C26AF5"/>
    <w:rsid w:val="00C27329"/>
    <w:rsid w:val="00C31824"/>
    <w:rsid w:val="00C31AF6"/>
    <w:rsid w:val="00C31D30"/>
    <w:rsid w:val="00C3340E"/>
    <w:rsid w:val="00C337FA"/>
    <w:rsid w:val="00C33D0C"/>
    <w:rsid w:val="00C34530"/>
    <w:rsid w:val="00C34563"/>
    <w:rsid w:val="00C34FCF"/>
    <w:rsid w:val="00C35405"/>
    <w:rsid w:val="00C363AE"/>
    <w:rsid w:val="00C36C62"/>
    <w:rsid w:val="00C373C6"/>
    <w:rsid w:val="00C37E30"/>
    <w:rsid w:val="00C4018C"/>
    <w:rsid w:val="00C404C3"/>
    <w:rsid w:val="00C4052F"/>
    <w:rsid w:val="00C406F8"/>
    <w:rsid w:val="00C40AEB"/>
    <w:rsid w:val="00C41A04"/>
    <w:rsid w:val="00C41C92"/>
    <w:rsid w:val="00C420B5"/>
    <w:rsid w:val="00C42379"/>
    <w:rsid w:val="00C42EB7"/>
    <w:rsid w:val="00C43730"/>
    <w:rsid w:val="00C43CCA"/>
    <w:rsid w:val="00C4559D"/>
    <w:rsid w:val="00C459A5"/>
    <w:rsid w:val="00C4618C"/>
    <w:rsid w:val="00C463F4"/>
    <w:rsid w:val="00C466EE"/>
    <w:rsid w:val="00C46CA0"/>
    <w:rsid w:val="00C47330"/>
    <w:rsid w:val="00C50078"/>
    <w:rsid w:val="00C50930"/>
    <w:rsid w:val="00C50EFA"/>
    <w:rsid w:val="00C517D3"/>
    <w:rsid w:val="00C51D06"/>
    <w:rsid w:val="00C52B15"/>
    <w:rsid w:val="00C53BCC"/>
    <w:rsid w:val="00C54E42"/>
    <w:rsid w:val="00C55226"/>
    <w:rsid w:val="00C55303"/>
    <w:rsid w:val="00C555C5"/>
    <w:rsid w:val="00C55713"/>
    <w:rsid w:val="00C55D79"/>
    <w:rsid w:val="00C56BF7"/>
    <w:rsid w:val="00C57348"/>
    <w:rsid w:val="00C57DCA"/>
    <w:rsid w:val="00C606DE"/>
    <w:rsid w:val="00C6098D"/>
    <w:rsid w:val="00C60B67"/>
    <w:rsid w:val="00C60BB5"/>
    <w:rsid w:val="00C61702"/>
    <w:rsid w:val="00C6276F"/>
    <w:rsid w:val="00C62A55"/>
    <w:rsid w:val="00C62AF5"/>
    <w:rsid w:val="00C63380"/>
    <w:rsid w:val="00C6446A"/>
    <w:rsid w:val="00C646D0"/>
    <w:rsid w:val="00C64F3D"/>
    <w:rsid w:val="00C65AEC"/>
    <w:rsid w:val="00C65FBD"/>
    <w:rsid w:val="00C66119"/>
    <w:rsid w:val="00C6665E"/>
    <w:rsid w:val="00C66B65"/>
    <w:rsid w:val="00C66CAE"/>
    <w:rsid w:val="00C66FB5"/>
    <w:rsid w:val="00C67E2F"/>
    <w:rsid w:val="00C701EC"/>
    <w:rsid w:val="00C71220"/>
    <w:rsid w:val="00C7213E"/>
    <w:rsid w:val="00C72887"/>
    <w:rsid w:val="00C72BE7"/>
    <w:rsid w:val="00C73D23"/>
    <w:rsid w:val="00C7433B"/>
    <w:rsid w:val="00C7452E"/>
    <w:rsid w:val="00C747B6"/>
    <w:rsid w:val="00C74AF0"/>
    <w:rsid w:val="00C756F3"/>
    <w:rsid w:val="00C758D2"/>
    <w:rsid w:val="00C7608C"/>
    <w:rsid w:val="00C76221"/>
    <w:rsid w:val="00C76813"/>
    <w:rsid w:val="00C76BE9"/>
    <w:rsid w:val="00C77865"/>
    <w:rsid w:val="00C77A37"/>
    <w:rsid w:val="00C77E09"/>
    <w:rsid w:val="00C80558"/>
    <w:rsid w:val="00C80C2E"/>
    <w:rsid w:val="00C811D2"/>
    <w:rsid w:val="00C8196E"/>
    <w:rsid w:val="00C82EF6"/>
    <w:rsid w:val="00C8330B"/>
    <w:rsid w:val="00C83ACC"/>
    <w:rsid w:val="00C84044"/>
    <w:rsid w:val="00C844EB"/>
    <w:rsid w:val="00C848AF"/>
    <w:rsid w:val="00C84BE5"/>
    <w:rsid w:val="00C856A5"/>
    <w:rsid w:val="00C86A79"/>
    <w:rsid w:val="00C87416"/>
    <w:rsid w:val="00C87A87"/>
    <w:rsid w:val="00C87B1C"/>
    <w:rsid w:val="00C90192"/>
    <w:rsid w:val="00C90219"/>
    <w:rsid w:val="00C90505"/>
    <w:rsid w:val="00C90700"/>
    <w:rsid w:val="00C90AD1"/>
    <w:rsid w:val="00C90BA7"/>
    <w:rsid w:val="00C90FE7"/>
    <w:rsid w:val="00C91E02"/>
    <w:rsid w:val="00C920E4"/>
    <w:rsid w:val="00C930F7"/>
    <w:rsid w:val="00C9310B"/>
    <w:rsid w:val="00C9345F"/>
    <w:rsid w:val="00C93AEB"/>
    <w:rsid w:val="00C9404E"/>
    <w:rsid w:val="00C94419"/>
    <w:rsid w:val="00C94A0D"/>
    <w:rsid w:val="00C94A47"/>
    <w:rsid w:val="00C94BC6"/>
    <w:rsid w:val="00C9592E"/>
    <w:rsid w:val="00C95CFF"/>
    <w:rsid w:val="00C966DC"/>
    <w:rsid w:val="00C966ED"/>
    <w:rsid w:val="00CA05A6"/>
    <w:rsid w:val="00CA21F3"/>
    <w:rsid w:val="00CA25EB"/>
    <w:rsid w:val="00CA2BB9"/>
    <w:rsid w:val="00CA2FAA"/>
    <w:rsid w:val="00CA3190"/>
    <w:rsid w:val="00CA36F8"/>
    <w:rsid w:val="00CA3D50"/>
    <w:rsid w:val="00CA47D6"/>
    <w:rsid w:val="00CA535E"/>
    <w:rsid w:val="00CA55F7"/>
    <w:rsid w:val="00CA56D1"/>
    <w:rsid w:val="00CA582D"/>
    <w:rsid w:val="00CA5F23"/>
    <w:rsid w:val="00CA607A"/>
    <w:rsid w:val="00CA60D4"/>
    <w:rsid w:val="00CA6247"/>
    <w:rsid w:val="00CA6273"/>
    <w:rsid w:val="00CA7408"/>
    <w:rsid w:val="00CA77B0"/>
    <w:rsid w:val="00CB0199"/>
    <w:rsid w:val="00CB01EA"/>
    <w:rsid w:val="00CB05E4"/>
    <w:rsid w:val="00CB1813"/>
    <w:rsid w:val="00CB1BDC"/>
    <w:rsid w:val="00CB1D29"/>
    <w:rsid w:val="00CB257F"/>
    <w:rsid w:val="00CB27BF"/>
    <w:rsid w:val="00CB29E7"/>
    <w:rsid w:val="00CB2F5E"/>
    <w:rsid w:val="00CB36B6"/>
    <w:rsid w:val="00CB3B6E"/>
    <w:rsid w:val="00CB3E82"/>
    <w:rsid w:val="00CB42A1"/>
    <w:rsid w:val="00CB4ABB"/>
    <w:rsid w:val="00CB4FCE"/>
    <w:rsid w:val="00CB5CCF"/>
    <w:rsid w:val="00CB6CE3"/>
    <w:rsid w:val="00CB6F48"/>
    <w:rsid w:val="00CB7FF8"/>
    <w:rsid w:val="00CC0ED4"/>
    <w:rsid w:val="00CC16CA"/>
    <w:rsid w:val="00CC21EE"/>
    <w:rsid w:val="00CC2674"/>
    <w:rsid w:val="00CC2C66"/>
    <w:rsid w:val="00CC2DEA"/>
    <w:rsid w:val="00CC3F22"/>
    <w:rsid w:val="00CC47B4"/>
    <w:rsid w:val="00CC52FD"/>
    <w:rsid w:val="00CC55B2"/>
    <w:rsid w:val="00CC5AA6"/>
    <w:rsid w:val="00CC5C86"/>
    <w:rsid w:val="00CC5E9E"/>
    <w:rsid w:val="00CC60F4"/>
    <w:rsid w:val="00CC727E"/>
    <w:rsid w:val="00CC7F39"/>
    <w:rsid w:val="00CD0665"/>
    <w:rsid w:val="00CD1C8B"/>
    <w:rsid w:val="00CD3521"/>
    <w:rsid w:val="00CD36BB"/>
    <w:rsid w:val="00CD37A3"/>
    <w:rsid w:val="00CD39EB"/>
    <w:rsid w:val="00CD3E0D"/>
    <w:rsid w:val="00CD41D0"/>
    <w:rsid w:val="00CD493D"/>
    <w:rsid w:val="00CD4B0D"/>
    <w:rsid w:val="00CD5FE2"/>
    <w:rsid w:val="00CD668B"/>
    <w:rsid w:val="00CD6746"/>
    <w:rsid w:val="00CE03F6"/>
    <w:rsid w:val="00CE0523"/>
    <w:rsid w:val="00CE0B65"/>
    <w:rsid w:val="00CE1B79"/>
    <w:rsid w:val="00CE2209"/>
    <w:rsid w:val="00CE261E"/>
    <w:rsid w:val="00CE2840"/>
    <w:rsid w:val="00CE376E"/>
    <w:rsid w:val="00CE3FF9"/>
    <w:rsid w:val="00CE4D7A"/>
    <w:rsid w:val="00CE518B"/>
    <w:rsid w:val="00CE5F37"/>
    <w:rsid w:val="00CE63BA"/>
    <w:rsid w:val="00CE6478"/>
    <w:rsid w:val="00CE6E41"/>
    <w:rsid w:val="00CE7E04"/>
    <w:rsid w:val="00CF11F5"/>
    <w:rsid w:val="00CF1307"/>
    <w:rsid w:val="00CF135A"/>
    <w:rsid w:val="00CF139A"/>
    <w:rsid w:val="00CF20BF"/>
    <w:rsid w:val="00CF24BC"/>
    <w:rsid w:val="00CF27FC"/>
    <w:rsid w:val="00CF359A"/>
    <w:rsid w:val="00CF3A5B"/>
    <w:rsid w:val="00CF401A"/>
    <w:rsid w:val="00CF42FE"/>
    <w:rsid w:val="00CF499D"/>
    <w:rsid w:val="00CF5300"/>
    <w:rsid w:val="00CF5A49"/>
    <w:rsid w:val="00CF5A68"/>
    <w:rsid w:val="00CF5D65"/>
    <w:rsid w:val="00CF5FD9"/>
    <w:rsid w:val="00CF7BAC"/>
    <w:rsid w:val="00CF7CC7"/>
    <w:rsid w:val="00D00412"/>
    <w:rsid w:val="00D00687"/>
    <w:rsid w:val="00D00F02"/>
    <w:rsid w:val="00D00F52"/>
    <w:rsid w:val="00D01560"/>
    <w:rsid w:val="00D01C34"/>
    <w:rsid w:val="00D01D4E"/>
    <w:rsid w:val="00D0311B"/>
    <w:rsid w:val="00D03458"/>
    <w:rsid w:val="00D03FE4"/>
    <w:rsid w:val="00D0466D"/>
    <w:rsid w:val="00D0469B"/>
    <w:rsid w:val="00D046A4"/>
    <w:rsid w:val="00D04716"/>
    <w:rsid w:val="00D04899"/>
    <w:rsid w:val="00D04A56"/>
    <w:rsid w:val="00D04AE7"/>
    <w:rsid w:val="00D06394"/>
    <w:rsid w:val="00D0690B"/>
    <w:rsid w:val="00D06A9A"/>
    <w:rsid w:val="00D0778A"/>
    <w:rsid w:val="00D07C1A"/>
    <w:rsid w:val="00D10BCF"/>
    <w:rsid w:val="00D10C70"/>
    <w:rsid w:val="00D10D93"/>
    <w:rsid w:val="00D10FB4"/>
    <w:rsid w:val="00D110CC"/>
    <w:rsid w:val="00D13258"/>
    <w:rsid w:val="00D14321"/>
    <w:rsid w:val="00D1432A"/>
    <w:rsid w:val="00D148A0"/>
    <w:rsid w:val="00D14CDA"/>
    <w:rsid w:val="00D15D70"/>
    <w:rsid w:val="00D15E04"/>
    <w:rsid w:val="00D16161"/>
    <w:rsid w:val="00D163F1"/>
    <w:rsid w:val="00D164D7"/>
    <w:rsid w:val="00D17419"/>
    <w:rsid w:val="00D176D7"/>
    <w:rsid w:val="00D17FD8"/>
    <w:rsid w:val="00D20294"/>
    <w:rsid w:val="00D20AFA"/>
    <w:rsid w:val="00D21A03"/>
    <w:rsid w:val="00D224C5"/>
    <w:rsid w:val="00D228C2"/>
    <w:rsid w:val="00D22BF5"/>
    <w:rsid w:val="00D23463"/>
    <w:rsid w:val="00D23591"/>
    <w:rsid w:val="00D241B7"/>
    <w:rsid w:val="00D2490F"/>
    <w:rsid w:val="00D24AB5"/>
    <w:rsid w:val="00D24B9A"/>
    <w:rsid w:val="00D254A9"/>
    <w:rsid w:val="00D26CE8"/>
    <w:rsid w:val="00D30006"/>
    <w:rsid w:val="00D30354"/>
    <w:rsid w:val="00D30FF8"/>
    <w:rsid w:val="00D32403"/>
    <w:rsid w:val="00D32513"/>
    <w:rsid w:val="00D33113"/>
    <w:rsid w:val="00D3336C"/>
    <w:rsid w:val="00D333AB"/>
    <w:rsid w:val="00D3465E"/>
    <w:rsid w:val="00D34BA7"/>
    <w:rsid w:val="00D351E7"/>
    <w:rsid w:val="00D35442"/>
    <w:rsid w:val="00D35979"/>
    <w:rsid w:val="00D36980"/>
    <w:rsid w:val="00D37A80"/>
    <w:rsid w:val="00D40447"/>
    <w:rsid w:val="00D409B9"/>
    <w:rsid w:val="00D40DA3"/>
    <w:rsid w:val="00D41484"/>
    <w:rsid w:val="00D417F8"/>
    <w:rsid w:val="00D42291"/>
    <w:rsid w:val="00D426EA"/>
    <w:rsid w:val="00D42BE1"/>
    <w:rsid w:val="00D42FA8"/>
    <w:rsid w:val="00D43AF0"/>
    <w:rsid w:val="00D45156"/>
    <w:rsid w:val="00D46BD8"/>
    <w:rsid w:val="00D4748C"/>
    <w:rsid w:val="00D47AFE"/>
    <w:rsid w:val="00D50B0A"/>
    <w:rsid w:val="00D512E5"/>
    <w:rsid w:val="00D515E0"/>
    <w:rsid w:val="00D517FD"/>
    <w:rsid w:val="00D5181C"/>
    <w:rsid w:val="00D51831"/>
    <w:rsid w:val="00D51BD0"/>
    <w:rsid w:val="00D52521"/>
    <w:rsid w:val="00D526D1"/>
    <w:rsid w:val="00D52941"/>
    <w:rsid w:val="00D53CA3"/>
    <w:rsid w:val="00D544BD"/>
    <w:rsid w:val="00D54EAB"/>
    <w:rsid w:val="00D555B3"/>
    <w:rsid w:val="00D55632"/>
    <w:rsid w:val="00D55B87"/>
    <w:rsid w:val="00D567E3"/>
    <w:rsid w:val="00D56A7E"/>
    <w:rsid w:val="00D601A3"/>
    <w:rsid w:val="00D60272"/>
    <w:rsid w:val="00D60A06"/>
    <w:rsid w:val="00D62E64"/>
    <w:rsid w:val="00D62F82"/>
    <w:rsid w:val="00D633B7"/>
    <w:rsid w:val="00D635B0"/>
    <w:rsid w:val="00D63AC4"/>
    <w:rsid w:val="00D64691"/>
    <w:rsid w:val="00D65D84"/>
    <w:rsid w:val="00D66057"/>
    <w:rsid w:val="00D670DD"/>
    <w:rsid w:val="00D67212"/>
    <w:rsid w:val="00D67FDD"/>
    <w:rsid w:val="00D7138E"/>
    <w:rsid w:val="00D720D3"/>
    <w:rsid w:val="00D7215A"/>
    <w:rsid w:val="00D7274A"/>
    <w:rsid w:val="00D72BD8"/>
    <w:rsid w:val="00D73418"/>
    <w:rsid w:val="00D7378B"/>
    <w:rsid w:val="00D74CAB"/>
    <w:rsid w:val="00D760D5"/>
    <w:rsid w:val="00D7697F"/>
    <w:rsid w:val="00D76B6F"/>
    <w:rsid w:val="00D77B77"/>
    <w:rsid w:val="00D80B23"/>
    <w:rsid w:val="00D80C5B"/>
    <w:rsid w:val="00D81E55"/>
    <w:rsid w:val="00D82D6D"/>
    <w:rsid w:val="00D834E9"/>
    <w:rsid w:val="00D849D5"/>
    <w:rsid w:val="00D854AE"/>
    <w:rsid w:val="00D87BA5"/>
    <w:rsid w:val="00D90A56"/>
    <w:rsid w:val="00D90B91"/>
    <w:rsid w:val="00D91AF8"/>
    <w:rsid w:val="00D92A85"/>
    <w:rsid w:val="00D92D63"/>
    <w:rsid w:val="00D933BD"/>
    <w:rsid w:val="00D937D1"/>
    <w:rsid w:val="00D93981"/>
    <w:rsid w:val="00D93D75"/>
    <w:rsid w:val="00D93EDE"/>
    <w:rsid w:val="00D94E08"/>
    <w:rsid w:val="00D9576A"/>
    <w:rsid w:val="00D959A2"/>
    <w:rsid w:val="00D95E67"/>
    <w:rsid w:val="00D960B9"/>
    <w:rsid w:val="00D97285"/>
    <w:rsid w:val="00D974B5"/>
    <w:rsid w:val="00D975D9"/>
    <w:rsid w:val="00DA06C1"/>
    <w:rsid w:val="00DA0AEF"/>
    <w:rsid w:val="00DA0C77"/>
    <w:rsid w:val="00DA0E87"/>
    <w:rsid w:val="00DA13D1"/>
    <w:rsid w:val="00DA22AD"/>
    <w:rsid w:val="00DA22D0"/>
    <w:rsid w:val="00DA2329"/>
    <w:rsid w:val="00DA2628"/>
    <w:rsid w:val="00DA2AA3"/>
    <w:rsid w:val="00DA2DE9"/>
    <w:rsid w:val="00DA2FCD"/>
    <w:rsid w:val="00DA3550"/>
    <w:rsid w:val="00DA3666"/>
    <w:rsid w:val="00DA36D6"/>
    <w:rsid w:val="00DA3FBE"/>
    <w:rsid w:val="00DA4C99"/>
    <w:rsid w:val="00DA667B"/>
    <w:rsid w:val="00DA6BEB"/>
    <w:rsid w:val="00DB00FC"/>
    <w:rsid w:val="00DB0233"/>
    <w:rsid w:val="00DB076A"/>
    <w:rsid w:val="00DB07B5"/>
    <w:rsid w:val="00DB10B9"/>
    <w:rsid w:val="00DB1864"/>
    <w:rsid w:val="00DB19CE"/>
    <w:rsid w:val="00DB27C4"/>
    <w:rsid w:val="00DB37EB"/>
    <w:rsid w:val="00DB41F4"/>
    <w:rsid w:val="00DB46A8"/>
    <w:rsid w:val="00DB4BF2"/>
    <w:rsid w:val="00DB4CAA"/>
    <w:rsid w:val="00DB524C"/>
    <w:rsid w:val="00DB557B"/>
    <w:rsid w:val="00DB6252"/>
    <w:rsid w:val="00DB628B"/>
    <w:rsid w:val="00DB7823"/>
    <w:rsid w:val="00DC1A70"/>
    <w:rsid w:val="00DC1E29"/>
    <w:rsid w:val="00DC1EDA"/>
    <w:rsid w:val="00DC22C2"/>
    <w:rsid w:val="00DC2E0F"/>
    <w:rsid w:val="00DC370E"/>
    <w:rsid w:val="00DC37B0"/>
    <w:rsid w:val="00DC39BC"/>
    <w:rsid w:val="00DC3BC0"/>
    <w:rsid w:val="00DC5937"/>
    <w:rsid w:val="00DC5D84"/>
    <w:rsid w:val="00DC7131"/>
    <w:rsid w:val="00DC7A96"/>
    <w:rsid w:val="00DC7F8C"/>
    <w:rsid w:val="00DC7FE5"/>
    <w:rsid w:val="00DD04A8"/>
    <w:rsid w:val="00DD1440"/>
    <w:rsid w:val="00DD14B1"/>
    <w:rsid w:val="00DD1D4B"/>
    <w:rsid w:val="00DD2BFE"/>
    <w:rsid w:val="00DD3879"/>
    <w:rsid w:val="00DD388A"/>
    <w:rsid w:val="00DD3987"/>
    <w:rsid w:val="00DD39BC"/>
    <w:rsid w:val="00DD3DA9"/>
    <w:rsid w:val="00DD4075"/>
    <w:rsid w:val="00DD4A17"/>
    <w:rsid w:val="00DD4CDF"/>
    <w:rsid w:val="00DD58D0"/>
    <w:rsid w:val="00DD593E"/>
    <w:rsid w:val="00DD5D75"/>
    <w:rsid w:val="00DD69EB"/>
    <w:rsid w:val="00DD7B8D"/>
    <w:rsid w:val="00DE0C70"/>
    <w:rsid w:val="00DE0CFF"/>
    <w:rsid w:val="00DE10D9"/>
    <w:rsid w:val="00DE1291"/>
    <w:rsid w:val="00DE3939"/>
    <w:rsid w:val="00DE4552"/>
    <w:rsid w:val="00DE4D7D"/>
    <w:rsid w:val="00DE4F33"/>
    <w:rsid w:val="00DE5954"/>
    <w:rsid w:val="00DE5A5D"/>
    <w:rsid w:val="00DE61C4"/>
    <w:rsid w:val="00DE659F"/>
    <w:rsid w:val="00DE66D0"/>
    <w:rsid w:val="00DE6C92"/>
    <w:rsid w:val="00DF15D3"/>
    <w:rsid w:val="00DF2A8C"/>
    <w:rsid w:val="00DF3746"/>
    <w:rsid w:val="00DF38B0"/>
    <w:rsid w:val="00DF3E0D"/>
    <w:rsid w:val="00DF40A2"/>
    <w:rsid w:val="00DF5A57"/>
    <w:rsid w:val="00DF5BBA"/>
    <w:rsid w:val="00DF6931"/>
    <w:rsid w:val="00DF6AC2"/>
    <w:rsid w:val="00DF6D3E"/>
    <w:rsid w:val="00DF728D"/>
    <w:rsid w:val="00DF7EE7"/>
    <w:rsid w:val="00E00F24"/>
    <w:rsid w:val="00E011BC"/>
    <w:rsid w:val="00E01C9E"/>
    <w:rsid w:val="00E02A58"/>
    <w:rsid w:val="00E033D3"/>
    <w:rsid w:val="00E039B4"/>
    <w:rsid w:val="00E03AC5"/>
    <w:rsid w:val="00E04780"/>
    <w:rsid w:val="00E05BC5"/>
    <w:rsid w:val="00E066CF"/>
    <w:rsid w:val="00E06A8D"/>
    <w:rsid w:val="00E0731A"/>
    <w:rsid w:val="00E07558"/>
    <w:rsid w:val="00E075B1"/>
    <w:rsid w:val="00E10917"/>
    <w:rsid w:val="00E10BAC"/>
    <w:rsid w:val="00E1136A"/>
    <w:rsid w:val="00E11C29"/>
    <w:rsid w:val="00E11E97"/>
    <w:rsid w:val="00E12048"/>
    <w:rsid w:val="00E121FA"/>
    <w:rsid w:val="00E12B47"/>
    <w:rsid w:val="00E12D3F"/>
    <w:rsid w:val="00E12F63"/>
    <w:rsid w:val="00E1313D"/>
    <w:rsid w:val="00E13A35"/>
    <w:rsid w:val="00E13A97"/>
    <w:rsid w:val="00E14181"/>
    <w:rsid w:val="00E14681"/>
    <w:rsid w:val="00E14898"/>
    <w:rsid w:val="00E148B1"/>
    <w:rsid w:val="00E151C2"/>
    <w:rsid w:val="00E15CA3"/>
    <w:rsid w:val="00E16209"/>
    <w:rsid w:val="00E162A5"/>
    <w:rsid w:val="00E162E7"/>
    <w:rsid w:val="00E1649A"/>
    <w:rsid w:val="00E169E2"/>
    <w:rsid w:val="00E1754A"/>
    <w:rsid w:val="00E17686"/>
    <w:rsid w:val="00E209E5"/>
    <w:rsid w:val="00E20E2D"/>
    <w:rsid w:val="00E22D67"/>
    <w:rsid w:val="00E22F71"/>
    <w:rsid w:val="00E23235"/>
    <w:rsid w:val="00E23608"/>
    <w:rsid w:val="00E24A71"/>
    <w:rsid w:val="00E24B30"/>
    <w:rsid w:val="00E2520C"/>
    <w:rsid w:val="00E2585F"/>
    <w:rsid w:val="00E2783B"/>
    <w:rsid w:val="00E27908"/>
    <w:rsid w:val="00E311AC"/>
    <w:rsid w:val="00E319C2"/>
    <w:rsid w:val="00E31F0A"/>
    <w:rsid w:val="00E32170"/>
    <w:rsid w:val="00E32CDB"/>
    <w:rsid w:val="00E337F1"/>
    <w:rsid w:val="00E34CFD"/>
    <w:rsid w:val="00E351CD"/>
    <w:rsid w:val="00E358A8"/>
    <w:rsid w:val="00E35E18"/>
    <w:rsid w:val="00E35EE5"/>
    <w:rsid w:val="00E36457"/>
    <w:rsid w:val="00E36B1B"/>
    <w:rsid w:val="00E370AA"/>
    <w:rsid w:val="00E37345"/>
    <w:rsid w:val="00E37383"/>
    <w:rsid w:val="00E37587"/>
    <w:rsid w:val="00E37721"/>
    <w:rsid w:val="00E37848"/>
    <w:rsid w:val="00E37B7F"/>
    <w:rsid w:val="00E40D74"/>
    <w:rsid w:val="00E410A1"/>
    <w:rsid w:val="00E41143"/>
    <w:rsid w:val="00E411F9"/>
    <w:rsid w:val="00E41525"/>
    <w:rsid w:val="00E41C3D"/>
    <w:rsid w:val="00E42045"/>
    <w:rsid w:val="00E4257D"/>
    <w:rsid w:val="00E42CC0"/>
    <w:rsid w:val="00E42CFB"/>
    <w:rsid w:val="00E42DF9"/>
    <w:rsid w:val="00E42FCD"/>
    <w:rsid w:val="00E43579"/>
    <w:rsid w:val="00E43FBB"/>
    <w:rsid w:val="00E442E1"/>
    <w:rsid w:val="00E445FD"/>
    <w:rsid w:val="00E446D1"/>
    <w:rsid w:val="00E4578D"/>
    <w:rsid w:val="00E4589A"/>
    <w:rsid w:val="00E46918"/>
    <w:rsid w:val="00E4779D"/>
    <w:rsid w:val="00E47B93"/>
    <w:rsid w:val="00E50180"/>
    <w:rsid w:val="00E503B8"/>
    <w:rsid w:val="00E50B74"/>
    <w:rsid w:val="00E5208C"/>
    <w:rsid w:val="00E5258A"/>
    <w:rsid w:val="00E54795"/>
    <w:rsid w:val="00E54A57"/>
    <w:rsid w:val="00E55084"/>
    <w:rsid w:val="00E55783"/>
    <w:rsid w:val="00E5588E"/>
    <w:rsid w:val="00E568BA"/>
    <w:rsid w:val="00E57D15"/>
    <w:rsid w:val="00E60AB6"/>
    <w:rsid w:val="00E61550"/>
    <w:rsid w:val="00E61806"/>
    <w:rsid w:val="00E62EAF"/>
    <w:rsid w:val="00E63AFC"/>
    <w:rsid w:val="00E66240"/>
    <w:rsid w:val="00E6647A"/>
    <w:rsid w:val="00E66F3A"/>
    <w:rsid w:val="00E6711A"/>
    <w:rsid w:val="00E67995"/>
    <w:rsid w:val="00E70CEE"/>
    <w:rsid w:val="00E72089"/>
    <w:rsid w:val="00E723A9"/>
    <w:rsid w:val="00E724D9"/>
    <w:rsid w:val="00E728F4"/>
    <w:rsid w:val="00E736BD"/>
    <w:rsid w:val="00E73CAA"/>
    <w:rsid w:val="00E73DFB"/>
    <w:rsid w:val="00E73F8A"/>
    <w:rsid w:val="00E75FF4"/>
    <w:rsid w:val="00E761DB"/>
    <w:rsid w:val="00E765DD"/>
    <w:rsid w:val="00E76D63"/>
    <w:rsid w:val="00E7722F"/>
    <w:rsid w:val="00E77241"/>
    <w:rsid w:val="00E77A80"/>
    <w:rsid w:val="00E77CF7"/>
    <w:rsid w:val="00E80A9B"/>
    <w:rsid w:val="00E81504"/>
    <w:rsid w:val="00E8410E"/>
    <w:rsid w:val="00E846F7"/>
    <w:rsid w:val="00E8597A"/>
    <w:rsid w:val="00E86015"/>
    <w:rsid w:val="00E866BB"/>
    <w:rsid w:val="00E86AE6"/>
    <w:rsid w:val="00E86FAE"/>
    <w:rsid w:val="00E86FBD"/>
    <w:rsid w:val="00E8771E"/>
    <w:rsid w:val="00E87A09"/>
    <w:rsid w:val="00E87CCB"/>
    <w:rsid w:val="00E87D14"/>
    <w:rsid w:val="00E87FB8"/>
    <w:rsid w:val="00E9158D"/>
    <w:rsid w:val="00E91E55"/>
    <w:rsid w:val="00E926AE"/>
    <w:rsid w:val="00E940EA"/>
    <w:rsid w:val="00E9413B"/>
    <w:rsid w:val="00E94A57"/>
    <w:rsid w:val="00E955F7"/>
    <w:rsid w:val="00E96B8A"/>
    <w:rsid w:val="00E974A6"/>
    <w:rsid w:val="00E97F52"/>
    <w:rsid w:val="00EA014D"/>
    <w:rsid w:val="00EA06C2"/>
    <w:rsid w:val="00EA0A50"/>
    <w:rsid w:val="00EA0B0F"/>
    <w:rsid w:val="00EA0CB1"/>
    <w:rsid w:val="00EA1335"/>
    <w:rsid w:val="00EA1E41"/>
    <w:rsid w:val="00EA1F16"/>
    <w:rsid w:val="00EA2017"/>
    <w:rsid w:val="00EA2052"/>
    <w:rsid w:val="00EA2703"/>
    <w:rsid w:val="00EA2876"/>
    <w:rsid w:val="00EA2F2E"/>
    <w:rsid w:val="00EA2F42"/>
    <w:rsid w:val="00EA3240"/>
    <w:rsid w:val="00EA3250"/>
    <w:rsid w:val="00EA3268"/>
    <w:rsid w:val="00EA3470"/>
    <w:rsid w:val="00EA458C"/>
    <w:rsid w:val="00EA61EC"/>
    <w:rsid w:val="00EA628F"/>
    <w:rsid w:val="00EA6CBE"/>
    <w:rsid w:val="00EB02E4"/>
    <w:rsid w:val="00EB055F"/>
    <w:rsid w:val="00EB11F3"/>
    <w:rsid w:val="00EB13C6"/>
    <w:rsid w:val="00EB144C"/>
    <w:rsid w:val="00EB19C1"/>
    <w:rsid w:val="00EB1A37"/>
    <w:rsid w:val="00EB1ECE"/>
    <w:rsid w:val="00EB21AD"/>
    <w:rsid w:val="00EB2806"/>
    <w:rsid w:val="00EB288B"/>
    <w:rsid w:val="00EB28A4"/>
    <w:rsid w:val="00EB2BAE"/>
    <w:rsid w:val="00EB2C70"/>
    <w:rsid w:val="00EB2EC6"/>
    <w:rsid w:val="00EB30E9"/>
    <w:rsid w:val="00EB368B"/>
    <w:rsid w:val="00EB3C17"/>
    <w:rsid w:val="00EB4CBE"/>
    <w:rsid w:val="00EB4E96"/>
    <w:rsid w:val="00EB5123"/>
    <w:rsid w:val="00EB5336"/>
    <w:rsid w:val="00EB5406"/>
    <w:rsid w:val="00EB60A7"/>
    <w:rsid w:val="00EC0186"/>
    <w:rsid w:val="00EC0459"/>
    <w:rsid w:val="00EC1152"/>
    <w:rsid w:val="00EC123A"/>
    <w:rsid w:val="00EC14A2"/>
    <w:rsid w:val="00EC14D8"/>
    <w:rsid w:val="00EC1853"/>
    <w:rsid w:val="00EC1B19"/>
    <w:rsid w:val="00EC259B"/>
    <w:rsid w:val="00EC26F5"/>
    <w:rsid w:val="00EC3270"/>
    <w:rsid w:val="00EC3623"/>
    <w:rsid w:val="00EC386A"/>
    <w:rsid w:val="00EC60DC"/>
    <w:rsid w:val="00EC6439"/>
    <w:rsid w:val="00EC6A9D"/>
    <w:rsid w:val="00EC6AC7"/>
    <w:rsid w:val="00EC6F4C"/>
    <w:rsid w:val="00EC73CD"/>
    <w:rsid w:val="00EC7769"/>
    <w:rsid w:val="00EC7867"/>
    <w:rsid w:val="00EC7A76"/>
    <w:rsid w:val="00ED06D3"/>
    <w:rsid w:val="00ED08B2"/>
    <w:rsid w:val="00ED098D"/>
    <w:rsid w:val="00ED0CD6"/>
    <w:rsid w:val="00ED15F5"/>
    <w:rsid w:val="00ED1A37"/>
    <w:rsid w:val="00ED1B17"/>
    <w:rsid w:val="00ED1B72"/>
    <w:rsid w:val="00ED2465"/>
    <w:rsid w:val="00ED2C69"/>
    <w:rsid w:val="00ED2E69"/>
    <w:rsid w:val="00ED2F9D"/>
    <w:rsid w:val="00ED323E"/>
    <w:rsid w:val="00ED3B26"/>
    <w:rsid w:val="00ED3B2B"/>
    <w:rsid w:val="00ED411E"/>
    <w:rsid w:val="00ED439F"/>
    <w:rsid w:val="00ED44F2"/>
    <w:rsid w:val="00ED5B51"/>
    <w:rsid w:val="00ED5F94"/>
    <w:rsid w:val="00ED6B16"/>
    <w:rsid w:val="00ED6D26"/>
    <w:rsid w:val="00ED76FB"/>
    <w:rsid w:val="00ED7731"/>
    <w:rsid w:val="00ED7F90"/>
    <w:rsid w:val="00EE07A6"/>
    <w:rsid w:val="00EE0991"/>
    <w:rsid w:val="00EE1010"/>
    <w:rsid w:val="00EE1961"/>
    <w:rsid w:val="00EE1B08"/>
    <w:rsid w:val="00EE2443"/>
    <w:rsid w:val="00EE3548"/>
    <w:rsid w:val="00EE3A80"/>
    <w:rsid w:val="00EE3BAB"/>
    <w:rsid w:val="00EE4414"/>
    <w:rsid w:val="00EE4695"/>
    <w:rsid w:val="00EE536B"/>
    <w:rsid w:val="00EE6643"/>
    <w:rsid w:val="00EE6E3D"/>
    <w:rsid w:val="00EE7F1F"/>
    <w:rsid w:val="00EF0A97"/>
    <w:rsid w:val="00EF142A"/>
    <w:rsid w:val="00EF2217"/>
    <w:rsid w:val="00EF2E8F"/>
    <w:rsid w:val="00EF36B6"/>
    <w:rsid w:val="00EF3AE9"/>
    <w:rsid w:val="00EF481E"/>
    <w:rsid w:val="00EF4911"/>
    <w:rsid w:val="00EF493A"/>
    <w:rsid w:val="00EF6332"/>
    <w:rsid w:val="00EF6886"/>
    <w:rsid w:val="00EF6F70"/>
    <w:rsid w:val="00EF7447"/>
    <w:rsid w:val="00F000E0"/>
    <w:rsid w:val="00F00355"/>
    <w:rsid w:val="00F00782"/>
    <w:rsid w:val="00F008EB"/>
    <w:rsid w:val="00F00996"/>
    <w:rsid w:val="00F02108"/>
    <w:rsid w:val="00F03660"/>
    <w:rsid w:val="00F0367C"/>
    <w:rsid w:val="00F03E2E"/>
    <w:rsid w:val="00F03F7C"/>
    <w:rsid w:val="00F040ED"/>
    <w:rsid w:val="00F042E9"/>
    <w:rsid w:val="00F04A64"/>
    <w:rsid w:val="00F05B9D"/>
    <w:rsid w:val="00F067F0"/>
    <w:rsid w:val="00F071B9"/>
    <w:rsid w:val="00F07517"/>
    <w:rsid w:val="00F10622"/>
    <w:rsid w:val="00F107A2"/>
    <w:rsid w:val="00F1098F"/>
    <w:rsid w:val="00F11A41"/>
    <w:rsid w:val="00F12762"/>
    <w:rsid w:val="00F12B13"/>
    <w:rsid w:val="00F13203"/>
    <w:rsid w:val="00F1459B"/>
    <w:rsid w:val="00F156C8"/>
    <w:rsid w:val="00F16D37"/>
    <w:rsid w:val="00F16ECA"/>
    <w:rsid w:val="00F16F79"/>
    <w:rsid w:val="00F172D0"/>
    <w:rsid w:val="00F172EE"/>
    <w:rsid w:val="00F17551"/>
    <w:rsid w:val="00F175FB"/>
    <w:rsid w:val="00F177DF"/>
    <w:rsid w:val="00F17C5D"/>
    <w:rsid w:val="00F17CE3"/>
    <w:rsid w:val="00F20004"/>
    <w:rsid w:val="00F20A64"/>
    <w:rsid w:val="00F20C38"/>
    <w:rsid w:val="00F20C6D"/>
    <w:rsid w:val="00F21F81"/>
    <w:rsid w:val="00F2338D"/>
    <w:rsid w:val="00F239B5"/>
    <w:rsid w:val="00F24578"/>
    <w:rsid w:val="00F25054"/>
    <w:rsid w:val="00F2581F"/>
    <w:rsid w:val="00F265BA"/>
    <w:rsid w:val="00F26CB6"/>
    <w:rsid w:val="00F26FB9"/>
    <w:rsid w:val="00F3089C"/>
    <w:rsid w:val="00F30B2B"/>
    <w:rsid w:val="00F31265"/>
    <w:rsid w:val="00F31518"/>
    <w:rsid w:val="00F320D5"/>
    <w:rsid w:val="00F32245"/>
    <w:rsid w:val="00F32D02"/>
    <w:rsid w:val="00F33F13"/>
    <w:rsid w:val="00F35DBA"/>
    <w:rsid w:val="00F36909"/>
    <w:rsid w:val="00F36B7E"/>
    <w:rsid w:val="00F3731D"/>
    <w:rsid w:val="00F374DD"/>
    <w:rsid w:val="00F378F8"/>
    <w:rsid w:val="00F40182"/>
    <w:rsid w:val="00F4062D"/>
    <w:rsid w:val="00F4092C"/>
    <w:rsid w:val="00F40BE8"/>
    <w:rsid w:val="00F40C79"/>
    <w:rsid w:val="00F40D2A"/>
    <w:rsid w:val="00F413A0"/>
    <w:rsid w:val="00F41699"/>
    <w:rsid w:val="00F416BA"/>
    <w:rsid w:val="00F41D4E"/>
    <w:rsid w:val="00F42E33"/>
    <w:rsid w:val="00F42FC8"/>
    <w:rsid w:val="00F433E7"/>
    <w:rsid w:val="00F43A7A"/>
    <w:rsid w:val="00F43B71"/>
    <w:rsid w:val="00F43BFA"/>
    <w:rsid w:val="00F440D4"/>
    <w:rsid w:val="00F4438E"/>
    <w:rsid w:val="00F448B5"/>
    <w:rsid w:val="00F44C2A"/>
    <w:rsid w:val="00F44F33"/>
    <w:rsid w:val="00F454AC"/>
    <w:rsid w:val="00F46407"/>
    <w:rsid w:val="00F4642B"/>
    <w:rsid w:val="00F46BA9"/>
    <w:rsid w:val="00F473C8"/>
    <w:rsid w:val="00F503D6"/>
    <w:rsid w:val="00F504B9"/>
    <w:rsid w:val="00F52971"/>
    <w:rsid w:val="00F529E5"/>
    <w:rsid w:val="00F537EC"/>
    <w:rsid w:val="00F5388F"/>
    <w:rsid w:val="00F54086"/>
    <w:rsid w:val="00F5465A"/>
    <w:rsid w:val="00F54B23"/>
    <w:rsid w:val="00F54BE5"/>
    <w:rsid w:val="00F552B8"/>
    <w:rsid w:val="00F55B6F"/>
    <w:rsid w:val="00F5765A"/>
    <w:rsid w:val="00F578D6"/>
    <w:rsid w:val="00F57CB0"/>
    <w:rsid w:val="00F57D66"/>
    <w:rsid w:val="00F57E24"/>
    <w:rsid w:val="00F60BF6"/>
    <w:rsid w:val="00F60ECE"/>
    <w:rsid w:val="00F62F9C"/>
    <w:rsid w:val="00F6327F"/>
    <w:rsid w:val="00F637A8"/>
    <w:rsid w:val="00F639EC"/>
    <w:rsid w:val="00F6475D"/>
    <w:rsid w:val="00F6494F"/>
    <w:rsid w:val="00F64E51"/>
    <w:rsid w:val="00F64EE2"/>
    <w:rsid w:val="00F653D1"/>
    <w:rsid w:val="00F65965"/>
    <w:rsid w:val="00F66255"/>
    <w:rsid w:val="00F666B0"/>
    <w:rsid w:val="00F6693F"/>
    <w:rsid w:val="00F67197"/>
    <w:rsid w:val="00F674A8"/>
    <w:rsid w:val="00F70007"/>
    <w:rsid w:val="00F703E0"/>
    <w:rsid w:val="00F729E0"/>
    <w:rsid w:val="00F729F5"/>
    <w:rsid w:val="00F72F33"/>
    <w:rsid w:val="00F731FE"/>
    <w:rsid w:val="00F7364E"/>
    <w:rsid w:val="00F7370E"/>
    <w:rsid w:val="00F73AC8"/>
    <w:rsid w:val="00F748CB"/>
    <w:rsid w:val="00F75057"/>
    <w:rsid w:val="00F75898"/>
    <w:rsid w:val="00F75FB8"/>
    <w:rsid w:val="00F763D2"/>
    <w:rsid w:val="00F76D1F"/>
    <w:rsid w:val="00F76D25"/>
    <w:rsid w:val="00F779F5"/>
    <w:rsid w:val="00F77BB8"/>
    <w:rsid w:val="00F77E5B"/>
    <w:rsid w:val="00F80209"/>
    <w:rsid w:val="00F80DF2"/>
    <w:rsid w:val="00F814D5"/>
    <w:rsid w:val="00F82217"/>
    <w:rsid w:val="00F824DE"/>
    <w:rsid w:val="00F82553"/>
    <w:rsid w:val="00F825BA"/>
    <w:rsid w:val="00F8279D"/>
    <w:rsid w:val="00F8283B"/>
    <w:rsid w:val="00F82FBC"/>
    <w:rsid w:val="00F8357A"/>
    <w:rsid w:val="00F8388F"/>
    <w:rsid w:val="00F83FF4"/>
    <w:rsid w:val="00F84DC1"/>
    <w:rsid w:val="00F84E97"/>
    <w:rsid w:val="00F85F96"/>
    <w:rsid w:val="00F86A83"/>
    <w:rsid w:val="00F86BE1"/>
    <w:rsid w:val="00F8704F"/>
    <w:rsid w:val="00F9044B"/>
    <w:rsid w:val="00F905B6"/>
    <w:rsid w:val="00F9078F"/>
    <w:rsid w:val="00F9085A"/>
    <w:rsid w:val="00F9096B"/>
    <w:rsid w:val="00F90A9D"/>
    <w:rsid w:val="00F90BEF"/>
    <w:rsid w:val="00F913C7"/>
    <w:rsid w:val="00F92AC5"/>
    <w:rsid w:val="00F92C75"/>
    <w:rsid w:val="00F937CA"/>
    <w:rsid w:val="00F94BB4"/>
    <w:rsid w:val="00F94EB8"/>
    <w:rsid w:val="00F953E6"/>
    <w:rsid w:val="00F95C4C"/>
    <w:rsid w:val="00F95D00"/>
    <w:rsid w:val="00F95EF3"/>
    <w:rsid w:val="00F963A2"/>
    <w:rsid w:val="00F96536"/>
    <w:rsid w:val="00F97CA9"/>
    <w:rsid w:val="00FA0041"/>
    <w:rsid w:val="00FA0D47"/>
    <w:rsid w:val="00FA1FD3"/>
    <w:rsid w:val="00FA2FE4"/>
    <w:rsid w:val="00FA30A2"/>
    <w:rsid w:val="00FA346F"/>
    <w:rsid w:val="00FA4181"/>
    <w:rsid w:val="00FA4489"/>
    <w:rsid w:val="00FA5228"/>
    <w:rsid w:val="00FA5A2D"/>
    <w:rsid w:val="00FA5EA7"/>
    <w:rsid w:val="00FA611D"/>
    <w:rsid w:val="00FA7445"/>
    <w:rsid w:val="00FB07A5"/>
    <w:rsid w:val="00FB0E86"/>
    <w:rsid w:val="00FB1315"/>
    <w:rsid w:val="00FB1EEB"/>
    <w:rsid w:val="00FB2646"/>
    <w:rsid w:val="00FB2B4A"/>
    <w:rsid w:val="00FB2C75"/>
    <w:rsid w:val="00FB31E3"/>
    <w:rsid w:val="00FB348F"/>
    <w:rsid w:val="00FB4117"/>
    <w:rsid w:val="00FB41E1"/>
    <w:rsid w:val="00FB5B29"/>
    <w:rsid w:val="00FB5D5B"/>
    <w:rsid w:val="00FB6755"/>
    <w:rsid w:val="00FB67BF"/>
    <w:rsid w:val="00FB6F2F"/>
    <w:rsid w:val="00FB7738"/>
    <w:rsid w:val="00FB7C46"/>
    <w:rsid w:val="00FB7CBE"/>
    <w:rsid w:val="00FB7D5B"/>
    <w:rsid w:val="00FC0301"/>
    <w:rsid w:val="00FC1684"/>
    <w:rsid w:val="00FC1884"/>
    <w:rsid w:val="00FC21BF"/>
    <w:rsid w:val="00FC246F"/>
    <w:rsid w:val="00FC249D"/>
    <w:rsid w:val="00FC2552"/>
    <w:rsid w:val="00FC2AE9"/>
    <w:rsid w:val="00FC319B"/>
    <w:rsid w:val="00FC3487"/>
    <w:rsid w:val="00FC34E8"/>
    <w:rsid w:val="00FC38DB"/>
    <w:rsid w:val="00FC3E6A"/>
    <w:rsid w:val="00FC478E"/>
    <w:rsid w:val="00FC4BFD"/>
    <w:rsid w:val="00FC4D86"/>
    <w:rsid w:val="00FC4EA1"/>
    <w:rsid w:val="00FC54BC"/>
    <w:rsid w:val="00FC5FDB"/>
    <w:rsid w:val="00FC634E"/>
    <w:rsid w:val="00FC6C81"/>
    <w:rsid w:val="00FC6D83"/>
    <w:rsid w:val="00FC7BC0"/>
    <w:rsid w:val="00FD0F4B"/>
    <w:rsid w:val="00FD1AF3"/>
    <w:rsid w:val="00FD22C9"/>
    <w:rsid w:val="00FD2EF5"/>
    <w:rsid w:val="00FD4701"/>
    <w:rsid w:val="00FD57B3"/>
    <w:rsid w:val="00FD5809"/>
    <w:rsid w:val="00FD5B3D"/>
    <w:rsid w:val="00FD5E2A"/>
    <w:rsid w:val="00FD5E7F"/>
    <w:rsid w:val="00FD632D"/>
    <w:rsid w:val="00FD6BAE"/>
    <w:rsid w:val="00FD6E66"/>
    <w:rsid w:val="00FD70AE"/>
    <w:rsid w:val="00FD7463"/>
    <w:rsid w:val="00FD7C93"/>
    <w:rsid w:val="00FE04E4"/>
    <w:rsid w:val="00FE0A01"/>
    <w:rsid w:val="00FE0A9B"/>
    <w:rsid w:val="00FE104A"/>
    <w:rsid w:val="00FE13C7"/>
    <w:rsid w:val="00FE16D8"/>
    <w:rsid w:val="00FE17DC"/>
    <w:rsid w:val="00FE1E02"/>
    <w:rsid w:val="00FE1F77"/>
    <w:rsid w:val="00FE1F9C"/>
    <w:rsid w:val="00FE1FF4"/>
    <w:rsid w:val="00FE2D89"/>
    <w:rsid w:val="00FE3DDD"/>
    <w:rsid w:val="00FE468F"/>
    <w:rsid w:val="00FE4795"/>
    <w:rsid w:val="00FE5C1D"/>
    <w:rsid w:val="00FE5E12"/>
    <w:rsid w:val="00FE6184"/>
    <w:rsid w:val="00FE6854"/>
    <w:rsid w:val="00FF020C"/>
    <w:rsid w:val="00FF1184"/>
    <w:rsid w:val="00FF119E"/>
    <w:rsid w:val="00FF1717"/>
    <w:rsid w:val="00FF1845"/>
    <w:rsid w:val="00FF1A79"/>
    <w:rsid w:val="00FF1B2B"/>
    <w:rsid w:val="00FF2E96"/>
    <w:rsid w:val="00FF310A"/>
    <w:rsid w:val="00FF332D"/>
    <w:rsid w:val="00FF38C9"/>
    <w:rsid w:val="00FF39EA"/>
    <w:rsid w:val="00FF4019"/>
    <w:rsid w:val="00FF4550"/>
    <w:rsid w:val="00FF58AB"/>
    <w:rsid w:val="00FF58BA"/>
    <w:rsid w:val="00FF61C3"/>
    <w:rsid w:val="00FF624E"/>
    <w:rsid w:val="00FF6839"/>
    <w:rsid w:val="00FF6EE2"/>
    <w:rsid w:val="00FF6FCC"/>
    <w:rsid w:val="00FF7003"/>
    <w:rsid w:val="00FF70CE"/>
    <w:rsid w:val="00FF762D"/>
    <w:rsid w:val="00FF7891"/>
    <w:rsid w:val="00FF7A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A657D"/>
    <w:rPr>
      <w:rFonts w:ascii="Times" w:eastAsia="Times" w:hAnsi="Times"/>
      <w:sz w:val="24"/>
      <w:lang w:val="es-ES_tradnl" w:eastAsia="en-US"/>
    </w:rPr>
  </w:style>
  <w:style w:type="paragraph" w:styleId="Ttulo1">
    <w:name w:val="heading 1"/>
    <w:basedOn w:val="Listamedia2-nfasis4"/>
    <w:next w:val="Normal"/>
    <w:link w:val="Ttulo1Car"/>
    <w:uiPriority w:val="9"/>
    <w:qFormat/>
    <w:rsid w:val="001A0FA6"/>
    <w:pPr>
      <w:numPr>
        <w:numId w:val="2"/>
      </w:numPr>
      <w:jc w:val="both"/>
      <w:outlineLvl w:val="0"/>
    </w:pPr>
    <w:rPr>
      <w:rFonts w:ascii="Verdana" w:hAnsi="Verdana"/>
      <w:b/>
      <w:spacing w:val="-2"/>
      <w:sz w:val="20"/>
      <w:lang w:val="x-none" w:eastAsia="en-US"/>
    </w:rPr>
  </w:style>
  <w:style w:type="paragraph" w:styleId="Ttulo2">
    <w:name w:val="heading 2"/>
    <w:basedOn w:val="Normal"/>
    <w:next w:val="Normal"/>
    <w:link w:val="Ttulo2Car"/>
    <w:uiPriority w:val="9"/>
    <w:qFormat/>
    <w:rsid w:val="00FB41E1"/>
    <w:pPr>
      <w:numPr>
        <w:numId w:val="4"/>
      </w:numPr>
      <w:tabs>
        <w:tab w:val="left" w:pos="567"/>
        <w:tab w:val="left" w:pos="1418"/>
        <w:tab w:val="left" w:pos="1843"/>
        <w:tab w:val="left" w:pos="2127"/>
      </w:tabs>
      <w:jc w:val="both"/>
      <w:outlineLvl w:val="1"/>
    </w:pPr>
    <w:rPr>
      <w:rFonts w:ascii="Verdana" w:hAnsi="Verdana"/>
      <w:i/>
      <w:sz w:val="20"/>
    </w:rPr>
  </w:style>
  <w:style w:type="paragraph" w:styleId="Ttulo5">
    <w:name w:val="heading 5"/>
    <w:basedOn w:val="Normal"/>
    <w:next w:val="Normal"/>
    <w:link w:val="Ttulo5Car"/>
    <w:uiPriority w:val="9"/>
    <w:qFormat/>
    <w:rsid w:val="00AB3509"/>
    <w:pPr>
      <w:keepNext/>
      <w:keepLines/>
      <w:spacing w:before="200"/>
      <w:outlineLvl w:val="4"/>
    </w:pPr>
    <w:rPr>
      <w:rFonts w:ascii="Cambria" w:eastAsia="Times New Roman" w:hAnsi="Cambria"/>
      <w:color w:val="243F60"/>
      <w:lang w:eastAsia="x-none"/>
    </w:rPr>
  </w:style>
  <w:style w:type="paragraph" w:styleId="Ttulo6">
    <w:name w:val="heading 6"/>
    <w:basedOn w:val="Ttulo5"/>
    <w:next w:val="Normal"/>
    <w:link w:val="Ttulo6Car"/>
    <w:uiPriority w:val="9"/>
    <w:qFormat/>
    <w:rsid w:val="00AB3509"/>
    <w:pPr>
      <w:keepNext w:val="0"/>
      <w:keepLines w:val="0"/>
      <w:tabs>
        <w:tab w:val="num" w:pos="3600"/>
      </w:tabs>
      <w:spacing w:before="0"/>
      <w:ind w:left="3600" w:hanging="360"/>
      <w:jc w:val="both"/>
      <w:outlineLvl w:val="5"/>
    </w:pPr>
    <w:rPr>
      <w:rFonts w:ascii="Verdana" w:hAnsi="Verdana"/>
      <w:color w:val="auto"/>
      <w:spacing w:val="-2"/>
      <w:sz w:val="20"/>
      <w:lang w:eastAsia="es-C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1"/>
    <w:qFormat/>
    <w:rsid w:val="001A657D"/>
    <w:pPr>
      <w:jc w:val="both"/>
    </w:pPr>
    <w:rPr>
      <w:rFonts w:ascii="Verdana" w:hAnsi="Verdana"/>
      <w:sz w:val="16"/>
      <w:lang w:val="en-US" w:eastAsia="x-none"/>
    </w:rPr>
  </w:style>
  <w:style w:type="character" w:customStyle="1" w:styleId="TextonotapieCar">
    <w:name w:val="Texto nota pie Car"/>
    <w:aliases w:val="FA Fu?notente Car,Ca Car,C Car"/>
    <w:rsid w:val="001A657D"/>
    <w:rPr>
      <w:rFonts w:ascii="Times" w:eastAsia="Times" w:hAnsi="Times" w:cs="Times New Roman"/>
      <w:sz w:val="20"/>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link w:val="Textonotapie"/>
    <w:rsid w:val="001A657D"/>
    <w:rPr>
      <w:rFonts w:ascii="Verdana" w:eastAsia="Times" w:hAnsi="Verdana" w:cs="Times New Roman"/>
      <w:sz w:val="16"/>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1A657D"/>
    <w:rPr>
      <w:vertAlign w:val="superscript"/>
    </w:rPr>
  </w:style>
  <w:style w:type="paragraph" w:styleId="Listamedia2-nfasis4">
    <w:name w:val="Medium List 2 Accent 4"/>
    <w:aliases w:val="Footnote,Párrafo de lista1"/>
    <w:basedOn w:val="Normal"/>
    <w:link w:val="Listamedia2-nfasis4Car"/>
    <w:uiPriority w:val="34"/>
    <w:qFormat/>
    <w:rsid w:val="001A657D"/>
    <w:pPr>
      <w:ind w:left="720"/>
      <w:contextualSpacing/>
    </w:pPr>
    <w:rPr>
      <w:lang w:eastAsia="x-none"/>
    </w:rPr>
  </w:style>
  <w:style w:type="paragraph" w:styleId="Textonotaalfinal">
    <w:name w:val="endnote text"/>
    <w:basedOn w:val="Normal"/>
    <w:link w:val="TextonotaalfinalCar"/>
    <w:uiPriority w:val="99"/>
    <w:semiHidden/>
    <w:unhideWhenUsed/>
    <w:rsid w:val="004F1739"/>
    <w:rPr>
      <w:sz w:val="20"/>
      <w:lang w:eastAsia="x-none"/>
    </w:rPr>
  </w:style>
  <w:style w:type="character" w:customStyle="1" w:styleId="TextonotaalfinalCar">
    <w:name w:val="Texto nota al final Car"/>
    <w:link w:val="Textonotaalfinal"/>
    <w:uiPriority w:val="99"/>
    <w:semiHidden/>
    <w:rsid w:val="004F1739"/>
    <w:rPr>
      <w:rFonts w:ascii="Times" w:eastAsia="Times" w:hAnsi="Times" w:cs="Times New Roman"/>
      <w:sz w:val="20"/>
      <w:szCs w:val="20"/>
      <w:lang w:val="es-ES_tradnl"/>
    </w:rPr>
  </w:style>
  <w:style w:type="character" w:styleId="Refdenotaalfinal">
    <w:name w:val="endnote reference"/>
    <w:uiPriority w:val="99"/>
    <w:semiHidden/>
    <w:unhideWhenUsed/>
    <w:rsid w:val="004F1739"/>
    <w:rPr>
      <w:vertAlign w:val="superscript"/>
    </w:rPr>
  </w:style>
  <w:style w:type="character" w:customStyle="1" w:styleId="MediumGrid11">
    <w:name w:val="Medium Grid 11"/>
    <w:uiPriority w:val="99"/>
    <w:semiHidden/>
    <w:rsid w:val="00955C1C"/>
    <w:rPr>
      <w:color w:val="808080"/>
    </w:rPr>
  </w:style>
  <w:style w:type="paragraph" w:styleId="Textodeglobo">
    <w:name w:val="Balloon Text"/>
    <w:basedOn w:val="Normal"/>
    <w:link w:val="TextodegloboCar"/>
    <w:uiPriority w:val="99"/>
    <w:semiHidden/>
    <w:unhideWhenUsed/>
    <w:rsid w:val="00955C1C"/>
    <w:rPr>
      <w:rFonts w:ascii="Tahoma" w:hAnsi="Tahoma"/>
      <w:sz w:val="16"/>
      <w:szCs w:val="16"/>
      <w:lang w:eastAsia="x-none"/>
    </w:rPr>
  </w:style>
  <w:style w:type="character" w:customStyle="1" w:styleId="TextodegloboCar">
    <w:name w:val="Texto de globo Car"/>
    <w:link w:val="Textodeglobo"/>
    <w:uiPriority w:val="99"/>
    <w:semiHidden/>
    <w:rsid w:val="00955C1C"/>
    <w:rPr>
      <w:rFonts w:ascii="Tahoma" w:eastAsia="Times" w:hAnsi="Tahoma" w:cs="Tahoma"/>
      <w:sz w:val="16"/>
      <w:szCs w:val="16"/>
      <w:lang w:val="es-ES_tradnl"/>
    </w:rPr>
  </w:style>
  <w:style w:type="paragraph" w:styleId="Textoindependiente2">
    <w:name w:val="Body Text 2"/>
    <w:basedOn w:val="Normal"/>
    <w:link w:val="Textoindependiente2Car"/>
    <w:rsid w:val="000F5D76"/>
    <w:pPr>
      <w:jc w:val="both"/>
    </w:pPr>
    <w:rPr>
      <w:rFonts w:ascii="Verdana" w:hAnsi="Verdana"/>
      <w:sz w:val="20"/>
      <w:lang w:eastAsia="x-none"/>
    </w:rPr>
  </w:style>
  <w:style w:type="character" w:customStyle="1" w:styleId="Textoindependiente2Car">
    <w:name w:val="Texto independiente 2 Car"/>
    <w:link w:val="Textoindependiente2"/>
    <w:rsid w:val="000F5D76"/>
    <w:rPr>
      <w:rFonts w:ascii="Verdana" w:eastAsia="Times" w:hAnsi="Verdana" w:cs="Times New Roman"/>
      <w:sz w:val="20"/>
      <w:szCs w:val="20"/>
      <w:lang w:val="es-ES_tradnl"/>
    </w:rPr>
  </w:style>
  <w:style w:type="character" w:styleId="Hipervnculo">
    <w:name w:val="Hyperlink"/>
    <w:uiPriority w:val="99"/>
    <w:unhideWhenUsed/>
    <w:rsid w:val="0079114A"/>
    <w:rPr>
      <w:color w:val="0000FF"/>
      <w:u w:val="single"/>
    </w:rPr>
  </w:style>
  <w:style w:type="paragraph" w:styleId="NormalWeb">
    <w:name w:val="Normal (Web)"/>
    <w:basedOn w:val="Normal"/>
    <w:uiPriority w:val="99"/>
    <w:semiHidden/>
    <w:unhideWhenUsed/>
    <w:rsid w:val="00F12B13"/>
    <w:pPr>
      <w:spacing w:before="100" w:beforeAutospacing="1" w:after="100" w:afterAutospacing="1"/>
    </w:pPr>
    <w:rPr>
      <w:rFonts w:ascii="Times New Roman" w:eastAsia="Times New Roman" w:hAnsi="Times New Roman"/>
      <w:szCs w:val="24"/>
      <w:lang w:val="es-CR" w:eastAsia="es-CR"/>
    </w:rPr>
  </w:style>
  <w:style w:type="character" w:customStyle="1" w:styleId="apple-converted-space">
    <w:name w:val="apple-converted-space"/>
    <w:basedOn w:val="Fuentedeprrafopredeter"/>
    <w:rsid w:val="00F12B13"/>
  </w:style>
  <w:style w:type="paragraph" w:styleId="Encabezado">
    <w:name w:val="header"/>
    <w:basedOn w:val="Normal"/>
    <w:link w:val="EncabezadoCar"/>
    <w:uiPriority w:val="99"/>
    <w:unhideWhenUsed/>
    <w:rsid w:val="00A65A96"/>
    <w:pPr>
      <w:tabs>
        <w:tab w:val="center" w:pos="4419"/>
        <w:tab w:val="right" w:pos="8838"/>
      </w:tabs>
    </w:pPr>
    <w:rPr>
      <w:lang w:eastAsia="x-none"/>
    </w:rPr>
  </w:style>
  <w:style w:type="character" w:customStyle="1" w:styleId="EncabezadoCar">
    <w:name w:val="Encabezado Car"/>
    <w:link w:val="Encabezado"/>
    <w:uiPriority w:val="99"/>
    <w:rsid w:val="00A65A96"/>
    <w:rPr>
      <w:rFonts w:ascii="Times" w:eastAsia="Times" w:hAnsi="Times" w:cs="Times New Roman"/>
      <w:sz w:val="24"/>
      <w:szCs w:val="20"/>
      <w:lang w:val="es-ES_tradnl"/>
    </w:rPr>
  </w:style>
  <w:style w:type="paragraph" w:styleId="Piedepgina">
    <w:name w:val="footer"/>
    <w:basedOn w:val="Normal"/>
    <w:link w:val="PiedepginaCar"/>
    <w:uiPriority w:val="99"/>
    <w:unhideWhenUsed/>
    <w:rsid w:val="00A65A96"/>
    <w:pPr>
      <w:tabs>
        <w:tab w:val="center" w:pos="4419"/>
        <w:tab w:val="right" w:pos="8838"/>
      </w:tabs>
    </w:pPr>
    <w:rPr>
      <w:lang w:eastAsia="x-none"/>
    </w:rPr>
  </w:style>
  <w:style w:type="character" w:customStyle="1" w:styleId="PiedepginaCar">
    <w:name w:val="Pie de página Car"/>
    <w:link w:val="Piedepgina"/>
    <w:uiPriority w:val="99"/>
    <w:rsid w:val="00A65A96"/>
    <w:rPr>
      <w:rFonts w:ascii="Times" w:eastAsia="Times" w:hAnsi="Times" w:cs="Times New Roman"/>
      <w:sz w:val="24"/>
      <w:szCs w:val="20"/>
      <w:lang w:val="es-ES_tradnl"/>
    </w:rPr>
  </w:style>
  <w:style w:type="paragraph" w:customStyle="1" w:styleId="Prrafodelista2">
    <w:name w:val="Párrafo de lista2"/>
    <w:basedOn w:val="Normal"/>
    <w:uiPriority w:val="99"/>
    <w:rsid w:val="00092315"/>
    <w:pPr>
      <w:ind w:left="720"/>
    </w:pPr>
    <w:rPr>
      <w:rFonts w:ascii="Verdana" w:eastAsia="MS Mincho" w:hAnsi="Verdana" w:cs="Verdana"/>
      <w:sz w:val="20"/>
    </w:rPr>
  </w:style>
  <w:style w:type="character" w:customStyle="1" w:styleId="Ttulo6Car">
    <w:name w:val="Título 6 Car"/>
    <w:link w:val="Ttulo6"/>
    <w:uiPriority w:val="9"/>
    <w:rsid w:val="00AB3509"/>
    <w:rPr>
      <w:rFonts w:ascii="Verdana" w:eastAsia="Times New Roman" w:hAnsi="Verdana" w:cs="Times New Roman"/>
      <w:spacing w:val="-2"/>
      <w:sz w:val="20"/>
      <w:szCs w:val="20"/>
      <w:lang w:val="es-ES_tradnl" w:eastAsia="es-CR"/>
    </w:rPr>
  </w:style>
  <w:style w:type="character" w:customStyle="1" w:styleId="Ttulo5Car">
    <w:name w:val="Título 5 Car"/>
    <w:link w:val="Ttulo5"/>
    <w:uiPriority w:val="9"/>
    <w:semiHidden/>
    <w:rsid w:val="00AB3509"/>
    <w:rPr>
      <w:rFonts w:ascii="Cambria" w:eastAsia="Times New Roman" w:hAnsi="Cambria" w:cs="Times New Roman"/>
      <w:color w:val="243F60"/>
      <w:sz w:val="24"/>
      <w:szCs w:val="20"/>
      <w:lang w:val="es-ES_tradnl"/>
    </w:rPr>
  </w:style>
  <w:style w:type="paragraph" w:styleId="Textoindependiente">
    <w:name w:val="Body Text"/>
    <w:basedOn w:val="Normal"/>
    <w:link w:val="TextoindependienteCar"/>
    <w:uiPriority w:val="99"/>
    <w:semiHidden/>
    <w:unhideWhenUsed/>
    <w:rsid w:val="00C01116"/>
    <w:pPr>
      <w:spacing w:after="120"/>
    </w:pPr>
    <w:rPr>
      <w:lang w:eastAsia="x-none"/>
    </w:rPr>
  </w:style>
  <w:style w:type="character" w:customStyle="1" w:styleId="TextoindependienteCar">
    <w:name w:val="Texto independiente Car"/>
    <w:link w:val="Textoindependiente"/>
    <w:uiPriority w:val="99"/>
    <w:semiHidden/>
    <w:rsid w:val="00C01116"/>
    <w:rPr>
      <w:rFonts w:ascii="Times" w:eastAsia="Times" w:hAnsi="Times" w:cs="Times New Roman"/>
      <w:sz w:val="24"/>
      <w:szCs w:val="20"/>
      <w:lang w:val="es-ES_tradnl"/>
    </w:rPr>
  </w:style>
  <w:style w:type="paragraph" w:customStyle="1" w:styleId="Default">
    <w:name w:val="Default"/>
    <w:rsid w:val="003D3297"/>
    <w:pPr>
      <w:autoSpaceDE w:val="0"/>
      <w:autoSpaceDN w:val="0"/>
      <w:adjustRightInd w:val="0"/>
    </w:pPr>
    <w:rPr>
      <w:rFonts w:ascii="Verdana" w:eastAsia="Times New Roman" w:hAnsi="Verdana" w:cs="Verdana"/>
      <w:color w:val="000000"/>
      <w:sz w:val="24"/>
      <w:szCs w:val="24"/>
      <w:lang w:val="en-US" w:eastAsia="en-US"/>
    </w:rPr>
  </w:style>
  <w:style w:type="character" w:styleId="Refdecomentario">
    <w:name w:val="annotation reference"/>
    <w:uiPriority w:val="99"/>
    <w:semiHidden/>
    <w:unhideWhenUsed/>
    <w:rsid w:val="009F7C09"/>
    <w:rPr>
      <w:sz w:val="16"/>
      <w:szCs w:val="16"/>
    </w:rPr>
  </w:style>
  <w:style w:type="paragraph" w:styleId="Textocomentario">
    <w:name w:val="annotation text"/>
    <w:basedOn w:val="Normal"/>
    <w:link w:val="TextocomentarioCar"/>
    <w:uiPriority w:val="99"/>
    <w:unhideWhenUsed/>
    <w:rsid w:val="009F7C09"/>
    <w:rPr>
      <w:sz w:val="20"/>
      <w:lang w:eastAsia="x-none"/>
    </w:rPr>
  </w:style>
  <w:style w:type="character" w:customStyle="1" w:styleId="TextocomentarioCar">
    <w:name w:val="Texto comentario Car"/>
    <w:link w:val="Textocomentario"/>
    <w:uiPriority w:val="99"/>
    <w:rsid w:val="009F7C09"/>
    <w:rPr>
      <w:rFonts w:ascii="Times" w:eastAsia="Times" w:hAnsi="Times"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9F7C09"/>
    <w:rPr>
      <w:b/>
      <w:bCs/>
    </w:rPr>
  </w:style>
  <w:style w:type="character" w:customStyle="1" w:styleId="AsuntodelcomentarioCar">
    <w:name w:val="Asunto del comentario Car"/>
    <w:link w:val="Asuntodelcomentario"/>
    <w:uiPriority w:val="99"/>
    <w:semiHidden/>
    <w:rsid w:val="009F7C09"/>
    <w:rPr>
      <w:rFonts w:ascii="Times" w:eastAsia="Times" w:hAnsi="Times" w:cs="Times New Roman"/>
      <w:b/>
      <w:bCs/>
      <w:sz w:val="20"/>
      <w:szCs w:val="20"/>
      <w:lang w:val="es-ES_tradnl"/>
    </w:rPr>
  </w:style>
  <w:style w:type="table" w:styleId="Tablaconcuadrcula">
    <w:name w:val="Table Grid"/>
    <w:basedOn w:val="Tablanormal"/>
    <w:uiPriority w:val="59"/>
    <w:rsid w:val="00B0053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unhideWhenUsed/>
    <w:rsid w:val="004A0CBD"/>
    <w:rPr>
      <w:rFonts w:ascii="Consolas" w:eastAsia="Calibri" w:hAnsi="Consolas"/>
      <w:sz w:val="21"/>
      <w:szCs w:val="21"/>
      <w:lang w:val="x-none" w:eastAsia="x-none"/>
    </w:rPr>
  </w:style>
  <w:style w:type="character" w:customStyle="1" w:styleId="TextosinformatoCar">
    <w:name w:val="Texto sin formato Car"/>
    <w:link w:val="Textosinformato"/>
    <w:uiPriority w:val="99"/>
    <w:rsid w:val="004A0CBD"/>
    <w:rPr>
      <w:rFonts w:ascii="Consolas" w:hAnsi="Consolas"/>
      <w:sz w:val="21"/>
      <w:szCs w:val="21"/>
    </w:rPr>
  </w:style>
  <w:style w:type="character" w:customStyle="1" w:styleId="Listamedia2-nfasis4Car">
    <w:name w:val="Lista media 2 - Énfasis 4 Car"/>
    <w:aliases w:val="Footnote Car,Párrafo de lista1 Car"/>
    <w:link w:val="Listamedia2-nfasis4"/>
    <w:uiPriority w:val="34"/>
    <w:rsid w:val="00765410"/>
    <w:rPr>
      <w:rFonts w:ascii="Times" w:eastAsia="Times" w:hAnsi="Times" w:cs="Times New Roman"/>
      <w:sz w:val="24"/>
      <w:szCs w:val="20"/>
      <w:lang w:val="es-ES_tradnl"/>
    </w:rPr>
  </w:style>
  <w:style w:type="paragraph" w:customStyle="1" w:styleId="Textoindependiente1">
    <w:name w:val="Texto independiente1"/>
    <w:basedOn w:val="Normal"/>
    <w:rsid w:val="007149D0"/>
    <w:pPr>
      <w:widowControl w:val="0"/>
      <w:jc w:val="both"/>
    </w:pPr>
    <w:rPr>
      <w:rFonts w:ascii="New York" w:eastAsia="Times New Roman" w:hAnsi="New York"/>
    </w:rPr>
  </w:style>
  <w:style w:type="character" w:customStyle="1" w:styleId="apple-style-span">
    <w:name w:val="apple-style-span"/>
    <w:basedOn w:val="Fuentedeprrafopredeter"/>
    <w:rsid w:val="00FC0301"/>
  </w:style>
  <w:style w:type="character" w:customStyle="1" w:styleId="PrrafodelistaCar1">
    <w:name w:val="Párrafo de lista Car1"/>
    <w:aliases w:val="Footnote Car1,Párrafo de lista1 Car1"/>
    <w:uiPriority w:val="34"/>
    <w:rsid w:val="00AB0EBA"/>
    <w:rPr>
      <w:rFonts w:ascii="Times" w:eastAsia="Times" w:hAnsi="Times" w:cs="Times New Roman"/>
      <w:sz w:val="24"/>
      <w:szCs w:val="20"/>
      <w:lang w:val="es-ES_tradnl"/>
    </w:rPr>
  </w:style>
  <w:style w:type="character" w:styleId="Textoennegrita">
    <w:name w:val="Strong"/>
    <w:uiPriority w:val="22"/>
    <w:qFormat/>
    <w:rsid w:val="00AB0EBA"/>
    <w:rPr>
      <w:b/>
      <w:bCs/>
    </w:rPr>
  </w:style>
  <w:style w:type="character" w:customStyle="1" w:styleId="Ttulo1Car">
    <w:name w:val="Título 1 Car"/>
    <w:link w:val="Ttulo1"/>
    <w:uiPriority w:val="9"/>
    <w:rsid w:val="001A0FA6"/>
    <w:rPr>
      <w:rFonts w:ascii="Verdana" w:eastAsia="Times" w:hAnsi="Verdana"/>
      <w:b/>
      <w:spacing w:val="-2"/>
      <w:lang w:val="x-none" w:eastAsia="en-US"/>
    </w:rPr>
  </w:style>
  <w:style w:type="paragraph" w:customStyle="1" w:styleId="TOCHeading2">
    <w:name w:val="TOC Heading2"/>
    <w:basedOn w:val="Ttulo1"/>
    <w:next w:val="Normal"/>
    <w:uiPriority w:val="39"/>
    <w:semiHidden/>
    <w:unhideWhenUsed/>
    <w:qFormat/>
    <w:rsid w:val="009F7192"/>
    <w:pPr>
      <w:keepNext/>
      <w:keepLines/>
      <w:numPr>
        <w:numId w:val="0"/>
      </w:numPr>
      <w:spacing w:before="480" w:line="276" w:lineRule="auto"/>
      <w:contextualSpacing w:val="0"/>
      <w:jc w:val="left"/>
      <w:outlineLvl w:val="9"/>
    </w:pPr>
    <w:rPr>
      <w:rFonts w:ascii="Cambria" w:eastAsia="Times New Roman" w:hAnsi="Cambria"/>
      <w:bCs/>
      <w:color w:val="365F91"/>
      <w:spacing w:val="0"/>
      <w:sz w:val="28"/>
      <w:szCs w:val="28"/>
      <w:lang w:eastAsia="es-CR"/>
    </w:rPr>
  </w:style>
  <w:style w:type="paragraph" w:styleId="TDC1">
    <w:name w:val="toc 1"/>
    <w:basedOn w:val="Normal"/>
    <w:next w:val="Normal"/>
    <w:autoRedefine/>
    <w:uiPriority w:val="39"/>
    <w:unhideWhenUsed/>
    <w:rsid w:val="002611A3"/>
    <w:pPr>
      <w:tabs>
        <w:tab w:val="left" w:pos="480"/>
        <w:tab w:val="left" w:pos="851"/>
        <w:tab w:val="left" w:pos="1134"/>
        <w:tab w:val="right" w:leader="dot" w:pos="9394"/>
      </w:tabs>
      <w:spacing w:before="120"/>
      <w:ind w:left="567"/>
      <w:jc w:val="both"/>
    </w:pPr>
    <w:rPr>
      <w:rFonts w:ascii="Calibri" w:hAnsi="Calibri"/>
      <w:b/>
      <w:bCs/>
      <w:i/>
      <w:iCs/>
      <w:szCs w:val="24"/>
    </w:rPr>
  </w:style>
  <w:style w:type="paragraph" w:customStyle="1" w:styleId="Sangradetindependiente">
    <w:name w:val="SangrÌa de t. independiente"/>
    <w:basedOn w:val="Normal"/>
    <w:rsid w:val="000F74A9"/>
    <w:pPr>
      <w:ind w:right="12"/>
      <w:jc w:val="both"/>
    </w:pPr>
    <w:rPr>
      <w:rFonts w:ascii="Garamond" w:eastAsia="Times New Roman" w:hAnsi="Garamond"/>
      <w:sz w:val="20"/>
      <w:lang w:eastAsia="es-ES"/>
    </w:rPr>
  </w:style>
  <w:style w:type="character" w:customStyle="1" w:styleId="Ttulo2Car">
    <w:name w:val="Título 2 Car"/>
    <w:link w:val="Ttulo2"/>
    <w:uiPriority w:val="9"/>
    <w:rsid w:val="00FB41E1"/>
    <w:rPr>
      <w:rFonts w:ascii="Verdana" w:eastAsia="Times" w:hAnsi="Verdana"/>
      <w:i/>
      <w:lang w:val="es-ES_tradnl"/>
    </w:rPr>
  </w:style>
  <w:style w:type="paragraph" w:styleId="TDC2">
    <w:name w:val="toc 2"/>
    <w:basedOn w:val="Normal"/>
    <w:next w:val="Normal"/>
    <w:autoRedefine/>
    <w:uiPriority w:val="39"/>
    <w:unhideWhenUsed/>
    <w:rsid w:val="00A35EF3"/>
    <w:pPr>
      <w:spacing w:before="120"/>
      <w:ind w:left="240"/>
    </w:pPr>
    <w:rPr>
      <w:rFonts w:ascii="Calibri" w:hAnsi="Calibri"/>
      <w:b/>
      <w:bCs/>
      <w:sz w:val="22"/>
      <w:szCs w:val="22"/>
    </w:rPr>
  </w:style>
  <w:style w:type="paragraph" w:styleId="Ttulo">
    <w:name w:val="Title"/>
    <w:basedOn w:val="Ttulo1"/>
    <w:link w:val="TtuloCar"/>
    <w:qFormat/>
    <w:rsid w:val="00AF53ED"/>
    <w:pPr>
      <w:ind w:left="630" w:right="48" w:hanging="630"/>
    </w:pPr>
  </w:style>
  <w:style w:type="character" w:customStyle="1" w:styleId="TtuloCar">
    <w:name w:val="Título Car"/>
    <w:link w:val="Ttulo"/>
    <w:rsid w:val="00AF53ED"/>
    <w:rPr>
      <w:rFonts w:ascii="Verdana" w:eastAsia="Times" w:hAnsi="Verdana"/>
      <w:b/>
      <w:spacing w:val="-2"/>
      <w:lang w:val="x-none" w:eastAsia="en-US"/>
    </w:rPr>
  </w:style>
  <w:style w:type="paragraph" w:customStyle="1" w:styleId="BodyText">
    <w:name w:val="Body Text "/>
    <w:basedOn w:val="Normal"/>
    <w:rsid w:val="00CE0B65"/>
    <w:pPr>
      <w:spacing w:line="360" w:lineRule="atLeast"/>
    </w:pPr>
    <w:rPr>
      <w:rFonts w:ascii="Garamond" w:eastAsia="Times New Roman" w:hAnsi="Garamond"/>
      <w:b/>
      <w:u w:val="single"/>
    </w:rPr>
  </w:style>
  <w:style w:type="paragraph" w:styleId="Listamedia1-nfasis4">
    <w:name w:val="Medium List 1 Accent 4"/>
    <w:hidden/>
    <w:uiPriority w:val="71"/>
    <w:rsid w:val="002C5523"/>
    <w:rPr>
      <w:rFonts w:ascii="Times" w:eastAsia="Times" w:hAnsi="Times"/>
      <w:sz w:val="24"/>
      <w:lang w:val="es-ES_tradnl" w:eastAsia="en-US"/>
    </w:rPr>
  </w:style>
  <w:style w:type="paragraph" w:styleId="Sombreadovistoso-nfasis3">
    <w:name w:val="Colorful Shading Accent 3"/>
    <w:basedOn w:val="Normal"/>
    <w:uiPriority w:val="34"/>
    <w:qFormat/>
    <w:rsid w:val="009438A9"/>
    <w:pPr>
      <w:ind w:left="708"/>
    </w:pPr>
  </w:style>
  <w:style w:type="paragraph" w:customStyle="1" w:styleId="TOCHeading1">
    <w:name w:val="TOC Heading1"/>
    <w:basedOn w:val="Ttulo1"/>
    <w:next w:val="Normal"/>
    <w:uiPriority w:val="39"/>
    <w:semiHidden/>
    <w:unhideWhenUsed/>
    <w:qFormat/>
    <w:rsid w:val="00355A60"/>
    <w:pPr>
      <w:keepNext/>
      <w:keepLines/>
      <w:numPr>
        <w:numId w:val="0"/>
      </w:numPr>
      <w:spacing w:before="480" w:line="276" w:lineRule="auto"/>
      <w:contextualSpacing w:val="0"/>
      <w:jc w:val="left"/>
      <w:outlineLvl w:val="9"/>
    </w:pPr>
    <w:rPr>
      <w:rFonts w:ascii="Cambria" w:eastAsia="Times New Roman" w:hAnsi="Cambria"/>
      <w:bCs/>
      <w:color w:val="365F91"/>
      <w:spacing w:val="0"/>
      <w:sz w:val="28"/>
      <w:szCs w:val="28"/>
      <w:lang w:val="es-CR" w:eastAsia="es-CR"/>
    </w:rPr>
  </w:style>
  <w:style w:type="paragraph" w:styleId="TDC3">
    <w:name w:val="toc 3"/>
    <w:basedOn w:val="Normal"/>
    <w:next w:val="Normal"/>
    <w:autoRedefine/>
    <w:uiPriority w:val="39"/>
    <w:unhideWhenUsed/>
    <w:rsid w:val="00355A60"/>
    <w:pPr>
      <w:ind w:left="480"/>
    </w:pPr>
    <w:rPr>
      <w:rFonts w:ascii="Calibri" w:hAnsi="Calibri"/>
      <w:sz w:val="20"/>
    </w:rPr>
  </w:style>
  <w:style w:type="paragraph" w:styleId="TDC4">
    <w:name w:val="toc 4"/>
    <w:basedOn w:val="Normal"/>
    <w:next w:val="Normal"/>
    <w:autoRedefine/>
    <w:uiPriority w:val="39"/>
    <w:unhideWhenUsed/>
    <w:rsid w:val="00355A60"/>
    <w:pPr>
      <w:ind w:left="720"/>
    </w:pPr>
    <w:rPr>
      <w:rFonts w:ascii="Calibri" w:hAnsi="Calibri"/>
      <w:sz w:val="20"/>
    </w:rPr>
  </w:style>
  <w:style w:type="paragraph" w:styleId="TDC5">
    <w:name w:val="toc 5"/>
    <w:basedOn w:val="Normal"/>
    <w:next w:val="Normal"/>
    <w:autoRedefine/>
    <w:uiPriority w:val="39"/>
    <w:unhideWhenUsed/>
    <w:rsid w:val="00355A60"/>
    <w:pPr>
      <w:ind w:left="960"/>
    </w:pPr>
    <w:rPr>
      <w:rFonts w:ascii="Calibri" w:hAnsi="Calibri"/>
      <w:sz w:val="20"/>
    </w:rPr>
  </w:style>
  <w:style w:type="paragraph" w:styleId="TDC6">
    <w:name w:val="toc 6"/>
    <w:basedOn w:val="Normal"/>
    <w:next w:val="Normal"/>
    <w:autoRedefine/>
    <w:uiPriority w:val="39"/>
    <w:unhideWhenUsed/>
    <w:rsid w:val="00355A60"/>
    <w:pPr>
      <w:ind w:left="1200"/>
    </w:pPr>
    <w:rPr>
      <w:rFonts w:ascii="Calibri" w:hAnsi="Calibri"/>
      <w:sz w:val="20"/>
    </w:rPr>
  </w:style>
  <w:style w:type="paragraph" w:styleId="TDC7">
    <w:name w:val="toc 7"/>
    <w:basedOn w:val="Normal"/>
    <w:next w:val="Normal"/>
    <w:autoRedefine/>
    <w:uiPriority w:val="39"/>
    <w:unhideWhenUsed/>
    <w:rsid w:val="00355A60"/>
    <w:pPr>
      <w:ind w:left="1440"/>
    </w:pPr>
    <w:rPr>
      <w:rFonts w:ascii="Calibri" w:hAnsi="Calibri"/>
      <w:sz w:val="20"/>
    </w:rPr>
  </w:style>
  <w:style w:type="paragraph" w:styleId="TDC8">
    <w:name w:val="toc 8"/>
    <w:basedOn w:val="Normal"/>
    <w:next w:val="Normal"/>
    <w:autoRedefine/>
    <w:uiPriority w:val="39"/>
    <w:unhideWhenUsed/>
    <w:rsid w:val="00355A60"/>
    <w:pPr>
      <w:ind w:left="1680"/>
    </w:pPr>
    <w:rPr>
      <w:rFonts w:ascii="Calibri" w:hAnsi="Calibri"/>
      <w:sz w:val="20"/>
    </w:rPr>
  </w:style>
  <w:style w:type="paragraph" w:styleId="TDC9">
    <w:name w:val="toc 9"/>
    <w:basedOn w:val="Normal"/>
    <w:next w:val="Normal"/>
    <w:autoRedefine/>
    <w:uiPriority w:val="39"/>
    <w:unhideWhenUsed/>
    <w:rsid w:val="00355A60"/>
    <w:pPr>
      <w:ind w:left="1920"/>
    </w:pPr>
    <w:rPr>
      <w:rFonts w:ascii="Calibri" w:hAnsi="Calibri"/>
      <w:sz w:val="20"/>
    </w:rPr>
  </w:style>
  <w:style w:type="character" w:styleId="Nmerodelnea">
    <w:name w:val="line number"/>
    <w:basedOn w:val="Fuentedeprrafopredeter"/>
    <w:uiPriority w:val="99"/>
    <w:semiHidden/>
    <w:unhideWhenUsed/>
    <w:rsid w:val="00FD2EF5"/>
  </w:style>
  <w:style w:type="paragraph" w:styleId="Cuadrculamedia1-nfasis2">
    <w:name w:val="Medium Grid 1 Accent 2"/>
    <w:basedOn w:val="Normal"/>
    <w:uiPriority w:val="34"/>
    <w:qFormat/>
    <w:rsid w:val="004B228A"/>
    <w:pPr>
      <w:ind w:left="708"/>
    </w:pPr>
  </w:style>
  <w:style w:type="character" w:styleId="Hipervnculovisitado">
    <w:name w:val="FollowedHyperlink"/>
    <w:uiPriority w:val="99"/>
    <w:semiHidden/>
    <w:unhideWhenUsed/>
    <w:rsid w:val="00C80C2E"/>
    <w:rPr>
      <w:color w:val="800080"/>
      <w:u w:val="single"/>
    </w:rPr>
  </w:style>
  <w:style w:type="paragraph" w:customStyle="1" w:styleId="TOCHeading3">
    <w:name w:val="TOC Heading3"/>
    <w:basedOn w:val="Ttulo1"/>
    <w:next w:val="Normal"/>
    <w:uiPriority w:val="39"/>
    <w:semiHidden/>
    <w:unhideWhenUsed/>
    <w:qFormat/>
    <w:rsid w:val="00AE180B"/>
    <w:pPr>
      <w:keepNext/>
      <w:keepLines/>
      <w:numPr>
        <w:numId w:val="0"/>
      </w:numPr>
      <w:spacing w:before="480" w:line="276" w:lineRule="auto"/>
      <w:contextualSpacing w:val="0"/>
      <w:jc w:val="left"/>
      <w:outlineLvl w:val="9"/>
    </w:pPr>
    <w:rPr>
      <w:rFonts w:ascii="Cambria" w:eastAsia="MS Gothic" w:hAnsi="Cambria"/>
      <w:bCs/>
      <w:color w:val="365F91"/>
      <w:spacing w:val="0"/>
      <w:sz w:val="28"/>
      <w:szCs w:val="28"/>
      <w:lang w:val="en-US" w:eastAsia="ja-JP"/>
    </w:rPr>
  </w:style>
  <w:style w:type="paragraph" w:styleId="Subttulo">
    <w:name w:val="Subtitle"/>
    <w:basedOn w:val="Ttulo1"/>
    <w:next w:val="Normal"/>
    <w:link w:val="SubttuloCar"/>
    <w:uiPriority w:val="11"/>
    <w:qFormat/>
    <w:rsid w:val="001A0FA6"/>
    <w:pPr>
      <w:numPr>
        <w:numId w:val="0"/>
      </w:numPr>
      <w:ind w:left="720"/>
    </w:pPr>
    <w:rPr>
      <w:b w:val="0"/>
    </w:rPr>
  </w:style>
  <w:style w:type="character" w:customStyle="1" w:styleId="SubttuloCar">
    <w:name w:val="Subtítulo Car"/>
    <w:link w:val="Subttulo"/>
    <w:uiPriority w:val="11"/>
    <w:rsid w:val="001A0FA6"/>
    <w:rPr>
      <w:rFonts w:ascii="Verdana" w:eastAsia="Times" w:hAnsi="Verdana"/>
      <w:spacing w:val="-2"/>
      <w:lang w:val="x-none" w:eastAsia="en-US"/>
    </w:rPr>
  </w:style>
  <w:style w:type="paragraph" w:styleId="Listavistosa-nfasis1">
    <w:name w:val="Colorful List Accent 1"/>
    <w:basedOn w:val="Normal"/>
    <w:uiPriority w:val="34"/>
    <w:qFormat/>
    <w:rsid w:val="00887151"/>
    <w:pPr>
      <w:ind w:left="708"/>
    </w:pPr>
  </w:style>
  <w:style w:type="paragraph" w:styleId="Sombreadovistoso-nfasis1">
    <w:name w:val="Colorful Shading Accent 1"/>
    <w:hidden/>
    <w:uiPriority w:val="99"/>
    <w:semiHidden/>
    <w:rsid w:val="00501D72"/>
    <w:rPr>
      <w:rFonts w:ascii="Times" w:eastAsia="Times" w:hAnsi="Times"/>
      <w:sz w:val="24"/>
      <w:lang w:val="es-ES_tradnl" w:eastAsia="en-US"/>
    </w:rPr>
  </w:style>
  <w:style w:type="paragraph" w:styleId="Prrafodelista">
    <w:name w:val="List Paragraph"/>
    <w:basedOn w:val="Normal"/>
    <w:uiPriority w:val="72"/>
    <w:qFormat/>
    <w:rsid w:val="00BB190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02906">
      <w:bodyDiv w:val="1"/>
      <w:marLeft w:val="0"/>
      <w:marRight w:val="0"/>
      <w:marTop w:val="0"/>
      <w:marBottom w:val="0"/>
      <w:divBdr>
        <w:top w:val="none" w:sz="0" w:space="0" w:color="auto"/>
        <w:left w:val="none" w:sz="0" w:space="0" w:color="auto"/>
        <w:bottom w:val="none" w:sz="0" w:space="0" w:color="auto"/>
        <w:right w:val="none" w:sz="0" w:space="0" w:color="auto"/>
      </w:divBdr>
      <w:divsChild>
        <w:div w:id="773747734">
          <w:marLeft w:val="0"/>
          <w:marRight w:val="0"/>
          <w:marTop w:val="0"/>
          <w:marBottom w:val="0"/>
          <w:divBdr>
            <w:top w:val="none" w:sz="0" w:space="0" w:color="auto"/>
            <w:left w:val="none" w:sz="0" w:space="0" w:color="auto"/>
            <w:bottom w:val="none" w:sz="0" w:space="0" w:color="auto"/>
            <w:right w:val="none" w:sz="0" w:space="0" w:color="auto"/>
          </w:divBdr>
          <w:divsChild>
            <w:div w:id="281310574">
              <w:marLeft w:val="0"/>
              <w:marRight w:val="0"/>
              <w:marTop w:val="0"/>
              <w:marBottom w:val="0"/>
              <w:divBdr>
                <w:top w:val="none" w:sz="0" w:space="0" w:color="auto"/>
                <w:left w:val="none" w:sz="0" w:space="0" w:color="auto"/>
                <w:bottom w:val="none" w:sz="0" w:space="0" w:color="auto"/>
                <w:right w:val="none" w:sz="0" w:space="0" w:color="auto"/>
              </w:divBdr>
              <w:divsChild>
                <w:div w:id="163474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55441">
      <w:bodyDiv w:val="1"/>
      <w:marLeft w:val="0"/>
      <w:marRight w:val="0"/>
      <w:marTop w:val="0"/>
      <w:marBottom w:val="0"/>
      <w:divBdr>
        <w:top w:val="none" w:sz="0" w:space="0" w:color="auto"/>
        <w:left w:val="none" w:sz="0" w:space="0" w:color="auto"/>
        <w:bottom w:val="none" w:sz="0" w:space="0" w:color="auto"/>
        <w:right w:val="none" w:sz="0" w:space="0" w:color="auto"/>
      </w:divBdr>
    </w:div>
    <w:div w:id="255097639">
      <w:bodyDiv w:val="1"/>
      <w:marLeft w:val="0"/>
      <w:marRight w:val="0"/>
      <w:marTop w:val="0"/>
      <w:marBottom w:val="0"/>
      <w:divBdr>
        <w:top w:val="none" w:sz="0" w:space="0" w:color="auto"/>
        <w:left w:val="none" w:sz="0" w:space="0" w:color="auto"/>
        <w:bottom w:val="none" w:sz="0" w:space="0" w:color="auto"/>
        <w:right w:val="none" w:sz="0" w:space="0" w:color="auto"/>
      </w:divBdr>
    </w:div>
    <w:div w:id="399523823">
      <w:bodyDiv w:val="1"/>
      <w:marLeft w:val="0"/>
      <w:marRight w:val="0"/>
      <w:marTop w:val="0"/>
      <w:marBottom w:val="0"/>
      <w:divBdr>
        <w:top w:val="none" w:sz="0" w:space="0" w:color="auto"/>
        <w:left w:val="none" w:sz="0" w:space="0" w:color="auto"/>
        <w:bottom w:val="none" w:sz="0" w:space="0" w:color="auto"/>
        <w:right w:val="none" w:sz="0" w:space="0" w:color="auto"/>
      </w:divBdr>
    </w:div>
    <w:div w:id="469983720">
      <w:bodyDiv w:val="1"/>
      <w:marLeft w:val="0"/>
      <w:marRight w:val="0"/>
      <w:marTop w:val="0"/>
      <w:marBottom w:val="0"/>
      <w:divBdr>
        <w:top w:val="none" w:sz="0" w:space="0" w:color="auto"/>
        <w:left w:val="none" w:sz="0" w:space="0" w:color="auto"/>
        <w:bottom w:val="none" w:sz="0" w:space="0" w:color="auto"/>
        <w:right w:val="none" w:sz="0" w:space="0" w:color="auto"/>
      </w:divBdr>
    </w:div>
    <w:div w:id="484469014">
      <w:bodyDiv w:val="1"/>
      <w:marLeft w:val="0"/>
      <w:marRight w:val="0"/>
      <w:marTop w:val="0"/>
      <w:marBottom w:val="0"/>
      <w:divBdr>
        <w:top w:val="none" w:sz="0" w:space="0" w:color="auto"/>
        <w:left w:val="none" w:sz="0" w:space="0" w:color="auto"/>
        <w:bottom w:val="none" w:sz="0" w:space="0" w:color="auto"/>
        <w:right w:val="none" w:sz="0" w:space="0" w:color="auto"/>
      </w:divBdr>
    </w:div>
    <w:div w:id="680544725">
      <w:bodyDiv w:val="1"/>
      <w:marLeft w:val="0"/>
      <w:marRight w:val="0"/>
      <w:marTop w:val="0"/>
      <w:marBottom w:val="0"/>
      <w:divBdr>
        <w:top w:val="none" w:sz="0" w:space="0" w:color="auto"/>
        <w:left w:val="none" w:sz="0" w:space="0" w:color="auto"/>
        <w:bottom w:val="none" w:sz="0" w:space="0" w:color="auto"/>
        <w:right w:val="none" w:sz="0" w:space="0" w:color="auto"/>
      </w:divBdr>
      <w:divsChild>
        <w:div w:id="1150754819">
          <w:marLeft w:val="0"/>
          <w:marRight w:val="0"/>
          <w:marTop w:val="0"/>
          <w:marBottom w:val="0"/>
          <w:divBdr>
            <w:top w:val="none" w:sz="0" w:space="0" w:color="auto"/>
            <w:left w:val="none" w:sz="0" w:space="0" w:color="auto"/>
            <w:bottom w:val="none" w:sz="0" w:space="0" w:color="auto"/>
            <w:right w:val="none" w:sz="0" w:space="0" w:color="auto"/>
          </w:divBdr>
          <w:divsChild>
            <w:div w:id="1255556586">
              <w:marLeft w:val="0"/>
              <w:marRight w:val="0"/>
              <w:marTop w:val="0"/>
              <w:marBottom w:val="0"/>
              <w:divBdr>
                <w:top w:val="none" w:sz="0" w:space="0" w:color="auto"/>
                <w:left w:val="none" w:sz="0" w:space="0" w:color="auto"/>
                <w:bottom w:val="none" w:sz="0" w:space="0" w:color="auto"/>
                <w:right w:val="none" w:sz="0" w:space="0" w:color="auto"/>
              </w:divBdr>
              <w:divsChild>
                <w:div w:id="166219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6653">
      <w:bodyDiv w:val="1"/>
      <w:marLeft w:val="0"/>
      <w:marRight w:val="0"/>
      <w:marTop w:val="0"/>
      <w:marBottom w:val="0"/>
      <w:divBdr>
        <w:top w:val="none" w:sz="0" w:space="0" w:color="auto"/>
        <w:left w:val="none" w:sz="0" w:space="0" w:color="auto"/>
        <w:bottom w:val="none" w:sz="0" w:space="0" w:color="auto"/>
        <w:right w:val="none" w:sz="0" w:space="0" w:color="auto"/>
      </w:divBdr>
    </w:div>
    <w:div w:id="703292110">
      <w:bodyDiv w:val="1"/>
      <w:marLeft w:val="0"/>
      <w:marRight w:val="0"/>
      <w:marTop w:val="0"/>
      <w:marBottom w:val="0"/>
      <w:divBdr>
        <w:top w:val="none" w:sz="0" w:space="0" w:color="auto"/>
        <w:left w:val="none" w:sz="0" w:space="0" w:color="auto"/>
        <w:bottom w:val="none" w:sz="0" w:space="0" w:color="auto"/>
        <w:right w:val="none" w:sz="0" w:space="0" w:color="auto"/>
      </w:divBdr>
    </w:div>
    <w:div w:id="722677324">
      <w:bodyDiv w:val="1"/>
      <w:marLeft w:val="0"/>
      <w:marRight w:val="0"/>
      <w:marTop w:val="0"/>
      <w:marBottom w:val="0"/>
      <w:divBdr>
        <w:top w:val="none" w:sz="0" w:space="0" w:color="auto"/>
        <w:left w:val="none" w:sz="0" w:space="0" w:color="auto"/>
        <w:bottom w:val="none" w:sz="0" w:space="0" w:color="auto"/>
        <w:right w:val="none" w:sz="0" w:space="0" w:color="auto"/>
      </w:divBdr>
      <w:divsChild>
        <w:div w:id="1574510195">
          <w:marLeft w:val="0"/>
          <w:marRight w:val="0"/>
          <w:marTop w:val="0"/>
          <w:marBottom w:val="0"/>
          <w:divBdr>
            <w:top w:val="none" w:sz="0" w:space="0" w:color="auto"/>
            <w:left w:val="none" w:sz="0" w:space="0" w:color="auto"/>
            <w:bottom w:val="none" w:sz="0" w:space="0" w:color="auto"/>
            <w:right w:val="none" w:sz="0" w:space="0" w:color="auto"/>
          </w:divBdr>
          <w:divsChild>
            <w:div w:id="296758958">
              <w:marLeft w:val="0"/>
              <w:marRight w:val="0"/>
              <w:marTop w:val="0"/>
              <w:marBottom w:val="0"/>
              <w:divBdr>
                <w:top w:val="none" w:sz="0" w:space="0" w:color="auto"/>
                <w:left w:val="none" w:sz="0" w:space="0" w:color="auto"/>
                <w:bottom w:val="none" w:sz="0" w:space="0" w:color="auto"/>
                <w:right w:val="none" w:sz="0" w:space="0" w:color="auto"/>
              </w:divBdr>
              <w:divsChild>
                <w:div w:id="18377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95583">
      <w:bodyDiv w:val="1"/>
      <w:marLeft w:val="0"/>
      <w:marRight w:val="0"/>
      <w:marTop w:val="0"/>
      <w:marBottom w:val="0"/>
      <w:divBdr>
        <w:top w:val="none" w:sz="0" w:space="0" w:color="auto"/>
        <w:left w:val="none" w:sz="0" w:space="0" w:color="auto"/>
        <w:bottom w:val="none" w:sz="0" w:space="0" w:color="auto"/>
        <w:right w:val="none" w:sz="0" w:space="0" w:color="auto"/>
      </w:divBdr>
      <w:divsChild>
        <w:div w:id="766344535">
          <w:marLeft w:val="0"/>
          <w:marRight w:val="0"/>
          <w:marTop w:val="0"/>
          <w:marBottom w:val="0"/>
          <w:divBdr>
            <w:top w:val="none" w:sz="0" w:space="0" w:color="auto"/>
            <w:left w:val="none" w:sz="0" w:space="0" w:color="auto"/>
            <w:bottom w:val="none" w:sz="0" w:space="0" w:color="auto"/>
            <w:right w:val="none" w:sz="0" w:space="0" w:color="auto"/>
          </w:divBdr>
          <w:divsChild>
            <w:div w:id="1562593476">
              <w:marLeft w:val="0"/>
              <w:marRight w:val="0"/>
              <w:marTop w:val="0"/>
              <w:marBottom w:val="0"/>
              <w:divBdr>
                <w:top w:val="none" w:sz="0" w:space="0" w:color="auto"/>
                <w:left w:val="none" w:sz="0" w:space="0" w:color="auto"/>
                <w:bottom w:val="none" w:sz="0" w:space="0" w:color="auto"/>
                <w:right w:val="none" w:sz="0" w:space="0" w:color="auto"/>
              </w:divBdr>
              <w:divsChild>
                <w:div w:id="14528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37643">
      <w:bodyDiv w:val="1"/>
      <w:marLeft w:val="0"/>
      <w:marRight w:val="0"/>
      <w:marTop w:val="0"/>
      <w:marBottom w:val="0"/>
      <w:divBdr>
        <w:top w:val="none" w:sz="0" w:space="0" w:color="auto"/>
        <w:left w:val="none" w:sz="0" w:space="0" w:color="auto"/>
        <w:bottom w:val="none" w:sz="0" w:space="0" w:color="auto"/>
        <w:right w:val="none" w:sz="0" w:space="0" w:color="auto"/>
      </w:divBdr>
    </w:div>
    <w:div w:id="900411704">
      <w:bodyDiv w:val="1"/>
      <w:marLeft w:val="0"/>
      <w:marRight w:val="0"/>
      <w:marTop w:val="0"/>
      <w:marBottom w:val="0"/>
      <w:divBdr>
        <w:top w:val="none" w:sz="0" w:space="0" w:color="auto"/>
        <w:left w:val="none" w:sz="0" w:space="0" w:color="auto"/>
        <w:bottom w:val="none" w:sz="0" w:space="0" w:color="auto"/>
        <w:right w:val="none" w:sz="0" w:space="0" w:color="auto"/>
      </w:divBdr>
    </w:div>
    <w:div w:id="917636714">
      <w:bodyDiv w:val="1"/>
      <w:marLeft w:val="0"/>
      <w:marRight w:val="0"/>
      <w:marTop w:val="0"/>
      <w:marBottom w:val="0"/>
      <w:divBdr>
        <w:top w:val="none" w:sz="0" w:space="0" w:color="auto"/>
        <w:left w:val="none" w:sz="0" w:space="0" w:color="auto"/>
        <w:bottom w:val="none" w:sz="0" w:space="0" w:color="auto"/>
        <w:right w:val="none" w:sz="0" w:space="0" w:color="auto"/>
      </w:divBdr>
    </w:div>
    <w:div w:id="988821604">
      <w:bodyDiv w:val="1"/>
      <w:marLeft w:val="0"/>
      <w:marRight w:val="0"/>
      <w:marTop w:val="0"/>
      <w:marBottom w:val="0"/>
      <w:divBdr>
        <w:top w:val="none" w:sz="0" w:space="0" w:color="auto"/>
        <w:left w:val="none" w:sz="0" w:space="0" w:color="auto"/>
        <w:bottom w:val="none" w:sz="0" w:space="0" w:color="auto"/>
        <w:right w:val="none" w:sz="0" w:space="0" w:color="auto"/>
      </w:divBdr>
    </w:div>
    <w:div w:id="1004943008">
      <w:bodyDiv w:val="1"/>
      <w:marLeft w:val="0"/>
      <w:marRight w:val="0"/>
      <w:marTop w:val="0"/>
      <w:marBottom w:val="0"/>
      <w:divBdr>
        <w:top w:val="none" w:sz="0" w:space="0" w:color="auto"/>
        <w:left w:val="none" w:sz="0" w:space="0" w:color="auto"/>
        <w:bottom w:val="none" w:sz="0" w:space="0" w:color="auto"/>
        <w:right w:val="none" w:sz="0" w:space="0" w:color="auto"/>
      </w:divBdr>
    </w:div>
    <w:div w:id="1060442563">
      <w:bodyDiv w:val="1"/>
      <w:marLeft w:val="0"/>
      <w:marRight w:val="0"/>
      <w:marTop w:val="0"/>
      <w:marBottom w:val="0"/>
      <w:divBdr>
        <w:top w:val="none" w:sz="0" w:space="0" w:color="auto"/>
        <w:left w:val="none" w:sz="0" w:space="0" w:color="auto"/>
        <w:bottom w:val="none" w:sz="0" w:space="0" w:color="auto"/>
        <w:right w:val="none" w:sz="0" w:space="0" w:color="auto"/>
      </w:divBdr>
    </w:div>
    <w:div w:id="1114130907">
      <w:bodyDiv w:val="1"/>
      <w:marLeft w:val="0"/>
      <w:marRight w:val="0"/>
      <w:marTop w:val="0"/>
      <w:marBottom w:val="0"/>
      <w:divBdr>
        <w:top w:val="none" w:sz="0" w:space="0" w:color="auto"/>
        <w:left w:val="none" w:sz="0" w:space="0" w:color="auto"/>
        <w:bottom w:val="none" w:sz="0" w:space="0" w:color="auto"/>
        <w:right w:val="none" w:sz="0" w:space="0" w:color="auto"/>
      </w:divBdr>
    </w:div>
    <w:div w:id="1192452744">
      <w:bodyDiv w:val="1"/>
      <w:marLeft w:val="0"/>
      <w:marRight w:val="0"/>
      <w:marTop w:val="0"/>
      <w:marBottom w:val="0"/>
      <w:divBdr>
        <w:top w:val="none" w:sz="0" w:space="0" w:color="auto"/>
        <w:left w:val="none" w:sz="0" w:space="0" w:color="auto"/>
        <w:bottom w:val="none" w:sz="0" w:space="0" w:color="auto"/>
        <w:right w:val="none" w:sz="0" w:space="0" w:color="auto"/>
      </w:divBdr>
    </w:div>
    <w:div w:id="1286161108">
      <w:bodyDiv w:val="1"/>
      <w:marLeft w:val="0"/>
      <w:marRight w:val="0"/>
      <w:marTop w:val="0"/>
      <w:marBottom w:val="0"/>
      <w:divBdr>
        <w:top w:val="none" w:sz="0" w:space="0" w:color="auto"/>
        <w:left w:val="none" w:sz="0" w:space="0" w:color="auto"/>
        <w:bottom w:val="none" w:sz="0" w:space="0" w:color="auto"/>
        <w:right w:val="none" w:sz="0" w:space="0" w:color="auto"/>
      </w:divBdr>
    </w:div>
    <w:div w:id="1366633284">
      <w:bodyDiv w:val="1"/>
      <w:marLeft w:val="0"/>
      <w:marRight w:val="0"/>
      <w:marTop w:val="0"/>
      <w:marBottom w:val="0"/>
      <w:divBdr>
        <w:top w:val="none" w:sz="0" w:space="0" w:color="auto"/>
        <w:left w:val="none" w:sz="0" w:space="0" w:color="auto"/>
        <w:bottom w:val="none" w:sz="0" w:space="0" w:color="auto"/>
        <w:right w:val="none" w:sz="0" w:space="0" w:color="auto"/>
      </w:divBdr>
    </w:div>
    <w:div w:id="1501041690">
      <w:bodyDiv w:val="1"/>
      <w:marLeft w:val="0"/>
      <w:marRight w:val="0"/>
      <w:marTop w:val="0"/>
      <w:marBottom w:val="0"/>
      <w:divBdr>
        <w:top w:val="none" w:sz="0" w:space="0" w:color="auto"/>
        <w:left w:val="none" w:sz="0" w:space="0" w:color="auto"/>
        <w:bottom w:val="none" w:sz="0" w:space="0" w:color="auto"/>
        <w:right w:val="none" w:sz="0" w:space="0" w:color="auto"/>
      </w:divBdr>
    </w:div>
    <w:div w:id="1511095141">
      <w:bodyDiv w:val="1"/>
      <w:marLeft w:val="0"/>
      <w:marRight w:val="0"/>
      <w:marTop w:val="0"/>
      <w:marBottom w:val="0"/>
      <w:divBdr>
        <w:top w:val="none" w:sz="0" w:space="0" w:color="auto"/>
        <w:left w:val="none" w:sz="0" w:space="0" w:color="auto"/>
        <w:bottom w:val="none" w:sz="0" w:space="0" w:color="auto"/>
        <w:right w:val="none" w:sz="0" w:space="0" w:color="auto"/>
      </w:divBdr>
    </w:div>
    <w:div w:id="1525510420">
      <w:bodyDiv w:val="1"/>
      <w:marLeft w:val="0"/>
      <w:marRight w:val="0"/>
      <w:marTop w:val="0"/>
      <w:marBottom w:val="0"/>
      <w:divBdr>
        <w:top w:val="none" w:sz="0" w:space="0" w:color="auto"/>
        <w:left w:val="none" w:sz="0" w:space="0" w:color="auto"/>
        <w:bottom w:val="none" w:sz="0" w:space="0" w:color="auto"/>
        <w:right w:val="none" w:sz="0" w:space="0" w:color="auto"/>
      </w:divBdr>
    </w:div>
    <w:div w:id="1777406961">
      <w:bodyDiv w:val="1"/>
      <w:marLeft w:val="0"/>
      <w:marRight w:val="0"/>
      <w:marTop w:val="0"/>
      <w:marBottom w:val="0"/>
      <w:divBdr>
        <w:top w:val="none" w:sz="0" w:space="0" w:color="auto"/>
        <w:left w:val="none" w:sz="0" w:space="0" w:color="auto"/>
        <w:bottom w:val="none" w:sz="0" w:space="0" w:color="auto"/>
        <w:right w:val="none" w:sz="0" w:space="0" w:color="auto"/>
      </w:divBdr>
    </w:div>
    <w:div w:id="1854223022">
      <w:bodyDiv w:val="1"/>
      <w:marLeft w:val="0"/>
      <w:marRight w:val="0"/>
      <w:marTop w:val="0"/>
      <w:marBottom w:val="0"/>
      <w:divBdr>
        <w:top w:val="none" w:sz="0" w:space="0" w:color="auto"/>
        <w:left w:val="none" w:sz="0" w:space="0" w:color="auto"/>
        <w:bottom w:val="none" w:sz="0" w:space="0" w:color="auto"/>
        <w:right w:val="none" w:sz="0" w:space="0" w:color="auto"/>
      </w:divBdr>
    </w:div>
    <w:div w:id="1927570735">
      <w:bodyDiv w:val="1"/>
      <w:marLeft w:val="0"/>
      <w:marRight w:val="0"/>
      <w:marTop w:val="0"/>
      <w:marBottom w:val="0"/>
      <w:divBdr>
        <w:top w:val="none" w:sz="0" w:space="0" w:color="auto"/>
        <w:left w:val="none" w:sz="0" w:space="0" w:color="auto"/>
        <w:bottom w:val="none" w:sz="0" w:space="0" w:color="auto"/>
        <w:right w:val="none" w:sz="0" w:space="0" w:color="auto"/>
      </w:divBdr>
    </w:div>
    <w:div w:id="1998410920">
      <w:bodyDiv w:val="1"/>
      <w:marLeft w:val="0"/>
      <w:marRight w:val="0"/>
      <w:marTop w:val="0"/>
      <w:marBottom w:val="0"/>
      <w:divBdr>
        <w:top w:val="none" w:sz="0" w:space="0" w:color="auto"/>
        <w:left w:val="none" w:sz="0" w:space="0" w:color="auto"/>
        <w:bottom w:val="none" w:sz="0" w:space="0" w:color="auto"/>
        <w:right w:val="none" w:sz="0" w:space="0" w:color="auto"/>
      </w:divBdr>
    </w:div>
    <w:div w:id="2001497855">
      <w:bodyDiv w:val="1"/>
      <w:marLeft w:val="0"/>
      <w:marRight w:val="0"/>
      <w:marTop w:val="0"/>
      <w:marBottom w:val="0"/>
      <w:divBdr>
        <w:top w:val="none" w:sz="0" w:space="0" w:color="auto"/>
        <w:left w:val="none" w:sz="0" w:space="0" w:color="auto"/>
        <w:bottom w:val="none" w:sz="0" w:space="0" w:color="auto"/>
        <w:right w:val="none" w:sz="0" w:space="0" w:color="auto"/>
      </w:divBdr>
    </w:div>
    <w:div w:id="2096900282">
      <w:bodyDiv w:val="1"/>
      <w:marLeft w:val="0"/>
      <w:marRight w:val="0"/>
      <w:marTop w:val="0"/>
      <w:marBottom w:val="0"/>
      <w:divBdr>
        <w:top w:val="none" w:sz="0" w:space="0" w:color="auto"/>
        <w:left w:val="none" w:sz="0" w:space="0" w:color="auto"/>
        <w:bottom w:val="none" w:sz="0" w:space="0" w:color="auto"/>
        <w:right w:val="none" w:sz="0" w:space="0" w:color="auto"/>
      </w:divBdr>
    </w:div>
    <w:div w:id="21168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supervisiones/castro_28_04_09.pdf" TargetMode="External"/><Relationship Id="rId1" Type="http://schemas.openxmlformats.org/officeDocument/2006/relationships/hyperlink" Target="http://www.corteidh.or.cr/docs/casos/articulos/seriec_160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94AE5-D4E4-4FE0-B4D7-2DBDBB5E0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11425</Words>
  <Characters>62839</Characters>
  <Application>Microsoft Office Word</Application>
  <DocSecurity>0</DocSecurity>
  <Lines>523</Lines>
  <Paragraphs>148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74116</CharactersWithSpaces>
  <SharedDoc>false</SharedDoc>
  <HLinks>
    <vt:vector size="54" baseType="variant">
      <vt:variant>
        <vt:i4>1376307</vt:i4>
      </vt:variant>
      <vt:variant>
        <vt:i4>26</vt:i4>
      </vt:variant>
      <vt:variant>
        <vt:i4>0</vt:i4>
      </vt:variant>
      <vt:variant>
        <vt:i4>5</vt:i4>
      </vt:variant>
      <vt:variant>
        <vt:lpwstr/>
      </vt:variant>
      <vt:variant>
        <vt:lpwstr>_Toc475555756</vt:lpwstr>
      </vt:variant>
      <vt:variant>
        <vt:i4>1376307</vt:i4>
      </vt:variant>
      <vt:variant>
        <vt:i4>20</vt:i4>
      </vt:variant>
      <vt:variant>
        <vt:i4>0</vt:i4>
      </vt:variant>
      <vt:variant>
        <vt:i4>5</vt:i4>
      </vt:variant>
      <vt:variant>
        <vt:lpwstr/>
      </vt:variant>
      <vt:variant>
        <vt:lpwstr>_Toc475555755</vt:lpwstr>
      </vt:variant>
      <vt:variant>
        <vt:i4>1376307</vt:i4>
      </vt:variant>
      <vt:variant>
        <vt:i4>14</vt:i4>
      </vt:variant>
      <vt:variant>
        <vt:i4>0</vt:i4>
      </vt:variant>
      <vt:variant>
        <vt:i4>5</vt:i4>
      </vt:variant>
      <vt:variant>
        <vt:lpwstr/>
      </vt:variant>
      <vt:variant>
        <vt:lpwstr>_Toc475555754</vt:lpwstr>
      </vt:variant>
      <vt:variant>
        <vt:i4>1376307</vt:i4>
      </vt:variant>
      <vt:variant>
        <vt:i4>8</vt:i4>
      </vt:variant>
      <vt:variant>
        <vt:i4>0</vt:i4>
      </vt:variant>
      <vt:variant>
        <vt:i4>5</vt:i4>
      </vt:variant>
      <vt:variant>
        <vt:lpwstr/>
      </vt:variant>
      <vt:variant>
        <vt:lpwstr>_Toc475555752</vt:lpwstr>
      </vt:variant>
      <vt:variant>
        <vt:i4>1310771</vt:i4>
      </vt:variant>
      <vt:variant>
        <vt:i4>2</vt:i4>
      </vt:variant>
      <vt:variant>
        <vt:i4>0</vt:i4>
      </vt:variant>
      <vt:variant>
        <vt:i4>5</vt:i4>
      </vt:variant>
      <vt:variant>
        <vt:lpwstr/>
      </vt:variant>
      <vt:variant>
        <vt:lpwstr>_Toc475555747</vt:lpwstr>
      </vt:variant>
      <vt:variant>
        <vt:i4>1703999</vt:i4>
      </vt:variant>
      <vt:variant>
        <vt:i4>9</vt:i4>
      </vt:variant>
      <vt:variant>
        <vt:i4>0</vt:i4>
      </vt:variant>
      <vt:variant>
        <vt:i4>5</vt:i4>
      </vt:variant>
      <vt:variant>
        <vt:lpwstr>http://www.corteidh.or.cr/docs/supervisiones/castro_31_03_14.pdf</vt:lpwstr>
      </vt:variant>
      <vt:variant>
        <vt:lpwstr/>
      </vt:variant>
      <vt:variant>
        <vt:i4>1966136</vt:i4>
      </vt:variant>
      <vt:variant>
        <vt:i4>6</vt:i4>
      </vt:variant>
      <vt:variant>
        <vt:i4>0</vt:i4>
      </vt:variant>
      <vt:variant>
        <vt:i4>5</vt:i4>
      </vt:variant>
      <vt:variant>
        <vt:lpwstr>http://www.corteidh.or.cr/docs/supervisiones/castro_28_04_09.pdf</vt:lpwstr>
      </vt:variant>
      <vt:variant>
        <vt:lpwstr/>
      </vt:variant>
      <vt:variant>
        <vt:i4>5767252</vt:i4>
      </vt:variant>
      <vt:variant>
        <vt:i4>3</vt:i4>
      </vt:variant>
      <vt:variant>
        <vt:i4>0</vt:i4>
      </vt:variant>
      <vt:variant>
        <vt:i4>5</vt:i4>
      </vt:variant>
      <vt:variant>
        <vt:lpwstr>http://www.corteidh.or.cr/docs/casos/articulos/seriec_181_esp.pdf</vt:lpwstr>
      </vt:variant>
      <vt:variant>
        <vt:lpwstr/>
      </vt:variant>
      <vt:variant>
        <vt:i4>5636181</vt:i4>
      </vt:variant>
      <vt:variant>
        <vt:i4>0</vt:i4>
      </vt:variant>
      <vt:variant>
        <vt:i4>0</vt:i4>
      </vt:variant>
      <vt:variant>
        <vt:i4>5</vt:i4>
      </vt:variant>
      <vt:variant>
        <vt:lpwstr>http://www.corteidh.or.cr/docs/casos/articulos/seriec_160_esp.pdf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2017-06-23T18:17:00Z</cp:lastPrinted>
  <dcterms:created xsi:type="dcterms:W3CDTF">2017-06-23T18:17:00Z</dcterms:created>
  <dcterms:modified xsi:type="dcterms:W3CDTF">2017-06-23T18:17:00Z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-560202697</vt:i4>
  </property>
</Properties>
</file>