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2210E" w:rsidRPr="005254A8" w:rsidRDefault="00E2210E" w:rsidP="00E2210E">
      <w:pPr>
        <w:jc w:val="center"/>
        <w:rPr>
          <w:rFonts w:eastAsia="Times New Roman" w:cs="Verdana"/>
          <w:b/>
          <w:bCs/>
          <w:caps/>
          <w:snapToGrid w:val="0"/>
          <w:lang w:val="es-CR" w:eastAsia="es-ES"/>
        </w:rPr>
      </w:pPr>
      <w:bookmarkStart w:id="0" w:name="_GoBack"/>
      <w:bookmarkEnd w:id="0"/>
    </w:p>
    <w:p w:rsidR="00E2210E" w:rsidRPr="005254A8" w:rsidRDefault="00E2210E" w:rsidP="00E2210E">
      <w:pPr>
        <w:jc w:val="center"/>
        <w:rPr>
          <w:rFonts w:eastAsia="Times New Roman" w:cs="Verdana"/>
          <w:b/>
          <w:bCs/>
          <w:caps/>
          <w:snapToGrid w:val="0"/>
          <w:lang w:val="es-CR" w:eastAsia="es-ES"/>
        </w:rPr>
      </w:pPr>
    </w:p>
    <w:p w:rsidR="00E2210E" w:rsidRPr="005254A8" w:rsidRDefault="00E2210E" w:rsidP="00E2210E">
      <w:pPr>
        <w:jc w:val="center"/>
        <w:rPr>
          <w:rFonts w:eastAsia="Times New Roman" w:cs="Verdana"/>
          <w:b/>
          <w:bCs/>
          <w:caps/>
          <w:snapToGrid w:val="0"/>
          <w:lang w:val="es-CR" w:eastAsia="es-ES"/>
        </w:rPr>
      </w:pPr>
    </w:p>
    <w:p w:rsidR="00E2210E" w:rsidRPr="005254A8" w:rsidRDefault="00E2210E" w:rsidP="00E2210E">
      <w:pPr>
        <w:jc w:val="center"/>
        <w:rPr>
          <w:rFonts w:eastAsia="Times New Roman" w:cs="Verdana"/>
          <w:b/>
          <w:bCs/>
          <w:caps/>
          <w:snapToGrid w:val="0"/>
          <w:lang w:val="es-CR" w:eastAsia="es-ES"/>
        </w:rPr>
      </w:pPr>
      <w:r w:rsidRPr="005254A8">
        <w:rPr>
          <w:rFonts w:eastAsia="Times New Roman" w:cs="Verdana"/>
          <w:b/>
          <w:bCs/>
          <w:caps/>
          <w:snapToGrid w:val="0"/>
          <w:lang w:val="es-CR" w:eastAsia="es-ES"/>
        </w:rPr>
        <w:t>Corte Interamericana de Derechos Humanos</w:t>
      </w:r>
    </w:p>
    <w:p w:rsidR="00E2210E" w:rsidRPr="005254A8" w:rsidRDefault="00E2210E" w:rsidP="00E2210E">
      <w:pPr>
        <w:jc w:val="center"/>
        <w:rPr>
          <w:rFonts w:eastAsia="Times New Roman" w:cs="Verdana"/>
          <w:b/>
          <w:bCs/>
          <w:caps/>
          <w:snapToGrid w:val="0"/>
          <w:lang w:val="es-CR" w:eastAsia="es-ES"/>
        </w:rPr>
      </w:pPr>
    </w:p>
    <w:p w:rsidR="00E2210E" w:rsidRPr="005254A8" w:rsidRDefault="00E2210E" w:rsidP="00E2210E">
      <w:pPr>
        <w:jc w:val="center"/>
        <w:rPr>
          <w:rFonts w:eastAsia="Times New Roman" w:cs="Verdana"/>
          <w:b/>
          <w:bCs/>
          <w:caps/>
          <w:snapToGrid w:val="0"/>
          <w:lang w:val="es-CR" w:eastAsia="es-ES"/>
        </w:rPr>
      </w:pPr>
    </w:p>
    <w:p w:rsidR="00E2210E" w:rsidRPr="005254A8" w:rsidRDefault="00E2210E" w:rsidP="00E2210E">
      <w:pPr>
        <w:jc w:val="center"/>
        <w:rPr>
          <w:rFonts w:eastAsia="Times New Roman" w:cs="Verdana"/>
          <w:b/>
          <w:bCs/>
          <w:caps/>
          <w:snapToGrid w:val="0"/>
          <w:lang w:val="es-CR" w:eastAsia="es-ES"/>
        </w:rPr>
      </w:pPr>
      <w:r w:rsidRPr="005254A8">
        <w:rPr>
          <w:rFonts w:eastAsia="MS Mincho"/>
          <w:b/>
          <w:lang w:val="es-CR"/>
        </w:rPr>
        <w:t xml:space="preserve">CASO ESPINOZA GONZÁLES </w:t>
      </w:r>
      <w:r w:rsidRPr="005254A8">
        <w:rPr>
          <w:rFonts w:eastAsia="MS Mincho"/>
          <w:b/>
          <w:i/>
          <w:lang w:val="es-CR"/>
        </w:rPr>
        <w:t>VS.</w:t>
      </w:r>
      <w:r w:rsidRPr="005254A8">
        <w:rPr>
          <w:rFonts w:eastAsia="MS Mincho"/>
          <w:b/>
          <w:lang w:val="es-CR"/>
        </w:rPr>
        <w:t xml:space="preserve"> PERÚ</w:t>
      </w:r>
    </w:p>
    <w:p w:rsidR="00E2210E" w:rsidRPr="005254A8" w:rsidRDefault="00E2210E" w:rsidP="00E2210E">
      <w:pPr>
        <w:jc w:val="center"/>
        <w:rPr>
          <w:rFonts w:eastAsia="Times New Roman" w:cs="Verdana"/>
          <w:b/>
          <w:bCs/>
          <w:caps/>
          <w:snapToGrid w:val="0"/>
          <w:lang w:val="es-CR" w:eastAsia="es-ES"/>
        </w:rPr>
      </w:pPr>
    </w:p>
    <w:p w:rsidR="00E2210E" w:rsidRPr="005254A8" w:rsidRDefault="00E2210E" w:rsidP="00E2210E">
      <w:pPr>
        <w:jc w:val="center"/>
        <w:rPr>
          <w:rFonts w:eastAsia="Times New Roman" w:cs="Verdana"/>
          <w:b/>
          <w:bCs/>
          <w:caps/>
          <w:snapToGrid w:val="0"/>
          <w:lang w:val="es-CR" w:eastAsia="es-ES"/>
        </w:rPr>
      </w:pPr>
    </w:p>
    <w:p w:rsidR="00E2210E" w:rsidRPr="005254A8" w:rsidRDefault="00E2210E" w:rsidP="00E2210E">
      <w:pPr>
        <w:jc w:val="center"/>
        <w:rPr>
          <w:rFonts w:eastAsia="Times New Roman" w:cs="Verdana"/>
          <w:b/>
          <w:bCs/>
          <w:caps/>
          <w:snapToGrid w:val="0"/>
          <w:lang w:val="es-CR" w:eastAsia="es-ES"/>
        </w:rPr>
      </w:pPr>
      <w:r w:rsidRPr="005254A8">
        <w:rPr>
          <w:rFonts w:eastAsia="Times New Roman" w:cs="Verdana"/>
          <w:b/>
          <w:bCs/>
          <w:caps/>
          <w:snapToGrid w:val="0"/>
          <w:lang w:val="es-CR" w:eastAsia="es-ES"/>
        </w:rPr>
        <w:t xml:space="preserve">Sentencia de </w:t>
      </w:r>
      <w:r w:rsidR="00A51F30">
        <w:rPr>
          <w:rFonts w:eastAsia="Times New Roman" w:cs="Verdana"/>
          <w:b/>
          <w:bCs/>
          <w:caps/>
          <w:snapToGrid w:val="0"/>
          <w:lang w:val="es-CR" w:eastAsia="es-ES"/>
        </w:rPr>
        <w:t>23</w:t>
      </w:r>
      <w:r w:rsidR="003104C4" w:rsidRPr="005254A8">
        <w:rPr>
          <w:rFonts w:eastAsia="Times New Roman" w:cs="Verdana"/>
          <w:b/>
          <w:bCs/>
          <w:caps/>
          <w:snapToGrid w:val="0"/>
          <w:lang w:val="es-CR" w:eastAsia="es-ES"/>
        </w:rPr>
        <w:t xml:space="preserve"> </w:t>
      </w:r>
      <w:r w:rsidRPr="005254A8">
        <w:rPr>
          <w:rFonts w:eastAsia="Times New Roman" w:cs="Verdana"/>
          <w:b/>
          <w:bCs/>
          <w:caps/>
          <w:snapToGrid w:val="0"/>
          <w:lang w:val="es-CR" w:eastAsia="es-ES"/>
        </w:rPr>
        <w:t xml:space="preserve">DE </w:t>
      </w:r>
      <w:r w:rsidR="003104C4">
        <w:rPr>
          <w:rFonts w:eastAsia="Times New Roman" w:cs="Verdana"/>
          <w:b/>
          <w:bCs/>
          <w:caps/>
          <w:snapToGrid w:val="0"/>
          <w:lang w:val="es-CR" w:eastAsia="es-ES"/>
        </w:rPr>
        <w:t>junio</w:t>
      </w:r>
      <w:r w:rsidR="003104C4" w:rsidRPr="005254A8">
        <w:rPr>
          <w:rFonts w:eastAsia="Times New Roman" w:cs="Verdana"/>
          <w:b/>
          <w:bCs/>
          <w:caps/>
          <w:snapToGrid w:val="0"/>
          <w:lang w:val="es-CR" w:eastAsia="es-ES"/>
        </w:rPr>
        <w:t xml:space="preserve"> </w:t>
      </w:r>
      <w:r w:rsidRPr="005254A8">
        <w:rPr>
          <w:rFonts w:eastAsia="Times New Roman" w:cs="Verdana"/>
          <w:b/>
          <w:bCs/>
          <w:caps/>
          <w:snapToGrid w:val="0"/>
          <w:lang w:val="es-CR" w:eastAsia="es-ES"/>
        </w:rPr>
        <w:t>DE 201</w:t>
      </w:r>
      <w:r w:rsidR="003104C4">
        <w:rPr>
          <w:rFonts w:eastAsia="Times New Roman" w:cs="Verdana"/>
          <w:b/>
          <w:bCs/>
          <w:caps/>
          <w:snapToGrid w:val="0"/>
          <w:lang w:val="es-CR" w:eastAsia="es-ES"/>
        </w:rPr>
        <w:t>5</w:t>
      </w:r>
    </w:p>
    <w:p w:rsidR="00E2210E" w:rsidRPr="005254A8" w:rsidRDefault="00E2210E" w:rsidP="00E2210E">
      <w:pPr>
        <w:jc w:val="center"/>
        <w:rPr>
          <w:rFonts w:eastAsia="Times New Roman" w:cs="Verdana"/>
          <w:b/>
          <w:bCs/>
          <w:caps/>
          <w:snapToGrid w:val="0"/>
          <w:lang w:val="es-CR" w:eastAsia="es-ES"/>
        </w:rPr>
      </w:pPr>
    </w:p>
    <w:p w:rsidR="00AA0B89" w:rsidRDefault="00E2210E" w:rsidP="00E2210E">
      <w:pPr>
        <w:jc w:val="center"/>
        <w:rPr>
          <w:rFonts w:eastAsia="Times New Roman" w:cs="Verdana"/>
          <w:b/>
          <w:bCs/>
          <w:i/>
          <w:snapToGrid w:val="0"/>
          <w:lang w:val="es-CR" w:eastAsia="es-ES"/>
        </w:rPr>
      </w:pPr>
      <w:r w:rsidRPr="005254A8">
        <w:rPr>
          <w:rFonts w:eastAsia="Times New Roman" w:cs="Verdana"/>
          <w:b/>
          <w:bCs/>
          <w:i/>
          <w:snapToGrid w:val="0"/>
          <w:lang w:val="es-CR" w:eastAsia="es-ES"/>
        </w:rPr>
        <w:t>(Interpretación de la Sentencia de</w:t>
      </w:r>
      <w:r w:rsidR="00AA0B89">
        <w:rPr>
          <w:rFonts w:eastAsia="Times New Roman" w:cs="Verdana"/>
          <w:b/>
          <w:bCs/>
          <w:i/>
          <w:snapToGrid w:val="0"/>
          <w:lang w:val="es-CR" w:eastAsia="es-ES"/>
        </w:rPr>
        <w:t xml:space="preserve"> </w:t>
      </w:r>
      <w:r w:rsidRPr="005254A8">
        <w:rPr>
          <w:rFonts w:eastAsia="Times New Roman" w:cs="Verdana"/>
          <w:b/>
          <w:bCs/>
          <w:i/>
          <w:snapToGrid w:val="0"/>
          <w:lang w:val="es-CR" w:eastAsia="es-ES"/>
        </w:rPr>
        <w:t xml:space="preserve">Excepciones Preliminares, </w:t>
      </w:r>
    </w:p>
    <w:p w:rsidR="00E2210E" w:rsidRPr="005254A8" w:rsidRDefault="00E2210E" w:rsidP="00E2210E">
      <w:pPr>
        <w:jc w:val="center"/>
        <w:rPr>
          <w:rFonts w:eastAsia="Times New Roman" w:cs="Verdana"/>
          <w:b/>
          <w:bCs/>
          <w:i/>
          <w:snapToGrid w:val="0"/>
          <w:lang w:val="es-CR" w:eastAsia="es-ES"/>
        </w:rPr>
      </w:pPr>
      <w:r w:rsidRPr="005254A8">
        <w:rPr>
          <w:rFonts w:eastAsia="Times New Roman" w:cs="Verdana"/>
          <w:b/>
          <w:bCs/>
          <w:i/>
          <w:snapToGrid w:val="0"/>
          <w:lang w:val="es-CR" w:eastAsia="es-ES"/>
        </w:rPr>
        <w:t>Fondo, Reparaciones y Costas</w:t>
      </w:r>
      <w:r w:rsidRPr="005254A8">
        <w:rPr>
          <w:rFonts w:eastAsia="Times New Roman" w:cs="Verdana"/>
          <w:b/>
          <w:bCs/>
          <w:i/>
          <w:caps/>
          <w:snapToGrid w:val="0"/>
          <w:lang w:val="es-CR" w:eastAsia="es-ES"/>
        </w:rPr>
        <w:t>)</w:t>
      </w:r>
    </w:p>
    <w:p w:rsidR="00E2210E" w:rsidRPr="005254A8" w:rsidRDefault="00E2210E" w:rsidP="00E2210E">
      <w:pPr>
        <w:jc w:val="both"/>
        <w:rPr>
          <w:lang w:val="es-CR"/>
        </w:rPr>
      </w:pPr>
    </w:p>
    <w:p w:rsidR="00E2210E" w:rsidRPr="005254A8" w:rsidRDefault="00E2210E" w:rsidP="00E2210E">
      <w:pPr>
        <w:jc w:val="both"/>
        <w:rPr>
          <w:lang w:val="es-CR"/>
        </w:rPr>
      </w:pPr>
    </w:p>
    <w:p w:rsidR="00E2210E" w:rsidRPr="005254A8" w:rsidRDefault="00E2210E" w:rsidP="00E2210E">
      <w:pPr>
        <w:jc w:val="both"/>
        <w:rPr>
          <w:lang w:val="es-CR"/>
        </w:rPr>
      </w:pPr>
    </w:p>
    <w:p w:rsidR="00E2210E" w:rsidRPr="005254A8" w:rsidRDefault="00E2210E" w:rsidP="00E2210E">
      <w:pPr>
        <w:rPr>
          <w:lang w:val="es-CR"/>
        </w:rPr>
      </w:pPr>
      <w:r w:rsidRPr="005254A8">
        <w:rPr>
          <w:lang w:val="es-CR"/>
        </w:rPr>
        <w:t xml:space="preserve">En el caso </w:t>
      </w:r>
      <w:r w:rsidRPr="005254A8">
        <w:rPr>
          <w:i/>
          <w:spacing w:val="-2"/>
        </w:rPr>
        <w:t>Espinoza Gonzáles Vs. Perú,</w:t>
      </w:r>
    </w:p>
    <w:p w:rsidR="00E2210E" w:rsidRPr="005254A8" w:rsidRDefault="00E2210E" w:rsidP="00E2210E">
      <w:pPr>
        <w:rPr>
          <w:lang w:val="es-CR"/>
        </w:rPr>
      </w:pPr>
    </w:p>
    <w:p w:rsidR="00E2210E" w:rsidRPr="005254A8" w:rsidRDefault="00E2210E" w:rsidP="00E2210E">
      <w:pPr>
        <w:rPr>
          <w:lang w:val="es-CR"/>
        </w:rPr>
      </w:pPr>
      <w:proofErr w:type="gramStart"/>
      <w:r w:rsidRPr="005254A8">
        <w:rPr>
          <w:lang w:val="es-CR"/>
        </w:rPr>
        <w:t>la</w:t>
      </w:r>
      <w:proofErr w:type="gramEnd"/>
      <w:r w:rsidRPr="005254A8">
        <w:rPr>
          <w:lang w:val="es-CR"/>
        </w:rPr>
        <w:t xml:space="preserve"> Corte Interamericana de Derechos Humanos (en adelante “la Corte Interamericana”, “la Corte” </w:t>
      </w:r>
      <w:r w:rsidRPr="005254A8">
        <w:rPr>
          <w:rFonts w:cs="Verdana"/>
          <w:lang w:val="es-CR"/>
        </w:rPr>
        <w:t>o “</w:t>
      </w:r>
      <w:r w:rsidR="00AA0B89">
        <w:rPr>
          <w:rFonts w:cs="Verdana"/>
          <w:lang w:val="es-CR"/>
        </w:rPr>
        <w:t>el</w:t>
      </w:r>
      <w:r w:rsidR="00AA0B89" w:rsidRPr="005254A8">
        <w:rPr>
          <w:rFonts w:cs="Verdana"/>
          <w:lang w:val="es-CR"/>
        </w:rPr>
        <w:t xml:space="preserve"> </w:t>
      </w:r>
      <w:r w:rsidRPr="005254A8">
        <w:rPr>
          <w:rFonts w:cs="Verdana"/>
          <w:lang w:val="es-CR"/>
        </w:rPr>
        <w:t>Tribunal”</w:t>
      </w:r>
      <w:r w:rsidRPr="005254A8">
        <w:rPr>
          <w:lang w:val="es-CR"/>
        </w:rPr>
        <w:t>), integrada por los siguientes Jueces</w:t>
      </w:r>
      <w:r w:rsidRPr="005254A8">
        <w:rPr>
          <w:rStyle w:val="Refdenotaalpie"/>
          <w:lang w:val="es-CR"/>
        </w:rPr>
        <w:footnoteReference w:customMarkFollows="1" w:id="1"/>
        <w:sym w:font="Symbol" w:char="F02A"/>
      </w:r>
      <w:r w:rsidRPr="005254A8">
        <w:rPr>
          <w:lang w:val="es-CR"/>
        </w:rPr>
        <w:t>:</w:t>
      </w:r>
    </w:p>
    <w:p w:rsidR="00E2210E" w:rsidRPr="005254A8" w:rsidRDefault="00E2210E" w:rsidP="00E2210E">
      <w:pPr>
        <w:rPr>
          <w:lang w:val="es-CR"/>
        </w:rPr>
      </w:pPr>
    </w:p>
    <w:p w:rsidR="00E2210E" w:rsidRPr="005254A8" w:rsidRDefault="00E2210E" w:rsidP="00E2210E">
      <w:pPr>
        <w:tabs>
          <w:tab w:val="left" w:pos="567"/>
          <w:tab w:val="left" w:pos="720"/>
        </w:tabs>
        <w:rPr>
          <w:rFonts w:eastAsia="Times New Roman" w:cs="Verdana"/>
          <w:lang w:val="es-CR"/>
        </w:rPr>
      </w:pPr>
      <w:r w:rsidRPr="005254A8">
        <w:rPr>
          <w:rFonts w:eastAsia="Times New Roman" w:cs="Verdana"/>
          <w:lang w:val="es-CR"/>
        </w:rPr>
        <w:t>Humberto Antonio Sierra Porto, Presidente;</w:t>
      </w:r>
    </w:p>
    <w:p w:rsidR="00E2210E" w:rsidRPr="005254A8" w:rsidRDefault="00E2210E" w:rsidP="00E2210E">
      <w:pPr>
        <w:tabs>
          <w:tab w:val="left" w:pos="567"/>
          <w:tab w:val="left" w:pos="720"/>
        </w:tabs>
        <w:rPr>
          <w:rFonts w:eastAsia="Times New Roman" w:cs="Verdana"/>
          <w:lang w:val="es-CR"/>
        </w:rPr>
      </w:pPr>
      <w:r w:rsidRPr="005254A8">
        <w:rPr>
          <w:rFonts w:eastAsia="Times New Roman" w:cs="Verdana"/>
          <w:lang w:val="es-CR"/>
        </w:rPr>
        <w:t>Roberto F. Caldas, Vicepresidente;</w:t>
      </w:r>
    </w:p>
    <w:p w:rsidR="00E2210E" w:rsidRPr="005254A8" w:rsidRDefault="00E2210E" w:rsidP="00E2210E">
      <w:pPr>
        <w:tabs>
          <w:tab w:val="left" w:pos="567"/>
          <w:tab w:val="left" w:pos="720"/>
        </w:tabs>
        <w:rPr>
          <w:rFonts w:eastAsia="Times New Roman" w:cs="Verdana"/>
          <w:lang w:val="es-CR"/>
        </w:rPr>
      </w:pPr>
      <w:r w:rsidRPr="005254A8">
        <w:rPr>
          <w:rFonts w:eastAsia="Times New Roman" w:cs="Verdana"/>
          <w:lang w:val="es-CR"/>
        </w:rPr>
        <w:t>Manuel E. Ventura Robles, Juez;</w:t>
      </w:r>
    </w:p>
    <w:p w:rsidR="00E2210E" w:rsidRPr="005254A8" w:rsidRDefault="00E2210E" w:rsidP="00E2210E">
      <w:pPr>
        <w:tabs>
          <w:tab w:val="left" w:pos="567"/>
          <w:tab w:val="left" w:pos="720"/>
        </w:tabs>
        <w:rPr>
          <w:rFonts w:eastAsia="Times New Roman" w:cs="Verdana"/>
          <w:lang w:val="es-CR"/>
        </w:rPr>
      </w:pPr>
      <w:r w:rsidRPr="005254A8">
        <w:rPr>
          <w:rFonts w:eastAsia="Times New Roman" w:cs="Verdana"/>
          <w:lang w:val="es-CR"/>
        </w:rPr>
        <w:t xml:space="preserve">Alberto Pérez </w:t>
      </w:r>
      <w:proofErr w:type="spellStart"/>
      <w:r w:rsidRPr="005254A8">
        <w:rPr>
          <w:rFonts w:eastAsia="Times New Roman" w:cs="Verdana"/>
          <w:lang w:val="es-CR"/>
        </w:rPr>
        <w:t>Pérez</w:t>
      </w:r>
      <w:proofErr w:type="spellEnd"/>
      <w:r w:rsidRPr="005254A8">
        <w:rPr>
          <w:rFonts w:eastAsia="Times New Roman" w:cs="Verdana"/>
          <w:lang w:val="es-CR"/>
        </w:rPr>
        <w:t>, Juez;</w:t>
      </w:r>
    </w:p>
    <w:p w:rsidR="00E2210E" w:rsidRPr="005254A8" w:rsidRDefault="00E2210E" w:rsidP="00E2210E">
      <w:pPr>
        <w:tabs>
          <w:tab w:val="left" w:pos="567"/>
          <w:tab w:val="left" w:pos="720"/>
        </w:tabs>
        <w:rPr>
          <w:rFonts w:eastAsia="Times New Roman" w:cs="Verdana"/>
          <w:u w:val="single"/>
          <w:lang w:val="es-CR"/>
        </w:rPr>
      </w:pPr>
      <w:r w:rsidRPr="005254A8">
        <w:rPr>
          <w:rFonts w:eastAsia="Times New Roman" w:cs="Verdana"/>
          <w:lang w:val="es-CR"/>
        </w:rPr>
        <w:t>Eduardo Vio Grossi, Juez, y</w:t>
      </w:r>
    </w:p>
    <w:p w:rsidR="00E2210E" w:rsidRPr="005254A8" w:rsidRDefault="00E2210E" w:rsidP="00E2210E">
      <w:pPr>
        <w:tabs>
          <w:tab w:val="left" w:pos="567"/>
          <w:tab w:val="left" w:pos="720"/>
        </w:tabs>
        <w:rPr>
          <w:rFonts w:eastAsia="Times New Roman"/>
          <w:lang w:val="es-CR"/>
        </w:rPr>
      </w:pPr>
      <w:r w:rsidRPr="005254A8">
        <w:rPr>
          <w:rFonts w:eastAsia="Times New Roman" w:cs="Verdana"/>
          <w:lang w:val="es-CR"/>
        </w:rPr>
        <w:t>Eduardo Ferrer Mac-</w:t>
      </w:r>
      <w:proofErr w:type="spellStart"/>
      <w:r w:rsidRPr="005254A8">
        <w:rPr>
          <w:rFonts w:eastAsia="Times New Roman" w:cs="Verdana"/>
          <w:lang w:val="es-CR"/>
        </w:rPr>
        <w:t>Gregor</w:t>
      </w:r>
      <w:proofErr w:type="spellEnd"/>
      <w:r w:rsidRPr="005254A8">
        <w:rPr>
          <w:rFonts w:eastAsia="Times New Roman" w:cs="Verdana"/>
          <w:lang w:val="es-CR"/>
        </w:rPr>
        <w:t xml:space="preserve"> </w:t>
      </w:r>
      <w:proofErr w:type="spellStart"/>
      <w:r w:rsidRPr="005254A8">
        <w:rPr>
          <w:rFonts w:eastAsia="Times New Roman" w:cs="Verdana"/>
          <w:lang w:val="es-CR"/>
        </w:rPr>
        <w:t>Poisot</w:t>
      </w:r>
      <w:proofErr w:type="spellEnd"/>
      <w:r w:rsidRPr="005254A8">
        <w:rPr>
          <w:rFonts w:eastAsia="Times New Roman" w:cs="Verdana"/>
          <w:lang w:val="es-CR"/>
        </w:rPr>
        <w:t>, Juez;</w:t>
      </w:r>
    </w:p>
    <w:p w:rsidR="00E2210E" w:rsidRPr="005254A8" w:rsidRDefault="00E2210E" w:rsidP="00E2210E">
      <w:pPr>
        <w:tabs>
          <w:tab w:val="left" w:pos="720"/>
        </w:tabs>
        <w:rPr>
          <w:lang w:val="es-CR"/>
        </w:rPr>
      </w:pPr>
    </w:p>
    <w:p w:rsidR="00E2210E" w:rsidRPr="005254A8" w:rsidRDefault="00E2210E" w:rsidP="00E2210E">
      <w:pPr>
        <w:tabs>
          <w:tab w:val="left" w:pos="720"/>
        </w:tabs>
        <w:rPr>
          <w:lang w:val="es-CR"/>
        </w:rPr>
      </w:pPr>
      <w:proofErr w:type="gramStart"/>
      <w:r w:rsidRPr="005254A8">
        <w:rPr>
          <w:lang w:val="es-CR"/>
        </w:rPr>
        <w:t>presentes</w:t>
      </w:r>
      <w:proofErr w:type="gramEnd"/>
      <w:r w:rsidRPr="005254A8">
        <w:rPr>
          <w:lang w:val="es-CR"/>
        </w:rPr>
        <w:t>, además,</w:t>
      </w:r>
    </w:p>
    <w:p w:rsidR="00E2210E" w:rsidRPr="005254A8" w:rsidRDefault="00E2210E" w:rsidP="00E2210E">
      <w:pPr>
        <w:tabs>
          <w:tab w:val="left" w:pos="720"/>
        </w:tabs>
        <w:rPr>
          <w:lang w:val="es-CR"/>
        </w:rPr>
      </w:pPr>
    </w:p>
    <w:p w:rsidR="00E2210E" w:rsidRPr="005254A8" w:rsidRDefault="00E2210E" w:rsidP="00E2210E">
      <w:pPr>
        <w:tabs>
          <w:tab w:val="left" w:pos="720"/>
        </w:tabs>
        <w:rPr>
          <w:lang w:val="es-CR"/>
        </w:rPr>
      </w:pPr>
      <w:r w:rsidRPr="005254A8">
        <w:rPr>
          <w:lang w:val="es-CR"/>
        </w:rPr>
        <w:t xml:space="preserve">Pablo Saavedra Alessandri, Secretario, y </w:t>
      </w:r>
    </w:p>
    <w:p w:rsidR="00E2210E" w:rsidRPr="005254A8" w:rsidRDefault="00E2210E" w:rsidP="00E2210E">
      <w:pPr>
        <w:tabs>
          <w:tab w:val="left" w:pos="720"/>
        </w:tabs>
        <w:rPr>
          <w:lang w:val="es-CR"/>
        </w:rPr>
      </w:pPr>
      <w:r w:rsidRPr="005254A8">
        <w:rPr>
          <w:lang w:val="es-CR" w:eastAsia="es-MX"/>
        </w:rPr>
        <w:t>Emilia Segares Rodríguez, Secretaria Adjunta,</w:t>
      </w:r>
    </w:p>
    <w:p w:rsidR="00E2210E" w:rsidRPr="005254A8" w:rsidRDefault="00E2210E" w:rsidP="00E2210E">
      <w:pPr>
        <w:jc w:val="both"/>
        <w:rPr>
          <w:lang w:val="es-CR"/>
        </w:rPr>
      </w:pPr>
    </w:p>
    <w:p w:rsidR="00E2210E" w:rsidRPr="005254A8" w:rsidRDefault="00E2210E" w:rsidP="00E2210E">
      <w:pPr>
        <w:autoSpaceDE w:val="0"/>
        <w:autoSpaceDN w:val="0"/>
        <w:adjustRightInd w:val="0"/>
        <w:jc w:val="both"/>
        <w:rPr>
          <w:rFonts w:eastAsia="Calibri" w:cs="Verdana"/>
          <w:b/>
          <w:lang w:val="es-CR"/>
        </w:rPr>
      </w:pPr>
      <w:r w:rsidRPr="005254A8">
        <w:rPr>
          <w:rFonts w:eastAsia="Calibri" w:cs="Verdana"/>
          <w:lang w:val="es-CR"/>
        </w:rPr>
        <w:t xml:space="preserve">de conformidad con el artículo 67 de la Convención Americana sobre Derechos Humanos (en adelante también “la Convención Americana” o “la Convención”) y el artículo 68 del Reglamento de la Corte (en adelante “el Reglamento”), resuelve la solicitud de interpretación de la Sentencia de excepciones preliminares, fondo, reparaciones y costas emitida por este Tribunal el 20 de noviembre de 2014 en el presente caso (en adelante también “la Sentencia”), interpuesta el 18 de marzo de 2015 por </w:t>
      </w:r>
      <w:r w:rsidR="00843505">
        <w:rPr>
          <w:lang w:val="es-CR"/>
        </w:rPr>
        <w:t>el Estado</w:t>
      </w:r>
      <w:r w:rsidRPr="005254A8">
        <w:rPr>
          <w:lang w:val="es-CR"/>
        </w:rPr>
        <w:t xml:space="preserve"> del Perú </w:t>
      </w:r>
      <w:r w:rsidRPr="005254A8">
        <w:rPr>
          <w:bCs/>
          <w:lang w:val="es-CR"/>
        </w:rPr>
        <w:t xml:space="preserve">(en adelante </w:t>
      </w:r>
      <w:r w:rsidRPr="005254A8">
        <w:rPr>
          <w:lang w:val="es-CR"/>
        </w:rPr>
        <w:t>“el Estado peruano”,</w:t>
      </w:r>
      <w:r w:rsidRPr="005254A8">
        <w:rPr>
          <w:bCs/>
          <w:lang w:val="es-CR"/>
        </w:rPr>
        <w:t xml:space="preserve"> “el Estado” o “Perú”)</w:t>
      </w:r>
      <w:r w:rsidRPr="005254A8">
        <w:rPr>
          <w:rFonts w:eastAsia="Calibri" w:cs="Verdana"/>
          <w:lang w:val="es-CR"/>
        </w:rPr>
        <w:t xml:space="preserve">. </w:t>
      </w:r>
    </w:p>
    <w:p w:rsidR="00E2210E" w:rsidRPr="005254A8" w:rsidRDefault="00E2210E" w:rsidP="00E2210E">
      <w:pPr>
        <w:autoSpaceDE w:val="0"/>
        <w:autoSpaceDN w:val="0"/>
        <w:adjustRightInd w:val="0"/>
        <w:jc w:val="both"/>
        <w:rPr>
          <w:rFonts w:eastAsia="Calibri" w:cs="Verdana"/>
          <w:lang w:val="es-CR"/>
        </w:rPr>
      </w:pPr>
    </w:p>
    <w:p w:rsidR="00E2210E" w:rsidRPr="005254A8" w:rsidRDefault="00E2210E" w:rsidP="00E2210E">
      <w:pPr>
        <w:autoSpaceDE w:val="0"/>
        <w:autoSpaceDN w:val="0"/>
        <w:adjustRightInd w:val="0"/>
        <w:jc w:val="both"/>
        <w:rPr>
          <w:rFonts w:eastAsia="Calibri" w:cs="Verdana"/>
          <w:lang w:val="es-CR"/>
        </w:rPr>
      </w:pPr>
      <w:r w:rsidRPr="005254A8">
        <w:rPr>
          <w:rFonts w:eastAsia="Calibri" w:cs="Verdana"/>
          <w:lang w:val="es-CR"/>
        </w:rPr>
        <w:br w:type="page"/>
      </w:r>
    </w:p>
    <w:p w:rsidR="00E2210E" w:rsidRPr="005254A8" w:rsidRDefault="00E2210E" w:rsidP="00E2210E">
      <w:pPr>
        <w:pStyle w:val="Ttulo1"/>
      </w:pPr>
      <w:r w:rsidRPr="005254A8">
        <w:t>I</w:t>
      </w:r>
      <w:r w:rsidRPr="005254A8">
        <w:rPr>
          <w:b w:val="0"/>
          <w:bCs w:val="0"/>
          <w:caps w:val="0"/>
          <w:kern w:val="32"/>
        </w:rPr>
        <w:br/>
      </w:r>
      <w:r w:rsidRPr="005254A8">
        <w:rPr>
          <w:rFonts w:eastAsia="Calibri"/>
        </w:rPr>
        <w:t>SOLICITUD DE INTERPRETACIÓN</w:t>
      </w:r>
      <w:r w:rsidRPr="005254A8">
        <w:rPr>
          <w:b w:val="0"/>
          <w:bCs w:val="0"/>
          <w:caps w:val="0"/>
          <w:kern w:val="32"/>
        </w:rPr>
        <w:br/>
      </w:r>
      <w:r w:rsidRPr="005254A8">
        <w:rPr>
          <w:rFonts w:eastAsia="Calibri"/>
        </w:rPr>
        <w:t>Y PROCEDIMIENTO ANTE LA CORTE</w:t>
      </w:r>
    </w:p>
    <w:p w:rsidR="00E2210E" w:rsidRPr="005254A8" w:rsidRDefault="00E2210E" w:rsidP="00E2210E">
      <w:pPr>
        <w:jc w:val="both"/>
        <w:rPr>
          <w:lang w:val="es-CR"/>
        </w:rPr>
      </w:pPr>
    </w:p>
    <w:p w:rsidR="00E2210E" w:rsidRPr="00A503DF" w:rsidRDefault="00E2210E" w:rsidP="00E2210E">
      <w:pPr>
        <w:numPr>
          <w:ilvl w:val="0"/>
          <w:numId w:val="1"/>
        </w:numPr>
        <w:tabs>
          <w:tab w:val="num" w:pos="720"/>
        </w:tabs>
        <w:autoSpaceDE w:val="0"/>
        <w:autoSpaceDN w:val="0"/>
        <w:adjustRightInd w:val="0"/>
        <w:jc w:val="both"/>
        <w:rPr>
          <w:rFonts w:eastAsia="Calibri" w:cs="Verdana"/>
          <w:lang w:val="es-CR"/>
        </w:rPr>
      </w:pPr>
      <w:r w:rsidRPr="005254A8">
        <w:rPr>
          <w:rFonts w:eastAsia="Calibri" w:cs="Verdana"/>
          <w:lang w:val="es-CR"/>
        </w:rPr>
        <w:t xml:space="preserve">El 20 de noviembre de 2014 </w:t>
      </w:r>
      <w:r w:rsidRPr="005254A8">
        <w:rPr>
          <w:lang w:val="es-CR"/>
        </w:rPr>
        <w:t>la Corte emitió la Sentencia</w:t>
      </w:r>
      <w:r w:rsidR="00AA4F29">
        <w:rPr>
          <w:lang w:val="es-CR"/>
        </w:rPr>
        <w:t xml:space="preserve"> de</w:t>
      </w:r>
      <w:r w:rsidR="005F36A8">
        <w:rPr>
          <w:lang w:val="es-CR"/>
        </w:rPr>
        <w:t xml:space="preserve"> </w:t>
      </w:r>
      <w:r w:rsidR="003104C4">
        <w:rPr>
          <w:lang w:val="es-CR"/>
        </w:rPr>
        <w:t>e</w:t>
      </w:r>
      <w:r w:rsidR="005F36A8">
        <w:rPr>
          <w:lang w:val="es-CR"/>
        </w:rPr>
        <w:t xml:space="preserve">xcepciones </w:t>
      </w:r>
      <w:r w:rsidR="003104C4">
        <w:rPr>
          <w:lang w:val="es-CR"/>
        </w:rPr>
        <w:t>pre</w:t>
      </w:r>
      <w:r w:rsidR="005F36A8">
        <w:rPr>
          <w:lang w:val="es-CR"/>
        </w:rPr>
        <w:t xml:space="preserve">liminares, </w:t>
      </w:r>
      <w:r w:rsidR="003104C4">
        <w:rPr>
          <w:lang w:val="es-CR"/>
        </w:rPr>
        <w:t>f</w:t>
      </w:r>
      <w:r w:rsidR="005F36A8">
        <w:rPr>
          <w:lang w:val="es-CR"/>
        </w:rPr>
        <w:t xml:space="preserve">ondo, </w:t>
      </w:r>
      <w:r w:rsidR="003104C4">
        <w:rPr>
          <w:lang w:val="es-CR"/>
        </w:rPr>
        <w:t>r</w:t>
      </w:r>
      <w:r w:rsidR="005F36A8">
        <w:rPr>
          <w:lang w:val="es-CR"/>
        </w:rPr>
        <w:t xml:space="preserve">eparaciones y </w:t>
      </w:r>
      <w:r w:rsidR="003104C4">
        <w:rPr>
          <w:lang w:val="es-CR"/>
        </w:rPr>
        <w:t>c</w:t>
      </w:r>
      <w:r w:rsidR="005F36A8">
        <w:rPr>
          <w:lang w:val="es-CR"/>
        </w:rPr>
        <w:t>os</w:t>
      </w:r>
      <w:r w:rsidR="00217F39">
        <w:rPr>
          <w:lang w:val="es-CR"/>
        </w:rPr>
        <w:t xml:space="preserve">tas en el caso </w:t>
      </w:r>
      <w:r w:rsidR="00217F39" w:rsidRPr="00E35A48">
        <w:rPr>
          <w:i/>
          <w:lang w:val="es-CR"/>
        </w:rPr>
        <w:t xml:space="preserve">Espinoza </w:t>
      </w:r>
      <w:proofErr w:type="spellStart"/>
      <w:r w:rsidR="00217F39" w:rsidRPr="00E35A48">
        <w:rPr>
          <w:i/>
          <w:lang w:val="es-CR"/>
        </w:rPr>
        <w:t>Gónzáles</w:t>
      </w:r>
      <w:proofErr w:type="spellEnd"/>
      <w:r w:rsidR="005F36A8" w:rsidRPr="00E35A48">
        <w:rPr>
          <w:i/>
          <w:lang w:val="es-CR"/>
        </w:rPr>
        <w:t xml:space="preserve"> </w:t>
      </w:r>
      <w:r w:rsidR="005F36A8" w:rsidRPr="009F40BF">
        <w:rPr>
          <w:i/>
          <w:lang w:val="es-CR"/>
        </w:rPr>
        <w:t>Vs</w:t>
      </w:r>
      <w:r w:rsidR="005F36A8" w:rsidRPr="00E35A48">
        <w:rPr>
          <w:i/>
          <w:lang w:val="es-CR"/>
        </w:rPr>
        <w:t>. Perú</w:t>
      </w:r>
      <w:r w:rsidRPr="005254A8">
        <w:rPr>
          <w:lang w:val="es-CR"/>
        </w:rPr>
        <w:t>, la cual fue notificada a las partes y a la Comisión</w:t>
      </w:r>
      <w:r w:rsidR="009F40BF">
        <w:rPr>
          <w:lang w:val="es-CR"/>
        </w:rPr>
        <w:t xml:space="preserve"> Interamericana de Derechos Humanos (en adelante “la Comisión Interamericana” o “la Comisión”</w:t>
      </w:r>
      <w:r w:rsidRPr="005254A8">
        <w:rPr>
          <w:lang w:val="es-CR"/>
        </w:rPr>
        <w:t xml:space="preserve"> el 18 de diciembre del mismo año. </w:t>
      </w:r>
    </w:p>
    <w:p w:rsidR="00A503DF" w:rsidRPr="00A503DF" w:rsidRDefault="00A503DF" w:rsidP="00A503DF">
      <w:pPr>
        <w:autoSpaceDE w:val="0"/>
        <w:autoSpaceDN w:val="0"/>
        <w:adjustRightInd w:val="0"/>
        <w:jc w:val="both"/>
        <w:rPr>
          <w:rFonts w:eastAsia="Calibri" w:cs="Verdana"/>
          <w:lang w:val="es-CR"/>
        </w:rPr>
      </w:pPr>
    </w:p>
    <w:p w:rsidR="00E2210E" w:rsidRPr="00A503DF" w:rsidRDefault="00E2210E" w:rsidP="001721B4">
      <w:pPr>
        <w:numPr>
          <w:ilvl w:val="0"/>
          <w:numId w:val="1"/>
        </w:numPr>
        <w:tabs>
          <w:tab w:val="num" w:pos="720"/>
        </w:tabs>
        <w:autoSpaceDE w:val="0"/>
        <w:autoSpaceDN w:val="0"/>
        <w:adjustRightInd w:val="0"/>
        <w:jc w:val="both"/>
        <w:rPr>
          <w:rFonts w:eastAsia="Calibri" w:cs="Verdana"/>
          <w:lang w:val="es-CR"/>
        </w:rPr>
      </w:pPr>
      <w:r w:rsidRPr="00A503DF">
        <w:rPr>
          <w:rFonts w:eastAsia="Calibri" w:cs="Verdana"/>
          <w:lang w:val="es-CR"/>
        </w:rPr>
        <w:t>El 18</w:t>
      </w:r>
      <w:r w:rsidR="00023ED4" w:rsidRPr="00A503DF">
        <w:rPr>
          <w:rFonts w:eastAsia="Calibri" w:cs="Verdana"/>
          <w:lang w:val="es-CR"/>
        </w:rPr>
        <w:t xml:space="preserve"> de marzo de 2015</w:t>
      </w:r>
      <w:r w:rsidRPr="00A503DF">
        <w:rPr>
          <w:rFonts w:eastAsia="Calibri" w:cs="Verdana"/>
          <w:lang w:val="es-CR"/>
        </w:rPr>
        <w:t xml:space="preserve"> </w:t>
      </w:r>
      <w:r w:rsidRPr="0053279F">
        <w:rPr>
          <w:rFonts w:eastAsia="Calibri" w:cs="Verdana"/>
          <w:lang w:val="es-CR"/>
        </w:rPr>
        <w:t>el Estado sometió</w:t>
      </w:r>
      <w:r w:rsidRPr="005B2BBD">
        <w:rPr>
          <w:bCs/>
          <w:lang w:val="es-CR"/>
        </w:rPr>
        <w:t xml:space="preserve"> a la Corte una solicitud de interpretación, en relación con</w:t>
      </w:r>
      <w:r w:rsidR="00D44521" w:rsidRPr="005B2BBD">
        <w:rPr>
          <w:bCs/>
          <w:lang w:val="es-CR"/>
        </w:rPr>
        <w:t xml:space="preserve"> tres aspectos de la Sentencia</w:t>
      </w:r>
      <w:r w:rsidR="00E67312" w:rsidRPr="005B2BBD">
        <w:rPr>
          <w:bCs/>
          <w:lang w:val="es-CR"/>
        </w:rPr>
        <w:t>,</w:t>
      </w:r>
      <w:r w:rsidR="00D44521" w:rsidRPr="005B2BBD">
        <w:rPr>
          <w:bCs/>
          <w:lang w:val="es-CR"/>
        </w:rPr>
        <w:t xml:space="preserve"> a </w:t>
      </w:r>
      <w:r w:rsidR="00D44521" w:rsidRPr="00A75F15">
        <w:rPr>
          <w:bCs/>
          <w:lang w:val="es-CR"/>
        </w:rPr>
        <w:t>saber</w:t>
      </w:r>
      <w:r w:rsidR="00D44521" w:rsidRPr="002C15A3">
        <w:rPr>
          <w:bCs/>
          <w:lang w:val="es-CR"/>
        </w:rPr>
        <w:t xml:space="preserve">: </w:t>
      </w:r>
      <w:r w:rsidR="00903B5A" w:rsidRPr="002C15A3">
        <w:rPr>
          <w:bCs/>
          <w:lang w:val="es-CR"/>
        </w:rPr>
        <w:t>A</w:t>
      </w:r>
      <w:r w:rsidR="00E90B9B" w:rsidRPr="002C15A3">
        <w:rPr>
          <w:bCs/>
          <w:lang w:val="es-CR"/>
        </w:rPr>
        <w:t xml:space="preserve">) </w:t>
      </w:r>
      <w:r w:rsidR="0033132B" w:rsidRPr="002C15A3">
        <w:rPr>
          <w:rFonts w:eastAsia="Calibri"/>
          <w:bCs/>
          <w:lang w:val="es-CR"/>
        </w:rPr>
        <w:t>sobre si la Corte declar</w:t>
      </w:r>
      <w:r w:rsidR="0033132B" w:rsidRPr="00697F71">
        <w:rPr>
          <w:rFonts w:eastAsia="Calibri"/>
          <w:bCs/>
          <w:lang w:val="es-CR"/>
        </w:rPr>
        <w:t xml:space="preserve">ó una violación del </w:t>
      </w:r>
      <w:r w:rsidR="00E90B9B" w:rsidRPr="00697F71">
        <w:rPr>
          <w:rFonts w:eastAsia="Calibri"/>
          <w:bCs/>
          <w:lang w:val="es-CR"/>
        </w:rPr>
        <w:t>derecho a la igualdad ante la l</w:t>
      </w:r>
      <w:r w:rsidR="00A503DF" w:rsidRPr="00697F71">
        <w:rPr>
          <w:rFonts w:eastAsia="Calibri"/>
          <w:bCs/>
          <w:lang w:val="es-CR"/>
        </w:rPr>
        <w:t xml:space="preserve">ey; </w:t>
      </w:r>
      <w:r w:rsidR="00903B5A" w:rsidRPr="00BC3917">
        <w:rPr>
          <w:rFonts w:eastAsia="Calibri"/>
          <w:bCs/>
          <w:lang w:val="es-CR"/>
        </w:rPr>
        <w:t>B</w:t>
      </w:r>
      <w:r w:rsidR="00A503DF" w:rsidRPr="0053279F">
        <w:rPr>
          <w:rFonts w:eastAsia="Calibri"/>
          <w:bCs/>
          <w:lang w:val="es-CR"/>
        </w:rPr>
        <w:t>)</w:t>
      </w:r>
      <w:r w:rsidR="00903B5A" w:rsidRPr="00BC3917">
        <w:rPr>
          <w:rFonts w:eastAsia="Calibri"/>
          <w:bCs/>
          <w:lang w:val="es-CR"/>
        </w:rPr>
        <w:t xml:space="preserve"> sobre la prohibición de emplear el principio de irretroactividad de la ley penal para excusarse de la obligación de investigar los hechos</w:t>
      </w:r>
      <w:r w:rsidR="00E90B9B" w:rsidRPr="0053279F">
        <w:rPr>
          <w:rFonts w:eastAsia="Calibri"/>
          <w:bCs/>
          <w:lang w:val="es-CR"/>
        </w:rPr>
        <w:t xml:space="preserve">, y </w:t>
      </w:r>
      <w:r w:rsidR="00420622">
        <w:rPr>
          <w:rFonts w:eastAsia="Calibri"/>
          <w:bCs/>
          <w:lang w:val="es-CR"/>
        </w:rPr>
        <w:t>C</w:t>
      </w:r>
      <w:r w:rsidR="00E90B9B" w:rsidRPr="005B2BBD">
        <w:rPr>
          <w:rFonts w:eastAsia="Calibri"/>
          <w:bCs/>
          <w:lang w:val="es-CR"/>
        </w:rPr>
        <w:t>)</w:t>
      </w:r>
      <w:r w:rsidR="0053279F" w:rsidRPr="002C15A3">
        <w:rPr>
          <w:rFonts w:eastAsia="Calibri"/>
          <w:bCs/>
          <w:lang w:val="es-CR"/>
        </w:rPr>
        <w:t xml:space="preserve"> </w:t>
      </w:r>
      <w:r w:rsidR="0053279F" w:rsidRPr="00697F71">
        <w:rPr>
          <w:rFonts w:eastAsia="Calibri"/>
          <w:bCs/>
          <w:lang w:val="es-CR"/>
        </w:rPr>
        <w:t>respecto a los motivos por los cuales se concluyó que el estereotipo identificado en el caso impactó directamente en la decisión de no investigar los hechos y</w:t>
      </w:r>
      <w:r w:rsidR="00F1028F">
        <w:rPr>
          <w:rFonts w:eastAsia="Calibri"/>
          <w:bCs/>
          <w:lang w:val="es-CR"/>
        </w:rPr>
        <w:t xml:space="preserve"> sobre</w:t>
      </w:r>
      <w:r w:rsidR="0053279F" w:rsidRPr="00697F71">
        <w:rPr>
          <w:rFonts w:eastAsia="Calibri"/>
          <w:bCs/>
          <w:lang w:val="es-CR"/>
        </w:rPr>
        <w:t xml:space="preserve"> la educación y capacitación dirigida a los encargados de la persecución penal y su judicialización</w:t>
      </w:r>
      <w:r w:rsidR="001721B4" w:rsidRPr="00A503DF">
        <w:rPr>
          <w:rFonts w:eastAsia="Calibri"/>
          <w:bCs/>
          <w:lang w:val="es-CR"/>
        </w:rPr>
        <w:t xml:space="preserve">. </w:t>
      </w:r>
    </w:p>
    <w:p w:rsidR="00E2210E" w:rsidRPr="005254A8" w:rsidRDefault="00E2210E" w:rsidP="00E2210E">
      <w:pPr>
        <w:autoSpaceDE w:val="0"/>
        <w:autoSpaceDN w:val="0"/>
        <w:adjustRightInd w:val="0"/>
        <w:jc w:val="both"/>
        <w:rPr>
          <w:rFonts w:eastAsia="Calibri" w:cs="Verdana"/>
          <w:u w:val="single"/>
          <w:lang w:val="es-CR"/>
        </w:rPr>
      </w:pPr>
    </w:p>
    <w:p w:rsidR="00E2210E" w:rsidRPr="005254A8" w:rsidRDefault="00E2210E" w:rsidP="00E2210E">
      <w:pPr>
        <w:numPr>
          <w:ilvl w:val="0"/>
          <w:numId w:val="1"/>
        </w:numPr>
        <w:tabs>
          <w:tab w:val="num" w:pos="720"/>
        </w:tabs>
        <w:autoSpaceDE w:val="0"/>
        <w:autoSpaceDN w:val="0"/>
        <w:adjustRightInd w:val="0"/>
        <w:jc w:val="both"/>
        <w:rPr>
          <w:rFonts w:eastAsia="Calibri" w:cs="Verdana"/>
          <w:u w:val="single"/>
          <w:lang w:val="es-CR"/>
        </w:rPr>
      </w:pPr>
      <w:r w:rsidRPr="005254A8">
        <w:rPr>
          <w:rFonts w:eastAsia="Calibri" w:cs="Verdana"/>
          <w:lang w:val="es-CR"/>
        </w:rPr>
        <w:t>El 20</w:t>
      </w:r>
      <w:r w:rsidR="00023ED4" w:rsidRPr="005254A8">
        <w:rPr>
          <w:rFonts w:eastAsia="Calibri" w:cs="Verdana"/>
          <w:lang w:val="es-CR"/>
        </w:rPr>
        <w:t xml:space="preserve"> de marzo de 2015</w:t>
      </w:r>
      <w:r w:rsidRPr="005254A8">
        <w:rPr>
          <w:rFonts w:eastAsia="Calibri" w:cs="Verdana"/>
          <w:lang w:val="es-CR"/>
        </w:rPr>
        <w:t>, siguiendo instrucciones del Presidente de la Corte, la Secretaría del Tribunal transmitió la referida comunicación a los representantes de las víctimas</w:t>
      </w:r>
      <w:r w:rsidRPr="005254A8">
        <w:rPr>
          <w:rStyle w:val="Refdenotaalpie"/>
          <w:rFonts w:eastAsia="Calibri" w:cs="Verdana"/>
          <w:lang w:val="es-CR"/>
        </w:rPr>
        <w:footnoteReference w:id="2"/>
      </w:r>
      <w:r w:rsidRPr="005254A8">
        <w:rPr>
          <w:lang w:val="es-CR"/>
        </w:rPr>
        <w:t xml:space="preserve"> </w:t>
      </w:r>
      <w:r w:rsidRPr="005254A8">
        <w:rPr>
          <w:rFonts w:eastAsia="Calibri" w:cs="Verdana"/>
          <w:lang w:val="es-CR"/>
        </w:rPr>
        <w:t>y a la Comisión y les otorgó un plazo hasta el 20 de abril de 2015 para presentar los alegatos escritos que estimaran pertinentes.</w:t>
      </w:r>
      <w:r w:rsidRPr="005254A8">
        <w:rPr>
          <w:b/>
          <w:lang w:val="es-CR"/>
        </w:rPr>
        <w:t xml:space="preserve"> </w:t>
      </w:r>
    </w:p>
    <w:p w:rsidR="00E2210E" w:rsidRPr="005254A8" w:rsidRDefault="00E2210E" w:rsidP="00E2210E">
      <w:pPr>
        <w:pStyle w:val="Prrafodelista"/>
        <w:ind w:left="0"/>
        <w:rPr>
          <w:rFonts w:eastAsia="Calibri" w:cs="Verdana"/>
          <w:szCs w:val="20"/>
          <w:lang w:val="es-CR"/>
        </w:rPr>
      </w:pPr>
    </w:p>
    <w:p w:rsidR="00A503DF" w:rsidRPr="00A503DF" w:rsidRDefault="00E2210E" w:rsidP="00A503DF">
      <w:pPr>
        <w:numPr>
          <w:ilvl w:val="0"/>
          <w:numId w:val="1"/>
        </w:numPr>
        <w:tabs>
          <w:tab w:val="num" w:pos="720"/>
        </w:tabs>
        <w:autoSpaceDE w:val="0"/>
        <w:autoSpaceDN w:val="0"/>
        <w:adjustRightInd w:val="0"/>
        <w:jc w:val="both"/>
        <w:rPr>
          <w:rFonts w:eastAsia="Calibri" w:cs="Verdana"/>
          <w:lang w:val="es-CR"/>
        </w:rPr>
      </w:pPr>
      <w:r w:rsidRPr="005254A8">
        <w:rPr>
          <w:rFonts w:eastAsia="Calibri" w:cs="Verdana"/>
          <w:lang w:val="es-CR"/>
        </w:rPr>
        <w:t xml:space="preserve">El </w:t>
      </w:r>
      <w:r w:rsidR="00023ED4" w:rsidRPr="005254A8">
        <w:rPr>
          <w:rFonts w:eastAsia="Calibri" w:cs="Verdana"/>
          <w:lang w:val="es-CR"/>
        </w:rPr>
        <w:t>16</w:t>
      </w:r>
      <w:r w:rsidRPr="005254A8">
        <w:rPr>
          <w:rFonts w:eastAsia="Calibri" w:cs="Verdana"/>
          <w:lang w:val="es-CR"/>
        </w:rPr>
        <w:t xml:space="preserve"> de abril de 201</w:t>
      </w:r>
      <w:r w:rsidR="00023ED4" w:rsidRPr="005254A8">
        <w:rPr>
          <w:rFonts w:eastAsia="Calibri" w:cs="Verdana"/>
          <w:lang w:val="es-CR"/>
        </w:rPr>
        <w:t>5</w:t>
      </w:r>
      <w:r w:rsidRPr="005254A8">
        <w:rPr>
          <w:rFonts w:eastAsia="Calibri" w:cs="Verdana"/>
          <w:lang w:val="es-CR"/>
        </w:rPr>
        <w:t xml:space="preserve"> la Comisión Interamericana present</w:t>
      </w:r>
      <w:r w:rsidR="00F00D2A">
        <w:rPr>
          <w:rFonts w:eastAsia="Calibri" w:cs="Verdana"/>
          <w:lang w:val="es-CR"/>
        </w:rPr>
        <w:t>ó</w:t>
      </w:r>
      <w:r w:rsidRPr="005254A8">
        <w:rPr>
          <w:rFonts w:eastAsia="Calibri" w:cs="Verdana"/>
          <w:lang w:val="es-CR"/>
        </w:rPr>
        <w:t xml:space="preserve"> sus alegatos respecto </w:t>
      </w:r>
      <w:r w:rsidR="00F1028F">
        <w:rPr>
          <w:rFonts w:eastAsia="Calibri" w:cs="Verdana"/>
          <w:lang w:val="es-CR"/>
        </w:rPr>
        <w:t>de</w:t>
      </w:r>
      <w:r w:rsidRPr="005254A8">
        <w:rPr>
          <w:rFonts w:eastAsia="Calibri" w:cs="Verdana"/>
          <w:lang w:val="es-CR"/>
        </w:rPr>
        <w:t xml:space="preserve"> la solicitud de interpretación del Estado.</w:t>
      </w:r>
      <w:r w:rsidR="00A503DF">
        <w:rPr>
          <w:rFonts w:eastAsia="Calibri" w:cs="Verdana"/>
          <w:lang w:val="es-CR"/>
        </w:rPr>
        <w:t xml:space="preserve"> En esa misma fecha, los representantes solicitaron una prórrog</w:t>
      </w:r>
      <w:r w:rsidR="008C1168">
        <w:rPr>
          <w:rFonts w:eastAsia="Calibri" w:cs="Verdana"/>
          <w:lang w:val="es-CR"/>
        </w:rPr>
        <w:t>a para remitir sus alegaciones</w:t>
      </w:r>
      <w:r w:rsidR="00A503DF">
        <w:rPr>
          <w:rFonts w:eastAsia="Calibri" w:cs="Verdana"/>
          <w:lang w:val="es-CR"/>
        </w:rPr>
        <w:t xml:space="preserve">. </w:t>
      </w:r>
      <w:r w:rsidR="00A503DF" w:rsidRPr="00A503DF">
        <w:rPr>
          <w:rFonts w:eastAsia="Calibri" w:cs="Verdana"/>
          <w:lang w:val="es-CR"/>
        </w:rPr>
        <w:t>Mediante nota de la Secretaría de 17 de abril de 2015, siguiendo instrucciones del Presidente de la Corte</w:t>
      </w:r>
      <w:r w:rsidR="00F00D2A">
        <w:rPr>
          <w:rFonts w:eastAsia="Calibri" w:cs="Verdana"/>
          <w:lang w:val="es-CR"/>
        </w:rPr>
        <w:t>,</w:t>
      </w:r>
      <w:r w:rsidR="00A503DF" w:rsidRPr="00A503DF">
        <w:rPr>
          <w:rFonts w:eastAsia="Calibri" w:cs="Verdana"/>
          <w:lang w:val="es-CR"/>
        </w:rPr>
        <w:t xml:space="preserve"> se concedió una prorroga a los representa</w:t>
      </w:r>
      <w:r w:rsidR="00A503DF">
        <w:rPr>
          <w:rFonts w:eastAsia="Calibri" w:cs="Verdana"/>
          <w:lang w:val="es-CR"/>
        </w:rPr>
        <w:t>ntes hasta el 4 de mayo de 2015, fecha en la</w:t>
      </w:r>
      <w:r w:rsidR="008C1168">
        <w:rPr>
          <w:rFonts w:eastAsia="Calibri" w:cs="Verdana"/>
          <w:lang w:val="es-CR"/>
        </w:rPr>
        <w:t xml:space="preserve"> cual remitieron sus alegatos escrito</w:t>
      </w:r>
      <w:r w:rsidR="00A503DF">
        <w:rPr>
          <w:rFonts w:eastAsia="Calibri" w:cs="Verdana"/>
          <w:lang w:val="es-CR"/>
        </w:rPr>
        <w:t>s.</w:t>
      </w:r>
    </w:p>
    <w:p w:rsidR="00E2210E" w:rsidRPr="005254A8" w:rsidRDefault="00E2210E" w:rsidP="00E2210E">
      <w:pPr>
        <w:jc w:val="center"/>
        <w:rPr>
          <w:b/>
          <w:bCs/>
          <w:lang w:val="es-CR"/>
        </w:rPr>
      </w:pPr>
    </w:p>
    <w:p w:rsidR="00E2210E" w:rsidRPr="005254A8" w:rsidRDefault="00E2210E" w:rsidP="00E2210E">
      <w:pPr>
        <w:pStyle w:val="Ttulo1"/>
      </w:pPr>
      <w:r w:rsidRPr="005254A8">
        <w:t>II</w:t>
      </w:r>
      <w:r w:rsidRPr="005254A8">
        <w:rPr>
          <w:b w:val="0"/>
          <w:bCs w:val="0"/>
          <w:caps w:val="0"/>
          <w:kern w:val="32"/>
        </w:rPr>
        <w:br/>
      </w:r>
      <w:r w:rsidRPr="005254A8">
        <w:t>COMPETENCIA</w:t>
      </w:r>
    </w:p>
    <w:p w:rsidR="00E2210E" w:rsidRPr="005254A8" w:rsidRDefault="00E2210E" w:rsidP="00E2210E">
      <w:pPr>
        <w:pStyle w:val="Prrafodelista"/>
        <w:ind w:left="0"/>
        <w:rPr>
          <w:szCs w:val="20"/>
          <w:lang w:val="es-CR"/>
        </w:rPr>
      </w:pPr>
    </w:p>
    <w:p w:rsidR="00E2210E" w:rsidRPr="005254A8" w:rsidRDefault="00E2210E" w:rsidP="00E2210E">
      <w:pPr>
        <w:numPr>
          <w:ilvl w:val="0"/>
          <w:numId w:val="1"/>
        </w:numPr>
        <w:tabs>
          <w:tab w:val="clear" w:pos="1247"/>
          <w:tab w:val="num" w:pos="720"/>
        </w:tabs>
        <w:autoSpaceDE w:val="0"/>
        <w:autoSpaceDN w:val="0"/>
        <w:adjustRightInd w:val="0"/>
        <w:jc w:val="both"/>
        <w:rPr>
          <w:bCs/>
          <w:lang w:val="es-CR"/>
        </w:rPr>
      </w:pPr>
      <w:bookmarkStart w:id="1" w:name="_Ref392064772"/>
      <w:r w:rsidRPr="005254A8">
        <w:rPr>
          <w:lang w:val="es-CR"/>
        </w:rPr>
        <w:t>El artículo 67 de la Convención establece que:</w:t>
      </w:r>
      <w:bookmarkEnd w:id="1"/>
    </w:p>
    <w:p w:rsidR="00E2210E" w:rsidRPr="005254A8" w:rsidRDefault="00E2210E" w:rsidP="00E2210E">
      <w:pPr>
        <w:autoSpaceDE w:val="0"/>
        <w:autoSpaceDN w:val="0"/>
        <w:adjustRightInd w:val="0"/>
        <w:jc w:val="both"/>
        <w:rPr>
          <w:bCs/>
          <w:lang w:val="es-CR"/>
        </w:rPr>
      </w:pPr>
    </w:p>
    <w:p w:rsidR="00E2210E" w:rsidRPr="00BC3917" w:rsidRDefault="00E2210E" w:rsidP="00E2210E">
      <w:pPr>
        <w:ind w:left="720" w:right="639"/>
        <w:jc w:val="both"/>
        <w:rPr>
          <w:sz w:val="16"/>
          <w:lang w:val="es-CR"/>
        </w:rPr>
      </w:pPr>
      <w:r w:rsidRPr="00BC3917">
        <w:rPr>
          <w:sz w:val="16"/>
          <w:lang w:val="es-CR"/>
        </w:rPr>
        <w:t>[</w:t>
      </w:r>
      <w:proofErr w:type="gramStart"/>
      <w:r w:rsidRPr="00BC3917">
        <w:rPr>
          <w:sz w:val="16"/>
          <w:lang w:val="es-CR"/>
        </w:rPr>
        <w:t>e]</w:t>
      </w:r>
      <w:proofErr w:type="gramEnd"/>
      <w:r w:rsidRPr="00BC3917">
        <w:rPr>
          <w:sz w:val="16"/>
          <w:lang w:val="es-CR"/>
        </w:rPr>
        <w:t>l fallo de la Corte será definitivo e inapelable. En caso de desacuerdo sobre el sentido o alcance del fallo, la Corte lo interpretará a solicitud de cualquiera de las partes, siempre que dicha solicitud se presente dentro de los noventa días a partir de la fecha de la notificación del fallo.</w:t>
      </w:r>
    </w:p>
    <w:p w:rsidR="00E2210E" w:rsidRPr="005254A8" w:rsidRDefault="00E2210E" w:rsidP="00E2210E">
      <w:pPr>
        <w:autoSpaceDE w:val="0"/>
        <w:autoSpaceDN w:val="0"/>
        <w:adjustRightInd w:val="0"/>
        <w:jc w:val="both"/>
        <w:rPr>
          <w:bCs/>
          <w:lang w:val="es-CR"/>
        </w:rPr>
      </w:pPr>
    </w:p>
    <w:p w:rsidR="00E2210E" w:rsidRPr="005254A8" w:rsidRDefault="00E2210E" w:rsidP="00E2210E">
      <w:pPr>
        <w:numPr>
          <w:ilvl w:val="0"/>
          <w:numId w:val="1"/>
        </w:numPr>
        <w:tabs>
          <w:tab w:val="clear" w:pos="1247"/>
          <w:tab w:val="num" w:pos="720"/>
        </w:tabs>
        <w:autoSpaceDE w:val="0"/>
        <w:autoSpaceDN w:val="0"/>
        <w:adjustRightInd w:val="0"/>
        <w:jc w:val="both"/>
        <w:rPr>
          <w:bCs/>
          <w:lang w:val="es-CR"/>
        </w:rPr>
      </w:pPr>
      <w:r w:rsidRPr="005254A8">
        <w:rPr>
          <w:lang w:val="es-CR"/>
        </w:rPr>
        <w:t xml:space="preserve">De conformidad con el artículo citado, la Corte es competente para interpretar sus fallos. Para realizar el examen de la solicitud de interpretación y resolver lo que a este respecto corresponda, el Tribunal debe tener, si es posible, la misma composición que tenía al dictar la Sentencia respectiva, de acuerdo con el artículo 68.3 del Reglamento. En esta ocasión, la Corte se integra con los jueces que dictaron la Sentencia cuya interpretación ha sido solicitada por el Estado. </w:t>
      </w:r>
    </w:p>
    <w:p w:rsidR="00E2210E" w:rsidRPr="005254A8" w:rsidRDefault="00E2210E" w:rsidP="00E2210E">
      <w:pPr>
        <w:autoSpaceDE w:val="0"/>
        <w:autoSpaceDN w:val="0"/>
        <w:adjustRightInd w:val="0"/>
        <w:jc w:val="both"/>
        <w:rPr>
          <w:rFonts w:eastAsia="Calibri" w:cs="Verdana"/>
          <w:lang w:val="es-CR"/>
        </w:rPr>
      </w:pPr>
    </w:p>
    <w:p w:rsidR="00E2210E" w:rsidRPr="005254A8" w:rsidRDefault="00E2210E" w:rsidP="00E2210E">
      <w:pPr>
        <w:pStyle w:val="Ttulo1"/>
        <w:rPr>
          <w:rFonts w:eastAsia="Calibri"/>
        </w:rPr>
      </w:pPr>
      <w:r w:rsidRPr="005254A8">
        <w:rPr>
          <w:rFonts w:eastAsia="Calibri"/>
        </w:rPr>
        <w:t>III</w:t>
      </w:r>
      <w:r w:rsidRPr="005254A8">
        <w:rPr>
          <w:b w:val="0"/>
          <w:bCs w:val="0"/>
          <w:caps w:val="0"/>
          <w:kern w:val="32"/>
        </w:rPr>
        <w:br/>
      </w:r>
      <w:r w:rsidRPr="005254A8">
        <w:rPr>
          <w:rFonts w:eastAsia="Calibri"/>
        </w:rPr>
        <w:t>ADMISIBILIDAD</w:t>
      </w:r>
    </w:p>
    <w:p w:rsidR="00E2210E" w:rsidRPr="005254A8" w:rsidRDefault="00E2210E" w:rsidP="00E2210E">
      <w:pPr>
        <w:autoSpaceDE w:val="0"/>
        <w:autoSpaceDN w:val="0"/>
        <w:adjustRightInd w:val="0"/>
        <w:rPr>
          <w:rFonts w:eastAsia="Calibri" w:cs="Verdana"/>
          <w:b/>
          <w:lang w:val="es-CR"/>
        </w:rPr>
      </w:pPr>
    </w:p>
    <w:p w:rsidR="00E2210E" w:rsidRPr="005254A8" w:rsidRDefault="00E2210E" w:rsidP="00E2210E">
      <w:pPr>
        <w:numPr>
          <w:ilvl w:val="0"/>
          <w:numId w:val="1"/>
        </w:numPr>
        <w:tabs>
          <w:tab w:val="clear" w:pos="1247"/>
          <w:tab w:val="num" w:pos="720"/>
        </w:tabs>
        <w:autoSpaceDE w:val="0"/>
        <w:autoSpaceDN w:val="0"/>
        <w:adjustRightInd w:val="0"/>
        <w:jc w:val="both"/>
        <w:rPr>
          <w:rFonts w:eastAsia="Calibri" w:cs="Verdana"/>
          <w:lang w:val="es-CR"/>
        </w:rPr>
      </w:pPr>
      <w:bookmarkStart w:id="2" w:name="_Ref391898657"/>
      <w:r w:rsidRPr="005254A8">
        <w:rPr>
          <w:lang w:val="es-CR"/>
        </w:rPr>
        <w:t xml:space="preserve">Corresponde a la Corte verificar si la solicitud presentada por el Estado cumple con los requisitos establecidos en las normas aplicables a una solicitud de interpretación de Sentencia, a </w:t>
      </w:r>
      <w:r w:rsidRPr="005254A8">
        <w:rPr>
          <w:lang w:val="es-CR"/>
        </w:rPr>
        <w:lastRenderedPageBreak/>
        <w:t>saber, el artículo 67 de la Convención, anteriormente citado, y el artículo 68 del Reglamento que dispone, en lo pertinente:</w:t>
      </w:r>
      <w:bookmarkEnd w:id="2"/>
    </w:p>
    <w:p w:rsidR="00E2210E" w:rsidRPr="005254A8" w:rsidRDefault="00E2210E" w:rsidP="00E2210E">
      <w:pPr>
        <w:rPr>
          <w:lang w:val="es-CR"/>
        </w:rPr>
      </w:pPr>
    </w:p>
    <w:p w:rsidR="00E2210E" w:rsidRPr="00BC3917" w:rsidRDefault="00E2210E" w:rsidP="00E2210E">
      <w:pPr>
        <w:spacing w:after="120"/>
        <w:ind w:left="720" w:right="582"/>
        <w:jc w:val="both"/>
        <w:rPr>
          <w:sz w:val="16"/>
          <w:lang w:val="es-CR"/>
        </w:rPr>
      </w:pPr>
      <w:r w:rsidRPr="00BC3917">
        <w:rPr>
          <w:sz w:val="16"/>
          <w:lang w:val="es-CR"/>
        </w:rPr>
        <w:t>1.</w:t>
      </w:r>
      <w:r w:rsidRPr="00BC3917">
        <w:rPr>
          <w:sz w:val="16"/>
          <w:lang w:val="es-CR"/>
        </w:rPr>
        <w:tab/>
        <w:t>La solicitud de interpretación a que se refiere el artículo 67 de la Convención podrá promoverse en relación con las sentencias de excepciones preliminares, fondo o reparaciones y costas y se presentará en la Secretaría de la Corte indicándose en ella, con precisión, las cuestiones relativas al sentido o alcance de la sentencia cuya interpretación se pida.</w:t>
      </w:r>
    </w:p>
    <w:p w:rsidR="00E2210E" w:rsidRPr="00BC3917" w:rsidRDefault="00E2210E" w:rsidP="00E2210E">
      <w:pPr>
        <w:spacing w:after="120"/>
        <w:ind w:left="720" w:right="582"/>
        <w:rPr>
          <w:sz w:val="16"/>
          <w:lang w:val="es-CR"/>
        </w:rPr>
      </w:pPr>
      <w:r w:rsidRPr="00BC3917">
        <w:rPr>
          <w:sz w:val="16"/>
          <w:lang w:val="es-CR"/>
        </w:rPr>
        <w:t>[…]</w:t>
      </w:r>
    </w:p>
    <w:p w:rsidR="00E2210E" w:rsidRPr="00BC3917" w:rsidRDefault="00E2210E" w:rsidP="00E2210E">
      <w:pPr>
        <w:spacing w:after="120"/>
        <w:ind w:left="720" w:right="582"/>
        <w:jc w:val="both"/>
        <w:rPr>
          <w:sz w:val="16"/>
          <w:lang w:val="es-CR"/>
        </w:rPr>
      </w:pPr>
      <w:r w:rsidRPr="00BC3917">
        <w:rPr>
          <w:sz w:val="16"/>
          <w:lang w:val="es-CR"/>
        </w:rPr>
        <w:t>4.</w:t>
      </w:r>
      <w:r w:rsidRPr="00BC3917">
        <w:rPr>
          <w:sz w:val="16"/>
          <w:lang w:val="es-CR"/>
        </w:rPr>
        <w:tab/>
        <w:t>La solicitud de interpretación no suspenderá la ejecución de la sentencia.</w:t>
      </w:r>
    </w:p>
    <w:p w:rsidR="00E2210E" w:rsidRPr="00BC3917" w:rsidRDefault="00E2210E" w:rsidP="00E2210E">
      <w:pPr>
        <w:spacing w:after="120"/>
        <w:ind w:left="720" w:right="582"/>
        <w:jc w:val="both"/>
        <w:rPr>
          <w:sz w:val="16"/>
          <w:lang w:val="es-CR"/>
        </w:rPr>
      </w:pPr>
      <w:r w:rsidRPr="00BC3917">
        <w:rPr>
          <w:sz w:val="16"/>
          <w:lang w:val="es-CR"/>
        </w:rPr>
        <w:t>5.</w:t>
      </w:r>
      <w:r w:rsidRPr="00BC3917">
        <w:rPr>
          <w:sz w:val="16"/>
          <w:lang w:val="es-CR"/>
        </w:rPr>
        <w:tab/>
        <w:t>La Corte determinará el procedimiento que se seguirá y resolverá mediante una sentencia.</w:t>
      </w:r>
    </w:p>
    <w:p w:rsidR="00E2210E" w:rsidRPr="005254A8" w:rsidRDefault="00E2210E" w:rsidP="00E2210E">
      <w:pPr>
        <w:rPr>
          <w:lang w:val="es-CR"/>
        </w:rPr>
      </w:pPr>
    </w:p>
    <w:p w:rsidR="00E2210E" w:rsidRPr="005254A8" w:rsidRDefault="00E2210E" w:rsidP="00E2210E">
      <w:pPr>
        <w:numPr>
          <w:ilvl w:val="0"/>
          <w:numId w:val="1"/>
        </w:numPr>
        <w:tabs>
          <w:tab w:val="clear" w:pos="1247"/>
          <w:tab w:val="num" w:pos="720"/>
        </w:tabs>
        <w:jc w:val="both"/>
        <w:rPr>
          <w:lang w:val="es-CR"/>
        </w:rPr>
      </w:pPr>
      <w:r w:rsidRPr="005254A8">
        <w:rPr>
          <w:lang w:val="es-CR"/>
        </w:rPr>
        <w:t>Asimismo, el artículo 31.3 del Reglamento establece que “[c]</w:t>
      </w:r>
      <w:proofErr w:type="spellStart"/>
      <w:r w:rsidRPr="005254A8">
        <w:rPr>
          <w:lang w:val="es-CR"/>
        </w:rPr>
        <w:t>ontra</w:t>
      </w:r>
      <w:proofErr w:type="spellEnd"/>
      <w:r w:rsidRPr="005254A8">
        <w:rPr>
          <w:lang w:val="es-CR"/>
        </w:rPr>
        <w:t xml:space="preserve"> las sentencias y resoluciones de la Corte no procede ningún medio de impugnación”.</w:t>
      </w:r>
    </w:p>
    <w:p w:rsidR="00E2210E" w:rsidRPr="005254A8" w:rsidRDefault="00E2210E" w:rsidP="00E2210E">
      <w:pPr>
        <w:jc w:val="both"/>
        <w:rPr>
          <w:lang w:val="es-CR"/>
        </w:rPr>
      </w:pPr>
    </w:p>
    <w:p w:rsidR="00E2210E" w:rsidRPr="005254A8" w:rsidRDefault="00E2210E" w:rsidP="00E2210E">
      <w:pPr>
        <w:numPr>
          <w:ilvl w:val="0"/>
          <w:numId w:val="1"/>
        </w:numPr>
        <w:tabs>
          <w:tab w:val="clear" w:pos="1247"/>
          <w:tab w:val="num" w:pos="720"/>
        </w:tabs>
        <w:jc w:val="both"/>
        <w:rPr>
          <w:lang w:val="es-CR"/>
        </w:rPr>
      </w:pPr>
      <w:bookmarkStart w:id="3" w:name="_Ref391898691"/>
      <w:r w:rsidRPr="005254A8">
        <w:rPr>
          <w:lang w:val="es-CR"/>
        </w:rPr>
        <w:t xml:space="preserve">La Corte observa que el Estado presentó su solicitud de interpretación de la Sentencia dentro del plazo de noventa días establecido en el artículo 67 de la Convención, ya que la misma fue notificada el </w:t>
      </w:r>
      <w:r w:rsidR="00D44521" w:rsidRPr="005254A8">
        <w:rPr>
          <w:lang w:val="es-CR"/>
        </w:rPr>
        <w:t>18</w:t>
      </w:r>
      <w:r w:rsidRPr="005254A8">
        <w:rPr>
          <w:lang w:val="es-CR"/>
        </w:rPr>
        <w:t xml:space="preserve"> de diciembre de 201</w:t>
      </w:r>
      <w:r w:rsidR="00D44521" w:rsidRPr="005254A8">
        <w:rPr>
          <w:lang w:val="es-CR"/>
        </w:rPr>
        <w:t>4</w:t>
      </w:r>
      <w:r w:rsidRPr="005254A8">
        <w:rPr>
          <w:lang w:val="es-CR"/>
        </w:rPr>
        <w:t>. Por ende, la solicitud resulta admisible en lo que se refiere al plazo de su presentación.</w:t>
      </w:r>
      <w:bookmarkStart w:id="4" w:name="_Ref325023272"/>
      <w:r w:rsidRPr="005254A8">
        <w:rPr>
          <w:lang w:val="es-CR"/>
        </w:rPr>
        <w:t xml:space="preserve"> </w:t>
      </w:r>
      <w:bookmarkEnd w:id="3"/>
      <w:bookmarkEnd w:id="4"/>
    </w:p>
    <w:p w:rsidR="00E2210E" w:rsidRPr="005254A8" w:rsidRDefault="00E2210E" w:rsidP="00E2210E">
      <w:pPr>
        <w:jc w:val="both"/>
        <w:rPr>
          <w:lang w:val="es-CR"/>
        </w:rPr>
      </w:pPr>
    </w:p>
    <w:p w:rsidR="00E2210E" w:rsidRPr="005254A8" w:rsidRDefault="00E2210E" w:rsidP="00E2210E">
      <w:pPr>
        <w:pStyle w:val="Ttulo1"/>
        <w:rPr>
          <w:rFonts w:eastAsia="Calibri"/>
        </w:rPr>
      </w:pPr>
      <w:r w:rsidRPr="005254A8">
        <w:t>IV</w:t>
      </w:r>
      <w:r w:rsidRPr="005254A8">
        <w:rPr>
          <w:b w:val="0"/>
          <w:bCs w:val="0"/>
          <w:caps w:val="0"/>
          <w:kern w:val="32"/>
        </w:rPr>
        <w:br/>
      </w:r>
      <w:r w:rsidRPr="005254A8">
        <w:rPr>
          <w:rFonts w:eastAsia="Calibri"/>
        </w:rPr>
        <w:t>ANÁLISIS DE LA PROCEDENCIA DE LA SOLICITUD DE INTERPRETACIÓN</w:t>
      </w:r>
    </w:p>
    <w:p w:rsidR="00E2210E" w:rsidRPr="005254A8" w:rsidRDefault="00E2210E" w:rsidP="00E2210E">
      <w:pPr>
        <w:jc w:val="both"/>
        <w:rPr>
          <w:lang w:val="es-CR"/>
        </w:rPr>
      </w:pPr>
    </w:p>
    <w:p w:rsidR="00E2210E" w:rsidRPr="005254A8" w:rsidRDefault="00E2210E" w:rsidP="00E2210E">
      <w:pPr>
        <w:numPr>
          <w:ilvl w:val="0"/>
          <w:numId w:val="1"/>
        </w:numPr>
        <w:tabs>
          <w:tab w:val="clear" w:pos="1247"/>
          <w:tab w:val="num" w:pos="720"/>
        </w:tabs>
        <w:jc w:val="both"/>
        <w:rPr>
          <w:b/>
          <w:lang w:val="es-CR"/>
        </w:rPr>
      </w:pPr>
      <w:r w:rsidRPr="005254A8">
        <w:rPr>
          <w:lang w:val="es-CR"/>
        </w:rPr>
        <w:t xml:space="preserve">A continuación, la Corte analizará la solicitud del Estado para determinar si, de acuerdo a la normativa y a los </w:t>
      </w:r>
      <w:r w:rsidR="0089205B">
        <w:rPr>
          <w:lang w:val="es-CR"/>
        </w:rPr>
        <w:t>estándares</w:t>
      </w:r>
      <w:r w:rsidR="0089205B" w:rsidRPr="005254A8">
        <w:rPr>
          <w:lang w:val="es-CR"/>
        </w:rPr>
        <w:t xml:space="preserve"> </w:t>
      </w:r>
      <w:r w:rsidRPr="005254A8">
        <w:rPr>
          <w:lang w:val="es-CR"/>
        </w:rPr>
        <w:t>desarrollados en su jurisprudencia, procede aclarar el sentido o alcance de algún punto de la Sentencia.</w:t>
      </w:r>
    </w:p>
    <w:p w:rsidR="00E2210E" w:rsidRPr="005254A8" w:rsidRDefault="00E2210E" w:rsidP="00E2210E">
      <w:pPr>
        <w:jc w:val="both"/>
        <w:rPr>
          <w:b/>
          <w:lang w:val="es-CR"/>
        </w:rPr>
      </w:pPr>
    </w:p>
    <w:p w:rsidR="00E2210E" w:rsidRPr="005254A8" w:rsidRDefault="00E2210E" w:rsidP="00E2210E">
      <w:pPr>
        <w:numPr>
          <w:ilvl w:val="0"/>
          <w:numId w:val="1"/>
        </w:numPr>
        <w:tabs>
          <w:tab w:val="clear" w:pos="1247"/>
          <w:tab w:val="num" w:pos="720"/>
        </w:tabs>
        <w:jc w:val="both"/>
        <w:rPr>
          <w:lang w:val="es-CR"/>
        </w:rPr>
      </w:pPr>
      <w:bookmarkStart w:id="5" w:name="_Ref392082429"/>
      <w:r w:rsidRPr="005254A8">
        <w:rPr>
          <w:lang w:val="es-CR"/>
        </w:rPr>
        <w:t>Para analizar la procedencia de la solicitud del Estado, la Corte toma en consideración su jurisprudencia constante, claramente sustentada en el ordenamiento aplicable, en cuanto a que una solicitud de interpretación de sentencia no puede utilizarse como medio de impugnación de la decisión cuya interpretación se requiere. Dicha solicitud tiene como objeto, exclusivamente, determinar el sentido de un fallo cuando alguna de las partes sostiene que el texto de sus puntos resolutivos o de sus consideraciones carece de claridad o precisión, siempre y cuando esas consideraciones incidan en dicha parte resolutiva</w:t>
      </w:r>
      <w:r w:rsidRPr="005254A8">
        <w:rPr>
          <w:rStyle w:val="Refdenotaalpie"/>
          <w:lang w:val="es-CR"/>
        </w:rPr>
        <w:footnoteReference w:id="3"/>
      </w:r>
      <w:r w:rsidRPr="005254A8">
        <w:rPr>
          <w:lang w:val="es-CR"/>
        </w:rPr>
        <w:t>. Por lo tanto, no se puede solicitar la modificación o anulación de la sentencia respectiva a través de una solicitud de interpretación</w:t>
      </w:r>
      <w:r w:rsidRPr="005254A8">
        <w:rPr>
          <w:rStyle w:val="Refdenotaalpie"/>
          <w:lang w:val="es-CR"/>
        </w:rPr>
        <w:footnoteReference w:id="4"/>
      </w:r>
      <w:r w:rsidRPr="005254A8">
        <w:rPr>
          <w:lang w:val="es-CR"/>
        </w:rPr>
        <w:t>.</w:t>
      </w:r>
      <w:bookmarkEnd w:id="5"/>
    </w:p>
    <w:p w:rsidR="00E2210E" w:rsidRPr="005254A8" w:rsidRDefault="00E2210E" w:rsidP="00E2210E">
      <w:pPr>
        <w:jc w:val="both"/>
        <w:rPr>
          <w:b/>
          <w:lang w:val="es-CR"/>
        </w:rPr>
      </w:pPr>
    </w:p>
    <w:p w:rsidR="00E2210E" w:rsidRPr="00BC3917" w:rsidRDefault="00E2210E" w:rsidP="007C76E9">
      <w:pPr>
        <w:numPr>
          <w:ilvl w:val="0"/>
          <w:numId w:val="1"/>
        </w:numPr>
        <w:tabs>
          <w:tab w:val="clear" w:pos="1247"/>
          <w:tab w:val="num" w:pos="720"/>
        </w:tabs>
        <w:jc w:val="both"/>
        <w:rPr>
          <w:rFonts w:eastAsia="Calibri"/>
          <w:bCs/>
          <w:lang w:val="es-CR"/>
        </w:rPr>
      </w:pPr>
      <w:r w:rsidRPr="0053279F">
        <w:rPr>
          <w:lang w:val="es-CR"/>
        </w:rPr>
        <w:t xml:space="preserve">Seguidamente, la Corte considerará </w:t>
      </w:r>
      <w:r w:rsidR="008C1168" w:rsidRPr="0053279F">
        <w:rPr>
          <w:lang w:val="es-CR"/>
        </w:rPr>
        <w:t>cada un</w:t>
      </w:r>
      <w:r w:rsidR="002918ED" w:rsidRPr="0053279F">
        <w:rPr>
          <w:lang w:val="es-CR"/>
        </w:rPr>
        <w:t>a</w:t>
      </w:r>
      <w:r w:rsidR="008C1168" w:rsidRPr="0053279F">
        <w:rPr>
          <w:lang w:val="es-CR"/>
        </w:rPr>
        <w:t xml:space="preserve"> de </w:t>
      </w:r>
      <w:r w:rsidR="002918ED" w:rsidRPr="0053279F">
        <w:rPr>
          <w:lang w:val="es-CR"/>
        </w:rPr>
        <w:t>las</w:t>
      </w:r>
      <w:r w:rsidRPr="0053279F">
        <w:rPr>
          <w:lang w:val="es-CR"/>
        </w:rPr>
        <w:t xml:space="preserve"> solicitud</w:t>
      </w:r>
      <w:r w:rsidR="002918ED" w:rsidRPr="0053279F">
        <w:rPr>
          <w:lang w:val="es-CR"/>
        </w:rPr>
        <w:t>es</w:t>
      </w:r>
      <w:r w:rsidRPr="0053279F">
        <w:rPr>
          <w:lang w:val="es-CR"/>
        </w:rPr>
        <w:t xml:space="preserve"> de interpretación </w:t>
      </w:r>
      <w:r w:rsidR="002918ED" w:rsidRPr="0053279F">
        <w:rPr>
          <w:lang w:val="es-CR"/>
        </w:rPr>
        <w:t xml:space="preserve">planteadas por </w:t>
      </w:r>
      <w:r w:rsidRPr="0053279F">
        <w:rPr>
          <w:lang w:val="es-CR"/>
        </w:rPr>
        <w:t xml:space="preserve">el Estado, en el siguiente orden: </w:t>
      </w:r>
      <w:r w:rsidR="00EF333B" w:rsidRPr="0053279F">
        <w:rPr>
          <w:bCs/>
          <w:lang w:val="es-CR"/>
        </w:rPr>
        <w:t xml:space="preserve">A) </w:t>
      </w:r>
      <w:r w:rsidR="0033132B" w:rsidRPr="0053279F">
        <w:rPr>
          <w:rFonts w:eastAsia="Calibri"/>
          <w:bCs/>
          <w:lang w:val="es-CR"/>
        </w:rPr>
        <w:t>sobre si la Corte declar</w:t>
      </w:r>
      <w:r w:rsidR="0033132B" w:rsidRPr="005B2BBD">
        <w:rPr>
          <w:rFonts w:eastAsia="Calibri"/>
          <w:bCs/>
          <w:lang w:val="es-CR"/>
        </w:rPr>
        <w:t xml:space="preserve">ó una violación del </w:t>
      </w:r>
      <w:r w:rsidR="00EF333B" w:rsidRPr="005B2BBD">
        <w:rPr>
          <w:rFonts w:eastAsia="Calibri"/>
          <w:bCs/>
          <w:lang w:val="es-CR"/>
        </w:rPr>
        <w:t xml:space="preserve">derecho a la igualdad ante la ley; B) </w:t>
      </w:r>
      <w:r w:rsidR="00482AB0" w:rsidRPr="00BC3917">
        <w:rPr>
          <w:rFonts w:eastAsia="Calibri"/>
          <w:bCs/>
          <w:lang w:val="es-CR"/>
        </w:rPr>
        <w:t>sobre la prohibición de emplear el principio de irretroactividad de la ley penal para excusarse de la obligación de investigar los hechos</w:t>
      </w:r>
      <w:r w:rsidR="005C22F2" w:rsidRPr="005B2BBD">
        <w:rPr>
          <w:rFonts w:eastAsia="Calibri"/>
          <w:bCs/>
          <w:lang w:val="es-CR"/>
        </w:rPr>
        <w:t xml:space="preserve">, y </w:t>
      </w:r>
      <w:r w:rsidR="00EF333B" w:rsidRPr="005B2BBD">
        <w:rPr>
          <w:rFonts w:eastAsia="Calibri"/>
          <w:bCs/>
          <w:lang w:val="es-CR"/>
        </w:rPr>
        <w:t xml:space="preserve">C) </w:t>
      </w:r>
      <w:r w:rsidR="00EF333B" w:rsidRPr="0053279F">
        <w:rPr>
          <w:rFonts w:eastAsia="Calibri"/>
          <w:bCs/>
          <w:lang w:val="es-CR"/>
        </w:rPr>
        <w:t xml:space="preserve">respecto </w:t>
      </w:r>
      <w:r w:rsidR="0053279F" w:rsidRPr="0053279F">
        <w:rPr>
          <w:rFonts w:eastAsia="Calibri"/>
          <w:bCs/>
          <w:lang w:val="es-CR"/>
        </w:rPr>
        <w:t>a los motivos por los cuales se concluyó que el estereotipo identificado en el caso impactó directamente en la decisión de no investigar los hechos y</w:t>
      </w:r>
      <w:r w:rsidR="003D33C7">
        <w:rPr>
          <w:rFonts w:eastAsia="Calibri"/>
          <w:bCs/>
          <w:lang w:val="es-CR"/>
        </w:rPr>
        <w:t xml:space="preserve"> sobre</w:t>
      </w:r>
      <w:r w:rsidR="0053279F" w:rsidRPr="0053279F">
        <w:rPr>
          <w:rFonts w:eastAsia="Calibri"/>
          <w:bCs/>
          <w:lang w:val="es-CR"/>
        </w:rPr>
        <w:t xml:space="preserve"> la educación y capacitación dirigida a los encargados de la persecución penal y su judicialización</w:t>
      </w:r>
      <w:r w:rsidR="00EF333B" w:rsidRPr="005B2BBD">
        <w:rPr>
          <w:rFonts w:eastAsia="Calibri"/>
          <w:bCs/>
          <w:lang w:val="es-CR"/>
        </w:rPr>
        <w:t>.</w:t>
      </w:r>
    </w:p>
    <w:p w:rsidR="00E2210E" w:rsidRPr="005254A8" w:rsidRDefault="00E2210E" w:rsidP="00E2210E">
      <w:pPr>
        <w:jc w:val="both"/>
        <w:rPr>
          <w:lang w:val="es-CR"/>
        </w:rPr>
      </w:pPr>
    </w:p>
    <w:p w:rsidR="00E2210E" w:rsidRPr="005254A8" w:rsidRDefault="0033132B" w:rsidP="00382A94">
      <w:pPr>
        <w:pStyle w:val="Ttulo3"/>
        <w:numPr>
          <w:ilvl w:val="0"/>
          <w:numId w:val="19"/>
        </w:numPr>
        <w:rPr>
          <w:rFonts w:eastAsia="Calibri"/>
          <w:bCs/>
          <w:lang w:val="es-CR"/>
        </w:rPr>
      </w:pPr>
      <w:r>
        <w:rPr>
          <w:rFonts w:eastAsia="Calibri"/>
          <w:bCs/>
          <w:lang w:val="es-CR"/>
        </w:rPr>
        <w:t>Sobre si la Corte declaró una violación del</w:t>
      </w:r>
      <w:r w:rsidR="00EF333B" w:rsidRPr="005254A8">
        <w:rPr>
          <w:rFonts w:eastAsia="Calibri"/>
          <w:bCs/>
          <w:lang w:val="es-CR"/>
        </w:rPr>
        <w:t xml:space="preserve"> derecho a la igualdad ante la ley</w:t>
      </w:r>
    </w:p>
    <w:p w:rsidR="00EF333B" w:rsidRPr="005254A8" w:rsidRDefault="00EF333B" w:rsidP="00EF333B">
      <w:pPr>
        <w:rPr>
          <w:lang w:val="es-CR"/>
        </w:rPr>
      </w:pPr>
    </w:p>
    <w:p w:rsidR="00E2210E" w:rsidRPr="005254A8" w:rsidRDefault="002918ED" w:rsidP="00E2210E">
      <w:pPr>
        <w:ind w:firstLine="708"/>
        <w:jc w:val="both"/>
        <w:rPr>
          <w:rFonts w:eastAsia="Calibri"/>
          <w:i/>
          <w:lang w:val="es-CR"/>
        </w:rPr>
      </w:pPr>
      <w:r>
        <w:rPr>
          <w:i/>
          <w:lang w:val="es-CR"/>
        </w:rPr>
        <w:t xml:space="preserve">A.1. </w:t>
      </w:r>
      <w:r w:rsidR="00E2210E" w:rsidRPr="005254A8">
        <w:rPr>
          <w:i/>
          <w:lang w:val="es-CR"/>
        </w:rPr>
        <w:t>Argumentos de las partes y de la Comisión</w:t>
      </w:r>
    </w:p>
    <w:p w:rsidR="00E2210E" w:rsidRPr="005254A8" w:rsidRDefault="00E2210E" w:rsidP="00E2210E">
      <w:pPr>
        <w:jc w:val="both"/>
        <w:rPr>
          <w:lang w:val="es-CR"/>
        </w:rPr>
      </w:pPr>
    </w:p>
    <w:p w:rsidR="00EF333B" w:rsidRPr="002A7F79" w:rsidRDefault="00E2210E" w:rsidP="007C76E9">
      <w:pPr>
        <w:numPr>
          <w:ilvl w:val="0"/>
          <w:numId w:val="1"/>
        </w:numPr>
        <w:tabs>
          <w:tab w:val="clear" w:pos="1247"/>
          <w:tab w:val="num" w:pos="720"/>
        </w:tabs>
        <w:jc w:val="both"/>
        <w:rPr>
          <w:rFonts w:eastAsia="Calibri"/>
          <w:b/>
          <w:lang w:val="es-CR"/>
        </w:rPr>
      </w:pPr>
      <w:r w:rsidRPr="005254A8">
        <w:rPr>
          <w:lang w:val="es-CR"/>
        </w:rPr>
        <w:lastRenderedPageBreak/>
        <w:t xml:space="preserve">El </w:t>
      </w:r>
      <w:r w:rsidRPr="005254A8">
        <w:rPr>
          <w:b/>
          <w:i/>
          <w:lang w:val="es-CR"/>
        </w:rPr>
        <w:t>Estado</w:t>
      </w:r>
      <w:r w:rsidRPr="005254A8">
        <w:rPr>
          <w:lang w:val="es-CR"/>
        </w:rPr>
        <w:t xml:space="preserve"> señaló que,</w:t>
      </w:r>
      <w:r w:rsidR="00EF333B" w:rsidRPr="005254A8">
        <w:rPr>
          <w:lang w:val="es-CR"/>
        </w:rPr>
        <w:t xml:space="preserve"> en el párrafo 215</w:t>
      </w:r>
      <w:r w:rsidRPr="005254A8">
        <w:rPr>
          <w:lang w:val="es-CR"/>
        </w:rPr>
        <w:t xml:space="preserve"> de la Sentencia,</w:t>
      </w:r>
      <w:r w:rsidR="00EF333B" w:rsidRPr="005254A8">
        <w:rPr>
          <w:lang w:val="es-CR"/>
        </w:rPr>
        <w:t xml:space="preserve"> se mencionó</w:t>
      </w:r>
      <w:r w:rsidRPr="005254A8">
        <w:rPr>
          <w:lang w:val="es-CR"/>
        </w:rPr>
        <w:t xml:space="preserve"> </w:t>
      </w:r>
      <w:r w:rsidR="00EF333B" w:rsidRPr="005254A8">
        <w:rPr>
          <w:rFonts w:eastAsia="Calibri"/>
          <w:lang w:val="es-CR"/>
        </w:rPr>
        <w:t>que los representantes invocaron la violación del derecho a la igualdad ante la ley reconocido en los artículos 24 y 1.1 de la Convención Americana debido a la violencia sexual a la que f</w:t>
      </w:r>
      <w:r w:rsidR="00F86B6D" w:rsidRPr="005254A8">
        <w:rPr>
          <w:rFonts w:eastAsia="Calibri"/>
          <w:lang w:val="es-CR"/>
        </w:rPr>
        <w:t xml:space="preserve">ue sometida la señora </w:t>
      </w:r>
      <w:r w:rsidR="00F86B6D" w:rsidRPr="002A7F79">
        <w:rPr>
          <w:rFonts w:eastAsia="Calibri"/>
          <w:lang w:val="es-CR"/>
        </w:rPr>
        <w:t xml:space="preserve">Espinoza. </w:t>
      </w:r>
      <w:r w:rsidR="00EF333B" w:rsidRPr="002A7F79">
        <w:rPr>
          <w:rFonts w:eastAsia="Calibri"/>
          <w:lang w:val="es-CR"/>
        </w:rPr>
        <w:t>Sin embargo, según el Estado</w:t>
      </w:r>
      <w:r w:rsidR="002C7970" w:rsidRPr="002A7F79">
        <w:rPr>
          <w:rFonts w:eastAsia="Calibri"/>
          <w:lang w:val="es-CR"/>
        </w:rPr>
        <w:t>,</w:t>
      </w:r>
      <w:r w:rsidR="00EF333B" w:rsidRPr="002A7F79">
        <w:rPr>
          <w:rFonts w:eastAsia="Calibri"/>
          <w:lang w:val="es-CR"/>
        </w:rPr>
        <w:t xml:space="preserve"> la Corte consider</w:t>
      </w:r>
      <w:r w:rsidR="000C400A" w:rsidRPr="002A7F79">
        <w:rPr>
          <w:rFonts w:eastAsia="Calibri"/>
          <w:lang w:val="es-CR"/>
        </w:rPr>
        <w:t xml:space="preserve">ó en su Sentencia que </w:t>
      </w:r>
      <w:r w:rsidR="002C7970" w:rsidRPr="002A7F79">
        <w:rPr>
          <w:rFonts w:eastAsia="Calibri"/>
          <w:iCs/>
          <w:lang w:val="es-CR"/>
        </w:rPr>
        <w:t>“</w:t>
      </w:r>
      <w:r w:rsidR="00EF333B" w:rsidRPr="002A7F79">
        <w:rPr>
          <w:rFonts w:eastAsia="Calibri"/>
          <w:iCs/>
          <w:lang w:val="es-CR"/>
        </w:rPr>
        <w:t xml:space="preserve">el haber sometido a la </w:t>
      </w:r>
      <w:r w:rsidR="000C400A" w:rsidRPr="002A7F79">
        <w:rPr>
          <w:rFonts w:eastAsia="Calibri"/>
          <w:iCs/>
          <w:lang w:val="es-CR"/>
        </w:rPr>
        <w:t>señora Espinoza a dicha práctica</w:t>
      </w:r>
      <w:r w:rsidR="00EF333B" w:rsidRPr="002A7F79">
        <w:rPr>
          <w:rFonts w:eastAsia="Calibri"/>
          <w:iCs/>
          <w:lang w:val="es-CR"/>
        </w:rPr>
        <w:t xml:space="preserve"> gener</w:t>
      </w:r>
      <w:r w:rsidR="000C400A" w:rsidRPr="002A7F79">
        <w:rPr>
          <w:rFonts w:eastAsia="Calibri"/>
          <w:iCs/>
          <w:lang w:val="es-CR"/>
        </w:rPr>
        <w:t>alizada constituye discriminación individualizada por su condición de mujer, en violación del artí</w:t>
      </w:r>
      <w:r w:rsidR="00EF333B" w:rsidRPr="002A7F79">
        <w:rPr>
          <w:rFonts w:eastAsia="Calibri"/>
          <w:iCs/>
          <w:lang w:val="es-CR"/>
        </w:rPr>
        <w:t xml:space="preserve">culo </w:t>
      </w:r>
      <w:r w:rsidR="000C400A" w:rsidRPr="002A7F79">
        <w:rPr>
          <w:rFonts w:eastAsia="Calibri"/>
          <w:iCs/>
          <w:lang w:val="es-CR"/>
        </w:rPr>
        <w:t>1.1</w:t>
      </w:r>
      <w:r w:rsidR="00EF333B" w:rsidRPr="002A7F79">
        <w:rPr>
          <w:rFonts w:eastAsia="Calibri"/>
          <w:iCs/>
          <w:lang w:val="es-CR"/>
        </w:rPr>
        <w:t xml:space="preserve"> </w:t>
      </w:r>
      <w:r w:rsidR="000C400A" w:rsidRPr="002A7F79">
        <w:rPr>
          <w:rFonts w:eastAsia="Calibri"/>
          <w:iCs/>
          <w:lang w:val="es-CR"/>
        </w:rPr>
        <w:t>de la Convención Americana en su perjuicio, en relación con los derechos a l</w:t>
      </w:r>
      <w:r w:rsidR="00EF333B" w:rsidRPr="002A7F79">
        <w:rPr>
          <w:rFonts w:eastAsia="Calibri"/>
          <w:iCs/>
          <w:lang w:val="es-CR"/>
        </w:rPr>
        <w:t>a integridad pers</w:t>
      </w:r>
      <w:r w:rsidR="000C400A" w:rsidRPr="002A7F79">
        <w:rPr>
          <w:rFonts w:eastAsia="Calibri"/>
          <w:iCs/>
          <w:lang w:val="es-CR"/>
        </w:rPr>
        <w:t>onal y a la honra y la dignidad establecidos en los artículos 5.1</w:t>
      </w:r>
      <w:r w:rsidR="00EF333B" w:rsidRPr="002A7F79">
        <w:rPr>
          <w:rFonts w:eastAsia="Calibri"/>
          <w:iCs/>
          <w:lang w:val="es-CR"/>
        </w:rPr>
        <w:t xml:space="preserve">, </w:t>
      </w:r>
      <w:r w:rsidR="000C400A" w:rsidRPr="002A7F79">
        <w:rPr>
          <w:rFonts w:eastAsia="Calibri"/>
          <w:iCs/>
          <w:lang w:val="es-CR"/>
        </w:rPr>
        <w:t>5.2</w:t>
      </w:r>
      <w:r w:rsidR="00EF333B" w:rsidRPr="002A7F79">
        <w:rPr>
          <w:rFonts w:eastAsia="Calibri"/>
          <w:iCs/>
          <w:lang w:val="es-CR"/>
        </w:rPr>
        <w:t xml:space="preserve"> y </w:t>
      </w:r>
      <w:r w:rsidR="000C400A" w:rsidRPr="002A7F79">
        <w:rPr>
          <w:rFonts w:eastAsia="Calibri"/>
          <w:iCs/>
          <w:lang w:val="es-CR"/>
        </w:rPr>
        <w:t>11</w:t>
      </w:r>
      <w:r w:rsidR="00EF333B" w:rsidRPr="002A7F79">
        <w:rPr>
          <w:rFonts w:eastAsia="Calibri"/>
          <w:iCs/>
          <w:lang w:val="es-CR"/>
        </w:rPr>
        <w:t xml:space="preserve"> d</w:t>
      </w:r>
      <w:r w:rsidR="000C400A" w:rsidRPr="002A7F79">
        <w:rPr>
          <w:rFonts w:eastAsia="Calibri"/>
          <w:iCs/>
          <w:lang w:val="es-CR"/>
        </w:rPr>
        <w:t xml:space="preserve">el mismo instrumento, y con las </w:t>
      </w:r>
      <w:r w:rsidR="00EF333B" w:rsidRPr="002A7F79">
        <w:rPr>
          <w:rFonts w:eastAsia="Calibri"/>
          <w:iCs/>
          <w:lang w:val="es-CR"/>
        </w:rPr>
        <w:t>oblig</w:t>
      </w:r>
      <w:r w:rsidR="000C400A" w:rsidRPr="002A7F79">
        <w:rPr>
          <w:rFonts w:eastAsia="Calibri"/>
          <w:iCs/>
          <w:lang w:val="es-CR"/>
        </w:rPr>
        <w:t>aciones establecidas en los artículos 1 y 6 de la Convención Interamericana para P</w:t>
      </w:r>
      <w:r w:rsidR="005C22F2">
        <w:rPr>
          <w:rFonts w:eastAsia="Calibri"/>
          <w:iCs/>
          <w:lang w:val="es-CR"/>
        </w:rPr>
        <w:t>revenir y Sancionar la Tortura”.</w:t>
      </w:r>
      <w:r w:rsidR="00EF333B" w:rsidRPr="002A7F79">
        <w:rPr>
          <w:rFonts w:eastAsia="Calibri"/>
          <w:lang w:val="es-CR"/>
        </w:rPr>
        <w:t xml:space="preserve"> En esa </w:t>
      </w:r>
      <w:r w:rsidR="000C400A" w:rsidRPr="002A7F79">
        <w:rPr>
          <w:rFonts w:eastAsia="Calibri"/>
          <w:lang w:val="es-CR"/>
        </w:rPr>
        <w:t>línea</w:t>
      </w:r>
      <w:r w:rsidR="00EF333B" w:rsidRPr="002A7F79">
        <w:rPr>
          <w:rFonts w:eastAsia="Calibri"/>
          <w:lang w:val="es-CR"/>
        </w:rPr>
        <w:t>,</w:t>
      </w:r>
      <w:r w:rsidR="002C7970" w:rsidRPr="002A7F79">
        <w:rPr>
          <w:rFonts w:eastAsia="Calibri"/>
          <w:lang w:val="es-CR"/>
        </w:rPr>
        <w:t xml:space="preserve"> sostuvo que</w:t>
      </w:r>
      <w:r w:rsidR="000C400A" w:rsidRPr="002A7F79">
        <w:rPr>
          <w:rFonts w:eastAsia="Calibri"/>
          <w:lang w:val="es-CR"/>
        </w:rPr>
        <w:t xml:space="preserve"> en el punto </w:t>
      </w:r>
      <w:r w:rsidR="00EF333B" w:rsidRPr="002A7F79">
        <w:rPr>
          <w:rFonts w:eastAsia="Calibri"/>
          <w:lang w:val="es-CR"/>
        </w:rPr>
        <w:t>resolutivo 7 de la</w:t>
      </w:r>
      <w:r w:rsidR="000C400A" w:rsidRPr="002A7F79">
        <w:rPr>
          <w:rFonts w:eastAsia="Calibri"/>
          <w:iCs/>
          <w:lang w:val="es-CR"/>
        </w:rPr>
        <w:t xml:space="preserve"> </w:t>
      </w:r>
      <w:r w:rsidR="002C7970" w:rsidRPr="002A7F79">
        <w:rPr>
          <w:rFonts w:eastAsia="Calibri"/>
          <w:lang w:val="es-CR"/>
        </w:rPr>
        <w:t>S</w:t>
      </w:r>
      <w:r w:rsidR="00EF333B" w:rsidRPr="002A7F79">
        <w:rPr>
          <w:rFonts w:eastAsia="Calibri"/>
          <w:lang w:val="es-CR"/>
        </w:rPr>
        <w:t>entencia la Corte i</w:t>
      </w:r>
      <w:r w:rsidR="002C7970" w:rsidRPr="002A7F79">
        <w:rPr>
          <w:rFonts w:eastAsia="Calibri"/>
          <w:lang w:val="es-CR"/>
        </w:rPr>
        <w:t>ndicó que el Perú</w:t>
      </w:r>
      <w:r w:rsidR="00EF333B" w:rsidRPr="002A7F79">
        <w:rPr>
          <w:rFonts w:eastAsia="Calibri"/>
          <w:lang w:val="es-CR"/>
        </w:rPr>
        <w:t xml:space="preserve"> </w:t>
      </w:r>
      <w:r w:rsidR="000A197A">
        <w:rPr>
          <w:rFonts w:eastAsia="Calibri"/>
          <w:iCs/>
          <w:lang w:val="es-CR"/>
        </w:rPr>
        <w:t>“</w:t>
      </w:r>
      <w:r w:rsidR="000C400A" w:rsidRPr="002A7F79">
        <w:rPr>
          <w:rFonts w:eastAsia="Calibri"/>
          <w:iCs/>
          <w:lang w:val="es-CR"/>
        </w:rPr>
        <w:t>incumplió el deber de no discriminar, contenido en el artí</w:t>
      </w:r>
      <w:r w:rsidR="00EF333B" w:rsidRPr="002A7F79">
        <w:rPr>
          <w:rFonts w:eastAsia="Calibri"/>
          <w:iCs/>
          <w:lang w:val="es-CR"/>
        </w:rPr>
        <w:t xml:space="preserve">culo </w:t>
      </w:r>
      <w:r w:rsidR="000C400A" w:rsidRPr="002A7F79">
        <w:rPr>
          <w:rFonts w:eastAsia="Calibri"/>
          <w:iCs/>
          <w:lang w:val="es-CR"/>
        </w:rPr>
        <w:t>1.1</w:t>
      </w:r>
      <w:r w:rsidR="00EF333B" w:rsidRPr="002A7F79">
        <w:rPr>
          <w:rFonts w:eastAsia="Calibri"/>
          <w:iCs/>
          <w:lang w:val="es-CR"/>
        </w:rPr>
        <w:t xml:space="preserve"> </w:t>
      </w:r>
      <w:r w:rsidR="000C400A" w:rsidRPr="002A7F79">
        <w:rPr>
          <w:rFonts w:eastAsia="Calibri"/>
          <w:iCs/>
          <w:lang w:val="es-CR"/>
        </w:rPr>
        <w:t>de la Convención Americana, en relación con los derechos reconocidos en los artículos 5.1</w:t>
      </w:r>
      <w:r w:rsidR="00EF333B" w:rsidRPr="002A7F79">
        <w:rPr>
          <w:rFonts w:eastAsia="Calibri"/>
          <w:iCs/>
          <w:lang w:val="es-CR"/>
        </w:rPr>
        <w:t xml:space="preserve">, </w:t>
      </w:r>
      <w:r w:rsidR="000C400A" w:rsidRPr="002A7F79">
        <w:rPr>
          <w:rFonts w:eastAsia="Calibri"/>
          <w:iCs/>
          <w:lang w:val="es-CR"/>
        </w:rPr>
        <w:t>5.2</w:t>
      </w:r>
      <w:r w:rsidR="00EF333B" w:rsidRPr="002A7F79">
        <w:rPr>
          <w:rFonts w:eastAsia="Calibri"/>
          <w:iCs/>
          <w:lang w:val="es-CR"/>
        </w:rPr>
        <w:t xml:space="preserve"> y </w:t>
      </w:r>
      <w:r w:rsidR="000C400A" w:rsidRPr="002A7F79">
        <w:rPr>
          <w:rFonts w:eastAsia="Calibri"/>
          <w:iCs/>
          <w:lang w:val="es-CR"/>
        </w:rPr>
        <w:t>11 […]”</w:t>
      </w:r>
      <w:r w:rsidR="002A7F79" w:rsidRPr="002A7F79">
        <w:rPr>
          <w:rFonts w:eastAsia="Calibri"/>
          <w:iCs/>
          <w:lang w:val="es-CR"/>
        </w:rPr>
        <w:t>.</w:t>
      </w:r>
    </w:p>
    <w:p w:rsidR="005254A8" w:rsidRPr="005254A8" w:rsidRDefault="005254A8" w:rsidP="005254A8">
      <w:pPr>
        <w:pStyle w:val="Prrafodelista"/>
        <w:autoSpaceDE w:val="0"/>
        <w:autoSpaceDN w:val="0"/>
        <w:adjustRightInd w:val="0"/>
        <w:ind w:left="0"/>
        <w:rPr>
          <w:rFonts w:eastAsia="Calibri"/>
          <w:lang w:val="es-CR"/>
        </w:rPr>
      </w:pPr>
    </w:p>
    <w:p w:rsidR="00EF333B" w:rsidRPr="004A0ED2" w:rsidRDefault="00F86B6D" w:rsidP="007C76E9">
      <w:pPr>
        <w:numPr>
          <w:ilvl w:val="0"/>
          <w:numId w:val="1"/>
        </w:numPr>
        <w:tabs>
          <w:tab w:val="clear" w:pos="1247"/>
          <w:tab w:val="num" w:pos="720"/>
        </w:tabs>
        <w:jc w:val="both"/>
        <w:rPr>
          <w:rFonts w:eastAsia="Calibri"/>
          <w:lang w:val="es-CR"/>
        </w:rPr>
      </w:pPr>
      <w:r w:rsidRPr="005254A8">
        <w:rPr>
          <w:rFonts w:eastAsia="Calibri"/>
          <w:lang w:val="es-CR"/>
        </w:rPr>
        <w:t xml:space="preserve">Según el Estado, </w:t>
      </w:r>
      <w:r w:rsidR="002C7970" w:rsidRPr="005254A8">
        <w:rPr>
          <w:rFonts w:eastAsia="Calibri"/>
          <w:lang w:val="es-CR"/>
        </w:rPr>
        <w:t>la Corte</w:t>
      </w:r>
      <w:r w:rsidR="00EF333B" w:rsidRPr="005254A8">
        <w:rPr>
          <w:rFonts w:eastAsia="Calibri"/>
          <w:lang w:val="es-CR"/>
        </w:rPr>
        <w:t xml:space="preserve"> n</w:t>
      </w:r>
      <w:r w:rsidR="000C400A" w:rsidRPr="005254A8">
        <w:rPr>
          <w:rFonts w:eastAsia="Calibri"/>
          <w:lang w:val="es-CR"/>
        </w:rPr>
        <w:t>o señaló en sus conclusiones de</w:t>
      </w:r>
      <w:r w:rsidR="00890151">
        <w:rPr>
          <w:rFonts w:eastAsia="Calibri"/>
          <w:lang w:val="es-CR"/>
        </w:rPr>
        <w:t>l capítulo VIII.3 ni en el punto</w:t>
      </w:r>
      <w:r w:rsidR="000C400A" w:rsidRPr="005254A8">
        <w:rPr>
          <w:rFonts w:eastAsia="Calibri"/>
          <w:lang w:val="es-CR"/>
        </w:rPr>
        <w:t xml:space="preserve"> </w:t>
      </w:r>
      <w:r w:rsidR="00EF333B" w:rsidRPr="005254A8">
        <w:rPr>
          <w:rFonts w:eastAsia="Calibri"/>
          <w:lang w:val="es-CR"/>
        </w:rPr>
        <w:t>resolutivo 7 de l</w:t>
      </w:r>
      <w:r w:rsidR="000C400A" w:rsidRPr="005254A8">
        <w:rPr>
          <w:rFonts w:eastAsia="Calibri"/>
          <w:lang w:val="es-CR"/>
        </w:rPr>
        <w:t xml:space="preserve">a </w:t>
      </w:r>
      <w:r w:rsidR="000A197A">
        <w:rPr>
          <w:rFonts w:eastAsia="Calibri"/>
          <w:lang w:val="es-CR"/>
        </w:rPr>
        <w:t>S</w:t>
      </w:r>
      <w:r w:rsidR="000C400A" w:rsidRPr="005254A8">
        <w:rPr>
          <w:rFonts w:eastAsia="Calibri"/>
          <w:lang w:val="es-CR"/>
        </w:rPr>
        <w:t>entencia que se haya violado específicamente</w:t>
      </w:r>
      <w:r w:rsidR="00EF333B" w:rsidRPr="005254A8">
        <w:rPr>
          <w:rFonts w:eastAsia="Calibri"/>
          <w:lang w:val="es-CR"/>
        </w:rPr>
        <w:t xml:space="preserve"> el </w:t>
      </w:r>
      <w:r w:rsidR="000C400A" w:rsidRPr="005254A8">
        <w:rPr>
          <w:rFonts w:eastAsia="Calibri"/>
          <w:lang w:val="es-CR"/>
        </w:rPr>
        <w:t>artículo 24 de la Convenció</w:t>
      </w:r>
      <w:r w:rsidR="00EF333B" w:rsidRPr="005254A8">
        <w:rPr>
          <w:rFonts w:eastAsia="Calibri"/>
          <w:lang w:val="es-CR"/>
        </w:rPr>
        <w:t>n A</w:t>
      </w:r>
      <w:r w:rsidR="000C400A" w:rsidRPr="005254A8">
        <w:rPr>
          <w:rFonts w:eastAsia="Calibri"/>
          <w:lang w:val="es-CR"/>
        </w:rPr>
        <w:t xml:space="preserve">mericana, a pesar de haber sido </w:t>
      </w:r>
      <w:r w:rsidR="00EF333B" w:rsidRPr="005254A8">
        <w:rPr>
          <w:rFonts w:eastAsia="Calibri"/>
          <w:lang w:val="es-CR"/>
        </w:rPr>
        <w:t xml:space="preserve">invocado por los representantes y desarrollado por la Corte en su </w:t>
      </w:r>
      <w:r w:rsidR="000C400A" w:rsidRPr="005254A8">
        <w:rPr>
          <w:rFonts w:eastAsia="Calibri"/>
          <w:lang w:val="es-CR"/>
        </w:rPr>
        <w:t xml:space="preserve">análisis del tema al </w:t>
      </w:r>
      <w:r w:rsidR="00EF333B" w:rsidRPr="005254A8">
        <w:rPr>
          <w:rFonts w:eastAsia="Calibri"/>
          <w:lang w:val="es-CR"/>
        </w:rPr>
        <w:t>que se refiere el ci</w:t>
      </w:r>
      <w:r w:rsidR="000C400A" w:rsidRPr="005254A8">
        <w:rPr>
          <w:rFonts w:eastAsia="Calibri"/>
          <w:lang w:val="es-CR"/>
        </w:rPr>
        <w:t xml:space="preserve">tado capitulo VIII. 3 del </w:t>
      </w:r>
      <w:r w:rsidR="000A197A">
        <w:rPr>
          <w:rFonts w:eastAsia="Calibri"/>
          <w:lang w:val="es-CR"/>
        </w:rPr>
        <w:t>F</w:t>
      </w:r>
      <w:r w:rsidR="000C400A" w:rsidRPr="005254A8">
        <w:rPr>
          <w:rFonts w:eastAsia="Calibri"/>
          <w:lang w:val="es-CR"/>
        </w:rPr>
        <w:t>allo.</w:t>
      </w:r>
      <w:r w:rsidR="004A0ED2">
        <w:rPr>
          <w:rFonts w:eastAsia="Calibri"/>
          <w:lang w:val="es-CR"/>
        </w:rPr>
        <w:t xml:space="preserve"> </w:t>
      </w:r>
      <w:r w:rsidR="000C400A" w:rsidRPr="004A0ED2">
        <w:rPr>
          <w:rFonts w:eastAsia="Calibri"/>
          <w:lang w:val="es-CR"/>
        </w:rPr>
        <w:t>En consecuencia, el Estado solicitó</w:t>
      </w:r>
      <w:r w:rsidR="00EF333B" w:rsidRPr="004A0ED2">
        <w:rPr>
          <w:rFonts w:eastAsia="Calibri"/>
          <w:lang w:val="es-CR"/>
        </w:rPr>
        <w:t xml:space="preserve"> a la Corte que aclar</w:t>
      </w:r>
      <w:r w:rsidR="004A0ED2">
        <w:rPr>
          <w:rFonts w:eastAsia="Calibri"/>
          <w:lang w:val="es-CR"/>
        </w:rPr>
        <w:t>e</w:t>
      </w:r>
      <w:r w:rsidR="00EF333B" w:rsidRPr="004A0ED2">
        <w:rPr>
          <w:rFonts w:eastAsia="Calibri"/>
          <w:lang w:val="es-CR"/>
        </w:rPr>
        <w:t xml:space="preserve"> </w:t>
      </w:r>
      <w:r w:rsidR="000A197A">
        <w:rPr>
          <w:rFonts w:eastAsia="Calibri"/>
          <w:lang w:val="es-CR"/>
        </w:rPr>
        <w:t>“</w:t>
      </w:r>
      <w:r w:rsidR="00EF333B" w:rsidRPr="004A0ED2">
        <w:rPr>
          <w:rFonts w:eastAsia="Calibri"/>
          <w:lang w:val="es-CR"/>
        </w:rPr>
        <w:t>sus consideraciones y conclusiones respec</w:t>
      </w:r>
      <w:r w:rsidR="000C400A" w:rsidRPr="004A0ED2">
        <w:rPr>
          <w:rFonts w:eastAsia="Calibri"/>
          <w:lang w:val="es-CR"/>
        </w:rPr>
        <w:t xml:space="preserve">to a si los derechos vulnerados </w:t>
      </w:r>
      <w:r w:rsidR="00EF333B" w:rsidRPr="004A0ED2">
        <w:rPr>
          <w:rFonts w:eastAsia="Calibri"/>
          <w:lang w:val="es-CR"/>
        </w:rPr>
        <w:t>refle</w:t>
      </w:r>
      <w:r w:rsidR="000C400A" w:rsidRPr="004A0ED2">
        <w:rPr>
          <w:rFonts w:eastAsia="Calibri"/>
          <w:lang w:val="es-CR"/>
        </w:rPr>
        <w:t>ja el pa</w:t>
      </w:r>
      <w:r w:rsidR="00382A94" w:rsidRPr="004A0ED2">
        <w:rPr>
          <w:rFonts w:eastAsia="Calibri"/>
          <w:lang w:val="es-CR"/>
        </w:rPr>
        <w:t>recer de la Corte</w:t>
      </w:r>
      <w:r w:rsidR="000A197A">
        <w:rPr>
          <w:rFonts w:eastAsia="Calibri"/>
          <w:lang w:val="es-CR"/>
        </w:rPr>
        <w:t xml:space="preserve"> </w:t>
      </w:r>
      <w:r w:rsidR="000A197A" w:rsidRPr="000A197A">
        <w:rPr>
          <w:rFonts w:eastAsia="Calibri"/>
          <w:iCs/>
          <w:lang w:val="es-CR"/>
        </w:rPr>
        <w:t>Interamericana</w:t>
      </w:r>
      <w:r w:rsidR="000C400A" w:rsidRPr="004A0ED2">
        <w:rPr>
          <w:rFonts w:eastAsia="Calibri"/>
          <w:lang w:val="es-CR"/>
        </w:rPr>
        <w:t>, o si tal omisión respecto al artícu</w:t>
      </w:r>
      <w:r w:rsidR="00382A94" w:rsidRPr="004A0ED2">
        <w:rPr>
          <w:rFonts w:eastAsia="Calibri"/>
          <w:lang w:val="es-CR"/>
        </w:rPr>
        <w:t xml:space="preserve">lo 24 de la </w:t>
      </w:r>
      <w:r w:rsidR="000A197A">
        <w:rPr>
          <w:rFonts w:eastAsia="Calibri"/>
          <w:lang w:val="es-CR"/>
        </w:rPr>
        <w:t>Convención Americana</w:t>
      </w:r>
      <w:r w:rsidR="000A197A" w:rsidRPr="004A0ED2">
        <w:rPr>
          <w:rFonts w:eastAsia="Calibri"/>
          <w:lang w:val="es-CR"/>
        </w:rPr>
        <w:t xml:space="preserve"> </w:t>
      </w:r>
      <w:r w:rsidR="000C400A" w:rsidRPr="004A0ED2">
        <w:rPr>
          <w:rFonts w:eastAsia="Calibri"/>
          <w:lang w:val="es-CR"/>
        </w:rPr>
        <w:t xml:space="preserve">se debió a un error </w:t>
      </w:r>
      <w:r w:rsidR="000C400A" w:rsidRPr="007C76E9">
        <w:rPr>
          <w:lang w:val="es-CR"/>
        </w:rPr>
        <w:t>material</w:t>
      </w:r>
      <w:r w:rsidR="000C400A" w:rsidRPr="004A0ED2">
        <w:rPr>
          <w:rFonts w:eastAsia="Calibri"/>
          <w:lang w:val="es-CR"/>
        </w:rPr>
        <w:t xml:space="preserve"> o de edición del documento por cuanto lo señ</w:t>
      </w:r>
      <w:r w:rsidR="00EF333B" w:rsidRPr="004A0ED2">
        <w:rPr>
          <w:rFonts w:eastAsia="Calibri"/>
          <w:lang w:val="es-CR"/>
        </w:rPr>
        <w:t xml:space="preserve">alado en la </w:t>
      </w:r>
      <w:r w:rsidR="000A197A">
        <w:rPr>
          <w:rFonts w:eastAsia="Calibri"/>
          <w:lang w:val="es-CR"/>
        </w:rPr>
        <w:t>[S]</w:t>
      </w:r>
      <w:proofErr w:type="spellStart"/>
      <w:r w:rsidR="00EF333B" w:rsidRPr="004A0ED2">
        <w:rPr>
          <w:rFonts w:eastAsia="Calibri"/>
          <w:lang w:val="es-CR"/>
        </w:rPr>
        <w:t>entencia</w:t>
      </w:r>
      <w:proofErr w:type="spellEnd"/>
      <w:r w:rsidR="000C400A" w:rsidRPr="004A0ED2">
        <w:rPr>
          <w:rFonts w:eastAsia="Calibri"/>
          <w:lang w:val="es-CR"/>
        </w:rPr>
        <w:t xml:space="preserve"> no brinda claridad al respecto</w:t>
      </w:r>
      <w:r w:rsidR="000A197A">
        <w:rPr>
          <w:rFonts w:eastAsia="Calibri"/>
          <w:lang w:val="es-CR"/>
        </w:rPr>
        <w:t>”</w:t>
      </w:r>
      <w:r w:rsidR="000C400A" w:rsidRPr="004A0ED2">
        <w:rPr>
          <w:rFonts w:eastAsia="Calibri"/>
          <w:lang w:val="es-CR"/>
        </w:rPr>
        <w:t>.</w:t>
      </w:r>
      <w:r w:rsidR="00382A94" w:rsidRPr="004A0ED2">
        <w:rPr>
          <w:rFonts w:eastAsia="Calibri"/>
          <w:lang w:val="es-CR"/>
        </w:rPr>
        <w:t xml:space="preserve"> </w:t>
      </w:r>
      <w:r w:rsidR="000C400A" w:rsidRPr="004A0ED2">
        <w:rPr>
          <w:rFonts w:eastAsia="Calibri"/>
          <w:lang w:val="es-CR"/>
        </w:rPr>
        <w:t>En atenció</w:t>
      </w:r>
      <w:r w:rsidR="00EF333B" w:rsidRPr="004A0ED2">
        <w:rPr>
          <w:rFonts w:eastAsia="Calibri"/>
          <w:lang w:val="es-CR"/>
        </w:rPr>
        <w:t>n a e</w:t>
      </w:r>
      <w:r w:rsidR="00382A94" w:rsidRPr="004A0ED2">
        <w:rPr>
          <w:rFonts w:eastAsia="Calibri"/>
          <w:lang w:val="es-CR"/>
        </w:rPr>
        <w:t>llo, el Estado consideró</w:t>
      </w:r>
      <w:r w:rsidR="00EF333B" w:rsidRPr="004A0ED2">
        <w:rPr>
          <w:rFonts w:eastAsia="Calibri"/>
          <w:lang w:val="es-CR"/>
        </w:rPr>
        <w:t xml:space="preserve"> </w:t>
      </w:r>
      <w:r w:rsidR="000C400A" w:rsidRPr="004A0ED2">
        <w:rPr>
          <w:rFonts w:eastAsia="Calibri"/>
          <w:lang w:val="es-CR"/>
        </w:rPr>
        <w:t xml:space="preserve">pertinente consultar </w:t>
      </w:r>
      <w:r w:rsidR="00382A94" w:rsidRPr="004A0ED2">
        <w:rPr>
          <w:rFonts w:eastAsia="Calibri"/>
          <w:lang w:val="es-CR"/>
        </w:rPr>
        <w:t>si e</w:t>
      </w:r>
      <w:r w:rsidR="00EF333B" w:rsidRPr="004A0ED2">
        <w:rPr>
          <w:rFonts w:eastAsia="Calibri"/>
          <w:lang w:val="es-CR"/>
        </w:rPr>
        <w:t>l punto resolutivo</w:t>
      </w:r>
      <w:r w:rsidR="000C400A" w:rsidRPr="004A0ED2">
        <w:rPr>
          <w:rFonts w:eastAsia="Calibri"/>
          <w:lang w:val="es-CR"/>
        </w:rPr>
        <w:t xml:space="preserve"> 7 de la </w:t>
      </w:r>
      <w:r w:rsidR="000A197A">
        <w:rPr>
          <w:rFonts w:eastAsia="Calibri"/>
          <w:lang w:val="es-CR"/>
        </w:rPr>
        <w:t>S</w:t>
      </w:r>
      <w:r w:rsidR="000C400A" w:rsidRPr="004A0ED2">
        <w:rPr>
          <w:rFonts w:eastAsia="Calibri"/>
          <w:lang w:val="es-CR"/>
        </w:rPr>
        <w:t>entencia debe incluir también la violació</w:t>
      </w:r>
      <w:r w:rsidR="00EF333B" w:rsidRPr="004A0ED2">
        <w:rPr>
          <w:rFonts w:eastAsia="Calibri"/>
          <w:lang w:val="es-CR"/>
        </w:rPr>
        <w:t xml:space="preserve">n del derecho reconocido en el </w:t>
      </w:r>
      <w:r w:rsidR="00382A94" w:rsidRPr="004A0ED2">
        <w:rPr>
          <w:rFonts w:eastAsia="Calibri"/>
          <w:lang w:val="es-CR"/>
        </w:rPr>
        <w:t>artículo 24 de la Convención</w:t>
      </w:r>
      <w:r w:rsidR="008C1168" w:rsidRPr="004A0ED2">
        <w:rPr>
          <w:rFonts w:eastAsia="Calibri"/>
          <w:lang w:val="es-CR"/>
        </w:rPr>
        <w:t>.</w:t>
      </w:r>
      <w:r w:rsidR="00EF333B" w:rsidRPr="004A0ED2">
        <w:rPr>
          <w:rFonts w:eastAsia="Calibri"/>
          <w:lang w:val="es-CR"/>
        </w:rPr>
        <w:t xml:space="preserve"> </w:t>
      </w:r>
      <w:r w:rsidR="00382A94" w:rsidRPr="004A0ED2">
        <w:rPr>
          <w:rFonts w:eastAsia="Calibri"/>
          <w:lang w:val="es-CR"/>
        </w:rPr>
        <w:t>Si</w:t>
      </w:r>
      <w:r w:rsidR="000A197A">
        <w:rPr>
          <w:rFonts w:eastAsia="Calibri"/>
          <w:lang w:val="es-CR"/>
        </w:rPr>
        <w:t xml:space="preserve"> </w:t>
      </w:r>
      <w:r w:rsidR="00382A94" w:rsidRPr="004A0ED2">
        <w:rPr>
          <w:rFonts w:eastAsia="Calibri"/>
          <w:lang w:val="es-CR"/>
        </w:rPr>
        <w:t>no lo incluyera,</w:t>
      </w:r>
      <w:r w:rsidR="008C1168" w:rsidRPr="004A0ED2">
        <w:rPr>
          <w:rFonts w:eastAsia="Calibri"/>
          <w:lang w:val="es-CR"/>
        </w:rPr>
        <w:t xml:space="preserve"> el Estado</w:t>
      </w:r>
      <w:r w:rsidR="00382A94" w:rsidRPr="004A0ED2">
        <w:rPr>
          <w:rFonts w:eastAsia="Calibri"/>
          <w:lang w:val="es-CR"/>
        </w:rPr>
        <w:t xml:space="preserve"> solicitó precisar</w:t>
      </w:r>
      <w:r w:rsidR="000C400A" w:rsidRPr="004A0ED2">
        <w:rPr>
          <w:rFonts w:eastAsia="Calibri"/>
          <w:lang w:val="es-CR"/>
        </w:rPr>
        <w:t xml:space="preserve"> la razón por la cual no concluye su </w:t>
      </w:r>
      <w:r w:rsidR="00382A94" w:rsidRPr="004A0ED2">
        <w:rPr>
          <w:rFonts w:eastAsia="Calibri"/>
          <w:lang w:val="es-CR"/>
        </w:rPr>
        <w:t>violación</w:t>
      </w:r>
      <w:r w:rsidR="000C400A" w:rsidRPr="004A0ED2">
        <w:rPr>
          <w:rFonts w:eastAsia="Calibri"/>
          <w:lang w:val="es-CR"/>
        </w:rPr>
        <w:t>.</w:t>
      </w:r>
    </w:p>
    <w:p w:rsidR="005254A8" w:rsidRPr="005254A8" w:rsidRDefault="005254A8" w:rsidP="005254A8">
      <w:pPr>
        <w:pStyle w:val="Prrafodelista"/>
        <w:autoSpaceDE w:val="0"/>
        <w:autoSpaceDN w:val="0"/>
        <w:adjustRightInd w:val="0"/>
        <w:ind w:left="0"/>
        <w:rPr>
          <w:rFonts w:eastAsia="Calibri"/>
          <w:lang w:val="es-CR"/>
        </w:rPr>
      </w:pPr>
    </w:p>
    <w:p w:rsidR="004225D6" w:rsidRDefault="00E2210E" w:rsidP="007C76E9">
      <w:pPr>
        <w:numPr>
          <w:ilvl w:val="0"/>
          <w:numId w:val="1"/>
        </w:numPr>
        <w:tabs>
          <w:tab w:val="clear" w:pos="1247"/>
          <w:tab w:val="num" w:pos="720"/>
        </w:tabs>
        <w:jc w:val="both"/>
        <w:rPr>
          <w:lang w:val="es-CR"/>
        </w:rPr>
      </w:pPr>
      <w:r w:rsidRPr="005254A8">
        <w:rPr>
          <w:lang w:val="es-CR"/>
        </w:rPr>
        <w:t xml:space="preserve">Los </w:t>
      </w:r>
      <w:r w:rsidRPr="005254A8">
        <w:rPr>
          <w:b/>
          <w:i/>
          <w:lang w:val="es-CR"/>
        </w:rPr>
        <w:t>representantes</w:t>
      </w:r>
      <w:r w:rsidR="008C1168">
        <w:rPr>
          <w:lang w:val="es-CR"/>
        </w:rPr>
        <w:t xml:space="preserve"> </w:t>
      </w:r>
      <w:r w:rsidR="004225D6">
        <w:rPr>
          <w:lang w:val="es-CR"/>
        </w:rPr>
        <w:t>consideraron</w:t>
      </w:r>
      <w:r w:rsidR="004225D6" w:rsidRPr="004225D6">
        <w:rPr>
          <w:lang w:val="es-CR"/>
        </w:rPr>
        <w:t xml:space="preserve"> que la solicitud de interpretación del Estado no procede, en</w:t>
      </w:r>
      <w:r w:rsidR="004225D6">
        <w:rPr>
          <w:lang w:val="es-CR"/>
        </w:rPr>
        <w:t xml:space="preserve"> </w:t>
      </w:r>
      <w:r w:rsidR="004225D6" w:rsidRPr="004225D6">
        <w:rPr>
          <w:lang w:val="es-CR"/>
        </w:rPr>
        <w:t xml:space="preserve">tanto de una lectura integral de la </w:t>
      </w:r>
      <w:r w:rsidR="00277316">
        <w:rPr>
          <w:lang w:val="es-CR"/>
        </w:rPr>
        <w:t>S</w:t>
      </w:r>
      <w:r w:rsidR="004225D6" w:rsidRPr="004225D6">
        <w:rPr>
          <w:lang w:val="es-CR"/>
        </w:rPr>
        <w:t>entencia se desprende claramente que la Corte consideró que las actuaciones discriminatorias por parte del Estado que fueron</w:t>
      </w:r>
      <w:r w:rsidR="004225D6">
        <w:rPr>
          <w:lang w:val="es-CR"/>
        </w:rPr>
        <w:t xml:space="preserve"> </w:t>
      </w:r>
      <w:r w:rsidR="004225D6" w:rsidRPr="004225D6">
        <w:rPr>
          <w:lang w:val="es-CR"/>
        </w:rPr>
        <w:t>alegadas por los representantes y que caracterizaron tanto el sometimiento de Gladys</w:t>
      </w:r>
      <w:r w:rsidR="008675A7">
        <w:rPr>
          <w:lang w:val="es-CR"/>
        </w:rPr>
        <w:t xml:space="preserve"> Espino</w:t>
      </w:r>
      <w:r w:rsidR="00B968CA">
        <w:rPr>
          <w:lang w:val="es-CR"/>
        </w:rPr>
        <w:t>z</w:t>
      </w:r>
      <w:r w:rsidR="008675A7">
        <w:rPr>
          <w:lang w:val="es-CR"/>
        </w:rPr>
        <w:t>a</w:t>
      </w:r>
      <w:r w:rsidR="004225D6" w:rsidRPr="004225D6">
        <w:rPr>
          <w:lang w:val="es-CR"/>
        </w:rPr>
        <w:t xml:space="preserve"> a la</w:t>
      </w:r>
      <w:r w:rsidR="004225D6">
        <w:rPr>
          <w:lang w:val="es-CR"/>
        </w:rPr>
        <w:t xml:space="preserve"> </w:t>
      </w:r>
      <w:r w:rsidR="004225D6" w:rsidRPr="004225D6">
        <w:rPr>
          <w:lang w:val="es-CR"/>
        </w:rPr>
        <w:t xml:space="preserve">práctica generalizada de la violencia sexual que existía en </w:t>
      </w:r>
      <w:r w:rsidR="00A51F30">
        <w:rPr>
          <w:lang w:val="es-CR"/>
        </w:rPr>
        <w:t xml:space="preserve">el </w:t>
      </w:r>
      <w:r w:rsidR="004225D6" w:rsidRPr="004225D6">
        <w:rPr>
          <w:lang w:val="es-CR"/>
        </w:rPr>
        <w:t xml:space="preserve">Perú para </w:t>
      </w:r>
      <w:r w:rsidR="008675A7">
        <w:rPr>
          <w:lang w:val="es-CR"/>
        </w:rPr>
        <w:t xml:space="preserve">la </w:t>
      </w:r>
      <w:r w:rsidR="004225D6" w:rsidRPr="004225D6">
        <w:rPr>
          <w:lang w:val="es-CR"/>
        </w:rPr>
        <w:t>época de los hechos,</w:t>
      </w:r>
      <w:r w:rsidR="004225D6">
        <w:rPr>
          <w:lang w:val="es-CR"/>
        </w:rPr>
        <w:t xml:space="preserve"> </w:t>
      </w:r>
      <w:r w:rsidR="004225D6" w:rsidRPr="004225D6">
        <w:rPr>
          <w:lang w:val="es-CR"/>
        </w:rPr>
        <w:t>como varios aspectos significativos de las investigaciones y los procesos judiciales, se insertan</w:t>
      </w:r>
      <w:r w:rsidR="004225D6">
        <w:rPr>
          <w:lang w:val="es-CR"/>
        </w:rPr>
        <w:t xml:space="preserve"> </w:t>
      </w:r>
      <w:r w:rsidR="004225D6" w:rsidRPr="004225D6">
        <w:rPr>
          <w:lang w:val="es-CR"/>
        </w:rPr>
        <w:t>dentro del deber de respetar y garantizar los derechos a la integridad personal, que se</w:t>
      </w:r>
      <w:r w:rsidR="004225D6">
        <w:rPr>
          <w:lang w:val="es-CR"/>
        </w:rPr>
        <w:t xml:space="preserve"> </w:t>
      </w:r>
      <w:r w:rsidR="004225D6" w:rsidRPr="004225D6">
        <w:rPr>
          <w:lang w:val="es-CR"/>
        </w:rPr>
        <w:t xml:space="preserve">establece en el artículo 1.1 de la Convención Americana. </w:t>
      </w:r>
      <w:r w:rsidR="004225D6">
        <w:rPr>
          <w:lang w:val="es-CR"/>
        </w:rPr>
        <w:t xml:space="preserve">En este sentido, los representantes consideraron </w:t>
      </w:r>
      <w:r w:rsidR="004225D6" w:rsidRPr="004225D6">
        <w:rPr>
          <w:lang w:val="es-CR"/>
        </w:rPr>
        <w:t>que “independientemente de las consideraciones de las partes sobre</w:t>
      </w:r>
      <w:r w:rsidR="004225D6">
        <w:rPr>
          <w:lang w:val="es-CR"/>
        </w:rPr>
        <w:t xml:space="preserve"> </w:t>
      </w:r>
      <w:r w:rsidR="004225D6" w:rsidRPr="004225D6">
        <w:rPr>
          <w:lang w:val="es-CR"/>
        </w:rPr>
        <w:t>la calificación jurídica en esos términos, el texto de la Sentencia en este punto no adolece de</w:t>
      </w:r>
      <w:r w:rsidR="004225D6">
        <w:rPr>
          <w:lang w:val="es-CR"/>
        </w:rPr>
        <w:t xml:space="preserve"> </w:t>
      </w:r>
      <w:r w:rsidR="004225D6" w:rsidRPr="004225D6">
        <w:rPr>
          <w:lang w:val="es-CR"/>
        </w:rPr>
        <w:t>falta d</w:t>
      </w:r>
      <w:r w:rsidR="004225D6">
        <w:rPr>
          <w:lang w:val="es-CR"/>
        </w:rPr>
        <w:t>e claridad”</w:t>
      </w:r>
      <w:r w:rsidR="00A32E84">
        <w:rPr>
          <w:lang w:val="es-CR"/>
        </w:rPr>
        <w:t>.</w:t>
      </w:r>
    </w:p>
    <w:p w:rsidR="004225D6" w:rsidRPr="004225D6" w:rsidRDefault="004225D6" w:rsidP="004225D6">
      <w:pPr>
        <w:jc w:val="both"/>
        <w:rPr>
          <w:lang w:val="es-CR"/>
        </w:rPr>
      </w:pPr>
    </w:p>
    <w:p w:rsidR="00E2210E" w:rsidRPr="002A7F79" w:rsidRDefault="00E2210E" w:rsidP="007C76E9">
      <w:pPr>
        <w:numPr>
          <w:ilvl w:val="0"/>
          <w:numId w:val="1"/>
        </w:numPr>
        <w:tabs>
          <w:tab w:val="clear" w:pos="1247"/>
          <w:tab w:val="num" w:pos="720"/>
        </w:tabs>
        <w:jc w:val="both"/>
        <w:rPr>
          <w:rFonts w:cs="Arial"/>
          <w:lang w:val="es-CR"/>
        </w:rPr>
      </w:pPr>
      <w:r w:rsidRPr="005254A8">
        <w:rPr>
          <w:lang w:val="es-CR"/>
        </w:rPr>
        <w:t xml:space="preserve">Sobre este mismo punto, la </w:t>
      </w:r>
      <w:r w:rsidRPr="005254A8">
        <w:rPr>
          <w:rFonts w:cs="Arial"/>
          <w:b/>
          <w:i/>
          <w:lang w:val="es-CR"/>
        </w:rPr>
        <w:t>Comisión</w:t>
      </w:r>
      <w:r w:rsidR="002A7F79">
        <w:rPr>
          <w:rFonts w:cs="Arial"/>
          <w:lang w:val="es-CR"/>
        </w:rPr>
        <w:t xml:space="preserve"> consideró </w:t>
      </w:r>
      <w:r w:rsidR="002A7F79" w:rsidRPr="002A7F79">
        <w:rPr>
          <w:rFonts w:cs="Arial"/>
          <w:lang w:val="es-CR"/>
        </w:rPr>
        <w:t>que el</w:t>
      </w:r>
      <w:r w:rsidR="002A7F79">
        <w:rPr>
          <w:rFonts w:cs="Arial"/>
          <w:lang w:val="es-CR"/>
        </w:rPr>
        <w:t xml:space="preserve"> </w:t>
      </w:r>
      <w:r w:rsidR="002A7F79" w:rsidRPr="002A7F79">
        <w:rPr>
          <w:rFonts w:cs="Arial"/>
          <w:lang w:val="es-CR"/>
        </w:rPr>
        <w:t>análisis jurídico</w:t>
      </w:r>
      <w:r w:rsidR="002A7F79">
        <w:rPr>
          <w:rFonts w:cs="Arial"/>
          <w:lang w:val="es-CR"/>
        </w:rPr>
        <w:t xml:space="preserve"> que realiz</w:t>
      </w:r>
      <w:r w:rsidR="007C76E9">
        <w:rPr>
          <w:rFonts w:cs="Arial"/>
          <w:lang w:val="es-CR"/>
        </w:rPr>
        <w:t>ó</w:t>
      </w:r>
      <w:r w:rsidR="002A7F79">
        <w:rPr>
          <w:rFonts w:cs="Arial"/>
          <w:lang w:val="es-CR"/>
        </w:rPr>
        <w:t xml:space="preserve"> l</w:t>
      </w:r>
      <w:r w:rsidR="002A7F79" w:rsidRPr="002A7F79">
        <w:rPr>
          <w:rFonts w:cs="Arial"/>
          <w:lang w:val="es-CR"/>
        </w:rPr>
        <w:t xml:space="preserve">a </w:t>
      </w:r>
      <w:r w:rsidR="002A7F79">
        <w:rPr>
          <w:rFonts w:cs="Arial"/>
          <w:lang w:val="es-CR"/>
        </w:rPr>
        <w:t xml:space="preserve">Corte a efectos de declarar la </w:t>
      </w:r>
      <w:r w:rsidR="002A7F79" w:rsidRPr="002A7F79">
        <w:rPr>
          <w:rFonts w:cs="Arial"/>
          <w:lang w:val="es-CR"/>
        </w:rPr>
        <w:t>violación</w:t>
      </w:r>
      <w:r w:rsidR="002A7F79">
        <w:rPr>
          <w:rFonts w:cs="Arial"/>
          <w:lang w:val="es-CR"/>
        </w:rPr>
        <w:t xml:space="preserve"> del principio</w:t>
      </w:r>
      <w:r w:rsidR="002A7F79" w:rsidRPr="002A7F79">
        <w:rPr>
          <w:rFonts w:cs="Arial"/>
          <w:lang w:val="es-CR"/>
        </w:rPr>
        <w:t xml:space="preserve"> de no</w:t>
      </w:r>
      <w:r w:rsidR="002A7F79">
        <w:rPr>
          <w:rFonts w:cs="Arial"/>
          <w:lang w:val="es-CR"/>
        </w:rPr>
        <w:t xml:space="preserve"> </w:t>
      </w:r>
      <w:r w:rsidR="002A7F79" w:rsidRPr="002A7F79">
        <w:rPr>
          <w:rFonts w:cs="Arial"/>
          <w:lang w:val="es-CR"/>
        </w:rPr>
        <w:t>discriminación s</w:t>
      </w:r>
      <w:r w:rsidR="002A7F79">
        <w:rPr>
          <w:rFonts w:cs="Arial"/>
          <w:lang w:val="es-CR"/>
        </w:rPr>
        <w:t xml:space="preserve">e encuentra establecido en la </w:t>
      </w:r>
      <w:r w:rsidR="00FF27D9">
        <w:rPr>
          <w:rFonts w:cs="Arial"/>
          <w:lang w:val="es-CR"/>
        </w:rPr>
        <w:t>S</w:t>
      </w:r>
      <w:r w:rsidR="002A7F79">
        <w:rPr>
          <w:rFonts w:cs="Arial"/>
          <w:lang w:val="es-CR"/>
        </w:rPr>
        <w:t xml:space="preserve">entencia. La </w:t>
      </w:r>
      <w:r w:rsidR="002A7F79" w:rsidRPr="00DF1DDD">
        <w:rPr>
          <w:lang w:val="es-CR"/>
        </w:rPr>
        <w:t>Comisión</w:t>
      </w:r>
      <w:r w:rsidR="002A7F79">
        <w:rPr>
          <w:rFonts w:cs="Arial"/>
          <w:lang w:val="es-CR"/>
        </w:rPr>
        <w:t xml:space="preserve"> </w:t>
      </w:r>
      <w:r w:rsidR="00277316">
        <w:rPr>
          <w:rFonts w:cs="Arial"/>
          <w:lang w:val="es-CR"/>
        </w:rPr>
        <w:t xml:space="preserve">entendió </w:t>
      </w:r>
      <w:r w:rsidR="002A7F79">
        <w:rPr>
          <w:rFonts w:cs="Arial"/>
          <w:lang w:val="es-CR"/>
        </w:rPr>
        <w:t>que en este caso l</w:t>
      </w:r>
      <w:r w:rsidR="002A7F79" w:rsidRPr="002A7F79">
        <w:rPr>
          <w:rFonts w:cs="Arial"/>
          <w:lang w:val="es-CR"/>
        </w:rPr>
        <w:t>a Corte considero</w:t>
      </w:r>
      <w:r w:rsidR="002A7F79">
        <w:rPr>
          <w:rFonts w:cs="Arial"/>
          <w:lang w:val="es-CR"/>
        </w:rPr>
        <w:t xml:space="preserve"> pertinente invocar la violación del artículo 1.1 de l</w:t>
      </w:r>
      <w:r w:rsidR="002A7F79" w:rsidRPr="002A7F79">
        <w:rPr>
          <w:rFonts w:cs="Arial"/>
          <w:lang w:val="es-CR"/>
        </w:rPr>
        <w:t>a Convención Americana y no el artículo 24 del mismo</w:t>
      </w:r>
      <w:r w:rsidR="002A7F79">
        <w:rPr>
          <w:rFonts w:cs="Arial"/>
          <w:lang w:val="es-CR"/>
        </w:rPr>
        <w:t xml:space="preserve"> </w:t>
      </w:r>
      <w:r w:rsidR="002A7F79" w:rsidRPr="002A7F79">
        <w:rPr>
          <w:rFonts w:cs="Arial"/>
          <w:lang w:val="es-CR"/>
        </w:rPr>
        <w:t>instrumento y que, independientemente de las consideraci</w:t>
      </w:r>
      <w:r w:rsidR="002A7F79">
        <w:rPr>
          <w:rFonts w:cs="Arial"/>
          <w:lang w:val="es-CR"/>
        </w:rPr>
        <w:t>ones de las partes sobre l</w:t>
      </w:r>
      <w:r w:rsidR="002A7F79" w:rsidRPr="002A7F79">
        <w:rPr>
          <w:rFonts w:cs="Arial"/>
          <w:lang w:val="es-CR"/>
        </w:rPr>
        <w:t>a calificación jurídica en</w:t>
      </w:r>
      <w:r w:rsidR="002A7F79">
        <w:rPr>
          <w:rFonts w:cs="Arial"/>
          <w:lang w:val="es-CR"/>
        </w:rPr>
        <w:t xml:space="preserve"> estos t</w:t>
      </w:r>
      <w:r w:rsidR="002A7F79" w:rsidRPr="002A7F79">
        <w:rPr>
          <w:rFonts w:cs="Arial"/>
          <w:lang w:val="es-CR"/>
        </w:rPr>
        <w:t>érminos</w:t>
      </w:r>
      <w:r w:rsidR="002A7F79">
        <w:rPr>
          <w:rFonts w:cs="Arial"/>
          <w:lang w:val="es-CR"/>
        </w:rPr>
        <w:t>, el texto de l</w:t>
      </w:r>
      <w:r w:rsidR="002A7F79" w:rsidRPr="002A7F79">
        <w:rPr>
          <w:rFonts w:cs="Arial"/>
          <w:lang w:val="es-CR"/>
        </w:rPr>
        <w:t>a Sentencia en este punta no adolece de falta de claridad.</w:t>
      </w:r>
    </w:p>
    <w:p w:rsidR="00E2210E" w:rsidRPr="005254A8" w:rsidRDefault="00E2210E" w:rsidP="00E2210E">
      <w:pPr>
        <w:jc w:val="both"/>
        <w:rPr>
          <w:rFonts w:cs="Arial"/>
          <w:lang w:val="es-CR"/>
        </w:rPr>
      </w:pPr>
    </w:p>
    <w:p w:rsidR="00E2210E" w:rsidRPr="005254A8" w:rsidRDefault="00267DE3" w:rsidP="00E2210E">
      <w:pPr>
        <w:ind w:firstLine="708"/>
        <w:jc w:val="both"/>
        <w:rPr>
          <w:lang w:val="es-CR"/>
        </w:rPr>
      </w:pPr>
      <w:r>
        <w:rPr>
          <w:rFonts w:cs="Arial"/>
          <w:i/>
          <w:lang w:val="es-CR"/>
        </w:rPr>
        <w:t xml:space="preserve">A.2. </w:t>
      </w:r>
      <w:r w:rsidR="00E2210E" w:rsidRPr="005254A8">
        <w:rPr>
          <w:rFonts w:cs="Arial"/>
          <w:i/>
          <w:lang w:val="es-CR"/>
        </w:rPr>
        <w:t>Consideraciones de la Corte</w:t>
      </w:r>
    </w:p>
    <w:p w:rsidR="00E2210E" w:rsidRPr="005254A8" w:rsidRDefault="00E2210E" w:rsidP="00E2210E">
      <w:pPr>
        <w:jc w:val="both"/>
        <w:rPr>
          <w:rFonts w:cs="Arial"/>
          <w:i/>
          <w:lang w:val="es-CR"/>
        </w:rPr>
      </w:pPr>
    </w:p>
    <w:p w:rsidR="00CD30AE" w:rsidRPr="00CD30AE" w:rsidRDefault="00CD30AE" w:rsidP="007C76E9">
      <w:pPr>
        <w:numPr>
          <w:ilvl w:val="0"/>
          <w:numId w:val="1"/>
        </w:numPr>
        <w:tabs>
          <w:tab w:val="clear" w:pos="1247"/>
          <w:tab w:val="num" w:pos="720"/>
        </w:tabs>
        <w:jc w:val="both"/>
        <w:rPr>
          <w:rFonts w:eastAsia="Calibri" w:cs="Verdana"/>
          <w:i/>
          <w:lang w:val="es-CR"/>
        </w:rPr>
      </w:pPr>
      <w:r>
        <w:rPr>
          <w:bCs/>
          <w:lang w:val="es-CR"/>
        </w:rPr>
        <w:t>L</w:t>
      </w:r>
      <w:r w:rsidR="00A52A83">
        <w:rPr>
          <w:bCs/>
          <w:lang w:val="es-CR"/>
        </w:rPr>
        <w:t>a Corte reitera lo señalado en los párrafos 21</w:t>
      </w:r>
      <w:r w:rsidR="00974A24">
        <w:rPr>
          <w:bCs/>
          <w:lang w:val="es-CR"/>
        </w:rPr>
        <w:t>7</w:t>
      </w:r>
      <w:r w:rsidR="00A52A83">
        <w:rPr>
          <w:bCs/>
          <w:lang w:val="es-CR"/>
        </w:rPr>
        <w:t xml:space="preserve"> a </w:t>
      </w:r>
      <w:r w:rsidR="00974A24">
        <w:rPr>
          <w:bCs/>
          <w:lang w:val="es-CR"/>
        </w:rPr>
        <w:t xml:space="preserve">218, 224 y 229 </w:t>
      </w:r>
      <w:r w:rsidR="00A52A83">
        <w:rPr>
          <w:bCs/>
          <w:lang w:val="es-CR"/>
        </w:rPr>
        <w:t>de la Sentencia</w:t>
      </w:r>
      <w:r>
        <w:rPr>
          <w:bCs/>
          <w:lang w:val="es-CR"/>
        </w:rPr>
        <w:t>,</w:t>
      </w:r>
      <w:r w:rsidR="000C1860">
        <w:rPr>
          <w:bCs/>
          <w:lang w:val="es-CR"/>
        </w:rPr>
        <w:t xml:space="preserve"> relativos al Capítulo VIII.3 </w:t>
      </w:r>
      <w:r w:rsidR="000C1860" w:rsidRPr="00DF1DDD">
        <w:rPr>
          <w:lang w:val="es-CR"/>
        </w:rPr>
        <w:t>sobre</w:t>
      </w:r>
      <w:r w:rsidR="000C1860">
        <w:rPr>
          <w:bCs/>
          <w:lang w:val="es-CR"/>
        </w:rPr>
        <w:t xml:space="preserve"> la violencia sexual y </w:t>
      </w:r>
      <w:r w:rsidR="004432AB">
        <w:rPr>
          <w:bCs/>
          <w:lang w:val="es-CR"/>
        </w:rPr>
        <w:t xml:space="preserve">la </w:t>
      </w:r>
      <w:r w:rsidR="000C1860">
        <w:rPr>
          <w:bCs/>
          <w:lang w:val="es-CR"/>
        </w:rPr>
        <w:t>obligación de no discrimina</w:t>
      </w:r>
      <w:r w:rsidR="004432AB">
        <w:rPr>
          <w:bCs/>
          <w:lang w:val="es-CR"/>
        </w:rPr>
        <w:t>r</w:t>
      </w:r>
      <w:r w:rsidR="000C1860">
        <w:rPr>
          <w:bCs/>
          <w:lang w:val="es-CR"/>
        </w:rPr>
        <w:t xml:space="preserve"> a la mujer, en relación con la obligación de respetar los derechos,</w:t>
      </w:r>
      <w:r>
        <w:rPr>
          <w:bCs/>
          <w:lang w:val="es-CR"/>
        </w:rPr>
        <w:t xml:space="preserve"> en los siguientes términos:</w:t>
      </w:r>
    </w:p>
    <w:p w:rsidR="00CD30AE" w:rsidRDefault="00CD30AE" w:rsidP="00CD30AE">
      <w:pPr>
        <w:jc w:val="both"/>
        <w:rPr>
          <w:bCs/>
          <w:lang w:val="es-CR"/>
        </w:rPr>
      </w:pPr>
    </w:p>
    <w:p w:rsidR="00697F71" w:rsidRPr="00697F71" w:rsidRDefault="00697F71" w:rsidP="00697F71">
      <w:pPr>
        <w:ind w:left="720"/>
        <w:jc w:val="both"/>
        <w:rPr>
          <w:bCs/>
          <w:sz w:val="16"/>
          <w:lang w:val="es-CR"/>
        </w:rPr>
      </w:pPr>
      <w:r>
        <w:rPr>
          <w:bCs/>
          <w:sz w:val="16"/>
          <w:lang w:val="es-CR"/>
        </w:rPr>
        <w:t xml:space="preserve">217. </w:t>
      </w:r>
      <w:r w:rsidRPr="00697F71">
        <w:rPr>
          <w:bCs/>
          <w:sz w:val="16"/>
          <w:lang w:val="es-CR"/>
        </w:rPr>
        <w:t xml:space="preserve">Al respecto, la Corte ha señalado que, mientras la obligación general del artículo 1.1 de la Convención Americana se refiere al deber del Estado de respetar y garantizar “sin discriminación” los derechos contenidos en dicho tratado, el artículo 24 protege el derecho a “igual protección de la ley”. El artículo 24 de la Convención Americana prohíbe la discriminación de derecho o de hecho, no sólo en cuanto a los derechos consagrados en la misma, sino en lo que respecta a todas las leyes que apruebe el Estado y a su aplicación. Es decir, no se limita a </w:t>
      </w:r>
      <w:r w:rsidRPr="00697F71">
        <w:rPr>
          <w:bCs/>
          <w:sz w:val="16"/>
          <w:lang w:val="es-CR"/>
        </w:rPr>
        <w:lastRenderedPageBreak/>
        <w:t>reiterar lo dispuesto en el artículo 1.1 de la Convención, respecto de la obligación de los Estados de respetar y garantizar, sin discriminación, los derechos reconocidos en dicho tratado, sino consagra un derecho que también acarrea obligaciones al Estado de respetar y garantizar el principio de igualdad y no discriminación en la salvaguardia de otros derechos y en toda la legislación interna que apruebe.</w:t>
      </w:r>
    </w:p>
    <w:p w:rsidR="00697F71" w:rsidRPr="00697F71" w:rsidRDefault="00697F71" w:rsidP="00697F71">
      <w:pPr>
        <w:ind w:left="709"/>
        <w:jc w:val="both"/>
        <w:rPr>
          <w:bCs/>
          <w:sz w:val="16"/>
          <w:lang w:val="es-CR"/>
        </w:rPr>
      </w:pPr>
    </w:p>
    <w:p w:rsidR="00697F71" w:rsidRPr="00697F71" w:rsidRDefault="00697F71" w:rsidP="00697F71">
      <w:pPr>
        <w:ind w:left="720"/>
        <w:jc w:val="both"/>
        <w:rPr>
          <w:bCs/>
          <w:sz w:val="16"/>
          <w:lang w:val="es-CR"/>
        </w:rPr>
      </w:pPr>
      <w:r>
        <w:rPr>
          <w:bCs/>
          <w:sz w:val="16"/>
          <w:lang w:val="es-CR"/>
        </w:rPr>
        <w:t xml:space="preserve">218. </w:t>
      </w:r>
      <w:r w:rsidRPr="00697F71">
        <w:rPr>
          <w:bCs/>
          <w:sz w:val="16"/>
          <w:lang w:val="es-CR"/>
        </w:rPr>
        <w:t xml:space="preserve">La Corte ha establecido que el artículo 1.1 de la Convención “es una norma de carácter general cuyo contenido se extiende a todas las disposiciones del tratado, y dispone la obligación de los Estados Partes de respetar y garantizar el pleno y libre ejercicio de los derechos y libertades allí reconocidos sin discriminación alguna”. Es decir, cualquiera sea el origen o la forma que asuma, todo trato que pueda ser considerado discriminatorio respecto del ejercicio de cualquiera de los derechos garantizados en la Convención es </w:t>
      </w:r>
      <w:r w:rsidRPr="00697F71">
        <w:rPr>
          <w:bCs/>
          <w:i/>
          <w:iCs/>
          <w:sz w:val="16"/>
          <w:lang w:val="es-CR"/>
        </w:rPr>
        <w:t xml:space="preserve">per se </w:t>
      </w:r>
      <w:r w:rsidRPr="00697F71">
        <w:rPr>
          <w:bCs/>
          <w:sz w:val="16"/>
          <w:lang w:val="es-CR"/>
        </w:rPr>
        <w:t xml:space="preserve">incompatible con la misma. Por ende, el incumplimiento por el Estado, mediante cualquier trato discriminatorio, de la obligación general de respetar y garantizar los derechos humanos, le genera responsabilidad internacional. Es por ello que la Corte ha sostenido que existe un vínculo indisoluble entre la obligación de respetar y garantizar los derechos humanos y el principio de igualdad y no discriminación. El artículo 24 de la Convención consagra un derecho que también acarrea obligaciones al Estado de respetar y garantizar el principio de igualdad y no discriminación en la salvaguardia de otros derechos y en toda la legislación interna que apruebe, pues protege el derecho a “igual protección de la ley”, de modo que veda también la discriminación derivada de una desigualdad proveniente de la ley interna o de su aplicación. </w:t>
      </w:r>
    </w:p>
    <w:p w:rsidR="00A52A83" w:rsidRPr="00BC3917" w:rsidRDefault="00A52A83" w:rsidP="00CD30AE">
      <w:pPr>
        <w:ind w:left="709"/>
        <w:jc w:val="both"/>
        <w:rPr>
          <w:bCs/>
          <w:sz w:val="16"/>
          <w:lang w:val="es-CR"/>
        </w:rPr>
      </w:pPr>
    </w:p>
    <w:p w:rsidR="00A52A83" w:rsidRPr="00BC3917" w:rsidRDefault="00974A24" w:rsidP="00974A24">
      <w:pPr>
        <w:ind w:left="709"/>
        <w:jc w:val="both"/>
        <w:rPr>
          <w:bCs/>
          <w:sz w:val="16"/>
          <w:lang w:val="es-CR"/>
        </w:rPr>
      </w:pPr>
      <w:r w:rsidRPr="00BC3917">
        <w:rPr>
          <w:bCs/>
          <w:sz w:val="16"/>
          <w:lang w:val="es-CR"/>
        </w:rPr>
        <w:t>[…]</w:t>
      </w:r>
    </w:p>
    <w:p w:rsidR="00A52A83" w:rsidRPr="00BC3917" w:rsidRDefault="00A52A83" w:rsidP="00CD30AE">
      <w:pPr>
        <w:ind w:left="709"/>
        <w:jc w:val="both"/>
        <w:rPr>
          <w:bCs/>
          <w:sz w:val="16"/>
          <w:lang w:val="es-CR"/>
        </w:rPr>
      </w:pPr>
    </w:p>
    <w:p w:rsidR="00A52A83" w:rsidRPr="00BC3917" w:rsidRDefault="00A52A83" w:rsidP="00CD30AE">
      <w:pPr>
        <w:ind w:left="709"/>
        <w:jc w:val="both"/>
        <w:rPr>
          <w:bCs/>
          <w:sz w:val="16"/>
          <w:lang w:val="es-CR"/>
        </w:rPr>
      </w:pPr>
      <w:r w:rsidRPr="00BC3917">
        <w:rPr>
          <w:bCs/>
          <w:sz w:val="16"/>
          <w:lang w:val="es-CR"/>
        </w:rPr>
        <w:t>224.</w:t>
      </w:r>
      <w:r w:rsidRPr="00BC3917">
        <w:rPr>
          <w:bCs/>
          <w:sz w:val="16"/>
          <w:lang w:val="es-CR"/>
        </w:rPr>
        <w:tab/>
        <w:t>Dado que los alegatos planteados por los representantes en el presente caso se refieren a una supuesta discriminación en cuanto al deber de respetar y garantizar los derechos a la integridad personal, en perjuicio de Gladys Espinoza, la Corte procederá a determinar si existió un incumplimiento de la obligación del Estado contenida en el artículo 1.1 de la Convención Americana por la alegada aplicación de una práctica discriminatoria de violencia y violación sexual a Gladys Espinoza durante su detención en las instalaciones de la DIVISE y la DINCOTE en 1993.</w:t>
      </w:r>
    </w:p>
    <w:p w:rsidR="00A52A83" w:rsidRPr="00BC3917" w:rsidRDefault="00A52A83" w:rsidP="00CD30AE">
      <w:pPr>
        <w:ind w:left="709"/>
        <w:jc w:val="both"/>
        <w:rPr>
          <w:bCs/>
          <w:sz w:val="16"/>
          <w:lang w:val="es-CR"/>
        </w:rPr>
      </w:pPr>
    </w:p>
    <w:p w:rsidR="00974A24" w:rsidRPr="00BC3917" w:rsidRDefault="00974A24" w:rsidP="00CD30AE">
      <w:pPr>
        <w:ind w:left="709"/>
        <w:jc w:val="both"/>
        <w:rPr>
          <w:bCs/>
          <w:sz w:val="16"/>
          <w:lang w:val="es-CR"/>
        </w:rPr>
      </w:pPr>
      <w:r w:rsidRPr="00BC3917">
        <w:rPr>
          <w:bCs/>
          <w:sz w:val="16"/>
          <w:lang w:val="es-CR"/>
        </w:rPr>
        <w:t>[…]</w:t>
      </w:r>
    </w:p>
    <w:p w:rsidR="00974A24" w:rsidRPr="00BC3917" w:rsidRDefault="00974A24" w:rsidP="00CD30AE">
      <w:pPr>
        <w:ind w:left="709"/>
        <w:jc w:val="both"/>
        <w:rPr>
          <w:bCs/>
          <w:sz w:val="16"/>
          <w:lang w:val="es-CR"/>
        </w:rPr>
      </w:pPr>
    </w:p>
    <w:p w:rsidR="00A52A83" w:rsidRPr="00BC3917" w:rsidRDefault="00A52A83" w:rsidP="00CD30AE">
      <w:pPr>
        <w:ind w:left="709"/>
        <w:jc w:val="both"/>
        <w:rPr>
          <w:bCs/>
          <w:sz w:val="16"/>
        </w:rPr>
      </w:pPr>
      <w:r w:rsidRPr="00BC3917">
        <w:rPr>
          <w:bCs/>
          <w:sz w:val="16"/>
          <w:lang w:val="es-CR"/>
        </w:rPr>
        <w:t>229.</w:t>
      </w:r>
      <w:r w:rsidRPr="00BC3917">
        <w:rPr>
          <w:bCs/>
          <w:sz w:val="16"/>
          <w:lang w:val="es-CR"/>
        </w:rPr>
        <w:tab/>
        <w:t>La Corte ya estableció que los actos de violencia y violación sexual perpetrados en contra de Gladys Espinoza durante su detención en la DIVISE y la DINCOTE fueron consistentes con la práctica generalizada de violencia sexual que existía en el Perú en la época de los hechos (</w:t>
      </w:r>
      <w:r w:rsidRPr="00E35A48">
        <w:rPr>
          <w:bCs/>
          <w:i/>
          <w:sz w:val="16"/>
          <w:lang w:val="es-CR"/>
        </w:rPr>
        <w:t>supra</w:t>
      </w:r>
      <w:r w:rsidRPr="00BC3917">
        <w:rPr>
          <w:bCs/>
          <w:sz w:val="16"/>
          <w:lang w:val="es-CR"/>
        </w:rPr>
        <w:t xml:space="preserve"> párr. 67). En este punto, la Corte recuerda que la violencia sexual contra las mujeres afectó a un número importante de las mujeres detenidas a causa de su real o presunto involucramiento personal en el conflicto armado, y que afectó también a aquéllas cuyas parejas eran miembros reales o supuestos de los grupos subversivos (</w:t>
      </w:r>
      <w:r w:rsidRPr="00E35A48">
        <w:rPr>
          <w:bCs/>
          <w:i/>
          <w:sz w:val="16"/>
          <w:lang w:val="es-CR"/>
        </w:rPr>
        <w:t>supra</w:t>
      </w:r>
      <w:r w:rsidRPr="00BC3917">
        <w:rPr>
          <w:bCs/>
          <w:sz w:val="16"/>
          <w:lang w:val="es-CR"/>
        </w:rPr>
        <w:t xml:space="preserve"> párr. 63). En este caso, la Corte ya estableció que la tortura a la que fue sometida Gladys Espinoza, la cual incluyó actos de violación sexual y otras formas de violencia sexual, se dio dentro del marco de una detención y tuvo la finalidad de obtener información sobre el secuestro por parte del MRTA de un empresario. Igualmente, la Corte recuerda que los agentes estatales que la detuvieron junto con Rafael Salgado amenazaron a éste que hablara sobre el paradero de dicho empresario, o que de lo contrario “los 20 [hombres iban] a pasar por ella” (</w:t>
      </w:r>
      <w:r w:rsidRPr="00E35A48">
        <w:rPr>
          <w:bCs/>
          <w:i/>
          <w:sz w:val="16"/>
          <w:lang w:val="es-CR"/>
        </w:rPr>
        <w:t>supra</w:t>
      </w:r>
      <w:r w:rsidRPr="00BC3917">
        <w:rPr>
          <w:bCs/>
          <w:sz w:val="16"/>
          <w:lang w:val="es-CR"/>
        </w:rPr>
        <w:t xml:space="preserve"> párr. 179). Es decir, el cuerpo de Gladys Espinoza como mujer fue utilizado a fin de obtener información de su compañero sentimental y humillar e intimidar a ambos. Estos actos confirman que los agentes estatales utilizaron la violencia sexual y la amenaza de violencia sexual en contra de Gladys Carol Espinoza Gonzáles como estrategia en la lucha contra el mencionado grupo subversivo. Como consecuencia de ello, </w:t>
      </w:r>
      <w:r w:rsidRPr="00E35A48">
        <w:rPr>
          <w:bCs/>
          <w:i/>
          <w:sz w:val="16"/>
          <w:lang w:val="es-CR"/>
        </w:rPr>
        <w:t>la Corte determina que el haber sometido a la señora Espinoza a dicha práctica generalizada constituye discriminación individualizada por su condición de mujer, en violación del artículo 1.1 de la Convención Americana en su perjuicio, en relación con los derechos a la integridad personal y a la honra y la dignidad establecidos en los artículos 5.1, 5.2 y 11 del mismo instrumento, y con las obligaciones establecidas en los artículos 1 y 6 de la Convención Interamericana para Prevenir y Sancionar la Tortura.</w:t>
      </w:r>
    </w:p>
    <w:p w:rsidR="001B344F" w:rsidRPr="005254A8" w:rsidRDefault="001B344F" w:rsidP="001B344F">
      <w:pPr>
        <w:jc w:val="both"/>
        <w:rPr>
          <w:bCs/>
          <w:lang w:val="es-CR"/>
        </w:rPr>
      </w:pPr>
    </w:p>
    <w:p w:rsidR="001B344F" w:rsidRPr="00BC3917" w:rsidRDefault="00974A24" w:rsidP="005430C8">
      <w:pPr>
        <w:pStyle w:val="Prrafodelista"/>
        <w:numPr>
          <w:ilvl w:val="0"/>
          <w:numId w:val="1"/>
        </w:numPr>
        <w:tabs>
          <w:tab w:val="clear" w:pos="1247"/>
          <w:tab w:val="num" w:pos="720"/>
        </w:tabs>
        <w:contextualSpacing/>
        <w:rPr>
          <w:rFonts w:eastAsia="Calibri"/>
          <w:spacing w:val="-2"/>
        </w:rPr>
      </w:pPr>
      <w:r w:rsidRPr="00BC3917">
        <w:rPr>
          <w:rFonts w:eastAsia="Calibri"/>
          <w:spacing w:val="-2"/>
        </w:rPr>
        <w:t xml:space="preserve">Resulta claro, entonces, que </w:t>
      </w:r>
      <w:r w:rsidR="00F065BC" w:rsidRPr="00BC3917">
        <w:rPr>
          <w:rFonts w:eastAsia="Calibri"/>
          <w:spacing w:val="-2"/>
        </w:rPr>
        <w:t>la Corte</w:t>
      </w:r>
      <w:r w:rsidR="000C1860" w:rsidRPr="00BC3917">
        <w:rPr>
          <w:rFonts w:eastAsia="Calibri"/>
          <w:spacing w:val="-2"/>
        </w:rPr>
        <w:t xml:space="preserve"> </w:t>
      </w:r>
      <w:r w:rsidRPr="00BC3917">
        <w:rPr>
          <w:rFonts w:eastAsia="Calibri"/>
          <w:spacing w:val="-2"/>
        </w:rPr>
        <w:t xml:space="preserve">únicamente encontró un </w:t>
      </w:r>
      <w:r w:rsidR="00AA4F29" w:rsidRPr="00BC3917">
        <w:rPr>
          <w:rFonts w:eastAsia="Calibri"/>
          <w:spacing w:val="-2"/>
        </w:rPr>
        <w:t>incumplimiento</w:t>
      </w:r>
      <w:r w:rsidRPr="00BC3917">
        <w:rPr>
          <w:rFonts w:eastAsia="Calibri"/>
          <w:spacing w:val="-2"/>
        </w:rPr>
        <w:t xml:space="preserve"> por parte del Estado </w:t>
      </w:r>
      <w:r w:rsidR="00AA4F29" w:rsidRPr="00BC3917">
        <w:rPr>
          <w:rFonts w:eastAsia="Calibri"/>
          <w:spacing w:val="-2"/>
        </w:rPr>
        <w:t xml:space="preserve">del </w:t>
      </w:r>
      <w:r w:rsidR="000C1860" w:rsidRPr="00BC3917">
        <w:rPr>
          <w:rFonts w:eastAsia="Calibri"/>
          <w:spacing w:val="-2"/>
        </w:rPr>
        <w:t>artículo 1.1 de la Convención Americana, en relación con los derechos a la integridad personal y a la honra y la dignidad establecidos en los artículos 5.1, 5.2 y 11 del mismo instrumento, y con las obligaciones establecidas en los artículos 1 y 6 de la Convención Interamericana para Prevenir y Sancionar la Tortura</w:t>
      </w:r>
      <w:r w:rsidRPr="00BC3917">
        <w:rPr>
          <w:rFonts w:eastAsia="Calibri"/>
          <w:spacing w:val="-2"/>
        </w:rPr>
        <w:t>, en perjuicio de Gladys Espinoza Gonzáles</w:t>
      </w:r>
      <w:r w:rsidR="000C1860" w:rsidRPr="00BC3917">
        <w:rPr>
          <w:rFonts w:eastAsia="Calibri"/>
          <w:spacing w:val="-2"/>
        </w:rPr>
        <w:t>.</w:t>
      </w:r>
      <w:r w:rsidR="00AA5937" w:rsidRPr="00BC3917">
        <w:rPr>
          <w:rFonts w:eastAsia="Calibri"/>
          <w:spacing w:val="-2"/>
        </w:rPr>
        <w:t xml:space="preserve"> Asimismo, resulta claro que el Tribunal analizó los alegatos de los representantes a la luz del artículo 1.1 de la Convención Americana porque éstos plant</w:t>
      </w:r>
      <w:r w:rsidR="005430C8" w:rsidRPr="00BC3917">
        <w:rPr>
          <w:rFonts w:eastAsia="Calibri"/>
          <w:spacing w:val="-2"/>
        </w:rPr>
        <w:t>e</w:t>
      </w:r>
      <w:r w:rsidR="00AA5937" w:rsidRPr="00BC3917">
        <w:rPr>
          <w:rFonts w:eastAsia="Calibri"/>
          <w:spacing w:val="-2"/>
        </w:rPr>
        <w:t xml:space="preserve">aban la existencia de discriminación en cuanto al deber del Estado de respetar y garantizar el derecho a la integridad personal, el cual se encuentra consagrado en el artículo 5 de dicho tratado. </w:t>
      </w:r>
      <w:r w:rsidR="000E3636" w:rsidRPr="00BC3917">
        <w:rPr>
          <w:rFonts w:eastAsia="Calibri"/>
          <w:spacing w:val="-2"/>
        </w:rPr>
        <w:t xml:space="preserve">Por los motivos expuestos, se declara improcedente la solicitud de interpretación en este extremo, toda vez que la Corte considera </w:t>
      </w:r>
      <w:r w:rsidR="005430C8" w:rsidRPr="00BC3917">
        <w:rPr>
          <w:rFonts w:eastAsia="Calibri"/>
          <w:spacing w:val="-2"/>
        </w:rPr>
        <w:t xml:space="preserve">que </w:t>
      </w:r>
      <w:r w:rsidR="000E3636" w:rsidRPr="00BC3917">
        <w:rPr>
          <w:rFonts w:eastAsia="Calibri"/>
          <w:spacing w:val="-2"/>
        </w:rPr>
        <w:t>no hay falta de claridad al respecto.</w:t>
      </w:r>
    </w:p>
    <w:p w:rsidR="001B344F" w:rsidRDefault="001B344F" w:rsidP="001B344F">
      <w:pPr>
        <w:jc w:val="both"/>
        <w:rPr>
          <w:bCs/>
          <w:lang w:val="es-CR"/>
        </w:rPr>
      </w:pPr>
    </w:p>
    <w:p w:rsidR="001F4B58" w:rsidRDefault="001F4B58" w:rsidP="001B344F">
      <w:pPr>
        <w:jc w:val="both"/>
        <w:rPr>
          <w:bCs/>
          <w:lang w:val="es-CR"/>
        </w:rPr>
      </w:pPr>
    </w:p>
    <w:p w:rsidR="001F4B58" w:rsidRPr="005254A8" w:rsidRDefault="001F4B58" w:rsidP="001B344F">
      <w:pPr>
        <w:jc w:val="both"/>
        <w:rPr>
          <w:bCs/>
          <w:lang w:val="es-CR"/>
        </w:rPr>
      </w:pPr>
    </w:p>
    <w:p w:rsidR="001B344F" w:rsidRPr="00903B5A" w:rsidRDefault="00482AB0" w:rsidP="00382A94">
      <w:pPr>
        <w:pStyle w:val="Prrafodelista"/>
        <w:numPr>
          <w:ilvl w:val="0"/>
          <w:numId w:val="19"/>
        </w:numPr>
        <w:autoSpaceDE w:val="0"/>
        <w:autoSpaceDN w:val="0"/>
        <w:adjustRightInd w:val="0"/>
        <w:rPr>
          <w:rFonts w:eastAsia="Calibri"/>
          <w:b/>
          <w:bCs/>
          <w:szCs w:val="20"/>
          <w:lang w:val="es-CR"/>
        </w:rPr>
      </w:pPr>
      <w:r w:rsidRPr="00BC3917">
        <w:rPr>
          <w:rFonts w:eastAsia="Calibri"/>
          <w:b/>
          <w:szCs w:val="20"/>
          <w:lang w:val="es-CR"/>
        </w:rPr>
        <w:t>Sobre la prohibición de emplear el principio de irretroactividad de la ley penal</w:t>
      </w:r>
      <w:r w:rsidRPr="00482AB0">
        <w:rPr>
          <w:rFonts w:eastAsia="Calibri"/>
          <w:b/>
          <w:bCs/>
          <w:szCs w:val="20"/>
          <w:lang w:val="es-CR"/>
        </w:rPr>
        <w:t xml:space="preserve"> para excusarse de la </w:t>
      </w:r>
      <w:r w:rsidR="001B344F" w:rsidRPr="00482AB0">
        <w:rPr>
          <w:rFonts w:eastAsia="Calibri"/>
          <w:b/>
          <w:bCs/>
          <w:szCs w:val="20"/>
          <w:lang w:val="es-CR"/>
        </w:rPr>
        <w:t xml:space="preserve">obligación de investigar los hechos </w:t>
      </w:r>
    </w:p>
    <w:p w:rsidR="00E2210E" w:rsidRPr="005254A8" w:rsidRDefault="00E2210E" w:rsidP="00E2210E">
      <w:pPr>
        <w:jc w:val="both"/>
        <w:rPr>
          <w:b/>
          <w:lang w:val="es-CR"/>
        </w:rPr>
      </w:pPr>
    </w:p>
    <w:p w:rsidR="00E2210E" w:rsidRPr="005254A8" w:rsidRDefault="00482AB0" w:rsidP="00E2210E">
      <w:pPr>
        <w:ind w:firstLine="708"/>
        <w:jc w:val="both"/>
        <w:rPr>
          <w:rFonts w:eastAsia="Calibri"/>
          <w:i/>
          <w:lang w:val="es-CR"/>
        </w:rPr>
      </w:pPr>
      <w:r>
        <w:rPr>
          <w:i/>
          <w:lang w:val="es-CR"/>
        </w:rPr>
        <w:t xml:space="preserve">B.1. </w:t>
      </w:r>
      <w:r w:rsidR="00E2210E" w:rsidRPr="005254A8">
        <w:rPr>
          <w:i/>
          <w:lang w:val="es-CR"/>
        </w:rPr>
        <w:t>Argumentos de las partes y de la Comisión</w:t>
      </w:r>
    </w:p>
    <w:p w:rsidR="00E2210E" w:rsidRPr="005254A8" w:rsidRDefault="00E2210E" w:rsidP="00E2210E">
      <w:pPr>
        <w:ind w:right="36"/>
        <w:jc w:val="both"/>
        <w:rPr>
          <w:rFonts w:cs="Arial"/>
          <w:lang w:val="es-CR"/>
        </w:rPr>
      </w:pPr>
    </w:p>
    <w:p w:rsidR="00B946D7" w:rsidRPr="005254A8" w:rsidRDefault="00E2210E" w:rsidP="00E4313C">
      <w:pPr>
        <w:pStyle w:val="Prrafodelista"/>
        <w:numPr>
          <w:ilvl w:val="0"/>
          <w:numId w:val="1"/>
        </w:numPr>
        <w:tabs>
          <w:tab w:val="clear" w:pos="1247"/>
          <w:tab w:val="num" w:pos="720"/>
        </w:tabs>
        <w:autoSpaceDE w:val="0"/>
        <w:autoSpaceDN w:val="0"/>
        <w:adjustRightInd w:val="0"/>
        <w:rPr>
          <w:rFonts w:eastAsia="Calibri"/>
          <w:lang w:val="es-CR"/>
        </w:rPr>
      </w:pPr>
      <w:r w:rsidRPr="005254A8">
        <w:rPr>
          <w:lang w:val="es-CR"/>
        </w:rPr>
        <w:t xml:space="preserve">El </w:t>
      </w:r>
      <w:r w:rsidRPr="005254A8">
        <w:rPr>
          <w:b/>
          <w:i/>
          <w:lang w:val="es-CR"/>
        </w:rPr>
        <w:t>Estado</w:t>
      </w:r>
      <w:r w:rsidRPr="005254A8">
        <w:rPr>
          <w:lang w:val="es-CR"/>
        </w:rPr>
        <w:t xml:space="preserve"> </w:t>
      </w:r>
      <w:r w:rsidR="00A22B5C">
        <w:rPr>
          <w:lang w:val="es-CR"/>
        </w:rPr>
        <w:t>indicó</w:t>
      </w:r>
      <w:r w:rsidRPr="005254A8">
        <w:rPr>
          <w:lang w:val="es-CR"/>
        </w:rPr>
        <w:t xml:space="preserve"> que</w:t>
      </w:r>
      <w:r w:rsidR="00382A94" w:rsidRPr="005254A8">
        <w:rPr>
          <w:lang w:val="es-CR"/>
        </w:rPr>
        <w:t xml:space="preserve"> </w:t>
      </w:r>
      <w:r w:rsidR="00382A94" w:rsidRPr="005254A8">
        <w:rPr>
          <w:rFonts w:eastAsia="Calibri"/>
          <w:lang w:val="es-CR"/>
        </w:rPr>
        <w:t>en el párrafo 309 de la S</w:t>
      </w:r>
      <w:r w:rsidR="00B946D7" w:rsidRPr="005254A8">
        <w:rPr>
          <w:rFonts w:eastAsia="Calibri"/>
          <w:lang w:val="es-CR"/>
        </w:rPr>
        <w:t>entencia</w:t>
      </w:r>
      <w:r w:rsidR="00382A94" w:rsidRPr="005254A8">
        <w:rPr>
          <w:rFonts w:eastAsia="Calibri"/>
          <w:lang w:val="es-CR"/>
        </w:rPr>
        <w:t xml:space="preserve"> la Corte señaló</w:t>
      </w:r>
      <w:r w:rsidR="00B946D7" w:rsidRPr="005254A8">
        <w:rPr>
          <w:rFonts w:eastAsia="Calibri"/>
          <w:lang w:val="es-CR"/>
        </w:rPr>
        <w:t xml:space="preserve"> </w:t>
      </w:r>
      <w:r w:rsidR="00E4313C">
        <w:rPr>
          <w:rFonts w:eastAsia="Calibri"/>
          <w:lang w:val="es-CR"/>
        </w:rPr>
        <w:t>que en</w:t>
      </w:r>
      <w:r w:rsidR="00B946D7" w:rsidRPr="005254A8">
        <w:rPr>
          <w:rFonts w:eastAsia="Calibri"/>
          <w:lang w:val="es-CR"/>
        </w:rPr>
        <w:t xml:space="preserve"> la investigación</w:t>
      </w:r>
      <w:r w:rsidR="00E4313C">
        <w:rPr>
          <w:rFonts w:eastAsia="Calibri"/>
          <w:lang w:val="es-CR"/>
        </w:rPr>
        <w:t>,</w:t>
      </w:r>
      <w:r w:rsidR="00B946D7" w:rsidRPr="005254A8">
        <w:rPr>
          <w:rFonts w:eastAsia="Calibri"/>
          <w:lang w:val="es-CR"/>
        </w:rPr>
        <w:t xml:space="preserve"> así como </w:t>
      </w:r>
      <w:r w:rsidR="00E4313C">
        <w:rPr>
          <w:rFonts w:eastAsia="Calibri"/>
          <w:lang w:val="es-CR"/>
        </w:rPr>
        <w:t>en el</w:t>
      </w:r>
      <w:r w:rsidR="00B946D7" w:rsidRPr="005254A8">
        <w:rPr>
          <w:rFonts w:eastAsia="Calibri"/>
          <w:lang w:val="es-CR"/>
        </w:rPr>
        <w:t xml:space="preserve"> proceso penal que ordena emprender:</w:t>
      </w:r>
      <w:r w:rsidR="00382A94" w:rsidRPr="005254A8">
        <w:rPr>
          <w:rFonts w:eastAsia="Calibri"/>
          <w:lang w:val="es-CR"/>
        </w:rPr>
        <w:t xml:space="preserve"> </w:t>
      </w:r>
      <w:r w:rsidR="004A1487">
        <w:rPr>
          <w:rFonts w:eastAsia="Calibri"/>
          <w:lang w:val="es-CR"/>
        </w:rPr>
        <w:t>“[</w:t>
      </w:r>
      <w:r w:rsidR="00B946D7" w:rsidRPr="008C1168">
        <w:rPr>
          <w:rFonts w:eastAsia="Calibri"/>
          <w:lang w:val="es-CR"/>
        </w:rPr>
        <w:t>…</w:t>
      </w:r>
      <w:r w:rsidR="004A1487">
        <w:rPr>
          <w:rFonts w:eastAsia="Calibri"/>
          <w:lang w:val="es-CR"/>
        </w:rPr>
        <w:t>]</w:t>
      </w:r>
      <w:r w:rsidR="00B946D7" w:rsidRPr="008C1168">
        <w:rPr>
          <w:rFonts w:eastAsia="Calibri"/>
          <w:lang w:val="es-CR"/>
        </w:rPr>
        <w:t xml:space="preserve"> el Estado debe abstenerse de recurrir a figur</w:t>
      </w:r>
      <w:r w:rsidR="00396867">
        <w:rPr>
          <w:rFonts w:eastAsia="Calibri"/>
          <w:lang w:val="es-CR"/>
        </w:rPr>
        <w:t>as como la amnistía en beneficio</w:t>
      </w:r>
      <w:r w:rsidR="00B946D7" w:rsidRPr="008C1168">
        <w:rPr>
          <w:rFonts w:eastAsia="Calibri"/>
          <w:lang w:val="es-CR"/>
        </w:rPr>
        <w:t xml:space="preserve"> de los autores, así como ninguna otra disposición análoga, la prescripción, irretroactividad de la ley penal, cosa juzgada, </w:t>
      </w:r>
      <w:proofErr w:type="spellStart"/>
      <w:r w:rsidR="00B946D7" w:rsidRPr="00BC3917">
        <w:rPr>
          <w:rFonts w:eastAsia="Calibri"/>
          <w:i/>
          <w:iCs/>
          <w:lang w:val="es-CR"/>
        </w:rPr>
        <w:t>ne</w:t>
      </w:r>
      <w:proofErr w:type="spellEnd"/>
      <w:r w:rsidR="00B946D7" w:rsidRPr="00BC3917">
        <w:rPr>
          <w:rFonts w:eastAsia="Calibri"/>
          <w:i/>
          <w:iCs/>
          <w:lang w:val="es-CR"/>
        </w:rPr>
        <w:t xml:space="preserve"> bis in </w:t>
      </w:r>
      <w:proofErr w:type="spellStart"/>
      <w:r w:rsidR="00B946D7" w:rsidRPr="00BC3917">
        <w:rPr>
          <w:rFonts w:eastAsia="Calibri"/>
          <w:i/>
          <w:iCs/>
          <w:lang w:val="es-CR"/>
        </w:rPr>
        <w:t>idem</w:t>
      </w:r>
      <w:proofErr w:type="spellEnd"/>
      <w:r w:rsidR="00B946D7" w:rsidRPr="008C1168">
        <w:rPr>
          <w:rFonts w:eastAsia="Calibri"/>
          <w:iCs/>
          <w:lang w:val="es-CR"/>
        </w:rPr>
        <w:t xml:space="preserve"> </w:t>
      </w:r>
      <w:r w:rsidR="00B946D7" w:rsidRPr="008C1168">
        <w:rPr>
          <w:rFonts w:eastAsia="Calibri"/>
          <w:lang w:val="es-CR"/>
        </w:rPr>
        <w:t>o cualquier eximente similar de responsabilidad, para excusarse de esta obligación”.</w:t>
      </w:r>
      <w:r w:rsidR="00482AB0">
        <w:rPr>
          <w:rFonts w:eastAsia="Calibri"/>
          <w:szCs w:val="20"/>
          <w:lang w:val="es-CR"/>
        </w:rPr>
        <w:t xml:space="preserve"> </w:t>
      </w:r>
      <w:r w:rsidR="00382A94" w:rsidRPr="005254A8">
        <w:rPr>
          <w:rFonts w:eastAsia="Calibri"/>
          <w:szCs w:val="20"/>
          <w:lang w:val="es-CR"/>
        </w:rPr>
        <w:t xml:space="preserve">Según el Estado, </w:t>
      </w:r>
      <w:r w:rsidR="00B946D7" w:rsidRPr="005254A8">
        <w:rPr>
          <w:rFonts w:eastAsia="Calibri"/>
          <w:szCs w:val="20"/>
          <w:lang w:val="es-CR"/>
        </w:rPr>
        <w:t xml:space="preserve"> la Corte se</w:t>
      </w:r>
      <w:r w:rsidR="00382A94" w:rsidRPr="005254A8">
        <w:rPr>
          <w:rFonts w:eastAsia="Calibri"/>
          <w:szCs w:val="20"/>
          <w:lang w:val="es-CR"/>
        </w:rPr>
        <w:t xml:space="preserve"> habría</w:t>
      </w:r>
      <w:r w:rsidR="00B946D7" w:rsidRPr="005254A8">
        <w:rPr>
          <w:rFonts w:eastAsia="Calibri"/>
          <w:szCs w:val="20"/>
          <w:lang w:val="es-CR"/>
        </w:rPr>
        <w:t xml:space="preserve"> apoya</w:t>
      </w:r>
      <w:r w:rsidR="00382A94" w:rsidRPr="005254A8">
        <w:rPr>
          <w:rFonts w:eastAsia="Calibri"/>
          <w:szCs w:val="20"/>
          <w:lang w:val="es-CR"/>
        </w:rPr>
        <w:t>do</w:t>
      </w:r>
      <w:r w:rsidR="00B946D7" w:rsidRPr="005254A8">
        <w:rPr>
          <w:rFonts w:eastAsia="Calibri"/>
          <w:szCs w:val="20"/>
          <w:lang w:val="es-CR"/>
        </w:rPr>
        <w:t xml:space="preserve"> en los criterios empleados en los casos </w:t>
      </w:r>
      <w:r w:rsidR="00B946D7" w:rsidRPr="001E44D5">
        <w:rPr>
          <w:rFonts w:eastAsia="Calibri"/>
          <w:i/>
          <w:szCs w:val="20"/>
          <w:lang w:val="es-CR"/>
        </w:rPr>
        <w:t>Barrios Altos</w:t>
      </w:r>
      <w:r w:rsidR="00B946D7" w:rsidRPr="005254A8">
        <w:rPr>
          <w:rFonts w:eastAsia="Calibri"/>
          <w:szCs w:val="20"/>
          <w:lang w:val="es-CR"/>
        </w:rPr>
        <w:t xml:space="preserve"> y </w:t>
      </w:r>
      <w:r w:rsidR="00B946D7" w:rsidRPr="001E44D5">
        <w:rPr>
          <w:rFonts w:eastAsia="Calibri"/>
          <w:i/>
          <w:szCs w:val="20"/>
          <w:lang w:val="es-CR"/>
        </w:rPr>
        <w:t>Osorio Rivera</w:t>
      </w:r>
      <w:r w:rsidR="00B946D7" w:rsidRPr="005254A8">
        <w:rPr>
          <w:rFonts w:eastAsia="Calibri"/>
          <w:szCs w:val="20"/>
          <w:lang w:val="es-CR"/>
        </w:rPr>
        <w:t xml:space="preserve"> </w:t>
      </w:r>
      <w:r w:rsidR="00B946D7" w:rsidRPr="001E44D5">
        <w:rPr>
          <w:rFonts w:eastAsia="Calibri"/>
          <w:i/>
          <w:szCs w:val="20"/>
          <w:lang w:val="es-CR"/>
        </w:rPr>
        <w:t xml:space="preserve">y Familiares Vs. </w:t>
      </w:r>
      <w:r w:rsidR="00C93E84" w:rsidRPr="001E44D5">
        <w:rPr>
          <w:rFonts w:eastAsia="Calibri"/>
          <w:i/>
          <w:szCs w:val="20"/>
          <w:lang w:val="es-CR"/>
        </w:rPr>
        <w:t>Perú</w:t>
      </w:r>
      <w:r w:rsidR="00A4114F" w:rsidRPr="005254A8">
        <w:rPr>
          <w:rFonts w:eastAsia="Calibri"/>
          <w:szCs w:val="20"/>
          <w:lang w:val="es-CR"/>
        </w:rPr>
        <w:t xml:space="preserve">. </w:t>
      </w:r>
      <w:r w:rsidR="002B5D52" w:rsidRPr="005254A8">
        <w:rPr>
          <w:rFonts w:eastAsia="Calibri"/>
          <w:szCs w:val="20"/>
          <w:lang w:val="es-CR"/>
        </w:rPr>
        <w:t>En este sentido</w:t>
      </w:r>
      <w:r w:rsidR="00482AB0">
        <w:rPr>
          <w:rFonts w:eastAsia="Calibri"/>
          <w:szCs w:val="20"/>
          <w:lang w:val="es-CR"/>
        </w:rPr>
        <w:t>,</w:t>
      </w:r>
      <w:r w:rsidR="002B5D52" w:rsidRPr="005254A8">
        <w:rPr>
          <w:rFonts w:eastAsia="Calibri"/>
          <w:szCs w:val="20"/>
          <w:lang w:val="es-CR"/>
        </w:rPr>
        <w:t xml:space="preserve"> señaló que e</w:t>
      </w:r>
      <w:r w:rsidR="009E22FC" w:rsidRPr="005254A8">
        <w:rPr>
          <w:rFonts w:eastAsia="Calibri"/>
          <w:szCs w:val="20"/>
          <w:lang w:val="es-CR"/>
        </w:rPr>
        <w:t xml:space="preserve">n </w:t>
      </w:r>
      <w:r w:rsidR="002B5D52" w:rsidRPr="005254A8">
        <w:rPr>
          <w:rFonts w:eastAsia="Calibri"/>
          <w:szCs w:val="20"/>
          <w:lang w:val="es-CR"/>
        </w:rPr>
        <w:t>“</w:t>
      </w:r>
      <w:r w:rsidR="009E22FC" w:rsidRPr="005254A8">
        <w:rPr>
          <w:rFonts w:eastAsia="Calibri"/>
          <w:szCs w:val="20"/>
          <w:lang w:val="es-CR"/>
        </w:rPr>
        <w:t>el pá</w:t>
      </w:r>
      <w:r w:rsidR="00B946D7" w:rsidRPr="005254A8">
        <w:rPr>
          <w:rFonts w:eastAsia="Calibri"/>
          <w:szCs w:val="20"/>
          <w:lang w:val="es-CR"/>
        </w:rPr>
        <w:t>rr</w:t>
      </w:r>
      <w:r w:rsidR="009E22FC" w:rsidRPr="005254A8">
        <w:rPr>
          <w:rFonts w:eastAsia="Calibri"/>
          <w:szCs w:val="20"/>
          <w:lang w:val="es-CR"/>
        </w:rPr>
        <w:t>afo 309</w:t>
      </w:r>
      <w:r w:rsidR="002B5D52" w:rsidRPr="005254A8">
        <w:rPr>
          <w:rFonts w:eastAsia="Calibri"/>
          <w:szCs w:val="20"/>
          <w:lang w:val="es-CR"/>
        </w:rPr>
        <w:t xml:space="preserve"> [de la </w:t>
      </w:r>
      <w:r w:rsidR="00E4313C">
        <w:rPr>
          <w:rFonts w:eastAsia="Calibri"/>
          <w:szCs w:val="20"/>
          <w:lang w:val="es-CR"/>
        </w:rPr>
        <w:t>S</w:t>
      </w:r>
      <w:r w:rsidR="002B5D52" w:rsidRPr="005254A8">
        <w:rPr>
          <w:rFonts w:eastAsia="Calibri"/>
          <w:szCs w:val="20"/>
          <w:lang w:val="es-CR"/>
        </w:rPr>
        <w:t>entencia]</w:t>
      </w:r>
      <w:r w:rsidR="009E22FC" w:rsidRPr="005254A8">
        <w:rPr>
          <w:rFonts w:eastAsia="Calibri"/>
          <w:szCs w:val="20"/>
          <w:lang w:val="es-CR"/>
        </w:rPr>
        <w:t xml:space="preserve"> se hace referencia a la prohibició</w:t>
      </w:r>
      <w:r w:rsidR="00B946D7" w:rsidRPr="005254A8">
        <w:rPr>
          <w:rFonts w:eastAsia="Calibri"/>
          <w:szCs w:val="20"/>
          <w:lang w:val="es-CR"/>
        </w:rPr>
        <w:t>n de aplicar la irretro</w:t>
      </w:r>
      <w:r w:rsidR="009E22FC" w:rsidRPr="005254A8">
        <w:rPr>
          <w:rFonts w:eastAsia="Calibri"/>
          <w:szCs w:val="20"/>
          <w:lang w:val="es-CR"/>
        </w:rPr>
        <w:t xml:space="preserve">actividad en materia penal, citándose </w:t>
      </w:r>
      <w:r w:rsidR="002B5D52" w:rsidRPr="005254A8">
        <w:rPr>
          <w:rFonts w:eastAsia="Calibri"/>
          <w:szCs w:val="20"/>
          <w:lang w:val="es-CR"/>
        </w:rPr>
        <w:t xml:space="preserve">[…] </w:t>
      </w:r>
      <w:r w:rsidR="009E22FC" w:rsidRPr="005254A8">
        <w:rPr>
          <w:rFonts w:eastAsia="Calibri"/>
          <w:szCs w:val="20"/>
          <w:lang w:val="es-CR"/>
        </w:rPr>
        <w:t>pá</w:t>
      </w:r>
      <w:r w:rsidR="00B946D7" w:rsidRPr="005254A8">
        <w:rPr>
          <w:rFonts w:eastAsia="Calibri"/>
          <w:szCs w:val="20"/>
          <w:lang w:val="es-CR"/>
        </w:rPr>
        <w:t xml:space="preserve">rrafos de </w:t>
      </w:r>
      <w:r w:rsidR="00B946D7" w:rsidRPr="00AA4F29">
        <w:rPr>
          <w:lang w:val="es-CR"/>
        </w:rPr>
        <w:t>las</w:t>
      </w:r>
      <w:r w:rsidR="00B946D7" w:rsidRPr="005254A8">
        <w:rPr>
          <w:rFonts w:eastAsia="Calibri"/>
          <w:szCs w:val="20"/>
          <w:lang w:val="es-CR"/>
        </w:rPr>
        <w:t xml:space="preserve"> sentencias en los cas</w:t>
      </w:r>
      <w:r w:rsidR="00FD4E09">
        <w:rPr>
          <w:rFonts w:eastAsia="Calibri"/>
          <w:szCs w:val="20"/>
          <w:lang w:val="es-CR"/>
        </w:rPr>
        <w:t>o</w:t>
      </w:r>
      <w:r w:rsidR="00B946D7" w:rsidRPr="005254A8">
        <w:rPr>
          <w:rFonts w:eastAsia="Calibri"/>
          <w:szCs w:val="20"/>
          <w:lang w:val="es-CR"/>
        </w:rPr>
        <w:t xml:space="preserve">s </w:t>
      </w:r>
      <w:r w:rsidR="00B946D7" w:rsidRPr="001E44D5">
        <w:rPr>
          <w:rFonts w:eastAsia="Calibri"/>
          <w:i/>
          <w:szCs w:val="20"/>
          <w:lang w:val="es-CR"/>
        </w:rPr>
        <w:t>Bar</w:t>
      </w:r>
      <w:r w:rsidR="001E44D5">
        <w:rPr>
          <w:rFonts w:eastAsia="Calibri"/>
          <w:i/>
          <w:szCs w:val="20"/>
          <w:lang w:val="es-CR"/>
        </w:rPr>
        <w:t>rios Altos V</w:t>
      </w:r>
      <w:r w:rsidR="009E22FC" w:rsidRPr="001E44D5">
        <w:rPr>
          <w:rFonts w:eastAsia="Calibri"/>
          <w:i/>
          <w:szCs w:val="20"/>
          <w:lang w:val="es-CR"/>
        </w:rPr>
        <w:t>s</w:t>
      </w:r>
      <w:r w:rsidR="001E44D5">
        <w:rPr>
          <w:rFonts w:eastAsia="Calibri"/>
          <w:i/>
          <w:szCs w:val="20"/>
          <w:lang w:val="es-CR"/>
        </w:rPr>
        <w:t>.</w:t>
      </w:r>
      <w:r w:rsidR="009E22FC" w:rsidRPr="001E44D5">
        <w:rPr>
          <w:rFonts w:eastAsia="Calibri"/>
          <w:i/>
          <w:szCs w:val="20"/>
          <w:lang w:val="es-CR"/>
        </w:rPr>
        <w:t xml:space="preserve"> Perú</w:t>
      </w:r>
      <w:r w:rsidR="009E22FC" w:rsidRPr="005254A8">
        <w:rPr>
          <w:rFonts w:eastAsia="Calibri"/>
          <w:szCs w:val="20"/>
          <w:lang w:val="es-CR"/>
        </w:rPr>
        <w:t xml:space="preserve"> (ejecuciones </w:t>
      </w:r>
      <w:r w:rsidR="00B946D7" w:rsidRPr="005254A8">
        <w:rPr>
          <w:rFonts w:eastAsia="Calibri"/>
          <w:szCs w:val="20"/>
          <w:lang w:val="es-CR"/>
        </w:rPr>
        <w:t xml:space="preserve">extrajudiciales) y </w:t>
      </w:r>
      <w:r w:rsidR="009E22FC" w:rsidRPr="00E35A48">
        <w:rPr>
          <w:rFonts w:eastAsia="Calibri"/>
          <w:i/>
          <w:szCs w:val="20"/>
          <w:lang w:val="es-CR"/>
        </w:rPr>
        <w:t>Jeremías</w:t>
      </w:r>
      <w:r w:rsidR="00B946D7" w:rsidRPr="00E35A48">
        <w:rPr>
          <w:rFonts w:eastAsia="Calibri"/>
          <w:i/>
          <w:szCs w:val="20"/>
          <w:lang w:val="es-CR"/>
        </w:rPr>
        <w:t xml:space="preserve"> Osorio Riv</w:t>
      </w:r>
      <w:r w:rsidR="009E22FC" w:rsidRPr="00E35A48">
        <w:rPr>
          <w:rFonts w:eastAsia="Calibri"/>
          <w:i/>
          <w:szCs w:val="20"/>
          <w:lang w:val="es-CR"/>
        </w:rPr>
        <w:t xml:space="preserve">era y otros </w:t>
      </w:r>
      <w:r w:rsidR="00E4313C" w:rsidRPr="00E35A48">
        <w:rPr>
          <w:rFonts w:eastAsia="Calibri"/>
          <w:i/>
          <w:szCs w:val="20"/>
          <w:lang w:val="es-CR"/>
        </w:rPr>
        <w:t>[V</w:t>
      </w:r>
      <w:r w:rsidR="009E22FC" w:rsidRPr="00E35A48">
        <w:rPr>
          <w:rFonts w:eastAsia="Calibri"/>
          <w:i/>
          <w:szCs w:val="20"/>
          <w:lang w:val="es-CR"/>
        </w:rPr>
        <w:t>s</w:t>
      </w:r>
      <w:r w:rsidR="00E4313C" w:rsidRPr="00E35A48">
        <w:rPr>
          <w:rFonts w:eastAsia="Calibri"/>
          <w:i/>
          <w:szCs w:val="20"/>
          <w:lang w:val="es-CR"/>
        </w:rPr>
        <w:t>.]</w:t>
      </w:r>
      <w:r w:rsidR="009E22FC" w:rsidRPr="00E35A48">
        <w:rPr>
          <w:rFonts w:eastAsia="Calibri"/>
          <w:i/>
          <w:szCs w:val="20"/>
          <w:lang w:val="es-CR"/>
        </w:rPr>
        <w:t xml:space="preserve"> Perú</w:t>
      </w:r>
      <w:r w:rsidR="009E22FC" w:rsidRPr="005254A8">
        <w:rPr>
          <w:rFonts w:eastAsia="Calibri"/>
          <w:szCs w:val="20"/>
          <w:lang w:val="es-CR"/>
        </w:rPr>
        <w:t xml:space="preserve"> (desaparición forzada), en </w:t>
      </w:r>
      <w:r w:rsidR="00B946D7" w:rsidRPr="005254A8">
        <w:rPr>
          <w:rFonts w:eastAsia="Calibri"/>
          <w:szCs w:val="20"/>
          <w:lang w:val="es-CR"/>
        </w:rPr>
        <w:t xml:space="preserve">los que, </w:t>
      </w:r>
      <w:r w:rsidR="002B5D52" w:rsidRPr="005254A8">
        <w:rPr>
          <w:rFonts w:eastAsia="Calibri"/>
          <w:szCs w:val="20"/>
          <w:lang w:val="es-CR"/>
        </w:rPr>
        <w:t>[seg</w:t>
      </w:r>
      <w:r w:rsidR="004A1487">
        <w:rPr>
          <w:rFonts w:eastAsia="Calibri"/>
          <w:szCs w:val="20"/>
          <w:lang w:val="es-CR"/>
        </w:rPr>
        <w:t xml:space="preserve">ún </w:t>
      </w:r>
      <w:r w:rsidR="00E4313C">
        <w:rPr>
          <w:rFonts w:eastAsia="Calibri"/>
          <w:szCs w:val="20"/>
          <w:lang w:val="es-CR"/>
        </w:rPr>
        <w:t xml:space="preserve">el </w:t>
      </w:r>
      <w:r w:rsidR="004A1487">
        <w:rPr>
          <w:rFonts w:eastAsia="Calibri"/>
          <w:szCs w:val="20"/>
          <w:lang w:val="es-CR"/>
        </w:rPr>
        <w:t>Perú</w:t>
      </w:r>
      <w:r w:rsidR="002B5D52" w:rsidRPr="005254A8">
        <w:rPr>
          <w:rFonts w:eastAsia="Calibri"/>
          <w:szCs w:val="20"/>
          <w:lang w:val="es-CR"/>
        </w:rPr>
        <w:t>]</w:t>
      </w:r>
      <w:r w:rsidR="00B946D7" w:rsidRPr="005254A8">
        <w:rPr>
          <w:rFonts w:eastAsia="Calibri"/>
          <w:szCs w:val="20"/>
          <w:lang w:val="es-CR"/>
        </w:rPr>
        <w:t>, no existiero</w:t>
      </w:r>
      <w:r w:rsidR="009E22FC" w:rsidRPr="005254A8">
        <w:rPr>
          <w:rFonts w:eastAsia="Calibri"/>
          <w:szCs w:val="20"/>
          <w:lang w:val="es-CR"/>
        </w:rPr>
        <w:t>n problemas relacionados con la aplicació</w:t>
      </w:r>
      <w:r w:rsidR="00B946D7" w:rsidRPr="005254A8">
        <w:rPr>
          <w:rFonts w:eastAsia="Calibri"/>
          <w:szCs w:val="20"/>
          <w:lang w:val="es-CR"/>
        </w:rPr>
        <w:t>n en el tiempo de la ley penal para investigar y sancio</w:t>
      </w:r>
      <w:r w:rsidR="009E22FC" w:rsidRPr="005254A8">
        <w:rPr>
          <w:rFonts w:eastAsia="Calibri"/>
          <w:szCs w:val="20"/>
          <w:lang w:val="es-CR"/>
        </w:rPr>
        <w:t xml:space="preserve">nar a los responsables </w:t>
      </w:r>
      <w:r w:rsidR="00B946D7" w:rsidRPr="005254A8">
        <w:rPr>
          <w:rFonts w:eastAsia="Calibri"/>
          <w:szCs w:val="20"/>
          <w:lang w:val="es-CR"/>
        </w:rPr>
        <w:t>de las graves violaciones de los derechos humanos identificadas por la Corte</w:t>
      </w:r>
      <w:r w:rsidR="002B5D52" w:rsidRPr="005254A8">
        <w:rPr>
          <w:rFonts w:eastAsia="Calibri"/>
          <w:szCs w:val="20"/>
          <w:lang w:val="es-CR"/>
        </w:rPr>
        <w:t>”</w:t>
      </w:r>
      <w:r w:rsidR="00B946D7" w:rsidRPr="005254A8">
        <w:rPr>
          <w:rFonts w:eastAsia="Calibri"/>
          <w:szCs w:val="20"/>
          <w:lang w:val="es-CR"/>
        </w:rPr>
        <w:t>.</w:t>
      </w:r>
      <w:r w:rsidR="00E4313C">
        <w:rPr>
          <w:rFonts w:eastAsia="Calibri"/>
          <w:szCs w:val="20"/>
          <w:lang w:val="es-CR"/>
        </w:rPr>
        <w:t xml:space="preserve"> </w:t>
      </w:r>
      <w:r w:rsidR="004A1487">
        <w:rPr>
          <w:rFonts w:eastAsia="Calibri"/>
          <w:szCs w:val="20"/>
          <w:lang w:val="es-CR"/>
        </w:rPr>
        <w:t>En este sentido, el Estado consultó a</w:t>
      </w:r>
      <w:r w:rsidR="009E22FC" w:rsidRPr="005254A8">
        <w:rPr>
          <w:rFonts w:eastAsia="Calibri"/>
          <w:szCs w:val="20"/>
          <w:lang w:val="es-CR"/>
        </w:rPr>
        <w:t xml:space="preserve"> la Corte</w:t>
      </w:r>
      <w:r w:rsidR="00E4313C">
        <w:rPr>
          <w:rFonts w:eastAsia="Calibri"/>
          <w:szCs w:val="20"/>
          <w:lang w:val="es-CR"/>
        </w:rPr>
        <w:t>,</w:t>
      </w:r>
      <w:r w:rsidR="009E22FC" w:rsidRPr="005254A8">
        <w:rPr>
          <w:rFonts w:eastAsia="Calibri"/>
          <w:szCs w:val="20"/>
          <w:lang w:val="es-CR"/>
        </w:rPr>
        <w:t xml:space="preserve"> con relació</w:t>
      </w:r>
      <w:r w:rsidR="00B946D7" w:rsidRPr="005254A8">
        <w:rPr>
          <w:rFonts w:eastAsia="Calibri"/>
          <w:szCs w:val="20"/>
          <w:lang w:val="es-CR"/>
        </w:rPr>
        <w:t>n al punt</w:t>
      </w:r>
      <w:r w:rsidR="001E44D5">
        <w:rPr>
          <w:rFonts w:eastAsia="Calibri"/>
          <w:szCs w:val="20"/>
          <w:lang w:val="es-CR"/>
        </w:rPr>
        <w:t>o</w:t>
      </w:r>
      <w:r w:rsidR="00B946D7" w:rsidRPr="005254A8">
        <w:rPr>
          <w:rFonts w:eastAsia="Calibri"/>
          <w:szCs w:val="20"/>
          <w:lang w:val="es-CR"/>
        </w:rPr>
        <w:t xml:space="preserve"> resolut</w:t>
      </w:r>
      <w:r w:rsidR="009E22FC" w:rsidRPr="005254A8">
        <w:rPr>
          <w:rFonts w:eastAsia="Calibri"/>
          <w:szCs w:val="20"/>
          <w:lang w:val="es-CR"/>
        </w:rPr>
        <w:t>ivo 10, que se sustenta</w:t>
      </w:r>
      <w:r w:rsidR="00DC24E1">
        <w:rPr>
          <w:rFonts w:eastAsia="Calibri"/>
          <w:szCs w:val="20"/>
          <w:lang w:val="es-CR"/>
        </w:rPr>
        <w:t>ría</w:t>
      </w:r>
      <w:r w:rsidR="009E22FC" w:rsidRPr="005254A8">
        <w:rPr>
          <w:rFonts w:eastAsia="Calibri"/>
          <w:szCs w:val="20"/>
          <w:lang w:val="es-CR"/>
        </w:rPr>
        <w:t xml:space="preserve"> en e</w:t>
      </w:r>
      <w:r w:rsidR="004A1487">
        <w:rPr>
          <w:rFonts w:eastAsia="Calibri"/>
          <w:szCs w:val="20"/>
          <w:lang w:val="es-CR"/>
        </w:rPr>
        <w:t>l párrafo 309</w:t>
      </w:r>
      <w:r w:rsidR="001E44D5">
        <w:rPr>
          <w:rFonts w:eastAsia="Calibri"/>
          <w:szCs w:val="20"/>
          <w:lang w:val="es-CR"/>
        </w:rPr>
        <w:t xml:space="preserve"> de la S</w:t>
      </w:r>
      <w:r w:rsidR="004A1487">
        <w:rPr>
          <w:rFonts w:eastAsia="Calibri"/>
          <w:szCs w:val="20"/>
          <w:lang w:val="es-CR"/>
        </w:rPr>
        <w:t>entencia</w:t>
      </w:r>
      <w:r w:rsidR="00E4313C">
        <w:rPr>
          <w:rFonts w:eastAsia="Calibri"/>
          <w:szCs w:val="20"/>
          <w:lang w:val="es-CR"/>
        </w:rPr>
        <w:t>, si</w:t>
      </w:r>
      <w:r w:rsidR="00B946D7" w:rsidRPr="005254A8">
        <w:rPr>
          <w:rFonts w:eastAsia="Calibri"/>
          <w:szCs w:val="20"/>
          <w:lang w:val="es-CR"/>
        </w:rPr>
        <w:t xml:space="preserve"> </w:t>
      </w:r>
      <w:r w:rsidR="00E4313C">
        <w:rPr>
          <w:rFonts w:eastAsia="Calibri"/>
          <w:szCs w:val="20"/>
          <w:lang w:val="es-CR"/>
        </w:rPr>
        <w:t xml:space="preserve">la </w:t>
      </w:r>
      <w:r w:rsidR="009E22FC" w:rsidRPr="005254A8">
        <w:rPr>
          <w:rFonts w:eastAsia="Calibri"/>
          <w:szCs w:val="20"/>
          <w:lang w:val="es-CR"/>
        </w:rPr>
        <w:t>prohibició</w:t>
      </w:r>
      <w:r w:rsidR="00B946D7" w:rsidRPr="005254A8">
        <w:rPr>
          <w:rFonts w:eastAsia="Calibri"/>
          <w:szCs w:val="20"/>
          <w:lang w:val="es-CR"/>
        </w:rPr>
        <w:t>n de emplear el principi</w:t>
      </w:r>
      <w:r w:rsidR="00482AB0">
        <w:rPr>
          <w:rFonts w:eastAsia="Calibri"/>
          <w:szCs w:val="20"/>
          <w:lang w:val="es-CR"/>
        </w:rPr>
        <w:t>o</w:t>
      </w:r>
      <w:r w:rsidR="00B946D7" w:rsidRPr="005254A8">
        <w:rPr>
          <w:rFonts w:eastAsia="Calibri"/>
          <w:szCs w:val="20"/>
          <w:lang w:val="es-CR"/>
        </w:rPr>
        <w:t xml:space="preserve"> de irretroactividad de la ley penal implica que en</w:t>
      </w:r>
      <w:r w:rsidR="009E22FC" w:rsidRPr="005254A8">
        <w:rPr>
          <w:rFonts w:eastAsia="Calibri"/>
          <w:szCs w:val="20"/>
          <w:lang w:val="es-CR"/>
        </w:rPr>
        <w:t xml:space="preserve"> </w:t>
      </w:r>
      <w:r w:rsidR="00B946D7" w:rsidRPr="005254A8">
        <w:rPr>
          <w:rFonts w:eastAsia="Calibri"/>
          <w:szCs w:val="20"/>
          <w:lang w:val="es-CR"/>
        </w:rPr>
        <w:t xml:space="preserve">el caso </w:t>
      </w:r>
      <w:r w:rsidR="00B946D7" w:rsidRPr="00BC3917">
        <w:rPr>
          <w:rFonts w:eastAsia="Calibri"/>
          <w:i/>
          <w:szCs w:val="20"/>
          <w:lang w:val="es-CR"/>
        </w:rPr>
        <w:t>Espinoza Gonzales</w:t>
      </w:r>
      <w:r w:rsidR="00B946D7" w:rsidRPr="005254A8">
        <w:rPr>
          <w:rFonts w:eastAsia="Calibri"/>
          <w:szCs w:val="20"/>
          <w:lang w:val="es-CR"/>
        </w:rPr>
        <w:t xml:space="preserve"> el Ministerio Publico y el Poder Judicial </w:t>
      </w:r>
      <w:r w:rsidR="00B946D7" w:rsidRPr="00AA4F29">
        <w:rPr>
          <w:lang w:val="es-CR"/>
        </w:rPr>
        <w:t>peruan</w:t>
      </w:r>
      <w:r w:rsidR="00FD4E09">
        <w:rPr>
          <w:lang w:val="es-CR"/>
        </w:rPr>
        <w:t>o</w:t>
      </w:r>
      <w:r w:rsidR="00B946D7" w:rsidRPr="00AA4F29">
        <w:rPr>
          <w:lang w:val="es-CR"/>
        </w:rPr>
        <w:t>s</w:t>
      </w:r>
      <w:r w:rsidR="009E22FC" w:rsidRPr="005254A8">
        <w:rPr>
          <w:rFonts w:eastAsia="Calibri"/>
          <w:szCs w:val="20"/>
          <w:lang w:val="es-CR"/>
        </w:rPr>
        <w:t xml:space="preserve"> pueden aplicar tipos penales no vigentes al momento</w:t>
      </w:r>
      <w:r w:rsidR="002B5D52" w:rsidRPr="005254A8">
        <w:rPr>
          <w:rFonts w:eastAsia="Calibri"/>
          <w:szCs w:val="20"/>
          <w:lang w:val="es-CR"/>
        </w:rPr>
        <w:t xml:space="preserve"> de ocurridos los hechos</w:t>
      </w:r>
      <w:r w:rsidR="00E4313C">
        <w:rPr>
          <w:rFonts w:eastAsia="Calibri"/>
          <w:szCs w:val="20"/>
          <w:lang w:val="es-CR"/>
        </w:rPr>
        <w:t>.</w:t>
      </w:r>
      <w:r w:rsidR="002B5D52" w:rsidRPr="005254A8">
        <w:rPr>
          <w:rFonts w:eastAsia="Calibri"/>
          <w:szCs w:val="20"/>
          <w:lang w:val="es-CR"/>
        </w:rPr>
        <w:t xml:space="preserve"> </w:t>
      </w:r>
      <w:r w:rsidR="00E4313C">
        <w:rPr>
          <w:rFonts w:eastAsia="Calibri"/>
          <w:szCs w:val="20"/>
          <w:lang w:val="es-CR"/>
        </w:rPr>
        <w:t>E</w:t>
      </w:r>
      <w:r w:rsidR="00B946D7" w:rsidRPr="005254A8">
        <w:rPr>
          <w:rFonts w:eastAsia="Calibri"/>
          <w:szCs w:val="20"/>
          <w:lang w:val="es-CR"/>
        </w:rPr>
        <w:t>l Estado consider</w:t>
      </w:r>
      <w:r w:rsidR="00E4313C">
        <w:rPr>
          <w:rFonts w:eastAsia="Calibri"/>
          <w:szCs w:val="20"/>
          <w:lang w:val="es-CR"/>
        </w:rPr>
        <w:t>ó</w:t>
      </w:r>
      <w:r w:rsidR="00B946D7" w:rsidRPr="005254A8">
        <w:rPr>
          <w:rFonts w:eastAsia="Calibri"/>
          <w:szCs w:val="20"/>
          <w:lang w:val="es-CR"/>
        </w:rPr>
        <w:t xml:space="preserve"> que la consulta plant</w:t>
      </w:r>
      <w:r w:rsidR="009E22FC" w:rsidRPr="005254A8">
        <w:rPr>
          <w:rFonts w:eastAsia="Calibri"/>
          <w:szCs w:val="20"/>
          <w:lang w:val="es-CR"/>
        </w:rPr>
        <w:t>eada tendrá</w:t>
      </w:r>
      <w:r w:rsidR="00B946D7" w:rsidRPr="005254A8">
        <w:rPr>
          <w:rFonts w:eastAsia="Calibri"/>
          <w:szCs w:val="20"/>
          <w:lang w:val="es-CR"/>
        </w:rPr>
        <w:t xml:space="preserve"> </w:t>
      </w:r>
      <w:r w:rsidR="00DC24E1">
        <w:rPr>
          <w:rFonts w:eastAsia="Calibri"/>
          <w:szCs w:val="20"/>
          <w:lang w:val="es-CR"/>
        </w:rPr>
        <w:t>“</w:t>
      </w:r>
      <w:r w:rsidR="00B946D7" w:rsidRPr="005254A8">
        <w:rPr>
          <w:rFonts w:eastAsia="Calibri"/>
          <w:szCs w:val="20"/>
          <w:lang w:val="es-CR"/>
        </w:rPr>
        <w:t>inc</w:t>
      </w:r>
      <w:r w:rsidR="009E22FC" w:rsidRPr="005254A8">
        <w:rPr>
          <w:rFonts w:eastAsia="Calibri"/>
          <w:szCs w:val="20"/>
          <w:lang w:val="es-CR"/>
        </w:rPr>
        <w:t>idencia directa en el marco jurí</w:t>
      </w:r>
      <w:r w:rsidR="00B946D7" w:rsidRPr="005254A8">
        <w:rPr>
          <w:rFonts w:eastAsia="Calibri"/>
          <w:szCs w:val="20"/>
          <w:lang w:val="es-CR"/>
        </w:rPr>
        <w:t>dico a</w:t>
      </w:r>
      <w:r w:rsidR="009E22FC" w:rsidRPr="005254A8">
        <w:rPr>
          <w:rFonts w:eastAsia="Calibri"/>
          <w:szCs w:val="20"/>
          <w:lang w:val="es-CR"/>
        </w:rPr>
        <w:t>plicable al presente caso en la investigació</w:t>
      </w:r>
      <w:r w:rsidR="00B946D7" w:rsidRPr="005254A8">
        <w:rPr>
          <w:rFonts w:eastAsia="Calibri"/>
          <w:szCs w:val="20"/>
          <w:lang w:val="es-CR"/>
        </w:rPr>
        <w:t>n abierta por el Ministerio Publico, re</w:t>
      </w:r>
      <w:r w:rsidR="009E22FC" w:rsidRPr="005254A8">
        <w:rPr>
          <w:rFonts w:eastAsia="Calibri"/>
          <w:szCs w:val="20"/>
          <w:lang w:val="es-CR"/>
        </w:rPr>
        <w:t xml:space="preserve">specto a la cual la Corte no ha </w:t>
      </w:r>
      <w:r w:rsidR="00B946D7" w:rsidRPr="005254A8">
        <w:rPr>
          <w:rFonts w:eastAsia="Calibri"/>
          <w:szCs w:val="20"/>
          <w:lang w:val="es-CR"/>
        </w:rPr>
        <w:t>formu</w:t>
      </w:r>
      <w:r w:rsidR="009E22FC" w:rsidRPr="005254A8">
        <w:rPr>
          <w:rFonts w:eastAsia="Calibri"/>
          <w:szCs w:val="20"/>
          <w:lang w:val="es-CR"/>
        </w:rPr>
        <w:t>lado hasta el momento observació</w:t>
      </w:r>
      <w:r w:rsidR="00B946D7" w:rsidRPr="005254A8">
        <w:rPr>
          <w:rFonts w:eastAsia="Calibri"/>
          <w:szCs w:val="20"/>
          <w:lang w:val="es-CR"/>
        </w:rPr>
        <w:t>n alguna</w:t>
      </w:r>
      <w:r w:rsidR="00DC24E1">
        <w:rPr>
          <w:rFonts w:eastAsia="Calibri"/>
          <w:szCs w:val="20"/>
          <w:lang w:val="es-CR"/>
        </w:rPr>
        <w:t>”</w:t>
      </w:r>
      <w:r w:rsidR="00B946D7" w:rsidRPr="005254A8">
        <w:rPr>
          <w:rFonts w:eastAsia="Calibri"/>
          <w:szCs w:val="20"/>
          <w:lang w:val="es-CR"/>
        </w:rPr>
        <w:t>.</w:t>
      </w:r>
    </w:p>
    <w:p w:rsidR="00B946D7" w:rsidRPr="005254A8" w:rsidRDefault="00B946D7" w:rsidP="00382A94">
      <w:pPr>
        <w:ind w:right="36"/>
        <w:jc w:val="both"/>
        <w:rPr>
          <w:lang w:val="es-CR"/>
        </w:rPr>
      </w:pPr>
    </w:p>
    <w:p w:rsidR="00E2210E" w:rsidRPr="00C03AC2" w:rsidRDefault="00E2210E" w:rsidP="00AA4F29">
      <w:pPr>
        <w:pStyle w:val="Prrafodelista"/>
        <w:numPr>
          <w:ilvl w:val="0"/>
          <w:numId w:val="1"/>
        </w:numPr>
        <w:tabs>
          <w:tab w:val="clear" w:pos="1247"/>
          <w:tab w:val="num" w:pos="720"/>
        </w:tabs>
        <w:autoSpaceDE w:val="0"/>
        <w:autoSpaceDN w:val="0"/>
        <w:adjustRightInd w:val="0"/>
        <w:rPr>
          <w:lang w:val="es-CR"/>
        </w:rPr>
      </w:pPr>
      <w:r w:rsidRPr="005254A8">
        <w:rPr>
          <w:lang w:val="es-CR"/>
        </w:rPr>
        <w:t xml:space="preserve">Los </w:t>
      </w:r>
      <w:r w:rsidRPr="005254A8">
        <w:rPr>
          <w:b/>
          <w:i/>
          <w:lang w:val="es-CR"/>
        </w:rPr>
        <w:t>representantes</w:t>
      </w:r>
      <w:r w:rsidRPr="005254A8">
        <w:rPr>
          <w:lang w:val="es-CR"/>
        </w:rPr>
        <w:t xml:space="preserve"> </w:t>
      </w:r>
      <w:r w:rsidR="00C03AC2" w:rsidRPr="00C03AC2">
        <w:rPr>
          <w:lang w:val="es-CR"/>
        </w:rPr>
        <w:t>c</w:t>
      </w:r>
      <w:r w:rsidR="00C03AC2">
        <w:rPr>
          <w:lang w:val="es-CR"/>
        </w:rPr>
        <w:t>onsideraron</w:t>
      </w:r>
      <w:r w:rsidR="00C03AC2" w:rsidRPr="00C03AC2">
        <w:rPr>
          <w:lang w:val="es-CR"/>
        </w:rPr>
        <w:t xml:space="preserve"> que lo planteado por el Estado</w:t>
      </w:r>
      <w:r w:rsidR="00C03AC2">
        <w:rPr>
          <w:lang w:val="es-CR"/>
        </w:rPr>
        <w:t xml:space="preserve"> </w:t>
      </w:r>
      <w:r w:rsidR="00C03AC2" w:rsidRPr="00C03AC2">
        <w:rPr>
          <w:lang w:val="es-CR"/>
        </w:rPr>
        <w:t>carecería de objeto, siendo el pedido de interpretación</w:t>
      </w:r>
      <w:r w:rsidR="004A1487">
        <w:rPr>
          <w:lang w:val="es-CR"/>
        </w:rPr>
        <w:t xml:space="preserve"> </w:t>
      </w:r>
      <w:r w:rsidR="00C03AC2" w:rsidRPr="00C03AC2">
        <w:rPr>
          <w:lang w:val="es-CR"/>
        </w:rPr>
        <w:t>improcedente ya que la propia cita</w:t>
      </w:r>
      <w:r w:rsidR="00C03AC2">
        <w:rPr>
          <w:lang w:val="es-CR"/>
        </w:rPr>
        <w:t xml:space="preserve"> </w:t>
      </w:r>
      <w:r w:rsidR="00C03AC2" w:rsidRPr="00C03AC2">
        <w:rPr>
          <w:lang w:val="es-CR"/>
        </w:rPr>
        <w:t>utilizada por el Estado para referir al párrafo 309 de la Sentencia es clara respecto a su</w:t>
      </w:r>
      <w:r w:rsidR="00C03AC2">
        <w:rPr>
          <w:lang w:val="es-CR"/>
        </w:rPr>
        <w:t xml:space="preserve"> </w:t>
      </w:r>
      <w:r w:rsidR="00C03AC2" w:rsidRPr="00C03AC2">
        <w:rPr>
          <w:lang w:val="es-CR"/>
        </w:rPr>
        <w:t>alcance.</w:t>
      </w:r>
      <w:r w:rsidR="00C03AC2">
        <w:rPr>
          <w:lang w:val="es-CR"/>
        </w:rPr>
        <w:t xml:space="preserve"> En este sentido</w:t>
      </w:r>
      <w:r w:rsidR="00404100">
        <w:rPr>
          <w:lang w:val="es-CR"/>
        </w:rPr>
        <w:t>,</w:t>
      </w:r>
      <w:r w:rsidR="00C03AC2">
        <w:rPr>
          <w:lang w:val="es-CR"/>
        </w:rPr>
        <w:t xml:space="preserve"> resaltaron que </w:t>
      </w:r>
      <w:r w:rsidR="00C03AC2" w:rsidRPr="00C03AC2">
        <w:rPr>
          <w:lang w:val="es-CR"/>
        </w:rPr>
        <w:t xml:space="preserve">más allá del tipo penal a aplicar, </w:t>
      </w:r>
      <w:r w:rsidR="004A1487">
        <w:rPr>
          <w:lang w:val="es-CR"/>
        </w:rPr>
        <w:t>es obligación del Estado</w:t>
      </w:r>
      <w:r w:rsidR="00C03AC2" w:rsidRPr="00C03AC2">
        <w:rPr>
          <w:lang w:val="es-CR"/>
        </w:rPr>
        <w:t xml:space="preserve"> asegurar</w:t>
      </w:r>
      <w:r w:rsidR="00C03AC2">
        <w:rPr>
          <w:lang w:val="es-CR"/>
        </w:rPr>
        <w:t xml:space="preserve"> </w:t>
      </w:r>
      <w:r w:rsidR="00C03AC2" w:rsidRPr="00C03AC2">
        <w:rPr>
          <w:lang w:val="es-CR"/>
        </w:rPr>
        <w:t>que los crímenes contra los derechos humanos cometidos en desmedro de la víctima deben de</w:t>
      </w:r>
      <w:r w:rsidR="00C03AC2">
        <w:rPr>
          <w:lang w:val="es-CR"/>
        </w:rPr>
        <w:t xml:space="preserve"> </w:t>
      </w:r>
      <w:r w:rsidR="00C03AC2" w:rsidRPr="00C03AC2">
        <w:rPr>
          <w:lang w:val="es-CR"/>
        </w:rPr>
        <w:t>ser –dentro de un plazo razonable- investigados en razón de los estándares internacionales</w:t>
      </w:r>
      <w:r w:rsidR="00C03AC2">
        <w:rPr>
          <w:lang w:val="es-CR"/>
        </w:rPr>
        <w:t xml:space="preserve"> </w:t>
      </w:r>
      <w:r w:rsidR="00C03AC2" w:rsidRPr="00C03AC2">
        <w:rPr>
          <w:lang w:val="es-CR"/>
        </w:rPr>
        <w:t>sobre la materia, a fin de identificar, procesar y, en su caso, sancionar a los responsables de</w:t>
      </w:r>
      <w:r w:rsidR="00C03AC2">
        <w:rPr>
          <w:lang w:val="es-CR"/>
        </w:rPr>
        <w:t xml:space="preserve"> </w:t>
      </w:r>
      <w:r w:rsidR="00C03AC2" w:rsidRPr="00C03AC2">
        <w:rPr>
          <w:lang w:val="es-CR"/>
        </w:rPr>
        <w:t>las graves afectaciones a la integridad personal de Gladys Carol Espinoza Gonzáles.</w:t>
      </w:r>
      <w:r w:rsidR="00C03AC2">
        <w:rPr>
          <w:lang w:val="es-CR"/>
        </w:rPr>
        <w:t xml:space="preserve"> </w:t>
      </w:r>
    </w:p>
    <w:p w:rsidR="008C73B6" w:rsidRPr="005254A8" w:rsidRDefault="008C73B6" w:rsidP="00382A94">
      <w:pPr>
        <w:ind w:right="36"/>
        <w:jc w:val="both"/>
        <w:rPr>
          <w:lang w:val="es-CR"/>
        </w:rPr>
      </w:pPr>
    </w:p>
    <w:p w:rsidR="00E2210E" w:rsidRPr="002A7F79" w:rsidRDefault="000D70AB" w:rsidP="00AA4F29">
      <w:pPr>
        <w:pStyle w:val="Prrafodelista"/>
        <w:numPr>
          <w:ilvl w:val="0"/>
          <w:numId w:val="1"/>
        </w:numPr>
        <w:tabs>
          <w:tab w:val="clear" w:pos="1247"/>
          <w:tab w:val="num" w:pos="720"/>
        </w:tabs>
        <w:autoSpaceDE w:val="0"/>
        <w:autoSpaceDN w:val="0"/>
        <w:adjustRightInd w:val="0"/>
        <w:rPr>
          <w:rFonts w:eastAsia="Calibri" w:cs="Arial"/>
          <w:lang w:val="es-CR"/>
        </w:rPr>
      </w:pPr>
      <w:r>
        <w:rPr>
          <w:rFonts w:eastAsia="Calibri" w:cs="Arial"/>
          <w:lang w:val="es-CR"/>
        </w:rPr>
        <w:t>L</w:t>
      </w:r>
      <w:r w:rsidR="00E2210E" w:rsidRPr="005254A8">
        <w:rPr>
          <w:rFonts w:eastAsia="Calibri" w:cs="Arial"/>
          <w:lang w:val="es-CR"/>
        </w:rPr>
        <w:t xml:space="preserve">a </w:t>
      </w:r>
      <w:r w:rsidR="00E2210E" w:rsidRPr="005254A8">
        <w:rPr>
          <w:rFonts w:eastAsia="Calibri" w:cs="Arial"/>
          <w:b/>
          <w:i/>
          <w:lang w:val="es-CR"/>
        </w:rPr>
        <w:t>Comisión</w:t>
      </w:r>
      <w:r w:rsidR="002A7F79">
        <w:rPr>
          <w:rFonts w:eastAsia="Calibri" w:cs="Arial"/>
          <w:lang w:val="es-CR"/>
        </w:rPr>
        <w:t xml:space="preserve"> señaló que l</w:t>
      </w:r>
      <w:r w:rsidR="002A7F79" w:rsidRPr="002A7F79">
        <w:rPr>
          <w:rFonts w:eastAsia="Calibri" w:cs="Arial"/>
          <w:lang w:val="es-CR"/>
        </w:rPr>
        <w:t>a solicitud del Estado resulta improcedente</w:t>
      </w:r>
      <w:r w:rsidR="002A7F79">
        <w:rPr>
          <w:rFonts w:eastAsia="Calibri" w:cs="Arial"/>
          <w:lang w:val="es-CR"/>
        </w:rPr>
        <w:t xml:space="preserve"> pues corresponde a l</w:t>
      </w:r>
      <w:r w:rsidR="002A7F79" w:rsidRPr="002A7F79">
        <w:rPr>
          <w:rFonts w:eastAsia="Calibri" w:cs="Arial"/>
          <w:lang w:val="es-CR"/>
        </w:rPr>
        <w:t>a etapa de supervisión de cumplimiento de Sentencia.</w:t>
      </w:r>
    </w:p>
    <w:p w:rsidR="00E2210E" w:rsidRPr="005254A8" w:rsidRDefault="00E2210E" w:rsidP="00382A94">
      <w:pPr>
        <w:ind w:right="756"/>
        <w:jc w:val="both"/>
        <w:rPr>
          <w:lang w:val="es-CR"/>
        </w:rPr>
      </w:pPr>
    </w:p>
    <w:p w:rsidR="00E2210E" w:rsidRPr="005254A8" w:rsidRDefault="004C775B" w:rsidP="00382A94">
      <w:pPr>
        <w:ind w:firstLine="708"/>
        <w:jc w:val="both"/>
        <w:rPr>
          <w:rFonts w:cs="Arial"/>
          <w:i/>
          <w:lang w:val="es-CR"/>
        </w:rPr>
      </w:pPr>
      <w:r>
        <w:rPr>
          <w:rFonts w:cs="Arial"/>
          <w:i/>
          <w:lang w:val="es-CR"/>
        </w:rPr>
        <w:t xml:space="preserve">B.2. </w:t>
      </w:r>
      <w:r w:rsidR="00E2210E" w:rsidRPr="005254A8">
        <w:rPr>
          <w:rFonts w:cs="Arial"/>
          <w:i/>
          <w:lang w:val="es-CR"/>
        </w:rPr>
        <w:t>Consideraciones de la Cort</w:t>
      </w:r>
      <w:r w:rsidR="00525D47">
        <w:rPr>
          <w:rFonts w:cs="Arial"/>
          <w:i/>
          <w:lang w:val="es-CR"/>
        </w:rPr>
        <w:t>e</w:t>
      </w:r>
    </w:p>
    <w:p w:rsidR="00E2210E" w:rsidRPr="005254A8" w:rsidRDefault="00E2210E" w:rsidP="00E2210E">
      <w:pPr>
        <w:autoSpaceDE w:val="0"/>
        <w:autoSpaceDN w:val="0"/>
        <w:adjustRightInd w:val="0"/>
        <w:jc w:val="both"/>
        <w:rPr>
          <w:rFonts w:cs="Verdana"/>
          <w:lang w:val="es-CR"/>
        </w:rPr>
      </w:pPr>
    </w:p>
    <w:p w:rsidR="00E2210E" w:rsidRDefault="00435D84" w:rsidP="00AA5937">
      <w:pPr>
        <w:pStyle w:val="Prrafodelista"/>
        <w:numPr>
          <w:ilvl w:val="0"/>
          <w:numId w:val="1"/>
        </w:numPr>
        <w:tabs>
          <w:tab w:val="clear" w:pos="1247"/>
          <w:tab w:val="num" w:pos="720"/>
        </w:tabs>
        <w:autoSpaceDE w:val="0"/>
        <w:autoSpaceDN w:val="0"/>
        <w:adjustRightInd w:val="0"/>
      </w:pPr>
      <w:r>
        <w:rPr>
          <w:lang w:val="es-CR"/>
        </w:rPr>
        <w:t>L</w:t>
      </w:r>
      <w:r w:rsidR="00EE236E" w:rsidRPr="00DD731F">
        <w:rPr>
          <w:lang w:val="es-CR"/>
        </w:rPr>
        <w:t xml:space="preserve">a </w:t>
      </w:r>
      <w:r w:rsidR="00DD731F" w:rsidRPr="00DD731F">
        <w:rPr>
          <w:lang w:val="es-CR"/>
        </w:rPr>
        <w:t>Corte es</w:t>
      </w:r>
      <w:r w:rsidR="00504C81">
        <w:rPr>
          <w:lang w:val="es-CR"/>
        </w:rPr>
        <w:t>tima pertinente reiterar que el cas</w:t>
      </w:r>
      <w:r w:rsidR="00525D47">
        <w:rPr>
          <w:lang w:val="es-CR"/>
        </w:rPr>
        <w:t xml:space="preserve">o </w:t>
      </w:r>
      <w:r w:rsidR="00525D47" w:rsidRPr="00AA4F29">
        <w:rPr>
          <w:i/>
          <w:lang w:val="es-CR"/>
        </w:rPr>
        <w:t>Espinoza González</w:t>
      </w:r>
      <w:r w:rsidR="00525D47">
        <w:rPr>
          <w:lang w:val="es-CR"/>
        </w:rPr>
        <w:t xml:space="preserve"> se enmarcó</w:t>
      </w:r>
      <w:r w:rsidR="00504C81">
        <w:rPr>
          <w:lang w:val="es-CR"/>
        </w:rPr>
        <w:t xml:space="preserve"> </w:t>
      </w:r>
      <w:r w:rsidR="006B2B1F">
        <w:rPr>
          <w:lang w:val="es-CR"/>
        </w:rPr>
        <w:t xml:space="preserve">dentro de </w:t>
      </w:r>
      <w:r w:rsidR="00504C81">
        <w:rPr>
          <w:lang w:val="es-CR"/>
        </w:rPr>
        <w:t>un</w:t>
      </w:r>
      <w:r w:rsidR="00DD731F">
        <w:t xml:space="preserve"> “patrón de tortura y de violencia sexual aplicada discriminatoriamente en perjuicio de las mujeres en el marco de investigaciones por razón de terrorismo y traición a la patria en la época </w:t>
      </w:r>
      <w:r w:rsidR="0052630C">
        <w:t>de los hechos”</w:t>
      </w:r>
      <w:r w:rsidR="005913A6">
        <w:rPr>
          <w:rStyle w:val="Refdenotaalpie"/>
        </w:rPr>
        <w:footnoteReference w:id="5"/>
      </w:r>
      <w:r w:rsidR="0052630C">
        <w:t xml:space="preserve">. En </w:t>
      </w:r>
      <w:r w:rsidR="0052630C" w:rsidRPr="005913A6">
        <w:rPr>
          <w:lang w:val="es-CR"/>
        </w:rPr>
        <w:t>consecuencia</w:t>
      </w:r>
      <w:r w:rsidR="0052630C">
        <w:t>, la Corte aplicó</w:t>
      </w:r>
      <w:r w:rsidR="00DD731F">
        <w:t xml:space="preserve"> el cr</w:t>
      </w:r>
      <w:r w:rsidR="0052630C">
        <w:t xml:space="preserve">iterio establecido </w:t>
      </w:r>
      <w:r w:rsidR="00DD731F">
        <w:t>en el párrafo 309 de la Sentencia</w:t>
      </w:r>
      <w:r w:rsidR="0052630C">
        <w:t xml:space="preserve"> en los siguientes términos</w:t>
      </w:r>
      <w:r w:rsidR="00DD731F">
        <w:t>:</w:t>
      </w:r>
    </w:p>
    <w:p w:rsidR="00DD731F" w:rsidRDefault="00DD731F" w:rsidP="00E2210E">
      <w:pPr>
        <w:jc w:val="both"/>
      </w:pPr>
    </w:p>
    <w:p w:rsidR="00DD731F" w:rsidRPr="00E35A48" w:rsidRDefault="00DD731F" w:rsidP="00BC3917">
      <w:pPr>
        <w:ind w:left="720" w:right="720"/>
        <w:contextualSpacing/>
        <w:jc w:val="both"/>
        <w:rPr>
          <w:strike/>
          <w:spacing w:val="-2"/>
          <w:sz w:val="16"/>
        </w:rPr>
      </w:pPr>
      <w:r w:rsidRPr="00E35A48">
        <w:rPr>
          <w:rFonts w:eastAsia="MS Mincho"/>
          <w:spacing w:val="-2"/>
          <w:sz w:val="16"/>
        </w:rPr>
        <w:t>309.</w:t>
      </w:r>
      <w:r w:rsidRPr="00E35A48">
        <w:rPr>
          <w:rFonts w:eastAsia="MS Mincho"/>
          <w:spacing w:val="-2"/>
          <w:sz w:val="16"/>
        </w:rPr>
        <w:tab/>
        <w:t>Tal como se ha dispuesto en otras oportunidades relacionadas con este tipo de casos,</w:t>
      </w:r>
      <w:r w:rsidRPr="00E35A48">
        <w:rPr>
          <w:spacing w:val="-2"/>
          <w:sz w:val="16"/>
        </w:rPr>
        <w:t xml:space="preserve"> tanto la investigación como el proceso penal consiguiente deberán incluir una perspectiva de género, emprender líneas de investigación específicas respecto de la violencia sexual, a fin de e</w:t>
      </w:r>
      <w:r w:rsidRPr="00E35A48">
        <w:rPr>
          <w:color w:val="000000"/>
          <w:spacing w:val="-2"/>
          <w:sz w:val="16"/>
        </w:rPr>
        <w:t>vitar omisiones en la recolección de prueba, así como</w:t>
      </w:r>
      <w:r w:rsidRPr="00E35A48">
        <w:rPr>
          <w:spacing w:val="-2"/>
          <w:sz w:val="16"/>
        </w:rPr>
        <w:t xml:space="preserve"> posibilitar a la víctima información sobre los avances en la investigación y proceso penal, de conformidad con la legislación interna, y en su caso, la participación adecuada durante la </w:t>
      </w:r>
      <w:r w:rsidRPr="00E35A48">
        <w:rPr>
          <w:spacing w:val="-2"/>
          <w:sz w:val="16"/>
        </w:rPr>
        <w:lastRenderedPageBreak/>
        <w:t xml:space="preserve">investigación y el juzgamiento en todas las etapas. Asimismo, la investigación debe realizarse por funcionarios capacitados en casos similares y en atención a víctimas de discriminación y violencia por razón de género. Además, deberá asegurarse que las personas encargadas de la investigación y del proceso penal, así como, de ser el caso, otras personas involucradas, como testigos, peritos, o familiares de la víctima, cuenten con las debidas garantías de seguridad. De igual modo, por tratarse de una violación grave de derechos humanos, ya que los actos de tortura fueron una práctica generalizada en el contexto del conflicto en el Perú, el Estado debe abstenerse de recurrir a figuras como la amnistía en beneficio de los autores, así como ninguna otra disposición análoga, la prescripción, irretroactividad de la ley penal, cosa juzgada, </w:t>
      </w:r>
      <w:proofErr w:type="spellStart"/>
      <w:r w:rsidRPr="00E35A48">
        <w:rPr>
          <w:i/>
          <w:spacing w:val="-2"/>
          <w:sz w:val="16"/>
        </w:rPr>
        <w:t>ne</w:t>
      </w:r>
      <w:proofErr w:type="spellEnd"/>
      <w:r w:rsidRPr="00E35A48">
        <w:rPr>
          <w:i/>
          <w:spacing w:val="-2"/>
          <w:sz w:val="16"/>
        </w:rPr>
        <w:t xml:space="preserve"> bis in </w:t>
      </w:r>
      <w:proofErr w:type="spellStart"/>
      <w:r w:rsidRPr="00E35A48">
        <w:rPr>
          <w:i/>
          <w:spacing w:val="-2"/>
          <w:sz w:val="16"/>
        </w:rPr>
        <w:t>idem</w:t>
      </w:r>
      <w:proofErr w:type="spellEnd"/>
      <w:r w:rsidRPr="00E35A48">
        <w:rPr>
          <w:spacing w:val="-2"/>
          <w:sz w:val="16"/>
        </w:rPr>
        <w:t xml:space="preserve"> o cualquier eximente similar de responsabilidad, para excusarse de esta obligación.</w:t>
      </w:r>
    </w:p>
    <w:p w:rsidR="00DD731F" w:rsidRDefault="00DD731F" w:rsidP="00E2210E">
      <w:pPr>
        <w:jc w:val="both"/>
      </w:pPr>
    </w:p>
    <w:p w:rsidR="00ED2E49" w:rsidRPr="007C76E9" w:rsidRDefault="00ED2E49" w:rsidP="00435D84">
      <w:pPr>
        <w:pStyle w:val="Prrafodelista"/>
        <w:numPr>
          <w:ilvl w:val="0"/>
          <w:numId w:val="1"/>
        </w:numPr>
        <w:tabs>
          <w:tab w:val="clear" w:pos="1247"/>
          <w:tab w:val="num" w:pos="720"/>
        </w:tabs>
        <w:autoSpaceDE w:val="0"/>
        <w:autoSpaceDN w:val="0"/>
        <w:adjustRightInd w:val="0"/>
        <w:rPr>
          <w:rFonts w:eastAsia="Calibri"/>
          <w:spacing w:val="-2"/>
          <w:szCs w:val="20"/>
        </w:rPr>
      </w:pPr>
      <w:r>
        <w:t xml:space="preserve">La Corte considera que el </w:t>
      </w:r>
      <w:r w:rsidR="00FD4E09">
        <w:t xml:space="preserve">párrafo </w:t>
      </w:r>
      <w:r>
        <w:t xml:space="preserve">309 de la Sentencia es claro al señalar que </w:t>
      </w:r>
      <w:r w:rsidR="009E3D4D" w:rsidRPr="00436164">
        <w:rPr>
          <w:rFonts w:eastAsia="Calibri"/>
          <w:lang w:val="es-CR"/>
        </w:rPr>
        <w:t>el</w:t>
      </w:r>
      <w:r>
        <w:rPr>
          <w:rFonts w:eastAsia="Calibri"/>
          <w:lang w:val="es-CR"/>
        </w:rPr>
        <w:t xml:space="preserve"> Estado debe abstenerse a recurrir a figuras como el</w:t>
      </w:r>
      <w:r w:rsidR="009E3D4D" w:rsidRPr="00436164">
        <w:rPr>
          <w:rFonts w:eastAsia="Calibri"/>
          <w:lang w:val="es-CR"/>
        </w:rPr>
        <w:t xml:space="preserve"> principio de i</w:t>
      </w:r>
      <w:r w:rsidR="0094521A" w:rsidRPr="00436164">
        <w:rPr>
          <w:rFonts w:eastAsia="Calibri"/>
          <w:lang w:val="es-CR"/>
        </w:rPr>
        <w:t>rretroactividad de la ley penal</w:t>
      </w:r>
      <w:r w:rsidR="009E3D4D" w:rsidRPr="00436164">
        <w:rPr>
          <w:rFonts w:eastAsia="Calibri"/>
          <w:lang w:val="es-CR"/>
        </w:rPr>
        <w:t xml:space="preserve"> </w:t>
      </w:r>
      <w:r w:rsidR="003106C3">
        <w:rPr>
          <w:rFonts w:eastAsia="Calibri"/>
          <w:lang w:val="es-CR"/>
        </w:rPr>
        <w:t xml:space="preserve">para excusarse de la </w:t>
      </w:r>
      <w:r w:rsidR="003106C3" w:rsidRPr="00435D84">
        <w:t>obligación</w:t>
      </w:r>
      <w:r w:rsidR="003106C3">
        <w:rPr>
          <w:rFonts w:eastAsia="Calibri"/>
          <w:lang w:val="es-CR"/>
        </w:rPr>
        <w:t xml:space="preserve"> de investigar </w:t>
      </w:r>
      <w:r>
        <w:rPr>
          <w:rFonts w:eastAsia="Calibri"/>
          <w:lang w:val="es-CR"/>
        </w:rPr>
        <w:t>efectivamente</w:t>
      </w:r>
      <w:r w:rsidR="000B0126" w:rsidRPr="00436164">
        <w:rPr>
          <w:rFonts w:eastAsia="Calibri"/>
          <w:lang w:val="es-CR"/>
        </w:rPr>
        <w:t>.</w:t>
      </w:r>
      <w:r w:rsidR="00AA4F29" w:rsidRPr="00436164">
        <w:rPr>
          <w:rFonts w:eastAsia="Calibri"/>
          <w:lang w:val="es-CR"/>
        </w:rPr>
        <w:t xml:space="preserve"> </w:t>
      </w:r>
      <w:r w:rsidR="005165CC">
        <w:rPr>
          <w:rFonts w:eastAsia="Calibri"/>
          <w:lang w:val="es-CR"/>
        </w:rPr>
        <w:t>Por tanto</w:t>
      </w:r>
      <w:r w:rsidR="00C512C0">
        <w:rPr>
          <w:rFonts w:eastAsia="Calibri"/>
          <w:lang w:val="es-CR"/>
        </w:rPr>
        <w:t>,</w:t>
      </w:r>
      <w:r w:rsidR="005165CC">
        <w:rPr>
          <w:rFonts w:eastAsia="Calibri"/>
          <w:lang w:val="es-CR"/>
        </w:rPr>
        <w:t xml:space="preserve"> se desestima la solicitud de interpretación en este extremo.</w:t>
      </w:r>
    </w:p>
    <w:p w:rsidR="00ED2E49" w:rsidRPr="007C76E9" w:rsidRDefault="00ED2E49" w:rsidP="007C76E9">
      <w:pPr>
        <w:pStyle w:val="Prrafodelista"/>
        <w:autoSpaceDE w:val="0"/>
        <w:autoSpaceDN w:val="0"/>
        <w:adjustRightInd w:val="0"/>
        <w:ind w:left="0"/>
        <w:rPr>
          <w:rFonts w:eastAsia="Calibri"/>
          <w:spacing w:val="-2"/>
          <w:szCs w:val="20"/>
        </w:rPr>
      </w:pPr>
    </w:p>
    <w:p w:rsidR="001258EE" w:rsidRDefault="00ED2E49" w:rsidP="00435D84">
      <w:pPr>
        <w:pStyle w:val="Prrafodelista"/>
        <w:numPr>
          <w:ilvl w:val="0"/>
          <w:numId w:val="1"/>
        </w:numPr>
        <w:tabs>
          <w:tab w:val="clear" w:pos="1247"/>
          <w:tab w:val="num" w:pos="720"/>
        </w:tabs>
        <w:autoSpaceDE w:val="0"/>
        <w:autoSpaceDN w:val="0"/>
        <w:adjustRightInd w:val="0"/>
        <w:rPr>
          <w:rFonts w:eastAsia="Calibri"/>
          <w:spacing w:val="-2"/>
          <w:szCs w:val="20"/>
        </w:rPr>
      </w:pPr>
      <w:r>
        <w:rPr>
          <w:lang w:val="es-CR"/>
        </w:rPr>
        <w:t>Sin perjuicio</w:t>
      </w:r>
      <w:r w:rsidR="005165CC">
        <w:rPr>
          <w:lang w:val="es-CR"/>
        </w:rPr>
        <w:t xml:space="preserve"> de ello, </w:t>
      </w:r>
      <w:r w:rsidR="00C512C0">
        <w:rPr>
          <w:lang w:val="es-CR"/>
        </w:rPr>
        <w:t xml:space="preserve">la Corte nota que </w:t>
      </w:r>
      <w:r>
        <w:rPr>
          <w:lang w:val="es-CR"/>
        </w:rPr>
        <w:t>e</w:t>
      </w:r>
      <w:r w:rsidR="001258EE">
        <w:rPr>
          <w:lang w:val="es-CR"/>
        </w:rPr>
        <w:t xml:space="preserve">n </w:t>
      </w:r>
      <w:r w:rsidR="00435D84">
        <w:rPr>
          <w:lang w:val="es-CR"/>
        </w:rPr>
        <w:t>la Sentencia constat</w:t>
      </w:r>
      <w:r w:rsidR="001258EE">
        <w:rPr>
          <w:lang w:val="es-CR"/>
        </w:rPr>
        <w:t>ó</w:t>
      </w:r>
      <w:r w:rsidR="005350E9">
        <w:rPr>
          <w:rFonts w:eastAsia="Calibri"/>
          <w:spacing w:val="-2"/>
          <w:sz w:val="16"/>
          <w:vertAlign w:val="superscript"/>
        </w:rPr>
        <w:footnoteReference w:id="6"/>
      </w:r>
      <w:r w:rsidR="001258EE">
        <w:rPr>
          <w:lang w:val="es-CR"/>
        </w:rPr>
        <w:t xml:space="preserve"> que el 20 </w:t>
      </w:r>
      <w:r w:rsidR="001258EE">
        <w:rPr>
          <w:rFonts w:eastAsia="Calibri"/>
          <w:spacing w:val="-2"/>
          <w:szCs w:val="20"/>
        </w:rPr>
        <w:t>de mayo de 2014 el Primer Juzgado Penal Nacional emitió el auto de procesamiento, mediante el cual promovió acción penal en los siguientes términos:</w:t>
      </w:r>
    </w:p>
    <w:p w:rsidR="001258EE" w:rsidRDefault="001258EE" w:rsidP="001258EE">
      <w:pPr>
        <w:contextualSpacing/>
        <w:jc w:val="both"/>
        <w:rPr>
          <w:rFonts w:eastAsia="Calibri"/>
          <w:spacing w:val="-2"/>
          <w:sz w:val="16"/>
        </w:rPr>
      </w:pPr>
    </w:p>
    <w:p w:rsidR="001258EE" w:rsidRDefault="001258EE" w:rsidP="001258EE">
      <w:pPr>
        <w:ind w:left="426"/>
        <w:contextualSpacing/>
        <w:jc w:val="both"/>
        <w:rPr>
          <w:rFonts w:eastAsia="Calibri"/>
          <w:spacing w:val="-2"/>
          <w:sz w:val="16"/>
        </w:rPr>
      </w:pPr>
      <w:r>
        <w:rPr>
          <w:rFonts w:eastAsia="Calibri"/>
          <w:spacing w:val="-2"/>
          <w:sz w:val="16"/>
          <w:u w:val="single"/>
        </w:rPr>
        <w:t>[C]</w:t>
      </w:r>
      <w:proofErr w:type="spellStart"/>
      <w:r>
        <w:rPr>
          <w:rFonts w:eastAsia="Calibri"/>
          <w:spacing w:val="-2"/>
          <w:sz w:val="16"/>
          <w:u w:val="single"/>
        </w:rPr>
        <w:t>ontra</w:t>
      </w:r>
      <w:proofErr w:type="spellEnd"/>
      <w:r>
        <w:rPr>
          <w:rFonts w:eastAsia="Calibri"/>
          <w:spacing w:val="-2"/>
          <w:sz w:val="16"/>
        </w:rPr>
        <w:t xml:space="preserve">: [siete personas] como presuntos coautores del delito Contra la Libertad- Secuestro contenido en el primer párrafo del artículo 152° del Código Penal – Tipo Base (texto original) en agravio de Gladys Carol Espinoza </w:t>
      </w:r>
      <w:proofErr w:type="spellStart"/>
      <w:r>
        <w:rPr>
          <w:rFonts w:eastAsia="Calibri"/>
          <w:spacing w:val="-2"/>
          <w:sz w:val="16"/>
        </w:rPr>
        <w:t>Gonz</w:t>
      </w:r>
      <w:proofErr w:type="spellEnd"/>
      <w:r>
        <w:rPr>
          <w:rFonts w:eastAsia="Calibri"/>
          <w:spacing w:val="-2"/>
          <w:sz w:val="16"/>
        </w:rPr>
        <w:t xml:space="preserve">[á]les; </w:t>
      </w:r>
      <w:r>
        <w:rPr>
          <w:rFonts w:eastAsia="Calibri"/>
          <w:spacing w:val="-2"/>
          <w:sz w:val="16"/>
          <w:u w:val="single"/>
        </w:rPr>
        <w:t>contra</w:t>
      </w:r>
      <w:r>
        <w:rPr>
          <w:rFonts w:eastAsia="Calibri"/>
          <w:spacing w:val="-2"/>
          <w:sz w:val="16"/>
        </w:rPr>
        <w:t>: [diez personas], como presuntos coautores del delito Contra la Libertad - Secuestro contenido en el primer párrafo del artículo 152°, inciso 1) del Código [P]</w:t>
      </w:r>
      <w:proofErr w:type="spellStart"/>
      <w:r>
        <w:rPr>
          <w:rFonts w:eastAsia="Calibri"/>
          <w:spacing w:val="-2"/>
          <w:sz w:val="16"/>
        </w:rPr>
        <w:t>enal</w:t>
      </w:r>
      <w:proofErr w:type="spellEnd"/>
      <w:r>
        <w:rPr>
          <w:rFonts w:eastAsia="Calibri"/>
          <w:spacing w:val="-2"/>
          <w:sz w:val="16"/>
        </w:rPr>
        <w:t xml:space="preserve"> (texto original), en agravio de Gladys Carol Espinoza </w:t>
      </w:r>
      <w:proofErr w:type="spellStart"/>
      <w:r>
        <w:rPr>
          <w:rFonts w:eastAsia="Calibri"/>
          <w:spacing w:val="-2"/>
          <w:sz w:val="16"/>
        </w:rPr>
        <w:t>Gonz</w:t>
      </w:r>
      <w:proofErr w:type="spellEnd"/>
      <w:r>
        <w:rPr>
          <w:rFonts w:eastAsia="Calibri"/>
          <w:spacing w:val="-2"/>
          <w:sz w:val="16"/>
        </w:rPr>
        <w:t xml:space="preserve">[á]les; </w:t>
      </w:r>
      <w:r>
        <w:rPr>
          <w:rFonts w:eastAsia="Calibri"/>
          <w:spacing w:val="-2"/>
          <w:sz w:val="16"/>
          <w:u w:val="single"/>
        </w:rPr>
        <w:t>contra</w:t>
      </w:r>
      <w:r>
        <w:rPr>
          <w:rFonts w:eastAsia="Calibri"/>
          <w:spacing w:val="-2"/>
          <w:sz w:val="16"/>
        </w:rPr>
        <w:t>: [una persona] como presunto autor por omisión impropia (comisión por omisión) del delito de [V]</w:t>
      </w:r>
      <w:proofErr w:type="spellStart"/>
      <w:r>
        <w:rPr>
          <w:rFonts w:eastAsia="Calibri"/>
          <w:spacing w:val="-2"/>
          <w:sz w:val="16"/>
        </w:rPr>
        <w:t>iolación</w:t>
      </w:r>
      <w:proofErr w:type="spellEnd"/>
      <w:r>
        <w:rPr>
          <w:rFonts w:eastAsia="Calibri"/>
          <w:spacing w:val="-2"/>
          <w:sz w:val="16"/>
        </w:rPr>
        <w:t xml:space="preserve"> [S]</w:t>
      </w:r>
      <w:proofErr w:type="spellStart"/>
      <w:r>
        <w:rPr>
          <w:rFonts w:eastAsia="Calibri"/>
          <w:spacing w:val="-2"/>
          <w:sz w:val="16"/>
        </w:rPr>
        <w:t>exual</w:t>
      </w:r>
      <w:proofErr w:type="spellEnd"/>
      <w:r>
        <w:rPr>
          <w:rFonts w:eastAsia="Calibri"/>
          <w:spacing w:val="-2"/>
          <w:sz w:val="16"/>
        </w:rPr>
        <w:t xml:space="preserve"> contenido en artículo 170° del Código Penal, en agravio de Gladys Carol Espinoza </w:t>
      </w:r>
      <w:proofErr w:type="spellStart"/>
      <w:r>
        <w:rPr>
          <w:rFonts w:eastAsia="Calibri"/>
          <w:spacing w:val="-2"/>
          <w:sz w:val="16"/>
        </w:rPr>
        <w:t>Gonz</w:t>
      </w:r>
      <w:proofErr w:type="spellEnd"/>
      <w:r>
        <w:rPr>
          <w:rFonts w:eastAsia="Calibri"/>
          <w:spacing w:val="-2"/>
          <w:sz w:val="16"/>
        </w:rPr>
        <w:t xml:space="preserve">[á]les; y </w:t>
      </w:r>
      <w:r>
        <w:rPr>
          <w:rFonts w:eastAsia="Calibri"/>
          <w:spacing w:val="-2"/>
          <w:sz w:val="16"/>
          <w:u w:val="single"/>
        </w:rPr>
        <w:t>contra</w:t>
      </w:r>
      <w:r>
        <w:rPr>
          <w:rFonts w:eastAsia="Calibri"/>
          <w:spacing w:val="-2"/>
          <w:sz w:val="16"/>
        </w:rPr>
        <w:t>: [una persona] como presunto autor por omisión impropia (comisión por omisión) del delito Contra la Humanidad - Tortura, contenido en el primer párrafo del artículo 321 ° del Código [P]</w:t>
      </w:r>
      <w:proofErr w:type="spellStart"/>
      <w:r>
        <w:rPr>
          <w:rFonts w:eastAsia="Calibri"/>
          <w:spacing w:val="-2"/>
          <w:sz w:val="16"/>
        </w:rPr>
        <w:t>enal</w:t>
      </w:r>
      <w:proofErr w:type="spellEnd"/>
      <w:r>
        <w:rPr>
          <w:rFonts w:eastAsia="Calibri"/>
          <w:spacing w:val="-2"/>
          <w:sz w:val="16"/>
        </w:rPr>
        <w:t xml:space="preserve">, en agravio de Gladys Carol Espinoza </w:t>
      </w:r>
      <w:proofErr w:type="spellStart"/>
      <w:r>
        <w:rPr>
          <w:rFonts w:eastAsia="Calibri"/>
          <w:spacing w:val="-2"/>
          <w:sz w:val="16"/>
        </w:rPr>
        <w:t>Gonz</w:t>
      </w:r>
      <w:proofErr w:type="spellEnd"/>
      <w:r>
        <w:rPr>
          <w:rFonts w:eastAsia="Calibri"/>
          <w:spacing w:val="-2"/>
          <w:sz w:val="16"/>
        </w:rPr>
        <w:t xml:space="preserve">[á]les. </w:t>
      </w:r>
    </w:p>
    <w:p w:rsidR="00435D84" w:rsidRDefault="00435D84" w:rsidP="001258EE">
      <w:pPr>
        <w:ind w:left="426"/>
        <w:contextualSpacing/>
        <w:jc w:val="both"/>
        <w:rPr>
          <w:rFonts w:eastAsia="Calibri"/>
          <w:spacing w:val="-2"/>
          <w:sz w:val="16"/>
        </w:rPr>
      </w:pPr>
    </w:p>
    <w:p w:rsidR="00DD731F" w:rsidRDefault="00F51AB6" w:rsidP="007C76E9">
      <w:pPr>
        <w:numPr>
          <w:ilvl w:val="0"/>
          <w:numId w:val="1"/>
        </w:numPr>
        <w:tabs>
          <w:tab w:val="clear" w:pos="1247"/>
          <w:tab w:val="num" w:pos="720"/>
        </w:tabs>
        <w:jc w:val="both"/>
        <w:rPr>
          <w:lang w:val="es-CR"/>
        </w:rPr>
      </w:pPr>
      <w:r>
        <w:rPr>
          <w:lang w:val="es-CR"/>
        </w:rPr>
        <w:t>Al respecto, l</w:t>
      </w:r>
      <w:r w:rsidR="00435D84">
        <w:rPr>
          <w:lang w:val="es-CR"/>
        </w:rPr>
        <w:t xml:space="preserve">a Corte considera que el efectivo desarrollo de la investigación y eventual sanción de los </w:t>
      </w:r>
      <w:r>
        <w:rPr>
          <w:lang w:val="es-CR"/>
        </w:rPr>
        <w:t xml:space="preserve">responsables </w:t>
      </w:r>
      <w:r w:rsidR="00435D84">
        <w:rPr>
          <w:lang w:val="es-CR"/>
        </w:rPr>
        <w:t>es materia del procedimiento de supervisión de cumplimiento de la Sentencia.</w:t>
      </w:r>
    </w:p>
    <w:p w:rsidR="0094521A" w:rsidRPr="0094521A" w:rsidRDefault="0094521A" w:rsidP="00525D47">
      <w:pPr>
        <w:pStyle w:val="Prrafodelista"/>
        <w:ind w:left="0"/>
        <w:rPr>
          <w:lang w:val="es-CR"/>
        </w:rPr>
      </w:pPr>
    </w:p>
    <w:p w:rsidR="00E2210E" w:rsidRPr="00A75F15" w:rsidRDefault="008C73B6" w:rsidP="00B979D9">
      <w:pPr>
        <w:pStyle w:val="Prrafodelista"/>
        <w:numPr>
          <w:ilvl w:val="0"/>
          <w:numId w:val="19"/>
        </w:numPr>
        <w:autoSpaceDE w:val="0"/>
        <w:autoSpaceDN w:val="0"/>
        <w:adjustRightInd w:val="0"/>
        <w:rPr>
          <w:rFonts w:eastAsia="Calibri"/>
          <w:b/>
          <w:bCs/>
          <w:szCs w:val="20"/>
          <w:lang w:val="es-CR"/>
        </w:rPr>
      </w:pPr>
      <w:r w:rsidRPr="0053279F">
        <w:rPr>
          <w:rFonts w:eastAsia="Calibri"/>
          <w:b/>
          <w:bCs/>
          <w:szCs w:val="20"/>
          <w:lang w:val="es-CR"/>
        </w:rPr>
        <w:t>Respecto a</w:t>
      </w:r>
      <w:r w:rsidR="0053279F" w:rsidRPr="0053279F">
        <w:rPr>
          <w:rFonts w:eastAsia="Calibri"/>
          <w:b/>
          <w:bCs/>
          <w:szCs w:val="20"/>
          <w:lang w:val="es-CR"/>
        </w:rPr>
        <w:t xml:space="preserve"> los motivos por los cuales se </w:t>
      </w:r>
      <w:r w:rsidR="0053279F" w:rsidRPr="00BC3917">
        <w:rPr>
          <w:rFonts w:eastAsia="Calibri"/>
          <w:b/>
          <w:bCs/>
          <w:szCs w:val="20"/>
          <w:lang w:val="es-CR"/>
        </w:rPr>
        <w:t xml:space="preserve">concluyó </w:t>
      </w:r>
      <w:r w:rsidR="0053279F" w:rsidRPr="00BC3917">
        <w:rPr>
          <w:rFonts w:eastAsia="Calibri"/>
          <w:b/>
          <w:szCs w:val="20"/>
          <w:lang w:val="es-CR"/>
        </w:rPr>
        <w:t>que el estereotipo identificado en el caso impactó directamente en la decisión de no investigar los hechos y</w:t>
      </w:r>
      <w:r w:rsidRPr="0053279F">
        <w:rPr>
          <w:rFonts w:eastAsia="Calibri"/>
          <w:b/>
          <w:bCs/>
          <w:szCs w:val="20"/>
          <w:lang w:val="es-CR"/>
        </w:rPr>
        <w:t xml:space="preserve"> </w:t>
      </w:r>
      <w:r w:rsidR="00020E00">
        <w:rPr>
          <w:rFonts w:eastAsia="Calibri"/>
          <w:b/>
          <w:bCs/>
          <w:szCs w:val="20"/>
          <w:lang w:val="es-CR"/>
        </w:rPr>
        <w:t xml:space="preserve">sobre </w:t>
      </w:r>
      <w:r w:rsidRPr="0053279F">
        <w:rPr>
          <w:rFonts w:eastAsia="Calibri"/>
          <w:b/>
          <w:bCs/>
          <w:szCs w:val="20"/>
          <w:lang w:val="es-CR"/>
        </w:rPr>
        <w:t>la educación y capacitación dirigida a los encargados de la persecución penal y su judicialización</w:t>
      </w:r>
    </w:p>
    <w:p w:rsidR="00E2210E" w:rsidRPr="005254A8" w:rsidRDefault="00E2210E" w:rsidP="00E2210E">
      <w:pPr>
        <w:jc w:val="both"/>
        <w:rPr>
          <w:b/>
          <w:lang w:val="es-CR"/>
        </w:rPr>
      </w:pPr>
    </w:p>
    <w:p w:rsidR="00E2210E" w:rsidRPr="005254A8" w:rsidRDefault="00F73AEE" w:rsidP="00E2210E">
      <w:pPr>
        <w:ind w:firstLine="708"/>
        <w:jc w:val="both"/>
        <w:rPr>
          <w:rFonts w:eastAsia="Calibri"/>
          <w:i/>
          <w:lang w:val="es-CR"/>
        </w:rPr>
      </w:pPr>
      <w:r>
        <w:rPr>
          <w:i/>
          <w:lang w:val="es-CR"/>
        </w:rPr>
        <w:t xml:space="preserve">C.1. </w:t>
      </w:r>
      <w:r w:rsidR="00E2210E" w:rsidRPr="005254A8">
        <w:rPr>
          <w:i/>
          <w:lang w:val="es-CR"/>
        </w:rPr>
        <w:t>Argumentos de las partes y de la Comisión</w:t>
      </w:r>
      <w:r w:rsidR="00E2210E" w:rsidRPr="005254A8" w:rsidDel="00184EBD">
        <w:rPr>
          <w:rFonts w:eastAsia="Calibri"/>
          <w:i/>
          <w:lang w:val="es-CR"/>
        </w:rPr>
        <w:t xml:space="preserve"> </w:t>
      </w:r>
    </w:p>
    <w:p w:rsidR="00E2210E" w:rsidRPr="005254A8" w:rsidRDefault="00E2210E" w:rsidP="00E2210E">
      <w:pPr>
        <w:jc w:val="both"/>
        <w:rPr>
          <w:lang w:val="es-CR"/>
        </w:rPr>
      </w:pPr>
    </w:p>
    <w:p w:rsidR="008C73B6" w:rsidRPr="00F7389F" w:rsidRDefault="00E2210E" w:rsidP="00BC3917">
      <w:pPr>
        <w:pStyle w:val="Prrafodelista"/>
        <w:numPr>
          <w:ilvl w:val="0"/>
          <w:numId w:val="1"/>
        </w:numPr>
        <w:tabs>
          <w:tab w:val="clear" w:pos="1247"/>
          <w:tab w:val="num" w:pos="720"/>
        </w:tabs>
        <w:rPr>
          <w:rFonts w:eastAsia="Calibri"/>
          <w:lang w:val="es-CR"/>
        </w:rPr>
      </w:pPr>
      <w:r w:rsidRPr="005254A8">
        <w:rPr>
          <w:lang w:val="es-CR"/>
        </w:rPr>
        <w:t xml:space="preserve">El </w:t>
      </w:r>
      <w:r w:rsidRPr="005254A8">
        <w:rPr>
          <w:b/>
          <w:i/>
          <w:lang w:val="es-CR"/>
        </w:rPr>
        <w:t>Estado</w:t>
      </w:r>
      <w:r w:rsidRPr="005254A8">
        <w:rPr>
          <w:lang w:val="es-CR"/>
        </w:rPr>
        <w:t xml:space="preserve"> </w:t>
      </w:r>
      <w:r w:rsidR="008C73B6" w:rsidRPr="005254A8">
        <w:rPr>
          <w:lang w:val="es-CR"/>
        </w:rPr>
        <w:t xml:space="preserve">señaló que </w:t>
      </w:r>
      <w:r w:rsidR="008C73B6" w:rsidRPr="005254A8">
        <w:rPr>
          <w:rFonts w:eastAsia="Calibri"/>
          <w:lang w:val="es-CR"/>
        </w:rPr>
        <w:t>una de las reparac</w:t>
      </w:r>
      <w:r w:rsidR="00B979D9" w:rsidRPr="005254A8">
        <w:rPr>
          <w:rFonts w:eastAsia="Calibri"/>
          <w:lang w:val="es-CR"/>
        </w:rPr>
        <w:t>iones ordenadas por la Corte</w:t>
      </w:r>
      <w:r w:rsidR="008C73B6" w:rsidRPr="005254A8">
        <w:rPr>
          <w:rFonts w:eastAsia="Calibri"/>
          <w:lang w:val="es-CR"/>
        </w:rPr>
        <w:t xml:space="preserve"> se relaciona con la capacitación a funcionarios responsables de la persecución penal y su jud</w:t>
      </w:r>
      <w:r w:rsidR="00B979D9" w:rsidRPr="005254A8">
        <w:rPr>
          <w:rFonts w:eastAsia="Calibri"/>
          <w:lang w:val="es-CR"/>
        </w:rPr>
        <w:t xml:space="preserve">icialización. </w:t>
      </w:r>
      <w:r w:rsidR="00B5649F">
        <w:rPr>
          <w:rFonts w:eastAsia="Calibri"/>
          <w:lang w:val="es-CR"/>
        </w:rPr>
        <w:t>Sostuvo</w:t>
      </w:r>
      <w:r w:rsidR="00B979D9" w:rsidRPr="005254A8">
        <w:rPr>
          <w:rFonts w:eastAsia="Calibri"/>
          <w:lang w:val="es-CR"/>
        </w:rPr>
        <w:t xml:space="preserve"> que en el</w:t>
      </w:r>
      <w:r w:rsidR="008C73B6" w:rsidRPr="005254A8">
        <w:rPr>
          <w:rFonts w:eastAsia="Calibri"/>
          <w:lang w:val="es-CR"/>
        </w:rPr>
        <w:t xml:space="preserve"> </w:t>
      </w:r>
      <w:r w:rsidR="00B5649F">
        <w:rPr>
          <w:rFonts w:eastAsia="Calibri"/>
          <w:lang w:val="es-CR"/>
        </w:rPr>
        <w:t xml:space="preserve">punto </w:t>
      </w:r>
      <w:r w:rsidR="00B979D9" w:rsidRPr="005254A8">
        <w:rPr>
          <w:rFonts w:eastAsia="Calibri"/>
          <w:lang w:val="es-CR"/>
        </w:rPr>
        <w:t>resolutivo 14, el Tribunal ordenó que “[e]</w:t>
      </w:r>
      <w:r w:rsidR="008C73B6" w:rsidRPr="005254A8">
        <w:rPr>
          <w:rFonts w:eastAsia="Calibri"/>
          <w:lang w:val="es-CR"/>
        </w:rPr>
        <w:t xml:space="preserve">l Estado debe, en un plazo razonable, incorporar en </w:t>
      </w:r>
      <w:r w:rsidR="008C73B6" w:rsidRPr="00BC3917">
        <w:rPr>
          <w:lang w:val="es-CR"/>
        </w:rPr>
        <w:t>los</w:t>
      </w:r>
      <w:r w:rsidR="008C73B6" w:rsidRPr="005254A8">
        <w:rPr>
          <w:rFonts w:eastAsia="Calibri"/>
          <w:lang w:val="es-CR"/>
        </w:rPr>
        <w:t xml:space="preserve"> programas y cursos permanentes de educación y capacitación dirigidos a quienes están encargados de la persecución penal y su judicialización, los estándares establecidos en los párrafos 237 a 242,</w:t>
      </w:r>
      <w:r w:rsidR="000C392C">
        <w:rPr>
          <w:rFonts w:eastAsia="Calibri"/>
          <w:lang w:val="es-CR"/>
        </w:rPr>
        <w:t xml:space="preserve"> </w:t>
      </w:r>
      <w:r w:rsidR="008C73B6" w:rsidRPr="005254A8">
        <w:rPr>
          <w:rFonts w:eastAsia="Calibri"/>
          <w:lang w:val="es-CR"/>
        </w:rPr>
        <w:t>248,</w:t>
      </w:r>
      <w:r w:rsidR="000C392C">
        <w:rPr>
          <w:rFonts w:eastAsia="Calibri"/>
          <w:lang w:val="es-CR"/>
        </w:rPr>
        <w:t xml:space="preserve"> </w:t>
      </w:r>
      <w:r w:rsidR="008C73B6" w:rsidRPr="005254A8">
        <w:rPr>
          <w:rFonts w:eastAsia="Calibri"/>
          <w:lang w:val="es-CR"/>
        </w:rPr>
        <w:t>249, 251,</w:t>
      </w:r>
      <w:r w:rsidR="000C392C">
        <w:rPr>
          <w:rFonts w:eastAsia="Calibri"/>
          <w:lang w:val="es-CR"/>
        </w:rPr>
        <w:t xml:space="preserve"> </w:t>
      </w:r>
      <w:r w:rsidR="008C73B6" w:rsidRPr="005254A8">
        <w:rPr>
          <w:rFonts w:eastAsia="Calibri"/>
          <w:lang w:val="es-CR"/>
        </w:rPr>
        <w:t>252,</w:t>
      </w:r>
      <w:r w:rsidR="000C392C">
        <w:rPr>
          <w:rFonts w:eastAsia="Calibri"/>
          <w:lang w:val="es-CR"/>
        </w:rPr>
        <w:t xml:space="preserve"> </w:t>
      </w:r>
      <w:r w:rsidR="008C73B6" w:rsidRPr="005254A8">
        <w:rPr>
          <w:rFonts w:eastAsia="Calibri"/>
          <w:lang w:val="es-CR"/>
        </w:rPr>
        <w:t>255, 256,</w:t>
      </w:r>
      <w:r w:rsidR="000C392C">
        <w:rPr>
          <w:rFonts w:eastAsia="Calibri"/>
          <w:lang w:val="es-CR"/>
        </w:rPr>
        <w:t xml:space="preserve"> </w:t>
      </w:r>
      <w:r w:rsidR="008C73B6" w:rsidRPr="005254A8">
        <w:rPr>
          <w:rFonts w:eastAsia="Calibri"/>
          <w:lang w:val="es-CR"/>
        </w:rPr>
        <w:t>258, 260, 266,</w:t>
      </w:r>
      <w:r w:rsidR="000C392C">
        <w:rPr>
          <w:rFonts w:eastAsia="Calibri"/>
          <w:lang w:val="es-CR"/>
        </w:rPr>
        <w:t xml:space="preserve"> </w:t>
      </w:r>
      <w:r w:rsidR="008C73B6" w:rsidRPr="005254A8">
        <w:rPr>
          <w:rFonts w:eastAsia="Calibri"/>
          <w:lang w:val="es-CR"/>
        </w:rPr>
        <w:t xml:space="preserve">268 y 279 de </w:t>
      </w:r>
      <w:r w:rsidR="00633680">
        <w:rPr>
          <w:rFonts w:eastAsia="Calibri"/>
          <w:lang w:val="es-CR"/>
        </w:rPr>
        <w:t>[la]</w:t>
      </w:r>
      <w:r w:rsidR="00633680" w:rsidRPr="005254A8">
        <w:rPr>
          <w:rFonts w:eastAsia="Calibri"/>
          <w:lang w:val="es-CR"/>
        </w:rPr>
        <w:t xml:space="preserve"> </w:t>
      </w:r>
      <w:r w:rsidR="008C73B6" w:rsidRPr="005254A8">
        <w:rPr>
          <w:rFonts w:eastAsia="Calibri"/>
          <w:lang w:val="es-CR"/>
        </w:rPr>
        <w:t>Sentencia, en los términos de los párrafos 326 y 327 de la misma”.</w:t>
      </w:r>
      <w:r w:rsidR="00F7389F">
        <w:rPr>
          <w:rFonts w:eastAsia="Calibri"/>
          <w:lang w:val="es-CR"/>
        </w:rPr>
        <w:t xml:space="preserve"> </w:t>
      </w:r>
      <w:r w:rsidR="00B979D9" w:rsidRPr="00F7389F">
        <w:rPr>
          <w:rFonts w:eastAsia="Calibri"/>
          <w:szCs w:val="20"/>
          <w:lang w:val="es-CR"/>
        </w:rPr>
        <w:t>El Perú sostuvo que p</w:t>
      </w:r>
      <w:r w:rsidR="008C73B6" w:rsidRPr="00F7389F">
        <w:rPr>
          <w:rFonts w:eastAsia="Calibri"/>
          <w:szCs w:val="20"/>
          <w:lang w:val="es-CR"/>
        </w:rPr>
        <w:t xml:space="preserve">ara el adecuado cumplimiento de esta medida </w:t>
      </w:r>
      <w:r w:rsidR="00B979D9" w:rsidRPr="00F7389F">
        <w:rPr>
          <w:rFonts w:eastAsia="Calibri"/>
          <w:szCs w:val="20"/>
          <w:lang w:val="es-CR"/>
        </w:rPr>
        <w:t>de reparación,</w:t>
      </w:r>
      <w:r w:rsidR="008C73B6" w:rsidRPr="00F7389F">
        <w:rPr>
          <w:rFonts w:eastAsia="Calibri"/>
          <w:szCs w:val="20"/>
          <w:lang w:val="es-CR"/>
        </w:rPr>
        <w:t xml:space="preserve"> debe contar con los argumentos claros y precisos sobre el razonamiento empl</w:t>
      </w:r>
      <w:r w:rsidR="00B979D9" w:rsidRPr="00F7389F">
        <w:rPr>
          <w:rFonts w:eastAsia="Calibri"/>
          <w:szCs w:val="20"/>
          <w:lang w:val="es-CR"/>
        </w:rPr>
        <w:t>eado por la Corte</w:t>
      </w:r>
      <w:r w:rsidR="008C73B6" w:rsidRPr="00F7389F">
        <w:rPr>
          <w:rFonts w:eastAsia="Calibri"/>
          <w:szCs w:val="20"/>
          <w:lang w:val="es-CR"/>
        </w:rPr>
        <w:t xml:space="preserve"> para concluir que en la presente controversia hubo un estereotipo de género que llev</w:t>
      </w:r>
      <w:r w:rsidR="00B979D9" w:rsidRPr="00F7389F">
        <w:rPr>
          <w:rFonts w:eastAsia="Calibri"/>
          <w:szCs w:val="20"/>
          <w:lang w:val="es-CR"/>
        </w:rPr>
        <w:t xml:space="preserve">ó a una denegación de justicia, e indicó que se debe </w:t>
      </w:r>
      <w:r w:rsidR="008C73B6" w:rsidRPr="00F7389F">
        <w:rPr>
          <w:rFonts w:eastAsia="Calibri"/>
          <w:szCs w:val="20"/>
          <w:lang w:val="es-CR"/>
        </w:rPr>
        <w:t xml:space="preserve">tomar en cuenta no solo lo señalado en la </w:t>
      </w:r>
      <w:r w:rsidR="00F7389F">
        <w:rPr>
          <w:rFonts w:eastAsia="Calibri"/>
          <w:szCs w:val="20"/>
          <w:lang w:val="es-CR"/>
        </w:rPr>
        <w:t>S</w:t>
      </w:r>
      <w:r w:rsidR="008C73B6" w:rsidRPr="00F7389F">
        <w:rPr>
          <w:rFonts w:eastAsia="Calibri"/>
          <w:szCs w:val="20"/>
          <w:lang w:val="es-CR"/>
        </w:rPr>
        <w:t>entencia, sino lo argumentado por las partes en el proceso.</w:t>
      </w:r>
    </w:p>
    <w:p w:rsidR="005254A8" w:rsidRPr="005254A8" w:rsidRDefault="005254A8" w:rsidP="005254A8">
      <w:pPr>
        <w:pStyle w:val="Prrafodelista"/>
        <w:rPr>
          <w:rFonts w:eastAsia="Calibri"/>
          <w:lang w:val="es-CR"/>
        </w:rPr>
      </w:pPr>
    </w:p>
    <w:p w:rsidR="008C73B6" w:rsidRPr="007E0C08" w:rsidRDefault="005254A8" w:rsidP="00BC3917">
      <w:pPr>
        <w:pStyle w:val="Prrafodelista"/>
        <w:numPr>
          <w:ilvl w:val="0"/>
          <w:numId w:val="1"/>
        </w:numPr>
        <w:tabs>
          <w:tab w:val="clear" w:pos="1247"/>
          <w:tab w:val="num" w:pos="720"/>
        </w:tabs>
        <w:rPr>
          <w:rFonts w:eastAsia="Calibri"/>
          <w:lang w:val="es-CR"/>
        </w:rPr>
      </w:pPr>
      <w:r w:rsidRPr="005254A8">
        <w:rPr>
          <w:rFonts w:eastAsia="Calibri"/>
          <w:szCs w:val="20"/>
          <w:lang w:val="es-CR"/>
        </w:rPr>
        <w:t>Según el Estado, para los</w:t>
      </w:r>
      <w:r w:rsidR="008C73B6" w:rsidRPr="005254A8">
        <w:rPr>
          <w:rFonts w:eastAsia="Calibri"/>
          <w:szCs w:val="20"/>
          <w:lang w:val="es-CR"/>
        </w:rPr>
        <w:t xml:space="preserve"> representantes, el argumento del </w:t>
      </w:r>
      <w:r w:rsidRPr="005254A8">
        <w:rPr>
          <w:rFonts w:eastAsia="Calibri"/>
          <w:szCs w:val="20"/>
          <w:lang w:val="es-CR"/>
        </w:rPr>
        <w:t>estereotipo de genero</w:t>
      </w:r>
      <w:r w:rsidR="00F86B6D" w:rsidRPr="005254A8">
        <w:rPr>
          <w:rFonts w:eastAsia="Calibri"/>
          <w:szCs w:val="20"/>
          <w:lang w:val="es-CR"/>
        </w:rPr>
        <w:t xml:space="preserve"> tuvo como </w:t>
      </w:r>
      <w:r w:rsidR="008C73B6" w:rsidRPr="005254A8">
        <w:rPr>
          <w:rFonts w:eastAsia="Calibri"/>
          <w:szCs w:val="20"/>
          <w:lang w:val="es-CR"/>
        </w:rPr>
        <w:t>consecuencia que en el proceso penal se le aumentara la</w:t>
      </w:r>
      <w:r w:rsidR="00F86B6D" w:rsidRPr="005254A8">
        <w:rPr>
          <w:rFonts w:eastAsia="Calibri"/>
          <w:szCs w:val="20"/>
          <w:lang w:val="es-CR"/>
        </w:rPr>
        <w:t xml:space="preserve"> condena impuesta a la señ</w:t>
      </w:r>
      <w:r w:rsidR="008C73B6" w:rsidRPr="005254A8">
        <w:rPr>
          <w:rFonts w:eastAsia="Calibri"/>
          <w:szCs w:val="20"/>
          <w:lang w:val="es-CR"/>
        </w:rPr>
        <w:t xml:space="preserve">ora Gladys Carol Espinoza </w:t>
      </w:r>
      <w:r w:rsidR="008C73B6" w:rsidRPr="00BC3917">
        <w:rPr>
          <w:lang w:val="es-CR"/>
        </w:rPr>
        <w:t>Gonzales</w:t>
      </w:r>
      <w:r w:rsidR="008C73B6" w:rsidRPr="005254A8">
        <w:rPr>
          <w:rFonts w:eastAsia="Calibri"/>
          <w:szCs w:val="20"/>
          <w:lang w:val="es-CR"/>
        </w:rPr>
        <w:t>, es deci</w:t>
      </w:r>
      <w:r w:rsidR="00F86B6D" w:rsidRPr="005254A8">
        <w:rPr>
          <w:rFonts w:eastAsia="Calibri"/>
          <w:szCs w:val="20"/>
          <w:lang w:val="es-CR"/>
        </w:rPr>
        <w:t xml:space="preserve">r, fue alegada en el sentido de </w:t>
      </w:r>
      <w:r w:rsidR="008C73B6" w:rsidRPr="005254A8">
        <w:rPr>
          <w:rFonts w:eastAsia="Calibri"/>
          <w:szCs w:val="20"/>
          <w:lang w:val="es-CR"/>
        </w:rPr>
        <w:t xml:space="preserve">cuestionar el poder punitivo </w:t>
      </w:r>
      <w:r w:rsidR="008C73B6" w:rsidRPr="005254A8">
        <w:rPr>
          <w:rFonts w:eastAsia="Calibri"/>
          <w:szCs w:val="20"/>
          <w:lang w:val="es-CR"/>
        </w:rPr>
        <w:lastRenderedPageBreak/>
        <w:t>del E</w:t>
      </w:r>
      <w:r w:rsidR="00F86B6D" w:rsidRPr="005254A8">
        <w:rPr>
          <w:rFonts w:eastAsia="Calibri"/>
          <w:szCs w:val="20"/>
          <w:lang w:val="es-CR"/>
        </w:rPr>
        <w:t>stado en cuanto a la delimitació</w:t>
      </w:r>
      <w:r w:rsidRPr="005254A8">
        <w:rPr>
          <w:rFonts w:eastAsia="Calibri"/>
          <w:szCs w:val="20"/>
          <w:lang w:val="es-CR"/>
        </w:rPr>
        <w:t>n de la pena. Asimismo</w:t>
      </w:r>
      <w:r w:rsidR="00633680">
        <w:rPr>
          <w:rFonts w:eastAsia="Calibri"/>
          <w:szCs w:val="20"/>
          <w:lang w:val="es-CR"/>
        </w:rPr>
        <w:t>,</w:t>
      </w:r>
      <w:r w:rsidRPr="005254A8">
        <w:rPr>
          <w:rFonts w:eastAsia="Calibri"/>
          <w:szCs w:val="20"/>
          <w:lang w:val="es-CR"/>
        </w:rPr>
        <w:t xml:space="preserve"> observó que </w:t>
      </w:r>
      <w:r w:rsidR="00F86B6D" w:rsidRPr="005254A8">
        <w:rPr>
          <w:rFonts w:eastAsia="Calibri"/>
          <w:szCs w:val="20"/>
          <w:lang w:val="es-CR"/>
        </w:rPr>
        <w:t>la Corte no abordó</w:t>
      </w:r>
      <w:r w:rsidR="008C73B6" w:rsidRPr="005254A8">
        <w:rPr>
          <w:rFonts w:eastAsia="Calibri"/>
          <w:szCs w:val="20"/>
          <w:lang w:val="es-CR"/>
        </w:rPr>
        <w:t xml:space="preserve"> el tema desde e</w:t>
      </w:r>
      <w:r w:rsidR="00F86B6D" w:rsidRPr="005254A8">
        <w:rPr>
          <w:rFonts w:eastAsia="Calibri"/>
          <w:szCs w:val="20"/>
          <w:lang w:val="es-CR"/>
        </w:rPr>
        <w:t xml:space="preserve">sta perspectiva, sino que asumió el </w:t>
      </w:r>
      <w:r w:rsidR="008C73B6" w:rsidRPr="005254A8">
        <w:rPr>
          <w:rFonts w:eastAsia="Calibri"/>
          <w:szCs w:val="20"/>
          <w:lang w:val="es-CR"/>
        </w:rPr>
        <w:t xml:space="preserve">argumento del estereotipo de </w:t>
      </w:r>
      <w:r w:rsidR="00F86B6D" w:rsidRPr="005254A8">
        <w:rPr>
          <w:rFonts w:eastAsia="Calibri"/>
          <w:szCs w:val="20"/>
          <w:lang w:val="es-CR"/>
        </w:rPr>
        <w:t>género</w:t>
      </w:r>
      <w:r w:rsidR="008C73B6" w:rsidRPr="005254A8">
        <w:rPr>
          <w:rFonts w:eastAsia="Calibri"/>
          <w:szCs w:val="20"/>
          <w:lang w:val="es-CR"/>
        </w:rPr>
        <w:t xml:space="preserve"> par</w:t>
      </w:r>
      <w:r w:rsidR="00F86B6D" w:rsidRPr="005254A8">
        <w:rPr>
          <w:rFonts w:eastAsia="Calibri"/>
          <w:szCs w:val="20"/>
          <w:lang w:val="es-CR"/>
        </w:rPr>
        <w:t xml:space="preserve">a pronunciarse sobre la violación del </w:t>
      </w:r>
      <w:r w:rsidR="008C73B6" w:rsidRPr="005254A8">
        <w:rPr>
          <w:rFonts w:eastAsia="Calibri"/>
          <w:szCs w:val="20"/>
          <w:lang w:val="es-CR"/>
        </w:rPr>
        <w:t>deber de no discriminar contenid</w:t>
      </w:r>
      <w:r w:rsidR="00F86B6D" w:rsidRPr="005254A8">
        <w:rPr>
          <w:rFonts w:eastAsia="Calibri"/>
          <w:szCs w:val="20"/>
          <w:lang w:val="es-CR"/>
        </w:rPr>
        <w:t>o en el art. 1.1 de la Convención Americana con relación a los artí</w:t>
      </w:r>
      <w:r w:rsidR="008C73B6" w:rsidRPr="005254A8">
        <w:rPr>
          <w:rFonts w:eastAsia="Calibri"/>
          <w:szCs w:val="20"/>
          <w:lang w:val="es-CR"/>
        </w:rPr>
        <w:t>culos 8.1 y 25</w:t>
      </w:r>
      <w:r w:rsidR="00F86B6D" w:rsidRPr="005254A8">
        <w:rPr>
          <w:rFonts w:eastAsia="Calibri"/>
          <w:szCs w:val="20"/>
          <w:lang w:val="es-CR"/>
        </w:rPr>
        <w:t xml:space="preserve"> y 2 de la misma, dado que sobre la base de dicho estereotipo no se habrí</w:t>
      </w:r>
      <w:r w:rsidR="008C73B6" w:rsidRPr="005254A8">
        <w:rPr>
          <w:rFonts w:eastAsia="Calibri"/>
          <w:szCs w:val="20"/>
          <w:lang w:val="es-CR"/>
        </w:rPr>
        <w:t>a ordenado inve</w:t>
      </w:r>
      <w:r w:rsidR="00F86B6D" w:rsidRPr="005254A8">
        <w:rPr>
          <w:rFonts w:eastAsia="Calibri"/>
          <w:szCs w:val="20"/>
          <w:lang w:val="es-CR"/>
        </w:rPr>
        <w:t xml:space="preserve">stigar los </w:t>
      </w:r>
      <w:r w:rsidR="00633680">
        <w:rPr>
          <w:rFonts w:eastAsia="Calibri"/>
          <w:szCs w:val="20"/>
          <w:lang w:val="es-CR"/>
        </w:rPr>
        <w:t>actos</w:t>
      </w:r>
      <w:r w:rsidR="00633680" w:rsidRPr="005254A8">
        <w:rPr>
          <w:rFonts w:eastAsia="Calibri"/>
          <w:szCs w:val="20"/>
          <w:lang w:val="es-CR"/>
        </w:rPr>
        <w:t xml:space="preserve"> </w:t>
      </w:r>
      <w:r w:rsidR="00F86B6D" w:rsidRPr="005254A8">
        <w:rPr>
          <w:rFonts w:eastAsia="Calibri"/>
          <w:szCs w:val="20"/>
          <w:lang w:val="es-CR"/>
        </w:rPr>
        <w:t xml:space="preserve">contarios a la </w:t>
      </w:r>
      <w:r w:rsidR="008C73B6" w:rsidRPr="005254A8">
        <w:rPr>
          <w:rFonts w:eastAsia="Calibri"/>
          <w:szCs w:val="20"/>
          <w:lang w:val="es-CR"/>
        </w:rPr>
        <w:t>integridad personal.</w:t>
      </w:r>
      <w:r w:rsidR="00633680">
        <w:rPr>
          <w:rFonts w:eastAsia="Calibri"/>
          <w:szCs w:val="20"/>
          <w:lang w:val="es-CR"/>
        </w:rPr>
        <w:t xml:space="preserve"> </w:t>
      </w:r>
      <w:r w:rsidR="00F86B6D" w:rsidRPr="007E0C08">
        <w:rPr>
          <w:rFonts w:eastAsia="Calibri"/>
          <w:szCs w:val="20"/>
          <w:lang w:val="es-CR"/>
        </w:rPr>
        <w:t>En atenció</w:t>
      </w:r>
      <w:r w:rsidR="008C73B6" w:rsidRPr="007E0C08">
        <w:rPr>
          <w:rFonts w:eastAsia="Calibri"/>
          <w:szCs w:val="20"/>
          <w:lang w:val="es-CR"/>
        </w:rPr>
        <w:t>n</w:t>
      </w:r>
      <w:r w:rsidRPr="007E0C08">
        <w:rPr>
          <w:rFonts w:eastAsia="Calibri"/>
          <w:szCs w:val="20"/>
          <w:lang w:val="es-CR"/>
        </w:rPr>
        <w:t xml:space="preserve"> a ello,</w:t>
      </w:r>
      <w:r w:rsidR="008C73B6" w:rsidRPr="007E0C08">
        <w:rPr>
          <w:rFonts w:eastAsia="Calibri"/>
          <w:szCs w:val="20"/>
          <w:lang w:val="es-CR"/>
        </w:rPr>
        <w:t xml:space="preserve"> el Estado</w:t>
      </w:r>
      <w:r w:rsidRPr="007E0C08">
        <w:rPr>
          <w:rFonts w:eastAsia="Calibri"/>
          <w:szCs w:val="20"/>
          <w:lang w:val="es-CR"/>
        </w:rPr>
        <w:t xml:space="preserve"> solicitó al Tribunal</w:t>
      </w:r>
      <w:r w:rsidR="00F86B6D" w:rsidRPr="007E0C08">
        <w:rPr>
          <w:rFonts w:eastAsia="Calibri"/>
          <w:szCs w:val="20"/>
          <w:lang w:val="es-CR"/>
        </w:rPr>
        <w:t xml:space="preserve"> que</w:t>
      </w:r>
      <w:r w:rsidRPr="007E0C08">
        <w:rPr>
          <w:rFonts w:eastAsia="Calibri"/>
          <w:szCs w:val="20"/>
          <w:lang w:val="es-CR"/>
        </w:rPr>
        <w:t xml:space="preserve"> señalé “[c]</w:t>
      </w:r>
      <w:proofErr w:type="spellStart"/>
      <w:r w:rsidRPr="007E0C08">
        <w:rPr>
          <w:rFonts w:eastAsia="Calibri"/>
          <w:szCs w:val="20"/>
          <w:lang w:val="es-CR"/>
        </w:rPr>
        <w:t>uál</w:t>
      </w:r>
      <w:proofErr w:type="spellEnd"/>
      <w:r w:rsidR="008C73B6" w:rsidRPr="007E0C08">
        <w:rPr>
          <w:rFonts w:eastAsia="Calibri"/>
          <w:szCs w:val="20"/>
          <w:lang w:val="es-CR"/>
        </w:rPr>
        <w:t xml:space="preserve"> es </w:t>
      </w:r>
      <w:r w:rsidR="00F86B6D" w:rsidRPr="007E0C08">
        <w:rPr>
          <w:rFonts w:eastAsia="Calibri"/>
          <w:szCs w:val="20"/>
          <w:lang w:val="es-CR"/>
        </w:rPr>
        <w:t>el razonamiento empleado</w:t>
      </w:r>
      <w:r w:rsidRPr="007E0C08">
        <w:rPr>
          <w:rFonts w:eastAsia="Calibri"/>
          <w:szCs w:val="20"/>
          <w:lang w:val="es-CR"/>
        </w:rPr>
        <w:t xml:space="preserve"> […]</w:t>
      </w:r>
      <w:r w:rsidR="008C73B6" w:rsidRPr="007E0C08">
        <w:rPr>
          <w:rFonts w:eastAsia="Calibri"/>
          <w:szCs w:val="20"/>
          <w:lang w:val="es-CR"/>
        </w:rPr>
        <w:t xml:space="preserve"> para concluir que el estereotipo identifi</w:t>
      </w:r>
      <w:r w:rsidR="00F86B6D" w:rsidRPr="007E0C08">
        <w:rPr>
          <w:rFonts w:eastAsia="Calibri"/>
          <w:szCs w:val="20"/>
          <w:lang w:val="es-CR"/>
        </w:rPr>
        <w:t xml:space="preserve">cado en el presente caso impactó </w:t>
      </w:r>
      <w:r w:rsidR="008C73B6" w:rsidRPr="007E0C08">
        <w:rPr>
          <w:rFonts w:eastAsia="Calibri"/>
          <w:szCs w:val="20"/>
          <w:lang w:val="es-CR"/>
        </w:rPr>
        <w:t>directament</w:t>
      </w:r>
      <w:r w:rsidR="00F86B6D" w:rsidRPr="007E0C08">
        <w:rPr>
          <w:rFonts w:eastAsia="Calibri"/>
          <w:szCs w:val="20"/>
          <w:lang w:val="es-CR"/>
        </w:rPr>
        <w:t>e en la decisió</w:t>
      </w:r>
      <w:r w:rsidR="008C73B6" w:rsidRPr="007E0C08">
        <w:rPr>
          <w:rFonts w:eastAsia="Calibri"/>
          <w:szCs w:val="20"/>
          <w:lang w:val="es-CR"/>
        </w:rPr>
        <w:t>n de no investigar las</w:t>
      </w:r>
      <w:r w:rsidR="00F86B6D" w:rsidRPr="007E0C08">
        <w:rPr>
          <w:rFonts w:eastAsia="Calibri"/>
          <w:szCs w:val="20"/>
          <w:lang w:val="es-CR"/>
        </w:rPr>
        <w:t xml:space="preserve"> denuncias de tortura y violación </w:t>
      </w:r>
      <w:r w:rsidR="008C73B6" w:rsidRPr="007E0C08">
        <w:rPr>
          <w:rFonts w:eastAsia="Calibri"/>
          <w:szCs w:val="20"/>
          <w:lang w:val="es-CR"/>
        </w:rPr>
        <w:t>sexual y no, como lo indicaron los representante</w:t>
      </w:r>
      <w:r w:rsidR="00F86B6D" w:rsidRPr="007E0C08">
        <w:rPr>
          <w:rFonts w:eastAsia="Calibri"/>
          <w:szCs w:val="20"/>
          <w:lang w:val="es-CR"/>
        </w:rPr>
        <w:t xml:space="preserve">s, para aumentar la pena por la </w:t>
      </w:r>
      <w:r w:rsidR="008C73B6" w:rsidRPr="007E0C08">
        <w:rPr>
          <w:rFonts w:eastAsia="Calibri"/>
          <w:szCs w:val="20"/>
          <w:lang w:val="es-CR"/>
        </w:rPr>
        <w:t xml:space="preserve">Sala Penal </w:t>
      </w:r>
      <w:r w:rsidRPr="007E0C08">
        <w:rPr>
          <w:rFonts w:eastAsia="Calibri"/>
          <w:szCs w:val="20"/>
          <w:lang w:val="es-CR"/>
        </w:rPr>
        <w:t>de la Corte Suprema de Justicia</w:t>
      </w:r>
      <w:r w:rsidR="004A1487" w:rsidRPr="007E0C08">
        <w:rPr>
          <w:rFonts w:eastAsia="Calibri"/>
          <w:szCs w:val="20"/>
          <w:lang w:val="es-CR"/>
        </w:rPr>
        <w:t>”</w:t>
      </w:r>
      <w:r w:rsidRPr="007E0C08">
        <w:rPr>
          <w:rFonts w:eastAsia="Calibri"/>
          <w:szCs w:val="20"/>
          <w:lang w:val="es-CR"/>
        </w:rPr>
        <w:t xml:space="preserve">. </w:t>
      </w:r>
      <w:r w:rsidR="00633680">
        <w:rPr>
          <w:rFonts w:eastAsia="Calibri"/>
          <w:szCs w:val="20"/>
          <w:lang w:val="es-CR"/>
        </w:rPr>
        <w:t>S</w:t>
      </w:r>
      <w:r w:rsidRPr="007E0C08">
        <w:rPr>
          <w:rFonts w:eastAsia="Calibri"/>
          <w:szCs w:val="20"/>
          <w:lang w:val="es-CR"/>
        </w:rPr>
        <w:t xml:space="preserve">ostuvo que </w:t>
      </w:r>
      <w:r w:rsidR="008C73B6" w:rsidRPr="007E0C08">
        <w:rPr>
          <w:rFonts w:eastAsia="Calibri"/>
          <w:szCs w:val="20"/>
          <w:lang w:val="es-CR"/>
        </w:rPr>
        <w:t xml:space="preserve">una respuesta clara a este tema </w:t>
      </w:r>
      <w:r w:rsidR="00F86B6D" w:rsidRPr="007E0C08">
        <w:rPr>
          <w:rFonts w:eastAsia="Calibri"/>
          <w:szCs w:val="20"/>
          <w:lang w:val="es-CR"/>
        </w:rPr>
        <w:t xml:space="preserve">permitirá al Estado cumplir </w:t>
      </w:r>
      <w:r w:rsidR="008C73B6" w:rsidRPr="007E0C08">
        <w:rPr>
          <w:rFonts w:eastAsia="Calibri"/>
          <w:szCs w:val="20"/>
          <w:lang w:val="es-CR"/>
        </w:rPr>
        <w:t>adecua</w:t>
      </w:r>
      <w:r w:rsidR="00F86B6D" w:rsidRPr="007E0C08">
        <w:rPr>
          <w:rFonts w:eastAsia="Calibri"/>
          <w:szCs w:val="20"/>
          <w:lang w:val="es-CR"/>
        </w:rPr>
        <w:t xml:space="preserve">damente las medidas de reparación orientadas a la no repetición de los </w:t>
      </w:r>
      <w:r w:rsidR="008C73B6" w:rsidRPr="007E0C08">
        <w:rPr>
          <w:rFonts w:eastAsia="Calibri"/>
          <w:szCs w:val="20"/>
          <w:lang w:val="es-CR"/>
        </w:rPr>
        <w:t>hechos, en especia</w:t>
      </w:r>
      <w:r w:rsidR="00F86B6D" w:rsidRPr="007E0C08">
        <w:rPr>
          <w:rFonts w:eastAsia="Calibri"/>
          <w:szCs w:val="20"/>
          <w:lang w:val="es-CR"/>
        </w:rPr>
        <w:t>l las actividades de capacitación a funcionarios responsables de la investigació</w:t>
      </w:r>
      <w:r w:rsidR="008C73B6" w:rsidRPr="007E0C08">
        <w:rPr>
          <w:rFonts w:eastAsia="Calibri"/>
          <w:szCs w:val="20"/>
          <w:lang w:val="es-CR"/>
        </w:rPr>
        <w:t>n penal de cualquier acto contrario a la integridad personal.</w:t>
      </w:r>
    </w:p>
    <w:p w:rsidR="00E2210E" w:rsidRPr="005254A8" w:rsidRDefault="00E2210E" w:rsidP="00F86B6D">
      <w:pPr>
        <w:jc w:val="both"/>
        <w:rPr>
          <w:lang w:val="es-CR"/>
        </w:rPr>
      </w:pPr>
    </w:p>
    <w:p w:rsidR="00E2210E" w:rsidRDefault="00E2210E" w:rsidP="00BC3917">
      <w:pPr>
        <w:pStyle w:val="Prrafodelista"/>
        <w:numPr>
          <w:ilvl w:val="0"/>
          <w:numId w:val="1"/>
        </w:numPr>
        <w:tabs>
          <w:tab w:val="clear" w:pos="1247"/>
          <w:tab w:val="num" w:pos="720"/>
        </w:tabs>
        <w:rPr>
          <w:lang w:val="es-CR"/>
        </w:rPr>
      </w:pPr>
      <w:r w:rsidRPr="005254A8">
        <w:rPr>
          <w:lang w:val="es-CR"/>
        </w:rPr>
        <w:t xml:space="preserve">Los </w:t>
      </w:r>
      <w:r w:rsidRPr="005254A8">
        <w:rPr>
          <w:b/>
          <w:i/>
          <w:lang w:val="es-CR"/>
        </w:rPr>
        <w:t>representantes</w:t>
      </w:r>
      <w:r w:rsidR="00C03AC2">
        <w:rPr>
          <w:lang w:val="es-CR"/>
        </w:rPr>
        <w:t xml:space="preserve"> </w:t>
      </w:r>
      <w:r w:rsidR="00C03AC2" w:rsidRPr="00C03AC2">
        <w:rPr>
          <w:lang w:val="es-CR"/>
        </w:rPr>
        <w:t>considera</w:t>
      </w:r>
      <w:r w:rsidR="00C03AC2">
        <w:rPr>
          <w:lang w:val="es-CR"/>
        </w:rPr>
        <w:t>ron</w:t>
      </w:r>
      <w:r w:rsidR="00C03AC2" w:rsidRPr="00C03AC2">
        <w:rPr>
          <w:lang w:val="es-CR"/>
        </w:rPr>
        <w:t xml:space="preserve"> </w:t>
      </w:r>
      <w:r w:rsidR="00C03AC2">
        <w:rPr>
          <w:lang w:val="es-CR"/>
        </w:rPr>
        <w:t xml:space="preserve">que </w:t>
      </w:r>
      <w:r w:rsidR="00C03AC2" w:rsidRPr="00C03AC2">
        <w:rPr>
          <w:lang w:val="es-CR"/>
        </w:rPr>
        <w:t>en los párrafos 35 al 38</w:t>
      </w:r>
      <w:r w:rsidR="00C03AC2">
        <w:rPr>
          <w:lang w:val="es-CR"/>
        </w:rPr>
        <w:t xml:space="preserve"> de la Sentencia,</w:t>
      </w:r>
      <w:r w:rsidR="00C03AC2" w:rsidRPr="00C03AC2">
        <w:rPr>
          <w:lang w:val="es-CR"/>
        </w:rPr>
        <w:t xml:space="preserve"> </w:t>
      </w:r>
      <w:r w:rsidR="00020E00">
        <w:rPr>
          <w:lang w:val="es-CR"/>
        </w:rPr>
        <w:t>el Tribunal</w:t>
      </w:r>
      <w:r w:rsidR="00C03AC2">
        <w:rPr>
          <w:lang w:val="es-CR"/>
        </w:rPr>
        <w:t xml:space="preserve"> expresó</w:t>
      </w:r>
      <w:r w:rsidR="00C03AC2" w:rsidRPr="00C03AC2">
        <w:rPr>
          <w:lang w:val="es-CR"/>
        </w:rPr>
        <w:t xml:space="preserve"> claramente que las sentencias del procedimiento penal seguido ante la Sala Nacional</w:t>
      </w:r>
      <w:r w:rsidR="00C03AC2">
        <w:rPr>
          <w:lang w:val="es-CR"/>
        </w:rPr>
        <w:t xml:space="preserve"> </w:t>
      </w:r>
      <w:r w:rsidR="00C03AC2" w:rsidRPr="00C03AC2">
        <w:rPr>
          <w:lang w:val="es-CR"/>
        </w:rPr>
        <w:t>de Terrorismo y la Sala Penal Permanente de la Corte Suprema del año 2004 ser</w:t>
      </w:r>
      <w:r w:rsidR="00FA5575">
        <w:rPr>
          <w:lang w:val="es-CR"/>
        </w:rPr>
        <w:t>ía</w:t>
      </w:r>
      <w:r w:rsidR="00C03AC2" w:rsidRPr="00C03AC2">
        <w:rPr>
          <w:lang w:val="es-CR"/>
        </w:rPr>
        <w:t>n</w:t>
      </w:r>
      <w:r w:rsidR="00C03AC2">
        <w:rPr>
          <w:lang w:val="es-CR"/>
        </w:rPr>
        <w:t xml:space="preserve"> </w:t>
      </w:r>
      <w:r w:rsidR="00C03AC2" w:rsidRPr="00C03AC2">
        <w:rPr>
          <w:lang w:val="es-CR"/>
        </w:rPr>
        <w:t>consideradas por la Corte Interamericana, “únicamente en lo que respecta al análisis de la</w:t>
      </w:r>
      <w:r w:rsidR="00C03AC2">
        <w:rPr>
          <w:lang w:val="es-CR"/>
        </w:rPr>
        <w:t xml:space="preserve"> </w:t>
      </w:r>
      <w:r w:rsidR="00C03AC2" w:rsidRPr="00C03AC2">
        <w:rPr>
          <w:lang w:val="es-CR"/>
        </w:rPr>
        <w:t>alegada falta de investigación de los hechos de tortura y violencia sexual en perjuicio de Gladys</w:t>
      </w:r>
      <w:r w:rsidR="00C03AC2">
        <w:rPr>
          <w:lang w:val="es-CR"/>
        </w:rPr>
        <w:t xml:space="preserve"> </w:t>
      </w:r>
      <w:r w:rsidR="00C03AC2" w:rsidRPr="00C03AC2">
        <w:rPr>
          <w:lang w:val="es-CR"/>
        </w:rPr>
        <w:t>Espinoza presuntamente ocurr</w:t>
      </w:r>
      <w:r w:rsidR="00C03AC2">
        <w:rPr>
          <w:lang w:val="es-CR"/>
        </w:rPr>
        <w:t>idos en los años 1993 y 1999”</w:t>
      </w:r>
      <w:r w:rsidR="007E0C08">
        <w:rPr>
          <w:lang w:val="es-CR"/>
        </w:rPr>
        <w:t>.</w:t>
      </w:r>
      <w:r w:rsidR="00C03AC2">
        <w:rPr>
          <w:lang w:val="es-CR"/>
        </w:rPr>
        <w:t xml:space="preserve"> </w:t>
      </w:r>
      <w:r w:rsidR="00FA5575">
        <w:rPr>
          <w:lang w:val="es-CR"/>
        </w:rPr>
        <w:t>S</w:t>
      </w:r>
      <w:r w:rsidR="00C03AC2">
        <w:rPr>
          <w:lang w:val="es-CR"/>
        </w:rPr>
        <w:t>eñalaron que</w:t>
      </w:r>
      <w:r w:rsidR="00C03AC2" w:rsidRPr="00C03AC2">
        <w:rPr>
          <w:lang w:val="es-CR"/>
        </w:rPr>
        <w:t>, en los párrafos 269 a 279 de dicha Sentencia,</w:t>
      </w:r>
      <w:r w:rsidR="00C03AC2">
        <w:rPr>
          <w:lang w:val="es-CR"/>
        </w:rPr>
        <w:t xml:space="preserve"> se</w:t>
      </w:r>
      <w:r w:rsidR="00C03AC2" w:rsidRPr="00C03AC2">
        <w:rPr>
          <w:lang w:val="es-CR"/>
        </w:rPr>
        <w:t xml:space="preserve"> fundamenta</w:t>
      </w:r>
      <w:r w:rsidR="00FD4E09">
        <w:rPr>
          <w:lang w:val="es-CR"/>
        </w:rPr>
        <w:t>n</w:t>
      </w:r>
      <w:r w:rsidR="00C03AC2" w:rsidRPr="00C03AC2">
        <w:rPr>
          <w:lang w:val="es-CR"/>
        </w:rPr>
        <w:t xml:space="preserve"> los criterios por los</w:t>
      </w:r>
      <w:r w:rsidR="00C03AC2">
        <w:rPr>
          <w:lang w:val="es-CR"/>
        </w:rPr>
        <w:t xml:space="preserve"> </w:t>
      </w:r>
      <w:r w:rsidR="00C03AC2" w:rsidRPr="00C03AC2">
        <w:rPr>
          <w:lang w:val="es-CR"/>
        </w:rPr>
        <w:t>c</w:t>
      </w:r>
      <w:r w:rsidR="00C03AC2">
        <w:rPr>
          <w:lang w:val="es-CR"/>
        </w:rPr>
        <w:t>ua</w:t>
      </w:r>
      <w:r w:rsidR="004A1487">
        <w:rPr>
          <w:lang w:val="es-CR"/>
        </w:rPr>
        <w:t>les se consideró</w:t>
      </w:r>
      <w:r w:rsidR="00C03AC2" w:rsidRPr="00C03AC2">
        <w:rPr>
          <w:lang w:val="es-CR"/>
        </w:rPr>
        <w:t xml:space="preserve"> que las autoridades judiciales -en base a un estereotipo de género- no</w:t>
      </w:r>
      <w:r w:rsidR="00C03AC2">
        <w:rPr>
          <w:lang w:val="es-CR"/>
        </w:rPr>
        <w:t xml:space="preserve"> </w:t>
      </w:r>
      <w:r w:rsidR="00C03AC2" w:rsidRPr="00C03AC2">
        <w:rPr>
          <w:lang w:val="es-CR"/>
        </w:rPr>
        <w:t>impulsaron una investigación de los hechos de tortura y violencia sexual que la víctima</w:t>
      </w:r>
      <w:r w:rsidR="00C03AC2">
        <w:rPr>
          <w:lang w:val="es-CR"/>
        </w:rPr>
        <w:t xml:space="preserve"> </w:t>
      </w:r>
      <w:r w:rsidR="00C03AC2" w:rsidRPr="00C03AC2">
        <w:rPr>
          <w:lang w:val="es-CR"/>
        </w:rPr>
        <w:t>denuncio de manera oportuna.</w:t>
      </w:r>
      <w:r w:rsidR="00FA5575">
        <w:rPr>
          <w:lang w:val="es-CR"/>
        </w:rPr>
        <w:t xml:space="preserve"> </w:t>
      </w:r>
      <w:r w:rsidR="00915180">
        <w:rPr>
          <w:lang w:val="es-CR"/>
        </w:rPr>
        <w:t>Por otro lado</w:t>
      </w:r>
      <w:r w:rsidR="00B81DCD">
        <w:rPr>
          <w:lang w:val="es-CR"/>
        </w:rPr>
        <w:t xml:space="preserve">, destacaron </w:t>
      </w:r>
      <w:r w:rsidR="00C03AC2" w:rsidRPr="00C03AC2">
        <w:rPr>
          <w:lang w:val="es-CR"/>
        </w:rPr>
        <w:t>que la solicitud del Estado se refiere a la forma en que debe</w:t>
      </w:r>
      <w:r w:rsidR="00C03AC2">
        <w:rPr>
          <w:lang w:val="es-CR"/>
        </w:rPr>
        <w:t xml:space="preserve"> </w:t>
      </w:r>
      <w:r w:rsidR="00C03AC2" w:rsidRPr="00C03AC2">
        <w:rPr>
          <w:lang w:val="es-CR"/>
        </w:rPr>
        <w:t>implementarse una de las reparaciones ordenadas por la Corte en el punto resolutivo 14</w:t>
      </w:r>
      <w:r w:rsidR="00C03AC2">
        <w:rPr>
          <w:lang w:val="es-CR"/>
        </w:rPr>
        <w:t xml:space="preserve"> </w:t>
      </w:r>
      <w:r w:rsidR="00C03AC2" w:rsidRPr="00C03AC2">
        <w:rPr>
          <w:lang w:val="es-CR"/>
        </w:rPr>
        <w:t>respecto a la realización de cursos de capacitación en materia de investigación de violencia</w:t>
      </w:r>
      <w:r w:rsidR="00A503DF">
        <w:rPr>
          <w:lang w:val="es-CR"/>
        </w:rPr>
        <w:t xml:space="preserve"> </w:t>
      </w:r>
      <w:r w:rsidR="00A503DF" w:rsidRPr="00A503DF">
        <w:rPr>
          <w:lang w:val="es-CR"/>
        </w:rPr>
        <w:t>sexual y tortura. En este sentido, además de considerar que los estándares están claros y</w:t>
      </w:r>
      <w:r w:rsidR="00A503DF">
        <w:rPr>
          <w:lang w:val="es-CR"/>
        </w:rPr>
        <w:t xml:space="preserve"> </w:t>
      </w:r>
      <w:r w:rsidR="00A503DF" w:rsidRPr="00A503DF">
        <w:rPr>
          <w:lang w:val="es-CR"/>
        </w:rPr>
        <w:t xml:space="preserve">fueron ampliamente desarrollados por la Corte, </w:t>
      </w:r>
      <w:r w:rsidR="00F77D1B">
        <w:rPr>
          <w:lang w:val="es-CR"/>
        </w:rPr>
        <w:t xml:space="preserve">señalaron que </w:t>
      </w:r>
      <w:r w:rsidR="00A503DF" w:rsidRPr="00A503DF">
        <w:rPr>
          <w:lang w:val="es-CR"/>
        </w:rPr>
        <w:t>será en la etapa de supervisión de</w:t>
      </w:r>
      <w:r w:rsidR="00A503DF">
        <w:rPr>
          <w:lang w:val="es-CR"/>
        </w:rPr>
        <w:t xml:space="preserve"> </w:t>
      </w:r>
      <w:r w:rsidR="00A503DF" w:rsidRPr="00A503DF">
        <w:rPr>
          <w:lang w:val="es-CR"/>
        </w:rPr>
        <w:t>cumplimiento que la Corte podrá evaluar si la reparación ordenada está siendo correctamente</w:t>
      </w:r>
      <w:r w:rsidR="00A503DF">
        <w:rPr>
          <w:lang w:val="es-CR"/>
        </w:rPr>
        <w:t xml:space="preserve"> </w:t>
      </w:r>
      <w:r w:rsidR="00A503DF" w:rsidRPr="00A503DF">
        <w:rPr>
          <w:lang w:val="es-CR"/>
        </w:rPr>
        <w:t xml:space="preserve">implementada por el Estado. </w:t>
      </w:r>
    </w:p>
    <w:p w:rsidR="00A503DF" w:rsidRDefault="00A503DF" w:rsidP="00A503DF">
      <w:pPr>
        <w:pStyle w:val="Prrafodelista"/>
        <w:rPr>
          <w:lang w:val="es-CR"/>
        </w:rPr>
      </w:pPr>
    </w:p>
    <w:p w:rsidR="00E2210E" w:rsidRPr="004225D6" w:rsidRDefault="00E2210E" w:rsidP="00BC3917">
      <w:pPr>
        <w:pStyle w:val="Prrafodelista"/>
        <w:numPr>
          <w:ilvl w:val="0"/>
          <w:numId w:val="1"/>
        </w:numPr>
        <w:tabs>
          <w:tab w:val="clear" w:pos="1247"/>
          <w:tab w:val="num" w:pos="720"/>
        </w:tabs>
        <w:rPr>
          <w:lang w:val="es-CR"/>
        </w:rPr>
      </w:pPr>
      <w:r w:rsidRPr="005254A8">
        <w:rPr>
          <w:lang w:val="es-CR"/>
        </w:rPr>
        <w:t xml:space="preserve">La </w:t>
      </w:r>
      <w:r w:rsidRPr="005254A8">
        <w:rPr>
          <w:b/>
          <w:i/>
          <w:lang w:val="es-CR"/>
        </w:rPr>
        <w:t>Comisión</w:t>
      </w:r>
      <w:r w:rsidRPr="005254A8">
        <w:rPr>
          <w:lang w:val="es-CR"/>
        </w:rPr>
        <w:t xml:space="preserve"> </w:t>
      </w:r>
      <w:r w:rsidR="002A7F79">
        <w:rPr>
          <w:lang w:val="es-CR"/>
        </w:rPr>
        <w:t>ent</w:t>
      </w:r>
      <w:r w:rsidR="0053279F">
        <w:rPr>
          <w:lang w:val="es-CR"/>
        </w:rPr>
        <w:t>endió</w:t>
      </w:r>
      <w:r w:rsidR="002A7F79">
        <w:rPr>
          <w:lang w:val="es-CR"/>
        </w:rPr>
        <w:t xml:space="preserve"> que l</w:t>
      </w:r>
      <w:r w:rsidR="002A7F79" w:rsidRPr="002A7F79">
        <w:rPr>
          <w:lang w:val="es-CR"/>
        </w:rPr>
        <w:t>a</w:t>
      </w:r>
      <w:r w:rsidR="002A7F79">
        <w:rPr>
          <w:lang w:val="es-CR"/>
        </w:rPr>
        <w:t xml:space="preserve"> Corte, en los pá</w:t>
      </w:r>
      <w:r w:rsidR="002A7F79" w:rsidRPr="002A7F79">
        <w:rPr>
          <w:lang w:val="es-CR"/>
        </w:rPr>
        <w:t>rra</w:t>
      </w:r>
      <w:r w:rsidR="00536C77">
        <w:rPr>
          <w:lang w:val="es-CR"/>
        </w:rPr>
        <w:t>fos 269 al 279 de su S</w:t>
      </w:r>
      <w:r w:rsidR="002A7F79">
        <w:rPr>
          <w:lang w:val="es-CR"/>
        </w:rPr>
        <w:t>entencia, describió</w:t>
      </w:r>
      <w:r w:rsidR="002A7F79" w:rsidRPr="002A7F79">
        <w:rPr>
          <w:lang w:val="es-CR"/>
        </w:rPr>
        <w:t xml:space="preserve"> con claridad que las autoridades judiciales</w:t>
      </w:r>
      <w:r w:rsidR="002A7F79">
        <w:rPr>
          <w:lang w:val="es-CR"/>
        </w:rPr>
        <w:t xml:space="preserve"> </w:t>
      </w:r>
      <w:r w:rsidR="002A7F79" w:rsidRPr="002A7F79">
        <w:rPr>
          <w:lang w:val="es-CR"/>
        </w:rPr>
        <w:t>omitieron ordenar una investigación de los hechos de tortura denunciados por Gladys Espinoza con base en</w:t>
      </w:r>
      <w:r w:rsidR="002A7F79">
        <w:rPr>
          <w:lang w:val="es-CR"/>
        </w:rPr>
        <w:t xml:space="preserve"> </w:t>
      </w:r>
      <w:r w:rsidR="00AB2F93">
        <w:rPr>
          <w:lang w:val="es-CR"/>
        </w:rPr>
        <w:t>un estereotipo de género</w:t>
      </w:r>
      <w:r w:rsidR="002A7F79" w:rsidRPr="002A7F79">
        <w:rPr>
          <w:lang w:val="es-CR"/>
        </w:rPr>
        <w:t xml:space="preserve"> que fue nombrado y descrito con precisión por</w:t>
      </w:r>
      <w:r w:rsidR="002A7F79">
        <w:rPr>
          <w:lang w:val="es-CR"/>
        </w:rPr>
        <w:t xml:space="preserve"> la Corte. Asimismo, </w:t>
      </w:r>
      <w:r w:rsidR="00F77D1B">
        <w:rPr>
          <w:lang w:val="es-CR"/>
        </w:rPr>
        <w:t xml:space="preserve">el Tribunal </w:t>
      </w:r>
      <w:r w:rsidR="002A7F79">
        <w:rPr>
          <w:lang w:val="es-CR"/>
        </w:rPr>
        <w:t>describió</w:t>
      </w:r>
      <w:r w:rsidR="002A7F79" w:rsidRPr="002A7F79">
        <w:rPr>
          <w:lang w:val="es-CR"/>
        </w:rPr>
        <w:t xml:space="preserve"> que el</w:t>
      </w:r>
      <w:r w:rsidR="002A7F79">
        <w:rPr>
          <w:lang w:val="es-CR"/>
        </w:rPr>
        <w:t xml:space="preserve"> estereotipo de </w:t>
      </w:r>
      <w:r w:rsidR="00A503DF">
        <w:rPr>
          <w:lang w:val="es-CR"/>
        </w:rPr>
        <w:t>género</w:t>
      </w:r>
      <w:r w:rsidR="002A7F79" w:rsidRPr="002A7F79">
        <w:rPr>
          <w:lang w:val="es-CR"/>
        </w:rPr>
        <w:t xml:space="preserve"> fue aplic</w:t>
      </w:r>
      <w:r w:rsidR="002A7F79">
        <w:rPr>
          <w:lang w:val="es-CR"/>
        </w:rPr>
        <w:t>ado en un contexto donde existió un patró</w:t>
      </w:r>
      <w:r w:rsidR="002A7F79" w:rsidRPr="002A7F79">
        <w:rPr>
          <w:lang w:val="es-CR"/>
        </w:rPr>
        <w:t>n de tortura y de violencia sexual</w:t>
      </w:r>
      <w:r w:rsidR="002A7F79">
        <w:rPr>
          <w:lang w:val="es-CR"/>
        </w:rPr>
        <w:t xml:space="preserve"> </w:t>
      </w:r>
      <w:r w:rsidR="002A7F79" w:rsidRPr="002A7F79">
        <w:rPr>
          <w:lang w:val="es-CR"/>
        </w:rPr>
        <w:t>aplicada discriminatoriamente en perjuicio de las mujeres en el m</w:t>
      </w:r>
      <w:r w:rsidR="004225D6">
        <w:rPr>
          <w:lang w:val="es-CR"/>
        </w:rPr>
        <w:t>arco de investigaciones por razó</w:t>
      </w:r>
      <w:r w:rsidR="002A7F79" w:rsidRPr="002A7F79">
        <w:rPr>
          <w:lang w:val="es-CR"/>
        </w:rPr>
        <w:t>n de</w:t>
      </w:r>
      <w:r w:rsidR="004225D6">
        <w:rPr>
          <w:lang w:val="es-CR"/>
        </w:rPr>
        <w:t xml:space="preserve"> </w:t>
      </w:r>
      <w:r w:rsidR="002A7F79" w:rsidRPr="004225D6">
        <w:rPr>
          <w:lang w:val="es-CR"/>
        </w:rPr>
        <w:t>terrorismo y</w:t>
      </w:r>
      <w:r w:rsidR="004225D6">
        <w:rPr>
          <w:lang w:val="es-CR"/>
        </w:rPr>
        <w:t xml:space="preserve"> en el cual era común l</w:t>
      </w:r>
      <w:r w:rsidR="002A7F79" w:rsidRPr="004225D6">
        <w:rPr>
          <w:lang w:val="es-CR"/>
        </w:rPr>
        <w:t xml:space="preserve">a presencia de dichos </w:t>
      </w:r>
      <w:r w:rsidR="004225D6">
        <w:rPr>
          <w:lang w:val="es-CR"/>
        </w:rPr>
        <w:t xml:space="preserve">estereotipos. En consecuencia, </w:t>
      </w:r>
      <w:r w:rsidR="0053279F">
        <w:rPr>
          <w:lang w:val="es-CR"/>
        </w:rPr>
        <w:t>consideró</w:t>
      </w:r>
      <w:r w:rsidR="004225D6">
        <w:rPr>
          <w:lang w:val="es-CR"/>
        </w:rPr>
        <w:t xml:space="preserve"> que la motivación de l</w:t>
      </w:r>
      <w:r w:rsidR="002A7F79" w:rsidRPr="004225D6">
        <w:rPr>
          <w:lang w:val="es-CR"/>
        </w:rPr>
        <w:t>a Corte respecto a este</w:t>
      </w:r>
      <w:r w:rsidR="004225D6">
        <w:rPr>
          <w:lang w:val="es-CR"/>
        </w:rPr>
        <w:t xml:space="preserve"> punto</w:t>
      </w:r>
      <w:r w:rsidR="002A7F79" w:rsidRPr="004225D6">
        <w:rPr>
          <w:lang w:val="es-CR"/>
        </w:rPr>
        <w:t xml:space="preserve"> no adolece de falta de claridad.</w:t>
      </w:r>
    </w:p>
    <w:p w:rsidR="00E2210E" w:rsidRPr="005254A8" w:rsidRDefault="00E2210E" w:rsidP="00E2210E">
      <w:pPr>
        <w:ind w:left="426"/>
        <w:jc w:val="both"/>
        <w:rPr>
          <w:lang w:val="es-CR"/>
        </w:rPr>
      </w:pPr>
    </w:p>
    <w:p w:rsidR="00E2210E" w:rsidRPr="005254A8" w:rsidRDefault="0053279F" w:rsidP="00E2210E">
      <w:pPr>
        <w:ind w:firstLine="708"/>
        <w:jc w:val="both"/>
        <w:rPr>
          <w:rFonts w:cs="Arial"/>
          <w:i/>
          <w:lang w:val="es-CR"/>
        </w:rPr>
      </w:pPr>
      <w:r>
        <w:rPr>
          <w:rFonts w:cs="Arial"/>
          <w:i/>
          <w:lang w:val="es-CR"/>
        </w:rPr>
        <w:t xml:space="preserve">C.2. </w:t>
      </w:r>
      <w:r w:rsidR="00E2210E" w:rsidRPr="005254A8">
        <w:rPr>
          <w:rFonts w:cs="Arial"/>
          <w:i/>
          <w:lang w:val="es-CR"/>
        </w:rPr>
        <w:t>Consideraciones de la Cort</w:t>
      </w:r>
      <w:r w:rsidR="00525D47">
        <w:rPr>
          <w:rFonts w:cs="Arial"/>
          <w:i/>
          <w:lang w:val="es-CR"/>
        </w:rPr>
        <w:t>e</w:t>
      </w:r>
    </w:p>
    <w:p w:rsidR="00E2210E" w:rsidRPr="005254A8" w:rsidRDefault="00E2210E" w:rsidP="00E2210E">
      <w:pPr>
        <w:jc w:val="both"/>
        <w:rPr>
          <w:rFonts w:cs="Arial"/>
          <w:i/>
          <w:lang w:val="es-CR"/>
        </w:rPr>
      </w:pPr>
    </w:p>
    <w:p w:rsidR="002C15A3" w:rsidRPr="002C15A3" w:rsidRDefault="00A75F15" w:rsidP="00BC3917">
      <w:pPr>
        <w:pStyle w:val="Prrafodelista"/>
        <w:numPr>
          <w:ilvl w:val="0"/>
          <w:numId w:val="1"/>
        </w:numPr>
        <w:tabs>
          <w:tab w:val="clear" w:pos="1247"/>
          <w:tab w:val="num" w:pos="720"/>
        </w:tabs>
        <w:contextualSpacing/>
        <w:rPr>
          <w:rFonts w:eastAsia="Calibri"/>
          <w:spacing w:val="-2"/>
        </w:rPr>
      </w:pPr>
      <w:r w:rsidRPr="00A75F15">
        <w:rPr>
          <w:rFonts w:eastAsia="Calibri"/>
          <w:spacing w:val="-2"/>
        </w:rPr>
        <w:t xml:space="preserve">Primeramente, </w:t>
      </w:r>
      <w:r w:rsidR="00F349B0">
        <w:rPr>
          <w:rFonts w:eastAsia="Calibri"/>
          <w:spacing w:val="-2"/>
        </w:rPr>
        <w:t>el Tribunal</w:t>
      </w:r>
      <w:r w:rsidRPr="00A75F15">
        <w:rPr>
          <w:rFonts w:eastAsia="Calibri"/>
          <w:spacing w:val="-2"/>
        </w:rPr>
        <w:t xml:space="preserve"> observa que el párrafo 37 de la Sentencia es claro al señalar que “</w:t>
      </w:r>
      <w:r w:rsidR="007B2183">
        <w:rPr>
          <w:rFonts w:eastAsia="Calibri"/>
          <w:spacing w:val="-2"/>
        </w:rPr>
        <w:t xml:space="preserve">[…] </w:t>
      </w:r>
      <w:r w:rsidRPr="00A75F15">
        <w:rPr>
          <w:rFonts w:eastAsia="Calibri" w:cs="Verdana"/>
          <w:spacing w:val="-2"/>
        </w:rPr>
        <w:t xml:space="preserve">las sentencias del procedimiento penal seguido ante la Sala Nacional de Terrorismo y la Sala Penal Permanente de la </w:t>
      </w:r>
      <w:r w:rsidRPr="002C15A3">
        <w:rPr>
          <w:rFonts w:eastAsia="Calibri" w:cs="Verdana"/>
          <w:spacing w:val="-2"/>
        </w:rPr>
        <w:t xml:space="preserve">Corte Suprema del año 2004 </w:t>
      </w:r>
      <w:proofErr w:type="gramStart"/>
      <w:r w:rsidRPr="002C15A3">
        <w:rPr>
          <w:rFonts w:eastAsia="Calibri" w:cs="Verdana"/>
          <w:spacing w:val="-2"/>
        </w:rPr>
        <w:t>ser[</w:t>
      </w:r>
      <w:proofErr w:type="spellStart"/>
      <w:proofErr w:type="gramEnd"/>
      <w:r w:rsidRPr="002C15A3">
        <w:rPr>
          <w:rFonts w:eastAsia="Calibri" w:cs="Verdana"/>
          <w:spacing w:val="-2"/>
        </w:rPr>
        <w:t>ían</w:t>
      </w:r>
      <w:proofErr w:type="spellEnd"/>
      <w:r w:rsidRPr="002C15A3">
        <w:rPr>
          <w:rFonts w:eastAsia="Calibri" w:cs="Verdana"/>
          <w:spacing w:val="-2"/>
        </w:rPr>
        <w:t xml:space="preserve">] consideradas por la Corte Interamericana, únicamente en lo que respecta al análisis de la alegada falta de investigación de los hechos de tortura y violencia sexual en perjuicio de </w:t>
      </w:r>
      <w:r w:rsidRPr="002C15A3">
        <w:rPr>
          <w:spacing w:val="-2"/>
        </w:rPr>
        <w:t>Gladys Espinoza</w:t>
      </w:r>
      <w:r w:rsidRPr="002C15A3">
        <w:rPr>
          <w:rFonts w:eastAsia="Calibri" w:cs="Verdana"/>
          <w:spacing w:val="-2"/>
        </w:rPr>
        <w:t xml:space="preserve"> presuntamente ocurridos en los años 1993 y 1999”</w:t>
      </w:r>
      <w:r>
        <w:rPr>
          <w:rFonts w:eastAsia="Calibri" w:cs="Verdana"/>
          <w:spacing w:val="-2"/>
        </w:rPr>
        <w:t xml:space="preserve">. Asimismo, </w:t>
      </w:r>
      <w:r w:rsidR="002C15A3">
        <w:rPr>
          <w:rFonts w:eastAsia="Calibri" w:cs="Verdana"/>
          <w:spacing w:val="-2"/>
        </w:rPr>
        <w:t xml:space="preserve">la Sentencia es clara en establecer, en los párrafos </w:t>
      </w:r>
      <w:r w:rsidR="00373757">
        <w:rPr>
          <w:rFonts w:eastAsia="Calibri" w:cs="Verdana"/>
          <w:spacing w:val="-2"/>
        </w:rPr>
        <w:t>274</w:t>
      </w:r>
      <w:r w:rsidR="00D84C73">
        <w:rPr>
          <w:rFonts w:eastAsia="Calibri" w:cs="Verdana"/>
          <w:spacing w:val="-2"/>
        </w:rPr>
        <w:t xml:space="preserve"> a</w:t>
      </w:r>
      <w:r w:rsidR="00373757">
        <w:rPr>
          <w:rFonts w:eastAsia="Calibri" w:cs="Verdana"/>
          <w:spacing w:val="-2"/>
        </w:rPr>
        <w:t xml:space="preserve"> 279</w:t>
      </w:r>
      <w:r w:rsidR="002C15A3">
        <w:rPr>
          <w:rFonts w:eastAsia="Calibri" w:cs="Verdana"/>
          <w:spacing w:val="-2"/>
        </w:rPr>
        <w:t xml:space="preserve">, lo siguiente: </w:t>
      </w:r>
    </w:p>
    <w:p w:rsidR="002C15A3" w:rsidRPr="002C15A3" w:rsidRDefault="002C15A3" w:rsidP="002C15A3">
      <w:pPr>
        <w:contextualSpacing/>
        <w:jc w:val="both"/>
        <w:rPr>
          <w:rFonts w:eastAsia="Calibri"/>
          <w:spacing w:val="-2"/>
          <w:sz w:val="16"/>
          <w:lang w:val="es-CR"/>
        </w:rPr>
      </w:pPr>
    </w:p>
    <w:p w:rsidR="002C15A3" w:rsidRPr="002C15A3" w:rsidRDefault="002C15A3" w:rsidP="002C15A3">
      <w:pPr>
        <w:ind w:left="720"/>
        <w:contextualSpacing/>
        <w:jc w:val="both"/>
        <w:rPr>
          <w:rFonts w:eastAsia="Calibri"/>
          <w:spacing w:val="-2"/>
          <w:sz w:val="16"/>
          <w:lang w:val="es-CR"/>
        </w:rPr>
      </w:pPr>
    </w:p>
    <w:p w:rsidR="002C15A3" w:rsidRPr="002C15A3" w:rsidRDefault="00D84C73" w:rsidP="00E35A48">
      <w:pPr>
        <w:numPr>
          <w:ilvl w:val="0"/>
          <w:numId w:val="27"/>
        </w:numPr>
        <w:tabs>
          <w:tab w:val="left" w:pos="900"/>
        </w:tabs>
        <w:ind w:firstLine="0"/>
        <w:contextualSpacing/>
        <w:jc w:val="both"/>
        <w:rPr>
          <w:rFonts w:eastAsia="Calibri"/>
          <w:spacing w:val="-2"/>
          <w:sz w:val="16"/>
          <w:lang w:val="es-CR"/>
        </w:rPr>
      </w:pPr>
      <w:r>
        <w:rPr>
          <w:rFonts w:eastAsia="Calibri"/>
          <w:spacing w:val="-2"/>
          <w:sz w:val="16"/>
          <w:lang w:val="es-CR"/>
        </w:rPr>
        <w:t>[…E]</w:t>
      </w:r>
      <w:r w:rsidR="002C15A3" w:rsidRPr="002C15A3">
        <w:rPr>
          <w:rFonts w:eastAsia="Calibri"/>
          <w:spacing w:val="-2"/>
          <w:sz w:val="16"/>
          <w:lang w:val="es-CR"/>
        </w:rPr>
        <w:t xml:space="preserve">n su sentencia de 1 de marzo de 2004, la Sala Nacional de Terrorismo </w:t>
      </w:r>
      <w:r w:rsidR="00501C3C" w:rsidRPr="00501C3C">
        <w:rPr>
          <w:rFonts w:eastAsia="Calibri"/>
          <w:spacing w:val="-2"/>
          <w:sz w:val="16"/>
          <w:lang w:val="es-CR"/>
        </w:rPr>
        <w:t>[…]</w:t>
      </w:r>
      <w:r w:rsidR="002C15A3" w:rsidRPr="002C15A3">
        <w:rPr>
          <w:rFonts w:eastAsia="Calibri"/>
          <w:spacing w:val="-2"/>
          <w:sz w:val="16"/>
          <w:lang w:val="es-CR"/>
        </w:rPr>
        <w:t xml:space="preserve"> no hizo uso del contenido de los exámenes médicos realizados a Gladys Espinoza para justificar su decisión, sino que se basó tan solo en la falta de autoincriminación por parte de ésta. Igualmente, la Corte constata que la Sala Nacional de Terrorismo no se pronunció </w:t>
      </w:r>
      <w:r w:rsidR="002C15A3" w:rsidRPr="002C15A3">
        <w:rPr>
          <w:rFonts w:eastAsia="Calibri"/>
          <w:spacing w:val="-2"/>
          <w:sz w:val="16"/>
          <w:lang w:val="es-CR"/>
        </w:rPr>
        <w:lastRenderedPageBreak/>
        <w:t>sobre la existencia o inexistencia de tortura, sin embargo, como se ha señalado (</w:t>
      </w:r>
      <w:r w:rsidR="002C15A3" w:rsidRPr="002C15A3">
        <w:rPr>
          <w:rFonts w:eastAsia="Calibri"/>
          <w:i/>
          <w:spacing w:val="-2"/>
          <w:sz w:val="16"/>
          <w:lang w:val="es-CR"/>
        </w:rPr>
        <w:t xml:space="preserve">supra </w:t>
      </w:r>
      <w:r w:rsidR="002C15A3" w:rsidRPr="002C15A3">
        <w:rPr>
          <w:rFonts w:eastAsia="Calibri"/>
          <w:spacing w:val="-2"/>
          <w:sz w:val="16"/>
          <w:lang w:val="es-CR"/>
        </w:rPr>
        <w:t xml:space="preserve">párr. 266), no ordenó investigar dichos hechos. </w:t>
      </w:r>
    </w:p>
    <w:p w:rsidR="002C15A3" w:rsidRPr="002C15A3" w:rsidRDefault="002C15A3" w:rsidP="002C15A3">
      <w:pPr>
        <w:contextualSpacing/>
        <w:jc w:val="both"/>
        <w:rPr>
          <w:rFonts w:eastAsia="Calibri"/>
          <w:spacing w:val="-2"/>
          <w:sz w:val="16"/>
          <w:lang w:val="es-CR"/>
        </w:rPr>
      </w:pPr>
    </w:p>
    <w:p w:rsidR="002C15A3" w:rsidRPr="00CD03BA" w:rsidRDefault="002C15A3" w:rsidP="00665E37">
      <w:pPr>
        <w:numPr>
          <w:ilvl w:val="0"/>
          <w:numId w:val="27"/>
        </w:numPr>
        <w:tabs>
          <w:tab w:val="left" w:pos="900"/>
        </w:tabs>
        <w:spacing w:afterLines="60" w:after="144"/>
        <w:ind w:firstLine="0"/>
        <w:contextualSpacing/>
        <w:jc w:val="both"/>
        <w:rPr>
          <w:rFonts w:eastAsia="Calibri"/>
          <w:spacing w:val="-2"/>
          <w:sz w:val="16"/>
          <w:lang w:val="es-CR"/>
        </w:rPr>
      </w:pPr>
      <w:r w:rsidRPr="002C15A3">
        <w:rPr>
          <w:rFonts w:eastAsia="Calibri"/>
          <w:spacing w:val="-2"/>
          <w:sz w:val="16"/>
          <w:lang w:val="es-CR"/>
        </w:rPr>
        <w:t xml:space="preserve">Por otra parte, en la decisión emitida por la Sala Penal Permanente de la Corte Suprema de 24 de noviembre de 2004, correspondiente al “recurso de nulidad interpuesto por [Gladys Espinoza] contra la sentencia condenatoria [de 1 de marzo de 2004]; por el Fiscal Superior con respecto al quantum de la pena y por la Procuraduría Pública del Estado respecto del monto de la reparación civil”, se afirma que “durante el desarrollo del juicio oral los peritos médicos han señalado que las lesiones que presenta Gladys Carol Espinoza Gonzáles no resultan compatibles con una tortura, debiendo agregarse que en la pericia psicológica [se] concluye que la peritada se presenta como una persona que manipula para obtener ventaja”, y se considera “NO HABER NULIDAD en la sentencia […] que CONDENA </w:t>
      </w:r>
      <w:r w:rsidRPr="00CD03BA">
        <w:rPr>
          <w:rFonts w:eastAsia="Calibri"/>
          <w:spacing w:val="-2"/>
          <w:sz w:val="16"/>
          <w:lang w:val="es-CR"/>
        </w:rPr>
        <w:t>a Gladys Carol Espinoza […] por el delito contra la tranquilidad pública-terrorismo”. En este sentido, en dicha sentencia la Sala Penal de la Corte Suprema de Justicia descartó el alegato de la posible existencia de “la tortura que [Gladys Espinoza] denuncia fue víctima en sede policial”, con base en los señalamientos realizados por los peritos médicos durante el juicio oral, exclusivamente (</w:t>
      </w:r>
      <w:r w:rsidRPr="00CD03BA">
        <w:rPr>
          <w:rFonts w:eastAsia="Calibri"/>
          <w:i/>
          <w:spacing w:val="-2"/>
          <w:sz w:val="16"/>
          <w:lang w:val="es-CR"/>
        </w:rPr>
        <w:t>supra</w:t>
      </w:r>
      <w:r w:rsidRPr="00CD03BA">
        <w:rPr>
          <w:rFonts w:eastAsia="Calibri"/>
          <w:spacing w:val="-2"/>
          <w:sz w:val="16"/>
          <w:lang w:val="es-CR"/>
        </w:rPr>
        <w:t xml:space="preserve"> párr. 270), y específicamente afirmó que Gladys Espinoza es una persona que manipula para obtener ventaja. La Sala Penal no valoró ningún otro elemento contenido en el expediente a fin de llegar a dicha conclusión, e interpretó las valoraciones de los peritos realizadas durante la audiencia oral de forma dirigida a invalidar su credibilidad como testigo. En particular, la Corte recuerda que dos de los tres peritos médicos que declararon ante la Sala Nacional de Terrorismo en la audiencia pública referida no negaron ni afirmaron la existencia de actos de tortura y violencia sexual en contra de Gladys Espinoza (</w:t>
      </w:r>
      <w:r w:rsidRPr="00CD03BA">
        <w:rPr>
          <w:rFonts w:eastAsia="Calibri"/>
          <w:i/>
          <w:spacing w:val="-2"/>
          <w:sz w:val="16"/>
          <w:lang w:val="es-CR"/>
        </w:rPr>
        <w:t xml:space="preserve">supra </w:t>
      </w:r>
      <w:r w:rsidRPr="00CD03BA">
        <w:rPr>
          <w:rFonts w:eastAsia="Calibri"/>
          <w:spacing w:val="-2"/>
          <w:sz w:val="16"/>
          <w:lang w:val="es-CR"/>
        </w:rPr>
        <w:t>párr. 262). Así, esta forma selectiva de valorar los peritajes rendidos en la audiencia oral invalidó el contenido de las declaraciones de Gladys Espinoza, lo cual resulta particularmente preocupante dado el especial valor que tienen las declaraciones de una presunta víctima de violencia sexual (</w:t>
      </w:r>
      <w:r w:rsidRPr="00CD03BA">
        <w:rPr>
          <w:rFonts w:eastAsia="Calibri"/>
          <w:i/>
          <w:spacing w:val="-2"/>
          <w:sz w:val="16"/>
          <w:lang w:val="es-CR"/>
        </w:rPr>
        <w:t xml:space="preserve">supra </w:t>
      </w:r>
      <w:r w:rsidRPr="00CD03BA">
        <w:rPr>
          <w:rFonts w:eastAsia="Calibri"/>
          <w:spacing w:val="-2"/>
          <w:sz w:val="16"/>
          <w:lang w:val="es-CR"/>
        </w:rPr>
        <w:t>párr. 150).</w:t>
      </w:r>
    </w:p>
    <w:p w:rsidR="002C15A3" w:rsidRPr="00CD03BA" w:rsidRDefault="002C15A3" w:rsidP="00665E37">
      <w:pPr>
        <w:spacing w:afterLines="60" w:after="144"/>
        <w:contextualSpacing/>
        <w:jc w:val="both"/>
        <w:rPr>
          <w:rFonts w:eastAsia="Calibri"/>
          <w:spacing w:val="-2"/>
          <w:sz w:val="16"/>
          <w:lang w:val="es-CR"/>
        </w:rPr>
      </w:pPr>
    </w:p>
    <w:p w:rsidR="002C15A3" w:rsidRPr="002C15A3" w:rsidRDefault="00501C3C" w:rsidP="00665E37">
      <w:pPr>
        <w:numPr>
          <w:ilvl w:val="0"/>
          <w:numId w:val="27"/>
        </w:numPr>
        <w:tabs>
          <w:tab w:val="left" w:pos="900"/>
        </w:tabs>
        <w:spacing w:afterLines="60" w:after="144"/>
        <w:ind w:firstLine="0"/>
        <w:contextualSpacing/>
        <w:jc w:val="both"/>
        <w:rPr>
          <w:rFonts w:eastAsia="Calibri"/>
          <w:spacing w:val="-2"/>
          <w:sz w:val="16"/>
          <w:lang w:val="es-CR"/>
        </w:rPr>
      </w:pPr>
      <w:r w:rsidRPr="00CD03BA">
        <w:rPr>
          <w:rFonts w:eastAsia="Calibri"/>
          <w:spacing w:val="-2"/>
          <w:sz w:val="16"/>
          <w:lang w:val="es-CR"/>
        </w:rPr>
        <w:t xml:space="preserve"> </w:t>
      </w:r>
      <w:r w:rsidR="002C15A3" w:rsidRPr="00CD03BA">
        <w:rPr>
          <w:rFonts w:eastAsia="Calibri"/>
          <w:spacing w:val="-2"/>
          <w:sz w:val="16"/>
          <w:lang w:val="es-CR"/>
        </w:rPr>
        <w:t xml:space="preserve">Es pertinente tener en cuenta que, al analizar los informes psicológicos 003821-V y 003737-2004-PSC de febrero de 2004 mencionados </w:t>
      </w:r>
      <w:r w:rsidR="002C15A3" w:rsidRPr="00CD03BA">
        <w:rPr>
          <w:rFonts w:eastAsia="Calibri"/>
          <w:i/>
          <w:spacing w:val="-2"/>
          <w:sz w:val="16"/>
          <w:lang w:val="es-CR"/>
        </w:rPr>
        <w:t>supra</w:t>
      </w:r>
      <w:r w:rsidR="002C15A3" w:rsidRPr="00CD03BA">
        <w:rPr>
          <w:rFonts w:eastAsia="Calibri"/>
          <w:spacing w:val="-2"/>
          <w:sz w:val="16"/>
          <w:lang w:val="es-CR"/>
        </w:rPr>
        <w:t xml:space="preserve">, la psicóloga Carmen </w:t>
      </w:r>
      <w:proofErr w:type="spellStart"/>
      <w:r w:rsidR="002C15A3" w:rsidRPr="00CD03BA">
        <w:rPr>
          <w:rFonts w:eastAsia="Calibri"/>
          <w:spacing w:val="-2"/>
          <w:sz w:val="16"/>
          <w:lang w:val="es-CR"/>
        </w:rPr>
        <w:t>Wurst</w:t>
      </w:r>
      <w:proofErr w:type="spellEnd"/>
      <w:r w:rsidR="002C15A3" w:rsidRPr="00CD03BA">
        <w:rPr>
          <w:rFonts w:eastAsia="Calibri"/>
          <w:spacing w:val="-2"/>
          <w:sz w:val="16"/>
          <w:lang w:val="es-CR"/>
        </w:rPr>
        <w:t>, en su informe psicológico practicado a la señora Espinoza en 2008, afirmó que “[e]n ninguna de las pericias consignadas, se ha tomado en cuenta que se trata de un caso de tortura y violación sexual. No hay alusión en las conclusiones de la relación existente entre el evento traumático y las secuelas encontradas […]. Las conclusiones emitidas solo corroboran y acredita[n] el daño psicológico producto de la tortura. [Por otra parte, dichos peritajes] han sido utilizados de manera peyorativa, cuando ha significado reacciones esperables […]. El diagnóstico pretende mostrar que la paciente ha fingido por sus rasgos histriónicos e</w:t>
      </w:r>
      <w:r w:rsidR="002C15A3" w:rsidRPr="002C15A3">
        <w:rPr>
          <w:rFonts w:eastAsia="Calibri"/>
          <w:spacing w:val="-2"/>
          <w:sz w:val="16"/>
          <w:lang w:val="es-CR"/>
        </w:rPr>
        <w:t xml:space="preserve">l episodio de tortura, lo cual es absolutamente improbable e incorrecto, pues estas reacciones y cuadros clínicos son NORMALES Y ESPERABLES y contrariamente certifican las secuelas producto de la tortura de acuerdo con el Protocolo de Estambul”. </w:t>
      </w:r>
    </w:p>
    <w:p w:rsidR="002C15A3" w:rsidRPr="002C15A3" w:rsidRDefault="002C15A3" w:rsidP="00665E37">
      <w:pPr>
        <w:spacing w:afterLines="60" w:after="144"/>
        <w:contextualSpacing/>
        <w:jc w:val="both"/>
        <w:rPr>
          <w:rFonts w:eastAsia="Calibri"/>
          <w:spacing w:val="-2"/>
          <w:sz w:val="16"/>
          <w:lang w:val="es-CR"/>
        </w:rPr>
      </w:pPr>
    </w:p>
    <w:p w:rsidR="002C15A3" w:rsidRPr="002C15A3" w:rsidRDefault="002C15A3" w:rsidP="00665E37">
      <w:pPr>
        <w:numPr>
          <w:ilvl w:val="0"/>
          <w:numId w:val="27"/>
        </w:numPr>
        <w:tabs>
          <w:tab w:val="left" w:pos="900"/>
        </w:tabs>
        <w:spacing w:afterLines="60" w:after="144"/>
        <w:ind w:firstLine="0"/>
        <w:contextualSpacing/>
        <w:jc w:val="both"/>
        <w:rPr>
          <w:rFonts w:eastAsia="Calibri"/>
          <w:spacing w:val="-2"/>
          <w:sz w:val="16"/>
          <w:lang w:val="es-CR"/>
        </w:rPr>
      </w:pPr>
      <w:r w:rsidRPr="002C15A3">
        <w:rPr>
          <w:rFonts w:eastAsia="Calibri"/>
          <w:spacing w:val="-2"/>
          <w:sz w:val="16"/>
          <w:lang w:val="es-CR"/>
        </w:rPr>
        <w:t>Más aún, la Corte recuerda que en el Perú existió un patrón de tortura y de violencia sexual aplicada discriminatoriamente en perjuicio de las mujeres en el marco de investigaciones por razón de terrorismo y traición a la patria en la época de los hechos (</w:t>
      </w:r>
      <w:r w:rsidRPr="002C15A3">
        <w:rPr>
          <w:rFonts w:eastAsia="Calibri"/>
          <w:i/>
          <w:spacing w:val="-2"/>
          <w:sz w:val="16"/>
          <w:lang w:val="es-CR"/>
        </w:rPr>
        <w:t>supra</w:t>
      </w:r>
      <w:r w:rsidRPr="002C15A3">
        <w:rPr>
          <w:rFonts w:eastAsia="Calibri"/>
          <w:spacing w:val="-2"/>
          <w:sz w:val="16"/>
          <w:lang w:val="es-CR"/>
        </w:rPr>
        <w:t xml:space="preserve"> </w:t>
      </w:r>
      <w:proofErr w:type="spellStart"/>
      <w:r w:rsidRPr="002C15A3">
        <w:rPr>
          <w:rFonts w:eastAsia="Calibri"/>
          <w:spacing w:val="-2"/>
          <w:sz w:val="16"/>
          <w:lang w:val="es-CR"/>
        </w:rPr>
        <w:t>párrs</w:t>
      </w:r>
      <w:proofErr w:type="spellEnd"/>
      <w:r w:rsidRPr="002C15A3">
        <w:rPr>
          <w:rFonts w:eastAsia="Calibri"/>
          <w:spacing w:val="-2"/>
          <w:sz w:val="16"/>
          <w:lang w:val="es-CR"/>
        </w:rPr>
        <w:t>. 67 y 229). Además, tal como se señaló previamente, para la fecha en que se emitió la sentencia de la Sala Penal, en casos de violencia sexual, los tribunales del Perú sobrevaloraban las pruebas médicas, incurriendo además en valoraciones estereotipadas y limitadas a la verificación de la integridad del himen, la pérdida de la virginidad, y las huellas físicas de la violencia (</w:t>
      </w:r>
      <w:r w:rsidRPr="002C15A3">
        <w:rPr>
          <w:rFonts w:eastAsia="Calibri"/>
          <w:i/>
          <w:spacing w:val="-2"/>
          <w:sz w:val="16"/>
          <w:lang w:val="es-CR"/>
        </w:rPr>
        <w:t>supra</w:t>
      </w:r>
      <w:r w:rsidRPr="002C15A3">
        <w:rPr>
          <w:rFonts w:eastAsia="Calibri"/>
          <w:spacing w:val="-2"/>
          <w:sz w:val="16"/>
          <w:lang w:val="es-CR"/>
        </w:rPr>
        <w:t xml:space="preserve"> párr. 273). </w:t>
      </w:r>
    </w:p>
    <w:p w:rsidR="002C15A3" w:rsidRPr="002C15A3" w:rsidRDefault="002C15A3" w:rsidP="00665E37">
      <w:pPr>
        <w:spacing w:afterLines="60" w:after="144"/>
        <w:contextualSpacing/>
        <w:jc w:val="both"/>
        <w:rPr>
          <w:rFonts w:eastAsia="Calibri"/>
          <w:b/>
          <w:spacing w:val="-2"/>
          <w:sz w:val="16"/>
          <w:lang w:val="es-CR"/>
        </w:rPr>
      </w:pPr>
    </w:p>
    <w:p w:rsidR="002C15A3" w:rsidRPr="002C15A3" w:rsidRDefault="002C15A3" w:rsidP="00665E37">
      <w:pPr>
        <w:numPr>
          <w:ilvl w:val="0"/>
          <w:numId w:val="27"/>
        </w:numPr>
        <w:tabs>
          <w:tab w:val="left" w:pos="900"/>
        </w:tabs>
        <w:spacing w:afterLines="60" w:after="144"/>
        <w:ind w:firstLine="0"/>
        <w:contextualSpacing/>
        <w:jc w:val="both"/>
        <w:rPr>
          <w:rFonts w:eastAsia="Calibri"/>
          <w:b/>
          <w:spacing w:val="-2"/>
          <w:sz w:val="16"/>
          <w:lang w:val="es-CR"/>
        </w:rPr>
      </w:pPr>
      <w:r w:rsidRPr="002C15A3">
        <w:rPr>
          <w:rFonts w:eastAsia="Calibri"/>
          <w:spacing w:val="-2"/>
          <w:sz w:val="16"/>
          <w:lang w:val="es-CR"/>
        </w:rPr>
        <w:t>En este sentido, la Corte considera pertinente resaltar que una garantía para el acceso a la justicia de las mujeres víctimas de violencia sexual debe ser la previsión de reglas para la valoración de la prueba que evite afirmaciones, insinuaciones y alusiones estereotipadas. Al respecto, la Corte observa que, en el Acuerdo Plenario N° 1-2011/CJ-116 de 6 de diciembre de 2011 de la Corte Suprema de Justicia, en donde se “</w:t>
      </w:r>
      <w:proofErr w:type="spellStart"/>
      <w:r w:rsidRPr="002C15A3">
        <w:rPr>
          <w:rFonts w:eastAsia="Calibri"/>
          <w:spacing w:val="-2"/>
          <w:sz w:val="16"/>
          <w:lang w:val="es-CR"/>
        </w:rPr>
        <w:t>establec</w:t>
      </w:r>
      <w:proofErr w:type="spellEnd"/>
      <w:r w:rsidRPr="002C15A3">
        <w:rPr>
          <w:rFonts w:eastAsia="Calibri"/>
          <w:spacing w:val="-2"/>
          <w:sz w:val="16"/>
          <w:lang w:val="es-CR"/>
        </w:rPr>
        <w:t>[</w:t>
      </w:r>
      <w:proofErr w:type="spellStart"/>
      <w:r w:rsidRPr="002C15A3">
        <w:rPr>
          <w:rFonts w:eastAsia="Calibri"/>
          <w:spacing w:val="-2"/>
          <w:sz w:val="16"/>
          <w:lang w:val="es-CR"/>
        </w:rPr>
        <w:t>ieron</w:t>
      </w:r>
      <w:proofErr w:type="spellEnd"/>
      <w:r w:rsidRPr="002C15A3">
        <w:rPr>
          <w:rFonts w:eastAsia="Calibri"/>
          <w:spacing w:val="-2"/>
          <w:sz w:val="16"/>
          <w:lang w:val="es-CR"/>
        </w:rPr>
        <w:t>] como doctrina legal” los criterios para la apreciación de la prueba de delitos sexuales en el Perú a partir de dicha fecha, se afirma que “algunos sectores de la comunidad asumen que esta apreciación probatoria está gobernada por estereotipos de género en los Policías, Fiscales y Jueces” y se reconoce la necesidad de “que se lleve a cabo una adecuada apreciación y selección de la prueba a fin de neutralizar la posibilidad de que se produzca algún defecto que lesione la dignidad humana y sea fuente de impunidad”. Así,</w:t>
      </w:r>
      <w:r w:rsidRPr="002C15A3">
        <w:rPr>
          <w:rFonts w:eastAsia="Calibri"/>
          <w:b/>
          <w:spacing w:val="-2"/>
          <w:sz w:val="16"/>
          <w:lang w:val="es-CR"/>
        </w:rPr>
        <w:t xml:space="preserve"> </w:t>
      </w:r>
      <w:r w:rsidRPr="002C15A3">
        <w:rPr>
          <w:rFonts w:eastAsia="Calibri"/>
          <w:spacing w:val="-2"/>
          <w:sz w:val="16"/>
          <w:lang w:val="es-CR"/>
        </w:rPr>
        <w:t>la Corte considera que en el presente caso la ausencia de normas que regularan, en el año 2004, la especial valoración de la prueba requerida en casos de violencia sexual favoreció el uso de estereotipos de género en la valoración de la Sala Penal Permanente de los indicios de que Gladys Espinoza había sido víctima de tortura y violencia sexual.</w:t>
      </w:r>
    </w:p>
    <w:p w:rsidR="002C15A3" w:rsidRPr="002C15A3" w:rsidRDefault="002C15A3" w:rsidP="00665E37">
      <w:pPr>
        <w:spacing w:afterLines="60" w:after="144"/>
        <w:contextualSpacing/>
        <w:jc w:val="both"/>
        <w:rPr>
          <w:rFonts w:eastAsia="Calibri"/>
          <w:spacing w:val="-2"/>
          <w:sz w:val="16"/>
          <w:lang w:val="es-CR"/>
        </w:rPr>
      </w:pPr>
    </w:p>
    <w:p w:rsidR="002C15A3" w:rsidRPr="00CD03BA" w:rsidRDefault="002C15A3" w:rsidP="00665E37">
      <w:pPr>
        <w:numPr>
          <w:ilvl w:val="0"/>
          <w:numId w:val="27"/>
        </w:numPr>
        <w:tabs>
          <w:tab w:val="left" w:pos="900"/>
        </w:tabs>
        <w:spacing w:afterLines="60" w:after="144"/>
        <w:ind w:firstLine="0"/>
        <w:contextualSpacing/>
        <w:jc w:val="both"/>
        <w:rPr>
          <w:rFonts w:eastAsia="Calibri"/>
          <w:spacing w:val="-2"/>
          <w:sz w:val="16"/>
          <w:lang w:val="es-CR"/>
        </w:rPr>
      </w:pPr>
      <w:r w:rsidRPr="002C15A3">
        <w:rPr>
          <w:rFonts w:eastAsia="Calibri"/>
          <w:spacing w:val="-2"/>
          <w:sz w:val="16"/>
          <w:lang w:val="es-CR"/>
        </w:rPr>
        <w:t xml:space="preserve"> </w:t>
      </w:r>
      <w:r w:rsidRPr="00CD03BA">
        <w:rPr>
          <w:rFonts w:eastAsia="Calibri"/>
          <w:spacing w:val="-2"/>
          <w:sz w:val="16"/>
          <w:lang w:val="es-CR"/>
        </w:rPr>
        <w:t xml:space="preserve">En vista de todo lo anterior, la Corte </w:t>
      </w:r>
      <w:r w:rsidRPr="00BC3917">
        <w:rPr>
          <w:rFonts w:eastAsia="Calibri"/>
          <w:spacing w:val="-2"/>
          <w:sz w:val="16"/>
          <w:lang w:val="es-CR"/>
        </w:rPr>
        <w:t>considera</w:t>
      </w:r>
      <w:r w:rsidRPr="00CD03BA">
        <w:rPr>
          <w:rFonts w:eastAsia="Calibri"/>
          <w:spacing w:val="-2"/>
          <w:sz w:val="16"/>
          <w:lang w:val="es-CR"/>
        </w:rPr>
        <w:t xml:space="preserve"> que la aseveración de la Sala Penal Permanente de la Corte Suprema de que Gladys Espinoza manipulaba la realidad a su conveniencia es consistente con lo señalado por la perita Dador, en sentido que, en casos de violencia sexual, las autoridades judiciales en el Perú incurrían en </w:t>
      </w:r>
      <w:proofErr w:type="spellStart"/>
      <w:r w:rsidRPr="00CD03BA">
        <w:rPr>
          <w:rFonts w:eastAsia="Calibri"/>
          <w:spacing w:val="-2"/>
          <w:sz w:val="16"/>
          <w:lang w:val="es-CR"/>
        </w:rPr>
        <w:t>estereotipación</w:t>
      </w:r>
      <w:proofErr w:type="spellEnd"/>
      <w:r w:rsidRPr="00CD03BA">
        <w:rPr>
          <w:rFonts w:eastAsia="Calibri"/>
          <w:spacing w:val="-2"/>
          <w:sz w:val="16"/>
          <w:lang w:val="es-CR"/>
        </w:rPr>
        <w:t xml:space="preserve"> por razón de género en la valoración de la prueba, restando valor a las declaraciones de mujeres víctimas de estos hechos. Sumado a ello, la Corte considera que los siguientes elementos demuestran que dicho tribunal eligió selectivamente la prueba en perjuicio de Gladys Espinoza: i) el hecho de que el juez descartó el alegato de la posible existencia de tortura al señalar que ella es una persona que manipulaba la realidad; ii) la existencia de peritajes médicos que no negaban la posibilidad de que Gladys Espinoza hubiese sido víctima de torturas, y iii)</w:t>
      </w:r>
      <w:r w:rsidRPr="00CD03BA">
        <w:rPr>
          <w:rFonts w:eastAsia="Calibri"/>
          <w:b/>
          <w:spacing w:val="-2"/>
          <w:sz w:val="16"/>
          <w:lang w:val="es-CR"/>
        </w:rPr>
        <w:t xml:space="preserve"> </w:t>
      </w:r>
      <w:r w:rsidRPr="00CD03BA">
        <w:rPr>
          <w:rFonts w:eastAsia="Calibri"/>
          <w:spacing w:val="-2"/>
          <w:sz w:val="16"/>
          <w:lang w:val="es-CR"/>
        </w:rPr>
        <w:t xml:space="preserve">la falta de análisis de los demás elementos contenidos en el expediente judicial, tales como los exámenes médicos practicados a ésta, de donde se desprendían elementos que razonablemente configuraban indicios de tortura. Asimismo, la falta de normas sobre la valoración de la prueba en este tipo de casos favoreció la elección selectiva de las pruebas para descartar los alegatos de tortura esgrimidos por Gladys Espinoza, con la consecuencia de que no se ordenaran investigaciones al respecto. Esto constituyó un trato discriminatorio en su perjuicio por parte de la Sala Penal Permanente de la Corte Suprema de Justicia de Perú, toda vez que ésta se fundamentó en un estereotipo de género sobre la falta de confiabilidad en sus declaraciones, de las mujeres sospechosas de haber cometido un delito. </w:t>
      </w:r>
    </w:p>
    <w:p w:rsidR="002C15A3" w:rsidRPr="002C15A3" w:rsidRDefault="002C15A3" w:rsidP="00665E37">
      <w:pPr>
        <w:spacing w:afterLines="60" w:after="144"/>
        <w:jc w:val="both"/>
        <w:rPr>
          <w:rFonts w:eastAsia="Times New Roman"/>
          <w:spacing w:val="-2"/>
          <w:sz w:val="16"/>
          <w:lang w:val="es-CR"/>
        </w:rPr>
      </w:pPr>
    </w:p>
    <w:p w:rsidR="00FF3313" w:rsidRPr="00CD03BA" w:rsidRDefault="005913A6" w:rsidP="00665E37">
      <w:pPr>
        <w:pStyle w:val="Prrafodelista"/>
        <w:numPr>
          <w:ilvl w:val="0"/>
          <w:numId w:val="1"/>
        </w:numPr>
        <w:tabs>
          <w:tab w:val="clear" w:pos="1247"/>
          <w:tab w:val="num" w:pos="720"/>
        </w:tabs>
        <w:spacing w:afterLines="60" w:after="144"/>
        <w:rPr>
          <w:rFonts w:eastAsia="Calibri"/>
          <w:spacing w:val="-2"/>
        </w:rPr>
      </w:pPr>
      <w:r w:rsidRPr="00A011DF">
        <w:rPr>
          <w:lang w:val="es-CR"/>
        </w:rPr>
        <w:t xml:space="preserve"> </w:t>
      </w:r>
      <w:r w:rsidRPr="0052630C">
        <w:rPr>
          <w:lang w:val="es-CR"/>
        </w:rPr>
        <w:t xml:space="preserve">Por consiguiente </w:t>
      </w:r>
      <w:r w:rsidRPr="004466D1">
        <w:rPr>
          <w:lang w:val="es-CR"/>
        </w:rPr>
        <w:t xml:space="preserve">la Corte </w:t>
      </w:r>
      <w:r w:rsidR="005430C8" w:rsidRPr="004466D1">
        <w:rPr>
          <w:rFonts w:eastAsia="Calibri"/>
          <w:spacing w:val="-2"/>
        </w:rPr>
        <w:t>declara improcedente la solicitud de interpretación en este extremo, toda vez que considera que no hay falta de claridad al respecto.</w:t>
      </w:r>
      <w:r w:rsidR="00CD03BA">
        <w:rPr>
          <w:rFonts w:eastAsia="Calibri"/>
          <w:spacing w:val="-2"/>
        </w:rPr>
        <w:t xml:space="preserve"> </w:t>
      </w:r>
      <w:r w:rsidR="00873A82" w:rsidRPr="00CD03BA">
        <w:rPr>
          <w:szCs w:val="20"/>
        </w:rPr>
        <w:t>Sin perjuicio de ello, la Corte reitera que, en el</w:t>
      </w:r>
      <w:r w:rsidR="00FF3313" w:rsidRPr="00CD03BA">
        <w:rPr>
          <w:szCs w:val="20"/>
        </w:rPr>
        <w:t xml:space="preserve"> punto resolutivo 14 </w:t>
      </w:r>
      <w:r w:rsidR="00873A82" w:rsidRPr="00CD03BA">
        <w:rPr>
          <w:szCs w:val="20"/>
        </w:rPr>
        <w:t xml:space="preserve">de la Sentencia, </w:t>
      </w:r>
      <w:r w:rsidR="00FF3313" w:rsidRPr="00CD03BA">
        <w:rPr>
          <w:szCs w:val="20"/>
        </w:rPr>
        <w:t>ordenó al Estado</w:t>
      </w:r>
      <w:r w:rsidR="00FF3313" w:rsidRPr="00CD03BA">
        <w:rPr>
          <w:spacing w:val="-2"/>
          <w:szCs w:val="20"/>
        </w:rPr>
        <w:t xml:space="preserve">, en un plazo razonable, incorporar en los programas y cursos permanentes de educación y capacitación dirigidos a quienes están encargados de la persecución penal y su judicialización, los estándares establecidos en los párrafos 237 a 242, 248, 249, 251, 252, 255, 256, 258, 260, 266, 268 y 278  de </w:t>
      </w:r>
      <w:r w:rsidR="00F67F3E">
        <w:rPr>
          <w:spacing w:val="-2"/>
          <w:szCs w:val="20"/>
        </w:rPr>
        <w:t>la</w:t>
      </w:r>
      <w:r w:rsidR="00F67F3E" w:rsidRPr="00CD03BA">
        <w:rPr>
          <w:spacing w:val="-2"/>
          <w:szCs w:val="20"/>
        </w:rPr>
        <w:t xml:space="preserve"> </w:t>
      </w:r>
      <w:r w:rsidR="00FF3313" w:rsidRPr="00CD03BA">
        <w:rPr>
          <w:spacing w:val="-2"/>
          <w:szCs w:val="20"/>
        </w:rPr>
        <w:t xml:space="preserve">Sentencia, en los términos de los párrafos 326 y 327 de la misma. </w:t>
      </w:r>
    </w:p>
    <w:p w:rsidR="003106C3" w:rsidRDefault="003106C3" w:rsidP="00665E37">
      <w:pPr>
        <w:pStyle w:val="Ttulo1"/>
        <w:spacing w:afterLines="60" w:after="144"/>
      </w:pPr>
    </w:p>
    <w:p w:rsidR="00E2210E" w:rsidRPr="005254A8" w:rsidRDefault="00E2210E" w:rsidP="00665E37">
      <w:pPr>
        <w:pStyle w:val="Ttulo1"/>
        <w:spacing w:afterLines="60" w:after="144"/>
      </w:pPr>
      <w:r w:rsidRPr="005254A8">
        <w:t>V</w:t>
      </w:r>
      <w:r w:rsidRPr="005254A8">
        <w:rPr>
          <w:b w:val="0"/>
          <w:bCs w:val="0"/>
          <w:caps w:val="0"/>
          <w:kern w:val="32"/>
        </w:rPr>
        <w:br/>
      </w:r>
      <w:r w:rsidRPr="005254A8">
        <w:t>PUNTOS RESOLUTIVOS</w:t>
      </w:r>
    </w:p>
    <w:p w:rsidR="00E2210E" w:rsidRPr="005254A8" w:rsidRDefault="00E2210E" w:rsidP="00665E37">
      <w:pPr>
        <w:tabs>
          <w:tab w:val="left" w:pos="0"/>
        </w:tabs>
        <w:spacing w:afterLines="60" w:after="144"/>
        <w:jc w:val="both"/>
        <w:rPr>
          <w:rFonts w:cs="Arial"/>
          <w:b/>
          <w:i/>
          <w:lang w:val="es-CR"/>
        </w:rPr>
      </w:pPr>
    </w:p>
    <w:p w:rsidR="00E2210E" w:rsidRPr="005254A8" w:rsidRDefault="00E2210E" w:rsidP="00665E37">
      <w:pPr>
        <w:numPr>
          <w:ilvl w:val="0"/>
          <w:numId w:val="1"/>
        </w:numPr>
        <w:tabs>
          <w:tab w:val="clear" w:pos="1247"/>
          <w:tab w:val="num" w:pos="720"/>
        </w:tabs>
        <w:spacing w:afterLines="60" w:after="144"/>
        <w:jc w:val="both"/>
        <w:rPr>
          <w:rFonts w:cs="Arial"/>
          <w:b/>
          <w:i/>
          <w:lang w:val="es-CR"/>
        </w:rPr>
      </w:pPr>
      <w:r w:rsidRPr="005254A8">
        <w:rPr>
          <w:lang w:val="es-CR"/>
        </w:rPr>
        <w:t>Por tanto,</w:t>
      </w:r>
    </w:p>
    <w:p w:rsidR="00E2210E" w:rsidRPr="005254A8" w:rsidRDefault="00E2210E" w:rsidP="00665E37">
      <w:pPr>
        <w:spacing w:afterLines="60" w:after="144"/>
        <w:rPr>
          <w:b/>
          <w:lang w:val="es-CR"/>
        </w:rPr>
      </w:pPr>
    </w:p>
    <w:p w:rsidR="00E2210E" w:rsidRPr="005254A8" w:rsidRDefault="00E2210E" w:rsidP="00665E37">
      <w:pPr>
        <w:spacing w:afterLines="60" w:after="144"/>
        <w:rPr>
          <w:b/>
          <w:lang w:val="es-CR"/>
        </w:rPr>
      </w:pPr>
      <w:r w:rsidRPr="005254A8">
        <w:rPr>
          <w:b/>
          <w:lang w:val="es-CR"/>
        </w:rPr>
        <w:t>LA CORTE</w:t>
      </w:r>
    </w:p>
    <w:p w:rsidR="00E2210E" w:rsidRPr="005254A8" w:rsidRDefault="00E2210E" w:rsidP="00665E37">
      <w:pPr>
        <w:spacing w:afterLines="60" w:after="144"/>
        <w:rPr>
          <w:lang w:val="es-CR"/>
        </w:rPr>
      </w:pPr>
    </w:p>
    <w:p w:rsidR="00E2210E" w:rsidRPr="005254A8" w:rsidRDefault="00E2210E" w:rsidP="00665E37">
      <w:pPr>
        <w:spacing w:afterLines="60" w:after="144"/>
        <w:jc w:val="both"/>
        <w:rPr>
          <w:lang w:val="es-CR"/>
        </w:rPr>
      </w:pPr>
      <w:r w:rsidRPr="005254A8">
        <w:rPr>
          <w:lang w:val="es-CR"/>
        </w:rPr>
        <w:t>de conformidad con el artículo 67 de la Convención Americana sobre Derechos Humanos y los artículos 31.3 y 68 del Reglamento,</w:t>
      </w:r>
    </w:p>
    <w:p w:rsidR="00E2210E" w:rsidRPr="005254A8" w:rsidRDefault="00E2210E" w:rsidP="00665E37">
      <w:pPr>
        <w:spacing w:afterLines="60" w:after="144"/>
        <w:rPr>
          <w:lang w:val="es-CR"/>
        </w:rPr>
      </w:pPr>
    </w:p>
    <w:p w:rsidR="00E2210E" w:rsidRPr="005254A8" w:rsidRDefault="00E2210E" w:rsidP="00665E37">
      <w:pPr>
        <w:spacing w:afterLines="60" w:after="144"/>
        <w:rPr>
          <w:b/>
          <w:lang w:val="es-CR"/>
        </w:rPr>
      </w:pPr>
      <w:r w:rsidRPr="005254A8">
        <w:rPr>
          <w:b/>
          <w:lang w:val="es-CR"/>
        </w:rPr>
        <w:t>DECIDE:</w:t>
      </w:r>
    </w:p>
    <w:p w:rsidR="00E2210E" w:rsidRPr="005254A8" w:rsidRDefault="00E2210E" w:rsidP="00665E37">
      <w:pPr>
        <w:spacing w:afterLines="60" w:after="144"/>
        <w:rPr>
          <w:lang w:val="es-CR"/>
        </w:rPr>
      </w:pPr>
    </w:p>
    <w:p w:rsidR="00E2210E" w:rsidRPr="005254A8" w:rsidRDefault="00E2210E" w:rsidP="00665E37">
      <w:pPr>
        <w:tabs>
          <w:tab w:val="center" w:pos="4252"/>
          <w:tab w:val="right" w:pos="8504"/>
        </w:tabs>
        <w:spacing w:afterLines="60" w:after="144"/>
        <w:rPr>
          <w:lang w:val="es-CR"/>
        </w:rPr>
      </w:pPr>
      <w:r w:rsidRPr="005254A8">
        <w:rPr>
          <w:lang w:val="es-CR"/>
        </w:rPr>
        <w:t>Por unanimidad,</w:t>
      </w:r>
    </w:p>
    <w:p w:rsidR="00E2210E" w:rsidRPr="005254A8" w:rsidRDefault="00E2210E" w:rsidP="00665E37">
      <w:pPr>
        <w:tabs>
          <w:tab w:val="left" w:pos="0"/>
        </w:tabs>
        <w:spacing w:afterLines="60" w:after="144"/>
        <w:jc w:val="both"/>
        <w:rPr>
          <w:rFonts w:cs="Arial"/>
          <w:b/>
          <w:i/>
          <w:lang w:val="es-CR"/>
        </w:rPr>
      </w:pPr>
    </w:p>
    <w:p w:rsidR="00D93916" w:rsidRPr="004A1487" w:rsidRDefault="00E2210E" w:rsidP="00665E37">
      <w:pPr>
        <w:pStyle w:val="Prrafodelista"/>
        <w:numPr>
          <w:ilvl w:val="0"/>
          <w:numId w:val="16"/>
        </w:numPr>
        <w:tabs>
          <w:tab w:val="left" w:pos="567"/>
        </w:tabs>
        <w:spacing w:afterLines="60" w:after="144"/>
        <w:contextualSpacing/>
        <w:rPr>
          <w:rFonts w:eastAsia="Times New Roman"/>
          <w:szCs w:val="20"/>
          <w:lang w:val="es-CR" w:eastAsia="es-ES"/>
        </w:rPr>
      </w:pPr>
      <w:r w:rsidRPr="005254A8">
        <w:rPr>
          <w:rFonts w:eastAsia="Times New Roman"/>
          <w:szCs w:val="20"/>
          <w:lang w:val="es-CR" w:eastAsia="es-ES"/>
        </w:rPr>
        <w:t>Declarar admisible la solicitud de interpretación de la Sentencia de excepciones preliminares, fondo, reparacio</w:t>
      </w:r>
      <w:r w:rsidR="004A1487">
        <w:rPr>
          <w:rFonts w:eastAsia="Times New Roman"/>
          <w:szCs w:val="20"/>
          <w:lang w:val="es-CR" w:eastAsia="es-ES"/>
        </w:rPr>
        <w:t>nes y costas emitida en el caso</w:t>
      </w:r>
      <w:r w:rsidR="00514892">
        <w:rPr>
          <w:rFonts w:eastAsia="Times New Roman"/>
          <w:szCs w:val="20"/>
          <w:lang w:val="es-CR" w:eastAsia="es-ES"/>
        </w:rPr>
        <w:t xml:space="preserve"> </w:t>
      </w:r>
      <w:r w:rsidR="00514892">
        <w:rPr>
          <w:rFonts w:eastAsia="Times New Roman"/>
          <w:i/>
          <w:szCs w:val="20"/>
          <w:lang w:val="es-CR" w:eastAsia="es-ES"/>
        </w:rPr>
        <w:t>Espinoza Gonzáles Vs. Perú</w:t>
      </w:r>
      <w:r w:rsidR="00514892">
        <w:rPr>
          <w:rFonts w:eastAsia="Times New Roman"/>
          <w:szCs w:val="20"/>
          <w:lang w:val="es-CR" w:eastAsia="es-ES"/>
        </w:rPr>
        <w:t xml:space="preserve"> interpuesta por el Estado. </w:t>
      </w:r>
    </w:p>
    <w:p w:rsidR="00D93916" w:rsidRPr="00D93916" w:rsidRDefault="00D93916" w:rsidP="00665E37">
      <w:pPr>
        <w:spacing w:afterLines="60" w:after="144"/>
        <w:jc w:val="both"/>
        <w:rPr>
          <w:rFonts w:cs="Arial"/>
          <w:b/>
          <w:i/>
          <w:lang w:val="es-CR"/>
        </w:rPr>
      </w:pPr>
    </w:p>
    <w:p w:rsidR="00420622" w:rsidRPr="00420622" w:rsidRDefault="00E2210E" w:rsidP="00665E37">
      <w:pPr>
        <w:numPr>
          <w:ilvl w:val="0"/>
          <w:numId w:val="16"/>
        </w:numPr>
        <w:tabs>
          <w:tab w:val="clear" w:pos="1247"/>
          <w:tab w:val="num" w:pos="709"/>
        </w:tabs>
        <w:spacing w:afterLines="60" w:after="144"/>
        <w:jc w:val="both"/>
        <w:rPr>
          <w:bCs/>
          <w:lang w:val="es-CR"/>
        </w:rPr>
      </w:pPr>
      <w:r w:rsidRPr="00C209A7">
        <w:rPr>
          <w:lang w:val="es-CR"/>
        </w:rPr>
        <w:t xml:space="preserve">Desestimar por improcedentes </w:t>
      </w:r>
      <w:r w:rsidR="00B90625" w:rsidRPr="00C209A7">
        <w:rPr>
          <w:lang w:val="es-CR"/>
        </w:rPr>
        <w:t>los cuestionamientos del Estado</w:t>
      </w:r>
      <w:r w:rsidR="00C209A7">
        <w:rPr>
          <w:lang w:val="es-CR"/>
        </w:rPr>
        <w:t xml:space="preserve"> </w:t>
      </w:r>
      <w:r w:rsidR="00C512C0">
        <w:rPr>
          <w:rFonts w:cs="Arial"/>
          <w:lang w:val="es-CR"/>
        </w:rPr>
        <w:t xml:space="preserve">relativos a </w:t>
      </w:r>
      <w:r w:rsidR="00C512C0" w:rsidRPr="00BC3917">
        <w:rPr>
          <w:rFonts w:eastAsia="Calibri"/>
          <w:lang w:val="es-CR"/>
        </w:rPr>
        <w:t>la prohibición de emplear el principio de irretroactividad de la ley penal</w:t>
      </w:r>
      <w:r w:rsidR="00C512C0" w:rsidRPr="00BC3917">
        <w:rPr>
          <w:rFonts w:eastAsia="Calibri"/>
          <w:bCs/>
          <w:lang w:val="es-CR"/>
        </w:rPr>
        <w:t xml:space="preserve"> para excusarse de la obligación de investigar los hechos</w:t>
      </w:r>
      <w:r w:rsidR="00C512C0">
        <w:rPr>
          <w:rFonts w:eastAsia="Calibri"/>
          <w:bCs/>
          <w:lang w:val="es-CR"/>
        </w:rPr>
        <w:t>;</w:t>
      </w:r>
      <w:r w:rsidR="00C512C0" w:rsidRPr="00420622">
        <w:rPr>
          <w:bCs/>
          <w:lang w:val="es-CR"/>
        </w:rPr>
        <w:t xml:space="preserve"> </w:t>
      </w:r>
      <w:r w:rsidR="00420622" w:rsidRPr="00420622">
        <w:rPr>
          <w:bCs/>
          <w:lang w:val="es-CR"/>
        </w:rPr>
        <w:t xml:space="preserve">sobre si la Corte declaró una violación del derecho a la igualdad ante la </w:t>
      </w:r>
      <w:r w:rsidR="00420622">
        <w:rPr>
          <w:bCs/>
          <w:lang w:val="es-CR"/>
        </w:rPr>
        <w:t>ley</w:t>
      </w:r>
      <w:r w:rsidR="00C512C0">
        <w:rPr>
          <w:bCs/>
          <w:lang w:val="es-CR"/>
        </w:rPr>
        <w:t>,</w:t>
      </w:r>
      <w:r w:rsidR="00420622">
        <w:rPr>
          <w:bCs/>
          <w:lang w:val="es-CR"/>
        </w:rPr>
        <w:t xml:space="preserve"> y</w:t>
      </w:r>
      <w:r w:rsidR="00420622" w:rsidRPr="00420622">
        <w:rPr>
          <w:bCs/>
          <w:lang w:val="es-CR"/>
        </w:rPr>
        <w:t xml:space="preserve"> respecto a los motivos por los cuales se concluyó que el estereotipo identificado en el caso impactó directamente en la decisión de no investigar los hechos y </w:t>
      </w:r>
      <w:r w:rsidR="00FF1554">
        <w:rPr>
          <w:bCs/>
          <w:lang w:val="es-CR"/>
        </w:rPr>
        <w:t xml:space="preserve">sobre </w:t>
      </w:r>
      <w:r w:rsidR="00420622" w:rsidRPr="00420622">
        <w:rPr>
          <w:bCs/>
          <w:lang w:val="es-CR"/>
        </w:rPr>
        <w:t>la educación y capacitación dirigida a los encargados de la persecución penal y su judicialización.</w:t>
      </w:r>
    </w:p>
    <w:p w:rsidR="00E2210E" w:rsidRPr="00C209A7" w:rsidRDefault="00E2210E" w:rsidP="00665E37">
      <w:pPr>
        <w:spacing w:afterLines="60" w:after="144"/>
        <w:jc w:val="both"/>
        <w:rPr>
          <w:lang w:val="es-CR"/>
        </w:rPr>
      </w:pPr>
    </w:p>
    <w:p w:rsidR="00E2210E" w:rsidRPr="005254A8" w:rsidRDefault="00E2210E" w:rsidP="00665E37">
      <w:pPr>
        <w:numPr>
          <w:ilvl w:val="0"/>
          <w:numId w:val="16"/>
        </w:numPr>
        <w:tabs>
          <w:tab w:val="clear" w:pos="1247"/>
          <w:tab w:val="num" w:pos="709"/>
        </w:tabs>
        <w:spacing w:afterLines="60" w:after="144"/>
        <w:jc w:val="both"/>
        <w:rPr>
          <w:lang w:val="es-CR"/>
        </w:rPr>
      </w:pPr>
      <w:r w:rsidRPr="005254A8">
        <w:rPr>
          <w:rFonts w:eastAsia="Batang"/>
          <w:lang w:val="es-CR"/>
        </w:rPr>
        <w:t xml:space="preserve">Disponer que la Secretaría de la Corte notifique la presente </w:t>
      </w:r>
      <w:r w:rsidR="004701D8">
        <w:rPr>
          <w:rFonts w:eastAsia="Batang"/>
          <w:lang w:val="es-CR"/>
        </w:rPr>
        <w:t>S</w:t>
      </w:r>
      <w:r w:rsidRPr="005254A8">
        <w:rPr>
          <w:rFonts w:eastAsia="Batang"/>
          <w:lang w:val="es-CR"/>
        </w:rPr>
        <w:t xml:space="preserve">entencia </w:t>
      </w:r>
      <w:r w:rsidRPr="005254A8">
        <w:rPr>
          <w:rFonts w:eastAsia="Times New Roman" w:cs="Arial"/>
          <w:lang w:val="es-CR" w:eastAsia="ko-KR"/>
        </w:rPr>
        <w:t>de interpretación</w:t>
      </w:r>
      <w:r w:rsidRPr="005254A8">
        <w:rPr>
          <w:rFonts w:eastAsia="Batang"/>
          <w:lang w:val="es-CR"/>
        </w:rPr>
        <w:t xml:space="preserve"> al Estado del Perú, a los representantes de las víctimas y a la Comisión Interamericana de Derechos Humanos.</w:t>
      </w:r>
    </w:p>
    <w:p w:rsidR="00E2210E" w:rsidRPr="005254A8" w:rsidRDefault="00E2210E" w:rsidP="00665E37">
      <w:pPr>
        <w:spacing w:afterLines="60" w:after="144"/>
        <w:jc w:val="both"/>
        <w:rPr>
          <w:rFonts w:eastAsia="Batang"/>
          <w:lang w:val="es-CR"/>
        </w:rPr>
      </w:pPr>
    </w:p>
    <w:p w:rsidR="00E2210E" w:rsidRPr="005254A8" w:rsidRDefault="00E2210E" w:rsidP="00665E37">
      <w:pPr>
        <w:spacing w:afterLines="60" w:after="144"/>
        <w:jc w:val="both"/>
      </w:pPr>
      <w:r w:rsidRPr="005254A8">
        <w:t xml:space="preserve">Redactada en español, en San José, Costa </w:t>
      </w:r>
      <w:r w:rsidR="00D93916">
        <w:t xml:space="preserve">Rica, el </w:t>
      </w:r>
      <w:r w:rsidR="00B968CA">
        <w:t xml:space="preserve">23 </w:t>
      </w:r>
      <w:r w:rsidR="00D93916">
        <w:t xml:space="preserve">de </w:t>
      </w:r>
      <w:r w:rsidR="00C64DB4">
        <w:t xml:space="preserve">junio </w:t>
      </w:r>
      <w:r w:rsidR="00D93916">
        <w:t>de 2015</w:t>
      </w:r>
      <w:r w:rsidRPr="005254A8">
        <w:t>.</w:t>
      </w:r>
    </w:p>
    <w:p w:rsidR="00F34592" w:rsidRDefault="00F34592">
      <w:pPr>
        <w:spacing w:after="200" w:line="276" w:lineRule="auto"/>
        <w:rPr>
          <w:rFonts w:eastAsia="Batang"/>
        </w:rPr>
      </w:pPr>
      <w:r>
        <w:rPr>
          <w:rFonts w:eastAsia="Batang"/>
        </w:rPr>
        <w:br w:type="page"/>
      </w:r>
    </w:p>
    <w:p w:rsidR="00F34592" w:rsidRPr="007C0BFD" w:rsidRDefault="00F34592" w:rsidP="00F34592">
      <w:pPr>
        <w:jc w:val="both"/>
        <w:rPr>
          <w:lang w:val="es-ES"/>
        </w:rPr>
      </w:pPr>
      <w:r>
        <w:rPr>
          <w:lang w:val="es-ES"/>
        </w:rPr>
        <w:t xml:space="preserve">Sentencia de </w:t>
      </w:r>
      <w:r w:rsidRPr="007C0BFD">
        <w:rPr>
          <w:lang w:val="es-ES"/>
        </w:rPr>
        <w:t xml:space="preserve">Interpretación de la Sentencia </w:t>
      </w:r>
      <w:r>
        <w:rPr>
          <w:lang w:val="es-ES"/>
        </w:rPr>
        <w:t xml:space="preserve">de </w:t>
      </w:r>
      <w:r w:rsidRPr="007C0BFD">
        <w:rPr>
          <w:lang w:val="es-ES"/>
        </w:rPr>
        <w:t xml:space="preserve">Excepciones Preliminares, Fondo, Reparaciones y Costas.  Caso Espinoza Gonzáles </w:t>
      </w:r>
      <w:r>
        <w:rPr>
          <w:lang w:val="es-ES"/>
        </w:rPr>
        <w:t>V</w:t>
      </w:r>
      <w:r w:rsidRPr="007C0BFD">
        <w:rPr>
          <w:lang w:val="es-ES"/>
        </w:rPr>
        <w:t>s. Perú</w:t>
      </w:r>
      <w:r>
        <w:rPr>
          <w:lang w:val="es-ES"/>
        </w:rPr>
        <w:t xml:space="preserve">. </w:t>
      </w:r>
    </w:p>
    <w:p w:rsidR="00F34592" w:rsidRDefault="00F34592" w:rsidP="00F34592">
      <w:pPr>
        <w:jc w:val="center"/>
        <w:rPr>
          <w:lang w:val="es-ES"/>
        </w:rPr>
      </w:pPr>
    </w:p>
    <w:p w:rsidR="00F34592" w:rsidRDefault="00F34592" w:rsidP="00F34592">
      <w:pPr>
        <w:jc w:val="center"/>
        <w:rPr>
          <w:lang w:val="es-ES"/>
        </w:rPr>
      </w:pPr>
    </w:p>
    <w:p w:rsidR="00F34592" w:rsidRDefault="00F34592" w:rsidP="00F34592">
      <w:pPr>
        <w:jc w:val="center"/>
        <w:rPr>
          <w:lang w:val="es-ES"/>
        </w:rPr>
      </w:pPr>
    </w:p>
    <w:p w:rsidR="00F34592" w:rsidRPr="002C0A2B" w:rsidRDefault="00F34592" w:rsidP="00F34592">
      <w:pPr>
        <w:jc w:val="both"/>
        <w:rPr>
          <w:lang w:val="es-CR"/>
        </w:rPr>
      </w:pPr>
    </w:p>
    <w:p w:rsidR="00F34592" w:rsidRPr="002C0A2B" w:rsidRDefault="00F34592" w:rsidP="00F34592">
      <w:pPr>
        <w:jc w:val="center"/>
        <w:rPr>
          <w:lang w:val="es-ES"/>
        </w:rPr>
      </w:pPr>
      <w:r w:rsidRPr="002C0A2B">
        <w:rPr>
          <w:lang w:val="es-ES"/>
        </w:rPr>
        <w:t>Humberto Antonio Sierra Porto</w:t>
      </w:r>
    </w:p>
    <w:p w:rsidR="00F34592" w:rsidRPr="002C0A2B" w:rsidRDefault="00F34592" w:rsidP="00F34592">
      <w:pPr>
        <w:jc w:val="center"/>
        <w:rPr>
          <w:lang w:val="es-ES"/>
        </w:rPr>
      </w:pPr>
      <w:r w:rsidRPr="002C0A2B">
        <w:rPr>
          <w:lang w:val="es-ES"/>
        </w:rPr>
        <w:t xml:space="preserve">Presidente </w:t>
      </w:r>
    </w:p>
    <w:p w:rsidR="00F34592" w:rsidRPr="002C0A2B" w:rsidRDefault="00F34592" w:rsidP="00F34592">
      <w:pPr>
        <w:jc w:val="both"/>
        <w:rPr>
          <w:lang w:val="es-ES"/>
        </w:rPr>
      </w:pPr>
    </w:p>
    <w:p w:rsidR="00F34592" w:rsidRDefault="00F34592" w:rsidP="00F34592">
      <w:pPr>
        <w:jc w:val="both"/>
        <w:rPr>
          <w:lang w:val="es-ES"/>
        </w:rPr>
      </w:pPr>
    </w:p>
    <w:p w:rsidR="00F34592" w:rsidRPr="002C0A2B" w:rsidRDefault="00F34592" w:rsidP="00F34592">
      <w:pPr>
        <w:jc w:val="both"/>
        <w:rPr>
          <w:lang w:val="es-ES"/>
        </w:rPr>
      </w:pPr>
    </w:p>
    <w:p w:rsidR="00F34592" w:rsidRDefault="00F34592" w:rsidP="00F34592">
      <w:pPr>
        <w:jc w:val="both"/>
        <w:rPr>
          <w:lang w:val="es-ES"/>
        </w:rPr>
      </w:pPr>
    </w:p>
    <w:p w:rsidR="00F34592" w:rsidRPr="002C0A2B" w:rsidRDefault="00F34592" w:rsidP="00F34592">
      <w:pPr>
        <w:jc w:val="both"/>
        <w:rPr>
          <w:lang w:val="es-ES"/>
        </w:rPr>
      </w:pPr>
    </w:p>
    <w:p w:rsidR="00F34592" w:rsidRPr="002C0A2B" w:rsidRDefault="00F34592" w:rsidP="00F34592">
      <w:pPr>
        <w:jc w:val="both"/>
        <w:rPr>
          <w:lang w:val="es-ES"/>
        </w:rPr>
      </w:pPr>
      <w:r w:rsidRPr="002C0A2B">
        <w:rPr>
          <w:lang w:val="es-ES"/>
        </w:rPr>
        <w:t>Roberto F. Caldas</w:t>
      </w:r>
      <w:r w:rsidRPr="002C0A2B">
        <w:rPr>
          <w:lang w:val="es-ES"/>
        </w:rPr>
        <w:tab/>
      </w:r>
      <w:r w:rsidRPr="002C0A2B">
        <w:rPr>
          <w:lang w:val="es-ES"/>
        </w:rPr>
        <w:tab/>
      </w:r>
      <w:r w:rsidRPr="002C0A2B">
        <w:rPr>
          <w:lang w:val="es-ES"/>
        </w:rPr>
        <w:tab/>
      </w:r>
      <w:r w:rsidRPr="002C0A2B">
        <w:rPr>
          <w:lang w:val="es-ES"/>
        </w:rPr>
        <w:tab/>
      </w:r>
      <w:r w:rsidRPr="002C0A2B">
        <w:rPr>
          <w:lang w:val="es-ES"/>
        </w:rPr>
        <w:tab/>
      </w:r>
      <w:r w:rsidRPr="002C0A2B">
        <w:rPr>
          <w:lang w:val="es-ES"/>
        </w:rPr>
        <w:tab/>
      </w:r>
      <w:r>
        <w:rPr>
          <w:lang w:val="es-ES"/>
        </w:rPr>
        <w:tab/>
        <w:t xml:space="preserve">   </w:t>
      </w:r>
      <w:r w:rsidRPr="002C0A2B">
        <w:rPr>
          <w:lang w:val="es-ES"/>
        </w:rPr>
        <w:t xml:space="preserve"> Manuel E. Ventura Robles</w:t>
      </w:r>
    </w:p>
    <w:p w:rsidR="00F34592" w:rsidRPr="002C0A2B" w:rsidRDefault="00F34592" w:rsidP="00F34592">
      <w:pPr>
        <w:jc w:val="both"/>
        <w:rPr>
          <w:lang w:val="es-ES"/>
        </w:rPr>
      </w:pPr>
    </w:p>
    <w:p w:rsidR="00F34592" w:rsidRPr="002C0A2B" w:rsidRDefault="00F34592" w:rsidP="00F34592">
      <w:pPr>
        <w:jc w:val="both"/>
        <w:rPr>
          <w:lang w:val="es-ES"/>
        </w:rPr>
      </w:pPr>
    </w:p>
    <w:p w:rsidR="00F34592" w:rsidRPr="002C0A2B" w:rsidRDefault="00F34592" w:rsidP="00F34592">
      <w:pPr>
        <w:jc w:val="both"/>
        <w:rPr>
          <w:lang w:val="es-ES"/>
        </w:rPr>
      </w:pPr>
    </w:p>
    <w:p w:rsidR="00F34592" w:rsidRDefault="00F34592" w:rsidP="00F34592">
      <w:pPr>
        <w:jc w:val="both"/>
        <w:rPr>
          <w:lang w:val="es-ES"/>
        </w:rPr>
      </w:pPr>
    </w:p>
    <w:p w:rsidR="00F34592" w:rsidRPr="002C0A2B" w:rsidRDefault="00F34592" w:rsidP="00F34592">
      <w:pPr>
        <w:jc w:val="both"/>
        <w:rPr>
          <w:lang w:val="es-ES"/>
        </w:rPr>
      </w:pPr>
    </w:p>
    <w:p w:rsidR="00F34592" w:rsidRDefault="00F34592" w:rsidP="00F34592">
      <w:pPr>
        <w:jc w:val="both"/>
        <w:rPr>
          <w:lang w:val="es-ES"/>
        </w:rPr>
      </w:pPr>
      <w:r w:rsidRPr="002C0A2B">
        <w:rPr>
          <w:lang w:val="es-ES"/>
        </w:rPr>
        <w:t xml:space="preserve">Alberto Pérez </w:t>
      </w:r>
      <w:proofErr w:type="spellStart"/>
      <w:r w:rsidRPr="002C0A2B">
        <w:rPr>
          <w:lang w:val="es-ES"/>
        </w:rPr>
        <w:t>Pérez</w:t>
      </w:r>
      <w:proofErr w:type="spellEnd"/>
      <w:r w:rsidRPr="00512D32">
        <w:rPr>
          <w:lang w:val="es-ES"/>
        </w:rPr>
        <w:t xml:space="preserve"> </w:t>
      </w:r>
      <w:r>
        <w:rPr>
          <w:lang w:val="es-ES"/>
        </w:rPr>
        <w:tab/>
      </w:r>
      <w:r>
        <w:rPr>
          <w:lang w:val="es-ES"/>
        </w:rPr>
        <w:tab/>
      </w:r>
      <w:r>
        <w:rPr>
          <w:lang w:val="es-ES"/>
        </w:rPr>
        <w:tab/>
      </w:r>
      <w:r>
        <w:rPr>
          <w:lang w:val="es-ES"/>
        </w:rPr>
        <w:tab/>
      </w:r>
      <w:r>
        <w:rPr>
          <w:lang w:val="es-ES"/>
        </w:rPr>
        <w:tab/>
      </w:r>
      <w:r>
        <w:rPr>
          <w:lang w:val="es-ES"/>
        </w:rPr>
        <w:tab/>
      </w:r>
      <w:r>
        <w:rPr>
          <w:lang w:val="es-ES"/>
        </w:rPr>
        <w:tab/>
      </w:r>
      <w:r>
        <w:rPr>
          <w:lang w:val="es-ES"/>
        </w:rPr>
        <w:tab/>
        <w:t xml:space="preserve">   </w:t>
      </w:r>
      <w:r w:rsidRPr="002C0A2B">
        <w:rPr>
          <w:lang w:val="es-ES"/>
        </w:rPr>
        <w:t>Eduardo Vio Grossi</w:t>
      </w:r>
    </w:p>
    <w:p w:rsidR="00F34592" w:rsidRPr="002C0A2B" w:rsidRDefault="00F34592" w:rsidP="00F34592">
      <w:pPr>
        <w:jc w:val="both"/>
        <w:rPr>
          <w:lang w:val="es-ES"/>
        </w:rPr>
      </w:pPr>
      <w:r w:rsidRPr="002C0A2B">
        <w:rPr>
          <w:lang w:val="es-ES"/>
        </w:rPr>
        <w:t xml:space="preserve">               </w:t>
      </w:r>
      <w:r>
        <w:rPr>
          <w:lang w:val="es-ES"/>
        </w:rPr>
        <w:t xml:space="preserve">                               </w:t>
      </w:r>
    </w:p>
    <w:p w:rsidR="00F34592" w:rsidRPr="002C0A2B" w:rsidRDefault="00F34592" w:rsidP="00F34592">
      <w:pPr>
        <w:jc w:val="both"/>
        <w:rPr>
          <w:lang w:val="es-ES"/>
        </w:rPr>
      </w:pPr>
    </w:p>
    <w:p w:rsidR="00F34592" w:rsidRDefault="00F34592" w:rsidP="00F34592">
      <w:pPr>
        <w:jc w:val="both"/>
        <w:rPr>
          <w:lang w:val="es-ES"/>
        </w:rPr>
      </w:pPr>
    </w:p>
    <w:p w:rsidR="00F34592" w:rsidRDefault="00F34592" w:rsidP="00F34592">
      <w:pPr>
        <w:jc w:val="both"/>
        <w:rPr>
          <w:lang w:val="es-ES"/>
        </w:rPr>
      </w:pPr>
    </w:p>
    <w:p w:rsidR="00F34592" w:rsidRPr="002C0A2B" w:rsidRDefault="00F34592" w:rsidP="00F34592">
      <w:pPr>
        <w:jc w:val="both"/>
        <w:rPr>
          <w:lang w:val="es-ES"/>
        </w:rPr>
      </w:pPr>
    </w:p>
    <w:p w:rsidR="00F34592" w:rsidRDefault="00F34592" w:rsidP="00F34592">
      <w:pPr>
        <w:jc w:val="center"/>
        <w:rPr>
          <w:lang w:val="es-ES"/>
        </w:rPr>
      </w:pPr>
    </w:p>
    <w:p w:rsidR="00F34592" w:rsidRPr="002C0A2B" w:rsidRDefault="00F34592" w:rsidP="00F34592">
      <w:pPr>
        <w:jc w:val="center"/>
        <w:rPr>
          <w:lang w:val="es-ES"/>
        </w:rPr>
      </w:pPr>
      <w:r w:rsidRPr="002C0A2B">
        <w:rPr>
          <w:lang w:val="es-ES"/>
        </w:rPr>
        <w:t>Eduardo Ferrer Mac-</w:t>
      </w:r>
      <w:proofErr w:type="spellStart"/>
      <w:r w:rsidRPr="002C0A2B">
        <w:rPr>
          <w:lang w:val="es-ES"/>
        </w:rPr>
        <w:t>Gregor</w:t>
      </w:r>
      <w:proofErr w:type="spellEnd"/>
      <w:r w:rsidRPr="002C0A2B">
        <w:rPr>
          <w:lang w:val="es-ES"/>
        </w:rPr>
        <w:t xml:space="preserve"> </w:t>
      </w:r>
      <w:proofErr w:type="spellStart"/>
      <w:r w:rsidRPr="002C0A2B">
        <w:rPr>
          <w:lang w:val="es-ES"/>
        </w:rPr>
        <w:t>Poisot</w:t>
      </w:r>
      <w:proofErr w:type="spellEnd"/>
    </w:p>
    <w:p w:rsidR="00F34592" w:rsidRDefault="00F34592" w:rsidP="00F34592">
      <w:pPr>
        <w:jc w:val="both"/>
        <w:rPr>
          <w:lang w:val="es-ES"/>
        </w:rPr>
      </w:pPr>
    </w:p>
    <w:p w:rsidR="00F34592" w:rsidRPr="002C0A2B" w:rsidRDefault="00F34592" w:rsidP="00F34592">
      <w:pPr>
        <w:jc w:val="both"/>
        <w:rPr>
          <w:lang w:val="es-CR"/>
        </w:rPr>
      </w:pPr>
    </w:p>
    <w:p w:rsidR="00F34592" w:rsidRDefault="00F34592" w:rsidP="00F34592">
      <w:pPr>
        <w:jc w:val="center"/>
        <w:rPr>
          <w:lang w:val="es-ES"/>
        </w:rPr>
      </w:pPr>
    </w:p>
    <w:p w:rsidR="00F34592" w:rsidRDefault="00F34592" w:rsidP="00F34592">
      <w:pPr>
        <w:jc w:val="center"/>
        <w:rPr>
          <w:lang w:val="es-ES"/>
        </w:rPr>
      </w:pPr>
    </w:p>
    <w:p w:rsidR="00F34592" w:rsidRDefault="00F34592" w:rsidP="00F34592">
      <w:pPr>
        <w:jc w:val="center"/>
        <w:rPr>
          <w:lang w:val="es-ES"/>
        </w:rPr>
      </w:pPr>
    </w:p>
    <w:p w:rsidR="00F34592" w:rsidRDefault="00F34592" w:rsidP="00F34592">
      <w:pPr>
        <w:jc w:val="center"/>
        <w:rPr>
          <w:lang w:val="es-ES"/>
        </w:rPr>
      </w:pPr>
    </w:p>
    <w:p w:rsidR="00F34592" w:rsidRPr="002C0A2B" w:rsidRDefault="00F34592" w:rsidP="00F34592">
      <w:pPr>
        <w:jc w:val="center"/>
        <w:rPr>
          <w:lang w:val="es-ES"/>
        </w:rPr>
      </w:pPr>
      <w:r w:rsidRPr="002C0A2B">
        <w:rPr>
          <w:lang w:val="es-ES"/>
        </w:rPr>
        <w:t>Pablo Saavedra Alessandri</w:t>
      </w:r>
    </w:p>
    <w:p w:rsidR="00F34592" w:rsidRPr="002C0A2B" w:rsidRDefault="00F34592" w:rsidP="00F34592">
      <w:pPr>
        <w:jc w:val="center"/>
        <w:rPr>
          <w:lang w:val="es-ES"/>
        </w:rPr>
      </w:pPr>
      <w:r w:rsidRPr="002C0A2B">
        <w:rPr>
          <w:lang w:val="es-ES"/>
        </w:rPr>
        <w:t>Secretario</w:t>
      </w:r>
    </w:p>
    <w:p w:rsidR="00F34592" w:rsidRPr="002C0A2B" w:rsidRDefault="00F34592" w:rsidP="00F34592">
      <w:pPr>
        <w:rPr>
          <w:lang w:val="es-ES"/>
        </w:rPr>
      </w:pPr>
    </w:p>
    <w:p w:rsidR="00F34592" w:rsidRPr="002C0A2B" w:rsidRDefault="00F34592" w:rsidP="00F34592">
      <w:pPr>
        <w:jc w:val="both"/>
        <w:rPr>
          <w:lang w:val="es-ES"/>
        </w:rPr>
      </w:pPr>
    </w:p>
    <w:p w:rsidR="00F34592" w:rsidRPr="002C0A2B" w:rsidRDefault="00F34592" w:rsidP="00F34592">
      <w:pPr>
        <w:jc w:val="both"/>
        <w:rPr>
          <w:lang w:val="es-ES"/>
        </w:rPr>
      </w:pPr>
    </w:p>
    <w:p w:rsidR="00F34592" w:rsidRPr="002C0A2B" w:rsidRDefault="00F34592" w:rsidP="00F34592">
      <w:pPr>
        <w:jc w:val="both"/>
        <w:rPr>
          <w:lang w:val="es-ES"/>
        </w:rPr>
      </w:pPr>
      <w:r w:rsidRPr="002C0A2B">
        <w:rPr>
          <w:lang w:val="es-ES"/>
        </w:rPr>
        <w:t>Comuníquese y ejecútese,</w:t>
      </w:r>
    </w:p>
    <w:p w:rsidR="00F34592" w:rsidRPr="002C0A2B" w:rsidRDefault="00F34592" w:rsidP="00F34592">
      <w:pPr>
        <w:jc w:val="both"/>
        <w:rPr>
          <w:lang w:val="es-ES"/>
        </w:rPr>
      </w:pPr>
    </w:p>
    <w:p w:rsidR="00F34592" w:rsidRPr="002C0A2B" w:rsidRDefault="00F34592" w:rsidP="00F34592">
      <w:pPr>
        <w:jc w:val="both"/>
        <w:rPr>
          <w:lang w:val="es-ES"/>
        </w:rPr>
      </w:pPr>
    </w:p>
    <w:p w:rsidR="00F34592" w:rsidRPr="002C0A2B" w:rsidRDefault="00F34592" w:rsidP="00F34592">
      <w:pPr>
        <w:jc w:val="both"/>
        <w:rPr>
          <w:lang w:val="es-ES"/>
        </w:rPr>
      </w:pPr>
    </w:p>
    <w:p w:rsidR="00F34592" w:rsidRPr="002C0A2B" w:rsidRDefault="00F34592" w:rsidP="00F34592">
      <w:pPr>
        <w:jc w:val="both"/>
        <w:rPr>
          <w:lang w:val="es-CR"/>
        </w:rPr>
      </w:pPr>
    </w:p>
    <w:p w:rsidR="00F34592" w:rsidRPr="002C0A2B" w:rsidRDefault="00F34592" w:rsidP="00F34592">
      <w:pPr>
        <w:ind w:left="5040"/>
        <w:rPr>
          <w:lang w:val="es-ES"/>
        </w:rPr>
      </w:pPr>
      <w:r w:rsidRPr="002C0A2B">
        <w:rPr>
          <w:lang w:val="es-ES"/>
        </w:rPr>
        <w:t xml:space="preserve">       Humberto Antonio Sierra Porto</w:t>
      </w:r>
      <w:r w:rsidRPr="002C0A2B">
        <w:rPr>
          <w:lang w:val="es-ES"/>
        </w:rPr>
        <w:tab/>
      </w:r>
    </w:p>
    <w:p w:rsidR="00F34592" w:rsidRPr="002C0A2B" w:rsidRDefault="00F34592" w:rsidP="00F34592">
      <w:pPr>
        <w:ind w:left="5760"/>
        <w:rPr>
          <w:lang w:val="es-ES"/>
        </w:rPr>
      </w:pPr>
      <w:r>
        <w:rPr>
          <w:lang w:val="es-ES"/>
        </w:rPr>
        <w:t xml:space="preserve">          </w:t>
      </w:r>
      <w:r w:rsidRPr="002C0A2B">
        <w:rPr>
          <w:lang w:val="es-ES"/>
        </w:rPr>
        <w:t>Presidente</w:t>
      </w:r>
    </w:p>
    <w:p w:rsidR="00F34592" w:rsidRPr="002C0A2B" w:rsidRDefault="00F34592" w:rsidP="00F34592">
      <w:pPr>
        <w:jc w:val="both"/>
        <w:rPr>
          <w:lang w:val="es-ES"/>
        </w:rPr>
      </w:pPr>
    </w:p>
    <w:p w:rsidR="00F34592" w:rsidRPr="002C0A2B" w:rsidRDefault="00F34592" w:rsidP="00F34592">
      <w:pPr>
        <w:jc w:val="both"/>
        <w:rPr>
          <w:lang w:val="es-ES"/>
        </w:rPr>
      </w:pPr>
    </w:p>
    <w:p w:rsidR="00F34592" w:rsidRPr="002C0A2B" w:rsidRDefault="00F34592" w:rsidP="00F34592">
      <w:pPr>
        <w:jc w:val="both"/>
        <w:rPr>
          <w:lang w:val="es-ES"/>
        </w:rPr>
      </w:pPr>
    </w:p>
    <w:p w:rsidR="00F34592" w:rsidRPr="002C0A2B" w:rsidRDefault="00F34592" w:rsidP="00F34592">
      <w:pPr>
        <w:jc w:val="both"/>
        <w:rPr>
          <w:lang w:val="es-ES"/>
        </w:rPr>
      </w:pPr>
    </w:p>
    <w:p w:rsidR="00F34592" w:rsidRPr="002C0A2B" w:rsidRDefault="00F34592" w:rsidP="00F34592">
      <w:pPr>
        <w:jc w:val="both"/>
        <w:rPr>
          <w:lang w:val="es-ES"/>
        </w:rPr>
      </w:pPr>
      <w:r w:rsidRPr="002C0A2B">
        <w:rPr>
          <w:lang w:val="es-ES"/>
        </w:rPr>
        <w:t>Pablo Saavedra Alessandri</w:t>
      </w:r>
    </w:p>
    <w:p w:rsidR="00E2210E" w:rsidRPr="00EA7DE6" w:rsidRDefault="00F34592" w:rsidP="00EA7DE6">
      <w:r w:rsidRPr="002C0A2B">
        <w:rPr>
          <w:lang w:val="es-ES"/>
        </w:rPr>
        <w:tab/>
      </w:r>
      <w:r w:rsidRPr="002C0A2B">
        <w:t>Secretario</w:t>
      </w:r>
    </w:p>
    <w:sectPr w:rsidR="00E2210E" w:rsidRPr="00EA7DE6" w:rsidSect="00B946D7">
      <w:headerReference w:type="even" r:id="rId11"/>
      <w:headerReference w:type="default" r:id="rId12"/>
      <w:pgSz w:w="12240" w:h="15840" w:code="1"/>
      <w:pgMar w:top="1440" w:right="1080" w:bottom="1440" w:left="1080" w:header="706" w:footer="706" w:gutter="0"/>
      <w:pgNumType w:start="1"/>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35F51" w:rsidRDefault="00A35F51" w:rsidP="00E2210E">
      <w:r>
        <w:separator/>
      </w:r>
    </w:p>
  </w:endnote>
  <w:endnote w:type="continuationSeparator" w:id="0">
    <w:p w:rsidR="00A35F51" w:rsidRDefault="00A35F51" w:rsidP="00E2210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Verdana">
    <w:panose1 w:val="020B0604030504040204"/>
    <w:charset w:val="00"/>
    <w:family w:val="swiss"/>
    <w:pitch w:val="variable"/>
    <w:sig w:usb0="A10006FF" w:usb1="4000205B" w:usb2="00000010" w:usb3="00000000" w:csb0="0000019F" w:csb1="00000000"/>
  </w:font>
  <w:font w:name="Times">
    <w:panose1 w:val="02020603050405020304"/>
    <w:charset w:val="00"/>
    <w:family w:val="roman"/>
    <w:pitch w:val="variable"/>
    <w:sig w:usb0="E0002EFF" w:usb1="C000785B"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G Times">
    <w:charset w:val="00"/>
    <w:family w:val="roman"/>
    <w:pitch w:val="variable"/>
    <w:sig w:usb0="00000003" w:usb1="00000000" w:usb2="00000000" w:usb3="00000000" w:csb0="00000001"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00"/>
    <w:family w:val="swiss"/>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35F51" w:rsidRDefault="00A35F51" w:rsidP="00E2210E">
      <w:r>
        <w:separator/>
      </w:r>
    </w:p>
  </w:footnote>
  <w:footnote w:type="continuationSeparator" w:id="0">
    <w:p w:rsidR="00A35F51" w:rsidRDefault="00A35F51" w:rsidP="00E2210E">
      <w:r>
        <w:continuationSeparator/>
      </w:r>
    </w:p>
  </w:footnote>
  <w:footnote w:id="1">
    <w:p w:rsidR="00B918A2" w:rsidRPr="00697F71" w:rsidRDefault="00B918A2" w:rsidP="00BC3917">
      <w:pPr>
        <w:pStyle w:val="Textonotapie"/>
        <w:rPr>
          <w:szCs w:val="16"/>
          <w:lang w:val="es-CR"/>
        </w:rPr>
      </w:pPr>
      <w:r w:rsidRPr="00697F71">
        <w:rPr>
          <w:rStyle w:val="Refdenotaalpie"/>
          <w:szCs w:val="16"/>
        </w:rPr>
        <w:sym w:font="Symbol" w:char="F02A"/>
      </w:r>
      <w:r w:rsidRPr="00697F71">
        <w:rPr>
          <w:szCs w:val="16"/>
        </w:rPr>
        <w:t xml:space="preserve"> </w:t>
      </w:r>
      <w:r w:rsidRPr="00697F71">
        <w:rPr>
          <w:szCs w:val="16"/>
          <w:lang w:val="es-CR"/>
        </w:rPr>
        <w:tab/>
      </w:r>
      <w:r w:rsidRPr="00697F71">
        <w:rPr>
          <w:szCs w:val="16"/>
        </w:rPr>
        <w:t xml:space="preserve">El Juez Diego García-Sayán, de nacionalidad peruana, no participó en el conocimiento y deliberación </w:t>
      </w:r>
      <w:r w:rsidR="00AA0B89">
        <w:rPr>
          <w:szCs w:val="16"/>
        </w:rPr>
        <w:t>del</w:t>
      </w:r>
      <w:r w:rsidRPr="00697F71">
        <w:rPr>
          <w:szCs w:val="16"/>
        </w:rPr>
        <w:t xml:space="preserve"> presente </w:t>
      </w:r>
      <w:r w:rsidR="00AA0B89">
        <w:rPr>
          <w:szCs w:val="16"/>
        </w:rPr>
        <w:t>caso,</w:t>
      </w:r>
      <w:r w:rsidRPr="00697F71">
        <w:rPr>
          <w:szCs w:val="16"/>
        </w:rPr>
        <w:t xml:space="preserve"> de conformidad con lo dispuesto en el artículo 19.1 del Reglamento de la Corte. </w:t>
      </w:r>
    </w:p>
  </w:footnote>
  <w:footnote w:id="2">
    <w:p w:rsidR="00B918A2" w:rsidRPr="00697F71" w:rsidRDefault="00B918A2" w:rsidP="00BC3917">
      <w:pPr>
        <w:pStyle w:val="Textonotapie"/>
        <w:rPr>
          <w:szCs w:val="16"/>
          <w:lang w:val="es-CO"/>
        </w:rPr>
      </w:pPr>
      <w:r w:rsidRPr="00697F71">
        <w:rPr>
          <w:rStyle w:val="Refdenotaalpie"/>
          <w:szCs w:val="16"/>
          <w:lang w:val="es-CO"/>
        </w:rPr>
        <w:footnoteRef/>
      </w:r>
      <w:r w:rsidRPr="00697F71">
        <w:rPr>
          <w:szCs w:val="16"/>
          <w:lang w:val="es-CO"/>
        </w:rPr>
        <w:t xml:space="preserve"> </w:t>
      </w:r>
      <w:r w:rsidRPr="00697F71">
        <w:rPr>
          <w:szCs w:val="16"/>
          <w:lang w:val="es-CO"/>
        </w:rPr>
        <w:tab/>
        <w:t>La Asociación Pro Derechos Humanos (APRODEH) y el Centro por la Justicia y el Derecho Internacional (CEJIL) ejercen la representación de las víctimas en el presente caso.</w:t>
      </w:r>
    </w:p>
  </w:footnote>
  <w:footnote w:id="3">
    <w:p w:rsidR="00B918A2" w:rsidRPr="00697F71" w:rsidRDefault="00B918A2" w:rsidP="00BC3917">
      <w:pPr>
        <w:pStyle w:val="Textonotapie"/>
        <w:rPr>
          <w:szCs w:val="16"/>
          <w:lang w:val="es-CO"/>
        </w:rPr>
      </w:pPr>
      <w:r w:rsidRPr="00697F71">
        <w:rPr>
          <w:rStyle w:val="Refdenotaalpie"/>
          <w:szCs w:val="16"/>
          <w:lang w:val="es-CO"/>
        </w:rPr>
        <w:footnoteRef/>
      </w:r>
      <w:r w:rsidRPr="00697F71">
        <w:rPr>
          <w:szCs w:val="16"/>
          <w:lang w:val="es-CO"/>
        </w:rPr>
        <w:t xml:space="preserve"> </w:t>
      </w:r>
      <w:r w:rsidRPr="00697F71">
        <w:rPr>
          <w:szCs w:val="16"/>
          <w:lang w:val="es-CO"/>
        </w:rPr>
        <w:tab/>
      </w:r>
      <w:r w:rsidRPr="00697F71">
        <w:rPr>
          <w:i/>
          <w:szCs w:val="16"/>
          <w:lang w:val="es-CO"/>
        </w:rPr>
        <w:t xml:space="preserve">Cfr. </w:t>
      </w:r>
      <w:r w:rsidRPr="00697F71">
        <w:rPr>
          <w:i/>
          <w:szCs w:val="16"/>
        </w:rPr>
        <w:t xml:space="preserve">Caso Loayza Tamayo Vs. Perú. Interpretación de la Sentencia de Fondo. </w:t>
      </w:r>
      <w:r w:rsidRPr="00697F71">
        <w:rPr>
          <w:szCs w:val="16"/>
        </w:rPr>
        <w:t>Resolución de la Corte de 8 de marzo de 1998. Serie C No. 47</w:t>
      </w:r>
      <w:r w:rsidRPr="00697F71">
        <w:rPr>
          <w:szCs w:val="16"/>
          <w:lang w:val="es-CO"/>
        </w:rPr>
        <w:t xml:space="preserve">, párr. 16, y </w:t>
      </w:r>
      <w:r w:rsidRPr="00697F71">
        <w:rPr>
          <w:i/>
          <w:szCs w:val="16"/>
          <w:lang w:val="es-CO"/>
        </w:rPr>
        <w:t xml:space="preserve">Caso </w:t>
      </w:r>
      <w:r>
        <w:rPr>
          <w:i/>
          <w:szCs w:val="16"/>
          <w:lang w:val="es-CO"/>
        </w:rPr>
        <w:t>J.</w:t>
      </w:r>
      <w:r w:rsidRPr="00697F71">
        <w:rPr>
          <w:i/>
          <w:szCs w:val="16"/>
          <w:lang w:val="es-CO"/>
        </w:rPr>
        <w:t xml:space="preserve"> Vs. </w:t>
      </w:r>
      <w:r>
        <w:rPr>
          <w:i/>
          <w:szCs w:val="16"/>
          <w:lang w:val="es-CO"/>
        </w:rPr>
        <w:t>Perú</w:t>
      </w:r>
      <w:r w:rsidRPr="00697F71">
        <w:rPr>
          <w:i/>
          <w:szCs w:val="16"/>
          <w:lang w:val="es-CO"/>
        </w:rPr>
        <w:t>. Interpretación de la Sentencia de Excepción Preliminar, Fondo, Reparaciones y Costas.</w:t>
      </w:r>
      <w:r w:rsidRPr="00697F71">
        <w:rPr>
          <w:szCs w:val="16"/>
          <w:lang w:val="es-CO"/>
        </w:rPr>
        <w:t xml:space="preserve"> Sentencia de </w:t>
      </w:r>
      <w:r>
        <w:rPr>
          <w:szCs w:val="16"/>
          <w:lang w:val="es-CO"/>
        </w:rPr>
        <w:t>20 de noviembre</w:t>
      </w:r>
      <w:r w:rsidRPr="00697F71">
        <w:rPr>
          <w:szCs w:val="16"/>
          <w:lang w:val="es-CO"/>
        </w:rPr>
        <w:t xml:space="preserve"> de 2014. Serie C No. 2</w:t>
      </w:r>
      <w:r w:rsidR="00F44D55">
        <w:rPr>
          <w:szCs w:val="16"/>
          <w:lang w:val="es-CO"/>
        </w:rPr>
        <w:t>91</w:t>
      </w:r>
      <w:r w:rsidRPr="00697F71">
        <w:rPr>
          <w:szCs w:val="16"/>
          <w:lang w:val="es-CO"/>
        </w:rPr>
        <w:t>, párr. 1</w:t>
      </w:r>
      <w:r>
        <w:rPr>
          <w:szCs w:val="16"/>
          <w:lang w:val="es-CO"/>
        </w:rPr>
        <w:t>2</w:t>
      </w:r>
      <w:r w:rsidRPr="00697F71">
        <w:rPr>
          <w:szCs w:val="16"/>
          <w:lang w:val="es-CO"/>
        </w:rPr>
        <w:t>.</w:t>
      </w:r>
    </w:p>
  </w:footnote>
  <w:footnote w:id="4">
    <w:p w:rsidR="00B918A2" w:rsidRPr="00697F71" w:rsidRDefault="00B918A2" w:rsidP="00BC3917">
      <w:pPr>
        <w:pStyle w:val="Textonotapie"/>
        <w:rPr>
          <w:szCs w:val="16"/>
          <w:lang w:val="es-CO"/>
        </w:rPr>
      </w:pPr>
      <w:r w:rsidRPr="00697F71">
        <w:rPr>
          <w:rStyle w:val="Refdenotaalpie"/>
          <w:szCs w:val="16"/>
          <w:lang w:val="es-CO"/>
        </w:rPr>
        <w:footnoteRef/>
      </w:r>
      <w:r w:rsidRPr="00697F71">
        <w:rPr>
          <w:szCs w:val="16"/>
          <w:lang w:val="es-CO"/>
        </w:rPr>
        <w:t xml:space="preserve"> </w:t>
      </w:r>
      <w:r w:rsidRPr="00697F71">
        <w:rPr>
          <w:szCs w:val="16"/>
          <w:lang w:val="es-CO"/>
        </w:rPr>
        <w:tab/>
      </w:r>
      <w:r w:rsidRPr="00697F71">
        <w:rPr>
          <w:i/>
          <w:szCs w:val="16"/>
          <w:lang w:val="es-CO"/>
        </w:rPr>
        <w:t xml:space="preserve">Cfr. Caso Loayza Tamayo Vs. Perú. </w:t>
      </w:r>
      <w:r w:rsidRPr="00697F71">
        <w:rPr>
          <w:i/>
          <w:szCs w:val="16"/>
        </w:rPr>
        <w:t>Interpretación de la Sentencia de Fondo</w:t>
      </w:r>
      <w:r w:rsidR="003D33C7">
        <w:rPr>
          <w:i/>
          <w:szCs w:val="16"/>
        </w:rPr>
        <w:t xml:space="preserve">, supra, </w:t>
      </w:r>
      <w:r w:rsidRPr="00697F71">
        <w:rPr>
          <w:szCs w:val="16"/>
          <w:lang w:val="es-CO"/>
        </w:rPr>
        <w:t xml:space="preserve">párr. 16, y </w:t>
      </w:r>
      <w:r w:rsidRPr="00697F71">
        <w:rPr>
          <w:i/>
          <w:szCs w:val="16"/>
          <w:lang w:val="es-CO"/>
        </w:rPr>
        <w:t xml:space="preserve">Caso </w:t>
      </w:r>
      <w:r>
        <w:rPr>
          <w:i/>
          <w:szCs w:val="16"/>
          <w:lang w:val="es-CO"/>
        </w:rPr>
        <w:t>J. Vs. Perú</w:t>
      </w:r>
      <w:r w:rsidRPr="00697F71">
        <w:rPr>
          <w:szCs w:val="16"/>
          <w:lang w:val="es-CO"/>
        </w:rPr>
        <w:t xml:space="preserve">, </w:t>
      </w:r>
      <w:r w:rsidR="003D33C7" w:rsidRPr="00E35A48">
        <w:rPr>
          <w:i/>
          <w:szCs w:val="16"/>
          <w:lang w:val="es-CO"/>
        </w:rPr>
        <w:t>supra,</w:t>
      </w:r>
      <w:r w:rsidR="003D33C7">
        <w:rPr>
          <w:szCs w:val="16"/>
          <w:lang w:val="es-CO"/>
        </w:rPr>
        <w:t xml:space="preserve"> </w:t>
      </w:r>
      <w:r w:rsidRPr="00697F71">
        <w:rPr>
          <w:szCs w:val="16"/>
          <w:lang w:val="es-CO"/>
        </w:rPr>
        <w:t xml:space="preserve">párr. </w:t>
      </w:r>
      <w:r w:rsidR="003D33C7" w:rsidRPr="00697F71">
        <w:rPr>
          <w:szCs w:val="16"/>
          <w:lang w:val="es-CO"/>
        </w:rPr>
        <w:t>1</w:t>
      </w:r>
      <w:r w:rsidR="003D33C7">
        <w:rPr>
          <w:szCs w:val="16"/>
          <w:lang w:val="es-CO"/>
        </w:rPr>
        <w:t>2</w:t>
      </w:r>
      <w:r w:rsidRPr="00697F71">
        <w:rPr>
          <w:szCs w:val="16"/>
          <w:lang w:val="es-CO"/>
        </w:rPr>
        <w:t>.</w:t>
      </w:r>
    </w:p>
  </w:footnote>
  <w:footnote w:id="5">
    <w:p w:rsidR="00B918A2" w:rsidRPr="00697F71" w:rsidRDefault="00B918A2" w:rsidP="005B2BBD">
      <w:pPr>
        <w:pStyle w:val="Textonotapie"/>
        <w:rPr>
          <w:lang w:val="es-PR"/>
        </w:rPr>
      </w:pPr>
      <w:r w:rsidRPr="00697F71">
        <w:rPr>
          <w:rStyle w:val="Refdenotaalpie"/>
        </w:rPr>
        <w:footnoteRef/>
      </w:r>
      <w:r w:rsidRPr="00697F71">
        <w:t xml:space="preserve"> </w:t>
      </w:r>
      <w:r w:rsidR="00787636">
        <w:tab/>
      </w:r>
      <w:r w:rsidRPr="00697F71">
        <w:rPr>
          <w:i/>
        </w:rPr>
        <w:t>Caso Espinoza Gonzáles Vs. Perú</w:t>
      </w:r>
      <w:r w:rsidRPr="00697F71">
        <w:t xml:space="preserve">. </w:t>
      </w:r>
      <w:r w:rsidRPr="00697F71">
        <w:rPr>
          <w:i/>
        </w:rPr>
        <w:t>Excepciones Preliminares, Fondo, Reparaciones y Costas</w:t>
      </w:r>
      <w:r w:rsidRPr="00697F71">
        <w:t>. Sentencia de 20 de noviembre de 2014. Serie C No. 289, párr. 277.</w:t>
      </w:r>
    </w:p>
  </w:footnote>
  <w:footnote w:id="6">
    <w:p w:rsidR="005350E9" w:rsidRDefault="005350E9" w:rsidP="005350E9">
      <w:pPr>
        <w:pStyle w:val="Textonotapie"/>
        <w:rPr>
          <w:rFonts w:eastAsia="Times New Roman"/>
          <w:spacing w:val="-4"/>
          <w:szCs w:val="16"/>
          <w:lang w:val="es-GT"/>
        </w:rPr>
      </w:pPr>
      <w:r>
        <w:rPr>
          <w:rStyle w:val="Refdenotaalpie"/>
          <w:spacing w:val="-4"/>
          <w:szCs w:val="16"/>
        </w:rPr>
        <w:footnoteRef/>
      </w:r>
      <w:r>
        <w:rPr>
          <w:spacing w:val="-4"/>
          <w:szCs w:val="16"/>
          <w:lang w:val="es-GT"/>
        </w:rPr>
        <w:t xml:space="preserve"> </w:t>
      </w:r>
      <w:r>
        <w:rPr>
          <w:spacing w:val="-4"/>
          <w:szCs w:val="16"/>
          <w:lang w:val="es-GT"/>
        </w:rPr>
        <w:tab/>
      </w:r>
      <w:r>
        <w:rPr>
          <w:i/>
          <w:spacing w:val="-4"/>
          <w:szCs w:val="16"/>
          <w:lang w:val="es-GT"/>
        </w:rPr>
        <w:t xml:space="preserve">Cfr. </w:t>
      </w:r>
      <w:r w:rsidRPr="00697F71">
        <w:rPr>
          <w:i/>
        </w:rPr>
        <w:t>Caso Espinoza Gonzáles Vs. Perú</w:t>
      </w:r>
      <w:r w:rsidRPr="00697F71">
        <w:t xml:space="preserve">. </w:t>
      </w:r>
      <w:r w:rsidRPr="00697F71">
        <w:rPr>
          <w:i/>
        </w:rPr>
        <w:t>Excepciones Preliminares, Fondo, Reparaciones y Costas</w:t>
      </w:r>
      <w:r w:rsidRPr="00697F71">
        <w:t xml:space="preserve">. Sentencia de 20 de noviembre de </w:t>
      </w:r>
      <w:r>
        <w:t>2014. Serie C No. 289, párr. 99</w:t>
      </w:r>
      <w:r w:rsidRPr="00697F71">
        <w: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8A2" w:rsidRDefault="00665E37" w:rsidP="00B946D7">
    <w:pPr>
      <w:pStyle w:val="Encabezado"/>
      <w:framePr w:wrap="around" w:vAnchor="text" w:hAnchor="margin" w:xAlign="center" w:y="1"/>
      <w:rPr>
        <w:rStyle w:val="Nmerodepgina"/>
      </w:rPr>
    </w:pPr>
    <w:r>
      <w:rPr>
        <w:rStyle w:val="Nmerodepgina"/>
      </w:rPr>
      <w:fldChar w:fldCharType="begin"/>
    </w:r>
    <w:r w:rsidR="00B918A2">
      <w:rPr>
        <w:rStyle w:val="Nmerodepgina"/>
      </w:rPr>
      <w:instrText xml:space="preserve">PAGE  </w:instrText>
    </w:r>
    <w:r>
      <w:rPr>
        <w:rStyle w:val="Nmerodepgina"/>
      </w:rPr>
      <w:fldChar w:fldCharType="end"/>
    </w:r>
  </w:p>
  <w:p w:rsidR="00B918A2" w:rsidRDefault="00B918A2">
    <w:pPr>
      <w:pStyle w:val="Encabezado"/>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918A2" w:rsidRDefault="00665E37">
    <w:pPr>
      <w:pStyle w:val="Encabezado"/>
      <w:jc w:val="center"/>
    </w:pPr>
    <w:r>
      <w:fldChar w:fldCharType="begin"/>
    </w:r>
    <w:r w:rsidR="004701D8">
      <w:instrText xml:space="preserve"> PAGE   \* MERGEFORMAT </w:instrText>
    </w:r>
    <w:r>
      <w:fldChar w:fldCharType="separate"/>
    </w:r>
    <w:r w:rsidR="00487B6C">
      <w:rPr>
        <w:noProof/>
      </w:rPr>
      <w:t>11</w:t>
    </w:r>
    <w:r>
      <w:rPr>
        <w:noProof/>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F65DA3"/>
    <w:multiLevelType w:val="hybridMultilevel"/>
    <w:tmpl w:val="EC9CA672"/>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
    <w:nsid w:val="07515E9E"/>
    <w:multiLevelType w:val="hybridMultilevel"/>
    <w:tmpl w:val="6DD61E5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2">
    <w:nsid w:val="17B70817"/>
    <w:multiLevelType w:val="hybridMultilevel"/>
    <w:tmpl w:val="1930B60A"/>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
    <w:nsid w:val="1D6603E9"/>
    <w:multiLevelType w:val="hybridMultilevel"/>
    <w:tmpl w:val="775C8F88"/>
    <w:lvl w:ilvl="0" w:tplc="1270C54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EE50022"/>
    <w:multiLevelType w:val="hybridMultilevel"/>
    <w:tmpl w:val="5B32ED94"/>
    <w:lvl w:ilvl="0" w:tplc="1270C54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5">
    <w:nsid w:val="237336F6"/>
    <w:multiLevelType w:val="hybridMultilevel"/>
    <w:tmpl w:val="6F14C334"/>
    <w:lvl w:ilvl="0" w:tplc="8D0A52DC">
      <w:start w:val="204"/>
      <w:numFmt w:val="decimal"/>
      <w:lvlText w:val="%1."/>
      <w:lvlJc w:val="left"/>
      <w:pPr>
        <w:tabs>
          <w:tab w:val="num" w:pos="5057"/>
        </w:tabs>
        <w:ind w:left="0" w:firstLine="0"/>
      </w:pPr>
      <w:rPr>
        <w:rFonts w:ascii="Verdana" w:eastAsia="Times New Roman" w:hAnsi="Verdana" w:cs="Times New Roman" w:hint="default"/>
        <w:b w:val="0"/>
        <w:i w:val="0"/>
        <w:strike w:val="0"/>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6">
    <w:nsid w:val="24492D38"/>
    <w:multiLevelType w:val="hybridMultilevel"/>
    <w:tmpl w:val="A6E6760C"/>
    <w:lvl w:ilvl="0" w:tplc="10366836">
      <w:start w:val="269"/>
      <w:numFmt w:val="decimal"/>
      <w:lvlText w:val="%1."/>
      <w:lvlJc w:val="left"/>
      <w:pPr>
        <w:tabs>
          <w:tab w:val="num" w:pos="6137"/>
        </w:tabs>
        <w:ind w:left="1080" w:firstLine="0"/>
      </w:pPr>
      <w:rPr>
        <w:rFonts w:ascii="Verdana" w:eastAsia="Times New Roman" w:hAnsi="Verdana" w:cs="Times New Roman" w:hint="default"/>
        <w:b w:val="0"/>
        <w:i w:val="0"/>
        <w:strike w:val="0"/>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nsid w:val="24D83B86"/>
    <w:multiLevelType w:val="hybridMultilevel"/>
    <w:tmpl w:val="74485A8E"/>
    <w:name w:val="WW8Num22"/>
    <w:lvl w:ilvl="0" w:tplc="5E2E613A">
      <w:start w:val="1"/>
      <w:numFmt w:val="decimal"/>
      <w:lvlText w:val="%1."/>
      <w:lvlJc w:val="left"/>
      <w:pPr>
        <w:tabs>
          <w:tab w:val="num" w:pos="0"/>
        </w:tabs>
        <w:ind w:left="0" w:firstLine="0"/>
      </w:pPr>
      <w:rPr>
        <w:rFonts w:ascii="Verdana" w:hAnsi="Verdana" w:hint="default"/>
        <w:b w:val="0"/>
        <w:i w:val="0"/>
        <w:strike w:val="0"/>
        <w:sz w:val="20"/>
        <w:szCs w:val="20"/>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8">
    <w:nsid w:val="29EA1DF4"/>
    <w:multiLevelType w:val="hybridMultilevel"/>
    <w:tmpl w:val="5D7E1738"/>
    <w:lvl w:ilvl="0" w:tplc="397A67E4">
      <w:start w:val="204"/>
      <w:numFmt w:val="decimal"/>
      <w:lvlText w:val="%1."/>
      <w:lvlJc w:val="left"/>
      <w:pPr>
        <w:tabs>
          <w:tab w:val="num" w:pos="7667"/>
        </w:tabs>
        <w:ind w:left="2610" w:firstLine="0"/>
      </w:pPr>
      <w:rPr>
        <w:rFonts w:ascii="Verdana" w:eastAsia="Times New Roman" w:hAnsi="Verdana" w:cs="Times New Roman" w:hint="default"/>
        <w:b w:val="0"/>
        <w:i w:val="0"/>
        <w:strike w:val="0"/>
        <w:color w:val="auto"/>
        <w:sz w:val="16"/>
        <w:szCs w:val="16"/>
      </w:rPr>
    </w:lvl>
    <w:lvl w:ilvl="1" w:tplc="140A0019" w:tentative="1">
      <w:start w:val="1"/>
      <w:numFmt w:val="lowerLetter"/>
      <w:lvlText w:val="%2."/>
      <w:lvlJc w:val="left"/>
      <w:pPr>
        <w:ind w:left="2970" w:hanging="360"/>
      </w:pPr>
    </w:lvl>
    <w:lvl w:ilvl="2" w:tplc="140A001B" w:tentative="1">
      <w:start w:val="1"/>
      <w:numFmt w:val="lowerRoman"/>
      <w:lvlText w:val="%3."/>
      <w:lvlJc w:val="right"/>
      <w:pPr>
        <w:ind w:left="3690" w:hanging="180"/>
      </w:pPr>
    </w:lvl>
    <w:lvl w:ilvl="3" w:tplc="140A000F" w:tentative="1">
      <w:start w:val="1"/>
      <w:numFmt w:val="decimal"/>
      <w:lvlText w:val="%4."/>
      <w:lvlJc w:val="left"/>
      <w:pPr>
        <w:ind w:left="4410" w:hanging="360"/>
      </w:pPr>
    </w:lvl>
    <w:lvl w:ilvl="4" w:tplc="140A0019" w:tentative="1">
      <w:start w:val="1"/>
      <w:numFmt w:val="lowerLetter"/>
      <w:lvlText w:val="%5."/>
      <w:lvlJc w:val="left"/>
      <w:pPr>
        <w:ind w:left="5130" w:hanging="360"/>
      </w:pPr>
    </w:lvl>
    <w:lvl w:ilvl="5" w:tplc="140A001B" w:tentative="1">
      <w:start w:val="1"/>
      <w:numFmt w:val="lowerRoman"/>
      <w:lvlText w:val="%6."/>
      <w:lvlJc w:val="right"/>
      <w:pPr>
        <w:ind w:left="5850" w:hanging="180"/>
      </w:pPr>
    </w:lvl>
    <w:lvl w:ilvl="6" w:tplc="140A000F" w:tentative="1">
      <w:start w:val="1"/>
      <w:numFmt w:val="decimal"/>
      <w:lvlText w:val="%7."/>
      <w:lvlJc w:val="left"/>
      <w:pPr>
        <w:ind w:left="6570" w:hanging="360"/>
      </w:pPr>
    </w:lvl>
    <w:lvl w:ilvl="7" w:tplc="140A0019" w:tentative="1">
      <w:start w:val="1"/>
      <w:numFmt w:val="lowerLetter"/>
      <w:lvlText w:val="%8."/>
      <w:lvlJc w:val="left"/>
      <w:pPr>
        <w:ind w:left="7290" w:hanging="360"/>
      </w:pPr>
    </w:lvl>
    <w:lvl w:ilvl="8" w:tplc="140A001B" w:tentative="1">
      <w:start w:val="1"/>
      <w:numFmt w:val="lowerRoman"/>
      <w:lvlText w:val="%9."/>
      <w:lvlJc w:val="right"/>
      <w:pPr>
        <w:ind w:left="8010" w:hanging="180"/>
      </w:pPr>
    </w:lvl>
  </w:abstractNum>
  <w:abstractNum w:abstractNumId="9">
    <w:nsid w:val="2BB750D4"/>
    <w:multiLevelType w:val="hybridMultilevel"/>
    <w:tmpl w:val="9B1AAE56"/>
    <w:lvl w:ilvl="0" w:tplc="FFFFFFFF">
      <w:start w:val="1"/>
      <w:numFmt w:val="upperLetter"/>
      <w:pStyle w:val="Ttulo9"/>
      <w:lvlText w:val="%1)"/>
      <w:lvlJc w:val="left"/>
      <w:pPr>
        <w:tabs>
          <w:tab w:val="num" w:pos="1080"/>
        </w:tabs>
        <w:ind w:left="1080" w:hanging="360"/>
      </w:pPr>
      <w:rPr>
        <w:rFonts w:ascii="Garamond" w:hAnsi="Garamond" w:hint="default"/>
        <w:b w:val="0"/>
        <w:i/>
        <w:sz w:val="24"/>
      </w:rPr>
    </w:lvl>
    <w:lvl w:ilvl="1" w:tplc="FFFFFFFF">
      <w:numFmt w:val="none"/>
      <w:lvlText w:val=""/>
      <w:lvlJc w:val="left"/>
      <w:pPr>
        <w:tabs>
          <w:tab w:val="num" w:pos="360"/>
        </w:tabs>
      </w:pPr>
    </w:lvl>
    <w:lvl w:ilvl="2" w:tplc="FFFFFFFF" w:tentative="1">
      <w:start w:val="1"/>
      <w:numFmt w:val="lowerRoman"/>
      <w:lvlText w:val="%3."/>
      <w:lvlJc w:val="right"/>
      <w:pPr>
        <w:tabs>
          <w:tab w:val="num" w:pos="2520"/>
        </w:tabs>
        <w:ind w:left="2520" w:hanging="180"/>
      </w:pPr>
    </w:lvl>
    <w:lvl w:ilvl="3" w:tplc="FFFFFFFF" w:tentative="1">
      <w:start w:val="1"/>
      <w:numFmt w:val="decimal"/>
      <w:lvlText w:val="%4."/>
      <w:lvlJc w:val="left"/>
      <w:pPr>
        <w:tabs>
          <w:tab w:val="num" w:pos="3240"/>
        </w:tabs>
        <w:ind w:left="3240" w:hanging="360"/>
      </w:pPr>
    </w:lvl>
    <w:lvl w:ilvl="4" w:tplc="FFFFFFFF" w:tentative="1">
      <w:start w:val="1"/>
      <w:numFmt w:val="lowerLetter"/>
      <w:lvlText w:val="%5."/>
      <w:lvlJc w:val="left"/>
      <w:pPr>
        <w:tabs>
          <w:tab w:val="num" w:pos="3960"/>
        </w:tabs>
        <w:ind w:left="3960" w:hanging="360"/>
      </w:pPr>
    </w:lvl>
    <w:lvl w:ilvl="5" w:tplc="FFFFFFFF" w:tentative="1">
      <w:start w:val="1"/>
      <w:numFmt w:val="lowerRoman"/>
      <w:lvlText w:val="%6."/>
      <w:lvlJc w:val="right"/>
      <w:pPr>
        <w:tabs>
          <w:tab w:val="num" w:pos="4680"/>
        </w:tabs>
        <w:ind w:left="4680" w:hanging="180"/>
      </w:pPr>
    </w:lvl>
    <w:lvl w:ilvl="6" w:tplc="FFFFFFFF" w:tentative="1">
      <w:start w:val="1"/>
      <w:numFmt w:val="decimal"/>
      <w:lvlText w:val="%7."/>
      <w:lvlJc w:val="left"/>
      <w:pPr>
        <w:tabs>
          <w:tab w:val="num" w:pos="5400"/>
        </w:tabs>
        <w:ind w:left="5400" w:hanging="360"/>
      </w:pPr>
    </w:lvl>
    <w:lvl w:ilvl="7" w:tplc="FFFFFFFF" w:tentative="1">
      <w:start w:val="1"/>
      <w:numFmt w:val="lowerLetter"/>
      <w:lvlText w:val="%8."/>
      <w:lvlJc w:val="left"/>
      <w:pPr>
        <w:tabs>
          <w:tab w:val="num" w:pos="6120"/>
        </w:tabs>
        <w:ind w:left="6120" w:hanging="360"/>
      </w:pPr>
    </w:lvl>
    <w:lvl w:ilvl="8" w:tplc="FFFFFFFF" w:tentative="1">
      <w:start w:val="1"/>
      <w:numFmt w:val="lowerRoman"/>
      <w:lvlText w:val="%9."/>
      <w:lvlJc w:val="right"/>
      <w:pPr>
        <w:tabs>
          <w:tab w:val="num" w:pos="6840"/>
        </w:tabs>
        <w:ind w:left="6840" w:hanging="180"/>
      </w:pPr>
    </w:lvl>
  </w:abstractNum>
  <w:abstractNum w:abstractNumId="10">
    <w:nsid w:val="2DCE6563"/>
    <w:multiLevelType w:val="hybridMultilevel"/>
    <w:tmpl w:val="9CB69F70"/>
    <w:lvl w:ilvl="0" w:tplc="0AA81B5E">
      <w:start w:val="269"/>
      <w:numFmt w:val="decimal"/>
      <w:lvlText w:val="%1."/>
      <w:lvlJc w:val="left"/>
      <w:pPr>
        <w:ind w:left="360" w:hanging="360"/>
      </w:pPr>
      <w:rPr>
        <w:rFonts w:ascii="Verdana" w:eastAsia="Calibri" w:hAnsi="Verdana" w:cs="Times New Roman" w:hint="default"/>
        <w:b w:val="0"/>
        <w:i w:val="0"/>
        <w:strike w:val="0"/>
        <w:color w:val="auto"/>
        <w:sz w:val="1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35344922"/>
    <w:multiLevelType w:val="hybridMultilevel"/>
    <w:tmpl w:val="5CFCB46A"/>
    <w:lvl w:ilvl="0" w:tplc="E6B44CAC">
      <w:start w:val="277"/>
      <w:numFmt w:val="decimal"/>
      <w:lvlText w:val="%1."/>
      <w:lvlJc w:val="left"/>
      <w:pPr>
        <w:tabs>
          <w:tab w:val="num" w:pos="5057"/>
        </w:tabs>
        <w:ind w:left="0" w:firstLine="0"/>
      </w:pPr>
      <w:rPr>
        <w:rFonts w:ascii="Verdana" w:eastAsia="Times New Roman" w:hAnsi="Verdana" w:cs="Times New Roman" w:hint="default"/>
        <w:b w:val="0"/>
        <w:i w:val="0"/>
        <w:strike w:val="0"/>
        <w:color w:val="auto"/>
        <w:sz w:val="16"/>
        <w:szCs w:val="16"/>
      </w:rPr>
    </w:lvl>
    <w:lvl w:ilvl="1" w:tplc="140A0019" w:tentative="1">
      <w:start w:val="1"/>
      <w:numFmt w:val="lowerLetter"/>
      <w:lvlText w:val="%2."/>
      <w:lvlJc w:val="left"/>
      <w:pPr>
        <w:ind w:left="735" w:hanging="360"/>
      </w:pPr>
    </w:lvl>
    <w:lvl w:ilvl="2" w:tplc="140A001B" w:tentative="1">
      <w:start w:val="1"/>
      <w:numFmt w:val="lowerRoman"/>
      <w:lvlText w:val="%3."/>
      <w:lvlJc w:val="right"/>
      <w:pPr>
        <w:ind w:left="1455" w:hanging="180"/>
      </w:pPr>
    </w:lvl>
    <w:lvl w:ilvl="3" w:tplc="140A000F" w:tentative="1">
      <w:start w:val="1"/>
      <w:numFmt w:val="decimal"/>
      <w:lvlText w:val="%4."/>
      <w:lvlJc w:val="left"/>
      <w:pPr>
        <w:ind w:left="2175" w:hanging="360"/>
      </w:pPr>
    </w:lvl>
    <w:lvl w:ilvl="4" w:tplc="140A0019" w:tentative="1">
      <w:start w:val="1"/>
      <w:numFmt w:val="lowerLetter"/>
      <w:lvlText w:val="%5."/>
      <w:lvlJc w:val="left"/>
      <w:pPr>
        <w:ind w:left="2895" w:hanging="360"/>
      </w:pPr>
    </w:lvl>
    <w:lvl w:ilvl="5" w:tplc="140A001B" w:tentative="1">
      <w:start w:val="1"/>
      <w:numFmt w:val="lowerRoman"/>
      <w:lvlText w:val="%6."/>
      <w:lvlJc w:val="right"/>
      <w:pPr>
        <w:ind w:left="3615" w:hanging="180"/>
      </w:pPr>
    </w:lvl>
    <w:lvl w:ilvl="6" w:tplc="140A000F" w:tentative="1">
      <w:start w:val="1"/>
      <w:numFmt w:val="decimal"/>
      <w:lvlText w:val="%7."/>
      <w:lvlJc w:val="left"/>
      <w:pPr>
        <w:ind w:left="4335" w:hanging="360"/>
      </w:pPr>
    </w:lvl>
    <w:lvl w:ilvl="7" w:tplc="140A0019" w:tentative="1">
      <w:start w:val="1"/>
      <w:numFmt w:val="lowerLetter"/>
      <w:lvlText w:val="%8."/>
      <w:lvlJc w:val="left"/>
      <w:pPr>
        <w:ind w:left="5055" w:hanging="360"/>
      </w:pPr>
    </w:lvl>
    <w:lvl w:ilvl="8" w:tplc="140A001B" w:tentative="1">
      <w:start w:val="1"/>
      <w:numFmt w:val="lowerRoman"/>
      <w:lvlText w:val="%9."/>
      <w:lvlJc w:val="right"/>
      <w:pPr>
        <w:ind w:left="5775" w:hanging="180"/>
      </w:pPr>
    </w:lvl>
  </w:abstractNum>
  <w:abstractNum w:abstractNumId="12">
    <w:nsid w:val="371571DD"/>
    <w:multiLevelType w:val="hybridMultilevel"/>
    <w:tmpl w:val="088C3932"/>
    <w:lvl w:ilvl="0" w:tplc="1270C54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46FC6219"/>
    <w:multiLevelType w:val="hybridMultilevel"/>
    <w:tmpl w:val="24D42AA4"/>
    <w:lvl w:ilvl="0" w:tplc="2EB2F07E">
      <w:start w:val="1"/>
      <w:numFmt w:val="upperLetter"/>
      <w:pStyle w:val="Ttulo3"/>
      <w:lvlText w:val="%1."/>
      <w:lvlJc w:val="left"/>
      <w:pPr>
        <w:ind w:left="1644" w:hanging="360"/>
      </w:pPr>
    </w:lvl>
    <w:lvl w:ilvl="1" w:tplc="04090019">
      <w:start w:val="1"/>
      <w:numFmt w:val="lowerLetter"/>
      <w:lvlText w:val="%2."/>
      <w:lvlJc w:val="left"/>
      <w:pPr>
        <w:ind w:left="2364" w:hanging="360"/>
      </w:pPr>
    </w:lvl>
    <w:lvl w:ilvl="2" w:tplc="0409001B">
      <w:start w:val="1"/>
      <w:numFmt w:val="lowerRoman"/>
      <w:lvlText w:val="%3."/>
      <w:lvlJc w:val="right"/>
      <w:pPr>
        <w:ind w:left="3084" w:hanging="180"/>
      </w:pPr>
    </w:lvl>
    <w:lvl w:ilvl="3" w:tplc="04090015">
      <w:start w:val="1"/>
      <w:numFmt w:val="upperLetter"/>
      <w:lvlText w:val="%4."/>
      <w:lvlJc w:val="left"/>
      <w:pPr>
        <w:ind w:left="3804" w:hanging="360"/>
      </w:pPr>
    </w:lvl>
    <w:lvl w:ilvl="4" w:tplc="04090019" w:tentative="1">
      <w:start w:val="1"/>
      <w:numFmt w:val="lowerLetter"/>
      <w:lvlText w:val="%5."/>
      <w:lvlJc w:val="left"/>
      <w:pPr>
        <w:ind w:left="4524" w:hanging="360"/>
      </w:pPr>
    </w:lvl>
    <w:lvl w:ilvl="5" w:tplc="0409001B" w:tentative="1">
      <w:start w:val="1"/>
      <w:numFmt w:val="lowerRoman"/>
      <w:lvlText w:val="%6."/>
      <w:lvlJc w:val="right"/>
      <w:pPr>
        <w:ind w:left="5244" w:hanging="180"/>
      </w:pPr>
    </w:lvl>
    <w:lvl w:ilvl="6" w:tplc="0409000F" w:tentative="1">
      <w:start w:val="1"/>
      <w:numFmt w:val="decimal"/>
      <w:lvlText w:val="%7."/>
      <w:lvlJc w:val="left"/>
      <w:pPr>
        <w:ind w:left="5964" w:hanging="360"/>
      </w:pPr>
    </w:lvl>
    <w:lvl w:ilvl="7" w:tplc="04090019" w:tentative="1">
      <w:start w:val="1"/>
      <w:numFmt w:val="lowerLetter"/>
      <w:lvlText w:val="%8."/>
      <w:lvlJc w:val="left"/>
      <w:pPr>
        <w:ind w:left="6684" w:hanging="360"/>
      </w:pPr>
    </w:lvl>
    <w:lvl w:ilvl="8" w:tplc="0409001B" w:tentative="1">
      <w:start w:val="1"/>
      <w:numFmt w:val="lowerRoman"/>
      <w:lvlText w:val="%9."/>
      <w:lvlJc w:val="right"/>
      <w:pPr>
        <w:ind w:left="7404" w:hanging="180"/>
      </w:pPr>
    </w:lvl>
  </w:abstractNum>
  <w:abstractNum w:abstractNumId="14">
    <w:nsid w:val="4C5469CD"/>
    <w:multiLevelType w:val="hybridMultilevel"/>
    <w:tmpl w:val="D7FED382"/>
    <w:lvl w:ilvl="0" w:tplc="264CB88E">
      <w:start w:val="1"/>
      <w:numFmt w:val="decimal"/>
      <w:lvlText w:val="%1."/>
      <w:lvlJc w:val="left"/>
      <w:pPr>
        <w:ind w:left="720" w:hanging="360"/>
      </w:pPr>
      <w:rPr>
        <w:rFonts w:ascii="Verdana" w:eastAsia="Calibri" w:hAnsi="Verdana" w:cs="Times New Roman" w:hint="default"/>
        <w:b w:val="0"/>
        <w:i w:val="0"/>
        <w:strike w:val="0"/>
        <w:color w:val="auto"/>
        <w:sz w:val="20"/>
        <w:szCs w:val="20"/>
      </w:rPr>
    </w:lvl>
    <w:lvl w:ilvl="1" w:tplc="9B3E45F0">
      <w:start w:val="1"/>
      <w:numFmt w:val="lowerLetter"/>
      <w:pStyle w:val="Estilo4"/>
      <w:lvlText w:val="%2)"/>
      <w:lvlJc w:val="left"/>
      <w:pPr>
        <w:ind w:left="1440" w:hanging="360"/>
      </w:pPr>
      <w:rPr>
        <w:rFonts w:ascii="Verdana" w:hAnsi="Verdana" w:cs="Times New Roman" w:hint="default"/>
        <w:b w:val="0"/>
        <w:i/>
        <w:caps w:val="0"/>
        <w:strike w:val="0"/>
        <w:dstrike w:val="0"/>
        <w:vanish w:val="0"/>
        <w:color w:val="auto"/>
        <w:sz w:val="20"/>
        <w:vertAlign w:val="baseline"/>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68C0CDB"/>
    <w:multiLevelType w:val="hybridMultilevel"/>
    <w:tmpl w:val="A2B43C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7C9712D"/>
    <w:multiLevelType w:val="hybridMultilevel"/>
    <w:tmpl w:val="E6B2D1E6"/>
    <w:lvl w:ilvl="0" w:tplc="E10AD118">
      <w:start w:val="1"/>
      <w:numFmt w:val="decimal"/>
      <w:lvlText w:val="%1."/>
      <w:lvlJc w:val="left"/>
      <w:pPr>
        <w:ind w:left="1065" w:hanging="705"/>
      </w:pPr>
      <w:rPr>
        <w:rFonts w:hint="default"/>
        <w:b w:val="0"/>
        <w:color w:val="auto"/>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7">
    <w:nsid w:val="5C980CB2"/>
    <w:multiLevelType w:val="hybridMultilevel"/>
    <w:tmpl w:val="1DA22FA6"/>
    <w:lvl w:ilvl="0" w:tplc="B2E4642A">
      <w:start w:val="1"/>
      <w:numFmt w:val="upperLetter"/>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8">
    <w:nsid w:val="5D1F290D"/>
    <w:multiLevelType w:val="hybridMultilevel"/>
    <w:tmpl w:val="58E0052E"/>
    <w:lvl w:ilvl="0" w:tplc="FB5A3C8E">
      <w:start w:val="274"/>
      <w:numFmt w:val="decimal"/>
      <w:lvlText w:val="%1."/>
      <w:lvlJc w:val="left"/>
      <w:pPr>
        <w:ind w:left="360" w:hanging="360"/>
      </w:pPr>
      <w:rPr>
        <w:rFonts w:ascii="Verdana" w:eastAsia="Calibri" w:hAnsi="Verdana" w:cs="Times New Roman" w:hint="default"/>
        <w:b w:val="0"/>
        <w:i w:val="0"/>
        <w:strike w:val="0"/>
        <w:color w:val="auto"/>
        <w:sz w:val="16"/>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66883A5E"/>
    <w:multiLevelType w:val="hybridMultilevel"/>
    <w:tmpl w:val="D9669EBC"/>
    <w:lvl w:ilvl="0" w:tplc="32D0B180">
      <w:start w:val="213"/>
      <w:numFmt w:val="decimal"/>
      <w:lvlText w:val="%1."/>
      <w:lvlJc w:val="left"/>
      <w:pPr>
        <w:tabs>
          <w:tab w:val="num" w:pos="5762"/>
        </w:tabs>
        <w:ind w:left="705" w:firstLine="0"/>
      </w:pPr>
      <w:rPr>
        <w:rFonts w:ascii="Verdana" w:eastAsia="Times New Roman" w:hAnsi="Verdana" w:cs="Times New Roman" w:hint="default"/>
        <w:b w:val="0"/>
        <w:i w:val="0"/>
        <w:strike w:val="0"/>
        <w:color w:val="auto"/>
        <w:sz w:val="16"/>
        <w:szCs w:val="16"/>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0">
    <w:nsid w:val="6B503A22"/>
    <w:multiLevelType w:val="hybridMultilevel"/>
    <w:tmpl w:val="CB70FB50"/>
    <w:lvl w:ilvl="0" w:tplc="D7F0BB62">
      <w:start w:val="268"/>
      <w:numFmt w:val="decimal"/>
      <w:lvlText w:val="%1."/>
      <w:lvlJc w:val="left"/>
      <w:pPr>
        <w:ind w:left="360" w:hanging="360"/>
      </w:pPr>
      <w:rPr>
        <w:rFonts w:ascii="Verdana" w:eastAsia="Calibri" w:hAnsi="Verdana" w:cs="Times New Roman" w:hint="default"/>
        <w:b w:val="0"/>
        <w:i w:val="0"/>
        <w:strike w:val="0"/>
        <w:color w:val="auto"/>
        <w:sz w:val="1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6BE864ED"/>
    <w:multiLevelType w:val="hybridMultilevel"/>
    <w:tmpl w:val="2A349968"/>
    <w:lvl w:ilvl="0" w:tplc="1270C54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D2A333A"/>
    <w:multiLevelType w:val="hybridMultilevel"/>
    <w:tmpl w:val="F1D03842"/>
    <w:lvl w:ilvl="0" w:tplc="92484DB0">
      <w:start w:val="268"/>
      <w:numFmt w:val="decimal"/>
      <w:lvlText w:val="%1."/>
      <w:lvlJc w:val="left"/>
      <w:pPr>
        <w:ind w:left="360" w:hanging="360"/>
      </w:pPr>
      <w:rPr>
        <w:rFonts w:ascii="Verdana" w:eastAsia="Calibri" w:hAnsi="Verdana" w:cs="Times New Roman" w:hint="default"/>
        <w:b w:val="0"/>
        <w:i w:val="0"/>
        <w:strike w:val="0"/>
        <w:color w:val="auto"/>
        <w:sz w:val="14"/>
        <w:szCs w:val="2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nsid w:val="7A2D7446"/>
    <w:multiLevelType w:val="hybridMultilevel"/>
    <w:tmpl w:val="4CF26930"/>
    <w:lvl w:ilvl="0" w:tplc="1270C54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abstractNum w:abstractNumId="24">
    <w:nsid w:val="7CE64D32"/>
    <w:multiLevelType w:val="hybridMultilevel"/>
    <w:tmpl w:val="A00A2B82"/>
    <w:lvl w:ilvl="0" w:tplc="1270C540">
      <w:start w:val="1"/>
      <w:numFmt w:val="decimal"/>
      <w:lvlText w:val="%1."/>
      <w:lvlJc w:val="left"/>
      <w:pPr>
        <w:tabs>
          <w:tab w:val="num" w:pos="1247"/>
        </w:tabs>
        <w:ind w:left="0" w:firstLine="0"/>
      </w:pPr>
      <w:rPr>
        <w:rFonts w:ascii="Verdana" w:eastAsia="Times" w:hAnsi="Verdana" w:cs="Times New Roman"/>
        <w:b w:val="0"/>
        <w:i w:val="0"/>
        <w:strike w:val="0"/>
        <w:color w:val="auto"/>
        <w:sz w:val="20"/>
        <w:lang w:val="es-CR"/>
      </w:rPr>
    </w:lvl>
    <w:lvl w:ilvl="1" w:tplc="91ECB87E">
      <w:start w:val="1"/>
      <w:numFmt w:val="lowerLetter"/>
      <w:lvlText w:val="%2)"/>
      <w:lvlJc w:val="left"/>
      <w:pPr>
        <w:tabs>
          <w:tab w:val="num" w:pos="1080"/>
        </w:tabs>
        <w:ind w:left="1080" w:hanging="360"/>
      </w:pPr>
      <w:rPr>
        <w:rFonts w:hint="default"/>
        <w:b w:val="0"/>
        <w:i w:val="0"/>
        <w:sz w:val="20"/>
      </w:rPr>
    </w:lvl>
    <w:lvl w:ilvl="2" w:tplc="001B0409">
      <w:start w:val="1"/>
      <w:numFmt w:val="lowerRoman"/>
      <w:lvlText w:val="%3."/>
      <w:lvlJc w:val="right"/>
      <w:pPr>
        <w:tabs>
          <w:tab w:val="num" w:pos="2160"/>
        </w:tabs>
        <w:ind w:left="2160" w:hanging="180"/>
      </w:pPr>
    </w:lvl>
    <w:lvl w:ilvl="3" w:tplc="547EED0C">
      <w:start w:val="1"/>
      <w:numFmt w:val="upperLetter"/>
      <w:lvlText w:val="%4."/>
      <w:lvlJc w:val="left"/>
      <w:pPr>
        <w:ind w:left="2880" w:hanging="360"/>
      </w:pPr>
      <w:rPr>
        <w:rFonts w:hint="default"/>
      </w:rPr>
    </w:lvl>
    <w:lvl w:ilvl="4" w:tplc="00190409" w:tentative="1">
      <w:start w:val="1"/>
      <w:numFmt w:val="lowerLetter"/>
      <w:lvlText w:val="%5."/>
      <w:lvlJc w:val="left"/>
      <w:pPr>
        <w:tabs>
          <w:tab w:val="num" w:pos="3600"/>
        </w:tabs>
        <w:ind w:left="3600" w:hanging="360"/>
      </w:pPr>
    </w:lvl>
    <w:lvl w:ilvl="5" w:tplc="001B0409" w:tentative="1">
      <w:start w:val="1"/>
      <w:numFmt w:val="lowerRoman"/>
      <w:lvlText w:val="%6."/>
      <w:lvlJc w:val="right"/>
      <w:pPr>
        <w:tabs>
          <w:tab w:val="num" w:pos="4320"/>
        </w:tabs>
        <w:ind w:left="4320" w:hanging="180"/>
      </w:pPr>
    </w:lvl>
    <w:lvl w:ilvl="6" w:tplc="000F0409" w:tentative="1">
      <w:start w:val="1"/>
      <w:numFmt w:val="decimal"/>
      <w:lvlText w:val="%7."/>
      <w:lvlJc w:val="left"/>
      <w:pPr>
        <w:tabs>
          <w:tab w:val="num" w:pos="5040"/>
        </w:tabs>
        <w:ind w:left="5040" w:hanging="360"/>
      </w:pPr>
    </w:lvl>
    <w:lvl w:ilvl="7" w:tplc="00190409" w:tentative="1">
      <w:start w:val="1"/>
      <w:numFmt w:val="lowerLetter"/>
      <w:lvlText w:val="%8."/>
      <w:lvlJc w:val="left"/>
      <w:pPr>
        <w:tabs>
          <w:tab w:val="num" w:pos="5760"/>
        </w:tabs>
        <w:ind w:left="5760" w:hanging="360"/>
      </w:pPr>
    </w:lvl>
    <w:lvl w:ilvl="8" w:tplc="001B0409" w:tentative="1">
      <w:start w:val="1"/>
      <w:numFmt w:val="lowerRoman"/>
      <w:lvlText w:val="%9."/>
      <w:lvlJc w:val="right"/>
      <w:pPr>
        <w:tabs>
          <w:tab w:val="num" w:pos="6480"/>
        </w:tabs>
        <w:ind w:left="6480" w:hanging="180"/>
      </w:pPr>
    </w:lvl>
  </w:abstractNum>
  <w:num w:numId="1">
    <w:abstractNumId w:val="24"/>
  </w:num>
  <w:num w:numId="2">
    <w:abstractNumId w:val="9"/>
  </w:num>
  <w:num w:numId="3">
    <w:abstractNumId w:val="7"/>
  </w:num>
  <w:num w:numId="4">
    <w:abstractNumId w:val="13"/>
  </w:num>
  <w:num w:numId="5">
    <w:abstractNumId w:val="4"/>
  </w:num>
  <w:num w:numId="6">
    <w:abstractNumId w:val="8"/>
  </w:num>
  <w:num w:numId="7">
    <w:abstractNumId w:val="6"/>
  </w:num>
  <w:num w:numId="8">
    <w:abstractNumId w:val="2"/>
  </w:num>
  <w:num w:numId="9">
    <w:abstractNumId w:val="19"/>
  </w:num>
  <w:num w:numId="10">
    <w:abstractNumId w:val="11"/>
  </w:num>
  <w:num w:numId="11">
    <w:abstractNumId w:val="21"/>
  </w:num>
  <w:num w:numId="12">
    <w:abstractNumId w:val="12"/>
  </w:num>
  <w:num w:numId="13">
    <w:abstractNumId w:val="3"/>
  </w:num>
  <w:num w:numId="14">
    <w:abstractNumId w:val="17"/>
  </w:num>
  <w:num w:numId="15">
    <w:abstractNumId w:val="15"/>
  </w:num>
  <w:num w:numId="16">
    <w:abstractNumId w:val="23"/>
  </w:num>
  <w:num w:numId="17">
    <w:abstractNumId w:val="16"/>
  </w:num>
  <w:num w:numId="18">
    <w:abstractNumId w:val="5"/>
  </w:num>
  <w:num w:numId="19">
    <w:abstractNumId w:val="0"/>
  </w:num>
  <w:num w:numId="20">
    <w:abstractNumId w:val="14"/>
  </w:num>
  <w:num w:numId="2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num>
  <w:num w:numId="24">
    <w:abstractNumId w:val="20"/>
  </w:num>
  <w:num w:numId="25">
    <w:abstractNumId w:val="10"/>
  </w:num>
  <w:num w:numId="26">
    <w:abstractNumId w:val="22"/>
  </w:num>
  <w:num w:numId="27">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oNotTrackMoves/>
  <w:defaultTabStop w:val="708"/>
  <w:hyphenationZone w:val="425"/>
  <w:characterSpacingControl w:val="doNotCompress"/>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E2210E"/>
    <w:rsid w:val="00004B0B"/>
    <w:rsid w:val="00020E00"/>
    <w:rsid w:val="00023ED4"/>
    <w:rsid w:val="00031259"/>
    <w:rsid w:val="0003271A"/>
    <w:rsid w:val="000554D6"/>
    <w:rsid w:val="000832DC"/>
    <w:rsid w:val="000A197A"/>
    <w:rsid w:val="000B0126"/>
    <w:rsid w:val="000C113F"/>
    <w:rsid w:val="000C1860"/>
    <w:rsid w:val="000C392C"/>
    <w:rsid w:val="000C400A"/>
    <w:rsid w:val="000C5FAC"/>
    <w:rsid w:val="000D70AB"/>
    <w:rsid w:val="000E3636"/>
    <w:rsid w:val="000F25A9"/>
    <w:rsid w:val="00114891"/>
    <w:rsid w:val="001252FE"/>
    <w:rsid w:val="001258EE"/>
    <w:rsid w:val="001367E5"/>
    <w:rsid w:val="001721B4"/>
    <w:rsid w:val="001A100C"/>
    <w:rsid w:val="001A3EB6"/>
    <w:rsid w:val="001A6EC0"/>
    <w:rsid w:val="001B344F"/>
    <w:rsid w:val="001E44D5"/>
    <w:rsid w:val="001E4762"/>
    <w:rsid w:val="001F2E12"/>
    <w:rsid w:val="001F4B58"/>
    <w:rsid w:val="00217F39"/>
    <w:rsid w:val="0025758D"/>
    <w:rsid w:val="00267DE3"/>
    <w:rsid w:val="00270D77"/>
    <w:rsid w:val="00277316"/>
    <w:rsid w:val="002918ED"/>
    <w:rsid w:val="002A7F79"/>
    <w:rsid w:val="002B2CDF"/>
    <w:rsid w:val="002B5D52"/>
    <w:rsid w:val="002C15A3"/>
    <w:rsid w:val="002C7970"/>
    <w:rsid w:val="003104C4"/>
    <w:rsid w:val="003106C3"/>
    <w:rsid w:val="00312B15"/>
    <w:rsid w:val="0033132B"/>
    <w:rsid w:val="00332966"/>
    <w:rsid w:val="0034743B"/>
    <w:rsid w:val="0035649C"/>
    <w:rsid w:val="00373757"/>
    <w:rsid w:val="00382A94"/>
    <w:rsid w:val="00384641"/>
    <w:rsid w:val="00396867"/>
    <w:rsid w:val="003D33C7"/>
    <w:rsid w:val="003E169C"/>
    <w:rsid w:val="003F2EB6"/>
    <w:rsid w:val="00403A2C"/>
    <w:rsid w:val="00404100"/>
    <w:rsid w:val="00415882"/>
    <w:rsid w:val="00420622"/>
    <w:rsid w:val="004225D6"/>
    <w:rsid w:val="004242C2"/>
    <w:rsid w:val="00432493"/>
    <w:rsid w:val="00435D84"/>
    <w:rsid w:val="00436164"/>
    <w:rsid w:val="004432AB"/>
    <w:rsid w:val="004466D1"/>
    <w:rsid w:val="004530FF"/>
    <w:rsid w:val="004701D8"/>
    <w:rsid w:val="00471FD5"/>
    <w:rsid w:val="00482AB0"/>
    <w:rsid w:val="00487B6C"/>
    <w:rsid w:val="004A0ED2"/>
    <w:rsid w:val="004A1487"/>
    <w:rsid w:val="004C1B2C"/>
    <w:rsid w:val="004C775B"/>
    <w:rsid w:val="004F1E92"/>
    <w:rsid w:val="00501C3C"/>
    <w:rsid w:val="00504C81"/>
    <w:rsid w:val="00514892"/>
    <w:rsid w:val="005165CC"/>
    <w:rsid w:val="005254A8"/>
    <w:rsid w:val="00525D47"/>
    <w:rsid w:val="0052630C"/>
    <w:rsid w:val="0053279F"/>
    <w:rsid w:val="00533EAE"/>
    <w:rsid w:val="005350E9"/>
    <w:rsid w:val="00536C77"/>
    <w:rsid w:val="00541B33"/>
    <w:rsid w:val="005430C8"/>
    <w:rsid w:val="005505A8"/>
    <w:rsid w:val="0056676F"/>
    <w:rsid w:val="005913A6"/>
    <w:rsid w:val="00592761"/>
    <w:rsid w:val="00596EEF"/>
    <w:rsid w:val="005B2BBD"/>
    <w:rsid w:val="005C22F2"/>
    <w:rsid w:val="005C3B97"/>
    <w:rsid w:val="005D1693"/>
    <w:rsid w:val="005F36A8"/>
    <w:rsid w:val="00633680"/>
    <w:rsid w:val="00665E37"/>
    <w:rsid w:val="00695811"/>
    <w:rsid w:val="00697F71"/>
    <w:rsid w:val="006B2B1F"/>
    <w:rsid w:val="006B526D"/>
    <w:rsid w:val="006C2930"/>
    <w:rsid w:val="006C5EBB"/>
    <w:rsid w:val="006F61F9"/>
    <w:rsid w:val="006F7186"/>
    <w:rsid w:val="006F7ADF"/>
    <w:rsid w:val="0070401A"/>
    <w:rsid w:val="00751B53"/>
    <w:rsid w:val="00764D6C"/>
    <w:rsid w:val="007837CC"/>
    <w:rsid w:val="00787636"/>
    <w:rsid w:val="007B085D"/>
    <w:rsid w:val="007B2183"/>
    <w:rsid w:val="007B41E1"/>
    <w:rsid w:val="007C24D9"/>
    <w:rsid w:val="007C76E9"/>
    <w:rsid w:val="007D4255"/>
    <w:rsid w:val="007E0C08"/>
    <w:rsid w:val="007E66DE"/>
    <w:rsid w:val="00830CED"/>
    <w:rsid w:val="00843505"/>
    <w:rsid w:val="008675A7"/>
    <w:rsid w:val="00873A82"/>
    <w:rsid w:val="00884E7D"/>
    <w:rsid w:val="00890151"/>
    <w:rsid w:val="0089205B"/>
    <w:rsid w:val="008C1168"/>
    <w:rsid w:val="008C73B6"/>
    <w:rsid w:val="008F43DF"/>
    <w:rsid w:val="008F7EA2"/>
    <w:rsid w:val="00903B5A"/>
    <w:rsid w:val="00911ACC"/>
    <w:rsid w:val="00915180"/>
    <w:rsid w:val="009221AE"/>
    <w:rsid w:val="0092300B"/>
    <w:rsid w:val="00932F89"/>
    <w:rsid w:val="00937C21"/>
    <w:rsid w:val="0094521A"/>
    <w:rsid w:val="009472BF"/>
    <w:rsid w:val="00953896"/>
    <w:rsid w:val="00961C94"/>
    <w:rsid w:val="00974A24"/>
    <w:rsid w:val="009773ED"/>
    <w:rsid w:val="009806C2"/>
    <w:rsid w:val="009D1908"/>
    <w:rsid w:val="009D5930"/>
    <w:rsid w:val="009E22FC"/>
    <w:rsid w:val="009E3D4D"/>
    <w:rsid w:val="009E7711"/>
    <w:rsid w:val="009F40BF"/>
    <w:rsid w:val="00A011DF"/>
    <w:rsid w:val="00A22B5C"/>
    <w:rsid w:val="00A32E84"/>
    <w:rsid w:val="00A35F51"/>
    <w:rsid w:val="00A4114F"/>
    <w:rsid w:val="00A503DF"/>
    <w:rsid w:val="00A51F30"/>
    <w:rsid w:val="00A52A7F"/>
    <w:rsid w:val="00A52A83"/>
    <w:rsid w:val="00A75F15"/>
    <w:rsid w:val="00AA0B89"/>
    <w:rsid w:val="00AA4F29"/>
    <w:rsid w:val="00AA5937"/>
    <w:rsid w:val="00AB2F93"/>
    <w:rsid w:val="00AB64E3"/>
    <w:rsid w:val="00AE5E71"/>
    <w:rsid w:val="00B04898"/>
    <w:rsid w:val="00B21D45"/>
    <w:rsid w:val="00B34F43"/>
    <w:rsid w:val="00B5649F"/>
    <w:rsid w:val="00B73B54"/>
    <w:rsid w:val="00B81DCD"/>
    <w:rsid w:val="00B865E1"/>
    <w:rsid w:val="00B86696"/>
    <w:rsid w:val="00B90625"/>
    <w:rsid w:val="00B918A2"/>
    <w:rsid w:val="00B946D7"/>
    <w:rsid w:val="00B968CA"/>
    <w:rsid w:val="00B979D9"/>
    <w:rsid w:val="00BC1C39"/>
    <w:rsid w:val="00BC3917"/>
    <w:rsid w:val="00C03AC2"/>
    <w:rsid w:val="00C1688F"/>
    <w:rsid w:val="00C209A7"/>
    <w:rsid w:val="00C22A3A"/>
    <w:rsid w:val="00C46196"/>
    <w:rsid w:val="00C512C0"/>
    <w:rsid w:val="00C64DB4"/>
    <w:rsid w:val="00C93E84"/>
    <w:rsid w:val="00CD03BA"/>
    <w:rsid w:val="00CD30AE"/>
    <w:rsid w:val="00CD3C0C"/>
    <w:rsid w:val="00CD5DC9"/>
    <w:rsid w:val="00CD7548"/>
    <w:rsid w:val="00CF42AD"/>
    <w:rsid w:val="00D44521"/>
    <w:rsid w:val="00D45B43"/>
    <w:rsid w:val="00D56ABC"/>
    <w:rsid w:val="00D84C73"/>
    <w:rsid w:val="00D93916"/>
    <w:rsid w:val="00D971E3"/>
    <w:rsid w:val="00DB6613"/>
    <w:rsid w:val="00DC20C2"/>
    <w:rsid w:val="00DC24E1"/>
    <w:rsid w:val="00DC359A"/>
    <w:rsid w:val="00DD2C37"/>
    <w:rsid w:val="00DD731F"/>
    <w:rsid w:val="00DF1DDD"/>
    <w:rsid w:val="00E05239"/>
    <w:rsid w:val="00E2210E"/>
    <w:rsid w:val="00E26F5F"/>
    <w:rsid w:val="00E35A48"/>
    <w:rsid w:val="00E4313C"/>
    <w:rsid w:val="00E43CDB"/>
    <w:rsid w:val="00E4725D"/>
    <w:rsid w:val="00E526BB"/>
    <w:rsid w:val="00E67312"/>
    <w:rsid w:val="00E80EF4"/>
    <w:rsid w:val="00E90B9B"/>
    <w:rsid w:val="00EA7DE6"/>
    <w:rsid w:val="00ED2E49"/>
    <w:rsid w:val="00ED494F"/>
    <w:rsid w:val="00EE20CF"/>
    <w:rsid w:val="00EE236E"/>
    <w:rsid w:val="00EF333B"/>
    <w:rsid w:val="00F00D2A"/>
    <w:rsid w:val="00F00DA3"/>
    <w:rsid w:val="00F011C0"/>
    <w:rsid w:val="00F065BC"/>
    <w:rsid w:val="00F1028F"/>
    <w:rsid w:val="00F24043"/>
    <w:rsid w:val="00F34592"/>
    <w:rsid w:val="00F349B0"/>
    <w:rsid w:val="00F44D55"/>
    <w:rsid w:val="00F51AB6"/>
    <w:rsid w:val="00F65E03"/>
    <w:rsid w:val="00F67F3E"/>
    <w:rsid w:val="00F7389F"/>
    <w:rsid w:val="00F73AEE"/>
    <w:rsid w:val="00F77D1B"/>
    <w:rsid w:val="00F86B6D"/>
    <w:rsid w:val="00F95EB7"/>
    <w:rsid w:val="00FA5575"/>
    <w:rsid w:val="00FA6A18"/>
    <w:rsid w:val="00FD4E09"/>
    <w:rsid w:val="00FF1554"/>
    <w:rsid w:val="00FF27D9"/>
    <w:rsid w:val="00FF3313"/>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s-AR" w:eastAsia="es-A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caption" w:uiPriority="35" w:qFormat="1"/>
    <w:lsdException w:name="footnote reference"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lock Text" w:uiPriority="0"/>
    <w:lsdException w:name="FollowedHyperlink" w:uiPriority="0"/>
    <w:lsdException w:name="Strong" w:semiHidden="0" w:uiPriority="22" w:unhideWhenUsed="0" w:qFormat="1"/>
    <w:lsdException w:name="Emphasis" w:semiHidden="0" w:uiPriority="20" w:unhideWhenUsed="0" w:qFormat="1"/>
    <w:lsdException w:name="Table Grid" w:semiHidden="0" w:uiPriority="1"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2210E"/>
    <w:rPr>
      <w:rFonts w:ascii="Verdana" w:eastAsia="Times" w:hAnsi="Verdana"/>
      <w:lang w:val="es-ES_tradnl" w:eastAsia="en-US"/>
    </w:rPr>
  </w:style>
  <w:style w:type="paragraph" w:styleId="Ttulo1">
    <w:name w:val="heading 1"/>
    <w:basedOn w:val="Ttulo2"/>
    <w:next w:val="Normal"/>
    <w:link w:val="Ttulo1Car"/>
    <w:uiPriority w:val="9"/>
    <w:qFormat/>
    <w:rsid w:val="00E2210E"/>
    <w:pPr>
      <w:outlineLvl w:val="0"/>
    </w:pPr>
  </w:style>
  <w:style w:type="paragraph" w:styleId="Ttulo2">
    <w:name w:val="heading 2"/>
    <w:basedOn w:val="Normal"/>
    <w:next w:val="Normal"/>
    <w:link w:val="Ttulo2Car"/>
    <w:qFormat/>
    <w:rsid w:val="00E2210E"/>
    <w:pPr>
      <w:keepNext/>
      <w:jc w:val="center"/>
      <w:outlineLvl w:val="1"/>
    </w:pPr>
    <w:rPr>
      <w:rFonts w:eastAsia="Times New Roman" w:cs="Verdana"/>
      <w:b/>
      <w:bCs/>
      <w:iCs/>
      <w:caps/>
      <w:snapToGrid w:val="0"/>
      <w:lang w:val="es-CR" w:eastAsia="es-ES"/>
    </w:rPr>
  </w:style>
  <w:style w:type="paragraph" w:styleId="Ttulo3">
    <w:name w:val="heading 3"/>
    <w:basedOn w:val="Normal"/>
    <w:next w:val="Normal"/>
    <w:link w:val="Ttulo3Car"/>
    <w:uiPriority w:val="9"/>
    <w:unhideWhenUsed/>
    <w:qFormat/>
    <w:rsid w:val="00E2210E"/>
    <w:pPr>
      <w:numPr>
        <w:numId w:val="4"/>
      </w:numPr>
      <w:jc w:val="both"/>
      <w:outlineLvl w:val="2"/>
    </w:pPr>
    <w:rPr>
      <w:b/>
    </w:rPr>
  </w:style>
  <w:style w:type="paragraph" w:styleId="Ttulo9">
    <w:name w:val="heading 9"/>
    <w:basedOn w:val="Normal"/>
    <w:next w:val="Normal"/>
    <w:link w:val="Ttulo9Car"/>
    <w:qFormat/>
    <w:rsid w:val="00E2210E"/>
    <w:pPr>
      <w:keepNext/>
      <w:numPr>
        <w:numId w:val="2"/>
      </w:numPr>
      <w:outlineLvl w:val="8"/>
    </w:pPr>
    <w:rPr>
      <w:rFonts w:ascii="Garamond" w:hAnsi="Garamond"/>
      <w:i/>
      <w:sz w:val="24"/>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2Car">
    <w:name w:val="Título 2 Car"/>
    <w:link w:val="Ttulo2"/>
    <w:rsid w:val="00E2210E"/>
    <w:rPr>
      <w:rFonts w:ascii="Verdana" w:eastAsia="Times New Roman" w:hAnsi="Verdana" w:cs="Verdana"/>
      <w:b/>
      <w:bCs/>
      <w:iCs/>
      <w:caps/>
      <w:snapToGrid w:val="0"/>
      <w:sz w:val="20"/>
      <w:szCs w:val="20"/>
      <w:lang w:eastAsia="es-ES"/>
    </w:rPr>
  </w:style>
  <w:style w:type="character" w:customStyle="1" w:styleId="Ttulo1Car">
    <w:name w:val="Título 1 Car"/>
    <w:link w:val="Ttulo1"/>
    <w:uiPriority w:val="9"/>
    <w:rsid w:val="00E2210E"/>
    <w:rPr>
      <w:rFonts w:ascii="Verdana" w:eastAsia="Times New Roman" w:hAnsi="Verdana" w:cs="Verdana"/>
      <w:b/>
      <w:bCs/>
      <w:iCs/>
      <w:caps/>
      <w:snapToGrid w:val="0"/>
      <w:sz w:val="20"/>
      <w:szCs w:val="20"/>
      <w:lang w:eastAsia="es-ES"/>
    </w:rPr>
  </w:style>
  <w:style w:type="character" w:customStyle="1" w:styleId="Ttulo3Car">
    <w:name w:val="Título 3 Car"/>
    <w:link w:val="Ttulo3"/>
    <w:uiPriority w:val="9"/>
    <w:rsid w:val="00E2210E"/>
    <w:rPr>
      <w:rFonts w:ascii="Verdana" w:eastAsia="Times" w:hAnsi="Verdana" w:cs="Times New Roman"/>
      <w:b/>
      <w:sz w:val="20"/>
      <w:szCs w:val="20"/>
      <w:lang w:val="es-ES_tradnl"/>
    </w:rPr>
  </w:style>
  <w:style w:type="character" w:customStyle="1" w:styleId="Ttulo9Car">
    <w:name w:val="Título 9 Car"/>
    <w:link w:val="Ttulo9"/>
    <w:rsid w:val="00E2210E"/>
    <w:rPr>
      <w:rFonts w:ascii="Garamond" w:eastAsia="Times" w:hAnsi="Garamond" w:cs="Times New Roman"/>
      <w:i/>
      <w:sz w:val="24"/>
      <w:szCs w:val="20"/>
      <w:lang w:val="es-ES_tradnl"/>
    </w:rPr>
  </w:style>
  <w:style w:type="paragraph" w:styleId="Textonotapie">
    <w:name w:val="footnote text"/>
    <w:aliases w:val="Texto nota pie Car1,Footnote Text Char Char Char Char Char Car,Footnote Text Char Char Char Char Car,Footnote reference Car,FA Fu Car,Footnote Text Char Char Char Car,Footnote Text Cha Car,FA Fußnotentext Car,FA Fuﬂnotentext Car,Ca Car,Ca"/>
    <w:basedOn w:val="Normal"/>
    <w:link w:val="TextonotapieCar2"/>
    <w:qFormat/>
    <w:rsid w:val="00E2210E"/>
    <w:pPr>
      <w:jc w:val="both"/>
    </w:pPr>
    <w:rPr>
      <w:sz w:val="16"/>
      <w:lang w:eastAsia="x-none"/>
    </w:rPr>
  </w:style>
  <w:style w:type="character" w:customStyle="1" w:styleId="TextonotapieCar2">
    <w:name w:val="Texto nota pie Car2"/>
    <w:aliases w:val="Texto nota pie Car1 Car,Footnote Text Char Char Char Char Char Car Car,Footnote Text Char Char Char Char Car Car,Footnote reference Car Car,FA Fu Car Car,Footnote Text Char Char Char Car Car,Footnote Text Cha Car Car,Ca Car Car"/>
    <w:link w:val="Textonotapie"/>
    <w:rsid w:val="00E2210E"/>
    <w:rPr>
      <w:rFonts w:ascii="Verdana" w:eastAsia="Times" w:hAnsi="Verdana" w:cs="Times New Roman"/>
      <w:sz w:val="16"/>
      <w:szCs w:val="20"/>
      <w:lang w:val="es-ES_tradnl"/>
    </w:rPr>
  </w:style>
  <w:style w:type="character" w:customStyle="1" w:styleId="TextonotapieCar">
    <w:name w:val="Texto nota pie Car"/>
    <w:aliases w:val="FA Fu?notentext Car,C Car"/>
    <w:rsid w:val="00E2210E"/>
    <w:rPr>
      <w:rFonts w:ascii="Verdana" w:eastAsia="Times" w:hAnsi="Verdana" w:cs="Times New Roman"/>
      <w:sz w:val="20"/>
      <w:szCs w:val="20"/>
      <w:lang w:val="es-ES_tradnl"/>
    </w:rPr>
  </w:style>
  <w:style w:type="character" w:styleId="Refdenotaalpie">
    <w:name w:val="footnote reference"/>
    <w:aliases w:val="Texto de nota al pie,Appel note de bas de page,Footnotes refss,Footnote number,referencia nota al pie,BVI fnr,f,4_G,16 Point,Superscript 6 Point,Texto nota al pie,Footnote Reference Char3,Footnote Reference Char1 Char,Ref. de nota al"/>
    <w:uiPriority w:val="99"/>
    <w:qFormat/>
    <w:rsid w:val="00E2210E"/>
    <w:rPr>
      <w:vertAlign w:val="superscript"/>
    </w:rPr>
  </w:style>
  <w:style w:type="paragraph" w:styleId="Encabezado">
    <w:name w:val="header"/>
    <w:basedOn w:val="Normal"/>
    <w:link w:val="EncabezadoCar"/>
    <w:uiPriority w:val="99"/>
    <w:rsid w:val="00E2210E"/>
    <w:pPr>
      <w:tabs>
        <w:tab w:val="center" w:pos="4252"/>
        <w:tab w:val="right" w:pos="8504"/>
      </w:tabs>
    </w:pPr>
  </w:style>
  <w:style w:type="character" w:customStyle="1" w:styleId="EncabezadoCar">
    <w:name w:val="Encabezado Car"/>
    <w:link w:val="Encabezado"/>
    <w:uiPriority w:val="99"/>
    <w:rsid w:val="00E2210E"/>
    <w:rPr>
      <w:rFonts w:ascii="Verdana" w:eastAsia="Times" w:hAnsi="Verdana" w:cs="Times New Roman"/>
      <w:sz w:val="20"/>
      <w:szCs w:val="20"/>
      <w:lang w:val="es-ES_tradnl"/>
    </w:rPr>
  </w:style>
  <w:style w:type="character" w:styleId="Nmerodepgina">
    <w:name w:val="page number"/>
    <w:basedOn w:val="Fuentedeprrafopredeter"/>
    <w:uiPriority w:val="99"/>
    <w:rsid w:val="00E2210E"/>
  </w:style>
  <w:style w:type="paragraph" w:customStyle="1" w:styleId="Prrafodelista2">
    <w:name w:val="Párrafo de lista2"/>
    <w:basedOn w:val="Normal"/>
    <w:uiPriority w:val="34"/>
    <w:qFormat/>
    <w:rsid w:val="00E2210E"/>
    <w:pPr>
      <w:ind w:left="720"/>
    </w:pPr>
  </w:style>
  <w:style w:type="character" w:customStyle="1" w:styleId="Textoindependiente2Car">
    <w:name w:val="Texto independiente 2 Car"/>
    <w:link w:val="Textoindependiente2"/>
    <w:uiPriority w:val="99"/>
    <w:semiHidden/>
    <w:rsid w:val="00E2210E"/>
    <w:rPr>
      <w:rFonts w:ascii="Verdana" w:eastAsia="Times" w:hAnsi="Verdana" w:cs="Times New Roman"/>
      <w:sz w:val="20"/>
      <w:szCs w:val="20"/>
      <w:lang w:val="es-ES_tradnl"/>
    </w:rPr>
  </w:style>
  <w:style w:type="paragraph" w:styleId="Textoindependiente2">
    <w:name w:val="Body Text 2"/>
    <w:basedOn w:val="Normal"/>
    <w:link w:val="Textoindependiente2Car"/>
    <w:uiPriority w:val="99"/>
    <w:semiHidden/>
    <w:unhideWhenUsed/>
    <w:rsid w:val="00E2210E"/>
    <w:pPr>
      <w:spacing w:after="120" w:line="480" w:lineRule="auto"/>
    </w:pPr>
  </w:style>
  <w:style w:type="character" w:customStyle="1" w:styleId="PiedepginaCar">
    <w:name w:val="Pie de página Car"/>
    <w:link w:val="Piedepgina"/>
    <w:uiPriority w:val="99"/>
    <w:semiHidden/>
    <w:rsid w:val="00E2210E"/>
    <w:rPr>
      <w:rFonts w:ascii="Verdana" w:eastAsia="Times" w:hAnsi="Verdana" w:cs="Times New Roman"/>
      <w:sz w:val="20"/>
      <w:szCs w:val="20"/>
      <w:lang w:val="es-ES_tradnl"/>
    </w:rPr>
  </w:style>
  <w:style w:type="paragraph" w:styleId="Piedepgina">
    <w:name w:val="footer"/>
    <w:basedOn w:val="Normal"/>
    <w:link w:val="PiedepginaCar"/>
    <w:uiPriority w:val="99"/>
    <w:semiHidden/>
    <w:unhideWhenUsed/>
    <w:rsid w:val="00E2210E"/>
    <w:pPr>
      <w:tabs>
        <w:tab w:val="center" w:pos="4680"/>
        <w:tab w:val="right" w:pos="9360"/>
      </w:tabs>
    </w:pPr>
  </w:style>
  <w:style w:type="character" w:customStyle="1" w:styleId="TextodegloboCar">
    <w:name w:val="Texto de globo Car"/>
    <w:link w:val="Textodeglobo"/>
    <w:uiPriority w:val="99"/>
    <w:semiHidden/>
    <w:rsid w:val="00E2210E"/>
    <w:rPr>
      <w:rFonts w:ascii="Tahoma" w:eastAsia="Times" w:hAnsi="Tahoma" w:cs="Times New Roman"/>
      <w:sz w:val="16"/>
      <w:szCs w:val="16"/>
      <w:lang w:val="es-ES_tradnl"/>
    </w:rPr>
  </w:style>
  <w:style w:type="paragraph" w:styleId="Textodeglobo">
    <w:name w:val="Balloon Text"/>
    <w:basedOn w:val="Normal"/>
    <w:link w:val="TextodegloboCar"/>
    <w:uiPriority w:val="99"/>
    <w:semiHidden/>
    <w:unhideWhenUsed/>
    <w:rsid w:val="00E2210E"/>
    <w:rPr>
      <w:rFonts w:ascii="Tahoma" w:hAnsi="Tahoma"/>
      <w:sz w:val="16"/>
      <w:szCs w:val="16"/>
    </w:rPr>
  </w:style>
  <w:style w:type="paragraph" w:styleId="Textonotaalfinal">
    <w:name w:val="endnote text"/>
    <w:basedOn w:val="Normal"/>
    <w:link w:val="TextonotaalfinalCar"/>
    <w:uiPriority w:val="99"/>
    <w:rsid w:val="00E2210E"/>
    <w:pPr>
      <w:widowControl w:val="0"/>
      <w:tabs>
        <w:tab w:val="left" w:pos="720"/>
        <w:tab w:val="left" w:pos="1440"/>
        <w:tab w:val="left" w:pos="2160"/>
        <w:tab w:val="left" w:pos="2880"/>
        <w:tab w:val="left" w:pos="3600"/>
        <w:tab w:val="left" w:pos="4320"/>
        <w:tab w:val="left" w:pos="5760"/>
        <w:tab w:val="left" w:pos="6480"/>
        <w:tab w:val="left" w:pos="7200"/>
        <w:tab w:val="left" w:pos="7920"/>
      </w:tabs>
      <w:jc w:val="both"/>
    </w:pPr>
    <w:rPr>
      <w:rFonts w:ascii="CG Times" w:eastAsia="Times New Roman" w:hAnsi="CG Times"/>
      <w:sz w:val="22"/>
      <w:lang w:val="es-ES"/>
    </w:rPr>
  </w:style>
  <w:style w:type="character" w:customStyle="1" w:styleId="TextonotaalfinalCar">
    <w:name w:val="Texto nota al final Car"/>
    <w:link w:val="Textonotaalfinal"/>
    <w:uiPriority w:val="99"/>
    <w:rsid w:val="00E2210E"/>
    <w:rPr>
      <w:rFonts w:ascii="CG Times" w:eastAsia="Times New Roman" w:hAnsi="CG Times" w:cs="Times New Roman"/>
      <w:szCs w:val="20"/>
      <w:lang w:val="es-ES"/>
    </w:rPr>
  </w:style>
  <w:style w:type="paragraph" w:customStyle="1" w:styleId="PargrafodaLista">
    <w:name w:val="Parágrafo da Lista"/>
    <w:basedOn w:val="Normal"/>
    <w:qFormat/>
    <w:rsid w:val="00E2210E"/>
    <w:pPr>
      <w:ind w:left="708"/>
    </w:pPr>
    <w:rPr>
      <w:rFonts w:eastAsia="Batang" w:cs="Times"/>
      <w:sz w:val="16"/>
      <w:szCs w:val="24"/>
    </w:rPr>
  </w:style>
  <w:style w:type="paragraph" w:customStyle="1" w:styleId="ListParagraph1">
    <w:name w:val="List Paragraph1"/>
    <w:basedOn w:val="Normal"/>
    <w:uiPriority w:val="34"/>
    <w:qFormat/>
    <w:rsid w:val="00E2210E"/>
    <w:pPr>
      <w:spacing w:after="200" w:line="276" w:lineRule="auto"/>
      <w:ind w:left="720"/>
      <w:contextualSpacing/>
    </w:pPr>
    <w:rPr>
      <w:rFonts w:ascii="Times New Roman" w:eastAsia="Calibri" w:hAnsi="Times New Roman"/>
      <w:sz w:val="24"/>
      <w:szCs w:val="22"/>
      <w:lang w:val="en-US"/>
    </w:rPr>
  </w:style>
  <w:style w:type="character" w:styleId="Hipervnculo">
    <w:name w:val="Hyperlink"/>
    <w:uiPriority w:val="99"/>
    <w:unhideWhenUsed/>
    <w:rsid w:val="00E2210E"/>
    <w:rPr>
      <w:color w:val="0000FF"/>
      <w:u w:val="single"/>
    </w:rPr>
  </w:style>
  <w:style w:type="paragraph" w:customStyle="1" w:styleId="Sinespaciado1">
    <w:name w:val="Sin espaciado1"/>
    <w:link w:val="SinespaciadoCar"/>
    <w:uiPriority w:val="1"/>
    <w:qFormat/>
    <w:rsid w:val="00E2210E"/>
    <w:rPr>
      <w:rFonts w:eastAsia="Times New Roman"/>
      <w:sz w:val="22"/>
      <w:szCs w:val="22"/>
      <w:lang w:val="en-US" w:eastAsia="es-CR"/>
    </w:rPr>
  </w:style>
  <w:style w:type="character" w:customStyle="1" w:styleId="SinespaciadoCar">
    <w:name w:val="Sin espaciado Car"/>
    <w:link w:val="Sinespaciado1"/>
    <w:uiPriority w:val="1"/>
    <w:rsid w:val="00E2210E"/>
    <w:rPr>
      <w:rFonts w:eastAsia="Times New Roman"/>
      <w:sz w:val="22"/>
      <w:szCs w:val="22"/>
      <w:lang w:val="en-US" w:eastAsia="es-CR" w:bidi="ar-SA"/>
    </w:rPr>
  </w:style>
  <w:style w:type="paragraph" w:customStyle="1" w:styleId="Sangradetindependiente2">
    <w:name w:val="Sangría de t. independiente2"/>
    <w:basedOn w:val="Normal"/>
    <w:rsid w:val="00E2210E"/>
    <w:pPr>
      <w:spacing w:line="360" w:lineRule="atLeast"/>
    </w:pPr>
    <w:rPr>
      <w:rFonts w:ascii="Arial" w:eastAsia="Times New Roman" w:hAnsi="Arial"/>
      <w:sz w:val="24"/>
    </w:rPr>
  </w:style>
  <w:style w:type="character" w:styleId="Textoennegrita">
    <w:name w:val="Strong"/>
    <w:uiPriority w:val="22"/>
    <w:qFormat/>
    <w:rsid w:val="00E2210E"/>
    <w:rPr>
      <w:b/>
      <w:bCs/>
    </w:rPr>
  </w:style>
  <w:style w:type="paragraph" w:customStyle="1" w:styleId="Prrafodelista1">
    <w:name w:val="Párrafo de lista1"/>
    <w:basedOn w:val="Normal"/>
    <w:uiPriority w:val="34"/>
    <w:qFormat/>
    <w:rsid w:val="00E2210E"/>
    <w:pPr>
      <w:ind w:left="720"/>
    </w:pPr>
  </w:style>
  <w:style w:type="paragraph" w:styleId="NormalWeb">
    <w:name w:val="Normal (Web)"/>
    <w:basedOn w:val="Normal"/>
    <w:uiPriority w:val="99"/>
    <w:unhideWhenUsed/>
    <w:rsid w:val="00E2210E"/>
    <w:pPr>
      <w:spacing w:before="100" w:beforeAutospacing="1" w:after="100" w:afterAutospacing="1"/>
      <w:ind w:firstLine="138"/>
      <w:jc w:val="both"/>
    </w:pPr>
    <w:rPr>
      <w:rFonts w:ascii="Arial" w:eastAsia="Times New Roman" w:hAnsi="Arial" w:cs="Arial"/>
      <w:sz w:val="18"/>
      <w:szCs w:val="18"/>
      <w:lang w:val="en-US"/>
    </w:rPr>
  </w:style>
  <w:style w:type="character" w:customStyle="1" w:styleId="Refdenotaalpie1">
    <w:name w:val="Ref. de nota al pie1"/>
    <w:rsid w:val="00E2210E"/>
    <w:rPr>
      <w:sz w:val="20"/>
      <w:vertAlign w:val="superscript"/>
    </w:rPr>
  </w:style>
  <w:style w:type="paragraph" w:customStyle="1" w:styleId="profile-textblock">
    <w:name w:val="profile-textblock"/>
    <w:basedOn w:val="Normal"/>
    <w:rsid w:val="00E2210E"/>
    <w:pPr>
      <w:spacing w:after="192" w:line="384" w:lineRule="atLeast"/>
      <w:jc w:val="both"/>
    </w:pPr>
    <w:rPr>
      <w:rFonts w:ascii="Georgia" w:eastAsia="Times New Roman" w:hAnsi="Georgia"/>
      <w:sz w:val="12"/>
      <w:szCs w:val="12"/>
      <w:lang w:val="en-US"/>
    </w:rPr>
  </w:style>
  <w:style w:type="paragraph" w:styleId="Textoindependiente">
    <w:name w:val="Body Text"/>
    <w:basedOn w:val="Normal"/>
    <w:link w:val="TextoindependienteCar"/>
    <w:rsid w:val="00E2210E"/>
    <w:pPr>
      <w:jc w:val="both"/>
    </w:pPr>
    <w:rPr>
      <w:rFonts w:ascii="Garamond" w:hAnsi="Garamond"/>
      <w:sz w:val="24"/>
      <w:lang w:eastAsia="es-ES"/>
    </w:rPr>
  </w:style>
  <w:style w:type="character" w:customStyle="1" w:styleId="TextoindependienteCar">
    <w:name w:val="Texto independiente Car"/>
    <w:link w:val="Textoindependiente"/>
    <w:rsid w:val="00E2210E"/>
    <w:rPr>
      <w:rFonts w:ascii="Garamond" w:eastAsia="Times" w:hAnsi="Garamond" w:cs="Times New Roman"/>
      <w:sz w:val="24"/>
      <w:szCs w:val="20"/>
      <w:lang w:val="es-ES_tradnl" w:eastAsia="es-ES"/>
    </w:rPr>
  </w:style>
  <w:style w:type="character" w:customStyle="1" w:styleId="apple-style-span">
    <w:name w:val="apple-style-span"/>
    <w:basedOn w:val="Fuentedeprrafopredeter"/>
    <w:rsid w:val="00E2210E"/>
  </w:style>
  <w:style w:type="character" w:customStyle="1" w:styleId="TextocomentarioCar">
    <w:name w:val="Texto comentario Car"/>
    <w:link w:val="Textocomentario"/>
    <w:uiPriority w:val="99"/>
    <w:semiHidden/>
    <w:rsid w:val="00E2210E"/>
    <w:rPr>
      <w:rFonts w:ascii="Verdana" w:eastAsia="Times" w:hAnsi="Verdana" w:cs="Times New Roman"/>
      <w:sz w:val="20"/>
      <w:szCs w:val="20"/>
      <w:lang w:val="es-ES_tradnl"/>
    </w:rPr>
  </w:style>
  <w:style w:type="paragraph" w:styleId="Textocomentario">
    <w:name w:val="annotation text"/>
    <w:basedOn w:val="Normal"/>
    <w:link w:val="TextocomentarioCar"/>
    <w:uiPriority w:val="99"/>
    <w:semiHidden/>
    <w:unhideWhenUsed/>
    <w:rsid w:val="00E2210E"/>
  </w:style>
  <w:style w:type="character" w:customStyle="1" w:styleId="AsuntodelcomentarioCar">
    <w:name w:val="Asunto del comentario Car"/>
    <w:aliases w:val=" Car2 Car"/>
    <w:link w:val="Asuntodelcomentario"/>
    <w:uiPriority w:val="99"/>
    <w:semiHidden/>
    <w:rsid w:val="00E2210E"/>
    <w:rPr>
      <w:rFonts w:ascii="Verdana" w:eastAsia="Times" w:hAnsi="Verdana" w:cs="Times New Roman"/>
      <w:b/>
      <w:bCs/>
      <w:sz w:val="20"/>
      <w:szCs w:val="20"/>
      <w:lang w:val="es-ES_tradnl"/>
    </w:rPr>
  </w:style>
  <w:style w:type="paragraph" w:styleId="Asuntodelcomentario">
    <w:name w:val="annotation subject"/>
    <w:aliases w:val=" Car2"/>
    <w:basedOn w:val="Textocomentario"/>
    <w:next w:val="Textocomentario"/>
    <w:link w:val="AsuntodelcomentarioCar"/>
    <w:uiPriority w:val="99"/>
    <w:semiHidden/>
    <w:unhideWhenUsed/>
    <w:rsid w:val="00E2210E"/>
    <w:rPr>
      <w:b/>
      <w:bCs/>
    </w:rPr>
  </w:style>
  <w:style w:type="character" w:styleId="Hipervnculovisitado">
    <w:name w:val="FollowedHyperlink"/>
    <w:rsid w:val="00E2210E"/>
    <w:rPr>
      <w:color w:val="800080"/>
      <w:u w:val="single"/>
    </w:rPr>
  </w:style>
  <w:style w:type="character" w:customStyle="1" w:styleId="CarCar">
    <w:name w:val="Car Car"/>
    <w:rsid w:val="00E2210E"/>
    <w:rPr>
      <w:rFonts w:ascii="Verdana" w:eastAsia="Times" w:hAnsi="Verdana" w:cs="Times New Roman"/>
      <w:sz w:val="20"/>
      <w:szCs w:val="20"/>
      <w:lang w:val="es-ES_tradnl"/>
    </w:rPr>
  </w:style>
  <w:style w:type="paragraph" w:styleId="Textodebloque">
    <w:name w:val="Block Text"/>
    <w:basedOn w:val="Normal"/>
    <w:rsid w:val="00E2210E"/>
    <w:pPr>
      <w:tabs>
        <w:tab w:val="left" w:pos="360"/>
        <w:tab w:val="left" w:pos="540"/>
        <w:tab w:val="num" w:pos="900"/>
        <w:tab w:val="left" w:pos="1260"/>
      </w:tabs>
      <w:ind w:left="1440" w:right="720"/>
      <w:jc w:val="both"/>
    </w:pPr>
    <w:rPr>
      <w:sz w:val="18"/>
    </w:rPr>
  </w:style>
  <w:style w:type="character" w:customStyle="1" w:styleId="apple-converted-space">
    <w:name w:val="apple-converted-space"/>
    <w:basedOn w:val="Fuentedeprrafopredeter"/>
    <w:rsid w:val="00E2210E"/>
  </w:style>
  <w:style w:type="character" w:customStyle="1" w:styleId="FootnoteRef">
    <w:name w:val="Footnote Ref"/>
    <w:rsid w:val="00E2210E"/>
    <w:rPr>
      <w:vertAlign w:val="superscript"/>
    </w:rPr>
  </w:style>
  <w:style w:type="character" w:customStyle="1" w:styleId="ju-005fpara--char">
    <w:name w:val="ju-005fpara--char"/>
    <w:basedOn w:val="Fuentedeprrafopredeter"/>
    <w:rsid w:val="00E2210E"/>
  </w:style>
  <w:style w:type="character" w:customStyle="1" w:styleId="normal--char">
    <w:name w:val="normal--char"/>
    <w:basedOn w:val="Fuentedeprrafopredeter"/>
    <w:rsid w:val="00E2210E"/>
  </w:style>
  <w:style w:type="paragraph" w:customStyle="1" w:styleId="Body1">
    <w:name w:val="Body 1"/>
    <w:uiPriority w:val="99"/>
    <w:rsid w:val="00E2210E"/>
    <w:pPr>
      <w:outlineLvl w:val="0"/>
    </w:pPr>
    <w:rPr>
      <w:rFonts w:ascii="Times New Roman" w:eastAsia="SimSun" w:hAnsi="Times New Roman"/>
      <w:color w:val="000000"/>
      <w:sz w:val="24"/>
      <w:lang w:val="en-US" w:eastAsia="en-US"/>
    </w:rPr>
  </w:style>
  <w:style w:type="paragraph" w:styleId="Prrafodelista">
    <w:name w:val="List Paragraph"/>
    <w:aliases w:val="Footnote,Colorful List - Accent 11"/>
    <w:basedOn w:val="Normal"/>
    <w:link w:val="PrrafodelistaCar"/>
    <w:uiPriority w:val="99"/>
    <w:qFormat/>
    <w:rsid w:val="00E2210E"/>
    <w:pPr>
      <w:ind w:left="720"/>
      <w:jc w:val="both"/>
    </w:pPr>
    <w:rPr>
      <w:rFonts w:eastAsia="Batang"/>
      <w:szCs w:val="24"/>
    </w:rPr>
  </w:style>
  <w:style w:type="character" w:customStyle="1" w:styleId="PrrafodelistaCar">
    <w:name w:val="Párrafo de lista Car"/>
    <w:aliases w:val="Footnote Car,Colorful List - Accent 11 Car"/>
    <w:link w:val="Prrafodelista"/>
    <w:uiPriority w:val="99"/>
    <w:rsid w:val="00E2210E"/>
    <w:rPr>
      <w:rFonts w:ascii="Verdana" w:eastAsia="Batang" w:hAnsi="Verdana" w:cs="Times New Roman"/>
      <w:sz w:val="20"/>
      <w:szCs w:val="24"/>
      <w:lang w:val="es-ES_tradnl"/>
    </w:rPr>
  </w:style>
  <w:style w:type="character" w:customStyle="1" w:styleId="FootnoteTextCharCharCar">
    <w:name w:val="Footnote Text Char Char Car"/>
    <w:rsid w:val="00E2210E"/>
    <w:rPr>
      <w:rFonts w:ascii="Verdana" w:eastAsia="Times" w:hAnsi="Verdana" w:cs="Times New Roman"/>
      <w:sz w:val="16"/>
      <w:szCs w:val="20"/>
      <w:lang w:val="es-ES_tradnl"/>
    </w:rPr>
  </w:style>
  <w:style w:type="character" w:customStyle="1" w:styleId="TextonotapieCarCar">
    <w:name w:val="Texto nota pie Car Car"/>
    <w:rsid w:val="00E2210E"/>
    <w:rPr>
      <w:rFonts w:ascii="Verdana" w:eastAsia="Times" w:hAnsi="Verdana"/>
      <w:sz w:val="16"/>
      <w:lang w:val="es-ES_tradnl"/>
    </w:rPr>
  </w:style>
  <w:style w:type="character" w:customStyle="1" w:styleId="ListParagraphChar1">
    <w:name w:val="List Paragraph Char1"/>
    <w:uiPriority w:val="99"/>
    <w:rsid w:val="00E2210E"/>
    <w:rPr>
      <w:rFonts w:ascii="Verdana" w:eastAsia="Times New Roman" w:hAnsi="Verdana"/>
      <w:lang w:val="es-ES_tradnl" w:eastAsia="en-US"/>
    </w:rPr>
  </w:style>
  <w:style w:type="character" w:customStyle="1" w:styleId="MapadeldocumentoCar">
    <w:name w:val="Mapa del documento Car"/>
    <w:link w:val="Mapadeldocumento"/>
    <w:uiPriority w:val="99"/>
    <w:semiHidden/>
    <w:rsid w:val="00E2210E"/>
    <w:rPr>
      <w:rFonts w:ascii="Tahoma" w:eastAsia="Times" w:hAnsi="Tahoma" w:cs="Tahoma"/>
      <w:sz w:val="16"/>
      <w:szCs w:val="16"/>
      <w:lang w:val="es-ES_tradnl"/>
    </w:rPr>
  </w:style>
  <w:style w:type="paragraph" w:styleId="Mapadeldocumento">
    <w:name w:val="Document Map"/>
    <w:basedOn w:val="Normal"/>
    <w:link w:val="MapadeldocumentoCar"/>
    <w:uiPriority w:val="99"/>
    <w:semiHidden/>
    <w:unhideWhenUsed/>
    <w:rsid w:val="00E2210E"/>
    <w:rPr>
      <w:rFonts w:ascii="Tahoma" w:hAnsi="Tahoma" w:cs="Tahoma"/>
      <w:sz w:val="16"/>
      <w:szCs w:val="16"/>
    </w:rPr>
  </w:style>
  <w:style w:type="paragraph" w:customStyle="1" w:styleId="Default">
    <w:name w:val="Default"/>
    <w:rsid w:val="00E2210E"/>
    <w:pPr>
      <w:autoSpaceDE w:val="0"/>
      <w:autoSpaceDN w:val="0"/>
      <w:adjustRightInd w:val="0"/>
    </w:pPr>
    <w:rPr>
      <w:rFonts w:ascii="Verdana" w:eastAsia="Cambria" w:hAnsi="Verdana" w:cs="Verdana"/>
      <w:color w:val="000000"/>
      <w:sz w:val="24"/>
      <w:szCs w:val="24"/>
      <w:lang w:val="es-CR" w:eastAsia="es-CR"/>
    </w:rPr>
  </w:style>
  <w:style w:type="paragraph" w:customStyle="1" w:styleId="citaindirecta">
    <w:name w:val="cita indirecta"/>
    <w:basedOn w:val="Normal"/>
    <w:rsid w:val="00E2210E"/>
    <w:pPr>
      <w:ind w:left="708"/>
      <w:jc w:val="both"/>
    </w:pPr>
    <w:rPr>
      <w:rFonts w:eastAsia="Times New Roman"/>
    </w:rPr>
  </w:style>
  <w:style w:type="character" w:styleId="Refdecomentario">
    <w:name w:val="annotation reference"/>
    <w:uiPriority w:val="99"/>
    <w:semiHidden/>
    <w:unhideWhenUsed/>
    <w:rsid w:val="00B86696"/>
    <w:rPr>
      <w:sz w:val="16"/>
      <w:szCs w:val="16"/>
    </w:rPr>
  </w:style>
  <w:style w:type="paragraph" w:customStyle="1" w:styleId="Estilo4">
    <w:name w:val="Estilo4"/>
    <w:basedOn w:val="Prrafodelista"/>
    <w:qFormat/>
    <w:rsid w:val="00DD731F"/>
    <w:pPr>
      <w:numPr>
        <w:ilvl w:val="1"/>
        <w:numId w:val="20"/>
      </w:numPr>
      <w:spacing w:after="120"/>
      <w:ind w:left="0" w:firstLine="357"/>
    </w:pPr>
    <w:rPr>
      <w:rFonts w:eastAsia="Times New Roman"/>
      <w:spacing w:val="-2"/>
      <w:szCs w:val="20"/>
      <w:lang w:val="es-CR"/>
    </w:rPr>
  </w:style>
  <w:style w:type="paragraph" w:styleId="Revisin">
    <w:name w:val="Revision"/>
    <w:hidden/>
    <w:uiPriority w:val="99"/>
    <w:semiHidden/>
    <w:rsid w:val="00974A24"/>
    <w:rPr>
      <w:rFonts w:ascii="Verdana" w:eastAsia="Times" w:hAnsi="Verdana"/>
      <w:lang w:val="es-ES_tradnl" w:eastAsia="en-US"/>
    </w:rPr>
  </w:style>
  <w:style w:type="character" w:customStyle="1" w:styleId="sb8d990e2">
    <w:name w:val="sb8d990e2"/>
    <w:basedOn w:val="Fuentedeprrafopredeter"/>
    <w:rsid w:val="002C15A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5254264">
      <w:bodyDiv w:val="1"/>
      <w:marLeft w:val="0"/>
      <w:marRight w:val="0"/>
      <w:marTop w:val="0"/>
      <w:marBottom w:val="0"/>
      <w:divBdr>
        <w:top w:val="none" w:sz="0" w:space="0" w:color="auto"/>
        <w:left w:val="none" w:sz="0" w:space="0" w:color="auto"/>
        <w:bottom w:val="none" w:sz="0" w:space="0" w:color="auto"/>
        <w:right w:val="none" w:sz="0" w:space="0" w:color="auto"/>
      </w:divBdr>
    </w:div>
    <w:div w:id="482284610">
      <w:bodyDiv w:val="1"/>
      <w:marLeft w:val="0"/>
      <w:marRight w:val="0"/>
      <w:marTop w:val="0"/>
      <w:marBottom w:val="0"/>
      <w:divBdr>
        <w:top w:val="none" w:sz="0" w:space="0" w:color="auto"/>
        <w:left w:val="none" w:sz="0" w:space="0" w:color="auto"/>
        <w:bottom w:val="none" w:sz="0" w:space="0" w:color="auto"/>
        <w:right w:val="none" w:sz="0" w:space="0" w:color="auto"/>
      </w:divBdr>
    </w:div>
    <w:div w:id="633801902">
      <w:bodyDiv w:val="1"/>
      <w:marLeft w:val="0"/>
      <w:marRight w:val="0"/>
      <w:marTop w:val="0"/>
      <w:marBottom w:val="0"/>
      <w:divBdr>
        <w:top w:val="none" w:sz="0" w:space="0" w:color="auto"/>
        <w:left w:val="none" w:sz="0" w:space="0" w:color="auto"/>
        <w:bottom w:val="none" w:sz="0" w:space="0" w:color="auto"/>
        <w:right w:val="none" w:sz="0" w:space="0" w:color="auto"/>
      </w:divBdr>
    </w:div>
    <w:div w:id="810363577">
      <w:bodyDiv w:val="1"/>
      <w:marLeft w:val="0"/>
      <w:marRight w:val="0"/>
      <w:marTop w:val="0"/>
      <w:marBottom w:val="0"/>
      <w:divBdr>
        <w:top w:val="none" w:sz="0" w:space="0" w:color="auto"/>
        <w:left w:val="none" w:sz="0" w:space="0" w:color="auto"/>
        <w:bottom w:val="none" w:sz="0" w:space="0" w:color="auto"/>
        <w:right w:val="none" w:sz="0" w:space="0" w:color="auto"/>
      </w:divBdr>
    </w:div>
    <w:div w:id="824517987">
      <w:bodyDiv w:val="1"/>
      <w:marLeft w:val="0"/>
      <w:marRight w:val="0"/>
      <w:marTop w:val="0"/>
      <w:marBottom w:val="0"/>
      <w:divBdr>
        <w:top w:val="none" w:sz="0" w:space="0" w:color="auto"/>
        <w:left w:val="none" w:sz="0" w:space="0" w:color="auto"/>
        <w:bottom w:val="none" w:sz="0" w:space="0" w:color="auto"/>
        <w:right w:val="none" w:sz="0" w:space="0" w:color="auto"/>
      </w:divBdr>
    </w:div>
    <w:div w:id="863250072">
      <w:bodyDiv w:val="1"/>
      <w:marLeft w:val="0"/>
      <w:marRight w:val="0"/>
      <w:marTop w:val="0"/>
      <w:marBottom w:val="0"/>
      <w:divBdr>
        <w:top w:val="none" w:sz="0" w:space="0" w:color="auto"/>
        <w:left w:val="none" w:sz="0" w:space="0" w:color="auto"/>
        <w:bottom w:val="none" w:sz="0" w:space="0" w:color="auto"/>
        <w:right w:val="none" w:sz="0" w:space="0" w:color="auto"/>
      </w:divBdr>
    </w:div>
    <w:div w:id="1039358406">
      <w:bodyDiv w:val="1"/>
      <w:marLeft w:val="0"/>
      <w:marRight w:val="0"/>
      <w:marTop w:val="0"/>
      <w:marBottom w:val="0"/>
      <w:divBdr>
        <w:top w:val="none" w:sz="0" w:space="0" w:color="auto"/>
        <w:left w:val="none" w:sz="0" w:space="0" w:color="auto"/>
        <w:bottom w:val="none" w:sz="0" w:space="0" w:color="auto"/>
        <w:right w:val="none" w:sz="0" w:space="0" w:color="auto"/>
      </w:divBdr>
    </w:div>
    <w:div w:id="1057321942">
      <w:bodyDiv w:val="1"/>
      <w:marLeft w:val="0"/>
      <w:marRight w:val="0"/>
      <w:marTop w:val="0"/>
      <w:marBottom w:val="0"/>
      <w:divBdr>
        <w:top w:val="none" w:sz="0" w:space="0" w:color="auto"/>
        <w:left w:val="none" w:sz="0" w:space="0" w:color="auto"/>
        <w:bottom w:val="none" w:sz="0" w:space="0" w:color="auto"/>
        <w:right w:val="none" w:sz="0" w:space="0" w:color="auto"/>
      </w:divBdr>
    </w:div>
    <w:div w:id="1189028181">
      <w:bodyDiv w:val="1"/>
      <w:marLeft w:val="0"/>
      <w:marRight w:val="0"/>
      <w:marTop w:val="0"/>
      <w:marBottom w:val="0"/>
      <w:divBdr>
        <w:top w:val="none" w:sz="0" w:space="0" w:color="auto"/>
        <w:left w:val="none" w:sz="0" w:space="0" w:color="auto"/>
        <w:bottom w:val="none" w:sz="0" w:space="0" w:color="auto"/>
        <w:right w:val="none" w:sz="0" w:space="0" w:color="auto"/>
      </w:divBdr>
    </w:div>
    <w:div w:id="1217669265">
      <w:bodyDiv w:val="1"/>
      <w:marLeft w:val="0"/>
      <w:marRight w:val="0"/>
      <w:marTop w:val="0"/>
      <w:marBottom w:val="0"/>
      <w:divBdr>
        <w:top w:val="none" w:sz="0" w:space="0" w:color="auto"/>
        <w:left w:val="none" w:sz="0" w:space="0" w:color="auto"/>
        <w:bottom w:val="none" w:sz="0" w:space="0" w:color="auto"/>
        <w:right w:val="none" w:sz="0" w:space="0" w:color="auto"/>
      </w:divBdr>
    </w:div>
    <w:div w:id="1362972319">
      <w:bodyDiv w:val="1"/>
      <w:marLeft w:val="0"/>
      <w:marRight w:val="0"/>
      <w:marTop w:val="0"/>
      <w:marBottom w:val="0"/>
      <w:divBdr>
        <w:top w:val="none" w:sz="0" w:space="0" w:color="auto"/>
        <w:left w:val="none" w:sz="0" w:space="0" w:color="auto"/>
        <w:bottom w:val="none" w:sz="0" w:space="0" w:color="auto"/>
        <w:right w:val="none" w:sz="0" w:space="0" w:color="auto"/>
      </w:divBdr>
    </w:div>
    <w:div w:id="1754400034">
      <w:bodyDiv w:val="1"/>
      <w:marLeft w:val="0"/>
      <w:marRight w:val="0"/>
      <w:marTop w:val="0"/>
      <w:marBottom w:val="0"/>
      <w:divBdr>
        <w:top w:val="none" w:sz="0" w:space="0" w:color="auto"/>
        <w:left w:val="none" w:sz="0" w:space="0" w:color="auto"/>
        <w:bottom w:val="none" w:sz="0" w:space="0" w:color="auto"/>
        <w:right w:val="none" w:sz="0" w:space="0" w:color="auto"/>
      </w:divBdr>
    </w:div>
    <w:div w:id="19581713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targetScreenSz w:val="800x600"/>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C65DE0E31EAF2439D287EEF21B08142" ma:contentTypeVersion="0" ma:contentTypeDescription="Create a new document." ma:contentTypeScope="" ma:versionID="01638f88f95378e84390226ee62acf88">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298D90D-3DC0-476B-B580-61D89E16AB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20739FE3-2CDD-48A9-B473-5E7A19354740}">
  <ds:schemaRefs>
    <ds:schemaRef ds:uri="http://schemas.microsoft.com/sharepoint/v3/contenttype/forms"/>
  </ds:schemaRefs>
</ds:datastoreItem>
</file>

<file path=customXml/itemProps3.xml><?xml version="1.0" encoding="utf-8"?>
<ds:datastoreItem xmlns:ds="http://schemas.openxmlformats.org/officeDocument/2006/customXml" ds:itemID="{8A5BCE7F-5DA7-4FF5-B8D2-78A84EFE8CBC}">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8E0D3CBB-270C-466A-B007-B5420623742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11</Pages>
  <Words>5967</Words>
  <Characters>32820</Characters>
  <Application>Microsoft Office Word</Application>
  <DocSecurity>0</DocSecurity>
  <Lines>273</Lines>
  <Paragraphs>77</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Hewlett-Packard Company</Company>
  <LinksUpToDate>false</LinksUpToDate>
  <CharactersWithSpaces>38710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2017-06-23T18:38:00Z</cp:lastPrinted>
  <dcterms:created xsi:type="dcterms:W3CDTF">2017-06-23T18:38:00Z</dcterms:created>
  <dcterms:modified xsi:type="dcterms:W3CDTF">2017-06-23T18:38:00Z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0x0101009C65DE0E31EAF2439D287EEF21B08142</vt:lpwstr>
  </property>
</Properties>
</file>