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448" w:rsidRPr="00B27C76" w:rsidRDefault="00970448" w:rsidP="00970448">
      <w:pPr>
        <w:tabs>
          <w:tab w:val="left" w:pos="567"/>
        </w:tabs>
        <w:spacing w:after="0" w:line="240" w:lineRule="auto"/>
        <w:rPr>
          <w:rFonts w:eastAsia="Times New Roman" w:cs="Verdana"/>
          <w:b/>
          <w:bCs/>
          <w:caps/>
          <w:snapToGrid w:val="0"/>
          <w:szCs w:val="20"/>
          <w:lang w:val="es-ES_tradnl" w:eastAsia="es-ES"/>
        </w:rPr>
      </w:pPr>
    </w:p>
    <w:p w:rsidR="00970448" w:rsidRPr="00B27C76" w:rsidRDefault="00970448" w:rsidP="00970448">
      <w:pPr>
        <w:tabs>
          <w:tab w:val="left" w:pos="567"/>
        </w:tabs>
        <w:spacing w:after="0" w:line="240" w:lineRule="auto"/>
        <w:jc w:val="center"/>
        <w:rPr>
          <w:rFonts w:eastAsia="Times New Roman" w:cs="Verdana"/>
          <w:b/>
          <w:bCs/>
          <w:caps/>
          <w:snapToGrid w:val="0"/>
          <w:szCs w:val="20"/>
          <w:lang w:val="es-ES_tradnl" w:eastAsia="es-ES"/>
        </w:rPr>
      </w:pPr>
      <w:r w:rsidRPr="00B27C76">
        <w:rPr>
          <w:rFonts w:eastAsia="Times New Roman" w:cs="Verdana"/>
          <w:b/>
          <w:bCs/>
          <w:caps/>
          <w:snapToGrid w:val="0"/>
          <w:szCs w:val="20"/>
          <w:lang w:val="es-ES_tradnl" w:eastAsia="es-ES"/>
        </w:rPr>
        <w:t>Corte Interamericana de Derechos Humanos</w:t>
      </w:r>
    </w:p>
    <w:p w:rsidR="00970448" w:rsidRPr="00B27C76" w:rsidRDefault="00970448" w:rsidP="00970448">
      <w:pPr>
        <w:tabs>
          <w:tab w:val="left" w:pos="567"/>
        </w:tabs>
        <w:spacing w:after="0" w:line="240" w:lineRule="auto"/>
        <w:jc w:val="center"/>
        <w:rPr>
          <w:rFonts w:eastAsia="Times New Roman" w:cs="Verdana"/>
          <w:b/>
          <w:bCs/>
          <w:caps/>
          <w:snapToGrid w:val="0"/>
          <w:szCs w:val="20"/>
          <w:lang w:val="es-ES_tradnl" w:eastAsia="es-ES"/>
        </w:rPr>
      </w:pPr>
      <w:r w:rsidRPr="00B27C76">
        <w:rPr>
          <w:rFonts w:eastAsia="Times New Roman" w:cs="Verdana"/>
          <w:b/>
          <w:bCs/>
          <w:caps/>
          <w:snapToGrid w:val="0"/>
          <w:szCs w:val="20"/>
          <w:lang w:val="es-ES_tradnl" w:eastAsia="es-ES"/>
        </w:rPr>
        <w:t xml:space="preserve"> </w:t>
      </w:r>
    </w:p>
    <w:p w:rsidR="00970448" w:rsidRPr="00B27C76" w:rsidRDefault="00970448" w:rsidP="00970448">
      <w:pPr>
        <w:tabs>
          <w:tab w:val="left" w:pos="567"/>
        </w:tabs>
        <w:spacing w:after="0" w:line="240" w:lineRule="auto"/>
        <w:jc w:val="center"/>
        <w:rPr>
          <w:rFonts w:eastAsia="Times New Roman" w:cs="Verdana"/>
          <w:b/>
          <w:bCs/>
          <w:caps/>
          <w:snapToGrid w:val="0"/>
          <w:szCs w:val="20"/>
          <w:lang w:val="es-ES_tradnl" w:eastAsia="es-ES"/>
        </w:rPr>
      </w:pPr>
    </w:p>
    <w:p w:rsidR="00970448" w:rsidRPr="00B27C76" w:rsidRDefault="00970448" w:rsidP="00970448">
      <w:pPr>
        <w:tabs>
          <w:tab w:val="left" w:pos="0"/>
          <w:tab w:val="left" w:pos="567"/>
        </w:tabs>
        <w:spacing w:after="0" w:line="240" w:lineRule="auto"/>
        <w:jc w:val="center"/>
        <w:rPr>
          <w:rFonts w:eastAsia="Times New Roman"/>
          <w:b/>
          <w:bCs/>
          <w:caps/>
          <w:snapToGrid w:val="0"/>
          <w:szCs w:val="20"/>
          <w:lang w:val="es-ES_tradnl" w:eastAsia="es-ES"/>
        </w:rPr>
      </w:pPr>
      <w:r w:rsidRPr="00B27C76">
        <w:rPr>
          <w:rFonts w:eastAsia="Times New Roman" w:cs="Verdana"/>
          <w:b/>
          <w:bCs/>
          <w:snapToGrid w:val="0"/>
          <w:szCs w:val="20"/>
          <w:lang w:val="es-ES_tradnl" w:eastAsia="es-ES"/>
        </w:rPr>
        <w:t xml:space="preserve">CASO </w:t>
      </w:r>
      <w:r w:rsidR="00301E05" w:rsidRPr="00B27C76">
        <w:rPr>
          <w:rFonts w:eastAsia="Times New Roman" w:cs="Verdana"/>
          <w:b/>
          <w:bCs/>
          <w:snapToGrid w:val="0"/>
          <w:szCs w:val="20"/>
          <w:lang w:val="es-ES_tradnl" w:eastAsia="es-ES"/>
        </w:rPr>
        <w:t>J.</w:t>
      </w:r>
      <w:r w:rsidRPr="00B27C76">
        <w:rPr>
          <w:rFonts w:eastAsia="Times New Roman" w:cs="Verdana"/>
          <w:b/>
          <w:bCs/>
          <w:snapToGrid w:val="0"/>
          <w:szCs w:val="20"/>
          <w:lang w:val="es-ES_tradnl" w:eastAsia="es-ES"/>
        </w:rPr>
        <w:t xml:space="preserve"> </w:t>
      </w:r>
      <w:r w:rsidRPr="00B27C76">
        <w:rPr>
          <w:rFonts w:eastAsia="Times New Roman" w:cs="Verdana"/>
          <w:b/>
          <w:bCs/>
          <w:i/>
          <w:iCs/>
          <w:snapToGrid w:val="0"/>
          <w:szCs w:val="20"/>
          <w:lang w:val="es-ES_tradnl" w:eastAsia="es-ES"/>
        </w:rPr>
        <w:t>VS.</w:t>
      </w:r>
      <w:r w:rsidRPr="00B27C76">
        <w:rPr>
          <w:rFonts w:eastAsia="Times New Roman" w:cs="Verdana"/>
          <w:b/>
          <w:bCs/>
          <w:snapToGrid w:val="0"/>
          <w:szCs w:val="20"/>
          <w:lang w:val="es-ES_tradnl" w:eastAsia="es-ES"/>
        </w:rPr>
        <w:t xml:space="preserve"> </w:t>
      </w:r>
      <w:r w:rsidR="00301E05" w:rsidRPr="00B27C76">
        <w:rPr>
          <w:rFonts w:eastAsia="Times New Roman" w:cs="Verdana"/>
          <w:b/>
          <w:bCs/>
          <w:snapToGrid w:val="0"/>
          <w:szCs w:val="20"/>
          <w:lang w:val="es-ES_tradnl" w:eastAsia="es-ES"/>
        </w:rPr>
        <w:t>PERÚ</w:t>
      </w:r>
    </w:p>
    <w:p w:rsidR="00970448" w:rsidRPr="00B27C76" w:rsidRDefault="00970448" w:rsidP="00970448">
      <w:pPr>
        <w:tabs>
          <w:tab w:val="left" w:pos="0"/>
          <w:tab w:val="left" w:pos="567"/>
        </w:tabs>
        <w:spacing w:after="0" w:line="240" w:lineRule="auto"/>
        <w:jc w:val="center"/>
        <w:rPr>
          <w:rFonts w:eastAsia="Times New Roman"/>
          <w:b/>
          <w:bCs/>
          <w:caps/>
          <w:snapToGrid w:val="0"/>
          <w:szCs w:val="20"/>
          <w:lang w:val="es-ES_tradnl" w:eastAsia="es-ES"/>
        </w:rPr>
      </w:pPr>
    </w:p>
    <w:p w:rsidR="00970448" w:rsidRPr="00B27C76" w:rsidRDefault="00970448" w:rsidP="00970448">
      <w:pPr>
        <w:tabs>
          <w:tab w:val="left" w:pos="0"/>
          <w:tab w:val="left" w:pos="567"/>
        </w:tabs>
        <w:spacing w:after="0" w:line="240" w:lineRule="auto"/>
        <w:jc w:val="center"/>
        <w:rPr>
          <w:rFonts w:eastAsia="Times New Roman" w:cs="Verdana"/>
          <w:b/>
          <w:bCs/>
          <w:snapToGrid w:val="0"/>
          <w:szCs w:val="20"/>
          <w:lang w:val="es-ES_tradnl" w:eastAsia="es-ES"/>
        </w:rPr>
      </w:pPr>
      <w:r w:rsidRPr="00B27C76">
        <w:rPr>
          <w:rFonts w:eastAsia="Times New Roman" w:cs="Verdana"/>
          <w:b/>
          <w:bCs/>
          <w:snapToGrid w:val="0"/>
          <w:szCs w:val="20"/>
          <w:lang w:val="es-ES_tradnl" w:eastAsia="es-ES"/>
        </w:rPr>
        <w:t>SENTENCIA DE</w:t>
      </w:r>
      <w:r w:rsidR="003A272C" w:rsidRPr="00B27C76">
        <w:rPr>
          <w:rFonts w:eastAsia="Times New Roman" w:cs="Verdana"/>
          <w:b/>
          <w:bCs/>
          <w:snapToGrid w:val="0"/>
          <w:szCs w:val="20"/>
          <w:lang w:val="es-ES_tradnl" w:eastAsia="es-ES"/>
        </w:rPr>
        <w:t xml:space="preserve"> </w:t>
      </w:r>
      <w:r w:rsidR="00FF0689">
        <w:rPr>
          <w:rFonts w:eastAsia="Times New Roman" w:cs="Verdana"/>
          <w:b/>
          <w:bCs/>
          <w:snapToGrid w:val="0"/>
          <w:szCs w:val="20"/>
          <w:lang w:val="es-ES_tradnl" w:eastAsia="es-ES"/>
        </w:rPr>
        <w:t>20</w:t>
      </w:r>
      <w:r w:rsidR="005346FC">
        <w:rPr>
          <w:rFonts w:eastAsia="Times New Roman" w:cs="Verdana"/>
          <w:b/>
          <w:bCs/>
          <w:snapToGrid w:val="0"/>
          <w:szCs w:val="20"/>
          <w:lang w:val="es-ES_tradnl" w:eastAsia="es-ES"/>
        </w:rPr>
        <w:t xml:space="preserve"> DE </w:t>
      </w:r>
      <w:r w:rsidR="00153940" w:rsidRPr="00B27C76">
        <w:rPr>
          <w:rFonts w:eastAsia="Times New Roman" w:cs="Verdana"/>
          <w:b/>
          <w:bCs/>
          <w:snapToGrid w:val="0"/>
          <w:szCs w:val="20"/>
          <w:lang w:val="es-ES_tradnl" w:eastAsia="es-ES"/>
        </w:rPr>
        <w:t>NOVIEMBRE</w:t>
      </w:r>
      <w:r w:rsidR="003A272C" w:rsidRPr="00B27C76">
        <w:rPr>
          <w:rFonts w:eastAsia="Times New Roman" w:cs="Verdana"/>
          <w:b/>
          <w:bCs/>
          <w:snapToGrid w:val="0"/>
          <w:szCs w:val="20"/>
          <w:lang w:val="es-ES_tradnl" w:eastAsia="es-ES"/>
        </w:rPr>
        <w:t xml:space="preserve"> </w:t>
      </w:r>
      <w:r w:rsidRPr="00B27C76">
        <w:rPr>
          <w:rFonts w:eastAsia="Times New Roman" w:cs="Verdana"/>
          <w:b/>
          <w:bCs/>
          <w:snapToGrid w:val="0"/>
          <w:szCs w:val="20"/>
          <w:lang w:val="es-ES_tradnl" w:eastAsia="es-ES"/>
        </w:rPr>
        <w:t>DE 201</w:t>
      </w:r>
      <w:r w:rsidR="00301E05" w:rsidRPr="00B27C76">
        <w:rPr>
          <w:rFonts w:eastAsia="Times New Roman" w:cs="Verdana"/>
          <w:b/>
          <w:bCs/>
          <w:snapToGrid w:val="0"/>
          <w:szCs w:val="20"/>
          <w:lang w:val="es-ES_tradnl" w:eastAsia="es-ES"/>
        </w:rPr>
        <w:t>4</w:t>
      </w:r>
    </w:p>
    <w:p w:rsidR="004542DE" w:rsidRPr="00B27C76" w:rsidRDefault="004542DE" w:rsidP="00970448">
      <w:pPr>
        <w:tabs>
          <w:tab w:val="left" w:pos="0"/>
          <w:tab w:val="left" w:pos="567"/>
        </w:tabs>
        <w:spacing w:after="0" w:line="240" w:lineRule="auto"/>
        <w:jc w:val="center"/>
        <w:rPr>
          <w:rFonts w:eastAsia="Times New Roman"/>
          <w:b/>
          <w:bCs/>
          <w:caps/>
          <w:snapToGrid w:val="0"/>
          <w:szCs w:val="20"/>
          <w:lang w:val="es-ES_tradnl" w:eastAsia="es-ES"/>
        </w:rPr>
      </w:pPr>
    </w:p>
    <w:p w:rsidR="00C2489D" w:rsidRPr="00B27C76" w:rsidRDefault="00970448" w:rsidP="00970448">
      <w:pPr>
        <w:tabs>
          <w:tab w:val="left" w:pos="567"/>
        </w:tabs>
        <w:spacing w:after="0" w:line="240" w:lineRule="auto"/>
        <w:jc w:val="center"/>
        <w:rPr>
          <w:rFonts w:eastAsia="Times New Roman" w:cs="Verdana"/>
          <w:b/>
          <w:bCs/>
          <w:i/>
          <w:iCs/>
          <w:snapToGrid w:val="0"/>
          <w:szCs w:val="20"/>
          <w:lang w:val="es-ES_tradnl" w:eastAsia="es-ES"/>
        </w:rPr>
      </w:pPr>
      <w:r w:rsidRPr="00B27C76">
        <w:rPr>
          <w:rFonts w:eastAsia="Times New Roman" w:cs="Verdana"/>
          <w:b/>
          <w:bCs/>
          <w:i/>
          <w:iCs/>
          <w:snapToGrid w:val="0"/>
          <w:szCs w:val="20"/>
          <w:lang w:val="es-ES_tradnl" w:eastAsia="es-ES"/>
        </w:rPr>
        <w:t xml:space="preserve">(Interpretación de la Sentencia de </w:t>
      </w:r>
      <w:r w:rsidR="00C2489D" w:rsidRPr="00B27C76">
        <w:rPr>
          <w:rFonts w:eastAsia="Times New Roman" w:cs="Verdana"/>
          <w:b/>
          <w:bCs/>
          <w:i/>
          <w:iCs/>
          <w:snapToGrid w:val="0"/>
          <w:szCs w:val="20"/>
          <w:lang w:val="es-ES_tradnl" w:eastAsia="es-ES"/>
        </w:rPr>
        <w:t xml:space="preserve">Excepción Preliminar, </w:t>
      </w:r>
    </w:p>
    <w:p w:rsidR="00970448" w:rsidRPr="00B27C76" w:rsidRDefault="00970448" w:rsidP="00970448">
      <w:pPr>
        <w:tabs>
          <w:tab w:val="left" w:pos="567"/>
        </w:tabs>
        <w:spacing w:after="0" w:line="240" w:lineRule="auto"/>
        <w:jc w:val="center"/>
        <w:rPr>
          <w:rFonts w:eastAsia="Times New Roman" w:cs="Verdana"/>
          <w:b/>
          <w:bCs/>
          <w:i/>
          <w:snapToGrid w:val="0"/>
          <w:szCs w:val="20"/>
          <w:lang w:val="es-ES_tradnl" w:eastAsia="es-ES"/>
        </w:rPr>
      </w:pPr>
      <w:r w:rsidRPr="00B27C76">
        <w:rPr>
          <w:rFonts w:eastAsia="Times New Roman" w:cs="Verdana"/>
          <w:b/>
          <w:bCs/>
          <w:i/>
          <w:iCs/>
          <w:snapToGrid w:val="0"/>
          <w:szCs w:val="20"/>
          <w:lang w:val="es-ES_tradnl" w:eastAsia="es-ES"/>
        </w:rPr>
        <w:t>Fondo, Reparaciones y Costas)</w:t>
      </w:r>
    </w:p>
    <w:p w:rsidR="00970448" w:rsidRPr="00B27C76" w:rsidRDefault="00970448" w:rsidP="00970448">
      <w:pPr>
        <w:tabs>
          <w:tab w:val="left" w:pos="567"/>
          <w:tab w:val="left" w:pos="720"/>
        </w:tabs>
        <w:spacing w:after="0" w:line="240" w:lineRule="auto"/>
        <w:rPr>
          <w:rFonts w:eastAsia="Times New Roman"/>
          <w:b/>
          <w:bCs/>
          <w:smallCaps/>
          <w:szCs w:val="20"/>
          <w:lang w:val="es-ES_tradnl"/>
        </w:rPr>
      </w:pPr>
    </w:p>
    <w:p w:rsidR="00970448" w:rsidRPr="00B27C76" w:rsidRDefault="00970448" w:rsidP="00970448">
      <w:pPr>
        <w:tabs>
          <w:tab w:val="left" w:pos="567"/>
          <w:tab w:val="left" w:pos="720"/>
        </w:tabs>
        <w:spacing w:after="0" w:line="240" w:lineRule="auto"/>
        <w:jc w:val="both"/>
        <w:rPr>
          <w:rFonts w:eastAsia="Times New Roman"/>
          <w:szCs w:val="20"/>
          <w:lang w:val="es-ES_tradnl"/>
        </w:rPr>
      </w:pPr>
    </w:p>
    <w:p w:rsidR="00970448" w:rsidRPr="00B27C76" w:rsidRDefault="00970448" w:rsidP="00970448">
      <w:pPr>
        <w:tabs>
          <w:tab w:val="left" w:pos="567"/>
          <w:tab w:val="left" w:pos="720"/>
        </w:tabs>
        <w:spacing w:after="0" w:line="240" w:lineRule="auto"/>
        <w:jc w:val="both"/>
        <w:rPr>
          <w:rFonts w:eastAsia="Times New Roman"/>
          <w:szCs w:val="20"/>
          <w:lang w:val="es-ES_tradnl"/>
        </w:rPr>
      </w:pPr>
    </w:p>
    <w:p w:rsidR="00970448" w:rsidRPr="00B27C76" w:rsidRDefault="00970448" w:rsidP="00970448">
      <w:pPr>
        <w:tabs>
          <w:tab w:val="left" w:pos="567"/>
          <w:tab w:val="left" w:pos="720"/>
        </w:tabs>
        <w:spacing w:after="0" w:line="240" w:lineRule="auto"/>
        <w:jc w:val="both"/>
        <w:rPr>
          <w:rFonts w:eastAsia="Times New Roman" w:cs="Verdana"/>
          <w:i/>
          <w:iCs/>
          <w:szCs w:val="20"/>
          <w:lang w:val="es-ES_tradnl"/>
        </w:rPr>
      </w:pPr>
      <w:r w:rsidRPr="00B27C76">
        <w:rPr>
          <w:rFonts w:eastAsia="Times New Roman" w:cs="Verdana"/>
          <w:szCs w:val="20"/>
          <w:lang w:val="es-ES_tradnl"/>
        </w:rPr>
        <w:t>En el caso</w:t>
      </w:r>
      <w:r w:rsidRPr="00B27C76">
        <w:rPr>
          <w:rFonts w:eastAsia="Times New Roman" w:cs="Verdana"/>
          <w:i/>
          <w:iCs/>
          <w:szCs w:val="20"/>
          <w:lang w:val="es-ES_tradnl"/>
        </w:rPr>
        <w:t xml:space="preserve"> </w:t>
      </w:r>
      <w:r w:rsidR="00301E05" w:rsidRPr="00B27C76">
        <w:rPr>
          <w:rFonts w:eastAsia="Times New Roman" w:cs="Verdana"/>
          <w:i/>
          <w:iCs/>
          <w:szCs w:val="20"/>
          <w:lang w:val="es-ES_tradnl"/>
        </w:rPr>
        <w:t xml:space="preserve">J. </w:t>
      </w:r>
      <w:r w:rsidR="00D17232" w:rsidRPr="00B27C76">
        <w:rPr>
          <w:rFonts w:eastAsia="Times New Roman" w:cs="Verdana"/>
          <w:i/>
          <w:iCs/>
          <w:szCs w:val="20"/>
          <w:lang w:val="es-ES_tradnl"/>
        </w:rPr>
        <w:t>vs</w:t>
      </w:r>
      <w:r w:rsidR="00301E05" w:rsidRPr="00B27C76">
        <w:rPr>
          <w:rFonts w:eastAsia="Times New Roman" w:cs="Verdana"/>
          <w:i/>
          <w:iCs/>
          <w:szCs w:val="20"/>
          <w:lang w:val="es-ES_tradnl"/>
        </w:rPr>
        <w:t>. P</w:t>
      </w:r>
      <w:r w:rsidR="00D17232" w:rsidRPr="00B27C76">
        <w:rPr>
          <w:rFonts w:eastAsia="Times New Roman" w:cs="Verdana"/>
          <w:i/>
          <w:iCs/>
          <w:szCs w:val="20"/>
          <w:lang w:val="es-ES_tradnl"/>
        </w:rPr>
        <w:t>erú</w:t>
      </w:r>
      <w:r w:rsidRPr="00B27C76">
        <w:rPr>
          <w:rFonts w:eastAsia="Times New Roman" w:cs="Verdana"/>
          <w:i/>
          <w:iCs/>
          <w:szCs w:val="20"/>
          <w:lang w:val="es-ES_tradnl"/>
        </w:rPr>
        <w:t xml:space="preserve">, </w:t>
      </w:r>
    </w:p>
    <w:p w:rsidR="00970448" w:rsidRPr="00B27C76" w:rsidRDefault="00970448" w:rsidP="00970448">
      <w:pPr>
        <w:tabs>
          <w:tab w:val="left" w:pos="567"/>
          <w:tab w:val="left" w:pos="720"/>
        </w:tabs>
        <w:spacing w:after="0" w:line="240" w:lineRule="auto"/>
        <w:jc w:val="both"/>
        <w:rPr>
          <w:rFonts w:eastAsia="Times New Roman"/>
          <w:szCs w:val="20"/>
          <w:lang w:val="es-ES_tradnl"/>
        </w:rPr>
      </w:pPr>
    </w:p>
    <w:p w:rsidR="00970448" w:rsidRPr="00B27C76" w:rsidRDefault="00970448" w:rsidP="00970448">
      <w:pPr>
        <w:tabs>
          <w:tab w:val="left" w:pos="567"/>
          <w:tab w:val="left" w:pos="720"/>
        </w:tabs>
        <w:spacing w:after="0" w:line="240" w:lineRule="auto"/>
        <w:jc w:val="both"/>
        <w:rPr>
          <w:rFonts w:eastAsia="Times New Roman" w:cs="Verdana"/>
          <w:szCs w:val="20"/>
          <w:lang w:val="es-ES_tradnl"/>
        </w:rPr>
      </w:pPr>
      <w:proofErr w:type="gramStart"/>
      <w:r w:rsidRPr="00B27C76">
        <w:rPr>
          <w:rFonts w:eastAsia="Times New Roman" w:cs="Verdana"/>
          <w:szCs w:val="20"/>
          <w:lang w:val="es-ES_tradnl"/>
        </w:rPr>
        <w:t>la</w:t>
      </w:r>
      <w:proofErr w:type="gramEnd"/>
      <w:r w:rsidRPr="00B27C76">
        <w:rPr>
          <w:rFonts w:eastAsia="Times New Roman" w:cs="Verdana"/>
          <w:szCs w:val="20"/>
          <w:lang w:val="es-ES_tradnl"/>
        </w:rPr>
        <w:t xml:space="preserve"> Corte Interamericana de Derechos Humanos (en adelante “la Corte Interamericana”, “la Corte” o “este </w:t>
      </w:r>
      <w:r w:rsidRPr="00B27C76">
        <w:rPr>
          <w:rStyle w:val="Nmerodelnea"/>
          <w:sz w:val="20"/>
          <w:szCs w:val="20"/>
          <w:lang w:val="es-ES_tradnl"/>
        </w:rPr>
        <w:t>Tribunal</w:t>
      </w:r>
      <w:r w:rsidRPr="00B27C76">
        <w:rPr>
          <w:rFonts w:eastAsia="Times New Roman" w:cs="Verdana"/>
          <w:szCs w:val="20"/>
          <w:lang w:val="es-ES_tradnl"/>
        </w:rPr>
        <w:t>”), integrada por los siguientes jueces</w:t>
      </w:r>
      <w:bookmarkStart w:id="0" w:name="_Ref399254936"/>
      <w:r w:rsidR="003A272C" w:rsidRPr="00B27C76">
        <w:rPr>
          <w:rStyle w:val="Refdenotaalpie"/>
          <w:rFonts w:eastAsia="Times New Roman" w:cs="Verdana"/>
          <w:szCs w:val="20"/>
          <w:lang w:val="es-ES_tradnl"/>
        </w:rPr>
        <w:footnoteReference w:id="1"/>
      </w:r>
      <w:bookmarkEnd w:id="0"/>
      <w:r w:rsidR="003A272C" w:rsidRPr="00B27C76">
        <w:rPr>
          <w:rFonts w:eastAsia="Times New Roman" w:cs="Verdana"/>
          <w:szCs w:val="20"/>
          <w:lang w:val="es-ES_tradnl"/>
        </w:rPr>
        <w:t>:</w:t>
      </w:r>
    </w:p>
    <w:p w:rsidR="00970448" w:rsidRPr="00B27C76" w:rsidRDefault="00970448" w:rsidP="00970448">
      <w:pPr>
        <w:tabs>
          <w:tab w:val="left" w:pos="567"/>
          <w:tab w:val="left" w:pos="720"/>
        </w:tabs>
        <w:spacing w:after="0" w:line="240" w:lineRule="auto"/>
        <w:jc w:val="both"/>
        <w:rPr>
          <w:rFonts w:eastAsia="Times New Roman" w:cs="Verdana"/>
          <w:szCs w:val="20"/>
          <w:lang w:val="es-ES_tradnl"/>
        </w:rPr>
      </w:pPr>
    </w:p>
    <w:p w:rsidR="00970448" w:rsidRPr="00B27C76" w:rsidRDefault="00160152" w:rsidP="00970448">
      <w:pPr>
        <w:tabs>
          <w:tab w:val="left" w:pos="567"/>
          <w:tab w:val="left" w:pos="720"/>
        </w:tabs>
        <w:spacing w:after="0" w:line="240" w:lineRule="auto"/>
        <w:rPr>
          <w:rFonts w:eastAsia="Times New Roman" w:cs="Verdana"/>
          <w:szCs w:val="20"/>
          <w:lang w:val="es-ES_tradnl"/>
        </w:rPr>
      </w:pPr>
      <w:r w:rsidRPr="00B27C76">
        <w:rPr>
          <w:rFonts w:eastAsia="Times New Roman" w:cs="Verdana"/>
          <w:szCs w:val="20"/>
          <w:lang w:val="es-ES_tradnl"/>
        </w:rPr>
        <w:t>Humberto Antonio Sierra Porto, Presidente</w:t>
      </w:r>
      <w:r w:rsidR="00970448" w:rsidRPr="00B27C76">
        <w:rPr>
          <w:rFonts w:eastAsia="Times New Roman" w:cs="Verdana"/>
          <w:szCs w:val="20"/>
          <w:lang w:val="es-ES_tradnl"/>
        </w:rPr>
        <w:t>;</w:t>
      </w:r>
    </w:p>
    <w:p w:rsidR="00970448" w:rsidRPr="00B27C76" w:rsidRDefault="00160152" w:rsidP="00970448">
      <w:pPr>
        <w:tabs>
          <w:tab w:val="left" w:pos="567"/>
          <w:tab w:val="left" w:pos="720"/>
        </w:tabs>
        <w:spacing w:after="0" w:line="240" w:lineRule="auto"/>
        <w:rPr>
          <w:rFonts w:eastAsia="Times New Roman" w:cs="Verdana"/>
          <w:szCs w:val="20"/>
          <w:lang w:val="es-ES_tradnl"/>
        </w:rPr>
      </w:pPr>
      <w:r w:rsidRPr="00B27C76">
        <w:rPr>
          <w:rFonts w:eastAsia="Times New Roman" w:cs="Verdana"/>
          <w:szCs w:val="20"/>
          <w:lang w:val="es-ES_tradnl"/>
        </w:rPr>
        <w:t>Roberto F. Caldas, Vicepresidente</w:t>
      </w:r>
      <w:r w:rsidR="00970448" w:rsidRPr="00B27C76">
        <w:rPr>
          <w:rFonts w:eastAsia="Times New Roman" w:cs="Verdana"/>
          <w:szCs w:val="20"/>
          <w:lang w:val="es-ES_tradnl"/>
        </w:rPr>
        <w:t>;</w:t>
      </w:r>
    </w:p>
    <w:p w:rsidR="00160152" w:rsidRPr="00B27C76" w:rsidRDefault="00160152" w:rsidP="00970448">
      <w:pPr>
        <w:tabs>
          <w:tab w:val="left" w:pos="567"/>
          <w:tab w:val="left" w:pos="720"/>
        </w:tabs>
        <w:spacing w:after="0" w:line="240" w:lineRule="auto"/>
        <w:rPr>
          <w:rFonts w:eastAsia="Times New Roman" w:cs="Verdana"/>
          <w:szCs w:val="20"/>
          <w:lang w:val="es-ES_tradnl"/>
        </w:rPr>
      </w:pPr>
      <w:r w:rsidRPr="00B27C76">
        <w:rPr>
          <w:rFonts w:eastAsia="Times New Roman" w:cs="Verdana"/>
          <w:szCs w:val="20"/>
          <w:lang w:val="es-ES_tradnl"/>
        </w:rPr>
        <w:t>Manuel E. Ventura Robles, Juez;</w:t>
      </w:r>
    </w:p>
    <w:p w:rsidR="00160152" w:rsidRPr="00B27C76" w:rsidRDefault="00160152" w:rsidP="00970448">
      <w:pPr>
        <w:tabs>
          <w:tab w:val="left" w:pos="567"/>
          <w:tab w:val="left" w:pos="720"/>
        </w:tabs>
        <w:spacing w:after="0" w:line="240" w:lineRule="auto"/>
        <w:rPr>
          <w:rFonts w:eastAsia="Times New Roman" w:cs="Verdana"/>
          <w:szCs w:val="20"/>
          <w:lang w:val="es-ES_tradnl"/>
        </w:rPr>
      </w:pPr>
      <w:r w:rsidRPr="00B27C76">
        <w:rPr>
          <w:rFonts w:eastAsia="Times New Roman" w:cs="Verdana"/>
          <w:szCs w:val="20"/>
          <w:lang w:val="es-ES_tradnl"/>
        </w:rPr>
        <w:t>Eduardo Vio Grossi, Juez;</w:t>
      </w:r>
    </w:p>
    <w:p w:rsidR="00160152" w:rsidRPr="00B27C76" w:rsidRDefault="00160152" w:rsidP="00970448">
      <w:pPr>
        <w:tabs>
          <w:tab w:val="left" w:pos="567"/>
          <w:tab w:val="left" w:pos="720"/>
        </w:tabs>
        <w:spacing w:after="0" w:line="240" w:lineRule="auto"/>
        <w:rPr>
          <w:rFonts w:eastAsia="Times New Roman"/>
          <w:szCs w:val="20"/>
          <w:lang w:val="es-ES_tradnl"/>
        </w:rPr>
      </w:pPr>
      <w:r w:rsidRPr="00B27C76">
        <w:rPr>
          <w:rFonts w:eastAsia="Times New Roman" w:cs="Verdana"/>
          <w:szCs w:val="20"/>
          <w:lang w:val="es-ES_tradnl"/>
        </w:rPr>
        <w:t>Eduardo Ferrer Mac-</w:t>
      </w:r>
      <w:proofErr w:type="spellStart"/>
      <w:r w:rsidRPr="00B27C76">
        <w:rPr>
          <w:rFonts w:eastAsia="Times New Roman" w:cs="Verdana"/>
          <w:szCs w:val="20"/>
          <w:lang w:val="es-ES_tradnl"/>
        </w:rPr>
        <w:t>Gregor</w:t>
      </w:r>
      <w:proofErr w:type="spellEnd"/>
      <w:r w:rsidRPr="00B27C76">
        <w:rPr>
          <w:rFonts w:eastAsia="Times New Roman" w:cs="Verdana"/>
          <w:szCs w:val="20"/>
          <w:lang w:val="es-ES_tradnl"/>
        </w:rPr>
        <w:t xml:space="preserve"> </w:t>
      </w:r>
      <w:proofErr w:type="spellStart"/>
      <w:r w:rsidRPr="00B27C76">
        <w:rPr>
          <w:rFonts w:eastAsia="Times New Roman" w:cs="Verdana"/>
          <w:szCs w:val="20"/>
          <w:lang w:val="es-ES_tradnl"/>
        </w:rPr>
        <w:t>Poisot</w:t>
      </w:r>
      <w:proofErr w:type="spellEnd"/>
      <w:r w:rsidRPr="00B27C76">
        <w:rPr>
          <w:rFonts w:eastAsia="Times New Roman" w:cs="Verdana"/>
          <w:szCs w:val="20"/>
          <w:lang w:val="es-ES_tradnl"/>
        </w:rPr>
        <w:t>, Juez;</w:t>
      </w:r>
    </w:p>
    <w:p w:rsidR="00160152" w:rsidRPr="00B27C76" w:rsidRDefault="00160152" w:rsidP="00970448">
      <w:pPr>
        <w:tabs>
          <w:tab w:val="left" w:pos="567"/>
          <w:tab w:val="left" w:pos="720"/>
        </w:tabs>
        <w:spacing w:after="0" w:line="240" w:lineRule="auto"/>
        <w:jc w:val="both"/>
        <w:rPr>
          <w:rFonts w:eastAsia="Times New Roman" w:cs="Verdana"/>
          <w:szCs w:val="20"/>
          <w:lang w:val="es-ES_tradnl"/>
        </w:rPr>
      </w:pPr>
    </w:p>
    <w:p w:rsidR="00970448" w:rsidRPr="00B27C76" w:rsidRDefault="00970448" w:rsidP="00970448">
      <w:pPr>
        <w:tabs>
          <w:tab w:val="left" w:pos="567"/>
          <w:tab w:val="left" w:pos="720"/>
        </w:tabs>
        <w:spacing w:after="0" w:line="240" w:lineRule="auto"/>
        <w:jc w:val="both"/>
        <w:rPr>
          <w:rFonts w:eastAsia="Times New Roman" w:cs="Verdana"/>
          <w:szCs w:val="20"/>
          <w:lang w:val="es-ES_tradnl"/>
        </w:rPr>
      </w:pPr>
      <w:proofErr w:type="gramStart"/>
      <w:r w:rsidRPr="00B27C76">
        <w:rPr>
          <w:rFonts w:eastAsia="Times New Roman" w:cs="Verdana"/>
          <w:szCs w:val="20"/>
          <w:lang w:val="es-ES_tradnl"/>
        </w:rPr>
        <w:t>presentes</w:t>
      </w:r>
      <w:proofErr w:type="gramEnd"/>
      <w:r w:rsidRPr="00B27C76">
        <w:rPr>
          <w:rFonts w:eastAsia="Times New Roman" w:cs="Verdana"/>
          <w:szCs w:val="20"/>
          <w:lang w:val="es-ES_tradnl"/>
        </w:rPr>
        <w:t xml:space="preserve"> además,</w:t>
      </w:r>
    </w:p>
    <w:p w:rsidR="00970448" w:rsidRPr="00B27C76" w:rsidRDefault="00970448" w:rsidP="00970448">
      <w:pPr>
        <w:tabs>
          <w:tab w:val="left" w:pos="567"/>
          <w:tab w:val="left" w:pos="720"/>
        </w:tabs>
        <w:spacing w:after="0" w:line="240" w:lineRule="auto"/>
        <w:jc w:val="both"/>
        <w:rPr>
          <w:rFonts w:eastAsia="Times New Roman" w:cs="Verdana"/>
          <w:szCs w:val="20"/>
          <w:lang w:val="es-ES_tradnl"/>
        </w:rPr>
      </w:pPr>
    </w:p>
    <w:p w:rsidR="00970448" w:rsidRPr="00B27C76" w:rsidRDefault="00970448" w:rsidP="00970448">
      <w:pPr>
        <w:tabs>
          <w:tab w:val="left" w:pos="567"/>
          <w:tab w:val="left" w:pos="720"/>
        </w:tabs>
        <w:spacing w:after="0" w:line="240" w:lineRule="auto"/>
        <w:jc w:val="both"/>
        <w:rPr>
          <w:rFonts w:eastAsia="Times New Roman" w:cs="Verdana"/>
          <w:szCs w:val="20"/>
          <w:lang w:val="es-ES_tradnl"/>
        </w:rPr>
      </w:pPr>
      <w:r w:rsidRPr="00B27C76">
        <w:rPr>
          <w:rFonts w:eastAsia="Times New Roman" w:cs="Verdana"/>
          <w:szCs w:val="20"/>
          <w:lang w:val="es-ES_tradnl"/>
        </w:rPr>
        <w:t xml:space="preserve">Pablo Saavedra Alessandri, Secretario, y </w:t>
      </w:r>
    </w:p>
    <w:p w:rsidR="00970448" w:rsidRPr="00B27C76" w:rsidRDefault="00970448" w:rsidP="00970448">
      <w:pPr>
        <w:tabs>
          <w:tab w:val="left" w:pos="567"/>
          <w:tab w:val="left" w:pos="720"/>
        </w:tabs>
        <w:spacing w:after="0" w:line="240" w:lineRule="auto"/>
        <w:jc w:val="both"/>
        <w:rPr>
          <w:rFonts w:eastAsia="Times New Roman"/>
          <w:szCs w:val="20"/>
          <w:lang w:val="es-ES_tradnl"/>
        </w:rPr>
      </w:pPr>
      <w:r w:rsidRPr="00B27C76">
        <w:rPr>
          <w:rFonts w:eastAsia="Times New Roman" w:cs="Verdana"/>
          <w:szCs w:val="20"/>
          <w:lang w:val="es-ES_tradnl" w:eastAsia="es-MX"/>
        </w:rPr>
        <w:t>Emilia Segares Rodríguez, Secretaria Adjunta,</w:t>
      </w:r>
    </w:p>
    <w:p w:rsidR="00970448" w:rsidRPr="00B27C76" w:rsidRDefault="00970448" w:rsidP="00970448">
      <w:pPr>
        <w:tabs>
          <w:tab w:val="left" w:pos="567"/>
        </w:tabs>
        <w:spacing w:after="0" w:line="240" w:lineRule="auto"/>
        <w:jc w:val="center"/>
        <w:rPr>
          <w:rFonts w:eastAsia="Times New Roman" w:cs="Verdana"/>
          <w:b/>
          <w:bCs/>
          <w:caps/>
          <w:snapToGrid w:val="0"/>
          <w:szCs w:val="20"/>
          <w:lang w:val="es-ES_tradnl" w:eastAsia="es-ES"/>
        </w:rPr>
      </w:pPr>
    </w:p>
    <w:p w:rsidR="00970448" w:rsidRPr="00B27C76" w:rsidRDefault="00970448" w:rsidP="00970448">
      <w:pPr>
        <w:tabs>
          <w:tab w:val="left" w:pos="567"/>
        </w:tabs>
        <w:autoSpaceDE w:val="0"/>
        <w:autoSpaceDN w:val="0"/>
        <w:adjustRightInd w:val="0"/>
        <w:spacing w:after="0" w:line="240" w:lineRule="auto"/>
        <w:jc w:val="both"/>
        <w:rPr>
          <w:rFonts w:cs="Verdana"/>
          <w:szCs w:val="20"/>
          <w:lang w:val="es-ES_tradnl"/>
        </w:rPr>
      </w:pPr>
      <w:r w:rsidRPr="00B27C76">
        <w:rPr>
          <w:rFonts w:cs="Verdana"/>
          <w:szCs w:val="20"/>
          <w:lang w:val="es-ES_tradnl"/>
        </w:rPr>
        <w:t>de conformidad con el artículo 67 de la Convención Americana sobre Derechos Humanos (en adelante también “la Convención Americana” o “la Convención”) y el artículo 68 del Reglamento de la Corte (en adelante “el Reglamento”), resuelve la</w:t>
      </w:r>
      <w:r w:rsidR="00F85E0D" w:rsidRPr="00B27C76">
        <w:rPr>
          <w:rFonts w:cs="Verdana"/>
          <w:szCs w:val="20"/>
          <w:lang w:val="es-ES_tradnl"/>
        </w:rPr>
        <w:t>s</w:t>
      </w:r>
      <w:r w:rsidRPr="00B27C76">
        <w:rPr>
          <w:rFonts w:cs="Verdana"/>
          <w:szCs w:val="20"/>
          <w:lang w:val="es-ES_tradnl"/>
        </w:rPr>
        <w:t xml:space="preserve"> solicitud</w:t>
      </w:r>
      <w:r w:rsidR="00F85E0D" w:rsidRPr="00B27C76">
        <w:rPr>
          <w:rFonts w:cs="Verdana"/>
          <w:szCs w:val="20"/>
          <w:lang w:val="es-ES_tradnl"/>
        </w:rPr>
        <w:t>es</w:t>
      </w:r>
      <w:r w:rsidRPr="00B27C76">
        <w:rPr>
          <w:rFonts w:cs="Verdana"/>
          <w:szCs w:val="20"/>
          <w:lang w:val="es-ES_tradnl"/>
        </w:rPr>
        <w:t xml:space="preserve"> de interpretación de la Sentencia de</w:t>
      </w:r>
      <w:r w:rsidR="00475443" w:rsidRPr="00B27C76">
        <w:rPr>
          <w:rFonts w:cs="Verdana"/>
          <w:szCs w:val="20"/>
          <w:lang w:val="es-ES_tradnl"/>
        </w:rPr>
        <w:t xml:space="preserve"> excepción preliminar,</w:t>
      </w:r>
      <w:r w:rsidRPr="00B27C76">
        <w:rPr>
          <w:rFonts w:cs="Verdana"/>
          <w:szCs w:val="20"/>
          <w:lang w:val="es-ES_tradnl"/>
        </w:rPr>
        <w:t xml:space="preserve"> fondo, reparaciones y costas emitida por este Tribunal el </w:t>
      </w:r>
      <w:r w:rsidR="00475443" w:rsidRPr="00B27C76">
        <w:rPr>
          <w:rFonts w:cs="Verdana"/>
          <w:szCs w:val="20"/>
          <w:lang w:val="es-ES_tradnl"/>
        </w:rPr>
        <w:t>27 de noviembre de 2013</w:t>
      </w:r>
      <w:r w:rsidRPr="00B27C76">
        <w:rPr>
          <w:rFonts w:cs="Verdana"/>
          <w:szCs w:val="20"/>
          <w:lang w:val="es-ES_tradnl"/>
        </w:rPr>
        <w:t xml:space="preserve"> en el presente caso (en adelante también “la Sentencia”), interpuesta</w:t>
      </w:r>
      <w:r w:rsidR="00F85E0D" w:rsidRPr="00B27C76">
        <w:rPr>
          <w:rFonts w:cs="Verdana"/>
          <w:szCs w:val="20"/>
          <w:lang w:val="es-ES_tradnl"/>
        </w:rPr>
        <w:t>s</w:t>
      </w:r>
      <w:r w:rsidRPr="00B27C76">
        <w:rPr>
          <w:rFonts w:cs="Verdana"/>
          <w:szCs w:val="20"/>
          <w:lang w:val="es-ES_tradnl"/>
        </w:rPr>
        <w:t xml:space="preserve"> el </w:t>
      </w:r>
      <w:r w:rsidR="00F85E0D" w:rsidRPr="00B27C76">
        <w:rPr>
          <w:rFonts w:cs="Verdana"/>
          <w:szCs w:val="20"/>
          <w:lang w:val="es-ES_tradnl"/>
        </w:rPr>
        <w:t>17 de marzo de 2014</w:t>
      </w:r>
      <w:r w:rsidRPr="00B27C76">
        <w:rPr>
          <w:rFonts w:cs="Verdana"/>
          <w:szCs w:val="20"/>
          <w:lang w:val="es-ES_tradnl"/>
        </w:rPr>
        <w:t xml:space="preserve"> por l</w:t>
      </w:r>
      <w:r w:rsidR="00F81BCE" w:rsidRPr="00B27C76">
        <w:rPr>
          <w:rFonts w:cs="Verdana"/>
          <w:szCs w:val="20"/>
          <w:lang w:val="es-ES_tradnl"/>
        </w:rPr>
        <w:t>a representante de la</w:t>
      </w:r>
      <w:r w:rsidR="00F85E0D" w:rsidRPr="00B27C76">
        <w:rPr>
          <w:rFonts w:cs="Verdana"/>
          <w:szCs w:val="20"/>
          <w:lang w:val="es-ES_tradnl"/>
        </w:rPr>
        <w:t xml:space="preserve"> víctima</w:t>
      </w:r>
      <w:r w:rsidRPr="00B27C76">
        <w:rPr>
          <w:rFonts w:cs="Verdana"/>
          <w:szCs w:val="20"/>
          <w:lang w:val="es-ES_tradnl"/>
        </w:rPr>
        <w:t xml:space="preserve"> </w:t>
      </w:r>
      <w:r w:rsidR="00F85E0D" w:rsidRPr="00B27C76">
        <w:rPr>
          <w:rFonts w:eastAsia="Times"/>
          <w:bCs/>
          <w:szCs w:val="20"/>
          <w:lang w:val="es-ES_tradnl"/>
        </w:rPr>
        <w:t>(en adelante “la representante</w:t>
      </w:r>
      <w:r w:rsidRPr="00B27C76">
        <w:rPr>
          <w:rFonts w:eastAsia="Times"/>
          <w:bCs/>
          <w:szCs w:val="20"/>
          <w:lang w:val="es-ES_tradnl"/>
        </w:rPr>
        <w:t>”)</w:t>
      </w:r>
      <w:r w:rsidR="00F85E0D" w:rsidRPr="00B27C76">
        <w:rPr>
          <w:rFonts w:eastAsia="Times"/>
          <w:bCs/>
          <w:szCs w:val="20"/>
          <w:lang w:val="es-ES_tradnl"/>
        </w:rPr>
        <w:t xml:space="preserve"> y el 21 de marzo de 2014 por el Estado de</w:t>
      </w:r>
      <w:r w:rsidR="001B0639" w:rsidRPr="00B27C76">
        <w:rPr>
          <w:rFonts w:eastAsia="Times"/>
          <w:bCs/>
          <w:szCs w:val="20"/>
          <w:lang w:val="es-ES_tradnl"/>
        </w:rPr>
        <w:t>l</w:t>
      </w:r>
      <w:r w:rsidR="00F85E0D" w:rsidRPr="00B27C76">
        <w:rPr>
          <w:rFonts w:eastAsia="Times"/>
          <w:bCs/>
          <w:szCs w:val="20"/>
          <w:lang w:val="es-ES_tradnl"/>
        </w:rPr>
        <w:t xml:space="preserve"> Perú </w:t>
      </w:r>
      <w:r w:rsidR="00F85E0D" w:rsidRPr="00B27C76">
        <w:rPr>
          <w:szCs w:val="20"/>
          <w:lang w:val="es-ES_tradnl"/>
        </w:rPr>
        <w:t>(en adelante “Perú” o “el Estado”)</w:t>
      </w:r>
      <w:r w:rsidRPr="00B27C76">
        <w:rPr>
          <w:rFonts w:cs="Verdana"/>
          <w:szCs w:val="20"/>
          <w:lang w:val="es-ES_tradnl"/>
        </w:rPr>
        <w:t>.</w:t>
      </w:r>
    </w:p>
    <w:p w:rsidR="00970448" w:rsidRPr="00B27C76" w:rsidRDefault="00970448" w:rsidP="00970448">
      <w:pPr>
        <w:tabs>
          <w:tab w:val="left" w:pos="567"/>
        </w:tabs>
        <w:autoSpaceDE w:val="0"/>
        <w:autoSpaceDN w:val="0"/>
        <w:adjustRightInd w:val="0"/>
        <w:spacing w:after="0" w:line="240" w:lineRule="auto"/>
        <w:jc w:val="both"/>
        <w:rPr>
          <w:rFonts w:cs="Verdana"/>
          <w:szCs w:val="20"/>
          <w:lang w:val="es-ES_tradnl"/>
        </w:rPr>
      </w:pPr>
    </w:p>
    <w:p w:rsidR="00970448" w:rsidRPr="00B27C76" w:rsidRDefault="00970448" w:rsidP="00970448">
      <w:pPr>
        <w:keepNext/>
        <w:tabs>
          <w:tab w:val="left" w:pos="567"/>
        </w:tabs>
        <w:spacing w:after="0" w:line="240" w:lineRule="auto"/>
        <w:jc w:val="center"/>
        <w:outlineLvl w:val="1"/>
        <w:rPr>
          <w:rFonts w:eastAsia="Times New Roman" w:cs="Verdana"/>
          <w:b/>
          <w:bCs/>
          <w:iCs/>
          <w:caps/>
          <w:snapToGrid w:val="0"/>
          <w:szCs w:val="20"/>
          <w:lang w:val="es-ES_tradnl" w:eastAsia="es-ES"/>
        </w:rPr>
      </w:pPr>
      <w:r w:rsidRPr="00B27C76">
        <w:rPr>
          <w:rFonts w:eastAsia="Times New Roman" w:cs="Verdana"/>
          <w:b/>
          <w:bCs/>
          <w:iCs/>
          <w:caps/>
          <w:snapToGrid w:val="0"/>
          <w:szCs w:val="20"/>
          <w:lang w:val="es-ES_tradnl" w:eastAsia="es-ES"/>
        </w:rPr>
        <w:t>I</w:t>
      </w:r>
    </w:p>
    <w:p w:rsidR="00970448" w:rsidRPr="00B27C76" w:rsidRDefault="00970448" w:rsidP="00970448">
      <w:pPr>
        <w:tabs>
          <w:tab w:val="left" w:pos="567"/>
        </w:tabs>
        <w:autoSpaceDE w:val="0"/>
        <w:autoSpaceDN w:val="0"/>
        <w:adjustRightInd w:val="0"/>
        <w:spacing w:after="0" w:line="240" w:lineRule="auto"/>
        <w:jc w:val="center"/>
        <w:rPr>
          <w:rFonts w:cs="Verdana"/>
          <w:b/>
          <w:bCs/>
          <w:szCs w:val="20"/>
          <w:lang w:val="es-ES_tradnl"/>
        </w:rPr>
      </w:pPr>
      <w:r w:rsidRPr="00B27C76">
        <w:rPr>
          <w:rFonts w:cs="Verdana"/>
          <w:b/>
          <w:bCs/>
          <w:szCs w:val="20"/>
          <w:lang w:val="es-ES_tradnl"/>
        </w:rPr>
        <w:t>SOLICITUD</w:t>
      </w:r>
      <w:r w:rsidR="000C0E47">
        <w:rPr>
          <w:rFonts w:cs="Verdana"/>
          <w:b/>
          <w:bCs/>
          <w:szCs w:val="20"/>
          <w:lang w:val="es-ES_tradnl"/>
        </w:rPr>
        <w:t>ES</w:t>
      </w:r>
      <w:r w:rsidRPr="00B27C76">
        <w:rPr>
          <w:rFonts w:cs="Verdana"/>
          <w:b/>
          <w:bCs/>
          <w:szCs w:val="20"/>
          <w:lang w:val="es-ES_tradnl"/>
        </w:rPr>
        <w:t xml:space="preserve"> DE INTERPRETACIÓN</w:t>
      </w:r>
    </w:p>
    <w:p w:rsidR="00970448" w:rsidRPr="00B27C76" w:rsidRDefault="00970448" w:rsidP="00970448">
      <w:pPr>
        <w:tabs>
          <w:tab w:val="left" w:pos="567"/>
        </w:tabs>
        <w:spacing w:after="0" w:line="240" w:lineRule="auto"/>
        <w:jc w:val="center"/>
        <w:rPr>
          <w:rFonts w:eastAsia="Times"/>
          <w:szCs w:val="20"/>
          <w:lang w:val="es-ES_tradnl" w:eastAsia="es-ES"/>
        </w:rPr>
      </w:pPr>
      <w:r w:rsidRPr="00B27C76">
        <w:rPr>
          <w:rFonts w:cs="Verdana"/>
          <w:b/>
          <w:bCs/>
          <w:szCs w:val="20"/>
          <w:lang w:val="es-ES_tradnl"/>
        </w:rPr>
        <w:t>Y PROCEDIMIENTO ANTE LA CORTE</w:t>
      </w:r>
    </w:p>
    <w:p w:rsidR="00970448" w:rsidRPr="00B27C76" w:rsidRDefault="00970448" w:rsidP="00970448">
      <w:pPr>
        <w:tabs>
          <w:tab w:val="left" w:pos="567"/>
        </w:tabs>
        <w:spacing w:after="0" w:line="240" w:lineRule="auto"/>
        <w:jc w:val="both"/>
        <w:rPr>
          <w:rFonts w:eastAsia="Times"/>
          <w:szCs w:val="20"/>
          <w:lang w:val="es-ES_tradnl"/>
        </w:rPr>
      </w:pPr>
    </w:p>
    <w:p w:rsidR="00970448" w:rsidRPr="00B27C76" w:rsidRDefault="00970448" w:rsidP="00970448">
      <w:pPr>
        <w:numPr>
          <w:ilvl w:val="0"/>
          <w:numId w:val="1"/>
        </w:numPr>
        <w:tabs>
          <w:tab w:val="left" w:pos="567"/>
          <w:tab w:val="num" w:pos="720"/>
        </w:tabs>
        <w:autoSpaceDE w:val="0"/>
        <w:autoSpaceDN w:val="0"/>
        <w:adjustRightInd w:val="0"/>
        <w:spacing w:after="0" w:line="240" w:lineRule="auto"/>
        <w:jc w:val="both"/>
        <w:rPr>
          <w:rFonts w:cs="Verdana"/>
          <w:szCs w:val="20"/>
          <w:lang w:val="es-ES_tradnl"/>
        </w:rPr>
      </w:pPr>
      <w:bookmarkStart w:id="1" w:name="_Ref395106623"/>
      <w:r w:rsidRPr="00B27C76">
        <w:rPr>
          <w:rFonts w:cs="Verdana"/>
          <w:szCs w:val="20"/>
          <w:lang w:val="es-ES_tradnl"/>
        </w:rPr>
        <w:t xml:space="preserve">El </w:t>
      </w:r>
      <w:r w:rsidR="00475443" w:rsidRPr="00B27C76">
        <w:rPr>
          <w:rFonts w:cs="Verdana"/>
          <w:szCs w:val="20"/>
          <w:lang w:val="es-ES_tradnl"/>
        </w:rPr>
        <w:t>27 de noviembre de 2013</w:t>
      </w:r>
      <w:r w:rsidRPr="00B27C76">
        <w:rPr>
          <w:rFonts w:eastAsia="Times"/>
          <w:szCs w:val="20"/>
          <w:lang w:val="es-ES_tradnl"/>
        </w:rPr>
        <w:t xml:space="preserve"> la Corte emitió la Sentencia, la cual fue notificada a las partes y a la Comisión Interamericana de </w:t>
      </w:r>
      <w:r w:rsidRPr="00B27C76">
        <w:rPr>
          <w:rFonts w:cs="Verdana"/>
          <w:szCs w:val="20"/>
          <w:lang w:val="es-ES_tradnl"/>
        </w:rPr>
        <w:t xml:space="preserve">Derechos Humanos (en adelante “la Comisión Interamericana” o “la Comisión”) </w:t>
      </w:r>
      <w:r w:rsidRPr="00B27C76">
        <w:rPr>
          <w:rFonts w:eastAsia="Times"/>
          <w:szCs w:val="20"/>
          <w:lang w:val="es-ES_tradnl"/>
        </w:rPr>
        <w:t xml:space="preserve">el </w:t>
      </w:r>
      <w:r w:rsidR="00475443" w:rsidRPr="00B27C76">
        <w:rPr>
          <w:rFonts w:eastAsia="Times"/>
          <w:szCs w:val="20"/>
          <w:lang w:val="es-ES_tradnl"/>
        </w:rPr>
        <w:t>23 de diciembre</w:t>
      </w:r>
      <w:r w:rsidRPr="00B27C76">
        <w:rPr>
          <w:rFonts w:eastAsia="Times"/>
          <w:szCs w:val="20"/>
          <w:lang w:val="es-ES_tradnl"/>
        </w:rPr>
        <w:t xml:space="preserve"> del mismo año</w:t>
      </w:r>
      <w:r w:rsidR="00002230">
        <w:rPr>
          <w:rFonts w:eastAsia="Times"/>
          <w:szCs w:val="20"/>
          <w:lang w:val="es-ES_tradnl"/>
        </w:rPr>
        <w:t>.</w:t>
      </w:r>
      <w:r w:rsidR="00475443" w:rsidRPr="00B27C76">
        <w:rPr>
          <w:rFonts w:eastAsia="Times"/>
          <w:szCs w:val="20"/>
          <w:lang w:val="es-ES_tradnl"/>
        </w:rPr>
        <w:t xml:space="preserve"> </w:t>
      </w:r>
      <w:bookmarkEnd w:id="1"/>
    </w:p>
    <w:p w:rsidR="00970448" w:rsidRPr="00B27C76" w:rsidRDefault="00970448" w:rsidP="00970448">
      <w:pPr>
        <w:tabs>
          <w:tab w:val="left" w:pos="567"/>
        </w:tabs>
        <w:autoSpaceDE w:val="0"/>
        <w:autoSpaceDN w:val="0"/>
        <w:adjustRightInd w:val="0"/>
        <w:spacing w:after="0" w:line="240" w:lineRule="auto"/>
        <w:jc w:val="both"/>
        <w:rPr>
          <w:rFonts w:cs="Verdana"/>
          <w:szCs w:val="20"/>
          <w:lang w:val="es-ES_tradnl"/>
        </w:rPr>
      </w:pPr>
    </w:p>
    <w:p w:rsidR="00B74143" w:rsidRPr="00DC61D1" w:rsidRDefault="00475443" w:rsidP="00DC61D1">
      <w:pPr>
        <w:numPr>
          <w:ilvl w:val="0"/>
          <w:numId w:val="1"/>
        </w:numPr>
        <w:tabs>
          <w:tab w:val="left" w:pos="567"/>
          <w:tab w:val="num" w:pos="720"/>
        </w:tabs>
        <w:spacing w:after="0" w:line="240" w:lineRule="auto"/>
        <w:jc w:val="both"/>
        <w:rPr>
          <w:rFonts w:eastAsia="Times"/>
          <w:szCs w:val="20"/>
          <w:lang w:val="es-ES_tradnl"/>
        </w:rPr>
      </w:pPr>
      <w:bookmarkStart w:id="2" w:name="_Ref395083029"/>
      <w:bookmarkStart w:id="3" w:name="_Ref403060836"/>
      <w:bookmarkStart w:id="4" w:name="_Ref363085373"/>
      <w:r w:rsidRPr="00B27C76">
        <w:rPr>
          <w:rFonts w:cs="Verdana"/>
          <w:szCs w:val="20"/>
          <w:lang w:val="es-ES_tradnl"/>
        </w:rPr>
        <w:t xml:space="preserve">El </w:t>
      </w:r>
      <w:r w:rsidR="00002230" w:rsidRPr="00B27C76">
        <w:rPr>
          <w:rFonts w:cs="Verdana"/>
          <w:szCs w:val="20"/>
          <w:lang w:val="es-ES_tradnl"/>
        </w:rPr>
        <w:t>1</w:t>
      </w:r>
      <w:r w:rsidR="00002230">
        <w:rPr>
          <w:rFonts w:cs="Verdana"/>
          <w:szCs w:val="20"/>
          <w:lang w:val="es-ES_tradnl"/>
        </w:rPr>
        <w:t>7</w:t>
      </w:r>
      <w:r w:rsidR="00002230" w:rsidRPr="00B27C76">
        <w:rPr>
          <w:rFonts w:cs="Verdana"/>
          <w:szCs w:val="20"/>
          <w:lang w:val="es-ES_tradnl"/>
        </w:rPr>
        <w:t xml:space="preserve"> </w:t>
      </w:r>
      <w:r w:rsidRPr="00B27C76">
        <w:rPr>
          <w:rFonts w:cs="Verdana"/>
          <w:szCs w:val="20"/>
          <w:lang w:val="es-ES_tradnl"/>
        </w:rPr>
        <w:t>de marzo de 2014 la representante</w:t>
      </w:r>
      <w:r w:rsidRPr="00B27C76">
        <w:rPr>
          <w:rFonts w:eastAsia="Times"/>
          <w:bCs/>
          <w:szCs w:val="20"/>
          <w:lang w:val="es-ES_tradnl"/>
        </w:rPr>
        <w:t xml:space="preserve"> sometió una solicitud de interpretación</w:t>
      </w:r>
      <w:r w:rsidR="00C10360">
        <w:rPr>
          <w:rFonts w:eastAsia="Times"/>
          <w:bCs/>
          <w:szCs w:val="20"/>
          <w:lang w:val="es-ES_tradnl"/>
        </w:rPr>
        <w:t xml:space="preserve">, en relación con dos aspectos de la </w:t>
      </w:r>
      <w:r w:rsidR="00545C01">
        <w:rPr>
          <w:rFonts w:eastAsia="Times"/>
          <w:bCs/>
          <w:szCs w:val="20"/>
          <w:lang w:val="es-ES_tradnl"/>
        </w:rPr>
        <w:t>Sentencia</w:t>
      </w:r>
      <w:r w:rsidR="00C10360">
        <w:rPr>
          <w:rFonts w:eastAsia="Times"/>
          <w:bCs/>
          <w:szCs w:val="20"/>
          <w:lang w:val="es-ES_tradnl"/>
        </w:rPr>
        <w:t>: (</w:t>
      </w:r>
      <w:r w:rsidR="0065322E">
        <w:rPr>
          <w:rFonts w:eastAsia="Times"/>
          <w:bCs/>
          <w:szCs w:val="20"/>
          <w:lang w:val="es-ES_tradnl"/>
        </w:rPr>
        <w:t>i</w:t>
      </w:r>
      <w:r w:rsidR="00C10360">
        <w:rPr>
          <w:rFonts w:eastAsia="Times"/>
          <w:bCs/>
          <w:szCs w:val="20"/>
          <w:lang w:val="es-ES_tradnl"/>
        </w:rPr>
        <w:t>)</w:t>
      </w:r>
      <w:r w:rsidR="00336295" w:rsidRPr="00B27C76">
        <w:rPr>
          <w:rFonts w:eastAsia="Times"/>
          <w:bCs/>
          <w:szCs w:val="20"/>
          <w:lang w:val="es-ES_tradnl"/>
        </w:rPr>
        <w:t xml:space="preserve"> </w:t>
      </w:r>
      <w:bookmarkEnd w:id="2"/>
      <w:r w:rsidR="00DC61D1" w:rsidRPr="00B27C76">
        <w:rPr>
          <w:rFonts w:eastAsia="Times"/>
          <w:bCs/>
          <w:szCs w:val="20"/>
          <w:lang w:val="es-ES_tradnl"/>
        </w:rPr>
        <w:t xml:space="preserve">la fuente probatoria </w:t>
      </w:r>
      <w:r w:rsidR="007F1DC9">
        <w:rPr>
          <w:rFonts w:eastAsia="Times"/>
          <w:bCs/>
          <w:szCs w:val="20"/>
          <w:lang w:val="es-ES_tradnl"/>
        </w:rPr>
        <w:t>de</w:t>
      </w:r>
      <w:r w:rsidR="00DC61D1" w:rsidRPr="00B27C76">
        <w:rPr>
          <w:rFonts w:eastAsia="Times"/>
          <w:bCs/>
          <w:szCs w:val="20"/>
          <w:lang w:val="es-ES_tradnl"/>
        </w:rPr>
        <w:t xml:space="preserve"> la referencia a </w:t>
      </w:r>
      <w:r w:rsidR="00DC61D1" w:rsidRPr="00B27C76">
        <w:rPr>
          <w:rFonts w:eastAsia="Times"/>
          <w:bCs/>
          <w:szCs w:val="20"/>
          <w:lang w:val="es-ES_tradnl"/>
        </w:rPr>
        <w:lastRenderedPageBreak/>
        <w:t>la calle “Las Esmeraldas” en el párrafo 87 de la Sentencia</w:t>
      </w:r>
      <w:r w:rsidR="00AD02D8">
        <w:rPr>
          <w:rFonts w:eastAsia="Times"/>
          <w:bCs/>
          <w:szCs w:val="20"/>
          <w:lang w:val="es-ES_tradnl"/>
        </w:rPr>
        <w:t>, lo cual consideró un error material,</w:t>
      </w:r>
      <w:r w:rsidR="00DC61D1" w:rsidRPr="00B27C76">
        <w:rPr>
          <w:rFonts w:eastAsia="Times"/>
          <w:bCs/>
          <w:szCs w:val="20"/>
          <w:lang w:val="es-ES_tradnl"/>
        </w:rPr>
        <w:t xml:space="preserve"> y “su implicancia en el sentido del análisis que fluye en el párrafo 147 de la Sentencia”, </w:t>
      </w:r>
      <w:r w:rsidR="00002230">
        <w:rPr>
          <w:rFonts w:eastAsia="Times"/>
          <w:bCs/>
          <w:szCs w:val="20"/>
          <w:lang w:val="es-ES_tradnl"/>
        </w:rPr>
        <w:t xml:space="preserve">así como </w:t>
      </w:r>
      <w:r w:rsidR="00DC61D1">
        <w:rPr>
          <w:rFonts w:eastAsia="Times"/>
          <w:bCs/>
          <w:szCs w:val="20"/>
          <w:lang w:val="es-ES_tradnl"/>
        </w:rPr>
        <w:t>(</w:t>
      </w:r>
      <w:r w:rsidR="0065322E">
        <w:rPr>
          <w:rFonts w:eastAsia="Times"/>
          <w:bCs/>
          <w:szCs w:val="20"/>
          <w:lang w:val="es-ES_tradnl"/>
        </w:rPr>
        <w:t>ii</w:t>
      </w:r>
      <w:r w:rsidR="00DC61D1" w:rsidRPr="00B27C76">
        <w:rPr>
          <w:rFonts w:eastAsia="Times"/>
          <w:bCs/>
          <w:szCs w:val="20"/>
          <w:lang w:val="es-ES_tradnl"/>
        </w:rPr>
        <w:t xml:space="preserve">) cuáles serían las consecuencias legales, de conformidad con el artículo 63 de la Convención, de la afectación de los derechos de la víctima recogida en el párrafo 227 de la Sentencia. </w:t>
      </w:r>
      <w:bookmarkEnd w:id="3"/>
    </w:p>
    <w:bookmarkEnd w:id="4"/>
    <w:p w:rsidR="00475443" w:rsidRPr="00B27C76" w:rsidRDefault="00475443" w:rsidP="00475443">
      <w:pPr>
        <w:tabs>
          <w:tab w:val="left" w:pos="567"/>
        </w:tabs>
        <w:autoSpaceDE w:val="0"/>
        <w:autoSpaceDN w:val="0"/>
        <w:adjustRightInd w:val="0"/>
        <w:spacing w:after="0" w:line="240" w:lineRule="auto"/>
        <w:jc w:val="both"/>
        <w:rPr>
          <w:rFonts w:cs="Verdana"/>
          <w:szCs w:val="20"/>
          <w:u w:val="single"/>
          <w:lang w:val="es-ES_tradnl"/>
        </w:rPr>
      </w:pPr>
    </w:p>
    <w:p w:rsidR="00DC61D1" w:rsidRPr="00B27C76" w:rsidRDefault="00970448" w:rsidP="00DC61D1">
      <w:pPr>
        <w:numPr>
          <w:ilvl w:val="0"/>
          <w:numId w:val="1"/>
        </w:numPr>
        <w:tabs>
          <w:tab w:val="left" w:pos="567"/>
          <w:tab w:val="num" w:pos="720"/>
        </w:tabs>
        <w:autoSpaceDE w:val="0"/>
        <w:autoSpaceDN w:val="0"/>
        <w:adjustRightInd w:val="0"/>
        <w:spacing w:after="0" w:line="240" w:lineRule="auto"/>
        <w:jc w:val="both"/>
        <w:rPr>
          <w:rFonts w:cs="Arial"/>
          <w:szCs w:val="20"/>
          <w:lang w:val="es-ES_tradnl"/>
        </w:rPr>
      </w:pPr>
      <w:bookmarkStart w:id="5" w:name="_Ref403060837"/>
      <w:bookmarkStart w:id="6" w:name="_Ref395083031"/>
      <w:r w:rsidRPr="00B27C76">
        <w:rPr>
          <w:rFonts w:cs="Verdana"/>
          <w:szCs w:val="20"/>
          <w:lang w:val="es-ES_tradnl"/>
        </w:rPr>
        <w:t xml:space="preserve">El </w:t>
      </w:r>
      <w:r w:rsidR="00FA15D0" w:rsidRPr="00B27C76">
        <w:rPr>
          <w:rFonts w:cs="Verdana"/>
          <w:szCs w:val="20"/>
          <w:lang w:val="es-ES_tradnl"/>
        </w:rPr>
        <w:t xml:space="preserve">21 de marzo de 2014 el Estado </w:t>
      </w:r>
      <w:r w:rsidR="008D6DDA">
        <w:rPr>
          <w:rFonts w:cs="Verdana"/>
          <w:szCs w:val="20"/>
          <w:lang w:val="es-ES_tradnl"/>
        </w:rPr>
        <w:t xml:space="preserve">sometió </w:t>
      </w:r>
      <w:r w:rsidR="007A0139" w:rsidRPr="00B27C76">
        <w:rPr>
          <w:rFonts w:cs="Verdana"/>
          <w:szCs w:val="20"/>
          <w:lang w:val="es-ES_tradnl"/>
        </w:rPr>
        <w:t xml:space="preserve">una solicitud de interpretación </w:t>
      </w:r>
      <w:r w:rsidR="006C3505" w:rsidRPr="00B27C76">
        <w:rPr>
          <w:rFonts w:cs="Verdana"/>
          <w:szCs w:val="20"/>
          <w:lang w:val="es-ES_tradnl"/>
        </w:rPr>
        <w:t>por tener</w:t>
      </w:r>
      <w:r w:rsidR="00AA66E3" w:rsidRPr="00B27C76">
        <w:rPr>
          <w:rFonts w:cs="Verdana"/>
          <w:szCs w:val="20"/>
          <w:lang w:val="es-ES_tradnl"/>
        </w:rPr>
        <w:t xml:space="preserve"> “incertidumbres sobre el sentido o alcance de la Sentencia, con consideraciones que inciden en la parte resolutiva de la misma”</w:t>
      </w:r>
      <w:r w:rsidR="009D22C8" w:rsidRPr="00B27C76">
        <w:rPr>
          <w:rFonts w:cs="Verdana"/>
          <w:szCs w:val="20"/>
          <w:lang w:val="es-ES_tradnl"/>
        </w:rPr>
        <w:t xml:space="preserve">. En particular, el Estado </w:t>
      </w:r>
      <w:r w:rsidR="006D45B9" w:rsidRPr="00B27C76">
        <w:rPr>
          <w:rFonts w:cs="Verdana"/>
          <w:szCs w:val="20"/>
          <w:lang w:val="es-ES_tradnl"/>
        </w:rPr>
        <w:t xml:space="preserve">solicitó </w:t>
      </w:r>
      <w:r w:rsidR="00DC61D1">
        <w:rPr>
          <w:rFonts w:cs="Verdana"/>
          <w:szCs w:val="20"/>
          <w:lang w:val="es-ES_tradnl"/>
        </w:rPr>
        <w:t xml:space="preserve">a la Corte que: </w:t>
      </w:r>
      <w:r w:rsidR="00DC61D1">
        <w:rPr>
          <w:rFonts w:eastAsia="Times"/>
          <w:bCs/>
          <w:szCs w:val="20"/>
          <w:lang w:val="es-ES_tradnl"/>
        </w:rPr>
        <w:t>(</w:t>
      </w:r>
      <w:r w:rsidR="0065322E">
        <w:rPr>
          <w:rFonts w:eastAsia="Times"/>
          <w:bCs/>
          <w:szCs w:val="20"/>
          <w:lang w:val="es-ES_tradnl"/>
        </w:rPr>
        <w:t>i</w:t>
      </w:r>
      <w:r w:rsidR="00DC61D1" w:rsidRPr="00B27C76">
        <w:rPr>
          <w:rFonts w:eastAsia="Times"/>
          <w:bCs/>
          <w:szCs w:val="20"/>
          <w:lang w:val="es-ES_tradnl"/>
        </w:rPr>
        <w:t>) aclare si los hechos de los párrafos 357 a 368 deben ser calificados como tortura o penas o tratos crueles, inhumanos o degradantes, o si dicha calificación jurídica debe ser determinada en la investigación de los órganos jurisdiccionales nacionales en el cumplimiento de la medida de reparación ordenada por la Corte</w:t>
      </w:r>
      <w:r w:rsidR="00DC61D1">
        <w:rPr>
          <w:rFonts w:eastAsia="Times"/>
          <w:bCs/>
          <w:szCs w:val="20"/>
          <w:lang w:val="es-ES_tradnl"/>
        </w:rPr>
        <w:t>; (</w:t>
      </w:r>
      <w:r w:rsidR="0065322E">
        <w:rPr>
          <w:rFonts w:eastAsia="Times"/>
          <w:bCs/>
          <w:szCs w:val="20"/>
          <w:lang w:val="es-ES_tradnl"/>
        </w:rPr>
        <w:t>ii</w:t>
      </w:r>
      <w:r w:rsidR="00DC61D1" w:rsidRPr="00B27C76">
        <w:rPr>
          <w:rFonts w:eastAsia="Times"/>
          <w:bCs/>
          <w:szCs w:val="20"/>
          <w:lang w:val="es-ES_tradnl"/>
        </w:rPr>
        <w:t xml:space="preserve">) precise “los criterios y la metodología empleada para la determinación de las sumas fijadas como gastos y costas” en el párrafo 422 de la Sentencia, y </w:t>
      </w:r>
      <w:r w:rsidR="00DC61D1">
        <w:rPr>
          <w:rFonts w:eastAsia="Times"/>
          <w:bCs/>
          <w:szCs w:val="20"/>
          <w:lang w:val="es-ES_tradnl"/>
        </w:rPr>
        <w:t>(</w:t>
      </w:r>
      <w:r w:rsidR="0065322E">
        <w:rPr>
          <w:rFonts w:eastAsia="Times"/>
          <w:bCs/>
          <w:szCs w:val="20"/>
          <w:lang w:val="es-ES_tradnl"/>
        </w:rPr>
        <w:t>iii</w:t>
      </w:r>
      <w:r w:rsidR="00DC61D1" w:rsidRPr="00B27C76">
        <w:rPr>
          <w:rFonts w:eastAsia="Times"/>
          <w:bCs/>
          <w:szCs w:val="20"/>
          <w:lang w:val="es-ES_tradnl"/>
        </w:rPr>
        <w:t xml:space="preserve">) rectifique el cargo del señor Federico Javier </w:t>
      </w:r>
      <w:proofErr w:type="spellStart"/>
      <w:r w:rsidR="00DC61D1" w:rsidRPr="00B27C76">
        <w:rPr>
          <w:rFonts w:eastAsia="Times"/>
          <w:bCs/>
          <w:szCs w:val="20"/>
          <w:lang w:val="es-ES_tradnl"/>
        </w:rPr>
        <w:t>Llaque</w:t>
      </w:r>
      <w:proofErr w:type="spellEnd"/>
      <w:r w:rsidR="00DC61D1" w:rsidRPr="00B27C76">
        <w:rPr>
          <w:rFonts w:eastAsia="Times"/>
          <w:bCs/>
          <w:szCs w:val="20"/>
          <w:lang w:val="es-ES_tradnl"/>
        </w:rPr>
        <w:t xml:space="preserve"> Moya</w:t>
      </w:r>
      <w:r w:rsidR="00DC61D1" w:rsidRPr="00B27C76">
        <w:rPr>
          <w:rStyle w:val="Refdenotaalpie"/>
          <w:rFonts w:cs="Verdana"/>
          <w:szCs w:val="20"/>
          <w:lang w:val="es-ES_tradnl"/>
        </w:rPr>
        <w:footnoteReference w:id="2"/>
      </w:r>
      <w:r w:rsidR="00DC61D1" w:rsidRPr="00B27C76">
        <w:rPr>
          <w:rFonts w:eastAsia="Times"/>
          <w:bCs/>
          <w:szCs w:val="20"/>
          <w:lang w:val="es-ES_tradnl"/>
        </w:rPr>
        <w:t xml:space="preserve"> por “</w:t>
      </w:r>
      <w:r w:rsidR="002E76B8">
        <w:rPr>
          <w:rFonts w:eastAsia="Times"/>
          <w:bCs/>
          <w:szCs w:val="20"/>
          <w:lang w:val="es-ES_tradnl"/>
        </w:rPr>
        <w:t>a</w:t>
      </w:r>
      <w:r w:rsidR="002E76B8" w:rsidRPr="00B27C76">
        <w:rPr>
          <w:rFonts w:eastAsia="Times"/>
          <w:bCs/>
          <w:szCs w:val="20"/>
          <w:lang w:val="es-ES_tradnl"/>
        </w:rPr>
        <w:t xml:space="preserve">bogado </w:t>
      </w:r>
      <w:r w:rsidR="00DC61D1" w:rsidRPr="00B27C76">
        <w:rPr>
          <w:rFonts w:eastAsia="Times"/>
          <w:bCs/>
          <w:szCs w:val="20"/>
          <w:lang w:val="es-ES_tradnl"/>
        </w:rPr>
        <w:t>de la Procuraduría Especializada para Delitos de Terrorismo”</w:t>
      </w:r>
      <w:r w:rsidR="002E76B8">
        <w:rPr>
          <w:rFonts w:eastAsia="Times"/>
          <w:bCs/>
          <w:szCs w:val="20"/>
          <w:lang w:val="es-ES_tradnl"/>
        </w:rPr>
        <w:t>.</w:t>
      </w:r>
      <w:r w:rsidR="00DC61D1" w:rsidRPr="00B27C76">
        <w:rPr>
          <w:rFonts w:eastAsia="Times"/>
          <w:bCs/>
          <w:szCs w:val="20"/>
          <w:lang w:val="es-ES_tradnl"/>
        </w:rPr>
        <w:t xml:space="preserve"> </w:t>
      </w:r>
      <w:bookmarkEnd w:id="5"/>
    </w:p>
    <w:bookmarkEnd w:id="6"/>
    <w:p w:rsidR="00970448" w:rsidRPr="00B27C76" w:rsidRDefault="00970448" w:rsidP="00970448">
      <w:pPr>
        <w:tabs>
          <w:tab w:val="left" w:pos="567"/>
        </w:tabs>
        <w:autoSpaceDE w:val="0"/>
        <w:autoSpaceDN w:val="0"/>
        <w:adjustRightInd w:val="0"/>
        <w:spacing w:after="0" w:line="240" w:lineRule="auto"/>
        <w:jc w:val="both"/>
        <w:rPr>
          <w:rFonts w:cs="Verdana"/>
          <w:szCs w:val="20"/>
          <w:u w:val="single"/>
          <w:lang w:val="es-ES_tradnl"/>
        </w:rPr>
      </w:pPr>
    </w:p>
    <w:p w:rsidR="00970448" w:rsidRPr="00B27C76" w:rsidRDefault="00970448" w:rsidP="00970448">
      <w:pPr>
        <w:numPr>
          <w:ilvl w:val="0"/>
          <w:numId w:val="1"/>
        </w:numPr>
        <w:tabs>
          <w:tab w:val="left" w:pos="567"/>
          <w:tab w:val="num" w:pos="720"/>
        </w:tabs>
        <w:autoSpaceDE w:val="0"/>
        <w:autoSpaceDN w:val="0"/>
        <w:adjustRightInd w:val="0"/>
        <w:spacing w:after="0" w:line="240" w:lineRule="auto"/>
        <w:jc w:val="both"/>
        <w:rPr>
          <w:rFonts w:cs="Verdana"/>
          <w:szCs w:val="20"/>
          <w:lang w:val="es-ES_tradnl"/>
        </w:rPr>
      </w:pPr>
      <w:bookmarkStart w:id="7" w:name="_Ref403065790"/>
      <w:r w:rsidRPr="00B27C76">
        <w:rPr>
          <w:rFonts w:cs="Verdana"/>
          <w:szCs w:val="20"/>
          <w:lang w:val="es-ES_tradnl"/>
        </w:rPr>
        <w:t xml:space="preserve">El </w:t>
      </w:r>
      <w:r w:rsidR="00570E40" w:rsidRPr="00B27C76">
        <w:rPr>
          <w:rFonts w:cs="Verdana"/>
          <w:szCs w:val="20"/>
          <w:lang w:val="es-ES_tradnl"/>
        </w:rPr>
        <w:t>25 de marzo de 2014</w:t>
      </w:r>
      <w:r w:rsidRPr="00B27C76">
        <w:rPr>
          <w:rFonts w:cs="Verdana"/>
          <w:szCs w:val="20"/>
          <w:lang w:val="es-ES_tradnl"/>
        </w:rPr>
        <w:t>, de conformidad con el artículo 68.2 del Reglamento y siguiendo instrucciones del Presidente de la Corte, la Secretaría transmitió la</w:t>
      </w:r>
      <w:r w:rsidR="00BE46CC" w:rsidRPr="00B27C76">
        <w:rPr>
          <w:rFonts w:cs="Verdana"/>
          <w:szCs w:val="20"/>
          <w:lang w:val="es-ES_tradnl"/>
        </w:rPr>
        <w:t>s</w:t>
      </w:r>
      <w:r w:rsidRPr="00B27C76">
        <w:rPr>
          <w:rFonts w:cs="Verdana"/>
          <w:szCs w:val="20"/>
          <w:lang w:val="es-ES_tradnl"/>
        </w:rPr>
        <w:t xml:space="preserve"> referida</w:t>
      </w:r>
      <w:r w:rsidR="00BE46CC" w:rsidRPr="00B27C76">
        <w:rPr>
          <w:rFonts w:cs="Verdana"/>
          <w:szCs w:val="20"/>
          <w:lang w:val="es-ES_tradnl"/>
        </w:rPr>
        <w:t>s</w:t>
      </w:r>
      <w:r w:rsidRPr="00B27C76">
        <w:rPr>
          <w:rFonts w:cs="Verdana"/>
          <w:szCs w:val="20"/>
          <w:lang w:val="es-ES_tradnl"/>
        </w:rPr>
        <w:t xml:space="preserve"> solicitud</w:t>
      </w:r>
      <w:r w:rsidR="00BE46CC" w:rsidRPr="00B27C76">
        <w:rPr>
          <w:rFonts w:cs="Verdana"/>
          <w:szCs w:val="20"/>
          <w:lang w:val="es-ES_tradnl"/>
        </w:rPr>
        <w:t>es</w:t>
      </w:r>
      <w:r w:rsidRPr="00B27C76">
        <w:rPr>
          <w:rFonts w:cs="Verdana"/>
          <w:szCs w:val="20"/>
          <w:lang w:val="es-ES_tradnl"/>
        </w:rPr>
        <w:t xml:space="preserve"> de interpretación a</w:t>
      </w:r>
      <w:r w:rsidR="00BE46CC" w:rsidRPr="00B27C76">
        <w:rPr>
          <w:rFonts w:cs="Verdana"/>
          <w:szCs w:val="20"/>
          <w:lang w:val="es-ES_tradnl"/>
        </w:rPr>
        <w:t xml:space="preserve"> l</w:t>
      </w:r>
      <w:r w:rsidR="004B12BF" w:rsidRPr="00B27C76">
        <w:rPr>
          <w:rFonts w:cs="Verdana"/>
          <w:szCs w:val="20"/>
          <w:lang w:val="es-ES_tradnl"/>
        </w:rPr>
        <w:t>a representante</w:t>
      </w:r>
      <w:r w:rsidR="00BE46CC" w:rsidRPr="00B27C76">
        <w:rPr>
          <w:rFonts w:cs="Verdana"/>
          <w:szCs w:val="20"/>
          <w:lang w:val="es-ES_tradnl"/>
        </w:rPr>
        <w:t>, a</w:t>
      </w:r>
      <w:r w:rsidRPr="00B27C76">
        <w:rPr>
          <w:rFonts w:cs="Verdana"/>
          <w:szCs w:val="20"/>
          <w:lang w:val="es-ES_tradnl"/>
        </w:rPr>
        <w:t>l Estado</w:t>
      </w:r>
      <w:r w:rsidR="00BE46CC" w:rsidRPr="00B27C76">
        <w:rPr>
          <w:rFonts w:cs="Verdana"/>
          <w:szCs w:val="20"/>
          <w:lang w:val="es-ES_tradnl"/>
        </w:rPr>
        <w:t xml:space="preserve"> y</w:t>
      </w:r>
      <w:r w:rsidRPr="00B27C76">
        <w:rPr>
          <w:rFonts w:cs="Verdana"/>
          <w:szCs w:val="20"/>
          <w:lang w:val="es-ES_tradnl"/>
        </w:rPr>
        <w:t xml:space="preserve"> a la Comisión y les otorgó un plazo hasta el </w:t>
      </w:r>
      <w:r w:rsidR="00BE46CC" w:rsidRPr="00B27C76">
        <w:rPr>
          <w:rFonts w:cs="Verdana"/>
          <w:szCs w:val="20"/>
          <w:lang w:val="es-ES_tradnl"/>
        </w:rPr>
        <w:t>25 de abril de 2014</w:t>
      </w:r>
      <w:r w:rsidRPr="00B27C76">
        <w:rPr>
          <w:rFonts w:cs="Verdana"/>
          <w:szCs w:val="20"/>
          <w:lang w:val="es-ES_tradnl"/>
        </w:rPr>
        <w:t xml:space="preserve"> para presentar las alegaciones escritas que estimaran pertinentes. </w:t>
      </w:r>
      <w:bookmarkEnd w:id="7"/>
    </w:p>
    <w:p w:rsidR="00970448" w:rsidRPr="00B27C76" w:rsidRDefault="00970448" w:rsidP="00970448">
      <w:pPr>
        <w:tabs>
          <w:tab w:val="left" w:pos="567"/>
        </w:tabs>
        <w:autoSpaceDE w:val="0"/>
        <w:autoSpaceDN w:val="0"/>
        <w:adjustRightInd w:val="0"/>
        <w:spacing w:after="0" w:line="240" w:lineRule="auto"/>
        <w:jc w:val="both"/>
        <w:rPr>
          <w:rFonts w:cs="Verdana"/>
          <w:szCs w:val="20"/>
          <w:lang w:val="es-ES_tradnl"/>
        </w:rPr>
      </w:pPr>
    </w:p>
    <w:p w:rsidR="00970448" w:rsidRPr="002E76B8" w:rsidRDefault="004B12BF" w:rsidP="00970448">
      <w:pPr>
        <w:numPr>
          <w:ilvl w:val="0"/>
          <w:numId w:val="1"/>
        </w:numPr>
        <w:tabs>
          <w:tab w:val="left" w:pos="567"/>
          <w:tab w:val="num" w:pos="720"/>
        </w:tabs>
        <w:autoSpaceDE w:val="0"/>
        <w:autoSpaceDN w:val="0"/>
        <w:adjustRightInd w:val="0"/>
        <w:spacing w:after="0" w:line="240" w:lineRule="auto"/>
        <w:jc w:val="both"/>
        <w:rPr>
          <w:rFonts w:cs="Verdana"/>
          <w:b/>
          <w:color w:val="00B050"/>
          <w:szCs w:val="20"/>
          <w:lang w:val="es-ES_tradnl"/>
        </w:rPr>
      </w:pPr>
      <w:bookmarkStart w:id="8" w:name="_Ref324683819"/>
      <w:bookmarkStart w:id="9" w:name="_Ref364679847"/>
      <w:r w:rsidRPr="002E76B8">
        <w:rPr>
          <w:rFonts w:cs="Verdana"/>
          <w:szCs w:val="20"/>
          <w:lang w:val="es-ES_tradnl"/>
        </w:rPr>
        <w:t>El 25 de abril de 2014</w:t>
      </w:r>
      <w:r w:rsidR="00BE46CC" w:rsidRPr="002E76B8">
        <w:rPr>
          <w:rFonts w:cs="Verdana"/>
          <w:szCs w:val="20"/>
          <w:lang w:val="es-ES_tradnl"/>
        </w:rPr>
        <w:t xml:space="preserve"> la representante,</w:t>
      </w:r>
      <w:r w:rsidR="00970448" w:rsidRPr="002E76B8">
        <w:rPr>
          <w:rFonts w:cs="Verdana"/>
          <w:szCs w:val="20"/>
          <w:lang w:val="es-ES_tradnl"/>
        </w:rPr>
        <w:t xml:space="preserve"> la Comisión y el Estado presentaron sus alegaciones escritas respecto de la</w:t>
      </w:r>
      <w:r w:rsidR="006D7279" w:rsidRPr="002E76B8">
        <w:rPr>
          <w:rFonts w:cs="Verdana"/>
          <w:szCs w:val="20"/>
          <w:lang w:val="es-ES_tradnl"/>
        </w:rPr>
        <w:t>s</w:t>
      </w:r>
      <w:r w:rsidR="00970448" w:rsidRPr="002E76B8">
        <w:rPr>
          <w:rFonts w:cs="Verdana"/>
          <w:szCs w:val="20"/>
          <w:lang w:val="es-ES_tradnl"/>
        </w:rPr>
        <w:t xml:space="preserve"> referida</w:t>
      </w:r>
      <w:r w:rsidR="006D7279" w:rsidRPr="002E76B8">
        <w:rPr>
          <w:rFonts w:cs="Verdana"/>
          <w:szCs w:val="20"/>
          <w:lang w:val="es-ES_tradnl"/>
        </w:rPr>
        <w:t>s</w:t>
      </w:r>
      <w:r w:rsidR="00970448" w:rsidRPr="002E76B8">
        <w:rPr>
          <w:rFonts w:cs="Verdana"/>
          <w:szCs w:val="20"/>
          <w:lang w:val="es-ES_tradnl"/>
        </w:rPr>
        <w:t xml:space="preserve"> solicitud</w:t>
      </w:r>
      <w:r w:rsidR="006D7279" w:rsidRPr="002E76B8">
        <w:rPr>
          <w:rFonts w:cs="Verdana"/>
          <w:szCs w:val="20"/>
          <w:lang w:val="es-ES_tradnl"/>
        </w:rPr>
        <w:t>es</w:t>
      </w:r>
      <w:r w:rsidR="00970448" w:rsidRPr="002E76B8">
        <w:rPr>
          <w:rFonts w:cs="Verdana"/>
          <w:szCs w:val="20"/>
          <w:lang w:val="es-ES_tradnl"/>
        </w:rPr>
        <w:t xml:space="preserve"> de interpretación.</w:t>
      </w:r>
      <w:bookmarkEnd w:id="8"/>
      <w:r w:rsidR="00970448" w:rsidRPr="002E76B8">
        <w:rPr>
          <w:rFonts w:cs="Verdana"/>
          <w:szCs w:val="20"/>
          <w:lang w:val="es-ES_tradnl"/>
        </w:rPr>
        <w:t xml:space="preserve"> </w:t>
      </w:r>
      <w:bookmarkEnd w:id="9"/>
    </w:p>
    <w:p w:rsidR="002E76B8" w:rsidRPr="002E76B8" w:rsidRDefault="002E76B8" w:rsidP="002E76B8">
      <w:pPr>
        <w:tabs>
          <w:tab w:val="left" w:pos="567"/>
        </w:tabs>
        <w:autoSpaceDE w:val="0"/>
        <w:autoSpaceDN w:val="0"/>
        <w:adjustRightInd w:val="0"/>
        <w:spacing w:after="0" w:line="240" w:lineRule="auto"/>
        <w:jc w:val="both"/>
        <w:rPr>
          <w:rFonts w:cs="Verdana"/>
          <w:b/>
          <w:color w:val="00B050"/>
          <w:szCs w:val="20"/>
          <w:lang w:val="es-ES_tradnl"/>
        </w:rPr>
      </w:pPr>
    </w:p>
    <w:p w:rsidR="00970448" w:rsidRPr="00B27C76" w:rsidRDefault="00970448" w:rsidP="00970448">
      <w:pPr>
        <w:tabs>
          <w:tab w:val="left" w:pos="567"/>
        </w:tabs>
        <w:spacing w:after="0" w:line="240" w:lineRule="auto"/>
        <w:jc w:val="center"/>
        <w:rPr>
          <w:rFonts w:eastAsia="Times"/>
          <w:b/>
          <w:bCs/>
          <w:szCs w:val="20"/>
          <w:lang w:val="es-ES_tradnl"/>
        </w:rPr>
      </w:pPr>
      <w:r w:rsidRPr="00B27C76">
        <w:rPr>
          <w:rFonts w:eastAsia="Times"/>
          <w:b/>
          <w:bCs/>
          <w:szCs w:val="20"/>
          <w:lang w:val="es-ES_tradnl"/>
        </w:rPr>
        <w:t>II</w:t>
      </w:r>
    </w:p>
    <w:p w:rsidR="00970448" w:rsidRPr="00B27C76" w:rsidRDefault="00970448" w:rsidP="00970448">
      <w:pPr>
        <w:tabs>
          <w:tab w:val="left" w:pos="567"/>
        </w:tabs>
        <w:spacing w:after="0" w:line="240" w:lineRule="auto"/>
        <w:jc w:val="center"/>
        <w:rPr>
          <w:rFonts w:eastAsia="Times"/>
          <w:b/>
          <w:bCs/>
          <w:szCs w:val="20"/>
          <w:lang w:val="es-ES_tradnl"/>
        </w:rPr>
      </w:pPr>
      <w:r w:rsidRPr="00B27C76">
        <w:rPr>
          <w:rFonts w:eastAsia="Times"/>
          <w:b/>
          <w:bCs/>
          <w:szCs w:val="20"/>
          <w:lang w:val="es-ES_tradnl"/>
        </w:rPr>
        <w:t>COMPETENCIA</w:t>
      </w:r>
    </w:p>
    <w:p w:rsidR="00970448" w:rsidRPr="00B27C76" w:rsidRDefault="00970448" w:rsidP="00970448">
      <w:pPr>
        <w:tabs>
          <w:tab w:val="left" w:pos="567"/>
        </w:tabs>
        <w:spacing w:after="0" w:line="240" w:lineRule="auto"/>
        <w:ind w:left="720"/>
        <w:jc w:val="both"/>
        <w:rPr>
          <w:rFonts w:eastAsia="Batang"/>
          <w:szCs w:val="24"/>
          <w:lang w:val="es-ES_tradnl"/>
        </w:rPr>
      </w:pPr>
    </w:p>
    <w:p w:rsidR="00970448" w:rsidRPr="00B27C76" w:rsidRDefault="00970448" w:rsidP="00970448">
      <w:pPr>
        <w:numPr>
          <w:ilvl w:val="0"/>
          <w:numId w:val="1"/>
        </w:numPr>
        <w:tabs>
          <w:tab w:val="left" w:pos="567"/>
          <w:tab w:val="num" w:pos="720"/>
        </w:tabs>
        <w:autoSpaceDE w:val="0"/>
        <w:autoSpaceDN w:val="0"/>
        <w:adjustRightInd w:val="0"/>
        <w:spacing w:after="0" w:line="240" w:lineRule="auto"/>
        <w:jc w:val="both"/>
        <w:rPr>
          <w:rFonts w:eastAsia="Times"/>
          <w:bCs/>
          <w:szCs w:val="20"/>
          <w:lang w:val="es-ES_tradnl"/>
        </w:rPr>
      </w:pPr>
      <w:bookmarkStart w:id="10" w:name="_Ref361668910"/>
      <w:r w:rsidRPr="00B27C76">
        <w:rPr>
          <w:rFonts w:eastAsia="Times"/>
          <w:szCs w:val="20"/>
          <w:lang w:val="es-ES_tradnl"/>
        </w:rPr>
        <w:t>El artículo 67 de la Convención establece que:</w:t>
      </w:r>
      <w:bookmarkEnd w:id="10"/>
    </w:p>
    <w:p w:rsidR="00970448" w:rsidRPr="00B27C76" w:rsidRDefault="00970448" w:rsidP="00970448">
      <w:pPr>
        <w:tabs>
          <w:tab w:val="left" w:pos="567"/>
        </w:tabs>
        <w:autoSpaceDE w:val="0"/>
        <w:autoSpaceDN w:val="0"/>
        <w:adjustRightInd w:val="0"/>
        <w:spacing w:after="0" w:line="240" w:lineRule="auto"/>
        <w:jc w:val="both"/>
        <w:rPr>
          <w:rFonts w:eastAsia="Times"/>
          <w:bCs/>
          <w:szCs w:val="20"/>
          <w:lang w:val="es-ES_tradnl"/>
        </w:rPr>
      </w:pPr>
    </w:p>
    <w:p w:rsidR="00970448" w:rsidRPr="00B27C76" w:rsidRDefault="00970448" w:rsidP="00970448">
      <w:pPr>
        <w:tabs>
          <w:tab w:val="left" w:pos="567"/>
        </w:tabs>
        <w:spacing w:after="0" w:line="240" w:lineRule="auto"/>
        <w:ind w:left="567" w:right="639"/>
        <w:jc w:val="both"/>
        <w:rPr>
          <w:rFonts w:eastAsia="Times"/>
          <w:sz w:val="18"/>
          <w:szCs w:val="18"/>
          <w:lang w:val="es-ES_tradnl"/>
        </w:rPr>
      </w:pPr>
      <w:r w:rsidRPr="00B27C76">
        <w:rPr>
          <w:rFonts w:eastAsia="Times"/>
          <w:sz w:val="18"/>
          <w:szCs w:val="18"/>
          <w:lang w:val="es-ES_tradnl"/>
        </w:rPr>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rsidR="00970448" w:rsidRPr="00B27C76" w:rsidRDefault="00970448" w:rsidP="00970448">
      <w:pPr>
        <w:tabs>
          <w:tab w:val="left" w:pos="567"/>
        </w:tabs>
        <w:spacing w:after="0" w:line="240" w:lineRule="auto"/>
        <w:ind w:left="720" w:right="639"/>
        <w:jc w:val="both"/>
        <w:rPr>
          <w:rFonts w:eastAsia="Times"/>
          <w:sz w:val="18"/>
          <w:szCs w:val="18"/>
          <w:lang w:val="es-ES_tradnl"/>
        </w:rPr>
      </w:pPr>
    </w:p>
    <w:p w:rsidR="006D7279" w:rsidRPr="00B27C76" w:rsidRDefault="00970448" w:rsidP="002F0CC2">
      <w:pPr>
        <w:numPr>
          <w:ilvl w:val="0"/>
          <w:numId w:val="1"/>
        </w:numPr>
        <w:tabs>
          <w:tab w:val="left" w:pos="567"/>
          <w:tab w:val="num" w:pos="720"/>
        </w:tabs>
        <w:autoSpaceDE w:val="0"/>
        <w:autoSpaceDN w:val="0"/>
        <w:adjustRightInd w:val="0"/>
        <w:spacing w:after="0" w:line="240" w:lineRule="auto"/>
        <w:jc w:val="both"/>
        <w:rPr>
          <w:rFonts w:eastAsia="Times"/>
          <w:bCs/>
          <w:szCs w:val="20"/>
          <w:lang w:val="es-ES_tradnl"/>
        </w:rPr>
      </w:pPr>
      <w:r w:rsidRPr="00B27C76">
        <w:rPr>
          <w:rFonts w:eastAsia="Times"/>
          <w:szCs w:val="20"/>
          <w:lang w:val="es-ES_tradnl"/>
        </w:rPr>
        <w:t>De conformidad con el artículo citado, la Corte es competente para interpretar sus fallos. Para realizar el examen de la</w:t>
      </w:r>
      <w:r w:rsidR="006D7279" w:rsidRPr="00B27C76">
        <w:rPr>
          <w:rFonts w:eastAsia="Times"/>
          <w:szCs w:val="20"/>
          <w:lang w:val="es-ES_tradnl"/>
        </w:rPr>
        <w:t>s</w:t>
      </w:r>
      <w:r w:rsidRPr="00B27C76">
        <w:rPr>
          <w:rFonts w:eastAsia="Times"/>
          <w:szCs w:val="20"/>
          <w:lang w:val="es-ES_tradnl"/>
        </w:rPr>
        <w:t xml:space="preserve"> solicitud</w:t>
      </w:r>
      <w:r w:rsidR="006D7279" w:rsidRPr="00B27C76">
        <w:rPr>
          <w:rFonts w:eastAsia="Times"/>
          <w:szCs w:val="20"/>
          <w:lang w:val="es-ES_tradnl"/>
        </w:rPr>
        <w:t>es</w:t>
      </w:r>
      <w:r w:rsidRPr="00B27C76">
        <w:rPr>
          <w:rFonts w:eastAsia="Times"/>
          <w:szCs w:val="20"/>
          <w:lang w:val="es-ES_tradnl"/>
        </w:rPr>
        <w:t xml:space="preserve"> de interpretación y resolver lo que a este respecto corresponda, el Tribunal debe tener, si es posible, la misma composición que tenía al dictar la Sentencia respectiva, de acuerdo con el artículo 68.3 del Reglamento. En es</w:t>
      </w:r>
      <w:r w:rsidR="00374259">
        <w:rPr>
          <w:rFonts w:eastAsia="Times"/>
          <w:szCs w:val="20"/>
          <w:lang w:val="es-ES_tradnl"/>
        </w:rPr>
        <w:t>ta ocasión, la Corte se integra</w:t>
      </w:r>
      <w:r w:rsidR="00C10360" w:rsidRPr="001A315F">
        <w:t>, en su mayoría,</w:t>
      </w:r>
      <w:r w:rsidR="00C10360" w:rsidRPr="002A2C18">
        <w:t xml:space="preserve"> </w:t>
      </w:r>
      <w:r w:rsidRPr="00B27C76">
        <w:rPr>
          <w:rFonts w:eastAsia="Times"/>
          <w:szCs w:val="20"/>
          <w:lang w:val="es-ES_tradnl"/>
        </w:rPr>
        <w:t>con los jueces que dictaron la Sentencia cuya interpret</w:t>
      </w:r>
      <w:r w:rsidR="006D7279" w:rsidRPr="00B27C76">
        <w:rPr>
          <w:rFonts w:eastAsia="Times"/>
          <w:szCs w:val="20"/>
          <w:lang w:val="es-ES_tradnl"/>
        </w:rPr>
        <w:t>ación ha sido solicitada por el Estado y la representante</w:t>
      </w:r>
      <w:r w:rsidRPr="00B27C76">
        <w:rPr>
          <w:rFonts w:eastAsia="Times"/>
          <w:szCs w:val="20"/>
          <w:lang w:val="es-ES_tradnl"/>
        </w:rPr>
        <w:t xml:space="preserve"> (</w:t>
      </w:r>
      <w:r w:rsidRPr="00B27C76">
        <w:rPr>
          <w:rFonts w:eastAsia="Times"/>
          <w:i/>
          <w:szCs w:val="20"/>
          <w:lang w:val="es-ES_tradnl"/>
        </w:rPr>
        <w:t>supra</w:t>
      </w:r>
      <w:r w:rsidRPr="00B27C76">
        <w:rPr>
          <w:rFonts w:eastAsia="Times"/>
          <w:szCs w:val="20"/>
          <w:lang w:val="es-ES_tradnl"/>
        </w:rPr>
        <w:t xml:space="preserve"> nota</w:t>
      </w:r>
      <w:r w:rsidR="00442B1A" w:rsidRPr="00B27C76">
        <w:rPr>
          <w:lang w:val="es-ES_tradnl"/>
        </w:rPr>
        <w:t xml:space="preserve"> </w:t>
      </w:r>
      <w:r w:rsidR="00C62C4C" w:rsidRPr="00B27C76">
        <w:rPr>
          <w:lang w:val="es-ES_tradnl"/>
        </w:rPr>
        <w:fldChar w:fldCharType="begin"/>
      </w:r>
      <w:r w:rsidR="00992FAE" w:rsidRPr="00B27C76">
        <w:rPr>
          <w:lang w:val="es-ES_tradnl"/>
        </w:rPr>
        <w:instrText xml:space="preserve"> NOTEREF _Ref399254936 \h </w:instrText>
      </w:r>
      <w:r w:rsidR="00C62C4C" w:rsidRPr="00B27C76">
        <w:rPr>
          <w:lang w:val="es-ES_tradnl"/>
        </w:rPr>
      </w:r>
      <w:r w:rsidR="00C62C4C" w:rsidRPr="00B27C76">
        <w:rPr>
          <w:lang w:val="es-ES_tradnl"/>
        </w:rPr>
        <w:fldChar w:fldCharType="separate"/>
      </w:r>
      <w:r w:rsidR="002D145C">
        <w:rPr>
          <w:lang w:val="es-ES_tradnl"/>
        </w:rPr>
        <w:t>1</w:t>
      </w:r>
      <w:r w:rsidR="00C62C4C" w:rsidRPr="00B27C76">
        <w:rPr>
          <w:lang w:val="es-ES_tradnl"/>
        </w:rPr>
        <w:fldChar w:fldCharType="end"/>
      </w:r>
      <w:r w:rsidRPr="00B27C76">
        <w:rPr>
          <w:rFonts w:eastAsia="Times"/>
          <w:szCs w:val="20"/>
          <w:lang w:val="es-ES_tradnl"/>
        </w:rPr>
        <w:t xml:space="preserve">). </w:t>
      </w:r>
    </w:p>
    <w:p w:rsidR="006D7279" w:rsidRPr="00B27C76" w:rsidRDefault="006D7279" w:rsidP="002F0CC2">
      <w:pPr>
        <w:tabs>
          <w:tab w:val="left" w:pos="567"/>
        </w:tabs>
        <w:autoSpaceDE w:val="0"/>
        <w:autoSpaceDN w:val="0"/>
        <w:adjustRightInd w:val="0"/>
        <w:spacing w:after="0" w:line="240" w:lineRule="auto"/>
        <w:jc w:val="both"/>
        <w:rPr>
          <w:rFonts w:eastAsia="Times"/>
          <w:szCs w:val="20"/>
          <w:lang w:val="es-ES_tradnl"/>
        </w:rPr>
      </w:pPr>
    </w:p>
    <w:p w:rsidR="00E723EE" w:rsidRPr="00B27C76" w:rsidRDefault="00E723EE" w:rsidP="00E723EE">
      <w:pPr>
        <w:pStyle w:val="Sinespaciado"/>
        <w:jc w:val="center"/>
        <w:rPr>
          <w:rFonts w:ascii="Verdana" w:hAnsi="Verdana" w:cs="Verdana"/>
          <w:b/>
          <w:sz w:val="20"/>
          <w:szCs w:val="20"/>
          <w:lang w:val="es-ES_tradnl"/>
        </w:rPr>
      </w:pPr>
      <w:r w:rsidRPr="00B27C76">
        <w:rPr>
          <w:rFonts w:ascii="Verdana" w:hAnsi="Verdana" w:cs="Verdana"/>
          <w:b/>
          <w:sz w:val="20"/>
          <w:szCs w:val="20"/>
          <w:lang w:val="es-ES_tradnl"/>
        </w:rPr>
        <w:t>III</w:t>
      </w:r>
    </w:p>
    <w:p w:rsidR="00E723EE" w:rsidRPr="00B27C76" w:rsidRDefault="00E723EE" w:rsidP="00E723EE">
      <w:pPr>
        <w:pStyle w:val="Sinespaciado"/>
        <w:jc w:val="center"/>
        <w:rPr>
          <w:rFonts w:ascii="Verdana" w:hAnsi="Verdana" w:cs="Verdana"/>
          <w:b/>
          <w:sz w:val="20"/>
          <w:szCs w:val="20"/>
          <w:lang w:val="es-ES_tradnl"/>
        </w:rPr>
      </w:pPr>
      <w:r w:rsidRPr="00B27C76">
        <w:rPr>
          <w:rFonts w:ascii="Verdana" w:hAnsi="Verdana" w:cs="Verdana"/>
          <w:b/>
          <w:sz w:val="20"/>
          <w:szCs w:val="20"/>
          <w:lang w:val="es-ES_tradnl"/>
        </w:rPr>
        <w:t xml:space="preserve">ADMISIBILIDAD </w:t>
      </w:r>
    </w:p>
    <w:p w:rsidR="00E723EE" w:rsidRPr="00B27C76" w:rsidRDefault="00E723EE" w:rsidP="00E723EE">
      <w:pPr>
        <w:tabs>
          <w:tab w:val="left" w:pos="567"/>
        </w:tabs>
        <w:autoSpaceDE w:val="0"/>
        <w:autoSpaceDN w:val="0"/>
        <w:adjustRightInd w:val="0"/>
        <w:spacing w:after="0" w:line="240" w:lineRule="auto"/>
        <w:jc w:val="both"/>
        <w:rPr>
          <w:rFonts w:eastAsia="Times"/>
          <w:bCs/>
          <w:szCs w:val="20"/>
          <w:lang w:val="es-ES_tradnl"/>
        </w:rPr>
      </w:pPr>
    </w:p>
    <w:p w:rsidR="00E723EE" w:rsidRPr="00B27C76" w:rsidRDefault="00E723EE" w:rsidP="00E723EE">
      <w:pPr>
        <w:numPr>
          <w:ilvl w:val="0"/>
          <w:numId w:val="1"/>
        </w:numPr>
        <w:tabs>
          <w:tab w:val="left" w:pos="567"/>
          <w:tab w:val="num" w:pos="720"/>
        </w:tabs>
        <w:autoSpaceDE w:val="0"/>
        <w:autoSpaceDN w:val="0"/>
        <w:adjustRightInd w:val="0"/>
        <w:spacing w:after="0" w:line="240" w:lineRule="auto"/>
        <w:jc w:val="both"/>
        <w:rPr>
          <w:rFonts w:eastAsia="Times"/>
          <w:bCs/>
          <w:szCs w:val="20"/>
          <w:lang w:val="es-ES_tradnl"/>
        </w:rPr>
      </w:pPr>
      <w:bookmarkStart w:id="11" w:name="_Ref403060963"/>
      <w:r w:rsidRPr="00B27C76">
        <w:rPr>
          <w:szCs w:val="20"/>
          <w:lang w:val="es-ES_tradnl"/>
        </w:rPr>
        <w:t xml:space="preserve">Corresponde a la Corte verificar si las solicitudes presentadas por el Estado y la representante cumplen con los requisitos establecidos en las normas aplicables a una </w:t>
      </w:r>
      <w:r w:rsidRPr="00B27C76">
        <w:rPr>
          <w:szCs w:val="20"/>
          <w:lang w:val="es-ES_tradnl"/>
        </w:rPr>
        <w:lastRenderedPageBreak/>
        <w:t>solicitud de interpretación de Sentencia, a saber, el artículo 67 de la Convención, anteriormente citado, y el artículo 68 del Reglamento que dispone, en lo pertinente, que:</w:t>
      </w:r>
      <w:bookmarkEnd w:id="11"/>
    </w:p>
    <w:p w:rsidR="00E723EE" w:rsidRPr="00B27C76" w:rsidRDefault="00E723EE" w:rsidP="00E723EE">
      <w:pPr>
        <w:tabs>
          <w:tab w:val="left" w:pos="567"/>
        </w:tabs>
        <w:autoSpaceDE w:val="0"/>
        <w:autoSpaceDN w:val="0"/>
        <w:adjustRightInd w:val="0"/>
        <w:spacing w:after="0" w:line="240" w:lineRule="auto"/>
        <w:jc w:val="both"/>
        <w:rPr>
          <w:szCs w:val="20"/>
          <w:lang w:val="es-ES_tradnl"/>
        </w:rPr>
      </w:pPr>
    </w:p>
    <w:p w:rsidR="00E723EE" w:rsidRPr="00B27C76" w:rsidRDefault="00E723EE" w:rsidP="00A64FFB">
      <w:pPr>
        <w:pStyle w:val="Sinespaciado"/>
        <w:tabs>
          <w:tab w:val="left" w:pos="1134"/>
        </w:tabs>
        <w:spacing w:after="120"/>
        <w:ind w:left="720" w:right="616"/>
        <w:jc w:val="both"/>
        <w:rPr>
          <w:rFonts w:ascii="Verdana" w:hAnsi="Verdana"/>
          <w:sz w:val="16"/>
          <w:szCs w:val="16"/>
          <w:lang w:val="es-ES_tradnl"/>
        </w:rPr>
      </w:pPr>
      <w:r w:rsidRPr="00B27C76">
        <w:rPr>
          <w:rFonts w:ascii="Verdana" w:hAnsi="Verdana"/>
          <w:sz w:val="16"/>
          <w:szCs w:val="16"/>
          <w:lang w:val="es-ES_tradnl"/>
        </w:rPr>
        <w:t>1.</w:t>
      </w:r>
      <w:r w:rsidRPr="00B27C76">
        <w:rPr>
          <w:rFonts w:ascii="Verdana" w:hAnsi="Verdana"/>
          <w:sz w:val="16"/>
          <w:szCs w:val="16"/>
          <w:lang w:val="es-ES_tradnl"/>
        </w:rPr>
        <w:tab/>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w:t>
      </w:r>
    </w:p>
    <w:p w:rsidR="00E723EE" w:rsidRPr="00B27C76" w:rsidRDefault="00E723EE" w:rsidP="00A64FFB">
      <w:pPr>
        <w:pStyle w:val="Sinespaciado"/>
        <w:tabs>
          <w:tab w:val="left" w:pos="1134"/>
        </w:tabs>
        <w:spacing w:after="120"/>
        <w:ind w:left="720" w:right="616"/>
        <w:jc w:val="both"/>
        <w:rPr>
          <w:rFonts w:ascii="Verdana" w:hAnsi="Verdana"/>
          <w:sz w:val="16"/>
          <w:szCs w:val="16"/>
          <w:lang w:val="es-ES_tradnl"/>
        </w:rPr>
      </w:pPr>
      <w:r w:rsidRPr="00B27C76">
        <w:rPr>
          <w:rFonts w:ascii="Verdana" w:hAnsi="Verdana"/>
          <w:sz w:val="16"/>
          <w:szCs w:val="16"/>
          <w:lang w:val="es-ES_tradnl"/>
        </w:rPr>
        <w:t>[…]</w:t>
      </w:r>
    </w:p>
    <w:p w:rsidR="00E723EE" w:rsidRPr="00B27C76" w:rsidRDefault="00E723EE" w:rsidP="00A64FFB">
      <w:pPr>
        <w:pStyle w:val="Sinespaciado"/>
        <w:tabs>
          <w:tab w:val="left" w:pos="1134"/>
        </w:tabs>
        <w:spacing w:after="120"/>
        <w:ind w:left="720" w:right="616"/>
        <w:jc w:val="both"/>
        <w:rPr>
          <w:rFonts w:ascii="Verdana" w:hAnsi="Verdana"/>
          <w:sz w:val="16"/>
          <w:szCs w:val="16"/>
          <w:lang w:val="es-ES_tradnl"/>
        </w:rPr>
      </w:pPr>
      <w:r w:rsidRPr="00B27C76">
        <w:rPr>
          <w:rFonts w:ascii="Verdana" w:hAnsi="Verdana"/>
          <w:sz w:val="16"/>
          <w:szCs w:val="16"/>
          <w:lang w:val="es-ES_tradnl"/>
        </w:rPr>
        <w:t>4.</w:t>
      </w:r>
      <w:r w:rsidRPr="00B27C76">
        <w:rPr>
          <w:rFonts w:ascii="Verdana" w:hAnsi="Verdana"/>
          <w:sz w:val="16"/>
          <w:szCs w:val="16"/>
          <w:lang w:val="es-ES_tradnl"/>
        </w:rPr>
        <w:tab/>
        <w:t>La solicitud de interpretación no suspenderá la ejecución de la sentencia.</w:t>
      </w:r>
    </w:p>
    <w:p w:rsidR="00E723EE" w:rsidRPr="00B27C76" w:rsidRDefault="00E723EE" w:rsidP="00A64FFB">
      <w:pPr>
        <w:pStyle w:val="Sinespaciado"/>
        <w:tabs>
          <w:tab w:val="left" w:pos="1134"/>
        </w:tabs>
        <w:spacing w:after="120"/>
        <w:ind w:left="720" w:right="616"/>
        <w:jc w:val="both"/>
        <w:rPr>
          <w:rFonts w:ascii="Verdana" w:hAnsi="Verdana"/>
          <w:sz w:val="16"/>
          <w:szCs w:val="16"/>
          <w:lang w:val="es-ES_tradnl"/>
        </w:rPr>
      </w:pPr>
      <w:r w:rsidRPr="00B27C76">
        <w:rPr>
          <w:rFonts w:ascii="Verdana" w:hAnsi="Verdana"/>
          <w:sz w:val="16"/>
          <w:szCs w:val="16"/>
          <w:lang w:val="es-ES_tradnl"/>
        </w:rPr>
        <w:t>5.</w:t>
      </w:r>
      <w:r w:rsidRPr="00B27C76">
        <w:rPr>
          <w:rFonts w:ascii="Verdana" w:hAnsi="Verdana"/>
          <w:sz w:val="16"/>
          <w:szCs w:val="16"/>
          <w:lang w:val="es-ES_tradnl"/>
        </w:rPr>
        <w:tab/>
        <w:t>La Corte determinará el procedimiento que se seguirá y resolverá mediante una sentencia.</w:t>
      </w:r>
    </w:p>
    <w:p w:rsidR="00E723EE" w:rsidRPr="00B27C76" w:rsidRDefault="00E723EE" w:rsidP="00E723EE">
      <w:pPr>
        <w:tabs>
          <w:tab w:val="left" w:pos="567"/>
        </w:tabs>
        <w:autoSpaceDE w:val="0"/>
        <w:autoSpaceDN w:val="0"/>
        <w:adjustRightInd w:val="0"/>
        <w:spacing w:after="0" w:line="240" w:lineRule="auto"/>
        <w:jc w:val="both"/>
        <w:rPr>
          <w:rFonts w:eastAsia="Times"/>
          <w:bCs/>
          <w:szCs w:val="20"/>
          <w:lang w:val="es-ES_tradnl"/>
        </w:rPr>
      </w:pPr>
    </w:p>
    <w:p w:rsidR="00E723EE" w:rsidRPr="00B27C76" w:rsidRDefault="00E723EE" w:rsidP="003743BD">
      <w:pPr>
        <w:pStyle w:val="Sinespaciado"/>
        <w:numPr>
          <w:ilvl w:val="0"/>
          <w:numId w:val="1"/>
        </w:numPr>
        <w:tabs>
          <w:tab w:val="clear" w:pos="1247"/>
          <w:tab w:val="num" w:pos="567"/>
        </w:tabs>
        <w:jc w:val="both"/>
        <w:rPr>
          <w:rFonts w:ascii="Verdana" w:hAnsi="Verdana"/>
          <w:sz w:val="20"/>
          <w:szCs w:val="20"/>
          <w:lang w:val="es-ES_tradnl"/>
        </w:rPr>
      </w:pPr>
      <w:bookmarkStart w:id="12" w:name="_Ref406407984"/>
      <w:r w:rsidRPr="00B27C76">
        <w:rPr>
          <w:rFonts w:ascii="Verdana" w:hAnsi="Verdana"/>
          <w:sz w:val="20"/>
          <w:szCs w:val="20"/>
          <w:lang w:val="es-ES_tradnl"/>
        </w:rPr>
        <w:t>Asimismo, el artículo 31.3 del Reglamento establece que “[c]</w:t>
      </w:r>
      <w:proofErr w:type="spellStart"/>
      <w:r w:rsidRPr="00B27C76">
        <w:rPr>
          <w:rFonts w:ascii="Verdana" w:hAnsi="Verdana"/>
          <w:sz w:val="20"/>
          <w:szCs w:val="20"/>
          <w:lang w:val="es-ES_tradnl"/>
        </w:rPr>
        <w:t>ontra</w:t>
      </w:r>
      <w:proofErr w:type="spellEnd"/>
      <w:r w:rsidRPr="00B27C76">
        <w:rPr>
          <w:rFonts w:ascii="Verdana" w:hAnsi="Verdana"/>
          <w:sz w:val="20"/>
          <w:szCs w:val="20"/>
          <w:lang w:val="es-ES_tradnl"/>
        </w:rPr>
        <w:t xml:space="preserve"> las sentencias y resoluciones de la Corte no procede ningún medio de impugnación”.</w:t>
      </w:r>
      <w:bookmarkEnd w:id="12"/>
    </w:p>
    <w:p w:rsidR="00E723EE" w:rsidRPr="00B27C76" w:rsidRDefault="00E723EE" w:rsidP="00E723EE">
      <w:pPr>
        <w:pStyle w:val="Sinespaciado"/>
        <w:jc w:val="both"/>
        <w:rPr>
          <w:rFonts w:ascii="Verdana" w:hAnsi="Verdana"/>
          <w:sz w:val="20"/>
          <w:szCs w:val="20"/>
          <w:lang w:val="es-ES_tradnl"/>
        </w:rPr>
      </w:pPr>
    </w:p>
    <w:p w:rsidR="00E723EE" w:rsidRPr="00B27C76" w:rsidRDefault="00E723EE" w:rsidP="003743BD">
      <w:pPr>
        <w:pStyle w:val="Sinespaciado"/>
        <w:numPr>
          <w:ilvl w:val="0"/>
          <w:numId w:val="1"/>
        </w:numPr>
        <w:tabs>
          <w:tab w:val="clear" w:pos="1247"/>
          <w:tab w:val="num" w:pos="567"/>
        </w:tabs>
        <w:jc w:val="both"/>
        <w:rPr>
          <w:rFonts w:ascii="Verdana" w:hAnsi="Verdana"/>
          <w:sz w:val="20"/>
          <w:szCs w:val="20"/>
          <w:lang w:val="es-ES_tradnl"/>
        </w:rPr>
      </w:pPr>
      <w:r w:rsidRPr="00B27C76">
        <w:rPr>
          <w:rFonts w:ascii="Verdana" w:hAnsi="Verdana"/>
          <w:sz w:val="20"/>
          <w:szCs w:val="20"/>
          <w:lang w:val="es-ES_tradnl"/>
        </w:rPr>
        <w:t xml:space="preserve">La Corte observa que la representante </w:t>
      </w:r>
      <w:r w:rsidR="00795C6E" w:rsidRPr="00B27C76">
        <w:rPr>
          <w:rFonts w:ascii="Verdana" w:hAnsi="Verdana"/>
          <w:sz w:val="20"/>
          <w:szCs w:val="20"/>
          <w:lang w:val="es-ES_tradnl"/>
        </w:rPr>
        <w:t xml:space="preserve">y el Estado </w:t>
      </w:r>
      <w:r w:rsidRPr="00B27C76">
        <w:rPr>
          <w:rFonts w:ascii="Verdana" w:hAnsi="Verdana"/>
          <w:sz w:val="20"/>
          <w:szCs w:val="20"/>
          <w:lang w:val="es-ES_tradnl"/>
        </w:rPr>
        <w:t xml:space="preserve">presentaron sus solicitudes de interpretación </w:t>
      </w:r>
      <w:r w:rsidR="00350AB4" w:rsidRPr="00B27C76">
        <w:rPr>
          <w:rFonts w:ascii="Verdana" w:hAnsi="Verdana"/>
          <w:sz w:val="20"/>
          <w:szCs w:val="20"/>
          <w:lang w:val="es-ES_tradnl"/>
        </w:rPr>
        <w:t xml:space="preserve">respectivamente el </w:t>
      </w:r>
      <w:r w:rsidR="00795C6E" w:rsidRPr="00B27C76">
        <w:rPr>
          <w:rFonts w:ascii="Verdana" w:hAnsi="Verdana"/>
          <w:sz w:val="20"/>
          <w:szCs w:val="20"/>
          <w:lang w:val="es-ES_tradnl"/>
        </w:rPr>
        <w:t xml:space="preserve">17 y el </w:t>
      </w:r>
      <w:r w:rsidR="00350AB4" w:rsidRPr="00B27C76">
        <w:rPr>
          <w:rFonts w:ascii="Verdana" w:hAnsi="Verdana"/>
          <w:sz w:val="20"/>
          <w:szCs w:val="20"/>
          <w:lang w:val="es-ES_tradnl"/>
        </w:rPr>
        <w:t>21 de marzo de 2014,</w:t>
      </w:r>
      <w:r w:rsidRPr="00B27C76">
        <w:rPr>
          <w:rFonts w:ascii="Verdana" w:hAnsi="Verdana"/>
          <w:sz w:val="20"/>
          <w:szCs w:val="20"/>
          <w:lang w:val="es-ES_tradnl"/>
        </w:rPr>
        <w:t xml:space="preserve"> dentro del plazo de noventa días establecido en el artículo 67 de la </w:t>
      </w:r>
      <w:r w:rsidR="00350AB4" w:rsidRPr="00B27C76">
        <w:rPr>
          <w:rFonts w:ascii="Verdana" w:eastAsia="Times" w:hAnsi="Verdana"/>
          <w:sz w:val="20"/>
          <w:szCs w:val="20"/>
          <w:lang w:val="es-ES_tradnl"/>
        </w:rPr>
        <w:t>Convención para la presentación de una solicitud de interpretación de la Sentencia (</w:t>
      </w:r>
      <w:r w:rsidR="00350AB4" w:rsidRPr="00B27C76">
        <w:rPr>
          <w:rFonts w:ascii="Verdana" w:eastAsia="Times" w:hAnsi="Verdana"/>
          <w:i/>
          <w:sz w:val="20"/>
          <w:szCs w:val="20"/>
          <w:lang w:val="es-ES_tradnl"/>
        </w:rPr>
        <w:t>supra</w:t>
      </w:r>
      <w:r w:rsidR="00350AB4" w:rsidRPr="00B27C76">
        <w:rPr>
          <w:rFonts w:ascii="Verdana" w:eastAsia="Times" w:hAnsi="Verdana"/>
          <w:sz w:val="20"/>
          <w:szCs w:val="20"/>
          <w:lang w:val="es-ES_tradnl"/>
        </w:rPr>
        <w:t xml:space="preserve"> </w:t>
      </w:r>
      <w:proofErr w:type="spellStart"/>
      <w:r w:rsidR="00350AB4" w:rsidRPr="00B27C76">
        <w:rPr>
          <w:rFonts w:ascii="Verdana" w:eastAsia="Times" w:hAnsi="Verdana"/>
          <w:sz w:val="20"/>
          <w:szCs w:val="20"/>
          <w:lang w:val="es-ES_tradnl"/>
        </w:rPr>
        <w:t>párr</w:t>
      </w:r>
      <w:r w:rsidR="00A64FFB">
        <w:rPr>
          <w:rFonts w:ascii="Verdana" w:eastAsia="Times" w:hAnsi="Verdana"/>
          <w:sz w:val="20"/>
          <w:szCs w:val="20"/>
          <w:lang w:val="es-ES_tradnl"/>
        </w:rPr>
        <w:t>s</w:t>
      </w:r>
      <w:proofErr w:type="spellEnd"/>
      <w:r w:rsidR="00350AB4" w:rsidRPr="00B27C76">
        <w:rPr>
          <w:rFonts w:ascii="Verdana" w:eastAsia="Times" w:hAnsi="Verdana"/>
          <w:sz w:val="20"/>
          <w:szCs w:val="20"/>
          <w:lang w:val="es-ES_tradnl"/>
        </w:rPr>
        <w:t>.</w:t>
      </w:r>
      <w:r w:rsidR="00795C6E" w:rsidRPr="00B27C76">
        <w:rPr>
          <w:rFonts w:ascii="Verdana" w:eastAsia="Times" w:hAnsi="Verdana"/>
          <w:sz w:val="20"/>
          <w:szCs w:val="20"/>
          <w:lang w:val="es-ES_tradnl"/>
        </w:rPr>
        <w:t xml:space="preserve"> </w:t>
      </w:r>
      <w:r w:rsidR="00C62C4C" w:rsidRPr="00B27C76">
        <w:rPr>
          <w:rFonts w:ascii="Verdana" w:eastAsia="Times" w:hAnsi="Verdana"/>
          <w:sz w:val="20"/>
          <w:szCs w:val="20"/>
          <w:lang w:val="es-ES_tradnl"/>
        </w:rPr>
        <w:fldChar w:fldCharType="begin"/>
      </w:r>
      <w:r w:rsidR="00350AB4" w:rsidRPr="00B27C76">
        <w:rPr>
          <w:rFonts w:ascii="Verdana" w:eastAsia="Times" w:hAnsi="Verdana"/>
          <w:sz w:val="20"/>
          <w:szCs w:val="20"/>
          <w:lang w:val="es-ES_tradnl"/>
        </w:rPr>
        <w:instrText xml:space="preserve"> REF _Ref395083029 \r \h </w:instrText>
      </w:r>
      <w:r w:rsidR="00C62C4C" w:rsidRPr="00B27C76">
        <w:rPr>
          <w:rFonts w:ascii="Verdana" w:eastAsia="Times" w:hAnsi="Verdana"/>
          <w:sz w:val="20"/>
          <w:szCs w:val="20"/>
          <w:lang w:val="es-ES_tradnl"/>
        </w:rPr>
      </w:r>
      <w:r w:rsidR="00C62C4C" w:rsidRPr="00B27C76">
        <w:rPr>
          <w:rFonts w:ascii="Verdana" w:eastAsia="Times" w:hAnsi="Verdana"/>
          <w:sz w:val="20"/>
          <w:szCs w:val="20"/>
          <w:lang w:val="es-ES_tradnl"/>
        </w:rPr>
        <w:fldChar w:fldCharType="separate"/>
      </w:r>
      <w:r w:rsidR="002D145C">
        <w:rPr>
          <w:rFonts w:ascii="Verdana" w:eastAsia="Times" w:hAnsi="Verdana"/>
          <w:sz w:val="20"/>
          <w:szCs w:val="20"/>
          <w:lang w:val="es-ES_tradnl"/>
        </w:rPr>
        <w:t>2</w:t>
      </w:r>
      <w:r w:rsidR="00C62C4C" w:rsidRPr="00B27C76">
        <w:rPr>
          <w:rFonts w:ascii="Verdana" w:eastAsia="Times" w:hAnsi="Verdana"/>
          <w:sz w:val="20"/>
          <w:szCs w:val="20"/>
          <w:lang w:val="es-ES_tradnl"/>
        </w:rPr>
        <w:fldChar w:fldCharType="end"/>
      </w:r>
      <w:r w:rsidR="00350AB4" w:rsidRPr="00B27C76">
        <w:rPr>
          <w:rFonts w:ascii="Verdana" w:eastAsia="Times" w:hAnsi="Verdana"/>
          <w:sz w:val="20"/>
          <w:szCs w:val="20"/>
          <w:lang w:val="es-ES_tradnl"/>
        </w:rPr>
        <w:t xml:space="preserve"> y </w:t>
      </w:r>
      <w:r w:rsidR="00C62C4C" w:rsidRPr="00B27C76">
        <w:rPr>
          <w:rFonts w:ascii="Verdana" w:eastAsia="Times" w:hAnsi="Verdana"/>
          <w:sz w:val="20"/>
          <w:szCs w:val="20"/>
          <w:lang w:val="es-ES_tradnl"/>
        </w:rPr>
        <w:fldChar w:fldCharType="begin"/>
      </w:r>
      <w:r w:rsidR="00350AB4" w:rsidRPr="00B27C76">
        <w:rPr>
          <w:rFonts w:ascii="Verdana" w:eastAsia="Times" w:hAnsi="Verdana"/>
          <w:sz w:val="20"/>
          <w:szCs w:val="20"/>
          <w:lang w:val="es-ES_tradnl"/>
        </w:rPr>
        <w:instrText xml:space="preserve"> REF _Ref395083031 \r \h </w:instrText>
      </w:r>
      <w:r w:rsidR="00C62C4C" w:rsidRPr="00B27C76">
        <w:rPr>
          <w:rFonts w:ascii="Verdana" w:eastAsia="Times" w:hAnsi="Verdana"/>
          <w:sz w:val="20"/>
          <w:szCs w:val="20"/>
          <w:lang w:val="es-ES_tradnl"/>
        </w:rPr>
      </w:r>
      <w:r w:rsidR="00C62C4C" w:rsidRPr="00B27C76">
        <w:rPr>
          <w:rFonts w:ascii="Verdana" w:eastAsia="Times" w:hAnsi="Verdana"/>
          <w:sz w:val="20"/>
          <w:szCs w:val="20"/>
          <w:lang w:val="es-ES_tradnl"/>
        </w:rPr>
        <w:fldChar w:fldCharType="separate"/>
      </w:r>
      <w:r w:rsidR="002D145C">
        <w:rPr>
          <w:rFonts w:ascii="Verdana" w:eastAsia="Times" w:hAnsi="Verdana"/>
          <w:sz w:val="20"/>
          <w:szCs w:val="20"/>
          <w:lang w:val="es-ES_tradnl"/>
        </w:rPr>
        <w:t>3</w:t>
      </w:r>
      <w:r w:rsidR="00C62C4C" w:rsidRPr="00B27C76">
        <w:rPr>
          <w:rFonts w:ascii="Verdana" w:eastAsia="Times" w:hAnsi="Verdana"/>
          <w:sz w:val="20"/>
          <w:szCs w:val="20"/>
          <w:lang w:val="es-ES_tradnl"/>
        </w:rPr>
        <w:fldChar w:fldCharType="end"/>
      </w:r>
      <w:r w:rsidR="00350AB4" w:rsidRPr="00B27C76">
        <w:rPr>
          <w:rFonts w:ascii="Verdana" w:eastAsia="Times" w:hAnsi="Verdana"/>
          <w:sz w:val="20"/>
          <w:szCs w:val="20"/>
          <w:lang w:val="es-ES_tradnl"/>
        </w:rPr>
        <w:t>)</w:t>
      </w:r>
      <w:r w:rsidRPr="00B27C76">
        <w:rPr>
          <w:rFonts w:ascii="Verdana" w:hAnsi="Verdana"/>
          <w:sz w:val="20"/>
          <w:szCs w:val="20"/>
          <w:lang w:val="es-ES_tradnl"/>
        </w:rPr>
        <w:t xml:space="preserve">, ya que la misma fue notificada el 23 de diciembre de 2013. Por ende, las solicitudes resultan admisibles en lo que se refiere al plazo de su presentación. </w:t>
      </w:r>
    </w:p>
    <w:p w:rsidR="00E723EE" w:rsidRPr="00B27C76" w:rsidRDefault="00E723EE" w:rsidP="002F0CC2">
      <w:pPr>
        <w:tabs>
          <w:tab w:val="left" w:pos="567"/>
        </w:tabs>
        <w:autoSpaceDE w:val="0"/>
        <w:autoSpaceDN w:val="0"/>
        <w:adjustRightInd w:val="0"/>
        <w:spacing w:after="0" w:line="240" w:lineRule="auto"/>
        <w:jc w:val="both"/>
        <w:rPr>
          <w:rFonts w:eastAsia="Times"/>
          <w:szCs w:val="20"/>
          <w:lang w:val="es-ES_tradnl"/>
        </w:rPr>
      </w:pPr>
    </w:p>
    <w:p w:rsidR="002F0CC2" w:rsidRPr="00B27C76" w:rsidRDefault="00E723EE" w:rsidP="002F0CC2">
      <w:pPr>
        <w:tabs>
          <w:tab w:val="left" w:pos="0"/>
          <w:tab w:val="left" w:pos="567"/>
        </w:tabs>
        <w:autoSpaceDE w:val="0"/>
        <w:autoSpaceDN w:val="0"/>
        <w:adjustRightInd w:val="0"/>
        <w:spacing w:after="0" w:line="240" w:lineRule="auto"/>
        <w:jc w:val="center"/>
        <w:rPr>
          <w:rFonts w:cs="Verdana"/>
          <w:b/>
          <w:szCs w:val="20"/>
          <w:lang w:val="es-ES_tradnl"/>
        </w:rPr>
      </w:pPr>
      <w:r w:rsidRPr="00B27C76">
        <w:rPr>
          <w:rFonts w:cs="Verdana"/>
          <w:b/>
          <w:szCs w:val="20"/>
          <w:lang w:val="es-ES_tradnl"/>
        </w:rPr>
        <w:t>IV</w:t>
      </w:r>
    </w:p>
    <w:p w:rsidR="002F0CC2" w:rsidRPr="00B27C76" w:rsidRDefault="00E464E8" w:rsidP="00E464E8">
      <w:pPr>
        <w:pStyle w:val="Sinespaciado"/>
        <w:jc w:val="center"/>
        <w:rPr>
          <w:rFonts w:ascii="Verdana" w:hAnsi="Verdana" w:cs="Verdana"/>
          <w:b/>
          <w:sz w:val="20"/>
          <w:szCs w:val="20"/>
          <w:lang w:val="es-ES_tradnl"/>
        </w:rPr>
      </w:pPr>
      <w:r w:rsidRPr="00B27C76">
        <w:rPr>
          <w:rFonts w:ascii="Verdana" w:hAnsi="Verdana" w:cs="Verdana"/>
          <w:b/>
          <w:sz w:val="20"/>
          <w:szCs w:val="20"/>
          <w:lang w:val="es-ES_tradnl"/>
        </w:rPr>
        <w:t>ANÁLISIS DE LA PROCEDENCIA DE LA</w:t>
      </w:r>
      <w:r w:rsidR="00FB1AAA">
        <w:rPr>
          <w:rFonts w:ascii="Verdana" w:hAnsi="Verdana" w:cs="Verdana"/>
          <w:b/>
          <w:sz w:val="20"/>
          <w:szCs w:val="20"/>
          <w:lang w:val="es-ES_tradnl"/>
        </w:rPr>
        <w:t>S</w:t>
      </w:r>
      <w:r w:rsidRPr="00B27C76">
        <w:rPr>
          <w:rFonts w:ascii="Verdana" w:hAnsi="Verdana" w:cs="Verdana"/>
          <w:b/>
          <w:sz w:val="20"/>
          <w:szCs w:val="20"/>
          <w:lang w:val="es-ES_tradnl"/>
        </w:rPr>
        <w:t xml:space="preserve"> SOLICITUD</w:t>
      </w:r>
      <w:r w:rsidR="00FB1AAA">
        <w:rPr>
          <w:rFonts w:ascii="Verdana" w:hAnsi="Verdana" w:cs="Verdana"/>
          <w:b/>
          <w:sz w:val="20"/>
          <w:szCs w:val="20"/>
          <w:lang w:val="es-ES_tradnl"/>
        </w:rPr>
        <w:t>ES</w:t>
      </w:r>
      <w:r w:rsidRPr="00B27C76">
        <w:rPr>
          <w:rFonts w:ascii="Verdana" w:hAnsi="Verdana" w:cs="Verdana"/>
          <w:b/>
          <w:sz w:val="20"/>
          <w:szCs w:val="20"/>
          <w:lang w:val="es-ES_tradnl"/>
        </w:rPr>
        <w:t xml:space="preserve"> DE INTERPRETACIÓN </w:t>
      </w:r>
    </w:p>
    <w:p w:rsidR="002F0CC2" w:rsidRPr="00B27C76" w:rsidRDefault="002F0CC2" w:rsidP="002F0CC2">
      <w:pPr>
        <w:tabs>
          <w:tab w:val="left" w:pos="567"/>
        </w:tabs>
        <w:autoSpaceDE w:val="0"/>
        <w:autoSpaceDN w:val="0"/>
        <w:adjustRightInd w:val="0"/>
        <w:spacing w:after="0" w:line="240" w:lineRule="auto"/>
        <w:jc w:val="both"/>
        <w:rPr>
          <w:rFonts w:eastAsia="Times"/>
          <w:bCs/>
          <w:szCs w:val="20"/>
          <w:lang w:val="es-ES_tradnl"/>
        </w:rPr>
      </w:pPr>
    </w:p>
    <w:p w:rsidR="00E464E8" w:rsidRPr="00B27C76" w:rsidRDefault="00E464E8" w:rsidP="00E464E8">
      <w:pPr>
        <w:numPr>
          <w:ilvl w:val="0"/>
          <w:numId w:val="1"/>
        </w:numPr>
        <w:tabs>
          <w:tab w:val="left" w:pos="567"/>
          <w:tab w:val="num" w:pos="720"/>
        </w:tabs>
        <w:autoSpaceDE w:val="0"/>
        <w:autoSpaceDN w:val="0"/>
        <w:adjustRightInd w:val="0"/>
        <w:spacing w:after="0" w:line="240" w:lineRule="auto"/>
        <w:jc w:val="both"/>
        <w:rPr>
          <w:rFonts w:eastAsia="Times"/>
          <w:bCs/>
          <w:szCs w:val="20"/>
          <w:lang w:val="es-ES_tradnl"/>
        </w:rPr>
      </w:pPr>
      <w:r w:rsidRPr="00B27C76">
        <w:rPr>
          <w:rFonts w:eastAsia="Times"/>
          <w:szCs w:val="20"/>
          <w:lang w:val="es-ES_tradnl"/>
        </w:rPr>
        <w:t>A continuación el Tribunal analizará la</w:t>
      </w:r>
      <w:r w:rsidR="00A64FFB">
        <w:rPr>
          <w:rFonts w:eastAsia="Times"/>
          <w:szCs w:val="20"/>
          <w:lang w:val="es-ES_tradnl"/>
        </w:rPr>
        <w:t>s</w:t>
      </w:r>
      <w:r w:rsidRPr="00B27C76">
        <w:rPr>
          <w:rFonts w:eastAsia="Times"/>
          <w:szCs w:val="20"/>
          <w:lang w:val="es-ES_tradnl"/>
        </w:rPr>
        <w:t xml:space="preserve"> solicitud</w:t>
      </w:r>
      <w:r w:rsidR="00A64FFB">
        <w:rPr>
          <w:rFonts w:eastAsia="Times"/>
          <w:szCs w:val="20"/>
          <w:lang w:val="es-ES_tradnl"/>
        </w:rPr>
        <w:t>es</w:t>
      </w:r>
      <w:r w:rsidRPr="00B27C76">
        <w:rPr>
          <w:rFonts w:eastAsia="Times"/>
          <w:szCs w:val="20"/>
          <w:lang w:val="es-ES_tradnl"/>
        </w:rPr>
        <w:t xml:space="preserve"> </w:t>
      </w:r>
      <w:r w:rsidR="0030682B" w:rsidRPr="00B27C76">
        <w:rPr>
          <w:rFonts w:eastAsia="Times"/>
          <w:szCs w:val="20"/>
          <w:lang w:val="es-ES_tradnl"/>
        </w:rPr>
        <w:t xml:space="preserve">de la representante y </w:t>
      </w:r>
      <w:r w:rsidRPr="00B27C76">
        <w:rPr>
          <w:rFonts w:eastAsia="Times"/>
          <w:szCs w:val="20"/>
          <w:lang w:val="es-ES_tradnl"/>
        </w:rPr>
        <w:t xml:space="preserve">del Estado para determinar si, de acuerdo a la normativa y a los estándares desarrollados en su jurisprudencia, procede aclarar el sentido o alcance de algún punto de la Sentencia. </w:t>
      </w:r>
    </w:p>
    <w:p w:rsidR="00082515" w:rsidRDefault="00082515" w:rsidP="00082515">
      <w:pPr>
        <w:tabs>
          <w:tab w:val="left" w:pos="567"/>
        </w:tabs>
        <w:spacing w:after="0" w:line="240" w:lineRule="auto"/>
        <w:jc w:val="both"/>
        <w:rPr>
          <w:rFonts w:eastAsia="Times"/>
          <w:szCs w:val="20"/>
          <w:lang w:val="es-ES_tradnl"/>
        </w:rPr>
      </w:pPr>
    </w:p>
    <w:p w:rsidR="00C10360" w:rsidRPr="002A2C18" w:rsidRDefault="00C10360" w:rsidP="002E76B8">
      <w:pPr>
        <w:numPr>
          <w:ilvl w:val="0"/>
          <w:numId w:val="1"/>
        </w:numPr>
        <w:tabs>
          <w:tab w:val="clear" w:pos="1247"/>
          <w:tab w:val="num" w:pos="567"/>
        </w:tabs>
        <w:spacing w:after="0" w:line="240" w:lineRule="auto"/>
        <w:jc w:val="both"/>
      </w:pPr>
      <w:bookmarkStart w:id="13" w:name="_Ref392082429"/>
      <w:r w:rsidRPr="002A2C18">
        <w:t>Para analizar la procedencia de la</w:t>
      </w:r>
      <w:r>
        <w:t>s solicitudes de interpretación sometidas en el presente caso</w:t>
      </w:r>
      <w:r w:rsidRPr="002A2C18">
        <w:t xml:space="preserve">, </w:t>
      </w:r>
      <w:r>
        <w:t>la Corte</w:t>
      </w:r>
      <w:r w:rsidRPr="002A2C18">
        <w:t xml:space="preserve"> toma en consideración su jurisprudencia constante, claramente sustentada en el ordenamiento aplicable, en cuanto a que una solicitud de interpretación de sentencia no puede utilizarse como medio de impugnación de la decisión cuya interpretación se requiere. Dicha solicitud tiene como objeto, exclusivamente, determinar el sentido de un fallo cuando alguna de las partes sostiene que el texto de sus puntos resolutivos o de sus consideraciones carece de claridad o precisión, siempre y cuando esas consideraciones incidan en dicha parte resolutiva</w:t>
      </w:r>
      <w:r w:rsidRPr="002A2C18">
        <w:rPr>
          <w:rStyle w:val="Refdenotaalpie"/>
        </w:rPr>
        <w:footnoteReference w:id="3"/>
      </w:r>
      <w:r w:rsidRPr="002A2C18">
        <w:t xml:space="preserve">. Por lo tanto, no se puede </w:t>
      </w:r>
      <w:r>
        <w:t>solicitar</w:t>
      </w:r>
      <w:r w:rsidRPr="002A2C18">
        <w:t xml:space="preserve"> la modificación o anulación de la sentencia respectiva a través de una solicitud de interpretación</w:t>
      </w:r>
      <w:r w:rsidRPr="002A2C18">
        <w:rPr>
          <w:rStyle w:val="Refdenotaalpie"/>
        </w:rPr>
        <w:footnoteReference w:id="4"/>
      </w:r>
      <w:r w:rsidRPr="002A2C18">
        <w:t>.</w:t>
      </w:r>
      <w:bookmarkEnd w:id="13"/>
    </w:p>
    <w:p w:rsidR="00C10360" w:rsidRPr="00C10360" w:rsidRDefault="00C10360" w:rsidP="00082515">
      <w:pPr>
        <w:tabs>
          <w:tab w:val="left" w:pos="567"/>
        </w:tabs>
        <w:spacing w:after="0" w:line="240" w:lineRule="auto"/>
        <w:jc w:val="both"/>
        <w:rPr>
          <w:rFonts w:eastAsia="Times"/>
          <w:szCs w:val="20"/>
        </w:rPr>
      </w:pPr>
    </w:p>
    <w:p w:rsidR="00C10360" w:rsidRDefault="00C10360" w:rsidP="00C10360">
      <w:pPr>
        <w:numPr>
          <w:ilvl w:val="0"/>
          <w:numId w:val="1"/>
        </w:numPr>
        <w:tabs>
          <w:tab w:val="clear" w:pos="1247"/>
          <w:tab w:val="num" w:pos="720"/>
        </w:tabs>
        <w:spacing w:after="0" w:line="240" w:lineRule="auto"/>
        <w:jc w:val="both"/>
      </w:pPr>
      <w:bookmarkStart w:id="14" w:name="_Ref406488555"/>
      <w:r w:rsidRPr="002A2C18">
        <w:t xml:space="preserve">Adicionalmente, </w:t>
      </w:r>
      <w:r>
        <w:t>la Corte</w:t>
      </w:r>
      <w:r w:rsidRPr="002A2C18">
        <w:t xml:space="preserve"> ha sostenido la improcedencia de utilizar una solicitud de interpretación para someter cuestiones de hecho y de derecho que ya fueron </w:t>
      </w:r>
      <w:r w:rsidRPr="002A2C18">
        <w:lastRenderedPageBreak/>
        <w:t>planteadas en su oportunidad procesal y sobre las cuales la Corte ya adoptó una decisión</w:t>
      </w:r>
      <w:r w:rsidRPr="002A2C18">
        <w:rPr>
          <w:rStyle w:val="Refdenotaalpie"/>
        </w:rPr>
        <w:footnoteReference w:id="5"/>
      </w:r>
      <w:r w:rsidRPr="002A2C18">
        <w:t xml:space="preserve">, así como para pretender que </w:t>
      </w:r>
      <w:r>
        <w:t>la Corte</w:t>
      </w:r>
      <w:r w:rsidRPr="002A2C18">
        <w:t xml:space="preserve"> valore nuevamente cuestiones que ya han sido resueltas por éste en su Sentencia</w:t>
      </w:r>
      <w:r w:rsidRPr="002A2C18">
        <w:rPr>
          <w:rStyle w:val="Refdenotaalpie"/>
        </w:rPr>
        <w:footnoteReference w:id="6"/>
      </w:r>
      <w:r w:rsidRPr="002A2C18">
        <w:t>. De igual manera, por esta vía tampoco se puede intentar que se amplíe el alcance de una medida de reparación ordenada oportunamente</w:t>
      </w:r>
      <w:r w:rsidRPr="002A2C18">
        <w:rPr>
          <w:rStyle w:val="Refdenotaalpie"/>
        </w:rPr>
        <w:footnoteReference w:id="7"/>
      </w:r>
      <w:r w:rsidRPr="002A2C18">
        <w:t>. Por otro lado, la Corte también ha señalado que la formulación de situaciones abstractas o hipotéticas no tiene relación alguna con el objeto de una solicitud de interpretación de sentencia</w:t>
      </w:r>
      <w:r w:rsidRPr="002A2C18">
        <w:rPr>
          <w:rStyle w:val="Refdenotaalpie"/>
        </w:rPr>
        <w:footnoteReference w:id="8"/>
      </w:r>
      <w:r w:rsidRPr="002A2C18">
        <w:t>.</w:t>
      </w:r>
      <w:bookmarkEnd w:id="14"/>
    </w:p>
    <w:p w:rsidR="00C10360" w:rsidRPr="002A2C18" w:rsidRDefault="00C10360" w:rsidP="00C10360">
      <w:pPr>
        <w:spacing w:after="0" w:line="240" w:lineRule="auto"/>
        <w:jc w:val="both"/>
      </w:pPr>
    </w:p>
    <w:p w:rsidR="00DC61D1" w:rsidRPr="00FE1025" w:rsidRDefault="00C10360" w:rsidP="00DC61D1">
      <w:pPr>
        <w:numPr>
          <w:ilvl w:val="0"/>
          <w:numId w:val="1"/>
        </w:numPr>
        <w:tabs>
          <w:tab w:val="left" w:pos="567"/>
          <w:tab w:val="num" w:pos="720"/>
        </w:tabs>
        <w:spacing w:after="0" w:line="240" w:lineRule="auto"/>
        <w:jc w:val="both"/>
        <w:rPr>
          <w:rFonts w:eastAsia="Times"/>
          <w:szCs w:val="20"/>
          <w:lang w:val="es-ES_tradnl"/>
        </w:rPr>
      </w:pPr>
      <w:r>
        <w:rPr>
          <w:rFonts w:cs="Arial"/>
          <w:szCs w:val="20"/>
          <w:lang w:val="es-ES_tradnl"/>
        </w:rPr>
        <w:t>Bajo este entendido, la Corte examinará</w:t>
      </w:r>
      <w:r w:rsidR="00DC61D1">
        <w:rPr>
          <w:rFonts w:cs="Arial"/>
          <w:szCs w:val="20"/>
          <w:lang w:val="es-ES_tradnl"/>
        </w:rPr>
        <w:t xml:space="preserve"> las solicitudes de interpretación planteadas (</w:t>
      </w:r>
      <w:r w:rsidR="00DC61D1">
        <w:rPr>
          <w:rFonts w:cs="Arial"/>
          <w:i/>
          <w:szCs w:val="20"/>
          <w:lang w:val="es-ES_tradnl"/>
        </w:rPr>
        <w:t xml:space="preserve">supra </w:t>
      </w:r>
      <w:proofErr w:type="spellStart"/>
      <w:r w:rsidR="00DC61D1">
        <w:rPr>
          <w:rFonts w:cs="Arial"/>
          <w:szCs w:val="20"/>
          <w:lang w:val="es-ES_tradnl"/>
        </w:rPr>
        <w:t>párrs</w:t>
      </w:r>
      <w:proofErr w:type="spellEnd"/>
      <w:r w:rsidR="00DC61D1">
        <w:rPr>
          <w:rFonts w:cs="Arial"/>
          <w:szCs w:val="20"/>
          <w:lang w:val="es-ES_tradnl"/>
        </w:rPr>
        <w:t xml:space="preserve">. </w:t>
      </w:r>
      <w:r w:rsidR="00C62C4C">
        <w:rPr>
          <w:rFonts w:cs="Arial"/>
          <w:szCs w:val="20"/>
          <w:lang w:val="es-ES_tradnl"/>
        </w:rPr>
        <w:fldChar w:fldCharType="begin"/>
      </w:r>
      <w:r w:rsidR="00DC61D1">
        <w:rPr>
          <w:rFonts w:cs="Arial"/>
          <w:szCs w:val="20"/>
          <w:lang w:val="es-ES_tradnl"/>
        </w:rPr>
        <w:instrText xml:space="preserve"> REF _Ref403060836 \r \h </w:instrText>
      </w:r>
      <w:r w:rsidR="00C62C4C">
        <w:rPr>
          <w:rFonts w:cs="Arial"/>
          <w:szCs w:val="20"/>
          <w:lang w:val="es-ES_tradnl"/>
        </w:rPr>
      </w:r>
      <w:r w:rsidR="00C62C4C">
        <w:rPr>
          <w:rFonts w:cs="Arial"/>
          <w:szCs w:val="20"/>
          <w:lang w:val="es-ES_tradnl"/>
        </w:rPr>
        <w:fldChar w:fldCharType="separate"/>
      </w:r>
      <w:r w:rsidR="002D145C">
        <w:rPr>
          <w:rFonts w:cs="Arial"/>
          <w:szCs w:val="20"/>
          <w:lang w:val="es-ES_tradnl"/>
        </w:rPr>
        <w:t>2</w:t>
      </w:r>
      <w:r w:rsidR="00C62C4C">
        <w:rPr>
          <w:rFonts w:cs="Arial"/>
          <w:szCs w:val="20"/>
          <w:lang w:val="es-ES_tradnl"/>
        </w:rPr>
        <w:fldChar w:fldCharType="end"/>
      </w:r>
      <w:r w:rsidR="00DC61D1">
        <w:rPr>
          <w:rFonts w:cs="Arial"/>
          <w:szCs w:val="20"/>
          <w:lang w:val="es-ES_tradnl"/>
        </w:rPr>
        <w:t xml:space="preserve"> y </w:t>
      </w:r>
      <w:r w:rsidR="00C62C4C">
        <w:rPr>
          <w:rFonts w:cs="Arial"/>
          <w:szCs w:val="20"/>
          <w:lang w:val="es-ES_tradnl"/>
        </w:rPr>
        <w:fldChar w:fldCharType="begin"/>
      </w:r>
      <w:r w:rsidR="00DC61D1">
        <w:rPr>
          <w:rFonts w:cs="Arial"/>
          <w:szCs w:val="20"/>
          <w:lang w:val="es-ES_tradnl"/>
        </w:rPr>
        <w:instrText xml:space="preserve"> REF _Ref403060837 \r \h </w:instrText>
      </w:r>
      <w:r w:rsidR="00C62C4C">
        <w:rPr>
          <w:rFonts w:cs="Arial"/>
          <w:szCs w:val="20"/>
          <w:lang w:val="es-ES_tradnl"/>
        </w:rPr>
      </w:r>
      <w:r w:rsidR="00C62C4C">
        <w:rPr>
          <w:rFonts w:cs="Arial"/>
          <w:szCs w:val="20"/>
          <w:lang w:val="es-ES_tradnl"/>
        </w:rPr>
        <w:fldChar w:fldCharType="separate"/>
      </w:r>
      <w:r w:rsidR="002D145C">
        <w:rPr>
          <w:rFonts w:cs="Arial"/>
          <w:szCs w:val="20"/>
          <w:lang w:val="es-ES_tradnl"/>
        </w:rPr>
        <w:t>3</w:t>
      </w:r>
      <w:r w:rsidR="00C62C4C">
        <w:rPr>
          <w:rFonts w:cs="Arial"/>
          <w:szCs w:val="20"/>
          <w:lang w:val="es-ES_tradnl"/>
        </w:rPr>
        <w:fldChar w:fldCharType="end"/>
      </w:r>
      <w:r w:rsidR="00DC61D1">
        <w:rPr>
          <w:rFonts w:cs="Arial"/>
          <w:szCs w:val="20"/>
          <w:lang w:val="es-ES_tradnl"/>
        </w:rPr>
        <w:t xml:space="preserve">), así como los alegatos presentados al respecto por las partes </w:t>
      </w:r>
      <w:r w:rsidR="00DC61D1" w:rsidRPr="002A2C18">
        <w:t>y la Comisión, respectivamente,</w:t>
      </w:r>
      <w:r w:rsidR="00DC61D1">
        <w:t xml:space="preserve"> y</w:t>
      </w:r>
      <w:r w:rsidR="00DC61D1" w:rsidRPr="002A2C18">
        <w:t xml:space="preserve"> determinará la procedencia de</w:t>
      </w:r>
      <w:r w:rsidR="00DC61D1">
        <w:t xml:space="preserve"> </w:t>
      </w:r>
      <w:r w:rsidR="00DC61D1" w:rsidRPr="002A2C18">
        <w:t>l</w:t>
      </w:r>
      <w:r w:rsidR="00DC61D1">
        <w:t>as</w:t>
      </w:r>
      <w:r w:rsidR="00DC61D1" w:rsidRPr="002A2C18">
        <w:t xml:space="preserve"> mism</w:t>
      </w:r>
      <w:r w:rsidR="00DC61D1">
        <w:t>as.</w:t>
      </w:r>
      <w:r w:rsidR="00DC61D1">
        <w:rPr>
          <w:rFonts w:eastAsia="Times"/>
          <w:szCs w:val="20"/>
        </w:rPr>
        <w:t xml:space="preserve"> </w:t>
      </w:r>
      <w:r w:rsidR="00DC61D1">
        <w:t>E</w:t>
      </w:r>
      <w:r w:rsidR="00DC61D1" w:rsidRPr="002A2C18">
        <w:t xml:space="preserve">n caso de </w:t>
      </w:r>
      <w:r w:rsidR="00DC61D1">
        <w:t xml:space="preserve">determinarse </w:t>
      </w:r>
      <w:r w:rsidR="00DC61D1" w:rsidRPr="002A2C18">
        <w:t>proceden</w:t>
      </w:r>
      <w:r w:rsidR="00DC61D1">
        <w:t>te la respectiva solicitud</w:t>
      </w:r>
      <w:r w:rsidR="00DC61D1" w:rsidRPr="002A2C18">
        <w:t xml:space="preserve">, </w:t>
      </w:r>
      <w:r w:rsidR="00DC61D1">
        <w:t xml:space="preserve">este Tribunal </w:t>
      </w:r>
      <w:r w:rsidR="00DC61D1" w:rsidRPr="00DC61D1">
        <w:rPr>
          <w:rFonts w:eastAsia="Times New Roman"/>
        </w:rPr>
        <w:t xml:space="preserve">realizará las </w:t>
      </w:r>
      <w:r w:rsidR="00DC61D1" w:rsidRPr="00FE1025">
        <w:rPr>
          <w:rFonts w:eastAsia="Times New Roman"/>
        </w:rPr>
        <w:t>aclaraciones y precisiones pertinentes</w:t>
      </w:r>
      <w:r w:rsidR="00DC61D1" w:rsidRPr="00FE1025">
        <w:rPr>
          <w:rFonts w:eastAsia="MS Mincho"/>
        </w:rPr>
        <w:t xml:space="preserve"> a fin de coadyuvar a la efectiva implementación de las medidas de reparación ordenadas en la Sentencia, sin ampliar el alcance de las mismas. En esta línea, es pertinente recordar que en este supuesto simplemente se estaría aclarando la formulación de las consideraciones vertidas en la Sentencia, la cual es definitiva e inapelable (</w:t>
      </w:r>
      <w:r w:rsidR="00DC61D1" w:rsidRPr="00FE1025">
        <w:rPr>
          <w:rFonts w:eastAsia="MS Mincho"/>
          <w:i/>
        </w:rPr>
        <w:t>supra</w:t>
      </w:r>
      <w:r w:rsidR="00DC61D1" w:rsidRPr="00FE1025">
        <w:rPr>
          <w:rFonts w:eastAsia="MS Mincho"/>
        </w:rPr>
        <w:t xml:space="preserve"> párr.</w:t>
      </w:r>
      <w:r w:rsidR="0015158B">
        <w:t xml:space="preserve"> </w:t>
      </w:r>
      <w:r w:rsidR="00C62C4C">
        <w:fldChar w:fldCharType="begin"/>
      </w:r>
      <w:r w:rsidR="0015158B">
        <w:instrText xml:space="preserve"> REF _Ref406407984 \r \h </w:instrText>
      </w:r>
      <w:r w:rsidR="00C62C4C">
        <w:fldChar w:fldCharType="separate"/>
      </w:r>
      <w:r w:rsidR="002D145C">
        <w:t>9</w:t>
      </w:r>
      <w:r w:rsidR="00C62C4C">
        <w:fldChar w:fldCharType="end"/>
      </w:r>
      <w:r w:rsidR="00DC61D1" w:rsidRPr="00FE1025">
        <w:rPr>
          <w:rFonts w:eastAsia="MS Mincho"/>
        </w:rPr>
        <w:t>), y despojando las dudas sobre su original alcance.</w:t>
      </w:r>
    </w:p>
    <w:p w:rsidR="00A85935" w:rsidRPr="00FE1025" w:rsidRDefault="00A85935" w:rsidP="00A85935">
      <w:pPr>
        <w:tabs>
          <w:tab w:val="left" w:pos="567"/>
        </w:tabs>
        <w:spacing w:after="0" w:line="240" w:lineRule="auto"/>
        <w:jc w:val="both"/>
        <w:rPr>
          <w:rFonts w:eastAsia="Times"/>
          <w:szCs w:val="20"/>
          <w:lang w:val="es-ES_tradnl"/>
        </w:rPr>
      </w:pPr>
    </w:p>
    <w:p w:rsidR="006F7AFA" w:rsidRPr="00FE1025" w:rsidRDefault="00A85935" w:rsidP="00ED534A">
      <w:pPr>
        <w:numPr>
          <w:ilvl w:val="0"/>
          <w:numId w:val="1"/>
        </w:numPr>
        <w:tabs>
          <w:tab w:val="left" w:pos="567"/>
          <w:tab w:val="num" w:pos="720"/>
          <w:tab w:val="left" w:pos="3969"/>
        </w:tabs>
        <w:spacing w:after="0" w:line="240" w:lineRule="auto"/>
        <w:jc w:val="both"/>
        <w:rPr>
          <w:rFonts w:eastAsia="Times"/>
          <w:szCs w:val="20"/>
          <w:lang w:val="es-ES_tradnl"/>
        </w:rPr>
      </w:pPr>
      <w:r w:rsidRPr="00FE1025">
        <w:t xml:space="preserve">Seguidamente, la Corte </w:t>
      </w:r>
      <w:r w:rsidRPr="00FE1025">
        <w:rPr>
          <w:rFonts w:cs="Arial"/>
          <w:szCs w:val="20"/>
          <w:lang w:val="es-ES_tradnl"/>
        </w:rPr>
        <w:t>procederá a analizar los argumentos presentados por la representante y el Estado en el marco de sus solicitudes de interpretación</w:t>
      </w:r>
      <w:r w:rsidRPr="00FE1025">
        <w:t>, en el siguiente orden:</w:t>
      </w:r>
      <w:bookmarkStart w:id="15" w:name="_Ref366774241"/>
      <w:r w:rsidR="00082515" w:rsidRPr="00FE1025">
        <w:rPr>
          <w:rFonts w:cs="Arial"/>
          <w:szCs w:val="20"/>
          <w:lang w:val="es-ES_tradnl"/>
        </w:rPr>
        <w:t xml:space="preserve"> </w:t>
      </w:r>
      <w:r w:rsidR="00561357" w:rsidRPr="00FE1025">
        <w:rPr>
          <w:rFonts w:cs="Arial"/>
          <w:szCs w:val="20"/>
          <w:lang w:val="es-ES_tradnl"/>
        </w:rPr>
        <w:t>(</w:t>
      </w:r>
      <w:r w:rsidR="000E1A8F" w:rsidRPr="00FE1025">
        <w:rPr>
          <w:rFonts w:cs="Arial"/>
          <w:szCs w:val="20"/>
          <w:lang w:val="es-ES_tradnl"/>
        </w:rPr>
        <w:t>A</w:t>
      </w:r>
      <w:r w:rsidR="00561357" w:rsidRPr="00FE1025">
        <w:rPr>
          <w:rFonts w:cs="Arial"/>
          <w:szCs w:val="20"/>
          <w:lang w:val="es-ES_tradnl"/>
        </w:rPr>
        <w:t xml:space="preserve">) la calificación jurídica de los maltratos a los cuales fue sometida la señora J.; </w:t>
      </w:r>
      <w:r w:rsidR="000E1A8F" w:rsidRPr="00FE1025">
        <w:rPr>
          <w:rFonts w:cs="Arial"/>
          <w:szCs w:val="20"/>
          <w:lang w:val="es-ES_tradnl"/>
        </w:rPr>
        <w:t xml:space="preserve">(B) los efectos legales de la afectación de </w:t>
      </w:r>
      <w:r w:rsidR="0015158B">
        <w:rPr>
          <w:rFonts w:cs="Arial"/>
          <w:szCs w:val="20"/>
          <w:lang w:val="es-ES_tradnl"/>
        </w:rPr>
        <w:t>der</w:t>
      </w:r>
      <w:r w:rsidR="0015158B" w:rsidRPr="00FE1025">
        <w:rPr>
          <w:rFonts w:cs="Arial"/>
          <w:szCs w:val="20"/>
          <w:lang w:val="es-ES_tradnl"/>
        </w:rPr>
        <w:t xml:space="preserve">echos </w:t>
      </w:r>
      <w:r w:rsidR="00CF7B79">
        <w:rPr>
          <w:rFonts w:cs="Arial"/>
          <w:szCs w:val="20"/>
          <w:lang w:val="es-ES_tradnl"/>
        </w:rPr>
        <w:t>mencionad</w:t>
      </w:r>
      <w:r w:rsidR="007527F5">
        <w:rPr>
          <w:rFonts w:cs="Arial"/>
          <w:szCs w:val="20"/>
          <w:lang w:val="es-ES_tradnl"/>
        </w:rPr>
        <w:t>a</w:t>
      </w:r>
      <w:r w:rsidR="00CF7B79">
        <w:rPr>
          <w:rFonts w:cs="Arial"/>
          <w:szCs w:val="20"/>
          <w:lang w:val="es-ES_tradnl"/>
        </w:rPr>
        <w:t xml:space="preserve"> </w:t>
      </w:r>
      <w:r w:rsidR="000E1A8F" w:rsidRPr="00FE1025">
        <w:rPr>
          <w:rFonts w:cs="Arial"/>
          <w:szCs w:val="20"/>
          <w:lang w:val="es-ES_tradnl"/>
        </w:rPr>
        <w:t>en el párrafo 227</w:t>
      </w:r>
      <w:r w:rsidR="0008702B">
        <w:rPr>
          <w:rFonts w:cs="Arial"/>
          <w:szCs w:val="20"/>
          <w:lang w:val="es-ES_tradnl"/>
        </w:rPr>
        <w:t xml:space="preserve"> de la Sentencia</w:t>
      </w:r>
      <w:r w:rsidR="000E1A8F" w:rsidRPr="00FE1025">
        <w:rPr>
          <w:rFonts w:cs="Arial"/>
          <w:szCs w:val="20"/>
          <w:lang w:val="es-ES_tradnl"/>
        </w:rPr>
        <w:t xml:space="preserve">; </w:t>
      </w:r>
      <w:r w:rsidR="00561357" w:rsidRPr="00FE1025">
        <w:rPr>
          <w:rFonts w:cs="Arial"/>
          <w:szCs w:val="20"/>
          <w:lang w:val="es-ES_tradnl"/>
        </w:rPr>
        <w:t>(</w:t>
      </w:r>
      <w:r w:rsidRPr="00FE1025">
        <w:rPr>
          <w:rFonts w:cs="Arial"/>
          <w:szCs w:val="20"/>
          <w:lang w:val="es-ES_tradnl"/>
        </w:rPr>
        <w:t>C</w:t>
      </w:r>
      <w:r w:rsidR="00561357" w:rsidRPr="00FE1025">
        <w:rPr>
          <w:rFonts w:cs="Arial"/>
          <w:szCs w:val="20"/>
          <w:lang w:val="es-ES_tradnl"/>
        </w:rPr>
        <w:t>)</w:t>
      </w:r>
      <w:r w:rsidR="006F7AFA" w:rsidRPr="00FE1025">
        <w:rPr>
          <w:rFonts w:cs="Arial"/>
          <w:szCs w:val="20"/>
          <w:lang w:val="es-ES_tradnl"/>
        </w:rPr>
        <w:t xml:space="preserve"> los criterios y la metodología de determinación de las sumas fijadas como costas</w:t>
      </w:r>
      <w:bookmarkEnd w:id="15"/>
      <w:r w:rsidR="0015158B">
        <w:rPr>
          <w:rFonts w:cs="Arial"/>
          <w:szCs w:val="20"/>
          <w:lang w:val="es-ES_tradnl"/>
        </w:rPr>
        <w:t xml:space="preserve"> y gastos</w:t>
      </w:r>
      <w:r w:rsidRPr="00FE1025">
        <w:rPr>
          <w:rFonts w:cs="Arial"/>
          <w:szCs w:val="20"/>
          <w:lang w:val="es-ES_tradnl"/>
        </w:rPr>
        <w:t xml:space="preserve">, y (D) </w:t>
      </w:r>
      <w:r w:rsidR="0008702B">
        <w:rPr>
          <w:rFonts w:cs="Arial"/>
          <w:szCs w:val="20"/>
          <w:lang w:val="es-ES_tradnl"/>
        </w:rPr>
        <w:t>la aplicación del artículo 76 del Reglamento de la Corte</w:t>
      </w:r>
      <w:r w:rsidR="00617FDF">
        <w:rPr>
          <w:rFonts w:cs="Arial"/>
          <w:szCs w:val="20"/>
          <w:lang w:val="es-ES_tradnl"/>
        </w:rPr>
        <w:t>.</w:t>
      </w:r>
    </w:p>
    <w:p w:rsidR="00561357" w:rsidRPr="00B27C76" w:rsidRDefault="00561357" w:rsidP="00350AB4">
      <w:pPr>
        <w:tabs>
          <w:tab w:val="left" w:pos="567"/>
        </w:tabs>
        <w:autoSpaceDE w:val="0"/>
        <w:autoSpaceDN w:val="0"/>
        <w:adjustRightInd w:val="0"/>
        <w:spacing w:after="0" w:line="240" w:lineRule="auto"/>
        <w:jc w:val="both"/>
        <w:rPr>
          <w:rFonts w:cs="Arial"/>
          <w:szCs w:val="20"/>
          <w:lang w:val="es-ES_tradnl"/>
        </w:rPr>
      </w:pPr>
    </w:p>
    <w:p w:rsidR="001C300E" w:rsidRPr="00B27C76" w:rsidRDefault="00561357" w:rsidP="001C300E">
      <w:pPr>
        <w:pStyle w:val="Prrafodelista"/>
        <w:numPr>
          <w:ilvl w:val="0"/>
          <w:numId w:val="4"/>
        </w:numPr>
        <w:tabs>
          <w:tab w:val="left" w:pos="567"/>
        </w:tabs>
        <w:autoSpaceDE w:val="0"/>
        <w:autoSpaceDN w:val="0"/>
        <w:adjustRightInd w:val="0"/>
        <w:spacing w:after="0" w:line="240" w:lineRule="auto"/>
        <w:jc w:val="both"/>
        <w:rPr>
          <w:rFonts w:cs="Arial"/>
          <w:b/>
          <w:szCs w:val="20"/>
          <w:lang w:val="es-ES_tradnl"/>
        </w:rPr>
      </w:pPr>
      <w:r w:rsidRPr="00B27C76">
        <w:rPr>
          <w:rFonts w:cs="Arial"/>
          <w:b/>
          <w:szCs w:val="20"/>
          <w:lang w:val="es-ES_tradnl"/>
        </w:rPr>
        <w:t>La c</w:t>
      </w:r>
      <w:r w:rsidR="00E464E8" w:rsidRPr="00B27C76">
        <w:rPr>
          <w:rFonts w:cs="Arial"/>
          <w:b/>
          <w:szCs w:val="20"/>
          <w:lang w:val="es-ES_tradnl"/>
        </w:rPr>
        <w:t xml:space="preserve">alificación jurídica de </w:t>
      </w:r>
      <w:r w:rsidRPr="00B27C76">
        <w:rPr>
          <w:rFonts w:cs="Arial"/>
          <w:b/>
          <w:szCs w:val="20"/>
          <w:lang w:val="es-ES_tradnl"/>
        </w:rPr>
        <w:t>los maltratos a los cuales fue sometida la señora J.</w:t>
      </w:r>
      <w:r w:rsidR="00E464E8" w:rsidRPr="00B27C76">
        <w:rPr>
          <w:rFonts w:cs="Arial"/>
          <w:b/>
          <w:szCs w:val="20"/>
          <w:lang w:val="es-ES_tradnl"/>
        </w:rPr>
        <w:t xml:space="preserve"> </w:t>
      </w:r>
    </w:p>
    <w:p w:rsidR="001C300E" w:rsidRPr="00B27C76" w:rsidRDefault="001C300E" w:rsidP="001C300E">
      <w:pPr>
        <w:tabs>
          <w:tab w:val="left" w:pos="567"/>
        </w:tabs>
        <w:autoSpaceDE w:val="0"/>
        <w:autoSpaceDN w:val="0"/>
        <w:adjustRightInd w:val="0"/>
        <w:spacing w:after="0" w:line="240" w:lineRule="auto"/>
        <w:jc w:val="both"/>
        <w:rPr>
          <w:rFonts w:cs="Arial"/>
          <w:b/>
          <w:szCs w:val="20"/>
          <w:lang w:val="es-ES_tradnl"/>
        </w:rPr>
      </w:pPr>
    </w:p>
    <w:p w:rsidR="001C300E" w:rsidRPr="00B27C76" w:rsidRDefault="001C300E" w:rsidP="001C300E">
      <w:pPr>
        <w:pStyle w:val="Prrafodelista"/>
        <w:tabs>
          <w:tab w:val="left" w:pos="567"/>
        </w:tabs>
        <w:autoSpaceDE w:val="0"/>
        <w:autoSpaceDN w:val="0"/>
        <w:adjustRightInd w:val="0"/>
        <w:spacing w:after="0" w:line="240" w:lineRule="auto"/>
        <w:jc w:val="both"/>
        <w:rPr>
          <w:rFonts w:cs="Arial"/>
          <w:i/>
          <w:szCs w:val="20"/>
          <w:lang w:val="es-ES_tradnl"/>
        </w:rPr>
      </w:pPr>
      <w:r w:rsidRPr="00B27C76">
        <w:rPr>
          <w:rFonts w:cs="Arial"/>
          <w:i/>
          <w:szCs w:val="20"/>
          <w:lang w:val="es-ES_tradnl"/>
        </w:rPr>
        <w:t>Argumentos de la Comisión y de las partes</w:t>
      </w:r>
    </w:p>
    <w:p w:rsidR="001C300E" w:rsidRPr="00B27C76" w:rsidRDefault="001C300E" w:rsidP="001C300E">
      <w:pPr>
        <w:pStyle w:val="Prrafodelista"/>
        <w:tabs>
          <w:tab w:val="left" w:pos="567"/>
        </w:tabs>
        <w:autoSpaceDE w:val="0"/>
        <w:autoSpaceDN w:val="0"/>
        <w:adjustRightInd w:val="0"/>
        <w:spacing w:after="0" w:line="240" w:lineRule="auto"/>
        <w:jc w:val="both"/>
        <w:rPr>
          <w:rFonts w:cs="Arial"/>
          <w:szCs w:val="20"/>
          <w:lang w:val="es-ES_tradnl"/>
        </w:rPr>
      </w:pPr>
    </w:p>
    <w:p w:rsidR="00A57311" w:rsidRPr="00B27C76" w:rsidRDefault="001C300E" w:rsidP="00E13FD3">
      <w:pPr>
        <w:numPr>
          <w:ilvl w:val="0"/>
          <w:numId w:val="1"/>
        </w:numPr>
        <w:tabs>
          <w:tab w:val="left" w:pos="567"/>
          <w:tab w:val="num" w:pos="720"/>
        </w:tabs>
        <w:autoSpaceDE w:val="0"/>
        <w:autoSpaceDN w:val="0"/>
        <w:adjustRightInd w:val="0"/>
        <w:spacing w:after="0" w:line="240" w:lineRule="auto"/>
        <w:jc w:val="both"/>
        <w:rPr>
          <w:rFonts w:eastAsiaTheme="minorHAnsi"/>
          <w:szCs w:val="20"/>
          <w:lang w:val="es-ES_tradnl"/>
        </w:rPr>
      </w:pPr>
      <w:r w:rsidRPr="00B27C76">
        <w:rPr>
          <w:rFonts w:eastAsia="Times"/>
          <w:szCs w:val="20"/>
          <w:lang w:val="es-ES_tradnl"/>
        </w:rPr>
        <w:t xml:space="preserve">El </w:t>
      </w:r>
      <w:r w:rsidRPr="00B27C76">
        <w:rPr>
          <w:rFonts w:eastAsia="Times"/>
          <w:b/>
          <w:i/>
          <w:szCs w:val="20"/>
          <w:lang w:val="es-ES_tradnl"/>
        </w:rPr>
        <w:t>Estado</w:t>
      </w:r>
      <w:r w:rsidRPr="00B27C76">
        <w:rPr>
          <w:rFonts w:eastAsia="Times"/>
          <w:b/>
          <w:szCs w:val="20"/>
          <w:lang w:val="es-ES_tradnl"/>
        </w:rPr>
        <w:t xml:space="preserve"> </w:t>
      </w:r>
      <w:r w:rsidR="00A57311" w:rsidRPr="00B27C76">
        <w:rPr>
          <w:rFonts w:eastAsia="Times"/>
          <w:szCs w:val="20"/>
          <w:lang w:val="es-ES_tradnl"/>
        </w:rPr>
        <w:t>señaló que</w:t>
      </w:r>
      <w:r w:rsidR="00A57311" w:rsidRPr="00B27C76">
        <w:rPr>
          <w:rFonts w:eastAsia="Times"/>
          <w:b/>
          <w:szCs w:val="20"/>
          <w:lang w:val="es-ES_tradnl"/>
        </w:rPr>
        <w:t xml:space="preserve"> </w:t>
      </w:r>
      <w:r w:rsidR="00A57311" w:rsidRPr="00B27C76">
        <w:rPr>
          <w:rFonts w:eastAsia="Times"/>
          <w:szCs w:val="20"/>
          <w:lang w:val="es-ES_tradnl"/>
        </w:rPr>
        <w:t>en los párrafos 357 a 368 de la Sentencia</w:t>
      </w:r>
      <w:r w:rsidR="00A57311" w:rsidRPr="00B27C76">
        <w:rPr>
          <w:rFonts w:eastAsia="Times"/>
          <w:b/>
          <w:szCs w:val="20"/>
          <w:lang w:val="es-ES_tradnl"/>
        </w:rPr>
        <w:t xml:space="preserve"> </w:t>
      </w:r>
      <w:r w:rsidR="00A57311" w:rsidRPr="00B27C76">
        <w:rPr>
          <w:rFonts w:eastAsia="Times"/>
          <w:szCs w:val="20"/>
          <w:lang w:val="es-ES_tradnl"/>
        </w:rPr>
        <w:t xml:space="preserve">la Corte no precisó específicamente </w:t>
      </w:r>
      <w:r w:rsidR="0068155E" w:rsidRPr="00B27C76">
        <w:rPr>
          <w:rFonts w:eastAsia="Times"/>
          <w:szCs w:val="20"/>
          <w:lang w:val="es-ES_tradnl"/>
        </w:rPr>
        <w:t xml:space="preserve">si </w:t>
      </w:r>
      <w:r w:rsidR="00A57311" w:rsidRPr="00B27C76">
        <w:rPr>
          <w:rFonts w:eastAsia="Times"/>
          <w:szCs w:val="20"/>
          <w:lang w:val="es-ES_tradnl"/>
        </w:rPr>
        <w:t>los maltratos sufridos por la señora J. “</w:t>
      </w:r>
      <w:proofErr w:type="gramStart"/>
      <w:r w:rsidR="00A57311" w:rsidRPr="00B27C76">
        <w:rPr>
          <w:rFonts w:eastAsia="Times"/>
          <w:szCs w:val="20"/>
          <w:lang w:val="es-ES_tradnl"/>
        </w:rPr>
        <w:t>constituye</w:t>
      </w:r>
      <w:r w:rsidR="0068155E">
        <w:rPr>
          <w:rFonts w:eastAsia="Times"/>
          <w:szCs w:val="20"/>
          <w:lang w:val="es-ES_tradnl"/>
        </w:rPr>
        <w:t>[</w:t>
      </w:r>
      <w:proofErr w:type="gramEnd"/>
      <w:r w:rsidR="0068155E">
        <w:rPr>
          <w:rFonts w:eastAsia="Times"/>
          <w:szCs w:val="20"/>
          <w:lang w:val="es-ES_tradnl"/>
        </w:rPr>
        <w:t>ro</w:t>
      </w:r>
      <w:r w:rsidR="00A57311" w:rsidRPr="00B27C76">
        <w:rPr>
          <w:rFonts w:eastAsia="Times"/>
          <w:szCs w:val="20"/>
          <w:lang w:val="es-ES_tradnl"/>
        </w:rPr>
        <w:t>n</w:t>
      </w:r>
      <w:r w:rsidR="0068155E">
        <w:rPr>
          <w:rFonts w:eastAsia="Times"/>
          <w:szCs w:val="20"/>
          <w:lang w:val="es-ES_tradnl"/>
        </w:rPr>
        <w:t>]</w:t>
      </w:r>
      <w:r w:rsidR="00A57311" w:rsidRPr="00B27C76">
        <w:rPr>
          <w:rFonts w:eastAsia="Times"/>
          <w:szCs w:val="20"/>
          <w:lang w:val="es-ES_tradnl"/>
        </w:rPr>
        <w:t xml:space="preserve"> independientemente tortura u otra forma de penas o tratos crueles, inhumanos o degradantes; o si por el contrario, la Corte así lo dispuso por cuanto considera que la calificación jurídica de los mismos es un asunto que compete al derecho interno en cumplimiento de la medida de reparación relativa a la </w:t>
      </w:r>
      <w:r w:rsidR="00A57311" w:rsidRPr="00B27C76">
        <w:rPr>
          <w:rFonts w:eastAsia="Times"/>
          <w:iCs/>
          <w:szCs w:val="20"/>
          <w:lang w:val="es-ES_tradnl"/>
        </w:rPr>
        <w:t>‘Obligación de</w:t>
      </w:r>
      <w:r w:rsidR="00A57311" w:rsidRPr="00B27C76">
        <w:rPr>
          <w:rFonts w:eastAsia="Times"/>
          <w:szCs w:val="20"/>
          <w:lang w:val="es-ES_tradnl"/>
        </w:rPr>
        <w:t xml:space="preserve"> </w:t>
      </w:r>
      <w:r w:rsidR="00A57311" w:rsidRPr="00B27C76">
        <w:rPr>
          <w:rFonts w:eastAsia="Times"/>
          <w:iCs/>
          <w:szCs w:val="20"/>
          <w:lang w:val="es-ES_tradnl"/>
        </w:rPr>
        <w:t>investigar’</w:t>
      </w:r>
      <w:r w:rsidR="00A57311" w:rsidRPr="00B27C76">
        <w:rPr>
          <w:rFonts w:eastAsia="Times"/>
          <w:szCs w:val="20"/>
          <w:lang w:val="es-ES_tradnl"/>
        </w:rPr>
        <w:t xml:space="preserve">”. </w:t>
      </w:r>
      <w:r w:rsidR="00E13FD3" w:rsidRPr="00B27C76">
        <w:rPr>
          <w:rFonts w:eastAsia="Times"/>
          <w:szCs w:val="20"/>
          <w:lang w:val="es-ES_tradnl"/>
        </w:rPr>
        <w:t>Indicó que “</w:t>
      </w:r>
      <w:r w:rsidR="00E13FD3" w:rsidRPr="00B27C76">
        <w:rPr>
          <w:rFonts w:eastAsiaTheme="minorHAnsi"/>
          <w:szCs w:val="20"/>
          <w:lang w:val="es-ES_tradnl"/>
        </w:rPr>
        <w:t xml:space="preserve">el Estado peruano no tiene ninguna duda, [en </w:t>
      </w:r>
      <w:r w:rsidR="00A14CF4" w:rsidRPr="00B27C76">
        <w:rPr>
          <w:rFonts w:eastAsiaTheme="minorHAnsi"/>
          <w:szCs w:val="20"/>
          <w:lang w:val="es-ES_tradnl"/>
        </w:rPr>
        <w:t>cuan</w:t>
      </w:r>
      <w:r w:rsidR="00A14CF4">
        <w:rPr>
          <w:rFonts w:eastAsiaTheme="minorHAnsi"/>
          <w:szCs w:val="20"/>
          <w:lang w:val="es-ES_tradnl"/>
        </w:rPr>
        <w:t>t</w:t>
      </w:r>
      <w:r w:rsidR="00A14CF4" w:rsidRPr="00B27C76">
        <w:rPr>
          <w:rFonts w:eastAsiaTheme="minorHAnsi"/>
          <w:szCs w:val="20"/>
          <w:lang w:val="es-ES_tradnl"/>
        </w:rPr>
        <w:t xml:space="preserve">o </w:t>
      </w:r>
      <w:r w:rsidR="00E13FD3" w:rsidRPr="00B27C76">
        <w:rPr>
          <w:rFonts w:eastAsiaTheme="minorHAnsi"/>
          <w:szCs w:val="20"/>
          <w:lang w:val="es-ES_tradnl"/>
        </w:rPr>
        <w:t xml:space="preserve">a que] lo que la víctima calificó como ‘manoseos’ […] para la Corte constituyó un acto de violencia </w:t>
      </w:r>
      <w:r w:rsidR="00E13FD3" w:rsidRPr="00B27C76">
        <w:rPr>
          <w:rFonts w:eastAsiaTheme="minorHAnsi"/>
          <w:szCs w:val="20"/>
          <w:lang w:val="es-ES_tradnl"/>
        </w:rPr>
        <w:lastRenderedPageBreak/>
        <w:t>sexual más no una violación sexual”, pero que plantea la solicitud de interpretación, respecto a si los hechos deb</w:t>
      </w:r>
      <w:r w:rsidR="009B2311">
        <w:rPr>
          <w:rFonts w:eastAsiaTheme="minorHAnsi"/>
          <w:szCs w:val="20"/>
          <w:lang w:val="es-ES_tradnl"/>
        </w:rPr>
        <w:t>en ser calificados como tortura</w:t>
      </w:r>
      <w:r w:rsidR="00E13FD3" w:rsidRPr="00B27C76">
        <w:rPr>
          <w:rFonts w:eastAsiaTheme="minorHAnsi"/>
          <w:szCs w:val="20"/>
          <w:lang w:val="es-ES_tradnl"/>
        </w:rPr>
        <w:t xml:space="preserve">”. En virtud de lo anterior, </w:t>
      </w:r>
      <w:r w:rsidR="00A57311" w:rsidRPr="00B27C76">
        <w:rPr>
          <w:rFonts w:eastAsia="Times"/>
          <w:szCs w:val="20"/>
          <w:lang w:val="es-ES_tradnl"/>
        </w:rPr>
        <w:t>solicitó</w:t>
      </w:r>
      <w:r w:rsidR="00A57311" w:rsidRPr="00B27C76">
        <w:rPr>
          <w:rFonts w:eastAsia="Times"/>
          <w:b/>
          <w:szCs w:val="20"/>
          <w:lang w:val="es-ES_tradnl"/>
        </w:rPr>
        <w:t xml:space="preserve"> </w:t>
      </w:r>
      <w:r w:rsidR="00A57311" w:rsidRPr="00B27C76">
        <w:rPr>
          <w:rFonts w:eastAsia="Times"/>
          <w:szCs w:val="20"/>
          <w:lang w:val="es-ES_tradnl"/>
        </w:rPr>
        <w:t>que la</w:t>
      </w:r>
      <w:r w:rsidR="00A57311" w:rsidRPr="00B27C76">
        <w:rPr>
          <w:rFonts w:eastAsia="Times"/>
          <w:b/>
          <w:szCs w:val="20"/>
          <w:lang w:val="es-ES_tradnl"/>
        </w:rPr>
        <w:t xml:space="preserve"> </w:t>
      </w:r>
      <w:r w:rsidR="00A57311" w:rsidRPr="00B27C76">
        <w:rPr>
          <w:rFonts w:eastAsia="Times"/>
          <w:szCs w:val="20"/>
          <w:lang w:val="es-ES_tradnl"/>
        </w:rPr>
        <w:t xml:space="preserve">Corte </w:t>
      </w:r>
      <w:r w:rsidRPr="00B27C76">
        <w:rPr>
          <w:rFonts w:eastAsia="Times"/>
          <w:szCs w:val="20"/>
          <w:lang w:val="es-ES_tradnl"/>
        </w:rPr>
        <w:t>aclar</w:t>
      </w:r>
      <w:r w:rsidR="00A57311" w:rsidRPr="00B27C76">
        <w:rPr>
          <w:rFonts w:eastAsia="Times"/>
          <w:szCs w:val="20"/>
          <w:lang w:val="es-ES_tradnl"/>
        </w:rPr>
        <w:t>e</w:t>
      </w:r>
      <w:r w:rsidRPr="00B27C76">
        <w:rPr>
          <w:rFonts w:eastAsia="Times"/>
          <w:szCs w:val="20"/>
          <w:lang w:val="es-ES_tradnl"/>
        </w:rPr>
        <w:t xml:space="preserve"> ¿si los maltratos contemplados entre los párrafos 357 a 368 “constituyeron tortura o si constituyeron penas o tratos crueles, inhumanos o </w:t>
      </w:r>
      <w:proofErr w:type="gramStart"/>
      <w:r w:rsidRPr="00B27C76">
        <w:rPr>
          <w:rFonts w:eastAsia="Times"/>
          <w:szCs w:val="20"/>
          <w:lang w:val="es-ES_tradnl"/>
        </w:rPr>
        <w:t>degradantes</w:t>
      </w:r>
      <w:r w:rsidR="0068155E">
        <w:rPr>
          <w:rFonts w:eastAsia="Times"/>
          <w:szCs w:val="20"/>
          <w:lang w:val="es-ES_tradnl"/>
        </w:rPr>
        <w:t>[</w:t>
      </w:r>
      <w:proofErr w:type="gramEnd"/>
      <w:r w:rsidRPr="00B27C76">
        <w:rPr>
          <w:rFonts w:eastAsia="Times"/>
          <w:szCs w:val="20"/>
          <w:lang w:val="es-ES_tradnl"/>
        </w:rPr>
        <w:t>? o si ¿</w:t>
      </w:r>
      <w:r w:rsidR="0068155E">
        <w:rPr>
          <w:rFonts w:eastAsia="Times"/>
          <w:szCs w:val="20"/>
          <w:lang w:val="es-ES_tradnl"/>
        </w:rPr>
        <w:t>]</w:t>
      </w:r>
      <w:r w:rsidRPr="00B27C76">
        <w:rPr>
          <w:rFonts w:eastAsia="Times"/>
          <w:szCs w:val="20"/>
          <w:lang w:val="es-ES_tradnl"/>
        </w:rPr>
        <w:t>la calificación jurídica de los hechos debe ser determinada en la investigación que se lleve a cabo en los órganos jurisdiccionales nacionales en el cumplimiento de la medida de reparación ordenada por la Corte?”</w:t>
      </w:r>
      <w:r w:rsidR="0068155E">
        <w:rPr>
          <w:rFonts w:eastAsia="Times"/>
          <w:szCs w:val="20"/>
          <w:lang w:val="es-ES_tradnl"/>
        </w:rPr>
        <w:t>.</w:t>
      </w:r>
      <w:r w:rsidRPr="00B27C76">
        <w:rPr>
          <w:rFonts w:eastAsia="Times"/>
          <w:szCs w:val="20"/>
          <w:lang w:val="es-ES_tradnl"/>
        </w:rPr>
        <w:t xml:space="preserve"> </w:t>
      </w:r>
    </w:p>
    <w:p w:rsidR="001C300E" w:rsidRPr="00B27C76" w:rsidRDefault="001C300E" w:rsidP="001C300E">
      <w:pPr>
        <w:tabs>
          <w:tab w:val="left" w:pos="567"/>
        </w:tabs>
        <w:autoSpaceDE w:val="0"/>
        <w:autoSpaceDN w:val="0"/>
        <w:adjustRightInd w:val="0"/>
        <w:spacing w:after="0" w:line="240" w:lineRule="auto"/>
        <w:jc w:val="both"/>
        <w:rPr>
          <w:rFonts w:eastAsia="Times"/>
          <w:szCs w:val="20"/>
          <w:lang w:val="es-ES_tradnl"/>
        </w:rPr>
      </w:pPr>
    </w:p>
    <w:p w:rsidR="001C300E" w:rsidRPr="00B27C76" w:rsidRDefault="001C300E" w:rsidP="001C300E">
      <w:pPr>
        <w:numPr>
          <w:ilvl w:val="0"/>
          <w:numId w:val="1"/>
        </w:numPr>
        <w:tabs>
          <w:tab w:val="left" w:pos="567"/>
          <w:tab w:val="num" w:pos="720"/>
        </w:tabs>
        <w:autoSpaceDE w:val="0"/>
        <w:autoSpaceDN w:val="0"/>
        <w:adjustRightInd w:val="0"/>
        <w:spacing w:after="0" w:line="240" w:lineRule="auto"/>
        <w:jc w:val="both"/>
        <w:rPr>
          <w:rFonts w:eastAsia="Times"/>
          <w:szCs w:val="20"/>
          <w:lang w:val="es-ES_tradnl"/>
        </w:rPr>
      </w:pPr>
      <w:r w:rsidRPr="00B27C76">
        <w:rPr>
          <w:rFonts w:eastAsia="Times"/>
          <w:bCs/>
          <w:szCs w:val="20"/>
          <w:lang w:val="es-ES_tradnl"/>
        </w:rPr>
        <w:t xml:space="preserve">La </w:t>
      </w:r>
      <w:r w:rsidRPr="00B27C76">
        <w:rPr>
          <w:rFonts w:eastAsia="Times"/>
          <w:b/>
          <w:bCs/>
          <w:i/>
          <w:szCs w:val="20"/>
          <w:lang w:val="es-ES_tradnl"/>
        </w:rPr>
        <w:t>Comisión</w:t>
      </w:r>
      <w:r w:rsidRPr="00B27C76">
        <w:rPr>
          <w:rFonts w:cs="Arial"/>
          <w:szCs w:val="20"/>
          <w:lang w:val="es-ES_tradnl"/>
        </w:rPr>
        <w:t xml:space="preserve"> resaltó que “no corresponde una calificación jurídica como tortura, tratos crueles, inhumanos o degradantes, en forma aislada, de cado uno de los maltratos físicos y psicológicos que una persona pudo sufrir en las mismas circunstancias de tiempo, modo y lugar”, ya que “es el cúmulo de elementos, la sumatoria de afectaciones y el contexto de indefensión en el que puedan producirse, los que permiten una calificación determinada en materia de tortura”. La Comisión consideró que dicha aclaración en la solicitud de interpretación del Estado “resulta improcedente y que la misma ya fue efectuada por la Honorable Corte en su Sentencia bajo los estándares del derecho internacional de los derechos humanos”. </w:t>
      </w:r>
    </w:p>
    <w:p w:rsidR="001C300E" w:rsidRPr="00B27C76" w:rsidRDefault="001C300E" w:rsidP="001C300E">
      <w:pPr>
        <w:tabs>
          <w:tab w:val="left" w:pos="567"/>
        </w:tabs>
        <w:autoSpaceDE w:val="0"/>
        <w:autoSpaceDN w:val="0"/>
        <w:adjustRightInd w:val="0"/>
        <w:spacing w:after="0" w:line="240" w:lineRule="auto"/>
        <w:jc w:val="both"/>
        <w:rPr>
          <w:rFonts w:eastAsia="Times"/>
          <w:szCs w:val="20"/>
          <w:lang w:val="es-ES_tradnl"/>
        </w:rPr>
      </w:pPr>
    </w:p>
    <w:p w:rsidR="001C300E" w:rsidRPr="00B27C76" w:rsidRDefault="001C300E" w:rsidP="00C6138F">
      <w:pPr>
        <w:numPr>
          <w:ilvl w:val="0"/>
          <w:numId w:val="1"/>
        </w:numPr>
        <w:tabs>
          <w:tab w:val="left" w:pos="567"/>
          <w:tab w:val="num" w:pos="720"/>
        </w:tabs>
        <w:autoSpaceDE w:val="0"/>
        <w:autoSpaceDN w:val="0"/>
        <w:adjustRightInd w:val="0"/>
        <w:spacing w:after="0" w:line="240" w:lineRule="auto"/>
        <w:jc w:val="both"/>
        <w:rPr>
          <w:rFonts w:eastAsia="Times"/>
          <w:bCs/>
          <w:szCs w:val="20"/>
          <w:lang w:val="es-ES_tradnl"/>
        </w:rPr>
      </w:pPr>
      <w:r w:rsidRPr="00B27C76">
        <w:rPr>
          <w:rFonts w:eastAsia="Times"/>
          <w:szCs w:val="20"/>
          <w:lang w:val="es-ES_tradnl"/>
        </w:rPr>
        <w:t xml:space="preserve">La </w:t>
      </w:r>
      <w:r w:rsidRPr="00B27C76">
        <w:rPr>
          <w:rFonts w:eastAsia="Times"/>
          <w:b/>
          <w:i/>
          <w:szCs w:val="20"/>
          <w:lang w:val="es-ES_tradnl"/>
        </w:rPr>
        <w:t>representante</w:t>
      </w:r>
      <w:r w:rsidRPr="00B27C76">
        <w:rPr>
          <w:rFonts w:eastAsia="Times"/>
          <w:szCs w:val="20"/>
          <w:lang w:val="es-ES_tradnl"/>
        </w:rPr>
        <w:t xml:space="preserve"> </w:t>
      </w:r>
      <w:r w:rsidR="00CC33E5" w:rsidRPr="00B27C76">
        <w:rPr>
          <w:rFonts w:eastAsia="Times"/>
          <w:szCs w:val="20"/>
          <w:lang w:val="es-ES_tradnl"/>
        </w:rPr>
        <w:t>indicó que “</w:t>
      </w:r>
      <w:r w:rsidR="00CC33E5" w:rsidRPr="00B27C76">
        <w:rPr>
          <w:rFonts w:eastAsiaTheme="minorHAnsi"/>
          <w:szCs w:val="20"/>
          <w:lang w:val="es-ES_tradnl"/>
        </w:rPr>
        <w:t>la Corte no señaló que tal violencia sexual no hubiere constituido violación sexual como lo señala el Estado sino que no le fue ‘posible determinar si dicha violencia sexual además constituyó una violación sexual’</w:t>
      </w:r>
      <w:r w:rsidR="00CC33E5" w:rsidRPr="00B27C76">
        <w:rPr>
          <w:rFonts w:eastAsia="Times"/>
          <w:bCs/>
          <w:szCs w:val="20"/>
          <w:lang w:val="es-ES_tradnl"/>
        </w:rPr>
        <w:t xml:space="preserve">”. </w:t>
      </w:r>
      <w:r w:rsidRPr="00B27C76">
        <w:rPr>
          <w:rFonts w:eastAsia="Times"/>
          <w:szCs w:val="20"/>
          <w:lang w:val="es-ES_tradnl"/>
        </w:rPr>
        <w:t xml:space="preserve">Adicionalmente, </w:t>
      </w:r>
      <w:r w:rsidR="00C439CF" w:rsidRPr="00B27C76">
        <w:rPr>
          <w:rFonts w:eastAsia="Times"/>
          <w:szCs w:val="20"/>
          <w:lang w:val="es-ES_tradnl"/>
        </w:rPr>
        <w:t xml:space="preserve">la representante consideró que </w:t>
      </w:r>
      <w:r w:rsidRPr="00B27C76">
        <w:rPr>
          <w:rFonts w:eastAsia="Times"/>
          <w:szCs w:val="20"/>
          <w:lang w:val="es-ES_tradnl"/>
        </w:rPr>
        <w:t xml:space="preserve">la Corte </w:t>
      </w:r>
      <w:r w:rsidR="00C439CF" w:rsidRPr="00B27C76">
        <w:rPr>
          <w:rFonts w:eastAsia="Times"/>
          <w:szCs w:val="20"/>
          <w:lang w:val="es-ES_tradnl"/>
        </w:rPr>
        <w:t>“</w:t>
      </w:r>
      <w:r w:rsidRPr="00B27C76">
        <w:rPr>
          <w:rFonts w:eastAsia="Times"/>
          <w:szCs w:val="20"/>
          <w:lang w:val="es-ES_tradnl"/>
        </w:rPr>
        <w:t xml:space="preserve">sí se pronunció sobre el hecho que tal trato aplicado a J durante su detención, incluida la violencia sexual de la cual fue </w:t>
      </w:r>
      <w:proofErr w:type="spellStart"/>
      <w:r w:rsidR="00060E10" w:rsidRPr="00B27C76">
        <w:rPr>
          <w:rFonts w:eastAsia="Times"/>
          <w:szCs w:val="20"/>
          <w:lang w:val="es-ES_tradnl"/>
        </w:rPr>
        <w:t>sujet</w:t>
      </w:r>
      <w:proofErr w:type="spellEnd"/>
      <w:r w:rsidR="00060E10">
        <w:rPr>
          <w:rFonts w:eastAsia="Times"/>
          <w:szCs w:val="20"/>
          <w:lang w:val="es-ES_tradnl"/>
        </w:rPr>
        <w:t>[a]</w:t>
      </w:r>
      <w:r w:rsidRPr="00B27C76">
        <w:rPr>
          <w:rFonts w:eastAsia="Times"/>
          <w:szCs w:val="20"/>
          <w:lang w:val="es-ES_tradnl"/>
        </w:rPr>
        <w:t>, constituyó tortura”</w:t>
      </w:r>
      <w:r w:rsidR="00C439CF" w:rsidRPr="00B27C76">
        <w:rPr>
          <w:rFonts w:eastAsia="Times"/>
          <w:szCs w:val="20"/>
          <w:lang w:val="es-ES_tradnl"/>
        </w:rPr>
        <w:t>,</w:t>
      </w:r>
      <w:r w:rsidRPr="00B27C76">
        <w:rPr>
          <w:rFonts w:eastAsia="Times"/>
          <w:szCs w:val="20"/>
          <w:lang w:val="es-ES_tradnl"/>
        </w:rPr>
        <w:t xml:space="preserve"> </w:t>
      </w:r>
      <w:r w:rsidR="00C6138F" w:rsidRPr="00B27C76">
        <w:rPr>
          <w:rFonts w:eastAsia="Times"/>
          <w:szCs w:val="20"/>
          <w:lang w:val="es-ES_tradnl"/>
        </w:rPr>
        <w:t xml:space="preserve">en la medida en </w:t>
      </w:r>
      <w:r w:rsidRPr="00B27C76">
        <w:rPr>
          <w:rFonts w:eastAsia="Times"/>
          <w:szCs w:val="20"/>
          <w:lang w:val="es-ES_tradnl"/>
        </w:rPr>
        <w:t xml:space="preserve">que </w:t>
      </w:r>
      <w:r w:rsidR="00C6138F" w:rsidRPr="00B27C76">
        <w:rPr>
          <w:rFonts w:eastAsia="Times"/>
          <w:szCs w:val="20"/>
          <w:lang w:val="es-ES_tradnl"/>
        </w:rPr>
        <w:t>“</w:t>
      </w:r>
      <w:proofErr w:type="spellStart"/>
      <w:r w:rsidR="00C6138F" w:rsidRPr="00B27C76">
        <w:rPr>
          <w:rFonts w:eastAsia="Times"/>
          <w:szCs w:val="20"/>
          <w:lang w:val="es-ES_tradnl"/>
        </w:rPr>
        <w:t>concluy</w:t>
      </w:r>
      <w:proofErr w:type="spellEnd"/>
      <w:r w:rsidR="00C6138F" w:rsidRPr="00B27C76">
        <w:rPr>
          <w:rFonts w:eastAsia="Times"/>
          <w:szCs w:val="20"/>
          <w:lang w:val="es-ES_tradnl"/>
        </w:rPr>
        <w:t>[</w:t>
      </w:r>
      <w:proofErr w:type="spellStart"/>
      <w:r w:rsidR="00C6138F" w:rsidRPr="00B27C76">
        <w:rPr>
          <w:rFonts w:eastAsia="Times"/>
          <w:szCs w:val="20"/>
          <w:lang w:val="es-ES_tradnl"/>
        </w:rPr>
        <w:t>ó</w:t>
      </w:r>
      <w:proofErr w:type="spellEnd"/>
      <w:r w:rsidR="00C6138F" w:rsidRPr="00B27C76">
        <w:rPr>
          <w:rFonts w:eastAsia="Times"/>
          <w:szCs w:val="20"/>
          <w:lang w:val="es-ES_tradnl"/>
        </w:rPr>
        <w:t xml:space="preserve">] </w:t>
      </w:r>
      <w:r w:rsidR="006C0486" w:rsidRPr="00B27C76">
        <w:rPr>
          <w:rFonts w:eastAsia="Times"/>
          <w:iCs/>
          <w:szCs w:val="20"/>
          <w:lang w:val="es-ES_tradnl"/>
        </w:rPr>
        <w:t>‘</w:t>
      </w:r>
      <w:r w:rsidR="00C6138F" w:rsidRPr="00B27C76">
        <w:rPr>
          <w:rFonts w:eastAsia="Times"/>
          <w:szCs w:val="20"/>
          <w:lang w:val="es-ES_tradnl"/>
        </w:rPr>
        <w:t>atendiendo al conjunto de circunstancias del caso’ [</w:t>
      </w:r>
      <w:r w:rsidRPr="00B27C76">
        <w:rPr>
          <w:rFonts w:eastAsia="Times"/>
          <w:szCs w:val="20"/>
          <w:lang w:val="es-ES_tradnl"/>
        </w:rPr>
        <w:t>que dicho trato</w:t>
      </w:r>
      <w:r w:rsidR="00C6138F" w:rsidRPr="00B27C76">
        <w:rPr>
          <w:rFonts w:eastAsia="Times"/>
          <w:szCs w:val="20"/>
          <w:lang w:val="es-ES_tradnl"/>
        </w:rPr>
        <w:t>]</w:t>
      </w:r>
      <w:r w:rsidRPr="00B27C76">
        <w:rPr>
          <w:rFonts w:eastAsia="Times"/>
          <w:szCs w:val="20"/>
          <w:lang w:val="es-ES_tradnl"/>
        </w:rPr>
        <w:t xml:space="preserve"> constituyó una violación del artículo 5 de la Convención en la forma de tortura, la cual </w:t>
      </w:r>
      <w:r w:rsidR="00C6138F" w:rsidRPr="00B27C76">
        <w:rPr>
          <w:rFonts w:eastAsia="Times"/>
          <w:szCs w:val="20"/>
          <w:lang w:val="es-ES_tradnl"/>
        </w:rPr>
        <w:t xml:space="preserve">la Corte </w:t>
      </w:r>
      <w:r w:rsidRPr="00B27C76">
        <w:rPr>
          <w:rFonts w:eastAsia="Times"/>
          <w:szCs w:val="20"/>
          <w:lang w:val="es-ES_tradnl"/>
        </w:rPr>
        <w:t xml:space="preserve">venía específicamente de definir en el párrafo 364” y una violación de los artículos 6 y 8 de la Convención Interamericana contra la Tortura. </w:t>
      </w:r>
    </w:p>
    <w:p w:rsidR="001C300E" w:rsidRPr="00B27C76" w:rsidRDefault="001C300E" w:rsidP="001C300E">
      <w:pPr>
        <w:tabs>
          <w:tab w:val="left" w:pos="567"/>
        </w:tabs>
        <w:autoSpaceDE w:val="0"/>
        <w:autoSpaceDN w:val="0"/>
        <w:adjustRightInd w:val="0"/>
        <w:spacing w:after="0" w:line="240" w:lineRule="auto"/>
        <w:jc w:val="both"/>
        <w:rPr>
          <w:rFonts w:eastAsia="Times"/>
          <w:bCs/>
          <w:szCs w:val="20"/>
          <w:lang w:val="es-ES_tradnl"/>
        </w:rPr>
      </w:pPr>
    </w:p>
    <w:p w:rsidR="001C300E" w:rsidRPr="00B27C76" w:rsidRDefault="001C300E" w:rsidP="001C300E">
      <w:pPr>
        <w:pStyle w:val="Prrafodelista"/>
        <w:tabs>
          <w:tab w:val="left" w:pos="567"/>
        </w:tabs>
        <w:autoSpaceDE w:val="0"/>
        <w:autoSpaceDN w:val="0"/>
        <w:adjustRightInd w:val="0"/>
        <w:spacing w:after="0" w:line="240" w:lineRule="auto"/>
        <w:jc w:val="both"/>
        <w:rPr>
          <w:rFonts w:cs="Arial"/>
          <w:b/>
          <w:szCs w:val="20"/>
          <w:lang w:val="es-ES_tradnl"/>
        </w:rPr>
      </w:pPr>
      <w:r w:rsidRPr="00B27C76">
        <w:rPr>
          <w:rFonts w:cs="Arial"/>
          <w:i/>
          <w:szCs w:val="20"/>
          <w:lang w:val="es-ES_tradnl"/>
        </w:rPr>
        <w:t>Consideraciones de la Corte</w:t>
      </w:r>
    </w:p>
    <w:p w:rsidR="001C300E" w:rsidRPr="00B27C76" w:rsidRDefault="001C300E" w:rsidP="001C300E">
      <w:pPr>
        <w:tabs>
          <w:tab w:val="left" w:pos="567"/>
        </w:tabs>
        <w:autoSpaceDE w:val="0"/>
        <w:autoSpaceDN w:val="0"/>
        <w:adjustRightInd w:val="0"/>
        <w:spacing w:after="0" w:line="240" w:lineRule="auto"/>
        <w:jc w:val="both"/>
        <w:rPr>
          <w:rFonts w:eastAsia="Times"/>
          <w:bCs/>
          <w:szCs w:val="20"/>
          <w:lang w:val="es-ES_tradnl"/>
        </w:rPr>
      </w:pPr>
    </w:p>
    <w:p w:rsidR="001C300E" w:rsidRPr="00AC6E5A" w:rsidRDefault="005B6034" w:rsidP="00AC6E5A">
      <w:pPr>
        <w:pStyle w:val="Prrafodelista"/>
        <w:numPr>
          <w:ilvl w:val="0"/>
          <w:numId w:val="1"/>
        </w:numPr>
        <w:tabs>
          <w:tab w:val="left" w:pos="567"/>
        </w:tabs>
        <w:autoSpaceDE w:val="0"/>
        <w:autoSpaceDN w:val="0"/>
        <w:adjustRightInd w:val="0"/>
        <w:spacing w:after="0" w:line="240" w:lineRule="auto"/>
        <w:jc w:val="both"/>
        <w:rPr>
          <w:rFonts w:eastAsia="Times"/>
          <w:szCs w:val="20"/>
          <w:lang w:val="es-ES_tradnl"/>
        </w:rPr>
      </w:pPr>
      <w:bookmarkStart w:id="16" w:name="_Ref276693010"/>
      <w:bookmarkStart w:id="17" w:name="_Ref406493922"/>
      <w:r w:rsidRPr="00AC6E5A">
        <w:rPr>
          <w:rFonts w:eastAsia="Times"/>
          <w:bCs/>
          <w:szCs w:val="20"/>
          <w:lang w:val="es-ES_tradnl"/>
        </w:rPr>
        <w:t xml:space="preserve">En virtud de la solicitud del Estado, así como las observaciones de la representante, la Corte estima pertinente aclarar sus consideraciones y conclusiones respecto de </w:t>
      </w:r>
      <w:r w:rsidR="00AC6E5A" w:rsidRPr="00AC6E5A">
        <w:rPr>
          <w:rFonts w:eastAsia="Times"/>
          <w:bCs/>
          <w:szCs w:val="20"/>
          <w:lang w:val="es-ES_tradnl"/>
        </w:rPr>
        <w:t xml:space="preserve">la posible calificación como tortura de </w:t>
      </w:r>
      <w:r w:rsidRPr="00AC6E5A">
        <w:rPr>
          <w:rFonts w:eastAsia="Times"/>
          <w:bCs/>
          <w:szCs w:val="20"/>
          <w:lang w:val="es-ES_tradnl"/>
        </w:rPr>
        <w:t>los malos tratos sufridos por la señora J</w:t>
      </w:r>
      <w:r w:rsidR="00D717CA" w:rsidRPr="00AC6E5A">
        <w:rPr>
          <w:rFonts w:eastAsia="Times"/>
          <w:bCs/>
          <w:szCs w:val="20"/>
          <w:lang w:val="es-ES_tradnl"/>
        </w:rPr>
        <w:t>.</w:t>
      </w:r>
      <w:r w:rsidR="00776779" w:rsidRPr="00AC6E5A">
        <w:rPr>
          <w:rFonts w:eastAsia="Times"/>
          <w:bCs/>
          <w:szCs w:val="20"/>
          <w:lang w:val="es-ES_tradnl"/>
        </w:rPr>
        <w:t xml:space="preserve"> al momento de su detención</w:t>
      </w:r>
      <w:r w:rsidRPr="00AC6E5A">
        <w:rPr>
          <w:rFonts w:eastAsia="Times"/>
          <w:bCs/>
          <w:szCs w:val="20"/>
          <w:lang w:val="es-ES_tradnl"/>
        </w:rPr>
        <w:t xml:space="preserve">. </w:t>
      </w:r>
      <w:r w:rsidR="00776779" w:rsidRPr="00AC6E5A">
        <w:rPr>
          <w:rFonts w:eastAsia="Times"/>
          <w:bCs/>
          <w:szCs w:val="20"/>
          <w:lang w:val="es-ES_tradnl"/>
        </w:rPr>
        <w:t xml:space="preserve">Al respecto, en la Sentencia </w:t>
      </w:r>
      <w:r w:rsidR="00D85D44" w:rsidRPr="00AC6E5A">
        <w:rPr>
          <w:rFonts w:eastAsia="Times"/>
          <w:bCs/>
          <w:szCs w:val="20"/>
          <w:lang w:val="es-ES_tradnl"/>
        </w:rPr>
        <w:t xml:space="preserve">se </w:t>
      </w:r>
      <w:r w:rsidR="00D717CA" w:rsidRPr="00AC6E5A">
        <w:rPr>
          <w:rFonts w:eastAsia="Times"/>
          <w:bCs/>
          <w:szCs w:val="20"/>
          <w:lang w:val="es-ES_tradnl"/>
        </w:rPr>
        <w:t xml:space="preserve">consideró </w:t>
      </w:r>
      <w:bookmarkEnd w:id="16"/>
      <w:r w:rsidR="0035232B" w:rsidRPr="00AC6E5A">
        <w:rPr>
          <w:rFonts w:eastAsia="Times"/>
          <w:szCs w:val="20"/>
          <w:lang w:val="es-ES_tradnl"/>
        </w:rPr>
        <w:t>que:</w:t>
      </w:r>
      <w:bookmarkEnd w:id="17"/>
      <w:r w:rsidR="0035232B" w:rsidRPr="00AC6E5A">
        <w:rPr>
          <w:rFonts w:eastAsia="Times"/>
          <w:szCs w:val="20"/>
          <w:lang w:val="es-ES_tradnl"/>
        </w:rPr>
        <w:t xml:space="preserve"> </w:t>
      </w:r>
    </w:p>
    <w:p w:rsidR="0035232B" w:rsidRPr="00B27C76" w:rsidRDefault="0035232B" w:rsidP="006C0486">
      <w:pPr>
        <w:autoSpaceDE w:val="0"/>
        <w:autoSpaceDN w:val="0"/>
        <w:adjustRightInd w:val="0"/>
        <w:spacing w:after="0" w:line="240" w:lineRule="auto"/>
        <w:ind w:right="616"/>
        <w:jc w:val="both"/>
        <w:rPr>
          <w:rFonts w:eastAsiaTheme="minorHAnsi" w:cs="Verdana"/>
          <w:sz w:val="16"/>
          <w:szCs w:val="16"/>
          <w:lang w:val="es-ES_tradnl"/>
        </w:rPr>
      </w:pPr>
    </w:p>
    <w:p w:rsidR="0035232B" w:rsidRPr="00B27C76" w:rsidRDefault="0035232B" w:rsidP="006C0486">
      <w:pPr>
        <w:tabs>
          <w:tab w:val="left" w:pos="1080"/>
        </w:tabs>
        <w:autoSpaceDE w:val="0"/>
        <w:autoSpaceDN w:val="0"/>
        <w:adjustRightInd w:val="0"/>
        <w:spacing w:after="0" w:line="240" w:lineRule="auto"/>
        <w:ind w:left="540" w:right="616"/>
        <w:jc w:val="both"/>
        <w:rPr>
          <w:rFonts w:eastAsiaTheme="minorHAnsi" w:cs="Verdana"/>
          <w:sz w:val="16"/>
          <w:szCs w:val="16"/>
          <w:lang w:val="es-ES_tradnl"/>
        </w:rPr>
      </w:pPr>
      <w:r w:rsidRPr="00B27C76">
        <w:rPr>
          <w:rFonts w:eastAsiaTheme="minorHAnsi" w:cs="Verdana"/>
          <w:sz w:val="16"/>
          <w:szCs w:val="16"/>
          <w:lang w:val="es-ES_tradnl"/>
        </w:rPr>
        <w:t>362.</w:t>
      </w:r>
      <w:r w:rsidRPr="00B27C76">
        <w:rPr>
          <w:rFonts w:eastAsiaTheme="minorHAnsi" w:cs="Verdana"/>
          <w:sz w:val="16"/>
          <w:szCs w:val="16"/>
          <w:lang w:val="es-ES_tradnl"/>
        </w:rPr>
        <w:tab/>
        <w:t>[…]</w:t>
      </w:r>
      <w:r w:rsidR="00A1333D" w:rsidRPr="00B27C76">
        <w:rPr>
          <w:rFonts w:eastAsiaTheme="minorHAnsi" w:cs="Verdana"/>
          <w:sz w:val="16"/>
          <w:szCs w:val="16"/>
          <w:lang w:val="es-ES_tradnl"/>
        </w:rPr>
        <w:t xml:space="preserve"> </w:t>
      </w:r>
      <w:r w:rsidRPr="00B27C76">
        <w:rPr>
          <w:rFonts w:eastAsiaTheme="minorHAnsi" w:cs="Verdana"/>
          <w:sz w:val="16"/>
          <w:szCs w:val="16"/>
          <w:lang w:val="es-ES_tradnl"/>
        </w:rPr>
        <w:t xml:space="preserve">la violación del derecho a la integridad física y psíquica de las personas tiene diversas connotaciones de grado y </w:t>
      </w:r>
      <w:r w:rsidR="00AF20CC">
        <w:rPr>
          <w:rFonts w:eastAsiaTheme="minorHAnsi" w:cs="Verdana"/>
          <w:sz w:val="16"/>
          <w:szCs w:val="16"/>
          <w:lang w:val="es-ES_tradnl"/>
        </w:rPr>
        <w:t>[…]</w:t>
      </w:r>
      <w:r w:rsidRPr="00B27C76">
        <w:rPr>
          <w:rFonts w:eastAsiaTheme="minorHAnsi" w:cs="Verdana"/>
          <w:sz w:val="16"/>
          <w:szCs w:val="16"/>
          <w:lang w:val="es-ES_tradnl"/>
        </w:rPr>
        <w:t xml:space="preserve"> abarca desde la tortura hasta otro tipo de vejámenes o tratos crueles, inhumanos o degradantes, cuyas secuelas físicas y psíquicas varían de intensidad según factores endógenos y exógenos de la persona (duración de los tratos, edad, sexo, salud, contexto, vulnerabilidad, entre otros) que deberán ser analiz</w:t>
      </w:r>
      <w:r w:rsidR="00A1333D" w:rsidRPr="00B27C76">
        <w:rPr>
          <w:rFonts w:eastAsiaTheme="minorHAnsi" w:cs="Verdana"/>
          <w:sz w:val="16"/>
          <w:szCs w:val="16"/>
          <w:lang w:val="es-ES_tradnl"/>
        </w:rPr>
        <w:t>ados en cada situación concreta</w:t>
      </w:r>
      <w:r w:rsidRPr="00B27C76">
        <w:rPr>
          <w:rFonts w:eastAsiaTheme="minorHAnsi" w:cs="Verdana"/>
          <w:sz w:val="16"/>
          <w:szCs w:val="16"/>
          <w:lang w:val="es-ES_tradnl"/>
        </w:rPr>
        <w:t>. Es decir, las características personales de una supuesta víctima de tortura o tratos crueles, inhumanos o degradantes, deben ser tomadas en cuenta al momento de determinar si la integridad personal fue vulnerada, ya que tales características pueden cambiar la percepción de la realidad del individuo, y por ende, incrementar el sufrimiento y el sentido de humillación cuando son s</w:t>
      </w:r>
      <w:r w:rsidR="00A1333D" w:rsidRPr="00B27C76">
        <w:rPr>
          <w:rFonts w:eastAsiaTheme="minorHAnsi" w:cs="Verdana"/>
          <w:sz w:val="16"/>
          <w:szCs w:val="16"/>
          <w:lang w:val="es-ES_tradnl"/>
        </w:rPr>
        <w:t>ometidas a ciertos tratamientos</w:t>
      </w:r>
      <w:r w:rsidRPr="00B27C76">
        <w:rPr>
          <w:rFonts w:eastAsiaTheme="minorHAnsi" w:cs="Verdana"/>
          <w:sz w:val="16"/>
          <w:szCs w:val="16"/>
          <w:lang w:val="es-ES_tradnl"/>
        </w:rPr>
        <w:t>.</w:t>
      </w:r>
    </w:p>
    <w:p w:rsidR="0035232B" w:rsidRPr="00B27C76" w:rsidRDefault="0035232B" w:rsidP="006C0486">
      <w:pPr>
        <w:tabs>
          <w:tab w:val="left" w:pos="1080"/>
        </w:tabs>
        <w:autoSpaceDE w:val="0"/>
        <w:autoSpaceDN w:val="0"/>
        <w:adjustRightInd w:val="0"/>
        <w:spacing w:after="0" w:line="240" w:lineRule="auto"/>
        <w:ind w:left="540" w:right="616"/>
        <w:jc w:val="both"/>
        <w:rPr>
          <w:rFonts w:eastAsiaTheme="minorHAnsi" w:cs="Verdana"/>
          <w:sz w:val="16"/>
          <w:szCs w:val="16"/>
          <w:lang w:val="es-ES_tradnl"/>
        </w:rPr>
      </w:pPr>
    </w:p>
    <w:p w:rsidR="0035232B" w:rsidRPr="00B27C76" w:rsidRDefault="0035232B" w:rsidP="006C0486">
      <w:pPr>
        <w:tabs>
          <w:tab w:val="left" w:pos="1080"/>
        </w:tabs>
        <w:autoSpaceDE w:val="0"/>
        <w:autoSpaceDN w:val="0"/>
        <w:adjustRightInd w:val="0"/>
        <w:spacing w:after="0" w:line="240" w:lineRule="auto"/>
        <w:ind w:left="540" w:right="616"/>
        <w:jc w:val="both"/>
        <w:rPr>
          <w:rFonts w:eastAsiaTheme="minorHAnsi" w:cs="Verdana"/>
          <w:sz w:val="16"/>
          <w:szCs w:val="16"/>
          <w:lang w:val="es-ES_tradnl"/>
        </w:rPr>
      </w:pPr>
      <w:r w:rsidRPr="00B27C76">
        <w:rPr>
          <w:rFonts w:eastAsiaTheme="minorHAnsi" w:cs="Verdana"/>
          <w:sz w:val="16"/>
          <w:szCs w:val="16"/>
          <w:lang w:val="es-ES_tradnl"/>
        </w:rPr>
        <w:t>363.</w:t>
      </w:r>
      <w:r w:rsidRPr="00B27C76">
        <w:rPr>
          <w:rFonts w:eastAsiaTheme="minorHAnsi" w:cs="Verdana"/>
          <w:sz w:val="16"/>
          <w:szCs w:val="16"/>
          <w:lang w:val="es-ES_tradnl"/>
        </w:rPr>
        <w:tab/>
        <w:t>El Tribunal ha indicado que todo uso de la fuerza que no sea estrictamente necesario por el propio comportamiento de la persona detenida constituye un atentado a la dignidad humana, en violación del artículo 5 de la Convención Americana. En el presente caso, el Estado no ha demostrado que la fuerza utilizada al momento de la detención fue necesaria (</w:t>
      </w:r>
      <w:r w:rsidRPr="00AF20CC">
        <w:rPr>
          <w:rFonts w:eastAsiaTheme="minorHAnsi" w:cs="Verdana"/>
          <w:i/>
          <w:sz w:val="16"/>
          <w:szCs w:val="16"/>
          <w:lang w:val="es-ES_tradnl"/>
        </w:rPr>
        <w:t>supra</w:t>
      </w:r>
      <w:r w:rsidRPr="00B27C76">
        <w:rPr>
          <w:rFonts w:eastAsiaTheme="minorHAnsi" w:cs="Verdana"/>
          <w:sz w:val="16"/>
          <w:szCs w:val="16"/>
          <w:lang w:val="es-ES_tradnl"/>
        </w:rPr>
        <w:t xml:space="preserve"> </w:t>
      </w:r>
      <w:proofErr w:type="spellStart"/>
      <w:r w:rsidRPr="00B27C76">
        <w:rPr>
          <w:rFonts w:eastAsiaTheme="minorHAnsi" w:cs="Verdana"/>
          <w:sz w:val="16"/>
          <w:szCs w:val="16"/>
          <w:lang w:val="es-ES_tradnl"/>
        </w:rPr>
        <w:t>párrs</w:t>
      </w:r>
      <w:proofErr w:type="spellEnd"/>
      <w:r w:rsidRPr="00B27C76">
        <w:rPr>
          <w:rFonts w:eastAsiaTheme="minorHAnsi" w:cs="Verdana"/>
          <w:sz w:val="16"/>
          <w:szCs w:val="16"/>
          <w:lang w:val="es-ES_tradnl"/>
        </w:rPr>
        <w:t xml:space="preserve">. 330 y 331). Asimismo, la violencia sexual de que fue víctima la señora J. constituye también una violación a su derecho a la integridad personal. </w:t>
      </w:r>
    </w:p>
    <w:p w:rsidR="0035232B" w:rsidRPr="00B27C76" w:rsidRDefault="0035232B" w:rsidP="006C0486">
      <w:pPr>
        <w:tabs>
          <w:tab w:val="left" w:pos="1080"/>
        </w:tabs>
        <w:autoSpaceDE w:val="0"/>
        <w:autoSpaceDN w:val="0"/>
        <w:adjustRightInd w:val="0"/>
        <w:spacing w:after="0" w:line="240" w:lineRule="auto"/>
        <w:ind w:left="540" w:right="616"/>
        <w:jc w:val="both"/>
        <w:rPr>
          <w:rFonts w:eastAsiaTheme="minorHAnsi" w:cs="Verdana"/>
          <w:sz w:val="16"/>
          <w:szCs w:val="16"/>
          <w:lang w:val="es-ES_tradnl"/>
        </w:rPr>
      </w:pPr>
    </w:p>
    <w:p w:rsidR="0035232B" w:rsidRPr="00B27C76" w:rsidRDefault="0035232B" w:rsidP="006C0486">
      <w:pPr>
        <w:tabs>
          <w:tab w:val="left" w:pos="1080"/>
        </w:tabs>
        <w:autoSpaceDE w:val="0"/>
        <w:autoSpaceDN w:val="0"/>
        <w:adjustRightInd w:val="0"/>
        <w:spacing w:after="0" w:line="240" w:lineRule="auto"/>
        <w:ind w:left="540" w:right="616"/>
        <w:jc w:val="both"/>
        <w:rPr>
          <w:rFonts w:eastAsiaTheme="minorHAnsi" w:cs="Verdana"/>
          <w:sz w:val="16"/>
          <w:szCs w:val="16"/>
          <w:lang w:val="es-ES_tradnl"/>
        </w:rPr>
      </w:pPr>
      <w:r w:rsidRPr="00B27C76">
        <w:rPr>
          <w:rFonts w:eastAsiaTheme="minorHAnsi" w:cs="Verdana"/>
          <w:sz w:val="16"/>
          <w:szCs w:val="16"/>
          <w:lang w:val="es-ES_tradnl"/>
        </w:rPr>
        <w:t>364.</w:t>
      </w:r>
      <w:r w:rsidRPr="00B27C76">
        <w:rPr>
          <w:rFonts w:eastAsiaTheme="minorHAnsi" w:cs="Verdana"/>
          <w:sz w:val="16"/>
          <w:szCs w:val="16"/>
          <w:lang w:val="es-ES_tradnl"/>
        </w:rPr>
        <w:tab/>
        <w:t>Para definir lo que a la luz del artículo 5.2 de la Convención Americana debe entenderse como “tortura”, de conformidad con la jurisprudencia de la Corte, se está frente a un acto constitutivo de tortura cuando el maltrato: a) es intencional; b) cause severos sufrimientos físicos o mentales, y c) se cometa</w:t>
      </w:r>
      <w:r w:rsidR="00AF20CC">
        <w:rPr>
          <w:rFonts w:eastAsiaTheme="minorHAnsi" w:cs="Verdana"/>
          <w:sz w:val="16"/>
          <w:szCs w:val="16"/>
          <w:lang w:val="es-ES_tradnl"/>
        </w:rPr>
        <w:t xml:space="preserve"> con cualquier fin o propósito.</w:t>
      </w:r>
      <w:r w:rsidRPr="00B27C76">
        <w:rPr>
          <w:rFonts w:eastAsiaTheme="minorHAnsi" w:cs="Verdana"/>
          <w:sz w:val="16"/>
          <w:szCs w:val="16"/>
          <w:lang w:val="es-ES_tradnl"/>
        </w:rPr>
        <w:t xml:space="preserve"> Asimismo, se ha reconocido </w:t>
      </w:r>
      <w:r w:rsidRPr="00B27C76">
        <w:rPr>
          <w:rFonts w:eastAsiaTheme="minorHAnsi" w:cs="Verdana"/>
          <w:sz w:val="16"/>
          <w:szCs w:val="16"/>
          <w:lang w:val="es-ES_tradnl"/>
        </w:rPr>
        <w:lastRenderedPageBreak/>
        <w:t xml:space="preserve">que las amenazas y el peligro real de someter a una persona a lesiones físicas </w:t>
      </w:r>
      <w:proofErr w:type="gramStart"/>
      <w:r w:rsidRPr="00B27C76">
        <w:rPr>
          <w:rFonts w:eastAsiaTheme="minorHAnsi" w:cs="Verdana"/>
          <w:sz w:val="16"/>
          <w:szCs w:val="16"/>
          <w:lang w:val="es-ES_tradnl"/>
        </w:rPr>
        <w:t>produce</w:t>
      </w:r>
      <w:proofErr w:type="gramEnd"/>
      <w:r w:rsidRPr="00B27C76">
        <w:rPr>
          <w:rFonts w:eastAsiaTheme="minorHAnsi" w:cs="Verdana"/>
          <w:sz w:val="16"/>
          <w:szCs w:val="16"/>
          <w:lang w:val="es-ES_tradnl"/>
        </w:rPr>
        <w:t xml:space="preserve">, en determinadas circunstancias, una angustia moral de tal grado que puede ser </w:t>
      </w:r>
      <w:r w:rsidR="00AF20CC">
        <w:rPr>
          <w:rFonts w:eastAsiaTheme="minorHAnsi" w:cs="Verdana"/>
          <w:sz w:val="16"/>
          <w:szCs w:val="16"/>
          <w:lang w:val="es-ES_tradnl"/>
        </w:rPr>
        <w:t>considerada tortura psicológica</w:t>
      </w:r>
      <w:r w:rsidRPr="00B27C76">
        <w:rPr>
          <w:rFonts w:eastAsiaTheme="minorHAnsi" w:cs="Verdana"/>
          <w:sz w:val="16"/>
          <w:szCs w:val="16"/>
          <w:lang w:val="es-ES_tradnl"/>
        </w:rPr>
        <w:t>.</w:t>
      </w:r>
    </w:p>
    <w:p w:rsidR="0035232B" w:rsidRPr="00B27C76" w:rsidRDefault="0035232B" w:rsidP="006C0486">
      <w:pPr>
        <w:tabs>
          <w:tab w:val="left" w:pos="1080"/>
        </w:tabs>
        <w:autoSpaceDE w:val="0"/>
        <w:autoSpaceDN w:val="0"/>
        <w:adjustRightInd w:val="0"/>
        <w:spacing w:after="0" w:line="240" w:lineRule="auto"/>
        <w:ind w:left="540" w:right="616"/>
        <w:jc w:val="both"/>
        <w:rPr>
          <w:rFonts w:eastAsiaTheme="minorHAnsi" w:cs="Verdana"/>
          <w:sz w:val="16"/>
          <w:szCs w:val="16"/>
          <w:lang w:val="es-ES_tradnl"/>
        </w:rPr>
      </w:pPr>
    </w:p>
    <w:p w:rsidR="0035232B" w:rsidRPr="00B27C76" w:rsidRDefault="0035232B" w:rsidP="006C0486">
      <w:pPr>
        <w:tabs>
          <w:tab w:val="left" w:pos="1080"/>
        </w:tabs>
        <w:autoSpaceDE w:val="0"/>
        <w:autoSpaceDN w:val="0"/>
        <w:adjustRightInd w:val="0"/>
        <w:spacing w:after="0" w:line="240" w:lineRule="auto"/>
        <w:ind w:left="540" w:right="616"/>
        <w:jc w:val="both"/>
        <w:rPr>
          <w:rFonts w:eastAsiaTheme="minorHAnsi" w:cs="Verdana"/>
          <w:sz w:val="16"/>
          <w:szCs w:val="16"/>
          <w:lang w:val="es-ES_tradnl"/>
        </w:rPr>
      </w:pPr>
      <w:r w:rsidRPr="00B27C76">
        <w:rPr>
          <w:rFonts w:eastAsiaTheme="minorHAnsi" w:cs="Verdana"/>
          <w:sz w:val="16"/>
          <w:szCs w:val="16"/>
          <w:lang w:val="es-ES_tradnl"/>
        </w:rPr>
        <w:t>365.</w:t>
      </w:r>
      <w:r w:rsidRPr="00B27C76">
        <w:rPr>
          <w:rFonts w:eastAsiaTheme="minorHAnsi" w:cs="Verdana"/>
          <w:sz w:val="16"/>
          <w:szCs w:val="16"/>
          <w:lang w:val="es-ES_tradnl"/>
        </w:rPr>
        <w:tab/>
        <w:t>La Corte recuerda que al momento de la detención inicial a la señora J. le vendaron los ojos, fue golpeada, manoseada sexualmente y que tras salir del inmueble de la calle Las Esmeraldas no fue llevada directamente a la DINCOTE, sino que estuvo en un automóvil por un tiempo indeterminado mientras posiblemente se realizaban registros de otros inmuebles, tiempo durante el cual fue amenazada (</w:t>
      </w:r>
      <w:r w:rsidRPr="00E9605E">
        <w:rPr>
          <w:rFonts w:eastAsiaTheme="minorHAnsi" w:cs="Verdana"/>
          <w:i/>
          <w:sz w:val="16"/>
          <w:szCs w:val="16"/>
          <w:lang w:val="es-ES_tradnl"/>
        </w:rPr>
        <w:t>supra</w:t>
      </w:r>
      <w:r w:rsidRPr="00B27C76">
        <w:rPr>
          <w:rFonts w:eastAsiaTheme="minorHAnsi" w:cs="Verdana"/>
          <w:sz w:val="16"/>
          <w:szCs w:val="16"/>
          <w:lang w:val="es-ES_tradnl"/>
        </w:rPr>
        <w:t xml:space="preserve"> </w:t>
      </w:r>
      <w:proofErr w:type="spellStart"/>
      <w:r w:rsidRPr="00B27C76">
        <w:rPr>
          <w:rFonts w:eastAsiaTheme="minorHAnsi" w:cs="Verdana"/>
          <w:sz w:val="16"/>
          <w:szCs w:val="16"/>
          <w:lang w:val="es-ES_tradnl"/>
        </w:rPr>
        <w:t>párrs</w:t>
      </w:r>
      <w:proofErr w:type="spellEnd"/>
      <w:r w:rsidRPr="00B27C76">
        <w:rPr>
          <w:rFonts w:eastAsiaTheme="minorHAnsi" w:cs="Verdana"/>
          <w:sz w:val="16"/>
          <w:szCs w:val="16"/>
          <w:lang w:val="es-ES_tradnl"/>
        </w:rPr>
        <w:t>. 354 a 356). Al analizar dichos hechos es necesario tomar en cuenta que, al haber estado vendada, la señora J. debió haber estado desorientada lo cual probablemente aumentó su grado de angustia y terror sobre lo que podría suceder. Estos sentimientos se intensificaron cuando la señora J. fue conducida por algún tiempo sin destino conocido, cuando es presumible que fue amen</w:t>
      </w:r>
      <w:r w:rsidR="00AF20CC">
        <w:rPr>
          <w:rFonts w:eastAsiaTheme="minorHAnsi" w:cs="Verdana"/>
          <w:sz w:val="16"/>
          <w:szCs w:val="16"/>
          <w:lang w:val="es-ES_tradnl"/>
        </w:rPr>
        <w:t>a</w:t>
      </w:r>
      <w:r w:rsidRPr="00B27C76">
        <w:rPr>
          <w:rFonts w:eastAsiaTheme="minorHAnsi" w:cs="Verdana"/>
          <w:sz w:val="16"/>
          <w:szCs w:val="16"/>
          <w:lang w:val="es-ES_tradnl"/>
        </w:rPr>
        <w:t>zada por funcionarios policiales (</w:t>
      </w:r>
      <w:r w:rsidR="00C365F8" w:rsidRPr="00C365F8">
        <w:rPr>
          <w:rFonts w:eastAsiaTheme="minorHAnsi" w:cs="Verdana"/>
          <w:i/>
          <w:sz w:val="16"/>
          <w:szCs w:val="16"/>
          <w:lang w:val="es-ES_tradnl"/>
        </w:rPr>
        <w:t>supra</w:t>
      </w:r>
      <w:r w:rsidRPr="00B27C76">
        <w:rPr>
          <w:rFonts w:eastAsiaTheme="minorHAnsi" w:cs="Verdana"/>
          <w:sz w:val="16"/>
          <w:szCs w:val="16"/>
          <w:lang w:val="es-ES_tradnl"/>
        </w:rPr>
        <w:t xml:space="preserve"> párr. 355), sin ningún tipo de garantía legal. Dentro de este contexto, al haber sido detenida mediante la fuerza, y tras haber sido víctima de una violencia sexual, para la señora J. existía un riesgo real e inmediato de que dichas amenazas se concretasen. Esto además es respaldado por el contexto existente al momento de los hechos.</w:t>
      </w:r>
    </w:p>
    <w:p w:rsidR="0035232B" w:rsidRPr="00B27C76" w:rsidRDefault="0035232B" w:rsidP="006C0486">
      <w:pPr>
        <w:tabs>
          <w:tab w:val="left" w:pos="1080"/>
        </w:tabs>
        <w:autoSpaceDE w:val="0"/>
        <w:autoSpaceDN w:val="0"/>
        <w:adjustRightInd w:val="0"/>
        <w:spacing w:after="0" w:line="240" w:lineRule="auto"/>
        <w:ind w:left="540" w:right="616"/>
        <w:jc w:val="both"/>
        <w:rPr>
          <w:rFonts w:eastAsiaTheme="minorHAnsi" w:cs="Verdana"/>
          <w:sz w:val="16"/>
          <w:szCs w:val="16"/>
          <w:lang w:val="es-ES_tradnl"/>
        </w:rPr>
      </w:pPr>
    </w:p>
    <w:p w:rsidR="0035232B" w:rsidRPr="00B27C76" w:rsidRDefault="0035232B" w:rsidP="006C0486">
      <w:pPr>
        <w:tabs>
          <w:tab w:val="left" w:pos="1080"/>
        </w:tabs>
        <w:autoSpaceDE w:val="0"/>
        <w:autoSpaceDN w:val="0"/>
        <w:adjustRightInd w:val="0"/>
        <w:spacing w:after="0" w:line="240" w:lineRule="auto"/>
        <w:ind w:left="540" w:right="616"/>
        <w:jc w:val="both"/>
        <w:rPr>
          <w:rFonts w:eastAsiaTheme="minorHAnsi" w:cs="Verdana"/>
          <w:sz w:val="16"/>
          <w:szCs w:val="16"/>
          <w:lang w:val="es-ES_tradnl"/>
        </w:rPr>
      </w:pPr>
      <w:r w:rsidRPr="00B27C76">
        <w:rPr>
          <w:rFonts w:eastAsiaTheme="minorHAnsi" w:cs="Verdana"/>
          <w:sz w:val="16"/>
          <w:szCs w:val="16"/>
          <w:lang w:val="es-ES_tradnl"/>
        </w:rPr>
        <w:t>366.</w:t>
      </w:r>
      <w:r w:rsidRPr="00B27C76">
        <w:rPr>
          <w:rFonts w:eastAsiaTheme="minorHAnsi" w:cs="Verdana"/>
          <w:sz w:val="16"/>
          <w:szCs w:val="16"/>
          <w:lang w:val="es-ES_tradnl"/>
        </w:rPr>
        <w:tab/>
        <w:t>Atendiendo al conjunto de las circunstancias del caso la Corte concluye que los maltratos a los que fue sometida la señora J. al momento de su detención constituyeron una violación del artículo 5.2 que prohíbe ser sometido a torturas ni a penas o tratos crueles, inhumanos o degradantes.</w:t>
      </w:r>
    </w:p>
    <w:p w:rsidR="001C300E" w:rsidRPr="00B27C76" w:rsidRDefault="001C300E" w:rsidP="001C300E">
      <w:pPr>
        <w:tabs>
          <w:tab w:val="left" w:pos="567"/>
        </w:tabs>
        <w:autoSpaceDE w:val="0"/>
        <w:autoSpaceDN w:val="0"/>
        <w:adjustRightInd w:val="0"/>
        <w:spacing w:after="0" w:line="240" w:lineRule="auto"/>
        <w:jc w:val="both"/>
        <w:rPr>
          <w:rFonts w:eastAsia="Times"/>
          <w:b/>
          <w:szCs w:val="20"/>
          <w:lang w:val="es-ES_tradnl"/>
        </w:rPr>
      </w:pPr>
    </w:p>
    <w:p w:rsidR="00E679FA" w:rsidRDefault="004C26D4" w:rsidP="004C26D4">
      <w:pPr>
        <w:pStyle w:val="Prrafodelista"/>
        <w:numPr>
          <w:ilvl w:val="0"/>
          <w:numId w:val="1"/>
        </w:numPr>
        <w:tabs>
          <w:tab w:val="left" w:pos="567"/>
        </w:tabs>
        <w:autoSpaceDE w:val="0"/>
        <w:autoSpaceDN w:val="0"/>
        <w:adjustRightInd w:val="0"/>
        <w:spacing w:after="0" w:line="240" w:lineRule="auto"/>
        <w:jc w:val="both"/>
        <w:rPr>
          <w:rFonts w:eastAsia="Times"/>
          <w:szCs w:val="20"/>
          <w:lang w:val="es-ES_tradnl"/>
        </w:rPr>
      </w:pPr>
      <w:bookmarkStart w:id="18" w:name="_Ref276693401"/>
      <w:r w:rsidRPr="004C26D4">
        <w:rPr>
          <w:rFonts w:eastAsia="Times"/>
          <w:szCs w:val="20"/>
          <w:lang w:val="es-ES_tradnl"/>
        </w:rPr>
        <w:t xml:space="preserve">De los párrafos transcritos se desprende que la Corte no precisó </w:t>
      </w:r>
      <w:r>
        <w:rPr>
          <w:rFonts w:eastAsia="Times"/>
          <w:szCs w:val="20"/>
          <w:lang w:val="es-ES_tradnl"/>
        </w:rPr>
        <w:t>si los maltratos sufridos por la señora J. constituían tortura o tratos crueles, inhumanos y degradantes</w:t>
      </w:r>
      <w:r w:rsidR="004855C7">
        <w:rPr>
          <w:rFonts w:eastAsia="Times"/>
          <w:szCs w:val="20"/>
          <w:lang w:val="es-ES_tradnl"/>
        </w:rPr>
        <w:t>, por lo que la Corte considera que corresponde al Estado, en el marco de su obligación de investigar</w:t>
      </w:r>
      <w:r w:rsidR="00835BB2">
        <w:rPr>
          <w:rStyle w:val="Refdenotaalpie"/>
          <w:rFonts w:eastAsia="Times"/>
          <w:szCs w:val="20"/>
          <w:lang w:val="es-ES_tradnl"/>
        </w:rPr>
        <w:footnoteReference w:id="9"/>
      </w:r>
      <w:r w:rsidR="004855C7">
        <w:rPr>
          <w:rFonts w:eastAsia="Times"/>
          <w:szCs w:val="20"/>
          <w:lang w:val="es-ES_tradnl"/>
        </w:rPr>
        <w:t xml:space="preserve">, determinar </w:t>
      </w:r>
      <w:r w:rsidR="00345DF1">
        <w:rPr>
          <w:rFonts w:eastAsia="Times"/>
          <w:szCs w:val="20"/>
          <w:lang w:val="es-ES_tradnl"/>
        </w:rPr>
        <w:t xml:space="preserve">la calificación jurídica específica que corresponde a estos hechos, dentro de las </w:t>
      </w:r>
      <w:r w:rsidR="00E679FA" w:rsidRPr="00345DF1">
        <w:rPr>
          <w:rFonts w:eastAsia="Times"/>
          <w:szCs w:val="20"/>
          <w:lang w:val="es-ES_tradnl"/>
        </w:rPr>
        <w:t>conductas prohibidas por e</w:t>
      </w:r>
      <w:r w:rsidR="00345DF1" w:rsidRPr="00345DF1">
        <w:rPr>
          <w:rFonts w:eastAsia="Times"/>
          <w:szCs w:val="20"/>
          <w:lang w:val="es-ES_tradnl"/>
        </w:rPr>
        <w:t>l artículo</w:t>
      </w:r>
      <w:r w:rsidR="00E679FA" w:rsidRPr="00345DF1">
        <w:rPr>
          <w:rFonts w:eastAsia="Times"/>
          <w:szCs w:val="20"/>
          <w:lang w:val="es-ES_tradnl"/>
        </w:rPr>
        <w:t xml:space="preserve"> 5.2 de la Convención</w:t>
      </w:r>
      <w:r w:rsidR="00E679FA" w:rsidRPr="00E679FA">
        <w:rPr>
          <w:rFonts w:eastAsia="Times"/>
          <w:szCs w:val="20"/>
          <w:lang w:val="es-ES_tradnl"/>
        </w:rPr>
        <w:t>.</w:t>
      </w:r>
      <w:bookmarkEnd w:id="18"/>
      <w:r w:rsidR="00E679FA" w:rsidRPr="00E679FA">
        <w:rPr>
          <w:rFonts w:eastAsia="Times"/>
          <w:szCs w:val="20"/>
          <w:lang w:val="es-ES_tradnl"/>
        </w:rPr>
        <w:t xml:space="preserve"> </w:t>
      </w:r>
    </w:p>
    <w:p w:rsidR="00E679FA" w:rsidRDefault="00E679FA" w:rsidP="00E679FA">
      <w:pPr>
        <w:pStyle w:val="Prrafodelista"/>
        <w:tabs>
          <w:tab w:val="left" w:pos="567"/>
        </w:tabs>
        <w:autoSpaceDE w:val="0"/>
        <w:autoSpaceDN w:val="0"/>
        <w:adjustRightInd w:val="0"/>
        <w:spacing w:after="0" w:line="240" w:lineRule="auto"/>
        <w:ind w:left="0"/>
        <w:jc w:val="both"/>
        <w:rPr>
          <w:rFonts w:eastAsia="Times"/>
          <w:szCs w:val="20"/>
          <w:lang w:val="es-ES_tradnl"/>
        </w:rPr>
      </w:pPr>
    </w:p>
    <w:p w:rsidR="00456E5E" w:rsidRPr="00A35DF2" w:rsidRDefault="00E679FA" w:rsidP="00A35DF2">
      <w:pPr>
        <w:pStyle w:val="Prrafodelista"/>
        <w:numPr>
          <w:ilvl w:val="0"/>
          <w:numId w:val="1"/>
        </w:numPr>
        <w:tabs>
          <w:tab w:val="left" w:pos="567"/>
        </w:tabs>
        <w:autoSpaceDE w:val="0"/>
        <w:autoSpaceDN w:val="0"/>
        <w:adjustRightInd w:val="0"/>
        <w:spacing w:after="0" w:line="240" w:lineRule="auto"/>
        <w:jc w:val="both"/>
        <w:rPr>
          <w:rFonts w:eastAsia="Times"/>
          <w:szCs w:val="20"/>
          <w:lang w:val="es-ES_tradnl"/>
        </w:rPr>
      </w:pPr>
      <w:bookmarkStart w:id="19" w:name="_Ref406493924"/>
      <w:r>
        <w:rPr>
          <w:rFonts w:eastAsia="Times"/>
          <w:szCs w:val="20"/>
          <w:lang w:val="es-ES_tradnl"/>
        </w:rPr>
        <w:t xml:space="preserve">Ahora bien, en virtud de algunas manifestaciones de las partes y de la Comisión en el marco de esta solicitud de interpretación, la Corte estima pertinente </w:t>
      </w:r>
      <w:r w:rsidR="0009389B">
        <w:rPr>
          <w:rFonts w:eastAsia="Times"/>
          <w:szCs w:val="20"/>
          <w:lang w:val="es-ES_tradnl"/>
        </w:rPr>
        <w:t>realizar las siguientes precisiones</w:t>
      </w:r>
      <w:r>
        <w:rPr>
          <w:rFonts w:eastAsia="Times"/>
          <w:szCs w:val="20"/>
          <w:lang w:val="es-ES_tradnl"/>
        </w:rPr>
        <w:t xml:space="preserve">: </w:t>
      </w:r>
      <w:r w:rsidR="0009389B">
        <w:rPr>
          <w:rFonts w:eastAsia="Times"/>
          <w:szCs w:val="20"/>
          <w:lang w:val="es-ES_tradnl"/>
        </w:rPr>
        <w:t xml:space="preserve">(i) este Tribunal concluyó que el “manoseo” del cual fue víctima la señora J. constituía violencia sexual, en la medida en que las declaraciones que constan en el expediente no permitían determinar si en dicho acto </w:t>
      </w:r>
      <w:r w:rsidR="00845165">
        <w:rPr>
          <w:rFonts w:eastAsia="Times"/>
          <w:szCs w:val="20"/>
          <w:lang w:val="es-ES_tradnl"/>
        </w:rPr>
        <w:t xml:space="preserve">hubo alguna </w:t>
      </w:r>
      <w:r w:rsidR="00DA42F9">
        <w:rPr>
          <w:rFonts w:eastAsia="Times"/>
          <w:szCs w:val="20"/>
          <w:lang w:val="es-ES_tradnl"/>
        </w:rPr>
        <w:t xml:space="preserve">forma de </w:t>
      </w:r>
      <w:r w:rsidR="0009389B">
        <w:rPr>
          <w:rFonts w:eastAsia="Times"/>
          <w:szCs w:val="20"/>
          <w:lang w:val="es-ES_tradnl"/>
        </w:rPr>
        <w:t>penetración, por insignificante que fuera</w:t>
      </w:r>
      <w:r w:rsidR="00845165">
        <w:rPr>
          <w:rStyle w:val="Refdenotaalpie"/>
          <w:rFonts w:eastAsia="Times"/>
          <w:szCs w:val="20"/>
          <w:lang w:val="es-ES_tradnl"/>
        </w:rPr>
        <w:footnoteReference w:id="10"/>
      </w:r>
      <w:r w:rsidR="0009389B">
        <w:rPr>
          <w:rFonts w:eastAsia="Times"/>
          <w:szCs w:val="20"/>
          <w:lang w:val="es-ES_tradnl"/>
        </w:rPr>
        <w:t xml:space="preserve">; (ii) esta conclusión no excluye la posibilidad de que, en el </w:t>
      </w:r>
      <w:r w:rsidR="00841214">
        <w:rPr>
          <w:rFonts w:eastAsia="Times"/>
          <w:szCs w:val="20"/>
          <w:lang w:val="es-ES_tradnl"/>
        </w:rPr>
        <w:t>marco de las investigaciones a nivel interno</w:t>
      </w:r>
      <w:r w:rsidR="0009389B">
        <w:rPr>
          <w:rFonts w:eastAsia="Times"/>
          <w:szCs w:val="20"/>
          <w:lang w:val="es-ES_tradnl"/>
        </w:rPr>
        <w:t>, se determine que dicha violencia sexual constituyó además una violación sexual, en los términos expuestos en la Sentencia</w:t>
      </w:r>
      <w:r w:rsidR="00DA42F9">
        <w:rPr>
          <w:rStyle w:val="Refdenotaalpie"/>
          <w:rFonts w:eastAsia="Times"/>
          <w:szCs w:val="20"/>
          <w:lang w:val="es-ES_tradnl"/>
        </w:rPr>
        <w:footnoteReference w:id="11"/>
      </w:r>
      <w:r w:rsidR="0009389B">
        <w:rPr>
          <w:rFonts w:eastAsia="Times"/>
          <w:szCs w:val="20"/>
          <w:lang w:val="es-ES_tradnl"/>
        </w:rPr>
        <w:t xml:space="preserve">; (iii) </w:t>
      </w:r>
      <w:r w:rsidR="00DA42F9">
        <w:rPr>
          <w:rFonts w:eastAsia="Times"/>
          <w:szCs w:val="20"/>
          <w:lang w:val="es-ES_tradnl"/>
        </w:rPr>
        <w:t xml:space="preserve">los malos tratos sobre los cuales el Estado debe </w:t>
      </w:r>
      <w:r w:rsidR="00DA42F9">
        <w:rPr>
          <w:rFonts w:eastAsia="Times"/>
          <w:szCs w:val="20"/>
          <w:lang w:val="es-ES_tradnl"/>
        </w:rPr>
        <w:lastRenderedPageBreak/>
        <w:t>iniciar una investigación no se limitan al acto de violencia sexual</w:t>
      </w:r>
      <w:r w:rsidR="00841214">
        <w:rPr>
          <w:rFonts w:eastAsia="Times"/>
          <w:szCs w:val="20"/>
          <w:lang w:val="es-ES_tradnl"/>
        </w:rPr>
        <w:t xml:space="preserve">, sino que el Perú deberá tomar en cuenta todos los </w:t>
      </w:r>
      <w:r w:rsidR="00F749AF">
        <w:rPr>
          <w:rFonts w:eastAsia="Times"/>
          <w:szCs w:val="20"/>
          <w:lang w:val="es-ES_tradnl"/>
        </w:rPr>
        <w:t xml:space="preserve">maltratos </w:t>
      </w:r>
      <w:r w:rsidR="00841214">
        <w:rPr>
          <w:rFonts w:eastAsia="Times"/>
          <w:szCs w:val="20"/>
          <w:lang w:val="es-ES_tradnl"/>
        </w:rPr>
        <w:t xml:space="preserve">sufridos por la señora J. al momento de su detención, </w:t>
      </w:r>
      <w:r w:rsidR="00F749AF">
        <w:rPr>
          <w:rFonts w:eastAsia="Times"/>
          <w:szCs w:val="20"/>
          <w:lang w:val="es-ES_tradnl"/>
        </w:rPr>
        <w:t xml:space="preserve">teniendo en cuenta lo </w:t>
      </w:r>
      <w:r w:rsidR="00841214">
        <w:rPr>
          <w:rFonts w:eastAsia="Times"/>
          <w:szCs w:val="20"/>
          <w:lang w:val="es-ES_tradnl"/>
        </w:rPr>
        <w:t>establecido en la Sentencia (</w:t>
      </w:r>
      <w:r w:rsidR="00841214" w:rsidRPr="00841214">
        <w:rPr>
          <w:rFonts w:eastAsia="Times"/>
          <w:i/>
          <w:szCs w:val="20"/>
          <w:lang w:val="es-ES_tradnl"/>
        </w:rPr>
        <w:t xml:space="preserve">supra </w:t>
      </w:r>
      <w:r w:rsidR="00841214">
        <w:rPr>
          <w:rFonts w:eastAsia="Times"/>
          <w:szCs w:val="20"/>
          <w:lang w:val="es-ES_tradnl"/>
        </w:rPr>
        <w:t xml:space="preserve">párr. </w:t>
      </w:r>
      <w:r w:rsidR="00C62C4C">
        <w:rPr>
          <w:rFonts w:eastAsia="Times"/>
          <w:szCs w:val="20"/>
          <w:lang w:val="es-ES_tradnl"/>
        </w:rPr>
        <w:fldChar w:fldCharType="begin"/>
      </w:r>
      <w:r w:rsidR="00841214">
        <w:rPr>
          <w:rFonts w:eastAsia="Times"/>
          <w:szCs w:val="20"/>
          <w:lang w:val="es-ES_tradnl"/>
        </w:rPr>
        <w:instrText xml:space="preserve"> REF _Ref276693010 \r \h </w:instrText>
      </w:r>
      <w:r w:rsidR="00C62C4C">
        <w:rPr>
          <w:rFonts w:eastAsia="Times"/>
          <w:szCs w:val="20"/>
          <w:lang w:val="es-ES_tradnl"/>
        </w:rPr>
      </w:r>
      <w:r w:rsidR="00C62C4C">
        <w:rPr>
          <w:rFonts w:eastAsia="Times"/>
          <w:szCs w:val="20"/>
          <w:lang w:val="es-ES_tradnl"/>
        </w:rPr>
        <w:fldChar w:fldCharType="separate"/>
      </w:r>
      <w:r w:rsidR="002D145C">
        <w:rPr>
          <w:rFonts w:eastAsia="Times"/>
          <w:szCs w:val="20"/>
          <w:lang w:val="es-ES_tradnl"/>
        </w:rPr>
        <w:t>19</w:t>
      </w:r>
      <w:r w:rsidR="00C62C4C">
        <w:rPr>
          <w:rFonts w:eastAsia="Times"/>
          <w:szCs w:val="20"/>
          <w:lang w:val="es-ES_tradnl"/>
        </w:rPr>
        <w:fldChar w:fldCharType="end"/>
      </w:r>
      <w:r w:rsidR="00841214">
        <w:rPr>
          <w:rFonts w:eastAsia="Times"/>
          <w:szCs w:val="20"/>
          <w:lang w:val="es-ES_tradnl"/>
        </w:rPr>
        <w:t>)</w:t>
      </w:r>
      <w:r w:rsidR="00D80696">
        <w:rPr>
          <w:rFonts w:eastAsia="Times"/>
          <w:szCs w:val="20"/>
          <w:lang w:val="es-ES_tradnl"/>
        </w:rPr>
        <w:t>, y</w:t>
      </w:r>
      <w:r w:rsidR="00F51282">
        <w:rPr>
          <w:rFonts w:eastAsia="Times"/>
          <w:szCs w:val="20"/>
          <w:lang w:val="es-ES_tradnl"/>
        </w:rPr>
        <w:t xml:space="preserve"> (iv)</w:t>
      </w:r>
      <w:r w:rsidR="00841214">
        <w:rPr>
          <w:rFonts w:eastAsia="Times"/>
          <w:szCs w:val="20"/>
          <w:lang w:val="es-ES_tradnl"/>
        </w:rPr>
        <w:t xml:space="preserve"> </w:t>
      </w:r>
      <w:r w:rsidR="00345DF1">
        <w:rPr>
          <w:rFonts w:eastAsia="Times"/>
          <w:szCs w:val="20"/>
          <w:lang w:val="es-ES_tradnl"/>
        </w:rPr>
        <w:t xml:space="preserve">en el marco de las investigaciones a nivel interno, el Estado deberá tener en cuenta las demás consideraciones y determinaciones de la Corte en cuanto </w:t>
      </w:r>
      <w:r w:rsidR="00C9624A">
        <w:rPr>
          <w:rFonts w:eastAsia="Times"/>
          <w:szCs w:val="20"/>
          <w:lang w:val="es-ES_tradnl"/>
        </w:rPr>
        <w:t>a los maltratos sufridos por la señora J.</w:t>
      </w:r>
      <w:r w:rsidR="00B26733">
        <w:rPr>
          <w:rFonts w:eastAsia="Times"/>
          <w:szCs w:val="20"/>
          <w:lang w:val="es-ES_tradnl"/>
        </w:rPr>
        <w:t>, su gravedad y efectos</w:t>
      </w:r>
      <w:r w:rsidR="00B26733">
        <w:rPr>
          <w:rStyle w:val="Refdenotaalpie"/>
          <w:rFonts w:eastAsia="Times"/>
          <w:szCs w:val="20"/>
          <w:lang w:val="es-ES_tradnl"/>
        </w:rPr>
        <w:footnoteReference w:id="12"/>
      </w:r>
      <w:r w:rsidR="000E0432">
        <w:rPr>
          <w:rFonts w:eastAsia="Times"/>
          <w:szCs w:val="20"/>
          <w:lang w:val="es-ES_tradnl"/>
        </w:rPr>
        <w:t>.</w:t>
      </w:r>
      <w:bookmarkEnd w:id="19"/>
      <w:r w:rsidR="00A35DF2">
        <w:rPr>
          <w:rFonts w:eastAsia="Times"/>
          <w:szCs w:val="20"/>
          <w:lang w:val="es-ES_tradnl"/>
        </w:rPr>
        <w:t xml:space="preserve"> </w:t>
      </w:r>
    </w:p>
    <w:p w:rsidR="00547146" w:rsidRPr="00B27C76" w:rsidRDefault="00547146" w:rsidP="001C300E">
      <w:pPr>
        <w:tabs>
          <w:tab w:val="left" w:pos="567"/>
        </w:tabs>
        <w:spacing w:after="0" w:line="240" w:lineRule="auto"/>
        <w:jc w:val="both"/>
        <w:rPr>
          <w:rFonts w:eastAsia="Times"/>
          <w:szCs w:val="20"/>
          <w:lang w:val="es-ES_tradnl"/>
        </w:rPr>
      </w:pPr>
    </w:p>
    <w:p w:rsidR="00632769" w:rsidRPr="00B27C76" w:rsidRDefault="006F7AFA" w:rsidP="001C300E">
      <w:pPr>
        <w:pStyle w:val="Prrafodelista"/>
        <w:numPr>
          <w:ilvl w:val="0"/>
          <w:numId w:val="4"/>
        </w:numPr>
        <w:tabs>
          <w:tab w:val="left" w:pos="567"/>
        </w:tabs>
        <w:autoSpaceDE w:val="0"/>
        <w:autoSpaceDN w:val="0"/>
        <w:adjustRightInd w:val="0"/>
        <w:spacing w:after="0" w:line="240" w:lineRule="auto"/>
        <w:jc w:val="both"/>
        <w:rPr>
          <w:rFonts w:cs="Arial"/>
          <w:b/>
          <w:szCs w:val="20"/>
          <w:lang w:val="es-ES_tradnl"/>
        </w:rPr>
      </w:pPr>
      <w:r w:rsidRPr="00B27C76">
        <w:rPr>
          <w:rFonts w:eastAsia="Times"/>
          <w:b/>
          <w:szCs w:val="20"/>
          <w:lang w:val="es-ES_tradnl"/>
        </w:rPr>
        <w:t>Los e</w:t>
      </w:r>
      <w:r w:rsidR="00632769" w:rsidRPr="00B27C76">
        <w:rPr>
          <w:rFonts w:eastAsia="Times"/>
          <w:b/>
          <w:szCs w:val="20"/>
          <w:lang w:val="es-ES_tradnl"/>
        </w:rPr>
        <w:t>fectos legales de la afectación de derechos</w:t>
      </w:r>
      <w:r w:rsidRPr="00B27C76">
        <w:rPr>
          <w:rFonts w:eastAsia="Times"/>
          <w:b/>
          <w:szCs w:val="20"/>
          <w:lang w:val="es-ES_tradnl"/>
        </w:rPr>
        <w:t xml:space="preserve"> </w:t>
      </w:r>
      <w:r w:rsidR="00CF7B79">
        <w:rPr>
          <w:rFonts w:eastAsia="Times"/>
          <w:b/>
          <w:szCs w:val="20"/>
          <w:lang w:val="es-ES_tradnl"/>
        </w:rPr>
        <w:t>mencionad</w:t>
      </w:r>
      <w:r w:rsidR="007527F5">
        <w:rPr>
          <w:rFonts w:eastAsia="Times"/>
          <w:b/>
          <w:szCs w:val="20"/>
          <w:lang w:val="es-ES_tradnl"/>
        </w:rPr>
        <w:t>a</w:t>
      </w:r>
      <w:r w:rsidR="00CF7B79">
        <w:rPr>
          <w:rFonts w:eastAsia="Times"/>
          <w:b/>
          <w:szCs w:val="20"/>
          <w:lang w:val="es-ES_tradnl"/>
        </w:rPr>
        <w:t xml:space="preserve"> </w:t>
      </w:r>
      <w:r w:rsidRPr="00B27C76">
        <w:rPr>
          <w:rFonts w:eastAsia="Times"/>
          <w:b/>
          <w:szCs w:val="20"/>
          <w:lang w:val="es-ES_tradnl"/>
        </w:rPr>
        <w:t>en el</w:t>
      </w:r>
      <w:r w:rsidR="00632769" w:rsidRPr="00B27C76">
        <w:rPr>
          <w:rFonts w:eastAsia="Times"/>
          <w:b/>
          <w:szCs w:val="20"/>
          <w:lang w:val="es-ES_tradnl"/>
        </w:rPr>
        <w:t xml:space="preserve"> </w:t>
      </w:r>
      <w:r w:rsidRPr="00B27C76">
        <w:rPr>
          <w:rFonts w:eastAsia="Times"/>
          <w:b/>
          <w:szCs w:val="20"/>
          <w:lang w:val="es-ES_tradnl"/>
        </w:rPr>
        <w:t xml:space="preserve">párrafo </w:t>
      </w:r>
      <w:r w:rsidR="00632769" w:rsidRPr="00B27C76">
        <w:rPr>
          <w:rFonts w:eastAsia="Times"/>
          <w:b/>
          <w:szCs w:val="20"/>
          <w:lang w:val="es-ES_tradnl"/>
        </w:rPr>
        <w:t>227</w:t>
      </w:r>
      <w:r w:rsidR="0008702B">
        <w:rPr>
          <w:rFonts w:eastAsia="Times"/>
          <w:b/>
          <w:szCs w:val="20"/>
          <w:lang w:val="es-ES_tradnl"/>
        </w:rPr>
        <w:t xml:space="preserve"> de la Sentencia</w:t>
      </w:r>
    </w:p>
    <w:p w:rsidR="00632769" w:rsidRPr="00B27C76" w:rsidRDefault="00632769" w:rsidP="00632769">
      <w:pPr>
        <w:pStyle w:val="Prrafodelista"/>
        <w:tabs>
          <w:tab w:val="left" w:pos="567"/>
        </w:tabs>
        <w:spacing w:after="0" w:line="240" w:lineRule="auto"/>
        <w:jc w:val="both"/>
        <w:rPr>
          <w:rFonts w:eastAsia="Times"/>
          <w:b/>
          <w:szCs w:val="20"/>
          <w:lang w:val="es-ES_tradnl"/>
        </w:rPr>
      </w:pPr>
    </w:p>
    <w:p w:rsidR="00632769" w:rsidRPr="00B27C76" w:rsidRDefault="00EB0958" w:rsidP="00632769">
      <w:pPr>
        <w:pStyle w:val="Prrafodelista"/>
        <w:tabs>
          <w:tab w:val="left" w:pos="567"/>
        </w:tabs>
        <w:spacing w:after="0" w:line="240" w:lineRule="auto"/>
        <w:jc w:val="both"/>
        <w:rPr>
          <w:rFonts w:cs="Arial"/>
          <w:i/>
          <w:szCs w:val="20"/>
          <w:lang w:val="es-ES_tradnl"/>
        </w:rPr>
      </w:pPr>
      <w:r w:rsidRPr="00B27C76">
        <w:rPr>
          <w:rFonts w:cs="Arial"/>
          <w:i/>
          <w:szCs w:val="20"/>
          <w:lang w:val="es-ES_tradnl"/>
        </w:rPr>
        <w:t>Argumentos de la Comisión y de las partes</w:t>
      </w:r>
    </w:p>
    <w:p w:rsidR="002350D4" w:rsidRPr="00B27C76" w:rsidRDefault="002350D4" w:rsidP="00632769">
      <w:pPr>
        <w:pStyle w:val="Prrafodelista"/>
        <w:tabs>
          <w:tab w:val="left" w:pos="567"/>
        </w:tabs>
        <w:spacing w:after="0" w:line="240" w:lineRule="auto"/>
        <w:jc w:val="both"/>
        <w:rPr>
          <w:rFonts w:cs="Arial"/>
          <w:i/>
          <w:szCs w:val="20"/>
          <w:lang w:val="es-ES_tradnl"/>
        </w:rPr>
      </w:pPr>
    </w:p>
    <w:p w:rsidR="00017560" w:rsidRPr="00B27C76" w:rsidRDefault="002350D4" w:rsidP="00F749AF">
      <w:pPr>
        <w:pStyle w:val="Prrafodelista"/>
        <w:numPr>
          <w:ilvl w:val="0"/>
          <w:numId w:val="1"/>
        </w:numPr>
        <w:tabs>
          <w:tab w:val="left" w:pos="567"/>
        </w:tabs>
        <w:spacing w:after="0" w:line="240" w:lineRule="auto"/>
        <w:jc w:val="both"/>
        <w:rPr>
          <w:rFonts w:cs="Arial"/>
          <w:i/>
          <w:szCs w:val="20"/>
          <w:lang w:val="es-ES_tradnl"/>
        </w:rPr>
      </w:pPr>
      <w:r w:rsidRPr="00B27C76">
        <w:rPr>
          <w:rFonts w:eastAsia="Times"/>
          <w:szCs w:val="20"/>
          <w:lang w:val="es-ES_tradnl"/>
        </w:rPr>
        <w:t xml:space="preserve">La </w:t>
      </w:r>
      <w:r w:rsidRPr="00B27C76">
        <w:rPr>
          <w:rFonts w:eastAsia="Times"/>
          <w:b/>
          <w:i/>
          <w:szCs w:val="20"/>
          <w:lang w:val="es-ES_tradnl"/>
        </w:rPr>
        <w:t>representante</w:t>
      </w:r>
      <w:r w:rsidRPr="00B27C76">
        <w:rPr>
          <w:rFonts w:eastAsia="Times"/>
          <w:i/>
          <w:szCs w:val="20"/>
          <w:lang w:val="es-ES_tradnl"/>
        </w:rPr>
        <w:t xml:space="preserve"> </w:t>
      </w:r>
      <w:r w:rsidRPr="00B27C76">
        <w:rPr>
          <w:rFonts w:eastAsia="Times"/>
          <w:szCs w:val="20"/>
          <w:lang w:val="es-ES_tradnl"/>
        </w:rPr>
        <w:t>s</w:t>
      </w:r>
      <w:r w:rsidR="00017560" w:rsidRPr="00B27C76">
        <w:rPr>
          <w:rFonts w:eastAsia="Times"/>
          <w:szCs w:val="20"/>
          <w:lang w:val="es-ES_tradnl"/>
        </w:rPr>
        <w:t xml:space="preserve">eñaló que en el párrafo 227 la Corte reconoció que </w:t>
      </w:r>
      <w:r w:rsidR="00B67F6B">
        <w:rPr>
          <w:rFonts w:eastAsia="Times"/>
          <w:szCs w:val="20"/>
          <w:lang w:val="es-ES_tradnl"/>
        </w:rPr>
        <w:t>“</w:t>
      </w:r>
      <w:r w:rsidR="00017560" w:rsidRPr="00B27C76">
        <w:rPr>
          <w:rFonts w:eastAsia="Times"/>
          <w:szCs w:val="20"/>
          <w:lang w:val="es-ES_tradnl"/>
        </w:rPr>
        <w:t>la decisión de la Corte Suprema</w:t>
      </w:r>
      <w:r w:rsidR="00034EEA" w:rsidRPr="00B27C76">
        <w:rPr>
          <w:rFonts w:eastAsia="Times"/>
          <w:szCs w:val="20"/>
          <w:lang w:val="es-ES_tradnl"/>
        </w:rPr>
        <w:t xml:space="preserve"> </w:t>
      </w:r>
      <w:r w:rsidR="00B67F6B" w:rsidRPr="00B27C76">
        <w:rPr>
          <w:rFonts w:eastAsia="Times"/>
          <w:iCs/>
          <w:szCs w:val="20"/>
          <w:lang w:val="es-ES_tradnl"/>
        </w:rPr>
        <w:t>‘</w:t>
      </w:r>
      <w:r w:rsidR="00034EEA" w:rsidRPr="00B27C76">
        <w:rPr>
          <w:rFonts w:eastAsia="Times"/>
          <w:szCs w:val="20"/>
          <w:lang w:val="es-ES_tradnl"/>
        </w:rPr>
        <w:t>sin rostro</w:t>
      </w:r>
      <w:r w:rsidR="00B67F6B" w:rsidRPr="00B27C76">
        <w:rPr>
          <w:rFonts w:eastAsia="Times"/>
          <w:szCs w:val="20"/>
          <w:lang w:val="es-ES_tradnl"/>
        </w:rPr>
        <w:t>’</w:t>
      </w:r>
      <w:r w:rsidR="00034EEA" w:rsidRPr="00B27C76">
        <w:rPr>
          <w:rFonts w:eastAsia="Times"/>
          <w:szCs w:val="20"/>
          <w:lang w:val="es-ES_tradnl"/>
        </w:rPr>
        <w:t xml:space="preserve"> de 27 de diciembre de 1993</w:t>
      </w:r>
      <w:r w:rsidR="008B19D6" w:rsidRPr="00B27C76">
        <w:rPr>
          <w:rFonts w:eastAsia="Times"/>
          <w:szCs w:val="20"/>
          <w:lang w:val="es-ES_tradnl"/>
        </w:rPr>
        <w:t xml:space="preserve"> no constituyó</w:t>
      </w:r>
      <w:r w:rsidR="00017560" w:rsidRPr="00B27C76">
        <w:rPr>
          <w:rFonts w:eastAsia="Times"/>
          <w:szCs w:val="20"/>
          <w:lang w:val="es-ES_tradnl"/>
        </w:rPr>
        <w:t xml:space="preserve"> una condena pero afectó</w:t>
      </w:r>
      <w:r w:rsidR="008B19D6" w:rsidRPr="00B27C76">
        <w:rPr>
          <w:rFonts w:eastAsia="Times"/>
          <w:szCs w:val="20"/>
          <w:lang w:val="es-ES_tradnl"/>
        </w:rPr>
        <w:t xml:space="preserve"> los derechos de la señora J.”. La representante</w:t>
      </w:r>
      <w:r w:rsidR="00B77D17" w:rsidRPr="00B27C76">
        <w:rPr>
          <w:rFonts w:eastAsia="Times"/>
          <w:szCs w:val="20"/>
          <w:lang w:val="es-ES_tradnl"/>
        </w:rPr>
        <w:t xml:space="preserve"> solicitó a este </w:t>
      </w:r>
      <w:r w:rsidR="00017560" w:rsidRPr="00B27C76">
        <w:rPr>
          <w:rFonts w:eastAsia="Times"/>
          <w:szCs w:val="20"/>
          <w:lang w:val="es-ES_tradnl"/>
        </w:rPr>
        <w:t xml:space="preserve">Tribunal </w:t>
      </w:r>
      <w:r w:rsidR="002121C9" w:rsidRPr="00B27C76">
        <w:rPr>
          <w:rFonts w:eastAsia="Times"/>
          <w:szCs w:val="20"/>
          <w:lang w:val="es-ES_tradnl"/>
        </w:rPr>
        <w:t xml:space="preserve">“una aclaración </w:t>
      </w:r>
      <w:r w:rsidR="00B77D17" w:rsidRPr="00B27C76">
        <w:rPr>
          <w:rFonts w:eastAsia="Times"/>
          <w:szCs w:val="20"/>
          <w:lang w:val="es-ES_tradnl"/>
        </w:rPr>
        <w:t>[sobre la]</w:t>
      </w:r>
      <w:r w:rsidR="002121C9" w:rsidRPr="00B27C76">
        <w:rPr>
          <w:rFonts w:eastAsia="Times"/>
          <w:szCs w:val="20"/>
          <w:lang w:val="es-ES_tradnl"/>
        </w:rPr>
        <w:t xml:space="preserve"> manera </w:t>
      </w:r>
      <w:r w:rsidR="00B77D17" w:rsidRPr="00B27C76">
        <w:rPr>
          <w:rFonts w:eastAsia="Times"/>
          <w:szCs w:val="20"/>
          <w:lang w:val="es-ES_tradnl"/>
        </w:rPr>
        <w:t xml:space="preserve">[en que] </w:t>
      </w:r>
      <w:r w:rsidR="002121C9" w:rsidRPr="00B27C76">
        <w:rPr>
          <w:rFonts w:eastAsia="Times"/>
          <w:szCs w:val="20"/>
          <w:lang w:val="es-ES_tradnl"/>
        </w:rPr>
        <w:t>dicha afectación de los derechos de la señora J. […] fueron ‘borrados’ […], de conformidad con el principio contenido en el A</w:t>
      </w:r>
      <w:r w:rsidR="008B19D6" w:rsidRPr="00B27C76">
        <w:rPr>
          <w:rFonts w:eastAsia="Times"/>
          <w:szCs w:val="20"/>
          <w:lang w:val="es-ES_tradnl"/>
        </w:rPr>
        <w:t>rtículo 63 de la Convención Americana</w:t>
      </w:r>
      <w:r w:rsidR="00034EEA" w:rsidRPr="00B27C76">
        <w:rPr>
          <w:rFonts w:eastAsia="Times"/>
          <w:szCs w:val="20"/>
          <w:lang w:val="es-ES_tradnl"/>
        </w:rPr>
        <w:t>,</w:t>
      </w:r>
      <w:r w:rsidR="008B19D6" w:rsidRPr="00B27C76">
        <w:rPr>
          <w:rFonts w:eastAsia="Times"/>
          <w:szCs w:val="20"/>
          <w:lang w:val="es-ES_tradnl"/>
        </w:rPr>
        <w:t xml:space="preserve"> </w:t>
      </w:r>
      <w:r w:rsidR="002121C9" w:rsidRPr="00B27C76">
        <w:rPr>
          <w:rFonts w:eastAsia="Times"/>
          <w:szCs w:val="20"/>
          <w:lang w:val="es-ES_tradnl"/>
        </w:rPr>
        <w:t xml:space="preserve">restituyéndose su derecho, como si la violación no hubiera ocurrido”. </w:t>
      </w:r>
      <w:r w:rsidR="00B77D17" w:rsidRPr="00B27C76">
        <w:rPr>
          <w:rFonts w:eastAsia="Times"/>
          <w:szCs w:val="20"/>
          <w:lang w:val="es-ES_tradnl"/>
        </w:rPr>
        <w:t>S</w:t>
      </w:r>
      <w:r w:rsidR="00034EEA" w:rsidRPr="00B27C76">
        <w:rPr>
          <w:rFonts w:eastAsia="Times"/>
          <w:szCs w:val="20"/>
          <w:lang w:val="es-ES_tradnl"/>
        </w:rPr>
        <w:t xml:space="preserve">olicitó </w:t>
      </w:r>
      <w:r w:rsidR="0084033F" w:rsidRPr="00B27C76">
        <w:rPr>
          <w:rFonts w:eastAsia="Times"/>
          <w:szCs w:val="20"/>
          <w:lang w:val="es-ES_tradnl"/>
        </w:rPr>
        <w:t>se aclarara</w:t>
      </w:r>
      <w:r w:rsidR="00034EEA" w:rsidRPr="00B27C76">
        <w:rPr>
          <w:rFonts w:eastAsia="Times"/>
          <w:szCs w:val="20"/>
          <w:lang w:val="es-ES_tradnl"/>
        </w:rPr>
        <w:t xml:space="preserve"> </w:t>
      </w:r>
      <w:r w:rsidR="0084033F" w:rsidRPr="00B27C76">
        <w:rPr>
          <w:rFonts w:eastAsia="Times"/>
          <w:szCs w:val="20"/>
          <w:lang w:val="es-ES_tradnl"/>
        </w:rPr>
        <w:t>“</w:t>
      </w:r>
      <w:r w:rsidR="00034EEA" w:rsidRPr="00B27C76">
        <w:rPr>
          <w:rFonts w:eastAsia="Times"/>
          <w:szCs w:val="20"/>
          <w:lang w:val="es-ES_tradnl"/>
        </w:rPr>
        <w:t xml:space="preserve">si fue el tenor de </w:t>
      </w:r>
      <w:r w:rsidR="0084033F" w:rsidRPr="00B27C76">
        <w:rPr>
          <w:rFonts w:eastAsia="Times"/>
          <w:szCs w:val="20"/>
          <w:lang w:val="es-ES_tradnl"/>
        </w:rPr>
        <w:t xml:space="preserve">[la] </w:t>
      </w:r>
      <w:r w:rsidR="00034EEA" w:rsidRPr="00B27C76">
        <w:rPr>
          <w:rFonts w:eastAsia="Times"/>
          <w:szCs w:val="20"/>
          <w:lang w:val="es-ES_tradnl"/>
        </w:rPr>
        <w:t>Sentencia el permitir efecto jurídico a dicha Sentencia del 27 de diciembre de 1993</w:t>
      </w:r>
      <w:r w:rsidR="0084033F" w:rsidRPr="00B27C76">
        <w:rPr>
          <w:rFonts w:eastAsia="Times"/>
          <w:szCs w:val="20"/>
          <w:lang w:val="es-ES_tradnl"/>
        </w:rPr>
        <w:t xml:space="preserve"> (la cual ha sido declarada violatoria de la Convención Americana), durante el periodo comprendido </w:t>
      </w:r>
      <w:r w:rsidR="00034EEA" w:rsidRPr="00B27C76">
        <w:rPr>
          <w:rFonts w:eastAsia="Times"/>
          <w:szCs w:val="20"/>
          <w:lang w:val="es-ES_tradnl"/>
        </w:rPr>
        <w:t>desde el 27 de Diciembre de 1993 al 19 de Febrero de 2003</w:t>
      </w:r>
      <w:r w:rsidR="0084033F" w:rsidRPr="00B27C76">
        <w:rPr>
          <w:rFonts w:eastAsia="Times"/>
          <w:szCs w:val="20"/>
          <w:lang w:val="es-ES_tradnl"/>
        </w:rPr>
        <w:t>” cuando “</w:t>
      </w:r>
      <w:r w:rsidR="00034EEA" w:rsidRPr="00B27C76">
        <w:rPr>
          <w:rFonts w:eastAsia="Times"/>
          <w:szCs w:val="20"/>
          <w:lang w:val="es-ES_tradnl"/>
        </w:rPr>
        <w:t xml:space="preserve">el Decreto Legislativo 926 </w:t>
      </w:r>
      <w:r w:rsidR="002121C9" w:rsidRPr="00B27C76">
        <w:rPr>
          <w:rFonts w:eastAsia="Times"/>
          <w:szCs w:val="20"/>
          <w:lang w:val="es-ES_tradnl"/>
        </w:rPr>
        <w:t xml:space="preserve">[…] </w:t>
      </w:r>
      <w:proofErr w:type="spellStart"/>
      <w:r w:rsidR="00034EEA" w:rsidRPr="00B27C76">
        <w:rPr>
          <w:rFonts w:eastAsia="Times"/>
          <w:szCs w:val="20"/>
          <w:lang w:val="es-ES_tradnl"/>
        </w:rPr>
        <w:t>anul</w:t>
      </w:r>
      <w:proofErr w:type="spellEnd"/>
      <w:r w:rsidR="002121C9" w:rsidRPr="00B27C76">
        <w:rPr>
          <w:rFonts w:eastAsia="Times"/>
          <w:szCs w:val="20"/>
          <w:lang w:val="es-ES_tradnl"/>
        </w:rPr>
        <w:t>[</w:t>
      </w:r>
      <w:proofErr w:type="spellStart"/>
      <w:r w:rsidR="002121C9" w:rsidRPr="00B27C76">
        <w:rPr>
          <w:rFonts w:eastAsia="Times"/>
          <w:szCs w:val="20"/>
          <w:lang w:val="es-ES_tradnl"/>
        </w:rPr>
        <w:t>ó</w:t>
      </w:r>
      <w:proofErr w:type="spellEnd"/>
      <w:r w:rsidR="002121C9" w:rsidRPr="00B27C76">
        <w:rPr>
          <w:rFonts w:eastAsia="Times"/>
          <w:szCs w:val="20"/>
          <w:lang w:val="es-ES_tradnl"/>
        </w:rPr>
        <w:t>] dicha sentencia en el Perú</w:t>
      </w:r>
      <w:r w:rsidR="00034EEA" w:rsidRPr="00B27C76">
        <w:rPr>
          <w:rFonts w:eastAsia="Times"/>
          <w:szCs w:val="20"/>
          <w:lang w:val="es-ES_tradnl"/>
        </w:rPr>
        <w:t xml:space="preserve">” </w:t>
      </w:r>
      <w:r w:rsidR="0084033F" w:rsidRPr="00B27C76">
        <w:rPr>
          <w:rFonts w:eastAsia="Times"/>
          <w:szCs w:val="20"/>
          <w:lang w:val="es-ES_tradnl"/>
        </w:rPr>
        <w:t xml:space="preserve">y “si esto no fuera así </w:t>
      </w:r>
      <w:r w:rsidR="00034EEA" w:rsidRPr="00B27C76">
        <w:rPr>
          <w:rFonts w:eastAsia="Times"/>
          <w:szCs w:val="20"/>
          <w:lang w:val="es-ES_tradnl"/>
        </w:rPr>
        <w:t>cuál sería la consecuencia legal que borraría los efectos que tuvo su existencia sobre los derechos de J”</w:t>
      </w:r>
      <w:r w:rsidR="002121C9" w:rsidRPr="00B27C76">
        <w:rPr>
          <w:rFonts w:eastAsia="Times"/>
          <w:szCs w:val="20"/>
          <w:lang w:val="es-ES_tradnl"/>
        </w:rPr>
        <w:t>.</w:t>
      </w:r>
      <w:r w:rsidR="00034EEA" w:rsidRPr="00B27C76">
        <w:rPr>
          <w:rFonts w:eastAsia="Times"/>
          <w:szCs w:val="20"/>
          <w:lang w:val="es-ES_tradnl"/>
        </w:rPr>
        <w:t xml:space="preserve"> </w:t>
      </w:r>
    </w:p>
    <w:p w:rsidR="00034EEA" w:rsidRPr="00B27C76" w:rsidRDefault="00034EEA" w:rsidP="00034EEA">
      <w:pPr>
        <w:pStyle w:val="Prrafodelista"/>
        <w:tabs>
          <w:tab w:val="left" w:pos="567"/>
        </w:tabs>
        <w:spacing w:after="0" w:line="240" w:lineRule="auto"/>
        <w:ind w:left="0"/>
        <w:jc w:val="both"/>
        <w:rPr>
          <w:rFonts w:cs="Arial"/>
          <w:i/>
          <w:szCs w:val="20"/>
          <w:lang w:val="es-ES_tradnl"/>
        </w:rPr>
      </w:pPr>
    </w:p>
    <w:p w:rsidR="002350D4" w:rsidRPr="00B27C76" w:rsidRDefault="00017560" w:rsidP="00F749AF">
      <w:pPr>
        <w:pStyle w:val="Prrafodelista"/>
        <w:numPr>
          <w:ilvl w:val="0"/>
          <w:numId w:val="1"/>
        </w:numPr>
        <w:tabs>
          <w:tab w:val="left" w:pos="567"/>
        </w:tabs>
        <w:spacing w:after="0" w:line="240" w:lineRule="auto"/>
        <w:jc w:val="both"/>
        <w:rPr>
          <w:rFonts w:cs="Arial"/>
          <w:i/>
          <w:szCs w:val="20"/>
          <w:lang w:val="es-ES_tradnl"/>
        </w:rPr>
      </w:pPr>
      <w:r w:rsidRPr="00B27C76">
        <w:rPr>
          <w:rFonts w:eastAsia="Times"/>
          <w:szCs w:val="20"/>
          <w:lang w:val="es-ES_tradnl"/>
        </w:rPr>
        <w:t xml:space="preserve"> </w:t>
      </w:r>
      <w:r w:rsidR="00F84ACD" w:rsidRPr="00B27C76">
        <w:rPr>
          <w:rFonts w:eastAsia="Times"/>
          <w:szCs w:val="20"/>
          <w:lang w:val="es-ES_tradnl"/>
        </w:rPr>
        <w:t xml:space="preserve">El </w:t>
      </w:r>
      <w:r w:rsidR="00F84ACD" w:rsidRPr="00B27C76">
        <w:rPr>
          <w:rFonts w:eastAsia="Times"/>
          <w:b/>
          <w:i/>
          <w:szCs w:val="20"/>
          <w:lang w:val="es-ES_tradnl"/>
        </w:rPr>
        <w:t>Estado</w:t>
      </w:r>
      <w:r w:rsidR="00F84ACD" w:rsidRPr="00B27C76">
        <w:rPr>
          <w:rFonts w:eastAsia="Times"/>
          <w:szCs w:val="20"/>
          <w:lang w:val="es-ES_tradnl"/>
        </w:rPr>
        <w:t xml:space="preserve"> alegó que la solicitud de la representante es inadmisible, </w:t>
      </w:r>
      <w:r w:rsidR="002138F5" w:rsidRPr="00B27C76">
        <w:rPr>
          <w:rFonts w:eastAsia="Times"/>
          <w:szCs w:val="20"/>
          <w:lang w:val="es-ES_tradnl"/>
        </w:rPr>
        <w:t xml:space="preserve">en la medida en que “se trata de </w:t>
      </w:r>
      <w:r w:rsidR="00F84ACD" w:rsidRPr="00B27C76">
        <w:rPr>
          <w:rFonts w:eastAsia="Times"/>
          <w:szCs w:val="20"/>
          <w:lang w:val="es-ES_tradnl"/>
        </w:rPr>
        <w:t>un intento de obtener una alteración sustancial del contenido de la Sentencia y ampliar el ámbito de las medidas de reparación ordenadas por la Corte”</w:t>
      </w:r>
      <w:r w:rsidR="002138F5" w:rsidRPr="00B27C76">
        <w:rPr>
          <w:rFonts w:eastAsia="Times"/>
          <w:szCs w:val="20"/>
          <w:lang w:val="es-ES_tradnl"/>
        </w:rPr>
        <w:t>.</w:t>
      </w:r>
      <w:r w:rsidR="00F84ACD" w:rsidRPr="00B27C76">
        <w:rPr>
          <w:rFonts w:eastAsia="Times"/>
          <w:szCs w:val="20"/>
          <w:lang w:val="es-ES_tradnl"/>
        </w:rPr>
        <w:t xml:space="preserve"> </w:t>
      </w:r>
      <w:r w:rsidR="002138F5" w:rsidRPr="00B27C76">
        <w:rPr>
          <w:rFonts w:eastAsia="Times"/>
          <w:szCs w:val="20"/>
          <w:lang w:val="es-ES_tradnl"/>
        </w:rPr>
        <w:t>S</w:t>
      </w:r>
      <w:r w:rsidR="00F84ACD" w:rsidRPr="00B27C76">
        <w:rPr>
          <w:rFonts w:eastAsia="Times"/>
          <w:szCs w:val="20"/>
          <w:lang w:val="es-ES_tradnl"/>
        </w:rPr>
        <w:t>eñaló</w:t>
      </w:r>
      <w:r w:rsidR="00935D86" w:rsidRPr="00B27C76">
        <w:rPr>
          <w:rFonts w:eastAsia="Times"/>
          <w:szCs w:val="20"/>
          <w:lang w:val="es-ES_tradnl"/>
        </w:rPr>
        <w:t xml:space="preserve"> que la Corte “dispuso diversas medidas dirigidas a reparar los daños ocasionados a la señora J” y</w:t>
      </w:r>
      <w:r w:rsidR="00F84ACD" w:rsidRPr="00B27C76">
        <w:rPr>
          <w:rFonts w:eastAsia="Times"/>
          <w:szCs w:val="20"/>
          <w:lang w:val="es-ES_tradnl"/>
        </w:rPr>
        <w:t xml:space="preserve"> que</w:t>
      </w:r>
      <w:r w:rsidR="00935D86" w:rsidRPr="00B27C76">
        <w:rPr>
          <w:rFonts w:eastAsia="Times"/>
          <w:szCs w:val="20"/>
          <w:lang w:val="es-ES_tradnl"/>
        </w:rPr>
        <w:t xml:space="preserve"> </w:t>
      </w:r>
      <w:r w:rsidR="00CD7FDA" w:rsidRPr="00B27C76">
        <w:rPr>
          <w:rFonts w:eastAsia="Times"/>
          <w:szCs w:val="20"/>
          <w:lang w:val="es-ES_tradnl"/>
        </w:rPr>
        <w:t xml:space="preserve">la representante olvida que </w:t>
      </w:r>
      <w:r w:rsidR="00F84ACD" w:rsidRPr="00B27C76">
        <w:rPr>
          <w:rFonts w:eastAsia="Times"/>
          <w:szCs w:val="20"/>
          <w:lang w:val="es-ES_tradnl"/>
        </w:rPr>
        <w:t xml:space="preserve">la </w:t>
      </w:r>
      <w:r w:rsidR="00CD7FDA" w:rsidRPr="00B27C76">
        <w:rPr>
          <w:rFonts w:eastAsia="Times"/>
          <w:szCs w:val="20"/>
          <w:lang w:val="es-ES_tradnl"/>
        </w:rPr>
        <w:t>plena restitución de los derechos se ordena “</w:t>
      </w:r>
      <w:r w:rsidR="00935D86" w:rsidRPr="00B27C76">
        <w:rPr>
          <w:rFonts w:eastAsia="Times"/>
          <w:szCs w:val="20"/>
          <w:lang w:val="es-ES_tradnl"/>
        </w:rPr>
        <w:t>siempre que sea posible</w:t>
      </w:r>
      <w:r w:rsidR="00CD7FDA" w:rsidRPr="00B27C76">
        <w:rPr>
          <w:rFonts w:eastAsia="Times"/>
          <w:szCs w:val="20"/>
          <w:lang w:val="es-ES_tradnl"/>
        </w:rPr>
        <w:t xml:space="preserve">” </w:t>
      </w:r>
      <w:r w:rsidR="006216BB" w:rsidRPr="00B27C76">
        <w:rPr>
          <w:rFonts w:eastAsia="Times"/>
          <w:szCs w:val="20"/>
          <w:lang w:val="es-ES_tradnl"/>
        </w:rPr>
        <w:t xml:space="preserve">pues de lo contrario la Corte determina las </w:t>
      </w:r>
      <w:r w:rsidR="00935D86" w:rsidRPr="00B27C76">
        <w:rPr>
          <w:rFonts w:eastAsia="Times"/>
          <w:szCs w:val="20"/>
          <w:lang w:val="es-ES_tradnl"/>
        </w:rPr>
        <w:t xml:space="preserve">medidas </w:t>
      </w:r>
      <w:r w:rsidR="006216BB" w:rsidRPr="00B27C76">
        <w:rPr>
          <w:rFonts w:eastAsia="Times"/>
          <w:szCs w:val="20"/>
          <w:lang w:val="es-ES_tradnl"/>
        </w:rPr>
        <w:t xml:space="preserve">que considere adecuadas </w:t>
      </w:r>
      <w:r w:rsidR="00935D86" w:rsidRPr="00B27C76">
        <w:rPr>
          <w:rFonts w:eastAsia="Times"/>
          <w:szCs w:val="20"/>
          <w:lang w:val="es-ES_tradnl"/>
        </w:rPr>
        <w:t xml:space="preserve">para reparar las consecuencias </w:t>
      </w:r>
      <w:r w:rsidR="006216BB" w:rsidRPr="00B27C76">
        <w:rPr>
          <w:rFonts w:eastAsia="Times"/>
          <w:szCs w:val="20"/>
          <w:lang w:val="es-ES_tradnl"/>
        </w:rPr>
        <w:t>que las infracciones produjeron.</w:t>
      </w:r>
      <w:r w:rsidR="00935D86" w:rsidRPr="00B27C76">
        <w:rPr>
          <w:rFonts w:eastAsia="Times"/>
          <w:szCs w:val="20"/>
          <w:lang w:val="es-ES_tradnl"/>
        </w:rPr>
        <w:t xml:space="preserve"> </w:t>
      </w:r>
    </w:p>
    <w:p w:rsidR="005B7D34" w:rsidRPr="00B27C76" w:rsidRDefault="005B7D34" w:rsidP="005B7D34">
      <w:pPr>
        <w:pStyle w:val="Prrafodelista"/>
        <w:rPr>
          <w:rFonts w:cs="Arial"/>
          <w:i/>
          <w:szCs w:val="20"/>
          <w:lang w:val="es-ES_tradnl"/>
        </w:rPr>
      </w:pPr>
    </w:p>
    <w:p w:rsidR="005B7D34" w:rsidRPr="00B27C76" w:rsidRDefault="005B7D34" w:rsidP="00F749AF">
      <w:pPr>
        <w:pStyle w:val="Prrafodelista"/>
        <w:numPr>
          <w:ilvl w:val="0"/>
          <w:numId w:val="1"/>
        </w:numPr>
        <w:tabs>
          <w:tab w:val="left" w:pos="567"/>
        </w:tabs>
        <w:spacing w:after="0" w:line="240" w:lineRule="auto"/>
        <w:jc w:val="both"/>
        <w:rPr>
          <w:rFonts w:cs="Arial"/>
          <w:i/>
          <w:szCs w:val="20"/>
          <w:lang w:val="es-ES_tradnl"/>
        </w:rPr>
      </w:pPr>
      <w:r w:rsidRPr="00B27C76">
        <w:rPr>
          <w:rFonts w:cs="Arial"/>
          <w:szCs w:val="20"/>
          <w:lang w:val="es-ES_tradnl"/>
        </w:rPr>
        <w:t xml:space="preserve">La </w:t>
      </w:r>
      <w:r w:rsidRPr="00B27C76">
        <w:rPr>
          <w:rFonts w:cs="Arial"/>
          <w:b/>
          <w:i/>
          <w:szCs w:val="20"/>
          <w:lang w:val="es-ES_tradnl"/>
        </w:rPr>
        <w:t>Comisión</w:t>
      </w:r>
      <w:r w:rsidRPr="00B27C76">
        <w:rPr>
          <w:rFonts w:cs="Arial"/>
          <w:i/>
          <w:szCs w:val="20"/>
          <w:lang w:val="es-ES_tradnl"/>
        </w:rPr>
        <w:t xml:space="preserve"> </w:t>
      </w:r>
      <w:r w:rsidRPr="00B27C76">
        <w:rPr>
          <w:rFonts w:cs="Arial"/>
          <w:szCs w:val="20"/>
          <w:lang w:val="es-ES_tradnl"/>
        </w:rPr>
        <w:t xml:space="preserve">señaló que aunque la Corte “estableció que dicha decisión violó tanto la garantía de presunción de inocencia, como la garantía de motivación”, “no estaría precisada en la sección de reparaciones la consecuencia concreta de las conclusiones jurídicas de la </w:t>
      </w:r>
      <w:r w:rsidR="00D40959" w:rsidRPr="00B27C76">
        <w:rPr>
          <w:rFonts w:cs="Arial"/>
          <w:szCs w:val="20"/>
          <w:lang w:val="es-ES_tradnl"/>
        </w:rPr>
        <w:t>[…]</w:t>
      </w:r>
      <w:r w:rsidRPr="00B27C76">
        <w:rPr>
          <w:rFonts w:cs="Arial"/>
          <w:szCs w:val="20"/>
          <w:lang w:val="es-ES_tradnl"/>
        </w:rPr>
        <w:t xml:space="preserve"> Corte sobre la decisión de 27 de diciembre de 1993”</w:t>
      </w:r>
      <w:r w:rsidR="00D40959" w:rsidRPr="00B27C76">
        <w:rPr>
          <w:rFonts w:cs="Arial"/>
          <w:szCs w:val="20"/>
          <w:lang w:val="es-ES_tradnl"/>
        </w:rPr>
        <w:t>.</w:t>
      </w:r>
      <w:r w:rsidRPr="00B27C76">
        <w:rPr>
          <w:rFonts w:cs="Arial"/>
          <w:szCs w:val="20"/>
          <w:lang w:val="es-ES_tradnl"/>
        </w:rPr>
        <w:t xml:space="preserve"> </w:t>
      </w:r>
      <w:r w:rsidR="00D40959" w:rsidRPr="00B27C76">
        <w:rPr>
          <w:rFonts w:cs="Arial"/>
          <w:b/>
          <w:szCs w:val="20"/>
          <w:lang w:val="es-ES_tradnl"/>
        </w:rPr>
        <w:t xml:space="preserve"> </w:t>
      </w:r>
      <w:r w:rsidR="00D40959" w:rsidRPr="00B27C76">
        <w:rPr>
          <w:rFonts w:cs="Arial"/>
          <w:szCs w:val="20"/>
          <w:lang w:val="es-ES_tradnl"/>
        </w:rPr>
        <w:t xml:space="preserve">Indicó que “a lo largo del procedimiento, no ha existido claridad sobre si la base de proceso actual contra la señora J. es dicha decisión”, pero que </w:t>
      </w:r>
      <w:r w:rsidR="006036A3" w:rsidRPr="00B27C76">
        <w:rPr>
          <w:rFonts w:cs="Arial"/>
          <w:szCs w:val="20"/>
          <w:lang w:val="es-ES_tradnl"/>
        </w:rPr>
        <w:t xml:space="preserve">entiende que, </w:t>
      </w:r>
      <w:r w:rsidR="00D40959" w:rsidRPr="00B27C76">
        <w:rPr>
          <w:rFonts w:cs="Arial"/>
          <w:szCs w:val="20"/>
          <w:lang w:val="es-ES_tradnl"/>
        </w:rPr>
        <w:t>de acuerdo a la</w:t>
      </w:r>
      <w:r w:rsidR="006036A3" w:rsidRPr="00B27C76">
        <w:rPr>
          <w:rFonts w:cs="Arial"/>
          <w:szCs w:val="20"/>
          <w:lang w:val="es-ES_tradnl"/>
        </w:rPr>
        <w:t xml:space="preserve">s consideraciones de esta Corte, </w:t>
      </w:r>
      <w:r w:rsidR="00D40959" w:rsidRPr="00B27C76">
        <w:rPr>
          <w:rFonts w:cs="Arial"/>
          <w:szCs w:val="20"/>
          <w:lang w:val="es-ES_tradnl"/>
        </w:rPr>
        <w:t xml:space="preserve">“el acto que constituye el sustento de la pretensión punitiva del Estado en la actualidad sería la decisión de la Corte Suprema </w:t>
      </w:r>
      <w:r w:rsidR="00D40959" w:rsidRPr="00B27C76">
        <w:rPr>
          <w:rFonts w:cs="Arial"/>
          <w:szCs w:val="20"/>
          <w:lang w:val="es-ES_tradnl"/>
        </w:rPr>
        <w:lastRenderedPageBreak/>
        <w:t>de Justicia de 27 de diciembre de 1993”</w:t>
      </w:r>
      <w:r w:rsidR="006036A3" w:rsidRPr="00B27C76">
        <w:rPr>
          <w:rFonts w:cs="Arial"/>
          <w:szCs w:val="20"/>
          <w:lang w:val="es-ES_tradnl"/>
        </w:rPr>
        <w:t>, el cual es violatorio de la Convención</w:t>
      </w:r>
      <w:r w:rsidR="00D40959" w:rsidRPr="00B27C76">
        <w:rPr>
          <w:rFonts w:cs="Arial"/>
          <w:szCs w:val="20"/>
          <w:lang w:val="es-ES_tradnl"/>
        </w:rPr>
        <w:t>. Agregó que “podría ayudar en la eficacia del cumplimiento de la Sentenc</w:t>
      </w:r>
      <w:r w:rsidR="006036A3" w:rsidRPr="00B27C76">
        <w:rPr>
          <w:rFonts w:cs="Arial"/>
          <w:szCs w:val="20"/>
          <w:lang w:val="es-ES_tradnl"/>
        </w:rPr>
        <w:t>i</w:t>
      </w:r>
      <w:r w:rsidR="00D40959" w:rsidRPr="00B27C76">
        <w:rPr>
          <w:rFonts w:cs="Arial"/>
          <w:szCs w:val="20"/>
          <w:lang w:val="es-ES_tradnl"/>
        </w:rPr>
        <w:t xml:space="preserve">a que estas conclusiones fácticas y jurídicas estén reflejadas de manera más precisa en el párrafo 413, pues dicho párrafo podría ser interpretado en </w:t>
      </w:r>
      <w:r w:rsidR="00B67F6B">
        <w:rPr>
          <w:rFonts w:cs="Arial"/>
          <w:szCs w:val="20"/>
          <w:lang w:val="es-ES_tradnl"/>
        </w:rPr>
        <w:t xml:space="preserve">un </w:t>
      </w:r>
      <w:r w:rsidR="00D40959" w:rsidRPr="00B27C76">
        <w:rPr>
          <w:rFonts w:cs="Arial"/>
          <w:szCs w:val="20"/>
          <w:lang w:val="es-ES_tradnl"/>
        </w:rPr>
        <w:t>sentido genérico con</w:t>
      </w:r>
      <w:r w:rsidR="008A01A8" w:rsidRPr="00B27C76">
        <w:rPr>
          <w:rFonts w:cs="Arial"/>
          <w:szCs w:val="20"/>
          <w:lang w:val="es-ES_tradnl"/>
        </w:rPr>
        <w:t>forme al cual las autoridades qu</w:t>
      </w:r>
      <w:r w:rsidR="00D40959" w:rsidRPr="00B27C76">
        <w:rPr>
          <w:rFonts w:cs="Arial"/>
          <w:szCs w:val="20"/>
          <w:lang w:val="es-ES_tradnl"/>
        </w:rPr>
        <w:t xml:space="preserve">e </w:t>
      </w:r>
      <w:proofErr w:type="spellStart"/>
      <w:r w:rsidR="00D40959" w:rsidRPr="00B27C76">
        <w:rPr>
          <w:rFonts w:cs="Arial"/>
          <w:szCs w:val="20"/>
          <w:lang w:val="es-ES_tradnl"/>
        </w:rPr>
        <w:t>continuen</w:t>
      </w:r>
      <w:proofErr w:type="spellEnd"/>
      <w:r w:rsidR="00D40959" w:rsidRPr="00B27C76">
        <w:rPr>
          <w:rFonts w:cs="Arial"/>
          <w:szCs w:val="20"/>
          <w:lang w:val="es-ES_tradnl"/>
        </w:rPr>
        <w:t xml:space="preserve"> conoci</w:t>
      </w:r>
      <w:r w:rsidR="008A01A8" w:rsidRPr="00B27C76">
        <w:rPr>
          <w:rFonts w:cs="Arial"/>
          <w:szCs w:val="20"/>
          <w:lang w:val="es-ES_tradnl"/>
        </w:rPr>
        <w:t>endo del proceso, tienen discrec</w:t>
      </w:r>
      <w:r w:rsidR="00D40959" w:rsidRPr="00B27C76">
        <w:rPr>
          <w:rFonts w:cs="Arial"/>
          <w:szCs w:val="20"/>
          <w:lang w:val="es-ES_tradnl"/>
        </w:rPr>
        <w:t>ión para determinar los efectos de las determinaciones de la Corte Interamericana”.</w:t>
      </w:r>
      <w:r w:rsidR="00D40959" w:rsidRPr="00B27C76">
        <w:rPr>
          <w:rFonts w:cs="Arial"/>
          <w:b/>
          <w:szCs w:val="20"/>
          <w:lang w:val="es-ES_tradnl"/>
        </w:rPr>
        <w:t xml:space="preserve"> </w:t>
      </w:r>
      <w:r w:rsidR="006036A3" w:rsidRPr="00B27C76">
        <w:rPr>
          <w:rFonts w:cs="Arial"/>
          <w:szCs w:val="20"/>
          <w:lang w:val="es-ES_tradnl"/>
        </w:rPr>
        <w:t xml:space="preserve">Señaló que debido a “la situación muy particular generada por la decisión de la Corte Suprema de Justicia de 27 de diciembre de 1993, sin la cual no sería posible la </w:t>
      </w:r>
      <w:r w:rsidR="00B67F6B" w:rsidRPr="00B27C76">
        <w:rPr>
          <w:rFonts w:cs="Arial"/>
          <w:szCs w:val="20"/>
          <w:lang w:val="es-ES_tradnl"/>
        </w:rPr>
        <w:t>continu</w:t>
      </w:r>
      <w:r w:rsidR="00B67F6B">
        <w:rPr>
          <w:rFonts w:cs="Arial"/>
          <w:szCs w:val="20"/>
          <w:lang w:val="es-ES_tradnl"/>
        </w:rPr>
        <w:t>idad</w:t>
      </w:r>
      <w:r w:rsidR="00B67F6B" w:rsidRPr="00B27C76">
        <w:rPr>
          <w:rFonts w:cs="Arial"/>
          <w:szCs w:val="20"/>
          <w:lang w:val="es-ES_tradnl"/>
        </w:rPr>
        <w:t xml:space="preserve"> </w:t>
      </w:r>
      <w:r w:rsidR="006036A3" w:rsidRPr="00B27C76">
        <w:rPr>
          <w:rFonts w:cs="Arial"/>
          <w:szCs w:val="20"/>
          <w:lang w:val="es-ES_tradnl"/>
        </w:rPr>
        <w:t xml:space="preserve">del proceso penal contra la señora J., la Comisión coincide con la relevancia de que las consecuencias de las determinaciones de la Corte sobre dicha decisión judicial, queden claramente establecidas en el párrafo 413 de la Sentencia, a fin de que sean implementadas por las autoridades internas”. </w:t>
      </w:r>
    </w:p>
    <w:p w:rsidR="00EB0958" w:rsidRPr="00B27C76" w:rsidRDefault="00EB0958" w:rsidP="00632769">
      <w:pPr>
        <w:pStyle w:val="Prrafodelista"/>
        <w:tabs>
          <w:tab w:val="left" w:pos="567"/>
        </w:tabs>
        <w:spacing w:after="0" w:line="240" w:lineRule="auto"/>
        <w:jc w:val="both"/>
        <w:rPr>
          <w:rFonts w:eastAsia="Times"/>
          <w:i/>
          <w:szCs w:val="20"/>
          <w:lang w:val="es-ES_tradnl"/>
        </w:rPr>
      </w:pPr>
    </w:p>
    <w:p w:rsidR="009E5A2E" w:rsidRPr="00B27C76" w:rsidRDefault="00632769" w:rsidP="00632769">
      <w:pPr>
        <w:pStyle w:val="Prrafodelista"/>
        <w:tabs>
          <w:tab w:val="left" w:pos="567"/>
        </w:tabs>
        <w:spacing w:after="0" w:line="240" w:lineRule="auto"/>
        <w:jc w:val="both"/>
        <w:rPr>
          <w:rFonts w:eastAsia="Times"/>
          <w:i/>
          <w:szCs w:val="20"/>
          <w:lang w:val="es-ES_tradnl"/>
        </w:rPr>
      </w:pPr>
      <w:r w:rsidRPr="00B27C76">
        <w:rPr>
          <w:rFonts w:eastAsia="Times"/>
          <w:i/>
          <w:szCs w:val="20"/>
          <w:lang w:val="es-ES_tradnl"/>
        </w:rPr>
        <w:t>Consideraciones de la Corte</w:t>
      </w:r>
    </w:p>
    <w:p w:rsidR="00113F3F" w:rsidRPr="00B27C76" w:rsidRDefault="00113F3F" w:rsidP="00113F3F">
      <w:pPr>
        <w:tabs>
          <w:tab w:val="left" w:pos="567"/>
        </w:tabs>
        <w:spacing w:after="0" w:line="240" w:lineRule="auto"/>
        <w:ind w:right="-90"/>
        <w:jc w:val="both"/>
        <w:rPr>
          <w:szCs w:val="20"/>
          <w:lang w:val="es-ES_tradnl"/>
        </w:rPr>
      </w:pPr>
      <w:bookmarkStart w:id="20" w:name="_Ref366786498"/>
    </w:p>
    <w:p w:rsidR="007F1E58" w:rsidRDefault="00520113" w:rsidP="00F749AF">
      <w:pPr>
        <w:numPr>
          <w:ilvl w:val="0"/>
          <w:numId w:val="1"/>
        </w:numPr>
        <w:tabs>
          <w:tab w:val="left" w:pos="567"/>
        </w:tabs>
        <w:spacing w:after="0" w:line="240" w:lineRule="auto"/>
        <w:ind w:right="-90"/>
        <w:jc w:val="both"/>
        <w:rPr>
          <w:rFonts w:eastAsia="Times New Roman"/>
          <w:szCs w:val="20"/>
          <w:lang w:val="es-ES_tradnl"/>
        </w:rPr>
      </w:pPr>
      <w:bookmarkStart w:id="21" w:name="_Ref406494101"/>
      <w:r w:rsidRPr="00B27C76">
        <w:rPr>
          <w:rFonts w:eastAsia="Times New Roman"/>
          <w:szCs w:val="20"/>
          <w:lang w:val="es-ES_tradnl"/>
        </w:rPr>
        <w:t xml:space="preserve">La Corte nota que la representante solicitó una aclaración </w:t>
      </w:r>
      <w:r w:rsidR="007F1E58" w:rsidRPr="00B27C76">
        <w:rPr>
          <w:rFonts w:eastAsia="Times New Roman"/>
          <w:szCs w:val="20"/>
          <w:lang w:val="es-ES_tradnl"/>
        </w:rPr>
        <w:t>sobre las consecuencias de lo indicado en el párrafo 227 de la Sentencia. El referido párrafo 227, que la representante cita de manera aislada, forma parte de las consideraciones de la Corte respecto de la indebida motivación y violación de la presunción de inocencia en virtud de la sentencia de la Corte Suprema de Justicia “sin rostro” que anuló la absolución de la señora J.</w:t>
      </w:r>
      <w:r w:rsidRPr="00B27C76">
        <w:rPr>
          <w:rFonts w:eastAsia="Times New Roman"/>
          <w:szCs w:val="20"/>
          <w:lang w:val="es-ES_tradnl"/>
        </w:rPr>
        <w:t xml:space="preserve"> </w:t>
      </w:r>
      <w:r w:rsidR="00985D09" w:rsidRPr="00B27C76">
        <w:rPr>
          <w:rFonts w:eastAsia="Times New Roman"/>
          <w:szCs w:val="20"/>
          <w:lang w:val="es-ES_tradnl"/>
        </w:rPr>
        <w:t xml:space="preserve">Por tanto, </w:t>
      </w:r>
      <w:r w:rsidR="007F1E58" w:rsidRPr="00B27C76">
        <w:rPr>
          <w:rFonts w:eastAsia="Times New Roman"/>
          <w:szCs w:val="20"/>
          <w:lang w:val="es-ES_tradnl"/>
        </w:rPr>
        <w:t>este Tribunal entiende que la representante solicitó aclarar cuáles eran las consecuencias, en materia de reparaciones, de la violación a la garantía judicial de la motivación y la presunción de inocencia derivadas de dicha decisión.</w:t>
      </w:r>
      <w:bookmarkEnd w:id="21"/>
      <w:r w:rsidR="007F1E58" w:rsidRPr="00B27C76">
        <w:rPr>
          <w:rFonts w:eastAsia="Times New Roman"/>
          <w:szCs w:val="20"/>
          <w:lang w:val="es-ES_tradnl"/>
        </w:rPr>
        <w:t xml:space="preserve"> </w:t>
      </w:r>
    </w:p>
    <w:p w:rsidR="00853D0E" w:rsidRPr="00B27C76" w:rsidRDefault="00853D0E" w:rsidP="00853D0E">
      <w:pPr>
        <w:tabs>
          <w:tab w:val="left" w:pos="567"/>
        </w:tabs>
        <w:spacing w:after="0" w:line="240" w:lineRule="auto"/>
        <w:ind w:right="-90"/>
        <w:jc w:val="both"/>
        <w:rPr>
          <w:rFonts w:eastAsia="Times New Roman"/>
          <w:szCs w:val="20"/>
          <w:lang w:val="es-ES_tradnl"/>
        </w:rPr>
      </w:pPr>
    </w:p>
    <w:p w:rsidR="0086220C" w:rsidRPr="00B27C76" w:rsidRDefault="00124237" w:rsidP="00F749AF">
      <w:pPr>
        <w:numPr>
          <w:ilvl w:val="0"/>
          <w:numId w:val="1"/>
        </w:numPr>
        <w:tabs>
          <w:tab w:val="left" w:pos="567"/>
        </w:tabs>
        <w:spacing w:after="0" w:line="240" w:lineRule="auto"/>
        <w:ind w:right="-90"/>
        <w:jc w:val="both"/>
        <w:rPr>
          <w:rFonts w:eastAsia="Times New Roman"/>
          <w:szCs w:val="20"/>
          <w:lang w:val="es-ES_tradnl"/>
        </w:rPr>
      </w:pPr>
      <w:r w:rsidRPr="00B27C76">
        <w:rPr>
          <w:rFonts w:eastAsia="Times New Roman"/>
          <w:szCs w:val="20"/>
          <w:lang w:val="es-ES_tradnl"/>
        </w:rPr>
        <w:t xml:space="preserve">Respecto de la </w:t>
      </w:r>
      <w:r w:rsidR="00B37BFF" w:rsidRPr="00B27C76">
        <w:rPr>
          <w:rFonts w:eastAsia="Times New Roman"/>
          <w:szCs w:val="20"/>
          <w:lang w:val="es-ES_tradnl"/>
        </w:rPr>
        <w:t xml:space="preserve">solicitud de aclaración </w:t>
      </w:r>
      <w:r w:rsidRPr="00B27C76">
        <w:rPr>
          <w:rFonts w:eastAsia="Times New Roman"/>
          <w:szCs w:val="20"/>
          <w:lang w:val="es-ES_tradnl"/>
        </w:rPr>
        <w:t xml:space="preserve">específica </w:t>
      </w:r>
      <w:r w:rsidR="00B37BFF" w:rsidRPr="00B27C76">
        <w:rPr>
          <w:rFonts w:eastAsia="Times New Roman"/>
          <w:szCs w:val="20"/>
          <w:lang w:val="es-ES_tradnl"/>
        </w:rPr>
        <w:t xml:space="preserve">de la representante, </w:t>
      </w:r>
      <w:r w:rsidR="007F1E58" w:rsidRPr="00B27C76">
        <w:rPr>
          <w:rFonts w:eastAsia="Times New Roman"/>
          <w:szCs w:val="20"/>
          <w:lang w:val="es-ES_tradnl"/>
        </w:rPr>
        <w:t>este Tribunal resalta que</w:t>
      </w:r>
      <w:r w:rsidR="00982426" w:rsidRPr="00B27C76">
        <w:rPr>
          <w:rFonts w:eastAsia="Times New Roman"/>
          <w:szCs w:val="20"/>
          <w:lang w:val="es-ES_tradnl"/>
        </w:rPr>
        <w:t xml:space="preserve"> las consideraciones </w:t>
      </w:r>
      <w:r w:rsidR="007F1E58" w:rsidRPr="00B27C76">
        <w:rPr>
          <w:rFonts w:eastAsia="Times New Roman"/>
          <w:szCs w:val="20"/>
          <w:lang w:val="es-ES_tradnl"/>
        </w:rPr>
        <w:t xml:space="preserve">contenidas en el párrafo 227 de la Sentencia </w:t>
      </w:r>
      <w:r w:rsidR="00982426" w:rsidRPr="00B27C76">
        <w:rPr>
          <w:rFonts w:eastAsia="Times New Roman"/>
          <w:szCs w:val="20"/>
          <w:lang w:val="es-ES_tradnl"/>
        </w:rPr>
        <w:t>responde</w:t>
      </w:r>
      <w:r w:rsidR="00E5639E" w:rsidRPr="00B27C76">
        <w:rPr>
          <w:rFonts w:eastAsia="Times New Roman"/>
          <w:szCs w:val="20"/>
          <w:lang w:val="es-ES_tradnl"/>
        </w:rPr>
        <w:t>n</w:t>
      </w:r>
      <w:r w:rsidR="00B37BFF" w:rsidRPr="00B27C76">
        <w:rPr>
          <w:rFonts w:eastAsia="Times New Roman"/>
          <w:szCs w:val="20"/>
          <w:lang w:val="es-ES_tradnl"/>
        </w:rPr>
        <w:t xml:space="preserve">, de manera </w:t>
      </w:r>
      <w:r w:rsidR="00B13420" w:rsidRPr="00B27C76">
        <w:rPr>
          <w:rFonts w:eastAsia="Times New Roman"/>
          <w:szCs w:val="20"/>
          <w:lang w:val="es-ES_tradnl"/>
        </w:rPr>
        <w:t>particular</w:t>
      </w:r>
      <w:r w:rsidR="00B37BFF" w:rsidRPr="00B27C76">
        <w:rPr>
          <w:rFonts w:eastAsia="Times New Roman"/>
          <w:szCs w:val="20"/>
          <w:lang w:val="es-ES_tradnl"/>
        </w:rPr>
        <w:t>,</w:t>
      </w:r>
      <w:r w:rsidR="00982426" w:rsidRPr="00B27C76">
        <w:rPr>
          <w:rFonts w:eastAsia="Times New Roman"/>
          <w:szCs w:val="20"/>
          <w:lang w:val="es-ES_tradnl"/>
        </w:rPr>
        <w:t xml:space="preserve"> a</w:t>
      </w:r>
      <w:r w:rsidR="00E5639E" w:rsidRPr="00B27C76">
        <w:rPr>
          <w:rFonts w:eastAsia="Times New Roman"/>
          <w:szCs w:val="20"/>
          <w:lang w:val="es-ES_tradnl"/>
        </w:rPr>
        <w:t>l</w:t>
      </w:r>
      <w:r w:rsidR="00982426" w:rsidRPr="00B27C76">
        <w:rPr>
          <w:rFonts w:eastAsia="Times New Roman"/>
          <w:szCs w:val="20"/>
          <w:lang w:val="es-ES_tradnl"/>
        </w:rPr>
        <w:t xml:space="preserve"> </w:t>
      </w:r>
      <w:r w:rsidR="00E5639E" w:rsidRPr="00B27C76">
        <w:rPr>
          <w:rFonts w:eastAsia="Times New Roman"/>
          <w:szCs w:val="20"/>
          <w:lang w:val="es-ES_tradnl"/>
        </w:rPr>
        <w:t xml:space="preserve">alegato del Estado según el cual </w:t>
      </w:r>
      <w:r w:rsidR="00B37BFF" w:rsidRPr="00B27C76">
        <w:rPr>
          <w:rFonts w:eastAsia="Times New Roman"/>
          <w:szCs w:val="20"/>
          <w:lang w:val="es-ES_tradnl"/>
        </w:rPr>
        <w:t>la</w:t>
      </w:r>
      <w:r w:rsidR="00982426" w:rsidRPr="00B27C76">
        <w:rPr>
          <w:rFonts w:eastAsia="Times New Roman"/>
          <w:szCs w:val="20"/>
          <w:lang w:val="es-ES_tradnl"/>
        </w:rPr>
        <w:t xml:space="preserve"> decisión</w:t>
      </w:r>
      <w:r w:rsidR="00B37BFF" w:rsidRPr="00B27C76">
        <w:rPr>
          <w:rFonts w:eastAsia="Times New Roman"/>
          <w:szCs w:val="20"/>
          <w:lang w:val="es-ES_tradnl"/>
        </w:rPr>
        <w:t xml:space="preserve"> de 27 de diciembre de 1993</w:t>
      </w:r>
      <w:r w:rsidR="00982426" w:rsidRPr="00B27C76">
        <w:rPr>
          <w:rFonts w:eastAsia="Times New Roman"/>
          <w:szCs w:val="20"/>
          <w:lang w:val="es-ES_tradnl"/>
        </w:rPr>
        <w:t xml:space="preserve"> había dejado</w:t>
      </w:r>
      <w:r w:rsidR="00E5639E" w:rsidRPr="00B27C76">
        <w:rPr>
          <w:rFonts w:eastAsia="Times New Roman"/>
          <w:szCs w:val="20"/>
          <w:lang w:val="es-ES_tradnl"/>
        </w:rPr>
        <w:t xml:space="preserve"> de tener efecto por lo cual no era necesario un pronunciamiento al respecto. En este sentido</w:t>
      </w:r>
      <w:r w:rsidR="00542846" w:rsidRPr="00B27C76">
        <w:rPr>
          <w:rFonts w:eastAsia="Times New Roman"/>
          <w:szCs w:val="20"/>
          <w:lang w:val="es-ES_tradnl"/>
        </w:rPr>
        <w:t xml:space="preserve">, </w:t>
      </w:r>
      <w:r w:rsidR="00E5639E" w:rsidRPr="00B27C76">
        <w:rPr>
          <w:rFonts w:eastAsia="Times New Roman"/>
          <w:szCs w:val="20"/>
          <w:lang w:val="es-ES_tradnl"/>
        </w:rPr>
        <w:t xml:space="preserve">la Corte </w:t>
      </w:r>
      <w:r w:rsidR="00542846" w:rsidRPr="00B27C76">
        <w:rPr>
          <w:rFonts w:eastAsia="Times New Roman"/>
          <w:szCs w:val="20"/>
          <w:lang w:val="es-ES_tradnl"/>
        </w:rPr>
        <w:t xml:space="preserve">recuerda que en su Sentencia </w:t>
      </w:r>
      <w:r w:rsidR="0086220C" w:rsidRPr="00B27C76">
        <w:rPr>
          <w:rFonts w:eastAsia="Times New Roman"/>
          <w:szCs w:val="20"/>
          <w:lang w:val="es-ES_tradnl"/>
        </w:rPr>
        <w:t>estableció que:</w:t>
      </w:r>
    </w:p>
    <w:p w:rsidR="00542846" w:rsidRPr="00B27C76" w:rsidRDefault="00542846" w:rsidP="00542846">
      <w:pPr>
        <w:tabs>
          <w:tab w:val="left" w:pos="567"/>
        </w:tabs>
        <w:spacing w:line="240" w:lineRule="auto"/>
        <w:contextualSpacing/>
        <w:rPr>
          <w:rFonts w:cs="Helvetica"/>
          <w:spacing w:val="-2"/>
          <w:szCs w:val="20"/>
          <w:lang w:val="es-ES_tradnl"/>
        </w:rPr>
      </w:pPr>
    </w:p>
    <w:p w:rsidR="00542846" w:rsidRPr="00B27C76" w:rsidRDefault="00055C4C" w:rsidP="00055C4C">
      <w:pPr>
        <w:widowControl w:val="0"/>
        <w:tabs>
          <w:tab w:val="left" w:pos="567"/>
        </w:tabs>
        <w:adjustRightInd w:val="0"/>
        <w:spacing w:after="0" w:line="240" w:lineRule="auto"/>
        <w:ind w:left="630" w:right="288"/>
        <w:contextualSpacing/>
        <w:jc w:val="both"/>
        <w:textAlignment w:val="baseline"/>
        <w:rPr>
          <w:rFonts w:cs="Helvetica"/>
          <w:spacing w:val="-2"/>
          <w:sz w:val="16"/>
          <w:szCs w:val="16"/>
          <w:lang w:val="es-ES_tradnl"/>
        </w:rPr>
      </w:pPr>
      <w:bookmarkStart w:id="22" w:name="_Ref374966405"/>
      <w:r w:rsidRPr="00B27C76">
        <w:rPr>
          <w:rFonts w:cs="Helvetica"/>
          <w:spacing w:val="-2"/>
          <w:sz w:val="16"/>
          <w:szCs w:val="16"/>
          <w:lang w:val="es-ES_tradnl"/>
        </w:rPr>
        <w:t xml:space="preserve">225. </w:t>
      </w:r>
      <w:r w:rsidR="00542846" w:rsidRPr="00B27C76">
        <w:rPr>
          <w:rFonts w:cs="Helvetica"/>
          <w:spacing w:val="-2"/>
          <w:sz w:val="16"/>
          <w:szCs w:val="16"/>
          <w:lang w:val="es-ES_tradnl"/>
        </w:rPr>
        <w:t xml:space="preserve">En el presente caso, luego de que la señora J. fue absuelta por la Corte Superior de Justicia de Lima el 18 de junio de 1993, la Corte Suprema de Justicia “sin rostro” declaró nula la sentencia de absolución el 27 de diciembre de 1993 y mandó a que “se </w:t>
      </w:r>
      <w:proofErr w:type="spellStart"/>
      <w:proofErr w:type="gramStart"/>
      <w:r w:rsidR="00542846" w:rsidRPr="00B27C76">
        <w:rPr>
          <w:rFonts w:cs="Helvetica"/>
          <w:spacing w:val="-2"/>
          <w:sz w:val="16"/>
          <w:szCs w:val="16"/>
          <w:lang w:val="es-ES_tradnl"/>
        </w:rPr>
        <w:t>reali</w:t>
      </w:r>
      <w:proofErr w:type="spellEnd"/>
      <w:r w:rsidR="00542846" w:rsidRPr="00B27C76">
        <w:rPr>
          <w:rFonts w:cs="Helvetica"/>
          <w:spacing w:val="-2"/>
          <w:sz w:val="16"/>
          <w:szCs w:val="16"/>
          <w:lang w:val="es-ES_tradnl"/>
        </w:rPr>
        <w:t>[</w:t>
      </w:r>
      <w:proofErr w:type="gramEnd"/>
      <w:r w:rsidR="00542846" w:rsidRPr="00B27C76">
        <w:rPr>
          <w:rFonts w:cs="Helvetica"/>
          <w:spacing w:val="-2"/>
          <w:sz w:val="16"/>
          <w:szCs w:val="16"/>
          <w:lang w:val="es-ES_tradnl"/>
        </w:rPr>
        <w:t>zara] nuevo juicio oral por otra Sala Penal Especializada” (</w:t>
      </w:r>
      <w:r w:rsidR="00542846" w:rsidRPr="00B27C76">
        <w:rPr>
          <w:rFonts w:cs="Helvetica"/>
          <w:i/>
          <w:spacing w:val="-2"/>
          <w:sz w:val="16"/>
          <w:szCs w:val="16"/>
          <w:lang w:val="es-ES_tradnl"/>
        </w:rPr>
        <w:t>supra</w:t>
      </w:r>
      <w:r w:rsidR="00542846" w:rsidRPr="00B27C76">
        <w:rPr>
          <w:rFonts w:cs="Helvetica"/>
          <w:spacing w:val="-2"/>
          <w:sz w:val="16"/>
          <w:szCs w:val="16"/>
          <w:lang w:val="es-ES_tradnl"/>
        </w:rPr>
        <w:t xml:space="preserve"> </w:t>
      </w:r>
      <w:proofErr w:type="spellStart"/>
      <w:r w:rsidR="00542846" w:rsidRPr="00B27C76">
        <w:rPr>
          <w:rFonts w:cs="Helvetica"/>
          <w:spacing w:val="-2"/>
          <w:sz w:val="16"/>
          <w:szCs w:val="16"/>
          <w:lang w:val="es-ES_tradnl"/>
        </w:rPr>
        <w:t>párrs</w:t>
      </w:r>
      <w:proofErr w:type="spellEnd"/>
      <w:r w:rsidR="00542846" w:rsidRPr="00B27C76">
        <w:rPr>
          <w:rFonts w:cs="Helvetica"/>
          <w:spacing w:val="-2"/>
          <w:sz w:val="16"/>
          <w:szCs w:val="16"/>
          <w:lang w:val="es-ES_tradnl"/>
        </w:rPr>
        <w:t xml:space="preserve">. </w:t>
      </w:r>
      <w:r w:rsidRPr="00B27C76">
        <w:rPr>
          <w:rFonts w:cs="Helvetica"/>
          <w:spacing w:val="-2"/>
          <w:sz w:val="16"/>
          <w:szCs w:val="16"/>
          <w:lang w:val="es-ES_tradnl"/>
        </w:rPr>
        <w:t>102 y 105</w:t>
      </w:r>
      <w:r w:rsidR="00542846" w:rsidRPr="00B27C76">
        <w:rPr>
          <w:rFonts w:cs="Helvetica"/>
          <w:spacing w:val="-2"/>
          <w:sz w:val="16"/>
          <w:szCs w:val="16"/>
          <w:lang w:val="es-ES_tradnl"/>
        </w:rPr>
        <w:t>). En dicha decisión sólo se lee que:</w:t>
      </w:r>
      <w:bookmarkEnd w:id="22"/>
      <w:r w:rsidR="00542846" w:rsidRPr="00B27C76">
        <w:rPr>
          <w:rFonts w:cs="Helvetica"/>
          <w:spacing w:val="-2"/>
          <w:sz w:val="16"/>
          <w:szCs w:val="16"/>
          <w:lang w:val="es-ES_tradnl"/>
        </w:rPr>
        <w:t xml:space="preserve"> </w:t>
      </w:r>
    </w:p>
    <w:p w:rsidR="00542846" w:rsidRPr="00B27C76" w:rsidRDefault="00542846" w:rsidP="00055C4C">
      <w:pPr>
        <w:spacing w:line="240" w:lineRule="auto"/>
        <w:ind w:left="630" w:right="288"/>
        <w:contextualSpacing/>
        <w:jc w:val="both"/>
        <w:rPr>
          <w:rFonts w:cs="Helvetica"/>
          <w:spacing w:val="-2"/>
          <w:sz w:val="16"/>
          <w:szCs w:val="16"/>
          <w:lang w:val="es-ES_tradnl"/>
        </w:rPr>
      </w:pPr>
    </w:p>
    <w:p w:rsidR="00542846" w:rsidRPr="00B27C76" w:rsidRDefault="00542846" w:rsidP="00982426">
      <w:pPr>
        <w:tabs>
          <w:tab w:val="left" w:pos="450"/>
        </w:tabs>
        <w:spacing w:line="240" w:lineRule="auto"/>
        <w:ind w:left="1080" w:right="288"/>
        <w:jc w:val="both"/>
        <w:rPr>
          <w:rFonts w:cs="Helvetica"/>
          <w:spacing w:val="-2"/>
          <w:sz w:val="16"/>
          <w:szCs w:val="16"/>
          <w:lang w:val="es-ES_tradnl"/>
        </w:rPr>
      </w:pPr>
      <w:r w:rsidRPr="00B27C76">
        <w:rPr>
          <w:rFonts w:cs="Helvetica"/>
          <w:spacing w:val="-2"/>
          <w:sz w:val="16"/>
          <w:szCs w:val="16"/>
          <w:lang w:val="es-ES_tradnl"/>
        </w:rPr>
        <w:t>Vistos; de conformidad con lo dictaminado por el señor Fiscal; y considerando, además que en la sentencia materia de grado no se hace una debida apreciación de los hechos materia de la inculpación ni se compulsa adecuadamente la prueba actuada con el fin de establecer la inocencia o culpabilidad de los acusados; que de otro lado, respecto de los procesados que han sido condenados no se ha determinado específicamente para cada uno de ellos el artículo de la ley pertinente aplicable al caso, por lo que […] declararon nula la sentencia recurrida […]; mandaron se realice nuevo juicio oral por otra Sala Penal Especializada […].</w:t>
      </w:r>
    </w:p>
    <w:p w:rsidR="00542846" w:rsidRPr="00B27C76" w:rsidRDefault="00055C4C" w:rsidP="00055C4C">
      <w:pPr>
        <w:widowControl w:val="0"/>
        <w:tabs>
          <w:tab w:val="left" w:pos="567"/>
        </w:tabs>
        <w:adjustRightInd w:val="0"/>
        <w:spacing w:after="0" w:line="240" w:lineRule="auto"/>
        <w:ind w:left="630" w:right="288"/>
        <w:contextualSpacing/>
        <w:jc w:val="both"/>
        <w:textAlignment w:val="baseline"/>
        <w:rPr>
          <w:rFonts w:cs="Helvetica"/>
          <w:spacing w:val="-2"/>
          <w:sz w:val="16"/>
          <w:szCs w:val="16"/>
          <w:lang w:val="es-ES_tradnl"/>
        </w:rPr>
      </w:pPr>
      <w:r w:rsidRPr="00B27C76">
        <w:rPr>
          <w:rFonts w:cs="Helvetica"/>
          <w:spacing w:val="-2"/>
          <w:sz w:val="16"/>
          <w:szCs w:val="16"/>
          <w:lang w:val="es-ES_tradnl"/>
        </w:rPr>
        <w:t xml:space="preserve">226. </w:t>
      </w:r>
      <w:r w:rsidR="00542846" w:rsidRPr="00B27C76">
        <w:rPr>
          <w:rFonts w:cs="Helvetica"/>
          <w:spacing w:val="-2"/>
          <w:sz w:val="16"/>
          <w:szCs w:val="16"/>
          <w:lang w:val="es-ES_tradnl"/>
        </w:rPr>
        <w:t>La Corte constata que la referida sentencia de diciembre de 1993 no contiene más elementos fácticos o normativos que informen de la motivación del fallo. Al respecto, la Corte hace notar que la señora J. se encontraba acusada en un proceso donde se acusó conjuntamente a otras 93 personas (</w:t>
      </w:r>
      <w:r w:rsidR="00542846" w:rsidRPr="00B27C76">
        <w:rPr>
          <w:rFonts w:cs="Helvetica"/>
          <w:i/>
          <w:spacing w:val="-2"/>
          <w:sz w:val="16"/>
          <w:szCs w:val="16"/>
          <w:lang w:val="es-ES_tradnl"/>
        </w:rPr>
        <w:t xml:space="preserve">supra </w:t>
      </w:r>
      <w:r w:rsidR="00542846" w:rsidRPr="00B27C76">
        <w:rPr>
          <w:rFonts w:cs="Helvetica"/>
          <w:spacing w:val="-2"/>
          <w:sz w:val="16"/>
          <w:szCs w:val="16"/>
          <w:lang w:val="es-ES_tradnl"/>
        </w:rPr>
        <w:t xml:space="preserve">párr. </w:t>
      </w:r>
      <w:r w:rsidR="000D5391" w:rsidRPr="00B27C76">
        <w:rPr>
          <w:sz w:val="16"/>
          <w:szCs w:val="16"/>
          <w:lang w:val="es-ES_tradnl"/>
        </w:rPr>
        <w:t>101</w:t>
      </w:r>
      <w:r w:rsidR="00542846" w:rsidRPr="00B27C76">
        <w:rPr>
          <w:rFonts w:cs="Helvetica"/>
          <w:spacing w:val="-2"/>
          <w:sz w:val="16"/>
          <w:szCs w:val="16"/>
          <w:lang w:val="es-ES_tradnl"/>
        </w:rPr>
        <w:t>). El fallo de 18 de junio de 1993 de la Corte Superior de Justicia de Lima, mediante el cual se absolvió a la señora J., condenó a once de los acusados, absolvió a diecisiete y reservó el proceso contra otras sesenta y cinco personas (</w:t>
      </w:r>
      <w:r w:rsidR="00542846" w:rsidRPr="00B27C76">
        <w:rPr>
          <w:rFonts w:cs="Helvetica"/>
          <w:i/>
          <w:spacing w:val="-2"/>
          <w:sz w:val="16"/>
          <w:szCs w:val="16"/>
          <w:lang w:val="es-ES_tradnl"/>
        </w:rPr>
        <w:t>supra</w:t>
      </w:r>
      <w:r w:rsidR="00542846" w:rsidRPr="00B27C76">
        <w:rPr>
          <w:rFonts w:cs="Helvetica"/>
          <w:spacing w:val="-2"/>
          <w:sz w:val="16"/>
          <w:szCs w:val="16"/>
          <w:lang w:val="es-ES_tradnl"/>
        </w:rPr>
        <w:t xml:space="preserve"> párr. </w:t>
      </w:r>
      <w:r w:rsidR="000D5391" w:rsidRPr="00B27C76">
        <w:rPr>
          <w:sz w:val="16"/>
          <w:szCs w:val="16"/>
          <w:lang w:val="es-ES_tradnl"/>
        </w:rPr>
        <w:t>102</w:t>
      </w:r>
      <w:r w:rsidR="00542846" w:rsidRPr="00B27C76">
        <w:rPr>
          <w:rFonts w:cs="Helvetica"/>
          <w:spacing w:val="-2"/>
          <w:sz w:val="16"/>
          <w:szCs w:val="16"/>
          <w:lang w:val="es-ES_tradnl"/>
        </w:rPr>
        <w:t xml:space="preserve">). No obstante, el fallo que declaró su nulidad en diciembre de ese año no específica respecto de quiénes se </w:t>
      </w:r>
      <w:proofErr w:type="gramStart"/>
      <w:r w:rsidR="00542846" w:rsidRPr="00B27C76">
        <w:rPr>
          <w:rFonts w:cs="Helvetica"/>
          <w:spacing w:val="-2"/>
          <w:sz w:val="16"/>
          <w:szCs w:val="16"/>
          <w:lang w:val="es-ES_tradnl"/>
        </w:rPr>
        <w:t>compulsó</w:t>
      </w:r>
      <w:proofErr w:type="gramEnd"/>
      <w:r w:rsidR="00542846" w:rsidRPr="00B27C76">
        <w:rPr>
          <w:rFonts w:cs="Helvetica"/>
          <w:spacing w:val="-2"/>
          <w:sz w:val="16"/>
          <w:szCs w:val="16"/>
          <w:lang w:val="es-ES_tradnl"/>
        </w:rPr>
        <w:t xml:space="preserve"> inadecuadamente la prueba o se realizó una indebida apreciación de los hechos materia de la inculpación, no establece la base normativa con base en la cual se declaró la nulidad o la causal por la cual resultaba procedente. Dicha ausencia de motivación y fundamentación en la sentencia de la Corte Suprema generó que fuera imposible para la señora J. defenderse adecuadamente de forma que pudiera controvertirlo o recurrirlo para hacer valer </w:t>
      </w:r>
      <w:r w:rsidR="00542846" w:rsidRPr="00B27C76">
        <w:rPr>
          <w:spacing w:val="-2"/>
          <w:sz w:val="16"/>
          <w:szCs w:val="16"/>
          <w:lang w:val="es-ES_tradnl"/>
        </w:rPr>
        <w:t>la absolución dictada a su favor.</w:t>
      </w:r>
      <w:r w:rsidR="00542846" w:rsidRPr="00B27C76">
        <w:rPr>
          <w:rFonts w:cs="Helvetica"/>
          <w:spacing w:val="-2"/>
          <w:sz w:val="16"/>
          <w:szCs w:val="16"/>
          <w:lang w:val="es-ES_tradnl"/>
        </w:rPr>
        <w:t xml:space="preserve"> </w:t>
      </w:r>
    </w:p>
    <w:p w:rsidR="00542846" w:rsidRPr="00B27C76" w:rsidRDefault="00542846" w:rsidP="00055C4C">
      <w:pPr>
        <w:tabs>
          <w:tab w:val="left" w:pos="567"/>
        </w:tabs>
        <w:spacing w:line="240" w:lineRule="auto"/>
        <w:ind w:left="630" w:right="288"/>
        <w:contextualSpacing/>
        <w:jc w:val="both"/>
        <w:rPr>
          <w:rFonts w:cs="Helvetica"/>
          <w:spacing w:val="-2"/>
          <w:sz w:val="16"/>
          <w:szCs w:val="16"/>
          <w:lang w:val="es-ES_tradnl"/>
        </w:rPr>
      </w:pPr>
    </w:p>
    <w:p w:rsidR="00542846" w:rsidRPr="00B27C76" w:rsidRDefault="00055C4C" w:rsidP="00055C4C">
      <w:pPr>
        <w:widowControl w:val="0"/>
        <w:tabs>
          <w:tab w:val="left" w:pos="567"/>
        </w:tabs>
        <w:adjustRightInd w:val="0"/>
        <w:spacing w:after="0" w:line="240" w:lineRule="auto"/>
        <w:ind w:left="630" w:right="288"/>
        <w:contextualSpacing/>
        <w:jc w:val="both"/>
        <w:textAlignment w:val="baseline"/>
        <w:rPr>
          <w:rFonts w:cs="Helvetica"/>
          <w:spacing w:val="-2"/>
          <w:sz w:val="16"/>
          <w:szCs w:val="16"/>
          <w:lang w:val="es-ES_tradnl"/>
        </w:rPr>
      </w:pPr>
      <w:r w:rsidRPr="00B27C76">
        <w:rPr>
          <w:rFonts w:cs="Helvetica"/>
          <w:spacing w:val="-2"/>
          <w:sz w:val="16"/>
          <w:szCs w:val="16"/>
          <w:lang w:val="es-ES_tradnl"/>
        </w:rPr>
        <w:t xml:space="preserve">227. </w:t>
      </w:r>
      <w:r w:rsidR="00542846" w:rsidRPr="00B27C76">
        <w:rPr>
          <w:rFonts w:cs="Helvetica"/>
          <w:spacing w:val="-2"/>
          <w:sz w:val="16"/>
          <w:szCs w:val="16"/>
          <w:lang w:val="es-ES_tradnl"/>
        </w:rPr>
        <w:t xml:space="preserve">La Corte resalta que, si bien la decisión de la Corte Suprema “sin rostro” no constituye una condena, sí afectó los derechos de la señora J. en la medida en que afectó la firmeza de su absolución. De no haberse declarado la nulidad de la absolución dictada a favor de la señora J., </w:t>
      </w:r>
      <w:r w:rsidR="00542846" w:rsidRPr="00B27C76">
        <w:rPr>
          <w:rFonts w:cs="Helvetica"/>
          <w:spacing w:val="-2"/>
          <w:sz w:val="16"/>
          <w:szCs w:val="16"/>
          <w:lang w:val="es-ES_tradnl"/>
        </w:rPr>
        <w:lastRenderedPageBreak/>
        <w:t xml:space="preserve">actualmente no existiera un proceso penal abierto en contra de la señora J. </w:t>
      </w:r>
      <w:r w:rsidR="00542846" w:rsidRPr="00B27C76">
        <w:rPr>
          <w:rFonts w:eastAsia="MS Mincho" w:cs="Arial"/>
          <w:spacing w:val="-2"/>
          <w:sz w:val="16"/>
          <w:szCs w:val="16"/>
          <w:lang w:val="es-ES_tradnl" w:eastAsia="es-ES"/>
        </w:rPr>
        <w:t>Además, la Corte considera que la exigencia de una motivación adecuada en dicha decisión era aún mayor, en tanto anuló una absolución dictada debido a una insuficiencia probatoria con base en una supuesta compulsa inadecuada de la prueba (</w:t>
      </w:r>
      <w:r w:rsidR="00542846" w:rsidRPr="00B27C76">
        <w:rPr>
          <w:rFonts w:eastAsia="MS Mincho" w:cs="Arial"/>
          <w:i/>
          <w:spacing w:val="-2"/>
          <w:sz w:val="16"/>
          <w:szCs w:val="16"/>
          <w:lang w:val="es-ES_tradnl" w:eastAsia="es-ES"/>
        </w:rPr>
        <w:t>supra</w:t>
      </w:r>
      <w:r w:rsidR="00542846" w:rsidRPr="00B27C76">
        <w:rPr>
          <w:rFonts w:eastAsia="MS Mincho" w:cs="Arial"/>
          <w:spacing w:val="-2"/>
          <w:sz w:val="16"/>
          <w:szCs w:val="16"/>
          <w:lang w:val="es-ES_tradnl" w:eastAsia="es-ES"/>
        </w:rPr>
        <w:t xml:space="preserve"> párr.</w:t>
      </w:r>
      <w:r w:rsidR="00982426" w:rsidRPr="00B27C76">
        <w:rPr>
          <w:sz w:val="16"/>
          <w:szCs w:val="16"/>
          <w:lang w:val="es-ES_tradnl"/>
        </w:rPr>
        <w:t xml:space="preserve"> 225</w:t>
      </w:r>
      <w:r w:rsidR="00542846" w:rsidRPr="00B27C76">
        <w:rPr>
          <w:rFonts w:eastAsia="MS Mincho" w:cs="Arial"/>
          <w:spacing w:val="-2"/>
          <w:sz w:val="16"/>
          <w:szCs w:val="16"/>
          <w:lang w:val="es-ES_tradnl" w:eastAsia="es-ES"/>
        </w:rPr>
        <w:t xml:space="preserve">). </w:t>
      </w:r>
    </w:p>
    <w:p w:rsidR="00542846" w:rsidRPr="00B27C76" w:rsidRDefault="00542846" w:rsidP="00055C4C">
      <w:pPr>
        <w:tabs>
          <w:tab w:val="left" w:pos="567"/>
        </w:tabs>
        <w:spacing w:line="240" w:lineRule="auto"/>
        <w:ind w:left="630" w:right="288"/>
        <w:contextualSpacing/>
        <w:jc w:val="both"/>
        <w:rPr>
          <w:rFonts w:cs="Helvetica"/>
          <w:spacing w:val="-2"/>
          <w:sz w:val="16"/>
          <w:szCs w:val="16"/>
          <w:lang w:val="es-ES_tradnl"/>
        </w:rPr>
      </w:pPr>
    </w:p>
    <w:p w:rsidR="00542846" w:rsidRPr="00B27C76" w:rsidRDefault="00055C4C" w:rsidP="00055C4C">
      <w:pPr>
        <w:widowControl w:val="0"/>
        <w:tabs>
          <w:tab w:val="left" w:pos="567"/>
        </w:tabs>
        <w:autoSpaceDE w:val="0"/>
        <w:autoSpaceDN w:val="0"/>
        <w:adjustRightInd w:val="0"/>
        <w:spacing w:after="0" w:line="240" w:lineRule="auto"/>
        <w:ind w:left="630" w:right="288"/>
        <w:contextualSpacing/>
        <w:jc w:val="both"/>
        <w:textAlignment w:val="baseline"/>
        <w:rPr>
          <w:spacing w:val="-2"/>
          <w:sz w:val="16"/>
          <w:szCs w:val="16"/>
          <w:lang w:val="es-ES_tradnl"/>
        </w:rPr>
      </w:pPr>
      <w:r w:rsidRPr="00B27C76">
        <w:rPr>
          <w:rFonts w:cs="Helvetica"/>
          <w:spacing w:val="-2"/>
          <w:sz w:val="16"/>
          <w:szCs w:val="16"/>
          <w:lang w:val="es-ES_tradnl"/>
        </w:rPr>
        <w:t xml:space="preserve">228. </w:t>
      </w:r>
      <w:r w:rsidR="00542846" w:rsidRPr="00B27C76">
        <w:rPr>
          <w:rFonts w:cs="Helvetica"/>
          <w:spacing w:val="-2"/>
          <w:sz w:val="16"/>
          <w:szCs w:val="16"/>
          <w:lang w:val="es-ES_tradnl"/>
        </w:rPr>
        <w:t xml:space="preserve">Asimismo, este Tribunal considera que la Corte Suprema no actuó conforme al principio de presunción de inocencia, al exigir al tribunal de instancia “establecer la inocencia o culpabilidad de los acusados”. La Corte recuerda que el principio de presunción de inocencia requiere que nadie sea condenado salvo la existencia de prueba plena o más allá de toda duda razonable de su culpabilidad. La Corte Superior de Lima dispuso absolver a la señora J. porque no contaba con prueba suficiente de su culpabilidad. Al no explicar en qué consistió la compulsa inadecuada de la prueba o la indebida apreciación de los hechos la Corte Suprema presumió la culpabilidad de la señora J. </w:t>
      </w:r>
    </w:p>
    <w:p w:rsidR="00542846" w:rsidRPr="00B27C76" w:rsidRDefault="00542846" w:rsidP="00055C4C">
      <w:pPr>
        <w:tabs>
          <w:tab w:val="left" w:pos="567"/>
        </w:tabs>
        <w:spacing w:after="0" w:line="240" w:lineRule="auto"/>
        <w:ind w:left="630" w:right="288"/>
        <w:jc w:val="both"/>
        <w:rPr>
          <w:rFonts w:eastAsia="Times New Roman"/>
          <w:szCs w:val="20"/>
          <w:lang w:val="es-ES_tradnl"/>
        </w:rPr>
      </w:pPr>
    </w:p>
    <w:p w:rsidR="0086220C" w:rsidRPr="00B27C76" w:rsidRDefault="0086220C" w:rsidP="00055C4C">
      <w:pPr>
        <w:autoSpaceDE w:val="0"/>
        <w:autoSpaceDN w:val="0"/>
        <w:adjustRightInd w:val="0"/>
        <w:spacing w:after="0" w:line="240" w:lineRule="auto"/>
        <w:ind w:left="630" w:right="288"/>
        <w:jc w:val="both"/>
        <w:rPr>
          <w:rFonts w:eastAsiaTheme="minorHAnsi" w:cs="Verdana"/>
          <w:sz w:val="16"/>
          <w:szCs w:val="16"/>
          <w:lang w:val="es-ES_tradnl"/>
        </w:rPr>
      </w:pPr>
      <w:r w:rsidRPr="00B27C76">
        <w:rPr>
          <w:rFonts w:eastAsiaTheme="minorHAnsi" w:cs="Verdana"/>
          <w:sz w:val="16"/>
          <w:szCs w:val="16"/>
          <w:lang w:val="es-ES_tradnl"/>
        </w:rPr>
        <w:t>229. En virtud de las consideraciones anteriores, esta Corte considera que la sentencia del 27 de diciembre de 1993 de la Corte Suprema de Justicia “sin rostro” incumplió el deber de motivación de las decisiones judiciales e infringió la presunción de inocencia de la señora J., en violación del artículo 8, incisos 1 y 2, de la Convención Americana, en relación con el artículo 1.1 de la misma.</w:t>
      </w:r>
    </w:p>
    <w:p w:rsidR="0086220C" w:rsidRPr="00B27C76" w:rsidRDefault="0086220C" w:rsidP="0086220C">
      <w:pPr>
        <w:tabs>
          <w:tab w:val="left" w:pos="567"/>
        </w:tabs>
        <w:spacing w:after="0" w:line="240" w:lineRule="auto"/>
        <w:ind w:right="-90"/>
        <w:jc w:val="both"/>
        <w:rPr>
          <w:rFonts w:eastAsia="Times New Roman"/>
          <w:szCs w:val="20"/>
          <w:lang w:val="es-ES_tradnl"/>
        </w:rPr>
      </w:pPr>
    </w:p>
    <w:p w:rsidR="00E80650" w:rsidRPr="00B27C76" w:rsidRDefault="009C118D" w:rsidP="00F749AF">
      <w:pPr>
        <w:numPr>
          <w:ilvl w:val="0"/>
          <w:numId w:val="1"/>
        </w:numPr>
        <w:tabs>
          <w:tab w:val="left" w:pos="567"/>
        </w:tabs>
        <w:spacing w:after="0" w:line="240" w:lineRule="auto"/>
        <w:ind w:right="-90"/>
        <w:jc w:val="both"/>
        <w:rPr>
          <w:rFonts w:eastAsia="Times New Roman"/>
          <w:szCs w:val="20"/>
          <w:lang w:val="es-ES_tradnl"/>
        </w:rPr>
      </w:pPr>
      <w:r w:rsidRPr="00B27C76">
        <w:rPr>
          <w:rFonts w:eastAsia="Times New Roman"/>
          <w:szCs w:val="20"/>
          <w:lang w:val="es-ES_tradnl"/>
        </w:rPr>
        <w:t xml:space="preserve">Ahora bien, </w:t>
      </w:r>
      <w:r w:rsidR="00985D09" w:rsidRPr="00B27C76">
        <w:rPr>
          <w:rFonts w:eastAsia="Times New Roman"/>
          <w:szCs w:val="20"/>
          <w:lang w:val="es-ES_tradnl"/>
        </w:rPr>
        <w:t xml:space="preserve">además de las consideraciones anteriores, </w:t>
      </w:r>
      <w:r w:rsidRPr="00B27C76">
        <w:rPr>
          <w:rFonts w:eastAsia="Times New Roman"/>
          <w:szCs w:val="20"/>
          <w:lang w:val="es-ES_tradnl"/>
        </w:rPr>
        <w:t>l</w:t>
      </w:r>
      <w:r w:rsidR="00E5639E" w:rsidRPr="00B27C76">
        <w:rPr>
          <w:rFonts w:eastAsia="Times New Roman"/>
          <w:szCs w:val="20"/>
          <w:lang w:val="es-ES_tradnl"/>
        </w:rPr>
        <w:t xml:space="preserve">a Corte recuerda que al analizar la alegada violación del principio de </w:t>
      </w:r>
      <w:r w:rsidR="00E5639E" w:rsidRPr="00B27C76">
        <w:rPr>
          <w:rFonts w:eastAsia="Times New Roman"/>
          <w:i/>
          <w:szCs w:val="20"/>
          <w:lang w:val="es-ES_tradnl"/>
        </w:rPr>
        <w:t>n</w:t>
      </w:r>
      <w:r w:rsidR="00DA0CC5" w:rsidRPr="00B27C76">
        <w:rPr>
          <w:rFonts w:eastAsia="Times New Roman"/>
          <w:i/>
          <w:szCs w:val="20"/>
          <w:lang w:val="es-ES_tradnl"/>
        </w:rPr>
        <w:t>on</w:t>
      </w:r>
      <w:r w:rsidR="00E5639E" w:rsidRPr="00B27C76">
        <w:rPr>
          <w:rFonts w:eastAsia="Times New Roman"/>
          <w:i/>
          <w:szCs w:val="20"/>
          <w:lang w:val="es-ES_tradnl"/>
        </w:rPr>
        <w:t xml:space="preserve"> bis in </w:t>
      </w:r>
      <w:proofErr w:type="spellStart"/>
      <w:r w:rsidR="00E5639E" w:rsidRPr="00B27C76">
        <w:rPr>
          <w:rFonts w:eastAsia="Times New Roman"/>
          <w:i/>
          <w:szCs w:val="20"/>
          <w:lang w:val="es-ES_tradnl"/>
        </w:rPr>
        <w:t>idem</w:t>
      </w:r>
      <w:proofErr w:type="spellEnd"/>
      <w:r w:rsidR="00E5639E" w:rsidRPr="00B27C76">
        <w:rPr>
          <w:rFonts w:eastAsia="Times New Roman"/>
          <w:szCs w:val="20"/>
          <w:lang w:val="es-ES_tradnl"/>
        </w:rPr>
        <w:t xml:space="preserve"> </w:t>
      </w:r>
      <w:r w:rsidRPr="00B27C76">
        <w:rPr>
          <w:rFonts w:eastAsia="Times New Roman"/>
          <w:szCs w:val="20"/>
          <w:lang w:val="es-ES_tradnl"/>
        </w:rPr>
        <w:t xml:space="preserve">también </w:t>
      </w:r>
      <w:r w:rsidR="00E80650" w:rsidRPr="00B27C76">
        <w:rPr>
          <w:rFonts w:eastAsia="Times New Roman"/>
          <w:szCs w:val="20"/>
          <w:lang w:val="es-ES_tradnl"/>
        </w:rPr>
        <w:t>estableció que:</w:t>
      </w:r>
      <w:r w:rsidR="00E80650" w:rsidRPr="00B27C76">
        <w:rPr>
          <w:sz w:val="16"/>
          <w:szCs w:val="16"/>
          <w:lang w:val="es-ES_tradnl"/>
        </w:rPr>
        <w:t xml:space="preserve"> </w:t>
      </w:r>
    </w:p>
    <w:p w:rsidR="00E80650" w:rsidRPr="00B27C76" w:rsidRDefault="00E80650" w:rsidP="00D66F1E">
      <w:pPr>
        <w:tabs>
          <w:tab w:val="left" w:pos="450"/>
        </w:tabs>
        <w:spacing w:after="0" w:line="240" w:lineRule="auto"/>
        <w:ind w:left="634" w:right="288"/>
        <w:jc w:val="both"/>
        <w:rPr>
          <w:sz w:val="16"/>
          <w:szCs w:val="16"/>
          <w:lang w:val="es-ES_tradnl"/>
        </w:rPr>
      </w:pPr>
    </w:p>
    <w:p w:rsidR="00E80650" w:rsidRPr="00B27C76" w:rsidRDefault="00E80650" w:rsidP="00D66F1E">
      <w:pPr>
        <w:tabs>
          <w:tab w:val="left" w:pos="450"/>
        </w:tabs>
        <w:spacing w:after="0" w:line="240" w:lineRule="auto"/>
        <w:ind w:left="634" w:right="288"/>
        <w:jc w:val="both"/>
        <w:rPr>
          <w:sz w:val="16"/>
          <w:szCs w:val="16"/>
          <w:lang w:val="es-ES_tradnl"/>
        </w:rPr>
      </w:pPr>
      <w:r w:rsidRPr="00B27C76">
        <w:rPr>
          <w:sz w:val="16"/>
          <w:szCs w:val="16"/>
          <w:lang w:val="es-ES_tradnl"/>
        </w:rPr>
        <w:t xml:space="preserve">269. Con respecto a los vicios de la sentencia de la Corte Suprema de Justicia “sin rostro”, la representante señaló que debido a la identidad reservada de los magistrados, la falta de motivación de la sentencia, la alegada extemporaneidad de su emisión  y la ilegalidad de la misma (en tanto no tendría fundamento en ninguna de las causales taxativas previstas legalmente) dicha decisión no debería tener efectos jurídicos. </w:t>
      </w:r>
    </w:p>
    <w:p w:rsidR="00E80650" w:rsidRPr="00B27C76" w:rsidRDefault="00E80650" w:rsidP="00D66F1E">
      <w:pPr>
        <w:tabs>
          <w:tab w:val="left" w:pos="450"/>
        </w:tabs>
        <w:spacing w:after="0" w:line="240" w:lineRule="auto"/>
        <w:ind w:left="634" w:right="288"/>
        <w:jc w:val="both"/>
        <w:rPr>
          <w:sz w:val="16"/>
          <w:szCs w:val="16"/>
          <w:lang w:val="es-ES_tradnl"/>
        </w:rPr>
      </w:pPr>
    </w:p>
    <w:p w:rsidR="00E80650" w:rsidRPr="00B27C76" w:rsidRDefault="00E80650" w:rsidP="001E7A72">
      <w:pPr>
        <w:tabs>
          <w:tab w:val="left" w:pos="450"/>
        </w:tabs>
        <w:spacing w:after="0" w:line="240" w:lineRule="auto"/>
        <w:ind w:left="634" w:right="288"/>
        <w:jc w:val="both"/>
        <w:rPr>
          <w:sz w:val="16"/>
          <w:szCs w:val="16"/>
          <w:lang w:val="es-ES_tradnl"/>
        </w:rPr>
      </w:pPr>
      <w:r w:rsidRPr="00B27C76">
        <w:rPr>
          <w:sz w:val="16"/>
          <w:szCs w:val="16"/>
          <w:lang w:val="es-ES_tradnl"/>
        </w:rPr>
        <w:t>270.</w:t>
      </w:r>
      <w:r w:rsidR="001E7A72" w:rsidRPr="00B27C76">
        <w:rPr>
          <w:sz w:val="16"/>
          <w:szCs w:val="16"/>
          <w:lang w:val="es-ES_tradnl"/>
        </w:rPr>
        <w:t xml:space="preserve"> </w:t>
      </w:r>
      <w:r w:rsidRPr="00B27C76">
        <w:rPr>
          <w:sz w:val="16"/>
          <w:szCs w:val="16"/>
          <w:lang w:val="es-ES_tradnl"/>
        </w:rPr>
        <w:t>Al respecto, esta Corte nota que la identidad reservada de los magistrados constituyó un defecto común de ambas instancias (</w:t>
      </w:r>
      <w:r w:rsidRPr="00B27C76">
        <w:rPr>
          <w:i/>
          <w:sz w:val="16"/>
          <w:szCs w:val="16"/>
          <w:lang w:val="es-ES_tradnl"/>
        </w:rPr>
        <w:t>supra</w:t>
      </w:r>
      <w:r w:rsidRPr="00B27C76">
        <w:rPr>
          <w:sz w:val="16"/>
          <w:szCs w:val="16"/>
          <w:lang w:val="es-ES_tradnl"/>
        </w:rPr>
        <w:t xml:space="preserve"> </w:t>
      </w:r>
      <w:proofErr w:type="spellStart"/>
      <w:r w:rsidRPr="00B27C76">
        <w:rPr>
          <w:sz w:val="16"/>
          <w:szCs w:val="16"/>
          <w:lang w:val="es-ES_tradnl"/>
        </w:rPr>
        <w:t>párrs</w:t>
      </w:r>
      <w:proofErr w:type="spellEnd"/>
      <w:r w:rsidRPr="00B27C76">
        <w:rPr>
          <w:sz w:val="16"/>
          <w:szCs w:val="16"/>
          <w:lang w:val="es-ES_tradnl"/>
        </w:rPr>
        <w:t>. 102 y 105). Además, la Corte recuerda que concluyó que dicha decisión de la Corte Suprema “sin rostro” careció de motivación, en violación del artículo 8.1 de la Convención (</w:t>
      </w:r>
      <w:r w:rsidR="00C365F8" w:rsidRPr="00C365F8">
        <w:rPr>
          <w:i/>
          <w:sz w:val="16"/>
          <w:szCs w:val="16"/>
          <w:lang w:val="es-ES_tradnl"/>
        </w:rPr>
        <w:t>supra</w:t>
      </w:r>
      <w:r w:rsidRPr="00B27C76">
        <w:rPr>
          <w:sz w:val="16"/>
          <w:szCs w:val="16"/>
          <w:lang w:val="es-ES_tradnl"/>
        </w:rPr>
        <w:t xml:space="preserve"> párr. 229). Asimismo, en la medida en que en dicha sentencia no estuvo debidamente motivada no es posible determinar si la señora J. tuvo oportunidad de ser oída en dicho proceso de nulidad, a través de su abogado defensor, o de ejercer una adecuada defensa. Adicionalmente, la ausencia de motivación no permite determinar cuál fue la causal de nulidad aplicada, conforme a los supuestos establecidos en el Código de</w:t>
      </w:r>
      <w:r w:rsidR="00DA0CC5" w:rsidRPr="00B27C76">
        <w:rPr>
          <w:sz w:val="16"/>
          <w:szCs w:val="16"/>
          <w:lang w:val="es-ES_tradnl"/>
        </w:rPr>
        <w:t xml:space="preserve"> Procedimientos Penales peruano</w:t>
      </w:r>
      <w:r w:rsidRPr="00B27C76">
        <w:rPr>
          <w:sz w:val="16"/>
          <w:szCs w:val="16"/>
          <w:lang w:val="es-ES_tradnl"/>
        </w:rPr>
        <w:t>. Esta Corte ha establecido que la motivación demuestra a las partes que éstas han sido oídas y, en aquellos casos en que las decisiones son recurribles, les proporciona la posibilidad de criticar la resolución y lograr un nuevo examen de la cuestión</w:t>
      </w:r>
      <w:r w:rsidR="00937C14" w:rsidRPr="00B27C76">
        <w:rPr>
          <w:sz w:val="16"/>
          <w:szCs w:val="16"/>
          <w:lang w:val="es-ES_tradnl"/>
        </w:rPr>
        <w:t xml:space="preserve"> ante las instancias superiores</w:t>
      </w:r>
      <w:r w:rsidRPr="00B27C76">
        <w:rPr>
          <w:sz w:val="16"/>
          <w:szCs w:val="16"/>
          <w:lang w:val="es-ES_tradnl"/>
        </w:rPr>
        <w:t xml:space="preserve">. No obstante, </w:t>
      </w:r>
      <w:r w:rsidRPr="00B27C76">
        <w:rPr>
          <w:b/>
          <w:i/>
          <w:sz w:val="16"/>
          <w:szCs w:val="16"/>
          <w:lang w:val="es-ES_tradnl"/>
        </w:rPr>
        <w:t>este Tribunal no cuenta con elementos que le permitan concluir que dicha ausencia de motivación de la sentencia de nulidad de 1993 tendría el efecto de otorgar firmeza a la absolución dictada previamente a favor de la señora J.</w:t>
      </w:r>
      <w:r w:rsidRPr="00B27C76">
        <w:rPr>
          <w:sz w:val="16"/>
          <w:szCs w:val="16"/>
          <w:lang w:val="es-ES_tradnl"/>
        </w:rPr>
        <w:t xml:space="preserve"> </w:t>
      </w:r>
      <w:r w:rsidR="00F06450">
        <w:rPr>
          <w:sz w:val="16"/>
          <w:szCs w:val="16"/>
          <w:lang w:val="es-ES_tradnl"/>
        </w:rPr>
        <w:t>[</w:t>
      </w:r>
      <w:r w:rsidR="00091E0C" w:rsidRPr="00B27C76">
        <w:rPr>
          <w:sz w:val="16"/>
          <w:szCs w:val="16"/>
          <w:lang w:val="es-ES_tradnl"/>
        </w:rPr>
        <w:t xml:space="preserve">resaltado </w:t>
      </w:r>
      <w:r w:rsidR="001E7A72" w:rsidRPr="00B27C76">
        <w:rPr>
          <w:sz w:val="16"/>
          <w:szCs w:val="16"/>
          <w:lang w:val="es-ES_tradnl"/>
        </w:rPr>
        <w:t>fuera del original</w:t>
      </w:r>
      <w:r w:rsidR="00F06450">
        <w:rPr>
          <w:sz w:val="16"/>
          <w:szCs w:val="16"/>
          <w:lang w:val="es-ES_tradnl"/>
        </w:rPr>
        <w:t>]</w:t>
      </w:r>
    </w:p>
    <w:p w:rsidR="001E7A72" w:rsidRPr="00B27C76" w:rsidRDefault="001E7A72" w:rsidP="00D66F1E">
      <w:pPr>
        <w:tabs>
          <w:tab w:val="left" w:pos="450"/>
        </w:tabs>
        <w:spacing w:after="0" w:line="240" w:lineRule="auto"/>
        <w:ind w:left="634" w:right="288"/>
        <w:jc w:val="both"/>
        <w:rPr>
          <w:sz w:val="16"/>
          <w:szCs w:val="16"/>
          <w:lang w:val="es-ES_tradnl"/>
        </w:rPr>
      </w:pPr>
    </w:p>
    <w:p w:rsidR="00E80650" w:rsidRPr="00B27C76" w:rsidRDefault="00DA0CC5" w:rsidP="00D66F1E">
      <w:pPr>
        <w:tabs>
          <w:tab w:val="left" w:pos="450"/>
        </w:tabs>
        <w:spacing w:after="0" w:line="240" w:lineRule="auto"/>
        <w:ind w:left="634" w:right="288"/>
        <w:jc w:val="both"/>
        <w:rPr>
          <w:sz w:val="16"/>
          <w:szCs w:val="16"/>
          <w:lang w:val="es-ES_tradnl"/>
        </w:rPr>
      </w:pPr>
      <w:r w:rsidRPr="00B27C76">
        <w:rPr>
          <w:sz w:val="16"/>
          <w:szCs w:val="16"/>
          <w:lang w:val="es-ES_tradnl"/>
        </w:rPr>
        <w:t>[…]</w:t>
      </w:r>
    </w:p>
    <w:p w:rsidR="00E80650" w:rsidRPr="00B27C76" w:rsidRDefault="00E80650" w:rsidP="00D66F1E">
      <w:pPr>
        <w:tabs>
          <w:tab w:val="left" w:pos="450"/>
        </w:tabs>
        <w:spacing w:after="0" w:line="240" w:lineRule="auto"/>
        <w:ind w:left="634" w:right="288"/>
        <w:jc w:val="both"/>
        <w:rPr>
          <w:sz w:val="16"/>
          <w:szCs w:val="16"/>
          <w:lang w:val="es-ES_tradnl"/>
        </w:rPr>
      </w:pPr>
    </w:p>
    <w:p w:rsidR="00C82D20" w:rsidRPr="00B27C76" w:rsidRDefault="00E80650" w:rsidP="00A85833">
      <w:pPr>
        <w:tabs>
          <w:tab w:val="left" w:pos="450"/>
        </w:tabs>
        <w:spacing w:after="0" w:line="240" w:lineRule="auto"/>
        <w:ind w:left="634" w:right="288"/>
        <w:jc w:val="both"/>
        <w:rPr>
          <w:sz w:val="16"/>
          <w:szCs w:val="16"/>
          <w:lang w:val="es-ES_tradnl"/>
        </w:rPr>
      </w:pPr>
      <w:r w:rsidRPr="00B27C76">
        <w:rPr>
          <w:sz w:val="16"/>
          <w:szCs w:val="16"/>
          <w:lang w:val="es-ES_tradnl"/>
        </w:rPr>
        <w:t>273.</w:t>
      </w:r>
      <w:r w:rsidR="001E7A72" w:rsidRPr="00B27C76">
        <w:rPr>
          <w:sz w:val="16"/>
          <w:szCs w:val="16"/>
          <w:lang w:val="es-ES_tradnl"/>
        </w:rPr>
        <w:t xml:space="preserve"> </w:t>
      </w:r>
      <w:r w:rsidRPr="00B27C76">
        <w:rPr>
          <w:sz w:val="16"/>
          <w:szCs w:val="16"/>
          <w:lang w:val="es-ES_tradnl"/>
        </w:rPr>
        <w:t>Por tanto, la Corte concluye que el Estado no violó el artículo 8.4 de la Convención, en relación con el 1.1 del mismo instrumento, en perjuicio de la señora J.</w:t>
      </w:r>
    </w:p>
    <w:p w:rsidR="0093183C" w:rsidRPr="00B27C76" w:rsidRDefault="0093183C" w:rsidP="0093183C">
      <w:pPr>
        <w:tabs>
          <w:tab w:val="left" w:pos="567"/>
        </w:tabs>
        <w:spacing w:after="0" w:line="240" w:lineRule="auto"/>
        <w:ind w:right="-90"/>
        <w:jc w:val="both"/>
        <w:rPr>
          <w:rFonts w:eastAsia="Times New Roman"/>
          <w:szCs w:val="20"/>
          <w:lang w:val="es-ES_tradnl"/>
        </w:rPr>
      </w:pPr>
    </w:p>
    <w:p w:rsidR="00DC595C" w:rsidRPr="00DC595C" w:rsidRDefault="0068672E" w:rsidP="00F749AF">
      <w:pPr>
        <w:numPr>
          <w:ilvl w:val="0"/>
          <w:numId w:val="1"/>
        </w:numPr>
        <w:tabs>
          <w:tab w:val="left" w:pos="567"/>
        </w:tabs>
        <w:spacing w:after="0" w:line="240" w:lineRule="auto"/>
        <w:ind w:right="-90"/>
        <w:jc w:val="both"/>
        <w:rPr>
          <w:rFonts w:eastAsia="Times New Roman"/>
          <w:szCs w:val="20"/>
          <w:lang w:val="es-ES_tradnl"/>
        </w:rPr>
      </w:pPr>
      <w:r w:rsidRPr="00B27C76">
        <w:rPr>
          <w:rFonts w:eastAsia="Times New Roman"/>
          <w:szCs w:val="20"/>
          <w:lang w:val="es-ES_tradnl"/>
        </w:rPr>
        <w:t xml:space="preserve">Este Tribunal </w:t>
      </w:r>
      <w:r w:rsidR="00A040FF" w:rsidRPr="00B27C76">
        <w:rPr>
          <w:rFonts w:eastAsia="Times New Roman"/>
          <w:szCs w:val="20"/>
          <w:lang w:val="es-ES_tradnl"/>
        </w:rPr>
        <w:t>considera que</w:t>
      </w:r>
      <w:r w:rsidR="008A7804" w:rsidRPr="00B27C76">
        <w:rPr>
          <w:rFonts w:eastAsia="Times New Roman"/>
          <w:szCs w:val="20"/>
          <w:lang w:val="es-ES_tradnl"/>
        </w:rPr>
        <w:t xml:space="preserve"> la aclaración solicitada busca que la Corte</w:t>
      </w:r>
      <w:r w:rsidR="00E35F08" w:rsidRPr="00B27C76">
        <w:rPr>
          <w:rFonts w:eastAsia="Times New Roman"/>
          <w:szCs w:val="20"/>
          <w:lang w:val="es-ES_tradnl"/>
        </w:rPr>
        <w:t xml:space="preserve"> </w:t>
      </w:r>
      <w:r w:rsidR="00C365F8" w:rsidRPr="00C365F8">
        <w:rPr>
          <w:rFonts w:eastAsia="Times New Roman"/>
          <w:szCs w:val="20"/>
          <w:lang w:val="es-ES_tradnl"/>
        </w:rPr>
        <w:t>vuelva a</w:t>
      </w:r>
      <w:r w:rsidR="008A7804" w:rsidRPr="00B27C76">
        <w:rPr>
          <w:rFonts w:eastAsia="Times New Roman"/>
          <w:szCs w:val="20"/>
          <w:u w:val="single"/>
          <w:lang w:val="es-ES_tradnl"/>
        </w:rPr>
        <w:t xml:space="preserve"> </w:t>
      </w:r>
      <w:r w:rsidR="00C365F8" w:rsidRPr="00C365F8">
        <w:rPr>
          <w:rFonts w:eastAsia="Times New Roman"/>
          <w:szCs w:val="20"/>
          <w:lang w:val="es-ES_tradnl"/>
        </w:rPr>
        <w:t>examinar</w:t>
      </w:r>
      <w:r w:rsidR="008A7804" w:rsidRPr="00B27C76">
        <w:rPr>
          <w:rFonts w:eastAsia="Times New Roman"/>
          <w:szCs w:val="20"/>
          <w:lang w:val="es-ES_tradnl"/>
        </w:rPr>
        <w:t xml:space="preserve"> el alegato</w:t>
      </w:r>
      <w:r w:rsidRPr="00B27C76">
        <w:rPr>
          <w:rFonts w:eastAsia="Times New Roman"/>
          <w:szCs w:val="20"/>
          <w:lang w:val="es-ES_tradnl"/>
        </w:rPr>
        <w:t xml:space="preserve"> de la representante</w:t>
      </w:r>
      <w:r w:rsidR="00E35F08" w:rsidRPr="00B27C76">
        <w:rPr>
          <w:rFonts w:eastAsia="Times New Roman"/>
          <w:szCs w:val="20"/>
          <w:lang w:val="es-ES_tradnl"/>
        </w:rPr>
        <w:t xml:space="preserve">, </w:t>
      </w:r>
      <w:r w:rsidR="008A7804" w:rsidRPr="00B27C76">
        <w:rPr>
          <w:rFonts w:eastAsia="Times New Roman"/>
          <w:szCs w:val="20"/>
          <w:lang w:val="es-ES_tradnl"/>
        </w:rPr>
        <w:t>expuesto en</w:t>
      </w:r>
      <w:r w:rsidRPr="00B27C76">
        <w:rPr>
          <w:rFonts w:eastAsia="Times New Roman"/>
          <w:szCs w:val="20"/>
          <w:lang w:val="es-ES_tradnl"/>
        </w:rPr>
        <w:t xml:space="preserve"> el párrafo 269 de la Sentencia</w:t>
      </w:r>
      <w:r w:rsidR="00E35F08" w:rsidRPr="00B27C76">
        <w:rPr>
          <w:rFonts w:eastAsia="Times New Roman"/>
          <w:szCs w:val="20"/>
          <w:lang w:val="es-ES_tradnl"/>
        </w:rPr>
        <w:t xml:space="preserve"> citado </w:t>
      </w:r>
      <w:r w:rsidR="00E35F08" w:rsidRPr="00B27C76">
        <w:rPr>
          <w:rFonts w:eastAsia="Times New Roman"/>
          <w:i/>
          <w:szCs w:val="20"/>
          <w:lang w:val="es-ES_tradnl"/>
        </w:rPr>
        <w:t>supra</w:t>
      </w:r>
      <w:r w:rsidRPr="00B27C76">
        <w:rPr>
          <w:rFonts w:eastAsia="Times New Roman"/>
          <w:szCs w:val="20"/>
          <w:lang w:val="es-ES_tradnl"/>
        </w:rPr>
        <w:t>, por el cual</w:t>
      </w:r>
      <w:r w:rsidR="0022381C" w:rsidRPr="00B27C76">
        <w:rPr>
          <w:rFonts w:eastAsia="Times New Roman"/>
          <w:szCs w:val="20"/>
          <w:lang w:val="es-ES_tradnl"/>
        </w:rPr>
        <w:t xml:space="preserve"> </w:t>
      </w:r>
      <w:r w:rsidRPr="00B27C76">
        <w:rPr>
          <w:rFonts w:eastAsia="Times New Roman"/>
          <w:szCs w:val="20"/>
          <w:lang w:val="es-ES_tradnl"/>
        </w:rPr>
        <w:t>pretendía que la sentencia de la Corte Suprema de Justicia de 27 de diciembre de 1993 no tuviera efectos jurídicos. De esta forma</w:t>
      </w:r>
      <w:r w:rsidR="00C82D20" w:rsidRPr="00B27C76">
        <w:rPr>
          <w:rFonts w:eastAsia="Times New Roman"/>
          <w:szCs w:val="20"/>
          <w:lang w:val="es-ES_tradnl"/>
        </w:rPr>
        <w:t xml:space="preserve">, bajo la apariencia de una solicitud de interpretación, </w:t>
      </w:r>
      <w:r w:rsidR="0022381C" w:rsidRPr="00B27C76">
        <w:rPr>
          <w:rFonts w:eastAsia="Times New Roman"/>
          <w:szCs w:val="20"/>
          <w:lang w:val="es-ES_tradnl"/>
        </w:rPr>
        <w:t xml:space="preserve">la representante plantea </w:t>
      </w:r>
      <w:r w:rsidR="00C82D20" w:rsidRPr="00B27C76">
        <w:rPr>
          <w:rFonts w:eastAsia="Times New Roman"/>
          <w:szCs w:val="20"/>
          <w:lang w:val="es-ES_tradnl"/>
        </w:rPr>
        <w:t xml:space="preserve">una discrepancia con lo resuelto por la Corte. </w:t>
      </w:r>
      <w:r w:rsidR="00A85833" w:rsidRPr="00B27C76">
        <w:rPr>
          <w:rFonts w:eastAsia="Times New Roman"/>
          <w:szCs w:val="20"/>
          <w:lang w:val="es-ES_tradnl"/>
        </w:rPr>
        <w:t>Al respecto, este Tribunal</w:t>
      </w:r>
      <w:r w:rsidR="00D72516" w:rsidRPr="00B27C76">
        <w:rPr>
          <w:szCs w:val="20"/>
          <w:lang w:val="es-ES_tradnl"/>
        </w:rPr>
        <w:t xml:space="preserve"> reitera que una solicitud de interpretación no puede ser utilizada como un medio de impugnación de la decisión cuya interpretación se requiere</w:t>
      </w:r>
      <w:r w:rsidR="00A85833" w:rsidRPr="00B27C76">
        <w:rPr>
          <w:szCs w:val="20"/>
          <w:lang w:val="es-ES_tradnl"/>
        </w:rPr>
        <w:t xml:space="preserve"> ni para </w:t>
      </w:r>
      <w:r w:rsidR="00D72516" w:rsidRPr="00B27C76">
        <w:rPr>
          <w:szCs w:val="20"/>
          <w:lang w:val="es-ES_tradnl"/>
        </w:rPr>
        <w:t xml:space="preserve">solicitar la modificación de la sentencia respectiva </w:t>
      </w:r>
      <w:r w:rsidR="00A85833" w:rsidRPr="00B27C76">
        <w:rPr>
          <w:szCs w:val="20"/>
          <w:lang w:val="es-ES_tradnl"/>
        </w:rPr>
        <w:t>(</w:t>
      </w:r>
      <w:r w:rsidR="00A85833" w:rsidRPr="00B27C76">
        <w:rPr>
          <w:i/>
          <w:szCs w:val="20"/>
          <w:lang w:val="es-ES_tradnl"/>
        </w:rPr>
        <w:t>supra</w:t>
      </w:r>
      <w:r w:rsidR="00A85833" w:rsidRPr="00B27C76">
        <w:rPr>
          <w:szCs w:val="20"/>
          <w:lang w:val="es-ES_tradnl"/>
        </w:rPr>
        <w:t xml:space="preserve"> párr. </w:t>
      </w:r>
      <w:r w:rsidR="00C62C4C">
        <w:rPr>
          <w:lang w:val="es-ES_tradnl"/>
        </w:rPr>
        <w:fldChar w:fldCharType="begin"/>
      </w:r>
      <w:r w:rsidR="00273AC2">
        <w:rPr>
          <w:szCs w:val="20"/>
          <w:lang w:val="es-ES_tradnl"/>
        </w:rPr>
        <w:instrText xml:space="preserve"> REF _Ref392082429 \r \h </w:instrText>
      </w:r>
      <w:r w:rsidR="00C62C4C">
        <w:rPr>
          <w:lang w:val="es-ES_tradnl"/>
        </w:rPr>
      </w:r>
      <w:r w:rsidR="00C62C4C">
        <w:rPr>
          <w:lang w:val="es-ES_tradnl"/>
        </w:rPr>
        <w:fldChar w:fldCharType="separate"/>
      </w:r>
      <w:r w:rsidR="002D145C">
        <w:rPr>
          <w:szCs w:val="20"/>
          <w:lang w:val="es-ES_tradnl"/>
        </w:rPr>
        <w:t>12</w:t>
      </w:r>
      <w:r w:rsidR="00C62C4C">
        <w:rPr>
          <w:lang w:val="es-ES_tradnl"/>
        </w:rPr>
        <w:fldChar w:fldCharType="end"/>
      </w:r>
      <w:r w:rsidR="00A85833" w:rsidRPr="00B27C76">
        <w:rPr>
          <w:szCs w:val="20"/>
          <w:lang w:val="es-ES_tradnl"/>
        </w:rPr>
        <w:t>). Además, la Corte recuerda que, a través de una solicitud de interpretación no</w:t>
      </w:r>
      <w:r w:rsidR="00D72516" w:rsidRPr="00B27C76">
        <w:rPr>
          <w:szCs w:val="20"/>
          <w:lang w:val="es-ES_tradnl"/>
        </w:rPr>
        <w:t xml:space="preserve"> se </w:t>
      </w:r>
      <w:r w:rsidR="00D72516" w:rsidRPr="00B27C76">
        <w:rPr>
          <w:rFonts w:eastAsia="Times"/>
          <w:color w:val="000000"/>
          <w:szCs w:val="20"/>
          <w:lang w:val="es-ES_tradnl"/>
        </w:rPr>
        <w:t>puede intentar ampliar el alcance de una medida de reparación ordenada oportunamente</w:t>
      </w:r>
      <w:r w:rsidR="00273AC2">
        <w:rPr>
          <w:rFonts w:eastAsia="Times"/>
          <w:color w:val="000000"/>
          <w:szCs w:val="20"/>
          <w:lang w:val="es-ES_tradnl"/>
        </w:rPr>
        <w:t xml:space="preserve"> (</w:t>
      </w:r>
      <w:r w:rsidR="00273AC2">
        <w:rPr>
          <w:rFonts w:eastAsia="Times"/>
          <w:i/>
          <w:color w:val="000000"/>
          <w:szCs w:val="20"/>
          <w:lang w:val="es-ES_tradnl"/>
        </w:rPr>
        <w:t xml:space="preserve">supra </w:t>
      </w:r>
      <w:r w:rsidR="00273AC2">
        <w:rPr>
          <w:rFonts w:eastAsia="Times"/>
          <w:color w:val="000000"/>
          <w:szCs w:val="20"/>
          <w:lang w:val="es-ES_tradnl"/>
        </w:rPr>
        <w:t xml:space="preserve">párr. </w:t>
      </w:r>
      <w:r w:rsidR="00C62C4C">
        <w:rPr>
          <w:rFonts w:eastAsia="Times"/>
          <w:color w:val="000000"/>
          <w:szCs w:val="20"/>
          <w:lang w:val="es-ES_tradnl"/>
        </w:rPr>
        <w:fldChar w:fldCharType="begin"/>
      </w:r>
      <w:r w:rsidR="00273AC2">
        <w:rPr>
          <w:rFonts w:eastAsia="Times"/>
          <w:color w:val="000000"/>
          <w:szCs w:val="20"/>
          <w:lang w:val="es-ES_tradnl"/>
        </w:rPr>
        <w:instrText xml:space="preserve"> REF _Ref406488555 \r \h </w:instrText>
      </w:r>
      <w:r w:rsidR="00C62C4C">
        <w:rPr>
          <w:rFonts w:eastAsia="Times"/>
          <w:color w:val="000000"/>
          <w:szCs w:val="20"/>
          <w:lang w:val="es-ES_tradnl"/>
        </w:rPr>
      </w:r>
      <w:r w:rsidR="00C62C4C">
        <w:rPr>
          <w:rFonts w:eastAsia="Times"/>
          <w:color w:val="000000"/>
          <w:szCs w:val="20"/>
          <w:lang w:val="es-ES_tradnl"/>
        </w:rPr>
        <w:fldChar w:fldCharType="separate"/>
      </w:r>
      <w:r w:rsidR="002D145C">
        <w:rPr>
          <w:rFonts w:eastAsia="Times"/>
          <w:color w:val="000000"/>
          <w:szCs w:val="20"/>
          <w:lang w:val="es-ES_tradnl"/>
        </w:rPr>
        <w:t>13</w:t>
      </w:r>
      <w:r w:rsidR="00C62C4C">
        <w:rPr>
          <w:rFonts w:eastAsia="Times"/>
          <w:color w:val="000000"/>
          <w:szCs w:val="20"/>
          <w:lang w:val="es-ES_tradnl"/>
        </w:rPr>
        <w:fldChar w:fldCharType="end"/>
      </w:r>
      <w:r w:rsidR="00273AC2">
        <w:rPr>
          <w:rFonts w:eastAsia="Times"/>
          <w:color w:val="000000"/>
          <w:szCs w:val="20"/>
          <w:lang w:val="es-ES_tradnl"/>
        </w:rPr>
        <w:t>)</w:t>
      </w:r>
      <w:r w:rsidR="00D72516" w:rsidRPr="00B27C76">
        <w:rPr>
          <w:rFonts w:eastAsia="Times"/>
          <w:color w:val="000000"/>
          <w:szCs w:val="20"/>
          <w:lang w:val="es-ES_tradnl"/>
        </w:rPr>
        <w:t>.</w:t>
      </w:r>
      <w:r w:rsidR="00D72516" w:rsidRPr="00B27C76">
        <w:rPr>
          <w:szCs w:val="20"/>
          <w:lang w:val="es-ES_tradnl"/>
        </w:rPr>
        <w:t xml:space="preserve"> </w:t>
      </w:r>
    </w:p>
    <w:p w:rsidR="00DC595C" w:rsidRPr="00DC595C" w:rsidRDefault="00DC595C" w:rsidP="00DC595C">
      <w:pPr>
        <w:tabs>
          <w:tab w:val="left" w:pos="567"/>
        </w:tabs>
        <w:spacing w:after="0" w:line="240" w:lineRule="auto"/>
        <w:ind w:right="-90"/>
        <w:jc w:val="both"/>
        <w:rPr>
          <w:rFonts w:eastAsia="Times New Roman"/>
          <w:szCs w:val="20"/>
          <w:lang w:val="es-ES_tradnl"/>
        </w:rPr>
      </w:pPr>
    </w:p>
    <w:p w:rsidR="00503672" w:rsidRPr="00DC595C" w:rsidRDefault="00C82D20" w:rsidP="00DC595C">
      <w:pPr>
        <w:numPr>
          <w:ilvl w:val="0"/>
          <w:numId w:val="1"/>
        </w:numPr>
        <w:tabs>
          <w:tab w:val="left" w:pos="567"/>
        </w:tabs>
        <w:spacing w:after="0" w:line="240" w:lineRule="auto"/>
        <w:ind w:right="-90"/>
        <w:jc w:val="both"/>
        <w:rPr>
          <w:rFonts w:eastAsia="Times New Roman"/>
          <w:szCs w:val="20"/>
          <w:lang w:val="es-ES_tradnl"/>
        </w:rPr>
      </w:pPr>
      <w:r w:rsidRPr="00B27C76">
        <w:rPr>
          <w:rFonts w:eastAsia="Times New Roman"/>
          <w:szCs w:val="20"/>
          <w:lang w:val="es-ES_tradnl"/>
        </w:rPr>
        <w:lastRenderedPageBreak/>
        <w:t xml:space="preserve">Por </w:t>
      </w:r>
      <w:r w:rsidR="0068672E" w:rsidRPr="00B27C76">
        <w:rPr>
          <w:rFonts w:eastAsia="Times New Roman"/>
          <w:szCs w:val="20"/>
          <w:lang w:val="es-ES_tradnl"/>
        </w:rPr>
        <w:t xml:space="preserve">tanto y </w:t>
      </w:r>
      <w:r w:rsidR="0022381C" w:rsidRPr="00B27C76">
        <w:rPr>
          <w:rFonts w:eastAsia="Times New Roman"/>
          <w:szCs w:val="20"/>
          <w:lang w:val="es-ES_tradnl"/>
        </w:rPr>
        <w:t xml:space="preserve">de conformidad con los artículos 67 de la Convención Americana y 31.3 y 68 de su Reglamento, este Tribunal considera que </w:t>
      </w:r>
      <w:r w:rsidR="00503672" w:rsidRPr="00B27C76">
        <w:rPr>
          <w:rFonts w:eastAsia="Times New Roman"/>
          <w:szCs w:val="20"/>
          <w:lang w:val="es-ES_tradnl"/>
        </w:rPr>
        <w:t>la solicitud de la representante es improc</w:t>
      </w:r>
      <w:r w:rsidR="00E35F08" w:rsidRPr="00B27C76">
        <w:rPr>
          <w:rFonts w:eastAsia="Times New Roman"/>
          <w:szCs w:val="20"/>
          <w:lang w:val="es-ES_tradnl"/>
        </w:rPr>
        <w:t xml:space="preserve">edente, </w:t>
      </w:r>
      <w:r w:rsidR="0022381C" w:rsidRPr="00B27C76">
        <w:rPr>
          <w:rFonts w:eastAsia="Times New Roman"/>
          <w:szCs w:val="20"/>
          <w:lang w:val="es-ES_tradnl"/>
        </w:rPr>
        <w:t>en la medida en que bus</w:t>
      </w:r>
      <w:r w:rsidR="00374259">
        <w:rPr>
          <w:rFonts w:eastAsia="Times New Roman"/>
          <w:szCs w:val="20"/>
          <w:lang w:val="es-ES_tradnl"/>
        </w:rPr>
        <w:t>ca</w:t>
      </w:r>
      <w:r w:rsidR="0022381C" w:rsidRPr="00B27C76">
        <w:rPr>
          <w:rFonts w:eastAsia="Times New Roman"/>
          <w:szCs w:val="20"/>
          <w:lang w:val="es-ES_tradnl"/>
        </w:rPr>
        <w:t xml:space="preserve"> una ampliación </w:t>
      </w:r>
      <w:r w:rsidR="00A85833" w:rsidRPr="00B27C76">
        <w:rPr>
          <w:rFonts w:eastAsia="Times New Roman"/>
          <w:szCs w:val="20"/>
          <w:lang w:val="es-ES_tradnl"/>
        </w:rPr>
        <w:t xml:space="preserve">o modificación </w:t>
      </w:r>
      <w:r w:rsidR="0022381C" w:rsidRPr="00B27C76">
        <w:rPr>
          <w:rFonts w:eastAsia="Times New Roman"/>
          <w:szCs w:val="20"/>
          <w:lang w:val="es-ES_tradnl"/>
        </w:rPr>
        <w:t>de las medidas de reparación ordenadas en la Sentencia</w:t>
      </w:r>
      <w:r w:rsidRPr="00B27C76">
        <w:rPr>
          <w:rFonts w:eastAsia="Times New Roman"/>
          <w:szCs w:val="20"/>
          <w:lang w:val="es-ES_tradnl"/>
        </w:rPr>
        <w:t>.</w:t>
      </w:r>
      <w:r w:rsidR="00DC595C">
        <w:rPr>
          <w:rFonts w:eastAsia="Times New Roman"/>
          <w:szCs w:val="20"/>
          <w:lang w:val="es-ES_tradnl"/>
        </w:rPr>
        <w:t xml:space="preserve"> </w:t>
      </w:r>
      <w:r w:rsidR="00CF19A7" w:rsidRPr="00DC595C">
        <w:rPr>
          <w:rFonts w:eastAsia="Times New Roman"/>
          <w:szCs w:val="20"/>
          <w:lang w:val="es-ES_tradnl"/>
        </w:rPr>
        <w:t>Sin perjuicio de lo anterior y</w:t>
      </w:r>
      <w:r w:rsidR="0022381C" w:rsidRPr="00DC595C">
        <w:rPr>
          <w:rFonts w:eastAsia="Times New Roman"/>
          <w:szCs w:val="20"/>
          <w:lang w:val="es-ES_tradnl"/>
        </w:rPr>
        <w:t xml:space="preserve"> </w:t>
      </w:r>
      <w:r w:rsidR="00A85833" w:rsidRPr="00DC595C">
        <w:rPr>
          <w:rFonts w:eastAsia="Times New Roman"/>
          <w:szCs w:val="20"/>
          <w:lang w:val="es-ES_tradnl"/>
        </w:rPr>
        <w:t xml:space="preserve">en tanto pudiera contribuir a la claridad de </w:t>
      </w:r>
      <w:r w:rsidR="00A85833" w:rsidRPr="00DC595C">
        <w:rPr>
          <w:szCs w:val="20"/>
          <w:lang w:val="es-ES_tradnl"/>
        </w:rPr>
        <w:t>los puntos resolutivos de la Sentencia o de las consideraciones que inciden en su parte resolutiva (</w:t>
      </w:r>
      <w:r w:rsidR="00A85833" w:rsidRPr="00DC595C">
        <w:rPr>
          <w:i/>
          <w:szCs w:val="20"/>
          <w:lang w:val="es-ES_tradnl"/>
        </w:rPr>
        <w:t>supra</w:t>
      </w:r>
      <w:r w:rsidR="00A85833" w:rsidRPr="00DC595C">
        <w:rPr>
          <w:szCs w:val="20"/>
          <w:lang w:val="es-ES_tradnl"/>
        </w:rPr>
        <w:t xml:space="preserve"> </w:t>
      </w:r>
      <w:proofErr w:type="spellStart"/>
      <w:r w:rsidR="00A85833" w:rsidRPr="00DC595C">
        <w:rPr>
          <w:szCs w:val="20"/>
          <w:lang w:val="es-ES_tradnl"/>
        </w:rPr>
        <w:t>párr</w:t>
      </w:r>
      <w:proofErr w:type="spellEnd"/>
      <w:r w:rsidR="00A85833" w:rsidRPr="00DC595C">
        <w:rPr>
          <w:szCs w:val="20"/>
          <w:lang w:val="es-ES_tradnl"/>
        </w:rPr>
        <w:t xml:space="preserve">. </w:t>
      </w:r>
      <w:r w:rsidR="00C62C4C">
        <w:rPr>
          <w:lang w:val="es-ES_tradnl"/>
        </w:rPr>
        <w:fldChar w:fldCharType="begin"/>
      </w:r>
      <w:r w:rsidR="00D5559E">
        <w:rPr>
          <w:szCs w:val="20"/>
          <w:lang w:val="es-ES_tradnl"/>
        </w:rPr>
        <w:instrText xml:space="preserve"> REF _Ref392082429 \r \h </w:instrText>
      </w:r>
      <w:r w:rsidR="00C62C4C">
        <w:rPr>
          <w:lang w:val="es-ES_tradnl"/>
        </w:rPr>
      </w:r>
      <w:r w:rsidR="00C62C4C">
        <w:rPr>
          <w:lang w:val="es-ES_tradnl"/>
        </w:rPr>
        <w:fldChar w:fldCharType="separate"/>
      </w:r>
      <w:r w:rsidR="002D145C">
        <w:rPr>
          <w:szCs w:val="20"/>
          <w:lang w:val="es-ES_tradnl"/>
        </w:rPr>
        <w:t>12</w:t>
      </w:r>
      <w:r w:rsidR="00C62C4C">
        <w:rPr>
          <w:lang w:val="es-ES_tradnl"/>
        </w:rPr>
        <w:fldChar w:fldCharType="end"/>
      </w:r>
      <w:r w:rsidR="00A85833" w:rsidRPr="00DC595C">
        <w:rPr>
          <w:szCs w:val="20"/>
          <w:lang w:val="es-ES_tradnl"/>
        </w:rPr>
        <w:t xml:space="preserve">), la Corte estima pertinente </w:t>
      </w:r>
      <w:r w:rsidR="00CF19A7" w:rsidRPr="00DC595C">
        <w:rPr>
          <w:szCs w:val="20"/>
          <w:lang w:val="es-ES_tradnl"/>
        </w:rPr>
        <w:t>realiza</w:t>
      </w:r>
      <w:r w:rsidR="009B5209" w:rsidRPr="00DC595C">
        <w:rPr>
          <w:szCs w:val="20"/>
          <w:lang w:val="es-ES_tradnl"/>
        </w:rPr>
        <w:t>r algunas precision</w:t>
      </w:r>
      <w:r w:rsidR="00CF19A7" w:rsidRPr="00DC595C">
        <w:rPr>
          <w:szCs w:val="20"/>
          <w:lang w:val="es-ES_tradnl"/>
        </w:rPr>
        <w:t>e</w:t>
      </w:r>
      <w:r w:rsidR="009B5209" w:rsidRPr="00DC595C">
        <w:rPr>
          <w:szCs w:val="20"/>
          <w:lang w:val="es-ES_tradnl"/>
        </w:rPr>
        <w:t xml:space="preserve">s </w:t>
      </w:r>
      <w:r w:rsidR="00A85833" w:rsidRPr="00DC595C">
        <w:rPr>
          <w:rFonts w:eastAsia="Times New Roman"/>
          <w:szCs w:val="20"/>
          <w:lang w:val="es-ES_tradnl"/>
        </w:rPr>
        <w:t xml:space="preserve">respecto de las medidas de reparación </w:t>
      </w:r>
      <w:r w:rsidR="009B5209" w:rsidRPr="00DC595C">
        <w:rPr>
          <w:rFonts w:eastAsia="Times New Roman"/>
          <w:szCs w:val="20"/>
          <w:lang w:val="es-ES_tradnl"/>
        </w:rPr>
        <w:t xml:space="preserve">ordenadas en la Sentencia. </w:t>
      </w:r>
      <w:r w:rsidR="00CF19A7" w:rsidRPr="00DC595C">
        <w:rPr>
          <w:rFonts w:eastAsia="Times New Roman"/>
          <w:szCs w:val="20"/>
          <w:lang w:val="es-ES_tradnl"/>
        </w:rPr>
        <w:t>Al respecto, la Corte recuerda que l</w:t>
      </w:r>
      <w:r w:rsidR="00503672" w:rsidRPr="00DC595C">
        <w:rPr>
          <w:rFonts w:eastAsia="Times New Roman"/>
          <w:szCs w:val="20"/>
          <w:lang w:val="es-ES_tradnl"/>
        </w:rPr>
        <w:t xml:space="preserve">a </w:t>
      </w:r>
      <w:r w:rsidR="009D3C00" w:rsidRPr="00DC595C">
        <w:rPr>
          <w:rFonts w:eastAsia="Times New Roman"/>
          <w:szCs w:val="20"/>
          <w:lang w:val="es-ES_tradnl"/>
        </w:rPr>
        <w:t>reparación</w:t>
      </w:r>
      <w:r w:rsidR="00503672" w:rsidRPr="00DC595C">
        <w:rPr>
          <w:rFonts w:eastAsia="Times New Roman"/>
          <w:szCs w:val="20"/>
          <w:lang w:val="es-ES_tradnl"/>
        </w:rPr>
        <w:t xml:space="preserve"> del </w:t>
      </w:r>
      <w:proofErr w:type="spellStart"/>
      <w:r w:rsidR="00503672" w:rsidRPr="00DC595C">
        <w:rPr>
          <w:rFonts w:eastAsia="Times New Roman"/>
          <w:szCs w:val="20"/>
          <w:lang w:val="es-ES_tradnl"/>
        </w:rPr>
        <w:t>daño</w:t>
      </w:r>
      <w:proofErr w:type="spellEnd"/>
      <w:r w:rsidR="00503672" w:rsidRPr="00DC595C">
        <w:rPr>
          <w:rFonts w:eastAsia="Times New Roman"/>
          <w:szCs w:val="20"/>
          <w:lang w:val="es-ES_tradnl"/>
        </w:rPr>
        <w:t xml:space="preserve"> ocasionado por la </w:t>
      </w:r>
      <w:r w:rsidR="009D3C00" w:rsidRPr="00DC595C">
        <w:rPr>
          <w:rFonts w:eastAsia="Times New Roman"/>
          <w:szCs w:val="20"/>
          <w:lang w:val="es-ES_tradnl"/>
        </w:rPr>
        <w:t>infracción</w:t>
      </w:r>
      <w:r w:rsidR="00503672" w:rsidRPr="00DC595C">
        <w:rPr>
          <w:rFonts w:eastAsia="Times New Roman"/>
          <w:szCs w:val="20"/>
          <w:lang w:val="es-ES_tradnl"/>
        </w:rPr>
        <w:t xml:space="preserve"> de una </w:t>
      </w:r>
      <w:r w:rsidR="009D3C00" w:rsidRPr="00DC595C">
        <w:rPr>
          <w:rFonts w:eastAsia="Times New Roman"/>
          <w:szCs w:val="20"/>
          <w:lang w:val="es-ES_tradnl"/>
        </w:rPr>
        <w:t>obligación</w:t>
      </w:r>
      <w:r w:rsidR="00503672" w:rsidRPr="00DC595C">
        <w:rPr>
          <w:rFonts w:eastAsia="Times New Roman"/>
          <w:szCs w:val="20"/>
          <w:lang w:val="es-ES_tradnl"/>
        </w:rPr>
        <w:t xml:space="preserve"> internacional requiere, siempre que sea posible, la plena </w:t>
      </w:r>
      <w:r w:rsidR="009D3C00" w:rsidRPr="00DC595C">
        <w:rPr>
          <w:rFonts w:eastAsia="Times New Roman"/>
          <w:szCs w:val="20"/>
          <w:lang w:val="es-ES_tradnl"/>
        </w:rPr>
        <w:t>restitución</w:t>
      </w:r>
      <w:r w:rsidR="00503672" w:rsidRPr="00DC595C">
        <w:rPr>
          <w:rFonts w:eastAsia="Times New Roman"/>
          <w:szCs w:val="20"/>
          <w:lang w:val="es-ES_tradnl"/>
        </w:rPr>
        <w:t xml:space="preserve"> (</w:t>
      </w:r>
      <w:proofErr w:type="spellStart"/>
      <w:r w:rsidR="00503672" w:rsidRPr="00DC595C">
        <w:rPr>
          <w:rFonts w:eastAsia="Times New Roman"/>
          <w:i/>
          <w:szCs w:val="20"/>
          <w:lang w:val="es-ES_tradnl"/>
        </w:rPr>
        <w:t>restitutio</w:t>
      </w:r>
      <w:proofErr w:type="spellEnd"/>
      <w:r w:rsidR="00503672" w:rsidRPr="00DC595C">
        <w:rPr>
          <w:rFonts w:eastAsia="Times New Roman"/>
          <w:i/>
          <w:szCs w:val="20"/>
          <w:lang w:val="es-ES_tradnl"/>
        </w:rPr>
        <w:t xml:space="preserve"> in </w:t>
      </w:r>
      <w:proofErr w:type="spellStart"/>
      <w:r w:rsidR="00503672" w:rsidRPr="00DC595C">
        <w:rPr>
          <w:rFonts w:eastAsia="Times New Roman"/>
          <w:i/>
          <w:szCs w:val="20"/>
          <w:lang w:val="es-ES_tradnl"/>
        </w:rPr>
        <w:t>integrum</w:t>
      </w:r>
      <w:proofErr w:type="spellEnd"/>
      <w:r w:rsidR="00503672" w:rsidRPr="00DC595C">
        <w:rPr>
          <w:rFonts w:eastAsia="Times New Roman"/>
          <w:szCs w:val="20"/>
          <w:lang w:val="es-ES_tradnl"/>
        </w:rPr>
        <w:t xml:space="preserve">), que consiste en el restablecimiento de la </w:t>
      </w:r>
      <w:r w:rsidR="009D3C00" w:rsidRPr="00DC595C">
        <w:rPr>
          <w:rFonts w:eastAsia="Times New Roman"/>
          <w:szCs w:val="20"/>
          <w:lang w:val="es-ES_tradnl"/>
        </w:rPr>
        <w:t>situación</w:t>
      </w:r>
      <w:r w:rsidR="00503672" w:rsidRPr="00DC595C">
        <w:rPr>
          <w:rFonts w:eastAsia="Times New Roman"/>
          <w:szCs w:val="20"/>
          <w:lang w:val="es-ES_tradnl"/>
        </w:rPr>
        <w:t xml:space="preserve"> anterior. </w:t>
      </w:r>
      <w:r w:rsidR="00CF19A7" w:rsidRPr="00DC595C">
        <w:rPr>
          <w:rFonts w:eastAsia="Times New Roman"/>
          <w:szCs w:val="20"/>
          <w:lang w:val="es-ES_tradnl"/>
        </w:rPr>
        <w:t>No obstante, en su jurisprudencia constante</w:t>
      </w:r>
      <w:r w:rsidR="00C24723" w:rsidRPr="00DC595C">
        <w:rPr>
          <w:rFonts w:eastAsia="Times New Roman"/>
          <w:szCs w:val="20"/>
          <w:lang w:val="es-ES_tradnl"/>
        </w:rPr>
        <w:t>,</w:t>
      </w:r>
      <w:r w:rsidR="00CF19A7" w:rsidRPr="00DC595C">
        <w:rPr>
          <w:rFonts w:eastAsia="Times New Roman"/>
          <w:szCs w:val="20"/>
          <w:lang w:val="es-ES_tradnl"/>
        </w:rPr>
        <w:t xml:space="preserve"> la Corte ha resaltado que cuando la plena restitución </w:t>
      </w:r>
      <w:r w:rsidR="00503672" w:rsidRPr="00DC595C">
        <w:rPr>
          <w:rFonts w:eastAsia="Times New Roman"/>
          <w:szCs w:val="20"/>
          <w:lang w:val="es-ES_tradnl"/>
        </w:rPr>
        <w:t xml:space="preserve">no </w:t>
      </w:r>
      <w:r w:rsidR="00CF19A7" w:rsidRPr="00DC595C">
        <w:rPr>
          <w:rFonts w:eastAsia="Times New Roman"/>
          <w:szCs w:val="20"/>
          <w:lang w:val="es-ES_tradnl"/>
        </w:rPr>
        <w:t>es</w:t>
      </w:r>
      <w:r w:rsidR="00503672" w:rsidRPr="00DC595C">
        <w:rPr>
          <w:rFonts w:eastAsia="Times New Roman"/>
          <w:szCs w:val="20"/>
          <w:lang w:val="es-ES_tradnl"/>
        </w:rPr>
        <w:t xml:space="preserve"> factible, determinará medidas para garantizar los derechos conculcados y reparar las consecuencias que las infracciones produjeron</w:t>
      </w:r>
      <w:r w:rsidR="00AD2D8F" w:rsidRPr="00B27C76">
        <w:rPr>
          <w:rStyle w:val="Refdenotaalpie"/>
          <w:rFonts w:eastAsia="Times New Roman"/>
          <w:szCs w:val="20"/>
          <w:lang w:val="es-ES_tradnl"/>
        </w:rPr>
        <w:footnoteReference w:id="13"/>
      </w:r>
      <w:r w:rsidR="00503672" w:rsidRPr="00DC595C">
        <w:rPr>
          <w:rFonts w:eastAsia="Times New Roman"/>
          <w:szCs w:val="20"/>
          <w:lang w:val="es-ES_tradnl"/>
        </w:rPr>
        <w:t xml:space="preserve">. </w:t>
      </w:r>
    </w:p>
    <w:p w:rsidR="00503672" w:rsidRPr="00B27C76" w:rsidRDefault="00503672" w:rsidP="004C2035">
      <w:pPr>
        <w:tabs>
          <w:tab w:val="left" w:pos="567"/>
        </w:tabs>
        <w:spacing w:after="0" w:line="240" w:lineRule="auto"/>
        <w:ind w:right="-90"/>
        <w:jc w:val="both"/>
        <w:rPr>
          <w:rFonts w:eastAsia="Times New Roman"/>
          <w:szCs w:val="20"/>
          <w:lang w:val="es-ES_tradnl"/>
        </w:rPr>
      </w:pPr>
    </w:p>
    <w:p w:rsidR="004C2035" w:rsidRPr="00B27C76" w:rsidRDefault="00C24723" w:rsidP="00F749AF">
      <w:pPr>
        <w:numPr>
          <w:ilvl w:val="0"/>
          <w:numId w:val="1"/>
        </w:numPr>
        <w:tabs>
          <w:tab w:val="left" w:pos="567"/>
        </w:tabs>
        <w:spacing w:after="0" w:line="240" w:lineRule="auto"/>
        <w:ind w:right="-90"/>
        <w:jc w:val="both"/>
        <w:rPr>
          <w:rFonts w:eastAsia="Times New Roman"/>
          <w:szCs w:val="20"/>
          <w:lang w:val="es-ES_tradnl"/>
        </w:rPr>
      </w:pPr>
      <w:r w:rsidRPr="00B27C76">
        <w:rPr>
          <w:rFonts w:eastAsia="Times New Roman"/>
          <w:szCs w:val="20"/>
          <w:lang w:val="es-ES_tradnl"/>
        </w:rPr>
        <w:t>De esta forma, se destaca que l</w:t>
      </w:r>
      <w:r w:rsidR="004C2035" w:rsidRPr="00B27C76">
        <w:rPr>
          <w:rFonts w:eastAsia="Times New Roman"/>
          <w:szCs w:val="20"/>
          <w:lang w:val="es-ES_tradnl"/>
        </w:rPr>
        <w:t>a restitución de la situación anterior a la violación no siempre es posible. El tiempo tran</w:t>
      </w:r>
      <w:r w:rsidR="009D3C00">
        <w:rPr>
          <w:rFonts w:eastAsia="Times New Roman"/>
          <w:szCs w:val="20"/>
          <w:lang w:val="es-ES_tradnl"/>
        </w:rPr>
        <w:t>s</w:t>
      </w:r>
      <w:r w:rsidR="004C2035" w:rsidRPr="00B27C76">
        <w:rPr>
          <w:rFonts w:eastAsia="Times New Roman"/>
          <w:szCs w:val="20"/>
          <w:lang w:val="es-ES_tradnl"/>
        </w:rPr>
        <w:t xml:space="preserve">currido o la sucesión de otros hechos, no violatorios de la Convención, pueden generar la imposibilidad de </w:t>
      </w:r>
      <w:r w:rsidR="009D3C00" w:rsidRPr="00B27C76">
        <w:rPr>
          <w:rFonts w:eastAsia="Times New Roman"/>
          <w:szCs w:val="20"/>
          <w:lang w:val="es-ES_tradnl"/>
        </w:rPr>
        <w:t>restablecer</w:t>
      </w:r>
      <w:r w:rsidR="004C2035" w:rsidRPr="00B27C76">
        <w:rPr>
          <w:rFonts w:eastAsia="Times New Roman"/>
          <w:szCs w:val="20"/>
          <w:lang w:val="es-ES_tradnl"/>
        </w:rPr>
        <w:t xml:space="preserve"> la situación de la víctima a la situación inmediatamente anterior a la violación o impedir que se eliminen </w:t>
      </w:r>
      <w:r w:rsidR="00580FA1" w:rsidRPr="00B27C76">
        <w:rPr>
          <w:rFonts w:eastAsia="Times New Roman"/>
          <w:szCs w:val="20"/>
          <w:lang w:val="es-ES_tradnl"/>
        </w:rPr>
        <w:t xml:space="preserve">absolutamente los efectos </w:t>
      </w:r>
      <w:r w:rsidR="004C2035" w:rsidRPr="00B27C76">
        <w:rPr>
          <w:rFonts w:eastAsia="Times New Roman"/>
          <w:szCs w:val="20"/>
          <w:lang w:val="es-ES_tradnl"/>
        </w:rPr>
        <w:t>y consecuencia</w:t>
      </w:r>
      <w:r w:rsidR="00580FA1" w:rsidRPr="00B27C76">
        <w:rPr>
          <w:rFonts w:eastAsia="Times New Roman"/>
          <w:szCs w:val="20"/>
          <w:lang w:val="es-ES_tradnl"/>
        </w:rPr>
        <w:t>s</w:t>
      </w:r>
      <w:r w:rsidR="004C2035" w:rsidRPr="00B27C76">
        <w:rPr>
          <w:rFonts w:eastAsia="Times New Roman"/>
          <w:szCs w:val="20"/>
          <w:lang w:val="es-ES_tradnl"/>
        </w:rPr>
        <w:t xml:space="preserve"> de la situación violatoria. </w:t>
      </w:r>
      <w:r w:rsidR="00937C14" w:rsidRPr="00B27C76">
        <w:rPr>
          <w:rFonts w:eastAsia="Times New Roman"/>
          <w:szCs w:val="20"/>
          <w:lang w:val="es-ES_tradnl"/>
        </w:rPr>
        <w:t xml:space="preserve">En el presente caso, </w:t>
      </w:r>
      <w:r w:rsidR="00255A97" w:rsidRPr="00B27C76">
        <w:rPr>
          <w:rFonts w:eastAsia="Times New Roman"/>
          <w:szCs w:val="20"/>
          <w:lang w:val="es-ES_tradnl"/>
        </w:rPr>
        <w:t>la Corte consideró que no era posible restablecer la situación violatoria a la situación i</w:t>
      </w:r>
      <w:r w:rsidR="00DD6AC8" w:rsidRPr="00B27C76">
        <w:rPr>
          <w:rFonts w:eastAsia="Times New Roman"/>
          <w:szCs w:val="20"/>
          <w:lang w:val="es-ES_tradnl"/>
        </w:rPr>
        <w:t>nmediatamente anterior. Como se</w:t>
      </w:r>
      <w:r w:rsidR="00937C14" w:rsidRPr="00B27C76">
        <w:rPr>
          <w:rFonts w:eastAsia="Times New Roman"/>
          <w:szCs w:val="20"/>
          <w:lang w:val="es-ES_tradnl"/>
        </w:rPr>
        <w:t xml:space="preserve"> estableció en el párrafo 270 de la Sentencia</w:t>
      </w:r>
      <w:r w:rsidR="00255A97" w:rsidRPr="00B27C76">
        <w:rPr>
          <w:rFonts w:eastAsia="Times New Roman"/>
          <w:szCs w:val="20"/>
          <w:lang w:val="es-ES_tradnl"/>
        </w:rPr>
        <w:t>,</w:t>
      </w:r>
      <w:r w:rsidR="00937C14" w:rsidRPr="00B27C76">
        <w:rPr>
          <w:rFonts w:eastAsia="Times New Roman"/>
          <w:szCs w:val="20"/>
          <w:lang w:val="es-ES_tradnl"/>
        </w:rPr>
        <w:t xml:space="preserve"> </w:t>
      </w:r>
      <w:r w:rsidR="00255A97" w:rsidRPr="00B27C76">
        <w:rPr>
          <w:rFonts w:eastAsia="Times New Roman"/>
          <w:szCs w:val="20"/>
          <w:lang w:val="es-ES_tradnl"/>
        </w:rPr>
        <w:t xml:space="preserve">la Corte “no </w:t>
      </w:r>
      <w:proofErr w:type="gramStart"/>
      <w:r w:rsidR="00255A97" w:rsidRPr="00B27C76">
        <w:rPr>
          <w:rFonts w:eastAsia="Times New Roman"/>
          <w:szCs w:val="20"/>
          <w:lang w:val="es-ES_tradnl"/>
        </w:rPr>
        <w:t>c[</w:t>
      </w:r>
      <w:proofErr w:type="spellStart"/>
      <w:proofErr w:type="gramEnd"/>
      <w:r w:rsidR="00255A97" w:rsidRPr="00B27C76">
        <w:rPr>
          <w:rFonts w:eastAsia="Times New Roman"/>
          <w:szCs w:val="20"/>
          <w:lang w:val="es-ES_tradnl"/>
        </w:rPr>
        <w:t>ontaba</w:t>
      </w:r>
      <w:proofErr w:type="spellEnd"/>
      <w:r w:rsidR="00255A97" w:rsidRPr="00B27C76">
        <w:rPr>
          <w:rFonts w:eastAsia="Times New Roman"/>
          <w:szCs w:val="20"/>
          <w:lang w:val="es-ES_tradnl"/>
        </w:rPr>
        <w:t xml:space="preserve">] con elementos para </w:t>
      </w:r>
      <w:r w:rsidR="00937C14" w:rsidRPr="00B27C76">
        <w:rPr>
          <w:rFonts w:eastAsia="Times New Roman"/>
          <w:szCs w:val="20"/>
          <w:lang w:val="es-ES_tradnl"/>
        </w:rPr>
        <w:t xml:space="preserve">concluir que </w:t>
      </w:r>
      <w:r w:rsidR="00255A97" w:rsidRPr="00B27C76">
        <w:rPr>
          <w:rFonts w:eastAsia="Times New Roman"/>
          <w:szCs w:val="20"/>
          <w:lang w:val="es-ES_tradnl"/>
        </w:rPr>
        <w:t xml:space="preserve">[la] </w:t>
      </w:r>
      <w:r w:rsidR="00937C14" w:rsidRPr="00B27C76">
        <w:rPr>
          <w:rFonts w:eastAsia="Times New Roman"/>
          <w:szCs w:val="20"/>
          <w:lang w:val="es-ES_tradnl"/>
        </w:rPr>
        <w:t xml:space="preserve">ausencia de motivación </w:t>
      </w:r>
      <w:r w:rsidR="00255A97" w:rsidRPr="00B27C76">
        <w:rPr>
          <w:rFonts w:eastAsia="Times New Roman"/>
          <w:szCs w:val="20"/>
          <w:lang w:val="es-ES_tradnl"/>
        </w:rPr>
        <w:t>de la sentencia de nulidad de 1993</w:t>
      </w:r>
      <w:r w:rsidR="00937C14" w:rsidRPr="00B27C76">
        <w:rPr>
          <w:rFonts w:eastAsia="Times New Roman"/>
          <w:szCs w:val="20"/>
          <w:lang w:val="es-ES_tradnl"/>
        </w:rPr>
        <w:t xml:space="preserve"> tendría el efecto de otorgar firmeza a la absolución dictada previamente a favor de la señora J.”</w:t>
      </w:r>
      <w:r w:rsidR="0039192D" w:rsidRPr="00B27C76">
        <w:rPr>
          <w:rFonts w:eastAsia="Times New Roman"/>
          <w:szCs w:val="20"/>
          <w:lang w:val="es-ES_tradnl"/>
        </w:rPr>
        <w:t>.</w:t>
      </w:r>
      <w:r w:rsidR="00937C14" w:rsidRPr="00B27C76">
        <w:rPr>
          <w:rFonts w:eastAsia="Times New Roman"/>
          <w:szCs w:val="20"/>
          <w:lang w:val="es-ES_tradnl"/>
        </w:rPr>
        <w:t xml:space="preserve"> </w:t>
      </w:r>
      <w:r w:rsidR="00AF6FCF" w:rsidRPr="00B27C76">
        <w:rPr>
          <w:rFonts w:eastAsia="Times New Roman"/>
          <w:szCs w:val="20"/>
          <w:lang w:val="es-ES_tradnl"/>
        </w:rPr>
        <w:t>Asimismo, c</w:t>
      </w:r>
      <w:r w:rsidR="00937C14" w:rsidRPr="00B27C76">
        <w:rPr>
          <w:rFonts w:eastAsia="Times New Roman"/>
          <w:szCs w:val="20"/>
          <w:lang w:val="es-ES_tradnl"/>
        </w:rPr>
        <w:t>onforme fue establecido en el párrafo</w:t>
      </w:r>
      <w:r w:rsidR="00DC32D8" w:rsidRPr="00B27C76">
        <w:rPr>
          <w:rFonts w:eastAsia="Times New Roman"/>
          <w:szCs w:val="20"/>
          <w:lang w:val="es-ES_tradnl"/>
        </w:rPr>
        <w:t xml:space="preserve"> 413 de la Sentencia</w:t>
      </w:r>
      <w:r w:rsidR="0039192D" w:rsidRPr="00B27C76">
        <w:rPr>
          <w:rStyle w:val="Refdenotaalpie"/>
          <w:rFonts w:eastAsia="Times New Roman"/>
          <w:szCs w:val="20"/>
          <w:lang w:val="es-ES_tradnl"/>
        </w:rPr>
        <w:footnoteReference w:id="14"/>
      </w:r>
      <w:r w:rsidR="00DC32D8" w:rsidRPr="00B27C76">
        <w:rPr>
          <w:rFonts w:eastAsia="Times New Roman"/>
          <w:szCs w:val="20"/>
          <w:lang w:val="es-ES_tradnl"/>
        </w:rPr>
        <w:t>, las conse</w:t>
      </w:r>
      <w:r w:rsidR="00937C14" w:rsidRPr="00B27C76">
        <w:rPr>
          <w:rFonts w:eastAsia="Times New Roman"/>
          <w:szCs w:val="20"/>
          <w:lang w:val="es-ES_tradnl"/>
        </w:rPr>
        <w:t xml:space="preserve">cuencias de estas y otras violaciones al debido proceso </w:t>
      </w:r>
      <w:r w:rsidR="00DC32D8" w:rsidRPr="00B27C76">
        <w:rPr>
          <w:rFonts w:eastAsia="Times New Roman"/>
          <w:szCs w:val="20"/>
          <w:lang w:val="es-ES_tradnl"/>
        </w:rPr>
        <w:t>deberán ser determinadas en el proceso penal abierto contra la señora J. actualmente. A diferencia de lo alegado por la Comisión, la Corte considera que no le corresponde precisar los efectos específicos de dichas violaciones</w:t>
      </w:r>
      <w:r w:rsidR="0039192D" w:rsidRPr="00B27C76">
        <w:rPr>
          <w:rFonts w:eastAsia="Times New Roman"/>
          <w:szCs w:val="20"/>
          <w:lang w:val="es-ES_tradnl"/>
        </w:rPr>
        <w:t xml:space="preserve">, sino que </w:t>
      </w:r>
      <w:proofErr w:type="gramStart"/>
      <w:r w:rsidR="0039192D" w:rsidRPr="00B27C76">
        <w:rPr>
          <w:rFonts w:eastAsia="Times New Roman"/>
          <w:szCs w:val="20"/>
          <w:lang w:val="es-ES_tradnl"/>
        </w:rPr>
        <w:t>los</w:t>
      </w:r>
      <w:proofErr w:type="gramEnd"/>
      <w:r w:rsidR="0039192D" w:rsidRPr="00B27C76">
        <w:rPr>
          <w:rFonts w:eastAsia="Times New Roman"/>
          <w:szCs w:val="20"/>
          <w:lang w:val="es-ES_tradnl"/>
        </w:rPr>
        <w:t xml:space="preserve"> mismas deberán ser determinados</w:t>
      </w:r>
      <w:r w:rsidR="00DC32D8" w:rsidRPr="00B27C76">
        <w:rPr>
          <w:rFonts w:eastAsia="Times New Roman"/>
          <w:szCs w:val="20"/>
          <w:lang w:val="es-ES_tradnl"/>
        </w:rPr>
        <w:t xml:space="preserve"> </w:t>
      </w:r>
      <w:r w:rsidR="0039192D" w:rsidRPr="00B27C76">
        <w:rPr>
          <w:rFonts w:eastAsia="Times New Roman"/>
          <w:szCs w:val="20"/>
          <w:lang w:val="es-ES_tradnl"/>
        </w:rPr>
        <w:t xml:space="preserve">conforme al ordenamiento jurídico penal interno. </w:t>
      </w:r>
    </w:p>
    <w:p w:rsidR="00255A97" w:rsidRPr="00B27C76" w:rsidRDefault="00255A97" w:rsidP="00DC32D8">
      <w:pPr>
        <w:tabs>
          <w:tab w:val="left" w:pos="567"/>
        </w:tabs>
        <w:spacing w:after="0" w:line="240" w:lineRule="auto"/>
        <w:ind w:right="-90"/>
        <w:jc w:val="both"/>
        <w:rPr>
          <w:rFonts w:eastAsia="Times New Roman"/>
          <w:szCs w:val="20"/>
          <w:lang w:val="es-ES_tradnl"/>
        </w:rPr>
      </w:pPr>
    </w:p>
    <w:p w:rsidR="00DC32D8" w:rsidRPr="00B27C76" w:rsidRDefault="00E6412A" w:rsidP="00F749AF">
      <w:pPr>
        <w:numPr>
          <w:ilvl w:val="0"/>
          <w:numId w:val="1"/>
        </w:numPr>
        <w:tabs>
          <w:tab w:val="left" w:pos="567"/>
        </w:tabs>
        <w:spacing w:after="0" w:line="240" w:lineRule="auto"/>
        <w:ind w:right="-90"/>
        <w:jc w:val="both"/>
        <w:rPr>
          <w:rFonts w:eastAsia="Times New Roman"/>
          <w:szCs w:val="20"/>
          <w:lang w:val="es-ES_tradnl"/>
        </w:rPr>
      </w:pPr>
      <w:bookmarkStart w:id="24" w:name="_Ref406494104"/>
      <w:r w:rsidRPr="00B27C76">
        <w:rPr>
          <w:rFonts w:eastAsia="Times New Roman"/>
          <w:szCs w:val="20"/>
          <w:lang w:val="es-ES_tradnl"/>
        </w:rPr>
        <w:t xml:space="preserve">Frente a la pregunta de la representante, en cuanto a cuál sería la consecuencia jurídica de </w:t>
      </w:r>
      <w:r w:rsidR="00C46C39" w:rsidRPr="00B27C76">
        <w:rPr>
          <w:rFonts w:eastAsia="Times New Roman"/>
          <w:szCs w:val="20"/>
          <w:lang w:val="es-ES_tradnl"/>
        </w:rPr>
        <w:t xml:space="preserve">las violaciones derivadas de la sentencia de la Corte Suprema de 27 de diciembre de 1993, la Corte recuerda, en primer lugar, que su Sentencia constituye </w:t>
      </w:r>
      <w:r w:rsidR="00C46C39" w:rsidRPr="00B27C76">
        <w:rPr>
          <w:rFonts w:eastAsia="Times New Roman"/>
          <w:i/>
          <w:szCs w:val="20"/>
          <w:lang w:val="es-ES_tradnl"/>
        </w:rPr>
        <w:t>per se</w:t>
      </w:r>
      <w:r w:rsidR="00C46C39" w:rsidRPr="00B27C76">
        <w:rPr>
          <w:rFonts w:eastAsia="Times New Roman"/>
          <w:szCs w:val="20"/>
          <w:lang w:val="es-ES_tradnl"/>
        </w:rPr>
        <w:t xml:space="preserve"> una forma de reparación. Sin perjuicio de ello, resalta que, ante la imposibilidad de restituir la situación de la señora J. a la situación anterior a la emisión de dicha sentencia interna, en el presente caso este Tribunal </w:t>
      </w:r>
      <w:r w:rsidR="00F8440D" w:rsidRPr="00B27C76">
        <w:rPr>
          <w:rFonts w:eastAsia="Times New Roman"/>
          <w:szCs w:val="20"/>
          <w:lang w:val="es-ES_tradnl"/>
        </w:rPr>
        <w:t xml:space="preserve">ordenó </w:t>
      </w:r>
      <w:r w:rsidR="006B5E53" w:rsidRPr="00B27C76">
        <w:rPr>
          <w:rFonts w:eastAsia="Times New Roman"/>
          <w:szCs w:val="20"/>
          <w:lang w:val="es-ES_tradnl"/>
        </w:rPr>
        <w:t>diversas medidas de reparación en</w:t>
      </w:r>
      <w:r w:rsidR="00C46C39" w:rsidRPr="00B27C76">
        <w:rPr>
          <w:rFonts w:eastAsia="Times New Roman"/>
          <w:szCs w:val="20"/>
          <w:lang w:val="es-ES_tradnl"/>
        </w:rPr>
        <w:t xml:space="preserve"> sustitución. </w:t>
      </w:r>
      <w:r w:rsidR="006B5E53" w:rsidRPr="00B27C76">
        <w:rPr>
          <w:rFonts w:eastAsia="Times New Roman"/>
          <w:szCs w:val="20"/>
          <w:lang w:val="es-ES_tradnl"/>
        </w:rPr>
        <w:t xml:space="preserve">En </w:t>
      </w:r>
      <w:r w:rsidR="00CA37B3" w:rsidRPr="00B27C76">
        <w:rPr>
          <w:rFonts w:eastAsia="Times New Roman"/>
          <w:szCs w:val="20"/>
          <w:lang w:val="es-ES_tradnl"/>
        </w:rPr>
        <w:t xml:space="preserve">este </w:t>
      </w:r>
      <w:r w:rsidR="006B5E53" w:rsidRPr="00B27C76">
        <w:rPr>
          <w:rFonts w:eastAsia="Times New Roman"/>
          <w:szCs w:val="20"/>
          <w:lang w:val="es-ES_tradnl"/>
        </w:rPr>
        <w:t xml:space="preserve">sentido, la Corte </w:t>
      </w:r>
      <w:r w:rsidR="00C46C39" w:rsidRPr="00B27C76">
        <w:rPr>
          <w:rFonts w:eastAsia="Times New Roman"/>
          <w:szCs w:val="20"/>
          <w:lang w:val="es-ES_tradnl"/>
        </w:rPr>
        <w:t xml:space="preserve">recuerda que </w:t>
      </w:r>
      <w:r w:rsidR="006B5E53" w:rsidRPr="00B27C76">
        <w:rPr>
          <w:rFonts w:eastAsia="Times New Roman"/>
          <w:szCs w:val="20"/>
          <w:lang w:val="es-ES_tradnl"/>
        </w:rPr>
        <w:t>para reparar las violaciones al debido proceso, incluyendo la indebida motivac</w:t>
      </w:r>
      <w:r w:rsidR="00C46C39" w:rsidRPr="00B27C76">
        <w:rPr>
          <w:rFonts w:eastAsia="Times New Roman"/>
          <w:szCs w:val="20"/>
          <w:lang w:val="es-ES_tradnl"/>
        </w:rPr>
        <w:t>ión de la sentencia que anuló la</w:t>
      </w:r>
      <w:r w:rsidR="006B5E53" w:rsidRPr="00B27C76">
        <w:rPr>
          <w:rFonts w:eastAsia="Times New Roman"/>
          <w:szCs w:val="20"/>
          <w:lang w:val="es-ES_tradnl"/>
        </w:rPr>
        <w:t xml:space="preserve"> absolución</w:t>
      </w:r>
      <w:r w:rsidR="00C46C39" w:rsidRPr="00B27C76">
        <w:rPr>
          <w:rFonts w:eastAsia="Times New Roman"/>
          <w:szCs w:val="20"/>
          <w:lang w:val="es-ES_tradnl"/>
        </w:rPr>
        <w:t xml:space="preserve"> de la señora J.</w:t>
      </w:r>
      <w:r w:rsidR="006B5E53" w:rsidRPr="00B27C76">
        <w:rPr>
          <w:rFonts w:eastAsia="Times New Roman"/>
          <w:szCs w:val="20"/>
          <w:lang w:val="es-ES_tradnl"/>
        </w:rPr>
        <w:t xml:space="preserve">, la Corte ordenó la publicación y difusión de la </w:t>
      </w:r>
      <w:r w:rsidR="00D5559E">
        <w:rPr>
          <w:rFonts w:eastAsia="Times New Roman"/>
          <w:szCs w:val="20"/>
          <w:lang w:val="es-ES_tradnl"/>
        </w:rPr>
        <w:t>S</w:t>
      </w:r>
      <w:r w:rsidR="00D5559E" w:rsidRPr="00B27C76">
        <w:rPr>
          <w:rFonts w:eastAsia="Times New Roman"/>
          <w:szCs w:val="20"/>
          <w:lang w:val="es-ES_tradnl"/>
        </w:rPr>
        <w:t>entencia</w:t>
      </w:r>
      <w:r w:rsidR="00D5559E">
        <w:rPr>
          <w:rFonts w:eastAsia="Times New Roman"/>
          <w:szCs w:val="20"/>
          <w:lang w:val="es-ES_tradnl"/>
        </w:rPr>
        <w:t xml:space="preserve"> y el respectivo resumen oficial</w:t>
      </w:r>
      <w:r w:rsidR="006B5E53" w:rsidRPr="00B27C76">
        <w:rPr>
          <w:rFonts w:eastAsia="Times New Roman"/>
          <w:szCs w:val="20"/>
          <w:lang w:val="es-ES_tradnl"/>
        </w:rPr>
        <w:t>, el pago de</w:t>
      </w:r>
      <w:r w:rsidR="00255A97" w:rsidRPr="00B27C76">
        <w:rPr>
          <w:rFonts w:eastAsia="Times New Roman"/>
          <w:szCs w:val="20"/>
          <w:lang w:val="es-ES_tradnl"/>
        </w:rPr>
        <w:t xml:space="preserve"> indemnizaciones compensatorias, así como la </w:t>
      </w:r>
      <w:r w:rsidR="00EE1749" w:rsidRPr="00B27C76">
        <w:rPr>
          <w:rFonts w:eastAsia="Times New Roman"/>
          <w:szCs w:val="20"/>
          <w:lang w:val="es-ES_tradnl"/>
        </w:rPr>
        <w:t xml:space="preserve">mencionada </w:t>
      </w:r>
      <w:r w:rsidR="00255A97" w:rsidRPr="00B27C76">
        <w:rPr>
          <w:rFonts w:eastAsia="Times New Roman"/>
          <w:szCs w:val="20"/>
          <w:lang w:val="es-ES_tradnl"/>
        </w:rPr>
        <w:t xml:space="preserve">obligación de respetar las garantías del debido proceso en el </w:t>
      </w:r>
      <w:r w:rsidR="00255A97" w:rsidRPr="00B27C76">
        <w:rPr>
          <w:rFonts w:eastAsia="Times New Roman"/>
          <w:szCs w:val="20"/>
          <w:lang w:val="es-ES_tradnl"/>
        </w:rPr>
        <w:lastRenderedPageBreak/>
        <w:t>proceso penal abierto en contra de la señora J., teniendo en cuenta las violaciones declaradas en la Sentencia</w:t>
      </w:r>
      <w:r w:rsidR="006B5E53" w:rsidRPr="00B27C76">
        <w:rPr>
          <w:rStyle w:val="Refdenotaalpie"/>
          <w:rFonts w:eastAsia="Times New Roman"/>
          <w:szCs w:val="20"/>
          <w:lang w:val="es-ES_tradnl"/>
        </w:rPr>
        <w:footnoteReference w:id="15"/>
      </w:r>
      <w:r w:rsidR="00255A97" w:rsidRPr="00B27C76">
        <w:rPr>
          <w:rFonts w:eastAsia="Times New Roman"/>
          <w:szCs w:val="20"/>
          <w:lang w:val="es-ES_tradnl"/>
        </w:rPr>
        <w:t>.</w:t>
      </w:r>
      <w:bookmarkEnd w:id="24"/>
      <w:r w:rsidR="00255A97" w:rsidRPr="00B27C76">
        <w:rPr>
          <w:rFonts w:eastAsia="Times New Roman"/>
          <w:szCs w:val="20"/>
          <w:lang w:val="es-ES_tradnl"/>
        </w:rPr>
        <w:t xml:space="preserve"> </w:t>
      </w:r>
    </w:p>
    <w:bookmarkEnd w:id="20"/>
    <w:p w:rsidR="007C4794" w:rsidRPr="00B27C76" w:rsidRDefault="007C4794" w:rsidP="00CA2A20">
      <w:pPr>
        <w:autoSpaceDE w:val="0"/>
        <w:autoSpaceDN w:val="0"/>
        <w:adjustRightInd w:val="0"/>
        <w:spacing w:after="0" w:line="240" w:lineRule="auto"/>
        <w:ind w:right="259"/>
        <w:jc w:val="both"/>
        <w:rPr>
          <w:rFonts w:eastAsiaTheme="minorHAnsi" w:cs="Verdana"/>
          <w:sz w:val="16"/>
          <w:szCs w:val="16"/>
          <w:lang w:val="es-ES_tradnl"/>
        </w:rPr>
      </w:pPr>
    </w:p>
    <w:p w:rsidR="001C300E" w:rsidRPr="00B27C76" w:rsidRDefault="001C300E" w:rsidP="001C300E">
      <w:pPr>
        <w:pStyle w:val="Prrafodelista"/>
        <w:numPr>
          <w:ilvl w:val="0"/>
          <w:numId w:val="4"/>
        </w:numPr>
        <w:tabs>
          <w:tab w:val="left" w:pos="567"/>
        </w:tabs>
        <w:autoSpaceDE w:val="0"/>
        <w:autoSpaceDN w:val="0"/>
        <w:adjustRightInd w:val="0"/>
        <w:spacing w:after="0" w:line="240" w:lineRule="auto"/>
        <w:jc w:val="both"/>
        <w:rPr>
          <w:rFonts w:cs="Arial"/>
          <w:b/>
          <w:szCs w:val="20"/>
          <w:lang w:val="es-ES_tradnl"/>
        </w:rPr>
      </w:pPr>
      <w:r w:rsidRPr="00B27C76">
        <w:rPr>
          <w:rFonts w:cs="Arial"/>
          <w:b/>
          <w:szCs w:val="20"/>
          <w:lang w:val="es-ES_tradnl"/>
        </w:rPr>
        <w:t xml:space="preserve">Los criterios y la metodología de determinación de las sumas fijadas como costas </w:t>
      </w:r>
      <w:r w:rsidR="00D5559E" w:rsidRPr="00B27C76">
        <w:rPr>
          <w:rFonts w:cs="Arial"/>
          <w:b/>
          <w:szCs w:val="20"/>
          <w:lang w:val="es-ES_tradnl"/>
        </w:rPr>
        <w:t xml:space="preserve">y gastos </w:t>
      </w:r>
    </w:p>
    <w:p w:rsidR="001C300E" w:rsidRPr="00B27C76" w:rsidRDefault="001C300E" w:rsidP="001C300E">
      <w:pPr>
        <w:tabs>
          <w:tab w:val="left" w:pos="567"/>
        </w:tabs>
        <w:autoSpaceDE w:val="0"/>
        <w:autoSpaceDN w:val="0"/>
        <w:adjustRightInd w:val="0"/>
        <w:spacing w:after="0" w:line="240" w:lineRule="auto"/>
        <w:jc w:val="both"/>
        <w:rPr>
          <w:rFonts w:cs="Arial"/>
          <w:b/>
          <w:szCs w:val="20"/>
          <w:lang w:val="es-ES_tradnl"/>
        </w:rPr>
      </w:pPr>
    </w:p>
    <w:p w:rsidR="001C300E" w:rsidRPr="00B27C76" w:rsidRDefault="001C300E" w:rsidP="001C300E">
      <w:pPr>
        <w:pStyle w:val="Prrafodelista"/>
        <w:tabs>
          <w:tab w:val="left" w:pos="567"/>
        </w:tabs>
        <w:autoSpaceDE w:val="0"/>
        <w:autoSpaceDN w:val="0"/>
        <w:adjustRightInd w:val="0"/>
        <w:spacing w:after="0" w:line="240" w:lineRule="auto"/>
        <w:jc w:val="both"/>
        <w:rPr>
          <w:rFonts w:cs="Arial"/>
          <w:i/>
          <w:szCs w:val="20"/>
          <w:lang w:val="es-ES_tradnl"/>
        </w:rPr>
      </w:pPr>
      <w:r w:rsidRPr="00B27C76">
        <w:rPr>
          <w:rFonts w:cs="Arial"/>
          <w:i/>
          <w:szCs w:val="20"/>
          <w:lang w:val="es-ES_tradnl"/>
        </w:rPr>
        <w:t>Argumentos de la Comisión y de las partes</w:t>
      </w:r>
    </w:p>
    <w:p w:rsidR="001C300E" w:rsidRPr="00B27C76" w:rsidRDefault="001C300E" w:rsidP="001C300E">
      <w:pPr>
        <w:pStyle w:val="Prrafodelista"/>
        <w:tabs>
          <w:tab w:val="left" w:pos="567"/>
        </w:tabs>
        <w:autoSpaceDE w:val="0"/>
        <w:autoSpaceDN w:val="0"/>
        <w:adjustRightInd w:val="0"/>
        <w:spacing w:after="0" w:line="240" w:lineRule="auto"/>
        <w:jc w:val="both"/>
        <w:rPr>
          <w:rFonts w:cs="Arial"/>
          <w:i/>
          <w:szCs w:val="20"/>
          <w:lang w:val="es-ES_tradnl"/>
        </w:rPr>
      </w:pPr>
    </w:p>
    <w:p w:rsidR="001C300E" w:rsidRPr="00B27C76" w:rsidRDefault="00A42C22" w:rsidP="00F749AF">
      <w:pPr>
        <w:numPr>
          <w:ilvl w:val="0"/>
          <w:numId w:val="1"/>
        </w:numPr>
        <w:tabs>
          <w:tab w:val="left" w:pos="567"/>
        </w:tabs>
        <w:autoSpaceDE w:val="0"/>
        <w:autoSpaceDN w:val="0"/>
        <w:adjustRightInd w:val="0"/>
        <w:spacing w:after="0" w:line="240" w:lineRule="auto"/>
        <w:jc w:val="both"/>
        <w:rPr>
          <w:rFonts w:eastAsia="Times"/>
          <w:szCs w:val="20"/>
          <w:lang w:val="es-ES_tradnl"/>
        </w:rPr>
      </w:pPr>
      <w:r w:rsidRPr="00B27C76">
        <w:rPr>
          <w:rFonts w:eastAsia="Times"/>
          <w:szCs w:val="20"/>
          <w:lang w:val="es-ES_tradnl"/>
        </w:rPr>
        <w:t>E</w:t>
      </w:r>
      <w:r w:rsidR="001C300E" w:rsidRPr="00B27C76">
        <w:rPr>
          <w:rFonts w:eastAsia="Times"/>
          <w:szCs w:val="20"/>
          <w:lang w:val="es-ES_tradnl"/>
        </w:rPr>
        <w:t xml:space="preserve">l </w:t>
      </w:r>
      <w:r w:rsidR="001C300E" w:rsidRPr="00B27C76">
        <w:rPr>
          <w:rFonts w:eastAsia="Times"/>
          <w:b/>
          <w:i/>
          <w:szCs w:val="20"/>
          <w:lang w:val="es-ES_tradnl"/>
        </w:rPr>
        <w:t>Estado</w:t>
      </w:r>
      <w:r w:rsidR="001C300E" w:rsidRPr="00B27C76">
        <w:rPr>
          <w:rFonts w:eastAsia="Times"/>
          <w:szCs w:val="20"/>
          <w:lang w:val="es-ES_tradnl"/>
        </w:rPr>
        <w:t xml:space="preserve"> afirmó que “no está cuestionando los montos ni el plazo fijado para el pago de los mismos”</w:t>
      </w:r>
      <w:r w:rsidRPr="00B27C76">
        <w:rPr>
          <w:rFonts w:eastAsia="Times"/>
          <w:szCs w:val="20"/>
          <w:lang w:val="es-ES_tradnl"/>
        </w:rPr>
        <w:t xml:space="preserve">. Sin embargo, </w:t>
      </w:r>
      <w:r w:rsidR="001C300E" w:rsidRPr="00B27C76">
        <w:rPr>
          <w:rFonts w:eastAsia="Times"/>
          <w:szCs w:val="20"/>
          <w:lang w:val="es-ES_tradnl"/>
        </w:rPr>
        <w:t xml:space="preserve">solicitó al Tribunal </w:t>
      </w:r>
      <w:r w:rsidR="00D955A1" w:rsidRPr="00B27C76">
        <w:rPr>
          <w:rFonts w:eastAsia="Times"/>
          <w:szCs w:val="20"/>
          <w:lang w:val="es-ES_tradnl"/>
        </w:rPr>
        <w:t>“precisar los criterios y la metodología empleada para la determinación de las sumas fijadas como ga</w:t>
      </w:r>
      <w:r w:rsidR="00D5559E">
        <w:rPr>
          <w:rFonts w:eastAsia="Times"/>
          <w:szCs w:val="20"/>
          <w:lang w:val="es-ES_tradnl"/>
        </w:rPr>
        <w:t>s</w:t>
      </w:r>
      <w:r w:rsidR="00D955A1" w:rsidRPr="00B27C76">
        <w:rPr>
          <w:rFonts w:eastAsia="Times"/>
          <w:szCs w:val="20"/>
          <w:lang w:val="es-ES_tradnl"/>
        </w:rPr>
        <w:t>tos y costas, en la medida que de la información proporcionada por la Corte en dicho párrafo y en las notas a pie de página, no se tiene claridad al respecto”. De acuerdo al Estado, “la manera en que son calculados [las costas y gastos] constituye un tema de especial importancia en el ámbito de</w:t>
      </w:r>
      <w:r w:rsidR="00D5559E">
        <w:rPr>
          <w:rFonts w:eastAsia="Times"/>
          <w:szCs w:val="20"/>
          <w:lang w:val="es-ES_tradnl"/>
        </w:rPr>
        <w:t xml:space="preserve"> </w:t>
      </w:r>
      <w:r w:rsidR="00D955A1" w:rsidRPr="00B27C76">
        <w:rPr>
          <w:rFonts w:eastAsia="Times"/>
          <w:szCs w:val="20"/>
          <w:lang w:val="es-ES_tradnl"/>
        </w:rPr>
        <w:t>l</w:t>
      </w:r>
      <w:r w:rsidR="00D5559E">
        <w:rPr>
          <w:rFonts w:eastAsia="Times"/>
          <w:szCs w:val="20"/>
          <w:lang w:val="es-ES_tradnl"/>
        </w:rPr>
        <w:t>os</w:t>
      </w:r>
      <w:r w:rsidR="00D955A1" w:rsidRPr="00B27C76">
        <w:rPr>
          <w:rFonts w:eastAsia="Times"/>
          <w:szCs w:val="20"/>
          <w:lang w:val="es-ES_tradnl"/>
        </w:rPr>
        <w:t xml:space="preserve"> procedimiento</w:t>
      </w:r>
      <w:r w:rsidR="00D5559E">
        <w:rPr>
          <w:rFonts w:eastAsia="Times"/>
          <w:szCs w:val="20"/>
          <w:lang w:val="es-ES_tradnl"/>
        </w:rPr>
        <w:t>s</w:t>
      </w:r>
      <w:r w:rsidR="00D955A1" w:rsidRPr="00B27C76">
        <w:rPr>
          <w:rFonts w:eastAsia="Times"/>
          <w:szCs w:val="20"/>
          <w:lang w:val="es-ES_tradnl"/>
        </w:rPr>
        <w:t xml:space="preserve"> ante la Comisión y la </w:t>
      </w:r>
      <w:proofErr w:type="gramStart"/>
      <w:r w:rsidR="00D955A1" w:rsidRPr="00B27C76">
        <w:rPr>
          <w:rFonts w:eastAsia="Times"/>
          <w:szCs w:val="20"/>
          <w:lang w:val="es-ES_tradnl"/>
        </w:rPr>
        <w:t>Corte[</w:t>
      </w:r>
      <w:proofErr w:type="gramEnd"/>
      <w:r w:rsidR="00D955A1" w:rsidRPr="00B27C76">
        <w:rPr>
          <w:rFonts w:eastAsia="Times"/>
          <w:szCs w:val="20"/>
          <w:lang w:val="es-ES_tradnl"/>
        </w:rPr>
        <w:t xml:space="preserve">, por lo cual] considera importante que en los fallos de </w:t>
      </w:r>
      <w:r w:rsidR="00D5559E">
        <w:rPr>
          <w:rFonts w:eastAsia="Times"/>
          <w:szCs w:val="20"/>
          <w:lang w:val="es-ES_tradnl"/>
        </w:rPr>
        <w:t>e</w:t>
      </w:r>
      <w:r w:rsidR="00D5559E" w:rsidRPr="00B27C76">
        <w:rPr>
          <w:rFonts w:eastAsia="Times"/>
          <w:szCs w:val="20"/>
          <w:lang w:val="es-ES_tradnl"/>
        </w:rPr>
        <w:t xml:space="preserve">sta </w:t>
      </w:r>
      <w:r w:rsidR="00D955A1" w:rsidRPr="00B27C76">
        <w:rPr>
          <w:rFonts w:eastAsia="Times"/>
          <w:szCs w:val="20"/>
          <w:lang w:val="es-ES_tradnl"/>
        </w:rPr>
        <w:t xml:space="preserve">última </w:t>
      </w:r>
      <w:r w:rsidR="00D5559E">
        <w:rPr>
          <w:rFonts w:eastAsia="Times"/>
          <w:szCs w:val="20"/>
          <w:lang w:val="es-ES_tradnl"/>
        </w:rPr>
        <w:t xml:space="preserve">puedan existir </w:t>
      </w:r>
      <w:r w:rsidR="00D955A1" w:rsidRPr="00B27C76">
        <w:rPr>
          <w:rFonts w:eastAsia="Times"/>
          <w:szCs w:val="20"/>
          <w:lang w:val="es-ES_tradnl"/>
        </w:rPr>
        <w:t xml:space="preserve">criterios claros y uniformes al respecto”. </w:t>
      </w:r>
    </w:p>
    <w:p w:rsidR="001C300E" w:rsidRPr="00B27C76" w:rsidRDefault="001C300E" w:rsidP="001C300E">
      <w:pPr>
        <w:tabs>
          <w:tab w:val="left" w:pos="567"/>
        </w:tabs>
        <w:autoSpaceDE w:val="0"/>
        <w:autoSpaceDN w:val="0"/>
        <w:adjustRightInd w:val="0"/>
        <w:spacing w:after="0" w:line="240" w:lineRule="auto"/>
        <w:jc w:val="both"/>
        <w:rPr>
          <w:rFonts w:eastAsia="Times"/>
          <w:bCs/>
          <w:szCs w:val="20"/>
          <w:lang w:val="es-ES_tradnl"/>
        </w:rPr>
      </w:pPr>
    </w:p>
    <w:p w:rsidR="001C300E" w:rsidRPr="00B27C76" w:rsidRDefault="001C300E" w:rsidP="00F749AF">
      <w:pPr>
        <w:numPr>
          <w:ilvl w:val="0"/>
          <w:numId w:val="1"/>
        </w:numPr>
        <w:tabs>
          <w:tab w:val="left" w:pos="567"/>
        </w:tabs>
        <w:autoSpaceDE w:val="0"/>
        <w:autoSpaceDN w:val="0"/>
        <w:adjustRightInd w:val="0"/>
        <w:spacing w:after="0" w:line="240" w:lineRule="auto"/>
        <w:jc w:val="both"/>
        <w:rPr>
          <w:rFonts w:eastAsia="Times"/>
          <w:bCs/>
          <w:szCs w:val="20"/>
          <w:lang w:val="es-ES_tradnl"/>
        </w:rPr>
      </w:pPr>
      <w:r w:rsidRPr="00B27C76">
        <w:rPr>
          <w:rFonts w:cs="Arial"/>
          <w:szCs w:val="20"/>
          <w:lang w:val="es-ES_tradnl"/>
        </w:rPr>
        <w:t xml:space="preserve">La </w:t>
      </w:r>
      <w:r w:rsidRPr="00B27C76">
        <w:rPr>
          <w:rFonts w:cs="Arial"/>
          <w:b/>
          <w:i/>
          <w:szCs w:val="20"/>
          <w:lang w:val="es-ES_tradnl"/>
        </w:rPr>
        <w:t>Comisión</w:t>
      </w:r>
      <w:r w:rsidRPr="00B27C76">
        <w:rPr>
          <w:rFonts w:cs="Arial"/>
          <w:szCs w:val="20"/>
          <w:lang w:val="es-ES_tradnl"/>
        </w:rPr>
        <w:t xml:space="preserve"> señaló que no </w:t>
      </w:r>
      <w:r w:rsidR="00E340CA" w:rsidRPr="00B27C76">
        <w:rPr>
          <w:rFonts w:cs="Arial"/>
          <w:szCs w:val="20"/>
          <w:lang w:val="es-ES_tradnl"/>
        </w:rPr>
        <w:t xml:space="preserve">tenía </w:t>
      </w:r>
      <w:r w:rsidRPr="00B27C76">
        <w:rPr>
          <w:rFonts w:cs="Arial"/>
          <w:szCs w:val="20"/>
          <w:lang w:val="es-ES_tradnl"/>
        </w:rPr>
        <w:t xml:space="preserve">observaciones que formular con relación </w:t>
      </w:r>
      <w:r w:rsidR="00E340CA" w:rsidRPr="00B27C76">
        <w:rPr>
          <w:rFonts w:cs="Arial"/>
          <w:szCs w:val="20"/>
          <w:lang w:val="es-ES_tradnl"/>
        </w:rPr>
        <w:t xml:space="preserve">a esta solicitud de </w:t>
      </w:r>
      <w:r w:rsidR="00E340CA" w:rsidRPr="00B27C76">
        <w:rPr>
          <w:rFonts w:eastAsia="Times"/>
          <w:szCs w:val="20"/>
          <w:lang w:val="es-ES_tradnl"/>
        </w:rPr>
        <w:t>interpretación del Estado</w:t>
      </w:r>
      <w:r w:rsidR="00A25721" w:rsidRPr="00B27C76">
        <w:rPr>
          <w:rFonts w:cs="Arial"/>
          <w:szCs w:val="20"/>
          <w:lang w:val="es-ES_tradnl"/>
        </w:rPr>
        <w:t>, mientras</w:t>
      </w:r>
      <w:r w:rsidRPr="00B27C76">
        <w:rPr>
          <w:rFonts w:cs="Arial"/>
          <w:szCs w:val="20"/>
          <w:lang w:val="es-ES_tradnl"/>
        </w:rPr>
        <w:t xml:space="preserve"> </w:t>
      </w:r>
      <w:r w:rsidR="00A25721" w:rsidRPr="00B27C76">
        <w:rPr>
          <w:rFonts w:cs="Arial"/>
          <w:szCs w:val="20"/>
          <w:lang w:val="es-ES_tradnl"/>
        </w:rPr>
        <w:t xml:space="preserve">que </w:t>
      </w:r>
      <w:r w:rsidR="00A25721" w:rsidRPr="00B27C76">
        <w:rPr>
          <w:rFonts w:eastAsia="Times"/>
          <w:szCs w:val="20"/>
          <w:lang w:val="es-ES_tradnl"/>
        </w:rPr>
        <w:t>l</w:t>
      </w:r>
      <w:r w:rsidRPr="00B27C76">
        <w:rPr>
          <w:rFonts w:eastAsia="Times"/>
          <w:szCs w:val="20"/>
          <w:lang w:val="es-ES_tradnl"/>
        </w:rPr>
        <w:t xml:space="preserve">a </w:t>
      </w:r>
      <w:r w:rsidRPr="00B27C76">
        <w:rPr>
          <w:rFonts w:eastAsia="Times"/>
          <w:b/>
          <w:i/>
          <w:szCs w:val="20"/>
          <w:lang w:val="es-ES_tradnl"/>
        </w:rPr>
        <w:t>representante</w:t>
      </w:r>
      <w:r w:rsidRPr="00B27C76">
        <w:rPr>
          <w:rFonts w:eastAsia="Times"/>
          <w:szCs w:val="20"/>
          <w:lang w:val="es-ES_tradnl"/>
        </w:rPr>
        <w:t xml:space="preserve"> no </w:t>
      </w:r>
      <w:r w:rsidR="00A25721" w:rsidRPr="00B27C76">
        <w:rPr>
          <w:rFonts w:eastAsia="Times"/>
          <w:szCs w:val="20"/>
          <w:lang w:val="es-ES_tradnl"/>
        </w:rPr>
        <w:t xml:space="preserve">se refirió </w:t>
      </w:r>
      <w:r w:rsidR="00E340CA" w:rsidRPr="00B27C76">
        <w:rPr>
          <w:rFonts w:eastAsia="Times"/>
          <w:szCs w:val="20"/>
          <w:lang w:val="es-ES_tradnl"/>
        </w:rPr>
        <w:t xml:space="preserve">a </w:t>
      </w:r>
      <w:r w:rsidRPr="00B27C76">
        <w:rPr>
          <w:rFonts w:eastAsia="Times"/>
          <w:szCs w:val="20"/>
          <w:lang w:val="es-ES_tradnl"/>
        </w:rPr>
        <w:t xml:space="preserve">dicha solicitud </w:t>
      </w:r>
      <w:r w:rsidR="00E340CA" w:rsidRPr="00B27C76">
        <w:rPr>
          <w:rFonts w:eastAsia="Times"/>
          <w:szCs w:val="20"/>
          <w:lang w:val="es-ES_tradnl"/>
        </w:rPr>
        <w:t>en su escrito</w:t>
      </w:r>
      <w:r w:rsidR="00A25721" w:rsidRPr="00B27C76">
        <w:rPr>
          <w:rFonts w:eastAsia="Times"/>
          <w:szCs w:val="20"/>
          <w:lang w:val="es-ES_tradnl"/>
        </w:rPr>
        <w:t xml:space="preserve">. </w:t>
      </w:r>
    </w:p>
    <w:p w:rsidR="001C300E" w:rsidRPr="00B27C76" w:rsidRDefault="001C300E" w:rsidP="001C300E">
      <w:pPr>
        <w:tabs>
          <w:tab w:val="left" w:pos="567"/>
        </w:tabs>
        <w:autoSpaceDE w:val="0"/>
        <w:autoSpaceDN w:val="0"/>
        <w:adjustRightInd w:val="0"/>
        <w:spacing w:after="0" w:line="240" w:lineRule="auto"/>
        <w:jc w:val="both"/>
        <w:rPr>
          <w:rFonts w:cs="Arial"/>
          <w:i/>
          <w:szCs w:val="20"/>
          <w:lang w:val="es-ES_tradnl"/>
        </w:rPr>
      </w:pPr>
    </w:p>
    <w:p w:rsidR="001C300E" w:rsidRPr="00B27C76" w:rsidRDefault="001C300E" w:rsidP="001C300E">
      <w:pPr>
        <w:pStyle w:val="Prrafodelista"/>
        <w:tabs>
          <w:tab w:val="left" w:pos="567"/>
        </w:tabs>
        <w:autoSpaceDE w:val="0"/>
        <w:autoSpaceDN w:val="0"/>
        <w:adjustRightInd w:val="0"/>
        <w:spacing w:after="0" w:line="240" w:lineRule="auto"/>
        <w:jc w:val="both"/>
        <w:rPr>
          <w:rFonts w:cs="Arial"/>
          <w:i/>
          <w:szCs w:val="20"/>
          <w:lang w:val="es-ES_tradnl"/>
        </w:rPr>
      </w:pPr>
      <w:r w:rsidRPr="00B27C76">
        <w:rPr>
          <w:rFonts w:cs="Arial"/>
          <w:i/>
          <w:szCs w:val="20"/>
          <w:lang w:val="es-ES_tradnl"/>
        </w:rPr>
        <w:t>Consideraciones de la Corte</w:t>
      </w:r>
    </w:p>
    <w:p w:rsidR="001C300E" w:rsidRPr="00B27C76" w:rsidRDefault="001C300E" w:rsidP="001C300E">
      <w:pPr>
        <w:tabs>
          <w:tab w:val="left" w:pos="567"/>
        </w:tabs>
        <w:autoSpaceDE w:val="0"/>
        <w:autoSpaceDN w:val="0"/>
        <w:adjustRightInd w:val="0"/>
        <w:spacing w:after="0" w:line="240" w:lineRule="auto"/>
        <w:jc w:val="both"/>
        <w:rPr>
          <w:rFonts w:cs="Arial"/>
          <w:b/>
          <w:szCs w:val="20"/>
          <w:lang w:val="es-ES_tradnl"/>
        </w:rPr>
      </w:pPr>
    </w:p>
    <w:p w:rsidR="001C300E" w:rsidRPr="00B27C76" w:rsidRDefault="001C300E" w:rsidP="00F749AF">
      <w:pPr>
        <w:pStyle w:val="Prrafodelista"/>
        <w:numPr>
          <w:ilvl w:val="0"/>
          <w:numId w:val="1"/>
        </w:numPr>
        <w:tabs>
          <w:tab w:val="left" w:pos="567"/>
        </w:tabs>
        <w:autoSpaceDE w:val="0"/>
        <w:autoSpaceDN w:val="0"/>
        <w:adjustRightInd w:val="0"/>
        <w:spacing w:after="0" w:line="240" w:lineRule="auto"/>
        <w:jc w:val="both"/>
        <w:rPr>
          <w:rFonts w:cs="Arial"/>
          <w:szCs w:val="20"/>
          <w:lang w:val="es-ES_tradnl"/>
        </w:rPr>
      </w:pPr>
      <w:bookmarkStart w:id="25" w:name="_Ref406494134"/>
      <w:r w:rsidRPr="00B27C76">
        <w:rPr>
          <w:rFonts w:cs="Arial"/>
          <w:szCs w:val="20"/>
          <w:lang w:val="es-ES_tradnl"/>
        </w:rPr>
        <w:t xml:space="preserve">La Corte señala que la determinación de los gastos de la representante y el otorgamiento de costas y gastos fueron realizados al momento de dictar la Sentencia con base a la prueba aportada al proceso, a la luz de la normativa de la Convención Americana y los principios que la informan. </w:t>
      </w:r>
      <w:r w:rsidR="00E15C52" w:rsidRPr="00B27C76">
        <w:rPr>
          <w:rFonts w:cs="Arial"/>
          <w:szCs w:val="20"/>
          <w:lang w:val="es-ES_tradnl"/>
        </w:rPr>
        <w:t>De forma particular, e</w:t>
      </w:r>
      <w:r w:rsidRPr="00B27C76">
        <w:rPr>
          <w:rFonts w:cs="Arial"/>
          <w:szCs w:val="20"/>
          <w:lang w:val="es-ES_tradnl"/>
        </w:rPr>
        <w:t xml:space="preserve">ste Tribunal estableció en los párrafos 418 </w:t>
      </w:r>
      <w:r w:rsidR="00635663" w:rsidRPr="00B27C76">
        <w:rPr>
          <w:rFonts w:cs="Arial"/>
          <w:szCs w:val="20"/>
          <w:lang w:val="es-ES_tradnl"/>
        </w:rPr>
        <w:t>a</w:t>
      </w:r>
      <w:r w:rsidRPr="00B27C76">
        <w:rPr>
          <w:rFonts w:cs="Arial"/>
          <w:szCs w:val="20"/>
          <w:lang w:val="es-ES_tradnl"/>
        </w:rPr>
        <w:t xml:space="preserve"> 42</w:t>
      </w:r>
      <w:r w:rsidR="00635663" w:rsidRPr="00B27C76">
        <w:rPr>
          <w:rFonts w:cs="Arial"/>
          <w:szCs w:val="20"/>
          <w:lang w:val="es-ES_tradnl"/>
        </w:rPr>
        <w:t>3</w:t>
      </w:r>
      <w:r w:rsidRPr="00B27C76">
        <w:rPr>
          <w:rFonts w:cs="Arial"/>
          <w:szCs w:val="20"/>
          <w:lang w:val="es-ES_tradnl"/>
        </w:rPr>
        <w:t xml:space="preserve"> de su Sentencia que:</w:t>
      </w:r>
      <w:bookmarkEnd w:id="25"/>
    </w:p>
    <w:p w:rsidR="001C300E" w:rsidRPr="00B27C76" w:rsidRDefault="001C300E" w:rsidP="001C300E">
      <w:pPr>
        <w:tabs>
          <w:tab w:val="left" w:pos="567"/>
        </w:tabs>
        <w:autoSpaceDE w:val="0"/>
        <w:autoSpaceDN w:val="0"/>
        <w:adjustRightInd w:val="0"/>
        <w:spacing w:after="0" w:line="240" w:lineRule="auto"/>
        <w:jc w:val="both"/>
        <w:rPr>
          <w:rFonts w:cs="Arial"/>
          <w:szCs w:val="20"/>
          <w:lang w:val="es-ES_tradnl"/>
        </w:rPr>
      </w:pPr>
    </w:p>
    <w:p w:rsidR="001C300E" w:rsidRPr="00B27C76" w:rsidRDefault="001C300E" w:rsidP="001C300E">
      <w:pPr>
        <w:autoSpaceDE w:val="0"/>
        <w:autoSpaceDN w:val="0"/>
        <w:adjustRightInd w:val="0"/>
        <w:spacing w:after="0" w:line="240" w:lineRule="auto"/>
        <w:ind w:left="706" w:right="259"/>
        <w:jc w:val="both"/>
        <w:rPr>
          <w:rFonts w:eastAsiaTheme="minorHAnsi" w:cs="Verdana"/>
          <w:sz w:val="16"/>
          <w:szCs w:val="16"/>
          <w:lang w:val="es-ES_tradnl"/>
        </w:rPr>
      </w:pPr>
      <w:r w:rsidRPr="00B27C76">
        <w:rPr>
          <w:rFonts w:eastAsiaTheme="minorHAnsi" w:cs="Verdana"/>
          <w:sz w:val="16"/>
          <w:szCs w:val="16"/>
          <w:lang w:val="es-ES_tradnl"/>
        </w:rPr>
        <w:t>418. Como ya lo ha señalado la Corte en oportunidades anteriores, las costas y gastos están comprendidos dentro del concepto de reparación establecido en el artículo 63.1 de la Convención Americana.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w:t>
      </w:r>
    </w:p>
    <w:p w:rsidR="001C300E" w:rsidRPr="00B27C76" w:rsidRDefault="001C300E" w:rsidP="001C300E">
      <w:pPr>
        <w:autoSpaceDE w:val="0"/>
        <w:autoSpaceDN w:val="0"/>
        <w:adjustRightInd w:val="0"/>
        <w:spacing w:after="0" w:line="240" w:lineRule="auto"/>
        <w:ind w:left="706" w:right="259"/>
        <w:jc w:val="both"/>
        <w:rPr>
          <w:rFonts w:eastAsiaTheme="minorHAnsi" w:cs="Verdana"/>
          <w:sz w:val="16"/>
          <w:szCs w:val="16"/>
          <w:lang w:val="es-ES_tradnl"/>
        </w:rPr>
      </w:pPr>
    </w:p>
    <w:p w:rsidR="001C300E" w:rsidRPr="00B27C76" w:rsidRDefault="001C300E" w:rsidP="001C300E">
      <w:pPr>
        <w:autoSpaceDE w:val="0"/>
        <w:autoSpaceDN w:val="0"/>
        <w:adjustRightInd w:val="0"/>
        <w:spacing w:after="0" w:line="240" w:lineRule="auto"/>
        <w:ind w:left="706" w:right="259"/>
        <w:jc w:val="both"/>
        <w:rPr>
          <w:rFonts w:eastAsiaTheme="minorHAnsi" w:cs="Verdana"/>
          <w:sz w:val="16"/>
          <w:szCs w:val="16"/>
          <w:lang w:val="es-ES_tradnl"/>
        </w:rPr>
      </w:pPr>
      <w:r w:rsidRPr="00B27C76">
        <w:rPr>
          <w:rFonts w:eastAsiaTheme="minorHAnsi" w:cs="Verdana"/>
          <w:sz w:val="16"/>
          <w:szCs w:val="16"/>
          <w:lang w:val="es-ES_tradnl"/>
        </w:rPr>
        <w:t>[…]</w:t>
      </w:r>
    </w:p>
    <w:p w:rsidR="001C300E" w:rsidRPr="00B27C76" w:rsidRDefault="001C300E" w:rsidP="001C300E">
      <w:pPr>
        <w:autoSpaceDE w:val="0"/>
        <w:autoSpaceDN w:val="0"/>
        <w:adjustRightInd w:val="0"/>
        <w:spacing w:after="0" w:line="240" w:lineRule="auto"/>
        <w:ind w:left="706" w:right="259"/>
        <w:jc w:val="both"/>
        <w:rPr>
          <w:rFonts w:eastAsiaTheme="minorHAnsi" w:cs="Verdana"/>
          <w:sz w:val="16"/>
          <w:szCs w:val="16"/>
          <w:lang w:val="es-ES_tradnl"/>
        </w:rPr>
      </w:pPr>
    </w:p>
    <w:p w:rsidR="001C300E" w:rsidRPr="00B27C76" w:rsidRDefault="001C300E" w:rsidP="00635663">
      <w:pPr>
        <w:autoSpaceDE w:val="0"/>
        <w:autoSpaceDN w:val="0"/>
        <w:adjustRightInd w:val="0"/>
        <w:spacing w:after="0" w:line="240" w:lineRule="auto"/>
        <w:ind w:left="706" w:right="259"/>
        <w:jc w:val="both"/>
        <w:rPr>
          <w:rFonts w:eastAsiaTheme="minorHAnsi" w:cs="Verdana"/>
          <w:sz w:val="16"/>
          <w:szCs w:val="16"/>
          <w:lang w:val="es-ES_tradnl"/>
        </w:rPr>
      </w:pPr>
      <w:r w:rsidRPr="00B27C76">
        <w:rPr>
          <w:rFonts w:eastAsiaTheme="minorHAnsi" w:cs="Verdana"/>
          <w:sz w:val="16"/>
          <w:szCs w:val="16"/>
          <w:lang w:val="es-ES_tradnl"/>
        </w:rPr>
        <w:t>421. La Corte recuerda que en el presente caso son admisibles las pretensiones de la representante relativas a las costas y gastos producidos luego de la presentación del escrito de solicitudes y argumentos (</w:t>
      </w:r>
      <w:r w:rsidRPr="00B27C76">
        <w:rPr>
          <w:rFonts w:eastAsiaTheme="minorHAnsi" w:cs="Verdana"/>
          <w:i/>
          <w:iCs/>
          <w:sz w:val="16"/>
          <w:szCs w:val="16"/>
          <w:lang w:val="es-ES_tradnl"/>
        </w:rPr>
        <w:t xml:space="preserve">supra </w:t>
      </w:r>
      <w:r w:rsidRPr="00B27C76">
        <w:rPr>
          <w:rFonts w:eastAsiaTheme="minorHAnsi" w:cs="Verdana"/>
          <w:sz w:val="16"/>
          <w:szCs w:val="16"/>
          <w:lang w:val="es-ES_tradnl"/>
        </w:rPr>
        <w:t>párr. 33). Este Tribunal ha señalado que las pretensiones de las víctimas o sus representantes en materia de costas y gastos, y las pruebas que las sustentan, deben presentarse a la Corte en el primer momento procesal que se les concede, esto es, en el escrito de solicitudes y argumentos, sin perjuicio de que tales pretensiones se actualicen en un momento posterior, conforme a las nuevas costas y gastos en que se haya incurrido con ocasión del procedimiento ante esta Corte.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p>
    <w:p w:rsidR="00635663" w:rsidRPr="00B27C76" w:rsidRDefault="00635663" w:rsidP="00635663">
      <w:pPr>
        <w:autoSpaceDE w:val="0"/>
        <w:autoSpaceDN w:val="0"/>
        <w:adjustRightInd w:val="0"/>
        <w:spacing w:after="0" w:line="240" w:lineRule="auto"/>
        <w:ind w:left="706" w:right="259"/>
        <w:jc w:val="both"/>
        <w:rPr>
          <w:rFonts w:eastAsiaTheme="minorHAnsi" w:cs="Verdana"/>
          <w:sz w:val="16"/>
          <w:szCs w:val="16"/>
          <w:lang w:val="es-ES_tradnl"/>
        </w:rPr>
      </w:pPr>
    </w:p>
    <w:p w:rsidR="00635663" w:rsidRPr="00B27C76" w:rsidRDefault="00635663" w:rsidP="00635663">
      <w:pPr>
        <w:autoSpaceDE w:val="0"/>
        <w:autoSpaceDN w:val="0"/>
        <w:adjustRightInd w:val="0"/>
        <w:spacing w:after="0" w:line="240" w:lineRule="auto"/>
        <w:ind w:left="706" w:right="259"/>
        <w:jc w:val="both"/>
        <w:rPr>
          <w:rFonts w:eastAsiaTheme="minorHAnsi" w:cs="Verdana"/>
          <w:sz w:val="16"/>
          <w:szCs w:val="16"/>
          <w:lang w:val="es-ES_tradnl"/>
        </w:rPr>
      </w:pPr>
      <w:r w:rsidRPr="00B27C76">
        <w:rPr>
          <w:rFonts w:eastAsiaTheme="minorHAnsi" w:cs="Verdana"/>
          <w:sz w:val="16"/>
          <w:szCs w:val="16"/>
          <w:lang w:val="es-ES_tradnl"/>
        </w:rPr>
        <w:t xml:space="preserve">422. La Corte constata que los gastos de la representante producidos con posterioridad a la presentación del escrito de solicitudes y argumentos, sobre los cuales se aportó prueba ascienden a aproximadamente US$ 237.880,14. No obstante, algunos comprobantes se refieren a gastos cubiertos por recursos provenientes del Fondo de Asistencia Legal de Víctimas, y </w:t>
      </w:r>
      <w:r w:rsidRPr="00B27C76">
        <w:rPr>
          <w:rFonts w:eastAsiaTheme="minorHAnsi" w:cs="Verdana"/>
          <w:sz w:val="16"/>
          <w:szCs w:val="16"/>
          <w:lang w:val="es-ES_tradnl"/>
        </w:rPr>
        <w:lastRenderedPageBreak/>
        <w:t xml:space="preserve">algunos comprobantes se refieren de manera general a gastos de productos de oficina, sin que se señale el porcentaje específico que corresponde a los gastos del presente caso. Dichos conceptos han sido equitativamente deducidos del cálculo establecido por este Tribunal. Adicionalmente, serán reducidos de la apreciación realizada por la Corte aquellos gastos cuyo </w:t>
      </w:r>
      <w:proofErr w:type="spellStart"/>
      <w:r w:rsidRPr="00B27C76">
        <w:rPr>
          <w:rFonts w:eastAsiaTheme="minorHAnsi" w:cs="Verdana"/>
          <w:i/>
          <w:iCs/>
          <w:sz w:val="16"/>
          <w:szCs w:val="16"/>
          <w:lang w:val="es-ES_tradnl"/>
        </w:rPr>
        <w:t>quatum</w:t>
      </w:r>
      <w:proofErr w:type="spellEnd"/>
      <w:r w:rsidRPr="00B27C76">
        <w:rPr>
          <w:rFonts w:eastAsiaTheme="minorHAnsi" w:cs="Verdana"/>
          <w:i/>
          <w:iCs/>
          <w:sz w:val="16"/>
          <w:szCs w:val="16"/>
          <w:lang w:val="es-ES_tradnl"/>
        </w:rPr>
        <w:t xml:space="preserve"> </w:t>
      </w:r>
      <w:r w:rsidRPr="00B27C76">
        <w:rPr>
          <w:rFonts w:eastAsiaTheme="minorHAnsi" w:cs="Verdana"/>
          <w:sz w:val="16"/>
          <w:szCs w:val="16"/>
          <w:lang w:val="es-ES_tradnl"/>
        </w:rPr>
        <w:t xml:space="preserve">no sea razonable. Asimismo, tal como lo ha hecho en otros casos, este Tribunal puede inferir que la representante incurrió en gastos en la tramitación del caso ante el sistema interamericano de derechos humanos, derivados del litigio y de la asistencia a la audiencia celebrada ante la Corte, y por ende serán tomados en cuenta en la fijación de las respectivas costas y gastos. </w:t>
      </w:r>
    </w:p>
    <w:p w:rsidR="00635663" w:rsidRPr="00B27C76" w:rsidRDefault="00635663" w:rsidP="00635663">
      <w:pPr>
        <w:autoSpaceDE w:val="0"/>
        <w:autoSpaceDN w:val="0"/>
        <w:adjustRightInd w:val="0"/>
        <w:spacing w:after="0" w:line="240" w:lineRule="auto"/>
        <w:ind w:left="706" w:right="259"/>
        <w:jc w:val="both"/>
        <w:rPr>
          <w:rFonts w:eastAsiaTheme="minorHAnsi" w:cs="Verdana"/>
          <w:sz w:val="16"/>
          <w:szCs w:val="16"/>
          <w:lang w:val="es-ES_tradnl"/>
        </w:rPr>
      </w:pPr>
    </w:p>
    <w:p w:rsidR="00635663" w:rsidRPr="00B27C76" w:rsidRDefault="00635663" w:rsidP="00635663">
      <w:pPr>
        <w:autoSpaceDE w:val="0"/>
        <w:autoSpaceDN w:val="0"/>
        <w:adjustRightInd w:val="0"/>
        <w:spacing w:after="0" w:line="240" w:lineRule="auto"/>
        <w:ind w:left="706" w:right="259"/>
        <w:jc w:val="both"/>
        <w:rPr>
          <w:rFonts w:eastAsiaTheme="minorHAnsi" w:cs="Verdana"/>
          <w:sz w:val="16"/>
          <w:szCs w:val="16"/>
          <w:lang w:val="es-ES_tradnl"/>
        </w:rPr>
      </w:pPr>
      <w:r w:rsidRPr="00B27C76">
        <w:rPr>
          <w:rFonts w:eastAsiaTheme="minorHAnsi" w:cs="Verdana"/>
          <w:sz w:val="16"/>
          <w:szCs w:val="16"/>
          <w:lang w:val="es-ES_tradnl"/>
        </w:rPr>
        <w:t>423. En consecuencia, la Corte decide fijar una cifra razonable de US$ 40.000,00 (cuarenta mil dólares de los Estados Unidos de América) por concepto de costas y gastos por las labores realizadas en el litigio del caso a nivel internacional, incluyendo los gastos generados por la participación de los dos abogados que colaboraron en la defensa del caso a partir de la audiencia pública. […]</w:t>
      </w:r>
    </w:p>
    <w:p w:rsidR="001C300E" w:rsidRPr="00B27C76" w:rsidRDefault="001C300E" w:rsidP="001C300E">
      <w:pPr>
        <w:pStyle w:val="Prrafodelista"/>
        <w:tabs>
          <w:tab w:val="left" w:pos="567"/>
        </w:tabs>
        <w:autoSpaceDE w:val="0"/>
        <w:autoSpaceDN w:val="0"/>
        <w:adjustRightInd w:val="0"/>
        <w:spacing w:after="0" w:line="240" w:lineRule="auto"/>
        <w:ind w:left="0"/>
        <w:jc w:val="both"/>
        <w:rPr>
          <w:rFonts w:cs="Arial"/>
          <w:szCs w:val="20"/>
          <w:lang w:val="es-ES_tradnl"/>
        </w:rPr>
      </w:pPr>
    </w:p>
    <w:p w:rsidR="001C300E" w:rsidRDefault="00C256E2" w:rsidP="00F749AF">
      <w:pPr>
        <w:pStyle w:val="Prrafodelista"/>
        <w:numPr>
          <w:ilvl w:val="0"/>
          <w:numId w:val="1"/>
        </w:numPr>
        <w:tabs>
          <w:tab w:val="left" w:pos="567"/>
        </w:tabs>
        <w:autoSpaceDE w:val="0"/>
        <w:autoSpaceDN w:val="0"/>
        <w:adjustRightInd w:val="0"/>
        <w:spacing w:after="0" w:line="240" w:lineRule="auto"/>
        <w:jc w:val="both"/>
        <w:rPr>
          <w:rFonts w:eastAsiaTheme="minorHAnsi" w:cs="Verdana"/>
          <w:szCs w:val="20"/>
          <w:lang w:val="es-ES_tradnl"/>
        </w:rPr>
      </w:pPr>
      <w:bookmarkStart w:id="26" w:name="_Ref406491795"/>
      <w:r w:rsidRPr="00576816">
        <w:t>Primeramente</w:t>
      </w:r>
      <w:r w:rsidRPr="002A2C18">
        <w:t>,</w:t>
      </w:r>
      <w:r>
        <w:t xml:space="preserve"> la Corte nota que según lo indicado por</w:t>
      </w:r>
      <w:r w:rsidRPr="002A2C18">
        <w:t xml:space="preserve"> el Estado</w:t>
      </w:r>
      <w:r>
        <w:t>, su solicitud</w:t>
      </w:r>
      <w:r w:rsidRPr="002A2C18">
        <w:t xml:space="preserve"> no se relaciona con un desacuerdo sobre el sentido o alcance del fallo ordenado en la Sentencia respecto del caso en concreto (</w:t>
      </w:r>
      <w:r w:rsidRPr="00576816">
        <w:rPr>
          <w:i/>
        </w:rPr>
        <w:t xml:space="preserve">supra </w:t>
      </w:r>
      <w:r>
        <w:t>párr.</w:t>
      </w:r>
      <w:r w:rsidR="004C736B">
        <w:t xml:space="preserve"> </w:t>
      </w:r>
      <w:r w:rsidR="00C62C4C">
        <w:fldChar w:fldCharType="begin"/>
      </w:r>
      <w:r w:rsidR="004C736B">
        <w:instrText xml:space="preserve"> REF _Ref406491795 \r \h </w:instrText>
      </w:r>
      <w:r w:rsidR="00C62C4C">
        <w:fldChar w:fldCharType="separate"/>
      </w:r>
      <w:r w:rsidR="002D145C">
        <w:t>35</w:t>
      </w:r>
      <w:r w:rsidR="00C62C4C">
        <w:fldChar w:fldCharType="end"/>
      </w:r>
      <w:r w:rsidRPr="002A2C18">
        <w:t xml:space="preserve">). </w:t>
      </w:r>
      <w:r>
        <w:t>Por otra parte, e</w:t>
      </w:r>
      <w:r w:rsidRPr="00576816">
        <w:rPr>
          <w:rFonts w:eastAsiaTheme="minorHAnsi" w:cs="Verdana"/>
        </w:rPr>
        <w:t xml:space="preserve">ste </w:t>
      </w:r>
      <w:r w:rsidRPr="00CC0CE8">
        <w:t>Tribunal</w:t>
      </w:r>
      <w:r w:rsidRPr="00576816">
        <w:rPr>
          <w:rFonts w:eastAsiaTheme="minorHAnsi" w:cs="Verdana"/>
        </w:rPr>
        <w:t xml:space="preserve"> considera que los párrafos transcritos, y en particular los párrafos </w:t>
      </w:r>
      <w:r w:rsidR="00BE5C5E" w:rsidRPr="00B27C76">
        <w:rPr>
          <w:rFonts w:eastAsiaTheme="minorHAnsi" w:cs="Verdana"/>
          <w:szCs w:val="20"/>
          <w:lang w:val="es-ES_tradnl"/>
        </w:rPr>
        <w:t>422 y 423,</w:t>
      </w:r>
      <w:r w:rsidR="001C300E" w:rsidRPr="00B27C76">
        <w:rPr>
          <w:rFonts w:eastAsiaTheme="minorHAnsi" w:cs="Verdana"/>
          <w:szCs w:val="20"/>
          <w:lang w:val="es-ES_tradnl"/>
        </w:rPr>
        <w:t xml:space="preserve"> se refieren con claridad </w:t>
      </w:r>
      <w:r w:rsidR="00943C93" w:rsidRPr="00B27C76">
        <w:rPr>
          <w:rFonts w:eastAsiaTheme="minorHAnsi" w:cs="Verdana"/>
          <w:szCs w:val="20"/>
          <w:lang w:val="es-ES_tradnl"/>
        </w:rPr>
        <w:t xml:space="preserve">a los criterios utilizados por </w:t>
      </w:r>
      <w:r w:rsidR="004A5630" w:rsidRPr="00B27C76">
        <w:rPr>
          <w:rFonts w:eastAsiaTheme="minorHAnsi" w:cs="Verdana"/>
          <w:szCs w:val="20"/>
          <w:lang w:val="es-ES_tradnl"/>
        </w:rPr>
        <w:t>la</w:t>
      </w:r>
      <w:r w:rsidR="00AB18B6" w:rsidRPr="00B27C76">
        <w:rPr>
          <w:rFonts w:eastAsiaTheme="minorHAnsi" w:cs="Verdana"/>
          <w:szCs w:val="20"/>
          <w:lang w:val="es-ES_tradnl"/>
        </w:rPr>
        <w:t xml:space="preserve"> Corte</w:t>
      </w:r>
      <w:r w:rsidR="00943C93" w:rsidRPr="00B27C76">
        <w:rPr>
          <w:rFonts w:eastAsiaTheme="minorHAnsi" w:cs="Verdana"/>
          <w:szCs w:val="20"/>
          <w:lang w:val="es-ES_tradnl"/>
        </w:rPr>
        <w:t xml:space="preserve"> </w:t>
      </w:r>
      <w:r w:rsidR="00AB18B6" w:rsidRPr="00B27C76">
        <w:rPr>
          <w:rFonts w:eastAsiaTheme="minorHAnsi" w:cs="Verdana"/>
          <w:szCs w:val="20"/>
          <w:lang w:val="es-ES_tradnl"/>
        </w:rPr>
        <w:t xml:space="preserve">para </w:t>
      </w:r>
      <w:r w:rsidR="001C300E" w:rsidRPr="00B27C76">
        <w:rPr>
          <w:rFonts w:eastAsiaTheme="minorHAnsi" w:cs="Verdana"/>
          <w:szCs w:val="20"/>
          <w:lang w:val="es-ES_tradnl"/>
        </w:rPr>
        <w:t>la determinación de las costas y gastos</w:t>
      </w:r>
      <w:r w:rsidR="00AB18B6" w:rsidRPr="00B27C76">
        <w:rPr>
          <w:rFonts w:eastAsiaTheme="minorHAnsi" w:cs="Verdana"/>
          <w:szCs w:val="20"/>
          <w:lang w:val="es-ES_tradnl"/>
        </w:rPr>
        <w:t>, con base en la prueba aportada por la representante, la equidad y la razonabilidad</w:t>
      </w:r>
      <w:r w:rsidR="001C300E" w:rsidRPr="00B27C76">
        <w:rPr>
          <w:rFonts w:eastAsiaTheme="minorHAnsi" w:cs="Verdana"/>
          <w:szCs w:val="20"/>
          <w:lang w:val="es-ES_tradnl"/>
        </w:rPr>
        <w:t xml:space="preserve">. </w:t>
      </w:r>
      <w:r w:rsidR="00943C93" w:rsidRPr="00B27C76">
        <w:rPr>
          <w:rFonts w:eastAsiaTheme="minorHAnsi" w:cs="Verdana"/>
          <w:szCs w:val="20"/>
          <w:lang w:val="es-ES_tradnl"/>
        </w:rPr>
        <w:t xml:space="preserve">Por tanto, no estima procedente </w:t>
      </w:r>
      <w:r w:rsidR="00190C25" w:rsidRPr="00B27C76">
        <w:rPr>
          <w:rFonts w:eastAsiaTheme="minorHAnsi" w:cs="Verdana"/>
          <w:szCs w:val="20"/>
          <w:lang w:val="es-ES_tradnl"/>
        </w:rPr>
        <w:t xml:space="preserve">ni necesario </w:t>
      </w:r>
      <w:r w:rsidR="00943C93" w:rsidRPr="00B27C76">
        <w:rPr>
          <w:rFonts w:eastAsiaTheme="minorHAnsi" w:cs="Verdana"/>
          <w:szCs w:val="20"/>
          <w:lang w:val="es-ES_tradnl"/>
        </w:rPr>
        <w:t xml:space="preserve">realizar </w:t>
      </w:r>
      <w:r w:rsidR="00190C25" w:rsidRPr="00B27C76">
        <w:rPr>
          <w:rFonts w:eastAsiaTheme="minorHAnsi" w:cs="Verdana"/>
          <w:szCs w:val="20"/>
          <w:lang w:val="es-ES_tradnl"/>
        </w:rPr>
        <w:t>presiones adicionales al respecto.</w:t>
      </w:r>
      <w:bookmarkEnd w:id="26"/>
    </w:p>
    <w:p w:rsidR="00C256E2" w:rsidRDefault="00C256E2" w:rsidP="00C256E2">
      <w:pPr>
        <w:pStyle w:val="Prrafodelista"/>
        <w:tabs>
          <w:tab w:val="left" w:pos="567"/>
        </w:tabs>
        <w:autoSpaceDE w:val="0"/>
        <w:autoSpaceDN w:val="0"/>
        <w:adjustRightInd w:val="0"/>
        <w:spacing w:after="0" w:line="240" w:lineRule="auto"/>
        <w:ind w:left="0"/>
        <w:jc w:val="both"/>
        <w:rPr>
          <w:rFonts w:eastAsiaTheme="minorHAnsi" w:cs="Verdana"/>
          <w:szCs w:val="20"/>
          <w:lang w:val="es-ES_tradnl"/>
        </w:rPr>
      </w:pPr>
    </w:p>
    <w:p w:rsidR="00C256E2" w:rsidRPr="00C256E2" w:rsidRDefault="00E860DE" w:rsidP="00C256E2">
      <w:pPr>
        <w:pStyle w:val="Prrafodelista"/>
        <w:numPr>
          <w:ilvl w:val="0"/>
          <w:numId w:val="4"/>
        </w:numPr>
        <w:tabs>
          <w:tab w:val="left" w:pos="567"/>
        </w:tabs>
        <w:autoSpaceDE w:val="0"/>
        <w:autoSpaceDN w:val="0"/>
        <w:adjustRightInd w:val="0"/>
        <w:spacing w:after="0" w:line="240" w:lineRule="auto"/>
        <w:jc w:val="both"/>
        <w:rPr>
          <w:rFonts w:eastAsiaTheme="minorHAnsi" w:cs="Verdana"/>
          <w:b/>
          <w:i/>
          <w:szCs w:val="20"/>
          <w:lang w:val="es-ES_tradnl"/>
        </w:rPr>
      </w:pPr>
      <w:r>
        <w:rPr>
          <w:rFonts w:eastAsiaTheme="minorHAnsi" w:cs="Verdana"/>
          <w:b/>
          <w:szCs w:val="20"/>
          <w:lang w:val="es-ES_tradnl"/>
        </w:rPr>
        <w:t>Aplicación del artículo 76 del Reglamento</w:t>
      </w:r>
    </w:p>
    <w:p w:rsidR="00C256E2" w:rsidRPr="00C256E2" w:rsidRDefault="00C256E2" w:rsidP="00C256E2">
      <w:pPr>
        <w:pStyle w:val="Prrafodelista"/>
        <w:tabs>
          <w:tab w:val="left" w:pos="567"/>
        </w:tabs>
        <w:autoSpaceDE w:val="0"/>
        <w:autoSpaceDN w:val="0"/>
        <w:adjustRightInd w:val="0"/>
        <w:spacing w:after="0" w:line="240" w:lineRule="auto"/>
        <w:jc w:val="both"/>
        <w:rPr>
          <w:rFonts w:eastAsiaTheme="minorHAnsi" w:cs="Verdana"/>
          <w:b/>
          <w:i/>
          <w:szCs w:val="20"/>
          <w:lang w:val="es-ES_tradnl"/>
        </w:rPr>
      </w:pPr>
    </w:p>
    <w:p w:rsidR="005F081C" w:rsidRPr="007859AE" w:rsidRDefault="007859AE" w:rsidP="007859AE">
      <w:pPr>
        <w:pStyle w:val="Prrafodelista"/>
        <w:numPr>
          <w:ilvl w:val="0"/>
          <w:numId w:val="1"/>
        </w:numPr>
        <w:tabs>
          <w:tab w:val="left" w:pos="567"/>
        </w:tabs>
        <w:autoSpaceDE w:val="0"/>
        <w:autoSpaceDN w:val="0"/>
        <w:adjustRightInd w:val="0"/>
        <w:spacing w:after="0" w:line="240" w:lineRule="auto"/>
        <w:jc w:val="both"/>
        <w:rPr>
          <w:rFonts w:eastAsiaTheme="minorHAnsi" w:cs="Verdana"/>
          <w:szCs w:val="20"/>
          <w:lang w:val="es-ES_tradnl"/>
        </w:rPr>
      </w:pPr>
      <w:r>
        <w:rPr>
          <w:rFonts w:eastAsiaTheme="minorHAnsi" w:cs="Verdana"/>
          <w:szCs w:val="20"/>
          <w:lang w:val="es-ES_tradnl"/>
        </w:rPr>
        <w:t>Por otra parte, la Corte advierte que los otros dos puntos sobre los cuales el Estado y la representante, respectivamente, solicita</w:t>
      </w:r>
      <w:r w:rsidR="0065322E">
        <w:rPr>
          <w:rFonts w:eastAsiaTheme="minorHAnsi" w:cs="Verdana"/>
          <w:szCs w:val="20"/>
          <w:lang w:val="es-ES_tradnl"/>
        </w:rPr>
        <w:t>ron interpretación</w:t>
      </w:r>
      <w:r>
        <w:rPr>
          <w:rFonts w:eastAsiaTheme="minorHAnsi" w:cs="Verdana"/>
          <w:szCs w:val="20"/>
          <w:lang w:val="es-ES_tradnl"/>
        </w:rPr>
        <w:t xml:space="preserve"> se refieren principalmente a solicitudes de rectificación de errores materiales</w:t>
      </w:r>
      <w:r w:rsidR="0065322E">
        <w:rPr>
          <w:rFonts w:eastAsiaTheme="minorHAnsi" w:cs="Verdana"/>
          <w:szCs w:val="20"/>
          <w:lang w:val="es-ES_tradnl"/>
        </w:rPr>
        <w:t xml:space="preserve"> (</w:t>
      </w:r>
      <w:r w:rsidR="0065322E">
        <w:rPr>
          <w:rFonts w:eastAsiaTheme="minorHAnsi" w:cs="Verdana"/>
          <w:i/>
          <w:szCs w:val="20"/>
          <w:lang w:val="es-ES_tradnl"/>
        </w:rPr>
        <w:t xml:space="preserve">supra </w:t>
      </w:r>
      <w:proofErr w:type="spellStart"/>
      <w:r w:rsidR="0065322E">
        <w:rPr>
          <w:rFonts w:eastAsiaTheme="minorHAnsi" w:cs="Verdana"/>
          <w:szCs w:val="20"/>
          <w:lang w:val="es-ES_tradnl"/>
        </w:rPr>
        <w:t>párr</w:t>
      </w:r>
      <w:r w:rsidR="00FE1015">
        <w:rPr>
          <w:rFonts w:eastAsiaTheme="minorHAnsi" w:cs="Verdana"/>
          <w:szCs w:val="20"/>
          <w:lang w:val="es-ES_tradnl"/>
        </w:rPr>
        <w:t>s</w:t>
      </w:r>
      <w:proofErr w:type="spellEnd"/>
      <w:r w:rsidR="0065322E">
        <w:rPr>
          <w:rFonts w:eastAsiaTheme="minorHAnsi" w:cs="Verdana"/>
          <w:szCs w:val="20"/>
          <w:lang w:val="es-ES_tradnl"/>
        </w:rPr>
        <w:t xml:space="preserve">. </w:t>
      </w:r>
      <w:r w:rsidR="00C62C4C">
        <w:rPr>
          <w:rFonts w:eastAsiaTheme="minorHAnsi" w:cs="Verdana"/>
          <w:szCs w:val="20"/>
          <w:lang w:val="es-ES_tradnl"/>
        </w:rPr>
        <w:fldChar w:fldCharType="begin"/>
      </w:r>
      <w:r w:rsidR="0065322E">
        <w:rPr>
          <w:rFonts w:eastAsiaTheme="minorHAnsi" w:cs="Verdana"/>
          <w:szCs w:val="20"/>
          <w:lang w:val="es-ES_tradnl"/>
        </w:rPr>
        <w:instrText xml:space="preserve"> REF _Ref403060836 \r \h </w:instrText>
      </w:r>
      <w:r w:rsidR="00C62C4C">
        <w:rPr>
          <w:rFonts w:eastAsiaTheme="minorHAnsi" w:cs="Verdana"/>
          <w:szCs w:val="20"/>
          <w:lang w:val="es-ES_tradnl"/>
        </w:rPr>
      </w:r>
      <w:r w:rsidR="00C62C4C">
        <w:rPr>
          <w:rFonts w:eastAsiaTheme="minorHAnsi" w:cs="Verdana"/>
          <w:szCs w:val="20"/>
          <w:lang w:val="es-ES_tradnl"/>
        </w:rPr>
        <w:fldChar w:fldCharType="separate"/>
      </w:r>
      <w:r w:rsidR="002D145C">
        <w:rPr>
          <w:rFonts w:eastAsiaTheme="minorHAnsi" w:cs="Verdana"/>
          <w:szCs w:val="20"/>
          <w:lang w:val="es-ES_tradnl"/>
        </w:rPr>
        <w:t>2</w:t>
      </w:r>
      <w:r w:rsidR="00C62C4C">
        <w:rPr>
          <w:rFonts w:eastAsiaTheme="minorHAnsi" w:cs="Verdana"/>
          <w:szCs w:val="20"/>
          <w:lang w:val="es-ES_tradnl"/>
        </w:rPr>
        <w:fldChar w:fldCharType="end"/>
      </w:r>
      <w:r w:rsidR="00FE1015">
        <w:rPr>
          <w:rFonts w:eastAsiaTheme="minorHAnsi" w:cs="Verdana"/>
          <w:szCs w:val="20"/>
          <w:lang w:val="es-ES_tradnl"/>
        </w:rPr>
        <w:t>.i</w:t>
      </w:r>
      <w:r w:rsidR="0065322E">
        <w:rPr>
          <w:rFonts w:eastAsiaTheme="minorHAnsi" w:cs="Verdana"/>
          <w:szCs w:val="20"/>
          <w:lang w:val="es-ES_tradnl"/>
        </w:rPr>
        <w:t xml:space="preserve"> </w:t>
      </w:r>
      <w:r w:rsidR="00A14CF4">
        <w:rPr>
          <w:rFonts w:eastAsiaTheme="minorHAnsi" w:cs="Verdana"/>
          <w:szCs w:val="20"/>
          <w:lang w:val="es-ES_tradnl"/>
        </w:rPr>
        <w:t>y</w:t>
      </w:r>
      <w:r w:rsidR="0065322E">
        <w:rPr>
          <w:rFonts w:eastAsiaTheme="minorHAnsi" w:cs="Verdana"/>
          <w:szCs w:val="20"/>
          <w:lang w:val="es-ES_tradnl"/>
        </w:rPr>
        <w:t xml:space="preserve"> </w:t>
      </w:r>
      <w:r w:rsidR="00C62C4C">
        <w:rPr>
          <w:rFonts w:eastAsiaTheme="minorHAnsi" w:cs="Verdana"/>
          <w:szCs w:val="20"/>
          <w:lang w:val="es-ES_tradnl"/>
        </w:rPr>
        <w:fldChar w:fldCharType="begin"/>
      </w:r>
      <w:r w:rsidR="0065322E">
        <w:rPr>
          <w:rFonts w:eastAsiaTheme="minorHAnsi" w:cs="Verdana"/>
          <w:szCs w:val="20"/>
          <w:lang w:val="es-ES_tradnl"/>
        </w:rPr>
        <w:instrText xml:space="preserve"> REF _Ref403060837 \r \h </w:instrText>
      </w:r>
      <w:r w:rsidR="00C62C4C">
        <w:rPr>
          <w:rFonts w:eastAsiaTheme="minorHAnsi" w:cs="Verdana"/>
          <w:szCs w:val="20"/>
          <w:lang w:val="es-ES_tradnl"/>
        </w:rPr>
      </w:r>
      <w:r w:rsidR="00C62C4C">
        <w:rPr>
          <w:rFonts w:eastAsiaTheme="minorHAnsi" w:cs="Verdana"/>
          <w:szCs w:val="20"/>
          <w:lang w:val="es-ES_tradnl"/>
        </w:rPr>
        <w:fldChar w:fldCharType="separate"/>
      </w:r>
      <w:r w:rsidR="002D145C">
        <w:rPr>
          <w:rFonts w:eastAsiaTheme="minorHAnsi" w:cs="Verdana"/>
          <w:szCs w:val="20"/>
          <w:lang w:val="es-ES_tradnl"/>
        </w:rPr>
        <w:t>3</w:t>
      </w:r>
      <w:r w:rsidR="00C62C4C">
        <w:rPr>
          <w:rFonts w:eastAsiaTheme="minorHAnsi" w:cs="Verdana"/>
          <w:szCs w:val="20"/>
          <w:lang w:val="es-ES_tradnl"/>
        </w:rPr>
        <w:fldChar w:fldCharType="end"/>
      </w:r>
      <w:r w:rsidR="00FE1015">
        <w:rPr>
          <w:rFonts w:eastAsiaTheme="minorHAnsi" w:cs="Verdana"/>
          <w:szCs w:val="20"/>
          <w:lang w:val="es-ES_tradnl"/>
        </w:rPr>
        <w:t>.iii</w:t>
      </w:r>
      <w:r w:rsidR="0065322E">
        <w:rPr>
          <w:rFonts w:eastAsiaTheme="minorHAnsi" w:cs="Verdana"/>
          <w:szCs w:val="20"/>
          <w:lang w:val="es-ES_tradnl"/>
        </w:rPr>
        <w:t>)</w:t>
      </w:r>
      <w:r>
        <w:rPr>
          <w:rFonts w:eastAsiaTheme="minorHAnsi" w:cs="Verdana"/>
          <w:szCs w:val="20"/>
          <w:lang w:val="es-ES_tradnl"/>
        </w:rPr>
        <w:t>. Al respecto, e</w:t>
      </w:r>
      <w:r w:rsidR="005F081C" w:rsidRPr="007859AE">
        <w:rPr>
          <w:rFonts w:eastAsia="Times"/>
          <w:szCs w:val="20"/>
          <w:lang w:val="es-ES_tradnl"/>
        </w:rPr>
        <w:t xml:space="preserve">l artículo 76 del Reglamento establece que “[l]a Corte podrá, a iniciativa propia o a solicitud de parte, presentada dentro del mes siguiente a la notificación de la sentencia o resolución de que se trate, rectificar errores notorios, de edición o de cálculo. De efectuarse alguna rectificación la Corte la notificará a la Comisión, a las víctimas o sus representantes, al Estado demandado y, en su caso, al Estado demandante”. Respecto de las observaciones de </w:t>
      </w:r>
      <w:r w:rsidR="00345D66">
        <w:rPr>
          <w:rFonts w:eastAsia="Times"/>
          <w:szCs w:val="20"/>
          <w:lang w:val="es-ES_tradnl"/>
        </w:rPr>
        <w:t xml:space="preserve">ambas </w:t>
      </w:r>
      <w:r w:rsidR="00AE18BE">
        <w:rPr>
          <w:rFonts w:eastAsia="Times"/>
          <w:szCs w:val="20"/>
          <w:lang w:val="es-ES_tradnl"/>
        </w:rPr>
        <w:t>partes sobre</w:t>
      </w:r>
      <w:r w:rsidR="005F081C" w:rsidRPr="007859AE">
        <w:rPr>
          <w:rFonts w:eastAsia="Times"/>
          <w:szCs w:val="20"/>
          <w:lang w:val="es-ES_tradnl"/>
        </w:rPr>
        <w:t xml:space="preserve"> </w:t>
      </w:r>
      <w:r w:rsidR="00AE18BE">
        <w:rPr>
          <w:rFonts w:eastAsia="Times"/>
          <w:szCs w:val="20"/>
          <w:lang w:val="es-ES_tradnl"/>
        </w:rPr>
        <w:t>e</w:t>
      </w:r>
      <w:r w:rsidR="005F081C" w:rsidRPr="007859AE">
        <w:rPr>
          <w:rFonts w:eastAsia="Times"/>
          <w:szCs w:val="20"/>
          <w:lang w:val="es-ES_tradnl"/>
        </w:rPr>
        <w:t>l plazo para presentar una solicitud de rectificación</w:t>
      </w:r>
      <w:r w:rsidR="003B272D">
        <w:rPr>
          <w:rStyle w:val="Refdenotaalpie"/>
          <w:rFonts w:eastAsia="Times"/>
          <w:szCs w:val="20"/>
          <w:lang w:val="es-ES_tradnl"/>
        </w:rPr>
        <w:footnoteReference w:id="16"/>
      </w:r>
      <w:r w:rsidR="005F081C" w:rsidRPr="007859AE">
        <w:rPr>
          <w:rFonts w:eastAsia="Times"/>
          <w:szCs w:val="20"/>
          <w:lang w:val="es-ES_tradnl"/>
        </w:rPr>
        <w:t xml:space="preserve">, la Corte recuerda que si bien, con base en el artículo 76 del Reglamento, las partes podrán requerir una rectificación de errores notorios, de edición o de cálculo sólo “dentro del mes siguiente a la notificación de la sentencia o resolución de que se trate”, dicho plazo no aplica a las eventuales correcciones que pudiera efectuar el Tribunal </w:t>
      </w:r>
      <w:r w:rsidR="005F081C" w:rsidRPr="007859AE">
        <w:rPr>
          <w:rFonts w:eastAsia="Times"/>
          <w:i/>
          <w:szCs w:val="20"/>
          <w:lang w:val="es-ES_tradnl"/>
        </w:rPr>
        <w:t>motu propio</w:t>
      </w:r>
      <w:r w:rsidR="005F081C" w:rsidRPr="00B27C76">
        <w:rPr>
          <w:rStyle w:val="Refdenotaalpie"/>
          <w:rFonts w:eastAsia="Times"/>
          <w:szCs w:val="20"/>
          <w:lang w:val="es-ES_tradnl"/>
        </w:rPr>
        <w:footnoteReference w:id="17"/>
      </w:r>
      <w:r w:rsidR="005F081C" w:rsidRPr="007859AE">
        <w:rPr>
          <w:rFonts w:eastAsia="Times"/>
          <w:szCs w:val="20"/>
          <w:lang w:val="es-ES_tradnl"/>
        </w:rPr>
        <w:t>.</w:t>
      </w:r>
    </w:p>
    <w:p w:rsidR="005F081C" w:rsidRDefault="005F081C" w:rsidP="0065322E">
      <w:pPr>
        <w:pStyle w:val="Prrafodelista"/>
        <w:tabs>
          <w:tab w:val="left" w:pos="567"/>
        </w:tabs>
        <w:autoSpaceDE w:val="0"/>
        <w:autoSpaceDN w:val="0"/>
        <w:adjustRightInd w:val="0"/>
        <w:spacing w:after="0" w:line="240" w:lineRule="auto"/>
        <w:ind w:left="0"/>
        <w:jc w:val="both"/>
        <w:rPr>
          <w:rFonts w:eastAsiaTheme="minorHAnsi" w:cs="Verdana"/>
          <w:szCs w:val="20"/>
          <w:lang w:val="es-ES_tradnl"/>
        </w:rPr>
      </w:pPr>
    </w:p>
    <w:p w:rsidR="0065322E" w:rsidRPr="0065322E" w:rsidRDefault="0065322E" w:rsidP="0065322E">
      <w:pPr>
        <w:pStyle w:val="Prrafodelista"/>
        <w:numPr>
          <w:ilvl w:val="0"/>
          <w:numId w:val="1"/>
        </w:numPr>
        <w:tabs>
          <w:tab w:val="left" w:pos="567"/>
        </w:tabs>
        <w:autoSpaceDE w:val="0"/>
        <w:autoSpaceDN w:val="0"/>
        <w:adjustRightInd w:val="0"/>
        <w:spacing w:after="0" w:line="240" w:lineRule="auto"/>
        <w:jc w:val="both"/>
        <w:rPr>
          <w:rFonts w:eastAsiaTheme="minorHAnsi" w:cs="Verdana"/>
          <w:szCs w:val="20"/>
          <w:lang w:val="es-ES_tradnl"/>
        </w:rPr>
      </w:pPr>
      <w:bookmarkStart w:id="27" w:name="_Ref406493509"/>
      <w:r>
        <w:rPr>
          <w:rFonts w:eastAsiaTheme="minorHAnsi" w:cs="Verdana"/>
          <w:szCs w:val="20"/>
          <w:lang w:val="es-ES_tradnl"/>
        </w:rPr>
        <w:t>Respecto a la solicitud del</w:t>
      </w:r>
      <w:r w:rsidR="005F081C">
        <w:rPr>
          <w:rFonts w:eastAsiaTheme="minorHAnsi" w:cs="Verdana"/>
          <w:szCs w:val="20"/>
          <w:lang w:val="es-ES_tradnl"/>
        </w:rPr>
        <w:t xml:space="preserve"> Estado </w:t>
      </w:r>
      <w:r w:rsidR="005F081C" w:rsidRPr="005F081C">
        <w:rPr>
          <w:rFonts w:cs="Verdana"/>
          <w:szCs w:val="20"/>
          <w:lang w:val="es-ES_tradnl"/>
        </w:rPr>
        <w:t>re</w:t>
      </w:r>
      <w:r w:rsidR="00FE1025">
        <w:rPr>
          <w:rFonts w:cs="Verdana"/>
          <w:szCs w:val="20"/>
          <w:lang w:val="es-ES_tradnl"/>
        </w:rPr>
        <w:t>lativa</w:t>
      </w:r>
      <w:r w:rsidR="005F081C" w:rsidRPr="005F081C">
        <w:rPr>
          <w:rFonts w:cs="Verdana"/>
          <w:szCs w:val="20"/>
          <w:lang w:val="es-ES_tradnl"/>
        </w:rPr>
        <w:t xml:space="preserve"> </w:t>
      </w:r>
      <w:r w:rsidR="00FE1025">
        <w:rPr>
          <w:rFonts w:cs="Verdana"/>
          <w:szCs w:val="20"/>
          <w:lang w:val="es-ES_tradnl"/>
        </w:rPr>
        <w:t>a</w:t>
      </w:r>
      <w:r w:rsidR="005F081C" w:rsidRPr="005F081C">
        <w:rPr>
          <w:rFonts w:cs="Verdana"/>
          <w:szCs w:val="20"/>
          <w:lang w:val="es-ES_tradnl"/>
        </w:rPr>
        <w:t xml:space="preserve">l cargo del declarante a título informativo Federico </w:t>
      </w:r>
      <w:r w:rsidR="005F081C" w:rsidRPr="005F081C">
        <w:rPr>
          <w:rFonts w:eastAsia="Times"/>
          <w:szCs w:val="20"/>
          <w:lang w:val="es-ES_tradnl"/>
        </w:rPr>
        <w:t xml:space="preserve">Javier </w:t>
      </w:r>
      <w:proofErr w:type="spellStart"/>
      <w:r w:rsidR="005F081C" w:rsidRPr="005F081C">
        <w:rPr>
          <w:rFonts w:eastAsia="Times"/>
          <w:szCs w:val="20"/>
          <w:lang w:val="es-ES_tradnl"/>
        </w:rPr>
        <w:t>Llaque</w:t>
      </w:r>
      <w:proofErr w:type="spellEnd"/>
      <w:r w:rsidR="005F081C" w:rsidRPr="005F081C">
        <w:rPr>
          <w:rFonts w:eastAsia="Times"/>
          <w:szCs w:val="20"/>
          <w:lang w:val="es-ES_tradnl"/>
        </w:rPr>
        <w:t xml:space="preserve"> Moya</w:t>
      </w:r>
      <w:r>
        <w:rPr>
          <w:rFonts w:eastAsia="Times"/>
          <w:szCs w:val="20"/>
          <w:lang w:val="es-ES_tradnl"/>
        </w:rPr>
        <w:t>, este</w:t>
      </w:r>
      <w:r w:rsidRPr="0065322E">
        <w:rPr>
          <w:rFonts w:eastAsia="Times"/>
          <w:szCs w:val="20"/>
          <w:lang w:val="es-ES_tradnl"/>
        </w:rPr>
        <w:t xml:space="preserve"> Tribunal nota que, efectivamente en el párrafo 268 de la Sentencia</w:t>
      </w:r>
      <w:r w:rsidR="00345D66">
        <w:rPr>
          <w:rStyle w:val="Refdenotaalpie"/>
          <w:rFonts w:eastAsia="Times"/>
          <w:szCs w:val="20"/>
          <w:lang w:val="es-ES_tradnl"/>
        </w:rPr>
        <w:footnoteReference w:id="18"/>
      </w:r>
      <w:r w:rsidRPr="0065322E">
        <w:rPr>
          <w:rFonts w:eastAsia="Times"/>
          <w:szCs w:val="20"/>
          <w:lang w:val="es-ES_tradnl"/>
        </w:rPr>
        <w:t xml:space="preserve"> se hace referencia al señor </w:t>
      </w:r>
      <w:r w:rsidRPr="0065322E">
        <w:rPr>
          <w:rFonts w:eastAsiaTheme="minorHAnsi" w:cs="Verdana"/>
          <w:szCs w:val="20"/>
          <w:lang w:val="es-ES_tradnl"/>
        </w:rPr>
        <w:t xml:space="preserve">Federico Javier </w:t>
      </w:r>
      <w:proofErr w:type="spellStart"/>
      <w:r w:rsidRPr="0065322E">
        <w:rPr>
          <w:rFonts w:eastAsiaTheme="minorHAnsi" w:cs="Verdana"/>
          <w:szCs w:val="20"/>
          <w:lang w:val="es-ES_tradnl"/>
        </w:rPr>
        <w:t>Llaque</w:t>
      </w:r>
      <w:proofErr w:type="spellEnd"/>
      <w:r w:rsidRPr="0065322E">
        <w:rPr>
          <w:rFonts w:eastAsiaTheme="minorHAnsi" w:cs="Verdana"/>
          <w:szCs w:val="20"/>
          <w:lang w:val="es-ES_tradnl"/>
        </w:rPr>
        <w:t xml:space="preserve"> Moya </w:t>
      </w:r>
      <w:r w:rsidRPr="0065322E">
        <w:rPr>
          <w:rFonts w:eastAsiaTheme="minorHAnsi" w:cs="Verdana"/>
          <w:szCs w:val="20"/>
          <w:lang w:val="es-ES_tradnl"/>
        </w:rPr>
        <w:lastRenderedPageBreak/>
        <w:t xml:space="preserve">como “Procurador Antiterrorismo”, mientras se identificaba como </w:t>
      </w:r>
      <w:r w:rsidRPr="0065322E">
        <w:rPr>
          <w:rFonts w:eastAsia="Times"/>
          <w:szCs w:val="20"/>
          <w:lang w:val="es-ES_tradnl"/>
        </w:rPr>
        <w:t>“Abogado de la Procuraduría Especializada para Delitos de Terrorismo” en el escrito de contestación del Estado y “Asesor del Procurador” en su correspondiente hoja de vida</w:t>
      </w:r>
      <w:r w:rsidRPr="00B27C76">
        <w:rPr>
          <w:rStyle w:val="Refdenotaalpie"/>
          <w:rFonts w:eastAsia="Times"/>
          <w:szCs w:val="20"/>
          <w:lang w:val="es-ES_tradnl"/>
        </w:rPr>
        <w:footnoteReference w:id="19"/>
      </w:r>
      <w:r w:rsidRPr="0065322E">
        <w:rPr>
          <w:rFonts w:eastAsia="Times"/>
          <w:szCs w:val="20"/>
          <w:lang w:val="es-ES_tradnl"/>
        </w:rPr>
        <w:t xml:space="preserve">. Por tanto, en aplicación del artículo 76 del Reglamento del Tribunal, este Tribunal procede a rectificar el </w:t>
      </w:r>
      <w:r w:rsidR="004745A3">
        <w:rPr>
          <w:rFonts w:eastAsia="Times"/>
          <w:szCs w:val="20"/>
          <w:lang w:val="es-ES_tradnl"/>
        </w:rPr>
        <w:t xml:space="preserve">nombre del </w:t>
      </w:r>
      <w:r w:rsidRPr="0065322E">
        <w:rPr>
          <w:rFonts w:eastAsia="Times"/>
          <w:szCs w:val="20"/>
          <w:lang w:val="es-ES_tradnl"/>
        </w:rPr>
        <w:t xml:space="preserve">cargo del señor </w:t>
      </w:r>
      <w:r w:rsidRPr="0065322E">
        <w:rPr>
          <w:rFonts w:eastAsiaTheme="minorHAnsi" w:cs="Verdana"/>
          <w:szCs w:val="20"/>
          <w:lang w:val="es-ES_tradnl"/>
        </w:rPr>
        <w:t xml:space="preserve">Federico Javier </w:t>
      </w:r>
      <w:proofErr w:type="spellStart"/>
      <w:r w:rsidRPr="0065322E">
        <w:rPr>
          <w:rFonts w:eastAsiaTheme="minorHAnsi" w:cs="Verdana"/>
          <w:szCs w:val="20"/>
          <w:lang w:val="es-ES_tradnl"/>
        </w:rPr>
        <w:t>Llaque</w:t>
      </w:r>
      <w:proofErr w:type="spellEnd"/>
      <w:r w:rsidRPr="0065322E">
        <w:rPr>
          <w:rFonts w:eastAsiaTheme="minorHAnsi" w:cs="Verdana"/>
          <w:szCs w:val="20"/>
          <w:lang w:val="es-ES_tradnl"/>
        </w:rPr>
        <w:t xml:space="preserve"> Moya contenido en el párrafo 268 de la Sentencia. </w:t>
      </w:r>
      <w:r w:rsidRPr="0065322E">
        <w:rPr>
          <w:rFonts w:cs="Arial"/>
          <w:szCs w:val="20"/>
          <w:lang w:val="es-ES_tradnl"/>
        </w:rPr>
        <w:t xml:space="preserve">Por consiguiente, se deja establecido con claridad que el declarante a título informativo actuaba como </w:t>
      </w:r>
      <w:r w:rsidRPr="0065322E">
        <w:rPr>
          <w:rFonts w:eastAsia="Times"/>
          <w:szCs w:val="20"/>
          <w:lang w:val="es-ES_tradnl"/>
        </w:rPr>
        <w:t>“Abogado de la Procuraduría Especializada para Delitos de Terrorismo”.</w:t>
      </w:r>
      <w:bookmarkEnd w:id="27"/>
    </w:p>
    <w:p w:rsidR="0065322E" w:rsidRPr="0065322E" w:rsidRDefault="0065322E" w:rsidP="0065322E">
      <w:pPr>
        <w:pStyle w:val="Prrafodelista"/>
        <w:rPr>
          <w:rFonts w:eastAsiaTheme="minorHAnsi" w:cs="Verdana"/>
          <w:szCs w:val="20"/>
          <w:lang w:val="es-ES_tradnl"/>
        </w:rPr>
      </w:pPr>
    </w:p>
    <w:p w:rsidR="002B059C" w:rsidRDefault="0065322E" w:rsidP="0065322E">
      <w:pPr>
        <w:pStyle w:val="Prrafodelista"/>
        <w:numPr>
          <w:ilvl w:val="0"/>
          <w:numId w:val="1"/>
        </w:numPr>
        <w:tabs>
          <w:tab w:val="left" w:pos="567"/>
        </w:tabs>
        <w:autoSpaceDE w:val="0"/>
        <w:autoSpaceDN w:val="0"/>
        <w:adjustRightInd w:val="0"/>
        <w:spacing w:after="0" w:line="240" w:lineRule="auto"/>
        <w:jc w:val="both"/>
        <w:rPr>
          <w:rFonts w:eastAsiaTheme="minorHAnsi" w:cs="Verdana"/>
          <w:szCs w:val="20"/>
          <w:lang w:val="es-ES_tradnl"/>
        </w:rPr>
      </w:pPr>
      <w:bookmarkStart w:id="28" w:name="_Ref403116127"/>
      <w:r>
        <w:rPr>
          <w:rFonts w:eastAsiaTheme="minorHAnsi" w:cs="Verdana"/>
          <w:szCs w:val="20"/>
          <w:lang w:val="es-ES_tradnl"/>
        </w:rPr>
        <w:t xml:space="preserve">Respecto a la solicitud </w:t>
      </w:r>
      <w:r w:rsidR="002B059C">
        <w:rPr>
          <w:rFonts w:eastAsiaTheme="minorHAnsi" w:cs="Verdana"/>
          <w:szCs w:val="20"/>
          <w:lang w:val="es-ES_tradnl"/>
        </w:rPr>
        <w:t>de aclaración relativa al párrafo 87 de la Sentencia</w:t>
      </w:r>
      <w:r w:rsidR="002B059C">
        <w:rPr>
          <w:rStyle w:val="Refdenotaalpie"/>
          <w:rFonts w:eastAsiaTheme="minorHAnsi" w:cs="Verdana"/>
          <w:szCs w:val="20"/>
          <w:lang w:val="es-ES_tradnl"/>
        </w:rPr>
        <w:footnoteReference w:id="20"/>
      </w:r>
      <w:r w:rsidR="002B059C">
        <w:rPr>
          <w:rFonts w:eastAsiaTheme="minorHAnsi" w:cs="Verdana"/>
          <w:szCs w:val="20"/>
          <w:lang w:val="es-ES_tradnl"/>
        </w:rPr>
        <w:t>, la representante señaló que</w:t>
      </w:r>
      <w:r w:rsidR="00EE178E">
        <w:rPr>
          <w:rFonts w:eastAsiaTheme="minorHAnsi" w:cs="Verdana"/>
          <w:szCs w:val="20"/>
          <w:lang w:val="es-ES_tradnl"/>
        </w:rPr>
        <w:t xml:space="preserve"> en dicho párrafo</w:t>
      </w:r>
      <w:r w:rsidR="002B059C" w:rsidRPr="002B059C">
        <w:rPr>
          <w:rFonts w:eastAsia="Times"/>
          <w:color w:val="000000"/>
          <w:szCs w:val="20"/>
          <w:lang w:val="es-ES_tradnl"/>
        </w:rPr>
        <w:t xml:space="preserve"> </w:t>
      </w:r>
      <w:r w:rsidR="002B059C" w:rsidRPr="00B27C76">
        <w:rPr>
          <w:rFonts w:eastAsia="Times"/>
          <w:color w:val="000000"/>
          <w:szCs w:val="20"/>
          <w:lang w:val="es-ES_tradnl"/>
        </w:rPr>
        <w:t xml:space="preserve">se incurrió en un error material en tanto la madre y hermana de la señora J. no fueron conducidas al inmueble de Las Esmeraldas sino </w:t>
      </w:r>
      <w:r w:rsidR="00D35332" w:rsidRPr="00B27C76">
        <w:rPr>
          <w:rFonts w:eastAsia="Times"/>
          <w:color w:val="000000"/>
          <w:szCs w:val="20"/>
          <w:lang w:val="es-ES_tradnl"/>
        </w:rPr>
        <w:t>al inmueble en la calle Casimiro Negrón</w:t>
      </w:r>
      <w:r w:rsidR="002B059C" w:rsidRPr="00B27C76">
        <w:rPr>
          <w:rFonts w:eastAsia="Times"/>
          <w:color w:val="000000"/>
          <w:szCs w:val="20"/>
          <w:lang w:val="es-ES_tradnl"/>
        </w:rPr>
        <w:t>.</w:t>
      </w:r>
      <w:r w:rsidR="00EE178E">
        <w:rPr>
          <w:rFonts w:eastAsia="Times"/>
          <w:color w:val="000000"/>
          <w:szCs w:val="20"/>
          <w:lang w:val="es-ES_tradnl"/>
        </w:rPr>
        <w:t xml:space="preserve"> </w:t>
      </w:r>
      <w:r w:rsidR="00EE178E" w:rsidRPr="00B27C76">
        <w:rPr>
          <w:rFonts w:eastAsia="Times"/>
          <w:color w:val="000000"/>
          <w:szCs w:val="20"/>
          <w:lang w:val="es-ES_tradnl"/>
        </w:rPr>
        <w:t>Este Tribunal advierte que la declaración de la madre de la señora J.</w:t>
      </w:r>
      <w:r w:rsidR="00EE178E">
        <w:rPr>
          <w:rFonts w:eastAsia="Times"/>
          <w:color w:val="000000"/>
          <w:szCs w:val="20"/>
          <w:lang w:val="es-ES_tradnl"/>
        </w:rPr>
        <w:t>, utilizada como prueba</w:t>
      </w:r>
      <w:r w:rsidR="006D4CDE">
        <w:rPr>
          <w:rFonts w:eastAsia="Times"/>
          <w:color w:val="000000"/>
          <w:szCs w:val="20"/>
          <w:lang w:val="es-ES_tradnl"/>
        </w:rPr>
        <w:t xml:space="preserve"> en este caso</w:t>
      </w:r>
      <w:r w:rsidR="00EE178E">
        <w:rPr>
          <w:rFonts w:eastAsia="Times"/>
          <w:color w:val="000000"/>
          <w:szCs w:val="20"/>
          <w:lang w:val="es-ES_tradnl"/>
        </w:rPr>
        <w:t>,</w:t>
      </w:r>
      <w:r w:rsidR="00EE178E" w:rsidRPr="00B27C76">
        <w:rPr>
          <w:rFonts w:eastAsia="Times"/>
          <w:color w:val="000000"/>
          <w:szCs w:val="20"/>
          <w:lang w:val="es-ES_tradnl"/>
        </w:rPr>
        <w:t xml:space="preserve"> no es muy clara en cuanto a la secuencia de los hechos y los lugares donde se encontraban y a dónde fueron o las llevaron</w:t>
      </w:r>
      <w:r w:rsidR="00EE178E">
        <w:rPr>
          <w:rFonts w:eastAsia="Times"/>
          <w:color w:val="000000"/>
          <w:szCs w:val="20"/>
          <w:lang w:val="es-ES_tradnl"/>
        </w:rPr>
        <w:t xml:space="preserve">. </w:t>
      </w:r>
      <w:r w:rsidR="00EE178E" w:rsidRPr="00B27C76">
        <w:rPr>
          <w:rFonts w:eastAsia="Times"/>
          <w:color w:val="000000"/>
          <w:szCs w:val="20"/>
          <w:lang w:val="es-ES_tradnl"/>
        </w:rPr>
        <w:t>Sin embargo en atención a lo señalado por la representante en esta oportunidad</w:t>
      </w:r>
      <w:r w:rsidR="00EE178E">
        <w:rPr>
          <w:rFonts w:eastAsia="Times"/>
          <w:color w:val="000000"/>
          <w:szCs w:val="20"/>
          <w:lang w:val="es-ES_tradnl"/>
        </w:rPr>
        <w:t xml:space="preserve"> y en aplicación del artículo 76 del Reglamento</w:t>
      </w:r>
      <w:r w:rsidR="00EE178E" w:rsidRPr="00B27C76">
        <w:rPr>
          <w:rFonts w:eastAsia="Times"/>
          <w:color w:val="000000"/>
          <w:szCs w:val="20"/>
          <w:lang w:val="es-ES_tradnl"/>
        </w:rPr>
        <w:t xml:space="preserve">, la Corte considera pertinente rectificar la referencia al inmueble de </w:t>
      </w:r>
      <w:r w:rsidR="006D4CDE">
        <w:rPr>
          <w:rFonts w:eastAsia="Times"/>
          <w:color w:val="000000"/>
          <w:szCs w:val="20"/>
          <w:lang w:val="es-ES_tradnl"/>
        </w:rPr>
        <w:t>L</w:t>
      </w:r>
      <w:r w:rsidR="00EE178E" w:rsidRPr="00B27C76">
        <w:rPr>
          <w:rFonts w:eastAsia="Times"/>
          <w:color w:val="000000"/>
          <w:szCs w:val="20"/>
          <w:lang w:val="es-ES_tradnl"/>
        </w:rPr>
        <w:t>as Esmeraldas en el párrafo 87 de la Sentencia de forma tal de reflejar que la madre de la señora J. y su hermana fueron conducidas “al inmueble donde tenía [su] negocio”</w:t>
      </w:r>
      <w:r w:rsidR="004729E8">
        <w:rPr>
          <w:rFonts w:eastAsia="Times"/>
          <w:color w:val="000000"/>
          <w:szCs w:val="20"/>
          <w:lang w:val="es-ES_tradnl"/>
        </w:rPr>
        <w:t>,</w:t>
      </w:r>
      <w:r w:rsidR="001F7685">
        <w:rPr>
          <w:rFonts w:eastAsia="Times"/>
          <w:color w:val="000000"/>
          <w:szCs w:val="20"/>
          <w:lang w:val="es-ES_tradnl"/>
        </w:rPr>
        <w:t xml:space="preserve"> como lo expresó la madre de la señora J. en su declaración. </w:t>
      </w:r>
      <w:bookmarkEnd w:id="28"/>
    </w:p>
    <w:p w:rsidR="00374259" w:rsidRPr="00FE1025" w:rsidRDefault="00374259" w:rsidP="00374259">
      <w:pPr>
        <w:pStyle w:val="Sinespaciado"/>
        <w:jc w:val="both"/>
        <w:rPr>
          <w:rFonts w:ascii="Verdana" w:hAnsi="Verdana" w:cs="Verdana"/>
          <w:b/>
          <w:sz w:val="20"/>
          <w:szCs w:val="20"/>
          <w:lang w:val="es-ES_tradnl"/>
        </w:rPr>
      </w:pPr>
    </w:p>
    <w:p w:rsidR="00374259" w:rsidRPr="00FE1025" w:rsidRDefault="00374259" w:rsidP="00374259">
      <w:pPr>
        <w:numPr>
          <w:ilvl w:val="0"/>
          <w:numId w:val="1"/>
        </w:numPr>
        <w:tabs>
          <w:tab w:val="left" w:pos="567"/>
        </w:tabs>
        <w:autoSpaceDE w:val="0"/>
        <w:autoSpaceDN w:val="0"/>
        <w:adjustRightInd w:val="0"/>
        <w:spacing w:after="0" w:line="240" w:lineRule="auto"/>
        <w:jc w:val="both"/>
        <w:rPr>
          <w:rFonts w:cs="Arial"/>
          <w:szCs w:val="20"/>
          <w:lang w:val="es-ES_tradnl"/>
        </w:rPr>
      </w:pPr>
      <w:r>
        <w:rPr>
          <w:rFonts w:cs="Arial"/>
          <w:szCs w:val="20"/>
          <w:lang w:val="es-ES_tradnl"/>
        </w:rPr>
        <w:t>A</w:t>
      </w:r>
      <w:r w:rsidRPr="00FE1025">
        <w:rPr>
          <w:rFonts w:cs="Arial"/>
          <w:szCs w:val="20"/>
          <w:lang w:val="es-ES_tradnl"/>
        </w:rPr>
        <w:t xml:space="preserve"> efectos de la eventual publicación y difusión de la Sentencia, se dispone la remisión a las partes y a la Comisión de una versión corregida de la Sentencia con la rectificación pertinente de los errores materiales constatados</w:t>
      </w:r>
      <w:r w:rsidR="004745A3">
        <w:rPr>
          <w:rFonts w:cs="Arial"/>
          <w:szCs w:val="20"/>
          <w:lang w:val="es-ES_tradnl"/>
        </w:rPr>
        <w:t xml:space="preserve"> (</w:t>
      </w:r>
      <w:r w:rsidR="004745A3">
        <w:rPr>
          <w:rFonts w:cs="Arial"/>
          <w:i/>
          <w:szCs w:val="20"/>
          <w:lang w:val="es-ES_tradnl"/>
        </w:rPr>
        <w:t xml:space="preserve">supra </w:t>
      </w:r>
      <w:proofErr w:type="spellStart"/>
      <w:r w:rsidR="004745A3">
        <w:rPr>
          <w:rFonts w:cs="Arial"/>
          <w:szCs w:val="20"/>
          <w:lang w:val="es-ES_tradnl"/>
        </w:rPr>
        <w:t>párrs</w:t>
      </w:r>
      <w:proofErr w:type="spellEnd"/>
      <w:r w:rsidR="004745A3">
        <w:rPr>
          <w:rFonts w:cs="Arial"/>
          <w:szCs w:val="20"/>
          <w:lang w:val="es-ES_tradnl"/>
        </w:rPr>
        <w:t xml:space="preserve">. </w:t>
      </w:r>
      <w:r w:rsidR="00C62C4C">
        <w:rPr>
          <w:rFonts w:cs="Arial"/>
          <w:szCs w:val="20"/>
          <w:lang w:val="es-ES_tradnl"/>
        </w:rPr>
        <w:fldChar w:fldCharType="begin"/>
      </w:r>
      <w:r w:rsidR="004745A3">
        <w:rPr>
          <w:rFonts w:cs="Arial"/>
          <w:szCs w:val="20"/>
          <w:lang w:val="es-ES_tradnl"/>
        </w:rPr>
        <w:instrText xml:space="preserve"> REF _Ref406493509 \r \h </w:instrText>
      </w:r>
      <w:r w:rsidR="00C62C4C">
        <w:rPr>
          <w:rFonts w:cs="Arial"/>
          <w:szCs w:val="20"/>
          <w:lang w:val="es-ES_tradnl"/>
        </w:rPr>
      </w:r>
      <w:r w:rsidR="00C62C4C">
        <w:rPr>
          <w:rFonts w:cs="Arial"/>
          <w:szCs w:val="20"/>
          <w:lang w:val="es-ES_tradnl"/>
        </w:rPr>
        <w:fldChar w:fldCharType="separate"/>
      </w:r>
      <w:r w:rsidR="002D145C">
        <w:rPr>
          <w:rFonts w:cs="Arial"/>
          <w:szCs w:val="20"/>
          <w:lang w:val="es-ES_tradnl"/>
        </w:rPr>
        <w:t>37</w:t>
      </w:r>
      <w:r w:rsidR="00C62C4C">
        <w:rPr>
          <w:rFonts w:cs="Arial"/>
          <w:szCs w:val="20"/>
          <w:lang w:val="es-ES_tradnl"/>
        </w:rPr>
        <w:fldChar w:fldCharType="end"/>
      </w:r>
      <w:r w:rsidR="004745A3">
        <w:rPr>
          <w:rFonts w:cs="Arial"/>
          <w:szCs w:val="20"/>
          <w:lang w:val="es-ES_tradnl"/>
        </w:rPr>
        <w:t xml:space="preserve"> y </w:t>
      </w:r>
      <w:r w:rsidR="00C62C4C">
        <w:rPr>
          <w:rFonts w:cs="Arial"/>
          <w:szCs w:val="20"/>
          <w:lang w:val="es-ES_tradnl"/>
        </w:rPr>
        <w:fldChar w:fldCharType="begin"/>
      </w:r>
      <w:r w:rsidR="004745A3">
        <w:rPr>
          <w:rFonts w:cs="Arial"/>
          <w:szCs w:val="20"/>
          <w:lang w:val="es-ES_tradnl"/>
        </w:rPr>
        <w:instrText xml:space="preserve"> REF _Ref403116127 \r \h </w:instrText>
      </w:r>
      <w:r w:rsidR="00C62C4C">
        <w:rPr>
          <w:rFonts w:cs="Arial"/>
          <w:szCs w:val="20"/>
          <w:lang w:val="es-ES_tradnl"/>
        </w:rPr>
      </w:r>
      <w:r w:rsidR="00C62C4C">
        <w:rPr>
          <w:rFonts w:cs="Arial"/>
          <w:szCs w:val="20"/>
          <w:lang w:val="es-ES_tradnl"/>
        </w:rPr>
        <w:fldChar w:fldCharType="separate"/>
      </w:r>
      <w:r w:rsidR="002D145C">
        <w:rPr>
          <w:rFonts w:cs="Arial"/>
          <w:szCs w:val="20"/>
          <w:lang w:val="es-ES_tradnl"/>
        </w:rPr>
        <w:t>38</w:t>
      </w:r>
      <w:r w:rsidR="00C62C4C">
        <w:rPr>
          <w:rFonts w:cs="Arial"/>
          <w:szCs w:val="20"/>
          <w:lang w:val="es-ES_tradnl"/>
        </w:rPr>
        <w:fldChar w:fldCharType="end"/>
      </w:r>
      <w:r w:rsidR="004745A3">
        <w:rPr>
          <w:rFonts w:cs="Arial"/>
          <w:szCs w:val="20"/>
          <w:lang w:val="es-ES_tradnl"/>
        </w:rPr>
        <w:t>)</w:t>
      </w:r>
      <w:r w:rsidRPr="00FE1025">
        <w:rPr>
          <w:rFonts w:cs="Arial"/>
          <w:szCs w:val="20"/>
          <w:lang w:val="es-ES_tradnl"/>
        </w:rPr>
        <w:t>. Sin perjuicio de lo anterior, este Tribunal recuerda que, de conformidad con el artículo 68 del Reglamento, la interpretación de una sentencia no suspende su ejecución, por lo cual los plazos dispuestos en la Sentencia deberán contarse a partir de la notificación de la versión original de dicha decisión, es decir, a partir del 23 de diciembre de 2013, teniendo en cuenta que la</w:t>
      </w:r>
      <w:r w:rsidR="004312CE">
        <w:rPr>
          <w:rFonts w:cs="Arial"/>
          <w:szCs w:val="20"/>
          <w:lang w:val="es-ES_tradnl"/>
        </w:rPr>
        <w:t>s</w:t>
      </w:r>
      <w:r w:rsidRPr="00FE1025">
        <w:rPr>
          <w:rFonts w:cs="Arial"/>
          <w:szCs w:val="20"/>
          <w:lang w:val="es-ES_tradnl"/>
        </w:rPr>
        <w:t xml:space="preserve"> rectificaci</w:t>
      </w:r>
      <w:r w:rsidR="004312CE">
        <w:rPr>
          <w:rFonts w:cs="Arial"/>
          <w:szCs w:val="20"/>
          <w:lang w:val="es-ES_tradnl"/>
        </w:rPr>
        <w:t>ones</w:t>
      </w:r>
      <w:r w:rsidRPr="00FE1025">
        <w:rPr>
          <w:rFonts w:cs="Arial"/>
          <w:szCs w:val="20"/>
          <w:lang w:val="es-ES_tradnl"/>
        </w:rPr>
        <w:t xml:space="preserve"> realizada</w:t>
      </w:r>
      <w:r w:rsidR="004312CE">
        <w:rPr>
          <w:rFonts w:cs="Arial"/>
          <w:szCs w:val="20"/>
          <w:lang w:val="es-ES_tradnl"/>
        </w:rPr>
        <w:t>s</w:t>
      </w:r>
      <w:r w:rsidRPr="00FE1025">
        <w:rPr>
          <w:rFonts w:cs="Arial"/>
          <w:szCs w:val="20"/>
          <w:lang w:val="es-ES_tradnl"/>
        </w:rPr>
        <w:t xml:space="preserve"> no afecta</w:t>
      </w:r>
      <w:r w:rsidR="004312CE">
        <w:rPr>
          <w:rFonts w:cs="Arial"/>
          <w:szCs w:val="20"/>
          <w:lang w:val="es-ES_tradnl"/>
        </w:rPr>
        <w:t>n</w:t>
      </w:r>
      <w:r w:rsidRPr="00FE1025">
        <w:rPr>
          <w:rFonts w:cs="Arial"/>
          <w:szCs w:val="20"/>
          <w:lang w:val="es-ES_tradnl"/>
        </w:rPr>
        <w:t xml:space="preserve"> el cumplimiento por parte del Estado de las medidas de reparación allí establecidas. </w:t>
      </w:r>
    </w:p>
    <w:p w:rsidR="00374259" w:rsidRPr="00B27C76" w:rsidRDefault="00374259" w:rsidP="00EE178E">
      <w:pPr>
        <w:tabs>
          <w:tab w:val="left" w:pos="567"/>
        </w:tabs>
        <w:autoSpaceDE w:val="0"/>
        <w:autoSpaceDN w:val="0"/>
        <w:adjustRightInd w:val="0"/>
        <w:spacing w:after="0" w:line="240" w:lineRule="auto"/>
        <w:jc w:val="both"/>
        <w:rPr>
          <w:rFonts w:eastAsia="Times"/>
          <w:color w:val="000000"/>
          <w:szCs w:val="20"/>
          <w:lang w:val="es-ES_tradnl"/>
        </w:rPr>
      </w:pPr>
    </w:p>
    <w:p w:rsidR="00EE178E" w:rsidRPr="00B27C76" w:rsidRDefault="00374259" w:rsidP="00EE178E">
      <w:pPr>
        <w:numPr>
          <w:ilvl w:val="0"/>
          <w:numId w:val="1"/>
        </w:numPr>
        <w:tabs>
          <w:tab w:val="left" w:pos="567"/>
          <w:tab w:val="num" w:pos="720"/>
        </w:tabs>
        <w:autoSpaceDE w:val="0"/>
        <w:autoSpaceDN w:val="0"/>
        <w:adjustRightInd w:val="0"/>
        <w:spacing w:after="0" w:line="240" w:lineRule="auto"/>
        <w:jc w:val="both"/>
        <w:rPr>
          <w:rFonts w:eastAsia="Times"/>
          <w:color w:val="000000"/>
          <w:szCs w:val="20"/>
          <w:lang w:val="es-ES_tradnl"/>
        </w:rPr>
      </w:pPr>
      <w:bookmarkStart w:id="29" w:name="_Ref406494322"/>
      <w:r>
        <w:rPr>
          <w:rFonts w:eastAsia="Times"/>
          <w:color w:val="000000"/>
          <w:szCs w:val="20"/>
          <w:lang w:val="es-ES_tradnl"/>
        </w:rPr>
        <w:t>Por otra parte</w:t>
      </w:r>
      <w:r w:rsidR="00EE178E" w:rsidRPr="00B27C76">
        <w:rPr>
          <w:rFonts w:eastAsia="Times"/>
          <w:color w:val="000000"/>
          <w:szCs w:val="20"/>
          <w:lang w:val="es-ES_tradnl"/>
        </w:rPr>
        <w:t>, la Corte nota que, además de la rectificación de un error material</w:t>
      </w:r>
      <w:r>
        <w:rPr>
          <w:rFonts w:eastAsia="Times"/>
          <w:color w:val="000000"/>
          <w:szCs w:val="20"/>
          <w:lang w:val="es-ES_tradnl"/>
        </w:rPr>
        <w:t xml:space="preserve"> en el párrafo 87</w:t>
      </w:r>
      <w:r w:rsidR="006E12F7">
        <w:rPr>
          <w:rFonts w:eastAsia="Times"/>
          <w:color w:val="000000"/>
          <w:szCs w:val="20"/>
          <w:lang w:val="es-ES_tradnl"/>
        </w:rPr>
        <w:t xml:space="preserve"> de la Sentencia</w:t>
      </w:r>
      <w:r>
        <w:rPr>
          <w:rFonts w:eastAsia="Times"/>
          <w:color w:val="000000"/>
          <w:szCs w:val="20"/>
          <w:lang w:val="es-ES_tradnl"/>
        </w:rPr>
        <w:t xml:space="preserve"> (</w:t>
      </w:r>
      <w:r>
        <w:rPr>
          <w:rFonts w:eastAsia="Times"/>
          <w:i/>
          <w:color w:val="000000"/>
          <w:szCs w:val="20"/>
          <w:lang w:val="es-ES_tradnl"/>
        </w:rPr>
        <w:t xml:space="preserve">supra </w:t>
      </w:r>
      <w:r>
        <w:rPr>
          <w:rFonts w:eastAsia="Times"/>
          <w:color w:val="000000"/>
          <w:szCs w:val="20"/>
          <w:lang w:val="es-ES_tradnl"/>
        </w:rPr>
        <w:t xml:space="preserve">párr. </w:t>
      </w:r>
      <w:r w:rsidR="00C62C4C">
        <w:rPr>
          <w:rFonts w:eastAsia="Times"/>
          <w:color w:val="000000"/>
          <w:szCs w:val="20"/>
          <w:lang w:val="es-ES_tradnl"/>
        </w:rPr>
        <w:fldChar w:fldCharType="begin"/>
      </w:r>
      <w:r>
        <w:rPr>
          <w:rFonts w:eastAsia="Times"/>
          <w:color w:val="000000"/>
          <w:szCs w:val="20"/>
          <w:lang w:val="es-ES_tradnl"/>
        </w:rPr>
        <w:instrText xml:space="preserve"> REF _Ref403116127 \r \h </w:instrText>
      </w:r>
      <w:r w:rsidR="00C62C4C">
        <w:rPr>
          <w:rFonts w:eastAsia="Times"/>
          <w:color w:val="000000"/>
          <w:szCs w:val="20"/>
          <w:lang w:val="es-ES_tradnl"/>
        </w:rPr>
      </w:r>
      <w:r w:rsidR="00C62C4C">
        <w:rPr>
          <w:rFonts w:eastAsia="Times"/>
          <w:color w:val="000000"/>
          <w:szCs w:val="20"/>
          <w:lang w:val="es-ES_tradnl"/>
        </w:rPr>
        <w:fldChar w:fldCharType="separate"/>
      </w:r>
      <w:r w:rsidR="002D145C">
        <w:rPr>
          <w:rFonts w:eastAsia="Times"/>
          <w:color w:val="000000"/>
          <w:szCs w:val="20"/>
          <w:lang w:val="es-ES_tradnl"/>
        </w:rPr>
        <w:t>38</w:t>
      </w:r>
      <w:r w:rsidR="00C62C4C">
        <w:rPr>
          <w:rFonts w:eastAsia="Times"/>
          <w:color w:val="000000"/>
          <w:szCs w:val="20"/>
          <w:lang w:val="es-ES_tradnl"/>
        </w:rPr>
        <w:fldChar w:fldCharType="end"/>
      </w:r>
      <w:r>
        <w:rPr>
          <w:rFonts w:eastAsia="Times"/>
          <w:color w:val="000000"/>
          <w:szCs w:val="20"/>
          <w:lang w:val="es-ES_tradnl"/>
        </w:rPr>
        <w:t>)</w:t>
      </w:r>
      <w:r w:rsidR="00EE178E" w:rsidRPr="00B27C76">
        <w:rPr>
          <w:rFonts w:eastAsia="Times"/>
          <w:color w:val="000000"/>
          <w:szCs w:val="20"/>
          <w:lang w:val="es-ES_tradnl"/>
        </w:rPr>
        <w:t>, la representante solicitó que se aclare su “implicancia” en el razonamiento de la Corte en el párrafo 147 de la Sentencia. Este Tribunal recuerda que, al emitir su fallo en el presente caso determinó que el Estado no violó el derecho a la protección del domicilio de la señora J., con respecto a este primer allanamiento en el inmueble de la calle Casimiro Negrón, exponiendo lo siguiente:</w:t>
      </w:r>
      <w:bookmarkEnd w:id="29"/>
      <w:r w:rsidR="00EE178E" w:rsidRPr="00B27C76">
        <w:rPr>
          <w:rFonts w:eastAsia="Times"/>
          <w:color w:val="000000"/>
          <w:szCs w:val="20"/>
          <w:lang w:val="es-ES_tradnl"/>
        </w:rPr>
        <w:t xml:space="preserve"> </w:t>
      </w:r>
    </w:p>
    <w:p w:rsidR="00EE178E" w:rsidRPr="00B27C76" w:rsidRDefault="00EE178E" w:rsidP="00EE178E">
      <w:pPr>
        <w:tabs>
          <w:tab w:val="left" w:pos="567"/>
        </w:tabs>
        <w:autoSpaceDE w:val="0"/>
        <w:autoSpaceDN w:val="0"/>
        <w:adjustRightInd w:val="0"/>
        <w:spacing w:after="0" w:line="240" w:lineRule="auto"/>
        <w:jc w:val="both"/>
        <w:rPr>
          <w:rFonts w:eastAsia="Times"/>
          <w:color w:val="000000"/>
          <w:szCs w:val="20"/>
          <w:lang w:val="es-ES_tradnl"/>
        </w:rPr>
      </w:pPr>
    </w:p>
    <w:p w:rsidR="00EE178E" w:rsidRPr="00B27C76" w:rsidRDefault="00EE178E" w:rsidP="00EE178E">
      <w:pPr>
        <w:tabs>
          <w:tab w:val="num" w:pos="11595"/>
        </w:tabs>
        <w:autoSpaceDE w:val="0"/>
        <w:autoSpaceDN w:val="0"/>
        <w:adjustRightInd w:val="0"/>
        <w:spacing w:after="0" w:line="240" w:lineRule="auto"/>
        <w:ind w:left="720" w:right="198"/>
        <w:jc w:val="both"/>
        <w:rPr>
          <w:b/>
          <w:spacing w:val="-2"/>
          <w:sz w:val="16"/>
          <w:szCs w:val="16"/>
          <w:lang w:val="es-ES_tradnl"/>
        </w:rPr>
      </w:pPr>
      <w:bookmarkStart w:id="30" w:name="_Ref375137948"/>
      <w:r w:rsidRPr="00B27C76">
        <w:rPr>
          <w:spacing w:val="-2"/>
          <w:sz w:val="16"/>
          <w:szCs w:val="16"/>
          <w:lang w:val="es-ES_tradnl"/>
        </w:rPr>
        <w:t xml:space="preserve">146. En relación con el primer allanamiento al domicilio ubicado en la calle Casimiro Negrón, la Corte nota que según el acta de allanamiento, el registro se realizó con la autorización de la madre </w:t>
      </w:r>
      <w:r w:rsidRPr="00B27C76">
        <w:rPr>
          <w:spacing w:val="-2"/>
          <w:sz w:val="16"/>
          <w:szCs w:val="16"/>
          <w:lang w:val="es-ES_tradnl"/>
        </w:rPr>
        <w:lastRenderedPageBreak/>
        <w:t>de J., quien firmó dicha acta. La madre de J. indicó que “[la] quisieron hacer firmar unos papeles. Decían que eran papeles incautados: había una lista”. Declaró además que su hija menor se había negado a firmar el acta, por lo que la habrían detenido. El Estado no cuestionó la veracidad de la declaración de la madre de la señora J., mientras que la negativa de la hermana menor de J. a firmar el acta y su detención consta en el expediente del presente caso (</w:t>
      </w:r>
      <w:r w:rsidRPr="00B27C76">
        <w:rPr>
          <w:i/>
          <w:spacing w:val="-2"/>
          <w:sz w:val="16"/>
          <w:szCs w:val="16"/>
          <w:lang w:val="es-ES_tradnl"/>
        </w:rPr>
        <w:t xml:space="preserve">supra </w:t>
      </w:r>
      <w:proofErr w:type="spellStart"/>
      <w:r w:rsidRPr="00B27C76">
        <w:rPr>
          <w:spacing w:val="-2"/>
          <w:sz w:val="16"/>
          <w:szCs w:val="16"/>
          <w:lang w:val="es-ES_tradnl"/>
        </w:rPr>
        <w:t>párrs</w:t>
      </w:r>
      <w:proofErr w:type="spellEnd"/>
      <w:r w:rsidRPr="00B27C76">
        <w:rPr>
          <w:spacing w:val="-2"/>
          <w:sz w:val="16"/>
          <w:szCs w:val="16"/>
          <w:lang w:val="es-ES_tradnl"/>
        </w:rPr>
        <w:t>. 87 y</w:t>
      </w:r>
      <w:r w:rsidRPr="00B27C76">
        <w:rPr>
          <w:sz w:val="16"/>
          <w:szCs w:val="16"/>
          <w:lang w:val="es-ES_tradnl"/>
        </w:rPr>
        <w:t xml:space="preserve"> 89</w:t>
      </w:r>
      <w:r w:rsidRPr="00B27C76">
        <w:rPr>
          <w:spacing w:val="-2"/>
          <w:sz w:val="16"/>
          <w:szCs w:val="16"/>
          <w:lang w:val="es-ES_tradnl"/>
        </w:rPr>
        <w:t>). Por su parte, la presunta víctima declaró a nivel interno que su madre habría firmado un acta bajo presión</w:t>
      </w:r>
      <w:r w:rsidRPr="00B27C76">
        <w:rPr>
          <w:bCs/>
          <w:spacing w:val="-2"/>
          <w:sz w:val="16"/>
          <w:szCs w:val="16"/>
          <w:lang w:val="es-ES_tradnl"/>
        </w:rPr>
        <w:t xml:space="preserve">, lo cual podría coincidir con lo señalado por la CVR en cuanto a que </w:t>
      </w:r>
      <w:r w:rsidRPr="00B27C76">
        <w:rPr>
          <w:color w:val="000000"/>
          <w:spacing w:val="-2"/>
          <w:sz w:val="16"/>
          <w:szCs w:val="16"/>
          <w:lang w:val="es-ES_tradnl"/>
        </w:rPr>
        <w:t xml:space="preserve">muchos de los testigos habían afirmado que no pudieron leer las actas que se realizaban en los registros y que “la víctima o sus familiares eran conminados a </w:t>
      </w:r>
      <w:proofErr w:type="gramStart"/>
      <w:r w:rsidRPr="00B27C76">
        <w:rPr>
          <w:color w:val="000000"/>
          <w:spacing w:val="-2"/>
          <w:sz w:val="16"/>
          <w:szCs w:val="16"/>
          <w:lang w:val="es-ES_tradnl"/>
        </w:rPr>
        <w:t>firma[</w:t>
      </w:r>
      <w:proofErr w:type="gramEnd"/>
      <w:r w:rsidRPr="00B27C76">
        <w:rPr>
          <w:color w:val="000000"/>
          <w:spacing w:val="-2"/>
          <w:sz w:val="16"/>
          <w:szCs w:val="16"/>
          <w:lang w:val="es-ES_tradnl"/>
        </w:rPr>
        <w:t>las]”.</w:t>
      </w:r>
      <w:bookmarkEnd w:id="30"/>
    </w:p>
    <w:p w:rsidR="00EE178E" w:rsidRPr="00B27C76" w:rsidRDefault="00EE178E" w:rsidP="00EE178E">
      <w:pPr>
        <w:tabs>
          <w:tab w:val="num" w:pos="11595"/>
        </w:tabs>
        <w:autoSpaceDE w:val="0"/>
        <w:autoSpaceDN w:val="0"/>
        <w:adjustRightInd w:val="0"/>
        <w:spacing w:after="0" w:line="240" w:lineRule="auto"/>
        <w:ind w:left="720" w:right="198"/>
        <w:jc w:val="both"/>
        <w:rPr>
          <w:rFonts w:eastAsiaTheme="minorHAnsi" w:cs="Verdana"/>
          <w:sz w:val="16"/>
          <w:szCs w:val="16"/>
          <w:lang w:val="es-ES_tradnl"/>
        </w:rPr>
      </w:pPr>
    </w:p>
    <w:p w:rsidR="00EE178E" w:rsidRPr="00B27C76" w:rsidRDefault="00EE178E" w:rsidP="00EE178E">
      <w:pPr>
        <w:tabs>
          <w:tab w:val="num" w:pos="11595"/>
        </w:tabs>
        <w:autoSpaceDE w:val="0"/>
        <w:autoSpaceDN w:val="0"/>
        <w:adjustRightInd w:val="0"/>
        <w:spacing w:after="0" w:line="240" w:lineRule="auto"/>
        <w:ind w:left="720" w:right="198"/>
        <w:jc w:val="both"/>
        <w:rPr>
          <w:rFonts w:eastAsiaTheme="minorHAnsi" w:cs="Verdana"/>
          <w:sz w:val="16"/>
          <w:szCs w:val="16"/>
          <w:lang w:val="es-ES_tradnl"/>
        </w:rPr>
      </w:pPr>
      <w:r w:rsidRPr="00B27C76">
        <w:rPr>
          <w:rFonts w:eastAsiaTheme="minorHAnsi" w:cs="Verdana"/>
          <w:sz w:val="16"/>
          <w:szCs w:val="16"/>
          <w:lang w:val="es-ES_tradnl"/>
        </w:rPr>
        <w:t>147. Sin perjuicio de lo anterior, la Corte resalta que la madre de J. no negó en su declaración que hubiese autorizado dicho registro. Asimismo, es necesario recordar que la declaración de la presunta víctima no puede ser valorada aisladamente sino dentro del conjunto de las pruebas del proceso. De igual forma, en relación con la declaración de la madre de J., este Tribunal estima que por tratarse de un familiar de la presunta víctima y tener un interés directo en este caso, sus manifestaciones no pueden ser valoradas aisladamente, sino dentro del conjunto de las pruebas del proceso. Por tanto, la Corte considera que no cuenta con elementos suficientes para desvirtuar el hecho que, de acuerdo al acta de registro correspondiente, la madre de J. autorizó la entrada de los funcionarios policiales a su vivienda y, por tanto, concluye que el allanamiento al domicilio de la señora J. en la calle Casimiro Negrón no violó el artículo 11.2 de la Convención.</w:t>
      </w:r>
    </w:p>
    <w:p w:rsidR="00EE178E" w:rsidRPr="00B27C76" w:rsidRDefault="00EE178E" w:rsidP="00EE178E">
      <w:pPr>
        <w:tabs>
          <w:tab w:val="left" w:pos="567"/>
        </w:tabs>
        <w:autoSpaceDE w:val="0"/>
        <w:autoSpaceDN w:val="0"/>
        <w:adjustRightInd w:val="0"/>
        <w:spacing w:after="0" w:line="240" w:lineRule="auto"/>
        <w:jc w:val="both"/>
        <w:rPr>
          <w:rFonts w:eastAsia="Times"/>
          <w:color w:val="000000"/>
          <w:szCs w:val="20"/>
          <w:lang w:val="es-ES_tradnl"/>
        </w:rPr>
      </w:pPr>
    </w:p>
    <w:p w:rsidR="00EE178E" w:rsidRPr="00FE1025" w:rsidRDefault="00EE178E" w:rsidP="00EE178E">
      <w:pPr>
        <w:numPr>
          <w:ilvl w:val="0"/>
          <w:numId w:val="1"/>
        </w:numPr>
        <w:tabs>
          <w:tab w:val="left" w:pos="567"/>
          <w:tab w:val="num" w:pos="720"/>
        </w:tabs>
        <w:autoSpaceDE w:val="0"/>
        <w:autoSpaceDN w:val="0"/>
        <w:adjustRightInd w:val="0"/>
        <w:spacing w:after="0" w:line="240" w:lineRule="auto"/>
        <w:jc w:val="both"/>
        <w:rPr>
          <w:rFonts w:eastAsia="Times"/>
          <w:color w:val="000000"/>
          <w:szCs w:val="20"/>
          <w:lang w:val="es-ES_tradnl"/>
        </w:rPr>
      </w:pPr>
      <w:bookmarkStart w:id="31" w:name="_Ref406494330"/>
      <w:r w:rsidRPr="00B27C76">
        <w:rPr>
          <w:rFonts w:eastAsia="Times"/>
          <w:color w:val="000000"/>
          <w:szCs w:val="20"/>
          <w:lang w:val="es-ES_tradnl"/>
        </w:rPr>
        <w:t xml:space="preserve">Como se desprende de los párrafos citados, el error material señalado por la representante en nada afecta lo dispuesto por la Corte en su Sentencia. Este Tribunal expresamente indicó que “la declaración de la madre de J., […] por tratarse de un familiar de la presunta víctima y tener un interés directo en [el] caso, […] no </w:t>
      </w:r>
      <w:proofErr w:type="gramStart"/>
      <w:r w:rsidRPr="00B27C76">
        <w:rPr>
          <w:rFonts w:eastAsia="Times"/>
          <w:color w:val="000000"/>
          <w:szCs w:val="20"/>
          <w:lang w:val="es-ES_tradnl"/>
        </w:rPr>
        <w:t>p[</w:t>
      </w:r>
      <w:proofErr w:type="spellStart"/>
      <w:proofErr w:type="gramEnd"/>
      <w:r w:rsidRPr="00B27C76">
        <w:rPr>
          <w:rFonts w:eastAsia="Times"/>
          <w:color w:val="000000"/>
          <w:szCs w:val="20"/>
          <w:lang w:val="es-ES_tradnl"/>
        </w:rPr>
        <w:t>odía</w:t>
      </w:r>
      <w:proofErr w:type="spellEnd"/>
      <w:r w:rsidRPr="00B27C76">
        <w:rPr>
          <w:rFonts w:eastAsia="Times"/>
          <w:color w:val="000000"/>
          <w:szCs w:val="20"/>
          <w:lang w:val="es-ES_tradnl"/>
        </w:rPr>
        <w:t>] ser valorad[a] aisladamente, sino dentro del conjunto de las pruebas del proceso”. Independientemente de si la madre de la señora J. y su hermana fueron conducidas directamente al inmueble en la calle Casimiro Negrón, donde según su declaración estaba ya todo revuelto cuando llegaron, y no al inmueble de Las Esmeraldas, el hecho que la madre de la señora J. firmó el acta de allanamiento donde se establece que dio su autorización, aunado a la imposibilidad de valorar sus manifestaciones de manera aislada, condujeron a la Corte a concluir que “no c[</w:t>
      </w:r>
      <w:proofErr w:type="spellStart"/>
      <w:r w:rsidRPr="00B27C76">
        <w:rPr>
          <w:rFonts w:eastAsia="Times"/>
          <w:color w:val="000000"/>
          <w:szCs w:val="20"/>
          <w:lang w:val="es-ES_tradnl"/>
        </w:rPr>
        <w:t>ontaba</w:t>
      </w:r>
      <w:proofErr w:type="spellEnd"/>
      <w:r w:rsidRPr="00B27C76">
        <w:rPr>
          <w:rFonts w:eastAsia="Times"/>
          <w:color w:val="000000"/>
          <w:szCs w:val="20"/>
          <w:lang w:val="es-ES_tradnl"/>
        </w:rPr>
        <w:t>] con elementos suficientes” para declarar una violación del artículo 11 de la Convención, en virtud de dicho allanamiento. Este Tribunal considera que</w:t>
      </w:r>
      <w:r w:rsidRPr="00B27C76">
        <w:rPr>
          <w:szCs w:val="20"/>
          <w:lang w:val="es-ES_tradnl"/>
        </w:rPr>
        <w:t xml:space="preserve">, bajo la apariencia de una solicitud de </w:t>
      </w:r>
      <w:r w:rsidR="009A2A9D" w:rsidRPr="00B27C76">
        <w:rPr>
          <w:szCs w:val="20"/>
          <w:lang w:val="es-ES_tradnl"/>
        </w:rPr>
        <w:t>interpretación</w:t>
      </w:r>
      <w:r w:rsidRPr="00B27C76">
        <w:rPr>
          <w:szCs w:val="20"/>
          <w:lang w:val="es-ES_tradnl"/>
        </w:rPr>
        <w:t xml:space="preserve">, la representante busca una modificación de </w:t>
      </w:r>
      <w:r w:rsidR="00C365F8" w:rsidRPr="00C365F8">
        <w:rPr>
          <w:szCs w:val="20"/>
          <w:lang w:val="es-ES_tradnl"/>
        </w:rPr>
        <w:t>lo dispuesto por la Corte</w:t>
      </w:r>
      <w:r w:rsidRPr="00B27C76">
        <w:rPr>
          <w:szCs w:val="20"/>
          <w:lang w:val="es-ES_tradnl"/>
        </w:rPr>
        <w:t xml:space="preserve"> en el párrafo 147 de la Sentencia, lo cual implicaría una </w:t>
      </w:r>
      <w:r w:rsidR="009A2A9D" w:rsidRPr="00B27C76">
        <w:rPr>
          <w:szCs w:val="20"/>
          <w:lang w:val="es-ES_tradnl"/>
        </w:rPr>
        <w:t>valoración</w:t>
      </w:r>
      <w:r w:rsidRPr="00B27C76">
        <w:rPr>
          <w:szCs w:val="20"/>
          <w:lang w:val="es-ES_tradnl"/>
        </w:rPr>
        <w:t xml:space="preserve"> de cuestiones de hecho y de derecho que ya fueron planteadas en su oportunidad procesal y sobre las cuales este Tribunal ya adoptó </w:t>
      </w:r>
      <w:r w:rsidR="009A2A9D" w:rsidRPr="00B27C76">
        <w:rPr>
          <w:szCs w:val="20"/>
          <w:lang w:val="es-ES_tradnl"/>
        </w:rPr>
        <w:t>decisión</w:t>
      </w:r>
      <w:r w:rsidRPr="00B27C76">
        <w:rPr>
          <w:szCs w:val="20"/>
          <w:lang w:val="es-ES_tradnl"/>
        </w:rPr>
        <w:t xml:space="preserve">. Toda vez que no existe la posibilidad de que el fallo sea modificado, de conformidad con los </w:t>
      </w:r>
      <w:r w:rsidR="009A2A9D" w:rsidRPr="00B27C76">
        <w:rPr>
          <w:szCs w:val="20"/>
          <w:lang w:val="es-ES_tradnl"/>
        </w:rPr>
        <w:t>artículos</w:t>
      </w:r>
      <w:r w:rsidRPr="00B27C76">
        <w:rPr>
          <w:szCs w:val="20"/>
          <w:lang w:val="es-ES_tradnl"/>
        </w:rPr>
        <w:t xml:space="preserve"> 67 de la </w:t>
      </w:r>
      <w:r w:rsidRPr="00FE1025">
        <w:rPr>
          <w:szCs w:val="20"/>
          <w:lang w:val="es-ES_tradnl"/>
        </w:rPr>
        <w:t>Convención Americana y 31.3 y 68 de su Reglamento, la solicitud de la representante es improcedente en este extremo.</w:t>
      </w:r>
      <w:bookmarkEnd w:id="31"/>
    </w:p>
    <w:p w:rsidR="000D3BE8" w:rsidRDefault="000D3BE8" w:rsidP="009E5A2E">
      <w:pPr>
        <w:tabs>
          <w:tab w:val="left" w:pos="567"/>
        </w:tabs>
        <w:spacing w:after="0" w:line="240" w:lineRule="auto"/>
        <w:jc w:val="both"/>
        <w:rPr>
          <w:rFonts w:eastAsia="Times"/>
          <w:szCs w:val="20"/>
          <w:lang w:val="es-ES_tradnl"/>
        </w:rPr>
      </w:pPr>
    </w:p>
    <w:p w:rsidR="000D3BE8" w:rsidRPr="00B27C76" w:rsidRDefault="000D3BE8" w:rsidP="009E5A2E">
      <w:pPr>
        <w:tabs>
          <w:tab w:val="left" w:pos="567"/>
        </w:tabs>
        <w:spacing w:after="0" w:line="240" w:lineRule="auto"/>
        <w:jc w:val="both"/>
        <w:rPr>
          <w:rFonts w:eastAsia="Times"/>
          <w:szCs w:val="20"/>
          <w:lang w:val="es-ES_tradnl"/>
        </w:rPr>
      </w:pPr>
    </w:p>
    <w:p w:rsidR="00BA3D77" w:rsidRPr="00B27C76" w:rsidRDefault="00CF3648" w:rsidP="00BA3D77">
      <w:pPr>
        <w:tabs>
          <w:tab w:val="left" w:pos="567"/>
        </w:tabs>
        <w:spacing w:after="60" w:line="240" w:lineRule="auto"/>
        <w:jc w:val="center"/>
        <w:rPr>
          <w:rFonts w:eastAsia="Times"/>
          <w:b/>
          <w:szCs w:val="20"/>
          <w:lang w:val="es-ES_tradnl"/>
        </w:rPr>
      </w:pPr>
      <w:r>
        <w:rPr>
          <w:rFonts w:eastAsia="Times"/>
          <w:b/>
          <w:szCs w:val="20"/>
          <w:lang w:val="es-ES_tradnl"/>
        </w:rPr>
        <w:t>V</w:t>
      </w:r>
    </w:p>
    <w:p w:rsidR="00BA3D77" w:rsidRPr="00B27C76" w:rsidRDefault="00BA3D77" w:rsidP="00371831">
      <w:pPr>
        <w:tabs>
          <w:tab w:val="left" w:pos="567"/>
        </w:tabs>
        <w:spacing w:after="120" w:line="240" w:lineRule="auto"/>
        <w:jc w:val="center"/>
        <w:rPr>
          <w:rFonts w:eastAsia="Times"/>
          <w:b/>
          <w:szCs w:val="20"/>
          <w:lang w:val="es-ES_tradnl"/>
        </w:rPr>
      </w:pPr>
      <w:r w:rsidRPr="00B27C76">
        <w:rPr>
          <w:rFonts w:eastAsia="Times"/>
          <w:b/>
          <w:szCs w:val="20"/>
          <w:lang w:val="es-ES_tradnl"/>
        </w:rPr>
        <w:t xml:space="preserve">PUNTOS RESOLUTIVOS </w:t>
      </w:r>
    </w:p>
    <w:p w:rsidR="00BA3D77" w:rsidRPr="00B27C76" w:rsidRDefault="00BA3D77" w:rsidP="00371831">
      <w:pPr>
        <w:tabs>
          <w:tab w:val="left" w:pos="567"/>
        </w:tabs>
        <w:spacing w:after="120" w:line="240" w:lineRule="auto"/>
        <w:jc w:val="center"/>
        <w:rPr>
          <w:rFonts w:eastAsia="Times"/>
          <w:b/>
          <w:szCs w:val="20"/>
          <w:lang w:val="es-ES_tradnl"/>
        </w:rPr>
      </w:pPr>
    </w:p>
    <w:p w:rsidR="00BA3D77" w:rsidRPr="00B27C76" w:rsidRDefault="00BA3D77" w:rsidP="00371831">
      <w:pPr>
        <w:numPr>
          <w:ilvl w:val="0"/>
          <w:numId w:val="1"/>
        </w:numPr>
        <w:tabs>
          <w:tab w:val="left" w:pos="567"/>
          <w:tab w:val="left" w:pos="720"/>
        </w:tabs>
        <w:spacing w:before="120" w:after="120" w:line="240" w:lineRule="auto"/>
        <w:ind w:right="-90"/>
        <w:jc w:val="both"/>
        <w:rPr>
          <w:rFonts w:cs="Arial"/>
          <w:szCs w:val="20"/>
          <w:lang w:val="es-ES_tradnl"/>
        </w:rPr>
      </w:pPr>
      <w:r w:rsidRPr="00B27C76">
        <w:rPr>
          <w:rFonts w:eastAsia="Times"/>
          <w:szCs w:val="20"/>
          <w:lang w:val="es-ES_tradnl"/>
        </w:rPr>
        <w:t xml:space="preserve">Por tanto, </w:t>
      </w:r>
    </w:p>
    <w:p w:rsidR="00BA3D77" w:rsidRPr="00B27C76" w:rsidRDefault="00BA3D77" w:rsidP="00371831">
      <w:pPr>
        <w:tabs>
          <w:tab w:val="left" w:pos="567"/>
        </w:tabs>
        <w:spacing w:before="120" w:after="120" w:line="240" w:lineRule="auto"/>
        <w:jc w:val="both"/>
        <w:rPr>
          <w:rFonts w:eastAsia="Times"/>
          <w:b/>
          <w:szCs w:val="20"/>
          <w:lang w:val="es-ES_tradnl"/>
        </w:rPr>
      </w:pPr>
    </w:p>
    <w:p w:rsidR="00BA3D77" w:rsidRPr="00B27C76" w:rsidRDefault="00BA3D77" w:rsidP="00371831">
      <w:pPr>
        <w:tabs>
          <w:tab w:val="left" w:pos="567"/>
        </w:tabs>
        <w:spacing w:before="120" w:after="120" w:line="240" w:lineRule="auto"/>
        <w:jc w:val="both"/>
        <w:rPr>
          <w:rFonts w:eastAsia="Times"/>
          <w:b/>
          <w:szCs w:val="20"/>
          <w:lang w:val="es-ES_tradnl"/>
        </w:rPr>
      </w:pPr>
      <w:r w:rsidRPr="00B27C76">
        <w:rPr>
          <w:rFonts w:eastAsia="Times"/>
          <w:b/>
          <w:szCs w:val="20"/>
          <w:lang w:val="es-ES_tradnl"/>
        </w:rPr>
        <w:t xml:space="preserve">LA CORTE </w:t>
      </w:r>
    </w:p>
    <w:p w:rsidR="00BA3D77" w:rsidRPr="00B27C76" w:rsidRDefault="00BA3D77" w:rsidP="00371831">
      <w:pPr>
        <w:tabs>
          <w:tab w:val="left" w:pos="567"/>
        </w:tabs>
        <w:spacing w:before="120" w:after="120" w:line="240" w:lineRule="auto"/>
        <w:jc w:val="both"/>
        <w:rPr>
          <w:rFonts w:eastAsia="Times"/>
          <w:szCs w:val="20"/>
          <w:lang w:val="es-ES_tradnl"/>
        </w:rPr>
      </w:pPr>
    </w:p>
    <w:p w:rsidR="00BA3D77" w:rsidRPr="00B27C76" w:rsidRDefault="00BA3D77" w:rsidP="00371831">
      <w:pPr>
        <w:tabs>
          <w:tab w:val="left" w:pos="567"/>
        </w:tabs>
        <w:spacing w:before="120" w:after="120" w:line="240" w:lineRule="auto"/>
        <w:jc w:val="both"/>
        <w:rPr>
          <w:rFonts w:eastAsia="Times"/>
          <w:szCs w:val="20"/>
          <w:lang w:val="es-ES_tradnl"/>
        </w:rPr>
      </w:pPr>
      <w:r w:rsidRPr="00B27C76">
        <w:rPr>
          <w:rFonts w:eastAsia="Times"/>
          <w:szCs w:val="20"/>
          <w:lang w:val="es-ES_tradnl"/>
        </w:rPr>
        <w:t>de conformidad con el artículo 67 de la Convención Americana sobre Derech</w:t>
      </w:r>
      <w:r w:rsidR="00C90393">
        <w:rPr>
          <w:rFonts w:eastAsia="Times"/>
          <w:szCs w:val="20"/>
          <w:lang w:val="es-ES_tradnl"/>
        </w:rPr>
        <w:t xml:space="preserve">os Humanos y los artículos 31.3, </w:t>
      </w:r>
      <w:r w:rsidRPr="00B27C76">
        <w:rPr>
          <w:rFonts w:eastAsia="Times"/>
          <w:szCs w:val="20"/>
          <w:lang w:val="es-ES_tradnl"/>
        </w:rPr>
        <w:t xml:space="preserve">68 </w:t>
      </w:r>
      <w:r w:rsidR="00C90393">
        <w:rPr>
          <w:rFonts w:eastAsia="Times"/>
          <w:szCs w:val="20"/>
          <w:lang w:val="es-ES_tradnl"/>
        </w:rPr>
        <w:t xml:space="preserve">y 76 </w:t>
      </w:r>
      <w:r w:rsidRPr="00B27C76">
        <w:rPr>
          <w:rFonts w:eastAsia="Times"/>
          <w:szCs w:val="20"/>
          <w:lang w:val="es-ES_tradnl"/>
        </w:rPr>
        <w:t>del Reglamento,</w:t>
      </w:r>
    </w:p>
    <w:p w:rsidR="00BA3D77" w:rsidRPr="00B27C76" w:rsidRDefault="00BA3D77" w:rsidP="00371831">
      <w:pPr>
        <w:tabs>
          <w:tab w:val="left" w:pos="567"/>
        </w:tabs>
        <w:spacing w:before="120" w:after="120" w:line="240" w:lineRule="auto"/>
        <w:jc w:val="both"/>
        <w:rPr>
          <w:rFonts w:eastAsia="Times"/>
          <w:b/>
          <w:szCs w:val="20"/>
          <w:lang w:val="es-ES_tradnl"/>
        </w:rPr>
      </w:pPr>
      <w:r w:rsidRPr="00B27C76">
        <w:rPr>
          <w:rFonts w:eastAsia="Times"/>
          <w:szCs w:val="20"/>
          <w:lang w:val="es-ES_tradnl"/>
        </w:rPr>
        <w:lastRenderedPageBreak/>
        <w:br/>
      </w:r>
      <w:r w:rsidRPr="00B27C76">
        <w:rPr>
          <w:rFonts w:eastAsia="Times"/>
          <w:b/>
          <w:szCs w:val="20"/>
          <w:lang w:val="es-ES_tradnl"/>
        </w:rPr>
        <w:t>DECIDE:</w:t>
      </w:r>
    </w:p>
    <w:p w:rsidR="00BA3D77" w:rsidRPr="00B27C76" w:rsidRDefault="00BA3D77" w:rsidP="00371831">
      <w:pPr>
        <w:tabs>
          <w:tab w:val="left" w:pos="567"/>
        </w:tabs>
        <w:spacing w:before="120" w:after="120" w:line="240" w:lineRule="auto"/>
        <w:jc w:val="both"/>
        <w:rPr>
          <w:rFonts w:eastAsia="Times"/>
          <w:szCs w:val="20"/>
          <w:lang w:val="es-ES_tradnl"/>
        </w:rPr>
      </w:pPr>
    </w:p>
    <w:p w:rsidR="00BA3D77" w:rsidRPr="00B27C76" w:rsidRDefault="00BA3D77" w:rsidP="00371831">
      <w:pPr>
        <w:tabs>
          <w:tab w:val="left" w:pos="567"/>
          <w:tab w:val="center" w:pos="4252"/>
          <w:tab w:val="right" w:pos="8504"/>
        </w:tabs>
        <w:spacing w:before="120" w:after="120" w:line="240" w:lineRule="auto"/>
        <w:jc w:val="both"/>
        <w:rPr>
          <w:rFonts w:eastAsia="Times"/>
          <w:szCs w:val="20"/>
          <w:lang w:val="es-ES_tradnl"/>
        </w:rPr>
      </w:pPr>
      <w:r w:rsidRPr="00B27C76">
        <w:rPr>
          <w:rFonts w:eastAsia="Times"/>
          <w:szCs w:val="20"/>
          <w:lang w:val="es-ES_tradnl"/>
        </w:rPr>
        <w:t xml:space="preserve">Por </w:t>
      </w:r>
      <w:r w:rsidR="00C90393">
        <w:rPr>
          <w:rFonts w:eastAsia="Times"/>
          <w:szCs w:val="20"/>
          <w:lang w:val="es-ES_tradnl"/>
        </w:rPr>
        <w:t>unanimidad</w:t>
      </w:r>
      <w:r w:rsidRPr="00B27C76">
        <w:rPr>
          <w:rFonts w:eastAsia="Times"/>
          <w:szCs w:val="20"/>
          <w:lang w:val="es-ES_tradnl"/>
        </w:rPr>
        <w:t>,</w:t>
      </w:r>
    </w:p>
    <w:p w:rsidR="00062DDF" w:rsidRPr="00B27C76" w:rsidRDefault="00062DDF" w:rsidP="00371831">
      <w:pPr>
        <w:tabs>
          <w:tab w:val="left" w:pos="567"/>
        </w:tabs>
        <w:spacing w:before="120" w:after="120" w:line="240" w:lineRule="auto"/>
        <w:jc w:val="both"/>
        <w:rPr>
          <w:rFonts w:eastAsia="Times"/>
          <w:szCs w:val="20"/>
          <w:lang w:val="es-ES_tradnl"/>
        </w:rPr>
      </w:pPr>
    </w:p>
    <w:p w:rsidR="004D1B91" w:rsidRPr="00B27C76" w:rsidRDefault="00BA3D77" w:rsidP="00371831">
      <w:pPr>
        <w:pStyle w:val="Prrafodelista"/>
        <w:numPr>
          <w:ilvl w:val="0"/>
          <w:numId w:val="6"/>
        </w:numPr>
        <w:tabs>
          <w:tab w:val="left" w:pos="567"/>
        </w:tabs>
        <w:spacing w:before="160" w:after="160" w:line="240" w:lineRule="auto"/>
        <w:ind w:left="0" w:firstLine="0"/>
        <w:contextualSpacing w:val="0"/>
        <w:jc w:val="both"/>
        <w:rPr>
          <w:rFonts w:eastAsia="Times New Roman"/>
          <w:szCs w:val="20"/>
          <w:lang w:val="es-ES_tradnl" w:eastAsia="es-ES"/>
        </w:rPr>
      </w:pPr>
      <w:r w:rsidRPr="00B27C76">
        <w:rPr>
          <w:rFonts w:eastAsia="Times New Roman"/>
          <w:szCs w:val="20"/>
          <w:lang w:val="es-ES_tradnl" w:eastAsia="es-ES"/>
        </w:rPr>
        <w:t xml:space="preserve">Declarar </w:t>
      </w:r>
      <w:r w:rsidR="004D1B91" w:rsidRPr="00B27C76">
        <w:rPr>
          <w:rFonts w:eastAsia="Times New Roman"/>
          <w:szCs w:val="20"/>
          <w:lang w:val="es-ES_tradnl" w:eastAsia="es-ES"/>
        </w:rPr>
        <w:t>admisible</w:t>
      </w:r>
      <w:r w:rsidR="008D6DDA">
        <w:rPr>
          <w:rFonts w:eastAsia="Times New Roman"/>
          <w:szCs w:val="20"/>
          <w:lang w:val="es-ES_tradnl" w:eastAsia="es-ES"/>
        </w:rPr>
        <w:t>s</w:t>
      </w:r>
      <w:r w:rsidR="004D1B91" w:rsidRPr="00B27C76">
        <w:rPr>
          <w:rFonts w:eastAsia="Times New Roman"/>
          <w:szCs w:val="20"/>
          <w:lang w:val="es-ES_tradnl" w:eastAsia="es-ES"/>
        </w:rPr>
        <w:t xml:space="preserve"> </w:t>
      </w:r>
      <w:r w:rsidR="004D1B91" w:rsidRPr="000739BB">
        <w:rPr>
          <w:rFonts w:eastAsia="Times New Roman"/>
          <w:szCs w:val="20"/>
          <w:lang w:val="es-ES_tradnl" w:eastAsia="es-ES"/>
        </w:rPr>
        <w:t xml:space="preserve">las solicitudes de interpretación de la Sentencia de excepción preliminar, fondo, reparaciones y costas en el caso </w:t>
      </w:r>
      <w:r w:rsidR="004D1B91" w:rsidRPr="000739BB">
        <w:rPr>
          <w:rFonts w:eastAsia="Times New Roman"/>
          <w:i/>
          <w:szCs w:val="20"/>
          <w:lang w:val="es-ES_tradnl" w:eastAsia="es-ES"/>
        </w:rPr>
        <w:t>J. vs. Perú</w:t>
      </w:r>
      <w:r w:rsidR="004D1B91" w:rsidRPr="000739BB">
        <w:rPr>
          <w:rFonts w:eastAsia="Times New Roman"/>
          <w:szCs w:val="20"/>
          <w:lang w:val="es-ES_tradnl" w:eastAsia="es-ES"/>
        </w:rPr>
        <w:t xml:space="preserve"> interpuestas por el Estado y la representante de la víctima</w:t>
      </w:r>
      <w:r w:rsidR="004D1B91" w:rsidRPr="00B27C76">
        <w:rPr>
          <w:rFonts w:eastAsia="Times New Roman"/>
          <w:szCs w:val="20"/>
          <w:lang w:val="es-ES_tradnl" w:eastAsia="es-ES"/>
        </w:rPr>
        <w:t>.</w:t>
      </w:r>
    </w:p>
    <w:p w:rsidR="00B6703B" w:rsidRPr="00B27C76" w:rsidRDefault="00B6703B" w:rsidP="00371831">
      <w:pPr>
        <w:pStyle w:val="Prrafodelista"/>
        <w:tabs>
          <w:tab w:val="left" w:pos="567"/>
        </w:tabs>
        <w:spacing w:before="160" w:after="160" w:line="240" w:lineRule="auto"/>
        <w:ind w:left="0"/>
        <w:contextualSpacing w:val="0"/>
        <w:jc w:val="both"/>
        <w:rPr>
          <w:rFonts w:eastAsia="Times New Roman"/>
          <w:szCs w:val="20"/>
          <w:lang w:val="es-ES_tradnl" w:eastAsia="es-ES"/>
        </w:rPr>
      </w:pPr>
    </w:p>
    <w:p w:rsidR="00BA3D77" w:rsidRDefault="00B6703B" w:rsidP="00371831">
      <w:pPr>
        <w:pStyle w:val="Prrafodelista"/>
        <w:numPr>
          <w:ilvl w:val="0"/>
          <w:numId w:val="6"/>
        </w:numPr>
        <w:tabs>
          <w:tab w:val="left" w:pos="567"/>
        </w:tabs>
        <w:spacing w:before="160" w:after="160" w:line="240" w:lineRule="auto"/>
        <w:ind w:left="0" w:firstLine="0"/>
        <w:contextualSpacing w:val="0"/>
        <w:jc w:val="both"/>
        <w:rPr>
          <w:rFonts w:eastAsia="Times New Roman"/>
          <w:szCs w:val="20"/>
          <w:lang w:val="es-ES_tradnl" w:eastAsia="es-ES"/>
        </w:rPr>
      </w:pPr>
      <w:r w:rsidRPr="00B27C76">
        <w:rPr>
          <w:rFonts w:eastAsia="Times New Roman"/>
          <w:szCs w:val="20"/>
          <w:lang w:val="es-ES_tradnl" w:eastAsia="es-ES"/>
        </w:rPr>
        <w:t>Precisar</w:t>
      </w:r>
      <w:r w:rsidR="000739BB">
        <w:rPr>
          <w:rFonts w:eastAsia="Times New Roman"/>
          <w:szCs w:val="20"/>
          <w:lang w:val="es-ES_tradnl" w:eastAsia="es-ES"/>
        </w:rPr>
        <w:t xml:space="preserve"> el sentido y alcance de las consideraciones de la Corte relativas a la calificación jurídica de los malos tratos sufridos por la señora</w:t>
      </w:r>
      <w:r w:rsidR="004F767F">
        <w:rPr>
          <w:rFonts w:eastAsia="Times New Roman"/>
          <w:szCs w:val="20"/>
          <w:lang w:val="es-ES_tradnl" w:eastAsia="es-ES"/>
        </w:rPr>
        <w:t xml:space="preserve"> J. al momento de su detención, </w:t>
      </w:r>
      <w:r w:rsidR="004F767F" w:rsidRPr="00B27C76">
        <w:rPr>
          <w:rFonts w:eastAsia="Times New Roman"/>
          <w:szCs w:val="20"/>
          <w:lang w:val="es-ES_tradnl" w:eastAsia="es-ES"/>
        </w:rPr>
        <w:t xml:space="preserve">de conformidad con </w:t>
      </w:r>
      <w:r w:rsidR="004F767F">
        <w:rPr>
          <w:rFonts w:eastAsia="Times New Roman"/>
          <w:szCs w:val="20"/>
          <w:lang w:val="es-ES_tradnl" w:eastAsia="es-ES"/>
        </w:rPr>
        <w:t xml:space="preserve">los </w:t>
      </w:r>
      <w:r w:rsidR="004F767F" w:rsidRPr="00B27C76">
        <w:rPr>
          <w:rFonts w:eastAsia="Times New Roman"/>
          <w:szCs w:val="20"/>
          <w:lang w:val="es-ES_tradnl" w:eastAsia="es-ES"/>
        </w:rPr>
        <w:t>párrafo</w:t>
      </w:r>
      <w:r w:rsidR="004F767F">
        <w:rPr>
          <w:rFonts w:eastAsia="Times New Roman"/>
          <w:szCs w:val="20"/>
          <w:lang w:val="es-ES_tradnl" w:eastAsia="es-ES"/>
        </w:rPr>
        <w:t>s</w:t>
      </w:r>
      <w:r w:rsidR="004F767F" w:rsidRPr="00B27C76">
        <w:rPr>
          <w:rFonts w:eastAsia="Times New Roman"/>
          <w:szCs w:val="20"/>
          <w:lang w:val="es-ES_tradnl" w:eastAsia="es-ES"/>
        </w:rPr>
        <w:t xml:space="preserve"> </w:t>
      </w:r>
      <w:r w:rsidR="00C62C4C">
        <w:rPr>
          <w:rFonts w:eastAsia="Times New Roman"/>
          <w:szCs w:val="20"/>
          <w:lang w:val="es-ES_tradnl" w:eastAsia="es-ES"/>
        </w:rPr>
        <w:fldChar w:fldCharType="begin"/>
      </w:r>
      <w:r w:rsidR="004745A3">
        <w:rPr>
          <w:rFonts w:eastAsia="Times New Roman"/>
          <w:szCs w:val="20"/>
          <w:lang w:val="es-ES_tradnl" w:eastAsia="es-ES"/>
        </w:rPr>
        <w:instrText xml:space="preserve"> REF _Ref406493922 \r \h </w:instrText>
      </w:r>
      <w:r w:rsidR="00C62C4C">
        <w:rPr>
          <w:rFonts w:eastAsia="Times New Roman"/>
          <w:szCs w:val="20"/>
          <w:lang w:val="es-ES_tradnl" w:eastAsia="es-ES"/>
        </w:rPr>
      </w:r>
      <w:r w:rsidR="00C62C4C">
        <w:rPr>
          <w:rFonts w:eastAsia="Times New Roman"/>
          <w:szCs w:val="20"/>
          <w:lang w:val="es-ES_tradnl" w:eastAsia="es-ES"/>
        </w:rPr>
        <w:fldChar w:fldCharType="separate"/>
      </w:r>
      <w:r w:rsidR="002D145C">
        <w:rPr>
          <w:rFonts w:eastAsia="Times New Roman"/>
          <w:szCs w:val="20"/>
          <w:lang w:val="es-ES_tradnl" w:eastAsia="es-ES"/>
        </w:rPr>
        <w:t>19</w:t>
      </w:r>
      <w:r w:rsidR="00C62C4C">
        <w:rPr>
          <w:rFonts w:eastAsia="Times New Roman"/>
          <w:szCs w:val="20"/>
          <w:lang w:val="es-ES_tradnl" w:eastAsia="es-ES"/>
        </w:rPr>
        <w:fldChar w:fldCharType="end"/>
      </w:r>
      <w:r w:rsidR="004745A3">
        <w:rPr>
          <w:rFonts w:eastAsia="Times New Roman"/>
          <w:szCs w:val="20"/>
          <w:lang w:val="es-ES_tradnl" w:eastAsia="es-ES"/>
        </w:rPr>
        <w:t xml:space="preserve"> a </w:t>
      </w:r>
      <w:r w:rsidR="00C62C4C">
        <w:rPr>
          <w:rFonts w:eastAsia="Times New Roman"/>
          <w:szCs w:val="20"/>
          <w:lang w:val="es-ES_tradnl" w:eastAsia="es-ES"/>
        </w:rPr>
        <w:fldChar w:fldCharType="begin"/>
      </w:r>
      <w:r w:rsidR="004745A3">
        <w:rPr>
          <w:rFonts w:eastAsia="Times New Roman"/>
          <w:szCs w:val="20"/>
          <w:lang w:val="es-ES_tradnl" w:eastAsia="es-ES"/>
        </w:rPr>
        <w:instrText xml:space="preserve"> REF _Ref406493924 \r \h </w:instrText>
      </w:r>
      <w:r w:rsidR="00C62C4C">
        <w:rPr>
          <w:rFonts w:eastAsia="Times New Roman"/>
          <w:szCs w:val="20"/>
          <w:lang w:val="es-ES_tradnl" w:eastAsia="es-ES"/>
        </w:rPr>
      </w:r>
      <w:r w:rsidR="00C62C4C">
        <w:rPr>
          <w:rFonts w:eastAsia="Times New Roman"/>
          <w:szCs w:val="20"/>
          <w:lang w:val="es-ES_tradnl" w:eastAsia="es-ES"/>
        </w:rPr>
        <w:fldChar w:fldCharType="separate"/>
      </w:r>
      <w:r w:rsidR="002D145C">
        <w:rPr>
          <w:rFonts w:eastAsia="Times New Roman"/>
          <w:szCs w:val="20"/>
          <w:lang w:val="es-ES_tradnl" w:eastAsia="es-ES"/>
        </w:rPr>
        <w:t>21</w:t>
      </w:r>
      <w:r w:rsidR="00C62C4C">
        <w:rPr>
          <w:rFonts w:eastAsia="Times New Roman"/>
          <w:szCs w:val="20"/>
          <w:lang w:val="es-ES_tradnl" w:eastAsia="es-ES"/>
        </w:rPr>
        <w:fldChar w:fldCharType="end"/>
      </w:r>
      <w:r w:rsidR="004745A3">
        <w:rPr>
          <w:rFonts w:eastAsia="Times New Roman"/>
          <w:szCs w:val="20"/>
          <w:lang w:val="es-ES_tradnl" w:eastAsia="es-ES"/>
        </w:rPr>
        <w:t xml:space="preserve"> </w:t>
      </w:r>
      <w:r w:rsidR="006C44F4">
        <w:rPr>
          <w:rFonts w:eastAsia="Times New Roman"/>
          <w:szCs w:val="20"/>
          <w:lang w:val="es-ES_tradnl" w:eastAsia="es-ES"/>
        </w:rPr>
        <w:t>de la presente s</w:t>
      </w:r>
      <w:r w:rsidR="004F767F" w:rsidRPr="00B27C76">
        <w:rPr>
          <w:rFonts w:eastAsia="Times New Roman"/>
          <w:szCs w:val="20"/>
          <w:lang w:val="es-ES_tradnl" w:eastAsia="es-ES"/>
        </w:rPr>
        <w:t>entencia de interpretación.</w:t>
      </w:r>
    </w:p>
    <w:p w:rsidR="00F31700" w:rsidRPr="00B27C76" w:rsidRDefault="00F31700" w:rsidP="00371831">
      <w:pPr>
        <w:pStyle w:val="Prrafodelista"/>
        <w:tabs>
          <w:tab w:val="left" w:pos="567"/>
        </w:tabs>
        <w:spacing w:before="160" w:after="160" w:line="240" w:lineRule="auto"/>
        <w:ind w:left="0"/>
        <w:contextualSpacing w:val="0"/>
        <w:jc w:val="both"/>
        <w:rPr>
          <w:rFonts w:eastAsia="Times New Roman"/>
          <w:szCs w:val="20"/>
          <w:lang w:val="es-ES_tradnl" w:eastAsia="es-ES"/>
        </w:rPr>
      </w:pPr>
    </w:p>
    <w:p w:rsidR="00BE6ADE" w:rsidRPr="00E860DE" w:rsidRDefault="00BE6ADE" w:rsidP="00371831">
      <w:pPr>
        <w:pStyle w:val="Prrafodelista"/>
        <w:numPr>
          <w:ilvl w:val="0"/>
          <w:numId w:val="6"/>
        </w:numPr>
        <w:tabs>
          <w:tab w:val="left" w:pos="567"/>
        </w:tabs>
        <w:spacing w:before="160" w:after="160" w:line="240" w:lineRule="auto"/>
        <w:ind w:left="0" w:firstLine="0"/>
        <w:contextualSpacing w:val="0"/>
        <w:jc w:val="both"/>
        <w:rPr>
          <w:rFonts w:eastAsia="Times New Roman"/>
          <w:lang w:eastAsia="es-ES"/>
        </w:rPr>
      </w:pPr>
      <w:r w:rsidRPr="00B27C76">
        <w:rPr>
          <w:rFonts w:eastAsia="Times New Roman"/>
          <w:szCs w:val="20"/>
          <w:lang w:val="es-ES_tradnl" w:eastAsia="es-ES"/>
        </w:rPr>
        <w:t>Desestimar por improcedentes los cuestionamientos del Estado y</w:t>
      </w:r>
      <w:r w:rsidR="006C44F4">
        <w:rPr>
          <w:rFonts w:eastAsia="Times New Roman"/>
          <w:szCs w:val="20"/>
          <w:lang w:val="es-ES_tradnl" w:eastAsia="es-ES"/>
        </w:rPr>
        <w:t xml:space="preserve"> de la representante</w:t>
      </w:r>
      <w:r w:rsidR="007527F5">
        <w:rPr>
          <w:rFonts w:eastAsia="Times New Roman"/>
          <w:szCs w:val="20"/>
          <w:lang w:val="es-ES_tradnl" w:eastAsia="es-ES"/>
        </w:rPr>
        <w:t xml:space="preserve"> respecto de</w:t>
      </w:r>
      <w:r w:rsidRPr="00B27C76">
        <w:rPr>
          <w:rFonts w:eastAsia="Times New Roman"/>
          <w:szCs w:val="20"/>
          <w:lang w:val="es-ES_tradnl" w:eastAsia="es-ES"/>
        </w:rPr>
        <w:t xml:space="preserve"> </w:t>
      </w:r>
      <w:r w:rsidR="00CF7B79" w:rsidRPr="00B27C76">
        <w:rPr>
          <w:rFonts w:eastAsia="Times New Roman"/>
          <w:szCs w:val="20"/>
          <w:lang w:val="es-ES_tradnl" w:eastAsia="es-ES"/>
        </w:rPr>
        <w:t xml:space="preserve">los efectos </w:t>
      </w:r>
      <w:r w:rsidR="00E860DE" w:rsidRPr="00E860DE">
        <w:rPr>
          <w:rFonts w:eastAsia="Times New Roman"/>
          <w:lang w:eastAsia="es-ES"/>
        </w:rPr>
        <w:t>legales de la afectación de derechos mencionad</w:t>
      </w:r>
      <w:r w:rsidR="007527F5">
        <w:rPr>
          <w:rFonts w:eastAsia="Times New Roman"/>
          <w:lang w:eastAsia="es-ES"/>
        </w:rPr>
        <w:t>a</w:t>
      </w:r>
      <w:r w:rsidR="00E860DE" w:rsidRPr="00E860DE">
        <w:rPr>
          <w:rFonts w:eastAsia="Times New Roman"/>
          <w:lang w:eastAsia="es-ES"/>
        </w:rPr>
        <w:t xml:space="preserve"> en el párrafo 227</w:t>
      </w:r>
      <w:r w:rsidR="00E860DE">
        <w:rPr>
          <w:rFonts w:eastAsia="Times New Roman"/>
          <w:lang w:eastAsia="es-ES"/>
        </w:rPr>
        <w:t xml:space="preserve"> de la Sentencia</w:t>
      </w:r>
      <w:r w:rsidR="00E860DE" w:rsidRPr="00E860DE">
        <w:rPr>
          <w:rFonts w:eastAsia="Times New Roman"/>
          <w:lang w:eastAsia="es-ES"/>
        </w:rPr>
        <w:t xml:space="preserve">, </w:t>
      </w:r>
      <w:r w:rsidR="00E860DE" w:rsidRPr="00E860DE">
        <w:rPr>
          <w:rFonts w:eastAsia="Times New Roman"/>
          <w:szCs w:val="20"/>
          <w:lang w:val="es-ES_tradnl" w:eastAsia="es-ES"/>
        </w:rPr>
        <w:t xml:space="preserve">los criterios </w:t>
      </w:r>
      <w:r w:rsidR="00E860DE">
        <w:rPr>
          <w:rFonts w:eastAsia="Times New Roman"/>
          <w:szCs w:val="20"/>
          <w:lang w:val="es-ES_tradnl" w:eastAsia="es-ES"/>
        </w:rPr>
        <w:t xml:space="preserve">y </w:t>
      </w:r>
      <w:r w:rsidR="00E860DE" w:rsidRPr="00E860DE">
        <w:rPr>
          <w:rFonts w:eastAsia="Times New Roman"/>
          <w:lang w:eastAsia="es-ES"/>
        </w:rPr>
        <w:t xml:space="preserve">la metodología </w:t>
      </w:r>
      <w:r w:rsidR="00E860DE">
        <w:rPr>
          <w:rFonts w:eastAsia="Times New Roman"/>
          <w:lang w:eastAsia="es-ES"/>
        </w:rPr>
        <w:t xml:space="preserve">utilizados para determinar </w:t>
      </w:r>
      <w:r w:rsidR="00E860DE" w:rsidRPr="00E860DE">
        <w:rPr>
          <w:rFonts w:eastAsia="Times New Roman"/>
          <w:lang w:eastAsia="es-ES"/>
        </w:rPr>
        <w:t>las sumas fijadas como costas y gastos</w:t>
      </w:r>
      <w:r w:rsidR="00E860DE">
        <w:rPr>
          <w:rFonts w:eastAsia="Times New Roman"/>
          <w:lang w:eastAsia="es-ES"/>
        </w:rPr>
        <w:t xml:space="preserve">, </w:t>
      </w:r>
      <w:r w:rsidR="00CF7B79" w:rsidRPr="00E860DE">
        <w:rPr>
          <w:rFonts w:eastAsia="Times New Roman"/>
          <w:szCs w:val="20"/>
          <w:lang w:val="es-ES_tradnl" w:eastAsia="es-ES"/>
        </w:rPr>
        <w:t xml:space="preserve">y </w:t>
      </w:r>
      <w:r w:rsidRPr="00E860DE">
        <w:rPr>
          <w:rFonts w:eastAsia="Times New Roman"/>
          <w:szCs w:val="20"/>
          <w:lang w:val="es-ES_tradnl" w:eastAsia="es-ES"/>
        </w:rPr>
        <w:t xml:space="preserve">los </w:t>
      </w:r>
      <w:r w:rsidR="001A6AEE">
        <w:rPr>
          <w:rFonts w:eastAsia="Times New Roman"/>
          <w:szCs w:val="20"/>
          <w:lang w:val="es-ES_tradnl" w:eastAsia="es-ES"/>
        </w:rPr>
        <w:t xml:space="preserve">supuestos </w:t>
      </w:r>
      <w:r w:rsidRPr="00E860DE">
        <w:rPr>
          <w:rFonts w:eastAsia="Times New Roman"/>
          <w:szCs w:val="20"/>
          <w:lang w:val="es-ES_tradnl" w:eastAsia="es-ES"/>
        </w:rPr>
        <w:t xml:space="preserve">efectos de la rectificación material del párrafo </w:t>
      </w:r>
      <w:r w:rsidR="000739BB" w:rsidRPr="00E860DE">
        <w:rPr>
          <w:rFonts w:eastAsia="Times New Roman"/>
          <w:szCs w:val="20"/>
          <w:lang w:val="es-ES_tradnl" w:eastAsia="es-ES"/>
        </w:rPr>
        <w:t>87</w:t>
      </w:r>
      <w:r w:rsidR="008C1B55" w:rsidRPr="00E860DE">
        <w:rPr>
          <w:rFonts w:eastAsia="Times New Roman"/>
          <w:szCs w:val="20"/>
          <w:lang w:val="es-ES_tradnl" w:eastAsia="es-ES"/>
        </w:rPr>
        <w:t xml:space="preserve"> </w:t>
      </w:r>
      <w:r w:rsidRPr="00E860DE">
        <w:rPr>
          <w:rFonts w:eastAsia="Times New Roman"/>
          <w:szCs w:val="20"/>
          <w:lang w:val="es-ES_tradnl" w:eastAsia="es-ES"/>
        </w:rPr>
        <w:t xml:space="preserve">de la Sentencia, en la medida que no se adecuan a lo previsto en los artículos 67 de la Convención y </w:t>
      </w:r>
      <w:r w:rsidR="00227942" w:rsidRPr="00E860DE">
        <w:rPr>
          <w:rFonts w:eastAsia="Times New Roman"/>
          <w:szCs w:val="20"/>
          <w:lang w:val="es-ES_tradnl" w:eastAsia="es-ES"/>
        </w:rPr>
        <w:t xml:space="preserve">68 </w:t>
      </w:r>
      <w:r w:rsidRPr="00E860DE">
        <w:rPr>
          <w:rFonts w:eastAsia="Times New Roman"/>
          <w:szCs w:val="20"/>
          <w:lang w:val="es-ES_tradnl" w:eastAsia="es-ES"/>
        </w:rPr>
        <w:t xml:space="preserve">del Reglamento, conforme a lo señalado en los párrafos </w:t>
      </w:r>
      <w:r w:rsidR="000A5755">
        <w:fldChar w:fldCharType="begin"/>
      </w:r>
      <w:r w:rsidR="000A5755">
        <w:instrText xml:space="preserve"> REF _Ref406494101 \r \h  \* MERGEFORMAT </w:instrText>
      </w:r>
      <w:r w:rsidR="000A5755">
        <w:fldChar w:fldCharType="separate"/>
      </w:r>
      <w:r w:rsidR="002D145C" w:rsidRPr="002D145C">
        <w:rPr>
          <w:rFonts w:eastAsia="Times New Roman"/>
          <w:szCs w:val="20"/>
          <w:lang w:val="es-ES_tradnl" w:eastAsia="es-ES"/>
        </w:rPr>
        <w:t>25</w:t>
      </w:r>
      <w:r w:rsidR="000A5755">
        <w:fldChar w:fldCharType="end"/>
      </w:r>
      <w:r w:rsidR="00CF7B79" w:rsidRPr="00E860DE">
        <w:rPr>
          <w:rFonts w:eastAsia="Times New Roman"/>
          <w:szCs w:val="20"/>
          <w:lang w:val="es-ES_tradnl" w:eastAsia="es-ES"/>
        </w:rPr>
        <w:t xml:space="preserve"> a </w:t>
      </w:r>
      <w:r w:rsidR="000A5755">
        <w:fldChar w:fldCharType="begin"/>
      </w:r>
      <w:r w:rsidR="000A5755">
        <w:instrText xml:space="preserve"> REF _Ref406494104 \r \h  \* MERGEFORMAT </w:instrText>
      </w:r>
      <w:r w:rsidR="000A5755">
        <w:fldChar w:fldCharType="separate"/>
      </w:r>
      <w:r w:rsidR="002D145C" w:rsidRPr="002D145C">
        <w:rPr>
          <w:rFonts w:eastAsia="Times New Roman"/>
          <w:szCs w:val="20"/>
          <w:lang w:val="es-ES_tradnl" w:eastAsia="es-ES"/>
        </w:rPr>
        <w:t>31</w:t>
      </w:r>
      <w:r w:rsidR="000A5755">
        <w:fldChar w:fldCharType="end"/>
      </w:r>
      <w:r w:rsidR="00CF7B79" w:rsidRPr="00E860DE">
        <w:rPr>
          <w:rFonts w:eastAsia="Times New Roman"/>
          <w:szCs w:val="20"/>
          <w:lang w:val="es-ES_tradnl" w:eastAsia="es-ES"/>
        </w:rPr>
        <w:t xml:space="preserve">, </w:t>
      </w:r>
      <w:r w:rsidR="000A5755">
        <w:fldChar w:fldCharType="begin"/>
      </w:r>
      <w:r w:rsidR="000A5755">
        <w:instrText xml:space="preserve"> REF _Ref406494134 \r \h  \* MERGEFORMAT </w:instrText>
      </w:r>
      <w:r w:rsidR="000A5755">
        <w:fldChar w:fldCharType="separate"/>
      </w:r>
      <w:r w:rsidR="002D145C" w:rsidRPr="002D145C">
        <w:rPr>
          <w:rFonts w:eastAsia="Times New Roman"/>
          <w:szCs w:val="20"/>
          <w:lang w:val="es-ES_tradnl" w:eastAsia="es-ES"/>
        </w:rPr>
        <w:t>34</w:t>
      </w:r>
      <w:r w:rsidR="000A5755">
        <w:fldChar w:fldCharType="end"/>
      </w:r>
      <w:r w:rsidR="00CF7B79" w:rsidRPr="00E860DE">
        <w:rPr>
          <w:rFonts w:eastAsia="Times New Roman"/>
          <w:szCs w:val="20"/>
          <w:lang w:val="es-ES_tradnl" w:eastAsia="es-ES"/>
        </w:rPr>
        <w:t xml:space="preserve"> a </w:t>
      </w:r>
      <w:r w:rsidR="000A5755">
        <w:fldChar w:fldCharType="begin"/>
      </w:r>
      <w:r w:rsidR="000A5755">
        <w:instrText xml:space="preserve"> REF _Ref406491795 \r \h  \* MERGEFORMAT </w:instrText>
      </w:r>
      <w:r w:rsidR="000A5755">
        <w:fldChar w:fldCharType="separate"/>
      </w:r>
      <w:r w:rsidR="002D145C" w:rsidRPr="002D145C">
        <w:rPr>
          <w:rFonts w:eastAsia="Times New Roman"/>
          <w:szCs w:val="20"/>
          <w:lang w:val="es-ES_tradnl" w:eastAsia="es-ES"/>
        </w:rPr>
        <w:t>35</w:t>
      </w:r>
      <w:r w:rsidR="000A5755">
        <w:fldChar w:fldCharType="end"/>
      </w:r>
      <w:r w:rsidRPr="00E860DE">
        <w:rPr>
          <w:rFonts w:eastAsia="Times New Roman"/>
          <w:szCs w:val="20"/>
          <w:lang w:val="es-ES_tradnl" w:eastAsia="es-ES"/>
        </w:rPr>
        <w:t xml:space="preserve"> y </w:t>
      </w:r>
      <w:r w:rsidR="000A5755">
        <w:fldChar w:fldCharType="begin"/>
      </w:r>
      <w:r w:rsidR="000A5755">
        <w:instrText xml:space="preserve"> REF _Ref406494322 \r \h  \* MERGEFORMAT </w:instrText>
      </w:r>
      <w:r w:rsidR="000A5755">
        <w:fldChar w:fldCharType="separate"/>
      </w:r>
      <w:r w:rsidR="002D145C" w:rsidRPr="002D145C">
        <w:rPr>
          <w:rFonts w:eastAsia="Times New Roman"/>
          <w:szCs w:val="20"/>
          <w:lang w:val="es-ES_tradnl" w:eastAsia="es-ES"/>
        </w:rPr>
        <w:t>40</w:t>
      </w:r>
      <w:r w:rsidR="000A5755">
        <w:fldChar w:fldCharType="end"/>
      </w:r>
      <w:r w:rsidR="00CF7B79" w:rsidRPr="00E860DE">
        <w:rPr>
          <w:rFonts w:eastAsia="Times New Roman"/>
          <w:szCs w:val="20"/>
          <w:lang w:val="es-ES_tradnl" w:eastAsia="es-ES"/>
        </w:rPr>
        <w:t xml:space="preserve"> a </w:t>
      </w:r>
      <w:r w:rsidR="000A5755">
        <w:fldChar w:fldCharType="begin"/>
      </w:r>
      <w:r w:rsidR="000A5755">
        <w:instrText xml:space="preserve"> REF _Ref406494330 \r \h  \* MERGEFORMAT </w:instrText>
      </w:r>
      <w:r w:rsidR="000A5755">
        <w:fldChar w:fldCharType="separate"/>
      </w:r>
      <w:r w:rsidR="002D145C" w:rsidRPr="002D145C">
        <w:rPr>
          <w:rFonts w:eastAsia="Times New Roman"/>
          <w:szCs w:val="20"/>
          <w:lang w:val="es-ES_tradnl" w:eastAsia="es-ES"/>
        </w:rPr>
        <w:t>41</w:t>
      </w:r>
      <w:r w:rsidR="000A5755">
        <w:fldChar w:fldCharType="end"/>
      </w:r>
      <w:r w:rsidRPr="00E860DE">
        <w:rPr>
          <w:rFonts w:eastAsia="Times New Roman"/>
          <w:szCs w:val="20"/>
          <w:lang w:val="es-ES_tradnl" w:eastAsia="es-ES"/>
        </w:rPr>
        <w:t xml:space="preserve"> de la presente </w:t>
      </w:r>
      <w:r w:rsidR="006C44F4">
        <w:rPr>
          <w:rFonts w:eastAsia="Times New Roman"/>
          <w:szCs w:val="20"/>
          <w:lang w:val="es-ES_tradnl" w:eastAsia="es-ES"/>
        </w:rPr>
        <w:t>s</w:t>
      </w:r>
      <w:r w:rsidR="00CF7B79" w:rsidRPr="00E860DE">
        <w:rPr>
          <w:rFonts w:eastAsia="Times New Roman"/>
          <w:szCs w:val="20"/>
          <w:lang w:val="es-ES_tradnl" w:eastAsia="es-ES"/>
        </w:rPr>
        <w:t xml:space="preserve">entencia </w:t>
      </w:r>
      <w:r w:rsidRPr="00E860DE">
        <w:rPr>
          <w:rFonts w:eastAsia="Times New Roman"/>
          <w:szCs w:val="20"/>
          <w:lang w:val="es-ES_tradnl" w:eastAsia="es-ES"/>
        </w:rPr>
        <w:t>de interpretación.</w:t>
      </w:r>
    </w:p>
    <w:p w:rsidR="00BE6ADE" w:rsidRPr="00B27C76" w:rsidRDefault="00BE6ADE" w:rsidP="00371831">
      <w:pPr>
        <w:pStyle w:val="Prrafodelista"/>
        <w:tabs>
          <w:tab w:val="left" w:pos="567"/>
        </w:tabs>
        <w:spacing w:before="160" w:after="160" w:line="240" w:lineRule="auto"/>
        <w:ind w:left="0"/>
        <w:contextualSpacing w:val="0"/>
        <w:jc w:val="both"/>
        <w:rPr>
          <w:rFonts w:eastAsia="Times New Roman"/>
          <w:szCs w:val="20"/>
          <w:lang w:val="es-ES_tradnl" w:eastAsia="es-ES"/>
        </w:rPr>
      </w:pPr>
    </w:p>
    <w:p w:rsidR="00787117" w:rsidRPr="00B27C76" w:rsidRDefault="00787117" w:rsidP="00371831">
      <w:pPr>
        <w:pStyle w:val="Prrafodelista"/>
        <w:numPr>
          <w:ilvl w:val="0"/>
          <w:numId w:val="6"/>
        </w:numPr>
        <w:tabs>
          <w:tab w:val="left" w:pos="567"/>
        </w:tabs>
        <w:spacing w:before="160" w:after="160" w:line="240" w:lineRule="auto"/>
        <w:ind w:left="0" w:firstLine="0"/>
        <w:contextualSpacing w:val="0"/>
        <w:jc w:val="both"/>
        <w:rPr>
          <w:rFonts w:eastAsia="Times New Roman"/>
          <w:szCs w:val="20"/>
          <w:lang w:val="es-ES_tradnl" w:eastAsia="es-ES"/>
        </w:rPr>
      </w:pPr>
      <w:r w:rsidRPr="00B27C76">
        <w:rPr>
          <w:rFonts w:eastAsia="Times New Roman"/>
          <w:szCs w:val="20"/>
          <w:lang w:val="es-ES_tradnl" w:eastAsia="es-ES"/>
        </w:rPr>
        <w:t xml:space="preserve">Rectificar </w:t>
      </w:r>
      <w:r w:rsidR="00B011F9" w:rsidRPr="00B27C76">
        <w:rPr>
          <w:rFonts w:eastAsia="Times New Roman"/>
          <w:szCs w:val="20"/>
          <w:lang w:val="es-ES_tradnl" w:eastAsia="es-ES"/>
        </w:rPr>
        <w:t>los</w:t>
      </w:r>
      <w:r w:rsidRPr="00B27C76">
        <w:rPr>
          <w:rFonts w:eastAsia="Times New Roman"/>
          <w:szCs w:val="20"/>
          <w:lang w:val="es-ES_tradnl" w:eastAsia="es-ES"/>
        </w:rPr>
        <w:t xml:space="preserve"> error</w:t>
      </w:r>
      <w:r w:rsidR="00B011F9" w:rsidRPr="00B27C76">
        <w:rPr>
          <w:rFonts w:eastAsia="Times New Roman"/>
          <w:szCs w:val="20"/>
          <w:lang w:val="es-ES_tradnl" w:eastAsia="es-ES"/>
        </w:rPr>
        <w:t>es</w:t>
      </w:r>
      <w:r w:rsidRPr="00B27C76">
        <w:rPr>
          <w:rFonts w:eastAsia="Times New Roman"/>
          <w:szCs w:val="20"/>
          <w:lang w:val="es-ES_tradnl" w:eastAsia="es-ES"/>
        </w:rPr>
        <w:t xml:space="preserve"> material</w:t>
      </w:r>
      <w:r w:rsidR="00B011F9" w:rsidRPr="00B27C76">
        <w:rPr>
          <w:rFonts w:eastAsia="Times New Roman"/>
          <w:szCs w:val="20"/>
          <w:lang w:val="es-ES_tradnl" w:eastAsia="es-ES"/>
        </w:rPr>
        <w:t>es</w:t>
      </w:r>
      <w:r w:rsidRPr="00B27C76">
        <w:rPr>
          <w:rFonts w:eastAsia="Times New Roman"/>
          <w:szCs w:val="20"/>
          <w:lang w:val="es-ES_tradnl" w:eastAsia="es-ES"/>
        </w:rPr>
        <w:t xml:space="preserve"> en </w:t>
      </w:r>
      <w:r w:rsidR="00B011F9" w:rsidRPr="00B27C76">
        <w:rPr>
          <w:rFonts w:eastAsia="Times New Roman"/>
          <w:szCs w:val="20"/>
          <w:lang w:val="es-ES_tradnl" w:eastAsia="es-ES"/>
        </w:rPr>
        <w:t xml:space="preserve">los </w:t>
      </w:r>
      <w:r w:rsidRPr="00B27C76">
        <w:rPr>
          <w:rFonts w:eastAsia="Times New Roman"/>
          <w:szCs w:val="20"/>
          <w:lang w:val="es-ES_tradnl" w:eastAsia="es-ES"/>
        </w:rPr>
        <w:t>párrafo</w:t>
      </w:r>
      <w:r w:rsidR="00B011F9" w:rsidRPr="00B27C76">
        <w:rPr>
          <w:rFonts w:eastAsia="Times New Roman"/>
          <w:szCs w:val="20"/>
          <w:lang w:val="es-ES_tradnl" w:eastAsia="es-ES"/>
        </w:rPr>
        <w:t>s</w:t>
      </w:r>
      <w:r w:rsidRPr="00B27C76">
        <w:rPr>
          <w:rFonts w:eastAsia="Times New Roman"/>
          <w:szCs w:val="20"/>
          <w:lang w:val="es-ES_tradnl" w:eastAsia="es-ES"/>
        </w:rPr>
        <w:t xml:space="preserve"> </w:t>
      </w:r>
      <w:r w:rsidR="000739BB">
        <w:rPr>
          <w:rFonts w:eastAsia="Times New Roman"/>
          <w:szCs w:val="20"/>
          <w:lang w:val="es-ES_tradnl" w:eastAsia="es-ES"/>
        </w:rPr>
        <w:t xml:space="preserve">87 y </w:t>
      </w:r>
      <w:r w:rsidRPr="00B27C76">
        <w:rPr>
          <w:rFonts w:eastAsia="Times New Roman"/>
          <w:szCs w:val="20"/>
          <w:lang w:val="es-ES_tradnl" w:eastAsia="es-ES"/>
        </w:rPr>
        <w:t xml:space="preserve">268 de la Sentencia, respecto del </w:t>
      </w:r>
      <w:r w:rsidR="000739BB" w:rsidRPr="00B27C76">
        <w:rPr>
          <w:rFonts w:eastAsia="Times New Roman"/>
          <w:szCs w:val="20"/>
          <w:lang w:val="es-ES_tradnl" w:eastAsia="es-ES"/>
        </w:rPr>
        <w:t xml:space="preserve">inmueble al cual fue </w:t>
      </w:r>
      <w:r w:rsidR="000739BB">
        <w:rPr>
          <w:rFonts w:eastAsia="Times New Roman"/>
          <w:szCs w:val="20"/>
          <w:lang w:val="es-ES_tradnl" w:eastAsia="es-ES"/>
        </w:rPr>
        <w:t xml:space="preserve">conducida </w:t>
      </w:r>
      <w:r w:rsidR="000739BB" w:rsidRPr="00B27C76">
        <w:rPr>
          <w:rFonts w:eastAsia="Times New Roman"/>
          <w:szCs w:val="20"/>
          <w:lang w:val="es-ES_tradnl" w:eastAsia="es-ES"/>
        </w:rPr>
        <w:t xml:space="preserve">la madre de la señora J. y su hermana </w:t>
      </w:r>
      <w:r w:rsidR="00B011F9" w:rsidRPr="00B27C76">
        <w:rPr>
          <w:rFonts w:eastAsia="Times New Roman"/>
          <w:szCs w:val="20"/>
          <w:lang w:val="es-ES_tradnl" w:eastAsia="es-ES"/>
        </w:rPr>
        <w:t xml:space="preserve">y el </w:t>
      </w:r>
      <w:r w:rsidR="000739BB" w:rsidRPr="00B27C76">
        <w:rPr>
          <w:rFonts w:eastAsia="Times New Roman"/>
          <w:szCs w:val="20"/>
          <w:lang w:val="es-ES_tradnl" w:eastAsia="es-ES"/>
        </w:rPr>
        <w:t xml:space="preserve">cargo del declarante a título informativo Federico Javier </w:t>
      </w:r>
      <w:proofErr w:type="spellStart"/>
      <w:r w:rsidR="000739BB" w:rsidRPr="00B27C76">
        <w:rPr>
          <w:rFonts w:eastAsia="Times New Roman"/>
          <w:szCs w:val="20"/>
          <w:lang w:val="es-ES_tradnl" w:eastAsia="es-ES"/>
        </w:rPr>
        <w:t>Llaque</w:t>
      </w:r>
      <w:proofErr w:type="spellEnd"/>
      <w:r w:rsidR="000739BB" w:rsidRPr="00B27C76">
        <w:rPr>
          <w:rFonts w:eastAsia="Times New Roman"/>
          <w:szCs w:val="20"/>
          <w:lang w:val="es-ES_tradnl" w:eastAsia="es-ES"/>
        </w:rPr>
        <w:t xml:space="preserve"> Moya</w:t>
      </w:r>
      <w:r w:rsidRPr="00B27C76">
        <w:rPr>
          <w:rFonts w:eastAsia="Times New Roman"/>
          <w:szCs w:val="20"/>
          <w:lang w:val="es-ES_tradnl" w:eastAsia="es-ES"/>
        </w:rPr>
        <w:t xml:space="preserve">, de conformidad con </w:t>
      </w:r>
      <w:r w:rsidR="000739BB">
        <w:rPr>
          <w:rFonts w:eastAsia="Times New Roman"/>
          <w:szCs w:val="20"/>
          <w:lang w:val="es-ES_tradnl" w:eastAsia="es-ES"/>
        </w:rPr>
        <w:t xml:space="preserve">los </w:t>
      </w:r>
      <w:r w:rsidRPr="00B27C76">
        <w:rPr>
          <w:rFonts w:eastAsia="Times New Roman"/>
          <w:szCs w:val="20"/>
          <w:lang w:val="es-ES_tradnl" w:eastAsia="es-ES"/>
        </w:rPr>
        <w:t>párrafo</w:t>
      </w:r>
      <w:r w:rsidR="000739BB">
        <w:rPr>
          <w:rFonts w:eastAsia="Times New Roman"/>
          <w:szCs w:val="20"/>
          <w:lang w:val="es-ES_tradnl" w:eastAsia="es-ES"/>
        </w:rPr>
        <w:t>s</w:t>
      </w:r>
      <w:r w:rsidRPr="00B27C76">
        <w:rPr>
          <w:rFonts w:eastAsia="Times New Roman"/>
          <w:szCs w:val="20"/>
          <w:lang w:val="es-ES_tradnl" w:eastAsia="es-ES"/>
        </w:rPr>
        <w:t xml:space="preserve"> </w:t>
      </w:r>
      <w:r w:rsidR="00C62C4C">
        <w:rPr>
          <w:rFonts w:eastAsia="Times New Roman"/>
          <w:szCs w:val="20"/>
          <w:lang w:val="es-ES_tradnl" w:eastAsia="es-ES"/>
        </w:rPr>
        <w:fldChar w:fldCharType="begin"/>
      </w:r>
      <w:r w:rsidR="00CF7B79">
        <w:rPr>
          <w:rFonts w:eastAsia="Times New Roman"/>
          <w:szCs w:val="20"/>
          <w:lang w:val="es-ES_tradnl" w:eastAsia="es-ES"/>
        </w:rPr>
        <w:instrText xml:space="preserve"> REF _Ref406493509 \r \h </w:instrText>
      </w:r>
      <w:r w:rsidR="00C62C4C">
        <w:rPr>
          <w:rFonts w:eastAsia="Times New Roman"/>
          <w:szCs w:val="20"/>
          <w:lang w:val="es-ES_tradnl" w:eastAsia="es-ES"/>
        </w:rPr>
      </w:r>
      <w:r w:rsidR="00C62C4C">
        <w:rPr>
          <w:rFonts w:eastAsia="Times New Roman"/>
          <w:szCs w:val="20"/>
          <w:lang w:val="es-ES_tradnl" w:eastAsia="es-ES"/>
        </w:rPr>
        <w:fldChar w:fldCharType="separate"/>
      </w:r>
      <w:r w:rsidR="002D145C">
        <w:rPr>
          <w:rFonts w:eastAsia="Times New Roman"/>
          <w:szCs w:val="20"/>
          <w:lang w:val="es-ES_tradnl" w:eastAsia="es-ES"/>
        </w:rPr>
        <w:t>37</w:t>
      </w:r>
      <w:r w:rsidR="00C62C4C">
        <w:rPr>
          <w:rFonts w:eastAsia="Times New Roman"/>
          <w:szCs w:val="20"/>
          <w:lang w:val="es-ES_tradnl" w:eastAsia="es-ES"/>
        </w:rPr>
        <w:fldChar w:fldCharType="end"/>
      </w:r>
      <w:r w:rsidR="00CF7B79">
        <w:rPr>
          <w:rFonts w:eastAsia="Times New Roman"/>
          <w:szCs w:val="20"/>
          <w:lang w:val="es-ES_tradnl" w:eastAsia="es-ES"/>
        </w:rPr>
        <w:t xml:space="preserve"> y </w:t>
      </w:r>
      <w:r w:rsidR="00C62C4C">
        <w:rPr>
          <w:rFonts w:eastAsia="Times New Roman"/>
          <w:szCs w:val="20"/>
          <w:lang w:val="es-ES_tradnl" w:eastAsia="es-ES"/>
        </w:rPr>
        <w:fldChar w:fldCharType="begin"/>
      </w:r>
      <w:r w:rsidR="00CF7B79">
        <w:rPr>
          <w:rFonts w:eastAsia="Times New Roman"/>
          <w:szCs w:val="20"/>
          <w:lang w:val="es-ES_tradnl" w:eastAsia="es-ES"/>
        </w:rPr>
        <w:instrText xml:space="preserve"> REF _Ref403116127 \r \h </w:instrText>
      </w:r>
      <w:r w:rsidR="00C62C4C">
        <w:rPr>
          <w:rFonts w:eastAsia="Times New Roman"/>
          <w:szCs w:val="20"/>
          <w:lang w:val="es-ES_tradnl" w:eastAsia="es-ES"/>
        </w:rPr>
      </w:r>
      <w:r w:rsidR="00C62C4C">
        <w:rPr>
          <w:rFonts w:eastAsia="Times New Roman"/>
          <w:szCs w:val="20"/>
          <w:lang w:val="es-ES_tradnl" w:eastAsia="es-ES"/>
        </w:rPr>
        <w:fldChar w:fldCharType="separate"/>
      </w:r>
      <w:r w:rsidR="002D145C">
        <w:rPr>
          <w:rFonts w:eastAsia="Times New Roman"/>
          <w:szCs w:val="20"/>
          <w:lang w:val="es-ES_tradnl" w:eastAsia="es-ES"/>
        </w:rPr>
        <w:t>38</w:t>
      </w:r>
      <w:r w:rsidR="00C62C4C">
        <w:rPr>
          <w:rFonts w:eastAsia="Times New Roman"/>
          <w:szCs w:val="20"/>
          <w:lang w:val="es-ES_tradnl" w:eastAsia="es-ES"/>
        </w:rPr>
        <w:fldChar w:fldCharType="end"/>
      </w:r>
      <w:r w:rsidR="00CF7B79">
        <w:rPr>
          <w:rFonts w:eastAsia="Times New Roman"/>
          <w:szCs w:val="20"/>
          <w:lang w:val="es-ES_tradnl" w:eastAsia="es-ES"/>
        </w:rPr>
        <w:t xml:space="preserve"> </w:t>
      </w:r>
      <w:r w:rsidR="006C44F4">
        <w:rPr>
          <w:rFonts w:eastAsia="Times New Roman"/>
          <w:szCs w:val="20"/>
          <w:lang w:val="es-ES_tradnl" w:eastAsia="es-ES"/>
        </w:rPr>
        <w:t>de la presente s</w:t>
      </w:r>
      <w:r w:rsidRPr="00B27C76">
        <w:rPr>
          <w:rFonts w:eastAsia="Times New Roman"/>
          <w:szCs w:val="20"/>
          <w:lang w:val="es-ES_tradnl" w:eastAsia="es-ES"/>
        </w:rPr>
        <w:t xml:space="preserve">entencia de interpretación. </w:t>
      </w:r>
    </w:p>
    <w:p w:rsidR="00B6703B" w:rsidRPr="00B27C76" w:rsidRDefault="00B6703B" w:rsidP="00371831">
      <w:pPr>
        <w:pStyle w:val="Prrafodelista"/>
        <w:tabs>
          <w:tab w:val="left" w:pos="567"/>
        </w:tabs>
        <w:spacing w:before="160" w:after="160" w:line="240" w:lineRule="auto"/>
        <w:ind w:left="0"/>
        <w:contextualSpacing w:val="0"/>
        <w:jc w:val="both"/>
        <w:rPr>
          <w:rFonts w:eastAsia="Times New Roman"/>
          <w:szCs w:val="20"/>
          <w:lang w:val="es-ES_tradnl" w:eastAsia="es-ES"/>
        </w:rPr>
      </w:pPr>
    </w:p>
    <w:p w:rsidR="003B3309" w:rsidRDefault="00B6703B" w:rsidP="00371831">
      <w:pPr>
        <w:pStyle w:val="Prrafodelista"/>
        <w:numPr>
          <w:ilvl w:val="0"/>
          <w:numId w:val="6"/>
        </w:numPr>
        <w:tabs>
          <w:tab w:val="left" w:pos="567"/>
        </w:tabs>
        <w:spacing w:before="160" w:after="160" w:line="240" w:lineRule="auto"/>
        <w:ind w:left="0" w:firstLine="0"/>
        <w:contextualSpacing w:val="0"/>
        <w:jc w:val="both"/>
        <w:rPr>
          <w:rFonts w:eastAsia="Batang"/>
          <w:szCs w:val="20"/>
          <w:lang w:val="es-ES_tradnl"/>
        </w:rPr>
      </w:pPr>
      <w:r w:rsidRPr="00B27C76">
        <w:rPr>
          <w:rFonts w:eastAsia="Batang"/>
          <w:szCs w:val="20"/>
          <w:lang w:val="es-ES_tradnl"/>
        </w:rPr>
        <w:t xml:space="preserve">Disponer que la Secretaría de la Corte notifique la presente </w:t>
      </w:r>
      <w:r w:rsidR="006C44F4">
        <w:rPr>
          <w:rFonts w:eastAsia="Batang"/>
          <w:szCs w:val="20"/>
          <w:lang w:val="es-ES_tradnl"/>
        </w:rPr>
        <w:t>s</w:t>
      </w:r>
      <w:r w:rsidRPr="00B27C76">
        <w:rPr>
          <w:rFonts w:eastAsia="Batang"/>
          <w:szCs w:val="20"/>
          <w:lang w:val="es-ES_tradnl"/>
        </w:rPr>
        <w:t xml:space="preserve">entencia </w:t>
      </w:r>
      <w:r w:rsidR="006C44F4" w:rsidRPr="00B27C76">
        <w:rPr>
          <w:rFonts w:eastAsia="Times New Roman"/>
          <w:szCs w:val="20"/>
          <w:lang w:val="es-ES_tradnl" w:eastAsia="es-ES"/>
        </w:rPr>
        <w:t>de interpretación</w:t>
      </w:r>
      <w:r w:rsidR="006C44F4" w:rsidRPr="00B27C76">
        <w:rPr>
          <w:rFonts w:eastAsia="Batang"/>
          <w:szCs w:val="20"/>
          <w:lang w:val="es-ES_tradnl"/>
        </w:rPr>
        <w:t xml:space="preserve"> </w:t>
      </w:r>
      <w:r w:rsidRPr="00B27C76">
        <w:rPr>
          <w:rFonts w:eastAsia="Batang"/>
          <w:szCs w:val="20"/>
          <w:lang w:val="es-ES_tradnl"/>
        </w:rPr>
        <w:t>a la República de</w:t>
      </w:r>
      <w:r w:rsidR="00787117" w:rsidRPr="00B27C76">
        <w:rPr>
          <w:rFonts w:eastAsia="Batang"/>
          <w:szCs w:val="20"/>
          <w:lang w:val="es-ES_tradnl"/>
        </w:rPr>
        <w:t>l Perú</w:t>
      </w:r>
      <w:r w:rsidRPr="00B27C76">
        <w:rPr>
          <w:rFonts w:eastAsia="Batang"/>
          <w:szCs w:val="20"/>
          <w:lang w:val="es-ES_tradnl"/>
        </w:rPr>
        <w:t xml:space="preserve">, a </w:t>
      </w:r>
      <w:r w:rsidR="00787117" w:rsidRPr="00B27C76">
        <w:rPr>
          <w:rFonts w:eastAsia="Batang"/>
          <w:szCs w:val="20"/>
          <w:lang w:val="es-ES_tradnl"/>
        </w:rPr>
        <w:t>la representante de la víctima</w:t>
      </w:r>
      <w:r w:rsidRPr="00B27C76">
        <w:rPr>
          <w:rFonts w:eastAsia="Batang"/>
          <w:szCs w:val="20"/>
          <w:lang w:val="es-ES_tradnl"/>
        </w:rPr>
        <w:t xml:space="preserve"> y a la Comisión Interamericana de Derechos Humanos.</w:t>
      </w:r>
    </w:p>
    <w:p w:rsidR="003B3309" w:rsidRDefault="003B3309">
      <w:pPr>
        <w:rPr>
          <w:rFonts w:eastAsia="Batang"/>
          <w:szCs w:val="20"/>
          <w:lang w:val="es-ES_tradnl"/>
        </w:rPr>
      </w:pPr>
      <w:bookmarkStart w:id="32" w:name="_GoBack"/>
      <w:bookmarkEnd w:id="32"/>
    </w:p>
    <w:p w:rsidR="003B3309" w:rsidRPr="003B3309" w:rsidRDefault="003B3309" w:rsidP="003B3309">
      <w:pPr>
        <w:pStyle w:val="Ttulo1"/>
        <w:rPr>
          <w:rFonts w:ascii="Verdana" w:eastAsia="Batang" w:hAnsi="Verdana" w:cs="Times New Roman"/>
          <w:b w:val="0"/>
          <w:bCs w:val="0"/>
          <w:color w:val="auto"/>
          <w:sz w:val="20"/>
          <w:szCs w:val="20"/>
          <w:lang w:val="es-ES_tradnl"/>
        </w:rPr>
      </w:pPr>
      <w:r w:rsidRPr="003B3309">
        <w:rPr>
          <w:rFonts w:ascii="Verdana" w:eastAsia="Batang" w:hAnsi="Verdana" w:cs="Times New Roman"/>
          <w:b w:val="0"/>
          <w:bCs w:val="0"/>
          <w:color w:val="auto"/>
          <w:sz w:val="20"/>
          <w:szCs w:val="20"/>
          <w:lang w:val="es-ES_tradnl"/>
        </w:rPr>
        <w:t>Redactada en español en San José, Costa Rica, el 20 de noviembre de 2014.</w:t>
      </w:r>
    </w:p>
    <w:p w:rsidR="003B3309" w:rsidRPr="006847A1" w:rsidRDefault="003B3309" w:rsidP="003B3309">
      <w:pPr>
        <w:jc w:val="center"/>
        <w:rPr>
          <w:lang w:val="es-ES_tradnl"/>
        </w:rPr>
      </w:pPr>
    </w:p>
    <w:p w:rsidR="003B3309" w:rsidRDefault="003B3309" w:rsidP="003B3309">
      <w:pPr>
        <w:jc w:val="center"/>
        <w:rPr>
          <w:lang w:val="es-ES"/>
        </w:rPr>
      </w:pPr>
    </w:p>
    <w:p w:rsidR="003B3309" w:rsidRPr="004B7A1D" w:rsidRDefault="003B3309" w:rsidP="003B3309">
      <w:pPr>
        <w:jc w:val="center"/>
        <w:rPr>
          <w:lang w:val="es-ES"/>
        </w:rPr>
      </w:pPr>
      <w:r w:rsidRPr="004B7A1D">
        <w:rPr>
          <w:lang w:val="es-ES"/>
        </w:rPr>
        <w:t>Humberto Antonio Sierra Porto</w:t>
      </w:r>
    </w:p>
    <w:p w:rsidR="003B3309" w:rsidRPr="004B7A1D" w:rsidRDefault="003B3309" w:rsidP="003B3309">
      <w:pPr>
        <w:jc w:val="center"/>
        <w:rPr>
          <w:lang w:val="es-ES"/>
        </w:rPr>
      </w:pPr>
      <w:r w:rsidRPr="004B7A1D">
        <w:rPr>
          <w:lang w:val="es-ES"/>
        </w:rPr>
        <w:t xml:space="preserve">Presidente </w:t>
      </w:r>
    </w:p>
    <w:p w:rsidR="003B3309" w:rsidRPr="004B7A1D" w:rsidRDefault="003B3309" w:rsidP="003B3309">
      <w:pPr>
        <w:jc w:val="both"/>
        <w:rPr>
          <w:lang w:val="es-ES"/>
        </w:rPr>
      </w:pPr>
    </w:p>
    <w:p w:rsidR="003B3309" w:rsidRPr="004B7A1D" w:rsidRDefault="003B3309" w:rsidP="003B3309">
      <w:pPr>
        <w:jc w:val="both"/>
        <w:rPr>
          <w:lang w:val="es-ES"/>
        </w:rPr>
      </w:pPr>
      <w:r w:rsidRPr="004B7A1D">
        <w:rPr>
          <w:lang w:val="es-ES"/>
        </w:rPr>
        <w:lastRenderedPageBreak/>
        <w:t>Roberto F. Caldas</w:t>
      </w:r>
      <w:r w:rsidRPr="004B7A1D">
        <w:rPr>
          <w:lang w:val="es-ES"/>
        </w:rPr>
        <w:tab/>
      </w:r>
      <w:r w:rsidRPr="004B7A1D">
        <w:rPr>
          <w:lang w:val="es-ES"/>
        </w:rPr>
        <w:tab/>
      </w:r>
      <w:r w:rsidRPr="004B7A1D">
        <w:rPr>
          <w:lang w:val="es-ES"/>
        </w:rPr>
        <w:tab/>
      </w:r>
      <w:r w:rsidRPr="004B7A1D">
        <w:rPr>
          <w:lang w:val="es-ES"/>
        </w:rPr>
        <w:tab/>
      </w:r>
      <w:r w:rsidRPr="004B7A1D">
        <w:rPr>
          <w:lang w:val="es-ES"/>
        </w:rPr>
        <w:tab/>
      </w:r>
      <w:r w:rsidRPr="004B7A1D">
        <w:rPr>
          <w:lang w:val="es-ES"/>
        </w:rPr>
        <w:tab/>
        <w:t xml:space="preserve">    </w:t>
      </w:r>
      <w:r>
        <w:rPr>
          <w:lang w:val="es-ES"/>
        </w:rPr>
        <w:t xml:space="preserve">    </w:t>
      </w:r>
      <w:r w:rsidRPr="004B7A1D">
        <w:rPr>
          <w:lang w:val="es-ES"/>
        </w:rPr>
        <w:t>Manuel E. Ventura Robles</w:t>
      </w:r>
    </w:p>
    <w:p w:rsidR="003B3309" w:rsidRPr="004B7A1D" w:rsidRDefault="003B3309" w:rsidP="003B3309">
      <w:pPr>
        <w:jc w:val="both"/>
        <w:rPr>
          <w:lang w:val="es-ES"/>
        </w:rPr>
      </w:pPr>
    </w:p>
    <w:p w:rsidR="003B3309" w:rsidRPr="004B7A1D" w:rsidRDefault="003B3309" w:rsidP="003B3309">
      <w:pPr>
        <w:jc w:val="both"/>
        <w:rPr>
          <w:lang w:val="es-ES"/>
        </w:rPr>
      </w:pPr>
    </w:p>
    <w:p w:rsidR="003B3309" w:rsidRPr="004B7A1D" w:rsidRDefault="003B3309" w:rsidP="003B3309">
      <w:pPr>
        <w:rPr>
          <w:lang w:val="es-ES"/>
        </w:rPr>
      </w:pPr>
      <w:r w:rsidRPr="004B7A1D">
        <w:rPr>
          <w:lang w:val="es-ES"/>
        </w:rPr>
        <w:t xml:space="preserve">Eduardo Vio Grossi </w:t>
      </w:r>
      <w:r>
        <w:rPr>
          <w:lang w:val="es-ES"/>
        </w:rPr>
        <w:tab/>
      </w:r>
      <w:r>
        <w:rPr>
          <w:lang w:val="es-ES"/>
        </w:rPr>
        <w:tab/>
      </w:r>
      <w:r>
        <w:rPr>
          <w:lang w:val="es-ES"/>
        </w:rPr>
        <w:tab/>
      </w:r>
      <w:r>
        <w:rPr>
          <w:lang w:val="es-ES"/>
        </w:rPr>
        <w:tab/>
      </w:r>
      <w:r>
        <w:rPr>
          <w:lang w:val="es-ES"/>
        </w:rPr>
        <w:tab/>
        <w:t xml:space="preserve">      </w:t>
      </w:r>
      <w:r w:rsidRPr="004B7A1D">
        <w:rPr>
          <w:lang w:val="es-ES"/>
        </w:rPr>
        <w:t>Eduardo Ferrer Mac-</w:t>
      </w:r>
      <w:proofErr w:type="spellStart"/>
      <w:r w:rsidRPr="004B7A1D">
        <w:rPr>
          <w:lang w:val="es-ES"/>
        </w:rPr>
        <w:t>Gregor</w:t>
      </w:r>
      <w:proofErr w:type="spellEnd"/>
      <w:r w:rsidRPr="004B7A1D">
        <w:rPr>
          <w:lang w:val="es-ES"/>
        </w:rPr>
        <w:t xml:space="preserve"> </w:t>
      </w:r>
      <w:proofErr w:type="spellStart"/>
      <w:r w:rsidRPr="004B7A1D">
        <w:rPr>
          <w:lang w:val="es-ES"/>
        </w:rPr>
        <w:t>Poisot</w:t>
      </w:r>
      <w:proofErr w:type="spellEnd"/>
    </w:p>
    <w:p w:rsidR="003B3309" w:rsidRPr="004B7A1D" w:rsidRDefault="003B3309" w:rsidP="003B3309">
      <w:pPr>
        <w:jc w:val="both"/>
        <w:rPr>
          <w:lang w:val="es-ES"/>
        </w:rPr>
      </w:pPr>
    </w:p>
    <w:p w:rsidR="003B3309" w:rsidRPr="004B7A1D" w:rsidRDefault="003B3309" w:rsidP="003B3309">
      <w:pPr>
        <w:jc w:val="both"/>
        <w:rPr>
          <w:lang w:val="es-ES"/>
        </w:rPr>
      </w:pPr>
    </w:p>
    <w:p w:rsidR="003B3309" w:rsidRPr="004B7A1D" w:rsidRDefault="003B3309" w:rsidP="003B3309">
      <w:pPr>
        <w:jc w:val="center"/>
        <w:rPr>
          <w:lang w:val="es-ES"/>
        </w:rPr>
      </w:pPr>
      <w:r w:rsidRPr="004B7A1D">
        <w:rPr>
          <w:lang w:val="es-ES"/>
        </w:rPr>
        <w:t>Pablo Saavedra Alessandri</w:t>
      </w:r>
    </w:p>
    <w:p w:rsidR="003B3309" w:rsidRPr="004B7A1D" w:rsidRDefault="003B3309" w:rsidP="003B3309">
      <w:pPr>
        <w:jc w:val="center"/>
        <w:rPr>
          <w:lang w:val="es-ES"/>
        </w:rPr>
      </w:pPr>
      <w:r w:rsidRPr="004B7A1D">
        <w:rPr>
          <w:lang w:val="es-ES"/>
        </w:rPr>
        <w:t>Secretario</w:t>
      </w:r>
    </w:p>
    <w:p w:rsidR="003B3309" w:rsidRPr="004B7A1D" w:rsidRDefault="003B3309" w:rsidP="003B3309">
      <w:pPr>
        <w:rPr>
          <w:lang w:val="es-ES"/>
        </w:rPr>
      </w:pPr>
    </w:p>
    <w:p w:rsidR="003B3309" w:rsidRPr="004B7A1D" w:rsidRDefault="003B3309" w:rsidP="003B3309">
      <w:pPr>
        <w:pStyle w:val="Textonotapie"/>
        <w:rPr>
          <w:lang w:val="es-ES"/>
        </w:rPr>
      </w:pPr>
    </w:p>
    <w:p w:rsidR="003B3309" w:rsidRPr="004B7A1D" w:rsidRDefault="003B3309" w:rsidP="003B3309">
      <w:pPr>
        <w:pStyle w:val="Textonotapie"/>
        <w:rPr>
          <w:lang w:val="es-ES"/>
        </w:rPr>
      </w:pPr>
    </w:p>
    <w:p w:rsidR="003B3309" w:rsidRPr="004B7A1D" w:rsidRDefault="003B3309" w:rsidP="003B3309">
      <w:pPr>
        <w:pStyle w:val="Textonotapie"/>
        <w:rPr>
          <w:lang w:val="es-ES"/>
        </w:rPr>
      </w:pPr>
    </w:p>
    <w:p w:rsidR="003B3309" w:rsidRPr="004B7A1D" w:rsidRDefault="003B3309" w:rsidP="003B3309">
      <w:pPr>
        <w:pStyle w:val="Textonotapie"/>
        <w:rPr>
          <w:lang w:val="es-ES"/>
        </w:rPr>
      </w:pPr>
    </w:p>
    <w:p w:rsidR="003B3309" w:rsidRPr="004B7A1D" w:rsidRDefault="003B3309" w:rsidP="003B3309">
      <w:pPr>
        <w:jc w:val="both"/>
        <w:rPr>
          <w:lang w:val="es-ES"/>
        </w:rPr>
      </w:pPr>
      <w:r w:rsidRPr="004B7A1D">
        <w:rPr>
          <w:lang w:val="es-ES"/>
        </w:rPr>
        <w:t>Comuníquese y ejecútese,</w:t>
      </w:r>
    </w:p>
    <w:p w:rsidR="003B3309" w:rsidRPr="004B7A1D" w:rsidRDefault="003B3309" w:rsidP="003B3309">
      <w:pPr>
        <w:jc w:val="both"/>
      </w:pPr>
    </w:p>
    <w:p w:rsidR="003B3309" w:rsidRPr="004B7A1D" w:rsidRDefault="003B3309" w:rsidP="003B3309">
      <w:pPr>
        <w:ind w:left="5664"/>
        <w:jc w:val="center"/>
        <w:rPr>
          <w:lang w:val="es-ES"/>
        </w:rPr>
      </w:pPr>
      <w:r w:rsidRPr="004B7A1D">
        <w:rPr>
          <w:lang w:val="es-ES"/>
        </w:rPr>
        <w:t>Humberto Antonio Sierra Porto</w:t>
      </w:r>
    </w:p>
    <w:p w:rsidR="003B3309" w:rsidRPr="004B7A1D" w:rsidRDefault="003B3309" w:rsidP="003B3309">
      <w:pPr>
        <w:ind w:left="5664"/>
        <w:jc w:val="center"/>
        <w:rPr>
          <w:lang w:val="es-ES"/>
        </w:rPr>
      </w:pPr>
      <w:r w:rsidRPr="004B7A1D">
        <w:rPr>
          <w:lang w:val="es-ES"/>
        </w:rPr>
        <w:t>Presidente</w:t>
      </w:r>
    </w:p>
    <w:p w:rsidR="003B3309" w:rsidRPr="004B7A1D" w:rsidRDefault="003B3309" w:rsidP="003B3309">
      <w:pPr>
        <w:jc w:val="both"/>
        <w:rPr>
          <w:lang w:val="es-ES"/>
        </w:rPr>
      </w:pPr>
    </w:p>
    <w:p w:rsidR="003B3309" w:rsidRPr="004B7A1D" w:rsidRDefault="003B3309" w:rsidP="003B3309">
      <w:pPr>
        <w:jc w:val="both"/>
        <w:rPr>
          <w:lang w:val="es-ES"/>
        </w:rPr>
      </w:pPr>
    </w:p>
    <w:p w:rsidR="003B3309" w:rsidRPr="004B7A1D" w:rsidRDefault="003B3309" w:rsidP="003B3309">
      <w:pPr>
        <w:jc w:val="both"/>
        <w:rPr>
          <w:lang w:val="es-ES"/>
        </w:rPr>
      </w:pPr>
    </w:p>
    <w:p w:rsidR="003B3309" w:rsidRPr="004B7A1D" w:rsidRDefault="003B3309" w:rsidP="003B3309">
      <w:pPr>
        <w:jc w:val="both"/>
        <w:rPr>
          <w:lang w:val="es-ES"/>
        </w:rPr>
      </w:pPr>
      <w:r w:rsidRPr="004B7A1D">
        <w:rPr>
          <w:lang w:val="es-ES"/>
        </w:rPr>
        <w:t>Pablo Saavedra Alessandri</w:t>
      </w:r>
    </w:p>
    <w:p w:rsidR="003B3309" w:rsidRPr="004B7A1D" w:rsidRDefault="003B3309" w:rsidP="003B3309">
      <w:r w:rsidRPr="004B7A1D">
        <w:rPr>
          <w:lang w:val="es-ES"/>
        </w:rPr>
        <w:tab/>
      </w:r>
      <w:r w:rsidRPr="004B7A1D">
        <w:t>Secretario</w:t>
      </w:r>
    </w:p>
    <w:p w:rsidR="00E723EE" w:rsidRPr="00FE1015" w:rsidRDefault="00E723EE" w:rsidP="003B3309">
      <w:pPr>
        <w:pStyle w:val="Prrafodelista"/>
        <w:tabs>
          <w:tab w:val="left" w:pos="567"/>
        </w:tabs>
        <w:spacing w:before="160" w:after="160" w:line="240" w:lineRule="auto"/>
        <w:ind w:left="0"/>
        <w:contextualSpacing w:val="0"/>
        <w:jc w:val="both"/>
        <w:rPr>
          <w:rFonts w:eastAsia="Batang"/>
          <w:szCs w:val="20"/>
          <w:lang w:val="es-ES_tradnl"/>
        </w:rPr>
      </w:pPr>
    </w:p>
    <w:sectPr w:rsidR="00E723EE" w:rsidRPr="00FE1015" w:rsidSect="00C51A0F">
      <w:head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755" w:rsidRDefault="000A5755" w:rsidP="00970448">
      <w:pPr>
        <w:spacing w:after="0" w:line="240" w:lineRule="auto"/>
      </w:pPr>
      <w:r>
        <w:separator/>
      </w:r>
    </w:p>
  </w:endnote>
  <w:endnote w:type="continuationSeparator" w:id="0">
    <w:p w:rsidR="000A5755" w:rsidRDefault="000A5755" w:rsidP="00970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755" w:rsidRDefault="000A5755" w:rsidP="00970448">
      <w:pPr>
        <w:spacing w:after="0" w:line="240" w:lineRule="auto"/>
      </w:pPr>
      <w:r>
        <w:separator/>
      </w:r>
    </w:p>
  </w:footnote>
  <w:footnote w:type="continuationSeparator" w:id="0">
    <w:p w:rsidR="000A5755" w:rsidRDefault="000A5755" w:rsidP="00970448">
      <w:pPr>
        <w:spacing w:after="0" w:line="240" w:lineRule="auto"/>
      </w:pPr>
      <w:r>
        <w:continuationSeparator/>
      </w:r>
    </w:p>
  </w:footnote>
  <w:footnote w:id="1">
    <w:p w:rsidR="000E53D3" w:rsidRPr="00CA4398" w:rsidRDefault="000E53D3" w:rsidP="00BA4B0C">
      <w:pPr>
        <w:pStyle w:val="Textonotapie"/>
        <w:tabs>
          <w:tab w:val="left" w:pos="426"/>
        </w:tabs>
        <w:spacing w:before="120" w:after="120"/>
        <w:jc w:val="both"/>
        <w:rPr>
          <w:szCs w:val="16"/>
        </w:rPr>
      </w:pPr>
      <w:r w:rsidRPr="00CA4398">
        <w:rPr>
          <w:rStyle w:val="Refdenotaalpie"/>
          <w:szCs w:val="16"/>
        </w:rPr>
        <w:footnoteRef/>
      </w:r>
      <w:r w:rsidRPr="00CA4398">
        <w:rPr>
          <w:szCs w:val="16"/>
        </w:rPr>
        <w:t xml:space="preserve"> </w:t>
      </w:r>
      <w:r w:rsidRPr="00CA4398">
        <w:rPr>
          <w:szCs w:val="16"/>
        </w:rPr>
        <w:tab/>
        <w:t>El Juez Diego García Sayán, de nacionalidad peruana, no participó en el conocimiento y deliberación de</w:t>
      </w:r>
      <w:r>
        <w:rPr>
          <w:szCs w:val="16"/>
        </w:rPr>
        <w:t>l presente caso</w:t>
      </w:r>
      <w:r w:rsidRPr="00CA4398">
        <w:rPr>
          <w:szCs w:val="16"/>
        </w:rPr>
        <w:t>, de conformidad con lo dispuesto en el artículo 19.1 del Reglamento de la Corte.</w:t>
      </w:r>
      <w:r>
        <w:rPr>
          <w:szCs w:val="16"/>
        </w:rPr>
        <w:t xml:space="preserve"> </w:t>
      </w:r>
      <w:r w:rsidRPr="005C7A50">
        <w:t xml:space="preserve">Además, el Juez Alberto Pérez </w:t>
      </w:r>
      <w:proofErr w:type="spellStart"/>
      <w:r w:rsidRPr="005C7A50">
        <w:t>Pérez</w:t>
      </w:r>
      <w:proofErr w:type="spellEnd"/>
      <w:r w:rsidRPr="005C7A50">
        <w:t>, por motivos de fuerza mayor, no participó en la deliberación y firma de la presente Sentencia.</w:t>
      </w:r>
      <w:r w:rsidRPr="00CA4398">
        <w:rPr>
          <w:szCs w:val="16"/>
        </w:rPr>
        <w:t xml:space="preserve"> </w:t>
      </w:r>
    </w:p>
  </w:footnote>
  <w:footnote w:id="2">
    <w:p w:rsidR="000E53D3" w:rsidRPr="00CA4398" w:rsidRDefault="000E53D3" w:rsidP="00BA4B0C">
      <w:pPr>
        <w:pStyle w:val="Sinespaciado"/>
        <w:tabs>
          <w:tab w:val="left" w:pos="426"/>
          <w:tab w:val="left" w:pos="567"/>
        </w:tabs>
        <w:spacing w:before="120" w:after="120"/>
        <w:jc w:val="both"/>
        <w:rPr>
          <w:rFonts w:ascii="Verdana" w:hAnsi="Verdana"/>
          <w:sz w:val="16"/>
          <w:szCs w:val="16"/>
        </w:rPr>
      </w:pPr>
      <w:r w:rsidRPr="00CA4398">
        <w:rPr>
          <w:rStyle w:val="Refdenotaalpie"/>
          <w:rFonts w:ascii="Verdana" w:hAnsi="Verdana"/>
          <w:sz w:val="16"/>
          <w:szCs w:val="16"/>
        </w:rPr>
        <w:footnoteRef/>
      </w:r>
      <w:r w:rsidRPr="00CA4398">
        <w:rPr>
          <w:rFonts w:ascii="Verdana" w:hAnsi="Verdana"/>
          <w:sz w:val="16"/>
          <w:szCs w:val="16"/>
        </w:rPr>
        <w:t xml:space="preserve"> </w:t>
      </w:r>
      <w:r w:rsidRPr="00CA4398">
        <w:rPr>
          <w:rFonts w:ascii="Verdana" w:hAnsi="Verdana"/>
          <w:sz w:val="16"/>
          <w:szCs w:val="16"/>
        </w:rPr>
        <w:tab/>
        <w:t xml:space="preserve">En su solicitud de interpretación, el Estado se refirió a este declarante a título informativo como Javier </w:t>
      </w:r>
      <w:proofErr w:type="spellStart"/>
      <w:r w:rsidRPr="00CA4398">
        <w:rPr>
          <w:rFonts w:ascii="Verdana" w:hAnsi="Verdana"/>
          <w:sz w:val="16"/>
          <w:szCs w:val="16"/>
        </w:rPr>
        <w:t>Llaque</w:t>
      </w:r>
      <w:proofErr w:type="spellEnd"/>
      <w:r w:rsidRPr="00CA4398">
        <w:rPr>
          <w:rFonts w:ascii="Verdana" w:hAnsi="Verdana"/>
          <w:sz w:val="16"/>
          <w:szCs w:val="16"/>
        </w:rPr>
        <w:t xml:space="preserve"> Moya. A efectos de esta Sentencia, se le identificará como Federico Javier </w:t>
      </w:r>
      <w:proofErr w:type="spellStart"/>
      <w:r w:rsidRPr="00CA4398">
        <w:rPr>
          <w:rFonts w:ascii="Verdana" w:hAnsi="Verdana"/>
          <w:sz w:val="16"/>
          <w:szCs w:val="16"/>
        </w:rPr>
        <w:t>Llaque</w:t>
      </w:r>
      <w:proofErr w:type="spellEnd"/>
      <w:r w:rsidRPr="00CA4398">
        <w:rPr>
          <w:rFonts w:ascii="Verdana" w:hAnsi="Verdana"/>
          <w:sz w:val="16"/>
          <w:szCs w:val="16"/>
        </w:rPr>
        <w:t xml:space="preserve"> Moya, como fue identificado en la Sentencia y se identifica a sí mismo el señor </w:t>
      </w:r>
      <w:proofErr w:type="spellStart"/>
      <w:r w:rsidRPr="00CA4398">
        <w:rPr>
          <w:rFonts w:ascii="Verdana" w:hAnsi="Verdana"/>
          <w:sz w:val="16"/>
          <w:szCs w:val="16"/>
        </w:rPr>
        <w:t>Llaque</w:t>
      </w:r>
      <w:proofErr w:type="spellEnd"/>
      <w:r w:rsidRPr="00CA4398">
        <w:rPr>
          <w:rFonts w:ascii="Verdana" w:hAnsi="Verdana"/>
          <w:sz w:val="16"/>
          <w:szCs w:val="16"/>
        </w:rPr>
        <w:t xml:space="preserve"> Moya en su hoja de vida. </w:t>
      </w:r>
    </w:p>
  </w:footnote>
  <w:footnote w:id="3">
    <w:p w:rsidR="000E53D3" w:rsidRPr="00C10360" w:rsidRDefault="000E53D3" w:rsidP="00BA4B0C">
      <w:pPr>
        <w:pStyle w:val="Textonotapie"/>
        <w:tabs>
          <w:tab w:val="left" w:pos="426"/>
          <w:tab w:val="left" w:pos="567"/>
        </w:tabs>
        <w:spacing w:before="120" w:after="120"/>
        <w:jc w:val="both"/>
        <w:rPr>
          <w:szCs w:val="16"/>
          <w:lang w:val="es-CO"/>
        </w:rPr>
      </w:pPr>
      <w:r w:rsidRPr="00C10360">
        <w:rPr>
          <w:rStyle w:val="Refdenotaalpie"/>
          <w:szCs w:val="16"/>
          <w:lang w:val="es-CO"/>
        </w:rPr>
        <w:footnoteRef/>
      </w:r>
      <w:r w:rsidRPr="00C10360">
        <w:rPr>
          <w:szCs w:val="16"/>
          <w:lang w:val="es-CO"/>
        </w:rPr>
        <w:t xml:space="preserve"> </w:t>
      </w:r>
      <w:r w:rsidRPr="00C10360">
        <w:rPr>
          <w:szCs w:val="16"/>
          <w:lang w:val="es-CO"/>
        </w:rPr>
        <w:tab/>
      </w:r>
      <w:r w:rsidRPr="00C10360">
        <w:rPr>
          <w:i/>
          <w:szCs w:val="16"/>
          <w:lang w:val="es-CO"/>
        </w:rPr>
        <w:t>Cfr. Caso Loayza Tamayo Vs. Perú</w:t>
      </w:r>
      <w:r w:rsidRPr="00C10360">
        <w:rPr>
          <w:szCs w:val="16"/>
          <w:lang w:val="es-CO"/>
        </w:rPr>
        <w:t xml:space="preserve">. </w:t>
      </w:r>
      <w:r w:rsidRPr="00C10360">
        <w:rPr>
          <w:i/>
          <w:szCs w:val="16"/>
          <w:lang w:val="es-CO"/>
        </w:rPr>
        <w:t>Interpretación de la Sentencia de Fondo.</w:t>
      </w:r>
      <w:r>
        <w:rPr>
          <w:szCs w:val="16"/>
          <w:lang w:val="es-CO"/>
        </w:rPr>
        <w:t xml:space="preserve"> Sentencia</w:t>
      </w:r>
      <w:r w:rsidRPr="00C10360">
        <w:rPr>
          <w:szCs w:val="16"/>
          <w:lang w:val="es-CO"/>
        </w:rPr>
        <w:t xml:space="preserve"> de 8 de marzo de 1998. Serie C No. 47, párr. 16, </w:t>
      </w:r>
      <w:r w:rsidRPr="003C3698">
        <w:rPr>
          <w:szCs w:val="16"/>
          <w:lang w:val="es-CO"/>
        </w:rPr>
        <w:t>y</w:t>
      </w:r>
      <w:r w:rsidRPr="003C3698">
        <w:rPr>
          <w:b/>
          <w:szCs w:val="16"/>
          <w:lang w:val="es-CO"/>
        </w:rPr>
        <w:t xml:space="preserve"> </w:t>
      </w:r>
      <w:r w:rsidRPr="003C3698">
        <w:rPr>
          <w:rStyle w:val="Textoennegrita"/>
          <w:b w:val="0"/>
          <w:i/>
          <w:color w:val="000000"/>
          <w:shd w:val="clear" w:color="auto" w:fill="FFFFFF"/>
        </w:rPr>
        <w:t>Caso de la Corte Suprema de Justicia (Quintana Coello y otros) Vs. Ecuador. Interpretación de la Sentencia de Excepción Preliminar, Fondo, Reparaciones y Costas</w:t>
      </w:r>
      <w:r w:rsidRPr="003C3698">
        <w:rPr>
          <w:rStyle w:val="Textoennegrita"/>
          <w:b w:val="0"/>
          <w:color w:val="000000"/>
          <w:shd w:val="clear" w:color="auto" w:fill="FFFFFF"/>
        </w:rPr>
        <w:t>. Sentencia de 21 de agosto de 2014. Serie C No. 280</w:t>
      </w:r>
      <w:r w:rsidRPr="00C10360">
        <w:rPr>
          <w:szCs w:val="16"/>
          <w:lang w:val="es-CO"/>
        </w:rPr>
        <w:t>, párr. 17.</w:t>
      </w:r>
    </w:p>
  </w:footnote>
  <w:footnote w:id="4">
    <w:p w:rsidR="000E53D3" w:rsidRPr="00273810" w:rsidRDefault="000E53D3" w:rsidP="00BA4B0C">
      <w:pPr>
        <w:pStyle w:val="Textonotapie"/>
        <w:tabs>
          <w:tab w:val="left" w:pos="426"/>
          <w:tab w:val="left" w:pos="567"/>
        </w:tabs>
        <w:spacing w:before="120" w:after="120"/>
        <w:jc w:val="both"/>
        <w:rPr>
          <w:szCs w:val="16"/>
          <w:lang w:val="es-CO"/>
        </w:rPr>
      </w:pPr>
      <w:r w:rsidRPr="00C10360">
        <w:rPr>
          <w:rStyle w:val="Refdenotaalpie"/>
          <w:szCs w:val="16"/>
          <w:lang w:val="es-CO"/>
        </w:rPr>
        <w:footnoteRef/>
      </w:r>
      <w:r w:rsidRPr="00C10360">
        <w:rPr>
          <w:szCs w:val="16"/>
          <w:lang w:val="es-CO"/>
        </w:rPr>
        <w:t xml:space="preserve"> </w:t>
      </w:r>
      <w:r w:rsidRPr="00C10360">
        <w:rPr>
          <w:szCs w:val="16"/>
          <w:lang w:val="es-CO"/>
        </w:rPr>
        <w:tab/>
      </w:r>
      <w:r w:rsidRPr="00C10360">
        <w:rPr>
          <w:i/>
          <w:szCs w:val="16"/>
          <w:lang w:val="es-CO"/>
        </w:rPr>
        <w:t>Cfr. Caso Loayza Tamayo Vs. Perú</w:t>
      </w:r>
      <w:r w:rsidRPr="00C10360">
        <w:rPr>
          <w:szCs w:val="16"/>
          <w:lang w:val="es-CO"/>
        </w:rPr>
        <w:t xml:space="preserve">. </w:t>
      </w:r>
      <w:r w:rsidRPr="00C10360">
        <w:rPr>
          <w:i/>
          <w:szCs w:val="16"/>
          <w:lang w:val="es-CO"/>
        </w:rPr>
        <w:t>Interpretación de la Sentencia de Fondo</w:t>
      </w:r>
      <w:r w:rsidR="00BA4B0C">
        <w:rPr>
          <w:i/>
          <w:szCs w:val="16"/>
          <w:lang w:val="es-CO"/>
        </w:rPr>
        <w:t>,</w:t>
      </w:r>
      <w:r w:rsidRPr="00C10360">
        <w:rPr>
          <w:szCs w:val="16"/>
          <w:lang w:val="es-CO"/>
        </w:rPr>
        <w:t xml:space="preserve"> </w:t>
      </w:r>
      <w:r w:rsidR="00BA4B0C" w:rsidRPr="00BA4B0C">
        <w:rPr>
          <w:i/>
          <w:szCs w:val="16"/>
          <w:lang w:val="es-CO"/>
        </w:rPr>
        <w:t>supra</w:t>
      </w:r>
      <w:r w:rsidRPr="00C10360">
        <w:rPr>
          <w:szCs w:val="16"/>
          <w:lang w:val="es-CO"/>
        </w:rPr>
        <w:t xml:space="preserve">, párr. 16, </w:t>
      </w:r>
      <w:r w:rsidRPr="003C3698">
        <w:rPr>
          <w:szCs w:val="16"/>
          <w:lang w:val="es-CO"/>
        </w:rPr>
        <w:t>y</w:t>
      </w:r>
      <w:r w:rsidRPr="003C3698">
        <w:rPr>
          <w:b/>
          <w:szCs w:val="16"/>
          <w:lang w:val="es-CO"/>
        </w:rPr>
        <w:t xml:space="preserve"> </w:t>
      </w:r>
      <w:r w:rsidRPr="003C3698">
        <w:rPr>
          <w:rStyle w:val="Textoennegrita"/>
          <w:b w:val="0"/>
          <w:i/>
          <w:color w:val="000000"/>
          <w:shd w:val="clear" w:color="auto" w:fill="FFFFFF"/>
        </w:rPr>
        <w:t>Caso de la Corte Suprema de Justicia (Quintana Coello y otros) Vs. Ecuador. Interpretación de la Sentencia de Excepción Preliminar, Fondo, Reparaciones y Costas</w:t>
      </w:r>
      <w:r w:rsidR="00BA4B0C">
        <w:rPr>
          <w:rStyle w:val="Textoennegrita"/>
          <w:b w:val="0"/>
          <w:color w:val="000000"/>
          <w:shd w:val="clear" w:color="auto" w:fill="FFFFFF"/>
        </w:rPr>
        <w:t xml:space="preserve">, </w:t>
      </w:r>
      <w:r w:rsidR="00BA4B0C" w:rsidRPr="00BA4B0C">
        <w:rPr>
          <w:rStyle w:val="Textoennegrita"/>
          <w:b w:val="0"/>
          <w:i/>
          <w:color w:val="000000"/>
          <w:shd w:val="clear" w:color="auto" w:fill="FFFFFF"/>
        </w:rPr>
        <w:t>supra</w:t>
      </w:r>
      <w:r w:rsidRPr="00C10360">
        <w:rPr>
          <w:szCs w:val="16"/>
          <w:lang w:val="es-CO"/>
        </w:rPr>
        <w:t>, párr. 17.</w:t>
      </w:r>
    </w:p>
  </w:footnote>
  <w:footnote w:id="5">
    <w:p w:rsidR="000E53D3" w:rsidRPr="00273810" w:rsidRDefault="000E53D3" w:rsidP="00BA4B0C">
      <w:pPr>
        <w:pStyle w:val="Textonotapie"/>
        <w:tabs>
          <w:tab w:val="left" w:pos="426"/>
          <w:tab w:val="left" w:pos="567"/>
        </w:tabs>
        <w:spacing w:before="120" w:after="120"/>
        <w:jc w:val="both"/>
        <w:rPr>
          <w:szCs w:val="16"/>
          <w:lang w:val="es-CO"/>
        </w:rPr>
      </w:pPr>
      <w:r w:rsidRPr="00273810">
        <w:rPr>
          <w:rStyle w:val="Refdenotaalpie"/>
          <w:szCs w:val="16"/>
          <w:lang w:val="es-CO"/>
        </w:rPr>
        <w:footnoteRef/>
      </w:r>
      <w:r w:rsidRPr="00273810">
        <w:rPr>
          <w:szCs w:val="16"/>
          <w:lang w:val="es-CO"/>
        </w:rPr>
        <w:t xml:space="preserve"> </w:t>
      </w:r>
      <w:r w:rsidRPr="00273810">
        <w:rPr>
          <w:szCs w:val="16"/>
          <w:lang w:val="es-CO"/>
        </w:rPr>
        <w:tab/>
      </w:r>
      <w:r w:rsidRPr="00C10360">
        <w:rPr>
          <w:i/>
          <w:szCs w:val="16"/>
          <w:lang w:val="es-CO"/>
        </w:rPr>
        <w:t>Cfr. Caso Loayza Tamayo Vs. Perú</w:t>
      </w:r>
      <w:r w:rsidRPr="00C10360">
        <w:rPr>
          <w:szCs w:val="16"/>
          <w:lang w:val="es-CO"/>
        </w:rPr>
        <w:t xml:space="preserve">. </w:t>
      </w:r>
      <w:r w:rsidRPr="00C10360">
        <w:rPr>
          <w:i/>
          <w:szCs w:val="16"/>
          <w:lang w:val="es-CO"/>
        </w:rPr>
        <w:t>Interpretación de la Sentencia de Fondo</w:t>
      </w:r>
      <w:r w:rsidR="00BA4B0C">
        <w:rPr>
          <w:i/>
          <w:szCs w:val="16"/>
          <w:lang w:val="es-CO"/>
        </w:rPr>
        <w:t>, supra</w:t>
      </w:r>
      <w:r>
        <w:rPr>
          <w:szCs w:val="16"/>
          <w:lang w:val="es-CO"/>
        </w:rPr>
        <w:t>, párr. 15</w:t>
      </w:r>
      <w:r w:rsidRPr="00C10360">
        <w:rPr>
          <w:szCs w:val="16"/>
          <w:lang w:val="es-CO"/>
        </w:rPr>
        <w:t xml:space="preserve">, </w:t>
      </w:r>
      <w:r w:rsidRPr="003C3698">
        <w:rPr>
          <w:szCs w:val="16"/>
          <w:lang w:val="es-CO"/>
        </w:rPr>
        <w:t>y</w:t>
      </w:r>
      <w:r w:rsidRPr="003C3698">
        <w:rPr>
          <w:b/>
          <w:szCs w:val="16"/>
          <w:lang w:val="es-CO"/>
        </w:rPr>
        <w:t xml:space="preserve"> </w:t>
      </w:r>
      <w:r w:rsidRPr="003C3698">
        <w:rPr>
          <w:rStyle w:val="Textoennegrita"/>
          <w:b w:val="0"/>
          <w:i/>
          <w:color w:val="000000"/>
          <w:shd w:val="clear" w:color="auto" w:fill="FFFFFF"/>
        </w:rPr>
        <w:t>Caso de la Corte Suprema de Justicia (Quintana Coello y otros) Vs. Ecuador. Interpretación de la Sentencia de Excepción Preliminar, Fondo, Reparaciones y Costas</w:t>
      </w:r>
      <w:r w:rsidR="000939CA">
        <w:rPr>
          <w:rStyle w:val="Textoennegrita"/>
          <w:b w:val="0"/>
          <w:i/>
          <w:color w:val="000000"/>
          <w:shd w:val="clear" w:color="auto" w:fill="FFFFFF"/>
        </w:rPr>
        <w:t>, supra</w:t>
      </w:r>
      <w:r>
        <w:rPr>
          <w:szCs w:val="16"/>
          <w:lang w:val="es-CO"/>
        </w:rPr>
        <w:t>, párr. 18</w:t>
      </w:r>
      <w:r w:rsidRPr="00C10360">
        <w:rPr>
          <w:szCs w:val="16"/>
          <w:lang w:val="es-CO"/>
        </w:rPr>
        <w:t>.</w:t>
      </w:r>
    </w:p>
  </w:footnote>
  <w:footnote w:id="6">
    <w:p w:rsidR="000E53D3" w:rsidRPr="00273810" w:rsidRDefault="000E53D3" w:rsidP="00BA4B0C">
      <w:pPr>
        <w:pStyle w:val="Textonotapie"/>
        <w:tabs>
          <w:tab w:val="left" w:pos="426"/>
          <w:tab w:val="left" w:pos="567"/>
        </w:tabs>
        <w:spacing w:before="120" w:after="120"/>
        <w:jc w:val="both"/>
        <w:rPr>
          <w:szCs w:val="16"/>
          <w:lang w:val="es-CO"/>
        </w:rPr>
      </w:pPr>
      <w:r w:rsidRPr="00273810">
        <w:rPr>
          <w:rStyle w:val="Refdenotaalpie"/>
          <w:szCs w:val="16"/>
          <w:lang w:val="es-CO"/>
        </w:rPr>
        <w:footnoteRef/>
      </w:r>
      <w:r w:rsidRPr="00273810">
        <w:rPr>
          <w:szCs w:val="16"/>
          <w:lang w:val="es-CO"/>
        </w:rPr>
        <w:t xml:space="preserve"> </w:t>
      </w:r>
      <w:r w:rsidRPr="00273810">
        <w:rPr>
          <w:szCs w:val="16"/>
          <w:lang w:val="es-CO"/>
        </w:rPr>
        <w:tab/>
      </w:r>
      <w:r w:rsidRPr="00273810">
        <w:rPr>
          <w:i/>
          <w:szCs w:val="16"/>
          <w:lang w:val="es-CO"/>
        </w:rPr>
        <w:t xml:space="preserve">Cfr. </w:t>
      </w:r>
      <w:r w:rsidRPr="00273810">
        <w:rPr>
          <w:bCs/>
          <w:i/>
          <w:color w:val="000000"/>
          <w:szCs w:val="16"/>
          <w:lang w:val="es-CO"/>
        </w:rPr>
        <w:t xml:space="preserve">Caso Salvador Chiriboga Vs. Ecuador. </w:t>
      </w:r>
      <w:r w:rsidRPr="00273810">
        <w:rPr>
          <w:i/>
          <w:color w:val="000000"/>
          <w:szCs w:val="16"/>
          <w:lang w:val="es-CO"/>
        </w:rPr>
        <w:t>Interpretación de la Sentencia de Reparaciones y Costas</w:t>
      </w:r>
      <w:r w:rsidRPr="00273810">
        <w:rPr>
          <w:color w:val="000000"/>
          <w:szCs w:val="16"/>
          <w:lang w:val="es-CO"/>
        </w:rPr>
        <w:t xml:space="preserve">. Sentencia de 29 de agosto de 2011. Serie C No. 230, párr. 30, y </w:t>
      </w:r>
      <w:r w:rsidRPr="003C3698">
        <w:rPr>
          <w:rStyle w:val="Textoennegrita"/>
          <w:b w:val="0"/>
          <w:i/>
          <w:color w:val="000000"/>
          <w:shd w:val="clear" w:color="auto" w:fill="FFFFFF"/>
        </w:rPr>
        <w:t>Caso de la Corte Suprema de Justicia (Quintana Coello y otros) Vs. Ecuador. Interpretación de la Sentencia de Excepción Preliminar, Fondo, Reparaciones y Costas</w:t>
      </w:r>
      <w:r w:rsidR="00F70D4E">
        <w:rPr>
          <w:rStyle w:val="Textoennegrita"/>
          <w:b w:val="0"/>
          <w:i/>
          <w:color w:val="000000"/>
          <w:shd w:val="clear" w:color="auto" w:fill="FFFFFF"/>
        </w:rPr>
        <w:t>, supra</w:t>
      </w:r>
      <w:r>
        <w:rPr>
          <w:szCs w:val="16"/>
          <w:lang w:val="es-CO"/>
        </w:rPr>
        <w:t>, párr. 18</w:t>
      </w:r>
      <w:r w:rsidRPr="00C10360">
        <w:rPr>
          <w:szCs w:val="16"/>
          <w:lang w:val="es-CO"/>
        </w:rPr>
        <w:t>.</w:t>
      </w:r>
    </w:p>
  </w:footnote>
  <w:footnote w:id="7">
    <w:p w:rsidR="000E53D3" w:rsidRPr="00273810" w:rsidRDefault="000E53D3" w:rsidP="00BA4B0C">
      <w:pPr>
        <w:pStyle w:val="Textonotapie"/>
        <w:tabs>
          <w:tab w:val="left" w:pos="426"/>
          <w:tab w:val="left" w:pos="567"/>
        </w:tabs>
        <w:spacing w:before="120" w:after="120"/>
        <w:jc w:val="both"/>
        <w:rPr>
          <w:szCs w:val="16"/>
          <w:lang w:val="es-CO"/>
        </w:rPr>
      </w:pPr>
      <w:r w:rsidRPr="00273810">
        <w:rPr>
          <w:rStyle w:val="Refdenotaalpie"/>
          <w:szCs w:val="16"/>
          <w:lang w:val="es-CO"/>
        </w:rPr>
        <w:footnoteRef/>
      </w:r>
      <w:r w:rsidRPr="00273810">
        <w:rPr>
          <w:szCs w:val="16"/>
          <w:lang w:val="es-CO"/>
        </w:rPr>
        <w:t xml:space="preserve"> </w:t>
      </w:r>
      <w:r w:rsidRPr="00273810">
        <w:rPr>
          <w:szCs w:val="16"/>
          <w:lang w:val="es-CO"/>
        </w:rPr>
        <w:tab/>
      </w:r>
      <w:r w:rsidRPr="00273810">
        <w:rPr>
          <w:i/>
          <w:szCs w:val="16"/>
          <w:lang w:val="es-CO"/>
        </w:rPr>
        <w:t>Cfr</w:t>
      </w:r>
      <w:r w:rsidRPr="00273810">
        <w:rPr>
          <w:szCs w:val="16"/>
          <w:lang w:val="es-CO"/>
        </w:rPr>
        <w:t xml:space="preserve">. </w:t>
      </w:r>
      <w:r w:rsidRPr="00C10360">
        <w:rPr>
          <w:i/>
          <w:szCs w:val="16"/>
          <w:lang w:val="es-CO"/>
        </w:rPr>
        <w:t xml:space="preserve">Caso </w:t>
      </w:r>
      <w:proofErr w:type="spellStart"/>
      <w:r w:rsidRPr="00C10360">
        <w:rPr>
          <w:i/>
          <w:szCs w:val="16"/>
          <w:lang w:val="es-CO"/>
        </w:rPr>
        <w:t>Escher</w:t>
      </w:r>
      <w:proofErr w:type="spellEnd"/>
      <w:r w:rsidRPr="00C10360">
        <w:rPr>
          <w:i/>
          <w:szCs w:val="16"/>
          <w:lang w:val="es-CO"/>
        </w:rPr>
        <w:t xml:space="preserve"> y otros Vs. Brasil. Interpretación de la Sentencia de Excepciones Preliminares,</w:t>
      </w:r>
      <w:r w:rsidRPr="00C10360">
        <w:rPr>
          <w:szCs w:val="16"/>
          <w:lang w:val="es-CO"/>
        </w:rPr>
        <w:t xml:space="preserve"> </w:t>
      </w:r>
      <w:r w:rsidRPr="0015158B">
        <w:rPr>
          <w:i/>
          <w:szCs w:val="16"/>
          <w:lang w:val="es-CO"/>
        </w:rPr>
        <w:t>Fondo, Reparaciones y Costas</w:t>
      </w:r>
      <w:r w:rsidRPr="00C10360">
        <w:rPr>
          <w:szCs w:val="16"/>
          <w:lang w:val="es-CO"/>
        </w:rPr>
        <w:t>. Sentencia de 20 de noviembre de 2009. Serie C No. 208, párr. 11</w:t>
      </w:r>
      <w:r>
        <w:rPr>
          <w:szCs w:val="16"/>
          <w:lang w:val="es-CO"/>
        </w:rPr>
        <w:t xml:space="preserve">, y </w:t>
      </w:r>
      <w:r w:rsidRPr="003C3698">
        <w:rPr>
          <w:rStyle w:val="Textoennegrita"/>
          <w:b w:val="0"/>
          <w:i/>
          <w:color w:val="000000"/>
          <w:shd w:val="clear" w:color="auto" w:fill="FFFFFF"/>
        </w:rPr>
        <w:t>Caso de la Corte Suprema de Justicia (Quintana Coello y otros) Vs. Ecuador</w:t>
      </w:r>
      <w:r w:rsidR="00407A75">
        <w:rPr>
          <w:rStyle w:val="Textoennegrita"/>
          <w:b w:val="0"/>
          <w:i/>
          <w:color w:val="000000"/>
          <w:shd w:val="clear" w:color="auto" w:fill="FFFFFF"/>
        </w:rPr>
        <w:t>, supra</w:t>
      </w:r>
      <w:r>
        <w:rPr>
          <w:szCs w:val="16"/>
          <w:lang w:val="es-CO"/>
        </w:rPr>
        <w:t>, párr. 18</w:t>
      </w:r>
      <w:r w:rsidRPr="00C10360">
        <w:rPr>
          <w:szCs w:val="16"/>
          <w:lang w:val="es-CO"/>
        </w:rPr>
        <w:t>.</w:t>
      </w:r>
    </w:p>
  </w:footnote>
  <w:footnote w:id="8">
    <w:p w:rsidR="000E53D3" w:rsidRPr="00273810" w:rsidRDefault="000E53D3" w:rsidP="00BA4B0C">
      <w:pPr>
        <w:pStyle w:val="Textonotapie"/>
        <w:tabs>
          <w:tab w:val="left" w:pos="426"/>
          <w:tab w:val="left" w:pos="567"/>
        </w:tabs>
        <w:spacing w:before="120" w:after="120"/>
        <w:jc w:val="both"/>
        <w:rPr>
          <w:szCs w:val="16"/>
          <w:lang w:val="es-CO"/>
        </w:rPr>
      </w:pPr>
      <w:r w:rsidRPr="00273810">
        <w:rPr>
          <w:rStyle w:val="Refdenotaalpie"/>
          <w:szCs w:val="16"/>
          <w:lang w:val="es-CO"/>
        </w:rPr>
        <w:footnoteRef/>
      </w:r>
      <w:r w:rsidRPr="00273810">
        <w:rPr>
          <w:szCs w:val="16"/>
          <w:lang w:val="es-CO"/>
        </w:rPr>
        <w:t xml:space="preserve"> </w:t>
      </w:r>
      <w:r w:rsidRPr="00273810">
        <w:rPr>
          <w:szCs w:val="16"/>
          <w:lang w:val="es-CO"/>
        </w:rPr>
        <w:tab/>
      </w:r>
      <w:r w:rsidRPr="00273810">
        <w:rPr>
          <w:i/>
          <w:szCs w:val="16"/>
          <w:lang w:val="es-CO"/>
        </w:rPr>
        <w:t xml:space="preserve">Cfr. Caso </w:t>
      </w:r>
      <w:proofErr w:type="spellStart"/>
      <w:r w:rsidRPr="00273810">
        <w:rPr>
          <w:i/>
          <w:szCs w:val="16"/>
          <w:lang w:val="es-CO"/>
        </w:rPr>
        <w:t>Cesti</w:t>
      </w:r>
      <w:proofErr w:type="spellEnd"/>
      <w:r w:rsidRPr="00273810">
        <w:rPr>
          <w:i/>
          <w:szCs w:val="16"/>
          <w:lang w:val="es-CO"/>
        </w:rPr>
        <w:t xml:space="preserve"> Hurtado Vs. Perú. Interpretación de la Sentencia de Fondo.</w:t>
      </w:r>
      <w:r w:rsidRPr="00273810">
        <w:rPr>
          <w:szCs w:val="16"/>
          <w:lang w:val="es-CO"/>
        </w:rPr>
        <w:t xml:space="preserve"> Sentencia de 19 de noviembre de 1999. Serie C No. 62, párr. 27, y </w:t>
      </w:r>
      <w:r w:rsidRPr="003C3698">
        <w:rPr>
          <w:rStyle w:val="Textoennegrita"/>
          <w:b w:val="0"/>
          <w:i/>
          <w:color w:val="000000"/>
          <w:shd w:val="clear" w:color="auto" w:fill="FFFFFF"/>
        </w:rPr>
        <w:t>Caso de la Corte Suprema de Justicia (Quintana Coello y otros) Vs. Ecuador</w:t>
      </w:r>
      <w:r w:rsidR="00EA3F99">
        <w:rPr>
          <w:rStyle w:val="Textoennegrita"/>
          <w:b w:val="0"/>
          <w:i/>
          <w:color w:val="000000"/>
          <w:shd w:val="clear" w:color="auto" w:fill="FFFFFF"/>
        </w:rPr>
        <w:t>, supra</w:t>
      </w:r>
      <w:r>
        <w:rPr>
          <w:szCs w:val="16"/>
          <w:lang w:val="es-CO"/>
        </w:rPr>
        <w:t>, párr. 18</w:t>
      </w:r>
      <w:r w:rsidRPr="00C10360">
        <w:rPr>
          <w:szCs w:val="16"/>
          <w:lang w:val="es-CO"/>
        </w:rPr>
        <w:t>.</w:t>
      </w:r>
      <w:r w:rsidRPr="00273810">
        <w:rPr>
          <w:szCs w:val="16"/>
          <w:lang w:val="es-CO"/>
        </w:rPr>
        <w:t xml:space="preserve"> </w:t>
      </w:r>
    </w:p>
  </w:footnote>
  <w:footnote w:id="9">
    <w:p w:rsidR="000E53D3" w:rsidRPr="00DA42F9" w:rsidRDefault="000E53D3" w:rsidP="00BA4B0C">
      <w:pPr>
        <w:pStyle w:val="Textonotapie"/>
        <w:tabs>
          <w:tab w:val="left" w:pos="426"/>
          <w:tab w:val="left" w:pos="567"/>
        </w:tabs>
        <w:spacing w:before="120" w:after="120"/>
        <w:jc w:val="both"/>
        <w:rPr>
          <w:szCs w:val="16"/>
        </w:rPr>
      </w:pPr>
      <w:r w:rsidRPr="00835BB2">
        <w:rPr>
          <w:rStyle w:val="Refdenotaalpie"/>
          <w:szCs w:val="16"/>
        </w:rPr>
        <w:footnoteRef/>
      </w:r>
      <w:r w:rsidRPr="00835BB2">
        <w:rPr>
          <w:szCs w:val="16"/>
        </w:rPr>
        <w:t xml:space="preserve"> </w:t>
      </w:r>
      <w:r w:rsidRPr="00835BB2">
        <w:rPr>
          <w:szCs w:val="16"/>
        </w:rPr>
        <w:tab/>
        <w:t>Al respecto, se recuerda que la Corte señaló</w:t>
      </w:r>
      <w:r>
        <w:rPr>
          <w:szCs w:val="16"/>
        </w:rPr>
        <w:t xml:space="preserve"> en la Sentencia que</w:t>
      </w:r>
      <w:r w:rsidRPr="00835BB2">
        <w:rPr>
          <w:szCs w:val="16"/>
        </w:rPr>
        <w:t xml:space="preserve"> “</w:t>
      </w:r>
      <w:r>
        <w:rPr>
          <w:rFonts w:eastAsia="MS Mincho" w:cs="Verdana"/>
          <w:spacing w:val="-2"/>
          <w:szCs w:val="16"/>
          <w:lang w:val="es-ES_tradnl"/>
        </w:rPr>
        <w:t>es necesario que</w:t>
      </w:r>
      <w:r w:rsidRPr="00835BB2">
        <w:rPr>
          <w:rFonts w:eastAsia="MS Mincho" w:cs="Verdana"/>
          <w:spacing w:val="-2"/>
          <w:szCs w:val="16"/>
          <w:lang w:val="es-ES_tradnl"/>
        </w:rPr>
        <w:t xml:space="preserve"> [</w:t>
      </w:r>
      <w:r w:rsidRPr="00835BB2">
        <w:rPr>
          <w:rFonts w:eastAsia="MS Mincho" w:cs="Verdana"/>
          <w:spacing w:val="-2"/>
          <w:szCs w:val="16"/>
        </w:rPr>
        <w:t>los malos tratos sufridos por la señora J. con ocasión de su detención inicial]</w:t>
      </w:r>
      <w:r w:rsidRPr="00835BB2">
        <w:rPr>
          <w:rFonts w:eastAsia="MS Mincho" w:cs="Verdana"/>
          <w:spacing w:val="-2"/>
          <w:szCs w:val="16"/>
          <w:lang w:val="es-ES_tradnl"/>
        </w:rPr>
        <w:t xml:space="preserve"> sean efectivamente investigados en un proceso dirigido contra los presuntos responsables de los atentados a la integridad personal y vida privada ocurridos”. En virtud de ello, </w:t>
      </w:r>
      <w:r>
        <w:rPr>
          <w:szCs w:val="16"/>
        </w:rPr>
        <w:t>ordenó al Estado “</w:t>
      </w:r>
      <w:r w:rsidRPr="00835BB2">
        <w:rPr>
          <w:szCs w:val="16"/>
        </w:rPr>
        <w:t>iniciar y conducir eficazmente la investigación penal de los actos violatorios del artículo 5.2 de la Convención cometidos en contra de la señora J., para determinar las eventuales responsabilidades penales y, en su caso, aplicar efectivamente las sanciones y consecuencias que la ley prevea. Esta obligación debe ser cumplida en un plazo razonable, considerando los criterios señalados sobre investigaciones en este tipo de casos (</w:t>
      </w:r>
      <w:r w:rsidRPr="00835BB2">
        <w:rPr>
          <w:i/>
          <w:szCs w:val="16"/>
        </w:rPr>
        <w:t>supra</w:t>
      </w:r>
      <w:r w:rsidRPr="00835BB2">
        <w:rPr>
          <w:szCs w:val="16"/>
        </w:rPr>
        <w:t xml:space="preserve"> </w:t>
      </w:r>
      <w:proofErr w:type="spellStart"/>
      <w:r w:rsidRPr="00835BB2">
        <w:rPr>
          <w:szCs w:val="16"/>
        </w:rPr>
        <w:t>párrs</w:t>
      </w:r>
      <w:proofErr w:type="spellEnd"/>
      <w:r w:rsidRPr="00835BB2">
        <w:rPr>
          <w:szCs w:val="16"/>
        </w:rPr>
        <w:t xml:space="preserve">. 341 a 352). Asimismo, el Estado deberá adelantar las acciones disciplinarias, administrativas o penales pertinentes, en el evento de que en la investigación de los mencionados hechos se demuestren irregularidades procesales e investigativas relacionadas con los </w:t>
      </w:r>
      <w:r w:rsidRPr="00DA42F9">
        <w:rPr>
          <w:szCs w:val="16"/>
        </w:rPr>
        <w:t xml:space="preserve">mismos”. </w:t>
      </w:r>
      <w:r w:rsidRPr="00853D0E">
        <w:rPr>
          <w:bCs/>
          <w:i/>
          <w:szCs w:val="16"/>
        </w:rPr>
        <w:t xml:space="preserve">Caso J. Vs. Perú. </w:t>
      </w:r>
      <w:r w:rsidRPr="00AB4D74">
        <w:rPr>
          <w:bCs/>
          <w:i/>
          <w:szCs w:val="16"/>
        </w:rPr>
        <w:t>Excepción Preliminar, Fondo, Reparaciones y Costas</w:t>
      </w:r>
      <w:r w:rsidRPr="00AB4D74">
        <w:rPr>
          <w:bCs/>
          <w:szCs w:val="16"/>
        </w:rPr>
        <w:t xml:space="preserve">. Sentencia de 27 de noviembre de 2013. </w:t>
      </w:r>
      <w:r>
        <w:rPr>
          <w:bCs/>
          <w:szCs w:val="16"/>
        </w:rPr>
        <w:t>Serie C No. 275, párr</w:t>
      </w:r>
      <w:r w:rsidRPr="00853D0E">
        <w:rPr>
          <w:bCs/>
          <w:szCs w:val="16"/>
        </w:rPr>
        <w:t xml:space="preserve">. </w:t>
      </w:r>
      <w:r w:rsidRPr="00DA42F9">
        <w:rPr>
          <w:szCs w:val="16"/>
          <w:lang w:val="es-ES_tradnl"/>
        </w:rPr>
        <w:t>392.</w:t>
      </w:r>
    </w:p>
  </w:footnote>
  <w:footnote w:id="10">
    <w:p w:rsidR="000E53D3" w:rsidRPr="00845165" w:rsidRDefault="000E53D3" w:rsidP="00BA4B0C">
      <w:pPr>
        <w:pStyle w:val="Textonotapie"/>
        <w:tabs>
          <w:tab w:val="left" w:pos="426"/>
          <w:tab w:val="left" w:pos="567"/>
        </w:tabs>
        <w:spacing w:before="120" w:after="120"/>
        <w:jc w:val="both"/>
        <w:rPr>
          <w:szCs w:val="16"/>
          <w:lang w:val="es-ES_tradnl"/>
        </w:rPr>
      </w:pPr>
      <w:r w:rsidRPr="00845165">
        <w:rPr>
          <w:rStyle w:val="Refdenotaalpie"/>
          <w:szCs w:val="16"/>
        </w:rPr>
        <w:footnoteRef/>
      </w:r>
      <w:r w:rsidRPr="00845165">
        <w:rPr>
          <w:szCs w:val="16"/>
        </w:rPr>
        <w:t xml:space="preserve"> </w:t>
      </w:r>
      <w:r w:rsidRPr="00845165">
        <w:rPr>
          <w:szCs w:val="16"/>
        </w:rPr>
        <w:tab/>
        <w:t>Al respecto, la Corte recuerda que “[p]</w:t>
      </w:r>
      <w:proofErr w:type="spellStart"/>
      <w:r w:rsidRPr="00845165">
        <w:rPr>
          <w:szCs w:val="16"/>
        </w:rPr>
        <w:t>or</w:t>
      </w:r>
      <w:proofErr w:type="spellEnd"/>
      <w:r w:rsidRPr="00845165">
        <w:rPr>
          <w:szCs w:val="16"/>
        </w:rPr>
        <w:t xml:space="preserve"> violación sexual […] debe entenderse actos de penetración vaginal o anal, sin consentimiento de la víctima, mediante la utilización de otras partes del cuerpo del agresor u objetos, así como la penetración </w:t>
      </w:r>
      <w:r>
        <w:rPr>
          <w:szCs w:val="16"/>
        </w:rPr>
        <w:t>bucal mediante el miembro viril</w:t>
      </w:r>
      <w:r w:rsidRPr="00845165">
        <w:rPr>
          <w:szCs w:val="16"/>
        </w:rPr>
        <w:t>. [</w:t>
      </w:r>
      <w:r>
        <w:rPr>
          <w:szCs w:val="16"/>
        </w:rPr>
        <w:t xml:space="preserve">… </w:t>
      </w:r>
      <w:proofErr w:type="gramStart"/>
      <w:r w:rsidRPr="00845165">
        <w:rPr>
          <w:szCs w:val="16"/>
        </w:rPr>
        <w:t>P]ara</w:t>
      </w:r>
      <w:proofErr w:type="gramEnd"/>
      <w:r w:rsidRPr="00845165">
        <w:rPr>
          <w:szCs w:val="16"/>
        </w:rPr>
        <w:t xml:space="preserve"> que un acto sea considerado violación sexual, es suficiente que se produzca una penetración, por insignificante que sea, </w:t>
      </w:r>
      <w:r>
        <w:rPr>
          <w:szCs w:val="16"/>
        </w:rPr>
        <w:t>en los términos antes descritos</w:t>
      </w:r>
      <w:r w:rsidRPr="00845165">
        <w:rPr>
          <w:szCs w:val="16"/>
        </w:rPr>
        <w:t xml:space="preserve">. Además, se debe entender que la penetración vaginal se refiere a la penetración, con cualquier parte del cuerpo del agresor u objetos, de cualquier orificio genital, incluyendo los labios mayores y menores, así como el orificio vaginal”. </w:t>
      </w:r>
      <w:r w:rsidRPr="00853D0E">
        <w:rPr>
          <w:bCs/>
          <w:i/>
          <w:szCs w:val="16"/>
        </w:rPr>
        <w:t xml:space="preserve">Caso J. Vs. Perú. </w:t>
      </w:r>
      <w:r w:rsidRPr="00AB4D74">
        <w:rPr>
          <w:bCs/>
          <w:i/>
          <w:szCs w:val="16"/>
        </w:rPr>
        <w:t>Excepción Preliminar, Fondo, Reparaciones y Costas</w:t>
      </w:r>
      <w:r w:rsidR="00C13C35">
        <w:rPr>
          <w:bCs/>
          <w:i/>
          <w:szCs w:val="16"/>
        </w:rPr>
        <w:t>, supra</w:t>
      </w:r>
      <w:r w:rsidRPr="00853D0E">
        <w:rPr>
          <w:bCs/>
          <w:szCs w:val="16"/>
        </w:rPr>
        <w:t xml:space="preserve">, párr. </w:t>
      </w:r>
      <w:r w:rsidRPr="00845165">
        <w:rPr>
          <w:szCs w:val="16"/>
          <w:lang w:val="es-ES_tradnl"/>
        </w:rPr>
        <w:t>359.</w:t>
      </w:r>
    </w:p>
  </w:footnote>
  <w:footnote w:id="11">
    <w:p w:rsidR="000E53D3" w:rsidRPr="00DA42F9" w:rsidRDefault="000E53D3" w:rsidP="00BA4B0C">
      <w:pPr>
        <w:pStyle w:val="Textonotapie"/>
        <w:tabs>
          <w:tab w:val="left" w:pos="426"/>
          <w:tab w:val="left" w:pos="567"/>
        </w:tabs>
        <w:spacing w:before="120" w:after="120"/>
        <w:jc w:val="both"/>
        <w:rPr>
          <w:szCs w:val="16"/>
          <w:lang w:val="es-ES_tradnl"/>
        </w:rPr>
      </w:pPr>
      <w:r w:rsidRPr="00845165">
        <w:rPr>
          <w:rStyle w:val="Refdenotaalpie"/>
          <w:szCs w:val="16"/>
        </w:rPr>
        <w:footnoteRef/>
      </w:r>
      <w:r w:rsidRPr="00845165">
        <w:rPr>
          <w:szCs w:val="16"/>
        </w:rPr>
        <w:t xml:space="preserve"> </w:t>
      </w:r>
      <w:r w:rsidRPr="00845165">
        <w:rPr>
          <w:szCs w:val="16"/>
          <w:lang w:val="es-ES_tradnl"/>
        </w:rPr>
        <w:tab/>
        <w:t xml:space="preserve">Respecto a los dos primeros puntos señalados </w:t>
      </w:r>
      <w:r w:rsidRPr="00845165">
        <w:rPr>
          <w:i/>
          <w:szCs w:val="16"/>
          <w:lang w:val="es-ES_tradnl"/>
        </w:rPr>
        <w:t>supra</w:t>
      </w:r>
      <w:r w:rsidRPr="00845165">
        <w:rPr>
          <w:szCs w:val="16"/>
          <w:lang w:val="es-ES_tradnl"/>
        </w:rPr>
        <w:t>, la Corte expresamente indicó en su Sentencia que “[e]</w:t>
      </w:r>
      <w:proofErr w:type="spellStart"/>
      <w:r w:rsidRPr="00845165">
        <w:rPr>
          <w:rFonts w:eastAsia="Batang"/>
          <w:spacing w:val="-2"/>
          <w:szCs w:val="16"/>
          <w:lang w:val="es-VE"/>
        </w:rPr>
        <w:t>ste</w:t>
      </w:r>
      <w:proofErr w:type="spellEnd"/>
      <w:r w:rsidRPr="00845165">
        <w:rPr>
          <w:rFonts w:eastAsia="Batang"/>
          <w:spacing w:val="-2"/>
          <w:szCs w:val="16"/>
          <w:lang w:val="es-VE"/>
        </w:rPr>
        <w:t xml:space="preserve"> Tribunal entiende que la violación sexual es una forma de violencia sexual” y</w:t>
      </w:r>
      <w:r w:rsidRPr="00845165">
        <w:rPr>
          <w:szCs w:val="16"/>
          <w:lang w:val="es-ES_tradnl"/>
        </w:rPr>
        <w:t xml:space="preserve"> “a partir de las</w:t>
      </w:r>
      <w:r w:rsidRPr="00DA42F9">
        <w:rPr>
          <w:szCs w:val="16"/>
          <w:lang w:val="es-ES_tradnl"/>
        </w:rPr>
        <w:t xml:space="preserve"> declaraciones de la presunta víctima que constan en el expediente del presente caso no es posible determinar si dicha violencia sexual además constituyó una violación sexual en los t</w:t>
      </w:r>
      <w:r>
        <w:rPr>
          <w:szCs w:val="16"/>
          <w:lang w:val="es-ES_tradnl"/>
        </w:rPr>
        <w:t xml:space="preserve">érminos señalados anteriormente”. </w:t>
      </w:r>
      <w:r w:rsidRPr="00853D0E">
        <w:rPr>
          <w:bCs/>
          <w:i/>
          <w:szCs w:val="16"/>
        </w:rPr>
        <w:t xml:space="preserve">Caso J. Vs. Perú. </w:t>
      </w:r>
      <w:r w:rsidRPr="00AB4D74">
        <w:rPr>
          <w:bCs/>
          <w:i/>
          <w:szCs w:val="16"/>
        </w:rPr>
        <w:t>Excepción Preliminar, Fondo, Reparaciones y Costas</w:t>
      </w:r>
      <w:r w:rsidR="00C13C35">
        <w:rPr>
          <w:bCs/>
          <w:i/>
          <w:szCs w:val="16"/>
        </w:rPr>
        <w:t>, supra</w:t>
      </w:r>
      <w:r w:rsidRPr="00853D0E">
        <w:rPr>
          <w:bCs/>
          <w:szCs w:val="16"/>
        </w:rPr>
        <w:t xml:space="preserve">, </w:t>
      </w:r>
      <w:proofErr w:type="spellStart"/>
      <w:r w:rsidRPr="00853D0E">
        <w:rPr>
          <w:bCs/>
          <w:szCs w:val="16"/>
        </w:rPr>
        <w:t>párrs</w:t>
      </w:r>
      <w:proofErr w:type="spellEnd"/>
      <w:r w:rsidRPr="00853D0E">
        <w:rPr>
          <w:bCs/>
          <w:szCs w:val="16"/>
        </w:rPr>
        <w:t xml:space="preserve">. </w:t>
      </w:r>
      <w:r>
        <w:rPr>
          <w:szCs w:val="16"/>
          <w:lang w:val="es-ES_tradnl"/>
        </w:rPr>
        <w:t>359</w:t>
      </w:r>
      <w:r w:rsidRPr="00DA42F9">
        <w:rPr>
          <w:szCs w:val="16"/>
          <w:lang w:val="es-ES_tradnl"/>
        </w:rPr>
        <w:t xml:space="preserve"> y 3</w:t>
      </w:r>
      <w:r>
        <w:rPr>
          <w:szCs w:val="16"/>
          <w:lang w:val="es-ES_tradnl"/>
        </w:rPr>
        <w:t>60</w:t>
      </w:r>
      <w:r w:rsidRPr="00DA42F9">
        <w:rPr>
          <w:szCs w:val="16"/>
          <w:lang w:val="es-ES_tradnl"/>
        </w:rPr>
        <w:t>.</w:t>
      </w:r>
    </w:p>
  </w:footnote>
  <w:footnote w:id="12">
    <w:p w:rsidR="000E53D3" w:rsidRPr="00B26733" w:rsidRDefault="000E53D3" w:rsidP="00BA4B0C">
      <w:pPr>
        <w:pStyle w:val="Textonotapie"/>
        <w:tabs>
          <w:tab w:val="left" w:pos="426"/>
          <w:tab w:val="left" w:pos="567"/>
        </w:tabs>
        <w:spacing w:before="120" w:after="120"/>
        <w:jc w:val="both"/>
        <w:rPr>
          <w:szCs w:val="16"/>
          <w:lang w:val="es-ES_tradnl"/>
        </w:rPr>
      </w:pPr>
      <w:r w:rsidRPr="00B26733">
        <w:rPr>
          <w:rStyle w:val="Refdenotaalpie"/>
          <w:szCs w:val="16"/>
        </w:rPr>
        <w:footnoteRef/>
      </w:r>
      <w:r w:rsidRPr="00B26733">
        <w:rPr>
          <w:szCs w:val="16"/>
        </w:rPr>
        <w:t xml:space="preserve"> </w:t>
      </w:r>
      <w:r w:rsidRPr="00B26733">
        <w:rPr>
          <w:szCs w:val="16"/>
          <w:lang w:val="es-ES_tradnl"/>
        </w:rPr>
        <w:tab/>
        <w:t>Al respecto, por ejemplo la Corte consideró que “la violencia sexual de la cual fue víctima la señora J. por un agente del Estado y mientras estaba siendo detenida es un acto grave y reprobable, tomando en cuenta la vulnerabilidad de la víctima y el abuso de poder que despliega el agente. En relación con el artículo 5 de la Convención, la Corte considera que dicho acto fue denigrante y humillante física y emocionalmente, por lo que pudo haber causado consecuencias psicológicas severas para la presunta víctima</w:t>
      </w:r>
      <w:r>
        <w:rPr>
          <w:szCs w:val="16"/>
          <w:lang w:val="es-ES_tradnl"/>
        </w:rPr>
        <w:t>”</w:t>
      </w:r>
      <w:r w:rsidRPr="00B26733">
        <w:rPr>
          <w:szCs w:val="16"/>
          <w:lang w:val="es-ES_tradnl"/>
        </w:rPr>
        <w:t xml:space="preserve">. </w:t>
      </w:r>
      <w:r w:rsidRPr="00853D0E">
        <w:rPr>
          <w:bCs/>
          <w:i/>
          <w:szCs w:val="16"/>
        </w:rPr>
        <w:t xml:space="preserve">Caso J. Vs. Perú. </w:t>
      </w:r>
      <w:r w:rsidRPr="00AB4D74">
        <w:rPr>
          <w:bCs/>
          <w:i/>
          <w:szCs w:val="16"/>
        </w:rPr>
        <w:t>Excepción Preliminar, Fondo, Reparaciones y Costas</w:t>
      </w:r>
      <w:r w:rsidR="00C13C35">
        <w:rPr>
          <w:bCs/>
          <w:i/>
          <w:szCs w:val="16"/>
        </w:rPr>
        <w:t>, supra</w:t>
      </w:r>
      <w:r w:rsidRPr="00AB4D74">
        <w:rPr>
          <w:bCs/>
          <w:szCs w:val="16"/>
        </w:rPr>
        <w:t xml:space="preserve">, párr. </w:t>
      </w:r>
      <w:r w:rsidRPr="00B26733">
        <w:rPr>
          <w:szCs w:val="16"/>
          <w:lang w:val="es-ES_tradnl"/>
        </w:rPr>
        <w:t>361.</w:t>
      </w:r>
    </w:p>
  </w:footnote>
  <w:footnote w:id="13">
    <w:p w:rsidR="000E53D3" w:rsidRPr="00853D0E" w:rsidRDefault="000E53D3" w:rsidP="00BA4B0C">
      <w:pPr>
        <w:pStyle w:val="NormalWeb"/>
        <w:tabs>
          <w:tab w:val="left" w:pos="426"/>
          <w:tab w:val="left" w:pos="567"/>
        </w:tabs>
        <w:spacing w:before="120" w:beforeAutospacing="0" w:after="120" w:afterAutospacing="0"/>
        <w:jc w:val="both"/>
        <w:rPr>
          <w:rFonts w:ascii="Verdana" w:hAnsi="Verdana"/>
          <w:sz w:val="16"/>
          <w:szCs w:val="16"/>
          <w:lang w:val="es-CR"/>
        </w:rPr>
      </w:pPr>
      <w:r w:rsidRPr="00AD2D8F">
        <w:rPr>
          <w:rStyle w:val="Refdenotaalpie"/>
          <w:rFonts w:ascii="Verdana" w:hAnsi="Verdana"/>
          <w:sz w:val="16"/>
          <w:szCs w:val="16"/>
        </w:rPr>
        <w:footnoteRef/>
      </w:r>
      <w:r w:rsidRPr="00AB4D74">
        <w:rPr>
          <w:rFonts w:ascii="Verdana" w:hAnsi="Verdana"/>
          <w:sz w:val="16"/>
          <w:szCs w:val="16"/>
          <w:lang w:val="es-CR"/>
        </w:rPr>
        <w:t xml:space="preserve"> </w:t>
      </w:r>
      <w:r w:rsidRPr="00AD2D8F">
        <w:rPr>
          <w:rFonts w:ascii="Verdana" w:hAnsi="Verdana"/>
          <w:sz w:val="16"/>
          <w:szCs w:val="16"/>
          <w:lang w:val="es-ES_tradnl"/>
        </w:rPr>
        <w:tab/>
      </w:r>
      <w:r w:rsidRPr="00AB4D74">
        <w:rPr>
          <w:rFonts w:ascii="Verdana" w:hAnsi="Verdana"/>
          <w:i/>
          <w:sz w:val="16"/>
          <w:szCs w:val="16"/>
          <w:lang w:val="es-CR"/>
        </w:rPr>
        <w:t xml:space="preserve">Cfr. </w:t>
      </w:r>
      <w:r w:rsidRPr="00B27160">
        <w:rPr>
          <w:rFonts w:ascii="Verdana" w:hAnsi="Verdana"/>
          <w:i/>
          <w:sz w:val="16"/>
          <w:szCs w:val="16"/>
          <w:lang w:val="es-MX"/>
        </w:rPr>
        <w:t>Caso Velásquez Rodríguez Vs. Honduras. Reparaciones y Costas.</w:t>
      </w:r>
      <w:r w:rsidRPr="00941201">
        <w:rPr>
          <w:rFonts w:ascii="Verdana" w:hAnsi="Verdana"/>
          <w:sz w:val="16"/>
          <w:szCs w:val="16"/>
          <w:lang w:val="es-MX"/>
        </w:rPr>
        <w:t xml:space="preserve"> Sentencia de 21 </w:t>
      </w:r>
      <w:r>
        <w:rPr>
          <w:rFonts w:ascii="Verdana" w:hAnsi="Verdana"/>
          <w:sz w:val="16"/>
          <w:szCs w:val="16"/>
          <w:lang w:val="es-MX"/>
        </w:rPr>
        <w:t>de julio de 1989. Serie C No. 7</w:t>
      </w:r>
      <w:r w:rsidRPr="00AB4D74">
        <w:rPr>
          <w:rFonts w:ascii="Verdana" w:hAnsi="Verdana"/>
          <w:sz w:val="16"/>
          <w:szCs w:val="16"/>
          <w:lang w:val="es-CR"/>
        </w:rPr>
        <w:t xml:space="preserve">, párr. 26, y </w:t>
      </w:r>
      <w:r w:rsidRPr="00B27160">
        <w:rPr>
          <w:rFonts w:ascii="Verdana" w:hAnsi="Verdana"/>
          <w:i/>
          <w:sz w:val="16"/>
          <w:szCs w:val="16"/>
          <w:lang w:val="es-CR"/>
        </w:rPr>
        <w:t xml:space="preserve">Caso </w:t>
      </w:r>
      <w:proofErr w:type="spellStart"/>
      <w:r w:rsidRPr="00B27160">
        <w:rPr>
          <w:rFonts w:ascii="Verdana" w:hAnsi="Verdana"/>
          <w:i/>
          <w:sz w:val="16"/>
          <w:szCs w:val="16"/>
          <w:lang w:val="es-CR"/>
        </w:rPr>
        <w:t>Rochac</w:t>
      </w:r>
      <w:proofErr w:type="spellEnd"/>
      <w:r w:rsidRPr="00B27160">
        <w:rPr>
          <w:rFonts w:ascii="Verdana" w:hAnsi="Verdana"/>
          <w:i/>
          <w:sz w:val="16"/>
          <w:szCs w:val="16"/>
          <w:lang w:val="es-CR"/>
        </w:rPr>
        <w:t xml:space="preserve"> Hernández y otros Vs. El Salvador. Fondo, Reparaciones y Costas. </w:t>
      </w:r>
      <w:r w:rsidRPr="00B27160">
        <w:rPr>
          <w:rFonts w:ascii="Verdana" w:hAnsi="Verdana"/>
          <w:sz w:val="16"/>
          <w:szCs w:val="16"/>
          <w:lang w:val="es-CR"/>
        </w:rPr>
        <w:t>Sentencia de 14 de octubre de 2014. Serie C No. 285</w:t>
      </w:r>
      <w:r w:rsidRPr="00AB4D74">
        <w:rPr>
          <w:rFonts w:ascii="Verdana" w:hAnsi="Verdana"/>
          <w:sz w:val="16"/>
          <w:szCs w:val="16"/>
          <w:lang w:val="es-CR"/>
        </w:rPr>
        <w:t xml:space="preserve">, párr. </w:t>
      </w:r>
      <w:r>
        <w:rPr>
          <w:rFonts w:ascii="Verdana" w:hAnsi="Verdana"/>
          <w:sz w:val="16"/>
          <w:szCs w:val="16"/>
          <w:lang w:val="es-CR"/>
        </w:rPr>
        <w:t>175</w:t>
      </w:r>
      <w:r w:rsidRPr="00853D0E">
        <w:rPr>
          <w:rFonts w:ascii="Verdana" w:hAnsi="Verdana"/>
          <w:sz w:val="16"/>
          <w:szCs w:val="16"/>
          <w:lang w:val="es-CR"/>
        </w:rPr>
        <w:t>.</w:t>
      </w:r>
    </w:p>
  </w:footnote>
  <w:footnote w:id="14">
    <w:p w:rsidR="000E53D3" w:rsidRPr="006B5E53" w:rsidRDefault="000E53D3" w:rsidP="00BA4B0C">
      <w:pPr>
        <w:tabs>
          <w:tab w:val="left" w:pos="426"/>
          <w:tab w:val="left" w:pos="567"/>
          <w:tab w:val="num" w:pos="1427"/>
        </w:tabs>
        <w:autoSpaceDE w:val="0"/>
        <w:autoSpaceDN w:val="0"/>
        <w:adjustRightInd w:val="0"/>
        <w:spacing w:before="120" w:after="120" w:line="240" w:lineRule="auto"/>
        <w:jc w:val="both"/>
        <w:rPr>
          <w:spacing w:val="-2"/>
          <w:sz w:val="16"/>
          <w:szCs w:val="16"/>
          <w:lang w:val="es-ES_tradnl"/>
        </w:rPr>
      </w:pPr>
      <w:r w:rsidRPr="00AF6FCF">
        <w:rPr>
          <w:rStyle w:val="Refdenotaalpie"/>
          <w:sz w:val="16"/>
          <w:szCs w:val="16"/>
        </w:rPr>
        <w:footnoteRef/>
      </w:r>
      <w:r w:rsidRPr="00AF6FCF">
        <w:rPr>
          <w:sz w:val="16"/>
          <w:szCs w:val="16"/>
        </w:rPr>
        <w:t xml:space="preserve"> </w:t>
      </w:r>
      <w:r w:rsidRPr="00AF6FCF">
        <w:rPr>
          <w:sz w:val="16"/>
          <w:szCs w:val="16"/>
        </w:rPr>
        <w:tab/>
        <w:t>En el párrafo 413 de la Sentencia, la Corte ordenó</w:t>
      </w:r>
      <w:bookmarkStart w:id="23" w:name="_Ref375132266"/>
      <w:r w:rsidRPr="00AF6FCF">
        <w:rPr>
          <w:sz w:val="16"/>
          <w:szCs w:val="16"/>
        </w:rPr>
        <w:t xml:space="preserve"> que “el Estado deberá </w:t>
      </w:r>
      <w:r w:rsidRPr="00AF6FCF">
        <w:rPr>
          <w:rFonts w:eastAsia="MS Mincho" w:cs="Verdana"/>
          <w:spacing w:val="-2"/>
          <w:sz w:val="16"/>
          <w:szCs w:val="16"/>
          <w:lang w:val="es-ES_tradnl"/>
        </w:rPr>
        <w:t xml:space="preserve">asegurar que en el proceso seguido contra la señora J. se observen todas las exigencias del debido proceso legal, con plenas garantías de audiencia y defensa para la inculpada, para lo cual deberá </w:t>
      </w:r>
      <w:r w:rsidRPr="00AF6FCF">
        <w:rPr>
          <w:rFonts w:cs="Verdana"/>
          <w:spacing w:val="-2"/>
          <w:sz w:val="16"/>
          <w:szCs w:val="16"/>
          <w:lang w:val="es-ES_tradnl"/>
        </w:rPr>
        <w:t>tener en cuenta las conclusiones de esta Corte en los capítulos VIII y IX de la</w:t>
      </w:r>
      <w:r>
        <w:rPr>
          <w:rFonts w:cs="Verdana"/>
          <w:spacing w:val="-2"/>
          <w:sz w:val="16"/>
          <w:szCs w:val="16"/>
          <w:lang w:val="es-ES_tradnl"/>
        </w:rPr>
        <w:t xml:space="preserve"> […] </w:t>
      </w:r>
      <w:r w:rsidRPr="00AF6FCF">
        <w:rPr>
          <w:rFonts w:cs="Verdana"/>
          <w:spacing w:val="-2"/>
          <w:sz w:val="16"/>
          <w:szCs w:val="16"/>
          <w:lang w:val="es-ES_tradnl"/>
        </w:rPr>
        <w:t>Sentencia y asegurar que no se repitan las violaciones al debido proceso verificadas en la misma, así como, de ser el caso, determinar los efectos de las violaciones encontradas en esta Sentencia sobre el proceso penal abierto en contra de la señora J.</w:t>
      </w:r>
      <w:bookmarkEnd w:id="23"/>
      <w:r>
        <w:rPr>
          <w:rFonts w:cs="Verdana"/>
          <w:spacing w:val="-2"/>
          <w:sz w:val="16"/>
          <w:szCs w:val="16"/>
          <w:lang w:val="es-ES_tradnl"/>
        </w:rPr>
        <w:t>”.</w:t>
      </w:r>
      <w:r w:rsidRPr="006B5E53">
        <w:rPr>
          <w:rFonts w:cs="Verdana"/>
          <w:spacing w:val="-2"/>
          <w:sz w:val="16"/>
          <w:szCs w:val="16"/>
          <w:lang w:val="es-ES_tradnl"/>
        </w:rPr>
        <w:t xml:space="preserve"> </w:t>
      </w:r>
      <w:r w:rsidRPr="00853D0E">
        <w:rPr>
          <w:bCs/>
          <w:i/>
          <w:sz w:val="16"/>
          <w:szCs w:val="16"/>
        </w:rPr>
        <w:t xml:space="preserve">Caso J. Vs. Perú. </w:t>
      </w:r>
      <w:r w:rsidRPr="00AB4D74">
        <w:rPr>
          <w:bCs/>
          <w:i/>
          <w:sz w:val="16"/>
          <w:szCs w:val="16"/>
        </w:rPr>
        <w:t>Excepción Preliminar, Fondo, Reparaciones y Costas</w:t>
      </w:r>
      <w:r w:rsidR="00BC4044">
        <w:rPr>
          <w:bCs/>
          <w:i/>
          <w:sz w:val="16"/>
          <w:szCs w:val="16"/>
        </w:rPr>
        <w:t xml:space="preserve">, </w:t>
      </w:r>
      <w:r w:rsidR="00BC4044" w:rsidRPr="00BC4044">
        <w:rPr>
          <w:bCs/>
          <w:i/>
          <w:sz w:val="16"/>
          <w:szCs w:val="16"/>
        </w:rPr>
        <w:t>supra</w:t>
      </w:r>
      <w:r w:rsidRPr="00853D0E">
        <w:rPr>
          <w:bCs/>
          <w:sz w:val="16"/>
          <w:szCs w:val="16"/>
        </w:rPr>
        <w:t xml:space="preserve">, párr. </w:t>
      </w:r>
      <w:r w:rsidRPr="006B5E53">
        <w:rPr>
          <w:sz w:val="16"/>
          <w:szCs w:val="16"/>
          <w:lang w:val="es-ES_tradnl"/>
        </w:rPr>
        <w:t>413.</w:t>
      </w:r>
    </w:p>
  </w:footnote>
  <w:footnote w:id="15">
    <w:p w:rsidR="000E53D3" w:rsidRPr="006B5E53" w:rsidRDefault="000E53D3" w:rsidP="00BA4B0C">
      <w:pPr>
        <w:pStyle w:val="Textonotapie"/>
        <w:tabs>
          <w:tab w:val="left" w:pos="426"/>
          <w:tab w:val="left" w:pos="567"/>
        </w:tabs>
        <w:spacing w:before="120" w:after="120"/>
        <w:jc w:val="both"/>
        <w:rPr>
          <w:lang w:val="es-ES_tradnl"/>
        </w:rPr>
      </w:pPr>
      <w:r w:rsidRPr="006B5E53">
        <w:rPr>
          <w:rStyle w:val="Refdenotaalpie"/>
          <w:szCs w:val="16"/>
        </w:rPr>
        <w:footnoteRef/>
      </w:r>
      <w:r w:rsidRPr="006B5E53">
        <w:rPr>
          <w:szCs w:val="16"/>
        </w:rPr>
        <w:t xml:space="preserve"> </w:t>
      </w:r>
      <w:r w:rsidRPr="006B5E53">
        <w:rPr>
          <w:szCs w:val="16"/>
          <w:lang w:val="es-ES_tradnl"/>
        </w:rPr>
        <w:tab/>
      </w:r>
      <w:r w:rsidRPr="00166151">
        <w:rPr>
          <w:i/>
          <w:szCs w:val="16"/>
          <w:lang w:val="es-ES_tradnl"/>
        </w:rPr>
        <w:t>Cfr</w:t>
      </w:r>
      <w:r>
        <w:rPr>
          <w:szCs w:val="16"/>
          <w:lang w:val="es-ES_tradnl"/>
        </w:rPr>
        <w:t xml:space="preserve">. </w:t>
      </w:r>
      <w:r w:rsidRPr="00853D0E">
        <w:rPr>
          <w:bCs/>
          <w:i/>
          <w:szCs w:val="16"/>
        </w:rPr>
        <w:t xml:space="preserve">Caso J. Vs. Perú. </w:t>
      </w:r>
      <w:r w:rsidRPr="00AB4D74">
        <w:rPr>
          <w:bCs/>
          <w:i/>
          <w:szCs w:val="16"/>
        </w:rPr>
        <w:t>Excepción Preliminar, Fondo, Reparaciones y Costas</w:t>
      </w:r>
      <w:r w:rsidR="0065462D">
        <w:rPr>
          <w:bCs/>
          <w:i/>
          <w:szCs w:val="16"/>
        </w:rPr>
        <w:t>, supra</w:t>
      </w:r>
      <w:r w:rsidRPr="00AB4D74">
        <w:rPr>
          <w:bCs/>
          <w:szCs w:val="16"/>
        </w:rPr>
        <w:t xml:space="preserve">, </w:t>
      </w:r>
      <w:proofErr w:type="spellStart"/>
      <w:r w:rsidRPr="00AB4D74">
        <w:rPr>
          <w:bCs/>
          <w:szCs w:val="16"/>
        </w:rPr>
        <w:t>párrs</w:t>
      </w:r>
      <w:proofErr w:type="spellEnd"/>
      <w:r w:rsidRPr="00AB4D74">
        <w:rPr>
          <w:bCs/>
          <w:szCs w:val="16"/>
        </w:rPr>
        <w:t xml:space="preserve">. </w:t>
      </w:r>
      <w:r w:rsidRPr="006B5E53">
        <w:rPr>
          <w:szCs w:val="16"/>
          <w:lang w:val="es-ES_tradnl"/>
        </w:rPr>
        <w:t>394, 398, 413 y 417.</w:t>
      </w:r>
      <w:r>
        <w:rPr>
          <w:lang w:val="es-ES_tradnl"/>
        </w:rPr>
        <w:t xml:space="preserve"> </w:t>
      </w:r>
    </w:p>
  </w:footnote>
  <w:footnote w:id="16">
    <w:p w:rsidR="003B272D" w:rsidRDefault="003B272D" w:rsidP="00BA4B0C">
      <w:pPr>
        <w:pStyle w:val="Textonotapie"/>
        <w:tabs>
          <w:tab w:val="left" w:pos="426"/>
        </w:tabs>
        <w:spacing w:before="120" w:after="120"/>
        <w:jc w:val="both"/>
      </w:pPr>
      <w:r>
        <w:rPr>
          <w:rStyle w:val="Refdenotaalpie"/>
        </w:rPr>
        <w:footnoteRef/>
      </w:r>
      <w:r>
        <w:t xml:space="preserve"> </w:t>
      </w:r>
      <w:r>
        <w:tab/>
        <w:t xml:space="preserve">Tanto el Estado como la representante </w:t>
      </w:r>
      <w:r w:rsidR="009561D4">
        <w:t xml:space="preserve">alegaron </w:t>
      </w:r>
      <w:r>
        <w:t xml:space="preserve">que la solicitud de rectificación de error material de la contraparte </w:t>
      </w:r>
      <w:r w:rsidR="009561D4">
        <w:t xml:space="preserve">ha debido realizarse </w:t>
      </w:r>
      <w:r>
        <w:t>en el plazo de un mes contemplado en el artículo 76 del Reglamento.</w:t>
      </w:r>
    </w:p>
  </w:footnote>
  <w:footnote w:id="17">
    <w:p w:rsidR="000E53D3" w:rsidRPr="00CA4398" w:rsidRDefault="000E53D3" w:rsidP="00BA4B0C">
      <w:pPr>
        <w:pStyle w:val="Textonotapie"/>
        <w:tabs>
          <w:tab w:val="left" w:pos="426"/>
          <w:tab w:val="left" w:pos="567"/>
        </w:tabs>
        <w:spacing w:before="120" w:after="120"/>
        <w:jc w:val="both"/>
        <w:rPr>
          <w:szCs w:val="16"/>
        </w:rPr>
      </w:pPr>
      <w:r w:rsidRPr="00CA4398">
        <w:rPr>
          <w:rStyle w:val="Refdenotaalpie"/>
          <w:szCs w:val="16"/>
        </w:rPr>
        <w:footnoteRef/>
      </w:r>
      <w:r w:rsidRPr="00CA4398">
        <w:rPr>
          <w:szCs w:val="16"/>
        </w:rPr>
        <w:t xml:space="preserve"> </w:t>
      </w:r>
      <w:r w:rsidRPr="00CA4398">
        <w:rPr>
          <w:szCs w:val="16"/>
        </w:rPr>
        <w:tab/>
      </w:r>
      <w:r w:rsidRPr="00CA4398">
        <w:rPr>
          <w:i/>
          <w:spacing w:val="-2"/>
          <w:szCs w:val="16"/>
        </w:rPr>
        <w:t xml:space="preserve">Cfr. Caso </w:t>
      </w:r>
      <w:proofErr w:type="spellStart"/>
      <w:r w:rsidRPr="00CA4398">
        <w:rPr>
          <w:i/>
          <w:spacing w:val="-2"/>
          <w:szCs w:val="16"/>
        </w:rPr>
        <w:t>Escher</w:t>
      </w:r>
      <w:proofErr w:type="spellEnd"/>
      <w:r w:rsidRPr="00CA4398">
        <w:rPr>
          <w:i/>
          <w:spacing w:val="-2"/>
          <w:szCs w:val="16"/>
        </w:rPr>
        <w:t xml:space="preserve"> y otros Vs. Brasil. Supervisión de Cumplimiento de Sentencia</w:t>
      </w:r>
      <w:r w:rsidRPr="00CA4398">
        <w:rPr>
          <w:spacing w:val="-2"/>
          <w:szCs w:val="16"/>
        </w:rPr>
        <w:t xml:space="preserve">. Resolución de la Corte de 17 de mayo de 2010, </w:t>
      </w:r>
      <w:r>
        <w:rPr>
          <w:spacing w:val="-2"/>
          <w:szCs w:val="16"/>
        </w:rPr>
        <w:t xml:space="preserve">considerando </w:t>
      </w:r>
      <w:r w:rsidRPr="00CA4398">
        <w:rPr>
          <w:spacing w:val="-2"/>
          <w:szCs w:val="16"/>
        </w:rPr>
        <w:t xml:space="preserve">15; </w:t>
      </w:r>
      <w:r w:rsidRPr="00CA4398">
        <w:rPr>
          <w:i/>
          <w:spacing w:val="-2"/>
          <w:szCs w:val="16"/>
        </w:rPr>
        <w:t xml:space="preserve">Caso </w:t>
      </w:r>
      <w:proofErr w:type="spellStart"/>
      <w:r w:rsidRPr="00CA4398">
        <w:rPr>
          <w:i/>
          <w:spacing w:val="-2"/>
          <w:szCs w:val="16"/>
        </w:rPr>
        <w:t>Gudiel</w:t>
      </w:r>
      <w:proofErr w:type="spellEnd"/>
      <w:r w:rsidRPr="00CA4398">
        <w:rPr>
          <w:i/>
          <w:spacing w:val="-2"/>
          <w:szCs w:val="16"/>
        </w:rPr>
        <w:t xml:space="preserve"> Álvarez y Otros (“Diario Militar”) Vs. Guatemala. Interpretación de la Sentencia de Fondo, Reparaciones y Costas. </w:t>
      </w:r>
      <w:r w:rsidRPr="00CA4398">
        <w:rPr>
          <w:spacing w:val="-2"/>
          <w:szCs w:val="16"/>
        </w:rPr>
        <w:t xml:space="preserve">Sentencia de la Corte de 19 de agosto de </w:t>
      </w:r>
      <w:r w:rsidR="00C13C35">
        <w:rPr>
          <w:spacing w:val="-2"/>
          <w:szCs w:val="16"/>
        </w:rPr>
        <w:t xml:space="preserve">2013, Serie C. No.262, párr. 24, </w:t>
      </w:r>
      <w:r w:rsidRPr="00CA4398">
        <w:rPr>
          <w:spacing w:val="-2"/>
          <w:szCs w:val="16"/>
        </w:rPr>
        <w:t xml:space="preserve">y </w:t>
      </w:r>
      <w:r w:rsidRPr="00CA4398">
        <w:rPr>
          <w:i/>
          <w:spacing w:val="-2"/>
          <w:szCs w:val="16"/>
        </w:rPr>
        <w:t>Caso Masacres de El Mozote y lugares aledaños Vs. El Salvador. Interpretación de la Sentencia de Fondo, Reparaciones y Costas.</w:t>
      </w:r>
      <w:r w:rsidRPr="00CA4398">
        <w:rPr>
          <w:spacing w:val="-2"/>
          <w:szCs w:val="16"/>
        </w:rPr>
        <w:t xml:space="preserve"> Sentencia de 19 de agosto de 2013. Serie C No. 264, párr. 39.</w:t>
      </w:r>
    </w:p>
  </w:footnote>
  <w:footnote w:id="18">
    <w:p w:rsidR="00345D66" w:rsidRDefault="00345D66" w:rsidP="00BA4B0C">
      <w:pPr>
        <w:pStyle w:val="Textonotapie"/>
        <w:tabs>
          <w:tab w:val="left" w:pos="426"/>
        </w:tabs>
        <w:spacing w:before="120" w:after="120"/>
        <w:jc w:val="both"/>
      </w:pPr>
      <w:r>
        <w:rPr>
          <w:rStyle w:val="Refdenotaalpie"/>
        </w:rPr>
        <w:footnoteRef/>
      </w:r>
      <w:r>
        <w:t xml:space="preserve"> </w:t>
      </w:r>
      <w:r>
        <w:tab/>
        <w:t>En el referido párrafo 268 se indica que: “[…]</w:t>
      </w:r>
      <w:r>
        <w:rPr>
          <w:lang w:val="es-ES"/>
        </w:rPr>
        <w:t xml:space="preserve"> </w:t>
      </w:r>
      <w:r w:rsidRPr="00345D66">
        <w:rPr>
          <w:lang w:val="es-ES"/>
        </w:rPr>
        <w:t xml:space="preserve">la Corte toma nota que el señor Federico Javier </w:t>
      </w:r>
      <w:proofErr w:type="spellStart"/>
      <w:r w:rsidRPr="00345D66">
        <w:rPr>
          <w:lang w:val="es-ES"/>
        </w:rPr>
        <w:t>Llaque</w:t>
      </w:r>
      <w:proofErr w:type="spellEnd"/>
      <w:r w:rsidRPr="00345D66">
        <w:rPr>
          <w:lang w:val="es-ES"/>
        </w:rPr>
        <w:t xml:space="preserve"> Moya, Procurador Antiterrorismo, explicó durante la audiencia del presente caso que no se anularon las sentencias absolutorias emitidas por jueces sin rostro </w:t>
      </w:r>
      <w:r>
        <w:rPr>
          <w:lang w:val="es-ES_tradnl"/>
        </w:rPr>
        <w:t>‘</w:t>
      </w:r>
      <w:r w:rsidRPr="00345D66">
        <w:rPr>
          <w:lang w:val="es-ES_tradnl"/>
        </w:rPr>
        <w:t xml:space="preserve">porque </w:t>
      </w:r>
      <w:proofErr w:type="spellStart"/>
      <w:r w:rsidRPr="00345D66">
        <w:rPr>
          <w:lang w:val="es-ES_tradnl"/>
        </w:rPr>
        <w:t>aún</w:t>
      </w:r>
      <w:proofErr w:type="spellEnd"/>
      <w:r w:rsidRPr="00345D66">
        <w:rPr>
          <w:lang w:val="es-ES_tradnl"/>
        </w:rPr>
        <w:t xml:space="preserve"> cuando se trate de casos en los que no se cumplió con los estándares del debido proceso, al ser absuelto no podía removerse el caso con sentencia firme</w:t>
      </w:r>
      <w:r>
        <w:rPr>
          <w:lang w:val="es-ES_tradnl"/>
        </w:rPr>
        <w:t>’ […]</w:t>
      </w:r>
      <w:r w:rsidRPr="00345D66">
        <w:rPr>
          <w:lang w:val="es-ES_tradnl"/>
        </w:rPr>
        <w:t>”.</w:t>
      </w:r>
      <w:r w:rsidR="009448B9">
        <w:rPr>
          <w:rFonts w:cs="Verdana"/>
          <w:i/>
          <w:spacing w:val="-2"/>
          <w:szCs w:val="16"/>
          <w:lang w:val="es-ES_tradnl"/>
        </w:rPr>
        <w:t xml:space="preserve"> </w:t>
      </w:r>
      <w:r w:rsidR="009448B9" w:rsidRPr="00853D0E">
        <w:rPr>
          <w:bCs/>
          <w:i/>
          <w:szCs w:val="16"/>
        </w:rPr>
        <w:t xml:space="preserve">Caso J. Vs. Perú. </w:t>
      </w:r>
      <w:r w:rsidR="009448B9" w:rsidRPr="00AB4D74">
        <w:rPr>
          <w:bCs/>
          <w:i/>
          <w:szCs w:val="16"/>
        </w:rPr>
        <w:t>Excepción Preliminar, Fondo, Reparaciones y Costas</w:t>
      </w:r>
      <w:r w:rsidR="009448B9">
        <w:rPr>
          <w:bCs/>
          <w:i/>
          <w:szCs w:val="16"/>
        </w:rPr>
        <w:t xml:space="preserve">, </w:t>
      </w:r>
      <w:r w:rsidR="009448B9" w:rsidRPr="00BC4044">
        <w:rPr>
          <w:bCs/>
          <w:i/>
          <w:szCs w:val="16"/>
        </w:rPr>
        <w:t>supra</w:t>
      </w:r>
      <w:r w:rsidR="009448B9" w:rsidRPr="00853D0E">
        <w:rPr>
          <w:bCs/>
          <w:szCs w:val="16"/>
        </w:rPr>
        <w:t xml:space="preserve">, párr. </w:t>
      </w:r>
      <w:r w:rsidR="009448B9">
        <w:rPr>
          <w:szCs w:val="16"/>
          <w:lang w:val="es-ES_tradnl"/>
        </w:rPr>
        <w:t>268</w:t>
      </w:r>
      <w:r w:rsidR="009448B9" w:rsidRPr="006B5E53">
        <w:rPr>
          <w:szCs w:val="16"/>
          <w:lang w:val="es-ES_tradnl"/>
        </w:rPr>
        <w:t>.</w:t>
      </w:r>
    </w:p>
  </w:footnote>
  <w:footnote w:id="19">
    <w:p w:rsidR="000E53D3" w:rsidRPr="00CA4398" w:rsidRDefault="000E53D3" w:rsidP="00BA4B0C">
      <w:pPr>
        <w:pStyle w:val="Textonotapie"/>
        <w:tabs>
          <w:tab w:val="left" w:pos="426"/>
          <w:tab w:val="left" w:pos="567"/>
        </w:tabs>
        <w:spacing w:before="120" w:after="120"/>
        <w:jc w:val="both"/>
        <w:rPr>
          <w:szCs w:val="16"/>
        </w:rPr>
      </w:pPr>
      <w:r w:rsidRPr="00CA4398">
        <w:rPr>
          <w:rStyle w:val="Refdenotaalpie"/>
          <w:szCs w:val="16"/>
        </w:rPr>
        <w:footnoteRef/>
      </w:r>
      <w:r w:rsidRPr="00CA4398">
        <w:rPr>
          <w:szCs w:val="16"/>
        </w:rPr>
        <w:t xml:space="preserve"> </w:t>
      </w:r>
      <w:r w:rsidRPr="00CA4398">
        <w:rPr>
          <w:szCs w:val="16"/>
        </w:rPr>
        <w:tab/>
      </w:r>
      <w:r w:rsidR="002A4E12" w:rsidRPr="002A4E12">
        <w:rPr>
          <w:i/>
          <w:szCs w:val="16"/>
        </w:rPr>
        <w:t>Cfr.</w:t>
      </w:r>
      <w:r w:rsidR="002A4E12">
        <w:rPr>
          <w:szCs w:val="16"/>
        </w:rPr>
        <w:t xml:space="preserve"> </w:t>
      </w:r>
      <w:r w:rsidRPr="00CA4398">
        <w:rPr>
          <w:szCs w:val="16"/>
        </w:rPr>
        <w:t xml:space="preserve">Escrito de contestación del Estado (expediente de fondo, folio 521) y hoja de vida del señor Federico Javier </w:t>
      </w:r>
      <w:proofErr w:type="spellStart"/>
      <w:r w:rsidRPr="00CA4398">
        <w:rPr>
          <w:szCs w:val="16"/>
        </w:rPr>
        <w:t>Llaque</w:t>
      </w:r>
      <w:proofErr w:type="spellEnd"/>
      <w:r w:rsidRPr="00CA4398">
        <w:rPr>
          <w:szCs w:val="16"/>
        </w:rPr>
        <w:t xml:space="preserve"> Moya (expediente de anexos al escrito de contestación, Anexo 67, folio 4275)</w:t>
      </w:r>
      <w:r>
        <w:rPr>
          <w:szCs w:val="16"/>
        </w:rPr>
        <w:t>.</w:t>
      </w:r>
    </w:p>
  </w:footnote>
  <w:footnote w:id="20">
    <w:p w:rsidR="000E53D3" w:rsidRDefault="000E53D3" w:rsidP="00F97F9F">
      <w:pPr>
        <w:pStyle w:val="Textonotapie"/>
        <w:tabs>
          <w:tab w:val="left" w:pos="426"/>
        </w:tabs>
        <w:spacing w:before="120" w:after="120"/>
        <w:jc w:val="both"/>
      </w:pPr>
      <w:r>
        <w:rPr>
          <w:rStyle w:val="Refdenotaalpie"/>
        </w:rPr>
        <w:footnoteRef/>
      </w:r>
      <w:r>
        <w:t xml:space="preserve"> </w:t>
      </w:r>
      <w:r>
        <w:tab/>
        <w:t>El párrafo 87 de la Sentencia establece que: “</w:t>
      </w:r>
      <w:r w:rsidRPr="00B27C76">
        <w:rPr>
          <w:rFonts w:eastAsiaTheme="minorHAnsi" w:cs="Verdana"/>
          <w:szCs w:val="16"/>
          <w:lang w:val="es-ES_tradnl"/>
        </w:rPr>
        <w:t>Según lo relatado por la madre de J., una vecina del inmueble de la calle</w:t>
      </w:r>
      <w:r>
        <w:rPr>
          <w:rFonts w:eastAsiaTheme="minorHAnsi" w:cs="Verdana"/>
          <w:szCs w:val="16"/>
          <w:lang w:val="es-ES_tradnl"/>
        </w:rPr>
        <w:t xml:space="preserve"> Las Esmeraldas le informó que ‘</w:t>
      </w:r>
      <w:r w:rsidRPr="00B27C76">
        <w:rPr>
          <w:rFonts w:eastAsiaTheme="minorHAnsi" w:cs="Verdana"/>
          <w:szCs w:val="16"/>
          <w:lang w:val="es-ES_tradnl"/>
        </w:rPr>
        <w:t>se habían metido unos ladrones de una ma</w:t>
      </w:r>
      <w:r>
        <w:rPr>
          <w:rFonts w:eastAsiaTheme="minorHAnsi" w:cs="Verdana"/>
          <w:szCs w:val="16"/>
          <w:lang w:val="es-ES_tradnl"/>
        </w:rPr>
        <w:t>nera violenta en [la] propiedad’</w:t>
      </w:r>
      <w:r w:rsidRPr="00B27C76">
        <w:rPr>
          <w:rFonts w:eastAsiaTheme="minorHAnsi" w:cs="Verdana"/>
          <w:szCs w:val="16"/>
          <w:lang w:val="es-ES_tradnl"/>
        </w:rPr>
        <w:t>. Cuando la madre de J. iba en camino al inmueble junto con la he</w:t>
      </w:r>
      <w:r>
        <w:rPr>
          <w:rFonts w:eastAsiaTheme="minorHAnsi" w:cs="Verdana"/>
          <w:szCs w:val="16"/>
          <w:lang w:val="es-ES_tradnl"/>
        </w:rPr>
        <w:t>rmana menor de J. habrían sido ‘</w:t>
      </w:r>
      <w:r w:rsidRPr="00B27C76">
        <w:rPr>
          <w:rFonts w:eastAsiaTheme="minorHAnsi" w:cs="Verdana"/>
          <w:szCs w:val="16"/>
          <w:lang w:val="es-ES_tradnl"/>
        </w:rPr>
        <w:t>asaltadas por dos hombres quienes violentamente</w:t>
      </w:r>
      <w:r>
        <w:rPr>
          <w:rFonts w:eastAsiaTheme="minorHAnsi" w:cs="Verdana"/>
          <w:szCs w:val="16"/>
          <w:lang w:val="es-ES_tradnl"/>
        </w:rPr>
        <w:t xml:space="preserve"> [las habrían metido] a un auto’</w:t>
      </w:r>
      <w:r w:rsidRPr="00B27C76">
        <w:rPr>
          <w:rFonts w:eastAsiaTheme="minorHAnsi" w:cs="Verdana"/>
          <w:szCs w:val="16"/>
          <w:lang w:val="es-ES_tradnl"/>
        </w:rPr>
        <w:t xml:space="preserve"> y conducido al inmueble en la calle Las Esmeraldas. La madre de J. indicó q</w:t>
      </w:r>
      <w:r>
        <w:rPr>
          <w:rFonts w:eastAsiaTheme="minorHAnsi" w:cs="Verdana"/>
          <w:szCs w:val="16"/>
          <w:lang w:val="es-ES_tradnl"/>
        </w:rPr>
        <w:t>ue al llegar le informaron que ‘</w:t>
      </w:r>
      <w:r w:rsidRPr="00B27C76">
        <w:rPr>
          <w:rFonts w:eastAsiaTheme="minorHAnsi" w:cs="Verdana"/>
          <w:szCs w:val="16"/>
          <w:lang w:val="es-ES_tradnl"/>
        </w:rPr>
        <w:t xml:space="preserve">[s]u hija se </w:t>
      </w:r>
      <w:proofErr w:type="gramStart"/>
      <w:r w:rsidRPr="00B27C76">
        <w:rPr>
          <w:rFonts w:eastAsiaTheme="minorHAnsi" w:cs="Verdana"/>
          <w:szCs w:val="16"/>
          <w:lang w:val="es-ES_tradnl"/>
        </w:rPr>
        <w:t>ha[</w:t>
      </w:r>
      <w:proofErr w:type="spellStart"/>
      <w:proofErr w:type="gramEnd"/>
      <w:r w:rsidRPr="00B27C76">
        <w:rPr>
          <w:rFonts w:eastAsiaTheme="minorHAnsi" w:cs="Verdana"/>
          <w:szCs w:val="16"/>
          <w:lang w:val="es-ES_tradnl"/>
        </w:rPr>
        <w:t>bía</w:t>
      </w:r>
      <w:proofErr w:type="spellEnd"/>
      <w:r w:rsidRPr="00B27C76">
        <w:rPr>
          <w:rFonts w:eastAsiaTheme="minorHAnsi" w:cs="Verdana"/>
          <w:szCs w:val="16"/>
          <w:lang w:val="es-ES_tradnl"/>
        </w:rPr>
        <w:t>]</w:t>
      </w:r>
      <w:r>
        <w:rPr>
          <w:rFonts w:eastAsiaTheme="minorHAnsi" w:cs="Verdana"/>
          <w:szCs w:val="16"/>
          <w:lang w:val="es-ES_tradnl"/>
        </w:rPr>
        <w:t xml:space="preserve"> resistido y la [habían] matado’”</w:t>
      </w:r>
      <w:r w:rsidRPr="00B27C76">
        <w:rPr>
          <w:rFonts w:eastAsiaTheme="minorHAnsi" w:cs="Verdana"/>
          <w:szCs w:val="16"/>
          <w:lang w:val="es-ES_tradnl"/>
        </w:rPr>
        <w:t>.</w:t>
      </w:r>
      <w:r w:rsidR="00F97F9F">
        <w:rPr>
          <w:rFonts w:eastAsiaTheme="minorHAnsi" w:cs="Verdana"/>
          <w:szCs w:val="16"/>
          <w:lang w:val="es-ES_tradnl"/>
        </w:rPr>
        <w:t xml:space="preserve"> </w:t>
      </w:r>
      <w:r w:rsidR="00F97F9F" w:rsidRPr="00853D0E">
        <w:rPr>
          <w:bCs/>
          <w:i/>
          <w:szCs w:val="16"/>
        </w:rPr>
        <w:t xml:space="preserve">Caso J. Vs. Perú. </w:t>
      </w:r>
      <w:r w:rsidR="00F97F9F" w:rsidRPr="00AB4D74">
        <w:rPr>
          <w:bCs/>
          <w:i/>
          <w:szCs w:val="16"/>
        </w:rPr>
        <w:t>Excepción Preliminar, Fondo, Reparaciones y Costas</w:t>
      </w:r>
      <w:r w:rsidR="00F97F9F">
        <w:rPr>
          <w:bCs/>
          <w:i/>
          <w:szCs w:val="16"/>
        </w:rPr>
        <w:t xml:space="preserve">, </w:t>
      </w:r>
      <w:r w:rsidR="00F97F9F" w:rsidRPr="00BC4044">
        <w:rPr>
          <w:bCs/>
          <w:i/>
          <w:szCs w:val="16"/>
        </w:rPr>
        <w:t>supra</w:t>
      </w:r>
      <w:r w:rsidR="00F97F9F" w:rsidRPr="00853D0E">
        <w:rPr>
          <w:bCs/>
          <w:szCs w:val="16"/>
        </w:rPr>
        <w:t xml:space="preserve">, párr. </w:t>
      </w:r>
      <w:r w:rsidR="00F97F9F">
        <w:rPr>
          <w:szCs w:val="16"/>
          <w:lang w:val="es-ES_tradnl"/>
        </w:rPr>
        <w:t>87</w:t>
      </w:r>
      <w:r w:rsidR="00F97F9F" w:rsidRPr="006B5E53">
        <w:rPr>
          <w:szCs w:val="16"/>
          <w:lang w:val="es-ES_trad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5551080"/>
      <w:docPartObj>
        <w:docPartGallery w:val="Page Numbers (Top of Page)"/>
        <w:docPartUnique/>
      </w:docPartObj>
    </w:sdtPr>
    <w:sdtEndPr/>
    <w:sdtContent>
      <w:p w:rsidR="000E53D3" w:rsidRDefault="000E53D3">
        <w:pPr>
          <w:pStyle w:val="Encabezado"/>
          <w:jc w:val="center"/>
        </w:pPr>
        <w:r>
          <w:t xml:space="preserve">- </w:t>
        </w:r>
        <w:r w:rsidR="00C62C4C">
          <w:fldChar w:fldCharType="begin"/>
        </w:r>
        <w:r w:rsidR="00DA08E7">
          <w:instrText xml:space="preserve"> PAGE   \* MERGEFORMAT </w:instrText>
        </w:r>
        <w:r w:rsidR="00C62C4C">
          <w:fldChar w:fldCharType="separate"/>
        </w:r>
        <w:r w:rsidR="002D145C">
          <w:rPr>
            <w:noProof/>
          </w:rPr>
          <w:t>12</w:t>
        </w:r>
        <w:r w:rsidR="00C62C4C">
          <w:rPr>
            <w:noProof/>
          </w:rPr>
          <w:fldChar w:fldCharType="end"/>
        </w:r>
        <w:r>
          <w:t xml:space="preserve"> -</w:t>
        </w:r>
      </w:p>
    </w:sdtContent>
  </w:sdt>
  <w:p w:rsidR="000E53D3" w:rsidRDefault="000E53D3" w:rsidP="00D11C1D">
    <w:pPr>
      <w:pStyle w:val="Encabezado"/>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51ADF"/>
    <w:multiLevelType w:val="hybridMultilevel"/>
    <w:tmpl w:val="1960EF6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257D75E8"/>
    <w:multiLevelType w:val="hybridMultilevel"/>
    <w:tmpl w:val="792CFB24"/>
    <w:lvl w:ilvl="0" w:tplc="22A22BD8">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F12BBF"/>
    <w:multiLevelType w:val="hybridMultilevel"/>
    <w:tmpl w:val="C03A189E"/>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29487256"/>
    <w:multiLevelType w:val="hybridMultilevel"/>
    <w:tmpl w:val="F0D6C1E2"/>
    <w:lvl w:ilvl="0" w:tplc="140A0015">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2A320D86"/>
    <w:multiLevelType w:val="hybridMultilevel"/>
    <w:tmpl w:val="CD8AD9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297A54"/>
    <w:multiLevelType w:val="multilevel"/>
    <w:tmpl w:val="22C4231E"/>
    <w:lvl w:ilvl="0">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start w:val="1"/>
      <w:numFmt w:val="lowerLetter"/>
      <w:lvlText w:val="%2)"/>
      <w:lvlJc w:val="left"/>
      <w:pPr>
        <w:tabs>
          <w:tab w:val="num" w:pos="1080"/>
        </w:tabs>
        <w:ind w:left="1080" w:hanging="360"/>
      </w:pPr>
      <w:rPr>
        <w:rFonts w:hint="default"/>
        <w:b w:val="0"/>
        <w:i w:val="0"/>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C0846E7"/>
    <w:multiLevelType w:val="hybridMultilevel"/>
    <w:tmpl w:val="C03A189E"/>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57C9712D"/>
    <w:multiLevelType w:val="hybridMultilevel"/>
    <w:tmpl w:val="E6B2D1E6"/>
    <w:lvl w:ilvl="0" w:tplc="E10AD118">
      <w:start w:val="1"/>
      <w:numFmt w:val="decimal"/>
      <w:lvlText w:val="%1."/>
      <w:lvlJc w:val="left"/>
      <w:pPr>
        <w:ind w:left="1065" w:hanging="705"/>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654144DA"/>
    <w:multiLevelType w:val="hybridMultilevel"/>
    <w:tmpl w:val="22C4231E"/>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7CE64D32"/>
    <w:multiLevelType w:val="hybridMultilevel"/>
    <w:tmpl w:val="96CC80D0"/>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3"/>
  </w:num>
  <w:num w:numId="4">
    <w:abstractNumId w:val="1"/>
  </w:num>
  <w:num w:numId="5">
    <w:abstractNumId w:val="4"/>
  </w:num>
  <w:num w:numId="6">
    <w:abstractNumId w:val="7"/>
  </w:num>
  <w:num w:numId="7">
    <w:abstractNumId w:val="8"/>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70448"/>
    <w:rsid w:val="00002230"/>
    <w:rsid w:val="0001035D"/>
    <w:rsid w:val="00017560"/>
    <w:rsid w:val="00034EEA"/>
    <w:rsid w:val="00041EB9"/>
    <w:rsid w:val="00052195"/>
    <w:rsid w:val="00055C4C"/>
    <w:rsid w:val="00060E10"/>
    <w:rsid w:val="00062DDF"/>
    <w:rsid w:val="0007099B"/>
    <w:rsid w:val="000739BB"/>
    <w:rsid w:val="00082515"/>
    <w:rsid w:val="00082C1A"/>
    <w:rsid w:val="0008702B"/>
    <w:rsid w:val="00091E0C"/>
    <w:rsid w:val="0009389B"/>
    <w:rsid w:val="000939CA"/>
    <w:rsid w:val="0009642D"/>
    <w:rsid w:val="00096A59"/>
    <w:rsid w:val="000A221C"/>
    <w:rsid w:val="000A5755"/>
    <w:rsid w:val="000C0E47"/>
    <w:rsid w:val="000C4DDD"/>
    <w:rsid w:val="000D3BE8"/>
    <w:rsid w:val="000D5391"/>
    <w:rsid w:val="000E0432"/>
    <w:rsid w:val="000E1A8F"/>
    <w:rsid w:val="000E53D3"/>
    <w:rsid w:val="000E7CE1"/>
    <w:rsid w:val="000F0F6E"/>
    <w:rsid w:val="000F36F7"/>
    <w:rsid w:val="001101CE"/>
    <w:rsid w:val="00113F3F"/>
    <w:rsid w:val="00124237"/>
    <w:rsid w:val="0012494D"/>
    <w:rsid w:val="00130983"/>
    <w:rsid w:val="00131B67"/>
    <w:rsid w:val="00137814"/>
    <w:rsid w:val="00147626"/>
    <w:rsid w:val="0015158B"/>
    <w:rsid w:val="00151ACA"/>
    <w:rsid w:val="00153285"/>
    <w:rsid w:val="00153940"/>
    <w:rsid w:val="00154BD7"/>
    <w:rsid w:val="001554F3"/>
    <w:rsid w:val="00156109"/>
    <w:rsid w:val="00160152"/>
    <w:rsid w:val="00161377"/>
    <w:rsid w:val="00166151"/>
    <w:rsid w:val="001661A0"/>
    <w:rsid w:val="00166CD8"/>
    <w:rsid w:val="00182E5A"/>
    <w:rsid w:val="00186AA1"/>
    <w:rsid w:val="00190C25"/>
    <w:rsid w:val="001A315F"/>
    <w:rsid w:val="001A4716"/>
    <w:rsid w:val="001A6AEE"/>
    <w:rsid w:val="001B0639"/>
    <w:rsid w:val="001B358B"/>
    <w:rsid w:val="001B4103"/>
    <w:rsid w:val="001C031A"/>
    <w:rsid w:val="001C300E"/>
    <w:rsid w:val="001C3D42"/>
    <w:rsid w:val="001D1D16"/>
    <w:rsid w:val="001D48AB"/>
    <w:rsid w:val="001E35AB"/>
    <w:rsid w:val="001E3D30"/>
    <w:rsid w:val="001E7A72"/>
    <w:rsid w:val="001F7685"/>
    <w:rsid w:val="00201B35"/>
    <w:rsid w:val="002050C4"/>
    <w:rsid w:val="00206C33"/>
    <w:rsid w:val="002121C9"/>
    <w:rsid w:val="002138F5"/>
    <w:rsid w:val="002206D9"/>
    <w:rsid w:val="0022381C"/>
    <w:rsid w:val="00227942"/>
    <w:rsid w:val="00232282"/>
    <w:rsid w:val="002350D4"/>
    <w:rsid w:val="00236C40"/>
    <w:rsid w:val="00237187"/>
    <w:rsid w:val="00241D4B"/>
    <w:rsid w:val="00254108"/>
    <w:rsid w:val="00254982"/>
    <w:rsid w:val="00255A97"/>
    <w:rsid w:val="0026211F"/>
    <w:rsid w:val="0027115E"/>
    <w:rsid w:val="00273AC2"/>
    <w:rsid w:val="002A4E12"/>
    <w:rsid w:val="002B059C"/>
    <w:rsid w:val="002C22B2"/>
    <w:rsid w:val="002D145C"/>
    <w:rsid w:val="002D5E0C"/>
    <w:rsid w:val="002E4004"/>
    <w:rsid w:val="002E4564"/>
    <w:rsid w:val="002E76B8"/>
    <w:rsid w:val="002F0CC2"/>
    <w:rsid w:val="00301E05"/>
    <w:rsid w:val="0030484F"/>
    <w:rsid w:val="0030682B"/>
    <w:rsid w:val="00307BF5"/>
    <w:rsid w:val="00336295"/>
    <w:rsid w:val="00345D66"/>
    <w:rsid w:val="00345DF1"/>
    <w:rsid w:val="00350AB4"/>
    <w:rsid w:val="00350C07"/>
    <w:rsid w:val="0035232B"/>
    <w:rsid w:val="00365E43"/>
    <w:rsid w:val="00365FD6"/>
    <w:rsid w:val="00371831"/>
    <w:rsid w:val="00371DF2"/>
    <w:rsid w:val="00371FEB"/>
    <w:rsid w:val="00372717"/>
    <w:rsid w:val="00374259"/>
    <w:rsid w:val="003743BD"/>
    <w:rsid w:val="00380C1D"/>
    <w:rsid w:val="0039192D"/>
    <w:rsid w:val="00393BB8"/>
    <w:rsid w:val="003A003E"/>
    <w:rsid w:val="003A272C"/>
    <w:rsid w:val="003B2625"/>
    <w:rsid w:val="003B272D"/>
    <w:rsid w:val="003B2BC7"/>
    <w:rsid w:val="003B2CA9"/>
    <w:rsid w:val="003B3309"/>
    <w:rsid w:val="003B4AF3"/>
    <w:rsid w:val="003C3698"/>
    <w:rsid w:val="003D4EC6"/>
    <w:rsid w:val="003D5123"/>
    <w:rsid w:val="003D6631"/>
    <w:rsid w:val="00403EBE"/>
    <w:rsid w:val="00406798"/>
    <w:rsid w:val="00407A75"/>
    <w:rsid w:val="00415BE4"/>
    <w:rsid w:val="004224BB"/>
    <w:rsid w:val="004266EA"/>
    <w:rsid w:val="004312CE"/>
    <w:rsid w:val="004317BB"/>
    <w:rsid w:val="00432064"/>
    <w:rsid w:val="00442B1A"/>
    <w:rsid w:val="0044424F"/>
    <w:rsid w:val="0044614F"/>
    <w:rsid w:val="00452F26"/>
    <w:rsid w:val="004542DE"/>
    <w:rsid w:val="00456E5E"/>
    <w:rsid w:val="004603F5"/>
    <w:rsid w:val="0046153E"/>
    <w:rsid w:val="004729E8"/>
    <w:rsid w:val="004745A3"/>
    <w:rsid w:val="00474FE0"/>
    <w:rsid w:val="00475443"/>
    <w:rsid w:val="0048329E"/>
    <w:rsid w:val="004855C7"/>
    <w:rsid w:val="004A3DB0"/>
    <w:rsid w:val="004A5630"/>
    <w:rsid w:val="004B12BF"/>
    <w:rsid w:val="004B29D6"/>
    <w:rsid w:val="004B3604"/>
    <w:rsid w:val="004B3BA0"/>
    <w:rsid w:val="004C1903"/>
    <w:rsid w:val="004C2035"/>
    <w:rsid w:val="004C26D4"/>
    <w:rsid w:val="004C736B"/>
    <w:rsid w:val="004D0E2F"/>
    <w:rsid w:val="004D1194"/>
    <w:rsid w:val="004D1B91"/>
    <w:rsid w:val="004F767F"/>
    <w:rsid w:val="00501058"/>
    <w:rsid w:val="00503672"/>
    <w:rsid w:val="00507E5A"/>
    <w:rsid w:val="00513856"/>
    <w:rsid w:val="005165DF"/>
    <w:rsid w:val="00520113"/>
    <w:rsid w:val="005233F7"/>
    <w:rsid w:val="00526597"/>
    <w:rsid w:val="00530DB9"/>
    <w:rsid w:val="00531883"/>
    <w:rsid w:val="005322B3"/>
    <w:rsid w:val="005346FC"/>
    <w:rsid w:val="00542846"/>
    <w:rsid w:val="00544405"/>
    <w:rsid w:val="00545C01"/>
    <w:rsid w:val="00547146"/>
    <w:rsid w:val="00554E97"/>
    <w:rsid w:val="00555D98"/>
    <w:rsid w:val="00556E53"/>
    <w:rsid w:val="00561357"/>
    <w:rsid w:val="00564242"/>
    <w:rsid w:val="00570CA6"/>
    <w:rsid w:val="00570E40"/>
    <w:rsid w:val="00576658"/>
    <w:rsid w:val="00580FA1"/>
    <w:rsid w:val="005851B7"/>
    <w:rsid w:val="00593D0F"/>
    <w:rsid w:val="0059765B"/>
    <w:rsid w:val="005A1039"/>
    <w:rsid w:val="005A614F"/>
    <w:rsid w:val="005A735A"/>
    <w:rsid w:val="005B1B00"/>
    <w:rsid w:val="005B6034"/>
    <w:rsid w:val="005B7D34"/>
    <w:rsid w:val="005C7A74"/>
    <w:rsid w:val="005D0AC2"/>
    <w:rsid w:val="005D10EE"/>
    <w:rsid w:val="005E3416"/>
    <w:rsid w:val="005E49CA"/>
    <w:rsid w:val="005F081C"/>
    <w:rsid w:val="005F4872"/>
    <w:rsid w:val="005F72F5"/>
    <w:rsid w:val="006036A3"/>
    <w:rsid w:val="00605BAC"/>
    <w:rsid w:val="00616016"/>
    <w:rsid w:val="00616BBE"/>
    <w:rsid w:val="00617FDF"/>
    <w:rsid w:val="006216BB"/>
    <w:rsid w:val="00625203"/>
    <w:rsid w:val="00625A11"/>
    <w:rsid w:val="00632769"/>
    <w:rsid w:val="00632FE4"/>
    <w:rsid w:val="00635663"/>
    <w:rsid w:val="00651836"/>
    <w:rsid w:val="0065322E"/>
    <w:rsid w:val="00653FC5"/>
    <w:rsid w:val="0065462D"/>
    <w:rsid w:val="0065769D"/>
    <w:rsid w:val="00657B65"/>
    <w:rsid w:val="00660039"/>
    <w:rsid w:val="00660DDB"/>
    <w:rsid w:val="00681140"/>
    <w:rsid w:val="0068155E"/>
    <w:rsid w:val="0068672E"/>
    <w:rsid w:val="006916CB"/>
    <w:rsid w:val="00692993"/>
    <w:rsid w:val="00693BD8"/>
    <w:rsid w:val="00694DDC"/>
    <w:rsid w:val="006A5302"/>
    <w:rsid w:val="006A6E7C"/>
    <w:rsid w:val="006B0D11"/>
    <w:rsid w:val="006B5E53"/>
    <w:rsid w:val="006C0486"/>
    <w:rsid w:val="006C3505"/>
    <w:rsid w:val="006C44F4"/>
    <w:rsid w:val="006D45B9"/>
    <w:rsid w:val="006D4CDE"/>
    <w:rsid w:val="006D576F"/>
    <w:rsid w:val="006D7279"/>
    <w:rsid w:val="006E12F7"/>
    <w:rsid w:val="006E59C4"/>
    <w:rsid w:val="006F7AFA"/>
    <w:rsid w:val="006F7B06"/>
    <w:rsid w:val="00702104"/>
    <w:rsid w:val="00723C9A"/>
    <w:rsid w:val="0074122A"/>
    <w:rsid w:val="00750E30"/>
    <w:rsid w:val="007527F5"/>
    <w:rsid w:val="00776779"/>
    <w:rsid w:val="00777146"/>
    <w:rsid w:val="007859AE"/>
    <w:rsid w:val="00785B73"/>
    <w:rsid w:val="007868AB"/>
    <w:rsid w:val="00787117"/>
    <w:rsid w:val="00787F12"/>
    <w:rsid w:val="00795C6E"/>
    <w:rsid w:val="007A0139"/>
    <w:rsid w:val="007A7390"/>
    <w:rsid w:val="007C427B"/>
    <w:rsid w:val="007C4794"/>
    <w:rsid w:val="007D41CF"/>
    <w:rsid w:val="007D6CF5"/>
    <w:rsid w:val="007E35CA"/>
    <w:rsid w:val="007F1DC9"/>
    <w:rsid w:val="007F1E58"/>
    <w:rsid w:val="008056E4"/>
    <w:rsid w:val="00812F56"/>
    <w:rsid w:val="00815FCA"/>
    <w:rsid w:val="00820790"/>
    <w:rsid w:val="008246C0"/>
    <w:rsid w:val="00833A25"/>
    <w:rsid w:val="00835BB2"/>
    <w:rsid w:val="0084033F"/>
    <w:rsid w:val="00841214"/>
    <w:rsid w:val="00842833"/>
    <w:rsid w:val="00842CE1"/>
    <w:rsid w:val="00845165"/>
    <w:rsid w:val="00847FAF"/>
    <w:rsid w:val="008509B8"/>
    <w:rsid w:val="00850A4E"/>
    <w:rsid w:val="00851BA4"/>
    <w:rsid w:val="00853C10"/>
    <w:rsid w:val="00853D0E"/>
    <w:rsid w:val="0085675B"/>
    <w:rsid w:val="00861E45"/>
    <w:rsid w:val="0086220C"/>
    <w:rsid w:val="008739CB"/>
    <w:rsid w:val="00881D1D"/>
    <w:rsid w:val="0088493B"/>
    <w:rsid w:val="00892979"/>
    <w:rsid w:val="008A01A8"/>
    <w:rsid w:val="008A7804"/>
    <w:rsid w:val="008B181E"/>
    <w:rsid w:val="008B19D6"/>
    <w:rsid w:val="008C1B55"/>
    <w:rsid w:val="008C3EDD"/>
    <w:rsid w:val="008C7625"/>
    <w:rsid w:val="008D54EB"/>
    <w:rsid w:val="008D6DDA"/>
    <w:rsid w:val="008E1588"/>
    <w:rsid w:val="008E6D4D"/>
    <w:rsid w:val="008F56FC"/>
    <w:rsid w:val="008F74A2"/>
    <w:rsid w:val="009075CD"/>
    <w:rsid w:val="0091115A"/>
    <w:rsid w:val="009170A8"/>
    <w:rsid w:val="00930EFA"/>
    <w:rsid w:val="0093183C"/>
    <w:rsid w:val="00934AC1"/>
    <w:rsid w:val="00934E24"/>
    <w:rsid w:val="00935D86"/>
    <w:rsid w:val="00936D38"/>
    <w:rsid w:val="00937C14"/>
    <w:rsid w:val="009416DA"/>
    <w:rsid w:val="00943C93"/>
    <w:rsid w:val="009448B9"/>
    <w:rsid w:val="00947C6F"/>
    <w:rsid w:val="0095588F"/>
    <w:rsid w:val="009561D4"/>
    <w:rsid w:val="00957777"/>
    <w:rsid w:val="0096123D"/>
    <w:rsid w:val="009652C6"/>
    <w:rsid w:val="00970448"/>
    <w:rsid w:val="009722B5"/>
    <w:rsid w:val="009724FF"/>
    <w:rsid w:val="00972ABE"/>
    <w:rsid w:val="00982426"/>
    <w:rsid w:val="00985D09"/>
    <w:rsid w:val="00991791"/>
    <w:rsid w:val="00992FAE"/>
    <w:rsid w:val="009A2A9D"/>
    <w:rsid w:val="009A3A18"/>
    <w:rsid w:val="009A42D1"/>
    <w:rsid w:val="009B2311"/>
    <w:rsid w:val="009B5209"/>
    <w:rsid w:val="009C0C59"/>
    <w:rsid w:val="009C118D"/>
    <w:rsid w:val="009C169A"/>
    <w:rsid w:val="009C4C7F"/>
    <w:rsid w:val="009C503C"/>
    <w:rsid w:val="009D22C8"/>
    <w:rsid w:val="009D3C00"/>
    <w:rsid w:val="009D4731"/>
    <w:rsid w:val="009D51CF"/>
    <w:rsid w:val="009E0D28"/>
    <w:rsid w:val="009E5A2E"/>
    <w:rsid w:val="009F00DE"/>
    <w:rsid w:val="009F0DB1"/>
    <w:rsid w:val="009F2FFF"/>
    <w:rsid w:val="00A015AD"/>
    <w:rsid w:val="00A03FAE"/>
    <w:rsid w:val="00A040FF"/>
    <w:rsid w:val="00A1333D"/>
    <w:rsid w:val="00A14725"/>
    <w:rsid w:val="00A14CF4"/>
    <w:rsid w:val="00A25721"/>
    <w:rsid w:val="00A257D6"/>
    <w:rsid w:val="00A35DF2"/>
    <w:rsid w:val="00A36C77"/>
    <w:rsid w:val="00A42C22"/>
    <w:rsid w:val="00A53D64"/>
    <w:rsid w:val="00A57311"/>
    <w:rsid w:val="00A57643"/>
    <w:rsid w:val="00A61DD5"/>
    <w:rsid w:val="00A64FFB"/>
    <w:rsid w:val="00A70FB7"/>
    <w:rsid w:val="00A80A42"/>
    <w:rsid w:val="00A83DE1"/>
    <w:rsid w:val="00A8434E"/>
    <w:rsid w:val="00A85833"/>
    <w:rsid w:val="00A85935"/>
    <w:rsid w:val="00A90175"/>
    <w:rsid w:val="00A94036"/>
    <w:rsid w:val="00A948E0"/>
    <w:rsid w:val="00A96589"/>
    <w:rsid w:val="00AA4DFC"/>
    <w:rsid w:val="00AA66E3"/>
    <w:rsid w:val="00AB18B6"/>
    <w:rsid w:val="00AB1DE5"/>
    <w:rsid w:val="00AB4D74"/>
    <w:rsid w:val="00AC27BE"/>
    <w:rsid w:val="00AC336D"/>
    <w:rsid w:val="00AC6E5A"/>
    <w:rsid w:val="00AC7AE5"/>
    <w:rsid w:val="00AD02D8"/>
    <w:rsid w:val="00AD2D8F"/>
    <w:rsid w:val="00AD443C"/>
    <w:rsid w:val="00AD6821"/>
    <w:rsid w:val="00AE18BE"/>
    <w:rsid w:val="00AE313F"/>
    <w:rsid w:val="00AF20CC"/>
    <w:rsid w:val="00AF3377"/>
    <w:rsid w:val="00AF6FCF"/>
    <w:rsid w:val="00AF7011"/>
    <w:rsid w:val="00AF7C7F"/>
    <w:rsid w:val="00B011F9"/>
    <w:rsid w:val="00B04A7F"/>
    <w:rsid w:val="00B0700C"/>
    <w:rsid w:val="00B13420"/>
    <w:rsid w:val="00B15C89"/>
    <w:rsid w:val="00B168EC"/>
    <w:rsid w:val="00B26733"/>
    <w:rsid w:val="00B27160"/>
    <w:rsid w:val="00B27C76"/>
    <w:rsid w:val="00B35225"/>
    <w:rsid w:val="00B37BFF"/>
    <w:rsid w:val="00B42832"/>
    <w:rsid w:val="00B64CF2"/>
    <w:rsid w:val="00B6703B"/>
    <w:rsid w:val="00B67AA9"/>
    <w:rsid w:val="00B67F6B"/>
    <w:rsid w:val="00B702D8"/>
    <w:rsid w:val="00B74143"/>
    <w:rsid w:val="00B74A98"/>
    <w:rsid w:val="00B752D1"/>
    <w:rsid w:val="00B77D17"/>
    <w:rsid w:val="00B80471"/>
    <w:rsid w:val="00B8149C"/>
    <w:rsid w:val="00B835D6"/>
    <w:rsid w:val="00B83897"/>
    <w:rsid w:val="00B859C9"/>
    <w:rsid w:val="00BA3D77"/>
    <w:rsid w:val="00BA47F8"/>
    <w:rsid w:val="00BA4B0C"/>
    <w:rsid w:val="00BB206C"/>
    <w:rsid w:val="00BB718F"/>
    <w:rsid w:val="00BB723A"/>
    <w:rsid w:val="00BC4044"/>
    <w:rsid w:val="00BD0BC3"/>
    <w:rsid w:val="00BD1E75"/>
    <w:rsid w:val="00BD3C4D"/>
    <w:rsid w:val="00BD49AA"/>
    <w:rsid w:val="00BD6FF7"/>
    <w:rsid w:val="00BE46CC"/>
    <w:rsid w:val="00BE5C5E"/>
    <w:rsid w:val="00BE6ADE"/>
    <w:rsid w:val="00BF19FC"/>
    <w:rsid w:val="00BF6B64"/>
    <w:rsid w:val="00C02163"/>
    <w:rsid w:val="00C10360"/>
    <w:rsid w:val="00C11EB9"/>
    <w:rsid w:val="00C13C35"/>
    <w:rsid w:val="00C2343D"/>
    <w:rsid w:val="00C24723"/>
    <w:rsid w:val="00C2489D"/>
    <w:rsid w:val="00C256E2"/>
    <w:rsid w:val="00C34035"/>
    <w:rsid w:val="00C365F8"/>
    <w:rsid w:val="00C40984"/>
    <w:rsid w:val="00C439CF"/>
    <w:rsid w:val="00C46C39"/>
    <w:rsid w:val="00C51A0F"/>
    <w:rsid w:val="00C6138F"/>
    <w:rsid w:val="00C62C4C"/>
    <w:rsid w:val="00C677C2"/>
    <w:rsid w:val="00C73B8E"/>
    <w:rsid w:val="00C76A62"/>
    <w:rsid w:val="00C77F46"/>
    <w:rsid w:val="00C82AF1"/>
    <w:rsid w:val="00C82D20"/>
    <w:rsid w:val="00C90393"/>
    <w:rsid w:val="00C9624A"/>
    <w:rsid w:val="00CA1FB9"/>
    <w:rsid w:val="00CA2A20"/>
    <w:rsid w:val="00CA37B3"/>
    <w:rsid w:val="00CA4398"/>
    <w:rsid w:val="00CA66A8"/>
    <w:rsid w:val="00CC33E5"/>
    <w:rsid w:val="00CD7FDA"/>
    <w:rsid w:val="00CE0FA5"/>
    <w:rsid w:val="00CE3841"/>
    <w:rsid w:val="00CE53D6"/>
    <w:rsid w:val="00CE5F5A"/>
    <w:rsid w:val="00CE7075"/>
    <w:rsid w:val="00CF19A7"/>
    <w:rsid w:val="00CF2A84"/>
    <w:rsid w:val="00CF307E"/>
    <w:rsid w:val="00CF3648"/>
    <w:rsid w:val="00CF6049"/>
    <w:rsid w:val="00CF7B79"/>
    <w:rsid w:val="00D054A5"/>
    <w:rsid w:val="00D11C1D"/>
    <w:rsid w:val="00D17232"/>
    <w:rsid w:val="00D248E5"/>
    <w:rsid w:val="00D27878"/>
    <w:rsid w:val="00D32BE2"/>
    <w:rsid w:val="00D342F6"/>
    <w:rsid w:val="00D35332"/>
    <w:rsid w:val="00D36F21"/>
    <w:rsid w:val="00D40959"/>
    <w:rsid w:val="00D462A8"/>
    <w:rsid w:val="00D47D1D"/>
    <w:rsid w:val="00D53B1D"/>
    <w:rsid w:val="00D5559E"/>
    <w:rsid w:val="00D66F1E"/>
    <w:rsid w:val="00D717CA"/>
    <w:rsid w:val="00D72516"/>
    <w:rsid w:val="00D73397"/>
    <w:rsid w:val="00D80696"/>
    <w:rsid w:val="00D811AD"/>
    <w:rsid w:val="00D8489E"/>
    <w:rsid w:val="00D85D44"/>
    <w:rsid w:val="00D85E21"/>
    <w:rsid w:val="00D8759B"/>
    <w:rsid w:val="00D955A1"/>
    <w:rsid w:val="00D955AE"/>
    <w:rsid w:val="00DA08E7"/>
    <w:rsid w:val="00DA0CC5"/>
    <w:rsid w:val="00DA23CF"/>
    <w:rsid w:val="00DA42F9"/>
    <w:rsid w:val="00DA4BA5"/>
    <w:rsid w:val="00DC32D8"/>
    <w:rsid w:val="00DC595C"/>
    <w:rsid w:val="00DC61D1"/>
    <w:rsid w:val="00DC7ADC"/>
    <w:rsid w:val="00DD35EE"/>
    <w:rsid w:val="00DD6AC8"/>
    <w:rsid w:val="00DE2A28"/>
    <w:rsid w:val="00DE4197"/>
    <w:rsid w:val="00DE4BAD"/>
    <w:rsid w:val="00DE5590"/>
    <w:rsid w:val="00DE7118"/>
    <w:rsid w:val="00E019AF"/>
    <w:rsid w:val="00E13FD3"/>
    <w:rsid w:val="00E15C52"/>
    <w:rsid w:val="00E1772B"/>
    <w:rsid w:val="00E235F1"/>
    <w:rsid w:val="00E2523A"/>
    <w:rsid w:val="00E2788E"/>
    <w:rsid w:val="00E3355C"/>
    <w:rsid w:val="00E340CA"/>
    <w:rsid w:val="00E35F08"/>
    <w:rsid w:val="00E42591"/>
    <w:rsid w:val="00E464E8"/>
    <w:rsid w:val="00E542B1"/>
    <w:rsid w:val="00E5639E"/>
    <w:rsid w:val="00E6412A"/>
    <w:rsid w:val="00E65310"/>
    <w:rsid w:val="00E678AB"/>
    <w:rsid w:val="00E679FA"/>
    <w:rsid w:val="00E723EE"/>
    <w:rsid w:val="00E74100"/>
    <w:rsid w:val="00E7675A"/>
    <w:rsid w:val="00E80650"/>
    <w:rsid w:val="00E860DE"/>
    <w:rsid w:val="00E9605E"/>
    <w:rsid w:val="00EA3F99"/>
    <w:rsid w:val="00EB0958"/>
    <w:rsid w:val="00EC1954"/>
    <w:rsid w:val="00ED534A"/>
    <w:rsid w:val="00ED5571"/>
    <w:rsid w:val="00ED5D51"/>
    <w:rsid w:val="00ED5F43"/>
    <w:rsid w:val="00ED722E"/>
    <w:rsid w:val="00EE10AF"/>
    <w:rsid w:val="00EE1749"/>
    <w:rsid w:val="00EE178E"/>
    <w:rsid w:val="00EE5E39"/>
    <w:rsid w:val="00EF270F"/>
    <w:rsid w:val="00EF774D"/>
    <w:rsid w:val="00F006FA"/>
    <w:rsid w:val="00F06450"/>
    <w:rsid w:val="00F10197"/>
    <w:rsid w:val="00F24E28"/>
    <w:rsid w:val="00F25251"/>
    <w:rsid w:val="00F31700"/>
    <w:rsid w:val="00F35483"/>
    <w:rsid w:val="00F37A9E"/>
    <w:rsid w:val="00F44D3C"/>
    <w:rsid w:val="00F4696E"/>
    <w:rsid w:val="00F51282"/>
    <w:rsid w:val="00F53FED"/>
    <w:rsid w:val="00F62B52"/>
    <w:rsid w:val="00F7049C"/>
    <w:rsid w:val="00F70D4E"/>
    <w:rsid w:val="00F70FEB"/>
    <w:rsid w:val="00F749AF"/>
    <w:rsid w:val="00F75E95"/>
    <w:rsid w:val="00F81BCE"/>
    <w:rsid w:val="00F8440D"/>
    <w:rsid w:val="00F84ACD"/>
    <w:rsid w:val="00F85E0D"/>
    <w:rsid w:val="00F954FF"/>
    <w:rsid w:val="00F97F9F"/>
    <w:rsid w:val="00FA15D0"/>
    <w:rsid w:val="00FB1AAA"/>
    <w:rsid w:val="00FB7194"/>
    <w:rsid w:val="00FC5CE8"/>
    <w:rsid w:val="00FC6D2C"/>
    <w:rsid w:val="00FD1E60"/>
    <w:rsid w:val="00FE0D29"/>
    <w:rsid w:val="00FE1015"/>
    <w:rsid w:val="00FE1025"/>
    <w:rsid w:val="00FE3830"/>
    <w:rsid w:val="00FE441F"/>
    <w:rsid w:val="00FF0689"/>
    <w:rsid w:val="00FF1AE6"/>
    <w:rsid w:val="00FF3323"/>
    <w:rsid w:val="00FF6784"/>
    <w:rsid w:val="00FF6F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360"/>
    <w:rPr>
      <w:rFonts w:ascii="Verdana" w:eastAsia="Calibri" w:hAnsi="Verdana" w:cs="Times New Roman"/>
      <w:sz w:val="20"/>
    </w:rPr>
  </w:style>
  <w:style w:type="paragraph" w:styleId="Ttulo1">
    <w:name w:val="heading 1"/>
    <w:basedOn w:val="Normal"/>
    <w:next w:val="Normal"/>
    <w:link w:val="Ttulo1Car"/>
    <w:uiPriority w:val="9"/>
    <w:qFormat/>
    <w:rsid w:val="003B33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5">
    <w:name w:val="heading 5"/>
    <w:basedOn w:val="Normal"/>
    <w:next w:val="Normal"/>
    <w:link w:val="Ttulo5Car"/>
    <w:uiPriority w:val="9"/>
    <w:semiHidden/>
    <w:unhideWhenUsed/>
    <w:qFormat/>
    <w:rsid w:val="00881D1D"/>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881D1D"/>
    <w:pPr>
      <w:keepNext w:val="0"/>
      <w:keepLines w:val="0"/>
      <w:tabs>
        <w:tab w:val="num" w:pos="3600"/>
      </w:tabs>
      <w:spacing w:before="0" w:line="240" w:lineRule="auto"/>
      <w:ind w:left="3600" w:hanging="360"/>
      <w:jc w:val="both"/>
      <w:outlineLvl w:val="5"/>
    </w:pPr>
    <w:rPr>
      <w:rFonts w:ascii="Verdana" w:eastAsia="Times New Roman" w:hAnsi="Verdana" w:cs="Times New Roman"/>
      <w:color w:val="auto"/>
      <w:spacing w:val="-2"/>
      <w:szCs w:val="20"/>
      <w:lang w:val="es-ES_tradnl"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unhideWhenUsed/>
    <w:qFormat/>
    <w:rsid w:val="00C10360"/>
    <w:pPr>
      <w:spacing w:after="0" w:line="240" w:lineRule="auto"/>
    </w:pPr>
    <w:rPr>
      <w:sz w:val="16"/>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C10360"/>
    <w:rPr>
      <w:rFonts w:ascii="Verdana" w:eastAsia="Calibri" w:hAnsi="Verdana" w:cs="Times New Roman"/>
      <w:sz w:val="16"/>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qFormat/>
    <w:rsid w:val="00970448"/>
    <w:rPr>
      <w:vertAlign w:val="superscript"/>
    </w:rPr>
  </w:style>
  <w:style w:type="character" w:styleId="Nmerodelnea">
    <w:name w:val="line number"/>
    <w:basedOn w:val="Fuentedeprrafopredeter"/>
    <w:uiPriority w:val="99"/>
    <w:unhideWhenUsed/>
    <w:rsid w:val="00970448"/>
    <w:rPr>
      <w:rFonts w:ascii="Verdana" w:hAnsi="Verdana"/>
      <w:sz w:val="18"/>
    </w:rPr>
  </w:style>
  <w:style w:type="paragraph" w:styleId="Sinespaciado">
    <w:name w:val="No Spacing"/>
    <w:uiPriority w:val="1"/>
    <w:qFormat/>
    <w:rsid w:val="00301E05"/>
    <w:pPr>
      <w:spacing w:after="0" w:line="240" w:lineRule="auto"/>
    </w:pPr>
    <w:rPr>
      <w:rFonts w:ascii="Calibri" w:eastAsia="Calibri" w:hAnsi="Calibri" w:cs="Times New Roman"/>
    </w:rPr>
  </w:style>
  <w:style w:type="character" w:customStyle="1" w:styleId="apple-converted-space">
    <w:name w:val="apple-converted-space"/>
    <w:basedOn w:val="Fuentedeprrafopredeter"/>
    <w:rsid w:val="00160152"/>
  </w:style>
  <w:style w:type="character" w:styleId="Hipervnculo">
    <w:name w:val="Hyperlink"/>
    <w:basedOn w:val="Fuentedeprrafopredeter"/>
    <w:uiPriority w:val="99"/>
    <w:unhideWhenUsed/>
    <w:rsid w:val="00160152"/>
    <w:rPr>
      <w:color w:val="0000FF"/>
      <w:u w:val="single"/>
    </w:rPr>
  </w:style>
  <w:style w:type="paragraph" w:styleId="Prrafodelista">
    <w:name w:val="List Paragraph"/>
    <w:aliases w:val="Footnote"/>
    <w:basedOn w:val="Normal"/>
    <w:link w:val="PrrafodelistaCar"/>
    <w:uiPriority w:val="34"/>
    <w:qFormat/>
    <w:rsid w:val="00475443"/>
    <w:pPr>
      <w:ind w:left="720"/>
      <w:contextualSpacing/>
    </w:pPr>
  </w:style>
  <w:style w:type="character" w:customStyle="1" w:styleId="PrrafodelistaCar">
    <w:name w:val="Párrafo de lista Car"/>
    <w:aliases w:val="Footnote Car"/>
    <w:basedOn w:val="Fuentedeprrafopredeter"/>
    <w:link w:val="Prrafodelista"/>
    <w:uiPriority w:val="34"/>
    <w:rsid w:val="009E5A2E"/>
    <w:rPr>
      <w:rFonts w:ascii="Calibri" w:eastAsia="Calibri" w:hAnsi="Calibri" w:cs="Times New Roman"/>
    </w:rPr>
  </w:style>
  <w:style w:type="character" w:styleId="Refdecomentario">
    <w:name w:val="annotation reference"/>
    <w:basedOn w:val="Fuentedeprrafopredeter"/>
    <w:uiPriority w:val="99"/>
    <w:semiHidden/>
    <w:unhideWhenUsed/>
    <w:rsid w:val="006D7279"/>
    <w:rPr>
      <w:sz w:val="16"/>
      <w:szCs w:val="16"/>
    </w:rPr>
  </w:style>
  <w:style w:type="paragraph" w:styleId="Textocomentario">
    <w:name w:val="annotation text"/>
    <w:basedOn w:val="Normal"/>
    <w:link w:val="TextocomentarioCar"/>
    <w:uiPriority w:val="99"/>
    <w:semiHidden/>
    <w:unhideWhenUsed/>
    <w:rsid w:val="006D7279"/>
    <w:pPr>
      <w:spacing w:line="240" w:lineRule="auto"/>
    </w:pPr>
    <w:rPr>
      <w:szCs w:val="20"/>
    </w:rPr>
  </w:style>
  <w:style w:type="character" w:customStyle="1" w:styleId="TextocomentarioCar">
    <w:name w:val="Texto comentario Car"/>
    <w:basedOn w:val="Fuentedeprrafopredeter"/>
    <w:link w:val="Textocomentario"/>
    <w:uiPriority w:val="99"/>
    <w:semiHidden/>
    <w:rsid w:val="006D727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6D7279"/>
    <w:rPr>
      <w:b/>
      <w:bCs/>
    </w:rPr>
  </w:style>
  <w:style w:type="character" w:customStyle="1" w:styleId="AsuntodelcomentarioCar">
    <w:name w:val="Asunto del comentario Car"/>
    <w:basedOn w:val="TextocomentarioCar"/>
    <w:link w:val="Asuntodelcomentario"/>
    <w:uiPriority w:val="99"/>
    <w:semiHidden/>
    <w:rsid w:val="006D7279"/>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6D72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7279"/>
    <w:rPr>
      <w:rFonts w:ascii="Tahoma" w:eastAsia="Calibri" w:hAnsi="Tahoma" w:cs="Tahoma"/>
      <w:sz w:val="16"/>
      <w:szCs w:val="16"/>
    </w:rPr>
  </w:style>
  <w:style w:type="character" w:customStyle="1" w:styleId="FootnoteCharacters">
    <w:name w:val="Footnote Characters"/>
    <w:basedOn w:val="Fuentedeprrafopredeter"/>
    <w:rsid w:val="00113F3F"/>
    <w:rPr>
      <w:sz w:val="20"/>
      <w:vertAlign w:val="superscript"/>
    </w:rPr>
  </w:style>
  <w:style w:type="paragraph" w:styleId="Encabezado">
    <w:name w:val="header"/>
    <w:basedOn w:val="Normal"/>
    <w:link w:val="EncabezadoCar"/>
    <w:uiPriority w:val="99"/>
    <w:unhideWhenUsed/>
    <w:rsid w:val="000E7C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7CE1"/>
    <w:rPr>
      <w:rFonts w:ascii="Calibri" w:eastAsia="Calibri" w:hAnsi="Calibri" w:cs="Times New Roman"/>
    </w:rPr>
  </w:style>
  <w:style w:type="paragraph" w:styleId="Piedepgina">
    <w:name w:val="footer"/>
    <w:basedOn w:val="Normal"/>
    <w:link w:val="PiedepginaCar"/>
    <w:uiPriority w:val="99"/>
    <w:semiHidden/>
    <w:unhideWhenUsed/>
    <w:rsid w:val="000E7C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0E7CE1"/>
    <w:rPr>
      <w:rFonts w:ascii="Calibri" w:eastAsia="Calibri" w:hAnsi="Calibri" w:cs="Times New Roman"/>
    </w:rPr>
  </w:style>
  <w:style w:type="paragraph" w:styleId="Textonotaalfinal">
    <w:name w:val="endnote text"/>
    <w:basedOn w:val="Normal"/>
    <w:link w:val="TextonotaalfinalCar"/>
    <w:uiPriority w:val="99"/>
    <w:semiHidden/>
    <w:unhideWhenUsed/>
    <w:rsid w:val="003A272C"/>
    <w:pPr>
      <w:spacing w:after="0" w:line="240" w:lineRule="auto"/>
    </w:pPr>
    <w:rPr>
      <w:sz w:val="24"/>
      <w:szCs w:val="24"/>
    </w:rPr>
  </w:style>
  <w:style w:type="character" w:customStyle="1" w:styleId="TextonotaalfinalCar">
    <w:name w:val="Texto nota al final Car"/>
    <w:basedOn w:val="Fuentedeprrafopredeter"/>
    <w:link w:val="Textonotaalfinal"/>
    <w:uiPriority w:val="99"/>
    <w:semiHidden/>
    <w:rsid w:val="003A272C"/>
    <w:rPr>
      <w:rFonts w:ascii="Calibri" w:eastAsia="Calibri" w:hAnsi="Calibri" w:cs="Times New Roman"/>
      <w:sz w:val="24"/>
      <w:szCs w:val="24"/>
    </w:rPr>
  </w:style>
  <w:style w:type="character" w:styleId="Refdenotaalfinal">
    <w:name w:val="endnote reference"/>
    <w:basedOn w:val="Fuentedeprrafopredeter"/>
    <w:uiPriority w:val="99"/>
    <w:semiHidden/>
    <w:unhideWhenUsed/>
    <w:rsid w:val="003A272C"/>
    <w:rPr>
      <w:vertAlign w:val="superscript"/>
    </w:rPr>
  </w:style>
  <w:style w:type="paragraph" w:styleId="NormalWeb">
    <w:name w:val="Normal (Web)"/>
    <w:basedOn w:val="Normal"/>
    <w:uiPriority w:val="99"/>
    <w:unhideWhenUsed/>
    <w:rsid w:val="00815FCA"/>
    <w:pPr>
      <w:spacing w:before="100" w:beforeAutospacing="1" w:after="100" w:afterAutospacing="1" w:line="240" w:lineRule="auto"/>
    </w:pPr>
    <w:rPr>
      <w:rFonts w:ascii="Times" w:eastAsiaTheme="minorHAnsi" w:hAnsi="Times"/>
      <w:szCs w:val="20"/>
      <w:lang w:val="en-US"/>
    </w:rPr>
  </w:style>
  <w:style w:type="character" w:customStyle="1" w:styleId="Ttulo6Car">
    <w:name w:val="Título 6 Car"/>
    <w:basedOn w:val="Fuentedeprrafopredeter"/>
    <w:link w:val="Ttulo6"/>
    <w:uiPriority w:val="9"/>
    <w:rsid w:val="00881D1D"/>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
    <w:semiHidden/>
    <w:rsid w:val="00881D1D"/>
    <w:rPr>
      <w:rFonts w:asciiTheme="majorHAnsi" w:eastAsiaTheme="majorEastAsia" w:hAnsiTheme="majorHAnsi" w:cstheme="majorBidi"/>
      <w:color w:val="243F60" w:themeColor="accent1" w:themeShade="7F"/>
    </w:rPr>
  </w:style>
  <w:style w:type="character" w:styleId="Textoennegrita">
    <w:name w:val="Strong"/>
    <w:basedOn w:val="Fuentedeprrafopredeter"/>
    <w:uiPriority w:val="22"/>
    <w:qFormat/>
    <w:rsid w:val="003C3698"/>
    <w:rPr>
      <w:b/>
      <w:bCs/>
    </w:rPr>
  </w:style>
  <w:style w:type="paragraph" w:styleId="Mapadeldocumento">
    <w:name w:val="Document Map"/>
    <w:basedOn w:val="Normal"/>
    <w:link w:val="MapadeldocumentoCar"/>
    <w:uiPriority w:val="99"/>
    <w:semiHidden/>
    <w:unhideWhenUsed/>
    <w:rsid w:val="00CF3648"/>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CF3648"/>
    <w:rPr>
      <w:rFonts w:ascii="Tahoma" w:eastAsia="Calibri" w:hAnsi="Tahoma" w:cs="Tahoma"/>
      <w:sz w:val="16"/>
      <w:szCs w:val="16"/>
    </w:rPr>
  </w:style>
  <w:style w:type="character" w:customStyle="1" w:styleId="Ttulo1Car">
    <w:name w:val="Título 1 Car"/>
    <w:basedOn w:val="Fuentedeprrafopredeter"/>
    <w:link w:val="Ttulo1"/>
    <w:uiPriority w:val="9"/>
    <w:rsid w:val="003B330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360"/>
    <w:rPr>
      <w:rFonts w:ascii="Verdana" w:eastAsia="Calibri" w:hAnsi="Verdana" w:cs="Times New Roman"/>
      <w:sz w:val="20"/>
    </w:rPr>
  </w:style>
  <w:style w:type="paragraph" w:styleId="Ttulo5">
    <w:name w:val="heading 5"/>
    <w:basedOn w:val="Normal"/>
    <w:next w:val="Normal"/>
    <w:link w:val="Ttulo5Car"/>
    <w:uiPriority w:val="9"/>
    <w:semiHidden/>
    <w:unhideWhenUsed/>
    <w:qFormat/>
    <w:rsid w:val="00881D1D"/>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881D1D"/>
    <w:pPr>
      <w:keepNext w:val="0"/>
      <w:keepLines w:val="0"/>
      <w:tabs>
        <w:tab w:val="num" w:pos="3600"/>
      </w:tabs>
      <w:spacing w:before="0" w:line="240" w:lineRule="auto"/>
      <w:ind w:left="3600" w:hanging="360"/>
      <w:jc w:val="both"/>
      <w:outlineLvl w:val="5"/>
    </w:pPr>
    <w:rPr>
      <w:rFonts w:ascii="Verdana" w:eastAsia="Times New Roman" w:hAnsi="Verdana" w:cs="Times New Roman"/>
      <w:color w:val="auto"/>
      <w:spacing w:val="-2"/>
      <w:szCs w:val="20"/>
      <w:lang w:val="es-ES_tradnl"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unhideWhenUsed/>
    <w:qFormat/>
    <w:rsid w:val="00C10360"/>
    <w:pPr>
      <w:spacing w:after="0" w:line="240" w:lineRule="auto"/>
    </w:pPr>
    <w:rPr>
      <w:sz w:val="16"/>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C10360"/>
    <w:rPr>
      <w:rFonts w:ascii="Verdana" w:eastAsia="Calibri" w:hAnsi="Verdana" w:cs="Times New Roman"/>
      <w:sz w:val="16"/>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qFormat/>
    <w:rsid w:val="00970448"/>
    <w:rPr>
      <w:vertAlign w:val="superscript"/>
    </w:rPr>
  </w:style>
  <w:style w:type="character" w:styleId="Nmerodelnea">
    <w:name w:val="line number"/>
    <w:basedOn w:val="Fuentedeprrafopredeter"/>
    <w:uiPriority w:val="99"/>
    <w:unhideWhenUsed/>
    <w:rsid w:val="00970448"/>
    <w:rPr>
      <w:rFonts w:ascii="Verdana" w:hAnsi="Verdana"/>
      <w:sz w:val="18"/>
    </w:rPr>
  </w:style>
  <w:style w:type="paragraph" w:styleId="Sinespaciado">
    <w:name w:val="No Spacing"/>
    <w:uiPriority w:val="1"/>
    <w:qFormat/>
    <w:rsid w:val="00301E05"/>
    <w:pPr>
      <w:spacing w:after="0" w:line="240" w:lineRule="auto"/>
    </w:pPr>
    <w:rPr>
      <w:rFonts w:ascii="Calibri" w:eastAsia="Calibri" w:hAnsi="Calibri" w:cs="Times New Roman"/>
    </w:rPr>
  </w:style>
  <w:style w:type="character" w:customStyle="1" w:styleId="apple-converted-space">
    <w:name w:val="apple-converted-space"/>
    <w:basedOn w:val="Fuentedeprrafopredeter"/>
    <w:rsid w:val="00160152"/>
  </w:style>
  <w:style w:type="character" w:styleId="Hipervnculo">
    <w:name w:val="Hyperlink"/>
    <w:basedOn w:val="Fuentedeprrafopredeter"/>
    <w:uiPriority w:val="99"/>
    <w:unhideWhenUsed/>
    <w:rsid w:val="00160152"/>
    <w:rPr>
      <w:color w:val="0000FF"/>
      <w:u w:val="single"/>
    </w:rPr>
  </w:style>
  <w:style w:type="paragraph" w:styleId="Prrafodelista">
    <w:name w:val="List Paragraph"/>
    <w:aliases w:val="Footnote"/>
    <w:basedOn w:val="Normal"/>
    <w:link w:val="PrrafodelistaCar"/>
    <w:uiPriority w:val="34"/>
    <w:qFormat/>
    <w:rsid w:val="00475443"/>
    <w:pPr>
      <w:ind w:left="720"/>
      <w:contextualSpacing/>
    </w:pPr>
  </w:style>
  <w:style w:type="character" w:customStyle="1" w:styleId="PrrafodelistaCar">
    <w:name w:val="Párrafo de lista Car"/>
    <w:aliases w:val="Footnote Car"/>
    <w:basedOn w:val="Fuentedeprrafopredeter"/>
    <w:link w:val="Prrafodelista"/>
    <w:uiPriority w:val="34"/>
    <w:rsid w:val="009E5A2E"/>
    <w:rPr>
      <w:rFonts w:ascii="Calibri" w:eastAsia="Calibri" w:hAnsi="Calibri" w:cs="Times New Roman"/>
    </w:rPr>
  </w:style>
  <w:style w:type="character" w:styleId="Refdecomentario">
    <w:name w:val="annotation reference"/>
    <w:basedOn w:val="Fuentedeprrafopredeter"/>
    <w:uiPriority w:val="99"/>
    <w:semiHidden/>
    <w:unhideWhenUsed/>
    <w:rsid w:val="006D7279"/>
    <w:rPr>
      <w:sz w:val="16"/>
      <w:szCs w:val="16"/>
    </w:rPr>
  </w:style>
  <w:style w:type="paragraph" w:styleId="Textocomentario">
    <w:name w:val="annotation text"/>
    <w:basedOn w:val="Normal"/>
    <w:link w:val="TextocomentarioCar"/>
    <w:uiPriority w:val="99"/>
    <w:semiHidden/>
    <w:unhideWhenUsed/>
    <w:rsid w:val="006D7279"/>
    <w:pPr>
      <w:spacing w:line="240" w:lineRule="auto"/>
    </w:pPr>
    <w:rPr>
      <w:szCs w:val="20"/>
    </w:rPr>
  </w:style>
  <w:style w:type="character" w:customStyle="1" w:styleId="TextocomentarioCar">
    <w:name w:val="Texto comentario Car"/>
    <w:basedOn w:val="Fuentedeprrafopredeter"/>
    <w:link w:val="Textocomentario"/>
    <w:uiPriority w:val="99"/>
    <w:semiHidden/>
    <w:rsid w:val="006D727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6D7279"/>
    <w:rPr>
      <w:b/>
      <w:bCs/>
    </w:rPr>
  </w:style>
  <w:style w:type="character" w:customStyle="1" w:styleId="AsuntodelcomentarioCar">
    <w:name w:val="Asunto del comentario Car"/>
    <w:basedOn w:val="TextocomentarioCar"/>
    <w:link w:val="Asuntodelcomentario"/>
    <w:uiPriority w:val="99"/>
    <w:semiHidden/>
    <w:rsid w:val="006D7279"/>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6D72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7279"/>
    <w:rPr>
      <w:rFonts w:ascii="Tahoma" w:eastAsia="Calibri" w:hAnsi="Tahoma" w:cs="Tahoma"/>
      <w:sz w:val="16"/>
      <w:szCs w:val="16"/>
    </w:rPr>
  </w:style>
  <w:style w:type="character" w:customStyle="1" w:styleId="FootnoteCharacters">
    <w:name w:val="Footnote Characters"/>
    <w:basedOn w:val="Fuentedeprrafopredeter"/>
    <w:rsid w:val="00113F3F"/>
    <w:rPr>
      <w:sz w:val="20"/>
      <w:vertAlign w:val="superscript"/>
    </w:rPr>
  </w:style>
  <w:style w:type="paragraph" w:styleId="Encabezado">
    <w:name w:val="header"/>
    <w:basedOn w:val="Normal"/>
    <w:link w:val="EncabezadoCar"/>
    <w:uiPriority w:val="99"/>
    <w:unhideWhenUsed/>
    <w:rsid w:val="000E7C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7CE1"/>
    <w:rPr>
      <w:rFonts w:ascii="Calibri" w:eastAsia="Calibri" w:hAnsi="Calibri" w:cs="Times New Roman"/>
    </w:rPr>
  </w:style>
  <w:style w:type="paragraph" w:styleId="Piedepgina">
    <w:name w:val="footer"/>
    <w:basedOn w:val="Normal"/>
    <w:link w:val="PiedepginaCar"/>
    <w:uiPriority w:val="99"/>
    <w:semiHidden/>
    <w:unhideWhenUsed/>
    <w:rsid w:val="000E7C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0E7CE1"/>
    <w:rPr>
      <w:rFonts w:ascii="Calibri" w:eastAsia="Calibri" w:hAnsi="Calibri" w:cs="Times New Roman"/>
    </w:rPr>
  </w:style>
  <w:style w:type="paragraph" w:styleId="Textonotaalfinal">
    <w:name w:val="endnote text"/>
    <w:basedOn w:val="Normal"/>
    <w:link w:val="TextonotaalfinalCar"/>
    <w:uiPriority w:val="99"/>
    <w:semiHidden/>
    <w:unhideWhenUsed/>
    <w:rsid w:val="003A272C"/>
    <w:pPr>
      <w:spacing w:after="0" w:line="240" w:lineRule="auto"/>
    </w:pPr>
    <w:rPr>
      <w:sz w:val="24"/>
      <w:szCs w:val="24"/>
    </w:rPr>
  </w:style>
  <w:style w:type="character" w:customStyle="1" w:styleId="TextonotaalfinalCar">
    <w:name w:val="Texto nota al final Car"/>
    <w:basedOn w:val="Fuentedeprrafopredeter"/>
    <w:link w:val="Textonotaalfinal"/>
    <w:uiPriority w:val="99"/>
    <w:semiHidden/>
    <w:rsid w:val="003A272C"/>
    <w:rPr>
      <w:rFonts w:ascii="Calibri" w:eastAsia="Calibri" w:hAnsi="Calibri" w:cs="Times New Roman"/>
      <w:sz w:val="24"/>
      <w:szCs w:val="24"/>
    </w:rPr>
  </w:style>
  <w:style w:type="character" w:styleId="Refdenotaalfinal">
    <w:name w:val="endnote reference"/>
    <w:basedOn w:val="Fuentedeprrafopredeter"/>
    <w:uiPriority w:val="99"/>
    <w:semiHidden/>
    <w:unhideWhenUsed/>
    <w:rsid w:val="003A272C"/>
    <w:rPr>
      <w:vertAlign w:val="superscript"/>
    </w:rPr>
  </w:style>
  <w:style w:type="paragraph" w:styleId="NormalWeb">
    <w:name w:val="Normal (Web)"/>
    <w:basedOn w:val="Normal"/>
    <w:uiPriority w:val="99"/>
    <w:unhideWhenUsed/>
    <w:rsid w:val="00815FCA"/>
    <w:pPr>
      <w:spacing w:before="100" w:beforeAutospacing="1" w:after="100" w:afterAutospacing="1" w:line="240" w:lineRule="auto"/>
    </w:pPr>
    <w:rPr>
      <w:rFonts w:ascii="Times" w:eastAsiaTheme="minorHAnsi" w:hAnsi="Times"/>
      <w:szCs w:val="20"/>
      <w:lang w:val="en-US"/>
    </w:rPr>
  </w:style>
  <w:style w:type="character" w:customStyle="1" w:styleId="Ttulo6Car">
    <w:name w:val="Título 6 Car"/>
    <w:basedOn w:val="Fuentedeprrafopredeter"/>
    <w:link w:val="Ttulo6"/>
    <w:uiPriority w:val="9"/>
    <w:rsid w:val="00881D1D"/>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
    <w:semiHidden/>
    <w:rsid w:val="00881D1D"/>
    <w:rPr>
      <w:rFonts w:asciiTheme="majorHAnsi" w:eastAsiaTheme="majorEastAsia" w:hAnsiTheme="majorHAnsi" w:cstheme="majorBidi"/>
      <w:color w:val="243F60" w:themeColor="accent1" w:themeShade="7F"/>
    </w:rPr>
  </w:style>
  <w:style w:type="character" w:styleId="Textoennegrita">
    <w:name w:val="Strong"/>
    <w:basedOn w:val="Fuentedeprrafopredeter"/>
    <w:uiPriority w:val="22"/>
    <w:qFormat/>
    <w:rsid w:val="003C3698"/>
    <w:rPr>
      <w:b/>
      <w:bCs/>
    </w:rPr>
  </w:style>
  <w:style w:type="paragraph" w:styleId="Mapadeldocumento">
    <w:name w:val="Document Map"/>
    <w:basedOn w:val="Normal"/>
    <w:link w:val="MapadeldocumentoCar"/>
    <w:uiPriority w:val="99"/>
    <w:semiHidden/>
    <w:unhideWhenUsed/>
    <w:rsid w:val="00CF3648"/>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CF364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636328">
      <w:bodyDiv w:val="1"/>
      <w:marLeft w:val="0"/>
      <w:marRight w:val="0"/>
      <w:marTop w:val="0"/>
      <w:marBottom w:val="0"/>
      <w:divBdr>
        <w:top w:val="none" w:sz="0" w:space="0" w:color="auto"/>
        <w:left w:val="none" w:sz="0" w:space="0" w:color="auto"/>
        <w:bottom w:val="none" w:sz="0" w:space="0" w:color="auto"/>
        <w:right w:val="none" w:sz="0" w:space="0" w:color="auto"/>
      </w:divBdr>
      <w:divsChild>
        <w:div w:id="1250583423">
          <w:marLeft w:val="0"/>
          <w:marRight w:val="0"/>
          <w:marTop w:val="0"/>
          <w:marBottom w:val="0"/>
          <w:divBdr>
            <w:top w:val="none" w:sz="0" w:space="0" w:color="auto"/>
            <w:left w:val="none" w:sz="0" w:space="0" w:color="auto"/>
            <w:bottom w:val="none" w:sz="0" w:space="0" w:color="auto"/>
            <w:right w:val="none" w:sz="0" w:space="0" w:color="auto"/>
          </w:divBdr>
          <w:divsChild>
            <w:div w:id="2064908687">
              <w:marLeft w:val="0"/>
              <w:marRight w:val="0"/>
              <w:marTop w:val="0"/>
              <w:marBottom w:val="0"/>
              <w:divBdr>
                <w:top w:val="none" w:sz="0" w:space="0" w:color="auto"/>
                <w:left w:val="none" w:sz="0" w:space="0" w:color="auto"/>
                <w:bottom w:val="none" w:sz="0" w:space="0" w:color="auto"/>
                <w:right w:val="none" w:sz="0" w:space="0" w:color="auto"/>
              </w:divBdr>
              <w:divsChild>
                <w:div w:id="167275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434495">
      <w:bodyDiv w:val="1"/>
      <w:marLeft w:val="0"/>
      <w:marRight w:val="0"/>
      <w:marTop w:val="0"/>
      <w:marBottom w:val="0"/>
      <w:divBdr>
        <w:top w:val="none" w:sz="0" w:space="0" w:color="auto"/>
        <w:left w:val="none" w:sz="0" w:space="0" w:color="auto"/>
        <w:bottom w:val="none" w:sz="0" w:space="0" w:color="auto"/>
        <w:right w:val="none" w:sz="0" w:space="0" w:color="auto"/>
      </w:divBdr>
      <w:divsChild>
        <w:div w:id="555319252">
          <w:marLeft w:val="0"/>
          <w:marRight w:val="0"/>
          <w:marTop w:val="0"/>
          <w:marBottom w:val="0"/>
          <w:divBdr>
            <w:top w:val="none" w:sz="0" w:space="0" w:color="auto"/>
            <w:left w:val="none" w:sz="0" w:space="0" w:color="auto"/>
            <w:bottom w:val="none" w:sz="0" w:space="0" w:color="auto"/>
            <w:right w:val="none" w:sz="0" w:space="0" w:color="auto"/>
          </w:divBdr>
          <w:divsChild>
            <w:div w:id="69087066">
              <w:marLeft w:val="0"/>
              <w:marRight w:val="0"/>
              <w:marTop w:val="0"/>
              <w:marBottom w:val="0"/>
              <w:divBdr>
                <w:top w:val="none" w:sz="0" w:space="0" w:color="auto"/>
                <w:left w:val="none" w:sz="0" w:space="0" w:color="auto"/>
                <w:bottom w:val="none" w:sz="0" w:space="0" w:color="auto"/>
                <w:right w:val="none" w:sz="0" w:space="0" w:color="auto"/>
              </w:divBdr>
              <w:divsChild>
                <w:div w:id="117946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97654">
      <w:bodyDiv w:val="1"/>
      <w:marLeft w:val="0"/>
      <w:marRight w:val="0"/>
      <w:marTop w:val="0"/>
      <w:marBottom w:val="0"/>
      <w:divBdr>
        <w:top w:val="none" w:sz="0" w:space="0" w:color="auto"/>
        <w:left w:val="none" w:sz="0" w:space="0" w:color="auto"/>
        <w:bottom w:val="none" w:sz="0" w:space="0" w:color="auto"/>
        <w:right w:val="none" w:sz="0" w:space="0" w:color="auto"/>
      </w:divBdr>
      <w:divsChild>
        <w:div w:id="1982225922">
          <w:marLeft w:val="0"/>
          <w:marRight w:val="0"/>
          <w:marTop w:val="0"/>
          <w:marBottom w:val="0"/>
          <w:divBdr>
            <w:top w:val="none" w:sz="0" w:space="0" w:color="auto"/>
            <w:left w:val="none" w:sz="0" w:space="0" w:color="auto"/>
            <w:bottom w:val="none" w:sz="0" w:space="0" w:color="auto"/>
            <w:right w:val="none" w:sz="0" w:space="0" w:color="auto"/>
          </w:divBdr>
          <w:divsChild>
            <w:div w:id="1852721380">
              <w:marLeft w:val="0"/>
              <w:marRight w:val="0"/>
              <w:marTop w:val="0"/>
              <w:marBottom w:val="0"/>
              <w:divBdr>
                <w:top w:val="none" w:sz="0" w:space="0" w:color="auto"/>
                <w:left w:val="none" w:sz="0" w:space="0" w:color="auto"/>
                <w:bottom w:val="none" w:sz="0" w:space="0" w:color="auto"/>
                <w:right w:val="none" w:sz="0" w:space="0" w:color="auto"/>
              </w:divBdr>
              <w:divsChild>
                <w:div w:id="18413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602361">
      <w:bodyDiv w:val="1"/>
      <w:marLeft w:val="0"/>
      <w:marRight w:val="0"/>
      <w:marTop w:val="0"/>
      <w:marBottom w:val="0"/>
      <w:divBdr>
        <w:top w:val="none" w:sz="0" w:space="0" w:color="auto"/>
        <w:left w:val="none" w:sz="0" w:space="0" w:color="auto"/>
        <w:bottom w:val="none" w:sz="0" w:space="0" w:color="auto"/>
        <w:right w:val="none" w:sz="0" w:space="0" w:color="auto"/>
      </w:divBdr>
      <w:divsChild>
        <w:div w:id="20133747">
          <w:marLeft w:val="0"/>
          <w:marRight w:val="0"/>
          <w:marTop w:val="0"/>
          <w:marBottom w:val="0"/>
          <w:divBdr>
            <w:top w:val="none" w:sz="0" w:space="0" w:color="auto"/>
            <w:left w:val="none" w:sz="0" w:space="0" w:color="auto"/>
            <w:bottom w:val="none" w:sz="0" w:space="0" w:color="auto"/>
            <w:right w:val="none" w:sz="0" w:space="0" w:color="auto"/>
          </w:divBdr>
          <w:divsChild>
            <w:div w:id="1455177399">
              <w:marLeft w:val="0"/>
              <w:marRight w:val="0"/>
              <w:marTop w:val="0"/>
              <w:marBottom w:val="0"/>
              <w:divBdr>
                <w:top w:val="none" w:sz="0" w:space="0" w:color="auto"/>
                <w:left w:val="none" w:sz="0" w:space="0" w:color="auto"/>
                <w:bottom w:val="none" w:sz="0" w:space="0" w:color="auto"/>
                <w:right w:val="none" w:sz="0" w:space="0" w:color="auto"/>
              </w:divBdr>
              <w:divsChild>
                <w:div w:id="150643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37072">
      <w:bodyDiv w:val="1"/>
      <w:marLeft w:val="0"/>
      <w:marRight w:val="0"/>
      <w:marTop w:val="0"/>
      <w:marBottom w:val="0"/>
      <w:divBdr>
        <w:top w:val="none" w:sz="0" w:space="0" w:color="auto"/>
        <w:left w:val="none" w:sz="0" w:space="0" w:color="auto"/>
        <w:bottom w:val="none" w:sz="0" w:space="0" w:color="auto"/>
        <w:right w:val="none" w:sz="0" w:space="0" w:color="auto"/>
      </w:divBdr>
      <w:divsChild>
        <w:div w:id="970474830">
          <w:marLeft w:val="0"/>
          <w:marRight w:val="0"/>
          <w:marTop w:val="0"/>
          <w:marBottom w:val="0"/>
          <w:divBdr>
            <w:top w:val="none" w:sz="0" w:space="0" w:color="auto"/>
            <w:left w:val="none" w:sz="0" w:space="0" w:color="auto"/>
            <w:bottom w:val="none" w:sz="0" w:space="0" w:color="auto"/>
            <w:right w:val="none" w:sz="0" w:space="0" w:color="auto"/>
          </w:divBdr>
          <w:divsChild>
            <w:div w:id="200478325">
              <w:marLeft w:val="0"/>
              <w:marRight w:val="0"/>
              <w:marTop w:val="0"/>
              <w:marBottom w:val="0"/>
              <w:divBdr>
                <w:top w:val="none" w:sz="0" w:space="0" w:color="auto"/>
                <w:left w:val="none" w:sz="0" w:space="0" w:color="auto"/>
                <w:bottom w:val="none" w:sz="0" w:space="0" w:color="auto"/>
                <w:right w:val="none" w:sz="0" w:space="0" w:color="auto"/>
              </w:divBdr>
              <w:divsChild>
                <w:div w:id="13967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705083">
      <w:bodyDiv w:val="1"/>
      <w:marLeft w:val="0"/>
      <w:marRight w:val="0"/>
      <w:marTop w:val="0"/>
      <w:marBottom w:val="0"/>
      <w:divBdr>
        <w:top w:val="none" w:sz="0" w:space="0" w:color="auto"/>
        <w:left w:val="none" w:sz="0" w:space="0" w:color="auto"/>
        <w:bottom w:val="none" w:sz="0" w:space="0" w:color="auto"/>
        <w:right w:val="none" w:sz="0" w:space="0" w:color="auto"/>
      </w:divBdr>
      <w:divsChild>
        <w:div w:id="1727223844">
          <w:marLeft w:val="0"/>
          <w:marRight w:val="0"/>
          <w:marTop w:val="0"/>
          <w:marBottom w:val="0"/>
          <w:divBdr>
            <w:top w:val="none" w:sz="0" w:space="0" w:color="auto"/>
            <w:left w:val="none" w:sz="0" w:space="0" w:color="auto"/>
            <w:bottom w:val="none" w:sz="0" w:space="0" w:color="auto"/>
            <w:right w:val="none" w:sz="0" w:space="0" w:color="auto"/>
          </w:divBdr>
          <w:divsChild>
            <w:div w:id="2135754178">
              <w:marLeft w:val="0"/>
              <w:marRight w:val="0"/>
              <w:marTop w:val="0"/>
              <w:marBottom w:val="0"/>
              <w:divBdr>
                <w:top w:val="none" w:sz="0" w:space="0" w:color="auto"/>
                <w:left w:val="none" w:sz="0" w:space="0" w:color="auto"/>
                <w:bottom w:val="none" w:sz="0" w:space="0" w:color="auto"/>
                <w:right w:val="none" w:sz="0" w:space="0" w:color="auto"/>
              </w:divBdr>
              <w:divsChild>
                <w:div w:id="179552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21687">
      <w:bodyDiv w:val="1"/>
      <w:marLeft w:val="0"/>
      <w:marRight w:val="0"/>
      <w:marTop w:val="0"/>
      <w:marBottom w:val="0"/>
      <w:divBdr>
        <w:top w:val="none" w:sz="0" w:space="0" w:color="auto"/>
        <w:left w:val="none" w:sz="0" w:space="0" w:color="auto"/>
        <w:bottom w:val="none" w:sz="0" w:space="0" w:color="auto"/>
        <w:right w:val="none" w:sz="0" w:space="0" w:color="auto"/>
      </w:divBdr>
      <w:divsChild>
        <w:div w:id="745960406">
          <w:marLeft w:val="0"/>
          <w:marRight w:val="0"/>
          <w:marTop w:val="0"/>
          <w:marBottom w:val="0"/>
          <w:divBdr>
            <w:top w:val="none" w:sz="0" w:space="0" w:color="auto"/>
            <w:left w:val="none" w:sz="0" w:space="0" w:color="auto"/>
            <w:bottom w:val="none" w:sz="0" w:space="0" w:color="auto"/>
            <w:right w:val="none" w:sz="0" w:space="0" w:color="auto"/>
          </w:divBdr>
          <w:divsChild>
            <w:div w:id="592591750">
              <w:marLeft w:val="0"/>
              <w:marRight w:val="0"/>
              <w:marTop w:val="0"/>
              <w:marBottom w:val="0"/>
              <w:divBdr>
                <w:top w:val="none" w:sz="0" w:space="0" w:color="auto"/>
                <w:left w:val="none" w:sz="0" w:space="0" w:color="auto"/>
                <w:bottom w:val="none" w:sz="0" w:space="0" w:color="auto"/>
                <w:right w:val="none" w:sz="0" w:space="0" w:color="auto"/>
              </w:divBdr>
              <w:divsChild>
                <w:div w:id="16971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28304">
      <w:bodyDiv w:val="1"/>
      <w:marLeft w:val="0"/>
      <w:marRight w:val="0"/>
      <w:marTop w:val="0"/>
      <w:marBottom w:val="0"/>
      <w:divBdr>
        <w:top w:val="none" w:sz="0" w:space="0" w:color="auto"/>
        <w:left w:val="none" w:sz="0" w:space="0" w:color="auto"/>
        <w:bottom w:val="none" w:sz="0" w:space="0" w:color="auto"/>
        <w:right w:val="none" w:sz="0" w:space="0" w:color="auto"/>
      </w:divBdr>
      <w:divsChild>
        <w:div w:id="792484219">
          <w:marLeft w:val="0"/>
          <w:marRight w:val="0"/>
          <w:marTop w:val="0"/>
          <w:marBottom w:val="0"/>
          <w:divBdr>
            <w:top w:val="none" w:sz="0" w:space="0" w:color="auto"/>
            <w:left w:val="none" w:sz="0" w:space="0" w:color="auto"/>
            <w:bottom w:val="none" w:sz="0" w:space="0" w:color="auto"/>
            <w:right w:val="none" w:sz="0" w:space="0" w:color="auto"/>
          </w:divBdr>
          <w:divsChild>
            <w:div w:id="65229874">
              <w:marLeft w:val="0"/>
              <w:marRight w:val="0"/>
              <w:marTop w:val="0"/>
              <w:marBottom w:val="0"/>
              <w:divBdr>
                <w:top w:val="none" w:sz="0" w:space="0" w:color="auto"/>
                <w:left w:val="none" w:sz="0" w:space="0" w:color="auto"/>
                <w:bottom w:val="none" w:sz="0" w:space="0" w:color="auto"/>
                <w:right w:val="none" w:sz="0" w:space="0" w:color="auto"/>
              </w:divBdr>
              <w:divsChild>
                <w:div w:id="167113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BE191C-3A3E-4F40-A158-7CCFF78E7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7443</Words>
  <Characters>40941</Characters>
  <Application>Microsoft Office Word</Application>
  <DocSecurity>0</DocSecurity>
  <Lines>341</Lines>
  <Paragraphs>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48288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2017-06-23T18:47:00Z</cp:lastPrinted>
  <dcterms:created xsi:type="dcterms:W3CDTF">2017-06-23T18:47:00Z</dcterms:created>
  <dcterms:modified xsi:type="dcterms:W3CDTF">2017-06-23T18:47:00Z</dcterms:modified>
</cp:coreProperties>
</file>