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626" w:rsidRPr="002F4218" w:rsidRDefault="00720626" w:rsidP="00880785">
      <w:pPr>
        <w:pStyle w:val="Ttulo1"/>
        <w:rPr>
          <w:sz w:val="20"/>
          <w:szCs w:val="20"/>
          <w:lang w:val="en-US"/>
        </w:rPr>
      </w:pPr>
      <w:bookmarkStart w:id="0" w:name="_GoBack"/>
      <w:bookmarkEnd w:id="0"/>
    </w:p>
    <w:p w:rsidR="00720626" w:rsidRPr="002F4218" w:rsidRDefault="00720626" w:rsidP="00880785">
      <w:pPr>
        <w:pStyle w:val="Ttulo1"/>
        <w:rPr>
          <w:sz w:val="20"/>
          <w:szCs w:val="20"/>
          <w:lang w:val="en-US"/>
        </w:rPr>
      </w:pPr>
    </w:p>
    <w:p w:rsidR="00720626" w:rsidRPr="002F4218" w:rsidRDefault="00720626" w:rsidP="00880785">
      <w:pPr>
        <w:pStyle w:val="Ttulo1"/>
        <w:rPr>
          <w:sz w:val="20"/>
          <w:szCs w:val="20"/>
          <w:lang w:val="en-US"/>
        </w:rPr>
      </w:pPr>
    </w:p>
    <w:p w:rsidR="00720626" w:rsidRPr="002F4218" w:rsidRDefault="00720626" w:rsidP="00880785">
      <w:pPr>
        <w:pStyle w:val="Ttulo1"/>
        <w:rPr>
          <w:sz w:val="20"/>
          <w:szCs w:val="20"/>
          <w:lang w:val="en-US"/>
        </w:rPr>
      </w:pPr>
      <w:r w:rsidRPr="002F4218">
        <w:rPr>
          <w:sz w:val="20"/>
          <w:szCs w:val="20"/>
          <w:lang w:val="en-US"/>
        </w:rPr>
        <w:t>INTER-AMERICAN COURT OF HUMAN RIGHTS</w:t>
      </w:r>
    </w:p>
    <w:p w:rsidR="00720626" w:rsidRPr="002F4218" w:rsidRDefault="00720626" w:rsidP="00880785">
      <w:pPr>
        <w:pStyle w:val="Ttulo1"/>
        <w:rPr>
          <w:sz w:val="20"/>
          <w:szCs w:val="20"/>
          <w:lang w:val="en-US"/>
        </w:rPr>
      </w:pPr>
    </w:p>
    <w:p w:rsidR="00720626" w:rsidRPr="002F4218" w:rsidRDefault="00720626" w:rsidP="00880785">
      <w:pPr>
        <w:pStyle w:val="Ttulo1"/>
        <w:rPr>
          <w:sz w:val="20"/>
          <w:szCs w:val="20"/>
          <w:lang w:val="en-US"/>
        </w:rPr>
      </w:pPr>
      <w:r w:rsidRPr="002F4218">
        <w:rPr>
          <w:sz w:val="20"/>
          <w:szCs w:val="20"/>
          <w:lang w:val="en-US"/>
        </w:rPr>
        <w:t xml:space="preserve">CASE OF ABRILL ALOSILLA </w:t>
      </w:r>
      <w:r w:rsidRPr="002F4218">
        <w:rPr>
          <w:i/>
          <w:iCs/>
          <w:sz w:val="20"/>
          <w:szCs w:val="20"/>
          <w:lang w:val="en-US"/>
        </w:rPr>
        <w:t>ET AL.</w:t>
      </w:r>
      <w:r w:rsidRPr="002F4218">
        <w:rPr>
          <w:sz w:val="20"/>
          <w:szCs w:val="20"/>
          <w:lang w:val="en-US"/>
        </w:rPr>
        <w:t xml:space="preserve"> </w:t>
      </w:r>
      <w:r w:rsidRPr="002F4218">
        <w:rPr>
          <w:i/>
          <w:sz w:val="20"/>
          <w:szCs w:val="20"/>
          <w:lang w:val="en-US"/>
        </w:rPr>
        <w:t>v.</w:t>
      </w:r>
      <w:r w:rsidRPr="002F4218">
        <w:rPr>
          <w:sz w:val="20"/>
          <w:szCs w:val="20"/>
          <w:lang w:val="en-US"/>
        </w:rPr>
        <w:t xml:space="preserve"> </w:t>
      </w:r>
      <w:smartTag w:uri="urn:schemas-microsoft-com:office:smarttags" w:element="country-region">
        <w:smartTag w:uri="urn:schemas-microsoft-com:office:smarttags" w:element="place">
          <w:r w:rsidRPr="002F4218">
            <w:rPr>
              <w:sz w:val="20"/>
              <w:szCs w:val="20"/>
              <w:lang w:val="en-US"/>
            </w:rPr>
            <w:t>PERU</w:t>
          </w:r>
        </w:smartTag>
      </w:smartTag>
    </w:p>
    <w:p w:rsidR="00720626" w:rsidRPr="002F4218" w:rsidRDefault="00720626" w:rsidP="00880785">
      <w:pPr>
        <w:pStyle w:val="Ttulo1"/>
        <w:jc w:val="both"/>
        <w:rPr>
          <w:sz w:val="20"/>
          <w:szCs w:val="20"/>
          <w:lang w:val="en-US"/>
        </w:rPr>
      </w:pPr>
    </w:p>
    <w:p w:rsidR="00720626" w:rsidRPr="002F4218" w:rsidRDefault="00B52E1F" w:rsidP="00880785">
      <w:pPr>
        <w:pStyle w:val="Ttulo1"/>
        <w:rPr>
          <w:sz w:val="20"/>
          <w:szCs w:val="20"/>
          <w:lang w:val="en-US"/>
        </w:rPr>
      </w:pPr>
      <w:r w:rsidRPr="002F4218">
        <w:rPr>
          <w:sz w:val="20"/>
          <w:szCs w:val="20"/>
          <w:lang w:val="en-US"/>
        </w:rPr>
        <w:t>JUDGMENT OF NOVEMBER 21</w:t>
      </w:r>
      <w:r w:rsidR="00720626" w:rsidRPr="002F4218">
        <w:rPr>
          <w:sz w:val="20"/>
          <w:szCs w:val="20"/>
          <w:lang w:val="en-US"/>
        </w:rPr>
        <w:t>, 2011</w:t>
      </w:r>
    </w:p>
    <w:p w:rsidR="00720626" w:rsidRPr="002F4218" w:rsidRDefault="00720626" w:rsidP="00880785">
      <w:pPr>
        <w:pStyle w:val="Ttulo1"/>
        <w:rPr>
          <w:sz w:val="20"/>
          <w:szCs w:val="20"/>
          <w:lang w:val="en-US"/>
        </w:rPr>
      </w:pPr>
    </w:p>
    <w:p w:rsidR="00720626" w:rsidRPr="002F4218" w:rsidRDefault="00720626" w:rsidP="00880785">
      <w:pPr>
        <w:pStyle w:val="Ttulo1"/>
        <w:rPr>
          <w:sz w:val="20"/>
          <w:szCs w:val="20"/>
          <w:lang w:val="en-US"/>
        </w:rPr>
      </w:pPr>
      <w:r w:rsidRPr="002F4218">
        <w:rPr>
          <w:sz w:val="20"/>
          <w:szCs w:val="20"/>
          <w:lang w:val="en-US"/>
        </w:rPr>
        <w:t>(</w:t>
      </w:r>
      <w:r w:rsidR="005E7242" w:rsidRPr="002F4218">
        <w:rPr>
          <w:i/>
          <w:sz w:val="20"/>
          <w:szCs w:val="20"/>
          <w:lang w:val="en-US"/>
        </w:rPr>
        <w:t>Interpretation of the Judgment on Merits, Reparations and C</w:t>
      </w:r>
      <w:r w:rsidRPr="002F4218">
        <w:rPr>
          <w:i/>
          <w:sz w:val="20"/>
          <w:szCs w:val="20"/>
          <w:lang w:val="en-US"/>
        </w:rPr>
        <w:t>osts</w:t>
      </w:r>
      <w:r w:rsidRPr="002F4218">
        <w:rPr>
          <w:sz w:val="20"/>
          <w:szCs w:val="20"/>
          <w:lang w:val="en-US"/>
        </w:rPr>
        <w:t>)</w:t>
      </w:r>
    </w:p>
    <w:p w:rsidR="00720626" w:rsidRPr="002F4218" w:rsidRDefault="00720626" w:rsidP="00880785">
      <w:pPr>
        <w:rPr>
          <w:szCs w:val="20"/>
          <w:lang w:val="en-US"/>
        </w:rPr>
      </w:pPr>
    </w:p>
    <w:p w:rsidR="00720626" w:rsidRPr="002F4218" w:rsidRDefault="00720626" w:rsidP="00880785">
      <w:pPr>
        <w:rPr>
          <w:szCs w:val="20"/>
          <w:lang w:val="en-US"/>
        </w:rPr>
      </w:pPr>
    </w:p>
    <w:p w:rsidR="00720626" w:rsidRPr="002F4218" w:rsidRDefault="00720626" w:rsidP="00880785">
      <w:pPr>
        <w:rPr>
          <w:szCs w:val="20"/>
          <w:lang w:val="en-US"/>
        </w:rPr>
      </w:pPr>
    </w:p>
    <w:p w:rsidR="00720626" w:rsidRPr="002F4218" w:rsidRDefault="00720626" w:rsidP="00880785">
      <w:pPr>
        <w:rPr>
          <w:szCs w:val="20"/>
          <w:lang w:val="en-US"/>
        </w:rPr>
      </w:pPr>
      <w:r w:rsidRPr="002F4218">
        <w:rPr>
          <w:szCs w:val="20"/>
          <w:lang w:val="en-US"/>
        </w:rPr>
        <w:t xml:space="preserve">In the case of </w:t>
      </w:r>
      <w:r w:rsidRPr="002F4218">
        <w:rPr>
          <w:i/>
          <w:szCs w:val="20"/>
          <w:lang w:val="en-US"/>
        </w:rPr>
        <w:t>Abrill Alosilla et al</w:t>
      </w:r>
      <w:proofErr w:type="gramStart"/>
      <w:r w:rsidRPr="002F4218">
        <w:rPr>
          <w:i/>
          <w:szCs w:val="20"/>
          <w:lang w:val="en-US"/>
        </w:rPr>
        <w:t>.,</w:t>
      </w:r>
      <w:proofErr w:type="gramEnd"/>
      <w:r w:rsidRPr="002F4218">
        <w:rPr>
          <w:i/>
          <w:szCs w:val="20"/>
          <w:lang w:val="en-US"/>
        </w:rPr>
        <w:t xml:space="preserve"> </w:t>
      </w:r>
    </w:p>
    <w:p w:rsidR="00720626" w:rsidRPr="002F4218" w:rsidRDefault="00720626" w:rsidP="00880785">
      <w:pPr>
        <w:rPr>
          <w:szCs w:val="20"/>
          <w:lang w:val="en-US"/>
        </w:rPr>
      </w:pPr>
    </w:p>
    <w:p w:rsidR="00720626" w:rsidRPr="002F4218" w:rsidRDefault="00720626" w:rsidP="00880785">
      <w:pPr>
        <w:rPr>
          <w:szCs w:val="20"/>
          <w:lang w:val="en-US"/>
        </w:rPr>
      </w:pPr>
      <w:proofErr w:type="gramStart"/>
      <w:r w:rsidRPr="002F4218">
        <w:rPr>
          <w:szCs w:val="20"/>
          <w:lang w:val="en-US"/>
        </w:rPr>
        <w:t>the</w:t>
      </w:r>
      <w:proofErr w:type="gramEnd"/>
      <w:r w:rsidRPr="002F4218">
        <w:rPr>
          <w:szCs w:val="20"/>
          <w:lang w:val="en-US"/>
        </w:rPr>
        <w:t xml:space="preserve"> Inter-American Court of Human Rights (hereinafter “the </w:t>
      </w:r>
      <w:smartTag w:uri="urn:schemas-microsoft-com:office:smarttags" w:element="Street">
        <w:smartTag w:uri="urn:schemas-microsoft-com:office:smarttags" w:element="address">
          <w:r w:rsidRPr="002F4218">
            <w:rPr>
              <w:szCs w:val="20"/>
              <w:lang w:val="en-US"/>
            </w:rPr>
            <w:t>Inter-American Court</w:t>
          </w:r>
        </w:smartTag>
      </w:smartTag>
      <w:r w:rsidRPr="002F4218">
        <w:rPr>
          <w:szCs w:val="20"/>
          <w:lang w:val="en-US"/>
        </w:rPr>
        <w:t>” or “the Court”), composed of the following judges:</w:t>
      </w:r>
      <w:r w:rsidRPr="002F4218">
        <w:rPr>
          <w:rStyle w:val="Refdenotaalpie"/>
          <w:szCs w:val="20"/>
          <w:lang w:val="en-US"/>
        </w:rPr>
        <w:footnoteReference w:id="1"/>
      </w:r>
    </w:p>
    <w:p w:rsidR="00720626" w:rsidRPr="002F4218" w:rsidRDefault="00720626" w:rsidP="00880785">
      <w:pPr>
        <w:rPr>
          <w:szCs w:val="20"/>
          <w:lang w:val="en-US"/>
        </w:rPr>
      </w:pPr>
    </w:p>
    <w:p w:rsidR="00720626" w:rsidRPr="002F4218" w:rsidRDefault="00720626" w:rsidP="00880785">
      <w:pPr>
        <w:ind w:left="720" w:right="99"/>
        <w:rPr>
          <w:szCs w:val="20"/>
          <w:lang w:val="en-US"/>
        </w:rPr>
      </w:pPr>
      <w:r w:rsidRPr="002F4218">
        <w:rPr>
          <w:szCs w:val="20"/>
          <w:lang w:val="en-US"/>
        </w:rPr>
        <w:t xml:space="preserve">Leonardo A. Franco, acting President </w:t>
      </w:r>
    </w:p>
    <w:p w:rsidR="00720626" w:rsidRPr="002F4218" w:rsidRDefault="00720626" w:rsidP="00880785">
      <w:pPr>
        <w:ind w:left="720" w:right="99"/>
        <w:rPr>
          <w:szCs w:val="20"/>
          <w:lang w:val="en-US"/>
        </w:rPr>
      </w:pPr>
      <w:r w:rsidRPr="002F4218">
        <w:rPr>
          <w:szCs w:val="20"/>
          <w:lang w:val="en-US"/>
        </w:rPr>
        <w:t>Manuel E. Ventura Robles, Judge</w:t>
      </w:r>
    </w:p>
    <w:p w:rsidR="00720626" w:rsidRPr="002F4218" w:rsidRDefault="00720626" w:rsidP="00880785">
      <w:pPr>
        <w:ind w:left="720" w:right="99"/>
        <w:rPr>
          <w:szCs w:val="20"/>
          <w:lang w:val="en-US"/>
        </w:rPr>
      </w:pPr>
      <w:r w:rsidRPr="002F4218">
        <w:rPr>
          <w:szCs w:val="20"/>
          <w:lang w:val="en-US"/>
        </w:rPr>
        <w:t xml:space="preserve">Margarette May Macaulay, Judge </w:t>
      </w:r>
    </w:p>
    <w:p w:rsidR="00720626" w:rsidRPr="002F4218" w:rsidRDefault="00720626" w:rsidP="00880785">
      <w:pPr>
        <w:ind w:left="720" w:right="99"/>
        <w:rPr>
          <w:szCs w:val="20"/>
          <w:lang w:val="en-US"/>
        </w:rPr>
      </w:pPr>
      <w:r w:rsidRPr="002F4218">
        <w:rPr>
          <w:szCs w:val="20"/>
          <w:lang w:val="en-US"/>
        </w:rPr>
        <w:t xml:space="preserve">Rhadys Abreu Blondet, Judge </w:t>
      </w:r>
    </w:p>
    <w:p w:rsidR="00720626" w:rsidRPr="002F4218" w:rsidRDefault="00720626" w:rsidP="00880785">
      <w:pPr>
        <w:ind w:left="720" w:right="99"/>
        <w:rPr>
          <w:szCs w:val="20"/>
          <w:lang w:val="en-US"/>
        </w:rPr>
      </w:pPr>
      <w:r w:rsidRPr="002F4218">
        <w:rPr>
          <w:szCs w:val="20"/>
          <w:lang w:val="en-US"/>
        </w:rPr>
        <w:t>Alberto Pérez Pérez, Judge, and</w:t>
      </w:r>
    </w:p>
    <w:p w:rsidR="00720626" w:rsidRPr="002F4218" w:rsidRDefault="00720626" w:rsidP="00880785">
      <w:pPr>
        <w:ind w:left="720" w:right="99"/>
        <w:rPr>
          <w:i/>
          <w:szCs w:val="20"/>
          <w:lang w:val="en-US"/>
        </w:rPr>
      </w:pPr>
      <w:r w:rsidRPr="002F4218">
        <w:rPr>
          <w:szCs w:val="20"/>
          <w:lang w:val="en-US"/>
        </w:rPr>
        <w:t>Eduardo Vio Grossi, Judge</w:t>
      </w:r>
    </w:p>
    <w:p w:rsidR="00720626" w:rsidRPr="002F4218" w:rsidRDefault="00720626" w:rsidP="00880785">
      <w:pPr>
        <w:rPr>
          <w:szCs w:val="20"/>
          <w:lang w:val="en-US"/>
        </w:rPr>
      </w:pPr>
    </w:p>
    <w:p w:rsidR="00720626" w:rsidRPr="002F4218" w:rsidRDefault="00720626" w:rsidP="00880785">
      <w:pPr>
        <w:rPr>
          <w:szCs w:val="20"/>
          <w:lang w:val="en-US"/>
        </w:rPr>
      </w:pPr>
      <w:proofErr w:type="gramStart"/>
      <w:r w:rsidRPr="002F4218">
        <w:rPr>
          <w:szCs w:val="20"/>
          <w:lang w:val="en-US"/>
        </w:rPr>
        <w:t>also</w:t>
      </w:r>
      <w:proofErr w:type="gramEnd"/>
      <w:r w:rsidRPr="002F4218">
        <w:rPr>
          <w:szCs w:val="20"/>
          <w:lang w:val="en-US"/>
        </w:rPr>
        <w:t xml:space="preserve"> present,</w:t>
      </w:r>
    </w:p>
    <w:p w:rsidR="00720626" w:rsidRPr="002F4218" w:rsidRDefault="00720626" w:rsidP="00880785">
      <w:pPr>
        <w:rPr>
          <w:szCs w:val="20"/>
          <w:lang w:val="en-US"/>
        </w:rPr>
      </w:pPr>
    </w:p>
    <w:p w:rsidR="00720626" w:rsidRPr="002F4218" w:rsidRDefault="00720626" w:rsidP="00880785">
      <w:pPr>
        <w:tabs>
          <w:tab w:val="left" w:pos="720"/>
        </w:tabs>
        <w:ind w:left="720"/>
        <w:rPr>
          <w:szCs w:val="20"/>
          <w:lang w:val="en-US"/>
        </w:rPr>
      </w:pPr>
      <w:r w:rsidRPr="002F4218">
        <w:rPr>
          <w:szCs w:val="20"/>
          <w:lang w:val="en-US"/>
        </w:rPr>
        <w:t>Pablo Saavedra Alessandri, Secretary, and</w:t>
      </w:r>
    </w:p>
    <w:p w:rsidR="00720626" w:rsidRPr="002F4218" w:rsidRDefault="00720626" w:rsidP="00880785">
      <w:pPr>
        <w:tabs>
          <w:tab w:val="left" w:pos="720"/>
        </w:tabs>
        <w:ind w:left="720"/>
        <w:rPr>
          <w:szCs w:val="20"/>
          <w:lang w:val="en-US"/>
        </w:rPr>
      </w:pPr>
      <w:r w:rsidRPr="002F4218">
        <w:rPr>
          <w:szCs w:val="20"/>
          <w:lang w:val="en-US"/>
        </w:rPr>
        <w:t>Emilia Segares Rodríguez, Deputy Secretary;</w:t>
      </w:r>
    </w:p>
    <w:p w:rsidR="00720626" w:rsidRPr="002F4218" w:rsidRDefault="00720626" w:rsidP="00880785">
      <w:pPr>
        <w:rPr>
          <w:szCs w:val="20"/>
          <w:lang w:val="en-US"/>
        </w:rPr>
      </w:pPr>
    </w:p>
    <w:p w:rsidR="00720626" w:rsidRPr="002F4218" w:rsidRDefault="00720626" w:rsidP="00880785">
      <w:pPr>
        <w:rPr>
          <w:szCs w:val="20"/>
          <w:lang w:val="en-US"/>
        </w:rPr>
      </w:pPr>
      <w:r w:rsidRPr="002F4218">
        <w:rPr>
          <w:szCs w:val="20"/>
          <w:lang w:val="en-US"/>
        </w:rPr>
        <w:t>in accordance with Article 67 of the American Convention on Human Rights (hereinafter also “the American Convention” or “the Convention”) and Article 68 of the Rules of Procedure of the Court</w:t>
      </w:r>
      <w:r w:rsidRPr="002F4218">
        <w:rPr>
          <w:rStyle w:val="Refdenotaalpie"/>
          <w:szCs w:val="20"/>
          <w:lang w:val="en-US"/>
        </w:rPr>
        <w:footnoteReference w:id="2"/>
      </w:r>
      <w:r w:rsidRPr="002F4218">
        <w:rPr>
          <w:szCs w:val="20"/>
          <w:lang w:val="en-US"/>
        </w:rPr>
        <w:t xml:space="preserve"> (hereinafter “the Rules of Procedure”), decides the request for interpretation of the judgment on merits, reparations and costs </w:t>
      </w:r>
      <w:r w:rsidR="00FA405F" w:rsidRPr="002F4218">
        <w:rPr>
          <w:szCs w:val="20"/>
          <w:lang w:val="en-US"/>
        </w:rPr>
        <w:t xml:space="preserve">in the </w:t>
      </w:r>
      <w:proofErr w:type="gramStart"/>
      <w:r w:rsidR="00FA405F" w:rsidRPr="002F4218">
        <w:rPr>
          <w:szCs w:val="20"/>
          <w:lang w:val="en-US"/>
        </w:rPr>
        <w:t>instant</w:t>
      </w:r>
      <w:proofErr w:type="gramEnd"/>
      <w:r w:rsidR="00FA405F" w:rsidRPr="002F4218">
        <w:rPr>
          <w:szCs w:val="20"/>
          <w:lang w:val="en-US"/>
        </w:rPr>
        <w:t xml:space="preserve"> case </w:t>
      </w:r>
      <w:r w:rsidRPr="002F4218">
        <w:rPr>
          <w:szCs w:val="20"/>
          <w:lang w:val="en-US"/>
        </w:rPr>
        <w:t>delivere</w:t>
      </w:r>
      <w:r w:rsidR="00FA405F" w:rsidRPr="002F4218">
        <w:rPr>
          <w:szCs w:val="20"/>
          <w:lang w:val="en-US"/>
        </w:rPr>
        <w:t>d by the Court on March 4, 2011</w:t>
      </w:r>
      <w:r w:rsidRPr="002F4218">
        <w:rPr>
          <w:szCs w:val="20"/>
          <w:lang w:val="en-US"/>
        </w:rPr>
        <w:t xml:space="preserve"> (hereinafter also “the judgment” or “the ruling”), filed on May 13, 2011, by the representative of the victims (hereinafter “the representative”).</w:t>
      </w:r>
    </w:p>
    <w:p w:rsidR="00720626" w:rsidRPr="002F4218" w:rsidRDefault="00720626" w:rsidP="00880785">
      <w:pPr>
        <w:rPr>
          <w:szCs w:val="20"/>
          <w:lang w:val="en-US"/>
        </w:rPr>
      </w:pPr>
    </w:p>
    <w:p w:rsidR="00720626" w:rsidRPr="002F4218" w:rsidRDefault="00720626" w:rsidP="00880785">
      <w:pPr>
        <w:rPr>
          <w:szCs w:val="20"/>
          <w:lang w:val="en-US"/>
        </w:rPr>
      </w:pPr>
    </w:p>
    <w:p w:rsidR="00720626" w:rsidRPr="002F4218" w:rsidRDefault="00720626" w:rsidP="00880785">
      <w:pPr>
        <w:pStyle w:val="Ttulo1"/>
        <w:rPr>
          <w:sz w:val="20"/>
          <w:szCs w:val="20"/>
          <w:lang w:val="en-US"/>
        </w:rPr>
      </w:pPr>
      <w:r w:rsidRPr="002F4218">
        <w:rPr>
          <w:sz w:val="20"/>
          <w:szCs w:val="20"/>
          <w:lang w:val="en-US"/>
        </w:rPr>
        <w:t>I</w:t>
      </w:r>
    </w:p>
    <w:p w:rsidR="00720626" w:rsidRPr="002F4218" w:rsidRDefault="00720626" w:rsidP="00880785">
      <w:pPr>
        <w:pStyle w:val="Ttulo1"/>
        <w:rPr>
          <w:sz w:val="20"/>
          <w:szCs w:val="20"/>
          <w:lang w:val="en-US"/>
        </w:rPr>
      </w:pPr>
      <w:r w:rsidRPr="002F4218">
        <w:rPr>
          <w:sz w:val="20"/>
          <w:szCs w:val="20"/>
          <w:lang w:val="en-US"/>
        </w:rPr>
        <w:t>INTRODUCTION OF THE REQUEST FOR INTERPRETATION</w:t>
      </w:r>
    </w:p>
    <w:p w:rsidR="00720626" w:rsidRPr="002F4218" w:rsidRDefault="00720626" w:rsidP="00880785">
      <w:pPr>
        <w:pStyle w:val="Ttulo1"/>
        <w:rPr>
          <w:sz w:val="20"/>
          <w:szCs w:val="20"/>
          <w:lang w:val="en-US"/>
        </w:rPr>
      </w:pPr>
      <w:r w:rsidRPr="002F4218">
        <w:rPr>
          <w:sz w:val="20"/>
          <w:szCs w:val="20"/>
          <w:lang w:val="en-US"/>
        </w:rPr>
        <w:t xml:space="preserve"> AND PROCEEDINGS BEFORE THE COURT</w:t>
      </w:r>
    </w:p>
    <w:p w:rsidR="00720626" w:rsidRPr="002F4218" w:rsidRDefault="00720626" w:rsidP="00880785">
      <w:pPr>
        <w:rPr>
          <w:szCs w:val="20"/>
          <w:lang w:val="en-US"/>
        </w:rPr>
      </w:pPr>
    </w:p>
    <w:p w:rsidR="00720626" w:rsidRPr="002F4218" w:rsidRDefault="00720626" w:rsidP="00880785">
      <w:pPr>
        <w:numPr>
          <w:ilvl w:val="0"/>
          <w:numId w:val="7"/>
        </w:numPr>
        <w:rPr>
          <w:szCs w:val="20"/>
          <w:lang w:val="en-US"/>
        </w:rPr>
      </w:pPr>
      <w:r w:rsidRPr="002F4218">
        <w:rPr>
          <w:szCs w:val="20"/>
          <w:lang w:val="en-US"/>
        </w:rPr>
        <w:t>On March 4, 2011, the Court delivered the judgment, which was notified to the parties on March 29, 2011.</w:t>
      </w:r>
    </w:p>
    <w:p w:rsidR="00720626" w:rsidRPr="002F4218" w:rsidRDefault="00720626" w:rsidP="00880785">
      <w:pPr>
        <w:rPr>
          <w:szCs w:val="20"/>
          <w:highlight w:val="yellow"/>
          <w:lang w:val="en-US"/>
        </w:rPr>
      </w:pPr>
    </w:p>
    <w:p w:rsidR="00720626" w:rsidRPr="002F4218" w:rsidRDefault="00720626" w:rsidP="00880785">
      <w:pPr>
        <w:numPr>
          <w:ilvl w:val="0"/>
          <w:numId w:val="7"/>
        </w:numPr>
        <w:rPr>
          <w:szCs w:val="20"/>
          <w:lang w:val="en-US"/>
        </w:rPr>
      </w:pPr>
      <w:r w:rsidRPr="002F4218">
        <w:rPr>
          <w:szCs w:val="20"/>
          <w:lang w:val="en-US"/>
        </w:rPr>
        <w:lastRenderedPageBreak/>
        <w:t xml:space="preserve">On May 13, 2011, the representative submitted a request for interpretation of the </w:t>
      </w:r>
      <w:r w:rsidRPr="002F4218">
        <w:rPr>
          <w:color w:val="000000"/>
          <w:szCs w:val="20"/>
          <w:lang w:val="en-US"/>
        </w:rPr>
        <w:t>judgment on merits, reparations and costs</w:t>
      </w:r>
      <w:r w:rsidRPr="002F4218">
        <w:rPr>
          <w:szCs w:val="20"/>
          <w:lang w:val="en-US"/>
        </w:rPr>
        <w:t>, in accordance with Articles 67 of the Convention and 68 of the Rules of Procedure</w:t>
      </w:r>
      <w:r w:rsidRPr="002F4218">
        <w:rPr>
          <w:color w:val="000000"/>
          <w:szCs w:val="20"/>
          <w:lang w:val="en-US"/>
        </w:rPr>
        <w:t>. Specifically, the representative asked for the interpretation of paragraphs</w:t>
      </w:r>
      <w:r w:rsidRPr="002F4218">
        <w:rPr>
          <w:bCs/>
          <w:szCs w:val="20"/>
          <w:lang w:val="en-US"/>
        </w:rPr>
        <w:t xml:space="preserve"> 97, 107, 113, 114 and 115, as well as of the fifth </w:t>
      </w:r>
      <w:r w:rsidRPr="002F4218">
        <w:rPr>
          <w:szCs w:val="20"/>
          <w:lang w:val="en-US"/>
        </w:rPr>
        <w:t>operative paragraph relating to the</w:t>
      </w:r>
      <w:r w:rsidR="005F73E1" w:rsidRPr="002F4218">
        <w:rPr>
          <w:szCs w:val="20"/>
          <w:lang w:val="en-US"/>
        </w:rPr>
        <w:t xml:space="preserve"> determination of and the</w:t>
      </w:r>
      <w:r w:rsidRPr="002F4218">
        <w:rPr>
          <w:szCs w:val="20"/>
          <w:lang w:val="en-US"/>
        </w:rPr>
        <w:t xml:space="preserve"> justification for </w:t>
      </w:r>
      <w:r w:rsidRPr="002F4218">
        <w:rPr>
          <w:color w:val="000000"/>
          <w:szCs w:val="20"/>
          <w:lang w:val="en-US"/>
        </w:rPr>
        <w:t>the compensation established by the Court.</w:t>
      </w:r>
    </w:p>
    <w:p w:rsidR="00720626" w:rsidRPr="002F4218" w:rsidRDefault="00720626" w:rsidP="00880785">
      <w:pPr>
        <w:pStyle w:val="ColorfulList-Accent11"/>
        <w:rPr>
          <w:szCs w:val="20"/>
          <w:lang w:val="en-US"/>
        </w:rPr>
      </w:pPr>
    </w:p>
    <w:p w:rsidR="00720626" w:rsidRPr="002F4218" w:rsidRDefault="00720626" w:rsidP="00880785">
      <w:pPr>
        <w:numPr>
          <w:ilvl w:val="0"/>
          <w:numId w:val="7"/>
        </w:numPr>
        <w:rPr>
          <w:szCs w:val="20"/>
          <w:lang w:val="en-US"/>
        </w:rPr>
      </w:pPr>
      <w:r w:rsidRPr="002F4218">
        <w:rPr>
          <w:szCs w:val="20"/>
          <w:lang w:val="en-US"/>
        </w:rPr>
        <w:t>On May 27, 2011, in accordance with the provisions of Article 68(2) of the Rules of Procedure and on the instruction of the acting President of the Court in this case, the Secretariat of the Court (hereinafter “the Secretariat”) forwarded a copy of the request for interpretation to the Inter-American Commission on Human Rights (hereinafter “the Inter-American Commission” or “the Commission”) and to the State of Peru (hereinafter “the State” or “Peru”) and granted them until June 27, 2011, to present any written arguments they deemed pertinent.</w:t>
      </w:r>
    </w:p>
    <w:p w:rsidR="00720626" w:rsidRPr="002F4218" w:rsidRDefault="00720626" w:rsidP="00880785">
      <w:pPr>
        <w:rPr>
          <w:szCs w:val="20"/>
          <w:lang w:val="en-US"/>
        </w:rPr>
      </w:pPr>
    </w:p>
    <w:p w:rsidR="00720626" w:rsidRPr="002F4218" w:rsidRDefault="00720626" w:rsidP="00880785">
      <w:pPr>
        <w:pStyle w:val="ColorfulList-Accent11"/>
        <w:numPr>
          <w:ilvl w:val="0"/>
          <w:numId w:val="7"/>
        </w:numPr>
        <w:ind w:left="0"/>
        <w:rPr>
          <w:szCs w:val="20"/>
          <w:lang w:val="en-US"/>
        </w:rPr>
      </w:pPr>
      <w:r w:rsidRPr="002F4218">
        <w:rPr>
          <w:szCs w:val="20"/>
          <w:lang w:val="en-US"/>
        </w:rPr>
        <w:t>On July 25, 2011, the Inter-American Commission indicated that it had no observations to present on the said request for interpretation of judgment submitted by the representative. For its part, on July 27, 2011, the State sent it written arguments and asked the Court to declare inadmissible the request for interpretation cons</w:t>
      </w:r>
      <w:r w:rsidR="00B52E1F" w:rsidRPr="002F4218">
        <w:rPr>
          <w:szCs w:val="20"/>
          <w:lang w:val="en-US"/>
        </w:rPr>
        <w:t xml:space="preserve">idering that </w:t>
      </w:r>
      <w:r w:rsidR="00FA405F" w:rsidRPr="002F4218">
        <w:rPr>
          <w:szCs w:val="20"/>
          <w:lang w:val="en-US"/>
        </w:rPr>
        <w:t>the judgment</w:t>
      </w:r>
      <w:r w:rsidR="00B52E1F" w:rsidRPr="002F4218">
        <w:rPr>
          <w:szCs w:val="20"/>
          <w:lang w:val="en-US"/>
        </w:rPr>
        <w:t xml:space="preserve">s of the Court “are not subject to appeal”; that </w:t>
      </w:r>
      <w:r w:rsidRPr="002F4218">
        <w:rPr>
          <w:szCs w:val="20"/>
          <w:lang w:val="en-US"/>
        </w:rPr>
        <w:t>the Court had already “analyzed [and assessed] the probative elem</w:t>
      </w:r>
      <w:r w:rsidR="00B52E1F" w:rsidRPr="002F4218">
        <w:rPr>
          <w:szCs w:val="20"/>
          <w:lang w:val="en-US"/>
        </w:rPr>
        <w:t>ents that were provided to it,” and that</w:t>
      </w:r>
      <w:r w:rsidRPr="002F4218">
        <w:rPr>
          <w:szCs w:val="20"/>
          <w:lang w:val="en-US"/>
        </w:rPr>
        <w:t xml:space="preserve"> “the request for interpretation […] seeks to obtain a change [in] the [operative paragraphs].”</w:t>
      </w:r>
    </w:p>
    <w:p w:rsidR="00720626" w:rsidRPr="002F4218" w:rsidRDefault="00720626" w:rsidP="00880785">
      <w:pPr>
        <w:rPr>
          <w:szCs w:val="20"/>
          <w:lang w:val="en-US"/>
        </w:rPr>
      </w:pPr>
    </w:p>
    <w:p w:rsidR="00720626" w:rsidRPr="002F4218" w:rsidRDefault="00720626" w:rsidP="00880785">
      <w:pPr>
        <w:pStyle w:val="Ttulo1"/>
        <w:rPr>
          <w:sz w:val="20"/>
          <w:szCs w:val="20"/>
          <w:lang w:val="en-US"/>
        </w:rPr>
      </w:pPr>
      <w:r w:rsidRPr="002F4218">
        <w:rPr>
          <w:sz w:val="20"/>
          <w:szCs w:val="20"/>
          <w:lang w:val="en-US"/>
        </w:rPr>
        <w:t>II</w:t>
      </w:r>
    </w:p>
    <w:p w:rsidR="00720626" w:rsidRPr="002F4218" w:rsidRDefault="00720626" w:rsidP="00880785">
      <w:pPr>
        <w:pStyle w:val="Ttulo1"/>
        <w:rPr>
          <w:sz w:val="20"/>
          <w:szCs w:val="20"/>
          <w:lang w:val="en-US"/>
        </w:rPr>
      </w:pPr>
      <w:r w:rsidRPr="002F4218">
        <w:rPr>
          <w:sz w:val="20"/>
          <w:szCs w:val="20"/>
          <w:lang w:val="en-US"/>
        </w:rPr>
        <w:t>COMPETENCE AND COMPOSITION OF THE COURT</w:t>
      </w:r>
    </w:p>
    <w:p w:rsidR="00720626" w:rsidRPr="002F4218" w:rsidRDefault="00720626" w:rsidP="00880785">
      <w:pPr>
        <w:rPr>
          <w:szCs w:val="20"/>
          <w:lang w:val="en-US"/>
        </w:rPr>
      </w:pPr>
    </w:p>
    <w:p w:rsidR="00720626" w:rsidRPr="002F4218" w:rsidRDefault="00720626" w:rsidP="00880785">
      <w:pPr>
        <w:numPr>
          <w:ilvl w:val="0"/>
          <w:numId w:val="7"/>
        </w:numPr>
        <w:rPr>
          <w:szCs w:val="20"/>
          <w:lang w:val="en-US"/>
        </w:rPr>
      </w:pPr>
      <w:r w:rsidRPr="002F4218">
        <w:rPr>
          <w:szCs w:val="20"/>
          <w:lang w:val="en-US"/>
        </w:rPr>
        <w:t>Article 67 of the Convention establishes that:</w:t>
      </w:r>
    </w:p>
    <w:p w:rsidR="00720626" w:rsidRPr="002F4218" w:rsidRDefault="00720626" w:rsidP="00880785">
      <w:pPr>
        <w:ind w:left="720" w:right="584"/>
        <w:rPr>
          <w:rFonts w:eastAsia="Times New Roman"/>
          <w:szCs w:val="20"/>
          <w:lang w:val="en-US"/>
        </w:rPr>
      </w:pPr>
    </w:p>
    <w:p w:rsidR="00720626" w:rsidRPr="002F4218" w:rsidRDefault="00720626" w:rsidP="00880785">
      <w:pPr>
        <w:tabs>
          <w:tab w:val="left" w:pos="1080"/>
          <w:tab w:val="left" w:pos="1680"/>
          <w:tab w:val="left" w:pos="5400"/>
        </w:tabs>
        <w:suppressAutoHyphens/>
        <w:ind w:left="700" w:right="540"/>
        <w:rPr>
          <w:spacing w:val="-3"/>
          <w:sz w:val="16"/>
          <w:szCs w:val="16"/>
          <w:lang w:val="en-US"/>
        </w:rPr>
      </w:pPr>
      <w:r w:rsidRPr="002F4218">
        <w:rPr>
          <w:spacing w:val="-3"/>
          <w:sz w:val="16"/>
          <w:szCs w:val="16"/>
          <w:lang w:val="en-US"/>
        </w:rPr>
        <w:t>The judgment of the Court shall be f</w:t>
      </w:r>
      <w:r w:rsidR="00FA405F" w:rsidRPr="002F4218">
        <w:rPr>
          <w:spacing w:val="-3"/>
          <w:sz w:val="16"/>
          <w:szCs w:val="16"/>
          <w:lang w:val="en-US"/>
        </w:rPr>
        <w:t>inal and not subject to appeal.</w:t>
      </w:r>
      <w:r w:rsidRPr="002F4218">
        <w:rPr>
          <w:spacing w:val="-3"/>
          <w:sz w:val="16"/>
          <w:szCs w:val="16"/>
          <w:lang w:val="en-US"/>
        </w:rPr>
        <w:t xml:space="preserve"> In case of disagreement as to the meaning or scope of the judgment, the Court shall interpret it at the request of any of the parties, provided the request is made within ninety days from the date of notification of the judgment</w:t>
      </w:r>
      <w:r w:rsidRPr="002F4218">
        <w:rPr>
          <w:rFonts w:eastAsia="Times New Roman"/>
          <w:sz w:val="16"/>
          <w:szCs w:val="16"/>
          <w:lang w:val="en-US"/>
        </w:rPr>
        <w:t>.</w:t>
      </w:r>
    </w:p>
    <w:p w:rsidR="00720626" w:rsidRPr="002F4218" w:rsidRDefault="00720626" w:rsidP="00880785">
      <w:pPr>
        <w:ind w:left="720" w:right="584"/>
        <w:rPr>
          <w:b/>
          <w:szCs w:val="20"/>
          <w:lang w:val="en-US"/>
        </w:rPr>
      </w:pPr>
    </w:p>
    <w:p w:rsidR="00720626" w:rsidRPr="002F4218" w:rsidRDefault="00720626" w:rsidP="00880785">
      <w:pPr>
        <w:numPr>
          <w:ilvl w:val="0"/>
          <w:numId w:val="7"/>
        </w:numPr>
        <w:rPr>
          <w:szCs w:val="20"/>
          <w:lang w:val="en-US"/>
        </w:rPr>
      </w:pPr>
      <w:r w:rsidRPr="002F4218">
        <w:rPr>
          <w:szCs w:val="20"/>
          <w:lang w:val="en-US"/>
        </w:rPr>
        <w:t>According to this article, the Court is competent to interpret its decisions. In order to examine the request for interpretation and make the corresponding ruling, the Court must have, if possible, the same composition it had when it delivered the respective judgment, according to Article 68(3) of the Rules of Procedure. On this occasion, the Court is composed of the same judges who delivered the judgment whose interpretation has been requested by the rep</w:t>
      </w:r>
      <w:r w:rsidR="00B52E1F" w:rsidRPr="002F4218">
        <w:rPr>
          <w:szCs w:val="20"/>
          <w:lang w:val="en-US"/>
        </w:rPr>
        <w:t>resentative.</w:t>
      </w:r>
    </w:p>
    <w:p w:rsidR="00720626" w:rsidRPr="002F4218" w:rsidRDefault="00720626" w:rsidP="00880785">
      <w:pPr>
        <w:pStyle w:val="Ttulo1"/>
        <w:rPr>
          <w:sz w:val="20"/>
          <w:szCs w:val="20"/>
          <w:lang w:val="en-US"/>
        </w:rPr>
      </w:pPr>
    </w:p>
    <w:p w:rsidR="00720626" w:rsidRPr="002F4218" w:rsidRDefault="00720626" w:rsidP="00880785">
      <w:pPr>
        <w:pStyle w:val="Ttulo1"/>
        <w:rPr>
          <w:sz w:val="20"/>
          <w:szCs w:val="20"/>
          <w:lang w:val="en-US"/>
        </w:rPr>
      </w:pPr>
      <w:r w:rsidRPr="002F4218">
        <w:rPr>
          <w:sz w:val="20"/>
          <w:szCs w:val="20"/>
          <w:lang w:val="en-US"/>
        </w:rPr>
        <w:t>III</w:t>
      </w:r>
    </w:p>
    <w:p w:rsidR="00720626" w:rsidRPr="002F4218" w:rsidRDefault="00720626" w:rsidP="00880785">
      <w:pPr>
        <w:pStyle w:val="Ttulo1"/>
        <w:rPr>
          <w:sz w:val="20"/>
          <w:szCs w:val="20"/>
          <w:lang w:val="en-US"/>
        </w:rPr>
      </w:pPr>
      <w:r w:rsidRPr="002F4218">
        <w:rPr>
          <w:sz w:val="20"/>
          <w:szCs w:val="20"/>
          <w:lang w:val="en-US"/>
        </w:rPr>
        <w:t>ADMISSIBILITY</w:t>
      </w:r>
    </w:p>
    <w:p w:rsidR="00720626" w:rsidRPr="002F4218" w:rsidRDefault="00720626" w:rsidP="00880785">
      <w:pPr>
        <w:rPr>
          <w:szCs w:val="20"/>
          <w:lang w:val="en-US"/>
        </w:rPr>
      </w:pPr>
    </w:p>
    <w:p w:rsidR="00720626" w:rsidRPr="002F4218" w:rsidRDefault="00720626" w:rsidP="00880785">
      <w:pPr>
        <w:numPr>
          <w:ilvl w:val="0"/>
          <w:numId w:val="7"/>
        </w:numPr>
        <w:rPr>
          <w:szCs w:val="20"/>
          <w:lang w:val="en-US"/>
        </w:rPr>
      </w:pPr>
      <w:r w:rsidRPr="002F4218">
        <w:rPr>
          <w:szCs w:val="20"/>
          <w:lang w:val="en-US"/>
        </w:rPr>
        <w:t>The Court must verify whether the request for interpretation complies with the requirement established in the applicable norms; namely, Article 67 of the Convention, cited above, and Article 68 of the Rules of Procedure, which, in this regard</w:t>
      </w:r>
      <w:r w:rsidR="005F0219" w:rsidRPr="002F4218">
        <w:rPr>
          <w:szCs w:val="20"/>
          <w:lang w:val="en-US"/>
        </w:rPr>
        <w:t>,</w:t>
      </w:r>
      <w:r w:rsidRPr="002F4218">
        <w:rPr>
          <w:szCs w:val="20"/>
          <w:lang w:val="en-US"/>
        </w:rPr>
        <w:t xml:space="preserve"> stipulate</w:t>
      </w:r>
      <w:r w:rsidR="005F0219" w:rsidRPr="002F4218">
        <w:rPr>
          <w:szCs w:val="20"/>
          <w:lang w:val="en-US"/>
        </w:rPr>
        <w:t>s</w:t>
      </w:r>
      <w:r w:rsidRPr="002F4218">
        <w:rPr>
          <w:szCs w:val="20"/>
          <w:lang w:val="en-US"/>
        </w:rPr>
        <w:t xml:space="preserve"> that: </w:t>
      </w:r>
    </w:p>
    <w:p w:rsidR="00720626" w:rsidRPr="002F4218" w:rsidRDefault="00720626" w:rsidP="00880785">
      <w:pPr>
        <w:rPr>
          <w:szCs w:val="20"/>
          <w:lang w:val="en-US"/>
        </w:rPr>
      </w:pPr>
    </w:p>
    <w:p w:rsidR="00720626" w:rsidRPr="002F4218" w:rsidRDefault="00720626" w:rsidP="00880785">
      <w:pPr>
        <w:widowControl w:val="0"/>
        <w:autoSpaceDE w:val="0"/>
        <w:autoSpaceDN w:val="0"/>
        <w:adjustRightInd w:val="0"/>
        <w:ind w:left="700" w:right="740"/>
        <w:rPr>
          <w:szCs w:val="20"/>
          <w:lang w:val="en-US"/>
        </w:rPr>
      </w:pPr>
      <w:r w:rsidRPr="002F4218">
        <w:rPr>
          <w:sz w:val="16"/>
          <w:szCs w:val="16"/>
          <w:lang w:val="en-US"/>
        </w:rPr>
        <w:t>1.</w:t>
      </w:r>
      <w:r w:rsidRPr="002F4218">
        <w:rPr>
          <w:sz w:val="16"/>
          <w:szCs w:val="16"/>
          <w:lang w:val="en-US"/>
        </w:rPr>
        <w:tab/>
        <w:t>The request for interpretation referred to in Article 67 of the Convention may be made in connection with judgments on preliminary objections, on the merits, or on reparations and costs, and shall be filed with the Secretariat. It shall state with precision questions relating to the meaning or scope of the judgment of which interpretation is requested.</w:t>
      </w:r>
    </w:p>
    <w:p w:rsidR="00720626" w:rsidRPr="002F4218" w:rsidRDefault="00720626" w:rsidP="00880785">
      <w:pPr>
        <w:widowControl w:val="0"/>
        <w:autoSpaceDE w:val="0"/>
        <w:autoSpaceDN w:val="0"/>
        <w:adjustRightInd w:val="0"/>
        <w:ind w:left="700" w:right="740"/>
        <w:rPr>
          <w:szCs w:val="20"/>
          <w:lang w:val="en-US"/>
        </w:rPr>
      </w:pPr>
    </w:p>
    <w:p w:rsidR="00720626" w:rsidRPr="002F4218" w:rsidRDefault="00720626" w:rsidP="00880785">
      <w:pPr>
        <w:ind w:left="720" w:right="720"/>
        <w:rPr>
          <w:sz w:val="16"/>
          <w:szCs w:val="16"/>
          <w:lang w:val="en-US"/>
        </w:rPr>
      </w:pPr>
      <w:r w:rsidRPr="002F4218">
        <w:rPr>
          <w:sz w:val="16"/>
          <w:szCs w:val="16"/>
          <w:lang w:val="en-US"/>
        </w:rPr>
        <w:lastRenderedPageBreak/>
        <w:t>[…]</w:t>
      </w:r>
    </w:p>
    <w:p w:rsidR="00720626" w:rsidRPr="002F4218" w:rsidRDefault="00720626" w:rsidP="00880785">
      <w:pPr>
        <w:ind w:left="720" w:right="720"/>
        <w:rPr>
          <w:sz w:val="16"/>
          <w:szCs w:val="16"/>
          <w:lang w:val="en-US"/>
        </w:rPr>
      </w:pPr>
    </w:p>
    <w:p w:rsidR="00720626" w:rsidRPr="002F4218" w:rsidRDefault="00720626" w:rsidP="00880785">
      <w:pPr>
        <w:widowControl w:val="0"/>
        <w:autoSpaceDE w:val="0"/>
        <w:autoSpaceDN w:val="0"/>
        <w:adjustRightInd w:val="0"/>
        <w:ind w:left="700" w:right="740"/>
        <w:rPr>
          <w:sz w:val="16"/>
          <w:szCs w:val="16"/>
          <w:lang w:val="en-US"/>
        </w:rPr>
      </w:pPr>
      <w:r w:rsidRPr="002F4218">
        <w:rPr>
          <w:sz w:val="16"/>
          <w:szCs w:val="16"/>
          <w:lang w:val="en-US"/>
        </w:rPr>
        <w:t>4.</w:t>
      </w:r>
      <w:r w:rsidRPr="002F4218">
        <w:rPr>
          <w:sz w:val="16"/>
          <w:szCs w:val="16"/>
          <w:lang w:val="en-US"/>
        </w:rPr>
        <w:tab/>
        <w:t>A request for interpretation shall not suspend the effect of the judgment.</w:t>
      </w:r>
    </w:p>
    <w:p w:rsidR="00720626" w:rsidRPr="002F4218" w:rsidRDefault="00720626" w:rsidP="00880785">
      <w:pPr>
        <w:widowControl w:val="0"/>
        <w:autoSpaceDE w:val="0"/>
        <w:autoSpaceDN w:val="0"/>
        <w:adjustRightInd w:val="0"/>
        <w:ind w:left="700" w:right="740"/>
        <w:rPr>
          <w:sz w:val="16"/>
          <w:szCs w:val="16"/>
          <w:lang w:val="en-US"/>
        </w:rPr>
      </w:pPr>
    </w:p>
    <w:p w:rsidR="00720626" w:rsidRPr="002F4218" w:rsidRDefault="00720626" w:rsidP="00880785">
      <w:pPr>
        <w:widowControl w:val="0"/>
        <w:autoSpaceDE w:val="0"/>
        <w:autoSpaceDN w:val="0"/>
        <w:adjustRightInd w:val="0"/>
        <w:ind w:left="700" w:right="740"/>
        <w:rPr>
          <w:sz w:val="16"/>
          <w:szCs w:val="16"/>
          <w:lang w:val="en-US"/>
        </w:rPr>
      </w:pPr>
      <w:r w:rsidRPr="002F4218">
        <w:rPr>
          <w:sz w:val="16"/>
          <w:szCs w:val="16"/>
          <w:lang w:val="en-US"/>
        </w:rPr>
        <w:t>5.</w:t>
      </w:r>
      <w:r w:rsidRPr="002F4218">
        <w:rPr>
          <w:sz w:val="16"/>
          <w:szCs w:val="16"/>
          <w:lang w:val="en-US"/>
        </w:rPr>
        <w:tab/>
        <w:t>The Court shall determine the procedure to be followed and shall render its decision in the form of a judgment.</w:t>
      </w:r>
    </w:p>
    <w:p w:rsidR="00720626" w:rsidRPr="002F4218" w:rsidRDefault="00720626" w:rsidP="00880785">
      <w:pPr>
        <w:widowControl w:val="0"/>
        <w:autoSpaceDE w:val="0"/>
        <w:autoSpaceDN w:val="0"/>
        <w:adjustRightInd w:val="0"/>
        <w:ind w:left="700" w:right="740"/>
        <w:rPr>
          <w:b/>
          <w:sz w:val="16"/>
          <w:szCs w:val="16"/>
          <w:lang w:val="en-US"/>
        </w:rPr>
      </w:pPr>
    </w:p>
    <w:p w:rsidR="00720626" w:rsidRPr="002F4218" w:rsidRDefault="00720626" w:rsidP="00880785">
      <w:pPr>
        <w:numPr>
          <w:ilvl w:val="0"/>
          <w:numId w:val="7"/>
        </w:numPr>
        <w:rPr>
          <w:szCs w:val="20"/>
          <w:lang w:val="en-US"/>
        </w:rPr>
      </w:pPr>
      <w:r w:rsidRPr="002F4218">
        <w:rPr>
          <w:szCs w:val="20"/>
          <w:lang w:val="en-US"/>
        </w:rPr>
        <w:t>In addition, Article 31(3) of the Rules of Procedure establishes that “</w:t>
      </w:r>
      <w:r w:rsidR="005F0219" w:rsidRPr="002F4218">
        <w:rPr>
          <w:szCs w:val="20"/>
          <w:lang w:val="en-US"/>
        </w:rPr>
        <w:t>[t</w:t>
      </w:r>
      <w:r w:rsidRPr="002F4218">
        <w:rPr>
          <w:szCs w:val="20"/>
          <w:lang w:val="en-US"/>
        </w:rPr>
        <w:t>]</w:t>
      </w:r>
      <w:proofErr w:type="gramStart"/>
      <w:r w:rsidR="005F0219" w:rsidRPr="002F4218">
        <w:rPr>
          <w:szCs w:val="20"/>
          <w:lang w:val="en-US"/>
        </w:rPr>
        <w:t>he</w:t>
      </w:r>
      <w:proofErr w:type="gramEnd"/>
      <w:r w:rsidR="005F0219" w:rsidRPr="002F4218">
        <w:rPr>
          <w:szCs w:val="20"/>
          <w:lang w:val="en-US"/>
        </w:rPr>
        <w:t xml:space="preserve"> j</w:t>
      </w:r>
      <w:r w:rsidRPr="002F4218">
        <w:rPr>
          <w:szCs w:val="20"/>
          <w:lang w:val="en-US"/>
        </w:rPr>
        <w:t>udgments and orders of the Court may not be contested in any way.”</w:t>
      </w:r>
    </w:p>
    <w:p w:rsidR="00720626" w:rsidRPr="002F4218" w:rsidRDefault="00720626" w:rsidP="00880785">
      <w:pPr>
        <w:rPr>
          <w:szCs w:val="20"/>
          <w:lang w:val="en-US"/>
        </w:rPr>
      </w:pPr>
    </w:p>
    <w:p w:rsidR="00720626" w:rsidRPr="002F4218" w:rsidRDefault="00720626" w:rsidP="00880785">
      <w:pPr>
        <w:numPr>
          <w:ilvl w:val="0"/>
          <w:numId w:val="7"/>
        </w:numPr>
        <w:rPr>
          <w:szCs w:val="20"/>
          <w:lang w:val="en-US"/>
        </w:rPr>
      </w:pPr>
      <w:r w:rsidRPr="002F4218">
        <w:rPr>
          <w:szCs w:val="20"/>
          <w:lang w:val="en-US"/>
        </w:rPr>
        <w:t xml:space="preserve">The Court observes that the representative presented his request for interpretation of judgment within the 90-day period established in Article 67 of the Convention, because it was notified on March 29, 2011. </w:t>
      </w:r>
    </w:p>
    <w:p w:rsidR="00720626" w:rsidRPr="002F4218" w:rsidRDefault="00720626" w:rsidP="00880785">
      <w:pPr>
        <w:rPr>
          <w:szCs w:val="20"/>
          <w:lang w:val="en-US"/>
        </w:rPr>
      </w:pPr>
    </w:p>
    <w:p w:rsidR="00720626" w:rsidRPr="002F4218" w:rsidRDefault="00720626" w:rsidP="00880785">
      <w:pPr>
        <w:numPr>
          <w:ilvl w:val="0"/>
          <w:numId w:val="7"/>
        </w:numPr>
        <w:rPr>
          <w:szCs w:val="20"/>
          <w:lang w:val="en-US"/>
        </w:rPr>
      </w:pPr>
      <w:r w:rsidRPr="002F4218">
        <w:rPr>
          <w:szCs w:val="20"/>
          <w:lang w:val="en-US"/>
        </w:rPr>
        <w:t>As the Court has ruled previously in its consistent case law</w:t>
      </w:r>
      <w:r w:rsidR="00FA405F" w:rsidRPr="002F4218">
        <w:rPr>
          <w:szCs w:val="20"/>
          <w:lang w:val="en-US"/>
        </w:rPr>
        <w:t>,</w:t>
      </w:r>
      <w:r w:rsidRPr="002F4218">
        <w:rPr>
          <w:szCs w:val="20"/>
          <w:lang w:val="en-US"/>
        </w:rPr>
        <w:t xml:space="preserve"> clearly supported by the applicable law, a request for interpretation of judgment should not be used as a means of contesting the decision whose interpretation is required. The purpose of this request is exclusively to determine the meaning of a ruling when one of the parties affirms that the text of its operative paragraphs or its considerations lacks clarity or precision, provided that those considerations affec</w:t>
      </w:r>
      <w:r w:rsidR="00FA405F" w:rsidRPr="002F4218">
        <w:rPr>
          <w:szCs w:val="20"/>
          <w:lang w:val="en-US"/>
        </w:rPr>
        <w:t>t the said operative paragraph</w:t>
      </w:r>
      <w:r w:rsidR="005F0219" w:rsidRPr="002F4218">
        <w:rPr>
          <w:szCs w:val="20"/>
          <w:lang w:val="en-US"/>
        </w:rPr>
        <w:t>.</w:t>
      </w:r>
      <w:r w:rsidRPr="002F4218">
        <w:rPr>
          <w:rStyle w:val="Refdenotaalpie"/>
          <w:szCs w:val="20"/>
          <w:lang w:val="en-US"/>
        </w:rPr>
        <w:footnoteReference w:id="3"/>
      </w:r>
      <w:r w:rsidRPr="002F4218">
        <w:rPr>
          <w:szCs w:val="20"/>
          <w:lang w:val="en-US"/>
        </w:rPr>
        <w:t xml:space="preserve"> Consequently, it is not possible to request the modification or annulment of the respective judgment by means of a request for interpretation.</w:t>
      </w:r>
      <w:r w:rsidRPr="002F4218">
        <w:rPr>
          <w:rStyle w:val="Refdenotaalpie"/>
          <w:szCs w:val="20"/>
          <w:lang w:val="en-US"/>
        </w:rPr>
        <w:footnoteReference w:id="4"/>
      </w:r>
      <w:r w:rsidRPr="002F4218">
        <w:rPr>
          <w:szCs w:val="20"/>
          <w:lang w:val="en-US"/>
        </w:rPr>
        <w:t xml:space="preserve">  </w:t>
      </w:r>
    </w:p>
    <w:p w:rsidR="00720626" w:rsidRPr="002F4218" w:rsidRDefault="00720626" w:rsidP="00880785">
      <w:pPr>
        <w:rPr>
          <w:szCs w:val="20"/>
          <w:lang w:val="en-US"/>
        </w:rPr>
      </w:pPr>
    </w:p>
    <w:p w:rsidR="00720626" w:rsidRPr="002F4218" w:rsidRDefault="00720626" w:rsidP="00880785">
      <w:pPr>
        <w:numPr>
          <w:ilvl w:val="0"/>
          <w:numId w:val="7"/>
        </w:numPr>
        <w:rPr>
          <w:szCs w:val="20"/>
          <w:lang w:val="en-US"/>
        </w:rPr>
      </w:pPr>
      <w:r w:rsidRPr="002F4218">
        <w:rPr>
          <w:szCs w:val="20"/>
          <w:lang w:val="en-US"/>
        </w:rPr>
        <w:t>The Court will proceed to analyze the request for interpretation submitted by the representative and, if appropriate, make the clarifications that it deems pertinent. To this end, it will ex</w:t>
      </w:r>
      <w:r w:rsidR="00FA405F" w:rsidRPr="002F4218">
        <w:rPr>
          <w:szCs w:val="20"/>
          <w:lang w:val="en-US"/>
        </w:rPr>
        <w:t>amine the questions raised by the representative</w:t>
      </w:r>
      <w:r w:rsidRPr="002F4218">
        <w:rPr>
          <w:szCs w:val="20"/>
          <w:lang w:val="en-US"/>
        </w:rPr>
        <w:t xml:space="preserve"> and the arguments of the State. As already </w:t>
      </w:r>
      <w:r w:rsidR="005F0219" w:rsidRPr="002F4218">
        <w:rPr>
          <w:szCs w:val="20"/>
          <w:lang w:val="en-US"/>
        </w:rPr>
        <w:t>mentioned</w:t>
      </w:r>
      <w:r w:rsidRPr="002F4218">
        <w:rPr>
          <w:szCs w:val="20"/>
          <w:lang w:val="en-US"/>
        </w:rPr>
        <w:t xml:space="preserve"> (</w:t>
      </w:r>
      <w:r w:rsidRPr="002F4218">
        <w:rPr>
          <w:i/>
          <w:szCs w:val="20"/>
          <w:lang w:val="en-US"/>
        </w:rPr>
        <w:t xml:space="preserve">supra </w:t>
      </w:r>
      <w:r w:rsidR="00704B76" w:rsidRPr="002F4218">
        <w:rPr>
          <w:szCs w:val="20"/>
          <w:lang w:val="en-US"/>
        </w:rPr>
        <w:t>para. 4</w:t>
      </w:r>
      <w:r w:rsidRPr="002F4218">
        <w:rPr>
          <w:szCs w:val="20"/>
          <w:lang w:val="en-US"/>
        </w:rPr>
        <w:t>), the Commission indicated that it had no observations to make on the request for interpretation of the judgment.</w:t>
      </w:r>
    </w:p>
    <w:p w:rsidR="00246783" w:rsidRPr="002F4218" w:rsidRDefault="00246783" w:rsidP="00880785">
      <w:pPr>
        <w:pStyle w:val="Prrafodelista"/>
        <w:rPr>
          <w:szCs w:val="20"/>
          <w:lang w:val="en-US"/>
        </w:rPr>
      </w:pPr>
    </w:p>
    <w:p w:rsidR="00246783" w:rsidRPr="002F4218" w:rsidRDefault="00246783" w:rsidP="00880785">
      <w:pPr>
        <w:pStyle w:val="Ttulo1"/>
        <w:rPr>
          <w:sz w:val="20"/>
          <w:szCs w:val="20"/>
          <w:lang w:val="en-US"/>
        </w:rPr>
      </w:pPr>
      <w:r w:rsidRPr="002F4218">
        <w:rPr>
          <w:sz w:val="20"/>
          <w:szCs w:val="20"/>
          <w:lang w:val="en-US"/>
        </w:rPr>
        <w:t>IV</w:t>
      </w:r>
    </w:p>
    <w:p w:rsidR="00246783" w:rsidRPr="002F4218" w:rsidRDefault="00246783" w:rsidP="00ED22EB">
      <w:pPr>
        <w:jc w:val="center"/>
        <w:rPr>
          <w:b/>
          <w:szCs w:val="20"/>
          <w:lang w:val="en-US"/>
        </w:rPr>
      </w:pPr>
      <w:r w:rsidRPr="002F4218">
        <w:rPr>
          <w:b/>
          <w:szCs w:val="20"/>
          <w:lang w:val="en-US"/>
        </w:rPr>
        <w:t>INADMISSIBILITY OF THE REQUEST FOR INTERPRETATION</w:t>
      </w:r>
    </w:p>
    <w:p w:rsidR="00246783" w:rsidRPr="002F4218" w:rsidRDefault="00246783" w:rsidP="00880785">
      <w:pPr>
        <w:rPr>
          <w:strike/>
          <w:szCs w:val="20"/>
          <w:lang w:val="en-US"/>
        </w:rPr>
      </w:pPr>
    </w:p>
    <w:p w:rsidR="00246783" w:rsidRPr="002F4218" w:rsidRDefault="00246783" w:rsidP="00880785">
      <w:pPr>
        <w:rPr>
          <w:i/>
          <w:strike/>
          <w:szCs w:val="20"/>
          <w:lang w:val="en-US"/>
        </w:rPr>
      </w:pPr>
      <w:r w:rsidRPr="002F4218">
        <w:rPr>
          <w:i/>
          <w:szCs w:val="20"/>
          <w:lang w:val="en-US"/>
        </w:rPr>
        <w:t>Arguments of the parties</w:t>
      </w:r>
    </w:p>
    <w:p w:rsidR="00246783" w:rsidRPr="002F4218" w:rsidRDefault="00246783" w:rsidP="00880785">
      <w:pPr>
        <w:pStyle w:val="Prrafodelista"/>
        <w:ind w:left="0"/>
        <w:rPr>
          <w:szCs w:val="20"/>
          <w:lang w:val="en-US"/>
        </w:rPr>
      </w:pPr>
    </w:p>
    <w:p w:rsidR="00D633AC" w:rsidRPr="002F4218" w:rsidRDefault="00246783" w:rsidP="00880785">
      <w:pPr>
        <w:numPr>
          <w:ilvl w:val="0"/>
          <w:numId w:val="7"/>
        </w:numPr>
        <w:rPr>
          <w:szCs w:val="20"/>
          <w:lang w:val="en-US"/>
        </w:rPr>
      </w:pPr>
      <w:r w:rsidRPr="002F4218">
        <w:rPr>
          <w:szCs w:val="20"/>
          <w:lang w:val="en-US"/>
        </w:rPr>
        <w:t>The representative indicated that the victims “have the right to ex</w:t>
      </w:r>
      <w:r w:rsidR="00ED22EB" w:rsidRPr="002F4218">
        <w:rPr>
          <w:szCs w:val="20"/>
          <w:lang w:val="en-US"/>
        </w:rPr>
        <w:t>press [...] their disagreement concerning</w:t>
      </w:r>
      <w:r w:rsidRPr="002F4218">
        <w:rPr>
          <w:szCs w:val="20"/>
          <w:lang w:val="en-US"/>
        </w:rPr>
        <w:t xml:space="preserve"> the amount </w:t>
      </w:r>
      <w:r w:rsidR="00ED22EB" w:rsidRPr="002F4218">
        <w:rPr>
          <w:szCs w:val="20"/>
          <w:lang w:val="en-US"/>
        </w:rPr>
        <w:t>[</w:t>
      </w:r>
      <w:r w:rsidRPr="002F4218">
        <w:rPr>
          <w:szCs w:val="20"/>
          <w:lang w:val="en-US"/>
        </w:rPr>
        <w:t>established in the judgment</w:t>
      </w:r>
      <w:r w:rsidR="00ED22EB" w:rsidRPr="002F4218">
        <w:rPr>
          <w:szCs w:val="20"/>
          <w:lang w:val="en-US"/>
        </w:rPr>
        <w:t>] for pecuniary damage.”</w:t>
      </w:r>
      <w:r w:rsidRPr="002F4218">
        <w:rPr>
          <w:szCs w:val="20"/>
          <w:lang w:val="en-US"/>
        </w:rPr>
        <w:t xml:space="preserve"> In particular, the representative argued that the Court “inverts  the juridical principle of the burden of proof so that it is for the victims to contradict the State’s initial argument which asserted that the </w:t>
      </w:r>
      <w:r w:rsidR="00D633AC" w:rsidRPr="002F4218">
        <w:rPr>
          <w:szCs w:val="20"/>
          <w:lang w:val="en-US"/>
        </w:rPr>
        <w:t xml:space="preserve">1993 salary restructuring absorbs the increases arising from the salary scale system,” “when it is public knowledge that, owing to the strictly confidential nature of the 1993 salary restructuring,” “the victims were not in a position to be aware of or possess the documentation related to the said salary restructuring.” He insisted that the 1993 </w:t>
      </w:r>
      <w:r w:rsidR="00D633AC" w:rsidRPr="002F4218">
        <w:rPr>
          <w:szCs w:val="20"/>
          <w:lang w:val="en-US"/>
        </w:rPr>
        <w:lastRenderedPageBreak/>
        <w:t>salary restructuring “</w:t>
      </w:r>
      <w:r w:rsidR="00ED22EB" w:rsidRPr="002F4218">
        <w:rPr>
          <w:szCs w:val="20"/>
          <w:lang w:val="en-US"/>
        </w:rPr>
        <w:t>was not designed to absorb</w:t>
      </w:r>
      <w:r w:rsidR="00D633AC" w:rsidRPr="002F4218">
        <w:rPr>
          <w:szCs w:val="20"/>
          <w:lang w:val="en-US"/>
        </w:rPr>
        <w:t xml:space="preserve">” the increases owing to application of the salary </w:t>
      </w:r>
      <w:r w:rsidR="00ED22EB" w:rsidRPr="002F4218">
        <w:rPr>
          <w:szCs w:val="20"/>
          <w:lang w:val="en-US"/>
        </w:rPr>
        <w:t>scale</w:t>
      </w:r>
      <w:r w:rsidR="00D633AC" w:rsidRPr="002F4218">
        <w:rPr>
          <w:szCs w:val="20"/>
          <w:lang w:val="en-US"/>
        </w:rPr>
        <w:t xml:space="preserve">, but “was a response to the rampant inflation at the time.” The representative argued that this was a “factual presumption that had been duly proved during the proceedings, </w:t>
      </w:r>
      <w:r w:rsidR="00ED22EB" w:rsidRPr="002F4218">
        <w:rPr>
          <w:szCs w:val="20"/>
          <w:lang w:val="en-US"/>
        </w:rPr>
        <w:t>but</w:t>
      </w:r>
      <w:r w:rsidR="00D633AC" w:rsidRPr="002F4218">
        <w:rPr>
          <w:szCs w:val="20"/>
          <w:lang w:val="en-US"/>
        </w:rPr>
        <w:t xml:space="preserve"> had been omit</w:t>
      </w:r>
      <w:r w:rsidR="00ED22EB" w:rsidRPr="002F4218">
        <w:rPr>
          <w:szCs w:val="20"/>
          <w:lang w:val="en-US"/>
        </w:rPr>
        <w:t>ted in the consideration and</w:t>
      </w:r>
      <w:r w:rsidR="00D633AC" w:rsidRPr="002F4218">
        <w:rPr>
          <w:szCs w:val="20"/>
          <w:lang w:val="en-US"/>
        </w:rPr>
        <w:t xml:space="preserve"> the assessment of </w:t>
      </w:r>
      <w:r w:rsidR="00ED22EB" w:rsidRPr="002F4218">
        <w:rPr>
          <w:szCs w:val="20"/>
          <w:lang w:val="en-US"/>
        </w:rPr>
        <w:t xml:space="preserve">the facts of the case, and </w:t>
      </w:r>
      <w:r w:rsidR="00D633AC" w:rsidRPr="002F4218">
        <w:rPr>
          <w:szCs w:val="20"/>
          <w:lang w:val="en-US"/>
        </w:rPr>
        <w:t>had not been developed by the Court.” In addition, he repeated that the 1993 salary restructuring “was not implemented as a substitute regime for the salary</w:t>
      </w:r>
      <w:r w:rsidR="00704B76" w:rsidRPr="002F4218">
        <w:rPr>
          <w:szCs w:val="20"/>
          <w:lang w:val="en-US"/>
        </w:rPr>
        <w:t xml:space="preserve"> scale</w:t>
      </w:r>
      <w:r w:rsidR="00D633AC" w:rsidRPr="002F4218">
        <w:rPr>
          <w:szCs w:val="20"/>
          <w:lang w:val="en-US"/>
        </w:rPr>
        <w:t xml:space="preserve"> system, but as a need to </w:t>
      </w:r>
      <w:r w:rsidR="00704B76" w:rsidRPr="002F4218">
        <w:rPr>
          <w:szCs w:val="20"/>
          <w:lang w:val="en-US"/>
        </w:rPr>
        <w:t>overcome</w:t>
      </w:r>
      <w:r w:rsidR="00ED22EB" w:rsidRPr="002F4218">
        <w:rPr>
          <w:szCs w:val="20"/>
          <w:lang w:val="en-US"/>
        </w:rPr>
        <w:t xml:space="preserve"> the situation </w:t>
      </w:r>
      <w:r w:rsidR="00D633AC" w:rsidRPr="002F4218">
        <w:rPr>
          <w:szCs w:val="20"/>
          <w:lang w:val="en-US"/>
        </w:rPr>
        <w:t>experienced by the State and SEDAPAL</w:t>
      </w:r>
      <w:r w:rsidR="00ED22EB" w:rsidRPr="002F4218">
        <w:rPr>
          <w:szCs w:val="20"/>
          <w:lang w:val="en-US"/>
        </w:rPr>
        <w:t xml:space="preserve"> at the time</w:t>
      </w:r>
      <w:r w:rsidR="00D633AC" w:rsidRPr="002F4218">
        <w:rPr>
          <w:szCs w:val="20"/>
          <w:lang w:val="en-US"/>
        </w:rPr>
        <w:t>.”</w:t>
      </w:r>
    </w:p>
    <w:p w:rsidR="00720626" w:rsidRPr="002F4218" w:rsidRDefault="00720626" w:rsidP="00880785">
      <w:pPr>
        <w:pStyle w:val="ColorfulList-Accent11"/>
        <w:ind w:left="0"/>
        <w:rPr>
          <w:strike/>
          <w:szCs w:val="20"/>
          <w:lang w:val="en-US"/>
        </w:rPr>
      </w:pPr>
    </w:p>
    <w:p w:rsidR="008A0111" w:rsidRPr="002F4218" w:rsidRDefault="008A0111" w:rsidP="00880785">
      <w:pPr>
        <w:pStyle w:val="Prrafodelista"/>
        <w:numPr>
          <w:ilvl w:val="0"/>
          <w:numId w:val="7"/>
        </w:numPr>
        <w:ind w:left="0"/>
        <w:rPr>
          <w:lang w:val="en-US"/>
        </w:rPr>
      </w:pPr>
      <w:r w:rsidRPr="002F4218">
        <w:rPr>
          <w:lang w:val="en-US"/>
        </w:rPr>
        <w:t xml:space="preserve">On this basis, the representative indicated that he “had submitted specific arguments that disproved the said scope alleged by the State concerning the 1993 salary restructuring.” He argued that the State had not proved that the 1993 salary restructuring had had the effect of absorbing the increases generated by the salary </w:t>
      </w:r>
      <w:r w:rsidR="004F0941" w:rsidRPr="002F4218">
        <w:rPr>
          <w:lang w:val="en-US"/>
        </w:rPr>
        <w:t>scale</w:t>
      </w:r>
      <w:r w:rsidRPr="002F4218">
        <w:rPr>
          <w:lang w:val="en-US"/>
        </w:rPr>
        <w:t xml:space="preserve"> system and, to the contrary, “the restructuring had revealed conclusively and reliably that [the State] </w:t>
      </w:r>
      <w:r w:rsidR="004F0941" w:rsidRPr="002F4218">
        <w:rPr>
          <w:lang w:val="en-US"/>
        </w:rPr>
        <w:t xml:space="preserve">had </w:t>
      </w:r>
      <w:r w:rsidRPr="002F4218">
        <w:rPr>
          <w:lang w:val="en-US"/>
        </w:rPr>
        <w:t>attempt[</w:t>
      </w:r>
      <w:proofErr w:type="gramStart"/>
      <w:r w:rsidRPr="002F4218">
        <w:rPr>
          <w:lang w:val="en-US"/>
        </w:rPr>
        <w:t>ed</w:t>
      </w:r>
      <w:proofErr w:type="gramEnd"/>
      <w:r w:rsidRPr="002F4218">
        <w:rPr>
          <w:lang w:val="en-US"/>
        </w:rPr>
        <w:t>] to dis</w:t>
      </w:r>
      <w:r w:rsidR="004F0941" w:rsidRPr="002F4218">
        <w:rPr>
          <w:lang w:val="en-US"/>
        </w:rPr>
        <w:t>credit</w:t>
      </w:r>
      <w:r w:rsidRPr="002F4218">
        <w:rPr>
          <w:lang w:val="en-US"/>
        </w:rPr>
        <w:t xml:space="preserve"> […] this consideration definitively. The representative added that the Court, in order to establish the pecuniary damage, “could have based itself on the same criteria of equity, </w:t>
      </w:r>
      <w:r w:rsidR="004F0941" w:rsidRPr="002F4218">
        <w:rPr>
          <w:lang w:val="en-US"/>
        </w:rPr>
        <w:t xml:space="preserve">taking into </w:t>
      </w:r>
      <w:r w:rsidRPr="002F4218">
        <w:rPr>
          <w:lang w:val="en-US"/>
        </w:rPr>
        <w:t>consider</w:t>
      </w:r>
      <w:r w:rsidR="004F0941" w:rsidRPr="002F4218">
        <w:rPr>
          <w:lang w:val="en-US"/>
        </w:rPr>
        <w:t>ation,</w:t>
      </w:r>
      <w:r w:rsidRPr="002F4218">
        <w:rPr>
          <w:lang w:val="en-US"/>
        </w:rPr>
        <w:t xml:space="preserve"> among other elements</w:t>
      </w:r>
      <w:r w:rsidR="004F0941" w:rsidRPr="002F4218">
        <w:rPr>
          <w:lang w:val="en-US"/>
        </w:rPr>
        <w:t>,</w:t>
      </w:r>
      <w:r w:rsidRPr="002F4218">
        <w:rPr>
          <w:lang w:val="en-US"/>
        </w:rPr>
        <w:t xml:space="preserve"> the expert opinion provided by the State; but without the unfounded,</w:t>
      </w:r>
      <w:r w:rsidR="004F0941" w:rsidRPr="002F4218">
        <w:rPr>
          <w:lang w:val="en-US"/>
        </w:rPr>
        <w:t xml:space="preserve"> non-existent </w:t>
      </w:r>
      <w:r w:rsidRPr="002F4218">
        <w:rPr>
          <w:lang w:val="en-US"/>
        </w:rPr>
        <w:t>and inadmissible limitation of the calculations to July 1993.” In this regard, he added that the Court could also have assessed the expert opinion pre</w:t>
      </w:r>
      <w:r w:rsidR="0025070E" w:rsidRPr="002F4218">
        <w:rPr>
          <w:lang w:val="en-US"/>
        </w:rPr>
        <w:t>sented by the representative “regarding</w:t>
      </w:r>
      <w:r w:rsidRPr="002F4218">
        <w:rPr>
          <w:lang w:val="en-US"/>
        </w:rPr>
        <w:t xml:space="preserve"> which no observations were mad</w:t>
      </w:r>
      <w:r w:rsidR="0025070E" w:rsidRPr="002F4218">
        <w:rPr>
          <w:lang w:val="en-US"/>
        </w:rPr>
        <w:t>e, and it was not contested; hence, the State</w:t>
      </w:r>
      <w:r w:rsidRPr="002F4218">
        <w:rPr>
          <w:lang w:val="en-US"/>
        </w:rPr>
        <w:t xml:space="preserve"> </w:t>
      </w:r>
      <w:r w:rsidR="0025070E" w:rsidRPr="002F4218">
        <w:rPr>
          <w:lang w:val="en-US"/>
        </w:rPr>
        <w:t>accepted it.”</w:t>
      </w:r>
    </w:p>
    <w:p w:rsidR="008A0111" w:rsidRPr="002F4218" w:rsidRDefault="008A0111" w:rsidP="00880785">
      <w:pPr>
        <w:pStyle w:val="Prrafodelista"/>
        <w:ind w:left="0"/>
        <w:rPr>
          <w:lang w:val="en-US"/>
        </w:rPr>
      </w:pPr>
    </w:p>
    <w:p w:rsidR="008A0111" w:rsidRPr="002F4218" w:rsidRDefault="008A0111" w:rsidP="00880785">
      <w:pPr>
        <w:pStyle w:val="Default"/>
        <w:numPr>
          <w:ilvl w:val="0"/>
          <w:numId w:val="7"/>
        </w:numPr>
        <w:jc w:val="both"/>
        <w:rPr>
          <w:rFonts w:ascii="Verdana" w:hAnsi="Verdana"/>
          <w:sz w:val="20"/>
          <w:szCs w:val="20"/>
          <w:lang w:val="en-US"/>
        </w:rPr>
      </w:pPr>
      <w:r w:rsidRPr="002F4218">
        <w:rPr>
          <w:rFonts w:ascii="Verdana" w:hAnsi="Verdana"/>
          <w:sz w:val="20"/>
          <w:szCs w:val="20"/>
          <w:lang w:val="en-US"/>
        </w:rPr>
        <w:t>In summary, the representative indicated that, in paragraphs 107, 113, 114 and 115 of the judgment, the Court “has made an improper finding and assessment of the facts of the case, as well as an improper use of the logical principles of the ruling and, therefore, incurs in an error of judgment and defect of substance.” According to the representative, this alleged error had been “determinant, pivotal and decisive for establishing the insignificant amount ordered to repair the pecuniary damage.” Consequently, the representative argued that the Court “cannot permit the anomalous situation of delivering by error and/or defect of substance a judgment with a manifestly contradictory and controversial meaning that also, as a result of this, is an absolutely unjust judgment,” based on which he asked the Court “to interpret the definitive meaning and scope of paragraph 115 and the fifth operative paragraph of the judgment in this case.”</w:t>
      </w:r>
    </w:p>
    <w:p w:rsidR="00720626" w:rsidRPr="002F4218" w:rsidRDefault="00720626" w:rsidP="00880785">
      <w:pPr>
        <w:pStyle w:val="ColorfulList-Accent11"/>
        <w:ind w:left="0"/>
        <w:rPr>
          <w:bCs/>
          <w:szCs w:val="20"/>
          <w:lang w:val="en-US"/>
        </w:rPr>
      </w:pPr>
    </w:p>
    <w:p w:rsidR="008A0111" w:rsidRPr="002F4218" w:rsidRDefault="008A0111" w:rsidP="00880785">
      <w:pPr>
        <w:pStyle w:val="Prrafodelista1"/>
        <w:numPr>
          <w:ilvl w:val="0"/>
          <w:numId w:val="7"/>
        </w:numPr>
        <w:ind w:left="0"/>
        <w:rPr>
          <w:szCs w:val="20"/>
          <w:lang w:val="en-US"/>
        </w:rPr>
      </w:pPr>
      <w:r w:rsidRPr="002F4218">
        <w:rPr>
          <w:szCs w:val="20"/>
          <w:lang w:val="en-US"/>
        </w:rPr>
        <w:t>The State indicated that the expert opinion presented as a probati</w:t>
      </w:r>
      <w:r w:rsidR="005E4F07" w:rsidRPr="002F4218">
        <w:rPr>
          <w:szCs w:val="20"/>
          <w:lang w:val="en-US"/>
        </w:rPr>
        <w:t>ve element had not been refuted</w:t>
      </w:r>
      <w:r w:rsidRPr="002F4218">
        <w:rPr>
          <w:szCs w:val="20"/>
          <w:lang w:val="en-US"/>
        </w:rPr>
        <w:t xml:space="preserve"> by the representative. Consequently, it affirmed that the Court had been clear when it indicated that “the representative did not object to the elimination of the salary scale system, but rather to the application of a law that, retroactively, nullified the said system.” The State considered that the Court “had analyzed the probative elements provided to it appropriately [and] </w:t>
      </w:r>
      <w:r w:rsidR="005E4F07" w:rsidRPr="002F4218">
        <w:rPr>
          <w:szCs w:val="20"/>
          <w:lang w:val="en-US"/>
        </w:rPr>
        <w:t xml:space="preserve">had </w:t>
      </w:r>
      <w:r w:rsidRPr="002F4218">
        <w:rPr>
          <w:szCs w:val="20"/>
          <w:lang w:val="en-US"/>
        </w:rPr>
        <w:t>ruled in accordance with its principles and the authority granted to it.”</w:t>
      </w:r>
    </w:p>
    <w:p w:rsidR="00720626" w:rsidRPr="002F4218" w:rsidRDefault="00720626" w:rsidP="00880785">
      <w:pPr>
        <w:rPr>
          <w:i/>
          <w:szCs w:val="20"/>
          <w:lang w:val="en-US"/>
        </w:rPr>
      </w:pPr>
    </w:p>
    <w:p w:rsidR="00720626" w:rsidRPr="002F4218" w:rsidRDefault="00720626" w:rsidP="00880785">
      <w:pPr>
        <w:rPr>
          <w:i/>
          <w:strike/>
          <w:szCs w:val="20"/>
          <w:lang w:val="en-US"/>
        </w:rPr>
      </w:pPr>
      <w:r w:rsidRPr="002F4218">
        <w:rPr>
          <w:i/>
          <w:szCs w:val="20"/>
          <w:lang w:val="en-US"/>
        </w:rPr>
        <w:t>Considerations of the Court</w:t>
      </w:r>
    </w:p>
    <w:p w:rsidR="00720626" w:rsidRPr="002F4218" w:rsidRDefault="00720626" w:rsidP="00880785">
      <w:pPr>
        <w:pStyle w:val="ColorfulList-Accent11"/>
        <w:ind w:left="0"/>
        <w:rPr>
          <w:szCs w:val="20"/>
          <w:lang w:val="en-US"/>
        </w:rPr>
      </w:pPr>
    </w:p>
    <w:p w:rsidR="008A0111" w:rsidRPr="002F4218" w:rsidRDefault="00450475" w:rsidP="00880785">
      <w:pPr>
        <w:widowControl w:val="0"/>
        <w:numPr>
          <w:ilvl w:val="0"/>
          <w:numId w:val="7"/>
        </w:numPr>
        <w:autoSpaceDE w:val="0"/>
        <w:autoSpaceDN w:val="0"/>
        <w:adjustRightInd w:val="0"/>
        <w:rPr>
          <w:lang w:val="en-US"/>
        </w:rPr>
      </w:pPr>
      <w:r w:rsidRPr="002F4218">
        <w:rPr>
          <w:lang w:val="en-US"/>
        </w:rPr>
        <w:t>The Court underscores that, according to Article 63(1) of the American Convention, it has inherent authority to order reparations and, specifically, to determine the payment of fair compensation to the injured party.</w:t>
      </w:r>
      <w:r w:rsidR="008A0111" w:rsidRPr="002F4218">
        <w:rPr>
          <w:rStyle w:val="Refdenotaalpie"/>
          <w:lang w:val="en-US"/>
        </w:rPr>
        <w:footnoteReference w:id="5"/>
      </w:r>
      <w:r w:rsidRPr="002F4218">
        <w:rPr>
          <w:lang w:val="en-US"/>
        </w:rPr>
        <w:t xml:space="preserve"> Thus, the Court </w:t>
      </w:r>
      <w:r w:rsidR="00CB532F" w:rsidRPr="002F4218">
        <w:rPr>
          <w:szCs w:val="20"/>
          <w:lang w:val="en-US"/>
        </w:rPr>
        <w:lastRenderedPageBreak/>
        <w:t>was clear in establishing in detail the elements of evidence that were assessed and the specific criteria used by the Court in the instant case. In addition, after reviewing the informa</w:t>
      </w:r>
      <w:r w:rsidR="005E4F07" w:rsidRPr="002F4218">
        <w:rPr>
          <w:szCs w:val="20"/>
          <w:lang w:val="en-US"/>
        </w:rPr>
        <w:t>tion available in the case file</w:t>
      </w:r>
      <w:r w:rsidR="00CB532F" w:rsidRPr="002F4218">
        <w:rPr>
          <w:szCs w:val="20"/>
          <w:lang w:val="en-US"/>
        </w:rPr>
        <w:t xml:space="preserve"> and based on criteria of fairness, it determined the amount of the corresponding pecuniary damage. The Court took into account the particular complexity of this calculation and weighed the evidence thoroughly in order to bring to a final conclusion a dispute between the parties that had lasted more than eight years.</w:t>
      </w:r>
    </w:p>
    <w:p w:rsidR="00880785" w:rsidRPr="002F4218" w:rsidRDefault="00880785" w:rsidP="00880785">
      <w:pPr>
        <w:widowControl w:val="0"/>
        <w:autoSpaceDE w:val="0"/>
        <w:autoSpaceDN w:val="0"/>
        <w:adjustRightInd w:val="0"/>
        <w:rPr>
          <w:lang w:val="en-US"/>
        </w:rPr>
      </w:pPr>
    </w:p>
    <w:p w:rsidR="005066B2" w:rsidRPr="002F4218" w:rsidRDefault="00CB532F" w:rsidP="00880785">
      <w:pPr>
        <w:pStyle w:val="Body1"/>
        <w:numPr>
          <w:ilvl w:val="0"/>
          <w:numId w:val="7"/>
        </w:numPr>
        <w:jc w:val="both"/>
        <w:rPr>
          <w:rFonts w:ascii="Verdana" w:hAnsi="Verdana"/>
          <w:sz w:val="20"/>
        </w:rPr>
      </w:pPr>
      <w:r w:rsidRPr="002F4218">
        <w:rPr>
          <w:rFonts w:ascii="Verdana" w:hAnsi="Verdana"/>
          <w:sz w:val="20"/>
        </w:rPr>
        <w:t xml:space="preserve">In this regard, </w:t>
      </w:r>
      <w:r w:rsidR="005E4F07" w:rsidRPr="002F4218">
        <w:rPr>
          <w:rFonts w:ascii="Verdana" w:hAnsi="Verdana"/>
          <w:sz w:val="20"/>
        </w:rPr>
        <w:t xml:space="preserve">as </w:t>
      </w:r>
      <w:r w:rsidR="005066B2" w:rsidRPr="002F4218">
        <w:rPr>
          <w:rFonts w:ascii="Verdana" w:hAnsi="Verdana"/>
          <w:sz w:val="20"/>
        </w:rPr>
        <w:t>the representative mentioned, the Court specified that the State had indicated that the salary restructuring had not had the effect of absorbing the increases arising from the salary scale. However, in addition to this argument, the Court took into account other arguments and other evidence. In addition, the Court did not arbitrarily transfer the burden of proof to the representative. To the contrary, the Court reiterated its consistent case law that each party must argue with precision the scope that it seeks to give to the evidence it presents. In summary, the Court notes that the alleged error that the representative indicated, more than a genuine request for interpretation, relates to his disagreement with the Court’s assessment of the evidence, based on what was in the case file and had been argued in that regard, as well as the fact that the Court had not considered the expert opinion offered by the representative a determinant</w:t>
      </w:r>
      <w:r w:rsidR="005E4F07" w:rsidRPr="002F4218">
        <w:rPr>
          <w:rFonts w:ascii="Verdana" w:hAnsi="Verdana"/>
          <w:sz w:val="20"/>
        </w:rPr>
        <w:t xml:space="preserve"> factor</w:t>
      </w:r>
      <w:r w:rsidR="005066B2" w:rsidRPr="002F4218">
        <w:rPr>
          <w:rFonts w:ascii="Verdana" w:hAnsi="Verdana"/>
          <w:sz w:val="20"/>
        </w:rPr>
        <w:t xml:space="preserve">. Although the representative indicated that his expert opinion had not been contested, the Court explained the reasons why it considered it insufficient as regards the dispute concerning determination of how to calculate the pecuniary damage. Moreover, the representative’s intention is that the Court </w:t>
      </w:r>
      <w:proofErr w:type="gramStart"/>
      <w:r w:rsidR="005066B2" w:rsidRPr="002F4218">
        <w:rPr>
          <w:rFonts w:ascii="Verdana" w:hAnsi="Verdana"/>
          <w:sz w:val="20"/>
        </w:rPr>
        <w:t>re-assess</w:t>
      </w:r>
      <w:proofErr w:type="gramEnd"/>
      <w:r w:rsidR="005066B2" w:rsidRPr="002F4218">
        <w:rPr>
          <w:rFonts w:ascii="Verdana" w:hAnsi="Verdana"/>
          <w:sz w:val="20"/>
        </w:rPr>
        <w:t xml:space="preserve"> issues that have already decided in the judgment to establish the amount of the pecuniary damage. In this regard, the Court has affirmed the inadmissibility of using a request for interpretation to re-evaluate factual and legal issues that were raised at the appropriate procedural opportunity and regarding which the Court has adopted a decision.</w:t>
      </w:r>
      <w:r w:rsidR="005066B2" w:rsidRPr="002F4218">
        <w:rPr>
          <w:rStyle w:val="Refdenotaalpie"/>
          <w:rFonts w:ascii="Verdana" w:hAnsi="Verdana"/>
        </w:rPr>
        <w:footnoteReference w:id="6"/>
      </w:r>
    </w:p>
    <w:p w:rsidR="005066B2" w:rsidRPr="002F4218" w:rsidRDefault="005066B2" w:rsidP="00880785">
      <w:pPr>
        <w:pStyle w:val="Body1"/>
        <w:jc w:val="both"/>
        <w:rPr>
          <w:rFonts w:ascii="Verdana" w:hAnsi="Verdana"/>
          <w:sz w:val="20"/>
        </w:rPr>
      </w:pPr>
    </w:p>
    <w:p w:rsidR="008A0111" w:rsidRPr="002F4218" w:rsidRDefault="008A0111" w:rsidP="00880785">
      <w:pPr>
        <w:pStyle w:val="Body1"/>
        <w:numPr>
          <w:ilvl w:val="0"/>
          <w:numId w:val="7"/>
        </w:numPr>
        <w:jc w:val="both"/>
        <w:rPr>
          <w:rFonts w:ascii="Verdana" w:hAnsi="Verdana"/>
          <w:sz w:val="20"/>
        </w:rPr>
      </w:pPr>
      <w:r w:rsidRPr="002F4218">
        <w:rPr>
          <w:rFonts w:ascii="Verdana" w:hAnsi="Verdana"/>
          <w:sz w:val="20"/>
        </w:rPr>
        <w:t>Based on the above, the request for interpretation is inadmissible because the judgment is clear as regards the elements that were assessed in order to determine the amount of the pecuniary damage, and the Court finds that the representative is trying to re-evaluate issues that have been decided by the Court, even though it is not possible to amend or expand the ruling,</w:t>
      </w:r>
      <w:r w:rsidRPr="002F4218">
        <w:rPr>
          <w:rFonts w:ascii="Verdana" w:hAnsi="Verdana"/>
          <w:sz w:val="20"/>
          <w:vertAlign w:val="superscript"/>
        </w:rPr>
        <w:footnoteReference w:id="7"/>
      </w:r>
      <w:r w:rsidRPr="002F4218">
        <w:rPr>
          <w:rFonts w:ascii="Verdana" w:hAnsi="Verdana"/>
          <w:sz w:val="20"/>
        </w:rPr>
        <w:t xml:space="preserve"> pursuant to Articles 67 of the American Convention and 31(3) and 68 of the Court’s Rules of Procedure.</w:t>
      </w:r>
    </w:p>
    <w:p w:rsidR="00720626" w:rsidRPr="002F4218" w:rsidRDefault="00720626" w:rsidP="00880785">
      <w:pPr>
        <w:pStyle w:val="ColorfulList-Accent11"/>
        <w:rPr>
          <w:szCs w:val="20"/>
          <w:lang w:val="en-US"/>
        </w:rPr>
      </w:pPr>
    </w:p>
    <w:p w:rsidR="007958E8" w:rsidRPr="002F4218" w:rsidRDefault="007958E8" w:rsidP="00880785">
      <w:pPr>
        <w:pStyle w:val="ColorfulList-Accent11"/>
        <w:rPr>
          <w:szCs w:val="20"/>
          <w:lang w:val="en-US"/>
        </w:rPr>
      </w:pPr>
    </w:p>
    <w:p w:rsidR="00720626" w:rsidRPr="002F4218" w:rsidRDefault="00720626" w:rsidP="00880785">
      <w:pPr>
        <w:pStyle w:val="Ttulo1"/>
        <w:rPr>
          <w:sz w:val="20"/>
          <w:szCs w:val="20"/>
          <w:lang w:val="en-US"/>
        </w:rPr>
      </w:pPr>
      <w:r w:rsidRPr="002F4218">
        <w:rPr>
          <w:sz w:val="20"/>
          <w:szCs w:val="20"/>
          <w:lang w:val="en-US"/>
        </w:rPr>
        <w:t>IV</w:t>
      </w:r>
    </w:p>
    <w:p w:rsidR="00720626" w:rsidRPr="002F4218" w:rsidRDefault="00720626" w:rsidP="00880785">
      <w:pPr>
        <w:pStyle w:val="Ttulo1"/>
        <w:rPr>
          <w:sz w:val="20"/>
          <w:szCs w:val="20"/>
          <w:lang w:val="en-US"/>
        </w:rPr>
      </w:pPr>
      <w:r w:rsidRPr="002F4218">
        <w:rPr>
          <w:sz w:val="20"/>
          <w:szCs w:val="20"/>
          <w:lang w:val="en-US"/>
        </w:rPr>
        <w:t>OPERATIVE PARAGRAPHS</w:t>
      </w:r>
    </w:p>
    <w:p w:rsidR="00720626" w:rsidRPr="002F4218" w:rsidRDefault="00720626" w:rsidP="00880785">
      <w:pPr>
        <w:rPr>
          <w:szCs w:val="20"/>
          <w:lang w:val="en-US"/>
        </w:rPr>
      </w:pPr>
    </w:p>
    <w:p w:rsidR="00720626" w:rsidRPr="002F4218" w:rsidRDefault="00720626" w:rsidP="00880785">
      <w:pPr>
        <w:numPr>
          <w:ilvl w:val="0"/>
          <w:numId w:val="7"/>
        </w:numPr>
        <w:rPr>
          <w:szCs w:val="20"/>
          <w:lang w:val="en-US"/>
        </w:rPr>
      </w:pPr>
      <w:r w:rsidRPr="002F4218">
        <w:rPr>
          <w:szCs w:val="20"/>
          <w:lang w:val="en-US"/>
        </w:rPr>
        <w:t>Therefore,</w:t>
      </w:r>
    </w:p>
    <w:p w:rsidR="00720626" w:rsidRPr="002F4218" w:rsidRDefault="00720626" w:rsidP="00880785">
      <w:pPr>
        <w:rPr>
          <w:szCs w:val="20"/>
          <w:lang w:val="en-US"/>
        </w:rPr>
      </w:pPr>
    </w:p>
    <w:p w:rsidR="00720626" w:rsidRPr="002F4218" w:rsidRDefault="00720626" w:rsidP="00880785">
      <w:pPr>
        <w:pStyle w:val="Ttulo2"/>
        <w:spacing w:before="0"/>
        <w:rPr>
          <w:sz w:val="20"/>
          <w:szCs w:val="20"/>
          <w:lang w:val="en-US"/>
        </w:rPr>
      </w:pPr>
      <w:r w:rsidRPr="002F4218">
        <w:rPr>
          <w:sz w:val="20"/>
          <w:szCs w:val="20"/>
          <w:lang w:val="en-US"/>
        </w:rPr>
        <w:lastRenderedPageBreak/>
        <w:t>THE INTER-AMERICAN COURT OF HUMAN RIGHTS</w:t>
      </w:r>
    </w:p>
    <w:p w:rsidR="00720626" w:rsidRPr="002F4218" w:rsidRDefault="00720626" w:rsidP="00880785">
      <w:pPr>
        <w:rPr>
          <w:szCs w:val="20"/>
          <w:lang w:val="en-US"/>
        </w:rPr>
      </w:pPr>
    </w:p>
    <w:p w:rsidR="00720626" w:rsidRPr="002F4218" w:rsidRDefault="00720626" w:rsidP="00880785">
      <w:pPr>
        <w:rPr>
          <w:szCs w:val="20"/>
          <w:lang w:val="en-US"/>
        </w:rPr>
      </w:pPr>
      <w:r w:rsidRPr="002F4218">
        <w:rPr>
          <w:szCs w:val="20"/>
          <w:lang w:val="en-US"/>
        </w:rPr>
        <w:t>pursuant to Article 67 of the American Convention on Human Rights and Articles 31(3) and 68 of its Rules of Procedure,</w:t>
      </w:r>
    </w:p>
    <w:p w:rsidR="00720626" w:rsidRPr="002F4218" w:rsidRDefault="00720626" w:rsidP="00880785">
      <w:pPr>
        <w:rPr>
          <w:szCs w:val="20"/>
          <w:lang w:val="en-US"/>
        </w:rPr>
      </w:pPr>
    </w:p>
    <w:p w:rsidR="00720626" w:rsidRPr="002F4218" w:rsidRDefault="00720626" w:rsidP="00880785">
      <w:pPr>
        <w:pStyle w:val="Ttulo2"/>
        <w:spacing w:before="0"/>
        <w:rPr>
          <w:sz w:val="20"/>
          <w:szCs w:val="20"/>
          <w:lang w:val="en-US"/>
        </w:rPr>
      </w:pPr>
      <w:r w:rsidRPr="002F4218">
        <w:rPr>
          <w:sz w:val="20"/>
          <w:szCs w:val="20"/>
          <w:lang w:val="en-US"/>
        </w:rPr>
        <w:t>DECIDES:</w:t>
      </w:r>
    </w:p>
    <w:p w:rsidR="00720626" w:rsidRPr="002F4218" w:rsidRDefault="00720626" w:rsidP="00880785">
      <w:pPr>
        <w:rPr>
          <w:szCs w:val="20"/>
          <w:lang w:val="en-US"/>
        </w:rPr>
      </w:pPr>
      <w:r w:rsidRPr="002F4218">
        <w:rPr>
          <w:szCs w:val="20"/>
          <w:lang w:val="en-US"/>
        </w:rPr>
        <w:t xml:space="preserve"> </w:t>
      </w:r>
    </w:p>
    <w:p w:rsidR="00720626" w:rsidRPr="002F4218" w:rsidRDefault="00720626" w:rsidP="00880785">
      <w:pPr>
        <w:pStyle w:val="Encabezado"/>
        <w:tabs>
          <w:tab w:val="clear" w:pos="4320"/>
          <w:tab w:val="clear" w:pos="8640"/>
        </w:tabs>
        <w:rPr>
          <w:rFonts w:ascii="Verdana" w:hAnsi="Verdana"/>
          <w:sz w:val="20"/>
          <w:lang w:val="en-US"/>
        </w:rPr>
      </w:pPr>
      <w:r w:rsidRPr="002F4218">
        <w:rPr>
          <w:rFonts w:ascii="Verdana" w:hAnsi="Verdana"/>
          <w:sz w:val="20"/>
          <w:lang w:val="en-US"/>
        </w:rPr>
        <w:t>Unanimously,</w:t>
      </w:r>
    </w:p>
    <w:p w:rsidR="00720626" w:rsidRPr="002F4218" w:rsidRDefault="00720626" w:rsidP="00880785">
      <w:pPr>
        <w:rPr>
          <w:szCs w:val="20"/>
          <w:lang w:val="en-US"/>
        </w:rPr>
      </w:pPr>
    </w:p>
    <w:p w:rsidR="00720626" w:rsidRPr="002F4218" w:rsidRDefault="00720626" w:rsidP="00880785">
      <w:pPr>
        <w:pStyle w:val="ColorfulList-Accent11"/>
        <w:numPr>
          <w:ilvl w:val="0"/>
          <w:numId w:val="37"/>
        </w:numPr>
        <w:ind w:left="0" w:firstLine="0"/>
        <w:rPr>
          <w:szCs w:val="20"/>
          <w:lang w:val="en-US"/>
        </w:rPr>
      </w:pPr>
      <w:r w:rsidRPr="002F4218">
        <w:rPr>
          <w:szCs w:val="20"/>
          <w:lang w:val="en-US"/>
        </w:rPr>
        <w:t xml:space="preserve">To reject as inadmissible the representative’s questioning of the justification </w:t>
      </w:r>
      <w:r w:rsidR="005F08CF" w:rsidRPr="002F4218">
        <w:rPr>
          <w:szCs w:val="20"/>
          <w:lang w:val="en-US"/>
        </w:rPr>
        <w:t>for</w:t>
      </w:r>
      <w:r w:rsidRPr="002F4218">
        <w:rPr>
          <w:szCs w:val="20"/>
          <w:lang w:val="en-US"/>
        </w:rPr>
        <w:t xml:space="preserve"> the compensation determined by the </w:t>
      </w:r>
      <w:smartTag w:uri="urn:schemas-microsoft-com:office:smarttags" w:element="Street">
        <w:smartTag w:uri="urn:schemas-microsoft-com:office:smarttags" w:element="address">
          <w:r w:rsidRPr="002F4218">
            <w:rPr>
              <w:szCs w:val="20"/>
              <w:lang w:val="en-US"/>
            </w:rPr>
            <w:t>Inter-American Cour</w:t>
          </w:r>
          <w:r w:rsidR="007958E8" w:rsidRPr="002F4218">
            <w:rPr>
              <w:szCs w:val="20"/>
              <w:lang w:val="en-US"/>
            </w:rPr>
            <w:t>t</w:t>
          </w:r>
        </w:smartTag>
      </w:smartTag>
      <w:r w:rsidR="007958E8" w:rsidRPr="002F4218">
        <w:rPr>
          <w:szCs w:val="20"/>
          <w:lang w:val="en-US"/>
        </w:rPr>
        <w:t>, in the terms of paragraphs 16 to 18 of this judgment</w:t>
      </w:r>
      <w:r w:rsidRPr="002F4218">
        <w:rPr>
          <w:szCs w:val="20"/>
          <w:lang w:val="en-US"/>
        </w:rPr>
        <w:t>.</w:t>
      </w:r>
    </w:p>
    <w:p w:rsidR="00720626" w:rsidRPr="002F4218" w:rsidRDefault="00720626" w:rsidP="00880785">
      <w:pPr>
        <w:pStyle w:val="ColorfulList-Accent11"/>
        <w:ind w:left="0"/>
        <w:rPr>
          <w:szCs w:val="20"/>
          <w:lang w:val="en-US"/>
        </w:rPr>
      </w:pPr>
    </w:p>
    <w:p w:rsidR="00720626" w:rsidRPr="002F4218" w:rsidRDefault="00720626" w:rsidP="00880785">
      <w:pPr>
        <w:pStyle w:val="ColorfulList-Accent11"/>
        <w:numPr>
          <w:ilvl w:val="0"/>
          <w:numId w:val="37"/>
        </w:numPr>
        <w:ind w:left="0" w:firstLine="0"/>
        <w:rPr>
          <w:szCs w:val="20"/>
          <w:lang w:val="en-US"/>
        </w:rPr>
      </w:pPr>
      <w:r w:rsidRPr="002F4218">
        <w:rPr>
          <w:szCs w:val="20"/>
          <w:lang w:val="en-US"/>
        </w:rPr>
        <w:t xml:space="preserve">To require the Secretariat of the Court to notify this judgment to the </w:t>
      </w:r>
      <w:smartTag w:uri="urn:schemas-microsoft-com:office:smarttags" w:element="place">
        <w:smartTag w:uri="urn:schemas-microsoft-com:office:smarttags" w:element="PlaceName">
          <w:r w:rsidRPr="002F4218">
            <w:rPr>
              <w:szCs w:val="20"/>
              <w:lang w:val="en-US"/>
            </w:rPr>
            <w:t>Peruvian</w:t>
          </w:r>
        </w:smartTag>
        <w:r w:rsidRPr="002F4218">
          <w:rPr>
            <w:szCs w:val="20"/>
            <w:lang w:val="en-US"/>
          </w:rPr>
          <w:t xml:space="preserve"> </w:t>
        </w:r>
        <w:smartTag w:uri="urn:schemas-microsoft-com:office:smarttags" w:element="PlaceType">
          <w:r w:rsidRPr="002F4218">
            <w:rPr>
              <w:szCs w:val="20"/>
              <w:lang w:val="en-US"/>
            </w:rPr>
            <w:t>State</w:t>
          </w:r>
        </w:smartTag>
      </w:smartTag>
      <w:r w:rsidRPr="002F4218">
        <w:rPr>
          <w:szCs w:val="20"/>
          <w:lang w:val="en-US"/>
        </w:rPr>
        <w:t>, the represent</w:t>
      </w:r>
      <w:r w:rsidR="005F08CF" w:rsidRPr="002F4218">
        <w:rPr>
          <w:szCs w:val="20"/>
          <w:lang w:val="en-US"/>
        </w:rPr>
        <w:t>ative of the victims and the</w:t>
      </w:r>
      <w:r w:rsidRPr="002F4218">
        <w:rPr>
          <w:szCs w:val="20"/>
          <w:lang w:val="en-US"/>
        </w:rPr>
        <w:t xml:space="preserve"> Inter-American Commission on Human Rights.</w:t>
      </w:r>
    </w:p>
    <w:p w:rsidR="002B5AFC" w:rsidRPr="002F4218" w:rsidRDefault="002B5AFC" w:rsidP="00880785">
      <w:pPr>
        <w:pStyle w:val="Prrafodelista"/>
        <w:rPr>
          <w:szCs w:val="20"/>
          <w:lang w:val="en-US"/>
        </w:rPr>
      </w:pPr>
    </w:p>
    <w:p w:rsidR="002B5AFC" w:rsidRPr="002F4218" w:rsidRDefault="002B5AFC" w:rsidP="00880785">
      <w:pPr>
        <w:pStyle w:val="ColorfulList-Accent11"/>
        <w:rPr>
          <w:szCs w:val="20"/>
          <w:lang w:val="en-US"/>
        </w:rPr>
      </w:pPr>
    </w:p>
    <w:p w:rsidR="002B5AFC" w:rsidRPr="002F4218" w:rsidRDefault="002B5AFC" w:rsidP="00880785">
      <w:pPr>
        <w:pStyle w:val="ColorfulList-Accent11"/>
        <w:rPr>
          <w:szCs w:val="20"/>
          <w:lang w:val="en-US"/>
        </w:rPr>
      </w:pPr>
    </w:p>
    <w:p w:rsidR="002B5AFC" w:rsidRPr="002F4218" w:rsidRDefault="002B5AFC" w:rsidP="00880785">
      <w:pPr>
        <w:pStyle w:val="ColorfulList-Accent11"/>
        <w:rPr>
          <w:szCs w:val="20"/>
          <w:lang w:val="en-US"/>
        </w:rPr>
      </w:pPr>
    </w:p>
    <w:p w:rsidR="002B5AFC" w:rsidRPr="002F4218" w:rsidRDefault="002B5AFC" w:rsidP="00880785">
      <w:pPr>
        <w:pStyle w:val="ColorfulList-Accent11"/>
        <w:rPr>
          <w:szCs w:val="20"/>
          <w:lang w:val="en-US"/>
        </w:rPr>
      </w:pPr>
    </w:p>
    <w:p w:rsidR="002B5AFC" w:rsidRPr="002F4218" w:rsidRDefault="002B5AFC" w:rsidP="00880785">
      <w:pPr>
        <w:jc w:val="center"/>
        <w:rPr>
          <w:lang w:val="en-US"/>
        </w:rPr>
      </w:pPr>
      <w:r w:rsidRPr="002F4218">
        <w:rPr>
          <w:lang w:val="en-US"/>
        </w:rPr>
        <w:t xml:space="preserve">Leonardo A. Franco </w:t>
      </w:r>
    </w:p>
    <w:p w:rsidR="002B5AFC" w:rsidRPr="002F4218" w:rsidRDefault="002B5AFC" w:rsidP="00880785">
      <w:pPr>
        <w:jc w:val="center"/>
        <w:rPr>
          <w:lang w:val="en-US"/>
        </w:rPr>
      </w:pPr>
      <w:r w:rsidRPr="002F4218">
        <w:rPr>
          <w:lang w:val="en-US"/>
        </w:rPr>
        <w:t>Acting President</w:t>
      </w:r>
    </w:p>
    <w:p w:rsidR="002B5AFC" w:rsidRPr="002F4218" w:rsidRDefault="002B5AFC" w:rsidP="00880785">
      <w:pPr>
        <w:jc w:val="center"/>
        <w:rPr>
          <w:lang w:val="en-US"/>
        </w:rPr>
      </w:pPr>
    </w:p>
    <w:p w:rsidR="002B5AFC" w:rsidRPr="002F4218" w:rsidRDefault="002B5AFC" w:rsidP="00880785">
      <w:pPr>
        <w:rPr>
          <w:lang w:val="en-US"/>
        </w:rPr>
      </w:pPr>
    </w:p>
    <w:p w:rsidR="002B5AFC" w:rsidRPr="002F4218" w:rsidRDefault="002B5AFC" w:rsidP="00880785">
      <w:pPr>
        <w:rPr>
          <w:lang w:val="en-US"/>
        </w:rPr>
      </w:pPr>
    </w:p>
    <w:p w:rsidR="002B5AFC" w:rsidRPr="002F4218" w:rsidRDefault="002B5AFC" w:rsidP="00880785">
      <w:pPr>
        <w:rPr>
          <w:lang w:val="en-US"/>
        </w:rPr>
      </w:pPr>
    </w:p>
    <w:p w:rsidR="002B5AFC" w:rsidRPr="002F4218" w:rsidRDefault="002B5AFC" w:rsidP="00880785">
      <w:pPr>
        <w:rPr>
          <w:lang w:val="en-US"/>
        </w:rPr>
      </w:pPr>
    </w:p>
    <w:p w:rsidR="002B5AFC" w:rsidRPr="002F4218" w:rsidRDefault="002B5AFC" w:rsidP="00880785">
      <w:pPr>
        <w:rPr>
          <w:lang w:val="en-US"/>
        </w:rPr>
      </w:pPr>
    </w:p>
    <w:p w:rsidR="002B5AFC" w:rsidRPr="002F4218" w:rsidRDefault="002B5AFC" w:rsidP="00880785">
      <w:pPr>
        <w:rPr>
          <w:lang w:val="en-US"/>
        </w:rPr>
      </w:pPr>
    </w:p>
    <w:p w:rsidR="002B5AFC" w:rsidRPr="002F4218" w:rsidRDefault="002B5AFC" w:rsidP="00880785">
      <w:pPr>
        <w:rPr>
          <w:lang w:val="en-US"/>
        </w:rPr>
      </w:pPr>
      <w:r w:rsidRPr="002F4218">
        <w:rPr>
          <w:lang w:val="en-US"/>
        </w:rPr>
        <w:t>Manuel Ventura Robles</w:t>
      </w:r>
      <w:r w:rsidRPr="002F4218">
        <w:rPr>
          <w:lang w:val="en-US"/>
        </w:rPr>
        <w:tab/>
      </w:r>
      <w:r w:rsidRPr="002F4218">
        <w:rPr>
          <w:lang w:val="en-US"/>
        </w:rPr>
        <w:tab/>
      </w:r>
      <w:r w:rsidRPr="002F4218">
        <w:rPr>
          <w:lang w:val="en-US"/>
        </w:rPr>
        <w:tab/>
      </w:r>
      <w:r w:rsidRPr="002F4218">
        <w:rPr>
          <w:lang w:val="en-US"/>
        </w:rPr>
        <w:tab/>
      </w:r>
      <w:r w:rsidRPr="002F4218">
        <w:rPr>
          <w:lang w:val="en-US"/>
        </w:rPr>
        <w:tab/>
        <w:t>Margarette May Macaulay</w:t>
      </w:r>
      <w:r w:rsidRPr="002F4218">
        <w:rPr>
          <w:lang w:val="en-US"/>
        </w:rPr>
        <w:tab/>
      </w:r>
    </w:p>
    <w:p w:rsidR="002B5AFC" w:rsidRPr="002F4218" w:rsidRDefault="002B5AFC" w:rsidP="00880785">
      <w:pPr>
        <w:rPr>
          <w:lang w:val="en-US"/>
        </w:rPr>
      </w:pPr>
    </w:p>
    <w:p w:rsidR="002B5AFC" w:rsidRPr="002F4218" w:rsidRDefault="002B5AFC" w:rsidP="00880785">
      <w:pPr>
        <w:rPr>
          <w:lang w:val="en-US"/>
        </w:rPr>
      </w:pPr>
    </w:p>
    <w:p w:rsidR="002B5AFC" w:rsidRPr="002F4218" w:rsidRDefault="002B5AFC" w:rsidP="00880785">
      <w:pPr>
        <w:rPr>
          <w:lang w:val="en-US"/>
        </w:rPr>
      </w:pPr>
    </w:p>
    <w:p w:rsidR="002B5AFC" w:rsidRPr="002F4218" w:rsidRDefault="002B5AFC" w:rsidP="00880785">
      <w:pPr>
        <w:rPr>
          <w:lang w:val="en-US"/>
        </w:rPr>
      </w:pPr>
    </w:p>
    <w:p w:rsidR="002B5AFC" w:rsidRPr="002F4218" w:rsidRDefault="002B5AFC" w:rsidP="00880785">
      <w:pPr>
        <w:rPr>
          <w:lang w:val="en-US"/>
        </w:rPr>
      </w:pPr>
    </w:p>
    <w:p w:rsidR="002B5AFC" w:rsidRPr="002F4218" w:rsidRDefault="002B5AFC" w:rsidP="00880785">
      <w:pPr>
        <w:rPr>
          <w:lang w:val="en-US"/>
        </w:rPr>
      </w:pPr>
    </w:p>
    <w:p w:rsidR="002B5AFC" w:rsidRPr="002F4218" w:rsidRDefault="002B5AFC" w:rsidP="00880785">
      <w:pPr>
        <w:rPr>
          <w:lang w:val="en-US"/>
        </w:rPr>
      </w:pPr>
      <w:r w:rsidRPr="002F4218">
        <w:rPr>
          <w:lang w:val="en-US"/>
        </w:rPr>
        <w:t xml:space="preserve">Rhadys Abreu Blondet        </w:t>
      </w:r>
      <w:r w:rsidRPr="002F4218">
        <w:rPr>
          <w:lang w:val="en-US"/>
        </w:rPr>
        <w:tab/>
      </w:r>
      <w:r w:rsidRPr="002F4218">
        <w:rPr>
          <w:lang w:val="en-US"/>
        </w:rPr>
        <w:tab/>
      </w:r>
      <w:r w:rsidRPr="002F4218">
        <w:rPr>
          <w:lang w:val="en-US"/>
        </w:rPr>
        <w:tab/>
      </w:r>
      <w:r w:rsidRPr="002F4218">
        <w:rPr>
          <w:lang w:val="en-US"/>
        </w:rPr>
        <w:tab/>
      </w:r>
      <w:r w:rsidRPr="002F4218">
        <w:rPr>
          <w:lang w:val="en-US"/>
        </w:rPr>
        <w:tab/>
        <w:t>Alberto Pérez Pérez</w:t>
      </w:r>
    </w:p>
    <w:p w:rsidR="002B5AFC" w:rsidRPr="002F4218" w:rsidRDefault="002B5AFC" w:rsidP="00880785">
      <w:pPr>
        <w:rPr>
          <w:lang w:val="en-US"/>
        </w:rPr>
      </w:pPr>
    </w:p>
    <w:p w:rsidR="002B5AFC" w:rsidRPr="002F4218" w:rsidRDefault="002B5AFC" w:rsidP="00880785">
      <w:pPr>
        <w:rPr>
          <w:lang w:val="en-US"/>
        </w:rPr>
      </w:pPr>
    </w:p>
    <w:p w:rsidR="002B5AFC" w:rsidRPr="002F4218" w:rsidRDefault="002B5AFC" w:rsidP="00880785">
      <w:pPr>
        <w:rPr>
          <w:lang w:val="en-US"/>
        </w:rPr>
      </w:pPr>
    </w:p>
    <w:p w:rsidR="002B5AFC" w:rsidRPr="002F4218" w:rsidRDefault="002B5AFC" w:rsidP="00880785">
      <w:pPr>
        <w:rPr>
          <w:lang w:val="en-US"/>
        </w:rPr>
      </w:pPr>
    </w:p>
    <w:p w:rsidR="002B5AFC" w:rsidRPr="002F4218" w:rsidRDefault="002B5AFC" w:rsidP="00880785">
      <w:pPr>
        <w:rPr>
          <w:lang w:val="en-US"/>
        </w:rPr>
      </w:pPr>
      <w:r w:rsidRPr="002F4218">
        <w:rPr>
          <w:lang w:val="en-US"/>
        </w:rPr>
        <w:tab/>
      </w:r>
      <w:r w:rsidRPr="002F4218">
        <w:rPr>
          <w:lang w:val="en-US"/>
        </w:rPr>
        <w:tab/>
      </w:r>
      <w:r w:rsidRPr="002F4218">
        <w:rPr>
          <w:lang w:val="en-US"/>
        </w:rPr>
        <w:tab/>
      </w:r>
      <w:r w:rsidRPr="002F4218">
        <w:rPr>
          <w:lang w:val="en-US"/>
        </w:rPr>
        <w:tab/>
      </w:r>
    </w:p>
    <w:p w:rsidR="002B5AFC" w:rsidRPr="002F4218" w:rsidRDefault="002B5AFC" w:rsidP="00880785">
      <w:pPr>
        <w:ind w:left="2880"/>
        <w:rPr>
          <w:lang w:val="en-US"/>
        </w:rPr>
      </w:pPr>
      <w:r w:rsidRPr="002F4218">
        <w:rPr>
          <w:lang w:val="en-US"/>
        </w:rPr>
        <w:t xml:space="preserve">      Eduardo Vio Grossi</w:t>
      </w:r>
    </w:p>
    <w:p w:rsidR="002B5AFC" w:rsidRPr="002F4218" w:rsidRDefault="002B5AFC" w:rsidP="00880785">
      <w:pPr>
        <w:rPr>
          <w:lang w:val="en-US"/>
        </w:rPr>
      </w:pPr>
    </w:p>
    <w:p w:rsidR="002B5AFC" w:rsidRPr="002F4218" w:rsidRDefault="002B5AFC" w:rsidP="00880785">
      <w:pPr>
        <w:rPr>
          <w:lang w:val="en-US"/>
        </w:rPr>
      </w:pPr>
    </w:p>
    <w:p w:rsidR="002B5AFC" w:rsidRPr="002F4218" w:rsidRDefault="002B5AFC" w:rsidP="00880785">
      <w:pPr>
        <w:rPr>
          <w:lang w:val="en-US"/>
        </w:rPr>
      </w:pPr>
      <w:r w:rsidRPr="002F4218">
        <w:rPr>
          <w:lang w:val="en-US"/>
        </w:rPr>
        <w:tab/>
      </w:r>
    </w:p>
    <w:p w:rsidR="002B5AFC" w:rsidRPr="002F4218" w:rsidRDefault="002B5AFC" w:rsidP="00880785">
      <w:pPr>
        <w:rPr>
          <w:lang w:val="en-US"/>
        </w:rPr>
      </w:pPr>
    </w:p>
    <w:p w:rsidR="002B5AFC" w:rsidRPr="002F4218" w:rsidRDefault="002B5AFC" w:rsidP="00880785">
      <w:pPr>
        <w:rPr>
          <w:lang w:val="en-US"/>
        </w:rPr>
      </w:pPr>
    </w:p>
    <w:p w:rsidR="002B5AFC" w:rsidRPr="002F4218" w:rsidRDefault="002B5AFC" w:rsidP="00880785">
      <w:pPr>
        <w:jc w:val="center"/>
        <w:rPr>
          <w:lang w:val="en-US"/>
        </w:rPr>
      </w:pPr>
      <w:r w:rsidRPr="002F4218">
        <w:rPr>
          <w:lang w:val="en-US"/>
        </w:rPr>
        <w:t>Pablo Saavedra Alessandri</w:t>
      </w:r>
    </w:p>
    <w:p w:rsidR="002B5AFC" w:rsidRPr="002F4218" w:rsidRDefault="002B5AFC" w:rsidP="00880785">
      <w:pPr>
        <w:ind w:left="2880" w:firstLine="720"/>
        <w:rPr>
          <w:lang w:val="en-US"/>
        </w:rPr>
      </w:pPr>
      <w:r w:rsidRPr="002F4218">
        <w:rPr>
          <w:lang w:val="en-US"/>
        </w:rPr>
        <w:t>Secretary</w:t>
      </w:r>
    </w:p>
    <w:p w:rsidR="002B5AFC" w:rsidRPr="002F4218" w:rsidRDefault="002B5AFC" w:rsidP="00880785">
      <w:pPr>
        <w:rPr>
          <w:lang w:val="en-US"/>
        </w:rPr>
      </w:pPr>
    </w:p>
    <w:p w:rsidR="002B5AFC" w:rsidRPr="002F4218" w:rsidRDefault="002B5AFC" w:rsidP="00880785">
      <w:pPr>
        <w:rPr>
          <w:lang w:val="en-US"/>
        </w:rPr>
      </w:pPr>
    </w:p>
    <w:p w:rsidR="002B5AFC" w:rsidRPr="002F4218" w:rsidRDefault="002B5AFC" w:rsidP="00880785">
      <w:pPr>
        <w:rPr>
          <w:lang w:val="en-US"/>
        </w:rPr>
      </w:pPr>
      <w:r w:rsidRPr="002F4218">
        <w:rPr>
          <w:lang w:val="en-US"/>
        </w:rPr>
        <w:lastRenderedPageBreak/>
        <w:t>So ordered,</w:t>
      </w:r>
    </w:p>
    <w:p w:rsidR="002B5AFC" w:rsidRPr="002F4218" w:rsidRDefault="002B5AFC" w:rsidP="00880785">
      <w:pPr>
        <w:rPr>
          <w:lang w:val="en-US"/>
        </w:rPr>
      </w:pPr>
    </w:p>
    <w:p w:rsidR="002B5AFC" w:rsidRPr="002F4218" w:rsidRDefault="002B5AFC" w:rsidP="00880785">
      <w:pPr>
        <w:rPr>
          <w:lang w:val="en-US"/>
        </w:rPr>
      </w:pPr>
    </w:p>
    <w:p w:rsidR="002B5AFC" w:rsidRPr="002F4218" w:rsidRDefault="002B5AFC" w:rsidP="00880785">
      <w:pPr>
        <w:rPr>
          <w:lang w:val="en-US"/>
        </w:rPr>
      </w:pPr>
    </w:p>
    <w:p w:rsidR="002B5AFC" w:rsidRPr="002F4218" w:rsidRDefault="002B5AFC" w:rsidP="00880785">
      <w:pPr>
        <w:rPr>
          <w:lang w:val="en-US"/>
        </w:rPr>
      </w:pPr>
    </w:p>
    <w:p w:rsidR="002B5AFC" w:rsidRPr="002F4218" w:rsidRDefault="002B5AFC" w:rsidP="00880785">
      <w:pPr>
        <w:ind w:left="5760"/>
        <w:jc w:val="center"/>
        <w:rPr>
          <w:lang w:val="en-US"/>
        </w:rPr>
      </w:pPr>
      <w:r w:rsidRPr="002F4218">
        <w:rPr>
          <w:lang w:val="en-US"/>
        </w:rPr>
        <w:t>Leonardo A. Franco</w:t>
      </w:r>
    </w:p>
    <w:p w:rsidR="002B5AFC" w:rsidRPr="002F4218" w:rsidRDefault="002B5AFC" w:rsidP="00880785">
      <w:pPr>
        <w:ind w:left="5760"/>
        <w:jc w:val="center"/>
        <w:rPr>
          <w:lang w:val="en-US"/>
        </w:rPr>
      </w:pPr>
      <w:r w:rsidRPr="002F4218">
        <w:rPr>
          <w:lang w:val="en-US"/>
        </w:rPr>
        <w:t xml:space="preserve">  Acting President</w:t>
      </w:r>
    </w:p>
    <w:p w:rsidR="002B5AFC" w:rsidRPr="002F4218" w:rsidRDefault="002B5AFC" w:rsidP="00880785">
      <w:pPr>
        <w:rPr>
          <w:lang w:val="en-US"/>
        </w:rPr>
      </w:pPr>
    </w:p>
    <w:p w:rsidR="002B5AFC" w:rsidRPr="002F4218" w:rsidRDefault="002B5AFC" w:rsidP="00880785">
      <w:pPr>
        <w:rPr>
          <w:lang w:val="en-US"/>
        </w:rPr>
      </w:pPr>
    </w:p>
    <w:p w:rsidR="002B5AFC" w:rsidRPr="002F4218" w:rsidRDefault="002B5AFC" w:rsidP="00880785">
      <w:pPr>
        <w:rPr>
          <w:lang w:val="en-US"/>
        </w:rPr>
      </w:pPr>
    </w:p>
    <w:p w:rsidR="002B5AFC" w:rsidRPr="002F4218" w:rsidRDefault="002B5AFC" w:rsidP="00880785">
      <w:pPr>
        <w:rPr>
          <w:lang w:val="en-US"/>
        </w:rPr>
      </w:pPr>
      <w:r w:rsidRPr="002F4218">
        <w:rPr>
          <w:lang w:val="en-US"/>
        </w:rPr>
        <w:t>Pablo Saavedra Alessandri</w:t>
      </w:r>
    </w:p>
    <w:p w:rsidR="002B5AFC" w:rsidRPr="002F4218" w:rsidRDefault="002B5AFC" w:rsidP="00880785">
      <w:pPr>
        <w:rPr>
          <w:lang w:val="en-US"/>
        </w:rPr>
      </w:pPr>
      <w:r w:rsidRPr="002F4218">
        <w:rPr>
          <w:lang w:val="en-US"/>
        </w:rPr>
        <w:tab/>
        <w:t xml:space="preserve">Secretary </w:t>
      </w:r>
    </w:p>
    <w:p w:rsidR="002B5AFC" w:rsidRPr="002F4218" w:rsidRDefault="002B5AFC" w:rsidP="00880785">
      <w:pPr>
        <w:rPr>
          <w:lang w:val="en-US"/>
        </w:rPr>
      </w:pPr>
    </w:p>
    <w:p w:rsidR="002B5AFC" w:rsidRPr="002F4218" w:rsidRDefault="002B5AFC" w:rsidP="00880785">
      <w:pPr>
        <w:rPr>
          <w:lang w:val="en-US"/>
        </w:rPr>
      </w:pPr>
    </w:p>
    <w:p w:rsidR="002B5AFC" w:rsidRPr="002F4218" w:rsidRDefault="002B5AFC" w:rsidP="00880785">
      <w:pPr>
        <w:pStyle w:val="Prrafodelista"/>
        <w:ind w:left="0"/>
        <w:rPr>
          <w:szCs w:val="20"/>
          <w:lang w:val="en-US"/>
        </w:rPr>
      </w:pPr>
    </w:p>
    <w:p w:rsidR="002B5AFC" w:rsidRPr="002F4218" w:rsidRDefault="002B5AFC" w:rsidP="00880785">
      <w:pPr>
        <w:pStyle w:val="ColorfulList-Accent11"/>
        <w:rPr>
          <w:szCs w:val="20"/>
          <w:lang w:val="en-US"/>
        </w:rPr>
      </w:pPr>
    </w:p>
    <w:sectPr w:rsidR="002B5AFC" w:rsidRPr="002F4218" w:rsidSect="00893961">
      <w:footerReference w:type="even" r:id="rId7"/>
      <w:footerReference w:type="default" r:id="rId8"/>
      <w:pgSz w:w="12240" w:h="15840"/>
      <w:pgMar w:top="1440" w:right="1800" w:bottom="1440" w:left="1800" w:header="708" w:footer="7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A49" w:rsidRDefault="007B0A49">
      <w:r>
        <w:separator/>
      </w:r>
    </w:p>
  </w:endnote>
  <w:endnote w:type="continuationSeparator" w:id="0">
    <w:p w:rsidR="007B0A49" w:rsidRDefault="007B0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Lucida Grande">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586" w:rsidRDefault="009B4586" w:rsidP="00893961">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9B4586" w:rsidRDefault="009B4586" w:rsidP="00893961">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218" w:rsidRPr="002F4218" w:rsidRDefault="002F4218">
    <w:pPr>
      <w:pStyle w:val="Piedepgina"/>
      <w:jc w:val="center"/>
      <w:rPr>
        <w:sz w:val="20"/>
        <w:szCs w:val="20"/>
      </w:rPr>
    </w:pPr>
    <w:r w:rsidRPr="002F4218">
      <w:rPr>
        <w:sz w:val="20"/>
        <w:szCs w:val="20"/>
      </w:rPr>
      <w:fldChar w:fldCharType="begin"/>
    </w:r>
    <w:r w:rsidRPr="002F4218">
      <w:rPr>
        <w:sz w:val="20"/>
        <w:szCs w:val="20"/>
      </w:rPr>
      <w:instrText xml:space="preserve"> PAGE   \* MERGEFORMAT </w:instrText>
    </w:r>
    <w:r w:rsidRPr="002F4218">
      <w:rPr>
        <w:sz w:val="20"/>
        <w:szCs w:val="20"/>
      </w:rPr>
      <w:fldChar w:fldCharType="separate"/>
    </w:r>
    <w:r w:rsidR="00ED2948">
      <w:rPr>
        <w:noProof/>
        <w:sz w:val="20"/>
        <w:szCs w:val="20"/>
      </w:rPr>
      <w:t>7</w:t>
    </w:r>
    <w:r w:rsidRPr="002F4218">
      <w:rPr>
        <w:sz w:val="20"/>
        <w:szCs w:val="20"/>
      </w:rPr>
      <w:fldChar w:fldCharType="end"/>
    </w:r>
  </w:p>
  <w:p w:rsidR="009B4586" w:rsidRDefault="009B4586" w:rsidP="00893961">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A49" w:rsidRDefault="007B0A49">
      <w:r>
        <w:separator/>
      </w:r>
    </w:p>
  </w:footnote>
  <w:footnote w:type="continuationSeparator" w:id="0">
    <w:p w:rsidR="007B0A49" w:rsidRDefault="007B0A49">
      <w:r>
        <w:continuationSeparator/>
      </w:r>
    </w:p>
  </w:footnote>
  <w:footnote w:id="1">
    <w:p w:rsidR="009B4586" w:rsidRPr="00704B76" w:rsidRDefault="009B4586" w:rsidP="00E3169C">
      <w:pPr>
        <w:widowControl w:val="0"/>
        <w:autoSpaceDE w:val="0"/>
        <w:autoSpaceDN w:val="0"/>
        <w:adjustRightInd w:val="0"/>
        <w:spacing w:after="120"/>
        <w:rPr>
          <w:lang w:val="en-US"/>
        </w:rPr>
      </w:pPr>
      <w:r w:rsidRPr="00704B76">
        <w:rPr>
          <w:rStyle w:val="Refdenotaalpie"/>
          <w:sz w:val="16"/>
          <w:szCs w:val="16"/>
          <w:lang w:val="en-US"/>
        </w:rPr>
        <w:footnoteRef/>
      </w:r>
      <w:r w:rsidRPr="00704B76">
        <w:rPr>
          <w:sz w:val="16"/>
          <w:szCs w:val="16"/>
          <w:lang w:val="en-US"/>
        </w:rPr>
        <w:t xml:space="preserve"> </w:t>
      </w:r>
      <w:r w:rsidRPr="00704B76">
        <w:rPr>
          <w:sz w:val="16"/>
          <w:szCs w:val="16"/>
          <w:lang w:val="en-US"/>
        </w:rPr>
        <w:tab/>
        <w:t>The President of the Court, Judge Diego García-Sayán, a Peruvian national, did not take part in the instant case pursuant to Article 19(1) of the Rules of Procedure of the Court, according to which “</w:t>
      </w:r>
      <w:r w:rsidRPr="00704B76">
        <w:rPr>
          <w:rFonts w:cs="Verdana"/>
          <w:sz w:val="16"/>
          <w:szCs w:val="16"/>
          <w:lang w:val="en-US"/>
        </w:rPr>
        <w:t xml:space="preserve">[i]n the cases referred to in Article 44 of the Convention, </w:t>
      </w:r>
      <w:r w:rsidRPr="00704B76">
        <w:rPr>
          <w:sz w:val="16"/>
          <w:szCs w:val="16"/>
          <w:lang w:val="en-US"/>
        </w:rPr>
        <w:t>a judge who is a national of the respondent State shall not be able to participate in the hearing and deliberation of the case.”</w:t>
      </w:r>
    </w:p>
  </w:footnote>
  <w:footnote w:id="2">
    <w:p w:rsidR="009B4586" w:rsidRPr="00704B76" w:rsidRDefault="009B4586" w:rsidP="00E3169C">
      <w:pPr>
        <w:pStyle w:val="Textonotapie"/>
        <w:spacing w:after="120"/>
        <w:rPr>
          <w:lang w:val="en-US"/>
        </w:rPr>
      </w:pPr>
      <w:r w:rsidRPr="00704B76">
        <w:rPr>
          <w:rStyle w:val="Refdenotaalpie"/>
          <w:sz w:val="16"/>
          <w:szCs w:val="16"/>
          <w:lang w:val="en-US"/>
        </w:rPr>
        <w:footnoteRef/>
      </w:r>
      <w:r w:rsidRPr="00704B76">
        <w:rPr>
          <w:szCs w:val="16"/>
          <w:lang w:val="en-US"/>
        </w:rPr>
        <w:t xml:space="preserve"> </w:t>
      </w:r>
      <w:r w:rsidRPr="00704B76">
        <w:rPr>
          <w:szCs w:val="16"/>
          <w:lang w:val="en-US"/>
        </w:rPr>
        <w:tab/>
        <w:t>Rules of Procedure approved by the Court at its eighty-fifth regular session held from November 16 to 28, 2009.</w:t>
      </w:r>
    </w:p>
  </w:footnote>
  <w:footnote w:id="3">
    <w:p w:rsidR="009B4586" w:rsidRPr="00704B76" w:rsidRDefault="009B4586" w:rsidP="00E3169C">
      <w:pPr>
        <w:pStyle w:val="Textonotapie"/>
        <w:spacing w:after="120"/>
        <w:rPr>
          <w:lang w:val="en-US"/>
        </w:rPr>
      </w:pPr>
      <w:r w:rsidRPr="00704B76">
        <w:rPr>
          <w:rStyle w:val="Refdenotaalpie"/>
          <w:sz w:val="16"/>
          <w:szCs w:val="16"/>
          <w:lang w:val="en-US"/>
        </w:rPr>
        <w:footnoteRef/>
      </w:r>
      <w:r w:rsidRPr="00704B76">
        <w:rPr>
          <w:szCs w:val="16"/>
          <w:lang w:val="en-US"/>
        </w:rPr>
        <w:t xml:space="preserve"> </w:t>
      </w:r>
      <w:r w:rsidRPr="00704B76">
        <w:rPr>
          <w:szCs w:val="16"/>
          <w:lang w:val="en-US"/>
        </w:rPr>
        <w:tab/>
      </w:r>
      <w:proofErr w:type="gramStart"/>
      <w:r w:rsidRPr="00704B76">
        <w:rPr>
          <w:i/>
          <w:szCs w:val="16"/>
          <w:lang w:val="en-US"/>
        </w:rPr>
        <w:t xml:space="preserve">Cf. Case of Loayza Tamayo v. </w:t>
      </w:r>
      <w:smartTag w:uri="urn:schemas-microsoft-com:office:smarttags" w:element="country-region">
        <w:smartTag w:uri="urn:schemas-microsoft-com:office:smarttags" w:element="place">
          <w:r w:rsidRPr="00704B76">
            <w:rPr>
              <w:i/>
              <w:szCs w:val="16"/>
              <w:lang w:val="en-US"/>
            </w:rPr>
            <w:t>Peru</w:t>
          </w:r>
        </w:smartTag>
      </w:smartTag>
      <w:r w:rsidRPr="00704B76">
        <w:rPr>
          <w:szCs w:val="16"/>
          <w:lang w:val="en-US"/>
        </w:rPr>
        <w:t>.</w:t>
      </w:r>
      <w:proofErr w:type="gramEnd"/>
      <w:r w:rsidRPr="00704B76">
        <w:rPr>
          <w:szCs w:val="16"/>
          <w:lang w:val="en-US"/>
        </w:rPr>
        <w:t xml:space="preserve"> </w:t>
      </w:r>
      <w:proofErr w:type="gramStart"/>
      <w:r w:rsidRPr="00704B76">
        <w:rPr>
          <w:i/>
          <w:szCs w:val="16"/>
          <w:lang w:val="en-US"/>
        </w:rPr>
        <w:t>Interpretation of the Judgment on merits</w:t>
      </w:r>
      <w:r w:rsidRPr="00704B76">
        <w:rPr>
          <w:szCs w:val="16"/>
          <w:lang w:val="en-US"/>
        </w:rPr>
        <w:t>.</w:t>
      </w:r>
      <w:proofErr w:type="gramEnd"/>
      <w:r w:rsidRPr="00704B76">
        <w:rPr>
          <w:szCs w:val="16"/>
          <w:lang w:val="en-US"/>
        </w:rPr>
        <w:t xml:space="preserve"> Order of the Inter-American Court of Human Rights of March 8, 1998. Series C No. 47, para. </w:t>
      </w:r>
      <w:proofErr w:type="gramStart"/>
      <w:r w:rsidRPr="00704B76">
        <w:rPr>
          <w:szCs w:val="16"/>
          <w:lang w:val="en-US"/>
        </w:rPr>
        <w:t xml:space="preserve">16; </w:t>
      </w:r>
      <w:r w:rsidRPr="00704B76">
        <w:rPr>
          <w:bCs/>
          <w:i/>
          <w:szCs w:val="16"/>
          <w:lang w:val="en-US"/>
        </w:rPr>
        <w:t xml:space="preserve">Case of Fernández Ortega et al. v. </w:t>
      </w:r>
      <w:smartTag w:uri="urn:schemas-microsoft-com:office:smarttags" w:element="country-region">
        <w:smartTag w:uri="urn:schemas-microsoft-com:office:smarttags" w:element="place">
          <w:r w:rsidRPr="00704B76">
            <w:rPr>
              <w:bCs/>
              <w:i/>
              <w:szCs w:val="16"/>
              <w:lang w:val="en-US"/>
            </w:rPr>
            <w:t>Mexico</w:t>
          </w:r>
        </w:smartTag>
      </w:smartTag>
      <w:r w:rsidRPr="00704B76">
        <w:rPr>
          <w:bCs/>
          <w:i/>
          <w:szCs w:val="16"/>
          <w:lang w:val="en-US"/>
        </w:rPr>
        <w:t>.</w:t>
      </w:r>
      <w:proofErr w:type="gramEnd"/>
      <w:r w:rsidRPr="00704B76">
        <w:rPr>
          <w:b/>
          <w:bCs/>
          <w:i/>
          <w:szCs w:val="16"/>
          <w:lang w:val="en-US"/>
        </w:rPr>
        <w:t> </w:t>
      </w:r>
      <w:proofErr w:type="gramStart"/>
      <w:r w:rsidRPr="00704B76">
        <w:rPr>
          <w:i/>
          <w:szCs w:val="16"/>
          <w:lang w:val="en-US"/>
        </w:rPr>
        <w:t>Interpretation of the judgment on preliminary objection, merits, reparations and costs.</w:t>
      </w:r>
      <w:proofErr w:type="gramEnd"/>
      <w:r w:rsidRPr="00704B76">
        <w:rPr>
          <w:i/>
          <w:szCs w:val="16"/>
          <w:lang w:val="en-US"/>
        </w:rPr>
        <w:t xml:space="preserve"> </w:t>
      </w:r>
      <w:r w:rsidRPr="00704B76">
        <w:rPr>
          <w:szCs w:val="16"/>
          <w:lang w:val="en-US"/>
        </w:rPr>
        <w:t xml:space="preserve">Judgment of May 15, 2011. Series C No. 226, para. </w:t>
      </w:r>
      <w:proofErr w:type="gramStart"/>
      <w:r w:rsidRPr="00704B76">
        <w:rPr>
          <w:szCs w:val="16"/>
          <w:lang w:val="en-US"/>
        </w:rPr>
        <w:t>11,</w:t>
      </w:r>
      <w:proofErr w:type="gramEnd"/>
      <w:r w:rsidRPr="00704B76">
        <w:rPr>
          <w:szCs w:val="16"/>
          <w:lang w:val="en-US"/>
        </w:rPr>
        <w:t xml:space="preserve"> and </w:t>
      </w:r>
      <w:r w:rsidRPr="00704B76">
        <w:rPr>
          <w:bCs/>
          <w:i/>
          <w:lang w:val="en-US"/>
        </w:rPr>
        <w:t xml:space="preserve">Case of </w:t>
      </w:r>
      <w:smartTag w:uri="urn:schemas-microsoft-com:office:smarttags" w:element="City">
        <w:r w:rsidRPr="00704B76">
          <w:rPr>
            <w:bCs/>
            <w:i/>
            <w:lang w:val="en-US"/>
          </w:rPr>
          <w:t>Salvador</w:t>
        </w:r>
      </w:smartTag>
      <w:r w:rsidRPr="00704B76">
        <w:rPr>
          <w:bCs/>
          <w:i/>
          <w:lang w:val="en-US"/>
        </w:rPr>
        <w:t xml:space="preserve"> Chiriboga v. </w:t>
      </w:r>
      <w:smartTag w:uri="urn:schemas-microsoft-com:office:smarttags" w:element="country-region">
        <w:smartTag w:uri="urn:schemas-microsoft-com:office:smarttags" w:element="place">
          <w:r w:rsidRPr="00704B76">
            <w:rPr>
              <w:bCs/>
              <w:i/>
              <w:lang w:val="en-US"/>
            </w:rPr>
            <w:t>Ecuador</w:t>
          </w:r>
        </w:smartTag>
      </w:smartTag>
      <w:r w:rsidRPr="00704B76">
        <w:rPr>
          <w:bCs/>
          <w:i/>
          <w:lang w:val="en-US"/>
        </w:rPr>
        <w:t xml:space="preserve">. </w:t>
      </w:r>
      <w:proofErr w:type="gramStart"/>
      <w:r w:rsidRPr="00704B76">
        <w:rPr>
          <w:i/>
          <w:lang w:val="en-US"/>
        </w:rPr>
        <w:t>Interpretation of the judgment on reparations and costs.</w:t>
      </w:r>
      <w:proofErr w:type="gramEnd"/>
      <w:r w:rsidRPr="00704B76">
        <w:rPr>
          <w:lang w:val="en-US"/>
        </w:rPr>
        <w:t xml:space="preserve"> </w:t>
      </w:r>
      <w:proofErr w:type="gramStart"/>
      <w:r w:rsidRPr="00704B76">
        <w:rPr>
          <w:lang w:val="en-US"/>
        </w:rPr>
        <w:t>Judgment of August 29, 2011 Series C No. 230, para.</w:t>
      </w:r>
      <w:proofErr w:type="gramEnd"/>
      <w:r w:rsidRPr="00704B76">
        <w:rPr>
          <w:lang w:val="en-US"/>
        </w:rPr>
        <w:t xml:space="preserve"> 11.</w:t>
      </w:r>
    </w:p>
  </w:footnote>
  <w:footnote w:id="4">
    <w:p w:rsidR="009B4586" w:rsidRPr="00704B76" w:rsidRDefault="009B4586" w:rsidP="00E3169C">
      <w:pPr>
        <w:pStyle w:val="Textonotapie"/>
        <w:spacing w:after="120"/>
        <w:rPr>
          <w:lang w:val="en-US"/>
        </w:rPr>
      </w:pPr>
      <w:r w:rsidRPr="00704B76">
        <w:rPr>
          <w:rStyle w:val="Refdenotaalpie"/>
          <w:sz w:val="16"/>
          <w:szCs w:val="16"/>
          <w:lang w:val="en-US"/>
        </w:rPr>
        <w:footnoteRef/>
      </w:r>
      <w:r w:rsidRPr="00704B76">
        <w:rPr>
          <w:szCs w:val="16"/>
          <w:lang w:val="en-US"/>
        </w:rPr>
        <w:t xml:space="preserve"> </w:t>
      </w:r>
      <w:r w:rsidRPr="00704B76">
        <w:rPr>
          <w:szCs w:val="16"/>
          <w:lang w:val="en-US"/>
        </w:rPr>
        <w:tab/>
      </w:r>
      <w:proofErr w:type="gramStart"/>
      <w:r w:rsidRPr="00704B76">
        <w:rPr>
          <w:i/>
          <w:szCs w:val="16"/>
          <w:lang w:val="en-US"/>
        </w:rPr>
        <w:t xml:space="preserve">Cf. Case of Loayza Tamayo v. </w:t>
      </w:r>
      <w:smartTag w:uri="urn:schemas-microsoft-com:office:smarttags" w:element="country-region">
        <w:smartTag w:uri="urn:schemas-microsoft-com:office:smarttags" w:element="place">
          <w:r w:rsidRPr="00704B76">
            <w:rPr>
              <w:i/>
              <w:szCs w:val="16"/>
              <w:lang w:val="en-US"/>
            </w:rPr>
            <w:t>Peru</w:t>
          </w:r>
        </w:smartTag>
      </w:smartTag>
      <w:r w:rsidRPr="00704B76">
        <w:rPr>
          <w:szCs w:val="16"/>
          <w:lang w:val="en-US"/>
        </w:rPr>
        <w:t>.</w:t>
      </w:r>
      <w:proofErr w:type="gramEnd"/>
      <w:r w:rsidRPr="00704B76">
        <w:rPr>
          <w:szCs w:val="16"/>
          <w:lang w:val="en-US"/>
        </w:rPr>
        <w:t xml:space="preserve"> I</w:t>
      </w:r>
      <w:r w:rsidRPr="00704B76">
        <w:rPr>
          <w:i/>
          <w:szCs w:val="16"/>
          <w:lang w:val="en-US"/>
        </w:rPr>
        <w:t>nterpretation of the judgment on merits, supra</w:t>
      </w:r>
      <w:r w:rsidRPr="00704B76">
        <w:rPr>
          <w:szCs w:val="16"/>
          <w:lang w:val="en-US"/>
        </w:rPr>
        <w:t xml:space="preserve"> note 1, para. </w:t>
      </w:r>
      <w:proofErr w:type="gramStart"/>
      <w:r w:rsidRPr="00704B76">
        <w:rPr>
          <w:szCs w:val="16"/>
          <w:lang w:val="en-US"/>
        </w:rPr>
        <w:t xml:space="preserve">16; </w:t>
      </w:r>
      <w:r w:rsidRPr="00704B76">
        <w:rPr>
          <w:bCs/>
          <w:i/>
          <w:szCs w:val="16"/>
          <w:lang w:val="en-US"/>
        </w:rPr>
        <w:t xml:space="preserve">Case of Fernández Ortega et al. v. </w:t>
      </w:r>
      <w:smartTag w:uri="urn:schemas-microsoft-com:office:smarttags" w:element="country-region">
        <w:smartTag w:uri="urn:schemas-microsoft-com:office:smarttags" w:element="place">
          <w:r w:rsidRPr="00704B76">
            <w:rPr>
              <w:bCs/>
              <w:i/>
              <w:szCs w:val="16"/>
              <w:lang w:val="en-US"/>
            </w:rPr>
            <w:t>Mexico</w:t>
          </w:r>
        </w:smartTag>
      </w:smartTag>
      <w:r w:rsidRPr="00704B76">
        <w:rPr>
          <w:bCs/>
          <w:i/>
          <w:szCs w:val="16"/>
          <w:lang w:val="en-US"/>
        </w:rPr>
        <w:t>.</w:t>
      </w:r>
      <w:proofErr w:type="gramEnd"/>
      <w:r w:rsidRPr="00704B76">
        <w:rPr>
          <w:b/>
          <w:bCs/>
          <w:i/>
          <w:szCs w:val="16"/>
          <w:lang w:val="en-US"/>
        </w:rPr>
        <w:t> </w:t>
      </w:r>
      <w:r w:rsidRPr="00704B76">
        <w:rPr>
          <w:i/>
          <w:szCs w:val="16"/>
          <w:lang w:val="en-US"/>
        </w:rPr>
        <w:t>Interpretation of the judgment on preliminary objection, merits, reparations and costs</w:t>
      </w:r>
      <w:r w:rsidRPr="00704B76">
        <w:rPr>
          <w:szCs w:val="16"/>
          <w:lang w:val="en-US"/>
        </w:rPr>
        <w:t xml:space="preserve">, </w:t>
      </w:r>
      <w:r w:rsidRPr="00704B76">
        <w:rPr>
          <w:i/>
          <w:szCs w:val="16"/>
          <w:lang w:val="en-US"/>
        </w:rPr>
        <w:t>supra</w:t>
      </w:r>
      <w:r w:rsidRPr="00704B76">
        <w:rPr>
          <w:szCs w:val="16"/>
          <w:lang w:val="en-US"/>
        </w:rPr>
        <w:t xml:space="preserve"> note 1, para. </w:t>
      </w:r>
      <w:proofErr w:type="gramStart"/>
      <w:r w:rsidRPr="00704B76">
        <w:rPr>
          <w:szCs w:val="16"/>
          <w:lang w:val="en-US"/>
        </w:rPr>
        <w:t>11,</w:t>
      </w:r>
      <w:proofErr w:type="gramEnd"/>
      <w:r w:rsidRPr="00704B76">
        <w:rPr>
          <w:szCs w:val="16"/>
          <w:lang w:val="en-US"/>
        </w:rPr>
        <w:t xml:space="preserve"> and </w:t>
      </w:r>
      <w:r w:rsidRPr="00704B76">
        <w:rPr>
          <w:bCs/>
          <w:i/>
          <w:lang w:val="en-US"/>
        </w:rPr>
        <w:t xml:space="preserve">Case of </w:t>
      </w:r>
      <w:smartTag w:uri="urn:schemas-microsoft-com:office:smarttags" w:element="City">
        <w:r w:rsidRPr="00704B76">
          <w:rPr>
            <w:bCs/>
            <w:i/>
            <w:lang w:val="en-US"/>
          </w:rPr>
          <w:t>Salvador</w:t>
        </w:r>
      </w:smartTag>
      <w:r w:rsidRPr="00704B76">
        <w:rPr>
          <w:bCs/>
          <w:i/>
          <w:lang w:val="en-US"/>
        </w:rPr>
        <w:t xml:space="preserve"> Chiriboga v. </w:t>
      </w:r>
      <w:smartTag w:uri="urn:schemas-microsoft-com:office:smarttags" w:element="country-region">
        <w:smartTag w:uri="urn:schemas-microsoft-com:office:smarttags" w:element="place">
          <w:r w:rsidRPr="00704B76">
            <w:rPr>
              <w:bCs/>
              <w:i/>
              <w:lang w:val="en-US"/>
            </w:rPr>
            <w:t>Ecuador</w:t>
          </w:r>
        </w:smartTag>
      </w:smartTag>
      <w:r w:rsidRPr="00704B76">
        <w:rPr>
          <w:bCs/>
          <w:i/>
          <w:lang w:val="en-US"/>
        </w:rPr>
        <w:t xml:space="preserve">. </w:t>
      </w:r>
      <w:r w:rsidRPr="00704B76">
        <w:rPr>
          <w:i/>
          <w:lang w:val="en-US"/>
        </w:rPr>
        <w:t xml:space="preserve">Interpretation of the judgment on reparations and costs, </w:t>
      </w:r>
      <w:r w:rsidRPr="00704B76">
        <w:rPr>
          <w:i/>
          <w:szCs w:val="16"/>
          <w:lang w:val="en-US"/>
        </w:rPr>
        <w:t>supra</w:t>
      </w:r>
      <w:r w:rsidRPr="00704B76">
        <w:rPr>
          <w:szCs w:val="16"/>
          <w:lang w:val="en-US"/>
        </w:rPr>
        <w:t xml:space="preserve"> note 1, </w:t>
      </w:r>
      <w:r w:rsidRPr="00704B76">
        <w:rPr>
          <w:lang w:val="en-US"/>
        </w:rPr>
        <w:t>para. 11.</w:t>
      </w:r>
    </w:p>
  </w:footnote>
  <w:footnote w:id="5">
    <w:p w:rsidR="009B4586" w:rsidRPr="00704B76" w:rsidRDefault="009B4586" w:rsidP="008A0111">
      <w:pPr>
        <w:pStyle w:val="Textonotapie"/>
        <w:rPr>
          <w:lang w:val="en-US"/>
        </w:rPr>
      </w:pPr>
      <w:r w:rsidRPr="00704B76">
        <w:rPr>
          <w:rStyle w:val="Refdenotaalpie"/>
          <w:lang w:val="en-US"/>
        </w:rPr>
        <w:footnoteRef/>
      </w:r>
      <w:r w:rsidRPr="00704B76">
        <w:rPr>
          <w:lang w:val="en-US"/>
        </w:rPr>
        <w:t xml:space="preserve"> </w:t>
      </w:r>
      <w:r w:rsidRPr="00704B76">
        <w:rPr>
          <w:lang w:val="en-US"/>
        </w:rPr>
        <w:tab/>
      </w:r>
      <w:proofErr w:type="gramStart"/>
      <w:r w:rsidRPr="00704B76">
        <w:rPr>
          <w:i/>
          <w:lang w:val="en-US"/>
        </w:rPr>
        <w:t>C</w:t>
      </w:r>
      <w:r>
        <w:rPr>
          <w:i/>
          <w:lang w:val="en-US"/>
        </w:rPr>
        <w:t>f</w:t>
      </w:r>
      <w:r w:rsidRPr="00704B76">
        <w:rPr>
          <w:i/>
          <w:lang w:val="en-US"/>
        </w:rPr>
        <w:t>.</w:t>
      </w:r>
      <w:r w:rsidRPr="00704B76">
        <w:rPr>
          <w:lang w:val="en-US"/>
        </w:rPr>
        <w:t xml:space="preserve"> </w:t>
      </w:r>
      <w:r w:rsidRPr="00704B76">
        <w:rPr>
          <w:bCs/>
          <w:i/>
          <w:lang w:val="en-US"/>
        </w:rPr>
        <w:t xml:space="preserve">Case of </w:t>
      </w:r>
      <w:smartTag w:uri="urn:schemas-microsoft-com:office:smarttags" w:element="City">
        <w:r w:rsidRPr="00704B76">
          <w:rPr>
            <w:bCs/>
            <w:i/>
            <w:lang w:val="en-US"/>
          </w:rPr>
          <w:t>Salvador</w:t>
        </w:r>
      </w:smartTag>
      <w:r w:rsidRPr="00704B76">
        <w:rPr>
          <w:bCs/>
          <w:i/>
          <w:lang w:val="en-US"/>
        </w:rPr>
        <w:t xml:space="preserve"> Chiriboga v. </w:t>
      </w:r>
      <w:smartTag w:uri="urn:schemas-microsoft-com:office:smarttags" w:element="country-region">
        <w:smartTag w:uri="urn:schemas-microsoft-com:office:smarttags" w:element="place">
          <w:r w:rsidRPr="00704B76">
            <w:rPr>
              <w:bCs/>
              <w:i/>
              <w:lang w:val="en-US"/>
            </w:rPr>
            <w:t>Ecuador</w:t>
          </w:r>
        </w:smartTag>
      </w:smartTag>
      <w:r w:rsidRPr="00704B76">
        <w:rPr>
          <w:bCs/>
          <w:i/>
          <w:lang w:val="en-US"/>
        </w:rPr>
        <w:t>.</w:t>
      </w:r>
      <w:proofErr w:type="gramEnd"/>
      <w:r w:rsidRPr="00704B76">
        <w:rPr>
          <w:bCs/>
          <w:i/>
          <w:lang w:val="en-US"/>
        </w:rPr>
        <w:t xml:space="preserve"> </w:t>
      </w:r>
      <w:r w:rsidRPr="00704B76">
        <w:rPr>
          <w:i/>
          <w:lang w:val="en-US"/>
        </w:rPr>
        <w:t>Interpretation of the judgment on reparations and costs</w:t>
      </w:r>
      <w:r w:rsidRPr="00704B76">
        <w:rPr>
          <w:lang w:val="en-US"/>
        </w:rPr>
        <w:t xml:space="preserve">, </w:t>
      </w:r>
      <w:r w:rsidRPr="00704B76">
        <w:rPr>
          <w:i/>
          <w:szCs w:val="16"/>
          <w:lang w:val="en-US"/>
        </w:rPr>
        <w:t>supra</w:t>
      </w:r>
      <w:r w:rsidRPr="00704B76">
        <w:rPr>
          <w:szCs w:val="16"/>
          <w:lang w:val="en-US"/>
        </w:rPr>
        <w:t xml:space="preserve"> note 1</w:t>
      </w:r>
      <w:r w:rsidRPr="00704B76">
        <w:rPr>
          <w:lang w:val="en-US"/>
        </w:rPr>
        <w:t>, para. 29.</w:t>
      </w:r>
    </w:p>
    <w:p w:rsidR="009B4586" w:rsidRPr="00704B76" w:rsidRDefault="009B4586" w:rsidP="008A0111">
      <w:pPr>
        <w:pStyle w:val="Textonotapie"/>
        <w:rPr>
          <w:lang w:val="en-US"/>
        </w:rPr>
      </w:pPr>
    </w:p>
  </w:footnote>
  <w:footnote w:id="6">
    <w:p w:rsidR="009B4586" w:rsidRPr="00704B76" w:rsidRDefault="009B4586" w:rsidP="005066B2">
      <w:pPr>
        <w:pStyle w:val="Textonotapie"/>
        <w:spacing w:after="120"/>
        <w:rPr>
          <w:lang w:val="en-US"/>
        </w:rPr>
      </w:pPr>
      <w:r w:rsidRPr="00704B76">
        <w:rPr>
          <w:rStyle w:val="Refdenotaalpie"/>
          <w:sz w:val="16"/>
          <w:szCs w:val="16"/>
          <w:lang w:val="en-US"/>
        </w:rPr>
        <w:footnoteRef/>
      </w:r>
      <w:r w:rsidRPr="00704B76">
        <w:rPr>
          <w:szCs w:val="16"/>
          <w:lang w:val="en-US"/>
        </w:rPr>
        <w:t xml:space="preserve"> </w:t>
      </w:r>
      <w:r w:rsidRPr="00704B76">
        <w:rPr>
          <w:szCs w:val="16"/>
          <w:lang w:val="en-US"/>
        </w:rPr>
        <w:tab/>
      </w:r>
      <w:proofErr w:type="gramStart"/>
      <w:r w:rsidRPr="00704B76">
        <w:rPr>
          <w:i/>
          <w:szCs w:val="16"/>
          <w:lang w:val="en-US"/>
        </w:rPr>
        <w:t xml:space="preserve">Cf. Case of Loayza Tamayo v. </w:t>
      </w:r>
      <w:smartTag w:uri="urn:schemas-microsoft-com:office:smarttags" w:element="country-region">
        <w:smartTag w:uri="urn:schemas-microsoft-com:office:smarttags" w:element="place">
          <w:r w:rsidRPr="00704B76">
            <w:rPr>
              <w:i/>
              <w:szCs w:val="16"/>
              <w:lang w:val="en-US"/>
            </w:rPr>
            <w:t>Peru</w:t>
          </w:r>
        </w:smartTag>
      </w:smartTag>
      <w:r w:rsidRPr="00704B76">
        <w:rPr>
          <w:szCs w:val="16"/>
          <w:lang w:val="en-US"/>
        </w:rPr>
        <w:t>.</w:t>
      </w:r>
      <w:proofErr w:type="gramEnd"/>
      <w:r w:rsidRPr="00704B76">
        <w:rPr>
          <w:szCs w:val="16"/>
          <w:lang w:val="en-US"/>
        </w:rPr>
        <w:t xml:space="preserve"> </w:t>
      </w:r>
      <w:proofErr w:type="gramStart"/>
      <w:r w:rsidRPr="00704B76">
        <w:rPr>
          <w:i/>
          <w:szCs w:val="16"/>
          <w:lang w:val="en-US"/>
        </w:rPr>
        <w:t>Interpretation of the Judgment on reparations and costs.</w:t>
      </w:r>
      <w:proofErr w:type="gramEnd"/>
      <w:r w:rsidRPr="00704B76">
        <w:rPr>
          <w:szCs w:val="16"/>
          <w:lang w:val="en-US"/>
        </w:rPr>
        <w:t xml:space="preserve"> </w:t>
      </w:r>
      <w:proofErr w:type="gramStart"/>
      <w:r w:rsidRPr="00704B76">
        <w:rPr>
          <w:szCs w:val="16"/>
          <w:lang w:val="en-US"/>
        </w:rPr>
        <w:t>Judgment of the Inter-American Court of Human Rights of June 3, 1999.</w:t>
      </w:r>
      <w:proofErr w:type="gramEnd"/>
      <w:r w:rsidRPr="00704B76">
        <w:rPr>
          <w:szCs w:val="16"/>
          <w:lang w:val="en-US"/>
        </w:rPr>
        <w:t xml:space="preserve"> Series C No. 53, para. </w:t>
      </w:r>
      <w:proofErr w:type="gramStart"/>
      <w:r w:rsidRPr="00704B76">
        <w:rPr>
          <w:szCs w:val="16"/>
          <w:lang w:val="en-US"/>
        </w:rPr>
        <w:t xml:space="preserve">15; </w:t>
      </w:r>
      <w:r w:rsidRPr="00704B76">
        <w:rPr>
          <w:bCs/>
          <w:i/>
          <w:szCs w:val="16"/>
          <w:lang w:val="en-US"/>
        </w:rPr>
        <w:t xml:space="preserve">Case of Fernández Ortega et al. v. </w:t>
      </w:r>
      <w:smartTag w:uri="urn:schemas-microsoft-com:office:smarttags" w:element="country-region">
        <w:smartTag w:uri="urn:schemas-microsoft-com:office:smarttags" w:element="place">
          <w:r w:rsidRPr="00704B76">
            <w:rPr>
              <w:bCs/>
              <w:i/>
              <w:szCs w:val="16"/>
              <w:lang w:val="en-US"/>
            </w:rPr>
            <w:t>Mexico</w:t>
          </w:r>
        </w:smartTag>
      </w:smartTag>
      <w:r w:rsidRPr="00704B76">
        <w:rPr>
          <w:bCs/>
          <w:i/>
          <w:szCs w:val="16"/>
          <w:lang w:val="en-US"/>
        </w:rPr>
        <w:t>.</w:t>
      </w:r>
      <w:proofErr w:type="gramEnd"/>
      <w:r w:rsidRPr="00704B76">
        <w:rPr>
          <w:b/>
          <w:bCs/>
          <w:i/>
          <w:szCs w:val="16"/>
          <w:lang w:val="en-US"/>
        </w:rPr>
        <w:t> </w:t>
      </w:r>
      <w:r w:rsidRPr="00704B76">
        <w:rPr>
          <w:i/>
          <w:szCs w:val="16"/>
          <w:lang w:val="en-US"/>
        </w:rPr>
        <w:t>Interpretation of the judgment on preliminary objection, merits, reparations and costs</w:t>
      </w:r>
      <w:r w:rsidRPr="00704B76">
        <w:rPr>
          <w:szCs w:val="16"/>
          <w:lang w:val="en-US"/>
        </w:rPr>
        <w:t xml:space="preserve">, </w:t>
      </w:r>
      <w:r w:rsidRPr="00704B76">
        <w:rPr>
          <w:i/>
          <w:szCs w:val="16"/>
          <w:lang w:val="en-US"/>
        </w:rPr>
        <w:t>supra</w:t>
      </w:r>
      <w:r w:rsidRPr="00704B76">
        <w:rPr>
          <w:szCs w:val="16"/>
          <w:lang w:val="en-US"/>
        </w:rPr>
        <w:t xml:space="preserve"> note 1, para. </w:t>
      </w:r>
      <w:proofErr w:type="gramStart"/>
      <w:r w:rsidRPr="00704B76">
        <w:rPr>
          <w:szCs w:val="16"/>
          <w:lang w:val="en-US"/>
        </w:rPr>
        <w:t>12,</w:t>
      </w:r>
      <w:proofErr w:type="gramEnd"/>
      <w:r w:rsidRPr="00704B76">
        <w:rPr>
          <w:szCs w:val="16"/>
          <w:lang w:val="en-US"/>
        </w:rPr>
        <w:t xml:space="preserve"> and </w:t>
      </w:r>
      <w:r w:rsidRPr="00704B76">
        <w:rPr>
          <w:bCs/>
          <w:i/>
          <w:lang w:val="en-US"/>
        </w:rPr>
        <w:t xml:space="preserve">Case of </w:t>
      </w:r>
      <w:smartTag w:uri="urn:schemas-microsoft-com:office:smarttags" w:element="City">
        <w:r w:rsidRPr="00704B76">
          <w:rPr>
            <w:bCs/>
            <w:i/>
            <w:lang w:val="en-US"/>
          </w:rPr>
          <w:t>Salvador</w:t>
        </w:r>
      </w:smartTag>
      <w:r w:rsidRPr="00704B76">
        <w:rPr>
          <w:bCs/>
          <w:i/>
          <w:lang w:val="en-US"/>
        </w:rPr>
        <w:t xml:space="preserve"> Chiriboga v. </w:t>
      </w:r>
      <w:smartTag w:uri="urn:schemas-microsoft-com:office:smarttags" w:element="country-region">
        <w:smartTag w:uri="urn:schemas-microsoft-com:office:smarttags" w:element="place">
          <w:r w:rsidRPr="00704B76">
            <w:rPr>
              <w:bCs/>
              <w:i/>
              <w:lang w:val="en-US"/>
            </w:rPr>
            <w:t>Ecuador</w:t>
          </w:r>
        </w:smartTag>
      </w:smartTag>
      <w:r w:rsidRPr="00704B76">
        <w:rPr>
          <w:bCs/>
          <w:i/>
          <w:lang w:val="en-US"/>
        </w:rPr>
        <w:t xml:space="preserve">. </w:t>
      </w:r>
      <w:r w:rsidRPr="00704B76">
        <w:rPr>
          <w:i/>
          <w:lang w:val="en-US"/>
        </w:rPr>
        <w:t>Interpretation of the judgment on reparations and costs</w:t>
      </w:r>
      <w:r w:rsidRPr="00704B76">
        <w:rPr>
          <w:lang w:val="en-US"/>
        </w:rPr>
        <w:t xml:space="preserve">, </w:t>
      </w:r>
      <w:r w:rsidRPr="00704B76">
        <w:rPr>
          <w:i/>
          <w:szCs w:val="16"/>
          <w:lang w:val="en-US"/>
        </w:rPr>
        <w:t>supra</w:t>
      </w:r>
      <w:r w:rsidRPr="00704B76">
        <w:rPr>
          <w:szCs w:val="16"/>
          <w:lang w:val="en-US"/>
        </w:rPr>
        <w:t xml:space="preserve"> note 1,</w:t>
      </w:r>
      <w:r w:rsidRPr="00704B76">
        <w:rPr>
          <w:lang w:val="en-US"/>
        </w:rPr>
        <w:t xml:space="preserve"> para. 30.</w:t>
      </w:r>
    </w:p>
  </w:footnote>
  <w:footnote w:id="7">
    <w:p w:rsidR="009B4586" w:rsidRPr="00704B76" w:rsidRDefault="009B4586" w:rsidP="008A0111">
      <w:pPr>
        <w:pStyle w:val="Textonotapie"/>
        <w:spacing w:after="120"/>
        <w:rPr>
          <w:lang w:val="en-US"/>
        </w:rPr>
      </w:pPr>
      <w:r w:rsidRPr="00704B76">
        <w:rPr>
          <w:rStyle w:val="Refdenotaalpie"/>
          <w:szCs w:val="16"/>
          <w:lang w:val="en-US"/>
        </w:rPr>
        <w:footnoteRef/>
      </w:r>
      <w:r w:rsidRPr="00704B76">
        <w:rPr>
          <w:szCs w:val="16"/>
          <w:lang w:val="en-US"/>
        </w:rPr>
        <w:t xml:space="preserve"> </w:t>
      </w:r>
      <w:r w:rsidRPr="00704B76">
        <w:rPr>
          <w:szCs w:val="16"/>
          <w:lang w:val="en-US"/>
        </w:rPr>
        <w:tab/>
      </w:r>
      <w:proofErr w:type="gramStart"/>
      <w:r w:rsidRPr="00704B76">
        <w:rPr>
          <w:i/>
          <w:szCs w:val="16"/>
          <w:lang w:val="en-US"/>
        </w:rPr>
        <w:t xml:space="preserve">Cf. Case of Loayza Tamayo v. </w:t>
      </w:r>
      <w:smartTag w:uri="urn:schemas-microsoft-com:office:smarttags" w:element="country-region">
        <w:smartTag w:uri="urn:schemas-microsoft-com:office:smarttags" w:element="place">
          <w:r w:rsidRPr="00704B76">
            <w:rPr>
              <w:i/>
              <w:szCs w:val="16"/>
              <w:lang w:val="en-US"/>
            </w:rPr>
            <w:t>Peru</w:t>
          </w:r>
        </w:smartTag>
      </w:smartTag>
      <w:r w:rsidRPr="00704B76">
        <w:rPr>
          <w:szCs w:val="16"/>
          <w:lang w:val="en-US"/>
        </w:rPr>
        <w:t>.</w:t>
      </w:r>
      <w:proofErr w:type="gramEnd"/>
      <w:r w:rsidRPr="00704B76">
        <w:rPr>
          <w:szCs w:val="16"/>
          <w:lang w:val="en-US"/>
        </w:rPr>
        <w:t xml:space="preserve"> </w:t>
      </w:r>
      <w:r w:rsidRPr="00704B76">
        <w:rPr>
          <w:i/>
          <w:szCs w:val="16"/>
          <w:lang w:val="en-US"/>
        </w:rPr>
        <w:t>Interpretation of the judgment on merits</w:t>
      </w:r>
      <w:r w:rsidRPr="00704B76">
        <w:rPr>
          <w:szCs w:val="16"/>
          <w:lang w:val="en-US"/>
        </w:rPr>
        <w:t xml:space="preserve">, </w:t>
      </w:r>
      <w:r w:rsidRPr="00704B76">
        <w:rPr>
          <w:i/>
          <w:szCs w:val="16"/>
          <w:lang w:val="en-US"/>
        </w:rPr>
        <w:t xml:space="preserve">supra </w:t>
      </w:r>
      <w:r w:rsidRPr="00704B76">
        <w:rPr>
          <w:szCs w:val="16"/>
          <w:lang w:val="en-US"/>
        </w:rPr>
        <w:t>note</w:t>
      </w:r>
      <w:r w:rsidRPr="00704B76" w:rsidDel="00923431">
        <w:rPr>
          <w:szCs w:val="16"/>
          <w:lang w:val="en-US"/>
        </w:rPr>
        <w:t xml:space="preserve"> </w:t>
      </w:r>
      <w:r w:rsidRPr="00704B76">
        <w:rPr>
          <w:szCs w:val="16"/>
          <w:lang w:val="en-US"/>
        </w:rPr>
        <w:t xml:space="preserve">2, para. </w:t>
      </w:r>
      <w:proofErr w:type="gramStart"/>
      <w:r w:rsidRPr="00704B76">
        <w:rPr>
          <w:szCs w:val="16"/>
          <w:lang w:val="en-US"/>
        </w:rPr>
        <w:t xml:space="preserve">16; </w:t>
      </w:r>
      <w:r w:rsidRPr="00704B76">
        <w:rPr>
          <w:i/>
          <w:szCs w:val="16"/>
          <w:lang w:val="en-US"/>
        </w:rPr>
        <w:t xml:space="preserve">Case of Fernández Ortega et al. v. </w:t>
      </w:r>
      <w:smartTag w:uri="urn:schemas-microsoft-com:office:smarttags" w:element="country-region">
        <w:smartTag w:uri="urn:schemas-microsoft-com:office:smarttags" w:element="place">
          <w:r w:rsidRPr="00704B76">
            <w:rPr>
              <w:i/>
              <w:szCs w:val="16"/>
              <w:lang w:val="en-US"/>
            </w:rPr>
            <w:t>Mexico</w:t>
          </w:r>
        </w:smartTag>
      </w:smartTag>
      <w:r w:rsidRPr="00704B76">
        <w:rPr>
          <w:i/>
          <w:szCs w:val="16"/>
          <w:lang w:val="en-US"/>
        </w:rPr>
        <w:t>.</w:t>
      </w:r>
      <w:proofErr w:type="gramEnd"/>
      <w:r w:rsidRPr="00704B76">
        <w:rPr>
          <w:i/>
          <w:szCs w:val="16"/>
          <w:lang w:val="en-US"/>
        </w:rPr>
        <w:t xml:space="preserve"> Interpretation of the judgment on preliminary objection, merits, reparations and costs</w:t>
      </w:r>
      <w:r w:rsidRPr="00704B76">
        <w:rPr>
          <w:szCs w:val="16"/>
          <w:lang w:val="en-US"/>
        </w:rPr>
        <w:t>,</w:t>
      </w:r>
      <w:r w:rsidRPr="00704B76">
        <w:rPr>
          <w:i/>
          <w:szCs w:val="16"/>
          <w:lang w:val="en-US"/>
        </w:rPr>
        <w:t xml:space="preserve"> supra </w:t>
      </w:r>
      <w:r w:rsidRPr="00704B76">
        <w:rPr>
          <w:szCs w:val="16"/>
          <w:lang w:val="en-US"/>
        </w:rPr>
        <w:t xml:space="preserve">note 2, para. </w:t>
      </w:r>
      <w:proofErr w:type="gramStart"/>
      <w:r w:rsidRPr="00704B76">
        <w:rPr>
          <w:szCs w:val="16"/>
          <w:lang w:val="en-US"/>
        </w:rPr>
        <w:t>11,</w:t>
      </w:r>
      <w:proofErr w:type="gramEnd"/>
      <w:r w:rsidRPr="00704B76">
        <w:rPr>
          <w:szCs w:val="16"/>
          <w:lang w:val="en-US"/>
        </w:rPr>
        <w:t xml:space="preserve"> and </w:t>
      </w:r>
      <w:r w:rsidRPr="00704B76">
        <w:rPr>
          <w:i/>
          <w:szCs w:val="16"/>
          <w:lang w:val="en-US"/>
        </w:rPr>
        <w:t>Case of</w:t>
      </w:r>
      <w:r w:rsidRPr="00704B76">
        <w:rPr>
          <w:szCs w:val="16"/>
          <w:lang w:val="en-US"/>
        </w:rPr>
        <w:t xml:space="preserve"> </w:t>
      </w:r>
      <w:r w:rsidRPr="00704B76">
        <w:rPr>
          <w:i/>
          <w:szCs w:val="16"/>
          <w:lang w:val="en-US"/>
        </w:rPr>
        <w:t xml:space="preserve">Rosendo Cantú et al. v. </w:t>
      </w:r>
      <w:smartTag w:uri="urn:schemas-microsoft-com:office:smarttags" w:element="country-region">
        <w:smartTag w:uri="urn:schemas-microsoft-com:office:smarttags" w:element="place">
          <w:r w:rsidRPr="00704B76">
            <w:rPr>
              <w:i/>
              <w:szCs w:val="16"/>
              <w:lang w:val="en-US"/>
            </w:rPr>
            <w:t>Mexico</w:t>
          </w:r>
        </w:smartTag>
      </w:smartTag>
      <w:r w:rsidRPr="00704B76">
        <w:rPr>
          <w:i/>
          <w:szCs w:val="16"/>
          <w:lang w:val="en-US"/>
        </w:rPr>
        <w:t>.</w:t>
      </w:r>
      <w:r w:rsidRPr="00704B76">
        <w:rPr>
          <w:szCs w:val="16"/>
          <w:lang w:val="en-US"/>
        </w:rPr>
        <w:t xml:space="preserve"> </w:t>
      </w:r>
      <w:r w:rsidRPr="00704B76">
        <w:rPr>
          <w:i/>
          <w:szCs w:val="16"/>
          <w:lang w:val="en-US"/>
        </w:rPr>
        <w:t>Interpretation of the judgment on preliminary objection, merits, reparations and costs, supra</w:t>
      </w:r>
      <w:r w:rsidRPr="00704B76">
        <w:rPr>
          <w:szCs w:val="16"/>
          <w:lang w:val="en-US"/>
        </w:rPr>
        <w:t xml:space="preserve"> note 2, para. 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5E2254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715B24"/>
    <w:multiLevelType w:val="hybridMultilevel"/>
    <w:tmpl w:val="CDDE4AF2"/>
    <w:lvl w:ilvl="0" w:tplc="C1D6C26E">
      <w:start w:val="1"/>
      <w:numFmt w:val="decimal"/>
      <w:lvlText w:val="%1."/>
      <w:lvlJc w:val="left"/>
      <w:rPr>
        <w:rFonts w:cs="Times New Roman" w:hint="default"/>
        <w:b w:val="0"/>
        <w:strike w:val="0"/>
      </w:rPr>
    </w:lvl>
    <w:lvl w:ilvl="1" w:tplc="00190409">
      <w:start w:val="1"/>
      <w:numFmt w:val="lowerLetter"/>
      <w:lvlText w:val="%2."/>
      <w:lvlJc w:val="left"/>
      <w:pPr>
        <w:ind w:left="1440" w:hanging="360"/>
      </w:pPr>
      <w:rPr>
        <w:rFonts w:cs="Times New Roman"/>
      </w:rPr>
    </w:lvl>
    <w:lvl w:ilvl="2" w:tplc="001B0409" w:tentative="1">
      <w:start w:val="1"/>
      <w:numFmt w:val="lowerRoman"/>
      <w:lvlText w:val="%3."/>
      <w:lvlJc w:val="right"/>
      <w:pPr>
        <w:ind w:left="2160" w:hanging="180"/>
      </w:pPr>
      <w:rPr>
        <w:rFonts w:cs="Times New Roman"/>
      </w:rPr>
    </w:lvl>
    <w:lvl w:ilvl="3" w:tplc="000F0409" w:tentative="1">
      <w:start w:val="1"/>
      <w:numFmt w:val="decimal"/>
      <w:lvlText w:val="%4."/>
      <w:lvlJc w:val="left"/>
      <w:pPr>
        <w:ind w:left="2880" w:hanging="360"/>
      </w:pPr>
      <w:rPr>
        <w:rFonts w:cs="Times New Roman"/>
      </w:rPr>
    </w:lvl>
    <w:lvl w:ilvl="4" w:tplc="00190409" w:tentative="1">
      <w:start w:val="1"/>
      <w:numFmt w:val="lowerLetter"/>
      <w:lvlText w:val="%5."/>
      <w:lvlJc w:val="left"/>
      <w:pPr>
        <w:ind w:left="3600" w:hanging="360"/>
      </w:pPr>
      <w:rPr>
        <w:rFonts w:cs="Times New Roman"/>
      </w:rPr>
    </w:lvl>
    <w:lvl w:ilvl="5" w:tplc="001B0409" w:tentative="1">
      <w:start w:val="1"/>
      <w:numFmt w:val="lowerRoman"/>
      <w:lvlText w:val="%6."/>
      <w:lvlJc w:val="right"/>
      <w:pPr>
        <w:ind w:left="4320" w:hanging="180"/>
      </w:pPr>
      <w:rPr>
        <w:rFonts w:cs="Times New Roman"/>
      </w:rPr>
    </w:lvl>
    <w:lvl w:ilvl="6" w:tplc="000F0409" w:tentative="1">
      <w:start w:val="1"/>
      <w:numFmt w:val="decimal"/>
      <w:lvlText w:val="%7."/>
      <w:lvlJc w:val="left"/>
      <w:pPr>
        <w:ind w:left="5040" w:hanging="360"/>
      </w:pPr>
      <w:rPr>
        <w:rFonts w:cs="Times New Roman"/>
      </w:rPr>
    </w:lvl>
    <w:lvl w:ilvl="7" w:tplc="00190409" w:tentative="1">
      <w:start w:val="1"/>
      <w:numFmt w:val="lowerLetter"/>
      <w:lvlText w:val="%8."/>
      <w:lvlJc w:val="left"/>
      <w:pPr>
        <w:ind w:left="5760" w:hanging="360"/>
      </w:pPr>
      <w:rPr>
        <w:rFonts w:cs="Times New Roman"/>
      </w:rPr>
    </w:lvl>
    <w:lvl w:ilvl="8" w:tplc="001B0409" w:tentative="1">
      <w:start w:val="1"/>
      <w:numFmt w:val="lowerRoman"/>
      <w:lvlText w:val="%9."/>
      <w:lvlJc w:val="right"/>
      <w:pPr>
        <w:ind w:left="6480" w:hanging="180"/>
      </w:pPr>
      <w:rPr>
        <w:rFonts w:cs="Times New Roman"/>
      </w:rPr>
    </w:lvl>
  </w:abstractNum>
  <w:abstractNum w:abstractNumId="2">
    <w:nsid w:val="0A784DB5"/>
    <w:multiLevelType w:val="hybridMultilevel"/>
    <w:tmpl w:val="DF90357A"/>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
    <w:nsid w:val="10A42963"/>
    <w:multiLevelType w:val="hybridMultilevel"/>
    <w:tmpl w:val="E698F8B0"/>
    <w:lvl w:ilvl="0" w:tplc="A4D298F2">
      <w:start w:val="1"/>
      <w:numFmt w:val="decimal"/>
      <w:lvlText w:val="%1."/>
      <w:lvlJc w:val="left"/>
      <w:rPr>
        <w:rFonts w:cs="Times New Roman" w:hint="default"/>
        <w:strike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2C77E06"/>
    <w:multiLevelType w:val="multilevel"/>
    <w:tmpl w:val="B1B299C4"/>
    <w:lvl w:ilvl="0">
      <w:start w:val="1"/>
      <w:numFmt w:val="upp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14D447A4"/>
    <w:multiLevelType w:val="hybridMultilevel"/>
    <w:tmpl w:val="10D2BCB8"/>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
    <w:nsid w:val="17E85883"/>
    <w:multiLevelType w:val="hybridMultilevel"/>
    <w:tmpl w:val="89CCD0F2"/>
    <w:lvl w:ilvl="0" w:tplc="3B582786">
      <w:start w:val="1"/>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nsid w:val="194F1D17"/>
    <w:multiLevelType w:val="hybridMultilevel"/>
    <w:tmpl w:val="D40AFA5A"/>
    <w:lvl w:ilvl="0" w:tplc="A8483B00">
      <w:start w:val="4"/>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E4D307E"/>
    <w:multiLevelType w:val="hybridMultilevel"/>
    <w:tmpl w:val="5D2493BE"/>
    <w:lvl w:ilvl="0" w:tplc="DB36E11E">
      <w:start w:val="25"/>
      <w:numFmt w:val="decimal"/>
      <w:lvlText w:val="%1."/>
      <w:lvlJc w:val="left"/>
      <w:pPr>
        <w:tabs>
          <w:tab w:val="num" w:pos="1060"/>
        </w:tabs>
        <w:ind w:left="1060" w:hanging="700"/>
      </w:pPr>
      <w:rPr>
        <w:rFonts w:cs="Times New Roman" w:hint="default"/>
      </w:rPr>
    </w:lvl>
    <w:lvl w:ilvl="1" w:tplc="00190409" w:tentative="1">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9">
    <w:nsid w:val="20C552B6"/>
    <w:multiLevelType w:val="hybridMultilevel"/>
    <w:tmpl w:val="8D86D52C"/>
    <w:lvl w:ilvl="0" w:tplc="98BE3130">
      <w:start w:val="85"/>
      <w:numFmt w:val="decimal"/>
      <w:lvlText w:val="%1."/>
      <w:lvlJc w:val="left"/>
      <w:pPr>
        <w:tabs>
          <w:tab w:val="num" w:pos="0"/>
        </w:tabs>
      </w:pPr>
      <w:rPr>
        <w:rFonts w:cs="Times New Roman" w:hint="default"/>
        <w:b w:val="0"/>
        <w:i w:val="0"/>
        <w:strike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0">
    <w:nsid w:val="22D7420C"/>
    <w:multiLevelType w:val="hybridMultilevel"/>
    <w:tmpl w:val="EB2A5028"/>
    <w:lvl w:ilvl="0" w:tplc="985A5FF8">
      <w:start w:val="85"/>
      <w:numFmt w:val="decimal"/>
      <w:lvlText w:val="%1."/>
      <w:lvlJc w:val="left"/>
      <w:pPr>
        <w:tabs>
          <w:tab w:val="num" w:pos="1170"/>
        </w:tabs>
        <w:ind w:left="450"/>
      </w:pPr>
      <w:rPr>
        <w:rFonts w:ascii="Verdana" w:hAnsi="Verdana" w:cs="Times New Roman" w:hint="default"/>
        <w:b w:val="0"/>
        <w:i w:val="0"/>
        <w:color w:val="auto"/>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24D83B86"/>
    <w:multiLevelType w:val="hybridMultilevel"/>
    <w:tmpl w:val="74485A8E"/>
    <w:name w:val="WW8Num22"/>
    <w:lvl w:ilvl="0" w:tplc="5E2E613A">
      <w:start w:val="1"/>
      <w:numFmt w:val="decimal"/>
      <w:lvlText w:val="%1."/>
      <w:lvlJc w:val="left"/>
      <w:pPr>
        <w:tabs>
          <w:tab w:val="num" w:pos="0"/>
        </w:tabs>
      </w:pPr>
      <w:rPr>
        <w:rFonts w:ascii="Verdana" w:hAnsi="Verdana" w:cs="Times New Roman" w:hint="default"/>
        <w:b w:val="0"/>
        <w:i w:val="0"/>
        <w:strike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2">
    <w:nsid w:val="27632D6A"/>
    <w:multiLevelType w:val="hybridMultilevel"/>
    <w:tmpl w:val="FB6292D2"/>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nsid w:val="2A0F4C82"/>
    <w:multiLevelType w:val="hybridMultilevel"/>
    <w:tmpl w:val="A3929800"/>
    <w:lvl w:ilvl="0" w:tplc="A4D298F2">
      <w:start w:val="1"/>
      <w:numFmt w:val="decimal"/>
      <w:lvlText w:val="%1."/>
      <w:lvlJc w:val="left"/>
      <w:rPr>
        <w:rFonts w:cs="Times New Roman" w:hint="default"/>
        <w:strike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ADA1BBD"/>
    <w:multiLevelType w:val="hybridMultilevel"/>
    <w:tmpl w:val="CA1654E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40B3DDF"/>
    <w:multiLevelType w:val="hybridMultilevel"/>
    <w:tmpl w:val="C3509148"/>
    <w:lvl w:ilvl="0" w:tplc="0C0A000F">
      <w:start w:val="1"/>
      <w:numFmt w:val="decimal"/>
      <w:lvlText w:val="%1."/>
      <w:lvlJc w:val="left"/>
      <w:pPr>
        <w:tabs>
          <w:tab w:val="num" w:pos="360"/>
        </w:tabs>
        <w:ind w:left="360" w:hanging="360"/>
      </w:pPr>
      <w:rPr>
        <w:rFonts w:cs="Times New Roman"/>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16">
    <w:nsid w:val="352A41D1"/>
    <w:multiLevelType w:val="hybridMultilevel"/>
    <w:tmpl w:val="70E4442C"/>
    <w:lvl w:ilvl="0" w:tplc="93E0A80E">
      <w:start w:val="1"/>
      <w:numFmt w:val="decimal"/>
      <w:lvlText w:val="%1."/>
      <w:lvlJc w:val="left"/>
      <w:pPr>
        <w:ind w:left="720" w:hanging="720"/>
      </w:pPr>
      <w:rPr>
        <w:rFonts w:cs="Times New Roman" w:hint="default"/>
      </w:rPr>
    </w:lvl>
    <w:lvl w:ilvl="1" w:tplc="00190409" w:tentative="1">
      <w:start w:val="1"/>
      <w:numFmt w:val="lowerLetter"/>
      <w:lvlText w:val="%2."/>
      <w:lvlJc w:val="left"/>
      <w:pPr>
        <w:ind w:left="1440" w:hanging="360"/>
      </w:pPr>
      <w:rPr>
        <w:rFonts w:cs="Times New Roman"/>
      </w:rPr>
    </w:lvl>
    <w:lvl w:ilvl="2" w:tplc="001B0409" w:tentative="1">
      <w:start w:val="1"/>
      <w:numFmt w:val="lowerRoman"/>
      <w:lvlText w:val="%3."/>
      <w:lvlJc w:val="right"/>
      <w:pPr>
        <w:ind w:left="2160" w:hanging="180"/>
      </w:pPr>
      <w:rPr>
        <w:rFonts w:cs="Times New Roman"/>
      </w:rPr>
    </w:lvl>
    <w:lvl w:ilvl="3" w:tplc="000F0409" w:tentative="1">
      <w:start w:val="1"/>
      <w:numFmt w:val="decimal"/>
      <w:lvlText w:val="%4."/>
      <w:lvlJc w:val="left"/>
      <w:pPr>
        <w:ind w:left="2880" w:hanging="360"/>
      </w:pPr>
      <w:rPr>
        <w:rFonts w:cs="Times New Roman"/>
      </w:rPr>
    </w:lvl>
    <w:lvl w:ilvl="4" w:tplc="00190409" w:tentative="1">
      <w:start w:val="1"/>
      <w:numFmt w:val="lowerLetter"/>
      <w:lvlText w:val="%5."/>
      <w:lvlJc w:val="left"/>
      <w:pPr>
        <w:ind w:left="3600" w:hanging="360"/>
      </w:pPr>
      <w:rPr>
        <w:rFonts w:cs="Times New Roman"/>
      </w:rPr>
    </w:lvl>
    <w:lvl w:ilvl="5" w:tplc="001B0409" w:tentative="1">
      <w:start w:val="1"/>
      <w:numFmt w:val="lowerRoman"/>
      <w:lvlText w:val="%6."/>
      <w:lvlJc w:val="right"/>
      <w:pPr>
        <w:ind w:left="4320" w:hanging="180"/>
      </w:pPr>
      <w:rPr>
        <w:rFonts w:cs="Times New Roman"/>
      </w:rPr>
    </w:lvl>
    <w:lvl w:ilvl="6" w:tplc="000F0409" w:tentative="1">
      <w:start w:val="1"/>
      <w:numFmt w:val="decimal"/>
      <w:lvlText w:val="%7."/>
      <w:lvlJc w:val="left"/>
      <w:pPr>
        <w:ind w:left="5040" w:hanging="360"/>
      </w:pPr>
      <w:rPr>
        <w:rFonts w:cs="Times New Roman"/>
      </w:rPr>
    </w:lvl>
    <w:lvl w:ilvl="7" w:tplc="00190409" w:tentative="1">
      <w:start w:val="1"/>
      <w:numFmt w:val="lowerLetter"/>
      <w:lvlText w:val="%8."/>
      <w:lvlJc w:val="left"/>
      <w:pPr>
        <w:ind w:left="5760" w:hanging="360"/>
      </w:pPr>
      <w:rPr>
        <w:rFonts w:cs="Times New Roman"/>
      </w:rPr>
    </w:lvl>
    <w:lvl w:ilvl="8" w:tplc="001B0409" w:tentative="1">
      <w:start w:val="1"/>
      <w:numFmt w:val="lowerRoman"/>
      <w:lvlText w:val="%9."/>
      <w:lvlJc w:val="right"/>
      <w:pPr>
        <w:ind w:left="6480" w:hanging="180"/>
      </w:pPr>
      <w:rPr>
        <w:rFonts w:cs="Times New Roman"/>
      </w:rPr>
    </w:lvl>
  </w:abstractNum>
  <w:abstractNum w:abstractNumId="17">
    <w:nsid w:val="35E13854"/>
    <w:multiLevelType w:val="multilevel"/>
    <w:tmpl w:val="21980B4E"/>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nsid w:val="392910EB"/>
    <w:multiLevelType w:val="hybridMultilevel"/>
    <w:tmpl w:val="21980B4E"/>
    <w:lvl w:ilvl="0" w:tplc="B43E8D78">
      <w:start w:val="1"/>
      <w:numFmt w:val="decimal"/>
      <w:lvlText w:val="%1."/>
      <w:lvlJc w:val="left"/>
      <w:pPr>
        <w:ind w:left="720" w:hanging="360"/>
      </w:pPr>
      <w:rPr>
        <w:rFonts w:cs="Times New Roman" w:hint="default"/>
      </w:rPr>
    </w:lvl>
    <w:lvl w:ilvl="1" w:tplc="00190409" w:tentative="1">
      <w:start w:val="1"/>
      <w:numFmt w:val="lowerLetter"/>
      <w:lvlText w:val="%2."/>
      <w:lvlJc w:val="left"/>
      <w:pPr>
        <w:ind w:left="1440" w:hanging="360"/>
      </w:pPr>
      <w:rPr>
        <w:rFonts w:cs="Times New Roman"/>
      </w:rPr>
    </w:lvl>
    <w:lvl w:ilvl="2" w:tplc="001B0409" w:tentative="1">
      <w:start w:val="1"/>
      <w:numFmt w:val="lowerRoman"/>
      <w:lvlText w:val="%3."/>
      <w:lvlJc w:val="right"/>
      <w:pPr>
        <w:ind w:left="2160" w:hanging="180"/>
      </w:pPr>
      <w:rPr>
        <w:rFonts w:cs="Times New Roman"/>
      </w:rPr>
    </w:lvl>
    <w:lvl w:ilvl="3" w:tplc="000F0409" w:tentative="1">
      <w:start w:val="1"/>
      <w:numFmt w:val="decimal"/>
      <w:lvlText w:val="%4."/>
      <w:lvlJc w:val="left"/>
      <w:pPr>
        <w:ind w:left="2880" w:hanging="360"/>
      </w:pPr>
      <w:rPr>
        <w:rFonts w:cs="Times New Roman"/>
      </w:rPr>
    </w:lvl>
    <w:lvl w:ilvl="4" w:tplc="00190409" w:tentative="1">
      <w:start w:val="1"/>
      <w:numFmt w:val="lowerLetter"/>
      <w:lvlText w:val="%5."/>
      <w:lvlJc w:val="left"/>
      <w:pPr>
        <w:ind w:left="3600" w:hanging="360"/>
      </w:pPr>
      <w:rPr>
        <w:rFonts w:cs="Times New Roman"/>
      </w:rPr>
    </w:lvl>
    <w:lvl w:ilvl="5" w:tplc="001B0409" w:tentative="1">
      <w:start w:val="1"/>
      <w:numFmt w:val="lowerRoman"/>
      <w:lvlText w:val="%6."/>
      <w:lvlJc w:val="right"/>
      <w:pPr>
        <w:ind w:left="4320" w:hanging="180"/>
      </w:pPr>
      <w:rPr>
        <w:rFonts w:cs="Times New Roman"/>
      </w:rPr>
    </w:lvl>
    <w:lvl w:ilvl="6" w:tplc="000F0409" w:tentative="1">
      <w:start w:val="1"/>
      <w:numFmt w:val="decimal"/>
      <w:lvlText w:val="%7."/>
      <w:lvlJc w:val="left"/>
      <w:pPr>
        <w:ind w:left="5040" w:hanging="360"/>
      </w:pPr>
      <w:rPr>
        <w:rFonts w:cs="Times New Roman"/>
      </w:rPr>
    </w:lvl>
    <w:lvl w:ilvl="7" w:tplc="00190409" w:tentative="1">
      <w:start w:val="1"/>
      <w:numFmt w:val="lowerLetter"/>
      <w:lvlText w:val="%8."/>
      <w:lvlJc w:val="left"/>
      <w:pPr>
        <w:ind w:left="5760" w:hanging="360"/>
      </w:pPr>
      <w:rPr>
        <w:rFonts w:cs="Times New Roman"/>
      </w:rPr>
    </w:lvl>
    <w:lvl w:ilvl="8" w:tplc="001B0409" w:tentative="1">
      <w:start w:val="1"/>
      <w:numFmt w:val="lowerRoman"/>
      <w:lvlText w:val="%9."/>
      <w:lvlJc w:val="right"/>
      <w:pPr>
        <w:ind w:left="6480" w:hanging="180"/>
      </w:pPr>
      <w:rPr>
        <w:rFonts w:cs="Times New Roman"/>
      </w:rPr>
    </w:lvl>
  </w:abstractNum>
  <w:abstractNum w:abstractNumId="19">
    <w:nsid w:val="3D9B3154"/>
    <w:multiLevelType w:val="hybridMultilevel"/>
    <w:tmpl w:val="33824D1A"/>
    <w:lvl w:ilvl="0" w:tplc="4E96443A">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0">
    <w:nsid w:val="3DD5607C"/>
    <w:multiLevelType w:val="hybridMultilevel"/>
    <w:tmpl w:val="5A1C4E86"/>
    <w:lvl w:ilvl="0" w:tplc="046E5FC4">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1">
    <w:nsid w:val="417328A0"/>
    <w:multiLevelType w:val="hybridMultilevel"/>
    <w:tmpl w:val="ADE0EE66"/>
    <w:lvl w:ilvl="0" w:tplc="DA48A384">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4F2D477B"/>
    <w:multiLevelType w:val="hybridMultilevel"/>
    <w:tmpl w:val="C4A2027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51946CE9"/>
    <w:multiLevelType w:val="hybridMultilevel"/>
    <w:tmpl w:val="A1ACC394"/>
    <w:lvl w:ilvl="0" w:tplc="1D220C5C">
      <w:start w:val="1"/>
      <w:numFmt w:val="decimal"/>
      <w:lvlText w:val="%1."/>
      <w:lvlJc w:val="left"/>
      <w:pPr>
        <w:ind w:left="795" w:hanging="795"/>
      </w:pPr>
      <w:rPr>
        <w:rFonts w:ascii="Verdana" w:hAnsi="Verdana" w:cs="Times New Roman" w:hint="default"/>
        <w:b w:val="0"/>
        <w:i w:val="0"/>
        <w:strike w:val="0"/>
        <w:color w:val="auto"/>
        <w:sz w:val="20"/>
        <w:szCs w:val="20"/>
      </w:rPr>
    </w:lvl>
    <w:lvl w:ilvl="1" w:tplc="04090019">
      <w:start w:val="1"/>
      <w:numFmt w:val="lowerLetter"/>
      <w:lvlText w:val="%2."/>
      <w:lvlJc w:val="left"/>
      <w:pPr>
        <w:ind w:left="1440" w:hanging="360"/>
      </w:pPr>
      <w:rPr>
        <w:rFonts w:cs="Times New Roman"/>
      </w:rPr>
    </w:lvl>
    <w:lvl w:ilvl="2" w:tplc="81B0CF12">
      <w:start w:val="1"/>
      <w:numFmt w:val="upperLetter"/>
      <w:lvlText w:val="%3."/>
      <w:lvlJc w:val="left"/>
      <w:pPr>
        <w:tabs>
          <w:tab w:val="num" w:pos="2700"/>
        </w:tabs>
        <w:ind w:left="2700" w:hanging="720"/>
      </w:pPr>
      <w:rPr>
        <w:rFonts w:cs="Times New Roman" w:hint="default"/>
      </w:rPr>
    </w:lvl>
    <w:lvl w:ilvl="3" w:tplc="9DFA1E00">
      <w:start w:val="12"/>
      <w:numFmt w:val="decimal"/>
      <w:lvlText w:val="%4."/>
      <w:lvlJc w:val="left"/>
      <w:pPr>
        <w:tabs>
          <w:tab w:val="num" w:pos="2880"/>
        </w:tabs>
        <w:ind w:left="2880" w:hanging="360"/>
      </w:pPr>
      <w:rPr>
        <w:rFonts w:cs="Times New Roman"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52D21A98"/>
    <w:multiLevelType w:val="hybridMultilevel"/>
    <w:tmpl w:val="DB8040FE"/>
    <w:lvl w:ilvl="0" w:tplc="0409000F">
      <w:start w:val="1"/>
      <w:numFmt w:val="decimal"/>
      <w:lvlText w:val="%1."/>
      <w:lvlJc w:val="left"/>
      <w:pPr>
        <w:ind w:left="36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5">
    <w:nsid w:val="54632BA0"/>
    <w:multiLevelType w:val="hybridMultilevel"/>
    <w:tmpl w:val="3880ED10"/>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6">
    <w:nsid w:val="58087B72"/>
    <w:multiLevelType w:val="hybridMultilevel"/>
    <w:tmpl w:val="F0185D68"/>
    <w:lvl w:ilvl="0" w:tplc="EE806842">
      <w:start w:val="1"/>
      <w:numFmt w:val="decimal"/>
      <w:lvlText w:val="%1."/>
      <w:lvlJc w:val="left"/>
      <w:pPr>
        <w:tabs>
          <w:tab w:val="num" w:pos="720"/>
        </w:tabs>
        <w:ind w:left="720" w:hanging="360"/>
      </w:pPr>
      <w:rPr>
        <w:rFonts w:ascii="Verdana" w:hAnsi="Verdana" w:cs="Times New Roman"/>
        <w:b w:val="0"/>
        <w:i w:val="0"/>
        <w:strike w:val="0"/>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5B230570"/>
    <w:multiLevelType w:val="hybridMultilevel"/>
    <w:tmpl w:val="892E33BE"/>
    <w:lvl w:ilvl="0" w:tplc="A4D298F2">
      <w:start w:val="1"/>
      <w:numFmt w:val="decimal"/>
      <w:lvlText w:val="%1."/>
      <w:lvlJc w:val="left"/>
      <w:rPr>
        <w:rFonts w:cs="Times New Roman" w:hint="default"/>
        <w:strike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5D096D0D"/>
    <w:multiLevelType w:val="hybridMultilevel"/>
    <w:tmpl w:val="4E2079D6"/>
    <w:lvl w:ilvl="0" w:tplc="7BEA7B08">
      <w:start w:val="1"/>
      <w:numFmt w:val="decimal"/>
      <w:lvlText w:val="%1."/>
      <w:lvlJc w:val="left"/>
      <w:pPr>
        <w:ind w:left="720" w:hanging="360"/>
      </w:pPr>
      <w:rPr>
        <w:rFonts w:cs="Times New Roman" w:hint="default"/>
      </w:rPr>
    </w:lvl>
    <w:lvl w:ilvl="1" w:tplc="00190409" w:tentative="1">
      <w:start w:val="1"/>
      <w:numFmt w:val="lowerLetter"/>
      <w:lvlText w:val="%2."/>
      <w:lvlJc w:val="left"/>
      <w:pPr>
        <w:ind w:left="1440" w:hanging="360"/>
      </w:pPr>
      <w:rPr>
        <w:rFonts w:cs="Times New Roman"/>
      </w:rPr>
    </w:lvl>
    <w:lvl w:ilvl="2" w:tplc="001B0409" w:tentative="1">
      <w:start w:val="1"/>
      <w:numFmt w:val="lowerRoman"/>
      <w:lvlText w:val="%3."/>
      <w:lvlJc w:val="right"/>
      <w:pPr>
        <w:ind w:left="2160" w:hanging="180"/>
      </w:pPr>
      <w:rPr>
        <w:rFonts w:cs="Times New Roman"/>
      </w:rPr>
    </w:lvl>
    <w:lvl w:ilvl="3" w:tplc="000F0409" w:tentative="1">
      <w:start w:val="1"/>
      <w:numFmt w:val="decimal"/>
      <w:lvlText w:val="%4."/>
      <w:lvlJc w:val="left"/>
      <w:pPr>
        <w:ind w:left="2880" w:hanging="360"/>
      </w:pPr>
      <w:rPr>
        <w:rFonts w:cs="Times New Roman"/>
      </w:rPr>
    </w:lvl>
    <w:lvl w:ilvl="4" w:tplc="00190409" w:tentative="1">
      <w:start w:val="1"/>
      <w:numFmt w:val="lowerLetter"/>
      <w:lvlText w:val="%5."/>
      <w:lvlJc w:val="left"/>
      <w:pPr>
        <w:ind w:left="3600" w:hanging="360"/>
      </w:pPr>
      <w:rPr>
        <w:rFonts w:cs="Times New Roman"/>
      </w:rPr>
    </w:lvl>
    <w:lvl w:ilvl="5" w:tplc="001B0409" w:tentative="1">
      <w:start w:val="1"/>
      <w:numFmt w:val="lowerRoman"/>
      <w:lvlText w:val="%6."/>
      <w:lvlJc w:val="right"/>
      <w:pPr>
        <w:ind w:left="4320" w:hanging="180"/>
      </w:pPr>
      <w:rPr>
        <w:rFonts w:cs="Times New Roman"/>
      </w:rPr>
    </w:lvl>
    <w:lvl w:ilvl="6" w:tplc="000F0409" w:tentative="1">
      <w:start w:val="1"/>
      <w:numFmt w:val="decimal"/>
      <w:lvlText w:val="%7."/>
      <w:lvlJc w:val="left"/>
      <w:pPr>
        <w:ind w:left="5040" w:hanging="360"/>
      </w:pPr>
      <w:rPr>
        <w:rFonts w:cs="Times New Roman"/>
      </w:rPr>
    </w:lvl>
    <w:lvl w:ilvl="7" w:tplc="00190409" w:tentative="1">
      <w:start w:val="1"/>
      <w:numFmt w:val="lowerLetter"/>
      <w:lvlText w:val="%8."/>
      <w:lvlJc w:val="left"/>
      <w:pPr>
        <w:ind w:left="5760" w:hanging="360"/>
      </w:pPr>
      <w:rPr>
        <w:rFonts w:cs="Times New Roman"/>
      </w:rPr>
    </w:lvl>
    <w:lvl w:ilvl="8" w:tplc="001B0409" w:tentative="1">
      <w:start w:val="1"/>
      <w:numFmt w:val="lowerRoman"/>
      <w:lvlText w:val="%9."/>
      <w:lvlJc w:val="right"/>
      <w:pPr>
        <w:ind w:left="6480" w:hanging="180"/>
      </w:pPr>
      <w:rPr>
        <w:rFonts w:cs="Times New Roman"/>
      </w:rPr>
    </w:lvl>
  </w:abstractNum>
  <w:abstractNum w:abstractNumId="29">
    <w:nsid w:val="641554B0"/>
    <w:multiLevelType w:val="hybridMultilevel"/>
    <w:tmpl w:val="FEB62402"/>
    <w:lvl w:ilvl="0" w:tplc="BF523C9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nsid w:val="64491BFD"/>
    <w:multiLevelType w:val="hybridMultilevel"/>
    <w:tmpl w:val="BE1A7954"/>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1">
    <w:nsid w:val="6F1B3CEA"/>
    <w:multiLevelType w:val="hybridMultilevel"/>
    <w:tmpl w:val="2B38754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2">
    <w:nsid w:val="6F6E1F61"/>
    <w:multiLevelType w:val="multilevel"/>
    <w:tmpl w:val="70E4442C"/>
    <w:lvl w:ilvl="0">
      <w:start w:val="1"/>
      <w:numFmt w:val="decimal"/>
      <w:lvlText w:val="%1."/>
      <w:lvlJc w:val="left"/>
      <w:pPr>
        <w:ind w:left="720" w:hanging="72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3">
    <w:nsid w:val="760910B0"/>
    <w:multiLevelType w:val="hybridMultilevel"/>
    <w:tmpl w:val="B366DDA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769A43D7"/>
    <w:multiLevelType w:val="hybridMultilevel"/>
    <w:tmpl w:val="2ECA7D34"/>
    <w:lvl w:ilvl="0" w:tplc="00150409">
      <w:start w:val="1"/>
      <w:numFmt w:val="upperLetter"/>
      <w:lvlText w:val="%1."/>
      <w:lvlJc w:val="left"/>
      <w:pPr>
        <w:ind w:left="720" w:hanging="360"/>
      </w:pPr>
      <w:rPr>
        <w:rFonts w:cs="Times New Roman" w:hint="default"/>
      </w:rPr>
    </w:lvl>
    <w:lvl w:ilvl="1" w:tplc="00190409" w:tentative="1">
      <w:start w:val="1"/>
      <w:numFmt w:val="lowerLetter"/>
      <w:lvlText w:val="%2."/>
      <w:lvlJc w:val="left"/>
      <w:pPr>
        <w:ind w:left="1440" w:hanging="360"/>
      </w:pPr>
      <w:rPr>
        <w:rFonts w:cs="Times New Roman"/>
      </w:rPr>
    </w:lvl>
    <w:lvl w:ilvl="2" w:tplc="001B0409" w:tentative="1">
      <w:start w:val="1"/>
      <w:numFmt w:val="lowerRoman"/>
      <w:lvlText w:val="%3."/>
      <w:lvlJc w:val="right"/>
      <w:pPr>
        <w:ind w:left="2160" w:hanging="180"/>
      </w:pPr>
      <w:rPr>
        <w:rFonts w:cs="Times New Roman"/>
      </w:rPr>
    </w:lvl>
    <w:lvl w:ilvl="3" w:tplc="000F0409" w:tentative="1">
      <w:start w:val="1"/>
      <w:numFmt w:val="decimal"/>
      <w:lvlText w:val="%4."/>
      <w:lvlJc w:val="left"/>
      <w:pPr>
        <w:ind w:left="2880" w:hanging="360"/>
      </w:pPr>
      <w:rPr>
        <w:rFonts w:cs="Times New Roman"/>
      </w:rPr>
    </w:lvl>
    <w:lvl w:ilvl="4" w:tplc="00190409" w:tentative="1">
      <w:start w:val="1"/>
      <w:numFmt w:val="lowerLetter"/>
      <w:lvlText w:val="%5."/>
      <w:lvlJc w:val="left"/>
      <w:pPr>
        <w:ind w:left="3600" w:hanging="360"/>
      </w:pPr>
      <w:rPr>
        <w:rFonts w:cs="Times New Roman"/>
      </w:rPr>
    </w:lvl>
    <w:lvl w:ilvl="5" w:tplc="001B0409" w:tentative="1">
      <w:start w:val="1"/>
      <w:numFmt w:val="lowerRoman"/>
      <w:lvlText w:val="%6."/>
      <w:lvlJc w:val="right"/>
      <w:pPr>
        <w:ind w:left="4320" w:hanging="180"/>
      </w:pPr>
      <w:rPr>
        <w:rFonts w:cs="Times New Roman"/>
      </w:rPr>
    </w:lvl>
    <w:lvl w:ilvl="6" w:tplc="000F0409" w:tentative="1">
      <w:start w:val="1"/>
      <w:numFmt w:val="decimal"/>
      <w:lvlText w:val="%7."/>
      <w:lvlJc w:val="left"/>
      <w:pPr>
        <w:ind w:left="5040" w:hanging="360"/>
      </w:pPr>
      <w:rPr>
        <w:rFonts w:cs="Times New Roman"/>
      </w:rPr>
    </w:lvl>
    <w:lvl w:ilvl="7" w:tplc="00190409" w:tentative="1">
      <w:start w:val="1"/>
      <w:numFmt w:val="lowerLetter"/>
      <w:lvlText w:val="%8."/>
      <w:lvlJc w:val="left"/>
      <w:pPr>
        <w:ind w:left="5760" w:hanging="360"/>
      </w:pPr>
      <w:rPr>
        <w:rFonts w:cs="Times New Roman"/>
      </w:rPr>
    </w:lvl>
    <w:lvl w:ilvl="8" w:tplc="001B0409" w:tentative="1">
      <w:start w:val="1"/>
      <w:numFmt w:val="lowerRoman"/>
      <w:lvlText w:val="%9."/>
      <w:lvlJc w:val="right"/>
      <w:pPr>
        <w:ind w:left="6480" w:hanging="180"/>
      </w:pPr>
      <w:rPr>
        <w:rFonts w:cs="Times New Roman"/>
      </w:rPr>
    </w:lvl>
  </w:abstractNum>
  <w:abstractNum w:abstractNumId="35">
    <w:nsid w:val="76CE05A9"/>
    <w:multiLevelType w:val="hybridMultilevel"/>
    <w:tmpl w:val="B1B299C4"/>
    <w:lvl w:ilvl="0" w:tplc="A720ADB6">
      <w:start w:val="1"/>
      <w:numFmt w:val="upperLetter"/>
      <w:lvlText w:val="%1."/>
      <w:lvlJc w:val="left"/>
      <w:pPr>
        <w:ind w:left="720" w:hanging="360"/>
      </w:pPr>
      <w:rPr>
        <w:rFonts w:cs="Times New Roman"/>
      </w:rPr>
    </w:lvl>
    <w:lvl w:ilvl="1" w:tplc="00190409" w:tentative="1">
      <w:start w:val="1"/>
      <w:numFmt w:val="lowerLetter"/>
      <w:lvlText w:val="%2."/>
      <w:lvlJc w:val="left"/>
      <w:pPr>
        <w:ind w:left="1440" w:hanging="360"/>
      </w:pPr>
      <w:rPr>
        <w:rFonts w:cs="Times New Roman"/>
      </w:rPr>
    </w:lvl>
    <w:lvl w:ilvl="2" w:tplc="001B0409" w:tentative="1">
      <w:start w:val="1"/>
      <w:numFmt w:val="lowerRoman"/>
      <w:lvlText w:val="%3."/>
      <w:lvlJc w:val="right"/>
      <w:pPr>
        <w:ind w:left="2160" w:hanging="180"/>
      </w:pPr>
      <w:rPr>
        <w:rFonts w:cs="Times New Roman"/>
      </w:rPr>
    </w:lvl>
    <w:lvl w:ilvl="3" w:tplc="000F0409" w:tentative="1">
      <w:start w:val="1"/>
      <w:numFmt w:val="decimal"/>
      <w:lvlText w:val="%4."/>
      <w:lvlJc w:val="left"/>
      <w:pPr>
        <w:ind w:left="2880" w:hanging="360"/>
      </w:pPr>
      <w:rPr>
        <w:rFonts w:cs="Times New Roman"/>
      </w:rPr>
    </w:lvl>
    <w:lvl w:ilvl="4" w:tplc="00190409" w:tentative="1">
      <w:start w:val="1"/>
      <w:numFmt w:val="lowerLetter"/>
      <w:lvlText w:val="%5."/>
      <w:lvlJc w:val="left"/>
      <w:pPr>
        <w:ind w:left="3600" w:hanging="360"/>
      </w:pPr>
      <w:rPr>
        <w:rFonts w:cs="Times New Roman"/>
      </w:rPr>
    </w:lvl>
    <w:lvl w:ilvl="5" w:tplc="001B0409" w:tentative="1">
      <w:start w:val="1"/>
      <w:numFmt w:val="lowerRoman"/>
      <w:lvlText w:val="%6."/>
      <w:lvlJc w:val="right"/>
      <w:pPr>
        <w:ind w:left="4320" w:hanging="180"/>
      </w:pPr>
      <w:rPr>
        <w:rFonts w:cs="Times New Roman"/>
      </w:rPr>
    </w:lvl>
    <w:lvl w:ilvl="6" w:tplc="000F0409" w:tentative="1">
      <w:start w:val="1"/>
      <w:numFmt w:val="decimal"/>
      <w:lvlText w:val="%7."/>
      <w:lvlJc w:val="left"/>
      <w:pPr>
        <w:ind w:left="5040" w:hanging="360"/>
      </w:pPr>
      <w:rPr>
        <w:rFonts w:cs="Times New Roman"/>
      </w:rPr>
    </w:lvl>
    <w:lvl w:ilvl="7" w:tplc="00190409" w:tentative="1">
      <w:start w:val="1"/>
      <w:numFmt w:val="lowerLetter"/>
      <w:lvlText w:val="%8."/>
      <w:lvlJc w:val="left"/>
      <w:pPr>
        <w:ind w:left="5760" w:hanging="360"/>
      </w:pPr>
      <w:rPr>
        <w:rFonts w:cs="Times New Roman"/>
      </w:rPr>
    </w:lvl>
    <w:lvl w:ilvl="8" w:tplc="001B0409" w:tentative="1">
      <w:start w:val="1"/>
      <w:numFmt w:val="lowerRoman"/>
      <w:lvlText w:val="%9."/>
      <w:lvlJc w:val="right"/>
      <w:pPr>
        <w:ind w:left="6480" w:hanging="180"/>
      </w:pPr>
      <w:rPr>
        <w:rFonts w:cs="Times New Roman"/>
      </w:rPr>
    </w:lvl>
  </w:abstractNum>
  <w:abstractNum w:abstractNumId="36">
    <w:nsid w:val="7CE64D32"/>
    <w:multiLevelType w:val="hybridMultilevel"/>
    <w:tmpl w:val="454A8350"/>
    <w:lvl w:ilvl="0" w:tplc="6792EB28">
      <w:start w:val="1"/>
      <w:numFmt w:val="decimal"/>
      <w:lvlText w:val="%1."/>
      <w:lvlJc w:val="left"/>
      <w:pPr>
        <w:tabs>
          <w:tab w:val="num" w:pos="1247"/>
        </w:tabs>
      </w:pPr>
      <w:rPr>
        <w:rFonts w:ascii="Verdana" w:hAnsi="Verdana" w:cs="Times New Roman" w:hint="default"/>
        <w:b w:val="0"/>
        <w:i w:val="0"/>
        <w:sz w:val="20"/>
      </w:rPr>
    </w:lvl>
    <w:lvl w:ilvl="1" w:tplc="04090003">
      <w:start w:val="1"/>
      <w:numFmt w:val="lowerLetter"/>
      <w:lvlText w:val="%2)"/>
      <w:lvlJc w:val="left"/>
      <w:pPr>
        <w:tabs>
          <w:tab w:val="num" w:pos="1080"/>
        </w:tabs>
        <w:ind w:left="1080" w:hanging="360"/>
      </w:pPr>
      <w:rPr>
        <w:rFonts w:cs="Times New Roman" w:hint="default"/>
        <w:b w:val="0"/>
        <w:i w:val="0"/>
        <w:sz w:val="20"/>
      </w:rPr>
    </w:lvl>
    <w:lvl w:ilvl="2" w:tplc="04090005">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37">
    <w:nsid w:val="7EA012FB"/>
    <w:multiLevelType w:val="hybridMultilevel"/>
    <w:tmpl w:val="B832DD1A"/>
    <w:lvl w:ilvl="0" w:tplc="DBBC5F56">
      <w:start w:val="1"/>
      <w:numFmt w:val="decimal"/>
      <w:lvlText w:val="%1."/>
      <w:lvlJc w:val="left"/>
      <w:pPr>
        <w:ind w:left="720" w:hanging="360"/>
      </w:pPr>
      <w:rPr>
        <w:rFonts w:cs="Times New Roman"/>
        <w:b w:val="0"/>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28"/>
  </w:num>
  <w:num w:numId="3">
    <w:abstractNumId w:val="18"/>
  </w:num>
  <w:num w:numId="4">
    <w:abstractNumId w:val="17"/>
  </w:num>
  <w:num w:numId="5">
    <w:abstractNumId w:val="16"/>
  </w:num>
  <w:num w:numId="6">
    <w:abstractNumId w:val="32"/>
  </w:num>
  <w:num w:numId="7">
    <w:abstractNumId w:val="1"/>
  </w:num>
  <w:num w:numId="8">
    <w:abstractNumId w:val="8"/>
  </w:num>
  <w:num w:numId="9">
    <w:abstractNumId w:val="34"/>
  </w:num>
  <w:num w:numId="10">
    <w:abstractNumId w:val="35"/>
  </w:num>
  <w:num w:numId="11">
    <w:abstractNumId w:val="4"/>
  </w:num>
  <w:num w:numId="12">
    <w:abstractNumId w:val="21"/>
  </w:num>
  <w:num w:numId="13">
    <w:abstractNumId w:val="29"/>
  </w:num>
  <w:num w:numId="14">
    <w:abstractNumId w:val="20"/>
  </w:num>
  <w:num w:numId="15">
    <w:abstractNumId w:val="19"/>
  </w:num>
  <w:num w:numId="16">
    <w:abstractNumId w:val="11"/>
  </w:num>
  <w:num w:numId="17">
    <w:abstractNumId w:val="31"/>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27"/>
  </w:num>
  <w:num w:numId="22">
    <w:abstractNumId w:val="13"/>
  </w:num>
  <w:num w:numId="23">
    <w:abstractNumId w:val="3"/>
  </w:num>
  <w:num w:numId="24">
    <w:abstractNumId w:val="37"/>
  </w:num>
  <w:num w:numId="25">
    <w:abstractNumId w:val="9"/>
  </w:num>
  <w:num w:numId="26">
    <w:abstractNumId w:val="26"/>
  </w:num>
  <w:num w:numId="27">
    <w:abstractNumId w:val="2"/>
  </w:num>
  <w:num w:numId="28">
    <w:abstractNumId w:val="25"/>
  </w:num>
  <w:num w:numId="29">
    <w:abstractNumId w:val="30"/>
  </w:num>
  <w:num w:numId="30">
    <w:abstractNumId w:val="33"/>
  </w:num>
  <w:num w:numId="31">
    <w:abstractNumId w:val="22"/>
  </w:num>
  <w:num w:numId="32">
    <w:abstractNumId w:val="14"/>
  </w:num>
  <w:num w:numId="33">
    <w:abstractNumId w:val="36"/>
  </w:num>
  <w:num w:numId="34">
    <w:abstractNumId w:val="10"/>
  </w:num>
  <w:num w:numId="35">
    <w:abstractNumId w:val="23"/>
  </w:num>
  <w:num w:numId="36">
    <w:abstractNumId w:val="7"/>
  </w:num>
  <w:num w:numId="37">
    <w:abstractNumId w:val="5"/>
  </w:num>
  <w:num w:numId="38">
    <w:abstractNumId w:val="15"/>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0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F5C51"/>
    <w:rsid w:val="00000AE6"/>
    <w:rsid w:val="000029EC"/>
    <w:rsid w:val="00004A59"/>
    <w:rsid w:val="00004DD8"/>
    <w:rsid w:val="00030D90"/>
    <w:rsid w:val="00031D62"/>
    <w:rsid w:val="000329F3"/>
    <w:rsid w:val="00036BB6"/>
    <w:rsid w:val="000376EA"/>
    <w:rsid w:val="000400E9"/>
    <w:rsid w:val="00042D91"/>
    <w:rsid w:val="00044029"/>
    <w:rsid w:val="0005576F"/>
    <w:rsid w:val="00060B36"/>
    <w:rsid w:val="00067000"/>
    <w:rsid w:val="0006734D"/>
    <w:rsid w:val="00067A1D"/>
    <w:rsid w:val="000708C4"/>
    <w:rsid w:val="0007492D"/>
    <w:rsid w:val="00075D3E"/>
    <w:rsid w:val="0008167F"/>
    <w:rsid w:val="00084472"/>
    <w:rsid w:val="00084597"/>
    <w:rsid w:val="00085606"/>
    <w:rsid w:val="0009182A"/>
    <w:rsid w:val="000956CA"/>
    <w:rsid w:val="00095BBE"/>
    <w:rsid w:val="000A0280"/>
    <w:rsid w:val="000A14A6"/>
    <w:rsid w:val="000A38C2"/>
    <w:rsid w:val="000A3D0F"/>
    <w:rsid w:val="000A3E36"/>
    <w:rsid w:val="000A40BE"/>
    <w:rsid w:val="000A4C06"/>
    <w:rsid w:val="000B3846"/>
    <w:rsid w:val="000B4263"/>
    <w:rsid w:val="000B4C08"/>
    <w:rsid w:val="000B4DA4"/>
    <w:rsid w:val="000C6379"/>
    <w:rsid w:val="000D34D9"/>
    <w:rsid w:val="000E12E9"/>
    <w:rsid w:val="000E2DCD"/>
    <w:rsid w:val="001000EF"/>
    <w:rsid w:val="0010465F"/>
    <w:rsid w:val="00105172"/>
    <w:rsid w:val="00107ACF"/>
    <w:rsid w:val="00107ECA"/>
    <w:rsid w:val="00112B10"/>
    <w:rsid w:val="00114DB7"/>
    <w:rsid w:val="00116582"/>
    <w:rsid w:val="00124893"/>
    <w:rsid w:val="00127BC0"/>
    <w:rsid w:val="00133CE1"/>
    <w:rsid w:val="00144F8C"/>
    <w:rsid w:val="00147FA1"/>
    <w:rsid w:val="00150206"/>
    <w:rsid w:val="00155538"/>
    <w:rsid w:val="001555E3"/>
    <w:rsid w:val="001558BE"/>
    <w:rsid w:val="00163226"/>
    <w:rsid w:val="00165005"/>
    <w:rsid w:val="0016787D"/>
    <w:rsid w:val="00171145"/>
    <w:rsid w:val="00171F82"/>
    <w:rsid w:val="00174226"/>
    <w:rsid w:val="00174BC8"/>
    <w:rsid w:val="00193906"/>
    <w:rsid w:val="00195C4E"/>
    <w:rsid w:val="001A1A78"/>
    <w:rsid w:val="001B040D"/>
    <w:rsid w:val="001B293F"/>
    <w:rsid w:val="001B43B0"/>
    <w:rsid w:val="001C0EDB"/>
    <w:rsid w:val="001D331C"/>
    <w:rsid w:val="001D7264"/>
    <w:rsid w:val="001E284E"/>
    <w:rsid w:val="00214A17"/>
    <w:rsid w:val="00216A8E"/>
    <w:rsid w:val="00223C49"/>
    <w:rsid w:val="00235C9C"/>
    <w:rsid w:val="002363C5"/>
    <w:rsid w:val="002450F9"/>
    <w:rsid w:val="00245C40"/>
    <w:rsid w:val="00246783"/>
    <w:rsid w:val="00246EF6"/>
    <w:rsid w:val="00247740"/>
    <w:rsid w:val="00247A50"/>
    <w:rsid w:val="0025070E"/>
    <w:rsid w:val="002615C3"/>
    <w:rsid w:val="00262BFC"/>
    <w:rsid w:val="00264D21"/>
    <w:rsid w:val="002704C9"/>
    <w:rsid w:val="0028151B"/>
    <w:rsid w:val="0028348C"/>
    <w:rsid w:val="002958FC"/>
    <w:rsid w:val="002A1653"/>
    <w:rsid w:val="002A1C14"/>
    <w:rsid w:val="002B47F4"/>
    <w:rsid w:val="002B5AFC"/>
    <w:rsid w:val="002C45E0"/>
    <w:rsid w:val="002D1B5F"/>
    <w:rsid w:val="002D2305"/>
    <w:rsid w:val="002D2401"/>
    <w:rsid w:val="002D67E8"/>
    <w:rsid w:val="002E715A"/>
    <w:rsid w:val="002E7A96"/>
    <w:rsid w:val="002F4218"/>
    <w:rsid w:val="002F49BC"/>
    <w:rsid w:val="0030730A"/>
    <w:rsid w:val="003175CA"/>
    <w:rsid w:val="00320657"/>
    <w:rsid w:val="0032153D"/>
    <w:rsid w:val="0032221C"/>
    <w:rsid w:val="00324D5A"/>
    <w:rsid w:val="00325C28"/>
    <w:rsid w:val="00334F21"/>
    <w:rsid w:val="0033783D"/>
    <w:rsid w:val="00341595"/>
    <w:rsid w:val="0035348F"/>
    <w:rsid w:val="003570CB"/>
    <w:rsid w:val="00357991"/>
    <w:rsid w:val="00360788"/>
    <w:rsid w:val="00362477"/>
    <w:rsid w:val="003626C6"/>
    <w:rsid w:val="0036445D"/>
    <w:rsid w:val="00383307"/>
    <w:rsid w:val="0038343D"/>
    <w:rsid w:val="00386901"/>
    <w:rsid w:val="00395EFE"/>
    <w:rsid w:val="003970F9"/>
    <w:rsid w:val="00397650"/>
    <w:rsid w:val="003A3635"/>
    <w:rsid w:val="003A416C"/>
    <w:rsid w:val="003B083E"/>
    <w:rsid w:val="003B7640"/>
    <w:rsid w:val="003C2584"/>
    <w:rsid w:val="003D069D"/>
    <w:rsid w:val="003D416A"/>
    <w:rsid w:val="003E2C04"/>
    <w:rsid w:val="003F0444"/>
    <w:rsid w:val="003F4296"/>
    <w:rsid w:val="003F7034"/>
    <w:rsid w:val="004044D4"/>
    <w:rsid w:val="00412E70"/>
    <w:rsid w:val="004140B8"/>
    <w:rsid w:val="0041537B"/>
    <w:rsid w:val="004213F2"/>
    <w:rsid w:val="0043447A"/>
    <w:rsid w:val="0043447E"/>
    <w:rsid w:val="00434BB3"/>
    <w:rsid w:val="0044346D"/>
    <w:rsid w:val="00450475"/>
    <w:rsid w:val="004564BD"/>
    <w:rsid w:val="004666D0"/>
    <w:rsid w:val="00471507"/>
    <w:rsid w:val="0047398F"/>
    <w:rsid w:val="00480F9E"/>
    <w:rsid w:val="004810E3"/>
    <w:rsid w:val="00481FD6"/>
    <w:rsid w:val="004928CA"/>
    <w:rsid w:val="00494126"/>
    <w:rsid w:val="00494FAC"/>
    <w:rsid w:val="004A1056"/>
    <w:rsid w:val="004A4C04"/>
    <w:rsid w:val="004A7754"/>
    <w:rsid w:val="004B0CBB"/>
    <w:rsid w:val="004B1623"/>
    <w:rsid w:val="004B6F18"/>
    <w:rsid w:val="004C2628"/>
    <w:rsid w:val="004C60F3"/>
    <w:rsid w:val="004C75BA"/>
    <w:rsid w:val="004D06B5"/>
    <w:rsid w:val="004D4B15"/>
    <w:rsid w:val="004E3641"/>
    <w:rsid w:val="004F0941"/>
    <w:rsid w:val="004F15B4"/>
    <w:rsid w:val="004F3524"/>
    <w:rsid w:val="004F4A13"/>
    <w:rsid w:val="005020C5"/>
    <w:rsid w:val="005034CA"/>
    <w:rsid w:val="005066B2"/>
    <w:rsid w:val="005129EB"/>
    <w:rsid w:val="00514259"/>
    <w:rsid w:val="005209B2"/>
    <w:rsid w:val="00530BCC"/>
    <w:rsid w:val="00531228"/>
    <w:rsid w:val="00554426"/>
    <w:rsid w:val="00555F90"/>
    <w:rsid w:val="0055653A"/>
    <w:rsid w:val="0056202F"/>
    <w:rsid w:val="00564297"/>
    <w:rsid w:val="005674E7"/>
    <w:rsid w:val="005729AF"/>
    <w:rsid w:val="00574CA5"/>
    <w:rsid w:val="005823E7"/>
    <w:rsid w:val="005831B7"/>
    <w:rsid w:val="005838C3"/>
    <w:rsid w:val="005A1DD1"/>
    <w:rsid w:val="005A2C6B"/>
    <w:rsid w:val="005A3B57"/>
    <w:rsid w:val="005B3290"/>
    <w:rsid w:val="005B4BD0"/>
    <w:rsid w:val="005E01C2"/>
    <w:rsid w:val="005E4F07"/>
    <w:rsid w:val="005E7242"/>
    <w:rsid w:val="005F0219"/>
    <w:rsid w:val="005F08CF"/>
    <w:rsid w:val="005F40B0"/>
    <w:rsid w:val="005F511B"/>
    <w:rsid w:val="005F73E1"/>
    <w:rsid w:val="005F7A5C"/>
    <w:rsid w:val="00602532"/>
    <w:rsid w:val="00610BDE"/>
    <w:rsid w:val="00612591"/>
    <w:rsid w:val="0061520E"/>
    <w:rsid w:val="006333BC"/>
    <w:rsid w:val="00633CB2"/>
    <w:rsid w:val="00637837"/>
    <w:rsid w:val="0064680B"/>
    <w:rsid w:val="00646EBC"/>
    <w:rsid w:val="006525CB"/>
    <w:rsid w:val="006538B7"/>
    <w:rsid w:val="00653D69"/>
    <w:rsid w:val="00660B96"/>
    <w:rsid w:val="00666CD0"/>
    <w:rsid w:val="006723C6"/>
    <w:rsid w:val="00675A2B"/>
    <w:rsid w:val="00692B93"/>
    <w:rsid w:val="006B0972"/>
    <w:rsid w:val="006B453D"/>
    <w:rsid w:val="006C264D"/>
    <w:rsid w:val="006C27B8"/>
    <w:rsid w:val="006C7121"/>
    <w:rsid w:val="006C7FE0"/>
    <w:rsid w:val="006D234B"/>
    <w:rsid w:val="006D5B81"/>
    <w:rsid w:val="006D5C14"/>
    <w:rsid w:val="006E1397"/>
    <w:rsid w:val="006E27A3"/>
    <w:rsid w:val="006E4BE3"/>
    <w:rsid w:val="006E71E1"/>
    <w:rsid w:val="006E7525"/>
    <w:rsid w:val="006F2B28"/>
    <w:rsid w:val="006F52B8"/>
    <w:rsid w:val="00704B76"/>
    <w:rsid w:val="00706AE3"/>
    <w:rsid w:val="00715467"/>
    <w:rsid w:val="00720626"/>
    <w:rsid w:val="00722198"/>
    <w:rsid w:val="00725080"/>
    <w:rsid w:val="00726DF7"/>
    <w:rsid w:val="007322EC"/>
    <w:rsid w:val="00743260"/>
    <w:rsid w:val="00760304"/>
    <w:rsid w:val="007610B2"/>
    <w:rsid w:val="0076159A"/>
    <w:rsid w:val="00767B1F"/>
    <w:rsid w:val="007700C5"/>
    <w:rsid w:val="00772313"/>
    <w:rsid w:val="0078015A"/>
    <w:rsid w:val="00781B6D"/>
    <w:rsid w:val="00782739"/>
    <w:rsid w:val="0078310E"/>
    <w:rsid w:val="00786591"/>
    <w:rsid w:val="00792621"/>
    <w:rsid w:val="0079471F"/>
    <w:rsid w:val="007958E8"/>
    <w:rsid w:val="007A6859"/>
    <w:rsid w:val="007B0A49"/>
    <w:rsid w:val="007B310A"/>
    <w:rsid w:val="007C2080"/>
    <w:rsid w:val="007C498B"/>
    <w:rsid w:val="007D2CC8"/>
    <w:rsid w:val="007D6ADD"/>
    <w:rsid w:val="007E346B"/>
    <w:rsid w:val="007E3BC0"/>
    <w:rsid w:val="007E4B0A"/>
    <w:rsid w:val="007E5602"/>
    <w:rsid w:val="007F5CE5"/>
    <w:rsid w:val="00800712"/>
    <w:rsid w:val="00801F8C"/>
    <w:rsid w:val="008033B8"/>
    <w:rsid w:val="008048B4"/>
    <w:rsid w:val="00805069"/>
    <w:rsid w:val="0081599B"/>
    <w:rsid w:val="008355DE"/>
    <w:rsid w:val="0083706C"/>
    <w:rsid w:val="008415F9"/>
    <w:rsid w:val="00842071"/>
    <w:rsid w:val="00844C91"/>
    <w:rsid w:val="008500CF"/>
    <w:rsid w:val="0085286B"/>
    <w:rsid w:val="00871D0D"/>
    <w:rsid w:val="00880785"/>
    <w:rsid w:val="00883880"/>
    <w:rsid w:val="00884C4B"/>
    <w:rsid w:val="00893961"/>
    <w:rsid w:val="0089629A"/>
    <w:rsid w:val="008A0111"/>
    <w:rsid w:val="008A6F3C"/>
    <w:rsid w:val="008B0DF1"/>
    <w:rsid w:val="008B50A3"/>
    <w:rsid w:val="008B56FC"/>
    <w:rsid w:val="008B7379"/>
    <w:rsid w:val="008D1668"/>
    <w:rsid w:val="008D4DF6"/>
    <w:rsid w:val="008E129C"/>
    <w:rsid w:val="008F5C51"/>
    <w:rsid w:val="008F6C48"/>
    <w:rsid w:val="00900D01"/>
    <w:rsid w:val="00902644"/>
    <w:rsid w:val="0091048B"/>
    <w:rsid w:val="00911D16"/>
    <w:rsid w:val="0091260F"/>
    <w:rsid w:val="00920561"/>
    <w:rsid w:val="00922240"/>
    <w:rsid w:val="00923431"/>
    <w:rsid w:val="009243F7"/>
    <w:rsid w:val="00942795"/>
    <w:rsid w:val="00951381"/>
    <w:rsid w:val="00954B69"/>
    <w:rsid w:val="009567DE"/>
    <w:rsid w:val="009578EF"/>
    <w:rsid w:val="00957DF5"/>
    <w:rsid w:val="009649E7"/>
    <w:rsid w:val="00965BC8"/>
    <w:rsid w:val="009673FA"/>
    <w:rsid w:val="0096742D"/>
    <w:rsid w:val="00971296"/>
    <w:rsid w:val="00973240"/>
    <w:rsid w:val="009749CC"/>
    <w:rsid w:val="00985559"/>
    <w:rsid w:val="0098703E"/>
    <w:rsid w:val="009873C7"/>
    <w:rsid w:val="00990A16"/>
    <w:rsid w:val="00990AF9"/>
    <w:rsid w:val="00991BD8"/>
    <w:rsid w:val="009A0E71"/>
    <w:rsid w:val="009A67A1"/>
    <w:rsid w:val="009B08D6"/>
    <w:rsid w:val="009B0E40"/>
    <w:rsid w:val="009B4586"/>
    <w:rsid w:val="009C32DF"/>
    <w:rsid w:val="009C6B84"/>
    <w:rsid w:val="009D5FAD"/>
    <w:rsid w:val="009E4394"/>
    <w:rsid w:val="009E6634"/>
    <w:rsid w:val="009E6E11"/>
    <w:rsid w:val="009E7428"/>
    <w:rsid w:val="009E7558"/>
    <w:rsid w:val="009F0124"/>
    <w:rsid w:val="00A05147"/>
    <w:rsid w:val="00A059DA"/>
    <w:rsid w:val="00A113B7"/>
    <w:rsid w:val="00A17494"/>
    <w:rsid w:val="00A22046"/>
    <w:rsid w:val="00A22967"/>
    <w:rsid w:val="00A229B7"/>
    <w:rsid w:val="00A24711"/>
    <w:rsid w:val="00A30658"/>
    <w:rsid w:val="00A35102"/>
    <w:rsid w:val="00A3664B"/>
    <w:rsid w:val="00A42AF3"/>
    <w:rsid w:val="00A43A4A"/>
    <w:rsid w:val="00A43C0A"/>
    <w:rsid w:val="00A471C8"/>
    <w:rsid w:val="00A47C22"/>
    <w:rsid w:val="00A5156F"/>
    <w:rsid w:val="00A53814"/>
    <w:rsid w:val="00A5795B"/>
    <w:rsid w:val="00A6157D"/>
    <w:rsid w:val="00A63286"/>
    <w:rsid w:val="00A71AF6"/>
    <w:rsid w:val="00A75D28"/>
    <w:rsid w:val="00A763DF"/>
    <w:rsid w:val="00A77C28"/>
    <w:rsid w:val="00A800C0"/>
    <w:rsid w:val="00A80F9A"/>
    <w:rsid w:val="00A83B8F"/>
    <w:rsid w:val="00A87DFC"/>
    <w:rsid w:val="00A938E6"/>
    <w:rsid w:val="00A95263"/>
    <w:rsid w:val="00A96A8F"/>
    <w:rsid w:val="00AA2095"/>
    <w:rsid w:val="00AA5814"/>
    <w:rsid w:val="00AA6279"/>
    <w:rsid w:val="00AB5F8C"/>
    <w:rsid w:val="00AC5CC3"/>
    <w:rsid w:val="00AC5EA8"/>
    <w:rsid w:val="00AD3D07"/>
    <w:rsid w:val="00AD51E4"/>
    <w:rsid w:val="00AD66BF"/>
    <w:rsid w:val="00AE00B9"/>
    <w:rsid w:val="00AE3EFB"/>
    <w:rsid w:val="00AE6F85"/>
    <w:rsid w:val="00AF7F37"/>
    <w:rsid w:val="00B03798"/>
    <w:rsid w:val="00B04536"/>
    <w:rsid w:val="00B13869"/>
    <w:rsid w:val="00B1665A"/>
    <w:rsid w:val="00B357AC"/>
    <w:rsid w:val="00B40A29"/>
    <w:rsid w:val="00B421E9"/>
    <w:rsid w:val="00B448F1"/>
    <w:rsid w:val="00B47C5A"/>
    <w:rsid w:val="00B50FE1"/>
    <w:rsid w:val="00B5152F"/>
    <w:rsid w:val="00B52E1F"/>
    <w:rsid w:val="00B64CF6"/>
    <w:rsid w:val="00B65AE4"/>
    <w:rsid w:val="00B71848"/>
    <w:rsid w:val="00B7286C"/>
    <w:rsid w:val="00B73956"/>
    <w:rsid w:val="00B85557"/>
    <w:rsid w:val="00B877FB"/>
    <w:rsid w:val="00B94B86"/>
    <w:rsid w:val="00BA07B6"/>
    <w:rsid w:val="00BA276F"/>
    <w:rsid w:val="00BA329E"/>
    <w:rsid w:val="00BA76AF"/>
    <w:rsid w:val="00BB2E9E"/>
    <w:rsid w:val="00BB4172"/>
    <w:rsid w:val="00BC19DE"/>
    <w:rsid w:val="00BC4535"/>
    <w:rsid w:val="00BC6B10"/>
    <w:rsid w:val="00BC7D67"/>
    <w:rsid w:val="00BD3FE0"/>
    <w:rsid w:val="00BD49B6"/>
    <w:rsid w:val="00BD52B2"/>
    <w:rsid w:val="00BF1FE5"/>
    <w:rsid w:val="00BF4729"/>
    <w:rsid w:val="00C043EC"/>
    <w:rsid w:val="00C05869"/>
    <w:rsid w:val="00C07A27"/>
    <w:rsid w:val="00C155DE"/>
    <w:rsid w:val="00C23969"/>
    <w:rsid w:val="00C25DE5"/>
    <w:rsid w:val="00C31B93"/>
    <w:rsid w:val="00C34E34"/>
    <w:rsid w:val="00C436F6"/>
    <w:rsid w:val="00C517FB"/>
    <w:rsid w:val="00C52D84"/>
    <w:rsid w:val="00C5557D"/>
    <w:rsid w:val="00C65020"/>
    <w:rsid w:val="00C66D9C"/>
    <w:rsid w:val="00C705FA"/>
    <w:rsid w:val="00C759B1"/>
    <w:rsid w:val="00C76C28"/>
    <w:rsid w:val="00C839BE"/>
    <w:rsid w:val="00C86154"/>
    <w:rsid w:val="00C93C98"/>
    <w:rsid w:val="00CA31C7"/>
    <w:rsid w:val="00CA3277"/>
    <w:rsid w:val="00CA5ECA"/>
    <w:rsid w:val="00CB2935"/>
    <w:rsid w:val="00CB3927"/>
    <w:rsid w:val="00CB399C"/>
    <w:rsid w:val="00CB532F"/>
    <w:rsid w:val="00CB636A"/>
    <w:rsid w:val="00CD17F6"/>
    <w:rsid w:val="00CD552B"/>
    <w:rsid w:val="00CD68AC"/>
    <w:rsid w:val="00CE68CE"/>
    <w:rsid w:val="00CE6EFE"/>
    <w:rsid w:val="00CF4AF4"/>
    <w:rsid w:val="00CF7BD5"/>
    <w:rsid w:val="00D02778"/>
    <w:rsid w:val="00D04C93"/>
    <w:rsid w:val="00D074A5"/>
    <w:rsid w:val="00D10AB1"/>
    <w:rsid w:val="00D12B37"/>
    <w:rsid w:val="00D16AD8"/>
    <w:rsid w:val="00D215EF"/>
    <w:rsid w:val="00D27A49"/>
    <w:rsid w:val="00D27C49"/>
    <w:rsid w:val="00D36A70"/>
    <w:rsid w:val="00D36F80"/>
    <w:rsid w:val="00D454E3"/>
    <w:rsid w:val="00D47096"/>
    <w:rsid w:val="00D51960"/>
    <w:rsid w:val="00D54D38"/>
    <w:rsid w:val="00D55E3A"/>
    <w:rsid w:val="00D633AC"/>
    <w:rsid w:val="00D6622F"/>
    <w:rsid w:val="00D85837"/>
    <w:rsid w:val="00D90890"/>
    <w:rsid w:val="00D90A25"/>
    <w:rsid w:val="00D9513F"/>
    <w:rsid w:val="00DA22B1"/>
    <w:rsid w:val="00DA4490"/>
    <w:rsid w:val="00DA4AD4"/>
    <w:rsid w:val="00DA4FC6"/>
    <w:rsid w:val="00DA5262"/>
    <w:rsid w:val="00DB0792"/>
    <w:rsid w:val="00DB1813"/>
    <w:rsid w:val="00DB391E"/>
    <w:rsid w:val="00DB4C3F"/>
    <w:rsid w:val="00DB76C1"/>
    <w:rsid w:val="00DC5A1D"/>
    <w:rsid w:val="00DD6445"/>
    <w:rsid w:val="00DF038B"/>
    <w:rsid w:val="00DF29BE"/>
    <w:rsid w:val="00DF2F13"/>
    <w:rsid w:val="00DF37FB"/>
    <w:rsid w:val="00DF3C2C"/>
    <w:rsid w:val="00E06915"/>
    <w:rsid w:val="00E1151B"/>
    <w:rsid w:val="00E1634D"/>
    <w:rsid w:val="00E165EB"/>
    <w:rsid w:val="00E20318"/>
    <w:rsid w:val="00E2500B"/>
    <w:rsid w:val="00E3159F"/>
    <w:rsid w:val="00E3169C"/>
    <w:rsid w:val="00E33146"/>
    <w:rsid w:val="00E36D51"/>
    <w:rsid w:val="00E3731F"/>
    <w:rsid w:val="00E414A1"/>
    <w:rsid w:val="00E448F8"/>
    <w:rsid w:val="00E50541"/>
    <w:rsid w:val="00E5165A"/>
    <w:rsid w:val="00E533DD"/>
    <w:rsid w:val="00E61F92"/>
    <w:rsid w:val="00E64EE5"/>
    <w:rsid w:val="00E67EC3"/>
    <w:rsid w:val="00E7087F"/>
    <w:rsid w:val="00E70B2F"/>
    <w:rsid w:val="00E76BB3"/>
    <w:rsid w:val="00E8110C"/>
    <w:rsid w:val="00E90E07"/>
    <w:rsid w:val="00E93A49"/>
    <w:rsid w:val="00E9628D"/>
    <w:rsid w:val="00EB12FC"/>
    <w:rsid w:val="00EB4285"/>
    <w:rsid w:val="00EB7D6B"/>
    <w:rsid w:val="00EC1C5B"/>
    <w:rsid w:val="00ED1E9E"/>
    <w:rsid w:val="00ED22EB"/>
    <w:rsid w:val="00ED2948"/>
    <w:rsid w:val="00ED2EC7"/>
    <w:rsid w:val="00EE2934"/>
    <w:rsid w:val="00EF3A8F"/>
    <w:rsid w:val="00F004AC"/>
    <w:rsid w:val="00F01FA8"/>
    <w:rsid w:val="00F024FE"/>
    <w:rsid w:val="00F04F3B"/>
    <w:rsid w:val="00F114C0"/>
    <w:rsid w:val="00F1222B"/>
    <w:rsid w:val="00F138CD"/>
    <w:rsid w:val="00F20C22"/>
    <w:rsid w:val="00F21D14"/>
    <w:rsid w:val="00F22F82"/>
    <w:rsid w:val="00F24620"/>
    <w:rsid w:val="00F3378F"/>
    <w:rsid w:val="00F37B4F"/>
    <w:rsid w:val="00F4147B"/>
    <w:rsid w:val="00F41485"/>
    <w:rsid w:val="00F44704"/>
    <w:rsid w:val="00F51442"/>
    <w:rsid w:val="00F51CDB"/>
    <w:rsid w:val="00F54B8A"/>
    <w:rsid w:val="00F60174"/>
    <w:rsid w:val="00F60AEC"/>
    <w:rsid w:val="00F67C09"/>
    <w:rsid w:val="00F71460"/>
    <w:rsid w:val="00F71E53"/>
    <w:rsid w:val="00F737AE"/>
    <w:rsid w:val="00F74395"/>
    <w:rsid w:val="00F86FCC"/>
    <w:rsid w:val="00F87737"/>
    <w:rsid w:val="00F878DA"/>
    <w:rsid w:val="00F96018"/>
    <w:rsid w:val="00F97E7B"/>
    <w:rsid w:val="00FA405F"/>
    <w:rsid w:val="00FC05DF"/>
    <w:rsid w:val="00FC6521"/>
    <w:rsid w:val="00FD4FE2"/>
    <w:rsid w:val="00FD582E"/>
    <w:rsid w:val="00FD64F7"/>
    <w:rsid w:val="00FE42D8"/>
    <w:rsid w:val="00FE6212"/>
    <w:rsid w:val="00FE6F48"/>
    <w:rsid w:val="00FF1039"/>
    <w:rsid w:val="00FF27EF"/>
    <w:rsid w:val="00FF2B29"/>
    <w:rsid w:val="00FF37B6"/>
    <w:rsid w:val="00FF3A9C"/>
    <w:rsid w:val="00FF4FA7"/>
    <w:rsid w:val="00FF5A8C"/>
    <w:rsid w:val="00FF5FE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address"/>
  <w:smartTagType w:namespaceuri="urn:schemas-microsoft-com:office:smarttags" w:name="Street"/>
  <w:smartTagType w:namespaceuri="urn:schemas-microsoft-com:office:smarttags" w:name="PlaceName"/>
  <w:smartTagType w:namespaceuri="urn:schemas-microsoft-com:office:smarttags" w:name="PlaceTyp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Batang" w:hAnsi="Cambria" w:cs="Times New Roman"/>
        <w:lang w:val="es-AR" w:eastAsia="es-AR"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footer" w:uiPriority="99"/>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Strong" w:locked="1" w:qFormat="1"/>
    <w:lsdException w:name="Emphasis" w:locked="1" w:qFormat="1"/>
    <w:lsdException w:name="Normal (Web)"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5C51"/>
    <w:pPr>
      <w:jc w:val="both"/>
    </w:pPr>
    <w:rPr>
      <w:rFonts w:ascii="Verdana" w:hAnsi="Verdana"/>
      <w:szCs w:val="24"/>
      <w:lang w:val="es-ES_tradnl" w:eastAsia="en-US"/>
    </w:rPr>
  </w:style>
  <w:style w:type="paragraph" w:styleId="Ttulo1">
    <w:name w:val="heading 1"/>
    <w:basedOn w:val="Normal"/>
    <w:next w:val="Normal"/>
    <w:link w:val="Ttulo1Car"/>
    <w:qFormat/>
    <w:rsid w:val="008F5C51"/>
    <w:pPr>
      <w:keepNext/>
      <w:keepLines/>
      <w:jc w:val="center"/>
      <w:outlineLvl w:val="0"/>
    </w:pPr>
    <w:rPr>
      <w:b/>
      <w:bCs/>
      <w:sz w:val="32"/>
      <w:szCs w:val="32"/>
      <w:lang w:eastAsia="x-none"/>
    </w:rPr>
  </w:style>
  <w:style w:type="paragraph" w:styleId="Ttulo2">
    <w:name w:val="heading 2"/>
    <w:basedOn w:val="Normal"/>
    <w:next w:val="Normal"/>
    <w:link w:val="Ttulo2Car"/>
    <w:qFormat/>
    <w:rsid w:val="008F5C51"/>
    <w:pPr>
      <w:keepNext/>
      <w:keepLines/>
      <w:spacing w:before="200"/>
      <w:outlineLvl w:val="1"/>
    </w:pPr>
    <w:rPr>
      <w:b/>
      <w:bCs/>
      <w:sz w:val="26"/>
      <w:szCs w:val="26"/>
      <w:lang w:eastAsia="x-none"/>
    </w:rPr>
  </w:style>
  <w:style w:type="paragraph" w:styleId="Ttulo3">
    <w:name w:val="heading 3"/>
    <w:basedOn w:val="Normal"/>
    <w:next w:val="Normal"/>
    <w:link w:val="Ttulo3Car"/>
    <w:autoRedefine/>
    <w:qFormat/>
    <w:rsid w:val="0028348C"/>
    <w:pPr>
      <w:keepNext/>
      <w:spacing w:before="240" w:after="60"/>
      <w:outlineLvl w:val="2"/>
    </w:pPr>
    <w:rPr>
      <w:b/>
      <w:bCs/>
      <w:i/>
      <w:sz w:val="26"/>
      <w:szCs w:val="26"/>
      <w:lang w:eastAsia="x-none"/>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Ttulo1Car">
    <w:name w:val="Título 1 Car"/>
    <w:link w:val="Ttulo1"/>
    <w:locked/>
    <w:rsid w:val="008F5C51"/>
    <w:rPr>
      <w:rFonts w:ascii="Verdana" w:hAnsi="Verdana" w:cs="Times New Roman"/>
      <w:b/>
      <w:bCs/>
      <w:sz w:val="32"/>
      <w:szCs w:val="32"/>
      <w:lang w:val="es-ES_tradnl" w:eastAsia="x-none"/>
    </w:rPr>
  </w:style>
  <w:style w:type="character" w:customStyle="1" w:styleId="Ttulo2Car">
    <w:name w:val="Título 2 Car"/>
    <w:link w:val="Ttulo2"/>
    <w:locked/>
    <w:rsid w:val="008F5C51"/>
    <w:rPr>
      <w:rFonts w:ascii="Verdana" w:hAnsi="Verdana" w:cs="Times New Roman"/>
      <w:b/>
      <w:bCs/>
      <w:sz w:val="26"/>
      <w:szCs w:val="26"/>
      <w:lang w:val="es-ES_tradnl" w:eastAsia="x-none"/>
    </w:rPr>
  </w:style>
  <w:style w:type="character" w:customStyle="1" w:styleId="Ttulo3Car">
    <w:name w:val="Título 3 Car"/>
    <w:link w:val="Ttulo3"/>
    <w:locked/>
    <w:rsid w:val="0028348C"/>
    <w:rPr>
      <w:rFonts w:ascii="Verdana" w:hAnsi="Verdana" w:cs="Times New Roman"/>
      <w:b/>
      <w:bCs/>
      <w:i/>
      <w:sz w:val="26"/>
      <w:szCs w:val="26"/>
      <w:lang w:val="es-ES_tradnl" w:eastAsia="x-none"/>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uiPriority w:val="99"/>
    <w:rsid w:val="0028348C"/>
    <w:rPr>
      <w:rFonts w:cs="Times New Roman"/>
      <w:sz w:val="20"/>
      <w:vertAlign w:val="superscript"/>
    </w:rPr>
  </w:style>
  <w:style w:type="paragraph" w:styleId="Ttulo">
    <w:name w:val="Title"/>
    <w:basedOn w:val="Normal"/>
    <w:next w:val="Normal"/>
    <w:link w:val="TtuloCar"/>
    <w:qFormat/>
    <w:rsid w:val="008F5C51"/>
    <w:pPr>
      <w:pBdr>
        <w:bottom w:val="single" w:sz="8" w:space="4" w:color="4F81BD"/>
      </w:pBdr>
      <w:spacing w:after="300"/>
      <w:contextualSpacing/>
      <w:jc w:val="center"/>
    </w:pPr>
    <w:rPr>
      <w:b/>
      <w:spacing w:val="5"/>
      <w:kern w:val="28"/>
      <w:sz w:val="52"/>
      <w:szCs w:val="52"/>
      <w:lang w:eastAsia="x-none"/>
    </w:rPr>
  </w:style>
  <w:style w:type="character" w:customStyle="1" w:styleId="TtuloCar">
    <w:name w:val="Título Car"/>
    <w:link w:val="Ttulo"/>
    <w:locked/>
    <w:rsid w:val="008F5C51"/>
    <w:rPr>
      <w:rFonts w:ascii="Verdana" w:hAnsi="Verdana" w:cs="Times New Roman"/>
      <w:b/>
      <w:spacing w:val="5"/>
      <w:kern w:val="28"/>
      <w:sz w:val="52"/>
      <w:szCs w:val="52"/>
      <w:lang w:val="es-ES_tradnl" w:eastAsia="x-none"/>
    </w:rPr>
  </w:style>
  <w:style w:type="paragraph" w:styleId="Subttulo">
    <w:name w:val="Subtitle"/>
    <w:basedOn w:val="Normal"/>
    <w:next w:val="Normal"/>
    <w:link w:val="SubttuloCar"/>
    <w:qFormat/>
    <w:rsid w:val="008F5C51"/>
    <w:pPr>
      <w:numPr>
        <w:ilvl w:val="1"/>
      </w:numPr>
    </w:pPr>
    <w:rPr>
      <w:b/>
      <w:iCs/>
      <w:spacing w:val="15"/>
      <w:szCs w:val="20"/>
      <w:lang w:eastAsia="x-none"/>
    </w:rPr>
  </w:style>
  <w:style w:type="character" w:customStyle="1" w:styleId="SubttuloCar">
    <w:name w:val="Subtítulo Car"/>
    <w:link w:val="Subttulo"/>
    <w:locked/>
    <w:rsid w:val="008F5C51"/>
    <w:rPr>
      <w:rFonts w:ascii="Verdana" w:hAnsi="Verdana" w:cs="Times New Roman"/>
      <w:b/>
      <w:iCs/>
      <w:spacing w:val="15"/>
      <w:sz w:val="20"/>
      <w:lang w:val="es-ES_tradnl" w:eastAsia="x-none"/>
    </w:rPr>
  </w:style>
  <w:style w:type="paragraph" w:styleId="Textonotapie">
    <w:name w:val="footnote text"/>
    <w:aliases w:val="Footnote reference,FA Fu,Footnote Text Char Char Char Char Char,Footnote Text Char Char Char Char,Footnote Text Char Char Char,Footnote Text Cha,FA Fußnotentext,FA Fuﬂnotentext,Texto nota pie Car,Footnote Text Char Char,FA Fu?notentext,Ca"/>
    <w:basedOn w:val="Normal"/>
    <w:link w:val="TextonotapieCar1"/>
    <w:rsid w:val="0028348C"/>
    <w:rPr>
      <w:sz w:val="16"/>
      <w:szCs w:val="20"/>
      <w:lang w:eastAsia="x-none"/>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Texto nota pie Car Car"/>
    <w:link w:val="Textonotapie"/>
    <w:locked/>
    <w:rsid w:val="0028348C"/>
    <w:rPr>
      <w:rFonts w:ascii="Verdana" w:hAnsi="Verdana" w:cs="Times New Roman"/>
      <w:sz w:val="16"/>
      <w:lang w:val="es-ES_tradnl" w:eastAsia="x-none"/>
    </w:rPr>
  </w:style>
  <w:style w:type="character" w:styleId="Refdecomentario">
    <w:name w:val="annotation reference"/>
    <w:rsid w:val="0028348C"/>
    <w:rPr>
      <w:rFonts w:cs="Times New Roman"/>
      <w:sz w:val="18"/>
      <w:szCs w:val="18"/>
    </w:rPr>
  </w:style>
  <w:style w:type="paragraph" w:styleId="Textocomentario">
    <w:name w:val="annotation text"/>
    <w:basedOn w:val="Normal"/>
    <w:link w:val="TextocomentarioCar"/>
    <w:rsid w:val="0028348C"/>
    <w:rPr>
      <w:sz w:val="24"/>
      <w:lang w:eastAsia="x-none"/>
    </w:rPr>
  </w:style>
  <w:style w:type="character" w:customStyle="1" w:styleId="TextocomentarioCar">
    <w:name w:val="Texto comentario Car"/>
    <w:link w:val="Textocomentario"/>
    <w:locked/>
    <w:rsid w:val="0028348C"/>
    <w:rPr>
      <w:rFonts w:ascii="Verdana" w:hAnsi="Verdana" w:cs="Times New Roman"/>
      <w:sz w:val="24"/>
      <w:szCs w:val="24"/>
      <w:lang w:val="es-ES_tradnl" w:eastAsia="x-none"/>
    </w:rPr>
  </w:style>
  <w:style w:type="paragraph" w:styleId="Asuntodelcomentario">
    <w:name w:val="annotation subject"/>
    <w:basedOn w:val="Textocomentario"/>
    <w:next w:val="Textocomentario"/>
    <w:link w:val="AsuntodelcomentarioCar"/>
    <w:rsid w:val="0028348C"/>
    <w:rPr>
      <w:b/>
      <w:bCs/>
    </w:rPr>
  </w:style>
  <w:style w:type="character" w:customStyle="1" w:styleId="AsuntodelcomentarioCar">
    <w:name w:val="Asunto del comentario Car"/>
    <w:link w:val="Asuntodelcomentario"/>
    <w:locked/>
    <w:rsid w:val="0028348C"/>
    <w:rPr>
      <w:rFonts w:ascii="Verdana" w:hAnsi="Verdana" w:cs="Times New Roman"/>
      <w:b/>
      <w:bCs/>
      <w:sz w:val="24"/>
      <w:szCs w:val="24"/>
      <w:lang w:val="es-ES_tradnl" w:eastAsia="x-none"/>
    </w:rPr>
  </w:style>
  <w:style w:type="paragraph" w:styleId="Textodeglobo">
    <w:name w:val="Balloon Text"/>
    <w:basedOn w:val="Normal"/>
    <w:link w:val="TextodegloboCar"/>
    <w:rsid w:val="0028348C"/>
    <w:rPr>
      <w:rFonts w:ascii="Lucida Grande" w:hAnsi="Lucida Grande"/>
      <w:sz w:val="18"/>
      <w:szCs w:val="18"/>
      <w:lang w:eastAsia="x-none"/>
    </w:rPr>
  </w:style>
  <w:style w:type="character" w:customStyle="1" w:styleId="TextodegloboCar">
    <w:name w:val="Texto de globo Car"/>
    <w:link w:val="Textodeglobo"/>
    <w:locked/>
    <w:rsid w:val="0028348C"/>
    <w:rPr>
      <w:rFonts w:ascii="Lucida Grande" w:hAnsi="Lucida Grande" w:cs="Times New Roman"/>
      <w:sz w:val="18"/>
      <w:szCs w:val="18"/>
      <w:lang w:val="es-ES_tradnl" w:eastAsia="x-none"/>
    </w:rPr>
  </w:style>
  <w:style w:type="paragraph" w:styleId="Textodebloque">
    <w:name w:val="Block Text"/>
    <w:basedOn w:val="Normal"/>
    <w:rsid w:val="0028348C"/>
    <w:pPr>
      <w:ind w:left="720" w:right="764"/>
    </w:pPr>
    <w:rPr>
      <w:sz w:val="18"/>
      <w:szCs w:val="20"/>
    </w:rPr>
  </w:style>
  <w:style w:type="paragraph" w:styleId="Piedepgina">
    <w:name w:val="footer"/>
    <w:basedOn w:val="Normal"/>
    <w:link w:val="PiedepginaCar"/>
    <w:uiPriority w:val="99"/>
    <w:rsid w:val="0028348C"/>
    <w:pPr>
      <w:tabs>
        <w:tab w:val="center" w:pos="4320"/>
        <w:tab w:val="right" w:pos="8640"/>
      </w:tabs>
    </w:pPr>
    <w:rPr>
      <w:sz w:val="24"/>
      <w:lang w:eastAsia="x-none"/>
    </w:rPr>
  </w:style>
  <w:style w:type="character" w:customStyle="1" w:styleId="PiedepginaCar">
    <w:name w:val="Pie de página Car"/>
    <w:link w:val="Piedepgina"/>
    <w:uiPriority w:val="99"/>
    <w:locked/>
    <w:rsid w:val="0028348C"/>
    <w:rPr>
      <w:rFonts w:ascii="Verdana" w:hAnsi="Verdana" w:cs="Times New Roman"/>
      <w:sz w:val="24"/>
      <w:szCs w:val="24"/>
      <w:lang w:val="es-ES_tradnl" w:eastAsia="x-none"/>
    </w:rPr>
  </w:style>
  <w:style w:type="character" w:styleId="Nmerodepgina">
    <w:name w:val="page number"/>
    <w:rsid w:val="0028348C"/>
    <w:rPr>
      <w:rFonts w:cs="Times New Roman"/>
    </w:rPr>
  </w:style>
  <w:style w:type="paragraph" w:customStyle="1" w:styleId="ColorfulList-Accent11">
    <w:name w:val="Colorful List - Accent 11"/>
    <w:basedOn w:val="Normal"/>
    <w:qFormat/>
    <w:rsid w:val="0028348C"/>
    <w:pPr>
      <w:ind w:left="720"/>
    </w:pPr>
  </w:style>
  <w:style w:type="paragraph" w:styleId="Encabezado">
    <w:name w:val="header"/>
    <w:basedOn w:val="Normal"/>
    <w:link w:val="EncabezadoCar"/>
    <w:rsid w:val="0028348C"/>
    <w:pPr>
      <w:tabs>
        <w:tab w:val="center" w:pos="4320"/>
        <w:tab w:val="right" w:pos="8640"/>
      </w:tabs>
      <w:jc w:val="left"/>
    </w:pPr>
    <w:rPr>
      <w:rFonts w:ascii="Times" w:hAnsi="Times"/>
      <w:color w:val="000000"/>
      <w:sz w:val="24"/>
      <w:szCs w:val="20"/>
      <w:lang w:eastAsia="x-none"/>
    </w:rPr>
  </w:style>
  <w:style w:type="character" w:customStyle="1" w:styleId="EncabezadoCar">
    <w:name w:val="Encabezado Car"/>
    <w:link w:val="Encabezado"/>
    <w:locked/>
    <w:rsid w:val="0028348C"/>
    <w:rPr>
      <w:rFonts w:ascii="Times" w:eastAsia="Batang" w:hAnsi="Times" w:cs="Times New Roman"/>
      <w:color w:val="000000"/>
      <w:sz w:val="24"/>
      <w:lang w:val="es-ES_tradnl" w:eastAsia="x-none"/>
    </w:rPr>
  </w:style>
  <w:style w:type="character" w:customStyle="1" w:styleId="shorttext">
    <w:name w:val="short_text"/>
    <w:rsid w:val="0028348C"/>
    <w:rPr>
      <w:rFonts w:cs="Times New Roman"/>
    </w:rPr>
  </w:style>
  <w:style w:type="paragraph" w:styleId="NormalWeb">
    <w:name w:val="Normal (Web)"/>
    <w:basedOn w:val="Normal"/>
    <w:rsid w:val="00F37B4F"/>
    <w:pPr>
      <w:jc w:val="left"/>
    </w:pPr>
    <w:rPr>
      <w:rFonts w:ascii="Times New Roman" w:hAnsi="Times New Roman"/>
      <w:sz w:val="24"/>
    </w:rPr>
  </w:style>
  <w:style w:type="paragraph" w:customStyle="1" w:styleId="ColorfulShading-Accent11">
    <w:name w:val="Colorful Shading - Accent 11"/>
    <w:hidden/>
    <w:semiHidden/>
    <w:rsid w:val="00760304"/>
    <w:rPr>
      <w:rFonts w:ascii="Verdana" w:hAnsi="Verdana"/>
      <w:szCs w:val="24"/>
      <w:lang w:val="es-ES_tradnl" w:eastAsia="en-US"/>
    </w:rPr>
  </w:style>
  <w:style w:type="paragraph" w:customStyle="1" w:styleId="Default">
    <w:name w:val="Default"/>
    <w:rsid w:val="00AE00B9"/>
    <w:pPr>
      <w:autoSpaceDE w:val="0"/>
      <w:autoSpaceDN w:val="0"/>
      <w:adjustRightInd w:val="0"/>
    </w:pPr>
    <w:rPr>
      <w:rFonts w:ascii="Arial" w:hAnsi="Arial" w:cs="Arial"/>
      <w:color w:val="000000"/>
      <w:sz w:val="24"/>
      <w:szCs w:val="24"/>
      <w:lang w:val="es-ES" w:eastAsia="en-US"/>
    </w:rPr>
  </w:style>
  <w:style w:type="character" w:customStyle="1" w:styleId="normal--char">
    <w:name w:val="normal--char"/>
    <w:rsid w:val="00E61F92"/>
    <w:rPr>
      <w:rFonts w:cs="Times New Roman"/>
    </w:rPr>
  </w:style>
  <w:style w:type="character" w:customStyle="1" w:styleId="ju-005fpara-002cleft-002cfirst-0020line-003a-0020-00200-0020cm--char">
    <w:name w:val="ju-005fpara-002cleft-002cfirst-0020line-003a-0020-00200-0020cm--char"/>
    <w:rsid w:val="00E61F92"/>
    <w:rPr>
      <w:rFonts w:cs="Times New Roman"/>
    </w:rPr>
  </w:style>
  <w:style w:type="character" w:customStyle="1" w:styleId="FootnoteTextChar1">
    <w:name w:val="Footnote Text Char1"/>
    <w:aliases w:val="Footnote Text Char Char Char Char Char Char1,Footnote Text Char Char Char Char Char2,FA Fu Char1,Footnote reference Char1,Footnote Text Char Char Char Char2,NOTA AL PIE TESIS PUCP Char1,Footnote Text Cha Char1,FA Fußnotentext Char1"/>
    <w:locked/>
    <w:rsid w:val="00B13869"/>
    <w:rPr>
      <w:rFonts w:cs="Times New Roman"/>
      <w:lang w:val="en-US" w:eastAsia="en-US" w:bidi="ar-SA"/>
    </w:rPr>
  </w:style>
  <w:style w:type="paragraph" w:customStyle="1" w:styleId="Prrafodelista1">
    <w:name w:val="Párrafo de lista1"/>
    <w:basedOn w:val="Normal"/>
    <w:qFormat/>
    <w:rsid w:val="00BD52B2"/>
    <w:pPr>
      <w:ind w:left="720"/>
    </w:pPr>
  </w:style>
  <w:style w:type="paragraph" w:customStyle="1" w:styleId="Body1">
    <w:name w:val="Body 1"/>
    <w:uiPriority w:val="99"/>
    <w:rsid w:val="004F3524"/>
    <w:pPr>
      <w:outlineLvl w:val="0"/>
    </w:pPr>
    <w:rPr>
      <w:rFonts w:ascii="Times New Roman" w:hAnsi="Times New Roman"/>
      <w:color w:val="000000"/>
      <w:sz w:val="24"/>
      <w:lang w:val="en-US" w:eastAsia="en-US"/>
    </w:rPr>
  </w:style>
  <w:style w:type="paragraph" w:styleId="Mapadeldocumento">
    <w:name w:val="Document Map"/>
    <w:basedOn w:val="Normal"/>
    <w:link w:val="MapadeldocumentoCar"/>
    <w:semiHidden/>
    <w:rsid w:val="00324D5A"/>
    <w:rPr>
      <w:rFonts w:ascii="Tahoma" w:hAnsi="Tahoma"/>
      <w:sz w:val="16"/>
      <w:szCs w:val="16"/>
    </w:rPr>
  </w:style>
  <w:style w:type="character" w:customStyle="1" w:styleId="MapadeldocumentoCar">
    <w:name w:val="Mapa del documento Car"/>
    <w:link w:val="Mapadeldocumento"/>
    <w:semiHidden/>
    <w:locked/>
    <w:rsid w:val="00324D5A"/>
    <w:rPr>
      <w:rFonts w:ascii="Tahoma" w:hAnsi="Tahoma" w:cs="Tahoma"/>
      <w:sz w:val="16"/>
      <w:szCs w:val="16"/>
      <w:lang w:val="es-ES_tradnl" w:eastAsia="en-US"/>
    </w:rPr>
  </w:style>
  <w:style w:type="paragraph" w:styleId="Prrafodelista">
    <w:name w:val="List Paragraph"/>
    <w:basedOn w:val="Normal"/>
    <w:uiPriority w:val="34"/>
    <w:qFormat/>
    <w:rsid w:val="005F021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2148</Words>
  <Characters>11817</Characters>
  <Application>Microsoft Office Word</Application>
  <DocSecurity>0</DocSecurity>
  <Lines>98</Lines>
  <Paragraphs>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CORTE INTERAMERICANA DE DERECHOS HUMANOS</vt:lpstr>
      <vt:lpstr>CORTE INTERAMERICANA DE DERECHOS HUMANOS</vt:lpstr>
    </vt:vector>
  </TitlesOfParts>
  <Company>Cejil Autorizado</Company>
  <LinksUpToDate>false</LinksUpToDate>
  <CharactersWithSpaces>13938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CORTE INTERAMERICANA DE DERECHOS HUMANOS</dc:title>
  <dc:creator>cla</dc:creator>
  <cp:lastModifiedBy>Liliana Tojo</cp:lastModifiedBy>
  <cp:revision>3</cp:revision>
  <cp:lastPrinted>2017-06-23T19:02:00Z</cp:lastPrinted>
  <dcterms:created xsi:type="dcterms:W3CDTF">2017-06-23T19:02:00Z</dcterms:created>
  <dcterms:modified xsi:type="dcterms:W3CDTF">2017-06-23T19:02:00Z</dcterms:modified>
</cp:coreProperties>
</file>