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7652F">
      <w:pPr>
        <w:jc w:val="center"/>
        <w:rPr>
          <w:rFonts w:ascii="Verdana" w:hAnsi="Verdana"/>
          <w:b/>
          <w:sz w:val="20"/>
          <w:szCs w:val="20"/>
          <w:lang w:val="es-ES_tradnl"/>
        </w:rPr>
      </w:pPr>
      <w:bookmarkStart w:id="0" w:name="_GoBack"/>
      <w:bookmarkEnd w:id="0"/>
    </w:p>
    <w:p w:rsidR="00000000" w:rsidRDefault="0097652F">
      <w:pPr>
        <w:jc w:val="center"/>
        <w:rPr>
          <w:rFonts w:ascii="Verdana" w:hAnsi="Verdana"/>
          <w:b/>
          <w:sz w:val="20"/>
          <w:szCs w:val="20"/>
          <w:lang w:val="es-ES_tradnl"/>
        </w:rPr>
      </w:pPr>
    </w:p>
    <w:p w:rsidR="00000000" w:rsidRDefault="0097652F">
      <w:pPr>
        <w:jc w:val="center"/>
        <w:rPr>
          <w:rFonts w:ascii="Verdana" w:hAnsi="Verdana"/>
          <w:b/>
          <w:sz w:val="20"/>
          <w:szCs w:val="20"/>
          <w:lang w:val="es-ES_tradnl"/>
        </w:rPr>
      </w:pPr>
      <w:r>
        <w:rPr>
          <w:rFonts w:ascii="Verdana" w:hAnsi="Verdana"/>
          <w:b/>
          <w:sz w:val="20"/>
          <w:szCs w:val="20"/>
          <w:lang w:val="es-ES_tradnl"/>
        </w:rPr>
        <w:t>CORTE INTERAMERICANA DE DERECHOS HUMANOS</w:t>
      </w:r>
    </w:p>
    <w:p w:rsidR="00000000" w:rsidRDefault="0097652F">
      <w:pPr>
        <w:jc w:val="center"/>
        <w:rPr>
          <w:rFonts w:ascii="Verdana" w:hAnsi="Verdana"/>
          <w:b/>
          <w:sz w:val="20"/>
          <w:szCs w:val="20"/>
          <w:lang w:val="es-ES_tradnl"/>
        </w:rPr>
      </w:pPr>
    </w:p>
    <w:p w:rsidR="00000000" w:rsidRDefault="0097652F">
      <w:pPr>
        <w:jc w:val="center"/>
        <w:rPr>
          <w:rFonts w:ascii="Verdana" w:hAnsi="Verdana"/>
          <w:b/>
          <w:sz w:val="20"/>
          <w:szCs w:val="20"/>
          <w:lang w:val="es-ES_tradnl"/>
        </w:rPr>
      </w:pPr>
    </w:p>
    <w:p w:rsidR="00000000" w:rsidRDefault="0097652F">
      <w:pPr>
        <w:jc w:val="center"/>
        <w:rPr>
          <w:rFonts w:ascii="Verdana" w:hAnsi="Verdana"/>
          <w:b/>
          <w:sz w:val="20"/>
          <w:szCs w:val="20"/>
          <w:lang w:val="es-ES_tradnl"/>
        </w:rPr>
      </w:pPr>
      <w:r>
        <w:rPr>
          <w:rFonts w:ascii="Verdana" w:hAnsi="Verdana"/>
          <w:b/>
          <w:sz w:val="20"/>
          <w:szCs w:val="20"/>
          <w:lang w:val="es-ES_tradnl"/>
        </w:rPr>
        <w:t xml:space="preserve">CASO ACEVEDO BUENDÍA Y OTROS </w:t>
      </w:r>
    </w:p>
    <w:p w:rsidR="00000000" w:rsidRDefault="0097652F">
      <w:pPr>
        <w:jc w:val="center"/>
        <w:rPr>
          <w:rFonts w:ascii="Verdana" w:hAnsi="Verdana"/>
          <w:b/>
          <w:sz w:val="20"/>
          <w:szCs w:val="20"/>
          <w:lang w:val="es-ES_tradnl"/>
        </w:rPr>
      </w:pPr>
      <w:r>
        <w:rPr>
          <w:rFonts w:ascii="Verdana" w:hAnsi="Verdana"/>
          <w:b/>
          <w:sz w:val="20"/>
          <w:szCs w:val="20"/>
          <w:lang w:val="es-ES_tradnl"/>
        </w:rPr>
        <w:t xml:space="preserve">(“CESANTES Y JUBILADOS DE LA CONTRALORÍA”) </w:t>
      </w:r>
      <w:r>
        <w:rPr>
          <w:rFonts w:ascii="Verdana" w:hAnsi="Verdana"/>
          <w:b/>
          <w:i/>
          <w:sz w:val="20"/>
          <w:szCs w:val="20"/>
          <w:lang w:val="es-ES_tradnl"/>
        </w:rPr>
        <w:t>VS</w:t>
      </w:r>
      <w:r>
        <w:rPr>
          <w:rFonts w:ascii="Verdana" w:hAnsi="Verdana"/>
          <w:b/>
          <w:sz w:val="20"/>
          <w:szCs w:val="20"/>
          <w:lang w:val="es-ES_tradnl"/>
        </w:rPr>
        <w:t>. PERÚ</w:t>
      </w:r>
    </w:p>
    <w:p w:rsidR="00000000" w:rsidRDefault="0097652F">
      <w:pPr>
        <w:jc w:val="center"/>
        <w:rPr>
          <w:rFonts w:ascii="Verdana" w:hAnsi="Verdana"/>
          <w:b/>
          <w:sz w:val="20"/>
          <w:szCs w:val="20"/>
          <w:lang w:val="es-ES_tradnl"/>
        </w:rPr>
      </w:pPr>
    </w:p>
    <w:p w:rsidR="00000000" w:rsidRDefault="0097652F">
      <w:pPr>
        <w:jc w:val="center"/>
        <w:rPr>
          <w:rFonts w:ascii="Verdana" w:hAnsi="Verdana"/>
          <w:b/>
          <w:sz w:val="20"/>
          <w:szCs w:val="20"/>
          <w:lang w:val="es-ES_tradnl"/>
        </w:rPr>
      </w:pPr>
    </w:p>
    <w:p w:rsidR="00000000" w:rsidRDefault="0097652F">
      <w:pPr>
        <w:jc w:val="center"/>
        <w:rPr>
          <w:rFonts w:ascii="Verdana" w:hAnsi="Verdana"/>
          <w:b/>
          <w:sz w:val="20"/>
          <w:szCs w:val="20"/>
          <w:lang w:val="es-ES_tradnl"/>
        </w:rPr>
      </w:pPr>
      <w:r>
        <w:rPr>
          <w:rFonts w:ascii="Verdana" w:hAnsi="Verdana"/>
          <w:b/>
          <w:sz w:val="20"/>
          <w:szCs w:val="20"/>
          <w:lang w:val="es-ES_tradnl"/>
        </w:rPr>
        <w:t>SENTENCIA DE 24 DE NOVIEMBRE DE 2009</w:t>
      </w:r>
    </w:p>
    <w:p w:rsidR="00000000" w:rsidRDefault="0097652F">
      <w:pPr>
        <w:jc w:val="center"/>
        <w:rPr>
          <w:rFonts w:ascii="Verdana" w:hAnsi="Verdana"/>
          <w:b/>
          <w:i/>
          <w:sz w:val="18"/>
          <w:szCs w:val="18"/>
          <w:lang w:val="es-ES_tradnl"/>
        </w:rPr>
      </w:pPr>
      <w:r>
        <w:rPr>
          <w:rFonts w:ascii="Verdana" w:hAnsi="Verdana"/>
          <w:b/>
          <w:i/>
          <w:sz w:val="18"/>
          <w:szCs w:val="18"/>
          <w:lang w:val="es-ES_tradnl"/>
        </w:rPr>
        <w:t xml:space="preserve">(INTERPRETACIÓN DE </w:t>
      </w:r>
      <w:smartTag w:uri="urn:schemas-microsoft-com:office:smarttags" w:element="PersonName">
        <w:smartTagPr>
          <w:attr w:name="ProductID" w:val="LA SENTENCIA DE"/>
        </w:smartTagPr>
        <w:r>
          <w:rPr>
            <w:rFonts w:ascii="Verdana" w:hAnsi="Verdana"/>
            <w:b/>
            <w:i/>
            <w:sz w:val="18"/>
            <w:szCs w:val="18"/>
            <w:lang w:val="es-ES_tradnl"/>
          </w:rPr>
          <w:t>LA SENTENCIA DE</w:t>
        </w:r>
      </w:smartTag>
      <w:r>
        <w:rPr>
          <w:rFonts w:ascii="Verdana" w:hAnsi="Verdana"/>
          <w:b/>
          <w:i/>
          <w:sz w:val="18"/>
          <w:szCs w:val="18"/>
          <w:lang w:val="es-ES_tradnl"/>
        </w:rPr>
        <w:t xml:space="preserve"> EXCEPCIÓN PRELIMINAR, FONDO, REPARACIONES Y COSTAS) </w:t>
      </w:r>
    </w:p>
    <w:p w:rsidR="00000000" w:rsidRDefault="0097652F">
      <w:pPr>
        <w:jc w:val="center"/>
        <w:rPr>
          <w:rFonts w:ascii="Verdana" w:hAnsi="Verdana"/>
          <w:b/>
          <w:sz w:val="20"/>
          <w:szCs w:val="20"/>
          <w:lang w:val="es-ES_tradnl"/>
        </w:rPr>
      </w:pPr>
    </w:p>
    <w:p w:rsidR="00000000" w:rsidRDefault="0097652F">
      <w:pPr>
        <w:jc w:val="right"/>
        <w:rPr>
          <w:rFonts w:ascii="Verdana" w:hAnsi="Verdana"/>
          <w:smallCaps/>
          <w:sz w:val="20"/>
          <w:szCs w:val="20"/>
          <w:lang w:val="es-ES_tradnl"/>
        </w:rPr>
      </w:pPr>
    </w:p>
    <w:p w:rsidR="00000000" w:rsidRDefault="0097652F">
      <w:pPr>
        <w:jc w:val="both"/>
        <w:rPr>
          <w:rFonts w:ascii="Verdana" w:hAnsi="Verdana"/>
          <w:sz w:val="20"/>
          <w:szCs w:val="20"/>
          <w:lang w:val="es-ES_tradnl"/>
        </w:rPr>
      </w:pPr>
      <w:r>
        <w:rPr>
          <w:rFonts w:ascii="Verdana" w:hAnsi="Verdana"/>
          <w:sz w:val="20"/>
          <w:szCs w:val="20"/>
          <w:lang w:val="es-ES_tradnl"/>
        </w:rPr>
        <w:t xml:space="preserve">En el caso </w:t>
      </w:r>
      <w:r>
        <w:rPr>
          <w:rFonts w:ascii="Verdana" w:hAnsi="Verdana"/>
          <w:i/>
          <w:sz w:val="20"/>
          <w:szCs w:val="20"/>
          <w:lang w:val="es-ES_tradnl"/>
        </w:rPr>
        <w:t xml:space="preserve">Acevedo Buendía y otros </w:t>
      </w:r>
      <w:r>
        <w:rPr>
          <w:rFonts w:ascii="Verdana" w:hAnsi="Verdana"/>
          <w:i/>
          <w:sz w:val="20"/>
          <w:szCs w:val="20"/>
        </w:rPr>
        <w:t>(“Cesantes y Jubilados de la Contraloría”)</w:t>
      </w:r>
      <w:r>
        <w:rPr>
          <w:rFonts w:ascii="Verdana" w:hAnsi="Verdana"/>
          <w:i/>
          <w:sz w:val="20"/>
          <w:szCs w:val="20"/>
          <w:lang w:val="es-ES_tradnl"/>
        </w:rPr>
        <w:t xml:space="preserve">, </w:t>
      </w:r>
    </w:p>
    <w:p w:rsidR="00000000" w:rsidRDefault="0097652F">
      <w:pPr>
        <w:jc w:val="both"/>
        <w:rPr>
          <w:rFonts w:ascii="Verdana" w:hAnsi="Verdana"/>
          <w:sz w:val="20"/>
          <w:szCs w:val="20"/>
          <w:lang w:val="es-ES_tradnl"/>
        </w:rPr>
      </w:pPr>
    </w:p>
    <w:p w:rsidR="00000000" w:rsidRDefault="0097652F">
      <w:pPr>
        <w:jc w:val="both"/>
        <w:rPr>
          <w:rFonts w:ascii="Verdana" w:hAnsi="Verdana"/>
          <w:sz w:val="20"/>
          <w:lang w:val="es-ES_tradnl"/>
        </w:rPr>
      </w:pPr>
      <w:proofErr w:type="gramStart"/>
      <w:r>
        <w:rPr>
          <w:rFonts w:ascii="Verdana" w:hAnsi="Verdana"/>
          <w:sz w:val="20"/>
          <w:szCs w:val="20"/>
          <w:lang w:val="es-ES_tradnl"/>
        </w:rPr>
        <w:t>la</w:t>
      </w:r>
      <w:proofErr w:type="gramEnd"/>
      <w:r>
        <w:rPr>
          <w:rFonts w:ascii="Verdana" w:hAnsi="Verdana"/>
          <w:sz w:val="20"/>
          <w:szCs w:val="20"/>
          <w:lang w:val="es-ES_tradnl"/>
        </w:rPr>
        <w:t xml:space="preserve"> Corte Interamericana de Derechos Humanos (en adelante “la Corte Interamericana”, “la Corte” o “el Tribunal”), </w:t>
      </w:r>
      <w:r>
        <w:rPr>
          <w:rFonts w:ascii="Verdana" w:hAnsi="Verdana"/>
          <w:sz w:val="20"/>
          <w:lang w:val="es-ES_tradnl"/>
        </w:rPr>
        <w:t>integrada por los siguientes jueces</w:t>
      </w:r>
      <w:r>
        <w:rPr>
          <w:rStyle w:val="Refdenotaalpie"/>
          <w:rFonts w:ascii="Verdana" w:hAnsi="Verdana"/>
          <w:lang w:val="es-ES_tradnl"/>
        </w:rPr>
        <w:footnoteReference w:id="1"/>
      </w:r>
      <w:r>
        <w:rPr>
          <w:rFonts w:ascii="Verdana" w:hAnsi="Verdana"/>
          <w:sz w:val="20"/>
          <w:lang w:val="es-ES_tradnl"/>
        </w:rPr>
        <w:t>:</w:t>
      </w:r>
    </w:p>
    <w:p w:rsidR="00000000" w:rsidRDefault="0097652F">
      <w:pPr>
        <w:jc w:val="both"/>
        <w:rPr>
          <w:rFonts w:ascii="Verdana" w:hAnsi="Verdana"/>
          <w:sz w:val="20"/>
          <w:lang w:val="es-ES_tradnl"/>
        </w:rPr>
      </w:pPr>
    </w:p>
    <w:p w:rsidR="00000000" w:rsidRDefault="0097652F">
      <w:pPr>
        <w:ind w:left="708"/>
        <w:jc w:val="both"/>
        <w:rPr>
          <w:rFonts w:ascii="Verdana" w:hAnsi="Verdana"/>
          <w:sz w:val="20"/>
          <w:lang w:val="es-ES_tradnl"/>
        </w:rPr>
      </w:pPr>
      <w:smartTag w:uri="urn:schemas-microsoft-com:office:smarttags" w:element="place">
        <w:r>
          <w:rPr>
            <w:rFonts w:ascii="Verdana" w:hAnsi="Verdana"/>
            <w:sz w:val="20"/>
            <w:lang w:val="es-ES_tradnl"/>
          </w:rPr>
          <w:t>Cecilia Medina</w:t>
        </w:r>
      </w:smartTag>
      <w:r>
        <w:rPr>
          <w:rFonts w:ascii="Verdana" w:hAnsi="Verdana"/>
          <w:sz w:val="20"/>
          <w:lang w:val="es-ES_tradnl"/>
        </w:rPr>
        <w:t xml:space="preserve"> Quiroga,</w:t>
      </w:r>
      <w:r>
        <w:rPr>
          <w:rFonts w:ascii="Verdana" w:hAnsi="Verdana"/>
          <w:sz w:val="20"/>
          <w:lang w:val="es-ES_tradnl"/>
        </w:rPr>
        <w:t xml:space="preserve"> Presidenta;</w:t>
      </w:r>
    </w:p>
    <w:p w:rsidR="00000000" w:rsidRDefault="0097652F">
      <w:pPr>
        <w:ind w:left="720"/>
        <w:jc w:val="both"/>
        <w:rPr>
          <w:rFonts w:ascii="Verdana" w:hAnsi="Verdana"/>
          <w:sz w:val="20"/>
          <w:lang w:val="es-ES_tradnl"/>
        </w:rPr>
      </w:pPr>
      <w:r>
        <w:rPr>
          <w:rFonts w:ascii="Verdana" w:hAnsi="Verdana"/>
          <w:sz w:val="20"/>
          <w:lang w:val="es-ES_tradnl"/>
        </w:rPr>
        <w:t>Sergio García Ramírez, Juez;</w:t>
      </w:r>
    </w:p>
    <w:p w:rsidR="00000000" w:rsidRDefault="0097652F">
      <w:pPr>
        <w:ind w:left="720"/>
        <w:jc w:val="both"/>
        <w:rPr>
          <w:rFonts w:ascii="Verdana" w:hAnsi="Verdana"/>
          <w:sz w:val="20"/>
          <w:lang w:val="es-ES_tradnl"/>
        </w:rPr>
      </w:pPr>
      <w:r>
        <w:rPr>
          <w:rFonts w:ascii="Verdana" w:hAnsi="Verdana"/>
          <w:sz w:val="20"/>
          <w:lang w:val="es-ES_tradnl"/>
        </w:rPr>
        <w:t>Manuel E. Ventura Robles, Juez;</w:t>
      </w:r>
    </w:p>
    <w:p w:rsidR="00000000" w:rsidRDefault="0097652F">
      <w:pPr>
        <w:ind w:left="720"/>
        <w:jc w:val="both"/>
        <w:rPr>
          <w:rFonts w:ascii="Verdana" w:hAnsi="Verdana"/>
          <w:sz w:val="20"/>
          <w:lang w:val="es-ES_tradnl"/>
        </w:rPr>
      </w:pPr>
      <w:r>
        <w:rPr>
          <w:rFonts w:ascii="Verdana" w:hAnsi="Verdana"/>
          <w:sz w:val="20"/>
          <w:lang w:val="es-ES_tradnl"/>
        </w:rPr>
        <w:t xml:space="preserve">Margarette May Macaulay, Jueza, y </w:t>
      </w:r>
    </w:p>
    <w:p w:rsidR="00000000" w:rsidRDefault="0097652F">
      <w:pPr>
        <w:ind w:left="720"/>
        <w:jc w:val="both"/>
        <w:rPr>
          <w:rFonts w:ascii="Verdana" w:hAnsi="Verdana"/>
          <w:sz w:val="20"/>
          <w:lang w:val="es-ES_tradnl"/>
        </w:rPr>
      </w:pPr>
      <w:r>
        <w:rPr>
          <w:rFonts w:ascii="Verdana" w:hAnsi="Verdana"/>
          <w:sz w:val="20"/>
          <w:lang w:val="es-ES_tradnl"/>
        </w:rPr>
        <w:t>Rhadys Abreu Blondet, Jueza;</w:t>
      </w:r>
    </w:p>
    <w:p w:rsidR="00000000" w:rsidRDefault="0097652F">
      <w:pPr>
        <w:jc w:val="both"/>
        <w:rPr>
          <w:rFonts w:ascii="Verdana" w:hAnsi="Verdana"/>
          <w:b/>
          <w:sz w:val="16"/>
          <w:lang w:val="pt-BR"/>
        </w:rPr>
      </w:pPr>
    </w:p>
    <w:p w:rsidR="00000000" w:rsidRDefault="0097652F">
      <w:pPr>
        <w:jc w:val="both"/>
        <w:rPr>
          <w:rFonts w:ascii="Verdana" w:hAnsi="Verdana"/>
          <w:sz w:val="20"/>
          <w:lang w:val="es-ES_tradnl"/>
        </w:rPr>
      </w:pPr>
      <w:proofErr w:type="gramStart"/>
      <w:r>
        <w:rPr>
          <w:rFonts w:ascii="Verdana" w:hAnsi="Verdana"/>
          <w:sz w:val="20"/>
          <w:lang w:val="es-ES_tradnl"/>
        </w:rPr>
        <w:t>presentes</w:t>
      </w:r>
      <w:proofErr w:type="gramEnd"/>
      <w:r>
        <w:rPr>
          <w:rFonts w:ascii="Verdana" w:hAnsi="Verdana"/>
          <w:sz w:val="20"/>
          <w:lang w:val="es-ES_tradnl"/>
        </w:rPr>
        <w:t>, además,</w:t>
      </w:r>
    </w:p>
    <w:p w:rsidR="00000000" w:rsidRDefault="0097652F">
      <w:pPr>
        <w:jc w:val="both"/>
        <w:rPr>
          <w:rFonts w:ascii="Verdana" w:hAnsi="Verdana"/>
          <w:sz w:val="20"/>
          <w:lang w:val="es-ES_tradnl"/>
        </w:rPr>
      </w:pPr>
    </w:p>
    <w:p w:rsidR="00000000" w:rsidRDefault="0097652F">
      <w:pPr>
        <w:ind w:left="720"/>
        <w:jc w:val="both"/>
        <w:rPr>
          <w:rFonts w:ascii="Verdana" w:hAnsi="Verdana"/>
          <w:sz w:val="20"/>
          <w:lang w:val="es-ES_tradnl"/>
        </w:rPr>
      </w:pPr>
      <w:smartTag w:uri="urn:schemas-microsoft-com:office:smarttags" w:element="place">
        <w:r>
          <w:rPr>
            <w:rFonts w:ascii="Verdana" w:hAnsi="Verdana"/>
            <w:sz w:val="20"/>
            <w:lang w:val="es-ES_tradnl"/>
          </w:rPr>
          <w:t>Pablo Saavedra</w:t>
        </w:r>
      </w:smartTag>
      <w:r>
        <w:rPr>
          <w:rFonts w:ascii="Verdana" w:hAnsi="Verdana"/>
          <w:sz w:val="20"/>
          <w:lang w:val="es-ES_tradnl"/>
        </w:rPr>
        <w:t xml:space="preserve"> Alessandri, Secretario, y</w:t>
      </w:r>
    </w:p>
    <w:p w:rsidR="00000000" w:rsidRDefault="0097652F">
      <w:pPr>
        <w:ind w:left="720"/>
        <w:jc w:val="both"/>
        <w:rPr>
          <w:rFonts w:ascii="Verdana" w:hAnsi="Verdana"/>
          <w:sz w:val="20"/>
          <w:lang w:val="es-ES_tradnl"/>
        </w:rPr>
      </w:pPr>
      <w:r>
        <w:rPr>
          <w:rFonts w:ascii="Verdana" w:hAnsi="Verdana"/>
          <w:sz w:val="20"/>
          <w:lang w:val="es-ES_tradnl"/>
        </w:rPr>
        <w:t>Emilia Segares Rodríguez, Secretaria Adjunta;</w:t>
      </w:r>
    </w:p>
    <w:p w:rsidR="00000000" w:rsidRDefault="0097652F">
      <w:pPr>
        <w:jc w:val="both"/>
        <w:rPr>
          <w:rFonts w:ascii="Verdana" w:hAnsi="Verdana"/>
          <w:sz w:val="20"/>
          <w:szCs w:val="20"/>
          <w:lang w:val="es-ES_tradnl"/>
        </w:rPr>
      </w:pPr>
    </w:p>
    <w:p w:rsidR="00000000" w:rsidRDefault="0097652F">
      <w:pPr>
        <w:jc w:val="both"/>
        <w:rPr>
          <w:rFonts w:ascii="Verdana" w:hAnsi="Verdana"/>
          <w:sz w:val="20"/>
          <w:szCs w:val="20"/>
          <w:lang w:val="es-ES_tradnl"/>
        </w:rPr>
      </w:pPr>
      <w:r>
        <w:rPr>
          <w:rFonts w:ascii="Verdana" w:hAnsi="Verdana"/>
          <w:sz w:val="20"/>
          <w:szCs w:val="20"/>
          <w:lang w:val="es-ES_tradnl"/>
        </w:rPr>
        <w:t>de confor</w:t>
      </w:r>
      <w:r>
        <w:rPr>
          <w:rFonts w:ascii="Verdana" w:hAnsi="Verdana"/>
          <w:sz w:val="20"/>
          <w:szCs w:val="20"/>
          <w:lang w:val="es-ES_tradnl"/>
        </w:rPr>
        <w:t>midad con el artículo 67 de la Convención Americana sobre Derechos Humanos (en adelante “la Convención” o “la Convención Americana”) y el artículo 59 del Reglamento de la Corte (en adelante “el Reglamento”)</w:t>
      </w:r>
      <w:r>
        <w:rPr>
          <w:rStyle w:val="Refdenotaalpie"/>
          <w:rFonts w:ascii="Verdana" w:hAnsi="Verdana"/>
          <w:szCs w:val="20"/>
          <w:lang w:val="es-ES_tradnl"/>
        </w:rPr>
        <w:footnoteReference w:id="2"/>
      </w:r>
      <w:r>
        <w:rPr>
          <w:rFonts w:ascii="Verdana" w:hAnsi="Verdana"/>
          <w:sz w:val="20"/>
          <w:szCs w:val="20"/>
          <w:lang w:val="es-ES_tradnl"/>
        </w:rPr>
        <w:t>, resuelve la demanda de interpretación de la Sen</w:t>
      </w:r>
      <w:r>
        <w:rPr>
          <w:rFonts w:ascii="Verdana" w:hAnsi="Verdana"/>
          <w:sz w:val="20"/>
          <w:szCs w:val="20"/>
          <w:lang w:val="es-ES_tradnl"/>
        </w:rPr>
        <w:t>tencia de excepción preliminar, fondo, reparaciones y costas emitida por el Tribunal el 1 de julio de 2009 en el presente caso (en adelante “la Sentencia”), interpuesta el 3 de noviembre de 2009 por Estado del Perú (en adelante “el Estado” o “el Perú”).</w:t>
      </w:r>
    </w:p>
    <w:p w:rsidR="00000000" w:rsidRDefault="0097652F">
      <w:pPr>
        <w:jc w:val="center"/>
        <w:rPr>
          <w:rFonts w:ascii="Verdana" w:hAnsi="Verdana"/>
          <w:sz w:val="20"/>
          <w:szCs w:val="20"/>
          <w:lang w:val="es-ES_tradnl"/>
        </w:rPr>
      </w:pPr>
    </w:p>
    <w:p w:rsidR="00000000" w:rsidRDefault="0097652F">
      <w:pPr>
        <w:spacing w:afterLines="20" w:after="48"/>
        <w:jc w:val="center"/>
        <w:rPr>
          <w:rFonts w:ascii="Verdana" w:hAnsi="Verdana"/>
          <w:b/>
          <w:sz w:val="20"/>
          <w:szCs w:val="20"/>
          <w:lang w:val="es-ES_tradnl"/>
        </w:rPr>
      </w:pPr>
      <w:r>
        <w:rPr>
          <w:rFonts w:ascii="Verdana" w:hAnsi="Verdana"/>
          <w:b/>
          <w:sz w:val="20"/>
          <w:szCs w:val="20"/>
          <w:lang w:val="es-ES_tradnl"/>
        </w:rPr>
        <w:t>I</w:t>
      </w:r>
    </w:p>
    <w:p w:rsidR="00000000" w:rsidRDefault="0097652F">
      <w:pPr>
        <w:spacing w:afterLines="20" w:after="48"/>
        <w:jc w:val="center"/>
        <w:rPr>
          <w:rFonts w:ascii="Verdana" w:hAnsi="Verdana"/>
          <w:b/>
          <w:sz w:val="20"/>
          <w:szCs w:val="20"/>
          <w:lang w:val="es-ES_tradnl"/>
        </w:rPr>
      </w:pPr>
      <w:r>
        <w:rPr>
          <w:rFonts w:ascii="Verdana" w:hAnsi="Verdana"/>
          <w:b/>
          <w:sz w:val="20"/>
          <w:szCs w:val="20"/>
          <w:lang w:val="es-ES_tradnl"/>
        </w:rPr>
        <w:t xml:space="preserve">INTRODUCCIÓN DE LA DEMANDA DE INTERPRETACIÓN </w:t>
      </w:r>
    </w:p>
    <w:p w:rsidR="00000000" w:rsidRDefault="0097652F">
      <w:pPr>
        <w:spacing w:afterLines="20" w:after="48"/>
        <w:jc w:val="center"/>
        <w:rPr>
          <w:rFonts w:ascii="Verdana" w:hAnsi="Verdana"/>
          <w:b/>
          <w:sz w:val="20"/>
          <w:szCs w:val="20"/>
          <w:lang w:val="es-ES_tradnl"/>
        </w:rPr>
      </w:pPr>
      <w:r>
        <w:rPr>
          <w:rFonts w:ascii="Verdana" w:hAnsi="Verdana"/>
          <w:b/>
          <w:sz w:val="20"/>
          <w:szCs w:val="20"/>
          <w:lang w:val="es-ES_tradnl"/>
        </w:rPr>
        <w:t>Y PROCEDIMIENTO ANTE LA CORTE</w:t>
      </w:r>
    </w:p>
    <w:p w:rsidR="00000000" w:rsidRDefault="0097652F">
      <w:pPr>
        <w:spacing w:afterLines="20" w:after="48"/>
        <w:jc w:val="center"/>
        <w:rPr>
          <w:rFonts w:ascii="Verdana" w:hAnsi="Verdana"/>
          <w:b/>
          <w:smallCaps/>
          <w:sz w:val="20"/>
          <w:szCs w:val="20"/>
          <w:lang w:val="es-ES_tradnl"/>
        </w:rPr>
      </w:pPr>
    </w:p>
    <w:p w:rsidR="00000000" w:rsidRDefault="0097652F">
      <w:pPr>
        <w:pStyle w:val="Textoindependiente"/>
        <w:numPr>
          <w:ilvl w:val="0"/>
          <w:numId w:val="1"/>
        </w:numPr>
        <w:spacing w:afterLines="20" w:after="48"/>
        <w:rPr>
          <w:rFonts w:ascii="Verdana" w:hAnsi="Verdana"/>
          <w:sz w:val="20"/>
        </w:rPr>
      </w:pPr>
      <w:r>
        <w:rPr>
          <w:rFonts w:ascii="Verdana" w:hAnsi="Verdana"/>
          <w:sz w:val="20"/>
        </w:rPr>
        <w:t>El 1 de julio de 2009 la Corte emitió la Sentencia, la cual fue notificada a las partes el 5 de agosto de 2009.</w:t>
      </w:r>
    </w:p>
    <w:p w:rsidR="00000000" w:rsidRDefault="0097652F">
      <w:pPr>
        <w:pStyle w:val="Textoindependiente"/>
        <w:spacing w:afterLines="20" w:after="48"/>
        <w:rPr>
          <w:rFonts w:ascii="Verdana" w:hAnsi="Verdana"/>
          <w:sz w:val="20"/>
        </w:rPr>
      </w:pPr>
    </w:p>
    <w:p w:rsidR="00000000" w:rsidRDefault="0097652F">
      <w:pPr>
        <w:pStyle w:val="Textoindependiente"/>
        <w:numPr>
          <w:ilvl w:val="0"/>
          <w:numId w:val="1"/>
        </w:numPr>
        <w:spacing w:afterLines="20" w:after="48"/>
        <w:rPr>
          <w:rFonts w:ascii="Verdana" w:hAnsi="Verdana"/>
          <w:sz w:val="20"/>
        </w:rPr>
      </w:pPr>
      <w:r>
        <w:rPr>
          <w:rFonts w:ascii="Verdana" w:hAnsi="Verdana"/>
          <w:sz w:val="20"/>
        </w:rPr>
        <w:t>El 3 de noviembre de 2009 el Estado presentó una demanda de inter</w:t>
      </w:r>
      <w:r>
        <w:rPr>
          <w:rFonts w:ascii="Verdana" w:hAnsi="Verdana"/>
          <w:sz w:val="20"/>
        </w:rPr>
        <w:t xml:space="preserve">pretación de la Sentencia, de conformidad con los artículos 67 de la Convención y 59 del Reglamento. El Estado solicitó al Tribunal que interpretara el punto resolutivo quinto de la Sentencia y, específicamente, aclarara si el reintegro de costas y gastos </w:t>
      </w:r>
      <w:r>
        <w:rPr>
          <w:rFonts w:ascii="Verdana" w:hAnsi="Verdana"/>
          <w:sz w:val="20"/>
        </w:rPr>
        <w:t>ordenado “debe ser entregado a la persona jurídica denominada [‘</w:t>
      </w:r>
      <w:proofErr w:type="gramStart"/>
      <w:r>
        <w:rPr>
          <w:rFonts w:ascii="Verdana" w:hAnsi="Verdana"/>
          <w:sz w:val="20"/>
        </w:rPr>
        <w:t>]Asociación</w:t>
      </w:r>
      <w:proofErr w:type="gramEnd"/>
      <w:r>
        <w:rPr>
          <w:rFonts w:ascii="Verdana" w:hAnsi="Verdana"/>
          <w:sz w:val="20"/>
        </w:rPr>
        <w:t xml:space="preserve"> de Cesantes y Jubilados[’] o [a] las personas naturales que han sido calificadas como víctimas [en] la [S]entencia, indicando la forma de pago que correspondería usar en este últim</w:t>
      </w:r>
      <w:r>
        <w:rPr>
          <w:rFonts w:ascii="Verdana" w:hAnsi="Verdana"/>
          <w:sz w:val="20"/>
        </w:rPr>
        <w:t>o caso”.</w:t>
      </w:r>
    </w:p>
    <w:p w:rsidR="00000000" w:rsidRDefault="0097652F">
      <w:pPr>
        <w:spacing w:afterLines="20" w:after="48"/>
        <w:jc w:val="both"/>
        <w:rPr>
          <w:rFonts w:ascii="Verdana" w:hAnsi="Verdana"/>
          <w:sz w:val="20"/>
          <w:szCs w:val="20"/>
          <w:lang w:val="es-ES_tradnl"/>
        </w:rPr>
      </w:pPr>
    </w:p>
    <w:p w:rsidR="00000000" w:rsidRDefault="0097652F">
      <w:pPr>
        <w:numPr>
          <w:ilvl w:val="0"/>
          <w:numId w:val="1"/>
        </w:numPr>
        <w:spacing w:afterLines="20" w:after="48"/>
        <w:jc w:val="both"/>
        <w:rPr>
          <w:rFonts w:ascii="Verdana" w:hAnsi="Verdana"/>
          <w:i/>
          <w:sz w:val="20"/>
          <w:szCs w:val="20"/>
          <w:lang w:val="es-ES_tradnl"/>
        </w:rPr>
      </w:pPr>
      <w:r>
        <w:rPr>
          <w:rFonts w:ascii="Verdana" w:hAnsi="Verdana"/>
          <w:sz w:val="20"/>
          <w:szCs w:val="20"/>
          <w:lang w:val="es-ES_tradnl"/>
        </w:rPr>
        <w:t>El 6 de noviembre de 2009, de conformidad con lo dispuesto en el artículo 59.2 del Reglamento y siguiendo instrucciones de la Presidenta de la Corte (en adelante “la Presidenta”), la Secretaría de la Corte (en adelante “la Secretaría”) transmitió</w:t>
      </w:r>
      <w:r>
        <w:rPr>
          <w:rFonts w:ascii="Verdana" w:hAnsi="Verdana"/>
          <w:sz w:val="20"/>
          <w:szCs w:val="20"/>
          <w:lang w:val="es-ES_tradnl"/>
        </w:rPr>
        <w:t xml:space="preserve"> una copia de la demanda de interpretación al representante de las víctimas (en adelante “el representante”) y a la Comisión Interamericana de Derechos Humanos (en adelante “la Comisión Interamericana” o “la Comisión”). Asimismo, se informó que “dada la na</w:t>
      </w:r>
      <w:r>
        <w:rPr>
          <w:rFonts w:ascii="Verdana" w:hAnsi="Verdana"/>
          <w:sz w:val="20"/>
          <w:szCs w:val="20"/>
          <w:lang w:val="es-ES_tradnl"/>
        </w:rPr>
        <w:t>turaleza y el tenor de la demanda de interpretación”, el representante y la Comisión Interamericana podrían presentar los alegatos escritos que estimaran pertinentes, a más tardar el 16 de noviembre de 2009.</w:t>
      </w:r>
    </w:p>
    <w:p w:rsidR="00000000" w:rsidRDefault="0097652F">
      <w:pPr>
        <w:spacing w:afterLines="20" w:after="48"/>
        <w:jc w:val="both"/>
        <w:rPr>
          <w:rFonts w:ascii="Verdana" w:hAnsi="Verdana"/>
          <w:sz w:val="20"/>
          <w:szCs w:val="20"/>
          <w:lang w:val="es-ES_tradnl"/>
        </w:rPr>
      </w:pPr>
    </w:p>
    <w:p w:rsidR="00000000" w:rsidRDefault="0097652F">
      <w:pPr>
        <w:numPr>
          <w:ilvl w:val="0"/>
          <w:numId w:val="1"/>
        </w:numPr>
        <w:spacing w:afterLines="20" w:after="48"/>
        <w:jc w:val="both"/>
        <w:rPr>
          <w:rFonts w:ascii="Verdana" w:hAnsi="Verdana"/>
          <w:sz w:val="20"/>
          <w:szCs w:val="20"/>
          <w:lang w:val="es-ES_tradnl"/>
        </w:rPr>
      </w:pPr>
      <w:r>
        <w:rPr>
          <w:rFonts w:ascii="Verdana" w:hAnsi="Verdana"/>
          <w:sz w:val="20"/>
          <w:szCs w:val="20"/>
          <w:lang w:val="es-ES_tradnl"/>
        </w:rPr>
        <w:t>El 16 de noviembre de 2009 el representante pre</w:t>
      </w:r>
      <w:r>
        <w:rPr>
          <w:rFonts w:ascii="Verdana" w:hAnsi="Verdana"/>
          <w:sz w:val="20"/>
          <w:szCs w:val="20"/>
          <w:lang w:val="es-ES_tradnl"/>
        </w:rPr>
        <w:t>sentó sus alegatos escritos y solicitó al Tribunal que no obstante “no existe contradicción en el mandato de la […] Corte”, “[se] aclar[e]” lo establecido en las disposiciones contenidas en los párrafos 150 y 151 de la Sentencia, a los que hace remisión el</w:t>
      </w:r>
      <w:r>
        <w:rPr>
          <w:rFonts w:ascii="Verdana" w:hAnsi="Verdana"/>
          <w:sz w:val="20"/>
          <w:szCs w:val="20"/>
          <w:lang w:val="es-ES_tradnl"/>
        </w:rPr>
        <w:t xml:space="preserve"> punto resolutivo quinto del Fallo, en cuanto al reintegro de costas y gastos. De acuerdo con el representante, “lo que […] dispone [la Sentencia] es que el Estado entregue a la Asociación de Cesantes y Jubilados […] – de la que forman parte las víctimas e</w:t>
      </w:r>
      <w:r>
        <w:rPr>
          <w:rFonts w:ascii="Verdana" w:hAnsi="Verdana"/>
          <w:sz w:val="20"/>
          <w:szCs w:val="20"/>
          <w:lang w:val="es-ES_tradnl"/>
        </w:rPr>
        <w:t xml:space="preserve">n su condición de integrantes de la misma - la suma señalada en el párrafo 150 de[l Fallo]; luego de lo cual éstas entregarán, a su vez, y por intermedio de la Asociación […] de la que son integrantes, la cantidad que estimen adecuada a quienes fueron sus </w:t>
      </w:r>
      <w:r>
        <w:rPr>
          <w:rFonts w:ascii="Verdana" w:hAnsi="Verdana"/>
          <w:sz w:val="20"/>
          <w:szCs w:val="20"/>
          <w:lang w:val="es-ES_tradnl"/>
        </w:rPr>
        <w:t>representantes en el fuero interno y en el proceso ante el Sistema Interamericano”.</w:t>
      </w:r>
      <w:r>
        <w:rPr>
          <w:rFonts w:ascii="Verdana" w:hAnsi="Verdana"/>
          <w:b/>
          <w:sz w:val="14"/>
          <w:szCs w:val="14"/>
          <w:lang w:val="es-ES_tradnl"/>
        </w:rPr>
        <w:t xml:space="preserve"> </w:t>
      </w:r>
    </w:p>
    <w:p w:rsidR="00000000" w:rsidRDefault="0097652F">
      <w:pPr>
        <w:spacing w:afterLines="20" w:after="48"/>
        <w:jc w:val="both"/>
        <w:rPr>
          <w:rFonts w:ascii="Verdana" w:hAnsi="Verdana"/>
          <w:sz w:val="20"/>
          <w:szCs w:val="20"/>
          <w:lang w:val="es-ES_tradnl"/>
        </w:rPr>
      </w:pPr>
    </w:p>
    <w:p w:rsidR="00000000" w:rsidRDefault="0097652F">
      <w:pPr>
        <w:numPr>
          <w:ilvl w:val="0"/>
          <w:numId w:val="1"/>
        </w:numPr>
        <w:spacing w:afterLines="20" w:after="48"/>
        <w:jc w:val="both"/>
        <w:rPr>
          <w:rFonts w:ascii="Verdana" w:hAnsi="Verdana"/>
          <w:sz w:val="20"/>
          <w:szCs w:val="20"/>
          <w:lang w:val="es-ES_tradnl"/>
        </w:rPr>
      </w:pPr>
      <w:r>
        <w:rPr>
          <w:rFonts w:ascii="Verdana" w:hAnsi="Verdana"/>
          <w:sz w:val="20"/>
          <w:szCs w:val="20"/>
          <w:lang w:val="es-ES_tradnl"/>
        </w:rPr>
        <w:t>El 20 de noviembre de 2009 la Comisión presentó sus alegatos escritos y observó que, “en efecto, los párrafos 150 y 151 del [F]allo podrían dar lugar a varias interpretac</w:t>
      </w:r>
      <w:r>
        <w:rPr>
          <w:rFonts w:ascii="Verdana" w:hAnsi="Verdana"/>
          <w:sz w:val="20"/>
          <w:szCs w:val="20"/>
          <w:lang w:val="es-ES_tradnl"/>
        </w:rPr>
        <w:t>iones”. Por lo tanto, señaló que “considera relevante que la […] Corte aclare este punto a través de la sentencia de interpretación correspondiente a fin de que el Estado proceda a efectuar los pagos a que se refiere la presente solicitud”.</w:t>
      </w:r>
    </w:p>
    <w:p w:rsidR="00000000" w:rsidRDefault="0097652F">
      <w:pPr>
        <w:spacing w:afterLines="20" w:after="48"/>
        <w:jc w:val="both"/>
        <w:rPr>
          <w:rFonts w:ascii="Verdana" w:hAnsi="Verdana"/>
          <w:sz w:val="20"/>
          <w:szCs w:val="20"/>
          <w:lang w:val="es-ES_tradnl"/>
        </w:rPr>
      </w:pPr>
    </w:p>
    <w:p w:rsidR="00000000" w:rsidRDefault="0097652F">
      <w:pPr>
        <w:spacing w:afterLines="20" w:after="48"/>
        <w:jc w:val="center"/>
        <w:rPr>
          <w:rFonts w:ascii="Verdana" w:hAnsi="Verdana"/>
          <w:b/>
          <w:sz w:val="20"/>
          <w:szCs w:val="20"/>
          <w:lang w:val="es-ES_tradnl"/>
        </w:rPr>
      </w:pPr>
    </w:p>
    <w:p w:rsidR="00000000" w:rsidRDefault="0097652F">
      <w:pPr>
        <w:spacing w:afterLines="20" w:after="48"/>
        <w:jc w:val="center"/>
        <w:rPr>
          <w:rFonts w:ascii="Verdana" w:hAnsi="Verdana"/>
          <w:b/>
          <w:sz w:val="20"/>
          <w:szCs w:val="20"/>
          <w:lang w:val="es-ES_tradnl"/>
        </w:rPr>
      </w:pPr>
      <w:r>
        <w:rPr>
          <w:rFonts w:ascii="Verdana" w:hAnsi="Verdana"/>
          <w:b/>
          <w:sz w:val="20"/>
          <w:szCs w:val="20"/>
          <w:lang w:val="es-ES_tradnl"/>
        </w:rPr>
        <w:t>II</w:t>
      </w:r>
    </w:p>
    <w:p w:rsidR="00000000" w:rsidRDefault="0097652F">
      <w:pPr>
        <w:spacing w:afterLines="20" w:after="48"/>
        <w:jc w:val="center"/>
        <w:rPr>
          <w:rFonts w:ascii="Verdana" w:hAnsi="Verdana"/>
          <w:b/>
          <w:sz w:val="20"/>
          <w:szCs w:val="20"/>
          <w:lang w:val="es-ES_tradnl"/>
        </w:rPr>
      </w:pPr>
      <w:r>
        <w:rPr>
          <w:rFonts w:ascii="Verdana" w:hAnsi="Verdana"/>
          <w:b/>
          <w:sz w:val="20"/>
          <w:szCs w:val="20"/>
          <w:lang w:val="es-ES_tradnl"/>
        </w:rPr>
        <w:t>COMPETENCI</w:t>
      </w:r>
      <w:r>
        <w:rPr>
          <w:rFonts w:ascii="Verdana" w:hAnsi="Verdana"/>
          <w:b/>
          <w:sz w:val="20"/>
          <w:szCs w:val="20"/>
          <w:lang w:val="es-ES_tradnl"/>
        </w:rPr>
        <w:t>A Y COMPOSICIÓN DE LA CORTE</w:t>
      </w:r>
    </w:p>
    <w:p w:rsidR="00000000" w:rsidRDefault="0097652F">
      <w:pPr>
        <w:spacing w:afterLines="20" w:after="48"/>
        <w:jc w:val="center"/>
        <w:rPr>
          <w:rFonts w:ascii="Verdana" w:hAnsi="Verdana"/>
          <w:smallCaps/>
          <w:sz w:val="20"/>
          <w:szCs w:val="20"/>
          <w:lang w:val="es-ES_tradnl"/>
        </w:rPr>
      </w:pPr>
    </w:p>
    <w:p w:rsidR="00000000" w:rsidRDefault="0097652F">
      <w:pPr>
        <w:numPr>
          <w:ilvl w:val="0"/>
          <w:numId w:val="1"/>
        </w:numPr>
        <w:spacing w:afterLines="20" w:after="48"/>
        <w:jc w:val="both"/>
        <w:rPr>
          <w:rFonts w:ascii="Verdana" w:hAnsi="Verdana"/>
          <w:sz w:val="20"/>
          <w:szCs w:val="20"/>
          <w:lang w:val="es-ES_tradnl"/>
        </w:rPr>
      </w:pPr>
      <w:r>
        <w:rPr>
          <w:rFonts w:ascii="Verdana" w:hAnsi="Verdana"/>
          <w:sz w:val="20"/>
          <w:szCs w:val="20"/>
          <w:lang w:val="es-ES_tradnl"/>
        </w:rPr>
        <w:t>El artículo 67 de la Convención establece que:</w:t>
      </w:r>
    </w:p>
    <w:p w:rsidR="00000000" w:rsidRDefault="0097652F">
      <w:pPr>
        <w:spacing w:afterLines="20" w:after="48"/>
        <w:jc w:val="both"/>
        <w:rPr>
          <w:rFonts w:ascii="Verdana" w:hAnsi="Verdana"/>
          <w:sz w:val="16"/>
          <w:szCs w:val="20"/>
          <w:lang w:val="es-ES_tradnl"/>
        </w:rPr>
      </w:pPr>
    </w:p>
    <w:p w:rsidR="00000000" w:rsidRDefault="0097652F">
      <w:pPr>
        <w:spacing w:afterLines="20" w:after="48"/>
        <w:ind w:left="720" w:right="44"/>
        <w:jc w:val="both"/>
        <w:rPr>
          <w:rFonts w:ascii="Verdana" w:hAnsi="Verdana"/>
          <w:b/>
          <w:sz w:val="16"/>
          <w:szCs w:val="20"/>
          <w:lang w:val="es-ES_tradnl"/>
        </w:rPr>
      </w:pPr>
      <w:r>
        <w:rPr>
          <w:rFonts w:ascii="Verdana" w:eastAsia="Times" w:hAnsi="Verdana"/>
          <w:sz w:val="16"/>
          <w:lang w:val="es-ES_tradnl"/>
        </w:rPr>
        <w:t>[</w:t>
      </w:r>
      <w:proofErr w:type="gramStart"/>
      <w:r>
        <w:rPr>
          <w:rFonts w:ascii="Verdana" w:eastAsia="Times" w:hAnsi="Verdana"/>
          <w:sz w:val="16"/>
          <w:lang w:val="es-ES_tradnl"/>
        </w:rPr>
        <w:t>e]</w:t>
      </w:r>
      <w:proofErr w:type="gramEnd"/>
      <w:r>
        <w:rPr>
          <w:rFonts w:ascii="Verdana" w:eastAsia="Times" w:hAnsi="Verdana"/>
          <w:sz w:val="16"/>
          <w:lang w:val="es-ES_tradnl"/>
        </w:rPr>
        <w:t xml:space="preserve">l fallo de la Corte será definitivo e inapelable. En caso de desacuerdo sobre el sentido o alcance del fallo, la Corte lo interpretará a solicitud de cualquiera de las partes, </w:t>
      </w:r>
      <w:r>
        <w:rPr>
          <w:rFonts w:ascii="Verdana" w:eastAsia="Times" w:hAnsi="Verdana"/>
          <w:sz w:val="16"/>
          <w:lang w:val="es-ES_tradnl"/>
        </w:rPr>
        <w:t>siempre que dicha solicitud se presente dentro de los noventa días a partir de la fecha de la notificación del fallo.</w:t>
      </w:r>
    </w:p>
    <w:p w:rsidR="00000000" w:rsidRDefault="0097652F">
      <w:pPr>
        <w:spacing w:afterLines="20" w:after="48"/>
        <w:jc w:val="both"/>
        <w:rPr>
          <w:rFonts w:ascii="Verdana" w:hAnsi="Verdana"/>
          <w:b/>
          <w:sz w:val="16"/>
          <w:szCs w:val="20"/>
          <w:lang w:val="es-ES_tradnl"/>
        </w:rPr>
      </w:pPr>
    </w:p>
    <w:p w:rsidR="00000000" w:rsidRDefault="0097652F">
      <w:pPr>
        <w:numPr>
          <w:ilvl w:val="0"/>
          <w:numId w:val="1"/>
        </w:numPr>
        <w:spacing w:afterLines="20" w:after="48"/>
        <w:jc w:val="both"/>
        <w:rPr>
          <w:rFonts w:ascii="Verdana" w:hAnsi="Verdana"/>
          <w:strike/>
          <w:sz w:val="20"/>
          <w:szCs w:val="20"/>
          <w:lang w:val="es-ES_tradnl"/>
        </w:rPr>
      </w:pPr>
      <w:r>
        <w:rPr>
          <w:rFonts w:ascii="Verdana" w:hAnsi="Verdana"/>
          <w:sz w:val="20"/>
          <w:szCs w:val="20"/>
          <w:lang w:val="es-ES_tradnl"/>
        </w:rPr>
        <w:t>De conformidad con el artículo citado, la Corte es competente para interpretar sus fallos. Para realizar el examen de la demanda de inter</w:t>
      </w:r>
      <w:r>
        <w:rPr>
          <w:rFonts w:ascii="Verdana" w:hAnsi="Verdana"/>
          <w:sz w:val="20"/>
          <w:szCs w:val="20"/>
          <w:lang w:val="es-ES_tradnl"/>
        </w:rPr>
        <w:t>pretación y resolver lo que a este respecto corresponda, el Tribunal debe tener, si es posible, la misma composición que tenía al dictar la Sentencia respectiva, de acuerdo con el artículo 59.3 del Reglamento. En esta ocasión, la Corte se integra con los j</w:t>
      </w:r>
      <w:r>
        <w:rPr>
          <w:rFonts w:ascii="Verdana" w:hAnsi="Verdana"/>
          <w:sz w:val="20"/>
          <w:szCs w:val="20"/>
          <w:lang w:val="es-ES_tradnl"/>
        </w:rPr>
        <w:t>ueces que dictaron la Sentencia cuya interpretación ha sido solicitada por el Estado, con la modificación mencionada</w:t>
      </w:r>
      <w:r>
        <w:rPr>
          <w:rStyle w:val="Refdenotaalpie"/>
          <w:rFonts w:ascii="Verdana" w:hAnsi="Verdana"/>
          <w:szCs w:val="20"/>
          <w:lang w:val="es-ES_tradnl"/>
        </w:rPr>
        <w:footnoteReference w:id="3"/>
      </w:r>
      <w:r>
        <w:rPr>
          <w:rFonts w:ascii="Verdana" w:hAnsi="Verdana"/>
          <w:sz w:val="20"/>
          <w:szCs w:val="20"/>
          <w:lang w:val="es-ES_tradnl"/>
        </w:rPr>
        <w:t>.</w:t>
      </w:r>
    </w:p>
    <w:p w:rsidR="00000000" w:rsidRDefault="0097652F">
      <w:pPr>
        <w:spacing w:afterLines="20" w:after="48"/>
        <w:jc w:val="both"/>
        <w:rPr>
          <w:rFonts w:ascii="Verdana" w:hAnsi="Verdana"/>
          <w:sz w:val="20"/>
          <w:szCs w:val="20"/>
          <w:lang w:val="es-ES_tradnl"/>
        </w:rPr>
      </w:pPr>
    </w:p>
    <w:p w:rsidR="00000000" w:rsidRDefault="0097652F">
      <w:pPr>
        <w:spacing w:afterLines="20" w:after="48"/>
        <w:jc w:val="center"/>
        <w:rPr>
          <w:rFonts w:ascii="Verdana" w:hAnsi="Verdana"/>
          <w:b/>
          <w:sz w:val="20"/>
          <w:szCs w:val="20"/>
          <w:lang w:val="es-ES_tradnl"/>
        </w:rPr>
      </w:pPr>
      <w:r>
        <w:rPr>
          <w:rFonts w:ascii="Verdana" w:hAnsi="Verdana"/>
          <w:b/>
          <w:sz w:val="20"/>
          <w:szCs w:val="20"/>
          <w:lang w:val="es-ES_tradnl"/>
        </w:rPr>
        <w:t>III</w:t>
      </w:r>
    </w:p>
    <w:p w:rsidR="00000000" w:rsidRDefault="0097652F">
      <w:pPr>
        <w:spacing w:afterLines="20" w:after="48"/>
        <w:jc w:val="center"/>
        <w:rPr>
          <w:rFonts w:ascii="Verdana" w:hAnsi="Verdana"/>
          <w:b/>
          <w:sz w:val="20"/>
          <w:szCs w:val="20"/>
          <w:lang w:val="es-ES_tradnl"/>
        </w:rPr>
      </w:pPr>
      <w:r>
        <w:rPr>
          <w:rFonts w:ascii="Verdana" w:hAnsi="Verdana"/>
          <w:b/>
          <w:sz w:val="20"/>
          <w:szCs w:val="20"/>
          <w:lang w:val="es-ES_tradnl"/>
        </w:rPr>
        <w:t>ADMISIBILIDAD</w:t>
      </w:r>
    </w:p>
    <w:p w:rsidR="00000000" w:rsidRDefault="0097652F">
      <w:pPr>
        <w:spacing w:afterLines="20" w:after="48"/>
        <w:jc w:val="both"/>
        <w:rPr>
          <w:rFonts w:ascii="Verdana" w:hAnsi="Verdana"/>
          <w:sz w:val="20"/>
          <w:szCs w:val="20"/>
          <w:lang w:val="es-ES_tradnl"/>
        </w:rPr>
      </w:pPr>
    </w:p>
    <w:p w:rsidR="00000000" w:rsidRDefault="0097652F">
      <w:pPr>
        <w:pStyle w:val="Textodebloque"/>
        <w:numPr>
          <w:ilvl w:val="0"/>
          <w:numId w:val="1"/>
        </w:numPr>
        <w:spacing w:afterLines="20" w:after="48"/>
        <w:ind w:right="0"/>
        <w:rPr>
          <w:sz w:val="20"/>
        </w:rPr>
      </w:pPr>
      <w:r>
        <w:rPr>
          <w:sz w:val="20"/>
        </w:rPr>
        <w:t>Corresponde a la Corte verificar si la demanda de interpretación cumple con los requisitos establecidos en las normas</w:t>
      </w:r>
      <w:r>
        <w:rPr>
          <w:sz w:val="20"/>
        </w:rPr>
        <w:t xml:space="preserve"> aplicables, a saber, el artículo 67 de la Convención, anteriormente citado, y el artículo 59 del Reglamento que dispone, en lo pertinente, que:</w:t>
      </w:r>
    </w:p>
    <w:p w:rsidR="00000000" w:rsidRDefault="0097652F">
      <w:pPr>
        <w:spacing w:afterLines="20" w:after="48"/>
        <w:jc w:val="both"/>
        <w:rPr>
          <w:rFonts w:ascii="Verdana" w:hAnsi="Verdana"/>
          <w:sz w:val="16"/>
          <w:szCs w:val="20"/>
          <w:lang w:val="es-ES_tradnl"/>
        </w:rPr>
      </w:pPr>
    </w:p>
    <w:p w:rsidR="00000000" w:rsidRDefault="0097652F">
      <w:pPr>
        <w:spacing w:afterLines="20" w:after="48"/>
        <w:ind w:left="720" w:right="44"/>
        <w:jc w:val="both"/>
        <w:rPr>
          <w:rFonts w:ascii="Verdana" w:hAnsi="Verdana"/>
          <w:sz w:val="16"/>
          <w:lang w:val="es-ES_tradnl"/>
        </w:rPr>
      </w:pPr>
      <w:r>
        <w:rPr>
          <w:rFonts w:ascii="Verdana" w:hAnsi="Verdana"/>
          <w:sz w:val="16"/>
          <w:lang w:val="es-ES_tradnl"/>
        </w:rPr>
        <w:t>1.</w:t>
      </w:r>
      <w:r>
        <w:rPr>
          <w:rFonts w:ascii="Verdana" w:hAnsi="Verdana"/>
          <w:sz w:val="16"/>
          <w:lang w:val="es-ES_tradnl"/>
        </w:rPr>
        <w:tab/>
        <w:t>[l]a demanda de interpretación a que se refiere el artículo 67 de la Convención podrá promoverse en relació</w:t>
      </w:r>
      <w:r>
        <w:rPr>
          <w:rFonts w:ascii="Verdana" w:hAnsi="Verdana"/>
          <w:sz w:val="16"/>
          <w:lang w:val="es-ES_tradnl"/>
        </w:rPr>
        <w:t>n con las sentencias de fondo o de reparaciones y se presentará en la Secretaría de la Corte indicándose en ella, con precisión, las cuestiones relativas al sentido o alcance de la sentencia cuya interpretación se pida[;]</w:t>
      </w:r>
    </w:p>
    <w:p w:rsidR="00000000" w:rsidRDefault="0097652F">
      <w:pPr>
        <w:spacing w:afterLines="20" w:after="48"/>
        <w:ind w:left="720" w:right="44"/>
        <w:jc w:val="both"/>
        <w:rPr>
          <w:rFonts w:ascii="Verdana" w:hAnsi="Verdana"/>
          <w:sz w:val="16"/>
          <w:lang w:val="es-ES_tradnl"/>
        </w:rPr>
      </w:pPr>
    </w:p>
    <w:p w:rsidR="00000000" w:rsidRDefault="0097652F">
      <w:pPr>
        <w:spacing w:afterLines="20" w:after="48"/>
        <w:ind w:left="720" w:right="44"/>
        <w:jc w:val="both"/>
        <w:rPr>
          <w:rFonts w:ascii="Verdana" w:hAnsi="Verdana"/>
          <w:sz w:val="16"/>
          <w:lang w:val="es-ES_tradnl"/>
        </w:rPr>
      </w:pPr>
      <w:r>
        <w:rPr>
          <w:rFonts w:ascii="Verdana" w:hAnsi="Verdana"/>
          <w:sz w:val="16"/>
          <w:lang w:val="es-ES_tradnl"/>
        </w:rPr>
        <w:t>[…]</w:t>
      </w:r>
    </w:p>
    <w:p w:rsidR="00000000" w:rsidRDefault="0097652F">
      <w:pPr>
        <w:spacing w:afterLines="20" w:after="48"/>
        <w:ind w:left="720" w:right="44"/>
        <w:jc w:val="both"/>
        <w:rPr>
          <w:rFonts w:ascii="Verdana" w:hAnsi="Verdana"/>
          <w:sz w:val="16"/>
          <w:lang w:val="es-ES_tradnl"/>
        </w:rPr>
      </w:pPr>
    </w:p>
    <w:p w:rsidR="00000000" w:rsidRDefault="0097652F">
      <w:pPr>
        <w:spacing w:afterLines="20" w:after="48"/>
        <w:ind w:left="720" w:right="44"/>
        <w:jc w:val="both"/>
        <w:rPr>
          <w:rFonts w:ascii="Verdana" w:hAnsi="Verdana"/>
          <w:sz w:val="16"/>
          <w:lang w:val="es-ES_tradnl"/>
        </w:rPr>
      </w:pPr>
      <w:r>
        <w:rPr>
          <w:rFonts w:ascii="Verdana" w:hAnsi="Verdana"/>
          <w:sz w:val="16"/>
          <w:lang w:val="es-ES_tradnl"/>
        </w:rPr>
        <w:t>4.</w:t>
      </w:r>
      <w:r>
        <w:rPr>
          <w:rFonts w:ascii="Verdana" w:hAnsi="Verdana"/>
          <w:sz w:val="16"/>
          <w:lang w:val="es-ES_tradnl"/>
        </w:rPr>
        <w:tab/>
        <w:t>[l]a demanda de interpret</w:t>
      </w:r>
      <w:r>
        <w:rPr>
          <w:rFonts w:ascii="Verdana" w:hAnsi="Verdana"/>
          <w:sz w:val="16"/>
          <w:lang w:val="es-ES_tradnl"/>
        </w:rPr>
        <w:t xml:space="preserve">ación no suspenderá la ejecución de la </w:t>
      </w:r>
      <w:proofErr w:type="gramStart"/>
      <w:r>
        <w:rPr>
          <w:rFonts w:ascii="Verdana" w:hAnsi="Verdana"/>
          <w:sz w:val="16"/>
          <w:lang w:val="es-ES_tradnl"/>
        </w:rPr>
        <w:t>sentencia[</w:t>
      </w:r>
      <w:proofErr w:type="gramEnd"/>
      <w:r>
        <w:rPr>
          <w:rFonts w:ascii="Verdana" w:hAnsi="Verdana"/>
          <w:sz w:val="16"/>
          <w:lang w:val="es-ES_tradnl"/>
        </w:rPr>
        <w:t>, y]</w:t>
      </w:r>
    </w:p>
    <w:p w:rsidR="00000000" w:rsidRDefault="0097652F">
      <w:pPr>
        <w:spacing w:afterLines="20" w:after="48"/>
        <w:ind w:left="720" w:right="44"/>
        <w:jc w:val="both"/>
        <w:rPr>
          <w:rFonts w:ascii="Verdana" w:hAnsi="Verdana"/>
          <w:sz w:val="16"/>
          <w:lang w:val="es-ES_tradnl"/>
        </w:rPr>
      </w:pPr>
    </w:p>
    <w:p w:rsidR="00000000" w:rsidRDefault="0097652F">
      <w:pPr>
        <w:spacing w:afterLines="20" w:after="48"/>
        <w:ind w:left="720" w:right="44"/>
        <w:jc w:val="both"/>
        <w:rPr>
          <w:rFonts w:ascii="Verdana" w:hAnsi="Verdana"/>
          <w:sz w:val="16"/>
          <w:lang w:val="es-ES_tradnl"/>
        </w:rPr>
      </w:pPr>
      <w:r>
        <w:rPr>
          <w:rFonts w:ascii="Verdana" w:hAnsi="Verdana"/>
          <w:sz w:val="16"/>
          <w:lang w:val="es-ES_tradnl"/>
        </w:rPr>
        <w:t>5.</w:t>
      </w:r>
      <w:r>
        <w:rPr>
          <w:rFonts w:ascii="Verdana" w:hAnsi="Verdana"/>
          <w:sz w:val="16"/>
          <w:lang w:val="es-ES_tradnl"/>
        </w:rPr>
        <w:tab/>
        <w:t>[l]a Corte determinará el procedimiento que se seguirá y resolverá mediante una sentencia.</w:t>
      </w:r>
    </w:p>
    <w:p w:rsidR="00000000" w:rsidRDefault="0097652F">
      <w:pPr>
        <w:spacing w:afterLines="20" w:after="48"/>
        <w:jc w:val="both"/>
        <w:rPr>
          <w:rFonts w:ascii="Verdana" w:hAnsi="Verdana"/>
          <w:sz w:val="16"/>
          <w:szCs w:val="20"/>
          <w:lang w:val="es-ES_tradnl"/>
        </w:rPr>
      </w:pPr>
    </w:p>
    <w:p w:rsidR="00000000" w:rsidRDefault="0097652F">
      <w:pPr>
        <w:numPr>
          <w:ilvl w:val="0"/>
          <w:numId w:val="1"/>
        </w:numPr>
        <w:spacing w:afterLines="20" w:after="48"/>
        <w:jc w:val="both"/>
        <w:rPr>
          <w:rFonts w:ascii="Verdana" w:hAnsi="Verdana"/>
          <w:sz w:val="20"/>
          <w:szCs w:val="20"/>
          <w:lang w:val="es-ES_tradnl"/>
        </w:rPr>
      </w:pPr>
      <w:r>
        <w:rPr>
          <w:rFonts w:ascii="Verdana" w:hAnsi="Verdana"/>
          <w:sz w:val="20"/>
          <w:szCs w:val="20"/>
          <w:lang w:val="es-ES_tradnl"/>
        </w:rPr>
        <w:t>Asimismo, el artículo 29.3 del Reglamento establece que “[c]ontra las sentencias y resoluciones de la Cort</w:t>
      </w:r>
      <w:r>
        <w:rPr>
          <w:rFonts w:ascii="Verdana" w:hAnsi="Verdana"/>
          <w:sz w:val="20"/>
          <w:szCs w:val="20"/>
          <w:lang w:val="es-ES_tradnl"/>
        </w:rPr>
        <w:t xml:space="preserve">e no procede ningún medio de impugnación”. </w:t>
      </w:r>
    </w:p>
    <w:p w:rsidR="00000000" w:rsidRDefault="0097652F">
      <w:pPr>
        <w:spacing w:afterLines="20" w:after="48"/>
        <w:jc w:val="both"/>
        <w:rPr>
          <w:rFonts w:ascii="Verdana" w:hAnsi="Verdana"/>
          <w:sz w:val="20"/>
          <w:szCs w:val="20"/>
          <w:lang w:val="es-ES_tradnl"/>
        </w:rPr>
      </w:pPr>
    </w:p>
    <w:p w:rsidR="00000000" w:rsidRDefault="0097652F">
      <w:pPr>
        <w:numPr>
          <w:ilvl w:val="0"/>
          <w:numId w:val="1"/>
        </w:numPr>
        <w:spacing w:afterLines="20" w:after="48"/>
        <w:jc w:val="both"/>
        <w:rPr>
          <w:rFonts w:ascii="Verdana" w:hAnsi="Verdana"/>
          <w:sz w:val="20"/>
          <w:lang w:val="es-ES_tradnl"/>
        </w:rPr>
      </w:pPr>
      <w:r>
        <w:rPr>
          <w:rFonts w:ascii="Verdana" w:hAnsi="Verdana"/>
          <w:sz w:val="20"/>
          <w:szCs w:val="20"/>
          <w:lang w:val="es-ES_tradnl"/>
        </w:rPr>
        <w:t xml:space="preserve">La Corte observa que el Estado interpuso la demanda de interpretación dentro del plazo establecido en el artículo 67 de la Convención, ya que la misma fue presentada el día 3 de noviembre de 2009 y la Sentencia </w:t>
      </w:r>
      <w:r>
        <w:rPr>
          <w:rFonts w:ascii="Verdana" w:hAnsi="Verdana"/>
          <w:sz w:val="20"/>
          <w:szCs w:val="20"/>
          <w:lang w:val="es-ES_tradnl"/>
        </w:rPr>
        <w:t xml:space="preserve">fue notificada a las partes el 5 </w:t>
      </w:r>
      <w:r>
        <w:rPr>
          <w:rFonts w:ascii="Verdana" w:hAnsi="Verdana"/>
          <w:sz w:val="20"/>
          <w:lang w:val="es-ES_tradnl"/>
        </w:rPr>
        <w:t xml:space="preserve">de agosto de 2009. </w:t>
      </w:r>
    </w:p>
    <w:p w:rsidR="00000000" w:rsidRDefault="0097652F">
      <w:pPr>
        <w:spacing w:afterLines="20" w:after="48"/>
        <w:jc w:val="both"/>
        <w:rPr>
          <w:rFonts w:ascii="Verdana" w:hAnsi="Verdana"/>
          <w:sz w:val="20"/>
          <w:szCs w:val="20"/>
          <w:lang w:val="es-ES_tradnl"/>
        </w:rPr>
      </w:pPr>
    </w:p>
    <w:p w:rsidR="00000000" w:rsidRDefault="0097652F">
      <w:pPr>
        <w:numPr>
          <w:ilvl w:val="0"/>
          <w:numId w:val="1"/>
        </w:numPr>
        <w:spacing w:afterLines="20" w:after="48"/>
        <w:jc w:val="both"/>
        <w:rPr>
          <w:rFonts w:ascii="Verdana" w:hAnsi="Verdana"/>
          <w:strike/>
          <w:sz w:val="20"/>
          <w:szCs w:val="20"/>
          <w:lang w:val="es-ES_tradnl"/>
        </w:rPr>
      </w:pPr>
      <w:r>
        <w:rPr>
          <w:rFonts w:ascii="Verdana" w:hAnsi="Verdana"/>
          <w:sz w:val="20"/>
          <w:szCs w:val="20"/>
          <w:lang w:val="es-ES_tradnl"/>
        </w:rPr>
        <w:t>Por otro lado, tal como lo ha dispuesto este Tribunal en su jurisprudencia constante, claramente sustentada en el ordenamiento aplicable, una</w:t>
      </w:r>
      <w:r>
        <w:rPr>
          <w:rFonts w:ascii="Verdana" w:hAnsi="Verdana"/>
          <w:sz w:val="20"/>
          <w:lang w:val="es-ES_tradnl"/>
        </w:rPr>
        <w:t xml:space="preserve"> demanda de interpretación de sentencia tiene como objeto, ex</w:t>
      </w:r>
      <w:r>
        <w:rPr>
          <w:rFonts w:ascii="Verdana" w:hAnsi="Verdana"/>
          <w:sz w:val="20"/>
          <w:lang w:val="es-ES_tradnl"/>
        </w:rPr>
        <w:t>clusivamente, desentrañar el sentido de un fallo cuando alguna de las partes sostiene que el texto de sus puntos resolutivos o de sus consideraciones carece de claridad o precisión, siempre y cuando esas consideraciones incidan en dicha parte resolutiva</w:t>
      </w:r>
      <w:r>
        <w:rPr>
          <w:rStyle w:val="Refdenotaalpie"/>
          <w:lang w:val="es-ES_tradnl"/>
        </w:rPr>
        <w:footnoteReference w:id="4"/>
      </w:r>
      <w:r>
        <w:rPr>
          <w:rFonts w:ascii="Verdana" w:hAnsi="Verdana"/>
          <w:sz w:val="20"/>
          <w:lang w:val="es-ES_tradnl"/>
        </w:rPr>
        <w:t>.</w:t>
      </w:r>
      <w:r>
        <w:rPr>
          <w:rFonts w:ascii="Verdana" w:hAnsi="Verdana"/>
          <w:sz w:val="20"/>
          <w:szCs w:val="20"/>
          <w:lang w:val="es-ES_tradnl"/>
        </w:rPr>
        <w:t xml:space="preserve"> </w:t>
      </w:r>
    </w:p>
    <w:p w:rsidR="00000000" w:rsidRDefault="0097652F">
      <w:pPr>
        <w:spacing w:afterLines="20" w:after="48"/>
        <w:jc w:val="both"/>
        <w:rPr>
          <w:rFonts w:ascii="Verdana" w:hAnsi="Verdana"/>
          <w:sz w:val="20"/>
          <w:szCs w:val="20"/>
          <w:lang w:val="es-ES_tradnl"/>
        </w:rPr>
      </w:pPr>
    </w:p>
    <w:p w:rsidR="00000000" w:rsidRDefault="0097652F">
      <w:pPr>
        <w:numPr>
          <w:ilvl w:val="0"/>
          <w:numId w:val="1"/>
        </w:numPr>
        <w:spacing w:afterLines="20" w:after="48"/>
        <w:jc w:val="both"/>
        <w:rPr>
          <w:rFonts w:ascii="Verdana" w:hAnsi="Verdana"/>
          <w:strike/>
          <w:sz w:val="20"/>
          <w:szCs w:val="20"/>
          <w:lang w:val="es-ES_tradnl"/>
        </w:rPr>
      </w:pPr>
      <w:r>
        <w:rPr>
          <w:rFonts w:ascii="Verdana" w:hAnsi="Verdana"/>
          <w:sz w:val="20"/>
          <w:szCs w:val="20"/>
          <w:lang w:val="es-ES_tradnl"/>
        </w:rPr>
        <w:lastRenderedPageBreak/>
        <w:t>La Corte procederá a analizar la demanda de interpretación presentada por el Estado y, en su caso, a aclarar el alcance del punto resolutivo quinto de la Sentencia. Para ello, examinará la cuestión planteada por el Estado, así como las observaciones de l</w:t>
      </w:r>
      <w:r>
        <w:rPr>
          <w:rFonts w:ascii="Verdana" w:hAnsi="Verdana"/>
          <w:sz w:val="20"/>
          <w:szCs w:val="20"/>
          <w:lang w:val="es-ES_tradnl"/>
        </w:rPr>
        <w:t>a Comisión y del representante.</w:t>
      </w:r>
    </w:p>
    <w:p w:rsidR="00000000" w:rsidRDefault="0097652F">
      <w:pPr>
        <w:spacing w:afterLines="20" w:after="48"/>
        <w:jc w:val="both"/>
        <w:rPr>
          <w:rFonts w:ascii="Verdana" w:hAnsi="Verdana"/>
          <w:sz w:val="20"/>
          <w:szCs w:val="20"/>
          <w:lang w:val="es-ES_tradnl"/>
        </w:rPr>
      </w:pPr>
    </w:p>
    <w:p w:rsidR="00000000" w:rsidRDefault="0097652F">
      <w:pPr>
        <w:spacing w:afterLines="20" w:after="48"/>
        <w:jc w:val="center"/>
        <w:rPr>
          <w:rFonts w:ascii="Verdana" w:hAnsi="Verdana"/>
          <w:b/>
          <w:smallCaps/>
          <w:sz w:val="20"/>
          <w:szCs w:val="20"/>
          <w:lang w:val="es-ES_tradnl"/>
        </w:rPr>
      </w:pPr>
      <w:r>
        <w:rPr>
          <w:rFonts w:ascii="Verdana" w:hAnsi="Verdana"/>
          <w:b/>
          <w:smallCaps/>
          <w:sz w:val="20"/>
          <w:szCs w:val="20"/>
          <w:lang w:val="es-ES_tradnl"/>
        </w:rPr>
        <w:t>IV</w:t>
      </w:r>
    </w:p>
    <w:p w:rsidR="00000000" w:rsidRDefault="0097652F">
      <w:pPr>
        <w:spacing w:afterLines="20" w:after="48"/>
        <w:jc w:val="center"/>
        <w:rPr>
          <w:rFonts w:ascii="Verdana" w:hAnsi="Verdana"/>
          <w:b/>
          <w:smallCaps/>
          <w:sz w:val="20"/>
          <w:szCs w:val="20"/>
          <w:lang w:val="es-ES_tradnl"/>
        </w:rPr>
      </w:pPr>
      <w:r>
        <w:rPr>
          <w:rFonts w:ascii="Verdana" w:hAnsi="Verdana"/>
          <w:b/>
          <w:smallCaps/>
          <w:sz w:val="20"/>
          <w:szCs w:val="20"/>
          <w:lang w:val="es-ES_tradnl"/>
        </w:rPr>
        <w:t>ALCANCE DEL PUNTO RESOLUTIVO QUINTO DE LA SENTENCIA</w:t>
      </w:r>
    </w:p>
    <w:p w:rsidR="00000000" w:rsidRDefault="0097652F">
      <w:pPr>
        <w:spacing w:afterLines="20" w:after="48"/>
        <w:jc w:val="center"/>
        <w:rPr>
          <w:rFonts w:ascii="Verdana" w:hAnsi="Verdana"/>
          <w:b/>
          <w:smallCaps/>
          <w:sz w:val="20"/>
          <w:szCs w:val="20"/>
          <w:lang w:val="es-ES_tradnl"/>
        </w:rPr>
      </w:pPr>
    </w:p>
    <w:p w:rsidR="00000000" w:rsidRDefault="0097652F">
      <w:pPr>
        <w:numPr>
          <w:ilvl w:val="0"/>
          <w:numId w:val="1"/>
        </w:numPr>
        <w:spacing w:afterLines="20" w:after="48"/>
        <w:jc w:val="both"/>
        <w:rPr>
          <w:rFonts w:ascii="Verdana" w:hAnsi="Verdana"/>
          <w:sz w:val="20"/>
          <w:szCs w:val="20"/>
          <w:lang w:val="es-ES_tradnl"/>
        </w:rPr>
      </w:pPr>
      <w:r>
        <w:rPr>
          <w:rFonts w:ascii="Verdana" w:hAnsi="Verdana" w:cs="Arial"/>
          <w:sz w:val="20"/>
          <w:szCs w:val="20"/>
          <w:lang w:val="es-ES_tradnl"/>
        </w:rPr>
        <w:t xml:space="preserve">El Estado </w:t>
      </w:r>
      <w:r>
        <w:rPr>
          <w:rFonts w:ascii="Verdana" w:hAnsi="Verdana" w:cs="Arial"/>
          <w:sz w:val="20"/>
          <w:szCs w:val="20"/>
        </w:rPr>
        <w:t xml:space="preserve">solicitó una aclaración </w:t>
      </w:r>
      <w:r>
        <w:rPr>
          <w:rFonts w:ascii="Verdana" w:hAnsi="Verdana"/>
          <w:sz w:val="20"/>
          <w:szCs w:val="20"/>
        </w:rPr>
        <w:t>sobre el punto resolutivo quinto de la Sentencia, el cual establece que “[e]l Estado debe realizar los pagos de las cantidades establ</w:t>
      </w:r>
      <w:r>
        <w:rPr>
          <w:rFonts w:ascii="Verdana" w:hAnsi="Verdana"/>
          <w:sz w:val="20"/>
          <w:szCs w:val="20"/>
        </w:rPr>
        <w:t xml:space="preserve">ecidas en la […] Sentencia por concepto de daño inmaterial y reintegro de costas y gastos dentro del plazo de un año, contado a partir de la notificación del […] Fallo, en los términos de los párrafos 134, 150, 151, 152, 153, 154 y 155  del mismo”. En ese </w:t>
      </w:r>
      <w:r>
        <w:rPr>
          <w:rFonts w:ascii="Verdana" w:hAnsi="Verdana"/>
          <w:sz w:val="20"/>
          <w:szCs w:val="20"/>
        </w:rPr>
        <w:t>sentido, solicitó a la Corte “que precise si [las costas y gastos deben ser reintegrados] a la persona jurídica denominada [‘</w:t>
      </w:r>
      <w:proofErr w:type="gramStart"/>
      <w:r>
        <w:rPr>
          <w:rFonts w:ascii="Verdana" w:hAnsi="Verdana"/>
          <w:sz w:val="20"/>
          <w:szCs w:val="20"/>
        </w:rPr>
        <w:t>]Asociación</w:t>
      </w:r>
      <w:proofErr w:type="gramEnd"/>
      <w:r>
        <w:rPr>
          <w:rFonts w:ascii="Verdana" w:hAnsi="Verdana"/>
          <w:sz w:val="20"/>
          <w:szCs w:val="20"/>
        </w:rPr>
        <w:t xml:space="preserve"> de Cesantes y Jubilados[´] o [a] las personas naturales que han sido calificadas como víctimas [en] la [S]entencia, ind</w:t>
      </w:r>
      <w:r>
        <w:rPr>
          <w:rFonts w:ascii="Verdana" w:hAnsi="Verdana"/>
          <w:sz w:val="20"/>
          <w:szCs w:val="20"/>
        </w:rPr>
        <w:t xml:space="preserve">icando la forma de pago que correspondería usar en este último caso”. Ello porque si bien “el párrafo 150 de la Sentenci[a] ordena el pago de US$ 20.000,00 (veinte mil dólares de los Estados Unidos de </w:t>
      </w:r>
      <w:proofErr w:type="gramStart"/>
      <w:r>
        <w:rPr>
          <w:rFonts w:ascii="Verdana" w:hAnsi="Verdana"/>
          <w:sz w:val="20"/>
          <w:szCs w:val="20"/>
        </w:rPr>
        <w:t>América[</w:t>
      </w:r>
      <w:proofErr w:type="gramEnd"/>
      <w:r>
        <w:rPr>
          <w:rFonts w:ascii="Verdana" w:hAnsi="Verdana"/>
          <w:sz w:val="20"/>
          <w:szCs w:val="20"/>
        </w:rPr>
        <w:t>)] por concepto de costas y gastos, directament</w:t>
      </w:r>
      <w:r>
        <w:rPr>
          <w:rFonts w:ascii="Verdana" w:hAnsi="Verdana"/>
          <w:sz w:val="20"/>
          <w:szCs w:val="20"/>
        </w:rPr>
        <w:t xml:space="preserve">e a la [‘]Asociación de Cesantes y Jubilados[´]”, “en el [p]árrafo 151 [del Fallo] se dice que dicho pago debe realizarse directamente a las víctimas”. </w:t>
      </w:r>
    </w:p>
    <w:p w:rsidR="00000000" w:rsidRDefault="0097652F">
      <w:pPr>
        <w:spacing w:afterLines="20" w:after="48"/>
        <w:jc w:val="both"/>
        <w:rPr>
          <w:rFonts w:ascii="Verdana" w:hAnsi="Verdana"/>
          <w:sz w:val="20"/>
          <w:szCs w:val="20"/>
        </w:rPr>
      </w:pPr>
    </w:p>
    <w:p w:rsidR="00000000" w:rsidRDefault="0097652F">
      <w:pPr>
        <w:numPr>
          <w:ilvl w:val="0"/>
          <w:numId w:val="1"/>
        </w:numPr>
        <w:spacing w:afterLines="20" w:after="48"/>
        <w:jc w:val="both"/>
        <w:rPr>
          <w:rFonts w:ascii="Verdana" w:hAnsi="Verdana"/>
          <w:sz w:val="20"/>
          <w:szCs w:val="20"/>
        </w:rPr>
      </w:pPr>
      <w:r>
        <w:rPr>
          <w:rFonts w:ascii="Verdana" w:hAnsi="Verdana"/>
          <w:sz w:val="20"/>
          <w:szCs w:val="20"/>
        </w:rPr>
        <w:t>El representante señaló que, en el presente caso, las costas y gastos “se refieren a las erogaciones p</w:t>
      </w:r>
      <w:r>
        <w:rPr>
          <w:rFonts w:ascii="Verdana" w:hAnsi="Verdana"/>
          <w:sz w:val="20"/>
          <w:szCs w:val="20"/>
        </w:rPr>
        <w:t>or dicho concepto, y [a] los honorarios profesionales efectuados y/o comprometidos por la Asociación de Cesantes y Jubilados […] a favor del Estudio Carlos Blancas Bustamante Abogados E.I.R.L., así como [a] los gastos incurridos por CEDAL a causa de sus ac</w:t>
      </w:r>
      <w:r>
        <w:rPr>
          <w:rFonts w:ascii="Verdana" w:hAnsi="Verdana"/>
          <w:sz w:val="20"/>
          <w:szCs w:val="20"/>
        </w:rPr>
        <w:t>tividades de asesoría y apoyo jurídico en el proceso llevado ante el Sistema Interamericano”. Por tanto, el representante concluyó que “no existe contradicción en el mandato de la […] Corte contenido en los párrafos 150 y 151 de su [S]entencia, en razón de</w:t>
      </w:r>
      <w:r>
        <w:rPr>
          <w:rFonts w:ascii="Verdana" w:hAnsi="Verdana"/>
          <w:sz w:val="20"/>
          <w:szCs w:val="20"/>
        </w:rPr>
        <w:t xml:space="preserve"> que lo que [é]sta dispone es que el Estado entregue a la Asociación de Cesantes y Jubilados […] – de la que forman parte las víctimas en su condición de integrantes de la misma - la suma señalada en el párrafo 150 de su [S]entencia; luego de lo cual éstas</w:t>
      </w:r>
      <w:r>
        <w:rPr>
          <w:rFonts w:ascii="Verdana" w:hAnsi="Verdana"/>
          <w:sz w:val="20"/>
          <w:szCs w:val="20"/>
        </w:rPr>
        <w:t xml:space="preserve"> entregarán, a su vez, y por intermedio de la Asociación de Cesantes y Jubilados de la Controlaría de la que son integrantes, la cantidad que estimen adecuada a quienes fueron sus representantes en el fuero interno y en el proceso ante el Sistema Interamer</w:t>
      </w:r>
      <w:r>
        <w:rPr>
          <w:rFonts w:ascii="Verdana" w:hAnsi="Verdana"/>
          <w:sz w:val="20"/>
          <w:szCs w:val="20"/>
        </w:rPr>
        <w:t xml:space="preserve">icano”. </w:t>
      </w:r>
    </w:p>
    <w:p w:rsidR="00000000" w:rsidRDefault="0097652F">
      <w:pPr>
        <w:spacing w:afterLines="20" w:after="48"/>
        <w:jc w:val="both"/>
        <w:rPr>
          <w:rFonts w:ascii="Verdana" w:hAnsi="Verdana"/>
          <w:sz w:val="20"/>
          <w:szCs w:val="20"/>
        </w:rPr>
      </w:pPr>
      <w:r>
        <w:rPr>
          <w:rFonts w:ascii="Verdana" w:hAnsi="Verdana"/>
          <w:sz w:val="20"/>
          <w:szCs w:val="20"/>
        </w:rPr>
        <w:t xml:space="preserve"> </w:t>
      </w:r>
    </w:p>
    <w:p w:rsidR="00000000" w:rsidRDefault="0097652F">
      <w:pPr>
        <w:numPr>
          <w:ilvl w:val="0"/>
          <w:numId w:val="1"/>
        </w:numPr>
        <w:spacing w:afterLines="20" w:after="48"/>
        <w:jc w:val="both"/>
        <w:rPr>
          <w:rFonts w:ascii="Verdana" w:hAnsi="Verdana"/>
          <w:sz w:val="20"/>
          <w:szCs w:val="20"/>
        </w:rPr>
      </w:pPr>
      <w:r>
        <w:rPr>
          <w:rFonts w:ascii="Verdana" w:hAnsi="Verdana"/>
          <w:sz w:val="20"/>
          <w:szCs w:val="20"/>
          <w:lang w:val="es-ES_tradnl"/>
        </w:rPr>
        <w:t>La Comisión observó que, “en efecto, los párrafos 150 y 151 del [F]allo podrían dar lugar a varias interpretaciones”. Por lo tanto, señaló que “considera relevante que la […] Corte aclare este punto a través de la sentencia de interpretación cor</w:t>
      </w:r>
      <w:r>
        <w:rPr>
          <w:rFonts w:ascii="Verdana" w:hAnsi="Verdana"/>
          <w:sz w:val="20"/>
          <w:szCs w:val="20"/>
          <w:lang w:val="es-ES_tradnl"/>
        </w:rPr>
        <w:t>respondiente a fin de que el Estado proceda a efectuar los pagos a que se refiere la presente solicitud”.</w:t>
      </w:r>
    </w:p>
    <w:p w:rsidR="00000000" w:rsidRDefault="0097652F">
      <w:pPr>
        <w:spacing w:afterLines="20" w:after="48"/>
        <w:jc w:val="both"/>
        <w:rPr>
          <w:rFonts w:ascii="Verdana" w:hAnsi="Verdana"/>
          <w:sz w:val="20"/>
          <w:szCs w:val="20"/>
        </w:rPr>
      </w:pPr>
    </w:p>
    <w:p w:rsidR="00000000" w:rsidRDefault="0097652F">
      <w:pPr>
        <w:numPr>
          <w:ilvl w:val="0"/>
          <w:numId w:val="1"/>
        </w:numPr>
        <w:spacing w:afterLines="20" w:after="48"/>
        <w:jc w:val="both"/>
        <w:rPr>
          <w:rFonts w:ascii="Verdana" w:hAnsi="Verdana"/>
          <w:sz w:val="20"/>
          <w:szCs w:val="20"/>
        </w:rPr>
      </w:pPr>
      <w:r>
        <w:rPr>
          <w:rFonts w:ascii="Verdana" w:hAnsi="Verdana"/>
          <w:sz w:val="20"/>
          <w:szCs w:val="20"/>
          <w:lang w:val="es-ES_tradnl"/>
        </w:rPr>
        <w:t xml:space="preserve">El Tribunal considera que el alcance y contenido </w:t>
      </w:r>
      <w:r>
        <w:rPr>
          <w:rFonts w:ascii="Verdana" w:hAnsi="Verdana"/>
          <w:sz w:val="20"/>
        </w:rPr>
        <w:t>del punto resolutivo quinto de la Sentencia</w:t>
      </w:r>
      <w:r>
        <w:rPr>
          <w:rFonts w:ascii="Verdana" w:hAnsi="Verdana"/>
          <w:sz w:val="20"/>
          <w:szCs w:val="20"/>
          <w:lang w:val="es-ES_tradnl"/>
        </w:rPr>
        <w:t xml:space="preserve"> resulta claro. No obstante, a fin de aclarar cualquier e</w:t>
      </w:r>
      <w:r>
        <w:rPr>
          <w:rFonts w:ascii="Verdana" w:hAnsi="Verdana"/>
          <w:sz w:val="20"/>
          <w:szCs w:val="20"/>
          <w:lang w:val="es-ES_tradnl"/>
        </w:rPr>
        <w:t>ventual duda que pudiera existir al respecto, procederá a responder la pregunta formulada por el Estado</w:t>
      </w:r>
      <w:r>
        <w:rPr>
          <w:rFonts w:ascii="Verdana" w:hAnsi="Verdana"/>
          <w:sz w:val="20"/>
        </w:rPr>
        <w:t xml:space="preserve"> y a realizar la interpretación solicitada de dicho punto resolutivo y los párrafos considerativos</w:t>
      </w:r>
      <w:r>
        <w:rPr>
          <w:rFonts w:ascii="Verdana" w:hAnsi="Verdana"/>
          <w:sz w:val="20"/>
          <w:szCs w:val="20"/>
          <w:lang w:val="es-ES_tradnl"/>
        </w:rPr>
        <w:t xml:space="preserve"> correspondientes, en los términos del artículo 67 de l</w:t>
      </w:r>
      <w:r>
        <w:rPr>
          <w:rFonts w:ascii="Verdana" w:hAnsi="Verdana"/>
          <w:sz w:val="20"/>
          <w:szCs w:val="20"/>
          <w:lang w:val="es-ES_tradnl"/>
        </w:rPr>
        <w:t>a Convención Americana y del artículo 59 del Reglamento.</w:t>
      </w:r>
    </w:p>
    <w:p w:rsidR="00000000" w:rsidRDefault="0097652F">
      <w:pPr>
        <w:spacing w:afterLines="20" w:after="48"/>
        <w:jc w:val="both"/>
        <w:rPr>
          <w:rFonts w:ascii="Verdana" w:hAnsi="Verdana"/>
          <w:sz w:val="20"/>
          <w:szCs w:val="20"/>
        </w:rPr>
      </w:pPr>
    </w:p>
    <w:p w:rsidR="00000000" w:rsidRDefault="0097652F">
      <w:pPr>
        <w:numPr>
          <w:ilvl w:val="0"/>
          <w:numId w:val="1"/>
        </w:numPr>
        <w:spacing w:afterLines="20" w:after="48"/>
        <w:jc w:val="both"/>
        <w:rPr>
          <w:rFonts w:ascii="Verdana" w:hAnsi="Verdana"/>
          <w:sz w:val="20"/>
          <w:szCs w:val="20"/>
        </w:rPr>
      </w:pPr>
      <w:r>
        <w:rPr>
          <w:rFonts w:ascii="Verdana" w:hAnsi="Verdana"/>
          <w:sz w:val="20"/>
          <w:szCs w:val="20"/>
        </w:rPr>
        <w:t xml:space="preserve">En primer lugar, la Corte Interamericana recuerda que en su decisión de 1 de julio de 2009 encontró violaciones a los derechos a la protección judicial y a la propiedad privada </w:t>
      </w:r>
      <w:r>
        <w:rPr>
          <w:rFonts w:ascii="Verdana" w:hAnsi="Verdana"/>
          <w:sz w:val="20"/>
          <w:szCs w:val="20"/>
        </w:rPr>
        <w:lastRenderedPageBreak/>
        <w:t>reconocidos en los ar</w:t>
      </w:r>
      <w:r>
        <w:rPr>
          <w:rFonts w:ascii="Verdana" w:hAnsi="Verdana"/>
          <w:sz w:val="20"/>
          <w:szCs w:val="20"/>
        </w:rPr>
        <w:t>tículos 25.1 y 25.2.c, y 21.1 y 21.2, respectivamente, de la Convención Americana, por la prolongada e injustificada inobservancia de las sentencias del Tribunal Constitucional del Perú de 21 de octubre de 1997 y 26 de enero de 2001, en perjuicio de los do</w:t>
      </w:r>
      <w:r>
        <w:rPr>
          <w:rFonts w:ascii="Verdana" w:hAnsi="Verdana"/>
          <w:sz w:val="20"/>
          <w:szCs w:val="20"/>
        </w:rPr>
        <w:t>scientos setenta y tres integrantes de la Asociación de Cesantes y Jubilados de la Contraloría indicados en el párrafo 113 del Fallo. En consecuencia, el Tribunal ordenó determinadas reparaciones a favor de las víctimas, así como el reintegro de las costas</w:t>
      </w:r>
      <w:r>
        <w:rPr>
          <w:rFonts w:ascii="Verdana" w:hAnsi="Verdana"/>
          <w:sz w:val="20"/>
          <w:szCs w:val="20"/>
        </w:rPr>
        <w:t xml:space="preserve"> y gastos.</w:t>
      </w:r>
    </w:p>
    <w:p w:rsidR="00000000" w:rsidRDefault="0097652F">
      <w:pPr>
        <w:spacing w:afterLines="20" w:after="48"/>
        <w:jc w:val="both"/>
        <w:rPr>
          <w:rFonts w:ascii="Verdana" w:hAnsi="Verdana"/>
          <w:sz w:val="20"/>
          <w:szCs w:val="20"/>
        </w:rPr>
      </w:pPr>
    </w:p>
    <w:p w:rsidR="00000000" w:rsidRDefault="0097652F">
      <w:pPr>
        <w:numPr>
          <w:ilvl w:val="0"/>
          <w:numId w:val="1"/>
        </w:numPr>
        <w:spacing w:afterLines="20" w:after="48"/>
        <w:jc w:val="both"/>
        <w:rPr>
          <w:rFonts w:ascii="Verdana" w:hAnsi="Verdana"/>
          <w:sz w:val="20"/>
          <w:szCs w:val="20"/>
        </w:rPr>
      </w:pPr>
      <w:r>
        <w:rPr>
          <w:rFonts w:ascii="Verdana" w:hAnsi="Verdana"/>
          <w:sz w:val="20"/>
          <w:szCs w:val="20"/>
        </w:rPr>
        <w:t>El punto resolutivo quinto de la Sentencia establece que “[e]l Estado debe realizar los pagos de las cantidades establecidas en [el Fallo] por concepto de daño inmaterial y reintegro de costas y gastos dentro del plazo de un año, contado a part</w:t>
      </w:r>
      <w:r>
        <w:rPr>
          <w:rFonts w:ascii="Verdana" w:hAnsi="Verdana"/>
          <w:sz w:val="20"/>
          <w:szCs w:val="20"/>
        </w:rPr>
        <w:t>ir de la notificación del presente Fallo, en los términos de los párrafos 134, 150, 151, 152, 153, 154 y 155  del mismo”. Concretamente, en el párrafo 150 de la Sentencia, bajo el título “Costas y gastos” del Capítulo VIII sobre “Reparaciones”, el Tribunal</w:t>
      </w:r>
      <w:r>
        <w:rPr>
          <w:rFonts w:ascii="Verdana" w:hAnsi="Verdana"/>
          <w:sz w:val="20"/>
          <w:szCs w:val="20"/>
        </w:rPr>
        <w:t xml:space="preserve"> ordenó:</w:t>
      </w:r>
    </w:p>
    <w:p w:rsidR="00000000" w:rsidRDefault="0097652F">
      <w:pPr>
        <w:spacing w:afterLines="20" w:after="48"/>
        <w:jc w:val="both"/>
        <w:rPr>
          <w:rFonts w:ascii="Verdana" w:hAnsi="Verdana"/>
          <w:sz w:val="20"/>
          <w:szCs w:val="20"/>
        </w:rPr>
      </w:pPr>
    </w:p>
    <w:p w:rsidR="00000000" w:rsidRDefault="0097652F">
      <w:pPr>
        <w:widowControl w:val="0"/>
        <w:autoSpaceDE w:val="0"/>
        <w:autoSpaceDN w:val="0"/>
        <w:adjustRightInd w:val="0"/>
        <w:spacing w:afterLines="20" w:after="48"/>
        <w:ind w:left="708" w:right="584"/>
        <w:jc w:val="both"/>
        <w:rPr>
          <w:rFonts w:ascii="Verdana" w:hAnsi="Verdana"/>
          <w:sz w:val="16"/>
          <w:szCs w:val="16"/>
        </w:rPr>
      </w:pPr>
      <w:r>
        <w:rPr>
          <w:rFonts w:ascii="Verdana" w:hAnsi="Verdana"/>
          <w:sz w:val="16"/>
          <w:szCs w:val="16"/>
        </w:rPr>
        <w:t xml:space="preserve">[…] en equidad, el pago de US$ 20.000,00 (veinte mil dólares de los Estados Unidos de América) a la Asociación de Cesantes y Jubilados, por concepto de costas y gastos </w:t>
      </w:r>
      <w:r>
        <w:rPr>
          <w:rFonts w:ascii="Verdana" w:hAnsi="Verdana" w:cs="Arial"/>
          <w:sz w:val="16"/>
          <w:szCs w:val="16"/>
        </w:rPr>
        <w:t xml:space="preserve">incurridos durante la tramitación del presente caso ante el fuero doméstico y </w:t>
      </w:r>
      <w:r>
        <w:rPr>
          <w:rFonts w:ascii="Verdana" w:hAnsi="Verdana" w:cs="Arial"/>
          <w:sz w:val="16"/>
          <w:szCs w:val="16"/>
        </w:rPr>
        <w:t>los órganos del Sistema Interamericano</w:t>
      </w:r>
      <w:r>
        <w:rPr>
          <w:rFonts w:ascii="Verdana" w:hAnsi="Verdana"/>
          <w:sz w:val="16"/>
          <w:szCs w:val="16"/>
        </w:rPr>
        <w:t xml:space="preserve">. </w:t>
      </w:r>
      <w:r>
        <w:rPr>
          <w:rFonts w:ascii="Verdana" w:hAnsi="Verdana" w:cs="Verdana"/>
          <w:sz w:val="16"/>
          <w:szCs w:val="16"/>
          <w:lang w:val="es-CL" w:eastAsia="es-CL"/>
        </w:rPr>
        <w:t>Dicha cantidad deberá entregarse directamente a la Asociación dentro del plazo de un año contado a partir de la notificación de la presente Sentencia. Las víctimas entregarán, a su vez, la cantidad que estimen adecua</w:t>
      </w:r>
      <w:r>
        <w:rPr>
          <w:rFonts w:ascii="Verdana" w:hAnsi="Verdana" w:cs="Verdana"/>
          <w:sz w:val="16"/>
          <w:szCs w:val="16"/>
          <w:lang w:val="es-CL" w:eastAsia="es-CL"/>
        </w:rPr>
        <w:t xml:space="preserve">da a quienes fueron sus representantes en el fuero interno y en el proceso ante el Sistema Interamericano. […] </w:t>
      </w:r>
    </w:p>
    <w:p w:rsidR="00000000" w:rsidRDefault="0097652F">
      <w:pPr>
        <w:spacing w:afterLines="20" w:after="48"/>
        <w:jc w:val="both"/>
        <w:rPr>
          <w:rFonts w:ascii="Verdana" w:hAnsi="Verdana"/>
          <w:sz w:val="20"/>
          <w:szCs w:val="20"/>
        </w:rPr>
      </w:pPr>
    </w:p>
    <w:p w:rsidR="00000000" w:rsidRDefault="0097652F">
      <w:pPr>
        <w:numPr>
          <w:ilvl w:val="0"/>
          <w:numId w:val="1"/>
        </w:numPr>
        <w:spacing w:afterLines="20" w:after="48"/>
        <w:jc w:val="both"/>
        <w:rPr>
          <w:rFonts w:ascii="Verdana" w:hAnsi="Verdana"/>
          <w:sz w:val="20"/>
          <w:szCs w:val="20"/>
        </w:rPr>
      </w:pPr>
      <w:r>
        <w:rPr>
          <w:rFonts w:ascii="Verdana" w:hAnsi="Verdana"/>
          <w:sz w:val="20"/>
          <w:szCs w:val="20"/>
        </w:rPr>
        <w:t>A continuación, bajo el título “Modalidad de cumplimiento de los pagos ordenados”, el Tribunal precisó en el párrafo 151 de la Sentencia que:</w:t>
      </w:r>
    </w:p>
    <w:p w:rsidR="00000000" w:rsidRDefault="0097652F">
      <w:pPr>
        <w:spacing w:afterLines="20" w:after="48"/>
        <w:jc w:val="both"/>
        <w:rPr>
          <w:rFonts w:ascii="Verdana" w:hAnsi="Verdana"/>
          <w:sz w:val="20"/>
          <w:szCs w:val="20"/>
        </w:rPr>
      </w:pPr>
    </w:p>
    <w:p w:rsidR="00000000" w:rsidRDefault="0097652F">
      <w:pPr>
        <w:widowControl w:val="0"/>
        <w:autoSpaceDE w:val="0"/>
        <w:autoSpaceDN w:val="0"/>
        <w:adjustRightInd w:val="0"/>
        <w:spacing w:afterLines="20" w:after="48"/>
        <w:ind w:left="708" w:right="584"/>
        <w:jc w:val="both"/>
        <w:rPr>
          <w:rFonts w:ascii="Verdana" w:hAnsi="Verdana"/>
          <w:sz w:val="16"/>
          <w:szCs w:val="16"/>
        </w:rPr>
      </w:pPr>
      <w:r>
        <w:rPr>
          <w:rFonts w:ascii="Verdana" w:hAnsi="Verdana"/>
          <w:sz w:val="16"/>
          <w:szCs w:val="16"/>
        </w:rPr>
        <w:t>[</w:t>
      </w:r>
      <w:proofErr w:type="gramStart"/>
      <w:r>
        <w:rPr>
          <w:rFonts w:ascii="Verdana" w:hAnsi="Verdana"/>
          <w:sz w:val="16"/>
          <w:szCs w:val="16"/>
        </w:rPr>
        <w:t>e]</w:t>
      </w:r>
      <w:proofErr w:type="gramEnd"/>
      <w:r>
        <w:rPr>
          <w:rFonts w:ascii="Verdana" w:hAnsi="Verdana"/>
          <w:sz w:val="16"/>
          <w:szCs w:val="16"/>
        </w:rPr>
        <w:t xml:space="preserve">l pago de las indemnizaciones y el reembolso de costas y gastos serán hechos directamente a las víctimas. En caso de que alguna de esas personas hubiera fallecido o fallezca antes de que le sea entregada la indemnización respectiva, ésta se entregará a </w:t>
      </w:r>
      <w:r>
        <w:rPr>
          <w:rFonts w:ascii="Verdana" w:hAnsi="Verdana"/>
          <w:sz w:val="16"/>
          <w:szCs w:val="16"/>
        </w:rPr>
        <w:t>sus derechohabientes, conforme al derecho interno aplicable […].</w:t>
      </w:r>
    </w:p>
    <w:p w:rsidR="00000000" w:rsidRDefault="0097652F">
      <w:pPr>
        <w:spacing w:afterLines="20" w:after="48"/>
      </w:pPr>
    </w:p>
    <w:p w:rsidR="00000000" w:rsidRDefault="0097652F">
      <w:pPr>
        <w:numPr>
          <w:ilvl w:val="0"/>
          <w:numId w:val="1"/>
        </w:numPr>
        <w:spacing w:afterLines="20" w:after="48"/>
        <w:jc w:val="both"/>
        <w:rPr>
          <w:rFonts w:ascii="Verdana" w:hAnsi="Verdana"/>
          <w:sz w:val="20"/>
          <w:szCs w:val="20"/>
        </w:rPr>
      </w:pPr>
      <w:r>
        <w:rPr>
          <w:rFonts w:ascii="Verdana" w:hAnsi="Verdana"/>
          <w:sz w:val="20"/>
          <w:szCs w:val="20"/>
        </w:rPr>
        <w:t>Al respecto, este Tribunal considera que de la lectura del párrafo 150 de la Sentencia se desprende quién es el destinatario del reintegro de las costas y gastos, al indicarse que la cantida</w:t>
      </w:r>
      <w:r>
        <w:rPr>
          <w:rFonts w:ascii="Verdana" w:hAnsi="Verdana"/>
          <w:sz w:val="20"/>
          <w:szCs w:val="20"/>
        </w:rPr>
        <w:t>d correspondiente “deberá entregarse directamente a la Asociación”. Si bien en el párrafo 151 del Fallo se hace alusión a “las víctimas” como beneficiarias del pago de las indemnizaciones y el reembolso de costas y gastos, el Tribunal recuerda que en el pá</w:t>
      </w:r>
      <w:r>
        <w:rPr>
          <w:rFonts w:ascii="Verdana" w:hAnsi="Verdana"/>
          <w:sz w:val="20"/>
          <w:szCs w:val="20"/>
        </w:rPr>
        <w:t>rrafo 113 de la Sentencia se estableció que las víctimas eran “</w:t>
      </w:r>
      <w:r>
        <w:rPr>
          <w:rFonts w:ascii="Verdana" w:eastAsia="Times New Roman" w:hAnsi="Verdana" w:cs="Verdana"/>
          <w:sz w:val="20"/>
          <w:szCs w:val="19"/>
          <w:lang w:val="es-PR" w:eastAsia="en-US" w:bidi="en-US"/>
        </w:rPr>
        <w:t>los 273 integrantes de la Asociación”.</w:t>
      </w:r>
    </w:p>
    <w:p w:rsidR="00000000" w:rsidRDefault="0097652F">
      <w:pPr>
        <w:spacing w:afterLines="20" w:after="48"/>
        <w:jc w:val="both"/>
        <w:rPr>
          <w:rFonts w:ascii="Verdana" w:hAnsi="Verdana"/>
          <w:sz w:val="20"/>
          <w:szCs w:val="20"/>
        </w:rPr>
      </w:pPr>
    </w:p>
    <w:p w:rsidR="00000000" w:rsidRDefault="0097652F">
      <w:pPr>
        <w:numPr>
          <w:ilvl w:val="0"/>
          <w:numId w:val="1"/>
        </w:numPr>
        <w:spacing w:afterLines="20" w:after="48"/>
        <w:jc w:val="both"/>
        <w:rPr>
          <w:rFonts w:ascii="Verdana" w:hAnsi="Verdana"/>
          <w:sz w:val="20"/>
          <w:szCs w:val="20"/>
        </w:rPr>
      </w:pPr>
      <w:r>
        <w:rPr>
          <w:rFonts w:ascii="Verdana" w:hAnsi="Verdana"/>
          <w:sz w:val="20"/>
          <w:szCs w:val="20"/>
        </w:rPr>
        <w:t>De esta manera, la lectura en conjunto de la Sentencia deja en evidencia que la Asociación de Cesantes y Jubilados, integrada en su totalidad por las dos</w:t>
      </w:r>
      <w:r>
        <w:rPr>
          <w:rFonts w:ascii="Verdana" w:hAnsi="Verdana"/>
          <w:sz w:val="20"/>
          <w:szCs w:val="20"/>
        </w:rPr>
        <w:t xml:space="preserve">cientas setenta y tres víctimas en el presente caso, es la destinataria directa del reintegro de costas y gastos. </w:t>
      </w:r>
    </w:p>
    <w:p w:rsidR="00000000" w:rsidRDefault="0097652F">
      <w:pPr>
        <w:spacing w:afterLines="20" w:after="48"/>
        <w:jc w:val="both"/>
        <w:rPr>
          <w:rFonts w:ascii="Verdana" w:hAnsi="Verdana"/>
          <w:sz w:val="20"/>
          <w:szCs w:val="20"/>
        </w:rPr>
      </w:pPr>
    </w:p>
    <w:p w:rsidR="00000000" w:rsidRDefault="0097652F">
      <w:pPr>
        <w:numPr>
          <w:ilvl w:val="0"/>
          <w:numId w:val="1"/>
        </w:numPr>
        <w:spacing w:afterLines="20" w:after="48"/>
        <w:jc w:val="both"/>
        <w:rPr>
          <w:rFonts w:ascii="Verdana" w:hAnsi="Verdana"/>
          <w:sz w:val="20"/>
          <w:szCs w:val="20"/>
        </w:rPr>
      </w:pPr>
      <w:r>
        <w:rPr>
          <w:rFonts w:ascii="Verdana" w:hAnsi="Verdana"/>
          <w:sz w:val="20"/>
          <w:szCs w:val="20"/>
          <w:lang w:val="es-ES_tradnl"/>
        </w:rPr>
        <w:t xml:space="preserve">Cualquier otro argumento relacionado con las obligaciones que se derivan de la Sentencia, podrá ser sometido a conocimiento del Tribunal en </w:t>
      </w:r>
      <w:r>
        <w:rPr>
          <w:rFonts w:ascii="Verdana" w:hAnsi="Verdana"/>
          <w:sz w:val="20"/>
          <w:szCs w:val="20"/>
          <w:lang w:val="es-ES_tradnl"/>
        </w:rPr>
        <w:t xml:space="preserve">el procedimiento de supervisión de cumplimiento.  </w:t>
      </w:r>
    </w:p>
    <w:p w:rsidR="00000000" w:rsidRDefault="0097652F">
      <w:pPr>
        <w:spacing w:afterLines="20" w:after="48"/>
        <w:jc w:val="both"/>
        <w:rPr>
          <w:rFonts w:ascii="Verdana" w:hAnsi="Verdana"/>
          <w:sz w:val="20"/>
          <w:szCs w:val="20"/>
          <w:lang w:val="es-ES_tradnl"/>
        </w:rPr>
      </w:pPr>
    </w:p>
    <w:p w:rsidR="00000000" w:rsidRDefault="0097652F">
      <w:pPr>
        <w:spacing w:afterLines="20" w:after="48"/>
        <w:jc w:val="center"/>
        <w:rPr>
          <w:rFonts w:ascii="Verdana" w:hAnsi="Verdana"/>
          <w:b/>
          <w:sz w:val="20"/>
          <w:lang w:val="es-ES_tradnl"/>
        </w:rPr>
      </w:pPr>
    </w:p>
    <w:p w:rsidR="00000000" w:rsidRDefault="0097652F">
      <w:pPr>
        <w:spacing w:afterLines="20" w:after="48"/>
        <w:jc w:val="center"/>
        <w:rPr>
          <w:rFonts w:ascii="Verdana" w:hAnsi="Verdana"/>
          <w:b/>
          <w:sz w:val="20"/>
          <w:lang w:val="es-ES_tradnl"/>
        </w:rPr>
      </w:pPr>
      <w:r>
        <w:rPr>
          <w:rFonts w:ascii="Verdana" w:hAnsi="Verdana"/>
          <w:b/>
          <w:sz w:val="20"/>
          <w:lang w:val="es-ES_tradnl"/>
        </w:rPr>
        <w:t>V</w:t>
      </w:r>
    </w:p>
    <w:p w:rsidR="00000000" w:rsidRDefault="0097652F">
      <w:pPr>
        <w:spacing w:afterLines="20" w:after="48"/>
        <w:jc w:val="center"/>
        <w:rPr>
          <w:rFonts w:ascii="Verdana" w:hAnsi="Verdana"/>
          <w:b/>
          <w:sz w:val="20"/>
          <w:lang w:val="es-ES_tradnl"/>
        </w:rPr>
      </w:pPr>
      <w:r>
        <w:rPr>
          <w:rFonts w:ascii="Verdana" w:hAnsi="Verdana"/>
          <w:b/>
          <w:sz w:val="20"/>
          <w:lang w:val="es-ES_tradnl"/>
        </w:rPr>
        <w:t>PUNTOS RESOLUTIVOS</w:t>
      </w:r>
    </w:p>
    <w:p w:rsidR="00000000" w:rsidRDefault="0097652F">
      <w:pPr>
        <w:spacing w:afterLines="20" w:after="48"/>
        <w:rPr>
          <w:rFonts w:ascii="Verdana" w:hAnsi="Verdana"/>
          <w:b/>
          <w:sz w:val="20"/>
          <w:lang w:val="es-ES_tradnl"/>
        </w:rPr>
      </w:pPr>
    </w:p>
    <w:p w:rsidR="00000000" w:rsidRDefault="0097652F">
      <w:pPr>
        <w:spacing w:afterLines="20" w:after="48"/>
        <w:jc w:val="both"/>
        <w:rPr>
          <w:rFonts w:ascii="Verdana" w:hAnsi="Verdana"/>
          <w:sz w:val="20"/>
          <w:lang w:val="es-ES_tradnl"/>
        </w:rPr>
      </w:pPr>
      <w:r>
        <w:rPr>
          <w:rFonts w:ascii="Verdana" w:hAnsi="Verdana"/>
          <w:sz w:val="20"/>
          <w:lang w:val="es-ES_tradnl"/>
        </w:rPr>
        <w:lastRenderedPageBreak/>
        <w:t>23.</w:t>
      </w:r>
      <w:r>
        <w:rPr>
          <w:rFonts w:ascii="Verdana" w:hAnsi="Verdana"/>
          <w:sz w:val="20"/>
          <w:lang w:val="es-ES_tradnl"/>
        </w:rPr>
        <w:tab/>
        <w:t>Por las razones expuestas,</w:t>
      </w:r>
    </w:p>
    <w:p w:rsidR="00000000" w:rsidRDefault="0097652F">
      <w:pPr>
        <w:spacing w:afterLines="20" w:after="48"/>
        <w:jc w:val="both"/>
        <w:rPr>
          <w:rFonts w:ascii="Verdana" w:hAnsi="Verdana"/>
          <w:sz w:val="20"/>
          <w:lang w:val="es-ES_tradnl"/>
        </w:rPr>
      </w:pPr>
    </w:p>
    <w:p w:rsidR="00000000" w:rsidRDefault="0097652F">
      <w:pPr>
        <w:spacing w:afterLines="20" w:after="48"/>
        <w:jc w:val="both"/>
        <w:rPr>
          <w:rFonts w:ascii="Verdana" w:hAnsi="Verdana"/>
          <w:sz w:val="20"/>
          <w:lang w:val="es-ES_tradnl"/>
        </w:rPr>
      </w:pPr>
    </w:p>
    <w:p w:rsidR="00000000" w:rsidRDefault="0097652F">
      <w:pPr>
        <w:spacing w:afterLines="20" w:after="48"/>
        <w:jc w:val="both"/>
        <w:rPr>
          <w:rFonts w:ascii="Verdana" w:hAnsi="Verdana"/>
          <w:b/>
          <w:sz w:val="20"/>
          <w:lang w:val="es-ES_tradnl"/>
        </w:rPr>
      </w:pPr>
      <w:r>
        <w:rPr>
          <w:rFonts w:ascii="Verdana" w:hAnsi="Verdana"/>
          <w:b/>
          <w:sz w:val="20"/>
          <w:lang w:val="es-ES_tradnl"/>
        </w:rPr>
        <w:t>LA CORTE INTERAMERICANA DE DERECHOS HUMANOS</w:t>
      </w:r>
    </w:p>
    <w:p w:rsidR="00000000" w:rsidRDefault="0097652F">
      <w:pPr>
        <w:spacing w:afterLines="20" w:after="48"/>
        <w:jc w:val="both"/>
        <w:rPr>
          <w:rFonts w:ascii="Verdana" w:hAnsi="Verdana"/>
          <w:b/>
          <w:smallCaps/>
          <w:sz w:val="20"/>
          <w:lang w:val="es-ES_tradnl"/>
        </w:rPr>
      </w:pPr>
    </w:p>
    <w:p w:rsidR="00000000" w:rsidRDefault="0097652F">
      <w:pPr>
        <w:spacing w:afterLines="20" w:after="48"/>
        <w:jc w:val="both"/>
        <w:rPr>
          <w:rFonts w:ascii="Verdana" w:hAnsi="Verdana"/>
          <w:b/>
          <w:smallCaps/>
          <w:sz w:val="20"/>
          <w:lang w:val="es-ES_tradnl"/>
        </w:rPr>
      </w:pPr>
    </w:p>
    <w:p w:rsidR="00000000" w:rsidRDefault="0097652F">
      <w:pPr>
        <w:spacing w:afterLines="20" w:after="48"/>
        <w:jc w:val="both"/>
        <w:rPr>
          <w:rFonts w:ascii="Verdana" w:hAnsi="Verdana"/>
          <w:smallCaps/>
          <w:sz w:val="20"/>
          <w:lang w:val="es-ES_tradnl"/>
        </w:rPr>
      </w:pPr>
      <w:r>
        <w:rPr>
          <w:rFonts w:ascii="Verdana" w:hAnsi="Verdana"/>
          <w:sz w:val="20"/>
          <w:lang w:val="es-ES_tradnl"/>
        </w:rPr>
        <w:t>de conformidad con el artículo 67 de la Convención Americana sobre Derechos Humanos y el artículo 59 d</w:t>
      </w:r>
      <w:r>
        <w:rPr>
          <w:rFonts w:ascii="Verdana" w:hAnsi="Verdana"/>
          <w:sz w:val="20"/>
          <w:lang w:val="es-ES_tradnl"/>
        </w:rPr>
        <w:t>el Reglamento,</w:t>
      </w:r>
    </w:p>
    <w:p w:rsidR="00000000" w:rsidRDefault="0097652F">
      <w:pPr>
        <w:spacing w:afterLines="20" w:after="48"/>
        <w:jc w:val="both"/>
        <w:rPr>
          <w:rFonts w:ascii="Verdana" w:hAnsi="Verdana"/>
          <w:b/>
          <w:smallCaps/>
          <w:sz w:val="20"/>
          <w:lang w:val="es-ES_tradnl"/>
        </w:rPr>
      </w:pPr>
    </w:p>
    <w:p w:rsidR="00000000" w:rsidRDefault="0097652F">
      <w:pPr>
        <w:spacing w:afterLines="20" w:after="48"/>
        <w:jc w:val="both"/>
        <w:rPr>
          <w:rFonts w:ascii="Verdana" w:hAnsi="Verdana"/>
          <w:b/>
          <w:caps/>
          <w:sz w:val="20"/>
          <w:lang w:val="es-ES_tradnl"/>
        </w:rPr>
      </w:pPr>
    </w:p>
    <w:p w:rsidR="00000000" w:rsidRDefault="0097652F">
      <w:pPr>
        <w:spacing w:afterLines="20" w:after="48"/>
        <w:jc w:val="both"/>
        <w:rPr>
          <w:rFonts w:ascii="Verdana" w:hAnsi="Verdana"/>
          <w:b/>
          <w:caps/>
          <w:sz w:val="20"/>
          <w:lang w:val="es-ES_tradnl"/>
        </w:rPr>
      </w:pPr>
      <w:r>
        <w:rPr>
          <w:rFonts w:ascii="Verdana" w:hAnsi="Verdana"/>
          <w:b/>
          <w:caps/>
          <w:sz w:val="20"/>
          <w:lang w:val="es-ES_tradnl"/>
        </w:rPr>
        <w:t>Decide:</w:t>
      </w:r>
    </w:p>
    <w:p w:rsidR="00000000" w:rsidRDefault="0097652F">
      <w:pPr>
        <w:spacing w:afterLines="20" w:after="48"/>
        <w:jc w:val="both"/>
        <w:rPr>
          <w:rFonts w:ascii="Verdana" w:hAnsi="Verdana"/>
          <w:b/>
          <w:smallCaps/>
          <w:sz w:val="20"/>
          <w:lang w:val="es-ES_tradnl"/>
        </w:rPr>
      </w:pPr>
    </w:p>
    <w:p w:rsidR="00000000" w:rsidRDefault="0097652F">
      <w:pPr>
        <w:spacing w:afterLines="20" w:after="48"/>
        <w:jc w:val="both"/>
        <w:rPr>
          <w:rFonts w:ascii="Verdana" w:hAnsi="Verdana"/>
          <w:b/>
          <w:smallCaps/>
          <w:sz w:val="20"/>
          <w:lang w:val="es-ES_tradnl"/>
        </w:rPr>
      </w:pPr>
    </w:p>
    <w:p w:rsidR="00000000" w:rsidRDefault="0097652F">
      <w:pPr>
        <w:pStyle w:val="Encabezado"/>
        <w:tabs>
          <w:tab w:val="clear" w:pos="4320"/>
          <w:tab w:val="clear" w:pos="8640"/>
        </w:tabs>
        <w:spacing w:afterLines="20" w:after="48"/>
        <w:rPr>
          <w:rFonts w:ascii="Verdana" w:hAnsi="Verdana"/>
          <w:sz w:val="20"/>
        </w:rPr>
      </w:pPr>
      <w:r>
        <w:rPr>
          <w:rFonts w:ascii="Verdana" w:hAnsi="Verdana"/>
          <w:sz w:val="20"/>
        </w:rPr>
        <w:t>Por unanimidad,</w:t>
      </w:r>
    </w:p>
    <w:p w:rsidR="00000000" w:rsidRDefault="0097652F">
      <w:pPr>
        <w:spacing w:afterLines="20" w:after="48"/>
        <w:jc w:val="both"/>
        <w:rPr>
          <w:rFonts w:ascii="Verdana" w:hAnsi="Verdana"/>
          <w:sz w:val="20"/>
          <w:lang w:val="es-ES_tradnl"/>
        </w:rPr>
      </w:pPr>
    </w:p>
    <w:p w:rsidR="00000000" w:rsidRDefault="0097652F">
      <w:pPr>
        <w:spacing w:afterLines="20" w:after="48"/>
        <w:jc w:val="both"/>
        <w:rPr>
          <w:rFonts w:ascii="Verdana" w:hAnsi="Verdana"/>
          <w:sz w:val="20"/>
          <w:lang w:val="es-ES_tradnl"/>
        </w:rPr>
      </w:pPr>
    </w:p>
    <w:p w:rsidR="00000000" w:rsidRDefault="0097652F">
      <w:pPr>
        <w:numPr>
          <w:ilvl w:val="0"/>
          <w:numId w:val="2"/>
        </w:numPr>
        <w:spacing w:afterLines="20" w:after="48"/>
        <w:jc w:val="both"/>
        <w:rPr>
          <w:rFonts w:ascii="Verdana" w:hAnsi="Verdana"/>
          <w:sz w:val="20"/>
        </w:rPr>
      </w:pPr>
      <w:r>
        <w:rPr>
          <w:rFonts w:ascii="Verdana" w:hAnsi="Verdana"/>
          <w:sz w:val="20"/>
          <w:szCs w:val="20"/>
          <w:lang w:val="es-ES_tradnl"/>
        </w:rPr>
        <w:t xml:space="preserve">Declarar admisible </w:t>
      </w:r>
      <w:r>
        <w:rPr>
          <w:rFonts w:ascii="Verdana" w:hAnsi="Verdana"/>
          <w:sz w:val="20"/>
        </w:rPr>
        <w:t>la demanda de interpretación de la Sentencia de excepción preliminar, fondo, reparaciones y costas en el presente caso interpuesta por el Estado, en los t</w:t>
      </w:r>
      <w:r>
        <w:rPr>
          <w:rFonts w:ascii="Verdana" w:eastAsia="Times New Roman" w:hAnsi="Verdana" w:cs="Arial"/>
          <w:sz w:val="20"/>
          <w:lang w:eastAsia="ko-KR"/>
        </w:rPr>
        <w:t>érminos de los párrafos 10 al 12 de la</w:t>
      </w:r>
      <w:r>
        <w:rPr>
          <w:rFonts w:ascii="Verdana" w:eastAsia="Times New Roman" w:hAnsi="Verdana" w:cs="Arial"/>
          <w:sz w:val="20"/>
          <w:lang w:eastAsia="ko-KR"/>
        </w:rPr>
        <w:t xml:space="preserve"> presente Sentencia de Interpretación.</w:t>
      </w:r>
    </w:p>
    <w:p w:rsidR="00000000" w:rsidRDefault="0097652F">
      <w:pPr>
        <w:spacing w:afterLines="20" w:after="48"/>
        <w:jc w:val="both"/>
        <w:rPr>
          <w:rFonts w:ascii="Verdana" w:hAnsi="Verdana"/>
          <w:sz w:val="20"/>
        </w:rPr>
      </w:pPr>
    </w:p>
    <w:p w:rsidR="00000000" w:rsidRDefault="0097652F">
      <w:pPr>
        <w:numPr>
          <w:ilvl w:val="0"/>
          <w:numId w:val="2"/>
        </w:numPr>
        <w:spacing w:afterLines="20" w:after="48"/>
        <w:jc w:val="both"/>
        <w:rPr>
          <w:rFonts w:ascii="Verdana" w:hAnsi="Verdana"/>
          <w:sz w:val="20"/>
          <w:szCs w:val="20"/>
          <w:lang w:val="es-ES_tradnl"/>
        </w:rPr>
      </w:pPr>
      <w:r>
        <w:rPr>
          <w:rFonts w:ascii="Verdana" w:hAnsi="Verdana"/>
          <w:sz w:val="20"/>
          <w:lang w:val="es-ES_tradnl"/>
        </w:rPr>
        <w:t>D</w:t>
      </w:r>
      <w:r>
        <w:rPr>
          <w:rFonts w:ascii="Verdana" w:hAnsi="Verdana"/>
          <w:sz w:val="20"/>
          <w:szCs w:val="20"/>
          <w:lang w:val="es-ES_tradnl"/>
        </w:rPr>
        <w:t>eterminar el sentido y alcance de lo dispuesto en la Sentencia sobre excepción preliminar, fondo, reparaciones y costas, en los términos de los párrafos 18 a 21 de la presente Sentencia de Interpretación.</w:t>
      </w:r>
    </w:p>
    <w:p w:rsidR="00000000" w:rsidRDefault="0097652F">
      <w:pPr>
        <w:spacing w:afterLines="20" w:after="48"/>
        <w:jc w:val="both"/>
        <w:rPr>
          <w:rFonts w:ascii="Verdana" w:hAnsi="Verdana"/>
          <w:sz w:val="20"/>
          <w:lang w:val="es-ES_tradnl"/>
        </w:rPr>
      </w:pPr>
    </w:p>
    <w:p w:rsidR="00000000" w:rsidRDefault="0097652F">
      <w:pPr>
        <w:numPr>
          <w:ilvl w:val="0"/>
          <w:numId w:val="2"/>
        </w:numPr>
        <w:spacing w:afterLines="20" w:after="48"/>
        <w:jc w:val="both"/>
        <w:rPr>
          <w:rFonts w:ascii="Verdana" w:hAnsi="Verdana"/>
          <w:sz w:val="20"/>
          <w:szCs w:val="20"/>
          <w:lang w:val="es-ES_tradnl"/>
        </w:rPr>
      </w:pPr>
      <w:r>
        <w:rPr>
          <w:rFonts w:ascii="Verdana" w:hAnsi="Verdana"/>
          <w:sz w:val="20"/>
          <w:szCs w:val="20"/>
          <w:lang w:val="es-ES_tradnl"/>
        </w:rPr>
        <w:t xml:space="preserve">Requerir </w:t>
      </w:r>
      <w:r>
        <w:rPr>
          <w:rFonts w:ascii="Verdana" w:hAnsi="Verdana"/>
          <w:sz w:val="20"/>
          <w:szCs w:val="20"/>
          <w:lang w:val="es-ES_tradnl"/>
        </w:rPr>
        <w:t>a la Secretaría de la Corte Interamericana de Derechos Humanos que notifique la presente Sentencia de Interpretación al Estado, a la Comisión Interamericana y al representante de las víctimas.</w:t>
      </w:r>
    </w:p>
    <w:p w:rsidR="00000000" w:rsidRDefault="0097652F">
      <w:pPr>
        <w:spacing w:afterLines="20" w:after="48"/>
        <w:jc w:val="both"/>
        <w:rPr>
          <w:rFonts w:ascii="Verdana" w:hAnsi="Verdana"/>
          <w:sz w:val="20"/>
          <w:lang w:val="es-ES_tradnl"/>
        </w:rPr>
      </w:pPr>
    </w:p>
    <w:p w:rsidR="00000000" w:rsidRDefault="0097652F">
      <w:pPr>
        <w:spacing w:afterLines="20" w:after="48"/>
        <w:jc w:val="both"/>
        <w:rPr>
          <w:lang w:val="es-ES_tradnl"/>
        </w:rPr>
      </w:pPr>
      <w:r>
        <w:rPr>
          <w:rFonts w:ascii="Verdana" w:hAnsi="Verdana"/>
          <w:sz w:val="20"/>
          <w:lang w:val="es-ES_tradnl"/>
        </w:rPr>
        <w:t>Redactada en español e inglés, haciendo fe el texto en español</w:t>
      </w:r>
      <w:r>
        <w:rPr>
          <w:rFonts w:ascii="Verdana" w:hAnsi="Verdana"/>
          <w:sz w:val="20"/>
          <w:lang w:val="es-ES_tradnl"/>
        </w:rPr>
        <w:t>, en San José, Costa Rica, el 24 de noviembre de 2009.</w:t>
      </w: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center"/>
        <w:rPr>
          <w:rFonts w:ascii="Verdana" w:hAnsi="Verdana"/>
          <w:sz w:val="20"/>
        </w:rPr>
      </w:pPr>
      <w:smartTag w:uri="urn:schemas-microsoft-com:office:smarttags" w:element="PersonName">
        <w:r>
          <w:rPr>
            <w:rFonts w:ascii="Verdana" w:hAnsi="Verdana"/>
            <w:sz w:val="20"/>
          </w:rPr>
          <w:t>Cecilia Medina</w:t>
        </w:r>
      </w:smartTag>
      <w:r>
        <w:rPr>
          <w:rFonts w:ascii="Verdana" w:hAnsi="Verdana"/>
          <w:sz w:val="20"/>
        </w:rPr>
        <w:t xml:space="preserve"> Quiroga</w:t>
      </w:r>
    </w:p>
    <w:p w:rsidR="00000000" w:rsidRDefault="0097652F">
      <w:pPr>
        <w:jc w:val="center"/>
        <w:rPr>
          <w:rFonts w:ascii="Verdana" w:hAnsi="Verdana"/>
          <w:sz w:val="20"/>
        </w:rPr>
      </w:pPr>
      <w:r>
        <w:rPr>
          <w:rFonts w:ascii="Verdana" w:hAnsi="Verdana"/>
          <w:sz w:val="20"/>
        </w:rPr>
        <w:t>Presidenta</w:t>
      </w: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r>
        <w:rPr>
          <w:rFonts w:ascii="Verdana" w:hAnsi="Verdana"/>
          <w:sz w:val="20"/>
        </w:rPr>
        <w:t>Sergio García Ramírez</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Manuel E. Ventura Robles</w:t>
      </w: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rPr>
          <w:rFonts w:ascii="Verdana" w:hAnsi="Verdana"/>
          <w:sz w:val="20"/>
          <w:lang w:val="en-GB"/>
        </w:rPr>
      </w:pPr>
      <w:r>
        <w:rPr>
          <w:rFonts w:ascii="Verdana" w:hAnsi="Verdana"/>
          <w:sz w:val="20"/>
          <w:lang w:val="en-GB"/>
        </w:rPr>
        <w:t>Margarette May Macaulay</w:t>
      </w:r>
      <w:r>
        <w:rPr>
          <w:rFonts w:ascii="Verdana" w:hAnsi="Verdana"/>
          <w:sz w:val="20"/>
          <w:lang w:val="en-GB"/>
        </w:rPr>
        <w:tab/>
      </w:r>
      <w:r>
        <w:rPr>
          <w:rFonts w:ascii="Verdana" w:hAnsi="Verdana"/>
          <w:sz w:val="20"/>
          <w:lang w:val="en-GB"/>
        </w:rPr>
        <w:tab/>
      </w:r>
      <w:r>
        <w:rPr>
          <w:rFonts w:ascii="Verdana" w:hAnsi="Verdana"/>
          <w:sz w:val="20"/>
          <w:lang w:val="en-GB"/>
        </w:rPr>
        <w:tab/>
      </w:r>
      <w:r>
        <w:rPr>
          <w:rFonts w:ascii="Verdana" w:hAnsi="Verdana"/>
          <w:sz w:val="20"/>
          <w:lang w:val="en-GB"/>
        </w:rPr>
        <w:tab/>
      </w:r>
      <w:r>
        <w:rPr>
          <w:rFonts w:ascii="Verdana" w:hAnsi="Verdana"/>
          <w:sz w:val="20"/>
          <w:lang w:val="en-GB"/>
        </w:rPr>
        <w:tab/>
        <w:t xml:space="preserve">         Rhadys Abreu Blondet</w:t>
      </w:r>
    </w:p>
    <w:p w:rsidR="00000000" w:rsidRDefault="0097652F">
      <w:pPr>
        <w:rPr>
          <w:rFonts w:ascii="Verdana" w:hAnsi="Verdana"/>
          <w:sz w:val="20"/>
          <w:lang w:val="en-GB"/>
        </w:rPr>
      </w:pPr>
    </w:p>
    <w:p w:rsidR="00000000" w:rsidRDefault="0097652F">
      <w:pPr>
        <w:jc w:val="both"/>
        <w:rPr>
          <w:rFonts w:ascii="Verdana" w:hAnsi="Verdana"/>
          <w:sz w:val="20"/>
          <w:lang w:val="en-GB"/>
        </w:rPr>
      </w:pPr>
    </w:p>
    <w:p w:rsidR="00000000" w:rsidRDefault="0097652F">
      <w:pPr>
        <w:jc w:val="both"/>
        <w:rPr>
          <w:rFonts w:ascii="Verdana" w:hAnsi="Verdana"/>
          <w:sz w:val="20"/>
          <w:lang w:val="en-GB"/>
        </w:rPr>
      </w:pPr>
    </w:p>
    <w:p w:rsidR="00000000" w:rsidRDefault="0097652F">
      <w:pPr>
        <w:jc w:val="both"/>
        <w:rPr>
          <w:rFonts w:ascii="Verdana" w:hAnsi="Verdana"/>
          <w:sz w:val="20"/>
          <w:lang w:val="en-GB"/>
        </w:rPr>
      </w:pPr>
    </w:p>
    <w:p w:rsidR="00000000" w:rsidRDefault="0097652F">
      <w:pPr>
        <w:jc w:val="both"/>
        <w:rPr>
          <w:rFonts w:ascii="Verdana" w:hAnsi="Verdana"/>
          <w:sz w:val="20"/>
          <w:lang w:val="en-GB"/>
        </w:rPr>
      </w:pPr>
    </w:p>
    <w:p w:rsidR="00000000" w:rsidRDefault="0097652F">
      <w:pPr>
        <w:jc w:val="both"/>
        <w:rPr>
          <w:rFonts w:ascii="Verdana" w:hAnsi="Verdana"/>
          <w:sz w:val="20"/>
          <w:lang w:val="en-GB"/>
        </w:rPr>
      </w:pPr>
    </w:p>
    <w:p w:rsidR="00000000" w:rsidRDefault="0097652F">
      <w:pPr>
        <w:jc w:val="center"/>
        <w:rPr>
          <w:rFonts w:ascii="Verdana" w:hAnsi="Verdana"/>
          <w:sz w:val="20"/>
        </w:rPr>
      </w:pPr>
      <w:smartTag w:uri="urn:schemas-microsoft-com:office:smarttags" w:element="PersonName">
        <w:r>
          <w:rPr>
            <w:rFonts w:ascii="Verdana" w:hAnsi="Verdana"/>
            <w:sz w:val="20"/>
          </w:rPr>
          <w:t>Pablo Saavedra</w:t>
        </w:r>
      </w:smartTag>
      <w:r>
        <w:rPr>
          <w:rFonts w:ascii="Verdana" w:hAnsi="Verdana"/>
          <w:sz w:val="20"/>
        </w:rPr>
        <w:t xml:space="preserve"> Alesandri</w:t>
      </w:r>
    </w:p>
    <w:p w:rsidR="00000000" w:rsidRDefault="0097652F">
      <w:pPr>
        <w:jc w:val="center"/>
        <w:rPr>
          <w:rFonts w:ascii="Verdana" w:hAnsi="Verdana"/>
          <w:sz w:val="20"/>
        </w:rPr>
      </w:pPr>
      <w:r>
        <w:rPr>
          <w:rFonts w:ascii="Verdana" w:hAnsi="Verdana"/>
          <w:sz w:val="20"/>
        </w:rPr>
        <w:t>Se</w:t>
      </w:r>
      <w:r>
        <w:rPr>
          <w:rFonts w:ascii="Verdana" w:hAnsi="Verdana"/>
          <w:sz w:val="20"/>
        </w:rPr>
        <w:t>cretario</w:t>
      </w:r>
    </w:p>
    <w:p w:rsidR="00000000" w:rsidRDefault="0097652F">
      <w:pPr>
        <w:jc w:val="center"/>
        <w:rPr>
          <w:rFonts w:ascii="Verdana" w:hAnsi="Verdana"/>
          <w:sz w:val="20"/>
        </w:rPr>
      </w:pPr>
    </w:p>
    <w:p w:rsidR="00000000" w:rsidRDefault="0097652F">
      <w:pPr>
        <w:pStyle w:val="Textonotapie"/>
        <w:rPr>
          <w:rFonts w:ascii="Verdana" w:hAnsi="Verdana"/>
          <w:lang w:val="es-ES"/>
        </w:rPr>
      </w:pPr>
    </w:p>
    <w:p w:rsidR="00000000" w:rsidRDefault="0097652F">
      <w:pPr>
        <w:pStyle w:val="Textonotapie"/>
        <w:rPr>
          <w:rFonts w:ascii="Verdana" w:hAnsi="Verdana"/>
          <w:lang w:val="es-ES"/>
        </w:rPr>
      </w:pPr>
    </w:p>
    <w:p w:rsidR="00000000" w:rsidRDefault="0097652F">
      <w:pPr>
        <w:pStyle w:val="Textonotapie"/>
        <w:rPr>
          <w:rFonts w:ascii="Verdana" w:hAnsi="Verdana"/>
          <w:lang w:val="es-ES"/>
        </w:rPr>
      </w:pPr>
    </w:p>
    <w:p w:rsidR="00000000" w:rsidRDefault="0097652F">
      <w:pPr>
        <w:jc w:val="both"/>
        <w:rPr>
          <w:rFonts w:ascii="Verdana" w:hAnsi="Verdana"/>
          <w:sz w:val="20"/>
        </w:rPr>
      </w:pPr>
    </w:p>
    <w:p w:rsidR="00000000" w:rsidRDefault="0097652F">
      <w:pPr>
        <w:jc w:val="both"/>
        <w:rPr>
          <w:rFonts w:ascii="Verdana" w:hAnsi="Verdana"/>
          <w:sz w:val="20"/>
        </w:rPr>
      </w:pPr>
      <w:r>
        <w:rPr>
          <w:rFonts w:ascii="Verdana" w:hAnsi="Verdana"/>
          <w:sz w:val="20"/>
        </w:rPr>
        <w:t>Comuníquese y ejecútese,</w:t>
      </w: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ind w:left="5760"/>
        <w:jc w:val="center"/>
        <w:rPr>
          <w:rFonts w:ascii="Verdana" w:hAnsi="Verdana"/>
          <w:sz w:val="20"/>
        </w:rPr>
      </w:pPr>
      <w:smartTag w:uri="urn:schemas-microsoft-com:office:smarttags" w:element="PersonName">
        <w:r>
          <w:rPr>
            <w:rFonts w:ascii="Verdana" w:hAnsi="Verdana"/>
            <w:sz w:val="20"/>
          </w:rPr>
          <w:t>Cecilia Medina</w:t>
        </w:r>
      </w:smartTag>
      <w:r>
        <w:rPr>
          <w:rFonts w:ascii="Verdana" w:hAnsi="Verdana"/>
          <w:sz w:val="20"/>
        </w:rPr>
        <w:t xml:space="preserve"> Quiroga</w:t>
      </w:r>
    </w:p>
    <w:p w:rsidR="00000000" w:rsidRDefault="0097652F">
      <w:pPr>
        <w:ind w:left="5760"/>
        <w:jc w:val="center"/>
        <w:rPr>
          <w:rFonts w:ascii="Verdana" w:hAnsi="Verdana"/>
          <w:sz w:val="20"/>
        </w:rPr>
      </w:pPr>
      <w:r>
        <w:rPr>
          <w:rFonts w:ascii="Verdana" w:hAnsi="Verdana"/>
          <w:sz w:val="20"/>
        </w:rPr>
        <w:t>Presidenta</w:t>
      </w: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p>
    <w:p w:rsidR="00000000" w:rsidRDefault="0097652F">
      <w:pPr>
        <w:jc w:val="both"/>
        <w:rPr>
          <w:rFonts w:ascii="Verdana" w:hAnsi="Verdana"/>
          <w:sz w:val="20"/>
        </w:rPr>
      </w:pPr>
      <w:smartTag w:uri="urn:schemas-microsoft-com:office:smarttags" w:element="PersonName">
        <w:r>
          <w:rPr>
            <w:rFonts w:ascii="Verdana" w:hAnsi="Verdana"/>
            <w:sz w:val="20"/>
          </w:rPr>
          <w:t>Pablo Saavedra</w:t>
        </w:r>
      </w:smartTag>
      <w:r>
        <w:rPr>
          <w:rFonts w:ascii="Verdana" w:hAnsi="Verdana"/>
          <w:sz w:val="20"/>
        </w:rPr>
        <w:t xml:space="preserve"> Alessandri</w:t>
      </w:r>
    </w:p>
    <w:p w:rsidR="00000000" w:rsidRDefault="0097652F">
      <w:pPr>
        <w:rPr>
          <w:rFonts w:ascii="Verdana" w:hAnsi="Verdana"/>
          <w:sz w:val="20"/>
        </w:rPr>
      </w:pPr>
      <w:r>
        <w:rPr>
          <w:rFonts w:ascii="Verdana" w:hAnsi="Verdana"/>
          <w:sz w:val="20"/>
        </w:rPr>
        <w:tab/>
        <w:t>Secretario</w:t>
      </w:r>
    </w:p>
    <w:p w:rsidR="0097652F" w:rsidRDefault="0097652F">
      <w:pPr>
        <w:rPr>
          <w:lang w:val="es-ES_tradnl"/>
        </w:rPr>
      </w:pPr>
    </w:p>
    <w:sectPr w:rsidR="0097652F">
      <w:headerReference w:type="even" r:id="rId7"/>
      <w:headerReference w:type="default" r:id="rId8"/>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52F" w:rsidRDefault="0097652F">
      <w:r>
        <w:separator/>
      </w:r>
    </w:p>
  </w:endnote>
  <w:endnote w:type="continuationSeparator" w:id="0">
    <w:p w:rsidR="0097652F" w:rsidRDefault="00976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52F" w:rsidRDefault="0097652F">
      <w:r>
        <w:separator/>
      </w:r>
    </w:p>
  </w:footnote>
  <w:footnote w:type="continuationSeparator" w:id="0">
    <w:p w:rsidR="0097652F" w:rsidRDefault="0097652F">
      <w:r>
        <w:continuationSeparator/>
      </w:r>
    </w:p>
  </w:footnote>
  <w:footnote w:id="1">
    <w:p w:rsidR="00000000" w:rsidRDefault="0097652F">
      <w:pPr>
        <w:pStyle w:val="Textonotapie"/>
        <w:spacing w:before="120" w:after="120"/>
        <w:jc w:val="both"/>
        <w:rPr>
          <w:rFonts w:ascii="Verdana" w:hAnsi="Verdana"/>
          <w:b/>
        </w:rPr>
      </w:pPr>
      <w:r>
        <w:rPr>
          <w:rStyle w:val="Refdenotaalpie"/>
          <w:sz w:val="16"/>
        </w:rPr>
        <w:footnoteRef/>
      </w:r>
      <w:r>
        <w:rPr>
          <w:rStyle w:val="Refdenotaalpie"/>
          <w:rFonts w:ascii="Verdana" w:hAnsi="Verdana"/>
          <w:sz w:val="16"/>
        </w:rPr>
        <w:t xml:space="preserve"> </w:t>
      </w:r>
      <w:r>
        <w:rPr>
          <w:rFonts w:ascii="Verdana" w:hAnsi="Verdana"/>
          <w:sz w:val="16"/>
          <w:szCs w:val="16"/>
        </w:rPr>
        <w:tab/>
        <w:t xml:space="preserve">El Juez Leonardo A. Franco informó a </w:t>
      </w:r>
      <w:smartTag w:uri="urn:schemas-microsoft-com:office:smarttags" w:element="PersonName">
        <w:smartTagPr>
          <w:attr w:name="ProductID" w:val="la Corte"/>
        </w:smartTagPr>
        <w:r>
          <w:rPr>
            <w:rFonts w:ascii="Verdana" w:hAnsi="Verdana"/>
            <w:sz w:val="16"/>
            <w:szCs w:val="16"/>
          </w:rPr>
          <w:t>la Corte</w:t>
        </w:r>
      </w:smartTag>
      <w:r>
        <w:rPr>
          <w:rFonts w:ascii="Verdana" w:hAnsi="Verdana"/>
          <w:sz w:val="16"/>
          <w:szCs w:val="16"/>
        </w:rPr>
        <w:t xml:space="preserve"> que, por razones de fuerza mayor, no podía participar en la deliberación y firma de la</w:t>
      </w:r>
      <w:r>
        <w:rPr>
          <w:rFonts w:ascii="Verdana" w:hAnsi="Verdana"/>
          <w:sz w:val="16"/>
          <w:szCs w:val="16"/>
        </w:rPr>
        <w:t xml:space="preserve"> presente Sentencia. El Juez </w:t>
      </w:r>
      <w:r>
        <w:rPr>
          <w:rFonts w:ascii="Verdana" w:hAnsi="Verdana"/>
          <w:i/>
          <w:sz w:val="16"/>
          <w:szCs w:val="16"/>
        </w:rPr>
        <w:t>ad hoc</w:t>
      </w:r>
      <w:r>
        <w:rPr>
          <w:rFonts w:ascii="Verdana" w:hAnsi="Verdana"/>
          <w:sz w:val="16"/>
          <w:szCs w:val="16"/>
        </w:rPr>
        <w:t xml:space="preserve"> Víctor Oscar Shiyín García Toma no participó en la deliberación y firma de la presente Sentencia, pero al ser consultado al respecto expresó su conformidad con lo decidido por </w:t>
      </w:r>
      <w:smartTag w:uri="urn:schemas-microsoft-com:office:smarttags" w:element="PersonName">
        <w:smartTagPr>
          <w:attr w:name="ProductID" w:val="la Corte. El"/>
        </w:smartTagPr>
        <w:r>
          <w:rPr>
            <w:rFonts w:ascii="Verdana" w:hAnsi="Verdana"/>
            <w:sz w:val="16"/>
            <w:szCs w:val="16"/>
          </w:rPr>
          <w:t>la Corte.</w:t>
        </w:r>
        <w:r>
          <w:rPr>
            <w:rFonts w:ascii="Verdana" w:hAnsi="Verdana" w:cs="Arial"/>
            <w:b/>
            <w:sz w:val="16"/>
            <w:szCs w:val="16"/>
          </w:rPr>
          <w:t xml:space="preserve"> </w:t>
        </w:r>
        <w:r>
          <w:rPr>
            <w:rFonts w:ascii="Verdana" w:hAnsi="Verdana"/>
            <w:sz w:val="16"/>
            <w:szCs w:val="16"/>
          </w:rPr>
          <w:t>El</w:t>
        </w:r>
      </w:smartTag>
      <w:r>
        <w:rPr>
          <w:rFonts w:ascii="Verdana" w:hAnsi="Verdana"/>
          <w:sz w:val="16"/>
          <w:szCs w:val="16"/>
        </w:rPr>
        <w:t xml:space="preserve"> Juez Diego García-Sayán, de nac</w:t>
      </w:r>
      <w:r>
        <w:rPr>
          <w:rFonts w:ascii="Verdana" w:hAnsi="Verdana"/>
          <w:sz w:val="16"/>
          <w:szCs w:val="16"/>
        </w:rPr>
        <w:t xml:space="preserve">ionalidad peruana, se excusó de conocer el presente caso, de conformidad con los artículos 19.2 del Estatuto y 19 del Reglamento de </w:t>
      </w:r>
      <w:smartTag w:uri="urn:schemas-microsoft-com:office:smarttags" w:element="PersonName">
        <w:smartTagPr>
          <w:attr w:name="ProductID" w:val="la Corte"/>
        </w:smartTagPr>
        <w:r>
          <w:rPr>
            <w:rFonts w:ascii="Verdana" w:hAnsi="Verdana"/>
            <w:sz w:val="16"/>
            <w:szCs w:val="16"/>
          </w:rPr>
          <w:t>la Corte</w:t>
        </w:r>
      </w:smartTag>
      <w:r>
        <w:rPr>
          <w:rFonts w:ascii="Verdana" w:hAnsi="Verdana"/>
          <w:sz w:val="16"/>
          <w:szCs w:val="16"/>
        </w:rPr>
        <w:t xml:space="preserve">, en razón de que, en su condición de Ministro de Justicia del Perú en el año 2001, en ese entonces recibió de </w:t>
      </w:r>
      <w:smartTag w:uri="urn:schemas-microsoft-com:office:smarttags" w:element="PersonName">
        <w:smartTagPr>
          <w:attr w:name="ProductID" w:val="la Asociación"/>
        </w:smartTagPr>
        <w:r>
          <w:rPr>
            <w:rFonts w:ascii="Verdana" w:hAnsi="Verdana"/>
            <w:sz w:val="16"/>
            <w:szCs w:val="16"/>
          </w:rPr>
          <w:t>la As</w:t>
        </w:r>
        <w:r>
          <w:rPr>
            <w:rFonts w:ascii="Verdana" w:hAnsi="Verdana"/>
            <w:sz w:val="16"/>
            <w:szCs w:val="16"/>
          </w:rPr>
          <w:t>ociación</w:t>
        </w:r>
      </w:smartTag>
      <w:r>
        <w:rPr>
          <w:rFonts w:ascii="Verdana" w:hAnsi="Verdana"/>
          <w:sz w:val="16"/>
          <w:szCs w:val="16"/>
        </w:rPr>
        <w:t xml:space="preserve"> de Cesantes y Jubilados de </w:t>
      </w:r>
      <w:smartTag w:uri="urn:schemas-microsoft-com:office:smarttags" w:element="PersonName">
        <w:smartTagPr>
          <w:attr w:name="ProductID" w:val="la Contraloría General"/>
        </w:smartTagPr>
        <w:r>
          <w:rPr>
            <w:rFonts w:ascii="Verdana" w:hAnsi="Verdana"/>
            <w:sz w:val="16"/>
            <w:szCs w:val="16"/>
          </w:rPr>
          <w:t>la Contraloría General</w:t>
        </w:r>
      </w:smartTag>
      <w:r>
        <w:rPr>
          <w:rFonts w:ascii="Verdana" w:hAnsi="Verdana"/>
          <w:sz w:val="16"/>
          <w:szCs w:val="16"/>
        </w:rPr>
        <w:t xml:space="preserve"> de </w:t>
      </w:r>
      <w:smartTag w:uri="urn:schemas-microsoft-com:office:smarttags" w:element="PersonName">
        <w:smartTagPr>
          <w:attr w:name="ProductID" w:val="la República"/>
        </w:smartTagPr>
        <w:r>
          <w:rPr>
            <w:rFonts w:ascii="Verdana" w:hAnsi="Verdana"/>
            <w:sz w:val="16"/>
            <w:szCs w:val="16"/>
          </w:rPr>
          <w:t>la República</w:t>
        </w:r>
      </w:smartTag>
      <w:r>
        <w:rPr>
          <w:rFonts w:ascii="Verdana" w:hAnsi="Verdana"/>
          <w:sz w:val="16"/>
          <w:szCs w:val="16"/>
        </w:rPr>
        <w:t xml:space="preserve"> del Perú información general acerca de las gestiones que venían efectuando ante el Ministerio de Economía y Finanzas del Perú y ante </w:t>
      </w:r>
      <w:smartTag w:uri="urn:schemas-microsoft-com:office:smarttags" w:element="PersonName">
        <w:smartTagPr>
          <w:attr w:name="ProductID" w:val="la Comisión Interamericana"/>
        </w:smartTagPr>
        <w:r>
          <w:rPr>
            <w:rFonts w:ascii="Verdana" w:hAnsi="Verdana"/>
            <w:sz w:val="16"/>
            <w:szCs w:val="16"/>
          </w:rPr>
          <w:t>la Comisión Interamericana</w:t>
        </w:r>
      </w:smartTag>
      <w:r>
        <w:rPr>
          <w:rFonts w:ascii="Verdana" w:hAnsi="Verdana"/>
          <w:sz w:val="16"/>
          <w:szCs w:val="16"/>
        </w:rPr>
        <w:t xml:space="preserve"> de Derechos Humanos. </w:t>
      </w:r>
      <w:r>
        <w:rPr>
          <w:rFonts w:ascii="Verdana" w:hAnsi="Verdana"/>
          <w:sz w:val="16"/>
          <w:szCs w:val="16"/>
        </w:rPr>
        <w:t>Si bien el conocimiento de esa información no afecta su independencia e imparcialidad para conocer el caso, consideró prudente excusarse.</w:t>
      </w:r>
      <w:r>
        <w:rPr>
          <w:rFonts w:ascii="Verdana" w:hAnsi="Verdana" w:cs="Arial"/>
          <w:b/>
          <w:sz w:val="22"/>
          <w:szCs w:val="22"/>
        </w:rPr>
        <w:t xml:space="preserve">   </w:t>
      </w:r>
    </w:p>
  </w:footnote>
  <w:footnote w:id="2">
    <w:p w:rsidR="00000000" w:rsidRDefault="0097652F">
      <w:pPr>
        <w:pStyle w:val="Textonotapie"/>
        <w:spacing w:before="120" w:after="120"/>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Conforme a lo dispuesto en el artículo 72.2 del Reglamento de </w:t>
      </w:r>
      <w:smartTag w:uri="urn:schemas-microsoft-com:office:smarttags" w:element="PersonName">
        <w:smartTagPr>
          <w:attr w:name="ProductID" w:val="la Corte Interamericana"/>
        </w:smartTagPr>
        <w:r>
          <w:rPr>
            <w:rFonts w:ascii="Verdana" w:hAnsi="Verdana"/>
            <w:sz w:val="16"/>
            <w:szCs w:val="16"/>
          </w:rPr>
          <w:t>la Corte Interamericana</w:t>
        </w:r>
      </w:smartTag>
      <w:r>
        <w:rPr>
          <w:rFonts w:ascii="Verdana" w:hAnsi="Verdana"/>
          <w:sz w:val="16"/>
          <w:szCs w:val="16"/>
        </w:rPr>
        <w:t xml:space="preserve"> vigente, cuyas </w:t>
      </w:r>
      <w:r>
        <w:rPr>
          <w:rFonts w:ascii="Verdana" w:hAnsi="Verdana" w:cs="Arial"/>
          <w:sz w:val="16"/>
          <w:szCs w:val="16"/>
          <w:lang w:eastAsia="ja-JP"/>
        </w:rPr>
        <w:t>últimas ref</w:t>
      </w:r>
      <w:r>
        <w:rPr>
          <w:rFonts w:ascii="Verdana" w:hAnsi="Verdana" w:cs="Arial"/>
          <w:sz w:val="16"/>
          <w:szCs w:val="16"/>
          <w:lang w:eastAsia="ja-JP"/>
        </w:rPr>
        <w:t>ormas entraron en vigor</w:t>
      </w:r>
      <w:r>
        <w:rPr>
          <w:rFonts w:ascii="Verdana" w:hAnsi="Verdana"/>
          <w:sz w:val="16"/>
          <w:szCs w:val="16"/>
        </w:rPr>
        <w:t xml:space="preserve"> el 24 de marzo de 2009, “[l]os casos en curso se continuarán tramitando conforme a este Reglamento, con la excepción de aquellos casos en que se haya convocado a audiencia al momento de entrada en vigor del presente Reglamento, los </w:t>
      </w:r>
      <w:r>
        <w:rPr>
          <w:rFonts w:ascii="Verdana" w:hAnsi="Verdana"/>
          <w:sz w:val="16"/>
          <w:szCs w:val="16"/>
        </w:rPr>
        <w:t xml:space="preserve">cuales seguirán tramitándose conforme a las disposiciones del Reglamento anterior”. De ese modo, el Reglamento de </w:t>
      </w:r>
      <w:smartTag w:uri="urn:schemas-microsoft-com:office:smarttags" w:element="PersonName">
        <w:smartTagPr>
          <w:attr w:name="ProductID" w:val="la Corte"/>
        </w:smartTagPr>
        <w:r>
          <w:rPr>
            <w:rFonts w:ascii="Verdana" w:hAnsi="Verdana"/>
            <w:sz w:val="16"/>
            <w:szCs w:val="16"/>
          </w:rPr>
          <w:t>la Corte</w:t>
        </w:r>
      </w:smartTag>
      <w:r>
        <w:rPr>
          <w:rFonts w:ascii="Verdana" w:hAnsi="Verdana"/>
          <w:sz w:val="16"/>
          <w:szCs w:val="16"/>
        </w:rPr>
        <w:t xml:space="preserve"> mencionado en la presente Sentencia de Interpretación corresponde al instrumento aprobado por el Tribunal en su XLIX Período Ordinari</w:t>
      </w:r>
      <w:r>
        <w:rPr>
          <w:rFonts w:ascii="Verdana" w:hAnsi="Verdana"/>
          <w:sz w:val="16"/>
          <w:szCs w:val="16"/>
        </w:rPr>
        <w:t xml:space="preserve">o de Sesiones, celebrado del 16 al 25 de noviembre de 2000, y reformado parcialmente por </w:t>
      </w:r>
      <w:smartTag w:uri="urn:schemas-microsoft-com:office:smarttags" w:element="PersonName">
        <w:smartTagPr>
          <w:attr w:name="ProductID" w:val="la Corte"/>
        </w:smartTagPr>
        <w:r>
          <w:rPr>
            <w:rFonts w:ascii="Verdana" w:hAnsi="Verdana"/>
            <w:sz w:val="16"/>
            <w:szCs w:val="16"/>
          </w:rPr>
          <w:t>la Corte</w:t>
        </w:r>
      </w:smartTag>
      <w:r>
        <w:rPr>
          <w:rFonts w:ascii="Verdana" w:hAnsi="Verdana"/>
          <w:sz w:val="16"/>
          <w:szCs w:val="16"/>
        </w:rPr>
        <w:t xml:space="preserve"> en su LXI Período Ordinario de Sesiones, celebrado del 20 de noviembre al 4 de diciembre de 2003.</w:t>
      </w:r>
    </w:p>
  </w:footnote>
  <w:footnote w:id="3">
    <w:p w:rsidR="00000000" w:rsidRDefault="0097652F">
      <w:pPr>
        <w:pStyle w:val="Textonotapie"/>
        <w:spacing w:before="120" w:after="120"/>
        <w:jc w:val="both"/>
        <w:rPr>
          <w:rFonts w:ascii="Verdana" w:hAnsi="Verdana"/>
          <w:lang w:val="es-ES"/>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ES"/>
        </w:rPr>
        <w:tab/>
      </w:r>
      <w:r>
        <w:rPr>
          <w:rFonts w:ascii="Verdana" w:hAnsi="Verdana"/>
          <w:i/>
          <w:sz w:val="16"/>
          <w:szCs w:val="16"/>
          <w:lang w:val="es-ES"/>
        </w:rPr>
        <w:t>Cfr.</w:t>
      </w:r>
      <w:r>
        <w:rPr>
          <w:rFonts w:ascii="Verdana" w:hAnsi="Verdana"/>
          <w:sz w:val="16"/>
          <w:szCs w:val="16"/>
          <w:lang w:val="es-ES"/>
        </w:rPr>
        <w:t xml:space="preserve"> </w:t>
      </w:r>
      <w:r>
        <w:rPr>
          <w:rFonts w:ascii="Verdana" w:hAnsi="Verdana"/>
          <w:i/>
          <w:sz w:val="16"/>
          <w:szCs w:val="16"/>
          <w:lang w:val="es-ES"/>
        </w:rPr>
        <w:t>supra</w:t>
      </w:r>
      <w:r>
        <w:rPr>
          <w:rFonts w:ascii="Verdana" w:hAnsi="Verdana"/>
          <w:sz w:val="16"/>
          <w:szCs w:val="16"/>
          <w:lang w:val="es-ES"/>
        </w:rPr>
        <w:t xml:space="preserve"> nota 1.</w:t>
      </w:r>
    </w:p>
  </w:footnote>
  <w:footnote w:id="4">
    <w:p w:rsidR="00000000" w:rsidRDefault="0097652F">
      <w:pPr>
        <w:pStyle w:val="Textonotapie"/>
        <w:spacing w:before="120" w:after="120"/>
        <w:jc w:val="both"/>
        <w:rPr>
          <w:rFonts w:ascii="Verdana" w:hAnsi="Verdana"/>
          <w:sz w:val="16"/>
          <w:szCs w:val="22"/>
        </w:rPr>
      </w:pPr>
      <w:r>
        <w:rPr>
          <w:rStyle w:val="Refdenotaalpie"/>
          <w:rFonts w:ascii="Verdana" w:hAnsi="Verdana"/>
          <w:sz w:val="16"/>
        </w:rPr>
        <w:footnoteRef/>
      </w:r>
      <w:r>
        <w:rPr>
          <w:rFonts w:ascii="Verdana" w:hAnsi="Verdana"/>
          <w:sz w:val="16"/>
        </w:rPr>
        <w:tab/>
      </w:r>
      <w:r>
        <w:rPr>
          <w:rFonts w:ascii="Verdana" w:hAnsi="Verdana"/>
          <w:i/>
          <w:sz w:val="16"/>
          <w:szCs w:val="16"/>
        </w:rPr>
        <w:t>Cfr. Caso Loayza Tamayo Vs. Perú</w:t>
      </w:r>
      <w:r>
        <w:rPr>
          <w:rFonts w:ascii="Verdana" w:hAnsi="Verdana"/>
          <w:sz w:val="16"/>
          <w:szCs w:val="16"/>
        </w:rPr>
        <w:t xml:space="preserve">. </w:t>
      </w:r>
      <w:r>
        <w:rPr>
          <w:rFonts w:ascii="Verdana" w:hAnsi="Verdana"/>
          <w:i/>
          <w:sz w:val="16"/>
          <w:szCs w:val="16"/>
        </w:rPr>
        <w:t>In</w:t>
      </w:r>
      <w:r>
        <w:rPr>
          <w:rFonts w:ascii="Verdana" w:hAnsi="Verdana"/>
          <w:i/>
          <w:sz w:val="16"/>
          <w:szCs w:val="16"/>
        </w:rPr>
        <w:t xml:space="preserve">terpretación de </w:t>
      </w:r>
      <w:smartTag w:uri="urn:schemas-microsoft-com:office:smarttags" w:element="PersonName">
        <w:smartTagPr>
          <w:attr w:name="ProductID" w:val="la Sentencia"/>
        </w:smartTagPr>
        <w:r>
          <w:rPr>
            <w:rFonts w:ascii="Verdana" w:hAnsi="Verdana"/>
            <w:i/>
            <w:sz w:val="16"/>
            <w:szCs w:val="16"/>
          </w:rPr>
          <w:t>la Sentencia</w:t>
        </w:r>
      </w:smartTag>
      <w:r>
        <w:rPr>
          <w:rFonts w:ascii="Verdana" w:hAnsi="Verdana"/>
          <w:i/>
          <w:sz w:val="16"/>
          <w:szCs w:val="16"/>
        </w:rPr>
        <w:t xml:space="preserve"> de Fondo.</w:t>
      </w:r>
      <w:r>
        <w:rPr>
          <w:rFonts w:ascii="Verdana" w:hAnsi="Verdana"/>
          <w:sz w:val="16"/>
          <w:szCs w:val="16"/>
        </w:rPr>
        <w:t xml:space="preserve"> Resolución de </w:t>
      </w:r>
      <w:smartTag w:uri="urn:schemas-microsoft-com:office:smarttags" w:element="PersonName">
        <w:smartTagPr>
          <w:attr w:name="ProductID" w:val="la Corte Interamericana"/>
        </w:smartTagPr>
        <w:r>
          <w:rPr>
            <w:rFonts w:ascii="Verdana" w:hAnsi="Verdana"/>
            <w:sz w:val="16"/>
            <w:szCs w:val="16"/>
          </w:rPr>
          <w:t>la Corte Interamericana</w:t>
        </w:r>
      </w:smartTag>
      <w:r>
        <w:rPr>
          <w:rFonts w:ascii="Verdana" w:hAnsi="Verdana"/>
          <w:sz w:val="16"/>
          <w:szCs w:val="16"/>
        </w:rPr>
        <w:t xml:space="preserve"> de Derechos Humanos de 8 de marzo de 1998. Serie C No. 47, párr. 16; </w:t>
      </w:r>
      <w:r>
        <w:rPr>
          <w:rFonts w:ascii="Verdana" w:hAnsi="Verdana"/>
          <w:i/>
          <w:sz w:val="16"/>
          <w:szCs w:val="16"/>
        </w:rPr>
        <w:t xml:space="preserve">Caso Valle Jaramillo y otros Vs. Colombia. Interpretación de </w:t>
      </w:r>
      <w:smartTag w:uri="urn:schemas-microsoft-com:office:smarttags" w:element="PersonName">
        <w:smartTagPr>
          <w:attr w:name="ProductID" w:val="la Sentencia"/>
        </w:smartTagPr>
        <w:r>
          <w:rPr>
            <w:rFonts w:ascii="Verdana" w:hAnsi="Verdana"/>
            <w:i/>
            <w:sz w:val="16"/>
            <w:szCs w:val="16"/>
          </w:rPr>
          <w:t>la Sentencia</w:t>
        </w:r>
      </w:smartTag>
      <w:r>
        <w:rPr>
          <w:rFonts w:ascii="Verdana" w:hAnsi="Verdana"/>
          <w:i/>
          <w:sz w:val="16"/>
          <w:szCs w:val="16"/>
        </w:rPr>
        <w:t xml:space="preserve"> de Fondo, Reparaciones y Costas.</w:t>
      </w:r>
      <w:r>
        <w:rPr>
          <w:rFonts w:ascii="Verdana" w:hAnsi="Verdana"/>
          <w:sz w:val="16"/>
          <w:szCs w:val="16"/>
        </w:rPr>
        <w:t xml:space="preserve"> Sen</w:t>
      </w:r>
      <w:r>
        <w:rPr>
          <w:rFonts w:ascii="Verdana" w:hAnsi="Verdana"/>
          <w:sz w:val="16"/>
          <w:szCs w:val="16"/>
        </w:rPr>
        <w:t xml:space="preserve">tencia de 7 de julio de 2009. Serie C No. 201, párr. 8, y </w:t>
      </w:r>
      <w:r>
        <w:rPr>
          <w:rFonts w:ascii="Verdana" w:hAnsi="Verdana"/>
          <w:i/>
          <w:sz w:val="16"/>
          <w:szCs w:val="16"/>
        </w:rPr>
        <w:t>Ca</w:t>
      </w:r>
      <w:r>
        <w:rPr>
          <w:rFonts w:ascii="Verdana" w:hAnsi="Verdana"/>
          <w:bCs/>
          <w:i/>
          <w:color w:val="000000"/>
          <w:sz w:val="16"/>
          <w:szCs w:val="16"/>
        </w:rPr>
        <w:t>so Ticona Estrada y otros Vs. Bolivia</w:t>
      </w:r>
      <w:r>
        <w:rPr>
          <w:rFonts w:ascii="Verdana" w:hAnsi="Verdana"/>
          <w:bCs/>
          <w:color w:val="000000"/>
          <w:sz w:val="16"/>
          <w:szCs w:val="16"/>
        </w:rPr>
        <w:t xml:space="preserve">. </w:t>
      </w:r>
      <w:r>
        <w:rPr>
          <w:rFonts w:ascii="Verdana" w:hAnsi="Verdana"/>
          <w:i/>
          <w:color w:val="000000"/>
          <w:sz w:val="16"/>
          <w:szCs w:val="16"/>
        </w:rPr>
        <w:t xml:space="preserve">Interpretación de </w:t>
      </w:r>
      <w:smartTag w:uri="urn:schemas-microsoft-com:office:smarttags" w:element="PersonName">
        <w:smartTagPr>
          <w:attr w:name="ProductID" w:val="la Sentencia"/>
        </w:smartTagPr>
        <w:r>
          <w:rPr>
            <w:rFonts w:ascii="Verdana" w:hAnsi="Verdana"/>
            <w:i/>
            <w:color w:val="000000"/>
            <w:sz w:val="16"/>
            <w:szCs w:val="16"/>
          </w:rPr>
          <w:t>la Sentencia</w:t>
        </w:r>
      </w:smartTag>
      <w:r>
        <w:rPr>
          <w:rFonts w:ascii="Verdana" w:hAnsi="Verdana"/>
          <w:i/>
          <w:color w:val="000000"/>
          <w:sz w:val="16"/>
          <w:szCs w:val="16"/>
        </w:rPr>
        <w:t xml:space="preserve"> de Fondo, Reparaciones y Costas.</w:t>
      </w:r>
      <w:r>
        <w:rPr>
          <w:rFonts w:ascii="Verdana" w:hAnsi="Verdana"/>
          <w:color w:val="000000"/>
          <w:sz w:val="16"/>
          <w:szCs w:val="16"/>
        </w:rPr>
        <w:t xml:space="preserve"> Sentencia de 1 de julio de 2009. Serie C No. 199, párr. 7</w:t>
      </w:r>
      <w:r>
        <w:rPr>
          <w:rFonts w:ascii="Verdana" w:hAnsi="Verdana"/>
          <w:sz w:val="16"/>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7652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97652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7652F">
    <w:pPr>
      <w:pStyle w:val="Encabezado"/>
      <w:framePr w:wrap="around"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0A370F">
      <w:rPr>
        <w:rStyle w:val="Nmerodepgina"/>
        <w:rFonts w:ascii="Verdana" w:hAnsi="Verdana"/>
        <w:noProof/>
        <w:sz w:val="20"/>
      </w:rPr>
      <w:t>7</w:t>
    </w:r>
    <w:r>
      <w:rPr>
        <w:rStyle w:val="Nmerodepgina"/>
        <w:rFonts w:ascii="Verdana" w:hAnsi="Verdana"/>
        <w:sz w:val="20"/>
      </w:rPr>
      <w:fldChar w:fldCharType="end"/>
    </w:r>
  </w:p>
  <w:p w:rsidR="00000000" w:rsidRDefault="0097652F">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77948A5"/>
    <w:multiLevelType w:val="hybridMultilevel"/>
    <w:tmpl w:val="D25E0D70"/>
    <w:name w:val="WW8Num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4F03689F"/>
    <w:multiLevelType w:val="hybridMultilevel"/>
    <w:tmpl w:val="57DE6932"/>
    <w:lvl w:ilvl="0" w:tplc="FA2AAAF2">
      <w:start w:val="1"/>
      <w:numFmt w:val="decimal"/>
      <w:lvlText w:val="%1."/>
      <w:lvlJc w:val="left"/>
      <w:pPr>
        <w:tabs>
          <w:tab w:val="num" w:pos="851"/>
        </w:tabs>
        <w:ind w:left="0" w:firstLine="0"/>
      </w:pPr>
      <w:rPr>
        <w:rFonts w:ascii="Verdana" w:hAnsi="Verdana" w:hint="default"/>
        <w:b w:val="0"/>
        <w:sz w:val="20"/>
      </w:rPr>
    </w:lvl>
    <w:lvl w:ilvl="1" w:tplc="75B8E952">
      <w:start w:val="1"/>
      <w:numFmt w:val="decimal"/>
      <w:lvlText w:val="%2."/>
      <w:lvlJc w:val="left"/>
      <w:pPr>
        <w:tabs>
          <w:tab w:val="num" w:pos="1418"/>
        </w:tabs>
        <w:ind w:left="0" w:firstLine="1080"/>
      </w:pPr>
      <w:rPr>
        <w:rFonts w:hint="default"/>
      </w:r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B56AA"/>
    <w:rsid w:val="000A370F"/>
    <w:rsid w:val="007B56AA"/>
    <w:rsid w:val="009765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Batang"/>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Texto de nota al pie,Appel note de bas de page,Footnotes refss"/>
    <w:semiHidden/>
    <w:rPr>
      <w:sz w:val="20"/>
      <w:vertAlign w:val="superscript"/>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semiHidden/>
    <w:rPr>
      <w:rFonts w:ascii="Times" w:eastAsia="Times" w:hAnsi="Times"/>
      <w:szCs w:val="20"/>
      <w:lang w:val="es-ES_tradnl" w:eastAsia="en-US"/>
    </w:rPr>
  </w:style>
  <w:style w:type="paragraph" w:styleId="Textodebloque">
    <w:name w:val="Block Text"/>
    <w:basedOn w:val="Normal"/>
    <w:pPr>
      <w:ind w:left="720" w:right="764"/>
      <w:jc w:val="both"/>
    </w:pPr>
    <w:rPr>
      <w:rFonts w:ascii="Verdana" w:hAnsi="Verdana"/>
      <w:sz w:val="18"/>
      <w:szCs w:val="20"/>
      <w:lang w:val="es-ES_tradnl" w:eastAsia="en-US"/>
    </w:rPr>
  </w:style>
  <w:style w:type="paragraph" w:styleId="Encabezado">
    <w:name w:val="header"/>
    <w:basedOn w:val="Normal"/>
    <w:pPr>
      <w:tabs>
        <w:tab w:val="center" w:pos="4320"/>
        <w:tab w:val="right" w:pos="8640"/>
      </w:tabs>
    </w:pPr>
    <w:rPr>
      <w:rFonts w:ascii="Times" w:hAnsi="Times"/>
      <w:color w:val="000000"/>
      <w:szCs w:val="20"/>
      <w:lang w:val="es-ES_tradnl" w:eastAsia="en-US"/>
    </w:rPr>
  </w:style>
  <w:style w:type="character" w:styleId="Nmerodepgina">
    <w:name w:val="page number"/>
    <w:basedOn w:val="Fuentedeprrafopredete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link w:val="Textonotapie"/>
    <w:rPr>
      <w:rFonts w:ascii="Times" w:eastAsia="Times" w:hAnsi="Times"/>
      <w:sz w:val="24"/>
      <w:lang w:val="es-ES_tradnl" w:eastAsia="en-US" w:bidi="ar-SA"/>
    </w:rPr>
  </w:style>
  <w:style w:type="paragraph" w:styleId="Textoindependiente">
    <w:name w:val="Body Text"/>
    <w:basedOn w:val="Normal"/>
    <w:pPr>
      <w:jc w:val="both"/>
    </w:pPr>
    <w:rPr>
      <w:rFonts w:ascii="Garamond" w:hAnsi="Garamond"/>
      <w:szCs w:val="20"/>
      <w:lang w:val="es-ES_tradnl" w:eastAsia="en-US"/>
    </w:rPr>
  </w:style>
  <w:style w:type="character" w:customStyle="1" w:styleId="CorteIDH">
    <w:name w:val="Corte IDH"/>
    <w:semiHidden/>
    <w:rPr>
      <w:rFonts w:ascii="Arial" w:hAnsi="Arial" w:cs="Arial"/>
      <w:color w:val="auto"/>
      <w:sz w:val="20"/>
      <w:szCs w:val="20"/>
    </w:rPr>
  </w:style>
  <w:style w:type="paragraph" w:styleId="Textodeglobo">
    <w:name w:val="Balloon Text"/>
    <w:basedOn w:val="Normal"/>
    <w:semiHidden/>
    <w:rPr>
      <w:rFonts w:ascii="Lucida Grande" w:hAnsi="Lucida Grande"/>
      <w:sz w:val="18"/>
      <w:szCs w:val="18"/>
    </w:rPr>
  </w:style>
  <w:style w:type="paragraph" w:styleId="Piedepgina">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2263</Words>
  <Characters>12450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Corte IDH</Company>
  <LinksUpToDate>false</LinksUpToDate>
  <CharactersWithSpaces>14684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2017-06-23T19:29:00Z</cp:lastPrinted>
  <dcterms:created xsi:type="dcterms:W3CDTF">2017-06-23T19:29:00Z</dcterms:created>
  <dcterms:modified xsi:type="dcterms:W3CDTF">2017-06-23T19:29:00Z</dcterms:modified>
</cp:coreProperties>
</file>