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0F7" w:rsidRDefault="000650F7" w:rsidP="00CE6EFE">
      <w:pPr>
        <w:pStyle w:val="Ttulo1"/>
      </w:pPr>
    </w:p>
    <w:p w:rsidR="000650F7" w:rsidRDefault="000650F7" w:rsidP="00CE6EFE">
      <w:pPr>
        <w:pStyle w:val="Ttulo1"/>
      </w:pPr>
      <w:bookmarkStart w:id="0" w:name="_GoBack"/>
      <w:bookmarkEnd w:id="0"/>
    </w:p>
    <w:p w:rsidR="000650F7" w:rsidRDefault="000650F7" w:rsidP="00CE6EFE">
      <w:pPr>
        <w:pStyle w:val="Ttulo1"/>
      </w:pPr>
    </w:p>
    <w:p w:rsidR="00893961" w:rsidRDefault="00893961" w:rsidP="00CE6EFE">
      <w:pPr>
        <w:pStyle w:val="Ttulo1"/>
      </w:pPr>
      <w:r>
        <w:t>CORTE INTERAMERICANA DE DERECHOS HUMANOS</w:t>
      </w:r>
    </w:p>
    <w:p w:rsidR="00893961" w:rsidRDefault="00893961" w:rsidP="00CE6EFE">
      <w:pPr>
        <w:pStyle w:val="Ttulo1"/>
      </w:pPr>
    </w:p>
    <w:p w:rsidR="000650F7" w:rsidRDefault="000650F7" w:rsidP="000650F7"/>
    <w:p w:rsidR="00893961" w:rsidRDefault="00DA5262" w:rsidP="00CE6EFE">
      <w:pPr>
        <w:pStyle w:val="Ttulo1"/>
      </w:pPr>
      <w:r>
        <w:t>CASO ABRIL</w:t>
      </w:r>
      <w:r w:rsidR="00FF27EF">
        <w:t>L</w:t>
      </w:r>
      <w:r>
        <w:t xml:space="preserve"> ALOSILLA</w:t>
      </w:r>
      <w:r w:rsidR="00893961">
        <w:t xml:space="preserve"> Y OTROS </w:t>
      </w:r>
      <w:r w:rsidR="00893961" w:rsidRPr="00F1222B">
        <w:rPr>
          <w:i/>
        </w:rPr>
        <w:t>VS.</w:t>
      </w:r>
      <w:r>
        <w:t xml:space="preserve"> PERÚ</w:t>
      </w:r>
    </w:p>
    <w:p w:rsidR="00893961" w:rsidRDefault="00893961" w:rsidP="00CE6EFE">
      <w:pPr>
        <w:pStyle w:val="Ttulo1"/>
      </w:pPr>
    </w:p>
    <w:p w:rsidR="000650F7" w:rsidRPr="000650F7" w:rsidRDefault="000650F7" w:rsidP="000650F7"/>
    <w:p w:rsidR="00893961" w:rsidRDefault="00893961" w:rsidP="00CE6EFE">
      <w:pPr>
        <w:pStyle w:val="Ttulo1"/>
      </w:pPr>
      <w:r>
        <w:t xml:space="preserve">SENTENCIA DE </w:t>
      </w:r>
      <w:r w:rsidR="000650F7">
        <w:t>21</w:t>
      </w:r>
      <w:r w:rsidR="008D1668">
        <w:t xml:space="preserve"> DE NOVIEMBRE</w:t>
      </w:r>
      <w:r>
        <w:t xml:space="preserve"> DE 2011</w:t>
      </w:r>
    </w:p>
    <w:p w:rsidR="00893961" w:rsidRDefault="00893961" w:rsidP="00CE6EFE">
      <w:pPr>
        <w:pStyle w:val="Ttulo1"/>
      </w:pPr>
    </w:p>
    <w:p w:rsidR="00893961" w:rsidRDefault="00893961" w:rsidP="00CE6EFE">
      <w:pPr>
        <w:pStyle w:val="Ttulo1"/>
      </w:pPr>
      <w:r>
        <w:t>(</w:t>
      </w:r>
      <w:r w:rsidRPr="008F5C51">
        <w:rPr>
          <w:i/>
        </w:rPr>
        <w:t>Interpretación de la S</w:t>
      </w:r>
      <w:r w:rsidR="00165005">
        <w:rPr>
          <w:i/>
        </w:rPr>
        <w:t xml:space="preserve">entencia de </w:t>
      </w:r>
      <w:r w:rsidRPr="008F5C51">
        <w:rPr>
          <w:i/>
        </w:rPr>
        <w:t>Fondo, Reparaciones y Costas</w:t>
      </w:r>
      <w:r>
        <w:t>)</w:t>
      </w:r>
    </w:p>
    <w:p w:rsidR="00893961" w:rsidRDefault="00893961" w:rsidP="00CE6EFE"/>
    <w:p w:rsidR="0064446E" w:rsidRDefault="0064446E" w:rsidP="00CE6EFE"/>
    <w:p w:rsidR="0064446E" w:rsidRDefault="0064446E" w:rsidP="00CE6EFE"/>
    <w:p w:rsidR="00893961" w:rsidRDefault="00893961" w:rsidP="00CE6EFE"/>
    <w:p w:rsidR="00893961" w:rsidRPr="004F4A13" w:rsidRDefault="00B50FE1" w:rsidP="00CE6EFE">
      <w:r>
        <w:rPr>
          <w:szCs w:val="20"/>
        </w:rPr>
        <w:t xml:space="preserve">En el caso </w:t>
      </w:r>
      <w:proofErr w:type="spellStart"/>
      <w:r w:rsidRPr="00171F82">
        <w:rPr>
          <w:i/>
          <w:szCs w:val="20"/>
        </w:rPr>
        <w:t>Abril</w:t>
      </w:r>
      <w:r w:rsidR="00FF27EF">
        <w:rPr>
          <w:i/>
          <w:szCs w:val="20"/>
        </w:rPr>
        <w:t>l</w:t>
      </w:r>
      <w:proofErr w:type="spellEnd"/>
      <w:r w:rsidRPr="00171F82">
        <w:rPr>
          <w:i/>
          <w:szCs w:val="20"/>
        </w:rPr>
        <w:t xml:space="preserve"> </w:t>
      </w:r>
      <w:proofErr w:type="spellStart"/>
      <w:r w:rsidRPr="00171F82">
        <w:rPr>
          <w:i/>
          <w:szCs w:val="20"/>
        </w:rPr>
        <w:t>Alosilla</w:t>
      </w:r>
      <w:proofErr w:type="spellEnd"/>
      <w:r w:rsidR="00893961" w:rsidRPr="00171F82">
        <w:rPr>
          <w:i/>
          <w:szCs w:val="20"/>
        </w:rPr>
        <w:t xml:space="preserve"> y otros</w:t>
      </w:r>
      <w:r w:rsidR="00893961">
        <w:rPr>
          <w:i/>
          <w:szCs w:val="20"/>
        </w:rPr>
        <w:t xml:space="preserve">, </w:t>
      </w:r>
    </w:p>
    <w:p w:rsidR="00893961" w:rsidRDefault="00893961" w:rsidP="00CE6EFE">
      <w:pPr>
        <w:rPr>
          <w:szCs w:val="20"/>
        </w:rPr>
      </w:pPr>
    </w:p>
    <w:p w:rsidR="00893961" w:rsidRDefault="00893961" w:rsidP="00CE6EFE">
      <w:proofErr w:type="gramStart"/>
      <w:r>
        <w:rPr>
          <w:szCs w:val="20"/>
        </w:rPr>
        <w:t>la</w:t>
      </w:r>
      <w:proofErr w:type="gramEnd"/>
      <w:r>
        <w:rPr>
          <w:szCs w:val="20"/>
        </w:rPr>
        <w:t xml:space="preserve"> Corte Interamericana de Derechos Humanos (en adelante</w:t>
      </w:r>
      <w:r w:rsidR="0081599B">
        <w:rPr>
          <w:szCs w:val="20"/>
        </w:rPr>
        <w:t xml:space="preserve"> “la Corte </w:t>
      </w:r>
      <w:r>
        <w:rPr>
          <w:szCs w:val="20"/>
        </w:rPr>
        <w:t xml:space="preserve">Interamericana”, “la Corte” o “el Tribunal”), </w:t>
      </w:r>
      <w:r>
        <w:t>integrada por los siguientes Jueces</w:t>
      </w:r>
      <w:r w:rsidR="004A4C04">
        <w:rPr>
          <w:rStyle w:val="Refdenotaalpie"/>
        </w:rPr>
        <w:footnoteReference w:id="1"/>
      </w:r>
      <w:r>
        <w:t>:</w:t>
      </w:r>
    </w:p>
    <w:p w:rsidR="00CE6EFE" w:rsidRDefault="00CE6EFE" w:rsidP="00CE6EFE"/>
    <w:p w:rsidR="004A4C04" w:rsidRDefault="004A4C04" w:rsidP="00CE6EFE">
      <w:pPr>
        <w:ind w:left="720" w:right="99"/>
      </w:pPr>
      <w:r>
        <w:t xml:space="preserve">Leonardo A. Franco, Presidente </w:t>
      </w:r>
      <w:r w:rsidRPr="00D51960">
        <w:t>en ejercicio</w:t>
      </w:r>
      <w:r>
        <w:t>;</w:t>
      </w:r>
    </w:p>
    <w:p w:rsidR="004A4C04" w:rsidRDefault="004A4C04" w:rsidP="00CE6EFE">
      <w:pPr>
        <w:ind w:left="720" w:right="99"/>
      </w:pPr>
      <w:r>
        <w:t>Manuel E. Ventura Robles, Juez;</w:t>
      </w:r>
    </w:p>
    <w:p w:rsidR="004A4C04" w:rsidRPr="0064680B" w:rsidRDefault="004A4C04" w:rsidP="00CE6EFE">
      <w:pPr>
        <w:ind w:left="720" w:right="99"/>
        <w:rPr>
          <w:lang w:val="es-ES"/>
        </w:rPr>
      </w:pPr>
      <w:r w:rsidRPr="0064680B">
        <w:rPr>
          <w:lang w:val="es-ES"/>
        </w:rPr>
        <w:t xml:space="preserve">Margarette May Macaulay, Jueza; </w:t>
      </w:r>
    </w:p>
    <w:p w:rsidR="004A4C04" w:rsidRPr="0064680B" w:rsidRDefault="004A4C04" w:rsidP="00CE6EFE">
      <w:pPr>
        <w:ind w:left="720" w:right="99"/>
        <w:rPr>
          <w:lang w:val="es-ES"/>
        </w:rPr>
      </w:pPr>
      <w:proofErr w:type="spellStart"/>
      <w:r w:rsidRPr="0064680B">
        <w:rPr>
          <w:lang w:val="es-ES"/>
        </w:rPr>
        <w:t>Rhadys</w:t>
      </w:r>
      <w:proofErr w:type="spellEnd"/>
      <w:r w:rsidRPr="0064680B">
        <w:rPr>
          <w:lang w:val="es-ES"/>
        </w:rPr>
        <w:t xml:space="preserve"> Abreu </w:t>
      </w:r>
      <w:proofErr w:type="spellStart"/>
      <w:r w:rsidRPr="0064680B">
        <w:rPr>
          <w:lang w:val="es-ES"/>
        </w:rPr>
        <w:t>Blondet</w:t>
      </w:r>
      <w:proofErr w:type="spellEnd"/>
      <w:r w:rsidRPr="0064680B">
        <w:rPr>
          <w:lang w:val="es-ES"/>
        </w:rPr>
        <w:t xml:space="preserve">, Jueza; </w:t>
      </w:r>
    </w:p>
    <w:p w:rsidR="004A4C04" w:rsidRDefault="004A4C04" w:rsidP="00CE6EFE">
      <w:pPr>
        <w:ind w:left="720" w:right="99"/>
      </w:pPr>
      <w:r>
        <w:t>Alberto Pérez Pérez, Juez, y</w:t>
      </w:r>
    </w:p>
    <w:p w:rsidR="00893961" w:rsidRPr="00CE6EFE" w:rsidRDefault="004A4C04" w:rsidP="00CE6EFE">
      <w:pPr>
        <w:ind w:left="720" w:right="99"/>
        <w:rPr>
          <w:i/>
        </w:rPr>
      </w:pPr>
      <w:r>
        <w:t>Eduardo Vio Grossi, Juez</w:t>
      </w:r>
      <w:r>
        <w:rPr>
          <w:i/>
        </w:rPr>
        <w:t>;</w:t>
      </w:r>
    </w:p>
    <w:p w:rsidR="00CE6EFE" w:rsidRDefault="00CE6EFE" w:rsidP="00CE6EFE"/>
    <w:p w:rsidR="00893961" w:rsidRDefault="00893961" w:rsidP="00CE6EFE">
      <w:proofErr w:type="gramStart"/>
      <w:r>
        <w:t>presente</w:t>
      </w:r>
      <w:r w:rsidR="00976D7F">
        <w:t>s</w:t>
      </w:r>
      <w:proofErr w:type="gramEnd"/>
      <w:r>
        <w:t>, además,</w:t>
      </w:r>
    </w:p>
    <w:p w:rsidR="00CE6EFE" w:rsidRDefault="00CE6EFE" w:rsidP="00CE6EFE"/>
    <w:p w:rsidR="00BC4535" w:rsidRDefault="00BC4535" w:rsidP="00CE6EFE">
      <w:pPr>
        <w:tabs>
          <w:tab w:val="left" w:pos="720"/>
        </w:tabs>
        <w:ind w:left="720"/>
      </w:pPr>
      <w:r>
        <w:t>Pablo Saavedra Alessandri, Secretario, y</w:t>
      </w:r>
    </w:p>
    <w:p w:rsidR="00BC4535" w:rsidRDefault="00BC4535" w:rsidP="00CE6EFE">
      <w:pPr>
        <w:tabs>
          <w:tab w:val="left" w:pos="720"/>
        </w:tabs>
        <w:ind w:left="720"/>
      </w:pPr>
      <w:r>
        <w:t>Emilia Segares Rodríguez, Secretaria Adjunta;</w:t>
      </w:r>
    </w:p>
    <w:p w:rsidR="00CE6EFE" w:rsidRDefault="00CE6EFE" w:rsidP="00CE6EFE">
      <w:pPr>
        <w:rPr>
          <w:szCs w:val="20"/>
        </w:rPr>
      </w:pPr>
    </w:p>
    <w:p w:rsidR="00893961" w:rsidRDefault="00893961" w:rsidP="00CE6EFE">
      <w:pPr>
        <w:rPr>
          <w:szCs w:val="20"/>
        </w:rPr>
      </w:pPr>
      <w:r w:rsidRPr="0091048B">
        <w:rPr>
          <w:szCs w:val="20"/>
        </w:rPr>
        <w:t xml:space="preserve">de conformidad con el artículo 67 de la Convención Americana sobre Derechos Humanos (en adelante </w:t>
      </w:r>
      <w:r w:rsidR="00A938E6" w:rsidRPr="0091048B">
        <w:rPr>
          <w:szCs w:val="20"/>
        </w:rPr>
        <w:t xml:space="preserve">también </w:t>
      </w:r>
      <w:r w:rsidR="00247A50" w:rsidRPr="0091048B">
        <w:rPr>
          <w:szCs w:val="20"/>
        </w:rPr>
        <w:t xml:space="preserve">“la Convención Americana” o </w:t>
      </w:r>
      <w:r w:rsidRPr="0091048B">
        <w:rPr>
          <w:szCs w:val="20"/>
        </w:rPr>
        <w:t>“la Convención”) y el artículo 68 del Reglamento de la Corte</w:t>
      </w:r>
      <w:r w:rsidR="00247A50" w:rsidRPr="0091048B">
        <w:rPr>
          <w:rStyle w:val="Refdenotaalpie"/>
          <w:szCs w:val="20"/>
        </w:rPr>
        <w:footnoteReference w:id="2"/>
      </w:r>
      <w:r w:rsidRPr="0091048B">
        <w:rPr>
          <w:szCs w:val="20"/>
        </w:rPr>
        <w:t xml:space="preserve"> (en adelante “el Reglamento”), resuelve la solicitud de interpretación de la Se</w:t>
      </w:r>
      <w:r w:rsidR="00B50FE1" w:rsidRPr="0091048B">
        <w:rPr>
          <w:szCs w:val="20"/>
        </w:rPr>
        <w:t>ntencia de</w:t>
      </w:r>
      <w:r w:rsidRPr="0091048B">
        <w:rPr>
          <w:szCs w:val="20"/>
        </w:rPr>
        <w:t xml:space="preserve"> fondo, reparaciones y cost</w:t>
      </w:r>
      <w:r w:rsidR="00B50FE1" w:rsidRPr="0091048B">
        <w:rPr>
          <w:szCs w:val="20"/>
        </w:rPr>
        <w:t>as emitida por el Tribunal el 4 de marzo de</w:t>
      </w:r>
      <w:r w:rsidRPr="0091048B">
        <w:rPr>
          <w:szCs w:val="20"/>
        </w:rPr>
        <w:t xml:space="preserve"> 201</w:t>
      </w:r>
      <w:r w:rsidR="00B50FE1" w:rsidRPr="0091048B">
        <w:rPr>
          <w:szCs w:val="20"/>
        </w:rPr>
        <w:t>1</w:t>
      </w:r>
      <w:r w:rsidRPr="0091048B">
        <w:rPr>
          <w:szCs w:val="20"/>
        </w:rPr>
        <w:t xml:space="preserve"> en el presente caso (en adelante también “la Sentencia” o “el Fallo”), </w:t>
      </w:r>
      <w:r w:rsidR="00B50FE1" w:rsidRPr="0091048B">
        <w:rPr>
          <w:szCs w:val="20"/>
        </w:rPr>
        <w:t>interpuesta el 13</w:t>
      </w:r>
      <w:r w:rsidRPr="0091048B">
        <w:rPr>
          <w:szCs w:val="20"/>
        </w:rPr>
        <w:t xml:space="preserve"> de </w:t>
      </w:r>
      <w:r w:rsidR="00B50FE1" w:rsidRPr="0091048B">
        <w:rPr>
          <w:szCs w:val="20"/>
        </w:rPr>
        <w:t>mayo de 2011</w:t>
      </w:r>
      <w:r w:rsidRPr="0091048B">
        <w:rPr>
          <w:szCs w:val="20"/>
        </w:rPr>
        <w:t xml:space="preserve"> por </w:t>
      </w:r>
      <w:r w:rsidR="0091048B" w:rsidRPr="0091048B">
        <w:rPr>
          <w:szCs w:val="20"/>
        </w:rPr>
        <w:t>el representante de las v</w:t>
      </w:r>
      <w:r w:rsidR="00171F82">
        <w:rPr>
          <w:szCs w:val="20"/>
        </w:rPr>
        <w:t>íctimas (en adelante</w:t>
      </w:r>
      <w:r w:rsidR="00B50FE1" w:rsidRPr="0091048B">
        <w:rPr>
          <w:szCs w:val="20"/>
        </w:rPr>
        <w:t xml:space="preserve"> “el </w:t>
      </w:r>
      <w:r w:rsidR="0091048B" w:rsidRPr="0091048B">
        <w:rPr>
          <w:szCs w:val="20"/>
        </w:rPr>
        <w:t>r</w:t>
      </w:r>
      <w:r w:rsidR="00B50FE1" w:rsidRPr="0091048B">
        <w:rPr>
          <w:szCs w:val="20"/>
        </w:rPr>
        <w:t>epresentante</w:t>
      </w:r>
      <w:r w:rsidRPr="0091048B">
        <w:rPr>
          <w:szCs w:val="20"/>
        </w:rPr>
        <w:t>”).</w:t>
      </w:r>
    </w:p>
    <w:p w:rsidR="00893961" w:rsidRDefault="00893961" w:rsidP="00CE6EFE"/>
    <w:p w:rsidR="00247052" w:rsidRDefault="00247052" w:rsidP="00CE6EFE">
      <w:pPr>
        <w:pStyle w:val="Ttulo1"/>
      </w:pPr>
    </w:p>
    <w:p w:rsidR="00893961" w:rsidRDefault="00893961" w:rsidP="00CE6EFE">
      <w:pPr>
        <w:pStyle w:val="Ttulo1"/>
      </w:pPr>
      <w:r>
        <w:t>I</w:t>
      </w:r>
    </w:p>
    <w:p w:rsidR="00893961" w:rsidRDefault="00893961" w:rsidP="00CE6EFE">
      <w:pPr>
        <w:pStyle w:val="Ttulo1"/>
      </w:pPr>
      <w:r>
        <w:t>INTRODUCCIÓN DE LA SOLICITUD DE INTERPRETACIÓN</w:t>
      </w:r>
    </w:p>
    <w:p w:rsidR="00893961" w:rsidRDefault="00893961" w:rsidP="00CE6EFE">
      <w:pPr>
        <w:pStyle w:val="Ttulo1"/>
      </w:pPr>
      <w:r>
        <w:t xml:space="preserve"> Y PROCEDIMIENTO ANTE LA CORTE</w:t>
      </w:r>
    </w:p>
    <w:p w:rsidR="00893961" w:rsidRDefault="00893961" w:rsidP="00CE6EFE"/>
    <w:p w:rsidR="00247052" w:rsidRDefault="00247052" w:rsidP="00CE6EFE"/>
    <w:p w:rsidR="00F04F3B" w:rsidRPr="00900D01" w:rsidRDefault="00171F82" w:rsidP="00CE6EFE">
      <w:pPr>
        <w:numPr>
          <w:ilvl w:val="0"/>
          <w:numId w:val="7"/>
        </w:numPr>
      </w:pPr>
      <w:r w:rsidRPr="00900D01">
        <w:t>El 4</w:t>
      </w:r>
      <w:r w:rsidR="00893961" w:rsidRPr="00900D01">
        <w:t xml:space="preserve"> de </w:t>
      </w:r>
      <w:r w:rsidRPr="00900D01">
        <w:t>marzo de 2011</w:t>
      </w:r>
      <w:r w:rsidR="00893961" w:rsidRPr="00900D01">
        <w:t xml:space="preserve"> la Corte emitió la Sentencia, la cual </w:t>
      </w:r>
      <w:r w:rsidR="00900D01" w:rsidRPr="00900D01">
        <w:t xml:space="preserve">fue notificada a las partes el 29 de marzo </w:t>
      </w:r>
      <w:r w:rsidR="00893961" w:rsidRPr="00900D01">
        <w:t xml:space="preserve">del mismo año. </w:t>
      </w:r>
    </w:p>
    <w:p w:rsidR="00F04F3B" w:rsidRPr="00F04F3B" w:rsidRDefault="00F04F3B" w:rsidP="00CE6EFE">
      <w:pPr>
        <w:rPr>
          <w:highlight w:val="yellow"/>
        </w:rPr>
      </w:pPr>
    </w:p>
    <w:p w:rsidR="00F04F3B" w:rsidRPr="000708C4" w:rsidRDefault="0044346D" w:rsidP="00CE6EFE">
      <w:pPr>
        <w:numPr>
          <w:ilvl w:val="0"/>
          <w:numId w:val="7"/>
        </w:numPr>
      </w:pPr>
      <w:r w:rsidRPr="000A40BE">
        <w:t>El 13</w:t>
      </w:r>
      <w:r w:rsidR="00893961" w:rsidRPr="000A40BE">
        <w:t xml:space="preserve"> de </w:t>
      </w:r>
      <w:r w:rsidRPr="000A40BE">
        <w:t>mayo de 2011</w:t>
      </w:r>
      <w:r w:rsidR="00893961" w:rsidRPr="000A40BE">
        <w:t xml:space="preserve"> el </w:t>
      </w:r>
      <w:r w:rsidRPr="000A40BE">
        <w:t>representante</w:t>
      </w:r>
      <w:r w:rsidR="00893961" w:rsidRPr="000A40BE">
        <w:t xml:space="preserve"> presentó una solicitud de interpretación</w:t>
      </w:r>
      <w:r w:rsidR="005129EB">
        <w:t>,</w:t>
      </w:r>
      <w:r w:rsidR="00171F82">
        <w:t xml:space="preserve"> </w:t>
      </w:r>
      <w:r w:rsidR="00722198" w:rsidRPr="000A40BE">
        <w:t>de conformidad con los artículos 67 de la Convención y 68</w:t>
      </w:r>
      <w:r w:rsidR="00722198">
        <w:t xml:space="preserve"> </w:t>
      </w:r>
      <w:r w:rsidR="005129EB">
        <w:t>del Reglamento, de</w:t>
      </w:r>
      <w:r w:rsidR="00722198" w:rsidRPr="000A14A6">
        <w:rPr>
          <w:color w:val="000000"/>
          <w:szCs w:val="20"/>
          <w:lang w:val="es-CR"/>
        </w:rPr>
        <w:t xml:space="preserve"> la Sentencia de </w:t>
      </w:r>
      <w:r w:rsidR="00722198">
        <w:rPr>
          <w:color w:val="000000"/>
          <w:szCs w:val="20"/>
          <w:lang w:val="es-CR"/>
        </w:rPr>
        <w:t xml:space="preserve">fondo, </w:t>
      </w:r>
      <w:r w:rsidR="00722198" w:rsidRPr="000A14A6">
        <w:rPr>
          <w:color w:val="000000"/>
          <w:szCs w:val="20"/>
          <w:lang w:val="es-CR"/>
        </w:rPr>
        <w:t>reparaciones y costas</w:t>
      </w:r>
      <w:r w:rsidR="005129EB">
        <w:rPr>
          <w:color w:val="000000"/>
          <w:szCs w:val="20"/>
          <w:lang w:val="es-CR"/>
        </w:rPr>
        <w:t>. E</w:t>
      </w:r>
      <w:r w:rsidR="00722198" w:rsidRPr="000A14A6">
        <w:rPr>
          <w:color w:val="000000"/>
          <w:szCs w:val="20"/>
          <w:lang w:val="es-CR"/>
        </w:rPr>
        <w:t>specíficamente</w:t>
      </w:r>
      <w:r w:rsidR="005129EB">
        <w:rPr>
          <w:color w:val="000000"/>
          <w:szCs w:val="20"/>
          <w:lang w:val="es-CR"/>
        </w:rPr>
        <w:t>, el representante solicitó la interpretación de</w:t>
      </w:r>
      <w:r w:rsidR="00F04F3B" w:rsidRPr="00171F82">
        <w:rPr>
          <w:szCs w:val="20"/>
        </w:rPr>
        <w:t xml:space="preserve"> </w:t>
      </w:r>
      <w:r w:rsidR="00F04F3B" w:rsidRPr="00171F82">
        <w:rPr>
          <w:bCs/>
          <w:szCs w:val="20"/>
        </w:rPr>
        <w:t xml:space="preserve">los </w:t>
      </w:r>
      <w:r w:rsidR="00722198">
        <w:rPr>
          <w:szCs w:val="20"/>
        </w:rPr>
        <w:t>p</w:t>
      </w:r>
      <w:r w:rsidR="00F04F3B" w:rsidRPr="00171F82">
        <w:rPr>
          <w:bCs/>
          <w:szCs w:val="20"/>
        </w:rPr>
        <w:t xml:space="preserve">árrafos 97, 107, 113, 114 y 115, así como </w:t>
      </w:r>
      <w:r w:rsidR="005129EB">
        <w:rPr>
          <w:bCs/>
          <w:szCs w:val="20"/>
        </w:rPr>
        <w:t>d</w:t>
      </w:r>
      <w:r w:rsidR="00F04F3B" w:rsidRPr="00171F82">
        <w:rPr>
          <w:bCs/>
          <w:szCs w:val="20"/>
        </w:rPr>
        <w:t xml:space="preserve">el </w:t>
      </w:r>
      <w:r w:rsidR="00722198">
        <w:rPr>
          <w:szCs w:val="20"/>
        </w:rPr>
        <w:t>p</w:t>
      </w:r>
      <w:r w:rsidR="005129EB">
        <w:rPr>
          <w:bCs/>
          <w:szCs w:val="20"/>
        </w:rPr>
        <w:t>unto</w:t>
      </w:r>
      <w:r w:rsidR="00F004AC">
        <w:rPr>
          <w:szCs w:val="20"/>
        </w:rPr>
        <w:t xml:space="preserve"> resolutivo</w:t>
      </w:r>
      <w:r w:rsidR="005129EB">
        <w:rPr>
          <w:szCs w:val="20"/>
        </w:rPr>
        <w:t xml:space="preserve"> </w:t>
      </w:r>
      <w:r w:rsidR="00B96CD0">
        <w:rPr>
          <w:szCs w:val="20"/>
        </w:rPr>
        <w:t>quinto</w:t>
      </w:r>
      <w:r w:rsidR="00722198">
        <w:rPr>
          <w:bCs/>
          <w:szCs w:val="20"/>
        </w:rPr>
        <w:t xml:space="preserve"> relacionados </w:t>
      </w:r>
      <w:r w:rsidR="00E448F8">
        <w:rPr>
          <w:bCs/>
          <w:szCs w:val="20"/>
        </w:rPr>
        <w:t>con</w:t>
      </w:r>
      <w:r w:rsidR="00722198">
        <w:rPr>
          <w:bCs/>
          <w:szCs w:val="20"/>
        </w:rPr>
        <w:t xml:space="preserve"> la </w:t>
      </w:r>
      <w:r w:rsidR="00722198" w:rsidRPr="000A14A6">
        <w:rPr>
          <w:color w:val="000000"/>
          <w:szCs w:val="20"/>
          <w:lang w:val="es-CR"/>
        </w:rPr>
        <w:t>sustentación</w:t>
      </w:r>
      <w:r w:rsidR="00722198">
        <w:rPr>
          <w:color w:val="000000"/>
          <w:szCs w:val="20"/>
          <w:lang w:val="es-CR"/>
        </w:rPr>
        <w:t xml:space="preserve"> y</w:t>
      </w:r>
      <w:r w:rsidR="009749CC">
        <w:rPr>
          <w:color w:val="000000"/>
          <w:szCs w:val="20"/>
          <w:lang w:val="es-CR"/>
        </w:rPr>
        <w:t xml:space="preserve"> determinación </w:t>
      </w:r>
      <w:r w:rsidR="00722198" w:rsidRPr="000A14A6">
        <w:rPr>
          <w:color w:val="000000"/>
          <w:szCs w:val="20"/>
          <w:lang w:val="es-CR"/>
        </w:rPr>
        <w:t>del monto indemnizator</w:t>
      </w:r>
      <w:r w:rsidR="009749CC">
        <w:rPr>
          <w:color w:val="000000"/>
          <w:szCs w:val="20"/>
          <w:lang w:val="es-CR"/>
        </w:rPr>
        <w:t>io fijado</w:t>
      </w:r>
      <w:r w:rsidR="00722198">
        <w:rPr>
          <w:color w:val="000000"/>
          <w:szCs w:val="20"/>
          <w:lang w:val="es-CR"/>
        </w:rPr>
        <w:t xml:space="preserve"> por la Corte</w:t>
      </w:r>
      <w:r w:rsidR="000B4263">
        <w:rPr>
          <w:color w:val="000000"/>
          <w:szCs w:val="20"/>
          <w:lang w:val="es-CR"/>
        </w:rPr>
        <w:t>.</w:t>
      </w:r>
    </w:p>
    <w:p w:rsidR="000708C4" w:rsidRDefault="000708C4" w:rsidP="00CE6EFE">
      <w:pPr>
        <w:pStyle w:val="Prrafodelista"/>
      </w:pPr>
    </w:p>
    <w:p w:rsidR="00171F82" w:rsidRPr="00942795" w:rsidRDefault="00F67C09" w:rsidP="00CE6EFE">
      <w:pPr>
        <w:numPr>
          <w:ilvl w:val="0"/>
          <w:numId w:val="7"/>
        </w:numPr>
      </w:pPr>
      <w:r>
        <w:t>El 27 de mayo</w:t>
      </w:r>
      <w:r w:rsidR="004B1623">
        <w:t xml:space="preserve"> </w:t>
      </w:r>
      <w:r w:rsidR="00171F82" w:rsidRPr="00942795">
        <w:t xml:space="preserve">de 2011, de conformidad con lo dispuesto en el artículo 68.2 del Reglamento y siguiendo instrucciones del Presidente del Tribunal en ejercicio para el presente caso, la Secretaría del Tribunal (en adelante “la Secretaría”) transmitió una copia de la solicitud de interpretación a la Comisión Interamericana de Derechos Humanos (en adelante “la Comisión Interamericana” o “la Comisión”), y al Estado del Perú (en adelante, “el Estado” o “el Perú”) </w:t>
      </w:r>
      <w:r w:rsidR="00171F82" w:rsidRPr="00942795">
        <w:rPr>
          <w:szCs w:val="20"/>
        </w:rPr>
        <w:t>y les otorgó un plazo hasta</w:t>
      </w:r>
      <w:r>
        <w:t xml:space="preserve"> el </w:t>
      </w:r>
      <w:r w:rsidR="009A2989">
        <w:t>28 de julio de 2011</w:t>
      </w:r>
      <w:r w:rsidR="00171F82" w:rsidRPr="00942795">
        <w:t xml:space="preserve"> para presentar </w:t>
      </w:r>
      <w:r w:rsidR="0061520E">
        <w:t>las alegaciones escrita</w:t>
      </w:r>
      <w:r w:rsidR="00171F82" w:rsidRPr="00942795">
        <w:t xml:space="preserve">s que consideraran pertinentes. </w:t>
      </w:r>
    </w:p>
    <w:p w:rsidR="00171F82" w:rsidRDefault="00171F82" w:rsidP="00CE6EFE"/>
    <w:p w:rsidR="00171F82" w:rsidRPr="002E715A" w:rsidRDefault="00E67EC3" w:rsidP="00CE6EFE">
      <w:pPr>
        <w:pStyle w:val="Prrafodelista"/>
        <w:numPr>
          <w:ilvl w:val="0"/>
          <w:numId w:val="7"/>
        </w:numPr>
      </w:pPr>
      <w:r>
        <w:t>El 25 de julio</w:t>
      </w:r>
      <w:r w:rsidR="00171F82" w:rsidRPr="008355DE">
        <w:t xml:space="preserve"> de 2011 la Comisión Interamericana indicó que no tenía observaciones que presentar a la referida solicitud de interpretación de Sentencia</w:t>
      </w:r>
      <w:r w:rsidR="00124893">
        <w:t xml:space="preserve"> presentada por el representante</w:t>
      </w:r>
      <w:r w:rsidR="00F21D14">
        <w:t>. Por su parte, el 27 de julio</w:t>
      </w:r>
      <w:r w:rsidR="00171F82" w:rsidRPr="008355DE">
        <w:t xml:space="preserve"> de 2011 el Estado remitió sus</w:t>
      </w:r>
      <w:r w:rsidR="00412E70">
        <w:t xml:space="preserve"> alegatos escritos y solicitó</w:t>
      </w:r>
      <w:r w:rsidR="00171F82" w:rsidRPr="008355DE">
        <w:t xml:space="preserve"> a la Corte que declare inadmisible la solicitud de interpretación</w:t>
      </w:r>
      <w:r w:rsidR="00412E70">
        <w:t xml:space="preserve"> considerando que</w:t>
      </w:r>
      <w:r w:rsidR="006B357F">
        <w:t xml:space="preserve"> las sentencias del Tribunal "</w:t>
      </w:r>
      <w:r w:rsidR="002E715A" w:rsidRPr="008355DE">
        <w:t>son inapelables”</w:t>
      </w:r>
      <w:r w:rsidR="006B357F">
        <w:t xml:space="preserve">, </w:t>
      </w:r>
      <w:r w:rsidR="002E715A" w:rsidRPr="008355DE">
        <w:t xml:space="preserve"> </w:t>
      </w:r>
      <w:r w:rsidR="006B357F">
        <w:rPr>
          <w:szCs w:val="20"/>
        </w:rPr>
        <w:t xml:space="preserve">que la Corte ya había </w:t>
      </w:r>
      <w:r w:rsidR="002E715A" w:rsidRPr="0081599B">
        <w:rPr>
          <w:szCs w:val="20"/>
        </w:rPr>
        <w:t>“analiz</w:t>
      </w:r>
      <w:r w:rsidR="00412E70" w:rsidRPr="0081599B">
        <w:rPr>
          <w:szCs w:val="20"/>
        </w:rPr>
        <w:t>ado</w:t>
      </w:r>
      <w:r w:rsidR="008048B4" w:rsidRPr="0081599B">
        <w:rPr>
          <w:szCs w:val="20"/>
        </w:rPr>
        <w:t xml:space="preserve"> [y valorado</w:t>
      </w:r>
      <w:r w:rsidR="002E715A" w:rsidRPr="0081599B">
        <w:rPr>
          <w:szCs w:val="20"/>
        </w:rPr>
        <w:t>] los medios probatorios que s</w:t>
      </w:r>
      <w:r w:rsidR="00412E70" w:rsidRPr="0081599B">
        <w:rPr>
          <w:szCs w:val="20"/>
        </w:rPr>
        <w:t>e le proporcionaron”</w:t>
      </w:r>
      <w:r w:rsidR="00990AF9">
        <w:t xml:space="preserve">, y </w:t>
      </w:r>
      <w:r w:rsidR="006B357F">
        <w:t xml:space="preserve">que </w:t>
      </w:r>
      <w:r w:rsidR="008355DE" w:rsidRPr="008355DE">
        <w:t xml:space="preserve">“la demanda de interpretación </w:t>
      </w:r>
      <w:r w:rsidR="008355DE" w:rsidRPr="0081599B">
        <w:rPr>
          <w:szCs w:val="20"/>
        </w:rPr>
        <w:t>[…] busca obtener un cambio [en] los [puntos resolutivos]</w:t>
      </w:r>
      <w:r w:rsidR="00386901">
        <w:rPr>
          <w:szCs w:val="20"/>
        </w:rPr>
        <w:t>”.</w:t>
      </w:r>
    </w:p>
    <w:p w:rsidR="0032221C" w:rsidRDefault="0032221C" w:rsidP="00CE6EFE"/>
    <w:p w:rsidR="00247052" w:rsidRDefault="00247052" w:rsidP="00CE6EFE"/>
    <w:p w:rsidR="00893961" w:rsidRDefault="00893961" w:rsidP="00CE6EFE">
      <w:pPr>
        <w:pStyle w:val="Ttulo1"/>
      </w:pPr>
      <w:r>
        <w:t>II</w:t>
      </w:r>
    </w:p>
    <w:p w:rsidR="00893961" w:rsidRDefault="00893961" w:rsidP="00CE6EFE">
      <w:pPr>
        <w:pStyle w:val="Ttulo1"/>
      </w:pPr>
      <w:r>
        <w:t>COMPETENCIA Y COMPOSICIÓN DE LA CORTE</w:t>
      </w:r>
    </w:p>
    <w:p w:rsidR="00893961" w:rsidRDefault="00893961" w:rsidP="00CE6EFE"/>
    <w:p w:rsidR="00247052" w:rsidRDefault="00247052" w:rsidP="00CE6EFE"/>
    <w:p w:rsidR="00893961" w:rsidRPr="00DF038B" w:rsidRDefault="00893961" w:rsidP="00CE6EFE">
      <w:pPr>
        <w:numPr>
          <w:ilvl w:val="0"/>
          <w:numId w:val="7"/>
        </w:numPr>
        <w:rPr>
          <w:szCs w:val="20"/>
        </w:rPr>
      </w:pPr>
      <w:r w:rsidRPr="00DF038B">
        <w:rPr>
          <w:szCs w:val="20"/>
        </w:rPr>
        <w:t>El artículo 67 de la Convención establece que:</w:t>
      </w:r>
    </w:p>
    <w:p w:rsidR="00893961" w:rsidRDefault="00893961" w:rsidP="00CE6EFE">
      <w:pPr>
        <w:ind w:left="720" w:right="584"/>
        <w:rPr>
          <w:rFonts w:eastAsia="Times"/>
          <w:sz w:val="16"/>
        </w:rPr>
      </w:pPr>
    </w:p>
    <w:p w:rsidR="00893961" w:rsidRPr="00F1222B" w:rsidRDefault="00893961" w:rsidP="00CE6EFE">
      <w:pPr>
        <w:ind w:left="720" w:right="584"/>
        <w:rPr>
          <w:rFonts w:eastAsia="Times"/>
          <w:sz w:val="16"/>
          <w:szCs w:val="16"/>
        </w:rPr>
      </w:pPr>
      <w:r w:rsidRPr="00F1222B">
        <w:rPr>
          <w:rFonts w:eastAsia="Times"/>
          <w:sz w:val="16"/>
          <w:szCs w:val="16"/>
        </w:rPr>
        <w:t>[</w:t>
      </w:r>
      <w:proofErr w:type="gramStart"/>
      <w:r w:rsidRPr="00F1222B">
        <w:rPr>
          <w:rFonts w:eastAsia="Times"/>
          <w:sz w:val="16"/>
          <w:szCs w:val="16"/>
        </w:rPr>
        <w:t>e]</w:t>
      </w:r>
      <w:proofErr w:type="gramEnd"/>
      <w:r w:rsidRPr="00F1222B">
        <w:rPr>
          <w:rFonts w:eastAsia="Times"/>
          <w:sz w:val="16"/>
          <w:szCs w:val="16"/>
        </w:rPr>
        <w:t>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893961" w:rsidRPr="00DF038B" w:rsidRDefault="00893961" w:rsidP="00CE6EFE">
      <w:pPr>
        <w:ind w:left="720" w:right="584"/>
        <w:rPr>
          <w:b/>
          <w:sz w:val="16"/>
          <w:szCs w:val="20"/>
        </w:rPr>
      </w:pPr>
    </w:p>
    <w:p w:rsidR="00893961" w:rsidRPr="004A4C04" w:rsidRDefault="00893961" w:rsidP="00CE6EFE">
      <w:pPr>
        <w:numPr>
          <w:ilvl w:val="0"/>
          <w:numId w:val="7"/>
        </w:numPr>
      </w:pPr>
      <w:r w:rsidRPr="004A4C04">
        <w:rPr>
          <w:szCs w:val="20"/>
        </w:rPr>
        <w:t xml:space="preserve">De conformidad con el artículo citado, la Corte es competente para interpretar sus fallos. Para realizar el examen de la solicitud de interpretación y resolver lo que a este respecto corresponda, el Tribunal debe tener, si es posible, la misma composición que tenía al dictar la sentencia respectiva, de acuerdo con el artículo 68.3 del Reglamento. En esta ocasión, la Corte se integra con los mismos Jueces que dictaron la Sentencia cuya interpretación ha sido solicitada por </w:t>
      </w:r>
      <w:r w:rsidR="0085475E">
        <w:rPr>
          <w:szCs w:val="20"/>
        </w:rPr>
        <w:t>el representante</w:t>
      </w:r>
      <w:r w:rsidRPr="004A4C04">
        <w:rPr>
          <w:szCs w:val="20"/>
        </w:rPr>
        <w:t>.</w:t>
      </w:r>
    </w:p>
    <w:p w:rsidR="00F1222B" w:rsidRDefault="00F1222B" w:rsidP="00CE6EFE">
      <w:pPr>
        <w:pStyle w:val="Ttulo1"/>
      </w:pPr>
    </w:p>
    <w:p w:rsidR="00893961" w:rsidRDefault="00893961" w:rsidP="00CE6EFE">
      <w:pPr>
        <w:pStyle w:val="Ttulo1"/>
      </w:pPr>
      <w:r>
        <w:t>III</w:t>
      </w:r>
    </w:p>
    <w:p w:rsidR="00893961" w:rsidRDefault="00893961" w:rsidP="00CE6EFE">
      <w:pPr>
        <w:pStyle w:val="Ttulo1"/>
      </w:pPr>
      <w:r>
        <w:t>ADMISIBILIDAD</w:t>
      </w:r>
    </w:p>
    <w:p w:rsidR="00893961" w:rsidRDefault="00893961" w:rsidP="00CE6EFE"/>
    <w:p w:rsidR="00893961" w:rsidRPr="00C25DE5" w:rsidRDefault="00893961" w:rsidP="00CE6EFE">
      <w:pPr>
        <w:numPr>
          <w:ilvl w:val="0"/>
          <w:numId w:val="7"/>
        </w:numPr>
      </w:pPr>
      <w:r w:rsidRPr="00C25DE5">
        <w:t xml:space="preserve">Corresponde a la Corte verificar si la </w:t>
      </w:r>
      <w:r w:rsidR="004A7754">
        <w:t>solicitud</w:t>
      </w:r>
      <w:r w:rsidRPr="00C25DE5">
        <w:t xml:space="preserve"> de interpretación cumple con los requisitos establecidos en las normas aplicables, a saber, el artículo 67 de la Convención, anteri</w:t>
      </w:r>
      <w:r>
        <w:t>ormente citado, y el artículo 68</w:t>
      </w:r>
      <w:r w:rsidRPr="00C25DE5">
        <w:t xml:space="preserve"> del Reglamento que dispone, en lo pertinente, que:</w:t>
      </w:r>
    </w:p>
    <w:p w:rsidR="00893961" w:rsidRPr="00084597" w:rsidRDefault="00893961" w:rsidP="00CE6EFE">
      <w:pPr>
        <w:rPr>
          <w:sz w:val="16"/>
          <w:szCs w:val="20"/>
        </w:rPr>
      </w:pPr>
    </w:p>
    <w:p w:rsidR="00893961" w:rsidRPr="00F1222B" w:rsidRDefault="00893961" w:rsidP="00CE6EFE">
      <w:pPr>
        <w:ind w:left="720" w:right="720"/>
        <w:rPr>
          <w:sz w:val="16"/>
          <w:szCs w:val="16"/>
        </w:rPr>
      </w:pPr>
      <w:r w:rsidRPr="00F1222B">
        <w:rPr>
          <w:sz w:val="16"/>
          <w:szCs w:val="16"/>
        </w:rPr>
        <w:t>1.</w:t>
      </w:r>
      <w:r w:rsidRPr="00F1222B">
        <w:rPr>
          <w:sz w:val="16"/>
          <w:szCs w:val="16"/>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893961" w:rsidRPr="00F1222B" w:rsidRDefault="00893961" w:rsidP="00CE6EFE">
      <w:pPr>
        <w:ind w:left="720" w:right="720"/>
        <w:rPr>
          <w:sz w:val="16"/>
          <w:szCs w:val="16"/>
        </w:rPr>
      </w:pPr>
    </w:p>
    <w:p w:rsidR="00893961" w:rsidRPr="00F1222B" w:rsidRDefault="00893961" w:rsidP="00CE6EFE">
      <w:pPr>
        <w:ind w:left="720" w:right="720"/>
        <w:rPr>
          <w:sz w:val="16"/>
          <w:szCs w:val="16"/>
        </w:rPr>
      </w:pPr>
      <w:r w:rsidRPr="00F1222B">
        <w:rPr>
          <w:sz w:val="16"/>
          <w:szCs w:val="16"/>
        </w:rPr>
        <w:t>[…]</w:t>
      </w:r>
    </w:p>
    <w:p w:rsidR="00893961" w:rsidRPr="00F1222B" w:rsidRDefault="00893961" w:rsidP="00CE6EFE">
      <w:pPr>
        <w:ind w:left="720" w:right="720"/>
        <w:rPr>
          <w:sz w:val="16"/>
          <w:szCs w:val="16"/>
        </w:rPr>
      </w:pPr>
    </w:p>
    <w:p w:rsidR="00893961" w:rsidRPr="00F1222B" w:rsidRDefault="00893961" w:rsidP="00CE6EFE">
      <w:pPr>
        <w:ind w:left="720" w:right="720"/>
        <w:rPr>
          <w:sz w:val="16"/>
          <w:szCs w:val="16"/>
        </w:rPr>
      </w:pPr>
      <w:r w:rsidRPr="00F1222B">
        <w:rPr>
          <w:sz w:val="16"/>
          <w:szCs w:val="16"/>
        </w:rPr>
        <w:t>4.</w:t>
      </w:r>
      <w:r w:rsidRPr="00F1222B">
        <w:rPr>
          <w:sz w:val="16"/>
          <w:szCs w:val="16"/>
        </w:rPr>
        <w:tab/>
        <w:t xml:space="preserve">La </w:t>
      </w:r>
      <w:r w:rsidR="00247A50" w:rsidRPr="00F1222B">
        <w:rPr>
          <w:sz w:val="16"/>
          <w:szCs w:val="16"/>
        </w:rPr>
        <w:t xml:space="preserve">solicitud </w:t>
      </w:r>
      <w:r w:rsidRPr="00F1222B">
        <w:rPr>
          <w:sz w:val="16"/>
          <w:szCs w:val="16"/>
        </w:rPr>
        <w:t>de interpretación no suspenderá la ejecución de la sentencia.</w:t>
      </w:r>
    </w:p>
    <w:p w:rsidR="00893961" w:rsidRPr="00F1222B" w:rsidRDefault="00893961" w:rsidP="00CE6EFE">
      <w:pPr>
        <w:ind w:left="720" w:right="702"/>
        <w:rPr>
          <w:sz w:val="16"/>
          <w:szCs w:val="16"/>
        </w:rPr>
      </w:pPr>
    </w:p>
    <w:p w:rsidR="00893961" w:rsidRPr="00F1222B" w:rsidRDefault="00893961" w:rsidP="00CE6EFE">
      <w:pPr>
        <w:ind w:left="720" w:right="702"/>
        <w:rPr>
          <w:sz w:val="16"/>
          <w:szCs w:val="16"/>
        </w:rPr>
      </w:pPr>
      <w:r w:rsidRPr="00F1222B">
        <w:rPr>
          <w:sz w:val="16"/>
          <w:szCs w:val="16"/>
        </w:rPr>
        <w:t>5.</w:t>
      </w:r>
      <w:r w:rsidRPr="00F1222B">
        <w:rPr>
          <w:sz w:val="16"/>
          <w:szCs w:val="16"/>
        </w:rPr>
        <w:tab/>
        <w:t>La Corte determinará el procedimiento que se seguirá y resolverá mediante una sentencia.</w:t>
      </w:r>
    </w:p>
    <w:p w:rsidR="00893961" w:rsidRPr="00F1222B" w:rsidRDefault="00893961" w:rsidP="00CE6EFE">
      <w:pPr>
        <w:ind w:left="720"/>
        <w:rPr>
          <w:sz w:val="18"/>
          <w:szCs w:val="18"/>
        </w:rPr>
      </w:pPr>
      <w:r w:rsidRPr="00F1222B">
        <w:rPr>
          <w:sz w:val="18"/>
          <w:szCs w:val="18"/>
        </w:rPr>
        <w:t xml:space="preserve"> </w:t>
      </w:r>
    </w:p>
    <w:p w:rsidR="00893961" w:rsidRDefault="00893961" w:rsidP="00CE6EFE">
      <w:pPr>
        <w:numPr>
          <w:ilvl w:val="0"/>
          <w:numId w:val="7"/>
        </w:numPr>
      </w:pPr>
      <w:r>
        <w:t>Asimismo, el artículo 31.3 del Reglamento establece que “[c]</w:t>
      </w:r>
      <w:proofErr w:type="spellStart"/>
      <w:r>
        <w:t>ontra</w:t>
      </w:r>
      <w:proofErr w:type="spellEnd"/>
      <w:r>
        <w:t xml:space="preserve"> las sentencias y resoluciones de la Corte no procede ningún </w:t>
      </w:r>
      <w:r w:rsidR="00247A50">
        <w:t xml:space="preserve">medio </w:t>
      </w:r>
      <w:r>
        <w:t>de impugnación”.</w:t>
      </w:r>
    </w:p>
    <w:p w:rsidR="00893961" w:rsidRDefault="00893961" w:rsidP="00CE6EFE"/>
    <w:p w:rsidR="00893961" w:rsidRPr="00DF3C2C" w:rsidRDefault="00DC5A1D" w:rsidP="00CE6EFE">
      <w:pPr>
        <w:numPr>
          <w:ilvl w:val="0"/>
          <w:numId w:val="7"/>
        </w:numPr>
      </w:pPr>
      <w:r w:rsidRPr="00DF3C2C">
        <w:t>La Corte observa que el representante</w:t>
      </w:r>
      <w:r w:rsidR="00893961" w:rsidRPr="00DF3C2C">
        <w:t xml:space="preserve"> presentó su solicitud de interpretación de </w:t>
      </w:r>
      <w:r w:rsidR="00E8110C" w:rsidRPr="00DF3C2C">
        <w:t xml:space="preserve">la </w:t>
      </w:r>
      <w:r w:rsidR="00893961" w:rsidRPr="00DF3C2C">
        <w:t xml:space="preserve">Sentencia dentro del plazo de </w:t>
      </w:r>
      <w:r w:rsidR="004767D7">
        <w:t>noventa</w:t>
      </w:r>
      <w:r w:rsidR="00893961" w:rsidRPr="00DF3C2C">
        <w:t xml:space="preserve"> días establecido en el artículo 67 de la Convención, ya que l</w:t>
      </w:r>
      <w:r w:rsidRPr="00DF3C2C">
        <w:t xml:space="preserve">a misma fue </w:t>
      </w:r>
      <w:r w:rsidR="002D2401">
        <w:t>notificada</w:t>
      </w:r>
      <w:r w:rsidR="00CA5ECA">
        <w:t xml:space="preserve"> el 29 de marzo</w:t>
      </w:r>
      <w:r w:rsidR="004810E3" w:rsidRPr="00DF3C2C">
        <w:t xml:space="preserve"> de 2011</w:t>
      </w:r>
      <w:r w:rsidR="00171F82" w:rsidRPr="00DF3C2C">
        <w:t>.</w:t>
      </w:r>
      <w:r w:rsidR="00893961" w:rsidRPr="00DF3C2C">
        <w:t xml:space="preserve"> </w:t>
      </w:r>
    </w:p>
    <w:p w:rsidR="00893961" w:rsidRDefault="00893961" w:rsidP="00CE6EFE"/>
    <w:p w:rsidR="00893961" w:rsidRPr="000A40BE" w:rsidRDefault="00893961" w:rsidP="00CE6EFE">
      <w:pPr>
        <w:numPr>
          <w:ilvl w:val="0"/>
          <w:numId w:val="7"/>
        </w:numPr>
      </w:pPr>
      <w:r w:rsidRPr="000A40BE">
        <w:t xml:space="preserve">Tal como lo ha dispuesto anteriormente este Tribunal en su jurisprudencia constante, claramente sustentada en el ordenamiento aplicable, una solicitud de interpretación de sentencia no debe utilizarse como medio de impugnación de la decisión cuya interpretación se requiere. Dicha solicitud tiene como objeto, exclusivamente, </w:t>
      </w:r>
      <w:r w:rsidR="002450F9" w:rsidRPr="000A40BE">
        <w:t xml:space="preserve">determinar </w:t>
      </w:r>
      <w:r w:rsidRPr="000A40BE">
        <w:t>el sentido de un fallo cuando alguna de las partes sostiene que el texto de sus puntos resolutivos o de sus consideraciones carece de claridad o precisión, siempre y cuando esas consideraciones incidan en dicha parte resolutiva</w:t>
      </w:r>
      <w:r w:rsidRPr="000A40BE">
        <w:rPr>
          <w:rStyle w:val="Refdenotaalpie"/>
        </w:rPr>
        <w:footnoteReference w:id="3"/>
      </w:r>
      <w:r w:rsidRPr="000A40BE">
        <w:t>. Por lo tanto, no se puede pedir la modificación o anulación de la sentencia respectiva a través de una solicitud de interpretación</w:t>
      </w:r>
      <w:r w:rsidRPr="000A40BE">
        <w:rPr>
          <w:rStyle w:val="Refdenotaalpie"/>
        </w:rPr>
        <w:footnoteReference w:id="4"/>
      </w:r>
      <w:r w:rsidRPr="000A40BE">
        <w:t xml:space="preserve">.  </w:t>
      </w:r>
    </w:p>
    <w:p w:rsidR="00893961" w:rsidRDefault="00893961" w:rsidP="00CE6EFE"/>
    <w:p w:rsidR="00893961" w:rsidRPr="0035348F" w:rsidRDefault="00247A50" w:rsidP="00CE6EFE">
      <w:pPr>
        <w:numPr>
          <w:ilvl w:val="0"/>
          <w:numId w:val="7"/>
        </w:numPr>
      </w:pPr>
      <w:r>
        <w:t>La Corte</w:t>
      </w:r>
      <w:r w:rsidR="00893961" w:rsidRPr="0035348F">
        <w:t xml:space="preserve"> procederá a analizar la </w:t>
      </w:r>
      <w:r>
        <w:t>solicitud</w:t>
      </w:r>
      <w:r w:rsidRPr="0035348F">
        <w:t xml:space="preserve"> </w:t>
      </w:r>
      <w:r w:rsidR="00893961" w:rsidRPr="0035348F">
        <w:t xml:space="preserve">de interpretación presentada por el </w:t>
      </w:r>
      <w:r w:rsidR="00DC5A1D">
        <w:t>representante</w:t>
      </w:r>
      <w:r w:rsidR="00893961" w:rsidRPr="0035348F">
        <w:t xml:space="preserve"> y, en su caso, realizar</w:t>
      </w:r>
      <w:r w:rsidR="0081599B">
        <w:t>á</w:t>
      </w:r>
      <w:r w:rsidR="00893961" w:rsidRPr="0035348F">
        <w:t xml:space="preserve"> las aclaraciones que estime pertinentes. Para ello, examinará las cuestiones planteadas por </w:t>
      </w:r>
      <w:r w:rsidR="00D90A25">
        <w:t>el representante</w:t>
      </w:r>
      <w:r w:rsidR="00893961" w:rsidRPr="0035348F">
        <w:t>, así como los alegatos</w:t>
      </w:r>
      <w:r w:rsidR="00DC5A1D">
        <w:t xml:space="preserve"> del</w:t>
      </w:r>
      <w:r w:rsidR="00D90A25">
        <w:t xml:space="preserve"> Estado</w:t>
      </w:r>
      <w:r w:rsidR="00AB5F8C">
        <w:t>. Tal como fue señalado (</w:t>
      </w:r>
      <w:r w:rsidR="00AB5F8C">
        <w:rPr>
          <w:i/>
        </w:rPr>
        <w:t xml:space="preserve">supra </w:t>
      </w:r>
      <w:r w:rsidR="00AB5F8C">
        <w:t xml:space="preserve">párr. </w:t>
      </w:r>
      <w:r w:rsidR="00F53F5F">
        <w:t>4</w:t>
      </w:r>
      <w:r w:rsidR="00AB5F8C">
        <w:t xml:space="preserve">), la Comisión indicó que no tenía observaciones </w:t>
      </w:r>
      <w:r w:rsidR="00F4147B">
        <w:t xml:space="preserve">que formular </w:t>
      </w:r>
      <w:r w:rsidR="00AB5F8C">
        <w:t>sobre la solicitud de interpretación de la Sentencia.</w:t>
      </w:r>
    </w:p>
    <w:p w:rsidR="00893961" w:rsidRDefault="00893961" w:rsidP="00CE6EFE">
      <w:pPr>
        <w:rPr>
          <w:strike/>
        </w:rPr>
      </w:pPr>
    </w:p>
    <w:p w:rsidR="00CE6EFE" w:rsidRDefault="00CE6EFE" w:rsidP="00CE6EFE">
      <w:pPr>
        <w:pStyle w:val="Ttulo1"/>
      </w:pPr>
      <w:r>
        <w:lastRenderedPageBreak/>
        <w:t>IV</w:t>
      </w:r>
    </w:p>
    <w:p w:rsidR="00CE6EFE" w:rsidRPr="000A14A6" w:rsidRDefault="006538EA" w:rsidP="00CE6EFE">
      <w:pPr>
        <w:ind w:right="720"/>
        <w:jc w:val="center"/>
        <w:rPr>
          <w:b/>
          <w:szCs w:val="20"/>
        </w:rPr>
      </w:pPr>
      <w:r>
        <w:rPr>
          <w:b/>
          <w:szCs w:val="20"/>
        </w:rPr>
        <w:t>IMPROCEDENCIA DE LA SOLICITUD DE INTERPRETACIÓN</w:t>
      </w:r>
    </w:p>
    <w:p w:rsidR="00CE6EFE" w:rsidRDefault="00CE6EFE" w:rsidP="00CE6EFE">
      <w:pPr>
        <w:rPr>
          <w:strike/>
        </w:rPr>
      </w:pPr>
    </w:p>
    <w:p w:rsidR="00893961" w:rsidRPr="0035348F" w:rsidRDefault="00893961" w:rsidP="00CE6EFE">
      <w:pPr>
        <w:rPr>
          <w:i/>
          <w:strike/>
        </w:rPr>
      </w:pPr>
      <w:r w:rsidRPr="00C34E34">
        <w:rPr>
          <w:i/>
        </w:rPr>
        <w:t>Alegatos de las partes</w:t>
      </w:r>
    </w:p>
    <w:p w:rsidR="00893961" w:rsidRDefault="00893961" w:rsidP="00CE6EFE">
      <w:pPr>
        <w:pStyle w:val="Prrafodelista"/>
      </w:pPr>
    </w:p>
    <w:p w:rsidR="00BA466D" w:rsidRDefault="00BA466D" w:rsidP="00BA466D">
      <w:pPr>
        <w:pStyle w:val="Prrafodelista"/>
        <w:numPr>
          <w:ilvl w:val="0"/>
          <w:numId w:val="7"/>
        </w:numPr>
      </w:pPr>
      <w:r>
        <w:rPr>
          <w:szCs w:val="20"/>
        </w:rPr>
        <w:t xml:space="preserve">El representante señaló que las víctimas “tienen el </w:t>
      </w:r>
      <w:r w:rsidR="00F53F5F">
        <w:rPr>
          <w:szCs w:val="20"/>
        </w:rPr>
        <w:t xml:space="preserve">deber </w:t>
      </w:r>
      <w:r>
        <w:rPr>
          <w:szCs w:val="20"/>
        </w:rPr>
        <w:t>de expresar […] su desacuerdo [respecto] al quantum por concepto de daño material” establecido en la Sentencia. En particular, e</w:t>
      </w:r>
      <w:r w:rsidR="000A40BE" w:rsidRPr="00BA466D">
        <w:rPr>
          <w:szCs w:val="20"/>
        </w:rPr>
        <w:t xml:space="preserve">l representante </w:t>
      </w:r>
      <w:r>
        <w:rPr>
          <w:szCs w:val="20"/>
        </w:rPr>
        <w:t>argumentó</w:t>
      </w:r>
      <w:r w:rsidR="00214A17" w:rsidRPr="00BA466D">
        <w:rPr>
          <w:szCs w:val="20"/>
        </w:rPr>
        <w:t xml:space="preserve"> que </w:t>
      </w:r>
      <w:r w:rsidR="002B3444" w:rsidRPr="00BA466D">
        <w:rPr>
          <w:szCs w:val="20"/>
        </w:rPr>
        <w:t>la</w:t>
      </w:r>
      <w:r w:rsidRPr="00BA466D">
        <w:rPr>
          <w:szCs w:val="20"/>
        </w:rPr>
        <w:t xml:space="preserve"> Corte </w:t>
      </w:r>
      <w:r w:rsidR="002B3444">
        <w:t>“le hace recaer a las víctimas la inversión del principio jurídico de la carga de la prueba, respecto de la contradicción del alegato inicial del Estado, que sostuvo que la reestructuración salarial de 1993 absorbe a los incrementos generados por el sistema de ratios salariales”, “cuando es de público y notorio conocimiento que por el carácter estrictamente confidencial de la reestructuración salarial de 1993</w:t>
      </w:r>
      <w:r>
        <w:t>”</w:t>
      </w:r>
      <w:r w:rsidR="002B3444">
        <w:t xml:space="preserve">, </w:t>
      </w:r>
      <w:r>
        <w:t>“</w:t>
      </w:r>
      <w:r w:rsidR="002B3444">
        <w:t>las víctimas no estaban en la posición material de conocer ni de tener en su poder la documentación relacionada a dicha reestructuración de salarios</w:t>
      </w:r>
      <w:r>
        <w:t xml:space="preserve">”. Insistió en que </w:t>
      </w:r>
      <w:r w:rsidR="002B3444">
        <w:t>la reestructuración salarial de 1993 “no tuvo como objetivo absorber” los incrementos por aplicación de las ratios salariales sino que “fue una respuesta al choque inflacionario existente entonces”. El representante alegó que éste era un “presupuesto de hecho debidamente probado en el proceso, que ha sido omitido en la constatación y en la valoración de los hechos del caso y que no ha sido desarrollado por la Corte”.</w:t>
      </w:r>
      <w:r w:rsidR="002B3444" w:rsidRPr="00BA466D">
        <w:rPr>
          <w:b/>
        </w:rPr>
        <w:t xml:space="preserve"> </w:t>
      </w:r>
      <w:r w:rsidR="002B3444">
        <w:t>Además, reiteró que la reestructuración de salarios de 1993 “no se implementó como un régimen sustituto del sistema de ratios salariales sino como una necesidad de subsanación al momento que vivía el Estado y la empresa SEDAPAL”.</w:t>
      </w:r>
    </w:p>
    <w:p w:rsidR="00BA466D" w:rsidRDefault="00BA466D" w:rsidP="00BA466D">
      <w:pPr>
        <w:pStyle w:val="Prrafodelista"/>
        <w:ind w:left="0"/>
      </w:pPr>
    </w:p>
    <w:p w:rsidR="00A63286" w:rsidRDefault="002B3444" w:rsidP="006E2F46">
      <w:pPr>
        <w:pStyle w:val="Prrafodelista"/>
        <w:numPr>
          <w:ilvl w:val="0"/>
          <w:numId w:val="7"/>
        </w:numPr>
      </w:pPr>
      <w:r>
        <w:t>A partir de todo ello, el representante señaló que “sí presentó los argumentos específicos que desvirtúan el citado alcance alegado por el Estado respecto de la reestructuración de salarios de 1993”</w:t>
      </w:r>
      <w:r w:rsidR="00BA466D">
        <w:t xml:space="preserve">. </w:t>
      </w:r>
      <w:r w:rsidR="00047D9C">
        <w:t>Alegó</w:t>
      </w:r>
      <w:r w:rsidR="00BA466D">
        <w:t xml:space="preserve"> que </w:t>
      </w:r>
      <w:r w:rsidR="006E2F46">
        <w:t xml:space="preserve">el Estado </w:t>
      </w:r>
      <w:r w:rsidR="00BA466D">
        <w:t xml:space="preserve">no </w:t>
      </w:r>
      <w:r w:rsidR="006E2F46">
        <w:t xml:space="preserve">probó </w:t>
      </w:r>
      <w:r w:rsidR="00BA466D">
        <w:t xml:space="preserve">que la </w:t>
      </w:r>
      <w:r w:rsidR="006E2F46">
        <w:t xml:space="preserve">restructuración salarial </w:t>
      </w:r>
      <w:r w:rsidR="00BA466D">
        <w:t xml:space="preserve">de 1993 </w:t>
      </w:r>
      <w:r w:rsidR="006E2F46">
        <w:t>tuvo como efecto</w:t>
      </w:r>
      <w:r w:rsidR="00BA466D">
        <w:t xml:space="preserve"> absorber los incrementos generados por el sistema de ratios salariales</w:t>
      </w:r>
      <w:r w:rsidR="006E2F46">
        <w:t xml:space="preserve"> y, por el contrario</w:t>
      </w:r>
      <w:proofErr w:type="gramStart"/>
      <w:r w:rsidR="006E2F46">
        <w:t>, ”</w:t>
      </w:r>
      <w:proofErr w:type="gramEnd"/>
      <w:r w:rsidR="00BA466D">
        <w:t xml:space="preserve">está demostrado fehaciente y concluyentemente que </w:t>
      </w:r>
      <w:r w:rsidR="006E2F46">
        <w:t xml:space="preserve">[éste] </w:t>
      </w:r>
      <w:r w:rsidR="00BA466D">
        <w:t xml:space="preserve">se </w:t>
      </w:r>
      <w:r w:rsidR="006E2F46">
        <w:t>[…]</w:t>
      </w:r>
      <w:r w:rsidR="00BA466D">
        <w:t xml:space="preserve"> </w:t>
      </w:r>
      <w:proofErr w:type="spellStart"/>
      <w:r w:rsidR="00BA466D">
        <w:t>encarg</w:t>
      </w:r>
      <w:proofErr w:type="spellEnd"/>
      <w:r w:rsidR="006E2F46">
        <w:t>[ó]</w:t>
      </w:r>
      <w:r w:rsidR="00BA466D">
        <w:t xml:space="preserve"> de desvirtuar</w:t>
      </w:r>
      <w:r w:rsidR="006E2F46">
        <w:t xml:space="preserve"> […]</w:t>
      </w:r>
      <w:r w:rsidR="00BA466D">
        <w:t xml:space="preserve"> definitivamente dicha consideración”</w:t>
      </w:r>
      <w:r w:rsidR="00BA466D" w:rsidRPr="005B3290">
        <w:t>.</w:t>
      </w:r>
      <w:r w:rsidR="00D109A1" w:rsidRPr="006E2F46">
        <w:rPr>
          <w:b/>
        </w:rPr>
        <w:t xml:space="preserve"> </w:t>
      </w:r>
      <w:r w:rsidR="00BA466D">
        <w:t xml:space="preserve">El representante agregó que la Corte, para establecer el daño material, “pudo haberse basado en los mismos criterios de equidad, considerando entre otros elementos al mismo </w:t>
      </w:r>
      <w:r w:rsidR="006E2F46">
        <w:t>[</w:t>
      </w:r>
      <w:r w:rsidR="00BA466D">
        <w:t>p</w:t>
      </w:r>
      <w:r w:rsidR="006E2F46">
        <w:t>]</w:t>
      </w:r>
      <w:proofErr w:type="spellStart"/>
      <w:r w:rsidR="00BA466D">
        <w:t>eritaje</w:t>
      </w:r>
      <w:proofErr w:type="spellEnd"/>
      <w:r w:rsidR="00BA466D">
        <w:t xml:space="preserve"> del Estado, empero sin la infundada, insubsistente e improcedente limitación en los cálculos al mes de </w:t>
      </w:r>
      <w:r w:rsidR="006E2F46">
        <w:t>[</w:t>
      </w:r>
      <w:r w:rsidR="00BA466D">
        <w:t>j</w:t>
      </w:r>
      <w:r w:rsidR="006E2F46">
        <w:t>]</w:t>
      </w:r>
      <w:proofErr w:type="spellStart"/>
      <w:r w:rsidR="00BA466D">
        <w:t>ulio</w:t>
      </w:r>
      <w:proofErr w:type="spellEnd"/>
      <w:r w:rsidR="00BA466D">
        <w:t xml:space="preserve"> de 1993”.</w:t>
      </w:r>
      <w:r w:rsidR="006E2F46">
        <w:rPr>
          <w:b/>
        </w:rPr>
        <w:t xml:space="preserve"> </w:t>
      </w:r>
      <w:r w:rsidR="00BA466D">
        <w:t xml:space="preserve">Al respecto, añadió que </w:t>
      </w:r>
      <w:r w:rsidR="001A26EE">
        <w:t>el Tribunal</w:t>
      </w:r>
      <w:r w:rsidR="006E2F46">
        <w:t xml:space="preserve"> </w:t>
      </w:r>
      <w:r w:rsidR="001A26EE">
        <w:t xml:space="preserve">también </w:t>
      </w:r>
      <w:r w:rsidR="006E2F46">
        <w:t>pudo haber valorado el peritaje presentado por el representante “</w:t>
      </w:r>
      <w:r w:rsidR="00BA466D">
        <w:t xml:space="preserve">que no </w:t>
      </w:r>
      <w:r w:rsidR="006E2F46">
        <w:t xml:space="preserve">[fue] </w:t>
      </w:r>
      <w:r w:rsidR="00BA466D">
        <w:t xml:space="preserve">observado, ni impugnado y por tanto </w:t>
      </w:r>
      <w:proofErr w:type="spellStart"/>
      <w:r w:rsidR="00BA466D">
        <w:t>qued</w:t>
      </w:r>
      <w:proofErr w:type="spellEnd"/>
      <w:r w:rsidR="006E2F46">
        <w:t>[ó]</w:t>
      </w:r>
      <w:r w:rsidR="00BA466D">
        <w:t xml:space="preserve"> consentido por el Estado”.</w:t>
      </w:r>
    </w:p>
    <w:p w:rsidR="006C264D" w:rsidRDefault="006C264D" w:rsidP="00CE6EFE">
      <w:pPr>
        <w:pStyle w:val="Prrafodelista"/>
        <w:rPr>
          <w:szCs w:val="20"/>
          <w:highlight w:val="yellow"/>
        </w:rPr>
      </w:pPr>
    </w:p>
    <w:p w:rsidR="00BA466D" w:rsidRPr="000B3846" w:rsidRDefault="00BA466D" w:rsidP="00BA466D">
      <w:pPr>
        <w:pStyle w:val="Default"/>
        <w:numPr>
          <w:ilvl w:val="0"/>
          <w:numId w:val="7"/>
        </w:numPr>
        <w:jc w:val="both"/>
        <w:rPr>
          <w:rFonts w:ascii="Verdana" w:hAnsi="Verdana"/>
          <w:sz w:val="20"/>
          <w:szCs w:val="20"/>
        </w:rPr>
      </w:pPr>
      <w:r w:rsidRPr="00180D2C">
        <w:rPr>
          <w:rFonts w:ascii="Verdana" w:hAnsi="Verdana"/>
          <w:sz w:val="20"/>
          <w:szCs w:val="20"/>
        </w:rPr>
        <w:t>En</w:t>
      </w:r>
      <w:r w:rsidRPr="000B3846">
        <w:rPr>
          <w:rFonts w:ascii="Verdana" w:hAnsi="Verdana"/>
          <w:sz w:val="20"/>
          <w:szCs w:val="20"/>
        </w:rPr>
        <w:t xml:space="preserve"> suma, el representante señal</w:t>
      </w:r>
      <w:r w:rsidR="0086169E">
        <w:rPr>
          <w:rFonts w:ascii="Verdana" w:hAnsi="Verdana"/>
          <w:sz w:val="20"/>
          <w:szCs w:val="20"/>
        </w:rPr>
        <w:t>ó</w:t>
      </w:r>
      <w:r w:rsidRPr="000B3846">
        <w:rPr>
          <w:rFonts w:ascii="Verdana" w:hAnsi="Verdana"/>
          <w:sz w:val="20"/>
          <w:szCs w:val="20"/>
        </w:rPr>
        <w:t xml:space="preserve"> que en los párrafos 107, 113, 114 y 115 de la Sentencia la Corte realiz</w:t>
      </w:r>
      <w:r w:rsidR="00E53A33">
        <w:rPr>
          <w:rFonts w:ascii="Verdana" w:hAnsi="Verdana"/>
          <w:sz w:val="20"/>
          <w:szCs w:val="20"/>
        </w:rPr>
        <w:t>ó</w:t>
      </w:r>
      <w:r w:rsidRPr="000B3846">
        <w:rPr>
          <w:rFonts w:ascii="Verdana" w:hAnsi="Verdana"/>
          <w:sz w:val="20"/>
          <w:szCs w:val="20"/>
        </w:rPr>
        <w:t xml:space="preserve"> </w:t>
      </w:r>
      <w:r w:rsidR="00E53A33">
        <w:rPr>
          <w:rFonts w:ascii="Verdana" w:hAnsi="Verdana"/>
          <w:sz w:val="20"/>
          <w:szCs w:val="20"/>
        </w:rPr>
        <w:t>“</w:t>
      </w:r>
      <w:r w:rsidRPr="000B3846">
        <w:rPr>
          <w:rFonts w:ascii="Verdana" w:hAnsi="Verdana"/>
          <w:sz w:val="20"/>
          <w:szCs w:val="20"/>
        </w:rPr>
        <w:t>una impropia constatación y valoración de los hechos</w:t>
      </w:r>
      <w:r w:rsidR="00E53A33">
        <w:rPr>
          <w:rFonts w:ascii="Verdana" w:hAnsi="Verdana"/>
          <w:sz w:val="20"/>
          <w:szCs w:val="20"/>
        </w:rPr>
        <w:t xml:space="preserve">” e </w:t>
      </w:r>
      <w:r w:rsidR="00693F5B">
        <w:rPr>
          <w:rFonts w:ascii="Verdana" w:hAnsi="Verdana"/>
          <w:sz w:val="20"/>
          <w:szCs w:val="20"/>
        </w:rPr>
        <w:t xml:space="preserve">hizo una </w:t>
      </w:r>
      <w:r w:rsidR="00895715">
        <w:rPr>
          <w:rFonts w:ascii="Verdana" w:hAnsi="Verdana"/>
          <w:sz w:val="20"/>
          <w:szCs w:val="20"/>
        </w:rPr>
        <w:t xml:space="preserve">indebida </w:t>
      </w:r>
      <w:r w:rsidR="00E53A33">
        <w:rPr>
          <w:rFonts w:ascii="Verdana" w:hAnsi="Verdana"/>
          <w:sz w:val="20"/>
          <w:szCs w:val="20"/>
        </w:rPr>
        <w:t>“</w:t>
      </w:r>
      <w:r w:rsidRPr="000B3846">
        <w:rPr>
          <w:rFonts w:ascii="Verdana" w:hAnsi="Verdana"/>
          <w:sz w:val="20"/>
          <w:szCs w:val="20"/>
        </w:rPr>
        <w:t>utilización de los principios lógicos del fallo y, por tal razón, incurre en error de juicio y vicio sustancial</w:t>
      </w:r>
      <w:r w:rsidR="00E53A33">
        <w:rPr>
          <w:rFonts w:ascii="Verdana" w:hAnsi="Verdana"/>
          <w:sz w:val="20"/>
          <w:szCs w:val="20"/>
        </w:rPr>
        <w:t>”. A juicio del representante</w:t>
      </w:r>
      <w:r w:rsidRPr="000B3846">
        <w:rPr>
          <w:rFonts w:ascii="Verdana" w:hAnsi="Verdana"/>
          <w:sz w:val="20"/>
          <w:szCs w:val="20"/>
        </w:rPr>
        <w:t>,</w:t>
      </w:r>
      <w:r w:rsidR="00180D2C">
        <w:rPr>
          <w:rFonts w:ascii="Verdana" w:hAnsi="Verdana"/>
          <w:sz w:val="20"/>
          <w:szCs w:val="20"/>
        </w:rPr>
        <w:t xml:space="preserve"> este supuesto error</w:t>
      </w:r>
      <w:r w:rsidRPr="000B3846">
        <w:rPr>
          <w:rFonts w:ascii="Verdana" w:hAnsi="Verdana"/>
          <w:sz w:val="20"/>
          <w:szCs w:val="20"/>
        </w:rPr>
        <w:t xml:space="preserve"> ha sido </w:t>
      </w:r>
      <w:r w:rsidR="00180D2C">
        <w:rPr>
          <w:rFonts w:ascii="Verdana" w:hAnsi="Verdana"/>
          <w:sz w:val="20"/>
          <w:szCs w:val="20"/>
        </w:rPr>
        <w:t>“</w:t>
      </w:r>
      <w:r w:rsidRPr="000B3846">
        <w:rPr>
          <w:rFonts w:ascii="Verdana" w:hAnsi="Verdana"/>
          <w:sz w:val="20"/>
          <w:szCs w:val="20"/>
        </w:rPr>
        <w:t>determinante, medular y decisivo para el establecimiento del monto diminuto</w:t>
      </w:r>
      <w:r w:rsidR="00180D2C">
        <w:rPr>
          <w:rFonts w:ascii="Verdana" w:hAnsi="Verdana"/>
          <w:sz w:val="20"/>
          <w:szCs w:val="20"/>
        </w:rPr>
        <w:t>” ordenado por</w:t>
      </w:r>
      <w:r w:rsidR="00501D36">
        <w:rPr>
          <w:rFonts w:ascii="Verdana" w:hAnsi="Verdana"/>
          <w:sz w:val="20"/>
          <w:szCs w:val="20"/>
        </w:rPr>
        <w:t xml:space="preserve"> </w:t>
      </w:r>
      <w:r w:rsidRPr="000B3846">
        <w:rPr>
          <w:rFonts w:ascii="Verdana" w:hAnsi="Verdana"/>
          <w:sz w:val="20"/>
          <w:szCs w:val="20"/>
        </w:rPr>
        <w:t>concepto de reparación del daño material.</w:t>
      </w:r>
      <w:r w:rsidR="00180D2C">
        <w:rPr>
          <w:rFonts w:ascii="Verdana" w:hAnsi="Verdana"/>
          <w:b/>
          <w:sz w:val="20"/>
          <w:szCs w:val="20"/>
        </w:rPr>
        <w:t xml:space="preserve"> </w:t>
      </w:r>
      <w:r w:rsidRPr="000B3846">
        <w:rPr>
          <w:rFonts w:ascii="Verdana" w:hAnsi="Verdana"/>
          <w:sz w:val="20"/>
          <w:szCs w:val="20"/>
        </w:rPr>
        <w:t>En consecuencia, el representante aleg</w:t>
      </w:r>
      <w:r>
        <w:rPr>
          <w:rFonts w:ascii="Verdana" w:hAnsi="Verdana"/>
          <w:sz w:val="20"/>
          <w:szCs w:val="20"/>
        </w:rPr>
        <w:t>ó</w:t>
      </w:r>
      <w:r w:rsidRPr="000B3846">
        <w:rPr>
          <w:rFonts w:ascii="Verdana" w:hAnsi="Verdana"/>
          <w:sz w:val="20"/>
          <w:szCs w:val="20"/>
        </w:rPr>
        <w:t xml:space="preserve"> que la Corte “no puede permitirse la anómala situación de dictar por error y/o vicio sustancial una Sentencia con manifiesto sentido contradictorio y controversial y que</w:t>
      </w:r>
      <w:r>
        <w:rPr>
          <w:rFonts w:ascii="Verdana" w:hAnsi="Verdana"/>
          <w:sz w:val="20"/>
          <w:szCs w:val="20"/>
        </w:rPr>
        <w:t>,</w:t>
      </w:r>
      <w:r w:rsidRPr="000B3846">
        <w:rPr>
          <w:rFonts w:ascii="Verdana" w:hAnsi="Verdana"/>
          <w:sz w:val="20"/>
          <w:szCs w:val="20"/>
        </w:rPr>
        <w:t xml:space="preserve"> adicionalmente</w:t>
      </w:r>
      <w:r>
        <w:rPr>
          <w:rFonts w:ascii="Verdana" w:hAnsi="Verdana"/>
          <w:sz w:val="20"/>
          <w:szCs w:val="20"/>
        </w:rPr>
        <w:t>,</w:t>
      </w:r>
      <w:r w:rsidRPr="000B3846">
        <w:rPr>
          <w:rFonts w:ascii="Verdana" w:hAnsi="Verdana"/>
          <w:sz w:val="20"/>
          <w:szCs w:val="20"/>
        </w:rPr>
        <w:t xml:space="preserve"> como consecuencia de ello</w:t>
      </w:r>
      <w:r>
        <w:rPr>
          <w:rFonts w:ascii="Verdana" w:hAnsi="Verdana"/>
          <w:sz w:val="20"/>
          <w:szCs w:val="20"/>
        </w:rPr>
        <w:t>,</w:t>
      </w:r>
      <w:r w:rsidRPr="000B3846">
        <w:rPr>
          <w:rFonts w:ascii="Verdana" w:hAnsi="Verdana"/>
          <w:sz w:val="20"/>
          <w:szCs w:val="20"/>
        </w:rPr>
        <w:t xml:space="preserve"> sea una Sentencia absolutamente injusta”, razón por la cual solicit</w:t>
      </w:r>
      <w:r w:rsidR="00180D2C">
        <w:rPr>
          <w:rFonts w:ascii="Verdana" w:hAnsi="Verdana"/>
          <w:sz w:val="20"/>
          <w:szCs w:val="20"/>
        </w:rPr>
        <w:t>ó</w:t>
      </w:r>
      <w:r w:rsidRPr="000B3846">
        <w:rPr>
          <w:rFonts w:ascii="Verdana" w:hAnsi="Verdana"/>
          <w:sz w:val="20"/>
          <w:szCs w:val="20"/>
        </w:rPr>
        <w:t xml:space="preserve"> al Tribunal </w:t>
      </w:r>
      <w:r w:rsidR="00180D2C">
        <w:rPr>
          <w:rFonts w:ascii="Verdana" w:hAnsi="Verdana"/>
          <w:sz w:val="20"/>
          <w:szCs w:val="20"/>
        </w:rPr>
        <w:t xml:space="preserve">interpretar </w:t>
      </w:r>
      <w:r w:rsidRPr="000B3846">
        <w:rPr>
          <w:rFonts w:ascii="Verdana" w:hAnsi="Verdana"/>
          <w:sz w:val="20"/>
          <w:szCs w:val="20"/>
        </w:rPr>
        <w:t>“el alcance y el sentido definitivos que eventualmente tendrían el párrafo 115 y el punto resolutivo 5 de la Sentencia de este caso”.</w:t>
      </w:r>
    </w:p>
    <w:p w:rsidR="00BA466D" w:rsidRDefault="00BA466D" w:rsidP="00B02D69">
      <w:pPr>
        <w:pStyle w:val="Prrafodelista"/>
        <w:spacing w:before="240"/>
        <w:rPr>
          <w:szCs w:val="20"/>
          <w:highlight w:val="yellow"/>
        </w:rPr>
      </w:pPr>
    </w:p>
    <w:p w:rsidR="00BD52B2" w:rsidRPr="00D834B0" w:rsidRDefault="002433B5" w:rsidP="00B02D69">
      <w:pPr>
        <w:pStyle w:val="Prrafodelista1"/>
        <w:numPr>
          <w:ilvl w:val="0"/>
          <w:numId w:val="7"/>
        </w:numPr>
        <w:spacing w:before="240"/>
        <w:rPr>
          <w:szCs w:val="20"/>
          <w:lang w:val="es-ES"/>
        </w:rPr>
      </w:pPr>
      <w:r w:rsidRPr="00D834B0">
        <w:rPr>
          <w:szCs w:val="20"/>
        </w:rPr>
        <w:lastRenderedPageBreak/>
        <w:t>E</w:t>
      </w:r>
      <w:r w:rsidR="00AD51E4" w:rsidRPr="00D834B0">
        <w:rPr>
          <w:szCs w:val="20"/>
        </w:rPr>
        <w:t xml:space="preserve">l Estado </w:t>
      </w:r>
      <w:r w:rsidR="008A6F3C" w:rsidRPr="00D834B0">
        <w:rPr>
          <w:szCs w:val="20"/>
        </w:rPr>
        <w:t>indicó</w:t>
      </w:r>
      <w:r w:rsidR="00AD51E4" w:rsidRPr="00D834B0">
        <w:rPr>
          <w:szCs w:val="20"/>
        </w:rPr>
        <w:t xml:space="preserve"> que el peritaje presentado como medio probatorio no fue desvirtuado</w:t>
      </w:r>
      <w:r w:rsidR="00D30EF2" w:rsidRPr="00D30EF2">
        <w:rPr>
          <w:szCs w:val="20"/>
        </w:rPr>
        <w:t xml:space="preserve"> </w:t>
      </w:r>
      <w:r w:rsidR="00555F90" w:rsidRPr="00D834B0">
        <w:rPr>
          <w:szCs w:val="20"/>
        </w:rPr>
        <w:t>por el representante</w:t>
      </w:r>
      <w:r w:rsidR="0083706C" w:rsidRPr="00D834B0">
        <w:rPr>
          <w:szCs w:val="20"/>
        </w:rPr>
        <w:t>.</w:t>
      </w:r>
      <w:r w:rsidR="00AD51E4" w:rsidRPr="00D834B0">
        <w:rPr>
          <w:szCs w:val="20"/>
        </w:rPr>
        <w:t xml:space="preserve"> </w:t>
      </w:r>
      <w:r w:rsidR="0083706C" w:rsidRPr="00D834B0">
        <w:rPr>
          <w:szCs w:val="20"/>
        </w:rPr>
        <w:t>E</w:t>
      </w:r>
      <w:r w:rsidR="00AD51E4" w:rsidRPr="00D834B0">
        <w:rPr>
          <w:szCs w:val="20"/>
        </w:rPr>
        <w:t xml:space="preserve">n consecuencia, sostuvo que </w:t>
      </w:r>
      <w:r w:rsidR="0033783D" w:rsidRPr="00D834B0">
        <w:rPr>
          <w:szCs w:val="20"/>
        </w:rPr>
        <w:t xml:space="preserve">la Corte fue clara al </w:t>
      </w:r>
      <w:r w:rsidR="002E7A96" w:rsidRPr="00D834B0">
        <w:rPr>
          <w:szCs w:val="20"/>
        </w:rPr>
        <w:t>señalar</w:t>
      </w:r>
      <w:r w:rsidR="00D30EF2" w:rsidRPr="00D30EF2">
        <w:rPr>
          <w:szCs w:val="20"/>
        </w:rPr>
        <w:t xml:space="preserve"> </w:t>
      </w:r>
      <w:r w:rsidR="0033783D" w:rsidRPr="00D834B0">
        <w:rPr>
          <w:szCs w:val="20"/>
        </w:rPr>
        <w:t>que “el representante no objetó la derogación del sistema de ratios salariales, sino la aplicación de una norma que, retroactivamente, dejó sin efecto dicho sistema”</w:t>
      </w:r>
      <w:r w:rsidR="00E3731F" w:rsidRPr="00D834B0">
        <w:rPr>
          <w:szCs w:val="20"/>
        </w:rPr>
        <w:t>.</w:t>
      </w:r>
      <w:r w:rsidR="00E3731F" w:rsidRPr="00D834B0">
        <w:rPr>
          <w:b/>
          <w:szCs w:val="20"/>
        </w:rPr>
        <w:t xml:space="preserve"> </w:t>
      </w:r>
      <w:r w:rsidR="00E73832" w:rsidRPr="00D834B0">
        <w:t>E</w:t>
      </w:r>
      <w:r w:rsidR="00BD52B2" w:rsidRPr="00D834B0">
        <w:t xml:space="preserve">l Estado </w:t>
      </w:r>
      <w:r w:rsidR="00E73832" w:rsidRPr="00D834B0">
        <w:t>consideró</w:t>
      </w:r>
      <w:r w:rsidR="007E5602" w:rsidRPr="00D834B0">
        <w:rPr>
          <w:szCs w:val="20"/>
        </w:rPr>
        <w:t xml:space="preserve"> que la</w:t>
      </w:r>
      <w:r w:rsidR="00BD52B2" w:rsidRPr="00D834B0">
        <w:rPr>
          <w:szCs w:val="20"/>
        </w:rPr>
        <w:t xml:space="preserve"> Corte </w:t>
      </w:r>
      <w:r w:rsidR="007E5602" w:rsidRPr="00D834B0">
        <w:rPr>
          <w:szCs w:val="20"/>
        </w:rPr>
        <w:t>“</w:t>
      </w:r>
      <w:r w:rsidR="00BD52B2" w:rsidRPr="00D834B0">
        <w:rPr>
          <w:szCs w:val="20"/>
        </w:rPr>
        <w:t>ha analizado debidamente los medios probatorios que se le proporcionaron</w:t>
      </w:r>
      <w:r w:rsidR="007E5602" w:rsidRPr="00D834B0">
        <w:rPr>
          <w:szCs w:val="20"/>
        </w:rPr>
        <w:t xml:space="preserve"> </w:t>
      </w:r>
      <w:r w:rsidR="007E5602" w:rsidRPr="00D834B0">
        <w:rPr>
          <w:bCs/>
          <w:szCs w:val="20"/>
        </w:rPr>
        <w:t>[y]</w:t>
      </w:r>
      <w:r w:rsidR="00174226" w:rsidRPr="00D834B0">
        <w:rPr>
          <w:bCs/>
          <w:szCs w:val="20"/>
        </w:rPr>
        <w:t xml:space="preserve"> </w:t>
      </w:r>
      <w:proofErr w:type="spellStart"/>
      <w:r w:rsidR="007E5602" w:rsidRPr="00D834B0">
        <w:rPr>
          <w:szCs w:val="20"/>
        </w:rPr>
        <w:t>decidi</w:t>
      </w:r>
      <w:proofErr w:type="spellEnd"/>
      <w:r w:rsidR="007E5602" w:rsidRPr="00D834B0">
        <w:rPr>
          <w:bCs/>
          <w:szCs w:val="20"/>
        </w:rPr>
        <w:t>[ó]</w:t>
      </w:r>
      <w:r w:rsidR="007E5602" w:rsidRPr="00D834B0">
        <w:rPr>
          <w:szCs w:val="20"/>
        </w:rPr>
        <w:t xml:space="preserve"> </w:t>
      </w:r>
      <w:r w:rsidR="00BD52B2" w:rsidRPr="00D834B0">
        <w:rPr>
          <w:szCs w:val="20"/>
        </w:rPr>
        <w:t>conforme a los principios y atribuciones otorgados a ella”</w:t>
      </w:r>
      <w:r w:rsidR="007E5602" w:rsidRPr="00D834B0">
        <w:rPr>
          <w:szCs w:val="20"/>
        </w:rPr>
        <w:t>.</w:t>
      </w:r>
    </w:p>
    <w:p w:rsidR="005B3290" w:rsidRPr="000B3846" w:rsidRDefault="005B3290" w:rsidP="00B02D69">
      <w:pPr>
        <w:pStyle w:val="Default"/>
        <w:spacing w:before="240"/>
        <w:jc w:val="both"/>
        <w:rPr>
          <w:rFonts w:ascii="Verdana" w:hAnsi="Verdana"/>
          <w:sz w:val="20"/>
          <w:szCs w:val="20"/>
        </w:rPr>
      </w:pPr>
    </w:p>
    <w:p w:rsidR="00893961" w:rsidRPr="00150206" w:rsidRDefault="00893961" w:rsidP="003A5A6F">
      <w:pPr>
        <w:spacing w:before="240" w:afterLines="40" w:after="96"/>
        <w:rPr>
          <w:i/>
          <w:strike/>
        </w:rPr>
      </w:pPr>
      <w:r w:rsidRPr="00150206">
        <w:rPr>
          <w:i/>
        </w:rPr>
        <w:t>Consideraciones de la Corte</w:t>
      </w:r>
    </w:p>
    <w:p w:rsidR="00F41485" w:rsidRDefault="00F41485" w:rsidP="003A5A6F">
      <w:pPr>
        <w:widowControl w:val="0"/>
        <w:autoSpaceDE w:val="0"/>
        <w:autoSpaceDN w:val="0"/>
        <w:adjustRightInd w:val="0"/>
        <w:spacing w:before="240" w:afterLines="40" w:after="96"/>
        <w:rPr>
          <w:lang w:val="es-CO"/>
        </w:rPr>
      </w:pPr>
    </w:p>
    <w:p w:rsidR="00262BFC" w:rsidRPr="005209B2" w:rsidRDefault="00B0128A" w:rsidP="003A5A6F">
      <w:pPr>
        <w:widowControl w:val="0"/>
        <w:numPr>
          <w:ilvl w:val="0"/>
          <w:numId w:val="7"/>
        </w:numPr>
        <w:autoSpaceDE w:val="0"/>
        <w:autoSpaceDN w:val="0"/>
        <w:adjustRightInd w:val="0"/>
        <w:spacing w:afterLines="40" w:after="96"/>
        <w:rPr>
          <w:lang w:val="es-CO"/>
        </w:rPr>
      </w:pPr>
      <w:r>
        <w:rPr>
          <w:lang w:val="es-CR"/>
        </w:rPr>
        <w:t>L</w:t>
      </w:r>
      <w:r w:rsidR="003B7640" w:rsidRPr="005209B2">
        <w:rPr>
          <w:lang w:val="es-CR"/>
        </w:rPr>
        <w:t>a Corte resalta que, de conformidad con el artículo 63.1 de la Convención Americana, cuenta con facultades inherentes para ordenar reparaciones y</w:t>
      </w:r>
      <w:r w:rsidR="00DF29BE" w:rsidRPr="005209B2">
        <w:rPr>
          <w:lang w:val="es-CR"/>
        </w:rPr>
        <w:t>,</w:t>
      </w:r>
      <w:r w:rsidR="003B7640" w:rsidRPr="005209B2">
        <w:rPr>
          <w:lang w:val="es-CR"/>
        </w:rPr>
        <w:t xml:space="preserve"> en específico</w:t>
      </w:r>
      <w:r w:rsidR="00DF29BE" w:rsidRPr="005209B2">
        <w:rPr>
          <w:lang w:val="es-CR"/>
        </w:rPr>
        <w:t>,</w:t>
      </w:r>
      <w:r w:rsidR="003B7640" w:rsidRPr="005209B2">
        <w:rPr>
          <w:lang w:val="es-CR"/>
        </w:rPr>
        <w:t xml:space="preserve"> determinar el pago de una justa indemnización a la parte lesionada</w:t>
      </w:r>
      <w:r w:rsidR="006333BC" w:rsidRPr="005209B2">
        <w:rPr>
          <w:rStyle w:val="Refdenotaalpie"/>
          <w:lang w:val="es-CR"/>
        </w:rPr>
        <w:footnoteReference w:id="5"/>
      </w:r>
      <w:r w:rsidR="003B7640" w:rsidRPr="005209B2">
        <w:rPr>
          <w:lang w:val="es-CR"/>
        </w:rPr>
        <w:t>. Así, la Corte fue clara en establecer detalladamente los elementos de prueba que fueron valorados y los criterios específicos desarrollados por el Tribunal en el presente caso. Asimismo, con base en</w:t>
      </w:r>
      <w:r w:rsidR="00B04536" w:rsidRPr="005209B2">
        <w:rPr>
          <w:lang w:val="es-CR"/>
        </w:rPr>
        <w:t xml:space="preserve"> una </w:t>
      </w:r>
      <w:proofErr w:type="spellStart"/>
      <w:r w:rsidR="00B04536" w:rsidRPr="005209B2">
        <w:rPr>
          <w:lang w:val="es-CR"/>
        </w:rPr>
        <w:t>cotejación</w:t>
      </w:r>
      <w:proofErr w:type="spellEnd"/>
      <w:r w:rsidR="00B04536" w:rsidRPr="005209B2">
        <w:rPr>
          <w:lang w:val="es-CR"/>
        </w:rPr>
        <w:t xml:space="preserve"> de la información disponible en el expediente, así como utilizando criterios de equidad, </w:t>
      </w:r>
      <w:r w:rsidR="003B7640" w:rsidRPr="005209B2">
        <w:rPr>
          <w:lang w:val="es-CR"/>
        </w:rPr>
        <w:t xml:space="preserve">determinó el monto </w:t>
      </w:r>
      <w:r w:rsidR="00B04536" w:rsidRPr="005209B2">
        <w:rPr>
          <w:lang w:val="es-CR"/>
        </w:rPr>
        <w:t>del daño material correspondiente.</w:t>
      </w:r>
      <w:r w:rsidR="00262BFC" w:rsidRPr="005209B2">
        <w:rPr>
          <w:lang w:val="es-CR"/>
        </w:rPr>
        <w:t xml:space="preserve"> </w:t>
      </w:r>
      <w:r w:rsidR="00262BFC" w:rsidRPr="005209B2">
        <w:rPr>
          <w:szCs w:val="20"/>
          <w:lang w:val="es-ES"/>
        </w:rPr>
        <w:t xml:space="preserve">La Corte tuvo en cuenta la especial complejidad de este cálculo e hizo una ponderación </w:t>
      </w:r>
      <w:r w:rsidR="00262BFC" w:rsidRPr="005209B2">
        <w:rPr>
          <w:i/>
          <w:szCs w:val="20"/>
          <w:lang w:val="es-ES"/>
        </w:rPr>
        <w:t xml:space="preserve">in extenso </w:t>
      </w:r>
      <w:r w:rsidR="00262BFC" w:rsidRPr="005209B2">
        <w:rPr>
          <w:szCs w:val="20"/>
          <w:lang w:val="es-ES"/>
        </w:rPr>
        <w:t xml:space="preserve">sobre la prueba, en orden a cerrar definitivamente una controversia entre las partes que llevaba más de ocho años. </w:t>
      </w:r>
    </w:p>
    <w:p w:rsidR="00F41485" w:rsidRDefault="00F41485" w:rsidP="003A5A6F">
      <w:pPr>
        <w:pStyle w:val="Body1"/>
        <w:spacing w:afterLines="40" w:after="96"/>
        <w:jc w:val="both"/>
        <w:rPr>
          <w:rFonts w:ascii="Verdana" w:hAnsi="Verdana"/>
          <w:sz w:val="20"/>
          <w:lang w:val="es-CR"/>
        </w:rPr>
      </w:pPr>
    </w:p>
    <w:p w:rsidR="003B7640" w:rsidRPr="00A22220" w:rsidRDefault="00352EF8" w:rsidP="003A5A6F">
      <w:pPr>
        <w:pStyle w:val="Body1"/>
        <w:numPr>
          <w:ilvl w:val="0"/>
          <w:numId w:val="7"/>
        </w:numPr>
        <w:spacing w:afterLines="40" w:after="96"/>
        <w:jc w:val="both"/>
        <w:rPr>
          <w:rFonts w:ascii="Verdana" w:hAnsi="Verdana"/>
          <w:sz w:val="20"/>
          <w:lang w:val="es-CR"/>
        </w:rPr>
      </w:pPr>
      <w:r w:rsidRPr="00A22220">
        <w:rPr>
          <w:rFonts w:ascii="Verdana" w:hAnsi="Verdana"/>
          <w:sz w:val="20"/>
          <w:lang w:val="es-CR"/>
        </w:rPr>
        <w:t>Al respecto, tal como lo señaló el representante, la Corte precisó que el Estado había señalado que la reestructuración salarial no había tenido el efecto de absorber a los incrementos generados por l</w:t>
      </w:r>
      <w:r w:rsidR="00D834B0">
        <w:rPr>
          <w:rFonts w:ascii="Verdana" w:hAnsi="Verdana"/>
          <w:sz w:val="20"/>
          <w:lang w:val="es-CR"/>
        </w:rPr>
        <w:t>a</w:t>
      </w:r>
      <w:r w:rsidRPr="00A22220">
        <w:rPr>
          <w:rFonts w:ascii="Verdana" w:hAnsi="Verdana"/>
          <w:sz w:val="20"/>
          <w:lang w:val="es-CR"/>
        </w:rPr>
        <w:t>s ratios salariales. Sin embargo, además de este alegato, el Tribunal tuvo en cuenta otros alegatos y otros elementos de prueba.</w:t>
      </w:r>
      <w:r w:rsidRPr="00A22220">
        <w:rPr>
          <w:rFonts w:ascii="Verdana" w:hAnsi="Verdana"/>
          <w:sz w:val="20"/>
          <w:lang w:val="es-CO"/>
        </w:rPr>
        <w:t xml:space="preserve"> </w:t>
      </w:r>
      <w:r w:rsidR="00262BFC" w:rsidRPr="00A22220">
        <w:rPr>
          <w:rFonts w:ascii="Verdana" w:hAnsi="Verdana"/>
          <w:sz w:val="20"/>
          <w:lang w:val="es-CR"/>
        </w:rPr>
        <w:t>Asimismo, la Corte no trasladó en forma arbitraria la carga de la prueba al representante. Por el contrario, el Tribunal reiteró su jurisprudencia constante en el sentido que cada parte tiene la carga de argumentar con precisión los alcances que busca darle a la prueba que presenta. En suma, e</w:t>
      </w:r>
      <w:r w:rsidR="003B7640" w:rsidRPr="00A22220">
        <w:rPr>
          <w:rFonts w:ascii="Verdana" w:hAnsi="Verdana"/>
          <w:sz w:val="20"/>
          <w:lang w:val="es-CR"/>
        </w:rPr>
        <w:t xml:space="preserve">l Tribunal advierte que </w:t>
      </w:r>
      <w:r w:rsidR="00B04536" w:rsidRPr="00A22220">
        <w:rPr>
          <w:rFonts w:ascii="Verdana" w:hAnsi="Verdana"/>
          <w:sz w:val="20"/>
          <w:lang w:val="es-CR"/>
        </w:rPr>
        <w:t>el alegado error que señala el representante</w:t>
      </w:r>
      <w:r w:rsidR="00902644" w:rsidRPr="00A22220">
        <w:rPr>
          <w:rFonts w:ascii="Verdana" w:hAnsi="Verdana"/>
          <w:sz w:val="20"/>
          <w:lang w:val="es-CR"/>
        </w:rPr>
        <w:t xml:space="preserve">, más que una solicitud de interpretación </w:t>
      </w:r>
      <w:r w:rsidR="00FF4FA7" w:rsidRPr="00A22220">
        <w:rPr>
          <w:rFonts w:ascii="Verdana" w:hAnsi="Verdana"/>
          <w:sz w:val="20"/>
          <w:lang w:val="es-CR"/>
        </w:rPr>
        <w:t>propiamente como</w:t>
      </w:r>
      <w:r w:rsidR="00902644" w:rsidRPr="00A22220">
        <w:rPr>
          <w:rFonts w:ascii="Verdana" w:hAnsi="Verdana"/>
          <w:sz w:val="20"/>
          <w:lang w:val="es-CR"/>
        </w:rPr>
        <w:t xml:space="preserve"> tal,</w:t>
      </w:r>
      <w:r w:rsidR="00B04536" w:rsidRPr="00A22220">
        <w:rPr>
          <w:rFonts w:ascii="Verdana" w:hAnsi="Verdana"/>
          <w:sz w:val="20"/>
          <w:lang w:val="es-CR"/>
        </w:rPr>
        <w:t xml:space="preserve"> se relaciona con </w:t>
      </w:r>
      <w:r w:rsidR="003B7640" w:rsidRPr="00A22220">
        <w:rPr>
          <w:rFonts w:ascii="Verdana" w:hAnsi="Verdana"/>
          <w:sz w:val="20"/>
          <w:lang w:val="es-CR"/>
        </w:rPr>
        <w:t xml:space="preserve">su inconformidad </w:t>
      </w:r>
      <w:r w:rsidR="00B04536" w:rsidRPr="00A22220">
        <w:rPr>
          <w:rFonts w:ascii="Verdana" w:hAnsi="Verdana"/>
          <w:sz w:val="20"/>
          <w:lang w:val="es-CR"/>
        </w:rPr>
        <w:t>con la valoración de prueba desarrollada por la Corte</w:t>
      </w:r>
      <w:r w:rsidR="00FF4FA7" w:rsidRPr="00A22220">
        <w:rPr>
          <w:rFonts w:ascii="Verdana" w:hAnsi="Verdana"/>
          <w:sz w:val="20"/>
          <w:lang w:val="es-CR"/>
        </w:rPr>
        <w:t>, a la luz de lo que había sido acompañado al expediente y argumentado al respecto,</w:t>
      </w:r>
      <w:r w:rsidR="00902644" w:rsidRPr="00A22220">
        <w:rPr>
          <w:rFonts w:ascii="Verdana" w:hAnsi="Verdana"/>
          <w:sz w:val="20"/>
          <w:lang w:val="es-CR"/>
        </w:rPr>
        <w:t xml:space="preserve"> así como </w:t>
      </w:r>
      <w:r w:rsidR="00262BFC" w:rsidRPr="00A22220">
        <w:rPr>
          <w:rFonts w:ascii="Verdana" w:hAnsi="Verdana"/>
          <w:sz w:val="20"/>
          <w:lang w:val="es-CR"/>
        </w:rPr>
        <w:t xml:space="preserve">por </w:t>
      </w:r>
      <w:r w:rsidR="003B7640" w:rsidRPr="00A22220">
        <w:rPr>
          <w:rFonts w:ascii="Verdana" w:hAnsi="Verdana"/>
          <w:sz w:val="20"/>
          <w:lang w:val="es-CR"/>
        </w:rPr>
        <w:t xml:space="preserve">no haber tomado como determinante el peritaje ofrecido por </w:t>
      </w:r>
      <w:r w:rsidR="00262BFC" w:rsidRPr="00A22220">
        <w:rPr>
          <w:rFonts w:ascii="Verdana" w:hAnsi="Verdana"/>
          <w:sz w:val="20"/>
          <w:lang w:val="es-CR"/>
        </w:rPr>
        <w:t>el representante</w:t>
      </w:r>
      <w:r w:rsidR="003B7640" w:rsidRPr="00A22220">
        <w:rPr>
          <w:rFonts w:ascii="Verdana" w:hAnsi="Verdana"/>
          <w:sz w:val="20"/>
          <w:lang w:val="es-CR"/>
        </w:rPr>
        <w:t>.</w:t>
      </w:r>
      <w:r w:rsidR="00F24620" w:rsidRPr="00A22220">
        <w:rPr>
          <w:rFonts w:ascii="Verdana" w:hAnsi="Verdana"/>
          <w:sz w:val="20"/>
          <w:lang w:val="es-CR"/>
        </w:rPr>
        <w:t xml:space="preserve"> Mientras que el representante señala que su peritaje no fue controvertido, </w:t>
      </w:r>
      <w:r w:rsidR="00B65AE4" w:rsidRPr="00A22220">
        <w:rPr>
          <w:rFonts w:ascii="Verdana" w:hAnsi="Verdana"/>
          <w:sz w:val="20"/>
          <w:lang w:val="es-CR"/>
        </w:rPr>
        <w:t>el Tribunal precisó las razones por las cuales le consideraba insuficiente en relación con la controversia en torno a la determinación del cálculo del daño material.</w:t>
      </w:r>
      <w:r w:rsidR="003B7640" w:rsidRPr="00A22220">
        <w:rPr>
          <w:rFonts w:ascii="Verdana" w:hAnsi="Verdana"/>
          <w:sz w:val="20"/>
          <w:lang w:val="es-CR"/>
        </w:rPr>
        <w:t xml:space="preserve"> Asimismo, </w:t>
      </w:r>
      <w:r w:rsidR="007F6640">
        <w:rPr>
          <w:rFonts w:ascii="Verdana" w:hAnsi="Verdana"/>
          <w:sz w:val="20"/>
          <w:lang w:val="es-CR"/>
        </w:rPr>
        <w:t xml:space="preserve">el representante </w:t>
      </w:r>
      <w:r w:rsidR="003B7640" w:rsidRPr="00A22220">
        <w:rPr>
          <w:rFonts w:ascii="Verdana" w:hAnsi="Verdana"/>
          <w:sz w:val="20"/>
          <w:lang w:val="es-CR"/>
        </w:rPr>
        <w:t xml:space="preserve">pretende que el Tribunal valore nuevamente cuestiones que ya han sido resueltas por éste en su Sentencia para fijar el monto </w:t>
      </w:r>
      <w:r w:rsidR="00262BFC" w:rsidRPr="00A22220">
        <w:rPr>
          <w:rFonts w:ascii="Verdana" w:hAnsi="Verdana"/>
          <w:sz w:val="20"/>
          <w:lang w:val="es-CR"/>
        </w:rPr>
        <w:t>del daño material</w:t>
      </w:r>
      <w:r w:rsidR="003B7640" w:rsidRPr="00A22220">
        <w:rPr>
          <w:rFonts w:ascii="Verdana" w:hAnsi="Verdana"/>
          <w:sz w:val="20"/>
          <w:lang w:val="es-CR"/>
        </w:rPr>
        <w:t>. Al respecto, la Corte ha sostenido la improcedencia de</w:t>
      </w:r>
      <w:r w:rsidR="00E5165A" w:rsidRPr="00A22220">
        <w:rPr>
          <w:rFonts w:ascii="Verdana" w:hAnsi="Verdana"/>
          <w:sz w:val="20"/>
          <w:lang w:val="es-CR"/>
        </w:rPr>
        <w:t xml:space="preserve"> utilizar una solicitud de interpretación para</w:t>
      </w:r>
      <w:r w:rsidR="003B7640" w:rsidRPr="00A22220">
        <w:rPr>
          <w:rFonts w:ascii="Verdana" w:hAnsi="Verdana"/>
          <w:sz w:val="20"/>
          <w:lang w:val="es-CR"/>
        </w:rPr>
        <w:t xml:space="preserve"> re</w:t>
      </w:r>
      <w:r w:rsidR="00E5165A" w:rsidRPr="00A22220">
        <w:rPr>
          <w:rFonts w:ascii="Verdana" w:hAnsi="Verdana"/>
          <w:sz w:val="20"/>
          <w:lang w:val="es-CR"/>
        </w:rPr>
        <w:t>e</w:t>
      </w:r>
      <w:r w:rsidR="003B7640" w:rsidRPr="00A22220">
        <w:rPr>
          <w:rFonts w:ascii="Verdana" w:hAnsi="Verdana"/>
          <w:sz w:val="20"/>
          <w:lang w:val="es-CR"/>
        </w:rPr>
        <w:t>valuar cuestiones de hecho y de derecho que ya fueron planteadas en su oportunidad procesal y sobre las cuales el Tribunal adoptó una decisión</w:t>
      </w:r>
      <w:r w:rsidR="00E5165A" w:rsidRPr="000A40BE">
        <w:rPr>
          <w:rStyle w:val="Refdenotaalpie"/>
        </w:rPr>
        <w:footnoteReference w:id="6"/>
      </w:r>
      <w:r w:rsidR="003B7640" w:rsidRPr="00A22220">
        <w:rPr>
          <w:rFonts w:ascii="Verdana" w:hAnsi="Verdana"/>
          <w:sz w:val="20"/>
          <w:lang w:val="es-CR"/>
        </w:rPr>
        <w:t>.</w:t>
      </w:r>
    </w:p>
    <w:p w:rsidR="003B7640" w:rsidRPr="00B40A29" w:rsidRDefault="003B7640" w:rsidP="003A5A6F">
      <w:pPr>
        <w:spacing w:afterLines="40" w:after="96"/>
        <w:rPr>
          <w:szCs w:val="20"/>
          <w:lang w:val="es-CR"/>
        </w:rPr>
      </w:pPr>
    </w:p>
    <w:p w:rsidR="003B7640" w:rsidRPr="00147FA1" w:rsidRDefault="00262BFC" w:rsidP="003A5A6F">
      <w:pPr>
        <w:pStyle w:val="Body1"/>
        <w:numPr>
          <w:ilvl w:val="0"/>
          <w:numId w:val="7"/>
        </w:numPr>
        <w:spacing w:afterLines="40" w:after="96"/>
        <w:jc w:val="both"/>
        <w:rPr>
          <w:rFonts w:ascii="Verdana" w:hAnsi="Verdana"/>
          <w:sz w:val="20"/>
          <w:lang w:val="es-CR"/>
        </w:rPr>
      </w:pPr>
      <w:r>
        <w:rPr>
          <w:rFonts w:ascii="Verdana" w:hAnsi="Verdana"/>
          <w:sz w:val="20"/>
          <w:lang w:val="es-CR"/>
        </w:rPr>
        <w:t xml:space="preserve">En razón de lo anterior, la solicitud de interpretación </w:t>
      </w:r>
      <w:r w:rsidR="003B7640" w:rsidRPr="00B40A29">
        <w:rPr>
          <w:rFonts w:ascii="Verdana" w:hAnsi="Verdana"/>
          <w:sz w:val="20"/>
          <w:lang w:val="es-CR"/>
        </w:rPr>
        <w:t xml:space="preserve">es improcedente en función a que la Sentencia es clara en cuanto a los elementos que </w:t>
      </w:r>
      <w:r w:rsidR="003B7640" w:rsidRPr="00A71AF6">
        <w:rPr>
          <w:rFonts w:ascii="Verdana" w:hAnsi="Verdana"/>
          <w:sz w:val="20"/>
          <w:lang w:val="es-CR"/>
        </w:rPr>
        <w:t xml:space="preserve">fueron valorados para determinar el monto </w:t>
      </w:r>
      <w:r>
        <w:rPr>
          <w:rFonts w:ascii="Verdana" w:hAnsi="Verdana"/>
          <w:sz w:val="20"/>
          <w:lang w:val="es-CR"/>
        </w:rPr>
        <w:t>del daño material</w:t>
      </w:r>
      <w:r w:rsidR="003B7640" w:rsidRPr="00A71AF6">
        <w:rPr>
          <w:rFonts w:ascii="Verdana" w:hAnsi="Verdana"/>
          <w:sz w:val="20"/>
          <w:lang w:val="es-CR"/>
        </w:rPr>
        <w:t xml:space="preserve">, y el Tribunal considera que el </w:t>
      </w:r>
      <w:r>
        <w:rPr>
          <w:rFonts w:ascii="Verdana" w:hAnsi="Verdana"/>
          <w:sz w:val="20"/>
          <w:lang w:val="es-CR"/>
        </w:rPr>
        <w:t xml:space="preserve">representante </w:t>
      </w:r>
      <w:r w:rsidR="003B7640" w:rsidRPr="00A71AF6">
        <w:rPr>
          <w:rFonts w:ascii="Verdana" w:hAnsi="Verdana"/>
          <w:sz w:val="20"/>
          <w:lang w:val="es-CR"/>
        </w:rPr>
        <w:t>pretende re</w:t>
      </w:r>
      <w:r w:rsidR="00087B28">
        <w:rPr>
          <w:rFonts w:ascii="Verdana" w:hAnsi="Verdana"/>
          <w:sz w:val="20"/>
          <w:lang w:val="es-CR"/>
        </w:rPr>
        <w:t>e</w:t>
      </w:r>
      <w:r w:rsidR="003B7640" w:rsidRPr="00A71AF6">
        <w:rPr>
          <w:rFonts w:ascii="Verdana" w:hAnsi="Verdana"/>
          <w:sz w:val="20"/>
          <w:lang w:val="es-CR"/>
        </w:rPr>
        <w:t>valuar cuestiones que han sido resueltas por la Corte, sin que exista la posibilidad de que el fallo sea modificado o ampliado</w:t>
      </w:r>
      <w:r w:rsidR="003B7640" w:rsidRPr="006C7121">
        <w:rPr>
          <w:rFonts w:ascii="Verdana" w:hAnsi="Verdana"/>
          <w:sz w:val="20"/>
          <w:vertAlign w:val="superscript"/>
        </w:rPr>
        <w:footnoteReference w:id="7"/>
      </w:r>
      <w:r w:rsidR="003B7640" w:rsidRPr="006C7121">
        <w:rPr>
          <w:rFonts w:ascii="Verdana" w:hAnsi="Verdana"/>
          <w:sz w:val="20"/>
          <w:lang w:val="es-CR"/>
        </w:rPr>
        <w:t>,</w:t>
      </w:r>
      <w:r w:rsidR="003B7640">
        <w:rPr>
          <w:rFonts w:ascii="Verdana" w:hAnsi="Verdana"/>
          <w:sz w:val="20"/>
          <w:lang w:val="es-CR"/>
        </w:rPr>
        <w:t xml:space="preserve"> de conformidad con los</w:t>
      </w:r>
      <w:r w:rsidR="003B7640" w:rsidRPr="00A71AF6">
        <w:rPr>
          <w:rFonts w:ascii="Verdana" w:hAnsi="Verdana"/>
          <w:sz w:val="20"/>
          <w:lang w:val="es-CR"/>
        </w:rPr>
        <w:t xml:space="preserve"> artículo</w:t>
      </w:r>
      <w:r w:rsidR="003B7640">
        <w:rPr>
          <w:rFonts w:ascii="Verdana" w:hAnsi="Verdana"/>
          <w:sz w:val="20"/>
          <w:lang w:val="es-CR"/>
        </w:rPr>
        <w:t>s</w:t>
      </w:r>
      <w:r w:rsidR="003B7640" w:rsidRPr="00A71AF6">
        <w:rPr>
          <w:rFonts w:ascii="Verdana" w:hAnsi="Verdana"/>
          <w:sz w:val="20"/>
          <w:lang w:val="es-CR"/>
        </w:rPr>
        <w:t xml:space="preserve"> 67 de la Convención Americana y 31.3 y 68 de</w:t>
      </w:r>
      <w:r w:rsidR="00E40688">
        <w:rPr>
          <w:rFonts w:ascii="Verdana" w:hAnsi="Verdana"/>
          <w:sz w:val="20"/>
          <w:lang w:val="es-CR"/>
        </w:rPr>
        <w:t>l</w:t>
      </w:r>
      <w:r w:rsidR="003B7640" w:rsidRPr="00A71AF6">
        <w:rPr>
          <w:rFonts w:ascii="Verdana" w:hAnsi="Verdana"/>
          <w:sz w:val="20"/>
          <w:lang w:val="es-CR"/>
        </w:rPr>
        <w:t xml:space="preserve"> Reglamento</w:t>
      </w:r>
      <w:r w:rsidR="00E40688">
        <w:rPr>
          <w:rFonts w:ascii="Verdana" w:hAnsi="Verdana"/>
          <w:sz w:val="20"/>
          <w:lang w:val="es-CR"/>
        </w:rPr>
        <w:t xml:space="preserve"> del Tribunal</w:t>
      </w:r>
      <w:r w:rsidR="003B7640" w:rsidRPr="00A71AF6">
        <w:rPr>
          <w:rFonts w:ascii="Verdana" w:hAnsi="Verdana"/>
          <w:sz w:val="20"/>
          <w:lang w:val="es-CR"/>
        </w:rPr>
        <w:t>.</w:t>
      </w:r>
    </w:p>
    <w:p w:rsidR="00C23969" w:rsidRDefault="00C23969" w:rsidP="003A5A6F">
      <w:pPr>
        <w:pStyle w:val="Prrafodelista"/>
        <w:spacing w:afterLines="40" w:after="96"/>
      </w:pPr>
    </w:p>
    <w:p w:rsidR="00893961" w:rsidRDefault="00FC05DF" w:rsidP="003A5A6F">
      <w:pPr>
        <w:pStyle w:val="Ttulo1"/>
        <w:spacing w:afterLines="40" w:after="96"/>
      </w:pPr>
      <w:r>
        <w:t>V</w:t>
      </w:r>
    </w:p>
    <w:p w:rsidR="00893961" w:rsidRDefault="00893961" w:rsidP="003A5A6F">
      <w:pPr>
        <w:pStyle w:val="Ttulo1"/>
        <w:spacing w:afterLines="40" w:after="96"/>
      </w:pPr>
      <w:r>
        <w:t>PUNTOS RESOLUTIVOS</w:t>
      </w:r>
    </w:p>
    <w:p w:rsidR="00893961" w:rsidRDefault="00893961" w:rsidP="003A5A6F">
      <w:pPr>
        <w:spacing w:afterLines="40" w:after="96"/>
      </w:pPr>
    </w:p>
    <w:p w:rsidR="00B5152F" w:rsidRDefault="00B5152F" w:rsidP="003A5A6F">
      <w:pPr>
        <w:spacing w:afterLines="40" w:after="96"/>
      </w:pPr>
    </w:p>
    <w:p w:rsidR="00893961" w:rsidRDefault="00893961" w:rsidP="003A5A6F">
      <w:pPr>
        <w:numPr>
          <w:ilvl w:val="0"/>
          <w:numId w:val="7"/>
        </w:numPr>
        <w:spacing w:afterLines="40" w:after="96"/>
      </w:pPr>
      <w:r>
        <w:t>Por las razones expuestas,</w:t>
      </w:r>
    </w:p>
    <w:p w:rsidR="00FC05DF" w:rsidRDefault="00FC05DF" w:rsidP="003A5A6F">
      <w:pPr>
        <w:spacing w:afterLines="40" w:after="96"/>
      </w:pPr>
    </w:p>
    <w:p w:rsidR="009F0896" w:rsidRDefault="009F0896" w:rsidP="003A5A6F">
      <w:pPr>
        <w:spacing w:afterLines="40" w:after="96"/>
      </w:pPr>
    </w:p>
    <w:p w:rsidR="00893961" w:rsidRDefault="00893961" w:rsidP="003A5A6F">
      <w:pPr>
        <w:pStyle w:val="Ttulo2"/>
        <w:spacing w:before="0" w:afterLines="40" w:after="96"/>
      </w:pPr>
      <w:r>
        <w:t>LA CORTE INTERAMERICANA DE DERECHOS HUMANOS</w:t>
      </w:r>
    </w:p>
    <w:p w:rsidR="00B5152F" w:rsidRDefault="00B5152F" w:rsidP="003A5A6F">
      <w:pPr>
        <w:spacing w:afterLines="40" w:after="96"/>
      </w:pPr>
    </w:p>
    <w:p w:rsidR="009F0896" w:rsidRDefault="009F0896" w:rsidP="003A5A6F">
      <w:pPr>
        <w:spacing w:afterLines="40" w:after="96"/>
      </w:pPr>
    </w:p>
    <w:p w:rsidR="00893961" w:rsidRDefault="00893961" w:rsidP="003A5A6F">
      <w:pPr>
        <w:spacing w:afterLines="40" w:after="96"/>
      </w:pPr>
      <w:r>
        <w:t>de conformidad con el artículo 67 de la Convención Americana sobre Derechos Humanos y los artículos 31.3 y 68 del Reglamento,</w:t>
      </w:r>
    </w:p>
    <w:p w:rsidR="009F0896" w:rsidRDefault="009F0896" w:rsidP="003A5A6F">
      <w:pPr>
        <w:spacing w:afterLines="40" w:after="96"/>
      </w:pPr>
    </w:p>
    <w:p w:rsidR="00893961" w:rsidRPr="00E03080" w:rsidRDefault="00FC05DF" w:rsidP="003A5A6F">
      <w:pPr>
        <w:spacing w:afterLines="40" w:after="96"/>
        <w:rPr>
          <w:b/>
        </w:rPr>
      </w:pPr>
      <w:r>
        <w:br/>
      </w:r>
      <w:r w:rsidR="00893961" w:rsidRPr="00E03080">
        <w:rPr>
          <w:b/>
        </w:rPr>
        <w:t>DECIDE:</w:t>
      </w:r>
    </w:p>
    <w:p w:rsidR="00893961" w:rsidRDefault="00893961" w:rsidP="003A5A6F">
      <w:pPr>
        <w:spacing w:afterLines="40" w:after="96"/>
      </w:pPr>
    </w:p>
    <w:p w:rsidR="009F0896" w:rsidRDefault="009F0896" w:rsidP="003A5A6F">
      <w:pPr>
        <w:spacing w:afterLines="40" w:after="96"/>
      </w:pPr>
    </w:p>
    <w:p w:rsidR="00893961" w:rsidRDefault="00893961" w:rsidP="003A5A6F">
      <w:pPr>
        <w:pStyle w:val="Encabezado"/>
        <w:tabs>
          <w:tab w:val="clear" w:pos="4320"/>
          <w:tab w:val="clear" w:pos="8640"/>
        </w:tabs>
        <w:spacing w:afterLines="40" w:after="96"/>
        <w:rPr>
          <w:rFonts w:ascii="Verdana" w:hAnsi="Verdana"/>
          <w:sz w:val="20"/>
        </w:rPr>
      </w:pPr>
      <w:r>
        <w:rPr>
          <w:rFonts w:ascii="Verdana" w:hAnsi="Verdana"/>
          <w:sz w:val="20"/>
        </w:rPr>
        <w:t xml:space="preserve">Por </w:t>
      </w:r>
      <w:r w:rsidR="006B453D">
        <w:rPr>
          <w:rFonts w:ascii="Verdana" w:hAnsi="Verdana"/>
          <w:sz w:val="20"/>
        </w:rPr>
        <w:t>unanimidad,</w:t>
      </w:r>
    </w:p>
    <w:p w:rsidR="00893961" w:rsidRDefault="00893961" w:rsidP="003A5A6F">
      <w:pPr>
        <w:spacing w:afterLines="40" w:after="96"/>
      </w:pPr>
    </w:p>
    <w:p w:rsidR="00E03080" w:rsidRPr="00E03080" w:rsidRDefault="00F71E53" w:rsidP="003A5A6F">
      <w:pPr>
        <w:pStyle w:val="Prrafodelista"/>
        <w:numPr>
          <w:ilvl w:val="0"/>
          <w:numId w:val="37"/>
        </w:numPr>
        <w:spacing w:afterLines="40" w:after="96"/>
        <w:ind w:left="0" w:firstLine="0"/>
        <w:rPr>
          <w:szCs w:val="20"/>
          <w:lang w:val="es-CR"/>
        </w:rPr>
      </w:pPr>
      <w:r w:rsidRPr="00F71E53">
        <w:rPr>
          <w:szCs w:val="20"/>
          <w:lang w:val="es-CR"/>
        </w:rPr>
        <w:t>Desestimar</w:t>
      </w:r>
      <w:r w:rsidRPr="00F71E53">
        <w:rPr>
          <w:szCs w:val="20"/>
        </w:rPr>
        <w:t xml:space="preserve"> por improceden</w:t>
      </w:r>
      <w:r>
        <w:rPr>
          <w:szCs w:val="20"/>
        </w:rPr>
        <w:t>te el cuestionamiento del representante</w:t>
      </w:r>
      <w:r w:rsidRPr="00F71E53">
        <w:rPr>
          <w:szCs w:val="20"/>
        </w:rPr>
        <w:t xml:space="preserve"> respecto a la sustentación del monto indemnizatorio determinado por la Corte Interamericana, en</w:t>
      </w:r>
      <w:r>
        <w:rPr>
          <w:szCs w:val="20"/>
        </w:rPr>
        <w:t xml:space="preserve"> los términos de los párrafos </w:t>
      </w:r>
      <w:r w:rsidR="0086169E">
        <w:rPr>
          <w:szCs w:val="20"/>
        </w:rPr>
        <w:t>16</w:t>
      </w:r>
      <w:r>
        <w:rPr>
          <w:szCs w:val="20"/>
        </w:rPr>
        <w:t xml:space="preserve"> al </w:t>
      </w:r>
      <w:r w:rsidR="0086169E">
        <w:rPr>
          <w:szCs w:val="20"/>
        </w:rPr>
        <w:t>18</w:t>
      </w:r>
      <w:r w:rsidRPr="00F71E53">
        <w:rPr>
          <w:szCs w:val="20"/>
        </w:rPr>
        <w:t xml:space="preserve"> de la presente Sentencia.</w:t>
      </w:r>
    </w:p>
    <w:p w:rsidR="00E03080" w:rsidRPr="00E03080" w:rsidRDefault="00E03080" w:rsidP="003A5A6F">
      <w:pPr>
        <w:pStyle w:val="Prrafodelista"/>
        <w:spacing w:afterLines="40" w:after="96"/>
        <w:rPr>
          <w:szCs w:val="20"/>
        </w:rPr>
      </w:pPr>
    </w:p>
    <w:p w:rsidR="0032221C" w:rsidRPr="007B6222" w:rsidRDefault="00F71E53" w:rsidP="003A5A6F">
      <w:pPr>
        <w:pStyle w:val="Prrafodelista"/>
        <w:numPr>
          <w:ilvl w:val="0"/>
          <w:numId w:val="37"/>
        </w:numPr>
        <w:spacing w:afterLines="40" w:after="96"/>
        <w:ind w:left="0" w:firstLine="0"/>
        <w:rPr>
          <w:szCs w:val="20"/>
          <w:lang w:val="es-CR"/>
        </w:rPr>
      </w:pPr>
      <w:r w:rsidRPr="00E03080">
        <w:rPr>
          <w:szCs w:val="20"/>
        </w:rPr>
        <w:t>Disponer que la Secretaría de la Corte notifique la presente Sentencia al Estado peruano, a los representantes de las víctimas y a la Comisión Interamericana de Derechos Humanos.</w:t>
      </w:r>
    </w:p>
    <w:p w:rsidR="007B6222" w:rsidRDefault="007B6222" w:rsidP="007B6222">
      <w:pPr>
        <w:pStyle w:val="Prrafodelista"/>
        <w:rPr>
          <w:szCs w:val="20"/>
          <w:lang w:val="es-CR"/>
        </w:rPr>
      </w:pPr>
    </w:p>
    <w:p w:rsidR="007B6222" w:rsidRDefault="007B6222" w:rsidP="007B6222">
      <w:pPr>
        <w:jc w:val="center"/>
      </w:pPr>
    </w:p>
    <w:p w:rsidR="007B6222" w:rsidRDefault="007B6222" w:rsidP="007B6222">
      <w:pPr>
        <w:jc w:val="center"/>
      </w:pPr>
    </w:p>
    <w:p w:rsidR="007B6222" w:rsidRDefault="007B6222" w:rsidP="007B6222">
      <w:pPr>
        <w:jc w:val="center"/>
      </w:pPr>
    </w:p>
    <w:p w:rsidR="007B6222" w:rsidRDefault="007B6222" w:rsidP="007B6222">
      <w:pPr>
        <w:jc w:val="center"/>
      </w:pPr>
    </w:p>
    <w:p w:rsidR="007B6222" w:rsidRDefault="007B6222" w:rsidP="007B6222">
      <w:pPr>
        <w:jc w:val="center"/>
      </w:pPr>
    </w:p>
    <w:p w:rsidR="007B6222" w:rsidRDefault="007B6222" w:rsidP="007B6222">
      <w:pPr>
        <w:jc w:val="center"/>
      </w:pPr>
      <w:r>
        <w:t xml:space="preserve">Leonardo A. Franco </w:t>
      </w:r>
    </w:p>
    <w:p w:rsidR="007B6222" w:rsidRDefault="007B6222" w:rsidP="007B6222">
      <w:pPr>
        <w:jc w:val="center"/>
      </w:pPr>
      <w:r>
        <w:t>Presidente en ejercicio</w:t>
      </w:r>
    </w:p>
    <w:p w:rsidR="007B6222" w:rsidRDefault="007B6222" w:rsidP="007B6222">
      <w:pPr>
        <w:jc w:val="center"/>
      </w:pPr>
    </w:p>
    <w:p w:rsidR="007B6222" w:rsidRDefault="007B6222" w:rsidP="007B6222"/>
    <w:p w:rsidR="007B6222" w:rsidRDefault="007B6222" w:rsidP="007B6222"/>
    <w:p w:rsidR="007B6222" w:rsidRDefault="007B6222" w:rsidP="007B6222"/>
    <w:p w:rsidR="007B6222" w:rsidRDefault="007B6222" w:rsidP="007B6222"/>
    <w:p w:rsidR="007B6222" w:rsidRDefault="007B6222" w:rsidP="007B6222"/>
    <w:p w:rsidR="007B6222" w:rsidRDefault="007B6222" w:rsidP="007B6222"/>
    <w:p w:rsidR="007B6222" w:rsidRDefault="007B6222" w:rsidP="007B6222">
      <w:r>
        <w:t>Manuel Ventura Robles</w:t>
      </w:r>
      <w:r>
        <w:tab/>
      </w:r>
      <w:r>
        <w:tab/>
      </w:r>
      <w:r>
        <w:tab/>
      </w:r>
      <w:r>
        <w:tab/>
      </w:r>
      <w:r>
        <w:tab/>
      </w:r>
      <w:proofErr w:type="spellStart"/>
      <w:r w:rsidRPr="00A82172">
        <w:rPr>
          <w:lang w:val="es-AR"/>
        </w:rPr>
        <w:t>Margarette</w:t>
      </w:r>
      <w:proofErr w:type="spellEnd"/>
      <w:r w:rsidRPr="00A82172">
        <w:rPr>
          <w:lang w:val="es-AR"/>
        </w:rPr>
        <w:t xml:space="preserve"> </w:t>
      </w:r>
      <w:proofErr w:type="spellStart"/>
      <w:r w:rsidRPr="00A82172">
        <w:rPr>
          <w:lang w:val="es-AR"/>
        </w:rPr>
        <w:t>May</w:t>
      </w:r>
      <w:proofErr w:type="spellEnd"/>
      <w:r w:rsidRPr="00A82172">
        <w:rPr>
          <w:lang w:val="es-AR"/>
        </w:rPr>
        <w:t xml:space="preserve"> </w:t>
      </w:r>
      <w:proofErr w:type="spellStart"/>
      <w:r w:rsidRPr="00A82172">
        <w:rPr>
          <w:lang w:val="es-AR"/>
        </w:rPr>
        <w:t>Macaulay</w:t>
      </w:r>
      <w:proofErr w:type="spellEnd"/>
      <w:r w:rsidRPr="00A82172">
        <w:rPr>
          <w:lang w:val="es-AR"/>
        </w:rPr>
        <w:tab/>
      </w:r>
    </w:p>
    <w:p w:rsidR="007B6222" w:rsidRDefault="007B6222" w:rsidP="007B6222"/>
    <w:p w:rsidR="007B6222" w:rsidRDefault="007B6222" w:rsidP="007B6222"/>
    <w:p w:rsidR="007B6222" w:rsidRDefault="007B6222" w:rsidP="007B6222"/>
    <w:p w:rsidR="007B6222" w:rsidRDefault="007B6222" w:rsidP="007B6222"/>
    <w:p w:rsidR="007B6222" w:rsidRDefault="007B6222" w:rsidP="007B6222"/>
    <w:p w:rsidR="007B6222" w:rsidRDefault="007B6222" w:rsidP="007B6222"/>
    <w:p w:rsidR="007B6222" w:rsidRPr="00A82172" w:rsidRDefault="007B6222" w:rsidP="007B6222">
      <w:pPr>
        <w:rPr>
          <w:lang w:val="es-AR"/>
        </w:rPr>
      </w:pPr>
      <w:proofErr w:type="spellStart"/>
      <w:r w:rsidRPr="00A82172">
        <w:rPr>
          <w:lang w:val="es-AR"/>
        </w:rPr>
        <w:t>Rhadys</w:t>
      </w:r>
      <w:proofErr w:type="spellEnd"/>
      <w:r w:rsidRPr="00A82172">
        <w:rPr>
          <w:lang w:val="es-AR"/>
        </w:rPr>
        <w:t xml:space="preserve"> Abreu </w:t>
      </w:r>
      <w:proofErr w:type="spellStart"/>
      <w:r w:rsidRPr="00A82172">
        <w:rPr>
          <w:lang w:val="es-AR"/>
        </w:rPr>
        <w:t>Blondet</w:t>
      </w:r>
      <w:proofErr w:type="spellEnd"/>
      <w:r w:rsidRPr="00A82172">
        <w:rPr>
          <w:lang w:val="es-AR"/>
        </w:rPr>
        <w:t xml:space="preserve">        </w:t>
      </w:r>
      <w:r w:rsidRPr="00A82172">
        <w:rPr>
          <w:lang w:val="es-AR"/>
        </w:rPr>
        <w:tab/>
      </w:r>
      <w:r w:rsidRPr="00A82172">
        <w:rPr>
          <w:lang w:val="es-AR"/>
        </w:rPr>
        <w:tab/>
      </w:r>
      <w:r w:rsidRPr="00A82172">
        <w:rPr>
          <w:lang w:val="es-AR"/>
        </w:rPr>
        <w:tab/>
      </w:r>
      <w:r w:rsidRPr="00A82172">
        <w:rPr>
          <w:lang w:val="es-AR"/>
        </w:rPr>
        <w:tab/>
      </w:r>
      <w:r w:rsidRPr="00A82172">
        <w:rPr>
          <w:lang w:val="es-AR"/>
        </w:rPr>
        <w:tab/>
      </w:r>
      <w:r>
        <w:rPr>
          <w:lang w:val="es-AR"/>
        </w:rPr>
        <w:t>Alberto Pérez Pérez</w:t>
      </w:r>
    </w:p>
    <w:p w:rsidR="007B6222" w:rsidRPr="00A82172" w:rsidRDefault="007B6222" w:rsidP="007B6222">
      <w:pPr>
        <w:rPr>
          <w:lang w:val="es-AR"/>
        </w:rPr>
      </w:pPr>
    </w:p>
    <w:p w:rsidR="007B6222" w:rsidRPr="00A82172" w:rsidRDefault="007B6222" w:rsidP="007B6222">
      <w:pPr>
        <w:rPr>
          <w:lang w:val="es-AR"/>
        </w:rPr>
      </w:pPr>
    </w:p>
    <w:p w:rsidR="007B6222" w:rsidRPr="00A82172" w:rsidRDefault="007B6222" w:rsidP="007B6222">
      <w:pPr>
        <w:rPr>
          <w:lang w:val="es-AR"/>
        </w:rPr>
      </w:pPr>
    </w:p>
    <w:p w:rsidR="007B6222" w:rsidRPr="00A82172" w:rsidRDefault="007B6222" w:rsidP="007B6222">
      <w:pPr>
        <w:rPr>
          <w:lang w:val="es-AR"/>
        </w:rPr>
      </w:pPr>
    </w:p>
    <w:p w:rsidR="007B6222" w:rsidRDefault="007B6222" w:rsidP="007B6222">
      <w:pPr>
        <w:rPr>
          <w:lang w:val="es-ES"/>
        </w:rPr>
      </w:pPr>
      <w:r>
        <w:rPr>
          <w:lang w:val="es-ES"/>
        </w:rPr>
        <w:tab/>
      </w:r>
      <w:r>
        <w:rPr>
          <w:lang w:val="es-ES"/>
        </w:rPr>
        <w:tab/>
      </w:r>
      <w:r>
        <w:rPr>
          <w:lang w:val="es-ES"/>
        </w:rPr>
        <w:tab/>
      </w:r>
      <w:r>
        <w:rPr>
          <w:lang w:val="es-ES"/>
        </w:rPr>
        <w:tab/>
      </w:r>
    </w:p>
    <w:p w:rsidR="007B6222" w:rsidRPr="00567723" w:rsidRDefault="007B6222" w:rsidP="007B6222">
      <w:pPr>
        <w:ind w:left="2880"/>
        <w:rPr>
          <w:lang w:val="es-ES"/>
        </w:rPr>
      </w:pPr>
      <w:r>
        <w:rPr>
          <w:lang w:val="es-ES"/>
        </w:rPr>
        <w:t xml:space="preserve">      Eduardo Vio Grossi</w:t>
      </w:r>
    </w:p>
    <w:p w:rsidR="007B6222" w:rsidRPr="00567723" w:rsidRDefault="007B6222" w:rsidP="007B6222">
      <w:pPr>
        <w:rPr>
          <w:lang w:val="es-ES"/>
        </w:rPr>
      </w:pPr>
    </w:p>
    <w:p w:rsidR="007B6222" w:rsidRDefault="007B6222" w:rsidP="007B6222">
      <w:pPr>
        <w:rPr>
          <w:lang w:val="es-ES"/>
        </w:rPr>
      </w:pPr>
    </w:p>
    <w:p w:rsidR="007B6222" w:rsidRDefault="007B6222" w:rsidP="007B6222">
      <w:pPr>
        <w:rPr>
          <w:lang w:val="es-ES"/>
        </w:rPr>
      </w:pPr>
      <w:r>
        <w:rPr>
          <w:lang w:val="es-ES"/>
        </w:rPr>
        <w:tab/>
      </w:r>
    </w:p>
    <w:p w:rsidR="007B6222" w:rsidRDefault="007B6222" w:rsidP="007B6222">
      <w:pPr>
        <w:rPr>
          <w:lang w:val="es-ES"/>
        </w:rPr>
      </w:pPr>
    </w:p>
    <w:p w:rsidR="007B6222" w:rsidRPr="00567723" w:rsidRDefault="007B6222" w:rsidP="007B6222">
      <w:pPr>
        <w:rPr>
          <w:lang w:val="es-ES"/>
        </w:rPr>
      </w:pPr>
    </w:p>
    <w:p w:rsidR="007B6222" w:rsidRDefault="007B6222" w:rsidP="007B6222">
      <w:pPr>
        <w:jc w:val="center"/>
      </w:pPr>
      <w:r>
        <w:t>Pablo Saavedra Alessandri</w:t>
      </w:r>
    </w:p>
    <w:p w:rsidR="007B6222" w:rsidRDefault="007B6222" w:rsidP="007B6222">
      <w:pPr>
        <w:ind w:left="2880" w:firstLine="720"/>
      </w:pPr>
      <w:r>
        <w:t>Secretario</w:t>
      </w:r>
    </w:p>
    <w:p w:rsidR="007B6222" w:rsidRDefault="007B6222" w:rsidP="007B6222"/>
    <w:p w:rsidR="007B6222" w:rsidRDefault="007B6222" w:rsidP="007B6222"/>
    <w:p w:rsidR="007B6222" w:rsidRDefault="007B6222" w:rsidP="007B6222">
      <w:r>
        <w:t>Comuníquese y ejecútese,</w:t>
      </w:r>
    </w:p>
    <w:p w:rsidR="007B6222" w:rsidRDefault="007B6222" w:rsidP="007B6222"/>
    <w:p w:rsidR="007B6222" w:rsidRDefault="007B6222" w:rsidP="007B6222"/>
    <w:p w:rsidR="007B6222" w:rsidRDefault="007B6222" w:rsidP="007B6222"/>
    <w:p w:rsidR="007B6222" w:rsidRDefault="007B6222" w:rsidP="007B6222"/>
    <w:p w:rsidR="007B6222" w:rsidRDefault="007B6222" w:rsidP="007B6222">
      <w:pPr>
        <w:ind w:left="5760"/>
        <w:jc w:val="center"/>
      </w:pPr>
      <w:r>
        <w:t>Leonardo A. Franco</w:t>
      </w:r>
    </w:p>
    <w:p w:rsidR="007B6222" w:rsidRDefault="007B6222" w:rsidP="007B6222">
      <w:pPr>
        <w:ind w:left="5760"/>
        <w:jc w:val="center"/>
      </w:pPr>
      <w:r>
        <w:t xml:space="preserve">  Presidente en ejercicio</w:t>
      </w:r>
    </w:p>
    <w:p w:rsidR="007B6222" w:rsidRDefault="007B6222" w:rsidP="007B6222"/>
    <w:p w:rsidR="007B6222" w:rsidRDefault="007B6222" w:rsidP="007B6222"/>
    <w:p w:rsidR="007B6222" w:rsidRDefault="007B6222" w:rsidP="007B6222"/>
    <w:p w:rsidR="007B6222" w:rsidRDefault="007B6222" w:rsidP="007B6222">
      <w:r>
        <w:t>Pablo Saavedra Alessandri</w:t>
      </w:r>
    </w:p>
    <w:p w:rsidR="007B6222" w:rsidRDefault="007B6222" w:rsidP="007B6222">
      <w:r>
        <w:tab/>
        <w:t xml:space="preserve">Secretario </w:t>
      </w:r>
    </w:p>
    <w:p w:rsidR="007B6222" w:rsidRDefault="007B6222" w:rsidP="007B6222"/>
    <w:p w:rsidR="007B6222" w:rsidRPr="00EF7C5E" w:rsidRDefault="007B6222" w:rsidP="007B6222"/>
    <w:p w:rsidR="007B6222" w:rsidRPr="00E03080" w:rsidRDefault="007B6222" w:rsidP="007B6222">
      <w:pPr>
        <w:pStyle w:val="Prrafodelista"/>
        <w:spacing w:afterLines="40" w:after="96"/>
        <w:ind w:left="0"/>
        <w:rPr>
          <w:szCs w:val="20"/>
          <w:lang w:val="es-CR"/>
        </w:rPr>
      </w:pPr>
    </w:p>
    <w:sectPr w:rsidR="007B6222" w:rsidRPr="00E03080" w:rsidSect="00893961">
      <w:headerReference w:type="default" r:id="rId8"/>
      <w:footerReference w:type="even" r:id="rId9"/>
      <w:footerReference w:type="default" r:id="rId10"/>
      <w:pgSz w:w="12240" w:h="15840"/>
      <w:pgMar w:top="1440" w:right="1800" w:bottom="1440" w:left="1800"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077" w:rsidRDefault="006D3077">
      <w:r>
        <w:separator/>
      </w:r>
    </w:p>
  </w:endnote>
  <w:endnote w:type="continuationSeparator" w:id="0">
    <w:p w:rsidR="006D3077" w:rsidRDefault="006D3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75E" w:rsidRDefault="003A5A6F" w:rsidP="00893961">
    <w:pPr>
      <w:pStyle w:val="Piedepgina"/>
      <w:framePr w:wrap="around" w:vAnchor="text" w:hAnchor="margin" w:xAlign="center" w:y="1"/>
      <w:rPr>
        <w:rStyle w:val="Nmerodepgina"/>
      </w:rPr>
    </w:pPr>
    <w:r>
      <w:rPr>
        <w:rStyle w:val="Nmerodepgina"/>
      </w:rPr>
      <w:fldChar w:fldCharType="begin"/>
    </w:r>
    <w:r w:rsidR="0085475E">
      <w:rPr>
        <w:rStyle w:val="Nmerodepgina"/>
      </w:rPr>
      <w:instrText xml:space="preserve">PAGE  </w:instrText>
    </w:r>
    <w:r>
      <w:rPr>
        <w:rStyle w:val="Nmerodepgina"/>
      </w:rPr>
      <w:fldChar w:fldCharType="end"/>
    </w:r>
  </w:p>
  <w:p w:rsidR="0085475E" w:rsidRDefault="0085475E" w:rsidP="0089396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75E" w:rsidRDefault="0085475E" w:rsidP="0089396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077" w:rsidRDefault="006D3077">
      <w:r>
        <w:separator/>
      </w:r>
    </w:p>
  </w:footnote>
  <w:footnote w:type="continuationSeparator" w:id="0">
    <w:p w:rsidR="006D3077" w:rsidRDefault="006D3077">
      <w:r>
        <w:continuationSeparator/>
      </w:r>
    </w:p>
  </w:footnote>
  <w:footnote w:id="1">
    <w:p w:rsidR="0085475E" w:rsidRPr="00182C7E" w:rsidRDefault="0085475E" w:rsidP="00B13869">
      <w:pPr>
        <w:pStyle w:val="Textonotapie"/>
        <w:rPr>
          <w:szCs w:val="16"/>
        </w:rPr>
      </w:pPr>
      <w:r w:rsidRPr="00182C7E">
        <w:rPr>
          <w:rStyle w:val="Refdenotaalpie"/>
          <w:sz w:val="16"/>
          <w:szCs w:val="16"/>
        </w:rPr>
        <w:footnoteRef/>
      </w:r>
      <w:r w:rsidRPr="00182C7E">
        <w:rPr>
          <w:szCs w:val="16"/>
        </w:rPr>
        <w:t xml:space="preserve"> </w:t>
      </w:r>
      <w:r w:rsidRPr="00182C7E">
        <w:rPr>
          <w:szCs w:val="16"/>
        </w:rPr>
        <w:tab/>
        <w:t>El Presidente de la Corte, Juez Diego García-Sayán, de nacionalidad peruana, no participó en el presente caso de conformidad con el artículo 19.1 del Reglamento de la Corte, de acuerdo al cual “</w:t>
      </w:r>
      <w:r w:rsidRPr="00182C7E">
        <w:rPr>
          <w:rFonts w:eastAsia="Calibri" w:cs="Verdana"/>
          <w:szCs w:val="16"/>
          <w:lang w:val="es-CO"/>
        </w:rPr>
        <w:t>[e]n los casos a que hace referencia el artículo 44 de la Convención, los Jueces no podrán participar en su conocimiento y deliberación, cuando sean nacionales del Estado demandado</w:t>
      </w:r>
      <w:r w:rsidRPr="00182C7E">
        <w:rPr>
          <w:szCs w:val="16"/>
        </w:rPr>
        <w:t>”.</w:t>
      </w:r>
    </w:p>
    <w:p w:rsidR="0085475E" w:rsidRPr="00182C7E" w:rsidRDefault="0085475E" w:rsidP="00B13869">
      <w:pPr>
        <w:pStyle w:val="Textonotapie"/>
        <w:rPr>
          <w:szCs w:val="16"/>
        </w:rPr>
      </w:pPr>
    </w:p>
  </w:footnote>
  <w:footnote w:id="2">
    <w:p w:rsidR="0085475E" w:rsidRPr="00182C7E" w:rsidRDefault="0085475E" w:rsidP="00B13869">
      <w:pPr>
        <w:pStyle w:val="Textonotapie"/>
        <w:rPr>
          <w:szCs w:val="16"/>
        </w:rPr>
      </w:pPr>
      <w:r w:rsidRPr="00182C7E">
        <w:rPr>
          <w:rStyle w:val="Refdenotaalpie"/>
          <w:sz w:val="16"/>
          <w:szCs w:val="16"/>
        </w:rPr>
        <w:footnoteRef/>
      </w:r>
      <w:r w:rsidRPr="00182C7E">
        <w:rPr>
          <w:szCs w:val="16"/>
        </w:rPr>
        <w:t xml:space="preserve"> </w:t>
      </w:r>
      <w:r w:rsidRPr="00182C7E">
        <w:rPr>
          <w:szCs w:val="16"/>
        </w:rPr>
        <w:tab/>
        <w:t>Reglamento aprobado por la Corte en su LXXXV Período Ordinario de Sesiones celebrado del 16 al 28 de noviembre de 2009.</w:t>
      </w:r>
    </w:p>
    <w:p w:rsidR="0085475E" w:rsidRPr="00182C7E" w:rsidRDefault="0085475E" w:rsidP="00B13869">
      <w:pPr>
        <w:pStyle w:val="Textonotapie"/>
        <w:rPr>
          <w:szCs w:val="16"/>
          <w:lang w:val="es-ES"/>
        </w:rPr>
      </w:pPr>
    </w:p>
  </w:footnote>
  <w:footnote w:id="3">
    <w:p w:rsidR="0085475E" w:rsidRPr="00182C7E" w:rsidRDefault="0085475E" w:rsidP="00B13869">
      <w:pPr>
        <w:pStyle w:val="Textonotapie"/>
        <w:rPr>
          <w:i/>
          <w:szCs w:val="16"/>
        </w:rPr>
      </w:pPr>
      <w:r w:rsidRPr="00182C7E">
        <w:rPr>
          <w:rStyle w:val="Refdenotaalpie"/>
          <w:sz w:val="16"/>
          <w:szCs w:val="16"/>
        </w:rPr>
        <w:footnoteRef/>
      </w:r>
      <w:r w:rsidRPr="00182C7E">
        <w:rPr>
          <w:szCs w:val="16"/>
        </w:rPr>
        <w:t xml:space="preserve"> </w:t>
      </w:r>
      <w:r w:rsidRPr="00182C7E">
        <w:rPr>
          <w:szCs w:val="16"/>
        </w:rPr>
        <w:tab/>
      </w:r>
      <w:r w:rsidRPr="00182C7E">
        <w:rPr>
          <w:i/>
          <w:szCs w:val="16"/>
        </w:rPr>
        <w:t>Cfr. Caso Loayza Tamayo Vs. Perú</w:t>
      </w:r>
      <w:r w:rsidRPr="00182C7E">
        <w:rPr>
          <w:szCs w:val="16"/>
        </w:rPr>
        <w:t xml:space="preserve">. </w:t>
      </w:r>
      <w:r w:rsidR="00D30EF2" w:rsidRPr="00D30EF2">
        <w:rPr>
          <w:i/>
          <w:szCs w:val="16"/>
        </w:rPr>
        <w:t>Interpretación de la Sentencia de Fondo.</w:t>
      </w:r>
      <w:r w:rsidRPr="00182C7E">
        <w:rPr>
          <w:szCs w:val="16"/>
        </w:rPr>
        <w:t xml:space="preserve"> Resolución de la Corte Interamericana de Derechos Humanos de 8 de marzo de 1998. Serie C Nº. 47, párr. 16; </w:t>
      </w:r>
      <w:r w:rsidRPr="00182C7E">
        <w:rPr>
          <w:bCs/>
          <w:i/>
          <w:szCs w:val="16"/>
        </w:rPr>
        <w:t>Caso Fernández Ortega y otros Vs. México</w:t>
      </w:r>
      <w:r w:rsidRPr="00B87250">
        <w:rPr>
          <w:bCs/>
          <w:i/>
          <w:szCs w:val="16"/>
        </w:rPr>
        <w:t>.</w:t>
      </w:r>
      <w:r w:rsidRPr="00B87250">
        <w:rPr>
          <w:b/>
          <w:bCs/>
          <w:i/>
          <w:szCs w:val="16"/>
        </w:rPr>
        <w:t> </w:t>
      </w:r>
      <w:r w:rsidR="00D30EF2" w:rsidRPr="00D30EF2">
        <w:rPr>
          <w:i/>
          <w:szCs w:val="16"/>
        </w:rPr>
        <w:t>Interpretación de la Sentencia de Excepción Preliminar, Fondo, Reparaciones y Costas.</w:t>
      </w:r>
      <w:r w:rsidRPr="00182C7E">
        <w:rPr>
          <w:szCs w:val="16"/>
        </w:rPr>
        <w:t xml:space="preserve"> Sentencia de 15 de mayo de 2011. Serie C No. 226, párr. 11, y </w:t>
      </w:r>
      <w:r w:rsidRPr="00182C7E">
        <w:rPr>
          <w:bCs/>
          <w:i/>
        </w:rPr>
        <w:t xml:space="preserve">Caso Salvador Chiriboga Vs. Ecuador. </w:t>
      </w:r>
      <w:r w:rsidRPr="00182C7E">
        <w:rPr>
          <w:i/>
        </w:rPr>
        <w:t>Interpretación de la Sentencia de Reparaciones y Costas.</w:t>
      </w:r>
      <w:r w:rsidRPr="00182C7E">
        <w:t xml:space="preserve"> Sentencia de 29 de agosto de 2011</w:t>
      </w:r>
      <w:r w:rsidR="00DB5843">
        <w:t>.</w:t>
      </w:r>
      <w:r w:rsidRPr="00182C7E">
        <w:t xml:space="preserve"> Serie C No. 230, párr. 11.</w:t>
      </w:r>
    </w:p>
    <w:p w:rsidR="0085475E" w:rsidRPr="00182C7E" w:rsidRDefault="0085475E" w:rsidP="00B13869">
      <w:pPr>
        <w:pStyle w:val="Textonotapie"/>
        <w:rPr>
          <w:szCs w:val="16"/>
        </w:rPr>
      </w:pPr>
    </w:p>
  </w:footnote>
  <w:footnote w:id="4">
    <w:p w:rsidR="0085475E" w:rsidRPr="00182C7E" w:rsidRDefault="0085475E" w:rsidP="00B13869">
      <w:pPr>
        <w:pStyle w:val="Textonotapie"/>
        <w:rPr>
          <w:i/>
          <w:szCs w:val="16"/>
        </w:rPr>
      </w:pPr>
      <w:r w:rsidRPr="00182C7E">
        <w:rPr>
          <w:rStyle w:val="Refdenotaalpie"/>
          <w:sz w:val="16"/>
          <w:szCs w:val="16"/>
        </w:rPr>
        <w:footnoteRef/>
      </w:r>
      <w:r w:rsidRPr="00182C7E">
        <w:rPr>
          <w:szCs w:val="16"/>
        </w:rPr>
        <w:t xml:space="preserve"> </w:t>
      </w:r>
      <w:r w:rsidRPr="00182C7E">
        <w:rPr>
          <w:szCs w:val="16"/>
        </w:rPr>
        <w:tab/>
      </w:r>
      <w:r w:rsidRPr="00182C7E">
        <w:rPr>
          <w:i/>
          <w:szCs w:val="16"/>
        </w:rPr>
        <w:t>Cfr. Caso Loayza Tamayo Vs. Perú</w:t>
      </w:r>
      <w:r w:rsidRPr="00182C7E">
        <w:rPr>
          <w:szCs w:val="16"/>
        </w:rPr>
        <w:t xml:space="preserve">. </w:t>
      </w:r>
      <w:r w:rsidR="00D30EF2" w:rsidRPr="00D30EF2">
        <w:rPr>
          <w:i/>
          <w:szCs w:val="16"/>
        </w:rPr>
        <w:t>Interpretación de la Sentencia de Fondo</w:t>
      </w:r>
      <w:r w:rsidR="00D30EF2" w:rsidRPr="00D30EF2">
        <w:rPr>
          <w:szCs w:val="16"/>
        </w:rPr>
        <w:t>,</w:t>
      </w:r>
      <w:r w:rsidRPr="00182C7E">
        <w:rPr>
          <w:szCs w:val="16"/>
        </w:rPr>
        <w:t xml:space="preserve"> </w:t>
      </w:r>
      <w:r w:rsidR="007D5D5D" w:rsidRPr="00182C7E">
        <w:rPr>
          <w:i/>
          <w:szCs w:val="16"/>
        </w:rPr>
        <w:t>supra</w:t>
      </w:r>
      <w:r w:rsidR="007D5D5D" w:rsidRPr="00182C7E">
        <w:rPr>
          <w:szCs w:val="16"/>
        </w:rPr>
        <w:t xml:space="preserve"> nota 1</w:t>
      </w:r>
      <w:r w:rsidRPr="00182C7E">
        <w:rPr>
          <w:szCs w:val="16"/>
        </w:rPr>
        <w:t xml:space="preserve">, párr. 16; </w:t>
      </w:r>
      <w:r w:rsidRPr="00182C7E">
        <w:rPr>
          <w:bCs/>
          <w:i/>
          <w:szCs w:val="16"/>
        </w:rPr>
        <w:t>Caso Fernández Ortega y otros Vs. México.</w:t>
      </w:r>
      <w:r w:rsidRPr="00182C7E">
        <w:rPr>
          <w:b/>
          <w:bCs/>
          <w:i/>
          <w:szCs w:val="16"/>
        </w:rPr>
        <w:t> </w:t>
      </w:r>
      <w:r w:rsidR="00D30EF2" w:rsidRPr="00D30EF2">
        <w:rPr>
          <w:i/>
          <w:szCs w:val="16"/>
        </w:rPr>
        <w:t>Interpretación de la Sentencia de Excepción Preliminar, Fondo, Reparaciones y Costas,</w:t>
      </w:r>
      <w:r w:rsidRPr="00182C7E">
        <w:rPr>
          <w:szCs w:val="16"/>
        </w:rPr>
        <w:t xml:space="preserve"> </w:t>
      </w:r>
      <w:r w:rsidR="007D5D5D" w:rsidRPr="00182C7E">
        <w:rPr>
          <w:i/>
          <w:szCs w:val="16"/>
        </w:rPr>
        <w:t>supra</w:t>
      </w:r>
      <w:r w:rsidR="007D5D5D" w:rsidRPr="00182C7E">
        <w:rPr>
          <w:szCs w:val="16"/>
        </w:rPr>
        <w:t xml:space="preserve"> nota 1</w:t>
      </w:r>
      <w:r w:rsidRPr="00182C7E">
        <w:rPr>
          <w:szCs w:val="16"/>
        </w:rPr>
        <w:t xml:space="preserve">, párr. 11, y </w:t>
      </w:r>
      <w:r w:rsidRPr="00182C7E">
        <w:rPr>
          <w:bCs/>
          <w:i/>
        </w:rPr>
        <w:t xml:space="preserve">Caso Salvador Chiriboga Vs. Ecuador. </w:t>
      </w:r>
      <w:r w:rsidRPr="00182C7E">
        <w:rPr>
          <w:i/>
        </w:rPr>
        <w:t>Interpretación de la</w:t>
      </w:r>
      <w:r w:rsidR="007667C9">
        <w:rPr>
          <w:i/>
        </w:rPr>
        <w:t xml:space="preserve"> Sentencia de Reparaciones y Costas</w:t>
      </w:r>
      <w:r w:rsidR="00D30EF2" w:rsidRPr="00D30EF2">
        <w:t xml:space="preserve">, </w:t>
      </w:r>
      <w:r w:rsidR="007D5D5D" w:rsidRPr="00182C7E">
        <w:rPr>
          <w:i/>
          <w:szCs w:val="16"/>
        </w:rPr>
        <w:t>supra</w:t>
      </w:r>
      <w:r w:rsidR="007D5D5D" w:rsidRPr="00182C7E">
        <w:rPr>
          <w:szCs w:val="16"/>
        </w:rPr>
        <w:t xml:space="preserve"> nota 1</w:t>
      </w:r>
      <w:r w:rsidRPr="00182C7E">
        <w:t>, párr. 11.</w:t>
      </w:r>
    </w:p>
    <w:p w:rsidR="0085475E" w:rsidRPr="00182C7E" w:rsidRDefault="0085475E" w:rsidP="00B13869">
      <w:pPr>
        <w:pStyle w:val="Textonotapie"/>
        <w:rPr>
          <w:szCs w:val="16"/>
        </w:rPr>
      </w:pPr>
    </w:p>
  </w:footnote>
  <w:footnote w:id="5">
    <w:p w:rsidR="0085475E" w:rsidRDefault="007667C9">
      <w:pPr>
        <w:pStyle w:val="Textonotapie"/>
      </w:pPr>
      <w:r>
        <w:rPr>
          <w:rStyle w:val="Refdenotaalpie"/>
        </w:rPr>
        <w:footnoteRef/>
      </w:r>
      <w:r w:rsidR="00D30EF2" w:rsidRPr="00D30EF2">
        <w:t xml:space="preserve"> </w:t>
      </w:r>
      <w:r w:rsidR="00D30EF2" w:rsidRPr="00D30EF2">
        <w:rPr>
          <w:lang w:val="es-CO"/>
        </w:rPr>
        <w:tab/>
      </w:r>
      <w:r w:rsidR="00D30EF2" w:rsidRPr="00D30EF2">
        <w:rPr>
          <w:i/>
          <w:lang w:val="es-CO"/>
        </w:rPr>
        <w:t>Cfr.</w:t>
      </w:r>
      <w:r w:rsidR="00182C7E" w:rsidRPr="00182C7E">
        <w:rPr>
          <w:lang w:val="es-CO"/>
        </w:rPr>
        <w:t xml:space="preserve"> </w:t>
      </w:r>
      <w:r w:rsidR="00182C7E" w:rsidRPr="00182C7E">
        <w:rPr>
          <w:bCs/>
          <w:i/>
        </w:rPr>
        <w:t xml:space="preserve">Caso Salvador Chiriboga Vs. Ecuador. </w:t>
      </w:r>
      <w:r w:rsidR="00182C7E" w:rsidRPr="00182C7E">
        <w:rPr>
          <w:i/>
        </w:rPr>
        <w:t>Interpretación de la Sentencia de Reparaciones y Costas</w:t>
      </w:r>
      <w:r w:rsidR="00182C7E" w:rsidRPr="00182C7E">
        <w:t xml:space="preserve">, </w:t>
      </w:r>
      <w:r w:rsidR="00182C7E" w:rsidRPr="00182C7E">
        <w:rPr>
          <w:i/>
          <w:szCs w:val="16"/>
        </w:rPr>
        <w:t>supra</w:t>
      </w:r>
      <w:r w:rsidR="00D30EF2" w:rsidRPr="00D30EF2">
        <w:rPr>
          <w:szCs w:val="16"/>
        </w:rPr>
        <w:t xml:space="preserve"> nota 1</w:t>
      </w:r>
      <w:r w:rsidR="00D30EF2" w:rsidRPr="00D30EF2">
        <w:t>, párr. 29</w:t>
      </w:r>
      <w:r w:rsidR="00B04B12">
        <w:t>.</w:t>
      </w:r>
    </w:p>
    <w:p w:rsidR="00B04B12" w:rsidRPr="00182C7E" w:rsidRDefault="00B04B12">
      <w:pPr>
        <w:pStyle w:val="Textonotapie"/>
        <w:rPr>
          <w:lang w:val="es-CO"/>
        </w:rPr>
      </w:pPr>
    </w:p>
  </w:footnote>
  <w:footnote w:id="6">
    <w:p w:rsidR="0085475E" w:rsidRPr="00182C7E" w:rsidRDefault="007667C9" w:rsidP="00E5165A">
      <w:pPr>
        <w:pStyle w:val="Textonotapie"/>
        <w:rPr>
          <w:i/>
          <w:szCs w:val="16"/>
        </w:rPr>
      </w:pPr>
      <w:r>
        <w:rPr>
          <w:rStyle w:val="Refdenotaalpie"/>
          <w:sz w:val="16"/>
          <w:szCs w:val="16"/>
        </w:rPr>
        <w:footnoteRef/>
      </w:r>
      <w:r w:rsidR="00D30EF2" w:rsidRPr="00D30EF2">
        <w:rPr>
          <w:szCs w:val="16"/>
        </w:rPr>
        <w:t xml:space="preserve"> </w:t>
      </w:r>
      <w:r w:rsidR="00D30EF2" w:rsidRPr="00D30EF2">
        <w:rPr>
          <w:szCs w:val="16"/>
        </w:rPr>
        <w:tab/>
      </w:r>
      <w:r w:rsidR="00D30EF2" w:rsidRPr="00D30EF2">
        <w:rPr>
          <w:i/>
          <w:szCs w:val="16"/>
        </w:rPr>
        <w:t>Cfr. Caso Loayza Tamayo Vs. Perú</w:t>
      </w:r>
      <w:r w:rsidR="00D30EF2" w:rsidRPr="00D30EF2">
        <w:rPr>
          <w:szCs w:val="16"/>
        </w:rPr>
        <w:t xml:space="preserve">. </w:t>
      </w:r>
      <w:r w:rsidR="00D30EF2" w:rsidRPr="00D30EF2">
        <w:rPr>
          <w:i/>
          <w:szCs w:val="16"/>
        </w:rPr>
        <w:t>Interpretación de la Sentencia de Reparaciones y Costas.</w:t>
      </w:r>
      <w:r w:rsidR="0085475E" w:rsidRPr="00182C7E">
        <w:rPr>
          <w:szCs w:val="16"/>
        </w:rPr>
        <w:t xml:space="preserve"> Sentencia de la Corte Interamericana de Derechos Humanos de 3 de junio de 1999. Serie C Nº. 53, párr. 15; </w:t>
      </w:r>
      <w:r w:rsidR="0085475E" w:rsidRPr="00182C7E">
        <w:rPr>
          <w:bCs/>
          <w:i/>
          <w:szCs w:val="16"/>
        </w:rPr>
        <w:t>Caso Fernández Ortega y otros Vs. México.</w:t>
      </w:r>
      <w:r w:rsidR="00D30EF2" w:rsidRPr="00D30EF2">
        <w:rPr>
          <w:b/>
          <w:bCs/>
          <w:i/>
          <w:szCs w:val="16"/>
        </w:rPr>
        <w:t> </w:t>
      </w:r>
      <w:r w:rsidR="00D30EF2" w:rsidRPr="00D30EF2">
        <w:rPr>
          <w:i/>
          <w:szCs w:val="16"/>
        </w:rPr>
        <w:t>Interpretación de la Sentencia de Excepción Preliminar, Fondo, Reparaciones y Costas,</w:t>
      </w:r>
      <w:r w:rsidR="00D30EF2" w:rsidRPr="00D30EF2">
        <w:rPr>
          <w:szCs w:val="16"/>
        </w:rPr>
        <w:t xml:space="preserve"> </w:t>
      </w:r>
      <w:r w:rsidR="007D5D5D" w:rsidRPr="00182C7E">
        <w:rPr>
          <w:i/>
          <w:szCs w:val="16"/>
        </w:rPr>
        <w:t>supra</w:t>
      </w:r>
      <w:r w:rsidR="007D5D5D" w:rsidRPr="00182C7E">
        <w:rPr>
          <w:szCs w:val="16"/>
        </w:rPr>
        <w:t xml:space="preserve"> nota </w:t>
      </w:r>
      <w:r w:rsidR="00D30EF2" w:rsidRPr="00D30EF2">
        <w:rPr>
          <w:szCs w:val="16"/>
        </w:rPr>
        <w:t xml:space="preserve">1, párr. 12, y </w:t>
      </w:r>
      <w:r w:rsidR="00D30EF2" w:rsidRPr="00D30EF2">
        <w:rPr>
          <w:bCs/>
          <w:i/>
        </w:rPr>
        <w:t xml:space="preserve">Caso Salvador Chiriboga Vs. Ecuador. </w:t>
      </w:r>
      <w:r w:rsidR="00D30EF2" w:rsidRPr="00D30EF2">
        <w:rPr>
          <w:i/>
        </w:rPr>
        <w:t>Interpretación de la Sentencia de Reparaciones y Costas,</w:t>
      </w:r>
      <w:r w:rsidR="0085475E" w:rsidRPr="00182C7E">
        <w:t xml:space="preserve"> </w:t>
      </w:r>
      <w:r w:rsidR="007D5D5D" w:rsidRPr="00182C7E">
        <w:rPr>
          <w:i/>
          <w:szCs w:val="16"/>
        </w:rPr>
        <w:t>supra</w:t>
      </w:r>
      <w:r w:rsidR="007D5D5D" w:rsidRPr="00182C7E">
        <w:rPr>
          <w:szCs w:val="16"/>
        </w:rPr>
        <w:t xml:space="preserve"> nota </w:t>
      </w:r>
      <w:r w:rsidR="00D30EF2" w:rsidRPr="00D30EF2">
        <w:rPr>
          <w:szCs w:val="16"/>
        </w:rPr>
        <w:t>1</w:t>
      </w:r>
      <w:r w:rsidR="00D30EF2" w:rsidRPr="00D30EF2">
        <w:t>, párr. 30.</w:t>
      </w:r>
    </w:p>
    <w:p w:rsidR="0085475E" w:rsidRPr="00182C7E" w:rsidRDefault="0085475E" w:rsidP="00E5165A">
      <w:pPr>
        <w:pStyle w:val="Textonotapie"/>
        <w:rPr>
          <w:i/>
          <w:szCs w:val="16"/>
        </w:rPr>
      </w:pPr>
    </w:p>
  </w:footnote>
  <w:footnote w:id="7">
    <w:p w:rsidR="0085475E" w:rsidRPr="00782739" w:rsidRDefault="007667C9" w:rsidP="003B7640">
      <w:pPr>
        <w:pStyle w:val="Textonotapie"/>
        <w:rPr>
          <w:szCs w:val="16"/>
          <w:lang w:val="es-ES"/>
        </w:rPr>
      </w:pPr>
      <w:r>
        <w:rPr>
          <w:rStyle w:val="Refdenotaalpie"/>
          <w:szCs w:val="16"/>
        </w:rPr>
        <w:footnoteRef/>
      </w:r>
      <w:r w:rsidR="00D30EF2" w:rsidRPr="00D30EF2">
        <w:rPr>
          <w:szCs w:val="16"/>
        </w:rPr>
        <w:t xml:space="preserve"> </w:t>
      </w:r>
      <w:r w:rsidR="00D30EF2" w:rsidRPr="00D30EF2">
        <w:rPr>
          <w:szCs w:val="16"/>
        </w:rPr>
        <w:tab/>
      </w:r>
      <w:r w:rsidR="00D30EF2" w:rsidRPr="00D30EF2">
        <w:rPr>
          <w:i/>
          <w:szCs w:val="16"/>
        </w:rPr>
        <w:t>Cfr. Caso Loayza Tamayo Vs. Perú</w:t>
      </w:r>
      <w:r w:rsidR="00D30EF2" w:rsidRPr="00D30EF2">
        <w:rPr>
          <w:szCs w:val="16"/>
        </w:rPr>
        <w:t xml:space="preserve">. </w:t>
      </w:r>
      <w:r w:rsidR="00D30EF2" w:rsidRPr="00D30EF2">
        <w:rPr>
          <w:i/>
          <w:szCs w:val="16"/>
        </w:rPr>
        <w:t>Interpretación de la Sentencia de Fondo</w:t>
      </w:r>
      <w:r w:rsidR="00D30EF2" w:rsidRPr="00D30EF2">
        <w:rPr>
          <w:szCs w:val="16"/>
        </w:rPr>
        <w:t xml:space="preserve">, </w:t>
      </w:r>
      <w:r w:rsidR="00D30EF2" w:rsidRPr="00D30EF2">
        <w:rPr>
          <w:i/>
          <w:szCs w:val="16"/>
        </w:rPr>
        <w:t xml:space="preserve">supra </w:t>
      </w:r>
      <w:r w:rsidR="00D30EF2" w:rsidRPr="00D30EF2">
        <w:rPr>
          <w:szCs w:val="16"/>
        </w:rPr>
        <w:t>nota 1</w:t>
      </w:r>
      <w:r w:rsidR="0085475E" w:rsidRPr="00182C7E">
        <w:rPr>
          <w:szCs w:val="16"/>
        </w:rPr>
        <w:t xml:space="preserve">, párr. 16; </w:t>
      </w:r>
      <w:r w:rsidR="0085475E" w:rsidRPr="00182C7E">
        <w:rPr>
          <w:i/>
          <w:szCs w:val="16"/>
        </w:rPr>
        <w:t xml:space="preserve">Caso  Fernández Ortega y otros Vs. México. </w:t>
      </w:r>
      <w:r w:rsidR="00D30EF2" w:rsidRPr="00D30EF2">
        <w:rPr>
          <w:i/>
          <w:szCs w:val="16"/>
        </w:rPr>
        <w:t>Interpretación</w:t>
      </w:r>
      <w:r w:rsidR="00D30EF2" w:rsidRPr="00D30EF2">
        <w:rPr>
          <w:i/>
          <w:szCs w:val="16"/>
          <w:lang w:val="es-CR"/>
        </w:rPr>
        <w:t xml:space="preserve"> de la Sentencia Excepción Preliminar, Fondo, Reparaciones y Costas</w:t>
      </w:r>
      <w:r w:rsidR="00D30EF2" w:rsidRPr="00D30EF2">
        <w:rPr>
          <w:szCs w:val="16"/>
        </w:rPr>
        <w:t>,</w:t>
      </w:r>
      <w:r w:rsidR="00D30EF2" w:rsidRPr="00D30EF2">
        <w:rPr>
          <w:i/>
          <w:szCs w:val="16"/>
        </w:rPr>
        <w:t xml:space="preserve"> supra </w:t>
      </w:r>
      <w:r w:rsidR="00D30EF2" w:rsidRPr="00D30EF2">
        <w:rPr>
          <w:szCs w:val="16"/>
        </w:rPr>
        <w:t>nota 1</w:t>
      </w:r>
      <w:r w:rsidR="0085475E" w:rsidRPr="00182C7E">
        <w:rPr>
          <w:szCs w:val="16"/>
        </w:rPr>
        <w:t xml:space="preserve">, párr. 11, y </w:t>
      </w:r>
      <w:r w:rsidR="0085475E" w:rsidRPr="00182C7E">
        <w:rPr>
          <w:i/>
          <w:szCs w:val="16"/>
        </w:rPr>
        <w:t>Caso</w:t>
      </w:r>
      <w:r w:rsidR="0085475E" w:rsidRPr="00182C7E">
        <w:rPr>
          <w:szCs w:val="16"/>
        </w:rPr>
        <w:t xml:space="preserve"> </w:t>
      </w:r>
      <w:r w:rsidR="0085475E" w:rsidRPr="00182C7E">
        <w:rPr>
          <w:i/>
          <w:szCs w:val="16"/>
        </w:rPr>
        <w:t>Rosendo Cantú y otra Vs. México.</w:t>
      </w:r>
      <w:r w:rsidR="00D30EF2" w:rsidRPr="00D30EF2">
        <w:rPr>
          <w:szCs w:val="16"/>
        </w:rPr>
        <w:t xml:space="preserve"> </w:t>
      </w:r>
      <w:r w:rsidR="00D30EF2" w:rsidRPr="00D30EF2">
        <w:rPr>
          <w:i/>
          <w:szCs w:val="16"/>
        </w:rPr>
        <w:t xml:space="preserve">Interpretación de la Sentencia de de Excepción Preliminar, Fondo, Reparaciones y Costas. </w:t>
      </w:r>
      <w:r w:rsidR="00D30EF2" w:rsidRPr="00D30EF2">
        <w:rPr>
          <w:szCs w:val="16"/>
        </w:rPr>
        <w:t>Sentencia de 15 de mayo de 2011. Serie C No. 225</w:t>
      </w:r>
      <w:r w:rsidR="0085475E" w:rsidRPr="00182C7E">
        <w:rPr>
          <w:szCs w:val="16"/>
        </w:rPr>
        <w:t>, párr.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75E" w:rsidRPr="000329F3" w:rsidRDefault="003A5A6F">
    <w:pPr>
      <w:pStyle w:val="Encabezado"/>
      <w:jc w:val="center"/>
      <w:rPr>
        <w:rFonts w:ascii="Verdana" w:hAnsi="Verdana"/>
        <w:sz w:val="20"/>
      </w:rPr>
    </w:pPr>
    <w:r w:rsidRPr="000329F3">
      <w:rPr>
        <w:rFonts w:ascii="Verdana" w:hAnsi="Verdana"/>
        <w:sz w:val="20"/>
      </w:rPr>
      <w:fldChar w:fldCharType="begin"/>
    </w:r>
    <w:r w:rsidR="0085475E" w:rsidRPr="000329F3">
      <w:rPr>
        <w:rFonts w:ascii="Verdana" w:hAnsi="Verdana"/>
        <w:sz w:val="20"/>
      </w:rPr>
      <w:instrText xml:space="preserve"> PAGE   \* MERGEFORMAT </w:instrText>
    </w:r>
    <w:r w:rsidRPr="000329F3">
      <w:rPr>
        <w:rFonts w:ascii="Verdana" w:hAnsi="Verdana"/>
        <w:sz w:val="20"/>
      </w:rPr>
      <w:fldChar w:fldCharType="separate"/>
    </w:r>
    <w:r w:rsidR="00BB16F7">
      <w:rPr>
        <w:rFonts w:ascii="Verdana" w:hAnsi="Verdana"/>
        <w:noProof/>
        <w:sz w:val="20"/>
      </w:rPr>
      <w:t>7</w:t>
    </w:r>
    <w:r w:rsidRPr="000329F3">
      <w:rPr>
        <w:rFonts w:ascii="Verdana" w:hAnsi="Verdana"/>
        <w:sz w:val="20"/>
      </w:rPr>
      <w:fldChar w:fldCharType="end"/>
    </w:r>
  </w:p>
  <w:p w:rsidR="0085475E" w:rsidRPr="000329F3" w:rsidRDefault="0085475E">
    <w:pPr>
      <w:pStyle w:val="Encabezado"/>
      <w:rPr>
        <w:rFonts w:ascii="Verdana" w:hAnsi="Verdan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E225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715B24"/>
    <w:multiLevelType w:val="hybridMultilevel"/>
    <w:tmpl w:val="CDDE4AF2"/>
    <w:lvl w:ilvl="0" w:tplc="C1D6C26E">
      <w:start w:val="1"/>
      <w:numFmt w:val="decimal"/>
      <w:lvlText w:val="%1."/>
      <w:lvlJc w:val="left"/>
      <w:pPr>
        <w:ind w:left="0" w:firstLine="0"/>
      </w:pPr>
      <w:rPr>
        <w:rFonts w:hint="default"/>
        <w:b w:val="0"/>
        <w:strike w:val="0"/>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
    <w:nsid w:val="0A784DB5"/>
    <w:multiLevelType w:val="hybridMultilevel"/>
    <w:tmpl w:val="DF9035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0A42963"/>
    <w:multiLevelType w:val="hybridMultilevel"/>
    <w:tmpl w:val="E698F8B0"/>
    <w:lvl w:ilvl="0" w:tplc="A4D298F2">
      <w:start w:val="1"/>
      <w:numFmt w:val="decimal"/>
      <w:lvlText w:val="%1."/>
      <w:lvlJc w:val="left"/>
      <w:pPr>
        <w:ind w:left="0" w:firstLine="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C77E06"/>
    <w:multiLevelType w:val="multilevel"/>
    <w:tmpl w:val="B1B299C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4D447A4"/>
    <w:multiLevelType w:val="hybridMultilevel"/>
    <w:tmpl w:val="10D2BC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4F1D17"/>
    <w:multiLevelType w:val="hybridMultilevel"/>
    <w:tmpl w:val="D40AFA5A"/>
    <w:lvl w:ilvl="0" w:tplc="A8483B00">
      <w:start w:val="4"/>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4D307E"/>
    <w:multiLevelType w:val="hybridMultilevel"/>
    <w:tmpl w:val="5D2493BE"/>
    <w:lvl w:ilvl="0" w:tplc="DB36E11E">
      <w:start w:val="25"/>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0C552B6"/>
    <w:multiLevelType w:val="hybridMultilevel"/>
    <w:tmpl w:val="8D86D52C"/>
    <w:lvl w:ilvl="0" w:tplc="98BE3130">
      <w:start w:val="85"/>
      <w:numFmt w:val="decimal"/>
      <w:lvlText w:val="%1."/>
      <w:lvlJc w:val="left"/>
      <w:pPr>
        <w:tabs>
          <w:tab w:val="num" w:pos="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2D7420C"/>
    <w:multiLevelType w:val="hybridMultilevel"/>
    <w:tmpl w:val="EB2A5028"/>
    <w:lvl w:ilvl="0" w:tplc="985A5FF8">
      <w:start w:val="85"/>
      <w:numFmt w:val="decimal"/>
      <w:lvlText w:val="%1."/>
      <w:lvlJc w:val="left"/>
      <w:pPr>
        <w:tabs>
          <w:tab w:val="num" w:pos="1170"/>
        </w:tabs>
        <w:ind w:left="450"/>
      </w:pPr>
      <w:rPr>
        <w:rFonts w:ascii="Verdana" w:hAnsi="Verdana" w:cs="Times New Roman" w:hint="default"/>
        <w:b w:val="0"/>
        <w:i w:val="0"/>
        <w:color w:val="auto"/>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4D83B86"/>
    <w:multiLevelType w:val="hybridMultilevel"/>
    <w:tmpl w:val="74485A8E"/>
    <w:name w:val="WW8Num2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7632D6A"/>
    <w:multiLevelType w:val="hybridMultilevel"/>
    <w:tmpl w:val="FB6292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A0F4C82"/>
    <w:multiLevelType w:val="hybridMultilevel"/>
    <w:tmpl w:val="A3929800"/>
    <w:lvl w:ilvl="0" w:tplc="A4D298F2">
      <w:start w:val="1"/>
      <w:numFmt w:val="decimal"/>
      <w:lvlText w:val="%1."/>
      <w:lvlJc w:val="left"/>
      <w:pPr>
        <w:ind w:left="0" w:firstLine="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DA1BBD"/>
    <w:multiLevelType w:val="hybridMultilevel"/>
    <w:tmpl w:val="CA1654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2A41D1"/>
    <w:multiLevelType w:val="hybridMultilevel"/>
    <w:tmpl w:val="70E4442C"/>
    <w:lvl w:ilvl="0" w:tplc="93E0A80E">
      <w:start w:val="1"/>
      <w:numFmt w:val="decimal"/>
      <w:lvlText w:val="%1."/>
      <w:lvlJc w:val="left"/>
      <w:pPr>
        <w:ind w:left="720" w:hanging="72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5">
    <w:nsid w:val="35E13854"/>
    <w:multiLevelType w:val="multilevel"/>
    <w:tmpl w:val="21980B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92910EB"/>
    <w:multiLevelType w:val="hybridMultilevel"/>
    <w:tmpl w:val="21980B4E"/>
    <w:lvl w:ilvl="0" w:tplc="B43E8D78">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7">
    <w:nsid w:val="3D9B3154"/>
    <w:multiLevelType w:val="hybridMultilevel"/>
    <w:tmpl w:val="33824D1A"/>
    <w:lvl w:ilvl="0" w:tplc="4E9644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DD5607C"/>
    <w:multiLevelType w:val="hybridMultilevel"/>
    <w:tmpl w:val="5A1C4E86"/>
    <w:lvl w:ilvl="0" w:tplc="046E5FC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17328A0"/>
    <w:multiLevelType w:val="hybridMultilevel"/>
    <w:tmpl w:val="ADE0EE66"/>
    <w:lvl w:ilvl="0" w:tplc="DA48A3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F2D477B"/>
    <w:multiLevelType w:val="hybridMultilevel"/>
    <w:tmpl w:val="C4A20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46CE9"/>
    <w:multiLevelType w:val="hybridMultilevel"/>
    <w:tmpl w:val="A1ACC394"/>
    <w:lvl w:ilvl="0" w:tplc="1D220C5C">
      <w:start w:val="1"/>
      <w:numFmt w:val="decimal"/>
      <w:lvlText w:val="%1."/>
      <w:lvlJc w:val="left"/>
      <w:pPr>
        <w:ind w:left="795" w:hanging="795"/>
      </w:pPr>
      <w:rPr>
        <w:rFonts w:ascii="Verdana" w:hAnsi="Verdana" w:cs="Times New Roman" w:hint="default"/>
        <w:b w:val="0"/>
        <w:i w:val="0"/>
        <w:strike w:val="0"/>
        <w:color w:val="auto"/>
        <w:sz w:val="20"/>
        <w:szCs w:val="20"/>
      </w:rPr>
    </w:lvl>
    <w:lvl w:ilvl="1" w:tplc="04090019">
      <w:start w:val="1"/>
      <w:numFmt w:val="lowerLetter"/>
      <w:lvlText w:val="%2."/>
      <w:lvlJc w:val="left"/>
      <w:pPr>
        <w:ind w:left="1440" w:hanging="360"/>
      </w:pPr>
      <w:rPr>
        <w:rFonts w:cs="Times New Roman"/>
      </w:rPr>
    </w:lvl>
    <w:lvl w:ilvl="2" w:tplc="81B0CF12">
      <w:start w:val="1"/>
      <w:numFmt w:val="upperLetter"/>
      <w:lvlText w:val="%3."/>
      <w:lvlJc w:val="left"/>
      <w:pPr>
        <w:tabs>
          <w:tab w:val="num" w:pos="2700"/>
        </w:tabs>
        <w:ind w:left="2700" w:hanging="720"/>
      </w:pPr>
      <w:rPr>
        <w:rFonts w:cs="Times New Roman" w:hint="default"/>
      </w:rPr>
    </w:lvl>
    <w:lvl w:ilvl="3" w:tplc="9DFA1E00">
      <w:start w:val="12"/>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2D21A98"/>
    <w:multiLevelType w:val="hybridMultilevel"/>
    <w:tmpl w:val="DB8040F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4632BA0"/>
    <w:multiLevelType w:val="hybridMultilevel"/>
    <w:tmpl w:val="3880ED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8087B72"/>
    <w:multiLevelType w:val="hybridMultilevel"/>
    <w:tmpl w:val="F0185D68"/>
    <w:lvl w:ilvl="0" w:tplc="EE806842">
      <w:start w:val="1"/>
      <w:numFmt w:val="decimal"/>
      <w:lvlText w:val="%1."/>
      <w:lvlJc w:val="left"/>
      <w:pPr>
        <w:tabs>
          <w:tab w:val="num" w:pos="720"/>
        </w:tabs>
        <w:ind w:left="720" w:hanging="360"/>
      </w:pPr>
      <w:rPr>
        <w:rFonts w:ascii="Verdana" w:hAnsi="Verdana"/>
        <w:b w:val="0"/>
        <w:i w:val="0"/>
        <w:strike w:val="0"/>
        <w:sz w:val="20"/>
        <w:szCs w:val="20"/>
        <w:lang w:val="es-ES_tradn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230570"/>
    <w:multiLevelType w:val="hybridMultilevel"/>
    <w:tmpl w:val="892E33BE"/>
    <w:lvl w:ilvl="0" w:tplc="A4D298F2">
      <w:start w:val="1"/>
      <w:numFmt w:val="decimal"/>
      <w:lvlText w:val="%1."/>
      <w:lvlJc w:val="left"/>
      <w:pPr>
        <w:ind w:left="0" w:firstLine="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096D0D"/>
    <w:multiLevelType w:val="hybridMultilevel"/>
    <w:tmpl w:val="4E2079D6"/>
    <w:lvl w:ilvl="0" w:tplc="7BEA7B08">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7">
    <w:nsid w:val="641554B0"/>
    <w:multiLevelType w:val="hybridMultilevel"/>
    <w:tmpl w:val="FEB62402"/>
    <w:lvl w:ilvl="0" w:tplc="BF523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4491BFD"/>
    <w:multiLevelType w:val="hybridMultilevel"/>
    <w:tmpl w:val="BE1A79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F1B3CEA"/>
    <w:multiLevelType w:val="hybridMultilevel"/>
    <w:tmpl w:val="2B387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F6E1F61"/>
    <w:multiLevelType w:val="multilevel"/>
    <w:tmpl w:val="70E4442C"/>
    <w:lvl w:ilvl="0">
      <w:start w:val="1"/>
      <w:numFmt w:val="decimal"/>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60910B0"/>
    <w:multiLevelType w:val="hybridMultilevel"/>
    <w:tmpl w:val="B366DD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9A43D7"/>
    <w:multiLevelType w:val="hybridMultilevel"/>
    <w:tmpl w:val="2ECA7D34"/>
    <w:lvl w:ilvl="0" w:tplc="00150409">
      <w:start w:val="1"/>
      <w:numFmt w:val="upperLetter"/>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33">
    <w:nsid w:val="76CE05A9"/>
    <w:multiLevelType w:val="hybridMultilevel"/>
    <w:tmpl w:val="B1B299C4"/>
    <w:lvl w:ilvl="0" w:tplc="A720ADB6">
      <w:start w:val="1"/>
      <w:numFmt w:val="upperLetter"/>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34">
    <w:nsid w:val="7CE64D32"/>
    <w:multiLevelType w:val="hybridMultilevel"/>
    <w:tmpl w:val="454A8350"/>
    <w:lvl w:ilvl="0" w:tplc="6792EB28">
      <w:start w:val="1"/>
      <w:numFmt w:val="decimal"/>
      <w:lvlText w:val="%1."/>
      <w:lvlJc w:val="left"/>
      <w:pPr>
        <w:tabs>
          <w:tab w:val="num" w:pos="1247"/>
        </w:tabs>
        <w:ind w:left="0" w:firstLine="0"/>
      </w:pPr>
      <w:rPr>
        <w:rFonts w:ascii="Verdana" w:hAnsi="Verdana" w:hint="default"/>
        <w:b w:val="0"/>
        <w:i w:val="0"/>
        <w:sz w:val="20"/>
      </w:rPr>
    </w:lvl>
    <w:lvl w:ilvl="1" w:tplc="04090003">
      <w:start w:val="1"/>
      <w:numFmt w:val="lowerLetter"/>
      <w:lvlText w:val="%2)"/>
      <w:lvlJc w:val="left"/>
      <w:pPr>
        <w:tabs>
          <w:tab w:val="num" w:pos="1080"/>
        </w:tabs>
        <w:ind w:left="1080" w:hanging="360"/>
      </w:pPr>
      <w:rPr>
        <w:rFonts w:hint="default"/>
        <w:b w:val="0"/>
        <w:i w:val="0"/>
        <w:sz w:val="20"/>
      </w:r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7EA012FB"/>
    <w:multiLevelType w:val="hybridMultilevel"/>
    <w:tmpl w:val="B832DD1A"/>
    <w:lvl w:ilvl="0" w:tplc="DBBC5F56">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6"/>
  </w:num>
  <w:num w:numId="3">
    <w:abstractNumId w:val="16"/>
  </w:num>
  <w:num w:numId="4">
    <w:abstractNumId w:val="15"/>
  </w:num>
  <w:num w:numId="5">
    <w:abstractNumId w:val="14"/>
  </w:num>
  <w:num w:numId="6">
    <w:abstractNumId w:val="30"/>
  </w:num>
  <w:num w:numId="7">
    <w:abstractNumId w:val="1"/>
  </w:num>
  <w:num w:numId="8">
    <w:abstractNumId w:val="7"/>
  </w:num>
  <w:num w:numId="9">
    <w:abstractNumId w:val="32"/>
  </w:num>
  <w:num w:numId="10">
    <w:abstractNumId w:val="33"/>
  </w:num>
  <w:num w:numId="11">
    <w:abstractNumId w:val="4"/>
  </w:num>
  <w:num w:numId="12">
    <w:abstractNumId w:val="19"/>
  </w:num>
  <w:num w:numId="13">
    <w:abstractNumId w:val="27"/>
  </w:num>
  <w:num w:numId="14">
    <w:abstractNumId w:val="18"/>
  </w:num>
  <w:num w:numId="15">
    <w:abstractNumId w:val="17"/>
  </w:num>
  <w:num w:numId="16">
    <w:abstractNumId w:val="10"/>
  </w:num>
  <w:num w:numId="17">
    <w:abstractNumId w:val="29"/>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5"/>
  </w:num>
  <w:num w:numId="22">
    <w:abstractNumId w:val="12"/>
  </w:num>
  <w:num w:numId="23">
    <w:abstractNumId w:val="3"/>
  </w:num>
  <w:num w:numId="24">
    <w:abstractNumId w:val="35"/>
  </w:num>
  <w:num w:numId="25">
    <w:abstractNumId w:val="8"/>
  </w:num>
  <w:num w:numId="26">
    <w:abstractNumId w:val="24"/>
  </w:num>
  <w:num w:numId="27">
    <w:abstractNumId w:val="2"/>
  </w:num>
  <w:num w:numId="28">
    <w:abstractNumId w:val="23"/>
  </w:num>
  <w:num w:numId="29">
    <w:abstractNumId w:val="28"/>
  </w:num>
  <w:num w:numId="30">
    <w:abstractNumId w:val="31"/>
  </w:num>
  <w:num w:numId="31">
    <w:abstractNumId w:val="20"/>
  </w:num>
  <w:num w:numId="32">
    <w:abstractNumId w:val="13"/>
  </w:num>
  <w:num w:numId="33">
    <w:abstractNumId w:val="34"/>
  </w:num>
  <w:num w:numId="34">
    <w:abstractNumId w:val="9"/>
  </w:num>
  <w:num w:numId="35">
    <w:abstractNumId w:val="21"/>
  </w:num>
  <w:num w:numId="36">
    <w:abstractNumId w:val="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0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5C51"/>
    <w:rsid w:val="00000AE6"/>
    <w:rsid w:val="00004DD8"/>
    <w:rsid w:val="00011B5C"/>
    <w:rsid w:val="00030D90"/>
    <w:rsid w:val="00031D62"/>
    <w:rsid w:val="000329F3"/>
    <w:rsid w:val="00036122"/>
    <w:rsid w:val="00036BB6"/>
    <w:rsid w:val="000376EA"/>
    <w:rsid w:val="000400E9"/>
    <w:rsid w:val="00042D91"/>
    <w:rsid w:val="00044029"/>
    <w:rsid w:val="00047D9C"/>
    <w:rsid w:val="0005576F"/>
    <w:rsid w:val="00060B36"/>
    <w:rsid w:val="000650F7"/>
    <w:rsid w:val="000669EE"/>
    <w:rsid w:val="000708C4"/>
    <w:rsid w:val="00075D3E"/>
    <w:rsid w:val="0008167F"/>
    <w:rsid w:val="00084472"/>
    <w:rsid w:val="00087B28"/>
    <w:rsid w:val="0009182A"/>
    <w:rsid w:val="000956CA"/>
    <w:rsid w:val="000A0280"/>
    <w:rsid w:val="000A38C2"/>
    <w:rsid w:val="000A3E36"/>
    <w:rsid w:val="000A40BE"/>
    <w:rsid w:val="000B3846"/>
    <w:rsid w:val="000B4263"/>
    <w:rsid w:val="000B4C08"/>
    <w:rsid w:val="000E2DCD"/>
    <w:rsid w:val="0010465F"/>
    <w:rsid w:val="00105172"/>
    <w:rsid w:val="00112B10"/>
    <w:rsid w:val="00114DB7"/>
    <w:rsid w:val="00116582"/>
    <w:rsid w:val="00124893"/>
    <w:rsid w:val="00133CE1"/>
    <w:rsid w:val="00150206"/>
    <w:rsid w:val="00155538"/>
    <w:rsid w:val="001558BE"/>
    <w:rsid w:val="00163226"/>
    <w:rsid w:val="00165005"/>
    <w:rsid w:val="0016787D"/>
    <w:rsid w:val="00171145"/>
    <w:rsid w:val="00171F82"/>
    <w:rsid w:val="00174226"/>
    <w:rsid w:val="00174BC8"/>
    <w:rsid w:val="00180D2C"/>
    <w:rsid w:val="00182C7E"/>
    <w:rsid w:val="0018539B"/>
    <w:rsid w:val="00195C4E"/>
    <w:rsid w:val="001A1A78"/>
    <w:rsid w:val="001A26EE"/>
    <w:rsid w:val="001B43B0"/>
    <w:rsid w:val="001D331C"/>
    <w:rsid w:val="002026EE"/>
    <w:rsid w:val="00214A17"/>
    <w:rsid w:val="00216A8E"/>
    <w:rsid w:val="00223C49"/>
    <w:rsid w:val="00235C9C"/>
    <w:rsid w:val="002363C5"/>
    <w:rsid w:val="002433B5"/>
    <w:rsid w:val="002450F9"/>
    <w:rsid w:val="00245C40"/>
    <w:rsid w:val="00247052"/>
    <w:rsid w:val="00247740"/>
    <w:rsid w:val="00247A50"/>
    <w:rsid w:val="00262BFC"/>
    <w:rsid w:val="002704C9"/>
    <w:rsid w:val="00273044"/>
    <w:rsid w:val="00274379"/>
    <w:rsid w:val="00275FE5"/>
    <w:rsid w:val="0028151B"/>
    <w:rsid w:val="002958FC"/>
    <w:rsid w:val="002A1653"/>
    <w:rsid w:val="002A1C14"/>
    <w:rsid w:val="002B3444"/>
    <w:rsid w:val="002B47F4"/>
    <w:rsid w:val="002D1B5F"/>
    <w:rsid w:val="002D2305"/>
    <w:rsid w:val="002D2401"/>
    <w:rsid w:val="002D67E8"/>
    <w:rsid w:val="002E715A"/>
    <w:rsid w:val="002E7A96"/>
    <w:rsid w:val="002F1DDB"/>
    <w:rsid w:val="002F49BC"/>
    <w:rsid w:val="0030730A"/>
    <w:rsid w:val="003175CA"/>
    <w:rsid w:val="00320657"/>
    <w:rsid w:val="0032153D"/>
    <w:rsid w:val="0032221C"/>
    <w:rsid w:val="00324D5A"/>
    <w:rsid w:val="00325C28"/>
    <w:rsid w:val="00326E7F"/>
    <w:rsid w:val="0033783D"/>
    <w:rsid w:val="003409A4"/>
    <w:rsid w:val="00341595"/>
    <w:rsid w:val="00352EF8"/>
    <w:rsid w:val="003570CB"/>
    <w:rsid w:val="00360788"/>
    <w:rsid w:val="003626C6"/>
    <w:rsid w:val="00386901"/>
    <w:rsid w:val="00397650"/>
    <w:rsid w:val="003A3635"/>
    <w:rsid w:val="003A416C"/>
    <w:rsid w:val="003A5A6F"/>
    <w:rsid w:val="003B083E"/>
    <w:rsid w:val="003B7640"/>
    <w:rsid w:val="003C2584"/>
    <w:rsid w:val="003D069D"/>
    <w:rsid w:val="003D416A"/>
    <w:rsid w:val="003E2C04"/>
    <w:rsid w:val="003F4296"/>
    <w:rsid w:val="003F7034"/>
    <w:rsid w:val="00407FDA"/>
    <w:rsid w:val="00412E70"/>
    <w:rsid w:val="004140B8"/>
    <w:rsid w:val="0041537B"/>
    <w:rsid w:val="004213F2"/>
    <w:rsid w:val="0043447A"/>
    <w:rsid w:val="0043447E"/>
    <w:rsid w:val="0044346D"/>
    <w:rsid w:val="004666D0"/>
    <w:rsid w:val="00471507"/>
    <w:rsid w:val="0047398F"/>
    <w:rsid w:val="004767D7"/>
    <w:rsid w:val="00480F9E"/>
    <w:rsid w:val="004810E3"/>
    <w:rsid w:val="004928CA"/>
    <w:rsid w:val="00494126"/>
    <w:rsid w:val="004A4C04"/>
    <w:rsid w:val="004A7754"/>
    <w:rsid w:val="004B0CBB"/>
    <w:rsid w:val="004B1623"/>
    <w:rsid w:val="004B524B"/>
    <w:rsid w:val="004B6F18"/>
    <w:rsid w:val="004C60F3"/>
    <w:rsid w:val="004C75BA"/>
    <w:rsid w:val="004E3641"/>
    <w:rsid w:val="004F15B4"/>
    <w:rsid w:val="004F263F"/>
    <w:rsid w:val="004F3524"/>
    <w:rsid w:val="00501D36"/>
    <w:rsid w:val="005034CA"/>
    <w:rsid w:val="005129EB"/>
    <w:rsid w:val="005209B2"/>
    <w:rsid w:val="00521722"/>
    <w:rsid w:val="00530BCC"/>
    <w:rsid w:val="00554426"/>
    <w:rsid w:val="00554F4F"/>
    <w:rsid w:val="00555F90"/>
    <w:rsid w:val="0055653A"/>
    <w:rsid w:val="0056202F"/>
    <w:rsid w:val="00564297"/>
    <w:rsid w:val="005729AF"/>
    <w:rsid w:val="005823E7"/>
    <w:rsid w:val="005A2C6B"/>
    <w:rsid w:val="005A3B57"/>
    <w:rsid w:val="005B3290"/>
    <w:rsid w:val="005B4BD0"/>
    <w:rsid w:val="005E01C2"/>
    <w:rsid w:val="005F40B0"/>
    <w:rsid w:val="005F511B"/>
    <w:rsid w:val="005F7A5C"/>
    <w:rsid w:val="00601E3D"/>
    <w:rsid w:val="00607959"/>
    <w:rsid w:val="00610BDE"/>
    <w:rsid w:val="00612591"/>
    <w:rsid w:val="0061520E"/>
    <w:rsid w:val="006333BC"/>
    <w:rsid w:val="0064446E"/>
    <w:rsid w:val="006538EA"/>
    <w:rsid w:val="00653D69"/>
    <w:rsid w:val="00660B96"/>
    <w:rsid w:val="006723C6"/>
    <w:rsid w:val="00675A2B"/>
    <w:rsid w:val="00693F5B"/>
    <w:rsid w:val="006B0972"/>
    <w:rsid w:val="006B357F"/>
    <w:rsid w:val="006B453D"/>
    <w:rsid w:val="006B63EA"/>
    <w:rsid w:val="006C264D"/>
    <w:rsid w:val="006D234B"/>
    <w:rsid w:val="006D3077"/>
    <w:rsid w:val="006E2F46"/>
    <w:rsid w:val="006E71E1"/>
    <w:rsid w:val="006E7525"/>
    <w:rsid w:val="006F2B28"/>
    <w:rsid w:val="006F52B8"/>
    <w:rsid w:val="00706AE3"/>
    <w:rsid w:val="00707139"/>
    <w:rsid w:val="00722198"/>
    <w:rsid w:val="00725080"/>
    <w:rsid w:val="00726DF7"/>
    <w:rsid w:val="007314B5"/>
    <w:rsid w:val="007322EC"/>
    <w:rsid w:val="00742F34"/>
    <w:rsid w:val="00743260"/>
    <w:rsid w:val="00760304"/>
    <w:rsid w:val="007667C9"/>
    <w:rsid w:val="007700C5"/>
    <w:rsid w:val="00772313"/>
    <w:rsid w:val="00781B6D"/>
    <w:rsid w:val="0078310E"/>
    <w:rsid w:val="00786591"/>
    <w:rsid w:val="007A6859"/>
    <w:rsid w:val="007B310A"/>
    <w:rsid w:val="007B6222"/>
    <w:rsid w:val="007B77B3"/>
    <w:rsid w:val="007D2CC8"/>
    <w:rsid w:val="007D5D5D"/>
    <w:rsid w:val="007D6ADD"/>
    <w:rsid w:val="007E5602"/>
    <w:rsid w:val="007F6640"/>
    <w:rsid w:val="00801F8C"/>
    <w:rsid w:val="008033B8"/>
    <w:rsid w:val="008048B4"/>
    <w:rsid w:val="0081599B"/>
    <w:rsid w:val="008355DE"/>
    <w:rsid w:val="0083706C"/>
    <w:rsid w:val="008415F9"/>
    <w:rsid w:val="00842071"/>
    <w:rsid w:val="00844C91"/>
    <w:rsid w:val="008500CF"/>
    <w:rsid w:val="0085286B"/>
    <w:rsid w:val="0085475E"/>
    <w:rsid w:val="0086169E"/>
    <w:rsid w:val="008644B9"/>
    <w:rsid w:val="00883880"/>
    <w:rsid w:val="00893961"/>
    <w:rsid w:val="00895715"/>
    <w:rsid w:val="008A5983"/>
    <w:rsid w:val="008A6F3C"/>
    <w:rsid w:val="008B0DF1"/>
    <w:rsid w:val="008B50A3"/>
    <w:rsid w:val="008D1668"/>
    <w:rsid w:val="008D4DF6"/>
    <w:rsid w:val="008F5C51"/>
    <w:rsid w:val="00900D01"/>
    <w:rsid w:val="00902644"/>
    <w:rsid w:val="0091048B"/>
    <w:rsid w:val="00911D16"/>
    <w:rsid w:val="00922240"/>
    <w:rsid w:val="009243F7"/>
    <w:rsid w:val="00951381"/>
    <w:rsid w:val="00954B69"/>
    <w:rsid w:val="009578EF"/>
    <w:rsid w:val="00963B83"/>
    <w:rsid w:val="009649E7"/>
    <w:rsid w:val="00965BC8"/>
    <w:rsid w:val="009673FA"/>
    <w:rsid w:val="0096742D"/>
    <w:rsid w:val="00973240"/>
    <w:rsid w:val="009749CC"/>
    <w:rsid w:val="00976D7F"/>
    <w:rsid w:val="009817B0"/>
    <w:rsid w:val="00985559"/>
    <w:rsid w:val="0098703E"/>
    <w:rsid w:val="00990AF9"/>
    <w:rsid w:val="00991BD8"/>
    <w:rsid w:val="009A2989"/>
    <w:rsid w:val="009B08D6"/>
    <w:rsid w:val="009B0E40"/>
    <w:rsid w:val="009B5517"/>
    <w:rsid w:val="009C32DF"/>
    <w:rsid w:val="009C6B84"/>
    <w:rsid w:val="009E4394"/>
    <w:rsid w:val="009E6634"/>
    <w:rsid w:val="009E6E11"/>
    <w:rsid w:val="009E7428"/>
    <w:rsid w:val="009F0124"/>
    <w:rsid w:val="009F0896"/>
    <w:rsid w:val="00A05147"/>
    <w:rsid w:val="00A059DA"/>
    <w:rsid w:val="00A113B7"/>
    <w:rsid w:val="00A22046"/>
    <w:rsid w:val="00A22220"/>
    <w:rsid w:val="00A22967"/>
    <w:rsid w:val="00A229B7"/>
    <w:rsid w:val="00A35102"/>
    <w:rsid w:val="00A43A4A"/>
    <w:rsid w:val="00A43C0A"/>
    <w:rsid w:val="00A471C8"/>
    <w:rsid w:val="00A47C22"/>
    <w:rsid w:val="00A5156F"/>
    <w:rsid w:val="00A53814"/>
    <w:rsid w:val="00A5795B"/>
    <w:rsid w:val="00A63286"/>
    <w:rsid w:val="00A64B8C"/>
    <w:rsid w:val="00A75D28"/>
    <w:rsid w:val="00A800C0"/>
    <w:rsid w:val="00A85AB3"/>
    <w:rsid w:val="00A938E6"/>
    <w:rsid w:val="00A96A8F"/>
    <w:rsid w:val="00AA2095"/>
    <w:rsid w:val="00AA5814"/>
    <w:rsid w:val="00AB5F8C"/>
    <w:rsid w:val="00AC2F09"/>
    <w:rsid w:val="00AC5EA8"/>
    <w:rsid w:val="00AD51E4"/>
    <w:rsid w:val="00AD66BF"/>
    <w:rsid w:val="00AE00B9"/>
    <w:rsid w:val="00AE6F85"/>
    <w:rsid w:val="00AF7F37"/>
    <w:rsid w:val="00B0128A"/>
    <w:rsid w:val="00B02D69"/>
    <w:rsid w:val="00B04536"/>
    <w:rsid w:val="00B04B12"/>
    <w:rsid w:val="00B11A81"/>
    <w:rsid w:val="00B13869"/>
    <w:rsid w:val="00B357AC"/>
    <w:rsid w:val="00B421E9"/>
    <w:rsid w:val="00B47C5A"/>
    <w:rsid w:val="00B50FE1"/>
    <w:rsid w:val="00B5152F"/>
    <w:rsid w:val="00B55E3F"/>
    <w:rsid w:val="00B65AE4"/>
    <w:rsid w:val="00B71848"/>
    <w:rsid w:val="00B73956"/>
    <w:rsid w:val="00B85557"/>
    <w:rsid w:val="00B87250"/>
    <w:rsid w:val="00B877FB"/>
    <w:rsid w:val="00B94B86"/>
    <w:rsid w:val="00B96CD0"/>
    <w:rsid w:val="00BA07B6"/>
    <w:rsid w:val="00BA276F"/>
    <w:rsid w:val="00BA329E"/>
    <w:rsid w:val="00BA466D"/>
    <w:rsid w:val="00BA76AF"/>
    <w:rsid w:val="00BB16F7"/>
    <w:rsid w:val="00BB4172"/>
    <w:rsid w:val="00BC0B68"/>
    <w:rsid w:val="00BC19DE"/>
    <w:rsid w:val="00BC4535"/>
    <w:rsid w:val="00BC6B10"/>
    <w:rsid w:val="00BC7D67"/>
    <w:rsid w:val="00BD3FE0"/>
    <w:rsid w:val="00BD52B2"/>
    <w:rsid w:val="00BF1FE5"/>
    <w:rsid w:val="00BF4729"/>
    <w:rsid w:val="00C02D35"/>
    <w:rsid w:val="00C043EC"/>
    <w:rsid w:val="00C05869"/>
    <w:rsid w:val="00C07A27"/>
    <w:rsid w:val="00C155DE"/>
    <w:rsid w:val="00C1649A"/>
    <w:rsid w:val="00C23969"/>
    <w:rsid w:val="00C31B93"/>
    <w:rsid w:val="00C34E34"/>
    <w:rsid w:val="00C436F6"/>
    <w:rsid w:val="00C517FB"/>
    <w:rsid w:val="00C52D84"/>
    <w:rsid w:val="00C5557D"/>
    <w:rsid w:val="00C60625"/>
    <w:rsid w:val="00C63506"/>
    <w:rsid w:val="00C65020"/>
    <w:rsid w:val="00C66D9C"/>
    <w:rsid w:val="00C759B1"/>
    <w:rsid w:val="00C76C28"/>
    <w:rsid w:val="00C839BE"/>
    <w:rsid w:val="00C84480"/>
    <w:rsid w:val="00C93C98"/>
    <w:rsid w:val="00CA31C7"/>
    <w:rsid w:val="00CA5ECA"/>
    <w:rsid w:val="00CB2935"/>
    <w:rsid w:val="00CB636A"/>
    <w:rsid w:val="00CD17F6"/>
    <w:rsid w:val="00CD552B"/>
    <w:rsid w:val="00CE68CE"/>
    <w:rsid w:val="00CE6EFE"/>
    <w:rsid w:val="00D04C93"/>
    <w:rsid w:val="00D06C17"/>
    <w:rsid w:val="00D109A1"/>
    <w:rsid w:val="00D12B37"/>
    <w:rsid w:val="00D16AD8"/>
    <w:rsid w:val="00D215EF"/>
    <w:rsid w:val="00D27C49"/>
    <w:rsid w:val="00D30EF2"/>
    <w:rsid w:val="00D36F80"/>
    <w:rsid w:val="00D454E3"/>
    <w:rsid w:val="00D47096"/>
    <w:rsid w:val="00D54D38"/>
    <w:rsid w:val="00D55E3A"/>
    <w:rsid w:val="00D6622F"/>
    <w:rsid w:val="00D75E85"/>
    <w:rsid w:val="00D834B0"/>
    <w:rsid w:val="00D85837"/>
    <w:rsid w:val="00D90890"/>
    <w:rsid w:val="00D90A25"/>
    <w:rsid w:val="00DA4FC6"/>
    <w:rsid w:val="00DA5262"/>
    <w:rsid w:val="00DB0792"/>
    <w:rsid w:val="00DB1813"/>
    <w:rsid w:val="00DB4C3F"/>
    <w:rsid w:val="00DB5843"/>
    <w:rsid w:val="00DB76C1"/>
    <w:rsid w:val="00DC5A1D"/>
    <w:rsid w:val="00DF29BE"/>
    <w:rsid w:val="00DF2F13"/>
    <w:rsid w:val="00DF37FB"/>
    <w:rsid w:val="00DF3C2C"/>
    <w:rsid w:val="00E03080"/>
    <w:rsid w:val="00E1151B"/>
    <w:rsid w:val="00E165EB"/>
    <w:rsid w:val="00E20318"/>
    <w:rsid w:val="00E3159F"/>
    <w:rsid w:val="00E36D51"/>
    <w:rsid w:val="00E3731F"/>
    <w:rsid w:val="00E40688"/>
    <w:rsid w:val="00E414A1"/>
    <w:rsid w:val="00E448F8"/>
    <w:rsid w:val="00E5165A"/>
    <w:rsid w:val="00E533DD"/>
    <w:rsid w:val="00E53A33"/>
    <w:rsid w:val="00E61F92"/>
    <w:rsid w:val="00E64EE5"/>
    <w:rsid w:val="00E67EC3"/>
    <w:rsid w:val="00E7087F"/>
    <w:rsid w:val="00E70B2F"/>
    <w:rsid w:val="00E73832"/>
    <w:rsid w:val="00E8110C"/>
    <w:rsid w:val="00EB12FC"/>
    <w:rsid w:val="00EB76EF"/>
    <w:rsid w:val="00EB7D6B"/>
    <w:rsid w:val="00EC1C5B"/>
    <w:rsid w:val="00ED1E9E"/>
    <w:rsid w:val="00EE2934"/>
    <w:rsid w:val="00EF3A8F"/>
    <w:rsid w:val="00EF6BD1"/>
    <w:rsid w:val="00F004AC"/>
    <w:rsid w:val="00F01FA8"/>
    <w:rsid w:val="00F024FE"/>
    <w:rsid w:val="00F04F3B"/>
    <w:rsid w:val="00F114C0"/>
    <w:rsid w:val="00F1222B"/>
    <w:rsid w:val="00F20C22"/>
    <w:rsid w:val="00F21D14"/>
    <w:rsid w:val="00F22F82"/>
    <w:rsid w:val="00F24620"/>
    <w:rsid w:val="00F3378F"/>
    <w:rsid w:val="00F34E48"/>
    <w:rsid w:val="00F37B4F"/>
    <w:rsid w:val="00F40A5C"/>
    <w:rsid w:val="00F4147B"/>
    <w:rsid w:val="00F41485"/>
    <w:rsid w:val="00F44704"/>
    <w:rsid w:val="00F51CDB"/>
    <w:rsid w:val="00F53F5F"/>
    <w:rsid w:val="00F60174"/>
    <w:rsid w:val="00F60AEC"/>
    <w:rsid w:val="00F67C09"/>
    <w:rsid w:val="00F71460"/>
    <w:rsid w:val="00F71E53"/>
    <w:rsid w:val="00F74395"/>
    <w:rsid w:val="00F87737"/>
    <w:rsid w:val="00F96018"/>
    <w:rsid w:val="00F97E7B"/>
    <w:rsid w:val="00FB2B5B"/>
    <w:rsid w:val="00FC05DF"/>
    <w:rsid w:val="00FC6521"/>
    <w:rsid w:val="00FD4FE2"/>
    <w:rsid w:val="00FD64F7"/>
    <w:rsid w:val="00FD7633"/>
    <w:rsid w:val="00FE42D8"/>
    <w:rsid w:val="00FF1039"/>
    <w:rsid w:val="00FF27EF"/>
    <w:rsid w:val="00FF2B29"/>
    <w:rsid w:val="00FF4FA7"/>
    <w:rsid w:val="00FF5A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Batang" w:hAnsi="Cambri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C51"/>
    <w:pPr>
      <w:jc w:val="both"/>
    </w:pPr>
    <w:rPr>
      <w:rFonts w:ascii="Verdana" w:hAnsi="Verdana"/>
      <w:szCs w:val="24"/>
      <w:lang w:val="es-ES_tradnl" w:eastAsia="en-US"/>
    </w:rPr>
  </w:style>
  <w:style w:type="paragraph" w:styleId="Ttulo1">
    <w:name w:val="heading 1"/>
    <w:basedOn w:val="Normal"/>
    <w:next w:val="Normal"/>
    <w:link w:val="Ttulo1Car"/>
    <w:qFormat/>
    <w:rsid w:val="008F5C51"/>
    <w:pPr>
      <w:keepNext/>
      <w:keepLines/>
      <w:jc w:val="center"/>
      <w:outlineLvl w:val="0"/>
    </w:pPr>
    <w:rPr>
      <w:rFonts w:eastAsia="Times New Roman"/>
      <w:b/>
      <w:bCs/>
      <w:szCs w:val="32"/>
    </w:rPr>
  </w:style>
  <w:style w:type="paragraph" w:styleId="Ttulo2">
    <w:name w:val="heading 2"/>
    <w:basedOn w:val="Normal"/>
    <w:next w:val="Normal"/>
    <w:link w:val="Ttulo2Car"/>
    <w:qFormat/>
    <w:rsid w:val="008F5C51"/>
    <w:pPr>
      <w:keepNext/>
      <w:keepLines/>
      <w:spacing w:before="200"/>
      <w:outlineLvl w:val="1"/>
    </w:pPr>
    <w:rPr>
      <w:rFonts w:eastAsia="Times New Roman"/>
      <w:b/>
      <w:bCs/>
      <w:szCs w:val="26"/>
    </w:rPr>
  </w:style>
  <w:style w:type="paragraph" w:styleId="Ttulo3">
    <w:name w:val="heading 3"/>
    <w:basedOn w:val="Normal"/>
    <w:next w:val="Normal"/>
    <w:link w:val="Ttulo3Car"/>
    <w:autoRedefine/>
    <w:qFormat/>
    <w:rsid w:val="00550FE5"/>
    <w:pPr>
      <w:keepNext/>
      <w:spacing w:before="240" w:after="60"/>
      <w:outlineLvl w:val="2"/>
    </w:pPr>
    <w:rPr>
      <w:rFonts w:eastAsia="Times New Roman"/>
      <w:b/>
      <w:bCs/>
      <w:i/>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rsid w:val="004F4A13"/>
    <w:rPr>
      <w:sz w:val="20"/>
      <w:vertAlign w:val="superscript"/>
    </w:rPr>
  </w:style>
  <w:style w:type="paragraph" w:styleId="Ttulo">
    <w:name w:val="Title"/>
    <w:basedOn w:val="Normal"/>
    <w:next w:val="Normal"/>
    <w:link w:val="TtuloCar"/>
    <w:uiPriority w:val="10"/>
    <w:qFormat/>
    <w:rsid w:val="008F5C51"/>
    <w:pPr>
      <w:pBdr>
        <w:bottom w:val="single" w:sz="8" w:space="4" w:color="4F81BD"/>
      </w:pBdr>
      <w:spacing w:after="300"/>
      <w:contextualSpacing/>
      <w:jc w:val="center"/>
    </w:pPr>
    <w:rPr>
      <w:rFonts w:eastAsia="Times New Roman"/>
      <w:b/>
      <w:spacing w:val="5"/>
      <w:kern w:val="28"/>
      <w:szCs w:val="52"/>
    </w:rPr>
  </w:style>
  <w:style w:type="character" w:customStyle="1" w:styleId="TtuloCar">
    <w:name w:val="Título Car"/>
    <w:link w:val="Ttulo"/>
    <w:uiPriority w:val="10"/>
    <w:rsid w:val="008F5C51"/>
    <w:rPr>
      <w:rFonts w:ascii="Verdana" w:eastAsia="Times New Roman" w:hAnsi="Verdana" w:cs="Times New Roman"/>
      <w:b/>
      <w:spacing w:val="5"/>
      <w:kern w:val="28"/>
      <w:sz w:val="20"/>
      <w:szCs w:val="52"/>
      <w:lang w:val="es-ES_tradnl"/>
    </w:rPr>
  </w:style>
  <w:style w:type="paragraph" w:styleId="Subttulo">
    <w:name w:val="Subtitle"/>
    <w:basedOn w:val="Normal"/>
    <w:next w:val="Normal"/>
    <w:link w:val="SubttuloCar"/>
    <w:uiPriority w:val="11"/>
    <w:qFormat/>
    <w:rsid w:val="008F5C51"/>
    <w:pPr>
      <w:numPr>
        <w:ilvl w:val="1"/>
      </w:numPr>
    </w:pPr>
    <w:rPr>
      <w:rFonts w:eastAsia="Times New Roman"/>
      <w:b/>
      <w:iCs/>
      <w:spacing w:val="15"/>
    </w:rPr>
  </w:style>
  <w:style w:type="character" w:customStyle="1" w:styleId="SubttuloCar">
    <w:name w:val="Subtítulo Car"/>
    <w:link w:val="Subttulo"/>
    <w:uiPriority w:val="11"/>
    <w:rsid w:val="008F5C51"/>
    <w:rPr>
      <w:rFonts w:ascii="Verdana" w:eastAsia="Times New Roman" w:hAnsi="Verdana" w:cs="Times New Roman"/>
      <w:b/>
      <w:iCs/>
      <w:spacing w:val="15"/>
      <w:sz w:val="20"/>
      <w:lang w:val="es-ES_tradnl"/>
    </w:rPr>
  </w:style>
  <w:style w:type="character" w:customStyle="1" w:styleId="Ttulo1Car">
    <w:name w:val="Título 1 Car"/>
    <w:link w:val="Ttulo1"/>
    <w:rsid w:val="008F5C51"/>
    <w:rPr>
      <w:rFonts w:ascii="Verdana" w:eastAsia="Times New Roman" w:hAnsi="Verdana" w:cs="Times New Roman"/>
      <w:b/>
      <w:bCs/>
      <w:sz w:val="20"/>
      <w:szCs w:val="32"/>
      <w:lang w:val="es-ES_tradnl"/>
    </w:rPr>
  </w:style>
  <w:style w:type="character" w:customStyle="1" w:styleId="Ttulo2Car">
    <w:name w:val="Título 2 Car"/>
    <w:link w:val="Ttulo2"/>
    <w:rsid w:val="008F5C51"/>
    <w:rPr>
      <w:rFonts w:ascii="Verdana" w:eastAsia="Times New Roman" w:hAnsi="Verdana" w:cs="Times New Roman"/>
      <w:b/>
      <w:bCs/>
      <w:sz w:val="20"/>
      <w:szCs w:val="26"/>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rsid w:val="00E274FC"/>
    <w:rPr>
      <w:rFonts w:eastAsia="Times"/>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link w:val="Textonotapie"/>
    <w:rsid w:val="00E274FC"/>
    <w:rPr>
      <w:rFonts w:ascii="Verdana" w:eastAsia="Times" w:hAnsi="Verdana"/>
      <w:sz w:val="16"/>
      <w:lang w:val="es-ES_tradnl"/>
    </w:rPr>
  </w:style>
  <w:style w:type="character" w:styleId="Refdecomentario">
    <w:name w:val="annotation reference"/>
    <w:rsid w:val="00D135A1"/>
    <w:rPr>
      <w:sz w:val="18"/>
      <w:szCs w:val="18"/>
    </w:rPr>
  </w:style>
  <w:style w:type="paragraph" w:styleId="Textocomentario">
    <w:name w:val="annotation text"/>
    <w:basedOn w:val="Normal"/>
    <w:link w:val="TextocomentarioCar"/>
    <w:rsid w:val="00D135A1"/>
    <w:rPr>
      <w:sz w:val="24"/>
    </w:rPr>
  </w:style>
  <w:style w:type="character" w:customStyle="1" w:styleId="TextocomentarioCar">
    <w:name w:val="Texto comentario Car"/>
    <w:link w:val="Textocomentario"/>
    <w:rsid w:val="00D135A1"/>
    <w:rPr>
      <w:rFonts w:ascii="Verdana" w:hAnsi="Verdana"/>
      <w:sz w:val="24"/>
      <w:szCs w:val="24"/>
      <w:lang w:val="es-ES_tradnl"/>
    </w:rPr>
  </w:style>
  <w:style w:type="paragraph" w:styleId="Asuntodelcomentario">
    <w:name w:val="annotation subject"/>
    <w:basedOn w:val="Textocomentario"/>
    <w:next w:val="Textocomentario"/>
    <w:link w:val="AsuntodelcomentarioCar"/>
    <w:rsid w:val="00D135A1"/>
    <w:rPr>
      <w:b/>
      <w:bCs/>
      <w:sz w:val="20"/>
      <w:szCs w:val="20"/>
    </w:rPr>
  </w:style>
  <w:style w:type="character" w:customStyle="1" w:styleId="AsuntodelcomentarioCar">
    <w:name w:val="Asunto del comentario Car"/>
    <w:link w:val="Asuntodelcomentario"/>
    <w:rsid w:val="00D135A1"/>
    <w:rPr>
      <w:rFonts w:ascii="Verdana" w:hAnsi="Verdana"/>
      <w:b/>
      <w:bCs/>
      <w:sz w:val="24"/>
      <w:szCs w:val="24"/>
      <w:lang w:val="es-ES_tradnl"/>
    </w:rPr>
  </w:style>
  <w:style w:type="paragraph" w:styleId="Textodeglobo">
    <w:name w:val="Balloon Text"/>
    <w:basedOn w:val="Normal"/>
    <w:link w:val="TextodegloboCar"/>
    <w:rsid w:val="00D135A1"/>
    <w:rPr>
      <w:rFonts w:ascii="Lucida Grande" w:hAnsi="Lucida Grande"/>
      <w:sz w:val="18"/>
      <w:szCs w:val="18"/>
    </w:rPr>
  </w:style>
  <w:style w:type="character" w:customStyle="1" w:styleId="TextodegloboCar">
    <w:name w:val="Texto de globo Car"/>
    <w:link w:val="Textodeglobo"/>
    <w:rsid w:val="00D135A1"/>
    <w:rPr>
      <w:rFonts w:ascii="Lucida Grande" w:hAnsi="Lucida Grande"/>
      <w:sz w:val="18"/>
      <w:szCs w:val="18"/>
      <w:lang w:val="es-ES_tradnl"/>
    </w:rPr>
  </w:style>
  <w:style w:type="paragraph" w:styleId="Textodebloque">
    <w:name w:val="Block Text"/>
    <w:basedOn w:val="Normal"/>
    <w:rsid w:val="00C25DE5"/>
    <w:pPr>
      <w:ind w:left="720" w:right="764"/>
    </w:pPr>
    <w:rPr>
      <w:rFonts w:eastAsia="Times New Roman"/>
      <w:sz w:val="18"/>
      <w:szCs w:val="20"/>
    </w:rPr>
  </w:style>
  <w:style w:type="paragraph" w:styleId="Piedepgina">
    <w:name w:val="footer"/>
    <w:basedOn w:val="Normal"/>
    <w:link w:val="PiedepginaCar"/>
    <w:rsid w:val="0007162E"/>
    <w:pPr>
      <w:tabs>
        <w:tab w:val="center" w:pos="4320"/>
        <w:tab w:val="right" w:pos="8640"/>
      </w:tabs>
    </w:pPr>
  </w:style>
  <w:style w:type="character" w:customStyle="1" w:styleId="PiedepginaCar">
    <w:name w:val="Pie de página Car"/>
    <w:link w:val="Piedepgina"/>
    <w:rsid w:val="0007162E"/>
    <w:rPr>
      <w:rFonts w:ascii="Verdana" w:hAnsi="Verdana"/>
      <w:szCs w:val="24"/>
      <w:lang w:val="es-ES_tradnl"/>
    </w:rPr>
  </w:style>
  <w:style w:type="character" w:styleId="Nmerodepgina">
    <w:name w:val="page number"/>
    <w:basedOn w:val="Fuentedeprrafopredeter"/>
    <w:rsid w:val="0007162E"/>
  </w:style>
  <w:style w:type="paragraph" w:styleId="Prrafodelista">
    <w:name w:val="List Paragraph"/>
    <w:basedOn w:val="Normal"/>
    <w:uiPriority w:val="34"/>
    <w:qFormat/>
    <w:rsid w:val="00C92086"/>
    <w:pPr>
      <w:ind w:left="720"/>
    </w:pPr>
  </w:style>
  <w:style w:type="character" w:customStyle="1" w:styleId="Ttulo3Car">
    <w:name w:val="Título 3 Car"/>
    <w:link w:val="Ttulo3"/>
    <w:rsid w:val="00550FE5"/>
    <w:rPr>
      <w:rFonts w:ascii="Verdana" w:eastAsia="Times New Roman" w:hAnsi="Verdana"/>
      <w:b/>
      <w:bCs/>
      <w:i/>
      <w:szCs w:val="26"/>
      <w:lang w:val="es-ES_tradnl"/>
    </w:rPr>
  </w:style>
  <w:style w:type="paragraph" w:styleId="Encabezado">
    <w:name w:val="header"/>
    <w:basedOn w:val="Normal"/>
    <w:link w:val="EncabezadoCar"/>
    <w:uiPriority w:val="99"/>
    <w:rsid w:val="00B11900"/>
    <w:pPr>
      <w:tabs>
        <w:tab w:val="center" w:pos="4320"/>
        <w:tab w:val="right" w:pos="8640"/>
      </w:tabs>
      <w:jc w:val="left"/>
    </w:pPr>
    <w:rPr>
      <w:rFonts w:ascii="Times" w:hAnsi="Times"/>
      <w:color w:val="000000"/>
      <w:sz w:val="24"/>
      <w:szCs w:val="20"/>
    </w:rPr>
  </w:style>
  <w:style w:type="character" w:customStyle="1" w:styleId="EncabezadoCar">
    <w:name w:val="Encabezado Car"/>
    <w:link w:val="Encabezado"/>
    <w:uiPriority w:val="99"/>
    <w:rsid w:val="00B11900"/>
    <w:rPr>
      <w:rFonts w:ascii="Times" w:eastAsia="Batang" w:hAnsi="Times"/>
      <w:color w:val="000000"/>
      <w:sz w:val="24"/>
      <w:lang w:val="es-ES_tradnl"/>
    </w:rPr>
  </w:style>
  <w:style w:type="character" w:customStyle="1" w:styleId="shorttext">
    <w:name w:val="short_text"/>
    <w:basedOn w:val="Fuentedeprrafopredeter"/>
    <w:rsid w:val="004D470F"/>
  </w:style>
  <w:style w:type="paragraph" w:styleId="NormalWeb">
    <w:name w:val="Normal (Web)"/>
    <w:basedOn w:val="Normal"/>
    <w:rsid w:val="00F37B4F"/>
    <w:pPr>
      <w:jc w:val="left"/>
    </w:pPr>
    <w:rPr>
      <w:rFonts w:ascii="Times New Roman" w:hAnsi="Times New Roman"/>
      <w:sz w:val="24"/>
    </w:rPr>
  </w:style>
  <w:style w:type="paragraph" w:styleId="Revisin">
    <w:name w:val="Revision"/>
    <w:hidden/>
    <w:uiPriority w:val="99"/>
    <w:semiHidden/>
    <w:rsid w:val="00760304"/>
    <w:rPr>
      <w:rFonts w:ascii="Verdana" w:hAnsi="Verdana"/>
      <w:szCs w:val="24"/>
      <w:lang w:val="es-ES_tradnl" w:eastAsia="en-US"/>
    </w:rPr>
  </w:style>
  <w:style w:type="paragraph" w:customStyle="1" w:styleId="Default">
    <w:name w:val="Default"/>
    <w:rsid w:val="00AE00B9"/>
    <w:pPr>
      <w:autoSpaceDE w:val="0"/>
      <w:autoSpaceDN w:val="0"/>
      <w:adjustRightInd w:val="0"/>
    </w:pPr>
    <w:rPr>
      <w:rFonts w:ascii="Arial" w:eastAsia="Calibri" w:hAnsi="Arial" w:cs="Arial"/>
      <w:color w:val="000000"/>
      <w:sz w:val="24"/>
      <w:szCs w:val="24"/>
      <w:lang w:val="es-ES" w:eastAsia="en-US"/>
    </w:rPr>
  </w:style>
  <w:style w:type="character" w:customStyle="1" w:styleId="normal--char">
    <w:name w:val="normal--char"/>
    <w:basedOn w:val="Fuentedeprrafopredeter"/>
    <w:rsid w:val="00E61F92"/>
  </w:style>
  <w:style w:type="character" w:customStyle="1" w:styleId="ju-005fpara-002cleft-002cfirst-0020line-003a-0020-00200-0020cm--char">
    <w:name w:val="ju-005fpara-002cleft-002cfirst-0020line-003a-0020-00200-0020cm--char"/>
    <w:basedOn w:val="Fuentedeprrafopredeter"/>
    <w:rsid w:val="00E61F92"/>
  </w:style>
  <w:style w:type="character" w:customStyle="1" w:styleId="FootnoteTextChar1">
    <w:name w:val="Footnote Text Char1"/>
    <w:aliases w:val="Footnote Text Char Char Char Char Char Char1,Footnote Text Char Char Char Char Char2,FA Fu Char1,Footnote reference Char1,Footnote Text Char Char Char Char2,NOTA AL PIE TESIS PUCP Char1,Footnote Text Cha Char1,FA Fußnotentext Char1"/>
    <w:uiPriority w:val="99"/>
    <w:locked/>
    <w:rsid w:val="00B13869"/>
    <w:rPr>
      <w:rFonts w:cs="Times New Roman"/>
      <w:lang w:val="en-US" w:eastAsia="en-US" w:bidi="ar-SA"/>
    </w:rPr>
  </w:style>
  <w:style w:type="paragraph" w:customStyle="1" w:styleId="Prrafodelista1">
    <w:name w:val="Párrafo de lista1"/>
    <w:basedOn w:val="Normal"/>
    <w:uiPriority w:val="34"/>
    <w:qFormat/>
    <w:rsid w:val="00BD52B2"/>
    <w:pPr>
      <w:ind w:left="720"/>
    </w:pPr>
  </w:style>
  <w:style w:type="paragraph" w:customStyle="1" w:styleId="Body1">
    <w:name w:val="Body 1"/>
    <w:uiPriority w:val="99"/>
    <w:rsid w:val="004F3524"/>
    <w:pPr>
      <w:outlineLvl w:val="0"/>
    </w:pPr>
    <w:rPr>
      <w:rFonts w:ascii="Times New Roman" w:eastAsia="Calibri" w:hAnsi="Times New Roman"/>
      <w:color w:val="000000"/>
      <w:sz w:val="24"/>
      <w:lang w:val="en-US" w:eastAsia="en-US"/>
    </w:rPr>
  </w:style>
  <w:style w:type="paragraph" w:styleId="Mapadeldocumento">
    <w:name w:val="Document Map"/>
    <w:basedOn w:val="Normal"/>
    <w:link w:val="MapadeldocumentoCar"/>
    <w:uiPriority w:val="99"/>
    <w:semiHidden/>
    <w:unhideWhenUsed/>
    <w:rsid w:val="00324D5A"/>
    <w:rPr>
      <w:rFonts w:ascii="Tahoma" w:hAnsi="Tahoma" w:cs="Tahoma"/>
      <w:sz w:val="16"/>
      <w:szCs w:val="16"/>
    </w:rPr>
  </w:style>
  <w:style w:type="character" w:customStyle="1" w:styleId="MapadeldocumentoCar">
    <w:name w:val="Mapa del documento Car"/>
    <w:link w:val="Mapadeldocumento"/>
    <w:uiPriority w:val="99"/>
    <w:semiHidden/>
    <w:rsid w:val="00324D5A"/>
    <w:rPr>
      <w:rFonts w:ascii="Tahoma" w:hAnsi="Tahoma" w:cs="Tahoma"/>
      <w:sz w:val="16"/>
      <w:szCs w:val="1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131424">
      <w:bodyDiv w:val="1"/>
      <w:marLeft w:val="0"/>
      <w:marRight w:val="0"/>
      <w:marTop w:val="0"/>
      <w:marBottom w:val="0"/>
      <w:divBdr>
        <w:top w:val="none" w:sz="0" w:space="0" w:color="auto"/>
        <w:left w:val="none" w:sz="0" w:space="0" w:color="auto"/>
        <w:bottom w:val="none" w:sz="0" w:space="0" w:color="auto"/>
        <w:right w:val="none" w:sz="0" w:space="0" w:color="auto"/>
      </w:divBdr>
    </w:div>
    <w:div w:id="1490365014">
      <w:bodyDiv w:val="1"/>
      <w:marLeft w:val="0"/>
      <w:marRight w:val="0"/>
      <w:marTop w:val="0"/>
      <w:marBottom w:val="0"/>
      <w:divBdr>
        <w:top w:val="none" w:sz="0" w:space="0" w:color="auto"/>
        <w:left w:val="none" w:sz="0" w:space="0" w:color="auto"/>
        <w:bottom w:val="none" w:sz="0" w:space="0" w:color="auto"/>
        <w:right w:val="none" w:sz="0" w:space="0" w:color="auto"/>
      </w:divBdr>
    </w:div>
    <w:div w:id="202428434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07190-00CA-4BBA-891F-43659D9FD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2202</Words>
  <Characters>12111</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2017-06-23T19:01:00Z</cp:lastPrinted>
  <dcterms:created xsi:type="dcterms:W3CDTF">2017-06-23T19:01:00Z</dcterms:created>
  <dcterms:modified xsi:type="dcterms:W3CDTF">2017-06-23T19:01:00Z</dcterms:modified>
</cp:coreProperties>
</file>