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7A6E" w:rsidRDefault="00E51623">
      <w:pPr>
        <w:jc w:val="center"/>
        <w:rPr>
          <w:rFonts w:ascii="Verdana" w:hAnsi="Verdana"/>
          <w:b/>
          <w:sz w:val="20"/>
          <w:szCs w:val="20"/>
          <w:lang w:val="es-ES_tradnl"/>
        </w:rPr>
      </w:pPr>
      <w:bookmarkStart w:id="0" w:name="_GoBack"/>
      <w:bookmarkEnd w:id="0"/>
      <w:r>
        <w:rPr>
          <w:rFonts w:ascii="Verdana" w:hAnsi="Verdana"/>
          <w:b/>
          <w:sz w:val="20"/>
          <w:szCs w:val="20"/>
          <w:lang w:val="es-ES_tradnl"/>
        </w:rPr>
        <w:t>Corte Interamericana de Derechos Humanos</w:t>
      </w:r>
    </w:p>
    <w:p w:rsidR="004D7A6E" w:rsidRDefault="00E51623">
      <w:pPr>
        <w:jc w:val="center"/>
        <w:rPr>
          <w:rFonts w:ascii="Verdana" w:hAnsi="Verdana"/>
          <w:b/>
          <w:sz w:val="20"/>
          <w:szCs w:val="20"/>
          <w:lang w:val="es-ES_tradnl"/>
        </w:rPr>
      </w:pPr>
    </w:p>
    <w:p w:rsidR="004D7A6E" w:rsidRDefault="00E51623">
      <w:pPr>
        <w:jc w:val="center"/>
        <w:rPr>
          <w:rFonts w:ascii="Verdana" w:hAnsi="Verdana"/>
          <w:b/>
          <w:sz w:val="20"/>
          <w:szCs w:val="20"/>
          <w:lang w:val="es-ES_tradnl"/>
        </w:rPr>
      </w:pPr>
    </w:p>
    <w:p w:rsidR="004D7A6E" w:rsidRDefault="00E51623">
      <w:pPr>
        <w:jc w:val="center"/>
        <w:rPr>
          <w:rFonts w:ascii="Verdana" w:hAnsi="Verdana"/>
          <w:b/>
          <w:sz w:val="20"/>
          <w:szCs w:val="20"/>
          <w:lang w:val="es-ES_tradnl"/>
        </w:rPr>
      </w:pPr>
    </w:p>
    <w:p w:rsidR="004D7A6E" w:rsidRDefault="00E51623">
      <w:pPr>
        <w:jc w:val="center"/>
        <w:rPr>
          <w:rFonts w:ascii="Verdana" w:hAnsi="Verdana"/>
          <w:b/>
          <w:sz w:val="20"/>
          <w:szCs w:val="20"/>
          <w:lang w:val="es-ES_tradnl"/>
        </w:rPr>
      </w:pPr>
      <w:r>
        <w:rPr>
          <w:rFonts w:ascii="Verdana" w:hAnsi="Verdana"/>
          <w:b/>
          <w:sz w:val="20"/>
          <w:szCs w:val="20"/>
          <w:lang w:val="es-ES_tradnl"/>
        </w:rPr>
        <w:t xml:space="preserve">Caso Cantoral Huamaní y García Santa Cruz </w:t>
      </w:r>
      <w:r>
        <w:rPr>
          <w:rFonts w:ascii="Verdana" w:hAnsi="Verdana"/>
          <w:b/>
          <w:i/>
          <w:sz w:val="20"/>
          <w:szCs w:val="20"/>
          <w:lang w:val="es-ES_tradnl"/>
        </w:rPr>
        <w:t>vs</w:t>
      </w:r>
      <w:r>
        <w:rPr>
          <w:rFonts w:ascii="Verdana" w:hAnsi="Verdana"/>
          <w:b/>
          <w:sz w:val="20"/>
          <w:szCs w:val="20"/>
          <w:lang w:val="es-ES_tradnl"/>
        </w:rPr>
        <w:t>. Perú</w:t>
      </w:r>
    </w:p>
    <w:p w:rsidR="004D7A6E" w:rsidRDefault="00E51623">
      <w:pPr>
        <w:jc w:val="center"/>
        <w:rPr>
          <w:rFonts w:ascii="Verdana" w:hAnsi="Verdana"/>
          <w:b/>
          <w:i/>
          <w:sz w:val="18"/>
          <w:szCs w:val="18"/>
          <w:lang w:val="es-ES_tradnl"/>
        </w:rPr>
      </w:pPr>
      <w:r>
        <w:rPr>
          <w:rFonts w:ascii="Verdana" w:hAnsi="Verdana"/>
          <w:b/>
          <w:i/>
          <w:sz w:val="18"/>
          <w:szCs w:val="18"/>
          <w:lang w:val="es-ES_tradnl"/>
        </w:rPr>
        <w:t xml:space="preserve">(Interpretación de </w:t>
      </w:r>
      <w:smartTag w:uri="urn:schemas-microsoft-com:office:smarttags" w:element="PersonName">
        <w:smartTagPr>
          <w:attr w:name="ProductID" w:val="LA SENTENCIA DE"/>
        </w:smartTagPr>
        <w:r>
          <w:rPr>
            <w:rFonts w:ascii="Verdana" w:hAnsi="Verdana"/>
            <w:b/>
            <w:i/>
            <w:sz w:val="18"/>
            <w:szCs w:val="18"/>
            <w:lang w:val="es-ES_tradnl"/>
          </w:rPr>
          <w:t>la Sentencia de</w:t>
        </w:r>
      </w:smartTag>
      <w:r>
        <w:rPr>
          <w:rFonts w:ascii="Verdana" w:hAnsi="Verdana"/>
          <w:b/>
          <w:i/>
          <w:sz w:val="18"/>
          <w:szCs w:val="18"/>
          <w:lang w:val="es-ES_tradnl"/>
        </w:rPr>
        <w:t xml:space="preserve"> Excepción Preliminar, Fondo, Reparaciones y Costas) </w:t>
      </w:r>
    </w:p>
    <w:p w:rsidR="004D7A6E" w:rsidRDefault="00E51623">
      <w:pPr>
        <w:jc w:val="center"/>
        <w:rPr>
          <w:rFonts w:ascii="Verdana" w:hAnsi="Verdana"/>
          <w:b/>
          <w:sz w:val="20"/>
          <w:szCs w:val="20"/>
          <w:lang w:val="es-ES_tradnl"/>
        </w:rPr>
      </w:pPr>
    </w:p>
    <w:p w:rsidR="004D7A6E" w:rsidRDefault="00E51623">
      <w:pPr>
        <w:jc w:val="center"/>
        <w:rPr>
          <w:rFonts w:ascii="Verdana" w:hAnsi="Verdana"/>
          <w:b/>
          <w:sz w:val="20"/>
          <w:szCs w:val="20"/>
          <w:lang w:val="es-ES_tradnl"/>
        </w:rPr>
      </w:pPr>
    </w:p>
    <w:p w:rsidR="004D7A6E" w:rsidRDefault="00E51623">
      <w:pPr>
        <w:jc w:val="center"/>
        <w:rPr>
          <w:rFonts w:ascii="Verdana" w:hAnsi="Verdana"/>
          <w:b/>
          <w:sz w:val="20"/>
          <w:szCs w:val="20"/>
          <w:lang w:val="es-ES_tradnl"/>
        </w:rPr>
      </w:pPr>
    </w:p>
    <w:p w:rsidR="004D7A6E" w:rsidRDefault="00E51623">
      <w:pPr>
        <w:jc w:val="center"/>
        <w:rPr>
          <w:rFonts w:ascii="Verdana" w:hAnsi="Verdana"/>
          <w:b/>
          <w:sz w:val="20"/>
          <w:szCs w:val="20"/>
          <w:lang w:val="es-ES_tradnl"/>
        </w:rPr>
      </w:pPr>
      <w:r>
        <w:rPr>
          <w:rFonts w:ascii="Verdana" w:hAnsi="Verdana"/>
          <w:b/>
          <w:sz w:val="20"/>
          <w:szCs w:val="20"/>
          <w:lang w:val="es-ES_tradnl"/>
        </w:rPr>
        <w:t>Sentencia de 28 de enero de 2008</w:t>
      </w:r>
    </w:p>
    <w:p w:rsidR="004D7A6E" w:rsidRDefault="00E51623">
      <w:pPr>
        <w:jc w:val="center"/>
        <w:rPr>
          <w:rFonts w:ascii="Verdana" w:hAnsi="Verdana"/>
          <w:sz w:val="20"/>
          <w:szCs w:val="20"/>
          <w:lang w:val="es-ES_tradnl"/>
        </w:rPr>
      </w:pPr>
    </w:p>
    <w:p w:rsidR="004D7A6E" w:rsidRDefault="00E51623">
      <w:pPr>
        <w:jc w:val="center"/>
        <w:rPr>
          <w:rFonts w:ascii="Verdana" w:hAnsi="Verdana"/>
          <w:smallCaps/>
          <w:sz w:val="20"/>
          <w:szCs w:val="20"/>
          <w:lang w:val="es-ES_tradnl"/>
        </w:rPr>
      </w:pPr>
    </w:p>
    <w:p w:rsidR="004D7A6E" w:rsidRPr="00DF038B" w:rsidRDefault="00E51623">
      <w:pPr>
        <w:jc w:val="center"/>
        <w:rPr>
          <w:rFonts w:ascii="Verdana" w:hAnsi="Verdana"/>
          <w:smallCaps/>
          <w:sz w:val="20"/>
          <w:szCs w:val="20"/>
          <w:lang w:val="es-ES_tradnl"/>
        </w:rPr>
      </w:pPr>
    </w:p>
    <w:p w:rsidR="004D7A6E" w:rsidRPr="00DF038B" w:rsidRDefault="00E51623">
      <w:pPr>
        <w:jc w:val="both"/>
        <w:rPr>
          <w:rFonts w:ascii="Verdana" w:hAnsi="Verdana"/>
          <w:sz w:val="20"/>
          <w:szCs w:val="20"/>
          <w:lang w:val="es-ES_tradnl"/>
        </w:rPr>
      </w:pPr>
      <w:r w:rsidRPr="00DF038B">
        <w:rPr>
          <w:rFonts w:ascii="Verdana" w:hAnsi="Verdana"/>
          <w:sz w:val="20"/>
          <w:szCs w:val="20"/>
          <w:lang w:val="es-ES_tradnl"/>
        </w:rPr>
        <w:t xml:space="preserve">En el </w:t>
      </w:r>
      <w:r w:rsidRPr="00DF038B">
        <w:rPr>
          <w:rFonts w:ascii="Verdana" w:hAnsi="Verdana"/>
          <w:i/>
          <w:sz w:val="20"/>
          <w:szCs w:val="20"/>
          <w:lang w:val="es-ES_tradnl"/>
        </w:rPr>
        <w:t xml:space="preserve">Caso </w:t>
      </w:r>
      <w:r>
        <w:rPr>
          <w:rFonts w:ascii="Verdana" w:hAnsi="Verdana"/>
          <w:i/>
          <w:sz w:val="20"/>
          <w:szCs w:val="20"/>
          <w:lang w:val="es-ES_tradnl"/>
        </w:rPr>
        <w:t>Cantoral Huamaní y Garc</w:t>
      </w:r>
      <w:r>
        <w:rPr>
          <w:rFonts w:ascii="Verdana" w:hAnsi="Verdana"/>
          <w:i/>
          <w:sz w:val="20"/>
          <w:szCs w:val="20"/>
          <w:lang w:val="es-ES_tradnl"/>
        </w:rPr>
        <w:t>ía Santa Cruz</w:t>
      </w:r>
      <w:r w:rsidRPr="00DF038B">
        <w:rPr>
          <w:rFonts w:ascii="Verdana" w:hAnsi="Verdana"/>
          <w:sz w:val="20"/>
          <w:szCs w:val="20"/>
          <w:lang w:val="es-ES_tradnl"/>
        </w:rPr>
        <w:t>,</w:t>
      </w:r>
    </w:p>
    <w:p w:rsidR="004D7A6E" w:rsidRPr="00DF038B" w:rsidRDefault="00E51623">
      <w:pPr>
        <w:jc w:val="both"/>
        <w:rPr>
          <w:rFonts w:ascii="Verdana" w:hAnsi="Verdana"/>
          <w:sz w:val="20"/>
          <w:szCs w:val="20"/>
          <w:lang w:val="es-ES_tradnl"/>
        </w:rPr>
      </w:pPr>
    </w:p>
    <w:p w:rsidR="004D7A6E" w:rsidRPr="00DF038B" w:rsidRDefault="00E51623">
      <w:pPr>
        <w:jc w:val="both"/>
        <w:rPr>
          <w:rFonts w:ascii="Verdana" w:hAnsi="Verdana"/>
          <w:sz w:val="20"/>
          <w:lang w:val="es-ES_tradnl"/>
        </w:rPr>
      </w:pPr>
      <w:proofErr w:type="gramStart"/>
      <w:smartTag w:uri="urn:schemas-microsoft-com:office:smarttags" w:element="PersonName">
        <w:smartTagPr>
          <w:attr w:name="ProductID" w:val="la Corte Interamericana"/>
        </w:smartTagPr>
        <w:r w:rsidRPr="00DF038B">
          <w:rPr>
            <w:rFonts w:ascii="Verdana" w:hAnsi="Verdana"/>
            <w:sz w:val="20"/>
            <w:szCs w:val="20"/>
            <w:lang w:val="es-ES_tradnl"/>
          </w:rPr>
          <w:t>la</w:t>
        </w:r>
        <w:proofErr w:type="gramEnd"/>
        <w:r w:rsidRPr="00DF038B">
          <w:rPr>
            <w:rFonts w:ascii="Verdana" w:hAnsi="Verdana"/>
            <w:sz w:val="20"/>
            <w:szCs w:val="20"/>
            <w:lang w:val="es-ES_tradnl"/>
          </w:rPr>
          <w:t xml:space="preserve"> Corte Interamericana</w:t>
        </w:r>
      </w:smartTag>
      <w:r w:rsidRPr="00DF038B">
        <w:rPr>
          <w:rFonts w:ascii="Verdana" w:hAnsi="Verdana"/>
          <w:sz w:val="20"/>
          <w:szCs w:val="20"/>
          <w:lang w:val="es-ES_tradnl"/>
        </w:rPr>
        <w:t xml:space="preserve"> de Derechos Humanos (en adelante “</w:t>
      </w:r>
      <w:smartTag w:uri="urn:schemas-microsoft-com:office:smarttags" w:element="PersonName">
        <w:smartTagPr>
          <w:attr w:name="ProductID" w:val="la Corte Interamericana"/>
        </w:smartTagPr>
        <w:r w:rsidRPr="00DF038B">
          <w:rPr>
            <w:rFonts w:ascii="Verdana" w:hAnsi="Verdana"/>
            <w:sz w:val="20"/>
            <w:szCs w:val="20"/>
            <w:lang w:val="es-ES_tradnl"/>
          </w:rPr>
          <w:t>la Corte Interamericana</w:t>
        </w:r>
      </w:smartTag>
      <w:r w:rsidRPr="00DF038B">
        <w:rPr>
          <w:rFonts w:ascii="Verdana" w:hAnsi="Verdana"/>
          <w:sz w:val="20"/>
          <w:szCs w:val="20"/>
          <w:lang w:val="es-ES_tradnl"/>
        </w:rPr>
        <w:t>”, “</w:t>
      </w:r>
      <w:smartTag w:uri="urn:schemas-microsoft-com:office:smarttags" w:element="PersonName">
        <w:smartTagPr>
          <w:attr w:name="ProductID" w:val="la Corte"/>
        </w:smartTagPr>
        <w:r w:rsidRPr="00DF038B">
          <w:rPr>
            <w:rFonts w:ascii="Verdana" w:hAnsi="Verdana"/>
            <w:sz w:val="20"/>
            <w:szCs w:val="20"/>
            <w:lang w:val="es-ES_tradnl"/>
          </w:rPr>
          <w:t>la Corte</w:t>
        </w:r>
      </w:smartTag>
      <w:r w:rsidRPr="00DF038B">
        <w:rPr>
          <w:rFonts w:ascii="Verdana" w:hAnsi="Verdana"/>
          <w:sz w:val="20"/>
          <w:szCs w:val="20"/>
          <w:lang w:val="es-ES_tradnl"/>
        </w:rPr>
        <w:t xml:space="preserve">” o “el Tribunal”), </w:t>
      </w:r>
      <w:r w:rsidRPr="00DF038B">
        <w:rPr>
          <w:rFonts w:ascii="Verdana" w:hAnsi="Verdana"/>
          <w:sz w:val="20"/>
          <w:lang w:val="es-ES_tradnl"/>
        </w:rPr>
        <w:t>integrada por los siguientes jueces</w:t>
      </w:r>
      <w:r w:rsidRPr="00DF038B">
        <w:rPr>
          <w:rStyle w:val="Refdenotaalpie"/>
          <w:rFonts w:ascii="Verdana" w:hAnsi="Verdana"/>
          <w:lang w:val="es-ES_tradnl"/>
        </w:rPr>
        <w:footnoteReference w:customMarkFollows="1" w:id="1"/>
        <w:sym w:font="Symbol" w:char="F02A"/>
      </w:r>
      <w:r w:rsidRPr="00DF038B">
        <w:rPr>
          <w:rFonts w:ascii="Verdana" w:hAnsi="Verdana"/>
          <w:sz w:val="20"/>
          <w:lang w:val="es-ES_tradnl"/>
        </w:rPr>
        <w:t>:</w:t>
      </w:r>
    </w:p>
    <w:p w:rsidR="004D7A6E" w:rsidRPr="00DF038B" w:rsidRDefault="00E51623">
      <w:pPr>
        <w:jc w:val="both"/>
        <w:rPr>
          <w:rFonts w:ascii="Verdana" w:hAnsi="Verdana"/>
          <w:sz w:val="20"/>
          <w:lang w:val="es-ES_tradnl"/>
        </w:rPr>
      </w:pPr>
    </w:p>
    <w:p w:rsidR="004D7A6E" w:rsidRPr="00735666" w:rsidRDefault="00E51623">
      <w:pPr>
        <w:ind w:left="708"/>
        <w:jc w:val="both"/>
        <w:rPr>
          <w:rFonts w:ascii="Verdana" w:hAnsi="Verdana"/>
          <w:sz w:val="20"/>
          <w:lang w:val="es-ES_tradnl"/>
        </w:rPr>
      </w:pPr>
      <w:r w:rsidRPr="00735666">
        <w:rPr>
          <w:rFonts w:ascii="Verdana" w:hAnsi="Verdana"/>
          <w:sz w:val="20"/>
          <w:lang w:val="es-ES_tradnl"/>
        </w:rPr>
        <w:t>Sergio García Ramírez, Presidente;</w:t>
      </w:r>
    </w:p>
    <w:p w:rsidR="004D7A6E" w:rsidRPr="00735666" w:rsidRDefault="00E51623">
      <w:pPr>
        <w:ind w:left="708"/>
        <w:jc w:val="both"/>
        <w:rPr>
          <w:rFonts w:ascii="Verdana" w:hAnsi="Verdana"/>
          <w:sz w:val="20"/>
          <w:lang w:val="es-ES_tradnl"/>
        </w:rPr>
      </w:pPr>
      <w:smartTag w:uri="urn:schemas-microsoft-com:office:smarttags" w:element="PersonName">
        <w:r w:rsidRPr="00735666">
          <w:rPr>
            <w:rFonts w:ascii="Verdana" w:hAnsi="Verdana"/>
            <w:sz w:val="20"/>
            <w:lang w:val="es-ES_tradnl"/>
          </w:rPr>
          <w:t>Cecilia Medina</w:t>
        </w:r>
      </w:smartTag>
      <w:r w:rsidRPr="00735666">
        <w:rPr>
          <w:rFonts w:ascii="Verdana" w:hAnsi="Verdana"/>
          <w:sz w:val="20"/>
          <w:lang w:val="es-ES_tradnl"/>
        </w:rPr>
        <w:t xml:space="preserve"> Quiroga, Vicepresidenta;</w:t>
      </w:r>
    </w:p>
    <w:p w:rsidR="004D7A6E" w:rsidRPr="00735666" w:rsidRDefault="00E51623">
      <w:pPr>
        <w:ind w:left="708"/>
        <w:jc w:val="both"/>
        <w:rPr>
          <w:rFonts w:ascii="Verdana" w:hAnsi="Verdana"/>
          <w:sz w:val="20"/>
          <w:lang w:val="es-ES_tradnl"/>
        </w:rPr>
      </w:pPr>
      <w:r w:rsidRPr="00735666">
        <w:rPr>
          <w:rFonts w:ascii="Verdana" w:hAnsi="Verdana"/>
          <w:sz w:val="20"/>
          <w:lang w:val="es-ES_tradnl"/>
        </w:rPr>
        <w:t>Manuel E. Ven</w:t>
      </w:r>
      <w:r w:rsidRPr="00735666">
        <w:rPr>
          <w:rFonts w:ascii="Verdana" w:hAnsi="Verdana"/>
          <w:sz w:val="20"/>
          <w:lang w:val="es-ES_tradnl"/>
        </w:rPr>
        <w:t>tura Robles, Juez;</w:t>
      </w:r>
    </w:p>
    <w:p w:rsidR="004D7A6E" w:rsidRPr="001A46B1" w:rsidRDefault="00E51623">
      <w:pPr>
        <w:ind w:left="708"/>
        <w:jc w:val="both"/>
        <w:rPr>
          <w:rFonts w:ascii="Verdana" w:hAnsi="Verdana"/>
          <w:sz w:val="20"/>
          <w:lang w:val="es-ES_tradnl"/>
        </w:rPr>
      </w:pPr>
      <w:r w:rsidRPr="001A46B1">
        <w:rPr>
          <w:rFonts w:ascii="Verdana" w:hAnsi="Verdana"/>
          <w:sz w:val="20"/>
          <w:lang w:val="es-ES_tradnl"/>
        </w:rPr>
        <w:t xml:space="preserve">Leonardo A. Franco, Juez; </w:t>
      </w:r>
    </w:p>
    <w:p w:rsidR="004D7A6E" w:rsidRPr="001A46B1" w:rsidRDefault="00E51623">
      <w:pPr>
        <w:ind w:left="708"/>
        <w:jc w:val="both"/>
        <w:rPr>
          <w:rFonts w:ascii="Verdana" w:hAnsi="Verdana"/>
          <w:sz w:val="20"/>
          <w:lang w:val="es-ES_tradnl"/>
        </w:rPr>
      </w:pPr>
      <w:r w:rsidRPr="001A46B1">
        <w:rPr>
          <w:rFonts w:ascii="Verdana" w:hAnsi="Verdana"/>
          <w:sz w:val="20"/>
          <w:lang w:val="es-ES_tradnl"/>
        </w:rPr>
        <w:t>Margarette Mac Macaulay, Jueza; y</w:t>
      </w:r>
    </w:p>
    <w:p w:rsidR="004D7A6E" w:rsidRPr="001A46B1" w:rsidRDefault="00E51623">
      <w:pPr>
        <w:ind w:left="708"/>
        <w:jc w:val="both"/>
        <w:rPr>
          <w:rFonts w:ascii="Verdana" w:hAnsi="Verdana"/>
          <w:sz w:val="20"/>
          <w:lang w:val="es-ES_tradnl"/>
        </w:rPr>
      </w:pPr>
      <w:r w:rsidRPr="001A46B1">
        <w:rPr>
          <w:rFonts w:ascii="Verdana" w:hAnsi="Verdana"/>
          <w:sz w:val="20"/>
          <w:lang w:val="es-ES_tradnl"/>
        </w:rPr>
        <w:t>Rhadys Abreu Blondet, Jueza;</w:t>
      </w:r>
    </w:p>
    <w:p w:rsidR="004D7A6E" w:rsidRPr="00735666" w:rsidRDefault="00E51623">
      <w:pPr>
        <w:ind w:left="708"/>
        <w:jc w:val="both"/>
        <w:rPr>
          <w:rFonts w:ascii="Verdana" w:hAnsi="Verdana"/>
          <w:b/>
          <w:sz w:val="16"/>
          <w:lang w:val="es-ES_tradnl"/>
        </w:rPr>
      </w:pPr>
    </w:p>
    <w:p w:rsidR="004D7A6E" w:rsidRPr="00735666" w:rsidRDefault="00E51623">
      <w:pPr>
        <w:ind w:left="708"/>
        <w:jc w:val="both"/>
        <w:rPr>
          <w:rFonts w:ascii="Verdana" w:hAnsi="Verdana"/>
          <w:b/>
          <w:sz w:val="16"/>
          <w:lang w:val="es-ES_tradnl"/>
        </w:rPr>
      </w:pPr>
    </w:p>
    <w:p w:rsidR="004D7A6E" w:rsidRPr="00DF038B" w:rsidRDefault="00E51623">
      <w:pPr>
        <w:jc w:val="both"/>
        <w:rPr>
          <w:rFonts w:ascii="Verdana" w:hAnsi="Verdana"/>
          <w:sz w:val="20"/>
          <w:lang w:val="es-ES_tradnl"/>
        </w:rPr>
      </w:pPr>
      <w:proofErr w:type="gramStart"/>
      <w:r w:rsidRPr="00DF038B">
        <w:rPr>
          <w:rFonts w:ascii="Verdana" w:hAnsi="Verdana"/>
          <w:sz w:val="20"/>
          <w:lang w:val="es-ES_tradnl"/>
        </w:rPr>
        <w:t>presentes</w:t>
      </w:r>
      <w:proofErr w:type="gramEnd"/>
      <w:r w:rsidRPr="00DF038B">
        <w:rPr>
          <w:rFonts w:ascii="Verdana" w:hAnsi="Verdana"/>
          <w:sz w:val="20"/>
          <w:lang w:val="es-ES_tradnl"/>
        </w:rPr>
        <w:t>, además,</w:t>
      </w:r>
    </w:p>
    <w:p w:rsidR="004D7A6E" w:rsidRPr="00DF038B" w:rsidRDefault="00E51623">
      <w:pPr>
        <w:jc w:val="both"/>
        <w:rPr>
          <w:rFonts w:ascii="Verdana" w:hAnsi="Verdana"/>
          <w:sz w:val="20"/>
          <w:lang w:val="es-ES_tradnl"/>
        </w:rPr>
      </w:pPr>
    </w:p>
    <w:p w:rsidR="004D7A6E" w:rsidRPr="00DF038B" w:rsidRDefault="00E51623">
      <w:pPr>
        <w:ind w:left="720"/>
        <w:jc w:val="both"/>
        <w:rPr>
          <w:rFonts w:ascii="Verdana" w:hAnsi="Verdana"/>
          <w:sz w:val="20"/>
          <w:lang w:val="es-ES_tradnl"/>
        </w:rPr>
      </w:pPr>
      <w:smartTag w:uri="urn:schemas-microsoft-com:office:smarttags" w:element="PersonName">
        <w:r w:rsidRPr="00DF038B">
          <w:rPr>
            <w:rFonts w:ascii="Verdana" w:hAnsi="Verdana"/>
            <w:sz w:val="20"/>
            <w:lang w:val="es-ES_tradnl"/>
          </w:rPr>
          <w:t>Pablo Saavedra</w:t>
        </w:r>
      </w:smartTag>
      <w:r w:rsidRPr="00DF038B">
        <w:rPr>
          <w:rFonts w:ascii="Verdana" w:hAnsi="Verdana"/>
          <w:sz w:val="20"/>
          <w:lang w:val="es-ES_tradnl"/>
        </w:rPr>
        <w:t xml:space="preserve"> Alessandri, Secretario, y</w:t>
      </w:r>
    </w:p>
    <w:p w:rsidR="004D7A6E" w:rsidRPr="00DF038B" w:rsidRDefault="00E51623">
      <w:pPr>
        <w:ind w:left="720"/>
        <w:jc w:val="both"/>
        <w:rPr>
          <w:rFonts w:ascii="Verdana" w:hAnsi="Verdana"/>
          <w:sz w:val="20"/>
          <w:lang w:val="es-ES_tradnl"/>
        </w:rPr>
      </w:pPr>
      <w:r w:rsidRPr="00DF038B">
        <w:rPr>
          <w:rFonts w:ascii="Verdana" w:hAnsi="Verdana"/>
          <w:sz w:val="20"/>
          <w:lang w:val="es-ES_tradnl"/>
        </w:rPr>
        <w:t>Emilia Segares Rodríguez, Secretaria Adjunta;</w:t>
      </w:r>
    </w:p>
    <w:p w:rsidR="004D7A6E" w:rsidRPr="00DF038B" w:rsidRDefault="00E51623">
      <w:pPr>
        <w:jc w:val="both"/>
        <w:rPr>
          <w:rFonts w:ascii="Verdana" w:hAnsi="Verdana"/>
          <w:sz w:val="20"/>
          <w:szCs w:val="20"/>
          <w:lang w:val="es-ES_tradnl"/>
        </w:rPr>
      </w:pPr>
    </w:p>
    <w:p w:rsidR="004D7A6E" w:rsidRPr="00DF038B" w:rsidRDefault="00E51623">
      <w:pPr>
        <w:jc w:val="both"/>
        <w:rPr>
          <w:rFonts w:ascii="Verdana" w:hAnsi="Verdana"/>
          <w:sz w:val="20"/>
          <w:szCs w:val="20"/>
          <w:lang w:val="es-ES_tradnl"/>
        </w:rPr>
      </w:pPr>
      <w:r w:rsidRPr="00DF038B">
        <w:rPr>
          <w:rFonts w:ascii="Verdana" w:hAnsi="Verdana"/>
          <w:sz w:val="20"/>
          <w:szCs w:val="20"/>
          <w:lang w:val="es-ES_tradnl"/>
        </w:rPr>
        <w:t xml:space="preserve">de conformidad con el artículo 67 de </w:t>
      </w:r>
      <w:smartTag w:uri="urn:schemas-microsoft-com:office:smarttags" w:element="PersonName">
        <w:smartTagPr>
          <w:attr w:name="ProductID" w:val="la Convenci￳n Americana"/>
        </w:smartTagPr>
        <w:r w:rsidRPr="00DF038B">
          <w:rPr>
            <w:rFonts w:ascii="Verdana" w:hAnsi="Verdana"/>
            <w:sz w:val="20"/>
            <w:szCs w:val="20"/>
            <w:lang w:val="es-ES_tradnl"/>
          </w:rPr>
          <w:t>la Convención Americana</w:t>
        </w:r>
      </w:smartTag>
      <w:r w:rsidRPr="00DF038B">
        <w:rPr>
          <w:rFonts w:ascii="Verdana" w:hAnsi="Verdana"/>
          <w:sz w:val="20"/>
          <w:szCs w:val="20"/>
          <w:lang w:val="es-ES_tradnl"/>
        </w:rPr>
        <w:t xml:space="preserve"> sobre Derechos Humanos (en adelante “</w:t>
      </w:r>
      <w:smartTag w:uri="urn:schemas-microsoft-com:office:smarttags" w:element="PersonName">
        <w:smartTagPr>
          <w:attr w:name="ProductID" w:val="la Convenci￳n"/>
        </w:smartTagPr>
        <w:r w:rsidRPr="00DF038B">
          <w:rPr>
            <w:rFonts w:ascii="Verdana" w:hAnsi="Verdana"/>
            <w:sz w:val="20"/>
            <w:szCs w:val="20"/>
            <w:lang w:val="es-ES_tradnl"/>
          </w:rPr>
          <w:t>la Convención</w:t>
        </w:r>
      </w:smartTag>
      <w:r w:rsidRPr="00DF038B">
        <w:rPr>
          <w:rFonts w:ascii="Verdana" w:hAnsi="Verdana"/>
          <w:sz w:val="20"/>
          <w:szCs w:val="20"/>
          <w:lang w:val="es-ES_tradnl"/>
        </w:rPr>
        <w:t>” o “</w:t>
      </w:r>
      <w:smartTag w:uri="urn:schemas-microsoft-com:office:smarttags" w:element="PersonName">
        <w:smartTagPr>
          <w:attr w:name="ProductID" w:val="la Convenci￳n Americana"/>
        </w:smartTagPr>
        <w:r w:rsidRPr="00DF038B">
          <w:rPr>
            <w:rFonts w:ascii="Verdana" w:hAnsi="Verdana"/>
            <w:sz w:val="20"/>
            <w:szCs w:val="20"/>
            <w:lang w:val="es-ES_tradnl"/>
          </w:rPr>
          <w:t>la Convención Americana</w:t>
        </w:r>
      </w:smartTag>
      <w:r w:rsidRPr="00DF038B">
        <w:rPr>
          <w:rFonts w:ascii="Verdana" w:hAnsi="Verdana"/>
          <w:sz w:val="20"/>
          <w:szCs w:val="20"/>
          <w:lang w:val="es-ES_tradnl"/>
        </w:rPr>
        <w:t xml:space="preserve">”) y el artículo 59 del Reglamento de </w:t>
      </w:r>
      <w:smartTag w:uri="urn:schemas-microsoft-com:office:smarttags" w:element="PersonName">
        <w:smartTagPr>
          <w:attr w:name="ProductID" w:val="la Corte"/>
        </w:smartTagPr>
        <w:r w:rsidRPr="00DF038B">
          <w:rPr>
            <w:rFonts w:ascii="Verdana" w:hAnsi="Verdana"/>
            <w:sz w:val="20"/>
            <w:szCs w:val="20"/>
            <w:lang w:val="es-ES_tradnl"/>
          </w:rPr>
          <w:t>la Corte</w:t>
        </w:r>
      </w:smartTag>
      <w:r w:rsidRPr="00DF038B">
        <w:rPr>
          <w:rFonts w:ascii="Verdana" w:hAnsi="Verdana"/>
          <w:sz w:val="20"/>
          <w:szCs w:val="20"/>
          <w:lang w:val="es-ES_tradnl"/>
        </w:rPr>
        <w:t xml:space="preserve"> (en adelante “el Reglamento”), resuelve la demanda de </w:t>
      </w:r>
      <w:proofErr w:type="gramStart"/>
      <w:r w:rsidRPr="00DF038B">
        <w:rPr>
          <w:rFonts w:ascii="Verdana" w:hAnsi="Verdana"/>
          <w:sz w:val="20"/>
          <w:szCs w:val="20"/>
          <w:lang w:val="es-ES_tradnl"/>
        </w:rPr>
        <w:t>interpretación</w:t>
      </w:r>
      <w:proofErr w:type="gramEnd"/>
      <w:r w:rsidRPr="00DF038B">
        <w:rPr>
          <w:rFonts w:ascii="Verdana" w:hAnsi="Verdana"/>
          <w:sz w:val="20"/>
          <w:szCs w:val="20"/>
          <w:lang w:val="es-ES_tradnl"/>
        </w:rPr>
        <w:t xml:space="preserve"> interpuesta </w:t>
      </w:r>
      <w:r>
        <w:rPr>
          <w:rFonts w:ascii="Verdana" w:hAnsi="Verdana"/>
          <w:sz w:val="20"/>
          <w:szCs w:val="20"/>
          <w:lang w:val="es-ES_tradnl"/>
        </w:rPr>
        <w:t>el</w:t>
      </w:r>
      <w:r w:rsidRPr="00DF038B">
        <w:rPr>
          <w:rFonts w:ascii="Verdana" w:hAnsi="Verdana"/>
          <w:sz w:val="20"/>
          <w:szCs w:val="20"/>
          <w:lang w:val="es-ES_tradnl"/>
        </w:rPr>
        <w:t xml:space="preserve"> </w:t>
      </w:r>
      <w:r>
        <w:rPr>
          <w:rFonts w:ascii="Verdana" w:hAnsi="Verdana"/>
          <w:sz w:val="20"/>
          <w:szCs w:val="20"/>
          <w:lang w:val="es-ES_tradnl"/>
        </w:rPr>
        <w:t>31 de octubre</w:t>
      </w:r>
      <w:r w:rsidRPr="00DF038B">
        <w:rPr>
          <w:rFonts w:ascii="Verdana" w:hAnsi="Verdana"/>
          <w:sz w:val="20"/>
          <w:szCs w:val="20"/>
          <w:lang w:val="es-ES_tradnl"/>
        </w:rPr>
        <w:t xml:space="preserve"> </w:t>
      </w:r>
      <w:r>
        <w:rPr>
          <w:rFonts w:ascii="Verdana" w:hAnsi="Verdana"/>
          <w:sz w:val="20"/>
          <w:szCs w:val="20"/>
          <w:lang w:val="es-ES_tradnl"/>
        </w:rPr>
        <w:t>de</w:t>
      </w:r>
      <w:r w:rsidRPr="00DF038B">
        <w:rPr>
          <w:rFonts w:ascii="Verdana" w:hAnsi="Verdana"/>
          <w:sz w:val="20"/>
          <w:szCs w:val="20"/>
          <w:lang w:val="es-ES_tradnl"/>
        </w:rPr>
        <w:t xml:space="preserve"> 2007 p</w:t>
      </w:r>
      <w:r w:rsidRPr="00DF038B">
        <w:rPr>
          <w:rFonts w:ascii="Verdana" w:hAnsi="Verdana"/>
          <w:sz w:val="20"/>
          <w:szCs w:val="20"/>
          <w:lang w:val="es-ES_tradnl"/>
        </w:rPr>
        <w:t xml:space="preserve">or el Estado del Perú (en adelante “el Estado” o “el Perú”) respecto de </w:t>
      </w:r>
      <w:smartTag w:uri="urn:schemas-microsoft-com:office:smarttags" w:element="PersonName">
        <w:smartTagPr>
          <w:attr w:name="ProductID" w:val="la Sentencia"/>
        </w:smartTagPr>
        <w:r w:rsidRPr="00DF038B">
          <w:rPr>
            <w:rFonts w:ascii="Verdana" w:hAnsi="Verdana"/>
            <w:sz w:val="20"/>
            <w:szCs w:val="20"/>
            <w:lang w:val="es-ES_tradnl"/>
          </w:rPr>
          <w:t>la Sentencia</w:t>
        </w:r>
      </w:smartTag>
      <w:r w:rsidRPr="00DF038B">
        <w:rPr>
          <w:rFonts w:ascii="Verdana" w:hAnsi="Verdana"/>
          <w:sz w:val="20"/>
          <w:szCs w:val="20"/>
          <w:lang w:val="es-ES_tradnl"/>
        </w:rPr>
        <w:t xml:space="preserve"> de excepción preliminar, </w:t>
      </w:r>
      <w:r w:rsidRPr="001A46B1">
        <w:rPr>
          <w:rFonts w:ascii="Verdana" w:hAnsi="Verdana"/>
          <w:sz w:val="20"/>
          <w:szCs w:val="20"/>
          <w:lang w:val="es-ES_tradnl"/>
        </w:rPr>
        <w:t>fondo, reparaciones y costas</w:t>
      </w:r>
      <w:r w:rsidRPr="00DF038B">
        <w:rPr>
          <w:rFonts w:ascii="Verdana" w:hAnsi="Verdana"/>
          <w:sz w:val="20"/>
          <w:szCs w:val="20"/>
          <w:lang w:val="es-ES_tradnl"/>
        </w:rPr>
        <w:t xml:space="preserve"> emitida por el Tribunal el 10 de </w:t>
      </w:r>
      <w:r>
        <w:rPr>
          <w:rFonts w:ascii="Verdana" w:hAnsi="Verdana"/>
          <w:sz w:val="20"/>
          <w:szCs w:val="20"/>
          <w:lang w:val="es-ES_tradnl"/>
        </w:rPr>
        <w:t>julio</w:t>
      </w:r>
      <w:r w:rsidRPr="00DF038B">
        <w:rPr>
          <w:rFonts w:ascii="Verdana" w:hAnsi="Verdana"/>
          <w:sz w:val="20"/>
          <w:szCs w:val="20"/>
          <w:lang w:val="es-ES_tradnl"/>
        </w:rPr>
        <w:t xml:space="preserve"> de 200</w:t>
      </w:r>
      <w:r>
        <w:rPr>
          <w:rFonts w:ascii="Verdana" w:hAnsi="Verdana"/>
          <w:sz w:val="20"/>
          <w:szCs w:val="20"/>
          <w:lang w:val="es-ES_tradnl"/>
        </w:rPr>
        <w:t xml:space="preserve">7 </w:t>
      </w:r>
      <w:r w:rsidRPr="00DF038B">
        <w:rPr>
          <w:rFonts w:ascii="Verdana" w:hAnsi="Verdana"/>
          <w:sz w:val="20"/>
          <w:szCs w:val="20"/>
          <w:lang w:val="es-ES_tradnl"/>
        </w:rPr>
        <w:t xml:space="preserve">en el Caso </w:t>
      </w:r>
      <w:r>
        <w:rPr>
          <w:rFonts w:ascii="Verdana" w:hAnsi="Verdana"/>
          <w:sz w:val="20"/>
          <w:szCs w:val="20"/>
          <w:lang w:val="es-ES_tradnl"/>
        </w:rPr>
        <w:t>Cantoral Huamaní y García Santa Cruz</w:t>
      </w:r>
      <w:r w:rsidRPr="00DF038B">
        <w:rPr>
          <w:rFonts w:ascii="Verdana" w:hAnsi="Verdana"/>
          <w:sz w:val="20"/>
          <w:szCs w:val="20"/>
          <w:lang w:val="es-ES_tradnl"/>
        </w:rPr>
        <w:t xml:space="preserve">.  </w:t>
      </w:r>
    </w:p>
    <w:p w:rsidR="004D7A6E" w:rsidRPr="00D124B2" w:rsidRDefault="00E51623">
      <w:pPr>
        <w:jc w:val="center"/>
        <w:rPr>
          <w:rFonts w:ascii="Verdana" w:hAnsi="Verdana"/>
          <w:b/>
          <w:smallCaps/>
          <w:sz w:val="20"/>
          <w:szCs w:val="20"/>
          <w:lang w:val="es-ES_tradnl"/>
        </w:rPr>
      </w:pPr>
      <w:r w:rsidRPr="00D124B2">
        <w:rPr>
          <w:rFonts w:ascii="Verdana" w:hAnsi="Verdana"/>
          <w:b/>
          <w:smallCaps/>
          <w:sz w:val="20"/>
          <w:szCs w:val="20"/>
          <w:lang w:val="es-ES_tradnl"/>
        </w:rPr>
        <w:t>I</w:t>
      </w:r>
    </w:p>
    <w:p w:rsidR="004D7A6E" w:rsidRPr="00D124B2" w:rsidRDefault="00E51623">
      <w:pPr>
        <w:ind w:left="705"/>
        <w:jc w:val="center"/>
        <w:rPr>
          <w:rFonts w:ascii="Verdana" w:hAnsi="Verdana"/>
          <w:b/>
          <w:smallCaps/>
          <w:sz w:val="20"/>
          <w:szCs w:val="20"/>
          <w:lang w:val="es-ES_tradnl"/>
        </w:rPr>
      </w:pPr>
      <w:r w:rsidRPr="00D124B2">
        <w:rPr>
          <w:rFonts w:ascii="Verdana" w:hAnsi="Verdana"/>
          <w:b/>
          <w:smallCaps/>
          <w:sz w:val="20"/>
          <w:szCs w:val="20"/>
          <w:lang w:val="es-ES_tradnl"/>
        </w:rPr>
        <w:t xml:space="preserve">Introducción de </w:t>
      </w:r>
      <w:smartTag w:uri="urn:schemas-microsoft-com:office:smarttags" w:element="PersonName">
        <w:smartTagPr>
          <w:attr w:name="ProductID" w:val="LA DEMANDA DE"/>
        </w:smartTagPr>
        <w:r w:rsidRPr="00D124B2">
          <w:rPr>
            <w:rFonts w:ascii="Verdana" w:hAnsi="Verdana"/>
            <w:b/>
            <w:smallCaps/>
            <w:sz w:val="20"/>
            <w:szCs w:val="20"/>
            <w:lang w:val="es-ES_tradnl"/>
          </w:rPr>
          <w:t>l</w:t>
        </w:r>
        <w:r w:rsidRPr="00D124B2">
          <w:rPr>
            <w:rFonts w:ascii="Verdana" w:hAnsi="Verdana"/>
            <w:b/>
            <w:smallCaps/>
            <w:sz w:val="20"/>
            <w:szCs w:val="20"/>
            <w:lang w:val="es-ES_tradnl"/>
          </w:rPr>
          <w:t>a</w:t>
        </w:r>
        <w:r>
          <w:rPr>
            <w:rFonts w:ascii="Verdana" w:hAnsi="Verdana"/>
            <w:b/>
            <w:smallCaps/>
            <w:sz w:val="20"/>
            <w:szCs w:val="20"/>
            <w:lang w:val="es-ES_tradnl"/>
          </w:rPr>
          <w:t xml:space="preserve"> demanda</w:t>
        </w:r>
        <w:r w:rsidRPr="00D124B2">
          <w:rPr>
            <w:rFonts w:ascii="Verdana" w:hAnsi="Verdana"/>
            <w:b/>
            <w:smallCaps/>
            <w:sz w:val="20"/>
            <w:szCs w:val="20"/>
            <w:lang w:val="es-ES_tradnl"/>
          </w:rPr>
          <w:t xml:space="preserve"> de</w:t>
        </w:r>
      </w:smartTag>
      <w:r w:rsidRPr="00D124B2">
        <w:rPr>
          <w:rFonts w:ascii="Verdana" w:hAnsi="Verdana"/>
          <w:b/>
          <w:smallCaps/>
          <w:sz w:val="20"/>
          <w:szCs w:val="20"/>
          <w:lang w:val="es-ES_tradnl"/>
        </w:rPr>
        <w:t xml:space="preserve"> interpretación </w:t>
      </w:r>
    </w:p>
    <w:p w:rsidR="004D7A6E" w:rsidRPr="00DF038B" w:rsidRDefault="00E51623">
      <w:pPr>
        <w:ind w:left="705"/>
        <w:jc w:val="center"/>
        <w:rPr>
          <w:rFonts w:ascii="Verdana" w:hAnsi="Verdana"/>
          <w:b/>
          <w:smallCaps/>
          <w:sz w:val="20"/>
          <w:szCs w:val="20"/>
          <w:lang w:val="es-ES_tradnl"/>
        </w:rPr>
      </w:pPr>
      <w:r w:rsidRPr="00D124B2">
        <w:rPr>
          <w:rFonts w:ascii="Verdana" w:hAnsi="Verdana"/>
          <w:b/>
          <w:smallCaps/>
          <w:sz w:val="20"/>
          <w:szCs w:val="20"/>
          <w:lang w:val="es-ES_tradnl"/>
        </w:rPr>
        <w:t xml:space="preserve">y </w:t>
      </w:r>
      <w:r w:rsidRPr="00DF038B">
        <w:rPr>
          <w:rFonts w:ascii="Verdana" w:hAnsi="Verdana"/>
          <w:b/>
          <w:smallCaps/>
          <w:sz w:val="20"/>
          <w:szCs w:val="20"/>
          <w:lang w:val="es-ES_tradnl"/>
        </w:rPr>
        <w:t xml:space="preserve">Procedimiento ante </w:t>
      </w:r>
      <w:smartTag w:uri="urn:schemas-microsoft-com:office:smarttags" w:element="PersonName">
        <w:smartTagPr>
          <w:attr w:name="ProductID" w:val="la Corte"/>
        </w:smartTagPr>
        <w:r w:rsidRPr="00DF038B">
          <w:rPr>
            <w:rFonts w:ascii="Verdana" w:hAnsi="Verdana"/>
            <w:b/>
            <w:smallCaps/>
            <w:sz w:val="20"/>
            <w:szCs w:val="20"/>
            <w:lang w:val="es-ES_tradnl"/>
          </w:rPr>
          <w:t>la Corte</w:t>
        </w:r>
      </w:smartTag>
    </w:p>
    <w:p w:rsidR="004D7A6E" w:rsidRPr="00ED0E1E" w:rsidRDefault="00E51623">
      <w:pPr>
        <w:jc w:val="center"/>
        <w:rPr>
          <w:rFonts w:ascii="Verdana" w:hAnsi="Verdana"/>
          <w:b/>
          <w:smallCaps/>
          <w:sz w:val="20"/>
          <w:szCs w:val="20"/>
          <w:lang w:val="es-ES_tradnl"/>
        </w:rPr>
      </w:pPr>
    </w:p>
    <w:p w:rsidR="004D7A6E" w:rsidRPr="00ED0E1E" w:rsidRDefault="00E51623">
      <w:pPr>
        <w:jc w:val="center"/>
        <w:rPr>
          <w:rFonts w:ascii="Verdana" w:hAnsi="Verdana"/>
          <w:b/>
          <w:smallCaps/>
          <w:sz w:val="20"/>
          <w:szCs w:val="20"/>
          <w:lang w:val="es-ES_tradnl"/>
        </w:rPr>
      </w:pPr>
    </w:p>
    <w:p w:rsidR="004D7A6E" w:rsidRPr="001A46B1" w:rsidRDefault="00E51623">
      <w:pPr>
        <w:jc w:val="both"/>
        <w:rPr>
          <w:rFonts w:ascii="Verdana" w:hAnsi="Verdana"/>
          <w:sz w:val="20"/>
          <w:szCs w:val="20"/>
          <w:lang w:val="es-ES_tradnl"/>
        </w:rPr>
      </w:pPr>
      <w:r w:rsidRPr="00D124B2">
        <w:rPr>
          <w:rFonts w:ascii="Verdana" w:hAnsi="Verdana"/>
          <w:sz w:val="20"/>
          <w:szCs w:val="20"/>
          <w:lang w:val="es-ES_tradnl"/>
        </w:rPr>
        <w:t>1.</w:t>
      </w:r>
      <w:r w:rsidRPr="00D124B2">
        <w:rPr>
          <w:rFonts w:ascii="Verdana" w:hAnsi="Verdana"/>
          <w:sz w:val="20"/>
          <w:szCs w:val="20"/>
          <w:lang w:val="es-ES_tradnl"/>
        </w:rPr>
        <w:tab/>
        <w:t xml:space="preserve">El </w:t>
      </w:r>
      <w:r>
        <w:rPr>
          <w:rFonts w:ascii="Verdana" w:hAnsi="Verdana"/>
          <w:sz w:val="20"/>
          <w:szCs w:val="20"/>
          <w:lang w:val="es-ES_tradnl"/>
        </w:rPr>
        <w:t>31</w:t>
      </w:r>
      <w:r w:rsidRPr="00D124B2">
        <w:rPr>
          <w:rFonts w:ascii="Verdana" w:hAnsi="Verdana"/>
          <w:sz w:val="20"/>
          <w:szCs w:val="20"/>
          <w:lang w:val="es-ES_tradnl"/>
        </w:rPr>
        <w:t xml:space="preserve"> de </w:t>
      </w:r>
      <w:r>
        <w:rPr>
          <w:rFonts w:ascii="Verdana" w:hAnsi="Verdana"/>
          <w:sz w:val="20"/>
          <w:szCs w:val="20"/>
          <w:lang w:val="es-ES_tradnl"/>
        </w:rPr>
        <w:t>octubre</w:t>
      </w:r>
      <w:r w:rsidRPr="00D124B2">
        <w:rPr>
          <w:rFonts w:ascii="Verdana" w:hAnsi="Verdana"/>
          <w:sz w:val="20"/>
          <w:szCs w:val="20"/>
          <w:lang w:val="es-ES_tradnl"/>
        </w:rPr>
        <w:t xml:space="preserve"> de 2007 el Estado presentó una demanda de interpretación de </w:t>
      </w:r>
      <w:smartTag w:uri="urn:schemas-microsoft-com:office:smarttags" w:element="PersonName">
        <w:smartTagPr>
          <w:attr w:name="ProductID" w:val="la Sentencia"/>
        </w:smartTagPr>
        <w:r w:rsidRPr="00D124B2">
          <w:rPr>
            <w:rFonts w:ascii="Verdana" w:hAnsi="Verdana"/>
            <w:sz w:val="20"/>
            <w:szCs w:val="20"/>
            <w:lang w:val="es-ES_tradnl"/>
          </w:rPr>
          <w:t>la Sentencia</w:t>
        </w:r>
      </w:smartTag>
      <w:r w:rsidRPr="00D124B2">
        <w:rPr>
          <w:rFonts w:ascii="Verdana" w:hAnsi="Verdana"/>
          <w:sz w:val="20"/>
          <w:szCs w:val="20"/>
          <w:lang w:val="es-ES_tradnl"/>
        </w:rPr>
        <w:t xml:space="preserve"> </w:t>
      </w:r>
      <w:r>
        <w:rPr>
          <w:rFonts w:ascii="Verdana" w:hAnsi="Verdana"/>
          <w:sz w:val="20"/>
          <w:szCs w:val="20"/>
          <w:lang w:val="es-ES_tradnl"/>
        </w:rPr>
        <w:t xml:space="preserve">de excepción preliminar, fondo, reparaciones y costas emitida por </w:t>
      </w:r>
      <w:smartTag w:uri="urn:schemas-microsoft-com:office:smarttags" w:element="PersonName">
        <w:smartTagPr>
          <w:attr w:name="ProductID" w:val="la Corte"/>
        </w:smartTagPr>
        <w:r>
          <w:rPr>
            <w:rFonts w:ascii="Verdana" w:hAnsi="Verdana"/>
            <w:sz w:val="20"/>
            <w:szCs w:val="20"/>
            <w:lang w:val="es-ES_tradnl"/>
          </w:rPr>
          <w:t>la Corte</w:t>
        </w:r>
      </w:smartTag>
      <w:r>
        <w:rPr>
          <w:rFonts w:ascii="Verdana" w:hAnsi="Verdana"/>
          <w:sz w:val="20"/>
          <w:szCs w:val="20"/>
          <w:lang w:val="es-ES_tradnl"/>
        </w:rPr>
        <w:t xml:space="preserve"> el 10 de julio de 2007 (en </w:t>
      </w:r>
      <w:r>
        <w:rPr>
          <w:rFonts w:ascii="Verdana" w:hAnsi="Verdana"/>
          <w:sz w:val="20"/>
          <w:szCs w:val="20"/>
          <w:lang w:val="es-ES_tradnl"/>
        </w:rPr>
        <w:t>adelante “</w:t>
      </w:r>
      <w:smartTag w:uri="urn:schemas-microsoft-com:office:smarttags" w:element="PersonName">
        <w:smartTagPr>
          <w:attr w:name="ProductID" w:val="la Sentencia"/>
        </w:smartTagPr>
        <w:r>
          <w:rPr>
            <w:rFonts w:ascii="Verdana" w:hAnsi="Verdana"/>
            <w:sz w:val="20"/>
            <w:szCs w:val="20"/>
            <w:lang w:val="es-ES_tradnl"/>
          </w:rPr>
          <w:t>la Sentencia</w:t>
        </w:r>
      </w:smartTag>
      <w:r w:rsidRPr="001A46B1">
        <w:rPr>
          <w:rFonts w:ascii="Verdana" w:hAnsi="Verdana"/>
          <w:sz w:val="20"/>
          <w:szCs w:val="20"/>
          <w:lang w:val="es-ES_tradnl"/>
        </w:rPr>
        <w:t>”)</w:t>
      </w:r>
      <w:r w:rsidRPr="00D124B2">
        <w:rPr>
          <w:rFonts w:ascii="Verdana" w:hAnsi="Verdana"/>
          <w:sz w:val="20"/>
          <w:szCs w:val="20"/>
          <w:lang w:val="es-ES_tradnl"/>
        </w:rPr>
        <w:t xml:space="preserve">, de conformidad con los artículos 67 de </w:t>
      </w:r>
      <w:smartTag w:uri="urn:schemas-microsoft-com:office:smarttags" w:element="PersonName">
        <w:smartTagPr>
          <w:attr w:name="ProductID" w:val="la Convenci￳n"/>
        </w:smartTagPr>
        <w:r w:rsidRPr="00D124B2">
          <w:rPr>
            <w:rFonts w:ascii="Verdana" w:hAnsi="Verdana"/>
            <w:sz w:val="20"/>
            <w:szCs w:val="20"/>
            <w:lang w:val="es-ES_tradnl"/>
          </w:rPr>
          <w:t>la Convención</w:t>
        </w:r>
      </w:smartTag>
      <w:r w:rsidRPr="00D124B2">
        <w:rPr>
          <w:rFonts w:ascii="Verdana" w:hAnsi="Verdana"/>
          <w:sz w:val="20"/>
          <w:szCs w:val="20"/>
          <w:lang w:val="es-ES_tradnl"/>
        </w:rPr>
        <w:t xml:space="preserve"> y 59 del Reglamento. De acuerdo con lo indicado</w:t>
      </w:r>
      <w:r>
        <w:rPr>
          <w:rFonts w:ascii="Verdana" w:hAnsi="Verdana"/>
          <w:sz w:val="20"/>
          <w:szCs w:val="20"/>
          <w:lang w:val="es-ES_tradnl"/>
        </w:rPr>
        <w:t xml:space="preserve"> por el Estado en </w:t>
      </w:r>
      <w:r>
        <w:rPr>
          <w:rFonts w:ascii="Verdana" w:hAnsi="Verdana"/>
          <w:sz w:val="20"/>
          <w:szCs w:val="20"/>
          <w:lang w:val="es-ES_tradnl"/>
        </w:rPr>
        <w:lastRenderedPageBreak/>
        <w:t>su demanda, “la aclaración o interpretación solicitada […] está referida a los siguientes puntos</w:t>
      </w:r>
      <w:r w:rsidRPr="00FC3DCE">
        <w:rPr>
          <w:rFonts w:ascii="Verdana" w:hAnsi="Verdana"/>
          <w:sz w:val="20"/>
          <w:szCs w:val="20"/>
          <w:lang w:val="es-ES_tradnl"/>
        </w:rPr>
        <w:t xml:space="preserve">”: </w:t>
      </w:r>
    </w:p>
    <w:p w:rsidR="004D7A6E" w:rsidRPr="001A46B1" w:rsidRDefault="00E51623">
      <w:pPr>
        <w:jc w:val="both"/>
        <w:rPr>
          <w:rFonts w:ascii="Verdana" w:hAnsi="Verdana"/>
          <w:sz w:val="20"/>
          <w:szCs w:val="20"/>
          <w:lang w:val="es-ES_tradnl"/>
        </w:rPr>
      </w:pPr>
    </w:p>
    <w:p w:rsidR="004D7A6E" w:rsidRPr="00FC3DCE" w:rsidRDefault="00E51623">
      <w:pPr>
        <w:numPr>
          <w:ilvl w:val="0"/>
          <w:numId w:val="25"/>
        </w:numPr>
        <w:tabs>
          <w:tab w:val="clear" w:pos="800"/>
          <w:tab w:val="num" w:pos="1148"/>
        </w:tabs>
        <w:ind w:left="1148"/>
        <w:jc w:val="both"/>
        <w:rPr>
          <w:rFonts w:ascii="Verdana" w:hAnsi="Verdana"/>
          <w:sz w:val="20"/>
          <w:szCs w:val="20"/>
          <w:lang w:val="es-ES_tradnl"/>
        </w:rPr>
      </w:pPr>
      <w:r w:rsidRPr="00FC3DCE">
        <w:rPr>
          <w:rFonts w:ascii="Verdana" w:hAnsi="Verdana"/>
          <w:sz w:val="20"/>
          <w:szCs w:val="20"/>
          <w:lang w:val="es-ES_tradnl"/>
        </w:rPr>
        <w:t>una “consul</w:t>
      </w:r>
      <w:r w:rsidRPr="00FC3DCE">
        <w:rPr>
          <w:rFonts w:ascii="Verdana" w:hAnsi="Verdana"/>
          <w:sz w:val="20"/>
          <w:szCs w:val="20"/>
          <w:lang w:val="es-ES_tradnl"/>
        </w:rPr>
        <w:t>ta sobre la aplicabilidad del recurso de revisión”, en el caso que el Poder Judicial del Perú “[…] arribar[a] a una conclusión distinta a la responsabilidad de agentes estatales por los hechos contra Saúl Cantoral Huamaní y Consuelo García Santa Cruz”;</w:t>
      </w:r>
    </w:p>
    <w:p w:rsidR="004D7A6E" w:rsidRPr="00FC3DCE" w:rsidRDefault="00E51623">
      <w:pPr>
        <w:ind w:left="708"/>
        <w:jc w:val="both"/>
        <w:rPr>
          <w:rFonts w:ascii="Verdana" w:hAnsi="Verdana"/>
          <w:sz w:val="20"/>
          <w:szCs w:val="20"/>
          <w:lang w:val="es-ES_tradnl"/>
        </w:rPr>
      </w:pPr>
    </w:p>
    <w:p w:rsidR="004D7A6E" w:rsidRPr="00FC3DCE" w:rsidRDefault="00E51623">
      <w:pPr>
        <w:numPr>
          <w:ilvl w:val="0"/>
          <w:numId w:val="25"/>
        </w:numPr>
        <w:tabs>
          <w:tab w:val="clear" w:pos="800"/>
          <w:tab w:val="num" w:pos="1148"/>
        </w:tabs>
        <w:ind w:left="1148"/>
        <w:jc w:val="both"/>
        <w:rPr>
          <w:rFonts w:ascii="Verdana" w:hAnsi="Verdana"/>
          <w:sz w:val="20"/>
          <w:szCs w:val="20"/>
          <w:lang w:val="es-ES_tradnl"/>
        </w:rPr>
      </w:pPr>
      <w:r w:rsidRPr="00FC3DCE">
        <w:rPr>
          <w:rFonts w:ascii="Verdana" w:hAnsi="Verdana"/>
          <w:sz w:val="20"/>
          <w:szCs w:val="20"/>
          <w:lang w:val="es-ES_tradnl"/>
        </w:rPr>
        <w:t>la</w:t>
      </w:r>
      <w:r w:rsidRPr="00FC3DCE">
        <w:rPr>
          <w:rFonts w:ascii="Verdana" w:hAnsi="Verdana"/>
          <w:sz w:val="20"/>
          <w:szCs w:val="20"/>
          <w:lang w:val="es-ES_tradnl"/>
        </w:rPr>
        <w:t xml:space="preserve"> “[i]ntegración o corrección del párrafo 187 de </w:t>
      </w:r>
      <w:smartTag w:uri="urn:schemas-microsoft-com:office:smarttags" w:element="PersonName">
        <w:smartTagPr>
          <w:attr w:name="ProductID" w:val="la Sentencia"/>
        </w:smartTagPr>
        <w:r w:rsidRPr="00FC3DCE">
          <w:rPr>
            <w:rFonts w:ascii="Verdana" w:hAnsi="Verdana"/>
            <w:sz w:val="20"/>
            <w:szCs w:val="20"/>
            <w:lang w:val="es-ES_tradnl"/>
          </w:rPr>
          <w:t>la Sentencia</w:t>
        </w:r>
      </w:smartTag>
      <w:r w:rsidRPr="00FC3DCE">
        <w:rPr>
          <w:rFonts w:ascii="Verdana" w:hAnsi="Verdana"/>
          <w:sz w:val="20"/>
          <w:szCs w:val="20"/>
          <w:lang w:val="es-ES_tradnl"/>
        </w:rPr>
        <w:t xml:space="preserve">[…] en lo relativo a la devolución de la suma de US$ 7,500.00 entregada por </w:t>
      </w:r>
      <w:smartTag w:uri="urn:schemas-microsoft-com:office:smarttags" w:element="PersonName">
        <w:smartTagPr>
          <w:attr w:name="ProductID" w:val="la Federaci￳n Nacional"/>
        </w:smartTagPr>
        <w:r w:rsidRPr="00FC3DCE">
          <w:rPr>
            <w:rFonts w:ascii="Verdana" w:hAnsi="Verdana"/>
            <w:sz w:val="20"/>
            <w:szCs w:val="20"/>
            <w:lang w:val="es-ES_tradnl"/>
          </w:rPr>
          <w:t>la Federación Nacional</w:t>
        </w:r>
      </w:smartTag>
      <w:r w:rsidRPr="00FC3DCE">
        <w:rPr>
          <w:rFonts w:ascii="Verdana" w:hAnsi="Verdana"/>
          <w:sz w:val="20"/>
          <w:szCs w:val="20"/>
          <w:lang w:val="es-ES_tradnl"/>
        </w:rPr>
        <w:t xml:space="preserve"> de Trabajadores Mineros, Metalúrgicos y Siderúrgicos del Perú a Saúl Cantoral Huamaní, a la señor</w:t>
      </w:r>
      <w:r w:rsidRPr="00FC3DCE">
        <w:rPr>
          <w:rFonts w:ascii="Verdana" w:hAnsi="Verdana"/>
          <w:sz w:val="20"/>
          <w:szCs w:val="20"/>
          <w:lang w:val="es-ES_tradnl"/>
        </w:rPr>
        <w:t>a Pelagia Mélida Contreras Montoya de Cantoral, en vez de [a] la referida Federación Minera”; y</w:t>
      </w:r>
    </w:p>
    <w:p w:rsidR="004D7A6E" w:rsidRPr="00FC3DCE" w:rsidRDefault="00E51623">
      <w:pPr>
        <w:ind w:left="348"/>
        <w:jc w:val="both"/>
        <w:rPr>
          <w:rFonts w:ascii="Verdana" w:hAnsi="Verdana"/>
          <w:sz w:val="20"/>
          <w:szCs w:val="20"/>
          <w:lang w:val="es-ES_tradnl"/>
        </w:rPr>
      </w:pPr>
    </w:p>
    <w:p w:rsidR="004D7A6E" w:rsidRPr="00FC3DCE" w:rsidRDefault="00E51623">
      <w:pPr>
        <w:numPr>
          <w:ilvl w:val="0"/>
          <w:numId w:val="25"/>
        </w:numPr>
        <w:tabs>
          <w:tab w:val="clear" w:pos="800"/>
          <w:tab w:val="num" w:pos="1148"/>
        </w:tabs>
        <w:ind w:left="1148"/>
        <w:jc w:val="both"/>
        <w:rPr>
          <w:rFonts w:ascii="Verdana" w:hAnsi="Verdana"/>
          <w:sz w:val="20"/>
          <w:szCs w:val="20"/>
          <w:lang w:val="es-ES_tradnl"/>
        </w:rPr>
      </w:pPr>
      <w:r w:rsidRPr="00FC3DCE">
        <w:rPr>
          <w:rFonts w:ascii="Verdana" w:hAnsi="Verdana"/>
          <w:sz w:val="20"/>
          <w:szCs w:val="20"/>
          <w:lang w:val="es-ES_tradnl"/>
        </w:rPr>
        <w:t xml:space="preserve">una “[a]claración sobre el párrafo 185 de </w:t>
      </w:r>
      <w:smartTag w:uri="urn:schemas-microsoft-com:office:smarttags" w:element="PersonName">
        <w:smartTagPr>
          <w:attr w:name="ProductID" w:val="la Sentencia"/>
        </w:smartTagPr>
        <w:r w:rsidRPr="00FC3DCE">
          <w:rPr>
            <w:rFonts w:ascii="Verdana" w:hAnsi="Verdana"/>
            <w:sz w:val="20"/>
            <w:szCs w:val="20"/>
            <w:lang w:val="es-ES_tradnl"/>
          </w:rPr>
          <w:t>la Sentencia</w:t>
        </w:r>
      </w:smartTag>
      <w:r w:rsidRPr="00FC3DCE">
        <w:rPr>
          <w:rFonts w:ascii="Verdana" w:hAnsi="Verdana"/>
          <w:sz w:val="20"/>
          <w:szCs w:val="20"/>
          <w:lang w:val="es-ES_tradnl"/>
        </w:rPr>
        <w:t xml:space="preserve"> [en lo] relativo a la condición fáctica o jurídica de Elisa Huamaní Infanzón […]”. </w:t>
      </w:r>
    </w:p>
    <w:p w:rsidR="004D7A6E" w:rsidRPr="001A46B1" w:rsidRDefault="00E51623">
      <w:pPr>
        <w:jc w:val="both"/>
        <w:rPr>
          <w:rFonts w:ascii="Verdana" w:hAnsi="Verdana"/>
          <w:sz w:val="20"/>
          <w:szCs w:val="20"/>
          <w:lang w:val="es-ES_tradnl"/>
        </w:rPr>
      </w:pPr>
    </w:p>
    <w:p w:rsidR="004D7A6E" w:rsidRPr="00DF038B" w:rsidRDefault="00E51623">
      <w:pPr>
        <w:jc w:val="both"/>
        <w:rPr>
          <w:rFonts w:ascii="Verdana" w:hAnsi="Verdana"/>
          <w:i/>
          <w:sz w:val="20"/>
          <w:szCs w:val="20"/>
          <w:lang w:val="es-ES_tradnl"/>
        </w:rPr>
      </w:pPr>
      <w:r w:rsidRPr="00D124B2">
        <w:rPr>
          <w:rFonts w:ascii="Verdana" w:hAnsi="Verdana"/>
          <w:sz w:val="20"/>
          <w:szCs w:val="20"/>
          <w:lang w:val="es-ES_tradnl"/>
        </w:rPr>
        <w:t>2.</w:t>
      </w:r>
      <w:r w:rsidRPr="00D124B2">
        <w:rPr>
          <w:rFonts w:ascii="Verdana" w:hAnsi="Verdana"/>
          <w:sz w:val="20"/>
          <w:szCs w:val="20"/>
          <w:lang w:val="es-ES_tradnl"/>
        </w:rPr>
        <w:tab/>
      </w:r>
      <w:r>
        <w:rPr>
          <w:rFonts w:ascii="Verdana" w:hAnsi="Verdana"/>
          <w:sz w:val="20"/>
          <w:szCs w:val="20"/>
          <w:lang w:val="es-ES_tradnl"/>
        </w:rPr>
        <w:t>E</w:t>
      </w:r>
      <w:r w:rsidRPr="00DF038B">
        <w:rPr>
          <w:rFonts w:ascii="Verdana" w:hAnsi="Verdana"/>
          <w:sz w:val="20"/>
          <w:szCs w:val="20"/>
          <w:lang w:val="es-ES_tradnl"/>
        </w:rPr>
        <w:t xml:space="preserve">l </w:t>
      </w:r>
      <w:r>
        <w:rPr>
          <w:rFonts w:ascii="Verdana" w:hAnsi="Verdana"/>
          <w:sz w:val="20"/>
          <w:szCs w:val="20"/>
          <w:lang w:val="es-ES_tradnl"/>
        </w:rPr>
        <w:t>6</w:t>
      </w:r>
      <w:r w:rsidRPr="00DF038B">
        <w:rPr>
          <w:rFonts w:ascii="Verdana" w:hAnsi="Verdana"/>
          <w:sz w:val="20"/>
          <w:szCs w:val="20"/>
          <w:lang w:val="es-ES_tradnl"/>
        </w:rPr>
        <w:t xml:space="preserve"> de </w:t>
      </w:r>
      <w:r>
        <w:rPr>
          <w:rFonts w:ascii="Verdana" w:hAnsi="Verdana"/>
          <w:sz w:val="20"/>
          <w:szCs w:val="20"/>
          <w:lang w:val="es-ES_tradnl"/>
        </w:rPr>
        <w:t>noviembr</w:t>
      </w:r>
      <w:r>
        <w:rPr>
          <w:rFonts w:ascii="Verdana" w:hAnsi="Verdana"/>
          <w:sz w:val="20"/>
          <w:szCs w:val="20"/>
          <w:lang w:val="es-ES_tradnl"/>
        </w:rPr>
        <w:t>e</w:t>
      </w:r>
      <w:r w:rsidRPr="00DF038B">
        <w:rPr>
          <w:rFonts w:ascii="Verdana" w:hAnsi="Verdana"/>
          <w:sz w:val="20"/>
          <w:szCs w:val="20"/>
          <w:lang w:val="es-ES_tradnl"/>
        </w:rPr>
        <w:t xml:space="preserve"> de 2007, de conformidad con lo dispuesto en el artículo 59.2 del Reglamento y siguiendo instrucciones del Presidente de </w:t>
      </w:r>
      <w:smartTag w:uri="urn:schemas-microsoft-com:office:smarttags" w:element="PersonName">
        <w:smartTagPr>
          <w:attr w:name="ProductID" w:val="la Corte"/>
        </w:smartTagPr>
        <w:r w:rsidRPr="00DF038B">
          <w:rPr>
            <w:rFonts w:ascii="Verdana" w:hAnsi="Verdana"/>
            <w:sz w:val="20"/>
            <w:szCs w:val="20"/>
            <w:lang w:val="es-ES_tradnl"/>
          </w:rPr>
          <w:t>la Corte</w:t>
        </w:r>
      </w:smartTag>
      <w:r w:rsidRPr="00DF038B">
        <w:rPr>
          <w:rFonts w:ascii="Verdana" w:hAnsi="Verdana"/>
          <w:sz w:val="20"/>
          <w:szCs w:val="20"/>
          <w:lang w:val="es-ES_tradnl"/>
        </w:rPr>
        <w:t xml:space="preserve"> (en adelante “el Presidente”), </w:t>
      </w:r>
      <w:smartTag w:uri="urn:schemas-microsoft-com:office:smarttags" w:element="PersonName">
        <w:smartTagPr>
          <w:attr w:name="ProductID" w:val="la Secretar￭a"/>
        </w:smartTagPr>
        <w:r w:rsidRPr="00DF038B">
          <w:rPr>
            <w:rFonts w:ascii="Verdana" w:hAnsi="Verdana"/>
            <w:sz w:val="20"/>
            <w:szCs w:val="20"/>
            <w:lang w:val="es-ES_tradnl"/>
          </w:rPr>
          <w:t>la Secretaría</w:t>
        </w:r>
      </w:smartTag>
      <w:r w:rsidRPr="00DF038B">
        <w:rPr>
          <w:rFonts w:ascii="Verdana" w:hAnsi="Verdana"/>
          <w:sz w:val="20"/>
          <w:szCs w:val="20"/>
          <w:lang w:val="es-ES_tradnl"/>
        </w:rPr>
        <w:t xml:space="preserve"> de </w:t>
      </w:r>
      <w:smartTag w:uri="urn:schemas-microsoft-com:office:smarttags" w:element="PersonName">
        <w:smartTagPr>
          <w:attr w:name="ProductID" w:val="la Corte"/>
        </w:smartTagPr>
        <w:r w:rsidRPr="00DF038B">
          <w:rPr>
            <w:rFonts w:ascii="Verdana" w:hAnsi="Verdana"/>
            <w:sz w:val="20"/>
            <w:szCs w:val="20"/>
            <w:lang w:val="es-ES_tradnl"/>
          </w:rPr>
          <w:t>la Corte</w:t>
        </w:r>
      </w:smartTag>
      <w:r w:rsidRPr="00DF038B">
        <w:rPr>
          <w:rFonts w:ascii="Verdana" w:hAnsi="Verdana"/>
          <w:sz w:val="20"/>
          <w:szCs w:val="20"/>
          <w:lang w:val="es-ES_tradnl"/>
        </w:rPr>
        <w:t xml:space="preserve"> (en adelante “</w:t>
      </w:r>
      <w:smartTag w:uri="urn:schemas-microsoft-com:office:smarttags" w:element="PersonName">
        <w:smartTagPr>
          <w:attr w:name="ProductID" w:val="la Secretar￭a"/>
        </w:smartTagPr>
        <w:r w:rsidRPr="00DF038B">
          <w:rPr>
            <w:rFonts w:ascii="Verdana" w:hAnsi="Verdana"/>
            <w:sz w:val="20"/>
            <w:szCs w:val="20"/>
            <w:lang w:val="es-ES_tradnl"/>
          </w:rPr>
          <w:t>la Secretaría</w:t>
        </w:r>
      </w:smartTag>
      <w:r w:rsidRPr="00DF038B">
        <w:rPr>
          <w:rFonts w:ascii="Verdana" w:hAnsi="Verdana"/>
          <w:sz w:val="20"/>
          <w:szCs w:val="20"/>
          <w:lang w:val="es-ES_tradnl"/>
        </w:rPr>
        <w:t xml:space="preserve">”) transmitió copia de </w:t>
      </w:r>
      <w:r>
        <w:rPr>
          <w:rFonts w:ascii="Verdana" w:hAnsi="Verdana"/>
          <w:sz w:val="20"/>
          <w:szCs w:val="20"/>
          <w:lang w:val="es-ES_tradnl"/>
        </w:rPr>
        <w:t>la</w:t>
      </w:r>
      <w:r w:rsidRPr="00DF038B">
        <w:rPr>
          <w:rFonts w:ascii="Verdana" w:hAnsi="Verdana"/>
          <w:sz w:val="20"/>
          <w:szCs w:val="20"/>
          <w:lang w:val="es-ES_tradnl"/>
        </w:rPr>
        <w:t xml:space="preserve"> demanda de inte</w:t>
      </w:r>
      <w:r w:rsidRPr="00DF038B">
        <w:rPr>
          <w:rFonts w:ascii="Verdana" w:hAnsi="Verdana"/>
          <w:sz w:val="20"/>
          <w:szCs w:val="20"/>
          <w:lang w:val="es-ES_tradnl"/>
        </w:rPr>
        <w:t xml:space="preserve">rpretación a </w:t>
      </w:r>
      <w:smartTag w:uri="urn:schemas-microsoft-com:office:smarttags" w:element="PersonName">
        <w:smartTagPr>
          <w:attr w:name="ProductID" w:val="la Comisi￳n Interamericana"/>
        </w:smartTagPr>
        <w:r w:rsidRPr="00DF038B">
          <w:rPr>
            <w:rFonts w:ascii="Verdana" w:hAnsi="Verdana"/>
            <w:sz w:val="20"/>
            <w:szCs w:val="20"/>
            <w:lang w:val="es-ES_tradnl"/>
          </w:rPr>
          <w:t>la Comisión Interamericana</w:t>
        </w:r>
      </w:smartTag>
      <w:r w:rsidRPr="00DF038B">
        <w:rPr>
          <w:rFonts w:ascii="Verdana" w:hAnsi="Verdana"/>
          <w:sz w:val="20"/>
          <w:szCs w:val="20"/>
          <w:lang w:val="es-ES_tradnl"/>
        </w:rPr>
        <w:t xml:space="preserve"> de Derechos Humanos (en adelante “</w:t>
      </w:r>
      <w:smartTag w:uri="urn:schemas-microsoft-com:office:smarttags" w:element="PersonName">
        <w:smartTagPr>
          <w:attr w:name="ProductID" w:val="la Comisi￳n Interamericana"/>
        </w:smartTagPr>
        <w:r w:rsidRPr="00DF038B">
          <w:rPr>
            <w:rFonts w:ascii="Verdana" w:hAnsi="Verdana"/>
            <w:sz w:val="20"/>
            <w:szCs w:val="20"/>
            <w:lang w:val="es-ES_tradnl"/>
          </w:rPr>
          <w:t>la Comisión Interamericana</w:t>
        </w:r>
      </w:smartTag>
      <w:r w:rsidRPr="00DF038B">
        <w:rPr>
          <w:rFonts w:ascii="Verdana" w:hAnsi="Verdana"/>
          <w:sz w:val="20"/>
          <w:szCs w:val="20"/>
          <w:lang w:val="es-ES_tradnl"/>
        </w:rPr>
        <w:t>” o “</w:t>
      </w:r>
      <w:smartTag w:uri="urn:schemas-microsoft-com:office:smarttags" w:element="PersonName">
        <w:smartTagPr>
          <w:attr w:name="ProductID" w:val="la Comisi￳n"/>
        </w:smartTagPr>
        <w:r w:rsidRPr="00DF038B">
          <w:rPr>
            <w:rFonts w:ascii="Verdana" w:hAnsi="Verdana"/>
            <w:sz w:val="20"/>
            <w:szCs w:val="20"/>
            <w:lang w:val="es-ES_tradnl"/>
          </w:rPr>
          <w:t>la Comisión</w:t>
        </w:r>
      </w:smartTag>
      <w:r w:rsidRPr="00DF038B">
        <w:rPr>
          <w:rFonts w:ascii="Verdana" w:hAnsi="Verdana"/>
          <w:sz w:val="20"/>
          <w:szCs w:val="20"/>
          <w:lang w:val="es-ES_tradnl"/>
        </w:rPr>
        <w:t xml:space="preserve">”) y </w:t>
      </w:r>
      <w:r>
        <w:rPr>
          <w:rFonts w:ascii="Verdana" w:hAnsi="Verdana"/>
          <w:sz w:val="20"/>
          <w:szCs w:val="20"/>
          <w:lang w:val="es-ES_tradnl"/>
        </w:rPr>
        <w:t>a</w:t>
      </w:r>
      <w:r w:rsidRPr="00DF038B">
        <w:rPr>
          <w:rFonts w:ascii="Verdana" w:hAnsi="Verdana"/>
          <w:sz w:val="20"/>
          <w:szCs w:val="20"/>
          <w:lang w:val="es-ES_tradnl"/>
        </w:rPr>
        <w:t xml:space="preserve"> los representantes de las víctimas </w:t>
      </w:r>
      <w:r>
        <w:rPr>
          <w:rFonts w:ascii="Verdana" w:hAnsi="Verdana"/>
          <w:sz w:val="20"/>
          <w:szCs w:val="20"/>
          <w:lang w:val="es-ES_tradnl"/>
        </w:rPr>
        <w:t xml:space="preserve">y sus familiares </w:t>
      </w:r>
      <w:r w:rsidRPr="00DF038B">
        <w:rPr>
          <w:rFonts w:ascii="Verdana" w:hAnsi="Verdana"/>
          <w:sz w:val="20"/>
          <w:szCs w:val="20"/>
          <w:lang w:val="es-ES_tradnl"/>
        </w:rPr>
        <w:t>(en adelante “l</w:t>
      </w:r>
      <w:r>
        <w:rPr>
          <w:rFonts w:ascii="Verdana" w:hAnsi="Verdana"/>
          <w:sz w:val="20"/>
          <w:szCs w:val="20"/>
          <w:lang w:val="es-ES_tradnl"/>
        </w:rPr>
        <w:t>os representantes</w:t>
      </w:r>
      <w:r w:rsidRPr="00DF038B">
        <w:rPr>
          <w:rFonts w:ascii="Verdana" w:hAnsi="Verdana"/>
          <w:sz w:val="20"/>
          <w:szCs w:val="20"/>
          <w:lang w:val="es-ES_tradnl"/>
        </w:rPr>
        <w:t xml:space="preserve">”). Asimismo, </w:t>
      </w:r>
      <w:r>
        <w:rPr>
          <w:rFonts w:ascii="Verdana" w:hAnsi="Verdana"/>
          <w:sz w:val="20"/>
          <w:szCs w:val="20"/>
          <w:lang w:val="es-ES_tradnl"/>
        </w:rPr>
        <w:t>se</w:t>
      </w:r>
      <w:r w:rsidRPr="00DF038B">
        <w:rPr>
          <w:rFonts w:ascii="Verdana" w:hAnsi="Verdana"/>
          <w:sz w:val="20"/>
          <w:szCs w:val="20"/>
          <w:lang w:val="es-ES_tradnl"/>
        </w:rPr>
        <w:t xml:space="preserve"> comunicó a </w:t>
      </w:r>
      <w:smartTag w:uri="urn:schemas-microsoft-com:office:smarttags" w:element="PersonName">
        <w:smartTagPr>
          <w:attr w:name="ProductID" w:val="la Comisi￳n"/>
        </w:smartTagPr>
        <w:r w:rsidRPr="00DF038B">
          <w:rPr>
            <w:rFonts w:ascii="Verdana" w:hAnsi="Verdana"/>
            <w:sz w:val="20"/>
            <w:szCs w:val="20"/>
            <w:lang w:val="es-ES_tradnl"/>
          </w:rPr>
          <w:t>la Comisión</w:t>
        </w:r>
      </w:smartTag>
      <w:r w:rsidRPr="00DF038B">
        <w:rPr>
          <w:rFonts w:ascii="Verdana" w:hAnsi="Verdana"/>
          <w:sz w:val="20"/>
          <w:szCs w:val="20"/>
          <w:lang w:val="es-ES_tradnl"/>
        </w:rPr>
        <w:t xml:space="preserve"> y a los r</w:t>
      </w:r>
      <w:r w:rsidRPr="00DF038B">
        <w:rPr>
          <w:rFonts w:ascii="Verdana" w:hAnsi="Verdana"/>
          <w:sz w:val="20"/>
          <w:szCs w:val="20"/>
          <w:lang w:val="es-ES_tradnl"/>
        </w:rPr>
        <w:t>epresentantes que podían presentar las alegaciones escritas que estimaran pertinentes a más tardar el 1</w:t>
      </w:r>
      <w:r>
        <w:rPr>
          <w:rFonts w:ascii="Verdana" w:hAnsi="Verdana"/>
          <w:sz w:val="20"/>
          <w:szCs w:val="20"/>
          <w:lang w:val="es-ES_tradnl"/>
        </w:rPr>
        <w:t>0</w:t>
      </w:r>
      <w:r w:rsidRPr="00DF038B">
        <w:rPr>
          <w:rFonts w:ascii="Verdana" w:hAnsi="Verdana"/>
          <w:sz w:val="20"/>
          <w:szCs w:val="20"/>
          <w:lang w:val="es-ES_tradnl"/>
        </w:rPr>
        <w:t xml:space="preserve"> de </w:t>
      </w:r>
      <w:r>
        <w:rPr>
          <w:rFonts w:ascii="Verdana" w:hAnsi="Verdana"/>
          <w:sz w:val="20"/>
          <w:szCs w:val="20"/>
          <w:lang w:val="es-ES_tradnl"/>
        </w:rPr>
        <w:t>diciembre</w:t>
      </w:r>
      <w:r w:rsidRPr="00DF038B">
        <w:rPr>
          <w:rFonts w:ascii="Verdana" w:hAnsi="Verdana"/>
          <w:sz w:val="20"/>
          <w:szCs w:val="20"/>
          <w:lang w:val="es-ES_tradnl"/>
        </w:rPr>
        <w:t xml:space="preserve"> de 2007. </w:t>
      </w:r>
      <w:r>
        <w:rPr>
          <w:rFonts w:ascii="Verdana" w:hAnsi="Verdana"/>
          <w:sz w:val="20"/>
          <w:szCs w:val="20"/>
          <w:lang w:val="es-ES_tradnl"/>
        </w:rPr>
        <w:t>Finalmente, se re</w:t>
      </w:r>
      <w:r w:rsidRPr="00DF038B">
        <w:rPr>
          <w:rFonts w:ascii="Verdana" w:hAnsi="Verdana"/>
          <w:sz w:val="20"/>
          <w:szCs w:val="20"/>
          <w:lang w:val="es-ES_tradnl"/>
        </w:rPr>
        <w:t>cordó al Estado que, de conformidad con lo dispuesto en el artículo 59.4 del Reglamento, “[l]a demanda de interp</w:t>
      </w:r>
      <w:r w:rsidRPr="00DF038B">
        <w:rPr>
          <w:rFonts w:ascii="Verdana" w:hAnsi="Verdana"/>
          <w:sz w:val="20"/>
          <w:szCs w:val="20"/>
          <w:lang w:val="es-ES_tradnl"/>
        </w:rPr>
        <w:t xml:space="preserve">retación no suspend[e] la ejecución de la sentencia”. </w:t>
      </w:r>
    </w:p>
    <w:p w:rsidR="004D7A6E" w:rsidRPr="00DF038B" w:rsidRDefault="00E51623">
      <w:pPr>
        <w:jc w:val="both"/>
        <w:rPr>
          <w:rFonts w:ascii="Verdana" w:hAnsi="Verdana"/>
          <w:sz w:val="20"/>
          <w:szCs w:val="20"/>
          <w:lang w:val="es-ES_tradnl"/>
        </w:rPr>
      </w:pPr>
    </w:p>
    <w:p w:rsidR="004D7A6E" w:rsidRPr="00192989" w:rsidRDefault="00E51623">
      <w:pPr>
        <w:jc w:val="both"/>
        <w:rPr>
          <w:rFonts w:ascii="Verdana" w:hAnsi="Verdana"/>
          <w:sz w:val="20"/>
          <w:szCs w:val="20"/>
          <w:u w:val="single"/>
          <w:lang w:val="es-ES_tradnl"/>
        </w:rPr>
      </w:pPr>
      <w:r w:rsidRPr="00CF7C32">
        <w:rPr>
          <w:rFonts w:ascii="Verdana" w:hAnsi="Verdana"/>
          <w:sz w:val="20"/>
          <w:szCs w:val="20"/>
          <w:lang w:val="es-ES_tradnl"/>
        </w:rPr>
        <w:t>3.</w:t>
      </w:r>
      <w:r w:rsidRPr="00CF7C32">
        <w:rPr>
          <w:rFonts w:ascii="Verdana" w:hAnsi="Verdana"/>
          <w:sz w:val="20"/>
          <w:szCs w:val="20"/>
          <w:lang w:val="es-ES_tradnl"/>
        </w:rPr>
        <w:tab/>
        <w:t xml:space="preserve">El </w:t>
      </w:r>
      <w:r>
        <w:rPr>
          <w:rFonts w:ascii="Verdana" w:hAnsi="Verdana"/>
          <w:sz w:val="20"/>
          <w:szCs w:val="20"/>
          <w:lang w:val="es-ES_tradnl"/>
        </w:rPr>
        <w:t xml:space="preserve">7 de diciembre de 2007 los representantes presentaron </w:t>
      </w:r>
      <w:r w:rsidRPr="00CF7C32">
        <w:rPr>
          <w:rFonts w:ascii="Verdana" w:hAnsi="Verdana"/>
          <w:sz w:val="20"/>
          <w:szCs w:val="20"/>
          <w:lang w:val="es-ES_tradnl"/>
        </w:rPr>
        <w:t xml:space="preserve">sus alegatos escritos y solicitaron al Tribunal “rechazar la demanda de interpretación […] en todos sus extremos”. </w:t>
      </w:r>
    </w:p>
    <w:p w:rsidR="004D7A6E" w:rsidRPr="00CF7C32" w:rsidRDefault="00E51623">
      <w:pPr>
        <w:jc w:val="both"/>
        <w:rPr>
          <w:rFonts w:ascii="Verdana" w:hAnsi="Verdana"/>
          <w:sz w:val="20"/>
          <w:szCs w:val="20"/>
          <w:lang w:val="es-ES_tradnl"/>
        </w:rPr>
      </w:pPr>
    </w:p>
    <w:p w:rsidR="004D7A6E" w:rsidRPr="00D124B2" w:rsidRDefault="00E51623">
      <w:pPr>
        <w:jc w:val="both"/>
        <w:rPr>
          <w:rFonts w:ascii="Verdana" w:hAnsi="Verdana"/>
          <w:sz w:val="20"/>
          <w:szCs w:val="20"/>
          <w:lang w:val="es-ES_tradnl"/>
        </w:rPr>
      </w:pPr>
      <w:r w:rsidRPr="00CF7C32">
        <w:rPr>
          <w:rFonts w:ascii="Verdana" w:hAnsi="Verdana"/>
          <w:sz w:val="20"/>
          <w:szCs w:val="20"/>
          <w:lang w:val="es-ES_tradnl"/>
        </w:rPr>
        <w:t xml:space="preserve">4. </w:t>
      </w:r>
      <w:r w:rsidRPr="00CF7C32">
        <w:rPr>
          <w:rFonts w:ascii="Verdana" w:hAnsi="Verdana"/>
          <w:sz w:val="20"/>
          <w:szCs w:val="20"/>
          <w:lang w:val="es-ES_tradnl"/>
        </w:rPr>
        <w:tab/>
        <w:t xml:space="preserve">El 10 de diciembre </w:t>
      </w:r>
      <w:r w:rsidRPr="00CF7C32">
        <w:rPr>
          <w:rFonts w:ascii="Verdana" w:hAnsi="Verdana"/>
          <w:sz w:val="20"/>
          <w:szCs w:val="20"/>
          <w:lang w:val="es-ES_tradnl"/>
        </w:rPr>
        <w:t xml:space="preserve">de 2007 </w:t>
      </w:r>
      <w:smartTag w:uri="urn:schemas-microsoft-com:office:smarttags" w:element="PersonName">
        <w:smartTagPr>
          <w:attr w:name="ProductID" w:val="la Comisi￳n"/>
        </w:smartTagPr>
        <w:r w:rsidRPr="00CF7C32">
          <w:rPr>
            <w:rFonts w:ascii="Verdana" w:hAnsi="Verdana"/>
            <w:sz w:val="20"/>
            <w:szCs w:val="20"/>
            <w:lang w:val="es-ES_tradnl"/>
          </w:rPr>
          <w:t>la Comisión</w:t>
        </w:r>
      </w:smartTag>
      <w:r w:rsidRPr="00CF7C32">
        <w:rPr>
          <w:rFonts w:ascii="Verdana" w:hAnsi="Verdana"/>
          <w:sz w:val="20"/>
          <w:szCs w:val="20"/>
          <w:lang w:val="es-ES_tradnl"/>
        </w:rPr>
        <w:t xml:space="preserve"> presentó sus alegatos escritos a la demanda de interpretación y sostuvo que “el alcance y el contenido de lo dispuesto en </w:t>
      </w:r>
      <w:smartTag w:uri="urn:schemas-microsoft-com:office:smarttags" w:element="PersonName">
        <w:smartTagPr>
          <w:attr w:name="ProductID" w:val="la Sentencia"/>
        </w:smartTagPr>
        <w:r w:rsidRPr="00CF7C32">
          <w:rPr>
            <w:rFonts w:ascii="Verdana" w:hAnsi="Verdana"/>
            <w:sz w:val="20"/>
            <w:szCs w:val="20"/>
            <w:lang w:val="es-ES_tradnl"/>
          </w:rPr>
          <w:t>la Sentencia</w:t>
        </w:r>
      </w:smartTag>
      <w:r w:rsidRPr="00CF7C32">
        <w:rPr>
          <w:rFonts w:ascii="Verdana" w:hAnsi="Verdana"/>
          <w:sz w:val="20"/>
          <w:szCs w:val="20"/>
          <w:lang w:val="es-ES_tradnl"/>
        </w:rPr>
        <w:t xml:space="preserve"> es claro por lo que la solicitud formulada por el Estado peruano no presenta cuestiones admisibles en</w:t>
      </w:r>
      <w:r w:rsidRPr="00CF7C32">
        <w:rPr>
          <w:rFonts w:ascii="Verdana" w:hAnsi="Verdana"/>
          <w:sz w:val="20"/>
          <w:szCs w:val="20"/>
          <w:lang w:val="es-ES_tradnl"/>
        </w:rPr>
        <w:t xml:space="preserve"> esta oportunidad”. </w:t>
      </w:r>
    </w:p>
    <w:p w:rsidR="004D7A6E" w:rsidRPr="00DF038B" w:rsidRDefault="00E51623">
      <w:pPr>
        <w:jc w:val="center"/>
        <w:rPr>
          <w:rFonts w:ascii="Verdana" w:hAnsi="Verdana"/>
          <w:b/>
          <w:sz w:val="20"/>
          <w:szCs w:val="20"/>
          <w:lang w:val="es-ES_tradnl"/>
        </w:rPr>
      </w:pPr>
    </w:p>
    <w:p w:rsidR="004D7A6E" w:rsidRPr="00DF038B" w:rsidRDefault="00E51623">
      <w:pPr>
        <w:jc w:val="center"/>
        <w:rPr>
          <w:rFonts w:ascii="Verdana" w:hAnsi="Verdana"/>
          <w:b/>
          <w:sz w:val="20"/>
          <w:szCs w:val="20"/>
          <w:lang w:val="es-ES_tradnl"/>
        </w:rPr>
      </w:pPr>
    </w:p>
    <w:p w:rsidR="004D7A6E" w:rsidRPr="00DF038B" w:rsidRDefault="00E51623">
      <w:pPr>
        <w:jc w:val="center"/>
        <w:rPr>
          <w:rFonts w:ascii="Verdana" w:hAnsi="Verdana"/>
          <w:b/>
          <w:sz w:val="20"/>
          <w:szCs w:val="20"/>
          <w:lang w:val="es-ES_tradnl"/>
        </w:rPr>
      </w:pPr>
      <w:r w:rsidRPr="00DF038B">
        <w:rPr>
          <w:rFonts w:ascii="Verdana" w:hAnsi="Verdana"/>
          <w:b/>
          <w:sz w:val="20"/>
          <w:szCs w:val="20"/>
          <w:lang w:val="es-ES_tradnl"/>
        </w:rPr>
        <w:t>II</w:t>
      </w:r>
    </w:p>
    <w:p w:rsidR="004D7A6E" w:rsidRPr="00DF038B" w:rsidRDefault="00E51623">
      <w:pPr>
        <w:jc w:val="center"/>
        <w:rPr>
          <w:rFonts w:ascii="Verdana" w:hAnsi="Verdana"/>
          <w:b/>
          <w:smallCaps/>
          <w:sz w:val="20"/>
          <w:szCs w:val="20"/>
          <w:lang w:val="es-ES_tradnl"/>
        </w:rPr>
      </w:pPr>
      <w:r w:rsidRPr="00DF038B">
        <w:rPr>
          <w:rFonts w:ascii="Verdana" w:hAnsi="Verdana"/>
          <w:b/>
          <w:smallCaps/>
          <w:sz w:val="20"/>
          <w:szCs w:val="20"/>
          <w:lang w:val="es-ES_tradnl"/>
        </w:rPr>
        <w:t xml:space="preserve">Competencia y Composición de </w:t>
      </w:r>
      <w:smartTag w:uri="urn:schemas-microsoft-com:office:smarttags" w:element="PersonName">
        <w:smartTagPr>
          <w:attr w:name="ProductID" w:val="la Corte"/>
        </w:smartTagPr>
        <w:r w:rsidRPr="00DF038B">
          <w:rPr>
            <w:rFonts w:ascii="Verdana" w:hAnsi="Verdana"/>
            <w:b/>
            <w:smallCaps/>
            <w:sz w:val="20"/>
            <w:szCs w:val="20"/>
            <w:lang w:val="es-ES_tradnl"/>
          </w:rPr>
          <w:t>la Corte</w:t>
        </w:r>
      </w:smartTag>
    </w:p>
    <w:p w:rsidR="004D7A6E" w:rsidRPr="00DF038B" w:rsidRDefault="00E51623">
      <w:pPr>
        <w:jc w:val="center"/>
        <w:rPr>
          <w:rFonts w:ascii="Verdana" w:hAnsi="Verdana"/>
          <w:smallCaps/>
          <w:sz w:val="20"/>
          <w:szCs w:val="20"/>
          <w:lang w:val="es-ES_tradnl"/>
        </w:rPr>
      </w:pPr>
    </w:p>
    <w:p w:rsidR="004D7A6E" w:rsidRPr="00DF038B" w:rsidRDefault="00E51623">
      <w:pPr>
        <w:jc w:val="both"/>
        <w:rPr>
          <w:rFonts w:ascii="Verdana" w:hAnsi="Verdana"/>
          <w:sz w:val="20"/>
          <w:szCs w:val="20"/>
          <w:lang w:val="es-ES_tradnl"/>
        </w:rPr>
      </w:pPr>
      <w:r w:rsidRPr="00DF038B">
        <w:rPr>
          <w:rFonts w:ascii="Verdana" w:hAnsi="Verdana"/>
          <w:sz w:val="20"/>
          <w:szCs w:val="20"/>
          <w:lang w:val="es-ES_tradnl"/>
        </w:rPr>
        <w:t>5.</w:t>
      </w:r>
      <w:r w:rsidRPr="00DF038B">
        <w:rPr>
          <w:rFonts w:ascii="Verdana" w:hAnsi="Verdana"/>
          <w:sz w:val="20"/>
          <w:szCs w:val="20"/>
          <w:lang w:val="es-ES_tradnl"/>
        </w:rPr>
        <w:tab/>
        <w:t xml:space="preserve">El artículo 67 de </w:t>
      </w:r>
      <w:smartTag w:uri="urn:schemas-microsoft-com:office:smarttags" w:element="PersonName">
        <w:smartTagPr>
          <w:attr w:name="ProductID" w:val="la Convenci￳n"/>
        </w:smartTagPr>
        <w:r w:rsidRPr="00DF038B">
          <w:rPr>
            <w:rFonts w:ascii="Verdana" w:hAnsi="Verdana"/>
            <w:sz w:val="20"/>
            <w:szCs w:val="20"/>
            <w:lang w:val="es-ES_tradnl"/>
          </w:rPr>
          <w:t>la Convención</w:t>
        </w:r>
      </w:smartTag>
      <w:r w:rsidRPr="00DF038B">
        <w:rPr>
          <w:rFonts w:ascii="Verdana" w:hAnsi="Verdana"/>
          <w:sz w:val="20"/>
          <w:szCs w:val="20"/>
          <w:lang w:val="es-ES_tradnl"/>
        </w:rPr>
        <w:t xml:space="preserve"> establece que:</w:t>
      </w:r>
    </w:p>
    <w:p w:rsidR="004D7A6E" w:rsidRPr="00DF038B" w:rsidRDefault="00E51623">
      <w:pPr>
        <w:ind w:left="720" w:right="584"/>
        <w:jc w:val="both"/>
        <w:rPr>
          <w:rFonts w:ascii="Verdana" w:hAnsi="Verdana"/>
          <w:sz w:val="16"/>
          <w:szCs w:val="20"/>
          <w:lang w:val="es-ES_tradnl"/>
        </w:rPr>
      </w:pPr>
    </w:p>
    <w:p w:rsidR="004D7A6E" w:rsidRPr="00DF038B" w:rsidRDefault="00E51623">
      <w:pPr>
        <w:ind w:left="720" w:right="584"/>
        <w:jc w:val="both"/>
        <w:rPr>
          <w:rFonts w:ascii="Verdana" w:hAnsi="Verdana"/>
          <w:b/>
          <w:sz w:val="16"/>
          <w:szCs w:val="20"/>
          <w:lang w:val="es-ES_tradnl"/>
        </w:rPr>
      </w:pPr>
      <w:r w:rsidRPr="00DF038B">
        <w:rPr>
          <w:rFonts w:ascii="Verdana" w:eastAsia="Times" w:hAnsi="Verdana"/>
          <w:sz w:val="16"/>
          <w:lang w:val="es-ES_tradnl"/>
        </w:rPr>
        <w:t>[</w:t>
      </w:r>
      <w:proofErr w:type="gramStart"/>
      <w:r w:rsidRPr="00DF038B">
        <w:rPr>
          <w:rFonts w:ascii="Verdana" w:eastAsia="Times" w:hAnsi="Verdana"/>
          <w:sz w:val="16"/>
          <w:lang w:val="es-ES_tradnl"/>
        </w:rPr>
        <w:t>e]</w:t>
      </w:r>
      <w:proofErr w:type="gramEnd"/>
      <w:r w:rsidRPr="00DF038B">
        <w:rPr>
          <w:rFonts w:ascii="Verdana" w:eastAsia="Times" w:hAnsi="Verdana"/>
          <w:sz w:val="16"/>
          <w:lang w:val="es-ES_tradnl"/>
        </w:rPr>
        <w:t xml:space="preserve">l fallo de </w:t>
      </w:r>
      <w:smartTag w:uri="urn:schemas-microsoft-com:office:smarttags" w:element="PersonName">
        <w:smartTagPr>
          <w:attr w:name="ProductID" w:val="la Corte"/>
        </w:smartTagPr>
        <w:r w:rsidRPr="00DF038B">
          <w:rPr>
            <w:rFonts w:ascii="Verdana" w:eastAsia="Times" w:hAnsi="Verdana"/>
            <w:sz w:val="16"/>
            <w:lang w:val="es-ES_tradnl"/>
          </w:rPr>
          <w:t>la Corte</w:t>
        </w:r>
      </w:smartTag>
      <w:r w:rsidRPr="00DF038B">
        <w:rPr>
          <w:rFonts w:ascii="Verdana" w:eastAsia="Times" w:hAnsi="Verdana"/>
          <w:sz w:val="16"/>
          <w:lang w:val="es-ES_tradnl"/>
        </w:rPr>
        <w:t xml:space="preserve"> será definitivo e inapelable. En caso de desacuerdo sobre el sentido o alcance del fallo, </w:t>
      </w:r>
      <w:smartTag w:uri="urn:schemas-microsoft-com:office:smarttags" w:element="PersonName">
        <w:smartTagPr>
          <w:attr w:name="ProductID" w:val="la Corte"/>
        </w:smartTagPr>
        <w:r w:rsidRPr="00DF038B">
          <w:rPr>
            <w:rFonts w:ascii="Verdana" w:eastAsia="Times" w:hAnsi="Verdana"/>
            <w:sz w:val="16"/>
            <w:lang w:val="es-ES_tradnl"/>
          </w:rPr>
          <w:t>la Corte</w:t>
        </w:r>
      </w:smartTag>
      <w:r w:rsidRPr="00DF038B">
        <w:rPr>
          <w:rFonts w:ascii="Verdana" w:eastAsia="Times" w:hAnsi="Verdana"/>
          <w:sz w:val="16"/>
          <w:lang w:val="es-ES_tradnl"/>
        </w:rPr>
        <w:t xml:space="preserve"> lo interpretará a </w:t>
      </w:r>
      <w:r w:rsidRPr="00DF038B">
        <w:rPr>
          <w:rFonts w:ascii="Verdana" w:eastAsia="Times" w:hAnsi="Verdana"/>
          <w:sz w:val="16"/>
          <w:lang w:val="es-ES_tradnl"/>
        </w:rPr>
        <w:t>solicitud de cualquiera de las partes, siempre que dicha solicitud se presente dentro de los noventa días a partir de la fecha de la notificación del fallo.</w:t>
      </w:r>
    </w:p>
    <w:p w:rsidR="004D7A6E" w:rsidRPr="00DF038B" w:rsidRDefault="00E51623">
      <w:pPr>
        <w:ind w:right="584"/>
        <w:jc w:val="both"/>
        <w:rPr>
          <w:rFonts w:ascii="Verdana" w:hAnsi="Verdana"/>
          <w:b/>
          <w:sz w:val="16"/>
          <w:szCs w:val="20"/>
          <w:lang w:val="es-ES_tradnl"/>
        </w:rPr>
      </w:pPr>
    </w:p>
    <w:p w:rsidR="004D7A6E" w:rsidRPr="003655C2" w:rsidRDefault="00E51623">
      <w:pPr>
        <w:jc w:val="both"/>
        <w:rPr>
          <w:rFonts w:ascii="Verdana" w:hAnsi="Verdana"/>
          <w:strike/>
          <w:sz w:val="20"/>
          <w:szCs w:val="20"/>
          <w:lang w:val="es-ES_tradnl"/>
        </w:rPr>
      </w:pPr>
      <w:r w:rsidRPr="00DF038B">
        <w:rPr>
          <w:rFonts w:ascii="Verdana" w:hAnsi="Verdana"/>
          <w:sz w:val="20"/>
          <w:szCs w:val="20"/>
          <w:lang w:val="es-ES_tradnl"/>
        </w:rPr>
        <w:t>6.</w:t>
      </w:r>
      <w:r w:rsidRPr="00DF038B">
        <w:rPr>
          <w:rFonts w:ascii="Verdana" w:hAnsi="Verdana"/>
          <w:sz w:val="20"/>
          <w:szCs w:val="20"/>
          <w:lang w:val="es-ES_tradnl"/>
        </w:rPr>
        <w:tab/>
        <w:t xml:space="preserve">De conformidad con el artículo citado, </w:t>
      </w:r>
      <w:smartTag w:uri="urn:schemas-microsoft-com:office:smarttags" w:element="PersonName">
        <w:smartTagPr>
          <w:attr w:name="ProductID" w:val="la Corte"/>
        </w:smartTagPr>
        <w:r w:rsidRPr="00DF038B">
          <w:rPr>
            <w:rFonts w:ascii="Verdana" w:hAnsi="Verdana"/>
            <w:sz w:val="20"/>
            <w:szCs w:val="20"/>
            <w:lang w:val="es-ES_tradnl"/>
          </w:rPr>
          <w:t>la Corte</w:t>
        </w:r>
      </w:smartTag>
      <w:r w:rsidRPr="00DF038B">
        <w:rPr>
          <w:rFonts w:ascii="Verdana" w:hAnsi="Verdana"/>
          <w:sz w:val="20"/>
          <w:szCs w:val="20"/>
          <w:lang w:val="es-ES_tradnl"/>
        </w:rPr>
        <w:t xml:space="preserve"> es competente para interpretar sus fallos. Para</w:t>
      </w:r>
      <w:r w:rsidRPr="00DF038B">
        <w:rPr>
          <w:rFonts w:ascii="Verdana" w:hAnsi="Verdana"/>
          <w:sz w:val="20"/>
          <w:szCs w:val="20"/>
          <w:lang w:val="es-ES_tradnl"/>
        </w:rPr>
        <w:t xml:space="preserve"> realizar el examen de la demanda de interpretación </w:t>
      </w:r>
      <w:r w:rsidRPr="0039683C">
        <w:rPr>
          <w:rFonts w:ascii="Verdana" w:hAnsi="Verdana"/>
          <w:sz w:val="20"/>
          <w:szCs w:val="20"/>
          <w:lang w:val="es-ES_tradnl"/>
        </w:rPr>
        <w:t xml:space="preserve">y resolver lo que a este respecto corresponda, el Tribunal debe tener, si es posible, la misma composición que tenía al dictar </w:t>
      </w:r>
      <w:smartTag w:uri="urn:schemas-microsoft-com:office:smarttags" w:element="PersonName">
        <w:smartTagPr>
          <w:attr w:name="ProductID" w:val="la Sentencia"/>
        </w:smartTagPr>
        <w:r w:rsidRPr="0039683C">
          <w:rPr>
            <w:rFonts w:ascii="Verdana" w:hAnsi="Verdana"/>
            <w:sz w:val="20"/>
            <w:szCs w:val="20"/>
            <w:lang w:val="es-ES_tradnl"/>
          </w:rPr>
          <w:t>la Sentencia</w:t>
        </w:r>
      </w:smartTag>
      <w:r w:rsidRPr="0039683C">
        <w:rPr>
          <w:rFonts w:ascii="Verdana" w:hAnsi="Verdana"/>
          <w:sz w:val="20"/>
          <w:szCs w:val="20"/>
          <w:lang w:val="es-ES_tradnl"/>
        </w:rPr>
        <w:t xml:space="preserve"> respectiva, de acuerdo con el artículo 59.3 del </w:t>
      </w:r>
      <w:r w:rsidRPr="0039683C">
        <w:rPr>
          <w:rFonts w:ascii="Verdana" w:hAnsi="Verdana"/>
          <w:sz w:val="20"/>
          <w:szCs w:val="20"/>
          <w:lang w:val="es-ES_tradnl"/>
        </w:rPr>
        <w:lastRenderedPageBreak/>
        <w:t>Reglamento. En e</w:t>
      </w:r>
      <w:r w:rsidRPr="0039683C">
        <w:rPr>
          <w:rFonts w:ascii="Verdana" w:hAnsi="Verdana"/>
          <w:sz w:val="20"/>
          <w:szCs w:val="20"/>
          <w:lang w:val="es-ES_tradnl"/>
        </w:rPr>
        <w:t xml:space="preserve">sta ocasión, </w:t>
      </w:r>
      <w:smartTag w:uri="urn:schemas-microsoft-com:office:smarttags" w:element="PersonName">
        <w:smartTagPr>
          <w:attr w:name="ProductID" w:val="la Corte"/>
        </w:smartTagPr>
        <w:r w:rsidRPr="0039683C">
          <w:rPr>
            <w:rFonts w:ascii="Verdana" w:hAnsi="Verdana"/>
            <w:sz w:val="20"/>
            <w:szCs w:val="20"/>
            <w:lang w:val="es-ES_tradnl"/>
          </w:rPr>
          <w:t>la Corte</w:t>
        </w:r>
      </w:smartTag>
      <w:r w:rsidRPr="0039683C">
        <w:rPr>
          <w:rFonts w:ascii="Verdana" w:hAnsi="Verdana"/>
          <w:sz w:val="20"/>
          <w:szCs w:val="20"/>
          <w:lang w:val="es-ES_tradnl"/>
        </w:rPr>
        <w:t xml:space="preserve"> se integra con los mismos jueces que dictaron </w:t>
      </w:r>
      <w:smartTag w:uri="urn:schemas-microsoft-com:office:smarttags" w:element="PersonName">
        <w:smartTagPr>
          <w:attr w:name="ProductID" w:val="la Sentencia"/>
        </w:smartTagPr>
        <w:r w:rsidRPr="0039683C">
          <w:rPr>
            <w:rFonts w:ascii="Verdana" w:hAnsi="Verdana"/>
            <w:sz w:val="20"/>
            <w:szCs w:val="20"/>
            <w:lang w:val="es-ES_tradnl"/>
          </w:rPr>
          <w:t>la Sentencia</w:t>
        </w:r>
      </w:smartTag>
      <w:r w:rsidRPr="0039683C">
        <w:rPr>
          <w:rFonts w:ascii="Verdana" w:hAnsi="Verdana"/>
          <w:sz w:val="20"/>
          <w:szCs w:val="20"/>
          <w:lang w:val="es-ES_tradnl"/>
        </w:rPr>
        <w:t xml:space="preserve"> cuya interpretación ha sido solicitada por el Estado. </w:t>
      </w:r>
    </w:p>
    <w:p w:rsidR="004D7A6E" w:rsidRPr="00DF038B" w:rsidRDefault="00E51623">
      <w:pPr>
        <w:jc w:val="both"/>
        <w:rPr>
          <w:rFonts w:ascii="Verdana" w:hAnsi="Verdana"/>
          <w:sz w:val="20"/>
          <w:szCs w:val="20"/>
          <w:lang w:val="es-ES_tradnl"/>
        </w:rPr>
      </w:pPr>
    </w:p>
    <w:p w:rsidR="004D7A6E" w:rsidRPr="00DF038B" w:rsidRDefault="00E51623">
      <w:pPr>
        <w:jc w:val="both"/>
        <w:rPr>
          <w:rFonts w:ascii="Verdana" w:hAnsi="Verdana"/>
          <w:sz w:val="20"/>
          <w:szCs w:val="20"/>
          <w:lang w:val="es-ES_tradnl"/>
        </w:rPr>
      </w:pPr>
    </w:p>
    <w:p w:rsidR="004D7A6E" w:rsidRPr="00DF038B" w:rsidRDefault="00E51623">
      <w:pPr>
        <w:ind w:left="705"/>
        <w:jc w:val="center"/>
        <w:rPr>
          <w:rFonts w:ascii="Verdana" w:hAnsi="Verdana"/>
          <w:b/>
          <w:smallCaps/>
          <w:sz w:val="20"/>
          <w:szCs w:val="20"/>
          <w:lang w:val="es-ES_tradnl"/>
        </w:rPr>
      </w:pPr>
      <w:r w:rsidRPr="00DF038B">
        <w:rPr>
          <w:rFonts w:ascii="Verdana" w:hAnsi="Verdana"/>
          <w:b/>
          <w:smallCaps/>
          <w:sz w:val="20"/>
          <w:szCs w:val="20"/>
          <w:lang w:val="es-ES_tradnl"/>
        </w:rPr>
        <w:t>III</w:t>
      </w:r>
    </w:p>
    <w:p w:rsidR="004D7A6E" w:rsidRPr="00DF038B" w:rsidRDefault="00E51623">
      <w:pPr>
        <w:ind w:left="705"/>
        <w:jc w:val="center"/>
        <w:rPr>
          <w:rFonts w:ascii="Verdana" w:hAnsi="Verdana"/>
          <w:b/>
          <w:smallCaps/>
          <w:sz w:val="20"/>
          <w:szCs w:val="20"/>
          <w:lang w:val="es-ES_tradnl"/>
        </w:rPr>
      </w:pPr>
      <w:r w:rsidRPr="00DF038B">
        <w:rPr>
          <w:rFonts w:ascii="Verdana" w:hAnsi="Verdana"/>
          <w:b/>
          <w:smallCaps/>
          <w:sz w:val="20"/>
          <w:szCs w:val="20"/>
          <w:lang w:val="es-ES_tradnl"/>
        </w:rPr>
        <w:t>Admisibilidad</w:t>
      </w:r>
    </w:p>
    <w:p w:rsidR="004D7A6E" w:rsidRPr="00DF038B" w:rsidRDefault="00E51623">
      <w:pPr>
        <w:jc w:val="both"/>
        <w:rPr>
          <w:rFonts w:ascii="Verdana" w:hAnsi="Verdana"/>
          <w:sz w:val="20"/>
          <w:szCs w:val="20"/>
          <w:lang w:val="es-ES_tradnl"/>
        </w:rPr>
      </w:pPr>
    </w:p>
    <w:p w:rsidR="004D7A6E" w:rsidRPr="001A46B1" w:rsidRDefault="00E51623">
      <w:pPr>
        <w:pStyle w:val="Textodebloque"/>
        <w:spacing w:before="60" w:after="60"/>
        <w:ind w:left="0" w:right="18"/>
        <w:rPr>
          <w:sz w:val="20"/>
        </w:rPr>
      </w:pPr>
      <w:r w:rsidRPr="001A46B1">
        <w:rPr>
          <w:sz w:val="20"/>
        </w:rPr>
        <w:t>7.</w:t>
      </w:r>
      <w:r w:rsidRPr="001A46B1">
        <w:rPr>
          <w:sz w:val="20"/>
        </w:rPr>
        <w:tab/>
        <w:t xml:space="preserve">Corresponde a </w:t>
      </w:r>
      <w:smartTag w:uri="urn:schemas-microsoft-com:office:smarttags" w:element="PersonName">
        <w:smartTagPr>
          <w:attr w:name="ProductID" w:val="la Corte"/>
        </w:smartTagPr>
        <w:r w:rsidRPr="001A46B1">
          <w:rPr>
            <w:sz w:val="20"/>
          </w:rPr>
          <w:t>la Corte</w:t>
        </w:r>
      </w:smartTag>
      <w:r w:rsidRPr="001A46B1">
        <w:rPr>
          <w:sz w:val="20"/>
        </w:rPr>
        <w:t xml:space="preserve"> verificar si la demanda de interpretación cumple con los requisitos estab</w:t>
      </w:r>
      <w:r w:rsidRPr="001A46B1">
        <w:rPr>
          <w:sz w:val="20"/>
        </w:rPr>
        <w:t xml:space="preserve">lecidos en las normas aplicables, a saber, el artículo 67 de </w:t>
      </w:r>
      <w:smartTag w:uri="urn:schemas-microsoft-com:office:smarttags" w:element="PersonName">
        <w:smartTagPr>
          <w:attr w:name="ProductID" w:val="la Convenci￳n"/>
        </w:smartTagPr>
        <w:r w:rsidRPr="001A46B1">
          <w:rPr>
            <w:sz w:val="20"/>
          </w:rPr>
          <w:t>la Convención</w:t>
        </w:r>
      </w:smartTag>
      <w:r w:rsidRPr="001A46B1">
        <w:rPr>
          <w:sz w:val="20"/>
        </w:rPr>
        <w:t>, anteriormente citado, y el artículo 59 del Reglamento que dispone, en lo pertinente, que:</w:t>
      </w:r>
    </w:p>
    <w:p w:rsidR="004D7A6E" w:rsidRPr="00084597" w:rsidRDefault="00E51623">
      <w:pPr>
        <w:jc w:val="both"/>
        <w:rPr>
          <w:rFonts w:ascii="Verdana" w:hAnsi="Verdana"/>
          <w:sz w:val="16"/>
          <w:szCs w:val="20"/>
          <w:lang w:val="es-ES_tradnl"/>
        </w:rPr>
      </w:pPr>
    </w:p>
    <w:p w:rsidR="004D7A6E" w:rsidRPr="00084597" w:rsidRDefault="00E51623">
      <w:pPr>
        <w:spacing w:before="60" w:after="60"/>
        <w:ind w:left="720" w:right="720"/>
        <w:jc w:val="both"/>
        <w:rPr>
          <w:rFonts w:ascii="Verdana" w:hAnsi="Verdana"/>
          <w:sz w:val="16"/>
          <w:lang w:val="es-ES_tradnl"/>
        </w:rPr>
      </w:pPr>
      <w:r w:rsidRPr="00084597">
        <w:rPr>
          <w:rFonts w:ascii="Verdana" w:hAnsi="Verdana"/>
          <w:sz w:val="16"/>
          <w:lang w:val="es-ES_tradnl"/>
        </w:rPr>
        <w:t>1.</w:t>
      </w:r>
      <w:r w:rsidRPr="00084597">
        <w:rPr>
          <w:rFonts w:ascii="Verdana" w:hAnsi="Verdana"/>
          <w:sz w:val="16"/>
          <w:lang w:val="es-ES_tradnl"/>
        </w:rPr>
        <w:tab/>
        <w:t xml:space="preserve">La demanda de interpretación a que se refiere el artículo 67 de </w:t>
      </w:r>
      <w:smartTag w:uri="urn:schemas-microsoft-com:office:smarttags" w:element="PersonName">
        <w:smartTagPr>
          <w:attr w:name="ProductID" w:val="la Convenci￳n"/>
        </w:smartTagPr>
        <w:r w:rsidRPr="00084597">
          <w:rPr>
            <w:rFonts w:ascii="Verdana" w:hAnsi="Verdana"/>
            <w:sz w:val="16"/>
            <w:lang w:val="es-ES_tradnl"/>
          </w:rPr>
          <w:t>la Convención</w:t>
        </w:r>
      </w:smartTag>
      <w:r w:rsidRPr="00084597">
        <w:rPr>
          <w:rFonts w:ascii="Verdana" w:hAnsi="Verdana"/>
          <w:sz w:val="16"/>
          <w:lang w:val="es-ES_tradnl"/>
        </w:rPr>
        <w:t xml:space="preserve"> podrá pr</w:t>
      </w:r>
      <w:r w:rsidRPr="00084597">
        <w:rPr>
          <w:rFonts w:ascii="Verdana" w:hAnsi="Verdana"/>
          <w:sz w:val="16"/>
          <w:lang w:val="es-ES_tradnl"/>
        </w:rPr>
        <w:t xml:space="preserve">omoverse en relación con las sentencias de fondo o de reparaciones y se presentará en </w:t>
      </w:r>
      <w:smartTag w:uri="urn:schemas-microsoft-com:office:smarttags" w:element="PersonName">
        <w:smartTagPr>
          <w:attr w:name="ProductID" w:val="la Secretar￭a"/>
        </w:smartTagPr>
        <w:r w:rsidRPr="00084597">
          <w:rPr>
            <w:rFonts w:ascii="Verdana" w:hAnsi="Verdana"/>
            <w:sz w:val="16"/>
            <w:lang w:val="es-ES_tradnl"/>
          </w:rPr>
          <w:t>la Secretaría</w:t>
        </w:r>
      </w:smartTag>
      <w:r w:rsidRPr="00084597">
        <w:rPr>
          <w:rFonts w:ascii="Verdana" w:hAnsi="Verdana"/>
          <w:sz w:val="16"/>
          <w:lang w:val="es-ES_tradnl"/>
        </w:rPr>
        <w:t xml:space="preserve"> de </w:t>
      </w:r>
      <w:smartTag w:uri="urn:schemas-microsoft-com:office:smarttags" w:element="PersonName">
        <w:smartTagPr>
          <w:attr w:name="ProductID" w:val="la Corte"/>
        </w:smartTagPr>
        <w:r w:rsidRPr="00084597">
          <w:rPr>
            <w:rFonts w:ascii="Verdana" w:hAnsi="Verdana"/>
            <w:sz w:val="16"/>
            <w:lang w:val="es-ES_tradnl"/>
          </w:rPr>
          <w:t>la Corte</w:t>
        </w:r>
      </w:smartTag>
      <w:r w:rsidRPr="00084597">
        <w:rPr>
          <w:rFonts w:ascii="Verdana" w:hAnsi="Verdana"/>
          <w:sz w:val="16"/>
          <w:lang w:val="es-ES_tradnl"/>
        </w:rPr>
        <w:t xml:space="preserve"> indicándose en ella, con precisión, las cuestiones relativas al sentido o alcance de la sentencia cuya interpretación se pida.</w:t>
      </w:r>
    </w:p>
    <w:p w:rsidR="004D7A6E" w:rsidRPr="00084597" w:rsidRDefault="00E51623">
      <w:pPr>
        <w:spacing w:before="60" w:after="60"/>
        <w:ind w:left="720" w:right="720"/>
        <w:jc w:val="both"/>
        <w:rPr>
          <w:rFonts w:ascii="Verdana" w:hAnsi="Verdana"/>
          <w:sz w:val="16"/>
          <w:lang w:val="es-ES_tradnl"/>
        </w:rPr>
      </w:pPr>
      <w:r w:rsidRPr="00084597">
        <w:rPr>
          <w:rFonts w:ascii="Verdana" w:hAnsi="Verdana"/>
          <w:sz w:val="16"/>
          <w:lang w:val="es-ES_tradnl"/>
        </w:rPr>
        <w:t>[…]</w:t>
      </w:r>
    </w:p>
    <w:p w:rsidR="004D7A6E" w:rsidRPr="00084597" w:rsidRDefault="00E51623">
      <w:pPr>
        <w:spacing w:before="60" w:after="60"/>
        <w:ind w:left="720" w:right="720"/>
        <w:jc w:val="both"/>
        <w:rPr>
          <w:rFonts w:ascii="Verdana" w:hAnsi="Verdana"/>
          <w:sz w:val="16"/>
          <w:lang w:val="es-ES_tradnl"/>
        </w:rPr>
      </w:pPr>
      <w:r w:rsidRPr="00084597">
        <w:rPr>
          <w:rFonts w:ascii="Verdana" w:hAnsi="Verdana"/>
          <w:sz w:val="16"/>
          <w:lang w:val="es-ES_tradnl"/>
        </w:rPr>
        <w:t>4.</w:t>
      </w:r>
      <w:r w:rsidRPr="00084597">
        <w:rPr>
          <w:rFonts w:ascii="Verdana" w:hAnsi="Verdana"/>
          <w:sz w:val="16"/>
          <w:lang w:val="es-ES_tradnl"/>
        </w:rPr>
        <w:tab/>
        <w:t>La demanda</w:t>
      </w:r>
      <w:r w:rsidRPr="00084597">
        <w:rPr>
          <w:rFonts w:ascii="Verdana" w:hAnsi="Verdana"/>
          <w:sz w:val="16"/>
          <w:lang w:val="es-ES_tradnl"/>
        </w:rPr>
        <w:t xml:space="preserve"> de interpretación no suspenderá la ejecución de la sentencia.</w:t>
      </w:r>
    </w:p>
    <w:p w:rsidR="004D7A6E" w:rsidRPr="00084597" w:rsidRDefault="00E51623">
      <w:pPr>
        <w:spacing w:before="60" w:after="60"/>
        <w:ind w:left="720" w:right="720"/>
        <w:jc w:val="both"/>
        <w:rPr>
          <w:rFonts w:ascii="Verdana" w:hAnsi="Verdana"/>
          <w:sz w:val="16"/>
          <w:lang w:val="es-ES_tradnl"/>
        </w:rPr>
      </w:pPr>
      <w:r w:rsidRPr="00084597">
        <w:rPr>
          <w:rFonts w:ascii="Verdana" w:hAnsi="Verdana"/>
          <w:sz w:val="16"/>
          <w:lang w:val="es-ES_tradnl"/>
        </w:rPr>
        <w:t>5.</w:t>
      </w:r>
      <w:r w:rsidRPr="00084597">
        <w:rPr>
          <w:rFonts w:ascii="Verdana" w:hAnsi="Verdana"/>
          <w:sz w:val="16"/>
          <w:lang w:val="es-ES_tradnl"/>
        </w:rPr>
        <w:tab/>
      </w:r>
      <w:smartTag w:uri="urn:schemas-microsoft-com:office:smarttags" w:element="PersonName">
        <w:smartTagPr>
          <w:attr w:name="ProductID" w:val="la Corte"/>
        </w:smartTagPr>
        <w:r w:rsidRPr="00084597">
          <w:rPr>
            <w:rFonts w:ascii="Verdana" w:hAnsi="Verdana"/>
            <w:sz w:val="16"/>
            <w:lang w:val="es-ES_tradnl"/>
          </w:rPr>
          <w:t>La Corte</w:t>
        </w:r>
      </w:smartTag>
      <w:r w:rsidRPr="00084597">
        <w:rPr>
          <w:rFonts w:ascii="Verdana" w:hAnsi="Verdana"/>
          <w:sz w:val="16"/>
          <w:lang w:val="es-ES_tradnl"/>
        </w:rPr>
        <w:t xml:space="preserve"> determinará el procedimiento que se seguirá y resolverá mediante una sentencia.</w:t>
      </w:r>
    </w:p>
    <w:p w:rsidR="004D7A6E" w:rsidRPr="00084597" w:rsidRDefault="00E51623">
      <w:pPr>
        <w:jc w:val="both"/>
        <w:rPr>
          <w:rFonts w:ascii="Verdana" w:hAnsi="Verdana"/>
          <w:sz w:val="16"/>
          <w:szCs w:val="20"/>
          <w:lang w:val="es-ES_tradnl"/>
        </w:rPr>
      </w:pPr>
    </w:p>
    <w:p w:rsidR="004D7A6E" w:rsidRPr="00DF038B" w:rsidRDefault="00E51623">
      <w:pPr>
        <w:jc w:val="both"/>
        <w:rPr>
          <w:rFonts w:ascii="Verdana" w:hAnsi="Verdana"/>
          <w:sz w:val="20"/>
          <w:szCs w:val="20"/>
          <w:lang w:val="es-ES_tradnl"/>
        </w:rPr>
      </w:pPr>
      <w:r w:rsidRPr="00DF038B">
        <w:rPr>
          <w:rFonts w:ascii="Verdana" w:hAnsi="Verdana"/>
          <w:sz w:val="20"/>
          <w:szCs w:val="20"/>
          <w:lang w:val="es-ES_tradnl"/>
        </w:rPr>
        <w:t>8.</w:t>
      </w:r>
      <w:r w:rsidRPr="00DF038B">
        <w:rPr>
          <w:rFonts w:ascii="Verdana" w:hAnsi="Verdana"/>
          <w:sz w:val="20"/>
          <w:szCs w:val="20"/>
          <w:lang w:val="es-ES_tradnl"/>
        </w:rPr>
        <w:tab/>
        <w:t>Asimismo, el artículo 29.3 del Reglamento establece que “[c]ontra las sentencias y resoluciones d</w:t>
      </w:r>
      <w:r w:rsidRPr="00DF038B">
        <w:rPr>
          <w:rFonts w:ascii="Verdana" w:hAnsi="Verdana"/>
          <w:sz w:val="20"/>
          <w:szCs w:val="20"/>
          <w:lang w:val="es-ES_tradnl"/>
        </w:rPr>
        <w:t xml:space="preserve">e </w:t>
      </w:r>
      <w:smartTag w:uri="urn:schemas-microsoft-com:office:smarttags" w:element="PersonName">
        <w:smartTagPr>
          <w:attr w:name="ProductID" w:val="la Corte"/>
        </w:smartTagPr>
        <w:r w:rsidRPr="00DF038B">
          <w:rPr>
            <w:rFonts w:ascii="Verdana" w:hAnsi="Verdana"/>
            <w:sz w:val="20"/>
            <w:szCs w:val="20"/>
            <w:lang w:val="es-ES_tradnl"/>
          </w:rPr>
          <w:t>la Corte</w:t>
        </w:r>
      </w:smartTag>
      <w:r w:rsidRPr="00DF038B">
        <w:rPr>
          <w:rFonts w:ascii="Verdana" w:hAnsi="Verdana"/>
          <w:sz w:val="20"/>
          <w:szCs w:val="20"/>
          <w:lang w:val="es-ES_tradnl"/>
        </w:rPr>
        <w:t xml:space="preserve"> no procede ningún medio de impugnación”. </w:t>
      </w:r>
    </w:p>
    <w:p w:rsidR="004D7A6E" w:rsidRPr="00DF038B" w:rsidRDefault="00E51623">
      <w:pPr>
        <w:jc w:val="both"/>
        <w:rPr>
          <w:rFonts w:ascii="Verdana" w:hAnsi="Verdana"/>
          <w:sz w:val="20"/>
          <w:szCs w:val="20"/>
          <w:lang w:val="es-ES_tradnl"/>
        </w:rPr>
      </w:pPr>
    </w:p>
    <w:p w:rsidR="004D7A6E" w:rsidRPr="00DF038B" w:rsidRDefault="00E51623">
      <w:pPr>
        <w:jc w:val="both"/>
        <w:rPr>
          <w:rFonts w:ascii="Verdana" w:hAnsi="Verdana"/>
          <w:sz w:val="20"/>
          <w:lang w:val="es-ES_tradnl"/>
        </w:rPr>
      </w:pPr>
      <w:r w:rsidRPr="00DF038B">
        <w:rPr>
          <w:rFonts w:ascii="Verdana" w:hAnsi="Verdana"/>
          <w:sz w:val="20"/>
          <w:szCs w:val="20"/>
          <w:lang w:val="es-ES_tradnl"/>
        </w:rPr>
        <w:t>9.</w:t>
      </w:r>
      <w:r w:rsidRPr="00DF038B">
        <w:rPr>
          <w:rFonts w:ascii="Verdana" w:hAnsi="Verdana"/>
          <w:sz w:val="20"/>
          <w:szCs w:val="20"/>
          <w:lang w:val="es-ES_tradnl"/>
        </w:rPr>
        <w:tab/>
      </w:r>
      <w:smartTag w:uri="urn:schemas-microsoft-com:office:smarttags" w:element="PersonName">
        <w:smartTagPr>
          <w:attr w:name="ProductID" w:val="la Corte"/>
        </w:smartTagPr>
        <w:r w:rsidRPr="00DF038B">
          <w:rPr>
            <w:rFonts w:ascii="Verdana" w:hAnsi="Verdana"/>
            <w:sz w:val="20"/>
            <w:szCs w:val="20"/>
            <w:lang w:val="es-ES_tradnl"/>
          </w:rPr>
          <w:t>La Corte</w:t>
        </w:r>
      </w:smartTag>
      <w:r w:rsidRPr="00DF038B">
        <w:rPr>
          <w:rFonts w:ascii="Verdana" w:hAnsi="Verdana"/>
          <w:sz w:val="20"/>
          <w:szCs w:val="20"/>
          <w:lang w:val="es-ES_tradnl"/>
        </w:rPr>
        <w:t xml:space="preserve"> ha constatado que el Estado interpu</w:t>
      </w:r>
      <w:r>
        <w:rPr>
          <w:rFonts w:ascii="Verdana" w:hAnsi="Verdana"/>
          <w:sz w:val="20"/>
          <w:szCs w:val="20"/>
          <w:lang w:val="es-ES_tradnl"/>
        </w:rPr>
        <w:t>s</w:t>
      </w:r>
      <w:r w:rsidRPr="00DF038B">
        <w:rPr>
          <w:rFonts w:ascii="Verdana" w:hAnsi="Verdana"/>
          <w:sz w:val="20"/>
          <w:szCs w:val="20"/>
          <w:lang w:val="es-ES_tradnl"/>
        </w:rPr>
        <w:t xml:space="preserve">o su demanda de interpretación dentro del plazo establecido en el artículo 67 de </w:t>
      </w:r>
      <w:smartTag w:uri="urn:schemas-microsoft-com:office:smarttags" w:element="PersonName">
        <w:smartTagPr>
          <w:attr w:name="ProductID" w:val="la Convenci￳n"/>
        </w:smartTagPr>
        <w:r w:rsidRPr="00DF038B">
          <w:rPr>
            <w:rFonts w:ascii="Verdana" w:hAnsi="Verdana"/>
            <w:sz w:val="20"/>
            <w:szCs w:val="20"/>
            <w:lang w:val="es-ES_tradnl"/>
          </w:rPr>
          <w:t>la Convención</w:t>
        </w:r>
      </w:smartTag>
      <w:r w:rsidRPr="00DF038B">
        <w:rPr>
          <w:rFonts w:ascii="Verdana" w:hAnsi="Verdana"/>
          <w:sz w:val="20"/>
          <w:szCs w:val="20"/>
          <w:lang w:val="es-ES_tradnl"/>
        </w:rPr>
        <w:t xml:space="preserve">, ya que la misma fue presentada </w:t>
      </w:r>
      <w:r>
        <w:rPr>
          <w:rFonts w:ascii="Verdana" w:hAnsi="Verdana"/>
          <w:sz w:val="20"/>
          <w:szCs w:val="20"/>
          <w:lang w:val="es-ES_tradnl"/>
        </w:rPr>
        <w:t>el</w:t>
      </w:r>
      <w:r w:rsidRPr="00DF038B">
        <w:rPr>
          <w:rFonts w:ascii="Verdana" w:hAnsi="Verdana"/>
          <w:sz w:val="20"/>
          <w:szCs w:val="20"/>
          <w:lang w:val="es-ES_tradnl"/>
        </w:rPr>
        <w:t xml:space="preserve"> día </w:t>
      </w:r>
      <w:r>
        <w:rPr>
          <w:rFonts w:ascii="Verdana" w:hAnsi="Verdana"/>
          <w:sz w:val="20"/>
          <w:szCs w:val="20"/>
          <w:lang w:val="es-ES_tradnl"/>
        </w:rPr>
        <w:t>31</w:t>
      </w:r>
      <w:r w:rsidRPr="00DF038B">
        <w:rPr>
          <w:rFonts w:ascii="Verdana" w:hAnsi="Verdana"/>
          <w:sz w:val="20"/>
          <w:szCs w:val="20"/>
          <w:lang w:val="es-ES_tradnl"/>
        </w:rPr>
        <w:t xml:space="preserve"> </w:t>
      </w:r>
      <w:r>
        <w:rPr>
          <w:rFonts w:ascii="Verdana" w:hAnsi="Verdana"/>
          <w:sz w:val="20"/>
          <w:szCs w:val="20"/>
          <w:lang w:val="es-ES_tradnl"/>
        </w:rPr>
        <w:t>de octubre</w:t>
      </w:r>
      <w:r w:rsidRPr="00DF038B">
        <w:rPr>
          <w:rFonts w:ascii="Verdana" w:hAnsi="Verdana"/>
          <w:sz w:val="20"/>
          <w:szCs w:val="20"/>
          <w:lang w:val="es-ES_tradnl"/>
        </w:rPr>
        <w:t xml:space="preserve"> de 200</w:t>
      </w:r>
      <w:r w:rsidRPr="00DF038B">
        <w:rPr>
          <w:rFonts w:ascii="Verdana" w:hAnsi="Verdana"/>
          <w:sz w:val="20"/>
          <w:szCs w:val="20"/>
          <w:lang w:val="es-ES_tradnl"/>
        </w:rPr>
        <w:t xml:space="preserve">7 y </w:t>
      </w:r>
      <w:smartTag w:uri="urn:schemas-microsoft-com:office:smarttags" w:element="PersonName">
        <w:smartTagPr>
          <w:attr w:name="ProductID" w:val="la Sentencia"/>
        </w:smartTagPr>
        <w:r w:rsidRPr="00DF038B">
          <w:rPr>
            <w:rFonts w:ascii="Verdana" w:hAnsi="Verdana"/>
            <w:sz w:val="20"/>
            <w:szCs w:val="20"/>
            <w:lang w:val="es-ES_tradnl"/>
          </w:rPr>
          <w:t>la Sentencia</w:t>
        </w:r>
      </w:smartTag>
      <w:r w:rsidRPr="00DF038B">
        <w:rPr>
          <w:rFonts w:ascii="Verdana" w:hAnsi="Verdana"/>
          <w:sz w:val="20"/>
          <w:szCs w:val="20"/>
          <w:lang w:val="es-ES_tradnl"/>
        </w:rPr>
        <w:t xml:space="preserve"> fue notificada a las partes el </w:t>
      </w:r>
      <w:r>
        <w:rPr>
          <w:rFonts w:ascii="Verdana" w:hAnsi="Verdana"/>
          <w:sz w:val="20"/>
          <w:lang w:val="es-ES_tradnl"/>
        </w:rPr>
        <w:t xml:space="preserve">3 </w:t>
      </w:r>
      <w:r w:rsidRPr="00DF038B">
        <w:rPr>
          <w:rFonts w:ascii="Verdana" w:hAnsi="Verdana"/>
          <w:sz w:val="20"/>
          <w:lang w:val="es-ES_tradnl"/>
        </w:rPr>
        <w:t xml:space="preserve">de </w:t>
      </w:r>
      <w:r>
        <w:rPr>
          <w:rFonts w:ascii="Verdana" w:hAnsi="Verdana"/>
          <w:sz w:val="20"/>
          <w:lang w:val="es-ES_tradnl"/>
        </w:rPr>
        <w:t>agosto</w:t>
      </w:r>
      <w:r w:rsidRPr="00DF038B">
        <w:rPr>
          <w:rFonts w:ascii="Verdana" w:hAnsi="Verdana"/>
          <w:sz w:val="20"/>
          <w:lang w:val="es-ES_tradnl"/>
        </w:rPr>
        <w:t xml:space="preserve"> de 2007. </w:t>
      </w:r>
    </w:p>
    <w:p w:rsidR="004D7A6E" w:rsidRPr="00DF038B" w:rsidRDefault="00E51623">
      <w:pPr>
        <w:jc w:val="both"/>
        <w:rPr>
          <w:rFonts w:ascii="Verdana" w:hAnsi="Verdana"/>
          <w:sz w:val="20"/>
          <w:szCs w:val="20"/>
          <w:lang w:val="es-ES_tradnl"/>
        </w:rPr>
      </w:pPr>
    </w:p>
    <w:p w:rsidR="004D7A6E" w:rsidRPr="001A46B1" w:rsidRDefault="00E51623">
      <w:pPr>
        <w:jc w:val="both"/>
        <w:rPr>
          <w:rFonts w:ascii="Verdana" w:hAnsi="Verdana"/>
          <w:strike/>
          <w:sz w:val="20"/>
          <w:szCs w:val="20"/>
          <w:lang w:val="es-ES_tradnl"/>
        </w:rPr>
      </w:pPr>
      <w:r w:rsidRPr="0039683C">
        <w:rPr>
          <w:rFonts w:ascii="Verdana" w:hAnsi="Verdana"/>
          <w:sz w:val="20"/>
          <w:szCs w:val="20"/>
          <w:lang w:val="es-ES_tradnl"/>
        </w:rPr>
        <w:t>10.</w:t>
      </w:r>
      <w:r w:rsidRPr="0039683C">
        <w:rPr>
          <w:rFonts w:ascii="Verdana" w:hAnsi="Verdana"/>
          <w:sz w:val="20"/>
          <w:szCs w:val="20"/>
          <w:lang w:val="es-ES_tradnl"/>
        </w:rPr>
        <w:tab/>
        <w:t>Por otro lado, tal como lo ha dispuesto anteriormente este Tribunal en su jurisprudencia constante, claramente sustentada en el ordenamiento aplicable, una</w:t>
      </w:r>
      <w:r w:rsidRPr="0039683C">
        <w:rPr>
          <w:rFonts w:ascii="Verdana" w:hAnsi="Verdana"/>
          <w:sz w:val="20"/>
          <w:lang w:val="es-ES_tradnl"/>
        </w:rPr>
        <w:t xml:space="preserve"> demanda de interpretación</w:t>
      </w:r>
      <w:r w:rsidRPr="0039683C">
        <w:rPr>
          <w:rFonts w:ascii="Verdana" w:hAnsi="Verdana"/>
          <w:sz w:val="20"/>
          <w:lang w:val="es-ES_tradnl"/>
        </w:rPr>
        <w:t xml:space="preserve"> de sentencia no debe utilizarse como medio de impugnación de la decisión cuya interpretación se solicita. Dicha demanda tiene como objeto, exclusivamente, desentrañar el sentido de un fallo cuando alguna de las partes sostiene que el texto de sus puntos r</w:t>
      </w:r>
      <w:r w:rsidRPr="0039683C">
        <w:rPr>
          <w:rFonts w:ascii="Verdana" w:hAnsi="Verdana"/>
          <w:sz w:val="20"/>
          <w:lang w:val="es-ES_tradnl"/>
        </w:rPr>
        <w:t>esolutivos o de sus consideraciones carece de claridad o precisión, siempre y cuando esas consideraciones incidan en dicha parte resolutiva. Por lo tanto, no se puede pedir la modificación o anulación de la sentencia respectiva a través de una demanda de i</w:t>
      </w:r>
      <w:r w:rsidRPr="0039683C">
        <w:rPr>
          <w:rFonts w:ascii="Verdana" w:hAnsi="Verdana"/>
          <w:sz w:val="20"/>
          <w:lang w:val="es-ES_tradnl"/>
        </w:rPr>
        <w:t>nterpretación</w:t>
      </w:r>
      <w:r w:rsidRPr="0039683C">
        <w:rPr>
          <w:rStyle w:val="Refdenotaalpie"/>
          <w:lang w:val="es-ES_tradnl"/>
        </w:rPr>
        <w:footnoteReference w:id="2"/>
      </w:r>
      <w:r w:rsidRPr="0039683C">
        <w:rPr>
          <w:rFonts w:ascii="Verdana" w:hAnsi="Verdana"/>
          <w:sz w:val="20"/>
          <w:lang w:val="es-ES_tradnl"/>
        </w:rPr>
        <w:t>.</w:t>
      </w:r>
      <w:r w:rsidRPr="0039683C">
        <w:rPr>
          <w:rFonts w:ascii="Verdana" w:hAnsi="Verdana"/>
          <w:sz w:val="20"/>
          <w:szCs w:val="20"/>
          <w:lang w:val="es-ES_tradnl"/>
        </w:rPr>
        <w:t xml:space="preserve"> </w:t>
      </w:r>
    </w:p>
    <w:p w:rsidR="004D7A6E" w:rsidRPr="00DF038B" w:rsidRDefault="00E51623">
      <w:pPr>
        <w:ind w:left="705" w:hanging="705"/>
        <w:jc w:val="both"/>
        <w:rPr>
          <w:rFonts w:ascii="Verdana" w:hAnsi="Verdana"/>
          <w:sz w:val="20"/>
          <w:szCs w:val="20"/>
          <w:lang w:val="es-ES_tradnl"/>
        </w:rPr>
      </w:pPr>
    </w:p>
    <w:p w:rsidR="004D7A6E" w:rsidRPr="00DF038B" w:rsidRDefault="00E51623">
      <w:pPr>
        <w:jc w:val="both"/>
        <w:rPr>
          <w:rFonts w:ascii="Verdana" w:hAnsi="Verdana"/>
          <w:sz w:val="20"/>
          <w:szCs w:val="20"/>
          <w:lang w:val="es-ES_tradnl"/>
        </w:rPr>
      </w:pPr>
      <w:r w:rsidRPr="00DF038B">
        <w:rPr>
          <w:rFonts w:ascii="Verdana" w:hAnsi="Verdana"/>
          <w:sz w:val="20"/>
          <w:szCs w:val="20"/>
          <w:lang w:val="es-ES_tradnl"/>
        </w:rPr>
        <w:t>11.</w:t>
      </w:r>
      <w:r w:rsidRPr="00DF038B">
        <w:rPr>
          <w:rFonts w:ascii="Verdana" w:hAnsi="Verdana"/>
          <w:sz w:val="20"/>
          <w:szCs w:val="20"/>
          <w:lang w:val="es-ES_tradnl"/>
        </w:rPr>
        <w:tab/>
        <w:t xml:space="preserve">En relación con lo anterior, </w:t>
      </w:r>
      <w:smartTag w:uri="urn:schemas-microsoft-com:office:smarttags" w:element="PersonName">
        <w:smartTagPr>
          <w:attr w:name="ProductID" w:val="la Corte"/>
        </w:smartTagPr>
        <w:r w:rsidRPr="00DF038B">
          <w:rPr>
            <w:rFonts w:ascii="Verdana" w:hAnsi="Verdana"/>
            <w:sz w:val="20"/>
            <w:szCs w:val="20"/>
            <w:lang w:val="es-ES_tradnl"/>
          </w:rPr>
          <w:t>la Corte</w:t>
        </w:r>
      </w:smartTag>
      <w:r w:rsidRPr="00DF038B">
        <w:rPr>
          <w:rFonts w:ascii="Verdana" w:hAnsi="Verdana"/>
          <w:sz w:val="20"/>
          <w:szCs w:val="20"/>
          <w:lang w:val="es-ES_tradnl"/>
        </w:rPr>
        <w:t xml:space="preserve"> ha establecido que la demanda de interpretación de sentencia no puede abordar </w:t>
      </w:r>
      <w:r w:rsidRPr="00DF038B">
        <w:rPr>
          <w:rFonts w:ascii="Verdana" w:hAnsi="Verdana"/>
          <w:sz w:val="20"/>
          <w:lang w:val="es-ES_tradnl"/>
        </w:rPr>
        <w:t>cuestiones de hecho y de derecho que ya fueron planteadas en su oportunidad procesal y sobre las cuales el Tribunal ad</w:t>
      </w:r>
      <w:r w:rsidRPr="00DF038B">
        <w:rPr>
          <w:rFonts w:ascii="Verdana" w:hAnsi="Verdana"/>
          <w:sz w:val="20"/>
          <w:lang w:val="es-ES_tradnl"/>
        </w:rPr>
        <w:t>optó una decisión</w:t>
      </w:r>
      <w:r w:rsidRPr="00DF038B">
        <w:rPr>
          <w:rStyle w:val="Refdenotaalpie"/>
          <w:rFonts w:ascii="Verdana" w:hAnsi="Verdana"/>
          <w:lang w:val="es-ES_tradnl"/>
        </w:rPr>
        <w:footnoteReference w:id="3"/>
      </w:r>
      <w:r w:rsidRPr="00DF038B">
        <w:rPr>
          <w:rFonts w:ascii="Verdana" w:hAnsi="Verdana"/>
          <w:sz w:val="20"/>
          <w:lang w:val="es-ES_tradnl"/>
        </w:rPr>
        <w:t>.</w:t>
      </w:r>
    </w:p>
    <w:p w:rsidR="004D7A6E" w:rsidRPr="00DF038B" w:rsidRDefault="00E51623">
      <w:pPr>
        <w:jc w:val="both"/>
        <w:rPr>
          <w:rFonts w:ascii="Verdana" w:hAnsi="Verdana"/>
          <w:sz w:val="20"/>
          <w:szCs w:val="20"/>
          <w:u w:val="single"/>
          <w:lang w:val="es-ES_tradnl"/>
        </w:rPr>
      </w:pPr>
    </w:p>
    <w:p w:rsidR="004D7A6E" w:rsidRPr="00DF038B" w:rsidRDefault="00E51623">
      <w:pPr>
        <w:jc w:val="both"/>
        <w:rPr>
          <w:rFonts w:ascii="Verdana" w:hAnsi="Verdana"/>
          <w:sz w:val="20"/>
          <w:szCs w:val="20"/>
          <w:lang w:val="es-ES_tradnl"/>
        </w:rPr>
      </w:pPr>
      <w:r w:rsidRPr="00CF7C32">
        <w:rPr>
          <w:rFonts w:ascii="Verdana" w:hAnsi="Verdana"/>
          <w:sz w:val="20"/>
          <w:szCs w:val="20"/>
          <w:lang w:val="es-ES_tradnl"/>
        </w:rPr>
        <w:t>12.</w:t>
      </w:r>
      <w:r w:rsidRPr="00CF7C32">
        <w:rPr>
          <w:rFonts w:ascii="Verdana" w:hAnsi="Verdana"/>
          <w:sz w:val="20"/>
          <w:szCs w:val="20"/>
          <w:lang w:val="es-ES_tradnl"/>
        </w:rPr>
        <w:tab/>
      </w:r>
      <w:smartTag w:uri="urn:schemas-microsoft-com:office:smarttags" w:element="PersonName">
        <w:smartTagPr>
          <w:attr w:name="ProductID" w:val="la Corte"/>
        </w:smartTagPr>
        <w:r>
          <w:rPr>
            <w:rFonts w:ascii="Verdana" w:hAnsi="Verdana"/>
            <w:sz w:val="20"/>
            <w:szCs w:val="20"/>
            <w:lang w:val="es-ES_tradnl"/>
          </w:rPr>
          <w:t>La Corte</w:t>
        </w:r>
      </w:smartTag>
      <w:r>
        <w:rPr>
          <w:rFonts w:ascii="Verdana" w:hAnsi="Verdana"/>
          <w:sz w:val="20"/>
          <w:szCs w:val="20"/>
          <w:lang w:val="es-ES_tradnl"/>
        </w:rPr>
        <w:t xml:space="preserve"> procederá a </w:t>
      </w:r>
      <w:r w:rsidRPr="00CF7C32">
        <w:rPr>
          <w:rFonts w:ascii="Verdana" w:hAnsi="Verdana"/>
          <w:sz w:val="20"/>
          <w:szCs w:val="20"/>
          <w:lang w:val="es-ES_tradnl"/>
        </w:rPr>
        <w:t xml:space="preserve">analizar </w:t>
      </w:r>
      <w:r>
        <w:rPr>
          <w:rFonts w:ascii="Verdana" w:hAnsi="Verdana"/>
          <w:sz w:val="20"/>
          <w:szCs w:val="20"/>
          <w:lang w:val="es-ES_tradnl"/>
        </w:rPr>
        <w:t>la</w:t>
      </w:r>
      <w:r w:rsidRPr="00CF7C32">
        <w:rPr>
          <w:rFonts w:ascii="Verdana" w:hAnsi="Verdana"/>
          <w:sz w:val="20"/>
          <w:szCs w:val="20"/>
          <w:lang w:val="es-ES_tradnl"/>
        </w:rPr>
        <w:t xml:space="preserve"> demanda de interpretación presentada por el Estado y, en su caso, a aclarar el sentido o alcance de </w:t>
      </w:r>
      <w:smartTag w:uri="urn:schemas-microsoft-com:office:smarttags" w:element="PersonName">
        <w:smartTagPr>
          <w:attr w:name="ProductID" w:val="la Sentencia. Para"/>
        </w:smartTagPr>
        <w:r w:rsidRPr="00CF7C32">
          <w:rPr>
            <w:rFonts w:ascii="Verdana" w:hAnsi="Verdana"/>
            <w:sz w:val="20"/>
            <w:szCs w:val="20"/>
            <w:lang w:val="es-ES_tradnl"/>
          </w:rPr>
          <w:t>la Sentencia</w:t>
        </w:r>
        <w:r w:rsidRPr="001A46B1">
          <w:rPr>
            <w:rFonts w:ascii="Verdana" w:hAnsi="Verdana"/>
            <w:sz w:val="20"/>
            <w:szCs w:val="20"/>
            <w:lang w:val="es-ES_tradnl"/>
          </w:rPr>
          <w:t>. Para</w:t>
        </w:r>
      </w:smartTag>
      <w:r w:rsidRPr="001A46B1">
        <w:rPr>
          <w:rFonts w:ascii="Verdana" w:hAnsi="Verdana"/>
          <w:sz w:val="20"/>
          <w:szCs w:val="20"/>
          <w:lang w:val="es-ES_tradnl"/>
        </w:rPr>
        <w:t xml:space="preserve"> ello, se analizarán de forma separada las tres cuestiones planteadas en dicha d</w:t>
      </w:r>
      <w:r w:rsidRPr="001A46B1">
        <w:rPr>
          <w:rFonts w:ascii="Verdana" w:hAnsi="Verdana"/>
          <w:sz w:val="20"/>
          <w:szCs w:val="20"/>
          <w:lang w:val="es-ES_tradnl"/>
        </w:rPr>
        <w:t xml:space="preserve">emanda, así como las observaciones de </w:t>
      </w:r>
      <w:smartTag w:uri="urn:schemas-microsoft-com:office:smarttags" w:element="PersonName">
        <w:smartTagPr>
          <w:attr w:name="ProductID" w:val="la Comisi￳n Interamericana"/>
        </w:smartTagPr>
        <w:r w:rsidRPr="001A46B1">
          <w:rPr>
            <w:rFonts w:ascii="Verdana" w:hAnsi="Verdana"/>
            <w:sz w:val="20"/>
            <w:szCs w:val="20"/>
            <w:lang w:val="es-ES_tradnl"/>
          </w:rPr>
          <w:t>la Comisión Interamericana</w:t>
        </w:r>
      </w:smartTag>
      <w:r w:rsidRPr="001A46B1">
        <w:rPr>
          <w:rFonts w:ascii="Verdana" w:hAnsi="Verdana"/>
          <w:sz w:val="20"/>
          <w:szCs w:val="20"/>
          <w:lang w:val="es-ES_tradnl"/>
        </w:rPr>
        <w:t xml:space="preserve"> y de los representantes. </w:t>
      </w:r>
    </w:p>
    <w:p w:rsidR="004D7A6E" w:rsidRPr="00DF038B" w:rsidRDefault="00E51623">
      <w:pPr>
        <w:jc w:val="both"/>
        <w:rPr>
          <w:rFonts w:ascii="Verdana" w:hAnsi="Verdana"/>
          <w:sz w:val="20"/>
          <w:szCs w:val="20"/>
          <w:lang w:val="es-ES_tradnl"/>
        </w:rPr>
      </w:pPr>
    </w:p>
    <w:p w:rsidR="004D7A6E" w:rsidRPr="00DF038B" w:rsidRDefault="00E51623">
      <w:pPr>
        <w:jc w:val="both"/>
        <w:rPr>
          <w:rFonts w:ascii="Verdana" w:hAnsi="Verdana"/>
          <w:sz w:val="20"/>
          <w:szCs w:val="20"/>
          <w:lang w:val="es-ES_tradnl"/>
        </w:rPr>
      </w:pPr>
    </w:p>
    <w:p w:rsidR="004D7A6E" w:rsidRDefault="00E51623">
      <w:pPr>
        <w:jc w:val="center"/>
        <w:rPr>
          <w:rFonts w:ascii="Verdana" w:hAnsi="Verdana"/>
          <w:b/>
          <w:smallCaps/>
          <w:sz w:val="20"/>
          <w:szCs w:val="20"/>
          <w:lang w:val="es-ES_tradnl"/>
        </w:rPr>
      </w:pPr>
      <w:r>
        <w:rPr>
          <w:rFonts w:ascii="Verdana" w:hAnsi="Verdana"/>
          <w:b/>
          <w:smallCaps/>
          <w:sz w:val="20"/>
          <w:szCs w:val="20"/>
          <w:lang w:val="es-ES_tradnl"/>
        </w:rPr>
        <w:t>IV</w:t>
      </w:r>
    </w:p>
    <w:p w:rsidR="004D7A6E" w:rsidRPr="00840C3A" w:rsidRDefault="00E51623">
      <w:pPr>
        <w:ind w:firstLine="708"/>
        <w:jc w:val="center"/>
        <w:rPr>
          <w:rFonts w:ascii="Verdana" w:hAnsi="Verdana"/>
          <w:b/>
          <w:smallCaps/>
          <w:sz w:val="20"/>
          <w:szCs w:val="20"/>
          <w:lang w:val="es-ES_tradnl"/>
        </w:rPr>
      </w:pPr>
      <w:r w:rsidRPr="001A46B1">
        <w:rPr>
          <w:rFonts w:ascii="Verdana" w:hAnsi="Verdana"/>
          <w:b/>
          <w:smallCaps/>
          <w:sz w:val="20"/>
          <w:szCs w:val="20"/>
          <w:lang w:val="es-ES_tradnl"/>
        </w:rPr>
        <w:t xml:space="preserve">Sobre </w:t>
      </w:r>
      <w:smartTag w:uri="urn:schemas-microsoft-com:office:smarttags" w:element="PersonName">
        <w:smartTagPr>
          <w:attr w:name="ProductID" w:val="LA POSIBILIDAD DE"/>
        </w:smartTagPr>
        <w:r w:rsidRPr="001A46B1">
          <w:rPr>
            <w:rFonts w:ascii="Verdana" w:hAnsi="Verdana"/>
            <w:b/>
            <w:smallCaps/>
            <w:sz w:val="20"/>
            <w:szCs w:val="20"/>
            <w:lang w:val="es-ES_tradnl"/>
          </w:rPr>
          <w:t>la posibilidad de</w:t>
        </w:r>
      </w:smartTag>
      <w:r w:rsidRPr="001A46B1">
        <w:rPr>
          <w:rFonts w:ascii="Verdana" w:hAnsi="Verdana"/>
          <w:b/>
          <w:smallCaps/>
          <w:sz w:val="20"/>
          <w:szCs w:val="20"/>
          <w:lang w:val="es-ES_tradnl"/>
        </w:rPr>
        <w:t xml:space="preserve"> interponer una demanda de revisión de sentencia</w:t>
      </w:r>
    </w:p>
    <w:p w:rsidR="004D7A6E" w:rsidRPr="00D124B2" w:rsidRDefault="00E51623">
      <w:pPr>
        <w:jc w:val="both"/>
        <w:rPr>
          <w:rFonts w:ascii="Verdana" w:hAnsi="Verdana"/>
          <w:sz w:val="20"/>
          <w:szCs w:val="20"/>
          <w:lang w:val="es-ES_tradnl"/>
        </w:rPr>
      </w:pPr>
    </w:p>
    <w:p w:rsidR="004D7A6E" w:rsidRDefault="00E51623">
      <w:pPr>
        <w:jc w:val="both"/>
        <w:rPr>
          <w:rFonts w:ascii="Verdana" w:hAnsi="Verdana"/>
          <w:sz w:val="20"/>
          <w:szCs w:val="20"/>
          <w:lang w:val="es-ES_tradnl"/>
        </w:rPr>
      </w:pPr>
      <w:r w:rsidRPr="00A81E77">
        <w:rPr>
          <w:rFonts w:ascii="Verdana" w:hAnsi="Verdana"/>
          <w:sz w:val="20"/>
          <w:szCs w:val="20"/>
          <w:lang w:val="es-ES_tradnl"/>
        </w:rPr>
        <w:t>13.</w:t>
      </w:r>
      <w:r w:rsidRPr="00A81E77">
        <w:rPr>
          <w:rFonts w:ascii="Verdana" w:hAnsi="Verdana"/>
          <w:sz w:val="20"/>
          <w:szCs w:val="20"/>
          <w:lang w:val="es-ES_tradnl"/>
        </w:rPr>
        <w:tab/>
        <w:t xml:space="preserve">En su demanda de interpretación el Estado solicitó a </w:t>
      </w:r>
      <w:smartTag w:uri="urn:schemas-microsoft-com:office:smarttags" w:element="PersonName">
        <w:smartTagPr>
          <w:attr w:name="ProductID" w:val="la Corte"/>
        </w:smartTagPr>
        <w:r w:rsidRPr="00A81E77">
          <w:rPr>
            <w:rFonts w:ascii="Verdana" w:hAnsi="Verdana"/>
            <w:sz w:val="20"/>
            <w:szCs w:val="20"/>
            <w:lang w:val="es-ES_tradnl"/>
          </w:rPr>
          <w:t>la Corte</w:t>
        </w:r>
      </w:smartTag>
      <w:r w:rsidRPr="00A81E77">
        <w:rPr>
          <w:rFonts w:ascii="Verdana" w:hAnsi="Verdana"/>
          <w:sz w:val="20"/>
          <w:szCs w:val="20"/>
          <w:lang w:val="es-ES_tradnl"/>
        </w:rPr>
        <w:t xml:space="preserve"> que se pronunciara so</w:t>
      </w:r>
      <w:r w:rsidRPr="00A81E77">
        <w:rPr>
          <w:rFonts w:ascii="Verdana" w:hAnsi="Verdana"/>
          <w:sz w:val="20"/>
          <w:szCs w:val="20"/>
          <w:lang w:val="es-ES_tradnl"/>
        </w:rPr>
        <w:t>bre la posibilidad de interponer una demanda de revisión en los siguientes términos: “[e]n el supuesto que, concluidas las investigaciones sobre los hechos materia del presente caso el Estado a través del Poder Judicial […] llegara a una conclusión distint</w:t>
      </w:r>
      <w:r w:rsidRPr="00A81E77">
        <w:rPr>
          <w:rFonts w:ascii="Verdana" w:hAnsi="Verdana"/>
          <w:sz w:val="20"/>
          <w:szCs w:val="20"/>
          <w:lang w:val="es-ES_tradnl"/>
        </w:rPr>
        <w:t xml:space="preserve">a de autoría por agentes no estatales, [¿]estaría [el Estado] plenamente facultado para interponer una demanda de revisión de sentencia ante </w:t>
      </w:r>
      <w:smartTag w:uri="urn:schemas-microsoft-com:office:smarttags" w:element="PersonName">
        <w:smartTagPr>
          <w:attr w:name="ProductID" w:val="la Corte Interamericana"/>
        </w:smartTagPr>
        <w:r w:rsidRPr="00A81E77">
          <w:rPr>
            <w:rFonts w:ascii="Verdana" w:hAnsi="Verdana"/>
            <w:sz w:val="20"/>
            <w:szCs w:val="20"/>
            <w:lang w:val="es-ES_tradnl"/>
          </w:rPr>
          <w:t>la Corte Interamericana</w:t>
        </w:r>
      </w:smartTag>
      <w:r w:rsidRPr="00A81E77">
        <w:rPr>
          <w:rFonts w:ascii="Verdana" w:hAnsi="Verdana"/>
          <w:sz w:val="20"/>
          <w:szCs w:val="20"/>
          <w:lang w:val="es-ES_tradnl"/>
        </w:rPr>
        <w:t>, citando el precedente del caso Genie Lacayo?”.</w:t>
      </w:r>
    </w:p>
    <w:p w:rsidR="004D7A6E" w:rsidRDefault="00E51623">
      <w:pPr>
        <w:jc w:val="both"/>
        <w:rPr>
          <w:rFonts w:ascii="Verdana" w:hAnsi="Verdana"/>
          <w:sz w:val="20"/>
          <w:szCs w:val="20"/>
          <w:lang w:val="es-ES_tradnl"/>
        </w:rPr>
      </w:pPr>
    </w:p>
    <w:p w:rsidR="004D7A6E" w:rsidRDefault="00E51623">
      <w:pPr>
        <w:jc w:val="both"/>
        <w:rPr>
          <w:rFonts w:ascii="Verdana" w:hAnsi="Verdana"/>
          <w:sz w:val="20"/>
          <w:szCs w:val="20"/>
          <w:lang w:val="es-ES_tradnl"/>
        </w:rPr>
      </w:pPr>
      <w:r>
        <w:rPr>
          <w:rFonts w:ascii="Verdana" w:hAnsi="Verdana"/>
          <w:sz w:val="20"/>
          <w:szCs w:val="20"/>
          <w:lang w:val="es-ES_tradnl"/>
        </w:rPr>
        <w:t>14.</w:t>
      </w:r>
      <w:r>
        <w:rPr>
          <w:rFonts w:ascii="Verdana" w:hAnsi="Verdana"/>
          <w:sz w:val="20"/>
          <w:szCs w:val="20"/>
          <w:lang w:val="es-ES_tradnl"/>
        </w:rPr>
        <w:tab/>
      </w:r>
      <w:smartTag w:uri="urn:schemas-microsoft-com:office:smarttags" w:element="PersonName">
        <w:smartTagPr>
          <w:attr w:name="ProductID" w:val="la Comisi￳n Interamericana"/>
        </w:smartTagPr>
        <w:r>
          <w:rPr>
            <w:rFonts w:ascii="Verdana" w:hAnsi="Verdana"/>
            <w:sz w:val="20"/>
            <w:szCs w:val="20"/>
            <w:lang w:val="es-ES_tradnl"/>
          </w:rPr>
          <w:t>La Comisión Interamericana</w:t>
        </w:r>
      </w:smartTag>
      <w:r>
        <w:rPr>
          <w:rFonts w:ascii="Verdana" w:hAnsi="Verdana"/>
          <w:sz w:val="20"/>
          <w:szCs w:val="20"/>
          <w:lang w:val="es-ES_tradnl"/>
        </w:rPr>
        <w:t xml:space="preserve"> señaló que </w:t>
      </w:r>
      <w:r>
        <w:rPr>
          <w:rFonts w:ascii="Verdana" w:hAnsi="Verdana"/>
          <w:sz w:val="20"/>
          <w:szCs w:val="20"/>
          <w:lang w:val="es-ES_tradnl"/>
        </w:rPr>
        <w:t xml:space="preserve">“el Estado no ha planteado hechos o cuestiones jurídicas que se encuadren dentro del alcance de la solicitud de interpretación prevista en el artículo 67 de </w:t>
      </w:r>
      <w:smartTag w:uri="urn:schemas-microsoft-com:office:smarttags" w:element="PersonName">
        <w:smartTagPr>
          <w:attr w:name="ProductID" w:val="la Convenci￳n"/>
        </w:smartTagPr>
        <w:r>
          <w:rPr>
            <w:rFonts w:ascii="Verdana" w:hAnsi="Verdana"/>
            <w:sz w:val="20"/>
            <w:szCs w:val="20"/>
            <w:lang w:val="es-ES_tradnl"/>
          </w:rPr>
          <w:t>la Convención</w:t>
        </w:r>
      </w:smartTag>
      <w:r>
        <w:rPr>
          <w:rFonts w:ascii="Verdana" w:hAnsi="Verdana"/>
          <w:sz w:val="20"/>
          <w:szCs w:val="20"/>
          <w:lang w:val="es-ES_tradnl"/>
        </w:rPr>
        <w:t xml:space="preserve">”. Asimismo, sostuvo que “de acuerdo a lo dispuesto por </w:t>
      </w:r>
      <w:smartTag w:uri="urn:schemas-microsoft-com:office:smarttags" w:element="PersonName">
        <w:smartTagPr>
          <w:attr w:name="ProductID" w:val="la Corte"/>
        </w:smartTagPr>
        <w:r>
          <w:rPr>
            <w:rFonts w:ascii="Verdana" w:hAnsi="Verdana"/>
            <w:sz w:val="20"/>
            <w:szCs w:val="20"/>
            <w:lang w:val="es-ES_tradnl"/>
          </w:rPr>
          <w:t>la Corte</w:t>
        </w:r>
      </w:smartTag>
      <w:r>
        <w:rPr>
          <w:rFonts w:ascii="Verdana" w:hAnsi="Verdana"/>
          <w:sz w:val="20"/>
          <w:szCs w:val="20"/>
          <w:lang w:val="es-ES_tradnl"/>
        </w:rPr>
        <w:t xml:space="preserve"> en el caso Genie Laca</w:t>
      </w:r>
      <w:r>
        <w:rPr>
          <w:rFonts w:ascii="Verdana" w:hAnsi="Verdana"/>
          <w:sz w:val="20"/>
          <w:szCs w:val="20"/>
          <w:lang w:val="es-ES_tradnl"/>
        </w:rPr>
        <w:t xml:space="preserve">yo si bien ‘el recurso de revisión no se encuentra contemplado en </w:t>
      </w:r>
      <w:smartTag w:uri="urn:schemas-microsoft-com:office:smarttags" w:element="PersonName">
        <w:smartTagPr>
          <w:attr w:name="ProductID" w:val="la Convenci￳n Americana"/>
        </w:smartTagPr>
        <w:r>
          <w:rPr>
            <w:rFonts w:ascii="Verdana" w:hAnsi="Verdana"/>
            <w:sz w:val="20"/>
            <w:szCs w:val="20"/>
            <w:lang w:val="es-ES_tradnl"/>
          </w:rPr>
          <w:t>la Convención Americana</w:t>
        </w:r>
      </w:smartTag>
      <w:r>
        <w:rPr>
          <w:rFonts w:ascii="Verdana" w:hAnsi="Verdana"/>
          <w:sz w:val="20"/>
          <w:szCs w:val="20"/>
          <w:lang w:val="es-ES_tradnl"/>
        </w:rPr>
        <w:t xml:space="preserve">, ni en el Estatuto, ni en el Reglamento de </w:t>
      </w:r>
      <w:smartTag w:uri="urn:schemas-microsoft-com:office:smarttags" w:element="PersonName">
        <w:smartTagPr>
          <w:attr w:name="ProductID" w:val="la Corte Interamericana"/>
        </w:smartTagPr>
        <w:r>
          <w:rPr>
            <w:rFonts w:ascii="Verdana" w:hAnsi="Verdana"/>
            <w:sz w:val="20"/>
            <w:szCs w:val="20"/>
            <w:lang w:val="es-ES_tradnl"/>
          </w:rPr>
          <w:t>la Corte Interamericana</w:t>
        </w:r>
      </w:smartTag>
      <w:r>
        <w:rPr>
          <w:rFonts w:ascii="Verdana" w:hAnsi="Verdana"/>
          <w:sz w:val="20"/>
          <w:szCs w:val="20"/>
          <w:lang w:val="es-ES_tradnl"/>
        </w:rPr>
        <w:t xml:space="preserve">’ sería procedente ‘en algunos casos especiales’”. </w:t>
      </w:r>
      <w:smartTag w:uri="urn:schemas-microsoft-com:office:smarttags" w:element="PersonName">
        <w:smartTagPr>
          <w:attr w:name="ProductID" w:val="la Comisi￳n"/>
        </w:smartTagPr>
        <w:r>
          <w:rPr>
            <w:rFonts w:ascii="Verdana" w:hAnsi="Verdana"/>
            <w:sz w:val="20"/>
            <w:szCs w:val="20"/>
            <w:lang w:val="es-ES_tradnl"/>
          </w:rPr>
          <w:t>La Comisión</w:t>
        </w:r>
      </w:smartTag>
      <w:r>
        <w:rPr>
          <w:rFonts w:ascii="Verdana" w:hAnsi="Verdana"/>
          <w:sz w:val="20"/>
          <w:szCs w:val="20"/>
          <w:lang w:val="es-ES_tradnl"/>
        </w:rPr>
        <w:t xml:space="preserve"> añadió que “la jurisprudencia de </w:t>
      </w:r>
      <w:smartTag w:uri="urn:schemas-microsoft-com:office:smarttags" w:element="PersonName">
        <w:smartTagPr>
          <w:attr w:name="ProductID" w:val="la Corte"/>
        </w:smartTagPr>
        <w:r>
          <w:rPr>
            <w:rFonts w:ascii="Verdana" w:hAnsi="Verdana"/>
            <w:sz w:val="20"/>
            <w:szCs w:val="20"/>
            <w:lang w:val="es-ES_tradnl"/>
          </w:rPr>
          <w:t>la C</w:t>
        </w:r>
        <w:r>
          <w:rPr>
            <w:rFonts w:ascii="Verdana" w:hAnsi="Verdana"/>
            <w:sz w:val="20"/>
            <w:szCs w:val="20"/>
            <w:lang w:val="es-ES_tradnl"/>
          </w:rPr>
          <w:t>orte</w:t>
        </w:r>
      </w:smartTag>
      <w:r>
        <w:rPr>
          <w:rFonts w:ascii="Verdana" w:hAnsi="Verdana"/>
          <w:sz w:val="20"/>
          <w:szCs w:val="20"/>
          <w:lang w:val="es-ES_tradnl"/>
        </w:rPr>
        <w:t xml:space="preserve"> se refiere a la posibilidad de un recurso de revisión en el caso de supuestos muy limitados que no han sido puestos ante el Tribunal en esta </w:t>
      </w:r>
      <w:proofErr w:type="gramStart"/>
      <w:r>
        <w:rPr>
          <w:rFonts w:ascii="Verdana" w:hAnsi="Verdana"/>
          <w:sz w:val="20"/>
          <w:szCs w:val="20"/>
          <w:lang w:val="es-ES_tradnl"/>
        </w:rPr>
        <w:t>oportunidad[</w:t>
      </w:r>
      <w:proofErr w:type="gramEnd"/>
      <w:r>
        <w:rPr>
          <w:rFonts w:ascii="Verdana" w:hAnsi="Verdana"/>
          <w:sz w:val="20"/>
          <w:szCs w:val="20"/>
          <w:lang w:val="es-ES_tradnl"/>
        </w:rPr>
        <w:t>; por ello,] consider[ó] que la presentación de supuestos hipotéticos no forma una buena base para</w:t>
      </w:r>
      <w:r>
        <w:rPr>
          <w:rFonts w:ascii="Verdana" w:hAnsi="Verdana"/>
          <w:sz w:val="20"/>
          <w:szCs w:val="20"/>
          <w:lang w:val="es-ES_tradnl"/>
        </w:rPr>
        <w:t xml:space="preserve"> la presentación de observaciones adicionales en este momento”. Finalmente, </w:t>
      </w:r>
      <w:smartTag w:uri="urn:schemas-microsoft-com:office:smarttags" w:element="PersonName">
        <w:smartTagPr>
          <w:attr w:name="ProductID" w:val="la Comisi￳n"/>
        </w:smartTagPr>
        <w:r>
          <w:rPr>
            <w:rFonts w:ascii="Verdana" w:hAnsi="Verdana"/>
            <w:sz w:val="20"/>
            <w:szCs w:val="20"/>
            <w:lang w:val="es-ES_tradnl"/>
          </w:rPr>
          <w:t>la Comisión</w:t>
        </w:r>
      </w:smartTag>
      <w:r>
        <w:rPr>
          <w:rFonts w:ascii="Verdana" w:hAnsi="Verdana"/>
          <w:sz w:val="20"/>
          <w:szCs w:val="20"/>
          <w:lang w:val="es-ES_tradnl"/>
        </w:rPr>
        <w:t xml:space="preserve"> tomó nota que el Estado dejó expresa constancia de reservar su derecho de promover una revisión de sentencia en el presente caso.</w:t>
      </w:r>
    </w:p>
    <w:p w:rsidR="004D7A6E" w:rsidRDefault="00E51623">
      <w:pPr>
        <w:jc w:val="both"/>
        <w:rPr>
          <w:rFonts w:ascii="Verdana" w:hAnsi="Verdana"/>
          <w:sz w:val="20"/>
          <w:szCs w:val="20"/>
          <w:lang w:val="es-ES_tradnl"/>
        </w:rPr>
      </w:pPr>
    </w:p>
    <w:p w:rsidR="004D7A6E" w:rsidRPr="008A5C11" w:rsidRDefault="00E51623">
      <w:pPr>
        <w:jc w:val="both"/>
        <w:rPr>
          <w:rFonts w:ascii="Verdana" w:hAnsi="Verdana"/>
          <w:sz w:val="20"/>
          <w:szCs w:val="20"/>
          <w:lang w:val="es-ES_tradnl"/>
        </w:rPr>
      </w:pPr>
      <w:r>
        <w:rPr>
          <w:rFonts w:ascii="Verdana" w:hAnsi="Verdana"/>
          <w:sz w:val="20"/>
          <w:szCs w:val="20"/>
          <w:lang w:val="es-ES_tradnl"/>
        </w:rPr>
        <w:t>15.</w:t>
      </w:r>
      <w:r>
        <w:rPr>
          <w:rFonts w:ascii="Verdana" w:hAnsi="Verdana"/>
          <w:sz w:val="20"/>
          <w:szCs w:val="20"/>
          <w:lang w:val="es-ES_tradnl"/>
        </w:rPr>
        <w:tab/>
        <w:t>Los representantes manifestaron “</w:t>
      </w:r>
      <w:r>
        <w:rPr>
          <w:rFonts w:ascii="Verdana" w:hAnsi="Verdana"/>
          <w:sz w:val="20"/>
          <w:szCs w:val="20"/>
          <w:lang w:val="es-ES_tradnl"/>
        </w:rPr>
        <w:t xml:space="preserve">no comprend[er] qu[é] pretende el Estado peruano en este extremo, pues […] no fluye de su escrito de demanda algún cuestionamiento respecto a la falta de claridad o precisión de dichas consideraciones, o respecto al sentido o finalidad de </w:t>
      </w:r>
      <w:smartTag w:uri="urn:schemas-microsoft-com:office:smarttags" w:element="PersonName">
        <w:smartTagPr>
          <w:attr w:name="ProductID" w:val="la Sentencia"/>
        </w:smartTagPr>
        <w:r>
          <w:rPr>
            <w:rFonts w:ascii="Verdana" w:hAnsi="Verdana"/>
            <w:sz w:val="20"/>
            <w:szCs w:val="20"/>
            <w:lang w:val="es-ES_tradnl"/>
          </w:rPr>
          <w:t>la Sentencia</w:t>
        </w:r>
      </w:smartTag>
      <w:r>
        <w:rPr>
          <w:rFonts w:ascii="Verdana" w:hAnsi="Verdana"/>
          <w:sz w:val="20"/>
          <w:szCs w:val="20"/>
          <w:lang w:val="es-ES_tradnl"/>
        </w:rPr>
        <w:t xml:space="preserve"> de </w:t>
      </w:r>
      <w:smartTag w:uri="urn:schemas-microsoft-com:office:smarttags" w:element="PersonName">
        <w:smartTagPr>
          <w:attr w:name="ProductID" w:val="la Corte"/>
        </w:smartTagPr>
        <w:r>
          <w:rPr>
            <w:rFonts w:ascii="Verdana" w:hAnsi="Verdana"/>
            <w:sz w:val="20"/>
            <w:szCs w:val="20"/>
            <w:lang w:val="es-ES_tradnl"/>
          </w:rPr>
          <w:t>l</w:t>
        </w:r>
        <w:r>
          <w:rPr>
            <w:rFonts w:ascii="Verdana" w:hAnsi="Verdana"/>
            <w:sz w:val="20"/>
            <w:szCs w:val="20"/>
            <w:lang w:val="es-ES_tradnl"/>
          </w:rPr>
          <w:t>a Corte</w:t>
        </w:r>
      </w:smartTag>
      <w:r>
        <w:rPr>
          <w:rFonts w:ascii="Verdana" w:hAnsi="Verdana"/>
          <w:sz w:val="20"/>
          <w:szCs w:val="20"/>
          <w:lang w:val="es-ES_tradnl"/>
        </w:rPr>
        <w:t xml:space="preserve">”. Por el contrario, “sólo fluye con claridad la disconformidad del Estado peruano con lo resuelto por </w:t>
      </w:r>
      <w:smartTag w:uri="urn:schemas-microsoft-com:office:smarttags" w:element="PersonName">
        <w:smartTagPr>
          <w:attr w:name="ProductID" w:val="la Corte"/>
        </w:smartTagPr>
        <w:r>
          <w:rPr>
            <w:rFonts w:ascii="Verdana" w:hAnsi="Verdana"/>
            <w:sz w:val="20"/>
            <w:szCs w:val="20"/>
            <w:lang w:val="es-ES_tradnl"/>
          </w:rPr>
          <w:t>la Corte</w:t>
        </w:r>
      </w:smartTag>
      <w:r>
        <w:rPr>
          <w:rFonts w:ascii="Verdana" w:hAnsi="Verdana"/>
          <w:sz w:val="20"/>
          <w:szCs w:val="20"/>
          <w:lang w:val="es-ES_tradnl"/>
        </w:rPr>
        <w:t>, en particular, con la valoración de la prueba realizada respecto a las hipótesis sobre la autoría de los hechos que fueron materia de pr</w:t>
      </w:r>
      <w:r>
        <w:rPr>
          <w:rFonts w:ascii="Verdana" w:hAnsi="Verdana"/>
          <w:sz w:val="20"/>
          <w:szCs w:val="20"/>
          <w:lang w:val="es-ES_tradnl"/>
        </w:rPr>
        <w:t xml:space="preserve">onunciamiento”. Por no conformarse con lo resuelto, según los representantes, “el Estado consulta a </w:t>
      </w:r>
      <w:smartTag w:uri="urn:schemas-microsoft-com:office:smarttags" w:element="PersonName">
        <w:smartTagPr>
          <w:attr w:name="ProductID" w:val="la Corte"/>
        </w:smartTagPr>
        <w:r>
          <w:rPr>
            <w:rFonts w:ascii="Verdana" w:hAnsi="Verdana"/>
            <w:sz w:val="20"/>
            <w:szCs w:val="20"/>
            <w:lang w:val="es-ES_tradnl"/>
          </w:rPr>
          <w:t>la Corte</w:t>
        </w:r>
      </w:smartTag>
      <w:r>
        <w:rPr>
          <w:rFonts w:ascii="Verdana" w:hAnsi="Verdana"/>
          <w:sz w:val="20"/>
          <w:szCs w:val="20"/>
          <w:lang w:val="es-ES_tradnl"/>
        </w:rPr>
        <w:t xml:space="preserve"> sobre la posibilidad de plantear un recurso de revisión ante la eventualidad de que, a nivel interno, las investigaciones concluyan señalando la no</w:t>
      </w:r>
      <w:r>
        <w:rPr>
          <w:rFonts w:ascii="Verdana" w:hAnsi="Verdana"/>
          <w:sz w:val="20"/>
          <w:szCs w:val="20"/>
          <w:lang w:val="es-ES_tradnl"/>
        </w:rPr>
        <w:t xml:space="preserve"> participación de agentes estatales en los hechos que fueron materia de la [S]entencia”. Los representantes sostuvieron que “el Estado peruano no puede solicitar un pronunciamiento por parte de </w:t>
      </w:r>
      <w:smartTag w:uri="urn:schemas-microsoft-com:office:smarttags" w:element="PersonName">
        <w:smartTagPr>
          <w:attr w:name="ProductID" w:val="la Corte"/>
        </w:smartTagPr>
        <w:r>
          <w:rPr>
            <w:rFonts w:ascii="Verdana" w:hAnsi="Verdana"/>
            <w:sz w:val="20"/>
            <w:szCs w:val="20"/>
            <w:lang w:val="es-ES_tradnl"/>
          </w:rPr>
          <w:t>la Corte</w:t>
        </w:r>
      </w:smartTag>
      <w:r>
        <w:rPr>
          <w:rFonts w:ascii="Verdana" w:hAnsi="Verdana"/>
          <w:sz w:val="20"/>
          <w:szCs w:val="20"/>
          <w:lang w:val="es-ES_tradnl"/>
        </w:rPr>
        <w:t xml:space="preserve"> sobre un hecho futuro pues [ello] no se encuentra con</w:t>
      </w:r>
      <w:r>
        <w:rPr>
          <w:rFonts w:ascii="Verdana" w:hAnsi="Verdana"/>
          <w:sz w:val="20"/>
          <w:szCs w:val="20"/>
          <w:lang w:val="es-ES_tradnl"/>
        </w:rPr>
        <w:t xml:space="preserve">forme a la finalidad de la demanda de interpretación de sentencia”. </w:t>
      </w:r>
      <w:r w:rsidRPr="008A5C11">
        <w:rPr>
          <w:rFonts w:ascii="Verdana" w:hAnsi="Verdana"/>
          <w:sz w:val="20"/>
          <w:szCs w:val="20"/>
          <w:lang w:val="es-ES_tradnl"/>
        </w:rPr>
        <w:t xml:space="preserve">Además, indicaron su “mayor extrañeza que el Estado consulte a </w:t>
      </w:r>
      <w:smartTag w:uri="urn:schemas-microsoft-com:office:smarttags" w:element="PersonName">
        <w:smartTagPr>
          <w:attr w:name="ProductID" w:val="la Corte"/>
        </w:smartTagPr>
        <w:r w:rsidRPr="008A5C11">
          <w:rPr>
            <w:rFonts w:ascii="Verdana" w:hAnsi="Verdana"/>
            <w:sz w:val="20"/>
            <w:szCs w:val="20"/>
            <w:lang w:val="es-ES_tradnl"/>
          </w:rPr>
          <w:t>la Corte</w:t>
        </w:r>
      </w:smartTag>
      <w:r w:rsidRPr="008A5C11">
        <w:rPr>
          <w:rFonts w:ascii="Verdana" w:hAnsi="Verdana"/>
          <w:sz w:val="20"/>
          <w:szCs w:val="20"/>
          <w:lang w:val="es-ES_tradnl"/>
        </w:rPr>
        <w:t xml:space="preserve"> sobre la aplicabilidad del recurso de revisión de la sentencia y, a su vez, yendo contra su propia pretensión, deja </w:t>
      </w:r>
      <w:r w:rsidRPr="008A5C11">
        <w:rPr>
          <w:rFonts w:ascii="Verdana" w:hAnsi="Verdana"/>
          <w:sz w:val="20"/>
          <w:szCs w:val="20"/>
          <w:lang w:val="es-ES_tradnl"/>
        </w:rPr>
        <w:t xml:space="preserve">expresa constancia de su derecho a promover una revisión de sentencia si el Poder Judicial concluyera [la] </w:t>
      </w:r>
      <w:r w:rsidRPr="008A5C11">
        <w:rPr>
          <w:rFonts w:ascii="Verdana" w:hAnsi="Verdana"/>
          <w:sz w:val="20"/>
          <w:szCs w:val="20"/>
          <w:lang w:val="es-ES_tradnl"/>
        </w:rPr>
        <w:lastRenderedPageBreak/>
        <w:t>autoría no estatal en el crimen [cometido en contra] de Saúl Cantoral Huamaní y Consuelo García Santa Cruz”. En base a lo anterior, los representante</w:t>
      </w:r>
      <w:r w:rsidRPr="008A5C11">
        <w:rPr>
          <w:rFonts w:ascii="Verdana" w:hAnsi="Verdana"/>
          <w:sz w:val="20"/>
          <w:szCs w:val="20"/>
          <w:lang w:val="es-ES_tradnl"/>
        </w:rPr>
        <w:t xml:space="preserve">s manifestaron que “lo planteado por el Estado carecería de objeto, siendo el pedido de interpretación manifiestamente improcedente”. </w:t>
      </w:r>
    </w:p>
    <w:p w:rsidR="004D7A6E" w:rsidRDefault="00E51623">
      <w:pPr>
        <w:jc w:val="both"/>
        <w:rPr>
          <w:rFonts w:ascii="Verdana" w:hAnsi="Verdana"/>
          <w:sz w:val="20"/>
          <w:szCs w:val="20"/>
          <w:lang w:val="es-ES_tradnl"/>
        </w:rPr>
      </w:pPr>
    </w:p>
    <w:p w:rsidR="004D7A6E" w:rsidRPr="00131373" w:rsidRDefault="00E51623">
      <w:pPr>
        <w:jc w:val="both"/>
        <w:rPr>
          <w:rFonts w:ascii="Verdana" w:hAnsi="Verdana"/>
          <w:sz w:val="20"/>
          <w:szCs w:val="20"/>
          <w:lang w:val="es-ES_tradnl"/>
        </w:rPr>
      </w:pPr>
      <w:r w:rsidRPr="00A07C25">
        <w:rPr>
          <w:rFonts w:ascii="Verdana" w:hAnsi="Verdana"/>
          <w:sz w:val="20"/>
          <w:szCs w:val="20"/>
          <w:lang w:val="es-ES_tradnl"/>
        </w:rPr>
        <w:t>16.</w:t>
      </w:r>
      <w:r w:rsidRPr="00A07C25">
        <w:rPr>
          <w:rFonts w:ascii="Verdana" w:hAnsi="Verdana"/>
          <w:sz w:val="20"/>
          <w:szCs w:val="20"/>
          <w:lang w:val="es-ES_tradnl"/>
        </w:rPr>
        <w:tab/>
      </w:r>
      <w:smartTag w:uri="urn:schemas-microsoft-com:office:smarttags" w:element="PersonName">
        <w:smartTagPr>
          <w:attr w:name="ProductID" w:val="la Corte"/>
        </w:smartTagPr>
        <w:r w:rsidRPr="00A07C25">
          <w:rPr>
            <w:rFonts w:ascii="Verdana" w:hAnsi="Verdana"/>
            <w:sz w:val="20"/>
            <w:szCs w:val="20"/>
            <w:lang w:val="es-ES_tradnl"/>
          </w:rPr>
          <w:t>La Corte</w:t>
        </w:r>
      </w:smartTag>
      <w:r w:rsidRPr="00A07C25">
        <w:rPr>
          <w:rFonts w:ascii="Verdana" w:hAnsi="Verdana"/>
          <w:sz w:val="20"/>
          <w:szCs w:val="20"/>
          <w:lang w:val="es-ES_tradnl"/>
        </w:rPr>
        <w:t xml:space="preserve"> advierte que la pregunta formulada por el Estado en su demanda de interpretación no tiene por objeto aclara</w:t>
      </w:r>
      <w:r w:rsidRPr="00A07C25">
        <w:rPr>
          <w:rFonts w:ascii="Verdana" w:hAnsi="Verdana"/>
          <w:sz w:val="20"/>
          <w:szCs w:val="20"/>
          <w:lang w:val="es-ES_tradnl"/>
        </w:rPr>
        <w:t xml:space="preserve">r o precisar el contenido de algún punto de </w:t>
      </w:r>
      <w:smartTag w:uri="urn:schemas-microsoft-com:office:smarttags" w:element="PersonName">
        <w:smartTagPr>
          <w:attr w:name="ProductID" w:val="la Sentencia"/>
        </w:smartTagPr>
        <w:r w:rsidRPr="00A07C25">
          <w:rPr>
            <w:rFonts w:ascii="Verdana" w:hAnsi="Verdana"/>
            <w:sz w:val="20"/>
            <w:szCs w:val="20"/>
            <w:lang w:val="es-ES_tradnl"/>
          </w:rPr>
          <w:t>la Sentencia</w:t>
        </w:r>
      </w:smartTag>
      <w:r w:rsidRPr="00A07C25">
        <w:rPr>
          <w:rFonts w:ascii="Verdana" w:hAnsi="Verdana"/>
          <w:sz w:val="20"/>
          <w:szCs w:val="20"/>
          <w:lang w:val="es-ES_tradnl"/>
        </w:rPr>
        <w:t xml:space="preserve">, ni </w:t>
      </w:r>
      <w:r w:rsidRPr="0039683C">
        <w:rPr>
          <w:rFonts w:ascii="Verdana" w:hAnsi="Verdana"/>
          <w:sz w:val="20"/>
          <w:lang w:val="es-ES_tradnl"/>
        </w:rPr>
        <w:t xml:space="preserve">desentrañar el sentido del fallo por falta de claridad o precisión suficiente en sus puntos resolutivos o en sus consideraciones. </w:t>
      </w:r>
      <w:r w:rsidRPr="00A07C25">
        <w:rPr>
          <w:rFonts w:ascii="Verdana" w:hAnsi="Verdana"/>
          <w:sz w:val="20"/>
          <w:szCs w:val="20"/>
          <w:lang w:val="es-ES_tradnl"/>
        </w:rPr>
        <w:t>Por el contrario, la demanda de interpretación se refiere a la po</w:t>
      </w:r>
      <w:r w:rsidRPr="00A07C25">
        <w:rPr>
          <w:rFonts w:ascii="Verdana" w:hAnsi="Verdana"/>
          <w:sz w:val="20"/>
          <w:szCs w:val="20"/>
          <w:lang w:val="es-ES_tradnl"/>
        </w:rPr>
        <w:t xml:space="preserve">sibilidad futura de interponer un recurso que no está previsto en </w:t>
      </w:r>
      <w:smartTag w:uri="urn:schemas-microsoft-com:office:smarttags" w:element="PersonName">
        <w:smartTagPr>
          <w:attr w:name="ProductID" w:val="la Convenci￳n Americana"/>
        </w:smartTagPr>
        <w:r w:rsidRPr="00A07C25">
          <w:rPr>
            <w:rFonts w:ascii="Verdana" w:hAnsi="Verdana"/>
            <w:sz w:val="20"/>
            <w:szCs w:val="20"/>
            <w:lang w:val="es-ES_tradnl"/>
          </w:rPr>
          <w:t>la Convención Americana</w:t>
        </w:r>
      </w:smartTag>
      <w:r w:rsidRPr="00A07C25">
        <w:rPr>
          <w:rFonts w:ascii="Verdana" w:hAnsi="Verdana"/>
          <w:sz w:val="20"/>
          <w:szCs w:val="20"/>
          <w:lang w:val="es-ES_tradnl"/>
        </w:rPr>
        <w:t xml:space="preserve">, en el Estatuto, ni en el Reglamento del Tribunal. Tal como lo han señalado </w:t>
      </w:r>
      <w:smartTag w:uri="urn:schemas-microsoft-com:office:smarttags" w:element="PersonName">
        <w:smartTagPr>
          <w:attr w:name="ProductID" w:val="la Comisi￳n Interamericana"/>
        </w:smartTagPr>
        <w:r w:rsidRPr="00A07C25">
          <w:rPr>
            <w:rFonts w:ascii="Verdana" w:hAnsi="Verdana"/>
            <w:sz w:val="20"/>
            <w:szCs w:val="20"/>
            <w:lang w:val="es-ES_tradnl"/>
          </w:rPr>
          <w:t>la Comisión Interamericana</w:t>
        </w:r>
      </w:smartTag>
      <w:r w:rsidRPr="00A07C25">
        <w:rPr>
          <w:rFonts w:ascii="Verdana" w:hAnsi="Verdana"/>
          <w:sz w:val="20"/>
          <w:szCs w:val="20"/>
          <w:lang w:val="es-ES_tradnl"/>
        </w:rPr>
        <w:t xml:space="preserve"> y los representantes, </w:t>
      </w:r>
      <w:smartTag w:uri="urn:schemas-microsoft-com:office:smarttags" w:element="PersonName">
        <w:smartTagPr>
          <w:attr w:name="ProductID" w:val="la Corte"/>
        </w:smartTagPr>
        <w:r w:rsidRPr="00A07C25">
          <w:rPr>
            <w:rFonts w:ascii="Verdana" w:hAnsi="Verdana"/>
            <w:sz w:val="20"/>
            <w:szCs w:val="20"/>
            <w:lang w:val="es-ES_tradnl"/>
          </w:rPr>
          <w:t>la Corte</w:t>
        </w:r>
      </w:smartTag>
      <w:r w:rsidRPr="00A07C25">
        <w:rPr>
          <w:rFonts w:ascii="Verdana" w:hAnsi="Verdana"/>
          <w:sz w:val="20"/>
          <w:szCs w:val="20"/>
          <w:lang w:val="es-ES_tradnl"/>
        </w:rPr>
        <w:t xml:space="preserve"> observa que el planteo formulado</w:t>
      </w:r>
      <w:r w:rsidRPr="00A07C25">
        <w:rPr>
          <w:rFonts w:ascii="Verdana" w:hAnsi="Verdana"/>
          <w:sz w:val="20"/>
          <w:szCs w:val="20"/>
          <w:lang w:val="es-ES_tradnl"/>
        </w:rPr>
        <w:t xml:space="preserve"> por el Estado se relaciona con un hecho eventual, es decir, una situación que el Estado </w:t>
      </w:r>
      <w:r w:rsidRPr="001A46B1">
        <w:rPr>
          <w:rFonts w:ascii="Verdana" w:hAnsi="Verdana"/>
          <w:sz w:val="20"/>
          <w:szCs w:val="20"/>
          <w:lang w:val="es-ES_tradnl"/>
        </w:rPr>
        <w:t>supone que podría ocurrir en e</w:t>
      </w:r>
      <w:r w:rsidRPr="00A07C25">
        <w:rPr>
          <w:rFonts w:ascii="Verdana" w:hAnsi="Verdana"/>
          <w:sz w:val="20"/>
          <w:szCs w:val="20"/>
          <w:lang w:val="es-ES_tradnl"/>
        </w:rPr>
        <w:t>l futuro, como lo es una decisión judicial en el derecho interno exculpatoria de la responsabilidad de agentes estatales en este caso. La</w:t>
      </w:r>
      <w:r w:rsidRPr="00A07C25">
        <w:rPr>
          <w:rFonts w:ascii="Verdana" w:hAnsi="Verdana"/>
          <w:sz w:val="20"/>
          <w:szCs w:val="20"/>
          <w:lang w:val="es-ES_tradnl"/>
        </w:rPr>
        <w:t xml:space="preserve"> formulación de situaciones</w:t>
      </w:r>
      <w:r w:rsidRPr="00FC3DCE">
        <w:rPr>
          <w:rFonts w:ascii="Verdana" w:hAnsi="Verdana"/>
          <w:sz w:val="20"/>
          <w:szCs w:val="20"/>
          <w:lang w:val="es-ES_tradnl"/>
        </w:rPr>
        <w:t xml:space="preserve"> abstractas</w:t>
      </w:r>
      <w:r w:rsidRPr="00A07C25">
        <w:rPr>
          <w:rFonts w:ascii="Verdana" w:hAnsi="Verdana"/>
          <w:sz w:val="20"/>
          <w:szCs w:val="20"/>
          <w:lang w:val="es-ES_tradnl"/>
        </w:rPr>
        <w:t xml:space="preserve"> o hipotéticas no tiene relación alguna con el objeto de una demanda de interpretación de Sentencia. </w:t>
      </w:r>
      <w:r w:rsidRPr="00131373">
        <w:rPr>
          <w:rFonts w:ascii="Verdana" w:hAnsi="Verdana"/>
          <w:sz w:val="20"/>
        </w:rPr>
        <w:t xml:space="preserve">Por otra parte, </w:t>
      </w:r>
      <w:smartTag w:uri="urn:schemas-microsoft-com:office:smarttags" w:element="PersonName">
        <w:smartTagPr>
          <w:attr w:name="ProductID" w:val="la Corte"/>
        </w:smartTagPr>
        <w:r w:rsidRPr="00131373">
          <w:rPr>
            <w:rFonts w:ascii="Verdana" w:hAnsi="Verdana"/>
            <w:sz w:val="20"/>
          </w:rPr>
          <w:t>la Corte</w:t>
        </w:r>
      </w:smartTag>
      <w:r w:rsidRPr="00131373">
        <w:rPr>
          <w:rFonts w:ascii="Verdana" w:hAnsi="Verdana"/>
          <w:sz w:val="20"/>
        </w:rPr>
        <w:t xml:space="preserve"> recuerda que durante el trámite de fondo, después de analizar los alegatos de las partes y e</w:t>
      </w:r>
      <w:r w:rsidRPr="00131373">
        <w:rPr>
          <w:rFonts w:ascii="Verdana" w:hAnsi="Verdana"/>
          <w:sz w:val="20"/>
        </w:rPr>
        <w:t>l acervo probatorio, con base en los hechos probados, determinó la responsabilidad internacional del Estado en el presente</w:t>
      </w:r>
      <w:r w:rsidRPr="00131373">
        <w:rPr>
          <w:rFonts w:ascii="Verdana" w:hAnsi="Verdana"/>
          <w:sz w:val="20"/>
          <w:szCs w:val="20"/>
          <w:lang w:val="es-ES_tradnl"/>
        </w:rPr>
        <w:t xml:space="preserve"> caso, y no la responsabilidad penal individual de los presuntos responsables de los hechos.</w:t>
      </w:r>
    </w:p>
    <w:p w:rsidR="004D7A6E" w:rsidRPr="00A07C25" w:rsidRDefault="00E51623">
      <w:pPr>
        <w:jc w:val="both"/>
        <w:rPr>
          <w:rFonts w:ascii="Verdana" w:hAnsi="Verdana"/>
          <w:sz w:val="20"/>
          <w:szCs w:val="20"/>
          <w:lang w:val="es-ES_tradnl"/>
        </w:rPr>
      </w:pPr>
    </w:p>
    <w:p w:rsidR="004D7A6E" w:rsidRPr="001A46B1" w:rsidRDefault="00E51623">
      <w:pPr>
        <w:jc w:val="both"/>
        <w:rPr>
          <w:rFonts w:ascii="Verdana" w:hAnsi="Verdana"/>
          <w:sz w:val="20"/>
          <w:lang w:val="es-ES_tradnl"/>
        </w:rPr>
      </w:pPr>
      <w:r w:rsidRPr="006309F3">
        <w:rPr>
          <w:rFonts w:ascii="Verdana" w:hAnsi="Verdana"/>
          <w:sz w:val="20"/>
          <w:lang w:val="es-ES_tradnl"/>
        </w:rPr>
        <w:t>17.</w:t>
      </w:r>
      <w:r w:rsidRPr="006309F3">
        <w:rPr>
          <w:rFonts w:ascii="Verdana" w:hAnsi="Verdana"/>
          <w:sz w:val="20"/>
          <w:lang w:val="es-ES_tradnl"/>
        </w:rPr>
        <w:tab/>
        <w:t xml:space="preserve">En consecuencia, </w:t>
      </w:r>
      <w:r w:rsidRPr="006309F3">
        <w:rPr>
          <w:rFonts w:ascii="Verdana" w:hAnsi="Verdana"/>
          <w:sz w:val="20"/>
          <w:szCs w:val="20"/>
          <w:lang w:val="es-ES_tradnl"/>
        </w:rPr>
        <w:t>en este aspecto, la</w:t>
      </w:r>
      <w:r w:rsidRPr="006309F3">
        <w:rPr>
          <w:rFonts w:ascii="Verdana" w:hAnsi="Verdana"/>
          <w:sz w:val="20"/>
          <w:szCs w:val="20"/>
          <w:lang w:val="es-ES_tradnl"/>
        </w:rPr>
        <w:t xml:space="preserve"> presente demanda de interpretación no se adecua a lo requerido por las normas de </w:t>
      </w:r>
      <w:smartTag w:uri="urn:schemas-microsoft-com:office:smarttags" w:element="PersonName">
        <w:smartTagPr>
          <w:attr w:name="ProductID" w:val="la Convenci￳n Americana"/>
        </w:smartTagPr>
        <w:r w:rsidRPr="006309F3">
          <w:rPr>
            <w:rFonts w:ascii="Verdana" w:hAnsi="Verdana"/>
            <w:sz w:val="20"/>
            <w:szCs w:val="20"/>
            <w:lang w:val="es-ES_tradnl"/>
          </w:rPr>
          <w:t>la Convención Americana</w:t>
        </w:r>
      </w:smartTag>
      <w:r w:rsidRPr="006309F3">
        <w:rPr>
          <w:rFonts w:ascii="Verdana" w:hAnsi="Verdana"/>
          <w:sz w:val="20"/>
          <w:szCs w:val="20"/>
          <w:lang w:val="es-ES_tradnl"/>
        </w:rPr>
        <w:t xml:space="preserve"> y el Reglamento, por lo que el Tribunal la declara inadmisible.</w:t>
      </w:r>
      <w:r w:rsidRPr="00A07C25">
        <w:rPr>
          <w:rFonts w:ascii="Verdana" w:hAnsi="Verdana"/>
          <w:sz w:val="20"/>
          <w:szCs w:val="20"/>
          <w:lang w:val="es-ES_tradnl"/>
        </w:rPr>
        <w:t xml:space="preserve"> </w:t>
      </w:r>
    </w:p>
    <w:p w:rsidR="004D7A6E" w:rsidRPr="001A46B1" w:rsidRDefault="00E51623">
      <w:pPr>
        <w:jc w:val="both"/>
        <w:rPr>
          <w:rFonts w:ascii="Verdana" w:hAnsi="Verdana"/>
          <w:sz w:val="20"/>
          <w:lang w:val="es-ES_tradnl"/>
        </w:rPr>
      </w:pPr>
    </w:p>
    <w:p w:rsidR="004D7A6E" w:rsidRPr="001A46B1" w:rsidRDefault="00E51623">
      <w:pPr>
        <w:jc w:val="center"/>
        <w:rPr>
          <w:rFonts w:ascii="Verdana" w:hAnsi="Verdana"/>
          <w:b/>
          <w:smallCaps/>
          <w:sz w:val="20"/>
          <w:szCs w:val="20"/>
          <w:lang w:val="es-ES_tradnl"/>
        </w:rPr>
      </w:pPr>
    </w:p>
    <w:p w:rsidR="004D7A6E" w:rsidRPr="001A46B1" w:rsidRDefault="00E51623">
      <w:pPr>
        <w:jc w:val="center"/>
        <w:rPr>
          <w:rFonts w:ascii="Verdana" w:hAnsi="Verdana"/>
          <w:b/>
          <w:smallCaps/>
          <w:sz w:val="20"/>
          <w:szCs w:val="20"/>
          <w:lang w:val="es-ES_tradnl"/>
        </w:rPr>
      </w:pPr>
      <w:r w:rsidRPr="001A46B1">
        <w:rPr>
          <w:rFonts w:ascii="Verdana" w:hAnsi="Verdana"/>
          <w:b/>
          <w:smallCaps/>
          <w:sz w:val="20"/>
          <w:szCs w:val="20"/>
          <w:lang w:val="es-ES_tradnl"/>
        </w:rPr>
        <w:t>V</w:t>
      </w:r>
    </w:p>
    <w:p w:rsidR="004D7A6E" w:rsidRPr="00840C3A" w:rsidRDefault="00E51623">
      <w:pPr>
        <w:ind w:firstLine="708"/>
        <w:jc w:val="center"/>
        <w:rPr>
          <w:rFonts w:ascii="Verdana" w:hAnsi="Verdana"/>
          <w:b/>
          <w:smallCaps/>
          <w:sz w:val="20"/>
          <w:szCs w:val="20"/>
          <w:lang w:val="es-ES_tradnl"/>
        </w:rPr>
      </w:pPr>
      <w:r w:rsidRPr="001A46B1">
        <w:rPr>
          <w:rFonts w:ascii="Verdana" w:hAnsi="Verdana"/>
          <w:b/>
          <w:smallCaps/>
          <w:sz w:val="20"/>
          <w:szCs w:val="20"/>
          <w:lang w:val="es-ES_tradnl"/>
        </w:rPr>
        <w:t xml:space="preserve">Sobre </w:t>
      </w:r>
      <w:smartTag w:uri="urn:schemas-microsoft-com:office:smarttags" w:element="PersonName">
        <w:smartTagPr>
          <w:attr w:name="ProductID" w:val="LA MEDIDA DE"/>
        </w:smartTagPr>
        <w:r w:rsidRPr="001A46B1">
          <w:rPr>
            <w:rFonts w:ascii="Verdana" w:hAnsi="Verdana"/>
            <w:b/>
            <w:smallCaps/>
            <w:sz w:val="20"/>
            <w:szCs w:val="20"/>
            <w:lang w:val="es-ES_tradnl"/>
          </w:rPr>
          <w:t>la medida de</w:t>
        </w:r>
      </w:smartTag>
      <w:r w:rsidRPr="001A46B1">
        <w:rPr>
          <w:rFonts w:ascii="Verdana" w:hAnsi="Verdana"/>
          <w:b/>
          <w:smallCaps/>
          <w:sz w:val="20"/>
          <w:szCs w:val="20"/>
          <w:lang w:val="es-ES_tradnl"/>
        </w:rPr>
        <w:t xml:space="preserve"> restitución ordenada en </w:t>
      </w:r>
      <w:smartTag w:uri="urn:schemas-microsoft-com:office:smarttags" w:element="PersonName">
        <w:smartTagPr>
          <w:attr w:name="ProductID" w:val="la Sentencia"/>
        </w:smartTagPr>
        <w:r w:rsidRPr="001A46B1">
          <w:rPr>
            <w:rFonts w:ascii="Verdana" w:hAnsi="Verdana"/>
            <w:b/>
            <w:smallCaps/>
            <w:sz w:val="20"/>
            <w:szCs w:val="20"/>
            <w:lang w:val="es-ES_tradnl"/>
          </w:rPr>
          <w:t>la Sentencia</w:t>
        </w:r>
      </w:smartTag>
      <w:r w:rsidRPr="00840C3A">
        <w:rPr>
          <w:rFonts w:ascii="Verdana" w:hAnsi="Verdana"/>
          <w:b/>
          <w:smallCaps/>
          <w:sz w:val="20"/>
          <w:szCs w:val="20"/>
          <w:lang w:val="es-ES_tradnl"/>
        </w:rPr>
        <w:t xml:space="preserve"> </w:t>
      </w:r>
    </w:p>
    <w:p w:rsidR="004D7A6E" w:rsidRPr="00840C3A" w:rsidRDefault="00E51623">
      <w:pPr>
        <w:ind w:firstLine="708"/>
        <w:jc w:val="center"/>
        <w:rPr>
          <w:rFonts w:ascii="Verdana" w:hAnsi="Verdana"/>
          <w:b/>
          <w:smallCaps/>
          <w:sz w:val="20"/>
          <w:szCs w:val="20"/>
          <w:lang w:val="es-ES_tradnl"/>
        </w:rPr>
      </w:pPr>
    </w:p>
    <w:p w:rsidR="004D7A6E" w:rsidRDefault="00E51623">
      <w:pPr>
        <w:jc w:val="both"/>
        <w:rPr>
          <w:rFonts w:ascii="Verdana" w:hAnsi="Verdana"/>
          <w:sz w:val="20"/>
          <w:szCs w:val="20"/>
          <w:lang w:val="es-ES_tradnl"/>
        </w:rPr>
      </w:pPr>
      <w:r>
        <w:rPr>
          <w:rFonts w:ascii="Verdana" w:hAnsi="Verdana"/>
          <w:sz w:val="20"/>
          <w:szCs w:val="20"/>
          <w:lang w:val="es-ES_tradnl"/>
        </w:rPr>
        <w:t>18.</w:t>
      </w:r>
      <w:r>
        <w:rPr>
          <w:rFonts w:ascii="Verdana" w:hAnsi="Verdana"/>
          <w:sz w:val="20"/>
          <w:szCs w:val="20"/>
          <w:lang w:val="es-ES_tradnl"/>
        </w:rPr>
        <w:tab/>
        <w:t>El Estado indicó qu</w:t>
      </w:r>
      <w:r>
        <w:rPr>
          <w:rFonts w:ascii="Verdana" w:hAnsi="Verdana"/>
          <w:sz w:val="20"/>
          <w:szCs w:val="20"/>
          <w:lang w:val="es-ES_tradnl"/>
        </w:rPr>
        <w:t xml:space="preserve">e </w:t>
      </w:r>
      <w:smartTag w:uri="urn:schemas-microsoft-com:office:smarttags" w:element="PersonName">
        <w:smartTagPr>
          <w:attr w:name="ProductID" w:val="la Corte"/>
        </w:smartTagPr>
        <w:r>
          <w:rPr>
            <w:rFonts w:ascii="Verdana" w:hAnsi="Verdana"/>
            <w:sz w:val="20"/>
            <w:szCs w:val="20"/>
            <w:lang w:val="es-ES_tradnl"/>
          </w:rPr>
          <w:t>la Corte</w:t>
        </w:r>
      </w:smartTag>
      <w:r>
        <w:rPr>
          <w:rFonts w:ascii="Verdana" w:hAnsi="Verdana"/>
          <w:sz w:val="20"/>
          <w:szCs w:val="20"/>
          <w:lang w:val="es-ES_tradnl"/>
        </w:rPr>
        <w:t xml:space="preserve"> “ha considerado dentro de un acápite distinto al daño material[…], [una] medida de restitución[;] sin embargo, disp[uso] la devolución de la suma de US$ 7.500,00 [(siete mil quinientos dólares)] a la señora Pelagia Mélida Contreras Montoya de Ca</w:t>
      </w:r>
      <w:r>
        <w:rPr>
          <w:rFonts w:ascii="Verdana" w:hAnsi="Verdana"/>
          <w:sz w:val="20"/>
          <w:szCs w:val="20"/>
          <w:lang w:val="es-ES_tradnl"/>
        </w:rPr>
        <w:t xml:space="preserve">ntoral ‘para su disposición a los efectos que estime pertinentes’, por lo que a efectos prácticos parece aplicarse las reglas del daño material que no le son aplicables, toda vez que como se ha reconocido, dicha suma le corresponde a </w:t>
      </w:r>
      <w:smartTag w:uri="urn:schemas-microsoft-com:office:smarttags" w:element="PersonName">
        <w:smartTagPr>
          <w:attr w:name="ProductID" w:val="la Federaci￳n Minera"/>
        </w:smartTagPr>
        <w:r>
          <w:rPr>
            <w:rFonts w:ascii="Verdana" w:hAnsi="Verdana"/>
            <w:sz w:val="20"/>
            <w:szCs w:val="20"/>
            <w:lang w:val="es-ES_tradnl"/>
          </w:rPr>
          <w:t>la Federación Minera</w:t>
        </w:r>
      </w:smartTag>
      <w:r>
        <w:rPr>
          <w:rFonts w:ascii="Verdana" w:hAnsi="Verdana"/>
          <w:sz w:val="20"/>
          <w:szCs w:val="20"/>
          <w:lang w:val="es-ES_tradnl"/>
        </w:rPr>
        <w:t xml:space="preserve">, </w:t>
      </w:r>
      <w:r>
        <w:rPr>
          <w:rFonts w:ascii="Verdana" w:hAnsi="Verdana"/>
          <w:sz w:val="20"/>
          <w:szCs w:val="20"/>
          <w:lang w:val="es-ES_tradnl"/>
        </w:rPr>
        <w:t xml:space="preserve">de la que el señor Cantoral era Secretario General”. </w:t>
      </w:r>
    </w:p>
    <w:p w:rsidR="004D7A6E" w:rsidRDefault="00E51623">
      <w:pPr>
        <w:jc w:val="both"/>
        <w:rPr>
          <w:rFonts w:ascii="Verdana" w:hAnsi="Verdana"/>
          <w:sz w:val="20"/>
          <w:szCs w:val="20"/>
          <w:lang w:val="es-ES_tradnl"/>
        </w:rPr>
      </w:pPr>
    </w:p>
    <w:p w:rsidR="004D7A6E" w:rsidRDefault="00E51623">
      <w:pPr>
        <w:jc w:val="both"/>
        <w:rPr>
          <w:rFonts w:ascii="Verdana" w:hAnsi="Verdana"/>
          <w:sz w:val="20"/>
          <w:szCs w:val="20"/>
          <w:lang w:val="es-ES_tradnl"/>
        </w:rPr>
      </w:pPr>
      <w:r>
        <w:rPr>
          <w:rFonts w:ascii="Verdana" w:hAnsi="Verdana"/>
          <w:sz w:val="20"/>
          <w:szCs w:val="20"/>
          <w:lang w:val="es-ES_tradnl"/>
        </w:rPr>
        <w:t>19.</w:t>
      </w:r>
      <w:r>
        <w:rPr>
          <w:rFonts w:ascii="Verdana" w:hAnsi="Verdana"/>
          <w:sz w:val="20"/>
          <w:szCs w:val="20"/>
          <w:lang w:val="es-ES_tradnl"/>
        </w:rPr>
        <w:tab/>
      </w:r>
      <w:smartTag w:uri="urn:schemas-microsoft-com:office:smarttags" w:element="PersonName">
        <w:smartTagPr>
          <w:attr w:name="ProductID" w:val="la Comisi￳n"/>
        </w:smartTagPr>
        <w:r>
          <w:rPr>
            <w:rFonts w:ascii="Verdana" w:hAnsi="Verdana"/>
            <w:sz w:val="20"/>
            <w:szCs w:val="20"/>
            <w:lang w:val="es-ES_tradnl"/>
          </w:rPr>
          <w:t>La Comisión</w:t>
        </w:r>
      </w:smartTag>
      <w:r>
        <w:rPr>
          <w:rFonts w:ascii="Verdana" w:hAnsi="Verdana"/>
          <w:sz w:val="20"/>
          <w:szCs w:val="20"/>
          <w:lang w:val="es-ES_tradnl"/>
        </w:rPr>
        <w:t xml:space="preserve"> consideró que “siendo claro el alcance y el contenido de lo dispuesto en el párrafo 187 de </w:t>
      </w:r>
      <w:smartTag w:uri="urn:schemas-microsoft-com:office:smarttags" w:element="PersonName">
        <w:smartTagPr>
          <w:attr w:name="ProductID" w:val="la Sentencia"/>
        </w:smartTagPr>
        <w:r>
          <w:rPr>
            <w:rFonts w:ascii="Verdana" w:hAnsi="Verdana"/>
            <w:sz w:val="20"/>
            <w:szCs w:val="20"/>
            <w:lang w:val="es-ES_tradnl"/>
          </w:rPr>
          <w:t>la Sentencia</w:t>
        </w:r>
      </w:smartTag>
      <w:r>
        <w:rPr>
          <w:rFonts w:ascii="Verdana" w:hAnsi="Verdana"/>
          <w:sz w:val="20"/>
          <w:szCs w:val="20"/>
          <w:lang w:val="es-ES_tradnl"/>
        </w:rPr>
        <w:t>, no es procedente la interpretación solicitada”.</w:t>
      </w:r>
    </w:p>
    <w:p w:rsidR="004D7A6E" w:rsidRDefault="00E51623">
      <w:pPr>
        <w:jc w:val="both"/>
        <w:rPr>
          <w:rFonts w:ascii="Verdana" w:hAnsi="Verdana"/>
          <w:sz w:val="20"/>
          <w:szCs w:val="20"/>
          <w:lang w:val="es-ES_tradnl"/>
        </w:rPr>
      </w:pPr>
    </w:p>
    <w:p w:rsidR="004D7A6E" w:rsidRDefault="00E51623">
      <w:pPr>
        <w:jc w:val="both"/>
        <w:rPr>
          <w:rFonts w:ascii="Verdana" w:hAnsi="Verdana"/>
          <w:sz w:val="20"/>
          <w:szCs w:val="20"/>
          <w:lang w:val="es-ES_tradnl"/>
        </w:rPr>
      </w:pPr>
      <w:r>
        <w:rPr>
          <w:rFonts w:ascii="Verdana" w:hAnsi="Verdana"/>
          <w:sz w:val="20"/>
          <w:szCs w:val="20"/>
          <w:lang w:val="es-ES_tradnl"/>
        </w:rPr>
        <w:t>20.</w:t>
      </w:r>
      <w:r>
        <w:rPr>
          <w:rFonts w:ascii="Verdana" w:hAnsi="Verdana"/>
          <w:sz w:val="20"/>
          <w:szCs w:val="20"/>
          <w:lang w:val="es-ES_tradnl"/>
        </w:rPr>
        <w:tab/>
        <w:t>Los representantes señalaro</w:t>
      </w:r>
      <w:r>
        <w:rPr>
          <w:rFonts w:ascii="Verdana" w:hAnsi="Verdana"/>
          <w:sz w:val="20"/>
          <w:szCs w:val="20"/>
          <w:lang w:val="es-ES_tradnl"/>
        </w:rPr>
        <w:t xml:space="preserve">n que este aspecto de </w:t>
      </w:r>
      <w:smartTag w:uri="urn:schemas-microsoft-com:office:smarttags" w:element="PersonName">
        <w:smartTagPr>
          <w:attr w:name="ProductID" w:val="la Sentencia"/>
        </w:smartTagPr>
        <w:r>
          <w:rPr>
            <w:rFonts w:ascii="Verdana" w:hAnsi="Verdana"/>
            <w:sz w:val="20"/>
            <w:szCs w:val="20"/>
            <w:lang w:val="es-ES_tradnl"/>
          </w:rPr>
          <w:t>la Sentencia</w:t>
        </w:r>
      </w:smartTag>
      <w:r>
        <w:rPr>
          <w:rFonts w:ascii="Verdana" w:hAnsi="Verdana"/>
          <w:sz w:val="20"/>
          <w:szCs w:val="20"/>
          <w:lang w:val="es-ES_tradnl"/>
        </w:rPr>
        <w:t xml:space="preserve"> “no es pasible de interpretación” y que “[a]l disponer la entrega de US$ 7.500,00 [(siete mil quinientos dólares)] a favor de la señora Pelagia Contreras, </w:t>
      </w:r>
      <w:smartTag w:uri="urn:schemas-microsoft-com:office:smarttags" w:element="PersonName">
        <w:smartTagPr>
          <w:attr w:name="ProductID" w:val="la Corte"/>
        </w:smartTagPr>
        <w:r>
          <w:rPr>
            <w:rFonts w:ascii="Verdana" w:hAnsi="Verdana"/>
            <w:sz w:val="20"/>
            <w:szCs w:val="20"/>
            <w:lang w:val="es-ES_tradnl"/>
          </w:rPr>
          <w:t>la Corte</w:t>
        </w:r>
      </w:smartTag>
      <w:r>
        <w:rPr>
          <w:rFonts w:ascii="Verdana" w:hAnsi="Verdana"/>
          <w:sz w:val="20"/>
          <w:szCs w:val="20"/>
          <w:lang w:val="es-ES_tradnl"/>
        </w:rPr>
        <w:t xml:space="preserve"> estim[ó] que esta cantidad será </w:t>
      </w:r>
      <w:proofErr w:type="gramStart"/>
      <w:r>
        <w:rPr>
          <w:rFonts w:ascii="Verdana" w:hAnsi="Verdana"/>
          <w:sz w:val="20"/>
          <w:szCs w:val="20"/>
          <w:lang w:val="es-ES_tradnl"/>
        </w:rPr>
        <w:t>entrega[</w:t>
      </w:r>
      <w:proofErr w:type="gramEnd"/>
      <w:r>
        <w:rPr>
          <w:rFonts w:ascii="Verdana" w:hAnsi="Verdana"/>
          <w:sz w:val="20"/>
          <w:szCs w:val="20"/>
          <w:lang w:val="es-ES_tradnl"/>
        </w:rPr>
        <w:t>da] por la mencio</w:t>
      </w:r>
      <w:r>
        <w:rPr>
          <w:rFonts w:ascii="Verdana" w:hAnsi="Verdana"/>
          <w:sz w:val="20"/>
          <w:szCs w:val="20"/>
          <w:lang w:val="es-ES_tradnl"/>
        </w:rPr>
        <w:t xml:space="preserve">nada señora a favor de </w:t>
      </w:r>
      <w:smartTag w:uri="urn:schemas-microsoft-com:office:smarttags" w:element="PersonName">
        <w:smartTagPr>
          <w:attr w:name="ProductID" w:val="la Federaci￳n Minera"/>
        </w:smartTagPr>
        <w:r>
          <w:rPr>
            <w:rFonts w:ascii="Verdana" w:hAnsi="Verdana"/>
            <w:sz w:val="20"/>
            <w:szCs w:val="20"/>
            <w:lang w:val="es-ES_tradnl"/>
          </w:rPr>
          <w:t>la Federación Minera</w:t>
        </w:r>
      </w:smartTag>
      <w:r>
        <w:rPr>
          <w:rFonts w:ascii="Verdana" w:hAnsi="Verdana"/>
          <w:sz w:val="20"/>
          <w:szCs w:val="20"/>
          <w:lang w:val="es-ES_tradnl"/>
        </w:rPr>
        <w:t>, tal como lo ha manifestado la señora Pelagia a esta representación”.</w:t>
      </w:r>
    </w:p>
    <w:p w:rsidR="004D7A6E" w:rsidRDefault="00E51623">
      <w:pPr>
        <w:jc w:val="both"/>
        <w:rPr>
          <w:rFonts w:ascii="Verdana" w:hAnsi="Verdana"/>
          <w:sz w:val="20"/>
          <w:szCs w:val="20"/>
          <w:lang w:val="es-ES_tradnl"/>
        </w:rPr>
      </w:pPr>
    </w:p>
    <w:p w:rsidR="004D7A6E" w:rsidRDefault="00E51623">
      <w:pPr>
        <w:jc w:val="both"/>
        <w:rPr>
          <w:rFonts w:ascii="Verdana" w:hAnsi="Verdana"/>
          <w:sz w:val="20"/>
          <w:szCs w:val="20"/>
          <w:lang w:val="es-ES_tradnl"/>
        </w:rPr>
      </w:pPr>
      <w:r>
        <w:rPr>
          <w:rFonts w:ascii="Verdana" w:hAnsi="Verdana"/>
          <w:sz w:val="20"/>
          <w:szCs w:val="20"/>
          <w:lang w:val="es-ES_tradnl"/>
        </w:rPr>
        <w:t xml:space="preserve">21. </w:t>
      </w:r>
      <w:r>
        <w:rPr>
          <w:rFonts w:ascii="Verdana" w:hAnsi="Verdana"/>
          <w:sz w:val="20"/>
          <w:szCs w:val="20"/>
          <w:lang w:val="es-ES_tradnl"/>
        </w:rPr>
        <w:tab/>
      </w:r>
      <w:r w:rsidRPr="00FC3DCE">
        <w:rPr>
          <w:rFonts w:ascii="Verdana" w:hAnsi="Verdana"/>
          <w:sz w:val="20"/>
          <w:szCs w:val="20"/>
          <w:lang w:val="es-ES_tradnl"/>
        </w:rPr>
        <w:t xml:space="preserve">El Tribunal considera que </w:t>
      </w:r>
      <w:r w:rsidRPr="008A5C11">
        <w:rPr>
          <w:rFonts w:ascii="Verdana" w:hAnsi="Verdana"/>
          <w:sz w:val="20"/>
        </w:rPr>
        <w:t>en la pregunta formulada por el Estado subyace una duda sobre el sentido o alcance del fallo sobre este aspect</w:t>
      </w:r>
      <w:r w:rsidRPr="008A5C11">
        <w:rPr>
          <w:rFonts w:ascii="Verdana" w:hAnsi="Verdana"/>
          <w:sz w:val="20"/>
        </w:rPr>
        <w:t>o, razón por la cual procede a interpretarlo</w:t>
      </w:r>
      <w:r w:rsidRPr="008A5C11">
        <w:rPr>
          <w:rFonts w:ascii="Verdana" w:hAnsi="Verdana"/>
          <w:sz w:val="20"/>
          <w:szCs w:val="20"/>
          <w:lang w:val="es-ES_tradnl"/>
        </w:rPr>
        <w:t>.</w:t>
      </w:r>
      <w:r w:rsidRPr="00FC3DCE">
        <w:rPr>
          <w:rFonts w:ascii="Verdana" w:hAnsi="Verdana"/>
          <w:sz w:val="20"/>
          <w:szCs w:val="20"/>
          <w:lang w:val="es-ES_tradnl"/>
        </w:rPr>
        <w:t xml:space="preserve"> </w:t>
      </w:r>
      <w:r>
        <w:rPr>
          <w:rFonts w:ascii="Verdana" w:hAnsi="Verdana"/>
          <w:sz w:val="20"/>
          <w:szCs w:val="20"/>
          <w:lang w:val="es-ES_tradnl"/>
        </w:rPr>
        <w:t xml:space="preserve">Al momento de establecer las reparaciones correspondientes en el presente caso, </w:t>
      </w:r>
      <w:smartTag w:uri="urn:schemas-microsoft-com:office:smarttags" w:element="PersonName">
        <w:smartTagPr>
          <w:attr w:name="ProductID" w:val="la Corte"/>
        </w:smartTagPr>
        <w:r>
          <w:rPr>
            <w:rFonts w:ascii="Verdana" w:hAnsi="Verdana"/>
            <w:sz w:val="20"/>
            <w:szCs w:val="20"/>
            <w:lang w:val="es-ES_tradnl"/>
          </w:rPr>
          <w:t>la Corte</w:t>
        </w:r>
      </w:smartTag>
      <w:r>
        <w:rPr>
          <w:rFonts w:ascii="Verdana" w:hAnsi="Verdana"/>
          <w:sz w:val="20"/>
          <w:szCs w:val="20"/>
          <w:lang w:val="es-ES_tradnl"/>
        </w:rPr>
        <w:t xml:space="preserve"> determinó aquellas personas que fueron consideradas “parte </w:t>
      </w:r>
      <w:r>
        <w:rPr>
          <w:rFonts w:ascii="Verdana" w:hAnsi="Verdana"/>
          <w:sz w:val="20"/>
          <w:szCs w:val="20"/>
          <w:lang w:val="es-ES_tradnl"/>
        </w:rPr>
        <w:lastRenderedPageBreak/>
        <w:t xml:space="preserve">lesionada” de acuerdo con los términos de </w:t>
      </w:r>
      <w:smartTag w:uri="urn:schemas-microsoft-com:office:smarttags" w:element="PersonName">
        <w:smartTagPr>
          <w:attr w:name="ProductID" w:val="la Convenci￳n Americana"/>
        </w:smartTagPr>
        <w:r>
          <w:rPr>
            <w:rFonts w:ascii="Verdana" w:hAnsi="Verdana"/>
            <w:sz w:val="20"/>
            <w:szCs w:val="20"/>
            <w:lang w:val="es-ES_tradnl"/>
          </w:rPr>
          <w:t>la Convención Americ</w:t>
        </w:r>
        <w:r>
          <w:rPr>
            <w:rFonts w:ascii="Verdana" w:hAnsi="Verdana"/>
            <w:sz w:val="20"/>
            <w:szCs w:val="20"/>
            <w:lang w:val="es-ES_tradnl"/>
          </w:rPr>
          <w:t>ana</w:t>
        </w:r>
      </w:smartTag>
      <w:r>
        <w:rPr>
          <w:rFonts w:ascii="Verdana" w:hAnsi="Verdana"/>
          <w:sz w:val="20"/>
          <w:szCs w:val="20"/>
          <w:lang w:val="es-ES_tradnl"/>
        </w:rPr>
        <w:t xml:space="preserve"> y las reparaciones debidas. De manera expresa en el capítulo de reparaciones de </w:t>
      </w:r>
      <w:smartTag w:uri="urn:schemas-microsoft-com:office:smarttags" w:element="PersonName">
        <w:smartTagPr>
          <w:attr w:name="ProductID" w:val="la Sentencia"/>
        </w:smartTagPr>
        <w:r>
          <w:rPr>
            <w:rFonts w:ascii="Verdana" w:hAnsi="Verdana"/>
            <w:sz w:val="20"/>
            <w:szCs w:val="20"/>
            <w:lang w:val="es-ES_tradnl"/>
          </w:rPr>
          <w:t>la Sentencia</w:t>
        </w:r>
      </w:smartTag>
      <w:r>
        <w:rPr>
          <w:rFonts w:ascii="Verdana" w:hAnsi="Verdana"/>
          <w:sz w:val="20"/>
          <w:szCs w:val="20"/>
          <w:lang w:val="es-ES_tradnl"/>
        </w:rPr>
        <w:t xml:space="preserve">, </w:t>
      </w:r>
      <w:smartTag w:uri="urn:schemas-microsoft-com:office:smarttags" w:element="PersonName">
        <w:smartTagPr>
          <w:attr w:name="ProductID" w:val="la Corte"/>
        </w:smartTagPr>
        <w:r>
          <w:rPr>
            <w:rFonts w:ascii="Verdana" w:hAnsi="Verdana"/>
            <w:sz w:val="20"/>
            <w:szCs w:val="20"/>
            <w:lang w:val="es-ES_tradnl"/>
          </w:rPr>
          <w:t>la Corte</w:t>
        </w:r>
      </w:smartTag>
      <w:r>
        <w:rPr>
          <w:rFonts w:ascii="Verdana" w:hAnsi="Verdana"/>
          <w:sz w:val="20"/>
          <w:szCs w:val="20"/>
          <w:lang w:val="es-ES_tradnl"/>
        </w:rPr>
        <w:t xml:space="preserve"> diferenció, por un lado, las indemnizaciones correspondientes por los conceptos de daño material e inmaterial (apartado “</w:t>
      </w:r>
      <w:r w:rsidRPr="001A46B1">
        <w:rPr>
          <w:rFonts w:ascii="Verdana" w:hAnsi="Verdana"/>
          <w:i/>
          <w:sz w:val="20"/>
          <w:szCs w:val="20"/>
          <w:lang w:val="es-ES_tradnl"/>
        </w:rPr>
        <w:t>B. Indemnizaciones</w:t>
      </w:r>
      <w:r>
        <w:rPr>
          <w:rFonts w:ascii="Verdana" w:hAnsi="Verdana"/>
          <w:sz w:val="20"/>
          <w:szCs w:val="20"/>
          <w:lang w:val="es-ES_tradnl"/>
        </w:rPr>
        <w:t xml:space="preserve">”) y, por </w:t>
      </w:r>
      <w:r>
        <w:rPr>
          <w:rFonts w:ascii="Verdana" w:hAnsi="Verdana"/>
          <w:sz w:val="20"/>
          <w:szCs w:val="20"/>
          <w:lang w:val="es-ES_tradnl"/>
        </w:rPr>
        <w:t xml:space="preserve">el otro, una medida de restitución (apartado </w:t>
      </w:r>
      <w:r w:rsidRPr="001A46B1">
        <w:rPr>
          <w:rFonts w:ascii="Verdana" w:hAnsi="Verdana"/>
          <w:i/>
          <w:sz w:val="20"/>
          <w:szCs w:val="20"/>
          <w:lang w:val="es-ES_tradnl"/>
        </w:rPr>
        <w:t>“C. Medida de Restitución”</w:t>
      </w:r>
      <w:r>
        <w:rPr>
          <w:rFonts w:ascii="Verdana" w:hAnsi="Verdana"/>
          <w:sz w:val="20"/>
          <w:szCs w:val="20"/>
          <w:lang w:val="es-ES_tradnl"/>
        </w:rPr>
        <w:t xml:space="preserve">). Bajo este último título, en el párrafo 187 de </w:t>
      </w:r>
      <w:smartTag w:uri="urn:schemas-microsoft-com:office:smarttags" w:element="PersonName">
        <w:smartTagPr>
          <w:attr w:name="ProductID" w:val="la Sentencia"/>
        </w:smartTagPr>
        <w:r>
          <w:rPr>
            <w:rFonts w:ascii="Verdana" w:hAnsi="Verdana"/>
            <w:sz w:val="20"/>
            <w:szCs w:val="20"/>
            <w:lang w:val="es-ES_tradnl"/>
          </w:rPr>
          <w:t>la Sentencia</w:t>
        </w:r>
      </w:smartTag>
      <w:r>
        <w:rPr>
          <w:rFonts w:ascii="Verdana" w:hAnsi="Verdana"/>
          <w:sz w:val="20"/>
          <w:szCs w:val="20"/>
          <w:lang w:val="es-ES_tradnl"/>
        </w:rPr>
        <w:t>, el Tribunal dispuso lo siguiente:</w:t>
      </w:r>
    </w:p>
    <w:p w:rsidR="004D7A6E" w:rsidRDefault="00E51623">
      <w:pPr>
        <w:jc w:val="both"/>
        <w:rPr>
          <w:rFonts w:ascii="Verdana" w:hAnsi="Verdana"/>
          <w:sz w:val="20"/>
          <w:szCs w:val="20"/>
          <w:lang w:val="es-ES_tradnl"/>
        </w:rPr>
      </w:pPr>
    </w:p>
    <w:p w:rsidR="004D7A6E" w:rsidRPr="00FC3DCE" w:rsidRDefault="00E51623">
      <w:pPr>
        <w:ind w:left="708"/>
        <w:jc w:val="center"/>
        <w:rPr>
          <w:rFonts w:ascii="Verdana" w:hAnsi="Verdana"/>
          <w:i/>
          <w:sz w:val="16"/>
          <w:lang w:val="es-CL"/>
        </w:rPr>
      </w:pPr>
      <w:r w:rsidRPr="00FC3DCE">
        <w:rPr>
          <w:rFonts w:ascii="Verdana" w:hAnsi="Verdana"/>
          <w:i/>
          <w:sz w:val="16"/>
          <w:lang w:val="es-CL"/>
        </w:rPr>
        <w:t>C) Medida de restitución</w:t>
      </w:r>
    </w:p>
    <w:p w:rsidR="004D7A6E" w:rsidRPr="001A46B1" w:rsidRDefault="00E51623">
      <w:pPr>
        <w:ind w:left="708"/>
        <w:jc w:val="both"/>
        <w:rPr>
          <w:rFonts w:ascii="Verdana" w:hAnsi="Verdana"/>
          <w:sz w:val="16"/>
          <w:lang w:val="es-CL"/>
        </w:rPr>
      </w:pPr>
    </w:p>
    <w:p w:rsidR="004D7A6E" w:rsidRPr="001A46B1" w:rsidRDefault="00E51623">
      <w:pPr>
        <w:ind w:left="708"/>
        <w:jc w:val="both"/>
        <w:rPr>
          <w:rFonts w:ascii="Verdana" w:hAnsi="Verdana"/>
          <w:sz w:val="16"/>
          <w:lang w:val="es-CL"/>
        </w:rPr>
      </w:pPr>
      <w:r w:rsidRPr="001A46B1">
        <w:rPr>
          <w:rFonts w:ascii="Verdana" w:hAnsi="Verdana"/>
          <w:sz w:val="16"/>
          <w:lang w:val="es-CL"/>
        </w:rPr>
        <w:t>187.</w:t>
      </w:r>
      <w:r w:rsidRPr="001A46B1">
        <w:rPr>
          <w:rFonts w:ascii="Verdana" w:hAnsi="Verdana"/>
          <w:sz w:val="16"/>
          <w:lang w:val="es-CL"/>
        </w:rPr>
        <w:tab/>
        <w:t xml:space="preserve">Finalmente, en relación con la </w:t>
      </w:r>
      <w:r w:rsidRPr="001A46B1">
        <w:rPr>
          <w:rFonts w:ascii="Verdana" w:hAnsi="Verdana"/>
          <w:sz w:val="16"/>
        </w:rPr>
        <w:t>suma de US$ 7.500,00 (sie</w:t>
      </w:r>
      <w:r w:rsidRPr="001A46B1">
        <w:rPr>
          <w:rFonts w:ascii="Verdana" w:hAnsi="Verdana"/>
          <w:sz w:val="16"/>
        </w:rPr>
        <w:t xml:space="preserve">te mil quinientos dólares de los Estados Unidos de América) entregada por </w:t>
      </w:r>
      <w:smartTag w:uri="urn:schemas-microsoft-com:office:smarttags" w:element="PersonName">
        <w:smartTagPr>
          <w:attr w:name="ProductID" w:val="la Federaci￳n Minera"/>
        </w:smartTagPr>
        <w:r w:rsidRPr="001A46B1">
          <w:rPr>
            <w:rFonts w:ascii="Verdana" w:hAnsi="Verdana"/>
            <w:sz w:val="16"/>
          </w:rPr>
          <w:t>la Federación Minera</w:t>
        </w:r>
      </w:smartTag>
      <w:r w:rsidRPr="001A46B1">
        <w:rPr>
          <w:rFonts w:ascii="Verdana" w:hAnsi="Verdana"/>
          <w:sz w:val="16"/>
        </w:rPr>
        <w:t xml:space="preserve"> a Saúl Cantoral Huamaní que éste dejó momentos previos a su muerte en el hostal donde se hospedaba, la cual fue incautada por las autoridades a cargo de la inves</w:t>
      </w:r>
      <w:r w:rsidRPr="001A46B1">
        <w:rPr>
          <w:rFonts w:ascii="Verdana" w:hAnsi="Verdana"/>
          <w:sz w:val="16"/>
        </w:rPr>
        <w:t xml:space="preserve">tigación y depositada judicialmente, </w:t>
      </w:r>
      <w:smartTag w:uri="urn:schemas-microsoft-com:office:smarttags" w:element="PersonName">
        <w:smartTagPr>
          <w:attr w:name="ProductID" w:val="la Corte"/>
        </w:smartTagPr>
        <w:r w:rsidRPr="001A46B1">
          <w:rPr>
            <w:rFonts w:ascii="Verdana" w:hAnsi="Verdana"/>
            <w:sz w:val="16"/>
          </w:rPr>
          <w:t>la Corte</w:t>
        </w:r>
      </w:smartTag>
      <w:r w:rsidRPr="001A46B1">
        <w:rPr>
          <w:rFonts w:ascii="Verdana" w:hAnsi="Verdana"/>
          <w:sz w:val="16"/>
        </w:rPr>
        <w:t xml:space="preserve"> advierte que no fue restituida, sino que habría sido extraviada u objeto de un hurto mientras se encontraba bajo depósito judicial. Ello se desprende no sólo de los alegatos de los representantes, sino también </w:t>
      </w:r>
      <w:r w:rsidRPr="001A46B1">
        <w:rPr>
          <w:rFonts w:ascii="Verdana" w:hAnsi="Verdana"/>
          <w:sz w:val="16"/>
        </w:rPr>
        <w:t xml:space="preserve">de la prueba aportada por el Estado, en la que se informa que una </w:t>
      </w:r>
      <w:r w:rsidRPr="001A46B1">
        <w:rPr>
          <w:rFonts w:ascii="Verdana" w:hAnsi="Verdana"/>
          <w:sz w:val="16"/>
          <w:lang w:val="es-CL"/>
        </w:rPr>
        <w:t>fiscalía, el 8 de mayo de 1995 dispuso la remisión de las actuaciones a la fiscalía de turno “por existir indicios de la presunta comisión del delito contra el patrimonio-hurto del Certifica</w:t>
      </w:r>
      <w:r w:rsidRPr="001A46B1">
        <w:rPr>
          <w:rFonts w:ascii="Verdana" w:hAnsi="Verdana"/>
          <w:sz w:val="16"/>
          <w:lang w:val="es-CL"/>
        </w:rPr>
        <w:t xml:space="preserve">do de Depósito Judicial del Banco Nación No. […] de fecha 18 de abril de 1989 por el monto de US$ </w:t>
      </w:r>
      <w:smartTag w:uri="urn:schemas-microsoft-com:office:smarttags" w:element="metricconverter">
        <w:smartTagPr>
          <w:attr w:name="ProductID" w:val="7,500”"/>
        </w:smartTagPr>
        <w:r w:rsidRPr="001A46B1">
          <w:rPr>
            <w:rFonts w:ascii="Verdana" w:hAnsi="Verdana"/>
            <w:sz w:val="16"/>
            <w:lang w:val="es-CL"/>
          </w:rPr>
          <w:t>7,500”</w:t>
        </w:r>
      </w:smartTag>
      <w:r w:rsidRPr="001A46B1">
        <w:rPr>
          <w:rFonts w:ascii="Verdana" w:hAnsi="Verdana"/>
          <w:sz w:val="16"/>
          <w:lang w:val="es-CL"/>
        </w:rPr>
        <w:t>. La pérdida de esta suma de dinero bajo la custodia del Estado tiene un nexo causal directo con los hechos del caso y, consecuentemente, debe ser repar</w:t>
      </w:r>
      <w:r w:rsidRPr="001A46B1">
        <w:rPr>
          <w:rFonts w:ascii="Verdana" w:hAnsi="Verdana"/>
          <w:sz w:val="16"/>
          <w:lang w:val="es-CL"/>
        </w:rPr>
        <w:t xml:space="preserve">ada. Por lo tanto, si esta suma de dinero no hubiese sido ya devuelta, </w:t>
      </w:r>
      <w:smartTag w:uri="urn:schemas-microsoft-com:office:smarttags" w:element="PersonName">
        <w:smartTagPr>
          <w:attr w:name="ProductID" w:val="la Corte"/>
        </w:smartTagPr>
        <w:r w:rsidRPr="001A46B1">
          <w:rPr>
            <w:rFonts w:ascii="Verdana" w:hAnsi="Verdana"/>
            <w:sz w:val="16"/>
            <w:lang w:val="es-CL"/>
          </w:rPr>
          <w:t>la Corte</w:t>
        </w:r>
      </w:smartTag>
      <w:r w:rsidRPr="001A46B1">
        <w:rPr>
          <w:rFonts w:ascii="Verdana" w:hAnsi="Verdana"/>
          <w:sz w:val="16"/>
          <w:lang w:val="es-CL"/>
        </w:rPr>
        <w:t xml:space="preserve"> dispone que sea restituida a la señora Pelagia Mélida Contreras Montoya de Cantoral, quien podrá disponer de la misma para los efectos que estime pertinentes.</w:t>
      </w:r>
    </w:p>
    <w:p w:rsidR="004D7A6E" w:rsidRPr="00417D46" w:rsidRDefault="00E51623">
      <w:pPr>
        <w:ind w:left="360"/>
        <w:jc w:val="center"/>
        <w:rPr>
          <w:lang w:val="es-CL"/>
        </w:rPr>
      </w:pPr>
    </w:p>
    <w:p w:rsidR="004D7A6E" w:rsidRPr="00B034EE" w:rsidRDefault="00E51623">
      <w:pPr>
        <w:jc w:val="both"/>
        <w:rPr>
          <w:rFonts w:ascii="Verdana" w:hAnsi="Verdana"/>
          <w:sz w:val="20"/>
          <w:lang w:val="es-CL"/>
        </w:rPr>
      </w:pPr>
      <w:r w:rsidRPr="006309F3">
        <w:rPr>
          <w:rFonts w:ascii="Verdana" w:hAnsi="Verdana"/>
          <w:sz w:val="20"/>
          <w:szCs w:val="20"/>
          <w:lang w:val="es-ES_tradnl"/>
        </w:rPr>
        <w:t>22.</w:t>
      </w:r>
      <w:r w:rsidRPr="006309F3">
        <w:rPr>
          <w:rFonts w:ascii="Verdana" w:hAnsi="Verdana"/>
          <w:sz w:val="20"/>
          <w:szCs w:val="20"/>
          <w:lang w:val="es-ES_tradnl"/>
        </w:rPr>
        <w:tab/>
      </w:r>
      <w:smartTag w:uri="urn:schemas-microsoft-com:office:smarttags" w:element="PersonName">
        <w:smartTagPr>
          <w:attr w:name="ProductID" w:val="la Corte"/>
        </w:smartTagPr>
        <w:r w:rsidRPr="006309F3">
          <w:rPr>
            <w:rFonts w:ascii="Verdana" w:hAnsi="Verdana"/>
            <w:sz w:val="20"/>
            <w:szCs w:val="20"/>
            <w:lang w:val="es-ES_tradnl"/>
          </w:rPr>
          <w:t>La Corte</w:t>
        </w:r>
      </w:smartTag>
      <w:r w:rsidRPr="006309F3">
        <w:rPr>
          <w:rFonts w:ascii="Verdana" w:hAnsi="Verdana"/>
          <w:sz w:val="20"/>
          <w:szCs w:val="20"/>
          <w:lang w:val="es-ES_tradnl"/>
        </w:rPr>
        <w:t xml:space="preserve"> con</w:t>
      </w:r>
      <w:r w:rsidRPr="006309F3">
        <w:rPr>
          <w:rFonts w:ascii="Verdana" w:hAnsi="Verdana"/>
          <w:sz w:val="20"/>
          <w:szCs w:val="20"/>
          <w:lang w:val="es-ES_tradnl"/>
        </w:rPr>
        <w:t xml:space="preserve">sideró probado que la suma entregada por </w:t>
      </w:r>
      <w:smartTag w:uri="urn:schemas-microsoft-com:office:smarttags" w:element="PersonName">
        <w:smartTagPr>
          <w:attr w:name="ProductID" w:val="la Federaci￳n Minera"/>
        </w:smartTagPr>
        <w:r w:rsidRPr="006309F3">
          <w:rPr>
            <w:rFonts w:ascii="Verdana" w:hAnsi="Verdana"/>
            <w:sz w:val="20"/>
            <w:szCs w:val="20"/>
            <w:lang w:val="es-ES_tradnl"/>
          </w:rPr>
          <w:t>la Federación Minera</w:t>
        </w:r>
      </w:smartTag>
      <w:r w:rsidRPr="006309F3">
        <w:rPr>
          <w:rFonts w:ascii="Verdana" w:hAnsi="Verdana"/>
          <w:sz w:val="20"/>
          <w:szCs w:val="20"/>
          <w:lang w:val="es-ES_tradnl"/>
        </w:rPr>
        <w:t xml:space="preserve"> a Saúl Cantoral Huamaní fue extraviada u objeto de hurto mientras se encontraba bajo custodia del Estado, y que por eso </w:t>
      </w:r>
      <w:r w:rsidRPr="00F849C2">
        <w:rPr>
          <w:rFonts w:ascii="Verdana" w:hAnsi="Verdana"/>
          <w:sz w:val="20"/>
          <w:szCs w:val="20"/>
          <w:lang w:val="es-ES_tradnl"/>
        </w:rPr>
        <w:t>debía ser restituida</w:t>
      </w:r>
      <w:r w:rsidRPr="006309F3">
        <w:rPr>
          <w:rFonts w:ascii="Verdana" w:hAnsi="Verdana"/>
          <w:sz w:val="20"/>
          <w:szCs w:val="20"/>
          <w:lang w:val="es-ES_tradnl"/>
        </w:rPr>
        <w:t>. Dado que ese monto se encontraba en poder de Saúl Ca</w:t>
      </w:r>
      <w:r w:rsidRPr="006309F3">
        <w:rPr>
          <w:rFonts w:ascii="Verdana" w:hAnsi="Verdana"/>
          <w:sz w:val="20"/>
          <w:szCs w:val="20"/>
          <w:lang w:val="es-ES_tradnl"/>
        </w:rPr>
        <w:t xml:space="preserve">ntoral Huamaní al momento de su ejecución, el Tribunal dispuso que la señora Pelagia Mélida Contreras Montoya viuda de Cantoral, quien es parte en el presente proceso, </w:t>
      </w:r>
      <w:r w:rsidRPr="00B034EE">
        <w:rPr>
          <w:rFonts w:ascii="Verdana" w:hAnsi="Verdana"/>
          <w:sz w:val="20"/>
          <w:szCs w:val="20"/>
          <w:lang w:val="es-ES_tradnl"/>
        </w:rPr>
        <w:t xml:space="preserve">y no una entidad ajena al mismo como </w:t>
      </w:r>
      <w:smartTag w:uri="urn:schemas-microsoft-com:office:smarttags" w:element="PersonName">
        <w:smartTagPr>
          <w:attr w:name="ProductID" w:val="la Federaci￳n Minera"/>
        </w:smartTagPr>
        <w:r w:rsidRPr="00B034EE">
          <w:rPr>
            <w:rFonts w:ascii="Verdana" w:hAnsi="Verdana"/>
            <w:sz w:val="20"/>
            <w:szCs w:val="20"/>
            <w:lang w:val="es-ES_tradnl"/>
          </w:rPr>
          <w:t>la Federación Minera</w:t>
        </w:r>
      </w:smartTag>
      <w:r w:rsidRPr="00B034EE">
        <w:rPr>
          <w:rFonts w:ascii="Verdana" w:hAnsi="Verdana"/>
          <w:sz w:val="20"/>
          <w:szCs w:val="20"/>
          <w:lang w:val="es-ES_tradnl"/>
        </w:rPr>
        <w:t>, recibiría dicha suma para lue</w:t>
      </w:r>
      <w:r w:rsidRPr="00B034EE">
        <w:rPr>
          <w:rFonts w:ascii="Verdana" w:hAnsi="Verdana"/>
          <w:sz w:val="20"/>
          <w:szCs w:val="20"/>
          <w:lang w:val="es-ES_tradnl"/>
        </w:rPr>
        <w:t>go “</w:t>
      </w:r>
      <w:r w:rsidRPr="006309F3">
        <w:rPr>
          <w:rFonts w:ascii="Verdana" w:hAnsi="Verdana"/>
          <w:sz w:val="20"/>
          <w:lang w:val="es-CL"/>
        </w:rPr>
        <w:t xml:space="preserve">disponer de la misma para los efectos que </w:t>
      </w:r>
      <w:proofErr w:type="gramStart"/>
      <w:r w:rsidRPr="006309F3">
        <w:rPr>
          <w:rFonts w:ascii="Verdana" w:hAnsi="Verdana"/>
          <w:sz w:val="20"/>
          <w:lang w:val="es-CL"/>
        </w:rPr>
        <w:t>estim[</w:t>
      </w:r>
      <w:proofErr w:type="gramEnd"/>
      <w:r w:rsidRPr="006309F3">
        <w:rPr>
          <w:rFonts w:ascii="Verdana" w:hAnsi="Verdana"/>
          <w:sz w:val="20"/>
          <w:lang w:val="es-CL"/>
        </w:rPr>
        <w:t>ara] pertinentes”.</w:t>
      </w:r>
      <w:r w:rsidRPr="00B034EE">
        <w:rPr>
          <w:rFonts w:ascii="Verdana" w:hAnsi="Verdana"/>
          <w:sz w:val="20"/>
          <w:szCs w:val="20"/>
          <w:lang w:val="es-ES_tradnl"/>
        </w:rPr>
        <w:t xml:space="preserve"> </w:t>
      </w:r>
    </w:p>
    <w:p w:rsidR="004D7A6E" w:rsidRDefault="00E51623"/>
    <w:p w:rsidR="004D7A6E" w:rsidRPr="004E3A0D" w:rsidRDefault="00E51623">
      <w:pPr>
        <w:jc w:val="both"/>
        <w:rPr>
          <w:rFonts w:ascii="Verdana" w:hAnsi="Verdana"/>
          <w:sz w:val="20"/>
          <w:lang w:val="es-ES_tradnl"/>
        </w:rPr>
      </w:pPr>
      <w:r w:rsidRPr="006309F3">
        <w:rPr>
          <w:rFonts w:ascii="Verdana" w:hAnsi="Verdana"/>
          <w:sz w:val="20"/>
          <w:szCs w:val="20"/>
          <w:lang w:val="es-ES_tradnl"/>
        </w:rPr>
        <w:t>23.</w:t>
      </w:r>
      <w:r w:rsidRPr="006309F3">
        <w:rPr>
          <w:rFonts w:ascii="Verdana" w:hAnsi="Verdana"/>
          <w:sz w:val="20"/>
          <w:szCs w:val="20"/>
          <w:lang w:val="es-ES_tradnl"/>
        </w:rPr>
        <w:tab/>
      </w:r>
      <w:r w:rsidRPr="008A5C11">
        <w:rPr>
          <w:rFonts w:ascii="Verdana" w:hAnsi="Verdana"/>
          <w:sz w:val="20"/>
          <w:lang w:val="es-ES_tradnl"/>
        </w:rPr>
        <w:t xml:space="preserve">De conformidad con lo anteriormente señalado, el Tribunal ha determinado el sentido y el alcance de lo dispuesto en el párrafo 187 de </w:t>
      </w:r>
      <w:smartTag w:uri="urn:schemas-microsoft-com:office:smarttags" w:element="PersonName">
        <w:smartTagPr>
          <w:attr w:name="ProductID" w:val="la Sentencia"/>
        </w:smartTagPr>
        <w:r w:rsidRPr="008A5C11">
          <w:rPr>
            <w:rFonts w:ascii="Verdana" w:hAnsi="Verdana"/>
            <w:sz w:val="20"/>
            <w:lang w:val="es-ES_tradnl"/>
          </w:rPr>
          <w:t>la Sentencia</w:t>
        </w:r>
      </w:smartTag>
      <w:r w:rsidRPr="008A5C11">
        <w:rPr>
          <w:rFonts w:ascii="Verdana" w:hAnsi="Verdana"/>
          <w:sz w:val="20"/>
          <w:lang w:val="es-ES_tradnl"/>
        </w:rPr>
        <w:t xml:space="preserve"> de excepción preliminar, fondo, </w:t>
      </w:r>
      <w:r w:rsidRPr="008A5C11">
        <w:rPr>
          <w:rFonts w:ascii="Verdana" w:hAnsi="Verdana"/>
          <w:sz w:val="20"/>
          <w:lang w:val="es-ES_tradnl"/>
        </w:rPr>
        <w:t>reparaciones y costas en el presente caso.</w:t>
      </w:r>
    </w:p>
    <w:p w:rsidR="004D7A6E" w:rsidRPr="004E3A0D" w:rsidRDefault="00E51623">
      <w:pPr>
        <w:rPr>
          <w:rFonts w:ascii="Verdana" w:hAnsi="Verdana"/>
          <w:strike/>
          <w:sz w:val="20"/>
          <w:szCs w:val="20"/>
          <w:lang w:val="es-ES_tradnl"/>
        </w:rPr>
      </w:pPr>
    </w:p>
    <w:p w:rsidR="004D7A6E" w:rsidRPr="001A46B1" w:rsidRDefault="00E51623">
      <w:pPr>
        <w:spacing w:after="160"/>
        <w:rPr>
          <w:rFonts w:ascii="Verdana" w:hAnsi="Verdana"/>
          <w:sz w:val="20"/>
          <w:szCs w:val="20"/>
          <w:lang w:val="es-ES_tradnl"/>
        </w:rPr>
      </w:pPr>
    </w:p>
    <w:p w:rsidR="004D7A6E" w:rsidRDefault="00E51623">
      <w:pPr>
        <w:spacing w:after="160"/>
        <w:jc w:val="center"/>
        <w:rPr>
          <w:rFonts w:ascii="Verdana" w:hAnsi="Verdana"/>
          <w:b/>
          <w:smallCaps/>
          <w:sz w:val="20"/>
          <w:szCs w:val="20"/>
          <w:lang w:val="es-ES_tradnl"/>
        </w:rPr>
      </w:pPr>
      <w:r>
        <w:rPr>
          <w:rFonts w:ascii="Verdana" w:hAnsi="Verdana"/>
          <w:b/>
          <w:smallCaps/>
          <w:sz w:val="20"/>
          <w:szCs w:val="20"/>
          <w:lang w:val="es-ES_tradnl"/>
        </w:rPr>
        <w:t>VI</w:t>
      </w:r>
    </w:p>
    <w:p w:rsidR="004D7A6E" w:rsidRPr="00840C3A" w:rsidRDefault="00E51623">
      <w:pPr>
        <w:spacing w:after="160"/>
        <w:ind w:firstLine="708"/>
        <w:jc w:val="center"/>
        <w:rPr>
          <w:rFonts w:ascii="Verdana" w:hAnsi="Verdana"/>
          <w:b/>
          <w:smallCaps/>
          <w:sz w:val="20"/>
          <w:szCs w:val="20"/>
          <w:lang w:val="es-ES_tradnl"/>
        </w:rPr>
      </w:pPr>
      <w:r w:rsidRPr="00840C3A">
        <w:rPr>
          <w:rFonts w:ascii="Verdana" w:hAnsi="Verdana"/>
          <w:b/>
          <w:smallCaps/>
          <w:sz w:val="20"/>
          <w:szCs w:val="20"/>
          <w:lang w:val="es-ES_tradnl"/>
        </w:rPr>
        <w:t xml:space="preserve">Sobre </w:t>
      </w:r>
      <w:smartTag w:uri="urn:schemas-microsoft-com:office:smarttags" w:element="PersonName">
        <w:smartTagPr>
          <w:attr w:name="ProductID" w:val="LA SITUACIￓN DE"/>
        </w:smartTagPr>
        <w:r w:rsidRPr="00840C3A">
          <w:rPr>
            <w:rFonts w:ascii="Verdana" w:hAnsi="Verdana"/>
            <w:b/>
            <w:smallCaps/>
            <w:sz w:val="20"/>
            <w:szCs w:val="20"/>
            <w:lang w:val="es-ES_tradnl"/>
          </w:rPr>
          <w:t>la situación de</w:t>
        </w:r>
      </w:smartTag>
      <w:r w:rsidRPr="00840C3A">
        <w:rPr>
          <w:rFonts w:ascii="Verdana" w:hAnsi="Verdana"/>
          <w:b/>
          <w:smallCaps/>
          <w:sz w:val="20"/>
          <w:szCs w:val="20"/>
          <w:lang w:val="es-ES_tradnl"/>
        </w:rPr>
        <w:t xml:space="preserve"> </w:t>
      </w:r>
      <w:smartTag w:uri="urn:schemas-microsoft-com:office:smarttags" w:element="PersonName">
        <w:smartTagPr>
          <w:attr w:name="ProductID" w:val="LA SE￑ORA ELISA"/>
        </w:smartTagPr>
        <w:r w:rsidRPr="00840C3A">
          <w:rPr>
            <w:rFonts w:ascii="Verdana" w:hAnsi="Verdana"/>
            <w:b/>
            <w:smallCaps/>
            <w:sz w:val="20"/>
            <w:szCs w:val="20"/>
            <w:lang w:val="es-ES_tradnl"/>
          </w:rPr>
          <w:t>la señora Elisa</w:t>
        </w:r>
      </w:smartTag>
      <w:r w:rsidRPr="00840C3A">
        <w:rPr>
          <w:rFonts w:ascii="Verdana" w:hAnsi="Verdana"/>
          <w:b/>
          <w:smallCaps/>
          <w:sz w:val="20"/>
          <w:szCs w:val="20"/>
          <w:lang w:val="es-ES_tradnl"/>
        </w:rPr>
        <w:t xml:space="preserve"> Huamaní Infanzón </w:t>
      </w:r>
    </w:p>
    <w:p w:rsidR="004D7A6E" w:rsidRDefault="00E51623">
      <w:pPr>
        <w:spacing w:after="160"/>
        <w:jc w:val="both"/>
        <w:rPr>
          <w:rFonts w:ascii="Verdana" w:hAnsi="Verdana"/>
          <w:sz w:val="20"/>
          <w:szCs w:val="20"/>
          <w:lang w:val="es-ES_tradnl"/>
        </w:rPr>
      </w:pPr>
    </w:p>
    <w:p w:rsidR="004D7A6E" w:rsidRDefault="00E51623">
      <w:pPr>
        <w:spacing w:after="160"/>
        <w:jc w:val="both"/>
        <w:rPr>
          <w:rFonts w:ascii="Verdana" w:hAnsi="Verdana"/>
          <w:sz w:val="20"/>
          <w:szCs w:val="20"/>
          <w:lang w:val="es-ES_tradnl"/>
        </w:rPr>
      </w:pPr>
      <w:r>
        <w:rPr>
          <w:rFonts w:ascii="Verdana" w:hAnsi="Verdana"/>
          <w:sz w:val="20"/>
          <w:szCs w:val="20"/>
          <w:lang w:val="es-ES_tradnl"/>
        </w:rPr>
        <w:t>24.</w:t>
      </w:r>
      <w:r>
        <w:rPr>
          <w:rFonts w:ascii="Verdana" w:hAnsi="Verdana"/>
          <w:sz w:val="20"/>
          <w:szCs w:val="20"/>
          <w:lang w:val="es-ES_tradnl"/>
        </w:rPr>
        <w:tab/>
        <w:t xml:space="preserve">El Estado informó en su demanda de interpretación que de acuerdo a sus registros “la señora Elisa Huamaní de Cantoral […] se encuentra [viva], sin </w:t>
      </w:r>
      <w:r>
        <w:rPr>
          <w:rFonts w:ascii="Verdana" w:hAnsi="Verdana"/>
          <w:sz w:val="20"/>
          <w:szCs w:val="20"/>
          <w:lang w:val="es-ES_tradnl"/>
        </w:rPr>
        <w:t xml:space="preserve">embargo, de acuerdo a </w:t>
      </w:r>
      <w:smartTag w:uri="urn:schemas-microsoft-com:office:smarttags" w:element="PersonName">
        <w:smartTagPr>
          <w:attr w:name="ProductID" w:val="la Sentencia"/>
        </w:smartTagPr>
        <w:r>
          <w:rPr>
            <w:rFonts w:ascii="Verdana" w:hAnsi="Verdana"/>
            <w:sz w:val="20"/>
            <w:szCs w:val="20"/>
            <w:lang w:val="es-ES_tradnl"/>
          </w:rPr>
          <w:t>la Sentencia</w:t>
        </w:r>
      </w:smartTag>
      <w:r>
        <w:rPr>
          <w:rFonts w:ascii="Verdana" w:hAnsi="Verdana"/>
          <w:sz w:val="20"/>
          <w:szCs w:val="20"/>
          <w:lang w:val="es-ES_tradnl"/>
        </w:rPr>
        <w:t xml:space="preserve"> de </w:t>
      </w:r>
      <w:smartTag w:uri="urn:schemas-microsoft-com:office:smarttags" w:element="PersonName">
        <w:smartTagPr>
          <w:attr w:name="ProductID" w:val="la Corte"/>
        </w:smartTagPr>
        <w:r>
          <w:rPr>
            <w:rFonts w:ascii="Verdana" w:hAnsi="Verdana"/>
            <w:sz w:val="20"/>
            <w:szCs w:val="20"/>
            <w:lang w:val="es-ES_tradnl"/>
          </w:rPr>
          <w:t>la Corte</w:t>
        </w:r>
      </w:smartTag>
      <w:r>
        <w:rPr>
          <w:rFonts w:ascii="Verdana" w:hAnsi="Verdana"/>
          <w:sz w:val="20"/>
          <w:szCs w:val="20"/>
          <w:lang w:val="es-ES_tradnl"/>
        </w:rPr>
        <w:t xml:space="preserve">, la citada señora tendría la condición de fallecida. En tal sentido, […] solicit[ó] que </w:t>
      </w:r>
      <w:smartTag w:uri="urn:schemas-microsoft-com:office:smarttags" w:element="PersonName">
        <w:smartTagPr>
          <w:attr w:name="ProductID" w:val="la Corte"/>
        </w:smartTagPr>
        <w:r>
          <w:rPr>
            <w:rFonts w:ascii="Verdana" w:hAnsi="Verdana"/>
            <w:sz w:val="20"/>
            <w:szCs w:val="20"/>
            <w:lang w:val="es-ES_tradnl"/>
          </w:rPr>
          <w:t>la Corte</w:t>
        </w:r>
      </w:smartTag>
      <w:r>
        <w:rPr>
          <w:rFonts w:ascii="Verdana" w:hAnsi="Verdana"/>
          <w:sz w:val="20"/>
          <w:szCs w:val="20"/>
          <w:lang w:val="es-ES_tradnl"/>
        </w:rPr>
        <w:t xml:space="preserve"> precise la situación fáctica de la misma, dado que de lo actuado en el proceso este extremo de la sentencia podr</w:t>
      </w:r>
      <w:r>
        <w:rPr>
          <w:rFonts w:ascii="Verdana" w:hAnsi="Verdana"/>
          <w:sz w:val="20"/>
          <w:szCs w:val="20"/>
          <w:lang w:val="es-ES_tradnl"/>
        </w:rPr>
        <w:t>ía ser erróneo”.</w:t>
      </w:r>
    </w:p>
    <w:p w:rsidR="004D7A6E" w:rsidRPr="00D124B2" w:rsidRDefault="00E51623">
      <w:pPr>
        <w:spacing w:after="160"/>
        <w:jc w:val="both"/>
        <w:rPr>
          <w:rFonts w:ascii="Verdana" w:hAnsi="Verdana"/>
          <w:sz w:val="20"/>
          <w:szCs w:val="20"/>
          <w:lang w:val="es-ES_tradnl"/>
        </w:rPr>
      </w:pPr>
    </w:p>
    <w:p w:rsidR="004D7A6E" w:rsidRPr="00D124B2" w:rsidRDefault="00E51623">
      <w:pPr>
        <w:spacing w:after="140"/>
        <w:jc w:val="both"/>
        <w:rPr>
          <w:rFonts w:ascii="Verdana" w:hAnsi="Verdana"/>
          <w:sz w:val="20"/>
          <w:szCs w:val="20"/>
          <w:lang w:val="es-ES_tradnl"/>
        </w:rPr>
      </w:pPr>
      <w:r w:rsidRPr="00D124B2">
        <w:rPr>
          <w:rFonts w:ascii="Verdana" w:hAnsi="Verdana"/>
          <w:sz w:val="20"/>
          <w:szCs w:val="20"/>
          <w:lang w:val="es-ES_tradnl"/>
        </w:rPr>
        <w:t>25.</w:t>
      </w:r>
      <w:r w:rsidRPr="00D124B2">
        <w:rPr>
          <w:rFonts w:ascii="Verdana" w:hAnsi="Verdana"/>
          <w:sz w:val="20"/>
          <w:szCs w:val="20"/>
          <w:lang w:val="es-ES_tradnl"/>
        </w:rPr>
        <w:tab/>
      </w:r>
      <w:smartTag w:uri="urn:schemas-microsoft-com:office:smarttags" w:element="PersonName">
        <w:smartTagPr>
          <w:attr w:name="ProductID" w:val="la Comisi￳n Interamericana"/>
        </w:smartTagPr>
        <w:r w:rsidRPr="00D124B2">
          <w:rPr>
            <w:rFonts w:ascii="Verdana" w:hAnsi="Verdana"/>
            <w:sz w:val="20"/>
            <w:szCs w:val="20"/>
            <w:lang w:val="es-ES_tradnl"/>
          </w:rPr>
          <w:t>La Comisión Interamericana</w:t>
        </w:r>
      </w:smartTag>
      <w:r w:rsidRPr="00D124B2">
        <w:rPr>
          <w:rFonts w:ascii="Verdana" w:hAnsi="Verdana"/>
          <w:sz w:val="20"/>
          <w:szCs w:val="20"/>
          <w:lang w:val="es-ES_tradnl"/>
        </w:rPr>
        <w:t xml:space="preserve"> observó que “tal como quedara demostrado ante </w:t>
      </w:r>
      <w:smartTag w:uri="urn:schemas-microsoft-com:office:smarttags" w:element="PersonName">
        <w:smartTagPr>
          <w:attr w:name="ProductID" w:val="la Corte"/>
        </w:smartTagPr>
        <w:r w:rsidRPr="00D124B2">
          <w:rPr>
            <w:rFonts w:ascii="Verdana" w:hAnsi="Verdana"/>
            <w:sz w:val="20"/>
            <w:szCs w:val="20"/>
            <w:lang w:val="es-ES_tradnl"/>
          </w:rPr>
          <w:t>la Corte</w:t>
        </w:r>
      </w:smartTag>
      <w:r w:rsidRPr="00D124B2">
        <w:rPr>
          <w:rFonts w:ascii="Verdana" w:hAnsi="Verdana"/>
          <w:sz w:val="20"/>
          <w:szCs w:val="20"/>
          <w:lang w:val="es-ES_tradnl"/>
        </w:rPr>
        <w:t xml:space="preserve"> por prueba documental, testimonial y pericial pertinente, la señora [</w:t>
      </w:r>
      <w:r>
        <w:rPr>
          <w:rFonts w:ascii="Verdana" w:hAnsi="Verdana"/>
          <w:sz w:val="20"/>
          <w:szCs w:val="20"/>
          <w:lang w:val="es-ES_tradnl"/>
        </w:rPr>
        <w:t>Elisa Huamaní de Cantoral</w:t>
      </w:r>
      <w:r w:rsidRPr="00D124B2">
        <w:rPr>
          <w:rFonts w:ascii="Verdana" w:hAnsi="Verdana"/>
          <w:sz w:val="20"/>
          <w:szCs w:val="20"/>
          <w:lang w:val="es-ES_tradnl"/>
        </w:rPr>
        <w:t>] falleció el 17 de agosto de 1989, es decir, con posterio</w:t>
      </w:r>
      <w:r w:rsidRPr="00D124B2">
        <w:rPr>
          <w:rFonts w:ascii="Verdana" w:hAnsi="Verdana"/>
          <w:sz w:val="20"/>
          <w:szCs w:val="20"/>
          <w:lang w:val="es-ES_tradnl"/>
        </w:rPr>
        <w:t xml:space="preserve">ridad a la ejecución extrajudicial de su hijo y, de acuerdo a los testimonios [rendidos en este caso], como consecuencia de los sufrimientos causados por este hecho”. </w:t>
      </w:r>
      <w:smartTag w:uri="urn:schemas-microsoft-com:office:smarttags" w:element="PersonName">
        <w:smartTagPr>
          <w:attr w:name="ProductID" w:val="la Comisi￳n"/>
        </w:smartTagPr>
        <w:r w:rsidRPr="00D124B2">
          <w:rPr>
            <w:rFonts w:ascii="Verdana" w:hAnsi="Verdana"/>
            <w:sz w:val="20"/>
            <w:szCs w:val="20"/>
            <w:lang w:val="es-ES_tradnl"/>
          </w:rPr>
          <w:t>La Comisión</w:t>
        </w:r>
      </w:smartTag>
      <w:r w:rsidRPr="00D124B2">
        <w:rPr>
          <w:rFonts w:ascii="Verdana" w:hAnsi="Verdana"/>
          <w:sz w:val="20"/>
          <w:szCs w:val="20"/>
          <w:lang w:val="es-ES_tradnl"/>
        </w:rPr>
        <w:t xml:space="preserve"> </w:t>
      </w:r>
      <w:r w:rsidRPr="00D124B2">
        <w:rPr>
          <w:rFonts w:ascii="Verdana" w:hAnsi="Verdana"/>
          <w:sz w:val="20"/>
          <w:szCs w:val="20"/>
          <w:lang w:val="es-ES_tradnl"/>
        </w:rPr>
        <w:lastRenderedPageBreak/>
        <w:t>“resalt[ó] que el certificado de defunción remitido no fue objetado durante e</w:t>
      </w:r>
      <w:r w:rsidRPr="00D124B2">
        <w:rPr>
          <w:rFonts w:ascii="Verdana" w:hAnsi="Verdana"/>
          <w:sz w:val="20"/>
          <w:szCs w:val="20"/>
          <w:lang w:val="es-ES_tradnl"/>
        </w:rPr>
        <w:t xml:space="preserve">l litigio del caso ante </w:t>
      </w:r>
      <w:smartTag w:uri="urn:schemas-microsoft-com:office:smarttags" w:element="PersonName">
        <w:smartTagPr>
          <w:attr w:name="ProductID" w:val="la Corte"/>
        </w:smartTagPr>
        <w:r w:rsidRPr="00D124B2">
          <w:rPr>
            <w:rFonts w:ascii="Verdana" w:hAnsi="Verdana"/>
            <w:sz w:val="20"/>
            <w:szCs w:val="20"/>
            <w:lang w:val="es-ES_tradnl"/>
          </w:rPr>
          <w:t>la Corte</w:t>
        </w:r>
      </w:smartTag>
      <w:r w:rsidRPr="00D124B2">
        <w:rPr>
          <w:rFonts w:ascii="Verdana" w:hAnsi="Verdana"/>
          <w:sz w:val="20"/>
          <w:szCs w:val="20"/>
          <w:lang w:val="es-ES_tradnl"/>
        </w:rPr>
        <w:t xml:space="preserve">”. Por lo tanto, </w:t>
      </w:r>
      <w:smartTag w:uri="urn:schemas-microsoft-com:office:smarttags" w:element="PersonName">
        <w:smartTagPr>
          <w:attr w:name="ProductID" w:val="la Comisi￳n"/>
        </w:smartTagPr>
        <w:r w:rsidRPr="00D124B2">
          <w:rPr>
            <w:rFonts w:ascii="Verdana" w:hAnsi="Verdana"/>
            <w:sz w:val="20"/>
            <w:szCs w:val="20"/>
            <w:lang w:val="es-ES_tradnl"/>
          </w:rPr>
          <w:t>la Comisión</w:t>
        </w:r>
      </w:smartTag>
      <w:r w:rsidRPr="00D124B2">
        <w:rPr>
          <w:rFonts w:ascii="Verdana" w:hAnsi="Verdana"/>
          <w:sz w:val="20"/>
          <w:szCs w:val="20"/>
          <w:lang w:val="es-ES_tradnl"/>
        </w:rPr>
        <w:t xml:space="preserve"> concluyó que “siendo claro el alcance y el contenido de lo dispuesto en el párrafo 185 de </w:t>
      </w:r>
      <w:smartTag w:uri="urn:schemas-microsoft-com:office:smarttags" w:element="PersonName">
        <w:smartTagPr>
          <w:attr w:name="ProductID" w:val="la Sentencia"/>
        </w:smartTagPr>
        <w:r w:rsidRPr="00D124B2">
          <w:rPr>
            <w:rFonts w:ascii="Verdana" w:hAnsi="Verdana"/>
            <w:sz w:val="20"/>
            <w:szCs w:val="20"/>
            <w:lang w:val="es-ES_tradnl"/>
          </w:rPr>
          <w:t>la Sentencia</w:t>
        </w:r>
      </w:smartTag>
      <w:r w:rsidRPr="00D124B2">
        <w:rPr>
          <w:rFonts w:ascii="Verdana" w:hAnsi="Verdana"/>
          <w:sz w:val="20"/>
          <w:szCs w:val="20"/>
          <w:lang w:val="es-ES_tradnl"/>
        </w:rPr>
        <w:t xml:space="preserve">, no es procedente la interpretación solicitada”.  </w:t>
      </w:r>
    </w:p>
    <w:p w:rsidR="004D7A6E" w:rsidRPr="00D124B2" w:rsidRDefault="00E51623">
      <w:pPr>
        <w:spacing w:after="140"/>
        <w:jc w:val="both"/>
        <w:rPr>
          <w:rFonts w:ascii="Verdana" w:hAnsi="Verdana"/>
          <w:sz w:val="20"/>
          <w:szCs w:val="20"/>
          <w:lang w:val="es-ES_tradnl"/>
        </w:rPr>
      </w:pPr>
    </w:p>
    <w:p w:rsidR="004D7A6E" w:rsidRPr="00D124B2" w:rsidRDefault="00E51623">
      <w:pPr>
        <w:spacing w:after="140"/>
        <w:jc w:val="both"/>
        <w:rPr>
          <w:rFonts w:ascii="Verdana" w:hAnsi="Verdana"/>
          <w:sz w:val="20"/>
          <w:szCs w:val="20"/>
          <w:lang w:val="es-ES_tradnl"/>
        </w:rPr>
      </w:pPr>
      <w:r w:rsidRPr="00D124B2">
        <w:rPr>
          <w:rFonts w:ascii="Verdana" w:hAnsi="Verdana"/>
          <w:sz w:val="20"/>
          <w:szCs w:val="20"/>
          <w:lang w:val="es-ES_tradnl"/>
        </w:rPr>
        <w:t>26.</w:t>
      </w:r>
      <w:r w:rsidRPr="00D124B2">
        <w:rPr>
          <w:rFonts w:ascii="Verdana" w:hAnsi="Verdana"/>
          <w:sz w:val="20"/>
          <w:szCs w:val="20"/>
          <w:lang w:val="es-ES_tradnl"/>
        </w:rPr>
        <w:tab/>
        <w:t xml:space="preserve">Los representantes manifestaron que </w:t>
      </w:r>
      <w:r w:rsidRPr="00D124B2">
        <w:rPr>
          <w:rFonts w:ascii="Verdana" w:hAnsi="Verdana"/>
          <w:sz w:val="20"/>
          <w:szCs w:val="20"/>
          <w:lang w:val="es-ES_tradnl"/>
        </w:rPr>
        <w:t xml:space="preserve">“no cabe interpretación alguna respecto a la condición de beneficiaria de </w:t>
      </w:r>
      <w:smartTag w:uri="urn:schemas-microsoft-com:office:smarttags" w:element="PersonName">
        <w:smartTagPr>
          <w:attr w:name="ProductID" w:val="la Sra. Elisa"/>
        </w:smartTagPr>
        <w:r w:rsidRPr="00D124B2">
          <w:rPr>
            <w:rFonts w:ascii="Verdana" w:hAnsi="Verdana"/>
            <w:sz w:val="20"/>
            <w:szCs w:val="20"/>
            <w:lang w:val="es-ES_tradnl"/>
          </w:rPr>
          <w:t>la Sra. Elisa</w:t>
        </w:r>
      </w:smartTag>
      <w:r w:rsidRPr="00D124B2">
        <w:rPr>
          <w:rFonts w:ascii="Verdana" w:hAnsi="Verdana"/>
          <w:sz w:val="20"/>
          <w:szCs w:val="20"/>
          <w:lang w:val="es-ES_tradnl"/>
        </w:rPr>
        <w:t xml:space="preserve"> Huamaní Infanzón”. Asimismo, indicaron que “esta representación hizo llegar a </w:t>
      </w:r>
      <w:smartTag w:uri="urn:schemas-microsoft-com:office:smarttags" w:element="PersonName">
        <w:smartTagPr>
          <w:attr w:name="ProductID" w:val="la Corte"/>
        </w:smartTagPr>
        <w:r w:rsidRPr="00D124B2">
          <w:rPr>
            <w:rFonts w:ascii="Verdana" w:hAnsi="Verdana"/>
            <w:sz w:val="20"/>
            <w:szCs w:val="20"/>
            <w:lang w:val="es-ES_tradnl"/>
          </w:rPr>
          <w:t>la Corte</w:t>
        </w:r>
      </w:smartTag>
      <w:r w:rsidRPr="00D124B2">
        <w:rPr>
          <w:rFonts w:ascii="Verdana" w:hAnsi="Verdana"/>
          <w:sz w:val="20"/>
          <w:szCs w:val="20"/>
          <w:lang w:val="es-ES_tradnl"/>
        </w:rPr>
        <w:t xml:space="preserve"> la partida de defunción de </w:t>
      </w:r>
      <w:smartTag w:uri="urn:schemas-microsoft-com:office:smarttags" w:element="PersonName">
        <w:smartTagPr>
          <w:attr w:name="ProductID" w:val="la Sra. Elisa"/>
        </w:smartTagPr>
        <w:r w:rsidRPr="00D124B2">
          <w:rPr>
            <w:rFonts w:ascii="Verdana" w:hAnsi="Verdana"/>
            <w:sz w:val="20"/>
            <w:szCs w:val="20"/>
            <w:lang w:val="es-ES_tradnl"/>
          </w:rPr>
          <w:t>la Sra. Elisa</w:t>
        </w:r>
      </w:smartTag>
      <w:r w:rsidRPr="00D124B2">
        <w:rPr>
          <w:rFonts w:ascii="Verdana" w:hAnsi="Verdana"/>
          <w:sz w:val="20"/>
          <w:szCs w:val="20"/>
          <w:lang w:val="es-ES_tradnl"/>
        </w:rPr>
        <w:t xml:space="preserve"> Huamaní Infanzón donde consta que fallec</w:t>
      </w:r>
      <w:r w:rsidRPr="00D124B2">
        <w:rPr>
          <w:rFonts w:ascii="Verdana" w:hAnsi="Verdana"/>
          <w:sz w:val="20"/>
          <w:szCs w:val="20"/>
          <w:lang w:val="es-ES_tradnl"/>
        </w:rPr>
        <w:t xml:space="preserve">ió el 17 de agosto de 1989, es decir, a 6 meses de la muerte de Saúl Cantoral, documentación que fue presentada por los representantes de las víctimas a </w:t>
      </w:r>
      <w:smartTag w:uri="urn:schemas-microsoft-com:office:smarttags" w:element="PersonName">
        <w:smartTagPr>
          <w:attr w:name="ProductID" w:val="la Corte"/>
        </w:smartTagPr>
        <w:r w:rsidRPr="00D124B2">
          <w:rPr>
            <w:rFonts w:ascii="Verdana" w:hAnsi="Verdana"/>
            <w:sz w:val="20"/>
            <w:szCs w:val="20"/>
            <w:lang w:val="es-ES_tradnl"/>
          </w:rPr>
          <w:t>la Corte</w:t>
        </w:r>
      </w:smartTag>
      <w:r w:rsidRPr="00D124B2">
        <w:rPr>
          <w:rFonts w:ascii="Verdana" w:hAnsi="Verdana"/>
          <w:sz w:val="20"/>
          <w:szCs w:val="20"/>
          <w:lang w:val="es-ES_tradnl"/>
        </w:rPr>
        <w:t xml:space="preserve"> como prueba para mejor resolver junto con los alegatos escritos presentados mediante comunicac</w:t>
      </w:r>
      <w:r w:rsidRPr="00D124B2">
        <w:rPr>
          <w:rFonts w:ascii="Verdana" w:hAnsi="Verdana"/>
          <w:sz w:val="20"/>
          <w:szCs w:val="20"/>
          <w:lang w:val="es-ES_tradnl"/>
        </w:rPr>
        <w:t>ión de fecha 23 de febrero de 2007. Este hecho también fue mencionado por Ulises Cantoral Huamaní en la audiencia pública celebrada [en] el presente caso”. Por ello, consideraron que el citado argumento del Estado “constituye un cuestionamiento a lo resuel</w:t>
      </w:r>
      <w:r w:rsidRPr="00D124B2">
        <w:rPr>
          <w:rFonts w:ascii="Verdana" w:hAnsi="Verdana"/>
          <w:sz w:val="20"/>
          <w:szCs w:val="20"/>
          <w:lang w:val="es-ES_tradnl"/>
        </w:rPr>
        <w:t xml:space="preserve">to por </w:t>
      </w:r>
      <w:smartTag w:uri="urn:schemas-microsoft-com:office:smarttags" w:element="PersonName">
        <w:smartTagPr>
          <w:attr w:name="ProductID" w:val="la Corte"/>
        </w:smartTagPr>
        <w:r w:rsidRPr="00D124B2">
          <w:rPr>
            <w:rFonts w:ascii="Verdana" w:hAnsi="Verdana"/>
            <w:sz w:val="20"/>
            <w:szCs w:val="20"/>
            <w:lang w:val="es-ES_tradnl"/>
          </w:rPr>
          <w:t xml:space="preserve">la </w:t>
        </w:r>
        <w:proofErr w:type="gramStart"/>
        <w:r w:rsidRPr="00D124B2">
          <w:rPr>
            <w:rFonts w:ascii="Verdana" w:hAnsi="Verdana"/>
            <w:sz w:val="20"/>
            <w:szCs w:val="20"/>
            <w:lang w:val="es-ES_tradnl"/>
          </w:rPr>
          <w:t>Corte</w:t>
        </w:r>
      </w:smartTag>
      <w:r w:rsidRPr="00D124B2">
        <w:rPr>
          <w:rFonts w:ascii="Verdana" w:hAnsi="Verdana"/>
          <w:sz w:val="20"/>
          <w:szCs w:val="20"/>
          <w:lang w:val="es-ES_tradnl"/>
        </w:rPr>
        <w:t>[</w:t>
      </w:r>
      <w:proofErr w:type="gramEnd"/>
      <w:r w:rsidRPr="00D124B2">
        <w:rPr>
          <w:rFonts w:ascii="Verdana" w:hAnsi="Verdana"/>
          <w:sz w:val="20"/>
          <w:szCs w:val="20"/>
          <w:lang w:val="es-ES_tradnl"/>
        </w:rPr>
        <w:t xml:space="preserve">…], siendo por tal razón, ajeno a la finalidad de la demanda de interpretación de sentencia”. </w:t>
      </w:r>
    </w:p>
    <w:p w:rsidR="004D7A6E" w:rsidRPr="00D124B2" w:rsidRDefault="00E51623">
      <w:pPr>
        <w:spacing w:after="140"/>
        <w:jc w:val="both"/>
        <w:rPr>
          <w:rFonts w:ascii="Verdana" w:hAnsi="Verdana"/>
          <w:sz w:val="20"/>
          <w:szCs w:val="20"/>
          <w:lang w:val="es-ES_tradnl"/>
        </w:rPr>
      </w:pPr>
    </w:p>
    <w:p w:rsidR="004D7A6E" w:rsidRPr="006309F3" w:rsidRDefault="00E51623">
      <w:pPr>
        <w:spacing w:after="140"/>
        <w:jc w:val="both"/>
        <w:rPr>
          <w:rFonts w:ascii="Verdana" w:hAnsi="Verdana"/>
          <w:sz w:val="20"/>
          <w:szCs w:val="20"/>
          <w:lang w:val="es-ES_tradnl"/>
        </w:rPr>
      </w:pPr>
      <w:r w:rsidRPr="00D124B2">
        <w:rPr>
          <w:rFonts w:ascii="Verdana" w:hAnsi="Verdana"/>
          <w:sz w:val="20"/>
          <w:szCs w:val="20"/>
          <w:lang w:val="es-ES_tradnl"/>
        </w:rPr>
        <w:t>27.</w:t>
      </w:r>
      <w:r w:rsidRPr="00D124B2">
        <w:rPr>
          <w:rFonts w:ascii="Verdana" w:hAnsi="Verdana"/>
          <w:sz w:val="20"/>
          <w:szCs w:val="20"/>
          <w:lang w:val="es-ES_tradnl"/>
        </w:rPr>
        <w:tab/>
        <w:t>Respecto de lo cuestionado por el Estado, en el sentido de que podría “ser erróne[a]” la información sobre el fallecimiento de la madre de S</w:t>
      </w:r>
      <w:r w:rsidRPr="00D124B2">
        <w:rPr>
          <w:rFonts w:ascii="Verdana" w:hAnsi="Verdana"/>
          <w:sz w:val="20"/>
          <w:szCs w:val="20"/>
          <w:lang w:val="es-ES_tradnl"/>
        </w:rPr>
        <w:t xml:space="preserve">aúl Cantoral Huamaní, </w:t>
      </w:r>
      <w:smartTag w:uri="urn:schemas-microsoft-com:office:smarttags" w:element="PersonName">
        <w:smartTagPr>
          <w:attr w:name="ProductID" w:val="la Corte"/>
        </w:smartTagPr>
        <w:r w:rsidRPr="00D124B2">
          <w:rPr>
            <w:rFonts w:ascii="Verdana" w:hAnsi="Verdana"/>
            <w:sz w:val="20"/>
            <w:szCs w:val="20"/>
            <w:lang w:val="es-ES_tradnl"/>
          </w:rPr>
          <w:t>la Corte</w:t>
        </w:r>
      </w:smartTag>
      <w:r w:rsidRPr="00D124B2">
        <w:rPr>
          <w:rFonts w:ascii="Verdana" w:hAnsi="Verdana"/>
          <w:sz w:val="20"/>
          <w:szCs w:val="20"/>
          <w:lang w:val="es-ES_tradnl"/>
        </w:rPr>
        <w:t xml:space="preserve"> entiende que e</w:t>
      </w:r>
      <w:r w:rsidRPr="001A46B1">
        <w:rPr>
          <w:rFonts w:ascii="Verdana" w:hAnsi="Verdana"/>
          <w:sz w:val="20"/>
          <w:szCs w:val="20"/>
          <w:lang w:val="es-ES_tradnl"/>
        </w:rPr>
        <w:t>l Perú contó con el tiempo y la oportunidad procesal adecuados para ejercer su derecho de defensa sobre este aspecto en el trámite del fondo del presente caso. Según consta en la comunicación remitida el 14 de m</w:t>
      </w:r>
      <w:r w:rsidRPr="001A46B1">
        <w:rPr>
          <w:rFonts w:ascii="Verdana" w:hAnsi="Verdana"/>
          <w:sz w:val="20"/>
          <w:szCs w:val="20"/>
          <w:lang w:val="es-ES_tradnl"/>
        </w:rPr>
        <w:t xml:space="preserve">arzo de 2007 por </w:t>
      </w:r>
      <w:smartTag w:uri="urn:schemas-microsoft-com:office:smarttags" w:element="PersonName">
        <w:smartTagPr>
          <w:attr w:name="ProductID" w:val="la Secretar￭a"/>
        </w:smartTagPr>
        <w:r w:rsidRPr="001A46B1">
          <w:rPr>
            <w:rFonts w:ascii="Verdana" w:hAnsi="Verdana"/>
            <w:sz w:val="20"/>
            <w:szCs w:val="20"/>
            <w:lang w:val="es-ES_tradnl"/>
          </w:rPr>
          <w:t>la Secretaría</w:t>
        </w:r>
      </w:smartTag>
      <w:r w:rsidRPr="001A46B1">
        <w:rPr>
          <w:rFonts w:ascii="Verdana" w:hAnsi="Verdana"/>
          <w:sz w:val="20"/>
          <w:szCs w:val="20"/>
          <w:lang w:val="es-ES_tradnl"/>
        </w:rPr>
        <w:t xml:space="preserve"> de </w:t>
      </w:r>
      <w:smartTag w:uri="urn:schemas-microsoft-com:office:smarttags" w:element="PersonName">
        <w:smartTagPr>
          <w:attr w:name="ProductID" w:val="la Corte"/>
        </w:smartTagPr>
        <w:r w:rsidRPr="001A46B1">
          <w:rPr>
            <w:rFonts w:ascii="Verdana" w:hAnsi="Verdana"/>
            <w:sz w:val="20"/>
            <w:szCs w:val="20"/>
            <w:lang w:val="es-ES_tradnl"/>
          </w:rPr>
          <w:t>la Corte</w:t>
        </w:r>
      </w:smartTag>
      <w:r w:rsidRPr="001A46B1">
        <w:rPr>
          <w:rFonts w:ascii="Verdana" w:hAnsi="Verdana"/>
          <w:sz w:val="20"/>
          <w:szCs w:val="20"/>
          <w:lang w:val="es-ES_tradnl"/>
        </w:rPr>
        <w:t xml:space="preserve"> al Agente estatal, y recibida en </w:t>
      </w:r>
      <w:smartTag w:uri="urn:schemas-microsoft-com:office:smarttags" w:element="PersonName">
        <w:smartTagPr>
          <w:attr w:name="ProductID" w:val="la Embajada"/>
        </w:smartTagPr>
        <w:r w:rsidRPr="001A46B1">
          <w:rPr>
            <w:rFonts w:ascii="Verdana" w:hAnsi="Verdana"/>
            <w:sz w:val="20"/>
            <w:szCs w:val="20"/>
            <w:lang w:val="es-ES_tradnl"/>
          </w:rPr>
          <w:t>la Embajada</w:t>
        </w:r>
      </w:smartTag>
      <w:r w:rsidRPr="001A46B1">
        <w:rPr>
          <w:rFonts w:ascii="Verdana" w:hAnsi="Verdana"/>
          <w:sz w:val="20"/>
          <w:szCs w:val="20"/>
          <w:lang w:val="es-ES_tradnl"/>
        </w:rPr>
        <w:t xml:space="preserve"> del Perú en Costa Rica al día siguiente, el Estado recibió, entre otra documentación, copia de la partida de defunción de Elisa Huamaní Infanzón en la que consta que su</w:t>
      </w:r>
      <w:r w:rsidRPr="001A46B1">
        <w:rPr>
          <w:rFonts w:ascii="Verdana" w:hAnsi="Verdana"/>
          <w:sz w:val="20"/>
          <w:szCs w:val="20"/>
          <w:lang w:val="es-ES_tradnl"/>
        </w:rPr>
        <w:t xml:space="preserve"> fecha de defunción fue el 17 de agosto de 1989. El Tribunal advierte que el Estado no objetó en ningún momento dicha partida de defunción, ni se pronunció en contra de otras pruebas que acreditaron tal circunstancia, </w:t>
      </w:r>
      <w:r w:rsidRPr="006309F3">
        <w:rPr>
          <w:rFonts w:ascii="Verdana" w:hAnsi="Verdana"/>
          <w:sz w:val="20"/>
          <w:szCs w:val="20"/>
          <w:lang w:val="es-ES_tradnl"/>
        </w:rPr>
        <w:t xml:space="preserve">incluso prueba testimonial rendida en </w:t>
      </w:r>
      <w:r w:rsidRPr="006309F3">
        <w:rPr>
          <w:rFonts w:ascii="Verdana" w:hAnsi="Verdana"/>
          <w:sz w:val="20"/>
          <w:szCs w:val="20"/>
          <w:lang w:val="es-ES_tradnl"/>
        </w:rPr>
        <w:t xml:space="preserve">la audiencia pública celebrada en el caso. </w:t>
      </w:r>
    </w:p>
    <w:p w:rsidR="004D7A6E" w:rsidRPr="006309F3" w:rsidRDefault="00E51623">
      <w:pPr>
        <w:spacing w:after="140"/>
        <w:jc w:val="both"/>
        <w:rPr>
          <w:rFonts w:ascii="Verdana" w:hAnsi="Verdana"/>
          <w:sz w:val="20"/>
          <w:szCs w:val="20"/>
          <w:lang w:val="es-ES_tradnl"/>
        </w:rPr>
      </w:pPr>
    </w:p>
    <w:p w:rsidR="004D7A6E" w:rsidRPr="00FC3DCE" w:rsidRDefault="00E51623">
      <w:pPr>
        <w:spacing w:after="140"/>
        <w:jc w:val="both"/>
        <w:rPr>
          <w:rFonts w:ascii="Verdana" w:hAnsi="Verdana"/>
          <w:sz w:val="20"/>
          <w:szCs w:val="20"/>
          <w:lang w:val="es-ES_tradnl"/>
        </w:rPr>
      </w:pPr>
      <w:r w:rsidRPr="006309F3">
        <w:rPr>
          <w:rFonts w:ascii="Verdana" w:hAnsi="Verdana"/>
          <w:sz w:val="20"/>
          <w:szCs w:val="20"/>
          <w:lang w:val="es-ES_tradnl"/>
        </w:rPr>
        <w:t>28.</w:t>
      </w:r>
      <w:r w:rsidRPr="006309F3">
        <w:rPr>
          <w:rFonts w:ascii="Verdana" w:hAnsi="Verdana"/>
          <w:sz w:val="20"/>
          <w:szCs w:val="20"/>
          <w:lang w:val="es-ES_tradnl"/>
        </w:rPr>
        <w:tab/>
      </w:r>
      <w:smartTag w:uri="urn:schemas-microsoft-com:office:smarttags" w:element="PersonName">
        <w:smartTagPr>
          <w:attr w:name="ProductID" w:val="la Corte"/>
        </w:smartTagPr>
        <w:r w:rsidRPr="006309F3">
          <w:rPr>
            <w:rFonts w:ascii="Verdana" w:hAnsi="Verdana"/>
            <w:sz w:val="20"/>
            <w:szCs w:val="20"/>
            <w:lang w:val="es-ES_tradnl"/>
          </w:rPr>
          <w:t>La</w:t>
        </w:r>
        <w:r w:rsidRPr="001A46B1">
          <w:rPr>
            <w:rFonts w:ascii="Verdana" w:hAnsi="Verdana"/>
            <w:sz w:val="20"/>
            <w:szCs w:val="20"/>
            <w:lang w:val="es-ES_tradnl"/>
          </w:rPr>
          <w:t xml:space="preserve"> Corte</w:t>
        </w:r>
      </w:smartTag>
      <w:r w:rsidRPr="001A46B1">
        <w:rPr>
          <w:rFonts w:ascii="Verdana" w:hAnsi="Verdana"/>
          <w:sz w:val="20"/>
          <w:szCs w:val="20"/>
          <w:lang w:val="es-ES_tradnl"/>
        </w:rPr>
        <w:t xml:space="preserve"> tuvo por probado el hecho que la señora Elsa Infazón Huamaní se encontraba viva al momento de la muerte de su hijo, y que falleció luego de la ejecución de Saúl Cantoral Huamaní, con base en </w:t>
      </w:r>
      <w:r w:rsidRPr="00FC3DCE">
        <w:rPr>
          <w:rFonts w:ascii="Verdana" w:hAnsi="Verdana"/>
          <w:sz w:val="20"/>
          <w:szCs w:val="20"/>
          <w:lang w:val="es-ES_tradnl"/>
        </w:rPr>
        <w:t xml:space="preserve">prueba </w:t>
      </w:r>
      <w:r w:rsidRPr="00FC3DCE">
        <w:rPr>
          <w:rFonts w:ascii="Verdana" w:hAnsi="Verdana"/>
          <w:sz w:val="20"/>
          <w:szCs w:val="20"/>
          <w:lang w:val="es-ES_tradnl"/>
        </w:rPr>
        <w:t xml:space="preserve">documental idónea y emitida por el propio Estado, como lo es la partida de defunción de dicha señora, y prueba testimonial y pericial que obra en el presente caso, y que no fue objetada por el Estado en el trámite de fondo del caso. </w:t>
      </w:r>
    </w:p>
    <w:p w:rsidR="004D7A6E" w:rsidRPr="00FC3DCE" w:rsidRDefault="00E51623">
      <w:pPr>
        <w:spacing w:after="140"/>
        <w:jc w:val="both"/>
        <w:rPr>
          <w:rFonts w:ascii="Verdana" w:hAnsi="Verdana"/>
          <w:sz w:val="20"/>
          <w:szCs w:val="20"/>
          <w:lang w:val="es-ES_tradnl"/>
        </w:rPr>
      </w:pPr>
    </w:p>
    <w:p w:rsidR="004D7A6E" w:rsidRPr="00D124B2" w:rsidRDefault="00E51623">
      <w:pPr>
        <w:spacing w:after="140"/>
        <w:jc w:val="both"/>
        <w:rPr>
          <w:rFonts w:ascii="Verdana" w:hAnsi="Verdana"/>
          <w:sz w:val="20"/>
          <w:szCs w:val="20"/>
          <w:lang w:val="es-ES_tradnl"/>
        </w:rPr>
      </w:pPr>
      <w:r w:rsidRPr="00D124B2">
        <w:rPr>
          <w:rFonts w:ascii="Verdana" w:hAnsi="Verdana"/>
          <w:sz w:val="20"/>
          <w:szCs w:val="20"/>
          <w:lang w:val="es-ES_tradnl"/>
        </w:rPr>
        <w:t>29.</w:t>
      </w:r>
      <w:r w:rsidRPr="00D124B2">
        <w:rPr>
          <w:rFonts w:ascii="Verdana" w:hAnsi="Verdana"/>
          <w:sz w:val="20"/>
          <w:szCs w:val="20"/>
          <w:lang w:val="es-ES_tradnl"/>
        </w:rPr>
        <w:tab/>
        <w:t xml:space="preserve">La alegación del </w:t>
      </w:r>
      <w:r w:rsidRPr="00D124B2">
        <w:rPr>
          <w:rFonts w:ascii="Verdana" w:hAnsi="Verdana"/>
          <w:sz w:val="20"/>
          <w:szCs w:val="20"/>
          <w:lang w:val="es-ES_tradnl"/>
        </w:rPr>
        <w:t>Estado a este respecto</w:t>
      </w:r>
      <w:r w:rsidRPr="00FC3DCE">
        <w:rPr>
          <w:rFonts w:ascii="Verdana" w:hAnsi="Verdana"/>
          <w:sz w:val="20"/>
          <w:szCs w:val="20"/>
          <w:lang w:val="es-ES_tradnl"/>
        </w:rPr>
        <w:t xml:space="preserve">, se hace fuera de toda forma admisible y </w:t>
      </w:r>
      <w:r w:rsidRPr="00D124B2">
        <w:rPr>
          <w:rFonts w:ascii="Verdana" w:hAnsi="Verdana"/>
          <w:sz w:val="20"/>
          <w:szCs w:val="20"/>
          <w:lang w:val="es-ES_tradnl"/>
        </w:rPr>
        <w:t xml:space="preserve">busca controvertir una cuestión de hecho que ya fue considerada en su oportunidad procesal y sobre la cual </w:t>
      </w:r>
      <w:smartTag w:uri="urn:schemas-microsoft-com:office:smarttags" w:element="PersonName">
        <w:smartTagPr>
          <w:attr w:name="ProductID" w:val="la Corte"/>
        </w:smartTagPr>
        <w:r w:rsidRPr="00D124B2">
          <w:rPr>
            <w:rFonts w:ascii="Verdana" w:hAnsi="Verdana"/>
            <w:sz w:val="20"/>
            <w:szCs w:val="20"/>
            <w:lang w:val="es-ES_tradnl"/>
          </w:rPr>
          <w:t>la Corte</w:t>
        </w:r>
      </w:smartTag>
      <w:r w:rsidRPr="00D124B2">
        <w:rPr>
          <w:rFonts w:ascii="Verdana" w:hAnsi="Verdana"/>
          <w:sz w:val="20"/>
          <w:szCs w:val="20"/>
          <w:lang w:val="es-ES_tradnl"/>
        </w:rPr>
        <w:t xml:space="preserve"> ya adoptó una decisión, y que por lo tanto no merece acogida en la presente </w:t>
      </w:r>
      <w:r w:rsidRPr="00D124B2">
        <w:rPr>
          <w:rFonts w:ascii="Verdana" w:hAnsi="Verdana"/>
          <w:sz w:val="20"/>
          <w:szCs w:val="20"/>
          <w:lang w:val="es-ES_tradnl"/>
        </w:rPr>
        <w:t xml:space="preserve">etapa de interpretación de sentencia. </w:t>
      </w:r>
      <w:smartTag w:uri="urn:schemas-microsoft-com:office:smarttags" w:element="PersonName">
        <w:smartTagPr>
          <w:attr w:name="ProductID" w:val="la Corte"/>
        </w:smartTagPr>
        <w:r w:rsidRPr="00D124B2">
          <w:rPr>
            <w:rFonts w:ascii="Verdana" w:hAnsi="Verdana"/>
            <w:sz w:val="20"/>
            <w:szCs w:val="20"/>
            <w:lang w:val="es-ES_tradnl"/>
          </w:rPr>
          <w:t>L</w:t>
        </w:r>
        <w:r w:rsidRPr="00FC3DCE">
          <w:rPr>
            <w:rFonts w:ascii="Verdana" w:hAnsi="Verdana"/>
            <w:sz w:val="20"/>
            <w:szCs w:val="20"/>
            <w:lang w:val="es-ES_tradnl"/>
          </w:rPr>
          <w:t>a Corte</w:t>
        </w:r>
      </w:smartTag>
      <w:r w:rsidRPr="00FC3DCE">
        <w:rPr>
          <w:rFonts w:ascii="Verdana" w:hAnsi="Verdana"/>
          <w:sz w:val="20"/>
          <w:szCs w:val="20"/>
          <w:lang w:val="es-ES_tradnl"/>
        </w:rPr>
        <w:t xml:space="preserve"> considera inadmisible este aspecto de la demanda de interpretación.</w:t>
      </w:r>
    </w:p>
    <w:p w:rsidR="004D7A6E" w:rsidRDefault="00E51623">
      <w:pPr>
        <w:spacing w:after="100"/>
        <w:jc w:val="both"/>
        <w:rPr>
          <w:rFonts w:ascii="Verdana" w:hAnsi="Verdana"/>
          <w:sz w:val="20"/>
          <w:szCs w:val="20"/>
          <w:lang w:val="es-ES_tradnl"/>
        </w:rPr>
      </w:pPr>
    </w:p>
    <w:p w:rsidR="004D7A6E" w:rsidRDefault="00E51623">
      <w:pPr>
        <w:spacing w:after="100"/>
        <w:jc w:val="both"/>
        <w:rPr>
          <w:rFonts w:ascii="Verdana" w:hAnsi="Verdana"/>
          <w:sz w:val="20"/>
          <w:szCs w:val="20"/>
          <w:lang w:val="es-ES_tradnl"/>
        </w:rPr>
      </w:pPr>
    </w:p>
    <w:p w:rsidR="004D7A6E" w:rsidRDefault="00E51623">
      <w:pPr>
        <w:spacing w:after="100"/>
        <w:jc w:val="both"/>
        <w:rPr>
          <w:rFonts w:ascii="Verdana" w:hAnsi="Verdana"/>
          <w:sz w:val="20"/>
          <w:szCs w:val="20"/>
          <w:lang w:val="es-ES_tradnl"/>
        </w:rPr>
      </w:pPr>
    </w:p>
    <w:p w:rsidR="004D7A6E" w:rsidRPr="00DF038B" w:rsidRDefault="00E51623">
      <w:pPr>
        <w:spacing w:after="100"/>
        <w:rPr>
          <w:rFonts w:ascii="Verdana" w:hAnsi="Verdana"/>
          <w:b/>
          <w:sz w:val="20"/>
          <w:lang w:val="es-ES_tradnl"/>
        </w:rPr>
      </w:pPr>
    </w:p>
    <w:p w:rsidR="004D7A6E" w:rsidRPr="00DF038B" w:rsidRDefault="00E51623">
      <w:pPr>
        <w:spacing w:after="100"/>
        <w:jc w:val="center"/>
        <w:rPr>
          <w:rFonts w:ascii="Verdana" w:hAnsi="Verdana"/>
          <w:b/>
          <w:sz w:val="20"/>
          <w:lang w:val="es-ES_tradnl"/>
        </w:rPr>
      </w:pPr>
      <w:r w:rsidRPr="00DF038B">
        <w:rPr>
          <w:rFonts w:ascii="Verdana" w:hAnsi="Verdana"/>
          <w:b/>
          <w:sz w:val="20"/>
          <w:lang w:val="es-ES_tradnl"/>
        </w:rPr>
        <w:lastRenderedPageBreak/>
        <w:t>VII</w:t>
      </w:r>
    </w:p>
    <w:p w:rsidR="004D7A6E" w:rsidRPr="00DF038B" w:rsidRDefault="00E51623">
      <w:pPr>
        <w:spacing w:after="100"/>
        <w:jc w:val="center"/>
        <w:rPr>
          <w:rFonts w:ascii="Verdana" w:hAnsi="Verdana"/>
          <w:b/>
          <w:sz w:val="20"/>
          <w:lang w:val="es-ES_tradnl"/>
        </w:rPr>
      </w:pPr>
      <w:r w:rsidRPr="00DF038B">
        <w:rPr>
          <w:rFonts w:ascii="Verdana" w:hAnsi="Verdana"/>
          <w:b/>
          <w:sz w:val="20"/>
          <w:lang w:val="es-ES_tradnl"/>
        </w:rPr>
        <w:t>PUNTOS RESOLUTIVOS</w:t>
      </w:r>
    </w:p>
    <w:p w:rsidR="004D7A6E" w:rsidRPr="00DF038B" w:rsidRDefault="00E51623">
      <w:pPr>
        <w:spacing w:after="100"/>
        <w:rPr>
          <w:rFonts w:ascii="Verdana" w:hAnsi="Verdana"/>
          <w:b/>
          <w:sz w:val="20"/>
          <w:lang w:val="es-ES_tradnl"/>
        </w:rPr>
      </w:pPr>
    </w:p>
    <w:p w:rsidR="004D7A6E" w:rsidRPr="00DF038B" w:rsidRDefault="00E51623">
      <w:pPr>
        <w:spacing w:after="100"/>
        <w:jc w:val="both"/>
        <w:rPr>
          <w:rFonts w:ascii="Verdana" w:hAnsi="Verdana"/>
          <w:sz w:val="20"/>
          <w:lang w:val="es-ES_tradnl"/>
        </w:rPr>
      </w:pPr>
      <w:r w:rsidRPr="00DF038B">
        <w:rPr>
          <w:rFonts w:ascii="Verdana" w:hAnsi="Verdana"/>
          <w:sz w:val="20"/>
          <w:lang w:val="es-ES_tradnl"/>
        </w:rPr>
        <w:t>30.</w:t>
      </w:r>
      <w:r w:rsidRPr="00DF038B">
        <w:rPr>
          <w:rFonts w:ascii="Verdana" w:hAnsi="Verdana"/>
          <w:sz w:val="20"/>
          <w:lang w:val="es-ES_tradnl"/>
        </w:rPr>
        <w:tab/>
        <w:t>Por las razones expuestas,</w:t>
      </w:r>
    </w:p>
    <w:p w:rsidR="004D7A6E" w:rsidRPr="00DF038B" w:rsidRDefault="00E51623">
      <w:pPr>
        <w:spacing w:after="100"/>
        <w:jc w:val="both"/>
        <w:rPr>
          <w:rFonts w:ascii="Verdana" w:hAnsi="Verdana"/>
          <w:sz w:val="20"/>
          <w:lang w:val="es-ES_tradnl"/>
        </w:rPr>
      </w:pPr>
    </w:p>
    <w:p w:rsidR="004D7A6E" w:rsidRPr="00DF038B" w:rsidRDefault="00E51623">
      <w:pPr>
        <w:spacing w:after="100"/>
        <w:jc w:val="both"/>
        <w:rPr>
          <w:rFonts w:ascii="Verdana" w:hAnsi="Verdana"/>
          <w:sz w:val="20"/>
          <w:lang w:val="es-ES_tradnl"/>
        </w:rPr>
      </w:pPr>
    </w:p>
    <w:p w:rsidR="004D7A6E" w:rsidRPr="00DF038B" w:rsidRDefault="00E51623">
      <w:pPr>
        <w:spacing w:after="100"/>
        <w:jc w:val="both"/>
        <w:rPr>
          <w:rFonts w:ascii="Verdana" w:hAnsi="Verdana"/>
          <w:b/>
          <w:sz w:val="20"/>
          <w:lang w:val="es-ES_tradnl"/>
        </w:rPr>
      </w:pPr>
      <w:smartTag w:uri="urn:schemas-microsoft-com:office:smarttags" w:element="PersonName">
        <w:smartTagPr>
          <w:attr w:name="ProductID" w:val="la Corte Interamericana"/>
        </w:smartTagPr>
        <w:r w:rsidRPr="00DF038B">
          <w:rPr>
            <w:rFonts w:ascii="Verdana" w:hAnsi="Verdana"/>
            <w:b/>
            <w:sz w:val="20"/>
            <w:lang w:val="es-ES_tradnl"/>
          </w:rPr>
          <w:t>LA CORTE INTERAMERICANA</w:t>
        </w:r>
      </w:smartTag>
      <w:r w:rsidRPr="00DF038B">
        <w:rPr>
          <w:rFonts w:ascii="Verdana" w:hAnsi="Verdana"/>
          <w:b/>
          <w:sz w:val="20"/>
          <w:lang w:val="es-ES_tradnl"/>
        </w:rPr>
        <w:t xml:space="preserve"> DE DERECHOS HUMANOS</w:t>
      </w:r>
    </w:p>
    <w:p w:rsidR="004D7A6E" w:rsidRPr="00DF038B" w:rsidRDefault="00E51623">
      <w:pPr>
        <w:spacing w:after="100"/>
        <w:jc w:val="both"/>
        <w:rPr>
          <w:rFonts w:ascii="Verdana" w:hAnsi="Verdana"/>
          <w:b/>
          <w:smallCaps/>
          <w:sz w:val="20"/>
          <w:lang w:val="es-ES_tradnl"/>
        </w:rPr>
      </w:pPr>
    </w:p>
    <w:p w:rsidR="004D7A6E" w:rsidRPr="00DF038B" w:rsidRDefault="00E51623">
      <w:pPr>
        <w:spacing w:after="100"/>
        <w:jc w:val="both"/>
        <w:rPr>
          <w:rFonts w:ascii="Verdana" w:hAnsi="Verdana"/>
          <w:b/>
          <w:smallCaps/>
          <w:sz w:val="20"/>
          <w:lang w:val="es-ES_tradnl"/>
        </w:rPr>
      </w:pPr>
    </w:p>
    <w:p w:rsidR="004D7A6E" w:rsidRPr="00DF038B" w:rsidRDefault="00E51623">
      <w:pPr>
        <w:spacing w:after="100"/>
        <w:jc w:val="both"/>
        <w:rPr>
          <w:rFonts w:ascii="Verdana" w:hAnsi="Verdana"/>
          <w:smallCaps/>
          <w:sz w:val="20"/>
          <w:lang w:val="es-ES_tradnl"/>
        </w:rPr>
      </w:pPr>
      <w:r w:rsidRPr="00DF038B">
        <w:rPr>
          <w:rFonts w:ascii="Verdana" w:hAnsi="Verdana"/>
          <w:sz w:val="20"/>
          <w:lang w:val="es-ES_tradnl"/>
        </w:rPr>
        <w:t xml:space="preserve">de conformidad con el artículo 67 </w:t>
      </w:r>
      <w:r w:rsidRPr="00DF038B">
        <w:rPr>
          <w:rFonts w:ascii="Verdana" w:hAnsi="Verdana"/>
          <w:sz w:val="20"/>
          <w:lang w:val="es-ES_tradnl"/>
        </w:rPr>
        <w:t xml:space="preserve">de </w:t>
      </w:r>
      <w:smartTag w:uri="urn:schemas-microsoft-com:office:smarttags" w:element="PersonName">
        <w:smartTagPr>
          <w:attr w:name="ProductID" w:val="la Convenci￳n Americana"/>
        </w:smartTagPr>
        <w:r w:rsidRPr="00DF038B">
          <w:rPr>
            <w:rFonts w:ascii="Verdana" w:hAnsi="Verdana"/>
            <w:sz w:val="20"/>
            <w:lang w:val="es-ES_tradnl"/>
          </w:rPr>
          <w:t>la Convención Americana</w:t>
        </w:r>
      </w:smartTag>
      <w:r w:rsidRPr="00DF038B">
        <w:rPr>
          <w:rFonts w:ascii="Verdana" w:hAnsi="Verdana"/>
          <w:sz w:val="20"/>
          <w:lang w:val="es-ES_tradnl"/>
        </w:rPr>
        <w:t xml:space="preserve"> sobre Derechos Humanos y los artículos 29.3 y 59 del Reglamento,</w:t>
      </w:r>
    </w:p>
    <w:p w:rsidR="004D7A6E" w:rsidRPr="00DF038B" w:rsidRDefault="00E51623">
      <w:pPr>
        <w:spacing w:after="100"/>
        <w:jc w:val="both"/>
        <w:rPr>
          <w:rFonts w:ascii="Verdana" w:hAnsi="Verdana"/>
          <w:b/>
          <w:smallCaps/>
          <w:sz w:val="20"/>
          <w:lang w:val="es-ES_tradnl"/>
        </w:rPr>
      </w:pPr>
    </w:p>
    <w:p w:rsidR="004D7A6E" w:rsidRPr="00DF038B" w:rsidRDefault="00E51623">
      <w:pPr>
        <w:spacing w:after="100"/>
        <w:jc w:val="both"/>
        <w:rPr>
          <w:rFonts w:ascii="Verdana" w:hAnsi="Verdana"/>
          <w:b/>
          <w:smallCaps/>
          <w:sz w:val="20"/>
          <w:lang w:val="es-ES_tradnl"/>
        </w:rPr>
      </w:pPr>
    </w:p>
    <w:p w:rsidR="004D7A6E" w:rsidRPr="00DF038B" w:rsidRDefault="00E51623">
      <w:pPr>
        <w:spacing w:after="100"/>
        <w:jc w:val="both"/>
        <w:rPr>
          <w:rFonts w:ascii="Verdana" w:hAnsi="Verdana"/>
          <w:b/>
          <w:caps/>
          <w:sz w:val="20"/>
          <w:lang w:val="es-ES_tradnl"/>
        </w:rPr>
      </w:pPr>
      <w:r w:rsidRPr="00DF038B">
        <w:rPr>
          <w:rFonts w:ascii="Verdana" w:hAnsi="Verdana"/>
          <w:b/>
          <w:caps/>
          <w:sz w:val="20"/>
          <w:lang w:val="es-ES_tradnl"/>
        </w:rPr>
        <w:t>Decide:</w:t>
      </w:r>
    </w:p>
    <w:p w:rsidR="004D7A6E" w:rsidRPr="00DF038B" w:rsidRDefault="00E51623">
      <w:pPr>
        <w:spacing w:after="100"/>
        <w:jc w:val="both"/>
        <w:rPr>
          <w:rFonts w:ascii="Verdana" w:hAnsi="Verdana"/>
          <w:b/>
          <w:smallCaps/>
          <w:sz w:val="20"/>
          <w:lang w:val="es-ES_tradnl"/>
        </w:rPr>
      </w:pPr>
    </w:p>
    <w:p w:rsidR="004D7A6E" w:rsidRPr="00DF038B" w:rsidRDefault="00E51623">
      <w:pPr>
        <w:spacing w:after="100"/>
        <w:jc w:val="both"/>
        <w:rPr>
          <w:rFonts w:ascii="Verdana" w:hAnsi="Verdana"/>
          <w:b/>
          <w:smallCaps/>
          <w:sz w:val="20"/>
          <w:lang w:val="es-ES_tradnl"/>
        </w:rPr>
      </w:pPr>
    </w:p>
    <w:p w:rsidR="004D7A6E" w:rsidRPr="00DF038B" w:rsidRDefault="00E51623">
      <w:pPr>
        <w:pStyle w:val="Encabezado"/>
        <w:tabs>
          <w:tab w:val="clear" w:pos="4320"/>
          <w:tab w:val="clear" w:pos="8640"/>
        </w:tabs>
        <w:spacing w:after="100"/>
        <w:rPr>
          <w:rFonts w:ascii="Verdana" w:hAnsi="Verdana"/>
          <w:sz w:val="20"/>
        </w:rPr>
      </w:pPr>
      <w:r w:rsidRPr="00DF038B">
        <w:rPr>
          <w:rFonts w:ascii="Verdana" w:hAnsi="Verdana"/>
          <w:sz w:val="20"/>
        </w:rPr>
        <w:t>Por unanimidad,</w:t>
      </w:r>
    </w:p>
    <w:p w:rsidR="004D7A6E" w:rsidRPr="00DF038B" w:rsidRDefault="00E51623">
      <w:pPr>
        <w:pStyle w:val="Encabezado"/>
        <w:tabs>
          <w:tab w:val="clear" w:pos="4320"/>
          <w:tab w:val="clear" w:pos="8640"/>
        </w:tabs>
        <w:spacing w:after="100"/>
        <w:rPr>
          <w:rFonts w:ascii="Verdana" w:hAnsi="Verdana"/>
          <w:sz w:val="20"/>
        </w:rPr>
      </w:pPr>
    </w:p>
    <w:p w:rsidR="004D7A6E" w:rsidRDefault="00E51623">
      <w:pPr>
        <w:spacing w:after="100"/>
        <w:jc w:val="both"/>
        <w:rPr>
          <w:rFonts w:ascii="Verdana" w:hAnsi="Verdana"/>
          <w:sz w:val="20"/>
          <w:lang w:val="es-ES_tradnl"/>
        </w:rPr>
      </w:pPr>
    </w:p>
    <w:p w:rsidR="004D7A6E" w:rsidRPr="008A5C11" w:rsidRDefault="00E51623">
      <w:pPr>
        <w:spacing w:after="100"/>
        <w:jc w:val="both"/>
        <w:rPr>
          <w:rFonts w:ascii="Verdana" w:hAnsi="Verdana"/>
          <w:sz w:val="20"/>
          <w:szCs w:val="20"/>
          <w:lang w:val="es-ES_tradnl"/>
        </w:rPr>
      </w:pPr>
      <w:r w:rsidRPr="00DF038B">
        <w:rPr>
          <w:rFonts w:ascii="Verdana" w:hAnsi="Verdana"/>
          <w:sz w:val="20"/>
          <w:lang w:val="es-ES_tradnl"/>
        </w:rPr>
        <w:t>1.</w:t>
      </w:r>
      <w:r w:rsidRPr="00DF038B">
        <w:rPr>
          <w:rFonts w:ascii="Verdana" w:hAnsi="Verdana"/>
          <w:sz w:val="20"/>
          <w:lang w:val="es-ES_tradnl"/>
        </w:rPr>
        <w:tab/>
      </w:r>
      <w:r w:rsidRPr="006309F3">
        <w:rPr>
          <w:rFonts w:ascii="Verdana" w:hAnsi="Verdana"/>
          <w:sz w:val="20"/>
          <w:lang w:val="es-ES_tradnl"/>
        </w:rPr>
        <w:t>Declarar inadmisible</w:t>
      </w:r>
      <w:r w:rsidRPr="00A53F12">
        <w:rPr>
          <w:rFonts w:ascii="Verdana" w:hAnsi="Verdana"/>
          <w:sz w:val="20"/>
          <w:lang w:val="es-ES_tradnl"/>
        </w:rPr>
        <w:t xml:space="preserve"> </w:t>
      </w:r>
      <w:r w:rsidRPr="00DF038B">
        <w:rPr>
          <w:rFonts w:ascii="Verdana" w:hAnsi="Verdana"/>
          <w:sz w:val="20"/>
          <w:szCs w:val="20"/>
          <w:lang w:val="es-ES_tradnl"/>
        </w:rPr>
        <w:t xml:space="preserve">la demanda de interpretación de </w:t>
      </w:r>
      <w:smartTag w:uri="urn:schemas-microsoft-com:office:smarttags" w:element="PersonName">
        <w:smartTagPr>
          <w:attr w:name="ProductID" w:val="la Sentencia"/>
        </w:smartTagPr>
        <w:r w:rsidRPr="00DF038B">
          <w:rPr>
            <w:rFonts w:ascii="Verdana" w:hAnsi="Verdana"/>
            <w:sz w:val="20"/>
            <w:szCs w:val="20"/>
            <w:lang w:val="es-ES_tradnl"/>
          </w:rPr>
          <w:t>la Sentencia</w:t>
        </w:r>
      </w:smartTag>
      <w:r w:rsidRPr="00DF038B">
        <w:rPr>
          <w:rFonts w:ascii="Verdana" w:hAnsi="Verdana"/>
          <w:sz w:val="20"/>
          <w:szCs w:val="20"/>
          <w:lang w:val="es-ES_tradnl"/>
        </w:rPr>
        <w:t xml:space="preserve"> de excepción preliminar, fondo, reparaciones y costas en el Caso </w:t>
      </w:r>
      <w:r w:rsidRPr="00DF038B">
        <w:rPr>
          <w:rFonts w:ascii="Verdana" w:hAnsi="Verdana"/>
          <w:sz w:val="20"/>
          <w:szCs w:val="20"/>
          <w:lang w:val="es-ES_tradnl"/>
        </w:rPr>
        <w:t xml:space="preserve">Cantoral Huamaní y García Santa Cruz interpuesta por el Estado, </w:t>
      </w:r>
      <w:r w:rsidRPr="008A5C11">
        <w:rPr>
          <w:rFonts w:ascii="Verdana" w:hAnsi="Verdana"/>
          <w:sz w:val="20"/>
          <w:szCs w:val="20"/>
          <w:lang w:val="es-ES_tradnl"/>
        </w:rPr>
        <w:t>en lo que se refiere a los puntos primero y tercero de la misma (</w:t>
      </w:r>
      <w:r w:rsidRPr="008A5C11">
        <w:rPr>
          <w:rFonts w:ascii="Verdana" w:hAnsi="Verdana"/>
          <w:i/>
          <w:sz w:val="20"/>
          <w:szCs w:val="20"/>
          <w:lang w:val="es-ES_tradnl"/>
        </w:rPr>
        <w:t>supra</w:t>
      </w:r>
      <w:r w:rsidRPr="008A5C11">
        <w:rPr>
          <w:rFonts w:ascii="Verdana" w:hAnsi="Verdana"/>
          <w:sz w:val="20"/>
          <w:szCs w:val="20"/>
          <w:lang w:val="es-ES_tradnl"/>
        </w:rPr>
        <w:t xml:space="preserve"> párr. </w:t>
      </w:r>
      <w:smartTag w:uri="urn:schemas-microsoft-com:office:smarttags" w:element="metricconverter">
        <w:smartTagPr>
          <w:attr w:name="ProductID" w:val="1 a"/>
        </w:smartTagPr>
        <w:r w:rsidRPr="008A5C11">
          <w:rPr>
            <w:rFonts w:ascii="Verdana" w:hAnsi="Verdana"/>
            <w:sz w:val="20"/>
            <w:szCs w:val="20"/>
            <w:lang w:val="es-ES_tradnl"/>
          </w:rPr>
          <w:t>1 a</w:t>
        </w:r>
      </w:smartTag>
      <w:r w:rsidRPr="008A5C11">
        <w:rPr>
          <w:rFonts w:ascii="Verdana" w:hAnsi="Verdana"/>
          <w:sz w:val="20"/>
          <w:szCs w:val="20"/>
          <w:lang w:val="es-ES_tradnl"/>
        </w:rPr>
        <w:t xml:space="preserve"> y c), debido a que no se adecua a lo previsto en los artículos 67 de </w:t>
      </w:r>
      <w:smartTag w:uri="urn:schemas-microsoft-com:office:smarttags" w:element="PersonName">
        <w:smartTagPr>
          <w:attr w:name="ProductID" w:val="la Convenci￳n"/>
        </w:smartTagPr>
        <w:r w:rsidRPr="008A5C11">
          <w:rPr>
            <w:rFonts w:ascii="Verdana" w:hAnsi="Verdana"/>
            <w:sz w:val="20"/>
            <w:szCs w:val="20"/>
            <w:lang w:val="es-ES_tradnl"/>
          </w:rPr>
          <w:t>la Convención</w:t>
        </w:r>
      </w:smartTag>
      <w:r w:rsidRPr="008A5C11">
        <w:rPr>
          <w:rFonts w:ascii="Verdana" w:hAnsi="Verdana"/>
          <w:sz w:val="20"/>
          <w:szCs w:val="20"/>
          <w:lang w:val="es-ES_tradnl"/>
        </w:rPr>
        <w:t xml:space="preserve"> y 29.3 y 59 del Reglamento, </w:t>
      </w:r>
      <w:r w:rsidRPr="008A5C11">
        <w:rPr>
          <w:rFonts w:ascii="Verdana" w:hAnsi="Verdana"/>
          <w:sz w:val="20"/>
          <w:szCs w:val="20"/>
          <w:lang w:val="es-ES_tradnl"/>
        </w:rPr>
        <w:t xml:space="preserve">conforme a lo señalado en los párrafos 16 y 17 y </w:t>
      </w:r>
      <w:smartTag w:uri="urn:schemas-microsoft-com:office:smarttags" w:element="metricconverter">
        <w:smartTagPr>
          <w:attr w:name="ProductID" w:val="27 a"/>
        </w:smartTagPr>
        <w:r w:rsidRPr="008A5C11">
          <w:rPr>
            <w:rFonts w:ascii="Verdana" w:hAnsi="Verdana"/>
            <w:sz w:val="20"/>
            <w:szCs w:val="20"/>
            <w:lang w:val="es-ES_tradnl"/>
          </w:rPr>
          <w:t>27 a</w:t>
        </w:r>
      </w:smartTag>
      <w:r w:rsidRPr="008A5C11">
        <w:rPr>
          <w:rFonts w:ascii="Verdana" w:hAnsi="Verdana"/>
          <w:sz w:val="20"/>
          <w:szCs w:val="20"/>
          <w:lang w:val="es-ES_tradnl"/>
        </w:rPr>
        <w:t xml:space="preserve"> 29 de la presente Sentencia. </w:t>
      </w:r>
    </w:p>
    <w:p w:rsidR="004D7A6E" w:rsidRPr="008A5C11" w:rsidRDefault="00E51623">
      <w:pPr>
        <w:spacing w:after="100"/>
        <w:jc w:val="both"/>
        <w:rPr>
          <w:rFonts w:ascii="Verdana" w:hAnsi="Verdana"/>
          <w:sz w:val="20"/>
          <w:szCs w:val="20"/>
          <w:lang w:val="es-ES_tradnl"/>
        </w:rPr>
      </w:pPr>
    </w:p>
    <w:p w:rsidR="004D7A6E" w:rsidRPr="006031E1" w:rsidRDefault="00E51623">
      <w:pPr>
        <w:spacing w:after="100"/>
        <w:jc w:val="both"/>
        <w:rPr>
          <w:rFonts w:ascii="Verdana" w:hAnsi="Verdana"/>
          <w:sz w:val="20"/>
        </w:rPr>
      </w:pPr>
      <w:r w:rsidRPr="008A5C11">
        <w:rPr>
          <w:rFonts w:ascii="Verdana" w:hAnsi="Verdana"/>
          <w:sz w:val="20"/>
          <w:szCs w:val="20"/>
          <w:lang w:val="es-ES_tradnl"/>
        </w:rPr>
        <w:t xml:space="preserve">2. </w:t>
      </w:r>
      <w:r w:rsidRPr="008A5C11">
        <w:rPr>
          <w:rFonts w:ascii="Verdana" w:hAnsi="Verdana"/>
          <w:sz w:val="20"/>
          <w:szCs w:val="20"/>
          <w:lang w:val="es-ES_tradnl"/>
        </w:rPr>
        <w:tab/>
        <w:t xml:space="preserve">Declarar admisible </w:t>
      </w:r>
      <w:r w:rsidRPr="008A5C11">
        <w:rPr>
          <w:rFonts w:ascii="Verdana" w:hAnsi="Verdana"/>
          <w:sz w:val="20"/>
        </w:rPr>
        <w:t xml:space="preserve">la demanda de interpretación de </w:t>
      </w:r>
      <w:smartTag w:uri="urn:schemas-microsoft-com:office:smarttags" w:element="PersonName">
        <w:smartTagPr>
          <w:attr w:name="ProductID" w:val="la Sentencia"/>
        </w:smartTagPr>
        <w:r w:rsidRPr="008A5C11">
          <w:rPr>
            <w:rFonts w:ascii="Verdana" w:hAnsi="Verdana"/>
            <w:sz w:val="20"/>
          </w:rPr>
          <w:t>la Sentencia</w:t>
        </w:r>
      </w:smartTag>
      <w:r w:rsidRPr="008A5C11">
        <w:rPr>
          <w:rFonts w:ascii="Verdana" w:hAnsi="Verdana"/>
          <w:sz w:val="20"/>
        </w:rPr>
        <w:t xml:space="preserve"> de excepción preliminar, fondo, reparaciones y costas en el Caso Cantoral Huamaní y García Santa Cruz i</w:t>
      </w:r>
      <w:r w:rsidRPr="008A5C11">
        <w:rPr>
          <w:rFonts w:ascii="Verdana" w:hAnsi="Verdana"/>
          <w:sz w:val="20"/>
        </w:rPr>
        <w:t>nterpuesta por el Estado en lo que se refiere a su punto segundo (</w:t>
      </w:r>
      <w:r w:rsidRPr="008A5C11">
        <w:rPr>
          <w:rFonts w:ascii="Verdana" w:hAnsi="Verdana"/>
          <w:i/>
          <w:sz w:val="20"/>
        </w:rPr>
        <w:t>supra</w:t>
      </w:r>
      <w:r w:rsidRPr="008A5C11">
        <w:rPr>
          <w:rFonts w:ascii="Verdana" w:hAnsi="Verdana"/>
          <w:sz w:val="20"/>
        </w:rPr>
        <w:t xml:space="preserve"> párr. 1 b), esto es respecto de la “[i]ntegración o correción del párrafo 187 de </w:t>
      </w:r>
      <w:smartTag w:uri="urn:schemas-microsoft-com:office:smarttags" w:element="PersonName">
        <w:smartTagPr>
          <w:attr w:name="ProductID" w:val="la Sentencia"/>
        </w:smartTagPr>
        <w:r w:rsidRPr="008A5C11">
          <w:rPr>
            <w:rFonts w:ascii="Verdana" w:hAnsi="Verdana"/>
            <w:sz w:val="20"/>
          </w:rPr>
          <w:t>la Sentencia</w:t>
        </w:r>
      </w:smartTag>
      <w:r w:rsidRPr="008A5C11">
        <w:rPr>
          <w:rFonts w:ascii="Verdana" w:hAnsi="Verdana"/>
          <w:sz w:val="20"/>
        </w:rPr>
        <w:t xml:space="preserve"> [de fondo]”, cuyo sentido y alcance ha sido determinado por el Tribunal en los párrafos </w:t>
      </w:r>
      <w:smartTag w:uri="urn:schemas-microsoft-com:office:smarttags" w:element="metricconverter">
        <w:smartTagPr>
          <w:attr w:name="ProductID" w:val="21 a"/>
        </w:smartTagPr>
        <w:r w:rsidRPr="008A5C11">
          <w:rPr>
            <w:rFonts w:ascii="Verdana" w:hAnsi="Verdana"/>
            <w:sz w:val="20"/>
          </w:rPr>
          <w:t>21</w:t>
        </w:r>
        <w:r w:rsidRPr="008A5C11">
          <w:rPr>
            <w:rFonts w:ascii="Verdana" w:hAnsi="Verdana"/>
            <w:sz w:val="20"/>
          </w:rPr>
          <w:t xml:space="preserve"> a</w:t>
        </w:r>
      </w:smartTag>
      <w:r w:rsidRPr="008A5C11">
        <w:rPr>
          <w:rFonts w:ascii="Verdana" w:hAnsi="Verdana"/>
          <w:sz w:val="20"/>
        </w:rPr>
        <w:t xml:space="preserve"> 23 de la presente Sentencia de Interpretación.</w:t>
      </w:r>
      <w:r w:rsidRPr="006031E1">
        <w:rPr>
          <w:rFonts w:ascii="Verdana" w:hAnsi="Verdana"/>
          <w:sz w:val="20"/>
        </w:rPr>
        <w:t xml:space="preserve">  </w:t>
      </w:r>
    </w:p>
    <w:p w:rsidR="004D7A6E" w:rsidRPr="00DF038B" w:rsidRDefault="00E51623">
      <w:pPr>
        <w:spacing w:after="100"/>
        <w:jc w:val="both"/>
        <w:rPr>
          <w:rFonts w:ascii="Verdana" w:hAnsi="Verdana"/>
          <w:sz w:val="20"/>
          <w:lang w:val="es-ES_tradnl"/>
        </w:rPr>
      </w:pPr>
    </w:p>
    <w:p w:rsidR="004D7A6E" w:rsidRPr="00DF038B" w:rsidRDefault="00E51623">
      <w:pPr>
        <w:spacing w:after="100"/>
        <w:jc w:val="both"/>
        <w:rPr>
          <w:rFonts w:ascii="Verdana" w:hAnsi="Verdana"/>
          <w:sz w:val="20"/>
          <w:szCs w:val="20"/>
          <w:lang w:val="es-ES_tradnl"/>
        </w:rPr>
      </w:pPr>
      <w:r w:rsidRPr="00DF038B">
        <w:rPr>
          <w:rFonts w:ascii="Verdana" w:hAnsi="Verdana"/>
          <w:sz w:val="20"/>
          <w:szCs w:val="20"/>
          <w:lang w:val="es-ES_tradnl"/>
        </w:rPr>
        <w:t>3.</w:t>
      </w:r>
      <w:r w:rsidRPr="00DF038B">
        <w:rPr>
          <w:rFonts w:ascii="Verdana" w:hAnsi="Verdana"/>
          <w:sz w:val="20"/>
          <w:szCs w:val="20"/>
          <w:lang w:val="es-ES_tradnl"/>
        </w:rPr>
        <w:tab/>
        <w:t xml:space="preserve">Requerir a </w:t>
      </w:r>
      <w:smartTag w:uri="urn:schemas-microsoft-com:office:smarttags" w:element="PersonName">
        <w:smartTagPr>
          <w:attr w:name="ProductID" w:val="la Secretar￭a"/>
        </w:smartTagPr>
        <w:r w:rsidRPr="00DF038B">
          <w:rPr>
            <w:rFonts w:ascii="Verdana" w:hAnsi="Verdana"/>
            <w:sz w:val="20"/>
            <w:szCs w:val="20"/>
            <w:lang w:val="es-ES_tradnl"/>
          </w:rPr>
          <w:t>la Secretaría</w:t>
        </w:r>
      </w:smartTag>
      <w:r w:rsidRPr="00DF038B">
        <w:rPr>
          <w:rFonts w:ascii="Verdana" w:hAnsi="Verdana"/>
          <w:sz w:val="20"/>
          <w:szCs w:val="20"/>
          <w:lang w:val="es-ES_tradnl"/>
        </w:rPr>
        <w:t xml:space="preserve"> de </w:t>
      </w:r>
      <w:smartTag w:uri="urn:schemas-microsoft-com:office:smarttags" w:element="PersonName">
        <w:smartTagPr>
          <w:attr w:name="ProductID" w:val="la Corte Interamericana"/>
        </w:smartTagPr>
        <w:r w:rsidRPr="00DF038B">
          <w:rPr>
            <w:rFonts w:ascii="Verdana" w:hAnsi="Verdana"/>
            <w:sz w:val="20"/>
            <w:szCs w:val="20"/>
            <w:lang w:val="es-ES_tradnl"/>
          </w:rPr>
          <w:t>la Corte Interamericana</w:t>
        </w:r>
      </w:smartTag>
      <w:r w:rsidRPr="00DF038B">
        <w:rPr>
          <w:rFonts w:ascii="Verdana" w:hAnsi="Verdana"/>
          <w:sz w:val="20"/>
          <w:szCs w:val="20"/>
          <w:lang w:val="es-ES_tradnl"/>
        </w:rPr>
        <w:t xml:space="preserve"> de Derechos Humanos que notifique la presente Sentencia al Estado, a </w:t>
      </w:r>
      <w:smartTag w:uri="urn:schemas-microsoft-com:office:smarttags" w:element="PersonName">
        <w:smartTagPr>
          <w:attr w:name="ProductID" w:val="la Comisi￳n Interamericana"/>
        </w:smartTagPr>
        <w:r w:rsidRPr="00DF038B">
          <w:rPr>
            <w:rFonts w:ascii="Verdana" w:hAnsi="Verdana"/>
            <w:sz w:val="20"/>
            <w:szCs w:val="20"/>
            <w:lang w:val="es-ES_tradnl"/>
          </w:rPr>
          <w:t>la Comisión Interamericana</w:t>
        </w:r>
      </w:smartTag>
      <w:r w:rsidRPr="00DF038B">
        <w:rPr>
          <w:rFonts w:ascii="Verdana" w:hAnsi="Verdana"/>
          <w:sz w:val="20"/>
          <w:szCs w:val="20"/>
          <w:lang w:val="es-ES_tradnl"/>
        </w:rPr>
        <w:t xml:space="preserve"> y a los representantes de las víctimas y sus familia</w:t>
      </w:r>
      <w:r w:rsidRPr="00DF038B">
        <w:rPr>
          <w:rFonts w:ascii="Verdana" w:hAnsi="Verdana"/>
          <w:sz w:val="20"/>
          <w:szCs w:val="20"/>
          <w:lang w:val="es-ES_tradnl"/>
        </w:rPr>
        <w:t xml:space="preserve">res. </w:t>
      </w:r>
    </w:p>
    <w:p w:rsidR="004D7A6E" w:rsidRPr="00DF038B" w:rsidRDefault="00E51623">
      <w:pPr>
        <w:spacing w:after="160"/>
        <w:jc w:val="both"/>
        <w:rPr>
          <w:rFonts w:ascii="Verdana" w:hAnsi="Verdana"/>
          <w:sz w:val="20"/>
          <w:szCs w:val="20"/>
          <w:lang w:val="es-ES_tradnl"/>
        </w:rPr>
      </w:pPr>
    </w:p>
    <w:p w:rsidR="00000000" w:rsidRDefault="00E51623">
      <w:pPr>
        <w:jc w:val="center"/>
        <w:rPr>
          <w:rFonts w:ascii="Verdana" w:hAnsi="Verdana"/>
          <w:sz w:val="20"/>
        </w:rPr>
      </w:pPr>
    </w:p>
    <w:p w:rsidR="00000000" w:rsidRDefault="00E51623">
      <w:pPr>
        <w:jc w:val="center"/>
        <w:rPr>
          <w:rFonts w:ascii="Verdana" w:hAnsi="Verdana"/>
          <w:sz w:val="20"/>
        </w:rPr>
      </w:pPr>
    </w:p>
    <w:p w:rsidR="00000000" w:rsidRDefault="00E51623">
      <w:pPr>
        <w:jc w:val="center"/>
        <w:rPr>
          <w:rFonts w:ascii="Verdana" w:hAnsi="Verdana"/>
          <w:sz w:val="20"/>
        </w:rPr>
      </w:pPr>
    </w:p>
    <w:p w:rsidR="00000000" w:rsidRDefault="00E51623">
      <w:pPr>
        <w:jc w:val="center"/>
        <w:rPr>
          <w:rFonts w:ascii="Verdana" w:hAnsi="Verdana"/>
          <w:sz w:val="20"/>
        </w:rPr>
      </w:pPr>
    </w:p>
    <w:p w:rsidR="00000000" w:rsidRDefault="00E51623">
      <w:pPr>
        <w:jc w:val="center"/>
        <w:rPr>
          <w:rFonts w:ascii="Verdana" w:hAnsi="Verdana"/>
          <w:sz w:val="20"/>
        </w:rPr>
      </w:pPr>
    </w:p>
    <w:p w:rsidR="00000000" w:rsidRDefault="00E51623">
      <w:pPr>
        <w:jc w:val="center"/>
        <w:rPr>
          <w:rFonts w:ascii="Verdana" w:hAnsi="Verdana"/>
          <w:sz w:val="20"/>
        </w:rPr>
      </w:pPr>
    </w:p>
    <w:p w:rsidR="00000000" w:rsidRDefault="00E51623">
      <w:pPr>
        <w:jc w:val="center"/>
        <w:rPr>
          <w:rFonts w:ascii="Verdana" w:hAnsi="Verdana"/>
          <w:sz w:val="20"/>
        </w:rPr>
      </w:pPr>
    </w:p>
    <w:p w:rsidR="00000000" w:rsidRDefault="00E51623">
      <w:pPr>
        <w:jc w:val="center"/>
        <w:rPr>
          <w:rFonts w:ascii="Verdana" w:hAnsi="Verdana"/>
          <w:sz w:val="20"/>
        </w:rPr>
      </w:pPr>
      <w:r>
        <w:rPr>
          <w:rFonts w:ascii="Verdana" w:hAnsi="Verdana"/>
          <w:sz w:val="20"/>
        </w:rPr>
        <w:t>Sergio García Ramírez</w:t>
      </w:r>
    </w:p>
    <w:p w:rsidR="00000000" w:rsidRDefault="00E51623">
      <w:pPr>
        <w:jc w:val="center"/>
        <w:rPr>
          <w:rFonts w:ascii="Verdana" w:hAnsi="Verdana"/>
          <w:sz w:val="20"/>
        </w:rPr>
      </w:pPr>
      <w:r>
        <w:rPr>
          <w:rFonts w:ascii="Verdana" w:hAnsi="Verdana"/>
          <w:sz w:val="20"/>
        </w:rPr>
        <w:t>Presidente</w:t>
      </w:r>
    </w:p>
    <w:p w:rsidR="00000000" w:rsidRDefault="00E51623">
      <w:pPr>
        <w:jc w:val="both"/>
        <w:rPr>
          <w:rFonts w:ascii="Verdana" w:hAnsi="Verdana"/>
          <w:sz w:val="20"/>
        </w:rPr>
      </w:pPr>
    </w:p>
    <w:p w:rsidR="00000000" w:rsidRDefault="00E51623">
      <w:pPr>
        <w:jc w:val="both"/>
        <w:rPr>
          <w:rFonts w:ascii="Verdana" w:hAnsi="Verdana"/>
          <w:sz w:val="20"/>
        </w:rPr>
      </w:pPr>
    </w:p>
    <w:p w:rsidR="00000000" w:rsidRDefault="00E51623">
      <w:pPr>
        <w:jc w:val="both"/>
        <w:rPr>
          <w:rFonts w:ascii="Verdana" w:hAnsi="Verdana"/>
          <w:sz w:val="20"/>
        </w:rPr>
      </w:pPr>
    </w:p>
    <w:p w:rsidR="00000000" w:rsidRDefault="00E51623">
      <w:pPr>
        <w:jc w:val="both"/>
        <w:rPr>
          <w:rFonts w:ascii="Verdana" w:hAnsi="Verdana"/>
          <w:sz w:val="20"/>
        </w:rPr>
      </w:pPr>
    </w:p>
    <w:p w:rsidR="00000000" w:rsidRDefault="00E51623">
      <w:pPr>
        <w:jc w:val="both"/>
        <w:rPr>
          <w:rFonts w:ascii="Verdana" w:hAnsi="Verdana"/>
          <w:sz w:val="20"/>
        </w:rPr>
      </w:pPr>
    </w:p>
    <w:p w:rsidR="00000000" w:rsidRDefault="00E51623">
      <w:pPr>
        <w:jc w:val="both"/>
        <w:rPr>
          <w:rFonts w:ascii="Verdana" w:hAnsi="Verdana"/>
          <w:sz w:val="20"/>
        </w:rPr>
      </w:pPr>
      <w:smartTag w:uri="urn:schemas-microsoft-com:office:smarttags" w:element="PersonName">
        <w:r>
          <w:rPr>
            <w:rFonts w:ascii="Verdana" w:hAnsi="Verdana"/>
            <w:sz w:val="20"/>
          </w:rPr>
          <w:t>Cecilia Medina</w:t>
        </w:r>
      </w:smartTag>
      <w:r>
        <w:rPr>
          <w:rFonts w:ascii="Verdana" w:hAnsi="Verdana"/>
          <w:sz w:val="20"/>
        </w:rPr>
        <w:t xml:space="preserve"> Quiroga</w:t>
      </w:r>
      <w:r>
        <w:rPr>
          <w:rFonts w:ascii="Verdana" w:hAnsi="Verdana"/>
          <w:sz w:val="20"/>
        </w:rPr>
        <w:tab/>
      </w:r>
      <w:r>
        <w:rPr>
          <w:rFonts w:ascii="Verdana" w:hAnsi="Verdana"/>
          <w:sz w:val="20"/>
        </w:rPr>
        <w:tab/>
      </w:r>
      <w:r>
        <w:rPr>
          <w:rFonts w:ascii="Verdana" w:hAnsi="Verdana"/>
          <w:sz w:val="20"/>
        </w:rPr>
        <w:tab/>
      </w:r>
      <w:r>
        <w:rPr>
          <w:rFonts w:ascii="Verdana" w:hAnsi="Verdana"/>
          <w:sz w:val="20"/>
        </w:rPr>
        <w:tab/>
      </w:r>
      <w:r>
        <w:rPr>
          <w:rFonts w:ascii="Verdana" w:hAnsi="Verdana"/>
          <w:sz w:val="20"/>
        </w:rPr>
        <w:tab/>
        <w:t>Manuel E. Ventura Robles</w:t>
      </w:r>
    </w:p>
    <w:p w:rsidR="00000000" w:rsidRDefault="00E51623">
      <w:pPr>
        <w:jc w:val="both"/>
        <w:rPr>
          <w:rFonts w:ascii="Verdana" w:hAnsi="Verdana"/>
          <w:sz w:val="20"/>
        </w:rPr>
      </w:pPr>
    </w:p>
    <w:p w:rsidR="00000000" w:rsidRDefault="00E51623">
      <w:pPr>
        <w:jc w:val="both"/>
        <w:rPr>
          <w:rFonts w:ascii="Verdana" w:hAnsi="Verdana"/>
          <w:sz w:val="20"/>
        </w:rPr>
      </w:pPr>
    </w:p>
    <w:p w:rsidR="00000000" w:rsidRDefault="00E51623">
      <w:pPr>
        <w:jc w:val="both"/>
        <w:rPr>
          <w:rFonts w:ascii="Verdana" w:hAnsi="Verdana"/>
          <w:sz w:val="20"/>
        </w:rPr>
      </w:pPr>
    </w:p>
    <w:p w:rsidR="00000000" w:rsidRDefault="00E51623">
      <w:pPr>
        <w:jc w:val="both"/>
        <w:rPr>
          <w:rFonts w:ascii="Verdana" w:hAnsi="Verdana"/>
          <w:sz w:val="20"/>
        </w:rPr>
      </w:pPr>
    </w:p>
    <w:p w:rsidR="00000000" w:rsidRDefault="00E51623">
      <w:pPr>
        <w:jc w:val="both"/>
        <w:rPr>
          <w:rFonts w:ascii="Verdana" w:hAnsi="Verdana"/>
          <w:sz w:val="20"/>
        </w:rPr>
      </w:pPr>
    </w:p>
    <w:p w:rsidR="00000000" w:rsidRDefault="00E51623">
      <w:pPr>
        <w:jc w:val="both"/>
        <w:rPr>
          <w:rFonts w:ascii="Verdana" w:hAnsi="Verdana"/>
          <w:sz w:val="20"/>
        </w:rPr>
      </w:pPr>
    </w:p>
    <w:p w:rsidR="00000000" w:rsidRDefault="00E51623">
      <w:pPr>
        <w:jc w:val="both"/>
        <w:rPr>
          <w:rFonts w:ascii="Verdana" w:hAnsi="Verdana"/>
          <w:sz w:val="20"/>
        </w:rPr>
      </w:pPr>
      <w:r>
        <w:rPr>
          <w:rFonts w:ascii="Verdana" w:hAnsi="Verdana"/>
          <w:sz w:val="20"/>
        </w:rPr>
        <w:t>Leonardo A. Franco</w:t>
      </w:r>
      <w:r>
        <w:rPr>
          <w:rFonts w:ascii="Verdana" w:hAnsi="Verdana"/>
          <w:sz w:val="20"/>
        </w:rPr>
        <w:tab/>
      </w:r>
      <w:r>
        <w:rPr>
          <w:rFonts w:ascii="Verdana" w:hAnsi="Verdana"/>
          <w:sz w:val="20"/>
        </w:rPr>
        <w:tab/>
      </w:r>
      <w:r>
        <w:rPr>
          <w:rFonts w:ascii="Verdana" w:hAnsi="Verdana"/>
          <w:sz w:val="20"/>
        </w:rPr>
        <w:tab/>
      </w:r>
      <w:r>
        <w:rPr>
          <w:rFonts w:ascii="Verdana" w:hAnsi="Verdana"/>
          <w:sz w:val="20"/>
        </w:rPr>
        <w:tab/>
      </w:r>
      <w:r>
        <w:rPr>
          <w:rFonts w:ascii="Verdana" w:hAnsi="Verdana"/>
          <w:sz w:val="20"/>
        </w:rPr>
        <w:tab/>
      </w:r>
      <w:r>
        <w:rPr>
          <w:rFonts w:ascii="Verdana" w:hAnsi="Verdana"/>
          <w:sz w:val="20"/>
        </w:rPr>
        <w:tab/>
        <w:t>Margarette May Macaulay</w:t>
      </w:r>
      <w:r>
        <w:rPr>
          <w:rFonts w:ascii="Verdana" w:hAnsi="Verdana"/>
          <w:sz w:val="20"/>
        </w:rPr>
        <w:tab/>
      </w:r>
      <w:r>
        <w:rPr>
          <w:rFonts w:ascii="Verdana" w:hAnsi="Verdana"/>
          <w:sz w:val="20"/>
        </w:rPr>
        <w:tab/>
      </w:r>
      <w:r>
        <w:rPr>
          <w:rFonts w:ascii="Verdana" w:hAnsi="Verdana"/>
          <w:sz w:val="20"/>
        </w:rPr>
        <w:tab/>
      </w:r>
      <w:r>
        <w:rPr>
          <w:rFonts w:ascii="Verdana" w:hAnsi="Verdana"/>
          <w:sz w:val="20"/>
        </w:rPr>
        <w:tab/>
      </w:r>
      <w:r>
        <w:rPr>
          <w:rFonts w:ascii="Verdana" w:hAnsi="Verdana"/>
          <w:sz w:val="20"/>
        </w:rPr>
        <w:tab/>
      </w:r>
    </w:p>
    <w:p w:rsidR="00000000" w:rsidRDefault="00E51623">
      <w:pPr>
        <w:jc w:val="both"/>
        <w:rPr>
          <w:rFonts w:ascii="Verdana" w:hAnsi="Verdana"/>
          <w:sz w:val="20"/>
        </w:rPr>
      </w:pPr>
    </w:p>
    <w:p w:rsidR="00000000" w:rsidRDefault="00E51623">
      <w:pPr>
        <w:jc w:val="both"/>
        <w:rPr>
          <w:rFonts w:ascii="Verdana" w:hAnsi="Verdana"/>
          <w:sz w:val="20"/>
        </w:rPr>
      </w:pPr>
    </w:p>
    <w:p w:rsidR="00000000" w:rsidRDefault="00E51623">
      <w:pPr>
        <w:jc w:val="both"/>
        <w:rPr>
          <w:rFonts w:ascii="Verdana" w:hAnsi="Verdana"/>
          <w:sz w:val="20"/>
        </w:rPr>
      </w:pPr>
    </w:p>
    <w:p w:rsidR="00000000" w:rsidRDefault="00E51623">
      <w:pPr>
        <w:jc w:val="both"/>
        <w:rPr>
          <w:rFonts w:ascii="Verdana" w:hAnsi="Verdana"/>
          <w:sz w:val="20"/>
        </w:rPr>
      </w:pPr>
    </w:p>
    <w:p w:rsidR="00000000" w:rsidRDefault="00E51623">
      <w:pPr>
        <w:jc w:val="both"/>
        <w:rPr>
          <w:rFonts w:ascii="Verdana" w:hAnsi="Verdana"/>
          <w:sz w:val="20"/>
        </w:rPr>
      </w:pPr>
    </w:p>
    <w:p w:rsidR="00000000" w:rsidRDefault="00E51623">
      <w:pPr>
        <w:jc w:val="both"/>
        <w:rPr>
          <w:rFonts w:ascii="Verdana" w:hAnsi="Verdana"/>
          <w:sz w:val="20"/>
        </w:rPr>
      </w:pPr>
    </w:p>
    <w:p w:rsidR="00000000" w:rsidRDefault="00E51623">
      <w:pPr>
        <w:ind w:left="2160" w:firstLine="720"/>
        <w:jc w:val="both"/>
        <w:rPr>
          <w:rFonts w:ascii="Verdana" w:hAnsi="Verdana"/>
          <w:sz w:val="20"/>
        </w:rPr>
      </w:pPr>
      <w:r>
        <w:rPr>
          <w:rFonts w:ascii="Verdana" w:hAnsi="Verdana"/>
          <w:sz w:val="20"/>
        </w:rPr>
        <w:t xml:space="preserve">Rhadys Abreu Blondet        </w:t>
      </w:r>
    </w:p>
    <w:p w:rsidR="00000000" w:rsidRDefault="00E51623">
      <w:pPr>
        <w:jc w:val="both"/>
        <w:rPr>
          <w:rFonts w:ascii="Verdana" w:hAnsi="Verdana"/>
          <w:sz w:val="20"/>
        </w:rPr>
      </w:pPr>
    </w:p>
    <w:p w:rsidR="00000000" w:rsidRDefault="00E51623">
      <w:pPr>
        <w:jc w:val="both"/>
        <w:rPr>
          <w:rFonts w:ascii="Verdana" w:hAnsi="Verdana"/>
          <w:sz w:val="20"/>
        </w:rPr>
      </w:pPr>
    </w:p>
    <w:p w:rsidR="00000000" w:rsidRDefault="00E51623">
      <w:pPr>
        <w:jc w:val="both"/>
        <w:rPr>
          <w:rFonts w:ascii="Verdana" w:hAnsi="Verdana"/>
          <w:sz w:val="20"/>
        </w:rPr>
      </w:pPr>
    </w:p>
    <w:p w:rsidR="00000000" w:rsidRDefault="00E51623">
      <w:pPr>
        <w:jc w:val="both"/>
        <w:rPr>
          <w:rFonts w:ascii="Verdana" w:hAnsi="Verdana"/>
          <w:sz w:val="20"/>
        </w:rPr>
      </w:pPr>
    </w:p>
    <w:p w:rsidR="00000000" w:rsidRDefault="00E51623">
      <w:pPr>
        <w:jc w:val="both"/>
        <w:rPr>
          <w:rFonts w:ascii="Verdana" w:hAnsi="Verdana"/>
          <w:sz w:val="20"/>
        </w:rPr>
      </w:pPr>
    </w:p>
    <w:p w:rsidR="00000000" w:rsidRDefault="00E51623">
      <w:pPr>
        <w:jc w:val="center"/>
        <w:rPr>
          <w:rFonts w:ascii="Verdana" w:hAnsi="Verdana"/>
          <w:sz w:val="20"/>
        </w:rPr>
      </w:pPr>
      <w:smartTag w:uri="urn:schemas-microsoft-com:office:smarttags" w:element="PersonName">
        <w:r>
          <w:rPr>
            <w:rFonts w:ascii="Verdana" w:hAnsi="Verdana"/>
            <w:sz w:val="20"/>
          </w:rPr>
          <w:t>Pablo Saavedra</w:t>
        </w:r>
      </w:smartTag>
      <w:r>
        <w:rPr>
          <w:rFonts w:ascii="Verdana" w:hAnsi="Verdana"/>
          <w:sz w:val="20"/>
        </w:rPr>
        <w:t xml:space="preserve"> Alessandri</w:t>
      </w:r>
    </w:p>
    <w:p w:rsidR="00000000" w:rsidRDefault="00E51623">
      <w:pPr>
        <w:jc w:val="center"/>
        <w:rPr>
          <w:rFonts w:ascii="Verdana" w:hAnsi="Verdana"/>
          <w:sz w:val="20"/>
        </w:rPr>
      </w:pPr>
      <w:r>
        <w:rPr>
          <w:rFonts w:ascii="Verdana" w:hAnsi="Verdana"/>
          <w:sz w:val="20"/>
        </w:rPr>
        <w:t>Secretario</w:t>
      </w:r>
    </w:p>
    <w:p w:rsidR="00000000" w:rsidRDefault="00E51623">
      <w:pPr>
        <w:jc w:val="both"/>
        <w:rPr>
          <w:rFonts w:ascii="Verdana" w:hAnsi="Verdana"/>
          <w:sz w:val="20"/>
        </w:rPr>
      </w:pPr>
    </w:p>
    <w:p w:rsidR="00000000" w:rsidRDefault="00E51623">
      <w:pPr>
        <w:jc w:val="both"/>
        <w:rPr>
          <w:rFonts w:ascii="Verdana" w:hAnsi="Verdana"/>
          <w:sz w:val="20"/>
        </w:rPr>
      </w:pPr>
    </w:p>
    <w:p w:rsidR="00000000" w:rsidRDefault="00E51623">
      <w:pPr>
        <w:jc w:val="both"/>
        <w:rPr>
          <w:rFonts w:ascii="Verdana" w:hAnsi="Verdana"/>
          <w:sz w:val="20"/>
        </w:rPr>
      </w:pPr>
      <w:r>
        <w:rPr>
          <w:rFonts w:ascii="Verdana" w:hAnsi="Verdana"/>
          <w:sz w:val="20"/>
        </w:rPr>
        <w:t xml:space="preserve">Comuníquese y </w:t>
      </w:r>
      <w:r>
        <w:rPr>
          <w:rFonts w:ascii="Verdana" w:hAnsi="Verdana"/>
          <w:sz w:val="20"/>
        </w:rPr>
        <w:t>ejecútese,</w:t>
      </w:r>
    </w:p>
    <w:p w:rsidR="00000000" w:rsidRDefault="00E51623">
      <w:pPr>
        <w:jc w:val="both"/>
        <w:rPr>
          <w:rFonts w:ascii="Verdana" w:hAnsi="Verdana"/>
          <w:sz w:val="20"/>
        </w:rPr>
      </w:pPr>
    </w:p>
    <w:p w:rsidR="00000000" w:rsidRDefault="00E51623">
      <w:pPr>
        <w:jc w:val="both"/>
        <w:rPr>
          <w:rFonts w:ascii="Verdana" w:hAnsi="Verdana"/>
          <w:sz w:val="20"/>
        </w:rPr>
      </w:pPr>
    </w:p>
    <w:p w:rsidR="00000000" w:rsidRDefault="00E51623">
      <w:pPr>
        <w:jc w:val="both"/>
        <w:rPr>
          <w:rFonts w:ascii="Verdana" w:hAnsi="Verdana"/>
          <w:sz w:val="20"/>
        </w:rPr>
      </w:pPr>
    </w:p>
    <w:p w:rsidR="00000000" w:rsidRDefault="00E51623">
      <w:pPr>
        <w:jc w:val="both"/>
        <w:rPr>
          <w:rFonts w:ascii="Verdana" w:hAnsi="Verdana"/>
          <w:sz w:val="20"/>
        </w:rPr>
      </w:pPr>
    </w:p>
    <w:p w:rsidR="00000000" w:rsidRDefault="00E51623">
      <w:pPr>
        <w:ind w:left="2880" w:firstLine="720"/>
        <w:jc w:val="center"/>
        <w:rPr>
          <w:rFonts w:ascii="Verdana" w:hAnsi="Verdana"/>
          <w:sz w:val="20"/>
        </w:rPr>
      </w:pPr>
      <w:r>
        <w:rPr>
          <w:rFonts w:ascii="Verdana" w:hAnsi="Verdana"/>
          <w:sz w:val="20"/>
        </w:rPr>
        <w:t>Sergio García Ramírez</w:t>
      </w:r>
    </w:p>
    <w:p w:rsidR="00000000" w:rsidRDefault="00E51623">
      <w:pPr>
        <w:ind w:left="2880" w:firstLine="720"/>
        <w:jc w:val="center"/>
        <w:rPr>
          <w:rFonts w:ascii="Verdana" w:hAnsi="Verdana"/>
          <w:sz w:val="20"/>
        </w:rPr>
      </w:pPr>
      <w:r>
        <w:rPr>
          <w:rFonts w:ascii="Verdana" w:hAnsi="Verdana"/>
          <w:sz w:val="20"/>
        </w:rPr>
        <w:t>Presidente</w:t>
      </w:r>
    </w:p>
    <w:p w:rsidR="00000000" w:rsidRDefault="00E51623">
      <w:pPr>
        <w:jc w:val="both"/>
        <w:rPr>
          <w:rFonts w:ascii="Verdana" w:hAnsi="Verdana"/>
          <w:sz w:val="20"/>
        </w:rPr>
      </w:pPr>
    </w:p>
    <w:p w:rsidR="00000000" w:rsidRDefault="00E51623">
      <w:pPr>
        <w:jc w:val="both"/>
        <w:rPr>
          <w:rFonts w:ascii="Verdana" w:hAnsi="Verdana"/>
          <w:sz w:val="20"/>
        </w:rPr>
      </w:pPr>
    </w:p>
    <w:p w:rsidR="00000000" w:rsidRDefault="00E51623">
      <w:pPr>
        <w:jc w:val="both"/>
        <w:rPr>
          <w:rFonts w:ascii="Verdana" w:hAnsi="Verdana"/>
          <w:sz w:val="20"/>
        </w:rPr>
      </w:pPr>
    </w:p>
    <w:p w:rsidR="00000000" w:rsidRDefault="00E51623">
      <w:pPr>
        <w:jc w:val="both"/>
        <w:rPr>
          <w:rFonts w:ascii="Verdana" w:hAnsi="Verdana"/>
          <w:sz w:val="20"/>
        </w:rPr>
      </w:pPr>
    </w:p>
    <w:p w:rsidR="00000000" w:rsidRDefault="00E51623">
      <w:pPr>
        <w:jc w:val="both"/>
        <w:rPr>
          <w:rFonts w:ascii="Verdana" w:hAnsi="Verdana"/>
          <w:sz w:val="20"/>
        </w:rPr>
      </w:pPr>
      <w:smartTag w:uri="urn:schemas-microsoft-com:office:smarttags" w:element="PersonName">
        <w:r>
          <w:rPr>
            <w:rFonts w:ascii="Verdana" w:hAnsi="Verdana"/>
            <w:sz w:val="20"/>
          </w:rPr>
          <w:t>Pablo Saavedra</w:t>
        </w:r>
      </w:smartTag>
      <w:r>
        <w:rPr>
          <w:rFonts w:ascii="Verdana" w:hAnsi="Verdana"/>
          <w:sz w:val="20"/>
        </w:rPr>
        <w:t xml:space="preserve"> Alessandri</w:t>
      </w:r>
    </w:p>
    <w:p w:rsidR="00000000" w:rsidRDefault="00E51623">
      <w:pPr>
        <w:rPr>
          <w:rFonts w:ascii="Verdana" w:hAnsi="Verdana"/>
          <w:sz w:val="20"/>
        </w:rPr>
      </w:pPr>
      <w:r>
        <w:rPr>
          <w:rFonts w:ascii="Verdana" w:hAnsi="Verdana"/>
          <w:sz w:val="20"/>
        </w:rPr>
        <w:tab/>
        <w:t xml:space="preserve">  Secretario </w:t>
      </w:r>
    </w:p>
    <w:p w:rsidR="00000000" w:rsidRDefault="00E51623">
      <w:pPr>
        <w:rPr>
          <w:rFonts w:ascii="Verdana" w:hAnsi="Verdana"/>
          <w:sz w:val="20"/>
        </w:rPr>
      </w:pPr>
    </w:p>
    <w:p w:rsidR="00000000" w:rsidRPr="00EF7C5E" w:rsidRDefault="00E51623"/>
    <w:p w:rsidR="004D7A6E" w:rsidRPr="00DF038B" w:rsidRDefault="00E51623">
      <w:pPr>
        <w:spacing w:after="160"/>
        <w:jc w:val="both"/>
        <w:rPr>
          <w:rFonts w:ascii="Verdana" w:hAnsi="Verdana"/>
          <w:sz w:val="20"/>
          <w:szCs w:val="20"/>
          <w:lang w:val="es-ES_tradnl"/>
        </w:rPr>
      </w:pPr>
    </w:p>
    <w:sectPr w:rsidR="004D7A6E" w:rsidRPr="00DF038B">
      <w:headerReference w:type="even" r:id="rId7"/>
      <w:headerReference w:type="default" r:id="rId8"/>
      <w:footerReference w:type="even" r:id="rId9"/>
      <w:footerReference w:type="default" r:id="rId10"/>
      <w:headerReference w:type="first" r:id="rId11"/>
      <w:footerReference w:type="first" r:id="rId12"/>
      <w:pgSz w:w="12240" w:h="15840"/>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1623" w:rsidRDefault="00E51623">
      <w:r>
        <w:separator/>
      </w:r>
    </w:p>
  </w:endnote>
  <w:endnote w:type="continuationSeparator" w:id="0">
    <w:p w:rsidR="00E51623" w:rsidRDefault="00E516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 w:name="Bradley Hand ITC TT-Bold">
    <w:charset w:val="00"/>
    <w:family w:val="auto"/>
    <w:pitch w:val="variable"/>
    <w:sig w:usb0="03000000" w:usb1="00000000" w:usb2="00000000" w:usb3="00000000" w:csb0="00000001" w:csb1="00000000"/>
  </w:font>
  <w:font w:name="Verdana-Bold">
    <w:altName w:val="Verdan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E5162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E51623">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E5162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1623" w:rsidRDefault="00E51623">
      <w:r>
        <w:separator/>
      </w:r>
    </w:p>
  </w:footnote>
  <w:footnote w:type="continuationSeparator" w:id="0">
    <w:p w:rsidR="00E51623" w:rsidRDefault="00E51623">
      <w:r>
        <w:continuationSeparator/>
      </w:r>
    </w:p>
  </w:footnote>
  <w:footnote w:id="1">
    <w:p w:rsidR="00000000" w:rsidRPr="00A53F12" w:rsidRDefault="00E51623">
      <w:pPr>
        <w:pStyle w:val="Textonotapie"/>
        <w:jc w:val="both"/>
        <w:rPr>
          <w:rFonts w:ascii="Verdana" w:hAnsi="Verdana"/>
          <w:sz w:val="16"/>
        </w:rPr>
      </w:pPr>
      <w:r>
        <w:rPr>
          <w:rStyle w:val="Refdenotaalpie"/>
          <w:rFonts w:ascii="Verdana" w:hAnsi="Verdana"/>
          <w:sz w:val="16"/>
        </w:rPr>
        <w:sym w:font="Symbol" w:char="F02A"/>
      </w:r>
      <w:r>
        <w:rPr>
          <w:rFonts w:ascii="Verdana" w:hAnsi="Verdana"/>
          <w:sz w:val="16"/>
        </w:rPr>
        <w:t xml:space="preserve"> </w:t>
      </w:r>
      <w:r>
        <w:rPr>
          <w:rFonts w:ascii="Verdana" w:hAnsi="Verdana"/>
          <w:sz w:val="16"/>
        </w:rPr>
        <w:tab/>
      </w:r>
      <w:r w:rsidRPr="00131373">
        <w:rPr>
          <w:rFonts w:ascii="Verdana" w:hAnsi="Verdana"/>
          <w:sz w:val="16"/>
        </w:rPr>
        <w:t>El Juez Diego García-Sayán, de nacionalidad peruana, se excusó de conocer el presente caso, de conformidad con los artículos 19.2 del Estatuto y 19 del Regla</w:t>
      </w:r>
      <w:r w:rsidRPr="00131373">
        <w:rPr>
          <w:rFonts w:ascii="Verdana" w:hAnsi="Verdana"/>
          <w:sz w:val="16"/>
        </w:rPr>
        <w:t xml:space="preserve">mento de </w:t>
      </w:r>
      <w:smartTag w:uri="urn:schemas-microsoft-com:office:smarttags" w:element="PersonName">
        <w:smartTagPr>
          <w:attr w:name="ProductID" w:val="la Corte"/>
        </w:smartTagPr>
        <w:r w:rsidRPr="00131373">
          <w:rPr>
            <w:rFonts w:ascii="Verdana" w:hAnsi="Verdana"/>
            <w:sz w:val="16"/>
          </w:rPr>
          <w:t>la Corte</w:t>
        </w:r>
      </w:smartTag>
      <w:r w:rsidRPr="00131373">
        <w:rPr>
          <w:rFonts w:ascii="Verdana" w:hAnsi="Verdana"/>
          <w:sz w:val="16"/>
        </w:rPr>
        <w:t>, lo cual fue aceptado por el Tribunal. Por tal motivo, el Juez García-Sayán no participó en la deliberación y firma de la presente Sentencia.</w:t>
      </w:r>
      <w:r>
        <w:rPr>
          <w:rFonts w:ascii="Verdana" w:hAnsi="Verdana"/>
          <w:sz w:val="16"/>
        </w:rPr>
        <w:t xml:space="preserve"> </w:t>
      </w:r>
    </w:p>
    <w:p w:rsidR="00000000" w:rsidRDefault="00E51623">
      <w:pPr>
        <w:pStyle w:val="Textonotapie"/>
        <w:jc w:val="both"/>
        <w:rPr>
          <w:rFonts w:ascii="Verdana" w:hAnsi="Verdana"/>
          <w:sz w:val="16"/>
        </w:rPr>
      </w:pPr>
    </w:p>
  </w:footnote>
  <w:footnote w:id="2">
    <w:p w:rsidR="00000000" w:rsidRPr="000123DB" w:rsidRDefault="00E51623">
      <w:pPr>
        <w:pStyle w:val="Textonotapie"/>
        <w:jc w:val="both"/>
        <w:rPr>
          <w:rFonts w:ascii="Verdana" w:hAnsi="Verdana"/>
          <w:sz w:val="16"/>
          <w:lang w:val="es-ES"/>
        </w:rPr>
      </w:pPr>
      <w:r w:rsidRPr="000123DB">
        <w:rPr>
          <w:rStyle w:val="Refdenotaalpie"/>
          <w:sz w:val="16"/>
        </w:rPr>
        <w:footnoteRef/>
      </w:r>
      <w:r w:rsidRPr="000123DB">
        <w:rPr>
          <w:rFonts w:ascii="Verdana" w:hAnsi="Verdana"/>
          <w:sz w:val="16"/>
        </w:rPr>
        <w:tab/>
      </w:r>
      <w:r w:rsidRPr="000123DB">
        <w:rPr>
          <w:rFonts w:ascii="Verdana" w:hAnsi="Verdana"/>
          <w:i/>
          <w:sz w:val="16"/>
        </w:rPr>
        <w:t xml:space="preserve">Cfr. </w:t>
      </w:r>
      <w:r w:rsidRPr="000123DB">
        <w:rPr>
          <w:rFonts w:ascii="Verdana" w:hAnsi="Verdana"/>
          <w:sz w:val="16"/>
        </w:rPr>
        <w:t xml:space="preserve">Corte IDH. </w:t>
      </w:r>
      <w:r w:rsidRPr="000123DB">
        <w:rPr>
          <w:rFonts w:ascii="Verdana" w:hAnsi="Verdana"/>
          <w:i/>
          <w:sz w:val="16"/>
          <w:szCs w:val="22"/>
        </w:rPr>
        <w:t>Caso Loayza Tamayo vs. Perú</w:t>
      </w:r>
      <w:r w:rsidRPr="000123DB">
        <w:rPr>
          <w:rFonts w:ascii="Verdana" w:hAnsi="Verdana"/>
          <w:sz w:val="16"/>
          <w:szCs w:val="22"/>
        </w:rPr>
        <w:t xml:space="preserve">. Interpretación de </w:t>
      </w:r>
      <w:smartTag w:uri="urn:schemas-microsoft-com:office:smarttags" w:element="PersonName">
        <w:smartTagPr>
          <w:attr w:name="ProductID" w:val="la Sentencia"/>
        </w:smartTagPr>
        <w:r w:rsidRPr="000123DB">
          <w:rPr>
            <w:rFonts w:ascii="Verdana" w:hAnsi="Verdana"/>
            <w:sz w:val="16"/>
            <w:szCs w:val="22"/>
          </w:rPr>
          <w:t>la Sentencia</w:t>
        </w:r>
      </w:smartTag>
      <w:r w:rsidRPr="000123DB">
        <w:rPr>
          <w:rFonts w:ascii="Verdana" w:hAnsi="Verdana"/>
          <w:sz w:val="16"/>
          <w:szCs w:val="22"/>
        </w:rPr>
        <w:t xml:space="preserve"> de Fondo. Resolu</w:t>
      </w:r>
      <w:r w:rsidRPr="000123DB">
        <w:rPr>
          <w:rFonts w:ascii="Verdana" w:hAnsi="Verdana"/>
          <w:sz w:val="16"/>
          <w:szCs w:val="22"/>
        </w:rPr>
        <w:t xml:space="preserve">ción de </w:t>
      </w:r>
      <w:smartTag w:uri="urn:schemas-microsoft-com:office:smarttags" w:element="PersonName">
        <w:smartTagPr>
          <w:attr w:name="ProductID" w:val="la Corte"/>
        </w:smartTagPr>
        <w:r w:rsidRPr="000123DB">
          <w:rPr>
            <w:rFonts w:ascii="Verdana" w:hAnsi="Verdana"/>
            <w:sz w:val="16"/>
            <w:szCs w:val="22"/>
          </w:rPr>
          <w:t>la Corte</w:t>
        </w:r>
      </w:smartTag>
      <w:r w:rsidRPr="000123DB">
        <w:rPr>
          <w:rFonts w:ascii="Verdana" w:hAnsi="Verdana"/>
          <w:sz w:val="16"/>
          <w:szCs w:val="22"/>
        </w:rPr>
        <w:t xml:space="preserve"> de 8 de marzo de 1998. Serie C No. 47</w:t>
      </w:r>
      <w:r w:rsidRPr="000123DB">
        <w:rPr>
          <w:rFonts w:ascii="Verdana" w:hAnsi="Verdana"/>
          <w:sz w:val="16"/>
        </w:rPr>
        <w:t xml:space="preserve">, párr. 16; Corte IDH. </w:t>
      </w:r>
      <w:r w:rsidRPr="000123DB">
        <w:rPr>
          <w:rFonts w:ascii="Verdana-Bold" w:hAnsi="Verdana-Bold"/>
          <w:i/>
          <w:sz w:val="16"/>
          <w:szCs w:val="22"/>
        </w:rPr>
        <w:t>Caso Trabajadores Cesados del Congreso (Aguado Alfaro y otros) vs. Perú</w:t>
      </w:r>
      <w:r w:rsidRPr="000123DB">
        <w:rPr>
          <w:rFonts w:ascii="Verdana-Bold" w:hAnsi="Verdana-Bold"/>
          <w:sz w:val="16"/>
          <w:szCs w:val="22"/>
        </w:rPr>
        <w:t xml:space="preserve">. </w:t>
      </w:r>
      <w:r w:rsidRPr="000123DB">
        <w:rPr>
          <w:rFonts w:ascii="Verdana" w:hAnsi="Verdana"/>
          <w:sz w:val="16"/>
          <w:szCs w:val="22"/>
        </w:rPr>
        <w:t xml:space="preserve">Solicitud de Interpretación de </w:t>
      </w:r>
      <w:smartTag w:uri="urn:schemas-microsoft-com:office:smarttags" w:element="PersonName">
        <w:smartTagPr>
          <w:attr w:name="ProductID" w:val="la Sentencia"/>
        </w:smartTagPr>
        <w:r w:rsidRPr="000123DB">
          <w:rPr>
            <w:rFonts w:ascii="Verdana" w:hAnsi="Verdana"/>
            <w:sz w:val="16"/>
            <w:szCs w:val="22"/>
          </w:rPr>
          <w:t>la Sentencia</w:t>
        </w:r>
      </w:smartTag>
      <w:r w:rsidRPr="000123DB">
        <w:rPr>
          <w:rFonts w:ascii="Verdana" w:hAnsi="Verdana"/>
          <w:sz w:val="16"/>
          <w:szCs w:val="22"/>
        </w:rPr>
        <w:t xml:space="preserve"> de Excepciones Preliminares, Fondo, Reparaciones y Costas. Sen</w:t>
      </w:r>
      <w:r w:rsidRPr="000123DB">
        <w:rPr>
          <w:rFonts w:ascii="Verdana" w:hAnsi="Verdana"/>
          <w:sz w:val="16"/>
          <w:szCs w:val="22"/>
        </w:rPr>
        <w:t xml:space="preserve">tencia de 30 de noviembre de 2007. Serie C No. 174, párr. 11; y Corte IDH. </w:t>
      </w:r>
      <w:r w:rsidRPr="000123DB">
        <w:rPr>
          <w:rFonts w:ascii="Verdana" w:hAnsi="Verdana"/>
          <w:i/>
          <w:sz w:val="16"/>
        </w:rPr>
        <w:t xml:space="preserve">Caso </w:t>
      </w:r>
      <w:smartTag w:uri="urn:schemas-microsoft-com:office:smarttags" w:element="PersonName">
        <w:smartTagPr>
          <w:attr w:name="ProductID" w:val="La Cantuta"/>
        </w:smartTagPr>
        <w:r w:rsidRPr="000123DB">
          <w:rPr>
            <w:rFonts w:ascii="Verdana" w:hAnsi="Verdana"/>
            <w:i/>
            <w:sz w:val="16"/>
          </w:rPr>
          <w:t>La Cantuta</w:t>
        </w:r>
      </w:smartTag>
      <w:r w:rsidRPr="000123DB">
        <w:rPr>
          <w:rFonts w:ascii="Verdana" w:hAnsi="Verdana"/>
          <w:i/>
          <w:sz w:val="16"/>
        </w:rPr>
        <w:t xml:space="preserve"> vs. Perú.</w:t>
      </w:r>
      <w:r w:rsidRPr="000123DB">
        <w:rPr>
          <w:rFonts w:ascii="Verdana" w:hAnsi="Verdana"/>
          <w:sz w:val="16"/>
        </w:rPr>
        <w:t xml:space="preserve"> Interpretación de </w:t>
      </w:r>
      <w:smartTag w:uri="urn:schemas-microsoft-com:office:smarttags" w:element="PersonName">
        <w:smartTagPr>
          <w:attr w:name="ProductID" w:val="la Sentencia"/>
        </w:smartTagPr>
        <w:r w:rsidRPr="000123DB">
          <w:rPr>
            <w:rFonts w:ascii="Verdana" w:hAnsi="Verdana"/>
            <w:sz w:val="16"/>
          </w:rPr>
          <w:t>la Sentencia</w:t>
        </w:r>
      </w:smartTag>
      <w:r w:rsidRPr="000123DB">
        <w:rPr>
          <w:rFonts w:ascii="Verdana" w:hAnsi="Verdana"/>
          <w:sz w:val="16"/>
        </w:rPr>
        <w:t xml:space="preserve"> de Fondo, Reparaciones y Costas. Sentencia de 30 de noviembre de 2007. Serie C No. 173, párr. 9. </w:t>
      </w:r>
    </w:p>
    <w:p w:rsidR="00000000" w:rsidRDefault="00E51623">
      <w:pPr>
        <w:pStyle w:val="Textonotapie"/>
        <w:jc w:val="both"/>
        <w:rPr>
          <w:lang w:val="es-ES"/>
        </w:rPr>
      </w:pPr>
    </w:p>
  </w:footnote>
  <w:footnote w:id="3">
    <w:p w:rsidR="00000000" w:rsidRPr="00A81E77" w:rsidRDefault="00E51623">
      <w:pPr>
        <w:jc w:val="both"/>
        <w:rPr>
          <w:rFonts w:ascii="Verdana" w:hAnsi="Verdana"/>
          <w:sz w:val="16"/>
        </w:rPr>
      </w:pPr>
      <w:r w:rsidRPr="00A81E77">
        <w:rPr>
          <w:rStyle w:val="Refdenotaalpie"/>
          <w:sz w:val="16"/>
        </w:rPr>
        <w:footnoteRef/>
      </w:r>
      <w:r w:rsidRPr="00A81E77">
        <w:rPr>
          <w:sz w:val="16"/>
        </w:rPr>
        <w:t xml:space="preserve"> </w:t>
      </w:r>
      <w:r w:rsidRPr="00A81E77">
        <w:rPr>
          <w:sz w:val="16"/>
        </w:rPr>
        <w:tab/>
      </w:r>
      <w:r w:rsidRPr="00A81E77">
        <w:rPr>
          <w:rFonts w:ascii="Verdana" w:hAnsi="Verdana"/>
          <w:i/>
          <w:sz w:val="16"/>
        </w:rPr>
        <w:t xml:space="preserve">Cfr. </w:t>
      </w:r>
      <w:r w:rsidRPr="00A81E77">
        <w:rPr>
          <w:rFonts w:ascii="Verdana" w:hAnsi="Verdana"/>
          <w:sz w:val="16"/>
        </w:rPr>
        <w:t xml:space="preserve">Corte IDH. </w:t>
      </w:r>
      <w:r w:rsidRPr="00A81E77">
        <w:rPr>
          <w:rFonts w:ascii="Verdana" w:hAnsi="Verdana"/>
          <w:i/>
          <w:sz w:val="16"/>
        </w:rPr>
        <w:t>Caso L</w:t>
      </w:r>
      <w:r w:rsidRPr="00A81E77">
        <w:rPr>
          <w:rFonts w:ascii="Verdana" w:hAnsi="Verdana"/>
          <w:i/>
          <w:sz w:val="16"/>
        </w:rPr>
        <w:t>oayza Tamayo vs. Perú</w:t>
      </w:r>
      <w:r w:rsidRPr="00A81E77">
        <w:rPr>
          <w:rFonts w:ascii="Verdana" w:hAnsi="Verdana"/>
          <w:sz w:val="16"/>
        </w:rPr>
        <w:t>.</w:t>
      </w:r>
      <w:r w:rsidRPr="008A5C11">
        <w:rPr>
          <w:rFonts w:ascii="Verdana" w:hAnsi="Verdana"/>
          <w:i/>
          <w:sz w:val="16"/>
        </w:rPr>
        <w:t xml:space="preserve"> </w:t>
      </w:r>
      <w:r w:rsidRPr="000123DB">
        <w:rPr>
          <w:rFonts w:ascii="Verdana" w:hAnsi="Verdana"/>
          <w:sz w:val="16"/>
        </w:rPr>
        <w:t xml:space="preserve">Interpretación de </w:t>
      </w:r>
      <w:smartTag w:uri="urn:schemas-microsoft-com:office:smarttags" w:element="PersonName">
        <w:smartTagPr>
          <w:attr w:name="ProductID" w:val="la Sentencia"/>
        </w:smartTagPr>
        <w:r w:rsidRPr="000123DB">
          <w:rPr>
            <w:rFonts w:ascii="Verdana" w:hAnsi="Verdana"/>
            <w:sz w:val="16"/>
          </w:rPr>
          <w:t>la Sentencia</w:t>
        </w:r>
      </w:smartTag>
      <w:r w:rsidRPr="000123DB">
        <w:rPr>
          <w:rFonts w:ascii="Verdana" w:hAnsi="Verdana"/>
          <w:sz w:val="16"/>
        </w:rPr>
        <w:t xml:space="preserve"> sobre Reparaciones</w:t>
      </w:r>
      <w:r w:rsidRPr="008A5C11">
        <w:rPr>
          <w:rFonts w:ascii="Verdana" w:hAnsi="Verdana"/>
          <w:i/>
          <w:sz w:val="16"/>
        </w:rPr>
        <w:t>.</w:t>
      </w:r>
      <w:r w:rsidRPr="00A81E77">
        <w:rPr>
          <w:rFonts w:ascii="Verdana" w:hAnsi="Verdana"/>
          <w:sz w:val="16"/>
        </w:rPr>
        <w:t xml:space="preserve"> Sentencia de 3 de junio de 1999. Serie C No. 53, párr. 15; Corte IDH. </w:t>
      </w:r>
      <w:r w:rsidRPr="000123DB">
        <w:rPr>
          <w:rFonts w:ascii="Verdana-Bold" w:hAnsi="Verdana-Bold"/>
          <w:i/>
          <w:sz w:val="16"/>
          <w:szCs w:val="22"/>
        </w:rPr>
        <w:t>Caso Trabajadores Cesados del Congreso (Aguado Alfaro y otros) vs. Perú</w:t>
      </w:r>
      <w:r w:rsidRPr="000123DB">
        <w:rPr>
          <w:rFonts w:ascii="Verdana-Bold" w:hAnsi="Verdana-Bold"/>
          <w:sz w:val="16"/>
          <w:szCs w:val="22"/>
        </w:rPr>
        <w:t xml:space="preserve">. </w:t>
      </w:r>
      <w:r w:rsidRPr="000123DB">
        <w:rPr>
          <w:rFonts w:ascii="Verdana" w:hAnsi="Verdana"/>
          <w:sz w:val="16"/>
          <w:szCs w:val="22"/>
        </w:rPr>
        <w:t xml:space="preserve">Solicitud de Interpretación de </w:t>
      </w:r>
      <w:smartTag w:uri="urn:schemas-microsoft-com:office:smarttags" w:element="PersonName">
        <w:smartTagPr>
          <w:attr w:name="ProductID" w:val="la Sentencia"/>
        </w:smartTagPr>
        <w:r w:rsidRPr="000123DB">
          <w:rPr>
            <w:rFonts w:ascii="Verdana" w:hAnsi="Verdana"/>
            <w:sz w:val="16"/>
            <w:szCs w:val="22"/>
          </w:rPr>
          <w:t>la Sente</w:t>
        </w:r>
        <w:r w:rsidRPr="000123DB">
          <w:rPr>
            <w:rFonts w:ascii="Verdana" w:hAnsi="Verdana"/>
            <w:sz w:val="16"/>
            <w:szCs w:val="22"/>
          </w:rPr>
          <w:t>ncia</w:t>
        </w:r>
      </w:smartTag>
      <w:r w:rsidRPr="000123DB">
        <w:rPr>
          <w:rFonts w:ascii="Verdana" w:hAnsi="Verdana"/>
          <w:sz w:val="16"/>
          <w:szCs w:val="22"/>
        </w:rPr>
        <w:t xml:space="preserve"> de Excepciones Preliminares, Fondo, Reparaciones y Costas, </w:t>
      </w:r>
      <w:r w:rsidRPr="00A81E77">
        <w:rPr>
          <w:rFonts w:ascii="Verdana" w:hAnsi="Verdana"/>
          <w:i/>
          <w:sz w:val="16"/>
        </w:rPr>
        <w:t>supra</w:t>
      </w:r>
      <w:r w:rsidRPr="00A81E77">
        <w:rPr>
          <w:rFonts w:ascii="Verdana" w:hAnsi="Verdana"/>
          <w:sz w:val="16"/>
        </w:rPr>
        <w:t xml:space="preserve"> nota 1, </w:t>
      </w:r>
      <w:r w:rsidRPr="000123DB">
        <w:rPr>
          <w:rFonts w:ascii="Verdana" w:hAnsi="Verdana"/>
          <w:sz w:val="16"/>
          <w:szCs w:val="22"/>
        </w:rPr>
        <w:t xml:space="preserve">párr. 12; y Corte IDH. </w:t>
      </w:r>
      <w:r w:rsidRPr="00A81E77">
        <w:rPr>
          <w:rFonts w:ascii="Verdana" w:hAnsi="Verdana"/>
          <w:i/>
          <w:sz w:val="16"/>
        </w:rPr>
        <w:t xml:space="preserve">Caso </w:t>
      </w:r>
      <w:smartTag w:uri="urn:schemas-microsoft-com:office:smarttags" w:element="PersonName">
        <w:smartTagPr>
          <w:attr w:name="ProductID" w:val="La Cantuta"/>
        </w:smartTagPr>
        <w:r w:rsidRPr="00A81E77">
          <w:rPr>
            <w:rFonts w:ascii="Verdana" w:hAnsi="Verdana"/>
            <w:i/>
            <w:sz w:val="16"/>
          </w:rPr>
          <w:t>La Cantuta</w:t>
        </w:r>
      </w:smartTag>
      <w:r w:rsidRPr="00A81E77">
        <w:rPr>
          <w:rFonts w:ascii="Verdana" w:hAnsi="Verdana"/>
          <w:i/>
          <w:sz w:val="16"/>
        </w:rPr>
        <w:t xml:space="preserve"> vs. Perú.</w:t>
      </w:r>
      <w:r w:rsidRPr="00A81E77">
        <w:rPr>
          <w:rFonts w:ascii="Verdana" w:hAnsi="Verdana"/>
          <w:sz w:val="16"/>
        </w:rPr>
        <w:t xml:space="preserve"> </w:t>
      </w:r>
      <w:r w:rsidRPr="000123DB">
        <w:rPr>
          <w:rFonts w:ascii="Verdana" w:hAnsi="Verdana"/>
          <w:sz w:val="16"/>
        </w:rPr>
        <w:t xml:space="preserve">Interpretación de </w:t>
      </w:r>
      <w:smartTag w:uri="urn:schemas-microsoft-com:office:smarttags" w:element="PersonName">
        <w:smartTagPr>
          <w:attr w:name="ProductID" w:val="la Sentencia"/>
        </w:smartTagPr>
        <w:r w:rsidRPr="000123DB">
          <w:rPr>
            <w:rFonts w:ascii="Verdana" w:hAnsi="Verdana"/>
            <w:sz w:val="16"/>
          </w:rPr>
          <w:t>la Sentencia</w:t>
        </w:r>
      </w:smartTag>
      <w:r w:rsidRPr="000123DB">
        <w:rPr>
          <w:rFonts w:ascii="Verdana" w:hAnsi="Verdana"/>
          <w:sz w:val="16"/>
        </w:rPr>
        <w:t xml:space="preserve"> de Fondo, Reparaciones y Costas, </w:t>
      </w:r>
      <w:r w:rsidRPr="00A81E77">
        <w:rPr>
          <w:rFonts w:ascii="Verdana" w:hAnsi="Verdana"/>
          <w:i/>
          <w:sz w:val="16"/>
        </w:rPr>
        <w:t>supra</w:t>
      </w:r>
      <w:r w:rsidRPr="00A81E77">
        <w:rPr>
          <w:rFonts w:ascii="Verdana" w:hAnsi="Verdana"/>
          <w:sz w:val="16"/>
        </w:rPr>
        <w:t xml:space="preserve"> nota 1, párr. 32. </w:t>
      </w:r>
    </w:p>
    <w:p w:rsidR="00000000" w:rsidRDefault="00E51623">
      <w:pPr>
        <w:pStyle w:val="Textonotapie"/>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E51623">
    <w:pPr>
      <w:pStyle w:val="Encabezado"/>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000000" w:rsidRDefault="00E51623">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E51623">
    <w:pPr>
      <w:pStyle w:val="Encabezado"/>
      <w:framePr w:wrap="around" w:vAnchor="text" w:hAnchor="margin" w:xAlign="center" w:y="1"/>
      <w:rPr>
        <w:rStyle w:val="Nmerodepgina"/>
        <w:rFonts w:ascii="Verdana" w:hAnsi="Verdana"/>
        <w:sz w:val="20"/>
      </w:rPr>
    </w:pPr>
    <w:r>
      <w:rPr>
        <w:rStyle w:val="Nmerodepgina"/>
        <w:rFonts w:ascii="Verdana" w:hAnsi="Verdana"/>
        <w:sz w:val="20"/>
      </w:rPr>
      <w:fldChar w:fldCharType="begin"/>
    </w:r>
    <w:r>
      <w:rPr>
        <w:rStyle w:val="Nmerodepgina"/>
        <w:rFonts w:ascii="Verdana" w:hAnsi="Verdana"/>
        <w:sz w:val="20"/>
      </w:rPr>
      <w:instrText xml:space="preserve">PAGE  </w:instrText>
    </w:r>
    <w:r>
      <w:rPr>
        <w:rStyle w:val="Nmerodepgina"/>
        <w:rFonts w:ascii="Verdana" w:hAnsi="Verdana"/>
        <w:sz w:val="20"/>
      </w:rPr>
      <w:fldChar w:fldCharType="separate"/>
    </w:r>
    <w:r w:rsidR="00327EBA">
      <w:rPr>
        <w:rStyle w:val="Nmerodepgina"/>
        <w:rFonts w:ascii="Verdana" w:hAnsi="Verdana"/>
        <w:noProof/>
        <w:sz w:val="20"/>
      </w:rPr>
      <w:t>9</w:t>
    </w:r>
    <w:r>
      <w:rPr>
        <w:rStyle w:val="Nmerodepgina"/>
        <w:rFonts w:ascii="Verdana" w:hAnsi="Verdana"/>
        <w:sz w:val="20"/>
      </w:rPr>
      <w:fldChar w:fldCharType="end"/>
    </w:r>
  </w:p>
  <w:p w:rsidR="00000000" w:rsidRPr="00E15A11" w:rsidRDefault="00E51623">
    <w:pPr>
      <w:pStyle w:val="Encabezado"/>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E51623">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923E6"/>
    <w:multiLevelType w:val="hybridMultilevel"/>
    <w:tmpl w:val="715446F2"/>
    <w:lvl w:ilvl="0" w:tplc="00170409">
      <w:start w:val="1"/>
      <w:numFmt w:val="lowerLetter"/>
      <w:lvlText w:val="%1)"/>
      <w:lvlJc w:val="left"/>
      <w:pPr>
        <w:tabs>
          <w:tab w:val="num" w:pos="720"/>
        </w:tabs>
        <w:ind w:left="720" w:hanging="360"/>
      </w:pPr>
      <w:rPr>
        <w:rFonts w:hint="default"/>
      </w:rPr>
    </w:lvl>
    <w:lvl w:ilvl="1" w:tplc="00190409">
      <w:start w:val="1"/>
      <w:numFmt w:val="lowerLetter"/>
      <w:lvlText w:val="%2."/>
      <w:lvlJc w:val="left"/>
      <w:pPr>
        <w:tabs>
          <w:tab w:val="num" w:pos="1440"/>
        </w:tabs>
        <w:ind w:left="1440" w:hanging="360"/>
      </w:pPr>
    </w:lvl>
    <w:lvl w:ilvl="2" w:tplc="001B0409">
      <w:start w:val="1"/>
      <w:numFmt w:val="lowerRoman"/>
      <w:lvlText w:val="%3."/>
      <w:lvlJc w:val="right"/>
      <w:pPr>
        <w:tabs>
          <w:tab w:val="num" w:pos="2160"/>
        </w:tabs>
        <w:ind w:left="2160" w:hanging="180"/>
      </w:pPr>
    </w:lvl>
    <w:lvl w:ilvl="3" w:tplc="000F0409">
      <w:start w:val="1"/>
      <w:numFmt w:val="decimal"/>
      <w:lvlText w:val="%4."/>
      <w:lvlJc w:val="left"/>
      <w:pPr>
        <w:tabs>
          <w:tab w:val="num" w:pos="2880"/>
        </w:tabs>
        <w:ind w:left="2880" w:hanging="360"/>
      </w:pPr>
      <w:rPr>
        <w:rFonts w:hint="default"/>
      </w:r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
    <w:nsid w:val="03BF7086"/>
    <w:multiLevelType w:val="hybridMultilevel"/>
    <w:tmpl w:val="EC3693EE"/>
    <w:lvl w:ilvl="0" w:tplc="3858F3E4">
      <w:start w:val="27"/>
      <w:numFmt w:val="decimal"/>
      <w:lvlText w:val="%1."/>
      <w:lvlJc w:val="left"/>
      <w:pPr>
        <w:tabs>
          <w:tab w:val="num" w:pos="1060"/>
        </w:tabs>
        <w:ind w:left="1060" w:hanging="70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
    <w:nsid w:val="094A0379"/>
    <w:multiLevelType w:val="hybridMultilevel"/>
    <w:tmpl w:val="5AAA92F4"/>
    <w:lvl w:ilvl="0" w:tplc="0CBE188C">
      <w:start w:val="1"/>
      <w:numFmt w:val="lowerLetter"/>
      <w:lvlText w:val="%1)"/>
      <w:lvlJc w:val="left"/>
      <w:pPr>
        <w:tabs>
          <w:tab w:val="num" w:pos="1065"/>
        </w:tabs>
        <w:ind w:left="1065" w:hanging="360"/>
      </w:pPr>
      <w:rPr>
        <w:rFonts w:hint="default"/>
      </w:rPr>
    </w:lvl>
    <w:lvl w:ilvl="1" w:tplc="00190409" w:tentative="1">
      <w:start w:val="1"/>
      <w:numFmt w:val="lowerLetter"/>
      <w:lvlText w:val="%2."/>
      <w:lvlJc w:val="left"/>
      <w:pPr>
        <w:tabs>
          <w:tab w:val="num" w:pos="1785"/>
        </w:tabs>
        <w:ind w:left="1785" w:hanging="360"/>
      </w:pPr>
    </w:lvl>
    <w:lvl w:ilvl="2" w:tplc="001B0409" w:tentative="1">
      <w:start w:val="1"/>
      <w:numFmt w:val="lowerRoman"/>
      <w:lvlText w:val="%3."/>
      <w:lvlJc w:val="right"/>
      <w:pPr>
        <w:tabs>
          <w:tab w:val="num" w:pos="2505"/>
        </w:tabs>
        <w:ind w:left="2505" w:hanging="180"/>
      </w:pPr>
    </w:lvl>
    <w:lvl w:ilvl="3" w:tplc="000F0409" w:tentative="1">
      <w:start w:val="1"/>
      <w:numFmt w:val="decimal"/>
      <w:lvlText w:val="%4."/>
      <w:lvlJc w:val="left"/>
      <w:pPr>
        <w:tabs>
          <w:tab w:val="num" w:pos="3225"/>
        </w:tabs>
        <w:ind w:left="3225" w:hanging="360"/>
      </w:pPr>
    </w:lvl>
    <w:lvl w:ilvl="4" w:tplc="00190409" w:tentative="1">
      <w:start w:val="1"/>
      <w:numFmt w:val="lowerLetter"/>
      <w:lvlText w:val="%5."/>
      <w:lvlJc w:val="left"/>
      <w:pPr>
        <w:tabs>
          <w:tab w:val="num" w:pos="3945"/>
        </w:tabs>
        <w:ind w:left="3945" w:hanging="360"/>
      </w:pPr>
    </w:lvl>
    <w:lvl w:ilvl="5" w:tplc="001B0409" w:tentative="1">
      <w:start w:val="1"/>
      <w:numFmt w:val="lowerRoman"/>
      <w:lvlText w:val="%6."/>
      <w:lvlJc w:val="right"/>
      <w:pPr>
        <w:tabs>
          <w:tab w:val="num" w:pos="4665"/>
        </w:tabs>
        <w:ind w:left="4665" w:hanging="180"/>
      </w:pPr>
    </w:lvl>
    <w:lvl w:ilvl="6" w:tplc="000F0409" w:tentative="1">
      <w:start w:val="1"/>
      <w:numFmt w:val="decimal"/>
      <w:lvlText w:val="%7."/>
      <w:lvlJc w:val="left"/>
      <w:pPr>
        <w:tabs>
          <w:tab w:val="num" w:pos="5385"/>
        </w:tabs>
        <w:ind w:left="5385" w:hanging="360"/>
      </w:pPr>
    </w:lvl>
    <w:lvl w:ilvl="7" w:tplc="00190409" w:tentative="1">
      <w:start w:val="1"/>
      <w:numFmt w:val="lowerLetter"/>
      <w:lvlText w:val="%8."/>
      <w:lvlJc w:val="left"/>
      <w:pPr>
        <w:tabs>
          <w:tab w:val="num" w:pos="6105"/>
        </w:tabs>
        <w:ind w:left="6105" w:hanging="360"/>
      </w:pPr>
    </w:lvl>
    <w:lvl w:ilvl="8" w:tplc="001B0409" w:tentative="1">
      <w:start w:val="1"/>
      <w:numFmt w:val="lowerRoman"/>
      <w:lvlText w:val="%9."/>
      <w:lvlJc w:val="right"/>
      <w:pPr>
        <w:tabs>
          <w:tab w:val="num" w:pos="6825"/>
        </w:tabs>
        <w:ind w:left="6825" w:hanging="180"/>
      </w:pPr>
    </w:lvl>
  </w:abstractNum>
  <w:abstractNum w:abstractNumId="3">
    <w:nsid w:val="0B8C3E6E"/>
    <w:multiLevelType w:val="hybridMultilevel"/>
    <w:tmpl w:val="81F87510"/>
    <w:lvl w:ilvl="0" w:tplc="F0C603D8">
      <w:start w:val="29"/>
      <w:numFmt w:val="decimal"/>
      <w:lvlText w:val="%1."/>
      <w:lvlJc w:val="left"/>
      <w:pPr>
        <w:tabs>
          <w:tab w:val="num" w:pos="1060"/>
        </w:tabs>
        <w:ind w:left="1060" w:hanging="700"/>
      </w:pPr>
      <w:rPr>
        <w:rFonts w:hint="default"/>
        <w:u w:val="none"/>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4">
    <w:nsid w:val="0CB64C1E"/>
    <w:multiLevelType w:val="hybridMultilevel"/>
    <w:tmpl w:val="20747BDE"/>
    <w:lvl w:ilvl="0" w:tplc="9ED0E714">
      <w:start w:val="11"/>
      <w:numFmt w:val="decimal"/>
      <w:lvlText w:val="%1."/>
      <w:lvlJc w:val="left"/>
      <w:pPr>
        <w:tabs>
          <w:tab w:val="num" w:pos="1060"/>
        </w:tabs>
        <w:ind w:left="1060" w:hanging="700"/>
      </w:pPr>
      <w:rPr>
        <w:rFonts w:eastAsia="Times New Roman"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nsid w:val="0F655594"/>
    <w:multiLevelType w:val="hybridMultilevel"/>
    <w:tmpl w:val="4F7EF2E2"/>
    <w:lvl w:ilvl="0" w:tplc="64403062">
      <w:start w:val="23"/>
      <w:numFmt w:val="decimal"/>
      <w:lvlText w:val="%1."/>
      <w:lvlJc w:val="left"/>
      <w:pPr>
        <w:tabs>
          <w:tab w:val="num" w:pos="1060"/>
        </w:tabs>
        <w:ind w:left="1060" w:hanging="70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6">
    <w:nsid w:val="11B92B5B"/>
    <w:multiLevelType w:val="hybridMultilevel"/>
    <w:tmpl w:val="8BD87598"/>
    <w:lvl w:ilvl="0" w:tplc="D7421D3C">
      <w:start w:val="4"/>
      <w:numFmt w:val="decimal"/>
      <w:lvlText w:val="%1."/>
      <w:lvlJc w:val="left"/>
      <w:pPr>
        <w:tabs>
          <w:tab w:val="num" w:pos="1060"/>
        </w:tabs>
        <w:ind w:left="1060" w:hanging="70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7">
    <w:nsid w:val="1DC82C67"/>
    <w:multiLevelType w:val="hybridMultilevel"/>
    <w:tmpl w:val="F628F296"/>
    <w:lvl w:ilvl="0" w:tplc="CD924BC2">
      <w:start w:val="30"/>
      <w:numFmt w:val="decimal"/>
      <w:lvlText w:val="%1."/>
      <w:lvlJc w:val="left"/>
      <w:pPr>
        <w:tabs>
          <w:tab w:val="num" w:pos="1060"/>
        </w:tabs>
        <w:ind w:left="1060" w:hanging="70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8">
    <w:nsid w:val="1E4D307E"/>
    <w:multiLevelType w:val="hybridMultilevel"/>
    <w:tmpl w:val="5D2493BE"/>
    <w:lvl w:ilvl="0" w:tplc="DB36E11E">
      <w:start w:val="25"/>
      <w:numFmt w:val="decimal"/>
      <w:lvlText w:val="%1."/>
      <w:lvlJc w:val="left"/>
      <w:pPr>
        <w:tabs>
          <w:tab w:val="num" w:pos="1060"/>
        </w:tabs>
        <w:ind w:left="1060" w:hanging="70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9">
    <w:nsid w:val="22AF5879"/>
    <w:multiLevelType w:val="hybridMultilevel"/>
    <w:tmpl w:val="6060BF30"/>
    <w:lvl w:ilvl="0" w:tplc="000F0409">
      <w:start w:val="11"/>
      <w:numFmt w:val="decimal"/>
      <w:lvlText w:val="%1."/>
      <w:lvlJc w:val="left"/>
      <w:pPr>
        <w:tabs>
          <w:tab w:val="num" w:pos="4950"/>
        </w:tabs>
        <w:ind w:left="4950" w:hanging="360"/>
      </w:pPr>
      <w:rPr>
        <w:rFonts w:eastAsia="Times New Roman" w:hint="default"/>
      </w:rPr>
    </w:lvl>
    <w:lvl w:ilvl="1" w:tplc="00190409" w:tentative="1">
      <w:start w:val="1"/>
      <w:numFmt w:val="lowerLetter"/>
      <w:lvlText w:val="%2."/>
      <w:lvlJc w:val="left"/>
      <w:pPr>
        <w:tabs>
          <w:tab w:val="num" w:pos="5670"/>
        </w:tabs>
        <w:ind w:left="5670" w:hanging="360"/>
      </w:pPr>
    </w:lvl>
    <w:lvl w:ilvl="2" w:tplc="001B0409" w:tentative="1">
      <w:start w:val="1"/>
      <w:numFmt w:val="lowerRoman"/>
      <w:lvlText w:val="%3."/>
      <w:lvlJc w:val="right"/>
      <w:pPr>
        <w:tabs>
          <w:tab w:val="num" w:pos="6390"/>
        </w:tabs>
        <w:ind w:left="6390" w:hanging="180"/>
      </w:pPr>
    </w:lvl>
    <w:lvl w:ilvl="3" w:tplc="000F0409" w:tentative="1">
      <w:start w:val="1"/>
      <w:numFmt w:val="decimal"/>
      <w:lvlText w:val="%4."/>
      <w:lvlJc w:val="left"/>
      <w:pPr>
        <w:tabs>
          <w:tab w:val="num" w:pos="7110"/>
        </w:tabs>
        <w:ind w:left="7110" w:hanging="360"/>
      </w:pPr>
    </w:lvl>
    <w:lvl w:ilvl="4" w:tplc="00190409" w:tentative="1">
      <w:start w:val="1"/>
      <w:numFmt w:val="lowerLetter"/>
      <w:lvlText w:val="%5."/>
      <w:lvlJc w:val="left"/>
      <w:pPr>
        <w:tabs>
          <w:tab w:val="num" w:pos="7830"/>
        </w:tabs>
        <w:ind w:left="7830" w:hanging="360"/>
      </w:pPr>
    </w:lvl>
    <w:lvl w:ilvl="5" w:tplc="001B0409" w:tentative="1">
      <w:start w:val="1"/>
      <w:numFmt w:val="lowerRoman"/>
      <w:lvlText w:val="%6."/>
      <w:lvlJc w:val="right"/>
      <w:pPr>
        <w:tabs>
          <w:tab w:val="num" w:pos="8550"/>
        </w:tabs>
        <w:ind w:left="8550" w:hanging="180"/>
      </w:pPr>
    </w:lvl>
    <w:lvl w:ilvl="6" w:tplc="000F0409" w:tentative="1">
      <w:start w:val="1"/>
      <w:numFmt w:val="decimal"/>
      <w:lvlText w:val="%7."/>
      <w:lvlJc w:val="left"/>
      <w:pPr>
        <w:tabs>
          <w:tab w:val="num" w:pos="9270"/>
        </w:tabs>
        <w:ind w:left="9270" w:hanging="360"/>
      </w:pPr>
    </w:lvl>
    <w:lvl w:ilvl="7" w:tplc="00190409" w:tentative="1">
      <w:start w:val="1"/>
      <w:numFmt w:val="lowerLetter"/>
      <w:lvlText w:val="%8."/>
      <w:lvlJc w:val="left"/>
      <w:pPr>
        <w:tabs>
          <w:tab w:val="num" w:pos="9990"/>
        </w:tabs>
        <w:ind w:left="9990" w:hanging="360"/>
      </w:pPr>
    </w:lvl>
    <w:lvl w:ilvl="8" w:tplc="001B0409" w:tentative="1">
      <w:start w:val="1"/>
      <w:numFmt w:val="lowerRoman"/>
      <w:lvlText w:val="%9."/>
      <w:lvlJc w:val="right"/>
      <w:pPr>
        <w:tabs>
          <w:tab w:val="num" w:pos="10710"/>
        </w:tabs>
        <w:ind w:left="10710" w:hanging="180"/>
      </w:pPr>
    </w:lvl>
  </w:abstractNum>
  <w:abstractNum w:abstractNumId="10">
    <w:nsid w:val="23121954"/>
    <w:multiLevelType w:val="hybridMultilevel"/>
    <w:tmpl w:val="BE64AAB2"/>
    <w:lvl w:ilvl="0" w:tplc="FA601E12">
      <w:start w:val="23"/>
      <w:numFmt w:val="decimal"/>
      <w:lvlText w:val="%1."/>
      <w:lvlJc w:val="left"/>
      <w:pPr>
        <w:tabs>
          <w:tab w:val="num" w:pos="1060"/>
        </w:tabs>
        <w:ind w:left="1060" w:hanging="70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1">
    <w:nsid w:val="23506502"/>
    <w:multiLevelType w:val="hybridMultilevel"/>
    <w:tmpl w:val="6D18A080"/>
    <w:lvl w:ilvl="0" w:tplc="4D4A093A">
      <w:start w:val="13"/>
      <w:numFmt w:val="decimal"/>
      <w:lvlText w:val="%1."/>
      <w:lvlJc w:val="left"/>
      <w:pPr>
        <w:tabs>
          <w:tab w:val="num" w:pos="1060"/>
        </w:tabs>
        <w:ind w:left="1060" w:hanging="700"/>
      </w:pPr>
      <w:rPr>
        <w:rFonts w:hint="default"/>
        <w:b w:val="0"/>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2">
    <w:nsid w:val="262C160D"/>
    <w:multiLevelType w:val="hybridMultilevel"/>
    <w:tmpl w:val="6AF2469A"/>
    <w:lvl w:ilvl="0" w:tplc="F41883F0">
      <w:start w:val="21"/>
      <w:numFmt w:val="decimal"/>
      <w:lvlText w:val="%1."/>
      <w:lvlJc w:val="left"/>
      <w:pPr>
        <w:tabs>
          <w:tab w:val="num" w:pos="700"/>
        </w:tabs>
        <w:ind w:left="700" w:hanging="700"/>
      </w:pPr>
      <w:rPr>
        <w:rFonts w:hint="default"/>
      </w:rPr>
    </w:lvl>
    <w:lvl w:ilvl="1" w:tplc="B336CECA">
      <w:start w:val="1"/>
      <w:numFmt w:val="lowerLetter"/>
      <w:lvlText w:val="%2)"/>
      <w:lvlJc w:val="left"/>
      <w:pPr>
        <w:tabs>
          <w:tab w:val="num" w:pos="1080"/>
        </w:tabs>
        <w:ind w:left="1080" w:hanging="360"/>
      </w:pPr>
      <w:rPr>
        <w:rFonts w:hint="default"/>
      </w:rPr>
    </w:lvl>
    <w:lvl w:ilvl="2" w:tplc="001B0409" w:tentative="1">
      <w:start w:val="1"/>
      <w:numFmt w:val="lowerRoman"/>
      <w:lvlText w:val="%3."/>
      <w:lvlJc w:val="right"/>
      <w:pPr>
        <w:tabs>
          <w:tab w:val="num" w:pos="1800"/>
        </w:tabs>
        <w:ind w:left="1800" w:hanging="180"/>
      </w:pPr>
    </w:lvl>
    <w:lvl w:ilvl="3" w:tplc="000F0409" w:tentative="1">
      <w:start w:val="1"/>
      <w:numFmt w:val="decimal"/>
      <w:lvlText w:val="%4."/>
      <w:lvlJc w:val="left"/>
      <w:pPr>
        <w:tabs>
          <w:tab w:val="num" w:pos="2520"/>
        </w:tabs>
        <w:ind w:left="2520" w:hanging="360"/>
      </w:pPr>
    </w:lvl>
    <w:lvl w:ilvl="4" w:tplc="00190409" w:tentative="1">
      <w:start w:val="1"/>
      <w:numFmt w:val="lowerLetter"/>
      <w:lvlText w:val="%5."/>
      <w:lvlJc w:val="left"/>
      <w:pPr>
        <w:tabs>
          <w:tab w:val="num" w:pos="3240"/>
        </w:tabs>
        <w:ind w:left="3240" w:hanging="360"/>
      </w:pPr>
    </w:lvl>
    <w:lvl w:ilvl="5" w:tplc="001B0409" w:tentative="1">
      <w:start w:val="1"/>
      <w:numFmt w:val="lowerRoman"/>
      <w:lvlText w:val="%6."/>
      <w:lvlJc w:val="right"/>
      <w:pPr>
        <w:tabs>
          <w:tab w:val="num" w:pos="3960"/>
        </w:tabs>
        <w:ind w:left="3960" w:hanging="180"/>
      </w:pPr>
    </w:lvl>
    <w:lvl w:ilvl="6" w:tplc="000F0409" w:tentative="1">
      <w:start w:val="1"/>
      <w:numFmt w:val="decimal"/>
      <w:lvlText w:val="%7."/>
      <w:lvlJc w:val="left"/>
      <w:pPr>
        <w:tabs>
          <w:tab w:val="num" w:pos="4680"/>
        </w:tabs>
        <w:ind w:left="4680" w:hanging="360"/>
      </w:pPr>
    </w:lvl>
    <w:lvl w:ilvl="7" w:tplc="00190409" w:tentative="1">
      <w:start w:val="1"/>
      <w:numFmt w:val="lowerLetter"/>
      <w:lvlText w:val="%8."/>
      <w:lvlJc w:val="left"/>
      <w:pPr>
        <w:tabs>
          <w:tab w:val="num" w:pos="5400"/>
        </w:tabs>
        <w:ind w:left="5400" w:hanging="360"/>
      </w:pPr>
    </w:lvl>
    <w:lvl w:ilvl="8" w:tplc="001B0409" w:tentative="1">
      <w:start w:val="1"/>
      <w:numFmt w:val="lowerRoman"/>
      <w:lvlText w:val="%9."/>
      <w:lvlJc w:val="right"/>
      <w:pPr>
        <w:tabs>
          <w:tab w:val="num" w:pos="6120"/>
        </w:tabs>
        <w:ind w:left="6120" w:hanging="180"/>
      </w:pPr>
    </w:lvl>
  </w:abstractNum>
  <w:abstractNum w:abstractNumId="13">
    <w:nsid w:val="2BB750D4"/>
    <w:multiLevelType w:val="hybridMultilevel"/>
    <w:tmpl w:val="9B1AAE56"/>
    <w:lvl w:ilvl="0" w:tplc="FFFFFFFF">
      <w:start w:val="1"/>
      <w:numFmt w:val="upperLetter"/>
      <w:pStyle w:val="Ttulo9"/>
      <w:lvlText w:val="%1)"/>
      <w:lvlJc w:val="left"/>
      <w:pPr>
        <w:tabs>
          <w:tab w:val="num" w:pos="1080"/>
        </w:tabs>
        <w:ind w:left="1080" w:hanging="360"/>
      </w:pPr>
      <w:rPr>
        <w:rFonts w:ascii="Garamond" w:hAnsi="Garamond" w:hint="default"/>
        <w:b w:val="0"/>
        <w:i/>
        <w:sz w:val="24"/>
      </w:rPr>
    </w:lvl>
    <w:lvl w:ilvl="1" w:tplc="FFFFFFFF">
      <w:numFmt w:val="none"/>
      <w:lvlText w:val=""/>
      <w:lvlJc w:val="left"/>
      <w:pPr>
        <w:tabs>
          <w:tab w:val="num" w:pos="360"/>
        </w:tabs>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4">
    <w:nsid w:val="316523C4"/>
    <w:multiLevelType w:val="hybridMultilevel"/>
    <w:tmpl w:val="70D2B312"/>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FC4785E"/>
    <w:multiLevelType w:val="hybridMultilevel"/>
    <w:tmpl w:val="B2D4DD52"/>
    <w:lvl w:ilvl="0" w:tplc="A768CC56">
      <w:start w:val="1"/>
      <w:numFmt w:val="lowerRoman"/>
      <w:lvlText w:val="%1."/>
      <w:lvlJc w:val="left"/>
      <w:pPr>
        <w:tabs>
          <w:tab w:val="num" w:pos="1080"/>
        </w:tabs>
        <w:ind w:left="1080" w:hanging="7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6">
    <w:nsid w:val="445364DA"/>
    <w:multiLevelType w:val="hybridMultilevel"/>
    <w:tmpl w:val="1B24A686"/>
    <w:lvl w:ilvl="0" w:tplc="00170409">
      <w:start w:val="1"/>
      <w:numFmt w:val="lowerLetter"/>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7">
    <w:nsid w:val="459D4D12"/>
    <w:multiLevelType w:val="hybridMultilevel"/>
    <w:tmpl w:val="5590D20E"/>
    <w:lvl w:ilvl="0" w:tplc="E02AE648">
      <w:start w:val="1"/>
      <w:numFmt w:val="lowerLetter"/>
      <w:lvlText w:val="%1)"/>
      <w:lvlJc w:val="left"/>
      <w:pPr>
        <w:tabs>
          <w:tab w:val="num" w:pos="800"/>
        </w:tabs>
        <w:ind w:left="800" w:hanging="44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8">
    <w:nsid w:val="4B344BD9"/>
    <w:multiLevelType w:val="hybridMultilevel"/>
    <w:tmpl w:val="92A08088"/>
    <w:lvl w:ilvl="0" w:tplc="B94846F0">
      <w:start w:val="18"/>
      <w:numFmt w:val="decimal"/>
      <w:lvlText w:val="%1."/>
      <w:lvlJc w:val="left"/>
      <w:pPr>
        <w:tabs>
          <w:tab w:val="num" w:pos="1060"/>
        </w:tabs>
        <w:ind w:left="1060" w:hanging="70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9">
    <w:nsid w:val="53134C22"/>
    <w:multiLevelType w:val="hybridMultilevel"/>
    <w:tmpl w:val="196CB47A"/>
    <w:lvl w:ilvl="0" w:tplc="00170409">
      <w:start w:val="1"/>
      <w:numFmt w:val="lowerLetter"/>
      <w:lvlText w:val="%1)"/>
      <w:lvlJc w:val="left"/>
      <w:pPr>
        <w:tabs>
          <w:tab w:val="num" w:pos="720"/>
        </w:tabs>
        <w:ind w:left="720" w:hanging="360"/>
      </w:pPr>
      <w:rPr>
        <w:rFonts w:hint="default"/>
      </w:rPr>
    </w:lvl>
    <w:lvl w:ilvl="1" w:tplc="FF965E60">
      <w:start w:val="25"/>
      <w:numFmt w:val="decimal"/>
      <w:lvlText w:val="%2."/>
      <w:lvlJc w:val="left"/>
      <w:pPr>
        <w:tabs>
          <w:tab w:val="num" w:pos="1780"/>
        </w:tabs>
        <w:ind w:left="1780" w:hanging="700"/>
      </w:pPr>
      <w:rPr>
        <w:rFonts w:hint="default"/>
      </w:r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0">
    <w:nsid w:val="55206D81"/>
    <w:multiLevelType w:val="hybridMultilevel"/>
    <w:tmpl w:val="05A8387C"/>
    <w:lvl w:ilvl="0" w:tplc="D904C504">
      <w:start w:val="29"/>
      <w:numFmt w:val="decimal"/>
      <w:lvlText w:val="%1."/>
      <w:lvlJc w:val="left"/>
      <w:pPr>
        <w:tabs>
          <w:tab w:val="num" w:pos="1060"/>
        </w:tabs>
        <w:ind w:left="1060" w:hanging="70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1">
    <w:nsid w:val="5C12605B"/>
    <w:multiLevelType w:val="hybridMultilevel"/>
    <w:tmpl w:val="820A2B34"/>
    <w:lvl w:ilvl="0" w:tplc="000F0409">
      <w:start w:val="15"/>
      <w:numFmt w:val="decimal"/>
      <w:lvlText w:val="%1."/>
      <w:lvlJc w:val="left"/>
      <w:pPr>
        <w:tabs>
          <w:tab w:val="num" w:pos="1068"/>
        </w:tabs>
        <w:ind w:left="1068" w:hanging="360"/>
      </w:pPr>
      <w:rPr>
        <w:rFonts w:hint="default"/>
      </w:rPr>
    </w:lvl>
    <w:lvl w:ilvl="1" w:tplc="00190409" w:tentative="1">
      <w:start w:val="1"/>
      <w:numFmt w:val="lowerLetter"/>
      <w:lvlText w:val="%2."/>
      <w:lvlJc w:val="left"/>
      <w:pPr>
        <w:tabs>
          <w:tab w:val="num" w:pos="1788"/>
        </w:tabs>
        <w:ind w:left="1788" w:hanging="360"/>
      </w:pPr>
    </w:lvl>
    <w:lvl w:ilvl="2" w:tplc="001B0409" w:tentative="1">
      <w:start w:val="1"/>
      <w:numFmt w:val="lowerRoman"/>
      <w:lvlText w:val="%3."/>
      <w:lvlJc w:val="right"/>
      <w:pPr>
        <w:tabs>
          <w:tab w:val="num" w:pos="2508"/>
        </w:tabs>
        <w:ind w:left="2508" w:hanging="180"/>
      </w:pPr>
    </w:lvl>
    <w:lvl w:ilvl="3" w:tplc="000F0409" w:tentative="1">
      <w:start w:val="1"/>
      <w:numFmt w:val="decimal"/>
      <w:lvlText w:val="%4."/>
      <w:lvlJc w:val="left"/>
      <w:pPr>
        <w:tabs>
          <w:tab w:val="num" w:pos="3228"/>
        </w:tabs>
        <w:ind w:left="3228" w:hanging="360"/>
      </w:pPr>
    </w:lvl>
    <w:lvl w:ilvl="4" w:tplc="00190409" w:tentative="1">
      <w:start w:val="1"/>
      <w:numFmt w:val="lowerLetter"/>
      <w:lvlText w:val="%5."/>
      <w:lvlJc w:val="left"/>
      <w:pPr>
        <w:tabs>
          <w:tab w:val="num" w:pos="3948"/>
        </w:tabs>
        <w:ind w:left="3948" w:hanging="360"/>
      </w:pPr>
    </w:lvl>
    <w:lvl w:ilvl="5" w:tplc="001B0409" w:tentative="1">
      <w:start w:val="1"/>
      <w:numFmt w:val="lowerRoman"/>
      <w:lvlText w:val="%6."/>
      <w:lvlJc w:val="right"/>
      <w:pPr>
        <w:tabs>
          <w:tab w:val="num" w:pos="4668"/>
        </w:tabs>
        <w:ind w:left="4668" w:hanging="180"/>
      </w:pPr>
    </w:lvl>
    <w:lvl w:ilvl="6" w:tplc="000F0409" w:tentative="1">
      <w:start w:val="1"/>
      <w:numFmt w:val="decimal"/>
      <w:lvlText w:val="%7."/>
      <w:lvlJc w:val="left"/>
      <w:pPr>
        <w:tabs>
          <w:tab w:val="num" w:pos="5388"/>
        </w:tabs>
        <w:ind w:left="5388" w:hanging="360"/>
      </w:pPr>
    </w:lvl>
    <w:lvl w:ilvl="7" w:tplc="00190409" w:tentative="1">
      <w:start w:val="1"/>
      <w:numFmt w:val="lowerLetter"/>
      <w:lvlText w:val="%8."/>
      <w:lvlJc w:val="left"/>
      <w:pPr>
        <w:tabs>
          <w:tab w:val="num" w:pos="6108"/>
        </w:tabs>
        <w:ind w:left="6108" w:hanging="360"/>
      </w:pPr>
    </w:lvl>
    <w:lvl w:ilvl="8" w:tplc="001B0409" w:tentative="1">
      <w:start w:val="1"/>
      <w:numFmt w:val="lowerRoman"/>
      <w:lvlText w:val="%9."/>
      <w:lvlJc w:val="right"/>
      <w:pPr>
        <w:tabs>
          <w:tab w:val="num" w:pos="6828"/>
        </w:tabs>
        <w:ind w:left="6828" w:hanging="180"/>
      </w:pPr>
    </w:lvl>
  </w:abstractNum>
  <w:abstractNum w:abstractNumId="22">
    <w:nsid w:val="608A6BDE"/>
    <w:multiLevelType w:val="hybridMultilevel"/>
    <w:tmpl w:val="62942EDA"/>
    <w:lvl w:ilvl="0" w:tplc="04090017">
      <w:start w:val="3"/>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61E0240D"/>
    <w:multiLevelType w:val="hybridMultilevel"/>
    <w:tmpl w:val="8C76177C"/>
    <w:lvl w:ilvl="0" w:tplc="75D25A7A">
      <w:start w:val="29"/>
      <w:numFmt w:val="decimal"/>
      <w:lvlText w:val="%1."/>
      <w:lvlJc w:val="left"/>
      <w:pPr>
        <w:tabs>
          <w:tab w:val="num" w:pos="1060"/>
        </w:tabs>
        <w:ind w:left="1060" w:hanging="70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4">
    <w:nsid w:val="64027A96"/>
    <w:multiLevelType w:val="hybridMultilevel"/>
    <w:tmpl w:val="80C0E7B6"/>
    <w:lvl w:ilvl="0" w:tplc="EF86E83C">
      <w:start w:val="26"/>
      <w:numFmt w:val="decimal"/>
      <w:lvlText w:val="%1."/>
      <w:lvlJc w:val="left"/>
      <w:pPr>
        <w:tabs>
          <w:tab w:val="num" w:pos="1060"/>
        </w:tabs>
        <w:ind w:left="1060" w:hanging="70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5">
    <w:nsid w:val="69470374"/>
    <w:multiLevelType w:val="hybridMultilevel"/>
    <w:tmpl w:val="76BCA552"/>
    <w:lvl w:ilvl="0" w:tplc="000F0409">
      <w:start w:val="15"/>
      <w:numFmt w:val="decimal"/>
      <w:lvlText w:val="%1."/>
      <w:lvlJc w:val="left"/>
      <w:pPr>
        <w:tabs>
          <w:tab w:val="num" w:pos="1068"/>
        </w:tabs>
        <w:ind w:left="1068" w:hanging="360"/>
      </w:pPr>
      <w:rPr>
        <w:rFonts w:hint="default"/>
      </w:rPr>
    </w:lvl>
    <w:lvl w:ilvl="1" w:tplc="00190409" w:tentative="1">
      <w:start w:val="1"/>
      <w:numFmt w:val="lowerLetter"/>
      <w:lvlText w:val="%2."/>
      <w:lvlJc w:val="left"/>
      <w:pPr>
        <w:tabs>
          <w:tab w:val="num" w:pos="1788"/>
        </w:tabs>
        <w:ind w:left="1788" w:hanging="360"/>
      </w:pPr>
    </w:lvl>
    <w:lvl w:ilvl="2" w:tplc="001B0409" w:tentative="1">
      <w:start w:val="1"/>
      <w:numFmt w:val="lowerRoman"/>
      <w:lvlText w:val="%3."/>
      <w:lvlJc w:val="right"/>
      <w:pPr>
        <w:tabs>
          <w:tab w:val="num" w:pos="2508"/>
        </w:tabs>
        <w:ind w:left="2508" w:hanging="180"/>
      </w:pPr>
    </w:lvl>
    <w:lvl w:ilvl="3" w:tplc="000F0409" w:tentative="1">
      <w:start w:val="1"/>
      <w:numFmt w:val="decimal"/>
      <w:lvlText w:val="%4."/>
      <w:lvlJc w:val="left"/>
      <w:pPr>
        <w:tabs>
          <w:tab w:val="num" w:pos="3228"/>
        </w:tabs>
        <w:ind w:left="3228" w:hanging="360"/>
      </w:pPr>
    </w:lvl>
    <w:lvl w:ilvl="4" w:tplc="00190409" w:tentative="1">
      <w:start w:val="1"/>
      <w:numFmt w:val="lowerLetter"/>
      <w:lvlText w:val="%5."/>
      <w:lvlJc w:val="left"/>
      <w:pPr>
        <w:tabs>
          <w:tab w:val="num" w:pos="3948"/>
        </w:tabs>
        <w:ind w:left="3948" w:hanging="360"/>
      </w:pPr>
    </w:lvl>
    <w:lvl w:ilvl="5" w:tplc="001B0409" w:tentative="1">
      <w:start w:val="1"/>
      <w:numFmt w:val="lowerRoman"/>
      <w:lvlText w:val="%6."/>
      <w:lvlJc w:val="right"/>
      <w:pPr>
        <w:tabs>
          <w:tab w:val="num" w:pos="4668"/>
        </w:tabs>
        <w:ind w:left="4668" w:hanging="180"/>
      </w:pPr>
    </w:lvl>
    <w:lvl w:ilvl="6" w:tplc="000F0409" w:tentative="1">
      <w:start w:val="1"/>
      <w:numFmt w:val="decimal"/>
      <w:lvlText w:val="%7."/>
      <w:lvlJc w:val="left"/>
      <w:pPr>
        <w:tabs>
          <w:tab w:val="num" w:pos="5388"/>
        </w:tabs>
        <w:ind w:left="5388" w:hanging="360"/>
      </w:pPr>
    </w:lvl>
    <w:lvl w:ilvl="7" w:tplc="00190409" w:tentative="1">
      <w:start w:val="1"/>
      <w:numFmt w:val="lowerLetter"/>
      <w:lvlText w:val="%8."/>
      <w:lvlJc w:val="left"/>
      <w:pPr>
        <w:tabs>
          <w:tab w:val="num" w:pos="6108"/>
        </w:tabs>
        <w:ind w:left="6108" w:hanging="360"/>
      </w:pPr>
    </w:lvl>
    <w:lvl w:ilvl="8" w:tplc="001B0409" w:tentative="1">
      <w:start w:val="1"/>
      <w:numFmt w:val="lowerRoman"/>
      <w:lvlText w:val="%9."/>
      <w:lvlJc w:val="right"/>
      <w:pPr>
        <w:tabs>
          <w:tab w:val="num" w:pos="6828"/>
        </w:tabs>
        <w:ind w:left="6828" w:hanging="180"/>
      </w:pPr>
    </w:lvl>
  </w:abstractNum>
  <w:abstractNum w:abstractNumId="26">
    <w:nsid w:val="702C29D9"/>
    <w:multiLevelType w:val="hybridMultilevel"/>
    <w:tmpl w:val="A8EC0D20"/>
    <w:lvl w:ilvl="0" w:tplc="43002740">
      <w:start w:val="28"/>
      <w:numFmt w:val="decimal"/>
      <w:lvlText w:val="%1."/>
      <w:lvlJc w:val="left"/>
      <w:pPr>
        <w:tabs>
          <w:tab w:val="num" w:pos="1060"/>
        </w:tabs>
        <w:ind w:left="1060" w:hanging="70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7">
    <w:nsid w:val="75D54E7C"/>
    <w:multiLevelType w:val="hybridMultilevel"/>
    <w:tmpl w:val="4E32625C"/>
    <w:lvl w:ilvl="0" w:tplc="00010409">
      <w:start w:val="1"/>
      <w:numFmt w:val="bullet"/>
      <w:lvlText w:val=""/>
      <w:lvlJc w:val="left"/>
      <w:pPr>
        <w:tabs>
          <w:tab w:val="num" w:pos="720"/>
        </w:tabs>
        <w:ind w:left="720" w:hanging="360"/>
      </w:pPr>
      <w:rPr>
        <w:rFonts w:ascii="Symbol" w:hAnsi="Symbol" w:hint="default"/>
      </w:rPr>
    </w:lvl>
    <w:lvl w:ilvl="1" w:tplc="00190409">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8">
    <w:nsid w:val="768637A1"/>
    <w:multiLevelType w:val="hybridMultilevel"/>
    <w:tmpl w:val="D5968AFA"/>
    <w:lvl w:ilvl="0" w:tplc="AE0EC7D4">
      <w:start w:val="16"/>
      <w:numFmt w:val="decimal"/>
      <w:lvlText w:val="%1."/>
      <w:lvlJc w:val="left"/>
      <w:pPr>
        <w:tabs>
          <w:tab w:val="num" w:pos="1060"/>
        </w:tabs>
        <w:ind w:left="1060" w:hanging="70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9">
    <w:nsid w:val="77250F99"/>
    <w:multiLevelType w:val="hybridMultilevel"/>
    <w:tmpl w:val="EFDA461A"/>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77490263"/>
    <w:multiLevelType w:val="hybridMultilevel"/>
    <w:tmpl w:val="FF82E850"/>
    <w:lvl w:ilvl="0" w:tplc="000F0409">
      <w:start w:val="28"/>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abstractNumId w:val="13"/>
  </w:num>
  <w:num w:numId="2">
    <w:abstractNumId w:val="0"/>
  </w:num>
  <w:num w:numId="3">
    <w:abstractNumId w:val="27"/>
  </w:num>
  <w:num w:numId="4">
    <w:abstractNumId w:val="2"/>
  </w:num>
  <w:num w:numId="5">
    <w:abstractNumId w:val="15"/>
  </w:num>
  <w:num w:numId="6">
    <w:abstractNumId w:val="19"/>
  </w:num>
  <w:num w:numId="7">
    <w:abstractNumId w:val="8"/>
  </w:num>
  <w:num w:numId="8">
    <w:abstractNumId w:val="16"/>
  </w:num>
  <w:num w:numId="9">
    <w:abstractNumId w:val="4"/>
  </w:num>
  <w:num w:numId="10">
    <w:abstractNumId w:val="9"/>
  </w:num>
  <w:num w:numId="11">
    <w:abstractNumId w:val="12"/>
  </w:num>
  <w:num w:numId="12">
    <w:abstractNumId w:val="24"/>
  </w:num>
  <w:num w:numId="13">
    <w:abstractNumId w:val="7"/>
  </w:num>
  <w:num w:numId="14">
    <w:abstractNumId w:val="1"/>
  </w:num>
  <w:num w:numId="15">
    <w:abstractNumId w:val="3"/>
  </w:num>
  <w:num w:numId="16">
    <w:abstractNumId w:val="11"/>
  </w:num>
  <w:num w:numId="17">
    <w:abstractNumId w:val="29"/>
  </w:num>
  <w:num w:numId="18">
    <w:abstractNumId w:val="22"/>
  </w:num>
  <w:num w:numId="19">
    <w:abstractNumId w:val="14"/>
  </w:num>
  <w:num w:numId="20">
    <w:abstractNumId w:val="6"/>
  </w:num>
  <w:num w:numId="21">
    <w:abstractNumId w:val="28"/>
  </w:num>
  <w:num w:numId="22">
    <w:abstractNumId w:val="21"/>
  </w:num>
  <w:num w:numId="23">
    <w:abstractNumId w:val="25"/>
  </w:num>
  <w:num w:numId="24">
    <w:abstractNumId w:val="18"/>
  </w:num>
  <w:num w:numId="25">
    <w:abstractNumId w:val="17"/>
  </w:num>
  <w:num w:numId="26">
    <w:abstractNumId w:val="26"/>
  </w:num>
  <w:num w:numId="27">
    <w:abstractNumId w:val="20"/>
  </w:num>
  <w:num w:numId="28">
    <w:abstractNumId w:val="30"/>
  </w:num>
  <w:num w:numId="29">
    <w:abstractNumId w:val="10"/>
  </w:num>
  <w:num w:numId="30">
    <w:abstractNumId w:val="5"/>
  </w:num>
  <w:num w:numId="3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B62F4"/>
    <w:rsid w:val="00327EBA"/>
    <w:rsid w:val="005B62F4"/>
    <w:rsid w:val="00E5162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0ABD"/>
    <w:rPr>
      <w:sz w:val="24"/>
      <w:szCs w:val="24"/>
      <w:lang w:val="es-ES" w:eastAsia="es-ES"/>
    </w:rPr>
  </w:style>
  <w:style w:type="paragraph" w:styleId="Ttulo6">
    <w:name w:val="heading 6"/>
    <w:basedOn w:val="Normal"/>
    <w:next w:val="Normal"/>
    <w:qFormat/>
    <w:pPr>
      <w:keepNext/>
      <w:jc w:val="both"/>
      <w:outlineLvl w:val="5"/>
    </w:pPr>
    <w:rPr>
      <w:rFonts w:ascii="Verdana" w:eastAsia="Times" w:hAnsi="Verdana"/>
      <w:b/>
      <w:sz w:val="20"/>
      <w:szCs w:val="20"/>
      <w:lang w:val="es-ES_tradnl" w:eastAsia="en-US"/>
    </w:rPr>
  </w:style>
  <w:style w:type="paragraph" w:styleId="Ttulo9">
    <w:name w:val="heading 9"/>
    <w:basedOn w:val="Normal"/>
    <w:next w:val="Normal"/>
    <w:qFormat/>
    <w:pPr>
      <w:keepNext/>
      <w:numPr>
        <w:numId w:val="1"/>
      </w:numPr>
      <w:outlineLvl w:val="8"/>
    </w:pPr>
    <w:rPr>
      <w:rFonts w:ascii="Garamond" w:eastAsia="Times" w:hAnsi="Garamond"/>
      <w:i/>
      <w:szCs w:val="20"/>
      <w:lang w:val="es-ES_tradnl" w:eastAsia="en-U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styleId="Refdenotaalpie">
    <w:name w:val="footnote reference"/>
    <w:semiHidden/>
    <w:rPr>
      <w:sz w:val="20"/>
      <w:vertAlign w:val="superscript"/>
    </w:rPr>
  </w:style>
  <w:style w:type="paragraph" w:styleId="Textonotapie">
    <w:name w:val="footnote text"/>
    <w:aliases w:val="Footnote reference,FA Fu,Footnote Text Char Char Char Char Char,Footnote Text Char Char Char Char,Footnote Text Char Char Char"/>
    <w:basedOn w:val="Normal"/>
    <w:semiHidden/>
    <w:rPr>
      <w:rFonts w:ascii="Times" w:eastAsia="Times" w:hAnsi="Times"/>
      <w:szCs w:val="20"/>
      <w:lang w:val="es-ES_tradnl" w:eastAsia="en-US"/>
    </w:rPr>
  </w:style>
  <w:style w:type="paragraph" w:styleId="Textodebloque">
    <w:name w:val="Block Text"/>
    <w:basedOn w:val="Normal"/>
    <w:pPr>
      <w:ind w:left="720" w:right="764"/>
      <w:jc w:val="both"/>
    </w:pPr>
    <w:rPr>
      <w:rFonts w:ascii="Verdana" w:hAnsi="Verdana"/>
      <w:sz w:val="18"/>
      <w:szCs w:val="20"/>
      <w:lang w:val="es-ES_tradnl" w:eastAsia="en-US"/>
    </w:rPr>
  </w:style>
  <w:style w:type="paragraph" w:customStyle="1" w:styleId="Lneadereferencia">
    <w:name w:val="Línea de referencia"/>
    <w:basedOn w:val="Textoindependiente2"/>
    <w:pPr>
      <w:spacing w:after="0" w:line="240" w:lineRule="auto"/>
      <w:jc w:val="both"/>
    </w:pPr>
    <w:rPr>
      <w:rFonts w:ascii="Garamond" w:hAnsi="Garamond"/>
      <w:szCs w:val="20"/>
      <w:lang w:val="en-US" w:eastAsia="en-US"/>
    </w:rPr>
  </w:style>
  <w:style w:type="paragraph" w:styleId="Textoindependiente2">
    <w:name w:val="Body Text 2"/>
    <w:basedOn w:val="Normal"/>
    <w:pPr>
      <w:spacing w:after="120" w:line="480" w:lineRule="auto"/>
    </w:pPr>
  </w:style>
  <w:style w:type="paragraph" w:styleId="Encabezado">
    <w:name w:val="header"/>
    <w:basedOn w:val="Normal"/>
    <w:pPr>
      <w:tabs>
        <w:tab w:val="center" w:pos="4320"/>
        <w:tab w:val="right" w:pos="8640"/>
      </w:tabs>
    </w:pPr>
    <w:rPr>
      <w:rFonts w:ascii="Times" w:hAnsi="Times"/>
      <w:color w:val="000000"/>
      <w:szCs w:val="20"/>
      <w:lang w:val="es-ES_tradnl" w:eastAsia="en-US"/>
    </w:rPr>
  </w:style>
  <w:style w:type="paragraph" w:styleId="Textoindependiente">
    <w:name w:val="Body Text"/>
    <w:basedOn w:val="Normal"/>
    <w:pPr>
      <w:jc w:val="both"/>
    </w:pPr>
    <w:rPr>
      <w:rFonts w:ascii="Garamond" w:hAnsi="Garamond"/>
      <w:szCs w:val="20"/>
      <w:lang w:val="es-ES_tradnl" w:eastAsia="en-US"/>
    </w:rPr>
  </w:style>
  <w:style w:type="paragraph" w:customStyle="1" w:styleId="Textoindependiente1">
    <w:name w:val="Texto independiente1"/>
    <w:basedOn w:val="Normal"/>
    <w:pPr>
      <w:widowControl w:val="0"/>
      <w:jc w:val="both"/>
    </w:pPr>
    <w:rPr>
      <w:rFonts w:ascii="New York" w:hAnsi="New York"/>
      <w:szCs w:val="20"/>
      <w:lang w:val="es-ES_tradnl" w:eastAsia="en-US"/>
    </w:rPr>
  </w:style>
  <w:style w:type="paragraph" w:styleId="Piedepgina">
    <w:name w:val="footer"/>
    <w:basedOn w:val="Normal"/>
    <w:semiHidden/>
    <w:pPr>
      <w:tabs>
        <w:tab w:val="center" w:pos="4320"/>
        <w:tab w:val="right" w:pos="8640"/>
      </w:tabs>
    </w:pPr>
  </w:style>
  <w:style w:type="character" w:styleId="Nmerodepgina">
    <w:name w:val="page number"/>
    <w:basedOn w:val="Fuentedeprrafopredeter"/>
  </w:style>
  <w:style w:type="paragraph" w:styleId="Sangra2detindependiente">
    <w:name w:val="Body Text Indent 2"/>
    <w:basedOn w:val="Normal"/>
    <w:pPr>
      <w:spacing w:after="120" w:line="480" w:lineRule="auto"/>
      <w:ind w:left="360"/>
    </w:pPr>
  </w:style>
  <w:style w:type="paragraph" w:customStyle="1" w:styleId="caption">
    <w:name w:val="caption"/>
    <w:basedOn w:val="Normal"/>
    <w:pPr>
      <w:jc w:val="center"/>
    </w:pPr>
    <w:rPr>
      <w:rFonts w:ascii="Bradley Hand ITC TT-Bold" w:hAnsi="Bradley Hand ITC TT-Bold"/>
      <w:b/>
      <w:sz w:val="28"/>
      <w:szCs w:val="20"/>
      <w:lang w:val="es-ES_tradnl" w:eastAsia="en-US"/>
    </w:rPr>
  </w:style>
  <w:style w:type="character" w:styleId="Hipervnculo">
    <w:name w:val="Hyperlink"/>
    <w:rPr>
      <w:strike w:val="0"/>
      <w:dstrike w:val="0"/>
      <w:color w:val="FFFFFF"/>
      <w:u w:val="none"/>
      <w:effect w:val="none"/>
    </w:rPr>
  </w:style>
  <w:style w:type="paragraph" w:customStyle="1" w:styleId="negritamayuscula">
    <w:name w:val="negrita mayuscula"/>
    <w:basedOn w:val="Normal"/>
    <w:rsid w:val="00B119D2"/>
    <w:pPr>
      <w:widowControl w:val="0"/>
      <w:tabs>
        <w:tab w:val="left" w:pos="1120"/>
      </w:tabs>
      <w:spacing w:line="360" w:lineRule="atLeast"/>
      <w:jc w:val="both"/>
    </w:pPr>
    <w:rPr>
      <w:rFonts w:ascii="Garamond" w:hAnsi="Garamond"/>
      <w:szCs w:val="20"/>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3401</Words>
  <Characters>18711</Characters>
  <Application>Microsoft Office Word</Application>
  <DocSecurity>0</DocSecurity>
  <Lines>155</Lines>
  <Paragraphs>44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CORTE INTERAMERICANA DE DERECHOS HUMANOS</vt:lpstr>
      <vt:lpstr>CORTE INTERAMERICANA DE DERECHOS HUMANOS</vt:lpstr>
    </vt:vector>
  </TitlesOfParts>
  <Company>Corte idh</Company>
  <LinksUpToDate>false</LinksUpToDate>
  <CharactersWithSpaces>22068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CORTE INTERAMERICANA DE DERECHOS HUMANOS</dc:title>
  <dc:creator>cla</dc:creator>
  <cp:lastModifiedBy>Liliana Tojo</cp:lastModifiedBy>
  <cp:revision>3</cp:revision>
  <cp:lastPrinted>2017-06-23T20:19:00Z</cp:lastPrinted>
  <dcterms:created xsi:type="dcterms:W3CDTF">2017-06-23T20:19:00Z</dcterms:created>
  <dcterms:modified xsi:type="dcterms:W3CDTF">2017-06-23T20:19:00Z</dcterms:modified>
</cp:coreProperties>
</file>