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000000" w:rsidRDefault="00687F2E">
      <w:pPr>
        <w:jc w:val="center"/>
      </w:pPr>
      <w:bookmarkStart w:id="0" w:name="_GoBack"/>
      <w:bookmarkEnd w:id="0"/>
    </w:p>
    <w:p w:rsidR="00000000" w:rsidRDefault="00687F2E">
      <w:pPr>
        <w:jc w:val="center"/>
        <w:rPr>
          <w:rFonts w:ascii="Verdana" w:hAnsi="Verdana"/>
          <w:b/>
          <w:smallCaps/>
          <w:sz w:val="20"/>
          <w:szCs w:val="20"/>
          <w:lang w:val="es-ES_tradnl"/>
        </w:rPr>
      </w:pPr>
      <w:r>
        <w:rPr>
          <w:rFonts w:ascii="Verdana" w:hAnsi="Verdana"/>
          <w:b/>
          <w:smallCaps/>
          <w:sz w:val="20"/>
          <w:szCs w:val="20"/>
          <w:lang w:val="es-ES_tradnl"/>
        </w:rPr>
        <w:t>Corte Interamericana de Derechos Humanos</w:t>
      </w:r>
    </w:p>
    <w:p w:rsidR="00000000" w:rsidRDefault="00687F2E">
      <w:pPr>
        <w:jc w:val="center"/>
        <w:rPr>
          <w:rFonts w:ascii="Verdana" w:hAnsi="Verdana"/>
          <w:b/>
          <w:smallCaps/>
          <w:sz w:val="20"/>
          <w:szCs w:val="20"/>
          <w:lang w:val="es-ES_tradnl"/>
        </w:rPr>
      </w:pPr>
    </w:p>
    <w:p w:rsidR="00000000" w:rsidRDefault="00687F2E">
      <w:pPr>
        <w:jc w:val="center"/>
        <w:rPr>
          <w:rFonts w:ascii="Verdana" w:hAnsi="Verdana"/>
          <w:b/>
          <w:smallCaps/>
          <w:sz w:val="20"/>
          <w:szCs w:val="20"/>
          <w:lang w:val="es-ES_tradnl"/>
        </w:rPr>
      </w:pPr>
    </w:p>
    <w:p w:rsidR="00000000" w:rsidRDefault="00687F2E">
      <w:pPr>
        <w:jc w:val="center"/>
        <w:rPr>
          <w:rFonts w:ascii="Verdana" w:hAnsi="Verdana"/>
          <w:b/>
          <w:smallCaps/>
          <w:sz w:val="20"/>
          <w:szCs w:val="20"/>
          <w:lang w:val="es-ES_tradnl"/>
        </w:rPr>
      </w:pPr>
    </w:p>
    <w:p w:rsidR="00000000" w:rsidRDefault="00687F2E">
      <w:pPr>
        <w:jc w:val="center"/>
        <w:rPr>
          <w:rFonts w:ascii="Verdana" w:hAnsi="Verdana"/>
          <w:b/>
          <w:smallCaps/>
          <w:sz w:val="20"/>
          <w:szCs w:val="20"/>
          <w:lang w:val="es-ES_tradnl"/>
        </w:rPr>
      </w:pPr>
    </w:p>
    <w:p w:rsidR="00000000" w:rsidRDefault="00687F2E">
      <w:pPr>
        <w:jc w:val="center"/>
        <w:rPr>
          <w:rFonts w:ascii="Verdana" w:hAnsi="Verdana"/>
          <w:b/>
          <w:smallCaps/>
          <w:sz w:val="20"/>
          <w:szCs w:val="20"/>
          <w:lang w:val="es-ES_tradnl"/>
        </w:rPr>
      </w:pPr>
      <w:r>
        <w:rPr>
          <w:rFonts w:ascii="Verdana" w:hAnsi="Verdana"/>
          <w:b/>
          <w:smallCaps/>
          <w:sz w:val="20"/>
          <w:szCs w:val="20"/>
          <w:lang w:val="es-ES_tradnl"/>
        </w:rPr>
        <w:t xml:space="preserve">Caso </w:t>
      </w:r>
      <w:smartTag w:uri="urn:schemas-microsoft-com:office:smarttags" w:element="PersonName">
        <w:smartTagPr>
          <w:attr w:name="ProductID" w:val="LA CANTUTA VS."/>
        </w:smartTagPr>
        <w:r>
          <w:rPr>
            <w:rFonts w:ascii="Verdana" w:hAnsi="Verdana"/>
            <w:b/>
            <w:smallCaps/>
            <w:sz w:val="20"/>
            <w:szCs w:val="20"/>
            <w:lang w:val="es-ES_tradnl"/>
          </w:rPr>
          <w:t xml:space="preserve">la Cantuta </w:t>
        </w:r>
        <w:r>
          <w:rPr>
            <w:rFonts w:ascii="Verdana" w:hAnsi="Verdana"/>
            <w:b/>
            <w:i/>
            <w:smallCaps/>
            <w:sz w:val="20"/>
            <w:szCs w:val="20"/>
            <w:lang w:val="es-ES_tradnl"/>
          </w:rPr>
          <w:t>vs</w:t>
        </w:r>
        <w:r>
          <w:rPr>
            <w:rFonts w:ascii="Verdana" w:hAnsi="Verdana"/>
            <w:b/>
            <w:smallCaps/>
            <w:sz w:val="20"/>
            <w:szCs w:val="20"/>
            <w:lang w:val="es-ES_tradnl"/>
          </w:rPr>
          <w:t>.</w:t>
        </w:r>
      </w:smartTag>
      <w:r>
        <w:rPr>
          <w:rFonts w:ascii="Verdana" w:hAnsi="Verdana"/>
          <w:b/>
          <w:smallCaps/>
          <w:sz w:val="20"/>
          <w:szCs w:val="20"/>
          <w:lang w:val="es-ES_tradnl"/>
        </w:rPr>
        <w:t xml:space="preserve"> Perú</w:t>
      </w:r>
    </w:p>
    <w:p w:rsidR="00000000" w:rsidRDefault="00687F2E">
      <w:pPr>
        <w:jc w:val="center"/>
        <w:rPr>
          <w:rFonts w:ascii="Verdana" w:hAnsi="Verdana"/>
          <w:b/>
          <w:smallCaps/>
          <w:sz w:val="20"/>
          <w:szCs w:val="20"/>
          <w:lang w:val="es-ES_tradnl"/>
        </w:rPr>
      </w:pPr>
    </w:p>
    <w:p w:rsidR="00000000" w:rsidRDefault="00687F2E">
      <w:pPr>
        <w:jc w:val="center"/>
        <w:rPr>
          <w:rFonts w:ascii="Verdana" w:hAnsi="Verdana"/>
          <w:b/>
          <w:smallCaps/>
          <w:sz w:val="20"/>
          <w:szCs w:val="20"/>
          <w:lang w:val="es-ES_tradnl"/>
        </w:rPr>
      </w:pPr>
    </w:p>
    <w:p w:rsidR="00000000" w:rsidRDefault="00687F2E">
      <w:pPr>
        <w:jc w:val="center"/>
        <w:rPr>
          <w:rFonts w:ascii="Verdana" w:hAnsi="Verdana"/>
          <w:b/>
          <w:smallCaps/>
          <w:sz w:val="20"/>
          <w:szCs w:val="20"/>
          <w:lang w:val="es-ES_tradnl"/>
        </w:rPr>
      </w:pPr>
    </w:p>
    <w:p w:rsidR="00000000" w:rsidRDefault="00687F2E">
      <w:pPr>
        <w:jc w:val="center"/>
        <w:rPr>
          <w:rFonts w:ascii="Verdana" w:hAnsi="Verdana"/>
          <w:b/>
          <w:smallCaps/>
          <w:sz w:val="20"/>
          <w:szCs w:val="20"/>
          <w:lang w:val="es-ES_tradnl"/>
        </w:rPr>
      </w:pPr>
    </w:p>
    <w:p w:rsidR="00000000" w:rsidRDefault="00687F2E">
      <w:pPr>
        <w:jc w:val="center"/>
        <w:rPr>
          <w:rFonts w:ascii="Verdana" w:hAnsi="Verdana"/>
          <w:b/>
          <w:bCs/>
          <w:smallCaps/>
          <w:sz w:val="20"/>
          <w:lang w:val="es-ES_tradnl"/>
        </w:rPr>
      </w:pPr>
      <w:r>
        <w:rPr>
          <w:rFonts w:ascii="Verdana" w:hAnsi="Verdana"/>
          <w:b/>
          <w:bCs/>
          <w:smallCaps/>
          <w:sz w:val="20"/>
          <w:lang w:val="es-ES_tradnl"/>
        </w:rPr>
        <w:t>Sentencia de 30 de noviembre de 2007</w:t>
      </w:r>
    </w:p>
    <w:p w:rsidR="00000000" w:rsidRDefault="00687F2E">
      <w:pPr>
        <w:jc w:val="center"/>
        <w:rPr>
          <w:rFonts w:ascii="Verdana" w:hAnsi="Verdana"/>
          <w:b/>
          <w:i/>
          <w:smallCaps/>
          <w:sz w:val="18"/>
          <w:szCs w:val="18"/>
          <w:lang w:val="es-ES_tradnl"/>
        </w:rPr>
      </w:pPr>
      <w:r>
        <w:rPr>
          <w:rFonts w:ascii="Verdana" w:hAnsi="Verdana"/>
          <w:b/>
          <w:i/>
          <w:smallCaps/>
          <w:sz w:val="18"/>
          <w:szCs w:val="18"/>
          <w:lang w:val="es-ES_tradnl"/>
        </w:rPr>
        <w:t xml:space="preserve">(Interpretación de </w:t>
      </w:r>
      <w:smartTag w:uri="urn:schemas-microsoft-com:office:smarttags" w:element="PersonName">
        <w:smartTagPr>
          <w:attr w:name="ProductID" w:val="LA SENTENCIA DE"/>
        </w:smartTagPr>
        <w:r>
          <w:rPr>
            <w:rFonts w:ascii="Verdana" w:hAnsi="Verdana"/>
            <w:b/>
            <w:i/>
            <w:smallCaps/>
            <w:sz w:val="18"/>
            <w:szCs w:val="18"/>
            <w:lang w:val="es-ES_tradnl"/>
          </w:rPr>
          <w:t>la Sentencia de</w:t>
        </w:r>
      </w:smartTag>
      <w:r>
        <w:rPr>
          <w:rFonts w:ascii="Verdana" w:hAnsi="Verdana"/>
          <w:b/>
          <w:i/>
          <w:smallCaps/>
          <w:sz w:val="18"/>
          <w:szCs w:val="18"/>
          <w:lang w:val="es-ES_tradnl"/>
        </w:rPr>
        <w:t xml:space="preserve"> Fondo, Reparaciones y Costas) </w:t>
      </w:r>
    </w:p>
    <w:p w:rsidR="00000000" w:rsidRDefault="00687F2E">
      <w:pPr>
        <w:jc w:val="center"/>
        <w:rPr>
          <w:rFonts w:ascii="Verdana" w:hAnsi="Verdana"/>
          <w:b/>
          <w:i/>
          <w:smallCaps/>
          <w:sz w:val="18"/>
          <w:szCs w:val="18"/>
          <w:lang w:val="es-ES_tradnl"/>
        </w:rPr>
      </w:pPr>
    </w:p>
    <w:p w:rsidR="00000000" w:rsidRDefault="00687F2E">
      <w:pPr>
        <w:jc w:val="center"/>
        <w:rPr>
          <w:rFonts w:ascii="Verdana" w:hAnsi="Verdana"/>
          <w:b/>
          <w:smallCaps/>
          <w:sz w:val="20"/>
          <w:szCs w:val="20"/>
          <w:lang w:val="es-ES_tradnl"/>
        </w:rPr>
      </w:pPr>
    </w:p>
    <w:p w:rsidR="00000000" w:rsidRDefault="00687F2E">
      <w:pPr>
        <w:jc w:val="center"/>
        <w:rPr>
          <w:rFonts w:ascii="Verdana" w:hAnsi="Verdana"/>
          <w:b/>
          <w:smallCaps/>
          <w:sz w:val="20"/>
          <w:szCs w:val="20"/>
          <w:lang w:val="es-ES_tradnl"/>
        </w:rPr>
      </w:pPr>
    </w:p>
    <w:p w:rsidR="00000000" w:rsidRDefault="00687F2E">
      <w:pPr>
        <w:jc w:val="center"/>
        <w:rPr>
          <w:rFonts w:ascii="Verdana" w:hAnsi="Verdana"/>
          <w:b/>
          <w:smallCaps/>
          <w:sz w:val="20"/>
          <w:szCs w:val="20"/>
          <w:lang w:val="es-ES_tradnl"/>
        </w:rPr>
      </w:pPr>
    </w:p>
    <w:p w:rsidR="00000000" w:rsidRDefault="00687F2E">
      <w:pPr>
        <w:jc w:val="center"/>
        <w:rPr>
          <w:rFonts w:ascii="Verdana" w:hAnsi="Verdana"/>
          <w:b/>
          <w:smallCaps/>
          <w:sz w:val="20"/>
          <w:szCs w:val="20"/>
          <w:lang w:val="es-ES_tradnl"/>
        </w:rPr>
      </w:pPr>
    </w:p>
    <w:p w:rsidR="00000000" w:rsidRDefault="00687F2E">
      <w:pPr>
        <w:rPr>
          <w:rFonts w:ascii="Verdana" w:hAnsi="Verdana"/>
          <w:i/>
          <w:sz w:val="20"/>
          <w:szCs w:val="20"/>
          <w:lang w:val="es-ES_tradnl"/>
        </w:rPr>
      </w:pPr>
      <w:r>
        <w:rPr>
          <w:rFonts w:ascii="Verdana" w:hAnsi="Verdana"/>
          <w:smallCaps/>
          <w:sz w:val="20"/>
          <w:szCs w:val="20"/>
          <w:lang w:val="es-ES_tradnl"/>
        </w:rPr>
        <w:t>E</w:t>
      </w:r>
      <w:r>
        <w:rPr>
          <w:rFonts w:ascii="Verdana" w:hAnsi="Verdana"/>
          <w:sz w:val="20"/>
          <w:szCs w:val="20"/>
          <w:lang w:val="es-ES_tradnl"/>
        </w:rPr>
        <w:t xml:space="preserve">n el </w:t>
      </w:r>
      <w:r>
        <w:rPr>
          <w:rFonts w:ascii="Verdana" w:hAnsi="Verdana"/>
          <w:i/>
          <w:sz w:val="20"/>
          <w:szCs w:val="20"/>
          <w:lang w:val="es-ES_tradnl"/>
        </w:rPr>
        <w:t xml:space="preserve">caso </w:t>
      </w:r>
      <w:smartTag w:uri="urn:schemas-microsoft-com:office:smarttags" w:element="PersonName">
        <w:smartTagPr>
          <w:attr w:name="ProductID" w:val="La Cantuta"/>
        </w:smartTagPr>
        <w:r>
          <w:rPr>
            <w:rFonts w:ascii="Verdana" w:hAnsi="Verdana"/>
            <w:i/>
            <w:sz w:val="20"/>
            <w:szCs w:val="20"/>
            <w:lang w:val="es-ES_tradnl"/>
          </w:rPr>
          <w:t>La Cantuta</w:t>
        </w:r>
      </w:smartTag>
      <w:r>
        <w:rPr>
          <w:rFonts w:ascii="Verdana" w:hAnsi="Verdana"/>
          <w:i/>
          <w:sz w:val="20"/>
          <w:szCs w:val="20"/>
          <w:lang w:val="es-ES_tradnl"/>
        </w:rPr>
        <w:t xml:space="preserve"> vs. Perú,</w:t>
      </w:r>
    </w:p>
    <w:p w:rsidR="00000000" w:rsidRDefault="00687F2E">
      <w:pPr>
        <w:jc w:val="both"/>
        <w:rPr>
          <w:rFonts w:ascii="Verdana" w:hAnsi="Verdana"/>
          <w:i/>
          <w:sz w:val="20"/>
          <w:szCs w:val="20"/>
          <w:lang w:val="es-ES_tradnl"/>
        </w:rPr>
      </w:pPr>
    </w:p>
    <w:p w:rsidR="00000000" w:rsidRDefault="00687F2E">
      <w:pPr>
        <w:jc w:val="both"/>
        <w:rPr>
          <w:rFonts w:ascii="Verdana" w:hAnsi="Verdana"/>
          <w:sz w:val="20"/>
          <w:lang w:val="es-ES_tradnl"/>
        </w:rPr>
      </w:pPr>
      <w:smartTag w:uri="urn:schemas-microsoft-com:office:smarttags" w:element="PersonName">
        <w:smartTagPr>
          <w:attr w:name="ProductID" w:val="la Corte Interamericana"/>
        </w:smartTagPr>
        <w:r>
          <w:rPr>
            <w:rFonts w:ascii="Verdana" w:hAnsi="Verdana"/>
            <w:sz w:val="20"/>
            <w:szCs w:val="20"/>
            <w:lang w:val="es-ES_tradnl"/>
          </w:rPr>
          <w:t>la Corte Interamericana</w:t>
        </w:r>
      </w:smartTag>
      <w:r>
        <w:rPr>
          <w:rFonts w:ascii="Verdana" w:hAnsi="Verdana"/>
          <w:sz w:val="20"/>
          <w:szCs w:val="20"/>
          <w:lang w:val="es-ES_tradnl"/>
        </w:rPr>
        <w:t xml:space="preserve"> de Derechos Huma</w:t>
      </w:r>
      <w:r>
        <w:rPr>
          <w:rFonts w:ascii="Verdana" w:hAnsi="Verdana"/>
          <w:sz w:val="20"/>
          <w:szCs w:val="20"/>
          <w:lang w:val="es-ES_tradnl"/>
        </w:rPr>
        <w:t>nos (en adelante “</w:t>
      </w:r>
      <w:smartTag w:uri="urn:schemas-microsoft-com:office:smarttags" w:element="PersonName">
        <w:smartTagPr>
          <w:attr w:name="ProductID" w:val="la Corte Interamericana"/>
        </w:smartTagPr>
        <w:r>
          <w:rPr>
            <w:rFonts w:ascii="Verdana" w:hAnsi="Verdana"/>
            <w:sz w:val="20"/>
            <w:szCs w:val="20"/>
            <w:lang w:val="es-ES_tradnl"/>
          </w:rPr>
          <w:t>la Corte Interamericana</w:t>
        </w:r>
      </w:smartTag>
      <w:r>
        <w:rPr>
          <w:rFonts w:ascii="Verdana" w:hAnsi="Verdana"/>
          <w:sz w:val="20"/>
          <w:szCs w:val="20"/>
          <w:lang w:val="es-ES_tradnl"/>
        </w:rPr>
        <w:t>”, “</w:t>
      </w:r>
      <w:smartTag w:uri="urn:schemas-microsoft-com:office:smarttags" w:element="PersonName">
        <w:smartTagPr>
          <w:attr w:name="ProductID" w:val="la Corte"/>
        </w:smartTagPr>
        <w:r>
          <w:rPr>
            <w:rFonts w:ascii="Verdana" w:hAnsi="Verdana"/>
            <w:sz w:val="20"/>
            <w:szCs w:val="20"/>
            <w:lang w:val="es-ES_tradnl"/>
          </w:rPr>
          <w:t>la Corte</w:t>
        </w:r>
      </w:smartTag>
      <w:r>
        <w:rPr>
          <w:rFonts w:ascii="Verdana" w:hAnsi="Verdana"/>
          <w:sz w:val="20"/>
          <w:szCs w:val="20"/>
          <w:lang w:val="es-ES_tradnl"/>
        </w:rPr>
        <w:t xml:space="preserve">” o “el Tribunal”), </w:t>
      </w:r>
      <w:r>
        <w:rPr>
          <w:rFonts w:ascii="Verdana" w:hAnsi="Verdana"/>
          <w:sz w:val="20"/>
          <w:lang w:val="es-ES_tradnl"/>
        </w:rPr>
        <w:t>integrada por los siguientes jueces:</w:t>
      </w:r>
    </w:p>
    <w:p w:rsidR="00000000" w:rsidRDefault="00687F2E">
      <w:pPr>
        <w:ind w:firstLine="720"/>
        <w:jc w:val="both"/>
        <w:rPr>
          <w:rFonts w:ascii="Verdana" w:hAnsi="Verdana"/>
          <w:sz w:val="20"/>
          <w:lang w:val="es-ES_tradnl"/>
        </w:rPr>
      </w:pPr>
    </w:p>
    <w:p w:rsidR="00000000" w:rsidRDefault="00687F2E">
      <w:pPr>
        <w:ind w:firstLine="720"/>
        <w:rPr>
          <w:rFonts w:ascii="Verdana" w:hAnsi="Verdana"/>
          <w:sz w:val="20"/>
          <w:lang w:val="pt-BR"/>
        </w:rPr>
      </w:pPr>
      <w:r>
        <w:rPr>
          <w:rFonts w:ascii="Verdana" w:hAnsi="Verdana"/>
          <w:sz w:val="20"/>
          <w:lang w:val="pt-BR"/>
        </w:rPr>
        <w:t>Sergio García Ramírez, Presidente;</w:t>
      </w:r>
    </w:p>
    <w:p w:rsidR="00000000" w:rsidRDefault="00687F2E">
      <w:pPr>
        <w:ind w:firstLine="720"/>
        <w:rPr>
          <w:rFonts w:ascii="Verdana" w:hAnsi="Verdana"/>
          <w:color w:val="000000"/>
          <w:sz w:val="20"/>
          <w:lang w:val="pt-BR"/>
        </w:rPr>
      </w:pPr>
      <w:r>
        <w:rPr>
          <w:rFonts w:ascii="Verdana" w:hAnsi="Verdana"/>
          <w:color w:val="000000"/>
          <w:sz w:val="20"/>
          <w:lang w:val="pt-BR"/>
        </w:rPr>
        <w:t>Antônio Augusto Cançado Trindade, Juez;</w:t>
      </w:r>
    </w:p>
    <w:p w:rsidR="00000000" w:rsidRDefault="00687F2E">
      <w:pPr>
        <w:ind w:firstLine="720"/>
        <w:rPr>
          <w:rFonts w:ascii="Verdana" w:hAnsi="Verdana"/>
          <w:color w:val="000000"/>
          <w:sz w:val="20"/>
          <w:lang w:val="pt-BR"/>
        </w:rPr>
      </w:pPr>
      <w:r>
        <w:rPr>
          <w:rFonts w:ascii="Verdana" w:hAnsi="Verdana"/>
          <w:color w:val="000000"/>
          <w:sz w:val="20"/>
          <w:lang w:val="pt-BR"/>
        </w:rPr>
        <w:t>Cecilia Medina Quiroga, Jueza;</w:t>
      </w:r>
    </w:p>
    <w:p w:rsidR="00000000" w:rsidRDefault="00687F2E">
      <w:pPr>
        <w:ind w:firstLine="720"/>
        <w:rPr>
          <w:rFonts w:ascii="Verdana" w:hAnsi="Verdana"/>
          <w:color w:val="000000"/>
          <w:sz w:val="20"/>
          <w:lang w:val="pt-BR"/>
        </w:rPr>
      </w:pPr>
      <w:r>
        <w:rPr>
          <w:rFonts w:ascii="Verdana" w:hAnsi="Verdana"/>
          <w:color w:val="000000"/>
          <w:sz w:val="20"/>
          <w:lang w:val="pt-BR"/>
        </w:rPr>
        <w:t xml:space="preserve">Manuel E. Ventura Robles, Juez; </w:t>
      </w:r>
    </w:p>
    <w:p w:rsidR="00000000" w:rsidRDefault="00687F2E">
      <w:pPr>
        <w:ind w:firstLine="720"/>
        <w:rPr>
          <w:rFonts w:ascii="Verdana" w:hAnsi="Verdana"/>
          <w:sz w:val="20"/>
          <w:lang w:val="pt-BR"/>
        </w:rPr>
      </w:pPr>
      <w:r>
        <w:rPr>
          <w:rFonts w:ascii="Verdana" w:hAnsi="Verdana"/>
          <w:sz w:val="20"/>
          <w:lang w:val="pt-BR"/>
        </w:rPr>
        <w:t>Fernan</w:t>
      </w:r>
      <w:r>
        <w:rPr>
          <w:rFonts w:ascii="Verdana" w:hAnsi="Verdana"/>
          <w:sz w:val="20"/>
          <w:lang w:val="pt-BR"/>
        </w:rPr>
        <w:t xml:space="preserve">do Vidal Ramírez, Juez </w:t>
      </w:r>
      <w:r>
        <w:rPr>
          <w:rFonts w:ascii="Verdana" w:hAnsi="Verdana"/>
          <w:i/>
          <w:sz w:val="20"/>
          <w:lang w:val="pt-BR"/>
        </w:rPr>
        <w:t>ad hoc</w:t>
      </w:r>
      <w:r>
        <w:rPr>
          <w:rFonts w:ascii="Verdana" w:hAnsi="Verdana"/>
          <w:sz w:val="20"/>
          <w:lang w:val="pt-BR"/>
        </w:rPr>
        <w:t>;</w:t>
      </w:r>
    </w:p>
    <w:p w:rsidR="00000000" w:rsidRDefault="00687F2E">
      <w:pPr>
        <w:jc w:val="both"/>
        <w:rPr>
          <w:rFonts w:ascii="Verdana" w:hAnsi="Verdana"/>
          <w:sz w:val="20"/>
          <w:lang w:val="pt-BR"/>
        </w:rPr>
      </w:pPr>
      <w:r>
        <w:rPr>
          <w:rFonts w:ascii="Verdana" w:hAnsi="Verdana"/>
          <w:sz w:val="20"/>
          <w:lang w:val="pt-BR"/>
        </w:rPr>
        <w:tab/>
      </w:r>
    </w:p>
    <w:p w:rsidR="00000000" w:rsidRDefault="00687F2E">
      <w:pPr>
        <w:jc w:val="both"/>
        <w:rPr>
          <w:rFonts w:ascii="Verdana" w:hAnsi="Verdana"/>
          <w:sz w:val="20"/>
          <w:lang w:val="pt-BR"/>
        </w:rPr>
      </w:pPr>
      <w:r>
        <w:rPr>
          <w:rFonts w:ascii="Verdana" w:hAnsi="Verdana"/>
          <w:sz w:val="20"/>
          <w:lang w:val="pt-BR"/>
        </w:rPr>
        <w:t>presentes, además,</w:t>
      </w:r>
    </w:p>
    <w:p w:rsidR="00000000" w:rsidRDefault="00687F2E">
      <w:pPr>
        <w:jc w:val="both"/>
        <w:rPr>
          <w:rFonts w:ascii="Verdana" w:hAnsi="Verdana"/>
          <w:sz w:val="20"/>
          <w:lang w:val="pt-BR"/>
        </w:rPr>
      </w:pPr>
    </w:p>
    <w:p w:rsidR="00000000" w:rsidRDefault="00687F2E">
      <w:pPr>
        <w:ind w:left="720"/>
        <w:jc w:val="both"/>
        <w:rPr>
          <w:rFonts w:ascii="Verdana" w:hAnsi="Verdana"/>
          <w:sz w:val="20"/>
          <w:lang w:val="pt-BR"/>
        </w:rPr>
      </w:pPr>
      <w:r>
        <w:rPr>
          <w:rFonts w:ascii="Verdana" w:hAnsi="Verdana"/>
          <w:sz w:val="20"/>
          <w:lang w:val="pt-BR"/>
        </w:rPr>
        <w:t>Pablo Saavedra Alessandri, Secretario, y</w:t>
      </w:r>
    </w:p>
    <w:p w:rsidR="00000000" w:rsidRDefault="00687F2E">
      <w:pPr>
        <w:ind w:left="720"/>
        <w:jc w:val="both"/>
        <w:rPr>
          <w:rFonts w:ascii="Verdana" w:hAnsi="Verdana"/>
          <w:sz w:val="20"/>
          <w:lang w:val="es-ES_tradnl"/>
        </w:rPr>
      </w:pPr>
      <w:r>
        <w:rPr>
          <w:rFonts w:ascii="Verdana" w:hAnsi="Verdana"/>
          <w:sz w:val="20"/>
          <w:lang w:val="es-ES_tradnl"/>
        </w:rPr>
        <w:t>Emilia Segares Rodríguez, Secretaria Adjunta;</w:t>
      </w:r>
    </w:p>
    <w:p w:rsidR="00000000" w:rsidRDefault="00687F2E">
      <w:pPr>
        <w:jc w:val="both"/>
        <w:rPr>
          <w:rFonts w:ascii="Verdana" w:hAnsi="Verdana"/>
          <w:sz w:val="20"/>
          <w:lang w:val="es-ES_tradnl"/>
        </w:rPr>
      </w:pPr>
      <w:r>
        <w:rPr>
          <w:rFonts w:ascii="Verdana" w:hAnsi="Verdana"/>
          <w:sz w:val="20"/>
          <w:lang w:val="es-ES_tradnl"/>
        </w:rPr>
        <w:t xml:space="preserve"> </w:t>
      </w:r>
    </w:p>
    <w:p w:rsidR="00000000" w:rsidRDefault="00687F2E">
      <w:pPr>
        <w:jc w:val="both"/>
        <w:rPr>
          <w:rFonts w:ascii="Verdana" w:hAnsi="Verdana"/>
          <w:sz w:val="20"/>
          <w:lang w:val="es-ES_tradnl"/>
        </w:rPr>
      </w:pPr>
    </w:p>
    <w:p w:rsidR="00000000" w:rsidRDefault="00687F2E">
      <w:pPr>
        <w:jc w:val="both"/>
        <w:rPr>
          <w:rFonts w:ascii="Verdana" w:hAnsi="Verdana"/>
          <w:sz w:val="20"/>
          <w:szCs w:val="20"/>
          <w:lang w:val="es-ES_tradnl"/>
        </w:rPr>
      </w:pPr>
      <w:r>
        <w:rPr>
          <w:rFonts w:ascii="Verdana" w:hAnsi="Verdana"/>
          <w:sz w:val="20"/>
          <w:szCs w:val="20"/>
          <w:lang w:val="es-ES_tradnl"/>
        </w:rPr>
        <w:t xml:space="preserve">de conformidad con el artículo 67 de </w:t>
      </w:r>
      <w:smartTag w:uri="urn:schemas-microsoft-com:office:smarttags" w:element="PersonName">
        <w:smartTagPr>
          <w:attr w:name="ProductID" w:val="la Convenci￳n Americana"/>
        </w:smartTagPr>
        <w:r>
          <w:rPr>
            <w:rFonts w:ascii="Verdana" w:hAnsi="Verdana"/>
            <w:sz w:val="20"/>
            <w:szCs w:val="20"/>
            <w:lang w:val="es-ES_tradnl"/>
          </w:rPr>
          <w:t>la Convención Americana</w:t>
        </w:r>
      </w:smartTag>
      <w:r>
        <w:rPr>
          <w:rFonts w:ascii="Verdana" w:hAnsi="Verdana"/>
          <w:sz w:val="20"/>
          <w:szCs w:val="20"/>
          <w:lang w:val="es-ES_tradnl"/>
        </w:rPr>
        <w:t xml:space="preserve"> sobre Derechos Humanos (en adelante “</w:t>
      </w:r>
      <w:smartTag w:uri="urn:schemas-microsoft-com:office:smarttags" w:element="PersonName">
        <w:smartTagPr>
          <w:attr w:name="ProductID" w:val="la Convenci￳n"/>
        </w:smartTagPr>
        <w:r>
          <w:rPr>
            <w:rFonts w:ascii="Verdana" w:hAnsi="Verdana"/>
            <w:sz w:val="20"/>
            <w:szCs w:val="20"/>
            <w:lang w:val="es-ES_tradnl"/>
          </w:rPr>
          <w:t>la Convención</w:t>
        </w:r>
      </w:smartTag>
      <w:r>
        <w:rPr>
          <w:rFonts w:ascii="Verdana" w:hAnsi="Verdana"/>
          <w:sz w:val="20"/>
          <w:szCs w:val="20"/>
          <w:lang w:val="es-ES_tradnl"/>
        </w:rPr>
        <w:t xml:space="preserve">” </w:t>
      </w:r>
      <w:r>
        <w:rPr>
          <w:rFonts w:ascii="Verdana" w:hAnsi="Verdana"/>
          <w:sz w:val="20"/>
          <w:szCs w:val="20"/>
          <w:lang w:val="es-ES_tradnl"/>
        </w:rPr>
        <w:t>o “</w:t>
      </w:r>
      <w:smartTag w:uri="urn:schemas-microsoft-com:office:smarttags" w:element="PersonName">
        <w:smartTagPr>
          <w:attr w:name="ProductID" w:val="la Convenci￳n Americana"/>
        </w:smartTagPr>
        <w:r>
          <w:rPr>
            <w:rFonts w:ascii="Verdana" w:hAnsi="Verdana"/>
            <w:sz w:val="20"/>
            <w:szCs w:val="20"/>
            <w:lang w:val="es-ES_tradnl"/>
          </w:rPr>
          <w:t>la Convención Americana</w:t>
        </w:r>
      </w:smartTag>
      <w:r>
        <w:rPr>
          <w:rFonts w:ascii="Verdana" w:hAnsi="Verdana"/>
          <w:sz w:val="20"/>
          <w:szCs w:val="20"/>
          <w:lang w:val="es-ES_tradnl"/>
        </w:rPr>
        <w:t xml:space="preserve">”) y el artículo 59 del Reglamento de </w:t>
      </w:r>
      <w:smartTag w:uri="urn:schemas-microsoft-com:office:smarttags" w:element="PersonName">
        <w:smartTagPr>
          <w:attr w:name="ProductID" w:val="la Corte"/>
        </w:smartTagPr>
        <w:r>
          <w:rPr>
            <w:rFonts w:ascii="Verdana" w:hAnsi="Verdana"/>
            <w:sz w:val="20"/>
            <w:szCs w:val="20"/>
            <w:lang w:val="es-ES_tradnl"/>
          </w:rPr>
          <w:t>la Corte</w:t>
        </w:r>
      </w:smartTag>
      <w:r>
        <w:rPr>
          <w:rFonts w:ascii="Verdana" w:hAnsi="Verdana"/>
          <w:sz w:val="20"/>
          <w:szCs w:val="20"/>
          <w:lang w:val="es-ES_tradnl"/>
        </w:rPr>
        <w:t xml:space="preserve"> (en adelante “el Reglamento”), resuelve la demanda de interpretación de </w:t>
      </w:r>
      <w:smartTag w:uri="urn:schemas-microsoft-com:office:smarttags" w:element="PersonName">
        <w:smartTagPr>
          <w:attr w:name="ProductID" w:val="la Sentencia"/>
        </w:smartTagPr>
        <w:r>
          <w:rPr>
            <w:rFonts w:ascii="Verdana" w:hAnsi="Verdana"/>
            <w:sz w:val="20"/>
            <w:szCs w:val="20"/>
            <w:lang w:val="es-ES_tradnl"/>
          </w:rPr>
          <w:t>la Sentencia</w:t>
        </w:r>
      </w:smartTag>
      <w:r>
        <w:rPr>
          <w:rFonts w:ascii="Verdana" w:hAnsi="Verdana"/>
          <w:sz w:val="20"/>
          <w:szCs w:val="20"/>
          <w:lang w:val="es-ES_tradnl"/>
        </w:rPr>
        <w:t xml:space="preserve"> sobre fondo, reparaciones y costas dictada por </w:t>
      </w:r>
      <w:smartTag w:uri="urn:schemas-microsoft-com:office:smarttags" w:element="PersonName">
        <w:smartTagPr>
          <w:attr w:name="ProductID" w:val="la Corte"/>
        </w:smartTagPr>
        <w:r>
          <w:rPr>
            <w:rFonts w:ascii="Verdana" w:hAnsi="Verdana"/>
            <w:sz w:val="20"/>
            <w:szCs w:val="20"/>
            <w:lang w:val="es-ES_tradnl"/>
          </w:rPr>
          <w:t>la Corte</w:t>
        </w:r>
      </w:smartTag>
      <w:r>
        <w:rPr>
          <w:rFonts w:ascii="Verdana" w:hAnsi="Verdana"/>
          <w:sz w:val="20"/>
          <w:szCs w:val="20"/>
          <w:lang w:val="es-ES_tradnl"/>
        </w:rPr>
        <w:t xml:space="preserve"> el 29 de noviembre de 2006 en el </w:t>
      </w:r>
      <w:r>
        <w:rPr>
          <w:rFonts w:ascii="Verdana" w:hAnsi="Verdana"/>
          <w:i/>
          <w:sz w:val="20"/>
          <w:szCs w:val="20"/>
          <w:lang w:val="es-ES_tradnl"/>
        </w:rPr>
        <w:t xml:space="preserve">caso </w:t>
      </w:r>
      <w:smartTag w:uri="urn:schemas-microsoft-com:office:smarttags" w:element="PersonName">
        <w:smartTagPr>
          <w:attr w:name="ProductID" w:val="La Cantuta"/>
        </w:smartTagPr>
        <w:r>
          <w:rPr>
            <w:rFonts w:ascii="Verdana" w:hAnsi="Verdana"/>
            <w:i/>
            <w:sz w:val="20"/>
            <w:szCs w:val="20"/>
            <w:lang w:val="es-ES_tradnl"/>
          </w:rPr>
          <w:t>La C</w:t>
        </w:r>
        <w:r>
          <w:rPr>
            <w:rFonts w:ascii="Verdana" w:hAnsi="Verdana"/>
            <w:i/>
            <w:sz w:val="20"/>
            <w:szCs w:val="20"/>
            <w:lang w:val="es-ES_tradnl"/>
          </w:rPr>
          <w:t>antuta</w:t>
        </w:r>
      </w:smartTag>
      <w:r>
        <w:rPr>
          <w:rFonts w:ascii="Verdana" w:hAnsi="Verdana"/>
          <w:i/>
          <w:sz w:val="20"/>
          <w:szCs w:val="20"/>
          <w:lang w:val="es-ES_tradnl"/>
        </w:rPr>
        <w:t xml:space="preserve"> vs. </w:t>
      </w:r>
      <w:r>
        <w:rPr>
          <w:rFonts w:ascii="Verdana" w:hAnsi="Verdana"/>
          <w:sz w:val="20"/>
          <w:szCs w:val="20"/>
          <w:lang w:val="es-ES_tradnl"/>
        </w:rPr>
        <w:t>Perú</w:t>
      </w:r>
      <w:r>
        <w:rPr>
          <w:rFonts w:ascii="Verdana" w:hAnsi="Verdana"/>
          <w:i/>
          <w:sz w:val="20"/>
          <w:szCs w:val="20"/>
          <w:lang w:val="es-ES_tradnl"/>
        </w:rPr>
        <w:t xml:space="preserve"> </w:t>
      </w:r>
      <w:r>
        <w:rPr>
          <w:rFonts w:ascii="Verdana" w:hAnsi="Verdana"/>
          <w:sz w:val="20"/>
          <w:szCs w:val="20"/>
          <w:lang w:val="es-ES_tradnl"/>
        </w:rPr>
        <w:t>(en adelante “la demanda de interpretación”), interpuesta por los representantes de los familiares de las víctimas (en adelante “los representantes”) el 20 de marzo de 2007.</w:t>
      </w:r>
    </w:p>
    <w:p w:rsidR="00000000" w:rsidRDefault="00687F2E">
      <w:pPr>
        <w:jc w:val="both"/>
        <w:rPr>
          <w:rFonts w:ascii="Verdana" w:hAnsi="Verdana"/>
          <w:sz w:val="20"/>
          <w:szCs w:val="20"/>
          <w:lang w:val="es-ES_tradnl"/>
        </w:rPr>
      </w:pPr>
    </w:p>
    <w:p w:rsidR="00000000" w:rsidRDefault="00687F2E">
      <w:pPr>
        <w:jc w:val="both"/>
        <w:rPr>
          <w:rFonts w:ascii="Verdana" w:hAnsi="Verdana"/>
          <w:sz w:val="20"/>
          <w:szCs w:val="20"/>
          <w:lang w:val="es-ES_tradnl"/>
        </w:rPr>
      </w:pPr>
    </w:p>
    <w:p w:rsidR="00000000" w:rsidRDefault="00687F2E">
      <w:pPr>
        <w:jc w:val="both"/>
        <w:rPr>
          <w:rFonts w:ascii="Verdana" w:hAnsi="Verdana"/>
          <w:sz w:val="20"/>
          <w:szCs w:val="20"/>
          <w:lang w:val="es-ES_tradnl"/>
        </w:rPr>
      </w:pPr>
    </w:p>
    <w:p w:rsidR="00000000" w:rsidRDefault="00687F2E">
      <w:pPr>
        <w:jc w:val="center"/>
        <w:rPr>
          <w:rFonts w:ascii="Verdana" w:hAnsi="Verdana"/>
          <w:b/>
          <w:smallCaps/>
          <w:sz w:val="20"/>
          <w:szCs w:val="20"/>
          <w:lang w:val="es-ES_tradnl"/>
        </w:rPr>
      </w:pPr>
      <w:r>
        <w:rPr>
          <w:rFonts w:ascii="Verdana" w:hAnsi="Verdana"/>
          <w:b/>
          <w:smallCaps/>
          <w:sz w:val="20"/>
          <w:szCs w:val="20"/>
          <w:lang w:val="es-ES_tradnl"/>
        </w:rPr>
        <w:t>I</w:t>
      </w:r>
    </w:p>
    <w:p w:rsidR="00000000" w:rsidRDefault="00687F2E">
      <w:pPr>
        <w:jc w:val="center"/>
        <w:rPr>
          <w:rFonts w:ascii="Verdana" w:hAnsi="Verdana"/>
          <w:b/>
          <w:smallCaps/>
          <w:sz w:val="20"/>
          <w:szCs w:val="20"/>
          <w:lang w:val="es-ES_tradnl"/>
        </w:rPr>
      </w:pPr>
      <w:r>
        <w:rPr>
          <w:rFonts w:ascii="Verdana" w:hAnsi="Verdana"/>
          <w:b/>
          <w:smallCaps/>
          <w:sz w:val="20"/>
          <w:szCs w:val="20"/>
          <w:lang w:val="es-ES_tradnl"/>
        </w:rPr>
        <w:t xml:space="preserve">Introducción de </w:t>
      </w:r>
      <w:smartTag w:uri="urn:schemas-microsoft-com:office:smarttags" w:element="PersonName">
        <w:smartTagPr>
          <w:attr w:name="ProductID" w:val="LA DEMANDA DE"/>
        </w:smartTagPr>
        <w:r>
          <w:rPr>
            <w:rFonts w:ascii="Verdana" w:hAnsi="Verdana"/>
            <w:b/>
            <w:smallCaps/>
            <w:sz w:val="20"/>
            <w:szCs w:val="20"/>
            <w:lang w:val="es-ES_tradnl"/>
          </w:rPr>
          <w:t>la demanda de</w:t>
        </w:r>
      </w:smartTag>
      <w:r>
        <w:rPr>
          <w:rFonts w:ascii="Verdana" w:hAnsi="Verdana"/>
          <w:b/>
          <w:smallCaps/>
          <w:sz w:val="20"/>
          <w:szCs w:val="20"/>
          <w:lang w:val="es-ES_tradnl"/>
        </w:rPr>
        <w:t xml:space="preserve"> interpretación y procedimiento </w:t>
      </w:r>
      <w:r>
        <w:rPr>
          <w:rFonts w:ascii="Verdana" w:hAnsi="Verdana"/>
          <w:b/>
          <w:smallCaps/>
          <w:sz w:val="20"/>
          <w:szCs w:val="20"/>
          <w:lang w:val="es-ES_tradnl"/>
        </w:rPr>
        <w:t xml:space="preserve">ante </w:t>
      </w:r>
      <w:smartTag w:uri="urn:schemas-microsoft-com:office:smarttags" w:element="PersonName">
        <w:smartTagPr>
          <w:attr w:name="ProductID" w:val="la Corte"/>
        </w:smartTagPr>
        <w:r>
          <w:rPr>
            <w:rFonts w:ascii="Verdana" w:hAnsi="Verdana"/>
            <w:b/>
            <w:smallCaps/>
            <w:sz w:val="20"/>
            <w:szCs w:val="20"/>
            <w:lang w:val="es-ES_tradnl"/>
          </w:rPr>
          <w:t>la Corte</w:t>
        </w:r>
      </w:smartTag>
    </w:p>
    <w:p w:rsidR="00000000" w:rsidRDefault="00687F2E">
      <w:pPr>
        <w:jc w:val="center"/>
        <w:rPr>
          <w:rFonts w:ascii="Verdana" w:hAnsi="Verdana"/>
          <w:b/>
          <w:smallCaps/>
          <w:sz w:val="20"/>
          <w:szCs w:val="20"/>
          <w:lang w:val="es-ES_tradnl"/>
        </w:rPr>
      </w:pPr>
    </w:p>
    <w:p w:rsidR="00000000" w:rsidRDefault="00687F2E">
      <w:pPr>
        <w:jc w:val="center"/>
        <w:rPr>
          <w:rFonts w:ascii="Verdana" w:hAnsi="Verdana"/>
          <w:b/>
          <w:smallCaps/>
          <w:sz w:val="20"/>
          <w:szCs w:val="20"/>
          <w:lang w:val="es-ES_tradnl"/>
        </w:rPr>
      </w:pPr>
    </w:p>
    <w:p w:rsidR="00000000" w:rsidRDefault="00687F2E">
      <w:pPr>
        <w:jc w:val="both"/>
        <w:rPr>
          <w:rFonts w:ascii="Verdana" w:hAnsi="Verdana"/>
          <w:sz w:val="20"/>
          <w:szCs w:val="20"/>
          <w:lang w:val="es-ES_tradnl"/>
        </w:rPr>
      </w:pPr>
      <w:r>
        <w:rPr>
          <w:rFonts w:ascii="Verdana" w:hAnsi="Verdana"/>
          <w:sz w:val="20"/>
          <w:szCs w:val="20"/>
          <w:lang w:val="es-ES_tradnl"/>
        </w:rPr>
        <w:t>1.</w:t>
      </w:r>
      <w:r>
        <w:rPr>
          <w:rFonts w:ascii="Verdana" w:hAnsi="Verdana"/>
          <w:sz w:val="20"/>
          <w:szCs w:val="20"/>
          <w:lang w:val="es-ES_tradnl"/>
        </w:rPr>
        <w:tab/>
        <w:t xml:space="preserve">El 20 de marzo de 2007 los representantes presentaron una demanda de interpretación de </w:t>
      </w:r>
      <w:smartTag w:uri="urn:schemas-microsoft-com:office:smarttags" w:element="PersonName">
        <w:smartTagPr>
          <w:attr w:name="ProductID" w:val="la Sentencia"/>
        </w:smartTagPr>
        <w:r>
          <w:rPr>
            <w:rFonts w:ascii="Verdana" w:hAnsi="Verdana"/>
            <w:sz w:val="20"/>
            <w:szCs w:val="20"/>
            <w:lang w:val="es-ES_tradnl"/>
          </w:rPr>
          <w:t>la Sentencia</w:t>
        </w:r>
      </w:smartTag>
      <w:r>
        <w:rPr>
          <w:rFonts w:ascii="Verdana" w:hAnsi="Verdana"/>
          <w:sz w:val="20"/>
          <w:szCs w:val="20"/>
          <w:lang w:val="es-ES_tradnl"/>
        </w:rPr>
        <w:t xml:space="preserve"> de 29 de noviembre de 2006 </w:t>
      </w:r>
      <w:r>
        <w:rPr>
          <w:rFonts w:ascii="Verdana" w:hAnsi="Verdana"/>
          <w:sz w:val="20"/>
          <w:lang w:val="es-ES_tradnl"/>
        </w:rPr>
        <w:t xml:space="preserve">sobre fondo, reparaciones y </w:t>
      </w:r>
      <w:r>
        <w:rPr>
          <w:rFonts w:ascii="Verdana" w:hAnsi="Verdana"/>
          <w:sz w:val="20"/>
          <w:lang w:val="es-ES_tradnl"/>
        </w:rPr>
        <w:lastRenderedPageBreak/>
        <w:t>costas en este caso</w:t>
      </w:r>
      <w:r>
        <w:rPr>
          <w:rStyle w:val="Refdenotaalpie"/>
          <w:rFonts w:ascii="Verdana" w:hAnsi="Verdana"/>
          <w:sz w:val="20"/>
          <w:lang w:val="es-ES_tradnl"/>
        </w:rPr>
        <w:footnoteReference w:id="1"/>
      </w:r>
      <w:r>
        <w:rPr>
          <w:rFonts w:ascii="Verdana" w:hAnsi="Verdana"/>
          <w:sz w:val="20"/>
          <w:lang w:val="es-ES_tradnl"/>
        </w:rPr>
        <w:t xml:space="preserve"> (en adelante “</w:t>
      </w:r>
      <w:smartTag w:uri="urn:schemas-microsoft-com:office:smarttags" w:element="PersonName">
        <w:smartTagPr>
          <w:attr w:name="ProductID" w:val="la Sentencia"/>
        </w:smartTagPr>
        <w:r>
          <w:rPr>
            <w:rFonts w:ascii="Verdana" w:hAnsi="Verdana"/>
            <w:sz w:val="20"/>
            <w:lang w:val="es-ES_tradnl"/>
          </w:rPr>
          <w:t>la Sentencia</w:t>
        </w:r>
      </w:smartTag>
      <w:r>
        <w:rPr>
          <w:rFonts w:ascii="Verdana" w:hAnsi="Verdana"/>
          <w:sz w:val="20"/>
          <w:lang w:val="es-ES_tradnl"/>
        </w:rPr>
        <w:t>”)</w:t>
      </w:r>
      <w:r>
        <w:rPr>
          <w:rFonts w:ascii="Verdana" w:hAnsi="Verdana"/>
          <w:sz w:val="20"/>
          <w:szCs w:val="20"/>
          <w:lang w:val="es-ES_tradnl"/>
        </w:rPr>
        <w:t>, con fundamento en los artículos</w:t>
      </w:r>
      <w:r>
        <w:rPr>
          <w:rFonts w:ascii="Verdana" w:hAnsi="Verdana"/>
          <w:sz w:val="20"/>
          <w:szCs w:val="20"/>
          <w:lang w:val="es-ES_tradnl"/>
        </w:rPr>
        <w:t xml:space="preserve"> 67 de </w:t>
      </w:r>
      <w:smartTag w:uri="urn:schemas-microsoft-com:office:smarttags" w:element="PersonName">
        <w:smartTagPr>
          <w:attr w:name="ProductID" w:val="la Convenci￳n"/>
        </w:smartTagPr>
        <w:r>
          <w:rPr>
            <w:rFonts w:ascii="Verdana" w:hAnsi="Verdana"/>
            <w:sz w:val="20"/>
            <w:szCs w:val="20"/>
            <w:lang w:val="es-ES_tradnl"/>
          </w:rPr>
          <w:t>la Convención</w:t>
        </w:r>
      </w:smartTag>
      <w:r>
        <w:rPr>
          <w:rFonts w:ascii="Verdana" w:hAnsi="Verdana"/>
          <w:sz w:val="20"/>
          <w:szCs w:val="20"/>
          <w:lang w:val="es-ES_tradnl"/>
        </w:rPr>
        <w:t xml:space="preserve"> y 59 del Reglamento. En su demanda de interpretación los representantes solicitaron “la aclaración de varios puntos relativos a la identificación y/o individualización de los familiares de las víctimas en el caso de referencia, respect</w:t>
      </w:r>
      <w:r>
        <w:rPr>
          <w:rFonts w:ascii="Verdana" w:hAnsi="Verdana"/>
          <w:sz w:val="20"/>
          <w:szCs w:val="20"/>
          <w:lang w:val="es-ES_tradnl"/>
        </w:rPr>
        <w:t xml:space="preserve">o de su consideración como beneficiarios de las medidas de reparación dispuestas en la [S]entencia”. </w:t>
      </w:r>
    </w:p>
    <w:p w:rsidR="00000000" w:rsidRDefault="00687F2E">
      <w:pPr>
        <w:pStyle w:val="Lneadereferencia"/>
        <w:ind w:right="738"/>
        <w:jc w:val="center"/>
        <w:rPr>
          <w:rFonts w:ascii="Verdana" w:hAnsi="Verdana"/>
          <w:b/>
          <w:sz w:val="20"/>
          <w:u w:val="single"/>
          <w:lang w:val="es-ES_tradnl"/>
        </w:rPr>
      </w:pPr>
    </w:p>
    <w:p w:rsidR="00000000" w:rsidRDefault="00687F2E">
      <w:pPr>
        <w:jc w:val="both"/>
        <w:rPr>
          <w:rFonts w:ascii="Verdana" w:hAnsi="Verdana"/>
          <w:sz w:val="20"/>
          <w:szCs w:val="20"/>
          <w:lang w:val="es-ES_tradnl"/>
        </w:rPr>
      </w:pPr>
      <w:r>
        <w:rPr>
          <w:rFonts w:ascii="Verdana" w:hAnsi="Verdana"/>
          <w:sz w:val="20"/>
          <w:szCs w:val="20"/>
          <w:lang w:val="es-ES_tradnl"/>
        </w:rPr>
        <w:t>2.</w:t>
      </w:r>
      <w:r>
        <w:rPr>
          <w:rFonts w:ascii="Verdana" w:hAnsi="Verdana"/>
          <w:sz w:val="20"/>
          <w:szCs w:val="20"/>
          <w:lang w:val="es-ES_tradnl"/>
        </w:rPr>
        <w:tab/>
        <w:t xml:space="preserve">El 11 de mayo de 2007, de conformidad con lo dispuesto en el artículo 59.2 del Reglamento y siguiendo instrucciones del Tribunal, </w:t>
      </w:r>
      <w:smartTag w:uri="urn:schemas-microsoft-com:office:smarttags" w:element="PersonName">
        <w:smartTagPr>
          <w:attr w:name="ProductID" w:val="la Secretar￭a"/>
        </w:smartTagPr>
        <w:r>
          <w:rPr>
            <w:rFonts w:ascii="Verdana" w:hAnsi="Verdana"/>
            <w:sz w:val="20"/>
            <w:szCs w:val="20"/>
            <w:lang w:val="es-ES_tradnl"/>
          </w:rPr>
          <w:t>la Secretaría</w:t>
        </w:r>
      </w:smartTag>
      <w:r>
        <w:rPr>
          <w:rFonts w:ascii="Verdana" w:hAnsi="Verdana"/>
          <w:sz w:val="20"/>
          <w:szCs w:val="20"/>
          <w:lang w:val="es-ES_tradnl"/>
        </w:rPr>
        <w:t xml:space="preserve"> de </w:t>
      </w:r>
      <w:smartTag w:uri="urn:schemas-microsoft-com:office:smarttags" w:element="PersonName">
        <w:smartTagPr>
          <w:attr w:name="ProductID" w:val="la Corte"/>
        </w:smartTagPr>
        <w:r>
          <w:rPr>
            <w:rFonts w:ascii="Verdana" w:hAnsi="Verdana"/>
            <w:sz w:val="20"/>
            <w:szCs w:val="20"/>
            <w:lang w:val="es-ES_tradnl"/>
          </w:rPr>
          <w:t xml:space="preserve">la </w:t>
        </w:r>
        <w:r>
          <w:rPr>
            <w:rFonts w:ascii="Verdana" w:hAnsi="Verdana"/>
            <w:sz w:val="20"/>
            <w:szCs w:val="20"/>
            <w:lang w:val="es-ES_tradnl"/>
          </w:rPr>
          <w:t>Corte</w:t>
        </w:r>
      </w:smartTag>
      <w:r>
        <w:rPr>
          <w:rFonts w:ascii="Verdana" w:hAnsi="Verdana"/>
          <w:sz w:val="20"/>
          <w:szCs w:val="20"/>
          <w:lang w:val="es-ES_tradnl"/>
        </w:rPr>
        <w:t xml:space="preserve"> (en adelante “</w:t>
      </w:r>
      <w:smartTag w:uri="urn:schemas-microsoft-com:office:smarttags" w:element="PersonName">
        <w:smartTagPr>
          <w:attr w:name="ProductID" w:val="la Secretar￭a"/>
        </w:smartTagPr>
        <w:r>
          <w:rPr>
            <w:rFonts w:ascii="Verdana" w:hAnsi="Verdana"/>
            <w:sz w:val="20"/>
            <w:szCs w:val="20"/>
            <w:lang w:val="es-ES_tradnl"/>
          </w:rPr>
          <w:t>la Secretaría</w:t>
        </w:r>
      </w:smartTag>
      <w:r>
        <w:rPr>
          <w:rFonts w:ascii="Verdana" w:hAnsi="Verdana"/>
          <w:sz w:val="20"/>
          <w:szCs w:val="20"/>
          <w:lang w:val="es-ES_tradnl"/>
        </w:rPr>
        <w:t xml:space="preserve">”) transmitió copia de la demanda de interpretación a </w:t>
      </w:r>
      <w:smartTag w:uri="urn:schemas-microsoft-com:office:smarttags" w:element="PersonName">
        <w:smartTagPr>
          <w:attr w:name="ProductID" w:val="la Comisi￳n Interamericana"/>
        </w:smartTagPr>
        <w:r>
          <w:rPr>
            <w:rFonts w:ascii="Verdana" w:hAnsi="Verdana"/>
            <w:sz w:val="20"/>
            <w:szCs w:val="20"/>
            <w:lang w:val="es-ES_tradnl"/>
          </w:rPr>
          <w:t>la Comisión Interamericana</w:t>
        </w:r>
      </w:smartTag>
      <w:r>
        <w:rPr>
          <w:rFonts w:ascii="Verdana" w:hAnsi="Verdana"/>
          <w:sz w:val="20"/>
          <w:szCs w:val="20"/>
          <w:lang w:val="es-ES_tradnl"/>
        </w:rPr>
        <w:t xml:space="preserve"> de Derechos Humanos (en adelante “</w:t>
      </w:r>
      <w:smartTag w:uri="urn:schemas-microsoft-com:office:smarttags" w:element="PersonName">
        <w:smartTagPr>
          <w:attr w:name="ProductID" w:val="la Comisi￳n"/>
        </w:smartTagPr>
        <w:r>
          <w:rPr>
            <w:rFonts w:ascii="Verdana" w:hAnsi="Verdana"/>
            <w:sz w:val="20"/>
            <w:szCs w:val="20"/>
            <w:lang w:val="es-ES_tradnl"/>
          </w:rPr>
          <w:t>la Comisión</w:t>
        </w:r>
      </w:smartTag>
      <w:r>
        <w:rPr>
          <w:rFonts w:ascii="Verdana" w:hAnsi="Verdana"/>
          <w:sz w:val="20"/>
          <w:szCs w:val="20"/>
          <w:lang w:val="es-ES_tradnl"/>
        </w:rPr>
        <w:t>” o “</w:t>
      </w:r>
      <w:smartTag w:uri="urn:schemas-microsoft-com:office:smarttags" w:element="PersonName">
        <w:smartTagPr>
          <w:attr w:name="ProductID" w:val="la Comisi￳n Interamericana"/>
        </w:smartTagPr>
        <w:r>
          <w:rPr>
            <w:rFonts w:ascii="Verdana" w:hAnsi="Verdana"/>
            <w:sz w:val="20"/>
            <w:szCs w:val="20"/>
            <w:lang w:val="es-ES_tradnl"/>
          </w:rPr>
          <w:t>la Comisión Interamericana</w:t>
        </w:r>
      </w:smartTag>
      <w:r>
        <w:rPr>
          <w:rFonts w:ascii="Verdana" w:hAnsi="Verdana"/>
          <w:sz w:val="20"/>
          <w:szCs w:val="20"/>
          <w:lang w:val="es-ES_tradnl"/>
        </w:rPr>
        <w:t>”) y al Estado del Perú (en adelante “el Estado” o “Perú”)</w:t>
      </w:r>
      <w:r>
        <w:rPr>
          <w:rFonts w:ascii="Verdana" w:hAnsi="Verdana"/>
          <w:b/>
          <w:sz w:val="20"/>
          <w:szCs w:val="20"/>
          <w:lang w:val="es-ES_tradnl"/>
        </w:rPr>
        <w:t xml:space="preserve"> </w:t>
      </w:r>
      <w:r>
        <w:rPr>
          <w:rFonts w:ascii="Verdana" w:hAnsi="Verdana"/>
          <w:sz w:val="20"/>
          <w:szCs w:val="20"/>
          <w:lang w:val="es-ES_tradnl"/>
        </w:rPr>
        <w:t>y les c</w:t>
      </w:r>
      <w:r>
        <w:rPr>
          <w:rFonts w:ascii="Verdana" w:hAnsi="Verdana"/>
          <w:sz w:val="20"/>
          <w:szCs w:val="20"/>
          <w:lang w:val="es-ES_tradnl"/>
        </w:rPr>
        <w:t>omunicó que contaban con un plazo improrrogable hasta el 1 de agosto de 2007 para que presentaran las alegaciones escritas que estimaren pertinentes.  Asimismo, se recordó al Estado que, de conformidad con lo dispuesto en el artículo 59.4 del Reglamento, “</w:t>
      </w:r>
      <w:r>
        <w:rPr>
          <w:rFonts w:ascii="Verdana" w:hAnsi="Verdana"/>
          <w:sz w:val="20"/>
          <w:szCs w:val="20"/>
          <w:lang w:val="es-ES_tradnl"/>
        </w:rPr>
        <w:t xml:space="preserve">[l]a demanda de interpretación no suspende la ejecución de </w:t>
      </w:r>
      <w:smartTag w:uri="urn:schemas-microsoft-com:office:smarttags" w:element="PersonName">
        <w:smartTagPr>
          <w:attr w:name="ProductID" w:val="la Sentencia"/>
        </w:smartTagPr>
        <w:r>
          <w:rPr>
            <w:rFonts w:ascii="Verdana" w:hAnsi="Verdana"/>
            <w:sz w:val="20"/>
            <w:szCs w:val="20"/>
            <w:lang w:val="es-ES_tradnl"/>
          </w:rPr>
          <w:t>la Sentencia</w:t>
        </w:r>
      </w:smartTag>
      <w:r>
        <w:rPr>
          <w:rFonts w:ascii="Verdana" w:hAnsi="Verdana"/>
          <w:sz w:val="20"/>
          <w:szCs w:val="20"/>
          <w:lang w:val="es-ES_tradnl"/>
        </w:rPr>
        <w:t xml:space="preserve">”. El 31 de julio y 1 de agosto de 2007 el Estado y </w:t>
      </w:r>
      <w:smartTag w:uri="urn:schemas-microsoft-com:office:smarttags" w:element="PersonName">
        <w:smartTagPr>
          <w:attr w:name="ProductID" w:val="la Comisi￳n"/>
        </w:smartTagPr>
        <w:r>
          <w:rPr>
            <w:rFonts w:ascii="Verdana" w:hAnsi="Verdana"/>
            <w:sz w:val="20"/>
            <w:szCs w:val="20"/>
            <w:lang w:val="es-ES_tradnl"/>
          </w:rPr>
          <w:t>la Comisión</w:t>
        </w:r>
      </w:smartTag>
      <w:r>
        <w:rPr>
          <w:rFonts w:ascii="Verdana" w:hAnsi="Verdana"/>
          <w:sz w:val="20"/>
          <w:szCs w:val="20"/>
          <w:lang w:val="es-ES_tradnl"/>
        </w:rPr>
        <w:t xml:space="preserve"> presentaron, respectivamente, las referidas alegaciones escritas.</w:t>
      </w:r>
    </w:p>
    <w:p w:rsidR="00000000" w:rsidRDefault="00687F2E">
      <w:pPr>
        <w:pStyle w:val="Lneadereferencia"/>
        <w:jc w:val="center"/>
        <w:rPr>
          <w:rFonts w:ascii="Verdana" w:hAnsi="Verdana"/>
          <w:b/>
          <w:sz w:val="20"/>
          <w:lang w:val="es-ES_tradnl"/>
        </w:rPr>
      </w:pPr>
    </w:p>
    <w:p w:rsidR="00000000" w:rsidRDefault="00687F2E">
      <w:pPr>
        <w:pStyle w:val="Lneadereferencia"/>
        <w:jc w:val="center"/>
        <w:rPr>
          <w:rFonts w:ascii="Verdana" w:hAnsi="Verdana"/>
          <w:b/>
          <w:sz w:val="20"/>
          <w:lang w:val="es-ES_tradnl"/>
        </w:rPr>
      </w:pPr>
    </w:p>
    <w:p w:rsidR="00000000" w:rsidRDefault="00687F2E">
      <w:pPr>
        <w:pStyle w:val="Lneadereferencia"/>
        <w:jc w:val="center"/>
        <w:rPr>
          <w:rFonts w:ascii="Verdana" w:hAnsi="Verdana"/>
          <w:b/>
          <w:sz w:val="20"/>
          <w:lang w:val="es-ES_tradnl"/>
        </w:rPr>
      </w:pPr>
      <w:r>
        <w:rPr>
          <w:rFonts w:ascii="Verdana" w:hAnsi="Verdana"/>
          <w:b/>
          <w:sz w:val="20"/>
          <w:lang w:val="es-ES_tradnl"/>
        </w:rPr>
        <w:t>II</w:t>
      </w:r>
    </w:p>
    <w:p w:rsidR="00000000" w:rsidRDefault="00687F2E">
      <w:pPr>
        <w:pStyle w:val="Lneadereferencia"/>
        <w:jc w:val="center"/>
        <w:rPr>
          <w:rFonts w:ascii="Verdana" w:hAnsi="Verdana"/>
          <w:b/>
          <w:smallCaps/>
          <w:sz w:val="20"/>
          <w:lang w:val="es-ES_tradnl"/>
        </w:rPr>
      </w:pPr>
      <w:r>
        <w:rPr>
          <w:rFonts w:ascii="Verdana" w:hAnsi="Verdana"/>
          <w:b/>
          <w:smallCaps/>
          <w:sz w:val="20"/>
          <w:lang w:val="es-ES_tradnl"/>
        </w:rPr>
        <w:t xml:space="preserve">Competencia y composición de </w:t>
      </w:r>
      <w:smartTag w:uri="urn:schemas-microsoft-com:office:smarttags" w:element="PersonName">
        <w:smartTagPr>
          <w:attr w:name="ProductID" w:val="la Corte"/>
        </w:smartTagPr>
        <w:r>
          <w:rPr>
            <w:rFonts w:ascii="Verdana" w:hAnsi="Verdana"/>
            <w:b/>
            <w:smallCaps/>
            <w:sz w:val="20"/>
            <w:lang w:val="es-ES_tradnl"/>
          </w:rPr>
          <w:t>la Corte</w:t>
        </w:r>
      </w:smartTag>
      <w:r>
        <w:rPr>
          <w:rFonts w:ascii="Verdana" w:hAnsi="Verdana"/>
          <w:b/>
          <w:smallCaps/>
          <w:sz w:val="20"/>
          <w:lang w:val="es-ES_tradnl"/>
        </w:rPr>
        <w:t xml:space="preserve">  </w:t>
      </w:r>
    </w:p>
    <w:p w:rsidR="00000000" w:rsidRDefault="00687F2E">
      <w:pPr>
        <w:pStyle w:val="Lneadereferencia"/>
        <w:rPr>
          <w:rFonts w:ascii="Verdana" w:hAnsi="Verdana"/>
          <w:sz w:val="20"/>
          <w:lang w:val="es-ES_tradnl"/>
        </w:rPr>
      </w:pPr>
    </w:p>
    <w:p w:rsidR="00000000" w:rsidRDefault="00687F2E">
      <w:pPr>
        <w:jc w:val="both"/>
        <w:rPr>
          <w:rFonts w:ascii="Verdana" w:hAnsi="Verdana"/>
          <w:sz w:val="20"/>
          <w:szCs w:val="20"/>
          <w:lang w:val="es-ES_tradnl"/>
        </w:rPr>
      </w:pPr>
      <w:r>
        <w:rPr>
          <w:rFonts w:ascii="Verdana" w:hAnsi="Verdana"/>
          <w:sz w:val="20"/>
          <w:lang w:val="es-ES_tradnl"/>
        </w:rPr>
        <w:t>3.</w:t>
      </w:r>
      <w:r>
        <w:rPr>
          <w:rFonts w:ascii="Verdana" w:hAnsi="Verdana"/>
          <w:sz w:val="20"/>
          <w:lang w:val="es-ES_tradnl"/>
        </w:rPr>
        <w:tab/>
      </w:r>
      <w:r>
        <w:rPr>
          <w:rFonts w:ascii="Verdana" w:hAnsi="Verdana"/>
          <w:sz w:val="20"/>
          <w:szCs w:val="20"/>
          <w:lang w:val="es-ES_tradnl"/>
        </w:rPr>
        <w:t>El art</w:t>
      </w:r>
      <w:r>
        <w:rPr>
          <w:rFonts w:ascii="Verdana" w:hAnsi="Verdana"/>
          <w:sz w:val="20"/>
          <w:szCs w:val="20"/>
          <w:lang w:val="es-ES_tradnl"/>
        </w:rPr>
        <w:t xml:space="preserve">ículo 67 de </w:t>
      </w:r>
      <w:smartTag w:uri="urn:schemas-microsoft-com:office:smarttags" w:element="PersonName">
        <w:smartTagPr>
          <w:attr w:name="ProductID" w:val="la Convenci￳n"/>
        </w:smartTagPr>
        <w:r>
          <w:rPr>
            <w:rFonts w:ascii="Verdana" w:hAnsi="Verdana"/>
            <w:sz w:val="20"/>
            <w:szCs w:val="20"/>
            <w:lang w:val="es-ES_tradnl"/>
          </w:rPr>
          <w:t>la Convención</w:t>
        </w:r>
      </w:smartTag>
      <w:r>
        <w:rPr>
          <w:rFonts w:ascii="Verdana" w:hAnsi="Verdana"/>
          <w:sz w:val="20"/>
          <w:szCs w:val="20"/>
          <w:lang w:val="es-ES_tradnl"/>
        </w:rPr>
        <w:t xml:space="preserve"> establece que</w:t>
      </w:r>
    </w:p>
    <w:p w:rsidR="00000000" w:rsidRDefault="00687F2E">
      <w:pPr>
        <w:ind w:left="720" w:right="584"/>
        <w:jc w:val="both"/>
        <w:rPr>
          <w:rFonts w:ascii="Verdana" w:hAnsi="Verdana"/>
          <w:sz w:val="20"/>
          <w:szCs w:val="20"/>
          <w:lang w:val="es-ES_tradnl"/>
        </w:rPr>
      </w:pPr>
    </w:p>
    <w:p w:rsidR="00000000" w:rsidRDefault="00687F2E">
      <w:pPr>
        <w:ind w:left="720" w:right="584"/>
        <w:jc w:val="both"/>
        <w:rPr>
          <w:rFonts w:ascii="Verdana" w:eastAsia="Times" w:hAnsi="Verdana"/>
          <w:sz w:val="16"/>
          <w:lang w:val="es-ES_tradnl"/>
        </w:rPr>
      </w:pPr>
      <w:r>
        <w:rPr>
          <w:rFonts w:ascii="Verdana" w:eastAsia="Times" w:hAnsi="Verdana"/>
          <w:sz w:val="16"/>
          <w:lang w:val="es-ES_tradnl"/>
        </w:rPr>
        <w:t xml:space="preserve">[e]l fallo de </w:t>
      </w:r>
      <w:smartTag w:uri="urn:schemas-microsoft-com:office:smarttags" w:element="PersonName">
        <w:smartTagPr>
          <w:attr w:name="ProductID" w:val="la Corte"/>
        </w:smartTagPr>
        <w:r>
          <w:rPr>
            <w:rFonts w:ascii="Verdana" w:eastAsia="Times" w:hAnsi="Verdana"/>
            <w:sz w:val="16"/>
            <w:lang w:val="es-ES_tradnl"/>
          </w:rPr>
          <w:t>la Corte</w:t>
        </w:r>
      </w:smartTag>
      <w:r>
        <w:rPr>
          <w:rFonts w:ascii="Verdana" w:eastAsia="Times" w:hAnsi="Verdana"/>
          <w:sz w:val="16"/>
          <w:lang w:val="es-ES_tradnl"/>
        </w:rPr>
        <w:t xml:space="preserve"> será definitivo e inapelable.  En caso de desacuerdo sobre el sentido o alcance del fallo, </w:t>
      </w:r>
      <w:smartTag w:uri="urn:schemas-microsoft-com:office:smarttags" w:element="PersonName">
        <w:smartTagPr>
          <w:attr w:name="ProductID" w:val="la Corte"/>
        </w:smartTagPr>
        <w:r>
          <w:rPr>
            <w:rFonts w:ascii="Verdana" w:eastAsia="Times" w:hAnsi="Verdana"/>
            <w:sz w:val="16"/>
            <w:lang w:val="es-ES_tradnl"/>
          </w:rPr>
          <w:t>la Corte</w:t>
        </w:r>
      </w:smartTag>
      <w:r>
        <w:rPr>
          <w:rFonts w:ascii="Verdana" w:eastAsia="Times" w:hAnsi="Verdana"/>
          <w:sz w:val="16"/>
          <w:lang w:val="es-ES_tradnl"/>
        </w:rPr>
        <w:t xml:space="preserve"> lo interpretará a solicitud de cualquiera de las partes, siempre que dicha solicitud se pres</w:t>
      </w:r>
      <w:r>
        <w:rPr>
          <w:rFonts w:ascii="Verdana" w:eastAsia="Times" w:hAnsi="Verdana"/>
          <w:sz w:val="16"/>
          <w:lang w:val="es-ES_tradnl"/>
        </w:rPr>
        <w:t>ente dentro de los noventa días a partir de la fecha de la notificación del fallo.</w:t>
      </w:r>
    </w:p>
    <w:p w:rsidR="00000000" w:rsidRDefault="00687F2E">
      <w:pPr>
        <w:ind w:left="720" w:right="584"/>
        <w:jc w:val="both"/>
        <w:rPr>
          <w:rFonts w:ascii="Verdana" w:hAnsi="Verdana"/>
          <w:sz w:val="20"/>
          <w:szCs w:val="20"/>
          <w:lang w:val="es-ES_tradnl"/>
        </w:rPr>
      </w:pPr>
    </w:p>
    <w:p w:rsidR="00000000" w:rsidRDefault="00687F2E">
      <w:pPr>
        <w:jc w:val="both"/>
        <w:rPr>
          <w:rFonts w:ascii="Verdana" w:hAnsi="Verdana"/>
          <w:sz w:val="20"/>
          <w:szCs w:val="20"/>
          <w:lang w:val="es-ES_tradnl"/>
        </w:rPr>
      </w:pPr>
      <w:r>
        <w:rPr>
          <w:rFonts w:ascii="Verdana" w:hAnsi="Verdana"/>
          <w:sz w:val="20"/>
          <w:szCs w:val="20"/>
          <w:lang w:val="es-ES_tradnl"/>
        </w:rPr>
        <w:t>4.</w:t>
      </w:r>
      <w:r>
        <w:rPr>
          <w:rFonts w:ascii="Verdana" w:hAnsi="Verdana"/>
          <w:sz w:val="20"/>
          <w:szCs w:val="20"/>
          <w:lang w:val="es-ES_tradnl"/>
        </w:rPr>
        <w:tab/>
        <w:t xml:space="preserve">De conformidad con el artículo citado, </w:t>
      </w:r>
      <w:smartTag w:uri="urn:schemas-microsoft-com:office:smarttags" w:element="PersonName">
        <w:smartTagPr>
          <w:attr w:name="ProductID" w:val="la Corte"/>
        </w:smartTagPr>
        <w:r>
          <w:rPr>
            <w:rFonts w:ascii="Verdana" w:hAnsi="Verdana"/>
            <w:sz w:val="20"/>
            <w:szCs w:val="20"/>
            <w:lang w:val="es-ES_tradnl"/>
          </w:rPr>
          <w:t>la Corte</w:t>
        </w:r>
      </w:smartTag>
      <w:r>
        <w:rPr>
          <w:rFonts w:ascii="Verdana" w:hAnsi="Verdana"/>
          <w:sz w:val="20"/>
          <w:szCs w:val="20"/>
          <w:lang w:val="es-ES_tradnl"/>
        </w:rPr>
        <w:t xml:space="preserve"> es competente para interpretar sus fallos. Al realizar el examen de la demanda de interpretación, el Tribunal debe tener,</w:t>
      </w:r>
      <w:r>
        <w:rPr>
          <w:rFonts w:ascii="Verdana" w:hAnsi="Verdana"/>
          <w:sz w:val="20"/>
          <w:szCs w:val="20"/>
          <w:lang w:val="es-ES_tradnl"/>
        </w:rPr>
        <w:t xml:space="preserve"> de ser posible, la misma composición que tenía al dictar </w:t>
      </w:r>
      <w:smartTag w:uri="urn:schemas-microsoft-com:office:smarttags" w:element="PersonName">
        <w:smartTagPr>
          <w:attr w:name="ProductID" w:val="la Sentencia"/>
        </w:smartTagPr>
        <w:r>
          <w:rPr>
            <w:rFonts w:ascii="Verdana" w:hAnsi="Verdana"/>
            <w:sz w:val="20"/>
            <w:szCs w:val="20"/>
            <w:lang w:val="es-ES_tradnl"/>
          </w:rPr>
          <w:t>la Sentencia</w:t>
        </w:r>
      </w:smartTag>
      <w:r>
        <w:rPr>
          <w:rFonts w:ascii="Verdana" w:hAnsi="Verdana"/>
          <w:sz w:val="20"/>
          <w:szCs w:val="20"/>
          <w:lang w:val="es-ES_tradnl"/>
        </w:rPr>
        <w:t xml:space="preserve"> respectiva (artículo 59.3 del Reglamento).  En esta ocasión, </w:t>
      </w:r>
      <w:smartTag w:uri="urn:schemas-microsoft-com:office:smarttags" w:element="PersonName">
        <w:smartTagPr>
          <w:attr w:name="ProductID" w:val="la Corte"/>
        </w:smartTagPr>
        <w:r>
          <w:rPr>
            <w:rFonts w:ascii="Verdana" w:hAnsi="Verdana"/>
            <w:sz w:val="20"/>
            <w:szCs w:val="20"/>
            <w:lang w:val="es-ES_tradnl"/>
          </w:rPr>
          <w:t>la Corte</w:t>
        </w:r>
      </w:smartTag>
      <w:r>
        <w:rPr>
          <w:rFonts w:ascii="Verdana" w:hAnsi="Verdana"/>
          <w:sz w:val="20"/>
          <w:szCs w:val="20"/>
          <w:lang w:val="es-ES_tradnl"/>
        </w:rPr>
        <w:t xml:space="preserve"> se integra con la mayoría de los jueces</w:t>
      </w:r>
      <w:r>
        <w:rPr>
          <w:rStyle w:val="FootnoteCharacters"/>
          <w:rFonts w:ascii="Verdana" w:hAnsi="Verdana"/>
          <w:szCs w:val="20"/>
          <w:lang w:val="es-ES_tradnl"/>
        </w:rPr>
        <w:footnoteReference w:id="2"/>
      </w:r>
      <w:r>
        <w:rPr>
          <w:rFonts w:ascii="Verdana" w:hAnsi="Verdana"/>
          <w:sz w:val="20"/>
          <w:szCs w:val="20"/>
          <w:lang w:val="es-ES_tradnl"/>
        </w:rPr>
        <w:t xml:space="preserve"> que dictaron </w:t>
      </w:r>
      <w:smartTag w:uri="urn:schemas-microsoft-com:office:smarttags" w:element="PersonName">
        <w:smartTagPr>
          <w:attr w:name="ProductID" w:val="la Sentencia"/>
        </w:smartTagPr>
        <w:r>
          <w:rPr>
            <w:rFonts w:ascii="Verdana" w:hAnsi="Verdana"/>
            <w:sz w:val="20"/>
            <w:szCs w:val="20"/>
            <w:lang w:val="es-ES_tradnl"/>
          </w:rPr>
          <w:t>la Sentencia</w:t>
        </w:r>
      </w:smartTag>
      <w:r>
        <w:rPr>
          <w:rFonts w:ascii="Verdana" w:hAnsi="Verdana"/>
          <w:sz w:val="20"/>
          <w:szCs w:val="20"/>
          <w:lang w:val="es-ES_tradnl"/>
        </w:rPr>
        <w:t xml:space="preserve">, cuya interpretación ha sido solicitada. </w:t>
      </w:r>
    </w:p>
    <w:p w:rsidR="00000000" w:rsidRDefault="00687F2E">
      <w:pPr>
        <w:ind w:right="720"/>
        <w:jc w:val="both"/>
        <w:rPr>
          <w:rFonts w:ascii="Verdana" w:hAnsi="Verdana"/>
          <w:sz w:val="20"/>
          <w:szCs w:val="20"/>
          <w:lang w:val="es-ES_tradnl"/>
        </w:rPr>
      </w:pPr>
    </w:p>
    <w:p w:rsidR="00000000" w:rsidRDefault="00687F2E">
      <w:pPr>
        <w:ind w:right="720"/>
        <w:jc w:val="both"/>
        <w:rPr>
          <w:rFonts w:ascii="Verdana" w:hAnsi="Verdana"/>
          <w:sz w:val="20"/>
          <w:szCs w:val="20"/>
          <w:lang w:val="es-ES_tradnl"/>
        </w:rPr>
      </w:pPr>
    </w:p>
    <w:p w:rsidR="00000000" w:rsidRDefault="00687F2E">
      <w:pPr>
        <w:ind w:right="720"/>
        <w:jc w:val="both"/>
        <w:rPr>
          <w:rFonts w:ascii="Verdana" w:hAnsi="Verdana"/>
          <w:sz w:val="20"/>
          <w:szCs w:val="20"/>
          <w:lang w:val="es-ES_tradnl"/>
        </w:rPr>
      </w:pPr>
    </w:p>
    <w:p w:rsidR="00000000" w:rsidRDefault="00687F2E">
      <w:pPr>
        <w:jc w:val="center"/>
        <w:rPr>
          <w:rFonts w:ascii="Verdana" w:hAnsi="Verdana"/>
          <w:b/>
          <w:smallCaps/>
          <w:sz w:val="20"/>
          <w:szCs w:val="20"/>
          <w:lang w:val="es-ES_tradnl"/>
        </w:rPr>
      </w:pPr>
      <w:r>
        <w:rPr>
          <w:rFonts w:ascii="Verdana" w:hAnsi="Verdana"/>
          <w:b/>
          <w:smallCaps/>
          <w:sz w:val="20"/>
          <w:szCs w:val="20"/>
          <w:lang w:val="es-ES_tradnl"/>
        </w:rPr>
        <w:t>III</w:t>
      </w:r>
    </w:p>
    <w:p w:rsidR="00000000" w:rsidRDefault="00687F2E">
      <w:pPr>
        <w:jc w:val="center"/>
        <w:rPr>
          <w:rFonts w:ascii="Verdana" w:hAnsi="Verdana"/>
          <w:b/>
          <w:smallCaps/>
          <w:sz w:val="20"/>
          <w:szCs w:val="20"/>
          <w:lang w:val="es-ES_tradnl"/>
        </w:rPr>
      </w:pPr>
      <w:r>
        <w:rPr>
          <w:rFonts w:ascii="Verdana" w:hAnsi="Verdana"/>
          <w:b/>
          <w:smallCaps/>
          <w:sz w:val="20"/>
          <w:szCs w:val="20"/>
          <w:lang w:val="es-ES_tradnl"/>
        </w:rPr>
        <w:t>Admisibilidad</w:t>
      </w:r>
    </w:p>
    <w:p w:rsidR="00000000" w:rsidRDefault="00687F2E">
      <w:pPr>
        <w:ind w:left="705"/>
        <w:jc w:val="center"/>
        <w:rPr>
          <w:rFonts w:ascii="Verdana" w:hAnsi="Verdana"/>
          <w:b/>
          <w:smallCaps/>
          <w:sz w:val="20"/>
          <w:szCs w:val="20"/>
          <w:lang w:val="es-ES_tradnl"/>
        </w:rPr>
      </w:pPr>
    </w:p>
    <w:p w:rsidR="00000000" w:rsidRDefault="00687F2E">
      <w:pPr>
        <w:jc w:val="both"/>
        <w:rPr>
          <w:rFonts w:ascii="Verdana" w:hAnsi="Verdana"/>
          <w:sz w:val="20"/>
          <w:szCs w:val="20"/>
          <w:lang w:val="es-ES_tradnl"/>
        </w:rPr>
      </w:pPr>
      <w:r>
        <w:rPr>
          <w:rFonts w:ascii="Verdana" w:hAnsi="Verdana"/>
          <w:smallCaps/>
          <w:sz w:val="20"/>
          <w:szCs w:val="20"/>
          <w:lang w:val="es-ES_tradnl"/>
        </w:rPr>
        <w:t>5.</w:t>
      </w:r>
      <w:r>
        <w:rPr>
          <w:rFonts w:ascii="Verdana" w:hAnsi="Verdana"/>
          <w:smallCaps/>
          <w:sz w:val="20"/>
          <w:szCs w:val="20"/>
          <w:lang w:val="es-ES_tradnl"/>
        </w:rPr>
        <w:tab/>
      </w:r>
      <w:r>
        <w:rPr>
          <w:rFonts w:ascii="Verdana" w:hAnsi="Verdana"/>
          <w:sz w:val="20"/>
          <w:szCs w:val="20"/>
          <w:lang w:val="es-ES_tradnl"/>
        </w:rPr>
        <w:t xml:space="preserve">Corresponde a </w:t>
      </w:r>
      <w:smartTag w:uri="urn:schemas-microsoft-com:office:smarttags" w:element="PersonName">
        <w:smartTagPr>
          <w:attr w:name="ProductID" w:val="la Corte"/>
        </w:smartTagPr>
        <w:r>
          <w:rPr>
            <w:rFonts w:ascii="Verdana" w:hAnsi="Verdana"/>
            <w:sz w:val="20"/>
            <w:szCs w:val="20"/>
            <w:lang w:val="es-ES_tradnl"/>
          </w:rPr>
          <w:t>la Corte</w:t>
        </w:r>
      </w:smartTag>
      <w:r>
        <w:rPr>
          <w:rFonts w:ascii="Verdana" w:hAnsi="Verdana"/>
          <w:sz w:val="20"/>
          <w:szCs w:val="20"/>
          <w:lang w:val="es-ES_tradnl"/>
        </w:rPr>
        <w:t xml:space="preserve"> verificar si los términos de las demandas de interpretación satisfacen los requisitos establecidos en las normas aplicables, a saber el artículo 67 de </w:t>
      </w:r>
      <w:smartTag w:uri="urn:schemas-microsoft-com:office:smarttags" w:element="PersonName">
        <w:smartTagPr>
          <w:attr w:name="ProductID" w:val="la Convenci￳n"/>
        </w:smartTagPr>
        <w:r>
          <w:rPr>
            <w:rFonts w:ascii="Verdana" w:hAnsi="Verdana"/>
            <w:sz w:val="20"/>
            <w:szCs w:val="20"/>
            <w:lang w:val="es-ES_tradnl"/>
          </w:rPr>
          <w:t>la Convención</w:t>
        </w:r>
      </w:smartTag>
      <w:r>
        <w:rPr>
          <w:rFonts w:ascii="Verdana" w:hAnsi="Verdana"/>
          <w:sz w:val="20"/>
          <w:szCs w:val="20"/>
          <w:lang w:val="es-ES_tradnl"/>
        </w:rPr>
        <w:t xml:space="preserve"> y 29.3 y 59 del Reglamento.</w:t>
      </w:r>
    </w:p>
    <w:p w:rsidR="00000000" w:rsidRDefault="00687F2E">
      <w:pPr>
        <w:jc w:val="both"/>
        <w:rPr>
          <w:rFonts w:ascii="Verdana" w:hAnsi="Verdana"/>
          <w:sz w:val="20"/>
          <w:szCs w:val="20"/>
          <w:lang w:val="es-ES_tradnl"/>
        </w:rPr>
      </w:pPr>
    </w:p>
    <w:p w:rsidR="00000000" w:rsidRDefault="00687F2E">
      <w:pPr>
        <w:jc w:val="both"/>
        <w:rPr>
          <w:rFonts w:ascii="Verdana" w:hAnsi="Verdana"/>
          <w:sz w:val="20"/>
          <w:szCs w:val="20"/>
          <w:lang w:val="es-ES_tradnl"/>
        </w:rPr>
      </w:pPr>
      <w:r>
        <w:rPr>
          <w:rFonts w:ascii="Verdana" w:hAnsi="Verdana"/>
          <w:sz w:val="20"/>
          <w:szCs w:val="20"/>
          <w:lang w:val="es-ES_tradnl"/>
        </w:rPr>
        <w:lastRenderedPageBreak/>
        <w:t>6.</w:t>
      </w:r>
      <w:r>
        <w:rPr>
          <w:rFonts w:ascii="Verdana" w:hAnsi="Verdana"/>
          <w:sz w:val="20"/>
          <w:szCs w:val="20"/>
          <w:lang w:val="es-ES_tradnl"/>
        </w:rPr>
        <w:tab/>
        <w:t>El artículo 59 de</w:t>
      </w:r>
      <w:r>
        <w:rPr>
          <w:rFonts w:ascii="Verdana" w:hAnsi="Verdana"/>
          <w:sz w:val="20"/>
          <w:szCs w:val="20"/>
          <w:lang w:val="es-ES_tradnl"/>
        </w:rPr>
        <w:t>l Reglamento dispone que:</w:t>
      </w:r>
    </w:p>
    <w:p w:rsidR="00000000" w:rsidRDefault="00687F2E">
      <w:pPr>
        <w:jc w:val="both"/>
        <w:rPr>
          <w:rFonts w:ascii="Verdana" w:hAnsi="Verdana"/>
          <w:sz w:val="20"/>
          <w:szCs w:val="20"/>
          <w:lang w:val="es-ES_tradnl"/>
        </w:rPr>
      </w:pPr>
    </w:p>
    <w:p w:rsidR="00000000" w:rsidRDefault="00687F2E">
      <w:pPr>
        <w:spacing w:before="60" w:after="60"/>
        <w:ind w:left="720" w:right="720"/>
        <w:jc w:val="both"/>
        <w:rPr>
          <w:rFonts w:ascii="Verdana" w:hAnsi="Verdana"/>
          <w:sz w:val="16"/>
          <w:lang w:val="es-ES_tradnl"/>
        </w:rPr>
      </w:pPr>
      <w:r>
        <w:rPr>
          <w:rFonts w:ascii="Verdana" w:hAnsi="Verdana"/>
          <w:sz w:val="16"/>
          <w:lang w:val="es-ES_tradnl"/>
        </w:rPr>
        <w:t xml:space="preserve">1.  La demanda de interpretación a que se refiere el artículo 67 de </w:t>
      </w:r>
      <w:smartTag w:uri="urn:schemas-microsoft-com:office:smarttags" w:element="PersonName">
        <w:smartTagPr>
          <w:attr w:name="ProductID" w:val="la Convenci￳n"/>
        </w:smartTagPr>
        <w:r>
          <w:rPr>
            <w:rFonts w:ascii="Verdana" w:hAnsi="Verdana"/>
            <w:sz w:val="16"/>
            <w:lang w:val="es-ES_tradnl"/>
          </w:rPr>
          <w:t>la Convención</w:t>
        </w:r>
      </w:smartTag>
      <w:r>
        <w:rPr>
          <w:rFonts w:ascii="Verdana" w:hAnsi="Verdana"/>
          <w:sz w:val="16"/>
          <w:lang w:val="es-ES_tradnl"/>
        </w:rPr>
        <w:t xml:space="preserve"> podrá promoverse en relación con las sentencias de fondo o de reparaciones y se presentará en </w:t>
      </w:r>
      <w:smartTag w:uri="urn:schemas-microsoft-com:office:smarttags" w:element="PersonName">
        <w:smartTagPr>
          <w:attr w:name="ProductID" w:val="la Secretar￭a"/>
        </w:smartTagPr>
        <w:r>
          <w:rPr>
            <w:rFonts w:ascii="Verdana" w:hAnsi="Verdana"/>
            <w:sz w:val="16"/>
            <w:lang w:val="es-ES_tradnl"/>
          </w:rPr>
          <w:t>la Secretaría</w:t>
        </w:r>
      </w:smartTag>
      <w:r>
        <w:rPr>
          <w:rFonts w:ascii="Verdana" w:hAnsi="Verdana"/>
          <w:sz w:val="16"/>
          <w:lang w:val="es-ES_tradnl"/>
        </w:rPr>
        <w:t xml:space="preserve"> de </w:t>
      </w:r>
      <w:smartTag w:uri="urn:schemas-microsoft-com:office:smarttags" w:element="PersonName">
        <w:smartTagPr>
          <w:attr w:name="ProductID" w:val="la Corte"/>
        </w:smartTagPr>
        <w:r>
          <w:rPr>
            <w:rFonts w:ascii="Verdana" w:hAnsi="Verdana"/>
            <w:sz w:val="16"/>
            <w:lang w:val="es-ES_tradnl"/>
          </w:rPr>
          <w:t>la Corte</w:t>
        </w:r>
      </w:smartTag>
      <w:r>
        <w:rPr>
          <w:rFonts w:ascii="Verdana" w:hAnsi="Verdana"/>
          <w:sz w:val="16"/>
          <w:lang w:val="es-ES_tradnl"/>
        </w:rPr>
        <w:t xml:space="preserve"> indicándose en ella, con pr</w:t>
      </w:r>
      <w:r>
        <w:rPr>
          <w:rFonts w:ascii="Verdana" w:hAnsi="Verdana"/>
          <w:sz w:val="16"/>
          <w:lang w:val="es-ES_tradnl"/>
        </w:rPr>
        <w:t>ecisión, las cuestiones relativas al sentido o alcance de la sentencia cuya interpretación se pida.</w:t>
      </w:r>
    </w:p>
    <w:p w:rsidR="00000000" w:rsidRDefault="00687F2E">
      <w:pPr>
        <w:spacing w:before="60" w:after="60"/>
        <w:ind w:left="720" w:right="720"/>
        <w:jc w:val="both"/>
        <w:rPr>
          <w:rFonts w:ascii="Verdana" w:hAnsi="Verdana"/>
          <w:sz w:val="16"/>
          <w:lang w:val="es-ES_tradnl"/>
        </w:rPr>
      </w:pPr>
    </w:p>
    <w:p w:rsidR="00000000" w:rsidRDefault="00687F2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ind w:left="720" w:right="720"/>
        <w:jc w:val="both"/>
        <w:rPr>
          <w:rFonts w:ascii="Verdana" w:hAnsi="Verdana"/>
          <w:sz w:val="16"/>
          <w:szCs w:val="22"/>
          <w:lang w:val="es-ES_tradnl" w:eastAsia="x-none" w:bidi="x-none"/>
        </w:rPr>
      </w:pPr>
      <w:r>
        <w:rPr>
          <w:rFonts w:ascii="Verdana" w:hAnsi="Verdana"/>
          <w:sz w:val="16"/>
          <w:szCs w:val="22"/>
          <w:lang w:val="es-ES_tradnl" w:eastAsia="x-none" w:bidi="x-none"/>
        </w:rPr>
        <w:t xml:space="preserve">2. </w:t>
      </w:r>
      <w:r>
        <w:rPr>
          <w:rFonts w:ascii="Verdana" w:hAnsi="Verdana"/>
          <w:sz w:val="16"/>
          <w:szCs w:val="22"/>
          <w:lang w:val="es-ES_tradnl" w:eastAsia="x-none" w:bidi="x-none"/>
        </w:rPr>
        <w:tab/>
        <w:t>El Secretario comunicará la demanda de interpretación a las partes en el caso y les invitará a presentar las alegaciones escritas que estimen pertinent</w:t>
      </w:r>
      <w:r>
        <w:rPr>
          <w:rFonts w:ascii="Verdana" w:hAnsi="Verdana"/>
          <w:sz w:val="16"/>
          <w:szCs w:val="22"/>
          <w:lang w:val="es-ES_tradnl" w:eastAsia="x-none" w:bidi="x-none"/>
        </w:rPr>
        <w:t>es dentro del plazo fijado por el Presidente.</w:t>
      </w:r>
    </w:p>
    <w:p w:rsidR="00000000" w:rsidRDefault="00687F2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ind w:left="720" w:right="720"/>
        <w:jc w:val="both"/>
        <w:rPr>
          <w:rFonts w:ascii="Verdana" w:hAnsi="Verdana"/>
          <w:sz w:val="16"/>
          <w:szCs w:val="22"/>
          <w:lang w:val="es-ES_tradnl" w:eastAsia="x-none" w:bidi="x-none"/>
        </w:rPr>
      </w:pPr>
    </w:p>
    <w:p w:rsidR="00000000" w:rsidRDefault="00687F2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ind w:left="720" w:right="720"/>
        <w:jc w:val="both"/>
        <w:rPr>
          <w:rFonts w:ascii="Verdana" w:hAnsi="Verdana"/>
          <w:sz w:val="16"/>
          <w:szCs w:val="22"/>
          <w:lang w:val="es-ES_tradnl" w:eastAsia="x-none" w:bidi="x-none"/>
        </w:rPr>
      </w:pPr>
      <w:r>
        <w:rPr>
          <w:rFonts w:ascii="Verdana" w:hAnsi="Verdana"/>
          <w:sz w:val="16"/>
          <w:szCs w:val="22"/>
          <w:lang w:val="es-ES_tradnl" w:eastAsia="x-none" w:bidi="x-none"/>
        </w:rPr>
        <w:t xml:space="preserve">3. </w:t>
      </w:r>
      <w:r>
        <w:rPr>
          <w:rFonts w:ascii="Verdana" w:hAnsi="Verdana"/>
          <w:sz w:val="16"/>
          <w:szCs w:val="22"/>
          <w:lang w:val="es-ES_tradnl" w:eastAsia="x-none" w:bidi="x-none"/>
        </w:rPr>
        <w:tab/>
        <w:t xml:space="preserve">Para el examen de la demanda de interpretación </w:t>
      </w:r>
      <w:smartTag w:uri="urn:schemas-microsoft-com:office:smarttags" w:element="PersonName">
        <w:smartTagPr>
          <w:attr w:name="ProductID" w:val="la Corte"/>
        </w:smartTagPr>
        <w:r>
          <w:rPr>
            <w:rFonts w:ascii="Verdana" w:hAnsi="Verdana"/>
            <w:sz w:val="16"/>
            <w:szCs w:val="22"/>
            <w:lang w:val="es-ES_tradnl" w:eastAsia="x-none" w:bidi="x-none"/>
          </w:rPr>
          <w:t>la Corte</w:t>
        </w:r>
      </w:smartTag>
      <w:r>
        <w:rPr>
          <w:rFonts w:ascii="Verdana" w:hAnsi="Verdana"/>
          <w:sz w:val="16"/>
          <w:szCs w:val="22"/>
          <w:lang w:val="es-ES_tradnl" w:eastAsia="x-none" w:bidi="x-none"/>
        </w:rPr>
        <w:t xml:space="preserve"> se reunirá, si es posible, con la composición que tenía al dictar la sentencia respectiva. Sin embargo, en caso de fallecimiento, renuncia, impedimen</w:t>
      </w:r>
      <w:r>
        <w:rPr>
          <w:rFonts w:ascii="Verdana" w:hAnsi="Verdana"/>
          <w:sz w:val="16"/>
          <w:szCs w:val="22"/>
          <w:lang w:val="es-ES_tradnl" w:eastAsia="x-none" w:bidi="x-none"/>
        </w:rPr>
        <w:t>to, excusa o inhabilitación, se sustituirá al juez de que se trate según el artículo 16 de este Reglamento.</w:t>
      </w:r>
    </w:p>
    <w:p w:rsidR="00000000" w:rsidRDefault="00687F2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ind w:left="720" w:right="720"/>
        <w:jc w:val="both"/>
        <w:rPr>
          <w:rFonts w:ascii="Verdana" w:hAnsi="Verdana"/>
          <w:sz w:val="16"/>
          <w:szCs w:val="22"/>
          <w:lang w:val="es-ES_tradnl" w:eastAsia="x-none" w:bidi="x-none"/>
        </w:rPr>
      </w:pPr>
    </w:p>
    <w:p w:rsidR="00000000" w:rsidRDefault="00687F2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ind w:left="720" w:right="720"/>
        <w:jc w:val="both"/>
        <w:rPr>
          <w:rFonts w:ascii="Verdana" w:hAnsi="Verdana"/>
          <w:sz w:val="16"/>
          <w:szCs w:val="22"/>
          <w:lang w:val="es-ES_tradnl" w:eastAsia="x-none" w:bidi="x-none"/>
        </w:rPr>
      </w:pPr>
      <w:r>
        <w:rPr>
          <w:rFonts w:ascii="Verdana" w:hAnsi="Verdana"/>
          <w:sz w:val="16"/>
          <w:szCs w:val="22"/>
          <w:lang w:val="es-ES_tradnl" w:eastAsia="x-none" w:bidi="x-none"/>
        </w:rPr>
        <w:t xml:space="preserve">4. </w:t>
      </w:r>
      <w:r>
        <w:rPr>
          <w:rFonts w:ascii="Verdana" w:hAnsi="Verdana"/>
          <w:sz w:val="16"/>
          <w:szCs w:val="22"/>
          <w:lang w:val="es-ES_tradnl" w:eastAsia="x-none" w:bidi="x-none"/>
        </w:rPr>
        <w:tab/>
        <w:t>La demanda de interpretación no suspenderá la ejecución de la sentencia.</w:t>
      </w:r>
    </w:p>
    <w:p w:rsidR="00000000" w:rsidRDefault="00687F2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ind w:left="720" w:right="720"/>
        <w:jc w:val="both"/>
        <w:rPr>
          <w:rFonts w:ascii="Verdana" w:hAnsi="Verdana"/>
          <w:sz w:val="16"/>
          <w:szCs w:val="22"/>
          <w:lang w:val="es-ES_tradnl" w:eastAsia="x-none" w:bidi="x-none"/>
        </w:rPr>
      </w:pPr>
    </w:p>
    <w:p w:rsidR="00000000" w:rsidRDefault="00687F2E">
      <w:pPr>
        <w:spacing w:before="60" w:after="60"/>
        <w:ind w:left="720" w:right="720"/>
        <w:jc w:val="both"/>
        <w:rPr>
          <w:rFonts w:ascii="Verdana" w:hAnsi="Verdana"/>
          <w:sz w:val="16"/>
          <w:szCs w:val="22"/>
          <w:lang w:val="es-ES_tradnl" w:eastAsia="x-none" w:bidi="x-none"/>
        </w:rPr>
      </w:pPr>
      <w:r>
        <w:rPr>
          <w:rFonts w:ascii="Verdana" w:hAnsi="Verdana"/>
          <w:sz w:val="16"/>
          <w:szCs w:val="22"/>
          <w:lang w:val="es-ES_tradnl" w:eastAsia="x-none" w:bidi="x-none"/>
        </w:rPr>
        <w:t xml:space="preserve">5.    </w:t>
      </w:r>
      <w:smartTag w:uri="urn:schemas-microsoft-com:office:smarttags" w:element="PersonName">
        <w:smartTagPr>
          <w:attr w:name="ProductID" w:val="la Corte"/>
        </w:smartTagPr>
        <w:r>
          <w:rPr>
            <w:rFonts w:ascii="Verdana" w:hAnsi="Verdana"/>
            <w:sz w:val="16"/>
            <w:szCs w:val="22"/>
            <w:lang w:val="es-ES_tradnl" w:eastAsia="x-none" w:bidi="x-none"/>
          </w:rPr>
          <w:t>La Corte</w:t>
        </w:r>
      </w:smartTag>
      <w:r>
        <w:rPr>
          <w:rFonts w:ascii="Verdana" w:hAnsi="Verdana"/>
          <w:sz w:val="16"/>
          <w:szCs w:val="22"/>
          <w:lang w:val="es-ES_tradnl" w:eastAsia="x-none" w:bidi="x-none"/>
        </w:rPr>
        <w:t xml:space="preserve"> determinará el procedimiento que se seguirá y resolver</w:t>
      </w:r>
      <w:r>
        <w:rPr>
          <w:rFonts w:ascii="Verdana" w:hAnsi="Verdana"/>
          <w:sz w:val="16"/>
          <w:szCs w:val="22"/>
          <w:lang w:val="es-ES_tradnl" w:eastAsia="x-none" w:bidi="x-none"/>
        </w:rPr>
        <w:t>á mediante una sentencia.</w:t>
      </w:r>
    </w:p>
    <w:p w:rsidR="00000000" w:rsidRDefault="00687F2E">
      <w:pPr>
        <w:jc w:val="both"/>
        <w:rPr>
          <w:rFonts w:ascii="Verdana" w:hAnsi="Verdana"/>
          <w:sz w:val="20"/>
          <w:szCs w:val="20"/>
          <w:lang w:val="es-ES_tradnl"/>
        </w:rPr>
      </w:pPr>
    </w:p>
    <w:p w:rsidR="00000000" w:rsidRDefault="00687F2E">
      <w:pPr>
        <w:jc w:val="both"/>
        <w:rPr>
          <w:rFonts w:ascii="Verdana" w:hAnsi="Verdana"/>
          <w:sz w:val="20"/>
          <w:szCs w:val="20"/>
          <w:lang w:val="es-ES_tradnl"/>
        </w:rPr>
      </w:pPr>
      <w:r>
        <w:rPr>
          <w:rFonts w:ascii="Verdana" w:hAnsi="Verdana"/>
          <w:sz w:val="20"/>
          <w:szCs w:val="20"/>
          <w:lang w:val="es-ES_tradnl"/>
        </w:rPr>
        <w:t>7.</w:t>
      </w:r>
      <w:r>
        <w:rPr>
          <w:rFonts w:ascii="Verdana" w:hAnsi="Verdana"/>
          <w:sz w:val="20"/>
          <w:szCs w:val="20"/>
          <w:lang w:val="es-ES_tradnl"/>
        </w:rPr>
        <w:tab/>
        <w:t xml:space="preserve">El artículo 29.3 del Reglamento establece que “[c]ontra las sentencias y resoluciones de </w:t>
      </w:r>
      <w:smartTag w:uri="urn:schemas-microsoft-com:office:smarttags" w:element="PersonName">
        <w:smartTagPr>
          <w:attr w:name="ProductID" w:val="la Corte"/>
        </w:smartTagPr>
        <w:r>
          <w:rPr>
            <w:rFonts w:ascii="Verdana" w:hAnsi="Verdana"/>
            <w:sz w:val="20"/>
            <w:szCs w:val="20"/>
            <w:lang w:val="es-ES_tradnl"/>
          </w:rPr>
          <w:t>la Corte</w:t>
        </w:r>
      </w:smartTag>
      <w:r>
        <w:rPr>
          <w:rFonts w:ascii="Verdana" w:hAnsi="Verdana"/>
          <w:sz w:val="20"/>
          <w:szCs w:val="20"/>
          <w:lang w:val="es-ES_tradnl"/>
        </w:rPr>
        <w:t xml:space="preserve"> no procede ningún medio de impugnación”. </w:t>
      </w:r>
    </w:p>
    <w:p w:rsidR="00000000" w:rsidRDefault="00687F2E">
      <w:pPr>
        <w:jc w:val="both"/>
        <w:rPr>
          <w:rFonts w:ascii="Verdana" w:hAnsi="Verdana"/>
          <w:sz w:val="20"/>
          <w:szCs w:val="20"/>
          <w:lang w:val="es-ES_tradnl"/>
        </w:rPr>
      </w:pPr>
    </w:p>
    <w:p w:rsidR="00000000" w:rsidRDefault="00687F2E">
      <w:pPr>
        <w:jc w:val="both"/>
        <w:rPr>
          <w:rFonts w:ascii="Verdana" w:hAnsi="Verdana"/>
          <w:sz w:val="20"/>
        </w:rPr>
      </w:pPr>
      <w:r>
        <w:rPr>
          <w:rFonts w:ascii="Verdana" w:hAnsi="Verdana"/>
          <w:sz w:val="20"/>
          <w:szCs w:val="20"/>
          <w:lang w:val="es-ES_tradnl"/>
        </w:rPr>
        <w:t>8.</w:t>
      </w:r>
      <w:r>
        <w:rPr>
          <w:rFonts w:ascii="Verdana" w:hAnsi="Verdana"/>
          <w:sz w:val="20"/>
          <w:szCs w:val="20"/>
          <w:lang w:val="es-ES_tradnl"/>
        </w:rPr>
        <w:tab/>
      </w:r>
      <w:smartTag w:uri="urn:schemas-microsoft-com:office:smarttags" w:element="PersonName">
        <w:smartTagPr>
          <w:attr w:name="ProductID" w:val="la Corte"/>
        </w:smartTagPr>
        <w:r>
          <w:rPr>
            <w:rFonts w:ascii="Verdana" w:hAnsi="Verdana"/>
            <w:sz w:val="20"/>
            <w:szCs w:val="20"/>
            <w:lang w:val="es-ES_tradnl"/>
          </w:rPr>
          <w:t>La Corte</w:t>
        </w:r>
      </w:smartTag>
      <w:r>
        <w:rPr>
          <w:rFonts w:ascii="Verdana" w:hAnsi="Verdana"/>
          <w:sz w:val="20"/>
          <w:szCs w:val="20"/>
          <w:lang w:val="es-ES_tradnl"/>
        </w:rPr>
        <w:t xml:space="preserve"> ha constatado que los representantes interpusieron la demanda de interpre</w:t>
      </w:r>
      <w:r>
        <w:rPr>
          <w:rFonts w:ascii="Verdana" w:hAnsi="Verdana"/>
          <w:sz w:val="20"/>
          <w:szCs w:val="20"/>
          <w:lang w:val="es-ES_tradnl"/>
        </w:rPr>
        <w:t xml:space="preserve">tación dentro del plazo establecido en el artículo 67 de </w:t>
      </w:r>
      <w:smartTag w:uri="urn:schemas-microsoft-com:office:smarttags" w:element="PersonName">
        <w:smartTagPr>
          <w:attr w:name="ProductID" w:val="la Convenci￳n"/>
        </w:smartTagPr>
        <w:r>
          <w:rPr>
            <w:rFonts w:ascii="Verdana" w:hAnsi="Verdana"/>
            <w:sz w:val="20"/>
            <w:szCs w:val="20"/>
            <w:lang w:val="es-ES_tradnl"/>
          </w:rPr>
          <w:t>la Convención</w:t>
        </w:r>
      </w:smartTag>
      <w:r>
        <w:rPr>
          <w:rFonts w:ascii="Verdana" w:hAnsi="Verdana"/>
          <w:sz w:val="20"/>
          <w:szCs w:val="20"/>
          <w:lang w:val="es-ES_tradnl"/>
        </w:rPr>
        <w:t xml:space="preserve">, ya que </w:t>
      </w:r>
      <w:smartTag w:uri="urn:schemas-microsoft-com:office:smarttags" w:element="PersonName">
        <w:smartTagPr>
          <w:attr w:name="ProductID" w:val="la Sentencia"/>
        </w:smartTagPr>
        <w:r>
          <w:rPr>
            <w:rFonts w:ascii="Verdana" w:hAnsi="Verdana"/>
            <w:sz w:val="20"/>
            <w:szCs w:val="20"/>
            <w:lang w:val="es-ES_tradnl"/>
          </w:rPr>
          <w:t>la Sentencia</w:t>
        </w:r>
      </w:smartTag>
      <w:r>
        <w:rPr>
          <w:rFonts w:ascii="Verdana" w:hAnsi="Verdana"/>
          <w:sz w:val="20"/>
          <w:szCs w:val="20"/>
          <w:lang w:val="es-ES_tradnl"/>
        </w:rPr>
        <w:t xml:space="preserve"> fue notificada al Estado, a </w:t>
      </w:r>
      <w:smartTag w:uri="urn:schemas-microsoft-com:office:smarttags" w:element="PersonName">
        <w:smartTagPr>
          <w:attr w:name="ProductID" w:val="la Comisi￳n Interamericana"/>
        </w:smartTagPr>
        <w:r>
          <w:rPr>
            <w:rFonts w:ascii="Verdana" w:hAnsi="Verdana"/>
            <w:sz w:val="20"/>
            <w:szCs w:val="20"/>
            <w:lang w:val="es-ES_tradnl"/>
          </w:rPr>
          <w:t>la Comisión Interamericana</w:t>
        </w:r>
      </w:smartTag>
      <w:r>
        <w:rPr>
          <w:rFonts w:ascii="Verdana" w:hAnsi="Verdana"/>
          <w:sz w:val="20"/>
          <w:szCs w:val="20"/>
          <w:lang w:val="es-ES_tradnl"/>
        </w:rPr>
        <w:t xml:space="preserve"> y a los representantes el </w:t>
      </w:r>
      <w:r>
        <w:rPr>
          <w:rFonts w:ascii="Verdana" w:hAnsi="Verdana"/>
          <w:sz w:val="20"/>
        </w:rPr>
        <w:t>20 de diciembre de 2006.</w:t>
      </w:r>
    </w:p>
    <w:p w:rsidR="00000000" w:rsidRDefault="00687F2E">
      <w:pPr>
        <w:jc w:val="both"/>
        <w:rPr>
          <w:rFonts w:ascii="Verdana" w:hAnsi="Verdana"/>
          <w:sz w:val="20"/>
          <w:szCs w:val="20"/>
          <w:lang w:val="es-ES_tradnl"/>
        </w:rPr>
      </w:pPr>
    </w:p>
    <w:p w:rsidR="00000000" w:rsidRDefault="00687F2E">
      <w:pPr>
        <w:jc w:val="both"/>
        <w:rPr>
          <w:rFonts w:ascii="Verdana" w:hAnsi="Verdana"/>
          <w:sz w:val="20"/>
          <w:szCs w:val="20"/>
          <w:lang w:val="es-ES_tradnl"/>
        </w:rPr>
      </w:pPr>
      <w:r>
        <w:rPr>
          <w:rFonts w:ascii="Verdana" w:hAnsi="Verdana"/>
          <w:sz w:val="20"/>
          <w:szCs w:val="20"/>
          <w:lang w:val="es-ES_tradnl"/>
        </w:rPr>
        <w:t>9.</w:t>
      </w:r>
      <w:r>
        <w:rPr>
          <w:rFonts w:ascii="Verdana" w:hAnsi="Verdana"/>
          <w:sz w:val="20"/>
          <w:szCs w:val="20"/>
          <w:lang w:val="es-ES_tradnl"/>
        </w:rPr>
        <w:tab/>
        <w:t xml:space="preserve">Por otro lado, tal como lo ha dispuesto anteriormente </w:t>
      </w:r>
      <w:r>
        <w:rPr>
          <w:rFonts w:ascii="Verdana" w:hAnsi="Verdana"/>
          <w:sz w:val="20"/>
          <w:szCs w:val="20"/>
          <w:lang w:val="es-ES_tradnl"/>
        </w:rPr>
        <w:t>este Tribunal</w:t>
      </w:r>
      <w:r>
        <w:rPr>
          <w:rStyle w:val="FootnoteCharacters"/>
          <w:lang w:val="es-ES_tradnl"/>
        </w:rPr>
        <w:footnoteReference w:id="3"/>
      </w:r>
      <w:r>
        <w:rPr>
          <w:rFonts w:ascii="Verdana" w:hAnsi="Verdana"/>
          <w:sz w:val="20"/>
          <w:szCs w:val="20"/>
          <w:lang w:val="es-ES_tradnl"/>
        </w:rPr>
        <w:t xml:space="preserve">, </w:t>
      </w:r>
      <w:r>
        <w:rPr>
          <w:rFonts w:ascii="Verdana" w:hAnsi="Verdana"/>
          <w:sz w:val="20"/>
          <w:lang w:val="es-ES_tradnl"/>
        </w:rPr>
        <w:t>una demanda de interpretación de una sentencia no debe utilizarse como un medio de impugnación, sino únicamente debe tener como objeto desentrañar el sentido de un fallo cuando una de las partes sostiene que el texto de sus puntos resolutiv</w:t>
      </w:r>
      <w:r>
        <w:rPr>
          <w:rFonts w:ascii="Verdana" w:hAnsi="Verdana"/>
          <w:sz w:val="20"/>
          <w:lang w:val="es-ES_tradnl"/>
        </w:rPr>
        <w:t>os o de sus consideraciones carece de claridad o precisión, siempre y cuando esas consideraciones incidan en dicha parte resolutiva. Por ende, no se puede pedir la modificación o anulación de la sentencia respectiva a través de una demanda de interpretació</w:t>
      </w:r>
      <w:r>
        <w:rPr>
          <w:rFonts w:ascii="Verdana" w:hAnsi="Verdana"/>
          <w:sz w:val="20"/>
          <w:lang w:val="es-ES_tradnl"/>
        </w:rPr>
        <w:t>n.</w:t>
      </w:r>
      <w:r>
        <w:rPr>
          <w:rFonts w:ascii="Verdana" w:hAnsi="Verdana"/>
          <w:sz w:val="20"/>
          <w:szCs w:val="20"/>
          <w:lang w:val="es-ES_tradnl"/>
        </w:rPr>
        <w:t xml:space="preserve">  </w:t>
      </w:r>
    </w:p>
    <w:p w:rsidR="00000000" w:rsidRDefault="00687F2E">
      <w:pPr>
        <w:ind w:left="705" w:hanging="705"/>
        <w:jc w:val="both"/>
        <w:rPr>
          <w:rFonts w:ascii="Verdana" w:hAnsi="Verdana"/>
          <w:sz w:val="20"/>
          <w:szCs w:val="20"/>
          <w:u w:val="single"/>
          <w:lang w:val="es-ES_tradnl"/>
        </w:rPr>
      </w:pPr>
    </w:p>
    <w:p w:rsidR="00000000" w:rsidRDefault="00687F2E">
      <w:pPr>
        <w:jc w:val="both"/>
        <w:rPr>
          <w:rFonts w:ascii="Verdana" w:hAnsi="Verdana"/>
          <w:b/>
          <w:sz w:val="20"/>
          <w:szCs w:val="20"/>
          <w:lang w:val="es-ES_tradnl"/>
        </w:rPr>
      </w:pPr>
      <w:r>
        <w:rPr>
          <w:rFonts w:ascii="Verdana" w:hAnsi="Verdana"/>
          <w:sz w:val="20"/>
          <w:szCs w:val="20"/>
          <w:lang w:val="es-ES_tradnl"/>
        </w:rPr>
        <w:t>10.</w:t>
      </w:r>
      <w:r>
        <w:rPr>
          <w:rFonts w:ascii="Verdana" w:hAnsi="Verdana"/>
          <w:sz w:val="20"/>
          <w:szCs w:val="20"/>
          <w:lang w:val="es-ES_tradnl"/>
        </w:rPr>
        <w:tab/>
        <w:t xml:space="preserve">Para analizar la procedencia de la demanda de interpretación presentada por los representantes y, en su caso, aclarar el sentido o alcance de </w:t>
      </w:r>
      <w:smartTag w:uri="urn:schemas-microsoft-com:office:smarttags" w:element="PersonName">
        <w:smartTagPr>
          <w:attr w:name="ProductID" w:val="la Sentencia"/>
        </w:smartTagPr>
        <w:r>
          <w:rPr>
            <w:rFonts w:ascii="Verdana" w:hAnsi="Verdana"/>
            <w:sz w:val="20"/>
            <w:szCs w:val="20"/>
            <w:lang w:val="es-ES_tradnl"/>
          </w:rPr>
          <w:t>la Sentencia</w:t>
        </w:r>
      </w:smartTag>
      <w:r>
        <w:rPr>
          <w:rFonts w:ascii="Verdana" w:hAnsi="Verdana"/>
          <w:sz w:val="20"/>
          <w:szCs w:val="20"/>
          <w:lang w:val="es-ES_tradnl"/>
        </w:rPr>
        <w:t xml:space="preserve">, seguidamente </w:t>
      </w:r>
      <w:smartTag w:uri="urn:schemas-microsoft-com:office:smarttags" w:element="PersonName">
        <w:smartTagPr>
          <w:attr w:name="ProductID" w:val="la Corte"/>
        </w:smartTagPr>
        <w:r>
          <w:rPr>
            <w:rFonts w:ascii="Verdana" w:hAnsi="Verdana"/>
            <w:sz w:val="20"/>
            <w:szCs w:val="20"/>
            <w:lang w:val="es-ES_tradnl"/>
          </w:rPr>
          <w:t>la Corte</w:t>
        </w:r>
      </w:smartTag>
      <w:r>
        <w:rPr>
          <w:rFonts w:ascii="Verdana" w:hAnsi="Verdana"/>
          <w:sz w:val="20"/>
          <w:szCs w:val="20"/>
          <w:lang w:val="es-ES_tradnl"/>
        </w:rPr>
        <w:t xml:space="preserve"> analizará de forma separada las tres situaciones planteadas en la mi</w:t>
      </w:r>
      <w:r>
        <w:rPr>
          <w:rFonts w:ascii="Verdana" w:hAnsi="Verdana"/>
          <w:sz w:val="20"/>
          <w:szCs w:val="20"/>
          <w:lang w:val="es-ES_tradnl"/>
        </w:rPr>
        <w:t xml:space="preserve">sma, así como las observaciones relevantes de </w:t>
      </w:r>
      <w:smartTag w:uri="urn:schemas-microsoft-com:office:smarttags" w:element="PersonName">
        <w:smartTagPr>
          <w:attr w:name="ProductID" w:val="la Comisi￳n"/>
        </w:smartTagPr>
        <w:r>
          <w:rPr>
            <w:rFonts w:ascii="Verdana" w:hAnsi="Verdana"/>
            <w:sz w:val="20"/>
            <w:szCs w:val="20"/>
            <w:lang w:val="es-ES_tradnl"/>
          </w:rPr>
          <w:t>la Comisión</w:t>
        </w:r>
      </w:smartTag>
      <w:r>
        <w:rPr>
          <w:rFonts w:ascii="Verdana" w:hAnsi="Verdana"/>
          <w:sz w:val="20"/>
          <w:szCs w:val="20"/>
          <w:lang w:val="es-ES_tradnl"/>
        </w:rPr>
        <w:t xml:space="preserve"> y el Estado. Asimismo, en cada uno de esos puntos se analizará, de ser necesario, alguna cuestión de admisibilidad.</w:t>
      </w:r>
      <w:r>
        <w:rPr>
          <w:rFonts w:ascii="Verdana" w:hAnsi="Verdana"/>
          <w:b/>
          <w:sz w:val="20"/>
          <w:szCs w:val="20"/>
          <w:lang w:val="es-ES_tradnl"/>
        </w:rPr>
        <w:t xml:space="preserve"> </w:t>
      </w:r>
    </w:p>
    <w:p w:rsidR="00000000" w:rsidRDefault="00687F2E">
      <w:pPr>
        <w:jc w:val="both"/>
        <w:rPr>
          <w:rFonts w:ascii="Verdana" w:hAnsi="Verdana"/>
          <w:b/>
          <w:smallCaps/>
          <w:sz w:val="20"/>
          <w:szCs w:val="20"/>
          <w:lang w:val="es-ES_tradnl"/>
        </w:rPr>
      </w:pPr>
    </w:p>
    <w:p w:rsidR="00000000" w:rsidRDefault="00687F2E">
      <w:pPr>
        <w:jc w:val="both"/>
        <w:rPr>
          <w:rFonts w:ascii="Verdana" w:hAnsi="Verdana"/>
          <w:b/>
          <w:smallCaps/>
          <w:sz w:val="20"/>
          <w:lang w:val="es-ES_tradnl"/>
        </w:rPr>
      </w:pPr>
    </w:p>
    <w:p w:rsidR="00000000" w:rsidRDefault="00687F2E">
      <w:pPr>
        <w:jc w:val="center"/>
        <w:rPr>
          <w:rFonts w:ascii="Verdana" w:hAnsi="Verdana"/>
          <w:b/>
          <w:smallCaps/>
          <w:sz w:val="20"/>
          <w:szCs w:val="20"/>
          <w:lang w:val="es-ES_tradnl"/>
        </w:rPr>
      </w:pPr>
      <w:r>
        <w:rPr>
          <w:rFonts w:ascii="Verdana" w:hAnsi="Verdana"/>
          <w:b/>
          <w:smallCaps/>
          <w:sz w:val="20"/>
          <w:szCs w:val="20"/>
          <w:lang w:val="es-ES_tradnl"/>
        </w:rPr>
        <w:t>IV</w:t>
      </w:r>
    </w:p>
    <w:p w:rsidR="00000000" w:rsidRDefault="00687F2E">
      <w:pPr>
        <w:jc w:val="center"/>
        <w:rPr>
          <w:rFonts w:ascii="Verdana" w:hAnsi="Verdana"/>
          <w:b/>
          <w:smallCaps/>
          <w:sz w:val="20"/>
          <w:szCs w:val="20"/>
          <w:lang w:val="es-ES_tradnl"/>
        </w:rPr>
      </w:pPr>
      <w:r>
        <w:rPr>
          <w:rFonts w:ascii="Verdana" w:hAnsi="Verdana"/>
          <w:b/>
          <w:smallCaps/>
          <w:sz w:val="20"/>
          <w:szCs w:val="20"/>
          <w:lang w:val="es-ES_tradnl"/>
        </w:rPr>
        <w:t xml:space="preserve">Situación de </w:t>
      </w:r>
      <w:smartTag w:uri="urn:schemas-microsoft-com:office:smarttags" w:element="PersonName">
        <w:smartTagPr>
          <w:attr w:name="ProductID" w:val="LA SE￑ORA MARCIA"/>
        </w:smartTagPr>
        <w:r>
          <w:rPr>
            <w:rFonts w:ascii="Verdana" w:hAnsi="Verdana"/>
            <w:b/>
            <w:smallCaps/>
            <w:sz w:val="20"/>
            <w:szCs w:val="20"/>
            <w:lang w:val="es-ES_tradnl"/>
          </w:rPr>
          <w:t>la señora Marcia</w:t>
        </w:r>
      </w:smartTag>
      <w:r>
        <w:rPr>
          <w:rFonts w:ascii="Verdana" w:hAnsi="Verdana"/>
          <w:b/>
          <w:smallCaps/>
          <w:sz w:val="20"/>
          <w:szCs w:val="20"/>
          <w:lang w:val="es-ES_tradnl"/>
        </w:rPr>
        <w:t xml:space="preserve"> Claudina Mariños Figueroa</w:t>
      </w:r>
    </w:p>
    <w:p w:rsidR="00000000" w:rsidRDefault="00687F2E">
      <w:pPr>
        <w:ind w:right="720"/>
        <w:jc w:val="both"/>
        <w:rPr>
          <w:rFonts w:ascii="Verdana" w:hAnsi="Verdana"/>
          <w:sz w:val="16"/>
          <w:szCs w:val="20"/>
          <w:lang w:val="es-ES_tradnl"/>
        </w:rPr>
      </w:pPr>
    </w:p>
    <w:p w:rsidR="00000000" w:rsidRDefault="00687F2E">
      <w:pPr>
        <w:ind w:right="720"/>
        <w:jc w:val="both"/>
        <w:rPr>
          <w:rFonts w:ascii="Verdana" w:hAnsi="Verdana"/>
          <w:sz w:val="16"/>
          <w:szCs w:val="20"/>
          <w:lang w:val="es-ES_tradnl"/>
        </w:rPr>
      </w:pPr>
    </w:p>
    <w:p w:rsidR="00000000" w:rsidRDefault="00687F2E">
      <w:pPr>
        <w:jc w:val="both"/>
        <w:rPr>
          <w:rFonts w:ascii="Verdana" w:hAnsi="Verdana"/>
          <w:sz w:val="20"/>
          <w:szCs w:val="20"/>
          <w:lang w:val="es-ES_tradnl"/>
        </w:rPr>
      </w:pPr>
      <w:r>
        <w:rPr>
          <w:rFonts w:ascii="Verdana" w:hAnsi="Verdana"/>
          <w:sz w:val="20"/>
          <w:szCs w:val="20"/>
          <w:lang w:val="es-ES_tradnl"/>
        </w:rPr>
        <w:t>11.</w:t>
      </w:r>
      <w:r>
        <w:rPr>
          <w:rFonts w:ascii="Verdana" w:hAnsi="Verdana"/>
          <w:sz w:val="20"/>
          <w:szCs w:val="20"/>
          <w:lang w:val="es-ES_tradnl"/>
        </w:rPr>
        <w:tab/>
        <w:t>Los representa</w:t>
      </w:r>
      <w:r>
        <w:rPr>
          <w:rFonts w:ascii="Verdana" w:hAnsi="Verdana"/>
          <w:sz w:val="20"/>
          <w:szCs w:val="20"/>
          <w:lang w:val="es-ES_tradnl"/>
        </w:rPr>
        <w:t xml:space="preserve">ntes alegaron que la señora </w:t>
      </w:r>
      <w:r>
        <w:rPr>
          <w:rFonts w:ascii="Verdana" w:hAnsi="Verdana"/>
          <w:sz w:val="20"/>
          <w:lang w:val="es-ES_tradnl"/>
        </w:rPr>
        <w:t>Marcia Claudina Mariños Figueroa</w:t>
      </w:r>
      <w:r>
        <w:rPr>
          <w:rFonts w:ascii="Verdana" w:hAnsi="Verdana"/>
          <w:sz w:val="20"/>
          <w:szCs w:val="20"/>
          <w:lang w:val="es-ES_tradnl"/>
        </w:rPr>
        <w:t xml:space="preserve"> fue identificada en </w:t>
      </w:r>
      <w:smartTag w:uri="urn:schemas-microsoft-com:office:smarttags" w:element="PersonName">
        <w:smartTagPr>
          <w:attr w:name="ProductID" w:val="la Sentencia"/>
        </w:smartTagPr>
        <w:r>
          <w:rPr>
            <w:rFonts w:ascii="Verdana" w:hAnsi="Verdana"/>
            <w:sz w:val="20"/>
            <w:szCs w:val="20"/>
            <w:lang w:val="es-ES_tradnl"/>
          </w:rPr>
          <w:t>la Sentencia</w:t>
        </w:r>
      </w:smartTag>
      <w:r>
        <w:rPr>
          <w:rFonts w:ascii="Verdana" w:hAnsi="Verdana"/>
          <w:sz w:val="20"/>
          <w:szCs w:val="20"/>
          <w:lang w:val="es-ES_tradnl"/>
        </w:rPr>
        <w:t xml:space="preserve"> como hermana del señor Juan Gabriel Mariños Figueroa, quien también fue declarada víctima de la violación de sus derechos a la integridad personal y a </w:t>
      </w:r>
      <w:r>
        <w:rPr>
          <w:rFonts w:ascii="Verdana" w:hAnsi="Verdana"/>
          <w:sz w:val="20"/>
          <w:szCs w:val="20"/>
          <w:lang w:val="es-ES_tradnl"/>
        </w:rPr>
        <w:lastRenderedPageBreak/>
        <w:t>las garantí</w:t>
      </w:r>
      <w:r>
        <w:rPr>
          <w:rFonts w:ascii="Verdana" w:hAnsi="Verdana"/>
          <w:sz w:val="20"/>
          <w:szCs w:val="20"/>
          <w:lang w:val="es-ES_tradnl"/>
        </w:rPr>
        <w:t xml:space="preserve">as judiciales y protección judicial y que en el punto resolutivo 17 se la nombra como acreedora de una indemnización por daño inmaterial. Sin embargo, los representantes alegaron que dicha señora no es mencionada en </w:t>
      </w:r>
      <w:smartTag w:uri="urn:schemas-microsoft-com:office:smarttags" w:element="PersonName">
        <w:smartTagPr>
          <w:attr w:name="ProductID" w:val="la Sentencia"/>
        </w:smartTagPr>
        <w:r>
          <w:rPr>
            <w:rFonts w:ascii="Verdana" w:hAnsi="Verdana"/>
            <w:sz w:val="20"/>
            <w:szCs w:val="20"/>
            <w:lang w:val="es-ES_tradnl"/>
          </w:rPr>
          <w:t>la Sentencia</w:t>
        </w:r>
      </w:smartTag>
      <w:r>
        <w:rPr>
          <w:rFonts w:ascii="Verdana" w:hAnsi="Verdana"/>
          <w:sz w:val="20"/>
          <w:szCs w:val="20"/>
          <w:lang w:val="es-ES_tradnl"/>
        </w:rPr>
        <w:t xml:space="preserve"> en el capítulo de Reparacio</w:t>
      </w:r>
      <w:r>
        <w:rPr>
          <w:rFonts w:ascii="Verdana" w:hAnsi="Verdana"/>
          <w:sz w:val="20"/>
          <w:szCs w:val="20"/>
          <w:lang w:val="es-ES_tradnl"/>
        </w:rPr>
        <w:t>nes, en el apartado de Beneficiarios, cuando se nombra a los familiares del señor Juan Gabriel Mariños Figueroa con derecho a reparaciones, ni es nombrada en el apartado sobre daño inmaterial al momento de fijar las compensaciones para cada uno de los bene</w:t>
      </w:r>
      <w:r>
        <w:rPr>
          <w:rFonts w:ascii="Verdana" w:hAnsi="Verdana"/>
          <w:sz w:val="20"/>
          <w:szCs w:val="20"/>
          <w:lang w:val="es-ES_tradnl"/>
        </w:rPr>
        <w:t xml:space="preserve">ficiarios. En relación con lo anterior, los representantes solicitaron a </w:t>
      </w:r>
      <w:smartTag w:uri="urn:schemas-microsoft-com:office:smarttags" w:element="PersonName">
        <w:smartTagPr>
          <w:attr w:name="ProductID" w:val="la Corte"/>
        </w:smartTagPr>
        <w:r>
          <w:rPr>
            <w:rFonts w:ascii="Verdana" w:hAnsi="Verdana"/>
            <w:sz w:val="20"/>
            <w:szCs w:val="20"/>
            <w:lang w:val="es-ES_tradnl"/>
          </w:rPr>
          <w:t>la Corte</w:t>
        </w:r>
      </w:smartTag>
      <w:r>
        <w:rPr>
          <w:rFonts w:ascii="Verdana" w:hAnsi="Verdana"/>
          <w:sz w:val="20"/>
          <w:szCs w:val="20"/>
          <w:lang w:val="es-ES_tradnl"/>
        </w:rPr>
        <w:t xml:space="preserve"> que aclarara lo que estimaban una discordancia entre los párrafos de </w:t>
      </w:r>
      <w:smartTag w:uri="urn:schemas-microsoft-com:office:smarttags" w:element="PersonName">
        <w:smartTagPr>
          <w:attr w:name="ProductID" w:val="la Sentencia"/>
        </w:smartTagPr>
        <w:r>
          <w:rPr>
            <w:rFonts w:ascii="Verdana" w:hAnsi="Verdana"/>
            <w:sz w:val="20"/>
            <w:szCs w:val="20"/>
            <w:lang w:val="es-ES_tradnl"/>
          </w:rPr>
          <w:t>la Sentencia</w:t>
        </w:r>
      </w:smartTag>
      <w:r>
        <w:rPr>
          <w:rFonts w:ascii="Verdana" w:hAnsi="Verdana"/>
          <w:sz w:val="20"/>
          <w:szCs w:val="20"/>
          <w:lang w:val="es-ES_tradnl"/>
        </w:rPr>
        <w:t xml:space="preserve"> correspondientes.</w:t>
      </w:r>
    </w:p>
    <w:p w:rsidR="00000000" w:rsidRDefault="00687F2E">
      <w:pPr>
        <w:jc w:val="both"/>
        <w:rPr>
          <w:rFonts w:ascii="Verdana" w:hAnsi="Verdana"/>
          <w:sz w:val="20"/>
          <w:lang w:val="es-ES_tradnl"/>
        </w:rPr>
      </w:pPr>
    </w:p>
    <w:p w:rsidR="00000000" w:rsidRDefault="00687F2E">
      <w:pPr>
        <w:jc w:val="both"/>
        <w:rPr>
          <w:rFonts w:ascii="Verdana" w:hAnsi="Verdana"/>
          <w:sz w:val="20"/>
          <w:lang w:val="es-ES_tradnl"/>
        </w:rPr>
      </w:pPr>
      <w:r>
        <w:rPr>
          <w:rFonts w:ascii="Verdana" w:hAnsi="Verdana"/>
          <w:sz w:val="20"/>
          <w:lang w:val="es-ES_tradnl"/>
        </w:rPr>
        <w:t>12.</w:t>
      </w:r>
      <w:r>
        <w:rPr>
          <w:rFonts w:ascii="Verdana" w:hAnsi="Verdana"/>
          <w:sz w:val="20"/>
          <w:lang w:val="es-ES_tradnl"/>
        </w:rPr>
        <w:tab/>
        <w:t>Al respecto, el Estado expresó que “</w:t>
      </w:r>
      <w:r>
        <w:rPr>
          <w:rFonts w:ascii="Verdana" w:hAnsi="Verdana"/>
          <w:sz w:val="20"/>
        </w:rPr>
        <w:t>[</w:t>
      </w:r>
      <w:r>
        <w:rPr>
          <w:rFonts w:ascii="Verdana" w:hAnsi="Verdana"/>
          <w:sz w:val="20"/>
          <w:lang w:val="es-ES_tradnl"/>
        </w:rPr>
        <w:t>l]a omisión de la inclusión de[l</w:t>
      </w:r>
      <w:r>
        <w:rPr>
          <w:rFonts w:ascii="Verdana" w:hAnsi="Verdana"/>
          <w:sz w:val="20"/>
          <w:lang w:val="es-ES_tradnl"/>
        </w:rPr>
        <w:t xml:space="preserve"> …] nombre [de la señora Marcia Claudina Mariños Figueroa] dentro del párrafo 206 inciso i) (familiares de la víctima Juan Gabriel Mariños Figueroa considerados como acreedores de indemnización) […] deberá ser aclarada por </w:t>
      </w:r>
      <w:smartTag w:uri="urn:schemas-microsoft-com:office:smarttags" w:element="PersonName">
        <w:smartTagPr>
          <w:attr w:name="ProductID" w:val="la Corte"/>
        </w:smartTagPr>
        <w:r>
          <w:rPr>
            <w:rFonts w:ascii="Verdana" w:hAnsi="Verdana"/>
            <w:sz w:val="20"/>
            <w:lang w:val="es-ES_tradnl"/>
          </w:rPr>
          <w:t>la Corte</w:t>
        </w:r>
      </w:smartTag>
      <w:r>
        <w:rPr>
          <w:rFonts w:ascii="Verdana" w:hAnsi="Verdana"/>
          <w:sz w:val="20"/>
          <w:lang w:val="es-ES_tradnl"/>
        </w:rPr>
        <w:t>”. Asimismo, manifestó qu</w:t>
      </w:r>
      <w:r>
        <w:rPr>
          <w:rFonts w:ascii="Verdana" w:hAnsi="Verdana"/>
          <w:sz w:val="20"/>
          <w:lang w:val="es-ES_tradnl"/>
        </w:rPr>
        <w:t xml:space="preserve">e “no encuentra razones jurídicas para oponerse al reconocimiento de [dicha señora] como familiar[…] de la[…] víctima[…] por parte de la […] Corte”. </w:t>
      </w:r>
    </w:p>
    <w:p w:rsidR="00000000" w:rsidRDefault="00687F2E">
      <w:pPr>
        <w:jc w:val="both"/>
        <w:rPr>
          <w:rFonts w:ascii="Verdana" w:hAnsi="Verdana"/>
          <w:sz w:val="20"/>
          <w:lang w:val="es-ES_tradnl"/>
        </w:rPr>
      </w:pPr>
    </w:p>
    <w:p w:rsidR="00000000" w:rsidRDefault="00687F2E">
      <w:pPr>
        <w:jc w:val="both"/>
        <w:rPr>
          <w:rFonts w:ascii="Verdana" w:hAnsi="Verdana"/>
          <w:sz w:val="20"/>
          <w:lang w:val="es-ES_tradnl"/>
        </w:rPr>
      </w:pPr>
      <w:r>
        <w:rPr>
          <w:rFonts w:ascii="Verdana" w:hAnsi="Verdana"/>
          <w:sz w:val="20"/>
          <w:lang w:val="es-ES_tradnl"/>
        </w:rPr>
        <w:t>13.</w:t>
      </w:r>
      <w:r>
        <w:rPr>
          <w:rFonts w:ascii="Verdana" w:hAnsi="Verdana"/>
          <w:sz w:val="20"/>
          <w:lang w:val="es-ES_tradnl"/>
        </w:rPr>
        <w:tab/>
      </w:r>
      <w:smartTag w:uri="urn:schemas-microsoft-com:office:smarttags" w:element="PersonName">
        <w:smartTagPr>
          <w:attr w:name="ProductID" w:val="la Comisi￳n"/>
        </w:smartTagPr>
        <w:r>
          <w:rPr>
            <w:rFonts w:ascii="Verdana" w:hAnsi="Verdana"/>
            <w:sz w:val="20"/>
            <w:lang w:val="es-ES_tradnl"/>
          </w:rPr>
          <w:t>La Comisión</w:t>
        </w:r>
      </w:smartTag>
      <w:r>
        <w:rPr>
          <w:rFonts w:ascii="Verdana" w:hAnsi="Verdana"/>
          <w:sz w:val="20"/>
          <w:lang w:val="es-ES_tradnl"/>
        </w:rPr>
        <w:t xml:space="preserve"> consideró que “efectivamente existe una posible discordancia entre distintas partes de la</w:t>
      </w:r>
      <w:r>
        <w:rPr>
          <w:rFonts w:ascii="Verdana" w:hAnsi="Verdana"/>
          <w:sz w:val="20"/>
          <w:lang w:val="es-ES_tradnl"/>
        </w:rPr>
        <w:t xml:space="preserve"> [S]entencia en el presente caso en lo referido a la señora Marcia Claudina Mariños Figueroa”. Además, indicó que “la [S]entencia es clara en cuanto a la calidad de víctima y parte lesionada de [dicha] señora […], así como de su derecho a recibir una indem</w:t>
      </w:r>
      <w:r>
        <w:rPr>
          <w:rFonts w:ascii="Verdana" w:hAnsi="Verdana"/>
          <w:sz w:val="20"/>
          <w:lang w:val="es-ES_tradnl"/>
        </w:rPr>
        <w:t xml:space="preserve">nización por el daño inmaterial sufrido, pero que al no establecerse en el párrafo 220 la compensación precisa fijada a su respecto, ello tiene incidencia en el punto resolutivo 17 del fallo”. En consecuencia, </w:t>
      </w:r>
      <w:smartTag w:uri="urn:schemas-microsoft-com:office:smarttags" w:element="PersonName">
        <w:smartTagPr>
          <w:attr w:name="ProductID" w:val="la Comisi￳n"/>
        </w:smartTagPr>
        <w:r>
          <w:rPr>
            <w:rFonts w:ascii="Verdana" w:hAnsi="Verdana"/>
            <w:sz w:val="20"/>
            <w:lang w:val="es-ES_tradnl"/>
          </w:rPr>
          <w:t>la Comisión</w:t>
        </w:r>
      </w:smartTag>
      <w:r>
        <w:rPr>
          <w:rFonts w:ascii="Verdana" w:hAnsi="Verdana"/>
          <w:sz w:val="20"/>
          <w:lang w:val="es-ES_tradnl"/>
        </w:rPr>
        <w:t xml:space="preserve"> consideró procedente que </w:t>
      </w:r>
      <w:smartTag w:uri="urn:schemas-microsoft-com:office:smarttags" w:element="PersonName">
        <w:smartTagPr>
          <w:attr w:name="ProductID" w:val="la Corte"/>
        </w:smartTagPr>
        <w:r>
          <w:rPr>
            <w:rFonts w:ascii="Verdana" w:hAnsi="Verdana"/>
            <w:sz w:val="20"/>
            <w:lang w:val="es-ES_tradnl"/>
          </w:rPr>
          <w:t>la Corte</w:t>
        </w:r>
      </w:smartTag>
      <w:r>
        <w:rPr>
          <w:rFonts w:ascii="Verdana" w:hAnsi="Verdana"/>
          <w:sz w:val="20"/>
          <w:lang w:val="es-ES_tradnl"/>
        </w:rPr>
        <w:t xml:space="preserve"> </w:t>
      </w:r>
      <w:r>
        <w:rPr>
          <w:rFonts w:ascii="Verdana" w:hAnsi="Verdana"/>
          <w:sz w:val="20"/>
          <w:lang w:val="es-ES_tradnl"/>
        </w:rPr>
        <w:t>haga la aclaración solicitada “fijando el monto preciso de la compensación que es procedente respecto de la señora Marcia Claudina Mariños Figueroa”.</w:t>
      </w:r>
    </w:p>
    <w:p w:rsidR="00000000" w:rsidRDefault="00687F2E">
      <w:pPr>
        <w:jc w:val="both"/>
        <w:rPr>
          <w:rFonts w:ascii="Verdana" w:hAnsi="Verdana"/>
          <w:i/>
          <w:sz w:val="20"/>
          <w:lang w:val="es-ES_tradnl"/>
        </w:rPr>
      </w:pPr>
    </w:p>
    <w:p w:rsidR="00000000" w:rsidRDefault="00687F2E">
      <w:pPr>
        <w:jc w:val="both"/>
        <w:rPr>
          <w:rFonts w:ascii="Verdana" w:hAnsi="Verdana"/>
          <w:sz w:val="20"/>
          <w:szCs w:val="20"/>
          <w:lang w:val="es-ES_tradnl"/>
        </w:rPr>
      </w:pPr>
      <w:r>
        <w:rPr>
          <w:rFonts w:ascii="Verdana" w:hAnsi="Verdana"/>
          <w:sz w:val="20"/>
          <w:lang w:val="es-ES_tradnl"/>
        </w:rPr>
        <w:t>14.</w:t>
      </w:r>
      <w:r>
        <w:rPr>
          <w:rFonts w:ascii="Verdana" w:hAnsi="Verdana"/>
          <w:sz w:val="20"/>
          <w:lang w:val="es-ES_tradnl"/>
        </w:rPr>
        <w:tab/>
      </w:r>
      <w:smartTag w:uri="urn:schemas-microsoft-com:office:smarttags" w:element="PersonName">
        <w:smartTagPr>
          <w:attr w:name="ProductID" w:val="la Corte"/>
        </w:smartTagPr>
        <w:r>
          <w:rPr>
            <w:rFonts w:ascii="Verdana" w:hAnsi="Verdana"/>
            <w:sz w:val="20"/>
            <w:lang w:val="es-ES_tradnl"/>
          </w:rPr>
          <w:t>La Corte</w:t>
        </w:r>
      </w:smartTag>
      <w:r>
        <w:rPr>
          <w:rFonts w:ascii="Verdana" w:hAnsi="Verdana"/>
          <w:sz w:val="20"/>
          <w:lang w:val="es-ES_tradnl"/>
        </w:rPr>
        <w:t xml:space="preserve"> observa que, tal como lo han señalado los representantes, </w:t>
      </w:r>
      <w:r>
        <w:rPr>
          <w:rFonts w:ascii="Verdana" w:hAnsi="Verdana"/>
          <w:sz w:val="20"/>
          <w:szCs w:val="20"/>
          <w:lang w:val="es-ES_tradnl"/>
        </w:rPr>
        <w:t xml:space="preserve">en el capítulo de Hechos Probados </w:t>
      </w:r>
      <w:r>
        <w:rPr>
          <w:rFonts w:ascii="Verdana" w:hAnsi="Verdana"/>
          <w:sz w:val="20"/>
          <w:szCs w:val="20"/>
          <w:lang w:val="es-ES_tradnl"/>
        </w:rPr>
        <w:t>(párrafo 80.106) de</w:t>
      </w:r>
      <w:r>
        <w:rPr>
          <w:rFonts w:ascii="Verdana" w:hAnsi="Verdana"/>
          <w:sz w:val="20"/>
          <w:lang w:val="es-ES_tradnl"/>
        </w:rPr>
        <w:t xml:space="preserve"> </w:t>
      </w:r>
      <w:smartTag w:uri="urn:schemas-microsoft-com:office:smarttags" w:element="PersonName">
        <w:smartTagPr>
          <w:attr w:name="ProductID" w:val="la Sentencia"/>
        </w:smartTagPr>
        <w:r>
          <w:rPr>
            <w:rFonts w:ascii="Verdana" w:hAnsi="Verdana"/>
            <w:sz w:val="20"/>
            <w:lang w:val="es-ES_tradnl"/>
          </w:rPr>
          <w:t>la Sentencia</w:t>
        </w:r>
      </w:smartTag>
      <w:r>
        <w:rPr>
          <w:rFonts w:ascii="Verdana" w:hAnsi="Verdana"/>
          <w:sz w:val="20"/>
          <w:lang w:val="es-ES_tradnl"/>
        </w:rPr>
        <w:t xml:space="preserve"> de referencia</w:t>
      </w:r>
      <w:r>
        <w:rPr>
          <w:rFonts w:ascii="Verdana" w:hAnsi="Verdana"/>
          <w:sz w:val="20"/>
          <w:szCs w:val="20"/>
          <w:lang w:val="es-ES_tradnl"/>
        </w:rPr>
        <w:t xml:space="preserve"> la señora </w:t>
      </w:r>
      <w:r>
        <w:rPr>
          <w:rFonts w:ascii="Verdana" w:hAnsi="Verdana"/>
          <w:sz w:val="20"/>
          <w:lang w:val="es-ES_tradnl"/>
        </w:rPr>
        <w:t>Marcia Claudina Mariños Figueroa</w:t>
      </w:r>
      <w:r>
        <w:rPr>
          <w:rFonts w:ascii="Verdana" w:hAnsi="Verdana"/>
          <w:sz w:val="20"/>
          <w:szCs w:val="20"/>
          <w:lang w:val="es-ES_tradnl"/>
        </w:rPr>
        <w:t xml:space="preserve"> fue identificada como hermana del señor Juan Gabriel Mariños Figueroa; que</w:t>
      </w:r>
      <w:r>
        <w:rPr>
          <w:rFonts w:ascii="Verdana" w:hAnsi="Verdana"/>
          <w:sz w:val="20"/>
          <w:lang w:val="es-ES_tradnl"/>
        </w:rPr>
        <w:t xml:space="preserve"> en los párrafos 129 y 161 y en los puntos resolutivos 5 y 6 fue establecida su condición de</w:t>
      </w:r>
      <w:r>
        <w:rPr>
          <w:rFonts w:ascii="Verdana" w:hAnsi="Verdana"/>
          <w:sz w:val="20"/>
          <w:lang w:val="es-ES_tradnl"/>
        </w:rPr>
        <w:t xml:space="preserve"> víctima por la violación de los derechos consagrados en los artículos 5.1, 8.1 y 25, en relación con el artículo 1.1, todos de </w:t>
      </w:r>
      <w:smartTag w:uri="urn:schemas-microsoft-com:office:smarttags" w:element="PersonName">
        <w:smartTagPr>
          <w:attr w:name="ProductID" w:val="la Convenci￳n Americana"/>
        </w:smartTagPr>
        <w:r>
          <w:rPr>
            <w:rFonts w:ascii="Verdana" w:hAnsi="Verdana"/>
            <w:sz w:val="20"/>
            <w:lang w:val="es-ES_tradnl"/>
          </w:rPr>
          <w:t>la Convención Americana</w:t>
        </w:r>
      </w:smartTag>
      <w:r>
        <w:rPr>
          <w:rFonts w:ascii="Verdana" w:hAnsi="Verdana"/>
          <w:sz w:val="20"/>
          <w:lang w:val="es-ES_tradnl"/>
        </w:rPr>
        <w:t>,</w:t>
      </w:r>
      <w:r>
        <w:rPr>
          <w:rFonts w:ascii="Verdana" w:hAnsi="Verdana"/>
          <w:sz w:val="20"/>
          <w:szCs w:val="20"/>
          <w:lang w:val="es-ES_tradnl"/>
        </w:rPr>
        <w:t xml:space="preserve"> y que en el punto resolutivo 17 se la nombra como acreedora de una indemnización por daño inmaterial. C</w:t>
      </w:r>
      <w:r>
        <w:rPr>
          <w:rFonts w:ascii="Verdana" w:hAnsi="Verdana"/>
          <w:sz w:val="20"/>
          <w:szCs w:val="20"/>
          <w:lang w:val="es-ES_tradnl"/>
        </w:rPr>
        <w:t xml:space="preserve">iertamente </w:t>
      </w:r>
      <w:smartTag w:uri="urn:schemas-microsoft-com:office:smarttags" w:element="PersonName">
        <w:smartTagPr>
          <w:attr w:name="ProductID" w:val="la Sentencia"/>
        </w:smartTagPr>
        <w:r>
          <w:rPr>
            <w:rFonts w:ascii="Verdana" w:hAnsi="Verdana"/>
            <w:sz w:val="20"/>
            <w:szCs w:val="20"/>
            <w:lang w:val="es-ES_tradnl"/>
          </w:rPr>
          <w:t>la Sentencia</w:t>
        </w:r>
      </w:smartTag>
      <w:r>
        <w:rPr>
          <w:rFonts w:ascii="Verdana" w:hAnsi="Verdana"/>
          <w:sz w:val="20"/>
          <w:szCs w:val="20"/>
          <w:lang w:val="es-ES_tradnl"/>
        </w:rPr>
        <w:t xml:space="preserve"> no incluye su nombre en el capítulo de Reparaciones, en el apartado de Beneficiarios, párrafo 206 i), al determinarse quienes se consideraban parte lesionada para los efectos de </w:t>
      </w:r>
      <w:smartTag w:uri="urn:schemas-microsoft-com:office:smarttags" w:element="PersonName">
        <w:smartTagPr>
          <w:attr w:name="ProductID" w:val="la Sentencia"/>
        </w:smartTagPr>
        <w:r>
          <w:rPr>
            <w:rFonts w:ascii="Verdana" w:hAnsi="Verdana"/>
            <w:sz w:val="20"/>
            <w:szCs w:val="20"/>
            <w:lang w:val="es-ES_tradnl"/>
          </w:rPr>
          <w:t>la Sentencia</w:t>
        </w:r>
      </w:smartTag>
      <w:r>
        <w:rPr>
          <w:rFonts w:ascii="Verdana" w:hAnsi="Verdana"/>
          <w:sz w:val="20"/>
          <w:szCs w:val="20"/>
          <w:lang w:val="es-ES_tradnl"/>
        </w:rPr>
        <w:t>, ni en el apartado sobre Daño Inmaterial,</w:t>
      </w:r>
      <w:r>
        <w:rPr>
          <w:rFonts w:ascii="Verdana" w:hAnsi="Verdana"/>
          <w:sz w:val="20"/>
          <w:szCs w:val="20"/>
          <w:lang w:val="es-ES_tradnl"/>
        </w:rPr>
        <w:t xml:space="preserve"> párrafo 220, al fijarse las compensaciones correspondientes para cada uno de los beneficiarios. </w:t>
      </w:r>
    </w:p>
    <w:p w:rsidR="00000000" w:rsidRDefault="00687F2E">
      <w:pPr>
        <w:jc w:val="both"/>
        <w:rPr>
          <w:rFonts w:ascii="Verdana" w:hAnsi="Verdana"/>
          <w:sz w:val="20"/>
          <w:lang w:val="es-ES_tradnl"/>
        </w:rPr>
      </w:pPr>
    </w:p>
    <w:p w:rsidR="00000000" w:rsidRDefault="00687F2E">
      <w:pPr>
        <w:ind w:right="-7"/>
        <w:jc w:val="both"/>
        <w:rPr>
          <w:rFonts w:ascii="Verdana" w:hAnsi="Verdana"/>
          <w:sz w:val="20"/>
          <w:szCs w:val="20"/>
          <w:lang w:val="es-ES_tradnl"/>
        </w:rPr>
      </w:pPr>
      <w:r>
        <w:rPr>
          <w:rFonts w:ascii="Verdana" w:hAnsi="Verdana"/>
          <w:sz w:val="20"/>
          <w:lang w:val="es-ES_tradnl"/>
        </w:rPr>
        <w:t>15.</w:t>
      </w:r>
      <w:r>
        <w:rPr>
          <w:rFonts w:ascii="Verdana" w:hAnsi="Verdana"/>
          <w:sz w:val="20"/>
          <w:lang w:val="es-ES_tradnl"/>
        </w:rPr>
        <w:tab/>
        <w:t>Sin embargo, e</w:t>
      </w:r>
      <w:r>
        <w:rPr>
          <w:rFonts w:ascii="Verdana" w:hAnsi="Verdana"/>
          <w:sz w:val="20"/>
          <w:szCs w:val="20"/>
          <w:lang w:val="es-ES_tradnl"/>
        </w:rPr>
        <w:t xml:space="preserve">n cuanto a la determinación de los familiares de las </w:t>
      </w:r>
      <w:r>
        <w:rPr>
          <w:rFonts w:ascii="Verdana" w:hAnsi="Verdana"/>
          <w:sz w:val="20"/>
          <w:lang w:val="es-ES_tradnl"/>
        </w:rPr>
        <w:t xml:space="preserve">personas ejecutadas o desaparecidas </w:t>
      </w:r>
      <w:r>
        <w:rPr>
          <w:rFonts w:ascii="Verdana" w:hAnsi="Verdana"/>
          <w:sz w:val="20"/>
          <w:szCs w:val="20"/>
          <w:lang w:val="es-ES_tradnl"/>
        </w:rPr>
        <w:t>como “parte lesionada” en los términos del artícul</w:t>
      </w:r>
      <w:r>
        <w:rPr>
          <w:rFonts w:ascii="Verdana" w:hAnsi="Verdana"/>
          <w:sz w:val="20"/>
          <w:szCs w:val="20"/>
          <w:lang w:val="es-ES_tradnl"/>
        </w:rPr>
        <w:t xml:space="preserve">o 63.1 de </w:t>
      </w:r>
      <w:smartTag w:uri="urn:schemas-microsoft-com:office:smarttags" w:element="PersonName">
        <w:smartTagPr>
          <w:attr w:name="ProductID" w:val="la Convenci￳n Americana"/>
        </w:smartTagPr>
        <w:r>
          <w:rPr>
            <w:rFonts w:ascii="Verdana" w:hAnsi="Verdana"/>
            <w:sz w:val="20"/>
            <w:szCs w:val="20"/>
            <w:lang w:val="es-ES_tradnl"/>
          </w:rPr>
          <w:t>la Convención Americana</w:t>
        </w:r>
      </w:smartTag>
      <w:r>
        <w:rPr>
          <w:rFonts w:ascii="Verdana" w:hAnsi="Verdana"/>
          <w:sz w:val="20"/>
          <w:szCs w:val="20"/>
          <w:lang w:val="es-ES_tradnl"/>
        </w:rPr>
        <w:t xml:space="preserve">, </w:t>
      </w:r>
      <w:r>
        <w:rPr>
          <w:rFonts w:ascii="Verdana" w:hAnsi="Verdana"/>
          <w:sz w:val="20"/>
          <w:lang w:val="es-ES_tradnl"/>
        </w:rPr>
        <w:t xml:space="preserve">en el </w:t>
      </w:r>
      <w:r>
        <w:rPr>
          <w:rFonts w:ascii="Verdana" w:hAnsi="Verdana"/>
          <w:sz w:val="20"/>
          <w:szCs w:val="20"/>
          <w:lang w:val="es-ES_tradnl"/>
        </w:rPr>
        <w:t xml:space="preserve">párrafo 205 de </w:t>
      </w:r>
      <w:smartTag w:uri="urn:schemas-microsoft-com:office:smarttags" w:element="PersonName">
        <w:smartTagPr>
          <w:attr w:name="ProductID" w:val="la Sentencia"/>
        </w:smartTagPr>
        <w:r>
          <w:rPr>
            <w:rFonts w:ascii="Verdana" w:hAnsi="Verdana"/>
            <w:sz w:val="20"/>
            <w:szCs w:val="20"/>
            <w:lang w:val="es-ES_tradnl"/>
          </w:rPr>
          <w:t>la Sentencia</w:t>
        </w:r>
      </w:smartTag>
      <w:r>
        <w:rPr>
          <w:rFonts w:ascii="Verdana" w:hAnsi="Verdana"/>
          <w:sz w:val="20"/>
          <w:szCs w:val="20"/>
          <w:lang w:val="es-ES_tradnl"/>
        </w:rPr>
        <w:t xml:space="preserve"> la Corte estableció que </w:t>
      </w:r>
    </w:p>
    <w:p w:rsidR="00000000" w:rsidRDefault="00687F2E">
      <w:pPr>
        <w:ind w:right="-7"/>
        <w:jc w:val="both"/>
        <w:rPr>
          <w:rFonts w:ascii="Verdana" w:hAnsi="Verdana"/>
          <w:sz w:val="20"/>
          <w:szCs w:val="20"/>
          <w:lang w:val="es-ES_tradnl"/>
        </w:rPr>
      </w:pPr>
    </w:p>
    <w:p w:rsidR="00000000" w:rsidRDefault="00687F2E">
      <w:pPr>
        <w:ind w:left="720" w:right="705"/>
        <w:jc w:val="both"/>
        <w:rPr>
          <w:rFonts w:ascii="Verdana" w:hAnsi="Verdana"/>
          <w:sz w:val="16"/>
          <w:lang w:val="es-ES_tradnl"/>
        </w:rPr>
      </w:pPr>
      <w:r>
        <w:rPr>
          <w:rFonts w:ascii="Verdana" w:hAnsi="Verdana"/>
          <w:sz w:val="16"/>
          <w:lang w:val="es-ES_tradnl"/>
        </w:rPr>
        <w:t>[…] considera como “parte lesionada” a los familiares de</w:t>
      </w:r>
      <w:r>
        <w:rPr>
          <w:rFonts w:ascii="Verdana" w:hAnsi="Verdana"/>
          <w:sz w:val="16"/>
          <w:szCs w:val="22"/>
          <w:lang w:val="es-ES_tradnl"/>
        </w:rPr>
        <w:t xml:space="preserve"> las mencionadas personas</w:t>
      </w:r>
      <w:r>
        <w:rPr>
          <w:rFonts w:ascii="Verdana" w:hAnsi="Verdana"/>
          <w:sz w:val="16"/>
          <w:lang w:val="es-ES_tradnl"/>
        </w:rPr>
        <w:t>, en su propio carácter de víctimas de la violación a los derechos consagrados e</w:t>
      </w:r>
      <w:r>
        <w:rPr>
          <w:rFonts w:ascii="Verdana" w:hAnsi="Verdana"/>
          <w:sz w:val="16"/>
          <w:lang w:val="es-ES_tradnl"/>
        </w:rPr>
        <w:t>n los artículos</w:t>
      </w:r>
      <w:r>
        <w:rPr>
          <w:rFonts w:ascii="Verdana" w:hAnsi="Verdana"/>
          <w:b/>
          <w:sz w:val="16"/>
          <w:lang w:val="es-ES_tradnl"/>
        </w:rPr>
        <w:t xml:space="preserve"> </w:t>
      </w:r>
      <w:r>
        <w:rPr>
          <w:rFonts w:ascii="Verdana" w:hAnsi="Verdana"/>
          <w:sz w:val="16"/>
          <w:lang w:val="es-ES_tradnl"/>
        </w:rPr>
        <w:t xml:space="preserve">5.1, 8.1 y 25 de </w:t>
      </w:r>
      <w:smartTag w:uri="urn:schemas-microsoft-com:office:smarttags" w:element="PersonName">
        <w:smartTagPr>
          <w:attr w:name="ProductID" w:val="la Convenci￳n Americana"/>
        </w:smartTagPr>
        <w:r>
          <w:rPr>
            <w:rFonts w:ascii="Verdana" w:hAnsi="Verdana"/>
            <w:sz w:val="16"/>
            <w:lang w:val="es-ES_tradnl"/>
          </w:rPr>
          <w:t>la Convención Americana</w:t>
        </w:r>
      </w:smartTag>
      <w:r>
        <w:rPr>
          <w:rFonts w:ascii="Verdana" w:hAnsi="Verdana"/>
          <w:sz w:val="16"/>
          <w:lang w:val="es-ES_tradnl"/>
        </w:rPr>
        <w:t>, en relación con los artículos 1.1 y 2 de la misma (</w:t>
      </w:r>
      <w:r>
        <w:rPr>
          <w:rFonts w:ascii="Verdana" w:hAnsi="Verdana"/>
          <w:i/>
          <w:sz w:val="16"/>
          <w:lang w:val="es-ES_tradnl"/>
        </w:rPr>
        <w:t xml:space="preserve">supra </w:t>
      </w:r>
      <w:r>
        <w:rPr>
          <w:rFonts w:ascii="Verdana" w:hAnsi="Verdana"/>
          <w:sz w:val="16"/>
          <w:lang w:val="es-ES_tradnl"/>
        </w:rPr>
        <w:t>párrs. 129 y 161).</w:t>
      </w:r>
    </w:p>
    <w:p w:rsidR="00000000" w:rsidRDefault="00687F2E">
      <w:pPr>
        <w:jc w:val="both"/>
        <w:rPr>
          <w:rFonts w:ascii="Verdana" w:hAnsi="Verdana"/>
          <w:sz w:val="20"/>
          <w:lang w:val="es-ES_tradnl"/>
        </w:rPr>
      </w:pPr>
    </w:p>
    <w:p w:rsidR="00000000" w:rsidRDefault="00687F2E">
      <w:pPr>
        <w:jc w:val="both"/>
        <w:rPr>
          <w:rFonts w:ascii="Verdana" w:hAnsi="Verdana"/>
          <w:sz w:val="20"/>
          <w:lang w:val="es-ES_tradnl"/>
        </w:rPr>
      </w:pPr>
      <w:r>
        <w:rPr>
          <w:rFonts w:ascii="Verdana" w:hAnsi="Verdana"/>
          <w:sz w:val="20"/>
          <w:lang w:val="es-ES_tradnl"/>
        </w:rPr>
        <w:t>16.</w:t>
      </w:r>
      <w:r>
        <w:rPr>
          <w:rFonts w:ascii="Verdana" w:hAnsi="Verdana"/>
          <w:sz w:val="20"/>
          <w:lang w:val="es-ES_tradnl"/>
        </w:rPr>
        <w:tab/>
        <w:t>Asimismo, en relación con el pago del daño inmaterial a favor de los hermanos y hermanas de las víctimas desaparecida</w:t>
      </w:r>
      <w:r>
        <w:rPr>
          <w:rFonts w:ascii="Verdana" w:hAnsi="Verdana"/>
          <w:sz w:val="20"/>
          <w:lang w:val="es-ES_tradnl"/>
        </w:rPr>
        <w:t>s o ejecutadas, en el párrafo 219 ii) el Tribunal estimó necesario</w:t>
      </w:r>
    </w:p>
    <w:p w:rsidR="00000000" w:rsidRDefault="00687F2E">
      <w:pPr>
        <w:jc w:val="both"/>
        <w:rPr>
          <w:rFonts w:ascii="Verdana" w:hAnsi="Verdana"/>
          <w:sz w:val="20"/>
          <w:lang w:val="es-ES_tradnl"/>
        </w:rPr>
      </w:pPr>
    </w:p>
    <w:p w:rsidR="00000000" w:rsidRDefault="00687F2E">
      <w:pPr>
        <w:ind w:left="720" w:right="630"/>
        <w:jc w:val="both"/>
        <w:rPr>
          <w:rFonts w:ascii="Verdana" w:hAnsi="Verdana"/>
          <w:sz w:val="16"/>
          <w:lang w:val="es-ES_tradnl"/>
        </w:rPr>
      </w:pPr>
      <w:r>
        <w:rPr>
          <w:rFonts w:ascii="Verdana" w:hAnsi="Verdana"/>
          <w:sz w:val="16"/>
          <w:lang w:val="es-ES_tradnl"/>
        </w:rPr>
        <w:t xml:space="preserve">[…] ordenar en equidad […] el pago de las siguientes cantidades como compensación del daño inmaterial ocasionado por los sufrimientos de los familiares de las 10 víctimas desaparecidas o </w:t>
      </w:r>
      <w:r>
        <w:rPr>
          <w:rFonts w:ascii="Verdana" w:hAnsi="Verdana"/>
          <w:sz w:val="16"/>
          <w:lang w:val="es-ES_tradnl"/>
        </w:rPr>
        <w:lastRenderedPageBreak/>
        <w:t>e</w:t>
      </w:r>
      <w:r>
        <w:rPr>
          <w:rFonts w:ascii="Verdana" w:hAnsi="Verdana"/>
          <w:sz w:val="16"/>
          <w:lang w:val="es-ES_tradnl"/>
        </w:rPr>
        <w:t>jecutadas, quienes son a su vez víctimas de la violación del derecho a la integridad personal (</w:t>
      </w:r>
      <w:r>
        <w:rPr>
          <w:rFonts w:ascii="Verdana" w:hAnsi="Verdana"/>
          <w:i/>
          <w:sz w:val="16"/>
          <w:lang w:val="es-ES_tradnl"/>
        </w:rPr>
        <w:t>supra</w:t>
      </w:r>
      <w:r>
        <w:rPr>
          <w:rFonts w:ascii="Verdana" w:hAnsi="Verdana"/>
          <w:sz w:val="16"/>
          <w:lang w:val="es-ES_tradnl"/>
        </w:rPr>
        <w:t xml:space="preserve"> párr. 129): </w:t>
      </w:r>
    </w:p>
    <w:p w:rsidR="00000000" w:rsidRDefault="00687F2E">
      <w:pPr>
        <w:ind w:right="630"/>
        <w:jc w:val="both"/>
        <w:rPr>
          <w:rFonts w:ascii="Verdana" w:hAnsi="Verdana"/>
          <w:sz w:val="16"/>
          <w:lang w:val="es-ES_tradnl"/>
        </w:rPr>
      </w:pPr>
    </w:p>
    <w:p w:rsidR="00000000" w:rsidRDefault="00687F2E">
      <w:pPr>
        <w:ind w:left="720" w:right="630" w:firstLine="360"/>
        <w:jc w:val="both"/>
        <w:rPr>
          <w:rFonts w:ascii="Verdana" w:hAnsi="Verdana"/>
          <w:sz w:val="16"/>
          <w:lang w:val="es-ES_tradnl"/>
        </w:rPr>
      </w:pPr>
      <w:r>
        <w:rPr>
          <w:rFonts w:ascii="Verdana" w:hAnsi="Verdana"/>
          <w:sz w:val="16"/>
          <w:lang w:val="es-ES_tradnl"/>
        </w:rPr>
        <w:t>[…]</w:t>
      </w:r>
    </w:p>
    <w:p w:rsidR="00000000" w:rsidRDefault="00687F2E">
      <w:pPr>
        <w:numPr>
          <w:ilvl w:val="0"/>
          <w:numId w:val="1"/>
        </w:numPr>
        <w:tabs>
          <w:tab w:val="left" w:pos="1800"/>
        </w:tabs>
        <w:spacing w:before="120"/>
        <w:ind w:left="1800" w:right="630"/>
        <w:jc w:val="both"/>
        <w:rPr>
          <w:rFonts w:ascii="Verdana" w:hAnsi="Verdana"/>
          <w:sz w:val="16"/>
          <w:lang w:val="es-ES_tradnl"/>
        </w:rPr>
      </w:pPr>
      <w:r>
        <w:rPr>
          <w:rFonts w:ascii="Verdana" w:hAnsi="Verdana"/>
          <w:sz w:val="16"/>
          <w:lang w:val="es-ES_tradnl"/>
        </w:rPr>
        <w:t>US$ 20.000,00 (veinte mil dólares de los Estados Unidos de América) en el caso de cada hermana o hermano de las 10 víctimas desaparecidas</w:t>
      </w:r>
      <w:r>
        <w:rPr>
          <w:rFonts w:ascii="Verdana" w:hAnsi="Verdana"/>
          <w:sz w:val="16"/>
          <w:lang w:val="es-ES_tradnl"/>
        </w:rPr>
        <w:t xml:space="preserve"> o ejecutadas</w:t>
      </w:r>
      <w:r>
        <w:rPr>
          <w:rFonts w:ascii="Verdana" w:hAnsi="Verdana"/>
          <w:sz w:val="16"/>
        </w:rPr>
        <w:t>[.]</w:t>
      </w:r>
    </w:p>
    <w:p w:rsidR="00000000" w:rsidRDefault="00687F2E">
      <w:pPr>
        <w:jc w:val="both"/>
        <w:rPr>
          <w:rFonts w:ascii="Verdana" w:hAnsi="Verdana"/>
          <w:sz w:val="20"/>
          <w:lang w:val="es-ES_tradnl"/>
        </w:rPr>
      </w:pPr>
    </w:p>
    <w:p w:rsidR="00000000" w:rsidRDefault="00687F2E">
      <w:pPr>
        <w:jc w:val="both"/>
        <w:rPr>
          <w:rFonts w:ascii="Verdana" w:hAnsi="Verdana"/>
          <w:sz w:val="20"/>
          <w:lang w:val="es-ES_tradnl"/>
        </w:rPr>
      </w:pPr>
      <w:r>
        <w:rPr>
          <w:rFonts w:ascii="Verdana" w:hAnsi="Verdana"/>
          <w:sz w:val="20"/>
          <w:lang w:val="es-ES_tradnl"/>
        </w:rPr>
        <w:t>17.</w:t>
      </w:r>
      <w:r>
        <w:rPr>
          <w:rFonts w:ascii="Verdana" w:hAnsi="Verdana"/>
          <w:sz w:val="20"/>
          <w:lang w:val="es-ES_tradnl"/>
        </w:rPr>
        <w:tab/>
        <w:t xml:space="preserve">Consecuentemente, en el punto resolutivo décimo séptimo </w:t>
      </w:r>
      <w:smartTag w:uri="urn:schemas-microsoft-com:office:smarttags" w:element="PersonName">
        <w:smartTagPr>
          <w:attr w:name="ProductID" w:val="la Corte"/>
        </w:smartTagPr>
        <w:r>
          <w:rPr>
            <w:rFonts w:ascii="Verdana" w:hAnsi="Verdana"/>
            <w:sz w:val="20"/>
            <w:lang w:val="es-ES_tradnl"/>
          </w:rPr>
          <w:t>la Corte</w:t>
        </w:r>
      </w:smartTag>
      <w:r>
        <w:rPr>
          <w:rFonts w:ascii="Verdana" w:hAnsi="Verdana"/>
          <w:sz w:val="20"/>
          <w:lang w:val="es-ES_tradnl"/>
        </w:rPr>
        <w:t xml:space="preserve"> ordenó que </w:t>
      </w:r>
    </w:p>
    <w:p w:rsidR="00000000" w:rsidRDefault="00687F2E">
      <w:pPr>
        <w:jc w:val="both"/>
        <w:rPr>
          <w:rFonts w:ascii="Verdana" w:hAnsi="Verdana"/>
          <w:sz w:val="20"/>
          <w:lang w:val="es-ES_tradnl"/>
        </w:rPr>
      </w:pPr>
    </w:p>
    <w:p w:rsidR="00000000" w:rsidRDefault="00687F2E">
      <w:pPr>
        <w:ind w:left="720" w:right="630"/>
        <w:jc w:val="both"/>
        <w:rPr>
          <w:rFonts w:ascii="Verdana" w:hAnsi="Verdana"/>
          <w:color w:val="000000"/>
          <w:sz w:val="16"/>
          <w:lang w:val="es-ES_tradnl"/>
        </w:rPr>
      </w:pPr>
      <w:r>
        <w:rPr>
          <w:rFonts w:ascii="Verdana" w:hAnsi="Verdana"/>
          <w:color w:val="000000"/>
          <w:sz w:val="16"/>
          <w:lang w:val="es-ES_tradnl"/>
        </w:rPr>
        <w:t xml:space="preserve">[e]l Estado debe pagar a […] </w:t>
      </w:r>
      <w:r>
        <w:rPr>
          <w:rFonts w:ascii="Verdana" w:hAnsi="Verdana"/>
          <w:sz w:val="16"/>
          <w:lang w:val="es-ES_tradnl"/>
        </w:rPr>
        <w:t>Marcia Claudina Mariños Figueroa, […],</w:t>
      </w:r>
      <w:r>
        <w:rPr>
          <w:rFonts w:ascii="Verdana" w:hAnsi="Verdana"/>
          <w:color w:val="000000"/>
          <w:sz w:val="16"/>
          <w:lang w:val="es-ES_tradnl"/>
        </w:rPr>
        <w:t xml:space="preserve"> en el plazo de un año, las cantidades fijadas en el párrafo 220 de </w:t>
      </w:r>
      <w:smartTag w:uri="urn:schemas-microsoft-com:office:smarttags" w:element="PersonName">
        <w:smartTagPr>
          <w:attr w:name="ProductID" w:val="la Sentencia"/>
        </w:smartTagPr>
        <w:r>
          <w:rPr>
            <w:rFonts w:ascii="Verdana" w:hAnsi="Verdana"/>
            <w:color w:val="000000"/>
            <w:sz w:val="16"/>
            <w:lang w:val="es-ES_tradnl"/>
          </w:rPr>
          <w:t>la Sentencia</w:t>
        </w:r>
      </w:smartTag>
      <w:r>
        <w:rPr>
          <w:rFonts w:ascii="Verdana" w:hAnsi="Verdana"/>
          <w:color w:val="000000"/>
          <w:sz w:val="16"/>
          <w:lang w:val="es-ES_tradnl"/>
        </w:rPr>
        <w:t>, por con</w:t>
      </w:r>
      <w:r>
        <w:rPr>
          <w:rFonts w:ascii="Verdana" w:hAnsi="Verdana"/>
          <w:color w:val="000000"/>
          <w:sz w:val="16"/>
          <w:lang w:val="es-ES_tradnl"/>
        </w:rPr>
        <w:t>cepto de indemnización por daño inmaterial</w:t>
      </w:r>
      <w:r>
        <w:rPr>
          <w:rFonts w:ascii="Verdana" w:hAnsi="Verdana"/>
          <w:sz w:val="16"/>
          <w:lang w:val="es-ES_tradnl"/>
        </w:rPr>
        <w:t>,</w:t>
      </w:r>
      <w:r>
        <w:rPr>
          <w:rFonts w:ascii="Verdana" w:hAnsi="Verdana"/>
          <w:color w:val="000000"/>
          <w:sz w:val="16"/>
          <w:lang w:val="es-ES_tradnl"/>
        </w:rPr>
        <w:t xml:space="preserve"> en los términos de los párrafos 219, </w:t>
      </w:r>
      <w:smartTag w:uri="urn:schemas-microsoft-com:office:smarttags" w:element="metricconverter">
        <w:smartTagPr>
          <w:attr w:name="ProductID" w:val="246 a"/>
        </w:smartTagPr>
        <w:r>
          <w:rPr>
            <w:rFonts w:ascii="Verdana" w:hAnsi="Verdana"/>
            <w:color w:val="000000"/>
            <w:sz w:val="16"/>
            <w:lang w:val="es-ES_tradnl"/>
          </w:rPr>
          <w:t>246 a</w:t>
        </w:r>
      </w:smartTag>
      <w:r>
        <w:rPr>
          <w:rFonts w:ascii="Verdana" w:hAnsi="Verdana"/>
          <w:color w:val="000000"/>
          <w:sz w:val="16"/>
          <w:lang w:val="es-ES_tradnl"/>
        </w:rPr>
        <w:t xml:space="preserve"> 248 y </w:t>
      </w:r>
      <w:smartTag w:uri="urn:schemas-microsoft-com:office:smarttags" w:element="metricconverter">
        <w:smartTagPr>
          <w:attr w:name="ProductID" w:val="250 a"/>
        </w:smartTagPr>
        <w:r>
          <w:rPr>
            <w:rFonts w:ascii="Verdana" w:hAnsi="Verdana"/>
            <w:color w:val="000000"/>
            <w:sz w:val="16"/>
            <w:lang w:val="es-ES_tradnl"/>
          </w:rPr>
          <w:t>250 a</w:t>
        </w:r>
      </w:smartTag>
      <w:r>
        <w:rPr>
          <w:rFonts w:ascii="Verdana" w:hAnsi="Verdana"/>
          <w:color w:val="000000"/>
          <w:sz w:val="16"/>
          <w:lang w:val="es-ES_tradnl"/>
        </w:rPr>
        <w:t xml:space="preserve"> 252 de la misma.</w:t>
      </w:r>
    </w:p>
    <w:p w:rsidR="00000000" w:rsidRDefault="00687F2E">
      <w:pPr>
        <w:jc w:val="both"/>
        <w:rPr>
          <w:rFonts w:ascii="Verdana" w:hAnsi="Verdana"/>
          <w:sz w:val="16"/>
          <w:lang w:val="es-ES_tradnl"/>
        </w:rPr>
      </w:pPr>
    </w:p>
    <w:p w:rsidR="00000000" w:rsidRDefault="00687F2E">
      <w:pPr>
        <w:jc w:val="both"/>
        <w:rPr>
          <w:rFonts w:ascii="Verdana" w:hAnsi="Verdana"/>
          <w:sz w:val="20"/>
          <w:lang w:val="es-ES_tradnl"/>
        </w:rPr>
      </w:pPr>
      <w:r>
        <w:rPr>
          <w:rFonts w:ascii="Verdana" w:hAnsi="Verdana"/>
          <w:sz w:val="20"/>
          <w:lang w:val="es-ES_tradnl"/>
        </w:rPr>
        <w:t>18.</w:t>
      </w:r>
      <w:r>
        <w:rPr>
          <w:rFonts w:ascii="Verdana" w:hAnsi="Verdana"/>
          <w:sz w:val="20"/>
          <w:lang w:val="es-ES_tradnl"/>
        </w:rPr>
        <w:tab/>
        <w:t xml:space="preserve">Es decir, </w:t>
      </w:r>
      <w:smartTag w:uri="urn:schemas-microsoft-com:office:smarttags" w:element="PersonName">
        <w:smartTagPr>
          <w:attr w:name="ProductID" w:val="la Sentencia"/>
        </w:smartTagPr>
        <w:r>
          <w:rPr>
            <w:rFonts w:ascii="Verdana" w:hAnsi="Verdana"/>
            <w:sz w:val="20"/>
            <w:lang w:val="es-ES_tradnl"/>
          </w:rPr>
          <w:t>la Sentencia</w:t>
        </w:r>
      </w:smartTag>
      <w:r>
        <w:rPr>
          <w:rFonts w:ascii="Verdana" w:hAnsi="Verdana"/>
          <w:sz w:val="20"/>
          <w:lang w:val="es-ES_tradnl"/>
        </w:rPr>
        <w:t xml:space="preserve"> es clara al haber determinado la condición de víctima y parte lesionada de la señora Marcia Claudina Mariños Fig</w:t>
      </w:r>
      <w:r>
        <w:rPr>
          <w:rFonts w:ascii="Verdana" w:hAnsi="Verdana"/>
          <w:sz w:val="20"/>
          <w:lang w:val="es-ES_tradnl"/>
        </w:rPr>
        <w:t xml:space="preserve">ueroa. En tales términos, es igualmente claro que la omisión de su nombre en los párrafos 206 i) y  220 de </w:t>
      </w:r>
      <w:smartTag w:uri="urn:schemas-microsoft-com:office:smarttags" w:element="PersonName">
        <w:smartTagPr>
          <w:attr w:name="ProductID" w:val="la Sentencia"/>
        </w:smartTagPr>
        <w:r>
          <w:rPr>
            <w:rFonts w:ascii="Verdana" w:hAnsi="Verdana"/>
            <w:sz w:val="20"/>
            <w:lang w:val="es-ES_tradnl"/>
          </w:rPr>
          <w:t>la Sentencia</w:t>
        </w:r>
      </w:smartTag>
      <w:r>
        <w:rPr>
          <w:rFonts w:ascii="Verdana" w:hAnsi="Verdana"/>
          <w:sz w:val="20"/>
          <w:lang w:val="es-ES_tradnl"/>
        </w:rPr>
        <w:t xml:space="preserve"> es un error material que no afecta las determinaciones señaladas. Por ende, corresponde aclarar que la señora Marcia Claudina Mariños Fi</w:t>
      </w:r>
      <w:r>
        <w:rPr>
          <w:rFonts w:ascii="Verdana" w:hAnsi="Verdana"/>
          <w:sz w:val="20"/>
          <w:lang w:val="es-ES_tradnl"/>
        </w:rPr>
        <w:t>gueroa debe entenderse incluida en los párrafos antes mencionados, como beneficiaria de la indemnización fijada por concepto de daño inmaterial a favor de las hermanas o hermanos de las víctimas desaparecidas o ejecutadas (US$ 20.000,00 – veinte mil dólare</w:t>
      </w:r>
      <w:r>
        <w:rPr>
          <w:rFonts w:ascii="Verdana" w:hAnsi="Verdana"/>
          <w:sz w:val="20"/>
          <w:lang w:val="es-ES_tradnl"/>
        </w:rPr>
        <w:t xml:space="preserve">s de los Estados Unidos de América).  </w:t>
      </w:r>
    </w:p>
    <w:p w:rsidR="00000000" w:rsidRDefault="00687F2E">
      <w:pPr>
        <w:jc w:val="both"/>
        <w:rPr>
          <w:rFonts w:ascii="Verdana" w:hAnsi="Verdana"/>
          <w:sz w:val="20"/>
          <w:lang w:val="es-ES_tradnl"/>
        </w:rPr>
      </w:pPr>
    </w:p>
    <w:p w:rsidR="00000000" w:rsidRDefault="00687F2E">
      <w:pPr>
        <w:jc w:val="both"/>
        <w:rPr>
          <w:rFonts w:ascii="Verdana" w:hAnsi="Verdana"/>
          <w:sz w:val="20"/>
          <w:szCs w:val="20"/>
          <w:lang w:val="es-ES_tradnl"/>
        </w:rPr>
      </w:pPr>
      <w:r>
        <w:rPr>
          <w:rFonts w:ascii="Verdana" w:hAnsi="Verdana"/>
          <w:sz w:val="20"/>
          <w:lang w:val="es-ES_tradnl"/>
        </w:rPr>
        <w:t>19.</w:t>
      </w:r>
      <w:r>
        <w:rPr>
          <w:rFonts w:ascii="Verdana" w:hAnsi="Verdana"/>
          <w:sz w:val="20"/>
          <w:lang w:val="es-ES_tradnl"/>
        </w:rPr>
        <w:tab/>
      </w:r>
      <w:r>
        <w:rPr>
          <w:rFonts w:ascii="Verdana" w:hAnsi="Verdana"/>
          <w:sz w:val="20"/>
          <w:szCs w:val="20"/>
          <w:lang w:val="es-ES_tradnl"/>
        </w:rPr>
        <w:t xml:space="preserve">De conformidad con lo anteriormente señalado, el Tribunal ha aclarado el alcance de lo dispuesto en los párrafos </w:t>
      </w:r>
      <w:r>
        <w:rPr>
          <w:rFonts w:ascii="Verdana" w:hAnsi="Verdana"/>
          <w:sz w:val="20"/>
          <w:lang w:val="es-ES_tradnl"/>
        </w:rPr>
        <w:t>206 i) y 220, en relación con</w:t>
      </w:r>
      <w:r>
        <w:rPr>
          <w:rFonts w:ascii="Verdana" w:hAnsi="Verdana"/>
          <w:sz w:val="20"/>
          <w:szCs w:val="20"/>
          <w:lang w:val="es-ES_tradnl"/>
        </w:rPr>
        <w:t xml:space="preserve"> los párrafos 80.106 y 129 y los puntos resolutivos quinto y décimo sé</w:t>
      </w:r>
      <w:r>
        <w:rPr>
          <w:rFonts w:ascii="Verdana" w:hAnsi="Verdana"/>
          <w:sz w:val="20"/>
          <w:szCs w:val="20"/>
          <w:lang w:val="es-ES_tradnl"/>
        </w:rPr>
        <w:t>ptimo, de su Sentencia de 29 de noviembre de 2006 sobre fondo, reparaciones y costas.</w:t>
      </w:r>
    </w:p>
    <w:p w:rsidR="00000000" w:rsidRDefault="00687F2E">
      <w:pPr>
        <w:jc w:val="both"/>
        <w:rPr>
          <w:rFonts w:ascii="Verdana" w:hAnsi="Verdana"/>
          <w:sz w:val="20"/>
          <w:szCs w:val="20"/>
          <w:lang w:val="es-ES_tradnl"/>
        </w:rPr>
      </w:pPr>
    </w:p>
    <w:p w:rsidR="00000000" w:rsidRDefault="00687F2E">
      <w:pPr>
        <w:jc w:val="both"/>
        <w:rPr>
          <w:rFonts w:ascii="Verdana" w:hAnsi="Verdana"/>
          <w:sz w:val="20"/>
          <w:szCs w:val="20"/>
          <w:lang w:val="es-ES_tradnl"/>
        </w:rPr>
      </w:pPr>
    </w:p>
    <w:p w:rsidR="00000000" w:rsidRDefault="00687F2E">
      <w:pPr>
        <w:jc w:val="center"/>
        <w:rPr>
          <w:rFonts w:ascii="Verdana" w:hAnsi="Verdana"/>
          <w:i/>
          <w:sz w:val="20"/>
          <w:lang w:val="es-ES_tradnl"/>
        </w:rPr>
      </w:pPr>
    </w:p>
    <w:p w:rsidR="00000000" w:rsidRDefault="00687F2E">
      <w:pPr>
        <w:jc w:val="center"/>
        <w:rPr>
          <w:rFonts w:ascii="Verdana" w:hAnsi="Verdana"/>
          <w:b/>
          <w:smallCaps/>
          <w:sz w:val="20"/>
          <w:szCs w:val="20"/>
          <w:lang w:val="es-ES_tradnl"/>
        </w:rPr>
      </w:pPr>
      <w:r>
        <w:rPr>
          <w:rFonts w:ascii="Verdana" w:hAnsi="Verdana"/>
          <w:b/>
          <w:smallCaps/>
          <w:sz w:val="20"/>
          <w:szCs w:val="20"/>
          <w:lang w:val="es-ES_tradnl"/>
        </w:rPr>
        <w:t>V</w:t>
      </w:r>
    </w:p>
    <w:p w:rsidR="00000000" w:rsidRDefault="00687F2E">
      <w:pPr>
        <w:jc w:val="center"/>
        <w:rPr>
          <w:rFonts w:ascii="Verdana" w:hAnsi="Verdana"/>
          <w:b/>
          <w:smallCaps/>
          <w:sz w:val="20"/>
          <w:szCs w:val="20"/>
          <w:lang w:val="es-ES_tradnl"/>
        </w:rPr>
      </w:pPr>
      <w:r>
        <w:rPr>
          <w:rFonts w:ascii="Verdana" w:hAnsi="Verdana"/>
          <w:b/>
          <w:smallCaps/>
          <w:sz w:val="20"/>
          <w:szCs w:val="20"/>
          <w:lang w:val="es-ES_tradnl"/>
        </w:rPr>
        <w:t xml:space="preserve">Respecto de los apellidos de </w:t>
      </w:r>
      <w:smartTag w:uri="urn:schemas-microsoft-com:office:smarttags" w:element="PersonName">
        <w:smartTagPr>
          <w:attr w:name="ProductID" w:val="LA SE￑ORA CARMEN"/>
        </w:smartTagPr>
        <w:r>
          <w:rPr>
            <w:rFonts w:ascii="Verdana" w:hAnsi="Verdana"/>
            <w:b/>
            <w:smallCaps/>
            <w:sz w:val="20"/>
            <w:szCs w:val="20"/>
            <w:lang w:val="es-ES_tradnl"/>
          </w:rPr>
          <w:t>la señora Carmen</w:t>
        </w:r>
      </w:smartTag>
      <w:r>
        <w:rPr>
          <w:rFonts w:ascii="Verdana" w:hAnsi="Verdana"/>
          <w:b/>
          <w:smallCaps/>
          <w:sz w:val="20"/>
          <w:szCs w:val="20"/>
          <w:lang w:val="es-ES_tradnl"/>
        </w:rPr>
        <w:t xml:space="preserve"> Oyague Velazco</w:t>
      </w:r>
    </w:p>
    <w:p w:rsidR="00000000" w:rsidRDefault="00687F2E">
      <w:pPr>
        <w:ind w:left="360"/>
        <w:jc w:val="both"/>
        <w:rPr>
          <w:rFonts w:ascii="Verdana" w:hAnsi="Verdana"/>
          <w:sz w:val="20"/>
          <w:lang w:val="es-ES_tradnl"/>
        </w:rPr>
      </w:pPr>
    </w:p>
    <w:p w:rsidR="00000000" w:rsidRDefault="00687F2E">
      <w:pPr>
        <w:ind w:left="360"/>
        <w:jc w:val="both"/>
        <w:rPr>
          <w:rFonts w:ascii="Verdana" w:hAnsi="Verdana"/>
          <w:sz w:val="20"/>
          <w:lang w:val="es-ES_tradnl"/>
        </w:rPr>
      </w:pPr>
    </w:p>
    <w:p w:rsidR="00000000" w:rsidRDefault="00687F2E">
      <w:pPr>
        <w:jc w:val="both"/>
        <w:rPr>
          <w:rFonts w:ascii="Verdana" w:hAnsi="Verdana"/>
          <w:sz w:val="20"/>
          <w:lang w:val="es-ES_tradnl"/>
        </w:rPr>
      </w:pPr>
      <w:r>
        <w:rPr>
          <w:rFonts w:ascii="Verdana" w:hAnsi="Verdana"/>
          <w:sz w:val="20"/>
          <w:lang w:val="es-ES_tradnl"/>
        </w:rPr>
        <w:t>20.</w:t>
      </w:r>
      <w:r>
        <w:rPr>
          <w:rFonts w:ascii="Verdana" w:hAnsi="Verdana"/>
          <w:sz w:val="20"/>
          <w:lang w:val="es-ES_tradnl"/>
        </w:rPr>
        <w:tab/>
        <w:t>Los representantes manifestaron que, si bien inicialmente en su escrito de solicitudes y argumento</w:t>
      </w:r>
      <w:r>
        <w:rPr>
          <w:rFonts w:ascii="Verdana" w:hAnsi="Verdana"/>
          <w:sz w:val="20"/>
          <w:lang w:val="es-ES_tradnl"/>
        </w:rPr>
        <w:t xml:space="preserve">s señalaron que “la tía de Dora Oyague Fierro era la señora Carmen Oyague Velasco”, en un escrito posterior en el cual aportaron documentación como prueba para mejor resolver solicitada por </w:t>
      </w:r>
      <w:smartTag w:uri="urn:schemas-microsoft-com:office:smarttags" w:element="PersonName">
        <w:smartTagPr>
          <w:attr w:name="ProductID" w:val="la Corte"/>
        </w:smartTagPr>
        <w:r>
          <w:rPr>
            <w:rFonts w:ascii="Verdana" w:hAnsi="Verdana"/>
            <w:sz w:val="20"/>
            <w:lang w:val="es-ES_tradnl"/>
          </w:rPr>
          <w:t>la Corte</w:t>
        </w:r>
      </w:smartTag>
      <w:r>
        <w:rPr>
          <w:rFonts w:ascii="Verdana" w:hAnsi="Verdana"/>
          <w:sz w:val="20"/>
          <w:lang w:val="es-ES_tradnl"/>
        </w:rPr>
        <w:t>, mencionaron que el nombre completo de esa persona era Ca</w:t>
      </w:r>
      <w:r>
        <w:rPr>
          <w:rFonts w:ascii="Verdana" w:hAnsi="Verdana"/>
          <w:sz w:val="20"/>
          <w:lang w:val="es-ES_tradnl"/>
        </w:rPr>
        <w:t xml:space="preserve">rmen Antonia Oyague Velazco de Huaman; que </w:t>
      </w:r>
      <w:smartTag w:uri="urn:schemas-microsoft-com:office:smarttags" w:element="PersonName">
        <w:smartTagPr>
          <w:attr w:name="ProductID" w:val="la Corte"/>
        </w:smartTagPr>
        <w:r>
          <w:rPr>
            <w:rFonts w:ascii="Verdana" w:hAnsi="Verdana"/>
            <w:sz w:val="20"/>
            <w:lang w:val="es-ES_tradnl"/>
          </w:rPr>
          <w:t>la Corte</w:t>
        </w:r>
      </w:smartTag>
      <w:r>
        <w:rPr>
          <w:rFonts w:ascii="Verdana" w:hAnsi="Verdana"/>
          <w:sz w:val="20"/>
          <w:lang w:val="es-ES_tradnl"/>
        </w:rPr>
        <w:t xml:space="preserve"> en su Sentencia en todas las ocasiones en que se refiere a ella la menciona como Carmen Oyague Velazco; que aunque “es correcto y corresponde a su identidad, su nombre completo comprende también su apelli</w:t>
      </w:r>
      <w:r>
        <w:rPr>
          <w:rFonts w:ascii="Verdana" w:hAnsi="Verdana"/>
          <w:sz w:val="20"/>
          <w:lang w:val="es-ES_tradnl"/>
        </w:rPr>
        <w:t xml:space="preserve">do de casada (de Huaman), que es el que aparece en su documento nacional de identidad y en la declaración jurada aportada en el proceso ante </w:t>
      </w:r>
      <w:smartTag w:uri="urn:schemas-microsoft-com:office:smarttags" w:element="PersonName">
        <w:smartTagPr>
          <w:attr w:name="ProductID" w:val="la Corte"/>
        </w:smartTagPr>
        <w:r>
          <w:rPr>
            <w:rFonts w:ascii="Verdana" w:hAnsi="Verdana"/>
            <w:sz w:val="20"/>
            <w:lang w:val="es-ES_tradnl"/>
          </w:rPr>
          <w:t>la Corte</w:t>
        </w:r>
      </w:smartTag>
      <w:r>
        <w:rPr>
          <w:rFonts w:ascii="Verdana" w:hAnsi="Verdana"/>
          <w:sz w:val="20"/>
          <w:lang w:val="es-ES_tradnl"/>
        </w:rPr>
        <w:t xml:space="preserve">”. Consideran importante que </w:t>
      </w:r>
      <w:smartTag w:uri="urn:schemas-microsoft-com:office:smarttags" w:element="PersonName">
        <w:smartTagPr>
          <w:attr w:name="ProductID" w:val="la Corte"/>
        </w:smartTagPr>
        <w:r>
          <w:rPr>
            <w:rFonts w:ascii="Verdana" w:hAnsi="Verdana"/>
            <w:sz w:val="20"/>
            <w:lang w:val="es-ES_tradnl"/>
          </w:rPr>
          <w:t>la Corte</w:t>
        </w:r>
      </w:smartTag>
      <w:r>
        <w:rPr>
          <w:rFonts w:ascii="Verdana" w:hAnsi="Verdana"/>
          <w:sz w:val="20"/>
          <w:lang w:val="es-ES_tradnl"/>
        </w:rPr>
        <w:t xml:space="preserve"> aclare este punto y agregue el apellido de casada de dicha señora, ya</w:t>
      </w:r>
      <w:r>
        <w:rPr>
          <w:rFonts w:ascii="Verdana" w:hAnsi="Verdana"/>
          <w:sz w:val="20"/>
          <w:lang w:val="es-ES_tradnl"/>
        </w:rPr>
        <w:t xml:space="preserve"> que es relevante a efectos del cumplimiento por parte del Estado de las medidas de reparación dispuestas en </w:t>
      </w:r>
      <w:smartTag w:uri="urn:schemas-microsoft-com:office:smarttags" w:element="PersonName">
        <w:smartTagPr>
          <w:attr w:name="ProductID" w:val="la Sentencia"/>
        </w:smartTagPr>
        <w:r>
          <w:rPr>
            <w:rFonts w:ascii="Verdana" w:hAnsi="Verdana"/>
            <w:sz w:val="20"/>
            <w:lang w:val="es-ES_tradnl"/>
          </w:rPr>
          <w:t>la Sentencia</w:t>
        </w:r>
      </w:smartTag>
      <w:r>
        <w:rPr>
          <w:rFonts w:ascii="Verdana" w:hAnsi="Verdana"/>
          <w:sz w:val="20"/>
          <w:lang w:val="es-ES_tradnl"/>
        </w:rPr>
        <w:t>, pues el error advertido podría dificultar el pago debido a aquélla por concepto de daño inmaterial, ya que los funcionarios estatales</w:t>
      </w:r>
      <w:r>
        <w:rPr>
          <w:rFonts w:ascii="Verdana" w:hAnsi="Verdana"/>
          <w:sz w:val="20"/>
          <w:lang w:val="es-ES_tradnl"/>
        </w:rPr>
        <w:t xml:space="preserve"> verifican con rigurosidad la coincidencia con el nombre completo que aparece en el documento nacional de identidad, especialmente cuando se trata de mujeres casadas.  </w:t>
      </w:r>
    </w:p>
    <w:p w:rsidR="00000000" w:rsidRDefault="00687F2E">
      <w:pPr>
        <w:jc w:val="both"/>
        <w:rPr>
          <w:rFonts w:ascii="Verdana" w:hAnsi="Verdana"/>
          <w:sz w:val="20"/>
          <w:lang w:val="es-ES_tradnl"/>
        </w:rPr>
      </w:pPr>
    </w:p>
    <w:p w:rsidR="00000000" w:rsidRDefault="00687F2E">
      <w:pPr>
        <w:jc w:val="both"/>
        <w:rPr>
          <w:rFonts w:ascii="Verdana" w:hAnsi="Verdana"/>
          <w:sz w:val="20"/>
          <w:lang w:val="es-ES_tradnl"/>
        </w:rPr>
      </w:pPr>
      <w:r>
        <w:rPr>
          <w:rFonts w:ascii="Verdana" w:hAnsi="Verdana"/>
          <w:sz w:val="20"/>
          <w:szCs w:val="20"/>
          <w:lang w:val="es-ES_tradnl"/>
        </w:rPr>
        <w:t>21.</w:t>
      </w:r>
      <w:r>
        <w:rPr>
          <w:rFonts w:ascii="Verdana" w:hAnsi="Verdana"/>
          <w:sz w:val="20"/>
          <w:szCs w:val="20"/>
          <w:lang w:val="es-ES_tradnl"/>
        </w:rPr>
        <w:tab/>
        <w:t xml:space="preserve">El Estado expresó que “de acuerdo al Registro Nacional de Identificación y Estado </w:t>
      </w:r>
      <w:r>
        <w:rPr>
          <w:rFonts w:ascii="Verdana" w:hAnsi="Verdana"/>
          <w:sz w:val="20"/>
          <w:szCs w:val="20"/>
          <w:lang w:val="es-ES_tradnl"/>
        </w:rPr>
        <w:t xml:space="preserve">Civil (RENIEC), la señora </w:t>
      </w:r>
      <w:r>
        <w:rPr>
          <w:rFonts w:ascii="Verdana" w:hAnsi="Verdana"/>
          <w:sz w:val="20"/>
          <w:lang w:val="es-ES_tradnl"/>
        </w:rPr>
        <w:t xml:space="preserve">Carmen Antonia Oyague Velazco de Huamán […] figura registrada en </w:t>
      </w:r>
      <w:smartTag w:uri="urn:schemas-microsoft-com:office:smarttags" w:element="PersonName">
        <w:smartTagPr>
          <w:attr w:name="ProductID" w:val="la Base"/>
        </w:smartTagPr>
        <w:r>
          <w:rPr>
            <w:rFonts w:ascii="Verdana" w:hAnsi="Verdana"/>
            <w:sz w:val="20"/>
            <w:lang w:val="es-ES_tradnl"/>
          </w:rPr>
          <w:t>la Base</w:t>
        </w:r>
      </w:smartTag>
      <w:r>
        <w:rPr>
          <w:rFonts w:ascii="Verdana" w:hAnsi="Verdana"/>
          <w:sz w:val="20"/>
          <w:lang w:val="es-ES_tradnl"/>
        </w:rPr>
        <w:t xml:space="preserve"> de Datos Ciudadanos de dicho organismo” y que “no encuentra razones jurídicas para oponerse al reconocimiento de [dicha señora] como familiar</w:t>
      </w:r>
      <w:r>
        <w:rPr>
          <w:rFonts w:ascii="Verdana" w:hAnsi="Verdana"/>
          <w:sz w:val="20"/>
        </w:rPr>
        <w:t>[…]</w:t>
      </w:r>
      <w:r>
        <w:rPr>
          <w:rFonts w:ascii="Verdana" w:hAnsi="Verdana"/>
          <w:sz w:val="20"/>
          <w:lang w:val="es-ES_tradnl"/>
        </w:rPr>
        <w:t xml:space="preserve"> de la</w:t>
      </w:r>
      <w:r>
        <w:rPr>
          <w:rFonts w:ascii="Verdana" w:hAnsi="Verdana"/>
          <w:sz w:val="20"/>
        </w:rPr>
        <w:t>[…]</w:t>
      </w:r>
      <w:r>
        <w:rPr>
          <w:rFonts w:ascii="Verdana" w:hAnsi="Verdana"/>
          <w:sz w:val="20"/>
          <w:lang w:val="es-ES_tradnl"/>
        </w:rPr>
        <w:t xml:space="preserve"> víc</w:t>
      </w:r>
      <w:r>
        <w:rPr>
          <w:rFonts w:ascii="Verdana" w:hAnsi="Verdana"/>
          <w:sz w:val="20"/>
          <w:lang w:val="es-ES_tradnl"/>
        </w:rPr>
        <w:t>tima</w:t>
      </w:r>
      <w:r>
        <w:rPr>
          <w:rFonts w:ascii="Verdana" w:hAnsi="Verdana"/>
          <w:sz w:val="20"/>
        </w:rPr>
        <w:t>[…]</w:t>
      </w:r>
      <w:r>
        <w:rPr>
          <w:rFonts w:ascii="Verdana" w:hAnsi="Verdana"/>
          <w:sz w:val="20"/>
          <w:lang w:val="es-ES_tradnl"/>
        </w:rPr>
        <w:t xml:space="preserve"> por parte de la […] Corte”. Asimismo, el Estado aportó copias simples de hojas de datos del </w:t>
      </w:r>
      <w:r>
        <w:rPr>
          <w:rFonts w:ascii="Verdana" w:hAnsi="Verdana"/>
          <w:sz w:val="20"/>
          <w:lang w:val="es-ES_tradnl"/>
        </w:rPr>
        <w:lastRenderedPageBreak/>
        <w:t>ciudadano del RENIEC de esta persona.</w:t>
      </w:r>
    </w:p>
    <w:p w:rsidR="00000000" w:rsidRDefault="00687F2E">
      <w:pPr>
        <w:jc w:val="both"/>
        <w:rPr>
          <w:rFonts w:ascii="Verdana" w:hAnsi="Verdana"/>
          <w:sz w:val="20"/>
          <w:lang w:val="es-ES_tradnl"/>
        </w:rPr>
      </w:pPr>
    </w:p>
    <w:p w:rsidR="00000000" w:rsidRDefault="00687F2E">
      <w:pPr>
        <w:jc w:val="both"/>
        <w:rPr>
          <w:rFonts w:ascii="Verdana" w:hAnsi="Verdana"/>
          <w:sz w:val="20"/>
          <w:lang w:val="es-ES_tradnl"/>
        </w:rPr>
      </w:pPr>
      <w:r>
        <w:rPr>
          <w:rFonts w:ascii="Verdana" w:hAnsi="Verdana"/>
          <w:sz w:val="20"/>
          <w:lang w:val="es-ES_tradnl"/>
        </w:rPr>
        <w:t>22.</w:t>
      </w:r>
      <w:r>
        <w:rPr>
          <w:rFonts w:ascii="Verdana" w:hAnsi="Verdana"/>
          <w:sz w:val="20"/>
          <w:lang w:val="es-ES_tradnl"/>
        </w:rPr>
        <w:tab/>
      </w:r>
      <w:smartTag w:uri="urn:schemas-microsoft-com:office:smarttags" w:element="PersonName">
        <w:smartTagPr>
          <w:attr w:name="ProductID" w:val="la Comisi￳n"/>
        </w:smartTagPr>
        <w:r>
          <w:rPr>
            <w:rFonts w:ascii="Verdana" w:hAnsi="Verdana"/>
            <w:sz w:val="20"/>
            <w:lang w:val="es-ES_tradnl"/>
          </w:rPr>
          <w:t>La Comisión</w:t>
        </w:r>
      </w:smartTag>
      <w:r>
        <w:rPr>
          <w:rFonts w:ascii="Verdana" w:hAnsi="Verdana"/>
          <w:sz w:val="20"/>
          <w:lang w:val="es-ES_tradnl"/>
        </w:rPr>
        <w:t xml:space="preserve"> consideró que “aún cuando son claros el alcance y el contenido de lo dispuesto en la </w:t>
      </w:r>
      <w:r>
        <w:rPr>
          <w:rFonts w:ascii="Verdana" w:hAnsi="Verdana"/>
          <w:sz w:val="20"/>
        </w:rPr>
        <w:t>[</w:t>
      </w:r>
      <w:r>
        <w:rPr>
          <w:rFonts w:ascii="Verdana" w:hAnsi="Verdana"/>
          <w:sz w:val="20"/>
          <w:lang w:val="es-ES_tradnl"/>
        </w:rPr>
        <w:t>S]entencia resp</w:t>
      </w:r>
      <w:r>
        <w:rPr>
          <w:rFonts w:ascii="Verdana" w:hAnsi="Verdana"/>
          <w:sz w:val="20"/>
          <w:lang w:val="es-ES_tradnl"/>
        </w:rPr>
        <w:t xml:space="preserve">ecto de la señora Carmen Oyague Velazco, es útil precisar el apellido de la misma del modo solicitado para disipar cualquier duda con respecto al pago de la indemnización decretada por </w:t>
      </w:r>
      <w:smartTag w:uri="urn:schemas-microsoft-com:office:smarttags" w:element="PersonName">
        <w:smartTagPr>
          <w:attr w:name="ProductID" w:val="la Corte"/>
        </w:smartTagPr>
        <w:r>
          <w:rPr>
            <w:rFonts w:ascii="Verdana" w:hAnsi="Verdana"/>
            <w:sz w:val="20"/>
            <w:lang w:val="es-ES_tradnl"/>
          </w:rPr>
          <w:t>la Corte</w:t>
        </w:r>
      </w:smartTag>
      <w:r>
        <w:rPr>
          <w:rFonts w:ascii="Verdana" w:hAnsi="Verdana"/>
          <w:sz w:val="20"/>
          <w:lang w:val="es-ES_tradnl"/>
        </w:rPr>
        <w:t xml:space="preserve"> [y que d]icha precisión puede realizarse a través de una corre</w:t>
      </w:r>
      <w:r>
        <w:rPr>
          <w:rFonts w:ascii="Verdana" w:hAnsi="Verdana"/>
          <w:sz w:val="20"/>
          <w:lang w:val="es-ES_tradnl"/>
        </w:rPr>
        <w:t xml:space="preserve">cción material de la </w:t>
      </w:r>
      <w:r>
        <w:rPr>
          <w:rFonts w:ascii="Verdana" w:hAnsi="Verdana"/>
          <w:sz w:val="20"/>
        </w:rPr>
        <w:t>[</w:t>
      </w:r>
      <w:r>
        <w:rPr>
          <w:rFonts w:ascii="Verdana" w:hAnsi="Verdana"/>
          <w:sz w:val="20"/>
          <w:lang w:val="es-ES_tradnl"/>
        </w:rPr>
        <w:t>S]entencia, o valiéndose del criterio de utilidad que el Tribunal ha utilizado en otras oportunidades”.</w:t>
      </w:r>
    </w:p>
    <w:p w:rsidR="00000000" w:rsidRDefault="00687F2E">
      <w:pPr>
        <w:jc w:val="both"/>
        <w:rPr>
          <w:rFonts w:ascii="Verdana" w:hAnsi="Verdana"/>
          <w:sz w:val="20"/>
          <w:lang w:val="es-ES_tradnl"/>
        </w:rPr>
      </w:pPr>
    </w:p>
    <w:p w:rsidR="00000000" w:rsidRDefault="00687F2E">
      <w:pPr>
        <w:jc w:val="both"/>
        <w:rPr>
          <w:rFonts w:ascii="Verdana" w:hAnsi="Verdana"/>
          <w:sz w:val="20"/>
          <w:lang w:val="es-ES_tradnl"/>
        </w:rPr>
      </w:pPr>
      <w:r>
        <w:rPr>
          <w:rFonts w:ascii="Verdana" w:hAnsi="Verdana"/>
          <w:sz w:val="20"/>
          <w:lang w:val="es-ES_tradnl"/>
        </w:rPr>
        <w:t>23.</w:t>
      </w:r>
      <w:r>
        <w:rPr>
          <w:rFonts w:ascii="Verdana" w:hAnsi="Verdana"/>
          <w:sz w:val="20"/>
          <w:lang w:val="es-ES_tradnl"/>
        </w:rPr>
        <w:tab/>
        <w:t xml:space="preserve">Respecto de lo planteado por los representantes, si bien no corresponde propiamente a un supuesto de interpretación de </w:t>
      </w:r>
      <w:smartTag w:uri="urn:schemas-microsoft-com:office:smarttags" w:element="PersonName">
        <w:smartTagPr>
          <w:attr w:name="ProductID" w:val="la Sentencia"/>
        </w:smartTagPr>
        <w:r>
          <w:rPr>
            <w:rFonts w:ascii="Verdana" w:hAnsi="Verdana"/>
            <w:sz w:val="20"/>
            <w:lang w:val="es-ES_tradnl"/>
          </w:rPr>
          <w:t>la Sen</w:t>
        </w:r>
        <w:r>
          <w:rPr>
            <w:rFonts w:ascii="Verdana" w:hAnsi="Verdana"/>
            <w:sz w:val="20"/>
            <w:lang w:val="es-ES_tradnl"/>
          </w:rPr>
          <w:t>tencia</w:t>
        </w:r>
      </w:smartTag>
      <w:r>
        <w:rPr>
          <w:rFonts w:ascii="Verdana" w:hAnsi="Verdana"/>
          <w:sz w:val="20"/>
          <w:lang w:val="es-ES_tradnl"/>
        </w:rPr>
        <w:t xml:space="preserve">, </w:t>
      </w:r>
      <w:smartTag w:uri="urn:schemas-microsoft-com:office:smarttags" w:element="PersonName">
        <w:smartTagPr>
          <w:attr w:name="ProductID" w:val="la Corte"/>
        </w:smartTagPr>
        <w:r>
          <w:rPr>
            <w:rFonts w:ascii="Verdana" w:hAnsi="Verdana"/>
            <w:sz w:val="20"/>
            <w:lang w:val="es-ES_tradnl"/>
          </w:rPr>
          <w:t>la Corte</w:t>
        </w:r>
      </w:smartTag>
      <w:r>
        <w:rPr>
          <w:rFonts w:ascii="Verdana" w:hAnsi="Verdana"/>
          <w:sz w:val="20"/>
          <w:lang w:val="es-ES_tradnl"/>
        </w:rPr>
        <w:t xml:space="preserve"> ha constatado en la documentación aportada, y el propio Estado así lo ha manifestado, que el nombre completo de la referida señora es en efecto Carmen Antonia Oyague Velazco de Huaman, el cual comprende su apellido de casada. Por ende, cor</w:t>
      </w:r>
      <w:r>
        <w:rPr>
          <w:rFonts w:ascii="Verdana" w:hAnsi="Verdana"/>
          <w:sz w:val="20"/>
          <w:lang w:val="es-ES_tradnl"/>
        </w:rPr>
        <w:t xml:space="preserve">responde solicitar al Estado que tome en cuenta esta aclaración para los efectos del cumplimiento de </w:t>
      </w:r>
      <w:smartTag w:uri="urn:schemas-microsoft-com:office:smarttags" w:element="PersonName">
        <w:smartTagPr>
          <w:attr w:name="ProductID" w:val="la Sentencia."/>
        </w:smartTagPr>
        <w:r>
          <w:rPr>
            <w:rFonts w:ascii="Verdana" w:hAnsi="Verdana"/>
            <w:sz w:val="20"/>
            <w:lang w:val="es-ES_tradnl"/>
          </w:rPr>
          <w:t>la Sentencia.</w:t>
        </w:r>
      </w:smartTag>
    </w:p>
    <w:p w:rsidR="00000000" w:rsidRDefault="00687F2E">
      <w:pPr>
        <w:jc w:val="both"/>
        <w:rPr>
          <w:rFonts w:ascii="Verdana" w:hAnsi="Verdana"/>
          <w:sz w:val="20"/>
          <w:lang w:val="es-ES_tradnl"/>
        </w:rPr>
      </w:pPr>
      <w:r>
        <w:rPr>
          <w:rFonts w:ascii="Verdana" w:hAnsi="Verdana"/>
          <w:sz w:val="20"/>
          <w:lang w:val="es-ES_tradnl"/>
        </w:rPr>
        <w:t xml:space="preserve"> </w:t>
      </w:r>
    </w:p>
    <w:p w:rsidR="00000000" w:rsidRDefault="00687F2E">
      <w:pPr>
        <w:jc w:val="both"/>
        <w:rPr>
          <w:rFonts w:ascii="Verdana" w:hAnsi="Verdana"/>
          <w:sz w:val="20"/>
          <w:lang w:val="es-ES_tradnl"/>
        </w:rPr>
      </w:pPr>
    </w:p>
    <w:p w:rsidR="00000000" w:rsidRDefault="00687F2E">
      <w:pPr>
        <w:ind w:left="720"/>
        <w:jc w:val="both"/>
        <w:rPr>
          <w:rFonts w:ascii="Verdana" w:hAnsi="Verdana"/>
          <w:i/>
          <w:sz w:val="20"/>
          <w:lang w:val="es-ES_tradnl"/>
        </w:rPr>
      </w:pPr>
    </w:p>
    <w:p w:rsidR="00000000" w:rsidRDefault="00687F2E">
      <w:pPr>
        <w:jc w:val="center"/>
        <w:rPr>
          <w:rFonts w:ascii="Verdana" w:hAnsi="Verdana"/>
          <w:b/>
          <w:smallCaps/>
          <w:sz w:val="20"/>
          <w:szCs w:val="20"/>
          <w:lang w:val="es-ES_tradnl"/>
        </w:rPr>
      </w:pPr>
      <w:r>
        <w:rPr>
          <w:rFonts w:ascii="Verdana" w:hAnsi="Verdana"/>
          <w:b/>
          <w:smallCaps/>
          <w:sz w:val="20"/>
          <w:szCs w:val="20"/>
          <w:lang w:val="es-ES_tradnl"/>
        </w:rPr>
        <w:t>VI</w:t>
      </w:r>
      <w:r>
        <w:rPr>
          <w:rFonts w:ascii="Verdana" w:hAnsi="Verdana"/>
          <w:b/>
          <w:smallCaps/>
          <w:sz w:val="20"/>
          <w:szCs w:val="20"/>
          <w:lang w:val="es-ES_tradnl"/>
        </w:rPr>
        <w:tab/>
      </w:r>
    </w:p>
    <w:p w:rsidR="00000000" w:rsidRDefault="00687F2E">
      <w:pPr>
        <w:jc w:val="center"/>
        <w:rPr>
          <w:rFonts w:ascii="Verdana" w:hAnsi="Verdana"/>
          <w:b/>
          <w:smallCaps/>
          <w:sz w:val="20"/>
          <w:szCs w:val="20"/>
          <w:lang w:val="es-ES_tradnl"/>
        </w:rPr>
      </w:pPr>
      <w:r>
        <w:rPr>
          <w:rFonts w:ascii="Verdana" w:hAnsi="Verdana"/>
          <w:b/>
          <w:smallCaps/>
          <w:sz w:val="20"/>
          <w:szCs w:val="20"/>
          <w:lang w:val="es-ES_tradnl"/>
        </w:rPr>
        <w:t xml:space="preserve">Respecto de </w:t>
      </w:r>
      <w:smartTag w:uri="urn:schemas-microsoft-com:office:smarttags" w:element="PersonName">
        <w:smartTagPr>
          <w:attr w:name="ProductID" w:val="LA SITUACIￓN DE"/>
        </w:smartTagPr>
        <w:r>
          <w:rPr>
            <w:rFonts w:ascii="Verdana" w:hAnsi="Verdana"/>
            <w:b/>
            <w:smallCaps/>
            <w:sz w:val="20"/>
            <w:szCs w:val="20"/>
            <w:lang w:val="es-ES_tradnl"/>
          </w:rPr>
          <w:t>la situación de</w:t>
        </w:r>
      </w:smartTag>
      <w:r>
        <w:rPr>
          <w:rFonts w:ascii="Verdana" w:hAnsi="Verdana"/>
          <w:b/>
          <w:smallCaps/>
          <w:sz w:val="20"/>
          <w:szCs w:val="20"/>
          <w:lang w:val="es-ES_tradnl"/>
        </w:rPr>
        <w:t xml:space="preserve"> </w:t>
      </w:r>
      <w:smartTag w:uri="urn:schemas-microsoft-com:office:smarttags" w:element="PersonName">
        <w:smartTagPr>
          <w:attr w:name="ProductID" w:val="LA SE￑ORA CARMEN"/>
        </w:smartTagPr>
        <w:r>
          <w:rPr>
            <w:rFonts w:ascii="Verdana" w:hAnsi="Verdana"/>
            <w:b/>
            <w:smallCaps/>
            <w:sz w:val="20"/>
            <w:szCs w:val="20"/>
            <w:lang w:val="es-ES_tradnl"/>
          </w:rPr>
          <w:t>la señora Carmen</w:t>
        </w:r>
      </w:smartTag>
      <w:r>
        <w:rPr>
          <w:rFonts w:ascii="Verdana" w:hAnsi="Verdana"/>
          <w:b/>
          <w:smallCaps/>
          <w:sz w:val="20"/>
          <w:szCs w:val="20"/>
          <w:lang w:val="es-ES_tradnl"/>
        </w:rPr>
        <w:t xml:space="preserve"> Juana Mariños Figueroa </w:t>
      </w:r>
    </w:p>
    <w:p w:rsidR="00000000" w:rsidRDefault="00687F2E">
      <w:pPr>
        <w:jc w:val="center"/>
        <w:rPr>
          <w:rFonts w:ascii="Verdana" w:hAnsi="Verdana"/>
          <w:b/>
          <w:smallCaps/>
          <w:sz w:val="20"/>
          <w:szCs w:val="20"/>
          <w:lang w:val="es-ES_tradnl"/>
        </w:rPr>
      </w:pPr>
      <w:r>
        <w:rPr>
          <w:rFonts w:ascii="Verdana" w:hAnsi="Verdana"/>
          <w:b/>
          <w:smallCaps/>
          <w:sz w:val="20"/>
          <w:szCs w:val="20"/>
          <w:lang w:val="es-ES_tradnl"/>
        </w:rPr>
        <w:t xml:space="preserve">y del señor Marcelino Marcos Pablo Meza </w:t>
      </w:r>
    </w:p>
    <w:p w:rsidR="00000000" w:rsidRDefault="00687F2E">
      <w:pPr>
        <w:jc w:val="both"/>
        <w:rPr>
          <w:rFonts w:ascii="Verdana" w:hAnsi="Verdana"/>
          <w:sz w:val="20"/>
          <w:lang w:val="es-ES_tradnl"/>
        </w:rPr>
      </w:pPr>
    </w:p>
    <w:p w:rsidR="00000000" w:rsidRDefault="00687F2E">
      <w:pPr>
        <w:jc w:val="both"/>
        <w:rPr>
          <w:rFonts w:ascii="Verdana" w:hAnsi="Verdana"/>
          <w:sz w:val="20"/>
          <w:lang w:val="es-ES_tradnl"/>
        </w:rPr>
      </w:pPr>
    </w:p>
    <w:p w:rsidR="00000000" w:rsidRDefault="00687F2E">
      <w:pPr>
        <w:jc w:val="both"/>
        <w:rPr>
          <w:rFonts w:ascii="Verdana" w:hAnsi="Verdana"/>
          <w:sz w:val="20"/>
          <w:lang w:val="es-ES_tradnl"/>
        </w:rPr>
      </w:pPr>
      <w:r>
        <w:rPr>
          <w:rFonts w:ascii="Verdana" w:hAnsi="Verdana"/>
          <w:sz w:val="20"/>
          <w:lang w:val="es-ES_tradnl"/>
        </w:rPr>
        <w:t>24.</w:t>
      </w:r>
      <w:r>
        <w:rPr>
          <w:rFonts w:ascii="Verdana" w:hAnsi="Verdana"/>
          <w:sz w:val="20"/>
          <w:lang w:val="es-ES_tradnl"/>
        </w:rPr>
        <w:tab/>
        <w:t>Los representante</w:t>
      </w:r>
      <w:r>
        <w:rPr>
          <w:rFonts w:ascii="Verdana" w:hAnsi="Verdana"/>
          <w:sz w:val="20"/>
          <w:lang w:val="es-ES_tradnl"/>
        </w:rPr>
        <w:t xml:space="preserve">s solicitaron aclarar las razones por la cuales la señora Carmen Juana Mariños Figueroa y el señor Marcelino Marcos Pablo Meza, a pesar de haber sido identificados en el capítulo de “Hechos Probados” como hermana y hermano, respectivamente, de los señores </w:t>
      </w:r>
      <w:r>
        <w:rPr>
          <w:rFonts w:ascii="Verdana" w:hAnsi="Verdana"/>
          <w:sz w:val="20"/>
          <w:lang w:val="es-ES_tradnl"/>
        </w:rPr>
        <w:t xml:space="preserve">Juan Gabriel Mariños Figueroa y de Heráclides Pablo Meza, no fueron consideradas como víctimas de la violación de los derechos a la integridad personal (artículo 5.1 de </w:t>
      </w:r>
      <w:smartTag w:uri="urn:schemas-microsoft-com:office:smarttags" w:element="PersonName">
        <w:smartTagPr>
          <w:attr w:name="ProductID" w:val="la Convenci￳n Americana"/>
        </w:smartTagPr>
        <w:r>
          <w:rPr>
            <w:rFonts w:ascii="Verdana" w:hAnsi="Verdana"/>
            <w:sz w:val="20"/>
            <w:lang w:val="es-ES_tradnl"/>
          </w:rPr>
          <w:t>la Convención Americana</w:t>
        </w:r>
      </w:smartTag>
      <w:r>
        <w:rPr>
          <w:rFonts w:ascii="Verdana" w:hAnsi="Verdana"/>
          <w:sz w:val="20"/>
          <w:lang w:val="es-ES_tradnl"/>
        </w:rPr>
        <w:t xml:space="preserve">) y a las garantías judiciales y protección judicial (artículos </w:t>
      </w:r>
      <w:r>
        <w:rPr>
          <w:rFonts w:ascii="Verdana" w:hAnsi="Verdana"/>
          <w:sz w:val="20"/>
          <w:lang w:val="es-ES_tradnl"/>
        </w:rPr>
        <w:t xml:space="preserve">8.1 y 25 de </w:t>
      </w:r>
      <w:smartTag w:uri="urn:schemas-microsoft-com:office:smarttags" w:element="PersonName">
        <w:smartTagPr>
          <w:attr w:name="ProductID" w:val="la Convenci￳n Americana"/>
        </w:smartTagPr>
        <w:r>
          <w:rPr>
            <w:rFonts w:ascii="Verdana" w:hAnsi="Verdana"/>
            <w:sz w:val="20"/>
            <w:lang w:val="es-ES_tradnl"/>
          </w:rPr>
          <w:t>la Convención Americana</w:t>
        </w:r>
      </w:smartTag>
      <w:r>
        <w:rPr>
          <w:rFonts w:ascii="Verdana" w:hAnsi="Verdana"/>
          <w:sz w:val="20"/>
          <w:lang w:val="es-ES_tradnl"/>
        </w:rPr>
        <w:t xml:space="preserve">), ni como “parte lesionada”, al no estar mencionados en el capítulo sobre Reparaciones, y tampoco como “acreedores de indemnización por daño inmaterial”, al no estar mencionados en el punto resolutivo décimo séptimo. </w:t>
      </w:r>
    </w:p>
    <w:p w:rsidR="00000000" w:rsidRDefault="00687F2E">
      <w:pPr>
        <w:jc w:val="both"/>
        <w:rPr>
          <w:rFonts w:ascii="Verdana" w:hAnsi="Verdana"/>
          <w:sz w:val="20"/>
          <w:lang w:val="es-ES_tradnl"/>
        </w:rPr>
      </w:pPr>
    </w:p>
    <w:p w:rsidR="00000000" w:rsidRDefault="00687F2E">
      <w:pPr>
        <w:jc w:val="both"/>
        <w:rPr>
          <w:rFonts w:ascii="Verdana" w:hAnsi="Verdana"/>
          <w:sz w:val="20"/>
          <w:lang w:val="es-ES_tradnl"/>
        </w:rPr>
      </w:pPr>
      <w:r>
        <w:rPr>
          <w:rFonts w:ascii="Verdana" w:hAnsi="Verdana"/>
          <w:sz w:val="20"/>
          <w:lang w:val="es-ES_tradnl"/>
        </w:rPr>
        <w:t>2</w:t>
      </w:r>
      <w:r>
        <w:rPr>
          <w:rFonts w:ascii="Verdana" w:hAnsi="Verdana"/>
          <w:sz w:val="20"/>
          <w:lang w:val="es-ES_tradnl"/>
        </w:rPr>
        <w:t>5.</w:t>
      </w:r>
      <w:r>
        <w:rPr>
          <w:rFonts w:ascii="Verdana" w:hAnsi="Verdana"/>
          <w:sz w:val="20"/>
          <w:lang w:val="es-ES_tradnl"/>
        </w:rPr>
        <w:tab/>
        <w:t xml:space="preserve">El Estado consideró que, “dado que </w:t>
      </w:r>
      <w:smartTag w:uri="urn:schemas-microsoft-com:office:smarttags" w:element="PersonName">
        <w:smartTagPr>
          <w:attr w:name="ProductID" w:val="la Corte"/>
        </w:smartTagPr>
        <w:r>
          <w:rPr>
            <w:rFonts w:ascii="Verdana" w:hAnsi="Verdana"/>
            <w:sz w:val="20"/>
            <w:lang w:val="es-ES_tradnl"/>
          </w:rPr>
          <w:t>la Corte</w:t>
        </w:r>
      </w:smartTag>
      <w:r>
        <w:rPr>
          <w:rFonts w:ascii="Verdana" w:hAnsi="Verdana"/>
          <w:sz w:val="20"/>
          <w:lang w:val="es-ES_tradnl"/>
        </w:rPr>
        <w:t xml:space="preserve"> </w:t>
      </w:r>
      <w:r>
        <w:rPr>
          <w:rFonts w:ascii="Verdana" w:hAnsi="Verdana"/>
          <w:sz w:val="20"/>
        </w:rPr>
        <w:t xml:space="preserve">[…] </w:t>
      </w:r>
      <w:r>
        <w:rPr>
          <w:rFonts w:ascii="Verdana" w:hAnsi="Verdana"/>
          <w:sz w:val="20"/>
          <w:lang w:val="es-ES_tradnl"/>
        </w:rPr>
        <w:t>ha sido muy clara en sus criterios al momento de establecer a los acreedores de las indemnizaciones por daños materiales e inmateriales</w:t>
      </w:r>
      <w:r>
        <w:rPr>
          <w:rFonts w:ascii="Verdana" w:hAnsi="Verdana"/>
          <w:sz w:val="20"/>
        </w:rPr>
        <w:t>[…]</w:t>
      </w:r>
      <w:r>
        <w:rPr>
          <w:rFonts w:ascii="Verdana" w:hAnsi="Verdana"/>
          <w:sz w:val="20"/>
          <w:lang w:val="es-ES_tradnl"/>
        </w:rPr>
        <w:t>, corresponde a ella explicar la exclusión practicada […] como ‘par</w:t>
      </w:r>
      <w:r>
        <w:rPr>
          <w:rFonts w:ascii="Verdana" w:hAnsi="Verdana"/>
          <w:sz w:val="20"/>
          <w:lang w:val="es-ES_tradnl"/>
        </w:rPr>
        <w:t xml:space="preserve">te lesionada’ y acreedoras de reparación”. </w:t>
      </w:r>
    </w:p>
    <w:p w:rsidR="00000000" w:rsidRDefault="00687F2E">
      <w:pPr>
        <w:jc w:val="both"/>
        <w:rPr>
          <w:rFonts w:ascii="Verdana" w:hAnsi="Verdana"/>
          <w:i/>
          <w:sz w:val="20"/>
          <w:lang w:val="es-ES_tradnl"/>
        </w:rPr>
      </w:pPr>
    </w:p>
    <w:p w:rsidR="00000000" w:rsidRDefault="00687F2E">
      <w:pPr>
        <w:jc w:val="both"/>
        <w:rPr>
          <w:rFonts w:ascii="Verdana" w:hAnsi="Verdana"/>
          <w:sz w:val="20"/>
          <w:lang w:val="es-ES_tradnl"/>
        </w:rPr>
      </w:pPr>
      <w:r>
        <w:rPr>
          <w:rFonts w:ascii="Verdana" w:hAnsi="Verdana"/>
          <w:sz w:val="20"/>
          <w:lang w:val="es-ES_tradnl"/>
        </w:rPr>
        <w:t>26.</w:t>
      </w:r>
      <w:r>
        <w:rPr>
          <w:rFonts w:ascii="Verdana" w:hAnsi="Verdana"/>
          <w:sz w:val="20"/>
          <w:lang w:val="es-ES_tradnl"/>
        </w:rPr>
        <w:tab/>
      </w:r>
      <w:smartTag w:uri="urn:schemas-microsoft-com:office:smarttags" w:element="PersonName">
        <w:smartTagPr>
          <w:attr w:name="ProductID" w:val="la Comisi￳n"/>
        </w:smartTagPr>
        <w:r>
          <w:rPr>
            <w:rFonts w:ascii="Verdana" w:hAnsi="Verdana"/>
            <w:sz w:val="20"/>
            <w:lang w:val="es-ES_tradnl"/>
          </w:rPr>
          <w:t>La Comisión</w:t>
        </w:r>
      </w:smartTag>
      <w:r>
        <w:rPr>
          <w:rFonts w:ascii="Verdana" w:hAnsi="Verdana"/>
          <w:sz w:val="20"/>
          <w:lang w:val="es-ES_tradnl"/>
        </w:rPr>
        <w:t xml:space="preserve"> observó que “en los párrafos 67 y siguientes de la [S]entencia, </w:t>
      </w:r>
      <w:smartTag w:uri="urn:schemas-microsoft-com:office:smarttags" w:element="PersonName">
        <w:smartTagPr>
          <w:attr w:name="ProductID" w:val="la Corte"/>
        </w:smartTagPr>
        <w:r>
          <w:rPr>
            <w:rFonts w:ascii="Verdana" w:hAnsi="Verdana"/>
            <w:sz w:val="20"/>
            <w:lang w:val="es-ES_tradnl"/>
          </w:rPr>
          <w:t>la Corte</w:t>
        </w:r>
      </w:smartTag>
      <w:r>
        <w:rPr>
          <w:rFonts w:ascii="Verdana" w:hAnsi="Verdana"/>
          <w:sz w:val="20"/>
          <w:lang w:val="es-ES_tradnl"/>
        </w:rPr>
        <w:t xml:space="preserve"> valoró la prueba aportada en relación con los familiares de las víctimas del presente caso [y que] en la sección referida </w:t>
      </w:r>
      <w:r>
        <w:rPr>
          <w:rFonts w:ascii="Verdana" w:hAnsi="Verdana"/>
          <w:sz w:val="20"/>
          <w:lang w:val="es-ES_tradnl"/>
        </w:rPr>
        <w:t xml:space="preserve">a la violación del artículo 5 [... realizó] consideraciones referidas a los familiares de las víctimas desaparecidas o ejecutadas al momento de determinar quiénes [eran] víctimas de [esta] violación”. </w:t>
      </w:r>
      <w:smartTag w:uri="urn:schemas-microsoft-com:office:smarttags" w:element="PersonName">
        <w:smartTagPr>
          <w:attr w:name="ProductID" w:val="la Comisi￳n"/>
        </w:smartTagPr>
        <w:r>
          <w:rPr>
            <w:rFonts w:ascii="Verdana" w:hAnsi="Verdana"/>
            <w:sz w:val="20"/>
            <w:lang w:val="es-ES_tradnl"/>
          </w:rPr>
          <w:t>La Comisión</w:t>
        </w:r>
      </w:smartTag>
      <w:r>
        <w:rPr>
          <w:rFonts w:ascii="Verdana" w:hAnsi="Verdana"/>
          <w:sz w:val="20"/>
          <w:lang w:val="es-ES_tradnl"/>
        </w:rPr>
        <w:t xml:space="preserve"> expresó que, “[s]in perjuicio de que en nin</w:t>
      </w:r>
      <w:r>
        <w:rPr>
          <w:rFonts w:ascii="Verdana" w:hAnsi="Verdana"/>
          <w:sz w:val="20"/>
          <w:lang w:val="es-ES_tradnl"/>
        </w:rPr>
        <w:t xml:space="preserve">guna de dichas secciones se formulan consideraciones específicas en relación con [la señora Carmen Juana Mariños Figueroa y el señor Marcelino Marcos Pablo Meza, en el párrafo 128 de su Sentencia el Tribunal hizo consideraciones] en general en cuanto a la </w:t>
      </w:r>
      <w:r>
        <w:rPr>
          <w:rFonts w:ascii="Verdana" w:hAnsi="Verdana"/>
          <w:sz w:val="20"/>
          <w:lang w:val="es-ES_tradnl"/>
        </w:rPr>
        <w:t xml:space="preserve">situación de los hermanos y hermanas de algunas víctimas”. Finalmente </w:t>
      </w:r>
      <w:smartTag w:uri="urn:schemas-microsoft-com:office:smarttags" w:element="PersonName">
        <w:smartTagPr>
          <w:attr w:name="ProductID" w:val="la Comisi￳n"/>
        </w:smartTagPr>
        <w:r>
          <w:rPr>
            <w:rFonts w:ascii="Verdana" w:hAnsi="Verdana"/>
            <w:sz w:val="20"/>
            <w:lang w:val="es-ES_tradnl"/>
          </w:rPr>
          <w:t>la Comisión</w:t>
        </w:r>
      </w:smartTag>
      <w:r>
        <w:rPr>
          <w:rFonts w:ascii="Verdana" w:hAnsi="Verdana"/>
          <w:sz w:val="20"/>
          <w:lang w:val="es-ES_tradnl"/>
        </w:rPr>
        <w:t xml:space="preserve"> consideró que “</w:t>
      </w:r>
      <w:smartTag w:uri="urn:schemas-microsoft-com:office:smarttags" w:element="PersonName">
        <w:smartTagPr>
          <w:attr w:name="ProductID" w:val="la Corte"/>
        </w:smartTagPr>
        <w:r>
          <w:rPr>
            <w:rFonts w:ascii="Verdana" w:hAnsi="Verdana"/>
            <w:sz w:val="20"/>
            <w:lang w:val="es-ES_tradnl"/>
          </w:rPr>
          <w:t>la Corte</w:t>
        </w:r>
      </w:smartTag>
      <w:r>
        <w:rPr>
          <w:rFonts w:ascii="Verdana" w:hAnsi="Verdana"/>
          <w:sz w:val="20"/>
          <w:lang w:val="es-ES_tradnl"/>
        </w:rPr>
        <w:t xml:space="preserve"> podría consider[ar] útil proceder a la interpretación solicitada”. </w:t>
      </w:r>
    </w:p>
    <w:p w:rsidR="00000000" w:rsidRDefault="00687F2E">
      <w:pPr>
        <w:jc w:val="both"/>
        <w:rPr>
          <w:rFonts w:ascii="Verdana" w:hAnsi="Verdana"/>
          <w:sz w:val="20"/>
          <w:lang w:val="es-ES_tradnl"/>
        </w:rPr>
      </w:pPr>
    </w:p>
    <w:p w:rsidR="00000000" w:rsidRDefault="00687F2E">
      <w:pPr>
        <w:jc w:val="both"/>
        <w:rPr>
          <w:rFonts w:ascii="Verdana" w:hAnsi="Verdana"/>
          <w:sz w:val="20"/>
          <w:lang w:val="es-ES_tradnl"/>
        </w:rPr>
      </w:pPr>
      <w:r>
        <w:rPr>
          <w:rFonts w:ascii="Verdana" w:hAnsi="Verdana"/>
          <w:sz w:val="20"/>
          <w:lang w:val="es-ES_tradnl"/>
        </w:rPr>
        <w:t>27.</w:t>
      </w:r>
      <w:r>
        <w:rPr>
          <w:rFonts w:ascii="Verdana" w:hAnsi="Verdana"/>
          <w:sz w:val="20"/>
          <w:lang w:val="es-ES_tradnl"/>
        </w:rPr>
        <w:tab/>
        <w:t xml:space="preserve">En este punto, se ha solicitado a </w:t>
      </w:r>
      <w:smartTag w:uri="urn:schemas-microsoft-com:office:smarttags" w:element="PersonName">
        <w:smartTagPr>
          <w:attr w:name="ProductID" w:val="la Corte"/>
        </w:smartTagPr>
        <w:r>
          <w:rPr>
            <w:rFonts w:ascii="Verdana" w:hAnsi="Verdana"/>
            <w:sz w:val="20"/>
            <w:lang w:val="es-ES_tradnl"/>
          </w:rPr>
          <w:t>la Corte</w:t>
        </w:r>
      </w:smartTag>
      <w:r>
        <w:rPr>
          <w:rFonts w:ascii="Verdana" w:hAnsi="Verdana"/>
          <w:sz w:val="20"/>
          <w:lang w:val="es-ES_tradnl"/>
        </w:rPr>
        <w:t xml:space="preserve"> aclarar las razones por las cuales</w:t>
      </w:r>
      <w:r>
        <w:rPr>
          <w:rFonts w:ascii="Verdana" w:hAnsi="Verdana"/>
          <w:sz w:val="20"/>
          <w:lang w:val="es-ES_tradnl"/>
        </w:rPr>
        <w:t xml:space="preserve"> la señora Carmen Juana Mariños Figueroa y el señor Marcelino Marcos Pablo Meza no fueron declarados víctimas de las violaciones a los artículos 5.1, 8.1 y 25 de </w:t>
      </w:r>
      <w:smartTag w:uri="urn:schemas-microsoft-com:office:smarttags" w:element="PersonName">
        <w:smartTagPr>
          <w:attr w:name="ProductID" w:val="la Convenci￳n"/>
        </w:smartTagPr>
        <w:r>
          <w:rPr>
            <w:rFonts w:ascii="Verdana" w:hAnsi="Verdana"/>
            <w:sz w:val="20"/>
            <w:lang w:val="es-ES_tradnl"/>
          </w:rPr>
          <w:t>la Convención</w:t>
        </w:r>
      </w:smartTag>
      <w:r>
        <w:rPr>
          <w:rFonts w:ascii="Verdana" w:hAnsi="Verdana"/>
          <w:sz w:val="20"/>
          <w:lang w:val="es-ES_tradnl"/>
        </w:rPr>
        <w:t xml:space="preserve"> ni, </w:t>
      </w:r>
      <w:r>
        <w:rPr>
          <w:rFonts w:ascii="Verdana" w:hAnsi="Verdana"/>
          <w:sz w:val="20"/>
          <w:lang w:val="es-ES_tradnl"/>
        </w:rPr>
        <w:lastRenderedPageBreak/>
        <w:t>consecuentemente, beneficiarios de reparaciones, a pesar de haber sido proba</w:t>
      </w:r>
      <w:r>
        <w:rPr>
          <w:rFonts w:ascii="Verdana" w:hAnsi="Verdana"/>
          <w:sz w:val="20"/>
          <w:lang w:val="es-ES_tradnl"/>
        </w:rPr>
        <w:t xml:space="preserve">do que eran familiares de dos de las víctimas. Para determinar si procede aclarar esta cuestión, es pertinente repasar lo resuelto en </w:t>
      </w:r>
      <w:smartTag w:uri="urn:schemas-microsoft-com:office:smarttags" w:element="PersonName">
        <w:smartTagPr>
          <w:attr w:name="ProductID" w:val="la Sentencia"/>
        </w:smartTagPr>
        <w:r>
          <w:rPr>
            <w:rFonts w:ascii="Verdana" w:hAnsi="Verdana"/>
            <w:sz w:val="20"/>
            <w:lang w:val="es-ES_tradnl"/>
          </w:rPr>
          <w:t>la Sentencia</w:t>
        </w:r>
      </w:smartTag>
      <w:r>
        <w:rPr>
          <w:rFonts w:ascii="Verdana" w:hAnsi="Verdana"/>
          <w:sz w:val="20"/>
          <w:lang w:val="es-ES_tradnl"/>
        </w:rPr>
        <w:t xml:space="preserve"> al respecto. </w:t>
      </w:r>
    </w:p>
    <w:p w:rsidR="00000000" w:rsidRDefault="00687F2E">
      <w:pPr>
        <w:jc w:val="both"/>
        <w:rPr>
          <w:rFonts w:ascii="Verdana" w:hAnsi="Verdana"/>
          <w:sz w:val="20"/>
          <w:lang w:val="es-ES_tradnl"/>
        </w:rPr>
      </w:pPr>
    </w:p>
    <w:p w:rsidR="00000000" w:rsidRDefault="00687F2E">
      <w:pPr>
        <w:jc w:val="both"/>
        <w:rPr>
          <w:rFonts w:ascii="Verdana" w:hAnsi="Verdana"/>
          <w:sz w:val="20"/>
          <w:lang w:val="es-ES_tradnl"/>
        </w:rPr>
      </w:pPr>
      <w:r>
        <w:rPr>
          <w:rFonts w:ascii="Verdana" w:hAnsi="Verdana"/>
          <w:sz w:val="20"/>
          <w:lang w:val="es-ES_tradnl"/>
        </w:rPr>
        <w:t>28.</w:t>
      </w:r>
      <w:r>
        <w:rPr>
          <w:rFonts w:ascii="Verdana" w:hAnsi="Verdana"/>
          <w:sz w:val="20"/>
          <w:lang w:val="es-ES_tradnl"/>
        </w:rPr>
        <w:tab/>
        <w:t xml:space="preserve">En primer lugar, el Tribunal hizo una serie de consideraciones </w:t>
      </w:r>
      <w:r>
        <w:rPr>
          <w:rFonts w:ascii="Verdana" w:hAnsi="Verdana"/>
          <w:i/>
          <w:sz w:val="20"/>
          <w:lang w:val="es-ES_tradnl"/>
        </w:rPr>
        <w:t>in limine litis</w:t>
      </w:r>
      <w:r>
        <w:rPr>
          <w:rFonts w:ascii="Verdana" w:hAnsi="Verdana"/>
          <w:sz w:val="20"/>
          <w:lang w:val="es-ES_tradnl"/>
        </w:rPr>
        <w:t xml:space="preserve"> en el capít</w:t>
      </w:r>
      <w:r>
        <w:rPr>
          <w:rFonts w:ascii="Verdana" w:hAnsi="Verdana"/>
          <w:sz w:val="20"/>
          <w:lang w:val="es-ES_tradnl"/>
        </w:rPr>
        <w:t xml:space="preserve">ulo de Prueba, apartado de Valoración de </w:t>
      </w:r>
      <w:smartTag w:uri="urn:schemas-microsoft-com:office:smarttags" w:element="PersonName">
        <w:smartTagPr>
          <w:attr w:name="ProductID" w:val="la Prueba"/>
        </w:smartTagPr>
        <w:r>
          <w:rPr>
            <w:rFonts w:ascii="Verdana" w:hAnsi="Verdana"/>
            <w:sz w:val="20"/>
            <w:lang w:val="es-ES_tradnl"/>
          </w:rPr>
          <w:t>la Prueba</w:t>
        </w:r>
      </w:smartTag>
      <w:r>
        <w:rPr>
          <w:rFonts w:ascii="Verdana" w:hAnsi="Verdana"/>
          <w:sz w:val="20"/>
          <w:lang w:val="es-ES_tradnl"/>
        </w:rPr>
        <w:t xml:space="preserve"> (párrafos </w:t>
      </w:r>
      <w:smartTag w:uri="urn:schemas-microsoft-com:office:smarttags" w:element="metricconverter">
        <w:smartTagPr>
          <w:attr w:name="ProductID" w:val="67 a"/>
        </w:smartTagPr>
        <w:r>
          <w:rPr>
            <w:rFonts w:ascii="Verdana" w:hAnsi="Verdana"/>
            <w:sz w:val="20"/>
            <w:lang w:val="es-ES_tradnl"/>
          </w:rPr>
          <w:t>67 a</w:t>
        </w:r>
      </w:smartTag>
      <w:r>
        <w:rPr>
          <w:rFonts w:ascii="Verdana" w:hAnsi="Verdana"/>
          <w:sz w:val="20"/>
          <w:lang w:val="es-ES_tradnl"/>
        </w:rPr>
        <w:t xml:space="preserve"> 79), para determinar quiénes de los familiares de las víctimas tendrían la condición de presuntas víctimas para los efectos del proceso ante </w:t>
      </w:r>
      <w:smartTag w:uri="urn:schemas-microsoft-com:office:smarttags" w:element="PersonName">
        <w:smartTagPr>
          <w:attr w:name="ProductID" w:val="la Corte. De"/>
        </w:smartTagPr>
        <w:r>
          <w:rPr>
            <w:rFonts w:ascii="Verdana" w:hAnsi="Verdana"/>
            <w:sz w:val="20"/>
            <w:lang w:val="es-ES_tradnl"/>
          </w:rPr>
          <w:t>la Corte. De</w:t>
        </w:r>
      </w:smartTag>
      <w:r>
        <w:rPr>
          <w:rFonts w:ascii="Verdana" w:hAnsi="Verdana"/>
          <w:sz w:val="20"/>
          <w:lang w:val="es-ES_tradnl"/>
        </w:rPr>
        <w:t xml:space="preserve"> esas consideraciones, es oportuno re</w:t>
      </w:r>
      <w:r>
        <w:rPr>
          <w:rFonts w:ascii="Verdana" w:hAnsi="Verdana"/>
          <w:sz w:val="20"/>
          <w:lang w:val="es-ES_tradnl"/>
        </w:rPr>
        <w:t>cordar las siguientes:</w:t>
      </w:r>
    </w:p>
    <w:p w:rsidR="00000000" w:rsidRDefault="00687F2E">
      <w:pPr>
        <w:rPr>
          <w:rFonts w:ascii="Verdana" w:hAnsi="Verdana"/>
          <w:sz w:val="20"/>
          <w:lang w:val="es-ES_tradnl"/>
        </w:rPr>
      </w:pPr>
    </w:p>
    <w:p w:rsidR="00000000" w:rsidRDefault="00687F2E">
      <w:pPr>
        <w:ind w:left="720" w:right="735"/>
        <w:jc w:val="both"/>
        <w:rPr>
          <w:rFonts w:ascii="Verdana" w:hAnsi="Verdana"/>
          <w:sz w:val="16"/>
          <w:szCs w:val="16"/>
          <w:lang w:val="es-ES_tradnl"/>
        </w:rPr>
      </w:pPr>
      <w:r>
        <w:rPr>
          <w:rFonts w:ascii="Verdana" w:hAnsi="Verdana"/>
          <w:sz w:val="16"/>
          <w:szCs w:val="16"/>
          <w:lang w:val="es-ES_tradnl"/>
        </w:rPr>
        <w:t>67.</w:t>
      </w:r>
      <w:r>
        <w:rPr>
          <w:rFonts w:ascii="Verdana" w:hAnsi="Verdana"/>
          <w:sz w:val="16"/>
          <w:szCs w:val="16"/>
          <w:lang w:val="es-ES_tradnl"/>
        </w:rPr>
        <w:tab/>
      </w:r>
      <w:smartTag w:uri="urn:schemas-microsoft-com:office:smarttags" w:element="PersonName">
        <w:smartTagPr>
          <w:attr w:name="ProductID" w:val="la Comisi￳n Interamericana"/>
        </w:smartTagPr>
        <w:r>
          <w:rPr>
            <w:rFonts w:ascii="Verdana" w:hAnsi="Verdana"/>
            <w:sz w:val="16"/>
            <w:szCs w:val="16"/>
            <w:lang w:val="es-ES_tradnl"/>
          </w:rPr>
          <w:t>La Comisión Interamericana</w:t>
        </w:r>
      </w:smartTag>
      <w:r>
        <w:rPr>
          <w:rFonts w:ascii="Verdana" w:hAnsi="Verdana"/>
          <w:sz w:val="16"/>
          <w:szCs w:val="16"/>
          <w:lang w:val="es-ES_tradnl"/>
        </w:rPr>
        <w:t xml:space="preserve"> presentó en su demanda un listado de 10 presuntas víctimas de los hechos del presente caso, a saber: Hugo Muñoz Sánchez, Dora Oyague Fierro, Marcelino Rosales Cárdenas, Bertila Lozano Torres, Luis Enri</w:t>
      </w:r>
      <w:r>
        <w:rPr>
          <w:rFonts w:ascii="Verdana" w:hAnsi="Verdana"/>
          <w:sz w:val="16"/>
          <w:szCs w:val="16"/>
          <w:lang w:val="es-ES_tradnl"/>
        </w:rPr>
        <w:t xml:space="preserve">que Ortiz Perea, Armando Richard Amaro Cóndor, Robert Edgar Teodoro Espinoza, Heráclides Pablo Meza, Juan Gabriel Mariños Figueroa y Felipe Flores Chipana, así como de 55 familiares de éstas. </w:t>
      </w:r>
      <w:smartTag w:uri="urn:schemas-microsoft-com:office:smarttags" w:element="PersonName">
        <w:smartTagPr>
          <w:attr w:name="ProductID" w:val="la Corte"/>
        </w:smartTagPr>
        <w:r>
          <w:rPr>
            <w:rFonts w:ascii="Verdana" w:hAnsi="Verdana"/>
            <w:sz w:val="16"/>
            <w:szCs w:val="16"/>
            <w:lang w:val="es-ES_tradnl"/>
          </w:rPr>
          <w:t>La Corte</w:t>
        </w:r>
      </w:smartTag>
      <w:r>
        <w:rPr>
          <w:rFonts w:ascii="Verdana" w:hAnsi="Verdana"/>
          <w:sz w:val="16"/>
          <w:szCs w:val="16"/>
          <w:lang w:val="es-ES_tradnl"/>
        </w:rPr>
        <w:t xml:space="preserve"> nota que no fue allegada con la demanda prueba de paren</w:t>
      </w:r>
      <w:r>
        <w:rPr>
          <w:rFonts w:ascii="Verdana" w:hAnsi="Verdana"/>
          <w:sz w:val="16"/>
          <w:szCs w:val="16"/>
          <w:lang w:val="es-ES_tradnl"/>
        </w:rPr>
        <w:t>tesco respecto de 46 de esos presuntos familiares incluidos en el texto de la misma. Por otra parte, las representantes allegaron documentación respecto de 38 de estos familiares de presuntas víctimas como prueba para mejor resolver solicitada por el Tribu</w:t>
      </w:r>
      <w:r>
        <w:rPr>
          <w:rFonts w:ascii="Verdana" w:hAnsi="Verdana"/>
          <w:sz w:val="16"/>
          <w:szCs w:val="16"/>
          <w:lang w:val="es-ES_tradnl"/>
        </w:rPr>
        <w:t>nal (</w:t>
      </w:r>
      <w:r>
        <w:rPr>
          <w:rFonts w:ascii="Verdana" w:hAnsi="Verdana"/>
          <w:i/>
          <w:sz w:val="16"/>
          <w:szCs w:val="16"/>
          <w:lang w:val="es-ES_tradnl"/>
        </w:rPr>
        <w:t>supra</w:t>
      </w:r>
      <w:r>
        <w:rPr>
          <w:rFonts w:ascii="Verdana" w:hAnsi="Verdana"/>
          <w:sz w:val="16"/>
          <w:szCs w:val="16"/>
          <w:lang w:val="es-ES_tradnl"/>
        </w:rPr>
        <w:t xml:space="preserve"> párrs. 33 y 36).</w:t>
      </w:r>
    </w:p>
    <w:p w:rsidR="00000000" w:rsidRDefault="00687F2E">
      <w:pPr>
        <w:ind w:left="720" w:right="735"/>
        <w:jc w:val="both"/>
        <w:rPr>
          <w:rFonts w:ascii="Verdana" w:hAnsi="Verdana"/>
          <w:sz w:val="16"/>
          <w:szCs w:val="16"/>
          <w:lang w:val="es-ES_tradnl"/>
        </w:rPr>
      </w:pPr>
      <w:r>
        <w:rPr>
          <w:rFonts w:ascii="Verdana" w:hAnsi="Verdana"/>
          <w:sz w:val="16"/>
          <w:szCs w:val="16"/>
          <w:lang w:val="es-ES_tradnl"/>
        </w:rPr>
        <w:t>[…]</w:t>
      </w:r>
    </w:p>
    <w:p w:rsidR="00000000" w:rsidRDefault="00687F2E">
      <w:pPr>
        <w:ind w:left="720" w:right="735"/>
        <w:jc w:val="both"/>
        <w:rPr>
          <w:rFonts w:ascii="Verdana" w:hAnsi="Verdana"/>
          <w:sz w:val="16"/>
          <w:szCs w:val="16"/>
          <w:lang w:val="es-ES_tradnl"/>
        </w:rPr>
      </w:pPr>
    </w:p>
    <w:p w:rsidR="00000000" w:rsidRDefault="00687F2E">
      <w:pPr>
        <w:ind w:left="720" w:right="735"/>
        <w:jc w:val="both"/>
        <w:rPr>
          <w:rFonts w:ascii="Verdana" w:hAnsi="Verdana"/>
          <w:sz w:val="16"/>
          <w:szCs w:val="16"/>
          <w:lang w:val="es-ES_tradnl"/>
        </w:rPr>
      </w:pPr>
      <w:r>
        <w:rPr>
          <w:rFonts w:ascii="Verdana" w:hAnsi="Verdana"/>
          <w:sz w:val="16"/>
          <w:szCs w:val="16"/>
          <w:lang w:val="es-ES_tradnl"/>
        </w:rPr>
        <w:t>69.</w:t>
      </w:r>
      <w:r>
        <w:rPr>
          <w:rFonts w:ascii="Verdana" w:hAnsi="Verdana"/>
          <w:sz w:val="16"/>
          <w:szCs w:val="16"/>
          <w:lang w:val="es-ES_tradnl"/>
        </w:rPr>
        <w:tab/>
        <w:t xml:space="preserve">En su escrito de solicitudes y argumentos las representantes incluyeron a cuatro personas que serían familiares de las presuntas víctimas, quienes no habían sido comprendidas en la demanda[…]. En esa oportunidad no fue </w:t>
      </w:r>
      <w:r>
        <w:rPr>
          <w:rFonts w:ascii="Verdana" w:hAnsi="Verdana"/>
          <w:sz w:val="16"/>
          <w:szCs w:val="16"/>
          <w:lang w:val="es-ES_tradnl"/>
        </w:rPr>
        <w:t xml:space="preserve">allegada prueba del parentesco. Además, dichas personas fueron incluidas por </w:t>
      </w:r>
      <w:smartTag w:uri="urn:schemas-microsoft-com:office:smarttags" w:element="PersonName">
        <w:smartTagPr>
          <w:attr w:name="ProductID" w:val="la Comisi￳n"/>
        </w:smartTagPr>
        <w:r>
          <w:rPr>
            <w:rFonts w:ascii="Verdana" w:hAnsi="Verdana"/>
            <w:sz w:val="16"/>
            <w:szCs w:val="16"/>
            <w:lang w:val="es-ES_tradnl"/>
          </w:rPr>
          <w:t>la Comisión</w:t>
        </w:r>
      </w:smartTag>
      <w:r>
        <w:rPr>
          <w:rFonts w:ascii="Verdana" w:hAnsi="Verdana"/>
          <w:sz w:val="16"/>
          <w:szCs w:val="16"/>
          <w:lang w:val="es-ES_tradnl"/>
        </w:rPr>
        <w:t xml:space="preserve"> en su escrito de alegatos finales y las representantes allegaron determinada documentación respecto de dichas personas como prueba para mejor resolver solicitada por e</w:t>
      </w:r>
      <w:r>
        <w:rPr>
          <w:rFonts w:ascii="Verdana" w:hAnsi="Verdana"/>
          <w:sz w:val="16"/>
          <w:szCs w:val="16"/>
          <w:lang w:val="es-ES_tradnl"/>
        </w:rPr>
        <w:t>l Tribunal.</w:t>
      </w:r>
    </w:p>
    <w:p w:rsidR="00000000" w:rsidRDefault="00687F2E">
      <w:pPr>
        <w:ind w:left="720" w:right="735"/>
        <w:jc w:val="both"/>
        <w:rPr>
          <w:rFonts w:ascii="Verdana" w:hAnsi="Verdana"/>
          <w:sz w:val="16"/>
          <w:szCs w:val="16"/>
          <w:lang w:val="es-ES_tradnl"/>
        </w:rPr>
      </w:pPr>
    </w:p>
    <w:p w:rsidR="00000000" w:rsidRDefault="00687F2E">
      <w:pPr>
        <w:ind w:left="720" w:right="735"/>
        <w:jc w:val="both"/>
        <w:rPr>
          <w:rFonts w:ascii="Verdana" w:hAnsi="Verdana"/>
          <w:sz w:val="16"/>
          <w:szCs w:val="16"/>
          <w:lang w:val="es-ES_tradnl"/>
        </w:rPr>
      </w:pPr>
      <w:r>
        <w:rPr>
          <w:rFonts w:ascii="Verdana" w:hAnsi="Verdana"/>
          <w:sz w:val="16"/>
          <w:szCs w:val="16"/>
          <w:lang w:val="es-ES_tradnl"/>
        </w:rPr>
        <w:t>70.</w:t>
      </w:r>
      <w:r>
        <w:rPr>
          <w:rFonts w:ascii="Verdana" w:hAnsi="Verdana"/>
          <w:sz w:val="16"/>
          <w:szCs w:val="16"/>
          <w:lang w:val="es-ES_tradnl"/>
        </w:rPr>
        <w:tab/>
        <w:t xml:space="preserve">En sus alegatos finales escritos </w:t>
      </w:r>
      <w:smartTag w:uri="urn:schemas-microsoft-com:office:smarttags" w:element="PersonName">
        <w:smartTagPr>
          <w:attr w:name="ProductID" w:val="la Comisi￳n"/>
        </w:smartTagPr>
        <w:r>
          <w:rPr>
            <w:rFonts w:ascii="Verdana" w:hAnsi="Verdana"/>
            <w:sz w:val="16"/>
            <w:szCs w:val="16"/>
            <w:lang w:val="es-ES_tradnl"/>
          </w:rPr>
          <w:t>la Comisión</w:t>
        </w:r>
      </w:smartTag>
      <w:r>
        <w:rPr>
          <w:rFonts w:ascii="Verdana" w:hAnsi="Verdana"/>
          <w:sz w:val="16"/>
          <w:szCs w:val="16"/>
          <w:lang w:val="es-ES_tradnl"/>
        </w:rPr>
        <w:t xml:space="preserve"> incluyó en la lista de familiares de las presuntas víctimas a dos personas que no estaban incluidas en la demanda[…], en razón de que habían sido nombradas en declaraciones rendidas ante fedatar</w:t>
      </w:r>
      <w:r>
        <w:rPr>
          <w:rFonts w:ascii="Verdana" w:hAnsi="Verdana"/>
          <w:sz w:val="16"/>
          <w:szCs w:val="16"/>
          <w:lang w:val="es-ES_tradnl"/>
        </w:rPr>
        <w:t>io público por dos familiares.</w:t>
      </w:r>
    </w:p>
    <w:p w:rsidR="00000000" w:rsidRDefault="00687F2E">
      <w:pPr>
        <w:ind w:left="720" w:right="735"/>
        <w:jc w:val="both"/>
        <w:rPr>
          <w:rFonts w:ascii="Verdana" w:hAnsi="Verdana"/>
          <w:sz w:val="16"/>
          <w:szCs w:val="16"/>
          <w:lang w:val="es-ES_tradnl"/>
        </w:rPr>
      </w:pPr>
      <w:r>
        <w:rPr>
          <w:rFonts w:ascii="Verdana" w:hAnsi="Verdana"/>
          <w:sz w:val="16"/>
          <w:szCs w:val="16"/>
          <w:lang w:val="es-ES_tradnl"/>
        </w:rPr>
        <w:t>[…]</w:t>
      </w:r>
    </w:p>
    <w:p w:rsidR="00000000" w:rsidRDefault="00687F2E">
      <w:pPr>
        <w:ind w:left="720" w:right="735"/>
        <w:jc w:val="both"/>
        <w:rPr>
          <w:rFonts w:ascii="Verdana" w:hAnsi="Verdana"/>
          <w:sz w:val="16"/>
          <w:szCs w:val="16"/>
          <w:lang w:val="es-ES_tradnl"/>
        </w:rPr>
      </w:pPr>
    </w:p>
    <w:p w:rsidR="00000000" w:rsidRDefault="00687F2E">
      <w:pPr>
        <w:ind w:left="720" w:right="735"/>
        <w:jc w:val="both"/>
        <w:rPr>
          <w:rFonts w:ascii="Verdana" w:hAnsi="Verdana"/>
          <w:sz w:val="16"/>
          <w:szCs w:val="16"/>
          <w:lang w:val="es-ES_tradnl"/>
        </w:rPr>
      </w:pPr>
      <w:r>
        <w:rPr>
          <w:rFonts w:ascii="Verdana" w:hAnsi="Verdana"/>
          <w:sz w:val="16"/>
          <w:szCs w:val="16"/>
          <w:lang w:val="es-ES_tradnl"/>
        </w:rPr>
        <w:t>72.</w:t>
      </w:r>
      <w:r>
        <w:rPr>
          <w:rFonts w:ascii="Verdana" w:hAnsi="Verdana"/>
          <w:sz w:val="16"/>
          <w:szCs w:val="16"/>
          <w:lang w:val="es-ES_tradnl"/>
        </w:rPr>
        <w:tab/>
        <w:t>La jurisprudencia de este Tribunal en cuanto a la determinación de presuntas víctimas ha sido amplia y ajustada a las circunstancias de cada caso. Las presuntas víctimas deben estar señaladas en la demanda y en el In</w:t>
      </w:r>
      <w:r>
        <w:rPr>
          <w:rFonts w:ascii="Verdana" w:hAnsi="Verdana"/>
          <w:sz w:val="16"/>
          <w:szCs w:val="16"/>
          <w:lang w:val="es-ES_tradnl"/>
        </w:rPr>
        <w:t xml:space="preserve">forme de </w:t>
      </w:r>
      <w:smartTag w:uri="urn:schemas-microsoft-com:office:smarttags" w:element="PersonName">
        <w:smartTagPr>
          <w:attr w:name="ProductID" w:val="la Comisi￳n"/>
        </w:smartTagPr>
        <w:r>
          <w:rPr>
            <w:rFonts w:ascii="Verdana" w:hAnsi="Verdana"/>
            <w:sz w:val="16"/>
            <w:szCs w:val="16"/>
            <w:lang w:val="es-ES_tradnl"/>
          </w:rPr>
          <w:t>la Comisión</w:t>
        </w:r>
      </w:smartTag>
      <w:r>
        <w:rPr>
          <w:rFonts w:ascii="Verdana" w:hAnsi="Verdana"/>
          <w:sz w:val="16"/>
          <w:szCs w:val="16"/>
          <w:lang w:val="es-ES_tradnl"/>
        </w:rPr>
        <w:t xml:space="preserve"> adoptado en los términos del artículo 50 de </w:t>
      </w:r>
      <w:smartTag w:uri="urn:schemas-microsoft-com:office:smarttags" w:element="PersonName">
        <w:smartTagPr>
          <w:attr w:name="ProductID" w:val="la Convenci￳n. Por"/>
        </w:smartTagPr>
        <w:r>
          <w:rPr>
            <w:rFonts w:ascii="Verdana" w:hAnsi="Verdana"/>
            <w:sz w:val="16"/>
            <w:szCs w:val="16"/>
            <w:lang w:val="es-ES_tradnl"/>
          </w:rPr>
          <w:t>la Convención. Por</w:t>
        </w:r>
      </w:smartTag>
      <w:r>
        <w:rPr>
          <w:rFonts w:ascii="Verdana" w:hAnsi="Verdana"/>
          <w:sz w:val="16"/>
          <w:szCs w:val="16"/>
          <w:lang w:val="es-ES_tradnl"/>
        </w:rPr>
        <w:t xml:space="preserve"> ende, de conformidad con el artículo 33.1 del Reglamento, corresponde a </w:t>
      </w:r>
      <w:smartTag w:uri="urn:schemas-microsoft-com:office:smarttags" w:element="PersonName">
        <w:smartTagPr>
          <w:attr w:name="ProductID" w:val="la Comisi￳n"/>
        </w:smartTagPr>
        <w:r>
          <w:rPr>
            <w:rFonts w:ascii="Verdana" w:hAnsi="Verdana"/>
            <w:sz w:val="16"/>
            <w:szCs w:val="16"/>
            <w:lang w:val="es-ES_tradnl"/>
          </w:rPr>
          <w:t>la Comisión</w:t>
        </w:r>
      </w:smartTag>
      <w:r>
        <w:rPr>
          <w:rFonts w:ascii="Verdana" w:hAnsi="Verdana"/>
          <w:sz w:val="16"/>
          <w:szCs w:val="16"/>
          <w:lang w:val="es-ES_tradnl"/>
        </w:rPr>
        <w:t>, y no a este Tribunal, identificar con precisión y en la debida oportunidad procesal a l</w:t>
      </w:r>
      <w:r>
        <w:rPr>
          <w:rFonts w:ascii="Verdana" w:hAnsi="Verdana"/>
          <w:sz w:val="16"/>
          <w:szCs w:val="16"/>
          <w:lang w:val="es-ES_tradnl"/>
        </w:rPr>
        <w:t xml:space="preserve">as presuntas víctimas en un caso ante </w:t>
      </w:r>
      <w:smartTag w:uri="urn:schemas-microsoft-com:office:smarttags" w:element="PersonName">
        <w:smartTagPr>
          <w:attr w:name="ProductID" w:val="la Corte"/>
        </w:smartTagPr>
        <w:r>
          <w:rPr>
            <w:rFonts w:ascii="Verdana" w:hAnsi="Verdana"/>
            <w:sz w:val="16"/>
            <w:szCs w:val="16"/>
            <w:lang w:val="es-ES_tradnl"/>
          </w:rPr>
          <w:t>la Corte</w:t>
        </w:r>
      </w:smartTag>
      <w:r>
        <w:rPr>
          <w:rFonts w:ascii="Verdana" w:hAnsi="Verdana"/>
          <w:sz w:val="16"/>
          <w:szCs w:val="16"/>
          <w:lang w:val="es-ES_tradnl"/>
        </w:rPr>
        <w:t xml:space="preserve"> </w:t>
      </w:r>
      <w:r>
        <w:rPr>
          <w:rFonts w:ascii="Verdana" w:hAnsi="Verdana"/>
          <w:sz w:val="16"/>
          <w:szCs w:val="16"/>
        </w:rPr>
        <w:t>[…]</w:t>
      </w:r>
      <w:r>
        <w:rPr>
          <w:rFonts w:ascii="Verdana" w:hAnsi="Verdana"/>
          <w:sz w:val="16"/>
          <w:szCs w:val="16"/>
          <w:lang w:val="es-ES_tradnl"/>
        </w:rPr>
        <w:t xml:space="preserve">. Sin embargo, en su defecto, en algunas ocasiones </w:t>
      </w:r>
      <w:smartTag w:uri="urn:schemas-microsoft-com:office:smarttags" w:element="PersonName">
        <w:smartTagPr>
          <w:attr w:name="ProductID" w:val="la Corte"/>
        </w:smartTagPr>
        <w:r>
          <w:rPr>
            <w:rFonts w:ascii="Verdana" w:hAnsi="Verdana"/>
            <w:sz w:val="16"/>
            <w:szCs w:val="16"/>
            <w:lang w:val="es-ES_tradnl"/>
          </w:rPr>
          <w:t>la Corte</w:t>
        </w:r>
      </w:smartTag>
      <w:r>
        <w:rPr>
          <w:rFonts w:ascii="Verdana" w:hAnsi="Verdana"/>
          <w:sz w:val="16"/>
          <w:szCs w:val="16"/>
          <w:lang w:val="es-ES_tradnl"/>
        </w:rPr>
        <w:t xml:space="preserve"> ha considerado como víctimas a personas que no fueron alegadas como tales en la demanda, siempre y cuando se haya respetado el derecho de defensa </w:t>
      </w:r>
      <w:r>
        <w:rPr>
          <w:rFonts w:ascii="Verdana" w:hAnsi="Verdana"/>
          <w:sz w:val="16"/>
          <w:szCs w:val="16"/>
          <w:lang w:val="es-ES_tradnl"/>
        </w:rPr>
        <w:t xml:space="preserve">de las partes y las presuntas víctimas guarden relación con los hechos descritos en la demanda y con la prueba aportada ante </w:t>
      </w:r>
      <w:smartTag w:uri="urn:schemas-microsoft-com:office:smarttags" w:element="PersonName">
        <w:smartTagPr>
          <w:attr w:name="ProductID" w:val="la Corte"/>
        </w:smartTagPr>
        <w:r>
          <w:rPr>
            <w:rFonts w:ascii="Verdana" w:hAnsi="Verdana"/>
            <w:sz w:val="16"/>
            <w:szCs w:val="16"/>
            <w:lang w:val="es-ES_tradnl"/>
          </w:rPr>
          <w:t>la Corte</w:t>
        </w:r>
      </w:smartTag>
      <w:r>
        <w:rPr>
          <w:rFonts w:ascii="Verdana" w:hAnsi="Verdana"/>
          <w:sz w:val="16"/>
          <w:szCs w:val="16"/>
          <w:lang w:val="es-ES_tradnl"/>
        </w:rPr>
        <w:t xml:space="preserve"> </w:t>
      </w:r>
      <w:r>
        <w:rPr>
          <w:rFonts w:ascii="Verdana" w:hAnsi="Verdana"/>
          <w:sz w:val="16"/>
          <w:szCs w:val="16"/>
        </w:rPr>
        <w:t>[…]</w:t>
      </w:r>
      <w:r>
        <w:rPr>
          <w:rFonts w:ascii="Verdana" w:hAnsi="Verdana"/>
          <w:sz w:val="16"/>
          <w:szCs w:val="16"/>
          <w:lang w:val="es-ES_tradnl"/>
        </w:rPr>
        <w:t>.</w:t>
      </w:r>
    </w:p>
    <w:p w:rsidR="00000000" w:rsidRDefault="00687F2E">
      <w:pPr>
        <w:ind w:left="720" w:right="735"/>
        <w:jc w:val="both"/>
        <w:rPr>
          <w:rFonts w:ascii="Verdana" w:hAnsi="Verdana"/>
          <w:sz w:val="16"/>
          <w:szCs w:val="16"/>
          <w:lang w:val="es-ES_tradnl"/>
        </w:rPr>
      </w:pPr>
    </w:p>
    <w:p w:rsidR="00000000" w:rsidRDefault="00687F2E">
      <w:pPr>
        <w:ind w:left="720" w:right="735"/>
        <w:jc w:val="both"/>
        <w:rPr>
          <w:rFonts w:ascii="Verdana" w:hAnsi="Verdana"/>
          <w:sz w:val="16"/>
          <w:szCs w:val="16"/>
          <w:lang w:val="es-ES_tradnl"/>
        </w:rPr>
      </w:pPr>
      <w:r>
        <w:rPr>
          <w:rFonts w:ascii="Verdana" w:hAnsi="Verdana"/>
          <w:sz w:val="16"/>
          <w:szCs w:val="16"/>
          <w:lang w:val="es-ES_tradnl"/>
        </w:rPr>
        <w:t>73.</w:t>
      </w:r>
      <w:r>
        <w:rPr>
          <w:rFonts w:ascii="Verdana" w:hAnsi="Verdana"/>
          <w:sz w:val="16"/>
          <w:szCs w:val="16"/>
          <w:lang w:val="es-ES_tradnl"/>
        </w:rPr>
        <w:tab/>
        <w:t>Este Tribunal utilizará los siguientes criterios para definir a quiénes otras considerará como presuntas víctima</w:t>
      </w:r>
      <w:r>
        <w:rPr>
          <w:rFonts w:ascii="Verdana" w:hAnsi="Verdana"/>
          <w:sz w:val="16"/>
          <w:szCs w:val="16"/>
          <w:lang w:val="es-ES_tradnl"/>
        </w:rPr>
        <w:t>s y familiares de éstas en el presente caso: a) la oportunidad procesal en que fueron identificadas; b) el reconocimiento de responsabilidad efectuado por el Estado; c) la prueba que obra al respecto, y d) las características propias de este caso.</w:t>
      </w:r>
    </w:p>
    <w:p w:rsidR="00000000" w:rsidRDefault="00687F2E">
      <w:pPr>
        <w:ind w:left="720" w:right="735"/>
        <w:jc w:val="both"/>
        <w:rPr>
          <w:rFonts w:ascii="Verdana" w:hAnsi="Verdana"/>
          <w:sz w:val="16"/>
          <w:szCs w:val="16"/>
          <w:lang w:val="es-ES_tradnl"/>
        </w:rPr>
      </w:pPr>
    </w:p>
    <w:p w:rsidR="00000000" w:rsidRDefault="00687F2E">
      <w:pPr>
        <w:ind w:left="720" w:right="735"/>
        <w:jc w:val="both"/>
        <w:rPr>
          <w:rFonts w:ascii="Verdana" w:hAnsi="Verdana"/>
          <w:sz w:val="16"/>
          <w:szCs w:val="16"/>
          <w:lang w:val="es-ES_tradnl"/>
        </w:rPr>
      </w:pPr>
      <w:r>
        <w:rPr>
          <w:rFonts w:ascii="Verdana" w:hAnsi="Verdana"/>
          <w:sz w:val="16"/>
          <w:szCs w:val="16"/>
          <w:lang w:val="es-ES_tradnl"/>
        </w:rPr>
        <w:t>74.</w:t>
      </w:r>
      <w:r>
        <w:rPr>
          <w:rFonts w:ascii="Verdana" w:hAnsi="Verdana"/>
          <w:sz w:val="16"/>
          <w:szCs w:val="16"/>
          <w:lang w:val="es-ES_tradnl"/>
        </w:rPr>
        <w:tab/>
        <w:t xml:space="preserve">En </w:t>
      </w:r>
      <w:r>
        <w:rPr>
          <w:rFonts w:ascii="Verdana" w:hAnsi="Verdana"/>
          <w:sz w:val="16"/>
          <w:szCs w:val="16"/>
          <w:lang w:val="es-ES_tradnl"/>
        </w:rPr>
        <w:t xml:space="preserve">esta ocasión el Tribunal se ha visto en la necesidad de efectuar un laborioso examen de la prueba aportada por </w:t>
      </w:r>
      <w:smartTag w:uri="urn:schemas-microsoft-com:office:smarttags" w:element="PersonName">
        <w:smartTagPr>
          <w:attr w:name="ProductID" w:val="la Comisi￳n"/>
        </w:smartTagPr>
        <w:r>
          <w:rPr>
            <w:rFonts w:ascii="Verdana" w:hAnsi="Verdana"/>
            <w:sz w:val="16"/>
            <w:szCs w:val="16"/>
            <w:lang w:val="es-ES_tradnl"/>
          </w:rPr>
          <w:t>la Comisión</w:t>
        </w:r>
      </w:smartTag>
      <w:r>
        <w:rPr>
          <w:rFonts w:ascii="Verdana" w:hAnsi="Verdana"/>
          <w:sz w:val="16"/>
          <w:szCs w:val="16"/>
          <w:lang w:val="es-ES_tradnl"/>
        </w:rPr>
        <w:t xml:space="preserve"> y las representantes, así como de solicitar documentos adicionales como prueba para mejor resolver, orientado a reunir los elementos </w:t>
      </w:r>
      <w:r>
        <w:rPr>
          <w:rFonts w:ascii="Verdana" w:hAnsi="Verdana"/>
          <w:sz w:val="16"/>
          <w:szCs w:val="16"/>
          <w:lang w:val="es-ES_tradnl"/>
        </w:rPr>
        <w:t>necesarios para la identificación precisa de las presuntas víctimas. Luego del análisis, el Tribunal ha encontrado las diferentes situaciones mencionadas en los párrafos anteriores (</w:t>
      </w:r>
      <w:r>
        <w:rPr>
          <w:rFonts w:ascii="Verdana" w:hAnsi="Verdana"/>
          <w:i/>
          <w:sz w:val="16"/>
          <w:szCs w:val="16"/>
          <w:lang w:val="es-ES_tradnl"/>
        </w:rPr>
        <w:t xml:space="preserve">supra </w:t>
      </w:r>
      <w:r>
        <w:rPr>
          <w:rFonts w:ascii="Verdana" w:hAnsi="Verdana"/>
          <w:sz w:val="16"/>
          <w:szCs w:val="16"/>
          <w:lang w:val="es-ES_tradnl"/>
        </w:rPr>
        <w:t xml:space="preserve">párrs. </w:t>
      </w:r>
      <w:smartTag w:uri="urn:schemas-microsoft-com:office:smarttags" w:element="metricconverter">
        <w:smartTagPr>
          <w:attr w:name="ProductID" w:val="67 a"/>
        </w:smartTagPr>
        <w:r>
          <w:rPr>
            <w:rFonts w:ascii="Verdana" w:hAnsi="Verdana"/>
            <w:sz w:val="16"/>
            <w:szCs w:val="16"/>
            <w:lang w:val="es-ES_tradnl"/>
          </w:rPr>
          <w:t>67 a</w:t>
        </w:r>
      </w:smartTag>
      <w:r>
        <w:rPr>
          <w:rFonts w:ascii="Verdana" w:hAnsi="Verdana"/>
          <w:sz w:val="16"/>
          <w:szCs w:val="16"/>
          <w:lang w:val="es-ES_tradnl"/>
        </w:rPr>
        <w:t xml:space="preserve"> 71).</w:t>
      </w:r>
    </w:p>
    <w:p w:rsidR="00000000" w:rsidRDefault="00687F2E">
      <w:pPr>
        <w:ind w:left="720" w:right="735"/>
        <w:jc w:val="both"/>
        <w:rPr>
          <w:rFonts w:ascii="Verdana" w:hAnsi="Verdana"/>
          <w:sz w:val="16"/>
          <w:szCs w:val="16"/>
          <w:lang w:val="es-ES_tradnl"/>
        </w:rPr>
      </w:pPr>
      <w:r>
        <w:rPr>
          <w:rFonts w:ascii="Verdana" w:hAnsi="Verdana"/>
          <w:sz w:val="16"/>
          <w:szCs w:val="16"/>
          <w:lang w:val="es-ES_tradnl"/>
        </w:rPr>
        <w:t>[…]</w:t>
      </w:r>
    </w:p>
    <w:p w:rsidR="00000000" w:rsidRDefault="00687F2E">
      <w:pPr>
        <w:ind w:right="-7"/>
        <w:jc w:val="both"/>
        <w:rPr>
          <w:rFonts w:ascii="Verdana" w:hAnsi="Verdana"/>
          <w:sz w:val="20"/>
          <w:lang w:val="es-ES_tradnl"/>
        </w:rPr>
      </w:pPr>
    </w:p>
    <w:p w:rsidR="00000000" w:rsidRDefault="00687F2E">
      <w:pPr>
        <w:ind w:right="-7"/>
        <w:jc w:val="both"/>
        <w:rPr>
          <w:rFonts w:ascii="Verdana" w:hAnsi="Verdana"/>
          <w:sz w:val="20"/>
          <w:lang w:val="es-ES_tradnl"/>
        </w:rPr>
      </w:pPr>
      <w:r>
        <w:rPr>
          <w:rFonts w:ascii="Verdana" w:hAnsi="Verdana"/>
          <w:sz w:val="20"/>
          <w:szCs w:val="20"/>
          <w:lang w:val="es-ES_tradnl"/>
        </w:rPr>
        <w:t>29.</w:t>
      </w:r>
      <w:r>
        <w:rPr>
          <w:rFonts w:ascii="Verdana" w:hAnsi="Verdana"/>
          <w:sz w:val="20"/>
          <w:szCs w:val="20"/>
          <w:lang w:val="es-ES_tradnl"/>
        </w:rPr>
        <w:tab/>
        <w:t>Una vez aclarado quienes tendrían el carác</w:t>
      </w:r>
      <w:r>
        <w:rPr>
          <w:rFonts w:ascii="Verdana" w:hAnsi="Verdana"/>
          <w:sz w:val="20"/>
          <w:szCs w:val="20"/>
          <w:lang w:val="es-ES_tradnl"/>
        </w:rPr>
        <w:t>ter de presuntas víctimas para efectos del proceso, efectivamente en el capítulo de Hechos Probados (</w:t>
      </w:r>
      <w:r>
        <w:rPr>
          <w:rFonts w:ascii="Verdana" w:hAnsi="Verdana"/>
          <w:sz w:val="20"/>
          <w:lang w:val="es-ES_tradnl"/>
        </w:rPr>
        <w:t xml:space="preserve">párrafos 80.106 y 80.100) </w:t>
      </w:r>
      <w:smartTag w:uri="urn:schemas-microsoft-com:office:smarttags" w:element="PersonName">
        <w:smartTagPr>
          <w:attr w:name="ProductID" w:val="la Corte"/>
        </w:smartTagPr>
        <w:r>
          <w:rPr>
            <w:rFonts w:ascii="Verdana" w:hAnsi="Verdana"/>
            <w:sz w:val="20"/>
            <w:lang w:val="es-ES_tradnl"/>
          </w:rPr>
          <w:t>la Corte</w:t>
        </w:r>
      </w:smartTag>
      <w:r>
        <w:rPr>
          <w:rFonts w:ascii="Verdana" w:hAnsi="Verdana"/>
          <w:sz w:val="20"/>
          <w:lang w:val="es-ES_tradnl"/>
        </w:rPr>
        <w:t xml:space="preserve"> tuvo por probado, </w:t>
      </w:r>
      <w:r>
        <w:rPr>
          <w:rFonts w:ascii="Verdana" w:hAnsi="Verdana"/>
          <w:i/>
          <w:sz w:val="20"/>
          <w:lang w:val="es-ES_tradnl"/>
        </w:rPr>
        <w:t>inter alia</w:t>
      </w:r>
      <w:r>
        <w:rPr>
          <w:rFonts w:ascii="Verdana" w:hAnsi="Verdana"/>
          <w:sz w:val="20"/>
          <w:lang w:val="es-ES_tradnl"/>
        </w:rPr>
        <w:t>, que la señora Carmen Juana Mariños Figueroa y el señor Marcelino Marcos Pablo Meza eran he</w:t>
      </w:r>
      <w:r>
        <w:rPr>
          <w:rFonts w:ascii="Verdana" w:hAnsi="Verdana"/>
          <w:sz w:val="20"/>
          <w:lang w:val="es-ES_tradnl"/>
        </w:rPr>
        <w:t xml:space="preserve">rmana y hermano, respectivamente, de los señores Juan Gabriel Mariños Figueroa y Heráclides Pablo Meza. Luego, en los capítulos subsiguientes, </w:t>
      </w:r>
      <w:smartTag w:uri="urn:schemas-microsoft-com:office:smarttags" w:element="PersonName">
        <w:smartTagPr>
          <w:attr w:name="ProductID" w:val="la Corte"/>
        </w:smartTagPr>
        <w:r>
          <w:rPr>
            <w:rFonts w:ascii="Verdana" w:hAnsi="Verdana"/>
            <w:sz w:val="20"/>
            <w:lang w:val="es-ES_tradnl"/>
          </w:rPr>
          <w:t>la Corte</w:t>
        </w:r>
      </w:smartTag>
      <w:r>
        <w:rPr>
          <w:rFonts w:ascii="Verdana" w:hAnsi="Verdana"/>
          <w:sz w:val="20"/>
          <w:lang w:val="es-ES_tradnl"/>
        </w:rPr>
        <w:t xml:space="preserve"> entró a valorar si existía prueba para determinar si esas personas </w:t>
      </w:r>
      <w:r>
        <w:rPr>
          <w:rFonts w:ascii="Verdana" w:hAnsi="Verdana"/>
          <w:sz w:val="20"/>
          <w:lang w:val="es-ES_tradnl"/>
        </w:rPr>
        <w:lastRenderedPageBreak/>
        <w:t>eran víctimas ellas mismas de las vio</w:t>
      </w:r>
      <w:r>
        <w:rPr>
          <w:rFonts w:ascii="Verdana" w:hAnsi="Verdana"/>
          <w:sz w:val="20"/>
          <w:lang w:val="es-ES_tradnl"/>
        </w:rPr>
        <w:t xml:space="preserve">laciones a </w:t>
      </w:r>
      <w:smartTag w:uri="urn:schemas-microsoft-com:office:smarttags" w:element="PersonName">
        <w:smartTagPr>
          <w:attr w:name="ProductID" w:val="la Convenci￳n"/>
        </w:smartTagPr>
        <w:r>
          <w:rPr>
            <w:rFonts w:ascii="Verdana" w:hAnsi="Verdana"/>
            <w:sz w:val="20"/>
            <w:lang w:val="es-ES_tradnl"/>
          </w:rPr>
          <w:t>la Convención</w:t>
        </w:r>
      </w:smartTag>
      <w:r>
        <w:rPr>
          <w:rFonts w:ascii="Verdana" w:hAnsi="Verdana"/>
          <w:sz w:val="20"/>
          <w:lang w:val="es-ES_tradnl"/>
        </w:rPr>
        <w:t xml:space="preserve"> alegadas. Es decir, independientemente de que su parentesco con las víctimas hubiese sido probado, </w:t>
      </w:r>
      <w:smartTag w:uri="urn:schemas-microsoft-com:office:smarttags" w:element="PersonName">
        <w:smartTagPr>
          <w:attr w:name="ProductID" w:val="la Corte"/>
        </w:smartTagPr>
        <w:r>
          <w:rPr>
            <w:rFonts w:ascii="Verdana" w:hAnsi="Verdana"/>
            <w:sz w:val="20"/>
            <w:lang w:val="es-ES_tradnl"/>
          </w:rPr>
          <w:t>la Corte</w:t>
        </w:r>
      </w:smartTag>
      <w:r>
        <w:rPr>
          <w:rFonts w:ascii="Verdana" w:hAnsi="Verdana"/>
          <w:sz w:val="20"/>
          <w:lang w:val="es-ES_tradnl"/>
        </w:rPr>
        <w:t xml:space="preserve"> pasó a establecer si el Estado era responsable por una alegada violación de un derecho protegido por </w:t>
      </w:r>
      <w:smartTag w:uri="urn:schemas-microsoft-com:office:smarttags" w:element="PersonName">
        <w:smartTagPr>
          <w:attr w:name="ProductID" w:val="la Convenci￳n"/>
        </w:smartTagPr>
        <w:r>
          <w:rPr>
            <w:rFonts w:ascii="Verdana" w:hAnsi="Verdana"/>
            <w:sz w:val="20"/>
            <w:lang w:val="es-ES_tradnl"/>
          </w:rPr>
          <w:t>la Convención</w:t>
        </w:r>
      </w:smartTag>
      <w:r>
        <w:rPr>
          <w:rFonts w:ascii="Verdana" w:hAnsi="Verdana"/>
          <w:sz w:val="20"/>
          <w:lang w:val="es-ES_tradnl"/>
        </w:rPr>
        <w:t xml:space="preserve"> en su pe</w:t>
      </w:r>
      <w:r>
        <w:rPr>
          <w:rFonts w:ascii="Verdana" w:hAnsi="Verdana"/>
          <w:sz w:val="20"/>
          <w:lang w:val="es-ES_tradnl"/>
        </w:rPr>
        <w:t xml:space="preserve">rjuicio. </w:t>
      </w:r>
    </w:p>
    <w:p w:rsidR="00000000" w:rsidRDefault="00687F2E">
      <w:pPr>
        <w:ind w:right="-7"/>
        <w:jc w:val="both"/>
        <w:rPr>
          <w:rFonts w:ascii="Verdana" w:hAnsi="Verdana"/>
          <w:sz w:val="20"/>
          <w:lang w:val="es-ES_tradnl"/>
        </w:rPr>
      </w:pPr>
    </w:p>
    <w:p w:rsidR="00000000" w:rsidRDefault="00687F2E">
      <w:pPr>
        <w:ind w:right="-7"/>
        <w:jc w:val="both"/>
        <w:rPr>
          <w:rFonts w:ascii="Verdana" w:hAnsi="Verdana"/>
          <w:sz w:val="20"/>
          <w:lang w:val="es-ES_tradnl"/>
        </w:rPr>
      </w:pPr>
      <w:r>
        <w:rPr>
          <w:rFonts w:ascii="Verdana" w:hAnsi="Verdana"/>
          <w:sz w:val="20"/>
          <w:lang w:val="es-ES_tradnl"/>
        </w:rPr>
        <w:t>30.</w:t>
      </w:r>
      <w:r>
        <w:rPr>
          <w:rFonts w:ascii="Verdana" w:hAnsi="Verdana"/>
          <w:sz w:val="20"/>
          <w:lang w:val="es-ES_tradnl"/>
        </w:rPr>
        <w:tab/>
        <w:t xml:space="preserve">Así, por ejemplo, el Tribunal hizo las siguientes consideraciones en el capítulo relativo a la alegada violación del artículo 5 de </w:t>
      </w:r>
      <w:smartTag w:uri="urn:schemas-microsoft-com:office:smarttags" w:element="PersonName">
        <w:smartTagPr>
          <w:attr w:name="ProductID" w:val="la Convenci￳n"/>
        </w:smartTagPr>
        <w:r>
          <w:rPr>
            <w:rFonts w:ascii="Verdana" w:hAnsi="Verdana"/>
            <w:sz w:val="20"/>
            <w:lang w:val="es-ES_tradnl"/>
          </w:rPr>
          <w:t>la Convención</w:t>
        </w:r>
      </w:smartTag>
      <w:r>
        <w:rPr>
          <w:rFonts w:ascii="Verdana" w:hAnsi="Verdana"/>
          <w:sz w:val="20"/>
          <w:lang w:val="es-ES_tradnl"/>
        </w:rPr>
        <w:t xml:space="preserve">: </w:t>
      </w:r>
    </w:p>
    <w:p w:rsidR="00000000" w:rsidRDefault="00687F2E">
      <w:pPr>
        <w:jc w:val="both"/>
        <w:rPr>
          <w:rFonts w:ascii="Verdana" w:hAnsi="Verdana"/>
          <w:sz w:val="20"/>
          <w:lang w:val="es-ES_tradnl"/>
        </w:rPr>
      </w:pPr>
    </w:p>
    <w:p w:rsidR="00000000" w:rsidRDefault="00687F2E">
      <w:pPr>
        <w:ind w:left="720" w:right="720"/>
        <w:jc w:val="both"/>
        <w:rPr>
          <w:rFonts w:ascii="Verdana" w:hAnsi="Verdana"/>
          <w:sz w:val="16"/>
          <w:lang w:val="es-ES_tradnl"/>
        </w:rPr>
      </w:pPr>
      <w:r>
        <w:rPr>
          <w:rFonts w:ascii="Verdana" w:hAnsi="Verdana"/>
          <w:sz w:val="16"/>
          <w:lang w:val="es-ES_tradnl"/>
        </w:rPr>
        <w:t>124.</w:t>
      </w:r>
      <w:r>
        <w:rPr>
          <w:rFonts w:ascii="Verdana" w:hAnsi="Verdana"/>
          <w:sz w:val="16"/>
          <w:lang w:val="es-ES_tradnl"/>
        </w:rPr>
        <w:tab/>
        <w:t xml:space="preserve">Atendiendo a su jurisprudencia […], </w:t>
      </w:r>
      <w:smartTag w:uri="urn:schemas-microsoft-com:office:smarttags" w:element="PersonName">
        <w:smartTagPr>
          <w:attr w:name="ProductID" w:val="la Corte"/>
        </w:smartTagPr>
        <w:r>
          <w:rPr>
            <w:rFonts w:ascii="Verdana" w:hAnsi="Verdana"/>
            <w:sz w:val="16"/>
            <w:lang w:val="es-ES_tradnl"/>
          </w:rPr>
          <w:t>la Corte</w:t>
        </w:r>
      </w:smartTag>
      <w:r>
        <w:rPr>
          <w:rFonts w:ascii="Verdana" w:hAnsi="Verdana"/>
          <w:sz w:val="16"/>
          <w:lang w:val="es-ES_tradnl"/>
        </w:rPr>
        <w:t xml:space="preserve"> determina ahora si el sufrimiento padecido </w:t>
      </w:r>
      <w:r>
        <w:rPr>
          <w:rFonts w:ascii="Verdana" w:hAnsi="Verdana"/>
          <w:sz w:val="16"/>
          <w:lang w:val="es-ES_tradnl"/>
        </w:rPr>
        <w:t xml:space="preserve">como consecuencia de las circunstancias particulares de las violaciones perpetradas contra las víctimas, las situaciones vividas por algunos de ellos en ese contexto y las posteriores actuaciones u omisiones de las autoridades estatales, violan el derecho </w:t>
      </w:r>
      <w:r>
        <w:rPr>
          <w:rFonts w:ascii="Verdana" w:hAnsi="Verdana"/>
          <w:sz w:val="16"/>
          <w:lang w:val="es-ES_tradnl"/>
        </w:rPr>
        <w:t xml:space="preserve">a la integridad personal de los familiares de las víctimas frente a los hechos en el presente caso. </w:t>
      </w:r>
    </w:p>
    <w:p w:rsidR="00000000" w:rsidRDefault="00687F2E">
      <w:pPr>
        <w:ind w:left="720" w:right="720"/>
        <w:jc w:val="both"/>
        <w:rPr>
          <w:rFonts w:ascii="Verdana" w:hAnsi="Verdana"/>
          <w:sz w:val="16"/>
          <w:lang w:val="es-ES_tradnl"/>
        </w:rPr>
      </w:pPr>
      <w:r>
        <w:rPr>
          <w:rFonts w:ascii="Verdana" w:hAnsi="Verdana"/>
          <w:sz w:val="16"/>
          <w:lang w:val="es-ES_tradnl"/>
        </w:rPr>
        <w:t>[…]</w:t>
      </w:r>
    </w:p>
    <w:p w:rsidR="00000000" w:rsidRDefault="00687F2E">
      <w:pPr>
        <w:ind w:left="720" w:right="720"/>
        <w:jc w:val="both"/>
        <w:rPr>
          <w:rFonts w:ascii="Verdana" w:hAnsi="Verdana"/>
          <w:sz w:val="16"/>
          <w:lang w:val="es-ES_tradnl"/>
        </w:rPr>
      </w:pPr>
    </w:p>
    <w:p w:rsidR="00000000" w:rsidRDefault="00687F2E">
      <w:pPr>
        <w:ind w:left="720" w:right="720"/>
        <w:jc w:val="both"/>
        <w:rPr>
          <w:rFonts w:ascii="Verdana" w:hAnsi="Verdana"/>
          <w:sz w:val="16"/>
          <w:lang w:val="es-ES_tradnl"/>
        </w:rPr>
      </w:pPr>
      <w:r>
        <w:rPr>
          <w:rFonts w:ascii="Verdana" w:hAnsi="Verdana"/>
          <w:sz w:val="16"/>
          <w:lang w:val="es-ES_tradnl"/>
        </w:rPr>
        <w:t>127.</w:t>
      </w:r>
      <w:r>
        <w:rPr>
          <w:rFonts w:ascii="Verdana" w:hAnsi="Verdana"/>
          <w:sz w:val="16"/>
          <w:lang w:val="es-ES_tradnl"/>
        </w:rPr>
        <w:tab/>
      </w:r>
      <w:smartTag w:uri="urn:schemas-microsoft-com:office:smarttags" w:element="PersonName">
        <w:smartTagPr>
          <w:attr w:name="ProductID" w:val="la Corte"/>
        </w:smartTagPr>
        <w:r>
          <w:rPr>
            <w:rFonts w:ascii="Verdana" w:hAnsi="Verdana"/>
            <w:sz w:val="16"/>
            <w:lang w:val="es-ES_tradnl"/>
          </w:rPr>
          <w:t>La Corte</w:t>
        </w:r>
      </w:smartTag>
      <w:r>
        <w:rPr>
          <w:rFonts w:ascii="Verdana" w:hAnsi="Verdana"/>
          <w:sz w:val="16"/>
          <w:lang w:val="es-ES_tradnl"/>
        </w:rPr>
        <w:t xml:space="preserve"> considera necesario precisar que</w:t>
      </w:r>
      <w:r>
        <w:rPr>
          <w:rFonts w:ascii="Verdana" w:hAnsi="Verdana"/>
          <w:b/>
          <w:sz w:val="16"/>
          <w:lang w:val="es-ES_tradnl"/>
        </w:rPr>
        <w:t xml:space="preserve"> </w:t>
      </w:r>
      <w:r>
        <w:rPr>
          <w:rFonts w:ascii="Verdana" w:hAnsi="Verdana"/>
          <w:sz w:val="16"/>
          <w:lang w:val="es-ES_tradnl"/>
        </w:rPr>
        <w:t>la víctima Heráclides Pérez Meza vivió por más de siete años con su tía, la señora Dina Flormelania Pab</w:t>
      </w:r>
      <w:r>
        <w:rPr>
          <w:rFonts w:ascii="Verdana" w:hAnsi="Verdana"/>
          <w:sz w:val="16"/>
          <w:lang w:val="es-ES_tradnl"/>
        </w:rPr>
        <w:t>lo Mateo, desde que se mudó a Lima para realizar sus estudios universitarios. Asimismo, la víctima Dora Oyague Fierro vivió desde niña con su padre y sus tíos paternos, a saber, la señora Carmen Oyague Velazco y el señor Jaime Oyague Velazco.  Además, la v</w:t>
      </w:r>
      <w:r>
        <w:rPr>
          <w:rFonts w:ascii="Verdana" w:hAnsi="Verdana"/>
          <w:sz w:val="16"/>
          <w:lang w:val="es-ES_tradnl"/>
        </w:rPr>
        <w:t>íctima Robert Edgar Teodoro Espinoza fue criado por su padre y por la señora Bertila Bravo Trujillo.  En los tres casos, una vez ocurrida la desaparición de las víctimas, dichos familiares emprendieron su búsqueda e interpusieron, en algunos casos, accione</w:t>
      </w:r>
      <w:r>
        <w:rPr>
          <w:rFonts w:ascii="Verdana" w:hAnsi="Verdana"/>
          <w:sz w:val="16"/>
          <w:lang w:val="es-ES_tradnl"/>
        </w:rPr>
        <w:t>s judiciales ante las autoridades; es decir, se enfrentaron al aparato de justicia obstaculizador, sufriendo los efectos directos del mismo (</w:t>
      </w:r>
      <w:r>
        <w:rPr>
          <w:rFonts w:ascii="Verdana" w:hAnsi="Verdana"/>
          <w:i/>
          <w:sz w:val="16"/>
          <w:lang w:val="es-ES_tradnl"/>
        </w:rPr>
        <w:t xml:space="preserve">supra </w:t>
      </w:r>
      <w:r>
        <w:rPr>
          <w:rFonts w:ascii="Verdana" w:hAnsi="Verdana"/>
          <w:sz w:val="16"/>
          <w:lang w:val="es-ES_tradnl"/>
        </w:rPr>
        <w:t xml:space="preserve">párr. </w:t>
      </w:r>
      <w:smartTag w:uri="urn:schemas-microsoft-com:office:smarttags" w:element="metricconverter">
        <w:smartTagPr>
          <w:attr w:name="ProductID" w:val="80.19 a"/>
        </w:smartTagPr>
        <w:r>
          <w:rPr>
            <w:rFonts w:ascii="Verdana" w:hAnsi="Verdana"/>
            <w:sz w:val="16"/>
            <w:lang w:val="es-ES_tradnl"/>
          </w:rPr>
          <w:t>80.19 a</w:t>
        </w:r>
      </w:smartTag>
      <w:r>
        <w:rPr>
          <w:rFonts w:ascii="Verdana" w:hAnsi="Verdana"/>
          <w:sz w:val="16"/>
          <w:lang w:val="es-ES_tradnl"/>
        </w:rPr>
        <w:t xml:space="preserve"> 80.21 y 80.24).</w:t>
      </w:r>
    </w:p>
    <w:p w:rsidR="00000000" w:rsidRDefault="00687F2E">
      <w:pPr>
        <w:ind w:left="720" w:right="720"/>
        <w:jc w:val="both"/>
        <w:rPr>
          <w:rFonts w:ascii="Verdana" w:hAnsi="Verdana"/>
          <w:sz w:val="16"/>
          <w:lang w:val="es-ES_tradnl"/>
        </w:rPr>
      </w:pPr>
    </w:p>
    <w:p w:rsidR="00000000" w:rsidRDefault="00687F2E">
      <w:pPr>
        <w:ind w:left="720" w:right="720"/>
        <w:jc w:val="both"/>
        <w:rPr>
          <w:rFonts w:ascii="Verdana" w:hAnsi="Verdana"/>
          <w:sz w:val="16"/>
          <w:lang w:val="es-ES_tradnl"/>
        </w:rPr>
      </w:pPr>
      <w:r>
        <w:rPr>
          <w:rFonts w:ascii="Verdana" w:hAnsi="Verdana"/>
          <w:sz w:val="16"/>
          <w:lang w:val="es-ES_tradnl"/>
        </w:rPr>
        <w:t>128.</w:t>
      </w:r>
      <w:r>
        <w:rPr>
          <w:rFonts w:ascii="Verdana" w:hAnsi="Verdana"/>
          <w:sz w:val="16"/>
          <w:lang w:val="es-ES_tradnl"/>
        </w:rPr>
        <w:tab/>
      </w:r>
      <w:smartTag w:uri="urn:schemas-microsoft-com:office:smarttags" w:element="PersonName">
        <w:smartTagPr>
          <w:attr w:name="ProductID" w:val="la Corte"/>
        </w:smartTagPr>
        <w:r>
          <w:rPr>
            <w:rFonts w:ascii="Verdana" w:hAnsi="Verdana"/>
            <w:sz w:val="16"/>
            <w:lang w:val="es-ES_tradnl"/>
          </w:rPr>
          <w:t>La Corte</w:t>
        </w:r>
      </w:smartTag>
      <w:r>
        <w:rPr>
          <w:rFonts w:ascii="Verdana" w:hAnsi="Verdana"/>
          <w:sz w:val="16"/>
          <w:lang w:val="es-ES_tradnl"/>
        </w:rPr>
        <w:t xml:space="preserve"> observa, además, que tanto </w:t>
      </w:r>
      <w:smartTag w:uri="urn:schemas-microsoft-com:office:smarttags" w:element="PersonName">
        <w:smartTagPr>
          <w:attr w:name="ProductID" w:val="la Comisi￳n Interamericana"/>
        </w:smartTagPr>
        <w:r>
          <w:rPr>
            <w:rFonts w:ascii="Verdana" w:hAnsi="Verdana"/>
            <w:sz w:val="16"/>
            <w:lang w:val="es-ES_tradnl"/>
          </w:rPr>
          <w:t>la Comisión Interamericana</w:t>
        </w:r>
      </w:smartTag>
      <w:r>
        <w:rPr>
          <w:rFonts w:ascii="Verdana" w:hAnsi="Verdana"/>
          <w:sz w:val="16"/>
          <w:lang w:val="es-ES_tradnl"/>
        </w:rPr>
        <w:t xml:space="preserve"> como las r</w:t>
      </w:r>
      <w:r>
        <w:rPr>
          <w:rFonts w:ascii="Verdana" w:hAnsi="Verdana"/>
          <w:sz w:val="16"/>
          <w:lang w:val="es-ES_tradnl"/>
        </w:rPr>
        <w:t xml:space="preserve">epresentantes señalaron a diversos hermanos y hermanas de las personas ejecutadas o desaparecidas como presuntas víctimas de la violación del artículo 5 de </w:t>
      </w:r>
      <w:smartTag w:uri="urn:schemas-microsoft-com:office:smarttags" w:element="PersonName">
        <w:smartTagPr>
          <w:attr w:name="ProductID" w:val="la Convenci￳n.  Sin"/>
        </w:smartTagPr>
        <w:r>
          <w:rPr>
            <w:rFonts w:ascii="Verdana" w:hAnsi="Verdana"/>
            <w:sz w:val="16"/>
            <w:lang w:val="es-ES_tradnl"/>
          </w:rPr>
          <w:t xml:space="preserve">la Convención.  </w:t>
        </w:r>
        <w:r>
          <w:rPr>
            <w:rFonts w:ascii="Verdana" w:hAnsi="Verdana"/>
            <w:i/>
            <w:sz w:val="16"/>
            <w:lang w:val="es-ES_tradnl"/>
          </w:rPr>
          <w:t>Sin</w:t>
        </w:r>
      </w:smartTag>
      <w:r>
        <w:rPr>
          <w:rFonts w:ascii="Verdana" w:hAnsi="Verdana"/>
          <w:i/>
          <w:sz w:val="16"/>
          <w:lang w:val="es-ES_tradnl"/>
        </w:rPr>
        <w:t xml:space="preserve"> embargo, en varios de esos casos no fue aportada prueba suficiente que permita a</w:t>
      </w:r>
      <w:r>
        <w:rPr>
          <w:rFonts w:ascii="Verdana" w:hAnsi="Verdana"/>
          <w:i/>
          <w:sz w:val="16"/>
          <w:lang w:val="es-ES_tradnl"/>
        </w:rPr>
        <w:t xml:space="preserve">l Tribunal establecer un perjuicio cierto respecto de dichos familiares.  Por ende, </w:t>
      </w:r>
      <w:smartTag w:uri="urn:schemas-microsoft-com:office:smarttags" w:element="PersonName">
        <w:smartTagPr>
          <w:attr w:name="ProductID" w:val="la Corte"/>
        </w:smartTagPr>
        <w:r>
          <w:rPr>
            <w:rFonts w:ascii="Verdana" w:hAnsi="Verdana"/>
            <w:i/>
            <w:sz w:val="16"/>
            <w:lang w:val="es-ES_tradnl"/>
          </w:rPr>
          <w:t>la Corte</w:t>
        </w:r>
      </w:smartTag>
      <w:r>
        <w:rPr>
          <w:rFonts w:ascii="Verdana" w:hAnsi="Verdana"/>
          <w:i/>
          <w:sz w:val="16"/>
          <w:lang w:val="es-ES_tradnl"/>
        </w:rPr>
        <w:t xml:space="preserve"> considera como víctimas a los hermanos y hermanas respecto de quienes se cuente con prueba suficiente al respecto.</w:t>
      </w:r>
      <w:r>
        <w:rPr>
          <w:rFonts w:ascii="Verdana" w:hAnsi="Verdana"/>
          <w:sz w:val="16"/>
          <w:lang w:val="es-ES_tradnl"/>
        </w:rPr>
        <w:t xml:space="preserve"> [(énfasis agregado)]</w:t>
      </w:r>
    </w:p>
    <w:p w:rsidR="00000000" w:rsidRDefault="00687F2E">
      <w:pPr>
        <w:ind w:right="-7"/>
        <w:jc w:val="both"/>
        <w:rPr>
          <w:rFonts w:ascii="Verdana" w:hAnsi="Verdana"/>
          <w:sz w:val="20"/>
          <w:szCs w:val="20"/>
          <w:lang w:val="es-ES_tradnl"/>
        </w:rPr>
      </w:pPr>
    </w:p>
    <w:p w:rsidR="00000000" w:rsidRDefault="00687F2E">
      <w:pPr>
        <w:jc w:val="both"/>
        <w:rPr>
          <w:rFonts w:ascii="Verdana" w:hAnsi="Verdana"/>
          <w:sz w:val="20"/>
          <w:lang w:val="es-ES_tradnl"/>
        </w:rPr>
      </w:pPr>
      <w:r>
        <w:rPr>
          <w:rFonts w:ascii="Verdana" w:hAnsi="Verdana"/>
          <w:sz w:val="20"/>
          <w:szCs w:val="20"/>
          <w:lang w:val="es-ES_tradnl"/>
        </w:rPr>
        <w:t>31.</w:t>
      </w:r>
      <w:r>
        <w:rPr>
          <w:rFonts w:ascii="Verdana" w:hAnsi="Verdana"/>
          <w:sz w:val="20"/>
          <w:szCs w:val="20"/>
          <w:lang w:val="es-ES_tradnl"/>
        </w:rPr>
        <w:tab/>
        <w:t xml:space="preserve">Es decir, </w:t>
      </w:r>
      <w:r>
        <w:rPr>
          <w:rFonts w:ascii="Verdana" w:hAnsi="Verdana"/>
          <w:sz w:val="20"/>
          <w:lang w:val="es-ES_tradnl"/>
        </w:rPr>
        <w:t>no fue aport</w:t>
      </w:r>
      <w:r>
        <w:rPr>
          <w:rFonts w:ascii="Verdana" w:hAnsi="Verdana"/>
          <w:sz w:val="20"/>
          <w:lang w:val="es-ES_tradnl"/>
        </w:rPr>
        <w:t>ada prueba suficiente que permitiera al Tribunal establecer que la señora Carmen Juana Mariños Figueroa y el señor Marcelino Marcos Pablo Meza</w:t>
      </w:r>
      <w:r>
        <w:rPr>
          <w:rFonts w:ascii="Verdana" w:hAnsi="Verdana"/>
          <w:sz w:val="20"/>
          <w:szCs w:val="20"/>
          <w:lang w:val="es-ES_tradnl"/>
        </w:rPr>
        <w:t xml:space="preserve"> fueran víctimas de la alegada violación del artículo 5.1 de </w:t>
      </w:r>
      <w:smartTag w:uri="urn:schemas-microsoft-com:office:smarttags" w:element="PersonName">
        <w:smartTagPr>
          <w:attr w:name="ProductID" w:val="la Convenci￳n"/>
        </w:smartTagPr>
        <w:r>
          <w:rPr>
            <w:rFonts w:ascii="Verdana" w:hAnsi="Verdana"/>
            <w:sz w:val="20"/>
            <w:szCs w:val="20"/>
            <w:lang w:val="es-ES_tradnl"/>
          </w:rPr>
          <w:t>la Convención</w:t>
        </w:r>
      </w:smartTag>
      <w:r>
        <w:rPr>
          <w:rFonts w:ascii="Verdana" w:hAnsi="Verdana"/>
          <w:sz w:val="20"/>
          <w:szCs w:val="20"/>
          <w:lang w:val="es-ES_tradnl"/>
        </w:rPr>
        <w:t xml:space="preserve"> (párrafo 129).</w:t>
      </w:r>
      <w:r>
        <w:rPr>
          <w:rFonts w:ascii="Verdana" w:hAnsi="Verdana"/>
          <w:b/>
          <w:sz w:val="20"/>
          <w:szCs w:val="20"/>
          <w:lang w:val="es-ES_tradnl"/>
        </w:rPr>
        <w:t xml:space="preserve"> </w:t>
      </w:r>
      <w:r>
        <w:rPr>
          <w:rFonts w:ascii="Verdana" w:hAnsi="Verdana"/>
          <w:sz w:val="20"/>
          <w:szCs w:val="20"/>
          <w:lang w:val="es-ES_tradnl"/>
        </w:rPr>
        <w:t xml:space="preserve">En esta misma situación </w:t>
      </w:r>
      <w:r>
        <w:rPr>
          <w:rFonts w:ascii="Verdana" w:hAnsi="Verdana"/>
          <w:sz w:val="20"/>
          <w:szCs w:val="20"/>
          <w:lang w:val="es-ES_tradnl"/>
        </w:rPr>
        <w:t xml:space="preserve">estaban las señores y los señores Celina Pablo Meza, Cristina Pablo Meza, Wil Eduardo Mariños Figueroa, </w:t>
      </w:r>
      <w:r>
        <w:rPr>
          <w:rFonts w:ascii="Verdana" w:hAnsi="Verdana"/>
          <w:sz w:val="20"/>
          <w:lang w:val="es-ES_tradnl"/>
        </w:rPr>
        <w:t>Marilú Lozano Torres, Jimmy Anthony Lozano Torres, Miguel Lozano Torres, Augusto Lozano Torres, Celestino Eugencio Rosales Cárdenas, Saturnina Julia Ros</w:t>
      </w:r>
      <w:r>
        <w:rPr>
          <w:rFonts w:ascii="Verdana" w:hAnsi="Verdana"/>
          <w:sz w:val="20"/>
          <w:lang w:val="es-ES_tradnl"/>
        </w:rPr>
        <w:t>ales Cárdenas, Ronald Daniel Taboada Fierro, Gustavo Taboada Fierro, Luz Beatriz Taboada Fierro y Rita Ondina Oyague Sulca,</w:t>
      </w:r>
      <w:r>
        <w:rPr>
          <w:rFonts w:ascii="Verdana" w:hAnsi="Verdana"/>
          <w:sz w:val="20"/>
          <w:szCs w:val="20"/>
          <w:lang w:val="es-ES_tradnl"/>
        </w:rPr>
        <w:t xml:space="preserve"> quienes tampoco fueron declarados víctimas de dicha violación a pesar de haber sido demostrado que eran hermanos de las víctimas.</w:t>
      </w:r>
      <w:r>
        <w:rPr>
          <w:rFonts w:ascii="Verdana" w:hAnsi="Verdana"/>
          <w:b/>
          <w:sz w:val="20"/>
          <w:szCs w:val="20"/>
          <w:lang w:val="es-ES_tradnl"/>
        </w:rPr>
        <w:t xml:space="preserve"> </w:t>
      </w:r>
      <w:r>
        <w:rPr>
          <w:rFonts w:ascii="Verdana" w:hAnsi="Verdana"/>
          <w:sz w:val="20"/>
          <w:szCs w:val="20"/>
          <w:lang w:val="es-ES_tradnl"/>
        </w:rPr>
        <w:t>Se</w:t>
      </w:r>
      <w:r>
        <w:rPr>
          <w:rFonts w:ascii="Verdana" w:hAnsi="Verdana"/>
          <w:sz w:val="20"/>
          <w:szCs w:val="20"/>
          <w:lang w:val="es-ES_tradnl"/>
        </w:rPr>
        <w:t xml:space="preserve">gún lo establecido en el artículo 63.1 de </w:t>
      </w:r>
      <w:smartTag w:uri="urn:schemas-microsoft-com:office:smarttags" w:element="PersonName">
        <w:smartTagPr>
          <w:attr w:name="ProductID" w:val="la Convenci￳n"/>
        </w:smartTagPr>
        <w:r>
          <w:rPr>
            <w:rFonts w:ascii="Verdana" w:hAnsi="Verdana"/>
            <w:sz w:val="20"/>
            <w:szCs w:val="20"/>
            <w:lang w:val="es-ES_tradnl"/>
          </w:rPr>
          <w:t>la Convención</w:t>
        </w:r>
      </w:smartTag>
      <w:r>
        <w:rPr>
          <w:rFonts w:ascii="Verdana" w:hAnsi="Verdana"/>
          <w:sz w:val="20"/>
          <w:szCs w:val="20"/>
          <w:lang w:val="es-ES_tradnl"/>
        </w:rPr>
        <w:t>, “</w:t>
      </w:r>
      <w:r>
        <w:rPr>
          <w:rFonts w:ascii="Verdana" w:hAnsi="Verdana" w:cs="Tahoma"/>
          <w:sz w:val="20"/>
          <w:szCs w:val="20"/>
        </w:rPr>
        <w:t xml:space="preserve">[c]uando decida que hubo violación de un derecho o libertad protegidos en [la] Convención, </w:t>
      </w:r>
      <w:smartTag w:uri="urn:schemas-microsoft-com:office:smarttags" w:element="PersonName">
        <w:smartTagPr>
          <w:attr w:name="ProductID" w:val="la Corte"/>
        </w:smartTagPr>
        <w:r>
          <w:rPr>
            <w:rFonts w:ascii="Verdana" w:hAnsi="Verdana" w:cs="Tahoma"/>
            <w:sz w:val="20"/>
            <w:szCs w:val="20"/>
          </w:rPr>
          <w:t>la Corte</w:t>
        </w:r>
      </w:smartTag>
      <w:r>
        <w:rPr>
          <w:rFonts w:ascii="Verdana" w:hAnsi="Verdana" w:cs="Tahoma"/>
          <w:sz w:val="20"/>
          <w:szCs w:val="20"/>
        </w:rPr>
        <w:t xml:space="preserve"> dispondrá que se garantice al lesionado en el goce de su derecho o libertad conculcados</w:t>
      </w:r>
      <w:r>
        <w:rPr>
          <w:rFonts w:ascii="Verdana" w:hAnsi="Verdana"/>
          <w:sz w:val="20"/>
          <w:szCs w:val="20"/>
          <w:lang w:val="es-ES_tradnl"/>
        </w:rPr>
        <w:t>”. Es decir</w:t>
      </w:r>
      <w:r>
        <w:rPr>
          <w:rFonts w:ascii="Verdana" w:hAnsi="Verdana"/>
          <w:sz w:val="20"/>
          <w:szCs w:val="20"/>
          <w:lang w:val="es-ES_tradnl"/>
        </w:rPr>
        <w:t xml:space="preserve">, la parte lesionada está constituida por aquellas personas que han sido declaradas víctimas en </w:t>
      </w:r>
      <w:smartTag w:uri="urn:schemas-microsoft-com:office:smarttags" w:element="PersonName">
        <w:smartTagPr>
          <w:attr w:name="ProductID" w:val="la Sentencia"/>
        </w:smartTagPr>
        <w:r>
          <w:rPr>
            <w:rFonts w:ascii="Verdana" w:hAnsi="Verdana"/>
            <w:sz w:val="20"/>
            <w:szCs w:val="20"/>
            <w:lang w:val="es-ES_tradnl"/>
          </w:rPr>
          <w:t>la Sentencia</w:t>
        </w:r>
      </w:smartTag>
      <w:r>
        <w:rPr>
          <w:rFonts w:ascii="Verdana" w:hAnsi="Verdana" w:cs="Tahoma"/>
          <w:sz w:val="20"/>
          <w:szCs w:val="20"/>
        </w:rPr>
        <w:t xml:space="preserve"> y en favor de quienes el Tribunal “[d]ispondrá[…] que se reparen las consecuencias de la medida o situación que ha configurado la vulneración de es</w:t>
      </w:r>
      <w:r>
        <w:rPr>
          <w:rFonts w:ascii="Verdana" w:hAnsi="Verdana" w:cs="Tahoma"/>
          <w:sz w:val="20"/>
          <w:szCs w:val="20"/>
        </w:rPr>
        <w:t xml:space="preserve">os derechos”. </w:t>
      </w:r>
      <w:r>
        <w:rPr>
          <w:rFonts w:ascii="Verdana" w:hAnsi="Verdana"/>
          <w:sz w:val="20"/>
          <w:lang w:val="es-ES_tradnl"/>
        </w:rPr>
        <w:t xml:space="preserve">Así, </w:t>
      </w:r>
      <w:smartTag w:uri="urn:schemas-microsoft-com:office:smarttags" w:element="PersonName">
        <w:smartTagPr>
          <w:attr w:name="ProductID" w:val="la Corte"/>
        </w:smartTagPr>
        <w:r>
          <w:rPr>
            <w:rFonts w:ascii="Verdana" w:hAnsi="Verdana"/>
            <w:sz w:val="20"/>
            <w:lang w:val="es-ES_tradnl"/>
          </w:rPr>
          <w:t>la Corte</w:t>
        </w:r>
      </w:smartTag>
      <w:r>
        <w:rPr>
          <w:rFonts w:ascii="Verdana" w:hAnsi="Verdana"/>
          <w:sz w:val="20"/>
          <w:lang w:val="es-ES_tradnl"/>
        </w:rPr>
        <w:t xml:space="preserve"> ordenó diversas formas de reparación, entre éstas el pago en equidad de compensaciones por el daño inmaterial ocasionado a los familiares de las 10 víctimas desaparecidas o ejecutadas que eran a su vez víctimas de la violación d</w:t>
      </w:r>
      <w:r>
        <w:rPr>
          <w:rFonts w:ascii="Verdana" w:hAnsi="Verdana"/>
          <w:sz w:val="20"/>
          <w:lang w:val="es-ES_tradnl"/>
        </w:rPr>
        <w:t>el derecho a la integridad personal (párrafo 219). La señora Carmen Juana Mariños Figueroa y el señor Marcelino Marcos Pablo Meza no estaban en esta situación.</w:t>
      </w:r>
    </w:p>
    <w:p w:rsidR="00000000" w:rsidRDefault="00687F2E">
      <w:pPr>
        <w:ind w:right="900"/>
        <w:jc w:val="both"/>
        <w:rPr>
          <w:rFonts w:ascii="Verdana" w:hAnsi="Verdana"/>
          <w:sz w:val="20"/>
          <w:szCs w:val="20"/>
          <w:lang w:val="es-ES_tradnl"/>
        </w:rPr>
      </w:pPr>
    </w:p>
    <w:p w:rsidR="00000000" w:rsidRDefault="00687F2E">
      <w:pPr>
        <w:jc w:val="both"/>
        <w:rPr>
          <w:rFonts w:ascii="Verdana" w:hAnsi="Verdana"/>
          <w:sz w:val="20"/>
          <w:szCs w:val="20"/>
          <w:lang w:val="es-ES_tradnl"/>
        </w:rPr>
      </w:pPr>
      <w:r>
        <w:rPr>
          <w:rFonts w:ascii="Verdana" w:hAnsi="Verdana"/>
          <w:sz w:val="20"/>
          <w:lang w:val="es-ES_tradnl"/>
        </w:rPr>
        <w:t>32.</w:t>
      </w:r>
      <w:r>
        <w:rPr>
          <w:rFonts w:ascii="Verdana" w:hAnsi="Verdana"/>
          <w:sz w:val="20"/>
          <w:lang w:val="es-ES_tradnl"/>
        </w:rPr>
        <w:tab/>
      </w:r>
      <w:smartTag w:uri="urn:schemas-microsoft-com:office:smarttags" w:element="PersonName">
        <w:smartTagPr>
          <w:attr w:name="ProductID" w:val="la Corte"/>
        </w:smartTagPr>
        <w:r>
          <w:rPr>
            <w:rFonts w:ascii="Verdana" w:hAnsi="Verdana"/>
            <w:sz w:val="20"/>
            <w:lang w:val="es-ES_tradnl"/>
          </w:rPr>
          <w:t>L</w:t>
        </w:r>
        <w:r>
          <w:rPr>
            <w:rFonts w:ascii="Verdana" w:hAnsi="Verdana"/>
            <w:sz w:val="20"/>
            <w:szCs w:val="20"/>
            <w:lang w:val="es-ES_tradnl"/>
          </w:rPr>
          <w:t>a Corte</w:t>
        </w:r>
      </w:smartTag>
      <w:r>
        <w:rPr>
          <w:rFonts w:ascii="Verdana" w:hAnsi="Verdana"/>
          <w:sz w:val="20"/>
          <w:szCs w:val="20"/>
          <w:lang w:val="es-ES_tradnl"/>
        </w:rPr>
        <w:t xml:space="preserve"> ha establecido que una demanda de interpretación de sentencia no puede consistir e</w:t>
      </w:r>
      <w:r>
        <w:rPr>
          <w:rFonts w:ascii="Verdana" w:hAnsi="Verdana"/>
          <w:sz w:val="20"/>
          <w:szCs w:val="20"/>
          <w:lang w:val="es-ES_tradnl"/>
        </w:rPr>
        <w:t xml:space="preserve">n el sometimiento de </w:t>
      </w:r>
      <w:r>
        <w:rPr>
          <w:rFonts w:ascii="Verdana" w:hAnsi="Verdana"/>
          <w:sz w:val="20"/>
          <w:lang w:val="es-ES_tradnl"/>
        </w:rPr>
        <w:t xml:space="preserve">cuestiones de hecho y de derecho que ya fueron planteadas </w:t>
      </w:r>
      <w:r>
        <w:rPr>
          <w:rFonts w:ascii="Verdana" w:hAnsi="Verdana"/>
          <w:sz w:val="20"/>
          <w:lang w:val="es-ES_tradnl"/>
        </w:rPr>
        <w:lastRenderedPageBreak/>
        <w:t>en su oportunidad procesal y sobre las cuales el Tribunal ya adoptó una decisión</w:t>
      </w:r>
      <w:r>
        <w:rPr>
          <w:rStyle w:val="FootnoteCharacters"/>
          <w:rFonts w:ascii="Verdana" w:hAnsi="Verdana"/>
          <w:lang w:val="es-ES_tradnl"/>
        </w:rPr>
        <w:footnoteReference w:id="4"/>
      </w:r>
      <w:r>
        <w:rPr>
          <w:rFonts w:ascii="Verdana" w:hAnsi="Verdana"/>
          <w:sz w:val="20"/>
          <w:lang w:val="es-ES_tradnl"/>
        </w:rPr>
        <w:t>. Al cuestionar las razones por las cuales la señora Carmen Juana Mariños Figueroa y el señor Ma</w:t>
      </w:r>
      <w:r>
        <w:rPr>
          <w:rFonts w:ascii="Verdana" w:hAnsi="Verdana"/>
          <w:sz w:val="20"/>
          <w:lang w:val="es-ES_tradnl"/>
        </w:rPr>
        <w:t xml:space="preserve">rcelino Marcos Pablo Meza no fueron consideradas como víctimas de la violación de los derechos a la integridad personal (artículo 5.1 de </w:t>
      </w:r>
      <w:smartTag w:uri="urn:schemas-microsoft-com:office:smarttags" w:element="PersonName">
        <w:smartTagPr>
          <w:attr w:name="ProductID" w:val="la Convenci￳n Americana"/>
        </w:smartTagPr>
        <w:r>
          <w:rPr>
            <w:rFonts w:ascii="Verdana" w:hAnsi="Verdana"/>
            <w:sz w:val="20"/>
            <w:lang w:val="es-ES_tradnl"/>
          </w:rPr>
          <w:t>la Convención Americana</w:t>
        </w:r>
      </w:smartTag>
      <w:r>
        <w:rPr>
          <w:rFonts w:ascii="Verdana" w:hAnsi="Verdana"/>
          <w:sz w:val="20"/>
          <w:lang w:val="es-ES_tradnl"/>
        </w:rPr>
        <w:t xml:space="preserve">), ni como acreedores de indemnización por daño inmaterial, los representantes pretenden que </w:t>
      </w:r>
      <w:smartTag w:uri="urn:schemas-microsoft-com:office:smarttags" w:element="PersonName">
        <w:smartTagPr>
          <w:attr w:name="ProductID" w:val="la Corte"/>
        </w:smartTagPr>
        <w:r>
          <w:rPr>
            <w:rFonts w:ascii="Verdana" w:hAnsi="Verdana"/>
            <w:sz w:val="20"/>
            <w:lang w:val="es-ES_tradnl"/>
          </w:rPr>
          <w:t xml:space="preserve">la </w:t>
        </w:r>
        <w:r>
          <w:rPr>
            <w:rFonts w:ascii="Verdana" w:hAnsi="Verdana"/>
            <w:sz w:val="20"/>
            <w:lang w:val="es-ES_tradnl"/>
          </w:rPr>
          <w:t>Corte</w:t>
        </w:r>
      </w:smartTag>
      <w:r>
        <w:rPr>
          <w:rFonts w:ascii="Verdana" w:hAnsi="Verdana"/>
          <w:sz w:val="20"/>
          <w:lang w:val="es-ES_tradnl"/>
        </w:rPr>
        <w:t xml:space="preserve"> vuelva a considerar por vía de interpretación cuestiones relativas a valoración de la prueba, así como a la determinación de víctimas de las violaciones declaradas; de la parte lesionada y de las reparaciones fijadas. En consecuencia, </w:t>
      </w:r>
      <w:smartTag w:uri="urn:schemas-microsoft-com:office:smarttags" w:element="PersonName">
        <w:smartTagPr>
          <w:attr w:name="ProductID" w:val="la Corte"/>
        </w:smartTagPr>
        <w:r>
          <w:rPr>
            <w:rFonts w:ascii="Verdana" w:hAnsi="Verdana"/>
            <w:sz w:val="20"/>
            <w:szCs w:val="20"/>
            <w:lang w:val="es-ES_tradnl"/>
          </w:rPr>
          <w:t>la Corte</w:t>
        </w:r>
      </w:smartTag>
      <w:r>
        <w:rPr>
          <w:rFonts w:ascii="Verdana" w:hAnsi="Verdana"/>
          <w:sz w:val="20"/>
          <w:szCs w:val="20"/>
          <w:lang w:val="es-ES_tradnl"/>
        </w:rPr>
        <w:t xml:space="preserve"> </w:t>
      </w:r>
      <w:r>
        <w:rPr>
          <w:rFonts w:ascii="Verdana" w:hAnsi="Verdana"/>
          <w:sz w:val="20"/>
          <w:lang w:val="es-ES_tradnl"/>
        </w:rPr>
        <w:t>consid</w:t>
      </w:r>
      <w:r>
        <w:rPr>
          <w:rFonts w:ascii="Verdana" w:hAnsi="Verdana"/>
          <w:sz w:val="20"/>
          <w:lang w:val="es-ES_tradnl"/>
        </w:rPr>
        <w:t>era inadmisible este extremo de la demanda de interpretación de los representantes</w:t>
      </w:r>
      <w:r>
        <w:rPr>
          <w:rFonts w:ascii="Verdana" w:hAnsi="Verdana"/>
          <w:sz w:val="20"/>
          <w:szCs w:val="20"/>
          <w:lang w:val="es-ES_tradnl"/>
        </w:rPr>
        <w:t>.</w:t>
      </w:r>
    </w:p>
    <w:p w:rsidR="00000000" w:rsidRDefault="00687F2E">
      <w:pPr>
        <w:ind w:right="900"/>
        <w:jc w:val="both"/>
        <w:rPr>
          <w:rFonts w:ascii="Verdana" w:hAnsi="Verdana"/>
          <w:sz w:val="20"/>
          <w:szCs w:val="20"/>
          <w:lang w:val="es-ES_tradnl"/>
        </w:rPr>
      </w:pPr>
    </w:p>
    <w:p w:rsidR="00000000" w:rsidRDefault="00687F2E">
      <w:pPr>
        <w:jc w:val="both"/>
        <w:rPr>
          <w:rFonts w:ascii="Verdana" w:hAnsi="Verdana"/>
          <w:sz w:val="20"/>
          <w:szCs w:val="20"/>
          <w:lang w:val="es-ES_tradnl"/>
        </w:rPr>
      </w:pPr>
      <w:r>
        <w:rPr>
          <w:rFonts w:ascii="Verdana" w:hAnsi="Verdana"/>
          <w:sz w:val="20"/>
          <w:szCs w:val="20"/>
          <w:lang w:val="es-ES_tradnl"/>
        </w:rPr>
        <w:t>33.</w:t>
      </w:r>
      <w:r>
        <w:rPr>
          <w:rFonts w:ascii="Verdana" w:hAnsi="Verdana"/>
          <w:sz w:val="20"/>
          <w:szCs w:val="20"/>
          <w:lang w:val="es-ES_tradnl"/>
        </w:rPr>
        <w:tab/>
        <w:t>Por otro lado, respecto de la condición de víctimas de la violación de</w:t>
      </w:r>
      <w:r>
        <w:rPr>
          <w:rFonts w:ascii="Verdana" w:hAnsi="Verdana"/>
          <w:sz w:val="20"/>
          <w:lang w:val="es-ES_tradnl"/>
        </w:rPr>
        <w:t xml:space="preserve"> las garantías judiciales y protección judicial (artículos 8.1 y 25 de </w:t>
      </w:r>
      <w:smartTag w:uri="urn:schemas-microsoft-com:office:smarttags" w:element="PersonName">
        <w:smartTagPr>
          <w:attr w:name="ProductID" w:val="la Convenci￳n Americana"/>
        </w:smartTagPr>
        <w:r>
          <w:rPr>
            <w:rFonts w:ascii="Verdana" w:hAnsi="Verdana"/>
            <w:sz w:val="20"/>
            <w:lang w:val="es-ES_tradnl"/>
          </w:rPr>
          <w:t>la Convención Americana</w:t>
        </w:r>
      </w:smartTag>
      <w:r>
        <w:rPr>
          <w:rFonts w:ascii="Verdana" w:hAnsi="Verdana"/>
          <w:sz w:val="20"/>
          <w:lang w:val="es-ES_tradnl"/>
        </w:rPr>
        <w:t xml:space="preserve">), </w:t>
      </w:r>
      <w:smartTag w:uri="urn:schemas-microsoft-com:office:smarttags" w:element="PersonName">
        <w:smartTagPr>
          <w:attr w:name="ProductID" w:val="la Corte"/>
        </w:smartTagPr>
        <w:r>
          <w:rPr>
            <w:rFonts w:ascii="Verdana" w:hAnsi="Verdana"/>
            <w:sz w:val="20"/>
            <w:lang w:val="es-ES_tradnl"/>
          </w:rPr>
          <w:t>la Corte</w:t>
        </w:r>
      </w:smartTag>
      <w:r>
        <w:rPr>
          <w:rFonts w:ascii="Verdana" w:hAnsi="Verdana"/>
          <w:sz w:val="20"/>
          <w:lang w:val="es-ES_tradnl"/>
        </w:rPr>
        <w:t xml:space="preserve"> declaró esa violación respecto de todos los familiares de las víctimas ejecutadas y desaparecidas. En tales términos, es igualmente claro que la omisión de los nombres de la señora Carmen Juana Mariños Figueroa y del señor Marcelino Marcos Pablo M</w:t>
      </w:r>
      <w:r>
        <w:rPr>
          <w:rFonts w:ascii="Verdana" w:hAnsi="Verdana"/>
          <w:sz w:val="20"/>
          <w:lang w:val="es-ES_tradnl"/>
        </w:rPr>
        <w:t xml:space="preserve">eza en los párrafos 161, 206.i) y 206.h) y punto resolutivo sexto de </w:t>
      </w:r>
      <w:smartTag w:uri="urn:schemas-microsoft-com:office:smarttags" w:element="PersonName">
        <w:smartTagPr>
          <w:attr w:name="ProductID" w:val="la Sentencia"/>
        </w:smartTagPr>
        <w:r>
          <w:rPr>
            <w:rFonts w:ascii="Verdana" w:hAnsi="Verdana"/>
            <w:sz w:val="20"/>
            <w:lang w:val="es-ES_tradnl"/>
          </w:rPr>
          <w:t>la Sentencia</w:t>
        </w:r>
      </w:smartTag>
      <w:r>
        <w:rPr>
          <w:rFonts w:ascii="Verdana" w:hAnsi="Verdana"/>
          <w:sz w:val="20"/>
          <w:lang w:val="es-ES_tradnl"/>
        </w:rPr>
        <w:t xml:space="preserve"> es un error material que no afecta esas determinaciones. Por ende, corresponde aclarar que la señora Carmen Juana Mariños Figueroa y el señor Marcelino Marcos Pablo Meza debe</w:t>
      </w:r>
      <w:r>
        <w:rPr>
          <w:rFonts w:ascii="Verdana" w:hAnsi="Verdana"/>
          <w:sz w:val="20"/>
          <w:lang w:val="es-ES_tradnl"/>
        </w:rPr>
        <w:t xml:space="preserve">n entenderse incluidos en estos párrafos de </w:t>
      </w:r>
      <w:smartTag w:uri="urn:schemas-microsoft-com:office:smarttags" w:element="PersonName">
        <w:smartTagPr>
          <w:attr w:name="ProductID" w:val="la Sentencia"/>
        </w:smartTagPr>
        <w:r>
          <w:rPr>
            <w:rFonts w:ascii="Verdana" w:hAnsi="Verdana"/>
            <w:sz w:val="20"/>
            <w:lang w:val="es-ES_tradnl"/>
          </w:rPr>
          <w:t>la Sentencia</w:t>
        </w:r>
      </w:smartTag>
      <w:r>
        <w:rPr>
          <w:rFonts w:ascii="Verdana" w:hAnsi="Verdana"/>
          <w:sz w:val="20"/>
          <w:lang w:val="es-ES_tradnl"/>
        </w:rPr>
        <w:t xml:space="preserve">, como víctimas de esas violaciones, como parte lesionada y como beneficiarios de las otras formas de reparación, respectivamente. </w:t>
      </w:r>
    </w:p>
    <w:p w:rsidR="00000000" w:rsidRDefault="00687F2E">
      <w:pPr>
        <w:ind w:right="900"/>
        <w:jc w:val="both"/>
        <w:rPr>
          <w:rFonts w:ascii="Verdana" w:hAnsi="Verdana"/>
          <w:sz w:val="20"/>
          <w:szCs w:val="20"/>
          <w:lang w:val="es-ES_tradnl"/>
        </w:rPr>
      </w:pPr>
    </w:p>
    <w:p w:rsidR="00000000" w:rsidRDefault="00687F2E">
      <w:pPr>
        <w:jc w:val="both"/>
        <w:rPr>
          <w:rFonts w:ascii="Verdana" w:hAnsi="Verdana"/>
          <w:sz w:val="20"/>
          <w:szCs w:val="20"/>
          <w:lang w:val="es-ES_tradnl"/>
        </w:rPr>
      </w:pPr>
      <w:r>
        <w:rPr>
          <w:rFonts w:ascii="Verdana" w:hAnsi="Verdana"/>
          <w:sz w:val="20"/>
          <w:szCs w:val="20"/>
          <w:lang w:val="es-ES_tradnl"/>
        </w:rPr>
        <w:t>34.</w:t>
      </w:r>
      <w:r>
        <w:rPr>
          <w:rFonts w:ascii="Verdana" w:hAnsi="Verdana"/>
          <w:sz w:val="20"/>
          <w:szCs w:val="20"/>
          <w:lang w:val="es-ES_tradnl"/>
        </w:rPr>
        <w:tab/>
        <w:t xml:space="preserve">Asimismo, si bien no fue solicitada una interpretación en este </w:t>
      </w:r>
      <w:r>
        <w:rPr>
          <w:rFonts w:ascii="Verdana" w:hAnsi="Verdana"/>
          <w:sz w:val="20"/>
          <w:szCs w:val="20"/>
          <w:lang w:val="es-ES_tradnl"/>
        </w:rPr>
        <w:t xml:space="preserve">sentido, las señoras y señores Celina Pablo Meza, Cristina Pablo Meza, Wil Eduardo Mariños Figueroa, </w:t>
      </w:r>
      <w:r>
        <w:rPr>
          <w:rFonts w:ascii="Verdana" w:hAnsi="Verdana"/>
          <w:sz w:val="20"/>
          <w:lang w:val="es-ES_tradnl"/>
        </w:rPr>
        <w:t>Marilú Lozano Torres, Jimmy Anthony Lozano Torres, Miguel Lozano Torres, Augusto Lozano Torres, Celestino Eugencio Rosales Cárdenas, Saturnina Julia Rosale</w:t>
      </w:r>
      <w:r>
        <w:rPr>
          <w:rFonts w:ascii="Verdana" w:hAnsi="Verdana"/>
          <w:sz w:val="20"/>
          <w:lang w:val="es-ES_tradnl"/>
        </w:rPr>
        <w:t>s Cárdenas, Ronald Daniel Taboada Fierro, Gustavo Taboada Fierro, Luz Beatriz Taboada Fierro y Rita Ondina Oyague Sulca se encuentran en esa misma situación. Por ende, corresponde aclarar que ellas y ellos también deben entenderse incluidos en los párrafos</w:t>
      </w:r>
      <w:r>
        <w:rPr>
          <w:rFonts w:ascii="Verdana" w:hAnsi="Verdana"/>
          <w:sz w:val="20"/>
          <w:lang w:val="es-ES_tradnl"/>
        </w:rPr>
        <w:t xml:space="preserve"> 161, 206 y punto resolutivo sexto de </w:t>
      </w:r>
      <w:smartTag w:uri="urn:schemas-microsoft-com:office:smarttags" w:element="PersonName">
        <w:smartTagPr>
          <w:attr w:name="ProductID" w:val="la Sentencia"/>
        </w:smartTagPr>
        <w:r>
          <w:rPr>
            <w:rFonts w:ascii="Verdana" w:hAnsi="Verdana"/>
            <w:sz w:val="20"/>
            <w:lang w:val="es-ES_tradnl"/>
          </w:rPr>
          <w:t>la Sentencia</w:t>
        </w:r>
      </w:smartTag>
      <w:r>
        <w:rPr>
          <w:rFonts w:ascii="Verdana" w:hAnsi="Verdana"/>
          <w:sz w:val="20"/>
          <w:lang w:val="es-ES_tradnl"/>
        </w:rPr>
        <w:t xml:space="preserve"> (</w:t>
      </w:r>
      <w:r>
        <w:rPr>
          <w:rFonts w:ascii="Verdana" w:hAnsi="Verdana"/>
          <w:i/>
          <w:sz w:val="20"/>
          <w:lang w:val="es-ES_tradnl"/>
        </w:rPr>
        <w:t xml:space="preserve">supra </w:t>
      </w:r>
      <w:r>
        <w:rPr>
          <w:rFonts w:ascii="Verdana" w:hAnsi="Verdana"/>
          <w:sz w:val="20"/>
          <w:lang w:val="es-ES_tradnl"/>
        </w:rPr>
        <w:t>párr. 33).</w:t>
      </w:r>
    </w:p>
    <w:p w:rsidR="00000000" w:rsidRDefault="00687F2E">
      <w:pPr>
        <w:ind w:right="900"/>
        <w:jc w:val="both"/>
        <w:rPr>
          <w:rFonts w:ascii="Verdana" w:hAnsi="Verdana"/>
          <w:sz w:val="20"/>
          <w:szCs w:val="20"/>
          <w:lang w:val="es-ES_tradnl"/>
        </w:rPr>
      </w:pPr>
    </w:p>
    <w:p w:rsidR="00000000" w:rsidRDefault="00687F2E">
      <w:pPr>
        <w:ind w:right="-7"/>
        <w:jc w:val="both"/>
        <w:rPr>
          <w:rFonts w:ascii="Verdana" w:hAnsi="Verdana"/>
          <w:sz w:val="20"/>
          <w:szCs w:val="20"/>
          <w:lang w:val="es-ES_tradnl"/>
        </w:rPr>
      </w:pPr>
      <w:r>
        <w:rPr>
          <w:rFonts w:ascii="Verdana" w:hAnsi="Verdana"/>
          <w:sz w:val="20"/>
        </w:rPr>
        <w:t>35.</w:t>
      </w:r>
      <w:r>
        <w:rPr>
          <w:rFonts w:ascii="Verdana" w:hAnsi="Verdana"/>
          <w:sz w:val="20"/>
        </w:rPr>
        <w:tab/>
      </w:r>
      <w:r>
        <w:rPr>
          <w:rFonts w:ascii="Verdana" w:hAnsi="Verdana"/>
          <w:sz w:val="20"/>
          <w:lang w:val="es-ES_tradnl"/>
        </w:rPr>
        <w:t xml:space="preserve">De tal manera, </w:t>
      </w:r>
      <w:r>
        <w:rPr>
          <w:rFonts w:ascii="Verdana" w:hAnsi="Verdana"/>
          <w:sz w:val="20"/>
          <w:szCs w:val="20"/>
          <w:lang w:val="es-ES_tradnl"/>
        </w:rPr>
        <w:t xml:space="preserve">si bien </w:t>
      </w:r>
      <w:r>
        <w:rPr>
          <w:rFonts w:ascii="Verdana" w:hAnsi="Verdana"/>
          <w:sz w:val="20"/>
          <w:lang w:val="es-ES_tradnl"/>
        </w:rPr>
        <w:t>en el proceso internacional ante este Tribunal no fueron ordenadas indemnizaciones o compensaciones a favor de la señora Carmen Juana Mariños Figueroa ni del s</w:t>
      </w:r>
      <w:r>
        <w:rPr>
          <w:rFonts w:ascii="Verdana" w:hAnsi="Verdana"/>
          <w:sz w:val="20"/>
          <w:lang w:val="es-ES_tradnl"/>
        </w:rPr>
        <w:t>eñor Marcelino Marcos Pablo Meza, ni a favor de las personas mencionadas en el párrafo anterior,</w:t>
      </w:r>
      <w:r>
        <w:rPr>
          <w:rFonts w:ascii="Verdana" w:hAnsi="Verdana"/>
          <w:b/>
          <w:sz w:val="20"/>
          <w:lang w:val="es-ES_tradnl"/>
        </w:rPr>
        <w:t xml:space="preserve"> </w:t>
      </w:r>
      <w:r>
        <w:rPr>
          <w:rFonts w:ascii="Verdana" w:hAnsi="Verdana"/>
          <w:sz w:val="20"/>
          <w:lang w:val="es-ES_tradnl"/>
        </w:rPr>
        <w:t xml:space="preserve">eso no se opone a la posibilidad de que, con base en lo determinado en </w:t>
      </w:r>
      <w:smartTag w:uri="urn:schemas-microsoft-com:office:smarttags" w:element="PersonName">
        <w:smartTagPr>
          <w:attr w:name="ProductID" w:val="la Sentencia"/>
        </w:smartTagPr>
        <w:r>
          <w:rPr>
            <w:rFonts w:ascii="Verdana" w:hAnsi="Verdana"/>
            <w:sz w:val="20"/>
            <w:lang w:val="es-ES_tradnl"/>
          </w:rPr>
          <w:t>la Sentencia</w:t>
        </w:r>
      </w:smartTag>
      <w:r>
        <w:rPr>
          <w:rFonts w:ascii="Verdana" w:hAnsi="Verdana"/>
          <w:sz w:val="20"/>
          <w:lang w:val="es-ES_tradnl"/>
        </w:rPr>
        <w:t>, puedan ejercer los recursos internos apropiados para hacer valer los derec</w:t>
      </w:r>
      <w:r>
        <w:rPr>
          <w:rFonts w:ascii="Verdana" w:hAnsi="Verdana"/>
          <w:sz w:val="20"/>
          <w:lang w:val="es-ES_tradnl"/>
        </w:rPr>
        <w:t>hos que les corresponden.</w:t>
      </w:r>
    </w:p>
    <w:p w:rsidR="00000000" w:rsidRDefault="00687F2E">
      <w:pPr>
        <w:jc w:val="both"/>
        <w:rPr>
          <w:rFonts w:ascii="Verdana" w:hAnsi="Verdana"/>
          <w:sz w:val="20"/>
          <w:szCs w:val="20"/>
          <w:lang w:val="es-ES_tradnl"/>
        </w:rPr>
      </w:pPr>
    </w:p>
    <w:p w:rsidR="00000000" w:rsidRDefault="00687F2E">
      <w:pPr>
        <w:jc w:val="both"/>
        <w:rPr>
          <w:rFonts w:ascii="Verdana" w:hAnsi="Verdana"/>
          <w:sz w:val="20"/>
          <w:szCs w:val="20"/>
          <w:lang w:val="es-ES_tradnl"/>
        </w:rPr>
      </w:pPr>
    </w:p>
    <w:p w:rsidR="00000000" w:rsidRDefault="00687F2E">
      <w:pPr>
        <w:jc w:val="both"/>
        <w:rPr>
          <w:rFonts w:ascii="Verdana" w:hAnsi="Verdana"/>
          <w:sz w:val="20"/>
          <w:szCs w:val="20"/>
          <w:lang w:val="es-ES_tradnl"/>
        </w:rPr>
      </w:pPr>
    </w:p>
    <w:p w:rsidR="00000000" w:rsidRDefault="00687F2E">
      <w:pPr>
        <w:jc w:val="both"/>
        <w:rPr>
          <w:rFonts w:ascii="Verdana" w:hAnsi="Verdana"/>
          <w:sz w:val="20"/>
          <w:szCs w:val="20"/>
          <w:lang w:val="es-ES_tradnl"/>
        </w:rPr>
      </w:pPr>
    </w:p>
    <w:p w:rsidR="00000000" w:rsidRDefault="00687F2E">
      <w:pPr>
        <w:jc w:val="both"/>
        <w:rPr>
          <w:rFonts w:ascii="Verdana" w:hAnsi="Verdana"/>
          <w:sz w:val="20"/>
          <w:szCs w:val="20"/>
          <w:lang w:val="es-ES_tradnl"/>
        </w:rPr>
      </w:pPr>
    </w:p>
    <w:p w:rsidR="00000000" w:rsidRDefault="00687F2E">
      <w:pPr>
        <w:jc w:val="both"/>
        <w:rPr>
          <w:rFonts w:ascii="Verdana" w:hAnsi="Verdana"/>
          <w:sz w:val="20"/>
          <w:szCs w:val="20"/>
          <w:lang w:val="es-ES_tradnl"/>
        </w:rPr>
      </w:pPr>
    </w:p>
    <w:p w:rsidR="00000000" w:rsidRDefault="00687F2E">
      <w:pPr>
        <w:spacing w:after="120"/>
        <w:jc w:val="center"/>
        <w:rPr>
          <w:rFonts w:ascii="Verdana" w:hAnsi="Verdana"/>
          <w:b/>
          <w:sz w:val="20"/>
          <w:lang w:val="es-ES_tradnl"/>
        </w:rPr>
      </w:pPr>
      <w:r>
        <w:rPr>
          <w:rFonts w:ascii="Verdana" w:hAnsi="Verdana"/>
          <w:b/>
          <w:sz w:val="20"/>
          <w:lang w:val="es-ES_tradnl"/>
        </w:rPr>
        <w:t>VII</w:t>
      </w:r>
    </w:p>
    <w:p w:rsidR="00000000" w:rsidRDefault="00687F2E">
      <w:pPr>
        <w:spacing w:after="120"/>
        <w:jc w:val="center"/>
        <w:rPr>
          <w:rFonts w:ascii="Verdana" w:hAnsi="Verdana"/>
          <w:b/>
          <w:sz w:val="20"/>
          <w:lang w:val="es-ES_tradnl"/>
        </w:rPr>
      </w:pPr>
      <w:r>
        <w:rPr>
          <w:rFonts w:ascii="Verdana" w:hAnsi="Verdana"/>
          <w:b/>
          <w:sz w:val="20"/>
          <w:lang w:val="es-ES_tradnl"/>
        </w:rPr>
        <w:t>PUNTOS RESOLUTIVOS</w:t>
      </w:r>
    </w:p>
    <w:p w:rsidR="00000000" w:rsidRDefault="00687F2E">
      <w:pPr>
        <w:spacing w:after="120"/>
        <w:jc w:val="both"/>
        <w:rPr>
          <w:rFonts w:ascii="Verdana" w:hAnsi="Verdana"/>
          <w:sz w:val="20"/>
          <w:lang w:val="es-ES_tradnl"/>
        </w:rPr>
      </w:pPr>
    </w:p>
    <w:p w:rsidR="00000000" w:rsidRDefault="00687F2E">
      <w:pPr>
        <w:spacing w:after="120"/>
        <w:jc w:val="both"/>
        <w:rPr>
          <w:rFonts w:ascii="Verdana" w:hAnsi="Verdana"/>
          <w:sz w:val="20"/>
          <w:lang w:val="es-ES_tradnl"/>
        </w:rPr>
      </w:pPr>
      <w:r>
        <w:rPr>
          <w:rFonts w:ascii="Verdana" w:hAnsi="Verdana"/>
          <w:sz w:val="20"/>
          <w:lang w:val="es-ES_tradnl"/>
        </w:rPr>
        <w:t>36.</w:t>
      </w:r>
      <w:r>
        <w:rPr>
          <w:rFonts w:ascii="Verdana" w:hAnsi="Verdana"/>
          <w:sz w:val="20"/>
          <w:lang w:val="es-ES_tradnl"/>
        </w:rPr>
        <w:tab/>
        <w:t>Por las razones expuestas,</w:t>
      </w:r>
    </w:p>
    <w:p w:rsidR="00000000" w:rsidRDefault="00687F2E">
      <w:pPr>
        <w:spacing w:after="120"/>
        <w:jc w:val="both"/>
        <w:rPr>
          <w:rFonts w:ascii="Verdana" w:hAnsi="Verdana"/>
          <w:sz w:val="20"/>
          <w:lang w:val="es-ES_tradnl"/>
        </w:rPr>
      </w:pPr>
    </w:p>
    <w:p w:rsidR="00000000" w:rsidRDefault="00687F2E">
      <w:pPr>
        <w:jc w:val="both"/>
        <w:rPr>
          <w:rFonts w:ascii="Verdana" w:hAnsi="Verdana"/>
          <w:b/>
          <w:sz w:val="20"/>
          <w:lang w:val="es-ES_tradnl"/>
        </w:rPr>
      </w:pPr>
      <w:smartTag w:uri="urn:schemas-microsoft-com:office:smarttags" w:element="PersonName">
        <w:smartTagPr>
          <w:attr w:name="ProductID" w:val="la Corte Interamericana"/>
        </w:smartTagPr>
        <w:r>
          <w:rPr>
            <w:rFonts w:ascii="Verdana" w:hAnsi="Verdana"/>
            <w:b/>
            <w:sz w:val="20"/>
            <w:lang w:val="es-ES_tradnl"/>
          </w:rPr>
          <w:t>LA CORTE INTERAMERICANA</w:t>
        </w:r>
      </w:smartTag>
      <w:r>
        <w:rPr>
          <w:rFonts w:ascii="Verdana" w:hAnsi="Verdana"/>
          <w:b/>
          <w:sz w:val="20"/>
          <w:lang w:val="es-ES_tradnl"/>
        </w:rPr>
        <w:t xml:space="preserve"> DE DERECHOS HUMANOS</w:t>
      </w:r>
    </w:p>
    <w:p w:rsidR="00000000" w:rsidRDefault="00687F2E">
      <w:pPr>
        <w:jc w:val="both"/>
        <w:rPr>
          <w:rFonts w:ascii="Verdana" w:hAnsi="Verdana"/>
          <w:b/>
          <w:smallCaps/>
          <w:sz w:val="20"/>
          <w:lang w:val="es-ES_tradnl"/>
        </w:rPr>
      </w:pPr>
    </w:p>
    <w:p w:rsidR="00000000" w:rsidRDefault="00687F2E">
      <w:pPr>
        <w:jc w:val="both"/>
        <w:rPr>
          <w:rFonts w:ascii="Verdana" w:hAnsi="Verdana"/>
          <w:sz w:val="20"/>
          <w:lang w:val="es-ES_tradnl"/>
        </w:rPr>
      </w:pPr>
      <w:r>
        <w:rPr>
          <w:rFonts w:ascii="Verdana" w:hAnsi="Verdana"/>
          <w:sz w:val="20"/>
          <w:lang w:val="es-ES_tradnl"/>
        </w:rPr>
        <w:t xml:space="preserve">de conformidad con el artículo 67 de </w:t>
      </w:r>
      <w:smartTag w:uri="urn:schemas-microsoft-com:office:smarttags" w:element="PersonName">
        <w:smartTagPr>
          <w:attr w:name="ProductID" w:val="la Convenci￳n Americana"/>
        </w:smartTagPr>
        <w:r>
          <w:rPr>
            <w:rFonts w:ascii="Verdana" w:hAnsi="Verdana"/>
            <w:sz w:val="20"/>
            <w:lang w:val="es-ES_tradnl"/>
          </w:rPr>
          <w:t>la Convención Americana</w:t>
        </w:r>
      </w:smartTag>
      <w:r>
        <w:rPr>
          <w:rFonts w:ascii="Verdana" w:hAnsi="Verdana"/>
          <w:sz w:val="20"/>
          <w:lang w:val="es-ES_tradnl"/>
        </w:rPr>
        <w:t xml:space="preserve"> sobre Derechos Humanos y los artículos 29.3 y 59 del Reglament</w:t>
      </w:r>
      <w:r>
        <w:rPr>
          <w:rFonts w:ascii="Verdana" w:hAnsi="Verdana"/>
          <w:sz w:val="20"/>
          <w:lang w:val="es-ES_tradnl"/>
        </w:rPr>
        <w:t>o</w:t>
      </w:r>
    </w:p>
    <w:p w:rsidR="00000000" w:rsidRDefault="00687F2E">
      <w:pPr>
        <w:jc w:val="both"/>
        <w:rPr>
          <w:rFonts w:ascii="Verdana" w:hAnsi="Verdana"/>
          <w:b/>
          <w:smallCaps/>
          <w:sz w:val="20"/>
          <w:lang w:val="es-ES_tradnl"/>
        </w:rPr>
      </w:pPr>
    </w:p>
    <w:p w:rsidR="00000000" w:rsidRDefault="00687F2E">
      <w:pPr>
        <w:jc w:val="both"/>
        <w:rPr>
          <w:rFonts w:ascii="Verdana" w:hAnsi="Verdana"/>
          <w:b/>
          <w:smallCaps/>
          <w:sz w:val="20"/>
          <w:lang w:val="es-ES_tradnl"/>
        </w:rPr>
      </w:pPr>
    </w:p>
    <w:p w:rsidR="00000000" w:rsidRDefault="00687F2E">
      <w:pPr>
        <w:jc w:val="both"/>
        <w:rPr>
          <w:rFonts w:ascii="Verdana" w:hAnsi="Verdana"/>
          <w:b/>
          <w:caps/>
          <w:sz w:val="20"/>
          <w:lang w:val="es-ES_tradnl"/>
        </w:rPr>
      </w:pPr>
      <w:r>
        <w:rPr>
          <w:rFonts w:ascii="Verdana" w:hAnsi="Verdana"/>
          <w:b/>
          <w:caps/>
          <w:sz w:val="20"/>
          <w:lang w:val="es-ES_tradnl"/>
        </w:rPr>
        <w:t>Decide:</w:t>
      </w:r>
    </w:p>
    <w:p w:rsidR="00000000" w:rsidRDefault="00687F2E">
      <w:pPr>
        <w:jc w:val="both"/>
        <w:rPr>
          <w:rFonts w:ascii="Verdana" w:hAnsi="Verdana"/>
          <w:b/>
          <w:smallCaps/>
          <w:sz w:val="20"/>
          <w:lang w:val="es-ES_tradnl"/>
        </w:rPr>
      </w:pPr>
    </w:p>
    <w:p w:rsidR="00000000" w:rsidRDefault="00687F2E">
      <w:pPr>
        <w:jc w:val="both"/>
        <w:rPr>
          <w:rFonts w:ascii="Verdana" w:hAnsi="Verdana"/>
          <w:b/>
          <w:smallCaps/>
          <w:sz w:val="20"/>
          <w:lang w:val="es-ES_tradnl"/>
        </w:rPr>
      </w:pPr>
    </w:p>
    <w:p w:rsidR="00000000" w:rsidRDefault="00687F2E">
      <w:pPr>
        <w:pStyle w:val="Encabezado"/>
        <w:tabs>
          <w:tab w:val="clear" w:pos="4320"/>
          <w:tab w:val="clear" w:pos="8640"/>
        </w:tabs>
        <w:rPr>
          <w:rFonts w:ascii="Verdana" w:hAnsi="Verdana"/>
          <w:sz w:val="20"/>
        </w:rPr>
      </w:pPr>
      <w:r>
        <w:rPr>
          <w:rFonts w:ascii="Verdana" w:hAnsi="Verdana"/>
          <w:sz w:val="20"/>
        </w:rPr>
        <w:t>Por unanimidad,</w:t>
      </w:r>
    </w:p>
    <w:p w:rsidR="00000000" w:rsidRDefault="00687F2E">
      <w:pPr>
        <w:jc w:val="both"/>
        <w:rPr>
          <w:rFonts w:ascii="Verdana" w:hAnsi="Verdana"/>
          <w:sz w:val="20"/>
        </w:rPr>
      </w:pPr>
    </w:p>
    <w:p w:rsidR="00000000" w:rsidRDefault="00687F2E">
      <w:pPr>
        <w:jc w:val="both"/>
        <w:rPr>
          <w:rFonts w:ascii="Verdana" w:hAnsi="Verdana"/>
          <w:sz w:val="20"/>
        </w:rPr>
      </w:pPr>
    </w:p>
    <w:p w:rsidR="00000000" w:rsidRDefault="00687F2E">
      <w:pPr>
        <w:jc w:val="both"/>
        <w:rPr>
          <w:rFonts w:ascii="Verdana" w:hAnsi="Verdana"/>
          <w:sz w:val="20"/>
        </w:rPr>
      </w:pPr>
      <w:r>
        <w:rPr>
          <w:rFonts w:ascii="Verdana" w:hAnsi="Verdana"/>
          <w:sz w:val="20"/>
        </w:rPr>
        <w:t>1.</w:t>
      </w:r>
      <w:r>
        <w:rPr>
          <w:rFonts w:ascii="Verdana" w:hAnsi="Verdana"/>
          <w:sz w:val="20"/>
        </w:rPr>
        <w:tab/>
      </w:r>
      <w:r>
        <w:rPr>
          <w:rFonts w:ascii="Verdana" w:hAnsi="Verdana"/>
          <w:sz w:val="20"/>
          <w:szCs w:val="20"/>
          <w:lang w:val="es-ES_tradnl"/>
        </w:rPr>
        <w:t xml:space="preserve">Determinar el alcance de lo dispuesto en los párrafos </w:t>
      </w:r>
      <w:r>
        <w:rPr>
          <w:rFonts w:ascii="Verdana" w:hAnsi="Verdana"/>
          <w:sz w:val="20"/>
          <w:lang w:val="es-ES_tradnl"/>
        </w:rPr>
        <w:t>206 i) y 220, en relación con</w:t>
      </w:r>
      <w:r>
        <w:rPr>
          <w:rFonts w:ascii="Verdana" w:hAnsi="Verdana"/>
          <w:sz w:val="20"/>
          <w:szCs w:val="20"/>
          <w:lang w:val="es-ES_tradnl"/>
        </w:rPr>
        <w:t xml:space="preserve"> los párrafos 80.106 y 129 y los puntos resolutivos quinto y décimo séptimo de </w:t>
      </w:r>
      <w:smartTag w:uri="urn:schemas-microsoft-com:office:smarttags" w:element="PersonName">
        <w:smartTagPr>
          <w:attr w:name="ProductID" w:val="la Sentencia"/>
        </w:smartTagPr>
        <w:r>
          <w:rPr>
            <w:rFonts w:ascii="Verdana" w:hAnsi="Verdana"/>
            <w:sz w:val="20"/>
            <w:szCs w:val="20"/>
            <w:lang w:val="es-ES_tradnl"/>
          </w:rPr>
          <w:t>la Sentencia</w:t>
        </w:r>
      </w:smartTag>
      <w:r>
        <w:rPr>
          <w:rFonts w:ascii="Verdana" w:hAnsi="Verdana"/>
          <w:sz w:val="20"/>
          <w:szCs w:val="20"/>
          <w:lang w:val="es-ES_tradnl"/>
        </w:rPr>
        <w:t xml:space="preserve"> dictada el 29 de noviembre de 2006 sobre fondo</w:t>
      </w:r>
      <w:r>
        <w:rPr>
          <w:rFonts w:ascii="Verdana" w:hAnsi="Verdana"/>
          <w:sz w:val="20"/>
          <w:szCs w:val="20"/>
          <w:lang w:val="es-ES_tradnl"/>
        </w:rPr>
        <w:t xml:space="preserve">, reparaciones y costas en el </w:t>
      </w:r>
      <w:r>
        <w:rPr>
          <w:rFonts w:ascii="Verdana" w:hAnsi="Verdana"/>
          <w:i/>
          <w:sz w:val="20"/>
          <w:szCs w:val="20"/>
          <w:lang w:val="es-ES_tradnl"/>
        </w:rPr>
        <w:t xml:space="preserve">caso </w:t>
      </w:r>
      <w:smartTag w:uri="urn:schemas-microsoft-com:office:smarttags" w:element="PersonName">
        <w:smartTagPr>
          <w:attr w:name="ProductID" w:val="La Cantuta"/>
        </w:smartTagPr>
        <w:r>
          <w:rPr>
            <w:rFonts w:ascii="Verdana" w:hAnsi="Verdana"/>
            <w:i/>
            <w:sz w:val="20"/>
            <w:szCs w:val="20"/>
            <w:lang w:val="es-ES_tradnl"/>
          </w:rPr>
          <w:t>La Cantuta</w:t>
        </w:r>
      </w:smartTag>
      <w:r>
        <w:rPr>
          <w:rFonts w:ascii="Verdana" w:hAnsi="Verdana"/>
          <w:sz w:val="20"/>
          <w:szCs w:val="20"/>
          <w:lang w:val="es-ES_tradnl"/>
        </w:rPr>
        <w:t xml:space="preserve">, en los términos de los párrafos </w:t>
      </w:r>
      <w:smartTag w:uri="urn:schemas-microsoft-com:office:smarttags" w:element="metricconverter">
        <w:smartTagPr>
          <w:attr w:name="ProductID" w:val="14 a"/>
        </w:smartTagPr>
        <w:r>
          <w:rPr>
            <w:rFonts w:ascii="Verdana" w:hAnsi="Verdana"/>
            <w:sz w:val="20"/>
            <w:szCs w:val="20"/>
            <w:lang w:val="es-ES_tradnl"/>
          </w:rPr>
          <w:t>14 a</w:t>
        </w:r>
      </w:smartTag>
      <w:r>
        <w:rPr>
          <w:rFonts w:ascii="Verdana" w:hAnsi="Verdana"/>
          <w:sz w:val="20"/>
          <w:szCs w:val="20"/>
          <w:lang w:val="es-ES_tradnl"/>
        </w:rPr>
        <w:t xml:space="preserve"> 19 de la presente Sentencia.</w:t>
      </w:r>
    </w:p>
    <w:p w:rsidR="00000000" w:rsidRDefault="00687F2E">
      <w:pPr>
        <w:jc w:val="both"/>
        <w:rPr>
          <w:rFonts w:ascii="Verdana" w:hAnsi="Verdana"/>
          <w:sz w:val="20"/>
        </w:rPr>
      </w:pPr>
    </w:p>
    <w:p w:rsidR="00000000" w:rsidRDefault="00687F2E">
      <w:pPr>
        <w:jc w:val="both"/>
        <w:rPr>
          <w:rFonts w:ascii="Verdana" w:hAnsi="Verdana"/>
          <w:sz w:val="20"/>
        </w:rPr>
      </w:pPr>
    </w:p>
    <w:p w:rsidR="00000000" w:rsidRDefault="00687F2E">
      <w:pPr>
        <w:jc w:val="both"/>
        <w:rPr>
          <w:rFonts w:ascii="Verdana" w:hAnsi="Verdana"/>
          <w:sz w:val="20"/>
        </w:rPr>
      </w:pPr>
      <w:r>
        <w:rPr>
          <w:rFonts w:ascii="Verdana" w:hAnsi="Verdana"/>
          <w:sz w:val="20"/>
        </w:rPr>
        <w:t>2.</w:t>
      </w:r>
      <w:r>
        <w:rPr>
          <w:rFonts w:ascii="Verdana" w:hAnsi="Verdana"/>
          <w:sz w:val="20"/>
        </w:rPr>
        <w:tab/>
        <w:t xml:space="preserve">Solicitar al Estado que tenga en cuenta </w:t>
      </w:r>
      <w:r>
        <w:rPr>
          <w:rFonts w:ascii="Verdana" w:hAnsi="Verdana"/>
          <w:sz w:val="20"/>
          <w:lang w:val="es-ES_tradnl"/>
        </w:rPr>
        <w:t>el nombre completo de la señora Carmen Antonia Oyague Velazco de Huaman, el cual comprende su apel</w:t>
      </w:r>
      <w:r>
        <w:rPr>
          <w:rFonts w:ascii="Verdana" w:hAnsi="Verdana"/>
          <w:sz w:val="20"/>
          <w:lang w:val="es-ES_tradnl"/>
        </w:rPr>
        <w:t xml:space="preserve">lido de casada, para los efectos del cumplimiento de </w:t>
      </w:r>
      <w:smartTag w:uri="urn:schemas-microsoft-com:office:smarttags" w:element="PersonName">
        <w:smartTagPr>
          <w:attr w:name="ProductID" w:val="la Sentencia"/>
        </w:smartTagPr>
        <w:r>
          <w:rPr>
            <w:rFonts w:ascii="Verdana" w:hAnsi="Verdana"/>
            <w:sz w:val="20"/>
            <w:lang w:val="es-ES_tradnl"/>
          </w:rPr>
          <w:t>la Sentencia</w:t>
        </w:r>
      </w:smartTag>
      <w:r>
        <w:rPr>
          <w:rFonts w:ascii="Verdana" w:hAnsi="Verdana"/>
          <w:sz w:val="20"/>
          <w:lang w:val="es-ES_tradnl"/>
        </w:rPr>
        <w:t>, en los términos del párrafo 23 de la presente Sentencia.</w:t>
      </w:r>
    </w:p>
    <w:p w:rsidR="00000000" w:rsidRDefault="00687F2E">
      <w:pPr>
        <w:jc w:val="both"/>
        <w:rPr>
          <w:rFonts w:ascii="Verdana" w:hAnsi="Verdana"/>
          <w:sz w:val="20"/>
        </w:rPr>
      </w:pPr>
    </w:p>
    <w:p w:rsidR="00000000" w:rsidRDefault="00687F2E">
      <w:pPr>
        <w:jc w:val="both"/>
        <w:rPr>
          <w:rFonts w:ascii="Verdana" w:hAnsi="Verdana"/>
          <w:sz w:val="20"/>
        </w:rPr>
      </w:pPr>
    </w:p>
    <w:p w:rsidR="00000000" w:rsidRDefault="00687F2E">
      <w:pPr>
        <w:jc w:val="both"/>
        <w:rPr>
          <w:rFonts w:ascii="Verdana" w:hAnsi="Verdana"/>
          <w:sz w:val="20"/>
          <w:lang w:val="es-ES_tradnl"/>
        </w:rPr>
      </w:pPr>
      <w:r>
        <w:rPr>
          <w:rFonts w:ascii="Verdana" w:hAnsi="Verdana"/>
          <w:sz w:val="20"/>
          <w:lang w:val="es-ES_tradnl"/>
        </w:rPr>
        <w:t>3.</w:t>
      </w:r>
      <w:r>
        <w:rPr>
          <w:rFonts w:ascii="Verdana" w:hAnsi="Verdana"/>
          <w:sz w:val="20"/>
          <w:lang w:val="es-ES_tradnl"/>
        </w:rPr>
        <w:tab/>
        <w:t xml:space="preserve">Declarar parcialmente inadmisible la demanda de interpretación de </w:t>
      </w:r>
      <w:smartTag w:uri="urn:schemas-microsoft-com:office:smarttags" w:element="PersonName">
        <w:smartTagPr>
          <w:attr w:name="ProductID" w:val="la Sentencia"/>
        </w:smartTagPr>
        <w:r>
          <w:rPr>
            <w:rFonts w:ascii="Verdana" w:hAnsi="Verdana"/>
            <w:sz w:val="20"/>
            <w:lang w:val="es-ES_tradnl"/>
          </w:rPr>
          <w:t>la Sentencia</w:t>
        </w:r>
      </w:smartTag>
      <w:r>
        <w:rPr>
          <w:rFonts w:ascii="Verdana" w:hAnsi="Verdana"/>
          <w:sz w:val="20"/>
          <w:lang w:val="es-ES_tradnl"/>
        </w:rPr>
        <w:t xml:space="preserve"> sobre fondo, reparaciones y costas dictada el </w:t>
      </w:r>
      <w:r>
        <w:rPr>
          <w:rFonts w:ascii="Verdana" w:hAnsi="Verdana"/>
          <w:sz w:val="20"/>
          <w:szCs w:val="20"/>
          <w:lang w:val="es-ES_tradnl"/>
        </w:rPr>
        <w:t>29</w:t>
      </w:r>
      <w:r>
        <w:rPr>
          <w:rFonts w:ascii="Verdana" w:hAnsi="Verdana"/>
          <w:sz w:val="20"/>
          <w:szCs w:val="20"/>
          <w:lang w:val="es-ES_tradnl"/>
        </w:rPr>
        <w:t xml:space="preserve"> de noviembre de 2006 en el </w:t>
      </w:r>
      <w:r>
        <w:rPr>
          <w:rFonts w:ascii="Verdana" w:hAnsi="Verdana"/>
          <w:i/>
          <w:sz w:val="20"/>
          <w:szCs w:val="20"/>
          <w:lang w:val="es-ES_tradnl"/>
        </w:rPr>
        <w:t xml:space="preserve">caso </w:t>
      </w:r>
      <w:smartTag w:uri="urn:schemas-microsoft-com:office:smarttags" w:element="PersonName">
        <w:smartTagPr>
          <w:attr w:name="ProductID" w:val="La Cantuta"/>
        </w:smartTagPr>
        <w:r>
          <w:rPr>
            <w:rFonts w:ascii="Verdana" w:hAnsi="Verdana"/>
            <w:i/>
            <w:sz w:val="20"/>
            <w:szCs w:val="20"/>
            <w:lang w:val="es-ES_tradnl"/>
          </w:rPr>
          <w:t>La Cantuta</w:t>
        </w:r>
      </w:smartTag>
      <w:r>
        <w:rPr>
          <w:rFonts w:ascii="Verdana" w:hAnsi="Verdana"/>
          <w:sz w:val="20"/>
          <w:lang w:val="es-ES_tradnl"/>
        </w:rPr>
        <w:t xml:space="preserve">, por no </w:t>
      </w:r>
      <w:r>
        <w:rPr>
          <w:rFonts w:ascii="Verdana" w:hAnsi="Verdana"/>
          <w:sz w:val="20"/>
          <w:szCs w:val="20"/>
          <w:lang w:val="es-ES_tradnl"/>
        </w:rPr>
        <w:t xml:space="preserve">adecuarse a lo previsto en los artículos 67 de </w:t>
      </w:r>
      <w:smartTag w:uri="urn:schemas-microsoft-com:office:smarttags" w:element="PersonName">
        <w:smartTagPr>
          <w:attr w:name="ProductID" w:val="la Convenci￳n"/>
        </w:smartTagPr>
        <w:r>
          <w:rPr>
            <w:rFonts w:ascii="Verdana" w:hAnsi="Verdana"/>
            <w:sz w:val="20"/>
            <w:szCs w:val="20"/>
            <w:lang w:val="es-ES_tradnl"/>
          </w:rPr>
          <w:t>la Convención</w:t>
        </w:r>
      </w:smartTag>
      <w:r>
        <w:rPr>
          <w:rFonts w:ascii="Verdana" w:hAnsi="Verdana"/>
          <w:sz w:val="20"/>
          <w:szCs w:val="20"/>
          <w:lang w:val="es-ES_tradnl"/>
        </w:rPr>
        <w:t xml:space="preserve"> y 29.3 y 59 del Reglamento, según lo señalado en los párrafos </w:t>
      </w:r>
      <w:smartTag w:uri="urn:schemas-microsoft-com:office:smarttags" w:element="metricconverter">
        <w:smartTagPr>
          <w:attr w:name="ProductID" w:val="27 a"/>
        </w:smartTagPr>
        <w:r>
          <w:rPr>
            <w:rFonts w:ascii="Verdana" w:hAnsi="Verdana"/>
            <w:sz w:val="20"/>
            <w:szCs w:val="20"/>
            <w:lang w:val="es-ES_tradnl"/>
          </w:rPr>
          <w:t>27 a</w:t>
        </w:r>
      </w:smartTag>
      <w:r>
        <w:rPr>
          <w:rFonts w:ascii="Verdana" w:hAnsi="Verdana"/>
          <w:sz w:val="20"/>
          <w:szCs w:val="20"/>
          <w:lang w:val="es-ES_tradnl"/>
        </w:rPr>
        <w:t xml:space="preserve"> 32 y 35 de la presente Sentencia.</w:t>
      </w:r>
      <w:r>
        <w:rPr>
          <w:rFonts w:ascii="Verdana" w:hAnsi="Verdana"/>
          <w:sz w:val="20"/>
          <w:lang w:val="es-ES_tradnl"/>
        </w:rPr>
        <w:t xml:space="preserve"> </w:t>
      </w:r>
    </w:p>
    <w:p w:rsidR="00000000" w:rsidRDefault="00687F2E">
      <w:pPr>
        <w:jc w:val="both"/>
        <w:rPr>
          <w:rFonts w:ascii="Verdana" w:hAnsi="Verdana"/>
          <w:sz w:val="20"/>
          <w:lang w:val="es-ES_tradnl"/>
        </w:rPr>
      </w:pPr>
    </w:p>
    <w:p w:rsidR="00000000" w:rsidRDefault="00687F2E">
      <w:pPr>
        <w:jc w:val="both"/>
        <w:rPr>
          <w:rFonts w:ascii="Verdana" w:hAnsi="Verdana"/>
          <w:sz w:val="20"/>
          <w:lang w:val="es-ES_tradnl"/>
        </w:rPr>
      </w:pPr>
    </w:p>
    <w:p w:rsidR="00000000" w:rsidRDefault="00687F2E">
      <w:pPr>
        <w:ind w:right="-7"/>
        <w:jc w:val="both"/>
        <w:rPr>
          <w:rFonts w:ascii="Verdana" w:hAnsi="Verdana"/>
          <w:sz w:val="20"/>
          <w:szCs w:val="20"/>
          <w:lang w:val="es-ES_tradnl"/>
        </w:rPr>
      </w:pPr>
      <w:r>
        <w:rPr>
          <w:rFonts w:ascii="Verdana" w:hAnsi="Verdana"/>
          <w:sz w:val="20"/>
          <w:lang w:val="es-ES_tradnl"/>
        </w:rPr>
        <w:t>4.</w:t>
      </w:r>
      <w:r>
        <w:rPr>
          <w:rFonts w:ascii="Verdana" w:hAnsi="Verdana"/>
          <w:sz w:val="20"/>
          <w:lang w:val="es-ES_tradnl"/>
        </w:rPr>
        <w:tab/>
      </w:r>
      <w:r>
        <w:rPr>
          <w:rFonts w:ascii="Verdana" w:hAnsi="Verdana"/>
          <w:sz w:val="20"/>
          <w:szCs w:val="20"/>
          <w:lang w:val="es-ES_tradnl"/>
        </w:rPr>
        <w:t>Determinar el alcance de lo dispuest</w:t>
      </w:r>
      <w:r>
        <w:rPr>
          <w:rFonts w:ascii="Verdana" w:hAnsi="Verdana"/>
          <w:sz w:val="20"/>
          <w:szCs w:val="20"/>
          <w:lang w:val="es-ES_tradnl"/>
        </w:rPr>
        <w:t xml:space="preserve">o en los </w:t>
      </w:r>
      <w:r>
        <w:rPr>
          <w:rFonts w:ascii="Verdana" w:hAnsi="Verdana"/>
          <w:sz w:val="20"/>
          <w:lang w:val="es-ES_tradnl"/>
        </w:rPr>
        <w:t xml:space="preserve">párrafos 161, 206.h) y 206.i) y en el punto resolutivo sexto de </w:t>
      </w:r>
      <w:smartTag w:uri="urn:schemas-microsoft-com:office:smarttags" w:element="PersonName">
        <w:smartTagPr>
          <w:attr w:name="ProductID" w:val="la Sentencia"/>
        </w:smartTagPr>
        <w:r>
          <w:rPr>
            <w:rFonts w:ascii="Verdana" w:hAnsi="Verdana"/>
            <w:sz w:val="20"/>
            <w:lang w:val="es-ES_tradnl"/>
          </w:rPr>
          <w:t>la Sentencia</w:t>
        </w:r>
      </w:smartTag>
      <w:r>
        <w:rPr>
          <w:rFonts w:ascii="Verdana" w:hAnsi="Verdana"/>
          <w:sz w:val="20"/>
          <w:lang w:val="es-ES_tradnl"/>
        </w:rPr>
        <w:t xml:space="preserve"> </w:t>
      </w:r>
      <w:r>
        <w:rPr>
          <w:rFonts w:ascii="Verdana" w:hAnsi="Verdana"/>
          <w:sz w:val="20"/>
          <w:szCs w:val="20"/>
          <w:lang w:val="es-ES_tradnl"/>
        </w:rPr>
        <w:t xml:space="preserve">dictada el 29 de noviembre de 2006 sobre fondo, reparaciones y costas en el </w:t>
      </w:r>
      <w:r>
        <w:rPr>
          <w:rFonts w:ascii="Verdana" w:hAnsi="Verdana"/>
          <w:i/>
          <w:sz w:val="20"/>
          <w:szCs w:val="20"/>
          <w:lang w:val="es-ES_tradnl"/>
        </w:rPr>
        <w:t xml:space="preserve">caso </w:t>
      </w:r>
      <w:smartTag w:uri="urn:schemas-microsoft-com:office:smarttags" w:element="PersonName">
        <w:smartTagPr>
          <w:attr w:name="ProductID" w:val="La Cantuta"/>
        </w:smartTagPr>
        <w:r>
          <w:rPr>
            <w:rFonts w:ascii="Verdana" w:hAnsi="Verdana"/>
            <w:i/>
            <w:sz w:val="20"/>
            <w:szCs w:val="20"/>
            <w:lang w:val="es-ES_tradnl"/>
          </w:rPr>
          <w:t>La Cantuta</w:t>
        </w:r>
      </w:smartTag>
      <w:r>
        <w:rPr>
          <w:rFonts w:ascii="Verdana" w:hAnsi="Verdana"/>
          <w:sz w:val="20"/>
          <w:szCs w:val="20"/>
          <w:lang w:val="es-ES_tradnl"/>
        </w:rPr>
        <w:t xml:space="preserve">, en los términos de los párrafos </w:t>
      </w:r>
      <w:smartTag w:uri="urn:schemas-microsoft-com:office:smarttags" w:element="metricconverter">
        <w:smartTagPr>
          <w:attr w:name="ProductID" w:val="33 a"/>
        </w:smartTagPr>
        <w:r>
          <w:rPr>
            <w:rFonts w:ascii="Verdana" w:hAnsi="Verdana"/>
            <w:sz w:val="20"/>
            <w:szCs w:val="20"/>
            <w:lang w:val="es-ES_tradnl"/>
          </w:rPr>
          <w:t>33 a</w:t>
        </w:r>
      </w:smartTag>
      <w:r>
        <w:rPr>
          <w:rFonts w:ascii="Verdana" w:hAnsi="Verdana"/>
          <w:sz w:val="20"/>
          <w:szCs w:val="20"/>
          <w:lang w:val="es-ES_tradnl"/>
        </w:rPr>
        <w:t xml:space="preserve"> 35 de la presente Sentencia, en la intel</w:t>
      </w:r>
      <w:r>
        <w:rPr>
          <w:rFonts w:ascii="Verdana" w:hAnsi="Verdana"/>
          <w:sz w:val="20"/>
          <w:szCs w:val="20"/>
          <w:lang w:val="es-ES_tradnl"/>
        </w:rPr>
        <w:t xml:space="preserve">igencia de que esto no </w:t>
      </w:r>
      <w:r>
        <w:rPr>
          <w:rFonts w:ascii="Verdana" w:hAnsi="Verdana"/>
          <w:sz w:val="20"/>
          <w:lang w:val="es-ES_tradnl"/>
        </w:rPr>
        <w:t xml:space="preserve">se opone a la posibilidad de que, con base en lo determinado en </w:t>
      </w:r>
      <w:smartTag w:uri="urn:schemas-microsoft-com:office:smarttags" w:element="PersonName">
        <w:smartTagPr>
          <w:attr w:name="ProductID" w:val="la Sentencia"/>
        </w:smartTagPr>
        <w:r>
          <w:rPr>
            <w:rFonts w:ascii="Verdana" w:hAnsi="Verdana"/>
            <w:sz w:val="20"/>
            <w:lang w:val="es-ES_tradnl"/>
          </w:rPr>
          <w:t>la Sentencia</w:t>
        </w:r>
      </w:smartTag>
      <w:r>
        <w:rPr>
          <w:rFonts w:ascii="Verdana" w:hAnsi="Verdana"/>
          <w:sz w:val="20"/>
          <w:lang w:val="es-ES_tradnl"/>
        </w:rPr>
        <w:t>, los familiares de las víctimas puedan ejercer los recursos internos apropiados para hacer valer los derechos que les corresponden.</w:t>
      </w:r>
    </w:p>
    <w:p w:rsidR="00000000" w:rsidRDefault="00687F2E">
      <w:pPr>
        <w:jc w:val="both"/>
        <w:rPr>
          <w:rFonts w:ascii="Verdana" w:hAnsi="Verdana"/>
          <w:sz w:val="20"/>
          <w:lang w:val="es-ES_tradnl"/>
        </w:rPr>
      </w:pPr>
    </w:p>
    <w:p w:rsidR="00000000" w:rsidRDefault="00687F2E">
      <w:pPr>
        <w:jc w:val="both"/>
        <w:rPr>
          <w:rFonts w:ascii="Verdana" w:hAnsi="Verdana"/>
          <w:sz w:val="20"/>
          <w:lang w:val="es-ES_tradnl"/>
        </w:rPr>
      </w:pPr>
    </w:p>
    <w:p w:rsidR="00000000" w:rsidRDefault="00687F2E">
      <w:pPr>
        <w:jc w:val="both"/>
        <w:rPr>
          <w:rFonts w:ascii="Verdana" w:hAnsi="Verdana"/>
          <w:sz w:val="20"/>
          <w:lang w:val="es-ES_tradnl"/>
        </w:rPr>
      </w:pPr>
      <w:r>
        <w:rPr>
          <w:rFonts w:ascii="Verdana" w:hAnsi="Verdana"/>
          <w:sz w:val="20"/>
          <w:lang w:val="es-ES_tradnl"/>
        </w:rPr>
        <w:t>5.</w:t>
      </w:r>
      <w:r>
        <w:rPr>
          <w:rFonts w:ascii="Verdana" w:hAnsi="Verdana"/>
          <w:sz w:val="20"/>
          <w:lang w:val="es-ES_tradnl"/>
        </w:rPr>
        <w:tab/>
        <w:t>Notificar la presen</w:t>
      </w:r>
      <w:r>
        <w:rPr>
          <w:rFonts w:ascii="Verdana" w:hAnsi="Verdana"/>
          <w:sz w:val="20"/>
          <w:lang w:val="es-ES_tradnl"/>
        </w:rPr>
        <w:t xml:space="preserve">te Sentencia a los representantes de los familiares de las víctimas, al Estado y a </w:t>
      </w:r>
      <w:smartTag w:uri="urn:schemas-microsoft-com:office:smarttags" w:element="PersonName">
        <w:smartTagPr>
          <w:attr w:name="ProductID" w:val="la Comisi￳n."/>
        </w:smartTagPr>
        <w:r>
          <w:rPr>
            <w:rFonts w:ascii="Verdana" w:hAnsi="Verdana"/>
            <w:sz w:val="20"/>
            <w:lang w:val="es-ES_tradnl"/>
          </w:rPr>
          <w:t>la Comisión.</w:t>
        </w:r>
      </w:smartTag>
      <w:r>
        <w:rPr>
          <w:rFonts w:ascii="Verdana" w:hAnsi="Verdana"/>
          <w:sz w:val="20"/>
          <w:lang w:val="es-ES_tradnl"/>
        </w:rPr>
        <w:t xml:space="preserve"> </w:t>
      </w:r>
    </w:p>
    <w:p w:rsidR="00000000" w:rsidRDefault="00687F2E">
      <w:pPr>
        <w:rPr>
          <w:rFonts w:ascii="Verdana" w:hAnsi="Verdana"/>
          <w:sz w:val="20"/>
          <w:lang w:val="es-ES_tradnl"/>
        </w:rPr>
      </w:pPr>
    </w:p>
    <w:p w:rsidR="00000000" w:rsidRDefault="00687F2E">
      <w:pPr>
        <w:rPr>
          <w:rFonts w:ascii="Verdana" w:hAnsi="Verdana"/>
          <w:sz w:val="20"/>
          <w:lang w:val="es-ES_tradnl"/>
        </w:rPr>
      </w:pPr>
    </w:p>
    <w:p w:rsidR="00000000" w:rsidRDefault="00687F2E">
      <w:pPr>
        <w:jc w:val="both"/>
        <w:rPr>
          <w:rFonts w:ascii="Verdana" w:hAnsi="Verdana"/>
          <w:sz w:val="20"/>
          <w:lang w:val="es-ES_tradnl"/>
        </w:rPr>
      </w:pPr>
      <w:r>
        <w:rPr>
          <w:rFonts w:ascii="Verdana" w:hAnsi="Verdana"/>
          <w:sz w:val="20"/>
          <w:lang w:val="es-ES_tradnl"/>
        </w:rPr>
        <w:t xml:space="preserve">El Juez </w:t>
      </w:r>
      <w:r>
        <w:rPr>
          <w:rFonts w:ascii="Verdana" w:hAnsi="Verdana"/>
          <w:color w:val="000000"/>
          <w:sz w:val="20"/>
          <w:lang w:val="es-ES_tradnl"/>
        </w:rPr>
        <w:t xml:space="preserve">Antônio Augusto </w:t>
      </w:r>
      <w:r>
        <w:rPr>
          <w:rFonts w:ascii="Verdana" w:hAnsi="Verdana"/>
          <w:sz w:val="20"/>
          <w:lang w:val="es-ES_tradnl"/>
        </w:rPr>
        <w:t xml:space="preserve">Cançado Trindade hizo conocer a </w:t>
      </w:r>
      <w:smartTag w:uri="urn:schemas-microsoft-com:office:smarttags" w:element="PersonName">
        <w:smartTagPr>
          <w:attr w:name="ProductID" w:val="la Corte"/>
        </w:smartTagPr>
        <w:r>
          <w:rPr>
            <w:rFonts w:ascii="Verdana" w:hAnsi="Verdana"/>
            <w:sz w:val="20"/>
            <w:lang w:val="es-ES_tradnl"/>
          </w:rPr>
          <w:t>la Corte</w:t>
        </w:r>
      </w:smartTag>
      <w:r>
        <w:rPr>
          <w:rFonts w:ascii="Verdana" w:hAnsi="Verdana"/>
          <w:sz w:val="20"/>
          <w:lang w:val="es-ES_tradnl"/>
        </w:rPr>
        <w:t xml:space="preserve"> su Voto Razonado, el cual acompaña a la presente Sentencia.</w:t>
      </w:r>
    </w:p>
    <w:p w:rsidR="00000000" w:rsidRDefault="00687F2E">
      <w:pPr>
        <w:rPr>
          <w:rFonts w:ascii="Verdana" w:hAnsi="Verdana"/>
          <w:sz w:val="20"/>
          <w:lang w:val="es-ES_tradnl"/>
        </w:rPr>
      </w:pPr>
    </w:p>
    <w:p w:rsidR="00000000" w:rsidRDefault="00687F2E">
      <w:pPr>
        <w:rPr>
          <w:rFonts w:ascii="Verdana" w:hAnsi="Verdana"/>
          <w:sz w:val="20"/>
          <w:lang w:val="es-ES_tradnl"/>
        </w:rPr>
      </w:pPr>
      <w:r>
        <w:rPr>
          <w:rFonts w:ascii="Verdana" w:hAnsi="Verdana"/>
          <w:sz w:val="20"/>
          <w:lang w:val="es-ES_tradnl"/>
        </w:rPr>
        <w:t xml:space="preserve">Redactada en español e inglés, </w:t>
      </w:r>
      <w:r>
        <w:rPr>
          <w:rFonts w:ascii="Verdana" w:hAnsi="Verdana"/>
          <w:sz w:val="20"/>
          <w:lang w:val="es-ES_tradnl"/>
        </w:rPr>
        <w:t>haciendo fe el texto en español, en San José, Costa Rica, el 30 de noviembre de 2007.</w:t>
      </w:r>
    </w:p>
    <w:p w:rsidR="00000000" w:rsidRDefault="00687F2E">
      <w:pPr>
        <w:jc w:val="center"/>
        <w:rPr>
          <w:rFonts w:ascii="Verdana" w:hAnsi="Verdana"/>
          <w:sz w:val="20"/>
          <w:lang w:val="es-ES_tradnl"/>
        </w:rPr>
      </w:pPr>
    </w:p>
    <w:p w:rsidR="00000000" w:rsidRDefault="00687F2E">
      <w:pPr>
        <w:jc w:val="center"/>
        <w:rPr>
          <w:rFonts w:ascii="Verdana" w:hAnsi="Verdana"/>
          <w:sz w:val="20"/>
          <w:lang w:val="es-ES_tradnl"/>
        </w:rPr>
      </w:pPr>
    </w:p>
    <w:p w:rsidR="00000000" w:rsidRDefault="00687F2E">
      <w:pPr>
        <w:jc w:val="center"/>
        <w:rPr>
          <w:rFonts w:ascii="Verdana" w:hAnsi="Verdana"/>
          <w:sz w:val="20"/>
          <w:lang w:val="es-ES_tradnl"/>
        </w:rPr>
      </w:pPr>
    </w:p>
    <w:p w:rsidR="00000000" w:rsidRDefault="00687F2E">
      <w:pPr>
        <w:jc w:val="center"/>
        <w:rPr>
          <w:rFonts w:ascii="Verdana" w:hAnsi="Verdana"/>
          <w:sz w:val="20"/>
          <w:lang w:val="es-ES_tradnl"/>
        </w:rPr>
      </w:pPr>
    </w:p>
    <w:p w:rsidR="00000000" w:rsidRDefault="00687F2E">
      <w:pPr>
        <w:jc w:val="center"/>
        <w:rPr>
          <w:rFonts w:ascii="Verdana" w:hAnsi="Verdana"/>
          <w:sz w:val="20"/>
          <w:lang w:val="es-ES_tradnl"/>
        </w:rPr>
      </w:pPr>
      <w:r>
        <w:rPr>
          <w:rFonts w:ascii="Verdana" w:hAnsi="Verdana"/>
          <w:sz w:val="20"/>
          <w:lang w:val="es-ES_tradnl"/>
        </w:rPr>
        <w:lastRenderedPageBreak/>
        <w:t>Sergio García Ramírez</w:t>
      </w:r>
    </w:p>
    <w:p w:rsidR="00000000" w:rsidRDefault="00687F2E">
      <w:pPr>
        <w:jc w:val="center"/>
        <w:rPr>
          <w:rFonts w:ascii="Verdana" w:hAnsi="Verdana"/>
          <w:sz w:val="20"/>
          <w:lang w:val="es-ES_tradnl"/>
        </w:rPr>
      </w:pPr>
      <w:r>
        <w:rPr>
          <w:rFonts w:ascii="Verdana" w:hAnsi="Verdana"/>
          <w:sz w:val="20"/>
          <w:lang w:val="es-ES_tradnl"/>
        </w:rPr>
        <w:t>Presidente</w:t>
      </w:r>
    </w:p>
    <w:tbl>
      <w:tblPr>
        <w:tblW w:w="0" w:type="auto"/>
        <w:tblBorders>
          <w:top w:val="nil"/>
          <w:left w:val="nil"/>
          <w:bottom w:val="nil"/>
          <w:right w:val="nil"/>
          <w:insideH w:val="nil"/>
          <w:insideV w:val="nil"/>
        </w:tblBorders>
        <w:tblLook w:val="00BE" w:firstRow="1" w:lastRow="0" w:firstColumn="1" w:lastColumn="0" w:noHBand="0" w:noVBand="0"/>
      </w:tblPr>
      <w:tblGrid>
        <w:gridCol w:w="4428"/>
        <w:gridCol w:w="4428"/>
      </w:tblGrid>
      <w:tr w:rsidR="00000000">
        <w:tblPrEx>
          <w:tblCellMar>
            <w:top w:w="0" w:type="dxa"/>
            <w:bottom w:w="0" w:type="dxa"/>
          </w:tblCellMar>
        </w:tblPrEx>
        <w:tc>
          <w:tcPr>
            <w:tcW w:w="4428" w:type="dxa"/>
          </w:tcPr>
          <w:p w:rsidR="00000000" w:rsidRDefault="00687F2E">
            <w:pPr>
              <w:tabs>
                <w:tab w:val="center" w:pos="6120"/>
              </w:tabs>
              <w:rPr>
                <w:rFonts w:ascii="Verdana" w:hAnsi="Verdana"/>
                <w:sz w:val="20"/>
                <w:lang w:val="es-ES_tradnl"/>
              </w:rPr>
            </w:pPr>
          </w:p>
          <w:p w:rsidR="00000000" w:rsidRDefault="00687F2E">
            <w:pPr>
              <w:tabs>
                <w:tab w:val="center" w:pos="6120"/>
              </w:tabs>
              <w:rPr>
                <w:rFonts w:ascii="Verdana" w:hAnsi="Verdana"/>
                <w:sz w:val="20"/>
                <w:lang w:val="es-ES_tradnl"/>
              </w:rPr>
            </w:pPr>
          </w:p>
          <w:p w:rsidR="00000000" w:rsidRDefault="00687F2E">
            <w:pPr>
              <w:tabs>
                <w:tab w:val="center" w:pos="6120"/>
              </w:tabs>
              <w:rPr>
                <w:rFonts w:ascii="Verdana" w:hAnsi="Verdana"/>
                <w:sz w:val="20"/>
                <w:lang w:val="es-ES_tradnl"/>
              </w:rPr>
            </w:pPr>
          </w:p>
          <w:p w:rsidR="00000000" w:rsidRDefault="00687F2E">
            <w:pPr>
              <w:tabs>
                <w:tab w:val="center" w:pos="6120"/>
              </w:tabs>
              <w:rPr>
                <w:rFonts w:ascii="Verdana" w:hAnsi="Verdana"/>
                <w:sz w:val="20"/>
                <w:lang w:val="es-ES_tradnl"/>
              </w:rPr>
            </w:pPr>
          </w:p>
          <w:p w:rsidR="00000000" w:rsidRDefault="00687F2E">
            <w:pPr>
              <w:tabs>
                <w:tab w:val="center" w:pos="6120"/>
              </w:tabs>
              <w:rPr>
                <w:rFonts w:ascii="Verdana" w:hAnsi="Verdana"/>
                <w:sz w:val="20"/>
                <w:lang w:val="es-ES_tradnl"/>
              </w:rPr>
            </w:pPr>
          </w:p>
          <w:p w:rsidR="00000000" w:rsidRDefault="00687F2E">
            <w:pPr>
              <w:tabs>
                <w:tab w:val="center" w:pos="6120"/>
              </w:tabs>
              <w:jc w:val="center"/>
              <w:rPr>
                <w:sz w:val="20"/>
                <w:lang w:val="es-ES_tradnl"/>
              </w:rPr>
            </w:pPr>
            <w:r>
              <w:rPr>
                <w:rFonts w:ascii="Verdana" w:hAnsi="Verdana"/>
                <w:sz w:val="20"/>
                <w:lang w:val="es-ES_tradnl"/>
              </w:rPr>
              <w:t>Antônio A. Cançado Trindade</w:t>
            </w:r>
          </w:p>
        </w:tc>
        <w:tc>
          <w:tcPr>
            <w:tcW w:w="4428" w:type="dxa"/>
          </w:tcPr>
          <w:p w:rsidR="00000000" w:rsidRDefault="00687F2E">
            <w:pPr>
              <w:tabs>
                <w:tab w:val="center" w:pos="6120"/>
              </w:tabs>
              <w:rPr>
                <w:rFonts w:ascii="Verdana" w:hAnsi="Verdana"/>
                <w:sz w:val="20"/>
                <w:lang w:val="es-ES_tradnl"/>
              </w:rPr>
            </w:pPr>
          </w:p>
          <w:p w:rsidR="00000000" w:rsidRDefault="00687F2E">
            <w:pPr>
              <w:tabs>
                <w:tab w:val="center" w:pos="6120"/>
              </w:tabs>
              <w:rPr>
                <w:rFonts w:ascii="Verdana" w:hAnsi="Verdana"/>
                <w:sz w:val="20"/>
                <w:lang w:val="es-ES_tradnl"/>
              </w:rPr>
            </w:pPr>
          </w:p>
          <w:p w:rsidR="00000000" w:rsidRDefault="00687F2E">
            <w:pPr>
              <w:tabs>
                <w:tab w:val="center" w:pos="6120"/>
              </w:tabs>
              <w:rPr>
                <w:rFonts w:ascii="Verdana" w:hAnsi="Verdana"/>
                <w:sz w:val="20"/>
                <w:lang w:val="es-ES_tradnl"/>
              </w:rPr>
            </w:pPr>
          </w:p>
          <w:p w:rsidR="00000000" w:rsidRDefault="00687F2E">
            <w:pPr>
              <w:tabs>
                <w:tab w:val="center" w:pos="6120"/>
              </w:tabs>
              <w:jc w:val="right"/>
              <w:rPr>
                <w:rFonts w:ascii="Verdana" w:hAnsi="Verdana"/>
                <w:sz w:val="20"/>
                <w:lang w:val="es-ES_tradnl"/>
              </w:rPr>
            </w:pPr>
          </w:p>
          <w:p w:rsidR="00000000" w:rsidRDefault="00687F2E">
            <w:pPr>
              <w:tabs>
                <w:tab w:val="center" w:pos="6120"/>
              </w:tabs>
              <w:jc w:val="center"/>
              <w:rPr>
                <w:rFonts w:ascii="Verdana" w:hAnsi="Verdana"/>
                <w:sz w:val="20"/>
                <w:lang w:val="es-ES_tradnl"/>
              </w:rPr>
            </w:pPr>
          </w:p>
          <w:p w:rsidR="00000000" w:rsidRDefault="00687F2E">
            <w:pPr>
              <w:tabs>
                <w:tab w:val="center" w:pos="6120"/>
              </w:tabs>
              <w:jc w:val="center"/>
              <w:rPr>
                <w:sz w:val="20"/>
                <w:lang w:val="es-ES_tradnl"/>
              </w:rPr>
            </w:pPr>
            <w:r>
              <w:rPr>
                <w:rFonts w:ascii="Verdana" w:hAnsi="Verdana"/>
                <w:sz w:val="20"/>
                <w:lang w:val="es-ES_tradnl"/>
              </w:rPr>
              <w:t>Cecilia Medina</w:t>
            </w:r>
          </w:p>
        </w:tc>
      </w:tr>
      <w:tr w:rsidR="00000000">
        <w:tblPrEx>
          <w:tblCellMar>
            <w:top w:w="0" w:type="dxa"/>
            <w:bottom w:w="0" w:type="dxa"/>
          </w:tblCellMar>
        </w:tblPrEx>
        <w:tc>
          <w:tcPr>
            <w:tcW w:w="4428" w:type="dxa"/>
          </w:tcPr>
          <w:p w:rsidR="00000000" w:rsidRDefault="00687F2E">
            <w:pPr>
              <w:tabs>
                <w:tab w:val="center" w:pos="6120"/>
              </w:tabs>
              <w:rPr>
                <w:rFonts w:ascii="Verdana" w:hAnsi="Verdana"/>
                <w:sz w:val="20"/>
                <w:lang w:val="es-ES_tradnl"/>
              </w:rPr>
            </w:pPr>
          </w:p>
          <w:p w:rsidR="00000000" w:rsidRDefault="00687F2E">
            <w:pPr>
              <w:tabs>
                <w:tab w:val="center" w:pos="6120"/>
              </w:tabs>
              <w:rPr>
                <w:rFonts w:ascii="Verdana" w:hAnsi="Verdana"/>
                <w:sz w:val="20"/>
                <w:lang w:val="es-ES_tradnl"/>
              </w:rPr>
            </w:pPr>
          </w:p>
          <w:p w:rsidR="00000000" w:rsidRDefault="00687F2E">
            <w:pPr>
              <w:tabs>
                <w:tab w:val="center" w:pos="6120"/>
              </w:tabs>
              <w:rPr>
                <w:rFonts w:ascii="Verdana" w:hAnsi="Verdana"/>
                <w:sz w:val="20"/>
                <w:lang w:val="es-ES_tradnl"/>
              </w:rPr>
            </w:pPr>
          </w:p>
          <w:p w:rsidR="00000000" w:rsidRDefault="00687F2E">
            <w:pPr>
              <w:tabs>
                <w:tab w:val="center" w:pos="6120"/>
              </w:tabs>
              <w:rPr>
                <w:rFonts w:ascii="Verdana" w:hAnsi="Verdana"/>
                <w:sz w:val="20"/>
                <w:lang w:val="es-ES_tradnl"/>
              </w:rPr>
            </w:pPr>
          </w:p>
          <w:p w:rsidR="00000000" w:rsidRDefault="00687F2E">
            <w:pPr>
              <w:tabs>
                <w:tab w:val="center" w:pos="6120"/>
              </w:tabs>
              <w:rPr>
                <w:rFonts w:ascii="Verdana" w:hAnsi="Verdana"/>
                <w:sz w:val="20"/>
                <w:lang w:val="es-ES_tradnl"/>
              </w:rPr>
            </w:pPr>
          </w:p>
          <w:p w:rsidR="00000000" w:rsidRDefault="00687F2E">
            <w:pPr>
              <w:tabs>
                <w:tab w:val="center" w:pos="6120"/>
              </w:tabs>
              <w:jc w:val="center"/>
              <w:rPr>
                <w:sz w:val="20"/>
                <w:lang w:val="es-ES_tradnl"/>
              </w:rPr>
            </w:pPr>
            <w:r>
              <w:rPr>
                <w:rFonts w:ascii="Verdana" w:hAnsi="Verdana"/>
                <w:sz w:val="20"/>
                <w:lang w:val="es-ES_tradnl"/>
              </w:rPr>
              <w:t>Manuel E. Ventura Robles</w:t>
            </w:r>
          </w:p>
        </w:tc>
        <w:tc>
          <w:tcPr>
            <w:tcW w:w="4428" w:type="dxa"/>
          </w:tcPr>
          <w:p w:rsidR="00000000" w:rsidRDefault="00687F2E">
            <w:pPr>
              <w:tabs>
                <w:tab w:val="center" w:pos="6120"/>
              </w:tabs>
              <w:jc w:val="right"/>
              <w:rPr>
                <w:rFonts w:ascii="Verdana" w:hAnsi="Verdana"/>
                <w:sz w:val="20"/>
                <w:lang w:val="es-ES_tradnl"/>
              </w:rPr>
            </w:pPr>
          </w:p>
          <w:p w:rsidR="00000000" w:rsidRDefault="00687F2E">
            <w:pPr>
              <w:tabs>
                <w:tab w:val="center" w:pos="6120"/>
              </w:tabs>
              <w:jc w:val="right"/>
              <w:rPr>
                <w:rFonts w:ascii="Verdana" w:hAnsi="Verdana"/>
                <w:sz w:val="20"/>
                <w:lang w:val="es-ES_tradnl"/>
              </w:rPr>
            </w:pPr>
          </w:p>
          <w:p w:rsidR="00000000" w:rsidRDefault="00687F2E">
            <w:pPr>
              <w:tabs>
                <w:tab w:val="center" w:pos="6120"/>
              </w:tabs>
              <w:jc w:val="right"/>
              <w:rPr>
                <w:rFonts w:ascii="Verdana" w:hAnsi="Verdana"/>
                <w:sz w:val="20"/>
                <w:lang w:val="es-ES_tradnl"/>
              </w:rPr>
            </w:pPr>
          </w:p>
          <w:p w:rsidR="00000000" w:rsidRDefault="00687F2E">
            <w:pPr>
              <w:tabs>
                <w:tab w:val="center" w:pos="6120"/>
              </w:tabs>
              <w:jc w:val="right"/>
              <w:rPr>
                <w:rFonts w:ascii="Verdana" w:hAnsi="Verdana"/>
                <w:sz w:val="20"/>
                <w:lang w:val="es-ES_tradnl"/>
              </w:rPr>
            </w:pPr>
          </w:p>
          <w:p w:rsidR="00000000" w:rsidRDefault="00687F2E">
            <w:pPr>
              <w:tabs>
                <w:tab w:val="center" w:pos="6120"/>
              </w:tabs>
              <w:jc w:val="center"/>
              <w:rPr>
                <w:rFonts w:ascii="Verdana" w:hAnsi="Verdana"/>
                <w:sz w:val="20"/>
                <w:lang w:val="es-ES_tradnl"/>
              </w:rPr>
            </w:pPr>
          </w:p>
          <w:p w:rsidR="00000000" w:rsidRDefault="00687F2E">
            <w:pPr>
              <w:jc w:val="center"/>
              <w:rPr>
                <w:rFonts w:ascii="Verdana" w:hAnsi="Verdana"/>
                <w:sz w:val="20"/>
                <w:lang w:val="es-ES_tradnl"/>
              </w:rPr>
            </w:pPr>
            <w:r>
              <w:rPr>
                <w:rFonts w:ascii="Verdana" w:hAnsi="Verdana"/>
                <w:sz w:val="20"/>
                <w:lang w:val="es-ES_tradnl"/>
              </w:rPr>
              <w:t>Fernando Vidal Ramírez</w:t>
            </w:r>
          </w:p>
          <w:p w:rsidR="00000000" w:rsidRDefault="00687F2E">
            <w:pPr>
              <w:tabs>
                <w:tab w:val="center" w:pos="6120"/>
              </w:tabs>
              <w:jc w:val="center"/>
              <w:rPr>
                <w:sz w:val="20"/>
                <w:lang w:val="es-ES_tradnl"/>
              </w:rPr>
            </w:pPr>
            <w:r>
              <w:rPr>
                <w:rFonts w:ascii="Verdana" w:hAnsi="Verdana"/>
                <w:sz w:val="20"/>
                <w:lang w:val="es-ES_tradnl"/>
              </w:rPr>
              <w:t xml:space="preserve">Juez </w:t>
            </w:r>
            <w:r>
              <w:rPr>
                <w:rFonts w:ascii="Verdana" w:hAnsi="Verdana"/>
                <w:i/>
                <w:sz w:val="20"/>
                <w:lang w:val="es-ES_tradnl"/>
              </w:rPr>
              <w:t>ad hoc</w:t>
            </w:r>
          </w:p>
        </w:tc>
      </w:tr>
    </w:tbl>
    <w:p w:rsidR="00000000" w:rsidRDefault="00687F2E">
      <w:pPr>
        <w:jc w:val="center"/>
        <w:rPr>
          <w:rFonts w:ascii="Verdana" w:hAnsi="Verdana"/>
          <w:sz w:val="20"/>
          <w:lang w:val="es-ES_tradnl"/>
        </w:rPr>
      </w:pPr>
    </w:p>
    <w:p w:rsidR="00000000" w:rsidRDefault="00687F2E">
      <w:pPr>
        <w:jc w:val="center"/>
        <w:rPr>
          <w:rFonts w:ascii="Verdana" w:hAnsi="Verdana"/>
          <w:sz w:val="20"/>
          <w:lang w:val="es-ES_tradnl"/>
        </w:rPr>
      </w:pPr>
    </w:p>
    <w:p w:rsidR="00000000" w:rsidRDefault="00687F2E">
      <w:pPr>
        <w:jc w:val="center"/>
        <w:rPr>
          <w:rFonts w:ascii="Verdana" w:hAnsi="Verdana"/>
          <w:sz w:val="20"/>
          <w:lang w:val="es-ES_tradnl"/>
        </w:rPr>
      </w:pPr>
    </w:p>
    <w:p w:rsidR="00000000" w:rsidRDefault="00687F2E">
      <w:pPr>
        <w:jc w:val="center"/>
        <w:rPr>
          <w:rFonts w:ascii="Verdana" w:hAnsi="Verdana"/>
          <w:sz w:val="20"/>
          <w:lang w:val="es-ES_tradnl"/>
        </w:rPr>
      </w:pPr>
    </w:p>
    <w:p w:rsidR="00000000" w:rsidRDefault="00687F2E">
      <w:pPr>
        <w:jc w:val="center"/>
        <w:rPr>
          <w:rFonts w:ascii="Verdana" w:hAnsi="Verdana"/>
          <w:sz w:val="20"/>
          <w:lang w:val="es-ES_tradnl"/>
        </w:rPr>
      </w:pPr>
    </w:p>
    <w:p w:rsidR="00000000" w:rsidRDefault="00687F2E">
      <w:pPr>
        <w:jc w:val="center"/>
        <w:rPr>
          <w:rFonts w:ascii="Verdana" w:hAnsi="Verdana"/>
          <w:sz w:val="20"/>
          <w:lang w:val="es-ES_tradnl"/>
        </w:rPr>
      </w:pPr>
    </w:p>
    <w:p w:rsidR="00000000" w:rsidRDefault="00687F2E">
      <w:pPr>
        <w:jc w:val="center"/>
        <w:rPr>
          <w:rFonts w:ascii="Verdana" w:hAnsi="Verdana"/>
          <w:sz w:val="20"/>
          <w:lang w:val="es-ES_tradnl"/>
        </w:rPr>
      </w:pPr>
    </w:p>
    <w:p w:rsidR="00000000" w:rsidRDefault="00687F2E">
      <w:pPr>
        <w:jc w:val="center"/>
        <w:rPr>
          <w:rFonts w:ascii="Verdana" w:hAnsi="Verdana"/>
          <w:sz w:val="20"/>
          <w:lang w:val="es-ES_tradnl"/>
        </w:rPr>
      </w:pPr>
    </w:p>
    <w:p w:rsidR="00000000" w:rsidRDefault="00687F2E">
      <w:pPr>
        <w:jc w:val="center"/>
        <w:rPr>
          <w:rFonts w:ascii="Verdana" w:hAnsi="Verdana"/>
          <w:sz w:val="20"/>
          <w:lang w:val="es-ES_tradnl"/>
        </w:rPr>
      </w:pPr>
      <w:r>
        <w:rPr>
          <w:rFonts w:ascii="Verdana" w:hAnsi="Verdana"/>
          <w:sz w:val="20"/>
          <w:lang w:val="es-ES_tradnl"/>
        </w:rPr>
        <w:t>Pablo Saavedra Alessandri</w:t>
      </w:r>
    </w:p>
    <w:p w:rsidR="00000000" w:rsidRDefault="00687F2E">
      <w:pPr>
        <w:jc w:val="center"/>
        <w:rPr>
          <w:rFonts w:ascii="Verdana" w:hAnsi="Verdana"/>
          <w:sz w:val="20"/>
          <w:lang w:val="es-ES_tradnl"/>
        </w:rPr>
      </w:pPr>
      <w:r>
        <w:rPr>
          <w:rFonts w:ascii="Verdana" w:hAnsi="Verdana"/>
          <w:sz w:val="20"/>
          <w:lang w:val="es-ES_tradnl"/>
        </w:rPr>
        <w:t>Secretario</w:t>
      </w:r>
    </w:p>
    <w:p w:rsidR="00000000" w:rsidRDefault="00687F2E">
      <w:pPr>
        <w:rPr>
          <w:rFonts w:ascii="Verdana" w:hAnsi="Verdana"/>
          <w:sz w:val="20"/>
          <w:lang w:val="es-ES_tradnl"/>
        </w:rPr>
      </w:pPr>
    </w:p>
    <w:p w:rsidR="00000000" w:rsidRDefault="00687F2E">
      <w:pPr>
        <w:rPr>
          <w:rFonts w:ascii="Verdana" w:hAnsi="Verdana"/>
          <w:sz w:val="20"/>
          <w:lang w:val="es-ES_tradnl"/>
        </w:rPr>
      </w:pPr>
    </w:p>
    <w:p w:rsidR="00000000" w:rsidRDefault="00687F2E">
      <w:pPr>
        <w:rPr>
          <w:rFonts w:ascii="Verdana" w:hAnsi="Verdana"/>
          <w:sz w:val="20"/>
          <w:lang w:val="es-ES_tradnl"/>
        </w:rPr>
      </w:pPr>
      <w:r>
        <w:rPr>
          <w:rFonts w:ascii="Verdana" w:hAnsi="Verdana"/>
          <w:sz w:val="20"/>
          <w:lang w:val="es-ES_tradnl"/>
        </w:rPr>
        <w:t>Comuníquese y ejecútese,</w:t>
      </w:r>
    </w:p>
    <w:p w:rsidR="00000000" w:rsidRDefault="00687F2E">
      <w:pPr>
        <w:rPr>
          <w:rFonts w:ascii="Verdana" w:hAnsi="Verdana"/>
          <w:sz w:val="20"/>
          <w:lang w:val="es-ES_tradnl"/>
        </w:rPr>
      </w:pPr>
    </w:p>
    <w:p w:rsidR="00000000" w:rsidRDefault="00687F2E">
      <w:pPr>
        <w:rPr>
          <w:rFonts w:ascii="Verdana" w:hAnsi="Verdana"/>
          <w:sz w:val="20"/>
          <w:lang w:val="es-ES_tradnl"/>
        </w:rPr>
      </w:pPr>
    </w:p>
    <w:p w:rsidR="00000000" w:rsidRDefault="00687F2E">
      <w:pPr>
        <w:rPr>
          <w:rFonts w:ascii="Verdana" w:hAnsi="Verdana"/>
          <w:sz w:val="20"/>
          <w:lang w:val="es-ES_tradnl"/>
        </w:rPr>
      </w:pPr>
    </w:p>
    <w:p w:rsidR="00000000" w:rsidRDefault="00687F2E">
      <w:pPr>
        <w:ind w:left="5760"/>
        <w:rPr>
          <w:rFonts w:ascii="Verdana" w:hAnsi="Verdana"/>
          <w:sz w:val="20"/>
          <w:lang w:val="es-ES_tradnl"/>
        </w:rPr>
      </w:pPr>
      <w:r>
        <w:rPr>
          <w:rFonts w:ascii="Verdana" w:hAnsi="Verdana"/>
          <w:sz w:val="20"/>
          <w:lang w:val="es-ES_tradnl"/>
        </w:rPr>
        <w:t xml:space="preserve">         Sergio García Ramírez</w:t>
      </w:r>
    </w:p>
    <w:p w:rsidR="00000000" w:rsidRDefault="00687F2E">
      <w:pPr>
        <w:tabs>
          <w:tab w:val="left" w:pos="4860"/>
        </w:tabs>
        <w:rPr>
          <w:rFonts w:ascii="Verdana" w:hAnsi="Verdana"/>
          <w:sz w:val="20"/>
          <w:lang w:val="es-ES_tradnl"/>
        </w:rPr>
      </w:pPr>
      <w:r>
        <w:rPr>
          <w:rFonts w:ascii="Verdana" w:hAnsi="Verdana"/>
          <w:sz w:val="20"/>
          <w:lang w:val="es-ES_tradnl"/>
        </w:rPr>
        <w:t xml:space="preserve">                               </w:t>
      </w:r>
      <w:r>
        <w:rPr>
          <w:rFonts w:ascii="Verdana" w:hAnsi="Verdana"/>
          <w:sz w:val="20"/>
          <w:lang w:val="es-ES_tradnl"/>
        </w:rPr>
        <w:tab/>
      </w:r>
      <w:r>
        <w:rPr>
          <w:rFonts w:ascii="Verdana" w:hAnsi="Verdana"/>
          <w:sz w:val="20"/>
          <w:lang w:val="es-ES_tradnl"/>
        </w:rPr>
        <w:tab/>
      </w:r>
      <w:r>
        <w:rPr>
          <w:rFonts w:ascii="Verdana" w:hAnsi="Verdana"/>
          <w:sz w:val="20"/>
          <w:lang w:val="es-ES_tradnl"/>
        </w:rPr>
        <w:tab/>
      </w:r>
      <w:r>
        <w:rPr>
          <w:rFonts w:ascii="Verdana" w:hAnsi="Verdana"/>
          <w:sz w:val="20"/>
          <w:lang w:val="es-ES_tradnl"/>
        </w:rPr>
        <w:tab/>
        <w:t xml:space="preserve">       Presidente</w:t>
      </w:r>
    </w:p>
    <w:p w:rsidR="00000000" w:rsidRDefault="00687F2E">
      <w:pPr>
        <w:rPr>
          <w:rFonts w:ascii="Verdana" w:hAnsi="Verdana"/>
          <w:sz w:val="20"/>
          <w:lang w:val="es-ES_tradnl"/>
        </w:rPr>
      </w:pPr>
    </w:p>
    <w:p w:rsidR="00000000" w:rsidRDefault="00687F2E">
      <w:pPr>
        <w:rPr>
          <w:rFonts w:ascii="Verdana" w:hAnsi="Verdana"/>
          <w:sz w:val="20"/>
          <w:lang w:val="es-ES_tradnl"/>
        </w:rPr>
      </w:pPr>
    </w:p>
    <w:p w:rsidR="00000000" w:rsidRDefault="00687F2E">
      <w:pPr>
        <w:rPr>
          <w:rFonts w:ascii="Verdana" w:hAnsi="Verdana"/>
          <w:sz w:val="20"/>
          <w:lang w:val="es-ES_tradnl"/>
        </w:rPr>
      </w:pPr>
    </w:p>
    <w:p w:rsidR="00000000" w:rsidRDefault="00687F2E">
      <w:pPr>
        <w:rPr>
          <w:rFonts w:ascii="Verdana" w:hAnsi="Verdana"/>
          <w:sz w:val="20"/>
          <w:lang w:val="es-ES_tradnl"/>
        </w:rPr>
      </w:pPr>
      <w:r>
        <w:rPr>
          <w:rFonts w:ascii="Verdana" w:hAnsi="Verdana"/>
          <w:sz w:val="20"/>
          <w:lang w:val="es-ES_tradnl"/>
        </w:rPr>
        <w:t>Pablo Saavedra Alessandri</w:t>
      </w:r>
    </w:p>
    <w:p w:rsidR="00000000" w:rsidRDefault="00687F2E">
      <w:pPr>
        <w:rPr>
          <w:rFonts w:ascii="Verdana" w:hAnsi="Verdana"/>
          <w:sz w:val="20"/>
          <w:lang w:val="es-ES_tradnl"/>
        </w:rPr>
      </w:pPr>
      <w:r>
        <w:rPr>
          <w:rFonts w:ascii="Verdana" w:hAnsi="Verdana"/>
          <w:sz w:val="20"/>
          <w:lang w:val="es-ES_tradnl"/>
        </w:rPr>
        <w:tab/>
        <w:t>Secretario</w:t>
      </w:r>
    </w:p>
    <w:p w:rsidR="00000000" w:rsidRDefault="00687F2E">
      <w:pPr>
        <w:rPr>
          <w:rFonts w:ascii="Verdana" w:hAnsi="Verdana"/>
          <w:sz w:val="20"/>
          <w:lang w:val="es-ES_tradnl"/>
        </w:rPr>
      </w:pPr>
    </w:p>
    <w:p w:rsidR="00000000" w:rsidRDefault="00687F2E">
      <w:pPr>
        <w:rPr>
          <w:rFonts w:ascii="Verdana" w:hAnsi="Verdana"/>
          <w:sz w:val="20"/>
          <w:lang w:val="es-ES_tradnl"/>
        </w:rPr>
      </w:pPr>
    </w:p>
    <w:p w:rsidR="00000000" w:rsidRDefault="00687F2E">
      <w:pPr>
        <w:rPr>
          <w:rFonts w:ascii="Verdana" w:hAnsi="Verdana"/>
          <w:sz w:val="20"/>
          <w:lang w:val="es-ES_tradnl"/>
        </w:rPr>
        <w:sectPr w:rsidR="00000000">
          <w:headerReference w:type="even" r:id="rId7"/>
          <w:headerReference w:type="default" r:id="rId8"/>
          <w:footerReference w:type="even" r:id="rId9"/>
          <w:pgSz w:w="12240" w:h="15840"/>
          <w:pgMar w:top="1440" w:right="1440" w:bottom="1440" w:left="1440" w:header="720" w:footer="720" w:gutter="0"/>
          <w:pgNumType w:start="1"/>
          <w:cols w:space="720"/>
          <w:titlePg/>
          <w:docGrid w:linePitch="360"/>
        </w:sectPr>
      </w:pPr>
    </w:p>
    <w:p w:rsidR="00000000" w:rsidRDefault="00687F2E">
      <w:pPr>
        <w:jc w:val="both"/>
        <w:rPr>
          <w:rFonts w:ascii="Verdana" w:hAnsi="Verdana"/>
          <w:spacing w:val="-3"/>
          <w:sz w:val="20"/>
        </w:rPr>
      </w:pPr>
    </w:p>
    <w:p w:rsidR="00000000" w:rsidRDefault="00687F2E">
      <w:pPr>
        <w:jc w:val="both"/>
        <w:rPr>
          <w:rFonts w:ascii="Verdana" w:hAnsi="Verdana"/>
          <w:spacing w:val="-3"/>
          <w:sz w:val="20"/>
        </w:rPr>
      </w:pPr>
    </w:p>
    <w:p w:rsidR="00000000" w:rsidRDefault="00687F2E">
      <w:pPr>
        <w:jc w:val="center"/>
        <w:rPr>
          <w:rFonts w:ascii="Verdana" w:hAnsi="Verdana"/>
          <w:spacing w:val="-3"/>
          <w:sz w:val="20"/>
        </w:rPr>
      </w:pPr>
      <w:r>
        <w:rPr>
          <w:rFonts w:ascii="Verdana" w:hAnsi="Verdana"/>
          <w:b/>
          <w:bCs/>
          <w:spacing w:val="-3"/>
          <w:sz w:val="20"/>
        </w:rPr>
        <w:t>VOTO RAZONADO DEL JUEZ A.A. CANÇADO TRINDADE</w:t>
      </w:r>
    </w:p>
    <w:p w:rsidR="00000000" w:rsidRDefault="00687F2E">
      <w:pPr>
        <w:jc w:val="both"/>
        <w:rPr>
          <w:rFonts w:ascii="Verdana" w:hAnsi="Verdana"/>
          <w:spacing w:val="-3"/>
          <w:sz w:val="20"/>
        </w:rPr>
      </w:pPr>
    </w:p>
    <w:p w:rsidR="00000000" w:rsidRDefault="00687F2E">
      <w:pPr>
        <w:jc w:val="both"/>
        <w:rPr>
          <w:rFonts w:ascii="Verdana" w:hAnsi="Verdana"/>
          <w:spacing w:val="-3"/>
          <w:sz w:val="20"/>
        </w:rPr>
      </w:pPr>
      <w:r>
        <w:rPr>
          <w:rFonts w:ascii="Verdana" w:hAnsi="Verdana"/>
          <w:spacing w:val="-3"/>
          <w:sz w:val="20"/>
        </w:rPr>
        <w:t>1.</w:t>
      </w:r>
      <w:r>
        <w:rPr>
          <w:rFonts w:ascii="Verdana" w:hAnsi="Verdana"/>
          <w:spacing w:val="-3"/>
          <w:sz w:val="20"/>
        </w:rPr>
        <w:tab/>
        <w:t>Soy un Jue</w:t>
      </w:r>
      <w:r>
        <w:rPr>
          <w:rFonts w:ascii="Verdana" w:hAnsi="Verdana"/>
          <w:spacing w:val="-3"/>
          <w:sz w:val="20"/>
        </w:rPr>
        <w:t xml:space="preserve">z sobreviviente de </w:t>
      </w:r>
      <w:smartTag w:uri="urn:schemas-microsoft-com:office:smarttags" w:element="PersonName">
        <w:smartTagPr>
          <w:attr w:name="ProductID" w:val="la Corte Interamericana"/>
        </w:smartTagPr>
        <w:r>
          <w:rPr>
            <w:rFonts w:ascii="Verdana" w:hAnsi="Verdana"/>
            <w:spacing w:val="-3"/>
            <w:sz w:val="20"/>
          </w:rPr>
          <w:t>la Corte Interamericana</w:t>
        </w:r>
      </w:smartTag>
      <w:r>
        <w:rPr>
          <w:rFonts w:ascii="Verdana" w:hAnsi="Verdana"/>
          <w:spacing w:val="-3"/>
          <w:sz w:val="20"/>
        </w:rPr>
        <w:t xml:space="preserve"> de Derechos Humanos. El 29.11.2006, emití mi último Voto en este Tribunal, en </w:t>
      </w:r>
      <w:smartTag w:uri="urn:schemas-microsoft-com:office:smarttags" w:element="PersonName">
        <w:smartTagPr>
          <w:attr w:name="ProductID" w:val="la Sentencia"/>
        </w:smartTagPr>
        <w:r>
          <w:rPr>
            <w:rFonts w:ascii="Verdana" w:hAnsi="Verdana"/>
            <w:spacing w:val="-3"/>
            <w:sz w:val="20"/>
          </w:rPr>
          <w:t>la Sentencia</w:t>
        </w:r>
      </w:smartTag>
      <w:r>
        <w:rPr>
          <w:rFonts w:ascii="Verdana" w:hAnsi="Verdana"/>
          <w:spacing w:val="-3"/>
          <w:sz w:val="20"/>
        </w:rPr>
        <w:t xml:space="preserve"> sobre fondo y reparaciones en el presente caso </w:t>
      </w:r>
      <w:smartTag w:uri="urn:schemas-microsoft-com:office:smarttags" w:element="PersonName">
        <w:smartTagPr>
          <w:attr w:name="ProductID" w:val="La Cantuta"/>
        </w:smartTagPr>
        <w:r>
          <w:rPr>
            <w:rFonts w:ascii="Verdana" w:hAnsi="Verdana"/>
            <w:i/>
            <w:iCs/>
            <w:spacing w:val="-3"/>
            <w:sz w:val="20"/>
          </w:rPr>
          <w:t>La Cantuta</w:t>
        </w:r>
      </w:smartTag>
      <w:r>
        <w:rPr>
          <w:rFonts w:ascii="Verdana" w:hAnsi="Verdana"/>
          <w:spacing w:val="-3"/>
          <w:sz w:val="20"/>
        </w:rPr>
        <w:t>, atinente al Estado peruano. Trascurrido más de un año, constato</w:t>
      </w:r>
      <w:r>
        <w:rPr>
          <w:rFonts w:ascii="Verdana" w:hAnsi="Verdana"/>
          <w:spacing w:val="-3"/>
          <w:sz w:val="20"/>
        </w:rPr>
        <w:t xml:space="preserve"> que, en el mundo del Derecho difícilmente hay lo "último". La presente solicitud de Interpretación de Sentencia me lleva a dejar constancia de nuevas reflexiones, sobre la cuestión planteada en el expediente ante </w:t>
      </w:r>
      <w:smartTag w:uri="urn:schemas-microsoft-com:office:smarttags" w:element="PersonName">
        <w:smartTagPr>
          <w:attr w:name="ProductID" w:val="la Corte"/>
        </w:smartTagPr>
        <w:r>
          <w:rPr>
            <w:rFonts w:ascii="Verdana" w:hAnsi="Verdana"/>
            <w:spacing w:val="-3"/>
            <w:sz w:val="20"/>
          </w:rPr>
          <w:t>la Corte</w:t>
        </w:r>
      </w:smartTag>
      <w:r>
        <w:rPr>
          <w:rFonts w:ascii="Verdana" w:hAnsi="Verdana"/>
          <w:spacing w:val="-3"/>
          <w:sz w:val="20"/>
        </w:rPr>
        <w:t>, que presento como verdadero Juez</w:t>
      </w:r>
      <w:r>
        <w:rPr>
          <w:rFonts w:ascii="Verdana" w:hAnsi="Verdana"/>
          <w:spacing w:val="-3"/>
          <w:sz w:val="20"/>
        </w:rPr>
        <w:t xml:space="preserve"> sobreviviente de </w:t>
      </w:r>
      <w:smartTag w:uri="urn:schemas-microsoft-com:office:smarttags" w:element="PersonName">
        <w:smartTagPr>
          <w:attr w:name="ProductID" w:val="la Corte Interamericana."/>
        </w:smartTagPr>
        <w:r>
          <w:rPr>
            <w:rFonts w:ascii="Verdana" w:hAnsi="Verdana"/>
            <w:spacing w:val="-3"/>
            <w:sz w:val="20"/>
          </w:rPr>
          <w:t>la Corte Interamericana.</w:t>
        </w:r>
      </w:smartTag>
      <w:r>
        <w:rPr>
          <w:rFonts w:ascii="Verdana" w:hAnsi="Verdana"/>
          <w:spacing w:val="-3"/>
          <w:sz w:val="20"/>
        </w:rPr>
        <w:t xml:space="preserve"> Durante la saga del largo ejercicio, de 12 años, de dos mandatos de Juez titular de </w:t>
      </w:r>
      <w:smartTag w:uri="urn:schemas-microsoft-com:office:smarttags" w:element="PersonName">
        <w:smartTagPr>
          <w:attr w:name="ProductID" w:val="la Corte"/>
        </w:smartTagPr>
        <w:r>
          <w:rPr>
            <w:rFonts w:ascii="Verdana" w:hAnsi="Verdana"/>
            <w:spacing w:val="-3"/>
            <w:sz w:val="20"/>
          </w:rPr>
          <w:t>la Corte</w:t>
        </w:r>
      </w:smartTag>
      <w:r>
        <w:rPr>
          <w:rFonts w:ascii="Verdana" w:hAnsi="Verdana"/>
          <w:spacing w:val="-3"/>
          <w:sz w:val="20"/>
        </w:rPr>
        <w:t xml:space="preserve">, en que jamás me excusé de participar de cualquier deliberación y jamás perdí un día de trabajo en </w:t>
      </w:r>
      <w:smartTag w:uri="urn:schemas-microsoft-com:office:smarttags" w:element="PersonName">
        <w:smartTagPr>
          <w:attr w:name="ProductID" w:val="la Corte"/>
        </w:smartTagPr>
        <w:r>
          <w:rPr>
            <w:rFonts w:ascii="Verdana" w:hAnsi="Verdana"/>
            <w:spacing w:val="-3"/>
            <w:sz w:val="20"/>
          </w:rPr>
          <w:t>la Corte</w:t>
        </w:r>
      </w:smartTag>
      <w:r>
        <w:rPr>
          <w:rFonts w:ascii="Verdana" w:hAnsi="Verdana"/>
          <w:spacing w:val="-3"/>
          <w:sz w:val="20"/>
        </w:rPr>
        <w:t>, tuve la oca</w:t>
      </w:r>
      <w:r>
        <w:rPr>
          <w:rFonts w:ascii="Verdana" w:hAnsi="Verdana"/>
          <w:spacing w:val="-3"/>
          <w:sz w:val="20"/>
        </w:rPr>
        <w:t>sión, a través de los casos de violaciones de derechos humanos que conoció el Tribunal, de convivir con lo que hay de más sombrío en la naturaleza humana, en la búsqueda de la realización de la justicia.</w:t>
      </w:r>
    </w:p>
    <w:p w:rsidR="00000000" w:rsidRDefault="00687F2E">
      <w:pPr>
        <w:jc w:val="both"/>
        <w:rPr>
          <w:rFonts w:ascii="Verdana" w:hAnsi="Verdana"/>
          <w:spacing w:val="-3"/>
          <w:sz w:val="20"/>
        </w:rPr>
      </w:pPr>
    </w:p>
    <w:p w:rsidR="00000000" w:rsidRDefault="00687F2E">
      <w:pPr>
        <w:jc w:val="both"/>
        <w:rPr>
          <w:rFonts w:ascii="Verdana" w:hAnsi="Verdana"/>
          <w:spacing w:val="-3"/>
          <w:sz w:val="20"/>
          <w:lang w:val="en-GB"/>
        </w:rPr>
      </w:pPr>
      <w:r>
        <w:rPr>
          <w:rFonts w:ascii="Verdana" w:hAnsi="Verdana"/>
          <w:spacing w:val="-3"/>
          <w:sz w:val="20"/>
        </w:rPr>
        <w:t>2.</w:t>
      </w:r>
      <w:r>
        <w:rPr>
          <w:rFonts w:ascii="Verdana" w:hAnsi="Verdana"/>
          <w:spacing w:val="-3"/>
          <w:sz w:val="20"/>
        </w:rPr>
        <w:tab/>
        <w:t xml:space="preserve">Cuando pensaba que ya me había retirado al </w:t>
      </w:r>
      <w:r>
        <w:rPr>
          <w:rFonts w:ascii="Verdana" w:hAnsi="Verdana"/>
          <w:i/>
          <w:iCs/>
          <w:spacing w:val="-3"/>
          <w:sz w:val="20"/>
        </w:rPr>
        <w:t>obliv</w:t>
      </w:r>
      <w:r>
        <w:rPr>
          <w:rFonts w:ascii="Verdana" w:hAnsi="Verdana"/>
          <w:i/>
          <w:iCs/>
          <w:spacing w:val="-3"/>
          <w:sz w:val="20"/>
        </w:rPr>
        <w:t>ion</w:t>
      </w:r>
      <w:r>
        <w:rPr>
          <w:rFonts w:ascii="Verdana" w:hAnsi="Verdana"/>
          <w:spacing w:val="-3"/>
          <w:sz w:val="20"/>
        </w:rPr>
        <w:t xml:space="preserve"> (servicio rendido, servicio perdido...), soy ahora convocado a deliberar sobre la demanda de Interpretación de Sentencia presentada por los representantes de los familiares de las víctimas en el presente caso </w:t>
      </w:r>
      <w:smartTag w:uri="urn:schemas-microsoft-com:office:smarttags" w:element="PersonName">
        <w:smartTagPr>
          <w:attr w:name="ProductID" w:val="La Cantuta. Me"/>
        </w:smartTagPr>
        <w:r>
          <w:rPr>
            <w:rFonts w:ascii="Verdana" w:hAnsi="Verdana"/>
            <w:i/>
            <w:iCs/>
            <w:spacing w:val="-3"/>
            <w:sz w:val="20"/>
          </w:rPr>
          <w:t>La Cantuta</w:t>
        </w:r>
        <w:r>
          <w:rPr>
            <w:rFonts w:ascii="Verdana" w:hAnsi="Verdana"/>
            <w:spacing w:val="-3"/>
            <w:sz w:val="20"/>
          </w:rPr>
          <w:t>. Me</w:t>
        </w:r>
      </w:smartTag>
      <w:r>
        <w:rPr>
          <w:rFonts w:ascii="Verdana" w:hAnsi="Verdana"/>
          <w:spacing w:val="-3"/>
          <w:sz w:val="20"/>
        </w:rPr>
        <w:t xml:space="preserve"> reintegro, pues, al Tribunal</w:t>
      </w:r>
      <w:r>
        <w:rPr>
          <w:rFonts w:ascii="Verdana" w:hAnsi="Verdana"/>
          <w:spacing w:val="-3"/>
          <w:sz w:val="20"/>
        </w:rPr>
        <w:t>, con este propósito, como Juez sobreviviente. Mi farol imaginario, que ostento dentro del barco (</w:t>
      </w:r>
      <w:smartTag w:uri="urn:schemas-microsoft-com:office:smarttags" w:element="PersonName">
        <w:smartTagPr>
          <w:attr w:name="ProductID" w:val="la Corte"/>
        </w:smartTagPr>
        <w:r>
          <w:rPr>
            <w:rFonts w:ascii="Verdana" w:hAnsi="Verdana"/>
            <w:spacing w:val="-3"/>
            <w:sz w:val="20"/>
          </w:rPr>
          <w:t>la Corte</w:t>
        </w:r>
      </w:smartTag>
      <w:r>
        <w:rPr>
          <w:rFonts w:ascii="Verdana" w:hAnsi="Verdana"/>
          <w:spacing w:val="-3"/>
          <w:sz w:val="20"/>
        </w:rPr>
        <w:t>) en que todavía así me encuentro en la alta mar tormentosa de los atentados contra la dignidad humana, ya no más apunta adelante, hacia la olas amena</w:t>
      </w:r>
      <w:r>
        <w:rPr>
          <w:rFonts w:ascii="Verdana" w:hAnsi="Verdana"/>
          <w:spacing w:val="-3"/>
          <w:sz w:val="20"/>
        </w:rPr>
        <w:t xml:space="preserve">zadoras que de él se aproximan, inclusive amenazando hundirlo, - sino para atrás, hacia las olas que hicieran anteriormente temblar el barco, y ahora de él se distancian, llevando consigo la experiencia y las lecciones que me esfuerzo ahora en rescatar. </w:t>
      </w:r>
      <w:smartTag w:uri="urn:schemas-microsoft-com:office:smarttags" w:element="place">
        <w:smartTag w:uri="urn:schemas-microsoft-com:office:smarttags" w:element="City">
          <w:r>
            <w:rPr>
              <w:rFonts w:ascii="Verdana" w:hAnsi="Verdana"/>
              <w:spacing w:val="-3"/>
              <w:sz w:val="20"/>
              <w:lang w:val="en-GB"/>
            </w:rPr>
            <w:t>Co</w:t>
          </w:r>
          <w:r>
            <w:rPr>
              <w:rFonts w:ascii="Verdana" w:hAnsi="Verdana"/>
              <w:spacing w:val="-3"/>
              <w:sz w:val="20"/>
              <w:lang w:val="en-GB"/>
            </w:rPr>
            <w:t>mo</w:t>
          </w:r>
        </w:smartTag>
      </w:smartTag>
      <w:r>
        <w:rPr>
          <w:rFonts w:ascii="Verdana" w:hAnsi="Verdana"/>
          <w:spacing w:val="-3"/>
          <w:sz w:val="20"/>
          <w:lang w:val="en-GB"/>
        </w:rPr>
        <w:t xml:space="preserve"> el experimentado marinero de S.T. Coleridge, </w:t>
      </w:r>
    </w:p>
    <w:p w:rsidR="00000000" w:rsidRDefault="00687F2E">
      <w:pPr>
        <w:jc w:val="both"/>
        <w:rPr>
          <w:rFonts w:ascii="Verdana" w:hAnsi="Verdana"/>
          <w:spacing w:val="-3"/>
          <w:sz w:val="20"/>
          <w:lang w:val="en-GB"/>
        </w:rPr>
      </w:pPr>
    </w:p>
    <w:p w:rsidR="00000000" w:rsidRDefault="00687F2E">
      <w:pPr>
        <w:ind w:left="720"/>
        <w:jc w:val="both"/>
        <w:rPr>
          <w:rFonts w:ascii="Verdana" w:hAnsi="Verdana"/>
          <w:spacing w:val="-3"/>
          <w:sz w:val="18"/>
          <w:lang w:val="en-GB"/>
        </w:rPr>
      </w:pPr>
      <w:r>
        <w:rPr>
          <w:rFonts w:ascii="Verdana" w:hAnsi="Verdana"/>
          <w:spacing w:val="-3"/>
          <w:sz w:val="18"/>
          <w:lang w:val="en-GB"/>
        </w:rPr>
        <w:t>"I viewed the ocean green,</w:t>
      </w:r>
    </w:p>
    <w:p w:rsidR="00000000" w:rsidRDefault="00687F2E">
      <w:pPr>
        <w:ind w:left="720"/>
        <w:jc w:val="both"/>
        <w:rPr>
          <w:rFonts w:ascii="Verdana" w:hAnsi="Verdana"/>
          <w:spacing w:val="-3"/>
          <w:sz w:val="18"/>
          <w:lang w:val="en-GB"/>
        </w:rPr>
      </w:pPr>
      <w:r>
        <w:rPr>
          <w:rFonts w:ascii="Verdana" w:hAnsi="Verdana"/>
          <w:spacing w:val="-3"/>
          <w:sz w:val="18"/>
          <w:lang w:val="en-GB"/>
        </w:rPr>
        <w:t>And looked far forth, yet little saw</w:t>
      </w:r>
    </w:p>
    <w:p w:rsidR="00000000" w:rsidRDefault="00687F2E">
      <w:pPr>
        <w:ind w:left="720"/>
        <w:jc w:val="both"/>
        <w:rPr>
          <w:rFonts w:ascii="Verdana" w:hAnsi="Verdana"/>
          <w:spacing w:val="-3"/>
          <w:sz w:val="18"/>
          <w:lang w:val="en-GB"/>
        </w:rPr>
      </w:pPr>
      <w:r>
        <w:rPr>
          <w:rFonts w:ascii="Verdana" w:hAnsi="Verdana"/>
          <w:spacing w:val="-3"/>
          <w:sz w:val="18"/>
          <w:lang w:val="en-GB"/>
        </w:rPr>
        <w:t>Of what had else been seen"</w:t>
      </w:r>
      <w:r>
        <w:rPr>
          <w:rStyle w:val="Refdenotaalpie"/>
          <w:rFonts w:ascii="Courier New" w:hAnsi="Courier New" w:cs="Courier New"/>
          <w:spacing w:val="-3"/>
          <w:sz w:val="18"/>
          <w:lang w:val="es-ES_tradnl"/>
        </w:rPr>
        <w:footnoteReference w:id="5"/>
      </w:r>
      <w:r>
        <w:rPr>
          <w:rFonts w:ascii="Verdana" w:hAnsi="Verdana"/>
          <w:spacing w:val="-3"/>
          <w:sz w:val="18"/>
          <w:lang w:val="en-GB"/>
        </w:rPr>
        <w:t xml:space="preserve">. </w:t>
      </w:r>
    </w:p>
    <w:p w:rsidR="00000000" w:rsidRDefault="00687F2E">
      <w:pPr>
        <w:jc w:val="both"/>
        <w:rPr>
          <w:rFonts w:ascii="Verdana" w:hAnsi="Verdana"/>
          <w:spacing w:val="-3"/>
          <w:sz w:val="20"/>
          <w:lang w:val="en-GB"/>
        </w:rPr>
      </w:pPr>
    </w:p>
    <w:p w:rsidR="00000000" w:rsidRDefault="00687F2E">
      <w:pPr>
        <w:jc w:val="both"/>
        <w:rPr>
          <w:rFonts w:ascii="Verdana" w:hAnsi="Verdana"/>
          <w:spacing w:val="-3"/>
          <w:sz w:val="20"/>
        </w:rPr>
      </w:pPr>
      <w:r>
        <w:rPr>
          <w:rFonts w:ascii="Verdana" w:hAnsi="Verdana"/>
          <w:b/>
          <w:bCs/>
          <w:spacing w:val="-3"/>
          <w:sz w:val="20"/>
          <w:lang w:val="en-GB"/>
        </w:rPr>
        <w:tab/>
      </w:r>
      <w:r>
        <w:rPr>
          <w:rFonts w:ascii="Verdana" w:hAnsi="Verdana"/>
          <w:b/>
          <w:bCs/>
          <w:spacing w:val="-3"/>
          <w:sz w:val="20"/>
        </w:rPr>
        <w:t xml:space="preserve">I. </w:t>
      </w:r>
      <w:r>
        <w:rPr>
          <w:rFonts w:ascii="Verdana" w:hAnsi="Verdana"/>
          <w:b/>
          <w:bCs/>
          <w:spacing w:val="-3"/>
          <w:sz w:val="20"/>
        </w:rPr>
        <w:tab/>
      </w:r>
      <w:r>
        <w:rPr>
          <w:rFonts w:ascii="Verdana" w:hAnsi="Verdana"/>
          <w:b/>
          <w:bCs/>
          <w:i/>
          <w:iCs/>
          <w:spacing w:val="-3"/>
          <w:sz w:val="20"/>
        </w:rPr>
        <w:t>Prolegomena</w:t>
      </w:r>
      <w:r>
        <w:rPr>
          <w:rFonts w:ascii="Verdana" w:hAnsi="Verdana"/>
          <w:b/>
          <w:bCs/>
          <w:spacing w:val="-3"/>
          <w:sz w:val="20"/>
        </w:rPr>
        <w:t>: Consideraciones Preliminares.</w:t>
      </w:r>
    </w:p>
    <w:p w:rsidR="00000000" w:rsidRDefault="00687F2E">
      <w:pPr>
        <w:jc w:val="both"/>
        <w:rPr>
          <w:rFonts w:ascii="Verdana" w:hAnsi="Verdana"/>
          <w:spacing w:val="-3"/>
          <w:sz w:val="20"/>
        </w:rPr>
      </w:pPr>
    </w:p>
    <w:p w:rsidR="00000000" w:rsidRDefault="00687F2E">
      <w:pPr>
        <w:jc w:val="both"/>
        <w:rPr>
          <w:rFonts w:ascii="Verdana" w:hAnsi="Verdana"/>
          <w:spacing w:val="-3"/>
          <w:sz w:val="20"/>
        </w:rPr>
      </w:pPr>
      <w:r>
        <w:rPr>
          <w:rFonts w:ascii="Verdana" w:hAnsi="Verdana"/>
          <w:spacing w:val="-3"/>
          <w:sz w:val="20"/>
        </w:rPr>
        <w:t>3.</w:t>
      </w:r>
      <w:r>
        <w:rPr>
          <w:rFonts w:ascii="Verdana" w:hAnsi="Verdana"/>
          <w:spacing w:val="-3"/>
          <w:sz w:val="20"/>
        </w:rPr>
        <w:tab/>
        <w:t xml:space="preserve">Soy - me permito reiterar - un Juez sobreviviente de </w:t>
      </w:r>
      <w:smartTag w:uri="urn:schemas-microsoft-com:office:smarttags" w:element="PersonName">
        <w:smartTagPr>
          <w:attr w:name="ProductID" w:val="la Corte Interamericana"/>
        </w:smartTagPr>
        <w:r>
          <w:rPr>
            <w:rFonts w:ascii="Verdana" w:hAnsi="Verdana"/>
            <w:spacing w:val="-3"/>
            <w:sz w:val="20"/>
          </w:rPr>
          <w:t>la Co</w:t>
        </w:r>
        <w:r>
          <w:rPr>
            <w:rFonts w:ascii="Verdana" w:hAnsi="Verdana"/>
            <w:spacing w:val="-3"/>
            <w:sz w:val="20"/>
          </w:rPr>
          <w:t>rte Interamericana</w:t>
        </w:r>
      </w:smartTag>
      <w:r>
        <w:rPr>
          <w:rFonts w:ascii="Verdana" w:hAnsi="Verdana"/>
          <w:spacing w:val="-3"/>
          <w:sz w:val="20"/>
        </w:rPr>
        <w:t xml:space="preserve">, y, como tal, sigo insistiendo, como lo he hecho en todos mis años en el seno de </w:t>
      </w:r>
      <w:smartTag w:uri="urn:schemas-microsoft-com:office:smarttags" w:element="PersonName">
        <w:smartTagPr>
          <w:attr w:name="ProductID" w:val="la Corte"/>
        </w:smartTagPr>
        <w:r>
          <w:rPr>
            <w:rFonts w:ascii="Verdana" w:hAnsi="Verdana"/>
            <w:spacing w:val="-3"/>
            <w:sz w:val="20"/>
          </w:rPr>
          <w:t>la Corte</w:t>
        </w:r>
      </w:smartTag>
      <w:r>
        <w:rPr>
          <w:rFonts w:ascii="Verdana" w:hAnsi="Verdana"/>
          <w:spacing w:val="-3"/>
          <w:sz w:val="20"/>
        </w:rPr>
        <w:t>, en dejar constancia de la fundamentación de mi posición acerca de las materias tratadas en sus Sentencias, aunque incida dicha fundamentación sobr</w:t>
      </w:r>
      <w:r>
        <w:rPr>
          <w:rFonts w:ascii="Verdana" w:hAnsi="Verdana"/>
          <w:spacing w:val="-3"/>
          <w:sz w:val="20"/>
        </w:rPr>
        <w:t xml:space="preserve">e puntos que puedan a otros parecer </w:t>
      </w:r>
      <w:r>
        <w:rPr>
          <w:rFonts w:ascii="Verdana" w:hAnsi="Verdana"/>
          <w:i/>
          <w:iCs/>
          <w:spacing w:val="-3"/>
          <w:sz w:val="20"/>
        </w:rPr>
        <w:t>prima facie</w:t>
      </w:r>
      <w:r>
        <w:rPr>
          <w:rFonts w:ascii="Verdana" w:hAnsi="Verdana"/>
          <w:spacing w:val="-3"/>
          <w:sz w:val="20"/>
        </w:rPr>
        <w:t xml:space="preserve"> sin mayor importancia. Para mí, todo es importante, y esto me ha enseñado la experiencia. Es cierto que, desde un prisma, la experiencia saca más de lo que da, pues las personas con experiencia se quedan más </w:t>
      </w:r>
      <w:r>
        <w:rPr>
          <w:rFonts w:ascii="Verdana" w:hAnsi="Verdana"/>
          <w:spacing w:val="-3"/>
          <w:sz w:val="20"/>
        </w:rPr>
        <w:t xml:space="preserve">prevenidas; es esto comprensible e inevitable, pues conocen un poco más de la naturaleza humana. </w:t>
      </w:r>
    </w:p>
    <w:p w:rsidR="00000000" w:rsidRDefault="00687F2E">
      <w:pPr>
        <w:jc w:val="both"/>
        <w:rPr>
          <w:rFonts w:ascii="Verdana" w:hAnsi="Verdana"/>
          <w:spacing w:val="-3"/>
          <w:sz w:val="20"/>
        </w:rPr>
      </w:pPr>
    </w:p>
    <w:p w:rsidR="00000000" w:rsidRDefault="00687F2E">
      <w:pPr>
        <w:jc w:val="both"/>
        <w:rPr>
          <w:rFonts w:ascii="Verdana" w:hAnsi="Verdana"/>
          <w:spacing w:val="-3"/>
          <w:sz w:val="20"/>
        </w:rPr>
      </w:pPr>
      <w:r>
        <w:rPr>
          <w:rFonts w:ascii="Verdana" w:hAnsi="Verdana"/>
          <w:spacing w:val="-3"/>
          <w:sz w:val="20"/>
        </w:rPr>
        <w:t>4.</w:t>
      </w:r>
      <w:r>
        <w:rPr>
          <w:rFonts w:ascii="Verdana" w:hAnsi="Verdana"/>
          <w:spacing w:val="-3"/>
          <w:sz w:val="20"/>
        </w:rPr>
        <w:tab/>
        <w:t>Si los seres humanos nacieran ya con experiencia, no cometerían tantos errores (sobre todo en las primeras décadas de su vida), con cuyas consecuencias ti</w:t>
      </w:r>
      <w:r>
        <w:rPr>
          <w:rFonts w:ascii="Verdana" w:hAnsi="Verdana"/>
          <w:spacing w:val="-3"/>
          <w:sz w:val="20"/>
        </w:rPr>
        <w:t>enen que convivir después, quizás por toda la vida. "Experiencia" es un término que proviene del latín "ex</w:t>
      </w:r>
      <w:r>
        <w:rPr>
          <w:rFonts w:ascii="Verdana" w:hAnsi="Verdana"/>
          <w:i/>
          <w:iCs/>
          <w:spacing w:val="-3"/>
          <w:sz w:val="20"/>
        </w:rPr>
        <w:t>peri</w:t>
      </w:r>
      <w:r>
        <w:rPr>
          <w:rFonts w:ascii="Verdana" w:hAnsi="Verdana"/>
          <w:spacing w:val="-3"/>
          <w:sz w:val="20"/>
        </w:rPr>
        <w:t>entia", análogo de "</w:t>
      </w:r>
      <w:r>
        <w:rPr>
          <w:rFonts w:ascii="Verdana" w:hAnsi="Verdana"/>
          <w:i/>
          <w:iCs/>
          <w:spacing w:val="-3"/>
          <w:sz w:val="20"/>
        </w:rPr>
        <w:t>peri</w:t>
      </w:r>
      <w:r>
        <w:rPr>
          <w:rFonts w:ascii="Verdana" w:hAnsi="Verdana"/>
          <w:spacing w:val="-3"/>
          <w:sz w:val="20"/>
        </w:rPr>
        <w:t>culum", peligro. Así, nosotros que tenemos experiencia, podemos por lo menos consolarnos de ser sobrevivientes de peligros</w:t>
      </w:r>
      <w:r>
        <w:rPr>
          <w:rFonts w:ascii="Verdana" w:hAnsi="Verdana"/>
          <w:spacing w:val="-3"/>
          <w:sz w:val="20"/>
        </w:rPr>
        <w:t xml:space="preserve"> ya vividos. </w:t>
      </w:r>
    </w:p>
    <w:p w:rsidR="00000000" w:rsidRDefault="00687F2E">
      <w:pPr>
        <w:jc w:val="both"/>
        <w:rPr>
          <w:rFonts w:ascii="Verdana" w:hAnsi="Verdana"/>
          <w:spacing w:val="-3"/>
          <w:sz w:val="20"/>
        </w:rPr>
      </w:pPr>
    </w:p>
    <w:p w:rsidR="00000000" w:rsidRDefault="00687F2E">
      <w:pPr>
        <w:jc w:val="both"/>
        <w:rPr>
          <w:rFonts w:ascii="Verdana" w:hAnsi="Verdana"/>
          <w:spacing w:val="-3"/>
          <w:sz w:val="20"/>
        </w:rPr>
      </w:pPr>
      <w:r>
        <w:rPr>
          <w:rFonts w:ascii="Verdana" w:hAnsi="Verdana"/>
          <w:spacing w:val="-3"/>
          <w:sz w:val="20"/>
        </w:rPr>
        <w:t>5.</w:t>
      </w:r>
      <w:r>
        <w:rPr>
          <w:rFonts w:ascii="Verdana" w:hAnsi="Verdana"/>
          <w:spacing w:val="-3"/>
          <w:sz w:val="20"/>
        </w:rPr>
        <w:tab/>
        <w:t>Y, como sobreviviente, me siento enteramente libre, y en el deber, de dejar constancia de mis reflexiones, que podrán quizás ser útiles para la conducción del barco (</w:t>
      </w:r>
      <w:smartTag w:uri="urn:schemas-microsoft-com:office:smarttags" w:element="PersonName">
        <w:smartTagPr>
          <w:attr w:name="ProductID" w:val="la Corte"/>
        </w:smartTagPr>
        <w:r>
          <w:rPr>
            <w:rFonts w:ascii="Verdana" w:hAnsi="Verdana"/>
            <w:spacing w:val="-3"/>
            <w:sz w:val="20"/>
          </w:rPr>
          <w:t>la Corte</w:t>
        </w:r>
      </w:smartTag>
      <w:r>
        <w:rPr>
          <w:rFonts w:ascii="Verdana" w:hAnsi="Verdana"/>
          <w:spacing w:val="-3"/>
          <w:sz w:val="20"/>
        </w:rPr>
        <w:t xml:space="preserve">) en la </w:t>
      </w:r>
      <w:r>
        <w:rPr>
          <w:rFonts w:ascii="Verdana" w:hAnsi="Verdana"/>
          <w:spacing w:val="-3"/>
          <w:sz w:val="20"/>
        </w:rPr>
        <w:lastRenderedPageBreak/>
        <w:t>alta mar, siempre tormentosa, de los atentados intermina</w:t>
      </w:r>
      <w:r>
        <w:rPr>
          <w:rFonts w:ascii="Verdana" w:hAnsi="Verdana"/>
          <w:spacing w:val="-3"/>
          <w:sz w:val="20"/>
        </w:rPr>
        <w:t xml:space="preserve">bles contra los derechos humanos. Vuelvo ahora a fundamentar mi posición, como Juez sobreviviente de </w:t>
      </w:r>
      <w:smartTag w:uri="urn:schemas-microsoft-com:office:smarttags" w:element="PersonName">
        <w:smartTagPr>
          <w:attr w:name="ProductID" w:val="la Corte"/>
        </w:smartTagPr>
        <w:r>
          <w:rPr>
            <w:rFonts w:ascii="Verdana" w:hAnsi="Verdana"/>
            <w:spacing w:val="-3"/>
            <w:sz w:val="20"/>
          </w:rPr>
          <w:t>la Corte</w:t>
        </w:r>
      </w:smartTag>
      <w:r>
        <w:rPr>
          <w:rFonts w:ascii="Verdana" w:hAnsi="Verdana"/>
          <w:spacing w:val="-3"/>
          <w:sz w:val="20"/>
        </w:rPr>
        <w:t xml:space="preserve">, en esta Sentencia de Interpretación en el caso </w:t>
      </w:r>
      <w:smartTag w:uri="urn:schemas-microsoft-com:office:smarttags" w:element="PersonName">
        <w:smartTagPr>
          <w:attr w:name="ProductID" w:val="La Cantuta"/>
        </w:smartTagPr>
        <w:r>
          <w:rPr>
            <w:rFonts w:ascii="Verdana" w:hAnsi="Verdana"/>
            <w:i/>
            <w:iCs/>
            <w:spacing w:val="-3"/>
            <w:sz w:val="20"/>
          </w:rPr>
          <w:t>La Cantuta</w:t>
        </w:r>
      </w:smartTag>
      <w:r>
        <w:rPr>
          <w:rFonts w:ascii="Verdana" w:hAnsi="Verdana"/>
          <w:i/>
          <w:iCs/>
          <w:spacing w:val="-3"/>
          <w:sz w:val="20"/>
        </w:rPr>
        <w:t xml:space="preserve"> versus Perú</w:t>
      </w:r>
      <w:r>
        <w:rPr>
          <w:rFonts w:ascii="Verdana" w:hAnsi="Verdana"/>
          <w:spacing w:val="-3"/>
          <w:sz w:val="20"/>
        </w:rPr>
        <w:t>. Quizás mis reflexiones, que dejo consignadas en el presente Voto Razonado,</w:t>
      </w:r>
      <w:r>
        <w:rPr>
          <w:rFonts w:ascii="Verdana" w:hAnsi="Verdana"/>
          <w:spacing w:val="-3"/>
          <w:sz w:val="20"/>
        </w:rPr>
        <w:t xml:space="preserve"> sirvan de verdad para algo. Así lo espero. Lo imponderable me ha llamado a aquí dejarlas en forma de </w:t>
      </w:r>
      <w:r>
        <w:rPr>
          <w:rFonts w:ascii="Verdana" w:hAnsi="Verdana"/>
          <w:i/>
          <w:iCs/>
          <w:spacing w:val="-3"/>
          <w:sz w:val="20"/>
        </w:rPr>
        <w:t>addendum</w:t>
      </w:r>
      <w:r>
        <w:rPr>
          <w:rFonts w:ascii="Verdana" w:hAnsi="Verdana"/>
          <w:spacing w:val="-3"/>
          <w:sz w:val="20"/>
        </w:rPr>
        <w:t xml:space="preserve"> a mis consideraciones anteriormente desarrolladas en lo que pensaba haber sido mi último Voto en </w:t>
      </w:r>
      <w:smartTag w:uri="urn:schemas-microsoft-com:office:smarttags" w:element="PersonName">
        <w:smartTagPr>
          <w:attr w:name="ProductID" w:val="la Corte"/>
        </w:smartTagPr>
        <w:r>
          <w:rPr>
            <w:rFonts w:ascii="Verdana" w:hAnsi="Verdana"/>
            <w:spacing w:val="-3"/>
            <w:sz w:val="20"/>
          </w:rPr>
          <w:t>la Corte</w:t>
        </w:r>
      </w:smartTag>
      <w:r>
        <w:rPr>
          <w:rFonts w:ascii="Verdana" w:hAnsi="Verdana"/>
          <w:spacing w:val="-3"/>
          <w:sz w:val="20"/>
        </w:rPr>
        <w:t xml:space="preserve">, mi Voto Razonado en </w:t>
      </w:r>
      <w:smartTag w:uri="urn:schemas-microsoft-com:office:smarttags" w:element="PersonName">
        <w:smartTagPr>
          <w:attr w:name="ProductID" w:val="la Sentencia"/>
        </w:smartTagPr>
        <w:r>
          <w:rPr>
            <w:rFonts w:ascii="Verdana" w:hAnsi="Verdana"/>
            <w:spacing w:val="-3"/>
            <w:sz w:val="20"/>
          </w:rPr>
          <w:t>la Sentencia</w:t>
        </w:r>
      </w:smartTag>
      <w:r>
        <w:rPr>
          <w:rFonts w:ascii="Verdana" w:hAnsi="Verdana"/>
          <w:spacing w:val="-3"/>
          <w:sz w:val="20"/>
        </w:rPr>
        <w:t xml:space="preserve"> de fo</w:t>
      </w:r>
      <w:r>
        <w:rPr>
          <w:rFonts w:ascii="Verdana" w:hAnsi="Verdana"/>
          <w:spacing w:val="-3"/>
          <w:sz w:val="20"/>
        </w:rPr>
        <w:t xml:space="preserve">ndo y reparaciones (del 29.11.2006) en el presente caso </w:t>
      </w:r>
      <w:smartTag w:uri="urn:schemas-microsoft-com:office:smarttags" w:element="PersonName">
        <w:smartTagPr>
          <w:attr w:name="ProductID" w:val="La Cantuta."/>
        </w:smartTagPr>
        <w:r>
          <w:rPr>
            <w:rFonts w:ascii="Verdana" w:hAnsi="Verdana"/>
            <w:i/>
            <w:iCs/>
            <w:spacing w:val="-3"/>
            <w:sz w:val="20"/>
          </w:rPr>
          <w:t>La Cantuta</w:t>
        </w:r>
        <w:r>
          <w:rPr>
            <w:rFonts w:ascii="Verdana" w:hAnsi="Verdana"/>
            <w:spacing w:val="-3"/>
            <w:sz w:val="20"/>
          </w:rPr>
          <w:t>.</w:t>
        </w:r>
      </w:smartTag>
    </w:p>
    <w:p w:rsidR="00000000" w:rsidRDefault="00687F2E">
      <w:pPr>
        <w:jc w:val="both"/>
        <w:rPr>
          <w:rFonts w:ascii="Verdana" w:hAnsi="Verdana"/>
          <w:spacing w:val="-3"/>
          <w:sz w:val="20"/>
        </w:rPr>
      </w:pPr>
    </w:p>
    <w:p w:rsidR="00000000" w:rsidRDefault="00687F2E">
      <w:pPr>
        <w:jc w:val="both"/>
        <w:rPr>
          <w:rFonts w:ascii="Verdana" w:hAnsi="Verdana"/>
          <w:spacing w:val="-3"/>
          <w:sz w:val="20"/>
        </w:rPr>
      </w:pPr>
      <w:r>
        <w:rPr>
          <w:rFonts w:ascii="Verdana" w:hAnsi="Verdana"/>
          <w:spacing w:val="-3"/>
          <w:sz w:val="20"/>
        </w:rPr>
        <w:t>6.</w:t>
      </w:r>
      <w:r>
        <w:rPr>
          <w:rFonts w:ascii="Verdana" w:hAnsi="Verdana"/>
          <w:spacing w:val="-3"/>
          <w:sz w:val="20"/>
        </w:rPr>
        <w:tab/>
        <w:t xml:space="preserve">No tengo la pretensión de con eso intentar convencer de algún modo a la actual mayoría de </w:t>
      </w:r>
      <w:smartTag w:uri="urn:schemas-microsoft-com:office:smarttags" w:element="PersonName">
        <w:smartTagPr>
          <w:attr w:name="ProductID" w:val="la Corte"/>
        </w:smartTagPr>
        <w:r>
          <w:rPr>
            <w:rFonts w:ascii="Verdana" w:hAnsi="Verdana"/>
            <w:spacing w:val="-3"/>
            <w:sz w:val="20"/>
          </w:rPr>
          <w:t>la Corte</w:t>
        </w:r>
      </w:smartTag>
      <w:r>
        <w:rPr>
          <w:rFonts w:ascii="Verdana" w:hAnsi="Verdana"/>
          <w:spacing w:val="-3"/>
          <w:sz w:val="20"/>
        </w:rPr>
        <w:t xml:space="preserve"> en el </w:t>
      </w:r>
      <w:r>
        <w:rPr>
          <w:rFonts w:ascii="Verdana" w:hAnsi="Verdana"/>
          <w:i/>
          <w:iCs/>
          <w:spacing w:val="-3"/>
          <w:sz w:val="20"/>
        </w:rPr>
        <w:t>cas d'espèce</w:t>
      </w:r>
      <w:r>
        <w:rPr>
          <w:rFonts w:ascii="Verdana" w:hAnsi="Verdana"/>
          <w:spacing w:val="-3"/>
          <w:sz w:val="20"/>
        </w:rPr>
        <w:t>, cuya manera de pensar ya conozco y en distintos aspectos no compa</w:t>
      </w:r>
      <w:r>
        <w:rPr>
          <w:rFonts w:ascii="Verdana" w:hAnsi="Verdana"/>
          <w:spacing w:val="-3"/>
          <w:sz w:val="20"/>
        </w:rPr>
        <w:t>rto. Pero quizás en el futuro puedan mis reflexiones personales, que dejo aquí consignadas, ser consideradas apropiadas por alguna nueva composición de este Tribunal en los próximos años. Y aunque no lo sean, de algo quizás servirán, para los que tengan la</w:t>
      </w:r>
      <w:r>
        <w:rPr>
          <w:rFonts w:ascii="Verdana" w:hAnsi="Verdana"/>
          <w:spacing w:val="-3"/>
          <w:sz w:val="20"/>
        </w:rPr>
        <w:t xml:space="preserve"> sensibilidad de interesarse por las lecciones extraídas del quehacer en </w:t>
      </w:r>
      <w:smartTag w:uri="urn:schemas-microsoft-com:office:smarttags" w:element="PersonName">
        <w:smartTagPr>
          <w:attr w:name="ProductID" w:val="la Corte"/>
        </w:smartTagPr>
        <w:r>
          <w:rPr>
            <w:rFonts w:ascii="Verdana" w:hAnsi="Verdana"/>
            <w:spacing w:val="-3"/>
            <w:sz w:val="20"/>
          </w:rPr>
          <w:t>la Corte</w:t>
        </w:r>
      </w:smartTag>
      <w:r>
        <w:rPr>
          <w:rFonts w:ascii="Verdana" w:hAnsi="Verdana"/>
          <w:spacing w:val="-3"/>
          <w:sz w:val="20"/>
        </w:rPr>
        <w:t xml:space="preserve"> por un sobreviviente de la misma, que tiene presentes los peligros (de la experiencia) en ella vividos y el sentimiento de poder seguir contribuyendo a la causa de la salvagu</w:t>
      </w:r>
      <w:r>
        <w:rPr>
          <w:rFonts w:ascii="Verdana" w:hAnsi="Verdana"/>
          <w:spacing w:val="-3"/>
          <w:sz w:val="20"/>
        </w:rPr>
        <w:t xml:space="preserve">ardia de los derechos humanos, con base ahora también en la experiencia acumulada.  </w:t>
      </w:r>
    </w:p>
    <w:p w:rsidR="00000000" w:rsidRDefault="00687F2E">
      <w:pPr>
        <w:jc w:val="both"/>
        <w:rPr>
          <w:rFonts w:ascii="Verdana" w:hAnsi="Verdana"/>
          <w:spacing w:val="-3"/>
          <w:sz w:val="20"/>
        </w:rPr>
      </w:pPr>
    </w:p>
    <w:p w:rsidR="00000000" w:rsidRDefault="00687F2E">
      <w:pPr>
        <w:jc w:val="both"/>
        <w:rPr>
          <w:rFonts w:ascii="Verdana" w:hAnsi="Verdana"/>
          <w:spacing w:val="-3"/>
          <w:sz w:val="20"/>
        </w:rPr>
      </w:pPr>
      <w:r>
        <w:rPr>
          <w:rFonts w:ascii="Verdana" w:hAnsi="Verdana"/>
          <w:spacing w:val="-3"/>
          <w:sz w:val="20"/>
        </w:rPr>
        <w:t>7.</w:t>
      </w:r>
      <w:r>
        <w:rPr>
          <w:rFonts w:ascii="Verdana" w:hAnsi="Verdana"/>
          <w:spacing w:val="-3"/>
          <w:sz w:val="20"/>
        </w:rPr>
        <w:tab/>
        <w:t xml:space="preserve">Mis consideraciones, desarrolladas a continuación, se vuelven a lo razonado por </w:t>
      </w:r>
      <w:smartTag w:uri="urn:schemas-microsoft-com:office:smarttags" w:element="PersonName">
        <w:smartTagPr>
          <w:attr w:name="ProductID" w:val="la Corte"/>
        </w:smartTagPr>
        <w:r>
          <w:rPr>
            <w:rFonts w:ascii="Verdana" w:hAnsi="Verdana"/>
            <w:spacing w:val="-3"/>
            <w:sz w:val="20"/>
          </w:rPr>
          <w:t>la Corte</w:t>
        </w:r>
      </w:smartTag>
      <w:r>
        <w:rPr>
          <w:rFonts w:ascii="Verdana" w:hAnsi="Verdana"/>
          <w:spacing w:val="-3"/>
          <w:sz w:val="20"/>
        </w:rPr>
        <w:t xml:space="preserve"> en la parte VI de la presente Sentencia de Interpretación (párrs. 24-35). Por </w:t>
      </w:r>
      <w:r>
        <w:rPr>
          <w:rFonts w:ascii="Verdana" w:hAnsi="Verdana"/>
          <w:spacing w:val="-3"/>
          <w:sz w:val="20"/>
        </w:rPr>
        <w:t xml:space="preserve">estar de acuerdo con la deliberación de </w:t>
      </w:r>
      <w:smartTag w:uri="urn:schemas-microsoft-com:office:smarttags" w:element="PersonName">
        <w:smartTagPr>
          <w:attr w:name="ProductID" w:val="la Corte"/>
        </w:smartTagPr>
        <w:r>
          <w:rPr>
            <w:rFonts w:ascii="Verdana" w:hAnsi="Verdana"/>
            <w:spacing w:val="-3"/>
            <w:sz w:val="20"/>
          </w:rPr>
          <w:t>la Corte</w:t>
        </w:r>
      </w:smartTag>
      <w:r>
        <w:rPr>
          <w:rFonts w:ascii="Verdana" w:hAnsi="Verdana"/>
          <w:spacing w:val="-3"/>
          <w:sz w:val="20"/>
        </w:rPr>
        <w:t xml:space="preserve"> en el sentido de que </w:t>
      </w:r>
      <w:smartTag w:uri="urn:schemas-microsoft-com:office:smarttags" w:element="PersonName">
        <w:smartTagPr>
          <w:attr w:name="ProductID" w:val="la Sra. Carmen"/>
        </w:smartTagPr>
        <w:r>
          <w:rPr>
            <w:rFonts w:ascii="Verdana" w:hAnsi="Verdana"/>
            <w:spacing w:val="-3"/>
            <w:sz w:val="20"/>
          </w:rPr>
          <w:t>la Sra. Carmen</w:t>
        </w:r>
      </w:smartTag>
      <w:r>
        <w:rPr>
          <w:rFonts w:ascii="Verdana" w:hAnsi="Verdana"/>
          <w:spacing w:val="-3"/>
          <w:sz w:val="20"/>
        </w:rPr>
        <w:t xml:space="preserve"> Juana Mariños Figueroa y el Sr. Marcelino Marcos Pablo Meza, hermana y hermano de dos víctimas fatales en el presente caso </w:t>
      </w:r>
      <w:smartTag w:uri="urn:schemas-microsoft-com:office:smarttags" w:element="PersonName">
        <w:smartTagPr>
          <w:attr w:name="ProductID" w:val="La Cantuta"/>
        </w:smartTagPr>
        <w:r>
          <w:rPr>
            <w:rFonts w:ascii="Verdana" w:hAnsi="Verdana"/>
            <w:i/>
            <w:iCs/>
            <w:spacing w:val="-3"/>
            <w:sz w:val="20"/>
          </w:rPr>
          <w:t>La Cantuta</w:t>
        </w:r>
      </w:smartTag>
      <w:r>
        <w:rPr>
          <w:rFonts w:ascii="Verdana" w:hAnsi="Verdana"/>
          <w:spacing w:val="-3"/>
          <w:sz w:val="20"/>
        </w:rPr>
        <w:t xml:space="preserve"> (Srs. Juan Gabriel Mariños Figueroa y</w:t>
      </w:r>
      <w:r>
        <w:rPr>
          <w:rFonts w:ascii="Verdana" w:hAnsi="Verdana"/>
          <w:spacing w:val="-3"/>
          <w:sz w:val="20"/>
        </w:rPr>
        <w:t xml:space="preserve"> Heráclides Pablo Meza, respectivamente) son víctimas de la violación de los artículos 8(1) y 25 (tomados conjuntamente) de </w:t>
      </w:r>
      <w:smartTag w:uri="urn:schemas-microsoft-com:office:smarttags" w:element="PersonName">
        <w:smartTagPr>
          <w:attr w:name="ProductID" w:val="la Convenci￳n Americana"/>
        </w:smartTagPr>
        <w:r>
          <w:rPr>
            <w:rFonts w:ascii="Verdana" w:hAnsi="Verdana"/>
            <w:spacing w:val="-3"/>
            <w:sz w:val="20"/>
          </w:rPr>
          <w:t>la Convención Americana</w:t>
        </w:r>
      </w:smartTag>
      <w:r>
        <w:rPr>
          <w:rFonts w:ascii="Verdana" w:hAnsi="Verdana"/>
          <w:spacing w:val="-3"/>
          <w:sz w:val="20"/>
        </w:rPr>
        <w:t xml:space="preserve"> (acceso a la justicia </w:t>
      </w:r>
      <w:r>
        <w:rPr>
          <w:rFonts w:ascii="Verdana" w:hAnsi="Verdana"/>
          <w:i/>
          <w:iCs/>
          <w:spacing w:val="-3"/>
          <w:sz w:val="20"/>
        </w:rPr>
        <w:t>lato sensu</w:t>
      </w:r>
      <w:r>
        <w:rPr>
          <w:rFonts w:ascii="Verdana" w:hAnsi="Verdana"/>
          <w:spacing w:val="-3"/>
          <w:sz w:val="20"/>
        </w:rPr>
        <w:t>, abarcando las garantías del debido proceso legal), he concurrido con mi vo</w:t>
      </w:r>
      <w:r>
        <w:rPr>
          <w:rFonts w:ascii="Verdana" w:hAnsi="Verdana"/>
          <w:spacing w:val="-3"/>
          <w:sz w:val="20"/>
        </w:rPr>
        <w:t>to a la adopción de la presente Sentencia de Interpretación.</w:t>
      </w:r>
    </w:p>
    <w:p w:rsidR="00000000" w:rsidRDefault="00687F2E">
      <w:pPr>
        <w:jc w:val="both"/>
        <w:rPr>
          <w:rFonts w:ascii="Verdana" w:hAnsi="Verdana"/>
          <w:spacing w:val="-3"/>
          <w:sz w:val="20"/>
        </w:rPr>
      </w:pPr>
    </w:p>
    <w:p w:rsidR="00000000" w:rsidRDefault="00687F2E">
      <w:pPr>
        <w:jc w:val="both"/>
        <w:rPr>
          <w:rFonts w:ascii="Verdana" w:hAnsi="Verdana"/>
          <w:spacing w:val="-3"/>
          <w:sz w:val="20"/>
        </w:rPr>
      </w:pPr>
      <w:r>
        <w:rPr>
          <w:rFonts w:ascii="Verdana" w:hAnsi="Verdana"/>
          <w:spacing w:val="-3"/>
          <w:sz w:val="20"/>
        </w:rPr>
        <w:t>8.</w:t>
      </w:r>
      <w:r>
        <w:rPr>
          <w:rFonts w:ascii="Verdana" w:hAnsi="Verdana"/>
          <w:spacing w:val="-3"/>
          <w:sz w:val="20"/>
        </w:rPr>
        <w:tab/>
        <w:t xml:space="preserve">Pero no me siento enteramente satisfecho, por no haber </w:t>
      </w:r>
      <w:smartTag w:uri="urn:schemas-microsoft-com:office:smarttags" w:element="PersonName">
        <w:smartTagPr>
          <w:attr w:name="ProductID" w:val="la Corte"/>
        </w:smartTagPr>
        <w:r>
          <w:rPr>
            <w:rFonts w:ascii="Verdana" w:hAnsi="Verdana"/>
            <w:spacing w:val="-3"/>
            <w:sz w:val="20"/>
          </w:rPr>
          <w:t>la Corte</w:t>
        </w:r>
      </w:smartTag>
      <w:r>
        <w:rPr>
          <w:rFonts w:ascii="Verdana" w:hAnsi="Verdana"/>
          <w:spacing w:val="-3"/>
          <w:sz w:val="20"/>
        </w:rPr>
        <w:t xml:space="preserve"> ido más allá, ni en la anterior Sentencia de fondo y reparaciones, ni en la presente Sentencia de Interpretación en el caso </w:t>
      </w:r>
      <w:smartTag w:uri="urn:schemas-microsoft-com:office:smarttags" w:element="PersonName">
        <w:smartTagPr>
          <w:attr w:name="ProductID" w:val="La Cantuta"/>
        </w:smartTagPr>
        <w:r>
          <w:rPr>
            <w:rFonts w:ascii="Verdana" w:hAnsi="Verdana"/>
            <w:i/>
            <w:iCs/>
            <w:spacing w:val="-3"/>
            <w:sz w:val="20"/>
          </w:rPr>
          <w:t xml:space="preserve">La </w:t>
        </w:r>
        <w:r>
          <w:rPr>
            <w:rFonts w:ascii="Verdana" w:hAnsi="Verdana"/>
            <w:i/>
            <w:iCs/>
            <w:spacing w:val="-3"/>
            <w:sz w:val="20"/>
          </w:rPr>
          <w:t>Cantuta</w:t>
        </w:r>
      </w:smartTag>
      <w:r>
        <w:rPr>
          <w:rFonts w:ascii="Verdana" w:hAnsi="Verdana"/>
          <w:spacing w:val="-3"/>
          <w:sz w:val="20"/>
        </w:rPr>
        <w:t xml:space="preserve">, en relación con el artículo 5(1) de </w:t>
      </w:r>
      <w:smartTag w:uri="urn:schemas-microsoft-com:office:smarttags" w:element="PersonName">
        <w:smartTagPr>
          <w:attr w:name="ProductID" w:val="la Convenci￳n Americana"/>
        </w:smartTagPr>
        <w:r>
          <w:rPr>
            <w:rFonts w:ascii="Verdana" w:hAnsi="Verdana"/>
            <w:spacing w:val="-3"/>
            <w:sz w:val="20"/>
          </w:rPr>
          <w:t>la Convención Americana</w:t>
        </w:r>
      </w:smartTag>
      <w:r>
        <w:rPr>
          <w:rFonts w:ascii="Verdana" w:hAnsi="Verdana"/>
          <w:spacing w:val="-3"/>
          <w:sz w:val="20"/>
        </w:rPr>
        <w:t xml:space="preserve"> (derecho a la integridad personal física, psíquica y moral), en la línea más lúcida y más avanzada de su </w:t>
      </w:r>
      <w:r>
        <w:rPr>
          <w:rFonts w:ascii="Verdana" w:hAnsi="Verdana"/>
          <w:i/>
          <w:iCs/>
          <w:spacing w:val="-3"/>
          <w:sz w:val="20"/>
        </w:rPr>
        <w:t>jurisprudence constante</w:t>
      </w:r>
      <w:r>
        <w:rPr>
          <w:rFonts w:ascii="Verdana" w:hAnsi="Verdana"/>
          <w:spacing w:val="-3"/>
          <w:sz w:val="20"/>
        </w:rPr>
        <w:t xml:space="preserve"> anterior. Al exigir prueba de daño inmaterial en el caso </w:t>
      </w:r>
      <w:smartTag w:uri="urn:schemas-microsoft-com:office:smarttags" w:element="PersonName">
        <w:smartTagPr>
          <w:attr w:name="ProductID" w:val="La Cantuta"/>
        </w:smartTagPr>
        <w:r>
          <w:rPr>
            <w:rFonts w:ascii="Verdana" w:hAnsi="Verdana"/>
            <w:i/>
            <w:iCs/>
            <w:spacing w:val="-3"/>
            <w:sz w:val="20"/>
          </w:rPr>
          <w:t>L</w:t>
        </w:r>
        <w:r>
          <w:rPr>
            <w:rFonts w:ascii="Verdana" w:hAnsi="Verdana"/>
            <w:i/>
            <w:iCs/>
            <w:spacing w:val="-3"/>
            <w:sz w:val="20"/>
          </w:rPr>
          <w:t>a Cantuta</w:t>
        </w:r>
      </w:smartTag>
      <w:r>
        <w:rPr>
          <w:rFonts w:ascii="Verdana" w:hAnsi="Verdana"/>
          <w:spacing w:val="-3"/>
          <w:sz w:val="20"/>
        </w:rPr>
        <w:t xml:space="preserve">, </w:t>
      </w:r>
      <w:smartTag w:uri="urn:schemas-microsoft-com:office:smarttags" w:element="PersonName">
        <w:smartTagPr>
          <w:attr w:name="ProductID" w:val="la Corte"/>
        </w:smartTagPr>
        <w:r>
          <w:rPr>
            <w:rFonts w:ascii="Verdana" w:hAnsi="Verdana"/>
            <w:spacing w:val="-3"/>
            <w:sz w:val="20"/>
          </w:rPr>
          <w:t>la Corte</w:t>
        </w:r>
      </w:smartTag>
      <w:r>
        <w:rPr>
          <w:rFonts w:ascii="Verdana" w:hAnsi="Verdana"/>
          <w:spacing w:val="-3"/>
          <w:sz w:val="20"/>
        </w:rPr>
        <w:t xml:space="preserve"> se autolimitó, frenó su propia jurisprudencia al respecto, e introdujo un criterio a mi juicio insostenible y nefasto para la protección internacional efectiva de los derechos humanos. Me veo, pues, en el deber de fundamentar mi discrep</w:t>
      </w:r>
      <w:r>
        <w:rPr>
          <w:rFonts w:ascii="Verdana" w:hAnsi="Verdana"/>
          <w:spacing w:val="-3"/>
          <w:sz w:val="20"/>
        </w:rPr>
        <w:t xml:space="preserve">ancia con este nuevo retroceso, sumado a otros tantos desde el caso de las </w:t>
      </w:r>
      <w:r>
        <w:rPr>
          <w:rFonts w:ascii="Verdana" w:hAnsi="Verdana"/>
          <w:i/>
          <w:iCs/>
          <w:spacing w:val="-3"/>
          <w:sz w:val="20"/>
        </w:rPr>
        <w:t>Hermanas Serrano Cruz versus El Salvador</w:t>
      </w:r>
      <w:r>
        <w:rPr>
          <w:rFonts w:ascii="Verdana" w:hAnsi="Verdana"/>
          <w:spacing w:val="-3"/>
          <w:sz w:val="20"/>
        </w:rPr>
        <w:t xml:space="preserve"> (Sentencias de excepciones preliminares, del 23.11.2004, y de fondo y reparaciones, del 01.03.2005), operado en su jurisprudencia más recien</w:t>
      </w:r>
      <w:r>
        <w:rPr>
          <w:rFonts w:ascii="Verdana" w:hAnsi="Verdana"/>
          <w:spacing w:val="-3"/>
          <w:sz w:val="20"/>
        </w:rPr>
        <w:t>te.</w:t>
      </w:r>
    </w:p>
    <w:p w:rsidR="00000000" w:rsidRDefault="00687F2E">
      <w:pPr>
        <w:jc w:val="both"/>
        <w:rPr>
          <w:rFonts w:ascii="Verdana" w:hAnsi="Verdana"/>
          <w:spacing w:val="-3"/>
          <w:sz w:val="20"/>
        </w:rPr>
      </w:pPr>
    </w:p>
    <w:p w:rsidR="00000000" w:rsidRDefault="00687F2E">
      <w:pPr>
        <w:jc w:val="both"/>
        <w:rPr>
          <w:rFonts w:ascii="Verdana" w:hAnsi="Verdana"/>
          <w:spacing w:val="-3"/>
          <w:sz w:val="20"/>
        </w:rPr>
      </w:pPr>
      <w:r>
        <w:rPr>
          <w:rFonts w:ascii="Verdana" w:hAnsi="Verdana"/>
          <w:spacing w:val="-3"/>
          <w:sz w:val="20"/>
        </w:rPr>
        <w:t>9.</w:t>
      </w:r>
      <w:r>
        <w:rPr>
          <w:rFonts w:ascii="Verdana" w:hAnsi="Verdana"/>
          <w:spacing w:val="-3"/>
          <w:sz w:val="20"/>
        </w:rPr>
        <w:tab/>
        <w:t xml:space="preserve">Lo que me mueve, al formular este Voto Razonado, como siempre me ha movido, sigue efectivamente siendo la búsqueda de una protección más eficaz de los derechos protegidos por </w:t>
      </w:r>
      <w:smartTag w:uri="urn:schemas-microsoft-com:office:smarttags" w:element="PersonName">
        <w:smartTagPr>
          <w:attr w:name="ProductID" w:val="la Convenci￳n Americana"/>
        </w:smartTagPr>
        <w:r>
          <w:rPr>
            <w:rFonts w:ascii="Verdana" w:hAnsi="Verdana"/>
            <w:spacing w:val="-3"/>
            <w:sz w:val="20"/>
          </w:rPr>
          <w:t>la Convención Americana</w:t>
        </w:r>
      </w:smartTag>
      <w:r>
        <w:rPr>
          <w:rFonts w:ascii="Verdana" w:hAnsi="Verdana"/>
          <w:spacing w:val="-3"/>
          <w:sz w:val="20"/>
        </w:rPr>
        <w:t xml:space="preserve"> sobre Derechos Humanos. Siendo así, teniendo pres</w:t>
      </w:r>
      <w:r>
        <w:rPr>
          <w:rFonts w:ascii="Verdana" w:hAnsi="Verdana"/>
          <w:spacing w:val="-3"/>
          <w:sz w:val="20"/>
        </w:rPr>
        <w:t xml:space="preserve">ente la cuestión mencionada, planteada en el proceso legal de la presente Sentencia de Interpretación en el caso </w:t>
      </w:r>
      <w:smartTag w:uri="urn:schemas-microsoft-com:office:smarttags" w:element="PersonName">
        <w:smartTagPr>
          <w:attr w:name="ProductID" w:val="La Cantuta"/>
        </w:smartTagPr>
        <w:r>
          <w:rPr>
            <w:rFonts w:ascii="Verdana" w:hAnsi="Verdana"/>
            <w:i/>
            <w:iCs/>
            <w:spacing w:val="-3"/>
            <w:sz w:val="20"/>
          </w:rPr>
          <w:t>La Cantuta</w:t>
        </w:r>
      </w:smartTag>
      <w:r>
        <w:rPr>
          <w:rFonts w:ascii="Verdana" w:hAnsi="Verdana"/>
          <w:spacing w:val="-3"/>
          <w:sz w:val="20"/>
        </w:rPr>
        <w:t>, centraré mis reflexiones, que paso a exponer a continuación, en tres puntos que considero de fundamental importancia. El primero co</w:t>
      </w:r>
      <w:r>
        <w:rPr>
          <w:rFonts w:ascii="Verdana" w:hAnsi="Verdana"/>
          <w:spacing w:val="-3"/>
          <w:sz w:val="20"/>
        </w:rPr>
        <w:t>nsiste en consideraciones en torno a la conceptualización de persona y de víctima en el pensamiento humano. Dichas consideraciones abarcan la contraposición de la personalidad a la individualidad, el personalismo mas allá del individualismo, el personalism</w:t>
      </w:r>
      <w:r>
        <w:rPr>
          <w:rFonts w:ascii="Verdana" w:hAnsi="Verdana"/>
          <w:spacing w:val="-3"/>
          <w:sz w:val="20"/>
        </w:rPr>
        <w:t>o jurídico y el derecho subjetivo, la evolución del derecho subjetivo hacia la nueva dimensión de la titularidad jurídica internacional del ser humano, y la conceptualización de víctima y el aporte del Derecho Internacional de los Derechos Humanos.</w:t>
      </w:r>
    </w:p>
    <w:p w:rsidR="00000000" w:rsidRDefault="00687F2E">
      <w:pPr>
        <w:jc w:val="both"/>
        <w:rPr>
          <w:rFonts w:ascii="Verdana" w:hAnsi="Verdana"/>
          <w:spacing w:val="-3"/>
          <w:sz w:val="20"/>
        </w:rPr>
      </w:pPr>
    </w:p>
    <w:p w:rsidR="00000000" w:rsidRDefault="00687F2E">
      <w:pPr>
        <w:jc w:val="both"/>
        <w:rPr>
          <w:rFonts w:ascii="Verdana" w:hAnsi="Verdana"/>
          <w:spacing w:val="-3"/>
          <w:sz w:val="20"/>
        </w:rPr>
      </w:pPr>
      <w:r>
        <w:rPr>
          <w:rFonts w:ascii="Verdana" w:hAnsi="Verdana"/>
          <w:spacing w:val="-3"/>
          <w:sz w:val="20"/>
        </w:rPr>
        <w:t>10.</w:t>
      </w:r>
      <w:r>
        <w:rPr>
          <w:rFonts w:ascii="Verdana" w:hAnsi="Verdana"/>
          <w:spacing w:val="-3"/>
          <w:sz w:val="20"/>
        </w:rPr>
        <w:tab/>
        <w:t>El</w:t>
      </w:r>
      <w:r>
        <w:rPr>
          <w:rFonts w:ascii="Verdana" w:hAnsi="Verdana"/>
          <w:spacing w:val="-3"/>
          <w:sz w:val="20"/>
        </w:rPr>
        <w:t xml:space="preserve"> segundo punto se refiere a la necesaria ampliación - jamás la restricción - de la condición de </w:t>
      </w:r>
      <w:r>
        <w:rPr>
          <w:rFonts w:ascii="Verdana" w:hAnsi="Verdana"/>
          <w:i/>
          <w:iCs/>
          <w:spacing w:val="-3"/>
          <w:sz w:val="20"/>
        </w:rPr>
        <w:t>víctima</w:t>
      </w:r>
      <w:r>
        <w:rPr>
          <w:rFonts w:ascii="Verdana" w:hAnsi="Verdana"/>
          <w:spacing w:val="-3"/>
          <w:sz w:val="20"/>
        </w:rPr>
        <w:t xml:space="preserve"> bajo </w:t>
      </w:r>
      <w:smartTag w:uri="urn:schemas-microsoft-com:office:smarttags" w:element="PersonName">
        <w:smartTagPr>
          <w:attr w:name="ProductID" w:val="la Convenci￳n Americana."/>
        </w:smartTagPr>
        <w:r>
          <w:rPr>
            <w:rFonts w:ascii="Verdana" w:hAnsi="Verdana"/>
            <w:spacing w:val="-3"/>
            <w:sz w:val="20"/>
          </w:rPr>
          <w:t>la Convención Americana.</w:t>
        </w:r>
      </w:smartTag>
      <w:r>
        <w:rPr>
          <w:rFonts w:ascii="Verdana" w:hAnsi="Verdana"/>
          <w:spacing w:val="-3"/>
          <w:sz w:val="20"/>
        </w:rPr>
        <w:t xml:space="preserve"> Y el tercer punto, relacionado con el anterior, consiste en algunas consideraciones </w:t>
      </w:r>
      <w:r>
        <w:rPr>
          <w:rFonts w:ascii="Verdana" w:hAnsi="Verdana"/>
          <w:i/>
          <w:iCs/>
          <w:spacing w:val="-3"/>
          <w:sz w:val="20"/>
        </w:rPr>
        <w:t>de lege ferenda</w:t>
      </w:r>
      <w:r>
        <w:rPr>
          <w:rFonts w:ascii="Verdana" w:hAnsi="Verdana"/>
          <w:spacing w:val="-3"/>
          <w:sz w:val="20"/>
        </w:rPr>
        <w:t xml:space="preserve"> sobre la centralidad -</w:t>
      </w:r>
      <w:r>
        <w:rPr>
          <w:rFonts w:ascii="Verdana" w:hAnsi="Verdana"/>
          <w:spacing w:val="-3"/>
          <w:sz w:val="20"/>
        </w:rPr>
        <w:t xml:space="preserve"> y la ampliación - de dicha condición de víctima (directa, </w:t>
      </w:r>
      <w:r>
        <w:rPr>
          <w:rFonts w:ascii="Verdana" w:hAnsi="Verdana"/>
          <w:i/>
          <w:iCs/>
          <w:spacing w:val="-3"/>
          <w:sz w:val="20"/>
        </w:rPr>
        <w:t>lato sensu</w:t>
      </w:r>
      <w:r>
        <w:rPr>
          <w:rFonts w:ascii="Verdana" w:hAnsi="Verdana"/>
          <w:spacing w:val="-3"/>
          <w:sz w:val="20"/>
        </w:rPr>
        <w:t xml:space="preserve">) bajo </w:t>
      </w:r>
      <w:smartTag w:uri="urn:schemas-microsoft-com:office:smarttags" w:element="PersonName">
        <w:smartTagPr>
          <w:attr w:name="ProductID" w:val="la Convenci￳n Americana"/>
        </w:smartTagPr>
        <w:r>
          <w:rPr>
            <w:rFonts w:ascii="Verdana" w:hAnsi="Verdana"/>
            <w:spacing w:val="-3"/>
            <w:sz w:val="20"/>
          </w:rPr>
          <w:t>la Convención Americana</w:t>
        </w:r>
      </w:smartTag>
      <w:r>
        <w:rPr>
          <w:rFonts w:ascii="Verdana" w:hAnsi="Verdana"/>
          <w:spacing w:val="-3"/>
          <w:sz w:val="20"/>
        </w:rPr>
        <w:t xml:space="preserve"> (consideraciones </w:t>
      </w:r>
      <w:r>
        <w:rPr>
          <w:rFonts w:ascii="Verdana" w:hAnsi="Verdana"/>
          <w:i/>
          <w:iCs/>
          <w:spacing w:val="-3"/>
          <w:sz w:val="20"/>
        </w:rPr>
        <w:t>de lege ferenda</w:t>
      </w:r>
      <w:r>
        <w:rPr>
          <w:rFonts w:ascii="Verdana" w:hAnsi="Verdana"/>
          <w:spacing w:val="-3"/>
          <w:sz w:val="20"/>
        </w:rPr>
        <w:t xml:space="preserve">). El campo estará entonces abierto a la presentación de mis consideraciones finales en forma de epílogo. </w:t>
      </w:r>
    </w:p>
    <w:p w:rsidR="00000000" w:rsidRDefault="00687F2E">
      <w:pPr>
        <w:jc w:val="both"/>
        <w:rPr>
          <w:rFonts w:ascii="Verdana" w:hAnsi="Verdana"/>
          <w:spacing w:val="-3"/>
          <w:sz w:val="20"/>
        </w:rPr>
      </w:pPr>
    </w:p>
    <w:p w:rsidR="00000000" w:rsidRDefault="00687F2E">
      <w:pPr>
        <w:jc w:val="both"/>
        <w:rPr>
          <w:rFonts w:ascii="Verdana" w:hAnsi="Verdana"/>
          <w:spacing w:val="-3"/>
          <w:sz w:val="20"/>
        </w:rPr>
      </w:pPr>
      <w:r>
        <w:rPr>
          <w:rFonts w:ascii="Verdana" w:hAnsi="Verdana"/>
          <w:b/>
          <w:bCs/>
          <w:spacing w:val="-3"/>
          <w:sz w:val="20"/>
        </w:rPr>
        <w:tab/>
        <w:t xml:space="preserve">II. </w:t>
      </w:r>
      <w:r>
        <w:rPr>
          <w:rFonts w:ascii="Verdana" w:hAnsi="Verdana"/>
          <w:b/>
          <w:bCs/>
          <w:spacing w:val="-3"/>
          <w:sz w:val="20"/>
        </w:rPr>
        <w:tab/>
        <w:t>Considerac</w:t>
      </w:r>
      <w:r>
        <w:rPr>
          <w:rFonts w:ascii="Verdana" w:hAnsi="Verdana"/>
          <w:b/>
          <w:bCs/>
          <w:spacing w:val="-3"/>
          <w:sz w:val="20"/>
        </w:rPr>
        <w:t xml:space="preserve">iones en Torno a </w:t>
      </w:r>
      <w:smartTag w:uri="urn:schemas-microsoft-com:office:smarttags" w:element="PersonName">
        <w:smartTagPr>
          <w:attr w:name="ProductID" w:val="la Conceptualizaci￳n"/>
        </w:smartTagPr>
        <w:r>
          <w:rPr>
            <w:rFonts w:ascii="Verdana" w:hAnsi="Verdana"/>
            <w:b/>
            <w:bCs/>
            <w:spacing w:val="-3"/>
            <w:sz w:val="20"/>
          </w:rPr>
          <w:t>la Conceptualización</w:t>
        </w:r>
      </w:smartTag>
      <w:r>
        <w:rPr>
          <w:rFonts w:ascii="Verdana" w:hAnsi="Verdana"/>
          <w:b/>
          <w:bCs/>
          <w:spacing w:val="-3"/>
          <w:sz w:val="20"/>
        </w:rPr>
        <w:t xml:space="preserve"> de Persona y de </w:t>
      </w:r>
      <w:r>
        <w:rPr>
          <w:rFonts w:ascii="Verdana" w:hAnsi="Verdana"/>
          <w:b/>
          <w:bCs/>
          <w:spacing w:val="-3"/>
          <w:sz w:val="20"/>
        </w:rPr>
        <w:tab/>
        <w:t>Víctima en el Pensamiento Humano.</w:t>
      </w:r>
    </w:p>
    <w:p w:rsidR="00000000" w:rsidRDefault="00687F2E">
      <w:pPr>
        <w:jc w:val="both"/>
        <w:rPr>
          <w:rFonts w:ascii="Verdana" w:hAnsi="Verdana"/>
          <w:spacing w:val="-3"/>
          <w:sz w:val="20"/>
        </w:rPr>
      </w:pPr>
    </w:p>
    <w:p w:rsidR="00000000" w:rsidRDefault="00687F2E">
      <w:pPr>
        <w:jc w:val="both"/>
        <w:rPr>
          <w:rFonts w:ascii="Verdana" w:hAnsi="Verdana"/>
          <w:spacing w:val="-3"/>
          <w:sz w:val="20"/>
        </w:rPr>
      </w:pPr>
      <w:r>
        <w:rPr>
          <w:rFonts w:ascii="Verdana" w:hAnsi="Verdana"/>
          <w:spacing w:val="-3"/>
          <w:sz w:val="20"/>
        </w:rPr>
        <w:t>11.</w:t>
      </w:r>
      <w:r>
        <w:rPr>
          <w:rFonts w:ascii="Verdana" w:hAnsi="Verdana"/>
          <w:spacing w:val="-3"/>
          <w:sz w:val="20"/>
        </w:rPr>
        <w:tab/>
        <w:t>El examen de la conceptualización de víctima no debe ser disociado del de la conceptualización de persona, el cual desvenda un amplio y fértil panorama del pensam</w:t>
      </w:r>
      <w:r>
        <w:rPr>
          <w:rFonts w:ascii="Verdana" w:hAnsi="Verdana"/>
          <w:spacing w:val="-3"/>
          <w:sz w:val="20"/>
        </w:rPr>
        <w:t>iento humano a lo largo de los siglos. Dicha conceptualización conlleva a la contraposición de la personalidad a la individualidad, a la formación del personalismo más allá del individualismo, a la relación del personalismo jurídico con el derecho subjetiv</w:t>
      </w:r>
      <w:r>
        <w:rPr>
          <w:rFonts w:ascii="Verdana" w:hAnsi="Verdana"/>
          <w:spacing w:val="-3"/>
          <w:sz w:val="20"/>
        </w:rPr>
        <w:t>o, a la evolución del derecho subjetivo a la nueva dimensión de la titularidad jurídica internacional del ser humano, y, en fin, a la conceptualización de víctima teniendo presente el aporte del Derecho  Internacional de los Derechos Humanos. Son los punto</w:t>
      </w:r>
      <w:r>
        <w:rPr>
          <w:rFonts w:ascii="Verdana" w:hAnsi="Verdana"/>
          <w:spacing w:val="-3"/>
          <w:sz w:val="20"/>
        </w:rPr>
        <w:t>s que revisaré a continuación.</w:t>
      </w:r>
    </w:p>
    <w:p w:rsidR="00000000" w:rsidRDefault="00687F2E">
      <w:pPr>
        <w:jc w:val="both"/>
        <w:rPr>
          <w:rFonts w:ascii="Verdana" w:hAnsi="Verdana"/>
          <w:spacing w:val="-3"/>
          <w:sz w:val="20"/>
        </w:rPr>
      </w:pPr>
    </w:p>
    <w:p w:rsidR="00000000" w:rsidRDefault="00687F2E">
      <w:pPr>
        <w:jc w:val="both"/>
        <w:rPr>
          <w:rFonts w:ascii="Verdana" w:hAnsi="Verdana"/>
          <w:spacing w:val="-3"/>
          <w:sz w:val="20"/>
        </w:rPr>
      </w:pPr>
      <w:r>
        <w:rPr>
          <w:rFonts w:ascii="Verdana" w:hAnsi="Verdana"/>
          <w:spacing w:val="-3"/>
          <w:sz w:val="20"/>
        </w:rPr>
        <w:tab/>
      </w:r>
      <w:r>
        <w:rPr>
          <w:rFonts w:ascii="Verdana" w:hAnsi="Verdana"/>
          <w:b/>
          <w:bCs/>
          <w:spacing w:val="-3"/>
          <w:sz w:val="20"/>
        </w:rPr>
        <w:t xml:space="preserve">1. </w:t>
      </w:r>
      <w:r>
        <w:rPr>
          <w:rFonts w:ascii="Verdana" w:hAnsi="Verdana"/>
          <w:b/>
          <w:bCs/>
          <w:spacing w:val="-3"/>
          <w:sz w:val="20"/>
        </w:rPr>
        <w:tab/>
      </w:r>
      <w:smartTag w:uri="urn:schemas-microsoft-com:office:smarttags" w:element="PersonName">
        <w:smartTagPr>
          <w:attr w:name="ProductID" w:val="la Conceptualizaci￳n"/>
        </w:smartTagPr>
        <w:r>
          <w:rPr>
            <w:rFonts w:ascii="Verdana" w:hAnsi="Verdana"/>
            <w:b/>
            <w:bCs/>
            <w:spacing w:val="-3"/>
            <w:sz w:val="20"/>
          </w:rPr>
          <w:t>La Conceptualización</w:t>
        </w:r>
      </w:smartTag>
      <w:r>
        <w:rPr>
          <w:rFonts w:ascii="Verdana" w:hAnsi="Verdana"/>
          <w:b/>
          <w:bCs/>
          <w:spacing w:val="-3"/>
          <w:sz w:val="20"/>
        </w:rPr>
        <w:t xml:space="preserve"> de </w:t>
      </w:r>
      <w:smartTag w:uri="urn:schemas-microsoft-com:office:smarttags" w:element="PersonName">
        <w:smartTagPr>
          <w:attr w:name="ProductID" w:val="la Persona"/>
        </w:smartTagPr>
        <w:r>
          <w:rPr>
            <w:rFonts w:ascii="Verdana" w:hAnsi="Verdana"/>
            <w:b/>
            <w:bCs/>
            <w:spacing w:val="-3"/>
            <w:sz w:val="20"/>
          </w:rPr>
          <w:t>la Persona</w:t>
        </w:r>
      </w:smartTag>
      <w:r>
        <w:rPr>
          <w:rFonts w:ascii="Verdana" w:hAnsi="Verdana"/>
          <w:b/>
          <w:bCs/>
          <w:spacing w:val="-3"/>
          <w:sz w:val="20"/>
        </w:rPr>
        <w:t xml:space="preserve">, y </w:t>
      </w:r>
      <w:smartTag w:uri="urn:schemas-microsoft-com:office:smarttags" w:element="PersonName">
        <w:smartTagPr>
          <w:attr w:name="ProductID" w:val="la Contraposici￳n"/>
        </w:smartTagPr>
        <w:r>
          <w:rPr>
            <w:rFonts w:ascii="Verdana" w:hAnsi="Verdana"/>
            <w:b/>
            <w:bCs/>
            <w:spacing w:val="-3"/>
            <w:sz w:val="20"/>
          </w:rPr>
          <w:t>la Contraposición</w:t>
        </w:r>
      </w:smartTag>
      <w:r>
        <w:rPr>
          <w:rFonts w:ascii="Verdana" w:hAnsi="Verdana"/>
          <w:b/>
          <w:bCs/>
          <w:spacing w:val="-3"/>
          <w:sz w:val="20"/>
        </w:rPr>
        <w:t xml:space="preserve"> de </w:t>
      </w:r>
      <w:smartTag w:uri="urn:schemas-microsoft-com:office:smarttags" w:element="PersonName">
        <w:smartTagPr>
          <w:attr w:name="ProductID" w:val="la  Personalidad"/>
        </w:smartTagPr>
        <w:r>
          <w:rPr>
            <w:rFonts w:ascii="Verdana" w:hAnsi="Verdana"/>
            <w:b/>
            <w:bCs/>
            <w:spacing w:val="-3"/>
            <w:sz w:val="20"/>
          </w:rPr>
          <w:t xml:space="preserve">la </w:t>
        </w:r>
        <w:r>
          <w:rPr>
            <w:rFonts w:ascii="Verdana" w:hAnsi="Verdana"/>
            <w:b/>
            <w:bCs/>
            <w:spacing w:val="-3"/>
            <w:sz w:val="20"/>
          </w:rPr>
          <w:tab/>
          <w:t>Personalidad</w:t>
        </w:r>
      </w:smartTag>
      <w:r>
        <w:rPr>
          <w:rFonts w:ascii="Verdana" w:hAnsi="Verdana"/>
          <w:b/>
          <w:bCs/>
          <w:spacing w:val="-3"/>
          <w:sz w:val="20"/>
        </w:rPr>
        <w:t xml:space="preserve"> a </w:t>
      </w:r>
      <w:smartTag w:uri="urn:schemas-microsoft-com:office:smarttags" w:element="PersonName">
        <w:smartTagPr>
          <w:attr w:name="ProductID" w:val="la Individualidad."/>
        </w:smartTagPr>
        <w:r>
          <w:rPr>
            <w:rFonts w:ascii="Verdana" w:hAnsi="Verdana"/>
            <w:b/>
            <w:bCs/>
            <w:spacing w:val="-3"/>
            <w:sz w:val="20"/>
          </w:rPr>
          <w:t>la Individualidad.</w:t>
        </w:r>
      </w:smartTag>
    </w:p>
    <w:p w:rsidR="00000000" w:rsidRDefault="00687F2E">
      <w:pPr>
        <w:jc w:val="both"/>
        <w:rPr>
          <w:rFonts w:ascii="Verdana" w:hAnsi="Verdana"/>
          <w:spacing w:val="-3"/>
          <w:sz w:val="20"/>
        </w:rPr>
      </w:pPr>
    </w:p>
    <w:p w:rsidR="00000000" w:rsidRDefault="00687F2E">
      <w:pPr>
        <w:jc w:val="both"/>
        <w:rPr>
          <w:rFonts w:ascii="Verdana" w:hAnsi="Verdana"/>
          <w:spacing w:val="-3"/>
          <w:sz w:val="20"/>
        </w:rPr>
      </w:pPr>
      <w:r>
        <w:rPr>
          <w:rFonts w:ascii="Verdana" w:hAnsi="Verdana"/>
          <w:spacing w:val="-3"/>
          <w:sz w:val="20"/>
        </w:rPr>
        <w:t>12.</w:t>
      </w:r>
      <w:r>
        <w:rPr>
          <w:rFonts w:ascii="Verdana" w:hAnsi="Verdana"/>
          <w:spacing w:val="-3"/>
          <w:sz w:val="20"/>
        </w:rPr>
        <w:tab/>
        <w:t xml:space="preserve">La conceptualización de la </w:t>
      </w:r>
      <w:r>
        <w:rPr>
          <w:rFonts w:ascii="Verdana" w:hAnsi="Verdana"/>
          <w:i/>
          <w:iCs/>
          <w:spacing w:val="-3"/>
          <w:sz w:val="20"/>
        </w:rPr>
        <w:t>persona</w:t>
      </w:r>
      <w:r>
        <w:rPr>
          <w:rFonts w:ascii="Verdana" w:hAnsi="Verdana"/>
          <w:spacing w:val="-3"/>
          <w:sz w:val="20"/>
        </w:rPr>
        <w:t xml:space="preserve"> no se ha limitado, a lo largo de los siglos, a la ciencia del Derecho. De ella tam</w:t>
      </w:r>
      <w:r>
        <w:rPr>
          <w:rFonts w:ascii="Verdana" w:hAnsi="Verdana"/>
          <w:spacing w:val="-3"/>
          <w:sz w:val="20"/>
        </w:rPr>
        <w:t>bién se han ocupado otras áreas del conocimiento humano, como la filosofía e inclusive la teología. En el marco de esta última, se ha observado, v.g., que</w:t>
      </w:r>
    </w:p>
    <w:p w:rsidR="00000000" w:rsidRDefault="00687F2E">
      <w:pPr>
        <w:jc w:val="both"/>
        <w:rPr>
          <w:rFonts w:ascii="Verdana" w:hAnsi="Verdana"/>
          <w:spacing w:val="-3"/>
          <w:sz w:val="20"/>
        </w:rPr>
      </w:pPr>
    </w:p>
    <w:p w:rsidR="00000000" w:rsidRDefault="00687F2E">
      <w:pPr>
        <w:ind w:left="720" w:right="720"/>
        <w:jc w:val="both"/>
        <w:rPr>
          <w:rFonts w:ascii="Verdana" w:hAnsi="Verdana"/>
          <w:spacing w:val="-3"/>
          <w:sz w:val="18"/>
        </w:rPr>
      </w:pPr>
      <w:r>
        <w:rPr>
          <w:rFonts w:ascii="Verdana" w:hAnsi="Verdana"/>
          <w:spacing w:val="-3"/>
          <w:sz w:val="18"/>
        </w:rPr>
        <w:tab/>
        <w:t xml:space="preserve">"C'est </w:t>
      </w:r>
      <w:r>
        <w:rPr>
          <w:rFonts w:ascii="Verdana" w:hAnsi="Verdana"/>
          <w:i/>
          <w:iCs/>
          <w:spacing w:val="-3"/>
          <w:sz w:val="18"/>
        </w:rPr>
        <w:t>par métaphore</w:t>
      </w:r>
      <w:r>
        <w:rPr>
          <w:rFonts w:ascii="Verdana" w:hAnsi="Verdana"/>
          <w:spacing w:val="-3"/>
          <w:sz w:val="18"/>
        </w:rPr>
        <w:t xml:space="preserve"> que le mot </w:t>
      </w:r>
      <w:r>
        <w:rPr>
          <w:rFonts w:ascii="Verdana" w:hAnsi="Verdana"/>
          <w:i/>
          <w:iCs/>
          <w:spacing w:val="-3"/>
          <w:sz w:val="18"/>
        </w:rPr>
        <w:t>persona</w:t>
      </w:r>
      <w:r>
        <w:rPr>
          <w:rFonts w:ascii="Verdana" w:hAnsi="Verdana"/>
          <w:spacing w:val="-3"/>
          <w:sz w:val="18"/>
        </w:rPr>
        <w:t>, qui d'abord voulait dire masque, acteur, rôle, a été ensui</w:t>
      </w:r>
      <w:r>
        <w:rPr>
          <w:rFonts w:ascii="Verdana" w:hAnsi="Verdana"/>
          <w:spacing w:val="-3"/>
          <w:sz w:val="18"/>
        </w:rPr>
        <w:t xml:space="preserve">te employé pour </w:t>
      </w:r>
      <w:r>
        <w:rPr>
          <w:rFonts w:ascii="Verdana" w:hAnsi="Verdana"/>
          <w:spacing w:val="-3"/>
          <w:sz w:val="18"/>
        </w:rPr>
        <w:tab/>
        <w:t xml:space="preserve">désigner un être capable de jouer un rôle dans le monde, un être </w:t>
      </w:r>
      <w:r>
        <w:rPr>
          <w:rFonts w:ascii="Verdana" w:hAnsi="Verdana"/>
          <w:i/>
          <w:iCs/>
          <w:spacing w:val="-3"/>
          <w:sz w:val="18"/>
        </w:rPr>
        <w:t>sui generis</w:t>
      </w:r>
      <w:r>
        <w:rPr>
          <w:rFonts w:ascii="Verdana" w:hAnsi="Verdana"/>
          <w:spacing w:val="-3"/>
          <w:sz w:val="18"/>
        </w:rPr>
        <w:t>, un tout indivisé et incommunicable, intelligent et libre"</w:t>
      </w:r>
      <w:r>
        <w:rPr>
          <w:rStyle w:val="Refdenotaalpie"/>
          <w:rFonts w:ascii="Courier New" w:hAnsi="Courier New" w:cs="Courier New"/>
          <w:spacing w:val="-3"/>
          <w:sz w:val="18"/>
          <w:lang w:val="es-ES_tradnl"/>
        </w:rPr>
        <w:footnoteReference w:id="6"/>
      </w:r>
      <w:r>
        <w:rPr>
          <w:rFonts w:ascii="Verdana" w:hAnsi="Verdana"/>
          <w:spacing w:val="-3"/>
          <w:sz w:val="18"/>
        </w:rPr>
        <w:t xml:space="preserve">.  </w:t>
      </w:r>
    </w:p>
    <w:p w:rsidR="00000000" w:rsidRDefault="00687F2E">
      <w:pPr>
        <w:jc w:val="both"/>
        <w:rPr>
          <w:rFonts w:ascii="Verdana" w:hAnsi="Verdana"/>
          <w:spacing w:val="-3"/>
          <w:sz w:val="20"/>
        </w:rPr>
      </w:pPr>
    </w:p>
    <w:p w:rsidR="00000000" w:rsidRDefault="00687F2E">
      <w:pPr>
        <w:jc w:val="both"/>
        <w:rPr>
          <w:rFonts w:ascii="Verdana" w:hAnsi="Verdana"/>
          <w:spacing w:val="-3"/>
          <w:sz w:val="20"/>
        </w:rPr>
      </w:pPr>
      <w:r>
        <w:rPr>
          <w:rFonts w:ascii="Verdana" w:hAnsi="Verdana"/>
          <w:spacing w:val="-3"/>
          <w:sz w:val="20"/>
        </w:rPr>
        <w:t>13.</w:t>
      </w:r>
      <w:r>
        <w:rPr>
          <w:rFonts w:ascii="Verdana" w:hAnsi="Verdana"/>
          <w:spacing w:val="-3"/>
          <w:sz w:val="20"/>
        </w:rPr>
        <w:tab/>
        <w:t>Pero fue naturalmente dentro del Derecho que se divisaron los medios para que la persona human</w:t>
      </w:r>
      <w:r>
        <w:rPr>
          <w:rFonts w:ascii="Verdana" w:hAnsi="Verdana"/>
          <w:spacing w:val="-3"/>
          <w:sz w:val="20"/>
        </w:rPr>
        <w:t>a pudiera hacer valer sus derechos. De ahí la construcción conceptual de la personalidad jurídica, a la par de la capacidad jurídica. Pero, a su vez, el estudio de la personalidad y capacidad jurídicas no puede, en mi entender, hacer abstracción del pensam</w:t>
      </w:r>
      <w:r>
        <w:rPr>
          <w:rFonts w:ascii="Verdana" w:hAnsi="Verdana"/>
          <w:spacing w:val="-3"/>
          <w:sz w:val="20"/>
        </w:rPr>
        <w:t>iento filosófico en torno de la personalidad e individualidad. A contrario de lo que pregonaban los heraldos del positivismo jurídico, el jurista tiene mucho que aprender con otras areas del conocimiento humano, como la historia, la filosofía, la teología,</w:t>
      </w:r>
      <w:r>
        <w:rPr>
          <w:rFonts w:ascii="Verdana" w:hAnsi="Verdana"/>
          <w:spacing w:val="-3"/>
          <w:sz w:val="20"/>
        </w:rPr>
        <w:t xml:space="preserve"> la psicología, entre otras.    </w:t>
      </w:r>
    </w:p>
    <w:p w:rsidR="00000000" w:rsidRDefault="00687F2E">
      <w:pPr>
        <w:jc w:val="both"/>
        <w:rPr>
          <w:rFonts w:ascii="Verdana" w:hAnsi="Verdana"/>
          <w:spacing w:val="-3"/>
          <w:sz w:val="20"/>
        </w:rPr>
      </w:pPr>
    </w:p>
    <w:p w:rsidR="00000000" w:rsidRDefault="00687F2E">
      <w:pPr>
        <w:jc w:val="both"/>
        <w:rPr>
          <w:rFonts w:ascii="Verdana" w:hAnsi="Verdana"/>
          <w:spacing w:val="-3"/>
          <w:sz w:val="20"/>
        </w:rPr>
      </w:pPr>
      <w:r>
        <w:rPr>
          <w:rFonts w:ascii="Verdana" w:hAnsi="Verdana"/>
          <w:spacing w:val="-3"/>
          <w:sz w:val="20"/>
        </w:rPr>
        <w:t>14.</w:t>
      </w:r>
      <w:r>
        <w:rPr>
          <w:rFonts w:ascii="Verdana" w:hAnsi="Verdana"/>
          <w:spacing w:val="-3"/>
          <w:sz w:val="20"/>
        </w:rPr>
        <w:tab/>
        <w:t xml:space="preserve">Así como dichas áreas del conocimiento se ocuparon de la conceptualización de la persona, también lo hicieron en relación con las respuestas a las violaciones de los derechos inherentes a la persona humana. Esto no es </w:t>
      </w:r>
      <w:r>
        <w:rPr>
          <w:rFonts w:ascii="Verdana" w:hAnsi="Verdana"/>
          <w:spacing w:val="-3"/>
          <w:sz w:val="20"/>
        </w:rPr>
        <w:t>algo exclusivo de la ciencia jurídica, que se ha enriquecido mucho con las contribuciones de otras ramas del saber humano. Así, v.g., al considerar las consecuencias de las violaciones de los derechos humanos, se acude a concepciones propias de la historia</w:t>
      </w:r>
      <w:r>
        <w:rPr>
          <w:rFonts w:ascii="Verdana" w:hAnsi="Verdana"/>
          <w:spacing w:val="-3"/>
          <w:sz w:val="20"/>
        </w:rPr>
        <w:t xml:space="preserve"> (la determinación de la verdad), de la filosofía (la </w:t>
      </w:r>
      <w:r>
        <w:rPr>
          <w:rFonts w:ascii="Verdana" w:hAnsi="Verdana"/>
          <w:spacing w:val="-3"/>
          <w:sz w:val="20"/>
        </w:rPr>
        <w:lastRenderedPageBreak/>
        <w:t>realización de la justicia), de la teología (el perdón como satisfacción a las víctimas)</w:t>
      </w:r>
      <w:r>
        <w:rPr>
          <w:rStyle w:val="Refdenotaalpie"/>
          <w:rFonts w:ascii="Courier New" w:hAnsi="Courier New" w:cs="Courier New"/>
          <w:spacing w:val="-3"/>
          <w:sz w:val="20"/>
          <w:lang w:val="es-ES_tradnl"/>
        </w:rPr>
        <w:footnoteReference w:id="7"/>
      </w:r>
      <w:r>
        <w:rPr>
          <w:rFonts w:ascii="Verdana" w:hAnsi="Verdana"/>
          <w:spacing w:val="-3"/>
          <w:sz w:val="20"/>
        </w:rPr>
        <w:t>, de la psicología (la rehabilitación de las víctimas)</w:t>
      </w:r>
      <w:r>
        <w:rPr>
          <w:rStyle w:val="Refdenotaalpie"/>
          <w:rFonts w:ascii="Courier New" w:hAnsi="Courier New" w:cs="Courier New"/>
          <w:spacing w:val="-3"/>
          <w:sz w:val="20"/>
          <w:lang w:val="es-ES_tradnl"/>
        </w:rPr>
        <w:footnoteReference w:id="8"/>
      </w:r>
      <w:r>
        <w:rPr>
          <w:rFonts w:ascii="Verdana" w:hAnsi="Verdana"/>
          <w:spacing w:val="-3"/>
          <w:sz w:val="20"/>
        </w:rPr>
        <w:t>.</w:t>
      </w:r>
    </w:p>
    <w:p w:rsidR="00000000" w:rsidRDefault="00687F2E">
      <w:pPr>
        <w:jc w:val="both"/>
        <w:rPr>
          <w:rFonts w:ascii="Verdana" w:hAnsi="Verdana"/>
          <w:spacing w:val="-3"/>
          <w:sz w:val="20"/>
        </w:rPr>
      </w:pPr>
    </w:p>
    <w:p w:rsidR="00000000" w:rsidRDefault="00687F2E">
      <w:pPr>
        <w:jc w:val="both"/>
        <w:rPr>
          <w:rFonts w:ascii="Verdana" w:hAnsi="Verdana"/>
          <w:spacing w:val="-3"/>
          <w:sz w:val="20"/>
        </w:rPr>
      </w:pPr>
      <w:r>
        <w:rPr>
          <w:rFonts w:ascii="Verdana" w:hAnsi="Verdana"/>
          <w:spacing w:val="-3"/>
          <w:sz w:val="20"/>
        </w:rPr>
        <w:t>15.</w:t>
      </w:r>
      <w:r>
        <w:rPr>
          <w:rFonts w:ascii="Verdana" w:hAnsi="Verdana"/>
          <w:spacing w:val="-3"/>
          <w:sz w:val="20"/>
        </w:rPr>
        <w:tab/>
        <w:t>Durante el siglo XX, una escuela de pensamiento cui</w:t>
      </w:r>
      <w:r>
        <w:rPr>
          <w:rFonts w:ascii="Verdana" w:hAnsi="Verdana"/>
          <w:spacing w:val="-3"/>
          <w:sz w:val="20"/>
        </w:rPr>
        <w:t>dó de profundizar precisamente la distinción entre el personalismo y el individualismo. Jacques Maritain, por ejemplo, predicaba que la individualidad y la personalidad son "dos líneas metafísicas que se cruzan en la unidad" de cada ser humano (que es indi</w:t>
      </w:r>
      <w:r>
        <w:rPr>
          <w:rFonts w:ascii="Verdana" w:hAnsi="Verdana"/>
          <w:spacing w:val="-3"/>
          <w:sz w:val="20"/>
        </w:rPr>
        <w:t xml:space="preserve">viduo en un sentido y persona en otro). Según el gran pensador francés, cada ser humano es </w:t>
      </w:r>
      <w:r>
        <w:rPr>
          <w:rFonts w:ascii="Verdana" w:hAnsi="Verdana"/>
          <w:i/>
          <w:iCs/>
          <w:spacing w:val="-3"/>
          <w:sz w:val="20"/>
        </w:rPr>
        <w:t>individuo</w:t>
      </w:r>
      <w:r>
        <w:rPr>
          <w:rFonts w:ascii="Verdana" w:hAnsi="Verdana"/>
          <w:spacing w:val="-3"/>
          <w:sz w:val="20"/>
        </w:rPr>
        <w:t xml:space="preserve">, como parte o "fragmento individuado" de una especie, así como </w:t>
      </w:r>
      <w:r>
        <w:rPr>
          <w:rFonts w:ascii="Verdana" w:hAnsi="Verdana"/>
          <w:i/>
          <w:iCs/>
          <w:spacing w:val="-3"/>
          <w:sz w:val="20"/>
        </w:rPr>
        <w:t>persona</w:t>
      </w:r>
      <w:r>
        <w:rPr>
          <w:rFonts w:ascii="Verdana" w:hAnsi="Verdana"/>
          <w:spacing w:val="-3"/>
          <w:sz w:val="20"/>
        </w:rPr>
        <w:t>, dotado de libre arbitrio y espiritualidad, y, por ende, "un todo independiente fren</w:t>
      </w:r>
      <w:r>
        <w:rPr>
          <w:rFonts w:ascii="Verdana" w:hAnsi="Verdana"/>
          <w:spacing w:val="-3"/>
          <w:sz w:val="20"/>
        </w:rPr>
        <w:t>te al mundo"</w:t>
      </w:r>
      <w:r>
        <w:rPr>
          <w:rStyle w:val="Refdenotaalpie"/>
          <w:rFonts w:ascii="Courier New" w:hAnsi="Courier New" w:cs="Courier New"/>
          <w:spacing w:val="-3"/>
          <w:sz w:val="20"/>
          <w:lang w:val="es-ES_tradnl"/>
        </w:rPr>
        <w:footnoteReference w:id="9"/>
      </w:r>
      <w:r>
        <w:rPr>
          <w:rFonts w:ascii="Verdana" w:hAnsi="Verdana"/>
          <w:spacing w:val="-3"/>
          <w:sz w:val="20"/>
        </w:rPr>
        <w:t>. No hay que incurrir en la "equivocación trágica" de confundir la individualidad con la personalidad; el mero individualismo fue, en efecto, uno de los errores del siglo XIX</w:t>
      </w:r>
      <w:r>
        <w:rPr>
          <w:rStyle w:val="Refdenotaalpie"/>
          <w:rFonts w:ascii="Courier New" w:hAnsi="Courier New" w:cs="Courier New"/>
          <w:spacing w:val="-3"/>
          <w:sz w:val="20"/>
          <w:lang w:val="es-ES_tradnl"/>
        </w:rPr>
        <w:footnoteReference w:id="10"/>
      </w:r>
      <w:r>
        <w:rPr>
          <w:rFonts w:ascii="Verdana" w:hAnsi="Verdana"/>
          <w:spacing w:val="-3"/>
          <w:sz w:val="20"/>
        </w:rPr>
        <w:t xml:space="preserve">. </w:t>
      </w:r>
    </w:p>
    <w:p w:rsidR="00000000" w:rsidRDefault="00687F2E">
      <w:pPr>
        <w:jc w:val="both"/>
        <w:rPr>
          <w:rFonts w:ascii="Verdana" w:hAnsi="Verdana"/>
          <w:spacing w:val="-3"/>
          <w:sz w:val="20"/>
        </w:rPr>
      </w:pPr>
    </w:p>
    <w:p w:rsidR="00000000" w:rsidRDefault="00687F2E">
      <w:pPr>
        <w:jc w:val="both"/>
        <w:rPr>
          <w:rFonts w:ascii="Verdana" w:hAnsi="Verdana"/>
          <w:spacing w:val="-3"/>
          <w:sz w:val="20"/>
        </w:rPr>
      </w:pPr>
      <w:r>
        <w:rPr>
          <w:rFonts w:ascii="Verdana" w:hAnsi="Verdana"/>
          <w:spacing w:val="-3"/>
          <w:sz w:val="20"/>
        </w:rPr>
        <w:t>16.</w:t>
      </w:r>
      <w:r>
        <w:rPr>
          <w:rFonts w:ascii="Verdana" w:hAnsi="Verdana"/>
          <w:spacing w:val="-3"/>
          <w:sz w:val="20"/>
        </w:rPr>
        <w:tab/>
        <w:t>Para J. Maritain, la distinción entre la individualidad y la</w:t>
      </w:r>
      <w:r>
        <w:rPr>
          <w:rFonts w:ascii="Verdana" w:hAnsi="Verdana"/>
          <w:spacing w:val="-3"/>
          <w:sz w:val="20"/>
        </w:rPr>
        <w:t xml:space="preserve"> personalidad "pertenece al patrimonio intelectual de la humanidad"</w:t>
      </w:r>
      <w:r>
        <w:rPr>
          <w:rStyle w:val="Refdenotaalpie"/>
          <w:rFonts w:ascii="Courier New" w:hAnsi="Courier New" w:cs="Courier New"/>
          <w:spacing w:val="-3"/>
          <w:sz w:val="20"/>
          <w:lang w:val="es-ES_tradnl"/>
        </w:rPr>
        <w:footnoteReference w:id="11"/>
      </w:r>
      <w:r>
        <w:rPr>
          <w:rFonts w:ascii="Verdana" w:hAnsi="Verdana"/>
          <w:spacing w:val="-3"/>
          <w:sz w:val="20"/>
        </w:rPr>
        <w:t>. No se puede reducir la persona humana al individuo, y cabe asegurar que cada persona esté en condiciones de preservar y ejercer su libertad espiritual</w:t>
      </w:r>
      <w:r>
        <w:rPr>
          <w:rStyle w:val="Refdenotaalpie"/>
          <w:rFonts w:ascii="Courier New" w:hAnsi="Courier New" w:cs="Courier New"/>
          <w:spacing w:val="-3"/>
          <w:sz w:val="20"/>
          <w:lang w:val="es-ES_tradnl"/>
        </w:rPr>
        <w:footnoteReference w:id="12"/>
      </w:r>
      <w:r>
        <w:rPr>
          <w:rFonts w:ascii="Verdana" w:hAnsi="Verdana"/>
          <w:spacing w:val="-3"/>
          <w:sz w:val="20"/>
        </w:rPr>
        <w:t>. Una, persona, - agregó él, - es</w:t>
      </w:r>
    </w:p>
    <w:p w:rsidR="00000000" w:rsidRDefault="00687F2E">
      <w:pPr>
        <w:jc w:val="both"/>
        <w:rPr>
          <w:rFonts w:ascii="Verdana" w:hAnsi="Verdana"/>
          <w:spacing w:val="-3"/>
          <w:sz w:val="20"/>
        </w:rPr>
      </w:pPr>
    </w:p>
    <w:p w:rsidR="00000000" w:rsidRDefault="00687F2E">
      <w:pPr>
        <w:ind w:left="720" w:right="720"/>
        <w:jc w:val="both"/>
        <w:rPr>
          <w:rFonts w:ascii="Verdana" w:hAnsi="Verdana"/>
          <w:spacing w:val="-3"/>
          <w:sz w:val="18"/>
        </w:rPr>
      </w:pPr>
      <w:r>
        <w:rPr>
          <w:rFonts w:ascii="Verdana" w:hAnsi="Verdana"/>
          <w:spacing w:val="-3"/>
          <w:sz w:val="18"/>
        </w:rPr>
        <w:t xml:space="preserve">"un univers de nature spirituelle doué de la liberté de choix et constituant pour autant un tout indépendant en face du monde",  </w:t>
      </w:r>
    </w:p>
    <w:p w:rsidR="00000000" w:rsidRDefault="00687F2E">
      <w:pPr>
        <w:jc w:val="both"/>
        <w:rPr>
          <w:rFonts w:ascii="Verdana" w:hAnsi="Verdana"/>
          <w:spacing w:val="-3"/>
          <w:sz w:val="20"/>
        </w:rPr>
      </w:pPr>
    </w:p>
    <w:p w:rsidR="00000000" w:rsidRDefault="00687F2E">
      <w:pPr>
        <w:jc w:val="both"/>
        <w:rPr>
          <w:rFonts w:ascii="Verdana" w:hAnsi="Verdana"/>
          <w:spacing w:val="-3"/>
          <w:sz w:val="20"/>
        </w:rPr>
      </w:pPr>
      <w:r>
        <w:rPr>
          <w:rFonts w:ascii="Verdana" w:hAnsi="Verdana"/>
          <w:spacing w:val="-3"/>
          <w:sz w:val="20"/>
        </w:rPr>
        <w:tab/>
        <w:t>que debe ser por todos respetado, inclusive por el Estado</w:t>
      </w:r>
      <w:r>
        <w:rPr>
          <w:rStyle w:val="Refdenotaalpie"/>
          <w:rFonts w:ascii="Courier New" w:hAnsi="Courier New" w:cs="Courier New"/>
          <w:spacing w:val="-3"/>
          <w:sz w:val="20"/>
          <w:lang w:val="es-ES_tradnl"/>
        </w:rPr>
        <w:footnoteReference w:id="13"/>
      </w:r>
      <w:r>
        <w:rPr>
          <w:rFonts w:ascii="Verdana" w:hAnsi="Verdana"/>
          <w:spacing w:val="-3"/>
          <w:sz w:val="20"/>
        </w:rPr>
        <w:t>. Para el autor, los llamados "realistas" son incapaces de realiza</w:t>
      </w:r>
      <w:r>
        <w:rPr>
          <w:rFonts w:ascii="Verdana" w:hAnsi="Verdana"/>
          <w:spacing w:val="-3"/>
          <w:sz w:val="20"/>
        </w:rPr>
        <w:t>r este propósito, por cuanto, en su empirismo primario, sólo creen en la fuerza, sólo se atienen a la práctica política de determinados instantes históricos, y aceptan cobardemente que el Estado se sobreponga a la persona humana</w:t>
      </w:r>
      <w:r>
        <w:rPr>
          <w:rStyle w:val="Refdenotaalpie"/>
          <w:rFonts w:ascii="Courier New" w:hAnsi="Courier New" w:cs="Courier New"/>
          <w:spacing w:val="-3"/>
          <w:sz w:val="20"/>
          <w:lang w:val="es-ES_tradnl"/>
        </w:rPr>
        <w:footnoteReference w:id="14"/>
      </w:r>
      <w:r>
        <w:rPr>
          <w:rFonts w:ascii="Verdana" w:hAnsi="Verdana"/>
          <w:spacing w:val="-3"/>
          <w:sz w:val="20"/>
        </w:rPr>
        <w:t>. Con la misma preocupación</w:t>
      </w:r>
      <w:r>
        <w:rPr>
          <w:rFonts w:ascii="Verdana" w:hAnsi="Verdana"/>
          <w:spacing w:val="-3"/>
          <w:sz w:val="20"/>
        </w:rPr>
        <w:t xml:space="preserve"> de asegurar el respeto a la persona humana, se ha desarrollado, a lo largo del tiempo, una escuela de pensamiento que pasó a ser conocida como la del </w:t>
      </w:r>
      <w:r>
        <w:rPr>
          <w:rFonts w:ascii="Verdana" w:hAnsi="Verdana"/>
          <w:i/>
          <w:iCs/>
          <w:spacing w:val="-3"/>
          <w:sz w:val="20"/>
        </w:rPr>
        <w:t>personalismo</w:t>
      </w:r>
      <w:r>
        <w:rPr>
          <w:rFonts w:ascii="Verdana" w:hAnsi="Verdana"/>
          <w:spacing w:val="-3"/>
          <w:sz w:val="20"/>
        </w:rPr>
        <w:t>, que encontró particular desarrollo conceptual en la segunda mitad del siglo XX.</w:t>
      </w:r>
    </w:p>
    <w:p w:rsidR="00000000" w:rsidRDefault="00687F2E">
      <w:pPr>
        <w:jc w:val="both"/>
        <w:rPr>
          <w:rFonts w:ascii="Verdana" w:hAnsi="Verdana"/>
          <w:spacing w:val="-3"/>
          <w:sz w:val="20"/>
        </w:rPr>
      </w:pPr>
    </w:p>
    <w:p w:rsidR="00000000" w:rsidRDefault="00687F2E">
      <w:pPr>
        <w:jc w:val="both"/>
        <w:rPr>
          <w:rFonts w:ascii="Verdana" w:hAnsi="Verdana"/>
          <w:spacing w:val="-3"/>
          <w:sz w:val="20"/>
        </w:rPr>
      </w:pPr>
      <w:r>
        <w:rPr>
          <w:rFonts w:ascii="Verdana" w:hAnsi="Verdana"/>
          <w:b/>
          <w:bCs/>
          <w:spacing w:val="-3"/>
          <w:sz w:val="20"/>
        </w:rPr>
        <w:tab/>
        <w:t xml:space="preserve">2. </w:t>
      </w:r>
      <w:r>
        <w:rPr>
          <w:rFonts w:ascii="Verdana" w:hAnsi="Verdana"/>
          <w:b/>
          <w:bCs/>
          <w:spacing w:val="-3"/>
          <w:sz w:val="20"/>
        </w:rPr>
        <w:tab/>
        <w:t>El Pe</w:t>
      </w:r>
      <w:r>
        <w:rPr>
          <w:rFonts w:ascii="Verdana" w:hAnsi="Verdana"/>
          <w:b/>
          <w:bCs/>
          <w:spacing w:val="-3"/>
          <w:sz w:val="20"/>
        </w:rPr>
        <w:t>rsonalismo Más Allá del Individualismo.</w:t>
      </w:r>
    </w:p>
    <w:p w:rsidR="00000000" w:rsidRDefault="00687F2E">
      <w:pPr>
        <w:jc w:val="both"/>
        <w:rPr>
          <w:rFonts w:ascii="Verdana" w:hAnsi="Verdana"/>
          <w:spacing w:val="-3"/>
          <w:sz w:val="20"/>
        </w:rPr>
      </w:pPr>
    </w:p>
    <w:p w:rsidR="00000000" w:rsidRDefault="00687F2E">
      <w:pPr>
        <w:jc w:val="both"/>
        <w:rPr>
          <w:rFonts w:ascii="Verdana" w:hAnsi="Verdana"/>
          <w:spacing w:val="-3"/>
          <w:sz w:val="20"/>
        </w:rPr>
      </w:pPr>
      <w:r>
        <w:rPr>
          <w:rFonts w:ascii="Verdana" w:hAnsi="Verdana"/>
          <w:spacing w:val="-3"/>
          <w:sz w:val="20"/>
        </w:rPr>
        <w:t>17.</w:t>
      </w:r>
      <w:r>
        <w:rPr>
          <w:rFonts w:ascii="Verdana" w:hAnsi="Verdana"/>
          <w:spacing w:val="-3"/>
          <w:sz w:val="20"/>
        </w:rPr>
        <w:tab/>
        <w:t>El pensamiento personalista florecido en la segunda mitad del siglo XX, sobre todo en las décadas de cincuenta hasta setenta, tiene raíces históricas profundas, en toda la reflexión filosófica sobre el ser human</w:t>
      </w:r>
      <w:r>
        <w:rPr>
          <w:rFonts w:ascii="Verdana" w:hAnsi="Verdana"/>
          <w:spacing w:val="-3"/>
          <w:sz w:val="20"/>
        </w:rPr>
        <w:t xml:space="preserve">o a lo largo de los siglos. Ya en el siglo VI de nuestra era, por </w:t>
      </w:r>
      <w:r>
        <w:rPr>
          <w:rFonts w:ascii="Verdana" w:hAnsi="Verdana"/>
          <w:spacing w:val="-3"/>
          <w:sz w:val="20"/>
        </w:rPr>
        <w:lastRenderedPageBreak/>
        <w:t xml:space="preserve">ejemplo, el filósofo romano A.M.S. Boecio (475-525), condenado </w:t>
      </w:r>
      <w:r>
        <w:rPr>
          <w:rFonts w:ascii="Verdana" w:hAnsi="Verdana"/>
          <w:i/>
          <w:iCs/>
          <w:spacing w:val="-3"/>
          <w:sz w:val="20"/>
        </w:rPr>
        <w:t>in absentia</w:t>
      </w:r>
      <w:r>
        <w:rPr>
          <w:rFonts w:ascii="Verdana" w:hAnsi="Verdana"/>
          <w:spacing w:val="-3"/>
          <w:sz w:val="20"/>
        </w:rPr>
        <w:t xml:space="preserve"> y detenido por supuesta traición, escribió en la cárcel su clásico </w:t>
      </w:r>
      <w:r>
        <w:rPr>
          <w:rFonts w:ascii="Verdana" w:hAnsi="Verdana"/>
          <w:i/>
          <w:iCs/>
          <w:spacing w:val="-3"/>
          <w:sz w:val="20"/>
        </w:rPr>
        <w:t>De Consolatione Philosophiae</w:t>
      </w:r>
      <w:r>
        <w:rPr>
          <w:rFonts w:ascii="Verdana" w:hAnsi="Verdana"/>
          <w:spacing w:val="-3"/>
          <w:sz w:val="20"/>
        </w:rPr>
        <w:t xml:space="preserve"> (525), que concluyó</w:t>
      </w:r>
      <w:r>
        <w:rPr>
          <w:rFonts w:ascii="Verdana" w:hAnsi="Verdana"/>
          <w:spacing w:val="-3"/>
          <w:sz w:val="20"/>
        </w:rPr>
        <w:t xml:space="preserve"> poco antes de su ejecución brutal. En su obra, abordó los infortunios de la vida (como los suyos), e indagó si la filosofía podía servir de consuelo a los desafortunados. Sostiene, sin embargo, que la persona humana es dotada de </w:t>
      </w:r>
      <w:r>
        <w:rPr>
          <w:rFonts w:ascii="Verdana" w:hAnsi="Verdana"/>
          <w:i/>
          <w:iCs/>
          <w:spacing w:val="-3"/>
          <w:sz w:val="20"/>
        </w:rPr>
        <w:t>razón</w:t>
      </w:r>
      <w:r>
        <w:rPr>
          <w:rFonts w:ascii="Verdana" w:hAnsi="Verdana"/>
          <w:spacing w:val="-3"/>
          <w:sz w:val="20"/>
        </w:rPr>
        <w:t>, siendo muy necesari</w:t>
      </w:r>
      <w:r>
        <w:rPr>
          <w:rFonts w:ascii="Verdana" w:hAnsi="Verdana"/>
          <w:spacing w:val="-3"/>
          <w:sz w:val="20"/>
        </w:rPr>
        <w:t xml:space="preserve">a la </w:t>
      </w:r>
      <w:r>
        <w:rPr>
          <w:rFonts w:ascii="Verdana" w:hAnsi="Verdana"/>
          <w:i/>
          <w:iCs/>
          <w:spacing w:val="-3"/>
          <w:sz w:val="20"/>
        </w:rPr>
        <w:t>rectitud</w:t>
      </w:r>
      <w:r>
        <w:rPr>
          <w:rFonts w:ascii="Verdana" w:hAnsi="Verdana"/>
          <w:spacing w:val="-3"/>
          <w:sz w:val="20"/>
        </w:rPr>
        <w:t>. El único punto para el cual A.M.S. Boecio confesó no haber encontrado explicación fue el del libre arbitrio humano frente a la omnisciencia divina (particularmente el pleno conocimiento divino de lo que va a ocurrir)</w:t>
      </w:r>
      <w:r>
        <w:rPr>
          <w:rStyle w:val="Refdenotaalpie"/>
          <w:rFonts w:ascii="Courier New" w:hAnsi="Courier New" w:cs="Courier New"/>
          <w:spacing w:val="-3"/>
          <w:sz w:val="20"/>
          <w:lang w:val="es-ES_tradnl"/>
        </w:rPr>
        <w:footnoteReference w:id="15"/>
      </w:r>
      <w:r>
        <w:rPr>
          <w:rFonts w:ascii="Verdana" w:hAnsi="Verdana"/>
          <w:spacing w:val="-3"/>
          <w:sz w:val="20"/>
        </w:rPr>
        <w:t>.</w:t>
      </w:r>
    </w:p>
    <w:p w:rsidR="00000000" w:rsidRDefault="00687F2E">
      <w:pPr>
        <w:jc w:val="both"/>
        <w:rPr>
          <w:rFonts w:ascii="Verdana" w:hAnsi="Verdana"/>
          <w:spacing w:val="-3"/>
          <w:sz w:val="20"/>
        </w:rPr>
      </w:pPr>
    </w:p>
    <w:p w:rsidR="00000000" w:rsidRDefault="00687F2E">
      <w:pPr>
        <w:jc w:val="both"/>
        <w:rPr>
          <w:rFonts w:ascii="Verdana" w:hAnsi="Verdana"/>
          <w:spacing w:val="-3"/>
          <w:sz w:val="20"/>
        </w:rPr>
      </w:pPr>
      <w:r>
        <w:rPr>
          <w:rFonts w:ascii="Verdana" w:hAnsi="Verdana"/>
          <w:spacing w:val="-3"/>
          <w:sz w:val="20"/>
        </w:rPr>
        <w:t>18.</w:t>
      </w:r>
      <w:r>
        <w:rPr>
          <w:rFonts w:ascii="Verdana" w:hAnsi="Verdana"/>
          <w:spacing w:val="-3"/>
          <w:sz w:val="20"/>
        </w:rPr>
        <w:tab/>
        <w:t>Su preocupación n</w:t>
      </w:r>
      <w:r>
        <w:rPr>
          <w:rFonts w:ascii="Verdana" w:hAnsi="Verdana"/>
          <w:spacing w:val="-3"/>
          <w:sz w:val="20"/>
        </w:rPr>
        <w:t xml:space="preserve">o era con el conocimiento </w:t>
      </w:r>
      <w:r>
        <w:rPr>
          <w:rFonts w:ascii="Verdana" w:hAnsi="Verdana"/>
          <w:i/>
          <w:iCs/>
          <w:spacing w:val="-3"/>
          <w:sz w:val="20"/>
        </w:rPr>
        <w:t>in abstracto</w:t>
      </w:r>
      <w:r>
        <w:rPr>
          <w:rFonts w:ascii="Verdana" w:hAnsi="Verdana"/>
          <w:spacing w:val="-3"/>
          <w:sz w:val="20"/>
        </w:rPr>
        <w:t>, sino más bien centrado en la persona humana. Para el personalismo (como vino a ser conocido), el ser humano no es un objeto, sino un sujeto dotado de libre arbitrio, capacidad creadora, y conciencia. Es así cómo lo v</w:t>
      </w:r>
      <w:r>
        <w:rPr>
          <w:rFonts w:ascii="Verdana" w:hAnsi="Verdana"/>
          <w:spacing w:val="-3"/>
          <w:sz w:val="20"/>
        </w:rPr>
        <w:t xml:space="preserve">isualizaron, en los primordios del </w:t>
      </w:r>
      <w:r>
        <w:rPr>
          <w:rFonts w:ascii="Verdana" w:hAnsi="Verdana"/>
          <w:i/>
          <w:iCs/>
          <w:spacing w:val="-3"/>
          <w:sz w:val="20"/>
        </w:rPr>
        <w:t>derecho de gentes</w:t>
      </w:r>
      <w:r>
        <w:rPr>
          <w:rFonts w:ascii="Verdana" w:hAnsi="Verdana"/>
          <w:spacing w:val="-3"/>
          <w:sz w:val="20"/>
        </w:rPr>
        <w:t xml:space="preserve"> (siglos XVI y XVII), los grandes juristas y teólogos españoles, Francisco de Vitoria (1480-1546), en su cátedra en Salamanca, y Francisco Suárez (1548-1617, nacido en Granada), en su cátedra en Coimbra, </w:t>
      </w:r>
      <w:r>
        <w:rPr>
          <w:rFonts w:ascii="Verdana" w:hAnsi="Verdana"/>
          <w:spacing w:val="-3"/>
          <w:sz w:val="20"/>
        </w:rPr>
        <w:t xml:space="preserve">Portugal. Ambos tuvieron siempre presentes, a partir de la persona humana, la noción del </w:t>
      </w:r>
      <w:r>
        <w:rPr>
          <w:rFonts w:ascii="Verdana" w:hAnsi="Verdana"/>
          <w:i/>
          <w:iCs/>
          <w:spacing w:val="-3"/>
          <w:sz w:val="20"/>
        </w:rPr>
        <w:t>bien común</w:t>
      </w:r>
      <w:r>
        <w:rPr>
          <w:rFonts w:ascii="Verdana" w:hAnsi="Verdana"/>
          <w:spacing w:val="-3"/>
          <w:sz w:val="20"/>
        </w:rPr>
        <w:t xml:space="preserve">, y de la </w:t>
      </w:r>
      <w:r>
        <w:rPr>
          <w:rFonts w:ascii="Verdana" w:hAnsi="Verdana"/>
          <w:i/>
          <w:iCs/>
          <w:spacing w:val="-3"/>
          <w:sz w:val="20"/>
        </w:rPr>
        <w:t>unidad del género humano</w:t>
      </w:r>
      <w:r>
        <w:rPr>
          <w:rStyle w:val="Refdenotaalpie"/>
          <w:rFonts w:ascii="Courier New" w:hAnsi="Courier New" w:cs="Courier New"/>
          <w:spacing w:val="-3"/>
          <w:sz w:val="20"/>
          <w:lang w:val="es-ES_tradnl"/>
        </w:rPr>
        <w:footnoteReference w:id="16"/>
      </w:r>
      <w:r>
        <w:rPr>
          <w:rFonts w:ascii="Verdana" w:hAnsi="Verdana"/>
          <w:spacing w:val="-3"/>
          <w:sz w:val="20"/>
        </w:rPr>
        <w:t xml:space="preserve">, propugnando una visión </w:t>
      </w:r>
      <w:r>
        <w:rPr>
          <w:rFonts w:ascii="Verdana" w:hAnsi="Verdana"/>
          <w:i/>
          <w:iCs/>
          <w:spacing w:val="-3"/>
          <w:sz w:val="20"/>
        </w:rPr>
        <w:t>universalista</w:t>
      </w:r>
      <w:r>
        <w:rPr>
          <w:rFonts w:ascii="Verdana" w:hAnsi="Verdana"/>
          <w:spacing w:val="-3"/>
          <w:sz w:val="20"/>
        </w:rPr>
        <w:t xml:space="preserve"> del Derecho Internacional. La persona humana, dotada de conciencia, se entiende a s</w:t>
      </w:r>
      <w:r>
        <w:rPr>
          <w:rFonts w:ascii="Verdana" w:hAnsi="Verdana"/>
          <w:spacing w:val="-3"/>
          <w:sz w:val="20"/>
        </w:rPr>
        <w:t xml:space="preserve">í misma como portadora de valor supremo, más allá que el individuo. </w:t>
      </w:r>
    </w:p>
    <w:p w:rsidR="00000000" w:rsidRDefault="00687F2E">
      <w:pPr>
        <w:jc w:val="both"/>
        <w:rPr>
          <w:rFonts w:ascii="Verdana" w:hAnsi="Verdana"/>
          <w:spacing w:val="-3"/>
          <w:sz w:val="20"/>
        </w:rPr>
      </w:pPr>
    </w:p>
    <w:p w:rsidR="00000000" w:rsidRDefault="00687F2E">
      <w:pPr>
        <w:jc w:val="both"/>
        <w:rPr>
          <w:rFonts w:ascii="Verdana" w:hAnsi="Verdana"/>
          <w:spacing w:val="-3"/>
          <w:sz w:val="20"/>
        </w:rPr>
      </w:pPr>
      <w:r>
        <w:rPr>
          <w:rFonts w:ascii="Verdana" w:hAnsi="Verdana"/>
          <w:spacing w:val="-3"/>
          <w:sz w:val="20"/>
        </w:rPr>
        <w:t>19.</w:t>
      </w:r>
      <w:r>
        <w:rPr>
          <w:rFonts w:ascii="Verdana" w:hAnsi="Verdana"/>
          <w:spacing w:val="-3"/>
          <w:sz w:val="20"/>
        </w:rPr>
        <w:tab/>
        <w:t>La concepción del personalismo, tal como vino a tornarse conocida en nuestros tiempos, tiene sus raíces en el pensamiento y los escritos de autores como Pascal (la conciencia existen</w:t>
      </w:r>
      <w:r>
        <w:rPr>
          <w:rFonts w:ascii="Verdana" w:hAnsi="Verdana"/>
          <w:spacing w:val="-3"/>
          <w:sz w:val="20"/>
        </w:rPr>
        <w:t>cial), Goethe (la unidad dinámica del espíritu y la materia), E. Kant (la importancia fundamental de la persona humana), H. Bergson (la memoria y la vida)</w:t>
      </w:r>
      <w:r>
        <w:rPr>
          <w:rStyle w:val="Refdenotaalpie"/>
          <w:rFonts w:ascii="Courier New" w:hAnsi="Courier New" w:cs="Courier New"/>
          <w:spacing w:val="-3"/>
          <w:sz w:val="20"/>
          <w:lang w:val="es-ES_tradnl"/>
        </w:rPr>
        <w:footnoteReference w:id="17"/>
      </w:r>
      <w:r>
        <w:rPr>
          <w:rFonts w:ascii="Verdana" w:hAnsi="Verdana"/>
          <w:spacing w:val="-3"/>
          <w:sz w:val="20"/>
        </w:rPr>
        <w:t>, además de Max Scheler, Karl Jaspers y Gabriel Marcel. El personalismo del siglo XX, visualizando la</w:t>
      </w:r>
      <w:r>
        <w:rPr>
          <w:rFonts w:ascii="Verdana" w:hAnsi="Verdana"/>
          <w:spacing w:val="-3"/>
          <w:sz w:val="20"/>
        </w:rPr>
        <w:t xml:space="preserve"> </w:t>
      </w:r>
      <w:r>
        <w:rPr>
          <w:rFonts w:ascii="Verdana" w:hAnsi="Verdana"/>
          <w:i/>
          <w:iCs/>
          <w:spacing w:val="-3"/>
          <w:sz w:val="20"/>
        </w:rPr>
        <w:t>persona</w:t>
      </w:r>
      <w:r>
        <w:rPr>
          <w:rFonts w:ascii="Verdana" w:hAnsi="Verdana"/>
          <w:spacing w:val="-3"/>
          <w:sz w:val="20"/>
        </w:rPr>
        <w:t xml:space="preserve"> como ser viviente, que se construye a sí misma, y portadora de valor supremo como tal, - y no como un ente abstracto, o un simple individuo como parte de una especie, - vino a añadirse al pensamiento jusnaturalista contemporáneo, y a enriquecerlo</w:t>
      </w:r>
      <w:r>
        <w:rPr>
          <w:rStyle w:val="Refdenotaalpie"/>
          <w:rFonts w:ascii="Courier New" w:hAnsi="Courier New" w:cs="Courier New"/>
          <w:spacing w:val="-3"/>
          <w:sz w:val="20"/>
          <w:lang w:val="es-ES_tradnl"/>
        </w:rPr>
        <w:footnoteReference w:id="18"/>
      </w:r>
      <w:r>
        <w:rPr>
          <w:rFonts w:ascii="Verdana" w:hAnsi="Verdana"/>
          <w:spacing w:val="-3"/>
          <w:sz w:val="20"/>
        </w:rPr>
        <w:t xml:space="preserve">. </w:t>
      </w:r>
    </w:p>
    <w:p w:rsidR="00000000" w:rsidRDefault="00687F2E">
      <w:pPr>
        <w:jc w:val="both"/>
        <w:rPr>
          <w:rFonts w:ascii="Verdana" w:hAnsi="Verdana"/>
          <w:spacing w:val="-3"/>
          <w:sz w:val="20"/>
        </w:rPr>
      </w:pPr>
    </w:p>
    <w:p w:rsidR="00000000" w:rsidRDefault="00687F2E">
      <w:pPr>
        <w:jc w:val="both"/>
        <w:rPr>
          <w:rFonts w:ascii="Verdana" w:hAnsi="Verdana"/>
          <w:spacing w:val="-3"/>
          <w:sz w:val="20"/>
        </w:rPr>
      </w:pPr>
      <w:r>
        <w:rPr>
          <w:rFonts w:ascii="Verdana" w:hAnsi="Verdana"/>
          <w:spacing w:val="-3"/>
          <w:sz w:val="20"/>
        </w:rPr>
        <w:t>20.</w:t>
      </w:r>
      <w:r>
        <w:rPr>
          <w:rFonts w:ascii="Verdana" w:hAnsi="Verdana"/>
          <w:spacing w:val="-3"/>
          <w:sz w:val="20"/>
        </w:rPr>
        <w:tab/>
        <w:t>Uno de los grandes exponentes del personalismo en el siglo pasado fue Emmanuel Mounier, quien sistematizó sus ideas y las publicó un año antes de su muerte en 1950, y quien oponía su personalismo solidarista al individualismo egoísta así como a los</w:t>
      </w:r>
      <w:r>
        <w:rPr>
          <w:rFonts w:ascii="Verdana" w:hAnsi="Verdana"/>
          <w:spacing w:val="-3"/>
          <w:sz w:val="20"/>
        </w:rPr>
        <w:t xml:space="preserve"> colectivismos ideológicos (inclusive al capital financiero, que se tornara dueño de las vidas humanas); él consideraba el Derecho como "garante institucional de la persona" humana, y su concepción del Derecho tenía así un inequívoco fundamento humanista, </w:t>
      </w:r>
      <w:r>
        <w:rPr>
          <w:rFonts w:ascii="Verdana" w:hAnsi="Verdana"/>
          <w:spacing w:val="-3"/>
          <w:sz w:val="20"/>
        </w:rPr>
        <w:t xml:space="preserve">por cuanto se basaba en la persona humana </w:t>
      </w:r>
      <w:r>
        <w:rPr>
          <w:rFonts w:ascii="Verdana" w:hAnsi="Verdana"/>
          <w:i/>
          <w:iCs/>
          <w:spacing w:val="-3"/>
          <w:sz w:val="20"/>
        </w:rPr>
        <w:t>per se</w:t>
      </w:r>
      <w:r>
        <w:rPr>
          <w:rStyle w:val="Refdenotaalpie"/>
          <w:rFonts w:ascii="Courier New" w:hAnsi="Courier New" w:cs="Courier New"/>
          <w:spacing w:val="-3"/>
          <w:sz w:val="20"/>
          <w:lang w:val="es-ES_tradnl"/>
        </w:rPr>
        <w:footnoteReference w:id="19"/>
      </w:r>
      <w:r>
        <w:rPr>
          <w:rFonts w:ascii="Verdana" w:hAnsi="Verdana"/>
          <w:spacing w:val="-3"/>
          <w:sz w:val="20"/>
        </w:rPr>
        <w:t xml:space="preserve">. Para E. Mounier, el personalismo afirma el primado de la persona humana sobre las necesidades materiales y los sistema colectivos; él sostenía el humanismo </w:t>
      </w:r>
      <w:r>
        <w:rPr>
          <w:rFonts w:ascii="Verdana" w:hAnsi="Verdana"/>
          <w:spacing w:val="-3"/>
          <w:sz w:val="20"/>
        </w:rPr>
        <w:lastRenderedPageBreak/>
        <w:t xml:space="preserve">consistente en la concientización de una persona </w:t>
      </w:r>
      <w:r>
        <w:rPr>
          <w:rFonts w:ascii="Verdana" w:hAnsi="Verdana"/>
          <w:spacing w:val="-3"/>
          <w:sz w:val="20"/>
        </w:rPr>
        <w:t>dentro de su medio social y tendiente a lo universal, y en el desarrollo espiritual de la persona</w:t>
      </w:r>
      <w:r>
        <w:rPr>
          <w:rStyle w:val="Refdenotaalpie"/>
          <w:rFonts w:ascii="Courier New" w:hAnsi="Courier New" w:cs="Courier New"/>
          <w:spacing w:val="-3"/>
          <w:sz w:val="20"/>
          <w:lang w:val="es-ES_tradnl"/>
        </w:rPr>
        <w:footnoteReference w:id="20"/>
      </w:r>
      <w:r>
        <w:rPr>
          <w:rFonts w:ascii="Verdana" w:hAnsi="Verdana"/>
          <w:spacing w:val="-3"/>
          <w:sz w:val="20"/>
        </w:rPr>
        <w:t>.</w:t>
      </w:r>
    </w:p>
    <w:p w:rsidR="00000000" w:rsidRDefault="00687F2E">
      <w:pPr>
        <w:jc w:val="both"/>
        <w:rPr>
          <w:rFonts w:ascii="Verdana" w:hAnsi="Verdana"/>
          <w:spacing w:val="-3"/>
          <w:sz w:val="20"/>
        </w:rPr>
      </w:pPr>
    </w:p>
    <w:p w:rsidR="00000000" w:rsidRDefault="00687F2E">
      <w:pPr>
        <w:jc w:val="both"/>
        <w:rPr>
          <w:rFonts w:ascii="Verdana" w:hAnsi="Verdana"/>
          <w:spacing w:val="-3"/>
          <w:sz w:val="20"/>
        </w:rPr>
      </w:pPr>
      <w:r>
        <w:rPr>
          <w:rFonts w:ascii="Verdana" w:hAnsi="Verdana"/>
          <w:spacing w:val="-3"/>
          <w:sz w:val="20"/>
        </w:rPr>
        <w:t>21.</w:t>
      </w:r>
      <w:r>
        <w:rPr>
          <w:rFonts w:ascii="Verdana" w:hAnsi="Verdana"/>
          <w:spacing w:val="-3"/>
          <w:sz w:val="20"/>
        </w:rPr>
        <w:tab/>
        <w:t>El personalismo se opone al egoísmo individualista, y mantiene que, como no puede uno encontrar la "salvación espiritual y social" en sí mismo, la pers</w:t>
      </w:r>
      <w:r>
        <w:rPr>
          <w:rFonts w:ascii="Verdana" w:hAnsi="Verdana"/>
          <w:spacing w:val="-3"/>
          <w:sz w:val="20"/>
        </w:rPr>
        <w:t xml:space="preserve">ona sólo existe en relación con los demás. El personalismo sostiene la </w:t>
      </w:r>
      <w:r>
        <w:rPr>
          <w:rFonts w:ascii="Verdana" w:hAnsi="Verdana"/>
          <w:i/>
          <w:iCs/>
          <w:spacing w:val="-3"/>
          <w:sz w:val="20"/>
        </w:rPr>
        <w:t>unidad del género humano</w:t>
      </w:r>
      <w:r>
        <w:rPr>
          <w:rFonts w:ascii="Verdana" w:hAnsi="Verdana"/>
          <w:spacing w:val="-3"/>
          <w:sz w:val="20"/>
        </w:rPr>
        <w:t xml:space="preserve"> (en el espacio y el tiempo), siendo la humanidad una e indivisible, y teniendo el género humano una historia y destino comunes</w:t>
      </w:r>
      <w:r>
        <w:rPr>
          <w:rStyle w:val="Refdenotaalpie"/>
          <w:rFonts w:ascii="Courier New" w:hAnsi="Courier New" w:cs="Courier New"/>
          <w:spacing w:val="-3"/>
          <w:sz w:val="20"/>
          <w:lang w:val="es-ES_tradnl"/>
        </w:rPr>
        <w:footnoteReference w:id="21"/>
      </w:r>
      <w:r>
        <w:rPr>
          <w:rFonts w:ascii="Verdana" w:hAnsi="Verdana"/>
          <w:spacing w:val="-3"/>
          <w:sz w:val="20"/>
        </w:rPr>
        <w:t>. Para el personalismo, los valor</w:t>
      </w:r>
      <w:r>
        <w:rPr>
          <w:rFonts w:ascii="Verdana" w:hAnsi="Verdana"/>
          <w:spacing w:val="-3"/>
          <w:sz w:val="20"/>
        </w:rPr>
        <w:t>es son de importancia crucial para la persona humana, y la "educación y persuasión" tiene primacía sobre la coerción</w:t>
      </w:r>
      <w:r>
        <w:rPr>
          <w:rStyle w:val="Refdenotaalpie"/>
          <w:rFonts w:ascii="Courier New" w:hAnsi="Courier New" w:cs="Courier New"/>
          <w:spacing w:val="-3"/>
          <w:sz w:val="20"/>
          <w:lang w:val="es-ES_tradnl"/>
        </w:rPr>
        <w:footnoteReference w:id="22"/>
      </w:r>
      <w:r>
        <w:rPr>
          <w:rFonts w:ascii="Verdana" w:hAnsi="Verdana"/>
          <w:spacing w:val="-3"/>
          <w:sz w:val="20"/>
        </w:rPr>
        <w:t>. Según Monier, en suma, la persona humana es "un ser espiritual", constituido como tal por una forma de "independencia en su ser", mediant</w:t>
      </w:r>
      <w:r>
        <w:rPr>
          <w:rFonts w:ascii="Verdana" w:hAnsi="Verdana"/>
          <w:spacing w:val="-3"/>
          <w:sz w:val="20"/>
        </w:rPr>
        <w:t>e su "adhesión a una jerarquía de valores libremente adoptados", además de "asimilados y vividos en un compromiso responsable"</w:t>
      </w:r>
      <w:r>
        <w:rPr>
          <w:rStyle w:val="Refdenotaalpie"/>
          <w:rFonts w:ascii="Courier New" w:hAnsi="Courier New" w:cs="Courier New"/>
          <w:spacing w:val="-3"/>
          <w:sz w:val="20"/>
          <w:lang w:val="es-ES_tradnl"/>
        </w:rPr>
        <w:footnoteReference w:id="23"/>
      </w:r>
      <w:r>
        <w:rPr>
          <w:rFonts w:ascii="Verdana" w:hAnsi="Verdana"/>
          <w:spacing w:val="-3"/>
          <w:sz w:val="20"/>
        </w:rPr>
        <w:t xml:space="preserve">.       </w:t>
      </w:r>
    </w:p>
    <w:p w:rsidR="00000000" w:rsidRDefault="00687F2E">
      <w:pPr>
        <w:jc w:val="both"/>
        <w:rPr>
          <w:rFonts w:ascii="Verdana" w:hAnsi="Verdana"/>
          <w:spacing w:val="-3"/>
          <w:sz w:val="20"/>
        </w:rPr>
      </w:pPr>
    </w:p>
    <w:p w:rsidR="00000000" w:rsidRDefault="00687F2E">
      <w:pPr>
        <w:jc w:val="both"/>
        <w:rPr>
          <w:rFonts w:ascii="Verdana" w:hAnsi="Verdana"/>
          <w:spacing w:val="-3"/>
          <w:sz w:val="20"/>
        </w:rPr>
      </w:pPr>
      <w:r>
        <w:rPr>
          <w:rFonts w:ascii="Verdana" w:hAnsi="Verdana"/>
          <w:b/>
          <w:bCs/>
          <w:spacing w:val="-3"/>
          <w:sz w:val="20"/>
        </w:rPr>
        <w:tab/>
        <w:t xml:space="preserve">3. </w:t>
      </w:r>
      <w:r>
        <w:rPr>
          <w:rFonts w:ascii="Verdana" w:hAnsi="Verdana"/>
          <w:b/>
          <w:bCs/>
          <w:spacing w:val="-3"/>
          <w:sz w:val="20"/>
        </w:rPr>
        <w:tab/>
        <w:t>El Personalismo Jurídico y el Derecho Subjetivo.</w:t>
      </w:r>
    </w:p>
    <w:p w:rsidR="00000000" w:rsidRDefault="00687F2E">
      <w:pPr>
        <w:jc w:val="both"/>
        <w:rPr>
          <w:rFonts w:ascii="Verdana" w:hAnsi="Verdana"/>
          <w:spacing w:val="-3"/>
          <w:sz w:val="20"/>
        </w:rPr>
      </w:pPr>
    </w:p>
    <w:p w:rsidR="00000000" w:rsidRDefault="00687F2E">
      <w:pPr>
        <w:jc w:val="both"/>
        <w:rPr>
          <w:rFonts w:ascii="Verdana" w:hAnsi="Verdana"/>
          <w:spacing w:val="-3"/>
          <w:sz w:val="20"/>
        </w:rPr>
      </w:pPr>
      <w:r>
        <w:rPr>
          <w:rFonts w:ascii="Verdana" w:hAnsi="Verdana"/>
          <w:spacing w:val="-3"/>
          <w:sz w:val="20"/>
        </w:rPr>
        <w:t>22.</w:t>
      </w:r>
      <w:r>
        <w:rPr>
          <w:rFonts w:ascii="Verdana" w:hAnsi="Verdana"/>
          <w:spacing w:val="-3"/>
          <w:sz w:val="20"/>
        </w:rPr>
        <w:tab/>
        <w:t>A mi juicio, el pensamiento personalista es dotado de perenn</w:t>
      </w:r>
      <w:r>
        <w:rPr>
          <w:rFonts w:ascii="Verdana" w:hAnsi="Verdana"/>
          <w:spacing w:val="-3"/>
          <w:sz w:val="20"/>
        </w:rPr>
        <w:t xml:space="preserve">e actualidad. Cada persona humana es sujeto de derecho. En realidad, la noción de </w:t>
      </w:r>
      <w:r>
        <w:rPr>
          <w:rFonts w:ascii="Verdana" w:hAnsi="Verdana"/>
          <w:i/>
          <w:iCs/>
          <w:spacing w:val="-3"/>
          <w:sz w:val="20"/>
        </w:rPr>
        <w:t>sujeto</w:t>
      </w:r>
      <w:r>
        <w:rPr>
          <w:rFonts w:ascii="Verdana" w:hAnsi="Verdana"/>
          <w:spacing w:val="-3"/>
          <w:sz w:val="20"/>
        </w:rPr>
        <w:t xml:space="preserve"> irrumpe en el conocimiento humano sin limitarse al universo conceptual del Derecho. Trasciende a éste, y, siempre en relación con la persona humana, alcanza el dominio</w:t>
      </w:r>
      <w:r>
        <w:rPr>
          <w:rFonts w:ascii="Verdana" w:hAnsi="Verdana"/>
          <w:spacing w:val="-3"/>
          <w:sz w:val="20"/>
        </w:rPr>
        <w:t xml:space="preserve"> de la tradición del pensamiento filosófico y de la antropología. La condición de </w:t>
      </w:r>
      <w:r>
        <w:rPr>
          <w:rFonts w:ascii="Verdana" w:hAnsi="Verdana"/>
          <w:i/>
          <w:iCs/>
          <w:spacing w:val="-3"/>
          <w:sz w:val="20"/>
        </w:rPr>
        <w:t>sujeto</w:t>
      </w:r>
      <w:r>
        <w:rPr>
          <w:rFonts w:ascii="Verdana" w:hAnsi="Verdana"/>
          <w:spacing w:val="-3"/>
          <w:sz w:val="20"/>
        </w:rPr>
        <w:t xml:space="preserve"> acompaña a cada ser humano a lo largo de toda su existencia, del nacimiento hasta la muerte, y trasciende las mutaciones generadas por el pasar del tiempo a lo largo d</w:t>
      </w:r>
      <w:r>
        <w:rPr>
          <w:rFonts w:ascii="Verdana" w:hAnsi="Verdana"/>
          <w:spacing w:val="-3"/>
          <w:sz w:val="20"/>
        </w:rPr>
        <w:t>e la vida; lo acompaña, asimismo, en sus relaciones con los demás</w:t>
      </w:r>
      <w:r>
        <w:rPr>
          <w:rStyle w:val="Refdenotaalpie"/>
          <w:rFonts w:ascii="Courier New" w:hAnsi="Courier New" w:cs="Courier New"/>
          <w:spacing w:val="-3"/>
          <w:sz w:val="20"/>
          <w:lang w:val="es-ES_tradnl"/>
        </w:rPr>
        <w:footnoteReference w:id="24"/>
      </w:r>
      <w:r>
        <w:rPr>
          <w:rFonts w:ascii="Verdana" w:hAnsi="Verdana"/>
          <w:spacing w:val="-3"/>
          <w:sz w:val="20"/>
        </w:rPr>
        <w:t xml:space="preserve">. La condición de </w:t>
      </w:r>
      <w:r>
        <w:rPr>
          <w:rFonts w:ascii="Verdana" w:hAnsi="Verdana"/>
          <w:i/>
          <w:iCs/>
          <w:spacing w:val="-3"/>
          <w:sz w:val="20"/>
        </w:rPr>
        <w:t>sujeto</w:t>
      </w:r>
      <w:r>
        <w:rPr>
          <w:rFonts w:ascii="Verdana" w:hAnsi="Verdana"/>
          <w:spacing w:val="-3"/>
          <w:sz w:val="20"/>
        </w:rPr>
        <w:t xml:space="preserve"> afirma la autonomía de cada ser humano, que pasa a relacionarse con los demás y con su medio social guiado por su conciencia. En esta última, cada </w:t>
      </w:r>
      <w:r>
        <w:rPr>
          <w:rFonts w:ascii="Verdana" w:hAnsi="Verdana"/>
          <w:i/>
          <w:iCs/>
          <w:spacing w:val="-3"/>
          <w:sz w:val="20"/>
        </w:rPr>
        <w:t>sujeto</w:t>
      </w:r>
      <w:r>
        <w:rPr>
          <w:rFonts w:ascii="Verdana" w:hAnsi="Verdana"/>
          <w:spacing w:val="-3"/>
          <w:sz w:val="20"/>
        </w:rPr>
        <w:t xml:space="preserve"> humano encu</w:t>
      </w:r>
      <w:r>
        <w:rPr>
          <w:rFonts w:ascii="Verdana" w:hAnsi="Verdana"/>
          <w:spacing w:val="-3"/>
          <w:sz w:val="20"/>
        </w:rPr>
        <w:t xml:space="preserve">entra su autoafirmación y construye su proyecto de vida, para buscar realizar sus aspiraciones durante su vida. En suma, cada ser humano se autoafirma en su condición de </w:t>
      </w:r>
      <w:r>
        <w:rPr>
          <w:rFonts w:ascii="Verdana" w:hAnsi="Verdana"/>
          <w:i/>
          <w:iCs/>
          <w:spacing w:val="-3"/>
          <w:sz w:val="20"/>
        </w:rPr>
        <w:t>sujeto</w:t>
      </w:r>
      <w:r>
        <w:rPr>
          <w:rStyle w:val="Refdenotaalpie"/>
          <w:rFonts w:ascii="Courier New" w:hAnsi="Courier New" w:cs="Courier New"/>
          <w:spacing w:val="-3"/>
          <w:sz w:val="20"/>
          <w:lang w:val="es-ES_tradnl"/>
        </w:rPr>
        <w:footnoteReference w:id="25"/>
      </w:r>
      <w:r>
        <w:rPr>
          <w:rFonts w:ascii="Verdana" w:hAnsi="Verdana"/>
          <w:spacing w:val="-3"/>
          <w:sz w:val="20"/>
        </w:rPr>
        <w:t xml:space="preserve">.    </w:t>
      </w:r>
    </w:p>
    <w:p w:rsidR="00000000" w:rsidRDefault="00687F2E">
      <w:pPr>
        <w:jc w:val="both"/>
        <w:rPr>
          <w:rFonts w:ascii="Verdana" w:hAnsi="Verdana"/>
          <w:spacing w:val="-3"/>
          <w:sz w:val="20"/>
        </w:rPr>
      </w:pPr>
    </w:p>
    <w:p w:rsidR="00000000" w:rsidRDefault="00687F2E">
      <w:pPr>
        <w:jc w:val="both"/>
        <w:rPr>
          <w:rFonts w:ascii="Verdana" w:hAnsi="Verdana"/>
          <w:spacing w:val="-3"/>
          <w:sz w:val="20"/>
        </w:rPr>
      </w:pPr>
      <w:r>
        <w:rPr>
          <w:rFonts w:ascii="Verdana" w:hAnsi="Verdana"/>
          <w:spacing w:val="-3"/>
          <w:sz w:val="20"/>
        </w:rPr>
        <w:t>23.</w:t>
      </w:r>
      <w:r>
        <w:rPr>
          <w:rFonts w:ascii="Verdana" w:hAnsi="Verdana"/>
          <w:spacing w:val="-3"/>
          <w:sz w:val="20"/>
        </w:rPr>
        <w:tab/>
        <w:t>Pero la necesidad de reglamentar las relaciones humanas o sociales l</w:t>
      </w:r>
      <w:r>
        <w:rPr>
          <w:rFonts w:ascii="Verdana" w:hAnsi="Verdana"/>
          <w:spacing w:val="-3"/>
          <w:sz w:val="20"/>
        </w:rPr>
        <w:t xml:space="preserve">leva a uno de vuelta al pensamiento jurídico, a la ciencia del Derecho, a la construcción de </w:t>
      </w:r>
      <w:r>
        <w:rPr>
          <w:rFonts w:ascii="Verdana" w:hAnsi="Verdana"/>
          <w:i/>
          <w:iCs/>
          <w:spacing w:val="-3"/>
          <w:sz w:val="20"/>
        </w:rPr>
        <w:t>sujeto de derecho</w:t>
      </w:r>
      <w:r>
        <w:rPr>
          <w:rFonts w:ascii="Verdana" w:hAnsi="Verdana"/>
          <w:spacing w:val="-3"/>
          <w:sz w:val="20"/>
        </w:rPr>
        <w:t xml:space="preserve"> y de sus atributos. Con esto, el ordenamiento jurídico busca reglamentar la esfera de libertad de cada uno, en la realización de su proyecto de v</w:t>
      </w:r>
      <w:r>
        <w:rPr>
          <w:rFonts w:ascii="Verdana" w:hAnsi="Verdana"/>
          <w:spacing w:val="-3"/>
          <w:sz w:val="20"/>
        </w:rPr>
        <w:t>ida y de sus propósitos, con el debido respeto a los derechos de los demás. La reglamentación de las relaciones entre sujetos de derecho abarca distintas esferas de la actividad humana, a saber, las relaciones de cada sujeto de derecho tanto con el poder p</w:t>
      </w:r>
      <w:r>
        <w:rPr>
          <w:rFonts w:ascii="Verdana" w:hAnsi="Verdana"/>
          <w:spacing w:val="-3"/>
          <w:sz w:val="20"/>
        </w:rPr>
        <w:t xml:space="preserve">úblico como con otros particulares.  </w:t>
      </w:r>
    </w:p>
    <w:p w:rsidR="00000000" w:rsidRDefault="00687F2E">
      <w:pPr>
        <w:jc w:val="both"/>
        <w:rPr>
          <w:rFonts w:ascii="Verdana" w:hAnsi="Verdana"/>
          <w:spacing w:val="-3"/>
          <w:sz w:val="20"/>
        </w:rPr>
      </w:pPr>
    </w:p>
    <w:p w:rsidR="00000000" w:rsidRDefault="00687F2E">
      <w:pPr>
        <w:jc w:val="both"/>
        <w:rPr>
          <w:rFonts w:ascii="Verdana" w:hAnsi="Verdana"/>
          <w:spacing w:val="-3"/>
          <w:sz w:val="20"/>
        </w:rPr>
      </w:pPr>
      <w:r>
        <w:rPr>
          <w:rFonts w:ascii="Verdana" w:hAnsi="Verdana"/>
          <w:spacing w:val="-3"/>
          <w:sz w:val="20"/>
        </w:rPr>
        <w:t>24.</w:t>
      </w:r>
      <w:r>
        <w:rPr>
          <w:rFonts w:ascii="Verdana" w:hAnsi="Verdana"/>
          <w:spacing w:val="-3"/>
          <w:sz w:val="20"/>
        </w:rPr>
        <w:tab/>
        <w:t xml:space="preserve">Como ponderó con lucidez Gustav Radbruch, el concepto de sujeto de derecho, a partir del de </w:t>
      </w:r>
      <w:r>
        <w:rPr>
          <w:rFonts w:ascii="Verdana" w:hAnsi="Verdana"/>
          <w:i/>
          <w:iCs/>
          <w:spacing w:val="-3"/>
          <w:sz w:val="20"/>
        </w:rPr>
        <w:t>persona</w:t>
      </w:r>
      <w:r>
        <w:rPr>
          <w:rFonts w:ascii="Verdana" w:hAnsi="Verdana"/>
          <w:spacing w:val="-3"/>
          <w:sz w:val="20"/>
        </w:rPr>
        <w:t xml:space="preserve">, es esencialmente un concepto de </w:t>
      </w:r>
      <w:r>
        <w:rPr>
          <w:rFonts w:ascii="Verdana" w:hAnsi="Verdana"/>
          <w:i/>
          <w:iCs/>
          <w:spacing w:val="-3"/>
          <w:sz w:val="20"/>
        </w:rPr>
        <w:t>igualdad</w:t>
      </w:r>
      <w:r>
        <w:rPr>
          <w:rFonts w:ascii="Verdana" w:hAnsi="Verdana"/>
          <w:spacing w:val="-3"/>
          <w:sz w:val="20"/>
        </w:rPr>
        <w:t>, "dentro del cual se encuentran equiparados no sólo el débil con el pod</w:t>
      </w:r>
      <w:r>
        <w:rPr>
          <w:rFonts w:ascii="Verdana" w:hAnsi="Verdana"/>
          <w:spacing w:val="-3"/>
          <w:sz w:val="20"/>
        </w:rPr>
        <w:t>eroso, no sólo el rico con el pobre, sino aún la débil personalidad de la persona singular con la gigantesca personalidad de la persona colectiva"</w:t>
      </w:r>
      <w:r>
        <w:rPr>
          <w:rStyle w:val="Refdenotaalpie"/>
          <w:rFonts w:ascii="Courier New" w:hAnsi="Courier New" w:cs="Courier New"/>
          <w:spacing w:val="-3"/>
          <w:sz w:val="20"/>
          <w:lang w:val="es-ES_tradnl"/>
        </w:rPr>
        <w:footnoteReference w:id="26"/>
      </w:r>
      <w:r>
        <w:rPr>
          <w:rFonts w:ascii="Verdana" w:hAnsi="Verdana"/>
          <w:spacing w:val="-3"/>
          <w:sz w:val="20"/>
        </w:rPr>
        <w:t>. De ahí la importancia de tener siempre presente la igualdad de las personas: la igualdad ante la ley y la i</w:t>
      </w:r>
      <w:r>
        <w:rPr>
          <w:rFonts w:ascii="Verdana" w:hAnsi="Verdana"/>
          <w:spacing w:val="-3"/>
          <w:sz w:val="20"/>
        </w:rPr>
        <w:t>gual capacidad jurídica de todos, para él, constituyen la esencia de la noción de persona o sujeto de derecho. Ser persona es ser un fin en si mismo y de si mismo (</w:t>
      </w:r>
      <w:r>
        <w:rPr>
          <w:rFonts w:ascii="Verdana" w:hAnsi="Verdana"/>
          <w:i/>
          <w:iCs/>
          <w:spacing w:val="-3"/>
          <w:sz w:val="20"/>
        </w:rPr>
        <w:t>Selbstzweck</w:t>
      </w:r>
      <w:r>
        <w:rPr>
          <w:rFonts w:ascii="Verdana" w:hAnsi="Verdana"/>
          <w:spacing w:val="-3"/>
          <w:sz w:val="20"/>
        </w:rPr>
        <w:t>), agrega significativamente G. Radbruch, para quien el concepto filosófico-juríd</w:t>
      </w:r>
      <w:r>
        <w:rPr>
          <w:rFonts w:ascii="Verdana" w:hAnsi="Verdana"/>
          <w:spacing w:val="-3"/>
          <w:sz w:val="20"/>
        </w:rPr>
        <w:t>ico de persona o sujeto de derecho equivale a considerar a éste como "un `ser' o un `ente' considerado fin de él propio por el ordenamiento jurídico"</w:t>
      </w:r>
      <w:r>
        <w:rPr>
          <w:rStyle w:val="Refdenotaalpie"/>
          <w:rFonts w:ascii="Courier New" w:hAnsi="Courier New" w:cs="Courier New"/>
          <w:spacing w:val="-3"/>
          <w:sz w:val="20"/>
          <w:lang w:val="es-ES_tradnl"/>
        </w:rPr>
        <w:footnoteReference w:id="27"/>
      </w:r>
      <w:r>
        <w:rPr>
          <w:rFonts w:ascii="Verdana" w:hAnsi="Verdana"/>
          <w:spacing w:val="-3"/>
          <w:sz w:val="20"/>
        </w:rPr>
        <w:t xml:space="preserve">.   </w:t>
      </w:r>
    </w:p>
    <w:p w:rsidR="00000000" w:rsidRDefault="00687F2E">
      <w:pPr>
        <w:jc w:val="both"/>
        <w:rPr>
          <w:rFonts w:ascii="Verdana" w:hAnsi="Verdana"/>
          <w:spacing w:val="-3"/>
          <w:sz w:val="20"/>
        </w:rPr>
      </w:pPr>
    </w:p>
    <w:p w:rsidR="00000000" w:rsidRDefault="00687F2E">
      <w:pPr>
        <w:jc w:val="both"/>
        <w:rPr>
          <w:rFonts w:ascii="Verdana" w:hAnsi="Verdana"/>
          <w:spacing w:val="-3"/>
          <w:sz w:val="20"/>
        </w:rPr>
      </w:pPr>
      <w:r>
        <w:rPr>
          <w:rFonts w:ascii="Verdana" w:hAnsi="Verdana"/>
          <w:spacing w:val="-3"/>
          <w:sz w:val="20"/>
        </w:rPr>
        <w:t>25.</w:t>
      </w:r>
      <w:r>
        <w:rPr>
          <w:rFonts w:ascii="Verdana" w:hAnsi="Verdana"/>
          <w:spacing w:val="-3"/>
          <w:sz w:val="20"/>
        </w:rPr>
        <w:tab/>
        <w:t>La persona humana, así, lejos de reducirse a un simple objeto, ocupa una posición central en tod</w:t>
      </w:r>
      <w:r>
        <w:rPr>
          <w:rFonts w:ascii="Verdana" w:hAnsi="Verdana"/>
          <w:spacing w:val="-3"/>
          <w:sz w:val="20"/>
        </w:rPr>
        <w:t xml:space="preserve">o tipo de preocupación y reflexión. Lo mismo ocurre en el universo conceptual del Derecho. La persona humana es </w:t>
      </w:r>
      <w:r>
        <w:rPr>
          <w:rFonts w:ascii="Verdana" w:hAnsi="Verdana"/>
          <w:i/>
          <w:iCs/>
          <w:spacing w:val="-3"/>
          <w:sz w:val="20"/>
        </w:rPr>
        <w:t>sujeto</w:t>
      </w:r>
      <w:r>
        <w:rPr>
          <w:rFonts w:ascii="Verdana" w:hAnsi="Verdana"/>
          <w:spacing w:val="-3"/>
          <w:sz w:val="20"/>
        </w:rPr>
        <w:t xml:space="preserve"> de derechos, y el personalismo jurídico se relaciona directamente con el ejercicio de los propios derechos subjetivos, y la búsqueda de l</w:t>
      </w:r>
      <w:r>
        <w:rPr>
          <w:rFonts w:ascii="Verdana" w:hAnsi="Verdana"/>
          <w:spacing w:val="-3"/>
          <w:sz w:val="20"/>
        </w:rPr>
        <w:t>a realización del bien común</w:t>
      </w:r>
      <w:r>
        <w:rPr>
          <w:rStyle w:val="Refdenotaalpie"/>
          <w:rFonts w:ascii="Courier New" w:hAnsi="Courier New" w:cs="Courier New"/>
          <w:spacing w:val="-3"/>
          <w:sz w:val="20"/>
          <w:lang w:val="es-ES_tradnl"/>
        </w:rPr>
        <w:footnoteReference w:id="28"/>
      </w:r>
      <w:r>
        <w:rPr>
          <w:rFonts w:ascii="Verdana" w:hAnsi="Verdana"/>
          <w:spacing w:val="-3"/>
          <w:sz w:val="20"/>
        </w:rPr>
        <w:t xml:space="preserve">. La persona humana pasa a vindicar sus propios derechos. Para esto también ha contribuido, en perspectiva histórica, la conceptualización del </w:t>
      </w:r>
      <w:r>
        <w:rPr>
          <w:rFonts w:ascii="Verdana" w:hAnsi="Verdana"/>
          <w:i/>
          <w:iCs/>
          <w:spacing w:val="-3"/>
          <w:sz w:val="20"/>
        </w:rPr>
        <w:t>derecho subjetivo</w:t>
      </w:r>
      <w:r>
        <w:rPr>
          <w:rFonts w:ascii="Verdana" w:hAnsi="Verdana"/>
          <w:spacing w:val="-3"/>
          <w:sz w:val="20"/>
        </w:rPr>
        <w:t xml:space="preserve">, de la cual me ocupé en mi Voto Concurrente en </w:t>
      </w:r>
      <w:smartTag w:uri="urn:schemas-microsoft-com:office:smarttags" w:element="PersonName">
        <w:smartTagPr>
          <w:attr w:name="ProductID" w:val="la Opini￳n Consultiva"/>
        </w:smartTagPr>
        <w:r>
          <w:rPr>
            <w:rFonts w:ascii="Verdana" w:hAnsi="Verdana"/>
            <w:spacing w:val="-3"/>
            <w:sz w:val="20"/>
          </w:rPr>
          <w:t>la Opinión Consulti</w:t>
        </w:r>
        <w:r>
          <w:rPr>
            <w:rFonts w:ascii="Verdana" w:hAnsi="Verdana"/>
            <w:spacing w:val="-3"/>
            <w:sz w:val="20"/>
          </w:rPr>
          <w:t>va</w:t>
        </w:r>
      </w:smartTag>
      <w:r>
        <w:rPr>
          <w:rFonts w:ascii="Verdana" w:hAnsi="Verdana"/>
          <w:spacing w:val="-3"/>
          <w:sz w:val="20"/>
        </w:rPr>
        <w:t xml:space="preserve"> n. 17 (del 28.08.2002) de esta Corte, sobre </w:t>
      </w:r>
      <w:smartTag w:uri="urn:schemas-microsoft-com:office:smarttags" w:element="PersonName">
        <w:smartTagPr>
          <w:attr w:name="ProductID" w:val="la Condici￳n Jur￭dica"/>
        </w:smartTagPr>
        <w:r>
          <w:rPr>
            <w:rFonts w:ascii="Verdana" w:hAnsi="Verdana"/>
            <w:spacing w:val="-3"/>
            <w:sz w:val="20"/>
          </w:rPr>
          <w:t xml:space="preserve">la </w:t>
        </w:r>
        <w:r>
          <w:rPr>
            <w:rFonts w:ascii="Verdana" w:hAnsi="Verdana"/>
            <w:i/>
            <w:iCs/>
            <w:spacing w:val="-3"/>
            <w:sz w:val="20"/>
          </w:rPr>
          <w:t>Condición Jurídica</w:t>
        </w:r>
      </w:smartTag>
      <w:r>
        <w:rPr>
          <w:rFonts w:ascii="Verdana" w:hAnsi="Verdana"/>
          <w:i/>
          <w:iCs/>
          <w:spacing w:val="-3"/>
          <w:sz w:val="20"/>
        </w:rPr>
        <w:t xml:space="preserve"> y Derechos Humanos del Niño</w:t>
      </w:r>
      <w:r>
        <w:rPr>
          <w:rFonts w:ascii="Verdana" w:hAnsi="Verdana"/>
          <w:spacing w:val="-3"/>
          <w:sz w:val="20"/>
        </w:rPr>
        <w:t xml:space="preserve">. Ahí ponderé que   </w:t>
      </w:r>
    </w:p>
    <w:p w:rsidR="00000000" w:rsidRDefault="00687F2E">
      <w:pPr>
        <w:jc w:val="both"/>
        <w:rPr>
          <w:rFonts w:ascii="Verdana" w:hAnsi="Verdana"/>
          <w:spacing w:val="-3"/>
          <w:sz w:val="20"/>
        </w:rPr>
      </w:pPr>
    </w:p>
    <w:p w:rsidR="00000000" w:rsidRDefault="00687F2E">
      <w:pPr>
        <w:ind w:left="720" w:right="720"/>
        <w:jc w:val="both"/>
        <w:rPr>
          <w:rFonts w:ascii="Verdana" w:hAnsi="Verdana"/>
          <w:spacing w:val="-3"/>
          <w:sz w:val="18"/>
        </w:rPr>
      </w:pPr>
      <w:r>
        <w:rPr>
          <w:rFonts w:ascii="Verdana" w:hAnsi="Verdana"/>
          <w:spacing w:val="-3"/>
          <w:sz w:val="18"/>
        </w:rPr>
        <w:tab/>
        <w:t xml:space="preserve">"(...) Cabe recordar, en el presente contexto, que la concepción de </w:t>
      </w:r>
      <w:r>
        <w:rPr>
          <w:rFonts w:ascii="Verdana" w:hAnsi="Verdana"/>
          <w:i/>
          <w:iCs/>
          <w:spacing w:val="-3"/>
          <w:sz w:val="18"/>
        </w:rPr>
        <w:t>derecho subjetivo</w:t>
      </w:r>
      <w:r>
        <w:rPr>
          <w:rFonts w:ascii="Verdana" w:hAnsi="Verdana"/>
          <w:spacing w:val="-3"/>
          <w:sz w:val="18"/>
        </w:rPr>
        <w:t xml:space="preserve"> individual tiene ya una amplia proyección histórica</w:t>
      </w:r>
      <w:r>
        <w:rPr>
          <w:rFonts w:ascii="Verdana" w:hAnsi="Verdana"/>
          <w:spacing w:val="-3"/>
          <w:sz w:val="18"/>
        </w:rPr>
        <w:t xml:space="preserve">, originada en particular en el pensamiento jusnaturalista en los siglos XVII y XVIII, y sistematizada en la doctrina jurídica a lo largo del siglo XIX. Sin embargo, en el siglo XIX e inicio del siglo XX, </w:t>
      </w:r>
      <w:r>
        <w:rPr>
          <w:rFonts w:ascii="Verdana" w:hAnsi="Verdana"/>
          <w:spacing w:val="-3"/>
          <w:sz w:val="18"/>
        </w:rPr>
        <w:tab/>
        <w:t xml:space="preserve">aquella concepción siguió enmarcada en el derecho </w:t>
      </w:r>
      <w:r>
        <w:rPr>
          <w:rFonts w:ascii="Verdana" w:hAnsi="Verdana"/>
          <w:spacing w:val="-3"/>
          <w:sz w:val="18"/>
        </w:rPr>
        <w:t>público interno, emanado del poder público, y bajo la influencia del positivismo jurídico</w:t>
      </w:r>
      <w:r>
        <w:rPr>
          <w:rStyle w:val="Refdenotaalpie"/>
          <w:rFonts w:ascii="Courier New" w:hAnsi="Courier New" w:cs="Courier New"/>
          <w:spacing w:val="-3"/>
          <w:sz w:val="18"/>
          <w:lang w:val="es-ES_tradnl"/>
        </w:rPr>
        <w:footnoteReference w:id="29"/>
      </w:r>
      <w:r>
        <w:rPr>
          <w:rFonts w:ascii="Verdana" w:hAnsi="Verdana"/>
          <w:spacing w:val="-3"/>
          <w:sz w:val="18"/>
        </w:rPr>
        <w:t xml:space="preserve">. El derecho subjetivo era concebido </w:t>
      </w:r>
      <w:r>
        <w:rPr>
          <w:rFonts w:ascii="Verdana" w:hAnsi="Verdana"/>
          <w:spacing w:val="-3"/>
          <w:sz w:val="18"/>
        </w:rPr>
        <w:tab/>
        <w:t>como la prerrogativa del individuo tal como definida por el ordenamiento jurídico en cuestión (el derecho objetivo)</w:t>
      </w:r>
      <w:r>
        <w:rPr>
          <w:rStyle w:val="Refdenotaalpie"/>
          <w:rFonts w:ascii="Courier New" w:hAnsi="Courier New" w:cs="Courier New"/>
          <w:spacing w:val="-3"/>
          <w:sz w:val="18"/>
          <w:lang w:val="es-ES_tradnl"/>
        </w:rPr>
        <w:footnoteReference w:id="30"/>
      </w:r>
      <w:r>
        <w:rPr>
          <w:rFonts w:ascii="Verdana" w:hAnsi="Verdana"/>
          <w:spacing w:val="-3"/>
          <w:sz w:val="18"/>
        </w:rPr>
        <w:t xml:space="preserve">.  </w:t>
      </w:r>
    </w:p>
    <w:p w:rsidR="00000000" w:rsidRDefault="00687F2E">
      <w:pPr>
        <w:ind w:left="720" w:right="720"/>
        <w:jc w:val="both"/>
        <w:rPr>
          <w:rFonts w:ascii="Verdana" w:hAnsi="Verdana"/>
          <w:spacing w:val="-3"/>
          <w:sz w:val="18"/>
        </w:rPr>
      </w:pPr>
      <w:r>
        <w:rPr>
          <w:rFonts w:ascii="Verdana" w:hAnsi="Verdana"/>
          <w:spacing w:val="-3"/>
          <w:sz w:val="18"/>
        </w:rPr>
        <w:tab/>
        <w:t>Sin emb</w:t>
      </w:r>
      <w:r>
        <w:rPr>
          <w:rFonts w:ascii="Verdana" w:hAnsi="Verdana"/>
          <w:spacing w:val="-3"/>
          <w:sz w:val="18"/>
        </w:rPr>
        <w:t xml:space="preserve">argo, no hay como negar que la cristalización del concepto de derecho subjetivo individual, y su sistematización, lograron al menos un avance hacia una mejor comprensión del individuo como </w:t>
      </w:r>
      <w:r>
        <w:rPr>
          <w:rFonts w:ascii="Verdana" w:hAnsi="Verdana"/>
          <w:i/>
          <w:iCs/>
          <w:spacing w:val="-3"/>
          <w:sz w:val="18"/>
        </w:rPr>
        <w:t>titular</w:t>
      </w:r>
      <w:r>
        <w:rPr>
          <w:rFonts w:ascii="Verdana" w:hAnsi="Verdana"/>
          <w:spacing w:val="-3"/>
          <w:sz w:val="18"/>
        </w:rPr>
        <w:t xml:space="preserve"> de derechos. Y tornaron posible, con el surgimiento de los </w:t>
      </w:r>
      <w:r>
        <w:rPr>
          <w:rFonts w:ascii="Verdana" w:hAnsi="Verdana"/>
          <w:spacing w:val="-3"/>
          <w:sz w:val="18"/>
        </w:rPr>
        <w:t>derechos humanos a nivel internacional, la gradual superación del derecho positivo. A mediados del siglo XX, quedaba clara la imposibilidad de la evolución del propio Derecho sin el derecho subjetivo individual, expresión de un verdadero `derecho humano'</w:t>
      </w:r>
      <w:r>
        <w:rPr>
          <w:rStyle w:val="Refdenotaalpie"/>
          <w:rFonts w:ascii="Courier New" w:hAnsi="Courier New" w:cs="Courier New"/>
          <w:spacing w:val="-3"/>
          <w:sz w:val="18"/>
          <w:lang w:val="es-ES_tradnl"/>
        </w:rPr>
        <w:footnoteReference w:id="31"/>
      </w:r>
      <w:r>
        <w:rPr>
          <w:rFonts w:ascii="Verdana" w:hAnsi="Verdana"/>
          <w:spacing w:val="-3"/>
          <w:sz w:val="18"/>
        </w:rPr>
        <w:t>.</w:t>
      </w:r>
      <w:r>
        <w:rPr>
          <w:rFonts w:ascii="Verdana" w:hAnsi="Verdana"/>
          <w:spacing w:val="-3"/>
          <w:sz w:val="18"/>
        </w:rPr>
        <w:t xml:space="preserve"> (...) </w:t>
      </w:r>
    </w:p>
    <w:p w:rsidR="00000000" w:rsidRDefault="00687F2E">
      <w:pPr>
        <w:ind w:left="720" w:right="720"/>
        <w:jc w:val="both"/>
        <w:rPr>
          <w:rFonts w:ascii="Verdana" w:hAnsi="Verdana"/>
          <w:spacing w:val="-3"/>
          <w:sz w:val="18"/>
        </w:rPr>
      </w:pPr>
      <w:r>
        <w:rPr>
          <w:rFonts w:ascii="Verdana" w:hAnsi="Verdana"/>
          <w:spacing w:val="-3"/>
          <w:sz w:val="18"/>
        </w:rPr>
        <w:lastRenderedPageBreak/>
        <w:tab/>
        <w:t xml:space="preserve">La emergencia de los derechos humanos universales, a partir de la proclamación de </w:t>
      </w:r>
      <w:smartTag w:uri="urn:schemas-microsoft-com:office:smarttags" w:element="PersonName">
        <w:smartTagPr>
          <w:attr w:name="ProductID" w:val="la Declaraci￳n Universal"/>
        </w:smartTagPr>
        <w:r>
          <w:rPr>
            <w:rFonts w:ascii="Verdana" w:hAnsi="Verdana"/>
            <w:spacing w:val="-3"/>
            <w:sz w:val="18"/>
          </w:rPr>
          <w:t>la Declaración Universal</w:t>
        </w:r>
      </w:smartTag>
      <w:r>
        <w:rPr>
          <w:rFonts w:ascii="Verdana" w:hAnsi="Verdana"/>
          <w:spacing w:val="-3"/>
          <w:sz w:val="18"/>
        </w:rPr>
        <w:t xml:space="preserve"> de 1948, vino a ampliar considerablemente el horizonte de la doctrina jurídica contemporánea, desvendando las insuficiencias de la conceptua</w:t>
      </w:r>
      <w:r>
        <w:rPr>
          <w:rFonts w:ascii="Verdana" w:hAnsi="Verdana"/>
          <w:spacing w:val="-3"/>
          <w:sz w:val="18"/>
        </w:rPr>
        <w:t xml:space="preserve">lización tradicional del </w:t>
      </w:r>
      <w:r>
        <w:rPr>
          <w:rFonts w:ascii="Verdana" w:hAnsi="Verdana"/>
          <w:spacing w:val="-3"/>
          <w:sz w:val="18"/>
        </w:rPr>
        <w:tab/>
        <w:t>derecho subjetivo. Las necesidades apremiantes de protección del ser humano en mucho fomentaron ese desarrollo. Los derechos humanos universales, superiores y anteriores al Estado y a cualquier forma de organización político-socia</w:t>
      </w:r>
      <w:r>
        <w:rPr>
          <w:rFonts w:ascii="Verdana" w:hAnsi="Verdana"/>
          <w:spacing w:val="-3"/>
          <w:sz w:val="18"/>
        </w:rPr>
        <w:t xml:space="preserve">l, e inherentes al ser humano, afirmáronse como oponibles al propio poder público. </w:t>
      </w:r>
    </w:p>
    <w:p w:rsidR="00000000" w:rsidRDefault="00687F2E">
      <w:pPr>
        <w:ind w:left="720" w:right="720"/>
        <w:jc w:val="both"/>
        <w:rPr>
          <w:rFonts w:ascii="Verdana" w:hAnsi="Verdana"/>
          <w:spacing w:val="-3"/>
          <w:sz w:val="18"/>
        </w:rPr>
      </w:pPr>
      <w:r>
        <w:rPr>
          <w:rFonts w:ascii="Verdana" w:hAnsi="Verdana"/>
          <w:spacing w:val="-3"/>
          <w:sz w:val="18"/>
        </w:rPr>
        <w:tab/>
        <w:t xml:space="preserve">La personalidad jurídica internacional del ser humano se </w:t>
      </w:r>
      <w:r>
        <w:rPr>
          <w:rFonts w:ascii="Verdana" w:hAnsi="Verdana"/>
          <w:spacing w:val="-3"/>
          <w:sz w:val="18"/>
        </w:rPr>
        <w:tab/>
        <w:t>cristalizaba como un límite al arbitrio del poder estatal. Los derechos humanos liberaron la concepción del derec</w:t>
      </w:r>
      <w:r>
        <w:rPr>
          <w:rFonts w:ascii="Verdana" w:hAnsi="Verdana"/>
          <w:spacing w:val="-3"/>
          <w:sz w:val="18"/>
        </w:rPr>
        <w:t>ho subjetivo de las amarras del positivismo jurídico. Si, por un lado, la categoría jurídica de la personalidad jurídica internacional del ser humano contribuyó a instrumentalizar la reivindicación de los derechos de la persona humana, emanados del Derecho</w:t>
      </w:r>
      <w:r>
        <w:rPr>
          <w:rFonts w:ascii="Verdana" w:hAnsi="Verdana"/>
          <w:spacing w:val="-3"/>
          <w:sz w:val="18"/>
        </w:rPr>
        <w:t xml:space="preserve"> Internacional, - por otro lado el </w:t>
      </w:r>
      <w:r>
        <w:rPr>
          <w:rFonts w:ascii="Verdana" w:hAnsi="Verdana"/>
          <w:i/>
          <w:iCs/>
          <w:spacing w:val="-3"/>
          <w:sz w:val="18"/>
        </w:rPr>
        <w:t>corpus juris</w:t>
      </w:r>
      <w:r>
        <w:rPr>
          <w:rFonts w:ascii="Verdana" w:hAnsi="Verdana"/>
          <w:spacing w:val="-3"/>
          <w:sz w:val="18"/>
        </w:rPr>
        <w:t xml:space="preserve"> de los derechos humanos universales proporcionó a la personalidad jurídica del individuo una dimensión mucho más amplia, ya no más condicionada al derecho emanado del poder público estatal" (párrs. 46-47 y 49</w:t>
      </w:r>
      <w:r>
        <w:rPr>
          <w:rFonts w:ascii="Verdana" w:hAnsi="Verdana"/>
          <w:spacing w:val="-3"/>
          <w:sz w:val="18"/>
        </w:rPr>
        <w:t>-50).</w:t>
      </w:r>
      <w:r>
        <w:rPr>
          <w:rFonts w:ascii="Verdana" w:hAnsi="Verdana"/>
          <w:spacing w:val="-3"/>
          <w:sz w:val="18"/>
        </w:rPr>
        <w:tab/>
      </w:r>
    </w:p>
    <w:p w:rsidR="00000000" w:rsidRDefault="00687F2E">
      <w:pPr>
        <w:jc w:val="both"/>
        <w:rPr>
          <w:rFonts w:ascii="Verdana" w:hAnsi="Verdana"/>
          <w:spacing w:val="-3"/>
          <w:sz w:val="20"/>
        </w:rPr>
      </w:pPr>
    </w:p>
    <w:p w:rsidR="00000000" w:rsidRDefault="00687F2E">
      <w:pPr>
        <w:jc w:val="both"/>
        <w:rPr>
          <w:rFonts w:ascii="Verdana" w:hAnsi="Verdana"/>
          <w:spacing w:val="-3"/>
          <w:sz w:val="20"/>
        </w:rPr>
      </w:pPr>
      <w:r>
        <w:rPr>
          <w:rFonts w:ascii="Verdana" w:hAnsi="Verdana"/>
          <w:spacing w:val="-3"/>
          <w:sz w:val="20"/>
        </w:rPr>
        <w:t>26.</w:t>
      </w:r>
      <w:r>
        <w:rPr>
          <w:rFonts w:ascii="Verdana" w:hAnsi="Verdana"/>
          <w:spacing w:val="-3"/>
          <w:sz w:val="20"/>
        </w:rPr>
        <w:tab/>
        <w:t xml:space="preserve">Como me permití sostener, anteriormente, en mi Voto Concurrente en la histórica Opinión Consultiva n. 16 de </w:t>
      </w:r>
      <w:smartTag w:uri="urn:schemas-microsoft-com:office:smarttags" w:element="PersonName">
        <w:smartTagPr>
          <w:attr w:name="ProductID" w:val="la Corte Interamericana"/>
        </w:smartTagPr>
        <w:r>
          <w:rPr>
            <w:rFonts w:ascii="Verdana" w:hAnsi="Verdana"/>
            <w:spacing w:val="-3"/>
            <w:sz w:val="20"/>
          </w:rPr>
          <w:t>la Corte Interamericana</w:t>
        </w:r>
      </w:smartTag>
      <w:r>
        <w:rPr>
          <w:rFonts w:ascii="Verdana" w:hAnsi="Verdana"/>
          <w:spacing w:val="-3"/>
          <w:sz w:val="20"/>
        </w:rPr>
        <w:t xml:space="preserve"> de Derechos Humanos sobre el </w:t>
      </w:r>
      <w:r>
        <w:rPr>
          <w:rFonts w:ascii="Verdana" w:hAnsi="Verdana"/>
          <w:i/>
          <w:iCs/>
          <w:spacing w:val="-3"/>
          <w:sz w:val="20"/>
        </w:rPr>
        <w:t xml:space="preserve">Derecho a </w:t>
      </w:r>
      <w:smartTag w:uri="urn:schemas-microsoft-com:office:smarttags" w:element="PersonName">
        <w:smartTagPr>
          <w:attr w:name="ProductID" w:val="la Informaci￳n"/>
        </w:smartTagPr>
        <w:r>
          <w:rPr>
            <w:rFonts w:ascii="Verdana" w:hAnsi="Verdana"/>
            <w:i/>
            <w:iCs/>
            <w:spacing w:val="-3"/>
            <w:sz w:val="20"/>
          </w:rPr>
          <w:t>la Información</w:t>
        </w:r>
      </w:smartTag>
      <w:r>
        <w:rPr>
          <w:rFonts w:ascii="Verdana" w:hAnsi="Verdana"/>
          <w:i/>
          <w:iCs/>
          <w:spacing w:val="-3"/>
          <w:sz w:val="20"/>
        </w:rPr>
        <w:t xml:space="preserve"> sobre </w:t>
      </w:r>
      <w:smartTag w:uri="urn:schemas-microsoft-com:office:smarttags" w:element="PersonName">
        <w:smartTagPr>
          <w:attr w:name="ProductID" w:val="la  Asistencia Consular"/>
        </w:smartTagPr>
        <w:r>
          <w:rPr>
            <w:rFonts w:ascii="Verdana" w:hAnsi="Verdana"/>
            <w:i/>
            <w:iCs/>
            <w:spacing w:val="-3"/>
            <w:sz w:val="20"/>
          </w:rPr>
          <w:t>la  Asistencia Consular</w:t>
        </w:r>
      </w:smartTag>
      <w:r>
        <w:rPr>
          <w:rFonts w:ascii="Verdana" w:hAnsi="Verdana"/>
          <w:i/>
          <w:iCs/>
          <w:spacing w:val="-3"/>
          <w:sz w:val="20"/>
        </w:rPr>
        <w:t xml:space="preserve"> en el Ámbito de las Garantía</w:t>
      </w:r>
      <w:r>
        <w:rPr>
          <w:rFonts w:ascii="Verdana" w:hAnsi="Verdana"/>
          <w:i/>
          <w:iCs/>
          <w:spacing w:val="-3"/>
          <w:sz w:val="20"/>
        </w:rPr>
        <w:t>s del Debido Proceso Legal</w:t>
      </w:r>
      <w:r>
        <w:rPr>
          <w:rFonts w:ascii="Verdana" w:hAnsi="Verdana"/>
          <w:spacing w:val="-3"/>
          <w:sz w:val="20"/>
        </w:rPr>
        <w:t xml:space="preserve"> (del 01.10.1999), actualmente testimoniamos </w:t>
      </w:r>
    </w:p>
    <w:p w:rsidR="00000000" w:rsidRDefault="00687F2E">
      <w:pPr>
        <w:jc w:val="both"/>
        <w:rPr>
          <w:rFonts w:ascii="Verdana" w:hAnsi="Verdana"/>
          <w:spacing w:val="-3"/>
          <w:sz w:val="20"/>
        </w:rPr>
      </w:pPr>
    </w:p>
    <w:p w:rsidR="00000000" w:rsidRDefault="00687F2E">
      <w:pPr>
        <w:ind w:left="720" w:right="720"/>
        <w:jc w:val="both"/>
        <w:rPr>
          <w:rFonts w:ascii="Verdana" w:hAnsi="Verdana"/>
          <w:spacing w:val="-3"/>
          <w:sz w:val="18"/>
        </w:rPr>
      </w:pPr>
      <w:r>
        <w:rPr>
          <w:rFonts w:ascii="Verdana" w:hAnsi="Verdana"/>
          <w:spacing w:val="-3"/>
          <w:sz w:val="18"/>
        </w:rPr>
        <w:tab/>
        <w:t xml:space="preserve">"el proceso de </w:t>
      </w:r>
      <w:r>
        <w:rPr>
          <w:rFonts w:ascii="Verdana" w:hAnsi="Verdana"/>
          <w:i/>
          <w:iCs/>
          <w:spacing w:val="-3"/>
          <w:sz w:val="18"/>
        </w:rPr>
        <w:t>humanización</w:t>
      </w:r>
      <w:r>
        <w:rPr>
          <w:rFonts w:ascii="Verdana" w:hAnsi="Verdana"/>
          <w:spacing w:val="-3"/>
          <w:sz w:val="18"/>
        </w:rPr>
        <w:t xml:space="preserve"> del derecho internacional, que hoy alcanza también este aspecto de las relaciones consulares. En la confluencia de estas con los derechos humanos, se ha c</w:t>
      </w:r>
      <w:r>
        <w:rPr>
          <w:rFonts w:ascii="Verdana" w:hAnsi="Verdana"/>
          <w:spacing w:val="-3"/>
          <w:sz w:val="18"/>
        </w:rPr>
        <w:t>ristalizado el derecho individual subjetivo a la información sobre la asistencia consular, de que son titulares todos los seres humanos que se vean en necesidad de ejercerlo: dicho derecho individual, situado en el universo conceptual de los derechos human</w:t>
      </w:r>
      <w:r>
        <w:rPr>
          <w:rFonts w:ascii="Verdana" w:hAnsi="Verdana"/>
          <w:spacing w:val="-3"/>
          <w:sz w:val="18"/>
        </w:rPr>
        <w:t>os, es hoy respaldado tanto por el derecho internacional convencional como por el derecho internacional consuetudinario" (párr. 35).</w:t>
      </w:r>
    </w:p>
    <w:p w:rsidR="00000000" w:rsidRDefault="00687F2E">
      <w:pPr>
        <w:jc w:val="both"/>
        <w:rPr>
          <w:rFonts w:ascii="Verdana" w:hAnsi="Verdana"/>
          <w:spacing w:val="-3"/>
          <w:sz w:val="20"/>
        </w:rPr>
      </w:pPr>
    </w:p>
    <w:p w:rsidR="00000000" w:rsidRDefault="00687F2E">
      <w:pPr>
        <w:jc w:val="both"/>
        <w:rPr>
          <w:rFonts w:ascii="Verdana" w:hAnsi="Verdana"/>
          <w:spacing w:val="-3"/>
          <w:sz w:val="20"/>
        </w:rPr>
      </w:pPr>
      <w:r>
        <w:rPr>
          <w:rFonts w:ascii="Verdana" w:hAnsi="Verdana"/>
          <w:spacing w:val="-3"/>
          <w:sz w:val="20"/>
        </w:rPr>
        <w:t>27.</w:t>
      </w:r>
      <w:r>
        <w:rPr>
          <w:rFonts w:ascii="Verdana" w:hAnsi="Verdana"/>
          <w:spacing w:val="-3"/>
          <w:sz w:val="20"/>
        </w:rPr>
        <w:tab/>
        <w:t>En otras ocasiones me ocupé del derecho subjetivo en determinados contextos</w:t>
      </w:r>
      <w:r>
        <w:rPr>
          <w:rStyle w:val="Refdenotaalpie"/>
          <w:rFonts w:cs="Courier New"/>
          <w:spacing w:val="-3"/>
          <w:sz w:val="20"/>
          <w:lang w:val="es-ES_tradnl"/>
        </w:rPr>
        <w:footnoteReference w:id="32"/>
      </w:r>
      <w:r>
        <w:rPr>
          <w:rFonts w:ascii="Verdana" w:hAnsi="Verdana"/>
          <w:spacing w:val="-3"/>
          <w:sz w:val="20"/>
        </w:rPr>
        <w:t>. La conceptualización de derecho subjetiv</w:t>
      </w:r>
      <w:r>
        <w:rPr>
          <w:rFonts w:ascii="Verdana" w:hAnsi="Verdana"/>
          <w:spacing w:val="-3"/>
          <w:sz w:val="20"/>
        </w:rPr>
        <w:t xml:space="preserve">o antecedió históricamente el surgimiento y la extraordinaria expansión del Derecho Internacional de los Derechos Humanos a lo largo de la segunda mitad del siglo XX y en esta primera década del siglo XXI. Con la emergencia y consolidación de este último, </w:t>
      </w:r>
      <w:r>
        <w:rPr>
          <w:rFonts w:ascii="Verdana" w:hAnsi="Verdana"/>
          <w:spacing w:val="-3"/>
          <w:sz w:val="20"/>
        </w:rPr>
        <w:t xml:space="preserve">se dio un paso decisivo hacia la emancipación definitiva de la persona humana frente a su propio Estado. </w:t>
      </w:r>
    </w:p>
    <w:p w:rsidR="00000000" w:rsidRDefault="00687F2E">
      <w:pPr>
        <w:jc w:val="both"/>
        <w:rPr>
          <w:rFonts w:ascii="Verdana" w:hAnsi="Verdana"/>
          <w:spacing w:val="-3"/>
          <w:sz w:val="20"/>
        </w:rPr>
      </w:pPr>
    </w:p>
    <w:p w:rsidR="00000000" w:rsidRDefault="00687F2E">
      <w:pPr>
        <w:jc w:val="both"/>
        <w:rPr>
          <w:rFonts w:ascii="Verdana" w:hAnsi="Verdana"/>
          <w:spacing w:val="-3"/>
          <w:sz w:val="20"/>
        </w:rPr>
      </w:pPr>
      <w:r>
        <w:rPr>
          <w:rFonts w:ascii="Verdana" w:hAnsi="Verdana"/>
          <w:spacing w:val="-3"/>
          <w:sz w:val="20"/>
        </w:rPr>
        <w:t>28.</w:t>
      </w:r>
      <w:r>
        <w:rPr>
          <w:rFonts w:ascii="Verdana" w:hAnsi="Verdana"/>
          <w:spacing w:val="-3"/>
          <w:sz w:val="20"/>
        </w:rPr>
        <w:tab/>
        <w:t>Con esto, también se cristalizó la personalidad jurídica internacional de la persona humana, cuya conceptualización, a lo largo de las últimas dé</w:t>
      </w:r>
      <w:r>
        <w:rPr>
          <w:rFonts w:ascii="Verdana" w:hAnsi="Verdana"/>
          <w:spacing w:val="-3"/>
          <w:sz w:val="20"/>
        </w:rPr>
        <w:t xml:space="preserve">cadas, - directamente ligada al acceso directo de la persona humana a la justicia internacional, - abordé en mi Voto Concurrente en el caso </w:t>
      </w:r>
      <w:r>
        <w:rPr>
          <w:rFonts w:ascii="Verdana" w:hAnsi="Verdana"/>
          <w:i/>
          <w:iCs/>
          <w:spacing w:val="-3"/>
          <w:sz w:val="20"/>
        </w:rPr>
        <w:t>Cinco Pensionistas versus Perú</w:t>
      </w:r>
      <w:r>
        <w:rPr>
          <w:rFonts w:ascii="Verdana" w:hAnsi="Verdana"/>
          <w:spacing w:val="-3"/>
          <w:sz w:val="20"/>
        </w:rPr>
        <w:t xml:space="preserve"> (Reparaciones, Sentencia del 28.02.2003), así como en mis Votos Razonados en los caso</w:t>
      </w:r>
      <w:r>
        <w:rPr>
          <w:rFonts w:ascii="Verdana" w:hAnsi="Verdana"/>
          <w:spacing w:val="-3"/>
          <w:sz w:val="20"/>
        </w:rPr>
        <w:t xml:space="preserve">s </w:t>
      </w:r>
      <w:r>
        <w:rPr>
          <w:rFonts w:ascii="Verdana" w:hAnsi="Verdana"/>
          <w:i/>
          <w:iCs/>
          <w:spacing w:val="-3"/>
          <w:sz w:val="20"/>
        </w:rPr>
        <w:t>Yatama versus Nicaragua</w:t>
      </w:r>
      <w:r>
        <w:rPr>
          <w:rFonts w:ascii="Verdana" w:hAnsi="Verdana"/>
          <w:spacing w:val="-3"/>
          <w:sz w:val="20"/>
        </w:rPr>
        <w:t xml:space="preserve">, y </w:t>
      </w:r>
      <w:r>
        <w:rPr>
          <w:rFonts w:ascii="Verdana" w:hAnsi="Verdana"/>
          <w:i/>
          <w:iCs/>
          <w:spacing w:val="-3"/>
          <w:sz w:val="20"/>
        </w:rPr>
        <w:t>Goiburú y Otros versus Paraguay</w:t>
      </w:r>
      <w:r>
        <w:rPr>
          <w:rFonts w:ascii="Verdana" w:hAnsi="Verdana"/>
          <w:spacing w:val="-3"/>
          <w:sz w:val="20"/>
        </w:rPr>
        <w:t xml:space="preserve"> (Sentencias de 23.06.2005 y 22.09.2006, respectivamente), y también en el caso de los </w:t>
      </w:r>
      <w:r>
        <w:rPr>
          <w:rFonts w:ascii="Verdana" w:hAnsi="Verdana"/>
          <w:i/>
          <w:iCs/>
          <w:spacing w:val="-3"/>
          <w:sz w:val="20"/>
        </w:rPr>
        <w:t>Integrantes del Equipo de Estudios Comunitarios y Acción Psicosocial - ECAP</w:t>
      </w:r>
      <w:r>
        <w:rPr>
          <w:rFonts w:ascii="Verdana" w:hAnsi="Verdana"/>
          <w:spacing w:val="-3"/>
          <w:sz w:val="20"/>
        </w:rPr>
        <w:t xml:space="preserve"> (caso de </w:t>
      </w:r>
      <w:smartTag w:uri="urn:schemas-microsoft-com:office:smarttags" w:element="PersonName">
        <w:smartTagPr>
          <w:attr w:name="ProductID" w:val="la Masacre"/>
        </w:smartTagPr>
        <w:r>
          <w:rPr>
            <w:rFonts w:ascii="Verdana" w:hAnsi="Verdana"/>
            <w:spacing w:val="-3"/>
            <w:sz w:val="20"/>
          </w:rPr>
          <w:t xml:space="preserve">la </w:t>
        </w:r>
        <w:r>
          <w:rPr>
            <w:rFonts w:ascii="Verdana" w:hAnsi="Verdana"/>
            <w:i/>
            <w:iCs/>
            <w:spacing w:val="-3"/>
            <w:sz w:val="20"/>
          </w:rPr>
          <w:t>Masacre</w:t>
        </w:r>
      </w:smartTag>
      <w:r>
        <w:rPr>
          <w:rFonts w:ascii="Verdana" w:hAnsi="Verdana"/>
          <w:i/>
          <w:iCs/>
          <w:spacing w:val="-3"/>
          <w:sz w:val="20"/>
        </w:rPr>
        <w:t xml:space="preserve"> de Plan de Sá</w:t>
      </w:r>
      <w:r>
        <w:rPr>
          <w:rFonts w:ascii="Verdana" w:hAnsi="Verdana"/>
          <w:i/>
          <w:iCs/>
          <w:spacing w:val="-3"/>
          <w:sz w:val="20"/>
        </w:rPr>
        <w:t>nchez versus Guatemala</w:t>
      </w:r>
      <w:r>
        <w:rPr>
          <w:rFonts w:ascii="Verdana" w:hAnsi="Verdana"/>
          <w:spacing w:val="-3"/>
          <w:sz w:val="20"/>
        </w:rPr>
        <w:t xml:space="preserve">, Resolución </w:t>
      </w:r>
      <w:r>
        <w:rPr>
          <w:rFonts w:ascii="Verdana" w:hAnsi="Verdana"/>
          <w:spacing w:val="-3"/>
          <w:sz w:val="20"/>
        </w:rPr>
        <w:lastRenderedPageBreak/>
        <w:t>sobre Medidas Provisionales de Protección, del 29.11.2006)</w:t>
      </w:r>
      <w:r>
        <w:rPr>
          <w:rStyle w:val="Refdenotaalpie"/>
          <w:rFonts w:cs="Courier New"/>
          <w:spacing w:val="-3"/>
          <w:sz w:val="20"/>
          <w:lang w:val="es-ES_tradnl"/>
        </w:rPr>
        <w:footnoteReference w:id="33"/>
      </w:r>
      <w:r>
        <w:rPr>
          <w:rFonts w:ascii="Verdana" w:hAnsi="Verdana"/>
          <w:spacing w:val="-3"/>
          <w:sz w:val="20"/>
        </w:rPr>
        <w:t>.</w:t>
      </w:r>
    </w:p>
    <w:p w:rsidR="00000000" w:rsidRDefault="00687F2E">
      <w:pPr>
        <w:jc w:val="both"/>
        <w:rPr>
          <w:rFonts w:ascii="Verdana" w:hAnsi="Verdana"/>
          <w:spacing w:val="-3"/>
          <w:sz w:val="20"/>
        </w:rPr>
      </w:pPr>
      <w:r>
        <w:rPr>
          <w:rFonts w:ascii="Verdana" w:hAnsi="Verdana"/>
          <w:spacing w:val="-3"/>
          <w:sz w:val="20"/>
        </w:rPr>
        <w:t xml:space="preserve"> </w:t>
      </w:r>
    </w:p>
    <w:p w:rsidR="00000000" w:rsidRDefault="00687F2E">
      <w:pPr>
        <w:jc w:val="both"/>
        <w:rPr>
          <w:rFonts w:ascii="Verdana" w:hAnsi="Verdana"/>
          <w:b/>
          <w:bCs/>
          <w:spacing w:val="-3"/>
          <w:sz w:val="20"/>
        </w:rPr>
      </w:pPr>
      <w:r>
        <w:rPr>
          <w:rFonts w:ascii="Verdana" w:hAnsi="Verdana"/>
          <w:spacing w:val="-3"/>
          <w:sz w:val="20"/>
        </w:rPr>
        <w:tab/>
      </w:r>
      <w:r>
        <w:rPr>
          <w:rFonts w:ascii="Verdana" w:hAnsi="Verdana"/>
          <w:b/>
          <w:bCs/>
          <w:spacing w:val="-3"/>
          <w:sz w:val="20"/>
        </w:rPr>
        <w:t xml:space="preserve">4. </w:t>
      </w:r>
      <w:r>
        <w:rPr>
          <w:rFonts w:ascii="Verdana" w:hAnsi="Verdana"/>
          <w:b/>
          <w:bCs/>
          <w:spacing w:val="-3"/>
          <w:sz w:val="20"/>
        </w:rPr>
        <w:tab/>
        <w:t xml:space="preserve">Del Derecho Subjetivo a </w:t>
      </w:r>
      <w:smartTag w:uri="urn:schemas-microsoft-com:office:smarttags" w:element="PersonName">
        <w:smartTagPr>
          <w:attr w:name="ProductID" w:val="la Nueva Dimensi￳n"/>
        </w:smartTagPr>
        <w:r>
          <w:rPr>
            <w:rFonts w:ascii="Verdana" w:hAnsi="Verdana"/>
            <w:b/>
            <w:bCs/>
            <w:spacing w:val="-3"/>
            <w:sz w:val="20"/>
          </w:rPr>
          <w:t>la Nueva Dimensión</w:t>
        </w:r>
      </w:smartTag>
      <w:r>
        <w:rPr>
          <w:rFonts w:ascii="Verdana" w:hAnsi="Verdana"/>
          <w:b/>
          <w:bCs/>
          <w:spacing w:val="-3"/>
          <w:sz w:val="20"/>
        </w:rPr>
        <w:t xml:space="preserve"> de </w:t>
      </w:r>
      <w:smartTag w:uri="urn:schemas-microsoft-com:office:smarttags" w:element="PersonName">
        <w:smartTagPr>
          <w:attr w:name="ProductID" w:val="la Titularidad Jur￭dica"/>
        </w:smartTagPr>
        <w:r>
          <w:rPr>
            <w:rFonts w:ascii="Verdana" w:hAnsi="Verdana"/>
            <w:b/>
            <w:bCs/>
            <w:spacing w:val="-3"/>
            <w:sz w:val="20"/>
          </w:rPr>
          <w:t>la Titularidad Jurídica</w:t>
        </w:r>
      </w:smartTag>
      <w:r>
        <w:rPr>
          <w:rFonts w:ascii="Verdana" w:hAnsi="Verdana"/>
          <w:b/>
          <w:bCs/>
          <w:spacing w:val="-3"/>
          <w:sz w:val="20"/>
        </w:rPr>
        <w:t xml:space="preserve"> </w:t>
      </w:r>
      <w:r>
        <w:rPr>
          <w:rFonts w:ascii="Verdana" w:hAnsi="Verdana"/>
          <w:b/>
          <w:bCs/>
          <w:spacing w:val="-3"/>
          <w:sz w:val="20"/>
        </w:rPr>
        <w:tab/>
        <w:t>Internacional del Ser Humano.</w:t>
      </w:r>
    </w:p>
    <w:p w:rsidR="00000000" w:rsidRDefault="00687F2E">
      <w:pPr>
        <w:jc w:val="both"/>
        <w:rPr>
          <w:rFonts w:ascii="Verdana" w:hAnsi="Verdana"/>
          <w:spacing w:val="-3"/>
          <w:sz w:val="20"/>
        </w:rPr>
      </w:pPr>
    </w:p>
    <w:p w:rsidR="00000000" w:rsidRDefault="00687F2E">
      <w:pPr>
        <w:jc w:val="both"/>
        <w:rPr>
          <w:rFonts w:ascii="Verdana" w:hAnsi="Verdana"/>
          <w:spacing w:val="-3"/>
          <w:sz w:val="20"/>
        </w:rPr>
      </w:pPr>
      <w:r>
        <w:rPr>
          <w:rFonts w:ascii="Verdana" w:hAnsi="Verdana"/>
          <w:spacing w:val="-3"/>
          <w:sz w:val="20"/>
        </w:rPr>
        <w:t>29.</w:t>
      </w:r>
      <w:r>
        <w:rPr>
          <w:rFonts w:ascii="Verdana" w:hAnsi="Verdana"/>
          <w:spacing w:val="-3"/>
          <w:sz w:val="20"/>
        </w:rPr>
        <w:tab/>
        <w:t>La titularidad jurídica internacional del ser h</w:t>
      </w:r>
      <w:r>
        <w:rPr>
          <w:rFonts w:ascii="Verdana" w:hAnsi="Verdana"/>
          <w:spacing w:val="-3"/>
          <w:sz w:val="20"/>
        </w:rPr>
        <w:t>umano, tal como la anteveían los llamados "fundadores" del Derecho Internacional, es hoy día una realidad. En el ámbito del Derecho Internacional de los Derechos Humanos, en los sistemas europeo e interamericano de protección - dotados de tribunales intern</w:t>
      </w:r>
      <w:r>
        <w:rPr>
          <w:rFonts w:ascii="Verdana" w:hAnsi="Verdana"/>
          <w:spacing w:val="-3"/>
          <w:sz w:val="20"/>
        </w:rPr>
        <w:t>acionales en operación - hoy se reconoce, a la par de su personalidad jurídica, también la capacidad procesal internacional (</w:t>
      </w:r>
      <w:r>
        <w:rPr>
          <w:rFonts w:ascii="Verdana" w:hAnsi="Verdana"/>
          <w:i/>
          <w:iCs/>
          <w:spacing w:val="-3"/>
          <w:sz w:val="20"/>
        </w:rPr>
        <w:t>locus standi in judicio</w:t>
      </w:r>
      <w:r>
        <w:rPr>
          <w:rFonts w:ascii="Verdana" w:hAnsi="Verdana"/>
          <w:spacing w:val="-3"/>
          <w:sz w:val="20"/>
        </w:rPr>
        <w:t>) de los individuos. Es éste un desarrollo lógico, por cuanto no parece razonable concebir derechos en el pl</w:t>
      </w:r>
      <w:r>
        <w:rPr>
          <w:rFonts w:ascii="Verdana" w:hAnsi="Verdana"/>
          <w:spacing w:val="-3"/>
          <w:sz w:val="20"/>
        </w:rPr>
        <w:t>ano internacional sin la correspondiente capacidad procesal de vindicarlos; los individuos son efectivamente la verdadera parte demandante en el contencioso internacional de los derechos humanos. Sobre el derecho de petición individual internacional se eri</w:t>
      </w:r>
      <w:r>
        <w:rPr>
          <w:rFonts w:ascii="Verdana" w:hAnsi="Verdana"/>
          <w:spacing w:val="-3"/>
          <w:sz w:val="20"/>
        </w:rPr>
        <w:t xml:space="preserve">ge el mecanismo jurídico da </w:t>
      </w:r>
      <w:r>
        <w:rPr>
          <w:rFonts w:ascii="Verdana" w:hAnsi="Verdana"/>
          <w:i/>
          <w:iCs/>
          <w:spacing w:val="-3"/>
          <w:sz w:val="20"/>
        </w:rPr>
        <w:t>emancipación</w:t>
      </w:r>
      <w:r>
        <w:rPr>
          <w:rFonts w:ascii="Verdana" w:hAnsi="Verdana"/>
          <w:spacing w:val="-3"/>
          <w:sz w:val="20"/>
        </w:rPr>
        <w:t xml:space="preserve"> del ser humano </w:t>
      </w:r>
      <w:r>
        <w:rPr>
          <w:rFonts w:ascii="Verdana" w:hAnsi="Verdana"/>
          <w:i/>
          <w:iCs/>
          <w:spacing w:val="-3"/>
          <w:sz w:val="20"/>
        </w:rPr>
        <w:t>vis-à-vis</w:t>
      </w:r>
      <w:r>
        <w:rPr>
          <w:rFonts w:ascii="Verdana" w:hAnsi="Verdana"/>
          <w:spacing w:val="-3"/>
          <w:sz w:val="20"/>
        </w:rPr>
        <w:t xml:space="preserve"> el propio Estado para la protección de sus derechos en el ámbito del Derecho Internacional de los Derechos Humanos. </w:t>
      </w:r>
    </w:p>
    <w:p w:rsidR="00000000" w:rsidRDefault="00687F2E">
      <w:pPr>
        <w:jc w:val="both"/>
        <w:rPr>
          <w:rFonts w:ascii="Verdana" w:hAnsi="Verdana"/>
          <w:b/>
          <w:bCs/>
          <w:spacing w:val="-3"/>
          <w:sz w:val="20"/>
        </w:rPr>
      </w:pPr>
    </w:p>
    <w:p w:rsidR="00000000" w:rsidRDefault="00687F2E">
      <w:pPr>
        <w:jc w:val="both"/>
        <w:rPr>
          <w:rFonts w:ascii="Verdana" w:hAnsi="Verdana"/>
          <w:spacing w:val="-3"/>
          <w:sz w:val="20"/>
        </w:rPr>
      </w:pPr>
      <w:r>
        <w:rPr>
          <w:rFonts w:ascii="Verdana" w:hAnsi="Verdana"/>
          <w:spacing w:val="-3"/>
          <w:sz w:val="20"/>
        </w:rPr>
        <w:t>30.</w:t>
      </w:r>
      <w:r>
        <w:rPr>
          <w:rFonts w:ascii="Verdana" w:hAnsi="Verdana"/>
          <w:spacing w:val="-3"/>
          <w:sz w:val="20"/>
        </w:rPr>
        <w:tab/>
        <w:t xml:space="preserve">En la base de todo ese notable desarrollo se encuentra el principio </w:t>
      </w:r>
      <w:r>
        <w:rPr>
          <w:rFonts w:ascii="Verdana" w:hAnsi="Verdana"/>
          <w:spacing w:val="-3"/>
          <w:sz w:val="20"/>
        </w:rPr>
        <w:t xml:space="preserve">del </w:t>
      </w:r>
      <w:r>
        <w:rPr>
          <w:rFonts w:ascii="Verdana" w:hAnsi="Verdana"/>
          <w:i/>
          <w:iCs/>
          <w:spacing w:val="-3"/>
          <w:sz w:val="20"/>
        </w:rPr>
        <w:t>respeto a la dignidad de la persona humana</w:t>
      </w:r>
      <w:r>
        <w:rPr>
          <w:rFonts w:ascii="Verdana" w:hAnsi="Verdana"/>
          <w:spacing w:val="-3"/>
          <w:sz w:val="20"/>
        </w:rPr>
        <w:t>, independientemente de su condición existencial. En virtud de ese principio, todo ser humano, independientemente de la situación y de las circunstancias en que se encuentre, tiene derecho a la dignidad</w:t>
      </w:r>
      <w:r>
        <w:rPr>
          <w:rStyle w:val="Refdenotaalpie"/>
          <w:rFonts w:cs="Courier New"/>
          <w:spacing w:val="-3"/>
          <w:sz w:val="20"/>
          <w:lang w:val="es-ES_tradnl"/>
        </w:rPr>
        <w:footnoteReference w:id="34"/>
      </w:r>
      <w:r>
        <w:rPr>
          <w:rFonts w:ascii="Verdana" w:hAnsi="Verdana"/>
          <w:spacing w:val="-3"/>
          <w:sz w:val="20"/>
        </w:rPr>
        <w:t xml:space="preserve">. Todo </w:t>
      </w:r>
      <w:r>
        <w:rPr>
          <w:rFonts w:ascii="Verdana" w:hAnsi="Verdana"/>
          <w:spacing w:val="-3"/>
          <w:sz w:val="20"/>
        </w:rPr>
        <w:t>el extraordinario desarrollo de la doctrina jusinternacionalista al respecto, a lo largo del siglo XX, encuentra raíces, - como no podría dejar de ser, - en algunas reflexiones del pasado, en el pensamiento jurídico así como filosófico</w:t>
      </w:r>
      <w:r>
        <w:rPr>
          <w:rStyle w:val="Refdenotaalpie"/>
          <w:rFonts w:cs="Courier New"/>
          <w:spacing w:val="-3"/>
          <w:sz w:val="20"/>
          <w:lang w:val="es-ES_tradnl"/>
        </w:rPr>
        <w:footnoteReference w:id="35"/>
      </w:r>
      <w:r>
        <w:rPr>
          <w:rFonts w:ascii="Verdana" w:hAnsi="Verdana"/>
          <w:spacing w:val="-3"/>
          <w:sz w:val="20"/>
        </w:rPr>
        <w:t xml:space="preserve">, - a ejemplo, </w:t>
      </w:r>
      <w:r>
        <w:rPr>
          <w:rFonts w:ascii="Verdana" w:hAnsi="Verdana"/>
          <w:i/>
          <w:iCs/>
          <w:spacing w:val="-3"/>
          <w:sz w:val="20"/>
        </w:rPr>
        <w:t>inter</w:t>
      </w:r>
      <w:r>
        <w:rPr>
          <w:rFonts w:ascii="Verdana" w:hAnsi="Verdana"/>
          <w:i/>
          <w:iCs/>
          <w:spacing w:val="-3"/>
          <w:sz w:val="20"/>
        </w:rPr>
        <w:t xml:space="preserve"> alia</w:t>
      </w:r>
      <w:r>
        <w:rPr>
          <w:rFonts w:ascii="Verdana" w:hAnsi="Verdana"/>
          <w:spacing w:val="-3"/>
          <w:sz w:val="20"/>
        </w:rPr>
        <w:t>, de la célebre concepción kantiana de la persona humana como un fin en si misma</w:t>
      </w:r>
      <w:r>
        <w:rPr>
          <w:rStyle w:val="Refdenotaalpie"/>
          <w:rFonts w:cs="Courier New"/>
          <w:spacing w:val="-3"/>
          <w:sz w:val="20"/>
          <w:lang w:val="es-ES_tradnl"/>
        </w:rPr>
        <w:footnoteReference w:id="36"/>
      </w:r>
      <w:r>
        <w:rPr>
          <w:rFonts w:ascii="Verdana" w:hAnsi="Verdana"/>
          <w:spacing w:val="-3"/>
          <w:sz w:val="20"/>
        </w:rPr>
        <w:t>. Esto es inevitable, por cuanto refleja el proceso de maduración y refinamiento del propio espíritu humano, que torna posibles los avances en la propia condición humana</w:t>
      </w:r>
      <w:r>
        <w:rPr>
          <w:rStyle w:val="Refdenotaalpie"/>
          <w:rFonts w:cs="Courier New"/>
          <w:spacing w:val="-3"/>
          <w:sz w:val="20"/>
          <w:lang w:val="es-ES_tradnl"/>
        </w:rPr>
        <w:footnoteReference w:id="37"/>
      </w:r>
      <w:r>
        <w:rPr>
          <w:rFonts w:ascii="Verdana" w:hAnsi="Verdana"/>
          <w:spacing w:val="-3"/>
          <w:sz w:val="20"/>
        </w:rPr>
        <w:t>.</w:t>
      </w:r>
    </w:p>
    <w:p w:rsidR="00000000" w:rsidRDefault="00687F2E">
      <w:pPr>
        <w:jc w:val="both"/>
        <w:rPr>
          <w:rFonts w:ascii="Verdana" w:hAnsi="Verdana"/>
          <w:spacing w:val="-3"/>
          <w:sz w:val="20"/>
        </w:rPr>
      </w:pPr>
    </w:p>
    <w:p w:rsidR="00000000" w:rsidRDefault="00687F2E">
      <w:pPr>
        <w:jc w:val="both"/>
        <w:rPr>
          <w:rFonts w:ascii="Verdana" w:hAnsi="Verdana"/>
          <w:spacing w:val="-3"/>
          <w:sz w:val="20"/>
        </w:rPr>
      </w:pPr>
      <w:r>
        <w:rPr>
          <w:rFonts w:ascii="Verdana" w:hAnsi="Verdana"/>
          <w:spacing w:val="-3"/>
          <w:sz w:val="20"/>
        </w:rPr>
        <w:t>31.</w:t>
      </w:r>
      <w:r>
        <w:rPr>
          <w:rFonts w:ascii="Verdana" w:hAnsi="Verdana"/>
          <w:spacing w:val="-3"/>
          <w:sz w:val="20"/>
        </w:rPr>
        <w:tab/>
        <w:t>En efecto, no hay cómo disociar el reconocimiento de la personalidad jurídica internacional del individuo de la propia dignidad de la persona humana. En una dimensión más amplia, la persona humana se configura como el ente que encierra su fin suprem</w:t>
      </w:r>
      <w:r>
        <w:rPr>
          <w:rFonts w:ascii="Verdana" w:hAnsi="Verdana"/>
          <w:spacing w:val="-3"/>
          <w:sz w:val="20"/>
        </w:rPr>
        <w:t xml:space="preserve">o dentro de si misma, y que lo cumple a lo largo del camino de su vida, bajo su propia responsabilidad. Efectivamente, es la persona humana, esencialmente dotada de dignidad, la que articula, </w:t>
      </w:r>
      <w:r>
        <w:rPr>
          <w:rFonts w:ascii="Verdana" w:hAnsi="Verdana"/>
          <w:spacing w:val="-3"/>
          <w:sz w:val="20"/>
        </w:rPr>
        <w:lastRenderedPageBreak/>
        <w:t>expresa e introduce el "deber ser" de los valores en el mundo de</w:t>
      </w:r>
      <w:r>
        <w:rPr>
          <w:rFonts w:ascii="Verdana" w:hAnsi="Verdana"/>
          <w:spacing w:val="-3"/>
          <w:sz w:val="20"/>
        </w:rPr>
        <w:t xml:space="preserve"> la realidad en que vive, y sólo ella es capaz de eso, como portadora de tales valores éticos. La personalidad jurídica, a su vez, se manifiesta como categoría jurídica en el mundo del Derecho, como expresión unitaria de la aptitud de la persona humana par</w:t>
      </w:r>
      <w:r>
        <w:rPr>
          <w:rFonts w:ascii="Verdana" w:hAnsi="Verdana"/>
          <w:spacing w:val="-3"/>
          <w:sz w:val="20"/>
        </w:rPr>
        <w:t>a ser titular de derechos y deberes en el plano del comportamiento y de las relaciones humanas reglamentadas</w:t>
      </w:r>
      <w:r>
        <w:rPr>
          <w:rStyle w:val="Refdenotaalpie"/>
          <w:rFonts w:cs="Courier New"/>
          <w:spacing w:val="-3"/>
          <w:sz w:val="20"/>
          <w:lang w:val="es-ES_tradnl"/>
        </w:rPr>
        <w:footnoteReference w:id="38"/>
      </w:r>
      <w:r>
        <w:rPr>
          <w:rFonts w:ascii="Verdana" w:hAnsi="Verdana"/>
          <w:spacing w:val="-3"/>
          <w:sz w:val="20"/>
        </w:rPr>
        <w:t>.</w:t>
      </w:r>
    </w:p>
    <w:p w:rsidR="00000000" w:rsidRDefault="00687F2E">
      <w:pPr>
        <w:jc w:val="both"/>
        <w:rPr>
          <w:rFonts w:ascii="Verdana" w:hAnsi="Verdana"/>
          <w:spacing w:val="-3"/>
          <w:sz w:val="20"/>
        </w:rPr>
      </w:pPr>
    </w:p>
    <w:p w:rsidR="00000000" w:rsidRDefault="00687F2E">
      <w:pPr>
        <w:jc w:val="both"/>
        <w:rPr>
          <w:rFonts w:ascii="Verdana" w:hAnsi="Verdana"/>
          <w:spacing w:val="-3"/>
          <w:sz w:val="20"/>
        </w:rPr>
      </w:pPr>
      <w:r>
        <w:rPr>
          <w:rFonts w:ascii="Verdana" w:hAnsi="Verdana"/>
          <w:spacing w:val="-3"/>
          <w:sz w:val="20"/>
        </w:rPr>
        <w:t>32.</w:t>
      </w:r>
      <w:r>
        <w:rPr>
          <w:rFonts w:ascii="Verdana" w:hAnsi="Verdana"/>
          <w:spacing w:val="-3"/>
          <w:sz w:val="20"/>
        </w:rPr>
        <w:tab/>
        <w:t xml:space="preserve">La emergencia de los derechos humanos universales, a partir de la proclamación de </w:t>
      </w:r>
      <w:smartTag w:uri="urn:schemas-microsoft-com:office:smarttags" w:element="PersonName">
        <w:smartTagPr>
          <w:attr w:name="ProductID" w:val="la Declaraci￳n Universal"/>
        </w:smartTagPr>
        <w:r>
          <w:rPr>
            <w:rFonts w:ascii="Verdana" w:hAnsi="Verdana"/>
            <w:spacing w:val="-3"/>
            <w:sz w:val="20"/>
          </w:rPr>
          <w:t>la Declaración Universal</w:t>
        </w:r>
      </w:smartTag>
      <w:r>
        <w:rPr>
          <w:rFonts w:ascii="Verdana" w:hAnsi="Verdana"/>
          <w:spacing w:val="-3"/>
          <w:sz w:val="20"/>
        </w:rPr>
        <w:t xml:space="preserve"> de 1948, vino ampliar considerabl</w:t>
      </w:r>
      <w:r>
        <w:rPr>
          <w:rFonts w:ascii="Verdana" w:hAnsi="Verdana"/>
          <w:spacing w:val="-3"/>
          <w:sz w:val="20"/>
        </w:rPr>
        <w:t>emente el horizonte de la doctrina jurídica contemporánea, revelando las insuficiencias de la conceptualización tradicional del derecho subjetivo. Las necesidades apremiantes de protección del ser humano en mucho fomentaron ese desarrollo. Los derechos hum</w:t>
      </w:r>
      <w:r>
        <w:rPr>
          <w:rFonts w:ascii="Verdana" w:hAnsi="Verdana"/>
          <w:spacing w:val="-3"/>
          <w:sz w:val="20"/>
        </w:rPr>
        <w:t xml:space="preserve">anos universales, superiores y anteriores al Estado y a cualquier forma de organización político-social, e inherentes al ser humano, se afirmaron como oponibles al propio poder público. </w:t>
      </w:r>
    </w:p>
    <w:p w:rsidR="00000000" w:rsidRDefault="00687F2E">
      <w:pPr>
        <w:jc w:val="both"/>
        <w:rPr>
          <w:rFonts w:ascii="Verdana" w:hAnsi="Verdana"/>
          <w:spacing w:val="-3"/>
          <w:sz w:val="20"/>
        </w:rPr>
      </w:pPr>
    </w:p>
    <w:p w:rsidR="00000000" w:rsidRDefault="00687F2E">
      <w:pPr>
        <w:jc w:val="both"/>
        <w:rPr>
          <w:rFonts w:ascii="Verdana" w:hAnsi="Verdana"/>
          <w:spacing w:val="-3"/>
          <w:sz w:val="20"/>
        </w:rPr>
      </w:pPr>
      <w:r>
        <w:rPr>
          <w:rFonts w:ascii="Verdana" w:hAnsi="Verdana"/>
          <w:spacing w:val="-3"/>
          <w:sz w:val="20"/>
        </w:rPr>
        <w:t>33.</w:t>
      </w:r>
      <w:r>
        <w:rPr>
          <w:rFonts w:ascii="Verdana" w:hAnsi="Verdana"/>
          <w:spacing w:val="-3"/>
          <w:sz w:val="20"/>
        </w:rPr>
        <w:tab/>
        <w:t>La personalidad jurídica internacional del ser humano se cristal</w:t>
      </w:r>
      <w:r>
        <w:rPr>
          <w:rFonts w:ascii="Verdana" w:hAnsi="Verdana"/>
          <w:spacing w:val="-3"/>
          <w:sz w:val="20"/>
        </w:rPr>
        <w:t>izó como un límite al arbitrio del poder estatal. Los derechos humanos liberaron en definitiva la concepción del derecho subjetivo de las amarras del positivismo jurídico. Si, por un lado, la categoría jurídica de la personalidad jurídica internacional del</w:t>
      </w:r>
      <w:r>
        <w:rPr>
          <w:rFonts w:ascii="Verdana" w:hAnsi="Verdana"/>
          <w:spacing w:val="-3"/>
          <w:sz w:val="20"/>
        </w:rPr>
        <w:t xml:space="preserve"> ser humano contribuyó para instrumentalizar la vindicación de los derechos de la persona humana, emanados del Derecho Internacional, - por otro lado el </w:t>
      </w:r>
      <w:r>
        <w:rPr>
          <w:rFonts w:ascii="Verdana" w:hAnsi="Verdana"/>
          <w:i/>
          <w:iCs/>
          <w:spacing w:val="-3"/>
          <w:sz w:val="20"/>
        </w:rPr>
        <w:t>corpus juris</w:t>
      </w:r>
      <w:r>
        <w:rPr>
          <w:rFonts w:ascii="Verdana" w:hAnsi="Verdana"/>
          <w:spacing w:val="-3"/>
          <w:sz w:val="20"/>
        </w:rPr>
        <w:t xml:space="preserve"> de los derechos humanos universales proporcionó a la personalidad jurídica del individuo u</w:t>
      </w:r>
      <w:r>
        <w:rPr>
          <w:rFonts w:ascii="Verdana" w:hAnsi="Verdana"/>
          <w:spacing w:val="-3"/>
          <w:sz w:val="20"/>
        </w:rPr>
        <w:t>na dimensión mucho más amplia, ya no más condicionada al derecho emanado del poder público estatal</w:t>
      </w:r>
      <w:r>
        <w:rPr>
          <w:rStyle w:val="Refdenotaalpie"/>
          <w:rFonts w:cs="Courier New"/>
          <w:spacing w:val="-3"/>
          <w:sz w:val="20"/>
          <w:lang w:val="es-ES_tradnl"/>
        </w:rPr>
        <w:footnoteReference w:id="39"/>
      </w:r>
      <w:r>
        <w:rPr>
          <w:rFonts w:ascii="Verdana" w:hAnsi="Verdana"/>
          <w:spacing w:val="-3"/>
          <w:sz w:val="20"/>
        </w:rPr>
        <w:t>.</w:t>
      </w:r>
    </w:p>
    <w:p w:rsidR="00000000" w:rsidRDefault="00687F2E">
      <w:pPr>
        <w:jc w:val="both"/>
        <w:rPr>
          <w:rFonts w:ascii="Verdana" w:hAnsi="Verdana"/>
          <w:spacing w:val="-3"/>
          <w:sz w:val="20"/>
        </w:rPr>
      </w:pPr>
    </w:p>
    <w:p w:rsidR="00000000" w:rsidRDefault="00687F2E">
      <w:pPr>
        <w:jc w:val="both"/>
        <w:rPr>
          <w:rFonts w:ascii="Verdana" w:hAnsi="Verdana"/>
          <w:spacing w:val="-3"/>
          <w:sz w:val="20"/>
        </w:rPr>
      </w:pPr>
      <w:r>
        <w:rPr>
          <w:rFonts w:ascii="Verdana" w:hAnsi="Verdana"/>
          <w:spacing w:val="-3"/>
          <w:sz w:val="20"/>
        </w:rPr>
        <w:t>34.</w:t>
      </w:r>
      <w:r>
        <w:rPr>
          <w:rFonts w:ascii="Verdana" w:hAnsi="Verdana"/>
          <w:spacing w:val="-3"/>
          <w:sz w:val="20"/>
        </w:rPr>
        <w:tab/>
        <w:t>Cabe aquí recordar la contribución, acerca de la intangibilidad de la personalidad jurídica internacional de la persona humana, de la 17a. Opinión Con</w:t>
      </w:r>
      <w:r>
        <w:rPr>
          <w:rFonts w:ascii="Verdana" w:hAnsi="Verdana"/>
          <w:spacing w:val="-3"/>
          <w:sz w:val="20"/>
        </w:rPr>
        <w:t xml:space="preserve">sultiva de </w:t>
      </w:r>
      <w:smartTag w:uri="urn:schemas-microsoft-com:office:smarttags" w:element="PersonName">
        <w:smartTagPr>
          <w:attr w:name="ProductID" w:val="la Corte Interamericana"/>
        </w:smartTagPr>
        <w:r>
          <w:rPr>
            <w:rFonts w:ascii="Verdana" w:hAnsi="Verdana"/>
            <w:spacing w:val="-3"/>
            <w:sz w:val="20"/>
          </w:rPr>
          <w:t>la Corte Interamericana</w:t>
        </w:r>
      </w:smartTag>
      <w:r>
        <w:rPr>
          <w:rFonts w:ascii="Verdana" w:hAnsi="Verdana"/>
          <w:spacing w:val="-3"/>
          <w:sz w:val="20"/>
        </w:rPr>
        <w:t xml:space="preserve"> de Derechos Humanos, sobre </w:t>
      </w:r>
      <w:smartTag w:uri="urn:schemas-microsoft-com:office:smarttags" w:element="PersonName">
        <w:smartTagPr>
          <w:attr w:name="ProductID" w:val="la Condici￳n Jur￭dica"/>
        </w:smartTagPr>
        <w:r>
          <w:rPr>
            <w:rFonts w:ascii="Verdana" w:hAnsi="Verdana"/>
            <w:spacing w:val="-3"/>
            <w:sz w:val="20"/>
          </w:rPr>
          <w:t xml:space="preserve">la </w:t>
        </w:r>
        <w:r>
          <w:rPr>
            <w:rFonts w:ascii="Verdana" w:hAnsi="Verdana"/>
            <w:i/>
            <w:iCs/>
            <w:spacing w:val="-3"/>
            <w:sz w:val="20"/>
          </w:rPr>
          <w:t>Condición Jurídica</w:t>
        </w:r>
      </w:smartTag>
      <w:r>
        <w:rPr>
          <w:rFonts w:ascii="Verdana" w:hAnsi="Verdana"/>
          <w:i/>
          <w:iCs/>
          <w:spacing w:val="-3"/>
          <w:sz w:val="20"/>
        </w:rPr>
        <w:t xml:space="preserve"> y Derechos Humanos del Niño</w:t>
      </w:r>
      <w:r>
        <w:rPr>
          <w:rFonts w:ascii="Verdana" w:hAnsi="Verdana"/>
          <w:spacing w:val="-3"/>
          <w:sz w:val="20"/>
        </w:rPr>
        <w:t xml:space="preserve"> (del 28.08.2002): </w:t>
      </w:r>
      <w:smartTag w:uri="urn:schemas-microsoft-com:office:smarttags" w:element="PersonName">
        <w:smartTagPr>
          <w:attr w:name="ProductID" w:val="la Corte"/>
        </w:smartTagPr>
        <w:r>
          <w:rPr>
            <w:rFonts w:ascii="Verdana" w:hAnsi="Verdana"/>
            <w:spacing w:val="-3"/>
            <w:sz w:val="20"/>
          </w:rPr>
          <w:t>la Corte</w:t>
        </w:r>
      </w:smartTag>
      <w:r>
        <w:rPr>
          <w:rFonts w:ascii="Verdana" w:hAnsi="Verdana"/>
          <w:spacing w:val="-3"/>
          <w:sz w:val="20"/>
        </w:rPr>
        <w:t xml:space="preserve"> aclaró que el Derecho reconoce ineluctablemente la personalidad jurídica a todo ser humano (sea él un niño o adolesce</w:t>
      </w:r>
      <w:r>
        <w:rPr>
          <w:rFonts w:ascii="Verdana" w:hAnsi="Verdana"/>
          <w:spacing w:val="-3"/>
          <w:sz w:val="20"/>
        </w:rPr>
        <w:t>nte), independientemente de su condición existencial o del alcance de su capacidad jurídica para ejercer sus derechos por sí mismo (capacidad de ejercicio). En efecto, el reconocimiento y la consolidación de la posición del ser humano como sujeto pleno del</w:t>
      </w:r>
      <w:r>
        <w:rPr>
          <w:rFonts w:ascii="Verdana" w:hAnsi="Verdana"/>
          <w:spacing w:val="-3"/>
          <w:sz w:val="20"/>
        </w:rPr>
        <w:t xml:space="preserve"> Derecho Internacional de los Derechos Humanos constituye, en nuestros días, - como vengo sosteniendo hace varios años, - una manifestación inequívoca y elocuente de los avances del proceso en curso de </w:t>
      </w:r>
      <w:r>
        <w:rPr>
          <w:rFonts w:ascii="Verdana" w:hAnsi="Verdana"/>
          <w:i/>
          <w:iCs/>
          <w:spacing w:val="-3"/>
          <w:sz w:val="20"/>
        </w:rPr>
        <w:t>humanización</w:t>
      </w:r>
      <w:r>
        <w:rPr>
          <w:rFonts w:ascii="Verdana" w:hAnsi="Verdana"/>
          <w:spacing w:val="-3"/>
          <w:sz w:val="20"/>
        </w:rPr>
        <w:t xml:space="preserve"> del propio Derecho Internacional (</w:t>
      </w:r>
      <w:r>
        <w:rPr>
          <w:rFonts w:ascii="Verdana" w:hAnsi="Verdana"/>
          <w:i/>
          <w:iCs/>
          <w:spacing w:val="-3"/>
          <w:sz w:val="20"/>
        </w:rPr>
        <w:t>jus gen</w:t>
      </w:r>
      <w:r>
        <w:rPr>
          <w:rFonts w:ascii="Verdana" w:hAnsi="Verdana"/>
          <w:i/>
          <w:iCs/>
          <w:spacing w:val="-3"/>
          <w:sz w:val="20"/>
        </w:rPr>
        <w:t>tium</w:t>
      </w:r>
      <w:r>
        <w:rPr>
          <w:rFonts w:ascii="Verdana" w:hAnsi="Verdana"/>
          <w:spacing w:val="-3"/>
          <w:sz w:val="20"/>
        </w:rPr>
        <w:t>)</w:t>
      </w:r>
      <w:r>
        <w:rPr>
          <w:rStyle w:val="Refdenotaalpie"/>
          <w:rFonts w:cs="Courier New"/>
          <w:spacing w:val="-3"/>
          <w:sz w:val="20"/>
          <w:lang w:val="es-ES_tradnl"/>
        </w:rPr>
        <w:footnoteReference w:id="40"/>
      </w:r>
      <w:r>
        <w:rPr>
          <w:rFonts w:ascii="Verdana" w:hAnsi="Verdana"/>
          <w:spacing w:val="-3"/>
          <w:sz w:val="20"/>
        </w:rPr>
        <w:t>.</w:t>
      </w:r>
    </w:p>
    <w:p w:rsidR="00000000" w:rsidRDefault="00687F2E">
      <w:pPr>
        <w:jc w:val="both"/>
        <w:rPr>
          <w:rFonts w:ascii="Verdana" w:hAnsi="Verdana"/>
          <w:spacing w:val="-3"/>
          <w:sz w:val="20"/>
        </w:rPr>
      </w:pPr>
    </w:p>
    <w:p w:rsidR="00000000" w:rsidRDefault="00687F2E">
      <w:pPr>
        <w:jc w:val="both"/>
        <w:rPr>
          <w:rFonts w:ascii="Verdana" w:hAnsi="Verdana"/>
          <w:spacing w:val="-3"/>
          <w:sz w:val="20"/>
        </w:rPr>
      </w:pPr>
      <w:r>
        <w:rPr>
          <w:rFonts w:ascii="Verdana" w:hAnsi="Verdana"/>
          <w:b/>
          <w:bCs/>
          <w:spacing w:val="-3"/>
          <w:sz w:val="20"/>
        </w:rPr>
        <w:tab/>
        <w:t xml:space="preserve">5. </w:t>
      </w:r>
      <w:r>
        <w:rPr>
          <w:rFonts w:ascii="Verdana" w:hAnsi="Verdana"/>
          <w:b/>
          <w:bCs/>
          <w:spacing w:val="-3"/>
          <w:sz w:val="20"/>
        </w:rPr>
        <w:tab/>
      </w:r>
      <w:smartTag w:uri="urn:schemas-microsoft-com:office:smarttags" w:element="PersonName">
        <w:smartTagPr>
          <w:attr w:name="ProductID" w:val="la Conceptualizaci￳n"/>
        </w:smartTagPr>
        <w:r>
          <w:rPr>
            <w:rFonts w:ascii="Verdana" w:hAnsi="Verdana"/>
            <w:b/>
            <w:bCs/>
            <w:spacing w:val="-3"/>
            <w:sz w:val="20"/>
          </w:rPr>
          <w:t>La Conceptualización</w:t>
        </w:r>
      </w:smartTag>
      <w:r>
        <w:rPr>
          <w:rFonts w:ascii="Verdana" w:hAnsi="Verdana"/>
          <w:b/>
          <w:bCs/>
          <w:spacing w:val="-3"/>
          <w:sz w:val="20"/>
        </w:rPr>
        <w:t xml:space="preserve"> de Víctima y el Aporte del Derecho </w:t>
      </w:r>
      <w:r>
        <w:rPr>
          <w:rFonts w:ascii="Verdana" w:hAnsi="Verdana"/>
          <w:b/>
          <w:bCs/>
          <w:spacing w:val="-3"/>
          <w:sz w:val="20"/>
        </w:rPr>
        <w:tab/>
        <w:t>Internacional de los Derechos Humanos.</w:t>
      </w:r>
    </w:p>
    <w:p w:rsidR="00000000" w:rsidRDefault="00687F2E">
      <w:pPr>
        <w:jc w:val="both"/>
        <w:rPr>
          <w:rFonts w:ascii="Verdana" w:hAnsi="Verdana"/>
          <w:spacing w:val="-3"/>
          <w:sz w:val="20"/>
        </w:rPr>
      </w:pPr>
    </w:p>
    <w:p w:rsidR="00000000" w:rsidRDefault="00687F2E">
      <w:pPr>
        <w:jc w:val="both"/>
        <w:rPr>
          <w:rFonts w:ascii="Verdana" w:hAnsi="Verdana"/>
          <w:spacing w:val="-3"/>
          <w:sz w:val="20"/>
        </w:rPr>
      </w:pPr>
      <w:r>
        <w:rPr>
          <w:rFonts w:ascii="Verdana" w:hAnsi="Verdana"/>
          <w:spacing w:val="-3"/>
          <w:sz w:val="20"/>
        </w:rPr>
        <w:t>35.</w:t>
      </w:r>
      <w:r>
        <w:rPr>
          <w:rFonts w:ascii="Verdana" w:hAnsi="Verdana"/>
          <w:spacing w:val="-3"/>
          <w:sz w:val="20"/>
        </w:rPr>
        <w:tab/>
        <w:t xml:space="preserve">La víctima es la persona humana victimada en los derechos que le son inherentes </w:t>
      </w:r>
      <w:r>
        <w:rPr>
          <w:rFonts w:ascii="Verdana" w:hAnsi="Verdana"/>
          <w:i/>
          <w:iCs/>
          <w:spacing w:val="-3"/>
          <w:sz w:val="20"/>
        </w:rPr>
        <w:t>qua</w:t>
      </w:r>
      <w:r>
        <w:rPr>
          <w:rFonts w:ascii="Verdana" w:hAnsi="Verdana"/>
          <w:spacing w:val="-3"/>
          <w:sz w:val="20"/>
        </w:rPr>
        <w:t xml:space="preserve"> persona. La conceptualización de víctima, al igual que la</w:t>
      </w:r>
      <w:r>
        <w:rPr>
          <w:rFonts w:ascii="Verdana" w:hAnsi="Verdana"/>
          <w:spacing w:val="-3"/>
          <w:sz w:val="20"/>
        </w:rPr>
        <w:t xml:space="preserve"> de persona (</w:t>
      </w:r>
      <w:r>
        <w:rPr>
          <w:rFonts w:ascii="Verdana" w:hAnsi="Verdana"/>
          <w:i/>
          <w:iCs/>
          <w:spacing w:val="-3"/>
          <w:sz w:val="20"/>
        </w:rPr>
        <w:t>supra</w:t>
      </w:r>
      <w:r>
        <w:rPr>
          <w:rFonts w:ascii="Verdana" w:hAnsi="Verdana"/>
          <w:spacing w:val="-3"/>
          <w:sz w:val="20"/>
        </w:rPr>
        <w:t xml:space="preserve">), tiene también raíces históricas a lo largo de los siglos. Etimológicamente, el término </w:t>
      </w:r>
      <w:r>
        <w:rPr>
          <w:rFonts w:ascii="Verdana" w:hAnsi="Verdana"/>
          <w:i/>
          <w:iCs/>
          <w:spacing w:val="-3"/>
          <w:sz w:val="20"/>
        </w:rPr>
        <w:t>víctima</w:t>
      </w:r>
      <w:r>
        <w:rPr>
          <w:rFonts w:ascii="Verdana" w:hAnsi="Verdana"/>
          <w:spacing w:val="-3"/>
          <w:sz w:val="20"/>
        </w:rPr>
        <w:t xml:space="preserve"> (del Latín </w:t>
      </w:r>
      <w:r>
        <w:rPr>
          <w:rFonts w:ascii="Verdana" w:hAnsi="Verdana"/>
          <w:i/>
          <w:iCs/>
          <w:spacing w:val="-3"/>
          <w:sz w:val="20"/>
        </w:rPr>
        <w:lastRenderedPageBreak/>
        <w:t>victima</w:t>
      </w:r>
      <w:r>
        <w:rPr>
          <w:rFonts w:ascii="Verdana" w:hAnsi="Verdana"/>
          <w:spacing w:val="-3"/>
          <w:sz w:val="20"/>
        </w:rPr>
        <w:t>) fue empleado originalmente en relación con la persona que era sacrificada (en rituales) o destinada a ser sacrificada. A</w:t>
      </w:r>
      <w:r>
        <w:rPr>
          <w:rFonts w:ascii="Verdana" w:hAnsi="Verdana"/>
          <w:spacing w:val="-3"/>
          <w:sz w:val="20"/>
        </w:rPr>
        <w:t xml:space="preserve"> partir del siglo XVII, adquirió el sentido de la persona que era lesionada, torturada o asesinada por otra. En el siglo XVIII, el término pasó a designar la persona lesionada u oprimida por otra, o por alguno poder o situación. El término "victimar" vino </w:t>
      </w:r>
      <w:r>
        <w:rPr>
          <w:rFonts w:ascii="Verdana" w:hAnsi="Verdana"/>
          <w:spacing w:val="-3"/>
          <w:sz w:val="20"/>
        </w:rPr>
        <w:t>a ser usado en el siglo XIX (1830 en adelante)</w:t>
      </w:r>
      <w:r>
        <w:rPr>
          <w:rStyle w:val="Refdenotaalpie"/>
          <w:rFonts w:cs="Courier New"/>
          <w:spacing w:val="-3"/>
          <w:sz w:val="20"/>
          <w:lang w:val="es-ES_tradnl"/>
        </w:rPr>
        <w:footnoteReference w:id="41"/>
      </w:r>
      <w:r>
        <w:rPr>
          <w:rFonts w:ascii="Verdana" w:hAnsi="Verdana"/>
          <w:spacing w:val="-3"/>
          <w:sz w:val="20"/>
        </w:rPr>
        <w:t xml:space="preserve">. En el siglo XX, la nueva disciplina </w:t>
      </w:r>
      <w:r>
        <w:rPr>
          <w:rFonts w:ascii="Verdana" w:hAnsi="Verdana"/>
          <w:i/>
          <w:iCs/>
          <w:spacing w:val="-3"/>
          <w:sz w:val="20"/>
        </w:rPr>
        <w:t>victimología</w:t>
      </w:r>
      <w:r>
        <w:rPr>
          <w:rFonts w:ascii="Verdana" w:hAnsi="Verdana"/>
          <w:spacing w:val="-3"/>
          <w:sz w:val="20"/>
        </w:rPr>
        <w:t xml:space="preserve"> vino a centrar su atención en la persona de la víctima</w:t>
      </w:r>
      <w:r>
        <w:rPr>
          <w:rStyle w:val="Refdenotaalpie"/>
          <w:rFonts w:cs="Courier New"/>
          <w:spacing w:val="-3"/>
          <w:sz w:val="20"/>
          <w:lang w:val="es-ES_tradnl"/>
        </w:rPr>
        <w:footnoteReference w:id="42"/>
      </w:r>
      <w:r>
        <w:rPr>
          <w:rFonts w:ascii="Verdana" w:hAnsi="Verdana"/>
          <w:spacing w:val="-3"/>
          <w:sz w:val="20"/>
        </w:rPr>
        <w:t>, - en contraposición a la criminología, que se centraba más bien en la persona del delincuente o crimi</w:t>
      </w:r>
      <w:r>
        <w:rPr>
          <w:rFonts w:ascii="Verdana" w:hAnsi="Verdana"/>
          <w:spacing w:val="-3"/>
          <w:sz w:val="20"/>
        </w:rPr>
        <w:t>nal.</w:t>
      </w:r>
    </w:p>
    <w:p w:rsidR="00000000" w:rsidRDefault="00687F2E">
      <w:pPr>
        <w:jc w:val="both"/>
        <w:rPr>
          <w:rFonts w:ascii="Verdana" w:hAnsi="Verdana"/>
          <w:spacing w:val="-3"/>
          <w:sz w:val="20"/>
        </w:rPr>
      </w:pPr>
    </w:p>
    <w:p w:rsidR="00000000" w:rsidRDefault="00687F2E">
      <w:pPr>
        <w:jc w:val="both"/>
        <w:rPr>
          <w:rFonts w:ascii="Verdana" w:hAnsi="Verdana"/>
          <w:spacing w:val="-3"/>
          <w:sz w:val="20"/>
        </w:rPr>
      </w:pPr>
      <w:r>
        <w:rPr>
          <w:rFonts w:ascii="Verdana" w:hAnsi="Verdana"/>
          <w:spacing w:val="-3"/>
          <w:sz w:val="20"/>
        </w:rPr>
        <w:t>36.</w:t>
      </w:r>
      <w:r>
        <w:rPr>
          <w:rFonts w:ascii="Verdana" w:hAnsi="Verdana"/>
          <w:spacing w:val="-3"/>
          <w:sz w:val="20"/>
        </w:rPr>
        <w:tab/>
        <w:t>A veces uno se refiere a la víctima como la "parte lesionada", bajo ciertos tratados de derechos humanos de la actualidad; la víctima es la persona humana que ha sufrido una lesión o perjuicio, individualmente o en compañía de otros seres humanos</w:t>
      </w:r>
      <w:r>
        <w:rPr>
          <w:rFonts w:ascii="Verdana" w:hAnsi="Verdana"/>
          <w:spacing w:val="-3"/>
          <w:sz w:val="20"/>
        </w:rPr>
        <w:t>, en consecuencia de un acto - u omisión - internacionalmente ilícito</w:t>
      </w:r>
      <w:r>
        <w:rPr>
          <w:rStyle w:val="Refdenotaalpie"/>
          <w:rFonts w:cs="Courier New"/>
          <w:spacing w:val="-3"/>
          <w:sz w:val="20"/>
          <w:lang w:val="es-ES_tradnl"/>
        </w:rPr>
        <w:footnoteReference w:id="43"/>
      </w:r>
      <w:r>
        <w:rPr>
          <w:rFonts w:ascii="Verdana" w:hAnsi="Verdana"/>
          <w:spacing w:val="-3"/>
          <w:sz w:val="20"/>
        </w:rPr>
        <w:t>. En perspectiva histórica, el concepto de víctima es uno de los "más antiguos de la humanidad", perteneciendo en realidad a "todas las culturas"</w:t>
      </w:r>
      <w:r>
        <w:rPr>
          <w:rStyle w:val="Refdenotaalpie"/>
          <w:rFonts w:cs="Courier New"/>
          <w:spacing w:val="-3"/>
          <w:sz w:val="20"/>
          <w:lang w:val="es-ES_tradnl"/>
        </w:rPr>
        <w:footnoteReference w:id="44"/>
      </w:r>
      <w:r>
        <w:rPr>
          <w:rFonts w:ascii="Verdana" w:hAnsi="Verdana"/>
          <w:spacing w:val="-3"/>
          <w:sz w:val="20"/>
        </w:rPr>
        <w:t>. Como el Estado gradualmente monopolizó</w:t>
      </w:r>
      <w:r>
        <w:rPr>
          <w:rFonts w:ascii="Verdana" w:hAnsi="Verdana"/>
          <w:spacing w:val="-3"/>
          <w:sz w:val="20"/>
        </w:rPr>
        <w:t xml:space="preserve"> los medios de coerción, el papel de las víctimas se vio de cierto modo reducido (v.g., al de un testigo) o marginado en el proceso legal oponiendo el Estado al acusado (en el derecho procesal penal), frecuentemente con la insatisfacción de la víctima</w:t>
      </w:r>
      <w:r>
        <w:rPr>
          <w:rStyle w:val="Refdenotaalpie"/>
          <w:rFonts w:cs="Courier New"/>
          <w:spacing w:val="-3"/>
          <w:sz w:val="20"/>
          <w:lang w:val="es-ES_tradnl"/>
        </w:rPr>
        <w:footnoteReference w:id="45"/>
      </w:r>
      <w:r>
        <w:rPr>
          <w:rFonts w:ascii="Verdana" w:hAnsi="Verdana"/>
          <w:spacing w:val="-3"/>
          <w:sz w:val="20"/>
        </w:rPr>
        <w:t xml:space="preserve">. </w:t>
      </w:r>
    </w:p>
    <w:p w:rsidR="00000000" w:rsidRDefault="00687F2E">
      <w:pPr>
        <w:jc w:val="both"/>
        <w:rPr>
          <w:rFonts w:ascii="Verdana" w:hAnsi="Verdana"/>
          <w:spacing w:val="-3"/>
          <w:sz w:val="20"/>
        </w:rPr>
      </w:pPr>
      <w:r>
        <w:rPr>
          <w:rFonts w:ascii="Verdana" w:hAnsi="Verdana"/>
          <w:spacing w:val="-3"/>
          <w:sz w:val="20"/>
        </w:rPr>
        <w:t xml:space="preserve"> </w:t>
      </w:r>
      <w:r>
        <w:rPr>
          <w:rFonts w:ascii="Verdana" w:hAnsi="Verdana"/>
          <w:spacing w:val="-3"/>
          <w:sz w:val="20"/>
        </w:rPr>
        <w:t xml:space="preserve">  </w:t>
      </w:r>
    </w:p>
    <w:p w:rsidR="00000000" w:rsidRDefault="00687F2E">
      <w:pPr>
        <w:jc w:val="both"/>
        <w:rPr>
          <w:rFonts w:ascii="Verdana" w:hAnsi="Verdana"/>
          <w:spacing w:val="-3"/>
          <w:sz w:val="20"/>
        </w:rPr>
      </w:pPr>
      <w:r>
        <w:rPr>
          <w:rFonts w:ascii="Verdana" w:hAnsi="Verdana"/>
          <w:spacing w:val="-3"/>
          <w:sz w:val="20"/>
        </w:rPr>
        <w:t>37.</w:t>
      </w:r>
      <w:r>
        <w:rPr>
          <w:rFonts w:ascii="Verdana" w:hAnsi="Verdana"/>
          <w:spacing w:val="-3"/>
          <w:sz w:val="20"/>
        </w:rPr>
        <w:tab/>
        <w:t>En realidad, mientras el universo conceptual de la criminología se tornó orientado hacia la figura del delincuente, situando a la víctima en una posición un tanto tangencial o marginal, la disciplina emergente de la victimología ha intentado remedia</w:t>
      </w:r>
      <w:r>
        <w:rPr>
          <w:rFonts w:ascii="Verdana" w:hAnsi="Verdana"/>
          <w:spacing w:val="-3"/>
          <w:sz w:val="20"/>
        </w:rPr>
        <w:t>r aquel desequilibrio, centrando la atención en la persona de la víctima, en la necesidad de rehabilitar a esta última y asegurarle reparaciones debidas y adecuadas</w:t>
      </w:r>
      <w:r>
        <w:rPr>
          <w:rStyle w:val="Refdenotaalpie"/>
          <w:rFonts w:cs="Courier New"/>
          <w:spacing w:val="-3"/>
          <w:sz w:val="20"/>
          <w:lang w:val="es-ES_tradnl"/>
        </w:rPr>
        <w:footnoteReference w:id="46"/>
      </w:r>
      <w:r>
        <w:rPr>
          <w:rFonts w:ascii="Verdana" w:hAnsi="Verdana"/>
          <w:spacing w:val="-3"/>
          <w:sz w:val="20"/>
        </w:rPr>
        <w:t xml:space="preserve">. Fue, sin embargo, la notable evolución del Derecho Internacional de los Derechos Humanos </w:t>
      </w:r>
      <w:r>
        <w:rPr>
          <w:rFonts w:ascii="Verdana" w:hAnsi="Verdana"/>
          <w:spacing w:val="-3"/>
          <w:sz w:val="20"/>
        </w:rPr>
        <w:t xml:space="preserve">a lo largo de la segunda mitad del siglo XX y hasta el presente, que proporcionó la realización de aquella meta, por configurarse entera y debidamente </w:t>
      </w:r>
      <w:r>
        <w:rPr>
          <w:rFonts w:ascii="Verdana" w:hAnsi="Verdana"/>
          <w:i/>
          <w:iCs/>
          <w:spacing w:val="-3"/>
          <w:sz w:val="20"/>
        </w:rPr>
        <w:t>orientado hacia las víctimas</w:t>
      </w:r>
      <w:r>
        <w:rPr>
          <w:rStyle w:val="Refdenotaalpie"/>
          <w:rFonts w:cs="Courier New"/>
          <w:spacing w:val="-3"/>
          <w:sz w:val="20"/>
          <w:lang w:val="es-ES_tradnl"/>
        </w:rPr>
        <w:footnoteReference w:id="47"/>
      </w:r>
      <w:r>
        <w:rPr>
          <w:rFonts w:ascii="Verdana" w:hAnsi="Verdana"/>
          <w:spacing w:val="-3"/>
          <w:sz w:val="20"/>
        </w:rPr>
        <w:t xml:space="preserve">. El advenimiento y la consolidación del </w:t>
      </w:r>
      <w:r>
        <w:rPr>
          <w:rFonts w:ascii="Verdana" w:hAnsi="Verdana"/>
          <w:i/>
          <w:iCs/>
          <w:spacing w:val="-3"/>
          <w:sz w:val="20"/>
        </w:rPr>
        <w:t>corpus juris</w:t>
      </w:r>
      <w:r>
        <w:rPr>
          <w:rFonts w:ascii="Verdana" w:hAnsi="Verdana"/>
          <w:spacing w:val="-3"/>
          <w:sz w:val="20"/>
        </w:rPr>
        <w:t xml:space="preserve"> del Derecho Internacio</w:t>
      </w:r>
      <w:r>
        <w:rPr>
          <w:rFonts w:ascii="Verdana" w:hAnsi="Verdana"/>
          <w:spacing w:val="-3"/>
          <w:sz w:val="20"/>
        </w:rPr>
        <w:t xml:space="preserve">nal de los Derechos Humanos restituyó a las víctimas su posición </w:t>
      </w:r>
      <w:r>
        <w:rPr>
          <w:rFonts w:ascii="Verdana" w:hAnsi="Verdana"/>
          <w:i/>
          <w:iCs/>
          <w:spacing w:val="-3"/>
          <w:sz w:val="20"/>
        </w:rPr>
        <w:t>central</w:t>
      </w:r>
      <w:r>
        <w:rPr>
          <w:rFonts w:ascii="Verdana" w:hAnsi="Verdana"/>
          <w:spacing w:val="-3"/>
          <w:sz w:val="20"/>
        </w:rPr>
        <w:t xml:space="preserve"> en el orden normativo</w:t>
      </w:r>
      <w:r>
        <w:rPr>
          <w:rStyle w:val="Refdenotaalpie"/>
          <w:rFonts w:cs="Courier New"/>
          <w:spacing w:val="-3"/>
          <w:sz w:val="20"/>
          <w:lang w:val="es-ES_tradnl"/>
        </w:rPr>
        <w:footnoteReference w:id="48"/>
      </w:r>
      <w:r>
        <w:rPr>
          <w:rFonts w:ascii="Verdana" w:hAnsi="Verdana"/>
          <w:spacing w:val="-3"/>
          <w:sz w:val="20"/>
        </w:rPr>
        <w:t>.</w:t>
      </w:r>
    </w:p>
    <w:p w:rsidR="00000000" w:rsidRDefault="00687F2E">
      <w:pPr>
        <w:jc w:val="both"/>
        <w:rPr>
          <w:rFonts w:ascii="Verdana" w:hAnsi="Verdana"/>
          <w:spacing w:val="-3"/>
          <w:sz w:val="20"/>
        </w:rPr>
      </w:pPr>
    </w:p>
    <w:p w:rsidR="00000000" w:rsidRDefault="00687F2E">
      <w:pPr>
        <w:jc w:val="both"/>
        <w:rPr>
          <w:rFonts w:ascii="Verdana" w:hAnsi="Verdana"/>
          <w:spacing w:val="-3"/>
          <w:sz w:val="20"/>
        </w:rPr>
      </w:pPr>
      <w:r>
        <w:rPr>
          <w:rFonts w:ascii="Verdana" w:hAnsi="Verdana"/>
          <w:spacing w:val="-3"/>
          <w:sz w:val="20"/>
        </w:rPr>
        <w:t>38.</w:t>
      </w:r>
      <w:r>
        <w:rPr>
          <w:rFonts w:ascii="Verdana" w:hAnsi="Verdana"/>
          <w:spacing w:val="-3"/>
          <w:sz w:val="20"/>
        </w:rPr>
        <w:tab/>
        <w:t>Hace muchos años he examinado la conceptualización de víctima bajo tratados de derechos humanos, como, entre otros, la Convención Americana</w:t>
      </w:r>
      <w:r>
        <w:rPr>
          <w:rStyle w:val="Refdenotaalpie"/>
          <w:rFonts w:cs="Courier New"/>
          <w:spacing w:val="-3"/>
          <w:sz w:val="20"/>
          <w:lang w:val="es-ES_tradnl"/>
        </w:rPr>
        <w:footnoteReference w:id="49"/>
      </w:r>
      <w:r>
        <w:rPr>
          <w:rFonts w:ascii="Verdana" w:hAnsi="Verdana"/>
          <w:spacing w:val="-3"/>
          <w:sz w:val="20"/>
        </w:rPr>
        <w:t>. No es mi int</w:t>
      </w:r>
      <w:r>
        <w:rPr>
          <w:rFonts w:ascii="Verdana" w:hAnsi="Verdana"/>
          <w:spacing w:val="-3"/>
          <w:sz w:val="20"/>
        </w:rPr>
        <w:t xml:space="preserve">ención retomar en el presente Voto Razonado el examen de este aspecto específico, que ya fue objeto de mis extensas consideraciones - a las cuales me permito aquí referirme - en mi Voto Concurrente en el caso </w:t>
      </w:r>
      <w:r>
        <w:rPr>
          <w:rFonts w:ascii="Verdana" w:hAnsi="Verdana"/>
          <w:i/>
          <w:iCs/>
          <w:spacing w:val="-3"/>
          <w:sz w:val="20"/>
        </w:rPr>
        <w:t>Castillo Petruzzi y Otros versus Perú</w:t>
      </w:r>
      <w:r>
        <w:rPr>
          <w:rFonts w:ascii="Verdana" w:hAnsi="Verdana"/>
          <w:spacing w:val="-3"/>
          <w:sz w:val="20"/>
        </w:rPr>
        <w:t xml:space="preserve"> (Excepcio</w:t>
      </w:r>
      <w:r>
        <w:rPr>
          <w:rFonts w:ascii="Verdana" w:hAnsi="Verdana"/>
          <w:spacing w:val="-3"/>
          <w:sz w:val="20"/>
        </w:rPr>
        <w:t>nes Preliminares, Sentencia del 04.09.1998), así como en mis Votos Razonados en los casos de los "</w:t>
      </w:r>
      <w:r>
        <w:rPr>
          <w:rFonts w:ascii="Verdana" w:hAnsi="Verdana"/>
          <w:i/>
          <w:iCs/>
          <w:spacing w:val="-3"/>
          <w:sz w:val="20"/>
        </w:rPr>
        <w:t xml:space="preserve">Niños de </w:t>
      </w:r>
      <w:smartTag w:uri="urn:schemas-microsoft-com:office:smarttags" w:element="PersonName">
        <w:smartTagPr>
          <w:attr w:name="ProductID" w:val="la Calle"/>
        </w:smartTagPr>
        <w:r>
          <w:rPr>
            <w:rFonts w:ascii="Verdana" w:hAnsi="Verdana"/>
            <w:i/>
            <w:iCs/>
            <w:spacing w:val="-3"/>
            <w:sz w:val="20"/>
          </w:rPr>
          <w:t>la Calle</w:t>
        </w:r>
      </w:smartTag>
      <w:r>
        <w:rPr>
          <w:rFonts w:ascii="Verdana" w:hAnsi="Verdana"/>
          <w:spacing w:val="-3"/>
          <w:sz w:val="20"/>
        </w:rPr>
        <w:t>" (</w:t>
      </w:r>
      <w:r>
        <w:rPr>
          <w:rFonts w:ascii="Verdana" w:hAnsi="Verdana"/>
          <w:i/>
          <w:iCs/>
          <w:spacing w:val="-3"/>
          <w:sz w:val="20"/>
        </w:rPr>
        <w:t>Villagrán Morales y Otros versus Guatemala</w:t>
      </w:r>
      <w:r>
        <w:rPr>
          <w:rFonts w:ascii="Verdana" w:hAnsi="Verdana"/>
          <w:spacing w:val="-3"/>
          <w:sz w:val="20"/>
        </w:rPr>
        <w:t xml:space="preserve">, Reparaciones, Sentencia del 26.05.2001), y de </w:t>
      </w:r>
      <w:r>
        <w:rPr>
          <w:rFonts w:ascii="Verdana" w:hAnsi="Verdana"/>
          <w:i/>
          <w:iCs/>
          <w:spacing w:val="-3"/>
          <w:sz w:val="20"/>
        </w:rPr>
        <w:t>Goiburú y Otros versus Paraguay</w:t>
      </w:r>
      <w:r>
        <w:rPr>
          <w:rFonts w:ascii="Verdana" w:hAnsi="Verdana"/>
          <w:spacing w:val="-3"/>
          <w:sz w:val="20"/>
        </w:rPr>
        <w:t xml:space="preserve"> (Sentencia del 2</w:t>
      </w:r>
      <w:r>
        <w:rPr>
          <w:rFonts w:ascii="Verdana" w:hAnsi="Verdana"/>
          <w:spacing w:val="-3"/>
          <w:sz w:val="20"/>
        </w:rPr>
        <w:t xml:space="preserve">2.09.2006), y también en mis Votos Concurrentes en las Medidas Provisionales de Protección en los casos de </w:t>
      </w:r>
      <w:r>
        <w:rPr>
          <w:rFonts w:ascii="Verdana" w:hAnsi="Verdana"/>
          <w:i/>
          <w:iCs/>
          <w:spacing w:val="-3"/>
          <w:sz w:val="20"/>
        </w:rPr>
        <w:t>Eloísa Barrios y Otros versus Venezuela</w:t>
      </w:r>
      <w:r>
        <w:rPr>
          <w:rFonts w:ascii="Verdana" w:hAnsi="Verdana"/>
          <w:spacing w:val="-3"/>
          <w:sz w:val="20"/>
        </w:rPr>
        <w:t xml:space="preserve"> (Resolución del 29.06.2005), de </w:t>
      </w:r>
      <w:smartTag w:uri="urn:schemas-microsoft-com:office:smarttags" w:element="PersonName">
        <w:smartTagPr>
          <w:attr w:name="ProductID" w:val="la Comunidad"/>
        </w:smartTagPr>
        <w:r>
          <w:rPr>
            <w:rFonts w:ascii="Verdana" w:hAnsi="Verdana"/>
            <w:spacing w:val="-3"/>
            <w:sz w:val="20"/>
          </w:rPr>
          <w:t xml:space="preserve">la </w:t>
        </w:r>
        <w:r>
          <w:rPr>
            <w:rFonts w:ascii="Verdana" w:hAnsi="Verdana"/>
            <w:i/>
            <w:iCs/>
            <w:spacing w:val="-3"/>
            <w:sz w:val="20"/>
          </w:rPr>
          <w:t>Comunidad</w:t>
        </w:r>
      </w:smartTag>
      <w:r>
        <w:rPr>
          <w:rFonts w:ascii="Verdana" w:hAnsi="Verdana"/>
          <w:i/>
          <w:iCs/>
          <w:spacing w:val="-3"/>
          <w:sz w:val="20"/>
        </w:rPr>
        <w:t xml:space="preserve"> de Paz de San José de Apartadó versus Colombia</w:t>
      </w:r>
      <w:r>
        <w:rPr>
          <w:rFonts w:ascii="Verdana" w:hAnsi="Verdana"/>
          <w:spacing w:val="-3"/>
          <w:sz w:val="20"/>
        </w:rPr>
        <w:t xml:space="preserve"> (Resolución del 0</w:t>
      </w:r>
      <w:r>
        <w:rPr>
          <w:rFonts w:ascii="Verdana" w:hAnsi="Verdana"/>
          <w:spacing w:val="-3"/>
          <w:sz w:val="20"/>
        </w:rPr>
        <w:t xml:space="preserve">2.02.2006), y de las </w:t>
      </w:r>
      <w:r>
        <w:rPr>
          <w:rFonts w:ascii="Verdana" w:hAnsi="Verdana"/>
          <w:i/>
          <w:iCs/>
          <w:spacing w:val="-3"/>
          <w:sz w:val="20"/>
        </w:rPr>
        <w:t>Comunidades del Jiguamiandó y del Curbaradó versus Colombia</w:t>
      </w:r>
      <w:r>
        <w:rPr>
          <w:rFonts w:ascii="Verdana" w:hAnsi="Verdana"/>
          <w:spacing w:val="-3"/>
          <w:sz w:val="20"/>
        </w:rPr>
        <w:t xml:space="preserve"> (Resolución del 07.02.2006).</w:t>
      </w:r>
    </w:p>
    <w:p w:rsidR="00000000" w:rsidRDefault="00687F2E">
      <w:pPr>
        <w:jc w:val="both"/>
        <w:rPr>
          <w:rFonts w:ascii="Verdana" w:hAnsi="Verdana"/>
          <w:spacing w:val="-3"/>
          <w:sz w:val="20"/>
        </w:rPr>
      </w:pPr>
    </w:p>
    <w:p w:rsidR="00000000" w:rsidRDefault="00687F2E">
      <w:pPr>
        <w:jc w:val="both"/>
        <w:rPr>
          <w:rFonts w:ascii="Verdana" w:hAnsi="Verdana"/>
          <w:spacing w:val="-3"/>
          <w:sz w:val="20"/>
        </w:rPr>
      </w:pPr>
      <w:r>
        <w:rPr>
          <w:rFonts w:ascii="Verdana" w:hAnsi="Verdana"/>
          <w:b/>
          <w:bCs/>
          <w:spacing w:val="-3"/>
          <w:sz w:val="20"/>
        </w:rPr>
        <w:tab/>
        <w:t xml:space="preserve">III. </w:t>
      </w:r>
      <w:r>
        <w:rPr>
          <w:rFonts w:ascii="Verdana" w:hAnsi="Verdana"/>
          <w:b/>
          <w:bCs/>
          <w:spacing w:val="-3"/>
          <w:sz w:val="20"/>
        </w:rPr>
        <w:tab/>
      </w:r>
      <w:smartTag w:uri="urn:schemas-microsoft-com:office:smarttags" w:element="PersonName">
        <w:smartTagPr>
          <w:attr w:name="ProductID" w:val="La Ampliaci￳n"/>
        </w:smartTagPr>
        <w:r>
          <w:rPr>
            <w:rFonts w:ascii="Verdana" w:hAnsi="Verdana"/>
            <w:b/>
            <w:bCs/>
            <w:spacing w:val="-3"/>
            <w:sz w:val="20"/>
          </w:rPr>
          <w:t>La Ampliación</w:t>
        </w:r>
      </w:smartTag>
      <w:r>
        <w:rPr>
          <w:rFonts w:ascii="Verdana" w:hAnsi="Verdana"/>
          <w:b/>
          <w:bCs/>
          <w:spacing w:val="-3"/>
          <w:sz w:val="20"/>
        </w:rPr>
        <w:t xml:space="preserve"> - y No </w:t>
      </w:r>
      <w:smartTag w:uri="urn:schemas-microsoft-com:office:smarttags" w:element="PersonName">
        <w:smartTagPr>
          <w:attr w:name="ProductID" w:val="la Restricci￳n"/>
        </w:smartTagPr>
        <w:r>
          <w:rPr>
            <w:rFonts w:ascii="Verdana" w:hAnsi="Verdana"/>
            <w:b/>
            <w:bCs/>
            <w:spacing w:val="-3"/>
            <w:sz w:val="20"/>
          </w:rPr>
          <w:t>la Restricción</w:t>
        </w:r>
      </w:smartTag>
      <w:r>
        <w:rPr>
          <w:rFonts w:ascii="Verdana" w:hAnsi="Verdana"/>
          <w:b/>
          <w:bCs/>
          <w:spacing w:val="-3"/>
          <w:sz w:val="20"/>
        </w:rPr>
        <w:t xml:space="preserve"> - de </w:t>
      </w:r>
      <w:smartTag w:uri="urn:schemas-microsoft-com:office:smarttags" w:element="PersonName">
        <w:smartTagPr>
          <w:attr w:name="ProductID" w:val="la Condici￳n"/>
        </w:smartTagPr>
        <w:r>
          <w:rPr>
            <w:rFonts w:ascii="Verdana" w:hAnsi="Verdana"/>
            <w:b/>
            <w:bCs/>
            <w:spacing w:val="-3"/>
            <w:sz w:val="20"/>
          </w:rPr>
          <w:t>la Condición</w:t>
        </w:r>
      </w:smartTag>
      <w:r>
        <w:rPr>
          <w:rFonts w:ascii="Verdana" w:hAnsi="Verdana"/>
          <w:b/>
          <w:bCs/>
          <w:spacing w:val="-3"/>
          <w:sz w:val="20"/>
        </w:rPr>
        <w:t xml:space="preserve"> de</w:t>
      </w:r>
      <w:r>
        <w:rPr>
          <w:rFonts w:ascii="Verdana" w:hAnsi="Verdana"/>
          <w:b/>
          <w:bCs/>
          <w:i/>
          <w:iCs/>
          <w:spacing w:val="-3"/>
          <w:sz w:val="20"/>
        </w:rPr>
        <w:t xml:space="preserve"> Víctima</w:t>
      </w:r>
      <w:r>
        <w:rPr>
          <w:rFonts w:ascii="Verdana" w:hAnsi="Verdana"/>
          <w:b/>
          <w:bCs/>
          <w:spacing w:val="-3"/>
          <w:sz w:val="20"/>
        </w:rPr>
        <w:t xml:space="preserve"> bajo </w:t>
      </w:r>
      <w:smartTag w:uri="urn:schemas-microsoft-com:office:smarttags" w:element="PersonName">
        <w:smartTagPr>
          <w:attr w:name="ProductID" w:val="la  Convenci￳n Americana."/>
        </w:smartTagPr>
        <w:r>
          <w:rPr>
            <w:rFonts w:ascii="Verdana" w:hAnsi="Verdana"/>
            <w:b/>
            <w:bCs/>
            <w:spacing w:val="-3"/>
            <w:sz w:val="20"/>
          </w:rPr>
          <w:t xml:space="preserve">la </w:t>
        </w:r>
        <w:r>
          <w:rPr>
            <w:rFonts w:ascii="Verdana" w:hAnsi="Verdana"/>
            <w:b/>
            <w:bCs/>
            <w:spacing w:val="-3"/>
            <w:sz w:val="20"/>
          </w:rPr>
          <w:tab/>
          <w:t>Convención Americana.</w:t>
        </w:r>
      </w:smartTag>
    </w:p>
    <w:p w:rsidR="00000000" w:rsidRDefault="00687F2E">
      <w:pPr>
        <w:jc w:val="both"/>
        <w:rPr>
          <w:rFonts w:ascii="Verdana" w:hAnsi="Verdana"/>
          <w:spacing w:val="-3"/>
          <w:sz w:val="20"/>
        </w:rPr>
      </w:pPr>
    </w:p>
    <w:p w:rsidR="00000000" w:rsidRDefault="00687F2E">
      <w:pPr>
        <w:jc w:val="both"/>
        <w:rPr>
          <w:rFonts w:ascii="Verdana" w:hAnsi="Verdana"/>
          <w:spacing w:val="-3"/>
          <w:sz w:val="20"/>
        </w:rPr>
      </w:pPr>
      <w:r>
        <w:rPr>
          <w:rFonts w:ascii="Verdana" w:hAnsi="Verdana"/>
          <w:spacing w:val="-3"/>
          <w:sz w:val="20"/>
        </w:rPr>
        <w:t xml:space="preserve">39. </w:t>
      </w:r>
      <w:r>
        <w:rPr>
          <w:rFonts w:ascii="Verdana" w:hAnsi="Verdana"/>
          <w:spacing w:val="-3"/>
          <w:sz w:val="20"/>
        </w:rPr>
        <w:tab/>
        <w:t>He introducido, en el seno de esta C</w:t>
      </w:r>
      <w:r>
        <w:rPr>
          <w:rFonts w:ascii="Verdana" w:hAnsi="Verdana"/>
          <w:spacing w:val="-3"/>
          <w:sz w:val="20"/>
        </w:rPr>
        <w:t xml:space="preserve">orte, el razonamiento en el sentido de la </w:t>
      </w:r>
      <w:r>
        <w:rPr>
          <w:rFonts w:ascii="Verdana" w:hAnsi="Verdana"/>
          <w:i/>
          <w:iCs/>
          <w:spacing w:val="-3"/>
          <w:sz w:val="20"/>
        </w:rPr>
        <w:t>ampliación</w:t>
      </w:r>
      <w:r>
        <w:rPr>
          <w:rFonts w:ascii="Verdana" w:hAnsi="Verdana"/>
          <w:spacing w:val="-3"/>
          <w:sz w:val="20"/>
        </w:rPr>
        <w:t xml:space="preserve"> de la noción de víctima para efectos de reparaciones, de modo a incluir a los familiares inmediatos (de las víctimas fatales) en su derecho propio (Votos Razonados en los casos </w:t>
      </w:r>
      <w:r>
        <w:rPr>
          <w:rFonts w:ascii="Verdana" w:hAnsi="Verdana"/>
          <w:i/>
          <w:iCs/>
          <w:spacing w:val="-3"/>
          <w:sz w:val="20"/>
        </w:rPr>
        <w:t>Blake versus Guatemala</w:t>
      </w:r>
      <w:r>
        <w:rPr>
          <w:rFonts w:ascii="Verdana" w:hAnsi="Verdana"/>
          <w:spacing w:val="-3"/>
          <w:sz w:val="20"/>
        </w:rPr>
        <w:t xml:space="preserve"> [fo</w:t>
      </w:r>
      <w:r>
        <w:rPr>
          <w:rFonts w:ascii="Verdana" w:hAnsi="Verdana"/>
          <w:spacing w:val="-3"/>
          <w:sz w:val="20"/>
        </w:rPr>
        <w:t xml:space="preserve">ndo y reparaciones, 1998 y 1999] y </w:t>
      </w:r>
      <w:r>
        <w:rPr>
          <w:rFonts w:ascii="Verdana" w:hAnsi="Verdana"/>
          <w:i/>
          <w:iCs/>
          <w:spacing w:val="-3"/>
          <w:sz w:val="20"/>
        </w:rPr>
        <w:t>Bámaca Velásquez versus Guatemala</w:t>
      </w:r>
      <w:r>
        <w:rPr>
          <w:rFonts w:ascii="Verdana" w:hAnsi="Verdana"/>
          <w:spacing w:val="-3"/>
          <w:sz w:val="20"/>
        </w:rPr>
        <w:t xml:space="preserve"> [fondo y reparaciones, 2000-2002). Al sostener esta tesis, lo hice con base en la constatación del sufrimiento humano, o sea, con base en el reconocimiento expreso de la </w:t>
      </w:r>
      <w:r>
        <w:rPr>
          <w:rFonts w:ascii="Verdana" w:hAnsi="Verdana"/>
          <w:i/>
          <w:iCs/>
          <w:spacing w:val="-3"/>
          <w:sz w:val="20"/>
        </w:rPr>
        <w:t>centralidad</w:t>
      </w:r>
      <w:r>
        <w:rPr>
          <w:rFonts w:ascii="Verdana" w:hAnsi="Verdana"/>
          <w:spacing w:val="-3"/>
          <w:sz w:val="20"/>
        </w:rPr>
        <w:t xml:space="preserve"> del s</w:t>
      </w:r>
      <w:r>
        <w:rPr>
          <w:rFonts w:ascii="Verdana" w:hAnsi="Verdana"/>
          <w:spacing w:val="-3"/>
          <w:sz w:val="20"/>
        </w:rPr>
        <w:t>ufrimiento de las víctimas en el marco del Derecho Internacional de los Derechos Humanos (mis Votos Razonados, v.g., en los casos "</w:t>
      </w:r>
      <w:r>
        <w:rPr>
          <w:rFonts w:ascii="Verdana" w:hAnsi="Verdana"/>
          <w:i/>
          <w:iCs/>
          <w:spacing w:val="-3"/>
          <w:sz w:val="20"/>
        </w:rPr>
        <w:t xml:space="preserve">Niños de </w:t>
      </w:r>
      <w:smartTag w:uri="urn:schemas-microsoft-com:office:smarttags" w:element="PersonName">
        <w:smartTagPr>
          <w:attr w:name="ProductID" w:val="la Calle"/>
        </w:smartTagPr>
        <w:r>
          <w:rPr>
            <w:rFonts w:ascii="Verdana" w:hAnsi="Verdana"/>
            <w:i/>
            <w:iCs/>
            <w:spacing w:val="-3"/>
            <w:sz w:val="20"/>
          </w:rPr>
          <w:t>la Calle</w:t>
        </w:r>
      </w:smartTag>
      <w:r>
        <w:rPr>
          <w:rFonts w:ascii="Verdana" w:hAnsi="Verdana"/>
          <w:spacing w:val="-3"/>
          <w:sz w:val="20"/>
        </w:rPr>
        <w:t xml:space="preserve">" </w:t>
      </w:r>
      <w:r>
        <w:rPr>
          <w:rFonts w:ascii="Verdana" w:hAnsi="Verdana"/>
          <w:i/>
          <w:iCs/>
          <w:spacing w:val="-3"/>
          <w:sz w:val="20"/>
        </w:rPr>
        <w:t>(Villagrán Morales y Otros) versus Guatemala</w:t>
      </w:r>
      <w:r>
        <w:rPr>
          <w:rFonts w:ascii="Verdana" w:hAnsi="Verdana"/>
          <w:spacing w:val="-3"/>
          <w:sz w:val="20"/>
        </w:rPr>
        <w:t xml:space="preserve"> [reparaciones, 2001], </w:t>
      </w:r>
      <w:r>
        <w:rPr>
          <w:rFonts w:ascii="Verdana" w:hAnsi="Verdana"/>
          <w:i/>
          <w:iCs/>
          <w:spacing w:val="-3"/>
          <w:sz w:val="20"/>
        </w:rPr>
        <w:t>Bulacio versus Argentina</w:t>
      </w:r>
      <w:r>
        <w:rPr>
          <w:rFonts w:ascii="Verdana" w:hAnsi="Verdana"/>
          <w:spacing w:val="-3"/>
          <w:sz w:val="20"/>
        </w:rPr>
        <w:t xml:space="preserve"> [2003], </w:t>
      </w:r>
      <w:r>
        <w:rPr>
          <w:rFonts w:ascii="Verdana" w:hAnsi="Verdana"/>
          <w:i/>
          <w:iCs/>
          <w:spacing w:val="-3"/>
          <w:sz w:val="20"/>
        </w:rPr>
        <w:t>Herman</w:t>
      </w:r>
      <w:r>
        <w:rPr>
          <w:rFonts w:ascii="Verdana" w:hAnsi="Verdana"/>
          <w:i/>
          <w:iCs/>
          <w:spacing w:val="-3"/>
          <w:sz w:val="20"/>
        </w:rPr>
        <w:t>os Gómez Paquiyauri versus Perú</w:t>
      </w:r>
      <w:r>
        <w:rPr>
          <w:rFonts w:ascii="Verdana" w:hAnsi="Verdana"/>
          <w:spacing w:val="-3"/>
          <w:sz w:val="20"/>
        </w:rPr>
        <w:t xml:space="preserve"> [2004], </w:t>
      </w:r>
      <w:r>
        <w:rPr>
          <w:rFonts w:ascii="Verdana" w:hAnsi="Verdana"/>
          <w:i/>
          <w:iCs/>
          <w:spacing w:val="-3"/>
          <w:sz w:val="20"/>
        </w:rPr>
        <w:t>Tibi versus Ecuador</w:t>
      </w:r>
      <w:r>
        <w:rPr>
          <w:rFonts w:ascii="Verdana" w:hAnsi="Verdana"/>
          <w:spacing w:val="-3"/>
          <w:sz w:val="20"/>
        </w:rPr>
        <w:t xml:space="preserve"> [2004], </w:t>
      </w:r>
      <w:r>
        <w:rPr>
          <w:rFonts w:ascii="Verdana" w:hAnsi="Verdana"/>
          <w:i/>
          <w:iCs/>
          <w:spacing w:val="-3"/>
          <w:sz w:val="20"/>
        </w:rPr>
        <w:t>Comunidad Indígena Sawhoyamaxa versus Paraguay</w:t>
      </w:r>
      <w:r>
        <w:rPr>
          <w:rFonts w:ascii="Verdana" w:hAnsi="Verdana"/>
          <w:spacing w:val="-3"/>
          <w:sz w:val="20"/>
        </w:rPr>
        <w:t xml:space="preserve"> [2006], </w:t>
      </w:r>
      <w:r>
        <w:rPr>
          <w:rFonts w:ascii="Verdana" w:hAnsi="Verdana"/>
          <w:i/>
          <w:iCs/>
          <w:spacing w:val="-3"/>
          <w:sz w:val="20"/>
        </w:rPr>
        <w:t>Ximenes Lopes versus Brasil</w:t>
      </w:r>
      <w:r>
        <w:rPr>
          <w:rFonts w:ascii="Verdana" w:hAnsi="Verdana"/>
          <w:spacing w:val="-3"/>
          <w:sz w:val="20"/>
        </w:rPr>
        <w:t xml:space="preserve"> [2006])</w:t>
      </w:r>
      <w:r>
        <w:rPr>
          <w:rStyle w:val="Refdenotaalpie"/>
          <w:rFonts w:cs="Courier New"/>
          <w:spacing w:val="-3"/>
          <w:sz w:val="20"/>
          <w:lang w:val="es-ES_tradnl"/>
        </w:rPr>
        <w:footnoteReference w:id="50"/>
      </w:r>
      <w:r>
        <w:rPr>
          <w:rFonts w:ascii="Verdana" w:hAnsi="Verdana"/>
          <w:spacing w:val="-3"/>
          <w:sz w:val="20"/>
        </w:rPr>
        <w:t xml:space="preserve">. He insistido inclusive en la configuración de la noción de víctima también en el ámbito propio </w:t>
      </w:r>
      <w:r>
        <w:rPr>
          <w:rFonts w:ascii="Verdana" w:hAnsi="Verdana"/>
          <w:spacing w:val="-3"/>
          <w:sz w:val="20"/>
        </w:rPr>
        <w:t xml:space="preserve">de las medidas provisionales de protección (mis Votos Concurrentes, v.g., en los casos </w:t>
      </w:r>
      <w:r>
        <w:rPr>
          <w:rFonts w:ascii="Verdana" w:hAnsi="Verdana"/>
          <w:i/>
          <w:iCs/>
          <w:spacing w:val="-3"/>
          <w:sz w:val="20"/>
        </w:rPr>
        <w:t>Eloísa Barrios y Otros versus Venezuela</w:t>
      </w:r>
      <w:r>
        <w:rPr>
          <w:rFonts w:ascii="Verdana" w:hAnsi="Verdana"/>
          <w:spacing w:val="-3"/>
          <w:sz w:val="20"/>
        </w:rPr>
        <w:t xml:space="preserve"> [2005], </w:t>
      </w:r>
      <w:r>
        <w:rPr>
          <w:rFonts w:ascii="Verdana" w:hAnsi="Verdana"/>
          <w:i/>
          <w:iCs/>
          <w:spacing w:val="-3"/>
          <w:sz w:val="20"/>
        </w:rPr>
        <w:t xml:space="preserve">Comunidad de Paz de San José de Apartadó versus </w:t>
      </w:r>
      <w:r>
        <w:rPr>
          <w:rFonts w:ascii="Verdana" w:hAnsi="Verdana"/>
          <w:i/>
          <w:iCs/>
          <w:spacing w:val="-3"/>
          <w:sz w:val="20"/>
        </w:rPr>
        <w:lastRenderedPageBreak/>
        <w:t>Colombia</w:t>
      </w:r>
      <w:r>
        <w:rPr>
          <w:rFonts w:ascii="Verdana" w:hAnsi="Verdana"/>
          <w:spacing w:val="-3"/>
          <w:sz w:val="20"/>
        </w:rPr>
        <w:t xml:space="preserve"> [2006], </w:t>
      </w:r>
      <w:r>
        <w:rPr>
          <w:rFonts w:ascii="Verdana" w:hAnsi="Verdana"/>
          <w:i/>
          <w:iCs/>
          <w:spacing w:val="-3"/>
          <w:sz w:val="20"/>
        </w:rPr>
        <w:t>Comunidades del Jiguamiandó y del Curbaradó versus Colom</w:t>
      </w:r>
      <w:r>
        <w:rPr>
          <w:rFonts w:ascii="Verdana" w:hAnsi="Verdana"/>
          <w:i/>
          <w:iCs/>
          <w:spacing w:val="-3"/>
          <w:sz w:val="20"/>
        </w:rPr>
        <w:t>bia</w:t>
      </w:r>
      <w:r>
        <w:rPr>
          <w:rFonts w:ascii="Verdana" w:hAnsi="Verdana"/>
          <w:spacing w:val="-3"/>
          <w:sz w:val="20"/>
        </w:rPr>
        <w:t xml:space="preserve"> [2006])</w:t>
      </w:r>
      <w:r>
        <w:rPr>
          <w:rStyle w:val="Refdenotaalpie"/>
          <w:rFonts w:cs="Courier New"/>
          <w:spacing w:val="-3"/>
          <w:sz w:val="20"/>
          <w:lang w:val="es-ES_tradnl"/>
        </w:rPr>
        <w:footnoteReference w:id="51"/>
      </w:r>
      <w:r>
        <w:rPr>
          <w:rFonts w:ascii="Verdana" w:hAnsi="Verdana"/>
          <w:spacing w:val="-3"/>
          <w:sz w:val="20"/>
        </w:rPr>
        <w:t xml:space="preserve">. </w:t>
      </w:r>
    </w:p>
    <w:p w:rsidR="00000000" w:rsidRDefault="00687F2E">
      <w:pPr>
        <w:jc w:val="both"/>
        <w:rPr>
          <w:rFonts w:ascii="Verdana" w:hAnsi="Verdana"/>
          <w:spacing w:val="-3"/>
          <w:sz w:val="20"/>
        </w:rPr>
      </w:pPr>
    </w:p>
    <w:p w:rsidR="00000000" w:rsidRDefault="00687F2E">
      <w:pPr>
        <w:jc w:val="both"/>
        <w:rPr>
          <w:rFonts w:ascii="Verdana" w:hAnsi="Verdana"/>
          <w:spacing w:val="-3"/>
          <w:sz w:val="20"/>
        </w:rPr>
      </w:pPr>
      <w:r>
        <w:rPr>
          <w:rFonts w:ascii="Verdana" w:hAnsi="Verdana"/>
          <w:spacing w:val="-3"/>
          <w:sz w:val="20"/>
        </w:rPr>
        <w:t>40.</w:t>
      </w:r>
      <w:r>
        <w:rPr>
          <w:rFonts w:ascii="Verdana" w:hAnsi="Verdana"/>
          <w:spacing w:val="-3"/>
          <w:sz w:val="20"/>
        </w:rPr>
        <w:tab/>
        <w:t xml:space="preserve">En el presente caso de </w:t>
      </w:r>
      <w:smartTag w:uri="urn:schemas-microsoft-com:office:smarttags" w:element="PersonName">
        <w:smartTagPr>
          <w:attr w:name="ProductID" w:val="La Cantuta"/>
        </w:smartTagPr>
        <w:r>
          <w:rPr>
            <w:rFonts w:ascii="Verdana" w:hAnsi="Verdana"/>
            <w:i/>
            <w:iCs/>
            <w:spacing w:val="-3"/>
            <w:sz w:val="20"/>
          </w:rPr>
          <w:t>La Cantuta</w:t>
        </w:r>
      </w:smartTag>
      <w:r>
        <w:rPr>
          <w:rFonts w:ascii="Verdana" w:hAnsi="Verdana"/>
          <w:i/>
          <w:iCs/>
          <w:spacing w:val="-3"/>
          <w:sz w:val="20"/>
        </w:rPr>
        <w:t xml:space="preserve"> versus Perú</w:t>
      </w:r>
      <w:r>
        <w:rPr>
          <w:rFonts w:ascii="Verdana" w:hAnsi="Verdana"/>
          <w:spacing w:val="-3"/>
          <w:sz w:val="20"/>
        </w:rPr>
        <w:t xml:space="preserve"> (Interpretación de Sentencia, 2007), me veo, pues, en la obligación de volver a defender el razonamiento que yo había introducido en </w:t>
      </w:r>
      <w:smartTag w:uri="urn:schemas-microsoft-com:office:smarttags" w:element="PersonName">
        <w:smartTagPr>
          <w:attr w:name="ProductID" w:val="la Corte"/>
        </w:smartTagPr>
        <w:r>
          <w:rPr>
            <w:rFonts w:ascii="Verdana" w:hAnsi="Verdana"/>
            <w:spacing w:val="-3"/>
            <w:sz w:val="20"/>
          </w:rPr>
          <w:t>la Corte</w:t>
        </w:r>
      </w:smartTag>
      <w:r>
        <w:rPr>
          <w:rFonts w:ascii="Verdana" w:hAnsi="Verdana"/>
          <w:spacing w:val="-3"/>
          <w:sz w:val="20"/>
        </w:rPr>
        <w:t xml:space="preserve">, y que ya formaba parte de su </w:t>
      </w:r>
      <w:r>
        <w:rPr>
          <w:rFonts w:ascii="Verdana" w:hAnsi="Verdana"/>
          <w:i/>
          <w:iCs/>
          <w:spacing w:val="-3"/>
          <w:sz w:val="20"/>
        </w:rPr>
        <w:t>jurisprudence cons</w:t>
      </w:r>
      <w:r>
        <w:rPr>
          <w:rFonts w:ascii="Verdana" w:hAnsi="Verdana"/>
          <w:i/>
          <w:iCs/>
          <w:spacing w:val="-3"/>
          <w:sz w:val="20"/>
        </w:rPr>
        <w:t>tante</w:t>
      </w:r>
      <w:r>
        <w:rPr>
          <w:rFonts w:ascii="Verdana" w:hAnsi="Verdana"/>
          <w:spacing w:val="-3"/>
          <w:sz w:val="20"/>
        </w:rPr>
        <w:t xml:space="preserve">, en cuanto a la ampliación de la noción de víctima bajo </w:t>
      </w:r>
      <w:smartTag w:uri="urn:schemas-microsoft-com:office:smarttags" w:element="PersonName">
        <w:smartTagPr>
          <w:attr w:name="ProductID" w:val="la Convenci￳n Americana"/>
        </w:smartTagPr>
        <w:r>
          <w:rPr>
            <w:rFonts w:ascii="Verdana" w:hAnsi="Verdana"/>
            <w:spacing w:val="-3"/>
            <w:sz w:val="20"/>
          </w:rPr>
          <w:t>la Convención Americana</w:t>
        </w:r>
      </w:smartTag>
      <w:r>
        <w:rPr>
          <w:rFonts w:ascii="Verdana" w:hAnsi="Verdana"/>
          <w:spacing w:val="-3"/>
          <w:sz w:val="20"/>
        </w:rPr>
        <w:t xml:space="preserve"> sobre Derechos Humanos, - frente a un retroceso reciente y lamentable, introducido por </w:t>
      </w:r>
      <w:smartTag w:uri="urn:schemas-microsoft-com:office:smarttags" w:element="PersonName">
        <w:smartTagPr>
          <w:attr w:name="ProductID" w:val="la Corte"/>
        </w:smartTagPr>
        <w:r>
          <w:rPr>
            <w:rFonts w:ascii="Verdana" w:hAnsi="Verdana"/>
            <w:spacing w:val="-3"/>
            <w:sz w:val="20"/>
          </w:rPr>
          <w:t>la Corte</w:t>
        </w:r>
      </w:smartTag>
      <w:r>
        <w:rPr>
          <w:rFonts w:ascii="Verdana" w:hAnsi="Verdana"/>
          <w:spacing w:val="-3"/>
          <w:sz w:val="20"/>
        </w:rPr>
        <w:t xml:space="preserve"> en su Sentencia (de fondo y reparaciones, del 29.11.2006) en el presente c</w:t>
      </w:r>
      <w:r>
        <w:rPr>
          <w:rFonts w:ascii="Verdana" w:hAnsi="Verdana"/>
          <w:spacing w:val="-3"/>
          <w:sz w:val="20"/>
        </w:rPr>
        <w:t xml:space="preserve">aso de </w:t>
      </w:r>
      <w:smartTag w:uri="urn:schemas-microsoft-com:office:smarttags" w:element="PersonName">
        <w:smartTagPr>
          <w:attr w:name="ProductID" w:val="La Cantuta. En"/>
        </w:smartTagPr>
        <w:r>
          <w:rPr>
            <w:rFonts w:ascii="Verdana" w:hAnsi="Verdana"/>
            <w:i/>
            <w:iCs/>
            <w:spacing w:val="-3"/>
            <w:sz w:val="20"/>
          </w:rPr>
          <w:t>La Cantuta</w:t>
        </w:r>
        <w:r>
          <w:rPr>
            <w:rFonts w:ascii="Verdana" w:hAnsi="Verdana"/>
            <w:spacing w:val="-3"/>
            <w:sz w:val="20"/>
          </w:rPr>
          <w:t>. En</w:t>
        </w:r>
      </w:smartTag>
      <w:r>
        <w:rPr>
          <w:rFonts w:ascii="Verdana" w:hAnsi="Verdana"/>
          <w:spacing w:val="-3"/>
          <w:sz w:val="20"/>
        </w:rPr>
        <w:t xml:space="preserve"> dicha Sentencia, </w:t>
      </w:r>
      <w:smartTag w:uri="urn:schemas-microsoft-com:office:smarttags" w:element="PersonName">
        <w:smartTagPr>
          <w:attr w:name="ProductID" w:val="la Corte"/>
        </w:smartTagPr>
        <w:r>
          <w:rPr>
            <w:rFonts w:ascii="Verdana" w:hAnsi="Verdana"/>
            <w:spacing w:val="-3"/>
            <w:sz w:val="20"/>
          </w:rPr>
          <w:t>la Corte</w:t>
        </w:r>
      </w:smartTag>
      <w:r>
        <w:rPr>
          <w:rFonts w:ascii="Verdana" w:hAnsi="Verdana"/>
          <w:spacing w:val="-3"/>
          <w:sz w:val="20"/>
        </w:rPr>
        <w:t xml:space="preserve"> observó que </w:t>
      </w:r>
    </w:p>
    <w:p w:rsidR="00000000" w:rsidRDefault="00687F2E">
      <w:pPr>
        <w:jc w:val="both"/>
        <w:rPr>
          <w:rFonts w:ascii="Verdana" w:hAnsi="Verdana"/>
          <w:spacing w:val="-3"/>
          <w:sz w:val="20"/>
        </w:rPr>
      </w:pPr>
    </w:p>
    <w:p w:rsidR="00000000" w:rsidRDefault="00687F2E">
      <w:pPr>
        <w:ind w:left="720" w:right="720"/>
        <w:jc w:val="both"/>
        <w:rPr>
          <w:rFonts w:ascii="Verdana" w:hAnsi="Verdana"/>
          <w:spacing w:val="-3"/>
          <w:sz w:val="18"/>
        </w:rPr>
      </w:pPr>
      <w:r>
        <w:rPr>
          <w:rFonts w:ascii="Verdana" w:hAnsi="Verdana"/>
          <w:spacing w:val="-3"/>
          <w:sz w:val="18"/>
        </w:rPr>
        <w:tab/>
        <w:t xml:space="preserve">"tanto </w:t>
      </w:r>
      <w:smartTag w:uri="urn:schemas-microsoft-com:office:smarttags" w:element="PersonName">
        <w:smartTagPr>
          <w:attr w:name="ProductID" w:val="la Comisi￳n Interamericana"/>
        </w:smartTagPr>
        <w:r>
          <w:rPr>
            <w:rFonts w:ascii="Verdana" w:hAnsi="Verdana"/>
            <w:spacing w:val="-3"/>
            <w:sz w:val="18"/>
          </w:rPr>
          <w:t>la Comisión Interamericana</w:t>
        </w:r>
      </w:smartTag>
      <w:r>
        <w:rPr>
          <w:rFonts w:ascii="Verdana" w:hAnsi="Verdana"/>
          <w:spacing w:val="-3"/>
          <w:sz w:val="18"/>
        </w:rPr>
        <w:t xml:space="preserve"> como las representantes [de las víctimas] señalaron a diversos hermanos y hermanas de las personas ejecutadas o desaparecidas como presuntas víctimas de la vio</w:t>
      </w:r>
      <w:r>
        <w:rPr>
          <w:rFonts w:ascii="Verdana" w:hAnsi="Verdana"/>
          <w:spacing w:val="-3"/>
          <w:sz w:val="18"/>
        </w:rPr>
        <w:t xml:space="preserve">lación del artículo 5 de </w:t>
      </w:r>
      <w:smartTag w:uri="urn:schemas-microsoft-com:office:smarttags" w:element="PersonName">
        <w:smartTagPr>
          <w:attr w:name="ProductID" w:val="la Convenci￳n. Sin"/>
        </w:smartTagPr>
        <w:r>
          <w:rPr>
            <w:rFonts w:ascii="Verdana" w:hAnsi="Verdana"/>
            <w:spacing w:val="-3"/>
            <w:sz w:val="18"/>
          </w:rPr>
          <w:t>la Convención. Sin</w:t>
        </w:r>
      </w:smartTag>
      <w:r>
        <w:rPr>
          <w:rFonts w:ascii="Verdana" w:hAnsi="Verdana"/>
          <w:spacing w:val="-3"/>
          <w:sz w:val="18"/>
        </w:rPr>
        <w:t xml:space="preserve"> embargo, en varios de esos casos no fue aportada prueba suficiente que permita al Tribunal establecer un perjuicio cierto respecto de dichos familiares. Por ende, </w:t>
      </w:r>
      <w:smartTag w:uri="urn:schemas-microsoft-com:office:smarttags" w:element="PersonName">
        <w:smartTagPr>
          <w:attr w:name="ProductID" w:val="la Corte"/>
        </w:smartTagPr>
        <w:r>
          <w:rPr>
            <w:rFonts w:ascii="Verdana" w:hAnsi="Verdana"/>
            <w:spacing w:val="-3"/>
            <w:sz w:val="18"/>
          </w:rPr>
          <w:t>la Corte</w:t>
        </w:r>
      </w:smartTag>
      <w:r>
        <w:rPr>
          <w:rFonts w:ascii="Verdana" w:hAnsi="Verdana"/>
          <w:spacing w:val="-3"/>
          <w:sz w:val="18"/>
        </w:rPr>
        <w:t xml:space="preserve"> considera como víctimas a los hermanos y</w:t>
      </w:r>
      <w:r>
        <w:rPr>
          <w:rFonts w:ascii="Verdana" w:hAnsi="Verdana"/>
          <w:spacing w:val="-3"/>
          <w:sz w:val="18"/>
        </w:rPr>
        <w:t xml:space="preserve"> hermanas respecto de quienes se cuente con prueba suficiente al respecto" (párr. 128).</w:t>
      </w:r>
    </w:p>
    <w:p w:rsidR="00000000" w:rsidRDefault="00687F2E">
      <w:pPr>
        <w:jc w:val="both"/>
        <w:rPr>
          <w:rFonts w:ascii="Verdana" w:hAnsi="Verdana"/>
          <w:spacing w:val="-3"/>
          <w:sz w:val="20"/>
        </w:rPr>
      </w:pPr>
    </w:p>
    <w:p w:rsidR="00000000" w:rsidRDefault="00687F2E">
      <w:pPr>
        <w:jc w:val="both"/>
        <w:rPr>
          <w:rFonts w:ascii="Verdana" w:hAnsi="Verdana"/>
          <w:spacing w:val="-3"/>
          <w:sz w:val="20"/>
        </w:rPr>
      </w:pPr>
      <w:smartTag w:uri="urn:schemas-microsoft-com:office:smarttags" w:element="PersonName">
        <w:smartTagPr>
          <w:attr w:name="ProductID" w:val="la Corte"/>
        </w:smartTagPr>
        <w:r>
          <w:rPr>
            <w:rFonts w:ascii="Verdana" w:hAnsi="Verdana"/>
            <w:spacing w:val="-3"/>
            <w:sz w:val="20"/>
          </w:rPr>
          <w:t>La Corte</w:t>
        </w:r>
      </w:smartTag>
      <w:r>
        <w:rPr>
          <w:rFonts w:ascii="Verdana" w:hAnsi="Verdana"/>
          <w:spacing w:val="-3"/>
          <w:sz w:val="20"/>
        </w:rPr>
        <w:t xml:space="preserve"> introdujo así un nuevo criterio, más restrictivo para las víctimas, que constituye un desvío lamentable de su anterior </w:t>
      </w:r>
      <w:r>
        <w:rPr>
          <w:rFonts w:ascii="Verdana" w:hAnsi="Verdana"/>
          <w:i/>
          <w:iCs/>
          <w:spacing w:val="-3"/>
          <w:sz w:val="20"/>
        </w:rPr>
        <w:t>jurisprudence constante</w:t>
      </w:r>
      <w:r>
        <w:rPr>
          <w:rFonts w:ascii="Verdana" w:hAnsi="Verdana"/>
          <w:spacing w:val="-3"/>
          <w:sz w:val="20"/>
        </w:rPr>
        <w:t>, además de un r</w:t>
      </w:r>
      <w:r>
        <w:rPr>
          <w:rFonts w:ascii="Verdana" w:hAnsi="Verdana"/>
          <w:spacing w:val="-3"/>
          <w:sz w:val="20"/>
        </w:rPr>
        <w:t xml:space="preserve">etroceso, a mi modo de ver, insostenible.  </w:t>
      </w:r>
      <w:r>
        <w:rPr>
          <w:rFonts w:ascii="Verdana" w:hAnsi="Verdana"/>
          <w:spacing w:val="-3"/>
          <w:sz w:val="20"/>
        </w:rPr>
        <w:tab/>
      </w:r>
    </w:p>
    <w:p w:rsidR="00000000" w:rsidRDefault="00687F2E">
      <w:pPr>
        <w:jc w:val="both"/>
        <w:rPr>
          <w:rFonts w:ascii="Verdana" w:hAnsi="Verdana"/>
          <w:spacing w:val="-3"/>
          <w:sz w:val="20"/>
        </w:rPr>
      </w:pPr>
    </w:p>
    <w:p w:rsidR="00000000" w:rsidRDefault="00687F2E">
      <w:pPr>
        <w:jc w:val="both"/>
        <w:rPr>
          <w:rFonts w:ascii="Verdana" w:hAnsi="Verdana"/>
          <w:spacing w:val="-3"/>
          <w:sz w:val="20"/>
        </w:rPr>
      </w:pPr>
      <w:r>
        <w:rPr>
          <w:rFonts w:ascii="Verdana" w:hAnsi="Verdana"/>
          <w:spacing w:val="-3"/>
          <w:sz w:val="20"/>
        </w:rPr>
        <w:t>41.</w:t>
      </w:r>
      <w:r>
        <w:rPr>
          <w:rFonts w:ascii="Verdana" w:hAnsi="Verdana"/>
          <w:spacing w:val="-3"/>
          <w:sz w:val="20"/>
        </w:rPr>
        <w:tab/>
        <w:t xml:space="preserve">¿Qué prueba adicional requiere </w:t>
      </w:r>
      <w:smartTag w:uri="urn:schemas-microsoft-com:office:smarttags" w:element="PersonName">
        <w:smartTagPr>
          <w:attr w:name="ProductID" w:val="la Corte"/>
        </w:smartTagPr>
        <w:r>
          <w:rPr>
            <w:rFonts w:ascii="Verdana" w:hAnsi="Verdana"/>
            <w:spacing w:val="-3"/>
            <w:sz w:val="20"/>
          </w:rPr>
          <w:t>la Corte</w:t>
        </w:r>
      </w:smartTag>
      <w:r>
        <w:rPr>
          <w:rFonts w:ascii="Verdana" w:hAnsi="Verdana"/>
          <w:spacing w:val="-3"/>
          <w:sz w:val="20"/>
        </w:rPr>
        <w:t xml:space="preserve"> de los representantes de las víctimas de una masacre? ¿Quiere </w:t>
      </w:r>
      <w:smartTag w:uri="urn:schemas-microsoft-com:office:smarttags" w:element="PersonName">
        <w:smartTagPr>
          <w:attr w:name="ProductID" w:val="la Corte"/>
        </w:smartTagPr>
        <w:r>
          <w:rPr>
            <w:rFonts w:ascii="Verdana" w:hAnsi="Verdana"/>
            <w:spacing w:val="-3"/>
            <w:sz w:val="20"/>
          </w:rPr>
          <w:t>la Corte</w:t>
        </w:r>
      </w:smartTag>
      <w:r>
        <w:rPr>
          <w:rFonts w:ascii="Verdana" w:hAnsi="Verdana"/>
          <w:spacing w:val="-3"/>
          <w:sz w:val="20"/>
        </w:rPr>
        <w:t xml:space="preserve"> prueba de un perjuicio, de un daño inmaterial? ¿Cómo probarlo, si </w:t>
      </w:r>
      <w:smartTag w:uri="urn:schemas-microsoft-com:office:smarttags" w:element="PersonName">
        <w:smartTagPr>
          <w:attr w:name="ProductID" w:val="la Corte"/>
        </w:smartTagPr>
        <w:r>
          <w:rPr>
            <w:rFonts w:ascii="Verdana" w:hAnsi="Verdana"/>
            <w:spacing w:val="-3"/>
            <w:sz w:val="20"/>
          </w:rPr>
          <w:t>la Corte</w:t>
        </w:r>
      </w:smartTag>
      <w:r>
        <w:rPr>
          <w:rFonts w:ascii="Verdana" w:hAnsi="Verdana"/>
          <w:spacing w:val="-3"/>
          <w:sz w:val="20"/>
        </w:rPr>
        <w:t xml:space="preserve"> ha experimentado, en</w:t>
      </w:r>
      <w:r>
        <w:rPr>
          <w:rFonts w:ascii="Verdana" w:hAnsi="Verdana"/>
          <w:spacing w:val="-3"/>
          <w:sz w:val="20"/>
        </w:rPr>
        <w:t xml:space="preserve"> las circunstancias de determinados casos de violaciones graves de derechos humanos afectando un grupo mayor de personas, dificultad inclusive de conceptualizar dicho daño inmaterial? ¿Quiere </w:t>
      </w:r>
      <w:smartTag w:uri="urn:schemas-microsoft-com:office:smarttags" w:element="PersonName">
        <w:smartTagPr>
          <w:attr w:name="ProductID" w:val="la Corte"/>
        </w:smartTagPr>
        <w:r>
          <w:rPr>
            <w:rFonts w:ascii="Verdana" w:hAnsi="Verdana"/>
            <w:spacing w:val="-3"/>
            <w:sz w:val="20"/>
          </w:rPr>
          <w:t>la Corte</w:t>
        </w:r>
      </w:smartTag>
      <w:r>
        <w:rPr>
          <w:rFonts w:ascii="Verdana" w:hAnsi="Verdana"/>
          <w:spacing w:val="-3"/>
          <w:sz w:val="20"/>
        </w:rPr>
        <w:t xml:space="preserve"> prueba de lazos afectivos (entre las víctimas y sus her</w:t>
      </w:r>
      <w:r>
        <w:rPr>
          <w:rFonts w:ascii="Verdana" w:hAnsi="Verdana"/>
          <w:spacing w:val="-3"/>
          <w:sz w:val="20"/>
        </w:rPr>
        <w:t xml:space="preserve">manas y hermanos)? Los lazos afectivos no se prueban, se viven. ¿Quiere </w:t>
      </w:r>
      <w:smartTag w:uri="urn:schemas-microsoft-com:office:smarttags" w:element="PersonName">
        <w:smartTagPr>
          <w:attr w:name="ProductID" w:val="la Corte"/>
        </w:smartTagPr>
        <w:r>
          <w:rPr>
            <w:rFonts w:ascii="Verdana" w:hAnsi="Verdana"/>
            <w:spacing w:val="-3"/>
            <w:sz w:val="20"/>
          </w:rPr>
          <w:t>la Corte</w:t>
        </w:r>
      </w:smartTag>
      <w:r>
        <w:rPr>
          <w:rFonts w:ascii="Verdana" w:hAnsi="Verdana"/>
          <w:spacing w:val="-3"/>
          <w:sz w:val="20"/>
        </w:rPr>
        <w:t xml:space="preserve"> prueba del sufrimiento (de las hermanas y hermanos de las víctimas)? El sufrimiento no se prueba, se siente. Además, en su </w:t>
      </w:r>
      <w:r>
        <w:rPr>
          <w:rFonts w:ascii="Verdana" w:hAnsi="Verdana"/>
          <w:i/>
          <w:iCs/>
          <w:spacing w:val="-3"/>
          <w:sz w:val="20"/>
        </w:rPr>
        <w:t>jurisprudence constante</w:t>
      </w:r>
      <w:r>
        <w:rPr>
          <w:rFonts w:ascii="Verdana" w:hAnsi="Verdana"/>
          <w:spacing w:val="-3"/>
          <w:sz w:val="20"/>
        </w:rPr>
        <w:t xml:space="preserve">, </w:t>
      </w:r>
      <w:smartTag w:uri="urn:schemas-microsoft-com:office:smarttags" w:element="PersonName">
        <w:smartTagPr>
          <w:attr w:name="ProductID" w:val="la Corte"/>
        </w:smartTagPr>
        <w:r>
          <w:rPr>
            <w:rFonts w:ascii="Verdana" w:hAnsi="Verdana"/>
            <w:spacing w:val="-3"/>
            <w:sz w:val="20"/>
          </w:rPr>
          <w:t>la Corte</w:t>
        </w:r>
      </w:smartTag>
      <w:r>
        <w:rPr>
          <w:rFonts w:ascii="Verdana" w:hAnsi="Verdana"/>
          <w:spacing w:val="-3"/>
          <w:sz w:val="20"/>
        </w:rPr>
        <w:t xml:space="preserve"> ha determinado las</w:t>
      </w:r>
      <w:r>
        <w:rPr>
          <w:rFonts w:ascii="Verdana" w:hAnsi="Verdana"/>
          <w:spacing w:val="-3"/>
          <w:sz w:val="20"/>
        </w:rPr>
        <w:t xml:space="preserve"> consecuencias de perjuicios de este género, el daño inmaterial, mediante un juicio de </w:t>
      </w:r>
      <w:r>
        <w:rPr>
          <w:rFonts w:ascii="Verdana" w:hAnsi="Verdana"/>
          <w:i/>
          <w:iCs/>
          <w:spacing w:val="-3"/>
          <w:sz w:val="20"/>
        </w:rPr>
        <w:t>equidad</w:t>
      </w:r>
      <w:r>
        <w:rPr>
          <w:rStyle w:val="Refdenotaalpie"/>
          <w:rFonts w:cs="Courier New"/>
          <w:spacing w:val="-3"/>
          <w:sz w:val="20"/>
          <w:lang w:val="es-ES_tradnl"/>
        </w:rPr>
        <w:footnoteReference w:id="52"/>
      </w:r>
      <w:r>
        <w:rPr>
          <w:rFonts w:ascii="Verdana" w:hAnsi="Verdana"/>
          <w:spacing w:val="-3"/>
          <w:sz w:val="20"/>
        </w:rPr>
        <w:t>; siendo así, por que motivo exigir pruebas adicionales de los familiares de las víctimas? Difícilmente servirían, ni siquiera, a efectos prácticos.</w:t>
      </w:r>
    </w:p>
    <w:p w:rsidR="00000000" w:rsidRDefault="00687F2E">
      <w:pPr>
        <w:jc w:val="both"/>
        <w:rPr>
          <w:rFonts w:ascii="Verdana" w:hAnsi="Verdana"/>
          <w:spacing w:val="-3"/>
          <w:sz w:val="20"/>
        </w:rPr>
      </w:pPr>
    </w:p>
    <w:p w:rsidR="00000000" w:rsidRDefault="00687F2E">
      <w:pPr>
        <w:jc w:val="both"/>
        <w:rPr>
          <w:rFonts w:ascii="Verdana" w:hAnsi="Verdana"/>
          <w:spacing w:val="-3"/>
          <w:sz w:val="20"/>
        </w:rPr>
      </w:pPr>
      <w:r>
        <w:rPr>
          <w:rFonts w:ascii="Verdana" w:hAnsi="Verdana"/>
          <w:spacing w:val="-3"/>
          <w:sz w:val="20"/>
        </w:rPr>
        <w:t>42.</w:t>
      </w:r>
      <w:r>
        <w:rPr>
          <w:rFonts w:ascii="Verdana" w:hAnsi="Verdana"/>
          <w:spacing w:val="-3"/>
          <w:sz w:val="20"/>
        </w:rPr>
        <w:tab/>
        <w:t xml:space="preserve">Si </w:t>
      </w:r>
      <w:smartTag w:uri="urn:schemas-microsoft-com:office:smarttags" w:element="PersonName">
        <w:smartTagPr>
          <w:attr w:name="ProductID" w:val="la Corte"/>
        </w:smartTagPr>
        <w:r>
          <w:rPr>
            <w:rFonts w:ascii="Verdana" w:hAnsi="Verdana"/>
            <w:spacing w:val="-3"/>
            <w:sz w:val="20"/>
          </w:rPr>
          <w:t>la C</w:t>
        </w:r>
        <w:r>
          <w:rPr>
            <w:rFonts w:ascii="Verdana" w:hAnsi="Verdana"/>
            <w:spacing w:val="-3"/>
            <w:sz w:val="20"/>
          </w:rPr>
          <w:t>orte</w:t>
        </w:r>
      </w:smartTag>
      <w:r>
        <w:rPr>
          <w:rFonts w:ascii="Verdana" w:hAnsi="Verdana"/>
          <w:spacing w:val="-3"/>
          <w:sz w:val="20"/>
        </w:rPr>
        <w:t xml:space="preserve"> desea insistir en pruebas adicionales, - como lo hacen los tribunales penales de derecho interno, - creo que sería más propio de un tribunal internacional de derechos humanos proceder al traslado de la carga de la prueba (</w:t>
      </w:r>
      <w:r>
        <w:rPr>
          <w:rFonts w:ascii="Verdana" w:hAnsi="Verdana"/>
          <w:i/>
          <w:iCs/>
          <w:spacing w:val="-3"/>
          <w:sz w:val="20"/>
        </w:rPr>
        <w:t>shifting of the burden of pro</w:t>
      </w:r>
      <w:r>
        <w:rPr>
          <w:rFonts w:ascii="Verdana" w:hAnsi="Verdana"/>
          <w:i/>
          <w:iCs/>
          <w:spacing w:val="-3"/>
          <w:sz w:val="20"/>
        </w:rPr>
        <w:t>of</w:t>
      </w:r>
      <w:r>
        <w:rPr>
          <w:rFonts w:ascii="Verdana" w:hAnsi="Verdana"/>
          <w:spacing w:val="-3"/>
          <w:sz w:val="20"/>
        </w:rPr>
        <w:t>)</w:t>
      </w:r>
      <w:r>
        <w:rPr>
          <w:rStyle w:val="Refdenotaalpie"/>
          <w:rFonts w:cs="Courier New"/>
          <w:spacing w:val="-3"/>
          <w:sz w:val="20"/>
          <w:lang w:val="es-ES_tradnl"/>
        </w:rPr>
        <w:footnoteReference w:id="53"/>
      </w:r>
      <w:r>
        <w:rPr>
          <w:rFonts w:ascii="Verdana" w:hAnsi="Verdana"/>
          <w:spacing w:val="-3"/>
          <w:sz w:val="20"/>
        </w:rPr>
        <w:t xml:space="preserve"> al </w:t>
      </w:r>
      <w:r>
        <w:rPr>
          <w:rFonts w:ascii="Verdana" w:hAnsi="Verdana"/>
          <w:spacing w:val="-3"/>
          <w:sz w:val="20"/>
        </w:rPr>
        <w:lastRenderedPageBreak/>
        <w:t>Estado demandado: cabría más bien al Estado demandado probar que uno u otra hermano o hermana de alguna de las víctimas no tiene "lazo afectivo" con esta última... Pero, aún así, subsiste la interrogación: sería posible probarlo?</w:t>
      </w:r>
    </w:p>
    <w:p w:rsidR="00000000" w:rsidRDefault="00687F2E">
      <w:pPr>
        <w:jc w:val="both"/>
        <w:rPr>
          <w:rFonts w:ascii="Verdana" w:hAnsi="Verdana"/>
          <w:spacing w:val="-3"/>
          <w:sz w:val="20"/>
        </w:rPr>
      </w:pPr>
    </w:p>
    <w:p w:rsidR="00000000" w:rsidRDefault="00687F2E">
      <w:pPr>
        <w:jc w:val="both"/>
        <w:rPr>
          <w:rFonts w:ascii="Verdana" w:hAnsi="Verdana"/>
          <w:spacing w:val="-3"/>
          <w:sz w:val="20"/>
        </w:rPr>
      </w:pPr>
      <w:r>
        <w:rPr>
          <w:rFonts w:ascii="Verdana" w:hAnsi="Verdana"/>
          <w:spacing w:val="-3"/>
          <w:sz w:val="20"/>
        </w:rPr>
        <w:t>43.</w:t>
      </w:r>
      <w:r>
        <w:rPr>
          <w:rFonts w:ascii="Verdana" w:hAnsi="Verdana"/>
          <w:spacing w:val="-3"/>
          <w:sz w:val="20"/>
        </w:rPr>
        <w:tab/>
        <w:t>El Derecho In</w:t>
      </w:r>
      <w:r>
        <w:rPr>
          <w:rFonts w:ascii="Verdana" w:hAnsi="Verdana"/>
          <w:spacing w:val="-3"/>
          <w:sz w:val="20"/>
        </w:rPr>
        <w:t>ternacional de los Derechos Humanos está orientado hacia las víctimas, hacia su protección. En el presente dominio de la protección de la persona humana, la igualdad procesal de las partes (</w:t>
      </w:r>
      <w:r>
        <w:rPr>
          <w:rFonts w:ascii="Verdana" w:hAnsi="Verdana"/>
          <w:i/>
          <w:iCs/>
          <w:spacing w:val="-3"/>
          <w:sz w:val="20"/>
        </w:rPr>
        <w:t>égalité des armes</w:t>
      </w:r>
      <w:r>
        <w:rPr>
          <w:rFonts w:ascii="Verdana" w:hAnsi="Verdana"/>
          <w:spacing w:val="-3"/>
          <w:sz w:val="20"/>
        </w:rPr>
        <w:t>/</w:t>
      </w:r>
      <w:r>
        <w:rPr>
          <w:rFonts w:ascii="Verdana" w:hAnsi="Verdana"/>
          <w:i/>
          <w:iCs/>
          <w:spacing w:val="-3"/>
          <w:sz w:val="20"/>
        </w:rPr>
        <w:t>equality of arms</w:t>
      </w:r>
      <w:r>
        <w:rPr>
          <w:rFonts w:ascii="Verdana" w:hAnsi="Verdana"/>
          <w:spacing w:val="-3"/>
          <w:sz w:val="20"/>
        </w:rPr>
        <w:t xml:space="preserve">) consiste más bien en </w:t>
      </w:r>
      <w:r>
        <w:rPr>
          <w:rFonts w:ascii="Verdana" w:hAnsi="Verdana"/>
          <w:i/>
          <w:iCs/>
          <w:spacing w:val="-3"/>
          <w:sz w:val="20"/>
        </w:rPr>
        <w:t>equilibra</w:t>
      </w:r>
      <w:r>
        <w:rPr>
          <w:rFonts w:ascii="Verdana" w:hAnsi="Verdana"/>
          <w:i/>
          <w:iCs/>
          <w:spacing w:val="-3"/>
          <w:sz w:val="20"/>
        </w:rPr>
        <w:t>r el desequilibrio factual</w:t>
      </w:r>
      <w:r>
        <w:rPr>
          <w:rFonts w:ascii="Verdana" w:hAnsi="Verdana"/>
          <w:spacing w:val="-3"/>
          <w:sz w:val="20"/>
        </w:rPr>
        <w:t xml:space="preserve"> entre, por un lado, el Estado ("personalizado", a lo largo de los siglos, como detentor del uso de medios coercitivos, por Jean Bodin y Thomas Hobbes, entre otros, y, de modo particularmente nefasto y con consecuencias desastrosa</w:t>
      </w:r>
      <w:r>
        <w:rPr>
          <w:rFonts w:ascii="Verdana" w:hAnsi="Verdana"/>
          <w:spacing w:val="-3"/>
          <w:sz w:val="20"/>
        </w:rPr>
        <w:t>s, por Georg W.F. Hegel, como repositorio final de la libertad humana), y, por otro lado, las presuntas víctimas (en su mayoría en una situación de gran vulnerabilidad y adversidad, si no indefensión).</w:t>
      </w:r>
    </w:p>
    <w:p w:rsidR="00000000" w:rsidRDefault="00687F2E">
      <w:pPr>
        <w:jc w:val="both"/>
        <w:rPr>
          <w:rFonts w:ascii="Verdana" w:hAnsi="Verdana"/>
          <w:spacing w:val="-3"/>
          <w:sz w:val="20"/>
        </w:rPr>
      </w:pPr>
      <w:r>
        <w:rPr>
          <w:rFonts w:ascii="Verdana" w:hAnsi="Verdana"/>
          <w:spacing w:val="-3"/>
          <w:sz w:val="20"/>
        </w:rPr>
        <w:t xml:space="preserve"> </w:t>
      </w:r>
    </w:p>
    <w:p w:rsidR="00000000" w:rsidRDefault="00687F2E">
      <w:pPr>
        <w:jc w:val="both"/>
        <w:rPr>
          <w:rFonts w:ascii="Verdana" w:hAnsi="Verdana"/>
          <w:spacing w:val="-3"/>
          <w:sz w:val="20"/>
        </w:rPr>
      </w:pPr>
      <w:r>
        <w:rPr>
          <w:rFonts w:ascii="Verdana" w:hAnsi="Verdana"/>
          <w:spacing w:val="-3"/>
          <w:sz w:val="20"/>
        </w:rPr>
        <w:t>44.</w:t>
      </w:r>
      <w:r>
        <w:rPr>
          <w:rFonts w:ascii="Verdana" w:hAnsi="Verdana"/>
          <w:spacing w:val="-3"/>
          <w:sz w:val="20"/>
        </w:rPr>
        <w:tab/>
        <w:t>¿Cómo puede un tribunal internacional de derecho</w:t>
      </w:r>
      <w:r>
        <w:rPr>
          <w:rFonts w:ascii="Verdana" w:hAnsi="Verdana"/>
          <w:spacing w:val="-3"/>
          <w:sz w:val="20"/>
        </w:rPr>
        <w:t xml:space="preserve">s humanos como esta Corte hacer incidir sobre estas últimas o sus familiares el </w:t>
      </w:r>
      <w:r>
        <w:rPr>
          <w:rFonts w:ascii="Verdana" w:hAnsi="Verdana"/>
          <w:i/>
          <w:iCs/>
          <w:spacing w:val="-3"/>
          <w:sz w:val="20"/>
        </w:rPr>
        <w:t>onus probandi</w:t>
      </w:r>
      <w:r>
        <w:rPr>
          <w:rFonts w:ascii="Verdana" w:hAnsi="Verdana"/>
          <w:spacing w:val="-3"/>
          <w:sz w:val="20"/>
        </w:rPr>
        <w:t xml:space="preserve"> ya no sólo sobre los hechos, sino también sobre los sentimientos? ¿Cómo puede exigir de las presuntas víctimas o sus familiares la prueba de un perjuicio como dañ</w:t>
      </w:r>
      <w:r>
        <w:rPr>
          <w:rFonts w:ascii="Verdana" w:hAnsi="Verdana"/>
          <w:spacing w:val="-3"/>
          <w:sz w:val="20"/>
        </w:rPr>
        <w:t xml:space="preserve">o inmaterial? Y, aunque, con un gran esfuerzo de imaginación, fuera esto posible, ¿a qué propósito serviría, si la determinación del daño inmaterial se efectúa normalmente mediante un juicio de equidad? </w:t>
      </w:r>
    </w:p>
    <w:p w:rsidR="00000000" w:rsidRDefault="00687F2E">
      <w:pPr>
        <w:jc w:val="both"/>
        <w:rPr>
          <w:rFonts w:ascii="Verdana" w:hAnsi="Verdana"/>
          <w:spacing w:val="-3"/>
          <w:sz w:val="20"/>
        </w:rPr>
      </w:pPr>
      <w:r>
        <w:rPr>
          <w:rFonts w:ascii="Verdana" w:hAnsi="Verdana"/>
          <w:spacing w:val="-3"/>
          <w:sz w:val="20"/>
        </w:rPr>
        <w:t xml:space="preserve">  </w:t>
      </w:r>
    </w:p>
    <w:p w:rsidR="00000000" w:rsidRDefault="00687F2E">
      <w:pPr>
        <w:jc w:val="both"/>
        <w:rPr>
          <w:rFonts w:ascii="Verdana" w:hAnsi="Verdana"/>
          <w:spacing w:val="-3"/>
          <w:sz w:val="20"/>
        </w:rPr>
      </w:pPr>
      <w:r>
        <w:rPr>
          <w:rFonts w:ascii="Verdana" w:hAnsi="Verdana"/>
          <w:spacing w:val="-3"/>
          <w:sz w:val="20"/>
        </w:rPr>
        <w:t>45.</w:t>
      </w:r>
      <w:r>
        <w:rPr>
          <w:rFonts w:ascii="Verdana" w:hAnsi="Verdana"/>
          <w:spacing w:val="-3"/>
          <w:sz w:val="20"/>
        </w:rPr>
        <w:tab/>
        <w:t xml:space="preserve">La improcedencia de dicha carga de la prueba </w:t>
      </w:r>
      <w:r>
        <w:rPr>
          <w:rFonts w:ascii="Verdana" w:hAnsi="Verdana"/>
          <w:spacing w:val="-3"/>
          <w:sz w:val="20"/>
        </w:rPr>
        <w:t xml:space="preserve">se torna aún más manifiesta en casos de violaciones graves de derechos humanos: en tal circunstancia (v.g., en casos de masacres), se aproximaría ella a una verdadera </w:t>
      </w:r>
      <w:r>
        <w:rPr>
          <w:rFonts w:ascii="Verdana" w:hAnsi="Verdana"/>
          <w:i/>
          <w:iCs/>
          <w:spacing w:val="-3"/>
          <w:sz w:val="20"/>
        </w:rPr>
        <w:t>probatio diabolica</w:t>
      </w:r>
      <w:r>
        <w:rPr>
          <w:rStyle w:val="Refdenotaalpie"/>
          <w:rFonts w:cs="Courier New"/>
          <w:spacing w:val="-3"/>
          <w:sz w:val="20"/>
          <w:lang w:val="es-ES_tradnl"/>
        </w:rPr>
        <w:footnoteReference w:id="54"/>
      </w:r>
      <w:r>
        <w:rPr>
          <w:rFonts w:ascii="Verdana" w:hAnsi="Verdana"/>
          <w:spacing w:val="-3"/>
          <w:sz w:val="20"/>
        </w:rPr>
        <w:t>, contra la cual ya me manifesté, en el seno de esta Corte, en otras c</w:t>
      </w:r>
      <w:r>
        <w:rPr>
          <w:rFonts w:ascii="Verdana" w:hAnsi="Verdana"/>
          <w:spacing w:val="-3"/>
          <w:sz w:val="20"/>
        </w:rPr>
        <w:t xml:space="preserve">ircunstancias, en mi Voto Razonado (párrs. 20-23) en el caso de </w:t>
      </w:r>
      <w:smartTag w:uri="urn:schemas-microsoft-com:office:smarttags" w:element="PersonName">
        <w:smartTagPr>
          <w:attr w:name="ProductID" w:val="la Comunidad Ind￭gena"/>
        </w:smartTagPr>
        <w:r>
          <w:rPr>
            <w:rFonts w:ascii="Verdana" w:hAnsi="Verdana"/>
            <w:spacing w:val="-3"/>
            <w:sz w:val="20"/>
          </w:rPr>
          <w:t xml:space="preserve">la </w:t>
        </w:r>
        <w:r>
          <w:rPr>
            <w:rFonts w:ascii="Verdana" w:hAnsi="Verdana"/>
            <w:i/>
            <w:iCs/>
            <w:spacing w:val="-3"/>
            <w:sz w:val="20"/>
          </w:rPr>
          <w:t>Comunidad Indígena</w:t>
        </w:r>
      </w:smartTag>
      <w:r>
        <w:rPr>
          <w:rFonts w:ascii="Verdana" w:hAnsi="Verdana"/>
          <w:i/>
          <w:iCs/>
          <w:spacing w:val="-3"/>
          <w:sz w:val="20"/>
        </w:rPr>
        <w:t xml:space="preserve"> Sawhoyamaxa versus Paraguay</w:t>
      </w:r>
      <w:r>
        <w:rPr>
          <w:rFonts w:ascii="Verdana" w:hAnsi="Verdana"/>
          <w:spacing w:val="-3"/>
          <w:sz w:val="20"/>
        </w:rPr>
        <w:t xml:space="preserve"> (Sentencia del 29.03.2006). En mi entendimiento, en casos de masacres, o de violaciones graves, como el presente caso de </w:t>
      </w:r>
      <w:smartTag w:uri="urn:schemas-microsoft-com:office:smarttags" w:element="PersonName">
        <w:smartTagPr>
          <w:attr w:name="ProductID" w:val="La Cantuta"/>
        </w:smartTagPr>
        <w:r>
          <w:rPr>
            <w:rFonts w:ascii="Verdana" w:hAnsi="Verdana"/>
            <w:i/>
            <w:iCs/>
            <w:spacing w:val="-3"/>
            <w:sz w:val="20"/>
          </w:rPr>
          <w:t>La Cantuta</w:t>
        </w:r>
      </w:smartTag>
      <w:r>
        <w:rPr>
          <w:rFonts w:ascii="Verdana" w:hAnsi="Verdana"/>
          <w:spacing w:val="-3"/>
          <w:sz w:val="20"/>
        </w:rPr>
        <w:t>, no cabe e</w:t>
      </w:r>
      <w:r>
        <w:rPr>
          <w:rFonts w:ascii="Verdana" w:hAnsi="Verdana"/>
          <w:spacing w:val="-3"/>
          <w:sz w:val="20"/>
        </w:rPr>
        <w:t xml:space="preserve">xigir pruebas adicionales, de daño inmaterial a los familiares de las víctimas, sino más bien aplicar </w:t>
      </w:r>
      <w:r>
        <w:rPr>
          <w:rFonts w:ascii="Verdana" w:hAnsi="Verdana"/>
          <w:i/>
          <w:iCs/>
          <w:spacing w:val="-3"/>
          <w:sz w:val="20"/>
        </w:rPr>
        <w:t>presunciones</w:t>
      </w:r>
      <w:r>
        <w:rPr>
          <w:rFonts w:ascii="Verdana" w:hAnsi="Verdana"/>
          <w:spacing w:val="-3"/>
          <w:sz w:val="20"/>
        </w:rPr>
        <w:t xml:space="preserve"> en favor de ellos. Para mí, cabe aquí una presunción (por lo menos </w:t>
      </w:r>
      <w:r>
        <w:rPr>
          <w:rFonts w:ascii="Verdana" w:hAnsi="Verdana"/>
          <w:i/>
          <w:iCs/>
          <w:spacing w:val="-3"/>
          <w:sz w:val="20"/>
        </w:rPr>
        <w:t>juris tantum</w:t>
      </w:r>
      <w:r>
        <w:rPr>
          <w:rFonts w:ascii="Verdana" w:hAnsi="Verdana"/>
          <w:spacing w:val="-3"/>
          <w:sz w:val="20"/>
        </w:rPr>
        <w:t xml:space="preserve">, si no, en circunstancias más graves, </w:t>
      </w:r>
      <w:r>
        <w:rPr>
          <w:rFonts w:ascii="Verdana" w:hAnsi="Verdana"/>
          <w:i/>
          <w:iCs/>
          <w:spacing w:val="-3"/>
          <w:sz w:val="20"/>
        </w:rPr>
        <w:t>juris et de jure</w:t>
      </w:r>
      <w:r>
        <w:rPr>
          <w:rFonts w:ascii="Verdana" w:hAnsi="Verdana"/>
          <w:spacing w:val="-3"/>
          <w:sz w:val="20"/>
        </w:rPr>
        <w:t>), en b</w:t>
      </w:r>
      <w:r>
        <w:rPr>
          <w:rFonts w:ascii="Verdana" w:hAnsi="Verdana"/>
          <w:spacing w:val="-3"/>
          <w:sz w:val="20"/>
        </w:rPr>
        <w:t>eneficio de los familiares de las víctimas.</w:t>
      </w:r>
      <w:r>
        <w:rPr>
          <w:rFonts w:ascii="Verdana" w:hAnsi="Verdana"/>
          <w:spacing w:val="-3"/>
          <w:sz w:val="20"/>
        </w:rPr>
        <w:tab/>
        <w:t xml:space="preserve"> </w:t>
      </w:r>
    </w:p>
    <w:p w:rsidR="00000000" w:rsidRDefault="00687F2E">
      <w:pPr>
        <w:jc w:val="both"/>
        <w:rPr>
          <w:rFonts w:ascii="Verdana" w:hAnsi="Verdana"/>
          <w:spacing w:val="-3"/>
          <w:sz w:val="20"/>
        </w:rPr>
      </w:pPr>
    </w:p>
    <w:p w:rsidR="00000000" w:rsidRDefault="00687F2E">
      <w:pPr>
        <w:jc w:val="both"/>
        <w:rPr>
          <w:rFonts w:ascii="Verdana" w:hAnsi="Verdana"/>
          <w:spacing w:val="-3"/>
          <w:sz w:val="20"/>
        </w:rPr>
      </w:pPr>
      <w:r>
        <w:rPr>
          <w:rFonts w:ascii="Verdana" w:hAnsi="Verdana"/>
          <w:spacing w:val="-3"/>
          <w:sz w:val="20"/>
        </w:rPr>
        <w:t>46.</w:t>
      </w:r>
      <w:r>
        <w:rPr>
          <w:rFonts w:ascii="Verdana" w:hAnsi="Verdana"/>
          <w:spacing w:val="-3"/>
          <w:sz w:val="20"/>
        </w:rPr>
        <w:tab/>
        <w:t>Es posible imaginar, como regla general, que, en nuestras sociedades en América Latina, donde los lazos familiares se mantienen fuertes (o al menos más fuertes que en otros medios sociales pos-industriales</w:t>
      </w:r>
      <w:r>
        <w:rPr>
          <w:rFonts w:ascii="Verdana" w:hAnsi="Verdana"/>
          <w:spacing w:val="-3"/>
          <w:sz w:val="20"/>
        </w:rPr>
        <w:t>), algún hermano o hermana de una persona masacrada o desaparecida no padezca de un sufrimiento personal? Es posible imaginar, como regla general, que no siga sufriendo frente a la muerte violenta de un hermano o hermana? Es posible imaginar, como regla ge</w:t>
      </w:r>
      <w:r>
        <w:rPr>
          <w:rFonts w:ascii="Verdana" w:hAnsi="Verdana"/>
          <w:spacing w:val="-3"/>
          <w:sz w:val="20"/>
        </w:rPr>
        <w:t xml:space="preserve">neral, que no siga sufriendo ante la desaparición forzada de un hermano o hermana? Para mí, esto es inimaginable, como regla general. Aún así, dijo esta Corte, en el presente caso </w:t>
      </w:r>
      <w:smartTag w:uri="urn:schemas-microsoft-com:office:smarttags" w:element="PersonName">
        <w:smartTagPr>
          <w:attr w:name="ProductID" w:val="La Cantuta"/>
        </w:smartTagPr>
        <w:r>
          <w:rPr>
            <w:rFonts w:ascii="Verdana" w:hAnsi="Verdana"/>
            <w:i/>
            <w:iCs/>
            <w:spacing w:val="-3"/>
            <w:sz w:val="20"/>
          </w:rPr>
          <w:t>La Cantuta</w:t>
        </w:r>
      </w:smartTag>
      <w:r>
        <w:rPr>
          <w:rFonts w:ascii="Verdana" w:hAnsi="Verdana"/>
          <w:spacing w:val="-3"/>
          <w:sz w:val="20"/>
        </w:rPr>
        <w:t>, que requiere prueba adicional del perjuicio por parte de los her</w:t>
      </w:r>
      <w:r>
        <w:rPr>
          <w:rFonts w:ascii="Verdana" w:hAnsi="Verdana"/>
          <w:spacing w:val="-3"/>
          <w:sz w:val="20"/>
        </w:rPr>
        <w:t xml:space="preserve">manos o las hermanas de las personas detenidas ilegalmente, ejecutadas y desaparecidas... </w:t>
      </w:r>
    </w:p>
    <w:p w:rsidR="00000000" w:rsidRDefault="00687F2E">
      <w:pPr>
        <w:jc w:val="both"/>
        <w:rPr>
          <w:rFonts w:ascii="Verdana" w:hAnsi="Verdana"/>
          <w:spacing w:val="-3"/>
          <w:sz w:val="20"/>
        </w:rPr>
      </w:pPr>
    </w:p>
    <w:p w:rsidR="00000000" w:rsidRDefault="00687F2E">
      <w:pPr>
        <w:jc w:val="both"/>
        <w:rPr>
          <w:rFonts w:ascii="Verdana" w:hAnsi="Verdana"/>
          <w:spacing w:val="-3"/>
          <w:sz w:val="20"/>
        </w:rPr>
      </w:pPr>
      <w:r>
        <w:rPr>
          <w:rFonts w:ascii="Verdana" w:hAnsi="Verdana"/>
          <w:spacing w:val="-3"/>
          <w:sz w:val="20"/>
        </w:rPr>
        <w:t>47.</w:t>
      </w:r>
      <w:r>
        <w:rPr>
          <w:rFonts w:ascii="Verdana" w:hAnsi="Verdana"/>
          <w:spacing w:val="-3"/>
          <w:sz w:val="20"/>
        </w:rPr>
        <w:tab/>
        <w:t xml:space="preserve">La presente Sentencia de Interpretación que viene de adoptar </w:t>
      </w:r>
      <w:smartTag w:uri="urn:schemas-microsoft-com:office:smarttags" w:element="PersonName">
        <w:smartTagPr>
          <w:attr w:name="ProductID" w:val="la Corte"/>
        </w:smartTagPr>
        <w:r>
          <w:rPr>
            <w:rFonts w:ascii="Verdana" w:hAnsi="Verdana"/>
            <w:spacing w:val="-3"/>
            <w:sz w:val="20"/>
          </w:rPr>
          <w:t>la Corte</w:t>
        </w:r>
      </w:smartTag>
      <w:r>
        <w:rPr>
          <w:rFonts w:ascii="Verdana" w:hAnsi="Verdana"/>
          <w:spacing w:val="-3"/>
          <w:sz w:val="20"/>
        </w:rPr>
        <w:t xml:space="preserve"> en el caso </w:t>
      </w:r>
      <w:smartTag w:uri="urn:schemas-microsoft-com:office:smarttags" w:element="PersonName">
        <w:smartTagPr>
          <w:attr w:name="ProductID" w:val="La Cantuta"/>
        </w:smartTagPr>
        <w:r>
          <w:rPr>
            <w:rFonts w:ascii="Verdana" w:hAnsi="Verdana"/>
            <w:i/>
            <w:iCs/>
            <w:spacing w:val="-3"/>
            <w:sz w:val="20"/>
          </w:rPr>
          <w:t>La Cantuta</w:t>
        </w:r>
      </w:smartTag>
      <w:r>
        <w:rPr>
          <w:rFonts w:ascii="Verdana" w:hAnsi="Verdana"/>
          <w:spacing w:val="-3"/>
          <w:sz w:val="20"/>
        </w:rPr>
        <w:t xml:space="preserve"> ha debidamente aclarado que </w:t>
      </w:r>
      <w:smartTag w:uri="urn:schemas-microsoft-com:office:smarttags" w:element="PersonName">
        <w:smartTagPr>
          <w:attr w:name="ProductID" w:val="la Sra. Carmen"/>
        </w:smartTagPr>
        <w:r>
          <w:rPr>
            <w:rFonts w:ascii="Verdana" w:hAnsi="Verdana"/>
            <w:spacing w:val="-3"/>
            <w:sz w:val="20"/>
          </w:rPr>
          <w:t>la Sra. Carmen</w:t>
        </w:r>
      </w:smartTag>
      <w:r>
        <w:rPr>
          <w:rFonts w:ascii="Verdana" w:hAnsi="Verdana"/>
          <w:spacing w:val="-3"/>
          <w:sz w:val="20"/>
        </w:rPr>
        <w:t xml:space="preserve"> Juana Mariños Figueroa y </w:t>
      </w:r>
      <w:r>
        <w:rPr>
          <w:rFonts w:ascii="Verdana" w:hAnsi="Verdana"/>
          <w:spacing w:val="-3"/>
          <w:sz w:val="20"/>
        </w:rPr>
        <w:t xml:space="preserve">el Sr. Marcelino Marcos Pablo Meza, hermana y hermano, respectivamente, de dos de las víctimas fatales, Sr. Juan Gabriel Mariños Figueroa y Sr. Heráclides Pablo Meza, son víctimas de violaciones de los artículos 8(1) y 25 (tomados conjuntamente), de </w:t>
      </w:r>
      <w:smartTag w:uri="urn:schemas-microsoft-com:office:smarttags" w:element="PersonName">
        <w:smartTagPr>
          <w:attr w:name="ProductID" w:val="la Convenci￳n Americana."/>
        </w:smartTagPr>
        <w:r>
          <w:rPr>
            <w:rFonts w:ascii="Verdana" w:hAnsi="Verdana"/>
            <w:spacing w:val="-3"/>
            <w:sz w:val="20"/>
          </w:rPr>
          <w:t>la Con</w:t>
        </w:r>
        <w:r>
          <w:rPr>
            <w:rFonts w:ascii="Verdana" w:hAnsi="Verdana"/>
            <w:spacing w:val="-3"/>
            <w:sz w:val="20"/>
          </w:rPr>
          <w:t>vención Americana.</w:t>
        </w:r>
      </w:smartTag>
      <w:r>
        <w:rPr>
          <w:rFonts w:ascii="Verdana" w:hAnsi="Verdana"/>
          <w:spacing w:val="-3"/>
          <w:sz w:val="20"/>
        </w:rPr>
        <w:t xml:space="preserve"> </w:t>
      </w:r>
      <w:r>
        <w:rPr>
          <w:rFonts w:ascii="Verdana" w:hAnsi="Verdana"/>
          <w:spacing w:val="-3"/>
          <w:sz w:val="20"/>
        </w:rPr>
        <w:lastRenderedPageBreak/>
        <w:t xml:space="preserve">Por eso, son </w:t>
      </w:r>
      <w:r>
        <w:rPr>
          <w:rFonts w:ascii="Verdana" w:hAnsi="Verdana"/>
          <w:i/>
          <w:iCs/>
          <w:spacing w:val="-3"/>
          <w:sz w:val="20"/>
        </w:rPr>
        <w:t>ipso facto</w:t>
      </w:r>
      <w:r>
        <w:rPr>
          <w:rFonts w:ascii="Verdana" w:hAnsi="Verdana"/>
          <w:spacing w:val="-3"/>
          <w:sz w:val="20"/>
        </w:rPr>
        <w:t xml:space="preserve"> beneficiarios de distintas formas de reparación no-pecuniaria ordenadas en la anterior Sentencia del 29.11.2006 en el presente caso </w:t>
      </w:r>
      <w:smartTag w:uri="urn:schemas-microsoft-com:office:smarttags" w:element="PersonName">
        <w:smartTagPr>
          <w:attr w:name="ProductID" w:val="La Cantuta. Por"/>
        </w:smartTagPr>
        <w:r>
          <w:rPr>
            <w:rFonts w:ascii="Verdana" w:hAnsi="Verdana"/>
            <w:i/>
            <w:iCs/>
            <w:spacing w:val="-3"/>
            <w:sz w:val="20"/>
          </w:rPr>
          <w:t>La Cantuta</w:t>
        </w:r>
        <w:r>
          <w:rPr>
            <w:rFonts w:ascii="Verdana" w:hAnsi="Verdana"/>
            <w:spacing w:val="-3"/>
            <w:sz w:val="20"/>
          </w:rPr>
          <w:t>. Por</w:t>
        </w:r>
      </w:smartTag>
      <w:r>
        <w:rPr>
          <w:rFonts w:ascii="Verdana" w:hAnsi="Verdana"/>
          <w:spacing w:val="-3"/>
          <w:sz w:val="20"/>
        </w:rPr>
        <w:t xml:space="preserve"> lo tanto, los montos de la reparación pecuniaria no fueron afecta</w:t>
      </w:r>
      <w:r>
        <w:rPr>
          <w:rFonts w:ascii="Verdana" w:hAnsi="Verdana"/>
          <w:spacing w:val="-3"/>
          <w:sz w:val="20"/>
        </w:rPr>
        <w:t xml:space="preserve">dos por la inclusión de ambos, mediante la presente Sentencia de Interpretación, como también víctimas de violaciones de los mencionados artículos 8(1) y 25 de </w:t>
      </w:r>
      <w:smartTag w:uri="urn:schemas-microsoft-com:office:smarttags" w:element="PersonName">
        <w:smartTagPr>
          <w:attr w:name="ProductID" w:val="la Convenci￳n."/>
        </w:smartTagPr>
        <w:r>
          <w:rPr>
            <w:rFonts w:ascii="Verdana" w:hAnsi="Verdana"/>
            <w:spacing w:val="-3"/>
            <w:sz w:val="20"/>
          </w:rPr>
          <w:t>la Convención.</w:t>
        </w:r>
      </w:smartTag>
      <w:r>
        <w:rPr>
          <w:rFonts w:ascii="Verdana" w:hAnsi="Verdana"/>
          <w:spacing w:val="-3"/>
          <w:sz w:val="20"/>
        </w:rPr>
        <w:t xml:space="preserve"> </w:t>
      </w:r>
    </w:p>
    <w:p w:rsidR="00000000" w:rsidRDefault="00687F2E">
      <w:pPr>
        <w:jc w:val="both"/>
        <w:rPr>
          <w:rFonts w:ascii="Verdana" w:hAnsi="Verdana"/>
          <w:spacing w:val="-3"/>
          <w:sz w:val="20"/>
        </w:rPr>
      </w:pPr>
    </w:p>
    <w:p w:rsidR="00000000" w:rsidRDefault="00687F2E">
      <w:pPr>
        <w:jc w:val="both"/>
        <w:rPr>
          <w:rFonts w:ascii="Verdana" w:hAnsi="Verdana"/>
          <w:spacing w:val="-3"/>
          <w:sz w:val="20"/>
        </w:rPr>
      </w:pPr>
      <w:r>
        <w:rPr>
          <w:rFonts w:ascii="Verdana" w:hAnsi="Verdana"/>
          <w:spacing w:val="-3"/>
          <w:sz w:val="20"/>
        </w:rPr>
        <w:t>48.</w:t>
      </w:r>
      <w:r>
        <w:rPr>
          <w:rFonts w:ascii="Verdana" w:hAnsi="Verdana"/>
          <w:spacing w:val="-3"/>
          <w:sz w:val="20"/>
        </w:rPr>
        <w:tab/>
        <w:t xml:space="preserve">Pero lo mismo no ocurrió en relación con el artículo 5(1) de </w:t>
      </w:r>
      <w:smartTag w:uri="urn:schemas-microsoft-com:office:smarttags" w:element="PersonName">
        <w:smartTagPr>
          <w:attr w:name="ProductID" w:val="la Convenci￳n"/>
        </w:smartTagPr>
        <w:r>
          <w:rPr>
            <w:rFonts w:ascii="Verdana" w:hAnsi="Verdana"/>
            <w:spacing w:val="-3"/>
            <w:sz w:val="20"/>
          </w:rPr>
          <w:t>la Convención</w:t>
        </w:r>
      </w:smartTag>
      <w:r>
        <w:rPr>
          <w:rFonts w:ascii="Verdana" w:hAnsi="Verdana"/>
          <w:spacing w:val="-3"/>
          <w:sz w:val="20"/>
        </w:rPr>
        <w:t>,</w:t>
      </w:r>
      <w:r>
        <w:rPr>
          <w:rFonts w:ascii="Verdana" w:hAnsi="Verdana"/>
          <w:spacing w:val="-3"/>
          <w:sz w:val="20"/>
        </w:rPr>
        <w:t xml:space="preserve"> pues </w:t>
      </w:r>
      <w:smartTag w:uri="urn:schemas-microsoft-com:office:smarttags" w:element="PersonName">
        <w:smartTagPr>
          <w:attr w:name="ProductID" w:val="la Corte"/>
        </w:smartTagPr>
        <w:r>
          <w:rPr>
            <w:rFonts w:ascii="Verdana" w:hAnsi="Verdana"/>
            <w:spacing w:val="-3"/>
            <w:sz w:val="20"/>
          </w:rPr>
          <w:t>la Corte</w:t>
        </w:r>
      </w:smartTag>
      <w:r>
        <w:rPr>
          <w:rFonts w:ascii="Verdana" w:hAnsi="Verdana"/>
          <w:spacing w:val="-3"/>
          <w:sz w:val="20"/>
        </w:rPr>
        <w:t xml:space="preserve"> aplicó el criterio - a mi juicio equivocado - que estableció en </w:t>
      </w:r>
      <w:smartTag w:uri="urn:schemas-microsoft-com:office:smarttags" w:element="PersonName">
        <w:smartTagPr>
          <w:attr w:name="ProductID" w:val="la Sentencia"/>
        </w:smartTagPr>
        <w:r>
          <w:rPr>
            <w:rFonts w:ascii="Verdana" w:hAnsi="Verdana"/>
            <w:spacing w:val="-3"/>
            <w:sz w:val="20"/>
          </w:rPr>
          <w:t>la Sentencia</w:t>
        </w:r>
      </w:smartTag>
      <w:r>
        <w:rPr>
          <w:rFonts w:ascii="Verdana" w:hAnsi="Verdana"/>
          <w:spacing w:val="-3"/>
          <w:sz w:val="20"/>
        </w:rPr>
        <w:t xml:space="preserve"> de fondo y reparaciones del 29.11.2006 (párr. 128, transcrito </w:t>
      </w:r>
      <w:r>
        <w:rPr>
          <w:rFonts w:ascii="Verdana" w:hAnsi="Verdana"/>
          <w:i/>
          <w:iCs/>
          <w:spacing w:val="-3"/>
          <w:sz w:val="20"/>
        </w:rPr>
        <w:t>supra</w:t>
      </w:r>
      <w:r>
        <w:rPr>
          <w:rFonts w:ascii="Verdana" w:hAnsi="Verdana"/>
          <w:spacing w:val="-3"/>
          <w:sz w:val="20"/>
        </w:rPr>
        <w:t>), según el cual se exige prueba del perjuicio inmaterial, del sufrimiento, para efectos de consi</w:t>
      </w:r>
      <w:r>
        <w:rPr>
          <w:rFonts w:ascii="Verdana" w:hAnsi="Verdana"/>
          <w:spacing w:val="-3"/>
          <w:sz w:val="20"/>
        </w:rPr>
        <w:t xml:space="preserve">derar a los hermanos (de las víctimas fatales) como víctimas de violación del artículo 5(1) de </w:t>
      </w:r>
      <w:smartTag w:uri="urn:schemas-microsoft-com:office:smarttags" w:element="PersonName">
        <w:smartTagPr>
          <w:attr w:name="ProductID" w:val="la Convenci￳n"/>
        </w:smartTagPr>
        <w:r>
          <w:rPr>
            <w:rFonts w:ascii="Verdana" w:hAnsi="Verdana"/>
            <w:spacing w:val="-3"/>
            <w:sz w:val="20"/>
          </w:rPr>
          <w:t>la Convención</w:t>
        </w:r>
      </w:smartTag>
      <w:r>
        <w:rPr>
          <w:rFonts w:ascii="Verdana" w:hAnsi="Verdana"/>
          <w:spacing w:val="-3"/>
          <w:sz w:val="20"/>
        </w:rPr>
        <w:t>, por derecho propio. Dicho criterio de "prueba de sufrimiento" configúrase, en mi entender, insostenible, si no absurdo, ante la gravedad de los he</w:t>
      </w:r>
      <w:r>
        <w:rPr>
          <w:rFonts w:ascii="Verdana" w:hAnsi="Verdana"/>
          <w:spacing w:val="-3"/>
          <w:sz w:val="20"/>
        </w:rPr>
        <w:t xml:space="preserve">chos, - que son de conocimiento público y notorio, - como los del presente caso </w:t>
      </w:r>
      <w:smartTag w:uri="urn:schemas-microsoft-com:office:smarttags" w:element="PersonName">
        <w:smartTagPr>
          <w:attr w:name="ProductID" w:val="La Cantuta."/>
        </w:smartTagPr>
        <w:r>
          <w:rPr>
            <w:rFonts w:ascii="Verdana" w:hAnsi="Verdana"/>
            <w:i/>
            <w:iCs/>
            <w:spacing w:val="-3"/>
            <w:sz w:val="20"/>
          </w:rPr>
          <w:t>La Cantuta</w:t>
        </w:r>
        <w:r>
          <w:rPr>
            <w:rFonts w:ascii="Verdana" w:hAnsi="Verdana"/>
            <w:spacing w:val="-3"/>
            <w:sz w:val="20"/>
          </w:rPr>
          <w:t>.</w:t>
        </w:r>
      </w:smartTag>
      <w:r>
        <w:rPr>
          <w:rFonts w:ascii="Verdana" w:hAnsi="Verdana"/>
          <w:spacing w:val="-3"/>
          <w:sz w:val="20"/>
        </w:rPr>
        <w:t xml:space="preserve"> </w:t>
      </w:r>
      <w:r>
        <w:rPr>
          <w:rFonts w:ascii="Verdana" w:hAnsi="Verdana"/>
          <w:spacing w:val="-3"/>
          <w:sz w:val="20"/>
        </w:rPr>
        <w:tab/>
      </w:r>
    </w:p>
    <w:p w:rsidR="00000000" w:rsidRDefault="00687F2E">
      <w:pPr>
        <w:jc w:val="both"/>
        <w:rPr>
          <w:rFonts w:ascii="Verdana" w:hAnsi="Verdana"/>
          <w:spacing w:val="-3"/>
          <w:sz w:val="20"/>
        </w:rPr>
      </w:pPr>
    </w:p>
    <w:p w:rsidR="00000000" w:rsidRDefault="00687F2E">
      <w:pPr>
        <w:jc w:val="both"/>
        <w:rPr>
          <w:rFonts w:ascii="Verdana" w:hAnsi="Verdana"/>
          <w:spacing w:val="-3"/>
          <w:sz w:val="20"/>
        </w:rPr>
      </w:pPr>
      <w:r>
        <w:rPr>
          <w:rFonts w:ascii="Verdana" w:hAnsi="Verdana"/>
          <w:spacing w:val="-3"/>
          <w:sz w:val="20"/>
        </w:rPr>
        <w:t>49.</w:t>
      </w:r>
      <w:r>
        <w:rPr>
          <w:rFonts w:ascii="Verdana" w:hAnsi="Verdana"/>
          <w:spacing w:val="-3"/>
          <w:sz w:val="20"/>
        </w:rPr>
        <w:tab/>
        <w:t xml:space="preserve">Como si no bastara, </w:t>
      </w:r>
      <w:smartTag w:uri="urn:schemas-microsoft-com:office:smarttags" w:element="PersonName">
        <w:smartTagPr>
          <w:attr w:name="ProductID" w:val="la Sra. Carmen"/>
        </w:smartTagPr>
        <w:r>
          <w:rPr>
            <w:rFonts w:ascii="Verdana" w:hAnsi="Verdana"/>
            <w:spacing w:val="-3"/>
            <w:sz w:val="20"/>
          </w:rPr>
          <w:t>la Sra. Carmen</w:t>
        </w:r>
      </w:smartTag>
      <w:r>
        <w:rPr>
          <w:rFonts w:ascii="Verdana" w:hAnsi="Verdana"/>
          <w:spacing w:val="-3"/>
          <w:sz w:val="20"/>
        </w:rPr>
        <w:t xml:space="preserve"> Juana Mariños Figueroa y el Sr. Marcelino Marcos Pablo Meza eran hermana y hermano de dos víctimas fatales (los Srs. Juan </w:t>
      </w:r>
      <w:r>
        <w:rPr>
          <w:rFonts w:ascii="Verdana" w:hAnsi="Verdana"/>
          <w:spacing w:val="-3"/>
          <w:sz w:val="20"/>
        </w:rPr>
        <w:t xml:space="preserve">Gabriel Mariños Figueroa y Heráclides Pablo Meza) que estuvieron entre los que fueron detenidos ilegal y arbitrariamente, ejecutados y permanecen considerados como desaparecidos. En tales circunstancias, al contrario de lo que mantuvo </w:t>
      </w:r>
      <w:smartTag w:uri="urn:schemas-microsoft-com:office:smarttags" w:element="PersonName">
        <w:smartTagPr>
          <w:attr w:name="ProductID" w:val="la Corte"/>
        </w:smartTagPr>
        <w:r>
          <w:rPr>
            <w:rFonts w:ascii="Verdana" w:hAnsi="Verdana"/>
            <w:spacing w:val="-3"/>
            <w:sz w:val="20"/>
          </w:rPr>
          <w:t>la Corte</w:t>
        </w:r>
      </w:smartTag>
      <w:r>
        <w:rPr>
          <w:rFonts w:ascii="Verdana" w:hAnsi="Verdana"/>
          <w:spacing w:val="-3"/>
          <w:sz w:val="20"/>
        </w:rPr>
        <w:t xml:space="preserve"> en </w:t>
      </w:r>
      <w:smartTag w:uri="urn:schemas-microsoft-com:office:smarttags" w:element="PersonName">
        <w:smartTagPr>
          <w:attr w:name="ProductID" w:val="la Sentencia"/>
        </w:smartTagPr>
        <w:r>
          <w:rPr>
            <w:rFonts w:ascii="Verdana" w:hAnsi="Verdana"/>
            <w:spacing w:val="-3"/>
            <w:sz w:val="20"/>
          </w:rPr>
          <w:t>la Senten</w:t>
        </w:r>
        <w:r>
          <w:rPr>
            <w:rFonts w:ascii="Verdana" w:hAnsi="Verdana"/>
            <w:spacing w:val="-3"/>
            <w:sz w:val="20"/>
          </w:rPr>
          <w:t>cia</w:t>
        </w:r>
      </w:smartTag>
      <w:r>
        <w:rPr>
          <w:rFonts w:ascii="Verdana" w:hAnsi="Verdana"/>
          <w:spacing w:val="-3"/>
          <w:sz w:val="20"/>
        </w:rPr>
        <w:t xml:space="preserve"> del 29.11.2006 (párr. 128) y en la presente Sentencia de Interpretación (párrs. 30-31), la hermana y el hermano de uno y otro, al igual que las hermanas y los hermanos de las demás víctimas fatales en el presente caso </w:t>
      </w:r>
      <w:smartTag w:uri="urn:schemas-microsoft-com:office:smarttags" w:element="PersonName">
        <w:smartTagPr>
          <w:attr w:name="ProductID" w:val="La Cantuta"/>
        </w:smartTagPr>
        <w:r>
          <w:rPr>
            <w:rFonts w:ascii="Verdana" w:hAnsi="Verdana"/>
            <w:i/>
            <w:iCs/>
            <w:spacing w:val="-3"/>
            <w:sz w:val="20"/>
          </w:rPr>
          <w:t>La Cantuta</w:t>
        </w:r>
      </w:smartTag>
      <w:r>
        <w:rPr>
          <w:rFonts w:ascii="Verdana" w:hAnsi="Verdana"/>
          <w:spacing w:val="-3"/>
          <w:sz w:val="20"/>
        </w:rPr>
        <w:t>, deberían todos haber s</w:t>
      </w:r>
      <w:r>
        <w:rPr>
          <w:rFonts w:ascii="Verdana" w:hAnsi="Verdana"/>
          <w:spacing w:val="-3"/>
          <w:sz w:val="20"/>
        </w:rPr>
        <w:t xml:space="preserve">ido considerados víctimas también del artículo 5(1) de </w:t>
      </w:r>
      <w:smartTag w:uri="urn:schemas-microsoft-com:office:smarttags" w:element="PersonName">
        <w:smartTagPr>
          <w:attr w:name="ProductID" w:val="la Convenci￳n Americana"/>
        </w:smartTagPr>
        <w:r>
          <w:rPr>
            <w:rFonts w:ascii="Verdana" w:hAnsi="Verdana"/>
            <w:spacing w:val="-3"/>
            <w:sz w:val="20"/>
          </w:rPr>
          <w:t>la Convención Americana</w:t>
        </w:r>
      </w:smartTag>
      <w:r>
        <w:rPr>
          <w:rFonts w:ascii="Verdana" w:hAnsi="Verdana"/>
          <w:spacing w:val="-3"/>
          <w:sz w:val="20"/>
        </w:rPr>
        <w:t xml:space="preserve">, por presunción al menos </w:t>
      </w:r>
      <w:r>
        <w:rPr>
          <w:rFonts w:ascii="Verdana" w:hAnsi="Verdana"/>
          <w:i/>
          <w:iCs/>
          <w:spacing w:val="-3"/>
          <w:sz w:val="20"/>
        </w:rPr>
        <w:t>juris tantum</w:t>
      </w:r>
      <w:r>
        <w:rPr>
          <w:rFonts w:ascii="Verdana" w:hAnsi="Verdana"/>
          <w:spacing w:val="-3"/>
          <w:sz w:val="20"/>
        </w:rPr>
        <w:t xml:space="preserve">. </w:t>
      </w:r>
    </w:p>
    <w:p w:rsidR="00000000" w:rsidRDefault="00687F2E">
      <w:pPr>
        <w:jc w:val="both"/>
        <w:rPr>
          <w:rFonts w:ascii="Verdana" w:hAnsi="Verdana"/>
          <w:spacing w:val="-3"/>
          <w:sz w:val="20"/>
        </w:rPr>
      </w:pPr>
    </w:p>
    <w:p w:rsidR="00000000" w:rsidRDefault="00687F2E">
      <w:pPr>
        <w:jc w:val="both"/>
        <w:rPr>
          <w:rFonts w:ascii="Verdana" w:hAnsi="Verdana"/>
          <w:spacing w:val="-3"/>
          <w:sz w:val="20"/>
        </w:rPr>
      </w:pPr>
      <w:r>
        <w:rPr>
          <w:rFonts w:ascii="Verdana" w:hAnsi="Verdana"/>
          <w:spacing w:val="-3"/>
          <w:sz w:val="20"/>
        </w:rPr>
        <w:t>50.</w:t>
      </w:r>
      <w:r>
        <w:rPr>
          <w:rFonts w:ascii="Verdana" w:hAnsi="Verdana"/>
          <w:spacing w:val="-3"/>
          <w:sz w:val="20"/>
        </w:rPr>
        <w:tab/>
        <w:t xml:space="preserve">A mi juicio, debe </w:t>
      </w:r>
      <w:smartTag w:uri="urn:schemas-microsoft-com:office:smarttags" w:element="PersonName">
        <w:smartTagPr>
          <w:attr w:name="ProductID" w:val="la Corte"/>
        </w:smartTagPr>
        <w:r>
          <w:rPr>
            <w:rFonts w:ascii="Verdana" w:hAnsi="Verdana"/>
            <w:spacing w:val="-3"/>
            <w:sz w:val="20"/>
          </w:rPr>
          <w:t>la Corte</w:t>
        </w:r>
      </w:smartTag>
      <w:r>
        <w:rPr>
          <w:rFonts w:ascii="Verdana" w:hAnsi="Verdana"/>
          <w:spacing w:val="-3"/>
          <w:sz w:val="20"/>
        </w:rPr>
        <w:t xml:space="preserve"> de inmediato abandonar el desafortunado criterio </w:t>
      </w:r>
      <w:r>
        <w:rPr>
          <w:rFonts w:ascii="Verdana" w:hAnsi="Verdana"/>
          <w:i/>
          <w:iCs/>
          <w:spacing w:val="-3"/>
          <w:sz w:val="20"/>
        </w:rPr>
        <w:t>contra victima</w:t>
      </w:r>
      <w:r>
        <w:rPr>
          <w:rFonts w:ascii="Verdana" w:hAnsi="Verdana"/>
          <w:spacing w:val="-3"/>
          <w:sz w:val="20"/>
        </w:rPr>
        <w:t xml:space="preserve"> (y no </w:t>
      </w:r>
      <w:r>
        <w:rPr>
          <w:rFonts w:ascii="Verdana" w:hAnsi="Verdana"/>
          <w:i/>
          <w:iCs/>
          <w:spacing w:val="-3"/>
          <w:sz w:val="20"/>
        </w:rPr>
        <w:t>pro victima</w:t>
      </w:r>
      <w:r>
        <w:rPr>
          <w:rFonts w:ascii="Verdana" w:hAnsi="Verdana"/>
          <w:spacing w:val="-3"/>
          <w:sz w:val="20"/>
        </w:rPr>
        <w:t xml:space="preserve">!), que apresuradamente </w:t>
      </w:r>
      <w:r>
        <w:rPr>
          <w:rFonts w:ascii="Verdana" w:hAnsi="Verdana"/>
          <w:spacing w:val="-3"/>
          <w:sz w:val="20"/>
        </w:rPr>
        <w:t xml:space="preserve">adoptó - quizás por descuido - en el presente caso </w:t>
      </w:r>
      <w:smartTag w:uri="urn:schemas-microsoft-com:office:smarttags" w:element="PersonName">
        <w:smartTagPr>
          <w:attr w:name="ProductID" w:val="La Cantuta"/>
        </w:smartTagPr>
        <w:r>
          <w:rPr>
            <w:rFonts w:ascii="Verdana" w:hAnsi="Verdana"/>
            <w:i/>
            <w:iCs/>
            <w:spacing w:val="-3"/>
            <w:sz w:val="20"/>
          </w:rPr>
          <w:t>La Cantuta</w:t>
        </w:r>
      </w:smartTag>
      <w:r>
        <w:rPr>
          <w:rFonts w:ascii="Verdana" w:hAnsi="Verdana"/>
          <w:spacing w:val="-3"/>
          <w:sz w:val="20"/>
        </w:rPr>
        <w:t xml:space="preserve">, y volver a su más lúcida jurisprudencia anterior. El criterio del párrafo 128 de </w:t>
      </w:r>
      <w:smartTag w:uri="urn:schemas-microsoft-com:office:smarttags" w:element="PersonName">
        <w:smartTagPr>
          <w:attr w:name="ProductID" w:val="la Sentencia"/>
        </w:smartTagPr>
        <w:r>
          <w:rPr>
            <w:rFonts w:ascii="Verdana" w:hAnsi="Verdana"/>
            <w:spacing w:val="-3"/>
            <w:sz w:val="20"/>
          </w:rPr>
          <w:t>la Sentencia</w:t>
        </w:r>
      </w:smartTag>
      <w:r>
        <w:rPr>
          <w:rFonts w:ascii="Verdana" w:hAnsi="Verdana"/>
          <w:spacing w:val="-3"/>
          <w:sz w:val="20"/>
        </w:rPr>
        <w:t xml:space="preserve"> del 29.11.2006 es un retroceso en la jurisprudencia de </w:t>
      </w:r>
      <w:smartTag w:uri="urn:schemas-microsoft-com:office:smarttags" w:element="PersonName">
        <w:smartTagPr>
          <w:attr w:name="ProductID" w:val="la Corte"/>
        </w:smartTagPr>
        <w:r>
          <w:rPr>
            <w:rFonts w:ascii="Verdana" w:hAnsi="Verdana"/>
            <w:spacing w:val="-3"/>
            <w:sz w:val="20"/>
          </w:rPr>
          <w:t>la Corte</w:t>
        </w:r>
      </w:smartTag>
      <w:r>
        <w:rPr>
          <w:rFonts w:ascii="Verdana" w:hAnsi="Verdana"/>
          <w:spacing w:val="-3"/>
          <w:sz w:val="20"/>
        </w:rPr>
        <w:t>, y, como tal, debe, a mi juicio, se</w:t>
      </w:r>
      <w:r>
        <w:rPr>
          <w:rFonts w:ascii="Verdana" w:hAnsi="Verdana"/>
          <w:spacing w:val="-3"/>
          <w:sz w:val="20"/>
        </w:rPr>
        <w:t>r prontamente abandonado; la exigencia, que ahí se encuentra, de prueba de un "perjuicio cierto", es demasiado restrictiva, y la expresión vaga ahí utilizada, "varios de esos casos", no puede abarcar los casos de ejecución sumaria sumada a desaparición for</w:t>
      </w:r>
      <w:r>
        <w:rPr>
          <w:rFonts w:ascii="Verdana" w:hAnsi="Verdana"/>
          <w:spacing w:val="-3"/>
          <w:sz w:val="20"/>
        </w:rPr>
        <w:t xml:space="preserve">zada de personas. En estos casos, el perjuicio inmaterial, el sufrimiento de las hermanas y los hermanos de las víctimas fatales, debe ser presumido como cierto sin requerir prueba alguna, - excepto si el Estado demandado logra probar lo contrario.  </w:t>
      </w:r>
    </w:p>
    <w:p w:rsidR="00000000" w:rsidRDefault="00687F2E">
      <w:pPr>
        <w:jc w:val="both"/>
        <w:rPr>
          <w:rFonts w:ascii="Verdana" w:hAnsi="Verdana"/>
          <w:spacing w:val="-3"/>
          <w:sz w:val="20"/>
        </w:rPr>
      </w:pPr>
    </w:p>
    <w:p w:rsidR="00000000" w:rsidRDefault="00687F2E">
      <w:pPr>
        <w:jc w:val="both"/>
        <w:rPr>
          <w:rFonts w:ascii="Verdana" w:hAnsi="Verdana"/>
          <w:spacing w:val="-3"/>
          <w:sz w:val="20"/>
        </w:rPr>
      </w:pPr>
      <w:r>
        <w:rPr>
          <w:rFonts w:ascii="Verdana" w:hAnsi="Verdana"/>
          <w:spacing w:val="-3"/>
          <w:sz w:val="20"/>
        </w:rPr>
        <w:t>51.</w:t>
      </w:r>
      <w:r>
        <w:rPr>
          <w:rFonts w:ascii="Verdana" w:hAnsi="Verdana"/>
          <w:spacing w:val="-3"/>
          <w:sz w:val="20"/>
        </w:rPr>
        <w:tab/>
      </w:r>
      <w:r>
        <w:rPr>
          <w:rFonts w:ascii="Verdana" w:hAnsi="Verdana"/>
          <w:spacing w:val="-3"/>
          <w:sz w:val="20"/>
        </w:rPr>
        <w:t>La propia Corte, en su anterior Sentencia de fondo y reparaciones, del 29.11.2006, destacó la gravedad de los hechos, y, en cuanto a las víctimas fatales Juan Gabriel Mariños Figueroa y Heráclides Pablo Meza (sumados a otras), ponderó que, "mientras no sea</w:t>
      </w:r>
      <w:r>
        <w:rPr>
          <w:rFonts w:ascii="Verdana" w:hAnsi="Verdana"/>
          <w:spacing w:val="-3"/>
          <w:sz w:val="20"/>
        </w:rPr>
        <w:t xml:space="preserve"> determinado" su</w:t>
      </w:r>
      <w:r>
        <w:rPr>
          <w:rFonts w:ascii="Verdana" w:hAnsi="Verdana"/>
          <w:spacing w:val="-3"/>
          <w:sz w:val="20"/>
        </w:rPr>
        <w:tab/>
        <w:t>paradero, "o debidamente localizados e identificados sus restos", el "tratamiento jurídico adecuado" para su situación es el correspondiente al de "desaparición forzada de personas" (párr. 114). Y, en relación con las circunstancias del ca</w:t>
      </w:r>
      <w:r>
        <w:rPr>
          <w:rFonts w:ascii="Verdana" w:hAnsi="Verdana"/>
          <w:spacing w:val="-3"/>
          <w:sz w:val="20"/>
        </w:rPr>
        <w:t xml:space="preserve">so, agregó que "la responsabilidad internacional del Estado se configura de manera agravada en razón del contexto en que los hechos fueron perpetrados" (párr. 116). Siendo así, es injustificable que haya </w:t>
      </w:r>
      <w:smartTag w:uri="urn:schemas-microsoft-com:office:smarttags" w:element="PersonName">
        <w:smartTagPr>
          <w:attr w:name="ProductID" w:val="la Corte"/>
        </w:smartTagPr>
        <w:r>
          <w:rPr>
            <w:rFonts w:ascii="Verdana" w:hAnsi="Verdana"/>
            <w:spacing w:val="-3"/>
            <w:sz w:val="20"/>
          </w:rPr>
          <w:t>la Corte</w:t>
        </w:r>
      </w:smartTag>
      <w:r>
        <w:rPr>
          <w:rFonts w:ascii="Verdana" w:hAnsi="Verdana"/>
          <w:spacing w:val="-3"/>
          <w:sz w:val="20"/>
        </w:rPr>
        <w:t xml:space="preserve"> exigido de las hermanas y los hermanos de l</w:t>
      </w:r>
      <w:r>
        <w:rPr>
          <w:rFonts w:ascii="Verdana" w:hAnsi="Verdana"/>
          <w:spacing w:val="-3"/>
          <w:sz w:val="20"/>
        </w:rPr>
        <w:t xml:space="preserve">as víctimas fatales, la producción de prueba del daño o perjuicio inmaterial de su sufrimiento. </w:t>
      </w:r>
    </w:p>
    <w:p w:rsidR="00000000" w:rsidRDefault="00687F2E">
      <w:pPr>
        <w:jc w:val="both"/>
        <w:rPr>
          <w:rFonts w:ascii="Verdana" w:hAnsi="Verdana"/>
          <w:spacing w:val="-3"/>
          <w:sz w:val="20"/>
        </w:rPr>
      </w:pPr>
    </w:p>
    <w:p w:rsidR="00000000" w:rsidRDefault="00687F2E">
      <w:pPr>
        <w:jc w:val="both"/>
        <w:rPr>
          <w:rFonts w:ascii="Verdana" w:hAnsi="Verdana"/>
          <w:spacing w:val="-3"/>
          <w:sz w:val="20"/>
        </w:rPr>
      </w:pPr>
      <w:r>
        <w:rPr>
          <w:rFonts w:ascii="Verdana" w:hAnsi="Verdana"/>
          <w:spacing w:val="-3"/>
          <w:sz w:val="20"/>
        </w:rPr>
        <w:t>52.</w:t>
      </w:r>
      <w:r>
        <w:rPr>
          <w:rFonts w:ascii="Verdana" w:hAnsi="Verdana"/>
          <w:spacing w:val="-3"/>
          <w:sz w:val="20"/>
        </w:rPr>
        <w:tab/>
        <w:t>En nuestros países de América Latina, sobreviven efectivamente en el medio social los sentimientos propios de lazos familiares fuertes, quizás más diluido</w:t>
      </w:r>
      <w:r>
        <w:rPr>
          <w:rFonts w:ascii="Verdana" w:hAnsi="Verdana"/>
          <w:spacing w:val="-3"/>
          <w:sz w:val="20"/>
        </w:rPr>
        <w:t xml:space="preserve">s en las sociedades de países tecnológicamente más "avanzados". En el curso del procedimiento contencioso de varios casos resueltos por </w:t>
      </w:r>
      <w:smartTag w:uri="urn:schemas-microsoft-com:office:smarttags" w:element="PersonName">
        <w:smartTagPr>
          <w:attr w:name="ProductID" w:val="la Corte Interamericana"/>
        </w:smartTagPr>
        <w:r>
          <w:rPr>
            <w:rFonts w:ascii="Verdana" w:hAnsi="Verdana"/>
            <w:spacing w:val="-3"/>
            <w:sz w:val="20"/>
          </w:rPr>
          <w:t>la Corte Interamericana</w:t>
        </w:r>
      </w:smartTag>
      <w:r>
        <w:rPr>
          <w:rFonts w:ascii="Verdana" w:hAnsi="Verdana"/>
          <w:spacing w:val="-3"/>
          <w:sz w:val="20"/>
        </w:rPr>
        <w:t>, he podido constatar - en audiencias públicas - manifestaciones del intenso sufrimiento de herma</w:t>
      </w:r>
      <w:r>
        <w:rPr>
          <w:rFonts w:ascii="Verdana" w:hAnsi="Verdana"/>
          <w:spacing w:val="-3"/>
          <w:sz w:val="20"/>
        </w:rPr>
        <w:t xml:space="preserve">nos de víctimas de violaciones graves de los derechos humanos. Esto es algo que, como Juez sobreviviente de </w:t>
      </w:r>
      <w:smartTag w:uri="urn:schemas-microsoft-com:office:smarttags" w:element="PersonName">
        <w:smartTagPr>
          <w:attr w:name="ProductID" w:val="la Corte"/>
        </w:smartTagPr>
        <w:r>
          <w:rPr>
            <w:rFonts w:ascii="Verdana" w:hAnsi="Verdana"/>
            <w:spacing w:val="-3"/>
            <w:sz w:val="20"/>
          </w:rPr>
          <w:t>la Corte</w:t>
        </w:r>
      </w:smartTag>
      <w:r>
        <w:rPr>
          <w:rFonts w:ascii="Verdana" w:hAnsi="Verdana"/>
          <w:spacing w:val="-3"/>
          <w:sz w:val="20"/>
        </w:rPr>
        <w:t xml:space="preserve">, me veo en la </w:t>
      </w:r>
      <w:r>
        <w:rPr>
          <w:rFonts w:ascii="Verdana" w:hAnsi="Verdana"/>
          <w:spacing w:val="-3"/>
          <w:sz w:val="20"/>
        </w:rPr>
        <w:lastRenderedPageBreak/>
        <w:t xml:space="preserve">obligación de aquí recordar; </w:t>
      </w:r>
      <w:smartTag w:uri="urn:schemas-microsoft-com:office:smarttags" w:element="PersonName">
        <w:smartTagPr>
          <w:attr w:name="ProductID" w:val="la Corte"/>
        </w:smartTagPr>
        <w:r>
          <w:rPr>
            <w:rFonts w:ascii="Verdana" w:hAnsi="Verdana"/>
            <w:spacing w:val="-3"/>
            <w:sz w:val="20"/>
          </w:rPr>
          <w:t>la Corte</w:t>
        </w:r>
      </w:smartTag>
      <w:r>
        <w:rPr>
          <w:rFonts w:ascii="Verdana" w:hAnsi="Verdana"/>
          <w:spacing w:val="-3"/>
          <w:sz w:val="20"/>
        </w:rPr>
        <w:t xml:space="preserve"> no debía ahora, de repente, establecer, </w:t>
      </w:r>
      <w:r>
        <w:rPr>
          <w:rFonts w:ascii="Verdana" w:hAnsi="Verdana"/>
          <w:i/>
          <w:iCs/>
          <w:spacing w:val="-3"/>
          <w:sz w:val="20"/>
        </w:rPr>
        <w:t>out of the blue</w:t>
      </w:r>
      <w:r>
        <w:rPr>
          <w:rFonts w:ascii="Verdana" w:hAnsi="Verdana"/>
          <w:spacing w:val="-3"/>
          <w:sz w:val="20"/>
        </w:rPr>
        <w:t>, un nuevo criterio, más restric</w:t>
      </w:r>
      <w:r>
        <w:rPr>
          <w:rFonts w:ascii="Verdana" w:hAnsi="Verdana"/>
          <w:spacing w:val="-3"/>
          <w:sz w:val="20"/>
        </w:rPr>
        <w:t xml:space="preserve">tivo para los familiares inmediatos de las víctimas, - también víctimas en su derecho propio, - haciendo abstracción de toda la experiencia acumulada anteriormente por el Tribunal. </w:t>
      </w:r>
    </w:p>
    <w:p w:rsidR="00000000" w:rsidRDefault="00687F2E">
      <w:pPr>
        <w:jc w:val="both"/>
        <w:rPr>
          <w:rFonts w:ascii="Verdana" w:hAnsi="Verdana"/>
          <w:spacing w:val="-3"/>
          <w:sz w:val="20"/>
        </w:rPr>
      </w:pPr>
    </w:p>
    <w:p w:rsidR="00000000" w:rsidRDefault="00687F2E">
      <w:pPr>
        <w:jc w:val="both"/>
        <w:rPr>
          <w:rFonts w:ascii="Verdana" w:hAnsi="Verdana"/>
          <w:spacing w:val="-3"/>
          <w:sz w:val="20"/>
        </w:rPr>
      </w:pPr>
      <w:r>
        <w:rPr>
          <w:rFonts w:ascii="Verdana" w:hAnsi="Verdana"/>
          <w:spacing w:val="-3"/>
          <w:sz w:val="20"/>
        </w:rPr>
        <w:t>53.</w:t>
      </w:r>
      <w:r>
        <w:rPr>
          <w:rFonts w:ascii="Verdana" w:hAnsi="Verdana"/>
          <w:spacing w:val="-3"/>
          <w:sz w:val="20"/>
        </w:rPr>
        <w:tab/>
        <w:t xml:space="preserve">En mi entender, </w:t>
      </w:r>
      <w:smartTag w:uri="urn:schemas-microsoft-com:office:smarttags" w:element="PersonName">
        <w:smartTagPr>
          <w:attr w:name="ProductID" w:val="la Corte"/>
        </w:smartTagPr>
        <w:r>
          <w:rPr>
            <w:rFonts w:ascii="Verdana" w:hAnsi="Verdana"/>
            <w:spacing w:val="-3"/>
            <w:sz w:val="20"/>
          </w:rPr>
          <w:t>la Corte</w:t>
        </w:r>
      </w:smartTag>
      <w:r>
        <w:rPr>
          <w:rFonts w:ascii="Verdana" w:hAnsi="Verdana"/>
          <w:spacing w:val="-3"/>
          <w:sz w:val="20"/>
        </w:rPr>
        <w:t xml:space="preserve"> debe tener siempre presente su propia experi</w:t>
      </w:r>
      <w:r>
        <w:rPr>
          <w:rFonts w:ascii="Verdana" w:hAnsi="Verdana"/>
          <w:spacing w:val="-3"/>
          <w:sz w:val="20"/>
        </w:rPr>
        <w:t xml:space="preserve">encia acumulada en la búsqueda de la realización de la justicia bajo </w:t>
      </w:r>
      <w:smartTag w:uri="urn:schemas-microsoft-com:office:smarttags" w:element="PersonName">
        <w:smartTagPr>
          <w:attr w:name="ProductID" w:val="la Convenci￳n Americana."/>
        </w:smartTagPr>
        <w:r>
          <w:rPr>
            <w:rFonts w:ascii="Verdana" w:hAnsi="Verdana"/>
            <w:spacing w:val="-3"/>
            <w:sz w:val="20"/>
          </w:rPr>
          <w:t>la Convención Americana.</w:t>
        </w:r>
      </w:smartTag>
      <w:r>
        <w:rPr>
          <w:rFonts w:ascii="Verdana" w:hAnsi="Verdana"/>
          <w:spacing w:val="-3"/>
          <w:sz w:val="20"/>
        </w:rPr>
        <w:t xml:space="preserve"> </w:t>
      </w:r>
      <w:smartTag w:uri="urn:schemas-microsoft-com:office:smarttags" w:element="PersonName">
        <w:smartTagPr>
          <w:attr w:name="ProductID" w:val="la Corte"/>
        </w:smartTagPr>
        <w:r>
          <w:rPr>
            <w:rFonts w:ascii="Verdana" w:hAnsi="Verdana"/>
            <w:spacing w:val="-3"/>
            <w:sz w:val="20"/>
          </w:rPr>
          <w:t>La Corte</w:t>
        </w:r>
      </w:smartTag>
      <w:r>
        <w:rPr>
          <w:rFonts w:ascii="Verdana" w:hAnsi="Verdana"/>
          <w:spacing w:val="-3"/>
          <w:sz w:val="20"/>
        </w:rPr>
        <w:t xml:space="preserve"> no debe pretender innovar apresuradamente, sin mayor reflexión (en medio a su nuevo afán de productividad de sentencias), y mediante retrocesos, a punto </w:t>
      </w:r>
      <w:r>
        <w:rPr>
          <w:rFonts w:ascii="Verdana" w:hAnsi="Verdana"/>
          <w:spacing w:val="-3"/>
          <w:sz w:val="20"/>
        </w:rPr>
        <w:t xml:space="preserve">de llegar a veces a parecer perder de vista que todo el </w:t>
      </w:r>
      <w:r>
        <w:rPr>
          <w:rFonts w:ascii="Verdana" w:hAnsi="Verdana"/>
          <w:i/>
          <w:iCs/>
          <w:spacing w:val="-3"/>
          <w:sz w:val="20"/>
        </w:rPr>
        <w:t>corpus juris</w:t>
      </w:r>
      <w:r>
        <w:rPr>
          <w:rFonts w:ascii="Verdana" w:hAnsi="Verdana"/>
          <w:spacing w:val="-3"/>
          <w:sz w:val="20"/>
        </w:rPr>
        <w:t xml:space="preserve"> del Derecho Internacional de los Derechos Humanos encuéntrase orientado hacia las víctimas, es claramente </w:t>
      </w:r>
      <w:r>
        <w:rPr>
          <w:rFonts w:ascii="Verdana" w:hAnsi="Verdana"/>
          <w:i/>
          <w:iCs/>
          <w:spacing w:val="-3"/>
          <w:sz w:val="20"/>
        </w:rPr>
        <w:t>pro victima</w:t>
      </w:r>
      <w:r>
        <w:rPr>
          <w:rFonts w:ascii="Verdana" w:hAnsi="Verdana"/>
          <w:spacing w:val="-3"/>
          <w:sz w:val="20"/>
        </w:rPr>
        <w:t xml:space="preserve">. </w:t>
      </w:r>
      <w:smartTag w:uri="urn:schemas-microsoft-com:office:smarttags" w:element="PersonName">
        <w:smartTagPr>
          <w:attr w:name="ProductID" w:val="la Corte"/>
        </w:smartTagPr>
        <w:r>
          <w:rPr>
            <w:rFonts w:ascii="Verdana" w:hAnsi="Verdana"/>
            <w:spacing w:val="-3"/>
            <w:sz w:val="20"/>
          </w:rPr>
          <w:t>La Corte</w:t>
        </w:r>
      </w:smartTag>
      <w:r>
        <w:rPr>
          <w:rFonts w:ascii="Verdana" w:hAnsi="Verdana"/>
          <w:spacing w:val="-3"/>
          <w:sz w:val="20"/>
        </w:rPr>
        <w:t xml:space="preserve"> no debe pretender frenar la línea emancipadora de su jurisp</w:t>
      </w:r>
      <w:r>
        <w:rPr>
          <w:rFonts w:ascii="Verdana" w:hAnsi="Verdana"/>
          <w:spacing w:val="-3"/>
          <w:sz w:val="20"/>
        </w:rPr>
        <w:t xml:space="preserve">rudencia anterior, orientada decididamente hacia la ampliación - y no la restricción - de la condición de víctima bajo </w:t>
      </w:r>
      <w:smartTag w:uri="urn:schemas-microsoft-com:office:smarttags" w:element="PersonName">
        <w:smartTagPr>
          <w:attr w:name="ProductID" w:val="la Convenci￳n Americana."/>
        </w:smartTagPr>
        <w:r>
          <w:rPr>
            <w:rFonts w:ascii="Verdana" w:hAnsi="Verdana"/>
            <w:spacing w:val="-3"/>
            <w:sz w:val="20"/>
          </w:rPr>
          <w:t>la Convención Americana.</w:t>
        </w:r>
      </w:smartTag>
    </w:p>
    <w:p w:rsidR="00000000" w:rsidRDefault="00687F2E">
      <w:pPr>
        <w:jc w:val="both"/>
        <w:rPr>
          <w:rFonts w:ascii="Verdana" w:hAnsi="Verdana"/>
          <w:spacing w:val="-3"/>
          <w:sz w:val="20"/>
        </w:rPr>
      </w:pPr>
    </w:p>
    <w:p w:rsidR="00000000" w:rsidRDefault="00687F2E">
      <w:pPr>
        <w:jc w:val="both"/>
        <w:rPr>
          <w:rFonts w:ascii="Verdana" w:hAnsi="Verdana"/>
          <w:spacing w:val="-3"/>
          <w:sz w:val="20"/>
        </w:rPr>
      </w:pPr>
      <w:r>
        <w:rPr>
          <w:rFonts w:ascii="Verdana" w:hAnsi="Verdana"/>
          <w:spacing w:val="-3"/>
          <w:sz w:val="20"/>
        </w:rPr>
        <w:t>54.</w:t>
      </w:r>
      <w:r>
        <w:rPr>
          <w:rFonts w:ascii="Verdana" w:hAnsi="Verdana"/>
          <w:spacing w:val="-3"/>
          <w:sz w:val="20"/>
        </w:rPr>
        <w:tab/>
        <w:t xml:space="preserve">Nunca me olvidaré, como Juez sobreviviente de </w:t>
      </w:r>
      <w:smartTag w:uri="urn:schemas-microsoft-com:office:smarttags" w:element="PersonName">
        <w:smartTagPr>
          <w:attr w:name="ProductID" w:val="la Corte Interamericana"/>
        </w:smartTagPr>
        <w:r>
          <w:rPr>
            <w:rFonts w:ascii="Verdana" w:hAnsi="Verdana"/>
            <w:spacing w:val="-3"/>
            <w:sz w:val="20"/>
          </w:rPr>
          <w:t>la Corte Interamericana</w:t>
        </w:r>
      </w:smartTag>
      <w:r>
        <w:rPr>
          <w:rFonts w:ascii="Verdana" w:hAnsi="Verdana"/>
          <w:spacing w:val="-3"/>
          <w:sz w:val="20"/>
        </w:rPr>
        <w:t>, del efecto devastador, en el seno de</w:t>
      </w:r>
      <w:r>
        <w:rPr>
          <w:rFonts w:ascii="Verdana" w:hAnsi="Verdana"/>
          <w:spacing w:val="-3"/>
          <w:sz w:val="20"/>
        </w:rPr>
        <w:t xml:space="preserve"> una familia, revelado en sucesivas audiencias públicas ante esta Corte, por los propios familiares de la persona ejecutada o desaparecida, en los casos, por ejemplo, </w:t>
      </w:r>
      <w:r>
        <w:rPr>
          <w:rFonts w:ascii="Verdana" w:hAnsi="Verdana"/>
          <w:i/>
          <w:iCs/>
          <w:spacing w:val="-3"/>
          <w:sz w:val="20"/>
        </w:rPr>
        <w:t>Castillo Páez versus Perú</w:t>
      </w:r>
      <w:r>
        <w:rPr>
          <w:rFonts w:ascii="Verdana" w:hAnsi="Verdana"/>
          <w:spacing w:val="-3"/>
          <w:sz w:val="20"/>
        </w:rPr>
        <w:t xml:space="preserve"> (1997-1998), </w:t>
      </w:r>
      <w:r>
        <w:rPr>
          <w:rFonts w:ascii="Verdana" w:hAnsi="Verdana"/>
          <w:i/>
          <w:iCs/>
          <w:spacing w:val="-3"/>
          <w:sz w:val="20"/>
        </w:rPr>
        <w:t>Blake versus Guatemala</w:t>
      </w:r>
      <w:r>
        <w:rPr>
          <w:rFonts w:ascii="Verdana" w:hAnsi="Verdana"/>
          <w:spacing w:val="-3"/>
          <w:sz w:val="20"/>
        </w:rPr>
        <w:t xml:space="preserve"> (1998-1999), </w:t>
      </w:r>
      <w:r>
        <w:rPr>
          <w:rFonts w:ascii="Verdana" w:hAnsi="Verdana"/>
          <w:i/>
          <w:iCs/>
          <w:spacing w:val="-3"/>
          <w:sz w:val="20"/>
        </w:rPr>
        <w:t xml:space="preserve">Niños de </w:t>
      </w:r>
      <w:smartTag w:uri="urn:schemas-microsoft-com:office:smarttags" w:element="PersonName">
        <w:smartTagPr>
          <w:attr w:name="ProductID" w:val="la Calle"/>
        </w:smartTagPr>
        <w:r>
          <w:rPr>
            <w:rFonts w:ascii="Verdana" w:hAnsi="Verdana"/>
            <w:i/>
            <w:iCs/>
            <w:spacing w:val="-3"/>
            <w:sz w:val="20"/>
          </w:rPr>
          <w:t>la Ca</w:t>
        </w:r>
        <w:r>
          <w:rPr>
            <w:rFonts w:ascii="Verdana" w:hAnsi="Verdana"/>
            <w:i/>
            <w:iCs/>
            <w:spacing w:val="-3"/>
            <w:sz w:val="20"/>
          </w:rPr>
          <w:t>lle</w:t>
        </w:r>
      </w:smartTag>
      <w:r>
        <w:rPr>
          <w:rFonts w:ascii="Verdana" w:hAnsi="Verdana"/>
          <w:spacing w:val="-3"/>
          <w:sz w:val="20"/>
        </w:rPr>
        <w:t xml:space="preserve"> (</w:t>
      </w:r>
      <w:r>
        <w:rPr>
          <w:rFonts w:ascii="Verdana" w:hAnsi="Verdana"/>
          <w:i/>
          <w:iCs/>
          <w:spacing w:val="-3"/>
          <w:sz w:val="20"/>
        </w:rPr>
        <w:t>Villagrán Morales y Otros versus Guatemala</w:t>
      </w:r>
      <w:r>
        <w:rPr>
          <w:rFonts w:ascii="Verdana" w:hAnsi="Verdana"/>
          <w:spacing w:val="-3"/>
          <w:sz w:val="20"/>
        </w:rPr>
        <w:t xml:space="preserve">, 1999-2001), </w:t>
      </w:r>
      <w:r>
        <w:rPr>
          <w:rFonts w:ascii="Verdana" w:hAnsi="Verdana"/>
          <w:i/>
          <w:iCs/>
          <w:spacing w:val="-3"/>
          <w:sz w:val="20"/>
        </w:rPr>
        <w:t>Bulacio versus Argentina</w:t>
      </w:r>
      <w:r>
        <w:rPr>
          <w:rFonts w:ascii="Verdana" w:hAnsi="Verdana"/>
          <w:spacing w:val="-3"/>
          <w:sz w:val="20"/>
        </w:rPr>
        <w:t xml:space="preserve"> (2003), entre otros. Tampoco me olvidaré, como Juez sobreviviente de esta Corte, de los numerosos peritajes de psicólogos - que siempre tanto valoré - por ella recibidos </w:t>
      </w:r>
      <w:r>
        <w:rPr>
          <w:rFonts w:ascii="Verdana" w:hAnsi="Verdana"/>
          <w:spacing w:val="-3"/>
          <w:sz w:val="20"/>
        </w:rPr>
        <w:t>en audiencias públicas, confirmando el profundo sentimiento de dolor de los familiares inmediatos frente al suplicio de un hijo o una hija, un padre o una madre, un hermano o una hermana, - sin necesidad de prueba alguna al respecto. Es esto hoy día confir</w:t>
      </w:r>
      <w:r>
        <w:rPr>
          <w:rFonts w:ascii="Verdana" w:hAnsi="Verdana"/>
          <w:spacing w:val="-3"/>
          <w:sz w:val="20"/>
        </w:rPr>
        <w:t>mado por la bibliografía contemporánea especializada, en cuanto a los graves traumas sufridos por los familiares más próximos de las víctimas fatales</w:t>
      </w:r>
      <w:r>
        <w:rPr>
          <w:rStyle w:val="Refdenotaalpie"/>
          <w:rFonts w:cs="Courier New"/>
          <w:spacing w:val="-3"/>
          <w:sz w:val="20"/>
          <w:lang w:val="es-ES_tradnl"/>
        </w:rPr>
        <w:footnoteReference w:id="55"/>
      </w:r>
      <w:r>
        <w:rPr>
          <w:rFonts w:ascii="Verdana" w:hAnsi="Verdana"/>
          <w:spacing w:val="-3"/>
          <w:sz w:val="20"/>
        </w:rPr>
        <w:t xml:space="preserve"> (también victimados), e inclusive por la comunidad a que pertenecían las víctimas</w:t>
      </w:r>
      <w:r>
        <w:rPr>
          <w:rStyle w:val="Refdenotaalpie"/>
          <w:rFonts w:cs="Courier New"/>
          <w:spacing w:val="-3"/>
          <w:sz w:val="20"/>
          <w:lang w:val="es-ES_tradnl"/>
        </w:rPr>
        <w:footnoteReference w:id="56"/>
      </w:r>
      <w:r>
        <w:rPr>
          <w:rFonts w:ascii="Verdana" w:hAnsi="Verdana"/>
          <w:spacing w:val="-3"/>
          <w:sz w:val="20"/>
        </w:rPr>
        <w:t>.</w:t>
      </w:r>
    </w:p>
    <w:p w:rsidR="00000000" w:rsidRDefault="00687F2E">
      <w:pPr>
        <w:jc w:val="both"/>
        <w:rPr>
          <w:rFonts w:ascii="Verdana" w:hAnsi="Verdana"/>
          <w:spacing w:val="-3"/>
          <w:sz w:val="20"/>
        </w:rPr>
      </w:pPr>
    </w:p>
    <w:p w:rsidR="00000000" w:rsidRDefault="00687F2E">
      <w:pPr>
        <w:jc w:val="both"/>
        <w:rPr>
          <w:rFonts w:ascii="Verdana" w:hAnsi="Verdana"/>
          <w:spacing w:val="-3"/>
          <w:sz w:val="20"/>
        </w:rPr>
      </w:pPr>
      <w:r>
        <w:rPr>
          <w:rFonts w:ascii="Verdana" w:hAnsi="Verdana"/>
          <w:spacing w:val="-3"/>
          <w:sz w:val="20"/>
        </w:rPr>
        <w:t>55.</w:t>
      </w:r>
      <w:r>
        <w:rPr>
          <w:rFonts w:ascii="Verdana" w:hAnsi="Verdana"/>
          <w:spacing w:val="-3"/>
          <w:sz w:val="20"/>
        </w:rPr>
        <w:tab/>
        <w:t xml:space="preserve">Me permito aquí </w:t>
      </w:r>
      <w:r>
        <w:rPr>
          <w:rFonts w:ascii="Verdana" w:hAnsi="Verdana"/>
          <w:spacing w:val="-3"/>
          <w:sz w:val="20"/>
        </w:rPr>
        <w:t xml:space="preserve">recordar que, en su Sentencia del 25.05.2001 en el caso de </w:t>
      </w:r>
      <w:smartTag w:uri="urn:schemas-microsoft-com:office:smarttags" w:element="PersonName">
        <w:smartTagPr>
          <w:attr w:name="ProductID" w:val="la Panel Blanca"/>
        </w:smartTagPr>
        <w:r>
          <w:rPr>
            <w:rFonts w:ascii="Verdana" w:hAnsi="Verdana"/>
            <w:spacing w:val="-3"/>
            <w:sz w:val="20"/>
          </w:rPr>
          <w:t xml:space="preserve">la </w:t>
        </w:r>
        <w:r>
          <w:rPr>
            <w:rFonts w:ascii="Verdana" w:hAnsi="Verdana"/>
            <w:i/>
            <w:iCs/>
            <w:spacing w:val="-3"/>
            <w:sz w:val="20"/>
          </w:rPr>
          <w:t>Panel Blanca</w:t>
        </w:r>
      </w:smartTag>
      <w:r>
        <w:rPr>
          <w:rFonts w:ascii="Verdana" w:hAnsi="Verdana"/>
          <w:spacing w:val="-3"/>
          <w:sz w:val="20"/>
        </w:rPr>
        <w:t xml:space="preserve"> (</w:t>
      </w:r>
      <w:r>
        <w:rPr>
          <w:rFonts w:ascii="Verdana" w:hAnsi="Verdana"/>
          <w:i/>
          <w:iCs/>
          <w:spacing w:val="-3"/>
          <w:sz w:val="20"/>
        </w:rPr>
        <w:t>Paniagua Morales y Otros versus Guatemala</w:t>
      </w:r>
      <w:r>
        <w:rPr>
          <w:rFonts w:ascii="Verdana" w:hAnsi="Verdana"/>
          <w:spacing w:val="-3"/>
          <w:sz w:val="20"/>
        </w:rPr>
        <w:t xml:space="preserve"> - reparaciones), </w:t>
      </w:r>
      <w:smartTag w:uri="urn:schemas-microsoft-com:office:smarttags" w:element="PersonName">
        <w:smartTagPr>
          <w:attr w:name="ProductID" w:val="la Corte"/>
        </w:smartTagPr>
        <w:r>
          <w:rPr>
            <w:rFonts w:ascii="Verdana" w:hAnsi="Verdana"/>
            <w:spacing w:val="-3"/>
            <w:sz w:val="20"/>
          </w:rPr>
          <w:t>la Corte</w:t>
        </w:r>
      </w:smartTag>
      <w:r>
        <w:rPr>
          <w:rFonts w:ascii="Verdana" w:hAnsi="Verdana"/>
          <w:spacing w:val="-3"/>
          <w:sz w:val="20"/>
        </w:rPr>
        <w:t xml:space="preserve"> requirió el </w:t>
      </w:r>
      <w:r>
        <w:rPr>
          <w:rFonts w:ascii="Verdana" w:hAnsi="Verdana"/>
          <w:i/>
          <w:iCs/>
          <w:spacing w:val="-3"/>
          <w:sz w:val="20"/>
        </w:rPr>
        <w:t>onus probandi</w:t>
      </w:r>
      <w:r>
        <w:rPr>
          <w:rFonts w:ascii="Verdana" w:hAnsi="Verdana"/>
          <w:spacing w:val="-3"/>
          <w:sz w:val="20"/>
        </w:rPr>
        <w:t xml:space="preserve"> de los familiares de las víctimas específicamente en relación con prestaciones materia</w:t>
      </w:r>
      <w:r>
        <w:rPr>
          <w:rFonts w:ascii="Verdana" w:hAnsi="Verdana"/>
          <w:spacing w:val="-3"/>
          <w:sz w:val="20"/>
        </w:rPr>
        <w:t xml:space="preserve">les, entendiendo "familiares de la víctima" como un "concepto amplio", abarcando a los hijos, padres y hermanos (párr. 86). Pero el criterio en cuanto al daño moral era, en el correcto entender de </w:t>
      </w:r>
      <w:smartTag w:uri="urn:schemas-microsoft-com:office:smarttags" w:element="PersonName">
        <w:smartTagPr>
          <w:attr w:name="ProductID" w:val="la Corte"/>
        </w:smartTagPr>
        <w:r>
          <w:rPr>
            <w:rFonts w:ascii="Verdana" w:hAnsi="Verdana"/>
            <w:spacing w:val="-3"/>
            <w:sz w:val="20"/>
          </w:rPr>
          <w:t>la Corte</w:t>
        </w:r>
      </w:smartTag>
      <w:r>
        <w:rPr>
          <w:rFonts w:ascii="Verdana" w:hAnsi="Verdana"/>
          <w:spacing w:val="-3"/>
          <w:sz w:val="20"/>
        </w:rPr>
        <w:t>, distinto:</w:t>
      </w:r>
    </w:p>
    <w:p w:rsidR="00000000" w:rsidRDefault="00687F2E">
      <w:pPr>
        <w:ind w:left="720" w:right="720"/>
        <w:jc w:val="both"/>
        <w:rPr>
          <w:rFonts w:ascii="Verdana" w:hAnsi="Verdana"/>
          <w:spacing w:val="-3"/>
          <w:sz w:val="18"/>
        </w:rPr>
      </w:pPr>
    </w:p>
    <w:p w:rsidR="00000000" w:rsidRDefault="00687F2E">
      <w:pPr>
        <w:ind w:left="720" w:right="720"/>
        <w:jc w:val="both"/>
        <w:rPr>
          <w:rFonts w:ascii="Verdana" w:hAnsi="Verdana"/>
          <w:spacing w:val="-3"/>
          <w:sz w:val="18"/>
        </w:rPr>
      </w:pPr>
      <w:r>
        <w:rPr>
          <w:rFonts w:ascii="Verdana" w:hAnsi="Verdana"/>
          <w:spacing w:val="-3"/>
          <w:sz w:val="18"/>
        </w:rPr>
        <w:tab/>
        <w:t xml:space="preserve">"En el caso </w:t>
      </w:r>
      <w:r>
        <w:rPr>
          <w:rFonts w:ascii="Verdana" w:hAnsi="Verdana"/>
          <w:i/>
          <w:iCs/>
          <w:spacing w:val="-3"/>
          <w:sz w:val="18"/>
        </w:rPr>
        <w:t>sub judice</w:t>
      </w:r>
      <w:r>
        <w:rPr>
          <w:rFonts w:ascii="Verdana" w:hAnsi="Verdana"/>
          <w:spacing w:val="-3"/>
          <w:sz w:val="18"/>
        </w:rPr>
        <w:t>, el daño moral</w:t>
      </w:r>
      <w:r>
        <w:rPr>
          <w:rFonts w:ascii="Verdana" w:hAnsi="Verdana"/>
          <w:spacing w:val="-3"/>
          <w:sz w:val="18"/>
        </w:rPr>
        <w:t xml:space="preserve"> infligido a la víctima resulta evidente, pues es propio de la naturaleza humana que toda persona sometida a agresiones y vejámenes, como los que se cometieron contra aquélla (detención ilegal, torturas y muerte), experimente un profundo sufrimiento moral,</w:t>
      </w:r>
      <w:r>
        <w:rPr>
          <w:rFonts w:ascii="Verdana" w:hAnsi="Verdana"/>
          <w:spacing w:val="-3"/>
          <w:sz w:val="18"/>
        </w:rPr>
        <w:t xml:space="preserve"> el cual se extiende a los miembros más íntimos de la familia, particularmente a aquéllos que estuvieron en contacto afectivo estrecho con la víctima. </w:t>
      </w:r>
      <w:smartTag w:uri="urn:schemas-microsoft-com:office:smarttags" w:element="PersonName">
        <w:smartTagPr>
          <w:attr w:name="ProductID" w:val="la Corte"/>
        </w:smartTagPr>
        <w:r>
          <w:rPr>
            <w:rFonts w:ascii="Verdana" w:hAnsi="Verdana"/>
            <w:i/>
            <w:iCs/>
            <w:spacing w:val="-3"/>
            <w:sz w:val="18"/>
          </w:rPr>
          <w:t>La Corte</w:t>
        </w:r>
      </w:smartTag>
      <w:r>
        <w:rPr>
          <w:rFonts w:ascii="Verdana" w:hAnsi="Verdana"/>
          <w:i/>
          <w:iCs/>
          <w:spacing w:val="-3"/>
          <w:sz w:val="18"/>
        </w:rPr>
        <w:t xml:space="preserve"> considera que no requiere prueba para llegar a la mencionada conclusión</w:t>
      </w:r>
      <w:r>
        <w:rPr>
          <w:rFonts w:ascii="Verdana" w:hAnsi="Verdana"/>
          <w:spacing w:val="-3"/>
          <w:sz w:val="18"/>
        </w:rPr>
        <w:t>" (párr. 106)</w:t>
      </w:r>
      <w:r>
        <w:rPr>
          <w:rStyle w:val="Refdenotaalpie"/>
          <w:rFonts w:cs="Courier New"/>
          <w:spacing w:val="-3"/>
          <w:sz w:val="18"/>
          <w:lang w:val="es-ES_tradnl"/>
        </w:rPr>
        <w:footnoteReference w:id="57"/>
      </w:r>
      <w:r>
        <w:rPr>
          <w:rFonts w:ascii="Verdana" w:hAnsi="Verdana"/>
          <w:spacing w:val="-3"/>
          <w:sz w:val="18"/>
        </w:rPr>
        <w:t xml:space="preserve">. </w:t>
      </w:r>
      <w:r>
        <w:rPr>
          <w:rFonts w:ascii="Verdana" w:hAnsi="Verdana"/>
          <w:spacing w:val="-3"/>
          <w:sz w:val="18"/>
        </w:rPr>
        <w:tab/>
      </w:r>
      <w:r>
        <w:rPr>
          <w:rFonts w:ascii="Verdana" w:hAnsi="Verdana"/>
          <w:spacing w:val="-3"/>
          <w:sz w:val="18"/>
        </w:rPr>
        <w:tab/>
      </w:r>
    </w:p>
    <w:p w:rsidR="00000000" w:rsidRDefault="00687F2E">
      <w:pPr>
        <w:ind w:left="720" w:right="720"/>
        <w:jc w:val="both"/>
        <w:rPr>
          <w:rFonts w:ascii="Verdana" w:hAnsi="Verdana"/>
          <w:spacing w:val="-3"/>
          <w:sz w:val="18"/>
        </w:rPr>
      </w:pPr>
    </w:p>
    <w:p w:rsidR="00000000" w:rsidRDefault="00687F2E">
      <w:pPr>
        <w:jc w:val="both"/>
        <w:rPr>
          <w:rFonts w:ascii="Verdana" w:hAnsi="Verdana"/>
          <w:spacing w:val="-3"/>
          <w:sz w:val="20"/>
        </w:rPr>
      </w:pPr>
      <w:r>
        <w:rPr>
          <w:rFonts w:ascii="Verdana" w:hAnsi="Verdana"/>
          <w:spacing w:val="-3"/>
          <w:sz w:val="20"/>
        </w:rPr>
        <w:t>56.</w:t>
      </w:r>
      <w:r>
        <w:rPr>
          <w:rFonts w:ascii="Verdana" w:hAnsi="Verdana"/>
          <w:spacing w:val="-3"/>
          <w:sz w:val="20"/>
        </w:rPr>
        <w:tab/>
        <w:t>Y</w:t>
      </w:r>
      <w:r>
        <w:rPr>
          <w:rFonts w:ascii="Verdana" w:hAnsi="Verdana"/>
          <w:spacing w:val="-3"/>
          <w:sz w:val="20"/>
        </w:rPr>
        <w:t xml:space="preserve">, en la misma Sentencia en el caso de </w:t>
      </w:r>
      <w:smartTag w:uri="urn:schemas-microsoft-com:office:smarttags" w:element="PersonName">
        <w:smartTagPr>
          <w:attr w:name="ProductID" w:val="la Panel Blanca"/>
        </w:smartTagPr>
        <w:r>
          <w:rPr>
            <w:rFonts w:ascii="Verdana" w:hAnsi="Verdana"/>
            <w:spacing w:val="-3"/>
            <w:sz w:val="20"/>
          </w:rPr>
          <w:t xml:space="preserve">la </w:t>
        </w:r>
        <w:r>
          <w:rPr>
            <w:rFonts w:ascii="Verdana" w:hAnsi="Verdana"/>
            <w:i/>
            <w:iCs/>
            <w:spacing w:val="-3"/>
            <w:sz w:val="20"/>
          </w:rPr>
          <w:t>Panel Blanca</w:t>
        </w:r>
      </w:smartTag>
      <w:r>
        <w:rPr>
          <w:rFonts w:ascii="Verdana" w:hAnsi="Verdana"/>
          <w:spacing w:val="-3"/>
          <w:sz w:val="20"/>
        </w:rPr>
        <w:t xml:space="preserve"> (</w:t>
      </w:r>
      <w:r>
        <w:rPr>
          <w:rFonts w:ascii="Verdana" w:hAnsi="Verdana"/>
          <w:i/>
          <w:iCs/>
          <w:spacing w:val="-3"/>
          <w:sz w:val="20"/>
        </w:rPr>
        <w:t>Paniagua Morales y Otros</w:t>
      </w:r>
      <w:r>
        <w:rPr>
          <w:rFonts w:ascii="Verdana" w:hAnsi="Verdana"/>
          <w:spacing w:val="-3"/>
          <w:sz w:val="20"/>
        </w:rPr>
        <w:t xml:space="preserve">), </w:t>
      </w:r>
      <w:smartTag w:uri="urn:schemas-microsoft-com:office:smarttags" w:element="PersonName">
        <w:smartTagPr>
          <w:attr w:name="ProductID" w:val="la Corte"/>
        </w:smartTagPr>
        <w:r>
          <w:rPr>
            <w:rFonts w:ascii="Verdana" w:hAnsi="Verdana"/>
            <w:spacing w:val="-3"/>
            <w:sz w:val="20"/>
          </w:rPr>
          <w:t>la Corte</w:t>
        </w:r>
      </w:smartTag>
      <w:r>
        <w:rPr>
          <w:rFonts w:ascii="Verdana" w:hAnsi="Verdana"/>
          <w:spacing w:val="-3"/>
          <w:sz w:val="20"/>
        </w:rPr>
        <w:t xml:space="preserve"> agregó que</w:t>
      </w:r>
    </w:p>
    <w:p w:rsidR="00000000" w:rsidRDefault="00687F2E">
      <w:pPr>
        <w:ind w:left="720" w:right="720"/>
        <w:jc w:val="both"/>
        <w:rPr>
          <w:rFonts w:ascii="Verdana" w:hAnsi="Verdana"/>
          <w:spacing w:val="-3"/>
          <w:sz w:val="18"/>
        </w:rPr>
      </w:pPr>
    </w:p>
    <w:p w:rsidR="00000000" w:rsidRDefault="00687F2E">
      <w:pPr>
        <w:ind w:left="720" w:right="720"/>
        <w:jc w:val="both"/>
        <w:rPr>
          <w:rFonts w:ascii="Verdana" w:hAnsi="Verdana"/>
          <w:spacing w:val="-3"/>
          <w:sz w:val="18"/>
        </w:rPr>
      </w:pPr>
      <w:r>
        <w:rPr>
          <w:rFonts w:ascii="Verdana" w:hAnsi="Verdana"/>
          <w:spacing w:val="-3"/>
          <w:sz w:val="18"/>
        </w:rPr>
        <w:tab/>
        <w:t xml:space="preserve">En el caso de los padres de la víctima, </w:t>
      </w:r>
      <w:r>
        <w:rPr>
          <w:rFonts w:ascii="Verdana" w:hAnsi="Verdana"/>
          <w:i/>
          <w:iCs/>
          <w:spacing w:val="-3"/>
          <w:sz w:val="18"/>
        </w:rPr>
        <w:t>no es necesario demostrar el daño moral, pues éste se presume</w:t>
      </w:r>
      <w:r>
        <w:rPr>
          <w:rFonts w:ascii="Verdana" w:hAnsi="Verdana"/>
          <w:spacing w:val="-3"/>
          <w:sz w:val="18"/>
        </w:rPr>
        <w:t>. Igualmente se puede presumir el sufrimiento moral</w:t>
      </w:r>
      <w:r>
        <w:rPr>
          <w:rFonts w:ascii="Verdana" w:hAnsi="Verdana"/>
          <w:spacing w:val="-3"/>
          <w:sz w:val="18"/>
        </w:rPr>
        <w:t xml:space="preserve"> por parte de la hija de la víctima.  </w:t>
      </w:r>
    </w:p>
    <w:p w:rsidR="00000000" w:rsidRDefault="00687F2E">
      <w:pPr>
        <w:ind w:left="720" w:right="720"/>
        <w:jc w:val="both"/>
        <w:rPr>
          <w:rFonts w:ascii="Verdana" w:hAnsi="Verdana"/>
          <w:spacing w:val="-3"/>
          <w:sz w:val="18"/>
        </w:rPr>
      </w:pPr>
      <w:r>
        <w:rPr>
          <w:rFonts w:ascii="Verdana" w:hAnsi="Verdana"/>
          <w:spacing w:val="-3"/>
          <w:sz w:val="18"/>
        </w:rPr>
        <w:tab/>
        <w:t xml:space="preserve">Con respecto a sus hermanos, debe tenerse en cuenta el grado de relación y afecto que existía entre ellos. En el caso </w:t>
      </w:r>
      <w:r>
        <w:rPr>
          <w:rFonts w:ascii="Verdana" w:hAnsi="Verdana"/>
          <w:i/>
          <w:iCs/>
          <w:spacing w:val="-3"/>
          <w:sz w:val="18"/>
        </w:rPr>
        <w:t>sub judice</w:t>
      </w:r>
      <w:r>
        <w:rPr>
          <w:rFonts w:ascii="Verdana" w:hAnsi="Verdana"/>
          <w:spacing w:val="-3"/>
          <w:sz w:val="18"/>
        </w:rPr>
        <w:t>, se observa que hubo un vínculo estrecho entre la víctima y su hermano, Alberto Antonio</w:t>
      </w:r>
      <w:r>
        <w:rPr>
          <w:rFonts w:ascii="Verdana" w:hAnsi="Verdana"/>
          <w:spacing w:val="-3"/>
          <w:sz w:val="18"/>
        </w:rPr>
        <w:t xml:space="preserve"> Paniagua Morales, y su cuñada (...). </w:t>
      </w:r>
    </w:p>
    <w:p w:rsidR="00000000" w:rsidRDefault="00687F2E">
      <w:pPr>
        <w:ind w:left="720" w:right="720"/>
        <w:jc w:val="both"/>
        <w:rPr>
          <w:rFonts w:ascii="Verdana" w:hAnsi="Verdana"/>
          <w:spacing w:val="-3"/>
          <w:sz w:val="20"/>
        </w:rPr>
      </w:pPr>
      <w:r>
        <w:rPr>
          <w:rFonts w:ascii="Verdana" w:hAnsi="Verdana"/>
          <w:spacing w:val="-3"/>
          <w:sz w:val="18"/>
        </w:rPr>
        <w:tab/>
        <w:t>Con respecto a los otros hermanos de la víctima, no cabe duda de que forman parte de la familia y aún cuando no aparece que intervinieron directamente en las diligencias asumidas en el caso por la madre y por la cuña</w:t>
      </w:r>
      <w:r>
        <w:rPr>
          <w:rFonts w:ascii="Verdana" w:hAnsi="Verdana"/>
          <w:spacing w:val="-3"/>
          <w:sz w:val="18"/>
        </w:rPr>
        <w:t xml:space="preserve">da, no por ello debieron ser indiferentes al sufrimiento ocasionado por la pérdida de su hermana, </w:t>
      </w:r>
      <w:r>
        <w:rPr>
          <w:rFonts w:ascii="Verdana" w:hAnsi="Verdana"/>
          <w:i/>
          <w:iCs/>
          <w:spacing w:val="-3"/>
          <w:sz w:val="18"/>
        </w:rPr>
        <w:t>menos aún cuando las circunstancias de la muerte revisten caracteres singularmente traumáticos</w:t>
      </w:r>
      <w:r>
        <w:rPr>
          <w:rFonts w:ascii="Verdana" w:hAnsi="Verdana"/>
          <w:spacing w:val="-3"/>
          <w:sz w:val="18"/>
        </w:rPr>
        <w:t xml:space="preserve">. Por tanto, </w:t>
      </w:r>
      <w:smartTag w:uri="urn:schemas-microsoft-com:office:smarttags" w:element="PersonName">
        <w:smartTagPr>
          <w:attr w:name="ProductID" w:val="la Corte"/>
        </w:smartTagPr>
        <w:r>
          <w:rPr>
            <w:rFonts w:ascii="Verdana" w:hAnsi="Verdana"/>
            <w:spacing w:val="-3"/>
            <w:sz w:val="18"/>
          </w:rPr>
          <w:t>la Corte</w:t>
        </w:r>
      </w:smartTag>
      <w:r>
        <w:rPr>
          <w:rFonts w:ascii="Verdana" w:hAnsi="Verdana"/>
          <w:spacing w:val="-3"/>
          <w:sz w:val="18"/>
        </w:rPr>
        <w:t>, al considerarles como beneficiarios de un</w:t>
      </w:r>
      <w:r>
        <w:rPr>
          <w:rFonts w:ascii="Verdana" w:hAnsi="Verdana"/>
          <w:spacing w:val="-3"/>
          <w:sz w:val="18"/>
        </w:rPr>
        <w:t xml:space="preserve">a indemnización, debe fijar su monto </w:t>
      </w:r>
      <w:r>
        <w:rPr>
          <w:rFonts w:ascii="Verdana" w:hAnsi="Verdana"/>
          <w:i/>
          <w:iCs/>
          <w:spacing w:val="-3"/>
          <w:sz w:val="18"/>
        </w:rPr>
        <w:t>siguiendo el criterio de equidad</w:t>
      </w:r>
      <w:r>
        <w:rPr>
          <w:rFonts w:ascii="Verdana" w:hAnsi="Verdana"/>
          <w:spacing w:val="-3"/>
          <w:sz w:val="18"/>
        </w:rPr>
        <w:t>, y en consecuencia, fija una reparación compensatoria por daño moral (...) a los hermanos Paniagua Morales" (párrs. 108-110)</w:t>
      </w:r>
      <w:r>
        <w:rPr>
          <w:rStyle w:val="Refdenotaalpie"/>
          <w:rFonts w:cs="Courier New"/>
          <w:spacing w:val="-3"/>
          <w:sz w:val="18"/>
          <w:lang w:val="es-ES_tradnl"/>
        </w:rPr>
        <w:footnoteReference w:id="58"/>
      </w:r>
      <w:r>
        <w:rPr>
          <w:rFonts w:ascii="Verdana" w:hAnsi="Verdana"/>
          <w:spacing w:val="-3"/>
          <w:sz w:val="18"/>
        </w:rPr>
        <w:t xml:space="preserve">.    </w:t>
      </w:r>
      <w:r>
        <w:rPr>
          <w:rFonts w:ascii="Verdana" w:hAnsi="Verdana"/>
          <w:spacing w:val="-3"/>
          <w:sz w:val="20"/>
        </w:rPr>
        <w:t xml:space="preserve">  </w:t>
      </w:r>
    </w:p>
    <w:p w:rsidR="00000000" w:rsidRDefault="00687F2E">
      <w:pPr>
        <w:jc w:val="both"/>
        <w:rPr>
          <w:rFonts w:ascii="Verdana" w:hAnsi="Verdana"/>
          <w:spacing w:val="-3"/>
          <w:sz w:val="20"/>
        </w:rPr>
      </w:pPr>
    </w:p>
    <w:p w:rsidR="00000000" w:rsidRDefault="00687F2E">
      <w:pPr>
        <w:jc w:val="both"/>
        <w:rPr>
          <w:rFonts w:ascii="Verdana" w:hAnsi="Verdana"/>
          <w:spacing w:val="-3"/>
          <w:sz w:val="20"/>
        </w:rPr>
      </w:pPr>
      <w:r>
        <w:rPr>
          <w:rFonts w:ascii="Verdana" w:hAnsi="Verdana"/>
          <w:spacing w:val="-3"/>
          <w:sz w:val="20"/>
        </w:rPr>
        <w:t>57.</w:t>
      </w:r>
      <w:r>
        <w:rPr>
          <w:rFonts w:ascii="Verdana" w:hAnsi="Verdana"/>
          <w:spacing w:val="-3"/>
          <w:sz w:val="20"/>
        </w:rPr>
        <w:tab/>
        <w:t>En la misma línea de razonamiento, en su Sentenc</w:t>
      </w:r>
      <w:r>
        <w:rPr>
          <w:rFonts w:ascii="Verdana" w:hAnsi="Verdana"/>
          <w:spacing w:val="-3"/>
          <w:sz w:val="20"/>
        </w:rPr>
        <w:t xml:space="preserve">ia del 22.02.2002 en el caso </w:t>
      </w:r>
      <w:r>
        <w:rPr>
          <w:rFonts w:ascii="Verdana" w:hAnsi="Verdana"/>
          <w:i/>
          <w:iCs/>
          <w:spacing w:val="-3"/>
          <w:sz w:val="20"/>
        </w:rPr>
        <w:t>Bámaca Velásquez versus Guatemala</w:t>
      </w:r>
      <w:r>
        <w:rPr>
          <w:rFonts w:ascii="Verdana" w:hAnsi="Verdana"/>
          <w:spacing w:val="-3"/>
          <w:sz w:val="20"/>
        </w:rPr>
        <w:t xml:space="preserve"> (reparaciones), </w:t>
      </w:r>
      <w:smartTag w:uri="urn:schemas-microsoft-com:office:smarttags" w:element="PersonName">
        <w:smartTagPr>
          <w:attr w:name="ProductID" w:val="la Corte"/>
        </w:smartTagPr>
        <w:r>
          <w:rPr>
            <w:rFonts w:ascii="Verdana" w:hAnsi="Verdana"/>
            <w:spacing w:val="-3"/>
            <w:sz w:val="20"/>
          </w:rPr>
          <w:t>la Corte</w:t>
        </w:r>
      </w:smartTag>
      <w:r>
        <w:rPr>
          <w:rFonts w:ascii="Verdana" w:hAnsi="Verdana"/>
          <w:spacing w:val="-3"/>
          <w:sz w:val="20"/>
        </w:rPr>
        <w:t xml:space="preserve"> de nuevo distinguió, debidamente, las reparaciones a los familiares de las víctimas en razón de prestaciones materiales (respecto de las cuales el </w:t>
      </w:r>
      <w:r>
        <w:rPr>
          <w:rFonts w:ascii="Verdana" w:hAnsi="Verdana"/>
          <w:i/>
          <w:iCs/>
          <w:spacing w:val="-3"/>
          <w:sz w:val="20"/>
        </w:rPr>
        <w:t>onus probandi</w:t>
      </w:r>
      <w:r>
        <w:rPr>
          <w:rFonts w:ascii="Verdana" w:hAnsi="Verdana"/>
          <w:spacing w:val="-3"/>
          <w:sz w:val="20"/>
        </w:rPr>
        <w:t xml:space="preserve"> corresp</w:t>
      </w:r>
      <w:r>
        <w:rPr>
          <w:rFonts w:ascii="Verdana" w:hAnsi="Verdana"/>
          <w:spacing w:val="-3"/>
          <w:sz w:val="20"/>
        </w:rPr>
        <w:t xml:space="preserve">ondería, naturalmente, a aquellos familiares - párr. 34), de las reparaciones a los familiares - actuando con base en un derecho propio (párr. 33) - en razón de su sufrimiento, por daño inmaterial, el cual </w:t>
      </w:r>
      <w:r>
        <w:rPr>
          <w:rFonts w:ascii="Verdana" w:hAnsi="Verdana"/>
          <w:i/>
          <w:iCs/>
          <w:spacing w:val="-3"/>
          <w:sz w:val="20"/>
        </w:rPr>
        <w:t>no requiere prueba</w:t>
      </w:r>
      <w:r>
        <w:rPr>
          <w:rFonts w:ascii="Verdana" w:hAnsi="Verdana"/>
          <w:spacing w:val="-3"/>
          <w:sz w:val="20"/>
        </w:rPr>
        <w:t>:</w:t>
      </w:r>
    </w:p>
    <w:p w:rsidR="00000000" w:rsidRDefault="00687F2E">
      <w:pPr>
        <w:jc w:val="both"/>
        <w:rPr>
          <w:rFonts w:ascii="Verdana" w:hAnsi="Verdana"/>
          <w:spacing w:val="-3"/>
          <w:sz w:val="20"/>
        </w:rPr>
      </w:pPr>
    </w:p>
    <w:p w:rsidR="00000000" w:rsidRDefault="00687F2E">
      <w:pPr>
        <w:ind w:left="720" w:right="720"/>
        <w:jc w:val="both"/>
        <w:rPr>
          <w:rFonts w:ascii="Verdana" w:hAnsi="Verdana"/>
          <w:spacing w:val="-3"/>
          <w:sz w:val="18"/>
        </w:rPr>
      </w:pPr>
      <w:r>
        <w:rPr>
          <w:rFonts w:ascii="Verdana" w:hAnsi="Verdana"/>
          <w:spacing w:val="-3"/>
          <w:sz w:val="18"/>
        </w:rPr>
        <w:tab/>
        <w:t>"Estos padecimientos se exti</w:t>
      </w:r>
      <w:r>
        <w:rPr>
          <w:rFonts w:ascii="Verdana" w:hAnsi="Verdana"/>
          <w:spacing w:val="-3"/>
          <w:sz w:val="18"/>
        </w:rPr>
        <w:t xml:space="preserve">enden de igual manera a los miembros más íntimos de la familia, particularmente a aquéllos </w:t>
      </w:r>
      <w:r>
        <w:rPr>
          <w:rFonts w:ascii="Verdana" w:hAnsi="Verdana"/>
          <w:spacing w:val="-3"/>
          <w:sz w:val="18"/>
        </w:rPr>
        <w:tab/>
        <w:t xml:space="preserve">que tuvieron un contacto afectivo estrecho con la víctima. </w:t>
      </w:r>
      <w:smartTag w:uri="urn:schemas-microsoft-com:office:smarttags" w:element="PersonName">
        <w:smartTagPr>
          <w:attr w:name="ProductID" w:val="la Corte"/>
        </w:smartTagPr>
        <w:r>
          <w:rPr>
            <w:rFonts w:ascii="Verdana" w:hAnsi="Verdana"/>
            <w:i/>
            <w:iCs/>
            <w:spacing w:val="-3"/>
            <w:sz w:val="18"/>
          </w:rPr>
          <w:t>La Corte</w:t>
        </w:r>
      </w:smartTag>
      <w:r>
        <w:rPr>
          <w:rFonts w:ascii="Verdana" w:hAnsi="Verdana"/>
          <w:i/>
          <w:iCs/>
          <w:spacing w:val="-3"/>
          <w:sz w:val="18"/>
        </w:rPr>
        <w:t xml:space="preserve"> considera que no requiere prueba para llegar a la mencionada conclusión</w:t>
      </w:r>
      <w:r>
        <w:rPr>
          <w:rFonts w:ascii="Verdana" w:hAnsi="Verdana"/>
          <w:spacing w:val="-3"/>
          <w:sz w:val="18"/>
        </w:rPr>
        <w:t>, aunque en el presente c</w:t>
      </w:r>
      <w:r>
        <w:rPr>
          <w:rFonts w:ascii="Verdana" w:hAnsi="Verdana"/>
          <w:spacing w:val="-3"/>
          <w:sz w:val="18"/>
        </w:rPr>
        <w:t>aso se encuentre probado el sufrimiento ocasionado a aquéllos" (párr. 63)</w:t>
      </w:r>
      <w:r>
        <w:rPr>
          <w:rStyle w:val="Refdenotaalpie"/>
          <w:rFonts w:cs="Courier New"/>
          <w:spacing w:val="-3"/>
          <w:sz w:val="18"/>
          <w:lang w:val="es-ES_tradnl"/>
        </w:rPr>
        <w:footnoteReference w:id="59"/>
      </w:r>
      <w:r>
        <w:rPr>
          <w:rFonts w:ascii="Verdana" w:hAnsi="Verdana"/>
          <w:spacing w:val="-3"/>
          <w:sz w:val="18"/>
        </w:rPr>
        <w:t xml:space="preserve">.  </w:t>
      </w:r>
    </w:p>
    <w:p w:rsidR="00000000" w:rsidRDefault="00687F2E">
      <w:pPr>
        <w:jc w:val="both"/>
        <w:rPr>
          <w:rFonts w:ascii="Verdana" w:hAnsi="Verdana"/>
          <w:spacing w:val="-3"/>
          <w:sz w:val="20"/>
        </w:rPr>
      </w:pPr>
    </w:p>
    <w:p w:rsidR="00000000" w:rsidRDefault="00687F2E">
      <w:pPr>
        <w:jc w:val="both"/>
        <w:rPr>
          <w:rFonts w:ascii="Verdana" w:hAnsi="Verdana"/>
          <w:spacing w:val="-3"/>
          <w:sz w:val="20"/>
        </w:rPr>
      </w:pPr>
      <w:r>
        <w:rPr>
          <w:rFonts w:ascii="Verdana" w:hAnsi="Verdana"/>
          <w:spacing w:val="-3"/>
          <w:sz w:val="20"/>
        </w:rPr>
        <w:t>58.</w:t>
      </w:r>
      <w:r>
        <w:rPr>
          <w:rFonts w:ascii="Verdana" w:hAnsi="Verdana"/>
          <w:spacing w:val="-3"/>
          <w:sz w:val="20"/>
        </w:rPr>
        <w:tab/>
        <w:t xml:space="preserve">En el caso </w:t>
      </w:r>
      <w:r>
        <w:rPr>
          <w:rFonts w:ascii="Verdana" w:hAnsi="Verdana"/>
          <w:i/>
          <w:iCs/>
          <w:spacing w:val="-3"/>
          <w:sz w:val="20"/>
        </w:rPr>
        <w:t>Bámaca Velásquez</w:t>
      </w:r>
      <w:r>
        <w:rPr>
          <w:rFonts w:ascii="Verdana" w:hAnsi="Verdana"/>
          <w:spacing w:val="-3"/>
          <w:sz w:val="20"/>
        </w:rPr>
        <w:t xml:space="preserve">, </w:t>
      </w:r>
      <w:smartTag w:uri="urn:schemas-microsoft-com:office:smarttags" w:element="PersonName">
        <w:smartTagPr>
          <w:attr w:name="ProductID" w:val="la Corte"/>
        </w:smartTagPr>
        <w:r>
          <w:rPr>
            <w:rFonts w:ascii="Verdana" w:hAnsi="Verdana"/>
            <w:spacing w:val="-3"/>
            <w:sz w:val="20"/>
          </w:rPr>
          <w:t>la Corte</w:t>
        </w:r>
      </w:smartTag>
      <w:r>
        <w:rPr>
          <w:rFonts w:ascii="Verdana" w:hAnsi="Verdana"/>
          <w:spacing w:val="-3"/>
          <w:sz w:val="20"/>
        </w:rPr>
        <w:t xml:space="preserve"> encontró "razonable presumir que como miembros de la familia no debieron ser indiferentes a la pérdida de su hermano" (párr. 65(b)), y,</w:t>
      </w:r>
      <w:r>
        <w:rPr>
          <w:rFonts w:ascii="Verdana" w:hAnsi="Verdana"/>
          <w:spacing w:val="-3"/>
          <w:sz w:val="20"/>
        </w:rPr>
        <w:t xml:space="preserve"> en consecuencia, fijó </w:t>
      </w:r>
      <w:r>
        <w:rPr>
          <w:rFonts w:ascii="Verdana" w:hAnsi="Verdana"/>
          <w:i/>
          <w:iCs/>
          <w:spacing w:val="-3"/>
          <w:sz w:val="20"/>
        </w:rPr>
        <w:t>en equidad</w:t>
      </w:r>
      <w:r>
        <w:rPr>
          <w:rFonts w:ascii="Verdana" w:hAnsi="Verdana"/>
          <w:spacing w:val="-3"/>
          <w:sz w:val="20"/>
        </w:rPr>
        <w:t xml:space="preserve"> la reparación a ellos debida por concepto de daño inmaterial (párr. 66). Los aclaradores </w:t>
      </w:r>
      <w:r>
        <w:rPr>
          <w:rFonts w:ascii="Verdana" w:hAnsi="Verdana"/>
          <w:i/>
          <w:iCs/>
          <w:spacing w:val="-3"/>
          <w:sz w:val="20"/>
        </w:rPr>
        <w:t>obiter dicta</w:t>
      </w:r>
      <w:r>
        <w:rPr>
          <w:rFonts w:ascii="Verdana" w:hAnsi="Verdana"/>
          <w:spacing w:val="-3"/>
          <w:sz w:val="20"/>
        </w:rPr>
        <w:t xml:space="preserve"> de </w:t>
      </w:r>
      <w:smartTag w:uri="urn:schemas-microsoft-com:office:smarttags" w:element="PersonName">
        <w:smartTagPr>
          <w:attr w:name="ProductID" w:val="la Corte"/>
        </w:smartTagPr>
        <w:r>
          <w:rPr>
            <w:rFonts w:ascii="Verdana" w:hAnsi="Verdana"/>
            <w:spacing w:val="-3"/>
            <w:sz w:val="20"/>
          </w:rPr>
          <w:t>la Corte</w:t>
        </w:r>
      </w:smartTag>
      <w:r>
        <w:rPr>
          <w:rFonts w:ascii="Verdana" w:hAnsi="Verdana"/>
          <w:spacing w:val="-3"/>
          <w:sz w:val="20"/>
        </w:rPr>
        <w:t xml:space="preserve"> en los mencionados casos de </w:t>
      </w:r>
      <w:smartTag w:uri="urn:schemas-microsoft-com:office:smarttags" w:element="PersonName">
        <w:smartTagPr>
          <w:attr w:name="ProductID" w:val="la Panel Blanca"/>
        </w:smartTagPr>
        <w:r>
          <w:rPr>
            <w:rFonts w:ascii="Verdana" w:hAnsi="Verdana"/>
            <w:spacing w:val="-3"/>
            <w:sz w:val="20"/>
          </w:rPr>
          <w:t xml:space="preserve">la </w:t>
        </w:r>
        <w:r>
          <w:rPr>
            <w:rFonts w:ascii="Verdana" w:hAnsi="Verdana"/>
            <w:i/>
            <w:iCs/>
            <w:spacing w:val="-3"/>
            <w:sz w:val="20"/>
          </w:rPr>
          <w:t>Panel Blanca</w:t>
        </w:r>
      </w:smartTag>
      <w:r>
        <w:rPr>
          <w:rFonts w:ascii="Verdana" w:hAnsi="Verdana"/>
          <w:spacing w:val="-3"/>
          <w:sz w:val="20"/>
        </w:rPr>
        <w:t xml:space="preserve"> (</w:t>
      </w:r>
      <w:r>
        <w:rPr>
          <w:rFonts w:ascii="Verdana" w:hAnsi="Verdana"/>
          <w:i/>
          <w:iCs/>
          <w:spacing w:val="-3"/>
          <w:sz w:val="20"/>
        </w:rPr>
        <w:t>Paniagua Morales y Otros</w:t>
      </w:r>
      <w:r>
        <w:rPr>
          <w:rFonts w:ascii="Verdana" w:hAnsi="Verdana"/>
          <w:spacing w:val="-3"/>
          <w:sz w:val="20"/>
        </w:rPr>
        <w:t xml:space="preserve">) y de </w:t>
      </w:r>
      <w:r>
        <w:rPr>
          <w:rFonts w:ascii="Verdana" w:hAnsi="Verdana"/>
          <w:i/>
          <w:iCs/>
          <w:spacing w:val="-3"/>
          <w:sz w:val="20"/>
        </w:rPr>
        <w:t>Bámaca Velásquez</w:t>
      </w:r>
      <w:r>
        <w:rPr>
          <w:rFonts w:ascii="Verdana" w:hAnsi="Verdana"/>
          <w:spacing w:val="-3"/>
          <w:sz w:val="20"/>
        </w:rPr>
        <w:t xml:space="preserve"> presentan el cr</w:t>
      </w:r>
      <w:r>
        <w:rPr>
          <w:rFonts w:ascii="Verdana" w:hAnsi="Verdana"/>
          <w:spacing w:val="-3"/>
          <w:sz w:val="20"/>
        </w:rPr>
        <w:t xml:space="preserve">iterio más razonable sobre la materia en examen, el criterio más acorde con las necesidades de protección bajo </w:t>
      </w:r>
      <w:smartTag w:uri="urn:schemas-microsoft-com:office:smarttags" w:element="PersonName">
        <w:smartTagPr>
          <w:attr w:name="ProductID" w:val="la Convenci￳n Americana."/>
        </w:smartTagPr>
        <w:r>
          <w:rPr>
            <w:rFonts w:ascii="Verdana" w:hAnsi="Verdana"/>
            <w:spacing w:val="-3"/>
            <w:sz w:val="20"/>
          </w:rPr>
          <w:t>la Convención Americana.</w:t>
        </w:r>
      </w:smartTag>
      <w:r>
        <w:rPr>
          <w:rFonts w:ascii="Verdana" w:hAnsi="Verdana"/>
          <w:spacing w:val="-3"/>
          <w:sz w:val="20"/>
        </w:rPr>
        <w:t xml:space="preserve"> Es ésta, a mi juicio, la jurisprudencia más lúcida de </w:t>
      </w:r>
      <w:smartTag w:uri="urn:schemas-microsoft-com:office:smarttags" w:element="PersonName">
        <w:smartTagPr>
          <w:attr w:name="ProductID" w:val="la Corte Interamericana"/>
        </w:smartTagPr>
        <w:r>
          <w:rPr>
            <w:rFonts w:ascii="Verdana" w:hAnsi="Verdana"/>
            <w:spacing w:val="-3"/>
            <w:sz w:val="20"/>
          </w:rPr>
          <w:t>la Corte Interamericana</w:t>
        </w:r>
      </w:smartTag>
      <w:r>
        <w:rPr>
          <w:rFonts w:ascii="Verdana" w:hAnsi="Verdana"/>
          <w:spacing w:val="-3"/>
          <w:sz w:val="20"/>
        </w:rPr>
        <w:t xml:space="preserve"> sobre la materia en aprecio, la cual, a mi</w:t>
      </w:r>
      <w:r>
        <w:rPr>
          <w:rFonts w:ascii="Verdana" w:hAnsi="Verdana"/>
          <w:spacing w:val="-3"/>
          <w:sz w:val="20"/>
        </w:rPr>
        <w:t xml:space="preserve"> juicio, debe </w:t>
      </w:r>
      <w:smartTag w:uri="urn:schemas-microsoft-com:office:smarttags" w:element="PersonName">
        <w:smartTagPr>
          <w:attr w:name="ProductID" w:val="la Corte"/>
        </w:smartTagPr>
        <w:r>
          <w:rPr>
            <w:rFonts w:ascii="Verdana" w:hAnsi="Verdana"/>
            <w:spacing w:val="-3"/>
            <w:sz w:val="20"/>
          </w:rPr>
          <w:t>la Corte</w:t>
        </w:r>
      </w:smartTag>
      <w:r>
        <w:rPr>
          <w:rFonts w:ascii="Verdana" w:hAnsi="Verdana"/>
          <w:spacing w:val="-3"/>
          <w:sz w:val="20"/>
        </w:rPr>
        <w:t xml:space="preserve"> prontamente retomar, abandonando el criterio restrictivo, retrógrado e insostenible que adoptó sobre el particular en la reciente Sentencia de fondo en el caso </w:t>
      </w:r>
      <w:smartTag w:uri="urn:schemas-microsoft-com:office:smarttags" w:element="PersonName">
        <w:smartTagPr>
          <w:attr w:name="ProductID" w:val="La Cantuta."/>
        </w:smartTagPr>
        <w:r>
          <w:rPr>
            <w:rFonts w:ascii="Verdana" w:hAnsi="Verdana"/>
            <w:i/>
            <w:iCs/>
            <w:spacing w:val="-3"/>
            <w:sz w:val="20"/>
          </w:rPr>
          <w:t>La Cantuta</w:t>
        </w:r>
        <w:r>
          <w:rPr>
            <w:rFonts w:ascii="Verdana" w:hAnsi="Verdana"/>
            <w:spacing w:val="-3"/>
            <w:sz w:val="20"/>
          </w:rPr>
          <w:t>.</w:t>
        </w:r>
      </w:smartTag>
    </w:p>
    <w:p w:rsidR="00000000" w:rsidRDefault="00687F2E">
      <w:pPr>
        <w:jc w:val="both"/>
        <w:rPr>
          <w:rFonts w:ascii="Verdana" w:hAnsi="Verdana"/>
          <w:spacing w:val="-3"/>
          <w:sz w:val="20"/>
        </w:rPr>
      </w:pPr>
    </w:p>
    <w:p w:rsidR="00000000" w:rsidRDefault="00687F2E">
      <w:pPr>
        <w:jc w:val="both"/>
        <w:rPr>
          <w:rFonts w:ascii="Verdana" w:hAnsi="Verdana"/>
          <w:spacing w:val="-3"/>
          <w:sz w:val="20"/>
        </w:rPr>
      </w:pPr>
      <w:r>
        <w:rPr>
          <w:rFonts w:ascii="Verdana" w:hAnsi="Verdana"/>
          <w:b/>
          <w:bCs/>
          <w:spacing w:val="-3"/>
          <w:sz w:val="20"/>
        </w:rPr>
        <w:tab/>
        <w:t xml:space="preserve">IV. </w:t>
      </w:r>
      <w:r>
        <w:rPr>
          <w:rFonts w:ascii="Verdana" w:hAnsi="Verdana"/>
          <w:b/>
          <w:bCs/>
          <w:spacing w:val="-3"/>
          <w:sz w:val="20"/>
        </w:rPr>
        <w:tab/>
        <w:t xml:space="preserve">Centralidad y Ampliación de </w:t>
      </w:r>
      <w:smartTag w:uri="urn:schemas-microsoft-com:office:smarttags" w:element="PersonName">
        <w:smartTagPr>
          <w:attr w:name="ProductID" w:val="la Noci￳n"/>
        </w:smartTagPr>
        <w:r>
          <w:rPr>
            <w:rFonts w:ascii="Verdana" w:hAnsi="Verdana"/>
            <w:b/>
            <w:bCs/>
            <w:spacing w:val="-3"/>
            <w:sz w:val="20"/>
          </w:rPr>
          <w:t>la Noción</w:t>
        </w:r>
      </w:smartTag>
      <w:r>
        <w:rPr>
          <w:rFonts w:ascii="Verdana" w:hAnsi="Verdana"/>
          <w:b/>
          <w:bCs/>
          <w:spacing w:val="-3"/>
          <w:sz w:val="20"/>
        </w:rPr>
        <w:t xml:space="preserve"> de Víctima Direc</w:t>
      </w:r>
      <w:r>
        <w:rPr>
          <w:rFonts w:ascii="Verdana" w:hAnsi="Verdana"/>
          <w:b/>
          <w:bCs/>
          <w:spacing w:val="-3"/>
          <w:sz w:val="20"/>
        </w:rPr>
        <w:t xml:space="preserve">ta </w:t>
      </w:r>
      <w:r>
        <w:rPr>
          <w:rFonts w:ascii="Verdana" w:hAnsi="Verdana"/>
          <w:b/>
          <w:bCs/>
          <w:i/>
          <w:iCs/>
          <w:spacing w:val="-3"/>
          <w:sz w:val="20"/>
        </w:rPr>
        <w:t>Lato Sensu</w:t>
      </w:r>
      <w:r>
        <w:rPr>
          <w:rFonts w:ascii="Verdana" w:hAnsi="Verdana"/>
          <w:b/>
          <w:bCs/>
          <w:spacing w:val="-3"/>
          <w:sz w:val="20"/>
        </w:rPr>
        <w:t xml:space="preserve">: </w:t>
      </w:r>
      <w:r>
        <w:rPr>
          <w:rFonts w:ascii="Verdana" w:hAnsi="Verdana"/>
          <w:b/>
          <w:bCs/>
          <w:spacing w:val="-3"/>
          <w:sz w:val="20"/>
        </w:rPr>
        <w:tab/>
        <w:t xml:space="preserve">Consideraciones </w:t>
      </w:r>
      <w:r>
        <w:rPr>
          <w:rFonts w:ascii="Verdana" w:hAnsi="Verdana"/>
          <w:b/>
          <w:bCs/>
          <w:i/>
          <w:iCs/>
          <w:spacing w:val="-3"/>
          <w:sz w:val="20"/>
        </w:rPr>
        <w:t>De Lege Ferenda</w:t>
      </w:r>
      <w:r>
        <w:rPr>
          <w:rFonts w:ascii="Verdana" w:hAnsi="Verdana"/>
          <w:b/>
          <w:bCs/>
          <w:spacing w:val="-3"/>
          <w:sz w:val="20"/>
        </w:rPr>
        <w:t>.</w:t>
      </w:r>
      <w:r>
        <w:rPr>
          <w:rFonts w:ascii="Verdana" w:hAnsi="Verdana"/>
          <w:spacing w:val="-3"/>
          <w:sz w:val="20"/>
        </w:rPr>
        <w:t xml:space="preserve"> </w:t>
      </w:r>
    </w:p>
    <w:p w:rsidR="00000000" w:rsidRDefault="00687F2E">
      <w:pPr>
        <w:jc w:val="both"/>
        <w:rPr>
          <w:rFonts w:ascii="Verdana" w:hAnsi="Verdana"/>
          <w:spacing w:val="-3"/>
          <w:sz w:val="20"/>
        </w:rPr>
      </w:pPr>
    </w:p>
    <w:p w:rsidR="00000000" w:rsidRDefault="00687F2E">
      <w:pPr>
        <w:jc w:val="both"/>
        <w:rPr>
          <w:rFonts w:ascii="Verdana" w:hAnsi="Verdana"/>
          <w:spacing w:val="-3"/>
          <w:sz w:val="20"/>
        </w:rPr>
      </w:pPr>
      <w:r>
        <w:rPr>
          <w:rFonts w:ascii="Verdana" w:hAnsi="Verdana"/>
          <w:spacing w:val="-3"/>
          <w:sz w:val="20"/>
        </w:rPr>
        <w:t>59.</w:t>
      </w:r>
      <w:r>
        <w:rPr>
          <w:rFonts w:ascii="Verdana" w:hAnsi="Verdana"/>
          <w:spacing w:val="-3"/>
          <w:sz w:val="20"/>
        </w:rPr>
        <w:tab/>
        <w:t xml:space="preserve">No podría concluir este Voto Razonado sin agregar algunas breves consideraciones </w:t>
      </w:r>
      <w:r>
        <w:rPr>
          <w:rFonts w:ascii="Verdana" w:hAnsi="Verdana"/>
          <w:i/>
          <w:iCs/>
          <w:spacing w:val="-3"/>
          <w:sz w:val="20"/>
        </w:rPr>
        <w:t>de lege ferenda</w:t>
      </w:r>
      <w:r>
        <w:rPr>
          <w:rFonts w:ascii="Verdana" w:hAnsi="Verdana"/>
          <w:spacing w:val="-3"/>
          <w:sz w:val="20"/>
        </w:rPr>
        <w:t xml:space="preserve"> sobre una cuestión que ha ocupado mis reflexiones por muchos años, a saber, la de la </w:t>
      </w:r>
      <w:r>
        <w:rPr>
          <w:rFonts w:ascii="Verdana" w:hAnsi="Verdana"/>
          <w:i/>
          <w:iCs/>
          <w:spacing w:val="-3"/>
          <w:sz w:val="20"/>
        </w:rPr>
        <w:t>centralidad y ampli</w:t>
      </w:r>
      <w:r>
        <w:rPr>
          <w:rFonts w:ascii="Verdana" w:hAnsi="Verdana"/>
          <w:i/>
          <w:iCs/>
          <w:spacing w:val="-3"/>
          <w:sz w:val="20"/>
        </w:rPr>
        <w:t>ación de la noción de víctima</w:t>
      </w:r>
      <w:r>
        <w:rPr>
          <w:rFonts w:ascii="Verdana" w:hAnsi="Verdana"/>
          <w:spacing w:val="-3"/>
          <w:sz w:val="20"/>
        </w:rPr>
        <w:t xml:space="preserve"> bajo </w:t>
      </w:r>
      <w:smartTag w:uri="urn:schemas-microsoft-com:office:smarttags" w:element="PersonName">
        <w:smartTagPr>
          <w:attr w:name="ProductID" w:val="la Convenci￳n Americana"/>
        </w:smartTagPr>
        <w:r>
          <w:rPr>
            <w:rFonts w:ascii="Verdana" w:hAnsi="Verdana"/>
            <w:spacing w:val="-3"/>
            <w:sz w:val="20"/>
          </w:rPr>
          <w:t>la Convención Americana</w:t>
        </w:r>
      </w:smartTag>
      <w:r>
        <w:rPr>
          <w:rFonts w:ascii="Verdana" w:hAnsi="Verdana"/>
          <w:spacing w:val="-3"/>
          <w:sz w:val="20"/>
        </w:rPr>
        <w:t xml:space="preserve"> sobre </w:t>
      </w:r>
      <w:r>
        <w:rPr>
          <w:rFonts w:ascii="Verdana" w:hAnsi="Verdana"/>
          <w:spacing w:val="-3"/>
          <w:sz w:val="20"/>
        </w:rPr>
        <w:lastRenderedPageBreak/>
        <w:t xml:space="preserve">Derechos Humanos. No sería exageración alguna ponderar que dicha noción en evolución constituye una categoría jurídica </w:t>
      </w:r>
      <w:r>
        <w:rPr>
          <w:rFonts w:ascii="Verdana" w:hAnsi="Verdana"/>
          <w:i/>
          <w:iCs/>
          <w:spacing w:val="-3"/>
          <w:sz w:val="20"/>
        </w:rPr>
        <w:t>en abierto</w:t>
      </w:r>
      <w:r>
        <w:rPr>
          <w:rFonts w:ascii="Verdana" w:hAnsi="Verdana"/>
          <w:spacing w:val="-3"/>
          <w:sz w:val="20"/>
        </w:rPr>
        <w:t>, - la cual ha respondido a las recurrentes violaciones graves</w:t>
      </w:r>
      <w:r>
        <w:rPr>
          <w:rFonts w:ascii="Verdana" w:hAnsi="Verdana"/>
          <w:spacing w:val="-3"/>
          <w:sz w:val="20"/>
        </w:rPr>
        <w:t xml:space="preserve"> de derechos humanos, sometidas al conocimiento de </w:t>
      </w:r>
      <w:smartTag w:uri="urn:schemas-microsoft-com:office:smarttags" w:element="PersonName">
        <w:smartTagPr>
          <w:attr w:name="ProductID" w:val="la Corte"/>
        </w:smartTagPr>
        <w:r>
          <w:rPr>
            <w:rFonts w:ascii="Verdana" w:hAnsi="Verdana"/>
            <w:spacing w:val="-3"/>
            <w:sz w:val="20"/>
          </w:rPr>
          <w:t>la Corte</w:t>
        </w:r>
      </w:smartTag>
      <w:r>
        <w:rPr>
          <w:rFonts w:ascii="Verdana" w:hAnsi="Verdana"/>
          <w:spacing w:val="-3"/>
          <w:sz w:val="20"/>
        </w:rPr>
        <w:t xml:space="preserve"> en los últimos años.  En este sentido, </w:t>
      </w:r>
      <w:smartTag w:uri="urn:schemas-microsoft-com:office:smarttags" w:element="PersonName">
        <w:smartTagPr>
          <w:attr w:name="ProductID" w:val="la Corte"/>
        </w:smartTagPr>
        <w:r>
          <w:rPr>
            <w:rFonts w:ascii="Verdana" w:hAnsi="Verdana"/>
            <w:spacing w:val="-3"/>
            <w:sz w:val="20"/>
          </w:rPr>
          <w:t>la Corte</w:t>
        </w:r>
      </w:smartTag>
      <w:r>
        <w:rPr>
          <w:rFonts w:ascii="Verdana" w:hAnsi="Verdana"/>
          <w:spacing w:val="-3"/>
          <w:sz w:val="20"/>
        </w:rPr>
        <w:t>, frente a los casos de masacres que ha recientemente conocido, ha algunas veces optado por dejar en abierto la lista de víctimas (para adiciones sub</w:t>
      </w:r>
      <w:r>
        <w:rPr>
          <w:rFonts w:ascii="Verdana" w:hAnsi="Verdana"/>
          <w:spacing w:val="-3"/>
          <w:sz w:val="20"/>
        </w:rPr>
        <w:t>siguientes, en razón de las complejidades factuales de los casos en cuestión), - en lugar de "cerrar" la lista a la luz de una categorización estática y dogmática de la condición de víctima.</w:t>
      </w:r>
    </w:p>
    <w:p w:rsidR="00000000" w:rsidRDefault="00687F2E">
      <w:pPr>
        <w:jc w:val="both"/>
        <w:rPr>
          <w:rFonts w:ascii="Verdana" w:hAnsi="Verdana"/>
          <w:spacing w:val="-3"/>
          <w:sz w:val="20"/>
        </w:rPr>
      </w:pPr>
    </w:p>
    <w:p w:rsidR="00000000" w:rsidRDefault="00687F2E">
      <w:pPr>
        <w:jc w:val="both"/>
        <w:rPr>
          <w:rFonts w:ascii="Verdana" w:hAnsi="Verdana"/>
          <w:spacing w:val="-3"/>
          <w:sz w:val="20"/>
        </w:rPr>
      </w:pPr>
      <w:r>
        <w:rPr>
          <w:rFonts w:ascii="Verdana" w:hAnsi="Verdana"/>
          <w:spacing w:val="-3"/>
          <w:sz w:val="20"/>
        </w:rPr>
        <w:t>60.</w:t>
      </w:r>
      <w:r>
        <w:rPr>
          <w:rFonts w:ascii="Verdana" w:hAnsi="Verdana"/>
          <w:spacing w:val="-3"/>
          <w:sz w:val="20"/>
        </w:rPr>
        <w:tab/>
      </w:r>
      <w:smartTag w:uri="urn:schemas-microsoft-com:office:smarttags" w:element="PersonName">
        <w:smartTagPr>
          <w:attr w:name="ProductID" w:val="la Corte"/>
        </w:smartTagPr>
        <w:r>
          <w:rPr>
            <w:rFonts w:ascii="Verdana" w:hAnsi="Verdana"/>
            <w:spacing w:val="-3"/>
            <w:sz w:val="20"/>
          </w:rPr>
          <w:t>La Corte</w:t>
        </w:r>
      </w:smartTag>
      <w:r>
        <w:rPr>
          <w:rFonts w:ascii="Verdana" w:hAnsi="Verdana"/>
          <w:spacing w:val="-3"/>
          <w:sz w:val="20"/>
        </w:rPr>
        <w:t xml:space="preserve"> ha así actuado, en este particular, correctamente, </w:t>
      </w:r>
      <w:r>
        <w:rPr>
          <w:rFonts w:ascii="Verdana" w:hAnsi="Verdana"/>
          <w:spacing w:val="-3"/>
          <w:sz w:val="20"/>
        </w:rPr>
        <w:t xml:space="preserve">y siempre y cuando el aparecimiento eventual de víctimas adicionales guarde naturalmente una vinculación directa con los hechos constantes y descritos en las peticiones originalmente sometidas al conocimiento de </w:t>
      </w:r>
      <w:smartTag w:uri="urn:schemas-microsoft-com:office:smarttags" w:element="PersonName">
        <w:smartTagPr>
          <w:attr w:name="ProductID" w:val="la Corte. Esto"/>
        </w:smartTagPr>
        <w:r>
          <w:rPr>
            <w:rFonts w:ascii="Verdana" w:hAnsi="Verdana"/>
            <w:spacing w:val="-3"/>
            <w:sz w:val="20"/>
          </w:rPr>
          <w:t>la Corte. Esto</w:t>
        </w:r>
      </w:smartTag>
      <w:r>
        <w:rPr>
          <w:rFonts w:ascii="Verdana" w:hAnsi="Verdana"/>
          <w:spacing w:val="-3"/>
          <w:sz w:val="20"/>
        </w:rPr>
        <w:t xml:space="preserve"> ha proporcionado un equilibri</w:t>
      </w:r>
      <w:r>
        <w:rPr>
          <w:rFonts w:ascii="Verdana" w:hAnsi="Verdana"/>
          <w:spacing w:val="-3"/>
          <w:sz w:val="20"/>
        </w:rPr>
        <w:t>o entre las preocupaciones concomitantes en asegurar la seguridad jurídica en la búsqueda de la realización de la justicia en las circunstancias complejas de este tipo de casos, de masacres o violaciones graves, afectando un círculo mayor de personas. Este</w:t>
      </w:r>
      <w:r>
        <w:rPr>
          <w:rFonts w:ascii="Verdana" w:hAnsi="Verdana"/>
          <w:spacing w:val="-3"/>
          <w:sz w:val="20"/>
        </w:rPr>
        <w:t xml:space="preserve"> ha sido un desarrollo alentador, el cual, a mi juicio, ha atendido a las necesidades de protección bajo </w:t>
      </w:r>
      <w:smartTag w:uri="urn:schemas-microsoft-com:office:smarttags" w:element="PersonName">
        <w:smartTagPr>
          <w:attr w:name="ProductID" w:val="la Convenci￳n Americana"/>
        </w:smartTagPr>
        <w:r>
          <w:rPr>
            <w:rFonts w:ascii="Verdana" w:hAnsi="Verdana"/>
            <w:spacing w:val="-3"/>
            <w:sz w:val="20"/>
          </w:rPr>
          <w:t>la Convención Americana</w:t>
        </w:r>
      </w:smartTag>
      <w:r>
        <w:rPr>
          <w:rFonts w:ascii="Verdana" w:hAnsi="Verdana"/>
          <w:spacing w:val="-3"/>
          <w:sz w:val="20"/>
        </w:rPr>
        <w:t xml:space="preserve">, en circunstancias jamás previstas por los redactores de ésta última. </w:t>
      </w:r>
    </w:p>
    <w:p w:rsidR="00000000" w:rsidRDefault="00687F2E">
      <w:pPr>
        <w:jc w:val="both"/>
        <w:rPr>
          <w:rFonts w:ascii="Verdana" w:hAnsi="Verdana"/>
          <w:spacing w:val="-3"/>
          <w:sz w:val="20"/>
        </w:rPr>
      </w:pPr>
    </w:p>
    <w:p w:rsidR="00000000" w:rsidRDefault="00687F2E">
      <w:pPr>
        <w:jc w:val="both"/>
        <w:rPr>
          <w:rFonts w:ascii="Verdana" w:hAnsi="Verdana"/>
          <w:spacing w:val="-3"/>
          <w:sz w:val="20"/>
        </w:rPr>
      </w:pPr>
      <w:r>
        <w:rPr>
          <w:rFonts w:ascii="Verdana" w:hAnsi="Verdana"/>
          <w:spacing w:val="-3"/>
          <w:sz w:val="20"/>
        </w:rPr>
        <w:t>61.</w:t>
      </w:r>
      <w:r>
        <w:rPr>
          <w:rFonts w:ascii="Verdana" w:hAnsi="Verdana"/>
          <w:spacing w:val="-3"/>
          <w:sz w:val="20"/>
        </w:rPr>
        <w:tab/>
        <w:t>Al fin y al cabo, la maldad humana no tiene límites</w:t>
      </w:r>
      <w:r>
        <w:rPr>
          <w:rFonts w:ascii="Verdana" w:hAnsi="Verdana"/>
          <w:spacing w:val="-3"/>
          <w:sz w:val="20"/>
        </w:rPr>
        <w:t xml:space="preserve">, y la reacción del Derecho debe hacerse sentir prontamente, tomando en cuenta la gravedad de las violaciones de los derechos protegidos por </w:t>
      </w:r>
      <w:smartTag w:uri="urn:schemas-microsoft-com:office:smarttags" w:element="PersonName">
        <w:smartTagPr>
          <w:attr w:name="ProductID" w:val="la Convenci￳n Americana."/>
        </w:smartTagPr>
        <w:r>
          <w:rPr>
            <w:rFonts w:ascii="Verdana" w:hAnsi="Verdana"/>
            <w:spacing w:val="-3"/>
            <w:sz w:val="20"/>
          </w:rPr>
          <w:t>la Convención Americana.</w:t>
        </w:r>
      </w:smartTag>
      <w:r>
        <w:rPr>
          <w:rFonts w:ascii="Verdana" w:hAnsi="Verdana"/>
          <w:spacing w:val="-3"/>
          <w:sz w:val="20"/>
        </w:rPr>
        <w:t xml:space="preserve"> Así como la noción de </w:t>
      </w:r>
      <w:r>
        <w:rPr>
          <w:rFonts w:ascii="Verdana" w:hAnsi="Verdana"/>
          <w:i/>
          <w:iCs/>
          <w:spacing w:val="-3"/>
          <w:sz w:val="20"/>
        </w:rPr>
        <w:t>víctima directa</w:t>
      </w:r>
      <w:r>
        <w:rPr>
          <w:rFonts w:ascii="Verdana" w:hAnsi="Verdana"/>
          <w:spacing w:val="-3"/>
          <w:sz w:val="20"/>
        </w:rPr>
        <w:t xml:space="preserve"> encuéntrase, a mi modo de ver, en constante evolució</w:t>
      </w:r>
      <w:r>
        <w:rPr>
          <w:rFonts w:ascii="Verdana" w:hAnsi="Verdana"/>
          <w:spacing w:val="-3"/>
          <w:sz w:val="20"/>
        </w:rPr>
        <w:t xml:space="preserve">n y ampliación (cf. </w:t>
      </w:r>
      <w:r>
        <w:rPr>
          <w:rFonts w:ascii="Verdana" w:hAnsi="Verdana"/>
          <w:i/>
          <w:iCs/>
          <w:spacing w:val="-3"/>
          <w:sz w:val="20"/>
        </w:rPr>
        <w:t>supra</w:t>
      </w:r>
      <w:r>
        <w:rPr>
          <w:rFonts w:ascii="Verdana" w:hAnsi="Verdana"/>
          <w:spacing w:val="-3"/>
          <w:sz w:val="20"/>
        </w:rPr>
        <w:t xml:space="preserve">), lo mismo pasa con el concepto de </w:t>
      </w:r>
      <w:r>
        <w:rPr>
          <w:rFonts w:ascii="Verdana" w:hAnsi="Verdana"/>
          <w:i/>
          <w:iCs/>
          <w:spacing w:val="-3"/>
          <w:sz w:val="20"/>
        </w:rPr>
        <w:t>parte lesionada</w:t>
      </w:r>
      <w:r>
        <w:rPr>
          <w:rFonts w:ascii="Verdana" w:hAnsi="Verdana"/>
          <w:spacing w:val="-3"/>
          <w:sz w:val="20"/>
        </w:rPr>
        <w:t xml:space="preserve"> bajo </w:t>
      </w:r>
      <w:smartTag w:uri="urn:schemas-microsoft-com:office:smarttags" w:element="PersonName">
        <w:smartTagPr>
          <w:attr w:name="ProductID" w:val="la Convenci￳n Americana"/>
        </w:smartTagPr>
        <w:r>
          <w:rPr>
            <w:rFonts w:ascii="Verdana" w:hAnsi="Verdana"/>
            <w:spacing w:val="-3"/>
            <w:sz w:val="20"/>
          </w:rPr>
          <w:t>la Convención Americana</w:t>
        </w:r>
      </w:smartTag>
      <w:r>
        <w:rPr>
          <w:rFonts w:ascii="Verdana" w:hAnsi="Verdana"/>
          <w:spacing w:val="-3"/>
          <w:sz w:val="20"/>
        </w:rPr>
        <w:t xml:space="preserve">, particularmente teniendo presente el </w:t>
      </w:r>
      <w:r>
        <w:rPr>
          <w:rFonts w:ascii="Verdana" w:hAnsi="Verdana"/>
          <w:i/>
          <w:iCs/>
          <w:spacing w:val="-3"/>
          <w:sz w:val="20"/>
        </w:rPr>
        <w:t>deber de reparación</w:t>
      </w:r>
      <w:r>
        <w:rPr>
          <w:rFonts w:ascii="Verdana" w:hAnsi="Verdana"/>
          <w:spacing w:val="-3"/>
          <w:sz w:val="20"/>
        </w:rPr>
        <w:t xml:space="preserve">. El concepto de "parte lesionada" (artículo 63(1) de </w:t>
      </w:r>
      <w:smartTag w:uri="urn:schemas-microsoft-com:office:smarttags" w:element="PersonName">
        <w:smartTagPr>
          <w:attr w:name="ProductID" w:val="la Convenci￳n Americana"/>
        </w:smartTagPr>
        <w:r>
          <w:rPr>
            <w:rFonts w:ascii="Verdana" w:hAnsi="Verdana"/>
            <w:spacing w:val="-3"/>
            <w:sz w:val="20"/>
          </w:rPr>
          <w:t>la Convención Americana</w:t>
        </w:r>
      </w:smartTag>
      <w:r>
        <w:rPr>
          <w:rFonts w:ascii="Verdana" w:hAnsi="Verdana"/>
          <w:spacing w:val="-3"/>
          <w:sz w:val="20"/>
        </w:rPr>
        <w:t xml:space="preserve">), aunque </w:t>
      </w:r>
      <w:r>
        <w:rPr>
          <w:rFonts w:ascii="Verdana" w:hAnsi="Verdana"/>
          <w:i/>
          <w:iCs/>
          <w:spacing w:val="-3"/>
          <w:sz w:val="20"/>
        </w:rPr>
        <w:t xml:space="preserve">prima </w:t>
      </w:r>
      <w:r>
        <w:rPr>
          <w:rFonts w:ascii="Verdana" w:hAnsi="Verdana"/>
          <w:i/>
          <w:iCs/>
          <w:spacing w:val="-3"/>
          <w:sz w:val="20"/>
        </w:rPr>
        <w:t>facie</w:t>
      </w:r>
      <w:r>
        <w:rPr>
          <w:rFonts w:ascii="Verdana" w:hAnsi="Verdana"/>
          <w:spacing w:val="-3"/>
          <w:sz w:val="20"/>
        </w:rPr>
        <w:t xml:space="preserve"> más amplio, corresponde, al fin y al cabo, a mi modo de ver, al propio concepto de </w:t>
      </w:r>
      <w:r>
        <w:rPr>
          <w:rFonts w:ascii="Verdana" w:hAnsi="Verdana"/>
          <w:i/>
          <w:iCs/>
          <w:spacing w:val="-3"/>
          <w:sz w:val="20"/>
        </w:rPr>
        <w:t>víctima</w:t>
      </w:r>
      <w:r>
        <w:rPr>
          <w:rFonts w:ascii="Verdana" w:hAnsi="Verdana"/>
          <w:spacing w:val="-3"/>
          <w:sz w:val="20"/>
        </w:rPr>
        <w:t xml:space="preserve"> </w:t>
      </w:r>
      <w:r>
        <w:rPr>
          <w:rFonts w:ascii="Verdana" w:hAnsi="Verdana"/>
          <w:i/>
          <w:iCs/>
          <w:spacing w:val="-3"/>
          <w:sz w:val="20"/>
        </w:rPr>
        <w:t>lato sensu</w:t>
      </w:r>
      <w:r>
        <w:rPr>
          <w:rFonts w:ascii="Verdana" w:hAnsi="Verdana"/>
          <w:spacing w:val="-3"/>
          <w:sz w:val="20"/>
        </w:rPr>
        <w:t xml:space="preserve"> (abarcando las víctimas directas, indirectas y potenciales), como señalé hace dos décadas en un curso que ministré en </w:t>
      </w:r>
      <w:smartTag w:uri="urn:schemas-microsoft-com:office:smarttags" w:element="PersonName">
        <w:smartTagPr>
          <w:attr w:name="ProductID" w:val="la Academia"/>
        </w:smartTagPr>
        <w:r>
          <w:rPr>
            <w:rFonts w:ascii="Verdana" w:hAnsi="Verdana"/>
            <w:spacing w:val="-3"/>
            <w:sz w:val="20"/>
          </w:rPr>
          <w:t>la Academia</w:t>
        </w:r>
      </w:smartTag>
      <w:r>
        <w:rPr>
          <w:rFonts w:ascii="Verdana" w:hAnsi="Verdana"/>
          <w:spacing w:val="-3"/>
          <w:sz w:val="20"/>
        </w:rPr>
        <w:t xml:space="preserve"> de Derecho Interna</w:t>
      </w:r>
      <w:r>
        <w:rPr>
          <w:rFonts w:ascii="Verdana" w:hAnsi="Verdana"/>
          <w:spacing w:val="-3"/>
          <w:sz w:val="20"/>
        </w:rPr>
        <w:t>cional de La Haya</w:t>
      </w:r>
      <w:r>
        <w:rPr>
          <w:rStyle w:val="Refdenotaalpie"/>
          <w:rFonts w:cs="Courier New"/>
          <w:spacing w:val="-3"/>
          <w:sz w:val="20"/>
          <w:lang w:val="es-ES_tradnl"/>
        </w:rPr>
        <w:footnoteReference w:id="60"/>
      </w:r>
      <w:r>
        <w:rPr>
          <w:rFonts w:ascii="Verdana" w:hAnsi="Verdana"/>
          <w:spacing w:val="-3"/>
          <w:sz w:val="20"/>
        </w:rPr>
        <w:t xml:space="preserve">. </w:t>
      </w:r>
    </w:p>
    <w:p w:rsidR="00000000" w:rsidRDefault="00687F2E">
      <w:pPr>
        <w:jc w:val="both"/>
        <w:rPr>
          <w:rFonts w:ascii="Verdana" w:hAnsi="Verdana"/>
          <w:spacing w:val="-3"/>
          <w:sz w:val="20"/>
        </w:rPr>
      </w:pPr>
    </w:p>
    <w:p w:rsidR="00000000" w:rsidRDefault="00687F2E">
      <w:pPr>
        <w:jc w:val="both"/>
        <w:rPr>
          <w:rFonts w:ascii="Verdana" w:hAnsi="Verdana"/>
          <w:spacing w:val="-3"/>
          <w:sz w:val="20"/>
        </w:rPr>
      </w:pPr>
      <w:r>
        <w:rPr>
          <w:rFonts w:ascii="Verdana" w:hAnsi="Verdana"/>
          <w:spacing w:val="-3"/>
          <w:sz w:val="20"/>
        </w:rPr>
        <w:t>62.</w:t>
      </w:r>
      <w:r>
        <w:rPr>
          <w:rFonts w:ascii="Verdana" w:hAnsi="Verdana"/>
          <w:spacing w:val="-3"/>
          <w:sz w:val="20"/>
        </w:rPr>
        <w:tab/>
        <w:t xml:space="preserve">En suma, para mí </w:t>
      </w:r>
      <w:r>
        <w:rPr>
          <w:rFonts w:ascii="Verdana" w:hAnsi="Verdana"/>
          <w:i/>
          <w:iCs/>
          <w:spacing w:val="-3"/>
          <w:sz w:val="20"/>
        </w:rPr>
        <w:t>la parte lesionada corresponde a la noción ampliada de víctima</w:t>
      </w:r>
      <w:r>
        <w:rPr>
          <w:rFonts w:ascii="Verdana" w:hAnsi="Verdana"/>
          <w:spacing w:val="-3"/>
          <w:sz w:val="20"/>
        </w:rPr>
        <w:t xml:space="preserve">, según la construcción jurisprudencial de </w:t>
      </w:r>
      <w:smartTag w:uri="urn:schemas-microsoft-com:office:smarttags" w:element="PersonName">
        <w:smartTagPr>
          <w:attr w:name="ProductID" w:val="la Corte Interamericana"/>
        </w:smartTagPr>
        <w:r>
          <w:rPr>
            <w:rFonts w:ascii="Verdana" w:hAnsi="Verdana"/>
            <w:spacing w:val="-3"/>
            <w:sz w:val="20"/>
          </w:rPr>
          <w:t>la Corte Interamericana</w:t>
        </w:r>
      </w:smartTag>
      <w:r>
        <w:rPr>
          <w:rFonts w:ascii="Verdana" w:hAnsi="Verdana"/>
          <w:spacing w:val="-3"/>
          <w:sz w:val="20"/>
        </w:rPr>
        <w:t xml:space="preserve">, bajo </w:t>
      </w:r>
      <w:smartTag w:uri="urn:schemas-microsoft-com:office:smarttags" w:element="PersonName">
        <w:smartTagPr>
          <w:attr w:name="ProductID" w:val="la Convenci￳n Americana."/>
        </w:smartTagPr>
        <w:r>
          <w:rPr>
            <w:rFonts w:ascii="Verdana" w:hAnsi="Verdana"/>
            <w:spacing w:val="-3"/>
            <w:sz w:val="20"/>
          </w:rPr>
          <w:t>la Convención Americana.</w:t>
        </w:r>
      </w:smartTag>
      <w:r>
        <w:rPr>
          <w:rFonts w:ascii="Verdana" w:hAnsi="Verdana"/>
          <w:spacing w:val="-3"/>
          <w:sz w:val="20"/>
        </w:rPr>
        <w:t xml:space="preserve"> Es por esto que no puedo aceptar retrocesos en dicha </w:t>
      </w:r>
      <w:r>
        <w:rPr>
          <w:rFonts w:ascii="Verdana" w:hAnsi="Verdana"/>
          <w:spacing w:val="-3"/>
          <w:sz w:val="20"/>
        </w:rPr>
        <w:t xml:space="preserve">construcción jurisprudencial, como lo ocurrido en el presente caso </w:t>
      </w:r>
      <w:smartTag w:uri="urn:schemas-microsoft-com:office:smarttags" w:element="PersonName">
        <w:smartTagPr>
          <w:attr w:name="ProductID" w:val="La Cantuta"/>
        </w:smartTagPr>
        <w:r>
          <w:rPr>
            <w:rFonts w:ascii="Verdana" w:hAnsi="Verdana"/>
            <w:i/>
            <w:iCs/>
            <w:spacing w:val="-3"/>
            <w:sz w:val="20"/>
          </w:rPr>
          <w:t>La Cantuta</w:t>
        </w:r>
      </w:smartTag>
      <w:r>
        <w:rPr>
          <w:rFonts w:ascii="Verdana" w:hAnsi="Verdana"/>
          <w:spacing w:val="-3"/>
          <w:sz w:val="20"/>
        </w:rPr>
        <w:t xml:space="preserve"> (cf. </w:t>
      </w:r>
      <w:r>
        <w:rPr>
          <w:rFonts w:ascii="Verdana" w:hAnsi="Verdana"/>
          <w:i/>
          <w:iCs/>
          <w:spacing w:val="-3"/>
          <w:sz w:val="20"/>
        </w:rPr>
        <w:t>supra</w:t>
      </w:r>
      <w:r>
        <w:rPr>
          <w:rFonts w:ascii="Verdana" w:hAnsi="Verdana"/>
          <w:spacing w:val="-3"/>
          <w:sz w:val="20"/>
        </w:rPr>
        <w:t xml:space="preserve">), en cuanto a la determinación del daño inmaterial. La centralidad de las víctimas no se refiere tan sólo a las víctimas directas, sino también a sus familiares como </w:t>
      </w:r>
      <w:r>
        <w:rPr>
          <w:rFonts w:ascii="Verdana" w:hAnsi="Verdana"/>
          <w:i/>
          <w:iCs/>
          <w:spacing w:val="-3"/>
          <w:sz w:val="20"/>
        </w:rPr>
        <w:t>p</w:t>
      </w:r>
      <w:r>
        <w:rPr>
          <w:rFonts w:ascii="Verdana" w:hAnsi="Verdana"/>
          <w:i/>
          <w:iCs/>
          <w:spacing w:val="-3"/>
          <w:sz w:val="20"/>
        </w:rPr>
        <w:t>arte lesionada</w:t>
      </w:r>
      <w:r>
        <w:rPr>
          <w:rFonts w:ascii="Verdana" w:hAnsi="Verdana"/>
          <w:spacing w:val="-3"/>
          <w:sz w:val="20"/>
        </w:rPr>
        <w:t xml:space="preserve">. La centralidad de las víctimas no se limita a las determinaciones de </w:t>
      </w:r>
      <w:smartTag w:uri="urn:schemas-microsoft-com:office:smarttags" w:element="PersonName">
        <w:smartTagPr>
          <w:attr w:name="ProductID" w:val="la Corte"/>
        </w:smartTagPr>
        <w:r>
          <w:rPr>
            <w:rFonts w:ascii="Verdana" w:hAnsi="Verdana"/>
            <w:spacing w:val="-3"/>
            <w:sz w:val="20"/>
          </w:rPr>
          <w:t>la Corte</w:t>
        </w:r>
      </w:smartTag>
      <w:r>
        <w:rPr>
          <w:rFonts w:ascii="Verdana" w:hAnsi="Verdana"/>
          <w:spacing w:val="-3"/>
          <w:sz w:val="20"/>
        </w:rPr>
        <w:t xml:space="preserve"> en cuanto al fondo de los casos por ella resueltos, sino también a sus decisiones en cuanto a las reparaciones.  </w:t>
      </w:r>
    </w:p>
    <w:p w:rsidR="00000000" w:rsidRDefault="00687F2E">
      <w:pPr>
        <w:jc w:val="both"/>
        <w:rPr>
          <w:rFonts w:ascii="Verdana" w:hAnsi="Verdana"/>
          <w:spacing w:val="-3"/>
          <w:sz w:val="20"/>
        </w:rPr>
      </w:pPr>
    </w:p>
    <w:p w:rsidR="00000000" w:rsidRDefault="00687F2E">
      <w:pPr>
        <w:jc w:val="both"/>
        <w:rPr>
          <w:rFonts w:ascii="Verdana" w:hAnsi="Verdana"/>
          <w:spacing w:val="-3"/>
          <w:sz w:val="20"/>
        </w:rPr>
      </w:pPr>
      <w:r>
        <w:rPr>
          <w:rFonts w:ascii="Verdana" w:hAnsi="Verdana"/>
          <w:spacing w:val="-3"/>
          <w:sz w:val="20"/>
        </w:rPr>
        <w:t>63.</w:t>
      </w:r>
      <w:r>
        <w:rPr>
          <w:rFonts w:ascii="Verdana" w:hAnsi="Verdana"/>
          <w:spacing w:val="-3"/>
          <w:sz w:val="20"/>
        </w:rPr>
        <w:tab/>
        <w:t xml:space="preserve">Cuando, hace más de media década, presenté </w:t>
      </w:r>
      <w:r>
        <w:rPr>
          <w:rFonts w:ascii="Verdana" w:hAnsi="Verdana"/>
          <w:spacing w:val="-3"/>
          <w:sz w:val="20"/>
        </w:rPr>
        <w:t xml:space="preserve">a </w:t>
      </w:r>
      <w:smartTag w:uri="urn:schemas-microsoft-com:office:smarttags" w:element="PersonName">
        <w:smartTagPr>
          <w:attr w:name="ProductID" w:val="la Organizaci￳n"/>
        </w:smartTagPr>
        <w:r>
          <w:rPr>
            <w:rFonts w:ascii="Verdana" w:hAnsi="Verdana"/>
            <w:spacing w:val="-3"/>
            <w:sz w:val="20"/>
          </w:rPr>
          <w:t>la Organización</w:t>
        </w:r>
      </w:smartTag>
      <w:r>
        <w:rPr>
          <w:rFonts w:ascii="Verdana" w:hAnsi="Verdana"/>
          <w:spacing w:val="-3"/>
          <w:sz w:val="20"/>
        </w:rPr>
        <w:t xml:space="preserve"> de los Estados Americanos (en mayo de 2001), el documento que redacté, en nombre de </w:t>
      </w:r>
      <w:smartTag w:uri="urn:schemas-microsoft-com:office:smarttags" w:element="PersonName">
        <w:smartTagPr>
          <w:attr w:name="ProductID" w:val="la Corte Interamericana"/>
        </w:smartTagPr>
        <w:r>
          <w:rPr>
            <w:rFonts w:ascii="Verdana" w:hAnsi="Verdana"/>
            <w:spacing w:val="-3"/>
            <w:sz w:val="20"/>
          </w:rPr>
          <w:t>la Corte Interamericana</w:t>
        </w:r>
      </w:smartTag>
      <w:r>
        <w:rPr>
          <w:rFonts w:ascii="Verdana" w:hAnsi="Verdana"/>
          <w:spacing w:val="-3"/>
          <w:sz w:val="20"/>
        </w:rPr>
        <w:t>, titulado "</w:t>
      </w:r>
      <w:r>
        <w:rPr>
          <w:rFonts w:ascii="Verdana" w:hAnsi="Verdana"/>
          <w:i/>
          <w:iCs/>
          <w:spacing w:val="-3"/>
          <w:sz w:val="20"/>
        </w:rPr>
        <w:t xml:space="preserve">Bases para un Proyecto de Protocolo a </w:t>
      </w:r>
      <w:smartTag w:uri="urn:schemas-microsoft-com:office:smarttags" w:element="PersonName">
        <w:smartTagPr>
          <w:attr w:name="ProductID" w:val="la Convenci￳n Americana"/>
        </w:smartTagPr>
        <w:r>
          <w:rPr>
            <w:rFonts w:ascii="Verdana" w:hAnsi="Verdana"/>
            <w:i/>
            <w:iCs/>
            <w:spacing w:val="-3"/>
            <w:sz w:val="20"/>
          </w:rPr>
          <w:t>la Convención Americana</w:t>
        </w:r>
      </w:smartTag>
      <w:r>
        <w:rPr>
          <w:rFonts w:ascii="Verdana" w:hAnsi="Verdana"/>
          <w:i/>
          <w:iCs/>
          <w:spacing w:val="-3"/>
          <w:sz w:val="20"/>
        </w:rPr>
        <w:t xml:space="preserve"> sobre Derechos Humanos, para Fortalecer Su Mecanismo de P</w:t>
      </w:r>
      <w:r>
        <w:rPr>
          <w:rFonts w:ascii="Verdana" w:hAnsi="Verdana"/>
          <w:i/>
          <w:iCs/>
          <w:spacing w:val="-3"/>
          <w:sz w:val="20"/>
        </w:rPr>
        <w:t>rotección</w:t>
      </w:r>
      <w:r>
        <w:rPr>
          <w:rFonts w:ascii="Verdana" w:hAnsi="Verdana"/>
          <w:spacing w:val="-3"/>
          <w:sz w:val="20"/>
        </w:rPr>
        <w:t xml:space="preserve">", invoqué la expresión "parte lesionada" contenida en el artículo 63(1) de </w:t>
      </w:r>
      <w:smartTag w:uri="urn:schemas-microsoft-com:office:smarttags" w:element="PersonName">
        <w:smartTagPr>
          <w:attr w:name="ProductID" w:val="la Convenci￳n Americana"/>
        </w:smartTagPr>
        <w:r>
          <w:rPr>
            <w:rFonts w:ascii="Verdana" w:hAnsi="Verdana"/>
            <w:spacing w:val="-3"/>
            <w:sz w:val="20"/>
          </w:rPr>
          <w:t>la Convención Americana</w:t>
        </w:r>
      </w:smartTag>
      <w:r>
        <w:rPr>
          <w:rFonts w:ascii="Verdana" w:hAnsi="Verdana"/>
          <w:spacing w:val="-3"/>
          <w:sz w:val="20"/>
        </w:rPr>
        <w:t xml:space="preserve"> para dar precisión al rol del "lesionado" - ciertamente distinto del de </w:t>
      </w:r>
      <w:smartTag w:uri="urn:schemas-microsoft-com:office:smarttags" w:element="PersonName">
        <w:smartTagPr>
          <w:attr w:name="ProductID" w:val="la Comisi￳n Interamericana"/>
        </w:smartTagPr>
        <w:r>
          <w:rPr>
            <w:rFonts w:ascii="Verdana" w:hAnsi="Verdana"/>
            <w:spacing w:val="-3"/>
            <w:sz w:val="20"/>
          </w:rPr>
          <w:t>la Comisión Interamericana</w:t>
        </w:r>
      </w:smartTag>
      <w:r>
        <w:rPr>
          <w:rFonts w:ascii="Verdana" w:hAnsi="Verdana"/>
          <w:spacing w:val="-3"/>
          <w:sz w:val="20"/>
        </w:rPr>
        <w:t xml:space="preserve"> de Derechos Humanos - como titular de derechos y</w:t>
      </w:r>
      <w:r>
        <w:rPr>
          <w:rFonts w:ascii="Verdana" w:hAnsi="Verdana"/>
          <w:spacing w:val="-3"/>
          <w:sz w:val="20"/>
        </w:rPr>
        <w:t xml:space="preserve"> verdadera parte demandante ante la Corte Interamericana</w:t>
      </w:r>
      <w:r>
        <w:rPr>
          <w:rStyle w:val="Refdenotaalpie"/>
          <w:rFonts w:cs="Courier New"/>
          <w:spacing w:val="-3"/>
          <w:sz w:val="20"/>
          <w:lang w:val="es-ES_tradnl"/>
        </w:rPr>
        <w:footnoteReference w:id="61"/>
      </w:r>
      <w:r>
        <w:rPr>
          <w:rFonts w:ascii="Verdana" w:hAnsi="Verdana"/>
          <w:spacing w:val="-3"/>
          <w:sz w:val="20"/>
        </w:rPr>
        <w:t xml:space="preserve">. Aquí, en el contexto de la presente Interpretación de Sentencia en el caso </w:t>
      </w:r>
      <w:smartTag w:uri="urn:schemas-microsoft-com:office:smarttags" w:element="PersonName">
        <w:smartTagPr>
          <w:attr w:name="ProductID" w:val="La Cantuta"/>
        </w:smartTagPr>
        <w:r>
          <w:rPr>
            <w:rFonts w:ascii="Verdana" w:hAnsi="Verdana"/>
            <w:i/>
            <w:iCs/>
            <w:spacing w:val="-3"/>
            <w:sz w:val="20"/>
          </w:rPr>
          <w:t xml:space="preserve">La </w:t>
        </w:r>
        <w:r>
          <w:rPr>
            <w:rFonts w:ascii="Verdana" w:hAnsi="Verdana"/>
            <w:i/>
            <w:iCs/>
            <w:spacing w:val="-3"/>
            <w:sz w:val="20"/>
          </w:rPr>
          <w:lastRenderedPageBreak/>
          <w:t>Cantuta</w:t>
        </w:r>
      </w:smartTag>
      <w:r>
        <w:rPr>
          <w:rFonts w:ascii="Verdana" w:hAnsi="Verdana"/>
          <w:spacing w:val="-3"/>
          <w:sz w:val="20"/>
        </w:rPr>
        <w:t>, vuelvo a invocar la misma expresión a efectos de dar precisión a la noción ampliada de víctima - e inclusive d</w:t>
      </w:r>
      <w:r>
        <w:rPr>
          <w:rFonts w:ascii="Verdana" w:hAnsi="Verdana"/>
          <w:spacing w:val="-3"/>
          <w:sz w:val="20"/>
        </w:rPr>
        <w:t xml:space="preserve">e víctima directa, </w:t>
      </w:r>
      <w:r>
        <w:rPr>
          <w:rFonts w:ascii="Verdana" w:hAnsi="Verdana"/>
          <w:i/>
          <w:iCs/>
          <w:spacing w:val="-3"/>
          <w:sz w:val="20"/>
        </w:rPr>
        <w:t>lato sensu</w:t>
      </w:r>
      <w:r>
        <w:rPr>
          <w:rFonts w:ascii="Verdana" w:hAnsi="Verdana"/>
          <w:spacing w:val="-3"/>
          <w:sz w:val="20"/>
        </w:rPr>
        <w:t xml:space="preserve"> (cf. </w:t>
      </w:r>
      <w:r>
        <w:rPr>
          <w:rFonts w:ascii="Verdana" w:hAnsi="Verdana"/>
          <w:i/>
          <w:iCs/>
          <w:spacing w:val="-3"/>
          <w:sz w:val="20"/>
        </w:rPr>
        <w:t>infra</w:t>
      </w:r>
      <w:r>
        <w:rPr>
          <w:rFonts w:ascii="Verdana" w:hAnsi="Verdana"/>
          <w:spacing w:val="-3"/>
          <w:sz w:val="20"/>
        </w:rPr>
        <w:t xml:space="preserve">) - bajo </w:t>
      </w:r>
      <w:smartTag w:uri="urn:schemas-microsoft-com:office:smarttags" w:element="PersonName">
        <w:smartTagPr>
          <w:attr w:name="ProductID" w:val="la Convenci￳n Americana."/>
        </w:smartTagPr>
        <w:r>
          <w:rPr>
            <w:rFonts w:ascii="Verdana" w:hAnsi="Verdana"/>
            <w:spacing w:val="-3"/>
            <w:sz w:val="20"/>
          </w:rPr>
          <w:t>la Convención Americana.</w:t>
        </w:r>
      </w:smartTag>
    </w:p>
    <w:p w:rsidR="00000000" w:rsidRDefault="00687F2E">
      <w:pPr>
        <w:jc w:val="both"/>
        <w:rPr>
          <w:rFonts w:ascii="Verdana" w:hAnsi="Verdana"/>
          <w:spacing w:val="-3"/>
          <w:sz w:val="20"/>
        </w:rPr>
      </w:pPr>
    </w:p>
    <w:p w:rsidR="00000000" w:rsidRDefault="00687F2E">
      <w:pPr>
        <w:jc w:val="both"/>
        <w:rPr>
          <w:rFonts w:ascii="Verdana" w:hAnsi="Verdana"/>
          <w:spacing w:val="-3"/>
          <w:sz w:val="20"/>
        </w:rPr>
      </w:pPr>
      <w:r>
        <w:rPr>
          <w:rFonts w:ascii="Verdana" w:hAnsi="Verdana"/>
          <w:spacing w:val="-3"/>
          <w:sz w:val="20"/>
        </w:rPr>
        <w:t xml:space="preserve">64. </w:t>
      </w:r>
      <w:r>
        <w:rPr>
          <w:rFonts w:ascii="Verdana" w:hAnsi="Verdana"/>
          <w:spacing w:val="-3"/>
          <w:sz w:val="20"/>
        </w:rPr>
        <w:tab/>
        <w:t xml:space="preserve">A lo largo de los años de mi actuación como Juez de esta Corte, he siempre subrayado la </w:t>
      </w:r>
      <w:r>
        <w:rPr>
          <w:rFonts w:ascii="Verdana" w:hAnsi="Verdana"/>
          <w:i/>
          <w:iCs/>
          <w:spacing w:val="-3"/>
          <w:sz w:val="20"/>
        </w:rPr>
        <w:t>centralidad</w:t>
      </w:r>
      <w:r>
        <w:rPr>
          <w:rFonts w:ascii="Verdana" w:hAnsi="Verdana"/>
          <w:spacing w:val="-3"/>
          <w:sz w:val="20"/>
        </w:rPr>
        <w:t xml:space="preserve"> de las víctimas </w:t>
      </w:r>
      <w:r>
        <w:rPr>
          <w:rFonts w:ascii="Verdana" w:hAnsi="Verdana"/>
          <w:i/>
          <w:iCs/>
          <w:spacing w:val="-3"/>
          <w:sz w:val="20"/>
        </w:rPr>
        <w:t>lato sensu</w:t>
      </w:r>
      <w:r>
        <w:rPr>
          <w:rFonts w:ascii="Verdana" w:hAnsi="Verdana"/>
          <w:spacing w:val="-3"/>
          <w:sz w:val="20"/>
        </w:rPr>
        <w:t>, y de la valoración de su sufrimiento, en la labo</w:t>
      </w:r>
      <w:r>
        <w:rPr>
          <w:rFonts w:ascii="Verdana" w:hAnsi="Verdana"/>
          <w:spacing w:val="-3"/>
          <w:sz w:val="20"/>
        </w:rPr>
        <w:t xml:space="preserve">r de protección de los derechos de la persona humana (párr. 39, </w:t>
      </w:r>
      <w:r>
        <w:rPr>
          <w:rFonts w:ascii="Verdana" w:hAnsi="Verdana"/>
          <w:i/>
          <w:iCs/>
          <w:spacing w:val="-3"/>
          <w:sz w:val="20"/>
        </w:rPr>
        <w:t>supra</w:t>
      </w:r>
      <w:r>
        <w:rPr>
          <w:rFonts w:ascii="Verdana" w:hAnsi="Verdana"/>
          <w:spacing w:val="-3"/>
          <w:sz w:val="20"/>
        </w:rPr>
        <w:t>). Dicha centralidad es ineludible y particularmente elocuente en casos de violaciones graves de derechos humanos, como en los recientes casos de masacres conocidos por esta Corte. La cen</w:t>
      </w:r>
      <w:r>
        <w:rPr>
          <w:rFonts w:ascii="Verdana" w:hAnsi="Verdana"/>
          <w:spacing w:val="-3"/>
          <w:sz w:val="20"/>
        </w:rPr>
        <w:t xml:space="preserve">tralidad de las víctimas </w:t>
      </w:r>
      <w:r>
        <w:rPr>
          <w:rFonts w:ascii="Verdana" w:hAnsi="Verdana"/>
          <w:i/>
          <w:iCs/>
          <w:spacing w:val="-3"/>
          <w:sz w:val="20"/>
        </w:rPr>
        <w:t>lato sensu</w:t>
      </w:r>
      <w:r>
        <w:rPr>
          <w:rFonts w:ascii="Verdana" w:hAnsi="Verdana"/>
          <w:spacing w:val="-3"/>
          <w:sz w:val="20"/>
        </w:rPr>
        <w:t xml:space="preserve"> y de la valoración de su sufrimiento por </w:t>
      </w:r>
      <w:smartTag w:uri="urn:schemas-microsoft-com:office:smarttags" w:element="PersonName">
        <w:smartTagPr>
          <w:attr w:name="ProductID" w:val="la Corte"/>
        </w:smartTagPr>
        <w:r>
          <w:rPr>
            <w:rFonts w:ascii="Verdana" w:hAnsi="Verdana"/>
            <w:spacing w:val="-3"/>
            <w:sz w:val="20"/>
          </w:rPr>
          <w:t>la Corte</w:t>
        </w:r>
      </w:smartTag>
      <w:r>
        <w:rPr>
          <w:rFonts w:ascii="Verdana" w:hAnsi="Verdana"/>
          <w:spacing w:val="-3"/>
          <w:sz w:val="20"/>
        </w:rPr>
        <w:t xml:space="preserve"> ha quedado manifiesta, de forma elocuente, en sus Sentencias sobre las masacres de</w:t>
      </w:r>
      <w:r>
        <w:rPr>
          <w:rFonts w:ascii="Verdana" w:hAnsi="Verdana"/>
          <w:i/>
          <w:iCs/>
          <w:spacing w:val="-3"/>
          <w:sz w:val="20"/>
        </w:rPr>
        <w:t xml:space="preserve"> Barrios Altos versus Perú</w:t>
      </w:r>
      <w:r>
        <w:rPr>
          <w:rFonts w:ascii="Verdana" w:hAnsi="Verdana"/>
          <w:spacing w:val="-3"/>
          <w:sz w:val="20"/>
        </w:rPr>
        <w:t xml:space="preserve"> (del 14.03.2001), de </w:t>
      </w:r>
      <w:r>
        <w:rPr>
          <w:rFonts w:ascii="Verdana" w:hAnsi="Verdana"/>
          <w:i/>
          <w:iCs/>
          <w:spacing w:val="-3"/>
          <w:sz w:val="20"/>
        </w:rPr>
        <w:t>Caracazo versus Venezuela</w:t>
      </w:r>
      <w:r>
        <w:rPr>
          <w:rFonts w:ascii="Verdana" w:hAnsi="Verdana"/>
          <w:spacing w:val="-3"/>
          <w:sz w:val="20"/>
        </w:rPr>
        <w:t xml:space="preserve"> (reparaciones,</w:t>
      </w:r>
      <w:r>
        <w:rPr>
          <w:rFonts w:ascii="Verdana" w:hAnsi="Verdana"/>
          <w:spacing w:val="-3"/>
          <w:sz w:val="20"/>
        </w:rPr>
        <w:t xml:space="preserve"> del 29.08.2002)] de </w:t>
      </w:r>
      <w:r>
        <w:rPr>
          <w:rFonts w:ascii="Verdana" w:hAnsi="Verdana"/>
          <w:i/>
          <w:iCs/>
          <w:spacing w:val="-3"/>
          <w:sz w:val="20"/>
        </w:rPr>
        <w:t>Plan de Sánchez versus Guatemala</w:t>
      </w:r>
      <w:r>
        <w:rPr>
          <w:rFonts w:ascii="Verdana" w:hAnsi="Verdana"/>
          <w:spacing w:val="-3"/>
          <w:sz w:val="20"/>
        </w:rPr>
        <w:t xml:space="preserve"> (del 29.04.2004), de los </w:t>
      </w:r>
      <w:r>
        <w:rPr>
          <w:rFonts w:ascii="Verdana" w:hAnsi="Verdana"/>
          <w:i/>
          <w:iCs/>
          <w:spacing w:val="-3"/>
          <w:sz w:val="20"/>
        </w:rPr>
        <w:t>19 Comerciantes versus Colombia</w:t>
      </w:r>
      <w:r>
        <w:rPr>
          <w:rFonts w:ascii="Verdana" w:hAnsi="Verdana"/>
          <w:spacing w:val="-3"/>
          <w:sz w:val="20"/>
        </w:rPr>
        <w:t xml:space="preserve"> (del 05.07.2004), de</w:t>
      </w:r>
      <w:r>
        <w:rPr>
          <w:rFonts w:ascii="Verdana" w:hAnsi="Verdana"/>
          <w:i/>
          <w:iCs/>
          <w:spacing w:val="-3"/>
          <w:sz w:val="20"/>
        </w:rPr>
        <w:t xml:space="preserve"> Mapiripán versus Colombia</w:t>
      </w:r>
      <w:r>
        <w:rPr>
          <w:rFonts w:ascii="Verdana" w:hAnsi="Verdana"/>
          <w:spacing w:val="-3"/>
          <w:sz w:val="20"/>
        </w:rPr>
        <w:t xml:space="preserve"> (del 17.09.2005), de </w:t>
      </w:r>
      <w:smartTag w:uri="urn:schemas-microsoft-com:office:smarttags" w:element="PersonName">
        <w:smartTagPr>
          <w:attr w:name="ProductID" w:val="la Comunidad Moiwana"/>
        </w:smartTagPr>
        <w:r>
          <w:rPr>
            <w:rFonts w:ascii="Verdana" w:hAnsi="Verdana"/>
            <w:spacing w:val="-3"/>
            <w:sz w:val="20"/>
          </w:rPr>
          <w:t xml:space="preserve">la </w:t>
        </w:r>
        <w:r>
          <w:rPr>
            <w:rFonts w:ascii="Verdana" w:hAnsi="Verdana"/>
            <w:i/>
            <w:iCs/>
            <w:spacing w:val="-3"/>
            <w:sz w:val="20"/>
          </w:rPr>
          <w:t>Comunidad Moiwana</w:t>
        </w:r>
      </w:smartTag>
      <w:r>
        <w:rPr>
          <w:rFonts w:ascii="Verdana" w:hAnsi="Verdana"/>
          <w:i/>
          <w:iCs/>
          <w:spacing w:val="-3"/>
          <w:sz w:val="20"/>
        </w:rPr>
        <w:t xml:space="preserve"> versus Suriname</w:t>
      </w:r>
      <w:r>
        <w:rPr>
          <w:rFonts w:ascii="Verdana" w:hAnsi="Verdana"/>
          <w:spacing w:val="-3"/>
          <w:sz w:val="20"/>
        </w:rPr>
        <w:t xml:space="preserve"> (del 15.06.2005), de</w:t>
      </w:r>
      <w:r>
        <w:rPr>
          <w:rFonts w:ascii="Verdana" w:hAnsi="Verdana"/>
          <w:i/>
          <w:iCs/>
          <w:spacing w:val="-3"/>
          <w:sz w:val="20"/>
        </w:rPr>
        <w:t xml:space="preserve"> Ituango versus Colo</w:t>
      </w:r>
      <w:r>
        <w:rPr>
          <w:rFonts w:ascii="Verdana" w:hAnsi="Verdana"/>
          <w:i/>
          <w:iCs/>
          <w:spacing w:val="-3"/>
          <w:sz w:val="20"/>
        </w:rPr>
        <w:t>mbia</w:t>
      </w:r>
      <w:r>
        <w:rPr>
          <w:rFonts w:ascii="Verdana" w:hAnsi="Verdana"/>
          <w:spacing w:val="-3"/>
          <w:sz w:val="20"/>
        </w:rPr>
        <w:t xml:space="preserve"> (del 01.07.2006), de </w:t>
      </w:r>
      <w:r>
        <w:rPr>
          <w:rFonts w:ascii="Verdana" w:hAnsi="Verdana"/>
          <w:i/>
          <w:iCs/>
          <w:spacing w:val="-3"/>
          <w:sz w:val="20"/>
        </w:rPr>
        <w:t>Montero Aranguren y Otros versus Venezuela</w:t>
      </w:r>
      <w:r>
        <w:rPr>
          <w:rFonts w:ascii="Verdana" w:hAnsi="Verdana"/>
          <w:spacing w:val="-3"/>
          <w:sz w:val="20"/>
        </w:rPr>
        <w:t xml:space="preserve"> (</w:t>
      </w:r>
      <w:r>
        <w:rPr>
          <w:rFonts w:ascii="Verdana" w:hAnsi="Verdana"/>
          <w:i/>
          <w:iCs/>
          <w:spacing w:val="-3"/>
          <w:sz w:val="20"/>
        </w:rPr>
        <w:t>Retén de Catia</w:t>
      </w:r>
      <w:r>
        <w:rPr>
          <w:rFonts w:ascii="Verdana" w:hAnsi="Verdana"/>
          <w:spacing w:val="-3"/>
          <w:sz w:val="20"/>
        </w:rPr>
        <w:t>, del 05.07.2006)</w:t>
      </w:r>
      <w:r>
        <w:rPr>
          <w:rStyle w:val="Refdenotaalpie"/>
          <w:rFonts w:cs="Courier New"/>
          <w:spacing w:val="-3"/>
          <w:sz w:val="20"/>
          <w:lang w:val="es-ES_tradnl"/>
        </w:rPr>
        <w:footnoteReference w:id="62"/>
      </w:r>
      <w:r>
        <w:rPr>
          <w:rFonts w:ascii="Verdana" w:hAnsi="Verdana"/>
          <w:spacing w:val="-3"/>
          <w:sz w:val="20"/>
        </w:rPr>
        <w:t xml:space="preserve">, entre otros. </w:t>
      </w:r>
    </w:p>
    <w:p w:rsidR="00000000" w:rsidRDefault="00687F2E">
      <w:pPr>
        <w:jc w:val="both"/>
        <w:rPr>
          <w:rFonts w:ascii="Verdana" w:hAnsi="Verdana"/>
          <w:spacing w:val="-3"/>
          <w:sz w:val="20"/>
        </w:rPr>
      </w:pPr>
    </w:p>
    <w:p w:rsidR="00000000" w:rsidRDefault="00687F2E">
      <w:pPr>
        <w:jc w:val="both"/>
        <w:rPr>
          <w:rFonts w:ascii="Verdana" w:hAnsi="Verdana"/>
          <w:spacing w:val="-3"/>
          <w:sz w:val="20"/>
        </w:rPr>
      </w:pPr>
      <w:r>
        <w:rPr>
          <w:rFonts w:ascii="Verdana" w:hAnsi="Verdana"/>
          <w:spacing w:val="-3"/>
          <w:sz w:val="20"/>
        </w:rPr>
        <w:t>65.</w:t>
      </w:r>
      <w:r>
        <w:rPr>
          <w:rFonts w:ascii="Verdana" w:hAnsi="Verdana"/>
          <w:spacing w:val="-3"/>
          <w:sz w:val="20"/>
        </w:rPr>
        <w:tab/>
        <w:t xml:space="preserve">A éstas se agregan las recientes Sentencias de </w:t>
      </w:r>
      <w:smartTag w:uri="urn:schemas-microsoft-com:office:smarttags" w:element="PersonName">
        <w:smartTagPr>
          <w:attr w:name="ProductID" w:val="la Corte"/>
        </w:smartTagPr>
        <w:r>
          <w:rPr>
            <w:rFonts w:ascii="Verdana" w:hAnsi="Verdana"/>
            <w:spacing w:val="-3"/>
            <w:sz w:val="20"/>
          </w:rPr>
          <w:t>la Corte</w:t>
        </w:r>
      </w:smartTag>
      <w:r>
        <w:rPr>
          <w:rFonts w:ascii="Verdana" w:hAnsi="Verdana"/>
          <w:spacing w:val="-3"/>
          <w:sz w:val="20"/>
        </w:rPr>
        <w:t xml:space="preserve"> en las masacres de </w:t>
      </w:r>
      <w:smartTag w:uri="urn:schemas-microsoft-com:office:smarttags" w:element="PersonName">
        <w:smartTagPr>
          <w:attr w:name="ProductID" w:val="la Prisi￳n"/>
        </w:smartTagPr>
        <w:r>
          <w:rPr>
            <w:rFonts w:ascii="Verdana" w:hAnsi="Verdana"/>
            <w:spacing w:val="-3"/>
            <w:sz w:val="20"/>
          </w:rPr>
          <w:t xml:space="preserve">la </w:t>
        </w:r>
        <w:r>
          <w:rPr>
            <w:rFonts w:ascii="Verdana" w:hAnsi="Verdana"/>
            <w:i/>
            <w:iCs/>
            <w:spacing w:val="-3"/>
            <w:sz w:val="20"/>
          </w:rPr>
          <w:t>Prisión</w:t>
        </w:r>
      </w:smartTag>
      <w:r>
        <w:rPr>
          <w:rFonts w:ascii="Verdana" w:hAnsi="Verdana"/>
          <w:i/>
          <w:iCs/>
          <w:spacing w:val="-3"/>
          <w:sz w:val="20"/>
        </w:rPr>
        <w:t xml:space="preserve"> de Castro Castro versus Perú</w:t>
      </w:r>
      <w:r>
        <w:rPr>
          <w:rFonts w:ascii="Verdana" w:hAnsi="Verdana"/>
          <w:spacing w:val="-3"/>
          <w:sz w:val="20"/>
        </w:rPr>
        <w:t xml:space="preserve"> (del 25.11.2006) y</w:t>
      </w:r>
      <w:r>
        <w:rPr>
          <w:rFonts w:ascii="Verdana" w:hAnsi="Verdana"/>
          <w:spacing w:val="-3"/>
          <w:sz w:val="20"/>
        </w:rPr>
        <w:t xml:space="preserve"> de </w:t>
      </w:r>
      <w:smartTag w:uri="urn:schemas-microsoft-com:office:smarttags" w:element="PersonName">
        <w:smartTagPr>
          <w:attr w:name="ProductID" w:val="La Cantuta"/>
        </w:smartTagPr>
        <w:r>
          <w:rPr>
            <w:rFonts w:ascii="Verdana" w:hAnsi="Verdana"/>
            <w:i/>
            <w:iCs/>
            <w:spacing w:val="-3"/>
            <w:sz w:val="20"/>
          </w:rPr>
          <w:t>La Cantuta</w:t>
        </w:r>
      </w:smartTag>
      <w:r>
        <w:rPr>
          <w:rFonts w:ascii="Verdana" w:hAnsi="Verdana"/>
          <w:i/>
          <w:iCs/>
          <w:spacing w:val="-3"/>
          <w:sz w:val="20"/>
        </w:rPr>
        <w:t xml:space="preserve"> versus Perú</w:t>
      </w:r>
      <w:r>
        <w:rPr>
          <w:rFonts w:ascii="Verdana" w:hAnsi="Verdana"/>
          <w:spacing w:val="-3"/>
          <w:sz w:val="20"/>
        </w:rPr>
        <w:t xml:space="preserve"> (del 29.11.2006), sin que, a mi modo de ver, hubiera cualquier razón para que </w:t>
      </w:r>
      <w:smartTag w:uri="urn:schemas-microsoft-com:office:smarttags" w:element="PersonName">
        <w:smartTagPr>
          <w:attr w:name="ProductID" w:val="la Corte"/>
        </w:smartTagPr>
        <w:r>
          <w:rPr>
            <w:rFonts w:ascii="Verdana" w:hAnsi="Verdana"/>
            <w:spacing w:val="-3"/>
            <w:sz w:val="20"/>
          </w:rPr>
          <w:t>la Corte</w:t>
        </w:r>
      </w:smartTag>
      <w:r>
        <w:rPr>
          <w:rFonts w:ascii="Verdana" w:hAnsi="Verdana"/>
          <w:spacing w:val="-3"/>
          <w:sz w:val="20"/>
        </w:rPr>
        <w:t xml:space="preserve"> adoptara un criterio más restrictivo en cuanto a la otorga de compensación por daño moral o inmaterial a los familiares inmediatos de las víct</w:t>
      </w:r>
      <w:r>
        <w:rPr>
          <w:rFonts w:ascii="Verdana" w:hAnsi="Verdana"/>
          <w:spacing w:val="-3"/>
          <w:sz w:val="20"/>
        </w:rPr>
        <w:t xml:space="preserve">imas fatales (cf. </w:t>
      </w:r>
      <w:r>
        <w:rPr>
          <w:rFonts w:ascii="Verdana" w:hAnsi="Verdana"/>
          <w:i/>
          <w:iCs/>
          <w:spacing w:val="-3"/>
          <w:sz w:val="20"/>
        </w:rPr>
        <w:t>supra</w:t>
      </w:r>
      <w:r>
        <w:rPr>
          <w:rFonts w:ascii="Verdana" w:hAnsi="Verdana"/>
          <w:spacing w:val="-3"/>
          <w:sz w:val="20"/>
        </w:rPr>
        <w:t xml:space="preserve">), también víctimas directas </w:t>
      </w:r>
      <w:r>
        <w:rPr>
          <w:rFonts w:ascii="Verdana" w:hAnsi="Verdana"/>
          <w:i/>
          <w:iCs/>
          <w:spacing w:val="-3"/>
          <w:sz w:val="20"/>
        </w:rPr>
        <w:t>lato sensu</w:t>
      </w:r>
      <w:r>
        <w:rPr>
          <w:rFonts w:ascii="Verdana" w:hAnsi="Verdana"/>
          <w:spacing w:val="-3"/>
          <w:sz w:val="20"/>
        </w:rPr>
        <w:t xml:space="preserve">. Como ya he señalado anteriormente, desde los casos </w:t>
      </w:r>
      <w:r>
        <w:rPr>
          <w:rFonts w:ascii="Verdana" w:hAnsi="Verdana"/>
          <w:i/>
          <w:iCs/>
          <w:spacing w:val="-3"/>
          <w:sz w:val="20"/>
        </w:rPr>
        <w:t>Blake versus Guatemala</w:t>
      </w:r>
      <w:r>
        <w:rPr>
          <w:rFonts w:ascii="Verdana" w:hAnsi="Verdana"/>
          <w:spacing w:val="-3"/>
          <w:sz w:val="20"/>
        </w:rPr>
        <w:t xml:space="preserve"> [fondo y reparaciones, 1998 y 1999] y </w:t>
      </w:r>
      <w:r>
        <w:rPr>
          <w:rFonts w:ascii="Verdana" w:hAnsi="Verdana"/>
          <w:i/>
          <w:iCs/>
          <w:spacing w:val="-3"/>
          <w:sz w:val="20"/>
        </w:rPr>
        <w:t>Bámaca Velásquez versus Guatemala</w:t>
      </w:r>
      <w:r>
        <w:rPr>
          <w:rFonts w:ascii="Verdana" w:hAnsi="Verdana"/>
          <w:spacing w:val="-3"/>
          <w:sz w:val="20"/>
        </w:rPr>
        <w:t xml:space="preserve"> [fondo y reparaciones, 2000-2002), seguidos, e</w:t>
      </w:r>
      <w:r>
        <w:rPr>
          <w:rFonts w:ascii="Verdana" w:hAnsi="Verdana"/>
          <w:spacing w:val="-3"/>
          <w:sz w:val="20"/>
        </w:rPr>
        <w:t>ntre otros, de los casos de los "</w:t>
      </w:r>
      <w:r>
        <w:rPr>
          <w:rFonts w:ascii="Verdana" w:hAnsi="Verdana"/>
          <w:i/>
          <w:iCs/>
          <w:spacing w:val="-3"/>
          <w:sz w:val="20"/>
        </w:rPr>
        <w:t xml:space="preserve">Niños de </w:t>
      </w:r>
      <w:smartTag w:uri="urn:schemas-microsoft-com:office:smarttags" w:element="PersonName">
        <w:smartTagPr>
          <w:attr w:name="ProductID" w:val="la Calle"/>
        </w:smartTagPr>
        <w:r>
          <w:rPr>
            <w:rFonts w:ascii="Verdana" w:hAnsi="Verdana"/>
            <w:i/>
            <w:iCs/>
            <w:spacing w:val="-3"/>
            <w:sz w:val="20"/>
          </w:rPr>
          <w:t>la Calle</w:t>
        </w:r>
      </w:smartTag>
      <w:r>
        <w:rPr>
          <w:rFonts w:ascii="Verdana" w:hAnsi="Verdana"/>
          <w:spacing w:val="-3"/>
          <w:sz w:val="20"/>
        </w:rPr>
        <w:t xml:space="preserve">" </w:t>
      </w:r>
      <w:r>
        <w:rPr>
          <w:rFonts w:ascii="Verdana" w:hAnsi="Verdana"/>
          <w:i/>
          <w:iCs/>
          <w:spacing w:val="-3"/>
          <w:sz w:val="20"/>
        </w:rPr>
        <w:t>(Villagrán Morales y Otros) versus Guatemala</w:t>
      </w:r>
      <w:r>
        <w:rPr>
          <w:rFonts w:ascii="Verdana" w:hAnsi="Verdana"/>
          <w:spacing w:val="-3"/>
          <w:sz w:val="20"/>
        </w:rPr>
        <w:t xml:space="preserve"> [reparaciones, 2001], y de </w:t>
      </w:r>
      <w:r>
        <w:rPr>
          <w:rFonts w:ascii="Verdana" w:hAnsi="Verdana"/>
          <w:i/>
          <w:iCs/>
          <w:spacing w:val="-3"/>
          <w:sz w:val="20"/>
        </w:rPr>
        <w:t>Bulacio versus Argentina</w:t>
      </w:r>
      <w:r>
        <w:rPr>
          <w:rFonts w:ascii="Verdana" w:hAnsi="Verdana"/>
          <w:spacing w:val="-3"/>
          <w:sz w:val="20"/>
        </w:rPr>
        <w:t xml:space="preserve"> [2003], seguidos de otros, </w:t>
      </w:r>
      <w:smartTag w:uri="urn:schemas-microsoft-com:office:smarttags" w:element="PersonName">
        <w:smartTagPr>
          <w:attr w:name="ProductID" w:val="la Corte"/>
        </w:smartTagPr>
        <w:r>
          <w:rPr>
            <w:rFonts w:ascii="Verdana" w:hAnsi="Verdana"/>
            <w:spacing w:val="-3"/>
            <w:sz w:val="20"/>
          </w:rPr>
          <w:t>la Corte</w:t>
        </w:r>
      </w:smartTag>
      <w:r>
        <w:rPr>
          <w:rFonts w:ascii="Verdana" w:hAnsi="Verdana"/>
          <w:spacing w:val="-3"/>
          <w:sz w:val="20"/>
        </w:rPr>
        <w:t xml:space="preserve"> ha acogido mi razonamiento en el sentido de dar reconocimiento judicial</w:t>
      </w:r>
      <w:r>
        <w:rPr>
          <w:rFonts w:ascii="Verdana" w:hAnsi="Verdana"/>
          <w:spacing w:val="-3"/>
          <w:sz w:val="20"/>
        </w:rPr>
        <w:t xml:space="preserve"> a la </w:t>
      </w:r>
      <w:r>
        <w:rPr>
          <w:rFonts w:ascii="Verdana" w:hAnsi="Verdana"/>
          <w:i/>
          <w:iCs/>
          <w:spacing w:val="-3"/>
          <w:sz w:val="20"/>
        </w:rPr>
        <w:t>ampliación de la noción de víctima</w:t>
      </w:r>
      <w:r>
        <w:rPr>
          <w:rFonts w:ascii="Verdana" w:hAnsi="Verdana"/>
          <w:spacing w:val="-3"/>
          <w:sz w:val="20"/>
        </w:rPr>
        <w:t>.</w:t>
      </w:r>
    </w:p>
    <w:p w:rsidR="00000000" w:rsidRDefault="00687F2E">
      <w:pPr>
        <w:jc w:val="both"/>
        <w:rPr>
          <w:rFonts w:ascii="Verdana" w:hAnsi="Verdana"/>
          <w:spacing w:val="-3"/>
          <w:sz w:val="20"/>
        </w:rPr>
      </w:pPr>
    </w:p>
    <w:p w:rsidR="00000000" w:rsidRDefault="00687F2E">
      <w:pPr>
        <w:jc w:val="both"/>
        <w:rPr>
          <w:rFonts w:ascii="Verdana" w:hAnsi="Verdana"/>
          <w:spacing w:val="-3"/>
          <w:sz w:val="20"/>
        </w:rPr>
      </w:pPr>
      <w:r>
        <w:rPr>
          <w:rFonts w:ascii="Verdana" w:hAnsi="Verdana"/>
          <w:spacing w:val="-3"/>
          <w:sz w:val="20"/>
        </w:rPr>
        <w:t>66.</w:t>
      </w:r>
      <w:r>
        <w:rPr>
          <w:rFonts w:ascii="Verdana" w:hAnsi="Verdana"/>
          <w:spacing w:val="-3"/>
          <w:sz w:val="20"/>
        </w:rPr>
        <w:tab/>
      </w:r>
      <w:smartTag w:uri="urn:schemas-microsoft-com:office:smarttags" w:element="PersonName">
        <w:smartTagPr>
          <w:attr w:name="ProductID" w:val="la Corte"/>
        </w:smartTagPr>
        <w:r>
          <w:rPr>
            <w:rFonts w:ascii="Verdana" w:hAnsi="Verdana"/>
            <w:spacing w:val="-3"/>
            <w:sz w:val="20"/>
          </w:rPr>
          <w:t>La Corte</w:t>
        </w:r>
      </w:smartTag>
      <w:r>
        <w:rPr>
          <w:rFonts w:ascii="Verdana" w:hAnsi="Verdana"/>
          <w:spacing w:val="-3"/>
          <w:sz w:val="20"/>
        </w:rPr>
        <w:t xml:space="preserve"> ha correctamente considerado como </w:t>
      </w:r>
      <w:r>
        <w:rPr>
          <w:rFonts w:ascii="Verdana" w:hAnsi="Verdana"/>
          <w:i/>
          <w:iCs/>
          <w:spacing w:val="-3"/>
          <w:sz w:val="20"/>
        </w:rPr>
        <w:t>parte lesionada</w:t>
      </w:r>
      <w:r>
        <w:rPr>
          <w:rFonts w:ascii="Verdana" w:hAnsi="Verdana"/>
          <w:spacing w:val="-3"/>
          <w:sz w:val="20"/>
        </w:rPr>
        <w:t xml:space="preserve"> no sólo a las víctimas directas de la violación del derecho a la vida (las víctimas torturadas y ejecutadas o desaparecidas), sino también a sus famil</w:t>
      </w:r>
      <w:r>
        <w:rPr>
          <w:rFonts w:ascii="Verdana" w:hAnsi="Verdana"/>
          <w:spacing w:val="-3"/>
          <w:sz w:val="20"/>
        </w:rPr>
        <w:t xml:space="preserve">iares inmediatos, víctimas directas - </w:t>
      </w:r>
      <w:r>
        <w:rPr>
          <w:rFonts w:ascii="Verdana" w:hAnsi="Verdana"/>
          <w:i/>
          <w:iCs/>
          <w:spacing w:val="-3"/>
          <w:sz w:val="20"/>
        </w:rPr>
        <w:t>lato sensu</w:t>
      </w:r>
      <w:r>
        <w:rPr>
          <w:rFonts w:ascii="Verdana" w:hAnsi="Verdana"/>
          <w:spacing w:val="-3"/>
          <w:sz w:val="20"/>
        </w:rPr>
        <w:t xml:space="preserve"> - de la violación del derecho a la integridad personal, como tales beneficiarios de reparaciones, por derecho propio</w:t>
      </w:r>
      <w:r>
        <w:rPr>
          <w:rStyle w:val="Refdenotaalpie"/>
          <w:rFonts w:cs="Courier New"/>
          <w:spacing w:val="-3"/>
          <w:sz w:val="20"/>
          <w:lang w:val="es-ES_tradnl"/>
        </w:rPr>
        <w:footnoteReference w:id="63"/>
      </w:r>
      <w:r>
        <w:rPr>
          <w:rFonts w:ascii="Verdana" w:hAnsi="Verdana"/>
          <w:spacing w:val="-3"/>
          <w:sz w:val="20"/>
        </w:rPr>
        <w:t>. En la misma línea de razonamiento, admitiendo la expansión de la noción de víctima, en e</w:t>
      </w:r>
      <w:r>
        <w:rPr>
          <w:rFonts w:ascii="Verdana" w:hAnsi="Verdana"/>
          <w:spacing w:val="-3"/>
          <w:sz w:val="20"/>
        </w:rPr>
        <w:t xml:space="preserve">l reciente ciclo de casos de masacres, </w:t>
      </w:r>
      <w:smartTag w:uri="urn:schemas-microsoft-com:office:smarttags" w:element="PersonName">
        <w:smartTagPr>
          <w:attr w:name="ProductID" w:val="la Corte"/>
        </w:smartTagPr>
        <w:r>
          <w:rPr>
            <w:rFonts w:ascii="Verdana" w:hAnsi="Verdana"/>
            <w:spacing w:val="-3"/>
            <w:sz w:val="20"/>
          </w:rPr>
          <w:t>la Corte</w:t>
        </w:r>
      </w:smartTag>
      <w:r>
        <w:rPr>
          <w:rFonts w:ascii="Verdana" w:hAnsi="Verdana"/>
          <w:spacing w:val="-3"/>
          <w:sz w:val="20"/>
        </w:rPr>
        <w:t xml:space="preserve"> ha considerado como "</w:t>
      </w:r>
      <w:r>
        <w:rPr>
          <w:rFonts w:ascii="Verdana" w:hAnsi="Verdana"/>
          <w:i/>
          <w:iCs/>
          <w:spacing w:val="-3"/>
          <w:sz w:val="20"/>
        </w:rPr>
        <w:t>víctimas</w:t>
      </w:r>
      <w:r>
        <w:rPr>
          <w:rFonts w:ascii="Verdana" w:hAnsi="Verdana"/>
          <w:spacing w:val="-3"/>
          <w:sz w:val="20"/>
        </w:rPr>
        <w:t>" o "</w:t>
      </w:r>
      <w:r>
        <w:rPr>
          <w:rFonts w:ascii="Verdana" w:hAnsi="Verdana"/>
          <w:i/>
          <w:iCs/>
          <w:spacing w:val="-3"/>
          <w:sz w:val="20"/>
        </w:rPr>
        <w:t>parte lesionada</w:t>
      </w:r>
      <w:r>
        <w:rPr>
          <w:rFonts w:ascii="Verdana" w:hAnsi="Verdana"/>
          <w:spacing w:val="-3"/>
          <w:sz w:val="20"/>
        </w:rPr>
        <w:t>" a las personas que guarden relación con los hechos descritos en la demanda así como en las pruebas presentadas o producidas ante ella</w:t>
      </w:r>
      <w:r>
        <w:rPr>
          <w:rStyle w:val="Refdenotaalpie"/>
          <w:rFonts w:cs="Courier New"/>
          <w:spacing w:val="-3"/>
          <w:sz w:val="20"/>
          <w:lang w:val="es-ES_tradnl"/>
        </w:rPr>
        <w:footnoteReference w:id="64"/>
      </w:r>
      <w:r>
        <w:rPr>
          <w:rFonts w:ascii="Verdana" w:hAnsi="Verdana"/>
          <w:spacing w:val="-3"/>
          <w:sz w:val="20"/>
        </w:rPr>
        <w:t xml:space="preserve">.  </w:t>
      </w:r>
    </w:p>
    <w:p w:rsidR="00000000" w:rsidRDefault="00687F2E">
      <w:pPr>
        <w:jc w:val="both"/>
        <w:rPr>
          <w:rFonts w:ascii="Verdana" w:hAnsi="Verdana"/>
          <w:spacing w:val="-3"/>
          <w:sz w:val="20"/>
        </w:rPr>
      </w:pPr>
    </w:p>
    <w:p w:rsidR="00000000" w:rsidRDefault="00687F2E">
      <w:pPr>
        <w:jc w:val="both"/>
        <w:rPr>
          <w:rFonts w:ascii="Verdana" w:hAnsi="Verdana"/>
          <w:spacing w:val="-3"/>
          <w:sz w:val="20"/>
        </w:rPr>
      </w:pPr>
      <w:r>
        <w:rPr>
          <w:rFonts w:ascii="Verdana" w:hAnsi="Verdana"/>
          <w:spacing w:val="-3"/>
          <w:sz w:val="20"/>
        </w:rPr>
        <w:t>67.</w:t>
      </w:r>
      <w:r>
        <w:rPr>
          <w:rFonts w:ascii="Verdana" w:hAnsi="Verdana"/>
          <w:spacing w:val="-3"/>
          <w:sz w:val="20"/>
        </w:rPr>
        <w:tab/>
        <w:t>Los anteriorme</w:t>
      </w:r>
      <w:r>
        <w:rPr>
          <w:rFonts w:ascii="Verdana" w:hAnsi="Verdana"/>
          <w:spacing w:val="-3"/>
          <w:sz w:val="20"/>
        </w:rPr>
        <w:t xml:space="preserve">nte citados casos de masacres, resueltos por </w:t>
      </w:r>
      <w:smartTag w:uri="urn:schemas-microsoft-com:office:smarttags" w:element="PersonName">
        <w:smartTagPr>
          <w:attr w:name="ProductID" w:val="la Corte Interamericana"/>
        </w:smartTagPr>
        <w:r>
          <w:rPr>
            <w:rFonts w:ascii="Verdana" w:hAnsi="Verdana"/>
            <w:spacing w:val="-3"/>
            <w:sz w:val="20"/>
          </w:rPr>
          <w:t>la Corte Interamericana</w:t>
        </w:r>
      </w:smartTag>
      <w:r>
        <w:rPr>
          <w:rFonts w:ascii="Verdana" w:hAnsi="Verdana"/>
          <w:spacing w:val="-3"/>
          <w:sz w:val="20"/>
        </w:rPr>
        <w:t xml:space="preserve"> han, en un cierto sentido, en mi entendimiento, efectivamente trascendido la distinción entre </w:t>
      </w:r>
      <w:r>
        <w:rPr>
          <w:rFonts w:ascii="Verdana" w:hAnsi="Verdana"/>
          <w:spacing w:val="-3"/>
          <w:sz w:val="20"/>
        </w:rPr>
        <w:lastRenderedPageBreak/>
        <w:t xml:space="preserve">víctimas directas e indirectas, en favor de una </w:t>
      </w:r>
      <w:r>
        <w:rPr>
          <w:rFonts w:ascii="Verdana" w:hAnsi="Verdana"/>
          <w:i/>
          <w:iCs/>
          <w:spacing w:val="-3"/>
          <w:sz w:val="20"/>
        </w:rPr>
        <w:t>ampliación de la noción de víctima directa</w:t>
      </w:r>
      <w:r>
        <w:rPr>
          <w:rFonts w:ascii="Verdana" w:hAnsi="Verdana"/>
          <w:spacing w:val="-3"/>
          <w:sz w:val="20"/>
        </w:rPr>
        <w:t xml:space="preserve"> pr</w:t>
      </w:r>
      <w:r>
        <w:rPr>
          <w:rFonts w:ascii="Verdana" w:hAnsi="Verdana"/>
          <w:spacing w:val="-3"/>
          <w:sz w:val="20"/>
        </w:rPr>
        <w:t xml:space="preserve">opiamente dicha. Así, los familiares inmediatos de las </w:t>
      </w:r>
      <w:r>
        <w:rPr>
          <w:rFonts w:ascii="Verdana" w:hAnsi="Verdana"/>
          <w:i/>
          <w:iCs/>
          <w:spacing w:val="-3"/>
          <w:sz w:val="20"/>
        </w:rPr>
        <w:t>víctimas directas</w:t>
      </w:r>
      <w:r>
        <w:rPr>
          <w:rFonts w:ascii="Verdana" w:hAnsi="Verdana"/>
          <w:spacing w:val="-3"/>
          <w:sz w:val="20"/>
        </w:rPr>
        <w:t xml:space="preserve"> en consecuencia de la violación de su </w:t>
      </w:r>
      <w:r>
        <w:rPr>
          <w:rFonts w:ascii="Verdana" w:hAnsi="Verdana"/>
          <w:i/>
          <w:iCs/>
          <w:spacing w:val="-3"/>
          <w:sz w:val="20"/>
        </w:rPr>
        <w:t>derecho a la vida</w:t>
      </w:r>
      <w:r>
        <w:rPr>
          <w:rFonts w:ascii="Verdana" w:hAnsi="Verdana"/>
          <w:spacing w:val="-3"/>
          <w:sz w:val="20"/>
        </w:rPr>
        <w:t xml:space="preserve"> (i.e., los familiares inmediatos de las víctimas asesinadas o masacradas), tórnanse, a su vez, como consecuencia directa de la </w:t>
      </w:r>
      <w:r>
        <w:rPr>
          <w:rFonts w:ascii="Verdana" w:hAnsi="Verdana"/>
          <w:spacing w:val="-3"/>
          <w:sz w:val="20"/>
        </w:rPr>
        <w:t xml:space="preserve">muerte violenta de sus seres queridos, también </w:t>
      </w:r>
      <w:r>
        <w:rPr>
          <w:rFonts w:ascii="Verdana" w:hAnsi="Verdana"/>
          <w:i/>
          <w:iCs/>
          <w:spacing w:val="-3"/>
          <w:sz w:val="20"/>
        </w:rPr>
        <w:t>víctimas directas</w:t>
      </w:r>
      <w:r>
        <w:rPr>
          <w:rFonts w:ascii="Verdana" w:hAnsi="Verdana"/>
          <w:spacing w:val="-3"/>
          <w:sz w:val="20"/>
        </w:rPr>
        <w:t xml:space="preserve"> en virtud de la violación de su propio</w:t>
      </w:r>
      <w:r>
        <w:rPr>
          <w:rFonts w:ascii="Verdana" w:hAnsi="Verdana"/>
          <w:i/>
          <w:iCs/>
          <w:spacing w:val="-3"/>
          <w:sz w:val="20"/>
        </w:rPr>
        <w:t xml:space="preserve"> derecho a la integridad personal</w:t>
      </w:r>
      <w:r>
        <w:rPr>
          <w:rFonts w:ascii="Verdana" w:hAnsi="Verdana"/>
          <w:spacing w:val="-3"/>
          <w:sz w:val="20"/>
        </w:rPr>
        <w:t xml:space="preserve"> (integridad psíquica y moral, de los familiares inmediatos), seguida de la violación de su </w:t>
      </w:r>
      <w:r>
        <w:rPr>
          <w:rFonts w:ascii="Verdana" w:hAnsi="Verdana"/>
          <w:i/>
          <w:iCs/>
          <w:spacing w:val="-3"/>
          <w:sz w:val="20"/>
        </w:rPr>
        <w:t>derecho de acceso a la justi</w:t>
      </w:r>
      <w:r>
        <w:rPr>
          <w:rFonts w:ascii="Verdana" w:hAnsi="Verdana"/>
          <w:i/>
          <w:iCs/>
          <w:spacing w:val="-3"/>
          <w:sz w:val="20"/>
        </w:rPr>
        <w:t>cia y a las garantías del debido proceso legal</w:t>
      </w:r>
      <w:r>
        <w:rPr>
          <w:rStyle w:val="Refdenotaalpie"/>
          <w:rFonts w:cs="Courier New"/>
          <w:spacing w:val="-3"/>
          <w:sz w:val="20"/>
          <w:lang w:val="es-ES_tradnl"/>
        </w:rPr>
        <w:footnoteReference w:id="65"/>
      </w:r>
      <w:r>
        <w:rPr>
          <w:rFonts w:ascii="Verdana" w:hAnsi="Verdana"/>
          <w:spacing w:val="-3"/>
          <w:sz w:val="20"/>
        </w:rPr>
        <w:t xml:space="preserve">. </w:t>
      </w:r>
    </w:p>
    <w:p w:rsidR="00000000" w:rsidRDefault="00687F2E">
      <w:pPr>
        <w:jc w:val="both"/>
        <w:rPr>
          <w:rFonts w:ascii="Verdana" w:hAnsi="Verdana"/>
          <w:spacing w:val="-3"/>
          <w:sz w:val="20"/>
        </w:rPr>
      </w:pPr>
    </w:p>
    <w:p w:rsidR="00000000" w:rsidRDefault="00687F2E">
      <w:pPr>
        <w:jc w:val="both"/>
        <w:rPr>
          <w:rFonts w:ascii="Verdana" w:hAnsi="Verdana"/>
          <w:spacing w:val="-3"/>
          <w:sz w:val="20"/>
        </w:rPr>
      </w:pPr>
      <w:r>
        <w:rPr>
          <w:rFonts w:ascii="Verdana" w:hAnsi="Verdana"/>
          <w:spacing w:val="-3"/>
          <w:sz w:val="20"/>
        </w:rPr>
        <w:t>68.</w:t>
      </w:r>
      <w:r>
        <w:rPr>
          <w:rFonts w:ascii="Verdana" w:hAnsi="Verdana"/>
          <w:spacing w:val="-3"/>
          <w:sz w:val="20"/>
        </w:rPr>
        <w:tab/>
        <w:t xml:space="preserve">Así como la lista de víctimas directas de la violación del derecho a la vida es dejada en abierto, en recientes casos de masacres de gran complejidad (cf. </w:t>
      </w:r>
      <w:r>
        <w:rPr>
          <w:rFonts w:ascii="Verdana" w:hAnsi="Verdana"/>
          <w:i/>
          <w:iCs/>
          <w:spacing w:val="-3"/>
          <w:sz w:val="20"/>
        </w:rPr>
        <w:t>supra</w:t>
      </w:r>
      <w:r>
        <w:rPr>
          <w:rFonts w:ascii="Verdana" w:hAnsi="Verdana"/>
          <w:spacing w:val="-3"/>
          <w:sz w:val="20"/>
        </w:rPr>
        <w:t xml:space="preserve">), también la lista de víctimas directas </w:t>
      </w:r>
      <w:r>
        <w:rPr>
          <w:rFonts w:ascii="Verdana" w:hAnsi="Verdana"/>
          <w:spacing w:val="-3"/>
          <w:sz w:val="20"/>
        </w:rPr>
        <w:t>de la violación del derecho a la integridad personal (los familiares inmediatos de aquéllas) puede en ciertas circunstancias ser dejada abierta, siempre y cuando existan grandes dificultades de pronta identificación. Es esta la óptica que debe adoptar un t</w:t>
      </w:r>
      <w:r>
        <w:rPr>
          <w:rFonts w:ascii="Verdana" w:hAnsi="Verdana"/>
          <w:spacing w:val="-3"/>
          <w:sz w:val="20"/>
        </w:rPr>
        <w:t xml:space="preserve">ribunal internacional de derechos humanos, distinta del </w:t>
      </w:r>
      <w:r>
        <w:rPr>
          <w:rFonts w:ascii="Verdana" w:hAnsi="Verdana"/>
          <w:i/>
          <w:iCs/>
          <w:spacing w:val="-3"/>
          <w:sz w:val="20"/>
        </w:rPr>
        <w:t>modus operandi</w:t>
      </w:r>
      <w:r>
        <w:rPr>
          <w:rFonts w:ascii="Verdana" w:hAnsi="Verdana"/>
          <w:spacing w:val="-3"/>
          <w:sz w:val="20"/>
        </w:rPr>
        <w:t xml:space="preserve"> usual de los tribunales penales nacionales. Aquí se impone la continuada ampliación, y no la restricción, de la condición de víctima bajo </w:t>
      </w:r>
      <w:smartTag w:uri="urn:schemas-microsoft-com:office:smarttags" w:element="PersonName">
        <w:smartTagPr>
          <w:attr w:name="ProductID" w:val="la Convenci￳n Americana"/>
        </w:smartTagPr>
        <w:r>
          <w:rPr>
            <w:rFonts w:ascii="Verdana" w:hAnsi="Verdana"/>
            <w:spacing w:val="-3"/>
            <w:sz w:val="20"/>
          </w:rPr>
          <w:t>la Convención Americana</w:t>
        </w:r>
      </w:smartTag>
      <w:r>
        <w:rPr>
          <w:rFonts w:ascii="Verdana" w:hAnsi="Verdana"/>
          <w:spacing w:val="-3"/>
          <w:sz w:val="20"/>
        </w:rPr>
        <w:t xml:space="preserve"> sobre Derechos Humanos.</w:t>
      </w:r>
    </w:p>
    <w:p w:rsidR="00000000" w:rsidRDefault="00687F2E">
      <w:pPr>
        <w:jc w:val="both"/>
        <w:rPr>
          <w:rFonts w:ascii="Verdana" w:hAnsi="Verdana"/>
          <w:spacing w:val="-3"/>
          <w:sz w:val="20"/>
        </w:rPr>
      </w:pPr>
    </w:p>
    <w:p w:rsidR="00000000" w:rsidRDefault="00687F2E">
      <w:pPr>
        <w:jc w:val="both"/>
        <w:rPr>
          <w:rFonts w:ascii="Verdana" w:hAnsi="Verdana"/>
          <w:spacing w:val="-3"/>
          <w:sz w:val="20"/>
        </w:rPr>
      </w:pPr>
      <w:r>
        <w:rPr>
          <w:rFonts w:ascii="Verdana" w:hAnsi="Verdana"/>
          <w:spacing w:val="-3"/>
          <w:sz w:val="20"/>
        </w:rPr>
        <w:t>69.</w:t>
      </w:r>
      <w:r>
        <w:rPr>
          <w:rFonts w:ascii="Verdana" w:hAnsi="Verdana"/>
          <w:spacing w:val="-3"/>
          <w:sz w:val="20"/>
        </w:rPr>
        <w:tab/>
        <w:t>La evolución jurisprudencial en este sentido es comprensible y alentadora: al fin y al cabo, la reacción del Derecho a sus violaciones en perjuicio de la persona humana es proporcional a la gravedad de los hechos, de las violaciones de los derechos p</w:t>
      </w:r>
      <w:r>
        <w:rPr>
          <w:rFonts w:ascii="Verdana" w:hAnsi="Verdana"/>
          <w:spacing w:val="-3"/>
          <w:sz w:val="20"/>
        </w:rPr>
        <w:t xml:space="preserve">rotegidos. Espero que estas reflexiones </w:t>
      </w:r>
      <w:r>
        <w:rPr>
          <w:rFonts w:ascii="Verdana" w:hAnsi="Verdana"/>
          <w:i/>
          <w:iCs/>
          <w:spacing w:val="-3"/>
          <w:sz w:val="20"/>
        </w:rPr>
        <w:t>de lege ferenda</w:t>
      </w:r>
      <w:r>
        <w:rPr>
          <w:rFonts w:ascii="Verdana" w:hAnsi="Verdana"/>
          <w:spacing w:val="-3"/>
          <w:sz w:val="20"/>
        </w:rPr>
        <w:t xml:space="preserve"> puedan servir para que </w:t>
      </w:r>
      <w:smartTag w:uri="urn:schemas-microsoft-com:office:smarttags" w:element="PersonName">
        <w:smartTagPr>
          <w:attr w:name="ProductID" w:val="la Corte"/>
        </w:smartTagPr>
        <w:r>
          <w:rPr>
            <w:rFonts w:ascii="Verdana" w:hAnsi="Verdana"/>
            <w:spacing w:val="-3"/>
            <w:sz w:val="20"/>
          </w:rPr>
          <w:t>la Corte</w:t>
        </w:r>
      </w:smartTag>
      <w:r>
        <w:rPr>
          <w:rFonts w:ascii="Verdana" w:hAnsi="Verdana"/>
          <w:spacing w:val="-3"/>
          <w:sz w:val="20"/>
        </w:rPr>
        <w:t xml:space="preserve"> retome prontamente esta construcción jurisprudencial y sepa de ella extraer las consecuencias para responder siempre, con eficacia cada vez mayor, a eventuales violacio</w:t>
      </w:r>
      <w:r>
        <w:rPr>
          <w:rFonts w:ascii="Verdana" w:hAnsi="Verdana"/>
          <w:spacing w:val="-3"/>
          <w:sz w:val="20"/>
        </w:rPr>
        <w:t xml:space="preserve">nes graves y recurrentes de los derechos humanos, y combatir la impunidad, buscando, de ese modo, evitar que vengan a repetirse. </w:t>
      </w:r>
    </w:p>
    <w:p w:rsidR="00000000" w:rsidRDefault="00687F2E">
      <w:pPr>
        <w:jc w:val="both"/>
        <w:rPr>
          <w:rFonts w:ascii="Verdana" w:hAnsi="Verdana"/>
          <w:spacing w:val="-3"/>
          <w:sz w:val="20"/>
        </w:rPr>
      </w:pPr>
    </w:p>
    <w:p w:rsidR="00000000" w:rsidRDefault="00687F2E">
      <w:pPr>
        <w:jc w:val="both"/>
        <w:rPr>
          <w:rFonts w:ascii="Verdana" w:hAnsi="Verdana"/>
          <w:spacing w:val="-3"/>
          <w:sz w:val="20"/>
        </w:rPr>
      </w:pPr>
      <w:r>
        <w:rPr>
          <w:rFonts w:ascii="Verdana" w:hAnsi="Verdana"/>
          <w:b/>
          <w:bCs/>
          <w:spacing w:val="-3"/>
          <w:sz w:val="20"/>
        </w:rPr>
        <w:tab/>
        <w:t xml:space="preserve">V. </w:t>
      </w:r>
      <w:r>
        <w:rPr>
          <w:rFonts w:ascii="Verdana" w:hAnsi="Verdana"/>
          <w:b/>
          <w:bCs/>
          <w:spacing w:val="-3"/>
          <w:sz w:val="20"/>
        </w:rPr>
        <w:tab/>
        <w:t>Epílogo: Consideraciones Finales.</w:t>
      </w:r>
    </w:p>
    <w:p w:rsidR="00000000" w:rsidRDefault="00687F2E">
      <w:pPr>
        <w:jc w:val="both"/>
        <w:rPr>
          <w:rFonts w:ascii="Verdana" w:hAnsi="Verdana"/>
          <w:spacing w:val="-3"/>
          <w:sz w:val="20"/>
        </w:rPr>
      </w:pPr>
    </w:p>
    <w:p w:rsidR="00000000" w:rsidRDefault="00687F2E">
      <w:pPr>
        <w:jc w:val="both"/>
        <w:rPr>
          <w:rFonts w:ascii="Verdana" w:hAnsi="Verdana"/>
          <w:spacing w:val="-3"/>
          <w:sz w:val="20"/>
        </w:rPr>
      </w:pPr>
      <w:r>
        <w:rPr>
          <w:rFonts w:ascii="Verdana" w:hAnsi="Verdana"/>
          <w:spacing w:val="-3"/>
          <w:sz w:val="20"/>
        </w:rPr>
        <w:t xml:space="preserve">70. </w:t>
      </w:r>
      <w:r>
        <w:rPr>
          <w:rFonts w:ascii="Verdana" w:hAnsi="Verdana"/>
          <w:spacing w:val="-3"/>
          <w:sz w:val="20"/>
        </w:rPr>
        <w:tab/>
        <w:t>Todavía no he concluido este Voto Razonado, pues quisiera, antes de hacerlo, vol</w:t>
      </w:r>
      <w:r>
        <w:rPr>
          <w:rFonts w:ascii="Verdana" w:hAnsi="Verdana"/>
          <w:spacing w:val="-3"/>
          <w:sz w:val="20"/>
        </w:rPr>
        <w:t xml:space="preserve">ver a mi punto de partida. Actuar en </w:t>
      </w:r>
      <w:smartTag w:uri="urn:schemas-microsoft-com:office:smarttags" w:element="PersonName">
        <w:smartTagPr>
          <w:attr w:name="ProductID" w:val="la Corte Interamericana"/>
        </w:smartTagPr>
        <w:r>
          <w:rPr>
            <w:rFonts w:ascii="Verdana" w:hAnsi="Verdana"/>
            <w:spacing w:val="-3"/>
            <w:sz w:val="20"/>
          </w:rPr>
          <w:t>la Corte Interamericana</w:t>
        </w:r>
      </w:smartTag>
      <w:r>
        <w:rPr>
          <w:rFonts w:ascii="Verdana" w:hAnsi="Verdana"/>
          <w:spacing w:val="-3"/>
          <w:sz w:val="20"/>
        </w:rPr>
        <w:t xml:space="preserve"> es como convivir con la tragedia de la vulnerable condición humana, de las injusticias y la violencia que la circundan y amenazan. Es como estar en un barco en la alta-mar borrascosa, en que no h</w:t>
      </w:r>
      <w:r>
        <w:rPr>
          <w:rFonts w:ascii="Verdana" w:hAnsi="Verdana"/>
          <w:spacing w:val="-3"/>
          <w:sz w:val="20"/>
        </w:rPr>
        <w:t>ay como evitar las tormentas: hay, más bien, que enfrentarlas. Si ocurren violaciones graves de derechos humanos, afectando círculos crecientes de personas, no será intentando restringir la condición de beneficiarios de reparaciones (mediante, v.g., la imp</w:t>
      </w:r>
      <w:r>
        <w:rPr>
          <w:rFonts w:ascii="Verdana" w:hAnsi="Verdana"/>
          <w:spacing w:val="-3"/>
          <w:sz w:val="20"/>
        </w:rPr>
        <w:t>osición de una carga de la prueba más pesada sobre estos últimos), no será intentando frenar la ampliación jurisprudencial de la noción de víctima, que se fortalecerá la protección internacional de los derechos humanos.</w:t>
      </w:r>
    </w:p>
    <w:p w:rsidR="00000000" w:rsidRDefault="00687F2E">
      <w:pPr>
        <w:jc w:val="both"/>
        <w:rPr>
          <w:rFonts w:ascii="Verdana" w:hAnsi="Verdana"/>
          <w:spacing w:val="-3"/>
          <w:sz w:val="20"/>
        </w:rPr>
      </w:pPr>
    </w:p>
    <w:p w:rsidR="00000000" w:rsidRDefault="00687F2E">
      <w:pPr>
        <w:jc w:val="both"/>
        <w:rPr>
          <w:rFonts w:ascii="Verdana" w:hAnsi="Verdana"/>
          <w:spacing w:val="-3"/>
          <w:sz w:val="20"/>
        </w:rPr>
      </w:pPr>
      <w:r>
        <w:rPr>
          <w:rFonts w:ascii="Verdana" w:hAnsi="Verdana"/>
          <w:spacing w:val="-3"/>
          <w:sz w:val="20"/>
        </w:rPr>
        <w:t>71.</w:t>
      </w:r>
      <w:r>
        <w:rPr>
          <w:rFonts w:ascii="Verdana" w:hAnsi="Verdana"/>
          <w:spacing w:val="-3"/>
          <w:sz w:val="20"/>
        </w:rPr>
        <w:tab/>
        <w:t>Todo lo contrario. Si existe un</w:t>
      </w:r>
      <w:r>
        <w:rPr>
          <w:rFonts w:ascii="Verdana" w:hAnsi="Verdana"/>
          <w:spacing w:val="-3"/>
          <w:sz w:val="20"/>
        </w:rPr>
        <w:t xml:space="preserve"> número creciente de beneficiarios de reparaciones, en su propio derecho, esto ocurre en consecuencia de la gravedad de las violaciones de derechos humanos en perjuicio de las personas torturadas, asesinadas o desaparecidas, victimando directamente también</w:t>
      </w:r>
      <w:r>
        <w:rPr>
          <w:rFonts w:ascii="Verdana" w:hAnsi="Verdana"/>
          <w:spacing w:val="-3"/>
          <w:sz w:val="20"/>
        </w:rPr>
        <w:t xml:space="preserve"> a sus familiares inmediatos. Hay que asumir las consecuencias jurídicas de dichas violaciones, sin acudir al subterfugio de exigir de los familiares inmediatos pruebas adicionales de sufrimiento (como si esto fuera posible...), de perjuicio o del daño inm</w:t>
      </w:r>
      <w:r>
        <w:rPr>
          <w:rFonts w:ascii="Verdana" w:hAnsi="Verdana"/>
          <w:spacing w:val="-3"/>
          <w:sz w:val="20"/>
        </w:rPr>
        <w:t>aterial. Si uno no está dispuesto a enfrentar con determinación las grandes olas de la tormenta en la alta-mar, mejor no ingresar en el barco.</w:t>
      </w:r>
    </w:p>
    <w:p w:rsidR="00000000" w:rsidRDefault="00687F2E">
      <w:pPr>
        <w:jc w:val="both"/>
        <w:rPr>
          <w:rFonts w:ascii="Verdana" w:hAnsi="Verdana"/>
          <w:spacing w:val="-3"/>
          <w:sz w:val="20"/>
        </w:rPr>
      </w:pPr>
    </w:p>
    <w:p w:rsidR="00000000" w:rsidRDefault="00687F2E">
      <w:pPr>
        <w:jc w:val="both"/>
        <w:rPr>
          <w:rFonts w:ascii="Verdana" w:hAnsi="Verdana"/>
          <w:spacing w:val="-3"/>
          <w:sz w:val="20"/>
        </w:rPr>
      </w:pPr>
      <w:r>
        <w:rPr>
          <w:rFonts w:ascii="Verdana" w:hAnsi="Verdana"/>
          <w:spacing w:val="-3"/>
          <w:sz w:val="20"/>
        </w:rPr>
        <w:t>72.</w:t>
      </w:r>
      <w:r>
        <w:rPr>
          <w:rFonts w:ascii="Verdana" w:hAnsi="Verdana"/>
          <w:spacing w:val="-3"/>
          <w:sz w:val="20"/>
        </w:rPr>
        <w:tab/>
        <w:t>Quizás las reflexiones personales que dejo consignadas en este Voto Razonado, suscitadas por la materia trat</w:t>
      </w:r>
      <w:r>
        <w:rPr>
          <w:rFonts w:ascii="Verdana" w:hAnsi="Verdana"/>
          <w:spacing w:val="-3"/>
          <w:sz w:val="20"/>
        </w:rPr>
        <w:t xml:space="preserve">ada en la presente Sentencia de Interpretación en el caso </w:t>
      </w:r>
      <w:smartTag w:uri="urn:schemas-microsoft-com:office:smarttags" w:element="PersonName">
        <w:smartTagPr>
          <w:attr w:name="ProductID" w:val="La Cantuta"/>
        </w:smartTagPr>
        <w:r>
          <w:rPr>
            <w:rFonts w:ascii="Verdana" w:hAnsi="Verdana"/>
            <w:i/>
            <w:iCs/>
            <w:spacing w:val="-3"/>
            <w:sz w:val="20"/>
          </w:rPr>
          <w:t>La Cantuta</w:t>
        </w:r>
      </w:smartTag>
      <w:r>
        <w:rPr>
          <w:rFonts w:ascii="Verdana" w:hAnsi="Verdana"/>
          <w:spacing w:val="-3"/>
          <w:sz w:val="20"/>
        </w:rPr>
        <w:t xml:space="preserve">, puedan ser tomadas en cuenta por alguna nueva composición de </w:t>
      </w:r>
      <w:smartTag w:uri="urn:schemas-microsoft-com:office:smarttags" w:element="PersonName">
        <w:smartTagPr>
          <w:attr w:name="ProductID" w:val="la Corte"/>
        </w:smartTagPr>
        <w:r>
          <w:rPr>
            <w:rFonts w:ascii="Verdana" w:hAnsi="Verdana"/>
            <w:spacing w:val="-3"/>
            <w:sz w:val="20"/>
          </w:rPr>
          <w:t>la Corte</w:t>
        </w:r>
      </w:smartTag>
      <w:r>
        <w:rPr>
          <w:rFonts w:ascii="Verdana" w:hAnsi="Verdana"/>
          <w:spacing w:val="-3"/>
          <w:sz w:val="20"/>
        </w:rPr>
        <w:t>, en los próximos años. Por el momento, algunos frenos jurisprudenciales en que ha incurrido el Tribunal recientement</w:t>
      </w:r>
      <w:r>
        <w:rPr>
          <w:rFonts w:ascii="Verdana" w:hAnsi="Verdana"/>
          <w:spacing w:val="-3"/>
          <w:sz w:val="20"/>
        </w:rPr>
        <w:t>e, me dificultan la tarea de extraer las lecciones inmersas bajo las olas que por el barco ya pasaron, y que gradualmente se distancian en el espacio y el tiempo. Pero insisto en hacerlo, con la misma tenacidad con que enfrenté con mis pares las olas torme</w:t>
      </w:r>
      <w:r>
        <w:rPr>
          <w:rFonts w:ascii="Verdana" w:hAnsi="Verdana"/>
          <w:spacing w:val="-3"/>
          <w:sz w:val="20"/>
        </w:rPr>
        <w:t xml:space="preserve">ntosas que del barco (de </w:t>
      </w:r>
      <w:smartTag w:uri="urn:schemas-microsoft-com:office:smarttags" w:element="PersonName">
        <w:smartTagPr>
          <w:attr w:name="ProductID" w:val="la Corte"/>
        </w:smartTagPr>
        <w:r>
          <w:rPr>
            <w:rFonts w:ascii="Verdana" w:hAnsi="Verdana"/>
            <w:spacing w:val="-3"/>
            <w:sz w:val="20"/>
          </w:rPr>
          <w:t>la Corte</w:t>
        </w:r>
      </w:smartTag>
      <w:r>
        <w:rPr>
          <w:rFonts w:ascii="Verdana" w:hAnsi="Verdana"/>
          <w:spacing w:val="-3"/>
          <w:sz w:val="20"/>
        </w:rPr>
        <w:t xml:space="preserve">) otrora se aproximaban amenazadoramente, pero no sin hoy lamentar, una y otra vez, como el experimentado marinero (sobreviviente de </w:t>
      </w:r>
      <w:smartTag w:uri="urn:schemas-microsoft-com:office:smarttags" w:element="PersonName">
        <w:smartTagPr>
          <w:attr w:name="ProductID" w:val="la Corte"/>
        </w:smartTagPr>
        <w:r>
          <w:rPr>
            <w:rFonts w:ascii="Verdana" w:hAnsi="Verdana"/>
            <w:spacing w:val="-3"/>
            <w:sz w:val="20"/>
          </w:rPr>
          <w:t>la Corte</w:t>
        </w:r>
      </w:smartTag>
      <w:r>
        <w:rPr>
          <w:rFonts w:ascii="Verdana" w:hAnsi="Verdana"/>
          <w:spacing w:val="-3"/>
          <w:sz w:val="20"/>
        </w:rPr>
        <w:t xml:space="preserve">) anteriormente mencionado: </w:t>
      </w:r>
    </w:p>
    <w:p w:rsidR="00000000" w:rsidRDefault="00687F2E">
      <w:pPr>
        <w:jc w:val="both"/>
        <w:rPr>
          <w:rFonts w:ascii="Verdana" w:hAnsi="Verdana"/>
          <w:spacing w:val="-3"/>
          <w:sz w:val="20"/>
        </w:rPr>
      </w:pPr>
    </w:p>
    <w:p w:rsidR="00000000" w:rsidRDefault="00687F2E">
      <w:pPr>
        <w:jc w:val="both"/>
        <w:rPr>
          <w:rFonts w:ascii="Verdana" w:hAnsi="Verdana"/>
          <w:spacing w:val="-3"/>
          <w:sz w:val="20"/>
          <w:lang w:val="en-GB"/>
        </w:rPr>
      </w:pPr>
      <w:r>
        <w:rPr>
          <w:rFonts w:ascii="Verdana" w:hAnsi="Verdana"/>
          <w:spacing w:val="-3"/>
          <w:sz w:val="20"/>
        </w:rPr>
        <w:tab/>
      </w:r>
      <w:r>
        <w:rPr>
          <w:rFonts w:ascii="Verdana" w:hAnsi="Verdana"/>
          <w:spacing w:val="-3"/>
          <w:sz w:val="20"/>
          <w:lang w:val="en-GB"/>
        </w:rPr>
        <w:t>"I viewed the ocean green,</w:t>
      </w:r>
    </w:p>
    <w:p w:rsidR="00000000" w:rsidRDefault="00687F2E">
      <w:pPr>
        <w:jc w:val="both"/>
        <w:rPr>
          <w:rFonts w:ascii="Verdana" w:hAnsi="Verdana"/>
          <w:spacing w:val="-3"/>
          <w:sz w:val="20"/>
          <w:lang w:val="en-GB"/>
        </w:rPr>
      </w:pPr>
      <w:r>
        <w:rPr>
          <w:rFonts w:ascii="Verdana" w:hAnsi="Verdana"/>
          <w:spacing w:val="-3"/>
          <w:sz w:val="20"/>
          <w:lang w:val="en-GB"/>
        </w:rPr>
        <w:tab/>
        <w:t>And looked far forth, y</w:t>
      </w:r>
      <w:r>
        <w:rPr>
          <w:rFonts w:ascii="Verdana" w:hAnsi="Verdana"/>
          <w:spacing w:val="-3"/>
          <w:sz w:val="20"/>
          <w:lang w:val="en-GB"/>
        </w:rPr>
        <w:t>et little saw</w:t>
      </w:r>
    </w:p>
    <w:p w:rsidR="00000000" w:rsidRDefault="00687F2E">
      <w:pPr>
        <w:jc w:val="both"/>
        <w:rPr>
          <w:rFonts w:ascii="Verdana" w:hAnsi="Verdana"/>
          <w:spacing w:val="-3"/>
          <w:sz w:val="20"/>
          <w:lang w:val="en-GB"/>
        </w:rPr>
      </w:pPr>
      <w:r>
        <w:rPr>
          <w:rFonts w:ascii="Verdana" w:hAnsi="Verdana"/>
          <w:spacing w:val="-3"/>
          <w:sz w:val="20"/>
          <w:lang w:val="en-GB"/>
        </w:rPr>
        <w:tab/>
        <w:t>Of what had else been seen"</w:t>
      </w:r>
      <w:r>
        <w:rPr>
          <w:rStyle w:val="Refdenotaalpie"/>
          <w:rFonts w:cs="Courier New"/>
          <w:spacing w:val="-3"/>
          <w:sz w:val="20"/>
          <w:lang w:val="es-ES_tradnl"/>
        </w:rPr>
        <w:footnoteReference w:id="66"/>
      </w:r>
      <w:r>
        <w:rPr>
          <w:rFonts w:ascii="Verdana" w:hAnsi="Verdana"/>
          <w:spacing w:val="-3"/>
          <w:sz w:val="20"/>
          <w:lang w:val="en-GB"/>
        </w:rPr>
        <w:t xml:space="preserve">.       </w:t>
      </w:r>
      <w:r>
        <w:rPr>
          <w:rFonts w:ascii="Verdana" w:hAnsi="Verdana"/>
          <w:spacing w:val="-3"/>
          <w:sz w:val="20"/>
          <w:lang w:val="en-GB"/>
        </w:rPr>
        <w:tab/>
      </w:r>
    </w:p>
    <w:p w:rsidR="00000000" w:rsidRDefault="00687F2E">
      <w:pPr>
        <w:jc w:val="both"/>
        <w:rPr>
          <w:rFonts w:ascii="Verdana" w:hAnsi="Verdana"/>
          <w:spacing w:val="-3"/>
          <w:sz w:val="20"/>
          <w:lang w:val="en-GB"/>
        </w:rPr>
      </w:pPr>
    </w:p>
    <w:p w:rsidR="00000000" w:rsidRDefault="00687F2E">
      <w:pPr>
        <w:jc w:val="both"/>
        <w:rPr>
          <w:rFonts w:ascii="Verdana" w:hAnsi="Verdana"/>
          <w:spacing w:val="-3"/>
          <w:sz w:val="20"/>
        </w:rPr>
      </w:pPr>
      <w:r>
        <w:rPr>
          <w:rFonts w:ascii="Verdana" w:hAnsi="Verdana"/>
          <w:spacing w:val="-3"/>
          <w:sz w:val="20"/>
        </w:rPr>
        <w:t>73.</w:t>
      </w:r>
      <w:r>
        <w:rPr>
          <w:rFonts w:ascii="Verdana" w:hAnsi="Verdana"/>
          <w:spacing w:val="-3"/>
          <w:sz w:val="20"/>
        </w:rPr>
        <w:tab/>
        <w:t>En la labor de protección internacional de los derechos humanos, no hay, a mi juicio, espacio para pragmatismo: la postura de los que en ella actúan no puede ser otra que la principista y humanista.</w:t>
      </w:r>
      <w:r>
        <w:rPr>
          <w:rFonts w:ascii="Verdana" w:hAnsi="Verdana"/>
          <w:spacing w:val="-3"/>
          <w:sz w:val="20"/>
        </w:rPr>
        <w:t xml:space="preserve"> Esta requiere, a mi juicio, para la correcta interpretación y aplicación del derecho aplicable: primero, el rechazo de enfoques autoritarios o herméticos o dogmáticos de este último; segundo, la confianza en la razón humana, la </w:t>
      </w:r>
      <w:r>
        <w:rPr>
          <w:rFonts w:ascii="Verdana" w:hAnsi="Verdana"/>
          <w:i/>
          <w:iCs/>
          <w:spacing w:val="-3"/>
          <w:sz w:val="20"/>
        </w:rPr>
        <w:t>recta ratio</w:t>
      </w:r>
      <w:r>
        <w:rPr>
          <w:rFonts w:ascii="Verdana" w:hAnsi="Verdana"/>
          <w:spacing w:val="-3"/>
          <w:sz w:val="20"/>
        </w:rPr>
        <w:t>; tercero, la co</w:t>
      </w:r>
      <w:r>
        <w:rPr>
          <w:rFonts w:ascii="Verdana" w:hAnsi="Verdana"/>
          <w:spacing w:val="-3"/>
          <w:sz w:val="20"/>
        </w:rPr>
        <w:t>nciencia de las necesidades de protección, entre las cuales se sitúa la realización de la justicia; cuarto, la atención a las lecciones de la experiencia en materia de protección; y quinto, la combinación de la razón con la persuasión, en la necesaria fund</w:t>
      </w:r>
      <w:r>
        <w:rPr>
          <w:rFonts w:ascii="Verdana" w:hAnsi="Verdana"/>
          <w:spacing w:val="-3"/>
          <w:sz w:val="20"/>
        </w:rPr>
        <w:t xml:space="preserve">amentación de cada resolución de los casos contenciosos, e inclusive de cada Sentencia de Interpretación.  </w:t>
      </w:r>
    </w:p>
    <w:p w:rsidR="00000000" w:rsidRDefault="00687F2E">
      <w:pPr>
        <w:jc w:val="both"/>
        <w:rPr>
          <w:rFonts w:ascii="Verdana" w:hAnsi="Verdana"/>
          <w:spacing w:val="-3"/>
          <w:sz w:val="20"/>
        </w:rPr>
      </w:pPr>
    </w:p>
    <w:p w:rsidR="00000000" w:rsidRDefault="00687F2E">
      <w:pPr>
        <w:jc w:val="both"/>
        <w:rPr>
          <w:rFonts w:ascii="Verdana" w:hAnsi="Verdana"/>
          <w:spacing w:val="-3"/>
          <w:sz w:val="20"/>
        </w:rPr>
      </w:pPr>
    </w:p>
    <w:p w:rsidR="00000000" w:rsidRDefault="00687F2E">
      <w:pPr>
        <w:jc w:val="both"/>
        <w:rPr>
          <w:rFonts w:ascii="Verdana" w:hAnsi="Verdana"/>
          <w:spacing w:val="-3"/>
          <w:sz w:val="20"/>
        </w:rPr>
      </w:pPr>
    </w:p>
    <w:p w:rsidR="00000000" w:rsidRDefault="00687F2E">
      <w:pPr>
        <w:jc w:val="both"/>
        <w:rPr>
          <w:rFonts w:ascii="Verdana" w:hAnsi="Verdana"/>
          <w:spacing w:val="-3"/>
          <w:sz w:val="20"/>
        </w:rPr>
      </w:pPr>
    </w:p>
    <w:p w:rsidR="00000000" w:rsidRDefault="00687F2E">
      <w:pPr>
        <w:jc w:val="both"/>
        <w:rPr>
          <w:rFonts w:ascii="Verdana" w:hAnsi="Verdana"/>
          <w:spacing w:val="-3"/>
          <w:sz w:val="20"/>
        </w:rPr>
      </w:pPr>
    </w:p>
    <w:p w:rsidR="00000000" w:rsidRDefault="00687F2E">
      <w:pPr>
        <w:jc w:val="both"/>
        <w:rPr>
          <w:rFonts w:ascii="Verdana" w:hAnsi="Verdana"/>
          <w:spacing w:val="-3"/>
          <w:sz w:val="20"/>
        </w:rPr>
      </w:pPr>
    </w:p>
    <w:p w:rsidR="00000000" w:rsidRDefault="00687F2E">
      <w:pPr>
        <w:jc w:val="right"/>
        <w:rPr>
          <w:rFonts w:ascii="Verdana" w:hAnsi="Verdana"/>
          <w:spacing w:val="-3"/>
          <w:sz w:val="20"/>
          <w:lang w:val="pt-BR"/>
        </w:rPr>
      </w:pPr>
      <w:r>
        <w:rPr>
          <w:rFonts w:ascii="Verdana" w:hAnsi="Verdana"/>
          <w:spacing w:val="-3"/>
          <w:sz w:val="20"/>
          <w:lang w:val="pt-BR"/>
        </w:rPr>
        <w:t>Antônio Augusto Cançado Trindade</w:t>
      </w:r>
    </w:p>
    <w:p w:rsidR="00000000" w:rsidRDefault="00687F2E">
      <w:pPr>
        <w:ind w:right="1530"/>
        <w:jc w:val="right"/>
        <w:rPr>
          <w:rFonts w:ascii="Verdana" w:hAnsi="Verdana"/>
          <w:spacing w:val="-3"/>
          <w:sz w:val="20"/>
          <w:lang w:val="pt-BR"/>
        </w:rPr>
      </w:pPr>
      <w:r>
        <w:rPr>
          <w:rFonts w:ascii="Verdana" w:hAnsi="Verdana"/>
          <w:spacing w:val="-3"/>
          <w:sz w:val="20"/>
          <w:lang w:val="pt-BR"/>
        </w:rPr>
        <w:t>Juez</w:t>
      </w:r>
    </w:p>
    <w:p w:rsidR="00000000" w:rsidRDefault="00687F2E">
      <w:pPr>
        <w:jc w:val="both"/>
        <w:rPr>
          <w:rFonts w:ascii="Verdana" w:hAnsi="Verdana"/>
          <w:spacing w:val="-3"/>
          <w:sz w:val="20"/>
          <w:lang w:val="pt-BR"/>
        </w:rPr>
      </w:pPr>
    </w:p>
    <w:p w:rsidR="00000000" w:rsidRDefault="00687F2E">
      <w:pPr>
        <w:jc w:val="both"/>
        <w:rPr>
          <w:rFonts w:ascii="Verdana" w:hAnsi="Verdana"/>
          <w:spacing w:val="-3"/>
          <w:sz w:val="20"/>
          <w:lang w:val="pt-BR"/>
        </w:rPr>
      </w:pPr>
    </w:p>
    <w:p w:rsidR="00000000" w:rsidRDefault="00687F2E">
      <w:pPr>
        <w:jc w:val="both"/>
        <w:rPr>
          <w:rFonts w:ascii="Verdana" w:hAnsi="Verdana"/>
          <w:spacing w:val="-3"/>
          <w:sz w:val="20"/>
          <w:lang w:val="pt-BR"/>
        </w:rPr>
      </w:pPr>
    </w:p>
    <w:p w:rsidR="00000000" w:rsidRDefault="00687F2E">
      <w:pPr>
        <w:jc w:val="both"/>
        <w:rPr>
          <w:rFonts w:ascii="Verdana" w:hAnsi="Verdana"/>
          <w:spacing w:val="-3"/>
          <w:sz w:val="20"/>
          <w:lang w:val="pt-BR"/>
        </w:rPr>
      </w:pPr>
    </w:p>
    <w:p w:rsidR="00000000" w:rsidRDefault="00687F2E">
      <w:pPr>
        <w:jc w:val="both"/>
        <w:rPr>
          <w:rFonts w:ascii="Verdana" w:hAnsi="Verdana"/>
          <w:spacing w:val="-3"/>
          <w:sz w:val="20"/>
          <w:lang w:val="pt-BR"/>
        </w:rPr>
      </w:pPr>
    </w:p>
    <w:p w:rsidR="00000000" w:rsidRDefault="00687F2E">
      <w:pPr>
        <w:jc w:val="both"/>
        <w:rPr>
          <w:rFonts w:ascii="Verdana" w:hAnsi="Verdana"/>
          <w:spacing w:val="-3"/>
          <w:sz w:val="20"/>
          <w:lang w:val="pt-BR"/>
        </w:rPr>
      </w:pPr>
    </w:p>
    <w:p w:rsidR="00000000" w:rsidRDefault="00687F2E">
      <w:pPr>
        <w:jc w:val="both"/>
        <w:rPr>
          <w:rFonts w:ascii="Verdana" w:hAnsi="Verdana"/>
          <w:spacing w:val="-3"/>
          <w:sz w:val="20"/>
          <w:lang w:val="pt-BR"/>
        </w:rPr>
      </w:pPr>
      <w:r>
        <w:rPr>
          <w:rFonts w:ascii="Verdana" w:hAnsi="Verdana"/>
          <w:spacing w:val="-3"/>
          <w:sz w:val="20"/>
          <w:lang w:val="pt-BR"/>
        </w:rPr>
        <w:t>Pablo Saavedra Alessandri</w:t>
      </w:r>
    </w:p>
    <w:p w:rsidR="00000000" w:rsidRDefault="00687F2E">
      <w:pPr>
        <w:jc w:val="both"/>
        <w:rPr>
          <w:rFonts w:ascii="Verdana" w:hAnsi="Verdana"/>
          <w:spacing w:val="-3"/>
          <w:sz w:val="20"/>
        </w:rPr>
      </w:pPr>
      <w:r>
        <w:rPr>
          <w:rFonts w:ascii="Verdana" w:hAnsi="Verdana"/>
          <w:spacing w:val="-3"/>
          <w:sz w:val="20"/>
          <w:lang w:val="pt-BR"/>
        </w:rPr>
        <w:tab/>
        <w:t xml:space="preserve">  </w:t>
      </w:r>
      <w:r>
        <w:rPr>
          <w:rFonts w:ascii="Verdana" w:hAnsi="Verdana"/>
          <w:spacing w:val="-3"/>
          <w:sz w:val="20"/>
        </w:rPr>
        <w:t>Secretario</w:t>
      </w:r>
    </w:p>
    <w:p w:rsidR="00000000" w:rsidRDefault="00687F2E">
      <w:pPr>
        <w:jc w:val="both"/>
        <w:rPr>
          <w:rFonts w:ascii="Verdana" w:hAnsi="Verdana"/>
          <w:spacing w:val="-3"/>
          <w:sz w:val="20"/>
        </w:rPr>
      </w:pPr>
    </w:p>
    <w:p w:rsidR="00000000" w:rsidRDefault="00687F2E">
      <w:pPr>
        <w:jc w:val="both"/>
        <w:rPr>
          <w:rFonts w:ascii="Verdana" w:hAnsi="Verdana"/>
          <w:spacing w:val="-3"/>
          <w:sz w:val="20"/>
        </w:rPr>
      </w:pPr>
    </w:p>
    <w:p w:rsidR="00000000" w:rsidRDefault="00687F2E">
      <w:pPr>
        <w:jc w:val="both"/>
        <w:rPr>
          <w:rFonts w:ascii="Verdana" w:hAnsi="Verdana"/>
          <w:spacing w:val="-3"/>
          <w:sz w:val="20"/>
        </w:rPr>
      </w:pPr>
    </w:p>
    <w:p w:rsidR="00000000" w:rsidRDefault="00687F2E">
      <w:pPr>
        <w:jc w:val="both"/>
        <w:rPr>
          <w:rFonts w:ascii="Verdana" w:hAnsi="Verdana"/>
          <w:spacing w:val="-3"/>
          <w:sz w:val="20"/>
        </w:rPr>
      </w:pPr>
    </w:p>
    <w:p w:rsidR="00000000" w:rsidRDefault="00687F2E">
      <w:pPr>
        <w:jc w:val="both"/>
        <w:rPr>
          <w:rFonts w:ascii="Verdana" w:hAnsi="Verdana"/>
          <w:spacing w:val="-3"/>
          <w:sz w:val="20"/>
        </w:rPr>
      </w:pPr>
    </w:p>
    <w:p w:rsidR="00000000" w:rsidRDefault="00687F2E">
      <w:pPr>
        <w:jc w:val="both"/>
        <w:rPr>
          <w:rFonts w:ascii="Verdana" w:hAnsi="Verdana"/>
          <w:spacing w:val="-3"/>
          <w:sz w:val="20"/>
        </w:rPr>
      </w:pPr>
    </w:p>
    <w:p w:rsidR="00000000" w:rsidRDefault="00687F2E">
      <w:pPr>
        <w:jc w:val="both"/>
        <w:rPr>
          <w:rFonts w:ascii="Verdana" w:hAnsi="Verdana"/>
          <w:spacing w:val="-3"/>
          <w:sz w:val="20"/>
        </w:rPr>
      </w:pPr>
    </w:p>
    <w:p w:rsidR="00000000" w:rsidRDefault="00687F2E">
      <w:pPr>
        <w:jc w:val="both"/>
        <w:rPr>
          <w:rFonts w:ascii="Verdana" w:hAnsi="Verdana"/>
          <w:spacing w:val="-3"/>
          <w:sz w:val="20"/>
        </w:rPr>
      </w:pPr>
    </w:p>
    <w:p w:rsidR="00000000" w:rsidRDefault="00687F2E">
      <w:pPr>
        <w:jc w:val="both"/>
        <w:rPr>
          <w:rFonts w:ascii="Verdana" w:hAnsi="Verdana"/>
          <w:spacing w:val="-3"/>
          <w:sz w:val="20"/>
        </w:rPr>
      </w:pPr>
    </w:p>
    <w:p w:rsidR="00000000" w:rsidRDefault="00687F2E">
      <w:pPr>
        <w:jc w:val="both"/>
        <w:rPr>
          <w:rFonts w:ascii="Verdana" w:hAnsi="Verdana"/>
          <w:spacing w:val="-3"/>
          <w:sz w:val="20"/>
        </w:rPr>
      </w:pPr>
    </w:p>
    <w:p w:rsidR="00000000" w:rsidRDefault="00687F2E">
      <w:pPr>
        <w:rPr>
          <w:rFonts w:ascii="Verdana" w:hAnsi="Verdana"/>
          <w:sz w:val="20"/>
          <w:lang w:val="es-ES_tradnl"/>
        </w:rPr>
      </w:pPr>
    </w:p>
    <w:p w:rsidR="00687F2E" w:rsidRDefault="00687F2E">
      <w:pPr>
        <w:jc w:val="center"/>
        <w:rPr>
          <w:rFonts w:ascii="Verdana" w:hAnsi="Verdana"/>
          <w:sz w:val="20"/>
          <w:lang w:val="es-ES_tradnl"/>
        </w:rPr>
      </w:pPr>
    </w:p>
    <w:sectPr w:rsidR="00687F2E">
      <w:footnotePr>
        <w:numRestart w:val="eachSect"/>
      </w:footnotePr>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7F2E" w:rsidRDefault="00687F2E">
      <w:r>
        <w:separator/>
      </w:r>
    </w:p>
  </w:endnote>
  <w:endnote w:type="continuationSeparator" w:id="0">
    <w:p w:rsidR="00687F2E" w:rsidRDefault="00687F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Univers">
    <w:altName w:val="Arial"/>
    <w:charset w:val="00"/>
    <w:family w:val="swiss"/>
    <w:pitch w:val="variable"/>
    <w:sig w:usb0="00000007" w:usb1="00000000" w:usb2="00000000" w:usb3="00000000" w:csb0="00000093"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687F2E">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000000" w:rsidRDefault="00687F2E">
    <w:pPr>
      <w:pStyle w:val="Piedepgina"/>
      <w:ind w:right="360"/>
    </w:pPr>
  </w:p>
  <w:p w:rsidR="00000000" w:rsidRDefault="00687F2E"/>
  <w:p w:rsidR="00000000" w:rsidRDefault="00687F2E"/>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7F2E" w:rsidRDefault="00687F2E">
      <w:r>
        <w:separator/>
      </w:r>
    </w:p>
  </w:footnote>
  <w:footnote w:type="continuationSeparator" w:id="0">
    <w:p w:rsidR="00687F2E" w:rsidRDefault="00687F2E">
      <w:r>
        <w:continuationSeparator/>
      </w:r>
    </w:p>
  </w:footnote>
  <w:footnote w:id="1">
    <w:p w:rsidR="00000000" w:rsidRDefault="00687F2E">
      <w:pPr>
        <w:pStyle w:val="Textonotapie"/>
        <w:spacing w:before="120"/>
        <w:jc w:val="both"/>
        <w:rPr>
          <w:rFonts w:ascii="Verdana" w:hAnsi="Verdana"/>
          <w:sz w:val="16"/>
          <w:szCs w:val="16"/>
          <w:lang w:val="es-CL"/>
        </w:rPr>
      </w:pPr>
      <w:r>
        <w:rPr>
          <w:rStyle w:val="Refdenotaalpie"/>
          <w:rFonts w:ascii="Verdana" w:hAnsi="Verdana"/>
          <w:sz w:val="16"/>
          <w:szCs w:val="16"/>
        </w:rPr>
        <w:footnoteRef/>
      </w:r>
      <w:r>
        <w:rPr>
          <w:rFonts w:ascii="Verdana" w:hAnsi="Verdana"/>
          <w:sz w:val="16"/>
          <w:szCs w:val="16"/>
        </w:rPr>
        <w:t xml:space="preserve"> </w:t>
      </w:r>
      <w:r>
        <w:rPr>
          <w:rFonts w:ascii="Verdana" w:hAnsi="Verdana"/>
          <w:sz w:val="16"/>
          <w:szCs w:val="16"/>
          <w:lang w:val="es-CL"/>
        </w:rPr>
        <w:tab/>
      </w:r>
      <w:r>
        <w:rPr>
          <w:rFonts w:ascii="Verdana" w:hAnsi="Verdana"/>
          <w:i/>
          <w:sz w:val="16"/>
          <w:szCs w:val="16"/>
          <w:lang w:val="es-CL"/>
        </w:rPr>
        <w:t xml:space="preserve">Cfr. Caso </w:t>
      </w:r>
      <w:smartTag w:uri="urn:schemas-microsoft-com:office:smarttags" w:element="PersonName">
        <w:smartTagPr>
          <w:attr w:name="ProductID" w:val="LA CANTUTA VS."/>
        </w:smartTagPr>
        <w:r>
          <w:rPr>
            <w:rFonts w:ascii="Verdana" w:hAnsi="Verdana"/>
            <w:i/>
            <w:sz w:val="16"/>
            <w:szCs w:val="16"/>
            <w:lang w:val="es-CL"/>
          </w:rPr>
          <w:t>La Cantuta Vs.</w:t>
        </w:r>
      </w:smartTag>
      <w:r>
        <w:rPr>
          <w:rFonts w:ascii="Verdana" w:hAnsi="Verdana"/>
          <w:i/>
          <w:sz w:val="16"/>
          <w:szCs w:val="16"/>
          <w:lang w:val="es-CL"/>
        </w:rPr>
        <w:t xml:space="preserve"> Perú</w:t>
      </w:r>
      <w:r>
        <w:rPr>
          <w:rFonts w:ascii="Verdana" w:hAnsi="Verdana"/>
          <w:sz w:val="16"/>
          <w:szCs w:val="16"/>
          <w:lang w:val="es-CL"/>
        </w:rPr>
        <w:t xml:space="preserve">. </w:t>
      </w:r>
      <w:r>
        <w:rPr>
          <w:rFonts w:ascii="Verdana" w:hAnsi="Verdana"/>
          <w:sz w:val="16"/>
          <w:szCs w:val="22"/>
        </w:rPr>
        <w:t>Fondo, Repar</w:t>
      </w:r>
      <w:r>
        <w:rPr>
          <w:rFonts w:ascii="Verdana" w:hAnsi="Verdana"/>
          <w:sz w:val="16"/>
          <w:szCs w:val="22"/>
        </w:rPr>
        <w:t xml:space="preserve">aciones y Costas. </w:t>
      </w:r>
      <w:r>
        <w:rPr>
          <w:rFonts w:ascii="Verdana" w:hAnsi="Verdana"/>
          <w:sz w:val="16"/>
          <w:szCs w:val="16"/>
          <w:lang w:val="es-CL"/>
        </w:rPr>
        <w:t xml:space="preserve">Sentencia de 29 de noviembre de 2006. Serie C No. 162. </w:t>
      </w:r>
    </w:p>
  </w:footnote>
  <w:footnote w:id="2">
    <w:p w:rsidR="00000000" w:rsidRDefault="00687F2E">
      <w:pPr>
        <w:pStyle w:val="Textonotapie"/>
        <w:spacing w:before="120"/>
        <w:jc w:val="both"/>
        <w:rPr>
          <w:rFonts w:ascii="Verdana" w:hAnsi="Verdana"/>
          <w:sz w:val="16"/>
          <w:szCs w:val="16"/>
        </w:rPr>
      </w:pPr>
      <w:r>
        <w:rPr>
          <w:rStyle w:val="FootnoteCharacters"/>
          <w:rFonts w:ascii="Verdana" w:hAnsi="Verdana"/>
          <w:sz w:val="16"/>
          <w:szCs w:val="16"/>
        </w:rPr>
        <w:footnoteRef/>
      </w:r>
      <w:r>
        <w:rPr>
          <w:rFonts w:ascii="Verdana" w:hAnsi="Verdana"/>
          <w:sz w:val="16"/>
          <w:szCs w:val="16"/>
        </w:rPr>
        <w:tab/>
        <w:t xml:space="preserve"> El Juez Oliver Jackman, quien por motivos de fuerza mayor no había participado en la deliberación y firma de </w:t>
      </w:r>
      <w:smartTag w:uri="urn:schemas-microsoft-com:office:smarttags" w:element="PersonName">
        <w:smartTagPr>
          <w:attr w:name="ProductID" w:val="la Sentencia"/>
        </w:smartTagPr>
        <w:r>
          <w:rPr>
            <w:rFonts w:ascii="Verdana" w:hAnsi="Verdana"/>
            <w:sz w:val="16"/>
            <w:szCs w:val="16"/>
          </w:rPr>
          <w:t>la Sentencia</w:t>
        </w:r>
      </w:smartTag>
      <w:r>
        <w:rPr>
          <w:rFonts w:ascii="Verdana" w:hAnsi="Verdana"/>
          <w:sz w:val="16"/>
          <w:szCs w:val="16"/>
        </w:rPr>
        <w:t xml:space="preserve"> de fondo, reparaciones y costas de 29 de noviembre de 200</w:t>
      </w:r>
      <w:r>
        <w:rPr>
          <w:rFonts w:ascii="Verdana" w:hAnsi="Verdana"/>
          <w:sz w:val="16"/>
          <w:szCs w:val="16"/>
        </w:rPr>
        <w:t>6, falleció el 25 de enero de 2007. El Juez Diego García-Sayán, de nacionalidad peruana, se excusó de conocer el presente caso de conformidad con los artículos 19.2 del Estatuto y 19 del Reglamento, razón por la cual, de acuerdo con lo dispuesto en los art</w:t>
      </w:r>
      <w:r>
        <w:rPr>
          <w:rFonts w:ascii="Verdana" w:hAnsi="Verdana"/>
          <w:sz w:val="16"/>
          <w:szCs w:val="16"/>
        </w:rPr>
        <w:t xml:space="preserve">ículos 10 del Estatuto de </w:t>
      </w:r>
      <w:smartTag w:uri="urn:schemas-microsoft-com:office:smarttags" w:element="PersonName">
        <w:smartTagPr>
          <w:attr w:name="ProductID" w:val="la Corte"/>
        </w:smartTagPr>
        <w:r>
          <w:rPr>
            <w:rFonts w:ascii="Verdana" w:hAnsi="Verdana"/>
            <w:sz w:val="16"/>
            <w:szCs w:val="16"/>
          </w:rPr>
          <w:t>la Corte</w:t>
        </w:r>
      </w:smartTag>
      <w:r>
        <w:rPr>
          <w:rFonts w:ascii="Verdana" w:hAnsi="Verdana"/>
          <w:sz w:val="16"/>
          <w:szCs w:val="16"/>
        </w:rPr>
        <w:t xml:space="preserve"> y 18 del Reglamento, el Estado designó al señor Fernando Vidal Ramírez como juez </w:t>
      </w:r>
      <w:r>
        <w:rPr>
          <w:rFonts w:ascii="Verdana" w:hAnsi="Verdana"/>
          <w:i/>
          <w:sz w:val="16"/>
          <w:szCs w:val="16"/>
        </w:rPr>
        <w:t>ad hoc</w:t>
      </w:r>
      <w:r>
        <w:rPr>
          <w:rFonts w:ascii="Verdana" w:hAnsi="Verdana"/>
          <w:sz w:val="16"/>
          <w:szCs w:val="16"/>
        </w:rPr>
        <w:t xml:space="preserve"> para que participara en la consideración del caso, quien integra el Tribunal en esta oportunidad al igual que lo hizo en </w:t>
      </w:r>
      <w:smartTag w:uri="urn:schemas-microsoft-com:office:smarttags" w:element="PersonName">
        <w:smartTagPr>
          <w:attr w:name="ProductID" w:val="la Sentencia"/>
        </w:smartTagPr>
        <w:r>
          <w:rPr>
            <w:rFonts w:ascii="Verdana" w:hAnsi="Verdana"/>
            <w:sz w:val="16"/>
            <w:szCs w:val="16"/>
          </w:rPr>
          <w:t>la Sentencia</w:t>
        </w:r>
      </w:smartTag>
      <w:r>
        <w:rPr>
          <w:rFonts w:ascii="Verdana" w:hAnsi="Verdana"/>
          <w:sz w:val="16"/>
          <w:szCs w:val="16"/>
        </w:rPr>
        <w:t xml:space="preserve"> de fondo, reparaciones y costas. Por razones de fuerza mayor, el señor Juez Alirio Abreu Burelli no participó en la deliberación y firma de la presente Sentencia.</w:t>
      </w:r>
    </w:p>
    <w:p w:rsidR="00000000" w:rsidRDefault="00687F2E">
      <w:pPr>
        <w:pStyle w:val="Textonotapie"/>
        <w:spacing w:before="120"/>
        <w:jc w:val="both"/>
        <w:rPr>
          <w:rFonts w:ascii="Verdana" w:hAnsi="Verdana"/>
          <w:b/>
          <w:bCs/>
          <w:sz w:val="16"/>
          <w:szCs w:val="16"/>
          <w:lang w:eastAsia="x-none" w:bidi="x-none"/>
        </w:rPr>
      </w:pPr>
    </w:p>
  </w:footnote>
  <w:footnote w:id="3">
    <w:p w:rsidR="00000000" w:rsidRDefault="00687F2E">
      <w:pPr>
        <w:pStyle w:val="Textonotapie"/>
        <w:spacing w:before="120"/>
        <w:jc w:val="both"/>
        <w:rPr>
          <w:rFonts w:ascii="Verdana" w:hAnsi="Verdana"/>
          <w:b/>
          <w:bCs/>
          <w:sz w:val="16"/>
          <w:szCs w:val="16"/>
        </w:rPr>
      </w:pPr>
      <w:r>
        <w:rPr>
          <w:rStyle w:val="FootnoteCharacters"/>
          <w:rFonts w:ascii="Verdana" w:hAnsi="Verdana"/>
          <w:sz w:val="16"/>
          <w:szCs w:val="16"/>
        </w:rPr>
        <w:footnoteRef/>
      </w:r>
      <w:r>
        <w:rPr>
          <w:rFonts w:ascii="Verdana" w:hAnsi="Verdana"/>
          <w:i/>
          <w:sz w:val="16"/>
          <w:szCs w:val="16"/>
        </w:rPr>
        <w:tab/>
      </w:r>
      <w:r>
        <w:rPr>
          <w:rFonts w:ascii="Verdana" w:hAnsi="Verdana"/>
          <w:i/>
          <w:sz w:val="16"/>
          <w:szCs w:val="16"/>
          <w:lang w:val="es-CR"/>
        </w:rPr>
        <w:t>Cfr. Caso Loayza Tamayo</w:t>
      </w:r>
      <w:r>
        <w:rPr>
          <w:rFonts w:ascii="Verdana" w:hAnsi="Verdana"/>
          <w:i/>
          <w:sz w:val="16"/>
          <w:szCs w:val="16"/>
          <w:lang w:val="es-CL"/>
        </w:rPr>
        <w:t xml:space="preserve"> Vs. Perú</w:t>
      </w:r>
      <w:r>
        <w:rPr>
          <w:rFonts w:ascii="Verdana" w:hAnsi="Verdana"/>
          <w:i/>
          <w:sz w:val="16"/>
          <w:szCs w:val="16"/>
          <w:lang w:val="es-CR"/>
        </w:rPr>
        <w:t xml:space="preserve">. Interpretación de </w:t>
      </w:r>
      <w:smartTag w:uri="urn:schemas-microsoft-com:office:smarttags" w:element="PersonName">
        <w:smartTagPr>
          <w:attr w:name="ProductID" w:val="la Sentencia"/>
        </w:smartTagPr>
        <w:r>
          <w:rPr>
            <w:rFonts w:ascii="Verdana" w:hAnsi="Verdana"/>
            <w:i/>
            <w:sz w:val="16"/>
            <w:szCs w:val="16"/>
            <w:lang w:val="es-CR"/>
          </w:rPr>
          <w:t>la Sentencia</w:t>
        </w:r>
      </w:smartTag>
      <w:r>
        <w:rPr>
          <w:rFonts w:ascii="Verdana" w:hAnsi="Verdana"/>
          <w:i/>
          <w:sz w:val="16"/>
          <w:szCs w:val="16"/>
          <w:lang w:val="es-CR"/>
        </w:rPr>
        <w:t xml:space="preserve"> sobre Fondo</w:t>
      </w:r>
      <w:r>
        <w:rPr>
          <w:rFonts w:ascii="Verdana" w:hAnsi="Verdana"/>
          <w:sz w:val="16"/>
          <w:szCs w:val="16"/>
          <w:lang w:val="es-CR"/>
        </w:rPr>
        <w:t xml:space="preserve">. Resolución </w:t>
      </w:r>
      <w:r>
        <w:rPr>
          <w:rFonts w:ascii="Verdana" w:hAnsi="Verdana"/>
          <w:sz w:val="16"/>
          <w:szCs w:val="16"/>
          <w:lang w:val="es-CR"/>
        </w:rPr>
        <w:t xml:space="preserve">de </w:t>
      </w:r>
      <w:smartTag w:uri="urn:schemas-microsoft-com:office:smarttags" w:element="PersonName">
        <w:smartTagPr>
          <w:attr w:name="ProductID" w:val="la Corte"/>
        </w:smartTagPr>
        <w:r>
          <w:rPr>
            <w:rFonts w:ascii="Verdana" w:hAnsi="Verdana"/>
            <w:sz w:val="16"/>
            <w:szCs w:val="16"/>
            <w:lang w:val="es-CR"/>
          </w:rPr>
          <w:t>la Corte</w:t>
        </w:r>
      </w:smartTag>
      <w:r>
        <w:rPr>
          <w:rFonts w:ascii="Verdana" w:hAnsi="Verdana"/>
          <w:sz w:val="16"/>
          <w:szCs w:val="16"/>
          <w:lang w:val="es-CR"/>
        </w:rPr>
        <w:t xml:space="preserve"> de 8 de marzo de 1998. </w:t>
      </w:r>
      <w:r>
        <w:rPr>
          <w:rFonts w:ascii="Verdana" w:hAnsi="Verdana"/>
          <w:sz w:val="16"/>
          <w:szCs w:val="16"/>
          <w:lang w:val="es-ES"/>
        </w:rPr>
        <w:t xml:space="preserve">Serie C No. 47, párr. 16; </w:t>
      </w:r>
      <w:r>
        <w:rPr>
          <w:rFonts w:ascii="Verdana" w:hAnsi="Verdana"/>
          <w:i/>
          <w:sz w:val="16"/>
          <w:szCs w:val="16"/>
        </w:rPr>
        <w:t xml:space="preserve">Caso de </w:t>
      </w:r>
      <w:smartTag w:uri="urn:schemas-microsoft-com:office:smarttags" w:element="PersonName">
        <w:smartTagPr>
          <w:attr w:name="ProductID" w:val="la Masacre"/>
        </w:smartTagPr>
        <w:r>
          <w:rPr>
            <w:rFonts w:ascii="Verdana" w:hAnsi="Verdana"/>
            <w:i/>
            <w:sz w:val="16"/>
            <w:szCs w:val="16"/>
          </w:rPr>
          <w:t>la Masacre</w:t>
        </w:r>
      </w:smartTag>
      <w:r>
        <w:rPr>
          <w:rFonts w:ascii="Verdana" w:hAnsi="Verdana"/>
          <w:i/>
          <w:sz w:val="16"/>
          <w:szCs w:val="16"/>
        </w:rPr>
        <w:t xml:space="preserve"> de Pueblo Bello Vs. Colombia. Interpretación de </w:t>
      </w:r>
      <w:smartTag w:uri="urn:schemas-microsoft-com:office:smarttags" w:element="PersonName">
        <w:smartTagPr>
          <w:attr w:name="ProductID" w:val="la Sentencia"/>
        </w:smartTagPr>
        <w:r>
          <w:rPr>
            <w:rFonts w:ascii="Verdana" w:hAnsi="Verdana"/>
            <w:i/>
            <w:sz w:val="16"/>
            <w:szCs w:val="16"/>
          </w:rPr>
          <w:t>la Sentencia</w:t>
        </w:r>
      </w:smartTag>
      <w:r>
        <w:rPr>
          <w:rFonts w:ascii="Verdana" w:hAnsi="Verdana"/>
          <w:i/>
          <w:sz w:val="16"/>
          <w:szCs w:val="16"/>
        </w:rPr>
        <w:t xml:space="preserve"> sobre Fondo, Reparaciones y Costas</w:t>
      </w:r>
      <w:r>
        <w:rPr>
          <w:rFonts w:ascii="Verdana" w:hAnsi="Verdana"/>
          <w:color w:val="000000"/>
          <w:sz w:val="16"/>
          <w:szCs w:val="16"/>
        </w:rPr>
        <w:t xml:space="preserve">. Sentencia de 25 de noviembre de 2006. Serie C No. 159, párr. 13, y </w:t>
      </w:r>
      <w:r>
        <w:rPr>
          <w:rFonts w:ascii="Verdana" w:hAnsi="Verdana"/>
          <w:i/>
          <w:sz w:val="16"/>
          <w:szCs w:val="16"/>
        </w:rPr>
        <w:t xml:space="preserve">Caso </w:t>
      </w:r>
      <w:r>
        <w:rPr>
          <w:rFonts w:ascii="Verdana" w:hAnsi="Verdana"/>
          <w:i/>
          <w:sz w:val="16"/>
          <w:szCs w:val="16"/>
          <w:lang w:val="es-ES"/>
        </w:rPr>
        <w:t>Acevedo</w:t>
      </w:r>
      <w:r>
        <w:rPr>
          <w:rFonts w:ascii="Verdana" w:hAnsi="Verdana"/>
          <w:i/>
          <w:sz w:val="16"/>
          <w:szCs w:val="16"/>
          <w:lang w:val="es-ES"/>
        </w:rPr>
        <w:t xml:space="preserve"> Jaramillo y otros</w:t>
      </w:r>
      <w:r>
        <w:rPr>
          <w:rFonts w:ascii="Verdana" w:hAnsi="Verdana"/>
          <w:i/>
          <w:sz w:val="16"/>
          <w:szCs w:val="16"/>
          <w:lang w:val="es-CL"/>
        </w:rPr>
        <w:t xml:space="preserve"> Vs. Perú</w:t>
      </w:r>
      <w:r>
        <w:rPr>
          <w:rFonts w:ascii="Verdana" w:hAnsi="Verdana"/>
          <w:i/>
          <w:sz w:val="16"/>
          <w:szCs w:val="16"/>
        </w:rPr>
        <w:t xml:space="preserve">. Interpretación de </w:t>
      </w:r>
      <w:smartTag w:uri="urn:schemas-microsoft-com:office:smarttags" w:element="PersonName">
        <w:smartTagPr>
          <w:attr w:name="ProductID" w:val="la Sentencia"/>
        </w:smartTagPr>
        <w:r>
          <w:rPr>
            <w:rFonts w:ascii="Verdana" w:hAnsi="Verdana"/>
            <w:i/>
            <w:sz w:val="16"/>
            <w:szCs w:val="16"/>
          </w:rPr>
          <w:t>la Sentencia</w:t>
        </w:r>
      </w:smartTag>
      <w:r>
        <w:rPr>
          <w:rFonts w:ascii="Verdana" w:hAnsi="Verdana"/>
          <w:i/>
          <w:sz w:val="16"/>
          <w:szCs w:val="16"/>
        </w:rPr>
        <w:t xml:space="preserve"> sobre </w:t>
      </w:r>
      <w:r>
        <w:rPr>
          <w:rFonts w:ascii="Verdana" w:hAnsi="Verdana"/>
          <w:i/>
          <w:sz w:val="16"/>
          <w:szCs w:val="16"/>
          <w:lang w:val="es-ES"/>
        </w:rPr>
        <w:t xml:space="preserve">Excepciones Preliminares, </w:t>
      </w:r>
      <w:r>
        <w:rPr>
          <w:rFonts w:ascii="Verdana" w:hAnsi="Verdana"/>
          <w:i/>
          <w:sz w:val="16"/>
          <w:szCs w:val="16"/>
        </w:rPr>
        <w:t>Fondo, Reparaciones y Costas</w:t>
      </w:r>
      <w:r>
        <w:rPr>
          <w:rFonts w:ascii="Verdana" w:hAnsi="Verdana"/>
          <w:color w:val="000000"/>
          <w:sz w:val="16"/>
          <w:szCs w:val="16"/>
        </w:rPr>
        <w:t>. Sentencia de 24 de noviembre de 2006. Serie C No. 157, párr. 27.</w:t>
      </w:r>
    </w:p>
  </w:footnote>
  <w:footnote w:id="4">
    <w:p w:rsidR="00000000" w:rsidRDefault="00687F2E">
      <w:pPr>
        <w:pStyle w:val="Textonotapie"/>
        <w:spacing w:before="120"/>
        <w:jc w:val="both"/>
        <w:rPr>
          <w:rFonts w:ascii="Verdana" w:hAnsi="Verdana"/>
          <w:sz w:val="16"/>
          <w:szCs w:val="16"/>
        </w:rPr>
      </w:pPr>
      <w:r>
        <w:rPr>
          <w:rStyle w:val="FootnoteCharacters"/>
          <w:rFonts w:ascii="Verdana" w:hAnsi="Verdana"/>
          <w:sz w:val="16"/>
          <w:szCs w:val="16"/>
        </w:rPr>
        <w:footnoteRef/>
      </w:r>
      <w:r>
        <w:rPr>
          <w:rFonts w:ascii="Verdana" w:hAnsi="Verdana"/>
          <w:sz w:val="16"/>
          <w:szCs w:val="16"/>
        </w:rPr>
        <w:tab/>
        <w:t xml:space="preserve"> </w:t>
      </w:r>
      <w:r>
        <w:rPr>
          <w:rFonts w:ascii="Verdana" w:hAnsi="Verdana"/>
          <w:i/>
          <w:sz w:val="16"/>
          <w:szCs w:val="16"/>
        </w:rPr>
        <w:t>Cfr. Caso Loayza Tamayo</w:t>
      </w:r>
      <w:r>
        <w:rPr>
          <w:rFonts w:ascii="Verdana" w:hAnsi="Verdana"/>
          <w:i/>
          <w:sz w:val="16"/>
          <w:szCs w:val="16"/>
          <w:lang w:val="es-CL"/>
        </w:rPr>
        <w:t xml:space="preserve"> Vs. Perú</w:t>
      </w:r>
      <w:r>
        <w:rPr>
          <w:rFonts w:ascii="Verdana" w:hAnsi="Verdana"/>
          <w:i/>
          <w:sz w:val="16"/>
          <w:szCs w:val="16"/>
        </w:rPr>
        <w:t xml:space="preserve">. Interpretación de </w:t>
      </w:r>
      <w:smartTag w:uri="urn:schemas-microsoft-com:office:smarttags" w:element="PersonName">
        <w:smartTagPr>
          <w:attr w:name="ProductID" w:val="la Sentencia"/>
        </w:smartTagPr>
        <w:r>
          <w:rPr>
            <w:rFonts w:ascii="Verdana" w:hAnsi="Verdana"/>
            <w:i/>
            <w:sz w:val="16"/>
            <w:szCs w:val="16"/>
          </w:rPr>
          <w:t>la Sentencia</w:t>
        </w:r>
      </w:smartTag>
      <w:r>
        <w:rPr>
          <w:rFonts w:ascii="Verdana" w:hAnsi="Verdana"/>
          <w:i/>
          <w:sz w:val="16"/>
          <w:szCs w:val="16"/>
        </w:rPr>
        <w:t xml:space="preserve"> s</w:t>
      </w:r>
      <w:r>
        <w:rPr>
          <w:rFonts w:ascii="Verdana" w:hAnsi="Verdana"/>
          <w:i/>
          <w:sz w:val="16"/>
          <w:szCs w:val="16"/>
        </w:rPr>
        <w:t>obre Reparaciones.</w:t>
      </w:r>
      <w:r>
        <w:rPr>
          <w:rFonts w:ascii="Verdana" w:hAnsi="Verdana"/>
          <w:sz w:val="16"/>
          <w:szCs w:val="16"/>
        </w:rPr>
        <w:t xml:space="preserve"> Sentencia de 3 de junio de 1999. Serie C No. 53, párr. 15</w:t>
      </w:r>
      <w:r>
        <w:rPr>
          <w:rFonts w:ascii="Verdana" w:hAnsi="Verdana"/>
          <w:sz w:val="16"/>
          <w:szCs w:val="16"/>
          <w:lang w:val="es-ES"/>
        </w:rPr>
        <w:t xml:space="preserve">; </w:t>
      </w:r>
      <w:r>
        <w:rPr>
          <w:rFonts w:ascii="Verdana" w:hAnsi="Verdana"/>
          <w:i/>
          <w:sz w:val="16"/>
          <w:szCs w:val="16"/>
        </w:rPr>
        <w:t xml:space="preserve">Caso de </w:t>
      </w:r>
      <w:smartTag w:uri="urn:schemas-microsoft-com:office:smarttags" w:element="PersonName">
        <w:smartTagPr>
          <w:attr w:name="ProductID" w:val="la Masacre"/>
        </w:smartTagPr>
        <w:r>
          <w:rPr>
            <w:rFonts w:ascii="Verdana" w:hAnsi="Verdana"/>
            <w:i/>
            <w:sz w:val="16"/>
            <w:szCs w:val="16"/>
          </w:rPr>
          <w:t>la Masacre</w:t>
        </w:r>
      </w:smartTag>
      <w:r>
        <w:rPr>
          <w:rFonts w:ascii="Verdana" w:hAnsi="Verdana"/>
          <w:i/>
          <w:sz w:val="16"/>
          <w:szCs w:val="16"/>
        </w:rPr>
        <w:t xml:space="preserve"> de Pueblo Bello Vs. Colombia. Interpretación de </w:t>
      </w:r>
      <w:smartTag w:uri="urn:schemas-microsoft-com:office:smarttags" w:element="PersonName">
        <w:smartTagPr>
          <w:attr w:name="ProductID" w:val="la Sentencia"/>
        </w:smartTagPr>
        <w:r>
          <w:rPr>
            <w:rFonts w:ascii="Verdana" w:hAnsi="Verdana"/>
            <w:i/>
            <w:sz w:val="16"/>
            <w:szCs w:val="16"/>
          </w:rPr>
          <w:t>la Sentencia</w:t>
        </w:r>
      </w:smartTag>
      <w:r>
        <w:rPr>
          <w:rFonts w:ascii="Verdana" w:hAnsi="Verdana"/>
          <w:i/>
          <w:sz w:val="16"/>
          <w:szCs w:val="16"/>
        </w:rPr>
        <w:t xml:space="preserve"> sobre Fondo, Reparaciones y Costas, supra </w:t>
      </w:r>
      <w:r>
        <w:rPr>
          <w:rFonts w:ascii="Verdana" w:hAnsi="Verdana"/>
          <w:sz w:val="16"/>
          <w:szCs w:val="16"/>
        </w:rPr>
        <w:t>nota 4</w:t>
      </w:r>
      <w:r>
        <w:rPr>
          <w:rFonts w:ascii="Verdana" w:hAnsi="Verdana"/>
          <w:color w:val="000000"/>
          <w:sz w:val="16"/>
          <w:szCs w:val="16"/>
        </w:rPr>
        <w:t xml:space="preserve">, párr. 14, y </w:t>
      </w:r>
      <w:r>
        <w:rPr>
          <w:rFonts w:ascii="Verdana" w:hAnsi="Verdana"/>
          <w:i/>
          <w:sz w:val="16"/>
          <w:szCs w:val="16"/>
        </w:rPr>
        <w:t xml:space="preserve">Caso </w:t>
      </w:r>
      <w:r>
        <w:rPr>
          <w:rFonts w:ascii="Verdana" w:hAnsi="Verdana"/>
          <w:i/>
          <w:sz w:val="16"/>
          <w:szCs w:val="16"/>
          <w:lang w:val="es-ES"/>
        </w:rPr>
        <w:t>Acevedo Jaramillo y otros</w:t>
      </w:r>
      <w:r>
        <w:rPr>
          <w:rFonts w:ascii="Verdana" w:hAnsi="Verdana"/>
          <w:i/>
          <w:sz w:val="16"/>
          <w:szCs w:val="16"/>
          <w:lang w:val="es-CL"/>
        </w:rPr>
        <w:t xml:space="preserve"> Vs. P</w:t>
      </w:r>
      <w:r>
        <w:rPr>
          <w:rFonts w:ascii="Verdana" w:hAnsi="Verdana"/>
          <w:i/>
          <w:sz w:val="16"/>
          <w:szCs w:val="16"/>
          <w:lang w:val="es-CL"/>
        </w:rPr>
        <w:t>erú</w:t>
      </w:r>
      <w:r>
        <w:rPr>
          <w:rFonts w:ascii="Verdana" w:hAnsi="Verdana"/>
          <w:i/>
          <w:sz w:val="16"/>
          <w:szCs w:val="16"/>
        </w:rPr>
        <w:t xml:space="preserve">. Interpretación de </w:t>
      </w:r>
      <w:smartTag w:uri="urn:schemas-microsoft-com:office:smarttags" w:element="PersonName">
        <w:smartTagPr>
          <w:attr w:name="ProductID" w:val="la Sentencia"/>
        </w:smartTagPr>
        <w:r>
          <w:rPr>
            <w:rFonts w:ascii="Verdana" w:hAnsi="Verdana"/>
            <w:i/>
            <w:sz w:val="16"/>
            <w:szCs w:val="16"/>
          </w:rPr>
          <w:t>la Sentencia</w:t>
        </w:r>
      </w:smartTag>
      <w:r>
        <w:rPr>
          <w:rFonts w:ascii="Verdana" w:hAnsi="Verdana"/>
          <w:i/>
          <w:sz w:val="16"/>
          <w:szCs w:val="16"/>
        </w:rPr>
        <w:t xml:space="preserve"> sobre </w:t>
      </w:r>
      <w:r>
        <w:rPr>
          <w:rFonts w:ascii="Verdana" w:hAnsi="Verdana"/>
          <w:i/>
          <w:sz w:val="16"/>
          <w:szCs w:val="16"/>
          <w:lang w:val="es-ES"/>
        </w:rPr>
        <w:t xml:space="preserve">Excepciones Preliminares, </w:t>
      </w:r>
      <w:r>
        <w:rPr>
          <w:rFonts w:ascii="Verdana" w:hAnsi="Verdana"/>
          <w:i/>
          <w:sz w:val="16"/>
          <w:szCs w:val="16"/>
        </w:rPr>
        <w:t xml:space="preserve">Fondo, Reparaciones y Costas, supra </w:t>
      </w:r>
      <w:r>
        <w:rPr>
          <w:rFonts w:ascii="Verdana" w:hAnsi="Verdana"/>
          <w:sz w:val="16"/>
          <w:szCs w:val="16"/>
        </w:rPr>
        <w:t>nota 4</w:t>
      </w:r>
      <w:r>
        <w:rPr>
          <w:rFonts w:ascii="Verdana" w:hAnsi="Verdana"/>
          <w:color w:val="000000"/>
          <w:sz w:val="16"/>
          <w:szCs w:val="16"/>
        </w:rPr>
        <w:t>, párr. 28.</w:t>
      </w:r>
    </w:p>
  </w:footnote>
  <w:footnote w:id="5">
    <w:p w:rsidR="00000000" w:rsidRDefault="00687F2E">
      <w:pPr>
        <w:pStyle w:val="Textodenotaalpie"/>
        <w:tabs>
          <w:tab w:val="left" w:pos="-720"/>
        </w:tabs>
        <w:suppressAutoHyphens/>
        <w:jc w:val="both"/>
        <w:rPr>
          <w:rFonts w:ascii="Verdana" w:hAnsi="Verdana" w:cs="Courier New"/>
          <w:spacing w:val="-3"/>
          <w:sz w:val="18"/>
          <w:lang w:val="en-GB"/>
        </w:rPr>
      </w:pPr>
      <w:r>
        <w:rPr>
          <w:rStyle w:val="Refdenotaalpie"/>
          <w:rFonts w:cs="Courier New"/>
          <w:spacing w:val="-3"/>
          <w:sz w:val="18"/>
        </w:rPr>
        <w:footnoteRef/>
      </w:r>
      <w:r>
        <w:rPr>
          <w:rFonts w:ascii="Verdana" w:hAnsi="Verdana" w:cs="Courier New"/>
          <w:spacing w:val="-3"/>
          <w:sz w:val="18"/>
          <w:lang w:val="en-GB"/>
        </w:rPr>
        <w:t xml:space="preserve">. </w:t>
      </w:r>
      <w:r>
        <w:rPr>
          <w:rFonts w:ascii="Verdana" w:hAnsi="Verdana" w:cs="Courier New"/>
          <w:spacing w:val="-3"/>
          <w:sz w:val="18"/>
          <w:lang w:val="en-GB"/>
        </w:rPr>
        <w:tab/>
        <w:t xml:space="preserve">S.T. Coleridge, </w:t>
      </w:r>
      <w:r>
        <w:rPr>
          <w:rFonts w:ascii="Verdana" w:hAnsi="Verdana" w:cs="Courier New"/>
          <w:i/>
          <w:iCs/>
          <w:spacing w:val="-3"/>
          <w:sz w:val="18"/>
          <w:lang w:val="en-GB"/>
        </w:rPr>
        <w:t>The Rime of the Ancient Mariner</w:t>
      </w:r>
      <w:r>
        <w:rPr>
          <w:rFonts w:ascii="Verdana" w:hAnsi="Verdana" w:cs="Courier New"/>
          <w:spacing w:val="-3"/>
          <w:sz w:val="18"/>
          <w:lang w:val="en-GB"/>
        </w:rPr>
        <w:t xml:space="preserve"> (1798), versos 443-445.</w:t>
      </w:r>
    </w:p>
    <w:p w:rsidR="00000000" w:rsidRDefault="00687F2E">
      <w:pPr>
        <w:pStyle w:val="Textodenotaalpie"/>
        <w:tabs>
          <w:tab w:val="left" w:pos="-720"/>
        </w:tabs>
        <w:suppressAutoHyphens/>
        <w:jc w:val="both"/>
        <w:rPr>
          <w:rFonts w:ascii="Verdana" w:hAnsi="Verdana" w:cs="Courier New"/>
          <w:spacing w:val="-3"/>
          <w:sz w:val="18"/>
          <w:lang w:val="en-GB"/>
        </w:rPr>
      </w:pPr>
    </w:p>
  </w:footnote>
  <w:footnote w:id="6">
    <w:p w:rsidR="00000000" w:rsidRDefault="00687F2E">
      <w:pPr>
        <w:pStyle w:val="Textodenotaalpie"/>
        <w:tabs>
          <w:tab w:val="left" w:pos="-720"/>
        </w:tabs>
        <w:suppressAutoHyphens/>
        <w:jc w:val="both"/>
        <w:rPr>
          <w:rFonts w:ascii="Verdana" w:hAnsi="Verdana" w:cs="Courier New"/>
          <w:spacing w:val="-3"/>
          <w:sz w:val="18"/>
        </w:rPr>
      </w:pPr>
      <w:r>
        <w:rPr>
          <w:rStyle w:val="Refdenotaalpie"/>
          <w:rFonts w:cs="Courier New"/>
          <w:spacing w:val="-3"/>
          <w:sz w:val="18"/>
        </w:rPr>
        <w:footnoteRef/>
      </w:r>
      <w:r>
        <w:rPr>
          <w:rFonts w:ascii="Verdana" w:hAnsi="Verdana" w:cs="Courier New"/>
          <w:spacing w:val="-3"/>
          <w:sz w:val="18"/>
        </w:rPr>
        <w:t xml:space="preserve">. </w:t>
      </w:r>
      <w:r>
        <w:rPr>
          <w:rFonts w:ascii="Verdana" w:hAnsi="Verdana" w:cs="Courier New"/>
          <w:spacing w:val="-3"/>
          <w:sz w:val="18"/>
        </w:rPr>
        <w:tab/>
        <w:t xml:space="preserve">Ch. Journet, </w:t>
      </w:r>
      <w:r>
        <w:rPr>
          <w:rFonts w:ascii="Verdana" w:hAnsi="Verdana" w:cs="Courier New"/>
          <w:i/>
          <w:iCs/>
          <w:spacing w:val="-3"/>
          <w:sz w:val="18"/>
        </w:rPr>
        <w:t xml:space="preserve">Introduction à </w:t>
      </w:r>
      <w:smartTag w:uri="urn:schemas-microsoft-com:office:smarttags" w:element="PersonName">
        <w:smartTagPr>
          <w:attr w:name="ProductID" w:val="la Th￩ologie"/>
        </w:smartTagPr>
        <w:r>
          <w:rPr>
            <w:rFonts w:ascii="Verdana" w:hAnsi="Verdana" w:cs="Courier New"/>
            <w:i/>
            <w:iCs/>
            <w:spacing w:val="-3"/>
            <w:sz w:val="18"/>
          </w:rPr>
          <w:t>la Théologie</w:t>
        </w:r>
      </w:smartTag>
      <w:r>
        <w:rPr>
          <w:rFonts w:ascii="Verdana" w:hAnsi="Verdana" w:cs="Courier New"/>
          <w:spacing w:val="-3"/>
          <w:sz w:val="18"/>
        </w:rPr>
        <w:t>, Paris, Desc</w:t>
      </w:r>
      <w:r>
        <w:rPr>
          <w:rFonts w:ascii="Verdana" w:hAnsi="Verdana" w:cs="Courier New"/>
          <w:spacing w:val="-3"/>
          <w:sz w:val="18"/>
        </w:rPr>
        <w:t xml:space="preserve">lée de Brouwer Édit., 1947, p. 56, y cf. pp. 297-299. - Se ha ponderado que "la persona, el ser humano en cuanto persona, es sujeto de la existencia y de la actuación, aunque es importante hacer notar que la existencia, </w:t>
      </w:r>
      <w:r>
        <w:rPr>
          <w:rFonts w:ascii="Verdana" w:hAnsi="Verdana" w:cs="Courier New"/>
          <w:i/>
          <w:iCs/>
          <w:spacing w:val="-3"/>
          <w:sz w:val="18"/>
        </w:rPr>
        <w:t>ese</w:t>
      </w:r>
      <w:r>
        <w:rPr>
          <w:rFonts w:ascii="Verdana" w:hAnsi="Verdana" w:cs="Courier New"/>
          <w:spacing w:val="-3"/>
          <w:sz w:val="18"/>
        </w:rPr>
        <w:t xml:space="preserve">, que le es propia es </w:t>
      </w:r>
      <w:r>
        <w:rPr>
          <w:rFonts w:ascii="Verdana" w:hAnsi="Verdana" w:cs="Courier New"/>
          <w:i/>
          <w:iCs/>
          <w:spacing w:val="-3"/>
          <w:sz w:val="18"/>
        </w:rPr>
        <w:t>personal</w:t>
      </w:r>
      <w:r>
        <w:rPr>
          <w:rFonts w:ascii="Verdana" w:hAnsi="Verdana" w:cs="Courier New"/>
          <w:spacing w:val="-3"/>
          <w:sz w:val="18"/>
        </w:rPr>
        <w:t xml:space="preserve"> y </w:t>
      </w:r>
      <w:r>
        <w:rPr>
          <w:rFonts w:ascii="Verdana" w:hAnsi="Verdana" w:cs="Courier New"/>
          <w:spacing w:val="-3"/>
          <w:sz w:val="18"/>
        </w:rPr>
        <w:t xml:space="preserve">no meramente individual en el sentido de naturaleza individual. Por consiguiente, el actuar (...) es también personal"; K. Wojtyla, </w:t>
      </w:r>
      <w:r>
        <w:rPr>
          <w:rFonts w:ascii="Verdana" w:hAnsi="Verdana" w:cs="Courier New"/>
          <w:i/>
          <w:iCs/>
          <w:spacing w:val="-3"/>
          <w:sz w:val="18"/>
        </w:rPr>
        <w:t>Persona y Acción</w:t>
      </w:r>
      <w:r>
        <w:rPr>
          <w:rFonts w:ascii="Verdana" w:hAnsi="Verdana" w:cs="Courier New"/>
          <w:spacing w:val="-3"/>
          <w:sz w:val="18"/>
        </w:rPr>
        <w:t>, Madrid, BAC, 1982, p. 90.</w:t>
      </w:r>
    </w:p>
    <w:p w:rsidR="00000000" w:rsidRDefault="00687F2E">
      <w:pPr>
        <w:pStyle w:val="Textodenotaalpie"/>
        <w:tabs>
          <w:tab w:val="left" w:pos="-720"/>
        </w:tabs>
        <w:suppressAutoHyphens/>
        <w:jc w:val="both"/>
        <w:rPr>
          <w:rFonts w:ascii="Verdana" w:hAnsi="Verdana" w:cs="Courier New"/>
          <w:spacing w:val="-3"/>
          <w:sz w:val="18"/>
        </w:rPr>
      </w:pPr>
    </w:p>
  </w:footnote>
  <w:footnote w:id="7">
    <w:p w:rsidR="00000000" w:rsidRDefault="00687F2E">
      <w:pPr>
        <w:pStyle w:val="Textodenotaalpie"/>
        <w:tabs>
          <w:tab w:val="left" w:pos="-720"/>
        </w:tabs>
        <w:suppressAutoHyphens/>
        <w:jc w:val="both"/>
        <w:rPr>
          <w:rFonts w:ascii="Verdana" w:hAnsi="Verdana" w:cs="Courier New"/>
          <w:spacing w:val="-3"/>
          <w:sz w:val="18"/>
        </w:rPr>
      </w:pPr>
      <w:r>
        <w:rPr>
          <w:rStyle w:val="Refdenotaalpie"/>
          <w:rFonts w:cs="Courier New"/>
          <w:spacing w:val="-3"/>
          <w:sz w:val="18"/>
        </w:rPr>
        <w:footnoteRef/>
      </w:r>
      <w:r>
        <w:rPr>
          <w:rFonts w:ascii="Verdana" w:hAnsi="Verdana" w:cs="Courier New"/>
          <w:spacing w:val="-3"/>
          <w:sz w:val="18"/>
        </w:rPr>
        <w:t xml:space="preserve">. </w:t>
      </w:r>
      <w:r>
        <w:rPr>
          <w:rFonts w:ascii="Verdana" w:hAnsi="Verdana" w:cs="Courier New"/>
          <w:spacing w:val="-3"/>
          <w:sz w:val="18"/>
        </w:rPr>
        <w:tab/>
        <w:t>Cf. A.A. Cançado Trindade, "Responsabilidad, Perdón y Justicia como Manifes</w:t>
      </w:r>
      <w:r>
        <w:rPr>
          <w:rFonts w:ascii="Verdana" w:hAnsi="Verdana" w:cs="Courier New"/>
          <w:spacing w:val="-3"/>
          <w:sz w:val="18"/>
        </w:rPr>
        <w:t xml:space="preserve">taciones de </w:t>
      </w:r>
      <w:smartTag w:uri="urn:schemas-microsoft-com:office:smarttags" w:element="PersonName">
        <w:smartTagPr>
          <w:attr w:name="ProductID" w:val="la Conciencia Jur￭dica"/>
        </w:smartTagPr>
        <w:r>
          <w:rPr>
            <w:rFonts w:ascii="Verdana" w:hAnsi="Verdana" w:cs="Courier New"/>
            <w:spacing w:val="-3"/>
            <w:sz w:val="18"/>
          </w:rPr>
          <w:t>la Conciencia Jurídica</w:t>
        </w:r>
      </w:smartTag>
      <w:r>
        <w:rPr>
          <w:rFonts w:ascii="Verdana" w:hAnsi="Verdana" w:cs="Courier New"/>
          <w:spacing w:val="-3"/>
          <w:sz w:val="18"/>
        </w:rPr>
        <w:t xml:space="preserve"> Universal", 8 </w:t>
      </w:r>
      <w:r>
        <w:rPr>
          <w:rFonts w:ascii="Verdana" w:hAnsi="Verdana" w:cs="Courier New"/>
          <w:i/>
          <w:iCs/>
          <w:spacing w:val="-3"/>
          <w:sz w:val="18"/>
        </w:rPr>
        <w:t>Revista de Estudios Socio-Jurídicos</w:t>
      </w:r>
      <w:r>
        <w:rPr>
          <w:rFonts w:ascii="Verdana" w:hAnsi="Verdana" w:cs="Courier New"/>
          <w:spacing w:val="-3"/>
          <w:sz w:val="18"/>
        </w:rPr>
        <w:t xml:space="preserve"> - Universidad del Rosario/Bogotá (2006) n. 1, pp. 15-36.</w:t>
      </w:r>
    </w:p>
    <w:p w:rsidR="00000000" w:rsidRDefault="00687F2E">
      <w:pPr>
        <w:pStyle w:val="Textodenotaalpie"/>
        <w:tabs>
          <w:tab w:val="left" w:pos="-720"/>
        </w:tabs>
        <w:suppressAutoHyphens/>
        <w:jc w:val="both"/>
        <w:rPr>
          <w:rFonts w:ascii="Verdana" w:hAnsi="Verdana" w:cs="Courier New"/>
          <w:spacing w:val="-3"/>
          <w:sz w:val="18"/>
        </w:rPr>
      </w:pPr>
    </w:p>
  </w:footnote>
  <w:footnote w:id="8">
    <w:p w:rsidR="00000000" w:rsidRDefault="00687F2E">
      <w:pPr>
        <w:pStyle w:val="Textodenotaalpie"/>
        <w:tabs>
          <w:tab w:val="left" w:pos="-720"/>
        </w:tabs>
        <w:suppressAutoHyphens/>
        <w:jc w:val="both"/>
        <w:rPr>
          <w:rFonts w:ascii="Verdana" w:hAnsi="Verdana" w:cs="Courier New"/>
          <w:spacing w:val="-3"/>
          <w:sz w:val="18"/>
          <w:lang w:val="en-GB"/>
        </w:rPr>
      </w:pPr>
      <w:r>
        <w:rPr>
          <w:rStyle w:val="Refdenotaalpie"/>
          <w:rFonts w:cs="Courier New"/>
          <w:spacing w:val="-3"/>
          <w:sz w:val="18"/>
        </w:rPr>
        <w:footnoteRef/>
      </w:r>
      <w:r>
        <w:rPr>
          <w:rFonts w:ascii="Verdana" w:hAnsi="Verdana" w:cs="Courier New"/>
          <w:spacing w:val="-3"/>
          <w:sz w:val="18"/>
          <w:lang w:val="en-GB"/>
        </w:rPr>
        <w:t xml:space="preserve">. </w:t>
      </w:r>
      <w:r>
        <w:rPr>
          <w:rFonts w:ascii="Verdana" w:hAnsi="Verdana" w:cs="Courier New"/>
          <w:spacing w:val="-3"/>
          <w:sz w:val="18"/>
          <w:lang w:val="en-GB"/>
        </w:rPr>
        <w:tab/>
        <w:t xml:space="preserve">Cf., v.g., M. Minow, </w:t>
      </w:r>
      <w:r>
        <w:rPr>
          <w:rFonts w:ascii="Verdana" w:hAnsi="Verdana" w:cs="Courier New"/>
          <w:i/>
          <w:iCs/>
          <w:spacing w:val="-3"/>
          <w:sz w:val="18"/>
          <w:lang w:val="en-GB"/>
        </w:rPr>
        <w:t>Between Vengeance and Forgiveness</w:t>
      </w:r>
      <w:r>
        <w:rPr>
          <w:rFonts w:ascii="Verdana" w:hAnsi="Verdana" w:cs="Courier New"/>
          <w:spacing w:val="-3"/>
          <w:sz w:val="18"/>
          <w:lang w:val="en-GB"/>
        </w:rPr>
        <w:t xml:space="preserve">, </w:t>
      </w:r>
      <w:smartTag w:uri="urn:schemas-microsoft-com:office:smarttags" w:element="place">
        <w:smartTag w:uri="urn:schemas-microsoft-com:office:smarttags" w:element="City">
          <w:r>
            <w:rPr>
              <w:rFonts w:ascii="Verdana" w:hAnsi="Verdana" w:cs="Courier New"/>
              <w:spacing w:val="-3"/>
              <w:sz w:val="18"/>
              <w:lang w:val="en-GB"/>
            </w:rPr>
            <w:t>Boston</w:t>
          </w:r>
        </w:smartTag>
      </w:smartTag>
      <w:r>
        <w:rPr>
          <w:rFonts w:ascii="Verdana" w:hAnsi="Verdana" w:cs="Courier New"/>
          <w:spacing w:val="-3"/>
          <w:sz w:val="18"/>
          <w:lang w:val="en-GB"/>
        </w:rPr>
        <w:t>, Beacon Press, 1998, p. 147.</w:t>
      </w:r>
    </w:p>
    <w:p w:rsidR="00000000" w:rsidRDefault="00687F2E">
      <w:pPr>
        <w:pStyle w:val="Textodenotaalpie"/>
        <w:tabs>
          <w:tab w:val="left" w:pos="-720"/>
        </w:tabs>
        <w:suppressAutoHyphens/>
        <w:jc w:val="both"/>
        <w:rPr>
          <w:rFonts w:ascii="Verdana" w:hAnsi="Verdana" w:cs="Courier New"/>
          <w:spacing w:val="-3"/>
          <w:sz w:val="18"/>
          <w:lang w:val="en-GB"/>
        </w:rPr>
      </w:pPr>
    </w:p>
  </w:footnote>
  <w:footnote w:id="9">
    <w:p w:rsidR="00000000" w:rsidRDefault="00687F2E">
      <w:pPr>
        <w:pStyle w:val="Textodenotaalpie"/>
        <w:tabs>
          <w:tab w:val="left" w:pos="-720"/>
        </w:tabs>
        <w:suppressAutoHyphens/>
        <w:jc w:val="both"/>
        <w:rPr>
          <w:rFonts w:ascii="Verdana" w:hAnsi="Verdana" w:cs="Courier New"/>
          <w:spacing w:val="-3"/>
          <w:sz w:val="18"/>
        </w:rPr>
      </w:pPr>
      <w:r>
        <w:rPr>
          <w:rStyle w:val="Refdenotaalpie"/>
          <w:rFonts w:cs="Courier New"/>
          <w:spacing w:val="-3"/>
          <w:sz w:val="18"/>
        </w:rPr>
        <w:footnoteRef/>
      </w:r>
      <w:r>
        <w:rPr>
          <w:rFonts w:ascii="Verdana" w:hAnsi="Verdana" w:cs="Courier New"/>
          <w:spacing w:val="-3"/>
          <w:sz w:val="18"/>
        </w:rPr>
        <w:t xml:space="preserve">. </w:t>
      </w:r>
      <w:r>
        <w:rPr>
          <w:rFonts w:ascii="Verdana" w:hAnsi="Verdana" w:cs="Courier New"/>
          <w:spacing w:val="-3"/>
          <w:sz w:val="18"/>
        </w:rPr>
        <w:tab/>
        <w:t>J. Maritain,</w:t>
      </w:r>
      <w:r>
        <w:rPr>
          <w:rFonts w:ascii="Verdana" w:hAnsi="Verdana" w:cs="Courier New"/>
          <w:spacing w:val="-3"/>
          <w:sz w:val="18"/>
        </w:rPr>
        <w:t xml:space="preserve"> </w:t>
      </w:r>
      <w:r>
        <w:rPr>
          <w:rFonts w:ascii="Verdana" w:hAnsi="Verdana" w:cs="Courier New"/>
          <w:i/>
          <w:iCs/>
          <w:spacing w:val="-3"/>
          <w:sz w:val="18"/>
        </w:rPr>
        <w:t xml:space="preserve">Para una Filosofía de </w:t>
      </w:r>
      <w:smartTag w:uri="urn:schemas-microsoft-com:office:smarttags" w:element="PersonName">
        <w:smartTagPr>
          <w:attr w:name="ProductID" w:val="la Persona Humana"/>
        </w:smartTagPr>
        <w:r>
          <w:rPr>
            <w:rFonts w:ascii="Verdana" w:hAnsi="Verdana" w:cs="Courier New"/>
            <w:i/>
            <w:iCs/>
            <w:spacing w:val="-3"/>
            <w:sz w:val="18"/>
          </w:rPr>
          <w:t>la Persona Humana</w:t>
        </w:r>
      </w:smartTag>
      <w:r>
        <w:rPr>
          <w:rFonts w:ascii="Verdana" w:hAnsi="Verdana" w:cs="Courier New"/>
          <w:spacing w:val="-3"/>
          <w:sz w:val="18"/>
        </w:rPr>
        <w:t>, Buenos Aires, Club de Lectores, 1984, pp. 161-162 y 198, y cf. pp. 158 y 164.</w:t>
      </w:r>
    </w:p>
    <w:p w:rsidR="00000000" w:rsidRDefault="00687F2E">
      <w:pPr>
        <w:pStyle w:val="Textodenotaalpie"/>
        <w:tabs>
          <w:tab w:val="left" w:pos="-720"/>
        </w:tabs>
        <w:suppressAutoHyphens/>
        <w:jc w:val="both"/>
        <w:rPr>
          <w:rFonts w:ascii="Verdana" w:hAnsi="Verdana" w:cs="Courier New"/>
          <w:spacing w:val="-3"/>
          <w:sz w:val="18"/>
        </w:rPr>
      </w:pPr>
    </w:p>
  </w:footnote>
  <w:footnote w:id="10">
    <w:p w:rsidR="00000000" w:rsidRDefault="00687F2E">
      <w:pPr>
        <w:pStyle w:val="Textodenotaalpie"/>
        <w:tabs>
          <w:tab w:val="left" w:pos="-720"/>
        </w:tabs>
        <w:suppressAutoHyphens/>
        <w:jc w:val="both"/>
        <w:rPr>
          <w:rFonts w:ascii="Verdana" w:hAnsi="Verdana" w:cs="Courier New"/>
          <w:spacing w:val="-3"/>
          <w:sz w:val="18"/>
        </w:rPr>
      </w:pPr>
      <w:r>
        <w:rPr>
          <w:rStyle w:val="Refdenotaalpie"/>
          <w:rFonts w:cs="Courier New"/>
          <w:spacing w:val="-3"/>
          <w:sz w:val="18"/>
        </w:rPr>
        <w:footnoteRef/>
      </w:r>
      <w:r>
        <w:rPr>
          <w:rFonts w:ascii="Verdana" w:hAnsi="Verdana" w:cs="Courier New"/>
          <w:spacing w:val="-3"/>
          <w:sz w:val="18"/>
        </w:rPr>
        <w:t xml:space="preserve">. </w:t>
      </w:r>
      <w:r>
        <w:rPr>
          <w:rFonts w:ascii="Verdana" w:hAnsi="Verdana" w:cs="Courier New"/>
          <w:spacing w:val="-3"/>
          <w:sz w:val="18"/>
        </w:rPr>
        <w:tab/>
      </w:r>
      <w:r>
        <w:rPr>
          <w:rFonts w:ascii="Verdana" w:hAnsi="Verdana" w:cs="Courier New"/>
          <w:i/>
          <w:iCs/>
          <w:spacing w:val="-3"/>
          <w:sz w:val="18"/>
        </w:rPr>
        <w:t>Ibid</w:t>
      </w:r>
      <w:r>
        <w:rPr>
          <w:rFonts w:ascii="Verdana" w:hAnsi="Verdana" w:cs="Courier New"/>
          <w:spacing w:val="-3"/>
          <w:sz w:val="18"/>
        </w:rPr>
        <w:t xml:space="preserve">., pp. 176-177 y 231. </w:t>
      </w:r>
    </w:p>
    <w:p w:rsidR="00000000" w:rsidRDefault="00687F2E">
      <w:pPr>
        <w:pStyle w:val="Textodenotaalpie"/>
        <w:tabs>
          <w:tab w:val="left" w:pos="-720"/>
        </w:tabs>
        <w:suppressAutoHyphens/>
        <w:jc w:val="both"/>
        <w:rPr>
          <w:rFonts w:ascii="Verdana" w:hAnsi="Verdana" w:cs="Courier New"/>
          <w:spacing w:val="-3"/>
          <w:sz w:val="18"/>
        </w:rPr>
      </w:pPr>
    </w:p>
  </w:footnote>
  <w:footnote w:id="11">
    <w:p w:rsidR="00000000" w:rsidRDefault="00687F2E">
      <w:pPr>
        <w:pStyle w:val="Textodenotaalpie"/>
        <w:tabs>
          <w:tab w:val="left" w:pos="-720"/>
        </w:tabs>
        <w:suppressAutoHyphens/>
        <w:jc w:val="both"/>
        <w:rPr>
          <w:rFonts w:ascii="Verdana" w:hAnsi="Verdana" w:cs="Courier New"/>
          <w:spacing w:val="-3"/>
          <w:sz w:val="18"/>
        </w:rPr>
      </w:pPr>
      <w:r>
        <w:rPr>
          <w:rStyle w:val="Refdenotaalpie"/>
          <w:rFonts w:cs="Courier New"/>
          <w:spacing w:val="-3"/>
          <w:sz w:val="18"/>
        </w:rPr>
        <w:footnoteRef/>
      </w:r>
      <w:r>
        <w:rPr>
          <w:rFonts w:ascii="Verdana" w:hAnsi="Verdana" w:cs="Courier New"/>
          <w:spacing w:val="-3"/>
          <w:sz w:val="18"/>
        </w:rPr>
        <w:t xml:space="preserve">. </w:t>
      </w:r>
      <w:r>
        <w:rPr>
          <w:rFonts w:ascii="Verdana" w:hAnsi="Verdana" w:cs="Courier New"/>
          <w:spacing w:val="-3"/>
          <w:sz w:val="18"/>
        </w:rPr>
        <w:tab/>
      </w:r>
      <w:r>
        <w:rPr>
          <w:rFonts w:ascii="Verdana" w:hAnsi="Verdana" w:cs="Courier New"/>
          <w:i/>
          <w:iCs/>
          <w:spacing w:val="-3"/>
          <w:sz w:val="18"/>
        </w:rPr>
        <w:t>Ibid</w:t>
      </w:r>
      <w:r>
        <w:rPr>
          <w:rFonts w:ascii="Verdana" w:hAnsi="Verdana" w:cs="Courier New"/>
          <w:spacing w:val="-3"/>
          <w:sz w:val="18"/>
        </w:rPr>
        <w:t xml:space="preserve">., p. 141. </w:t>
      </w:r>
    </w:p>
    <w:p w:rsidR="00000000" w:rsidRDefault="00687F2E">
      <w:pPr>
        <w:pStyle w:val="Textodenotaalpie"/>
        <w:tabs>
          <w:tab w:val="left" w:pos="-720"/>
        </w:tabs>
        <w:suppressAutoHyphens/>
        <w:jc w:val="both"/>
        <w:rPr>
          <w:rFonts w:ascii="Verdana" w:hAnsi="Verdana" w:cs="Courier New"/>
          <w:spacing w:val="-3"/>
          <w:sz w:val="18"/>
        </w:rPr>
      </w:pPr>
    </w:p>
  </w:footnote>
  <w:footnote w:id="12">
    <w:p w:rsidR="00000000" w:rsidRDefault="00687F2E">
      <w:pPr>
        <w:pStyle w:val="Textodenotaalpie"/>
        <w:tabs>
          <w:tab w:val="left" w:pos="-720"/>
        </w:tabs>
        <w:suppressAutoHyphens/>
        <w:jc w:val="both"/>
        <w:rPr>
          <w:rFonts w:ascii="Verdana" w:hAnsi="Verdana" w:cs="Courier New"/>
          <w:spacing w:val="-3"/>
          <w:sz w:val="18"/>
          <w:lang w:val="en-GB"/>
        </w:rPr>
      </w:pPr>
      <w:r>
        <w:rPr>
          <w:rStyle w:val="Refdenotaalpie"/>
          <w:rFonts w:cs="Courier New"/>
          <w:spacing w:val="-3"/>
          <w:sz w:val="18"/>
        </w:rPr>
        <w:footnoteRef/>
      </w:r>
      <w:r>
        <w:rPr>
          <w:rFonts w:ascii="Verdana" w:hAnsi="Verdana" w:cs="Courier New"/>
          <w:spacing w:val="-3"/>
          <w:sz w:val="18"/>
          <w:lang w:val="en-GB"/>
        </w:rPr>
        <w:t xml:space="preserve">. </w:t>
      </w:r>
      <w:r>
        <w:rPr>
          <w:rFonts w:ascii="Verdana" w:hAnsi="Verdana" w:cs="Courier New"/>
          <w:spacing w:val="-3"/>
          <w:sz w:val="18"/>
          <w:lang w:val="en-GB"/>
        </w:rPr>
        <w:tab/>
        <w:t xml:space="preserve">Cf. </w:t>
      </w:r>
      <w:r>
        <w:rPr>
          <w:rFonts w:ascii="Verdana" w:hAnsi="Verdana" w:cs="Courier New"/>
          <w:i/>
          <w:iCs/>
          <w:spacing w:val="-3"/>
          <w:sz w:val="18"/>
          <w:lang w:val="en-GB"/>
        </w:rPr>
        <w:t>ibid</w:t>
      </w:r>
      <w:r>
        <w:rPr>
          <w:rFonts w:ascii="Verdana" w:hAnsi="Verdana" w:cs="Courier New"/>
          <w:spacing w:val="-3"/>
          <w:sz w:val="18"/>
          <w:lang w:val="en-GB"/>
        </w:rPr>
        <w:t>., pp. 186 y 196-197.</w:t>
      </w:r>
    </w:p>
    <w:p w:rsidR="00000000" w:rsidRDefault="00687F2E">
      <w:pPr>
        <w:pStyle w:val="Textodenotaalpie"/>
        <w:tabs>
          <w:tab w:val="left" w:pos="-720"/>
        </w:tabs>
        <w:suppressAutoHyphens/>
        <w:jc w:val="both"/>
        <w:rPr>
          <w:rFonts w:ascii="Verdana" w:hAnsi="Verdana" w:cs="Courier New"/>
          <w:spacing w:val="-3"/>
          <w:sz w:val="18"/>
          <w:lang w:val="en-GB"/>
        </w:rPr>
      </w:pPr>
    </w:p>
  </w:footnote>
  <w:footnote w:id="13">
    <w:p w:rsidR="00000000" w:rsidRDefault="00687F2E">
      <w:pPr>
        <w:pStyle w:val="Textodenotaalpie"/>
        <w:tabs>
          <w:tab w:val="left" w:pos="-720"/>
        </w:tabs>
        <w:suppressAutoHyphens/>
        <w:jc w:val="both"/>
        <w:rPr>
          <w:rFonts w:ascii="Verdana" w:hAnsi="Verdana" w:cs="Courier New"/>
          <w:spacing w:val="-3"/>
          <w:sz w:val="18"/>
          <w:lang w:val="en-GB"/>
        </w:rPr>
      </w:pPr>
      <w:r>
        <w:rPr>
          <w:rStyle w:val="Refdenotaalpie"/>
          <w:rFonts w:cs="Courier New"/>
          <w:spacing w:val="-3"/>
          <w:sz w:val="18"/>
        </w:rPr>
        <w:footnoteRef/>
      </w:r>
      <w:r>
        <w:rPr>
          <w:rFonts w:ascii="Verdana" w:hAnsi="Verdana" w:cs="Courier New"/>
          <w:spacing w:val="-3"/>
          <w:sz w:val="18"/>
          <w:lang w:val="en-GB"/>
        </w:rPr>
        <w:t xml:space="preserve">. </w:t>
      </w:r>
      <w:r>
        <w:rPr>
          <w:rFonts w:ascii="Verdana" w:hAnsi="Verdana" w:cs="Courier New"/>
          <w:spacing w:val="-3"/>
          <w:sz w:val="18"/>
          <w:lang w:val="en-GB"/>
        </w:rPr>
        <w:tab/>
        <w:t xml:space="preserve">J. Maritain, </w:t>
      </w:r>
      <w:r>
        <w:rPr>
          <w:rFonts w:ascii="Verdana" w:hAnsi="Verdana" w:cs="Courier New"/>
          <w:i/>
          <w:iCs/>
          <w:spacing w:val="-3"/>
          <w:sz w:val="18"/>
          <w:lang w:val="en-GB"/>
        </w:rPr>
        <w:t>Humanisme intégral</w:t>
      </w:r>
      <w:r>
        <w:rPr>
          <w:rFonts w:ascii="Verdana" w:hAnsi="Verdana" w:cs="Courier New"/>
          <w:spacing w:val="-3"/>
          <w:sz w:val="18"/>
          <w:lang w:val="en-GB"/>
        </w:rPr>
        <w:t xml:space="preserve"> (1936), </w:t>
      </w:r>
      <w:smartTag w:uri="urn:schemas-microsoft-com:office:smarttags" w:element="place">
        <w:smartTag w:uri="urn:schemas-microsoft-com:office:smarttags" w:element="City">
          <w:r>
            <w:rPr>
              <w:rFonts w:ascii="Verdana" w:hAnsi="Verdana" w:cs="Courier New"/>
              <w:spacing w:val="-3"/>
              <w:sz w:val="18"/>
              <w:lang w:val="en-GB"/>
            </w:rPr>
            <w:t>Par</w:t>
          </w:r>
          <w:r>
            <w:rPr>
              <w:rFonts w:ascii="Verdana" w:hAnsi="Verdana" w:cs="Courier New"/>
              <w:spacing w:val="-3"/>
              <w:sz w:val="18"/>
              <w:lang w:val="en-GB"/>
            </w:rPr>
            <w:t>is</w:t>
          </w:r>
        </w:smartTag>
      </w:smartTag>
      <w:r>
        <w:rPr>
          <w:rFonts w:ascii="Verdana" w:hAnsi="Verdana" w:cs="Courier New"/>
          <w:spacing w:val="-3"/>
          <w:sz w:val="18"/>
          <w:lang w:val="en-GB"/>
        </w:rPr>
        <w:t>, Aubier, 2000 (reed.), p. 18, y cf. pp. 37.</w:t>
      </w:r>
    </w:p>
    <w:p w:rsidR="00000000" w:rsidRDefault="00687F2E">
      <w:pPr>
        <w:pStyle w:val="Textodenotaalpie"/>
        <w:tabs>
          <w:tab w:val="left" w:pos="-720"/>
        </w:tabs>
        <w:suppressAutoHyphens/>
        <w:jc w:val="both"/>
        <w:rPr>
          <w:rFonts w:ascii="Verdana" w:hAnsi="Verdana" w:cs="Courier New"/>
          <w:spacing w:val="-3"/>
          <w:sz w:val="18"/>
          <w:lang w:val="en-GB"/>
        </w:rPr>
      </w:pPr>
    </w:p>
  </w:footnote>
  <w:footnote w:id="14">
    <w:p w:rsidR="00000000" w:rsidRDefault="00687F2E">
      <w:pPr>
        <w:pStyle w:val="Textodenotaalpie"/>
        <w:tabs>
          <w:tab w:val="left" w:pos="-720"/>
        </w:tabs>
        <w:suppressAutoHyphens/>
        <w:jc w:val="both"/>
        <w:rPr>
          <w:rFonts w:ascii="Verdana" w:hAnsi="Verdana" w:cs="Courier New"/>
          <w:spacing w:val="-3"/>
          <w:sz w:val="18"/>
          <w:lang w:val="en-GB"/>
        </w:rPr>
      </w:pPr>
      <w:r>
        <w:rPr>
          <w:rStyle w:val="Refdenotaalpie"/>
          <w:rFonts w:cs="Courier New"/>
          <w:spacing w:val="-3"/>
          <w:sz w:val="18"/>
        </w:rPr>
        <w:footnoteRef/>
      </w:r>
      <w:r>
        <w:rPr>
          <w:rFonts w:ascii="Verdana" w:hAnsi="Verdana" w:cs="Courier New"/>
          <w:spacing w:val="-3"/>
          <w:sz w:val="18"/>
          <w:lang w:val="en-GB"/>
        </w:rPr>
        <w:t xml:space="preserve">. </w:t>
      </w:r>
      <w:r>
        <w:rPr>
          <w:rFonts w:ascii="Verdana" w:hAnsi="Verdana" w:cs="Courier New"/>
          <w:spacing w:val="-3"/>
          <w:sz w:val="18"/>
          <w:lang w:val="en-GB"/>
        </w:rPr>
        <w:tab/>
        <w:t xml:space="preserve">Cf. </w:t>
      </w:r>
      <w:r>
        <w:rPr>
          <w:rFonts w:ascii="Verdana" w:hAnsi="Verdana" w:cs="Courier New"/>
          <w:i/>
          <w:iCs/>
          <w:spacing w:val="-3"/>
          <w:sz w:val="18"/>
          <w:lang w:val="en-GB"/>
        </w:rPr>
        <w:t>ibid</w:t>
      </w:r>
      <w:r>
        <w:rPr>
          <w:rFonts w:ascii="Verdana" w:hAnsi="Verdana" w:cs="Courier New"/>
          <w:spacing w:val="-3"/>
          <w:sz w:val="18"/>
          <w:lang w:val="en-GB"/>
        </w:rPr>
        <w:t>., pp. 229-232.</w:t>
      </w:r>
    </w:p>
    <w:p w:rsidR="00000000" w:rsidRDefault="00687F2E">
      <w:pPr>
        <w:pStyle w:val="Textodenotaalpie"/>
        <w:tabs>
          <w:tab w:val="left" w:pos="-720"/>
        </w:tabs>
        <w:suppressAutoHyphens/>
        <w:jc w:val="both"/>
        <w:rPr>
          <w:rFonts w:ascii="Verdana" w:hAnsi="Verdana" w:cs="Courier New"/>
          <w:spacing w:val="-3"/>
          <w:sz w:val="18"/>
          <w:lang w:val="en-GB"/>
        </w:rPr>
      </w:pPr>
    </w:p>
  </w:footnote>
  <w:footnote w:id="15">
    <w:p w:rsidR="00000000" w:rsidRDefault="00687F2E">
      <w:pPr>
        <w:pStyle w:val="Textodenotaalpie"/>
        <w:tabs>
          <w:tab w:val="left" w:pos="-720"/>
        </w:tabs>
        <w:suppressAutoHyphens/>
        <w:jc w:val="both"/>
        <w:rPr>
          <w:rFonts w:ascii="Verdana" w:hAnsi="Verdana" w:cs="Courier New"/>
          <w:spacing w:val="-3"/>
          <w:sz w:val="18"/>
          <w:lang w:val="en-GB"/>
        </w:rPr>
      </w:pPr>
      <w:r>
        <w:rPr>
          <w:rStyle w:val="Refdenotaalpie"/>
          <w:rFonts w:cs="Courier New"/>
          <w:spacing w:val="-3"/>
          <w:sz w:val="18"/>
        </w:rPr>
        <w:footnoteRef/>
      </w:r>
      <w:r>
        <w:rPr>
          <w:rFonts w:ascii="Verdana" w:hAnsi="Verdana" w:cs="Courier New"/>
          <w:spacing w:val="-3"/>
          <w:sz w:val="18"/>
          <w:lang w:val="en-GB"/>
        </w:rPr>
        <w:t xml:space="preserve">. </w:t>
      </w:r>
      <w:r>
        <w:rPr>
          <w:rFonts w:ascii="Verdana" w:hAnsi="Verdana" w:cs="Courier New"/>
          <w:spacing w:val="-3"/>
          <w:sz w:val="18"/>
          <w:lang w:val="en-GB"/>
        </w:rPr>
        <w:tab/>
        <w:t xml:space="preserve">A.M.S. Boethius, </w:t>
      </w:r>
      <w:r>
        <w:rPr>
          <w:rFonts w:ascii="Verdana" w:hAnsi="Verdana" w:cs="Courier New"/>
          <w:i/>
          <w:iCs/>
          <w:spacing w:val="-3"/>
          <w:sz w:val="18"/>
          <w:lang w:val="en-GB"/>
        </w:rPr>
        <w:t>The Consolation of Philosophy</w:t>
      </w:r>
      <w:r>
        <w:rPr>
          <w:rFonts w:ascii="Verdana" w:hAnsi="Verdana" w:cs="Courier New"/>
          <w:spacing w:val="-3"/>
          <w:sz w:val="18"/>
          <w:lang w:val="en-GB"/>
        </w:rPr>
        <w:t xml:space="preserve"> (</w:t>
      </w:r>
      <w:r>
        <w:rPr>
          <w:rFonts w:ascii="Verdana" w:hAnsi="Verdana" w:cs="Courier New"/>
          <w:i/>
          <w:iCs/>
          <w:spacing w:val="-3"/>
          <w:sz w:val="18"/>
          <w:lang w:val="en-GB"/>
        </w:rPr>
        <w:t>circa</w:t>
      </w:r>
      <w:r>
        <w:rPr>
          <w:rFonts w:ascii="Verdana" w:hAnsi="Verdana" w:cs="Courier New"/>
          <w:spacing w:val="-3"/>
          <w:sz w:val="18"/>
          <w:lang w:val="en-GB"/>
        </w:rPr>
        <w:t xml:space="preserve"> 525), N.Y., B. &amp; Noble, 2005 [reprint], pp. 113, 122, 125, 127 y 134.</w:t>
      </w:r>
    </w:p>
    <w:p w:rsidR="00000000" w:rsidRDefault="00687F2E">
      <w:pPr>
        <w:pStyle w:val="Textodenotaalpie"/>
        <w:tabs>
          <w:tab w:val="left" w:pos="-720"/>
        </w:tabs>
        <w:suppressAutoHyphens/>
        <w:jc w:val="both"/>
        <w:rPr>
          <w:rFonts w:ascii="Verdana" w:hAnsi="Verdana" w:cs="Courier New"/>
          <w:spacing w:val="-3"/>
          <w:sz w:val="18"/>
          <w:lang w:val="en-GB"/>
        </w:rPr>
      </w:pPr>
    </w:p>
  </w:footnote>
  <w:footnote w:id="16">
    <w:p w:rsidR="00000000" w:rsidRDefault="00687F2E">
      <w:pPr>
        <w:pStyle w:val="Textodenotaalpie"/>
        <w:tabs>
          <w:tab w:val="left" w:pos="-720"/>
        </w:tabs>
        <w:suppressAutoHyphens/>
        <w:jc w:val="both"/>
        <w:rPr>
          <w:rFonts w:ascii="Verdana" w:hAnsi="Verdana" w:cs="Courier New"/>
          <w:spacing w:val="-3"/>
          <w:sz w:val="18"/>
          <w:lang w:val="en-GB"/>
        </w:rPr>
      </w:pPr>
      <w:r>
        <w:rPr>
          <w:rStyle w:val="Refdenotaalpie"/>
          <w:rFonts w:cs="Courier New"/>
          <w:spacing w:val="-3"/>
          <w:sz w:val="18"/>
        </w:rPr>
        <w:footnoteRef/>
      </w:r>
      <w:r>
        <w:rPr>
          <w:rFonts w:ascii="Verdana" w:hAnsi="Verdana" w:cs="Courier New"/>
          <w:spacing w:val="-3"/>
          <w:sz w:val="18"/>
          <w:lang w:val="en-GB"/>
        </w:rPr>
        <w:t xml:space="preserve">. </w:t>
      </w:r>
      <w:r>
        <w:rPr>
          <w:rFonts w:ascii="Verdana" w:hAnsi="Verdana" w:cs="Courier New"/>
          <w:spacing w:val="-3"/>
          <w:sz w:val="18"/>
          <w:lang w:val="en-GB"/>
        </w:rPr>
        <w:tab/>
        <w:t xml:space="preserve">Cf., </w:t>
      </w:r>
      <w:r>
        <w:rPr>
          <w:rFonts w:ascii="Verdana" w:hAnsi="Verdana" w:cs="Courier New"/>
          <w:i/>
          <w:iCs/>
          <w:spacing w:val="-3"/>
          <w:sz w:val="18"/>
          <w:lang w:val="en-GB"/>
        </w:rPr>
        <w:t>inter alia</w:t>
      </w:r>
      <w:r>
        <w:rPr>
          <w:rFonts w:ascii="Verdana" w:hAnsi="Verdana" w:cs="Courier New"/>
          <w:spacing w:val="-3"/>
          <w:sz w:val="18"/>
          <w:lang w:val="en-GB"/>
        </w:rPr>
        <w:t xml:space="preserve">, v.g., Y. de </w:t>
      </w:r>
      <w:smartTag w:uri="urn:schemas-microsoft-com:office:smarttags" w:element="PersonName">
        <w:smartTagPr>
          <w:attr w:name="ProductID" w:val="la Bri￨re"/>
        </w:smartTagPr>
        <w:r>
          <w:rPr>
            <w:rFonts w:ascii="Verdana" w:hAnsi="Verdana" w:cs="Courier New"/>
            <w:spacing w:val="-3"/>
            <w:sz w:val="18"/>
            <w:lang w:val="en-GB"/>
          </w:rPr>
          <w:t>la Brière</w:t>
        </w:r>
      </w:smartTag>
      <w:r>
        <w:rPr>
          <w:rFonts w:ascii="Verdana" w:hAnsi="Verdana" w:cs="Courier New"/>
          <w:spacing w:val="-3"/>
          <w:sz w:val="18"/>
          <w:lang w:val="en-GB"/>
        </w:rPr>
        <w:t>, "Intro</w:t>
      </w:r>
      <w:r>
        <w:rPr>
          <w:rFonts w:ascii="Verdana" w:hAnsi="Verdana" w:cs="Courier New"/>
          <w:spacing w:val="-3"/>
          <w:sz w:val="18"/>
          <w:lang w:val="en-GB"/>
        </w:rPr>
        <w:t xml:space="preserve">duction", </w:t>
      </w:r>
      <w:smartTag w:uri="urn:schemas-microsoft-com:office:smarttags" w:element="place">
        <w:smartTag w:uri="urn:schemas-microsoft-com:office:smarttags" w:element="City">
          <w:r>
            <w:rPr>
              <w:rFonts w:ascii="Verdana" w:hAnsi="Verdana" w:cs="Courier New"/>
              <w:i/>
              <w:iCs/>
              <w:spacing w:val="-3"/>
              <w:sz w:val="18"/>
              <w:lang w:val="en-GB"/>
            </w:rPr>
            <w:t>Vitoria</w:t>
          </w:r>
        </w:smartTag>
      </w:smartTag>
      <w:r>
        <w:rPr>
          <w:rFonts w:ascii="Verdana" w:hAnsi="Verdana" w:cs="Courier New"/>
          <w:i/>
          <w:iCs/>
          <w:spacing w:val="-3"/>
          <w:sz w:val="18"/>
          <w:lang w:val="en-GB"/>
        </w:rPr>
        <w:t xml:space="preserve"> et Suarez - Contribution des théologiens au Droit international moderne</w:t>
      </w:r>
      <w:r>
        <w:rPr>
          <w:rFonts w:ascii="Verdana" w:hAnsi="Verdana" w:cs="Courier New"/>
          <w:spacing w:val="-3"/>
          <w:sz w:val="18"/>
          <w:lang w:val="en-GB"/>
        </w:rPr>
        <w:t xml:space="preserve">, Paris, Pédone, 1939, pp. 5-12. </w:t>
      </w:r>
    </w:p>
    <w:p w:rsidR="00000000" w:rsidRDefault="00687F2E">
      <w:pPr>
        <w:pStyle w:val="Textodenotaalpie"/>
        <w:tabs>
          <w:tab w:val="left" w:pos="-720"/>
        </w:tabs>
        <w:suppressAutoHyphens/>
        <w:jc w:val="both"/>
        <w:rPr>
          <w:rFonts w:ascii="Verdana" w:hAnsi="Verdana" w:cs="Courier New"/>
          <w:spacing w:val="-3"/>
          <w:sz w:val="18"/>
          <w:lang w:val="en-GB"/>
        </w:rPr>
      </w:pPr>
    </w:p>
  </w:footnote>
  <w:footnote w:id="17">
    <w:p w:rsidR="00000000" w:rsidRDefault="00687F2E">
      <w:pPr>
        <w:pStyle w:val="Textodenotaalpie"/>
        <w:tabs>
          <w:tab w:val="left" w:pos="-720"/>
        </w:tabs>
        <w:suppressAutoHyphens/>
        <w:jc w:val="both"/>
        <w:rPr>
          <w:rFonts w:ascii="Verdana" w:hAnsi="Verdana" w:cs="Courier New"/>
          <w:spacing w:val="-3"/>
          <w:sz w:val="18"/>
        </w:rPr>
      </w:pPr>
      <w:r>
        <w:rPr>
          <w:rStyle w:val="Refdenotaalpie"/>
          <w:rFonts w:cs="Courier New"/>
          <w:spacing w:val="-3"/>
          <w:sz w:val="18"/>
        </w:rPr>
        <w:footnoteRef/>
      </w:r>
      <w:r>
        <w:rPr>
          <w:rFonts w:ascii="Verdana" w:hAnsi="Verdana" w:cs="Courier New"/>
          <w:spacing w:val="-3"/>
          <w:sz w:val="18"/>
        </w:rPr>
        <w:t xml:space="preserve">. </w:t>
      </w:r>
      <w:r>
        <w:rPr>
          <w:rFonts w:ascii="Verdana" w:hAnsi="Verdana" w:cs="Courier New"/>
          <w:spacing w:val="-3"/>
          <w:sz w:val="18"/>
        </w:rPr>
        <w:tab/>
        <w:t xml:space="preserve">Para Henri Bergson, no hay percepción que no esté permeada de recuerdos, y la </w:t>
      </w:r>
      <w:r>
        <w:rPr>
          <w:rFonts w:ascii="Verdana" w:hAnsi="Verdana" w:cs="Courier New"/>
          <w:i/>
          <w:iCs/>
          <w:spacing w:val="-3"/>
          <w:sz w:val="18"/>
        </w:rPr>
        <w:t>duración</w:t>
      </w:r>
      <w:r>
        <w:rPr>
          <w:rFonts w:ascii="Verdana" w:hAnsi="Verdana" w:cs="Courier New"/>
          <w:spacing w:val="-3"/>
          <w:sz w:val="18"/>
        </w:rPr>
        <w:t xml:space="preserve"> - v.g., de la vida - es el pasado acumula</w:t>
      </w:r>
      <w:r>
        <w:rPr>
          <w:rFonts w:ascii="Verdana" w:hAnsi="Verdana" w:cs="Courier New"/>
          <w:spacing w:val="-3"/>
          <w:sz w:val="18"/>
        </w:rPr>
        <w:t xml:space="preserve">do que invade el presente; cf. H. Bergson, </w:t>
      </w:r>
      <w:r>
        <w:rPr>
          <w:rFonts w:ascii="Verdana" w:hAnsi="Verdana" w:cs="Courier New"/>
          <w:i/>
          <w:iCs/>
          <w:spacing w:val="-3"/>
          <w:sz w:val="18"/>
        </w:rPr>
        <w:t>Memória e Vida</w:t>
      </w:r>
      <w:r>
        <w:rPr>
          <w:rFonts w:ascii="Verdana" w:hAnsi="Verdana" w:cs="Courier New"/>
          <w:spacing w:val="-3"/>
          <w:sz w:val="18"/>
        </w:rPr>
        <w:t>, São Paulo, Martins Fontes, 2006 [reed.], pp. 2, 47, 86, 122-123 y 162.</w:t>
      </w:r>
    </w:p>
    <w:p w:rsidR="00000000" w:rsidRDefault="00687F2E">
      <w:pPr>
        <w:pStyle w:val="Textodenotaalpie"/>
        <w:tabs>
          <w:tab w:val="left" w:pos="-720"/>
        </w:tabs>
        <w:suppressAutoHyphens/>
        <w:jc w:val="both"/>
        <w:rPr>
          <w:rFonts w:ascii="Verdana" w:hAnsi="Verdana" w:cs="Courier New"/>
          <w:spacing w:val="-3"/>
          <w:sz w:val="18"/>
        </w:rPr>
      </w:pPr>
    </w:p>
  </w:footnote>
  <w:footnote w:id="18">
    <w:p w:rsidR="00000000" w:rsidRDefault="00687F2E">
      <w:pPr>
        <w:pStyle w:val="Textodenotaalpie"/>
        <w:tabs>
          <w:tab w:val="left" w:pos="-720"/>
        </w:tabs>
        <w:suppressAutoHyphens/>
        <w:jc w:val="both"/>
        <w:rPr>
          <w:rFonts w:ascii="Verdana" w:hAnsi="Verdana" w:cs="Courier New"/>
          <w:spacing w:val="-3"/>
          <w:sz w:val="18"/>
        </w:rPr>
      </w:pPr>
      <w:r>
        <w:rPr>
          <w:rStyle w:val="Refdenotaalpie"/>
          <w:rFonts w:cs="Courier New"/>
          <w:spacing w:val="-3"/>
          <w:sz w:val="18"/>
        </w:rPr>
        <w:footnoteRef/>
      </w:r>
      <w:r>
        <w:rPr>
          <w:rFonts w:ascii="Verdana" w:hAnsi="Verdana" w:cs="Courier New"/>
          <w:spacing w:val="-3"/>
          <w:sz w:val="18"/>
        </w:rPr>
        <w:t xml:space="preserve">. </w:t>
      </w:r>
      <w:r>
        <w:rPr>
          <w:rFonts w:ascii="Verdana" w:hAnsi="Verdana" w:cs="Courier New"/>
          <w:spacing w:val="-3"/>
          <w:sz w:val="18"/>
        </w:rPr>
        <w:tab/>
        <w:t xml:space="preserve">J.A. de </w:t>
      </w:r>
      <w:smartTag w:uri="urn:schemas-microsoft-com:office:smarttags" w:element="PersonName">
        <w:smartTagPr>
          <w:attr w:name="ProductID" w:val="la Torre Rangel"/>
        </w:smartTagPr>
        <w:r>
          <w:rPr>
            <w:rFonts w:ascii="Verdana" w:hAnsi="Verdana" w:cs="Courier New"/>
            <w:spacing w:val="-3"/>
            <w:sz w:val="18"/>
          </w:rPr>
          <w:t>la Torre Rangel</w:t>
        </w:r>
      </w:smartTag>
      <w:r>
        <w:rPr>
          <w:rFonts w:ascii="Verdana" w:hAnsi="Verdana" w:cs="Courier New"/>
          <w:spacing w:val="-3"/>
          <w:sz w:val="18"/>
        </w:rPr>
        <w:t xml:space="preserve">, </w:t>
      </w:r>
      <w:r>
        <w:rPr>
          <w:rFonts w:ascii="Verdana" w:hAnsi="Verdana" w:cs="Courier New"/>
          <w:i/>
          <w:iCs/>
          <w:spacing w:val="-3"/>
          <w:sz w:val="18"/>
        </w:rPr>
        <w:t xml:space="preserve">Iusnaturalismo, Personalismo y Filosofía de </w:t>
      </w:r>
      <w:smartTag w:uri="urn:schemas-microsoft-com:office:smarttags" w:element="PersonName">
        <w:smartTagPr>
          <w:attr w:name="ProductID" w:val="la Liberaci￳n"/>
        </w:smartTagPr>
        <w:r>
          <w:rPr>
            <w:rFonts w:ascii="Verdana" w:hAnsi="Verdana" w:cs="Courier New"/>
            <w:i/>
            <w:iCs/>
            <w:spacing w:val="-3"/>
            <w:sz w:val="18"/>
          </w:rPr>
          <w:t>la Liberación</w:t>
        </w:r>
      </w:smartTag>
      <w:r>
        <w:rPr>
          <w:rFonts w:ascii="Verdana" w:hAnsi="Verdana" w:cs="Courier New"/>
          <w:i/>
          <w:iCs/>
          <w:spacing w:val="-3"/>
          <w:sz w:val="18"/>
        </w:rPr>
        <w:t xml:space="preserve"> - Una Visión Integradora</w:t>
      </w:r>
      <w:r>
        <w:rPr>
          <w:rFonts w:ascii="Verdana" w:hAnsi="Verdana" w:cs="Courier New"/>
          <w:spacing w:val="-3"/>
          <w:sz w:val="18"/>
        </w:rPr>
        <w:t>, Sevilla, Edi</w:t>
      </w:r>
      <w:r>
        <w:rPr>
          <w:rFonts w:ascii="Verdana" w:hAnsi="Verdana" w:cs="Courier New"/>
          <w:spacing w:val="-3"/>
          <w:sz w:val="18"/>
        </w:rPr>
        <w:t xml:space="preserve">t. MAD/Colección Universitaria, 2005, pp. 70-71, y cf. pp. 65 y 68-69.  </w:t>
      </w:r>
    </w:p>
    <w:p w:rsidR="00000000" w:rsidRDefault="00687F2E">
      <w:pPr>
        <w:pStyle w:val="Textodenotaalpie"/>
        <w:tabs>
          <w:tab w:val="left" w:pos="-720"/>
        </w:tabs>
        <w:suppressAutoHyphens/>
        <w:jc w:val="both"/>
        <w:rPr>
          <w:rFonts w:ascii="Verdana" w:hAnsi="Verdana" w:cs="Courier New"/>
          <w:spacing w:val="-3"/>
          <w:sz w:val="18"/>
        </w:rPr>
      </w:pPr>
    </w:p>
  </w:footnote>
  <w:footnote w:id="19">
    <w:p w:rsidR="00000000" w:rsidRDefault="00687F2E">
      <w:pPr>
        <w:pStyle w:val="Textodenotaalpie"/>
        <w:tabs>
          <w:tab w:val="left" w:pos="-720"/>
        </w:tabs>
        <w:suppressAutoHyphens/>
        <w:jc w:val="both"/>
        <w:rPr>
          <w:rFonts w:ascii="Verdana" w:hAnsi="Verdana" w:cs="Courier New"/>
          <w:spacing w:val="-3"/>
          <w:sz w:val="18"/>
        </w:rPr>
      </w:pPr>
      <w:r>
        <w:rPr>
          <w:rStyle w:val="Refdenotaalpie"/>
          <w:rFonts w:cs="Courier New"/>
          <w:spacing w:val="-3"/>
          <w:sz w:val="18"/>
        </w:rPr>
        <w:footnoteRef/>
      </w:r>
      <w:r>
        <w:rPr>
          <w:rFonts w:ascii="Verdana" w:hAnsi="Verdana" w:cs="Courier New"/>
          <w:spacing w:val="-3"/>
          <w:sz w:val="18"/>
        </w:rPr>
        <w:t xml:space="preserve">. </w:t>
      </w:r>
      <w:r>
        <w:rPr>
          <w:rFonts w:ascii="Verdana" w:hAnsi="Verdana" w:cs="Courier New"/>
          <w:spacing w:val="-3"/>
          <w:sz w:val="18"/>
        </w:rPr>
        <w:tab/>
      </w:r>
      <w:r>
        <w:rPr>
          <w:rFonts w:ascii="Verdana" w:hAnsi="Verdana" w:cs="Courier New"/>
          <w:i/>
          <w:iCs/>
          <w:spacing w:val="-3"/>
          <w:sz w:val="18"/>
        </w:rPr>
        <w:t>Ibid</w:t>
      </w:r>
      <w:r>
        <w:rPr>
          <w:rFonts w:ascii="Verdana" w:hAnsi="Verdana" w:cs="Courier New"/>
          <w:spacing w:val="-3"/>
          <w:sz w:val="18"/>
        </w:rPr>
        <w:t>., pp. 81, 86 y 95, y cf. pp. 62 y 113.</w:t>
      </w:r>
    </w:p>
    <w:p w:rsidR="00000000" w:rsidRDefault="00687F2E">
      <w:pPr>
        <w:pStyle w:val="Textodenotaalpie"/>
        <w:tabs>
          <w:tab w:val="left" w:pos="-720"/>
        </w:tabs>
        <w:suppressAutoHyphens/>
        <w:jc w:val="both"/>
        <w:rPr>
          <w:rFonts w:ascii="Verdana" w:hAnsi="Verdana" w:cs="Courier New"/>
          <w:spacing w:val="-3"/>
          <w:sz w:val="18"/>
        </w:rPr>
      </w:pPr>
      <w:r>
        <w:rPr>
          <w:rFonts w:ascii="Verdana" w:hAnsi="Verdana" w:cs="Courier New"/>
          <w:spacing w:val="-3"/>
          <w:sz w:val="18"/>
        </w:rPr>
        <w:t xml:space="preserve">  </w:t>
      </w:r>
    </w:p>
  </w:footnote>
  <w:footnote w:id="20">
    <w:p w:rsidR="00000000" w:rsidRDefault="00687F2E">
      <w:pPr>
        <w:pStyle w:val="Textodenotaalpie"/>
        <w:tabs>
          <w:tab w:val="left" w:pos="-720"/>
        </w:tabs>
        <w:suppressAutoHyphens/>
        <w:jc w:val="both"/>
        <w:rPr>
          <w:rFonts w:ascii="Verdana" w:hAnsi="Verdana" w:cs="Courier New"/>
          <w:spacing w:val="-3"/>
          <w:sz w:val="18"/>
          <w:lang w:val="en-GB"/>
        </w:rPr>
      </w:pPr>
      <w:r>
        <w:rPr>
          <w:rStyle w:val="Refdenotaalpie"/>
          <w:rFonts w:cs="Courier New"/>
          <w:spacing w:val="-3"/>
          <w:sz w:val="18"/>
        </w:rPr>
        <w:footnoteRef/>
      </w:r>
      <w:r>
        <w:rPr>
          <w:rFonts w:ascii="Verdana" w:hAnsi="Verdana" w:cs="Courier New"/>
          <w:spacing w:val="-3"/>
          <w:sz w:val="18"/>
          <w:lang w:val="pt-BR"/>
        </w:rPr>
        <w:t xml:space="preserve">. </w:t>
      </w:r>
      <w:r>
        <w:rPr>
          <w:rFonts w:ascii="Verdana" w:hAnsi="Verdana" w:cs="Courier New"/>
          <w:spacing w:val="-3"/>
          <w:sz w:val="18"/>
          <w:lang w:val="pt-BR"/>
        </w:rPr>
        <w:tab/>
        <w:t xml:space="preserve">E. Mounier, </w:t>
      </w:r>
      <w:r>
        <w:rPr>
          <w:rFonts w:ascii="Verdana" w:hAnsi="Verdana" w:cs="Courier New"/>
          <w:i/>
          <w:iCs/>
          <w:spacing w:val="-3"/>
          <w:sz w:val="18"/>
          <w:lang w:val="pt-BR"/>
        </w:rPr>
        <w:t>Manifesto ao Serviço do Personalismo</w:t>
      </w:r>
      <w:r>
        <w:rPr>
          <w:rFonts w:ascii="Verdana" w:hAnsi="Verdana" w:cs="Courier New"/>
          <w:spacing w:val="-3"/>
          <w:sz w:val="18"/>
          <w:lang w:val="pt-BR"/>
        </w:rPr>
        <w:t xml:space="preserve">, Lisboa, Livr. </w:t>
      </w:r>
      <w:r>
        <w:rPr>
          <w:rFonts w:ascii="Verdana" w:hAnsi="Verdana" w:cs="Courier New"/>
          <w:spacing w:val="-3"/>
          <w:sz w:val="18"/>
        </w:rPr>
        <w:t>Morais Edit., 1967, pp. 9-319. Para el autor, el individualismo</w:t>
      </w:r>
      <w:r>
        <w:rPr>
          <w:rFonts w:ascii="Verdana" w:hAnsi="Verdana" w:cs="Courier New"/>
          <w:spacing w:val="-3"/>
          <w:sz w:val="18"/>
        </w:rPr>
        <w:t xml:space="preserve">, así como el dinero y el materialismo, separan a uno de los demás. El personalismo, en cambio, favorece la realización personal de cada uno. Cabe a cada persona conquistar la verdadera libertad espiritual; las personas disfrutan del derecho natural de su </w:t>
      </w:r>
      <w:r>
        <w:rPr>
          <w:rFonts w:ascii="Verdana" w:hAnsi="Verdana" w:cs="Courier New"/>
          <w:spacing w:val="-3"/>
          <w:sz w:val="18"/>
        </w:rPr>
        <w:t xml:space="preserve">igualdad espiritual. </w:t>
      </w:r>
      <w:r>
        <w:rPr>
          <w:rFonts w:ascii="Verdana" w:hAnsi="Verdana" w:cs="Courier New"/>
          <w:i/>
          <w:iCs/>
          <w:spacing w:val="-3"/>
          <w:sz w:val="18"/>
          <w:lang w:val="en-GB"/>
        </w:rPr>
        <w:t>Ibid</w:t>
      </w:r>
      <w:r>
        <w:rPr>
          <w:rFonts w:ascii="Verdana" w:hAnsi="Verdana" w:cs="Courier New"/>
          <w:spacing w:val="-3"/>
          <w:sz w:val="18"/>
          <w:lang w:val="en-GB"/>
        </w:rPr>
        <w:t>., pp. 25, 27, 83-84, 96, 104 y 290.</w:t>
      </w:r>
    </w:p>
    <w:p w:rsidR="00000000" w:rsidRDefault="00687F2E">
      <w:pPr>
        <w:pStyle w:val="Textodenotaalpie"/>
        <w:tabs>
          <w:tab w:val="left" w:pos="-720"/>
        </w:tabs>
        <w:suppressAutoHyphens/>
        <w:jc w:val="both"/>
        <w:rPr>
          <w:rFonts w:ascii="Verdana" w:hAnsi="Verdana" w:cs="Courier New"/>
          <w:spacing w:val="-3"/>
          <w:sz w:val="18"/>
          <w:lang w:val="en-GB"/>
        </w:rPr>
      </w:pPr>
    </w:p>
  </w:footnote>
  <w:footnote w:id="21">
    <w:p w:rsidR="00000000" w:rsidRDefault="00687F2E">
      <w:pPr>
        <w:pStyle w:val="Textodenotaalpie"/>
        <w:tabs>
          <w:tab w:val="left" w:pos="-720"/>
        </w:tabs>
        <w:suppressAutoHyphens/>
        <w:jc w:val="both"/>
        <w:rPr>
          <w:rFonts w:ascii="Verdana" w:hAnsi="Verdana" w:cs="Courier New"/>
          <w:spacing w:val="-3"/>
          <w:sz w:val="18"/>
          <w:lang w:val="en-GB"/>
        </w:rPr>
      </w:pPr>
      <w:r>
        <w:rPr>
          <w:rStyle w:val="Refdenotaalpie"/>
          <w:rFonts w:cs="Courier New"/>
          <w:spacing w:val="-3"/>
          <w:sz w:val="18"/>
        </w:rPr>
        <w:footnoteRef/>
      </w:r>
      <w:r>
        <w:rPr>
          <w:rFonts w:ascii="Verdana" w:hAnsi="Verdana" w:cs="Courier New"/>
          <w:spacing w:val="-3"/>
          <w:sz w:val="18"/>
          <w:lang w:val="en-GB"/>
        </w:rPr>
        <w:t>.</w:t>
      </w:r>
      <w:r>
        <w:rPr>
          <w:rFonts w:ascii="Verdana" w:hAnsi="Verdana" w:cs="Courier New"/>
          <w:spacing w:val="-3"/>
          <w:sz w:val="18"/>
          <w:lang w:val="en-GB"/>
        </w:rPr>
        <w:tab/>
        <w:t xml:space="preserve"> E. Mounier, </w:t>
      </w:r>
      <w:r>
        <w:rPr>
          <w:rFonts w:ascii="Verdana" w:hAnsi="Verdana" w:cs="Courier New"/>
          <w:i/>
          <w:iCs/>
          <w:spacing w:val="-3"/>
          <w:sz w:val="18"/>
          <w:lang w:val="en-GB"/>
        </w:rPr>
        <w:t>Personalism</w:t>
      </w:r>
      <w:r>
        <w:rPr>
          <w:rFonts w:ascii="Verdana" w:hAnsi="Verdana" w:cs="Courier New"/>
          <w:spacing w:val="-3"/>
          <w:sz w:val="18"/>
          <w:lang w:val="en-GB"/>
        </w:rPr>
        <w:t xml:space="preserve">, Notre Dame, </w:t>
      </w:r>
      <w:smartTag w:uri="urn:schemas-microsoft-com:office:smarttags" w:element="place">
        <w:smartTag w:uri="urn:schemas-microsoft-com:office:smarttags" w:element="PlaceType">
          <w:r>
            <w:rPr>
              <w:rFonts w:ascii="Verdana" w:hAnsi="Verdana" w:cs="Courier New"/>
              <w:spacing w:val="-3"/>
              <w:sz w:val="18"/>
              <w:lang w:val="en-GB"/>
            </w:rPr>
            <w:t>University</w:t>
          </w:r>
        </w:smartTag>
        <w:r>
          <w:rPr>
            <w:rFonts w:ascii="Verdana" w:hAnsi="Verdana" w:cs="Courier New"/>
            <w:spacing w:val="-3"/>
            <w:sz w:val="18"/>
            <w:lang w:val="en-GB"/>
          </w:rPr>
          <w:t xml:space="preserve"> of </w:t>
        </w:r>
        <w:smartTag w:uri="urn:schemas-microsoft-com:office:smarttags" w:element="PlaceName">
          <w:r>
            <w:rPr>
              <w:rFonts w:ascii="Verdana" w:hAnsi="Verdana" w:cs="Courier New"/>
              <w:spacing w:val="-3"/>
              <w:sz w:val="18"/>
              <w:lang w:val="en-GB"/>
            </w:rPr>
            <w:t>Notre Dame Press</w:t>
          </w:r>
        </w:smartTag>
      </w:smartTag>
      <w:r>
        <w:rPr>
          <w:rFonts w:ascii="Verdana" w:hAnsi="Verdana" w:cs="Courier New"/>
          <w:spacing w:val="-3"/>
          <w:sz w:val="18"/>
          <w:lang w:val="en-GB"/>
        </w:rPr>
        <w:t>, 2001 [reprint], pp. 19-21.</w:t>
      </w:r>
    </w:p>
    <w:p w:rsidR="00000000" w:rsidRDefault="00687F2E">
      <w:pPr>
        <w:pStyle w:val="Textodenotaalpie"/>
        <w:tabs>
          <w:tab w:val="left" w:pos="-720"/>
        </w:tabs>
        <w:suppressAutoHyphens/>
        <w:jc w:val="both"/>
        <w:rPr>
          <w:rFonts w:ascii="Verdana" w:hAnsi="Verdana" w:cs="Courier New"/>
          <w:spacing w:val="-3"/>
          <w:sz w:val="18"/>
          <w:lang w:val="en-GB"/>
        </w:rPr>
      </w:pPr>
    </w:p>
  </w:footnote>
  <w:footnote w:id="22">
    <w:p w:rsidR="00000000" w:rsidRDefault="00687F2E">
      <w:pPr>
        <w:pStyle w:val="Textodenotaalpie"/>
        <w:tabs>
          <w:tab w:val="left" w:pos="-720"/>
        </w:tabs>
        <w:suppressAutoHyphens/>
        <w:jc w:val="both"/>
        <w:rPr>
          <w:rFonts w:ascii="Verdana" w:hAnsi="Verdana" w:cs="Courier New"/>
          <w:spacing w:val="-3"/>
          <w:sz w:val="18"/>
        </w:rPr>
      </w:pPr>
      <w:r>
        <w:rPr>
          <w:rStyle w:val="Refdenotaalpie"/>
          <w:rFonts w:cs="Courier New"/>
          <w:spacing w:val="-3"/>
          <w:sz w:val="18"/>
        </w:rPr>
        <w:footnoteRef/>
      </w:r>
      <w:r>
        <w:rPr>
          <w:rFonts w:ascii="Verdana" w:hAnsi="Verdana" w:cs="Courier New"/>
          <w:spacing w:val="-3"/>
          <w:sz w:val="18"/>
        </w:rPr>
        <w:t xml:space="preserve">. </w:t>
      </w:r>
      <w:r>
        <w:rPr>
          <w:rFonts w:ascii="Verdana" w:hAnsi="Verdana" w:cs="Courier New"/>
          <w:spacing w:val="-3"/>
          <w:sz w:val="18"/>
        </w:rPr>
        <w:tab/>
      </w:r>
      <w:r>
        <w:rPr>
          <w:rFonts w:ascii="Verdana" w:hAnsi="Verdana" w:cs="Courier New"/>
          <w:i/>
          <w:iCs/>
          <w:spacing w:val="-3"/>
          <w:sz w:val="18"/>
        </w:rPr>
        <w:t>Ibid</w:t>
      </w:r>
      <w:r>
        <w:rPr>
          <w:rFonts w:ascii="Verdana" w:hAnsi="Verdana" w:cs="Courier New"/>
          <w:spacing w:val="-3"/>
          <w:sz w:val="18"/>
        </w:rPr>
        <w:t>., pp. 69 y 42.</w:t>
      </w:r>
    </w:p>
    <w:p w:rsidR="00000000" w:rsidRDefault="00687F2E">
      <w:pPr>
        <w:pStyle w:val="Textodenotaalpie"/>
        <w:tabs>
          <w:tab w:val="left" w:pos="-720"/>
        </w:tabs>
        <w:suppressAutoHyphens/>
        <w:jc w:val="both"/>
        <w:rPr>
          <w:rFonts w:ascii="Verdana" w:hAnsi="Verdana" w:cs="Courier New"/>
          <w:spacing w:val="-3"/>
          <w:sz w:val="18"/>
        </w:rPr>
      </w:pPr>
    </w:p>
  </w:footnote>
  <w:footnote w:id="23">
    <w:p w:rsidR="00000000" w:rsidRDefault="00687F2E">
      <w:pPr>
        <w:pStyle w:val="Textodenotaalpie"/>
        <w:tabs>
          <w:tab w:val="left" w:pos="-720"/>
        </w:tabs>
        <w:suppressAutoHyphens/>
        <w:jc w:val="both"/>
        <w:rPr>
          <w:rFonts w:ascii="Verdana" w:hAnsi="Verdana" w:cs="Courier New"/>
          <w:spacing w:val="-3"/>
          <w:sz w:val="18"/>
        </w:rPr>
      </w:pPr>
      <w:r>
        <w:rPr>
          <w:rStyle w:val="Refdenotaalpie"/>
          <w:rFonts w:cs="Courier New"/>
          <w:spacing w:val="-3"/>
          <w:sz w:val="18"/>
        </w:rPr>
        <w:footnoteRef/>
      </w:r>
      <w:r>
        <w:rPr>
          <w:rFonts w:ascii="Verdana" w:hAnsi="Verdana" w:cs="Courier New"/>
          <w:spacing w:val="-3"/>
          <w:sz w:val="18"/>
        </w:rPr>
        <w:t xml:space="preserve">. </w:t>
      </w:r>
      <w:r>
        <w:rPr>
          <w:rFonts w:ascii="Verdana" w:hAnsi="Verdana" w:cs="Courier New"/>
          <w:spacing w:val="-3"/>
          <w:sz w:val="18"/>
        </w:rPr>
        <w:tab/>
        <w:t xml:space="preserve">C. Díaz, </w:t>
      </w:r>
      <w:r>
        <w:rPr>
          <w:rFonts w:ascii="Verdana" w:hAnsi="Verdana" w:cs="Courier New"/>
          <w:i/>
          <w:iCs/>
          <w:spacing w:val="-3"/>
          <w:sz w:val="18"/>
        </w:rPr>
        <w:t>Emmanuel Mounier (Un Testimonio Luminoso)</w:t>
      </w:r>
      <w:r>
        <w:rPr>
          <w:rFonts w:ascii="Verdana" w:hAnsi="Verdana" w:cs="Courier New"/>
          <w:spacing w:val="-3"/>
          <w:sz w:val="18"/>
        </w:rPr>
        <w:t>, Madrid, Edi</w:t>
      </w:r>
      <w:r>
        <w:rPr>
          <w:rFonts w:ascii="Verdana" w:hAnsi="Verdana" w:cs="Courier New"/>
          <w:spacing w:val="-3"/>
          <w:sz w:val="18"/>
        </w:rPr>
        <w:t>c. Palabra, 2000, p. 248, y cf. pp. 249-251.</w:t>
      </w:r>
    </w:p>
    <w:p w:rsidR="00000000" w:rsidRDefault="00687F2E">
      <w:pPr>
        <w:pStyle w:val="Textodenotaalpie"/>
        <w:tabs>
          <w:tab w:val="left" w:pos="-720"/>
        </w:tabs>
        <w:suppressAutoHyphens/>
        <w:jc w:val="both"/>
        <w:rPr>
          <w:rFonts w:ascii="Verdana" w:hAnsi="Verdana" w:cs="Courier New"/>
          <w:spacing w:val="-3"/>
          <w:sz w:val="18"/>
        </w:rPr>
      </w:pPr>
    </w:p>
  </w:footnote>
  <w:footnote w:id="24">
    <w:p w:rsidR="00000000" w:rsidRDefault="00687F2E">
      <w:pPr>
        <w:pStyle w:val="Textodenotaalpie"/>
        <w:tabs>
          <w:tab w:val="left" w:pos="-720"/>
        </w:tabs>
        <w:suppressAutoHyphens/>
        <w:jc w:val="both"/>
        <w:rPr>
          <w:rFonts w:ascii="Verdana" w:hAnsi="Verdana" w:cs="Courier New"/>
          <w:spacing w:val="-3"/>
          <w:sz w:val="18"/>
          <w:lang w:val="pt-BR"/>
        </w:rPr>
      </w:pPr>
      <w:r>
        <w:rPr>
          <w:rStyle w:val="Refdenotaalpie"/>
          <w:rFonts w:cs="Courier New"/>
          <w:spacing w:val="-3"/>
          <w:sz w:val="18"/>
        </w:rPr>
        <w:footnoteRef/>
      </w:r>
      <w:r>
        <w:rPr>
          <w:rFonts w:ascii="Verdana" w:hAnsi="Verdana" w:cs="Courier New"/>
          <w:spacing w:val="-3"/>
          <w:sz w:val="18"/>
        </w:rPr>
        <w:t xml:space="preserve">. </w:t>
      </w:r>
      <w:r>
        <w:rPr>
          <w:rFonts w:ascii="Verdana" w:hAnsi="Verdana" w:cs="Courier New"/>
          <w:spacing w:val="-3"/>
          <w:sz w:val="18"/>
        </w:rPr>
        <w:tab/>
        <w:t xml:space="preserve">E. Morin, </w:t>
      </w:r>
      <w:r>
        <w:rPr>
          <w:rFonts w:ascii="Verdana" w:hAnsi="Verdana" w:cs="Courier New"/>
          <w:i/>
          <w:iCs/>
          <w:spacing w:val="-3"/>
          <w:sz w:val="18"/>
        </w:rPr>
        <w:t>La méthode - tome 5: L'humanité de l'humanité</w:t>
      </w:r>
      <w:r>
        <w:rPr>
          <w:rFonts w:ascii="Verdana" w:hAnsi="Verdana" w:cs="Courier New"/>
          <w:spacing w:val="-3"/>
          <w:sz w:val="18"/>
        </w:rPr>
        <w:t xml:space="preserve">, Paris, Éd. </w:t>
      </w:r>
      <w:r>
        <w:rPr>
          <w:rFonts w:ascii="Verdana" w:hAnsi="Verdana" w:cs="Courier New"/>
          <w:spacing w:val="-3"/>
          <w:sz w:val="18"/>
          <w:lang w:val="pt-BR"/>
        </w:rPr>
        <w:t>Seuil, 2001, pp. 78-79 y 85.</w:t>
      </w:r>
    </w:p>
    <w:p w:rsidR="00000000" w:rsidRDefault="00687F2E">
      <w:pPr>
        <w:pStyle w:val="Textodenotaalpie"/>
        <w:tabs>
          <w:tab w:val="left" w:pos="-720"/>
        </w:tabs>
        <w:suppressAutoHyphens/>
        <w:jc w:val="both"/>
        <w:rPr>
          <w:rFonts w:ascii="Verdana" w:hAnsi="Verdana" w:cs="Courier New"/>
          <w:spacing w:val="-3"/>
          <w:sz w:val="18"/>
          <w:lang w:val="pt-BR"/>
        </w:rPr>
      </w:pPr>
    </w:p>
  </w:footnote>
  <w:footnote w:id="25">
    <w:p w:rsidR="00000000" w:rsidRDefault="00687F2E">
      <w:pPr>
        <w:pStyle w:val="Textodenotaalpie"/>
        <w:tabs>
          <w:tab w:val="left" w:pos="-720"/>
        </w:tabs>
        <w:suppressAutoHyphens/>
        <w:jc w:val="both"/>
        <w:rPr>
          <w:rFonts w:ascii="Verdana" w:hAnsi="Verdana" w:cs="Courier New"/>
          <w:spacing w:val="-3"/>
          <w:sz w:val="18"/>
          <w:lang w:val="pt-BR"/>
        </w:rPr>
      </w:pPr>
      <w:r>
        <w:rPr>
          <w:rStyle w:val="Refdenotaalpie"/>
          <w:rFonts w:cs="Courier New"/>
          <w:spacing w:val="-3"/>
          <w:sz w:val="18"/>
        </w:rPr>
        <w:footnoteRef/>
      </w:r>
      <w:r>
        <w:rPr>
          <w:rFonts w:ascii="Verdana" w:hAnsi="Verdana" w:cs="Courier New"/>
          <w:spacing w:val="-3"/>
          <w:sz w:val="18"/>
          <w:lang w:val="pt-BR"/>
        </w:rPr>
        <w:t xml:space="preserve">. </w:t>
      </w:r>
      <w:r>
        <w:rPr>
          <w:rFonts w:ascii="Verdana" w:hAnsi="Verdana" w:cs="Courier New"/>
          <w:spacing w:val="-3"/>
          <w:sz w:val="18"/>
          <w:lang w:val="pt-BR"/>
        </w:rPr>
        <w:tab/>
      </w:r>
      <w:r>
        <w:rPr>
          <w:rFonts w:ascii="Verdana" w:hAnsi="Verdana" w:cs="Courier New"/>
          <w:i/>
          <w:iCs/>
          <w:spacing w:val="-3"/>
          <w:sz w:val="18"/>
          <w:lang w:val="pt-BR"/>
        </w:rPr>
        <w:t>Ibid</w:t>
      </w:r>
      <w:r>
        <w:rPr>
          <w:rFonts w:ascii="Verdana" w:hAnsi="Verdana" w:cs="Courier New"/>
          <w:spacing w:val="-3"/>
          <w:sz w:val="18"/>
          <w:lang w:val="pt-BR"/>
        </w:rPr>
        <w:t>., pp. 313, 232 y 330.</w:t>
      </w:r>
    </w:p>
    <w:p w:rsidR="00000000" w:rsidRDefault="00687F2E">
      <w:pPr>
        <w:pStyle w:val="Textodenotaalpie"/>
        <w:tabs>
          <w:tab w:val="left" w:pos="-720"/>
        </w:tabs>
        <w:suppressAutoHyphens/>
        <w:jc w:val="both"/>
        <w:rPr>
          <w:rFonts w:ascii="Verdana" w:hAnsi="Verdana" w:cs="Courier New"/>
          <w:spacing w:val="-3"/>
          <w:sz w:val="18"/>
          <w:lang w:val="pt-BR"/>
        </w:rPr>
      </w:pPr>
    </w:p>
  </w:footnote>
  <w:footnote w:id="26">
    <w:p w:rsidR="00000000" w:rsidRDefault="00687F2E">
      <w:pPr>
        <w:pStyle w:val="Textodenotaalpie"/>
        <w:tabs>
          <w:tab w:val="left" w:pos="-720"/>
        </w:tabs>
        <w:suppressAutoHyphens/>
        <w:jc w:val="both"/>
        <w:rPr>
          <w:rFonts w:ascii="Verdana" w:hAnsi="Verdana" w:cs="Courier New"/>
          <w:spacing w:val="-3"/>
          <w:sz w:val="18"/>
          <w:lang w:val="pt-BR"/>
        </w:rPr>
      </w:pPr>
      <w:r>
        <w:rPr>
          <w:rStyle w:val="Refdenotaalpie"/>
          <w:rFonts w:cs="Courier New"/>
          <w:spacing w:val="-3"/>
          <w:sz w:val="18"/>
        </w:rPr>
        <w:footnoteRef/>
      </w:r>
      <w:r>
        <w:rPr>
          <w:rFonts w:ascii="Verdana" w:hAnsi="Verdana" w:cs="Courier New"/>
          <w:spacing w:val="-3"/>
          <w:sz w:val="18"/>
          <w:lang w:val="pt-BR"/>
        </w:rPr>
        <w:t xml:space="preserve">. </w:t>
      </w:r>
      <w:r>
        <w:rPr>
          <w:rFonts w:ascii="Verdana" w:hAnsi="Verdana" w:cs="Courier New"/>
          <w:spacing w:val="-3"/>
          <w:sz w:val="18"/>
          <w:lang w:val="pt-BR"/>
        </w:rPr>
        <w:tab/>
        <w:t xml:space="preserve">G. Radbruch, </w:t>
      </w:r>
      <w:r>
        <w:rPr>
          <w:rFonts w:ascii="Verdana" w:hAnsi="Verdana" w:cs="Courier New"/>
          <w:i/>
          <w:iCs/>
          <w:spacing w:val="-3"/>
          <w:sz w:val="18"/>
          <w:lang w:val="pt-BR"/>
        </w:rPr>
        <w:t>Filosofia do Direito</w:t>
      </w:r>
      <w:r>
        <w:rPr>
          <w:rFonts w:ascii="Verdana" w:hAnsi="Verdana" w:cs="Courier New"/>
          <w:spacing w:val="-3"/>
          <w:sz w:val="18"/>
          <w:lang w:val="pt-BR"/>
        </w:rPr>
        <w:t>, 4a. ed. rev., vol. II, Coimbra, A. Am</w:t>
      </w:r>
      <w:r>
        <w:rPr>
          <w:rFonts w:ascii="Verdana" w:hAnsi="Verdana" w:cs="Courier New"/>
          <w:spacing w:val="-3"/>
          <w:sz w:val="18"/>
          <w:lang w:val="pt-BR"/>
        </w:rPr>
        <w:t xml:space="preserve">ado Ed., 1961, p. 17. </w:t>
      </w:r>
    </w:p>
    <w:p w:rsidR="00000000" w:rsidRDefault="00687F2E">
      <w:pPr>
        <w:pStyle w:val="Textodenotaalpie"/>
        <w:tabs>
          <w:tab w:val="left" w:pos="-720"/>
        </w:tabs>
        <w:suppressAutoHyphens/>
        <w:jc w:val="both"/>
        <w:rPr>
          <w:rFonts w:ascii="Verdana" w:hAnsi="Verdana" w:cs="Courier New"/>
          <w:spacing w:val="-3"/>
          <w:sz w:val="18"/>
          <w:lang w:val="pt-BR"/>
        </w:rPr>
      </w:pPr>
    </w:p>
  </w:footnote>
  <w:footnote w:id="27">
    <w:p w:rsidR="00000000" w:rsidRDefault="00687F2E">
      <w:pPr>
        <w:pStyle w:val="Textodenotaalpie"/>
        <w:tabs>
          <w:tab w:val="left" w:pos="-720"/>
        </w:tabs>
        <w:suppressAutoHyphens/>
        <w:jc w:val="both"/>
        <w:rPr>
          <w:rFonts w:ascii="Verdana" w:hAnsi="Verdana" w:cs="Courier New"/>
          <w:spacing w:val="-3"/>
          <w:sz w:val="18"/>
        </w:rPr>
      </w:pPr>
      <w:r>
        <w:rPr>
          <w:rStyle w:val="Refdenotaalpie"/>
          <w:rFonts w:cs="Courier New"/>
          <w:spacing w:val="-3"/>
          <w:sz w:val="18"/>
        </w:rPr>
        <w:footnoteRef/>
      </w:r>
      <w:r>
        <w:rPr>
          <w:rFonts w:ascii="Verdana" w:hAnsi="Verdana" w:cs="Courier New"/>
          <w:spacing w:val="-3"/>
          <w:sz w:val="18"/>
        </w:rPr>
        <w:t xml:space="preserve">. </w:t>
      </w:r>
      <w:r>
        <w:rPr>
          <w:rFonts w:ascii="Verdana" w:hAnsi="Verdana" w:cs="Courier New"/>
          <w:spacing w:val="-3"/>
          <w:sz w:val="18"/>
        </w:rPr>
        <w:tab/>
      </w:r>
      <w:r>
        <w:rPr>
          <w:rFonts w:ascii="Verdana" w:hAnsi="Verdana" w:cs="Courier New"/>
          <w:i/>
          <w:iCs/>
          <w:spacing w:val="-3"/>
          <w:sz w:val="18"/>
        </w:rPr>
        <w:t>Ibid</w:t>
      </w:r>
      <w:r>
        <w:rPr>
          <w:rFonts w:ascii="Verdana" w:hAnsi="Verdana" w:cs="Courier New"/>
          <w:spacing w:val="-3"/>
          <w:sz w:val="18"/>
        </w:rPr>
        <w:t>., pp. 18 y 20.</w:t>
      </w:r>
    </w:p>
    <w:p w:rsidR="00000000" w:rsidRDefault="00687F2E">
      <w:pPr>
        <w:pStyle w:val="Textodenotaalpie"/>
        <w:tabs>
          <w:tab w:val="left" w:pos="-720"/>
        </w:tabs>
        <w:suppressAutoHyphens/>
        <w:jc w:val="both"/>
        <w:rPr>
          <w:rFonts w:ascii="Verdana" w:hAnsi="Verdana" w:cs="Courier New"/>
          <w:spacing w:val="-3"/>
          <w:sz w:val="18"/>
        </w:rPr>
      </w:pPr>
    </w:p>
  </w:footnote>
  <w:footnote w:id="28">
    <w:p w:rsidR="00000000" w:rsidRDefault="00687F2E">
      <w:pPr>
        <w:pStyle w:val="Textodenotaalpie"/>
        <w:tabs>
          <w:tab w:val="left" w:pos="-720"/>
        </w:tabs>
        <w:suppressAutoHyphens/>
        <w:jc w:val="both"/>
        <w:rPr>
          <w:rFonts w:ascii="Verdana" w:hAnsi="Verdana" w:cs="Courier New"/>
          <w:spacing w:val="-3"/>
          <w:sz w:val="18"/>
        </w:rPr>
      </w:pPr>
      <w:r>
        <w:rPr>
          <w:rStyle w:val="Refdenotaalpie"/>
          <w:rFonts w:cs="Courier New"/>
          <w:spacing w:val="-3"/>
          <w:sz w:val="18"/>
        </w:rPr>
        <w:footnoteRef/>
      </w:r>
      <w:r>
        <w:rPr>
          <w:rFonts w:ascii="Verdana" w:hAnsi="Verdana" w:cs="Courier New"/>
          <w:spacing w:val="-3"/>
          <w:sz w:val="18"/>
        </w:rPr>
        <w:t xml:space="preserve">. </w:t>
      </w:r>
      <w:r>
        <w:rPr>
          <w:rFonts w:ascii="Verdana" w:hAnsi="Verdana" w:cs="Courier New"/>
          <w:spacing w:val="-3"/>
          <w:sz w:val="18"/>
        </w:rPr>
        <w:tab/>
        <w:t>En efecto, subyacente al personalismo jurídico encuéntrase la creencia en la correlación entre la persona humana y el bien común (</w:t>
      </w:r>
      <w:r>
        <w:rPr>
          <w:rFonts w:ascii="Verdana" w:hAnsi="Verdana" w:cs="Courier New"/>
          <w:i/>
          <w:iCs/>
          <w:spacing w:val="-3"/>
          <w:sz w:val="18"/>
        </w:rPr>
        <w:t>persona et bonum commune sunt correlata</w:t>
      </w:r>
      <w:r>
        <w:rPr>
          <w:rFonts w:ascii="Verdana" w:hAnsi="Verdana" w:cs="Courier New"/>
          <w:spacing w:val="-3"/>
          <w:sz w:val="18"/>
        </w:rPr>
        <w:t xml:space="preserve">); E.G. da Mata-Machado, </w:t>
      </w:r>
      <w:r>
        <w:rPr>
          <w:rFonts w:ascii="Verdana" w:hAnsi="Verdana" w:cs="Courier New"/>
          <w:i/>
          <w:iCs/>
          <w:spacing w:val="-3"/>
          <w:sz w:val="18"/>
        </w:rPr>
        <w:t>Contribui</w:t>
      </w:r>
      <w:r>
        <w:rPr>
          <w:rFonts w:ascii="Verdana" w:hAnsi="Verdana" w:cs="Courier New"/>
          <w:i/>
          <w:iCs/>
          <w:spacing w:val="-3"/>
          <w:sz w:val="18"/>
        </w:rPr>
        <w:t>ção ao Personalismo Jurídico</w:t>
      </w:r>
      <w:r>
        <w:rPr>
          <w:rFonts w:ascii="Verdana" w:hAnsi="Verdana" w:cs="Courier New"/>
          <w:spacing w:val="-3"/>
          <w:sz w:val="18"/>
        </w:rPr>
        <w:t>, Rio de Janeiro, Forense, 1954, pp. 174-175.</w:t>
      </w:r>
    </w:p>
    <w:p w:rsidR="00000000" w:rsidRDefault="00687F2E">
      <w:pPr>
        <w:pStyle w:val="Textodenotaalpie"/>
        <w:tabs>
          <w:tab w:val="left" w:pos="-720"/>
        </w:tabs>
        <w:suppressAutoHyphens/>
        <w:jc w:val="both"/>
        <w:rPr>
          <w:rFonts w:ascii="Verdana" w:hAnsi="Verdana" w:cs="Courier New"/>
          <w:spacing w:val="-3"/>
          <w:sz w:val="18"/>
        </w:rPr>
      </w:pPr>
    </w:p>
  </w:footnote>
  <w:footnote w:id="29">
    <w:p w:rsidR="00000000" w:rsidRDefault="00687F2E">
      <w:pPr>
        <w:pStyle w:val="Textodenotaalpie"/>
        <w:tabs>
          <w:tab w:val="left" w:pos="-720"/>
        </w:tabs>
        <w:suppressAutoHyphens/>
        <w:jc w:val="both"/>
        <w:rPr>
          <w:rFonts w:ascii="Verdana" w:hAnsi="Verdana" w:cs="Courier New"/>
          <w:spacing w:val="-3"/>
          <w:sz w:val="18"/>
        </w:rPr>
      </w:pPr>
      <w:r>
        <w:rPr>
          <w:rStyle w:val="Refdenotaalpie"/>
          <w:rFonts w:cs="Courier New"/>
          <w:spacing w:val="-3"/>
          <w:sz w:val="18"/>
        </w:rPr>
        <w:footnoteRef/>
      </w:r>
      <w:r>
        <w:rPr>
          <w:rFonts w:ascii="Verdana" w:hAnsi="Verdana" w:cs="Courier New"/>
          <w:spacing w:val="-3"/>
          <w:sz w:val="18"/>
        </w:rPr>
        <w:t xml:space="preserve">. </w:t>
      </w:r>
      <w:r>
        <w:rPr>
          <w:rFonts w:ascii="Verdana" w:hAnsi="Verdana" w:cs="Courier New"/>
          <w:spacing w:val="-3"/>
          <w:sz w:val="18"/>
        </w:rPr>
        <w:tab/>
        <w:t xml:space="preserve">L. Ferrajoli, </w:t>
      </w:r>
      <w:r>
        <w:rPr>
          <w:rFonts w:ascii="Verdana" w:hAnsi="Verdana" w:cs="Courier New"/>
          <w:i/>
          <w:iCs/>
          <w:spacing w:val="-3"/>
          <w:sz w:val="18"/>
        </w:rPr>
        <w:t>Derecho y Razón - Teoría del Garantismo Penal</w:t>
      </w:r>
      <w:r>
        <w:rPr>
          <w:rFonts w:ascii="Verdana" w:hAnsi="Verdana" w:cs="Courier New"/>
          <w:spacing w:val="-3"/>
          <w:sz w:val="18"/>
        </w:rPr>
        <w:t>, 5a. ed., Madrid, Ed. Trotta, 2001, pp. 912-913.</w:t>
      </w:r>
    </w:p>
    <w:p w:rsidR="00000000" w:rsidRDefault="00687F2E">
      <w:pPr>
        <w:pStyle w:val="Textodenotaalpie"/>
        <w:tabs>
          <w:tab w:val="left" w:pos="-720"/>
        </w:tabs>
        <w:suppressAutoHyphens/>
        <w:jc w:val="both"/>
        <w:rPr>
          <w:rFonts w:ascii="Verdana" w:hAnsi="Verdana" w:cs="Courier New"/>
          <w:spacing w:val="-3"/>
          <w:sz w:val="18"/>
        </w:rPr>
      </w:pPr>
    </w:p>
  </w:footnote>
  <w:footnote w:id="30">
    <w:p w:rsidR="00000000" w:rsidRDefault="00687F2E">
      <w:pPr>
        <w:pStyle w:val="Textodenotaalpie"/>
        <w:tabs>
          <w:tab w:val="left" w:pos="-720"/>
        </w:tabs>
        <w:suppressAutoHyphens/>
        <w:jc w:val="both"/>
        <w:rPr>
          <w:rFonts w:ascii="Verdana" w:hAnsi="Verdana" w:cs="Courier New"/>
          <w:spacing w:val="-3"/>
          <w:sz w:val="18"/>
        </w:rPr>
      </w:pPr>
      <w:r>
        <w:rPr>
          <w:rStyle w:val="Refdenotaalpie"/>
          <w:rFonts w:cs="Courier New"/>
          <w:spacing w:val="-3"/>
          <w:sz w:val="18"/>
        </w:rPr>
        <w:footnoteRef/>
      </w:r>
      <w:r>
        <w:rPr>
          <w:rFonts w:ascii="Verdana" w:hAnsi="Verdana" w:cs="Courier New"/>
          <w:spacing w:val="-3"/>
          <w:sz w:val="18"/>
        </w:rPr>
        <w:t xml:space="preserve">. </w:t>
      </w:r>
      <w:r>
        <w:rPr>
          <w:rFonts w:ascii="Verdana" w:hAnsi="Verdana" w:cs="Courier New"/>
          <w:spacing w:val="-3"/>
          <w:sz w:val="18"/>
        </w:rPr>
        <w:tab/>
        <w:t xml:space="preserve">Ch. Eisenmann, "Une nouvelle conception du droit subjectif: la </w:t>
      </w:r>
      <w:r>
        <w:rPr>
          <w:rFonts w:ascii="Verdana" w:hAnsi="Verdana" w:cs="Courier New"/>
          <w:spacing w:val="-3"/>
          <w:sz w:val="18"/>
        </w:rPr>
        <w:t xml:space="preserve">théorie de M. Jean Dabin", 60 </w:t>
      </w:r>
      <w:r>
        <w:rPr>
          <w:rFonts w:ascii="Verdana" w:hAnsi="Verdana" w:cs="Courier New"/>
          <w:i/>
          <w:iCs/>
          <w:spacing w:val="-3"/>
          <w:sz w:val="18"/>
        </w:rPr>
        <w:t>Revue du droit public et de la science politique en France et à l'étranger</w:t>
      </w:r>
      <w:r>
        <w:rPr>
          <w:rFonts w:ascii="Verdana" w:hAnsi="Verdana" w:cs="Courier New"/>
          <w:spacing w:val="-3"/>
          <w:sz w:val="18"/>
        </w:rPr>
        <w:t xml:space="preserve"> (1954) pp. 753-774, esp. pp. 754-755 y 771.  </w:t>
      </w:r>
    </w:p>
    <w:p w:rsidR="00000000" w:rsidRDefault="00687F2E">
      <w:pPr>
        <w:pStyle w:val="Textodenotaalpie"/>
        <w:tabs>
          <w:tab w:val="left" w:pos="-720"/>
        </w:tabs>
        <w:suppressAutoHyphens/>
        <w:jc w:val="both"/>
        <w:rPr>
          <w:rFonts w:ascii="Verdana" w:hAnsi="Verdana" w:cs="Courier New"/>
          <w:spacing w:val="-3"/>
          <w:sz w:val="18"/>
        </w:rPr>
      </w:pPr>
    </w:p>
  </w:footnote>
  <w:footnote w:id="31">
    <w:p w:rsidR="00000000" w:rsidRDefault="00687F2E">
      <w:pPr>
        <w:pStyle w:val="Textodenotaalpie"/>
        <w:tabs>
          <w:tab w:val="left" w:pos="-720"/>
        </w:tabs>
        <w:suppressAutoHyphens/>
        <w:jc w:val="both"/>
        <w:rPr>
          <w:rFonts w:ascii="Verdana" w:hAnsi="Verdana" w:cs="Courier New"/>
          <w:spacing w:val="-3"/>
          <w:sz w:val="18"/>
        </w:rPr>
      </w:pPr>
      <w:r>
        <w:rPr>
          <w:rStyle w:val="Refdenotaalpie"/>
          <w:rFonts w:cs="Courier New"/>
          <w:spacing w:val="-3"/>
          <w:sz w:val="18"/>
        </w:rPr>
        <w:footnoteRef/>
      </w:r>
      <w:r>
        <w:rPr>
          <w:rFonts w:ascii="Verdana" w:hAnsi="Verdana" w:cs="Courier New"/>
          <w:spacing w:val="-3"/>
          <w:sz w:val="18"/>
        </w:rPr>
        <w:t xml:space="preserve">. </w:t>
      </w:r>
      <w:r>
        <w:rPr>
          <w:rFonts w:ascii="Verdana" w:hAnsi="Verdana" w:cs="Courier New"/>
          <w:spacing w:val="-3"/>
          <w:sz w:val="18"/>
        </w:rPr>
        <w:tab/>
        <w:t xml:space="preserve">J. Dabin, </w:t>
      </w:r>
      <w:r>
        <w:rPr>
          <w:rFonts w:ascii="Verdana" w:hAnsi="Verdana" w:cs="Courier New"/>
          <w:i/>
          <w:iCs/>
          <w:spacing w:val="-3"/>
          <w:sz w:val="18"/>
        </w:rPr>
        <w:t>El Derecho Subjetivo</w:t>
      </w:r>
      <w:r>
        <w:rPr>
          <w:rFonts w:ascii="Verdana" w:hAnsi="Verdana" w:cs="Courier New"/>
          <w:spacing w:val="-3"/>
          <w:sz w:val="18"/>
        </w:rPr>
        <w:t>, Madrid, Ed. Rev. de Derecho Privado, 1955, p. 64.</w:t>
      </w:r>
    </w:p>
    <w:p w:rsidR="00000000" w:rsidRDefault="00687F2E">
      <w:pPr>
        <w:pStyle w:val="Textodenotaalpie"/>
        <w:tabs>
          <w:tab w:val="left" w:pos="-720"/>
        </w:tabs>
        <w:suppressAutoHyphens/>
        <w:jc w:val="both"/>
        <w:rPr>
          <w:rFonts w:ascii="Verdana" w:hAnsi="Verdana" w:cs="Courier New"/>
          <w:spacing w:val="-3"/>
          <w:sz w:val="18"/>
        </w:rPr>
      </w:pPr>
    </w:p>
  </w:footnote>
  <w:footnote w:id="32">
    <w:p w:rsidR="00000000" w:rsidRDefault="00687F2E">
      <w:pPr>
        <w:pStyle w:val="Textodenotaalpie"/>
        <w:tabs>
          <w:tab w:val="left" w:pos="-720"/>
        </w:tabs>
        <w:suppressAutoHyphens/>
        <w:jc w:val="both"/>
        <w:rPr>
          <w:rFonts w:ascii="Verdana" w:hAnsi="Verdana" w:cs="Courier New"/>
          <w:spacing w:val="-3"/>
          <w:sz w:val="18"/>
        </w:rPr>
      </w:pPr>
      <w:r>
        <w:rPr>
          <w:rStyle w:val="Refdenotaalpie"/>
          <w:rFonts w:cs="Courier New"/>
          <w:spacing w:val="-3"/>
          <w:sz w:val="18"/>
        </w:rPr>
        <w:footnoteRef/>
      </w:r>
      <w:r>
        <w:rPr>
          <w:rFonts w:ascii="Verdana" w:hAnsi="Verdana" w:cs="Courier New"/>
          <w:spacing w:val="-3"/>
          <w:sz w:val="18"/>
        </w:rPr>
        <w:t xml:space="preserve">. </w:t>
      </w:r>
      <w:r>
        <w:rPr>
          <w:rFonts w:ascii="Verdana" w:hAnsi="Verdana" w:cs="Courier New"/>
          <w:spacing w:val="-3"/>
          <w:sz w:val="18"/>
        </w:rPr>
        <w:tab/>
        <w:t xml:space="preserve">Por ejemplo, </w:t>
      </w:r>
      <w:r>
        <w:rPr>
          <w:rFonts w:ascii="Verdana" w:hAnsi="Verdana" w:cs="Courier New"/>
          <w:spacing w:val="-3"/>
          <w:sz w:val="18"/>
        </w:rPr>
        <w:t xml:space="preserve">en mi Voto Concurrente en </w:t>
      </w:r>
      <w:smartTag w:uri="urn:schemas-microsoft-com:office:smarttags" w:element="PersonName">
        <w:smartTagPr>
          <w:attr w:name="ProductID" w:val="la Opini￳n Consultiva"/>
        </w:smartTagPr>
        <w:r>
          <w:rPr>
            <w:rFonts w:ascii="Verdana" w:hAnsi="Verdana" w:cs="Courier New"/>
            <w:spacing w:val="-3"/>
            <w:sz w:val="18"/>
          </w:rPr>
          <w:t>la Opinión Consultiva</w:t>
        </w:r>
      </w:smartTag>
      <w:r>
        <w:rPr>
          <w:rFonts w:ascii="Verdana" w:hAnsi="Verdana" w:cs="Courier New"/>
          <w:spacing w:val="-3"/>
          <w:sz w:val="18"/>
        </w:rPr>
        <w:t xml:space="preserve"> n. 18 (del 17.09.2003) de esta Corte, sobre </w:t>
      </w:r>
      <w:smartTag w:uri="urn:schemas-microsoft-com:office:smarttags" w:element="PersonName">
        <w:smartTagPr>
          <w:attr w:name="ProductID" w:val="la Condici￳n Jur￭dica"/>
        </w:smartTagPr>
        <w:r>
          <w:rPr>
            <w:rFonts w:ascii="Verdana" w:hAnsi="Verdana" w:cs="Courier New"/>
            <w:spacing w:val="-3"/>
            <w:sz w:val="18"/>
          </w:rPr>
          <w:t xml:space="preserve">la </w:t>
        </w:r>
        <w:r>
          <w:rPr>
            <w:rFonts w:ascii="Verdana" w:hAnsi="Verdana" w:cs="Courier New"/>
            <w:i/>
            <w:iCs/>
            <w:spacing w:val="-3"/>
            <w:sz w:val="18"/>
          </w:rPr>
          <w:t>Condición Jurídica</w:t>
        </w:r>
      </w:smartTag>
      <w:r>
        <w:rPr>
          <w:rFonts w:ascii="Verdana" w:hAnsi="Verdana" w:cs="Courier New"/>
          <w:i/>
          <w:iCs/>
          <w:spacing w:val="-3"/>
          <w:sz w:val="18"/>
        </w:rPr>
        <w:t xml:space="preserve"> y Derechos de los Migrantes Indocumentados</w:t>
      </w:r>
      <w:r>
        <w:rPr>
          <w:rFonts w:ascii="Verdana" w:hAnsi="Verdana" w:cs="Courier New"/>
          <w:spacing w:val="-3"/>
          <w:sz w:val="18"/>
        </w:rPr>
        <w:t xml:space="preserve">, abordé la construcción del derecho individual subjetivo al asilo (párrs. 31-43); reproducido </w:t>
      </w:r>
      <w:r>
        <w:rPr>
          <w:rFonts w:ascii="Verdana" w:hAnsi="Verdana" w:cs="Courier New"/>
          <w:i/>
          <w:iCs/>
          <w:spacing w:val="-3"/>
          <w:sz w:val="18"/>
        </w:rPr>
        <w:t>in</w:t>
      </w:r>
      <w:r>
        <w:rPr>
          <w:rFonts w:ascii="Verdana" w:hAnsi="Verdana" w:cs="Courier New"/>
          <w:spacing w:val="-3"/>
          <w:sz w:val="18"/>
        </w:rPr>
        <w:t>: A</w:t>
      </w:r>
      <w:r>
        <w:rPr>
          <w:rFonts w:ascii="Verdana" w:hAnsi="Verdana" w:cs="Courier New"/>
          <w:spacing w:val="-3"/>
          <w:sz w:val="18"/>
        </w:rPr>
        <w:t xml:space="preserve">.A. Cançado Trindade, </w:t>
      </w:r>
      <w:r>
        <w:rPr>
          <w:rFonts w:ascii="Verdana" w:hAnsi="Verdana" w:cs="Courier New"/>
          <w:i/>
          <w:iCs/>
          <w:spacing w:val="-3"/>
          <w:sz w:val="18"/>
        </w:rPr>
        <w:t xml:space="preserve">Derecho Internacional de los Derechos Humanos - Esencia y Trascendencia (Votos en </w:t>
      </w:r>
      <w:smartTag w:uri="urn:schemas-microsoft-com:office:smarttags" w:element="PersonName">
        <w:smartTagPr>
          <w:attr w:name="ProductID" w:val="la Corte Interamericana"/>
        </w:smartTagPr>
        <w:r>
          <w:rPr>
            <w:rFonts w:ascii="Verdana" w:hAnsi="Verdana" w:cs="Courier New"/>
            <w:i/>
            <w:iCs/>
            <w:spacing w:val="-3"/>
            <w:sz w:val="18"/>
          </w:rPr>
          <w:t>la Corte Interamericana</w:t>
        </w:r>
      </w:smartTag>
      <w:r>
        <w:rPr>
          <w:rFonts w:ascii="Verdana" w:hAnsi="Verdana" w:cs="Courier New"/>
          <w:i/>
          <w:iCs/>
          <w:spacing w:val="-3"/>
          <w:sz w:val="18"/>
        </w:rPr>
        <w:t xml:space="preserve"> de Derechos Humanos, 1991-2006)</w:t>
      </w:r>
      <w:r>
        <w:rPr>
          <w:rFonts w:ascii="Verdana" w:hAnsi="Verdana" w:cs="Courier New"/>
          <w:spacing w:val="-3"/>
          <w:sz w:val="18"/>
        </w:rPr>
        <w:t>, México, Edit. Porrúa/Universidad Iberoamericana, 2007, pp. 63-68. También me referí a la subjet</w:t>
      </w:r>
      <w:r>
        <w:rPr>
          <w:rFonts w:ascii="Verdana" w:hAnsi="Verdana" w:cs="Courier New"/>
          <w:spacing w:val="-3"/>
          <w:sz w:val="18"/>
        </w:rPr>
        <w:t xml:space="preserve">ividad jurídica en mi Voto Razonado (párrs. 17-28) en el caso de </w:t>
      </w:r>
      <w:smartTag w:uri="urn:schemas-microsoft-com:office:smarttags" w:element="PersonName">
        <w:smartTagPr>
          <w:attr w:name="ProductID" w:val="la Prisi￳n"/>
        </w:smartTagPr>
        <w:r>
          <w:rPr>
            <w:rFonts w:ascii="Verdana" w:hAnsi="Verdana" w:cs="Courier New"/>
            <w:spacing w:val="-3"/>
            <w:sz w:val="18"/>
          </w:rPr>
          <w:t xml:space="preserve">la </w:t>
        </w:r>
        <w:r>
          <w:rPr>
            <w:rFonts w:ascii="Verdana" w:hAnsi="Verdana" w:cs="Courier New"/>
            <w:i/>
            <w:iCs/>
            <w:spacing w:val="-3"/>
            <w:sz w:val="18"/>
          </w:rPr>
          <w:t>Prisión</w:t>
        </w:r>
      </w:smartTag>
      <w:r>
        <w:rPr>
          <w:rFonts w:ascii="Verdana" w:hAnsi="Verdana" w:cs="Courier New"/>
          <w:i/>
          <w:iCs/>
          <w:spacing w:val="-3"/>
          <w:sz w:val="18"/>
        </w:rPr>
        <w:t xml:space="preserve"> de Castro Castro</w:t>
      </w:r>
      <w:r>
        <w:rPr>
          <w:rFonts w:ascii="Verdana" w:hAnsi="Verdana" w:cs="Courier New"/>
          <w:spacing w:val="-3"/>
          <w:sz w:val="18"/>
        </w:rPr>
        <w:t xml:space="preserve">, referente al Perú (Sentencia del 25.11.2006); también reproducido </w:t>
      </w:r>
      <w:r>
        <w:rPr>
          <w:rFonts w:ascii="Verdana" w:hAnsi="Verdana" w:cs="Courier New"/>
          <w:i/>
          <w:iCs/>
          <w:spacing w:val="-3"/>
          <w:sz w:val="18"/>
        </w:rPr>
        <w:t>in</w:t>
      </w:r>
      <w:r>
        <w:rPr>
          <w:rFonts w:ascii="Verdana" w:hAnsi="Verdana" w:cs="Courier New"/>
          <w:spacing w:val="-3"/>
          <w:sz w:val="18"/>
        </w:rPr>
        <w:t xml:space="preserve"> </w:t>
      </w:r>
      <w:r>
        <w:rPr>
          <w:rFonts w:ascii="Verdana" w:hAnsi="Verdana" w:cs="Courier New"/>
          <w:i/>
          <w:iCs/>
          <w:spacing w:val="-3"/>
          <w:sz w:val="18"/>
        </w:rPr>
        <w:t>ibid</w:t>
      </w:r>
      <w:r>
        <w:rPr>
          <w:rFonts w:ascii="Verdana" w:hAnsi="Verdana" w:cs="Courier New"/>
          <w:spacing w:val="-3"/>
          <w:sz w:val="18"/>
        </w:rPr>
        <w:t>., pp. 820-845.</w:t>
      </w:r>
    </w:p>
    <w:p w:rsidR="00000000" w:rsidRDefault="00687F2E">
      <w:pPr>
        <w:pStyle w:val="Textodenotaalpie"/>
        <w:tabs>
          <w:tab w:val="left" w:pos="-720"/>
        </w:tabs>
        <w:suppressAutoHyphens/>
        <w:jc w:val="both"/>
        <w:rPr>
          <w:rFonts w:ascii="Verdana" w:hAnsi="Verdana" w:cs="Courier New"/>
          <w:spacing w:val="-3"/>
          <w:sz w:val="18"/>
        </w:rPr>
      </w:pPr>
    </w:p>
  </w:footnote>
  <w:footnote w:id="33">
    <w:p w:rsidR="00000000" w:rsidRDefault="00687F2E">
      <w:pPr>
        <w:pStyle w:val="Textodenotaalpie"/>
        <w:tabs>
          <w:tab w:val="left" w:pos="-720"/>
        </w:tabs>
        <w:suppressAutoHyphens/>
        <w:jc w:val="both"/>
        <w:rPr>
          <w:rFonts w:ascii="Verdana" w:hAnsi="Verdana" w:cs="Courier New"/>
          <w:spacing w:val="-3"/>
          <w:sz w:val="18"/>
        </w:rPr>
      </w:pPr>
      <w:r>
        <w:rPr>
          <w:rStyle w:val="Refdenotaalpie"/>
          <w:rFonts w:cs="Courier New"/>
          <w:spacing w:val="-3"/>
          <w:sz w:val="18"/>
        </w:rPr>
        <w:footnoteRef/>
      </w:r>
      <w:r>
        <w:rPr>
          <w:rFonts w:ascii="Verdana" w:hAnsi="Verdana" w:cs="Courier New"/>
          <w:spacing w:val="-3"/>
          <w:sz w:val="18"/>
        </w:rPr>
        <w:t xml:space="preserve">. </w:t>
      </w:r>
      <w:r>
        <w:rPr>
          <w:rFonts w:ascii="Verdana" w:hAnsi="Verdana" w:cs="Courier New"/>
          <w:spacing w:val="-3"/>
          <w:sz w:val="18"/>
        </w:rPr>
        <w:tab/>
        <w:t xml:space="preserve">Reproducidos </w:t>
      </w:r>
      <w:r>
        <w:rPr>
          <w:rFonts w:ascii="Verdana" w:hAnsi="Verdana" w:cs="Courier New"/>
          <w:i/>
          <w:iCs/>
          <w:spacing w:val="-3"/>
          <w:sz w:val="18"/>
        </w:rPr>
        <w:t>in ibid</w:t>
      </w:r>
      <w:r>
        <w:rPr>
          <w:rFonts w:ascii="Verdana" w:hAnsi="Verdana" w:cs="Courier New"/>
          <w:spacing w:val="-3"/>
          <w:sz w:val="18"/>
        </w:rPr>
        <w:t>., pp. 355-362, 568-570, 779-804, y 1020-1025, r</w:t>
      </w:r>
      <w:r>
        <w:rPr>
          <w:rFonts w:ascii="Verdana" w:hAnsi="Verdana" w:cs="Courier New"/>
          <w:spacing w:val="-3"/>
          <w:sz w:val="18"/>
        </w:rPr>
        <w:t>espectivamente.</w:t>
      </w:r>
    </w:p>
    <w:p w:rsidR="00000000" w:rsidRDefault="00687F2E">
      <w:pPr>
        <w:pStyle w:val="Textodenotaalpie"/>
        <w:tabs>
          <w:tab w:val="left" w:pos="-720"/>
        </w:tabs>
        <w:suppressAutoHyphens/>
        <w:jc w:val="both"/>
        <w:rPr>
          <w:rFonts w:ascii="Verdana" w:hAnsi="Verdana" w:cs="Courier New"/>
          <w:spacing w:val="-3"/>
          <w:sz w:val="18"/>
        </w:rPr>
      </w:pPr>
    </w:p>
  </w:footnote>
  <w:footnote w:id="34">
    <w:p w:rsidR="00000000" w:rsidRDefault="00687F2E">
      <w:pPr>
        <w:pStyle w:val="Textodenotaalpie"/>
        <w:tabs>
          <w:tab w:val="left" w:pos="-720"/>
        </w:tabs>
        <w:suppressAutoHyphens/>
        <w:jc w:val="both"/>
        <w:rPr>
          <w:rFonts w:ascii="Verdana" w:hAnsi="Verdana" w:cs="Courier New"/>
          <w:spacing w:val="-3"/>
          <w:sz w:val="18"/>
        </w:rPr>
      </w:pPr>
      <w:r>
        <w:rPr>
          <w:rStyle w:val="Refdenotaalpie"/>
          <w:rFonts w:cs="Courier New"/>
          <w:spacing w:val="-3"/>
          <w:sz w:val="18"/>
        </w:rPr>
        <w:footnoteRef/>
      </w:r>
      <w:r>
        <w:rPr>
          <w:rFonts w:ascii="Verdana" w:hAnsi="Verdana" w:cs="Courier New"/>
          <w:spacing w:val="-3"/>
          <w:sz w:val="18"/>
        </w:rPr>
        <w:t xml:space="preserve">. </w:t>
      </w:r>
      <w:r>
        <w:rPr>
          <w:rFonts w:ascii="Verdana" w:hAnsi="Verdana" w:cs="Courier New"/>
          <w:spacing w:val="-3"/>
          <w:sz w:val="18"/>
        </w:rPr>
        <w:tab/>
        <w:t xml:space="preserve">Sobre este principio, cf., v.g., B. Maurer, </w:t>
      </w:r>
      <w:r>
        <w:rPr>
          <w:rFonts w:ascii="Verdana" w:hAnsi="Verdana" w:cs="Courier New"/>
          <w:i/>
          <w:iCs/>
          <w:spacing w:val="-3"/>
          <w:sz w:val="18"/>
        </w:rPr>
        <w:t xml:space="preserve">Le principe de respect de la dignité humaine et </w:t>
      </w:r>
      <w:smartTag w:uri="urn:schemas-microsoft-com:office:smarttags" w:element="PersonName">
        <w:smartTagPr>
          <w:attr w:name="ProductID" w:val="la Convention Europ￩enne"/>
        </w:smartTagPr>
        <w:r>
          <w:rPr>
            <w:rFonts w:ascii="Verdana" w:hAnsi="Verdana" w:cs="Courier New"/>
            <w:i/>
            <w:iCs/>
            <w:spacing w:val="-3"/>
            <w:sz w:val="18"/>
          </w:rPr>
          <w:t>la Convention Européenne</w:t>
        </w:r>
      </w:smartTag>
      <w:r>
        <w:rPr>
          <w:rFonts w:ascii="Verdana" w:hAnsi="Verdana" w:cs="Courier New"/>
          <w:i/>
          <w:iCs/>
          <w:spacing w:val="-3"/>
          <w:sz w:val="18"/>
        </w:rPr>
        <w:t xml:space="preserve"> des Droits de l'Homme</w:t>
      </w:r>
      <w:r>
        <w:rPr>
          <w:rFonts w:ascii="Verdana" w:hAnsi="Verdana" w:cs="Courier New"/>
          <w:spacing w:val="-3"/>
          <w:sz w:val="18"/>
        </w:rPr>
        <w:t xml:space="preserve">, Aix-Marseille/Paris, CERIC, 1999, pp. 7-491; [Varios Autores,] </w:t>
      </w:r>
      <w:r>
        <w:rPr>
          <w:rFonts w:ascii="Verdana" w:hAnsi="Verdana" w:cs="Courier New"/>
          <w:i/>
          <w:iCs/>
          <w:spacing w:val="-3"/>
          <w:sz w:val="18"/>
        </w:rPr>
        <w:t>Le principe du respect de la dig</w:t>
      </w:r>
      <w:r>
        <w:rPr>
          <w:rFonts w:ascii="Verdana" w:hAnsi="Verdana" w:cs="Courier New"/>
          <w:i/>
          <w:iCs/>
          <w:spacing w:val="-3"/>
          <w:sz w:val="18"/>
        </w:rPr>
        <w:t>nité de la personne humaine</w:t>
      </w:r>
      <w:r>
        <w:rPr>
          <w:rFonts w:ascii="Verdana" w:hAnsi="Verdana" w:cs="Courier New"/>
          <w:spacing w:val="-3"/>
          <w:sz w:val="18"/>
        </w:rPr>
        <w:t xml:space="preserve"> (Actes du Séminaire de Montpellier de 1998), Strasbourg, Conseil de l'Europe, 1999, pp. 15-113; E. Wiesel, "Contre l'indifférence", </w:t>
      </w:r>
      <w:r>
        <w:rPr>
          <w:rFonts w:ascii="Verdana" w:hAnsi="Verdana" w:cs="Courier New"/>
          <w:i/>
          <w:iCs/>
          <w:spacing w:val="-3"/>
          <w:sz w:val="18"/>
        </w:rPr>
        <w:t>in Agir pour les droits de l'homme au XXIe. siècle</w:t>
      </w:r>
      <w:r>
        <w:rPr>
          <w:rFonts w:ascii="Verdana" w:hAnsi="Verdana" w:cs="Courier New"/>
          <w:spacing w:val="-3"/>
          <w:sz w:val="18"/>
        </w:rPr>
        <w:t xml:space="preserve"> (ed. F. Mayor), Paris, UNESCO, 1998, pp. 87-9</w:t>
      </w:r>
      <w:r>
        <w:rPr>
          <w:rFonts w:ascii="Verdana" w:hAnsi="Verdana" w:cs="Courier New"/>
          <w:spacing w:val="-3"/>
          <w:sz w:val="18"/>
        </w:rPr>
        <w:t>0.</w:t>
      </w:r>
    </w:p>
    <w:p w:rsidR="00000000" w:rsidRDefault="00687F2E">
      <w:pPr>
        <w:pStyle w:val="Textodenotaalpie"/>
        <w:tabs>
          <w:tab w:val="left" w:pos="-720"/>
        </w:tabs>
        <w:suppressAutoHyphens/>
        <w:jc w:val="both"/>
        <w:rPr>
          <w:rFonts w:ascii="Verdana" w:hAnsi="Verdana" w:cs="Courier New"/>
          <w:spacing w:val="-3"/>
          <w:sz w:val="18"/>
        </w:rPr>
      </w:pPr>
    </w:p>
  </w:footnote>
  <w:footnote w:id="35">
    <w:p w:rsidR="00000000" w:rsidRDefault="00687F2E">
      <w:pPr>
        <w:pStyle w:val="Textodenotaalpie"/>
        <w:tabs>
          <w:tab w:val="left" w:pos="-720"/>
        </w:tabs>
        <w:suppressAutoHyphens/>
        <w:jc w:val="both"/>
        <w:rPr>
          <w:rFonts w:ascii="Verdana" w:hAnsi="Verdana" w:cs="Courier New"/>
          <w:spacing w:val="-3"/>
          <w:sz w:val="18"/>
        </w:rPr>
      </w:pPr>
      <w:r>
        <w:rPr>
          <w:rStyle w:val="Refdenotaalpie"/>
          <w:rFonts w:cs="Courier New"/>
          <w:spacing w:val="-3"/>
          <w:sz w:val="18"/>
        </w:rPr>
        <w:footnoteRef/>
      </w:r>
      <w:r>
        <w:rPr>
          <w:rFonts w:ascii="Verdana" w:hAnsi="Verdana" w:cs="Courier New"/>
          <w:spacing w:val="-3"/>
          <w:sz w:val="18"/>
        </w:rPr>
        <w:t xml:space="preserve">. </w:t>
      </w:r>
      <w:r>
        <w:rPr>
          <w:rFonts w:ascii="Verdana" w:hAnsi="Verdana" w:cs="Courier New"/>
          <w:spacing w:val="-3"/>
          <w:sz w:val="18"/>
        </w:rPr>
        <w:tab/>
        <w:t xml:space="preserve">Para un examen de la subjetividad individual en el pensamiento filosófico, cf., v.g., A. Renaut, </w:t>
      </w:r>
      <w:r>
        <w:rPr>
          <w:rFonts w:ascii="Verdana" w:hAnsi="Verdana" w:cs="Courier New"/>
          <w:i/>
          <w:iCs/>
          <w:spacing w:val="-3"/>
          <w:sz w:val="18"/>
        </w:rPr>
        <w:t>L'ère de l'individu - Contribution à une histoire de la subjectivité</w:t>
      </w:r>
      <w:r>
        <w:rPr>
          <w:rFonts w:ascii="Verdana" w:hAnsi="Verdana" w:cs="Courier New"/>
          <w:spacing w:val="-3"/>
          <w:sz w:val="18"/>
        </w:rPr>
        <w:t>, [Paris,] Gallimard, 1991, pp. 7-299.</w:t>
      </w:r>
    </w:p>
    <w:p w:rsidR="00000000" w:rsidRDefault="00687F2E">
      <w:pPr>
        <w:pStyle w:val="Textodenotaalpie"/>
        <w:tabs>
          <w:tab w:val="left" w:pos="-720"/>
        </w:tabs>
        <w:suppressAutoHyphens/>
        <w:jc w:val="both"/>
        <w:rPr>
          <w:rFonts w:ascii="Verdana" w:hAnsi="Verdana" w:cs="Courier New"/>
          <w:spacing w:val="-3"/>
          <w:sz w:val="18"/>
        </w:rPr>
      </w:pPr>
    </w:p>
  </w:footnote>
  <w:footnote w:id="36">
    <w:p w:rsidR="00000000" w:rsidRDefault="00687F2E">
      <w:pPr>
        <w:pStyle w:val="Textodenotaalpie"/>
        <w:tabs>
          <w:tab w:val="left" w:pos="-720"/>
        </w:tabs>
        <w:suppressAutoHyphens/>
        <w:jc w:val="both"/>
        <w:rPr>
          <w:rFonts w:ascii="Verdana" w:hAnsi="Verdana" w:cs="Courier New"/>
          <w:spacing w:val="-3"/>
          <w:sz w:val="18"/>
        </w:rPr>
      </w:pPr>
      <w:r>
        <w:rPr>
          <w:rStyle w:val="Refdenotaalpie"/>
          <w:rFonts w:cs="Courier New"/>
          <w:spacing w:val="-3"/>
          <w:sz w:val="18"/>
        </w:rPr>
        <w:footnoteRef/>
      </w:r>
      <w:r>
        <w:rPr>
          <w:rFonts w:ascii="Verdana" w:hAnsi="Verdana" w:cs="Courier New"/>
          <w:spacing w:val="-3"/>
          <w:sz w:val="18"/>
        </w:rPr>
        <w:t xml:space="preserve">. </w:t>
      </w:r>
      <w:r>
        <w:rPr>
          <w:rFonts w:ascii="Verdana" w:hAnsi="Verdana" w:cs="Courier New"/>
          <w:spacing w:val="-3"/>
          <w:sz w:val="18"/>
        </w:rPr>
        <w:tab/>
        <w:t xml:space="preserve">E. Kant, </w:t>
      </w:r>
      <w:r>
        <w:rPr>
          <w:rFonts w:ascii="Verdana" w:hAnsi="Verdana" w:cs="Courier New"/>
          <w:i/>
          <w:iCs/>
          <w:spacing w:val="-3"/>
          <w:sz w:val="18"/>
        </w:rPr>
        <w:t xml:space="preserve">Fondements de la métaphysique </w:t>
      </w:r>
      <w:r>
        <w:rPr>
          <w:rFonts w:ascii="Verdana" w:hAnsi="Verdana" w:cs="Courier New"/>
          <w:i/>
          <w:iCs/>
          <w:spacing w:val="-3"/>
          <w:sz w:val="18"/>
        </w:rPr>
        <w:t>des moeurs</w:t>
      </w:r>
      <w:r>
        <w:rPr>
          <w:rFonts w:ascii="Verdana" w:hAnsi="Verdana" w:cs="Courier New"/>
          <w:spacing w:val="-3"/>
          <w:sz w:val="18"/>
        </w:rPr>
        <w:t xml:space="preserve"> (1785), Paris, Libr. Delagrave, 1999, pp. 46, 103, 125-129, 136-137, 159, 164 y 166-167; I. Kant, </w:t>
      </w:r>
      <w:r>
        <w:rPr>
          <w:rFonts w:ascii="Verdana" w:hAnsi="Verdana" w:cs="Courier New"/>
          <w:i/>
          <w:iCs/>
          <w:spacing w:val="-3"/>
          <w:sz w:val="18"/>
        </w:rPr>
        <w:t>The Metaphysics of Morals</w:t>
      </w:r>
      <w:r>
        <w:rPr>
          <w:rFonts w:ascii="Verdana" w:hAnsi="Verdana" w:cs="Courier New"/>
          <w:spacing w:val="-3"/>
          <w:sz w:val="18"/>
        </w:rPr>
        <w:t xml:space="preserve"> (1797), Cambridge, Cambridge University Press, 2006 [reprint], pp. 17, 183 y 209; y cf. E. Kant, </w:t>
      </w:r>
      <w:r>
        <w:rPr>
          <w:rFonts w:ascii="Verdana" w:hAnsi="Verdana" w:cs="Courier New"/>
          <w:i/>
          <w:iCs/>
          <w:spacing w:val="-3"/>
          <w:sz w:val="18"/>
        </w:rPr>
        <w:t>Leçons d'éthique</w:t>
      </w:r>
      <w:r>
        <w:rPr>
          <w:rFonts w:ascii="Verdana" w:hAnsi="Verdana" w:cs="Courier New"/>
          <w:spacing w:val="-3"/>
          <w:sz w:val="18"/>
        </w:rPr>
        <w:t xml:space="preserve"> (1775-1</w:t>
      </w:r>
      <w:r>
        <w:rPr>
          <w:rFonts w:ascii="Verdana" w:hAnsi="Verdana" w:cs="Courier New"/>
          <w:spacing w:val="-3"/>
          <w:sz w:val="18"/>
        </w:rPr>
        <w:t xml:space="preserve">780), Paris, Livr. de Poche/Classiques de Philosophie, 1997, p. 335. </w:t>
      </w:r>
    </w:p>
    <w:p w:rsidR="00000000" w:rsidRDefault="00687F2E">
      <w:pPr>
        <w:pStyle w:val="Textodenotaalpie"/>
        <w:tabs>
          <w:tab w:val="left" w:pos="-720"/>
        </w:tabs>
        <w:suppressAutoHyphens/>
        <w:jc w:val="both"/>
        <w:rPr>
          <w:rFonts w:ascii="Verdana" w:hAnsi="Verdana" w:cs="Courier New"/>
          <w:spacing w:val="-3"/>
          <w:sz w:val="18"/>
        </w:rPr>
      </w:pPr>
    </w:p>
  </w:footnote>
  <w:footnote w:id="37">
    <w:p w:rsidR="00000000" w:rsidRDefault="00687F2E">
      <w:pPr>
        <w:pStyle w:val="Textodenotaalpie"/>
        <w:tabs>
          <w:tab w:val="left" w:pos="-720"/>
        </w:tabs>
        <w:suppressAutoHyphens/>
        <w:jc w:val="both"/>
        <w:rPr>
          <w:rFonts w:ascii="Verdana" w:hAnsi="Verdana" w:cs="Courier New"/>
          <w:spacing w:val="-3"/>
          <w:sz w:val="18"/>
          <w:lang w:val="pt-BR"/>
        </w:rPr>
      </w:pPr>
      <w:r>
        <w:rPr>
          <w:rStyle w:val="Refdenotaalpie"/>
          <w:rFonts w:cs="Courier New"/>
          <w:spacing w:val="-3"/>
          <w:sz w:val="18"/>
        </w:rPr>
        <w:footnoteRef/>
      </w:r>
      <w:r>
        <w:rPr>
          <w:rFonts w:ascii="Verdana" w:hAnsi="Verdana" w:cs="Courier New"/>
          <w:spacing w:val="-3"/>
          <w:sz w:val="18"/>
          <w:lang w:val="pt-BR"/>
        </w:rPr>
        <w:t xml:space="preserve">. </w:t>
      </w:r>
      <w:r>
        <w:rPr>
          <w:rFonts w:ascii="Verdana" w:hAnsi="Verdana" w:cs="Courier New"/>
          <w:spacing w:val="-3"/>
          <w:sz w:val="18"/>
          <w:lang w:val="pt-BR"/>
        </w:rPr>
        <w:tab/>
        <w:t xml:space="preserve">A.A. Cançado Trindade, "A Consolidação da Personalidade e da Capacidade Jurídicas do Indivíduo como Sujeito do Direito Internacional", 16 </w:t>
      </w:r>
      <w:r>
        <w:rPr>
          <w:rFonts w:ascii="Verdana" w:hAnsi="Verdana" w:cs="Courier New"/>
          <w:i/>
          <w:iCs/>
          <w:spacing w:val="-3"/>
          <w:sz w:val="18"/>
          <w:lang w:val="pt-BR"/>
        </w:rPr>
        <w:t>Anuario del Instituto Hispano-Luso-American</w:t>
      </w:r>
      <w:r>
        <w:rPr>
          <w:rFonts w:ascii="Verdana" w:hAnsi="Verdana" w:cs="Courier New"/>
          <w:i/>
          <w:iCs/>
          <w:spacing w:val="-3"/>
          <w:sz w:val="18"/>
          <w:lang w:val="pt-BR"/>
        </w:rPr>
        <w:t>o de Derecho Internacional</w:t>
      </w:r>
      <w:r>
        <w:rPr>
          <w:rFonts w:ascii="Verdana" w:hAnsi="Verdana" w:cs="Courier New"/>
          <w:spacing w:val="-3"/>
          <w:sz w:val="18"/>
          <w:lang w:val="pt-BR"/>
        </w:rPr>
        <w:t xml:space="preserve"> - Madrid (2003) pp. 278-280.</w:t>
      </w:r>
    </w:p>
    <w:p w:rsidR="00000000" w:rsidRDefault="00687F2E">
      <w:pPr>
        <w:pStyle w:val="Textodenotaalpie"/>
        <w:tabs>
          <w:tab w:val="left" w:pos="-720"/>
        </w:tabs>
        <w:suppressAutoHyphens/>
        <w:jc w:val="both"/>
        <w:rPr>
          <w:rFonts w:ascii="Verdana" w:hAnsi="Verdana" w:cs="Courier New"/>
          <w:spacing w:val="-3"/>
          <w:sz w:val="18"/>
          <w:lang w:val="pt-BR"/>
        </w:rPr>
      </w:pPr>
    </w:p>
  </w:footnote>
  <w:footnote w:id="38">
    <w:p w:rsidR="00000000" w:rsidRDefault="00687F2E">
      <w:pPr>
        <w:pStyle w:val="Textodenotaalpie"/>
        <w:tabs>
          <w:tab w:val="left" w:pos="-720"/>
        </w:tabs>
        <w:suppressAutoHyphens/>
        <w:jc w:val="both"/>
        <w:rPr>
          <w:rFonts w:ascii="Verdana" w:hAnsi="Verdana" w:cs="Courier New"/>
          <w:spacing w:val="-3"/>
          <w:sz w:val="18"/>
        </w:rPr>
      </w:pPr>
      <w:r>
        <w:rPr>
          <w:rStyle w:val="Refdenotaalpie"/>
          <w:rFonts w:cs="Courier New"/>
          <w:spacing w:val="-3"/>
          <w:sz w:val="18"/>
        </w:rPr>
        <w:footnoteRef/>
      </w:r>
      <w:r>
        <w:rPr>
          <w:rFonts w:ascii="Verdana" w:hAnsi="Verdana" w:cs="Courier New"/>
          <w:spacing w:val="-3"/>
          <w:sz w:val="18"/>
        </w:rPr>
        <w:t xml:space="preserve">. </w:t>
      </w:r>
      <w:r>
        <w:rPr>
          <w:rFonts w:ascii="Verdana" w:hAnsi="Verdana" w:cs="Courier New"/>
          <w:spacing w:val="-3"/>
          <w:sz w:val="18"/>
        </w:rPr>
        <w:tab/>
        <w:t xml:space="preserve">Cf., en ese sentido, v.g., L. Recaséns Siches, </w:t>
      </w:r>
      <w:r>
        <w:rPr>
          <w:rFonts w:ascii="Verdana" w:hAnsi="Verdana" w:cs="Courier New"/>
          <w:i/>
          <w:iCs/>
          <w:spacing w:val="-3"/>
          <w:sz w:val="18"/>
        </w:rPr>
        <w:t>Introducción al Estudio del Derecho</w:t>
      </w:r>
      <w:r>
        <w:rPr>
          <w:rFonts w:ascii="Verdana" w:hAnsi="Verdana" w:cs="Courier New"/>
          <w:spacing w:val="-3"/>
          <w:sz w:val="18"/>
        </w:rPr>
        <w:t xml:space="preserve">, 12a. ed., México, Ed. Porrúa, 1997, pp. 150-151, 153, 156 y 159. </w:t>
      </w:r>
    </w:p>
    <w:p w:rsidR="00000000" w:rsidRDefault="00687F2E">
      <w:pPr>
        <w:pStyle w:val="Textodenotaalpie"/>
        <w:tabs>
          <w:tab w:val="left" w:pos="-720"/>
        </w:tabs>
        <w:suppressAutoHyphens/>
        <w:jc w:val="both"/>
        <w:rPr>
          <w:rFonts w:ascii="Verdana" w:hAnsi="Verdana" w:cs="Courier New"/>
          <w:spacing w:val="-3"/>
          <w:sz w:val="18"/>
        </w:rPr>
      </w:pPr>
    </w:p>
  </w:footnote>
  <w:footnote w:id="39">
    <w:p w:rsidR="00000000" w:rsidRDefault="00687F2E">
      <w:pPr>
        <w:pStyle w:val="Textodenotaalpie"/>
        <w:tabs>
          <w:tab w:val="left" w:pos="-720"/>
        </w:tabs>
        <w:suppressAutoHyphens/>
        <w:jc w:val="both"/>
        <w:rPr>
          <w:rFonts w:ascii="Verdana" w:hAnsi="Verdana" w:cs="Courier New"/>
          <w:spacing w:val="-3"/>
          <w:sz w:val="18"/>
        </w:rPr>
      </w:pPr>
      <w:r>
        <w:rPr>
          <w:rStyle w:val="Refdenotaalpie"/>
          <w:rFonts w:cs="Courier New"/>
          <w:spacing w:val="-3"/>
          <w:sz w:val="18"/>
        </w:rPr>
        <w:footnoteRef/>
      </w:r>
      <w:r>
        <w:rPr>
          <w:rFonts w:ascii="Verdana" w:hAnsi="Verdana" w:cs="Courier New"/>
          <w:spacing w:val="-3"/>
          <w:sz w:val="18"/>
        </w:rPr>
        <w:t xml:space="preserve">. </w:t>
      </w:r>
      <w:r>
        <w:rPr>
          <w:rFonts w:ascii="Verdana" w:hAnsi="Verdana" w:cs="Courier New"/>
          <w:spacing w:val="-3"/>
          <w:sz w:val="18"/>
        </w:rPr>
        <w:tab/>
        <w:t>A.A. Cançado Trindade, "A Consolidação d</w:t>
      </w:r>
      <w:r>
        <w:rPr>
          <w:rFonts w:ascii="Verdana" w:hAnsi="Verdana" w:cs="Courier New"/>
          <w:spacing w:val="-3"/>
          <w:sz w:val="18"/>
        </w:rPr>
        <w:t xml:space="preserve">a Personalidade e da Capacidade Jurídicas do Indivíduo...", </w:t>
      </w:r>
      <w:r>
        <w:rPr>
          <w:rFonts w:ascii="Verdana" w:hAnsi="Verdana" w:cs="Courier New"/>
          <w:i/>
          <w:iCs/>
          <w:spacing w:val="-3"/>
          <w:sz w:val="18"/>
        </w:rPr>
        <w:t>op. cit. supra</w:t>
      </w:r>
      <w:r>
        <w:rPr>
          <w:rFonts w:ascii="Verdana" w:hAnsi="Verdana" w:cs="Courier New"/>
          <w:spacing w:val="-3"/>
          <w:sz w:val="18"/>
        </w:rPr>
        <w:t xml:space="preserve"> n. (33), pp. 280-281; A.A. Cançado Trindade, "</w:t>
      </w:r>
      <w:smartTag w:uri="urn:schemas-microsoft-com:office:smarttags" w:element="PersonName">
        <w:smartTagPr>
          <w:attr w:name="ProductID" w:val="la Persona Humana"/>
        </w:smartTagPr>
        <w:r>
          <w:rPr>
            <w:rFonts w:ascii="Verdana" w:hAnsi="Verdana" w:cs="Courier New"/>
            <w:spacing w:val="-3"/>
            <w:sz w:val="18"/>
          </w:rPr>
          <w:t>La Persona Humana</w:t>
        </w:r>
      </w:smartTag>
      <w:r>
        <w:rPr>
          <w:rFonts w:ascii="Verdana" w:hAnsi="Verdana" w:cs="Courier New"/>
          <w:spacing w:val="-3"/>
          <w:sz w:val="18"/>
        </w:rPr>
        <w:t xml:space="preserve"> como Sujeto del Derecho Internacional: Avances de Su Capacidad Jurídica Internacional en </w:t>
      </w:r>
      <w:smartTag w:uri="urn:schemas-microsoft-com:office:smarttags" w:element="PersonName">
        <w:smartTagPr>
          <w:attr w:name="ProductID" w:val="la Primera D￩cada"/>
        </w:smartTagPr>
        <w:r>
          <w:rPr>
            <w:rFonts w:ascii="Verdana" w:hAnsi="Verdana" w:cs="Courier New"/>
            <w:spacing w:val="-3"/>
            <w:sz w:val="18"/>
          </w:rPr>
          <w:t>la Primera Década</w:t>
        </w:r>
      </w:smartTag>
      <w:r>
        <w:rPr>
          <w:rFonts w:ascii="Verdana" w:hAnsi="Verdana" w:cs="Courier New"/>
          <w:spacing w:val="-3"/>
          <w:sz w:val="18"/>
        </w:rPr>
        <w:t xml:space="preserve"> del Siglo </w:t>
      </w:r>
      <w:r>
        <w:rPr>
          <w:rFonts w:ascii="Verdana" w:hAnsi="Verdana" w:cs="Courier New"/>
          <w:spacing w:val="-3"/>
          <w:sz w:val="18"/>
        </w:rPr>
        <w:t xml:space="preserve">XXI", </w:t>
      </w:r>
      <w:r>
        <w:rPr>
          <w:rFonts w:ascii="Verdana" w:hAnsi="Verdana" w:cs="Courier New"/>
          <w:i/>
          <w:iCs/>
          <w:spacing w:val="-3"/>
          <w:sz w:val="18"/>
        </w:rPr>
        <w:t>in Jornadas de Derecho Internacional</w:t>
      </w:r>
      <w:r>
        <w:rPr>
          <w:rFonts w:ascii="Verdana" w:hAnsi="Verdana" w:cs="Courier New"/>
          <w:spacing w:val="-3"/>
          <w:sz w:val="18"/>
        </w:rPr>
        <w:t xml:space="preserve"> (Buenos Aires, noviembre de 2006), Washington D.C., OEA/Secretaría General, 2007, pp. 246-249.</w:t>
      </w:r>
    </w:p>
    <w:p w:rsidR="00000000" w:rsidRDefault="00687F2E">
      <w:pPr>
        <w:pStyle w:val="Textodenotaalpie"/>
        <w:tabs>
          <w:tab w:val="left" w:pos="-720"/>
        </w:tabs>
        <w:suppressAutoHyphens/>
        <w:jc w:val="both"/>
        <w:rPr>
          <w:rFonts w:ascii="Verdana" w:hAnsi="Verdana" w:cs="Courier New"/>
          <w:spacing w:val="-3"/>
          <w:sz w:val="18"/>
        </w:rPr>
      </w:pPr>
    </w:p>
  </w:footnote>
  <w:footnote w:id="40">
    <w:p w:rsidR="00000000" w:rsidRDefault="00687F2E">
      <w:pPr>
        <w:pStyle w:val="Textodenotaalpie"/>
        <w:tabs>
          <w:tab w:val="left" w:pos="-720"/>
        </w:tabs>
        <w:suppressAutoHyphens/>
        <w:jc w:val="both"/>
        <w:rPr>
          <w:rFonts w:ascii="Verdana" w:hAnsi="Verdana" w:cs="Courier New"/>
          <w:spacing w:val="-3"/>
          <w:sz w:val="18"/>
          <w:lang w:val="en-GB"/>
        </w:rPr>
      </w:pPr>
      <w:r>
        <w:rPr>
          <w:rStyle w:val="Refdenotaalpie"/>
          <w:rFonts w:cs="Courier New"/>
          <w:spacing w:val="-3"/>
          <w:sz w:val="18"/>
        </w:rPr>
        <w:footnoteRef/>
      </w:r>
      <w:r>
        <w:rPr>
          <w:rFonts w:ascii="Verdana" w:hAnsi="Verdana" w:cs="Courier New"/>
          <w:spacing w:val="-3"/>
          <w:sz w:val="18"/>
          <w:lang w:val="pt-BR"/>
        </w:rPr>
        <w:t xml:space="preserve">. Cf., entre mis varios escritos al respecto, e.g., A.A. Cançado Trindade, </w:t>
      </w:r>
      <w:r>
        <w:rPr>
          <w:rFonts w:ascii="Verdana" w:hAnsi="Verdana" w:cs="Courier New"/>
          <w:i/>
          <w:iCs/>
          <w:spacing w:val="-3"/>
          <w:sz w:val="18"/>
          <w:lang w:val="pt-BR"/>
        </w:rPr>
        <w:t>A Humanização do Direito Internacional</w:t>
      </w:r>
      <w:r>
        <w:rPr>
          <w:rFonts w:ascii="Verdana" w:hAnsi="Verdana" w:cs="Courier New"/>
          <w:spacing w:val="-3"/>
          <w:sz w:val="18"/>
          <w:lang w:val="pt-BR"/>
        </w:rPr>
        <w:t>, B</w:t>
      </w:r>
      <w:r>
        <w:rPr>
          <w:rFonts w:ascii="Verdana" w:hAnsi="Verdana" w:cs="Courier New"/>
          <w:spacing w:val="-3"/>
          <w:sz w:val="18"/>
          <w:lang w:val="pt-BR"/>
        </w:rPr>
        <w:t xml:space="preserve">elo Horizonte/Brasil, Edit. </w:t>
      </w:r>
      <w:r>
        <w:rPr>
          <w:rFonts w:ascii="Verdana" w:hAnsi="Verdana" w:cs="Courier New"/>
          <w:spacing w:val="-3"/>
          <w:sz w:val="18"/>
          <w:lang w:val="en-GB"/>
        </w:rPr>
        <w:t>Del Rey, 2006, pp. 3-409.</w:t>
      </w:r>
    </w:p>
    <w:p w:rsidR="00000000" w:rsidRDefault="00687F2E">
      <w:pPr>
        <w:pStyle w:val="Textodenotaalpie"/>
        <w:tabs>
          <w:tab w:val="left" w:pos="-720"/>
        </w:tabs>
        <w:suppressAutoHyphens/>
        <w:jc w:val="both"/>
        <w:rPr>
          <w:rFonts w:ascii="Verdana" w:hAnsi="Verdana" w:cs="Courier New"/>
          <w:spacing w:val="-3"/>
          <w:sz w:val="18"/>
          <w:lang w:val="en-GB"/>
        </w:rPr>
      </w:pPr>
    </w:p>
  </w:footnote>
  <w:footnote w:id="41">
    <w:p w:rsidR="00000000" w:rsidRDefault="00687F2E">
      <w:pPr>
        <w:pStyle w:val="Textodenotaalpie"/>
        <w:tabs>
          <w:tab w:val="left" w:pos="-720"/>
        </w:tabs>
        <w:suppressAutoHyphens/>
        <w:jc w:val="both"/>
        <w:rPr>
          <w:rFonts w:ascii="Verdana" w:hAnsi="Verdana" w:cs="Courier New"/>
          <w:spacing w:val="-3"/>
          <w:sz w:val="18"/>
        </w:rPr>
      </w:pPr>
      <w:r>
        <w:rPr>
          <w:rStyle w:val="Refdenotaalpie"/>
          <w:rFonts w:cs="Courier New"/>
          <w:spacing w:val="-3"/>
          <w:sz w:val="18"/>
          <w:lang w:val="en-GB"/>
        </w:rPr>
        <w:t>    </w:t>
      </w:r>
      <w:r>
        <w:rPr>
          <w:rStyle w:val="Refdenotaalpie"/>
          <w:rFonts w:cs="Courier New"/>
          <w:spacing w:val="-3"/>
          <w:sz w:val="18"/>
        </w:rPr>
        <w:footnoteRef/>
      </w:r>
      <w:r>
        <w:rPr>
          <w:rFonts w:ascii="Verdana" w:hAnsi="Verdana" w:cs="Courier New"/>
          <w:spacing w:val="-3"/>
          <w:sz w:val="18"/>
          <w:lang w:val="en-GB"/>
        </w:rPr>
        <w:t xml:space="preserve">. </w:t>
      </w:r>
      <w:r>
        <w:rPr>
          <w:rFonts w:ascii="Verdana" w:hAnsi="Verdana" w:cs="Courier New"/>
          <w:spacing w:val="-3"/>
          <w:sz w:val="18"/>
          <w:lang w:val="en-GB"/>
        </w:rPr>
        <w:tab/>
        <w:t xml:space="preserve">Cf. </w:t>
      </w:r>
      <w:r>
        <w:rPr>
          <w:rFonts w:ascii="Verdana" w:hAnsi="Verdana" w:cs="Courier New"/>
          <w:i/>
          <w:iCs/>
          <w:spacing w:val="-3"/>
          <w:sz w:val="18"/>
          <w:lang w:val="en-GB"/>
        </w:rPr>
        <w:t xml:space="preserve">The </w:t>
      </w:r>
      <w:smartTag w:uri="urn:schemas-microsoft-com:office:smarttags" w:element="City">
        <w:smartTag w:uri="urn:schemas-microsoft-com:office:smarttags" w:element="place">
          <w:r>
            <w:rPr>
              <w:rFonts w:ascii="Verdana" w:hAnsi="Verdana" w:cs="Courier New"/>
              <w:i/>
              <w:iCs/>
              <w:spacing w:val="-3"/>
              <w:sz w:val="18"/>
              <w:lang w:val="en-GB"/>
            </w:rPr>
            <w:t>Oxford</w:t>
          </w:r>
        </w:smartTag>
      </w:smartTag>
      <w:r>
        <w:rPr>
          <w:rFonts w:ascii="Verdana" w:hAnsi="Verdana" w:cs="Courier New"/>
          <w:i/>
          <w:iCs/>
          <w:spacing w:val="-3"/>
          <w:sz w:val="18"/>
          <w:lang w:val="en-GB"/>
        </w:rPr>
        <w:t xml:space="preserve"> English Dictionary</w:t>
      </w:r>
      <w:r>
        <w:rPr>
          <w:rFonts w:ascii="Verdana" w:hAnsi="Verdana" w:cs="Courier New"/>
          <w:spacing w:val="-3"/>
          <w:sz w:val="18"/>
          <w:lang w:val="en-GB"/>
        </w:rPr>
        <w:t xml:space="preserve">, 2a. ed., tomo XIX, Oxford, Clarendon Press, 1989, p. 607; Asociación H. Capitant, </w:t>
      </w:r>
      <w:r>
        <w:rPr>
          <w:rFonts w:ascii="Verdana" w:hAnsi="Verdana" w:cs="Courier New"/>
          <w:i/>
          <w:iCs/>
          <w:spacing w:val="-3"/>
          <w:sz w:val="18"/>
          <w:lang w:val="en-GB"/>
        </w:rPr>
        <w:t>Vocabulario Jurídico</w:t>
      </w:r>
      <w:r>
        <w:rPr>
          <w:rFonts w:ascii="Verdana" w:hAnsi="Verdana" w:cs="Courier New"/>
          <w:spacing w:val="-3"/>
          <w:sz w:val="18"/>
          <w:lang w:val="en-GB"/>
        </w:rPr>
        <w:t xml:space="preserve"> (dir. </w:t>
      </w:r>
      <w:r>
        <w:rPr>
          <w:rFonts w:ascii="Verdana" w:hAnsi="Verdana" w:cs="Courier New"/>
          <w:spacing w:val="-3"/>
          <w:sz w:val="18"/>
        </w:rPr>
        <w:t xml:space="preserve">G. Cornu), Bogotá, Temis, 1995, p. 904; G. Gómez </w:t>
      </w:r>
      <w:r>
        <w:rPr>
          <w:rFonts w:ascii="Verdana" w:hAnsi="Verdana" w:cs="Courier New"/>
          <w:spacing w:val="-3"/>
          <w:sz w:val="18"/>
        </w:rPr>
        <w:t xml:space="preserve">de Silva, </w:t>
      </w:r>
      <w:r>
        <w:rPr>
          <w:rFonts w:ascii="Verdana" w:hAnsi="Verdana" w:cs="Courier New"/>
          <w:i/>
          <w:iCs/>
          <w:spacing w:val="-3"/>
          <w:sz w:val="18"/>
        </w:rPr>
        <w:t xml:space="preserve">Breve Diccionario Etimológico de </w:t>
      </w:r>
      <w:smartTag w:uri="urn:schemas-microsoft-com:office:smarttags" w:element="PersonName">
        <w:smartTagPr>
          <w:attr w:name="ProductID" w:val="la Lengua Espa￱ola"/>
        </w:smartTagPr>
        <w:r>
          <w:rPr>
            <w:rFonts w:ascii="Verdana" w:hAnsi="Verdana" w:cs="Courier New"/>
            <w:i/>
            <w:iCs/>
            <w:spacing w:val="-3"/>
            <w:sz w:val="18"/>
          </w:rPr>
          <w:t>la Lengua Española</w:t>
        </w:r>
      </w:smartTag>
      <w:r>
        <w:rPr>
          <w:rFonts w:ascii="Verdana" w:hAnsi="Verdana" w:cs="Courier New"/>
          <w:spacing w:val="-3"/>
          <w:sz w:val="18"/>
        </w:rPr>
        <w:t>, México, El Colegio de México/FCE, 1996 [reimpr.], p. 719.</w:t>
      </w:r>
    </w:p>
    <w:p w:rsidR="00000000" w:rsidRDefault="00687F2E">
      <w:pPr>
        <w:pStyle w:val="Textodenotaalpie"/>
        <w:tabs>
          <w:tab w:val="left" w:pos="-720"/>
        </w:tabs>
        <w:suppressAutoHyphens/>
        <w:jc w:val="both"/>
        <w:rPr>
          <w:rFonts w:ascii="Verdana" w:hAnsi="Verdana" w:cs="Courier New"/>
          <w:spacing w:val="-3"/>
          <w:sz w:val="18"/>
        </w:rPr>
      </w:pPr>
    </w:p>
  </w:footnote>
  <w:footnote w:id="42">
    <w:p w:rsidR="00000000" w:rsidRDefault="00687F2E">
      <w:pPr>
        <w:pStyle w:val="Textodenotaalpie"/>
        <w:tabs>
          <w:tab w:val="left" w:pos="-720"/>
        </w:tabs>
        <w:suppressAutoHyphens/>
        <w:jc w:val="both"/>
        <w:rPr>
          <w:rFonts w:ascii="Verdana" w:hAnsi="Verdana" w:cs="Courier New"/>
          <w:spacing w:val="-3"/>
          <w:sz w:val="18"/>
        </w:rPr>
      </w:pPr>
      <w:r>
        <w:rPr>
          <w:rStyle w:val="Refdenotaalpie"/>
          <w:rFonts w:cs="Courier New"/>
          <w:spacing w:val="-3"/>
          <w:sz w:val="18"/>
        </w:rPr>
        <w:footnoteRef/>
      </w:r>
      <w:r>
        <w:rPr>
          <w:rFonts w:ascii="Verdana" w:hAnsi="Verdana" w:cs="Courier New"/>
          <w:spacing w:val="-3"/>
          <w:sz w:val="18"/>
        </w:rPr>
        <w:t xml:space="preserve">. </w:t>
      </w:r>
      <w:r>
        <w:rPr>
          <w:rFonts w:ascii="Verdana" w:hAnsi="Verdana" w:cs="Courier New"/>
          <w:spacing w:val="-3"/>
          <w:sz w:val="18"/>
        </w:rPr>
        <w:tab/>
        <w:t xml:space="preserve">Cf. E. Neuman, </w:t>
      </w:r>
      <w:r>
        <w:rPr>
          <w:rFonts w:ascii="Verdana" w:hAnsi="Verdana" w:cs="Courier New"/>
          <w:i/>
          <w:iCs/>
          <w:spacing w:val="-3"/>
          <w:sz w:val="18"/>
        </w:rPr>
        <w:t xml:space="preserve">Victimología - El Rol de </w:t>
      </w:r>
      <w:smartTag w:uri="urn:schemas-microsoft-com:office:smarttags" w:element="PersonName">
        <w:smartTagPr>
          <w:attr w:name="ProductID" w:val="la V￭ctima"/>
        </w:smartTagPr>
        <w:r>
          <w:rPr>
            <w:rFonts w:ascii="Verdana" w:hAnsi="Verdana" w:cs="Courier New"/>
            <w:i/>
            <w:iCs/>
            <w:spacing w:val="-3"/>
            <w:sz w:val="18"/>
          </w:rPr>
          <w:t>la Víctima</w:t>
        </w:r>
      </w:smartTag>
      <w:r>
        <w:rPr>
          <w:rFonts w:ascii="Verdana" w:hAnsi="Verdana" w:cs="Courier New"/>
          <w:i/>
          <w:iCs/>
          <w:spacing w:val="-3"/>
          <w:sz w:val="18"/>
        </w:rPr>
        <w:t xml:space="preserve"> en los Delitos Convencionales y No Convencionales</w:t>
      </w:r>
      <w:r>
        <w:rPr>
          <w:rFonts w:ascii="Verdana" w:hAnsi="Verdana" w:cs="Courier New"/>
          <w:spacing w:val="-3"/>
          <w:sz w:val="18"/>
        </w:rPr>
        <w:t>, Buenos Aires, Edit. Universi</w:t>
      </w:r>
      <w:r>
        <w:rPr>
          <w:rFonts w:ascii="Verdana" w:hAnsi="Verdana" w:cs="Courier New"/>
          <w:spacing w:val="-3"/>
          <w:sz w:val="18"/>
        </w:rPr>
        <w:t>dad, 1994, pp. 27-28.</w:t>
      </w:r>
    </w:p>
    <w:p w:rsidR="00000000" w:rsidRDefault="00687F2E">
      <w:pPr>
        <w:pStyle w:val="Textodenotaalpie"/>
        <w:tabs>
          <w:tab w:val="left" w:pos="-720"/>
        </w:tabs>
        <w:suppressAutoHyphens/>
        <w:jc w:val="both"/>
        <w:rPr>
          <w:rFonts w:ascii="Verdana" w:hAnsi="Verdana" w:cs="Courier New"/>
          <w:spacing w:val="-3"/>
          <w:sz w:val="18"/>
        </w:rPr>
      </w:pPr>
    </w:p>
  </w:footnote>
  <w:footnote w:id="43">
    <w:p w:rsidR="00000000" w:rsidRDefault="00687F2E">
      <w:pPr>
        <w:pStyle w:val="Textodenotaalpie"/>
        <w:tabs>
          <w:tab w:val="left" w:pos="-720"/>
        </w:tabs>
        <w:suppressAutoHyphens/>
        <w:jc w:val="both"/>
        <w:rPr>
          <w:rFonts w:ascii="Verdana" w:hAnsi="Verdana" w:cs="Courier New"/>
          <w:spacing w:val="-3"/>
          <w:sz w:val="18"/>
        </w:rPr>
      </w:pPr>
      <w:r>
        <w:rPr>
          <w:rStyle w:val="Refdenotaalpie"/>
          <w:rFonts w:cs="Courier New"/>
          <w:spacing w:val="-3"/>
          <w:sz w:val="18"/>
        </w:rPr>
        <w:footnoteRef/>
      </w:r>
      <w:r>
        <w:rPr>
          <w:rFonts w:ascii="Verdana" w:hAnsi="Verdana" w:cs="Courier New"/>
          <w:spacing w:val="-3"/>
          <w:sz w:val="18"/>
        </w:rPr>
        <w:t xml:space="preserve">. </w:t>
      </w:r>
      <w:r>
        <w:rPr>
          <w:rFonts w:ascii="Verdana" w:hAnsi="Verdana" w:cs="Courier New"/>
          <w:spacing w:val="-3"/>
          <w:sz w:val="18"/>
        </w:rPr>
        <w:tab/>
        <w:t xml:space="preserve">Cf. Union Académique Internationale, </w:t>
      </w:r>
      <w:r>
        <w:rPr>
          <w:rFonts w:ascii="Verdana" w:hAnsi="Verdana" w:cs="Courier New"/>
          <w:i/>
          <w:iCs/>
          <w:spacing w:val="-3"/>
          <w:sz w:val="18"/>
        </w:rPr>
        <w:t>Dictionnaire de la terminologie du Droit international</w:t>
      </w:r>
      <w:r>
        <w:rPr>
          <w:rFonts w:ascii="Verdana" w:hAnsi="Verdana" w:cs="Courier New"/>
          <w:spacing w:val="-3"/>
          <w:sz w:val="18"/>
        </w:rPr>
        <w:t xml:space="preserve">, Paris, Sirey, 1960, pp. 448-449; J. Salmon (dir.), </w:t>
      </w:r>
      <w:r>
        <w:rPr>
          <w:rFonts w:ascii="Verdana" w:hAnsi="Verdana" w:cs="Courier New"/>
          <w:i/>
          <w:iCs/>
          <w:spacing w:val="-3"/>
          <w:sz w:val="18"/>
        </w:rPr>
        <w:t>Dictionnaire de Droit international public</w:t>
      </w:r>
      <w:r>
        <w:rPr>
          <w:rFonts w:ascii="Verdana" w:hAnsi="Verdana" w:cs="Courier New"/>
          <w:spacing w:val="-3"/>
          <w:sz w:val="18"/>
        </w:rPr>
        <w:t>, Bruxelles, Bruylant, 2001, p. 1131.</w:t>
      </w:r>
    </w:p>
    <w:p w:rsidR="00000000" w:rsidRDefault="00687F2E">
      <w:pPr>
        <w:pStyle w:val="Textodenotaalpie"/>
        <w:tabs>
          <w:tab w:val="left" w:pos="-720"/>
        </w:tabs>
        <w:suppressAutoHyphens/>
        <w:jc w:val="both"/>
        <w:rPr>
          <w:rFonts w:ascii="Verdana" w:hAnsi="Verdana" w:cs="Courier New"/>
          <w:spacing w:val="-3"/>
          <w:sz w:val="18"/>
        </w:rPr>
      </w:pPr>
    </w:p>
  </w:footnote>
  <w:footnote w:id="44">
    <w:p w:rsidR="00000000" w:rsidRDefault="00687F2E">
      <w:pPr>
        <w:pStyle w:val="Textodenotaalpie"/>
        <w:tabs>
          <w:tab w:val="left" w:pos="-720"/>
        </w:tabs>
        <w:suppressAutoHyphens/>
        <w:jc w:val="both"/>
        <w:rPr>
          <w:rFonts w:ascii="Verdana" w:hAnsi="Verdana" w:cs="Courier New"/>
          <w:spacing w:val="-3"/>
          <w:sz w:val="18"/>
        </w:rPr>
      </w:pPr>
      <w:r>
        <w:rPr>
          <w:rStyle w:val="Refdenotaalpie"/>
          <w:rFonts w:cs="Courier New"/>
          <w:spacing w:val="-3"/>
          <w:sz w:val="18"/>
        </w:rPr>
        <w:footnoteRef/>
      </w:r>
      <w:r>
        <w:rPr>
          <w:rFonts w:ascii="Verdana" w:hAnsi="Verdana" w:cs="Courier New"/>
          <w:spacing w:val="-3"/>
          <w:sz w:val="18"/>
        </w:rPr>
        <w:t xml:space="preserve">. </w:t>
      </w:r>
      <w:r>
        <w:rPr>
          <w:rFonts w:ascii="Verdana" w:hAnsi="Verdana" w:cs="Courier New"/>
          <w:spacing w:val="-3"/>
          <w:sz w:val="18"/>
        </w:rPr>
        <w:tab/>
      </w:r>
      <w:r>
        <w:rPr>
          <w:rFonts w:ascii="Verdana" w:hAnsi="Verdana" w:cs="Courier New"/>
          <w:spacing w:val="-3"/>
          <w:sz w:val="18"/>
        </w:rPr>
        <w:t xml:space="preserve">A.-J. Arnaud </w:t>
      </w:r>
      <w:r>
        <w:rPr>
          <w:rFonts w:ascii="Verdana" w:hAnsi="Verdana" w:cs="Courier New"/>
          <w:i/>
          <w:iCs/>
          <w:spacing w:val="-3"/>
          <w:sz w:val="18"/>
        </w:rPr>
        <w:t>et alii</w:t>
      </w:r>
      <w:r>
        <w:rPr>
          <w:rFonts w:ascii="Verdana" w:hAnsi="Verdana" w:cs="Courier New"/>
          <w:spacing w:val="-3"/>
          <w:sz w:val="18"/>
        </w:rPr>
        <w:t xml:space="preserve"> (dir.), </w:t>
      </w:r>
      <w:r>
        <w:rPr>
          <w:rFonts w:ascii="Verdana" w:hAnsi="Verdana" w:cs="Courier New"/>
          <w:i/>
          <w:iCs/>
          <w:spacing w:val="-3"/>
          <w:sz w:val="18"/>
        </w:rPr>
        <w:t>Dictionnaire encyclopédique de théorie et de sociologie du Droit</w:t>
      </w:r>
      <w:r>
        <w:rPr>
          <w:rFonts w:ascii="Verdana" w:hAnsi="Verdana" w:cs="Courier New"/>
          <w:spacing w:val="-3"/>
          <w:sz w:val="18"/>
        </w:rPr>
        <w:t>, 2a. ed., Paris, LGDJ, 1993, p. 641 (verbete de E. Viano).</w:t>
      </w:r>
    </w:p>
    <w:p w:rsidR="00000000" w:rsidRDefault="00687F2E">
      <w:pPr>
        <w:pStyle w:val="Textodenotaalpie"/>
        <w:tabs>
          <w:tab w:val="left" w:pos="-720"/>
        </w:tabs>
        <w:suppressAutoHyphens/>
        <w:jc w:val="both"/>
        <w:rPr>
          <w:rFonts w:ascii="Verdana" w:hAnsi="Verdana" w:cs="Courier New"/>
          <w:spacing w:val="-3"/>
          <w:sz w:val="18"/>
        </w:rPr>
      </w:pPr>
    </w:p>
  </w:footnote>
  <w:footnote w:id="45">
    <w:p w:rsidR="00000000" w:rsidRDefault="00687F2E">
      <w:pPr>
        <w:pStyle w:val="Textodenotaalpie"/>
        <w:tabs>
          <w:tab w:val="left" w:pos="-720"/>
        </w:tabs>
        <w:suppressAutoHyphens/>
        <w:jc w:val="both"/>
        <w:rPr>
          <w:rFonts w:ascii="Verdana" w:hAnsi="Verdana" w:cs="Courier New"/>
          <w:spacing w:val="-3"/>
          <w:sz w:val="18"/>
        </w:rPr>
      </w:pPr>
      <w:r>
        <w:rPr>
          <w:rStyle w:val="Refdenotaalpie"/>
          <w:rFonts w:cs="Courier New"/>
          <w:spacing w:val="-3"/>
          <w:sz w:val="18"/>
        </w:rPr>
        <w:footnoteRef/>
      </w:r>
      <w:r>
        <w:rPr>
          <w:rFonts w:ascii="Verdana" w:hAnsi="Verdana" w:cs="Courier New"/>
          <w:spacing w:val="-3"/>
          <w:sz w:val="18"/>
        </w:rPr>
        <w:t xml:space="preserve">. </w:t>
      </w:r>
      <w:r>
        <w:rPr>
          <w:rFonts w:ascii="Verdana" w:hAnsi="Verdana" w:cs="Courier New"/>
          <w:spacing w:val="-3"/>
          <w:sz w:val="18"/>
        </w:rPr>
        <w:tab/>
      </w:r>
      <w:r>
        <w:rPr>
          <w:rFonts w:ascii="Verdana" w:hAnsi="Verdana" w:cs="Courier New"/>
          <w:i/>
          <w:iCs/>
          <w:spacing w:val="-3"/>
          <w:sz w:val="18"/>
        </w:rPr>
        <w:t>Ibid</w:t>
      </w:r>
      <w:r>
        <w:rPr>
          <w:rFonts w:ascii="Verdana" w:hAnsi="Verdana" w:cs="Courier New"/>
          <w:spacing w:val="-3"/>
          <w:sz w:val="18"/>
        </w:rPr>
        <w:t>., pp. 642-643 (verbete de E.V.).</w:t>
      </w:r>
    </w:p>
    <w:p w:rsidR="00000000" w:rsidRDefault="00687F2E">
      <w:pPr>
        <w:pStyle w:val="Textodenotaalpie"/>
        <w:tabs>
          <w:tab w:val="left" w:pos="-720"/>
        </w:tabs>
        <w:suppressAutoHyphens/>
        <w:jc w:val="both"/>
        <w:rPr>
          <w:rFonts w:ascii="Verdana" w:hAnsi="Verdana" w:cs="Courier New"/>
          <w:spacing w:val="-3"/>
          <w:sz w:val="18"/>
        </w:rPr>
      </w:pPr>
    </w:p>
  </w:footnote>
  <w:footnote w:id="46">
    <w:p w:rsidR="00000000" w:rsidRDefault="00687F2E">
      <w:pPr>
        <w:pStyle w:val="Textodenotaalpie"/>
        <w:tabs>
          <w:tab w:val="left" w:pos="-720"/>
        </w:tabs>
        <w:suppressAutoHyphens/>
        <w:jc w:val="both"/>
        <w:rPr>
          <w:rFonts w:ascii="Verdana" w:hAnsi="Verdana" w:cs="Courier New"/>
          <w:spacing w:val="-3"/>
          <w:sz w:val="18"/>
          <w:lang w:val="pt-BR"/>
        </w:rPr>
      </w:pPr>
      <w:r>
        <w:rPr>
          <w:rStyle w:val="Refdenotaalpie"/>
          <w:rFonts w:cs="Courier New"/>
          <w:spacing w:val="-3"/>
          <w:sz w:val="18"/>
        </w:rPr>
        <w:footnoteRef/>
      </w:r>
      <w:r>
        <w:rPr>
          <w:rFonts w:ascii="Verdana" w:hAnsi="Verdana" w:cs="Courier New"/>
          <w:spacing w:val="-3"/>
          <w:sz w:val="18"/>
        </w:rPr>
        <w:t xml:space="preserve">. </w:t>
      </w:r>
      <w:r>
        <w:rPr>
          <w:rFonts w:ascii="Verdana" w:hAnsi="Verdana" w:cs="Courier New"/>
          <w:spacing w:val="-3"/>
          <w:sz w:val="18"/>
        </w:rPr>
        <w:tab/>
        <w:t xml:space="preserve">Cf., v.g., G. Landrove Díaz, </w:t>
      </w:r>
      <w:r>
        <w:rPr>
          <w:rFonts w:ascii="Verdana" w:hAnsi="Verdana" w:cs="Courier New"/>
          <w:i/>
          <w:iCs/>
          <w:spacing w:val="-3"/>
          <w:sz w:val="18"/>
        </w:rPr>
        <w:t>Victimología</w:t>
      </w:r>
      <w:r>
        <w:rPr>
          <w:rFonts w:ascii="Verdana" w:hAnsi="Verdana" w:cs="Courier New"/>
          <w:spacing w:val="-3"/>
          <w:sz w:val="18"/>
        </w:rPr>
        <w:t>, Valencia, Ti</w:t>
      </w:r>
      <w:r>
        <w:rPr>
          <w:rFonts w:ascii="Verdana" w:hAnsi="Verdana" w:cs="Courier New"/>
          <w:spacing w:val="-3"/>
          <w:sz w:val="18"/>
        </w:rPr>
        <w:t xml:space="preserve">rant Lo Blanch, 1990, pp. 22-26, 139-140 y 150; L. Rodríguez Manzanera, </w:t>
      </w:r>
      <w:r>
        <w:rPr>
          <w:rFonts w:ascii="Verdana" w:hAnsi="Verdana" w:cs="Courier New"/>
          <w:i/>
          <w:iCs/>
          <w:spacing w:val="-3"/>
          <w:sz w:val="18"/>
        </w:rPr>
        <w:t xml:space="preserve">Victimología - Estudio de </w:t>
      </w:r>
      <w:smartTag w:uri="urn:schemas-microsoft-com:office:smarttags" w:element="PersonName">
        <w:smartTagPr>
          <w:attr w:name="ProductID" w:val="la V￭ctima"/>
        </w:smartTagPr>
        <w:r>
          <w:rPr>
            <w:rFonts w:ascii="Verdana" w:hAnsi="Verdana" w:cs="Courier New"/>
            <w:i/>
            <w:iCs/>
            <w:spacing w:val="-3"/>
            <w:sz w:val="18"/>
          </w:rPr>
          <w:t>la Víctima</w:t>
        </w:r>
      </w:smartTag>
      <w:r>
        <w:rPr>
          <w:rFonts w:ascii="Verdana" w:hAnsi="Verdana" w:cs="Courier New"/>
          <w:spacing w:val="-3"/>
          <w:sz w:val="18"/>
        </w:rPr>
        <w:t xml:space="preserve">, 8a. ed., México, Edit. </w:t>
      </w:r>
      <w:r>
        <w:rPr>
          <w:rFonts w:ascii="Verdana" w:hAnsi="Verdana" w:cs="Courier New"/>
          <w:spacing w:val="-3"/>
          <w:sz w:val="18"/>
          <w:lang w:val="pt-BR"/>
        </w:rPr>
        <w:t>Porrúa, 2003, pp. 25 y 67.</w:t>
      </w:r>
    </w:p>
    <w:p w:rsidR="00000000" w:rsidRDefault="00687F2E">
      <w:pPr>
        <w:pStyle w:val="Textodenotaalpie"/>
        <w:tabs>
          <w:tab w:val="left" w:pos="-720"/>
        </w:tabs>
        <w:suppressAutoHyphens/>
        <w:jc w:val="both"/>
        <w:rPr>
          <w:rFonts w:ascii="Verdana" w:hAnsi="Verdana" w:cs="Courier New"/>
          <w:spacing w:val="-3"/>
          <w:sz w:val="18"/>
          <w:lang w:val="pt-BR"/>
        </w:rPr>
      </w:pPr>
    </w:p>
  </w:footnote>
  <w:footnote w:id="47">
    <w:p w:rsidR="00000000" w:rsidRDefault="00687F2E">
      <w:pPr>
        <w:pStyle w:val="Textodenotaalpie"/>
        <w:tabs>
          <w:tab w:val="left" w:pos="-720"/>
        </w:tabs>
        <w:suppressAutoHyphens/>
        <w:jc w:val="both"/>
        <w:rPr>
          <w:rFonts w:ascii="Verdana" w:hAnsi="Verdana" w:cs="Courier New"/>
          <w:spacing w:val="-3"/>
          <w:sz w:val="18"/>
        </w:rPr>
      </w:pPr>
      <w:r>
        <w:rPr>
          <w:rStyle w:val="Refdenotaalpie"/>
          <w:rFonts w:cs="Courier New"/>
          <w:spacing w:val="-3"/>
          <w:sz w:val="18"/>
        </w:rPr>
        <w:footnoteRef/>
      </w:r>
      <w:r>
        <w:rPr>
          <w:rFonts w:ascii="Verdana" w:hAnsi="Verdana" w:cs="Courier New"/>
          <w:spacing w:val="-3"/>
          <w:sz w:val="18"/>
          <w:lang w:val="pt-BR"/>
        </w:rPr>
        <w:t xml:space="preserve">. </w:t>
      </w:r>
      <w:r>
        <w:rPr>
          <w:rFonts w:ascii="Verdana" w:hAnsi="Verdana" w:cs="Courier New"/>
          <w:spacing w:val="-3"/>
          <w:sz w:val="18"/>
          <w:lang w:val="pt-BR"/>
        </w:rPr>
        <w:tab/>
        <w:t xml:space="preserve">Cf. A.A. Cançado Trindade, </w:t>
      </w:r>
      <w:r>
        <w:rPr>
          <w:rFonts w:ascii="Verdana" w:hAnsi="Verdana" w:cs="Courier New"/>
          <w:i/>
          <w:iCs/>
          <w:spacing w:val="-3"/>
          <w:sz w:val="18"/>
          <w:lang w:val="pt-BR"/>
        </w:rPr>
        <w:t>Tratado de Direito Internacional dos Direitos Humanos</w:t>
      </w:r>
      <w:r>
        <w:rPr>
          <w:rFonts w:ascii="Verdana" w:hAnsi="Verdana" w:cs="Courier New"/>
          <w:spacing w:val="-3"/>
          <w:sz w:val="18"/>
          <w:lang w:val="pt-BR"/>
        </w:rPr>
        <w:t xml:space="preserve">, vol. </w:t>
      </w:r>
      <w:r>
        <w:rPr>
          <w:rFonts w:ascii="Verdana" w:hAnsi="Verdana" w:cs="Courier New"/>
          <w:spacing w:val="-3"/>
          <w:sz w:val="18"/>
        </w:rPr>
        <w:t>III,</w:t>
      </w:r>
      <w:r>
        <w:rPr>
          <w:rFonts w:ascii="Verdana" w:hAnsi="Verdana" w:cs="Courier New"/>
          <w:spacing w:val="-3"/>
          <w:sz w:val="18"/>
        </w:rPr>
        <w:t xml:space="preserve"> Porto Alegre/Brazil, S.A. Fabris Ed., 2003, pp. 447-497.</w:t>
      </w:r>
    </w:p>
    <w:p w:rsidR="00000000" w:rsidRDefault="00687F2E">
      <w:pPr>
        <w:pStyle w:val="Textodenotaalpie"/>
        <w:tabs>
          <w:tab w:val="left" w:pos="-720"/>
        </w:tabs>
        <w:suppressAutoHyphens/>
        <w:jc w:val="both"/>
        <w:rPr>
          <w:rFonts w:ascii="Verdana" w:hAnsi="Verdana" w:cs="Courier New"/>
          <w:spacing w:val="-3"/>
          <w:sz w:val="18"/>
        </w:rPr>
      </w:pPr>
    </w:p>
  </w:footnote>
  <w:footnote w:id="48">
    <w:p w:rsidR="00000000" w:rsidRDefault="00687F2E">
      <w:pPr>
        <w:pStyle w:val="Textodenotaalpie"/>
        <w:tabs>
          <w:tab w:val="left" w:pos="-720"/>
        </w:tabs>
        <w:suppressAutoHyphens/>
        <w:jc w:val="both"/>
        <w:rPr>
          <w:rFonts w:ascii="Verdana" w:hAnsi="Verdana" w:cs="Courier New"/>
          <w:spacing w:val="-3"/>
          <w:sz w:val="18"/>
          <w:lang w:val="en-GB"/>
        </w:rPr>
      </w:pPr>
      <w:r>
        <w:rPr>
          <w:rStyle w:val="Refdenotaalpie"/>
          <w:rFonts w:cs="Courier New"/>
          <w:spacing w:val="-3"/>
          <w:sz w:val="18"/>
        </w:rPr>
        <w:footnoteRef/>
      </w:r>
      <w:r>
        <w:rPr>
          <w:rFonts w:ascii="Verdana" w:hAnsi="Verdana" w:cs="Courier New"/>
          <w:spacing w:val="-3"/>
          <w:sz w:val="18"/>
        </w:rPr>
        <w:t xml:space="preserve">. </w:t>
      </w:r>
      <w:r>
        <w:rPr>
          <w:rFonts w:ascii="Verdana" w:hAnsi="Verdana" w:cs="Courier New"/>
          <w:spacing w:val="-3"/>
          <w:sz w:val="18"/>
        </w:rPr>
        <w:tab/>
        <w:t>Además, la víctima ha recuperado espacio, más recientemente, también en el dominio del derecho penal contemporáneo, - tanto interno como internacional, - como indicado, v.g., por la adopción de</w:t>
      </w:r>
      <w:r>
        <w:rPr>
          <w:rFonts w:ascii="Verdana" w:hAnsi="Verdana" w:cs="Courier New"/>
          <w:spacing w:val="-3"/>
          <w:sz w:val="18"/>
        </w:rPr>
        <w:t xml:space="preserve"> </w:t>
      </w:r>
      <w:smartTag w:uri="urn:schemas-microsoft-com:office:smarttags" w:element="PersonName">
        <w:smartTagPr>
          <w:attr w:name="ProductID" w:val="la Declaraci￳n"/>
        </w:smartTagPr>
        <w:r>
          <w:rPr>
            <w:rFonts w:ascii="Verdana" w:hAnsi="Verdana" w:cs="Courier New"/>
            <w:spacing w:val="-3"/>
            <w:sz w:val="18"/>
          </w:rPr>
          <w:t>la Declaración</w:t>
        </w:r>
      </w:smartTag>
      <w:r>
        <w:rPr>
          <w:rFonts w:ascii="Verdana" w:hAnsi="Verdana" w:cs="Courier New"/>
          <w:spacing w:val="-3"/>
          <w:sz w:val="18"/>
        </w:rPr>
        <w:t xml:space="preserve"> de las Naciones Unidas de 1985 sobre Principios Básicos de Justicia para Víctimas de Crimen y Abuso de Poder (atinentes a crímenes en el derecho interno), y los Principios Básicos y Directrices de las Naciones Unidas de 2006 sobre el Derech</w:t>
      </w:r>
      <w:r>
        <w:rPr>
          <w:rFonts w:ascii="Verdana" w:hAnsi="Verdana" w:cs="Courier New"/>
          <w:spacing w:val="-3"/>
          <w:sz w:val="18"/>
        </w:rPr>
        <w:t xml:space="preserve">o a un Recurso y Reparación para Víctimas de Violaciones Graves del Derecho Internacional de los Derechos Humanos y Violaciones Serias del Derecho Internacional Humanitario (atinentes a crímenes internacionales). </w:t>
      </w:r>
      <w:r>
        <w:rPr>
          <w:rFonts w:ascii="Verdana" w:hAnsi="Verdana" w:cs="Courier New"/>
          <w:spacing w:val="-3"/>
          <w:sz w:val="18"/>
          <w:lang w:val="en-GB"/>
        </w:rPr>
        <w:t>Cf., v.g., M.C. Bassiouni, "International R</w:t>
      </w:r>
      <w:r>
        <w:rPr>
          <w:rFonts w:ascii="Verdana" w:hAnsi="Verdana" w:cs="Courier New"/>
          <w:spacing w:val="-3"/>
          <w:sz w:val="18"/>
          <w:lang w:val="en-GB"/>
        </w:rPr>
        <w:t xml:space="preserve">ecognition of Victims' Rights", 6 </w:t>
      </w:r>
      <w:r>
        <w:rPr>
          <w:rFonts w:ascii="Verdana" w:hAnsi="Verdana" w:cs="Courier New"/>
          <w:i/>
          <w:iCs/>
          <w:spacing w:val="-3"/>
          <w:sz w:val="18"/>
          <w:lang w:val="en-GB"/>
        </w:rPr>
        <w:t>Human Rights Law Review</w:t>
      </w:r>
      <w:r>
        <w:rPr>
          <w:rFonts w:ascii="Verdana" w:hAnsi="Verdana" w:cs="Courier New"/>
          <w:spacing w:val="-3"/>
          <w:sz w:val="18"/>
          <w:lang w:val="en-GB"/>
        </w:rPr>
        <w:t xml:space="preserve"> (2006) pp. 221-279; and cf.: I. Melup, "The United Nations Declaration on [Basic] Principles of Justice for Victims of Crime and Abuse of Power", </w:t>
      </w:r>
      <w:r>
        <w:rPr>
          <w:rFonts w:ascii="Verdana" w:hAnsi="Verdana" w:cs="Courier New"/>
          <w:i/>
          <w:iCs/>
          <w:spacing w:val="-3"/>
          <w:sz w:val="18"/>
          <w:lang w:val="en-GB"/>
        </w:rPr>
        <w:t>in</w:t>
      </w:r>
      <w:r>
        <w:rPr>
          <w:rFonts w:ascii="Verdana" w:hAnsi="Verdana" w:cs="Courier New"/>
          <w:spacing w:val="-3"/>
          <w:sz w:val="18"/>
          <w:lang w:val="en-GB"/>
        </w:rPr>
        <w:t xml:space="preserve"> </w:t>
      </w:r>
      <w:r>
        <w:rPr>
          <w:rFonts w:ascii="Verdana" w:hAnsi="Verdana" w:cs="Courier New"/>
          <w:i/>
          <w:iCs/>
          <w:spacing w:val="-3"/>
          <w:sz w:val="18"/>
          <w:lang w:val="en-GB"/>
        </w:rPr>
        <w:t xml:space="preserve">The Universal Declaration of Human Rights: Fifty </w:t>
      </w:r>
      <w:r>
        <w:rPr>
          <w:rFonts w:ascii="Verdana" w:hAnsi="Verdana" w:cs="Courier New"/>
          <w:i/>
          <w:iCs/>
          <w:spacing w:val="-3"/>
          <w:sz w:val="18"/>
          <w:lang w:val="en-GB"/>
        </w:rPr>
        <w:t>Years and Beyond</w:t>
      </w:r>
      <w:r>
        <w:rPr>
          <w:rFonts w:ascii="Verdana" w:hAnsi="Verdana" w:cs="Courier New"/>
          <w:spacing w:val="-3"/>
          <w:sz w:val="18"/>
          <w:lang w:val="en-GB"/>
        </w:rPr>
        <w:t xml:space="preserve"> (eds. Y. Danieli, E. Stamatopoulou y C.J. Dias), N.Y., U.N./Baywood Publ. Co., 1999, pp. 53-65; Th. van Boven, "The Perspective of the Victim", </w:t>
      </w:r>
      <w:r>
        <w:rPr>
          <w:rFonts w:ascii="Verdana" w:hAnsi="Verdana" w:cs="Courier New"/>
          <w:i/>
          <w:iCs/>
          <w:spacing w:val="-3"/>
          <w:sz w:val="18"/>
          <w:lang w:val="en-GB"/>
        </w:rPr>
        <w:t>in ibid</w:t>
      </w:r>
      <w:r>
        <w:rPr>
          <w:rFonts w:ascii="Verdana" w:hAnsi="Verdana" w:cs="Courier New"/>
          <w:spacing w:val="-3"/>
          <w:sz w:val="18"/>
          <w:lang w:val="en-GB"/>
        </w:rPr>
        <w:t xml:space="preserve">., pp. 13-26; B.G. Ramcharan, "A Victims' Perspective on the International Human Rights </w:t>
      </w:r>
      <w:r>
        <w:rPr>
          <w:rFonts w:ascii="Verdana" w:hAnsi="Verdana" w:cs="Courier New"/>
          <w:spacing w:val="-3"/>
          <w:sz w:val="18"/>
          <w:lang w:val="en-GB"/>
        </w:rPr>
        <w:t xml:space="preserve">Treaty Regime", </w:t>
      </w:r>
      <w:r>
        <w:rPr>
          <w:rFonts w:ascii="Verdana" w:hAnsi="Verdana" w:cs="Courier New"/>
          <w:i/>
          <w:iCs/>
          <w:spacing w:val="-3"/>
          <w:sz w:val="18"/>
          <w:lang w:val="en-GB"/>
        </w:rPr>
        <w:t>in ibid</w:t>
      </w:r>
      <w:r>
        <w:rPr>
          <w:rFonts w:ascii="Verdana" w:hAnsi="Verdana" w:cs="Courier New"/>
          <w:spacing w:val="-3"/>
          <w:sz w:val="18"/>
          <w:lang w:val="en-GB"/>
        </w:rPr>
        <w:t xml:space="preserve">., pp. 27-35; G. Alfredsson, "Human Rights and Victims' Rights in Europe", </w:t>
      </w:r>
      <w:r>
        <w:rPr>
          <w:rFonts w:ascii="Verdana" w:hAnsi="Verdana" w:cs="Courier New"/>
          <w:i/>
          <w:iCs/>
          <w:spacing w:val="-3"/>
          <w:sz w:val="18"/>
          <w:lang w:val="en-GB"/>
        </w:rPr>
        <w:t>in ibid</w:t>
      </w:r>
      <w:r>
        <w:rPr>
          <w:rFonts w:ascii="Verdana" w:hAnsi="Verdana" w:cs="Courier New"/>
          <w:spacing w:val="-3"/>
          <w:sz w:val="18"/>
          <w:lang w:val="en-GB"/>
        </w:rPr>
        <w:t>., 309-317.</w:t>
      </w:r>
    </w:p>
    <w:p w:rsidR="00000000" w:rsidRDefault="00687F2E">
      <w:pPr>
        <w:pStyle w:val="Textodenotaalpie"/>
        <w:tabs>
          <w:tab w:val="left" w:pos="-720"/>
        </w:tabs>
        <w:suppressAutoHyphens/>
        <w:jc w:val="both"/>
        <w:rPr>
          <w:rFonts w:ascii="Verdana" w:hAnsi="Verdana" w:cs="Courier New"/>
          <w:spacing w:val="-3"/>
          <w:sz w:val="18"/>
          <w:lang w:val="en-GB"/>
        </w:rPr>
      </w:pPr>
    </w:p>
  </w:footnote>
  <w:footnote w:id="49">
    <w:p w:rsidR="00000000" w:rsidRDefault="00687F2E">
      <w:pPr>
        <w:pStyle w:val="Textodenotaalpie"/>
        <w:tabs>
          <w:tab w:val="left" w:pos="-720"/>
        </w:tabs>
        <w:suppressAutoHyphens/>
        <w:jc w:val="both"/>
        <w:rPr>
          <w:rFonts w:ascii="Verdana" w:hAnsi="Verdana" w:cs="Courier New"/>
          <w:spacing w:val="-3"/>
          <w:sz w:val="18"/>
          <w:lang w:val="pt-BR"/>
        </w:rPr>
      </w:pPr>
      <w:r>
        <w:rPr>
          <w:rStyle w:val="Refdenotaalpie"/>
          <w:rFonts w:cs="Courier New"/>
          <w:spacing w:val="-3"/>
          <w:sz w:val="18"/>
        </w:rPr>
        <w:footnoteRef/>
      </w:r>
      <w:r>
        <w:rPr>
          <w:rFonts w:ascii="Verdana" w:hAnsi="Verdana" w:cs="Courier New"/>
          <w:spacing w:val="-3"/>
          <w:sz w:val="18"/>
          <w:lang w:val="en-GB"/>
        </w:rPr>
        <w:t xml:space="preserve">. </w:t>
      </w:r>
      <w:r>
        <w:rPr>
          <w:rFonts w:ascii="Verdana" w:hAnsi="Verdana" w:cs="Courier New"/>
          <w:spacing w:val="-3"/>
          <w:sz w:val="18"/>
          <w:lang w:val="en-GB"/>
        </w:rPr>
        <w:tab/>
        <w:t>Cf., v.g., A.A. Cançado Trindade, "Co-Existence and Co-Ordination of Mechanisms of International Protection of Human Rights (At Global</w:t>
      </w:r>
      <w:r>
        <w:rPr>
          <w:rFonts w:ascii="Verdana" w:hAnsi="Verdana" w:cs="Courier New"/>
          <w:spacing w:val="-3"/>
          <w:sz w:val="18"/>
          <w:lang w:val="en-GB"/>
        </w:rPr>
        <w:t xml:space="preserve"> and Regional Levels)", 202 </w:t>
      </w:r>
      <w:r>
        <w:rPr>
          <w:rFonts w:ascii="Verdana" w:hAnsi="Verdana" w:cs="Courier New"/>
          <w:i/>
          <w:iCs/>
          <w:spacing w:val="-3"/>
          <w:sz w:val="18"/>
          <w:lang w:val="en-GB"/>
        </w:rPr>
        <w:t xml:space="preserve">Recueil des Cours de l'Académie de Droit International de </w:t>
      </w:r>
      <w:smartTag w:uri="urn:schemas-microsoft-com:office:smarttags" w:element="PersonName">
        <w:smartTagPr>
          <w:attr w:name="ProductID" w:val="La Haye"/>
        </w:smartTagPr>
        <w:r>
          <w:rPr>
            <w:rFonts w:ascii="Verdana" w:hAnsi="Verdana" w:cs="Courier New"/>
            <w:i/>
            <w:iCs/>
            <w:spacing w:val="-3"/>
            <w:sz w:val="18"/>
            <w:lang w:val="en-GB"/>
          </w:rPr>
          <w:t>La Haye</w:t>
        </w:r>
      </w:smartTag>
      <w:r>
        <w:rPr>
          <w:rFonts w:ascii="Verdana" w:hAnsi="Verdana" w:cs="Courier New"/>
          <w:spacing w:val="-3"/>
          <w:sz w:val="18"/>
          <w:lang w:val="en-GB"/>
        </w:rPr>
        <w:t xml:space="preserve"> (1987), cap. </w:t>
      </w:r>
      <w:r>
        <w:rPr>
          <w:rFonts w:ascii="Verdana" w:hAnsi="Verdana" w:cs="Courier New"/>
          <w:spacing w:val="-3"/>
          <w:sz w:val="18"/>
          <w:lang w:val="pt-BR"/>
        </w:rPr>
        <w:t>XI, pp. 243-299; A.A. Cançado Trindade,</w:t>
      </w:r>
      <w:r>
        <w:rPr>
          <w:rFonts w:ascii="Verdana" w:hAnsi="Verdana" w:cs="Courier New"/>
          <w:b/>
          <w:bCs/>
          <w:spacing w:val="-3"/>
          <w:sz w:val="18"/>
          <w:lang w:val="pt-BR"/>
        </w:rPr>
        <w:t xml:space="preserve"> </w:t>
      </w:r>
      <w:r>
        <w:rPr>
          <w:rFonts w:ascii="Verdana" w:hAnsi="Verdana" w:cs="Courier New"/>
          <w:spacing w:val="-3"/>
          <w:sz w:val="18"/>
          <w:lang w:val="pt-BR"/>
        </w:rPr>
        <w:t xml:space="preserve">"O Esgotamento dos Recursos Internos e a Evolução da Noção de `Vítima' no Direito Internacional", 3 </w:t>
      </w:r>
      <w:r>
        <w:rPr>
          <w:rFonts w:ascii="Verdana" w:hAnsi="Verdana" w:cs="Courier New"/>
          <w:i/>
          <w:iCs/>
          <w:spacing w:val="-3"/>
          <w:sz w:val="18"/>
          <w:lang w:val="pt-BR"/>
        </w:rPr>
        <w:t>Revista d</w:t>
      </w:r>
      <w:r>
        <w:rPr>
          <w:rFonts w:ascii="Verdana" w:hAnsi="Verdana" w:cs="Courier New"/>
          <w:i/>
          <w:iCs/>
          <w:spacing w:val="-3"/>
          <w:sz w:val="18"/>
          <w:lang w:val="pt-BR"/>
        </w:rPr>
        <w:t>el Instituto Interamericano de Derechos Humanos</w:t>
      </w:r>
      <w:r>
        <w:rPr>
          <w:rFonts w:ascii="Verdana" w:hAnsi="Verdana" w:cs="Courier New"/>
          <w:spacing w:val="-3"/>
          <w:sz w:val="18"/>
          <w:lang w:val="pt-BR"/>
        </w:rPr>
        <w:t xml:space="preserve"> (1986) pp. 5-78.</w:t>
      </w:r>
    </w:p>
    <w:p w:rsidR="00000000" w:rsidRDefault="00687F2E">
      <w:pPr>
        <w:pStyle w:val="Textodenotaalpie"/>
        <w:tabs>
          <w:tab w:val="left" w:pos="-720"/>
        </w:tabs>
        <w:suppressAutoHyphens/>
        <w:jc w:val="both"/>
        <w:rPr>
          <w:rFonts w:ascii="Verdana" w:hAnsi="Verdana" w:cs="Courier New"/>
          <w:spacing w:val="-3"/>
          <w:sz w:val="18"/>
          <w:lang w:val="pt-BR"/>
        </w:rPr>
      </w:pPr>
    </w:p>
  </w:footnote>
  <w:footnote w:id="50">
    <w:p w:rsidR="00000000" w:rsidRDefault="00687F2E">
      <w:pPr>
        <w:pStyle w:val="Textodenotaalpie"/>
        <w:tabs>
          <w:tab w:val="left" w:pos="-720"/>
        </w:tabs>
        <w:suppressAutoHyphens/>
        <w:jc w:val="both"/>
        <w:rPr>
          <w:rFonts w:ascii="Verdana" w:hAnsi="Verdana" w:cs="Courier New"/>
          <w:spacing w:val="-3"/>
          <w:sz w:val="18"/>
          <w:lang w:val="pt-BR"/>
        </w:rPr>
      </w:pPr>
      <w:r>
        <w:rPr>
          <w:rStyle w:val="Refdenotaalpie"/>
          <w:rFonts w:cs="Courier New"/>
          <w:spacing w:val="-3"/>
          <w:sz w:val="18"/>
        </w:rPr>
        <w:footnoteRef/>
      </w:r>
      <w:r>
        <w:rPr>
          <w:rFonts w:ascii="Verdana" w:hAnsi="Verdana" w:cs="Courier New"/>
          <w:spacing w:val="-3"/>
          <w:sz w:val="18"/>
          <w:lang w:val="pt-BR"/>
        </w:rPr>
        <w:t xml:space="preserve">. </w:t>
      </w:r>
      <w:r>
        <w:rPr>
          <w:rFonts w:ascii="Verdana" w:hAnsi="Verdana" w:cs="Courier New"/>
          <w:spacing w:val="-3"/>
          <w:sz w:val="18"/>
          <w:lang w:val="pt-BR"/>
        </w:rPr>
        <w:tab/>
        <w:t xml:space="preserve">Cf. A.A. Cançado Trindade, "Fragmentos de Primeras Memorias de </w:t>
      </w:r>
      <w:smartTag w:uri="urn:schemas-microsoft-com:office:smarttags" w:element="PersonName">
        <w:smartTagPr>
          <w:attr w:name="ProductID" w:val="la Corte Interamericana"/>
        </w:smartTagPr>
        <w:r>
          <w:rPr>
            <w:rFonts w:ascii="Verdana" w:hAnsi="Verdana" w:cs="Courier New"/>
            <w:spacing w:val="-3"/>
            <w:sz w:val="18"/>
            <w:lang w:val="pt-BR"/>
          </w:rPr>
          <w:t>la Corte Interamericana</w:t>
        </w:r>
      </w:smartTag>
      <w:r>
        <w:rPr>
          <w:rFonts w:ascii="Verdana" w:hAnsi="Verdana" w:cs="Courier New"/>
          <w:spacing w:val="-3"/>
          <w:sz w:val="18"/>
          <w:lang w:val="pt-BR"/>
        </w:rPr>
        <w:t xml:space="preserve"> de Derechos Humanos", </w:t>
      </w:r>
      <w:r>
        <w:rPr>
          <w:rFonts w:ascii="Verdana" w:hAnsi="Verdana" w:cs="Courier New"/>
          <w:i/>
          <w:iCs/>
          <w:spacing w:val="-3"/>
          <w:sz w:val="18"/>
          <w:lang w:val="pt-BR"/>
        </w:rPr>
        <w:t>in</w:t>
      </w:r>
      <w:r>
        <w:rPr>
          <w:rFonts w:ascii="Verdana" w:hAnsi="Verdana" w:cs="Courier New"/>
          <w:spacing w:val="-3"/>
          <w:sz w:val="18"/>
          <w:lang w:val="pt-BR"/>
        </w:rPr>
        <w:t xml:space="preserve"> </w:t>
      </w:r>
      <w:r>
        <w:rPr>
          <w:rFonts w:ascii="Verdana" w:hAnsi="Verdana" w:cs="Courier New"/>
          <w:i/>
          <w:iCs/>
          <w:spacing w:val="-3"/>
          <w:sz w:val="18"/>
          <w:lang w:val="pt-BR"/>
        </w:rPr>
        <w:t>Jornadas de Derecho Internacional</w:t>
      </w:r>
      <w:r>
        <w:rPr>
          <w:rFonts w:ascii="Verdana" w:hAnsi="Verdana" w:cs="Courier New"/>
          <w:spacing w:val="-3"/>
          <w:sz w:val="18"/>
          <w:lang w:val="pt-BR"/>
        </w:rPr>
        <w:t xml:space="preserve"> (Buenos Aires/Argentina, noviembre de 20</w:t>
      </w:r>
      <w:r>
        <w:rPr>
          <w:rFonts w:ascii="Verdana" w:hAnsi="Verdana" w:cs="Courier New"/>
          <w:spacing w:val="-3"/>
          <w:sz w:val="18"/>
          <w:lang w:val="pt-BR"/>
        </w:rPr>
        <w:t>06), Washington D.C., OEA/Subsecretaría de Asuntos Jurídicos, 2007 (en prensa).</w:t>
      </w:r>
    </w:p>
    <w:p w:rsidR="00000000" w:rsidRDefault="00687F2E">
      <w:pPr>
        <w:pStyle w:val="Textodenotaalpie"/>
        <w:tabs>
          <w:tab w:val="left" w:pos="-720"/>
        </w:tabs>
        <w:suppressAutoHyphens/>
        <w:jc w:val="both"/>
        <w:rPr>
          <w:rFonts w:ascii="Verdana" w:hAnsi="Verdana" w:cs="Courier New"/>
          <w:spacing w:val="-3"/>
          <w:sz w:val="18"/>
          <w:lang w:val="pt-BR"/>
        </w:rPr>
      </w:pPr>
    </w:p>
  </w:footnote>
  <w:footnote w:id="51">
    <w:p w:rsidR="00000000" w:rsidRDefault="00687F2E">
      <w:pPr>
        <w:pStyle w:val="Textodenotaalpie"/>
        <w:tabs>
          <w:tab w:val="left" w:pos="-720"/>
        </w:tabs>
        <w:suppressAutoHyphens/>
        <w:jc w:val="both"/>
        <w:rPr>
          <w:rFonts w:ascii="Verdana" w:hAnsi="Verdana" w:cs="Courier New"/>
          <w:spacing w:val="-3"/>
          <w:sz w:val="18"/>
        </w:rPr>
      </w:pPr>
      <w:r>
        <w:rPr>
          <w:rStyle w:val="Refdenotaalpie"/>
          <w:rFonts w:cs="Courier New"/>
          <w:spacing w:val="-3"/>
          <w:sz w:val="18"/>
        </w:rPr>
        <w:footnoteRef/>
      </w:r>
      <w:r>
        <w:rPr>
          <w:rFonts w:ascii="Verdana" w:hAnsi="Verdana" w:cs="Courier New"/>
          <w:spacing w:val="-3"/>
          <w:sz w:val="18"/>
        </w:rPr>
        <w:t xml:space="preserve">. </w:t>
      </w:r>
      <w:r>
        <w:rPr>
          <w:rFonts w:ascii="Verdana" w:hAnsi="Verdana" w:cs="Courier New"/>
          <w:spacing w:val="-3"/>
          <w:sz w:val="18"/>
        </w:rPr>
        <w:tab/>
        <w:t xml:space="preserve">Para los textos de mis Votos aquí citados, cf. A.A. Cançado Trindade, </w:t>
      </w:r>
      <w:r>
        <w:rPr>
          <w:rFonts w:ascii="Verdana" w:hAnsi="Verdana" w:cs="Courier New"/>
          <w:i/>
          <w:iCs/>
          <w:spacing w:val="-3"/>
          <w:sz w:val="18"/>
        </w:rPr>
        <w:t xml:space="preserve">Derecho Internacional de los Derechos Humanos - Esencia y Trascendencia (Votos en </w:t>
      </w:r>
      <w:smartTag w:uri="urn:schemas-microsoft-com:office:smarttags" w:element="PersonName">
        <w:smartTagPr>
          <w:attr w:name="ProductID" w:val="la Corte Interamericana"/>
        </w:smartTagPr>
        <w:r>
          <w:rPr>
            <w:rFonts w:ascii="Verdana" w:hAnsi="Verdana" w:cs="Courier New"/>
            <w:i/>
            <w:iCs/>
            <w:spacing w:val="-3"/>
            <w:sz w:val="18"/>
          </w:rPr>
          <w:t>la Corte Interameri</w:t>
        </w:r>
        <w:r>
          <w:rPr>
            <w:rFonts w:ascii="Verdana" w:hAnsi="Verdana" w:cs="Courier New"/>
            <w:i/>
            <w:iCs/>
            <w:spacing w:val="-3"/>
            <w:sz w:val="18"/>
          </w:rPr>
          <w:t>cana</w:t>
        </w:r>
      </w:smartTag>
      <w:r>
        <w:rPr>
          <w:rFonts w:ascii="Verdana" w:hAnsi="Verdana" w:cs="Courier New"/>
          <w:i/>
          <w:iCs/>
          <w:spacing w:val="-3"/>
          <w:sz w:val="18"/>
        </w:rPr>
        <w:t xml:space="preserve"> de Derechos Humanos, 1991-2006)</w:t>
      </w:r>
      <w:r>
        <w:rPr>
          <w:rFonts w:ascii="Verdana" w:hAnsi="Verdana" w:cs="Courier New"/>
          <w:spacing w:val="-3"/>
          <w:sz w:val="18"/>
        </w:rPr>
        <w:t xml:space="preserve">, 1a. ed., México, Edit.Porrúa/Universidad Iberoamericana, 2007, pp. 156-169, 186-204, 211-223, 321-330, 363-374, 251-267, 417-432, 444-456, 694-723, 748-765, 952-958, 976-979 y 980-983.  </w:t>
      </w:r>
    </w:p>
    <w:p w:rsidR="00000000" w:rsidRDefault="00687F2E">
      <w:pPr>
        <w:pStyle w:val="Textodenotaalpie"/>
        <w:tabs>
          <w:tab w:val="left" w:pos="-720"/>
        </w:tabs>
        <w:suppressAutoHyphens/>
        <w:jc w:val="both"/>
        <w:rPr>
          <w:rFonts w:ascii="Verdana" w:hAnsi="Verdana" w:cs="Courier New"/>
          <w:spacing w:val="-3"/>
          <w:sz w:val="18"/>
        </w:rPr>
      </w:pPr>
    </w:p>
  </w:footnote>
  <w:footnote w:id="52">
    <w:p w:rsidR="00000000" w:rsidRDefault="00687F2E">
      <w:pPr>
        <w:pStyle w:val="Textodenotaalpie"/>
        <w:tabs>
          <w:tab w:val="left" w:pos="-720"/>
        </w:tabs>
        <w:suppressAutoHyphens/>
        <w:jc w:val="both"/>
        <w:rPr>
          <w:rFonts w:ascii="Verdana" w:hAnsi="Verdana" w:cs="Courier New"/>
          <w:spacing w:val="-3"/>
          <w:sz w:val="18"/>
          <w:lang w:val="en-GB"/>
        </w:rPr>
      </w:pPr>
      <w:r>
        <w:rPr>
          <w:rStyle w:val="Refdenotaalpie"/>
          <w:rFonts w:cs="Courier New"/>
          <w:spacing w:val="-3"/>
          <w:sz w:val="18"/>
        </w:rPr>
        <w:footnoteRef/>
      </w:r>
      <w:r>
        <w:rPr>
          <w:rFonts w:ascii="Verdana" w:hAnsi="Verdana" w:cs="Courier New"/>
          <w:spacing w:val="-3"/>
          <w:sz w:val="18"/>
        </w:rPr>
        <w:t xml:space="preserve">. </w:t>
      </w:r>
      <w:r>
        <w:rPr>
          <w:rFonts w:ascii="Verdana" w:hAnsi="Verdana" w:cs="Courier New"/>
          <w:spacing w:val="-3"/>
          <w:sz w:val="18"/>
        </w:rPr>
        <w:tab/>
        <w:t>El recurso a la equidad en</w:t>
      </w:r>
      <w:r>
        <w:rPr>
          <w:rFonts w:ascii="Verdana" w:hAnsi="Verdana" w:cs="Courier New"/>
          <w:spacing w:val="-3"/>
          <w:sz w:val="18"/>
        </w:rPr>
        <w:t xml:space="preserve"> la solución pacífica de diferendos internacionales es bien conocido en el Derecho Internacional Público, ya hace tiempo; cf., v.g., Charles de Visscher, </w:t>
      </w:r>
      <w:r>
        <w:rPr>
          <w:rFonts w:ascii="Verdana" w:hAnsi="Verdana" w:cs="Courier New"/>
          <w:i/>
          <w:iCs/>
          <w:spacing w:val="-3"/>
          <w:sz w:val="18"/>
        </w:rPr>
        <w:t>De l'équité dans le règlement arbitral ou judiciaire des litiges de Droit international public</w:t>
      </w:r>
      <w:r>
        <w:rPr>
          <w:rFonts w:ascii="Verdana" w:hAnsi="Verdana" w:cs="Courier New"/>
          <w:spacing w:val="-3"/>
          <w:sz w:val="18"/>
        </w:rPr>
        <w:t>, Paris,</w:t>
      </w:r>
      <w:r>
        <w:rPr>
          <w:rFonts w:ascii="Verdana" w:hAnsi="Verdana" w:cs="Courier New"/>
          <w:spacing w:val="-3"/>
          <w:sz w:val="18"/>
        </w:rPr>
        <w:t xml:space="preserve"> Pédone, 1972, pp. 3-111; M. Akehurst, "Equity and General Principles of Law", 25 </w:t>
      </w:r>
      <w:r>
        <w:rPr>
          <w:rFonts w:ascii="Verdana" w:hAnsi="Verdana" w:cs="Courier New"/>
          <w:i/>
          <w:iCs/>
          <w:spacing w:val="-3"/>
          <w:sz w:val="18"/>
        </w:rPr>
        <w:t>International and Comparative Law Quarterly</w:t>
      </w:r>
      <w:r>
        <w:rPr>
          <w:rFonts w:ascii="Verdana" w:hAnsi="Verdana" w:cs="Courier New"/>
          <w:spacing w:val="-3"/>
          <w:sz w:val="18"/>
        </w:rPr>
        <w:t xml:space="preserve"> (1976) pp. 801-825; A. Herrero de </w:t>
      </w:r>
      <w:smartTag w:uri="urn:schemas-microsoft-com:office:smarttags" w:element="PersonName">
        <w:smartTagPr>
          <w:attr w:name="ProductID" w:val="la Fuente"/>
        </w:smartTagPr>
        <w:r>
          <w:rPr>
            <w:rFonts w:ascii="Verdana" w:hAnsi="Verdana" w:cs="Courier New"/>
            <w:spacing w:val="-3"/>
            <w:sz w:val="18"/>
          </w:rPr>
          <w:t>la Fuente</w:t>
        </w:r>
      </w:smartTag>
      <w:r>
        <w:rPr>
          <w:rFonts w:ascii="Verdana" w:hAnsi="Verdana" w:cs="Courier New"/>
          <w:spacing w:val="-3"/>
          <w:sz w:val="18"/>
        </w:rPr>
        <w:t xml:space="preserve">, </w:t>
      </w:r>
      <w:smartTag w:uri="urn:schemas-microsoft-com:office:smarttags" w:element="PersonName">
        <w:smartTagPr>
          <w:attr w:name="ProductID" w:val="La Equidad"/>
        </w:smartTagPr>
        <w:r>
          <w:rPr>
            <w:rFonts w:ascii="Verdana" w:hAnsi="Verdana" w:cs="Courier New"/>
            <w:i/>
            <w:iCs/>
            <w:spacing w:val="-3"/>
            <w:sz w:val="18"/>
          </w:rPr>
          <w:t>La Equidad</w:t>
        </w:r>
      </w:smartTag>
      <w:r>
        <w:rPr>
          <w:rFonts w:ascii="Verdana" w:hAnsi="Verdana" w:cs="Courier New"/>
          <w:i/>
          <w:iCs/>
          <w:spacing w:val="-3"/>
          <w:sz w:val="18"/>
        </w:rPr>
        <w:t xml:space="preserve"> y los Principios Generales en el Derecho de Gentes</w:t>
      </w:r>
      <w:r>
        <w:rPr>
          <w:rFonts w:ascii="Verdana" w:hAnsi="Verdana" w:cs="Courier New"/>
          <w:spacing w:val="-3"/>
          <w:sz w:val="18"/>
        </w:rPr>
        <w:t>, Valladolid, Universida</w:t>
      </w:r>
      <w:r>
        <w:rPr>
          <w:rFonts w:ascii="Verdana" w:hAnsi="Verdana" w:cs="Courier New"/>
          <w:spacing w:val="-3"/>
          <w:sz w:val="18"/>
        </w:rPr>
        <w:t xml:space="preserve">d de Valladolid, 1973, pp. 9-76; Daniel Bardonnet, "Quelques observations sur le recours au règlement juridictionnel des différends interétatiques", </w:t>
      </w:r>
      <w:r>
        <w:rPr>
          <w:rFonts w:ascii="Verdana" w:hAnsi="Verdana" w:cs="Courier New"/>
          <w:i/>
          <w:iCs/>
          <w:spacing w:val="-3"/>
          <w:sz w:val="18"/>
        </w:rPr>
        <w:t>in Theory of International Law at the Threshold of the 21st Century - Essays in Honour of K. Skubiszewski</w:t>
      </w:r>
      <w:r>
        <w:rPr>
          <w:rFonts w:ascii="Verdana" w:hAnsi="Verdana" w:cs="Courier New"/>
          <w:spacing w:val="-3"/>
          <w:sz w:val="18"/>
        </w:rPr>
        <w:t xml:space="preserve"> (</w:t>
      </w:r>
      <w:r>
        <w:rPr>
          <w:rFonts w:ascii="Verdana" w:hAnsi="Verdana" w:cs="Courier New"/>
          <w:spacing w:val="-3"/>
          <w:sz w:val="18"/>
        </w:rPr>
        <w:t xml:space="preserve">ed. </w:t>
      </w:r>
      <w:r>
        <w:rPr>
          <w:rFonts w:ascii="Verdana" w:hAnsi="Verdana" w:cs="Courier New"/>
          <w:spacing w:val="-3"/>
          <w:sz w:val="18"/>
          <w:lang w:val="en-GB"/>
        </w:rPr>
        <w:t>J. Makarczyk), The Hague, Kluwer, 1996, pp. 737-752, esp. 751-752.</w:t>
      </w:r>
    </w:p>
    <w:p w:rsidR="00000000" w:rsidRDefault="00687F2E">
      <w:pPr>
        <w:pStyle w:val="Textodenotaalpie"/>
        <w:tabs>
          <w:tab w:val="left" w:pos="-720"/>
        </w:tabs>
        <w:suppressAutoHyphens/>
        <w:jc w:val="both"/>
        <w:rPr>
          <w:rFonts w:ascii="Verdana" w:hAnsi="Verdana" w:cs="Courier New"/>
          <w:spacing w:val="-3"/>
          <w:sz w:val="18"/>
          <w:lang w:val="en-GB"/>
        </w:rPr>
      </w:pPr>
    </w:p>
  </w:footnote>
  <w:footnote w:id="53">
    <w:p w:rsidR="00000000" w:rsidRDefault="00687F2E">
      <w:pPr>
        <w:pStyle w:val="Textodenotaalpie"/>
        <w:tabs>
          <w:tab w:val="left" w:pos="-720"/>
        </w:tabs>
        <w:suppressAutoHyphens/>
        <w:jc w:val="both"/>
        <w:rPr>
          <w:rFonts w:ascii="Verdana" w:hAnsi="Verdana" w:cs="Courier New"/>
          <w:spacing w:val="-3"/>
          <w:sz w:val="18"/>
          <w:lang w:val="en-GB"/>
        </w:rPr>
      </w:pPr>
      <w:r>
        <w:rPr>
          <w:rStyle w:val="Refdenotaalpie"/>
          <w:rFonts w:cs="Courier New"/>
          <w:spacing w:val="-3"/>
          <w:sz w:val="18"/>
        </w:rPr>
        <w:footnoteRef/>
      </w:r>
      <w:r>
        <w:rPr>
          <w:rFonts w:ascii="Verdana" w:hAnsi="Verdana" w:cs="Courier New"/>
          <w:spacing w:val="-3"/>
          <w:sz w:val="18"/>
          <w:lang w:val="en-GB"/>
        </w:rPr>
        <w:t xml:space="preserve">. </w:t>
      </w:r>
      <w:r>
        <w:rPr>
          <w:rFonts w:ascii="Verdana" w:hAnsi="Verdana" w:cs="Courier New"/>
          <w:spacing w:val="-3"/>
          <w:sz w:val="18"/>
          <w:lang w:val="en-GB"/>
        </w:rPr>
        <w:tab/>
        <w:t xml:space="preserve">Cf., sobre este punto, hace más de tres décadas, A.A. Cançado Trindade, "The Burden of Proof with Regard to Exhaustion of Local Remedies in International Law, 9 </w:t>
      </w:r>
      <w:r>
        <w:rPr>
          <w:rFonts w:ascii="Verdana" w:hAnsi="Verdana" w:cs="Courier New"/>
          <w:i/>
          <w:iCs/>
          <w:spacing w:val="-3"/>
          <w:sz w:val="18"/>
          <w:lang w:val="en-GB"/>
        </w:rPr>
        <w:t>Revue des droits de</w:t>
      </w:r>
      <w:r>
        <w:rPr>
          <w:rFonts w:ascii="Verdana" w:hAnsi="Verdana" w:cs="Courier New"/>
          <w:i/>
          <w:iCs/>
          <w:spacing w:val="-3"/>
          <w:sz w:val="18"/>
          <w:lang w:val="en-GB"/>
        </w:rPr>
        <w:t xml:space="preserve"> l'homme/Human Rights Journal</w:t>
      </w:r>
      <w:r>
        <w:rPr>
          <w:rFonts w:ascii="Verdana" w:hAnsi="Verdana" w:cs="Courier New"/>
          <w:spacing w:val="-3"/>
          <w:sz w:val="18"/>
          <w:lang w:val="en-GB"/>
        </w:rPr>
        <w:t xml:space="preserve"> - Paris (1976) pp. 81-121.</w:t>
      </w:r>
    </w:p>
    <w:p w:rsidR="00000000" w:rsidRDefault="00687F2E">
      <w:pPr>
        <w:pStyle w:val="Textodenotaalpie"/>
        <w:tabs>
          <w:tab w:val="left" w:pos="-720"/>
        </w:tabs>
        <w:suppressAutoHyphens/>
        <w:jc w:val="both"/>
        <w:rPr>
          <w:rFonts w:ascii="Verdana" w:hAnsi="Verdana" w:cs="Courier New"/>
          <w:spacing w:val="-3"/>
          <w:sz w:val="18"/>
          <w:lang w:val="en-GB"/>
        </w:rPr>
      </w:pPr>
    </w:p>
  </w:footnote>
  <w:footnote w:id="54">
    <w:p w:rsidR="00000000" w:rsidRDefault="00687F2E">
      <w:pPr>
        <w:pStyle w:val="Textodenotaalpie"/>
        <w:tabs>
          <w:tab w:val="left" w:pos="-720"/>
        </w:tabs>
        <w:suppressAutoHyphens/>
        <w:jc w:val="both"/>
        <w:rPr>
          <w:rFonts w:ascii="Verdana" w:hAnsi="Verdana" w:cs="Courier New"/>
          <w:spacing w:val="-3"/>
          <w:sz w:val="18"/>
        </w:rPr>
      </w:pPr>
      <w:r>
        <w:rPr>
          <w:rStyle w:val="Refdenotaalpie"/>
          <w:rFonts w:cs="Courier New"/>
          <w:spacing w:val="-3"/>
          <w:sz w:val="18"/>
        </w:rPr>
        <w:footnoteRef/>
      </w:r>
      <w:r>
        <w:rPr>
          <w:rFonts w:ascii="Verdana" w:hAnsi="Verdana" w:cs="Courier New"/>
          <w:spacing w:val="-3"/>
          <w:sz w:val="18"/>
        </w:rPr>
        <w:t xml:space="preserve">. </w:t>
      </w:r>
      <w:r>
        <w:rPr>
          <w:rFonts w:ascii="Verdana" w:hAnsi="Verdana" w:cs="Courier New"/>
          <w:spacing w:val="-3"/>
          <w:sz w:val="18"/>
        </w:rPr>
        <w:tab/>
        <w:t xml:space="preserve">Para una crítica de esta última, cf. mi Voto Razonado (párrs. 20-23) en </w:t>
      </w:r>
      <w:smartTag w:uri="urn:schemas-microsoft-com:office:smarttags" w:element="PersonName">
        <w:smartTagPr>
          <w:attr w:name="ProductID" w:val="la Sentencia"/>
        </w:smartTagPr>
        <w:r>
          <w:rPr>
            <w:rFonts w:ascii="Verdana" w:hAnsi="Verdana" w:cs="Courier New"/>
            <w:spacing w:val="-3"/>
            <w:sz w:val="18"/>
          </w:rPr>
          <w:t>la Sentencia</w:t>
        </w:r>
      </w:smartTag>
      <w:r>
        <w:rPr>
          <w:rFonts w:ascii="Verdana" w:hAnsi="Verdana" w:cs="Courier New"/>
          <w:spacing w:val="-3"/>
          <w:sz w:val="18"/>
        </w:rPr>
        <w:t xml:space="preserve"> (del 29.03.2006) en el caso de </w:t>
      </w:r>
      <w:smartTag w:uri="urn:schemas-microsoft-com:office:smarttags" w:element="PersonName">
        <w:smartTagPr>
          <w:attr w:name="ProductID" w:val="la Comunidad Ind￭gena"/>
        </w:smartTagPr>
        <w:r>
          <w:rPr>
            <w:rFonts w:ascii="Verdana" w:hAnsi="Verdana" w:cs="Courier New"/>
            <w:spacing w:val="-3"/>
            <w:sz w:val="18"/>
          </w:rPr>
          <w:t xml:space="preserve">la </w:t>
        </w:r>
        <w:r>
          <w:rPr>
            <w:rFonts w:ascii="Verdana" w:hAnsi="Verdana" w:cs="Courier New"/>
            <w:i/>
            <w:iCs/>
            <w:spacing w:val="-3"/>
            <w:sz w:val="18"/>
          </w:rPr>
          <w:t>Comunidad Indígena</w:t>
        </w:r>
      </w:smartTag>
      <w:r>
        <w:rPr>
          <w:rFonts w:ascii="Verdana" w:hAnsi="Verdana" w:cs="Courier New"/>
          <w:i/>
          <w:iCs/>
          <w:spacing w:val="-3"/>
          <w:sz w:val="18"/>
        </w:rPr>
        <w:t xml:space="preserve"> Sawhoyamaxa versus Paraguay</w:t>
      </w:r>
      <w:r>
        <w:rPr>
          <w:rFonts w:ascii="Verdana" w:hAnsi="Verdana" w:cs="Courier New"/>
          <w:spacing w:val="-3"/>
          <w:sz w:val="18"/>
        </w:rPr>
        <w:t>.</w:t>
      </w:r>
    </w:p>
    <w:p w:rsidR="00000000" w:rsidRDefault="00687F2E">
      <w:pPr>
        <w:pStyle w:val="Textodenotaalpie"/>
        <w:tabs>
          <w:tab w:val="left" w:pos="-720"/>
        </w:tabs>
        <w:suppressAutoHyphens/>
        <w:jc w:val="both"/>
        <w:rPr>
          <w:rFonts w:ascii="Verdana" w:hAnsi="Verdana" w:cs="Courier New"/>
          <w:spacing w:val="-3"/>
          <w:sz w:val="18"/>
        </w:rPr>
      </w:pPr>
    </w:p>
  </w:footnote>
  <w:footnote w:id="55">
    <w:p w:rsidR="00000000" w:rsidRDefault="00687F2E">
      <w:pPr>
        <w:pStyle w:val="Textodenotaalpie"/>
        <w:tabs>
          <w:tab w:val="left" w:pos="-720"/>
        </w:tabs>
        <w:suppressAutoHyphens/>
        <w:jc w:val="both"/>
        <w:rPr>
          <w:rFonts w:ascii="Verdana" w:hAnsi="Verdana" w:cs="Courier New"/>
          <w:spacing w:val="-3"/>
          <w:sz w:val="18"/>
          <w:lang w:val="en-GB"/>
        </w:rPr>
      </w:pPr>
      <w:r>
        <w:rPr>
          <w:rStyle w:val="Refdenotaalpie"/>
          <w:rFonts w:cs="Courier New"/>
          <w:spacing w:val="-3"/>
          <w:sz w:val="18"/>
        </w:rPr>
        <w:footnoteRef/>
      </w:r>
      <w:r>
        <w:rPr>
          <w:rFonts w:ascii="Verdana" w:hAnsi="Verdana" w:cs="Courier New"/>
          <w:spacing w:val="-3"/>
          <w:sz w:val="18"/>
          <w:lang w:val="en-GB"/>
        </w:rPr>
        <w:t xml:space="preserve">. </w:t>
      </w:r>
      <w:r>
        <w:rPr>
          <w:rFonts w:ascii="Verdana" w:hAnsi="Verdana" w:cs="Courier New"/>
          <w:spacing w:val="-3"/>
          <w:sz w:val="18"/>
          <w:lang w:val="en-GB"/>
        </w:rPr>
        <w:tab/>
        <w:t xml:space="preserve">Cf., v.g., </w:t>
      </w:r>
      <w:r>
        <w:rPr>
          <w:rFonts w:ascii="Verdana" w:hAnsi="Verdana" w:cs="Courier New"/>
          <w:i/>
          <w:iCs/>
          <w:spacing w:val="-3"/>
          <w:sz w:val="18"/>
          <w:lang w:val="en-GB"/>
        </w:rPr>
        <w:t>inter alia</w:t>
      </w:r>
      <w:r>
        <w:rPr>
          <w:rFonts w:ascii="Verdana" w:hAnsi="Verdana" w:cs="Courier New"/>
          <w:spacing w:val="-3"/>
          <w:sz w:val="18"/>
          <w:lang w:val="en-GB"/>
        </w:rPr>
        <w:t>,</w:t>
      </w:r>
      <w:r>
        <w:rPr>
          <w:rFonts w:ascii="Verdana" w:hAnsi="Verdana" w:cs="Courier New"/>
          <w:spacing w:val="-3"/>
          <w:sz w:val="18"/>
          <w:lang w:val="en-GB"/>
        </w:rPr>
        <w:t xml:space="preserve"> B. Engdahl, M. Kastrup, J. Jaranson y Y. Danieli, "The Impact of Traumatic Human Rights Violations on Victims and the Mental Health Profession's Response", </w:t>
      </w:r>
      <w:r>
        <w:rPr>
          <w:rFonts w:ascii="Verdana" w:hAnsi="Verdana" w:cs="Courier New"/>
          <w:i/>
          <w:iCs/>
          <w:spacing w:val="-3"/>
          <w:sz w:val="18"/>
          <w:lang w:val="en-GB"/>
        </w:rPr>
        <w:t>in</w:t>
      </w:r>
      <w:r>
        <w:rPr>
          <w:rFonts w:ascii="Verdana" w:hAnsi="Verdana" w:cs="Courier New"/>
          <w:spacing w:val="-3"/>
          <w:sz w:val="18"/>
          <w:lang w:val="en-GB"/>
        </w:rPr>
        <w:t xml:space="preserve"> </w:t>
      </w:r>
      <w:r>
        <w:rPr>
          <w:rFonts w:ascii="Verdana" w:hAnsi="Verdana" w:cs="Courier New"/>
          <w:i/>
          <w:iCs/>
          <w:spacing w:val="-3"/>
          <w:sz w:val="18"/>
          <w:lang w:val="en-GB"/>
        </w:rPr>
        <w:t>The Universal Declaration of Human Rights: Fifty Years and Beyond</w:t>
      </w:r>
      <w:r>
        <w:rPr>
          <w:rFonts w:ascii="Verdana" w:hAnsi="Verdana" w:cs="Courier New"/>
          <w:spacing w:val="-3"/>
          <w:sz w:val="18"/>
          <w:lang w:val="en-GB"/>
        </w:rPr>
        <w:t xml:space="preserve"> (eds. Y. Danieli, E. Stamatopo</w:t>
      </w:r>
      <w:r>
        <w:rPr>
          <w:rFonts w:ascii="Verdana" w:hAnsi="Verdana" w:cs="Courier New"/>
          <w:spacing w:val="-3"/>
          <w:sz w:val="18"/>
          <w:lang w:val="en-GB"/>
        </w:rPr>
        <w:t xml:space="preserve">ulou y C.J. Dias), Amityville/N.Y., Baywood Publ. Co., 1999, pp. 345-346. </w:t>
      </w:r>
    </w:p>
    <w:p w:rsidR="00000000" w:rsidRDefault="00687F2E">
      <w:pPr>
        <w:pStyle w:val="Textodenotaalpie"/>
        <w:tabs>
          <w:tab w:val="left" w:pos="-720"/>
        </w:tabs>
        <w:suppressAutoHyphens/>
        <w:jc w:val="both"/>
        <w:rPr>
          <w:rFonts w:ascii="Verdana" w:hAnsi="Verdana" w:cs="Courier New"/>
          <w:spacing w:val="-3"/>
          <w:sz w:val="18"/>
          <w:lang w:val="en-GB"/>
        </w:rPr>
      </w:pPr>
    </w:p>
  </w:footnote>
  <w:footnote w:id="56">
    <w:p w:rsidR="00000000" w:rsidRDefault="00687F2E">
      <w:pPr>
        <w:pStyle w:val="Textodenotaalpie"/>
        <w:tabs>
          <w:tab w:val="left" w:pos="-720"/>
        </w:tabs>
        <w:suppressAutoHyphens/>
        <w:jc w:val="both"/>
        <w:rPr>
          <w:rFonts w:ascii="Verdana" w:hAnsi="Verdana" w:cs="Courier New"/>
          <w:spacing w:val="-3"/>
          <w:sz w:val="18"/>
        </w:rPr>
      </w:pPr>
      <w:r>
        <w:rPr>
          <w:rStyle w:val="Refdenotaalpie"/>
          <w:rFonts w:cs="Courier New"/>
          <w:spacing w:val="-3"/>
          <w:sz w:val="18"/>
        </w:rPr>
        <w:footnoteRef/>
      </w:r>
      <w:r>
        <w:rPr>
          <w:rFonts w:ascii="Verdana" w:hAnsi="Verdana" w:cs="Courier New"/>
          <w:spacing w:val="-3"/>
          <w:sz w:val="18"/>
        </w:rPr>
        <w:t xml:space="preserve">. </w:t>
      </w:r>
      <w:r>
        <w:rPr>
          <w:rFonts w:ascii="Verdana" w:hAnsi="Verdana" w:cs="Courier New"/>
          <w:spacing w:val="-3"/>
          <w:sz w:val="18"/>
        </w:rPr>
        <w:tab/>
        <w:t xml:space="preserve">Cf., v.g., </w:t>
      </w:r>
      <w:r>
        <w:rPr>
          <w:rFonts w:ascii="Verdana" w:hAnsi="Verdana" w:cs="Courier New"/>
          <w:i/>
          <w:iCs/>
          <w:spacing w:val="-3"/>
          <w:sz w:val="18"/>
        </w:rPr>
        <w:t>inter alia</w:t>
      </w:r>
      <w:r>
        <w:rPr>
          <w:rFonts w:ascii="Verdana" w:hAnsi="Verdana" w:cs="Courier New"/>
          <w:spacing w:val="-3"/>
          <w:sz w:val="18"/>
        </w:rPr>
        <w:t xml:space="preserve">, C. Martín Beristain y G. Donà, </w:t>
      </w:r>
      <w:r>
        <w:rPr>
          <w:rFonts w:ascii="Verdana" w:hAnsi="Verdana" w:cs="Courier New"/>
          <w:i/>
          <w:iCs/>
          <w:spacing w:val="-3"/>
          <w:sz w:val="18"/>
        </w:rPr>
        <w:t xml:space="preserve">Enfoque Psicosocial de </w:t>
      </w:r>
      <w:smartTag w:uri="urn:schemas-microsoft-com:office:smarttags" w:element="PersonName">
        <w:smartTagPr>
          <w:attr w:name="ProductID" w:val="la Ayuda Humanitaria"/>
        </w:smartTagPr>
        <w:r>
          <w:rPr>
            <w:rFonts w:ascii="Verdana" w:hAnsi="Verdana" w:cs="Courier New"/>
            <w:i/>
            <w:iCs/>
            <w:spacing w:val="-3"/>
            <w:sz w:val="18"/>
          </w:rPr>
          <w:t>la Ayuda Humanitaria</w:t>
        </w:r>
      </w:smartTag>
      <w:r>
        <w:rPr>
          <w:rFonts w:ascii="Verdana" w:hAnsi="Verdana" w:cs="Courier New"/>
          <w:spacing w:val="-3"/>
          <w:sz w:val="18"/>
        </w:rPr>
        <w:t>, Bilbao, Universidad de Deusto, 1997, pp. 67-70.</w:t>
      </w:r>
    </w:p>
    <w:p w:rsidR="00000000" w:rsidRDefault="00687F2E">
      <w:pPr>
        <w:pStyle w:val="Textodenotaalpie"/>
        <w:tabs>
          <w:tab w:val="left" w:pos="-720"/>
        </w:tabs>
        <w:suppressAutoHyphens/>
        <w:jc w:val="both"/>
        <w:rPr>
          <w:rFonts w:ascii="Verdana" w:hAnsi="Verdana" w:cs="Courier New"/>
          <w:spacing w:val="-3"/>
          <w:sz w:val="18"/>
        </w:rPr>
      </w:pPr>
    </w:p>
  </w:footnote>
  <w:footnote w:id="57">
    <w:p w:rsidR="00000000" w:rsidRDefault="00687F2E">
      <w:pPr>
        <w:pStyle w:val="Textodenotaalpie"/>
        <w:tabs>
          <w:tab w:val="left" w:pos="-720"/>
        </w:tabs>
        <w:suppressAutoHyphens/>
        <w:jc w:val="both"/>
        <w:rPr>
          <w:rFonts w:ascii="Verdana" w:hAnsi="Verdana" w:cs="Courier New"/>
          <w:spacing w:val="-3"/>
          <w:sz w:val="18"/>
        </w:rPr>
      </w:pPr>
      <w:r>
        <w:rPr>
          <w:rStyle w:val="Refdenotaalpie"/>
          <w:rFonts w:cs="Courier New"/>
          <w:spacing w:val="-3"/>
          <w:sz w:val="18"/>
        </w:rPr>
        <w:footnoteRef/>
      </w:r>
      <w:r>
        <w:rPr>
          <w:rFonts w:ascii="Verdana" w:hAnsi="Verdana" w:cs="Courier New"/>
          <w:spacing w:val="-3"/>
          <w:sz w:val="18"/>
        </w:rPr>
        <w:t xml:space="preserve">. </w:t>
      </w:r>
      <w:r>
        <w:rPr>
          <w:rFonts w:ascii="Verdana" w:hAnsi="Verdana" w:cs="Courier New"/>
          <w:spacing w:val="-3"/>
          <w:sz w:val="18"/>
        </w:rPr>
        <w:tab/>
        <w:t>Énfasis agregado.</w:t>
      </w:r>
    </w:p>
    <w:p w:rsidR="00000000" w:rsidRDefault="00687F2E">
      <w:pPr>
        <w:pStyle w:val="Textodenotaalpie"/>
        <w:tabs>
          <w:tab w:val="left" w:pos="-720"/>
        </w:tabs>
        <w:suppressAutoHyphens/>
        <w:jc w:val="both"/>
        <w:rPr>
          <w:rFonts w:ascii="Verdana" w:hAnsi="Verdana" w:cs="Courier New"/>
          <w:spacing w:val="-3"/>
          <w:sz w:val="18"/>
        </w:rPr>
      </w:pPr>
    </w:p>
  </w:footnote>
  <w:footnote w:id="58">
    <w:p w:rsidR="00000000" w:rsidRDefault="00687F2E">
      <w:pPr>
        <w:pStyle w:val="Textodenotaalpie"/>
        <w:tabs>
          <w:tab w:val="left" w:pos="-720"/>
        </w:tabs>
        <w:suppressAutoHyphens/>
        <w:jc w:val="both"/>
        <w:rPr>
          <w:rFonts w:ascii="Verdana" w:hAnsi="Verdana" w:cs="Courier New"/>
          <w:spacing w:val="-3"/>
          <w:sz w:val="18"/>
        </w:rPr>
      </w:pPr>
      <w:r>
        <w:rPr>
          <w:rStyle w:val="Refdenotaalpie"/>
          <w:rFonts w:cs="Courier New"/>
          <w:spacing w:val="-3"/>
          <w:sz w:val="18"/>
        </w:rPr>
        <w:footnoteRef/>
      </w:r>
      <w:r>
        <w:rPr>
          <w:rFonts w:ascii="Verdana" w:hAnsi="Verdana" w:cs="Courier New"/>
          <w:spacing w:val="-3"/>
          <w:sz w:val="18"/>
        </w:rPr>
        <w:t xml:space="preserve">. </w:t>
      </w:r>
      <w:r>
        <w:rPr>
          <w:rFonts w:ascii="Verdana" w:hAnsi="Verdana" w:cs="Courier New"/>
          <w:spacing w:val="-3"/>
          <w:sz w:val="18"/>
        </w:rPr>
        <w:tab/>
        <w:t>É</w:t>
      </w:r>
      <w:r>
        <w:rPr>
          <w:rFonts w:ascii="Verdana" w:hAnsi="Verdana" w:cs="Courier New"/>
          <w:spacing w:val="-3"/>
          <w:sz w:val="18"/>
        </w:rPr>
        <w:t>nfasis agregado.</w:t>
      </w:r>
    </w:p>
    <w:p w:rsidR="00000000" w:rsidRDefault="00687F2E">
      <w:pPr>
        <w:pStyle w:val="Textodenotaalpie"/>
        <w:tabs>
          <w:tab w:val="left" w:pos="-720"/>
        </w:tabs>
        <w:suppressAutoHyphens/>
        <w:jc w:val="both"/>
        <w:rPr>
          <w:rFonts w:ascii="Verdana" w:hAnsi="Verdana" w:cs="Courier New"/>
          <w:spacing w:val="-3"/>
          <w:sz w:val="18"/>
        </w:rPr>
      </w:pPr>
    </w:p>
  </w:footnote>
  <w:footnote w:id="59">
    <w:p w:rsidR="00000000" w:rsidRDefault="00687F2E">
      <w:pPr>
        <w:pStyle w:val="Textodenotaalpie"/>
        <w:tabs>
          <w:tab w:val="left" w:pos="-720"/>
        </w:tabs>
        <w:suppressAutoHyphens/>
        <w:jc w:val="both"/>
        <w:rPr>
          <w:rFonts w:ascii="Verdana" w:hAnsi="Verdana" w:cs="Courier New"/>
          <w:spacing w:val="-3"/>
          <w:sz w:val="18"/>
          <w:lang w:val="en-GB"/>
        </w:rPr>
      </w:pPr>
      <w:r>
        <w:rPr>
          <w:rStyle w:val="Refdenotaalpie"/>
          <w:rFonts w:cs="Courier New"/>
          <w:spacing w:val="-3"/>
          <w:sz w:val="18"/>
        </w:rPr>
        <w:footnoteRef/>
      </w:r>
      <w:r>
        <w:rPr>
          <w:rFonts w:ascii="Verdana" w:hAnsi="Verdana" w:cs="Courier New"/>
          <w:spacing w:val="-3"/>
          <w:sz w:val="18"/>
        </w:rPr>
        <w:t xml:space="preserve">. </w:t>
      </w:r>
      <w:r>
        <w:rPr>
          <w:rFonts w:ascii="Verdana" w:hAnsi="Verdana" w:cs="Courier New"/>
          <w:spacing w:val="-3"/>
          <w:sz w:val="18"/>
        </w:rPr>
        <w:tab/>
        <w:t xml:space="preserve">Énfasis agregado; y cf. párrs. </w:t>
      </w:r>
      <w:r>
        <w:rPr>
          <w:rFonts w:ascii="Verdana" w:hAnsi="Verdana" w:cs="Courier New"/>
          <w:spacing w:val="-3"/>
          <w:sz w:val="18"/>
          <w:lang w:val="en-GB"/>
        </w:rPr>
        <w:t xml:space="preserve">65(b) y (c), 79 y 81. </w:t>
      </w:r>
    </w:p>
    <w:p w:rsidR="00000000" w:rsidRDefault="00687F2E">
      <w:pPr>
        <w:pStyle w:val="Textodenotaalpie"/>
        <w:tabs>
          <w:tab w:val="left" w:pos="-720"/>
        </w:tabs>
        <w:suppressAutoHyphens/>
        <w:jc w:val="both"/>
        <w:rPr>
          <w:rFonts w:ascii="Verdana" w:hAnsi="Verdana" w:cs="Courier New"/>
          <w:spacing w:val="-3"/>
          <w:sz w:val="18"/>
          <w:lang w:val="en-GB"/>
        </w:rPr>
      </w:pPr>
    </w:p>
  </w:footnote>
  <w:footnote w:id="60">
    <w:p w:rsidR="00000000" w:rsidRDefault="00687F2E">
      <w:pPr>
        <w:pStyle w:val="Textodenotaalpie"/>
        <w:tabs>
          <w:tab w:val="left" w:pos="-720"/>
        </w:tabs>
        <w:suppressAutoHyphens/>
        <w:jc w:val="both"/>
        <w:rPr>
          <w:rFonts w:ascii="Verdana" w:hAnsi="Verdana" w:cs="Courier New"/>
          <w:spacing w:val="-3"/>
          <w:sz w:val="18"/>
        </w:rPr>
      </w:pPr>
      <w:r>
        <w:rPr>
          <w:rStyle w:val="Refdenotaalpie"/>
          <w:rFonts w:cs="Courier New"/>
          <w:spacing w:val="-3"/>
          <w:sz w:val="18"/>
        </w:rPr>
        <w:footnoteRef/>
      </w:r>
      <w:r>
        <w:rPr>
          <w:rFonts w:ascii="Verdana" w:hAnsi="Verdana" w:cs="Courier New"/>
          <w:spacing w:val="-3"/>
          <w:sz w:val="18"/>
          <w:lang w:val="en-GB"/>
        </w:rPr>
        <w:t xml:space="preserve">. </w:t>
      </w:r>
      <w:r>
        <w:rPr>
          <w:rFonts w:ascii="Verdana" w:hAnsi="Verdana" w:cs="Courier New"/>
          <w:spacing w:val="-3"/>
          <w:sz w:val="18"/>
          <w:lang w:val="en-GB"/>
        </w:rPr>
        <w:tab/>
        <w:t>A.A. Cançado Trindade, "Co-Existence and Co-Ordination of Mechanisms of International Protection of Human Rights (At Global</w:t>
      </w:r>
      <w:r>
        <w:rPr>
          <w:rFonts w:ascii="Verdana" w:hAnsi="Verdana" w:cs="Courier New"/>
          <w:b/>
          <w:bCs/>
          <w:spacing w:val="-3"/>
          <w:sz w:val="18"/>
          <w:lang w:val="en-GB"/>
        </w:rPr>
        <w:t xml:space="preserve"> </w:t>
      </w:r>
      <w:r>
        <w:rPr>
          <w:rFonts w:ascii="Verdana" w:hAnsi="Verdana" w:cs="Courier New"/>
          <w:spacing w:val="-3"/>
          <w:sz w:val="18"/>
          <w:lang w:val="en-GB"/>
        </w:rPr>
        <w:t xml:space="preserve">and Regional Levels)", 202 </w:t>
      </w:r>
      <w:r>
        <w:rPr>
          <w:rFonts w:ascii="Verdana" w:hAnsi="Verdana" w:cs="Courier New"/>
          <w:i/>
          <w:iCs/>
          <w:spacing w:val="-3"/>
          <w:sz w:val="18"/>
          <w:lang w:val="en-GB"/>
        </w:rPr>
        <w:t>Recueil des Cours de l'A</w:t>
      </w:r>
      <w:r>
        <w:rPr>
          <w:rFonts w:ascii="Verdana" w:hAnsi="Verdana" w:cs="Courier New"/>
          <w:i/>
          <w:iCs/>
          <w:spacing w:val="-3"/>
          <w:sz w:val="18"/>
          <w:lang w:val="en-GB"/>
        </w:rPr>
        <w:t xml:space="preserve">cadémie de Droit International de </w:t>
      </w:r>
      <w:smartTag w:uri="urn:schemas-microsoft-com:office:smarttags" w:element="PersonName">
        <w:smartTagPr>
          <w:attr w:name="ProductID" w:val="La Haye"/>
        </w:smartTagPr>
        <w:r>
          <w:rPr>
            <w:rFonts w:ascii="Verdana" w:hAnsi="Verdana" w:cs="Courier New"/>
            <w:i/>
            <w:iCs/>
            <w:spacing w:val="-3"/>
            <w:sz w:val="18"/>
            <w:lang w:val="en-GB"/>
          </w:rPr>
          <w:t>La Haye</w:t>
        </w:r>
      </w:smartTag>
      <w:r>
        <w:rPr>
          <w:rFonts w:ascii="Verdana" w:hAnsi="Verdana" w:cs="Courier New"/>
          <w:spacing w:val="-3"/>
          <w:sz w:val="18"/>
          <w:lang w:val="en-GB"/>
        </w:rPr>
        <w:t xml:space="preserve"> (1987), cap. </w:t>
      </w:r>
      <w:r>
        <w:rPr>
          <w:rFonts w:ascii="Verdana" w:hAnsi="Verdana" w:cs="Courier New"/>
          <w:spacing w:val="-3"/>
          <w:sz w:val="18"/>
        </w:rPr>
        <w:t>XI, pp. 243-299.</w:t>
      </w:r>
    </w:p>
    <w:p w:rsidR="00000000" w:rsidRDefault="00687F2E">
      <w:pPr>
        <w:pStyle w:val="Textodenotaalpie"/>
        <w:tabs>
          <w:tab w:val="left" w:pos="-720"/>
        </w:tabs>
        <w:suppressAutoHyphens/>
        <w:jc w:val="both"/>
        <w:rPr>
          <w:rFonts w:ascii="Verdana" w:hAnsi="Verdana" w:cs="Courier New"/>
          <w:spacing w:val="-3"/>
          <w:sz w:val="18"/>
        </w:rPr>
      </w:pPr>
    </w:p>
  </w:footnote>
  <w:footnote w:id="61">
    <w:p w:rsidR="00000000" w:rsidRDefault="00687F2E">
      <w:pPr>
        <w:pStyle w:val="Textodenotaalpie"/>
        <w:tabs>
          <w:tab w:val="left" w:pos="-720"/>
        </w:tabs>
        <w:suppressAutoHyphens/>
        <w:jc w:val="both"/>
        <w:rPr>
          <w:rFonts w:ascii="Verdana" w:hAnsi="Verdana" w:cs="Courier New"/>
          <w:spacing w:val="-3"/>
          <w:sz w:val="18"/>
        </w:rPr>
      </w:pPr>
      <w:r>
        <w:rPr>
          <w:rStyle w:val="Refdenotaalpie"/>
          <w:rFonts w:cs="Courier New"/>
          <w:spacing w:val="-3"/>
          <w:sz w:val="18"/>
        </w:rPr>
        <w:footnoteRef/>
      </w:r>
      <w:r>
        <w:rPr>
          <w:rFonts w:ascii="Verdana" w:hAnsi="Verdana" w:cs="Courier New"/>
          <w:spacing w:val="-3"/>
          <w:sz w:val="18"/>
        </w:rPr>
        <w:t xml:space="preserve">. </w:t>
      </w:r>
      <w:r>
        <w:rPr>
          <w:rFonts w:ascii="Verdana" w:hAnsi="Verdana" w:cs="Courier New"/>
          <w:spacing w:val="-3"/>
          <w:sz w:val="18"/>
        </w:rPr>
        <w:tab/>
        <w:t xml:space="preserve">A.A. Cançado Trindade, </w:t>
      </w:r>
      <w:r>
        <w:rPr>
          <w:rFonts w:ascii="Verdana" w:hAnsi="Verdana" w:cs="Courier New"/>
          <w:i/>
          <w:iCs/>
          <w:spacing w:val="-3"/>
          <w:sz w:val="18"/>
        </w:rPr>
        <w:t xml:space="preserve">Bases para un Proyecto de Protocolo a </w:t>
      </w:r>
      <w:smartTag w:uri="urn:schemas-microsoft-com:office:smarttags" w:element="PersonName">
        <w:smartTagPr>
          <w:attr w:name="ProductID" w:val="la Convenci￳n Americana"/>
        </w:smartTagPr>
        <w:r>
          <w:rPr>
            <w:rFonts w:ascii="Verdana" w:hAnsi="Verdana" w:cs="Courier New"/>
            <w:i/>
            <w:iCs/>
            <w:spacing w:val="-3"/>
            <w:sz w:val="18"/>
          </w:rPr>
          <w:t>la Convención Americana</w:t>
        </w:r>
      </w:smartTag>
      <w:r>
        <w:rPr>
          <w:rFonts w:ascii="Verdana" w:hAnsi="Verdana" w:cs="Courier New"/>
          <w:i/>
          <w:iCs/>
          <w:spacing w:val="-3"/>
          <w:sz w:val="18"/>
        </w:rPr>
        <w:t xml:space="preserve"> sobre Derechos Humanos, para Fortalecer Su Mecanismo de Protección</w:t>
      </w:r>
      <w:r>
        <w:rPr>
          <w:rFonts w:ascii="Verdana" w:hAnsi="Verdana" w:cs="Courier New"/>
          <w:spacing w:val="-3"/>
          <w:sz w:val="18"/>
        </w:rPr>
        <w:t>, 2a. ed., tomo II, San José</w:t>
      </w:r>
      <w:r>
        <w:rPr>
          <w:rFonts w:ascii="Verdana" w:hAnsi="Verdana" w:cs="Courier New"/>
          <w:spacing w:val="-3"/>
          <w:sz w:val="18"/>
        </w:rPr>
        <w:t xml:space="preserve"> de Costa Rica, Corte Interamericana de Derechos Humanos, 2003, pp. 42 y 51.</w:t>
      </w:r>
    </w:p>
    <w:p w:rsidR="00000000" w:rsidRDefault="00687F2E">
      <w:pPr>
        <w:pStyle w:val="Textodenotaalpie"/>
        <w:tabs>
          <w:tab w:val="left" w:pos="-720"/>
        </w:tabs>
        <w:suppressAutoHyphens/>
        <w:jc w:val="both"/>
        <w:rPr>
          <w:rFonts w:ascii="Verdana" w:hAnsi="Verdana" w:cs="Courier New"/>
          <w:spacing w:val="-3"/>
          <w:sz w:val="18"/>
        </w:rPr>
      </w:pPr>
    </w:p>
  </w:footnote>
  <w:footnote w:id="62">
    <w:p w:rsidR="00000000" w:rsidRDefault="00687F2E">
      <w:pPr>
        <w:pStyle w:val="Textodenotaalpie"/>
        <w:tabs>
          <w:tab w:val="left" w:pos="-720"/>
        </w:tabs>
        <w:suppressAutoHyphens/>
        <w:jc w:val="both"/>
        <w:rPr>
          <w:rFonts w:ascii="Verdana" w:hAnsi="Verdana" w:cs="Courier New"/>
          <w:spacing w:val="-3"/>
          <w:sz w:val="18"/>
        </w:rPr>
      </w:pPr>
      <w:r>
        <w:rPr>
          <w:rStyle w:val="Refdenotaalpie"/>
          <w:rFonts w:cs="Courier New"/>
          <w:spacing w:val="-3"/>
          <w:sz w:val="18"/>
        </w:rPr>
        <w:footnoteRef/>
      </w:r>
      <w:r>
        <w:rPr>
          <w:rFonts w:ascii="Verdana" w:hAnsi="Verdana" w:cs="Courier New"/>
          <w:spacing w:val="-3"/>
          <w:sz w:val="18"/>
        </w:rPr>
        <w:t xml:space="preserve">. </w:t>
      </w:r>
      <w:r>
        <w:rPr>
          <w:rFonts w:ascii="Verdana" w:hAnsi="Verdana" w:cs="Courier New"/>
          <w:spacing w:val="-3"/>
          <w:sz w:val="18"/>
        </w:rPr>
        <w:tab/>
        <w:t xml:space="preserve">O aún en un caso de asesinato planificado al más alto nivel del poder estatal, y por orden de éste último ejecutado, como en el caso de </w:t>
      </w:r>
      <w:r>
        <w:rPr>
          <w:rFonts w:ascii="Verdana" w:hAnsi="Verdana" w:cs="Courier New"/>
          <w:i/>
          <w:iCs/>
          <w:spacing w:val="-3"/>
          <w:sz w:val="18"/>
        </w:rPr>
        <w:t>Myrna Mack Chang versus Guatemala</w:t>
      </w:r>
      <w:r>
        <w:rPr>
          <w:rFonts w:ascii="Verdana" w:hAnsi="Verdana" w:cs="Courier New"/>
          <w:spacing w:val="-3"/>
          <w:sz w:val="18"/>
        </w:rPr>
        <w:t xml:space="preserve"> (Sen</w:t>
      </w:r>
      <w:r>
        <w:rPr>
          <w:rFonts w:ascii="Verdana" w:hAnsi="Verdana" w:cs="Courier New"/>
          <w:spacing w:val="-3"/>
          <w:sz w:val="18"/>
        </w:rPr>
        <w:t>tencia del 25.11.2003).</w:t>
      </w:r>
    </w:p>
    <w:p w:rsidR="00000000" w:rsidRDefault="00687F2E">
      <w:pPr>
        <w:pStyle w:val="Textodenotaalpie"/>
        <w:tabs>
          <w:tab w:val="left" w:pos="-720"/>
        </w:tabs>
        <w:suppressAutoHyphens/>
        <w:jc w:val="both"/>
        <w:rPr>
          <w:rFonts w:ascii="Verdana" w:hAnsi="Verdana" w:cs="Courier New"/>
          <w:spacing w:val="-3"/>
          <w:sz w:val="18"/>
        </w:rPr>
      </w:pPr>
    </w:p>
  </w:footnote>
  <w:footnote w:id="63">
    <w:p w:rsidR="00000000" w:rsidRDefault="00687F2E">
      <w:pPr>
        <w:pStyle w:val="Textodenotaalpie"/>
        <w:tabs>
          <w:tab w:val="left" w:pos="-720"/>
        </w:tabs>
        <w:suppressAutoHyphens/>
        <w:jc w:val="both"/>
        <w:rPr>
          <w:rFonts w:ascii="Verdana" w:hAnsi="Verdana" w:cs="Courier New"/>
          <w:spacing w:val="-3"/>
          <w:sz w:val="18"/>
        </w:rPr>
      </w:pPr>
      <w:r>
        <w:rPr>
          <w:rStyle w:val="Refdenotaalpie"/>
          <w:rFonts w:cs="Courier New"/>
          <w:spacing w:val="-3"/>
          <w:sz w:val="18"/>
        </w:rPr>
        <w:footnoteRef/>
      </w:r>
      <w:r>
        <w:rPr>
          <w:rFonts w:ascii="Verdana" w:hAnsi="Verdana" w:cs="Courier New"/>
          <w:spacing w:val="-3"/>
          <w:sz w:val="18"/>
        </w:rPr>
        <w:t>.</w:t>
      </w:r>
      <w:r>
        <w:rPr>
          <w:rFonts w:ascii="Verdana" w:hAnsi="Verdana" w:cs="Courier New"/>
          <w:spacing w:val="-3"/>
          <w:sz w:val="18"/>
        </w:rPr>
        <w:tab/>
        <w:t xml:space="preserve"> Cf., v.g., </w:t>
      </w:r>
      <w:r>
        <w:rPr>
          <w:rFonts w:ascii="Verdana" w:hAnsi="Verdana" w:cs="Courier New"/>
          <w:i/>
          <w:iCs/>
          <w:spacing w:val="-3"/>
          <w:sz w:val="18"/>
        </w:rPr>
        <w:t>inter alia</w:t>
      </w:r>
      <w:r>
        <w:rPr>
          <w:rFonts w:ascii="Verdana" w:hAnsi="Verdana" w:cs="Courier New"/>
          <w:spacing w:val="-3"/>
          <w:sz w:val="18"/>
        </w:rPr>
        <w:t>, CtIADH, Sentencia de reparaciones en el caso de los "</w:t>
      </w:r>
      <w:r>
        <w:rPr>
          <w:rFonts w:ascii="Verdana" w:hAnsi="Verdana" w:cs="Courier New"/>
          <w:i/>
          <w:iCs/>
          <w:spacing w:val="-3"/>
          <w:sz w:val="18"/>
        </w:rPr>
        <w:t xml:space="preserve">Niños de </w:t>
      </w:r>
      <w:smartTag w:uri="urn:schemas-microsoft-com:office:smarttags" w:element="PersonName">
        <w:smartTagPr>
          <w:attr w:name="ProductID" w:val="la Calle"/>
        </w:smartTagPr>
        <w:r>
          <w:rPr>
            <w:rFonts w:ascii="Verdana" w:hAnsi="Verdana" w:cs="Courier New"/>
            <w:i/>
            <w:iCs/>
            <w:spacing w:val="-3"/>
            <w:sz w:val="18"/>
          </w:rPr>
          <w:t>la Calle</w:t>
        </w:r>
      </w:smartTag>
      <w:r>
        <w:rPr>
          <w:rFonts w:ascii="Verdana" w:hAnsi="Verdana" w:cs="Courier New"/>
          <w:spacing w:val="-3"/>
          <w:sz w:val="18"/>
        </w:rPr>
        <w:t>" (</w:t>
      </w:r>
      <w:r>
        <w:rPr>
          <w:rFonts w:ascii="Verdana" w:hAnsi="Verdana" w:cs="Courier New"/>
          <w:i/>
          <w:iCs/>
          <w:spacing w:val="-3"/>
          <w:sz w:val="18"/>
        </w:rPr>
        <w:t>Villagrán Morales y Otros</w:t>
      </w:r>
      <w:r>
        <w:rPr>
          <w:rFonts w:ascii="Verdana" w:hAnsi="Verdana" w:cs="Courier New"/>
          <w:spacing w:val="-3"/>
          <w:sz w:val="18"/>
        </w:rPr>
        <w:t xml:space="preserve">,  2001), párr. 68. </w:t>
      </w:r>
    </w:p>
    <w:p w:rsidR="00000000" w:rsidRDefault="00687F2E">
      <w:pPr>
        <w:pStyle w:val="Textodenotaalpie"/>
        <w:tabs>
          <w:tab w:val="left" w:pos="-720"/>
        </w:tabs>
        <w:suppressAutoHyphens/>
        <w:jc w:val="both"/>
        <w:rPr>
          <w:rFonts w:ascii="Verdana" w:hAnsi="Verdana" w:cs="Courier New"/>
          <w:spacing w:val="-3"/>
          <w:sz w:val="18"/>
        </w:rPr>
      </w:pPr>
    </w:p>
  </w:footnote>
  <w:footnote w:id="64">
    <w:p w:rsidR="00000000" w:rsidRDefault="00687F2E">
      <w:pPr>
        <w:pStyle w:val="Textodenotaalpie"/>
        <w:tabs>
          <w:tab w:val="left" w:pos="-720"/>
        </w:tabs>
        <w:suppressAutoHyphens/>
        <w:jc w:val="both"/>
        <w:rPr>
          <w:rFonts w:ascii="Verdana" w:hAnsi="Verdana" w:cs="Courier New"/>
          <w:spacing w:val="-3"/>
          <w:sz w:val="18"/>
        </w:rPr>
      </w:pPr>
      <w:r>
        <w:rPr>
          <w:rStyle w:val="Refdenotaalpie"/>
          <w:rFonts w:cs="Courier New"/>
          <w:spacing w:val="-3"/>
          <w:sz w:val="18"/>
        </w:rPr>
        <w:footnoteRef/>
      </w:r>
      <w:r>
        <w:rPr>
          <w:rFonts w:ascii="Verdana" w:hAnsi="Verdana" w:cs="Courier New"/>
          <w:spacing w:val="-3"/>
          <w:sz w:val="18"/>
        </w:rPr>
        <w:t xml:space="preserve">. </w:t>
      </w:r>
      <w:r>
        <w:rPr>
          <w:rFonts w:ascii="Verdana" w:hAnsi="Verdana" w:cs="Courier New"/>
          <w:spacing w:val="-3"/>
          <w:sz w:val="18"/>
        </w:rPr>
        <w:tab/>
        <w:t xml:space="preserve">Cf. también, al respecto, v.g., </w:t>
      </w:r>
      <w:r>
        <w:rPr>
          <w:rFonts w:ascii="Verdana" w:hAnsi="Verdana" w:cs="Courier New"/>
          <w:i/>
          <w:iCs/>
          <w:spacing w:val="-3"/>
          <w:sz w:val="18"/>
        </w:rPr>
        <w:t>inter alia</w:t>
      </w:r>
      <w:r>
        <w:rPr>
          <w:rFonts w:ascii="Verdana" w:hAnsi="Verdana" w:cs="Courier New"/>
          <w:spacing w:val="-3"/>
          <w:sz w:val="18"/>
        </w:rPr>
        <w:t xml:space="preserve">, las Sentencias de </w:t>
      </w:r>
      <w:smartTag w:uri="urn:schemas-microsoft-com:office:smarttags" w:element="PersonName">
        <w:smartTagPr>
          <w:attr w:name="ProductID" w:val="la Corte"/>
        </w:smartTagPr>
        <w:r>
          <w:rPr>
            <w:rFonts w:ascii="Verdana" w:hAnsi="Verdana" w:cs="Courier New"/>
            <w:spacing w:val="-3"/>
            <w:sz w:val="18"/>
          </w:rPr>
          <w:t>la Corte</w:t>
        </w:r>
      </w:smartTag>
      <w:r>
        <w:rPr>
          <w:rFonts w:ascii="Verdana" w:hAnsi="Verdana" w:cs="Courier New"/>
          <w:spacing w:val="-3"/>
          <w:sz w:val="18"/>
        </w:rPr>
        <w:t xml:space="preserve"> en los ca</w:t>
      </w:r>
      <w:r>
        <w:rPr>
          <w:rFonts w:ascii="Verdana" w:hAnsi="Verdana" w:cs="Courier New"/>
          <w:spacing w:val="-3"/>
          <w:sz w:val="18"/>
        </w:rPr>
        <w:t xml:space="preserve">sos de </w:t>
      </w:r>
      <w:r>
        <w:rPr>
          <w:rFonts w:ascii="Verdana" w:hAnsi="Verdana" w:cs="Courier New"/>
          <w:i/>
          <w:iCs/>
          <w:spacing w:val="-3"/>
          <w:sz w:val="18"/>
        </w:rPr>
        <w:t>Goiburú y Otros versus Paraguay</w:t>
      </w:r>
      <w:r>
        <w:rPr>
          <w:rFonts w:ascii="Verdana" w:hAnsi="Verdana" w:cs="Courier New"/>
          <w:spacing w:val="-3"/>
          <w:sz w:val="18"/>
        </w:rPr>
        <w:t xml:space="preserve"> (del 22.07.2006), párr. 29; de las masacres de</w:t>
      </w:r>
      <w:r>
        <w:rPr>
          <w:rFonts w:ascii="Verdana" w:hAnsi="Verdana" w:cs="Courier New"/>
          <w:i/>
          <w:iCs/>
          <w:spacing w:val="-3"/>
          <w:sz w:val="18"/>
        </w:rPr>
        <w:t xml:space="preserve"> Ituango versus Colombia</w:t>
      </w:r>
      <w:r>
        <w:rPr>
          <w:rFonts w:ascii="Verdana" w:hAnsi="Verdana" w:cs="Courier New"/>
          <w:spacing w:val="-3"/>
          <w:sz w:val="18"/>
        </w:rPr>
        <w:t xml:space="preserve"> (del 01.07.2006), párr. 91; de la masacre de</w:t>
      </w:r>
      <w:r>
        <w:rPr>
          <w:rFonts w:ascii="Verdana" w:hAnsi="Verdana" w:cs="Courier New"/>
          <w:i/>
          <w:iCs/>
          <w:spacing w:val="-3"/>
          <w:sz w:val="18"/>
        </w:rPr>
        <w:t xml:space="preserve"> Mapiripán versus Colombia</w:t>
      </w:r>
      <w:r>
        <w:rPr>
          <w:rFonts w:ascii="Verdana" w:hAnsi="Verdana" w:cs="Courier New"/>
          <w:spacing w:val="-3"/>
          <w:sz w:val="18"/>
        </w:rPr>
        <w:t xml:space="preserve"> (del 15.09.2005), párr. 183; de </w:t>
      </w:r>
      <w:r>
        <w:rPr>
          <w:rFonts w:ascii="Verdana" w:hAnsi="Verdana" w:cs="Courier New"/>
          <w:i/>
          <w:iCs/>
          <w:spacing w:val="-3"/>
          <w:sz w:val="18"/>
        </w:rPr>
        <w:t>Acevedo Jaramillo y Otros versus Perú</w:t>
      </w:r>
      <w:r>
        <w:rPr>
          <w:rFonts w:ascii="Verdana" w:hAnsi="Verdana" w:cs="Courier New"/>
          <w:spacing w:val="-3"/>
          <w:sz w:val="18"/>
        </w:rPr>
        <w:t xml:space="preserve"> (07.0</w:t>
      </w:r>
      <w:r>
        <w:rPr>
          <w:rFonts w:ascii="Verdana" w:hAnsi="Verdana" w:cs="Courier New"/>
          <w:spacing w:val="-3"/>
          <w:sz w:val="18"/>
        </w:rPr>
        <w:t>2.2006), párr. 227.</w:t>
      </w:r>
    </w:p>
    <w:p w:rsidR="00000000" w:rsidRDefault="00687F2E">
      <w:pPr>
        <w:pStyle w:val="Textodenotaalpie"/>
        <w:tabs>
          <w:tab w:val="left" w:pos="-720"/>
        </w:tabs>
        <w:suppressAutoHyphens/>
        <w:jc w:val="both"/>
        <w:rPr>
          <w:rFonts w:ascii="Verdana" w:hAnsi="Verdana" w:cs="Courier New"/>
          <w:spacing w:val="-3"/>
          <w:sz w:val="18"/>
        </w:rPr>
      </w:pPr>
    </w:p>
  </w:footnote>
  <w:footnote w:id="65">
    <w:p w:rsidR="00000000" w:rsidRDefault="00687F2E">
      <w:pPr>
        <w:pStyle w:val="Textodenotaalpie"/>
        <w:tabs>
          <w:tab w:val="left" w:pos="-720"/>
        </w:tabs>
        <w:suppressAutoHyphens/>
        <w:jc w:val="both"/>
        <w:rPr>
          <w:rFonts w:ascii="Verdana" w:hAnsi="Verdana" w:cs="Courier New"/>
          <w:spacing w:val="-3"/>
          <w:sz w:val="18"/>
        </w:rPr>
      </w:pPr>
      <w:r>
        <w:rPr>
          <w:rStyle w:val="Refdenotaalpie"/>
          <w:rFonts w:cs="Courier New"/>
          <w:spacing w:val="-3"/>
          <w:sz w:val="18"/>
        </w:rPr>
        <w:footnoteRef/>
      </w:r>
      <w:r>
        <w:rPr>
          <w:rFonts w:ascii="Verdana" w:hAnsi="Verdana" w:cs="Courier New"/>
          <w:spacing w:val="-3"/>
          <w:sz w:val="18"/>
        </w:rPr>
        <w:t xml:space="preserve">. </w:t>
      </w:r>
      <w:r>
        <w:rPr>
          <w:rFonts w:ascii="Verdana" w:hAnsi="Verdana" w:cs="Courier New"/>
          <w:spacing w:val="-3"/>
          <w:sz w:val="18"/>
        </w:rPr>
        <w:tab/>
        <w:t xml:space="preserve">Cf. CtIADH, Sentencias en los casos de </w:t>
      </w:r>
      <w:r>
        <w:rPr>
          <w:rFonts w:ascii="Verdana" w:hAnsi="Verdana" w:cs="Courier New"/>
          <w:i/>
          <w:iCs/>
          <w:spacing w:val="-3"/>
          <w:sz w:val="18"/>
        </w:rPr>
        <w:t>Vargas Areco versus Paraguay</w:t>
      </w:r>
      <w:r>
        <w:rPr>
          <w:rFonts w:ascii="Verdana" w:hAnsi="Verdana" w:cs="Courier New"/>
          <w:spacing w:val="-3"/>
          <w:sz w:val="18"/>
        </w:rPr>
        <w:t xml:space="preserve"> (del 26.09.2006), párrs. 95-96; de </w:t>
      </w:r>
      <w:r>
        <w:rPr>
          <w:rFonts w:ascii="Verdana" w:hAnsi="Verdana" w:cs="Courier New"/>
          <w:i/>
          <w:iCs/>
          <w:spacing w:val="-3"/>
          <w:sz w:val="18"/>
        </w:rPr>
        <w:t>Goiburú y Otros versus Paraguay</w:t>
      </w:r>
      <w:r>
        <w:rPr>
          <w:rFonts w:ascii="Verdana" w:hAnsi="Verdana" w:cs="Courier New"/>
          <w:spacing w:val="-3"/>
          <w:sz w:val="18"/>
        </w:rPr>
        <w:t xml:space="preserve"> (del 22.07.2006), párr. 96; y cf. Sentencias en los casos de </w:t>
      </w:r>
      <w:r>
        <w:rPr>
          <w:rFonts w:ascii="Verdana" w:hAnsi="Verdana" w:cs="Courier New"/>
          <w:i/>
          <w:iCs/>
          <w:spacing w:val="-3"/>
          <w:sz w:val="18"/>
        </w:rPr>
        <w:t>Ximenes Lopes versus Brasil</w:t>
      </w:r>
      <w:r>
        <w:rPr>
          <w:rFonts w:ascii="Verdana" w:hAnsi="Verdana" w:cs="Courier New"/>
          <w:spacing w:val="-3"/>
          <w:sz w:val="18"/>
        </w:rPr>
        <w:t xml:space="preserve"> (del 04</w:t>
      </w:r>
      <w:r>
        <w:rPr>
          <w:rFonts w:ascii="Verdana" w:hAnsi="Verdana" w:cs="Courier New"/>
          <w:spacing w:val="-3"/>
          <w:sz w:val="18"/>
        </w:rPr>
        <w:t xml:space="preserve">.07.2006), párr. 156; de </w:t>
      </w:r>
      <w:r>
        <w:rPr>
          <w:rFonts w:ascii="Verdana" w:hAnsi="Verdana" w:cs="Courier New"/>
          <w:i/>
          <w:iCs/>
          <w:spacing w:val="-3"/>
          <w:sz w:val="18"/>
        </w:rPr>
        <w:t>Montero Aranguren y Otros versus Venezuela</w:t>
      </w:r>
      <w:r>
        <w:rPr>
          <w:rFonts w:ascii="Verdana" w:hAnsi="Verdana" w:cs="Courier New"/>
          <w:spacing w:val="-3"/>
          <w:sz w:val="18"/>
        </w:rPr>
        <w:t xml:space="preserve"> (</w:t>
      </w:r>
      <w:r>
        <w:rPr>
          <w:rFonts w:ascii="Verdana" w:hAnsi="Verdana" w:cs="Courier New"/>
          <w:i/>
          <w:iCs/>
          <w:spacing w:val="-3"/>
          <w:sz w:val="18"/>
        </w:rPr>
        <w:t>Retén de Catia</w:t>
      </w:r>
      <w:r>
        <w:rPr>
          <w:rFonts w:ascii="Verdana" w:hAnsi="Verdana" w:cs="Courier New"/>
          <w:spacing w:val="-3"/>
          <w:sz w:val="18"/>
        </w:rPr>
        <w:t xml:space="preserve">, del 05.07.2006), párr. 104; y de </w:t>
      </w:r>
      <w:r>
        <w:rPr>
          <w:rFonts w:ascii="Verdana" w:hAnsi="Verdana" w:cs="Courier New"/>
          <w:i/>
          <w:iCs/>
          <w:spacing w:val="-3"/>
          <w:sz w:val="18"/>
        </w:rPr>
        <w:t>Baldeón García versus Perú</w:t>
      </w:r>
      <w:r>
        <w:rPr>
          <w:rFonts w:ascii="Verdana" w:hAnsi="Verdana" w:cs="Courier New"/>
          <w:spacing w:val="-3"/>
          <w:sz w:val="18"/>
        </w:rPr>
        <w:t xml:space="preserve"> (del 06.04.2006), párr. 128.</w:t>
      </w:r>
    </w:p>
    <w:p w:rsidR="00000000" w:rsidRDefault="00687F2E">
      <w:pPr>
        <w:pStyle w:val="Textodenotaalpie"/>
        <w:tabs>
          <w:tab w:val="left" w:pos="-720"/>
        </w:tabs>
        <w:suppressAutoHyphens/>
        <w:jc w:val="both"/>
        <w:rPr>
          <w:rFonts w:ascii="Verdana" w:hAnsi="Verdana" w:cs="Courier New"/>
          <w:spacing w:val="-3"/>
          <w:sz w:val="18"/>
        </w:rPr>
      </w:pPr>
    </w:p>
  </w:footnote>
  <w:footnote w:id="66">
    <w:p w:rsidR="00000000" w:rsidRDefault="00687F2E">
      <w:pPr>
        <w:pStyle w:val="Textodenotaalpie"/>
        <w:tabs>
          <w:tab w:val="left" w:pos="-720"/>
        </w:tabs>
        <w:suppressAutoHyphens/>
        <w:jc w:val="both"/>
        <w:rPr>
          <w:rFonts w:cs="Courier New"/>
          <w:spacing w:val="-3"/>
        </w:rPr>
      </w:pPr>
      <w:r>
        <w:rPr>
          <w:rStyle w:val="Refdenotaalpie"/>
          <w:rFonts w:cs="Courier New"/>
          <w:spacing w:val="-3"/>
          <w:sz w:val="18"/>
        </w:rPr>
        <w:footnoteRef/>
      </w:r>
      <w:r>
        <w:rPr>
          <w:rFonts w:ascii="Verdana" w:hAnsi="Verdana" w:cs="Courier New"/>
          <w:spacing w:val="-3"/>
          <w:sz w:val="18"/>
        </w:rPr>
        <w:t xml:space="preserve">. </w:t>
      </w:r>
      <w:r>
        <w:rPr>
          <w:rFonts w:ascii="Verdana" w:hAnsi="Verdana" w:cs="Courier New"/>
          <w:spacing w:val="-3"/>
          <w:sz w:val="18"/>
        </w:rPr>
        <w:tab/>
        <w:t xml:space="preserve">S.T. Coleridge, </w:t>
      </w:r>
      <w:r>
        <w:rPr>
          <w:rFonts w:ascii="Verdana" w:hAnsi="Verdana" w:cs="Courier New"/>
          <w:i/>
          <w:iCs/>
          <w:spacing w:val="-3"/>
          <w:sz w:val="18"/>
        </w:rPr>
        <w:t>op. cit. supra</w:t>
      </w:r>
      <w:r>
        <w:rPr>
          <w:rFonts w:ascii="Verdana" w:hAnsi="Verdana" w:cs="Courier New"/>
          <w:spacing w:val="-3"/>
          <w:sz w:val="18"/>
        </w:rPr>
        <w:t xml:space="preserve"> n. (1), versos 443-445.</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687F2E">
    <w:pPr>
      <w:pStyle w:val="Encabezado"/>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rsidR="00000000" w:rsidRDefault="00687F2E">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687F2E">
    <w:pPr>
      <w:pStyle w:val="Encabezado"/>
      <w:framePr w:wrap="around" w:vAnchor="text" w:hAnchor="margin" w:xAlign="center" w:y="1"/>
      <w:rPr>
        <w:rStyle w:val="Nmerodepgina"/>
        <w:rFonts w:ascii="Verdana" w:hAnsi="Verdana"/>
        <w:sz w:val="20"/>
      </w:rPr>
    </w:pPr>
    <w:r>
      <w:rPr>
        <w:rStyle w:val="Nmerodepgina"/>
        <w:rFonts w:ascii="Verdana" w:hAnsi="Verdana"/>
        <w:sz w:val="20"/>
      </w:rPr>
      <w:fldChar w:fldCharType="begin"/>
    </w:r>
    <w:r>
      <w:rPr>
        <w:rStyle w:val="Nmerodepgina"/>
        <w:rFonts w:ascii="Verdana" w:hAnsi="Verdana"/>
        <w:sz w:val="20"/>
      </w:rPr>
      <w:instrText xml:space="preserve">PAGE  </w:instrText>
    </w:r>
    <w:r>
      <w:rPr>
        <w:rStyle w:val="Nmerodepgina"/>
        <w:rFonts w:ascii="Verdana" w:hAnsi="Verdana"/>
        <w:sz w:val="20"/>
      </w:rPr>
      <w:fldChar w:fldCharType="separate"/>
    </w:r>
    <w:r w:rsidR="008230B6">
      <w:rPr>
        <w:rStyle w:val="Nmerodepgina"/>
        <w:rFonts w:ascii="Verdana" w:hAnsi="Verdana"/>
        <w:noProof/>
        <w:sz w:val="20"/>
      </w:rPr>
      <w:t>2</w:t>
    </w:r>
    <w:r>
      <w:rPr>
        <w:rStyle w:val="Nmerodepgina"/>
        <w:rFonts w:ascii="Verdana" w:hAnsi="Verdana"/>
        <w:sz w:val="20"/>
      </w:rPr>
      <w:fldChar w:fldCharType="end"/>
    </w:r>
  </w:p>
  <w:p w:rsidR="00000000" w:rsidRDefault="00687F2E">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name w:val="WW8Num1"/>
    <w:lvl w:ilvl="0">
      <w:start w:val="2"/>
      <w:numFmt w:val="lowerRoman"/>
      <w:lvlText w:val="%1."/>
      <w:lvlJc w:val="left"/>
      <w:pPr>
        <w:tabs>
          <w:tab w:val="num" w:pos="1080"/>
        </w:tabs>
        <w:ind w:left="1080" w:hanging="720"/>
      </w:pPr>
    </w:lvl>
  </w:abstractNum>
  <w:abstractNum w:abstractNumId="1">
    <w:nsid w:val="00000002"/>
    <w:multiLevelType w:val="multilevel"/>
    <w:tmpl w:val="0000000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3518B5"/>
    <w:rsid w:val="003518B5"/>
    <w:rsid w:val="00687F2E"/>
    <w:rsid w:val="008230B6"/>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place"/>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PersonNam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AR" w:eastAsia="es-A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suppressAutoHyphens/>
    </w:pPr>
    <w:rPr>
      <w:sz w:val="24"/>
      <w:szCs w:val="24"/>
      <w:lang w:val="es-ES" w:eastAsia="ar-SA"/>
    </w:rPr>
  </w:style>
  <w:style w:type="paragraph" w:styleId="Ttulo1">
    <w:name w:val="heading 1"/>
    <w:basedOn w:val="Heading"/>
    <w:next w:val="Textoindependiente"/>
    <w:qFormat/>
    <w:pPr>
      <w:tabs>
        <w:tab w:val="num" w:pos="0"/>
      </w:tabs>
      <w:outlineLvl w:val="0"/>
    </w:pPr>
    <w:rPr>
      <w:b/>
      <w:bCs/>
      <w:sz w:val="32"/>
      <w:szCs w:val="32"/>
    </w:rPr>
  </w:style>
  <w:style w:type="paragraph" w:styleId="Ttulo3">
    <w:name w:val="heading 3"/>
    <w:basedOn w:val="Heading"/>
    <w:next w:val="Textoindependiente"/>
    <w:qFormat/>
    <w:pPr>
      <w:tabs>
        <w:tab w:val="num" w:pos="0"/>
      </w:tabs>
      <w:outlineLvl w:val="2"/>
    </w:pPr>
    <w:rPr>
      <w:b/>
      <w:bCs/>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8Num7z0">
    <w:name w:val="WW8Num7z0"/>
    <w:rPr>
      <w:rFonts w:ascii="Verdana" w:eastAsia="Times New Roman" w:hAnsi="Verdana" w:cs="Times New Roman"/>
    </w:rPr>
  </w:style>
  <w:style w:type="character" w:customStyle="1" w:styleId="WW8Num13z0">
    <w:name w:val="WW8Num13z0"/>
    <w:rPr>
      <w:rFonts w:ascii="Verdana" w:eastAsia="Times New Roman" w:hAnsi="Verdana" w:cs="Times New Roman"/>
    </w:rPr>
  </w:style>
  <w:style w:type="character" w:customStyle="1" w:styleId="WW8Num24z0">
    <w:name w:val="WW8Num24z0"/>
    <w:rPr>
      <w:sz w:val="20"/>
    </w:rPr>
  </w:style>
  <w:style w:type="character" w:customStyle="1" w:styleId="WW8Num26z0">
    <w:name w:val="WW8Num26z0"/>
    <w:rPr>
      <w:rFonts w:ascii="Verdana" w:eastAsia="Times New Roman" w:hAnsi="Verdana" w:cs="Times New Roman"/>
    </w:rPr>
  </w:style>
  <w:style w:type="character" w:styleId="Fuentedeprrafopredeter0">
    <w:name w:val="Default Paragraph Font"/>
  </w:style>
  <w:style w:type="character" w:customStyle="1" w:styleId="FootnoteCharacters">
    <w:name w:val="Footnote Characters"/>
    <w:rPr>
      <w:sz w:val="20"/>
      <w:vertAlign w:val="superscript"/>
    </w:rPr>
  </w:style>
  <w:style w:type="character" w:styleId="Nmerodepgina">
    <w:name w:val="page number"/>
    <w:basedOn w:val="Fuentedeprrafopredeter0"/>
  </w:style>
  <w:style w:type="character" w:styleId="Refdenotaalpie">
    <w:name w:val="footnote reference"/>
    <w:semiHidden/>
    <w:rPr>
      <w:vertAlign w:val="superscript"/>
    </w:rPr>
  </w:style>
  <w:style w:type="character" w:customStyle="1" w:styleId="EndnoteCharacters">
    <w:name w:val="Endnote Characters"/>
    <w:rPr>
      <w:vertAlign w:val="superscript"/>
    </w:rPr>
  </w:style>
  <w:style w:type="character" w:customStyle="1" w:styleId="WW-EndnoteCharacters">
    <w:name w:val="WW-Endnote Characters"/>
  </w:style>
  <w:style w:type="character" w:customStyle="1" w:styleId="NumberingSymbols">
    <w:name w:val="Numbering Symbols"/>
  </w:style>
  <w:style w:type="character" w:styleId="Refdenotaalfinal">
    <w:name w:val="endnote reference"/>
    <w:semiHidden/>
    <w:rPr>
      <w:vertAlign w:val="superscript"/>
    </w:rPr>
  </w:style>
  <w:style w:type="paragraph" w:customStyle="1" w:styleId="Heading">
    <w:name w:val="Heading"/>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pPr>
      <w:jc w:val="both"/>
    </w:pPr>
    <w:rPr>
      <w:rFonts w:ascii="Garamond" w:hAnsi="Garamond"/>
      <w:szCs w:val="20"/>
      <w:lang w:val="es-ES_tradnl" w:eastAsia="x-none"/>
    </w:rPr>
  </w:style>
  <w:style w:type="paragraph" w:styleId="Lista">
    <w:name w:val="List"/>
    <w:basedOn w:val="Textoindependiente"/>
    <w:rPr>
      <w:rFonts w:cs="Tahoma"/>
    </w:rPr>
  </w:style>
  <w:style w:type="paragraph" w:styleId="Epgrafe">
    <w:name w:val="caption"/>
    <w:basedOn w:val="Normal"/>
    <w:qFormat/>
    <w:pPr>
      <w:suppressLineNumbers/>
      <w:spacing w:before="120" w:after="120"/>
    </w:pPr>
    <w:rPr>
      <w:rFonts w:cs="Tahoma"/>
      <w:i/>
      <w:iCs/>
    </w:rPr>
  </w:style>
  <w:style w:type="paragraph" w:customStyle="1" w:styleId="Index">
    <w:name w:val="Index"/>
    <w:basedOn w:val="Normal"/>
    <w:pPr>
      <w:suppressLineNumbers/>
    </w:pPr>
    <w:rPr>
      <w:rFonts w:cs="Tahoma"/>
    </w:rPr>
  </w:style>
  <w:style w:type="paragraph" w:styleId="Textoindependiente2">
    <w:name w:val="Body Text 2"/>
    <w:basedOn w:val="Normal"/>
    <w:pPr>
      <w:spacing w:after="120" w:line="480" w:lineRule="auto"/>
    </w:pPr>
  </w:style>
  <w:style w:type="paragraph" w:customStyle="1" w:styleId="Lneadereferencia">
    <w:name w:val="Línea de referencia"/>
    <w:basedOn w:val="Textoindependiente2"/>
    <w:pPr>
      <w:spacing w:after="0" w:line="240" w:lineRule="auto"/>
      <w:jc w:val="both"/>
    </w:pPr>
    <w:rPr>
      <w:rFonts w:ascii="Garamond" w:hAnsi="Garamond"/>
      <w:szCs w:val="20"/>
      <w:lang w:val="en-US"/>
    </w:rPr>
  </w:style>
  <w:style w:type="paragraph" w:styleId="Textodebloque">
    <w:name w:val="Block Text"/>
    <w:basedOn w:val="Normal"/>
    <w:pPr>
      <w:ind w:left="720" w:right="764"/>
      <w:jc w:val="both"/>
    </w:pPr>
    <w:rPr>
      <w:rFonts w:ascii="Verdana" w:hAnsi="Verdana"/>
      <w:sz w:val="18"/>
      <w:szCs w:val="20"/>
      <w:lang w:val="es-ES_tradnl" w:eastAsia="x-none"/>
    </w:rPr>
  </w:style>
  <w:style w:type="paragraph" w:styleId="Encabezado">
    <w:name w:val="header"/>
    <w:basedOn w:val="Normal"/>
    <w:pPr>
      <w:tabs>
        <w:tab w:val="center" w:pos="4320"/>
        <w:tab w:val="right" w:pos="8640"/>
      </w:tabs>
    </w:pPr>
    <w:rPr>
      <w:rFonts w:ascii="Times" w:hAnsi="Times"/>
      <w:color w:val="000000"/>
      <w:szCs w:val="20"/>
      <w:lang w:val="es-ES_tradnl" w:eastAsia="x-none"/>
    </w:rPr>
  </w:style>
  <w:style w:type="paragraph" w:styleId="Textonotapie">
    <w:name w:val="footnote text"/>
    <w:aliases w:val="Footnote Text Char Char Char Char Char,Footnote Text Char Char Char Char,Footnote reference,FA Fu,Footnote Text Char Char Char"/>
    <w:basedOn w:val="Normal"/>
    <w:semiHidden/>
    <w:rPr>
      <w:rFonts w:ascii="Times" w:eastAsia="Times" w:hAnsi="Times"/>
      <w:szCs w:val="20"/>
      <w:lang w:val="es-ES_tradnl"/>
    </w:rPr>
  </w:style>
  <w:style w:type="paragraph" w:styleId="Piedepgina">
    <w:name w:val="footer"/>
    <w:basedOn w:val="Normal"/>
    <w:pPr>
      <w:tabs>
        <w:tab w:val="center" w:pos="4320"/>
        <w:tab w:val="right" w:pos="8640"/>
      </w:tabs>
    </w:pPr>
  </w:style>
  <w:style w:type="paragraph" w:styleId="Textoindependiente3">
    <w:name w:val="Body Text 3"/>
    <w:basedOn w:val="Normal"/>
    <w:pPr>
      <w:spacing w:after="120"/>
    </w:pPr>
    <w:rPr>
      <w:sz w:val="16"/>
      <w:szCs w:val="16"/>
      <w:lang w:val="es-ES_tradnl" w:eastAsia="x-none"/>
    </w:rPr>
  </w:style>
  <w:style w:type="paragraph" w:customStyle="1" w:styleId="BodyText">
    <w:name w:val="Body Text "/>
    <w:basedOn w:val="Normal"/>
    <w:pPr>
      <w:spacing w:line="360" w:lineRule="atLeast"/>
    </w:pPr>
    <w:rPr>
      <w:rFonts w:ascii="Garamond" w:hAnsi="Garamond"/>
      <w:b/>
      <w:szCs w:val="20"/>
      <w:u w:val="single"/>
      <w:lang w:val="es-ES_tradnl"/>
    </w:rPr>
  </w:style>
  <w:style w:type="paragraph" w:styleId="Ttulo">
    <w:name w:val="Title"/>
    <w:basedOn w:val="Normal"/>
    <w:next w:val="Subttulo"/>
    <w:qFormat/>
    <w:pPr>
      <w:ind w:firstLine="720"/>
      <w:jc w:val="center"/>
    </w:pPr>
    <w:rPr>
      <w:rFonts w:ascii="Univers" w:hAnsi="Univers"/>
      <w:b/>
      <w:sz w:val="20"/>
      <w:szCs w:val="20"/>
      <w:lang w:val="es-CL"/>
    </w:rPr>
  </w:style>
  <w:style w:type="paragraph" w:styleId="Subttulo">
    <w:name w:val="Subtitle"/>
    <w:basedOn w:val="Heading"/>
    <w:next w:val="Textoindependiente"/>
    <w:qFormat/>
    <w:pPr>
      <w:jc w:val="center"/>
    </w:pPr>
    <w:rPr>
      <w:i/>
      <w:iCs/>
    </w:rPr>
  </w:style>
  <w:style w:type="paragraph" w:styleId="Mapadeldocumento">
    <w:name w:val="Document Map"/>
    <w:basedOn w:val="Normal"/>
    <w:pPr>
      <w:shd w:val="clear" w:color="auto" w:fill="000080"/>
    </w:pPr>
    <w:rPr>
      <w:rFonts w:ascii="Tahoma" w:hAnsi="Tahoma" w:cs="Tahoma"/>
    </w:r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customStyle="1" w:styleId="Framecontents">
    <w:name w:val="Frame contents"/>
    <w:basedOn w:val="Textoindependiente"/>
  </w:style>
  <w:style w:type="paragraph" w:styleId="Textodeglobo">
    <w:name w:val="Balloon Text"/>
    <w:basedOn w:val="Normal"/>
    <w:semiHidden/>
    <w:rPr>
      <w:rFonts w:ascii="Tahoma" w:hAnsi="Tahoma" w:cs="Tahoma"/>
      <w:sz w:val="16"/>
      <w:szCs w:val="16"/>
    </w:rPr>
  </w:style>
  <w:style w:type="character" w:styleId="Refdecomentario">
    <w:name w:val="annotation reference"/>
    <w:semiHidden/>
    <w:rPr>
      <w:sz w:val="16"/>
      <w:szCs w:val="16"/>
    </w:rPr>
  </w:style>
  <w:style w:type="paragraph" w:styleId="Textocomentario">
    <w:name w:val="annotation text"/>
    <w:basedOn w:val="Normal"/>
    <w:semiHidden/>
    <w:rPr>
      <w:sz w:val="20"/>
      <w:szCs w:val="20"/>
    </w:rPr>
  </w:style>
  <w:style w:type="paragraph" w:styleId="Asuntodelcomentario">
    <w:name w:val="annotation subject"/>
    <w:basedOn w:val="Textocomentario"/>
    <w:next w:val="Textocomentario"/>
    <w:semiHidden/>
    <w:rPr>
      <w:b/>
      <w:bCs/>
    </w:rPr>
  </w:style>
  <w:style w:type="paragraph" w:customStyle="1" w:styleId="Textodenotaalpie">
    <w:name w:val="Texto de nota al pie"/>
    <w:basedOn w:val="Normal"/>
    <w:pPr>
      <w:suppressAutoHyphens w:val="0"/>
      <w:autoSpaceDE w:val="0"/>
      <w:autoSpaceDN w:val="0"/>
      <w:adjustRightInd w:val="0"/>
    </w:pPr>
    <w:rPr>
      <w:rFonts w:ascii="Courier New" w:hAnsi="Courier New"/>
      <w:lang w:val="es-ES_tradnl" w:eastAsia="es-C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33</Pages>
  <Words>14644</Words>
  <Characters>80542</Characters>
  <Application>Microsoft Office Word</Application>
  <DocSecurity>0</DocSecurity>
  <Lines>671</Lines>
  <Paragraphs>189</Paragraphs>
  <ScaleCrop>false</ScaleCrop>
  <HeadingPairs>
    <vt:vector size="2" baseType="variant">
      <vt:variant>
        <vt:lpstr>Título</vt:lpstr>
      </vt:variant>
      <vt:variant>
        <vt:i4>1</vt:i4>
      </vt:variant>
    </vt:vector>
  </HeadingPairs>
  <TitlesOfParts>
    <vt:vector size="1" baseType="lpstr">
      <vt:lpstr>CORTE INTERAMERICANA DE DERECHOS HUMANOS</vt:lpstr>
    </vt:vector>
  </TitlesOfParts>
  <Company>personal</Company>
  <LinksUpToDate>false</LinksUpToDate>
  <CharactersWithSpaces>94997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CORTE INTERAMERICANA DE DERECHOS HUMANOS</dc:title>
  <dc:creator>cla</dc:creator>
  <cp:lastModifiedBy>Liliana Tojo</cp:lastModifiedBy>
  <cp:revision>3</cp:revision>
  <cp:lastPrinted>2017-06-23T21:03:00Z</cp:lastPrinted>
  <dcterms:created xsi:type="dcterms:W3CDTF">2017-06-23T21:03:00Z</dcterms:created>
  <dcterms:modified xsi:type="dcterms:W3CDTF">2017-06-23T21:03:00Z</dcterms:modified>
</cp:coreProperties>
</file>