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C81" w:rsidRPr="00176BAE" w:rsidRDefault="006C70ED">
      <w:pPr>
        <w:ind w:right="-720"/>
        <w:rPr>
          <w:lang w:val="es-ES_tradnl"/>
        </w:rPr>
      </w:pPr>
      <w:bookmarkStart w:id="0" w:name="_GoBack"/>
      <w:bookmarkEnd w:id="0"/>
    </w:p>
    <w:p w:rsidR="00F74C81" w:rsidRPr="00176BAE" w:rsidRDefault="006C70ED">
      <w:pPr>
        <w:pStyle w:val="Ttulo"/>
        <w:spacing w:before="60"/>
        <w:ind w:right="-720"/>
        <w:rPr>
          <w:lang w:val="es-ES_tradnl"/>
        </w:rPr>
      </w:pPr>
      <w:r w:rsidRPr="00176BAE">
        <w:rPr>
          <w:lang w:val="es-ES_tradnl"/>
        </w:rPr>
        <w:t>RESOLUCIÓN DEL PRESIDENTE DE LA</w:t>
      </w:r>
    </w:p>
    <w:p w:rsidR="00F74C81" w:rsidRPr="00176BAE" w:rsidRDefault="006C70ED">
      <w:pPr>
        <w:ind w:right="-720"/>
        <w:jc w:val="center"/>
        <w:rPr>
          <w:lang w:val="es-ES_tradnl"/>
        </w:rPr>
      </w:pPr>
      <w:r w:rsidRPr="00176BAE">
        <w:rPr>
          <w:rFonts w:ascii="Verdana" w:hAnsi="Verdana"/>
          <w:b/>
          <w:smallCaps/>
          <w:sz w:val="20"/>
          <w:lang w:val="es-ES_tradnl"/>
        </w:rPr>
        <w:t>CORTE INTERAMERICANA DE DERECHOS HUMANOS</w:t>
      </w:r>
    </w:p>
    <w:p w:rsidR="00F74C81" w:rsidRPr="00176BAE" w:rsidRDefault="006C70ED">
      <w:pPr>
        <w:spacing w:before="60"/>
        <w:ind w:right="-720"/>
        <w:rPr>
          <w:rFonts w:ascii="Verdana" w:hAnsi="Verdana"/>
          <w:b/>
          <w:smallCaps/>
          <w:sz w:val="20"/>
          <w:lang w:val="es-ES_tradnl"/>
        </w:rPr>
      </w:pPr>
    </w:p>
    <w:p w:rsidR="00F74C81" w:rsidRPr="00176BAE" w:rsidRDefault="006C70ED">
      <w:pPr>
        <w:spacing w:before="60"/>
        <w:ind w:right="-720"/>
        <w:jc w:val="center"/>
        <w:rPr>
          <w:rFonts w:ascii="Verdana" w:hAnsi="Verdana"/>
          <w:b/>
          <w:smallCaps/>
          <w:sz w:val="20"/>
          <w:lang w:val="es-ES_tradnl"/>
        </w:rPr>
      </w:pPr>
    </w:p>
    <w:p w:rsidR="00F74C81" w:rsidRPr="00176BAE" w:rsidRDefault="006C70ED">
      <w:pPr>
        <w:spacing w:before="60"/>
        <w:ind w:right="-720"/>
        <w:jc w:val="center"/>
        <w:rPr>
          <w:rFonts w:ascii="Verdana" w:hAnsi="Verdana"/>
          <w:b/>
          <w:smallCaps/>
          <w:sz w:val="20"/>
          <w:lang w:val="es-ES_tradnl"/>
        </w:rPr>
      </w:pPr>
    </w:p>
    <w:p w:rsidR="00F74C81" w:rsidRPr="00176BAE" w:rsidRDefault="006C70ED">
      <w:pPr>
        <w:spacing w:before="60"/>
        <w:ind w:right="-720"/>
        <w:jc w:val="center"/>
        <w:rPr>
          <w:rFonts w:ascii="Verdana" w:hAnsi="Verdana"/>
          <w:b/>
          <w:smallCaps/>
          <w:sz w:val="20"/>
          <w:lang w:val="es-ES_tradnl"/>
        </w:rPr>
      </w:pPr>
      <w:r w:rsidRPr="00176BAE">
        <w:rPr>
          <w:rFonts w:ascii="Verdana" w:hAnsi="Verdana"/>
          <w:b/>
          <w:smallCaps/>
          <w:sz w:val="20"/>
          <w:lang w:val="es-ES_tradnl"/>
        </w:rPr>
        <w:t>DE 31 DE MAYO DE 2006</w:t>
      </w:r>
    </w:p>
    <w:p w:rsidR="00F74C81" w:rsidRPr="00176BAE" w:rsidRDefault="006C70ED">
      <w:pPr>
        <w:spacing w:before="60"/>
        <w:ind w:right="-720"/>
        <w:jc w:val="center"/>
        <w:rPr>
          <w:rFonts w:ascii="Verdana" w:hAnsi="Verdana"/>
          <w:b/>
          <w:smallCaps/>
          <w:sz w:val="20"/>
          <w:lang w:val="es-ES_tradnl"/>
        </w:rPr>
      </w:pPr>
    </w:p>
    <w:p w:rsidR="00F74C81" w:rsidRPr="00176BAE" w:rsidRDefault="006C70ED">
      <w:pPr>
        <w:spacing w:before="60"/>
        <w:ind w:right="-720"/>
        <w:jc w:val="center"/>
        <w:rPr>
          <w:rFonts w:ascii="Verdana" w:hAnsi="Verdana"/>
          <w:b/>
          <w:smallCaps/>
          <w:sz w:val="20"/>
          <w:lang w:val="es-ES_tradnl"/>
        </w:rPr>
      </w:pPr>
      <w:r w:rsidRPr="00176BAE">
        <w:rPr>
          <w:rFonts w:ascii="Verdana" w:hAnsi="Verdana"/>
          <w:b/>
          <w:smallCaps/>
          <w:sz w:val="20"/>
          <w:lang w:val="es-ES_tradnl"/>
        </w:rPr>
        <w:t>SOLICITUD DE MEDIDAS PROVISIONALES RESPECTO DEL PERÚ</w:t>
      </w:r>
    </w:p>
    <w:p w:rsidR="00F74C81" w:rsidRPr="00176BAE" w:rsidRDefault="006C70ED">
      <w:pPr>
        <w:spacing w:before="60"/>
        <w:ind w:right="-720"/>
        <w:jc w:val="center"/>
        <w:rPr>
          <w:rFonts w:ascii="Verdana" w:hAnsi="Verdana"/>
          <w:b/>
          <w:smallCaps/>
          <w:sz w:val="20"/>
          <w:lang w:val="es-ES_tradnl"/>
        </w:rPr>
      </w:pPr>
    </w:p>
    <w:p w:rsidR="00F74C81" w:rsidRPr="00176BAE" w:rsidRDefault="006C70ED">
      <w:pPr>
        <w:pStyle w:val="Ttulo1"/>
        <w:spacing w:before="60"/>
        <w:ind w:right="-720"/>
        <w:rPr>
          <w:b w:val="0"/>
          <w:lang w:val="es-ES_tradnl"/>
        </w:rPr>
      </w:pPr>
      <w:r w:rsidRPr="00176BAE">
        <w:rPr>
          <w:lang w:val="es-ES_tradnl"/>
        </w:rPr>
        <w:t>CASO JUÁREZ CRUZZAT Y OTROS</w:t>
      </w:r>
    </w:p>
    <w:p w:rsidR="00F74C81" w:rsidRPr="00176BAE" w:rsidRDefault="006C70ED">
      <w:pPr>
        <w:spacing w:before="60"/>
        <w:ind w:right="-720"/>
        <w:rPr>
          <w:rFonts w:ascii="Verdana" w:hAnsi="Verdana"/>
          <w:b/>
          <w:sz w:val="20"/>
          <w:lang w:val="es-ES_tradnl"/>
        </w:rPr>
      </w:pPr>
    </w:p>
    <w:p w:rsidR="00F74C81" w:rsidRPr="00176BAE" w:rsidRDefault="006C70ED">
      <w:pPr>
        <w:spacing w:before="60"/>
        <w:ind w:right="-720"/>
        <w:rPr>
          <w:rFonts w:ascii="Verdana" w:hAnsi="Verdana"/>
          <w:b/>
          <w:sz w:val="20"/>
          <w:lang w:val="es-ES_tradnl"/>
        </w:rPr>
      </w:pPr>
    </w:p>
    <w:p w:rsidR="00F74C81" w:rsidRPr="00176BAE" w:rsidRDefault="006C70ED">
      <w:pPr>
        <w:spacing w:before="60"/>
        <w:ind w:right="-720"/>
        <w:rPr>
          <w:rFonts w:ascii="Verdana" w:hAnsi="Verdana"/>
          <w:b/>
          <w:sz w:val="20"/>
          <w:lang w:val="es-ES_tradnl"/>
        </w:rPr>
      </w:pPr>
    </w:p>
    <w:p w:rsidR="00F74C81" w:rsidRPr="00176BAE" w:rsidRDefault="006C70ED">
      <w:pPr>
        <w:spacing w:before="60"/>
        <w:ind w:right="-720"/>
        <w:rPr>
          <w:rFonts w:ascii="Verdana" w:hAnsi="Verdana"/>
          <w:b/>
          <w:sz w:val="20"/>
          <w:lang w:val="es-ES_tradnl"/>
        </w:rPr>
      </w:pPr>
    </w:p>
    <w:p w:rsidR="00F74C81" w:rsidRPr="00176BAE" w:rsidRDefault="006C70ED">
      <w:pPr>
        <w:spacing w:before="60"/>
        <w:ind w:right="-720"/>
        <w:rPr>
          <w:rFonts w:ascii="Verdana" w:hAnsi="Verdana"/>
          <w:b/>
          <w:sz w:val="20"/>
          <w:lang w:val="es-ES_tradnl"/>
        </w:rPr>
      </w:pPr>
    </w:p>
    <w:p w:rsidR="00F74C81" w:rsidRPr="00176BAE" w:rsidRDefault="006C70ED">
      <w:pPr>
        <w:spacing w:before="60"/>
        <w:ind w:right="-720"/>
        <w:rPr>
          <w:rFonts w:ascii="Verdana" w:hAnsi="Verdana"/>
          <w:b/>
          <w:sz w:val="20"/>
          <w:lang w:val="es-ES_tradnl"/>
        </w:rPr>
      </w:pPr>
      <w:r w:rsidRPr="00176BAE">
        <w:rPr>
          <w:rFonts w:ascii="Verdana" w:hAnsi="Verdana"/>
          <w:b/>
          <w:sz w:val="20"/>
          <w:lang w:val="es-ES_tradnl"/>
        </w:rPr>
        <w:t>VISTOS:</w:t>
      </w:r>
    </w:p>
    <w:p w:rsidR="00F74C81" w:rsidRPr="00176BAE" w:rsidRDefault="006C70ED">
      <w:pPr>
        <w:spacing w:before="60"/>
        <w:ind w:right="-720"/>
        <w:rPr>
          <w:rFonts w:ascii="Verdana" w:hAnsi="Verdana"/>
          <w:b/>
          <w:sz w:val="20"/>
          <w:lang w:val="es-ES_tradnl"/>
        </w:rPr>
      </w:pPr>
    </w:p>
    <w:p w:rsidR="00F74C81" w:rsidRPr="00176BAE" w:rsidRDefault="006C70ED">
      <w:pPr>
        <w:ind w:right="-720"/>
        <w:jc w:val="both"/>
        <w:rPr>
          <w:rFonts w:ascii="Verdana" w:hAnsi="Verdana"/>
          <w:sz w:val="20"/>
          <w:lang w:val="es-ES_tradnl"/>
        </w:rPr>
      </w:pPr>
      <w:r w:rsidRPr="00176BAE">
        <w:rPr>
          <w:rFonts w:ascii="Verdana" w:hAnsi="Verdana"/>
          <w:sz w:val="20"/>
          <w:lang w:val="es-ES_tradnl"/>
        </w:rPr>
        <w:t>1.</w:t>
      </w:r>
      <w:r w:rsidRPr="00176BAE">
        <w:rPr>
          <w:rFonts w:ascii="Verdana" w:hAnsi="Verdana"/>
          <w:sz w:val="20"/>
          <w:lang w:val="es-ES_tradnl"/>
        </w:rPr>
        <w:tab/>
        <w:t>Los dos escritos de 2 de mayo de 2006 y sus anexos, media</w:t>
      </w:r>
      <w:r w:rsidRPr="00176BAE">
        <w:rPr>
          <w:rFonts w:ascii="Verdana" w:hAnsi="Verdana"/>
          <w:sz w:val="20"/>
          <w:lang w:val="es-ES_tradnl"/>
        </w:rPr>
        <w:t>nte los cuales el señor Douglass Cassel, quien es uno de los representantes de las presuntas víctimas y sus familiares en el caso Juárez Cruzatt y otros, pero no es el interviniente común de los representantes</w:t>
      </w:r>
      <w:r w:rsidRPr="00176BAE">
        <w:rPr>
          <w:rStyle w:val="Refdenotaalpie"/>
          <w:rFonts w:ascii="Verdana" w:hAnsi="Verdana"/>
          <w:sz w:val="20"/>
          <w:lang w:val="es-ES_tradnl"/>
        </w:rPr>
        <w:footnoteReference w:id="1"/>
      </w:r>
      <w:r w:rsidRPr="00176BAE">
        <w:rPr>
          <w:rFonts w:ascii="Verdana" w:hAnsi="Verdana"/>
          <w:sz w:val="20"/>
          <w:lang w:val="es-ES_tradnl"/>
        </w:rPr>
        <w:t>, presentó una solicitud de medidas provisiona</w:t>
      </w:r>
      <w:r w:rsidRPr="00176BAE">
        <w:rPr>
          <w:rFonts w:ascii="Verdana" w:hAnsi="Verdana"/>
          <w:sz w:val="20"/>
          <w:lang w:val="es-ES_tradnl"/>
        </w:rPr>
        <w:t xml:space="preserve">les a la Corte.  En dichos escritos no indicó expresamente a favor de quién o quiénes </w:t>
      </w:r>
      <w:proofErr w:type="gramStart"/>
      <w:r w:rsidRPr="00176BAE">
        <w:rPr>
          <w:rFonts w:ascii="Verdana" w:hAnsi="Verdana"/>
          <w:sz w:val="20"/>
          <w:lang w:val="es-ES_tradnl"/>
        </w:rPr>
        <w:t>solicita</w:t>
      </w:r>
      <w:proofErr w:type="gramEnd"/>
      <w:r w:rsidRPr="00176BAE">
        <w:rPr>
          <w:rFonts w:ascii="Verdana" w:hAnsi="Verdana"/>
          <w:sz w:val="20"/>
          <w:lang w:val="es-ES_tradnl"/>
        </w:rPr>
        <w:t xml:space="preserve"> las medidas, ni señaló expresamente cuáles serían los derechos que deben ser protegidos. </w:t>
      </w:r>
    </w:p>
    <w:p w:rsidR="00F74C81" w:rsidRPr="00176BAE" w:rsidRDefault="006C70ED">
      <w:pPr>
        <w:ind w:right="-720"/>
        <w:jc w:val="both"/>
        <w:rPr>
          <w:rFonts w:ascii="Verdana" w:hAnsi="Verdana"/>
          <w:sz w:val="20"/>
          <w:lang w:val="es-ES_tradnl"/>
        </w:rPr>
      </w:pPr>
    </w:p>
    <w:p w:rsidR="00F74C81" w:rsidRPr="00176BAE" w:rsidRDefault="006C70ED">
      <w:pPr>
        <w:ind w:right="-720"/>
        <w:jc w:val="both"/>
        <w:rPr>
          <w:rFonts w:ascii="Verdana" w:hAnsi="Verdana"/>
          <w:sz w:val="20"/>
          <w:lang w:val="es-ES_tradnl"/>
        </w:rPr>
      </w:pPr>
      <w:r w:rsidRPr="00176BAE">
        <w:rPr>
          <w:rFonts w:ascii="Verdana" w:hAnsi="Verdana"/>
          <w:sz w:val="20"/>
          <w:lang w:val="es-ES_tradnl"/>
        </w:rPr>
        <w:t>2.</w:t>
      </w:r>
      <w:r w:rsidRPr="00176BAE">
        <w:rPr>
          <w:rFonts w:ascii="Verdana" w:hAnsi="Verdana"/>
          <w:sz w:val="20"/>
          <w:lang w:val="es-ES_tradnl"/>
        </w:rPr>
        <w:tab/>
        <w:t>Los supuestos hechos y argumentos en los que se fundamentó el señor</w:t>
      </w:r>
      <w:r w:rsidRPr="00176BAE">
        <w:rPr>
          <w:rFonts w:ascii="Verdana" w:hAnsi="Verdana"/>
          <w:sz w:val="20"/>
          <w:lang w:val="es-ES_tradnl"/>
        </w:rPr>
        <w:t xml:space="preserve"> Douglass Cassel en su solicitud de medidas provisionales (</w:t>
      </w:r>
      <w:r w:rsidRPr="00176BAE">
        <w:rPr>
          <w:rFonts w:ascii="Verdana" w:hAnsi="Verdana"/>
          <w:i/>
          <w:sz w:val="20"/>
          <w:lang w:val="es-ES_tradnl"/>
        </w:rPr>
        <w:t>supra</w:t>
      </w:r>
      <w:r w:rsidRPr="00176BAE">
        <w:rPr>
          <w:rFonts w:ascii="Verdana" w:hAnsi="Verdana"/>
          <w:sz w:val="20"/>
          <w:lang w:val="es-ES_tradnl"/>
        </w:rPr>
        <w:t xml:space="preserve"> Visto 1), los cuales se resumen a continuación: </w:t>
      </w:r>
    </w:p>
    <w:p w:rsidR="00F74C81" w:rsidRPr="00176BAE" w:rsidRDefault="006C70ED">
      <w:pPr>
        <w:ind w:right="-720"/>
        <w:rPr>
          <w:rFonts w:ascii="Verdana" w:hAnsi="Verdana"/>
          <w:sz w:val="20"/>
          <w:lang w:val="es-ES_tradnl"/>
        </w:rPr>
      </w:pPr>
    </w:p>
    <w:p w:rsidR="00F74C81" w:rsidRPr="00176BAE" w:rsidRDefault="006C70ED">
      <w:pPr>
        <w:pStyle w:val="Textoindependiente"/>
        <w:numPr>
          <w:ilvl w:val="0"/>
          <w:numId w:val="2"/>
        </w:numPr>
        <w:tabs>
          <w:tab w:val="clear" w:pos="1040"/>
          <w:tab w:val="left" w:pos="680"/>
          <w:tab w:val="num" w:pos="720"/>
          <w:tab w:val="num" w:pos="1440"/>
        </w:tabs>
        <w:ind w:left="720" w:right="-720" w:firstLine="0"/>
        <w:rPr>
          <w:rFonts w:ascii="Verdana" w:hAnsi="Verdana"/>
          <w:sz w:val="20"/>
        </w:rPr>
      </w:pPr>
      <w:r w:rsidRPr="00176BAE">
        <w:rPr>
          <w:rFonts w:ascii="Verdana" w:hAnsi="Verdana"/>
          <w:sz w:val="20"/>
        </w:rPr>
        <w:t xml:space="preserve"> el 24 de abril de 2006 la </w:t>
      </w:r>
      <w:r w:rsidRPr="00176BAE" w:rsidDel="00FA2763">
        <w:rPr>
          <w:rFonts w:ascii="Verdana" w:hAnsi="Verdana"/>
          <w:sz w:val="20"/>
        </w:rPr>
        <w:t>s</w:t>
      </w:r>
      <w:r w:rsidRPr="00176BAE">
        <w:rPr>
          <w:rFonts w:ascii="Verdana" w:hAnsi="Verdana"/>
          <w:sz w:val="20"/>
        </w:rPr>
        <w:t>eñora Madeleine Valle Rivera</w:t>
      </w:r>
      <w:r w:rsidRPr="00176BAE">
        <w:rPr>
          <w:rStyle w:val="Refdenotaalpie"/>
          <w:rFonts w:ascii="Verdana" w:hAnsi="Verdana"/>
          <w:sz w:val="20"/>
        </w:rPr>
        <w:footnoteReference w:id="2"/>
      </w:r>
      <w:r w:rsidRPr="00176BAE">
        <w:rPr>
          <w:rFonts w:ascii="Verdana" w:hAnsi="Verdana"/>
          <w:sz w:val="20"/>
        </w:rPr>
        <w:t>, Presidenta de la Asociación de Familiares Víctimas de Genocidio y Desaparecidos (e</w:t>
      </w:r>
      <w:r w:rsidRPr="00176BAE">
        <w:rPr>
          <w:rFonts w:ascii="Verdana" w:hAnsi="Verdana"/>
          <w:sz w:val="20"/>
        </w:rPr>
        <w:t xml:space="preserve">n adelante “AFADEVIG”) y testigo propuesta por el “Grupo Canto Grande” para declarar ante la Corte Interamericana, “fue asaltad[a] por dos hombres desconocidos, en su propia </w:t>
      </w:r>
      <w:proofErr w:type="gramStart"/>
      <w:r w:rsidRPr="00176BAE">
        <w:rPr>
          <w:rFonts w:ascii="Verdana" w:hAnsi="Verdana"/>
          <w:sz w:val="20"/>
        </w:rPr>
        <w:t>casa[</w:t>
      </w:r>
      <w:proofErr w:type="gramEnd"/>
      <w:r w:rsidRPr="00176BAE">
        <w:rPr>
          <w:rFonts w:ascii="Verdana" w:hAnsi="Verdana"/>
          <w:sz w:val="20"/>
        </w:rPr>
        <w:t xml:space="preserve">…]. La golpearon fuertemente en la cabeza con algún objeto pesado, rompieron </w:t>
      </w:r>
      <w:r w:rsidRPr="00176BAE">
        <w:rPr>
          <w:rFonts w:ascii="Verdana" w:hAnsi="Verdana"/>
          <w:sz w:val="20"/>
        </w:rPr>
        <w:t xml:space="preserve">sus lentes y la mordieron en el brazo, para lograr quitarle el teléfono celular. […]”  Dicho teléfono contiene los números de otros miembros de la referida Asociación; </w:t>
      </w:r>
    </w:p>
    <w:p w:rsidR="00F74C81" w:rsidRPr="00176BAE" w:rsidRDefault="006C70ED">
      <w:pPr>
        <w:pStyle w:val="Textoindependiente"/>
        <w:tabs>
          <w:tab w:val="left" w:pos="680"/>
          <w:tab w:val="num" w:pos="1440"/>
        </w:tabs>
        <w:ind w:left="720" w:right="-720"/>
        <w:rPr>
          <w:rFonts w:ascii="Verdana" w:hAnsi="Verdana"/>
          <w:sz w:val="20"/>
        </w:rPr>
      </w:pPr>
    </w:p>
    <w:p w:rsidR="00F74C81" w:rsidRPr="00176BAE" w:rsidRDefault="006C70ED">
      <w:pPr>
        <w:pStyle w:val="Textoindependiente"/>
        <w:numPr>
          <w:ilvl w:val="0"/>
          <w:numId w:val="2"/>
        </w:numPr>
        <w:tabs>
          <w:tab w:val="clear" w:pos="1040"/>
          <w:tab w:val="left" w:pos="680"/>
          <w:tab w:val="num" w:pos="720"/>
          <w:tab w:val="num" w:pos="1440"/>
        </w:tabs>
        <w:ind w:left="720" w:right="-720" w:firstLine="0"/>
        <w:rPr>
          <w:rFonts w:ascii="Verdana" w:hAnsi="Verdana"/>
          <w:sz w:val="20"/>
        </w:rPr>
      </w:pPr>
      <w:r w:rsidRPr="00176BAE">
        <w:rPr>
          <w:rFonts w:ascii="Verdana" w:hAnsi="Verdana"/>
          <w:sz w:val="20"/>
        </w:rPr>
        <w:t>“cuando la señora Valle Rivera denunció [a los dos individuos por] el asalto [ante] la</w:t>
      </w:r>
      <w:r w:rsidRPr="00176BAE">
        <w:rPr>
          <w:rFonts w:ascii="Verdana" w:hAnsi="Verdana"/>
          <w:sz w:val="20"/>
        </w:rPr>
        <w:t xml:space="preserve"> policía de la </w:t>
      </w:r>
      <w:proofErr w:type="gramStart"/>
      <w:r w:rsidRPr="00176BAE">
        <w:rPr>
          <w:rFonts w:ascii="Verdana" w:hAnsi="Verdana"/>
          <w:sz w:val="20"/>
        </w:rPr>
        <w:t>vecindad[</w:t>
      </w:r>
      <w:proofErr w:type="gramEnd"/>
      <w:r w:rsidRPr="00176BAE">
        <w:rPr>
          <w:rFonts w:ascii="Verdana" w:hAnsi="Verdana"/>
          <w:sz w:val="20"/>
        </w:rPr>
        <w:t xml:space="preserve">, en la Comisaría de Santa Isabel en el Distrito de San Juan de Lurigancho, Lima], [ésta] se neg[ó] a investigar” aún cuando la señora </w:t>
      </w:r>
      <w:r w:rsidRPr="00176BAE">
        <w:rPr>
          <w:rFonts w:ascii="Verdana" w:hAnsi="Verdana"/>
          <w:sz w:val="20"/>
        </w:rPr>
        <w:lastRenderedPageBreak/>
        <w:t>Valle Rivera indicó a la Policía que podría identificar a sus atacantes y les indicó la dirección</w:t>
      </w:r>
      <w:r w:rsidRPr="00176BAE">
        <w:rPr>
          <w:rFonts w:ascii="Verdana" w:hAnsi="Verdana"/>
          <w:sz w:val="20"/>
        </w:rPr>
        <w:t xml:space="preserve"> de la casa desde donde los vecinos habían visto a los dos hombres observándola. Dicha denuncia se transfirió a la Sección de Investigación;</w:t>
      </w:r>
    </w:p>
    <w:p w:rsidR="00F74C81" w:rsidRPr="00176BAE" w:rsidRDefault="006C70ED">
      <w:pPr>
        <w:pStyle w:val="Textoindependiente"/>
        <w:tabs>
          <w:tab w:val="left" w:pos="680"/>
        </w:tabs>
        <w:ind w:right="-720"/>
        <w:rPr>
          <w:rFonts w:ascii="Verdana" w:hAnsi="Verdana"/>
          <w:sz w:val="20"/>
        </w:rPr>
      </w:pPr>
    </w:p>
    <w:p w:rsidR="00F74C81" w:rsidRPr="00176BAE" w:rsidRDefault="006C70ED">
      <w:pPr>
        <w:pStyle w:val="Textoindependiente"/>
        <w:numPr>
          <w:ilvl w:val="0"/>
          <w:numId w:val="2"/>
        </w:numPr>
        <w:tabs>
          <w:tab w:val="clear" w:pos="1040"/>
          <w:tab w:val="left" w:pos="720"/>
          <w:tab w:val="num" w:pos="1440"/>
        </w:tabs>
        <w:ind w:left="720" w:right="-720" w:firstLine="0"/>
        <w:rPr>
          <w:rFonts w:ascii="Verdana" w:hAnsi="Verdana"/>
          <w:sz w:val="20"/>
        </w:rPr>
      </w:pPr>
      <w:r w:rsidRPr="00176BAE">
        <w:rPr>
          <w:rFonts w:ascii="Verdana" w:hAnsi="Verdana"/>
          <w:sz w:val="20"/>
        </w:rPr>
        <w:t>en los anexos a la solicitud se indica que la señora Sabina Astete</w:t>
      </w:r>
      <w:r w:rsidRPr="00176BAE">
        <w:rPr>
          <w:rStyle w:val="Refdenotaalpie"/>
          <w:rFonts w:ascii="Verdana" w:hAnsi="Verdana"/>
          <w:sz w:val="20"/>
        </w:rPr>
        <w:footnoteReference w:id="3"/>
      </w:r>
      <w:r w:rsidRPr="00176BAE">
        <w:rPr>
          <w:rFonts w:ascii="Verdana" w:hAnsi="Verdana"/>
          <w:sz w:val="20"/>
        </w:rPr>
        <w:t xml:space="preserve"> realizó una llamada telefónica a la Policía y </w:t>
      </w:r>
      <w:r w:rsidRPr="00176BAE">
        <w:rPr>
          <w:rFonts w:ascii="Verdana" w:hAnsi="Verdana"/>
          <w:sz w:val="20"/>
        </w:rPr>
        <w:t xml:space="preserve">a los investigadores y les indicó que sometería a la Comisión o a la Corte una solicitud de “medidas cautelares” a favor de la señora Valle Rivera, para que cualquiera de los referidos órganos “forzaran” al Perú a llevar a cabo una investigación cuidadosa </w:t>
      </w:r>
      <w:r w:rsidRPr="00176BAE">
        <w:rPr>
          <w:rFonts w:ascii="Verdana" w:hAnsi="Verdana"/>
          <w:sz w:val="20"/>
        </w:rPr>
        <w:t xml:space="preserve">del ataque sufrido por dicha señora, dado que es Presidenta de la Asociación de Familiares Víctimas de Genocidio y Desaparecidos y testigo de ejecuciones extrajudiciales. Asimismo, indicó que la pasividad de la Policía para investigar solo demostraría que </w:t>
      </w:r>
      <w:r w:rsidRPr="00176BAE">
        <w:rPr>
          <w:rFonts w:ascii="Verdana" w:hAnsi="Verdana"/>
          <w:sz w:val="20"/>
        </w:rPr>
        <w:t>estarían del lado de los atacantes. Solamente con posterioridad a que la señora Astete realizara la mencionada llamada, la señora Valle Ribera pudo obtener de la Policía una copia del documento titulado “Denuncia por faltas”, registrado como “DD-FALTAS 599</w:t>
      </w:r>
      <w:r w:rsidRPr="00176BAE">
        <w:rPr>
          <w:rFonts w:ascii="Verdana" w:hAnsi="Verdana"/>
          <w:sz w:val="20"/>
        </w:rPr>
        <w:t>-Hora: 13:10-Día 24-ABR-2006”</w:t>
      </w:r>
      <w:r w:rsidRPr="00176BAE" w:rsidDel="005941D2">
        <w:rPr>
          <w:rFonts w:ascii="Verdana" w:hAnsi="Verdana"/>
          <w:sz w:val="20"/>
        </w:rPr>
        <w:t>;</w:t>
      </w:r>
      <w:r w:rsidRPr="00176BAE">
        <w:rPr>
          <w:rFonts w:ascii="Verdana" w:hAnsi="Verdana"/>
          <w:b/>
          <w:sz w:val="20"/>
        </w:rPr>
        <w:t xml:space="preserve"> </w:t>
      </w:r>
    </w:p>
    <w:p w:rsidR="00F74C81" w:rsidRPr="00176BAE" w:rsidRDefault="006C70ED">
      <w:pPr>
        <w:pStyle w:val="Textoindependiente"/>
        <w:tabs>
          <w:tab w:val="left" w:pos="680"/>
        </w:tabs>
        <w:ind w:left="720" w:right="-720"/>
        <w:rPr>
          <w:rFonts w:ascii="Verdana" w:hAnsi="Verdana"/>
          <w:sz w:val="20"/>
        </w:rPr>
      </w:pPr>
    </w:p>
    <w:p w:rsidR="00F74C81" w:rsidRPr="00176BAE" w:rsidRDefault="006C70ED">
      <w:pPr>
        <w:pStyle w:val="Textoindependiente"/>
        <w:tabs>
          <w:tab w:val="left" w:pos="810"/>
        </w:tabs>
        <w:ind w:left="720" w:right="-720"/>
        <w:rPr>
          <w:rFonts w:ascii="Verdana" w:hAnsi="Verdana"/>
          <w:sz w:val="20"/>
        </w:rPr>
      </w:pPr>
      <w:r w:rsidRPr="00176BAE">
        <w:rPr>
          <w:rFonts w:ascii="Verdana" w:hAnsi="Verdana"/>
          <w:sz w:val="20"/>
        </w:rPr>
        <w:t>d)</w:t>
      </w:r>
      <w:r w:rsidRPr="00176BAE">
        <w:rPr>
          <w:rFonts w:ascii="Verdana" w:hAnsi="Verdana"/>
          <w:sz w:val="20"/>
        </w:rPr>
        <w:tab/>
        <w:t>en los anexos a la solicitud se indica que el 27 de abril de 2006 la señora Valle Rivera presentó una denuncia ante la Defensoría del Pueblo, dada la falta de investigación del referido ataque por parte de la Policía; y</w:t>
      </w:r>
      <w:r w:rsidRPr="00176BAE">
        <w:rPr>
          <w:rFonts w:ascii="Verdana" w:hAnsi="Verdana"/>
          <w:b/>
          <w:sz w:val="20"/>
        </w:rPr>
        <w:t xml:space="preserve"> </w:t>
      </w:r>
    </w:p>
    <w:p w:rsidR="00F74C81" w:rsidRPr="00176BAE" w:rsidRDefault="006C70ED">
      <w:pPr>
        <w:pStyle w:val="Textoindependiente"/>
        <w:tabs>
          <w:tab w:val="left" w:pos="680"/>
        </w:tabs>
        <w:ind w:right="-720"/>
        <w:rPr>
          <w:rFonts w:ascii="Verdana" w:hAnsi="Verdana"/>
          <w:sz w:val="20"/>
        </w:rPr>
      </w:pPr>
    </w:p>
    <w:p w:rsidR="00F74C81" w:rsidRPr="00176BAE" w:rsidRDefault="006C70ED">
      <w:pPr>
        <w:pStyle w:val="Textoindependiente"/>
        <w:tabs>
          <w:tab w:val="left" w:pos="720"/>
        </w:tabs>
        <w:ind w:left="720" w:right="-720" w:hanging="360"/>
        <w:rPr>
          <w:rFonts w:ascii="Verdana" w:hAnsi="Verdana"/>
          <w:sz w:val="20"/>
        </w:rPr>
      </w:pPr>
      <w:r w:rsidRPr="00176BAE">
        <w:rPr>
          <w:rFonts w:ascii="Verdana" w:hAnsi="Verdana"/>
          <w:sz w:val="20"/>
        </w:rPr>
        <w:tab/>
        <w:t>e)</w:t>
      </w:r>
      <w:r w:rsidRPr="00176BAE">
        <w:rPr>
          <w:rFonts w:ascii="Verdana" w:hAnsi="Verdana"/>
          <w:sz w:val="20"/>
        </w:rPr>
        <w:tab/>
        <w:t>en los anexos a la solicitud se indica que el 7 de marzo de 2006 la AFADEVIG denunció ante la Defensoría del Pueblo el hostigamiento que la Policía realizó a miembros de dicha asociación mientras estaban llevando a cabo una de sus reuniones habituale</w:t>
      </w:r>
      <w:r w:rsidRPr="00176BAE">
        <w:rPr>
          <w:rFonts w:ascii="Verdana" w:hAnsi="Verdana"/>
          <w:sz w:val="20"/>
        </w:rPr>
        <w:t>s en casa de uno de ellos.  La Policía sostenía que AFADEVIG necesitaba permiso para poder tener tales reuniones. Dicha actuación por parte de la Policía es ilegal, dado que la reunión se estaba llevando a cabo en la casa de uno de los miembros de la refer</w:t>
      </w:r>
      <w:r w:rsidRPr="00176BAE">
        <w:rPr>
          <w:rFonts w:ascii="Verdana" w:hAnsi="Verdana"/>
          <w:sz w:val="20"/>
        </w:rPr>
        <w:t xml:space="preserve">ida asociación y los ciudadanos peruanos no necesitan permiso para ello. El 16 de marzo de 2006 la Defensoría solicitó información a la Policía, pero ésta no remitió información alguna. La Defensoría debería haber remitido otra solicitud de información el </w:t>
      </w:r>
      <w:r w:rsidRPr="00176BAE">
        <w:rPr>
          <w:rFonts w:ascii="Verdana" w:hAnsi="Verdana"/>
          <w:sz w:val="20"/>
        </w:rPr>
        <w:t xml:space="preserve">16 de abril de 2006, pero no lo hizo. </w:t>
      </w:r>
    </w:p>
    <w:p w:rsidR="00F74C81" w:rsidRPr="00176BAE" w:rsidRDefault="006C70ED">
      <w:pPr>
        <w:pStyle w:val="Textoindependiente"/>
        <w:tabs>
          <w:tab w:val="left" w:pos="680"/>
        </w:tabs>
        <w:ind w:left="720" w:right="-720"/>
        <w:rPr>
          <w:rFonts w:ascii="Verdana" w:hAnsi="Verdana"/>
          <w:sz w:val="20"/>
        </w:rPr>
      </w:pPr>
    </w:p>
    <w:p w:rsidR="00F74C81" w:rsidRPr="00176BAE" w:rsidRDefault="006C70ED">
      <w:pPr>
        <w:pStyle w:val="Textoindependiente"/>
        <w:tabs>
          <w:tab w:val="left" w:pos="680"/>
        </w:tabs>
        <w:ind w:left="680" w:right="-720" w:hanging="680"/>
        <w:rPr>
          <w:rFonts w:ascii="Verdana" w:hAnsi="Verdana"/>
          <w:sz w:val="20"/>
        </w:rPr>
      </w:pPr>
    </w:p>
    <w:p w:rsidR="00F74C81" w:rsidRPr="00176BAE" w:rsidRDefault="006C70ED">
      <w:pPr>
        <w:ind w:right="-720"/>
        <w:jc w:val="both"/>
        <w:rPr>
          <w:rFonts w:ascii="Verdana" w:hAnsi="Verdana"/>
          <w:sz w:val="20"/>
          <w:lang w:val="es-ES_tradnl"/>
        </w:rPr>
      </w:pPr>
      <w:r w:rsidRPr="00176BAE">
        <w:rPr>
          <w:rFonts w:ascii="Verdana" w:hAnsi="Verdana"/>
          <w:sz w:val="20"/>
          <w:lang w:val="es-ES_tradnl"/>
        </w:rPr>
        <w:t>3.</w:t>
      </w:r>
      <w:r w:rsidRPr="00176BAE">
        <w:rPr>
          <w:rFonts w:ascii="Verdana" w:hAnsi="Verdana"/>
          <w:sz w:val="20"/>
          <w:lang w:val="es-ES_tradnl"/>
        </w:rPr>
        <w:tab/>
        <w:t>A la luz de lo anterior el representante Douglass Cassell solicitó a la Corte que “decret[e] las siguientes medidas provisionales”:</w:t>
      </w:r>
    </w:p>
    <w:p w:rsidR="00F74C81" w:rsidRPr="00176BAE" w:rsidRDefault="006C70ED">
      <w:pPr>
        <w:widowControl w:val="0"/>
        <w:tabs>
          <w:tab w:val="num" w:pos="0"/>
        </w:tabs>
        <w:jc w:val="both"/>
        <w:rPr>
          <w:rFonts w:ascii="Verdana" w:hAnsi="Verdana"/>
          <w:sz w:val="18"/>
          <w:lang w:val="es-ES_tradnl"/>
        </w:rPr>
      </w:pPr>
    </w:p>
    <w:p w:rsidR="00F74C81" w:rsidRPr="00176BAE" w:rsidRDefault="006C70ED">
      <w:pPr>
        <w:widowControl w:val="0"/>
        <w:numPr>
          <w:ilvl w:val="0"/>
          <w:numId w:val="1"/>
        </w:numPr>
        <w:ind w:left="720" w:firstLine="0"/>
        <w:jc w:val="both"/>
        <w:rPr>
          <w:rFonts w:ascii="Verdana" w:hAnsi="Verdana"/>
          <w:sz w:val="18"/>
          <w:lang w:val="es-ES_tradnl"/>
        </w:rPr>
      </w:pPr>
      <w:r w:rsidRPr="00176BAE">
        <w:rPr>
          <w:rFonts w:ascii="Verdana" w:hAnsi="Verdana"/>
          <w:sz w:val="18"/>
          <w:lang w:val="es-ES_tradnl"/>
        </w:rPr>
        <w:t>Que el Estado asegure que haya una investigación policíaca pronta y adecuada de</w:t>
      </w:r>
      <w:r w:rsidRPr="00176BAE">
        <w:rPr>
          <w:rFonts w:ascii="Verdana" w:hAnsi="Verdana"/>
          <w:sz w:val="18"/>
          <w:lang w:val="es-ES_tradnl"/>
        </w:rPr>
        <w:t>l asalto [sufrido por la señora Madeleine Valle Rivera],</w:t>
      </w:r>
    </w:p>
    <w:p w:rsidR="00F74C81" w:rsidRPr="00176BAE" w:rsidRDefault="006C70ED">
      <w:pPr>
        <w:widowControl w:val="0"/>
        <w:ind w:left="720"/>
        <w:jc w:val="both"/>
        <w:rPr>
          <w:rFonts w:ascii="Verdana" w:hAnsi="Verdana"/>
          <w:sz w:val="18"/>
          <w:lang w:val="es-ES_tradnl"/>
        </w:rPr>
      </w:pPr>
    </w:p>
    <w:p w:rsidR="00F74C81" w:rsidRPr="00176BAE" w:rsidRDefault="006C70ED">
      <w:pPr>
        <w:widowControl w:val="0"/>
        <w:numPr>
          <w:ilvl w:val="0"/>
          <w:numId w:val="1"/>
        </w:numPr>
        <w:tabs>
          <w:tab w:val="clear" w:pos="1440"/>
          <w:tab w:val="left" w:pos="720"/>
        </w:tabs>
        <w:ind w:left="720" w:firstLine="0"/>
        <w:jc w:val="both"/>
        <w:rPr>
          <w:rFonts w:ascii="Verdana" w:hAnsi="Verdana"/>
          <w:sz w:val="18"/>
          <w:lang w:val="es-ES_tradnl"/>
        </w:rPr>
      </w:pPr>
      <w:r w:rsidRPr="00176BAE">
        <w:rPr>
          <w:rFonts w:ascii="Verdana" w:hAnsi="Verdana"/>
          <w:sz w:val="18"/>
          <w:lang w:val="es-ES_tradnl"/>
        </w:rPr>
        <w:t>Que el Estado informe a la Corte, dentro de un plazo razonable, pero en todo caso antes de la audiencia pública en este caso, de los resultados de la investigación, y</w:t>
      </w:r>
    </w:p>
    <w:p w:rsidR="00F74C81" w:rsidRPr="00176BAE" w:rsidRDefault="006C70ED">
      <w:pPr>
        <w:widowControl w:val="0"/>
        <w:jc w:val="both"/>
        <w:rPr>
          <w:rFonts w:ascii="Verdana" w:hAnsi="Verdana"/>
          <w:sz w:val="18"/>
          <w:lang w:val="es-ES_tradnl"/>
        </w:rPr>
      </w:pPr>
    </w:p>
    <w:p w:rsidR="00F74C81" w:rsidRPr="00176BAE" w:rsidRDefault="006C70ED">
      <w:pPr>
        <w:widowControl w:val="0"/>
        <w:numPr>
          <w:ilvl w:val="0"/>
          <w:numId w:val="1"/>
        </w:numPr>
        <w:jc w:val="both"/>
        <w:rPr>
          <w:rFonts w:ascii="Verdana" w:hAnsi="Verdana"/>
          <w:sz w:val="18"/>
          <w:lang w:val="es-ES_tradnl"/>
        </w:rPr>
      </w:pPr>
      <w:r w:rsidRPr="00176BAE">
        <w:rPr>
          <w:rFonts w:ascii="Verdana" w:hAnsi="Verdana"/>
          <w:sz w:val="18"/>
          <w:lang w:val="es-ES_tradnl"/>
        </w:rPr>
        <w:t>Cualesquier[a] otras medidas q</w:t>
      </w:r>
      <w:r w:rsidRPr="00176BAE">
        <w:rPr>
          <w:rFonts w:ascii="Verdana" w:hAnsi="Verdana"/>
          <w:sz w:val="18"/>
          <w:lang w:val="es-ES_tradnl"/>
        </w:rPr>
        <w:t>ue la Corte estime pertinente[s].</w:t>
      </w:r>
    </w:p>
    <w:p w:rsidR="00F74C81" w:rsidRPr="00176BAE" w:rsidRDefault="006C70ED">
      <w:pPr>
        <w:ind w:right="-720"/>
        <w:jc w:val="both"/>
        <w:rPr>
          <w:rFonts w:ascii="Verdana" w:hAnsi="Verdana"/>
          <w:sz w:val="20"/>
          <w:lang w:val="es-ES_tradnl"/>
        </w:rPr>
      </w:pPr>
    </w:p>
    <w:p w:rsidR="00F74C81" w:rsidRPr="00176BAE" w:rsidRDefault="006C70ED">
      <w:pPr>
        <w:ind w:right="-720"/>
        <w:jc w:val="both"/>
        <w:rPr>
          <w:rFonts w:ascii="Verdana" w:hAnsi="Verdana"/>
          <w:sz w:val="20"/>
          <w:lang w:val="es-ES_tradnl"/>
        </w:rPr>
      </w:pPr>
    </w:p>
    <w:p w:rsidR="00F74C81" w:rsidRPr="00176BAE" w:rsidRDefault="006C70ED">
      <w:pPr>
        <w:tabs>
          <w:tab w:val="left" w:pos="680"/>
        </w:tabs>
        <w:jc w:val="both"/>
        <w:rPr>
          <w:rFonts w:ascii="Verdana" w:hAnsi="Verdana"/>
          <w:sz w:val="20"/>
          <w:lang w:val="es-ES_tradnl"/>
        </w:rPr>
      </w:pPr>
      <w:r w:rsidRPr="00176BAE">
        <w:rPr>
          <w:rFonts w:ascii="Verdana" w:hAnsi="Verdana"/>
          <w:b/>
          <w:sz w:val="20"/>
          <w:lang w:val="es-ES_tradnl"/>
        </w:rPr>
        <w:t>CONSIDERANDO:</w:t>
      </w:r>
    </w:p>
    <w:p w:rsidR="00F74C81" w:rsidRPr="00176BAE" w:rsidRDefault="006C70ED">
      <w:pPr>
        <w:tabs>
          <w:tab w:val="left" w:pos="0"/>
        </w:tabs>
        <w:ind w:right="4"/>
        <w:jc w:val="both"/>
        <w:rPr>
          <w:rFonts w:ascii="Verdana" w:hAnsi="Verdana"/>
          <w:sz w:val="20"/>
          <w:lang w:val="es-ES_tradnl"/>
        </w:rPr>
      </w:pPr>
    </w:p>
    <w:p w:rsidR="00F74C81" w:rsidRPr="00176BAE" w:rsidRDefault="006C70ED">
      <w:pPr>
        <w:ind w:right="-720"/>
        <w:jc w:val="both"/>
        <w:rPr>
          <w:rFonts w:ascii="Verdana" w:hAnsi="Verdana"/>
          <w:sz w:val="20"/>
          <w:lang w:val="es-ES_tradnl"/>
        </w:rPr>
      </w:pPr>
      <w:r w:rsidRPr="00176BAE">
        <w:rPr>
          <w:rFonts w:ascii="Verdana" w:hAnsi="Verdana"/>
          <w:sz w:val="20"/>
          <w:lang w:val="es-ES_tradnl"/>
        </w:rPr>
        <w:t>1.</w:t>
      </w:r>
      <w:r w:rsidRPr="00176BAE">
        <w:rPr>
          <w:rFonts w:ascii="Verdana" w:hAnsi="Verdana"/>
          <w:sz w:val="20"/>
          <w:lang w:val="es-ES_tradnl"/>
        </w:rPr>
        <w:tab/>
        <w:t>Que el Perú es Estado Parte en la Convención Americana desde el 28 de julio de 1978 y que el 1 de enero de 1981 reconoció la competencia obligatoria de la Corte, de acuerdo con el artículo 62 de la Conv</w:t>
      </w:r>
      <w:r w:rsidRPr="00176BAE">
        <w:rPr>
          <w:rFonts w:ascii="Verdana" w:hAnsi="Verdana"/>
          <w:sz w:val="20"/>
          <w:lang w:val="es-ES_tradnl"/>
        </w:rPr>
        <w:t>ención.</w:t>
      </w:r>
    </w:p>
    <w:p w:rsidR="00F74C81" w:rsidRPr="00176BAE" w:rsidRDefault="006C70ED">
      <w:pPr>
        <w:jc w:val="both"/>
        <w:rPr>
          <w:rFonts w:ascii="Verdana" w:hAnsi="Verdana"/>
          <w:sz w:val="20"/>
          <w:lang w:val="es-ES_tradnl"/>
        </w:rPr>
      </w:pPr>
    </w:p>
    <w:p w:rsidR="00F74C81" w:rsidRPr="00176BAE" w:rsidRDefault="006C70ED">
      <w:pPr>
        <w:jc w:val="both"/>
        <w:rPr>
          <w:rFonts w:ascii="Verdana" w:hAnsi="Verdana"/>
          <w:sz w:val="20"/>
          <w:lang w:val="es-ES_tradnl"/>
        </w:rPr>
      </w:pPr>
      <w:r w:rsidRPr="00176BAE">
        <w:rPr>
          <w:rFonts w:ascii="Verdana" w:hAnsi="Verdana"/>
          <w:sz w:val="20"/>
          <w:lang w:val="es-ES_tradnl"/>
        </w:rPr>
        <w:t>2.</w:t>
      </w:r>
      <w:r w:rsidRPr="00176BAE">
        <w:rPr>
          <w:rFonts w:ascii="Verdana" w:hAnsi="Verdana"/>
          <w:sz w:val="20"/>
          <w:lang w:val="es-ES_tradnl"/>
        </w:rPr>
        <w:tab/>
        <w:t xml:space="preserve">Que el artículo 63.2 de la Convención establece que </w:t>
      </w:r>
    </w:p>
    <w:p w:rsidR="00F74C81" w:rsidRPr="00176BAE" w:rsidRDefault="006C70ED">
      <w:pPr>
        <w:jc w:val="both"/>
        <w:rPr>
          <w:rFonts w:ascii="Verdana" w:hAnsi="Verdana"/>
          <w:sz w:val="16"/>
          <w:lang w:val="es-ES_tradnl"/>
        </w:rPr>
      </w:pPr>
    </w:p>
    <w:p w:rsidR="00F74C81" w:rsidRPr="00176BAE" w:rsidRDefault="006C70ED">
      <w:pPr>
        <w:pStyle w:val="Textodebloque"/>
        <w:ind w:right="0"/>
        <w:rPr>
          <w:rFonts w:ascii="Verdana" w:hAnsi="Verdana"/>
          <w:sz w:val="16"/>
        </w:rPr>
      </w:pPr>
      <w:r w:rsidRPr="00176BAE">
        <w:rPr>
          <w:rFonts w:ascii="Verdana" w:hAnsi="Verdana"/>
          <w:sz w:val="16"/>
        </w:rPr>
        <w:t>[</w:t>
      </w:r>
      <w:proofErr w:type="gramStart"/>
      <w:r w:rsidRPr="00176BAE">
        <w:rPr>
          <w:rFonts w:ascii="Verdana" w:hAnsi="Verdana"/>
          <w:sz w:val="16"/>
        </w:rPr>
        <w:t>e]</w:t>
      </w:r>
      <w:proofErr w:type="gramEnd"/>
      <w:r w:rsidRPr="00176BAE">
        <w:rPr>
          <w:rFonts w:ascii="Verdana" w:hAnsi="Verdana"/>
          <w:sz w:val="16"/>
        </w:rPr>
        <w:t>n casos de extrema gravedad y urgencia, y cuando se haga necesario evitar daños irreparables a las personas, la Corte, en los asuntos que esté conociendo, podrá tomar las medidas provisio</w:t>
      </w:r>
      <w:r w:rsidRPr="00176BAE">
        <w:rPr>
          <w:rFonts w:ascii="Verdana" w:hAnsi="Verdana"/>
          <w:sz w:val="16"/>
        </w:rPr>
        <w:t>nales que considere pertinentes.  Si se tratare de asuntos que aún no estén sometidos a su conocimiento, podrá actuar a solicitud de la Comisión.</w:t>
      </w:r>
    </w:p>
    <w:p w:rsidR="00F74C81" w:rsidRPr="00176BAE" w:rsidRDefault="006C70ED">
      <w:pPr>
        <w:jc w:val="both"/>
        <w:rPr>
          <w:rFonts w:ascii="Verdana" w:hAnsi="Verdana"/>
          <w:sz w:val="16"/>
          <w:lang w:val="es-ES_tradnl"/>
        </w:rPr>
      </w:pPr>
    </w:p>
    <w:p w:rsidR="00F74C81" w:rsidRPr="00176BAE" w:rsidRDefault="006C70ED">
      <w:pPr>
        <w:pStyle w:val="Textoindependiente3"/>
        <w:ind w:right="-720"/>
        <w:jc w:val="both"/>
        <w:rPr>
          <w:rFonts w:ascii="Verdana" w:hAnsi="Verdana"/>
          <w:sz w:val="20"/>
          <w:lang w:val="es-ES_tradnl"/>
        </w:rPr>
      </w:pPr>
      <w:r w:rsidRPr="00176BAE">
        <w:rPr>
          <w:rFonts w:ascii="Verdana" w:hAnsi="Verdana"/>
          <w:sz w:val="20"/>
          <w:lang w:val="es-ES_tradnl"/>
        </w:rPr>
        <w:t>3.</w:t>
      </w:r>
      <w:r w:rsidRPr="00176BAE">
        <w:rPr>
          <w:rFonts w:ascii="Verdana" w:hAnsi="Verdana"/>
          <w:sz w:val="20"/>
          <w:lang w:val="es-ES_tradnl"/>
        </w:rPr>
        <w:tab/>
        <w:t>Que en relación con esta materia, el artículo 25.1, 25.3 y 25.5 del Reglamento establece que:</w:t>
      </w:r>
    </w:p>
    <w:p w:rsidR="00F74C81" w:rsidRPr="00176BAE" w:rsidRDefault="006C70ED">
      <w:pPr>
        <w:spacing w:after="40"/>
        <w:ind w:right="22"/>
        <w:jc w:val="both"/>
        <w:rPr>
          <w:rFonts w:ascii="Verdana" w:hAnsi="Verdana"/>
          <w:sz w:val="20"/>
          <w:lang w:val="es-ES_tradnl"/>
        </w:rPr>
      </w:pPr>
    </w:p>
    <w:p w:rsidR="00F74C81" w:rsidRPr="00176BAE" w:rsidRDefault="006C70ED">
      <w:pPr>
        <w:pStyle w:val="Sangradetextonormal"/>
        <w:rPr>
          <w:lang w:val="es-ES_tradnl"/>
        </w:rPr>
      </w:pPr>
      <w:r w:rsidRPr="00176BAE">
        <w:rPr>
          <w:lang w:val="es-ES_tradnl"/>
        </w:rPr>
        <w:t>[e]n cualqu</w:t>
      </w:r>
      <w:r w:rsidRPr="00176BAE">
        <w:rPr>
          <w:lang w:val="es-ES_tradnl"/>
        </w:rPr>
        <w:t>ier estado del procedimiento, siempre que se trate de casos de extrema gravedad y urgencia y cuando sea necesario para evitar daños irreparables a las personas, la Corte, de oficio o a instancia de parte, podrá ordenar las medidas provisionales que conside</w:t>
      </w:r>
      <w:r w:rsidRPr="00176BAE">
        <w:rPr>
          <w:lang w:val="es-ES_tradnl"/>
        </w:rPr>
        <w:t>re pertinentes, en los términos del artículo 63.2 de la Convención.</w:t>
      </w:r>
    </w:p>
    <w:p w:rsidR="00F74C81" w:rsidRPr="00176BAE" w:rsidRDefault="006C70ED">
      <w:pPr>
        <w:spacing w:after="40"/>
        <w:ind w:left="720"/>
        <w:jc w:val="both"/>
        <w:rPr>
          <w:rFonts w:ascii="Verdana" w:hAnsi="Verdana"/>
          <w:sz w:val="16"/>
          <w:lang w:val="es-ES_tradnl"/>
        </w:rPr>
      </w:pPr>
    </w:p>
    <w:p w:rsidR="00F74C81" w:rsidRPr="00176BAE" w:rsidRDefault="006C70ED">
      <w:pPr>
        <w:spacing w:after="40"/>
        <w:ind w:left="720"/>
        <w:jc w:val="both"/>
        <w:rPr>
          <w:rFonts w:ascii="Verdana" w:hAnsi="Verdana"/>
          <w:sz w:val="16"/>
          <w:lang w:val="es-ES_tradnl"/>
        </w:rPr>
      </w:pPr>
      <w:r w:rsidRPr="00176BAE">
        <w:rPr>
          <w:rFonts w:ascii="Verdana" w:hAnsi="Verdana"/>
          <w:color w:val="000000"/>
          <w:sz w:val="16"/>
          <w:lang w:val="es-ES_tradnl"/>
        </w:rPr>
        <w:t>[e]n los casos contenciosos que ya se encuentren en conocimiento de la Corte, las víctimas o las presuntas víctimas, sus familiares o sus representantes debidamente acreditados, podrán pr</w:t>
      </w:r>
      <w:r w:rsidRPr="00176BAE">
        <w:rPr>
          <w:rFonts w:ascii="Verdana" w:hAnsi="Verdana"/>
          <w:color w:val="000000"/>
          <w:sz w:val="16"/>
          <w:lang w:val="es-ES_tradnl"/>
        </w:rPr>
        <w:t>esentar directamente a ésta una solicitud de medidas provisionales en relación con los referidos casos.</w:t>
      </w:r>
    </w:p>
    <w:p w:rsidR="00F74C81" w:rsidRPr="00176BAE" w:rsidRDefault="006C70ED">
      <w:pPr>
        <w:spacing w:after="40"/>
        <w:ind w:left="720"/>
        <w:jc w:val="both"/>
        <w:rPr>
          <w:rFonts w:ascii="Verdana" w:hAnsi="Verdana"/>
          <w:sz w:val="16"/>
          <w:lang w:val="es-ES_tradnl"/>
        </w:rPr>
      </w:pPr>
    </w:p>
    <w:p w:rsidR="00F74C81" w:rsidRPr="00176BAE" w:rsidRDefault="006C70ED">
      <w:pPr>
        <w:pStyle w:val="Sangradetextonormal"/>
        <w:rPr>
          <w:lang w:val="es-ES_tradnl"/>
        </w:rPr>
      </w:pPr>
      <w:r w:rsidRPr="00176BAE">
        <w:rPr>
          <w:lang w:val="es-ES_tradnl"/>
        </w:rPr>
        <w:t>[</w:t>
      </w:r>
      <w:proofErr w:type="gramStart"/>
      <w:r w:rsidRPr="00176BAE">
        <w:rPr>
          <w:lang w:val="es-ES_tradnl"/>
        </w:rPr>
        <w:t>s]</w:t>
      </w:r>
      <w:proofErr w:type="gramEnd"/>
      <w:r w:rsidRPr="00176BAE">
        <w:rPr>
          <w:lang w:val="es-ES_tradnl"/>
        </w:rPr>
        <w:t>i la Corte no estuviere reunida, el Presidente, en consulta con la Comisión Permanente y, de ser posible, con los demás jueces, requerirá del gobier</w:t>
      </w:r>
      <w:r w:rsidRPr="00176BAE">
        <w:rPr>
          <w:lang w:val="es-ES_tradnl"/>
        </w:rPr>
        <w:t>no respectivo que dicte las providencias urgentes necesarias a fin de asegurar la eficacia de las medidas provisionales que después pueda tomar la Corte en su próximo período de sesiones.</w:t>
      </w:r>
    </w:p>
    <w:p w:rsidR="00F74C81" w:rsidRPr="00176BAE" w:rsidRDefault="006C70ED">
      <w:pPr>
        <w:spacing w:after="40"/>
        <w:ind w:right="22"/>
        <w:jc w:val="both"/>
        <w:rPr>
          <w:rFonts w:ascii="Verdana" w:hAnsi="Verdana"/>
          <w:sz w:val="16"/>
          <w:lang w:val="es-ES_tradnl"/>
        </w:rPr>
      </w:pPr>
    </w:p>
    <w:p w:rsidR="00F74C81" w:rsidRPr="00176BAE" w:rsidRDefault="006C70ED">
      <w:pPr>
        <w:spacing w:after="40"/>
        <w:ind w:left="720" w:right="720"/>
        <w:jc w:val="both"/>
        <w:rPr>
          <w:rFonts w:ascii="Verdana" w:hAnsi="Verdana"/>
          <w:sz w:val="16"/>
          <w:lang w:val="es-ES_tradnl"/>
        </w:rPr>
      </w:pPr>
      <w:r w:rsidRPr="00176BAE">
        <w:rPr>
          <w:rFonts w:ascii="Verdana" w:hAnsi="Verdana"/>
          <w:sz w:val="16"/>
          <w:lang w:val="es-ES_tradnl"/>
        </w:rPr>
        <w:t>[…]</w:t>
      </w:r>
    </w:p>
    <w:p w:rsidR="00F74C81" w:rsidRPr="00176BAE" w:rsidRDefault="006C70ED">
      <w:pPr>
        <w:rPr>
          <w:rFonts w:ascii="Verdana" w:hAnsi="Verdana"/>
          <w:sz w:val="20"/>
          <w:lang w:val="es-ES_tradnl"/>
        </w:rPr>
      </w:pPr>
    </w:p>
    <w:p w:rsidR="00F74C81" w:rsidRPr="00176BAE" w:rsidRDefault="006C70ED">
      <w:pPr>
        <w:rPr>
          <w:rFonts w:ascii="Verdana" w:hAnsi="Verdana"/>
          <w:sz w:val="20"/>
          <w:lang w:val="es-ES_tradnl"/>
        </w:rPr>
      </w:pPr>
    </w:p>
    <w:p w:rsidR="00F74C81" w:rsidRPr="00176BAE" w:rsidRDefault="006C70ED">
      <w:pPr>
        <w:ind w:right="-720"/>
        <w:jc w:val="both"/>
        <w:rPr>
          <w:rFonts w:ascii="Verdana" w:hAnsi="Verdana"/>
          <w:sz w:val="20"/>
          <w:lang w:val="es-ES_tradnl"/>
        </w:rPr>
      </w:pPr>
      <w:r w:rsidRPr="00176BAE">
        <w:rPr>
          <w:rFonts w:ascii="Verdana" w:hAnsi="Verdana"/>
          <w:sz w:val="20"/>
          <w:lang w:val="es-ES_tradnl"/>
        </w:rPr>
        <w:t>4.</w:t>
      </w:r>
      <w:r w:rsidRPr="00176BAE">
        <w:rPr>
          <w:rFonts w:ascii="Verdana" w:hAnsi="Verdana"/>
          <w:sz w:val="20"/>
          <w:lang w:val="es-ES_tradnl"/>
        </w:rPr>
        <w:tab/>
        <w:t xml:space="preserve">Que tanto las medidas urgentes encomendadas al Presidente </w:t>
      </w:r>
      <w:r w:rsidRPr="00176BAE">
        <w:rPr>
          <w:rFonts w:ascii="Verdana" w:hAnsi="Verdana"/>
          <w:sz w:val="20"/>
          <w:lang w:val="es-ES_tradnl"/>
        </w:rPr>
        <w:t>como las medidas provisionales que ordene el Tribunal, deben fundamentarse en la existencia de una real situación de extrema gravedad y urgencia e irreparabilidad del daño a los derechos que se encuentran en riesgo de ser vulnerados.</w:t>
      </w:r>
    </w:p>
    <w:p w:rsidR="00F74C81" w:rsidRPr="00176BAE" w:rsidRDefault="006C70ED">
      <w:pPr>
        <w:pStyle w:val="Textoindependiente"/>
        <w:tabs>
          <w:tab w:val="left" w:pos="720"/>
          <w:tab w:val="left" w:pos="8640"/>
        </w:tabs>
        <w:spacing w:after="40"/>
        <w:ind w:right="-720"/>
        <w:rPr>
          <w:rFonts w:ascii="Verdana" w:hAnsi="Verdana"/>
          <w:sz w:val="20"/>
        </w:rPr>
      </w:pPr>
    </w:p>
    <w:p w:rsidR="00F74C81" w:rsidRPr="00176BAE" w:rsidRDefault="006C70ED">
      <w:pPr>
        <w:pStyle w:val="Textoindependiente"/>
        <w:tabs>
          <w:tab w:val="left" w:pos="720"/>
          <w:tab w:val="left" w:pos="8640"/>
        </w:tabs>
        <w:spacing w:after="40"/>
        <w:ind w:right="-720"/>
        <w:rPr>
          <w:rFonts w:ascii="Verdana" w:hAnsi="Verdana"/>
          <w:sz w:val="20"/>
        </w:rPr>
      </w:pPr>
      <w:r w:rsidRPr="00176BAE">
        <w:rPr>
          <w:rFonts w:ascii="Verdana" w:hAnsi="Verdana"/>
          <w:sz w:val="20"/>
        </w:rPr>
        <w:t>5.</w:t>
      </w:r>
      <w:r w:rsidRPr="00176BAE">
        <w:rPr>
          <w:rFonts w:ascii="Verdana" w:hAnsi="Verdana"/>
          <w:sz w:val="20"/>
        </w:rPr>
        <w:tab/>
      </w:r>
      <w:r w:rsidRPr="00176BAE">
        <w:rPr>
          <w:rFonts w:ascii="Verdana" w:hAnsi="Verdana"/>
          <w:sz w:val="20"/>
        </w:rPr>
        <w:tab/>
        <w:t>Que el artículo 1</w:t>
      </w:r>
      <w:r w:rsidRPr="00176BAE">
        <w:rPr>
          <w:rFonts w:ascii="Verdana" w:hAnsi="Verdana"/>
          <w:sz w:val="20"/>
        </w:rPr>
        <w:t>.1 de la Convención consagra el deber que tienen los Estados Partes de respetar los derechos y libertades reconocidos en ese tratado y de garantizar su libre y pleno ejercicio a toda persona que esté sujeta a su jurisdicción.</w:t>
      </w:r>
    </w:p>
    <w:p w:rsidR="00F74C81" w:rsidRPr="00176BAE" w:rsidRDefault="006C70ED">
      <w:pPr>
        <w:ind w:right="-720"/>
        <w:jc w:val="both"/>
        <w:rPr>
          <w:rFonts w:ascii="Verdana" w:hAnsi="Verdana"/>
          <w:sz w:val="20"/>
          <w:lang w:val="es-ES_tradnl"/>
        </w:rPr>
      </w:pPr>
    </w:p>
    <w:p w:rsidR="00F74C81" w:rsidRPr="00176BAE" w:rsidRDefault="006C70ED">
      <w:pPr>
        <w:pStyle w:val="Textoindependiente"/>
        <w:tabs>
          <w:tab w:val="left" w:pos="720"/>
        </w:tabs>
        <w:ind w:right="-720"/>
        <w:rPr>
          <w:rFonts w:ascii="Verdana" w:hAnsi="Verdana"/>
          <w:sz w:val="20"/>
        </w:rPr>
      </w:pPr>
      <w:r w:rsidRPr="00176BAE">
        <w:rPr>
          <w:rFonts w:ascii="Verdana" w:hAnsi="Verdana"/>
          <w:sz w:val="20"/>
        </w:rPr>
        <w:t>6.</w:t>
      </w:r>
      <w:r w:rsidRPr="00176BAE">
        <w:rPr>
          <w:rFonts w:ascii="Verdana" w:hAnsi="Verdana"/>
          <w:sz w:val="20"/>
        </w:rPr>
        <w:tab/>
      </w:r>
      <w:r w:rsidRPr="00176BAE">
        <w:rPr>
          <w:rFonts w:ascii="Verdana" w:hAnsi="Verdana"/>
          <w:sz w:val="20"/>
        </w:rPr>
        <w:tab/>
        <w:t>Que en el Derecho Interna</w:t>
      </w:r>
      <w:r w:rsidRPr="00176BAE">
        <w:rPr>
          <w:rFonts w:ascii="Verdana" w:hAnsi="Verdana"/>
          <w:sz w:val="20"/>
        </w:rPr>
        <w:t xml:space="preserve">cional de los Derechos Humanos las medidas provisionales tienen un carácter no solo cautelar en el sentido de que preservan una situación jurídica, sino fundamentalmente tutelar por cuanto protegen derechos humanos, en la medida en que buscan evitar daños </w:t>
      </w:r>
      <w:r w:rsidRPr="00176BAE">
        <w:rPr>
          <w:rFonts w:ascii="Verdana" w:hAnsi="Verdana"/>
          <w:sz w:val="20"/>
        </w:rPr>
        <w:t xml:space="preserve">irreparables a las personas.  Siempre y cuando se reúnan los requisitos básicos de la extrema gravedad y urgencia y de la prevención de daños irreparables a las personas, las medidas provisionales se transforman en una verdadera garantía jurisdiccional de </w:t>
      </w:r>
      <w:r w:rsidRPr="00176BAE">
        <w:rPr>
          <w:rFonts w:ascii="Verdana" w:hAnsi="Verdana"/>
          <w:sz w:val="20"/>
        </w:rPr>
        <w:t>carácter preventivo</w:t>
      </w:r>
      <w:r w:rsidRPr="00176BAE">
        <w:rPr>
          <w:rStyle w:val="Refdenotaalpie"/>
          <w:sz w:val="20"/>
        </w:rPr>
        <w:footnoteReference w:id="4"/>
      </w:r>
      <w:r w:rsidRPr="00176BAE">
        <w:rPr>
          <w:rFonts w:ascii="Verdana" w:hAnsi="Verdana"/>
          <w:sz w:val="20"/>
        </w:rPr>
        <w:t>.</w:t>
      </w:r>
    </w:p>
    <w:p w:rsidR="00F74C81" w:rsidRPr="00176BAE" w:rsidRDefault="006C70ED">
      <w:pPr>
        <w:ind w:right="-720"/>
        <w:jc w:val="both"/>
        <w:rPr>
          <w:rFonts w:ascii="Verdana" w:hAnsi="Verdana"/>
          <w:sz w:val="20"/>
          <w:lang w:val="es-ES_tradnl"/>
        </w:rPr>
      </w:pPr>
    </w:p>
    <w:p w:rsidR="00F74C81" w:rsidRPr="00176BAE" w:rsidRDefault="006C70ED">
      <w:pPr>
        <w:ind w:right="-720"/>
        <w:jc w:val="both"/>
        <w:rPr>
          <w:rFonts w:ascii="Verdana" w:hAnsi="Verdana"/>
          <w:sz w:val="20"/>
          <w:lang w:val="es-ES_tradnl"/>
        </w:rPr>
      </w:pPr>
      <w:r w:rsidRPr="00176BAE">
        <w:rPr>
          <w:rFonts w:ascii="Verdana" w:hAnsi="Verdana"/>
          <w:sz w:val="20"/>
          <w:lang w:val="es-ES_tradnl"/>
        </w:rPr>
        <w:t>7.</w:t>
      </w:r>
      <w:r w:rsidRPr="00176BAE">
        <w:rPr>
          <w:rFonts w:ascii="Verdana" w:hAnsi="Verdana"/>
          <w:sz w:val="20"/>
          <w:lang w:val="es-ES_tradnl"/>
        </w:rPr>
        <w:tab/>
        <w:t>Que en el escrito de solicitud de medidas provisionales el representante Douglass Cassell no indicó expresamente a favor de quién o quiénes solicita las medidas, ni señaló expresamente cuáles serían los derechos que deben ser prot</w:t>
      </w:r>
      <w:r w:rsidRPr="00176BAE">
        <w:rPr>
          <w:rFonts w:ascii="Verdana" w:hAnsi="Verdana"/>
          <w:sz w:val="20"/>
          <w:lang w:val="es-ES_tradnl"/>
        </w:rPr>
        <w:t xml:space="preserve">egidos.  Sin embargo, esta </w:t>
      </w:r>
      <w:r w:rsidRPr="00176BAE">
        <w:rPr>
          <w:rFonts w:ascii="Verdana" w:hAnsi="Verdana"/>
          <w:sz w:val="20"/>
          <w:lang w:val="es-ES_tradnl"/>
        </w:rPr>
        <w:lastRenderedPageBreak/>
        <w:t xml:space="preserve">Presidencia nota que de los anexos al escrito de solicitud de medidas provisionales surge que se estaría solicitando la adopción de medidas de protección a favor de la señora Madeleine Valle Rivera, presunta víctima de este caso </w:t>
      </w:r>
      <w:r w:rsidRPr="00176BAE">
        <w:rPr>
          <w:rFonts w:ascii="Verdana" w:hAnsi="Verdana"/>
          <w:sz w:val="20"/>
          <w:lang w:val="es-ES_tradnl"/>
        </w:rPr>
        <w:t>y Presidenta de la AFADEVIG, para que se requiera al Estado, a través de la emisión de medidas urgentes o provisionales, que cumpla con la obligación de investigar.  El representante se basa en que el 24 de abril de 2006 la señora Valle Rivera “fue asaltad</w:t>
      </w:r>
      <w:r w:rsidRPr="00176BAE">
        <w:rPr>
          <w:rFonts w:ascii="Verdana" w:hAnsi="Verdana"/>
          <w:sz w:val="20"/>
          <w:lang w:val="es-ES_tradnl"/>
        </w:rPr>
        <w:t>[a] por dos hombres desconocidos, […que l</w:t>
      </w:r>
      <w:proofErr w:type="gramStart"/>
      <w:r w:rsidRPr="00176BAE">
        <w:rPr>
          <w:rFonts w:ascii="Verdana" w:hAnsi="Verdana"/>
          <w:sz w:val="20"/>
          <w:lang w:val="es-ES_tradnl"/>
        </w:rPr>
        <w:t>]a</w:t>
      </w:r>
      <w:proofErr w:type="gramEnd"/>
      <w:r w:rsidRPr="00176BAE">
        <w:rPr>
          <w:rFonts w:ascii="Verdana" w:hAnsi="Verdana"/>
          <w:sz w:val="20"/>
          <w:lang w:val="es-ES_tradnl"/>
        </w:rPr>
        <w:t xml:space="preserve"> golpearon fuertemente en la cabeza […] para lograr quitarle el teléfono celular[, el cual] contiene los números de otros miembros de la referida Asociación”, y en que la policía supuestamente no investiga dicho a</w:t>
      </w:r>
      <w:r w:rsidRPr="00176BAE">
        <w:rPr>
          <w:rFonts w:ascii="Verdana" w:hAnsi="Verdana"/>
          <w:sz w:val="20"/>
          <w:lang w:val="es-ES_tradnl"/>
        </w:rPr>
        <w:t xml:space="preserve">taque. </w:t>
      </w:r>
    </w:p>
    <w:p w:rsidR="00F74C81" w:rsidRPr="00176BAE" w:rsidRDefault="006C70ED">
      <w:pPr>
        <w:ind w:right="-720"/>
        <w:jc w:val="both"/>
        <w:rPr>
          <w:rFonts w:ascii="Verdana" w:hAnsi="Verdana"/>
          <w:sz w:val="20"/>
          <w:lang w:val="es-ES_tradnl"/>
        </w:rPr>
      </w:pPr>
    </w:p>
    <w:p w:rsidR="00F74C81" w:rsidRPr="00176BAE" w:rsidRDefault="006C70ED">
      <w:pPr>
        <w:ind w:right="-720"/>
        <w:jc w:val="both"/>
        <w:rPr>
          <w:rFonts w:ascii="Verdana" w:hAnsi="Verdana"/>
          <w:sz w:val="20"/>
          <w:lang w:val="es-ES_tradnl"/>
        </w:rPr>
      </w:pPr>
      <w:r w:rsidRPr="00176BAE">
        <w:rPr>
          <w:rFonts w:ascii="Verdana" w:hAnsi="Verdana"/>
          <w:sz w:val="20"/>
          <w:lang w:val="es-ES_tradnl"/>
        </w:rPr>
        <w:t>8.</w:t>
      </w:r>
      <w:r w:rsidRPr="00176BAE">
        <w:rPr>
          <w:rFonts w:ascii="Verdana" w:hAnsi="Verdana"/>
          <w:sz w:val="20"/>
          <w:lang w:val="es-ES_tradnl"/>
        </w:rPr>
        <w:tab/>
        <w:t>Que de los documentos remitidos por el representante surge que el 24 de abril de 2006 se registró la “Denuncia por faltas”, realizada por la señora Valle Rivera por el alegado ataque que sufrió ese  mismo día, así como que se encontraría pendie</w:t>
      </w:r>
      <w:r w:rsidRPr="00176BAE">
        <w:rPr>
          <w:rFonts w:ascii="Verdana" w:hAnsi="Verdana"/>
          <w:sz w:val="20"/>
          <w:lang w:val="es-ES_tradnl"/>
        </w:rPr>
        <w:t>nte otra denuncia por la supuesta falta de investigación interpuesta el 27 de abril de 2006 por dicha señora ante la Defensoría del Pueblo (</w:t>
      </w:r>
      <w:r w:rsidRPr="00176BAE">
        <w:rPr>
          <w:rFonts w:ascii="Verdana" w:hAnsi="Verdana"/>
          <w:i/>
          <w:sz w:val="20"/>
          <w:lang w:val="es-ES_tradnl"/>
        </w:rPr>
        <w:t xml:space="preserve">supra </w:t>
      </w:r>
      <w:r w:rsidRPr="00176BAE">
        <w:rPr>
          <w:rFonts w:ascii="Verdana" w:hAnsi="Verdana"/>
          <w:sz w:val="20"/>
          <w:lang w:val="es-ES_tradnl"/>
        </w:rPr>
        <w:t xml:space="preserve">Visto 2). </w:t>
      </w:r>
    </w:p>
    <w:p w:rsidR="00F74C81" w:rsidRPr="00176BAE" w:rsidRDefault="006C70ED">
      <w:pPr>
        <w:ind w:right="-720"/>
        <w:jc w:val="both"/>
        <w:rPr>
          <w:rFonts w:ascii="Verdana" w:hAnsi="Verdana"/>
          <w:sz w:val="20"/>
          <w:lang w:val="es-ES_tradnl"/>
        </w:rPr>
      </w:pPr>
    </w:p>
    <w:p w:rsidR="00F74C81" w:rsidRPr="00176BAE" w:rsidRDefault="006C70ED">
      <w:pPr>
        <w:pStyle w:val="Textoindependiente"/>
        <w:tabs>
          <w:tab w:val="clear" w:pos="360"/>
          <w:tab w:val="left" w:pos="720"/>
        </w:tabs>
        <w:ind w:right="-720"/>
        <w:rPr>
          <w:rFonts w:ascii="Verdana" w:hAnsi="Verdana"/>
          <w:sz w:val="20"/>
        </w:rPr>
      </w:pPr>
      <w:r w:rsidRPr="00176BAE">
        <w:rPr>
          <w:rFonts w:ascii="Verdana" w:hAnsi="Verdana"/>
          <w:sz w:val="20"/>
        </w:rPr>
        <w:t>9.</w:t>
      </w:r>
      <w:r w:rsidRPr="00176BAE">
        <w:rPr>
          <w:rFonts w:ascii="Verdana" w:hAnsi="Verdana"/>
          <w:sz w:val="20"/>
        </w:rPr>
        <w:tab/>
        <w:t>Que luego de analizar los antecedentes remitidos por el representante Douglass Cassel, esta Pre</w:t>
      </w:r>
      <w:r w:rsidRPr="00176BAE">
        <w:rPr>
          <w:rFonts w:ascii="Verdana" w:hAnsi="Verdana"/>
          <w:sz w:val="20"/>
        </w:rPr>
        <w:t>sidencia, en consulta con los demás jueces de la Corte, estima que no se ha acreditado que exista una situación de extrema gravedad y urgencia que amerite la adopción de medidas urgentes a favor de la señora Madeleine Valle Rivera, para evitar un daño irre</w:t>
      </w:r>
      <w:r w:rsidRPr="00176BAE">
        <w:rPr>
          <w:rFonts w:ascii="Verdana" w:hAnsi="Verdana"/>
          <w:sz w:val="20"/>
        </w:rPr>
        <w:t xml:space="preserve">parable a sus derechos. </w:t>
      </w:r>
    </w:p>
    <w:p w:rsidR="00F74C81" w:rsidRPr="00176BAE" w:rsidRDefault="006C70ED">
      <w:pPr>
        <w:ind w:right="-720"/>
        <w:jc w:val="both"/>
        <w:rPr>
          <w:rFonts w:ascii="Verdana" w:hAnsi="Verdana"/>
          <w:sz w:val="20"/>
          <w:lang w:val="es-ES_tradnl"/>
        </w:rPr>
      </w:pPr>
    </w:p>
    <w:p w:rsidR="00F74C81" w:rsidRPr="00176BAE" w:rsidRDefault="006C70ED">
      <w:pPr>
        <w:ind w:right="-720"/>
        <w:jc w:val="both"/>
        <w:rPr>
          <w:rFonts w:ascii="Verdana" w:hAnsi="Verdana"/>
          <w:sz w:val="20"/>
          <w:lang w:val="es-ES_tradnl"/>
        </w:rPr>
      </w:pPr>
      <w:r w:rsidRPr="00176BAE">
        <w:rPr>
          <w:rFonts w:ascii="Verdana" w:hAnsi="Verdana"/>
          <w:sz w:val="20"/>
          <w:lang w:val="es-ES_tradnl"/>
        </w:rPr>
        <w:t>10.</w:t>
      </w:r>
      <w:r w:rsidRPr="00176BAE">
        <w:rPr>
          <w:rFonts w:ascii="Verdana" w:hAnsi="Verdana"/>
          <w:sz w:val="20"/>
          <w:lang w:val="es-ES_tradnl"/>
        </w:rPr>
        <w:tab/>
        <w:t>Que pese a lo mencionado en el párrafo anterior, esta Presidencia estima importante destacar lo señalado anteriormente por la Corte, en el sentido de que “la investigación de los hechos y la sanción de las personas responsable</w:t>
      </w:r>
      <w:r w:rsidRPr="00176BAE">
        <w:rPr>
          <w:rFonts w:ascii="Verdana" w:hAnsi="Verdana"/>
          <w:sz w:val="20"/>
          <w:lang w:val="es-ES_tradnl"/>
        </w:rPr>
        <w:t>s, [...] es una obligación que corresponde al Estado siempre que haya ocurrido una violación de los derechos humanos y esa obligación debe ser cumplida seriamente”</w:t>
      </w:r>
      <w:r w:rsidRPr="00176BAE">
        <w:rPr>
          <w:rStyle w:val="Refdenotaalpie"/>
          <w:rFonts w:ascii="Verdana" w:hAnsi="Verdana"/>
          <w:sz w:val="20"/>
          <w:lang w:val="es-ES_tradnl"/>
        </w:rPr>
        <w:footnoteReference w:id="5"/>
      </w:r>
      <w:r w:rsidRPr="00176BAE">
        <w:rPr>
          <w:rFonts w:ascii="Verdana" w:hAnsi="Verdana"/>
          <w:sz w:val="20"/>
          <w:lang w:val="es-ES_tradnl"/>
        </w:rPr>
        <w:t>.  Asimismo, el Tribunal ha establecido que esa obligación debe ser asumida por el Estado co</w:t>
      </w:r>
      <w:r w:rsidRPr="00176BAE">
        <w:rPr>
          <w:rFonts w:ascii="Verdana" w:hAnsi="Verdana"/>
          <w:sz w:val="20"/>
          <w:lang w:val="es-ES_tradnl"/>
        </w:rPr>
        <w:t xml:space="preserve">mo un deber jurídico propio y no como una simple formalidad condenada de antemano a ser infructuosa, o como una mera gestión de intereses particulares, que dependa de la iniciativa procesal de las víctimas o de sus familiares o de la aportación privada de </w:t>
      </w:r>
      <w:r w:rsidRPr="00176BAE">
        <w:rPr>
          <w:rFonts w:ascii="Verdana" w:hAnsi="Verdana"/>
          <w:sz w:val="20"/>
          <w:lang w:val="es-ES_tradnl"/>
        </w:rPr>
        <w:t>elementos probatorios</w:t>
      </w:r>
      <w:r w:rsidRPr="00176BAE">
        <w:rPr>
          <w:sz w:val="20"/>
          <w:vertAlign w:val="superscript"/>
          <w:lang w:val="es-ES_tradnl"/>
        </w:rPr>
        <w:footnoteReference w:id="6"/>
      </w:r>
      <w:r w:rsidRPr="00176BAE">
        <w:rPr>
          <w:rFonts w:ascii="Verdana" w:hAnsi="Verdana"/>
          <w:sz w:val="20"/>
          <w:lang w:val="es-ES_tradnl"/>
        </w:rPr>
        <w:t>.</w:t>
      </w:r>
    </w:p>
    <w:p w:rsidR="00F74C81" w:rsidRPr="00176BAE" w:rsidRDefault="006C70ED">
      <w:pPr>
        <w:ind w:right="-90"/>
        <w:jc w:val="both"/>
        <w:rPr>
          <w:rFonts w:ascii="Verdana" w:hAnsi="Verdana"/>
          <w:sz w:val="20"/>
          <w:lang w:val="es-ES_tradnl"/>
        </w:rPr>
      </w:pPr>
    </w:p>
    <w:p w:rsidR="00F74C81" w:rsidRPr="00176BAE" w:rsidRDefault="006C70ED">
      <w:pPr>
        <w:pStyle w:val="Textoindependiente"/>
        <w:rPr>
          <w:rFonts w:ascii="Verdana" w:hAnsi="Verdana"/>
          <w:b/>
          <w:sz w:val="20"/>
        </w:rPr>
      </w:pPr>
    </w:p>
    <w:p w:rsidR="00F74C81" w:rsidRPr="00176BAE" w:rsidRDefault="006C70ED">
      <w:pPr>
        <w:pStyle w:val="Textoindependiente"/>
        <w:rPr>
          <w:rFonts w:ascii="Verdana" w:hAnsi="Verdana"/>
          <w:b/>
          <w:sz w:val="20"/>
        </w:rPr>
      </w:pPr>
    </w:p>
    <w:p w:rsidR="00F74C81" w:rsidRPr="00176BAE" w:rsidRDefault="006C70ED">
      <w:pPr>
        <w:pStyle w:val="Textoindependiente"/>
        <w:rPr>
          <w:rFonts w:ascii="Verdana" w:hAnsi="Verdana"/>
          <w:b/>
          <w:sz w:val="20"/>
        </w:rPr>
      </w:pPr>
    </w:p>
    <w:p w:rsidR="00F74C81" w:rsidRPr="00176BAE" w:rsidRDefault="006C70ED">
      <w:pPr>
        <w:pStyle w:val="Textoindependiente"/>
        <w:rPr>
          <w:rFonts w:ascii="Verdana" w:hAnsi="Verdana"/>
          <w:b/>
          <w:sz w:val="20"/>
        </w:rPr>
      </w:pPr>
    </w:p>
    <w:p w:rsidR="00F74C81" w:rsidRPr="00176BAE" w:rsidRDefault="006C70ED">
      <w:pPr>
        <w:pStyle w:val="Textoindependiente"/>
        <w:rPr>
          <w:rFonts w:ascii="Verdana" w:hAnsi="Verdana"/>
          <w:b/>
          <w:sz w:val="20"/>
        </w:rPr>
      </w:pPr>
      <w:r w:rsidRPr="00176BAE">
        <w:rPr>
          <w:rFonts w:ascii="Verdana" w:hAnsi="Verdana"/>
          <w:b/>
          <w:sz w:val="20"/>
        </w:rPr>
        <w:t>POR TANTO:</w:t>
      </w:r>
    </w:p>
    <w:p w:rsidR="00F74C81" w:rsidRPr="00176BAE" w:rsidRDefault="006C70ED">
      <w:pPr>
        <w:jc w:val="both"/>
        <w:rPr>
          <w:rFonts w:ascii="Verdana" w:hAnsi="Verdana"/>
          <w:b/>
          <w:sz w:val="20"/>
          <w:lang w:val="es-ES_tradnl"/>
        </w:rPr>
      </w:pPr>
    </w:p>
    <w:p w:rsidR="00F74C81" w:rsidRPr="00176BAE" w:rsidRDefault="006C70ED">
      <w:pPr>
        <w:jc w:val="both"/>
        <w:rPr>
          <w:rFonts w:ascii="Verdana" w:hAnsi="Verdana"/>
          <w:b/>
          <w:sz w:val="20"/>
          <w:lang w:val="es-ES_tradnl"/>
        </w:rPr>
      </w:pPr>
    </w:p>
    <w:p w:rsidR="00F74C81" w:rsidRPr="00176BAE" w:rsidRDefault="006C70ED">
      <w:pPr>
        <w:jc w:val="both"/>
        <w:rPr>
          <w:rFonts w:ascii="Verdana" w:hAnsi="Verdana"/>
          <w:b/>
          <w:sz w:val="20"/>
          <w:lang w:val="es-ES_tradnl"/>
        </w:rPr>
      </w:pPr>
      <w:r w:rsidRPr="00176BAE">
        <w:rPr>
          <w:rFonts w:ascii="Verdana" w:hAnsi="Verdana"/>
          <w:b/>
          <w:sz w:val="20"/>
          <w:lang w:val="es-ES_tradnl"/>
        </w:rPr>
        <w:t xml:space="preserve">EL PRESIDENTE DE LA CORTE INTERAMERICANA DE DERECHOS HUMANOS, </w:t>
      </w:r>
    </w:p>
    <w:p w:rsidR="00F74C81" w:rsidRPr="00176BAE" w:rsidRDefault="006C70ED">
      <w:pPr>
        <w:spacing w:after="40"/>
        <w:ind w:right="22"/>
        <w:jc w:val="both"/>
        <w:rPr>
          <w:rFonts w:ascii="Verdana" w:hAnsi="Verdana"/>
          <w:sz w:val="20"/>
          <w:lang w:val="es-ES_tradnl"/>
        </w:rPr>
      </w:pPr>
    </w:p>
    <w:p w:rsidR="00F74C81" w:rsidRPr="00176BAE" w:rsidRDefault="006C70ED">
      <w:pPr>
        <w:spacing w:after="40"/>
        <w:ind w:right="-720"/>
        <w:jc w:val="both"/>
        <w:rPr>
          <w:rFonts w:ascii="Verdana" w:hAnsi="Verdana"/>
          <w:sz w:val="20"/>
          <w:lang w:val="es-ES_tradnl"/>
        </w:rPr>
      </w:pPr>
      <w:r w:rsidRPr="00176BAE">
        <w:rPr>
          <w:rFonts w:ascii="Verdana" w:hAnsi="Verdana"/>
          <w:sz w:val="20"/>
          <w:lang w:val="es-ES_tradnl"/>
        </w:rPr>
        <w:t>en uso de las atribuciones que le confieren el artículo 63.2 de la Convención Americana sobre Derechos Humanos y los artículos 25 y 29 de su Reglament</w:t>
      </w:r>
      <w:r w:rsidRPr="00176BAE">
        <w:rPr>
          <w:rFonts w:ascii="Verdana" w:hAnsi="Verdana"/>
          <w:sz w:val="20"/>
          <w:lang w:val="es-ES_tradnl"/>
        </w:rPr>
        <w:t>o,</w:t>
      </w:r>
    </w:p>
    <w:p w:rsidR="00F74C81" w:rsidRPr="00176BAE" w:rsidRDefault="006C70ED">
      <w:pPr>
        <w:jc w:val="both"/>
        <w:rPr>
          <w:rFonts w:ascii="Verdana" w:hAnsi="Verdana"/>
          <w:b/>
          <w:sz w:val="20"/>
          <w:lang w:val="es-ES_tradnl"/>
        </w:rPr>
      </w:pPr>
    </w:p>
    <w:p w:rsidR="00F74C81" w:rsidRPr="00176BAE" w:rsidRDefault="006C70ED">
      <w:pPr>
        <w:jc w:val="both"/>
        <w:rPr>
          <w:rFonts w:ascii="Verdana" w:hAnsi="Verdana"/>
          <w:b/>
          <w:sz w:val="20"/>
          <w:lang w:val="es-ES_tradnl"/>
        </w:rPr>
      </w:pPr>
    </w:p>
    <w:p w:rsidR="00F74C81" w:rsidRPr="00176BAE" w:rsidRDefault="006C70ED">
      <w:pPr>
        <w:jc w:val="both"/>
        <w:rPr>
          <w:rFonts w:ascii="Verdana" w:hAnsi="Verdana"/>
          <w:b/>
          <w:sz w:val="20"/>
          <w:lang w:val="es-ES_tradnl"/>
        </w:rPr>
      </w:pPr>
      <w:r w:rsidRPr="00176BAE">
        <w:rPr>
          <w:rFonts w:ascii="Verdana" w:hAnsi="Verdana"/>
          <w:b/>
          <w:smallCaps/>
          <w:sz w:val="20"/>
          <w:lang w:val="es-ES_tradnl"/>
        </w:rPr>
        <w:t>Resuelve</w:t>
      </w:r>
      <w:r w:rsidRPr="00176BAE">
        <w:rPr>
          <w:rFonts w:ascii="Verdana" w:hAnsi="Verdana"/>
          <w:b/>
          <w:sz w:val="20"/>
          <w:lang w:val="es-ES_tradnl"/>
        </w:rPr>
        <w:t>:</w:t>
      </w:r>
    </w:p>
    <w:p w:rsidR="00F74C81" w:rsidRPr="00176BAE" w:rsidRDefault="006C70ED">
      <w:pPr>
        <w:pStyle w:val="Textoindependiente"/>
        <w:rPr>
          <w:b/>
          <w:u w:val="single"/>
        </w:rPr>
      </w:pPr>
    </w:p>
    <w:p w:rsidR="00F74C81" w:rsidRPr="00176BAE" w:rsidRDefault="006C70ED">
      <w:pPr>
        <w:pStyle w:val="Textoindependiente"/>
        <w:rPr>
          <w:b/>
          <w:u w:val="single"/>
        </w:rPr>
      </w:pPr>
    </w:p>
    <w:p w:rsidR="00F74C81" w:rsidRPr="00176BAE" w:rsidRDefault="006C70ED">
      <w:pPr>
        <w:ind w:right="-720"/>
        <w:jc w:val="both"/>
        <w:rPr>
          <w:rFonts w:ascii="Verdana" w:hAnsi="Verdana"/>
          <w:sz w:val="20"/>
          <w:lang w:val="es-ES_tradnl"/>
        </w:rPr>
      </w:pPr>
      <w:r w:rsidRPr="00176BAE">
        <w:rPr>
          <w:rFonts w:ascii="Verdana" w:hAnsi="Verdana"/>
          <w:sz w:val="20"/>
          <w:lang w:val="es-ES_tradnl"/>
        </w:rPr>
        <w:t xml:space="preserve">1. </w:t>
      </w:r>
      <w:r w:rsidRPr="00176BAE">
        <w:rPr>
          <w:rFonts w:ascii="Verdana" w:hAnsi="Verdana"/>
          <w:sz w:val="20"/>
          <w:lang w:val="es-ES_tradnl"/>
        </w:rPr>
        <w:tab/>
        <w:t>Desestimar la solicitud de medidas provisionales presentada por el señor Douglass Cassel, representante de un grupo de presuntas víctimas y familiares del caso Juárez Cruzatt y otros.</w:t>
      </w:r>
    </w:p>
    <w:p w:rsidR="00F74C81" w:rsidRPr="00176BAE" w:rsidRDefault="006C70ED">
      <w:pPr>
        <w:ind w:right="-720"/>
        <w:jc w:val="both"/>
        <w:rPr>
          <w:rFonts w:ascii="Verdana" w:hAnsi="Verdana"/>
          <w:sz w:val="20"/>
          <w:lang w:val="es-ES_tradnl"/>
        </w:rPr>
      </w:pPr>
    </w:p>
    <w:p w:rsidR="00F74C81" w:rsidRPr="00176BAE" w:rsidRDefault="006C70ED">
      <w:pPr>
        <w:jc w:val="both"/>
        <w:rPr>
          <w:rFonts w:ascii="Verdana" w:hAnsi="Verdana"/>
          <w:sz w:val="20"/>
          <w:lang w:val="es-ES_tradnl"/>
        </w:rPr>
      </w:pPr>
      <w:r w:rsidRPr="00176BAE">
        <w:rPr>
          <w:rFonts w:ascii="Verdana" w:hAnsi="Verdana"/>
          <w:sz w:val="20"/>
          <w:lang w:val="es-ES_tradnl"/>
        </w:rPr>
        <w:t>2.</w:t>
      </w:r>
      <w:r w:rsidRPr="00176BAE">
        <w:rPr>
          <w:rFonts w:ascii="Verdana" w:hAnsi="Verdana"/>
          <w:sz w:val="20"/>
          <w:lang w:val="es-ES_tradnl"/>
        </w:rPr>
        <w:tab/>
      </w:r>
      <w:r w:rsidRPr="00176BAE">
        <w:rPr>
          <w:rFonts w:ascii="Verdana" w:eastAsia="Times" w:hAnsi="Verdana"/>
          <w:color w:val="000000"/>
          <w:sz w:val="20"/>
          <w:szCs w:val="20"/>
          <w:lang w:val="es-ES_tradnl" w:eastAsia="en-US" w:bidi="x-none"/>
        </w:rPr>
        <w:t xml:space="preserve">Destacar lo expresado en el Considerando 10 de </w:t>
      </w:r>
      <w:r w:rsidRPr="00176BAE">
        <w:rPr>
          <w:rFonts w:ascii="Verdana" w:eastAsia="Times" w:hAnsi="Verdana"/>
          <w:color w:val="000000"/>
          <w:sz w:val="20"/>
          <w:szCs w:val="20"/>
          <w:lang w:val="es-ES_tradnl" w:eastAsia="en-US" w:bidi="x-none"/>
        </w:rPr>
        <w:t>la presente Resolución.</w:t>
      </w:r>
    </w:p>
    <w:p w:rsidR="00F74C81" w:rsidRPr="00176BAE" w:rsidRDefault="006C70ED">
      <w:pPr>
        <w:ind w:right="-720"/>
        <w:jc w:val="both"/>
        <w:rPr>
          <w:rFonts w:ascii="Verdana" w:hAnsi="Verdana"/>
          <w:sz w:val="20"/>
          <w:lang w:val="es-ES_tradnl"/>
        </w:rPr>
      </w:pPr>
    </w:p>
    <w:p w:rsidR="00F74C81" w:rsidRPr="00176BAE" w:rsidRDefault="006C70ED">
      <w:pPr>
        <w:ind w:right="-720"/>
        <w:jc w:val="both"/>
        <w:rPr>
          <w:rFonts w:ascii="Verdana" w:hAnsi="Verdana"/>
          <w:sz w:val="20"/>
          <w:lang w:val="es-ES_tradnl"/>
        </w:rPr>
      </w:pPr>
      <w:r w:rsidRPr="00176BAE">
        <w:rPr>
          <w:rFonts w:ascii="Verdana" w:hAnsi="Verdana"/>
          <w:sz w:val="20"/>
          <w:lang w:val="es-ES_tradnl"/>
        </w:rPr>
        <w:t>3.</w:t>
      </w:r>
      <w:r w:rsidRPr="00176BAE">
        <w:rPr>
          <w:rFonts w:ascii="Verdana" w:hAnsi="Verdana"/>
          <w:sz w:val="20"/>
          <w:lang w:val="es-ES_tradnl"/>
        </w:rPr>
        <w:tab/>
        <w:t xml:space="preserve">Notificar la presente Resolución al Estado, a la Comisión Interamericana de Derechos Humanos, al señor Douglass Cassel y a la interviniente común de los representantes de las presuntas víctimas y sus familiares. </w:t>
      </w:r>
    </w:p>
    <w:p w:rsidR="00F74C81" w:rsidRPr="00176BAE" w:rsidRDefault="006C70ED">
      <w:pPr>
        <w:rPr>
          <w:lang w:val="es-ES_tradnl"/>
        </w:rPr>
      </w:pPr>
    </w:p>
    <w:p w:rsidR="00F74C81" w:rsidRDefault="006C70ED">
      <w:pPr>
        <w:tabs>
          <w:tab w:val="left" w:pos="5760"/>
          <w:tab w:val="left" w:pos="6480"/>
          <w:tab w:val="left" w:pos="7200"/>
          <w:tab w:val="left" w:pos="7920"/>
          <w:tab w:val="left" w:pos="8640"/>
        </w:tabs>
        <w:ind w:right="40"/>
        <w:rPr>
          <w:rFonts w:ascii="Verdana" w:hAnsi="Verdana"/>
          <w:sz w:val="20"/>
        </w:rPr>
      </w:pPr>
    </w:p>
    <w:p w:rsidR="00F74C81" w:rsidRDefault="006C70ED">
      <w:pPr>
        <w:tabs>
          <w:tab w:val="left" w:pos="5760"/>
          <w:tab w:val="left" w:pos="6480"/>
          <w:tab w:val="left" w:pos="7200"/>
          <w:tab w:val="left" w:pos="8460"/>
          <w:tab w:val="left" w:pos="8640"/>
        </w:tabs>
        <w:ind w:right="-810"/>
        <w:rPr>
          <w:rFonts w:ascii="Verdana" w:hAnsi="Verdana"/>
          <w:sz w:val="20"/>
        </w:rPr>
      </w:pPr>
    </w:p>
    <w:p w:rsidR="00F74C81" w:rsidRDefault="006C70ED">
      <w:pPr>
        <w:tabs>
          <w:tab w:val="left" w:pos="5760"/>
          <w:tab w:val="left" w:pos="6480"/>
          <w:tab w:val="left" w:pos="7200"/>
          <w:tab w:val="left" w:pos="8460"/>
          <w:tab w:val="left" w:pos="8640"/>
        </w:tabs>
        <w:ind w:right="-810"/>
        <w:rPr>
          <w:rFonts w:ascii="Verdana" w:hAnsi="Verdana"/>
          <w:sz w:val="20"/>
        </w:rPr>
      </w:pPr>
    </w:p>
    <w:p w:rsidR="00F74C81" w:rsidRDefault="006C70ED">
      <w:pPr>
        <w:tabs>
          <w:tab w:val="left" w:pos="5760"/>
          <w:tab w:val="left" w:pos="6480"/>
          <w:tab w:val="left" w:pos="7200"/>
          <w:tab w:val="left" w:pos="8460"/>
          <w:tab w:val="left" w:pos="8640"/>
        </w:tabs>
        <w:ind w:right="-810"/>
        <w:jc w:val="right"/>
        <w:rPr>
          <w:rFonts w:ascii="Verdana" w:hAnsi="Verdana"/>
          <w:sz w:val="20"/>
        </w:rPr>
      </w:pPr>
    </w:p>
    <w:p w:rsidR="00F74C81" w:rsidRDefault="006C70ED">
      <w:pPr>
        <w:tabs>
          <w:tab w:val="left" w:pos="5760"/>
          <w:tab w:val="left" w:pos="6480"/>
          <w:tab w:val="left" w:pos="7200"/>
          <w:tab w:val="left" w:pos="8640"/>
        </w:tabs>
        <w:ind w:right="-720"/>
        <w:jc w:val="right"/>
        <w:rPr>
          <w:rFonts w:ascii="Verdana" w:hAnsi="Verdana"/>
          <w:sz w:val="20"/>
        </w:rPr>
      </w:pPr>
      <w:r>
        <w:rPr>
          <w:rFonts w:ascii="Verdana" w:hAnsi="Verdana"/>
          <w:sz w:val="20"/>
        </w:rPr>
        <w:t>Sergio Gar</w:t>
      </w:r>
      <w:r>
        <w:rPr>
          <w:rFonts w:ascii="Verdana" w:hAnsi="Verdana"/>
          <w:sz w:val="20"/>
        </w:rPr>
        <w:t>cía Ramírez</w:t>
      </w: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8460"/>
        </w:tabs>
        <w:ind w:right="-180"/>
        <w:jc w:val="right"/>
        <w:rPr>
          <w:rFonts w:ascii="Verdana" w:hAnsi="Verdana"/>
          <w:sz w:val="20"/>
        </w:rPr>
      </w:pPr>
      <w:r>
        <w:rPr>
          <w:rFonts w:ascii="Verdana" w:hAnsi="Verdana"/>
          <w:sz w:val="20"/>
        </w:rPr>
        <w:t>Presidente</w:t>
      </w: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ind w:right="900"/>
        <w:rPr>
          <w:rFonts w:ascii="Verdana" w:hAnsi="Verdana"/>
          <w:sz w:val="20"/>
        </w:rPr>
      </w:pP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ind w:right="900"/>
        <w:rPr>
          <w:rFonts w:ascii="Verdana" w:hAnsi="Verdana"/>
          <w:sz w:val="20"/>
        </w:rPr>
      </w:pP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ind w:right="900"/>
        <w:rPr>
          <w:rFonts w:ascii="Verdana" w:hAnsi="Verdana"/>
          <w:sz w:val="20"/>
        </w:rPr>
      </w:pP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ind w:right="900"/>
        <w:rPr>
          <w:rFonts w:ascii="Verdana" w:hAnsi="Verdana"/>
          <w:sz w:val="20"/>
        </w:rPr>
      </w:pP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sz w:val="20"/>
        </w:rPr>
      </w:pPr>
      <w:r>
        <w:rPr>
          <w:rFonts w:ascii="Verdana" w:hAnsi="Verdana"/>
          <w:sz w:val="20"/>
        </w:rPr>
        <w:t>Pablo Saavedra Alessandri</w:t>
      </w: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sz w:val="20"/>
        </w:rPr>
      </w:pPr>
      <w:r>
        <w:rPr>
          <w:rFonts w:ascii="Verdana" w:hAnsi="Verdana"/>
          <w:sz w:val="20"/>
        </w:rPr>
        <w:tab/>
        <w:t xml:space="preserve">  Secretario</w:t>
      </w: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sz w:val="20"/>
        </w:rPr>
      </w:pP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sz w:val="20"/>
        </w:rPr>
      </w:pP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sz w:val="20"/>
        </w:rPr>
      </w:pP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sz w:val="20"/>
        </w:rPr>
      </w:pP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sz w:val="20"/>
        </w:rPr>
      </w:pP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sz w:val="20"/>
        </w:rPr>
      </w:pP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sz w:val="20"/>
        </w:rPr>
      </w:pP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z w:val="20"/>
        </w:rPr>
      </w:pPr>
      <w:r>
        <w:rPr>
          <w:rFonts w:ascii="Verdana" w:hAnsi="Verdana"/>
          <w:sz w:val="20"/>
        </w:rPr>
        <w:t>Comuníquese y ejecútese,</w:t>
      </w: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z w:val="20"/>
        </w:rPr>
      </w:pPr>
    </w:p>
    <w:p w:rsidR="00F74C81" w:rsidRDefault="006C70ED">
      <w:pPr>
        <w:tabs>
          <w:tab w:val="left" w:pos="5760"/>
          <w:tab w:val="left" w:pos="6480"/>
          <w:tab w:val="left" w:pos="7200"/>
          <w:tab w:val="left" w:pos="8640"/>
        </w:tabs>
        <w:ind w:right="-720"/>
        <w:jc w:val="right"/>
        <w:rPr>
          <w:rFonts w:ascii="Verdana" w:hAnsi="Verdana"/>
          <w:sz w:val="20"/>
        </w:rPr>
      </w:pPr>
      <w:r>
        <w:rPr>
          <w:rFonts w:ascii="Verdana" w:hAnsi="Verdana"/>
          <w:sz w:val="20"/>
        </w:rPr>
        <w:t>Sergio García Ramírez</w:t>
      </w: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8460"/>
        </w:tabs>
        <w:ind w:right="-180"/>
        <w:jc w:val="right"/>
        <w:rPr>
          <w:rFonts w:ascii="Verdana" w:hAnsi="Verdana"/>
          <w:sz w:val="20"/>
        </w:rPr>
      </w:pPr>
      <w:r>
        <w:rPr>
          <w:rFonts w:ascii="Verdana" w:hAnsi="Verdana"/>
          <w:sz w:val="20"/>
        </w:rPr>
        <w:t>Presidente</w:t>
      </w: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ind w:right="900"/>
        <w:rPr>
          <w:rFonts w:ascii="Verdana" w:hAnsi="Verdana"/>
          <w:sz w:val="20"/>
        </w:rPr>
      </w:pP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ind w:right="900"/>
        <w:rPr>
          <w:rFonts w:ascii="Verdana" w:hAnsi="Verdana"/>
          <w:sz w:val="20"/>
        </w:rPr>
      </w:pP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ind w:right="900"/>
        <w:rPr>
          <w:rFonts w:ascii="Verdana" w:hAnsi="Verdana"/>
          <w:sz w:val="20"/>
        </w:rPr>
      </w:pP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ind w:right="900"/>
        <w:rPr>
          <w:rFonts w:ascii="Verdana" w:hAnsi="Verdana"/>
          <w:sz w:val="20"/>
        </w:rPr>
      </w:pP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ind w:right="900"/>
        <w:rPr>
          <w:rFonts w:ascii="Verdana" w:hAnsi="Verdana"/>
          <w:sz w:val="20"/>
        </w:rPr>
      </w:pP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sz w:val="20"/>
        </w:rPr>
      </w:pPr>
      <w:r>
        <w:rPr>
          <w:rFonts w:ascii="Verdana" w:hAnsi="Verdana"/>
          <w:sz w:val="20"/>
        </w:rPr>
        <w:t>Pablo Saavedra Alessandri</w:t>
      </w: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sz w:val="20"/>
        </w:rPr>
      </w:pPr>
      <w:r>
        <w:rPr>
          <w:rFonts w:ascii="Verdana" w:hAnsi="Verdana"/>
          <w:sz w:val="20"/>
        </w:rPr>
        <w:tab/>
        <w:t xml:space="preserve">  Secretario</w:t>
      </w:r>
    </w:p>
    <w:p w:rsidR="00F74C81" w:rsidRDefault="006C7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z w:val="20"/>
        </w:rPr>
      </w:pPr>
    </w:p>
    <w:p w:rsidR="00F74C81" w:rsidRPr="00C956CF" w:rsidRDefault="006C70ED">
      <w:pPr>
        <w:ind w:right="-720"/>
        <w:jc w:val="both"/>
        <w:rPr>
          <w:rFonts w:ascii="Verdana" w:hAnsi="Verdana"/>
          <w:sz w:val="20"/>
        </w:rPr>
      </w:pPr>
    </w:p>
    <w:p w:rsidR="00F74C81" w:rsidRPr="00176BAE" w:rsidRDefault="006C70ED">
      <w:pPr>
        <w:rPr>
          <w:lang w:val="es-ES_tradnl"/>
        </w:rPr>
      </w:pPr>
    </w:p>
    <w:p w:rsidR="00F74C81" w:rsidRPr="00176BAE" w:rsidRDefault="006C70ED">
      <w:pPr>
        <w:rPr>
          <w:lang w:val="es-ES_tradnl"/>
        </w:rPr>
      </w:pPr>
    </w:p>
    <w:p w:rsidR="00F74C81" w:rsidRPr="00176BAE" w:rsidRDefault="006C70ED">
      <w:pPr>
        <w:ind w:right="-720"/>
        <w:jc w:val="both"/>
        <w:rPr>
          <w:rFonts w:ascii="Verdana" w:hAnsi="Verdana"/>
          <w:sz w:val="20"/>
          <w:lang w:val="es-ES_tradnl"/>
        </w:rPr>
      </w:pPr>
    </w:p>
    <w:sectPr w:rsidR="00F74C81" w:rsidRPr="00176BAE">
      <w:headerReference w:type="even" r:id="rId7"/>
      <w:headerReference w:type="default" r:id="rId8"/>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0ED" w:rsidRDefault="006C70ED">
      <w:r>
        <w:separator/>
      </w:r>
    </w:p>
  </w:endnote>
  <w:endnote w:type="continuationSeparator" w:id="0">
    <w:p w:rsidR="006C70ED" w:rsidRDefault="006C7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Grande">
    <w:charset w:val="00"/>
    <w:family w:val="auto"/>
    <w:pitch w:val="variable"/>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0ED" w:rsidRDefault="006C70ED">
      <w:r>
        <w:separator/>
      </w:r>
    </w:p>
  </w:footnote>
  <w:footnote w:type="continuationSeparator" w:id="0">
    <w:p w:rsidR="006C70ED" w:rsidRDefault="006C70ED">
      <w:r>
        <w:continuationSeparator/>
      </w:r>
    </w:p>
  </w:footnote>
  <w:footnote w:id="1">
    <w:p w:rsidR="00000000" w:rsidRPr="00484D3B" w:rsidRDefault="006C70ED">
      <w:pPr>
        <w:widowControl w:val="0"/>
        <w:ind w:right="-720"/>
        <w:jc w:val="both"/>
        <w:rPr>
          <w:rFonts w:ascii="Verdana" w:hAnsi="Verdana"/>
          <w:sz w:val="16"/>
        </w:rPr>
      </w:pPr>
      <w:r w:rsidRPr="00484D3B">
        <w:rPr>
          <w:rStyle w:val="Refdenotaalpie"/>
          <w:sz w:val="16"/>
        </w:rPr>
        <w:footnoteRef/>
      </w:r>
      <w:r w:rsidRPr="00484D3B">
        <w:rPr>
          <w:rFonts w:ascii="Verdana" w:hAnsi="Verdana"/>
          <w:sz w:val="16"/>
        </w:rPr>
        <w:t xml:space="preserve"> </w:t>
      </w:r>
      <w:r w:rsidRPr="00484D3B">
        <w:rPr>
          <w:rFonts w:ascii="Verdana" w:hAnsi="Verdana"/>
          <w:sz w:val="16"/>
        </w:rPr>
        <w:tab/>
        <w:t>E</w:t>
      </w:r>
      <w:r w:rsidRPr="00484D3B">
        <w:rPr>
          <w:rFonts w:ascii="Verdana" w:hAnsi="Verdana" w:cs="Arial"/>
          <w:sz w:val="16"/>
        </w:rPr>
        <w:t>n el presente caso</w:t>
      </w:r>
      <w:r w:rsidRPr="00484D3B">
        <w:rPr>
          <w:rFonts w:ascii="Verdana" w:hAnsi="Verdana"/>
          <w:sz w:val="16"/>
        </w:rPr>
        <w:t xml:space="preserve">, habían dos grupos de representantes de presuntas </w:t>
      </w:r>
      <w:r w:rsidRPr="00484D3B">
        <w:rPr>
          <w:rFonts w:ascii="Verdana" w:hAnsi="Verdana"/>
          <w:sz w:val="16"/>
        </w:rPr>
        <w:t>víctimas y familiares que deseaban ser nombrados como el interviniente común: el grupo representado por la señora Mónica Feria Tinta; y el grupo representado por las señoras Sabina Astete y Bertha Flores y por los señores Douglas Cassel y Peter Erlinder. D</w:t>
      </w:r>
      <w:r w:rsidRPr="00484D3B">
        <w:rPr>
          <w:rFonts w:ascii="Verdana" w:hAnsi="Verdana"/>
          <w:sz w:val="16"/>
        </w:rPr>
        <w:t>ebido a que los grupos de representantes no llegaron a un acuerdo entre ellos para designar un interviniente común de los representantes, en aplicación del artículo 23 del Reglamento,</w:t>
      </w:r>
      <w:r w:rsidRPr="00484D3B">
        <w:rPr>
          <w:rFonts w:ascii="Verdana" w:hAnsi="Verdana" w:cs="Arial"/>
          <w:sz w:val="16"/>
        </w:rPr>
        <w:t xml:space="preserve"> la Corte tuvo que realizar tal designación y resolvió que la señora Móni</w:t>
      </w:r>
      <w:r w:rsidRPr="00484D3B">
        <w:rPr>
          <w:rFonts w:ascii="Verdana" w:hAnsi="Verdana" w:cs="Arial"/>
          <w:sz w:val="16"/>
        </w:rPr>
        <w:t>ca Feria Tinta sería la interviniente común</w:t>
      </w:r>
      <w:r w:rsidRPr="00484D3B">
        <w:rPr>
          <w:rFonts w:ascii="Verdana" w:hAnsi="Verdana"/>
          <w:sz w:val="16"/>
        </w:rPr>
        <w:t xml:space="preserve">. </w:t>
      </w:r>
    </w:p>
    <w:p w:rsidR="00000000" w:rsidRPr="00484D3B" w:rsidRDefault="006C70ED">
      <w:pPr>
        <w:pStyle w:val="Textonotapie"/>
        <w:ind w:right="-720"/>
        <w:jc w:val="both"/>
        <w:rPr>
          <w:rFonts w:ascii="Verdana" w:hAnsi="Verdana"/>
          <w:sz w:val="16"/>
        </w:rPr>
      </w:pPr>
    </w:p>
    <w:p w:rsidR="00000000" w:rsidRPr="00484D3B" w:rsidRDefault="006C70ED">
      <w:pPr>
        <w:pStyle w:val="Textonotapie"/>
        <w:ind w:right="-720"/>
        <w:jc w:val="both"/>
        <w:rPr>
          <w:rFonts w:ascii="Verdana" w:hAnsi="Verdana"/>
          <w:sz w:val="16"/>
        </w:rPr>
      </w:pPr>
    </w:p>
  </w:footnote>
  <w:footnote w:id="2">
    <w:p w:rsidR="00000000" w:rsidRPr="00484D3B" w:rsidRDefault="006C70ED">
      <w:pPr>
        <w:pStyle w:val="Textonotapie"/>
        <w:ind w:right="-720"/>
        <w:jc w:val="both"/>
        <w:rPr>
          <w:rFonts w:ascii="Verdana" w:hAnsi="Verdana"/>
          <w:b/>
          <w:sz w:val="16"/>
          <w:u w:val="single"/>
        </w:rPr>
      </w:pPr>
      <w:r w:rsidRPr="00484D3B">
        <w:rPr>
          <w:rStyle w:val="Refdenotaalpie"/>
          <w:sz w:val="16"/>
        </w:rPr>
        <w:footnoteRef/>
      </w:r>
      <w:r w:rsidRPr="00484D3B">
        <w:rPr>
          <w:rFonts w:ascii="Verdana" w:hAnsi="Verdana"/>
          <w:sz w:val="16"/>
        </w:rPr>
        <w:t xml:space="preserve"> </w:t>
      </w:r>
      <w:r w:rsidRPr="00484D3B">
        <w:rPr>
          <w:rFonts w:ascii="Verdana" w:hAnsi="Verdana"/>
          <w:sz w:val="16"/>
        </w:rPr>
        <w:tab/>
        <w:t xml:space="preserve">La señora Madeleine Valle Rivera es presunta víctima del caso Juárez Cruzatt y otros, </w:t>
      </w:r>
      <w:r w:rsidRPr="00D97D52">
        <w:rPr>
          <w:rFonts w:ascii="Verdana" w:hAnsi="Verdana"/>
          <w:sz w:val="16"/>
        </w:rPr>
        <w:t>y mediante Resolución del Presidente de 24 de mayo de 2006 se requirió que rinda declaración mediante affidávit.</w:t>
      </w:r>
    </w:p>
  </w:footnote>
  <w:footnote w:id="3">
    <w:p w:rsidR="00000000" w:rsidRPr="00484D3B" w:rsidRDefault="006C70ED">
      <w:pPr>
        <w:pStyle w:val="Textonotapie"/>
        <w:ind w:right="-720"/>
        <w:jc w:val="both"/>
        <w:rPr>
          <w:rFonts w:ascii="Verdana" w:hAnsi="Verdana"/>
          <w:sz w:val="16"/>
        </w:rPr>
      </w:pPr>
    </w:p>
    <w:p w:rsidR="00000000" w:rsidRPr="00484D3B" w:rsidRDefault="006C70ED">
      <w:pPr>
        <w:pStyle w:val="Textonotapie"/>
        <w:ind w:right="-720"/>
        <w:jc w:val="both"/>
        <w:rPr>
          <w:rFonts w:ascii="Verdana" w:hAnsi="Verdana"/>
          <w:sz w:val="16"/>
        </w:rPr>
      </w:pPr>
      <w:r w:rsidRPr="00484D3B">
        <w:rPr>
          <w:rStyle w:val="Refdenotaalpie"/>
          <w:sz w:val="16"/>
        </w:rPr>
        <w:footnoteRef/>
      </w:r>
      <w:r w:rsidRPr="00484D3B">
        <w:rPr>
          <w:rFonts w:ascii="Verdana" w:hAnsi="Verdana"/>
          <w:sz w:val="16"/>
        </w:rPr>
        <w:t xml:space="preserve"> </w:t>
      </w:r>
      <w:r w:rsidRPr="00484D3B">
        <w:rPr>
          <w:rFonts w:ascii="Verdana" w:hAnsi="Verdana"/>
          <w:sz w:val="16"/>
        </w:rPr>
        <w:tab/>
        <w:t>La</w:t>
      </w:r>
      <w:r w:rsidRPr="00484D3B">
        <w:rPr>
          <w:rFonts w:ascii="Verdana" w:hAnsi="Verdana"/>
          <w:sz w:val="16"/>
        </w:rPr>
        <w:t xml:space="preserve"> señora Sabina Astete es una las representantes de las presuntas víctimas y sus familiares (“Grupo Canto Grande 92”), pero no es la interviniente común de los representantes.</w:t>
      </w:r>
    </w:p>
  </w:footnote>
  <w:footnote w:id="4">
    <w:p w:rsidR="00000000" w:rsidRPr="00DA0CBA" w:rsidRDefault="006C70ED">
      <w:pPr>
        <w:ind w:right="-720"/>
        <w:jc w:val="both"/>
        <w:rPr>
          <w:rFonts w:ascii="Verdana" w:hAnsi="Verdana"/>
          <w:sz w:val="16"/>
        </w:rPr>
      </w:pPr>
      <w:r w:rsidRPr="00F95BD7">
        <w:rPr>
          <w:rStyle w:val="Refdenotaalpie"/>
          <w:rFonts w:ascii="Verdana" w:hAnsi="Verdana"/>
          <w:sz w:val="16"/>
        </w:rPr>
        <w:footnoteRef/>
      </w:r>
      <w:r w:rsidRPr="00F95BD7">
        <w:t xml:space="preserve"> </w:t>
      </w:r>
      <w:r w:rsidRPr="00F95BD7">
        <w:tab/>
      </w:r>
      <w:r w:rsidRPr="00DA0CBA">
        <w:rPr>
          <w:rFonts w:ascii="Verdana" w:hAnsi="Verdana"/>
          <w:i/>
          <w:sz w:val="16"/>
        </w:rPr>
        <w:t>Cfr</w:t>
      </w:r>
      <w:r w:rsidRPr="00DA0CBA">
        <w:rPr>
          <w:rFonts w:ascii="Verdana" w:hAnsi="Verdana"/>
          <w:sz w:val="16"/>
        </w:rPr>
        <w:t xml:space="preserve">. </w:t>
      </w:r>
      <w:r w:rsidRPr="00DA0CBA">
        <w:rPr>
          <w:rFonts w:ascii="Verdana" w:hAnsi="Verdana"/>
          <w:i/>
          <w:sz w:val="16"/>
        </w:rPr>
        <w:t>Caso 19 Comerciantes</w:t>
      </w:r>
      <w:r w:rsidRPr="00DA0CBA">
        <w:rPr>
          <w:rFonts w:ascii="Verdana" w:hAnsi="Verdana"/>
          <w:sz w:val="16"/>
        </w:rPr>
        <w:t xml:space="preserve">. </w:t>
      </w:r>
      <w:r w:rsidRPr="00B67A32">
        <w:rPr>
          <w:rFonts w:ascii="Verdana" w:hAnsi="Verdana"/>
          <w:i/>
          <w:sz w:val="16"/>
        </w:rPr>
        <w:t>Medidas Provisionales</w:t>
      </w:r>
      <w:r w:rsidRPr="00DA0CBA">
        <w:rPr>
          <w:rFonts w:ascii="Verdana" w:hAnsi="Verdana"/>
          <w:sz w:val="16"/>
        </w:rPr>
        <w:t>. Resolución del Presidente de</w:t>
      </w:r>
      <w:r w:rsidRPr="00DA0CBA">
        <w:rPr>
          <w:rFonts w:ascii="Verdana" w:hAnsi="Verdana"/>
          <w:sz w:val="16"/>
        </w:rPr>
        <w:t xml:space="preserve"> la Corte Interamericana de Derechos Humanos de 28 de abril de 2006, Considerando octavo; </w:t>
      </w:r>
      <w:r w:rsidRPr="00DA0CBA">
        <w:rPr>
          <w:rFonts w:ascii="Verdana" w:hAnsi="Verdana"/>
          <w:i/>
          <w:sz w:val="16"/>
        </w:rPr>
        <w:t>Caso de la Fundación de Antropología Forense de Guatemala</w:t>
      </w:r>
      <w:r w:rsidRPr="00DA0CBA">
        <w:rPr>
          <w:rFonts w:ascii="Verdana" w:hAnsi="Verdana"/>
          <w:sz w:val="16"/>
        </w:rPr>
        <w:t xml:space="preserve">. </w:t>
      </w:r>
      <w:r w:rsidRPr="00B67A32">
        <w:rPr>
          <w:rFonts w:ascii="Verdana" w:hAnsi="Verdana"/>
          <w:i/>
          <w:sz w:val="16"/>
        </w:rPr>
        <w:t>Medidas Provisionales</w:t>
      </w:r>
      <w:r w:rsidRPr="00DA0CBA">
        <w:rPr>
          <w:rFonts w:ascii="Verdana" w:hAnsi="Verdana"/>
          <w:sz w:val="16"/>
        </w:rPr>
        <w:t>. Resolución del Presidente de la Corte Interamericana de Derechos Humanos de 21 de ab</w:t>
      </w:r>
      <w:r w:rsidRPr="00DA0CBA">
        <w:rPr>
          <w:rFonts w:ascii="Verdana" w:hAnsi="Verdana"/>
          <w:sz w:val="16"/>
        </w:rPr>
        <w:t>ril de 2006, Considerando quinto; y</w:t>
      </w:r>
      <w:r w:rsidRPr="00DA0CBA">
        <w:rPr>
          <w:rFonts w:ascii="Verdana" w:hAnsi="Verdana"/>
          <w:i/>
          <w:sz w:val="16"/>
        </w:rPr>
        <w:t xml:space="preserve"> Caso del Centro Penitenciario Región Capital Yare I y Yare II (Cárcel de Yare). </w:t>
      </w:r>
      <w:r w:rsidRPr="00B67A32">
        <w:rPr>
          <w:rFonts w:ascii="Verdana" w:hAnsi="Verdana"/>
          <w:i/>
          <w:sz w:val="16"/>
        </w:rPr>
        <w:t>Medidas Provisionales</w:t>
      </w:r>
      <w:r w:rsidRPr="00DA0CBA">
        <w:rPr>
          <w:rFonts w:ascii="Verdana" w:hAnsi="Verdana"/>
          <w:sz w:val="16"/>
        </w:rPr>
        <w:t>. Resolución de la Corte Interamericana de Derechos Humanos de 30 de marzo de 2006, Considerando quinto.</w:t>
      </w:r>
    </w:p>
  </w:footnote>
  <w:footnote w:id="5">
    <w:p w:rsidR="00000000" w:rsidRDefault="006C70ED">
      <w:pPr>
        <w:pStyle w:val="Textonotapie"/>
        <w:ind w:right="-720"/>
        <w:jc w:val="both"/>
        <w:rPr>
          <w:rFonts w:ascii="Verdana" w:hAnsi="Verdana"/>
          <w:sz w:val="16"/>
        </w:rPr>
      </w:pPr>
    </w:p>
    <w:p w:rsidR="00000000" w:rsidRPr="00B67A32" w:rsidRDefault="006C70ED">
      <w:pPr>
        <w:ind w:right="-720"/>
        <w:jc w:val="both"/>
        <w:rPr>
          <w:rFonts w:ascii="Verdana" w:hAnsi="Verdana"/>
          <w:sz w:val="16"/>
        </w:rPr>
      </w:pPr>
      <w:r w:rsidRPr="00B67A32">
        <w:rPr>
          <w:rStyle w:val="Refdenotaalpie"/>
          <w:rFonts w:ascii="Verdana" w:hAnsi="Verdana"/>
          <w:sz w:val="16"/>
        </w:rPr>
        <w:footnoteRef/>
      </w:r>
      <w:r w:rsidRPr="00B67A32">
        <w:rPr>
          <w:rFonts w:ascii="Verdana" w:hAnsi="Verdana"/>
          <w:sz w:val="16"/>
        </w:rPr>
        <w:t xml:space="preserve"> </w:t>
      </w:r>
      <w:r w:rsidRPr="00B67A32">
        <w:rPr>
          <w:rFonts w:ascii="Verdana" w:hAnsi="Verdana"/>
          <w:sz w:val="16"/>
        </w:rPr>
        <w:tab/>
      </w:r>
      <w:r w:rsidRPr="00B67A32">
        <w:rPr>
          <w:rFonts w:ascii="Verdana" w:hAnsi="Verdana"/>
          <w:i/>
          <w:sz w:val="16"/>
        </w:rPr>
        <w:t>Cfr.</w:t>
      </w:r>
      <w:r w:rsidRPr="00B67A32">
        <w:rPr>
          <w:rFonts w:ascii="Verdana" w:hAnsi="Verdana"/>
          <w:sz w:val="16"/>
        </w:rPr>
        <w:t xml:space="preserve"> </w:t>
      </w:r>
      <w:r w:rsidRPr="00B67A32">
        <w:rPr>
          <w:rFonts w:ascii="Verdana" w:hAnsi="Verdana"/>
          <w:i/>
          <w:color w:val="000000"/>
          <w:sz w:val="16"/>
        </w:rPr>
        <w:t xml:space="preserve">Caso </w:t>
      </w:r>
      <w:r w:rsidRPr="00B67A32">
        <w:rPr>
          <w:rFonts w:ascii="Verdana" w:hAnsi="Verdana"/>
          <w:i/>
          <w:color w:val="000000"/>
          <w:sz w:val="16"/>
        </w:rPr>
        <w:t>de las Hermanas Serrano Cruz</w:t>
      </w:r>
      <w:r w:rsidRPr="00B67A32">
        <w:rPr>
          <w:rFonts w:ascii="Verdana" w:hAnsi="Verdana"/>
          <w:color w:val="000000"/>
          <w:sz w:val="16"/>
        </w:rPr>
        <w:t>. Sentencia de 1 de marzo de 2005. Serie C No. 120</w:t>
      </w:r>
      <w:r w:rsidRPr="00B67A32">
        <w:rPr>
          <w:rFonts w:ascii="Verdana" w:hAnsi="Verdana"/>
          <w:sz w:val="16"/>
        </w:rPr>
        <w:t xml:space="preserve">, párr. 168; </w:t>
      </w:r>
      <w:r w:rsidRPr="00004CF1">
        <w:rPr>
          <w:rFonts w:ascii="Verdana" w:hAnsi="Verdana"/>
          <w:i/>
          <w:color w:val="000000"/>
          <w:sz w:val="16"/>
          <w:szCs w:val="20"/>
        </w:rPr>
        <w:t xml:space="preserve">Caso Carpio </w:t>
      </w:r>
      <w:r w:rsidRPr="00B67A32">
        <w:rPr>
          <w:rFonts w:ascii="Verdana" w:hAnsi="Verdana"/>
          <w:i/>
          <w:sz w:val="16"/>
        </w:rPr>
        <w:t>Nicolle</w:t>
      </w:r>
      <w:r w:rsidRPr="00004CF1">
        <w:rPr>
          <w:rFonts w:ascii="Verdana" w:hAnsi="Verdana"/>
          <w:i/>
          <w:color w:val="000000"/>
          <w:sz w:val="16"/>
          <w:szCs w:val="20"/>
        </w:rPr>
        <w:t xml:space="preserve"> y otros</w:t>
      </w:r>
      <w:r w:rsidRPr="00004CF1">
        <w:rPr>
          <w:rFonts w:ascii="Verdana" w:hAnsi="Verdana"/>
          <w:color w:val="000000"/>
          <w:sz w:val="16"/>
          <w:szCs w:val="20"/>
        </w:rPr>
        <w:t>. Sentencia de 22 de noviembre de 2004. Serie C No. 117</w:t>
      </w:r>
      <w:r w:rsidRPr="00B67A32">
        <w:rPr>
          <w:rFonts w:ascii="Verdana" w:hAnsi="Verdana"/>
          <w:sz w:val="16"/>
        </w:rPr>
        <w:t>, párr. 127; y</w:t>
      </w:r>
      <w:r w:rsidRPr="00B67A32">
        <w:rPr>
          <w:rFonts w:ascii="Verdana" w:hAnsi="Verdana"/>
          <w:i/>
          <w:sz w:val="16"/>
        </w:rPr>
        <w:t xml:space="preserve"> </w:t>
      </w:r>
      <w:r w:rsidRPr="00004CF1">
        <w:rPr>
          <w:rFonts w:ascii="Verdana" w:hAnsi="Verdana"/>
          <w:i/>
          <w:color w:val="000000"/>
          <w:sz w:val="16"/>
          <w:szCs w:val="20"/>
        </w:rPr>
        <w:t>Caso Masacre Plan de Sánchez</w:t>
      </w:r>
      <w:r w:rsidRPr="00004CF1">
        <w:rPr>
          <w:rFonts w:ascii="Verdana" w:hAnsi="Verdana"/>
          <w:color w:val="000000"/>
          <w:sz w:val="16"/>
          <w:szCs w:val="20"/>
        </w:rPr>
        <w:t xml:space="preserve">. </w:t>
      </w:r>
      <w:r w:rsidRPr="00004CF1">
        <w:rPr>
          <w:rFonts w:ascii="Verdana" w:hAnsi="Verdana"/>
          <w:i/>
          <w:color w:val="000000"/>
          <w:sz w:val="16"/>
          <w:szCs w:val="20"/>
        </w:rPr>
        <w:t>Reparaciones</w:t>
      </w:r>
      <w:r w:rsidRPr="00004CF1">
        <w:rPr>
          <w:rFonts w:ascii="Verdana" w:hAnsi="Verdana"/>
          <w:color w:val="000000"/>
          <w:sz w:val="16"/>
          <w:szCs w:val="20"/>
        </w:rPr>
        <w:t xml:space="preserve"> (art. 63.1 Convención Ame</w:t>
      </w:r>
      <w:r w:rsidRPr="00004CF1">
        <w:rPr>
          <w:rFonts w:ascii="Verdana" w:hAnsi="Verdana"/>
          <w:color w:val="000000"/>
          <w:sz w:val="16"/>
          <w:szCs w:val="20"/>
        </w:rPr>
        <w:t>ricana sobre Derechos Humanos). Sentencia de 19 de noviembre de 2004. Serie C No. 116</w:t>
      </w:r>
      <w:r w:rsidRPr="00B67A32">
        <w:rPr>
          <w:rFonts w:ascii="Verdana" w:hAnsi="Verdana"/>
          <w:sz w:val="16"/>
        </w:rPr>
        <w:t>, párr. 96.</w:t>
      </w:r>
    </w:p>
    <w:p w:rsidR="00000000" w:rsidRDefault="006C70ED">
      <w:pPr>
        <w:pStyle w:val="Textonotapie"/>
        <w:jc w:val="both"/>
        <w:rPr>
          <w:rFonts w:ascii="Verdana" w:hAnsi="Verdana"/>
          <w:sz w:val="16"/>
        </w:rPr>
      </w:pPr>
    </w:p>
  </w:footnote>
  <w:footnote w:id="6">
    <w:p w:rsidR="00000000" w:rsidRPr="00B67A32" w:rsidRDefault="006C70ED">
      <w:pPr>
        <w:ind w:right="-720"/>
        <w:jc w:val="both"/>
        <w:rPr>
          <w:rFonts w:ascii="Verdana" w:hAnsi="Verdana"/>
          <w:sz w:val="16"/>
        </w:rPr>
      </w:pPr>
      <w:r w:rsidRPr="00B67A32">
        <w:rPr>
          <w:rStyle w:val="Refdenotaalpie"/>
          <w:sz w:val="16"/>
        </w:rPr>
        <w:footnoteRef/>
      </w:r>
      <w:r w:rsidRPr="00B67A32">
        <w:rPr>
          <w:rFonts w:ascii="Verdana" w:hAnsi="Verdana"/>
          <w:sz w:val="16"/>
        </w:rPr>
        <w:tab/>
      </w:r>
      <w:r w:rsidRPr="00B67A32">
        <w:rPr>
          <w:rFonts w:ascii="Verdana" w:hAnsi="Verdana"/>
          <w:i/>
          <w:sz w:val="16"/>
        </w:rPr>
        <w:t>Cfr. Caso Baldeón García</w:t>
      </w:r>
      <w:r w:rsidRPr="00B67A32">
        <w:rPr>
          <w:rFonts w:ascii="Verdana" w:hAnsi="Verdana"/>
          <w:sz w:val="16"/>
        </w:rPr>
        <w:t xml:space="preserve">. Sentencia de 6 de abril de 2006. Serie C No. 147, párr. 93; </w:t>
      </w:r>
      <w:r w:rsidRPr="00B67A32">
        <w:rPr>
          <w:rFonts w:ascii="Verdana" w:hAnsi="Verdana"/>
          <w:i/>
          <w:sz w:val="16"/>
        </w:rPr>
        <w:t>Caso</w:t>
      </w:r>
      <w:r w:rsidRPr="00B67A32">
        <w:rPr>
          <w:rFonts w:ascii="Verdana" w:hAnsi="Verdana"/>
          <w:sz w:val="16"/>
        </w:rPr>
        <w:t xml:space="preserve"> </w:t>
      </w:r>
      <w:r w:rsidRPr="00B67A32">
        <w:rPr>
          <w:rFonts w:ascii="Verdana" w:hAnsi="Verdana"/>
          <w:i/>
          <w:sz w:val="16"/>
        </w:rPr>
        <w:t>de la Masacre de Pueblo Bello</w:t>
      </w:r>
      <w:r w:rsidRPr="00B67A32">
        <w:rPr>
          <w:rFonts w:ascii="Verdana" w:hAnsi="Verdana"/>
          <w:sz w:val="16"/>
        </w:rPr>
        <w:t xml:space="preserve">. Sentencia de 31 de enero de 2006. </w:t>
      </w:r>
      <w:r w:rsidRPr="00B67A32">
        <w:rPr>
          <w:rFonts w:ascii="Verdana" w:hAnsi="Verdana"/>
          <w:sz w:val="16"/>
        </w:rPr>
        <w:t xml:space="preserve">Serie C No. 140, párrs. 143 y 144; y </w:t>
      </w:r>
      <w:r w:rsidRPr="00B67A32">
        <w:rPr>
          <w:rFonts w:ascii="Verdana" w:hAnsi="Verdana"/>
          <w:i/>
          <w:color w:val="000000"/>
          <w:sz w:val="16"/>
        </w:rPr>
        <w:t>Caso de la Masacre de Mapiripán</w:t>
      </w:r>
      <w:r w:rsidRPr="00B67A32">
        <w:rPr>
          <w:rFonts w:ascii="Verdana" w:hAnsi="Verdana"/>
          <w:color w:val="000000"/>
          <w:sz w:val="16"/>
        </w:rPr>
        <w:t>. Sentencia de 15 de septiembre de 2005. Serie C No. 134</w:t>
      </w:r>
      <w:r w:rsidRPr="00B67A32">
        <w:rPr>
          <w:rFonts w:ascii="Verdana" w:hAnsi="Verdana"/>
          <w:sz w:val="16"/>
        </w:rPr>
        <w:t xml:space="preserve">, párrs. 219 y 223.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6C70ED">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6C70E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6C70ED">
    <w:pPr>
      <w:pStyle w:val="Encabezado"/>
      <w:framePr w:wrap="around" w:vAnchor="text" w:hAnchor="margin" w:xAlign="center" w:y="1"/>
      <w:rPr>
        <w:rStyle w:val="Nmerodepgina"/>
      </w:rPr>
    </w:pPr>
    <w:r>
      <w:rPr>
        <w:rStyle w:val="Nmerodepgina"/>
      </w:rPr>
      <w:t>-</w:t>
    </w:r>
    <w:r>
      <w:rPr>
        <w:rStyle w:val="Nmerodepgina"/>
      </w:rPr>
      <w:fldChar w:fldCharType="begin"/>
    </w:r>
    <w:r>
      <w:rPr>
        <w:rStyle w:val="Nmerodepgina"/>
      </w:rPr>
      <w:instrText xml:space="preserve">PAGE  </w:instrText>
    </w:r>
    <w:r>
      <w:rPr>
        <w:rStyle w:val="Nmerodepgina"/>
      </w:rPr>
      <w:fldChar w:fldCharType="separate"/>
    </w:r>
    <w:r w:rsidR="00E34FD9">
      <w:rPr>
        <w:rStyle w:val="Nmerodepgina"/>
        <w:noProof/>
      </w:rPr>
      <w:t>5</w:t>
    </w:r>
    <w:r>
      <w:rPr>
        <w:rStyle w:val="Nmerodepgina"/>
      </w:rPr>
      <w:fldChar w:fldCharType="end"/>
    </w:r>
    <w:r>
      <w:rPr>
        <w:rStyle w:val="Nmerodepgina"/>
      </w:rPr>
      <w:t>-</w:t>
    </w:r>
  </w:p>
  <w:p w:rsidR="00000000" w:rsidRDefault="006C70E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C359FF"/>
    <w:multiLevelType w:val="hybridMultilevel"/>
    <w:tmpl w:val="8F40193E"/>
    <w:lvl w:ilvl="0" w:tplc="00170409">
      <w:start w:val="1"/>
      <w:numFmt w:val="lowerLetter"/>
      <w:lvlText w:val="%1)"/>
      <w:lvlJc w:val="left"/>
      <w:pPr>
        <w:tabs>
          <w:tab w:val="num" w:pos="1040"/>
        </w:tabs>
        <w:ind w:left="1040" w:hanging="360"/>
      </w:pPr>
      <w:rPr>
        <w:rFonts w:hint="default"/>
      </w:rPr>
    </w:lvl>
    <w:lvl w:ilvl="1" w:tplc="00190409" w:tentative="1">
      <w:start w:val="1"/>
      <w:numFmt w:val="lowerLetter"/>
      <w:lvlText w:val="%2."/>
      <w:lvlJc w:val="left"/>
      <w:pPr>
        <w:tabs>
          <w:tab w:val="num" w:pos="1760"/>
        </w:tabs>
        <w:ind w:left="1760" w:hanging="360"/>
      </w:pPr>
    </w:lvl>
    <w:lvl w:ilvl="2" w:tplc="001B0409" w:tentative="1">
      <w:start w:val="1"/>
      <w:numFmt w:val="lowerRoman"/>
      <w:lvlText w:val="%3."/>
      <w:lvlJc w:val="right"/>
      <w:pPr>
        <w:tabs>
          <w:tab w:val="num" w:pos="2480"/>
        </w:tabs>
        <w:ind w:left="2480" w:hanging="180"/>
      </w:pPr>
    </w:lvl>
    <w:lvl w:ilvl="3" w:tplc="000F0409" w:tentative="1">
      <w:start w:val="1"/>
      <w:numFmt w:val="decimal"/>
      <w:lvlText w:val="%4."/>
      <w:lvlJc w:val="left"/>
      <w:pPr>
        <w:tabs>
          <w:tab w:val="num" w:pos="3200"/>
        </w:tabs>
        <w:ind w:left="3200" w:hanging="360"/>
      </w:pPr>
    </w:lvl>
    <w:lvl w:ilvl="4" w:tplc="00190409" w:tentative="1">
      <w:start w:val="1"/>
      <w:numFmt w:val="lowerLetter"/>
      <w:lvlText w:val="%5."/>
      <w:lvlJc w:val="left"/>
      <w:pPr>
        <w:tabs>
          <w:tab w:val="num" w:pos="3920"/>
        </w:tabs>
        <w:ind w:left="3920" w:hanging="360"/>
      </w:pPr>
    </w:lvl>
    <w:lvl w:ilvl="5" w:tplc="001B0409" w:tentative="1">
      <w:start w:val="1"/>
      <w:numFmt w:val="lowerRoman"/>
      <w:lvlText w:val="%6."/>
      <w:lvlJc w:val="right"/>
      <w:pPr>
        <w:tabs>
          <w:tab w:val="num" w:pos="4640"/>
        </w:tabs>
        <w:ind w:left="4640" w:hanging="180"/>
      </w:pPr>
    </w:lvl>
    <w:lvl w:ilvl="6" w:tplc="000F0409" w:tentative="1">
      <w:start w:val="1"/>
      <w:numFmt w:val="decimal"/>
      <w:lvlText w:val="%7."/>
      <w:lvlJc w:val="left"/>
      <w:pPr>
        <w:tabs>
          <w:tab w:val="num" w:pos="5360"/>
        </w:tabs>
        <w:ind w:left="5360" w:hanging="360"/>
      </w:pPr>
    </w:lvl>
    <w:lvl w:ilvl="7" w:tplc="00190409" w:tentative="1">
      <w:start w:val="1"/>
      <w:numFmt w:val="lowerLetter"/>
      <w:lvlText w:val="%8."/>
      <w:lvlJc w:val="left"/>
      <w:pPr>
        <w:tabs>
          <w:tab w:val="num" w:pos="6080"/>
        </w:tabs>
        <w:ind w:left="6080" w:hanging="360"/>
      </w:pPr>
    </w:lvl>
    <w:lvl w:ilvl="8" w:tplc="001B0409" w:tentative="1">
      <w:start w:val="1"/>
      <w:numFmt w:val="lowerRoman"/>
      <w:lvlText w:val="%9."/>
      <w:lvlJc w:val="right"/>
      <w:pPr>
        <w:tabs>
          <w:tab w:val="num" w:pos="6800"/>
        </w:tabs>
        <w:ind w:left="6800" w:hanging="180"/>
      </w:pPr>
    </w:lvl>
  </w:abstractNum>
  <w:abstractNum w:abstractNumId="1">
    <w:nsid w:val="5BC856F4"/>
    <w:multiLevelType w:val="hybridMultilevel"/>
    <w:tmpl w:val="37F28ED8"/>
    <w:lvl w:ilvl="0" w:tplc="1DB6D836">
      <w:start w:val="1"/>
      <w:numFmt w:val="lowerLetter"/>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95F4B"/>
    <w:rsid w:val="006C70ED"/>
    <w:rsid w:val="00C95F4B"/>
    <w:rsid w:val="00E34FD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0E79"/>
    <w:rPr>
      <w:sz w:val="24"/>
      <w:szCs w:val="24"/>
      <w:lang w:val="es-ES" w:eastAsia="es-ES"/>
    </w:rPr>
  </w:style>
  <w:style w:type="paragraph" w:styleId="Ttulo1">
    <w:name w:val="heading 1"/>
    <w:basedOn w:val="Normal"/>
    <w:next w:val="Normal"/>
    <w:qFormat/>
    <w:rsid w:val="00230E79"/>
    <w:pPr>
      <w:keepNext/>
      <w:jc w:val="center"/>
      <w:outlineLvl w:val="0"/>
    </w:pPr>
    <w:rPr>
      <w:rFonts w:ascii="Verdana" w:hAnsi="Verdana"/>
      <w:b/>
      <w:smallCaps/>
      <w:sz w:val="20"/>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tulo">
    <w:name w:val="Title"/>
    <w:basedOn w:val="Normal"/>
    <w:qFormat/>
    <w:rsid w:val="00230E79"/>
    <w:pPr>
      <w:jc w:val="center"/>
    </w:pPr>
    <w:rPr>
      <w:rFonts w:ascii="Verdana" w:hAnsi="Verdana"/>
      <w:b/>
      <w:smallCaps/>
      <w:sz w:val="20"/>
    </w:rPr>
  </w:style>
  <w:style w:type="paragraph" w:styleId="Textonotapie">
    <w:name w:val="footnote text"/>
    <w:aliases w:val="Footnote reference,FA Fu,Footnote Text Char Char Char Char Char,Footnote Text Char Char Char Char,Footnote Text Char Char Char"/>
    <w:basedOn w:val="Normal"/>
    <w:semiHidden/>
    <w:rsid w:val="00230E79"/>
    <w:rPr>
      <w:rFonts w:ascii="Times" w:hAnsi="Times"/>
      <w:sz w:val="20"/>
      <w:szCs w:val="20"/>
      <w:lang w:val="es-ES_tradnl" w:eastAsia="en-US"/>
    </w:rPr>
  </w:style>
  <w:style w:type="character" w:styleId="Refdenotaalpie">
    <w:name w:val="footnote reference"/>
    <w:semiHidden/>
    <w:rsid w:val="00230E79"/>
    <w:rPr>
      <w:vertAlign w:val="superscript"/>
    </w:rPr>
  </w:style>
  <w:style w:type="paragraph" w:styleId="Textoindependiente">
    <w:name w:val="Body Text"/>
    <w:basedOn w:val="Normal"/>
    <w:rsid w:val="00230E79"/>
    <w:pPr>
      <w:widowControl w:val="0"/>
      <w:tabs>
        <w:tab w:val="left" w:pos="360"/>
      </w:tabs>
      <w:ind w:right="720"/>
      <w:jc w:val="both"/>
    </w:pPr>
    <w:rPr>
      <w:rFonts w:ascii="Garamond" w:hAnsi="Garamond"/>
      <w:szCs w:val="20"/>
      <w:lang w:val="es-ES_tradnl" w:eastAsia="en-US"/>
    </w:rPr>
  </w:style>
  <w:style w:type="paragraph" w:styleId="Textoindependiente2">
    <w:name w:val="Body Text 2"/>
    <w:basedOn w:val="Normal"/>
    <w:rsid w:val="00230E79"/>
    <w:pPr>
      <w:widowControl w:val="0"/>
      <w:jc w:val="both"/>
    </w:pPr>
    <w:rPr>
      <w:rFonts w:ascii="Garamond" w:hAnsi="Garamond"/>
      <w:szCs w:val="20"/>
      <w:lang w:val="es-ES_tradnl" w:eastAsia="en-US"/>
    </w:rPr>
  </w:style>
  <w:style w:type="paragraph" w:styleId="Textoindependiente3">
    <w:name w:val="Body Text 3"/>
    <w:basedOn w:val="Normal"/>
    <w:rsid w:val="00230E79"/>
    <w:pPr>
      <w:spacing w:after="120"/>
    </w:pPr>
    <w:rPr>
      <w:sz w:val="16"/>
      <w:szCs w:val="16"/>
    </w:rPr>
  </w:style>
  <w:style w:type="paragraph" w:styleId="Textodebloque">
    <w:name w:val="Block Text"/>
    <w:basedOn w:val="Normal"/>
    <w:rsid w:val="00230E79"/>
    <w:pPr>
      <w:widowControl w:val="0"/>
      <w:ind w:left="720" w:right="720"/>
      <w:jc w:val="both"/>
    </w:pPr>
    <w:rPr>
      <w:rFonts w:ascii="Garamond" w:hAnsi="Garamond"/>
      <w:sz w:val="20"/>
      <w:szCs w:val="20"/>
      <w:lang w:val="es-ES_tradnl" w:eastAsia="en-US"/>
    </w:rPr>
  </w:style>
  <w:style w:type="paragraph" w:styleId="Sangradetextonormal">
    <w:name w:val="Body Text Indent"/>
    <w:basedOn w:val="Normal"/>
    <w:rsid w:val="00230E79"/>
    <w:pPr>
      <w:spacing w:after="40"/>
      <w:ind w:left="720"/>
      <w:jc w:val="both"/>
    </w:pPr>
    <w:rPr>
      <w:rFonts w:ascii="Verdana" w:hAnsi="Verdana"/>
      <w:sz w:val="16"/>
    </w:rPr>
  </w:style>
  <w:style w:type="paragraph" w:styleId="Encabezado">
    <w:name w:val="header"/>
    <w:basedOn w:val="Normal"/>
    <w:rsid w:val="00484D3B"/>
    <w:pPr>
      <w:tabs>
        <w:tab w:val="center" w:pos="4320"/>
        <w:tab w:val="right" w:pos="8640"/>
      </w:tabs>
    </w:pPr>
  </w:style>
  <w:style w:type="character" w:styleId="Nmerodepgina">
    <w:name w:val="page number"/>
    <w:basedOn w:val="Fuentedeprrafopredeter"/>
    <w:rsid w:val="00484D3B"/>
  </w:style>
  <w:style w:type="paragraph" w:styleId="Piedepgina">
    <w:name w:val="footer"/>
    <w:basedOn w:val="Normal"/>
    <w:semiHidden/>
    <w:rsid w:val="004D7C46"/>
    <w:pPr>
      <w:tabs>
        <w:tab w:val="center" w:pos="4320"/>
        <w:tab w:val="right" w:pos="8640"/>
      </w:tabs>
    </w:pPr>
  </w:style>
  <w:style w:type="paragraph" w:styleId="Textodeglobo">
    <w:name w:val="Balloon Text"/>
    <w:basedOn w:val="Normal"/>
    <w:semiHidden/>
    <w:rsid w:val="00DC4270"/>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1642</Words>
  <Characters>9037</Characters>
  <Application>Microsoft Office Word</Application>
  <DocSecurity>0</DocSecurity>
  <Lines>75</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 LA</vt:lpstr>
      <vt:lpstr>RESOLUCIÓN DE LA</vt:lpstr>
    </vt:vector>
  </TitlesOfParts>
  <Company>CORTE IDH</Company>
  <LinksUpToDate>false</LinksUpToDate>
  <CharactersWithSpaces>10658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 LA</dc:title>
  <dc:creator>cla</dc:creator>
  <cp:lastModifiedBy>Liliana Tojo</cp:lastModifiedBy>
  <cp:revision>3</cp:revision>
  <cp:lastPrinted>2017-06-23T21:33:00Z</cp:lastPrinted>
  <dcterms:created xsi:type="dcterms:W3CDTF">2017-06-23T21:33:00Z</dcterms:created>
  <dcterms:modified xsi:type="dcterms:W3CDTF">2017-06-23T21:33:00Z</dcterms:modified>
</cp:coreProperties>
</file>