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BD337A">
      <w:pPr>
        <w:jc w:val="center"/>
        <w:rPr>
          <w:rFonts w:ascii="Verdana" w:hAnsi="Verdana"/>
          <w:b/>
          <w:sz w:val="22"/>
          <w:szCs w:val="22"/>
          <w:lang w:val="es-ES"/>
        </w:rPr>
      </w:pPr>
      <w:bookmarkStart w:id="0" w:name="_GoBack"/>
      <w:bookmarkEnd w:id="0"/>
      <w:r>
        <w:rPr>
          <w:rFonts w:ascii="Verdana" w:hAnsi="Verdana"/>
          <w:b/>
          <w:sz w:val="22"/>
          <w:szCs w:val="22"/>
          <w:lang w:val="es-ES"/>
        </w:rPr>
        <w:t>Corte Interamericana de Derechos Humanos</w:t>
      </w:r>
    </w:p>
    <w:p w:rsidR="00000000" w:rsidRDefault="00BD337A">
      <w:pPr>
        <w:jc w:val="center"/>
        <w:rPr>
          <w:rFonts w:ascii="Verdana" w:hAnsi="Verdana"/>
          <w:b/>
          <w:sz w:val="22"/>
          <w:szCs w:val="22"/>
          <w:lang w:val="es-ES"/>
        </w:rPr>
      </w:pPr>
    </w:p>
    <w:p w:rsidR="00000000" w:rsidRDefault="00BD337A">
      <w:pPr>
        <w:jc w:val="center"/>
        <w:rPr>
          <w:rFonts w:ascii="Verdana" w:hAnsi="Verdana"/>
          <w:b/>
          <w:sz w:val="22"/>
          <w:szCs w:val="22"/>
          <w:lang w:val="es-ES"/>
        </w:rPr>
      </w:pPr>
    </w:p>
    <w:p w:rsidR="00000000" w:rsidRDefault="00BD337A">
      <w:pPr>
        <w:jc w:val="center"/>
        <w:rPr>
          <w:rFonts w:ascii="Verdana" w:hAnsi="Verdana"/>
          <w:b/>
          <w:sz w:val="22"/>
          <w:szCs w:val="22"/>
          <w:lang w:val="es-ES"/>
        </w:rPr>
      </w:pPr>
      <w:r>
        <w:rPr>
          <w:rFonts w:ascii="Verdana" w:hAnsi="Verdana"/>
          <w:b/>
          <w:sz w:val="22"/>
          <w:szCs w:val="22"/>
          <w:lang w:val="es-ES"/>
        </w:rPr>
        <w:t xml:space="preserve">Caso Cesti Hurtado </w:t>
      </w:r>
      <w:r>
        <w:rPr>
          <w:rFonts w:ascii="Verdana" w:hAnsi="Verdana"/>
          <w:b/>
          <w:i/>
          <w:sz w:val="22"/>
          <w:szCs w:val="22"/>
          <w:lang w:val="es-ES"/>
        </w:rPr>
        <w:t>Vs.</w:t>
      </w:r>
      <w:r>
        <w:rPr>
          <w:rFonts w:ascii="Verdana" w:hAnsi="Verdana"/>
          <w:b/>
          <w:sz w:val="22"/>
          <w:szCs w:val="22"/>
          <w:lang w:val="es-ES"/>
        </w:rPr>
        <w:t xml:space="preserve"> Perú</w:t>
      </w:r>
    </w:p>
    <w:p w:rsidR="00000000" w:rsidRDefault="00BD337A">
      <w:pPr>
        <w:jc w:val="center"/>
        <w:rPr>
          <w:rFonts w:ascii="Verdana" w:hAnsi="Verdana"/>
          <w:b/>
          <w:sz w:val="22"/>
          <w:szCs w:val="22"/>
          <w:lang w:val="es-ES"/>
        </w:rPr>
      </w:pPr>
      <w:r>
        <w:rPr>
          <w:rFonts w:ascii="Verdana" w:hAnsi="Verdana"/>
          <w:b/>
          <w:sz w:val="22"/>
          <w:szCs w:val="22"/>
          <w:lang w:val="es-ES"/>
        </w:rPr>
        <w:t xml:space="preserve"> </w:t>
      </w:r>
    </w:p>
    <w:p w:rsidR="00000000" w:rsidRDefault="00BD337A">
      <w:pPr>
        <w:rPr>
          <w:rFonts w:ascii="Verdana" w:hAnsi="Verdana"/>
          <w:b/>
          <w:sz w:val="22"/>
          <w:szCs w:val="22"/>
          <w:lang w:val="es-ES"/>
        </w:rPr>
      </w:pPr>
    </w:p>
    <w:p w:rsidR="00000000" w:rsidRDefault="00BD337A">
      <w:pPr>
        <w:jc w:val="center"/>
        <w:rPr>
          <w:rFonts w:ascii="Verdana" w:hAnsi="Verdana"/>
          <w:b/>
          <w:sz w:val="22"/>
          <w:szCs w:val="22"/>
          <w:lang w:val="es-ES"/>
        </w:rPr>
      </w:pPr>
      <w:r>
        <w:rPr>
          <w:rFonts w:ascii="Verdana" w:hAnsi="Verdana"/>
          <w:b/>
          <w:sz w:val="22"/>
          <w:szCs w:val="22"/>
          <w:lang w:val="es-ES"/>
        </w:rPr>
        <w:t>Sentencia de 27 de noviembre de 2001</w:t>
      </w:r>
    </w:p>
    <w:p w:rsidR="00000000" w:rsidRDefault="00BD337A">
      <w:pPr>
        <w:jc w:val="center"/>
        <w:rPr>
          <w:rFonts w:ascii="Verdana" w:hAnsi="Verdana"/>
          <w:b/>
          <w:i/>
          <w:sz w:val="20"/>
          <w:lang w:val="es-ES"/>
        </w:rPr>
      </w:pPr>
      <w:r>
        <w:rPr>
          <w:rFonts w:ascii="Verdana" w:hAnsi="Verdana"/>
          <w:b/>
          <w:i/>
          <w:sz w:val="20"/>
          <w:lang w:val="es-ES"/>
        </w:rPr>
        <w:t xml:space="preserve">(Interpretación de </w:t>
      </w:r>
      <w:smartTag w:uri="urn:schemas-microsoft-com:office:smarttags" w:element="PersonName">
        <w:smartTagPr>
          <w:attr w:name="ProductID" w:val="la Sentencia"/>
        </w:smartTagPr>
        <w:r>
          <w:rPr>
            <w:rFonts w:ascii="Verdana" w:hAnsi="Verdana"/>
            <w:b/>
            <w:i/>
            <w:sz w:val="20"/>
            <w:lang w:val="es-ES"/>
          </w:rPr>
          <w:t>la Sentencia</w:t>
        </w:r>
      </w:smartTag>
      <w:r>
        <w:rPr>
          <w:rFonts w:ascii="Verdana" w:hAnsi="Verdana"/>
          <w:b/>
          <w:i/>
          <w:sz w:val="20"/>
          <w:lang w:val="es-ES"/>
        </w:rPr>
        <w:t xml:space="preserve"> de Reparaciones y Costas)</w:t>
      </w:r>
    </w:p>
    <w:p w:rsidR="00000000" w:rsidRDefault="00BD337A">
      <w:pPr>
        <w:jc w:val="center"/>
        <w:rPr>
          <w:rFonts w:ascii="Verdana" w:hAnsi="Verdana"/>
          <w:sz w:val="20"/>
          <w:lang w:val="es-ES"/>
        </w:rPr>
      </w:pPr>
      <w:r>
        <w:rPr>
          <w:rFonts w:ascii="Verdana" w:hAnsi="Verdana"/>
          <w:sz w:val="20"/>
          <w:lang w:val="es-ES"/>
        </w:rPr>
        <w:t xml:space="preserve"> </w:t>
      </w:r>
    </w:p>
    <w:p w:rsidR="00000000" w:rsidRDefault="00BD337A">
      <w:pPr>
        <w:jc w:val="center"/>
        <w:rPr>
          <w:rFonts w:ascii="Verdana" w:hAnsi="Verdana"/>
          <w:sz w:val="20"/>
          <w:lang w:val="es-ES"/>
        </w:rPr>
      </w:pPr>
    </w:p>
    <w:p w:rsidR="00000000" w:rsidRDefault="00BD337A">
      <w:pPr>
        <w:jc w:val="center"/>
        <w:rPr>
          <w:rFonts w:ascii="Verdana" w:hAnsi="Verdana"/>
          <w:sz w:val="20"/>
          <w:lang w:val="es-ES"/>
        </w:rPr>
      </w:pPr>
    </w:p>
    <w:p w:rsidR="00000000" w:rsidRDefault="00BD337A">
      <w:pPr>
        <w:jc w:val="center"/>
        <w:rPr>
          <w:rFonts w:ascii="Verdana" w:hAnsi="Verdana"/>
          <w:b/>
          <w:sz w:val="20"/>
          <w:lang w:val="es-ES_tradnl"/>
        </w:rPr>
      </w:pPr>
    </w:p>
    <w:p w:rsidR="00000000" w:rsidRDefault="00BD337A">
      <w:pPr>
        <w:jc w:val="center"/>
        <w:rPr>
          <w:rFonts w:ascii="Verdana" w:hAnsi="Verdana"/>
          <w:b/>
          <w:sz w:val="20"/>
          <w:lang w:val="es-ES_tradnl"/>
        </w:rPr>
      </w:pPr>
    </w:p>
    <w:p w:rsidR="00000000" w:rsidRDefault="00BD337A">
      <w:pPr>
        <w:ind w:right="4"/>
        <w:jc w:val="both"/>
        <w:rPr>
          <w:rFonts w:ascii="Verdana" w:hAnsi="Verdana"/>
          <w:sz w:val="20"/>
          <w:lang w:val="es-ES_tradnl"/>
        </w:rPr>
      </w:pPr>
      <w:r>
        <w:rPr>
          <w:rFonts w:ascii="Verdana" w:hAnsi="Verdana"/>
          <w:sz w:val="20"/>
          <w:lang w:val="es-ES_tradnl"/>
        </w:rPr>
        <w:t>En el caso Cesti Hurtado,</w:t>
      </w:r>
    </w:p>
    <w:p w:rsidR="00000000" w:rsidRDefault="00BD337A">
      <w:pPr>
        <w:ind w:right="4"/>
        <w:jc w:val="both"/>
        <w:rPr>
          <w:rFonts w:ascii="Verdana" w:hAnsi="Verdana"/>
          <w:sz w:val="20"/>
          <w:lang w:val="es-ES_tradnl"/>
        </w:rPr>
      </w:pPr>
    </w:p>
    <w:p w:rsidR="00000000" w:rsidRDefault="00BD337A">
      <w:pPr>
        <w:ind w:right="4"/>
        <w:jc w:val="both"/>
        <w:rPr>
          <w:rFonts w:ascii="Verdana" w:hAnsi="Verdana"/>
          <w:sz w:val="20"/>
          <w:lang w:val="es-ES_tradnl"/>
        </w:rPr>
      </w:pPr>
      <w:proofErr w:type="gramStart"/>
      <w:smartTag w:uri="urn:schemas-microsoft-com:office:smarttags" w:element="PersonName">
        <w:smartTagPr>
          <w:attr w:name="ProductID" w:val="la Corte Interamericana"/>
        </w:smartTagPr>
        <w:r>
          <w:rPr>
            <w:rFonts w:ascii="Verdana" w:hAnsi="Verdana"/>
            <w:sz w:val="20"/>
            <w:lang w:val="es-ES_tradnl"/>
          </w:rPr>
          <w:t>la</w:t>
        </w:r>
        <w:proofErr w:type="gramEnd"/>
        <w:r>
          <w:rPr>
            <w:rFonts w:ascii="Verdana" w:hAnsi="Verdana"/>
            <w:sz w:val="20"/>
            <w:lang w:val="es-ES_tradnl"/>
          </w:rPr>
          <w:t xml:space="preserve"> Corte Interamericana</w:t>
        </w:r>
      </w:smartTag>
      <w:r>
        <w:rPr>
          <w:rFonts w:ascii="Verdana" w:hAnsi="Verdana"/>
          <w:sz w:val="20"/>
          <w:lang w:val="es-ES_tradnl"/>
        </w:rPr>
        <w:t xml:space="preserve"> de Derechos Humanos (en adelan</w:t>
      </w:r>
      <w:r>
        <w:rPr>
          <w:rFonts w:ascii="Verdana" w:hAnsi="Verdana"/>
          <w:sz w:val="20"/>
          <w:lang w:val="es-ES_tradnl"/>
        </w:rPr>
        <w:t>te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w:t>
      </w:r>
      <w:smartTag w:uri="urn:schemas-microsoft-com:office:smarttags" w:element="PersonName">
        <w:smartTagPr>
          <w:attr w:name="ProductID" w:val="la Corte Interamericana"/>
        </w:smartTagPr>
        <w:r>
          <w:rPr>
            <w:rFonts w:ascii="Verdana" w:hAnsi="Verdana"/>
            <w:sz w:val="20"/>
            <w:lang w:val="es-ES_tradnl"/>
          </w:rPr>
          <w:t>la Corte Interamericana</w:t>
        </w:r>
      </w:smartTag>
      <w:r>
        <w:rPr>
          <w:rFonts w:ascii="Verdana" w:hAnsi="Verdana"/>
          <w:sz w:val="20"/>
          <w:lang w:val="es-ES_tradnl"/>
        </w:rPr>
        <w:t>” o “el Tribunal”), integrada por los siguientes jueces</w:t>
      </w:r>
      <w:r>
        <w:rPr>
          <w:rStyle w:val="Refdenotaalpie"/>
          <w:rFonts w:ascii="Verdana" w:hAnsi="Verdana"/>
          <w:sz w:val="20"/>
          <w:lang w:val="es-ES_tradnl"/>
        </w:rPr>
        <w:footnoteReference w:customMarkFollows="1" w:id="1"/>
        <w:t>*</w:t>
      </w:r>
      <w:r>
        <w:rPr>
          <w:rFonts w:ascii="Verdana" w:hAnsi="Verdana"/>
          <w:sz w:val="20"/>
          <w:lang w:val="es-ES_tradnl"/>
        </w:rPr>
        <w:t>:</w:t>
      </w:r>
    </w:p>
    <w:p w:rsidR="00000000" w:rsidRDefault="00BD337A">
      <w:pPr>
        <w:ind w:right="4"/>
        <w:jc w:val="both"/>
        <w:rPr>
          <w:rFonts w:ascii="Verdana" w:hAnsi="Verdana"/>
          <w:sz w:val="20"/>
          <w:lang w:val="es-ES_tradnl"/>
        </w:rPr>
      </w:pPr>
    </w:p>
    <w:p w:rsidR="00000000" w:rsidRDefault="00BD337A">
      <w:pPr>
        <w:ind w:left="720" w:right="4"/>
        <w:jc w:val="both"/>
        <w:rPr>
          <w:rFonts w:ascii="Verdana" w:hAnsi="Verdana"/>
          <w:sz w:val="20"/>
          <w:lang w:val="es-ES_tradnl"/>
        </w:rPr>
      </w:pPr>
      <w:r>
        <w:rPr>
          <w:rFonts w:ascii="Verdana" w:hAnsi="Verdana"/>
          <w:sz w:val="20"/>
          <w:lang w:val="es-ES_tradnl"/>
        </w:rPr>
        <w:t>Antônio A. Cançado Trindade, Presidente;</w:t>
      </w:r>
    </w:p>
    <w:p w:rsidR="00000000" w:rsidRDefault="00BD337A">
      <w:pPr>
        <w:ind w:left="720" w:right="4"/>
        <w:jc w:val="both"/>
        <w:rPr>
          <w:rFonts w:ascii="Verdana" w:hAnsi="Verdana"/>
          <w:sz w:val="20"/>
          <w:lang w:val="es-ES_tradnl"/>
        </w:rPr>
      </w:pPr>
      <w:r>
        <w:rPr>
          <w:rFonts w:ascii="Verdana" w:hAnsi="Verdana"/>
          <w:sz w:val="20"/>
          <w:lang w:val="es-ES_tradnl"/>
        </w:rPr>
        <w:t>Hernán Salgado Pesantes, Juez;</w:t>
      </w:r>
    </w:p>
    <w:p w:rsidR="00000000" w:rsidRDefault="00BD337A">
      <w:pPr>
        <w:ind w:left="720" w:right="4"/>
        <w:jc w:val="both"/>
        <w:rPr>
          <w:rFonts w:ascii="Verdana" w:hAnsi="Verdana"/>
          <w:sz w:val="20"/>
          <w:lang w:val="es-ES_tradnl"/>
        </w:rPr>
      </w:pPr>
      <w:r>
        <w:rPr>
          <w:rFonts w:ascii="Verdana" w:hAnsi="Verdana"/>
          <w:sz w:val="20"/>
          <w:lang w:val="es-ES_tradnl"/>
        </w:rPr>
        <w:t>Alirio Abreu Burelli, Juez;</w:t>
      </w:r>
    </w:p>
    <w:p w:rsidR="00000000" w:rsidRDefault="00BD337A">
      <w:pPr>
        <w:ind w:left="720" w:right="4"/>
        <w:jc w:val="both"/>
        <w:rPr>
          <w:rFonts w:ascii="Verdana" w:hAnsi="Verdana"/>
          <w:sz w:val="20"/>
          <w:lang w:val="es-ES_tradnl"/>
        </w:rPr>
      </w:pPr>
      <w:r>
        <w:rPr>
          <w:rFonts w:ascii="Verdana" w:hAnsi="Verdana"/>
          <w:sz w:val="20"/>
          <w:lang w:val="es-ES_tradnl"/>
        </w:rPr>
        <w:t>Sergio García Ramírez, Juez, y</w:t>
      </w:r>
    </w:p>
    <w:p w:rsidR="00000000" w:rsidRDefault="00BD337A">
      <w:pPr>
        <w:ind w:left="720" w:right="4"/>
        <w:jc w:val="both"/>
        <w:rPr>
          <w:rFonts w:ascii="Verdana" w:hAnsi="Verdana"/>
          <w:sz w:val="20"/>
          <w:lang w:val="es-ES_tradnl"/>
        </w:rPr>
      </w:pPr>
      <w:r>
        <w:rPr>
          <w:rFonts w:ascii="Verdana" w:hAnsi="Verdana"/>
          <w:sz w:val="20"/>
          <w:lang w:val="es-ES_tradnl"/>
        </w:rPr>
        <w:t>Carlos Vicente de Roux Reng</w:t>
      </w:r>
      <w:r>
        <w:rPr>
          <w:rFonts w:ascii="Verdana" w:hAnsi="Verdana"/>
          <w:sz w:val="20"/>
          <w:lang w:val="es-ES_tradnl"/>
        </w:rPr>
        <w:t>ifo, Juez;</w:t>
      </w:r>
    </w:p>
    <w:p w:rsidR="00000000" w:rsidRDefault="00BD337A">
      <w:pPr>
        <w:ind w:right="4"/>
        <w:jc w:val="both"/>
        <w:rPr>
          <w:rFonts w:ascii="Verdana" w:hAnsi="Verdana"/>
          <w:sz w:val="20"/>
          <w:lang w:val="es-ES_tradnl"/>
        </w:rPr>
      </w:pPr>
    </w:p>
    <w:p w:rsidR="00000000" w:rsidRDefault="00BD337A">
      <w:pPr>
        <w:ind w:right="4"/>
        <w:jc w:val="both"/>
        <w:rPr>
          <w:rFonts w:ascii="Verdana" w:hAnsi="Verdana"/>
          <w:sz w:val="20"/>
          <w:lang w:val="es-ES_tradnl"/>
        </w:rPr>
      </w:pPr>
      <w:proofErr w:type="gramStart"/>
      <w:r>
        <w:rPr>
          <w:rFonts w:ascii="Verdana" w:hAnsi="Verdana"/>
          <w:sz w:val="20"/>
          <w:lang w:val="es-ES_tradnl"/>
        </w:rPr>
        <w:t>presentes</w:t>
      </w:r>
      <w:proofErr w:type="gramEnd"/>
      <w:r>
        <w:rPr>
          <w:rFonts w:ascii="Verdana" w:hAnsi="Verdana"/>
          <w:sz w:val="20"/>
          <w:lang w:val="es-ES_tradnl"/>
        </w:rPr>
        <w:t>, además,</w:t>
      </w:r>
    </w:p>
    <w:p w:rsidR="00000000" w:rsidRDefault="00BD337A">
      <w:pPr>
        <w:ind w:right="4"/>
        <w:jc w:val="both"/>
        <w:rPr>
          <w:rFonts w:ascii="Verdana" w:hAnsi="Verdana"/>
          <w:sz w:val="20"/>
          <w:lang w:val="es-ES_tradnl"/>
        </w:rPr>
      </w:pPr>
    </w:p>
    <w:p w:rsidR="00000000" w:rsidRDefault="00BD337A">
      <w:pPr>
        <w:ind w:left="720" w:right="4"/>
        <w:jc w:val="both"/>
        <w:rPr>
          <w:rFonts w:ascii="Verdana" w:hAnsi="Verdana"/>
          <w:sz w:val="20"/>
          <w:lang w:val="es-ES_tradnl"/>
        </w:rPr>
      </w:pPr>
      <w:r>
        <w:rPr>
          <w:rFonts w:ascii="Verdana" w:hAnsi="Verdana"/>
          <w:sz w:val="20"/>
          <w:lang w:val="es-ES_tradnl"/>
        </w:rPr>
        <w:t>Manuel E. Ventura Robles, Secretario, y</w:t>
      </w:r>
    </w:p>
    <w:p w:rsidR="00000000" w:rsidRDefault="00BD337A">
      <w:pPr>
        <w:ind w:left="720" w:right="4"/>
        <w:jc w:val="both"/>
        <w:rPr>
          <w:rFonts w:ascii="Verdana" w:hAnsi="Verdana"/>
          <w:i/>
          <w:sz w:val="20"/>
          <w:lang w:val="es-ES_tradnl"/>
        </w:rPr>
      </w:pPr>
      <w:r>
        <w:rPr>
          <w:rFonts w:ascii="Verdana" w:hAnsi="Verdana"/>
          <w:sz w:val="20"/>
          <w:lang w:val="es-ES_tradnl"/>
        </w:rPr>
        <w:t>Pablo Saavedra Alessandri, Secretario adjunto;</w:t>
      </w:r>
    </w:p>
    <w:p w:rsidR="00000000" w:rsidRDefault="00BD337A">
      <w:pPr>
        <w:ind w:right="4"/>
        <w:jc w:val="both"/>
        <w:rPr>
          <w:rFonts w:ascii="Verdana" w:hAnsi="Verdana"/>
          <w:sz w:val="20"/>
          <w:lang w:val="es-ES_tradnl"/>
        </w:rPr>
      </w:pPr>
    </w:p>
    <w:p w:rsidR="00000000" w:rsidRDefault="00BD337A">
      <w:pPr>
        <w:ind w:right="4"/>
        <w:jc w:val="both"/>
        <w:rPr>
          <w:rFonts w:ascii="Verdana" w:hAnsi="Verdana"/>
          <w:sz w:val="20"/>
          <w:lang w:val="es-ES_tradnl"/>
        </w:rPr>
      </w:pPr>
      <w:r>
        <w:rPr>
          <w:rFonts w:ascii="Verdana" w:hAnsi="Verdana"/>
          <w:sz w:val="20"/>
          <w:lang w:val="es-ES_tradnl"/>
        </w:rPr>
        <w:t xml:space="preserve">de acuerdo con el artículo 67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xml:space="preserve"> sobre Derechos Humanos (en adelante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o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w:t>
      </w:r>
      <w:r>
        <w:rPr>
          <w:rFonts w:ascii="Verdana" w:hAnsi="Verdana"/>
          <w:sz w:val="20"/>
          <w:lang w:val="es-ES_tradnl"/>
        </w:rPr>
        <w:t xml:space="preserve">) y el artículo 58 del Reglamento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adelante “el Reglamento”) resuelve sobre la demanda de interpretación de la sentencia de reparaciones emitida por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el 31 de mayo de 2001 en el caso Cesti Hurtado</w:t>
      </w:r>
      <w:r>
        <w:rPr>
          <w:rStyle w:val="Refdenotaalpie"/>
          <w:rFonts w:ascii="Verdana" w:hAnsi="Verdana"/>
          <w:sz w:val="20"/>
          <w:lang w:val="es-ES_tradnl"/>
        </w:rPr>
        <w:footnoteReference w:id="2"/>
      </w:r>
      <w:r>
        <w:rPr>
          <w:rFonts w:ascii="Verdana" w:hAnsi="Verdana"/>
          <w:sz w:val="20"/>
          <w:lang w:val="es-ES_tradnl"/>
        </w:rPr>
        <w:t xml:space="preserve"> (en adelante “la sentencia de repar</w:t>
      </w:r>
      <w:r>
        <w:rPr>
          <w:rFonts w:ascii="Verdana" w:hAnsi="Verdana"/>
          <w:sz w:val="20"/>
          <w:lang w:val="es-ES_tradnl"/>
        </w:rPr>
        <w:t xml:space="preserve">aciones” o “la sentencia”) en contra del Estado del Perú (en adelante “el Estado”, “el Estado peruano” o “el Perú”), presentada por el señor Gustavo Adolfo Cesti Hurtado (en adelante “el señor Cesti” o “el señor Cesti Hurtado”) el 4 de septiembre de 2001. </w:t>
      </w:r>
    </w:p>
    <w:p w:rsidR="00000000" w:rsidRDefault="00BD337A">
      <w:pPr>
        <w:rPr>
          <w:rFonts w:ascii="Verdana" w:hAnsi="Verdana"/>
          <w:b/>
          <w:sz w:val="20"/>
          <w:lang w:val="es-ES_tradnl"/>
        </w:rPr>
      </w:pPr>
    </w:p>
    <w:p w:rsidR="00000000" w:rsidRDefault="00BD337A">
      <w:pPr>
        <w:jc w:val="center"/>
        <w:rPr>
          <w:rFonts w:ascii="Verdana" w:hAnsi="Verdana"/>
          <w:b/>
          <w:sz w:val="20"/>
          <w:lang w:val="es-ES_tradnl"/>
        </w:rPr>
      </w:pPr>
    </w:p>
    <w:p w:rsidR="00000000" w:rsidRDefault="00BD337A">
      <w:pPr>
        <w:jc w:val="center"/>
        <w:rPr>
          <w:rFonts w:ascii="Verdana" w:hAnsi="Verdana"/>
          <w:b/>
          <w:sz w:val="20"/>
          <w:lang w:val="es-ES_tradnl"/>
        </w:rPr>
      </w:pPr>
      <w:r>
        <w:rPr>
          <w:rFonts w:ascii="Verdana" w:hAnsi="Verdana"/>
          <w:b/>
          <w:sz w:val="20"/>
          <w:lang w:val="es-ES_tradnl"/>
        </w:rPr>
        <w:t>I</w:t>
      </w:r>
    </w:p>
    <w:p w:rsidR="00000000" w:rsidRDefault="00BD337A">
      <w:pPr>
        <w:jc w:val="center"/>
        <w:rPr>
          <w:rFonts w:ascii="Verdana" w:hAnsi="Verdana"/>
          <w:b/>
          <w:sz w:val="20"/>
          <w:lang w:val="es-ES_tradnl"/>
        </w:rPr>
      </w:pPr>
      <w:r>
        <w:rPr>
          <w:rFonts w:ascii="Verdana" w:hAnsi="Verdana"/>
          <w:b/>
          <w:smallCaps/>
          <w:sz w:val="20"/>
          <w:lang w:val="es-ES_tradnl"/>
        </w:rPr>
        <w:t xml:space="preserve">COMPETENCIA Y COMPOSICIÓN DE </w:t>
      </w:r>
      <w:smartTag w:uri="urn:schemas-microsoft-com:office:smarttags" w:element="PersonName">
        <w:smartTagPr>
          <w:attr w:name="ProductID" w:val="la Corte"/>
        </w:smartTagPr>
        <w:r>
          <w:rPr>
            <w:rFonts w:ascii="Verdana" w:hAnsi="Verdana"/>
            <w:b/>
            <w:smallCaps/>
            <w:sz w:val="20"/>
            <w:lang w:val="es-ES_tradnl"/>
          </w:rPr>
          <w:t>LA CORTE</w:t>
        </w:r>
      </w:smartTag>
    </w:p>
    <w:p w:rsidR="00000000" w:rsidRDefault="00BD337A">
      <w:pPr>
        <w:jc w:val="both"/>
        <w:rPr>
          <w:rFonts w:ascii="Verdana" w:hAnsi="Verdana"/>
          <w:b/>
          <w:sz w:val="20"/>
          <w:lang w:val="es-ES_tradnl"/>
        </w:rPr>
      </w:pPr>
    </w:p>
    <w:p w:rsidR="00000000" w:rsidRDefault="00BD337A">
      <w:pPr>
        <w:ind w:right="44"/>
        <w:jc w:val="both"/>
        <w:rPr>
          <w:rFonts w:ascii="Verdana" w:hAnsi="Verdana"/>
          <w:sz w:val="20"/>
          <w:lang w:val="es-ES_tradnl"/>
        </w:rPr>
      </w:pPr>
      <w:r>
        <w:rPr>
          <w:rFonts w:ascii="Verdana" w:hAnsi="Verdana"/>
          <w:sz w:val="20"/>
          <w:lang w:val="es-ES_tradnl"/>
        </w:rPr>
        <w:t>1.</w:t>
      </w:r>
      <w:r>
        <w:rPr>
          <w:rFonts w:ascii="Verdana" w:hAnsi="Verdana"/>
          <w:b/>
          <w:sz w:val="20"/>
          <w:lang w:val="es-ES_tradnl"/>
        </w:rPr>
        <w:tab/>
      </w:r>
      <w:r>
        <w:rPr>
          <w:rFonts w:ascii="Verdana" w:hAnsi="Verdana"/>
          <w:sz w:val="20"/>
          <w:lang w:val="es-ES_tradnl"/>
        </w:rPr>
        <w:t xml:space="preserve">El artículo 67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establece que </w:t>
      </w:r>
    </w:p>
    <w:p w:rsidR="00000000" w:rsidRDefault="00BD337A">
      <w:pPr>
        <w:ind w:right="44"/>
        <w:jc w:val="both"/>
        <w:rPr>
          <w:rFonts w:ascii="Verdana" w:hAnsi="Verdana"/>
          <w:sz w:val="20"/>
          <w:lang w:val="es-ES_tradnl"/>
        </w:rPr>
      </w:pPr>
    </w:p>
    <w:p w:rsidR="00000000" w:rsidRDefault="00BD337A">
      <w:pPr>
        <w:pStyle w:val="BlockText"/>
        <w:ind w:right="720" w:firstLine="0"/>
        <w:rPr>
          <w:rFonts w:ascii="Verdana" w:hAnsi="Verdana"/>
          <w:b w:val="0"/>
          <w:smallCaps w:val="0"/>
          <w:sz w:val="18"/>
          <w:lang w:val="es-ES_tradnl"/>
        </w:rPr>
      </w:pPr>
      <w:r>
        <w:rPr>
          <w:rFonts w:ascii="Verdana" w:hAnsi="Verdana"/>
          <w:b w:val="0"/>
          <w:smallCaps w:val="0"/>
          <w:sz w:val="18"/>
          <w:lang w:val="es-ES_tradnl"/>
        </w:rPr>
        <w:t>[</w:t>
      </w:r>
      <w:proofErr w:type="gramStart"/>
      <w:r>
        <w:rPr>
          <w:rFonts w:ascii="Verdana" w:hAnsi="Verdana"/>
          <w:b w:val="0"/>
          <w:smallCaps w:val="0"/>
          <w:sz w:val="18"/>
          <w:lang w:val="es-ES_tradnl"/>
        </w:rPr>
        <w:t>e]</w:t>
      </w:r>
      <w:proofErr w:type="gramEnd"/>
      <w:r>
        <w:rPr>
          <w:rFonts w:ascii="Verdana" w:hAnsi="Verdana"/>
          <w:b w:val="0"/>
          <w:smallCaps w:val="0"/>
          <w:sz w:val="18"/>
          <w:lang w:val="es-ES_tradnl"/>
        </w:rPr>
        <w:t xml:space="preserve">l fallo de </w:t>
      </w:r>
      <w:smartTag w:uri="urn:schemas-microsoft-com:office:smarttags" w:element="PersonName">
        <w:smartTagPr>
          <w:attr w:name="ProductID" w:val="la Corte"/>
        </w:smartTagPr>
        <w:r>
          <w:rPr>
            <w:rFonts w:ascii="Verdana" w:hAnsi="Verdana"/>
            <w:b w:val="0"/>
            <w:smallCaps w:val="0"/>
            <w:sz w:val="18"/>
            <w:lang w:val="es-ES_tradnl"/>
          </w:rPr>
          <w:t>la Corte</w:t>
        </w:r>
      </w:smartTag>
      <w:r>
        <w:rPr>
          <w:rFonts w:ascii="Verdana" w:hAnsi="Verdana"/>
          <w:b w:val="0"/>
          <w:smallCaps w:val="0"/>
          <w:sz w:val="18"/>
          <w:lang w:val="es-ES_tradnl"/>
        </w:rPr>
        <w:t xml:space="preserve"> será definitivo e inapelable.  En caso de desacuerdo sobre el sentido o alcance del fallo, </w:t>
      </w:r>
      <w:smartTag w:uri="urn:schemas-microsoft-com:office:smarttags" w:element="PersonName">
        <w:smartTagPr>
          <w:attr w:name="ProductID" w:val="la Corte"/>
        </w:smartTagPr>
        <w:r>
          <w:rPr>
            <w:rFonts w:ascii="Verdana" w:hAnsi="Verdana"/>
            <w:b w:val="0"/>
            <w:smallCaps w:val="0"/>
            <w:sz w:val="18"/>
            <w:lang w:val="es-ES_tradnl"/>
          </w:rPr>
          <w:t>la Corte</w:t>
        </w:r>
      </w:smartTag>
      <w:r>
        <w:rPr>
          <w:rFonts w:ascii="Verdana" w:hAnsi="Verdana"/>
          <w:b w:val="0"/>
          <w:smallCaps w:val="0"/>
          <w:sz w:val="18"/>
          <w:lang w:val="es-ES_tradnl"/>
        </w:rPr>
        <w:t xml:space="preserve"> lo interpretará a solicitud de cualqui</w:t>
      </w:r>
      <w:r>
        <w:rPr>
          <w:rFonts w:ascii="Verdana" w:hAnsi="Verdana"/>
          <w:b w:val="0"/>
          <w:smallCaps w:val="0"/>
          <w:sz w:val="18"/>
          <w:lang w:val="es-ES_tradnl"/>
        </w:rPr>
        <w:t xml:space="preserve">era </w:t>
      </w:r>
      <w:r>
        <w:rPr>
          <w:rFonts w:ascii="Verdana" w:hAnsi="Verdana"/>
          <w:b w:val="0"/>
          <w:smallCaps w:val="0"/>
          <w:sz w:val="18"/>
          <w:lang w:val="es-ES_tradnl"/>
        </w:rPr>
        <w:lastRenderedPageBreak/>
        <w:t>de las partes, siempre que dicha solicitud se presente dentro de los noventa días a partir de la fecha de la notificación del fallo.</w:t>
      </w:r>
    </w:p>
    <w:p w:rsidR="00000000" w:rsidRDefault="00BD337A">
      <w:pPr>
        <w:ind w:right="44"/>
        <w:jc w:val="both"/>
        <w:rPr>
          <w:rFonts w:ascii="Verdana" w:hAnsi="Verdana"/>
          <w:b/>
          <w:sz w:val="20"/>
          <w:lang w:val="es-ES_tradnl"/>
        </w:rPr>
      </w:pPr>
    </w:p>
    <w:p w:rsidR="00000000" w:rsidRDefault="00BD337A">
      <w:pPr>
        <w:ind w:right="44"/>
        <w:jc w:val="both"/>
        <w:rPr>
          <w:rFonts w:ascii="Verdana" w:hAnsi="Verdana"/>
          <w:sz w:val="20"/>
          <w:lang w:val="es-ES_tradnl"/>
        </w:rPr>
      </w:pPr>
      <w:r>
        <w:rPr>
          <w:rFonts w:ascii="Verdana" w:hAnsi="Verdana"/>
          <w:sz w:val="20"/>
          <w:lang w:val="es-ES_tradnl"/>
        </w:rPr>
        <w:t xml:space="preserve">De conformidad con el artículo citado,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es competente para interpretar sus fallos, y para el examen de la dema</w:t>
      </w:r>
      <w:r>
        <w:rPr>
          <w:rFonts w:ascii="Verdana" w:hAnsi="Verdana"/>
          <w:sz w:val="20"/>
          <w:lang w:val="es-ES_tradnl"/>
        </w:rPr>
        <w:t>nda de interpretación se reunirá, si es posible, con la composición</w:t>
      </w:r>
      <w:r>
        <w:rPr>
          <w:rFonts w:ascii="Verdana" w:hAnsi="Verdana"/>
          <w:b/>
          <w:sz w:val="20"/>
          <w:lang w:val="es-ES_tradnl"/>
        </w:rPr>
        <w:t xml:space="preserve"> </w:t>
      </w:r>
      <w:r>
        <w:rPr>
          <w:rFonts w:ascii="Verdana" w:hAnsi="Verdana"/>
          <w:sz w:val="20"/>
          <w:lang w:val="es-ES_tradnl"/>
        </w:rPr>
        <w:t xml:space="preserve">que tenía al dictar la sentencia respectiva (artículo 58.3 del Reglamento).  En esta ocasión,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está integrada por los mismos jueces que dictaron la sentencia de reparaciones, cuya </w:t>
      </w:r>
      <w:r>
        <w:rPr>
          <w:rFonts w:ascii="Verdana" w:hAnsi="Verdana"/>
          <w:sz w:val="20"/>
          <w:lang w:val="es-ES_tradnl"/>
        </w:rPr>
        <w:t>interpretación ha sido solicitada por el señor Cesti Hurtado.</w:t>
      </w:r>
    </w:p>
    <w:p w:rsidR="00000000" w:rsidRDefault="00BD337A">
      <w:pPr>
        <w:jc w:val="center"/>
        <w:rPr>
          <w:rFonts w:ascii="Verdana" w:hAnsi="Verdana"/>
          <w:b/>
          <w:sz w:val="20"/>
          <w:lang w:val="es-ES_tradnl"/>
        </w:rPr>
      </w:pPr>
    </w:p>
    <w:p w:rsidR="00000000" w:rsidRDefault="00BD337A">
      <w:pPr>
        <w:jc w:val="center"/>
        <w:rPr>
          <w:rFonts w:ascii="Verdana" w:hAnsi="Verdana"/>
          <w:b/>
          <w:sz w:val="20"/>
          <w:lang w:val="es-ES_tradnl"/>
        </w:rPr>
      </w:pPr>
    </w:p>
    <w:p w:rsidR="00000000" w:rsidRDefault="00BD337A">
      <w:pPr>
        <w:jc w:val="center"/>
        <w:rPr>
          <w:rFonts w:ascii="Verdana" w:hAnsi="Verdana"/>
          <w:b/>
          <w:sz w:val="20"/>
          <w:lang w:val="es-ES_tradnl"/>
        </w:rPr>
      </w:pPr>
      <w:r>
        <w:rPr>
          <w:rFonts w:ascii="Verdana" w:hAnsi="Verdana"/>
          <w:b/>
          <w:sz w:val="20"/>
          <w:lang w:val="es-ES_tradnl"/>
        </w:rPr>
        <w:t>II</w:t>
      </w:r>
    </w:p>
    <w:p w:rsidR="00000000" w:rsidRDefault="00BD337A">
      <w:pPr>
        <w:jc w:val="center"/>
        <w:rPr>
          <w:rFonts w:ascii="Verdana" w:hAnsi="Verdana"/>
          <w:b/>
          <w:sz w:val="20"/>
          <w:lang w:val="es-ES_tradnl"/>
        </w:rPr>
      </w:pPr>
      <w:r>
        <w:rPr>
          <w:rFonts w:ascii="Verdana" w:hAnsi="Verdana"/>
          <w:b/>
          <w:smallCaps/>
          <w:sz w:val="20"/>
          <w:lang w:val="es-ES_tradnl"/>
        </w:rPr>
        <w:t xml:space="preserve">INTRODUCCIÓN DE </w:t>
      </w:r>
      <w:smartTag w:uri="urn:schemas-microsoft-com:office:smarttags" w:element="PersonName">
        <w:smartTagPr>
          <w:attr w:name="ProductID" w:val="LA DEMANDA DE"/>
        </w:smartTagPr>
        <w:r>
          <w:rPr>
            <w:rFonts w:ascii="Verdana" w:hAnsi="Verdana"/>
            <w:b/>
            <w:smallCaps/>
            <w:sz w:val="20"/>
            <w:lang w:val="es-ES_tradnl"/>
          </w:rPr>
          <w:t>LA DEMANDA DE</w:t>
        </w:r>
      </w:smartTag>
      <w:r>
        <w:rPr>
          <w:rFonts w:ascii="Verdana" w:hAnsi="Verdana"/>
          <w:b/>
          <w:smallCaps/>
          <w:sz w:val="20"/>
          <w:lang w:val="es-ES_tradnl"/>
        </w:rPr>
        <w:t xml:space="preserve"> INTERPRETACIÓN</w:t>
      </w:r>
    </w:p>
    <w:p w:rsidR="00000000" w:rsidRDefault="00BD337A">
      <w:pPr>
        <w:jc w:val="center"/>
        <w:rPr>
          <w:rFonts w:ascii="Verdana" w:hAnsi="Verdana"/>
          <w:b/>
          <w:sz w:val="20"/>
          <w:lang w:val="es-ES_tradnl"/>
        </w:rPr>
      </w:pPr>
    </w:p>
    <w:p w:rsidR="00000000" w:rsidRDefault="00BD337A">
      <w:pPr>
        <w:jc w:val="both"/>
        <w:rPr>
          <w:rFonts w:ascii="Verdana" w:hAnsi="Verdana"/>
          <w:sz w:val="20"/>
          <w:lang w:val="es-ES_tradnl"/>
        </w:rPr>
      </w:pPr>
      <w:r>
        <w:rPr>
          <w:rFonts w:ascii="Verdana" w:hAnsi="Verdana"/>
          <w:sz w:val="20"/>
          <w:lang w:val="es-ES_tradnl"/>
        </w:rPr>
        <w:t>2.</w:t>
      </w:r>
      <w:r>
        <w:rPr>
          <w:rFonts w:ascii="Verdana" w:hAnsi="Verdana"/>
          <w:sz w:val="20"/>
          <w:lang w:val="es-ES_tradnl"/>
        </w:rPr>
        <w:tab/>
        <w:t xml:space="preserve">El 4 de septiembre de 2001 el señor Cesti Hurtado, de conformidad con el artículo 67 de </w:t>
      </w:r>
      <w:smartTag w:uri="urn:schemas-microsoft-com:office:smarttags" w:element="PersonName">
        <w:smartTagPr>
          <w:attr w:name="ProductID" w:val="la Convenci￳n Americana"/>
        </w:smartTagPr>
        <w:r>
          <w:rPr>
            <w:rFonts w:ascii="Verdana" w:hAnsi="Verdana"/>
            <w:sz w:val="20"/>
            <w:lang w:val="es-ES_tradnl"/>
          </w:rPr>
          <w:t>la Convención Americana</w:t>
        </w:r>
      </w:smartTag>
      <w:r>
        <w:rPr>
          <w:rFonts w:ascii="Verdana" w:hAnsi="Verdana"/>
          <w:sz w:val="20"/>
          <w:lang w:val="es-ES_tradnl"/>
        </w:rPr>
        <w:t>, y en concordancia con el ar</w:t>
      </w:r>
      <w:r>
        <w:rPr>
          <w:rFonts w:ascii="Verdana" w:hAnsi="Verdana"/>
          <w:sz w:val="20"/>
          <w:lang w:val="es-ES_tradnl"/>
        </w:rPr>
        <w:t xml:space="preserve">tículo 58 del Reglamento, presentó una demanda de interpretación de la sentencia de reparaciones. </w:t>
      </w:r>
    </w:p>
    <w:p w:rsidR="00000000" w:rsidRDefault="00BD337A">
      <w:pPr>
        <w:jc w:val="both"/>
        <w:rPr>
          <w:rFonts w:ascii="Verdana" w:hAnsi="Verdana"/>
          <w:sz w:val="20"/>
          <w:lang w:val="es-ES_tradnl"/>
        </w:rPr>
      </w:pPr>
    </w:p>
    <w:p w:rsidR="00000000" w:rsidRDefault="00BD337A">
      <w:pPr>
        <w:pStyle w:val="Ttulo1"/>
        <w:rPr>
          <w:rFonts w:ascii="Verdana" w:hAnsi="Verdana"/>
          <w:smallCaps/>
          <w:lang w:val="es-ES_tradnl"/>
        </w:rPr>
      </w:pPr>
    </w:p>
    <w:p w:rsidR="00000000" w:rsidRDefault="00BD337A">
      <w:pPr>
        <w:pStyle w:val="Ttulo1"/>
        <w:rPr>
          <w:rFonts w:ascii="Verdana" w:hAnsi="Verdana"/>
          <w:smallCaps/>
          <w:lang w:val="es-ES_tradnl"/>
        </w:rPr>
      </w:pPr>
      <w:r>
        <w:rPr>
          <w:rFonts w:ascii="Verdana" w:hAnsi="Verdana"/>
          <w:smallCaps/>
          <w:lang w:val="es-ES_tradnl"/>
        </w:rPr>
        <w:t>III</w:t>
      </w:r>
    </w:p>
    <w:p w:rsidR="00000000" w:rsidRDefault="00BD337A">
      <w:pPr>
        <w:jc w:val="center"/>
        <w:rPr>
          <w:rFonts w:ascii="Verdana" w:hAnsi="Verdana"/>
          <w:b/>
          <w:sz w:val="20"/>
          <w:lang w:val="es-ES_tradnl"/>
        </w:rPr>
      </w:pPr>
      <w:r>
        <w:rPr>
          <w:rFonts w:ascii="Verdana" w:hAnsi="Verdana"/>
          <w:b/>
          <w:smallCaps/>
          <w:sz w:val="20"/>
          <w:lang w:val="es-ES_tradnl"/>
        </w:rPr>
        <w:t xml:space="preserve">PROCEDIMIENTO ANTE </w:t>
      </w:r>
      <w:smartTag w:uri="urn:schemas-microsoft-com:office:smarttags" w:element="PersonName">
        <w:smartTagPr>
          <w:attr w:name="ProductID" w:val="la Corte"/>
        </w:smartTagPr>
        <w:r>
          <w:rPr>
            <w:rFonts w:ascii="Verdana" w:hAnsi="Verdana"/>
            <w:b/>
            <w:smallCaps/>
            <w:sz w:val="20"/>
            <w:lang w:val="es-ES_tradnl"/>
          </w:rPr>
          <w:t>LA CORTE</w:t>
        </w:r>
      </w:smartTag>
    </w:p>
    <w:p w:rsidR="00000000" w:rsidRDefault="00BD337A">
      <w:pPr>
        <w:jc w:val="both"/>
        <w:rPr>
          <w:rFonts w:ascii="Verdana" w:hAnsi="Verdana"/>
          <w:sz w:val="20"/>
          <w:lang w:val="es-ES_tradnl"/>
        </w:rPr>
      </w:pPr>
    </w:p>
    <w:p w:rsidR="00000000" w:rsidRDefault="00BD337A">
      <w:pPr>
        <w:jc w:val="both"/>
        <w:rPr>
          <w:rFonts w:ascii="Verdana" w:hAnsi="Verdana"/>
          <w:sz w:val="20"/>
          <w:lang w:val="es-ES_tradnl"/>
        </w:rPr>
      </w:pPr>
      <w:r>
        <w:rPr>
          <w:rFonts w:ascii="Verdana" w:hAnsi="Verdana"/>
          <w:sz w:val="20"/>
          <w:lang w:val="es-ES_tradnl"/>
        </w:rPr>
        <w:t>3.</w:t>
      </w:r>
      <w:r>
        <w:rPr>
          <w:rFonts w:ascii="Verdana" w:hAnsi="Verdana"/>
          <w:sz w:val="20"/>
          <w:lang w:val="es-ES_tradnl"/>
        </w:rPr>
        <w:tab/>
        <w:t xml:space="preserve">Este caso fue sometido a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por </w:t>
      </w:r>
      <w:smartTag w:uri="urn:schemas-microsoft-com:office:smarttags" w:element="PersonName">
        <w:smartTagPr>
          <w:attr w:name="ProductID" w:val="la Comisi￳n Interamericana"/>
        </w:smartTagPr>
        <w:r>
          <w:rPr>
            <w:rFonts w:ascii="Verdana" w:hAnsi="Verdana"/>
            <w:sz w:val="20"/>
            <w:lang w:val="es-ES_tradnl"/>
          </w:rPr>
          <w:t>la Comisión Interamericana</w:t>
        </w:r>
      </w:smartTag>
      <w:r>
        <w:rPr>
          <w:rFonts w:ascii="Verdana" w:hAnsi="Verdana"/>
          <w:sz w:val="20"/>
          <w:lang w:val="es-ES_tradnl"/>
        </w:rPr>
        <w:t xml:space="preserve"> de Derechos Humanos (en adelante “</w:t>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o “</w:t>
      </w:r>
      <w:smartTag w:uri="urn:schemas-microsoft-com:office:smarttags" w:element="PersonName">
        <w:smartTagPr>
          <w:attr w:name="ProductID" w:val="la Comisi￳n Interamericana"/>
        </w:smartTagPr>
        <w:r>
          <w:rPr>
            <w:rFonts w:ascii="Verdana" w:hAnsi="Verdana"/>
            <w:sz w:val="20"/>
            <w:lang w:val="es-ES_tradnl"/>
          </w:rPr>
          <w:t>la C</w:t>
        </w:r>
        <w:r>
          <w:rPr>
            <w:rFonts w:ascii="Verdana" w:hAnsi="Verdana"/>
            <w:sz w:val="20"/>
            <w:lang w:val="es-ES_tradnl"/>
          </w:rPr>
          <w:t>omisión Interamericana</w:t>
        </w:r>
      </w:smartTag>
      <w:r>
        <w:rPr>
          <w:rFonts w:ascii="Verdana" w:hAnsi="Verdana"/>
          <w:sz w:val="20"/>
          <w:lang w:val="es-ES_tradnl"/>
        </w:rPr>
        <w:t xml:space="preserve">”) el 9 de enero de 1998. </w:t>
      </w:r>
      <w:r>
        <w:rPr>
          <w:rFonts w:ascii="Verdana" w:hAnsi="Verdana"/>
          <w:b/>
          <w:sz w:val="20"/>
          <w:lang w:val="es-ES_tradnl"/>
        </w:rPr>
        <w:t xml:space="preserve"> </w:t>
      </w:r>
      <w:r>
        <w:rPr>
          <w:rFonts w:ascii="Verdana" w:hAnsi="Verdana"/>
          <w:sz w:val="20"/>
          <w:lang w:val="es-ES_tradnl"/>
        </w:rPr>
        <w:t xml:space="preserve">Posteriormente,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emitió sentencias sobre excepciones preliminares, fondo, interpretación sobre la sentencia de fondo y reparaciones en fechas 26 de enero de 1999, 29 de septiembre de 1999, 29 de ener</w:t>
      </w:r>
      <w:r>
        <w:rPr>
          <w:rFonts w:ascii="Verdana" w:hAnsi="Verdana"/>
          <w:sz w:val="20"/>
          <w:lang w:val="es-ES_tradnl"/>
        </w:rPr>
        <w:t>o de 2000 y 31 de mayo de 2001, respectivamente</w:t>
      </w:r>
      <w:r>
        <w:rPr>
          <w:rStyle w:val="Refdenotaalpie"/>
          <w:rFonts w:ascii="Verdana" w:hAnsi="Verdana"/>
          <w:sz w:val="20"/>
          <w:lang w:val="es-ES_tradnl"/>
        </w:rPr>
        <w:footnoteReference w:id="3"/>
      </w:r>
      <w:r>
        <w:rPr>
          <w:rFonts w:ascii="Verdana" w:hAnsi="Verdana"/>
          <w:sz w:val="20"/>
          <w:lang w:val="es-ES_tradnl"/>
        </w:rPr>
        <w:t xml:space="preserve">. </w:t>
      </w:r>
    </w:p>
    <w:p w:rsidR="00000000" w:rsidRDefault="00BD337A">
      <w:pPr>
        <w:jc w:val="both"/>
        <w:rPr>
          <w:rFonts w:ascii="Verdana" w:hAnsi="Verdana"/>
          <w:sz w:val="20"/>
          <w:lang w:val="es-ES_tradnl"/>
        </w:rPr>
      </w:pPr>
    </w:p>
    <w:p w:rsidR="00000000" w:rsidRDefault="00BD337A">
      <w:pPr>
        <w:pStyle w:val="Textoindependiente"/>
        <w:widowControl/>
        <w:rPr>
          <w:rFonts w:ascii="Verdana" w:hAnsi="Verdana"/>
          <w:sz w:val="20"/>
          <w:lang w:val="es-ES_tradnl"/>
        </w:rPr>
      </w:pPr>
      <w:r>
        <w:rPr>
          <w:rFonts w:ascii="Verdana" w:hAnsi="Verdana"/>
          <w:sz w:val="20"/>
          <w:lang w:val="es-ES_tradnl"/>
        </w:rPr>
        <w:t>4.</w:t>
      </w:r>
      <w:r>
        <w:rPr>
          <w:rFonts w:ascii="Verdana" w:hAnsi="Verdana"/>
          <w:sz w:val="20"/>
          <w:lang w:val="es-ES_tradnl"/>
        </w:rPr>
        <w:tab/>
        <w:t xml:space="preserve">Mediante nota de 5 de septiembre de 2001 </w:t>
      </w:r>
      <w:smartTag w:uri="urn:schemas-microsoft-com:office:smarttags" w:element="PersonName">
        <w:smartTagPr>
          <w:attr w:name="ProductID" w:val="la Secretar￭a"/>
        </w:smartTagPr>
        <w:r>
          <w:rPr>
            <w:rFonts w:ascii="Verdana" w:hAnsi="Verdana"/>
            <w:sz w:val="20"/>
            <w:lang w:val="es-ES_tradnl"/>
          </w:rPr>
          <w:t>la Secretaría</w:t>
        </w:r>
      </w:smartTag>
      <w:r>
        <w:rPr>
          <w:rFonts w:ascii="Verdana" w:hAnsi="Verdana"/>
          <w:sz w:val="20"/>
          <w:lang w:val="es-ES_tradnl"/>
        </w:rPr>
        <w:t xml:space="preserve">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adelante “</w:t>
      </w:r>
      <w:smartTag w:uri="urn:schemas-microsoft-com:office:smarttags" w:element="PersonName">
        <w:smartTagPr>
          <w:attr w:name="ProductID" w:val="la Secretar￭a"/>
        </w:smartTagPr>
        <w:r>
          <w:rPr>
            <w:rFonts w:ascii="Verdana" w:hAnsi="Verdana"/>
            <w:sz w:val="20"/>
            <w:lang w:val="es-ES_tradnl"/>
          </w:rPr>
          <w:t>la Secretaría</w:t>
        </w:r>
      </w:smartTag>
      <w:r>
        <w:rPr>
          <w:rFonts w:ascii="Verdana" w:hAnsi="Verdana"/>
          <w:sz w:val="20"/>
          <w:lang w:val="es-ES_tradnl"/>
        </w:rPr>
        <w:t xml:space="preserve">”) transmitió copia de la demanda de interpretación al Estado peruano y a </w:t>
      </w:r>
      <w:smartTag w:uri="urn:schemas-microsoft-com:office:smarttags" w:element="PersonName">
        <w:smartTagPr>
          <w:attr w:name="ProductID" w:val="la Comisi￳n Interamericana"/>
        </w:smartTagPr>
        <w:r>
          <w:rPr>
            <w:rFonts w:ascii="Verdana" w:hAnsi="Verdana"/>
            <w:sz w:val="20"/>
            <w:lang w:val="es-ES_tradnl"/>
          </w:rPr>
          <w:t>la Comisión Interamericana</w:t>
        </w:r>
      </w:smartTag>
      <w:r>
        <w:rPr>
          <w:rFonts w:ascii="Verdana" w:hAnsi="Verdana"/>
          <w:sz w:val="20"/>
          <w:lang w:val="es-ES_tradnl"/>
        </w:rPr>
        <w:t xml:space="preserve"> y, de </w:t>
      </w:r>
      <w:r>
        <w:rPr>
          <w:rFonts w:ascii="Verdana" w:hAnsi="Verdana"/>
          <w:sz w:val="20"/>
          <w:lang w:val="es-ES_tradnl"/>
        </w:rPr>
        <w:t xml:space="preserve">conformidad con el artículo 58.2 del Reglamento, les invitó a presentar, a más tardar el 5 de octubre del mismo año, las observaciones que consideraren pertinentes. </w:t>
      </w:r>
    </w:p>
    <w:p w:rsidR="00000000" w:rsidRDefault="00BD337A">
      <w:pPr>
        <w:pStyle w:val="Textoindependiente"/>
        <w:widowControl/>
        <w:rPr>
          <w:rFonts w:ascii="Verdana" w:hAnsi="Verdana"/>
          <w:sz w:val="20"/>
          <w:lang w:val="es-ES_tradnl"/>
        </w:rPr>
      </w:pPr>
    </w:p>
    <w:p w:rsidR="00000000" w:rsidRDefault="00BD337A">
      <w:pPr>
        <w:pStyle w:val="Textoindependiente"/>
        <w:widowControl/>
        <w:rPr>
          <w:rFonts w:ascii="Verdana" w:hAnsi="Verdana"/>
          <w:sz w:val="20"/>
          <w:lang w:val="es-ES_tradnl"/>
        </w:rPr>
      </w:pPr>
      <w:r>
        <w:rPr>
          <w:rFonts w:ascii="Verdana" w:hAnsi="Verdana"/>
          <w:sz w:val="20"/>
          <w:lang w:val="es-ES_tradnl"/>
        </w:rPr>
        <w:t>5.</w:t>
      </w:r>
      <w:r>
        <w:rPr>
          <w:rFonts w:ascii="Verdana" w:hAnsi="Verdana"/>
          <w:sz w:val="20"/>
          <w:lang w:val="es-ES_tradnl"/>
        </w:rPr>
        <w:tab/>
        <w:t xml:space="preserve">El 4 de octubre de 2001 </w:t>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xml:space="preserve"> solicitó una prórroga para la presentación de sus </w:t>
      </w:r>
      <w:r>
        <w:rPr>
          <w:rFonts w:ascii="Verdana" w:hAnsi="Verdana"/>
          <w:sz w:val="20"/>
          <w:lang w:val="es-ES_tradnl"/>
        </w:rPr>
        <w:t xml:space="preserve">observaciones a la demanda de interpretación del señor Cesti hasta el 23 del mismo mes y año.  Siguiendo instrucciones del Presidente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adelante “el Presidente”), dicha prórroga fue otorgada el mismo día. </w:t>
      </w:r>
    </w:p>
    <w:p w:rsidR="00000000" w:rsidRDefault="00BD337A">
      <w:pPr>
        <w:jc w:val="both"/>
        <w:rPr>
          <w:rFonts w:ascii="Verdana" w:hAnsi="Verdana"/>
          <w:sz w:val="20"/>
          <w:lang w:val="es-ES_tradnl"/>
        </w:rPr>
      </w:pPr>
    </w:p>
    <w:p w:rsidR="00000000" w:rsidRDefault="00BD337A">
      <w:pPr>
        <w:pStyle w:val="Textoindependiente"/>
        <w:widowControl/>
        <w:rPr>
          <w:rFonts w:ascii="Verdana" w:hAnsi="Verdana"/>
          <w:sz w:val="20"/>
          <w:lang w:val="es-ES_tradnl"/>
        </w:rPr>
      </w:pPr>
      <w:r>
        <w:rPr>
          <w:rFonts w:ascii="Verdana" w:hAnsi="Verdana"/>
          <w:sz w:val="20"/>
          <w:lang w:val="es-ES_tradnl"/>
        </w:rPr>
        <w:t>6.</w:t>
      </w:r>
      <w:r>
        <w:rPr>
          <w:rFonts w:ascii="Verdana" w:hAnsi="Verdana"/>
          <w:sz w:val="20"/>
          <w:lang w:val="es-ES_tradnl"/>
        </w:rPr>
        <w:tab/>
        <w:t>El 5 de octubre de 2001 el Estad</w:t>
      </w:r>
      <w:r>
        <w:rPr>
          <w:rFonts w:ascii="Verdana" w:hAnsi="Verdana"/>
          <w:sz w:val="20"/>
          <w:lang w:val="es-ES_tradnl"/>
        </w:rPr>
        <w:t xml:space="preserve">o peruano presentó sus alegatos escritos respecto a la demanda de interpretación, los cuales fueron complementados mediante escrito de 9 de octubre siguiente. </w:t>
      </w:r>
    </w:p>
    <w:p w:rsidR="00000000" w:rsidRDefault="00BD337A">
      <w:pPr>
        <w:jc w:val="both"/>
        <w:rPr>
          <w:rFonts w:ascii="Verdana" w:hAnsi="Verdana"/>
          <w:sz w:val="20"/>
          <w:lang w:val="es-ES_tradnl"/>
        </w:rPr>
      </w:pPr>
    </w:p>
    <w:p w:rsidR="00000000" w:rsidRDefault="00BD337A">
      <w:pPr>
        <w:jc w:val="both"/>
        <w:rPr>
          <w:rFonts w:ascii="Verdana" w:hAnsi="Verdana"/>
          <w:b/>
          <w:sz w:val="20"/>
          <w:lang w:val="es-ES_tradnl"/>
        </w:rPr>
      </w:pPr>
      <w:r>
        <w:rPr>
          <w:rFonts w:ascii="Verdana" w:hAnsi="Verdana"/>
          <w:sz w:val="20"/>
          <w:lang w:val="es-ES_tradnl"/>
        </w:rPr>
        <w:t>7.</w:t>
      </w:r>
      <w:r>
        <w:rPr>
          <w:rFonts w:ascii="Verdana" w:hAnsi="Verdana"/>
          <w:sz w:val="20"/>
          <w:lang w:val="es-ES_tradnl"/>
        </w:rPr>
        <w:tab/>
        <w:t xml:space="preserve">El 23 de octubre de 2001 </w:t>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xml:space="preserve"> presentó sus observaciones a la demanda de interpretaci</w:t>
      </w:r>
      <w:r>
        <w:rPr>
          <w:rFonts w:ascii="Verdana" w:hAnsi="Verdana"/>
          <w:sz w:val="20"/>
          <w:lang w:val="es-ES_tradnl"/>
        </w:rPr>
        <w:t xml:space="preserve">ón en idioma inglés y el 30 del mismo mes y año presentó la traducción a dicha comunicación en idioma español. </w:t>
      </w:r>
    </w:p>
    <w:p w:rsidR="00000000" w:rsidRDefault="00BD337A">
      <w:pPr>
        <w:jc w:val="both"/>
        <w:rPr>
          <w:rFonts w:ascii="Verdana" w:hAnsi="Verdana"/>
          <w:sz w:val="20"/>
          <w:lang w:val="es-ES_tradnl"/>
        </w:rPr>
      </w:pPr>
    </w:p>
    <w:p w:rsidR="00000000" w:rsidRDefault="00BD337A">
      <w:pPr>
        <w:jc w:val="both"/>
        <w:rPr>
          <w:rFonts w:ascii="Verdana" w:hAnsi="Verdana"/>
          <w:sz w:val="20"/>
          <w:lang w:val="es-ES_tradnl"/>
        </w:rPr>
      </w:pPr>
      <w:r>
        <w:rPr>
          <w:rFonts w:ascii="Verdana" w:hAnsi="Verdana"/>
          <w:sz w:val="20"/>
          <w:lang w:val="es-ES_tradnl"/>
        </w:rPr>
        <w:lastRenderedPageBreak/>
        <w:t>8.</w:t>
      </w:r>
      <w:r>
        <w:rPr>
          <w:rFonts w:ascii="Verdana" w:hAnsi="Verdana"/>
          <w:sz w:val="20"/>
          <w:lang w:val="es-ES_tradnl"/>
        </w:rPr>
        <w:tab/>
        <w:t xml:space="preserve">El 27 de noviembre de 2001 el señor Cesti Hurtado sometió a consideración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un escrito solicitando la realización de una audiencia</w:t>
      </w:r>
      <w:r>
        <w:rPr>
          <w:rFonts w:ascii="Verdana" w:hAnsi="Verdana"/>
          <w:sz w:val="20"/>
          <w:lang w:val="es-ES_tradnl"/>
        </w:rPr>
        <w:t xml:space="preserve"> en relación con la interpretación de la sentencia de reparaciones, con el objeto de que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escuchara los argumentos de sus abogados antes de emitir un criterio al respecto.</w:t>
      </w:r>
    </w:p>
    <w:p w:rsidR="00000000" w:rsidRDefault="00BD337A">
      <w:pPr>
        <w:jc w:val="both"/>
        <w:rPr>
          <w:rFonts w:ascii="Verdana" w:hAnsi="Verdana"/>
          <w:sz w:val="20"/>
          <w:lang w:val="es-ES_tradnl"/>
        </w:rPr>
      </w:pPr>
    </w:p>
    <w:p w:rsidR="00000000" w:rsidRDefault="00BD337A">
      <w:pPr>
        <w:pStyle w:val="Ttulo1"/>
        <w:rPr>
          <w:rFonts w:ascii="Verdana" w:hAnsi="Verdana"/>
          <w:smallCaps/>
          <w:lang w:val="es-ES_tradnl"/>
        </w:rPr>
      </w:pPr>
    </w:p>
    <w:p w:rsidR="00000000" w:rsidRDefault="00BD337A">
      <w:pPr>
        <w:pStyle w:val="Ttulo1"/>
        <w:rPr>
          <w:rFonts w:ascii="Verdana" w:hAnsi="Verdana"/>
          <w:smallCaps/>
          <w:lang w:val="es-ES_tradnl"/>
        </w:rPr>
      </w:pPr>
      <w:r>
        <w:rPr>
          <w:rFonts w:ascii="Verdana" w:hAnsi="Verdana"/>
          <w:smallCaps/>
          <w:lang w:val="es-ES_tradnl"/>
        </w:rPr>
        <w:t>IV</w:t>
      </w:r>
    </w:p>
    <w:p w:rsidR="00000000" w:rsidRDefault="00BD337A">
      <w:pPr>
        <w:jc w:val="center"/>
        <w:rPr>
          <w:rFonts w:ascii="Verdana" w:hAnsi="Verdana"/>
          <w:b/>
          <w:sz w:val="20"/>
          <w:lang w:val="es-ES_tradnl"/>
        </w:rPr>
      </w:pPr>
      <w:r>
        <w:rPr>
          <w:rFonts w:ascii="Verdana" w:hAnsi="Verdana"/>
          <w:b/>
          <w:smallCaps/>
          <w:sz w:val="20"/>
          <w:lang w:val="es-ES_tradnl"/>
        </w:rPr>
        <w:t xml:space="preserve">OBJETO DE </w:t>
      </w:r>
      <w:smartTag w:uri="urn:schemas-microsoft-com:office:smarttags" w:element="PersonName">
        <w:smartTagPr>
          <w:attr w:name="ProductID" w:val="LA DEMANDA"/>
        </w:smartTagPr>
        <w:r>
          <w:rPr>
            <w:rFonts w:ascii="Verdana" w:hAnsi="Verdana"/>
            <w:b/>
            <w:smallCaps/>
            <w:sz w:val="20"/>
            <w:lang w:val="es-ES_tradnl"/>
          </w:rPr>
          <w:t>LA DEMANDA</w:t>
        </w:r>
      </w:smartTag>
    </w:p>
    <w:p w:rsidR="00000000" w:rsidRDefault="00BD337A">
      <w:pPr>
        <w:jc w:val="both"/>
        <w:rPr>
          <w:rFonts w:ascii="Verdana" w:hAnsi="Verdana"/>
          <w:b/>
          <w:sz w:val="20"/>
          <w:lang w:val="es-ES_tradnl"/>
        </w:rPr>
      </w:pPr>
    </w:p>
    <w:p w:rsidR="00000000" w:rsidRDefault="00BD337A">
      <w:pPr>
        <w:jc w:val="both"/>
        <w:rPr>
          <w:rFonts w:ascii="Verdana" w:hAnsi="Verdana"/>
          <w:sz w:val="20"/>
          <w:lang w:val="es-ES_tradnl"/>
        </w:rPr>
      </w:pPr>
      <w:r>
        <w:rPr>
          <w:rFonts w:ascii="Verdana" w:hAnsi="Verdana"/>
          <w:sz w:val="20"/>
          <w:lang w:val="es-ES_tradnl"/>
        </w:rPr>
        <w:t>9.</w:t>
      </w:r>
      <w:r>
        <w:rPr>
          <w:rFonts w:ascii="Verdana" w:hAnsi="Verdana"/>
          <w:sz w:val="20"/>
          <w:lang w:val="es-ES_tradnl"/>
        </w:rPr>
        <w:tab/>
        <w:t xml:space="preserve">El señor Cesti solicitó a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su deman</w:t>
      </w:r>
      <w:r>
        <w:rPr>
          <w:rFonts w:ascii="Verdana" w:hAnsi="Verdana"/>
          <w:sz w:val="20"/>
          <w:lang w:val="es-ES_tradnl"/>
        </w:rPr>
        <w:t>da “que proceda a la interpretación de los párrafos 41, 46, y 47 de su sentencia sobre reparaciones que dictó con fecha 31 de mayo de 2001, y del punto N° 1 de la parte resolutiva de la misma, teniendo en consideración las cuestiones planteadas [en la dema</w:t>
      </w:r>
      <w:r>
        <w:rPr>
          <w:rFonts w:ascii="Verdana" w:hAnsi="Verdana"/>
          <w:sz w:val="20"/>
          <w:lang w:val="es-ES_tradnl"/>
        </w:rPr>
        <w:t>nda de interpretación y] que convoque a las partes a una audiencia pública, a fin de escuchar sus alegatos sobre [el] recurso de interpretación”.</w:t>
      </w:r>
    </w:p>
    <w:p w:rsidR="00000000" w:rsidRDefault="00BD337A">
      <w:pPr>
        <w:jc w:val="both"/>
        <w:rPr>
          <w:rFonts w:ascii="Verdana" w:hAnsi="Verdana"/>
          <w:sz w:val="20"/>
          <w:lang w:val="es-ES_tradnl"/>
        </w:rPr>
      </w:pPr>
    </w:p>
    <w:p w:rsidR="00000000" w:rsidRDefault="00BD337A">
      <w:pPr>
        <w:pStyle w:val="Init1"/>
        <w:tabs>
          <w:tab w:val="clear" w:pos="600"/>
          <w:tab w:val="clear" w:pos="1200"/>
          <w:tab w:val="clear" w:pos="1800"/>
          <w:tab w:val="clear" w:pos="4320"/>
          <w:tab w:val="clear" w:pos="6240"/>
          <w:tab w:val="clear" w:pos="8760"/>
        </w:tabs>
        <w:spacing w:line="240" w:lineRule="auto"/>
        <w:rPr>
          <w:rFonts w:ascii="Verdana" w:hAnsi="Verdana"/>
          <w:sz w:val="20"/>
          <w:lang w:val="es-ES_tradnl"/>
        </w:rPr>
      </w:pPr>
      <w:r>
        <w:rPr>
          <w:rFonts w:ascii="Verdana" w:hAnsi="Verdana"/>
          <w:sz w:val="20"/>
          <w:lang w:val="es-ES_tradnl"/>
        </w:rPr>
        <w:t>10.</w:t>
      </w:r>
      <w:r>
        <w:rPr>
          <w:rFonts w:ascii="Verdana" w:hAnsi="Verdana"/>
          <w:sz w:val="20"/>
          <w:lang w:val="es-ES_tradnl"/>
        </w:rPr>
        <w:tab/>
        <w:t xml:space="preserve">Específicamente, el señor Cesti solicitó a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que aclarara lo siguiente:</w:t>
      </w:r>
    </w:p>
    <w:p w:rsidR="00000000" w:rsidRDefault="00BD337A">
      <w:pPr>
        <w:jc w:val="both"/>
        <w:rPr>
          <w:rFonts w:ascii="Verdana" w:hAnsi="Verdana"/>
          <w:sz w:val="18"/>
          <w:lang w:val="es-ES_tradnl"/>
        </w:rPr>
      </w:pPr>
    </w:p>
    <w:p w:rsidR="00000000" w:rsidRDefault="00BD337A">
      <w:pPr>
        <w:pStyle w:val="BodyText20"/>
        <w:numPr>
          <w:ilvl w:val="0"/>
          <w:numId w:val="2"/>
        </w:numPr>
        <w:tabs>
          <w:tab w:val="left" w:pos="1440"/>
        </w:tabs>
        <w:ind w:right="720" w:firstLine="0"/>
        <w:rPr>
          <w:rFonts w:ascii="Verdana" w:hAnsi="Verdana"/>
          <w:sz w:val="18"/>
        </w:rPr>
      </w:pPr>
      <w:r>
        <w:rPr>
          <w:rFonts w:ascii="Verdana" w:hAnsi="Verdana"/>
          <w:sz w:val="18"/>
        </w:rPr>
        <w:t>Si, como parte de los dañ</w:t>
      </w:r>
      <w:r>
        <w:rPr>
          <w:rFonts w:ascii="Verdana" w:hAnsi="Verdana"/>
          <w:sz w:val="18"/>
        </w:rPr>
        <w:t xml:space="preserve">os materiales causados, el Estado Peruano está obligado a indemnizar a la víctima por el </w:t>
      </w:r>
      <w:r>
        <w:rPr>
          <w:rFonts w:ascii="Verdana" w:hAnsi="Verdana"/>
          <w:i/>
          <w:sz w:val="18"/>
        </w:rPr>
        <w:t xml:space="preserve">detrimento directo de su patrimonio derivado de los gastos que tuvo que efectuar </w:t>
      </w:r>
      <w:r>
        <w:rPr>
          <w:rFonts w:ascii="Verdana" w:hAnsi="Verdana"/>
          <w:sz w:val="18"/>
        </w:rPr>
        <w:t>para hacer frente a los actos que constituyeron una violación de sus derechos y que ha</w:t>
      </w:r>
      <w:r>
        <w:rPr>
          <w:rFonts w:ascii="Verdana" w:hAnsi="Verdana"/>
          <w:sz w:val="18"/>
        </w:rPr>
        <w:t xml:space="preserve">n sido establecidos por la […] Corte en su sentencia sobre el fondo en el Caso Cesti Hurtado. </w:t>
      </w:r>
    </w:p>
    <w:p w:rsidR="00000000" w:rsidRDefault="00BD337A">
      <w:pPr>
        <w:pStyle w:val="BodyText20"/>
        <w:numPr>
          <w:ilvl w:val="12"/>
          <w:numId w:val="0"/>
        </w:numPr>
        <w:ind w:right="720"/>
        <w:rPr>
          <w:rFonts w:ascii="Verdana" w:hAnsi="Verdana"/>
          <w:sz w:val="18"/>
        </w:rPr>
      </w:pPr>
    </w:p>
    <w:p w:rsidR="00000000" w:rsidRDefault="00BD337A">
      <w:pPr>
        <w:pStyle w:val="BodyText20"/>
        <w:numPr>
          <w:ilvl w:val="0"/>
          <w:numId w:val="2"/>
        </w:numPr>
        <w:tabs>
          <w:tab w:val="left" w:pos="1440"/>
        </w:tabs>
        <w:ind w:right="720" w:firstLine="0"/>
        <w:rPr>
          <w:rFonts w:ascii="Verdana" w:hAnsi="Verdana"/>
          <w:sz w:val="18"/>
        </w:rPr>
      </w:pPr>
      <w:r>
        <w:rPr>
          <w:rFonts w:ascii="Verdana" w:hAnsi="Verdana"/>
          <w:sz w:val="18"/>
        </w:rPr>
        <w:t xml:space="preserve">Si -teniendo en cuenta lo señalado por </w:t>
      </w:r>
      <w:smartTag w:uri="urn:schemas-microsoft-com:office:smarttags" w:element="PersonName">
        <w:smartTagPr>
          <w:attr w:name="ProductID" w:val="la Corte"/>
        </w:smartTagPr>
        <w:r>
          <w:rPr>
            <w:rFonts w:ascii="Verdana" w:hAnsi="Verdana"/>
            <w:sz w:val="18"/>
          </w:rPr>
          <w:t>la Corte</w:t>
        </w:r>
      </w:smartTag>
      <w:r>
        <w:rPr>
          <w:rFonts w:ascii="Verdana" w:hAnsi="Verdana"/>
          <w:sz w:val="18"/>
        </w:rPr>
        <w:t xml:space="preserve"> en los párrafos 32, 33, y 36 de la sentencia de reparaciones-, como parte de los daños materiales, el Estado Per</w:t>
      </w:r>
      <w:r>
        <w:rPr>
          <w:rFonts w:ascii="Verdana" w:hAnsi="Verdana"/>
          <w:sz w:val="18"/>
        </w:rPr>
        <w:t xml:space="preserve">uano está obligado a indemnizar a la víctima por los gastos en que debió incurrir para los efectos de su defensa legal para hacer frente a los actos del Estado Peruano violatorios de sus derechos, que constituyeron un detrimento efectivo de su patrimonio, </w:t>
      </w:r>
      <w:r>
        <w:rPr>
          <w:rFonts w:ascii="Verdana" w:hAnsi="Verdana"/>
          <w:sz w:val="18"/>
        </w:rPr>
        <w:t xml:space="preserve">y que la […] Corte no incluyó dentro del concepto de Costas y Gastos. </w:t>
      </w:r>
    </w:p>
    <w:p w:rsidR="00000000" w:rsidRDefault="00BD337A">
      <w:pPr>
        <w:pStyle w:val="BodyText20"/>
        <w:numPr>
          <w:ilvl w:val="12"/>
          <w:numId w:val="0"/>
        </w:numPr>
        <w:ind w:right="720"/>
        <w:rPr>
          <w:rFonts w:ascii="Verdana" w:hAnsi="Verdana"/>
          <w:sz w:val="18"/>
        </w:rPr>
      </w:pPr>
    </w:p>
    <w:p w:rsidR="00000000" w:rsidRDefault="00BD337A">
      <w:pPr>
        <w:pStyle w:val="BodyText20"/>
        <w:numPr>
          <w:ilvl w:val="0"/>
          <w:numId w:val="2"/>
        </w:numPr>
        <w:tabs>
          <w:tab w:val="left" w:pos="1440"/>
        </w:tabs>
        <w:ind w:right="720" w:firstLine="0"/>
        <w:rPr>
          <w:rFonts w:ascii="Verdana" w:hAnsi="Verdana"/>
          <w:sz w:val="18"/>
        </w:rPr>
      </w:pPr>
      <w:r>
        <w:rPr>
          <w:rFonts w:ascii="Verdana" w:hAnsi="Verdana"/>
          <w:sz w:val="18"/>
        </w:rPr>
        <w:t xml:space="preserve">Si, de acuerdo con los párrafos 46 y 47 de la sentencia sobre reparaciones, para los efectos de determinar el monto del daño material, “tomando en cuenta los elementos que normalmente </w:t>
      </w:r>
      <w:r>
        <w:rPr>
          <w:rFonts w:ascii="Verdana" w:hAnsi="Verdana"/>
          <w:sz w:val="18"/>
        </w:rPr>
        <w:t xml:space="preserve">componen el daño material” […], es decir, el daño emergente, el lucro cesante, y los demás daños económicos derivados de la violación de los derechos humanos de Gustavo Cesti Hurtado, y teniendo en consideración el principio de la </w:t>
      </w:r>
      <w:r>
        <w:rPr>
          <w:rFonts w:ascii="Verdana" w:hAnsi="Verdana"/>
          <w:i/>
          <w:sz w:val="18"/>
        </w:rPr>
        <w:t xml:space="preserve">restitutio in integrum </w:t>
      </w:r>
      <w:r>
        <w:rPr>
          <w:rFonts w:ascii="Verdana" w:hAnsi="Verdana"/>
          <w:sz w:val="18"/>
        </w:rPr>
        <w:t>[…</w:t>
      </w:r>
      <w:r>
        <w:rPr>
          <w:rFonts w:ascii="Verdana" w:hAnsi="Verdana"/>
          <w:sz w:val="18"/>
        </w:rPr>
        <w:t>], puede entenderse que el Estado peruano está obligado a indemnizar todos los</w:t>
      </w:r>
      <w:r>
        <w:rPr>
          <w:rFonts w:ascii="Verdana" w:hAnsi="Verdana"/>
          <w:sz w:val="20"/>
        </w:rPr>
        <w:t xml:space="preserve"> </w:t>
      </w:r>
      <w:r>
        <w:rPr>
          <w:rFonts w:ascii="Verdana" w:hAnsi="Verdana"/>
          <w:sz w:val="18"/>
        </w:rPr>
        <w:t xml:space="preserve">daños materiales ocasionados en este caso, quedando únicamente por determinar el monto de los mismos. </w:t>
      </w:r>
    </w:p>
    <w:p w:rsidR="00000000" w:rsidRDefault="00BD337A">
      <w:pPr>
        <w:pStyle w:val="BodyText20"/>
        <w:numPr>
          <w:ilvl w:val="12"/>
          <w:numId w:val="0"/>
        </w:numPr>
        <w:ind w:right="720"/>
        <w:rPr>
          <w:rFonts w:ascii="Verdana" w:hAnsi="Verdana"/>
          <w:sz w:val="18"/>
        </w:rPr>
      </w:pPr>
    </w:p>
    <w:p w:rsidR="00000000" w:rsidRDefault="00BD337A">
      <w:pPr>
        <w:pStyle w:val="BodyText20"/>
        <w:numPr>
          <w:ilvl w:val="0"/>
          <w:numId w:val="2"/>
        </w:numPr>
        <w:tabs>
          <w:tab w:val="left" w:pos="1440"/>
        </w:tabs>
        <w:ind w:right="720" w:firstLine="0"/>
        <w:rPr>
          <w:rFonts w:ascii="Verdana" w:hAnsi="Verdana"/>
          <w:sz w:val="18"/>
        </w:rPr>
      </w:pPr>
      <w:r>
        <w:rPr>
          <w:rFonts w:ascii="Verdana" w:hAnsi="Verdana"/>
          <w:sz w:val="18"/>
        </w:rPr>
        <w:t>Si el Estado Peruano, en virtud del mandato de la sentencia de reparacion</w:t>
      </w:r>
      <w:r>
        <w:rPr>
          <w:rFonts w:ascii="Verdana" w:hAnsi="Verdana"/>
          <w:sz w:val="18"/>
        </w:rPr>
        <w:t>es cuya interpretación se solicita, está obligado a iniciar de oficio los trámites pertinentes ante las instancias nacionales para el pago de la indemnización prevista en los puntos 1, 2, 3, y 4 de la parte resolutiva de la sentencia, o si debe ser la víct</w:t>
      </w:r>
      <w:r>
        <w:rPr>
          <w:rFonts w:ascii="Verdana" w:hAnsi="Verdana"/>
          <w:sz w:val="18"/>
        </w:rPr>
        <w:t>ima la que los inicie, a efecto de cobrar la indemnización que se le debe.</w:t>
      </w:r>
      <w:r>
        <w:rPr>
          <w:rFonts w:ascii="Verdana" w:hAnsi="Verdana"/>
          <w:b/>
          <w:sz w:val="18"/>
        </w:rPr>
        <w:t xml:space="preserve"> </w:t>
      </w:r>
    </w:p>
    <w:p w:rsidR="00000000" w:rsidRDefault="00BD337A">
      <w:pPr>
        <w:pStyle w:val="BodyText20"/>
        <w:numPr>
          <w:ilvl w:val="12"/>
          <w:numId w:val="0"/>
        </w:numPr>
        <w:ind w:left="1440" w:right="720"/>
        <w:rPr>
          <w:rFonts w:ascii="Verdana" w:hAnsi="Verdana"/>
          <w:sz w:val="18"/>
        </w:rPr>
      </w:pPr>
    </w:p>
    <w:p w:rsidR="00000000" w:rsidRDefault="00BD337A">
      <w:pPr>
        <w:pStyle w:val="BodyText20"/>
        <w:numPr>
          <w:ilvl w:val="0"/>
          <w:numId w:val="2"/>
        </w:numPr>
        <w:tabs>
          <w:tab w:val="left" w:pos="1440"/>
        </w:tabs>
        <w:ind w:right="720" w:firstLine="0"/>
        <w:rPr>
          <w:rFonts w:ascii="Verdana" w:hAnsi="Verdana"/>
          <w:sz w:val="18"/>
        </w:rPr>
      </w:pPr>
      <w:r>
        <w:rPr>
          <w:rFonts w:ascii="Verdana" w:hAnsi="Verdana"/>
          <w:sz w:val="18"/>
        </w:rPr>
        <w:t>Si el término ‘</w:t>
      </w:r>
      <w:r>
        <w:rPr>
          <w:rFonts w:ascii="Verdana" w:hAnsi="Verdana"/>
          <w:i/>
          <w:sz w:val="18"/>
        </w:rPr>
        <w:t>trámites nacionales pertinentes</w:t>
      </w:r>
      <w:r>
        <w:rPr>
          <w:rFonts w:ascii="Verdana" w:hAnsi="Verdana"/>
          <w:sz w:val="18"/>
        </w:rPr>
        <w:t>’ mencionado en el punto N° 1 de la parte resolutiva de la sentencia, así como la referencia a ‘</w:t>
      </w:r>
      <w:r>
        <w:rPr>
          <w:rFonts w:ascii="Verdana" w:hAnsi="Verdana"/>
          <w:i/>
          <w:sz w:val="18"/>
        </w:rPr>
        <w:t>los mecanismos que establezcan las le</w:t>
      </w:r>
      <w:r>
        <w:rPr>
          <w:rFonts w:ascii="Verdana" w:hAnsi="Verdana"/>
          <w:i/>
          <w:sz w:val="18"/>
        </w:rPr>
        <w:t>yes internas</w:t>
      </w:r>
      <w:r>
        <w:rPr>
          <w:rFonts w:ascii="Verdana" w:hAnsi="Verdana"/>
          <w:sz w:val="18"/>
        </w:rPr>
        <w:t>’ a que se refiere el párrafo 46, y la referencia a ‘</w:t>
      </w:r>
      <w:r>
        <w:rPr>
          <w:rFonts w:ascii="Verdana" w:hAnsi="Verdana"/>
          <w:i/>
          <w:sz w:val="18"/>
        </w:rPr>
        <w:t>las normas nacionales pertinentes</w:t>
      </w:r>
      <w:r>
        <w:rPr>
          <w:rFonts w:ascii="Verdana" w:hAnsi="Verdana"/>
          <w:sz w:val="18"/>
        </w:rPr>
        <w:t xml:space="preserve">’ contenida en el párrafo 47 de la sentencia de reparaciones, se refieren a:  </w:t>
      </w:r>
    </w:p>
    <w:p w:rsidR="00000000" w:rsidRDefault="00BD337A">
      <w:pPr>
        <w:pStyle w:val="BodyText20"/>
        <w:numPr>
          <w:ilvl w:val="12"/>
          <w:numId w:val="0"/>
        </w:numPr>
        <w:ind w:right="720"/>
        <w:rPr>
          <w:rFonts w:ascii="Verdana" w:hAnsi="Verdana"/>
          <w:sz w:val="18"/>
        </w:rPr>
      </w:pPr>
    </w:p>
    <w:p w:rsidR="00000000" w:rsidRDefault="00BD337A">
      <w:pPr>
        <w:pStyle w:val="BodyText20"/>
        <w:numPr>
          <w:ilvl w:val="1"/>
          <w:numId w:val="2"/>
        </w:numPr>
        <w:tabs>
          <w:tab w:val="left" w:pos="1440"/>
          <w:tab w:val="left" w:pos="1820"/>
        </w:tabs>
        <w:ind w:left="720" w:right="720" w:firstLine="0"/>
        <w:rPr>
          <w:rFonts w:ascii="Verdana" w:hAnsi="Verdana"/>
          <w:sz w:val="18"/>
        </w:rPr>
      </w:pPr>
      <w:r>
        <w:rPr>
          <w:rFonts w:ascii="Verdana" w:hAnsi="Verdana"/>
          <w:sz w:val="18"/>
        </w:rPr>
        <w:lastRenderedPageBreak/>
        <w:t>procedimientos de naturaleza judicial para que se determine el monto a indemni</w:t>
      </w:r>
      <w:r>
        <w:rPr>
          <w:rFonts w:ascii="Verdana" w:hAnsi="Verdana"/>
          <w:sz w:val="18"/>
        </w:rPr>
        <w:t>zar, dejando, en consecuencia, la determinación de ese monto entera y exclusivamente en manos de los órganos jurisdiccionales del Estado […], o</w:t>
      </w:r>
    </w:p>
    <w:p w:rsidR="00000000" w:rsidRDefault="00BD337A">
      <w:pPr>
        <w:pStyle w:val="BodyText20"/>
        <w:numPr>
          <w:ilvl w:val="12"/>
          <w:numId w:val="0"/>
        </w:numPr>
        <w:tabs>
          <w:tab w:val="left" w:pos="1440"/>
        </w:tabs>
        <w:ind w:left="1440" w:right="720"/>
        <w:rPr>
          <w:rFonts w:ascii="Verdana" w:hAnsi="Verdana"/>
          <w:sz w:val="18"/>
        </w:rPr>
      </w:pPr>
    </w:p>
    <w:p w:rsidR="00000000" w:rsidRDefault="00BD337A">
      <w:pPr>
        <w:pStyle w:val="BodyText20"/>
        <w:numPr>
          <w:ilvl w:val="1"/>
          <w:numId w:val="2"/>
        </w:numPr>
        <w:tabs>
          <w:tab w:val="left" w:pos="1440"/>
          <w:tab w:val="left" w:pos="1820"/>
        </w:tabs>
        <w:ind w:left="720" w:right="720" w:firstLine="0"/>
        <w:rPr>
          <w:rFonts w:ascii="Verdana" w:hAnsi="Verdana"/>
          <w:sz w:val="18"/>
        </w:rPr>
      </w:pPr>
      <w:r>
        <w:rPr>
          <w:rFonts w:ascii="Verdana" w:hAnsi="Verdana"/>
          <w:sz w:val="18"/>
        </w:rPr>
        <w:t>si basta con que, como parte de esos ‘</w:t>
      </w:r>
      <w:r>
        <w:rPr>
          <w:rFonts w:ascii="Verdana" w:hAnsi="Verdana"/>
          <w:i/>
          <w:sz w:val="18"/>
        </w:rPr>
        <w:t>trámites pertinentes</w:t>
      </w:r>
      <w:r>
        <w:rPr>
          <w:rFonts w:ascii="Verdana" w:hAnsi="Verdana"/>
          <w:sz w:val="18"/>
        </w:rPr>
        <w:t>’, la víctima acredite ante el Estado -con los mismos</w:t>
      </w:r>
      <w:r>
        <w:rPr>
          <w:rFonts w:ascii="Verdana" w:hAnsi="Verdana"/>
          <w:sz w:val="18"/>
        </w:rPr>
        <w:t xml:space="preserve"> documentos</w:t>
      </w:r>
      <w:r>
        <w:rPr>
          <w:rFonts w:ascii="Verdana" w:hAnsi="Verdana"/>
          <w:sz w:val="20"/>
        </w:rPr>
        <w:t xml:space="preserve"> </w:t>
      </w:r>
      <w:r>
        <w:rPr>
          <w:rFonts w:ascii="Verdana" w:hAnsi="Verdana"/>
          <w:sz w:val="18"/>
        </w:rPr>
        <w:t>probatorios previamente introducidos ante la […] Corte y que no fueron objetados ante la misma- los gastos en que debió incurrir y el monto de los daños que se le ocasionó, o</w:t>
      </w:r>
    </w:p>
    <w:p w:rsidR="00000000" w:rsidRDefault="00BD337A">
      <w:pPr>
        <w:pStyle w:val="BodyText20"/>
        <w:numPr>
          <w:ilvl w:val="12"/>
          <w:numId w:val="0"/>
        </w:numPr>
        <w:tabs>
          <w:tab w:val="left" w:pos="1440"/>
        </w:tabs>
        <w:ind w:left="1440" w:right="720"/>
        <w:rPr>
          <w:rFonts w:ascii="Verdana" w:hAnsi="Verdana"/>
          <w:sz w:val="18"/>
        </w:rPr>
      </w:pPr>
    </w:p>
    <w:p w:rsidR="00000000" w:rsidRDefault="00BD337A">
      <w:pPr>
        <w:pStyle w:val="BodyText20"/>
        <w:numPr>
          <w:ilvl w:val="1"/>
          <w:numId w:val="2"/>
        </w:numPr>
        <w:tabs>
          <w:tab w:val="left" w:pos="1440"/>
          <w:tab w:val="left" w:pos="1820"/>
        </w:tabs>
        <w:ind w:left="720" w:right="720" w:firstLine="0"/>
        <w:rPr>
          <w:rFonts w:ascii="Verdana" w:hAnsi="Verdana"/>
          <w:sz w:val="18"/>
        </w:rPr>
      </w:pPr>
      <w:r>
        <w:rPr>
          <w:rFonts w:ascii="Verdana" w:hAnsi="Verdana"/>
          <w:sz w:val="18"/>
        </w:rPr>
        <w:t>si la expresión ‘</w:t>
      </w:r>
      <w:r>
        <w:rPr>
          <w:rFonts w:ascii="Verdana" w:hAnsi="Verdana"/>
          <w:i/>
          <w:sz w:val="18"/>
        </w:rPr>
        <w:t>trámites nacionales pertinentes</w:t>
      </w:r>
      <w:r>
        <w:rPr>
          <w:rFonts w:ascii="Verdana" w:hAnsi="Verdana"/>
          <w:sz w:val="18"/>
        </w:rPr>
        <w:t>’, o ‘</w:t>
      </w:r>
      <w:r>
        <w:rPr>
          <w:rFonts w:ascii="Verdana" w:hAnsi="Verdana"/>
          <w:i/>
          <w:sz w:val="18"/>
        </w:rPr>
        <w:t>los mecanismos</w:t>
      </w:r>
      <w:r>
        <w:rPr>
          <w:rFonts w:ascii="Verdana" w:hAnsi="Verdana"/>
          <w:i/>
          <w:sz w:val="18"/>
        </w:rPr>
        <w:t xml:space="preserve"> que establezcan las leyes internas</w:t>
      </w:r>
      <w:r>
        <w:rPr>
          <w:rFonts w:ascii="Verdana" w:hAnsi="Verdana"/>
          <w:sz w:val="18"/>
        </w:rPr>
        <w:t>’, o ‘</w:t>
      </w:r>
      <w:r>
        <w:rPr>
          <w:rFonts w:ascii="Verdana" w:hAnsi="Verdana"/>
          <w:i/>
          <w:sz w:val="18"/>
        </w:rPr>
        <w:t>las normas nacionales pertinentes</w:t>
      </w:r>
      <w:r>
        <w:rPr>
          <w:rFonts w:ascii="Verdana" w:hAnsi="Verdana"/>
          <w:sz w:val="18"/>
        </w:rPr>
        <w:t>’, suponen una negociación directa entre las partes a fin de determinar el monto de la indemnización, o</w:t>
      </w:r>
    </w:p>
    <w:p w:rsidR="00000000" w:rsidRDefault="00BD337A">
      <w:pPr>
        <w:pStyle w:val="BodyText20"/>
        <w:numPr>
          <w:ilvl w:val="12"/>
          <w:numId w:val="0"/>
        </w:numPr>
        <w:tabs>
          <w:tab w:val="left" w:pos="1440"/>
        </w:tabs>
        <w:ind w:left="1440" w:right="720"/>
        <w:rPr>
          <w:rFonts w:ascii="Verdana" w:hAnsi="Verdana"/>
          <w:sz w:val="18"/>
        </w:rPr>
      </w:pPr>
    </w:p>
    <w:p w:rsidR="00000000" w:rsidRDefault="00BD337A">
      <w:pPr>
        <w:pStyle w:val="BodyText20"/>
        <w:numPr>
          <w:ilvl w:val="1"/>
          <w:numId w:val="2"/>
        </w:numPr>
        <w:tabs>
          <w:tab w:val="left" w:pos="1440"/>
          <w:tab w:val="left" w:pos="1820"/>
        </w:tabs>
        <w:ind w:left="720" w:right="720" w:firstLine="0"/>
        <w:rPr>
          <w:rFonts w:ascii="Verdana" w:hAnsi="Verdana"/>
          <w:sz w:val="18"/>
        </w:rPr>
      </w:pPr>
      <w:r>
        <w:rPr>
          <w:rFonts w:ascii="Verdana" w:hAnsi="Verdana"/>
          <w:sz w:val="18"/>
        </w:rPr>
        <w:t>si dichas expresiones se refieren a formas alternativas de solución de confli</w:t>
      </w:r>
      <w:r>
        <w:rPr>
          <w:rFonts w:ascii="Verdana" w:hAnsi="Verdana"/>
          <w:sz w:val="18"/>
        </w:rPr>
        <w:t xml:space="preserve">ctos, como el arbitraje, previsto en la legislación peruana. </w:t>
      </w:r>
    </w:p>
    <w:p w:rsidR="00000000" w:rsidRDefault="00BD337A">
      <w:pPr>
        <w:pStyle w:val="BodyText20"/>
        <w:numPr>
          <w:ilvl w:val="12"/>
          <w:numId w:val="0"/>
        </w:numPr>
        <w:ind w:right="720"/>
        <w:rPr>
          <w:rFonts w:ascii="Verdana" w:hAnsi="Verdana"/>
          <w:sz w:val="18"/>
        </w:rPr>
      </w:pPr>
    </w:p>
    <w:p w:rsidR="00000000" w:rsidRDefault="00BD337A">
      <w:pPr>
        <w:pStyle w:val="BodyText20"/>
        <w:numPr>
          <w:ilvl w:val="0"/>
          <w:numId w:val="2"/>
        </w:numPr>
        <w:tabs>
          <w:tab w:val="left" w:pos="1440"/>
        </w:tabs>
        <w:ind w:right="720" w:firstLine="0"/>
        <w:rPr>
          <w:rFonts w:ascii="Verdana" w:hAnsi="Verdana"/>
          <w:sz w:val="18"/>
        </w:rPr>
      </w:pPr>
      <w:r>
        <w:rPr>
          <w:rFonts w:ascii="Verdana" w:hAnsi="Verdana"/>
          <w:sz w:val="18"/>
        </w:rPr>
        <w:t xml:space="preserve">En cualquiera de los casos anteriores, teniendo en cuenta lo dispuesto en los párrafos 47 y 74  de la sentencia de reparaciones, indicar:  </w:t>
      </w:r>
    </w:p>
    <w:p w:rsidR="00000000" w:rsidRDefault="00BD337A">
      <w:pPr>
        <w:pStyle w:val="BodyText20"/>
        <w:numPr>
          <w:ilvl w:val="12"/>
          <w:numId w:val="0"/>
        </w:numPr>
        <w:ind w:left="1440" w:right="720"/>
        <w:rPr>
          <w:rFonts w:ascii="Verdana" w:hAnsi="Verdana"/>
          <w:sz w:val="18"/>
        </w:rPr>
      </w:pPr>
    </w:p>
    <w:p w:rsidR="00000000" w:rsidRDefault="00BD337A">
      <w:pPr>
        <w:numPr>
          <w:ilvl w:val="1"/>
          <w:numId w:val="2"/>
        </w:numPr>
        <w:tabs>
          <w:tab w:val="left" w:pos="1440"/>
          <w:tab w:val="left" w:pos="1820"/>
        </w:tabs>
        <w:ind w:left="720" w:right="720" w:firstLine="0"/>
        <w:jc w:val="both"/>
        <w:rPr>
          <w:rFonts w:ascii="Verdana" w:hAnsi="Verdana"/>
          <w:sz w:val="18"/>
          <w:lang w:val="es-ES_tradnl"/>
        </w:rPr>
      </w:pPr>
      <w:r>
        <w:rPr>
          <w:rFonts w:ascii="Verdana" w:hAnsi="Verdana"/>
          <w:sz w:val="18"/>
          <w:lang w:val="es-ES_tradnl"/>
        </w:rPr>
        <w:t>cuál es el lapso dentro del que debe determinarse el</w:t>
      </w:r>
      <w:r>
        <w:rPr>
          <w:rFonts w:ascii="Verdana" w:hAnsi="Verdana"/>
          <w:sz w:val="18"/>
          <w:lang w:val="es-ES_tradnl"/>
        </w:rPr>
        <w:t xml:space="preserve"> monto de la indemnización a pagar por concepto del daño material, y</w:t>
      </w:r>
    </w:p>
    <w:p w:rsidR="00000000" w:rsidRDefault="00BD337A">
      <w:pPr>
        <w:numPr>
          <w:ilvl w:val="12"/>
          <w:numId w:val="0"/>
        </w:numPr>
        <w:ind w:left="720" w:right="720"/>
        <w:jc w:val="both"/>
        <w:rPr>
          <w:rFonts w:ascii="Verdana" w:hAnsi="Verdana"/>
          <w:sz w:val="18"/>
          <w:lang w:val="es-ES_tradnl"/>
        </w:rPr>
      </w:pPr>
    </w:p>
    <w:p w:rsidR="00000000" w:rsidRDefault="00BD337A">
      <w:pPr>
        <w:numPr>
          <w:ilvl w:val="1"/>
          <w:numId w:val="2"/>
        </w:numPr>
        <w:tabs>
          <w:tab w:val="left" w:pos="1440"/>
          <w:tab w:val="left" w:pos="1820"/>
        </w:tabs>
        <w:ind w:left="720" w:right="720" w:firstLine="0"/>
        <w:jc w:val="both"/>
        <w:rPr>
          <w:rFonts w:ascii="Verdana" w:hAnsi="Verdana"/>
          <w:sz w:val="18"/>
          <w:lang w:val="es-ES_tradnl"/>
        </w:rPr>
      </w:pPr>
      <w:r>
        <w:rPr>
          <w:rFonts w:ascii="Verdana" w:hAnsi="Verdana"/>
          <w:sz w:val="18"/>
          <w:lang w:val="es-ES_tradnl"/>
        </w:rPr>
        <w:t>cuál es el lapso dentro del que debería ejecutarse el pago de esa parte de la indemnización.</w:t>
      </w:r>
    </w:p>
    <w:p w:rsidR="00000000" w:rsidRDefault="00BD337A">
      <w:pPr>
        <w:pStyle w:val="BodyText20"/>
        <w:numPr>
          <w:ilvl w:val="12"/>
          <w:numId w:val="0"/>
        </w:numPr>
        <w:tabs>
          <w:tab w:val="left" w:pos="2550"/>
        </w:tabs>
        <w:ind w:left="1440" w:right="720"/>
        <w:rPr>
          <w:rFonts w:ascii="Verdana" w:hAnsi="Verdana"/>
          <w:sz w:val="18"/>
        </w:rPr>
      </w:pPr>
      <w:r>
        <w:rPr>
          <w:rFonts w:ascii="Verdana" w:hAnsi="Verdana"/>
          <w:sz w:val="18"/>
        </w:rPr>
        <w:tab/>
      </w:r>
    </w:p>
    <w:p w:rsidR="00000000" w:rsidRDefault="00BD337A">
      <w:pPr>
        <w:pStyle w:val="BodyText20"/>
        <w:numPr>
          <w:ilvl w:val="0"/>
          <w:numId w:val="2"/>
        </w:numPr>
        <w:tabs>
          <w:tab w:val="left" w:pos="1440"/>
        </w:tabs>
        <w:ind w:right="720" w:firstLine="0"/>
        <w:rPr>
          <w:rFonts w:ascii="Verdana" w:hAnsi="Verdana"/>
          <w:sz w:val="18"/>
        </w:rPr>
      </w:pPr>
      <w:r>
        <w:rPr>
          <w:rFonts w:ascii="Verdana" w:hAnsi="Verdana"/>
          <w:sz w:val="18"/>
        </w:rPr>
        <w:t>Si, en caso de que la indemnización dispuesta por el Estado no resulte satisfactoria para l</w:t>
      </w:r>
      <w:r>
        <w:rPr>
          <w:rFonts w:ascii="Verdana" w:hAnsi="Verdana"/>
          <w:sz w:val="18"/>
        </w:rPr>
        <w:t xml:space="preserve">a víctima, ella está facultada para recurrir a esa […] Corte, a fin de que sea ésta la que, en última instancia, determine el monto definitivo de la indemnización. </w:t>
      </w:r>
    </w:p>
    <w:p w:rsidR="00000000" w:rsidRDefault="00BD337A">
      <w:pPr>
        <w:jc w:val="both"/>
        <w:rPr>
          <w:rFonts w:ascii="Verdana" w:hAnsi="Verdana"/>
          <w:sz w:val="20"/>
          <w:lang w:val="es-ES_tradnl"/>
        </w:rPr>
      </w:pPr>
    </w:p>
    <w:p w:rsidR="00000000" w:rsidRDefault="00BD337A">
      <w:pPr>
        <w:pStyle w:val="Ttulo1"/>
        <w:rPr>
          <w:rFonts w:ascii="Verdana" w:hAnsi="Verdana"/>
          <w:smallCaps/>
          <w:lang w:val="es-ES_tradnl"/>
        </w:rPr>
      </w:pPr>
    </w:p>
    <w:p w:rsidR="00000000" w:rsidRDefault="00BD337A">
      <w:pPr>
        <w:pStyle w:val="Ttulo1"/>
        <w:rPr>
          <w:rFonts w:ascii="Verdana" w:hAnsi="Verdana"/>
          <w:smallCaps/>
          <w:lang w:val="es-ES_tradnl"/>
        </w:rPr>
      </w:pPr>
      <w:r>
        <w:rPr>
          <w:rFonts w:ascii="Verdana" w:hAnsi="Verdana"/>
          <w:smallCaps/>
          <w:lang w:val="es-ES_tradnl"/>
        </w:rPr>
        <w:t>V</w:t>
      </w:r>
    </w:p>
    <w:p w:rsidR="00000000" w:rsidRDefault="00BD337A">
      <w:pPr>
        <w:jc w:val="center"/>
        <w:rPr>
          <w:rFonts w:ascii="Verdana" w:hAnsi="Verdana"/>
          <w:b/>
          <w:smallCaps/>
          <w:sz w:val="20"/>
          <w:lang w:val="es-ES_tradnl"/>
        </w:rPr>
      </w:pPr>
      <w:r>
        <w:rPr>
          <w:rFonts w:ascii="Verdana" w:hAnsi="Verdana"/>
          <w:b/>
          <w:sz w:val="20"/>
          <w:lang w:val="es-ES_tradnl"/>
        </w:rPr>
        <w:t>A</w:t>
      </w:r>
      <w:r>
        <w:rPr>
          <w:rFonts w:ascii="Verdana" w:hAnsi="Verdana"/>
          <w:b/>
          <w:smallCaps/>
          <w:sz w:val="20"/>
          <w:lang w:val="es-ES_tradnl"/>
        </w:rPr>
        <w:t>DMISIBILIDAD</w:t>
      </w:r>
    </w:p>
    <w:p w:rsidR="00000000" w:rsidRDefault="00BD337A">
      <w:pPr>
        <w:jc w:val="both"/>
        <w:rPr>
          <w:rFonts w:ascii="Verdana" w:hAnsi="Verdana"/>
          <w:sz w:val="20"/>
          <w:lang w:val="es-ES_tradnl"/>
        </w:rPr>
      </w:pPr>
    </w:p>
    <w:p w:rsidR="00000000" w:rsidRDefault="00BD337A">
      <w:pPr>
        <w:jc w:val="both"/>
        <w:rPr>
          <w:rFonts w:ascii="Verdana" w:hAnsi="Verdana"/>
          <w:sz w:val="20"/>
          <w:lang w:val="es-ES_tradnl"/>
        </w:rPr>
      </w:pPr>
      <w:r>
        <w:rPr>
          <w:rFonts w:ascii="Verdana" w:hAnsi="Verdana"/>
          <w:sz w:val="20"/>
          <w:lang w:val="es-ES_tradnl"/>
        </w:rPr>
        <w:t>11.</w:t>
      </w:r>
      <w:r>
        <w:rPr>
          <w:rFonts w:ascii="Verdana" w:hAnsi="Verdana"/>
          <w:sz w:val="20"/>
          <w:lang w:val="es-ES_tradnl"/>
        </w:rPr>
        <w:tab/>
        <w:t xml:space="preserve">El artículo 67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exige, como presupuesto de admisibil</w:t>
      </w:r>
      <w:r>
        <w:rPr>
          <w:rFonts w:ascii="Verdana" w:hAnsi="Verdana"/>
          <w:sz w:val="20"/>
          <w:lang w:val="es-ES_tradnl"/>
        </w:rPr>
        <w:t xml:space="preserve">idad de la demanda de interpretación de sentencia, que dicha demanda sea presentada “dentro de los noventa días a partir de la fecha de la notificación del fallo”.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ha constatado que la sentencia de reparaciones en este caso se notificó a las part</w:t>
      </w:r>
      <w:r>
        <w:rPr>
          <w:rFonts w:ascii="Verdana" w:hAnsi="Verdana"/>
          <w:sz w:val="20"/>
          <w:lang w:val="es-ES_tradnl"/>
        </w:rPr>
        <w:t>es el 6 de junio de 2001. Por lo tanto, la demanda de interpretación fue presentada oportunamente (</w:t>
      </w:r>
      <w:r>
        <w:rPr>
          <w:rFonts w:ascii="Verdana" w:hAnsi="Verdana"/>
          <w:i/>
          <w:sz w:val="20"/>
          <w:lang w:val="es-ES_tradnl"/>
        </w:rPr>
        <w:t xml:space="preserve">supra </w:t>
      </w:r>
      <w:r>
        <w:rPr>
          <w:rFonts w:ascii="Verdana" w:hAnsi="Verdana"/>
          <w:sz w:val="20"/>
          <w:lang w:val="es-ES_tradnl"/>
        </w:rPr>
        <w:t xml:space="preserve">2).  Asimismo, la víctima está legitimada para comparecer ante el Tribunal, en razón de que el artículo 67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y las disposiciones reglame</w:t>
      </w:r>
      <w:r>
        <w:rPr>
          <w:rFonts w:ascii="Verdana" w:hAnsi="Verdana"/>
          <w:sz w:val="20"/>
          <w:lang w:val="es-ES_tradnl"/>
        </w:rPr>
        <w:t xml:space="preserve">ntarias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garantizan la posibilidad de que ésta interprete su fallo a solicitud de cualquiera de las partes y que el señor Cesti pueda presentar su solicitud en forma autónoma durante el proceso</w:t>
      </w:r>
      <w:r>
        <w:rPr>
          <w:rStyle w:val="Refdenotaalpie"/>
          <w:rFonts w:ascii="Verdana" w:hAnsi="Verdana"/>
          <w:sz w:val="20"/>
          <w:lang w:val="es-ES_tradnl"/>
        </w:rPr>
        <w:footnoteReference w:id="4"/>
      </w:r>
      <w:r>
        <w:rPr>
          <w:rFonts w:ascii="Verdana" w:hAnsi="Verdana"/>
          <w:sz w:val="20"/>
          <w:lang w:val="es-ES_tradnl"/>
        </w:rPr>
        <w:t xml:space="preserve">. </w:t>
      </w:r>
    </w:p>
    <w:p w:rsidR="00000000" w:rsidRDefault="00BD337A">
      <w:pPr>
        <w:jc w:val="both"/>
        <w:rPr>
          <w:rFonts w:ascii="Verdana" w:hAnsi="Verdana"/>
          <w:sz w:val="20"/>
          <w:lang w:val="es-ES_tradnl"/>
        </w:rPr>
      </w:pPr>
    </w:p>
    <w:p w:rsidR="00000000" w:rsidRDefault="00BD337A">
      <w:pPr>
        <w:jc w:val="both"/>
        <w:rPr>
          <w:rFonts w:ascii="Verdana" w:hAnsi="Verdana"/>
          <w:sz w:val="20"/>
          <w:lang w:val="es-ES_tradnl"/>
        </w:rPr>
      </w:pPr>
      <w:r>
        <w:rPr>
          <w:rFonts w:ascii="Verdana" w:hAnsi="Verdana"/>
          <w:sz w:val="20"/>
          <w:lang w:val="es-ES_tradnl"/>
        </w:rPr>
        <w:t>12.</w:t>
      </w:r>
      <w:r>
        <w:rPr>
          <w:rFonts w:ascii="Verdana" w:hAnsi="Verdana"/>
          <w:sz w:val="20"/>
          <w:lang w:val="es-ES_tradnl"/>
        </w:rPr>
        <w:tab/>
        <w:t>Con respecto a las observaciones planteada</w:t>
      </w:r>
      <w:r>
        <w:rPr>
          <w:rFonts w:ascii="Verdana" w:hAnsi="Verdana"/>
          <w:sz w:val="20"/>
          <w:lang w:val="es-ES_tradnl"/>
        </w:rPr>
        <w:t xml:space="preserve">s por el Perú y </w:t>
      </w:r>
      <w:smartTag w:uri="urn:schemas-microsoft-com:office:smarttags" w:element="PersonName">
        <w:smartTagPr>
          <w:attr w:name="ProductID" w:val="la Comisi￳n Interamericana"/>
        </w:smartTagPr>
        <w:r>
          <w:rPr>
            <w:rFonts w:ascii="Verdana" w:hAnsi="Verdana"/>
            <w:sz w:val="20"/>
            <w:lang w:val="es-ES_tradnl"/>
          </w:rPr>
          <w:t>la Comisión Interamericana</w:t>
        </w:r>
      </w:smartTag>
      <w:r>
        <w:rPr>
          <w:rFonts w:ascii="Verdana" w:hAnsi="Verdana"/>
          <w:sz w:val="20"/>
          <w:lang w:val="es-ES_tradnl"/>
        </w:rPr>
        <w:t>, las mismas fueron presentadas en tiempo (</w:t>
      </w:r>
      <w:r>
        <w:rPr>
          <w:rFonts w:ascii="Verdana" w:hAnsi="Verdana"/>
          <w:i/>
          <w:sz w:val="20"/>
          <w:lang w:val="es-ES_tradnl"/>
        </w:rPr>
        <w:t xml:space="preserve">supra </w:t>
      </w:r>
      <w:r>
        <w:rPr>
          <w:rFonts w:ascii="Verdana" w:hAnsi="Verdana"/>
          <w:sz w:val="20"/>
          <w:lang w:val="es-ES_tradnl"/>
        </w:rPr>
        <w:t>6 y</w:t>
      </w:r>
      <w:r>
        <w:rPr>
          <w:rFonts w:ascii="Verdana" w:hAnsi="Verdana"/>
          <w:i/>
          <w:sz w:val="20"/>
          <w:lang w:val="es-ES_tradnl"/>
        </w:rPr>
        <w:t xml:space="preserve"> </w:t>
      </w:r>
      <w:r>
        <w:rPr>
          <w:rFonts w:ascii="Verdana" w:hAnsi="Verdana"/>
          <w:sz w:val="20"/>
          <w:lang w:val="es-ES_tradnl"/>
        </w:rPr>
        <w:t xml:space="preserve">7) y, por lo tanto,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estima pertinente examinarlas.  </w:t>
      </w:r>
    </w:p>
    <w:p w:rsidR="00000000" w:rsidRDefault="00BD337A">
      <w:pPr>
        <w:jc w:val="both"/>
        <w:rPr>
          <w:rFonts w:ascii="Verdana" w:hAnsi="Verdana"/>
          <w:sz w:val="20"/>
          <w:lang w:val="es-ES_tradnl"/>
        </w:rPr>
      </w:pPr>
    </w:p>
    <w:p w:rsidR="00000000" w:rsidRDefault="00BD337A">
      <w:pPr>
        <w:jc w:val="both"/>
        <w:rPr>
          <w:rFonts w:ascii="Verdana" w:hAnsi="Verdana"/>
          <w:sz w:val="20"/>
          <w:lang w:val="es-ES_tradnl"/>
        </w:rPr>
      </w:pPr>
      <w:r>
        <w:rPr>
          <w:rFonts w:ascii="Verdana" w:hAnsi="Verdana"/>
          <w:smallCaps/>
          <w:sz w:val="20"/>
          <w:lang w:val="es-ES_tradnl"/>
        </w:rPr>
        <w:lastRenderedPageBreak/>
        <w:t>13.</w:t>
      </w:r>
      <w:r>
        <w:rPr>
          <w:rFonts w:ascii="Verdana" w:hAnsi="Verdana"/>
          <w:smallCaps/>
          <w:sz w:val="20"/>
          <w:lang w:val="es-ES_tradnl"/>
        </w:rPr>
        <w:tab/>
      </w:r>
      <w:r>
        <w:rPr>
          <w:rFonts w:ascii="Verdana" w:hAnsi="Verdana"/>
          <w:sz w:val="20"/>
          <w:lang w:val="es-ES_tradnl"/>
        </w:rPr>
        <w:t xml:space="preserve">Corresponde ahora a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verificar si los aspectos substanciales de la demanda de interpre</w:t>
      </w:r>
      <w:r>
        <w:rPr>
          <w:rFonts w:ascii="Verdana" w:hAnsi="Verdana"/>
          <w:sz w:val="20"/>
          <w:lang w:val="es-ES_tradnl"/>
        </w:rPr>
        <w:t>tación cumplen las normas aplicables</w:t>
      </w:r>
      <w:r>
        <w:rPr>
          <w:rStyle w:val="Refdenotaalpie"/>
          <w:rFonts w:ascii="Verdana" w:hAnsi="Verdana"/>
          <w:sz w:val="20"/>
          <w:lang w:val="es-ES_tradnl"/>
        </w:rPr>
        <w:footnoteReference w:id="5"/>
      </w:r>
      <w:r>
        <w:rPr>
          <w:rFonts w:ascii="Verdana" w:hAnsi="Verdana"/>
          <w:sz w:val="20"/>
          <w:lang w:val="es-ES_tradnl"/>
        </w:rPr>
        <w:t>.  El artículo 58.1 del Reglamento establece que</w:t>
      </w:r>
    </w:p>
    <w:p w:rsidR="00000000" w:rsidRDefault="00BD337A">
      <w:pPr>
        <w:pStyle w:val="Textoindependiente1"/>
        <w:spacing w:line="240" w:lineRule="auto"/>
        <w:rPr>
          <w:rFonts w:ascii="Verdana" w:hAnsi="Verdana"/>
          <w:sz w:val="20"/>
        </w:rPr>
      </w:pPr>
    </w:p>
    <w:p w:rsidR="00000000" w:rsidRDefault="00BD337A">
      <w:pPr>
        <w:ind w:left="720" w:right="810"/>
        <w:jc w:val="both"/>
        <w:rPr>
          <w:rFonts w:ascii="Verdana" w:hAnsi="Verdana"/>
          <w:sz w:val="18"/>
          <w:lang w:val="es-ES_tradnl"/>
        </w:rPr>
      </w:pPr>
      <w:r>
        <w:rPr>
          <w:rFonts w:ascii="Verdana" w:hAnsi="Verdana"/>
          <w:sz w:val="18"/>
          <w:lang w:val="es-ES_tradnl"/>
        </w:rPr>
        <w:t xml:space="preserve">[l]a demanda de interpretación a que se refiere el artículo 67 de </w:t>
      </w:r>
      <w:smartTag w:uri="urn:schemas-microsoft-com:office:smarttags" w:element="PersonName">
        <w:smartTagPr>
          <w:attr w:name="ProductID" w:val="la Convenci￳n"/>
        </w:smartTagPr>
        <w:r>
          <w:rPr>
            <w:rFonts w:ascii="Verdana" w:hAnsi="Verdana"/>
            <w:sz w:val="18"/>
            <w:lang w:val="es-ES_tradnl"/>
          </w:rPr>
          <w:t>la Convención</w:t>
        </w:r>
      </w:smartTag>
      <w:r>
        <w:rPr>
          <w:rFonts w:ascii="Verdana" w:hAnsi="Verdana"/>
          <w:sz w:val="18"/>
          <w:lang w:val="es-ES_tradnl"/>
        </w:rPr>
        <w:t xml:space="preserve"> podrá promoverse en relación con las sentencias de fondo o de reparaciones y se presentar</w:t>
      </w:r>
      <w:r>
        <w:rPr>
          <w:rFonts w:ascii="Verdana" w:hAnsi="Verdana"/>
          <w:sz w:val="18"/>
          <w:lang w:val="es-ES_tradnl"/>
        </w:rPr>
        <w:t xml:space="preserve">á en </w:t>
      </w:r>
      <w:smartTag w:uri="urn:schemas-microsoft-com:office:smarttags" w:element="PersonName">
        <w:smartTagPr>
          <w:attr w:name="ProductID" w:val="la Secretar￭a"/>
        </w:smartTagPr>
        <w:r>
          <w:rPr>
            <w:rFonts w:ascii="Verdana" w:hAnsi="Verdana"/>
            <w:sz w:val="18"/>
            <w:lang w:val="es-ES_tradnl"/>
          </w:rPr>
          <w:t>la Secretaría</w:t>
        </w:r>
      </w:smartTag>
      <w:r>
        <w:rPr>
          <w:rFonts w:ascii="Verdana" w:hAnsi="Verdana"/>
          <w:sz w:val="18"/>
          <w:lang w:val="es-ES_tradnl"/>
        </w:rPr>
        <w:t xml:space="preserve"> de </w:t>
      </w:r>
      <w:smartTag w:uri="urn:schemas-microsoft-com:office:smarttags" w:element="PersonName">
        <w:smartTagPr>
          <w:attr w:name="ProductID" w:val="la Corte"/>
        </w:smartTagPr>
        <w:r>
          <w:rPr>
            <w:rFonts w:ascii="Verdana" w:hAnsi="Verdana"/>
            <w:sz w:val="18"/>
            <w:lang w:val="es-ES_tradnl"/>
          </w:rPr>
          <w:t>la Corte</w:t>
        </w:r>
      </w:smartTag>
      <w:r>
        <w:rPr>
          <w:rFonts w:ascii="Verdana" w:hAnsi="Verdana"/>
          <w:sz w:val="18"/>
          <w:lang w:val="es-ES_tradnl"/>
        </w:rPr>
        <w:t xml:space="preserve"> indicándose en ella,</w:t>
      </w:r>
      <w:r>
        <w:rPr>
          <w:rFonts w:ascii="Verdana" w:hAnsi="Verdana"/>
          <w:sz w:val="20"/>
          <w:lang w:val="es-ES_tradnl"/>
        </w:rPr>
        <w:t xml:space="preserve"> </w:t>
      </w:r>
      <w:r>
        <w:rPr>
          <w:rFonts w:ascii="Verdana" w:hAnsi="Verdana"/>
          <w:sz w:val="18"/>
          <w:lang w:val="es-ES_tradnl"/>
        </w:rPr>
        <w:t>con precisión, las cuestiones relativas al sentido o alcance de la sentencia cuya interpretación se pida.</w:t>
      </w:r>
    </w:p>
    <w:p w:rsidR="00000000" w:rsidRDefault="00BD337A">
      <w:pPr>
        <w:ind w:right="720"/>
        <w:jc w:val="both"/>
        <w:rPr>
          <w:rFonts w:ascii="Verdana" w:hAnsi="Verdana"/>
          <w:sz w:val="20"/>
          <w:lang w:val="es-ES_tradnl"/>
        </w:rPr>
      </w:pPr>
    </w:p>
    <w:p w:rsidR="00000000" w:rsidRDefault="00BD337A">
      <w:pPr>
        <w:jc w:val="both"/>
        <w:rPr>
          <w:rFonts w:ascii="Verdana" w:hAnsi="Verdana"/>
          <w:sz w:val="20"/>
          <w:lang w:val="es-ES_tradnl"/>
        </w:rPr>
      </w:pPr>
      <w:r>
        <w:rPr>
          <w:rFonts w:ascii="Verdana" w:hAnsi="Verdana"/>
          <w:sz w:val="20"/>
          <w:lang w:val="es-ES_tradnl"/>
        </w:rPr>
        <w:t>14.</w:t>
      </w:r>
      <w:r>
        <w:rPr>
          <w:rFonts w:ascii="Verdana" w:hAnsi="Verdana"/>
          <w:sz w:val="20"/>
          <w:lang w:val="es-ES_tradnl"/>
        </w:rPr>
        <w:tab/>
        <w:t xml:space="preserve">La petición de interpretación del señor Cesti se basa en que existe duda sobre el </w:t>
      </w:r>
      <w:r>
        <w:rPr>
          <w:rFonts w:ascii="Verdana" w:hAnsi="Verdana"/>
          <w:i/>
          <w:sz w:val="20"/>
          <w:lang w:val="es-ES_tradnl"/>
        </w:rPr>
        <w:t>sentido</w:t>
      </w:r>
      <w:r>
        <w:rPr>
          <w:rFonts w:ascii="Verdana" w:hAnsi="Verdana"/>
          <w:sz w:val="20"/>
          <w:lang w:val="es-ES_tradnl"/>
        </w:rPr>
        <w:t xml:space="preserve"> o </w:t>
      </w:r>
      <w:r>
        <w:rPr>
          <w:rFonts w:ascii="Verdana" w:hAnsi="Verdana"/>
          <w:i/>
          <w:sz w:val="20"/>
          <w:lang w:val="es-ES_tradnl"/>
        </w:rPr>
        <w:t>a</w:t>
      </w:r>
      <w:r>
        <w:rPr>
          <w:rFonts w:ascii="Verdana" w:hAnsi="Verdana"/>
          <w:i/>
          <w:sz w:val="20"/>
          <w:lang w:val="es-ES_tradnl"/>
        </w:rPr>
        <w:t>lcance</w:t>
      </w:r>
      <w:r>
        <w:rPr>
          <w:rFonts w:ascii="Verdana" w:hAnsi="Verdana"/>
          <w:sz w:val="20"/>
          <w:lang w:val="es-ES_tradnl"/>
        </w:rPr>
        <w:t xml:space="preserve"> de las reparaciones ordenadas por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su sentencia de 31 de mayo de 2001. </w:t>
      </w:r>
    </w:p>
    <w:p w:rsidR="00000000" w:rsidRDefault="00BD337A">
      <w:pPr>
        <w:pStyle w:val="Textoindependiente1"/>
        <w:spacing w:line="240" w:lineRule="auto"/>
        <w:rPr>
          <w:rFonts w:ascii="Verdana" w:hAnsi="Verdana"/>
          <w:sz w:val="20"/>
        </w:rPr>
      </w:pPr>
    </w:p>
    <w:p w:rsidR="00000000" w:rsidRDefault="00BD337A">
      <w:pPr>
        <w:pStyle w:val="Textoindependiente"/>
        <w:widowControl/>
        <w:rPr>
          <w:rFonts w:ascii="Verdana" w:hAnsi="Verdana"/>
          <w:sz w:val="20"/>
          <w:lang w:val="es-ES_tradnl"/>
        </w:rPr>
      </w:pPr>
      <w:r>
        <w:rPr>
          <w:rFonts w:ascii="Verdana" w:hAnsi="Verdana"/>
          <w:sz w:val="20"/>
          <w:lang w:val="es-ES_tradnl"/>
        </w:rPr>
        <w:t>15.</w:t>
      </w:r>
      <w:r>
        <w:rPr>
          <w:rFonts w:ascii="Verdana" w:hAnsi="Verdana"/>
          <w:sz w:val="20"/>
          <w:lang w:val="es-ES_tradnl"/>
        </w:rPr>
        <w:tab/>
        <w:t xml:space="preserve">En razón de lo expuesto,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observa que la demanda de interpretación se adecua a lo previsto en el artículo 67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y en el artículo 58 del Reg</w:t>
      </w:r>
      <w:r>
        <w:rPr>
          <w:rFonts w:ascii="Verdana" w:hAnsi="Verdana"/>
          <w:sz w:val="20"/>
          <w:lang w:val="es-ES_tradnl"/>
        </w:rPr>
        <w:t xml:space="preserve">lamento, por lo que la declara admisible.  Sin perjuicio de esto,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considera que aún cuando es claro el alcance y el contenido de lo dispuesto en la sentencia sobre reparaciones, procederá a examinar los puntos planteados por el señor Cesti para di</w:t>
      </w:r>
      <w:r>
        <w:rPr>
          <w:rFonts w:ascii="Verdana" w:hAnsi="Verdana"/>
          <w:sz w:val="20"/>
          <w:lang w:val="es-ES_tradnl"/>
        </w:rPr>
        <w:t xml:space="preserve">sipar, en caso de que existiere, cualquier duda con respecto a la indemnización por daño material que le corresponde. </w:t>
      </w:r>
    </w:p>
    <w:p w:rsidR="00000000" w:rsidRDefault="00BD337A">
      <w:pPr>
        <w:jc w:val="both"/>
        <w:rPr>
          <w:rFonts w:ascii="Verdana" w:hAnsi="Verdana"/>
          <w:smallCaps/>
          <w:sz w:val="20"/>
          <w:lang w:val="es-ES_tradnl"/>
        </w:rPr>
      </w:pPr>
    </w:p>
    <w:p w:rsidR="00000000" w:rsidRDefault="00BD337A">
      <w:pPr>
        <w:ind w:right="-46"/>
        <w:jc w:val="both"/>
        <w:rPr>
          <w:rFonts w:ascii="Verdana" w:hAnsi="Verdana"/>
          <w:b/>
          <w:smallCaps/>
          <w:sz w:val="20"/>
          <w:lang w:val="es-ES_tradnl"/>
        </w:rPr>
      </w:pPr>
      <w:r>
        <w:rPr>
          <w:rFonts w:ascii="Verdana" w:hAnsi="Verdana"/>
          <w:sz w:val="20"/>
          <w:lang w:val="es-ES_tradnl"/>
        </w:rPr>
        <w:t>16.</w:t>
      </w:r>
      <w:r>
        <w:rPr>
          <w:rFonts w:ascii="Verdana" w:hAnsi="Verdana"/>
          <w:sz w:val="20"/>
          <w:lang w:val="es-ES_tradnl"/>
        </w:rPr>
        <w:tab/>
        <w:t xml:space="preserve">En cuanto a las solicitudes para la realización de una audiencia pública, sometidas a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por parte del señor Cesti (</w:t>
      </w:r>
      <w:r>
        <w:rPr>
          <w:rFonts w:ascii="Verdana" w:hAnsi="Verdana"/>
          <w:i/>
          <w:sz w:val="20"/>
          <w:lang w:val="es-ES_tradnl"/>
        </w:rPr>
        <w:t>supra</w:t>
      </w:r>
      <w:r>
        <w:rPr>
          <w:rFonts w:ascii="Verdana" w:hAnsi="Verdana"/>
          <w:sz w:val="20"/>
          <w:lang w:val="es-ES_tradnl"/>
        </w:rPr>
        <w:t xml:space="preserve"> 8 y </w:t>
      </w:r>
      <w:r>
        <w:rPr>
          <w:rFonts w:ascii="Verdana" w:hAnsi="Verdana"/>
          <w:sz w:val="20"/>
          <w:lang w:val="es-ES_tradnl"/>
        </w:rPr>
        <w:t xml:space="preserve">9), el Tribunal estima pertinente precisar que el objeto de la audiencia, propuesto por la víctima, no guarda una relación directa con la interpretación de la sentencia, sino más bien con la fase de cumplimiento de la sentencia de fondo, y que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ha </w:t>
      </w:r>
      <w:r>
        <w:rPr>
          <w:rFonts w:ascii="Verdana" w:hAnsi="Verdana"/>
          <w:sz w:val="20"/>
          <w:lang w:val="es-ES_tradnl"/>
        </w:rPr>
        <w:t xml:space="preserve">otorgado a las partes la oportunidad de presentar por escrito los argumentos que consideren relevantes.  Por ello, y de conformidad con el artículo 39 del Reglamento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ésta considera improcedente la solicitud de referencia.</w:t>
      </w:r>
    </w:p>
    <w:p w:rsidR="00000000" w:rsidRDefault="00BD337A">
      <w:pPr>
        <w:ind w:right="-46"/>
        <w:jc w:val="center"/>
        <w:rPr>
          <w:rFonts w:ascii="Verdana" w:hAnsi="Verdana"/>
          <w:b/>
          <w:smallCaps/>
          <w:sz w:val="20"/>
          <w:lang w:val="es-ES_tradnl"/>
        </w:rPr>
      </w:pPr>
    </w:p>
    <w:p w:rsidR="00000000" w:rsidRDefault="00BD337A">
      <w:pPr>
        <w:ind w:right="-46"/>
        <w:jc w:val="center"/>
        <w:rPr>
          <w:rFonts w:ascii="Verdana" w:hAnsi="Verdana"/>
          <w:b/>
          <w:smallCaps/>
          <w:sz w:val="20"/>
          <w:lang w:val="es-ES_tradnl"/>
        </w:rPr>
      </w:pPr>
    </w:p>
    <w:p w:rsidR="00000000" w:rsidRDefault="00BD337A">
      <w:pPr>
        <w:ind w:right="-46"/>
        <w:jc w:val="center"/>
        <w:rPr>
          <w:rFonts w:ascii="Verdana" w:hAnsi="Verdana"/>
          <w:b/>
          <w:smallCaps/>
          <w:sz w:val="20"/>
          <w:lang w:val="es-ES_tradnl"/>
        </w:rPr>
      </w:pPr>
      <w:r>
        <w:rPr>
          <w:rFonts w:ascii="Verdana" w:hAnsi="Verdana"/>
          <w:b/>
          <w:smallCaps/>
          <w:sz w:val="20"/>
          <w:lang w:val="es-ES_tradnl"/>
        </w:rPr>
        <w:t>VI</w:t>
      </w:r>
    </w:p>
    <w:p w:rsidR="00000000" w:rsidRDefault="00BD337A">
      <w:pPr>
        <w:jc w:val="center"/>
        <w:rPr>
          <w:rFonts w:ascii="Verdana" w:hAnsi="Verdana"/>
          <w:b/>
          <w:smallCaps/>
          <w:sz w:val="20"/>
          <w:lang w:val="es-ES_tradnl"/>
        </w:rPr>
      </w:pPr>
      <w:r>
        <w:rPr>
          <w:rFonts w:ascii="Verdana" w:hAnsi="Verdana"/>
          <w:b/>
          <w:smallCaps/>
          <w:sz w:val="20"/>
          <w:lang w:val="es-ES_tradnl"/>
        </w:rPr>
        <w:t>ALCANCE DE LAS R</w:t>
      </w:r>
      <w:r>
        <w:rPr>
          <w:rFonts w:ascii="Verdana" w:hAnsi="Verdana"/>
          <w:b/>
          <w:smallCaps/>
          <w:sz w:val="20"/>
          <w:lang w:val="es-ES_tradnl"/>
        </w:rPr>
        <w:t>EPARACIONES</w:t>
      </w:r>
    </w:p>
    <w:p w:rsidR="00000000" w:rsidRDefault="00BD337A">
      <w:pPr>
        <w:jc w:val="center"/>
        <w:rPr>
          <w:rFonts w:ascii="Verdana" w:hAnsi="Verdana"/>
          <w:sz w:val="20"/>
          <w:lang w:val="es-ES_tradnl"/>
        </w:rPr>
      </w:pPr>
    </w:p>
    <w:p w:rsidR="00000000" w:rsidRDefault="00BD337A">
      <w:pPr>
        <w:ind w:right="58"/>
        <w:jc w:val="both"/>
        <w:rPr>
          <w:rFonts w:ascii="Verdana" w:hAnsi="Verdana"/>
          <w:sz w:val="20"/>
          <w:lang w:val="es-ES_tradnl"/>
        </w:rPr>
      </w:pPr>
      <w:r>
        <w:rPr>
          <w:rFonts w:ascii="Verdana" w:hAnsi="Verdana"/>
          <w:i/>
          <w:sz w:val="20"/>
          <w:lang w:val="es-ES_tradnl"/>
        </w:rPr>
        <w:t>Alegatos del señor Cesti</w:t>
      </w:r>
    </w:p>
    <w:p w:rsidR="00000000" w:rsidRDefault="00BD337A">
      <w:pPr>
        <w:ind w:right="58"/>
        <w:jc w:val="both"/>
        <w:rPr>
          <w:rFonts w:ascii="Verdana" w:hAnsi="Verdana"/>
          <w:sz w:val="20"/>
          <w:lang w:val="es-ES_tradnl"/>
        </w:rPr>
      </w:pPr>
    </w:p>
    <w:p w:rsidR="00000000" w:rsidRDefault="00BD337A">
      <w:pPr>
        <w:ind w:right="58"/>
        <w:jc w:val="both"/>
        <w:rPr>
          <w:rFonts w:ascii="Verdana" w:hAnsi="Verdana"/>
          <w:sz w:val="20"/>
          <w:lang w:val="es-ES_tradnl"/>
        </w:rPr>
      </w:pPr>
      <w:r>
        <w:rPr>
          <w:rFonts w:ascii="Verdana" w:hAnsi="Verdana"/>
          <w:sz w:val="20"/>
          <w:lang w:val="es-ES_tradnl"/>
        </w:rPr>
        <w:t>17.</w:t>
      </w:r>
      <w:r>
        <w:rPr>
          <w:rFonts w:ascii="Verdana" w:hAnsi="Verdana"/>
          <w:sz w:val="20"/>
          <w:lang w:val="es-ES_tradnl"/>
        </w:rPr>
        <w:tab/>
        <w:t xml:space="preserve">En su demanda de interpretación, el señor Cesti Hurtado se refirió a que el propósito de la indemnización dispuesta por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su sentencia de reparaciones es que “el Estado debe reintegrar plenamente el mont</w:t>
      </w:r>
      <w:r>
        <w:rPr>
          <w:rFonts w:ascii="Verdana" w:hAnsi="Verdana"/>
          <w:sz w:val="20"/>
          <w:lang w:val="es-ES_tradnl"/>
        </w:rPr>
        <w:t xml:space="preserve">o de los daños materiales causados, y que son una consecuencia directa de la violación de los derechos humanos”. </w:t>
      </w:r>
      <w:r>
        <w:rPr>
          <w:rFonts w:ascii="Verdana" w:hAnsi="Verdana"/>
          <w:b/>
          <w:sz w:val="20"/>
          <w:lang w:val="es-ES_tradnl"/>
        </w:rPr>
        <w:t xml:space="preserve"> </w:t>
      </w:r>
      <w:r>
        <w:rPr>
          <w:rFonts w:ascii="Verdana" w:hAnsi="Verdana"/>
          <w:sz w:val="20"/>
          <w:lang w:val="es-ES_tradnl"/>
        </w:rPr>
        <w:t>En este contexto, señaló que el Estado debe pagar una justa indemnización que comprenda la totalidad de los daños materiales causados e indicó</w:t>
      </w:r>
      <w:r>
        <w:rPr>
          <w:rFonts w:ascii="Verdana" w:hAnsi="Verdana"/>
          <w:sz w:val="20"/>
          <w:lang w:val="es-ES_tradnl"/>
        </w:rPr>
        <w:t xml:space="preserve"> que “para hacer frente a su defensa legal de manera efectiva, […] debió incurrir en gastos considerables, que le causaron un detrimento a su patrimonio, y que son resultado de la acción del Estado” y que, consecuentemente, así debe interpretarse el punto </w:t>
      </w:r>
      <w:r>
        <w:rPr>
          <w:rFonts w:ascii="Verdana" w:hAnsi="Verdana"/>
          <w:sz w:val="20"/>
          <w:lang w:val="es-ES_tradnl"/>
        </w:rPr>
        <w:t xml:space="preserve">resolutivo N° 1 de la sentencia. </w:t>
      </w:r>
    </w:p>
    <w:p w:rsidR="00000000" w:rsidRDefault="00BD337A">
      <w:pPr>
        <w:ind w:right="58"/>
        <w:jc w:val="both"/>
        <w:rPr>
          <w:rFonts w:ascii="Verdana" w:hAnsi="Verdana"/>
          <w:sz w:val="20"/>
          <w:lang w:val="es-ES_tradnl"/>
        </w:rPr>
      </w:pPr>
    </w:p>
    <w:p w:rsidR="00000000" w:rsidRDefault="00BD337A">
      <w:pPr>
        <w:ind w:right="58"/>
        <w:jc w:val="both"/>
        <w:rPr>
          <w:rFonts w:ascii="Verdana" w:hAnsi="Verdana"/>
          <w:sz w:val="20"/>
          <w:lang w:val="es-ES_tradnl"/>
        </w:rPr>
      </w:pPr>
      <w:r>
        <w:rPr>
          <w:rFonts w:ascii="Verdana" w:hAnsi="Verdana"/>
          <w:sz w:val="20"/>
          <w:lang w:val="es-ES_tradnl"/>
        </w:rPr>
        <w:t>18.</w:t>
      </w:r>
      <w:r>
        <w:rPr>
          <w:rFonts w:ascii="Verdana" w:hAnsi="Verdana"/>
          <w:sz w:val="20"/>
          <w:lang w:val="es-ES_tradnl"/>
        </w:rPr>
        <w:tab/>
        <w:t xml:space="preserve">Asimismo, el señor Cesti indicó que “entiende que el punto N° 1 de la parte resolutiva de la sentencia de reparaciones, en correspondencia con los párrafos 46 y </w:t>
      </w:r>
      <w:r>
        <w:rPr>
          <w:rFonts w:ascii="Verdana" w:hAnsi="Verdana"/>
          <w:sz w:val="20"/>
          <w:lang w:val="es-ES_tradnl"/>
        </w:rPr>
        <w:lastRenderedPageBreak/>
        <w:t xml:space="preserve">47 de la misma, debe interpretarse en el sentido de que </w:t>
      </w:r>
      <w:r>
        <w:rPr>
          <w:rFonts w:ascii="Verdana" w:hAnsi="Verdana"/>
          <w:sz w:val="20"/>
          <w:lang w:val="es-ES_tradnl"/>
        </w:rPr>
        <w:t>los ingresos que la víctima dejó de percibir, ya sea por concepto de sueldos […] o de dividendos […], así como cualquier otro ingreso lícito proveniente de las actividades normales que desarrollaba tanto él como su empresa, forman parte del daño material q</w:t>
      </w:r>
      <w:r>
        <w:rPr>
          <w:rFonts w:ascii="Verdana" w:hAnsi="Verdana"/>
          <w:sz w:val="20"/>
          <w:lang w:val="es-ES_tradnl"/>
        </w:rPr>
        <w:t>ue el Estado debe indemnizar”.  Ya que, los “ingresos de la víctima no comprendían sólo las remuneraciones que percibía como empleado o como funcionario de la empresa familiar, sino también las ganancias de dicha empresa que dependía casi exclusivamente de</w:t>
      </w:r>
      <w:r>
        <w:rPr>
          <w:rFonts w:ascii="Verdana" w:hAnsi="Verdana"/>
          <w:sz w:val="20"/>
          <w:lang w:val="es-ES_tradnl"/>
        </w:rPr>
        <w:t xml:space="preserve"> su desempeño profesional”. </w:t>
      </w:r>
    </w:p>
    <w:p w:rsidR="00000000" w:rsidRDefault="00BD337A">
      <w:pPr>
        <w:ind w:right="58"/>
        <w:jc w:val="both"/>
        <w:rPr>
          <w:rFonts w:ascii="Verdana" w:hAnsi="Verdana"/>
          <w:sz w:val="20"/>
          <w:lang w:val="es-ES_tradnl"/>
        </w:rPr>
      </w:pPr>
    </w:p>
    <w:p w:rsidR="00000000" w:rsidRDefault="00BD337A">
      <w:pPr>
        <w:ind w:right="58"/>
        <w:jc w:val="both"/>
        <w:rPr>
          <w:rFonts w:ascii="Verdana" w:hAnsi="Verdana"/>
          <w:sz w:val="20"/>
          <w:lang w:val="es-ES_tradnl"/>
        </w:rPr>
      </w:pPr>
      <w:r>
        <w:rPr>
          <w:rFonts w:ascii="Verdana" w:hAnsi="Verdana"/>
          <w:sz w:val="20"/>
          <w:lang w:val="es-ES_tradnl"/>
        </w:rPr>
        <w:t>19.</w:t>
      </w:r>
      <w:r>
        <w:rPr>
          <w:rFonts w:ascii="Verdana" w:hAnsi="Verdana"/>
          <w:sz w:val="20"/>
          <w:lang w:val="es-ES_tradnl"/>
        </w:rPr>
        <w:tab/>
        <w:t>De igual manera, señaló que la referencia que se hace en la sentencia sobre reparaciones a que los montos indemnizatorios deben ser determinados por los mecanismos que establezcan las leyes internas, “no puede interpretars</w:t>
      </w:r>
      <w:r>
        <w:rPr>
          <w:rFonts w:ascii="Verdana" w:hAnsi="Verdana"/>
          <w:sz w:val="20"/>
          <w:lang w:val="es-ES_tradnl"/>
        </w:rPr>
        <w:t xml:space="preserve">e como el derecho del Estado a determinar unilateralmente el monto del daño causado [sino que] implica un procedimiento bilateral en que, a partir de los principios generales indicados en la sentencia de reparaciones y del espíritu de la misma, las partes </w:t>
      </w:r>
      <w:r>
        <w:rPr>
          <w:rFonts w:ascii="Verdana" w:hAnsi="Verdana"/>
          <w:sz w:val="20"/>
          <w:lang w:val="es-ES_tradnl"/>
        </w:rPr>
        <w:t xml:space="preserve">determinen de común acuerdo […] el monto de la indemnización correspondiente”.  Asimismo afirmó que la determinación del monto por pagar por concepto de daño material y el pago del mismo no puede superar el plazo de 6 meses. </w:t>
      </w:r>
    </w:p>
    <w:p w:rsidR="00000000" w:rsidRDefault="00BD337A">
      <w:pPr>
        <w:ind w:right="58"/>
        <w:jc w:val="both"/>
        <w:rPr>
          <w:rFonts w:ascii="Verdana" w:hAnsi="Verdana"/>
          <w:sz w:val="20"/>
          <w:lang w:val="es-ES_tradnl"/>
        </w:rPr>
      </w:pPr>
    </w:p>
    <w:p w:rsidR="00000000" w:rsidRDefault="00BD337A">
      <w:pPr>
        <w:ind w:right="58"/>
        <w:jc w:val="both"/>
        <w:rPr>
          <w:rFonts w:ascii="Verdana" w:hAnsi="Verdana"/>
          <w:sz w:val="20"/>
          <w:lang w:val="es-ES_tradnl"/>
        </w:rPr>
      </w:pPr>
      <w:r>
        <w:rPr>
          <w:rFonts w:ascii="Verdana" w:hAnsi="Verdana"/>
          <w:sz w:val="20"/>
          <w:lang w:val="es-ES_tradnl"/>
        </w:rPr>
        <w:t>20.</w:t>
      </w:r>
      <w:r>
        <w:rPr>
          <w:rFonts w:ascii="Verdana" w:hAnsi="Verdana"/>
          <w:sz w:val="20"/>
          <w:lang w:val="es-ES_tradnl"/>
        </w:rPr>
        <w:tab/>
        <w:t xml:space="preserve">Finalmente, en cuanto al </w:t>
      </w:r>
      <w:r>
        <w:rPr>
          <w:rFonts w:ascii="Verdana" w:hAnsi="Verdana"/>
          <w:sz w:val="20"/>
          <w:lang w:val="es-ES_tradnl"/>
        </w:rPr>
        <w:t>procedimiento para determinar el monto de la indemnización, el señor Cesti consideró que “el Estado debe indemnizar, sin más trámite, todos los daños materiales debidamente acreditados por la víctima en este caso [y que] el Estado debe proceder al pago […]</w:t>
      </w:r>
      <w:r>
        <w:rPr>
          <w:rFonts w:ascii="Verdana" w:hAnsi="Verdana"/>
          <w:sz w:val="20"/>
          <w:lang w:val="es-ES_tradnl"/>
        </w:rPr>
        <w:t xml:space="preserve"> sin dilaciones indebidas, dentro del más breve plazo posible”.  Agregó que de ser necesario, podría solicitarse a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que sea ella misma quien determine el monto de la indemnización a pagar por el concepto de daño material. </w:t>
      </w:r>
    </w:p>
    <w:p w:rsidR="00000000" w:rsidRDefault="00BD337A">
      <w:pPr>
        <w:ind w:right="720"/>
        <w:jc w:val="both"/>
        <w:rPr>
          <w:rFonts w:ascii="Verdana" w:hAnsi="Verdana"/>
          <w:sz w:val="20"/>
          <w:lang w:val="es-ES_tradnl"/>
        </w:rPr>
      </w:pPr>
    </w:p>
    <w:p w:rsidR="00000000" w:rsidRDefault="00BD337A">
      <w:pPr>
        <w:ind w:right="-46"/>
        <w:jc w:val="both"/>
        <w:rPr>
          <w:rFonts w:ascii="Verdana" w:hAnsi="Verdana"/>
          <w:sz w:val="20"/>
          <w:lang w:val="es-ES_tradnl"/>
        </w:rPr>
      </w:pPr>
      <w:r>
        <w:rPr>
          <w:rFonts w:ascii="Verdana" w:hAnsi="Verdana"/>
          <w:i/>
          <w:sz w:val="20"/>
          <w:lang w:val="es-ES_tradnl"/>
        </w:rPr>
        <w:t xml:space="preserve">Alegatos de </w:t>
      </w:r>
      <w:smartTag w:uri="urn:schemas-microsoft-com:office:smarttags" w:element="PersonName">
        <w:smartTagPr>
          <w:attr w:name="ProductID" w:val="la Comisi￳n"/>
        </w:smartTagPr>
        <w:r>
          <w:rPr>
            <w:rFonts w:ascii="Verdana" w:hAnsi="Verdana"/>
            <w:i/>
            <w:sz w:val="20"/>
            <w:lang w:val="es-ES_tradnl"/>
          </w:rPr>
          <w:t>la Comisión</w:t>
        </w:r>
      </w:smartTag>
    </w:p>
    <w:p w:rsidR="00000000" w:rsidRDefault="00BD337A">
      <w:pPr>
        <w:ind w:right="-46"/>
        <w:jc w:val="both"/>
        <w:rPr>
          <w:rFonts w:ascii="Verdana" w:hAnsi="Verdana"/>
          <w:sz w:val="20"/>
          <w:lang w:val="es-ES_tradnl"/>
        </w:rPr>
      </w:pPr>
    </w:p>
    <w:p w:rsidR="00000000" w:rsidRDefault="00BD337A">
      <w:pPr>
        <w:ind w:right="-46"/>
        <w:jc w:val="both"/>
        <w:rPr>
          <w:rFonts w:ascii="Verdana" w:hAnsi="Verdana"/>
          <w:sz w:val="20"/>
          <w:lang w:val="es-ES_tradnl"/>
        </w:rPr>
      </w:pPr>
      <w:r>
        <w:rPr>
          <w:rFonts w:ascii="Verdana" w:hAnsi="Verdana"/>
          <w:sz w:val="20"/>
          <w:lang w:val="es-ES_tradnl"/>
        </w:rPr>
        <w:t>21.</w:t>
      </w:r>
      <w:r>
        <w:rPr>
          <w:rFonts w:ascii="Verdana" w:hAnsi="Verdana"/>
          <w:sz w:val="20"/>
          <w:lang w:val="es-ES_tradnl"/>
        </w:rPr>
        <w:tab/>
        <w:t xml:space="preserve">Por su parte, </w:t>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xml:space="preserve">  indicó que</w:t>
      </w:r>
    </w:p>
    <w:p w:rsidR="00000000" w:rsidRDefault="00BD337A">
      <w:pPr>
        <w:ind w:right="-46"/>
        <w:jc w:val="both"/>
        <w:rPr>
          <w:rFonts w:ascii="Verdana" w:hAnsi="Verdana"/>
          <w:sz w:val="20"/>
          <w:lang w:val="es-ES_tradnl"/>
        </w:rPr>
      </w:pPr>
    </w:p>
    <w:p w:rsidR="00000000" w:rsidRDefault="00BD337A">
      <w:pPr>
        <w:pStyle w:val="BlockText0"/>
      </w:pPr>
      <w:proofErr w:type="gramStart"/>
      <w:r>
        <w:t>la</w:t>
      </w:r>
      <w:proofErr w:type="gramEnd"/>
      <w:r>
        <w:t xml:space="preserve"> […] Corte ha establecido que Perú ha violado </w:t>
      </w:r>
      <w:smartTag w:uri="urn:schemas-microsoft-com:office:smarttags" w:element="PersonName">
        <w:smartTagPr>
          <w:attr w:name="ProductID" w:val="la Convenci￳n Americana"/>
        </w:smartTagPr>
        <w:r>
          <w:t>la Convención Americana</w:t>
        </w:r>
      </w:smartTag>
      <w:r>
        <w:t xml:space="preserve"> en este caso y ha ordenado el pago de una indemnización pecuniaria.  Se requiere la intervención de los tribunales nacionales para ejecutar </w:t>
      </w:r>
      <w:r>
        <w:t xml:space="preserve">la sentencia conforme a los parámetros establecidos por la […] Corte.  Esos parámetros incluyen necesariamente categorías de indemnización establecidas por la […] Corte, como compensación por daño emergente y pérdida de ingresos, lucro cesante, pérdida de </w:t>
      </w:r>
      <w:r>
        <w:t xml:space="preserve">ingresos futuros, etc.  </w:t>
      </w:r>
      <w:smartTag w:uri="urn:schemas-microsoft-com:office:smarttags" w:element="PersonName">
        <w:smartTagPr>
          <w:attr w:name="ProductID" w:val="la Comisi￳n"/>
        </w:smartTagPr>
        <w:r>
          <w:t>La Comisión</w:t>
        </w:r>
      </w:smartTag>
      <w:r>
        <w:t xml:space="preserve"> solicita respetuosamente a </w:t>
      </w:r>
      <w:smartTag w:uri="urn:schemas-microsoft-com:office:smarttags" w:element="PersonName">
        <w:smartTagPr>
          <w:attr w:name="ProductID" w:val="la Corte"/>
        </w:smartTagPr>
        <w:r>
          <w:t>la Corte</w:t>
        </w:r>
      </w:smartTag>
      <w:r>
        <w:t xml:space="preserve"> que si esos parámetros no son suficientemente claros, determine con exactitud el monto que debe pagar el Estado por concepto de perjuicios materiales.  La función del Estado no consist</w:t>
      </w:r>
      <w:r>
        <w:t xml:space="preserve">e en negociar su responsabilidad con la víctima a nivel nacional, […] sino que está simplemente obligado a ejecutar la sentencia de la […] Corte. </w:t>
      </w:r>
    </w:p>
    <w:p w:rsidR="00000000" w:rsidRDefault="00BD337A">
      <w:pPr>
        <w:ind w:right="-46"/>
        <w:jc w:val="both"/>
        <w:rPr>
          <w:rFonts w:ascii="Verdana" w:hAnsi="Verdana"/>
          <w:sz w:val="20"/>
          <w:lang w:val="es-ES_tradnl"/>
        </w:rPr>
      </w:pPr>
    </w:p>
    <w:p w:rsidR="00000000" w:rsidRDefault="00BD337A">
      <w:pPr>
        <w:ind w:right="-46"/>
        <w:jc w:val="both"/>
        <w:rPr>
          <w:rFonts w:ascii="Verdana" w:hAnsi="Verdana"/>
          <w:i/>
          <w:sz w:val="20"/>
          <w:lang w:val="es-ES_tradnl"/>
        </w:rPr>
      </w:pPr>
      <w:r>
        <w:rPr>
          <w:rFonts w:ascii="Verdana" w:hAnsi="Verdana"/>
          <w:sz w:val="20"/>
          <w:lang w:val="es-ES_tradnl"/>
        </w:rPr>
        <w:t>22.</w:t>
      </w:r>
      <w:r>
        <w:rPr>
          <w:rFonts w:ascii="Verdana" w:hAnsi="Verdana"/>
          <w:sz w:val="20"/>
          <w:lang w:val="es-ES_tradnl"/>
        </w:rPr>
        <w:tab/>
        <w:t xml:space="preserve">Además, en cuanto a los honorarios de los abogados, </w:t>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xml:space="preserve"> expresó su preocupación e indicó que “[l</w:t>
      </w:r>
      <w:r>
        <w:rPr>
          <w:rFonts w:ascii="Verdana" w:hAnsi="Verdana"/>
          <w:sz w:val="20"/>
          <w:lang w:val="es-ES_tradnl"/>
        </w:rPr>
        <w:t>]a sentencia debe tener alguna relación con los criterios de determinación de las sumas pagaderas a nivel local, pero también mantener una relación realista con el contrato negociado entre el abogado y su cliente.  No estar dispuesto a reconocer el contrat</w:t>
      </w:r>
      <w:r>
        <w:rPr>
          <w:rFonts w:ascii="Verdana" w:hAnsi="Verdana"/>
          <w:sz w:val="20"/>
          <w:lang w:val="es-ES_tradnl"/>
        </w:rPr>
        <w:t>o entre el abogado y su cliente y condenar a pagar lo que el peticionario denomina ‘honorarios simbólicos’ del abogado, hará que la presentación de casos ante el sistema interamericano quede reducida a la actuación de abogados privados dispuestos a trabaja</w:t>
      </w:r>
      <w:r>
        <w:rPr>
          <w:rFonts w:ascii="Verdana" w:hAnsi="Verdana"/>
          <w:sz w:val="20"/>
          <w:lang w:val="es-ES_tradnl"/>
        </w:rPr>
        <w:t xml:space="preserve">r </w:t>
      </w:r>
      <w:r>
        <w:rPr>
          <w:rFonts w:ascii="Verdana" w:hAnsi="Verdana"/>
          <w:i/>
          <w:sz w:val="20"/>
          <w:lang w:val="es-ES_tradnl"/>
        </w:rPr>
        <w:t>pro bono</w:t>
      </w:r>
      <w:r>
        <w:rPr>
          <w:rFonts w:ascii="Verdana" w:hAnsi="Verdana"/>
          <w:sz w:val="20"/>
          <w:lang w:val="es-ES_tradnl"/>
        </w:rPr>
        <w:t xml:space="preserve">, y otros profesionales que desempeñen su labor por interés propio y no por expectativas de remuneración, que a [juicio de </w:t>
      </w:r>
      <w:smartTag w:uri="urn:schemas-microsoft-com:office:smarttags" w:element="PersonName">
        <w:smartTagPr>
          <w:attr w:name="ProductID" w:val="la Comisi￳n"/>
        </w:smartTagPr>
        <w:r>
          <w:rPr>
            <w:rFonts w:ascii="Verdana" w:hAnsi="Verdana"/>
            <w:sz w:val="20"/>
            <w:lang w:val="es-ES_tradnl"/>
          </w:rPr>
          <w:t>la Comisión</w:t>
        </w:r>
      </w:smartTag>
      <w:r>
        <w:rPr>
          <w:rFonts w:ascii="Verdana" w:hAnsi="Verdana"/>
          <w:sz w:val="20"/>
          <w:lang w:val="es-ES_tradnl"/>
        </w:rPr>
        <w:t xml:space="preserve">] no es el resultado deseado”. </w:t>
      </w:r>
    </w:p>
    <w:p w:rsidR="00000000" w:rsidRDefault="00BD337A">
      <w:pPr>
        <w:ind w:right="-46"/>
        <w:jc w:val="both"/>
        <w:rPr>
          <w:rFonts w:ascii="Verdana" w:hAnsi="Verdana"/>
          <w:i/>
          <w:sz w:val="20"/>
          <w:lang w:val="es-ES_tradnl"/>
        </w:rPr>
      </w:pPr>
    </w:p>
    <w:p w:rsidR="00000000" w:rsidRDefault="00BD337A">
      <w:pPr>
        <w:ind w:right="-46"/>
        <w:jc w:val="both"/>
        <w:rPr>
          <w:rFonts w:ascii="Verdana" w:hAnsi="Verdana"/>
          <w:i/>
          <w:sz w:val="20"/>
          <w:lang w:val="es-ES_tradnl"/>
        </w:rPr>
      </w:pPr>
      <w:r>
        <w:rPr>
          <w:rFonts w:ascii="Verdana" w:hAnsi="Verdana"/>
          <w:i/>
          <w:sz w:val="20"/>
          <w:lang w:val="es-ES_tradnl"/>
        </w:rPr>
        <w:lastRenderedPageBreak/>
        <w:t>Alegatos del Estado</w:t>
      </w:r>
    </w:p>
    <w:p w:rsidR="00000000" w:rsidRDefault="00BD337A">
      <w:pPr>
        <w:ind w:right="-46"/>
        <w:jc w:val="both"/>
        <w:rPr>
          <w:rFonts w:ascii="Verdana" w:hAnsi="Verdana"/>
          <w:sz w:val="20"/>
          <w:lang w:val="es-ES_tradnl"/>
        </w:rPr>
      </w:pPr>
    </w:p>
    <w:p w:rsidR="00000000" w:rsidRDefault="00BD337A">
      <w:pPr>
        <w:ind w:right="-46"/>
        <w:jc w:val="both"/>
        <w:rPr>
          <w:rFonts w:ascii="Verdana" w:hAnsi="Verdana"/>
          <w:sz w:val="20"/>
          <w:lang w:val="es-ES_tradnl"/>
        </w:rPr>
      </w:pPr>
      <w:r>
        <w:rPr>
          <w:rFonts w:ascii="Verdana" w:hAnsi="Verdana"/>
          <w:sz w:val="20"/>
          <w:lang w:val="es-ES_tradnl"/>
        </w:rPr>
        <w:t>23.</w:t>
      </w:r>
      <w:r>
        <w:rPr>
          <w:rFonts w:ascii="Verdana" w:hAnsi="Verdana"/>
          <w:sz w:val="20"/>
          <w:lang w:val="es-ES_tradnl"/>
        </w:rPr>
        <w:tab/>
        <w:t>En su escrito de 5 de octubre de 2001, el Perú manifes</w:t>
      </w:r>
      <w:r>
        <w:rPr>
          <w:rFonts w:ascii="Verdana" w:hAnsi="Verdana"/>
          <w:sz w:val="20"/>
          <w:lang w:val="es-ES_tradnl"/>
        </w:rPr>
        <w:t xml:space="preserve">tó que “la simple lectura de [los párrafos 41, 46 y 47 de </w:t>
      </w:r>
      <w:smartTag w:uri="urn:schemas-microsoft-com:office:smarttags" w:element="PersonName">
        <w:smartTagPr>
          <w:attr w:name="ProductID" w:val="la Sentencia"/>
        </w:smartTagPr>
        <w:r>
          <w:rPr>
            <w:rFonts w:ascii="Verdana" w:hAnsi="Verdana"/>
            <w:sz w:val="20"/>
            <w:lang w:val="es-ES_tradnl"/>
          </w:rPr>
          <w:t>la Sentencia</w:t>
        </w:r>
      </w:smartTag>
      <w:r>
        <w:rPr>
          <w:rFonts w:ascii="Verdana" w:hAnsi="Verdana"/>
          <w:sz w:val="20"/>
          <w:lang w:val="es-ES_tradnl"/>
        </w:rPr>
        <w:t xml:space="preserve"> de Reparaciones] lleva a comprenderlos en el sentido usual del significado de sus palabras.  Por consiguiente, no coincide con la necesidad de solicitar una interpretación de los mismos</w:t>
      </w:r>
      <w:r>
        <w:rPr>
          <w:rFonts w:ascii="Verdana" w:hAnsi="Verdana"/>
          <w:sz w:val="20"/>
          <w:lang w:val="es-ES_tradnl"/>
        </w:rPr>
        <w:t>”. Sin embargo, en cuanto a los aspectos más específicos sobre los cuales el señor Cesti solicitó una aclaración (</w:t>
      </w:r>
      <w:r>
        <w:rPr>
          <w:rFonts w:ascii="Verdana" w:hAnsi="Verdana"/>
          <w:i/>
          <w:sz w:val="20"/>
          <w:lang w:val="es-ES_tradnl"/>
        </w:rPr>
        <w:t>supra</w:t>
      </w:r>
      <w:r>
        <w:rPr>
          <w:rFonts w:ascii="Verdana" w:hAnsi="Verdana"/>
          <w:sz w:val="20"/>
          <w:lang w:val="es-ES_tradnl"/>
        </w:rPr>
        <w:t xml:space="preserve"> 10), el Estado coincidió con la necesidad de un pronunciamiento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“toda vez que de acuerdo a la normatividad interna el inici</w:t>
      </w:r>
      <w:r>
        <w:rPr>
          <w:rFonts w:ascii="Verdana" w:hAnsi="Verdana"/>
          <w:sz w:val="20"/>
          <w:lang w:val="es-ES_tradnl"/>
        </w:rPr>
        <w:t>o de la acción judicial para determinar la indemnización obedece a pedido de parte”.</w:t>
      </w:r>
    </w:p>
    <w:p w:rsidR="00000000" w:rsidRDefault="00BD337A">
      <w:pPr>
        <w:ind w:right="-46"/>
        <w:jc w:val="both"/>
        <w:rPr>
          <w:rFonts w:ascii="Verdana" w:hAnsi="Verdana"/>
          <w:sz w:val="20"/>
          <w:lang w:val="es-ES_tradnl"/>
        </w:rPr>
      </w:pPr>
    </w:p>
    <w:p w:rsidR="00000000" w:rsidRDefault="00BD337A">
      <w:pPr>
        <w:ind w:right="-46"/>
        <w:jc w:val="both"/>
        <w:rPr>
          <w:rFonts w:ascii="Verdana" w:hAnsi="Verdana"/>
          <w:sz w:val="20"/>
          <w:lang w:val="es-ES_tradnl"/>
        </w:rPr>
      </w:pPr>
      <w:r>
        <w:rPr>
          <w:rFonts w:ascii="Verdana" w:hAnsi="Verdana"/>
          <w:sz w:val="20"/>
          <w:lang w:val="es-ES_tradnl"/>
        </w:rPr>
        <w:t>24.</w:t>
      </w:r>
      <w:r>
        <w:rPr>
          <w:rFonts w:ascii="Verdana" w:hAnsi="Verdana"/>
          <w:sz w:val="20"/>
          <w:lang w:val="es-ES_tradnl"/>
        </w:rPr>
        <w:tab/>
        <w:t>El Estado peruano expresó que el órgano idóneo para determinar el monto de la indemnización es el Poder Judicial, que es un poder independiente y cuya decisión será r</w:t>
      </w:r>
      <w:r>
        <w:rPr>
          <w:rFonts w:ascii="Verdana" w:hAnsi="Verdana"/>
          <w:sz w:val="20"/>
          <w:lang w:val="es-ES_tradnl"/>
        </w:rPr>
        <w:t>espetada por el Gobierno “si fuera el caso de afrontar allí una demanda del ciudadano Cesti Hurtado”.  Además indicó que “dentro del procedimiento establecido al efecto existe una etapa de conciliación, en la cual las partes tienen la oportunidad de poners</w:t>
      </w:r>
      <w:r>
        <w:rPr>
          <w:rFonts w:ascii="Verdana" w:hAnsi="Verdana"/>
          <w:sz w:val="20"/>
          <w:lang w:val="es-ES_tradnl"/>
        </w:rPr>
        <w:t>e de acuerdo sobre los criterios para determinar los montos de la indemnización” y que en vista de que existen importantes discrepancias entre las partes respecto a los criterios y los montos que comprenderían la indemnización reclamada, dichas discrepanci</w:t>
      </w:r>
      <w:r>
        <w:rPr>
          <w:rFonts w:ascii="Verdana" w:hAnsi="Verdana"/>
          <w:sz w:val="20"/>
          <w:lang w:val="es-ES_tradnl"/>
        </w:rPr>
        <w:t xml:space="preserve">as deberán conocerse en la vía civil.  </w:t>
      </w:r>
    </w:p>
    <w:p w:rsidR="00000000" w:rsidRDefault="00BD337A">
      <w:pPr>
        <w:ind w:right="720"/>
        <w:jc w:val="both"/>
        <w:rPr>
          <w:rFonts w:ascii="Verdana" w:hAnsi="Verdana"/>
          <w:sz w:val="20"/>
          <w:lang w:val="es-ES_tradnl"/>
        </w:rPr>
      </w:pPr>
    </w:p>
    <w:p w:rsidR="00000000" w:rsidRDefault="00BD337A">
      <w:pPr>
        <w:ind w:right="720"/>
        <w:jc w:val="both"/>
        <w:rPr>
          <w:rFonts w:ascii="Verdana" w:hAnsi="Verdana"/>
          <w:sz w:val="20"/>
          <w:lang w:val="es-ES_tradnl"/>
        </w:rPr>
      </w:pPr>
      <w:r>
        <w:rPr>
          <w:rFonts w:ascii="Verdana" w:hAnsi="Verdana"/>
          <w:sz w:val="20"/>
          <w:lang w:val="es-ES_tradnl"/>
        </w:rPr>
        <w:t>25.</w:t>
      </w:r>
      <w:r>
        <w:rPr>
          <w:rFonts w:ascii="Verdana" w:hAnsi="Verdana"/>
          <w:sz w:val="20"/>
          <w:lang w:val="es-ES_tradnl"/>
        </w:rPr>
        <w:tab/>
        <w:t>El Estado peruano agregó que</w:t>
      </w:r>
    </w:p>
    <w:p w:rsidR="00000000" w:rsidRDefault="00BD337A">
      <w:pPr>
        <w:ind w:right="-46"/>
        <w:jc w:val="both"/>
        <w:rPr>
          <w:rFonts w:ascii="Verdana" w:hAnsi="Verdana"/>
          <w:sz w:val="20"/>
          <w:lang w:val="es-ES_tradnl"/>
        </w:rPr>
      </w:pPr>
    </w:p>
    <w:p w:rsidR="00000000" w:rsidRDefault="00BD337A">
      <w:pPr>
        <w:ind w:left="720" w:right="810"/>
        <w:jc w:val="both"/>
        <w:rPr>
          <w:rFonts w:ascii="Verdana" w:hAnsi="Verdana"/>
          <w:sz w:val="18"/>
          <w:lang w:val="es-ES_tradnl"/>
        </w:rPr>
      </w:pPr>
      <w:r>
        <w:rPr>
          <w:rFonts w:ascii="Verdana" w:hAnsi="Verdana"/>
          <w:sz w:val="18"/>
          <w:lang w:val="es-ES_tradnl"/>
        </w:rPr>
        <w:t>[…] considera que tanto la cuantía como los conceptos mismos de los daños materiales reclamados, no pueden ser fijados unilateralmente por una sola de las partes y que por tanto, el</w:t>
      </w:r>
      <w:r>
        <w:rPr>
          <w:rFonts w:ascii="Verdana" w:hAnsi="Verdana"/>
          <w:sz w:val="18"/>
          <w:lang w:val="es-ES_tradnl"/>
        </w:rPr>
        <w:t xml:space="preserve"> proceso judicial de conocimiento es el mecanismo idóneo y previsto por las leyes internas vigentes para la dilucidación de este punto […]  </w:t>
      </w:r>
    </w:p>
    <w:p w:rsidR="00000000" w:rsidRDefault="00BD337A">
      <w:pPr>
        <w:ind w:right="720"/>
        <w:jc w:val="both"/>
        <w:rPr>
          <w:rFonts w:ascii="Verdana" w:hAnsi="Verdana"/>
          <w:sz w:val="20"/>
          <w:lang w:val="es-ES_tradnl"/>
        </w:rPr>
      </w:pPr>
    </w:p>
    <w:p w:rsidR="00000000" w:rsidRDefault="00BD337A">
      <w:pPr>
        <w:ind w:right="-46"/>
        <w:jc w:val="both"/>
        <w:rPr>
          <w:rFonts w:ascii="Verdana" w:hAnsi="Verdana"/>
          <w:sz w:val="20"/>
          <w:lang w:val="es-ES_tradnl"/>
        </w:rPr>
      </w:pPr>
      <w:r>
        <w:rPr>
          <w:rFonts w:ascii="Verdana" w:hAnsi="Verdana"/>
          <w:sz w:val="20"/>
          <w:lang w:val="es-ES_tradnl"/>
        </w:rPr>
        <w:t>26.</w:t>
      </w:r>
      <w:r>
        <w:rPr>
          <w:rFonts w:ascii="Verdana" w:hAnsi="Verdana"/>
          <w:sz w:val="20"/>
          <w:lang w:val="es-ES_tradnl"/>
        </w:rPr>
        <w:tab/>
        <w:t xml:space="preserve">En cuanto a los gastos y costas alegó que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ya ha ordenado su reintegro y que el monto “incluye los hon</w:t>
      </w:r>
      <w:r>
        <w:rPr>
          <w:rFonts w:ascii="Verdana" w:hAnsi="Verdana"/>
          <w:sz w:val="20"/>
          <w:lang w:val="es-ES_tradnl"/>
        </w:rPr>
        <w:t>orarios profesionales no correspondiendo mayores pretensiones al respecto”.  Asimismo, consideró que el proceso de indemnización puede extenderse más allá del plazo de los seis meses señalado en el párrafo 74 de la sentencia, por cuanto la opinión del seño</w:t>
      </w:r>
      <w:r>
        <w:rPr>
          <w:rFonts w:ascii="Verdana" w:hAnsi="Verdana"/>
          <w:sz w:val="20"/>
          <w:lang w:val="es-ES_tradnl"/>
        </w:rPr>
        <w:t xml:space="preserve">r Cesti en relación a que la determinación de los daños materiales no podría ser superior a los seis meses, contraría la decisión del Tribunal.  </w:t>
      </w:r>
    </w:p>
    <w:p w:rsidR="00000000" w:rsidRDefault="00BD337A">
      <w:pPr>
        <w:ind w:right="-46"/>
        <w:jc w:val="both"/>
        <w:rPr>
          <w:rFonts w:ascii="Verdana" w:hAnsi="Verdana"/>
          <w:sz w:val="20"/>
          <w:lang w:val="es-ES_tradnl"/>
        </w:rPr>
      </w:pPr>
    </w:p>
    <w:p w:rsidR="00000000" w:rsidRDefault="00BD337A">
      <w:pPr>
        <w:ind w:right="18" w:hanging="720"/>
        <w:jc w:val="center"/>
        <w:rPr>
          <w:rFonts w:ascii="Verdana" w:hAnsi="Verdana"/>
          <w:b/>
          <w:sz w:val="20"/>
          <w:lang w:val="es-ES_tradnl"/>
        </w:rPr>
      </w:pPr>
      <w:r>
        <w:rPr>
          <w:rFonts w:ascii="Verdana" w:hAnsi="Verdana"/>
          <w:b/>
          <w:sz w:val="20"/>
          <w:lang w:val="es-ES_tradnl"/>
        </w:rPr>
        <w:t>*</w:t>
      </w:r>
    </w:p>
    <w:p w:rsidR="00000000" w:rsidRDefault="00BD337A">
      <w:pPr>
        <w:ind w:right="18" w:hanging="720"/>
        <w:jc w:val="center"/>
        <w:rPr>
          <w:rFonts w:ascii="Verdana" w:hAnsi="Verdana"/>
          <w:sz w:val="20"/>
          <w:lang w:val="es-ES_tradnl"/>
        </w:rPr>
      </w:pPr>
      <w:r>
        <w:rPr>
          <w:rFonts w:ascii="Verdana" w:hAnsi="Verdana"/>
          <w:b/>
          <w:sz w:val="20"/>
          <w:lang w:val="es-ES_tradnl"/>
        </w:rPr>
        <w:t>*</w:t>
      </w:r>
      <w:r>
        <w:rPr>
          <w:rFonts w:ascii="Verdana" w:hAnsi="Verdana"/>
          <w:b/>
          <w:sz w:val="20"/>
          <w:lang w:val="es-ES_tradnl"/>
        </w:rPr>
        <w:tab/>
        <w:t>*</w:t>
      </w:r>
    </w:p>
    <w:p w:rsidR="00000000" w:rsidRDefault="00BD337A">
      <w:pPr>
        <w:rPr>
          <w:rFonts w:ascii="Verdana" w:hAnsi="Verdana"/>
          <w:i/>
          <w:sz w:val="20"/>
          <w:lang w:val="es-ES_tradnl"/>
        </w:rPr>
      </w:pPr>
    </w:p>
    <w:p w:rsidR="00000000" w:rsidRDefault="00BD337A">
      <w:pPr>
        <w:rPr>
          <w:rFonts w:ascii="Verdana" w:hAnsi="Verdana"/>
          <w:i/>
          <w:sz w:val="20"/>
          <w:lang w:val="es-ES_tradnl"/>
        </w:rPr>
      </w:pPr>
    </w:p>
    <w:p w:rsidR="00000000" w:rsidRDefault="00BD337A">
      <w:pPr>
        <w:rPr>
          <w:rFonts w:ascii="Verdana" w:hAnsi="Verdana"/>
          <w:i/>
          <w:sz w:val="20"/>
          <w:lang w:val="es-ES_tradnl"/>
        </w:rPr>
      </w:pPr>
      <w:r>
        <w:rPr>
          <w:rFonts w:ascii="Verdana" w:hAnsi="Verdana"/>
          <w:i/>
          <w:sz w:val="20"/>
          <w:lang w:val="es-ES_tradnl"/>
        </w:rPr>
        <w:t xml:space="preserve">Consideraciones de </w:t>
      </w:r>
      <w:smartTag w:uri="urn:schemas-microsoft-com:office:smarttags" w:element="PersonName">
        <w:smartTagPr>
          <w:attr w:name="ProductID" w:val="la Corte"/>
        </w:smartTagPr>
        <w:r>
          <w:rPr>
            <w:rFonts w:ascii="Verdana" w:hAnsi="Verdana"/>
            <w:i/>
            <w:sz w:val="20"/>
            <w:lang w:val="es-ES_tradnl"/>
          </w:rPr>
          <w:t>la Corte</w:t>
        </w:r>
      </w:smartTag>
    </w:p>
    <w:p w:rsidR="00000000" w:rsidRDefault="00BD337A">
      <w:pPr>
        <w:rPr>
          <w:rFonts w:ascii="Verdana" w:hAnsi="Verdana"/>
          <w:sz w:val="20"/>
          <w:lang w:val="es-ES_tradnl"/>
        </w:rPr>
      </w:pPr>
    </w:p>
    <w:p w:rsidR="00000000" w:rsidRDefault="00BD337A">
      <w:pPr>
        <w:ind w:right="90"/>
        <w:jc w:val="both"/>
        <w:rPr>
          <w:rFonts w:ascii="Verdana" w:hAnsi="Verdana"/>
          <w:sz w:val="20"/>
          <w:lang w:val="es-ES_tradnl"/>
        </w:rPr>
      </w:pPr>
      <w:r>
        <w:rPr>
          <w:rFonts w:ascii="Verdana" w:hAnsi="Verdana"/>
          <w:sz w:val="20"/>
          <w:lang w:val="es-ES_tradnl"/>
        </w:rPr>
        <w:t>27.</w:t>
      </w:r>
      <w:r>
        <w:rPr>
          <w:rFonts w:ascii="Verdana" w:hAnsi="Verdana"/>
          <w:sz w:val="20"/>
          <w:lang w:val="es-ES_tradnl"/>
        </w:rPr>
        <w:tab/>
        <w:t xml:space="preserve">De los argumentos de las partes se desprende que es conveniente que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aclare</w:t>
      </w:r>
      <w:r>
        <w:rPr>
          <w:rFonts w:ascii="Verdana" w:hAnsi="Verdana"/>
          <w:b/>
          <w:sz w:val="20"/>
          <w:lang w:val="es-ES_tradnl"/>
        </w:rPr>
        <w:t xml:space="preserve"> </w:t>
      </w:r>
      <w:r>
        <w:rPr>
          <w:rFonts w:ascii="Verdana" w:hAnsi="Verdana"/>
          <w:sz w:val="20"/>
          <w:lang w:val="es-ES_tradnl"/>
        </w:rPr>
        <w:t xml:space="preserve">el alcance de la obligación reparatoria del Estado en cuanto daño material derivado de la violación de los derechos del señor Cesti Hurtado, en los términos de la sentencia de 31 de mayo de 2001.  </w:t>
      </w:r>
    </w:p>
    <w:p w:rsidR="00000000" w:rsidRDefault="00BD337A">
      <w:pPr>
        <w:ind w:right="90"/>
        <w:jc w:val="both"/>
        <w:rPr>
          <w:rFonts w:ascii="Verdana" w:hAnsi="Verdana"/>
          <w:sz w:val="20"/>
          <w:lang w:val="es-ES_tradnl"/>
        </w:rPr>
      </w:pPr>
    </w:p>
    <w:p w:rsidR="00000000" w:rsidRDefault="00BD337A">
      <w:pPr>
        <w:ind w:right="90"/>
        <w:jc w:val="both"/>
        <w:rPr>
          <w:rFonts w:ascii="Verdana" w:hAnsi="Verdana"/>
          <w:sz w:val="20"/>
          <w:lang w:val="es-ES_tradnl"/>
        </w:rPr>
      </w:pPr>
      <w:r>
        <w:rPr>
          <w:rFonts w:ascii="Verdana" w:hAnsi="Verdana"/>
          <w:sz w:val="20"/>
          <w:lang w:val="es-ES_tradnl"/>
        </w:rPr>
        <w:t>28.</w:t>
      </w:r>
      <w:r>
        <w:rPr>
          <w:rFonts w:ascii="Verdana" w:hAnsi="Verdana"/>
          <w:sz w:val="20"/>
          <w:lang w:val="es-ES_tradnl"/>
        </w:rPr>
        <w:tab/>
        <w:t>En los párrafos pertinentes de la sen</w:t>
      </w:r>
      <w:r>
        <w:rPr>
          <w:rFonts w:ascii="Verdana" w:hAnsi="Verdana"/>
          <w:sz w:val="20"/>
          <w:lang w:val="es-ES_tradnl"/>
        </w:rPr>
        <w:t xml:space="preserve">tencia objeto de la presente interpretación,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estableció </w:t>
      </w:r>
    </w:p>
    <w:p w:rsidR="00000000" w:rsidRDefault="00BD337A">
      <w:pPr>
        <w:ind w:right="90"/>
        <w:jc w:val="both"/>
        <w:rPr>
          <w:rFonts w:ascii="Verdana" w:hAnsi="Verdana"/>
          <w:sz w:val="20"/>
          <w:lang w:val="es-ES_tradnl"/>
        </w:rPr>
      </w:pPr>
    </w:p>
    <w:p w:rsidR="00000000" w:rsidRDefault="00BD337A">
      <w:pPr>
        <w:ind w:left="720" w:right="720"/>
        <w:jc w:val="both"/>
        <w:rPr>
          <w:rFonts w:ascii="Verdana" w:hAnsi="Verdana"/>
          <w:sz w:val="18"/>
          <w:lang w:val="es-ES_tradnl"/>
        </w:rPr>
      </w:pPr>
      <w:r>
        <w:rPr>
          <w:rFonts w:ascii="Verdana" w:hAnsi="Verdana"/>
          <w:sz w:val="18"/>
          <w:lang w:val="es-ES_tradnl"/>
        </w:rPr>
        <w:t>41.</w:t>
      </w:r>
      <w:r>
        <w:rPr>
          <w:rFonts w:ascii="Verdana" w:hAnsi="Verdana"/>
          <w:sz w:val="18"/>
          <w:lang w:val="es-ES_tradnl"/>
        </w:rPr>
        <w:tab/>
        <w:t xml:space="preserve">Con el fin de determinar las medidas de reparación que sean procedentes en este caso, </w:t>
      </w:r>
      <w:smartTag w:uri="urn:schemas-microsoft-com:office:smarttags" w:element="PersonName">
        <w:smartTagPr>
          <w:attr w:name="ProductID" w:val="la Corte"/>
        </w:smartTagPr>
        <w:r>
          <w:rPr>
            <w:rFonts w:ascii="Verdana" w:hAnsi="Verdana"/>
            <w:sz w:val="18"/>
            <w:lang w:val="es-ES_tradnl"/>
          </w:rPr>
          <w:t>la Corte</w:t>
        </w:r>
      </w:smartTag>
      <w:r>
        <w:rPr>
          <w:rFonts w:ascii="Verdana" w:hAnsi="Verdana"/>
          <w:sz w:val="18"/>
          <w:lang w:val="es-ES_tradnl"/>
        </w:rPr>
        <w:t xml:space="preserve"> tendrá como base de referencia los hechos </w:t>
      </w:r>
      <w:r>
        <w:rPr>
          <w:rFonts w:ascii="Verdana" w:hAnsi="Verdana"/>
          <w:sz w:val="18"/>
          <w:lang w:val="es-ES_tradnl"/>
        </w:rPr>
        <w:lastRenderedPageBreak/>
        <w:t>admitidos como probados en su sentencia de 29 de</w:t>
      </w:r>
      <w:r>
        <w:rPr>
          <w:rFonts w:ascii="Verdana" w:hAnsi="Verdana"/>
          <w:sz w:val="18"/>
          <w:lang w:val="es-ES_tradnl"/>
        </w:rPr>
        <w:t xml:space="preserve"> septiembre de 1999.  Además, como ha sido señalado, la víctima y el Estado han aportado al expediente elementos probatorios adicionales que tienen relevancia para la determinación de las medidas de reparación.  </w:t>
      </w:r>
      <w:smartTag w:uri="urn:schemas-microsoft-com:office:smarttags" w:element="PersonName">
        <w:smartTagPr>
          <w:attr w:name="ProductID" w:val="la Corte"/>
        </w:smartTagPr>
        <w:r>
          <w:rPr>
            <w:rFonts w:ascii="Verdana" w:hAnsi="Verdana"/>
            <w:sz w:val="18"/>
            <w:lang w:val="es-ES_tradnl"/>
          </w:rPr>
          <w:t>La Corte</w:t>
        </w:r>
      </w:smartTag>
      <w:r>
        <w:rPr>
          <w:rFonts w:ascii="Verdana" w:hAnsi="Verdana"/>
          <w:sz w:val="18"/>
          <w:lang w:val="es-ES_tradnl"/>
        </w:rPr>
        <w:t xml:space="preserve"> ha examinado estos elementos de pru</w:t>
      </w:r>
      <w:r>
        <w:rPr>
          <w:rFonts w:ascii="Verdana" w:hAnsi="Verdana"/>
          <w:sz w:val="18"/>
          <w:lang w:val="es-ES_tradnl"/>
        </w:rPr>
        <w:t>eba y los alegatos de las partes y declara probados los siguientes hechos en relación con el señor Cesti:</w:t>
      </w:r>
    </w:p>
    <w:p w:rsidR="00000000" w:rsidRDefault="00BD337A">
      <w:pPr>
        <w:ind w:right="720"/>
        <w:jc w:val="both"/>
        <w:rPr>
          <w:rFonts w:ascii="Verdana" w:hAnsi="Verdana"/>
          <w:sz w:val="18"/>
          <w:lang w:val="es-ES_tradnl"/>
        </w:rPr>
      </w:pPr>
    </w:p>
    <w:p w:rsidR="00000000" w:rsidRDefault="00BD337A">
      <w:pPr>
        <w:ind w:left="720" w:right="720"/>
        <w:jc w:val="both"/>
        <w:rPr>
          <w:rFonts w:ascii="Verdana" w:hAnsi="Verdana"/>
          <w:sz w:val="18"/>
          <w:lang w:val="es-ES_tradnl"/>
        </w:rPr>
      </w:pPr>
      <w:r>
        <w:rPr>
          <w:rFonts w:ascii="Verdana" w:hAnsi="Verdana"/>
          <w:sz w:val="18"/>
          <w:lang w:val="es-ES_tradnl"/>
        </w:rPr>
        <w:t>[…]</w:t>
      </w:r>
    </w:p>
    <w:p w:rsidR="00000000" w:rsidRDefault="00BD337A">
      <w:pPr>
        <w:ind w:right="720"/>
        <w:jc w:val="both"/>
        <w:rPr>
          <w:rFonts w:ascii="Verdana" w:hAnsi="Verdana"/>
          <w:sz w:val="18"/>
          <w:lang w:val="es-ES_tradnl"/>
        </w:rPr>
      </w:pPr>
    </w:p>
    <w:p w:rsidR="00000000" w:rsidRDefault="00BD337A">
      <w:pPr>
        <w:ind w:left="720" w:right="720"/>
        <w:jc w:val="both"/>
        <w:rPr>
          <w:rFonts w:ascii="Verdana" w:hAnsi="Verdana"/>
          <w:sz w:val="18"/>
          <w:lang w:val="es-ES_tradnl"/>
        </w:rPr>
      </w:pPr>
      <w:r>
        <w:rPr>
          <w:rFonts w:ascii="Verdana" w:hAnsi="Verdana"/>
          <w:sz w:val="18"/>
          <w:lang w:val="es-ES_tradnl"/>
        </w:rPr>
        <w:t xml:space="preserve">e) </w:t>
      </w:r>
      <w:r>
        <w:rPr>
          <w:rFonts w:ascii="Verdana" w:hAnsi="Verdana"/>
          <w:sz w:val="18"/>
          <w:lang w:val="es-ES_tradnl"/>
        </w:rPr>
        <w:tab/>
        <w:t>que [el señor Cesti] incurrió en una serie de gastos por concepto de honorarios profesionales de sus representantes para la preparación, pre</w:t>
      </w:r>
      <w:r>
        <w:rPr>
          <w:rFonts w:ascii="Verdana" w:hAnsi="Verdana"/>
          <w:sz w:val="18"/>
          <w:lang w:val="es-ES_tradnl"/>
        </w:rPr>
        <w:t xml:space="preserve">sentación y tramitación de su caso ante las autoridades peruanas y el sistema </w:t>
      </w:r>
      <w:proofErr w:type="gramStart"/>
      <w:r>
        <w:rPr>
          <w:rFonts w:ascii="Verdana" w:hAnsi="Verdana"/>
          <w:sz w:val="18"/>
          <w:lang w:val="es-ES_tradnl"/>
        </w:rPr>
        <w:t>interamericano[</w:t>
      </w:r>
      <w:proofErr w:type="gramEnd"/>
      <w:r>
        <w:rPr>
          <w:rFonts w:ascii="Verdana" w:hAnsi="Verdana"/>
          <w:sz w:val="18"/>
          <w:lang w:val="es-ES_tradnl"/>
        </w:rPr>
        <w:t>…];</w:t>
      </w:r>
    </w:p>
    <w:p w:rsidR="00000000" w:rsidRDefault="00BD337A">
      <w:pPr>
        <w:ind w:left="720" w:right="720"/>
        <w:jc w:val="both"/>
        <w:rPr>
          <w:rFonts w:ascii="Verdana" w:hAnsi="Verdana"/>
          <w:sz w:val="18"/>
          <w:lang w:val="es-ES_tradnl"/>
        </w:rPr>
      </w:pPr>
    </w:p>
    <w:p w:rsidR="00000000" w:rsidRDefault="00BD337A">
      <w:pPr>
        <w:ind w:left="720" w:right="720"/>
        <w:jc w:val="both"/>
        <w:rPr>
          <w:rFonts w:ascii="Verdana" w:hAnsi="Verdana"/>
          <w:sz w:val="18"/>
          <w:lang w:val="es-ES_tradnl"/>
        </w:rPr>
      </w:pPr>
      <w:r>
        <w:rPr>
          <w:rFonts w:ascii="Verdana" w:hAnsi="Verdana"/>
          <w:sz w:val="18"/>
          <w:lang w:val="es-ES_tradnl"/>
        </w:rPr>
        <w:t>f)</w:t>
      </w:r>
      <w:r>
        <w:rPr>
          <w:rFonts w:ascii="Verdana" w:hAnsi="Verdana"/>
          <w:sz w:val="18"/>
          <w:lang w:val="es-ES_tradnl"/>
        </w:rPr>
        <w:tab/>
        <w:t>que sus abogados y otras personas del entorno del señor Cesti incurrieron también en gastos, en particular relacionados con viajes a Costa Rica y a los Est</w:t>
      </w:r>
      <w:r>
        <w:rPr>
          <w:rFonts w:ascii="Verdana" w:hAnsi="Verdana"/>
          <w:sz w:val="18"/>
          <w:lang w:val="es-ES_tradnl"/>
        </w:rPr>
        <w:t>ados Unidos […];</w:t>
      </w:r>
    </w:p>
    <w:p w:rsidR="00000000" w:rsidRDefault="00BD337A">
      <w:pPr>
        <w:ind w:right="720"/>
        <w:jc w:val="both"/>
        <w:rPr>
          <w:rFonts w:ascii="Verdana" w:hAnsi="Verdana"/>
          <w:sz w:val="18"/>
          <w:lang w:val="es-ES_tradnl"/>
        </w:rPr>
      </w:pPr>
    </w:p>
    <w:p w:rsidR="00000000" w:rsidRDefault="00BD337A">
      <w:pPr>
        <w:ind w:left="720" w:right="720"/>
        <w:jc w:val="both"/>
        <w:rPr>
          <w:rFonts w:ascii="Verdana" w:hAnsi="Verdana"/>
          <w:sz w:val="18"/>
          <w:lang w:val="es-ES_tradnl"/>
        </w:rPr>
      </w:pPr>
      <w:r>
        <w:rPr>
          <w:rFonts w:ascii="Verdana" w:hAnsi="Verdana"/>
          <w:sz w:val="18"/>
          <w:lang w:val="es-ES_tradnl"/>
        </w:rPr>
        <w:t>[…]</w:t>
      </w:r>
    </w:p>
    <w:p w:rsidR="00000000" w:rsidRDefault="00BD337A">
      <w:pPr>
        <w:ind w:right="720"/>
        <w:jc w:val="both"/>
        <w:rPr>
          <w:rFonts w:ascii="Verdana" w:hAnsi="Verdana"/>
          <w:sz w:val="18"/>
          <w:lang w:val="es-ES_tradnl"/>
        </w:rPr>
      </w:pPr>
    </w:p>
    <w:p w:rsidR="00000000" w:rsidRDefault="00BD337A">
      <w:pPr>
        <w:pStyle w:val="negritamayuscula"/>
        <w:tabs>
          <w:tab w:val="clear" w:pos="1120"/>
        </w:tabs>
        <w:spacing w:line="240" w:lineRule="auto"/>
        <w:ind w:left="720" w:right="720"/>
        <w:rPr>
          <w:rFonts w:ascii="Verdana" w:hAnsi="Verdana"/>
          <w:sz w:val="18"/>
        </w:rPr>
      </w:pPr>
      <w:r>
        <w:rPr>
          <w:rFonts w:ascii="Verdana" w:hAnsi="Verdana"/>
          <w:sz w:val="18"/>
        </w:rPr>
        <w:t>46.</w:t>
      </w:r>
      <w:r>
        <w:rPr>
          <w:rFonts w:ascii="Verdana" w:hAnsi="Verdana"/>
          <w:sz w:val="18"/>
        </w:rPr>
        <w:tab/>
      </w:r>
      <w:smartTag w:uri="urn:schemas-microsoft-com:office:smarttags" w:element="PersonName">
        <w:smartTagPr>
          <w:attr w:name="ProductID" w:val="la Corte"/>
        </w:smartTagPr>
        <w:r>
          <w:rPr>
            <w:rFonts w:ascii="Verdana" w:hAnsi="Verdana"/>
            <w:sz w:val="18"/>
          </w:rPr>
          <w:t>La Corte</w:t>
        </w:r>
      </w:smartTag>
      <w:r>
        <w:rPr>
          <w:rFonts w:ascii="Verdana" w:hAnsi="Verdana"/>
          <w:sz w:val="18"/>
        </w:rPr>
        <w:t xml:space="preserve"> toma nota de lo expresado por la víctima y </w:t>
      </w:r>
      <w:smartTag w:uri="urn:schemas-microsoft-com:office:smarttags" w:element="PersonName">
        <w:smartTagPr>
          <w:attr w:name="ProductID" w:val="la Comisi￳n"/>
        </w:smartTagPr>
        <w:r>
          <w:rPr>
            <w:rFonts w:ascii="Verdana" w:hAnsi="Verdana"/>
            <w:sz w:val="18"/>
          </w:rPr>
          <w:t>la Comisión</w:t>
        </w:r>
      </w:smartTag>
      <w:r>
        <w:rPr>
          <w:rFonts w:ascii="Verdana" w:hAnsi="Verdana"/>
          <w:sz w:val="18"/>
        </w:rPr>
        <w:t xml:space="preserve"> en el sentido de que las violaciones ocurridas en el presente caso justifican una reparación en beneficio del señor Cesti por concepto de daño material.  Sin embargo</w:t>
      </w:r>
      <w:r>
        <w:rPr>
          <w:rFonts w:ascii="Verdana" w:hAnsi="Verdana"/>
          <w:sz w:val="18"/>
        </w:rPr>
        <w:t>, observando las particularidades del caso en estudio y la naturaleza de las reparaciones solicitadas, este Tribunal considera que las mismas deben ser determinadas mediante los mecanismos que establezcan las leyes internas. Los tribunales internos o las i</w:t>
      </w:r>
      <w:r>
        <w:rPr>
          <w:rFonts w:ascii="Verdana" w:hAnsi="Verdana"/>
          <w:sz w:val="18"/>
        </w:rPr>
        <w:t>nstituciones especializadas nacionales poseen conocimientos propios del ramo de actividad al que se dedicaba la víctima.  Tomando en consideración la especificidad de las reparaciones solicitadas así como las características propias del derecho mercantil y</w:t>
      </w:r>
      <w:r>
        <w:rPr>
          <w:rFonts w:ascii="Verdana" w:hAnsi="Verdana"/>
          <w:sz w:val="18"/>
        </w:rPr>
        <w:t xml:space="preserve"> de las sociedades y operaciones</w:t>
      </w:r>
      <w:r>
        <w:rPr>
          <w:rFonts w:ascii="Verdana" w:hAnsi="Verdana"/>
          <w:b/>
          <w:sz w:val="18"/>
        </w:rPr>
        <w:t xml:space="preserve"> </w:t>
      </w:r>
      <w:r>
        <w:rPr>
          <w:rFonts w:ascii="Verdana" w:hAnsi="Verdana"/>
          <w:sz w:val="18"/>
        </w:rPr>
        <w:t xml:space="preserve">comerciales involucradas, </w:t>
      </w:r>
      <w:smartTag w:uri="urn:schemas-microsoft-com:office:smarttags" w:element="PersonName">
        <w:smartTagPr>
          <w:attr w:name="ProductID" w:val="la Corte"/>
        </w:smartTagPr>
        <w:r>
          <w:rPr>
            <w:rFonts w:ascii="Verdana" w:hAnsi="Verdana"/>
            <w:sz w:val="18"/>
          </w:rPr>
          <w:t>la Corte</w:t>
        </w:r>
      </w:smartTag>
      <w:r>
        <w:rPr>
          <w:rFonts w:ascii="Verdana" w:hAnsi="Verdana"/>
          <w:sz w:val="18"/>
        </w:rPr>
        <w:t xml:space="preserve"> estima que dicha determinación corresponde más bien a las mencionadas instituciones nacionales que a un tribunal internacional de derechos humanos.  </w:t>
      </w:r>
    </w:p>
    <w:p w:rsidR="00000000" w:rsidRDefault="00BD337A">
      <w:pPr>
        <w:pStyle w:val="negritamayuscula"/>
        <w:tabs>
          <w:tab w:val="clear" w:pos="1120"/>
        </w:tabs>
        <w:spacing w:line="240" w:lineRule="auto"/>
        <w:ind w:left="720" w:right="720"/>
        <w:rPr>
          <w:rFonts w:ascii="Verdana" w:hAnsi="Verdana"/>
          <w:sz w:val="18"/>
        </w:rPr>
      </w:pPr>
    </w:p>
    <w:p w:rsidR="00000000" w:rsidRDefault="00BD337A">
      <w:pPr>
        <w:ind w:left="720" w:right="720"/>
        <w:jc w:val="both"/>
        <w:rPr>
          <w:rFonts w:ascii="Verdana" w:hAnsi="Verdana"/>
          <w:sz w:val="18"/>
          <w:lang w:val="es-ES_tradnl"/>
        </w:rPr>
      </w:pPr>
      <w:r>
        <w:rPr>
          <w:rFonts w:ascii="Verdana" w:hAnsi="Verdana"/>
          <w:sz w:val="18"/>
          <w:lang w:val="es-ES_tradnl"/>
        </w:rPr>
        <w:t>47.</w:t>
      </w:r>
      <w:r>
        <w:rPr>
          <w:rFonts w:ascii="Verdana" w:hAnsi="Verdana"/>
          <w:sz w:val="18"/>
          <w:lang w:val="es-ES_tradnl"/>
        </w:rPr>
        <w:tab/>
        <w:t>Por lo expuesto, es oportuno orde</w:t>
      </w:r>
      <w:r>
        <w:rPr>
          <w:rFonts w:ascii="Verdana" w:hAnsi="Verdana"/>
          <w:sz w:val="18"/>
          <w:lang w:val="es-ES_tradnl"/>
        </w:rPr>
        <w:t>nar al Estado que indemnice a la víctima por los daños materiales que las violaciones declaradas en la sentencia de fondo le han ocasionado, tomando en cuenta, dentro de las circunstancias del presente caso, los elementos que normalmente componen el daño m</w:t>
      </w:r>
      <w:r>
        <w:rPr>
          <w:rFonts w:ascii="Verdana" w:hAnsi="Verdana"/>
          <w:sz w:val="18"/>
          <w:lang w:val="es-ES_tradnl"/>
        </w:rPr>
        <w:t>aterial; y que proceda a fijar, siguiendo las normas nacionales pertinentes, los montos indemnizatorios correspondientes, a fin de que la víctima los reciba en un plazo razonable.</w:t>
      </w:r>
    </w:p>
    <w:p w:rsidR="00000000" w:rsidRDefault="00BD337A">
      <w:pPr>
        <w:ind w:right="90"/>
        <w:jc w:val="both"/>
        <w:rPr>
          <w:rFonts w:ascii="Verdana" w:hAnsi="Verdana"/>
          <w:sz w:val="20"/>
          <w:lang w:val="es-ES_tradnl"/>
        </w:rPr>
      </w:pPr>
    </w:p>
    <w:p w:rsidR="00000000" w:rsidRDefault="00BD337A">
      <w:pPr>
        <w:ind w:right="90"/>
        <w:jc w:val="both"/>
        <w:rPr>
          <w:rFonts w:ascii="Verdana" w:hAnsi="Verdana"/>
          <w:sz w:val="20"/>
          <w:lang w:val="es-ES_tradnl"/>
        </w:rPr>
      </w:pPr>
      <w:proofErr w:type="gramStart"/>
      <w:r>
        <w:rPr>
          <w:rFonts w:ascii="Verdana" w:hAnsi="Verdana"/>
          <w:sz w:val="20"/>
          <w:lang w:val="es-ES_tradnl"/>
        </w:rPr>
        <w:t>y</w:t>
      </w:r>
      <w:proofErr w:type="gramEnd"/>
      <w:r>
        <w:rPr>
          <w:rFonts w:ascii="Verdana" w:hAnsi="Verdana"/>
          <w:sz w:val="20"/>
          <w:lang w:val="es-ES_tradnl"/>
        </w:rPr>
        <w:t xml:space="preserve"> en el punto resolutivo 1 decidió</w:t>
      </w:r>
    </w:p>
    <w:p w:rsidR="00000000" w:rsidRDefault="00BD337A">
      <w:pPr>
        <w:ind w:right="90"/>
        <w:jc w:val="both"/>
        <w:rPr>
          <w:rFonts w:ascii="Verdana" w:hAnsi="Verdana"/>
          <w:sz w:val="20"/>
          <w:lang w:val="es-ES_tradnl"/>
        </w:rPr>
      </w:pPr>
    </w:p>
    <w:p w:rsidR="00000000" w:rsidRDefault="00BD337A">
      <w:pPr>
        <w:ind w:left="720" w:right="720"/>
        <w:jc w:val="both"/>
        <w:rPr>
          <w:rFonts w:ascii="Verdana" w:hAnsi="Verdana"/>
          <w:color w:val="000000"/>
          <w:sz w:val="18"/>
          <w:lang w:val="es-ES_tradnl"/>
        </w:rPr>
      </w:pPr>
      <w:r>
        <w:rPr>
          <w:rFonts w:ascii="Verdana" w:hAnsi="Verdana"/>
          <w:color w:val="000000"/>
          <w:sz w:val="18"/>
          <w:lang w:val="es-ES_tradnl"/>
        </w:rPr>
        <w:t>1.</w:t>
      </w:r>
      <w:r>
        <w:rPr>
          <w:rFonts w:ascii="Verdana" w:hAnsi="Verdana"/>
          <w:color w:val="000000"/>
          <w:sz w:val="18"/>
          <w:lang w:val="es-ES_tradnl"/>
        </w:rPr>
        <w:tab/>
        <w:t>ordenar que el Estado del Perú indem</w:t>
      </w:r>
      <w:r>
        <w:rPr>
          <w:rFonts w:ascii="Verdana" w:hAnsi="Verdana"/>
          <w:color w:val="000000"/>
          <w:sz w:val="18"/>
          <w:lang w:val="es-ES_tradnl"/>
        </w:rPr>
        <w:t>nice a Gustavo Adolfo Cesti Hurtado por los daños materiales que las violaciones declaradas en la sentencia sobre el fondo de 29 de septiembre de 1999 le han ocasionado y que proceda a fijar, siguiendo los trámites nacionales pertinentes, los montos indemn</w:t>
      </w:r>
      <w:r>
        <w:rPr>
          <w:rFonts w:ascii="Verdana" w:hAnsi="Verdana"/>
          <w:color w:val="000000"/>
          <w:sz w:val="18"/>
          <w:lang w:val="es-ES_tradnl"/>
        </w:rPr>
        <w:t>izatorios correspondientes, a fin de que éste los reciba en un plazo razonable, si hubiere lugar a ellos.</w:t>
      </w:r>
    </w:p>
    <w:p w:rsidR="00000000" w:rsidRDefault="00BD337A">
      <w:pPr>
        <w:ind w:left="720" w:right="720"/>
        <w:jc w:val="both"/>
        <w:rPr>
          <w:rFonts w:ascii="Verdana" w:hAnsi="Verdana"/>
          <w:sz w:val="18"/>
          <w:lang w:val="es-ES_tradnl"/>
        </w:rPr>
      </w:pPr>
    </w:p>
    <w:p w:rsidR="00000000" w:rsidRDefault="00BD337A">
      <w:pPr>
        <w:ind w:right="43"/>
        <w:jc w:val="both"/>
        <w:rPr>
          <w:rFonts w:ascii="Verdana" w:hAnsi="Verdana"/>
          <w:sz w:val="20"/>
          <w:lang w:val="es-ES_tradnl"/>
        </w:rPr>
      </w:pPr>
      <w:r>
        <w:rPr>
          <w:rFonts w:ascii="Verdana" w:hAnsi="Verdana"/>
          <w:sz w:val="20"/>
          <w:lang w:val="es-ES_tradnl"/>
        </w:rPr>
        <w:t>29.</w:t>
      </w:r>
      <w:r>
        <w:rPr>
          <w:rFonts w:ascii="Verdana" w:hAnsi="Verdana"/>
          <w:sz w:val="20"/>
          <w:lang w:val="es-ES_tradnl"/>
        </w:rPr>
        <w:tab/>
        <w:t xml:space="preserve">Asimismo, en los puntos resolutivos 4 y 6 de la sentencia de reparaciones,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decidió</w:t>
      </w:r>
    </w:p>
    <w:p w:rsidR="00000000" w:rsidRDefault="00BD337A">
      <w:pPr>
        <w:ind w:right="720"/>
        <w:jc w:val="both"/>
        <w:rPr>
          <w:rFonts w:ascii="Verdana" w:hAnsi="Verdana"/>
          <w:sz w:val="20"/>
          <w:lang w:val="es-ES_tradnl"/>
        </w:rPr>
      </w:pPr>
    </w:p>
    <w:p w:rsidR="00000000" w:rsidRDefault="00BD337A">
      <w:pPr>
        <w:ind w:left="720" w:right="720"/>
        <w:jc w:val="both"/>
        <w:rPr>
          <w:rFonts w:ascii="Verdana" w:hAnsi="Verdana"/>
          <w:sz w:val="18"/>
          <w:lang w:val="es-ES_tradnl"/>
        </w:rPr>
      </w:pPr>
      <w:r>
        <w:rPr>
          <w:rFonts w:ascii="Verdana" w:hAnsi="Verdana"/>
          <w:sz w:val="18"/>
          <w:lang w:val="es-ES_tradnl"/>
        </w:rPr>
        <w:t>4.</w:t>
      </w:r>
      <w:r>
        <w:rPr>
          <w:rFonts w:ascii="Verdana" w:hAnsi="Verdana"/>
          <w:sz w:val="18"/>
          <w:lang w:val="es-ES_tradnl"/>
        </w:rPr>
        <w:tab/>
        <w:t>ordenar que el Estado del Perú pague a Gustavo Ad</w:t>
      </w:r>
      <w:r>
        <w:rPr>
          <w:rFonts w:ascii="Verdana" w:hAnsi="Verdana"/>
          <w:sz w:val="18"/>
          <w:lang w:val="es-ES_tradnl"/>
        </w:rPr>
        <w:t xml:space="preserve">olfo Cesti Hurtado, como compensación de las costas y gastos generados en la jurisdicción interna y en la jurisdicción interamericana, la suma de US$ 20.000,00 (veinte mil </w:t>
      </w:r>
      <w:r>
        <w:rPr>
          <w:rFonts w:ascii="Verdana" w:hAnsi="Verdana"/>
          <w:sz w:val="18"/>
          <w:lang w:val="es-ES_tradnl"/>
        </w:rPr>
        <w:lastRenderedPageBreak/>
        <w:t xml:space="preserve">dólares de los Estados Unidos de América) o su equivalente en moneda peruana, monto </w:t>
      </w:r>
      <w:r>
        <w:rPr>
          <w:rFonts w:ascii="Verdana" w:hAnsi="Verdana"/>
          <w:sz w:val="18"/>
          <w:lang w:val="es-ES_tradnl"/>
        </w:rPr>
        <w:t>que incluye los honorarios profesionales.</w:t>
      </w:r>
    </w:p>
    <w:p w:rsidR="00000000" w:rsidRDefault="00BD337A">
      <w:pPr>
        <w:ind w:left="720" w:right="720"/>
        <w:jc w:val="both"/>
        <w:rPr>
          <w:rFonts w:ascii="Verdana" w:hAnsi="Verdana"/>
          <w:sz w:val="18"/>
          <w:lang w:val="es-ES_tradnl"/>
        </w:rPr>
      </w:pPr>
    </w:p>
    <w:p w:rsidR="00000000" w:rsidRDefault="00BD337A">
      <w:pPr>
        <w:tabs>
          <w:tab w:val="left" w:pos="720"/>
        </w:tabs>
        <w:ind w:left="720" w:right="720"/>
        <w:jc w:val="both"/>
        <w:rPr>
          <w:rFonts w:ascii="Verdana" w:hAnsi="Verdana"/>
          <w:sz w:val="18"/>
          <w:lang w:val="es-ES_tradnl"/>
        </w:rPr>
      </w:pPr>
      <w:r>
        <w:rPr>
          <w:rFonts w:ascii="Verdana" w:hAnsi="Verdana"/>
          <w:sz w:val="18"/>
          <w:lang w:val="es-ES_tradnl"/>
        </w:rPr>
        <w:t>[…]</w:t>
      </w:r>
    </w:p>
    <w:p w:rsidR="00000000" w:rsidRDefault="00BD337A">
      <w:pPr>
        <w:tabs>
          <w:tab w:val="left" w:pos="720"/>
        </w:tabs>
        <w:ind w:right="720"/>
        <w:jc w:val="both"/>
        <w:rPr>
          <w:rFonts w:ascii="Verdana" w:hAnsi="Verdana"/>
          <w:sz w:val="18"/>
          <w:lang w:val="es-ES_tradnl"/>
        </w:rPr>
      </w:pPr>
    </w:p>
    <w:p w:rsidR="00000000" w:rsidRDefault="00BD337A">
      <w:pPr>
        <w:ind w:left="720" w:right="720"/>
        <w:jc w:val="both"/>
        <w:rPr>
          <w:rFonts w:ascii="Verdana" w:hAnsi="Verdana"/>
          <w:sz w:val="18"/>
          <w:lang w:val="es-ES_tradnl"/>
        </w:rPr>
      </w:pPr>
      <w:r>
        <w:rPr>
          <w:rFonts w:ascii="Verdana" w:hAnsi="Verdana"/>
          <w:sz w:val="18"/>
          <w:lang w:val="es-ES_tradnl"/>
        </w:rPr>
        <w:t>6.</w:t>
      </w:r>
      <w:r>
        <w:rPr>
          <w:rFonts w:ascii="Verdana" w:hAnsi="Verdana"/>
          <w:sz w:val="18"/>
          <w:lang w:val="es-ES_tradnl"/>
        </w:rPr>
        <w:tab/>
        <w:t>ordenar que el Estado del Perú efectúe los pagos indicados en los puntos resolutivos 2, 3 y 4 dentro de los seis meses a partir de la notificación de esta sentencia.</w:t>
      </w:r>
    </w:p>
    <w:p w:rsidR="00000000" w:rsidRDefault="00BD337A">
      <w:pPr>
        <w:jc w:val="both"/>
        <w:rPr>
          <w:rFonts w:ascii="Verdana" w:hAnsi="Verdana"/>
          <w:sz w:val="20"/>
          <w:lang w:val="es-ES_tradnl"/>
        </w:rPr>
      </w:pPr>
    </w:p>
    <w:p w:rsidR="00000000" w:rsidRDefault="00BD337A">
      <w:pPr>
        <w:jc w:val="both"/>
        <w:rPr>
          <w:rFonts w:ascii="Verdana" w:hAnsi="Verdana"/>
          <w:sz w:val="20"/>
          <w:lang w:val="es-ES_tradnl"/>
        </w:rPr>
      </w:pPr>
      <w:r>
        <w:rPr>
          <w:rFonts w:ascii="Verdana" w:hAnsi="Verdana"/>
          <w:sz w:val="20"/>
          <w:lang w:val="es-ES_tradnl"/>
        </w:rPr>
        <w:t>30.</w:t>
      </w:r>
      <w:r>
        <w:rPr>
          <w:rFonts w:ascii="Verdana" w:hAnsi="Verdana"/>
          <w:sz w:val="20"/>
          <w:lang w:val="es-ES_tradnl"/>
        </w:rPr>
        <w:tab/>
        <w:t xml:space="preserve">El artículo 63.1 de </w:t>
      </w:r>
      <w:smartTag w:uri="urn:schemas-microsoft-com:office:smarttags" w:element="PersonName">
        <w:smartTagPr>
          <w:attr w:name="ProductID" w:val="la Convenci￳n Americana"/>
        </w:smartTagPr>
        <w:r>
          <w:rPr>
            <w:rFonts w:ascii="Verdana" w:hAnsi="Verdana"/>
            <w:sz w:val="20"/>
            <w:lang w:val="es-ES_tradnl"/>
          </w:rPr>
          <w:t xml:space="preserve">la Convención </w:t>
        </w:r>
        <w:r>
          <w:rPr>
            <w:rFonts w:ascii="Verdana" w:hAnsi="Verdana"/>
            <w:sz w:val="20"/>
            <w:lang w:val="es-ES_tradnl"/>
          </w:rPr>
          <w:t>Americana</w:t>
        </w:r>
      </w:smartTag>
      <w:r>
        <w:rPr>
          <w:rFonts w:ascii="Verdana" w:hAnsi="Verdana"/>
          <w:sz w:val="20"/>
          <w:lang w:val="es-ES_tradnl"/>
        </w:rPr>
        <w:t xml:space="preserve"> prescribe:</w:t>
      </w:r>
    </w:p>
    <w:p w:rsidR="00000000" w:rsidRDefault="00BD337A">
      <w:pPr>
        <w:jc w:val="both"/>
        <w:rPr>
          <w:rFonts w:ascii="Verdana" w:hAnsi="Verdana"/>
          <w:sz w:val="20"/>
          <w:lang w:val="es-ES_tradnl"/>
        </w:rPr>
      </w:pPr>
    </w:p>
    <w:p w:rsidR="00000000" w:rsidRDefault="00BD337A">
      <w:pPr>
        <w:tabs>
          <w:tab w:val="left" w:pos="7200"/>
        </w:tabs>
        <w:ind w:left="720" w:right="720"/>
        <w:jc w:val="both"/>
        <w:rPr>
          <w:rFonts w:ascii="Verdana" w:hAnsi="Verdana"/>
          <w:sz w:val="18"/>
          <w:lang w:val="es-ES_tradnl"/>
        </w:rPr>
      </w:pPr>
      <w:r>
        <w:rPr>
          <w:rFonts w:ascii="Verdana" w:hAnsi="Verdana"/>
          <w:sz w:val="18"/>
          <w:lang w:val="es-ES_tradnl"/>
        </w:rPr>
        <w:t xml:space="preserve">Cuando decida que hubo violación de un derecho o libertad protegidos en esta Convención, </w:t>
      </w:r>
      <w:smartTag w:uri="urn:schemas-microsoft-com:office:smarttags" w:element="PersonName">
        <w:smartTagPr>
          <w:attr w:name="ProductID" w:val="la Corte"/>
        </w:smartTagPr>
        <w:r>
          <w:rPr>
            <w:rFonts w:ascii="Verdana" w:hAnsi="Verdana"/>
            <w:sz w:val="18"/>
            <w:lang w:val="es-ES_tradnl"/>
          </w:rPr>
          <w:t>la Corte</w:t>
        </w:r>
      </w:smartTag>
      <w:r>
        <w:rPr>
          <w:rFonts w:ascii="Verdana" w:hAnsi="Verdana"/>
          <w:sz w:val="18"/>
          <w:lang w:val="es-ES_tradnl"/>
        </w:rPr>
        <w:t xml:space="preserve"> dispondrá que se garantice al lesionado en el goce de su derecho o libertad conculcados.  Dispondrá asimismo,</w:t>
      </w:r>
      <w:r>
        <w:rPr>
          <w:rFonts w:ascii="Verdana" w:hAnsi="Verdana"/>
          <w:sz w:val="20"/>
          <w:lang w:val="es-ES_tradnl"/>
        </w:rPr>
        <w:t xml:space="preserve"> </w:t>
      </w:r>
      <w:r>
        <w:rPr>
          <w:rFonts w:ascii="Verdana" w:hAnsi="Verdana"/>
          <w:sz w:val="18"/>
          <w:lang w:val="es-ES_tradnl"/>
        </w:rPr>
        <w:t xml:space="preserve">si ello fuera procedente, </w:t>
      </w:r>
      <w:r>
        <w:rPr>
          <w:rFonts w:ascii="Verdana" w:hAnsi="Verdana"/>
          <w:sz w:val="18"/>
          <w:lang w:val="es-ES_tradnl"/>
        </w:rPr>
        <w:t>que se reparen las consecuencias de la medida o situación que ha configurado la vulneración de esos derechos y el pago de una justa indemnización a la parte lesionada.</w:t>
      </w:r>
    </w:p>
    <w:p w:rsidR="00000000" w:rsidRDefault="00BD337A">
      <w:pPr>
        <w:ind w:right="-46"/>
        <w:jc w:val="both"/>
        <w:rPr>
          <w:rFonts w:ascii="Verdana" w:hAnsi="Verdana"/>
          <w:sz w:val="20"/>
          <w:lang w:val="es-ES_tradnl"/>
        </w:rPr>
      </w:pPr>
    </w:p>
    <w:p w:rsidR="00000000" w:rsidRDefault="00BD337A">
      <w:pPr>
        <w:ind w:right="-46"/>
        <w:jc w:val="both"/>
        <w:rPr>
          <w:rFonts w:ascii="Verdana" w:hAnsi="Verdana"/>
          <w:sz w:val="20"/>
          <w:lang w:val="es-ES_tradnl"/>
        </w:rPr>
      </w:pPr>
      <w:r>
        <w:rPr>
          <w:rFonts w:ascii="Verdana" w:hAnsi="Verdana"/>
          <w:sz w:val="20"/>
          <w:lang w:val="es-ES_tradnl"/>
        </w:rPr>
        <w:t>31.</w:t>
      </w:r>
      <w:r>
        <w:rPr>
          <w:rFonts w:ascii="Verdana" w:hAnsi="Verdana"/>
          <w:sz w:val="20"/>
          <w:lang w:val="es-ES_tradnl"/>
        </w:rPr>
        <w:tab/>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ha manifestado anteriormente que </w:t>
      </w:r>
    </w:p>
    <w:p w:rsidR="00000000" w:rsidRDefault="00BD337A">
      <w:pPr>
        <w:ind w:right="-46"/>
        <w:jc w:val="both"/>
        <w:rPr>
          <w:rFonts w:ascii="Verdana" w:hAnsi="Verdana"/>
          <w:sz w:val="20"/>
          <w:lang w:val="es-ES_tradnl"/>
        </w:rPr>
      </w:pPr>
    </w:p>
    <w:p w:rsidR="00000000" w:rsidRDefault="00BD337A">
      <w:pPr>
        <w:ind w:left="720" w:right="720"/>
        <w:jc w:val="both"/>
        <w:rPr>
          <w:rFonts w:ascii="Verdana" w:hAnsi="Verdana"/>
          <w:sz w:val="18"/>
          <w:lang w:val="es-ES_tradnl"/>
        </w:rPr>
      </w:pPr>
      <w:r>
        <w:rPr>
          <w:rFonts w:ascii="Verdana" w:hAnsi="Verdana"/>
          <w:color w:val="000000"/>
          <w:sz w:val="18"/>
          <w:lang w:val="es-ES_tradnl"/>
        </w:rPr>
        <w:t>[la] demanda de interpretación de una s</w:t>
      </w:r>
      <w:r>
        <w:rPr>
          <w:rFonts w:ascii="Verdana" w:hAnsi="Verdana"/>
          <w:color w:val="000000"/>
          <w:sz w:val="18"/>
          <w:lang w:val="es-ES_tradnl"/>
        </w:rPr>
        <w:t>entencia no debe utilizarse como un medio de impugnación sino únicamente debe tener como objeto desentrañar el sentido de un fallo cuando una de las partes sostiene que el texto de sus puntos resolutivos o de sus consideraciones carece de claridad o precis</w:t>
      </w:r>
      <w:r>
        <w:rPr>
          <w:rFonts w:ascii="Verdana" w:hAnsi="Verdana"/>
          <w:color w:val="000000"/>
          <w:sz w:val="18"/>
          <w:lang w:val="es-ES_tradnl"/>
        </w:rPr>
        <w:t>ión, siempre y cuando esas consideraciones incidan en dicha parte resolutiva y, por tanto, no se puede pedir la modificación o anulación de la sentencia respectiva a través de una demanda de interpretación</w:t>
      </w:r>
      <w:r>
        <w:rPr>
          <w:rStyle w:val="Refdenotaalpie"/>
          <w:rFonts w:ascii="Verdana" w:hAnsi="Verdana"/>
          <w:color w:val="000000"/>
          <w:sz w:val="18"/>
          <w:lang w:val="es-ES_tradnl"/>
        </w:rPr>
        <w:footnoteReference w:id="6"/>
      </w:r>
      <w:r>
        <w:rPr>
          <w:rFonts w:ascii="Verdana" w:hAnsi="Verdana"/>
          <w:color w:val="000000"/>
          <w:sz w:val="18"/>
          <w:lang w:val="es-ES_tradnl"/>
        </w:rPr>
        <w:t xml:space="preserve">. </w:t>
      </w:r>
    </w:p>
    <w:p w:rsidR="00000000" w:rsidRDefault="00BD337A">
      <w:pPr>
        <w:ind w:right="43"/>
        <w:jc w:val="both"/>
        <w:rPr>
          <w:rFonts w:ascii="Verdana" w:hAnsi="Verdana"/>
          <w:sz w:val="20"/>
          <w:lang w:val="es-ES_tradnl"/>
        </w:rPr>
      </w:pPr>
    </w:p>
    <w:p w:rsidR="00000000" w:rsidRDefault="00BD337A">
      <w:pPr>
        <w:ind w:right="43"/>
        <w:jc w:val="both"/>
        <w:rPr>
          <w:rFonts w:ascii="Verdana" w:hAnsi="Verdana"/>
          <w:sz w:val="20"/>
          <w:lang w:val="es-ES_tradnl"/>
        </w:rPr>
      </w:pPr>
      <w:r>
        <w:rPr>
          <w:rFonts w:ascii="Verdana" w:hAnsi="Verdana"/>
          <w:sz w:val="20"/>
          <w:lang w:val="es-ES_tradnl"/>
        </w:rPr>
        <w:t>32.</w:t>
      </w:r>
      <w:r>
        <w:rPr>
          <w:rFonts w:ascii="Verdana" w:hAnsi="Verdana"/>
          <w:sz w:val="20"/>
          <w:lang w:val="es-ES_tradnl"/>
        </w:rPr>
        <w:tab/>
        <w:t>Como puede observarse, la sentencia de rep</w:t>
      </w:r>
      <w:r>
        <w:rPr>
          <w:rFonts w:ascii="Verdana" w:hAnsi="Verdana"/>
          <w:sz w:val="20"/>
          <w:lang w:val="es-ES_tradnl"/>
        </w:rPr>
        <w:t>araciones contiene determinaciones precisas a propósito de diversos aspectos de las reparaciones a cargo del Estado peruano:</w:t>
      </w:r>
    </w:p>
    <w:p w:rsidR="00000000" w:rsidRDefault="00BD337A">
      <w:pPr>
        <w:ind w:right="43"/>
        <w:jc w:val="both"/>
        <w:rPr>
          <w:rFonts w:ascii="Verdana" w:hAnsi="Verdana"/>
          <w:sz w:val="20"/>
          <w:lang w:val="es-ES_tradnl"/>
        </w:rPr>
      </w:pPr>
    </w:p>
    <w:p w:rsidR="00000000" w:rsidRDefault="00BD337A">
      <w:pPr>
        <w:numPr>
          <w:ilvl w:val="0"/>
          <w:numId w:val="3"/>
        </w:numPr>
        <w:tabs>
          <w:tab w:val="left" w:pos="720"/>
          <w:tab w:val="left" w:pos="1080"/>
        </w:tabs>
        <w:ind w:left="0" w:right="43" w:firstLine="0"/>
        <w:jc w:val="both"/>
        <w:rPr>
          <w:rFonts w:ascii="Verdana" w:hAnsi="Verdana"/>
          <w:sz w:val="20"/>
          <w:lang w:val="es-ES_tradnl"/>
        </w:rPr>
      </w:pPr>
      <w:r>
        <w:rPr>
          <w:rFonts w:ascii="Verdana" w:hAnsi="Verdana"/>
          <w:sz w:val="20"/>
          <w:lang w:val="es-ES_tradnl"/>
        </w:rPr>
        <w:t>En lo que respecta al daño material (</w:t>
      </w:r>
      <w:r>
        <w:rPr>
          <w:rFonts w:ascii="Verdana" w:hAnsi="Verdana"/>
          <w:i/>
          <w:sz w:val="20"/>
          <w:lang w:val="es-ES_tradnl"/>
        </w:rPr>
        <w:t>supra</w:t>
      </w:r>
      <w:r>
        <w:rPr>
          <w:rFonts w:ascii="Verdana" w:hAnsi="Verdana"/>
          <w:sz w:val="20"/>
          <w:lang w:val="es-ES_tradnl"/>
        </w:rPr>
        <w:t xml:space="preserve"> 10.1, 10.3 y 10.6), desde que emitió su primera sentencia sobre reparaciones,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w:t>
      </w:r>
      <w:r>
        <w:rPr>
          <w:rFonts w:ascii="Verdana" w:hAnsi="Verdana"/>
          <w:sz w:val="20"/>
          <w:lang w:val="es-ES_tradnl"/>
        </w:rPr>
        <w:t xml:space="preserve">ha reconocido que las violaciones de los derechos protegidos crean para la víctima un derecho de reparación de las consecuencias que la infracción produjo que comprende el pago de una indemnización como compensación por los daños materiales y morales.  De </w:t>
      </w:r>
      <w:r>
        <w:rPr>
          <w:rFonts w:ascii="Verdana" w:hAnsi="Verdana"/>
          <w:sz w:val="20"/>
          <w:lang w:val="es-ES_tradnl"/>
        </w:rPr>
        <w:t>esta forma, para la restitución, en la medida de lo posible, al estado que había antes de las violaciones cometidas, la sentencia de reparaciones ha resuelto en este caso que el Estado debe facilitar las condiciones para que el interesado realice las gesti</w:t>
      </w:r>
      <w:r>
        <w:rPr>
          <w:rFonts w:ascii="Verdana" w:hAnsi="Verdana"/>
          <w:sz w:val="20"/>
          <w:lang w:val="es-ES_tradnl"/>
        </w:rPr>
        <w:t xml:space="preserve">ones conducentes a obtener las indemnizaciones correspondientes a las violaciones declaradas en la sentencia sobre el fondo </w:t>
      </w:r>
      <w:r>
        <w:rPr>
          <w:rFonts w:ascii="Verdana" w:hAnsi="Verdana"/>
          <w:i/>
          <w:sz w:val="20"/>
          <w:lang w:val="es-ES_tradnl"/>
        </w:rPr>
        <w:t xml:space="preserve">en un plazo razonable </w:t>
      </w:r>
      <w:r>
        <w:rPr>
          <w:rFonts w:ascii="Verdana" w:hAnsi="Verdana"/>
          <w:sz w:val="20"/>
          <w:lang w:val="es-ES_tradnl"/>
        </w:rPr>
        <w:t>(</w:t>
      </w:r>
      <w:r>
        <w:rPr>
          <w:rFonts w:ascii="Verdana" w:hAnsi="Verdana"/>
          <w:i/>
          <w:sz w:val="20"/>
          <w:lang w:val="es-ES_tradnl"/>
        </w:rPr>
        <w:t>supra</w:t>
      </w:r>
      <w:r>
        <w:rPr>
          <w:rFonts w:ascii="Verdana" w:hAnsi="Verdana"/>
          <w:sz w:val="20"/>
          <w:lang w:val="es-ES_tradnl"/>
        </w:rPr>
        <w:t xml:space="preserve"> 28, Resolutivo 1);</w:t>
      </w:r>
    </w:p>
    <w:p w:rsidR="00000000" w:rsidRDefault="00BD337A">
      <w:pPr>
        <w:numPr>
          <w:ilvl w:val="12"/>
          <w:numId w:val="0"/>
        </w:numPr>
        <w:ind w:right="43"/>
        <w:jc w:val="both"/>
        <w:rPr>
          <w:rFonts w:ascii="Verdana" w:hAnsi="Verdana"/>
          <w:sz w:val="20"/>
          <w:lang w:val="es-ES_tradnl"/>
        </w:rPr>
      </w:pPr>
    </w:p>
    <w:p w:rsidR="00000000" w:rsidRDefault="00BD337A">
      <w:pPr>
        <w:numPr>
          <w:ilvl w:val="0"/>
          <w:numId w:val="3"/>
        </w:numPr>
        <w:tabs>
          <w:tab w:val="left" w:pos="720"/>
          <w:tab w:val="left" w:pos="1080"/>
        </w:tabs>
        <w:ind w:left="0" w:right="43" w:firstLine="0"/>
        <w:jc w:val="both"/>
        <w:rPr>
          <w:rFonts w:ascii="Verdana" w:hAnsi="Verdana"/>
          <w:sz w:val="20"/>
          <w:lang w:val="es-ES_tradnl"/>
        </w:rPr>
      </w:pPr>
      <w:r>
        <w:rPr>
          <w:rFonts w:ascii="Verdana" w:hAnsi="Verdana"/>
          <w:sz w:val="20"/>
          <w:lang w:val="es-ES_tradnl"/>
        </w:rPr>
        <w:t>En lo que atañe al monto de la compensación por gastos y costos procesales (</w:t>
      </w:r>
      <w:r>
        <w:rPr>
          <w:rFonts w:ascii="Verdana" w:hAnsi="Verdana"/>
          <w:i/>
          <w:sz w:val="20"/>
          <w:lang w:val="es-ES_tradnl"/>
        </w:rPr>
        <w:t>supra</w:t>
      </w:r>
      <w:r>
        <w:rPr>
          <w:rFonts w:ascii="Verdana" w:hAnsi="Verdana"/>
          <w:sz w:val="20"/>
          <w:lang w:val="es-ES_tradnl"/>
        </w:rPr>
        <w:t xml:space="preserve"> 1</w:t>
      </w:r>
      <w:r>
        <w:rPr>
          <w:rFonts w:ascii="Verdana" w:hAnsi="Verdana"/>
          <w:sz w:val="20"/>
          <w:lang w:val="es-ES_tradnl"/>
        </w:rPr>
        <w:t xml:space="preserve">0.2),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su sentencia ya indicó claramente que los pagos específicos ordenados incluyen el monto por honorarios profesionales (</w:t>
      </w:r>
      <w:r>
        <w:rPr>
          <w:rFonts w:ascii="Verdana" w:hAnsi="Verdana"/>
          <w:i/>
          <w:sz w:val="20"/>
          <w:lang w:val="es-ES_tradnl"/>
        </w:rPr>
        <w:t>supra</w:t>
      </w:r>
      <w:r>
        <w:rPr>
          <w:rFonts w:ascii="Verdana" w:hAnsi="Verdana"/>
          <w:sz w:val="20"/>
          <w:lang w:val="es-ES_tradnl"/>
        </w:rPr>
        <w:t xml:space="preserve"> 29, Resolutivo 4);</w:t>
      </w:r>
    </w:p>
    <w:p w:rsidR="00000000" w:rsidRDefault="00BD337A">
      <w:pPr>
        <w:ind w:right="43"/>
        <w:jc w:val="both"/>
        <w:rPr>
          <w:rFonts w:ascii="Verdana" w:hAnsi="Verdana"/>
          <w:sz w:val="20"/>
          <w:lang w:val="es-ES_tradnl"/>
        </w:rPr>
      </w:pPr>
    </w:p>
    <w:p w:rsidR="00000000" w:rsidRDefault="00BD337A">
      <w:pPr>
        <w:jc w:val="both"/>
        <w:rPr>
          <w:rFonts w:ascii="Verdana" w:hAnsi="Verdana"/>
          <w:sz w:val="20"/>
          <w:lang w:val="es-ES_tradnl"/>
        </w:rPr>
      </w:pPr>
      <w:r>
        <w:rPr>
          <w:rFonts w:ascii="Verdana" w:hAnsi="Verdana"/>
          <w:sz w:val="20"/>
          <w:lang w:val="es-ES_tradnl"/>
        </w:rPr>
        <w:lastRenderedPageBreak/>
        <w:t>c)</w:t>
      </w:r>
      <w:r>
        <w:rPr>
          <w:rFonts w:ascii="Verdana" w:hAnsi="Verdana"/>
          <w:sz w:val="20"/>
          <w:lang w:val="es-ES_tradnl"/>
        </w:rPr>
        <w:tab/>
        <w:t>Asimismo, por lo que hace a percepciones económicas de las que se vio privado el señor Cest</w:t>
      </w:r>
      <w:r>
        <w:rPr>
          <w:rFonts w:ascii="Verdana" w:hAnsi="Verdana"/>
          <w:sz w:val="20"/>
          <w:lang w:val="es-ES_tradnl"/>
        </w:rPr>
        <w:t>i como consecuencia de la violación de sus derechos como accionista y funcionario de la empresa Top Security Asesores y Corredores de Seguros, S.A. (</w:t>
      </w:r>
      <w:r>
        <w:rPr>
          <w:rFonts w:ascii="Verdana" w:hAnsi="Verdana"/>
          <w:i/>
          <w:sz w:val="20"/>
          <w:lang w:val="es-ES_tradnl"/>
        </w:rPr>
        <w:t>supra</w:t>
      </w:r>
      <w:r>
        <w:rPr>
          <w:rFonts w:ascii="Verdana" w:hAnsi="Verdana"/>
          <w:sz w:val="20"/>
          <w:lang w:val="es-ES_tradnl"/>
        </w:rPr>
        <w:t xml:space="preserve"> 10.3), entre ellas los dividendos correspondientes a la participación accionaria, determina que se re</w:t>
      </w:r>
      <w:r>
        <w:rPr>
          <w:rFonts w:ascii="Verdana" w:hAnsi="Verdana"/>
          <w:sz w:val="20"/>
          <w:lang w:val="es-ES_tradnl"/>
        </w:rPr>
        <w:t>curra,</w:t>
      </w:r>
      <w:r>
        <w:rPr>
          <w:rFonts w:ascii="Verdana" w:hAnsi="Verdana"/>
          <w:b/>
          <w:sz w:val="20"/>
          <w:lang w:val="es-ES_tradnl"/>
        </w:rPr>
        <w:t xml:space="preserve"> </w:t>
      </w:r>
      <w:r>
        <w:rPr>
          <w:rFonts w:ascii="Verdana" w:hAnsi="Verdana"/>
          <w:sz w:val="20"/>
          <w:lang w:val="es-ES_tradnl"/>
        </w:rPr>
        <w:t>a la legislación nacional aplicable a esta materia</w:t>
      </w:r>
      <w:r>
        <w:rPr>
          <w:rStyle w:val="Refdenotaalpie"/>
          <w:rFonts w:ascii="Verdana" w:hAnsi="Verdana"/>
          <w:sz w:val="20"/>
          <w:lang w:val="es-ES_tradnl"/>
        </w:rPr>
        <w:footnoteReference w:id="7"/>
      </w:r>
      <w:r>
        <w:rPr>
          <w:rFonts w:ascii="Verdana" w:hAnsi="Verdana"/>
          <w:sz w:val="20"/>
          <w:lang w:val="es-ES_tradnl"/>
        </w:rPr>
        <w:t>;</w:t>
      </w:r>
    </w:p>
    <w:p w:rsidR="00000000" w:rsidRDefault="00BD337A">
      <w:pPr>
        <w:ind w:right="43"/>
        <w:jc w:val="both"/>
        <w:rPr>
          <w:rFonts w:ascii="Verdana" w:hAnsi="Verdana"/>
          <w:sz w:val="20"/>
          <w:lang w:val="es-ES_tradnl"/>
        </w:rPr>
      </w:pPr>
    </w:p>
    <w:p w:rsidR="00000000" w:rsidRDefault="00BD337A">
      <w:pPr>
        <w:ind w:right="43"/>
        <w:jc w:val="both"/>
        <w:rPr>
          <w:rFonts w:ascii="Verdana" w:hAnsi="Verdana"/>
          <w:sz w:val="20"/>
          <w:lang w:val="es-ES_tradnl"/>
        </w:rPr>
      </w:pPr>
      <w:r>
        <w:rPr>
          <w:rFonts w:ascii="Verdana" w:hAnsi="Verdana"/>
          <w:sz w:val="20"/>
          <w:lang w:val="es-ES_tradnl"/>
        </w:rPr>
        <w:t>d)</w:t>
      </w:r>
      <w:r>
        <w:rPr>
          <w:rFonts w:ascii="Verdana" w:hAnsi="Verdana"/>
          <w:sz w:val="20"/>
          <w:lang w:val="es-ES_tradnl"/>
        </w:rPr>
        <w:tab/>
        <w:t>La propia Corte señala en los párrafos 46 y 47 de su sentencia de fondo (</w:t>
      </w:r>
      <w:r>
        <w:rPr>
          <w:rFonts w:ascii="Verdana" w:hAnsi="Verdana"/>
          <w:i/>
          <w:sz w:val="20"/>
          <w:lang w:val="es-ES_tradnl"/>
        </w:rPr>
        <w:t>supra</w:t>
      </w:r>
      <w:r>
        <w:rPr>
          <w:rFonts w:ascii="Verdana" w:hAnsi="Verdana"/>
          <w:sz w:val="20"/>
          <w:lang w:val="es-ES_tradnl"/>
        </w:rPr>
        <w:t xml:space="preserve"> 28) que para dar cumplimiento a una reparación en beneficio del señor Cesti por concepto de daño material (</w:t>
      </w:r>
      <w:r>
        <w:rPr>
          <w:rFonts w:ascii="Verdana" w:hAnsi="Verdana"/>
          <w:i/>
          <w:sz w:val="20"/>
          <w:lang w:val="es-ES_tradnl"/>
        </w:rPr>
        <w:t>supra</w:t>
      </w:r>
      <w:r>
        <w:rPr>
          <w:rFonts w:ascii="Verdana" w:hAnsi="Verdana"/>
          <w:sz w:val="20"/>
          <w:lang w:val="es-ES_tradnl"/>
        </w:rPr>
        <w:t xml:space="preserve"> </w:t>
      </w:r>
      <w:r>
        <w:rPr>
          <w:rFonts w:ascii="Verdana" w:hAnsi="Verdana"/>
          <w:sz w:val="20"/>
          <w:lang w:val="es-ES_tradnl"/>
        </w:rPr>
        <w:t>10.4), las peticiones respectivas deben formularse por la parte interesada</w:t>
      </w:r>
      <w:r>
        <w:rPr>
          <w:rFonts w:ascii="Verdana" w:hAnsi="Verdana"/>
          <w:b/>
          <w:sz w:val="20"/>
          <w:lang w:val="es-ES_tradnl"/>
        </w:rPr>
        <w:t xml:space="preserve"> </w:t>
      </w:r>
      <w:r>
        <w:rPr>
          <w:rFonts w:ascii="Verdana" w:hAnsi="Verdana"/>
          <w:sz w:val="20"/>
          <w:lang w:val="es-ES_tradnl"/>
        </w:rPr>
        <w:t>a las autoridades nacionales competentes.  En efecto, son éstas las que deberán resolver lo que sea pertinente, bajo las normas peruanas correspondientes</w:t>
      </w:r>
      <w:r>
        <w:rPr>
          <w:rStyle w:val="Refdenotaalpie"/>
          <w:rFonts w:ascii="Verdana" w:hAnsi="Verdana"/>
          <w:sz w:val="20"/>
          <w:lang w:val="es-ES_tradnl"/>
        </w:rPr>
        <w:footnoteReference w:id="8"/>
      </w:r>
      <w:r>
        <w:rPr>
          <w:rFonts w:ascii="Verdana" w:hAnsi="Verdana"/>
          <w:sz w:val="20"/>
          <w:lang w:val="es-ES_tradnl"/>
        </w:rPr>
        <w:t>.</w:t>
      </w:r>
    </w:p>
    <w:p w:rsidR="00000000" w:rsidRDefault="00BD337A">
      <w:pPr>
        <w:ind w:right="43"/>
        <w:jc w:val="both"/>
        <w:rPr>
          <w:rFonts w:ascii="Verdana" w:hAnsi="Verdana"/>
          <w:sz w:val="20"/>
          <w:lang w:val="es-ES_tradnl"/>
        </w:rPr>
      </w:pPr>
    </w:p>
    <w:p w:rsidR="00000000" w:rsidRDefault="00BD337A">
      <w:pPr>
        <w:pStyle w:val="BodyText2"/>
        <w:ind w:right="0"/>
        <w:rPr>
          <w:rFonts w:ascii="Verdana" w:hAnsi="Verdana"/>
          <w:sz w:val="20"/>
          <w:lang w:val="es-ES_tradnl"/>
        </w:rPr>
      </w:pPr>
      <w:r>
        <w:rPr>
          <w:rFonts w:ascii="Verdana" w:hAnsi="Verdana"/>
          <w:sz w:val="20"/>
          <w:lang w:val="es-ES_tradnl"/>
        </w:rPr>
        <w:t>e)</w:t>
      </w:r>
      <w:r>
        <w:rPr>
          <w:rFonts w:ascii="Verdana" w:hAnsi="Verdana"/>
          <w:sz w:val="20"/>
          <w:lang w:val="es-ES_tradnl"/>
        </w:rPr>
        <w:tab/>
        <w:t>Las gestiones conduce</w:t>
      </w:r>
      <w:r>
        <w:rPr>
          <w:rFonts w:ascii="Verdana" w:hAnsi="Verdana"/>
          <w:sz w:val="20"/>
          <w:lang w:val="es-ES_tradnl"/>
        </w:rPr>
        <w:t>ntes a la indemnización por daños materiales a favor del señor Cesti Hurtado, deberán ser promovidas ante el Estado peruano para que éste facilite de buena fe el acceso de la víctima a los procedimientos pertinentes de derecho interno.  En este sentido, el</w:t>
      </w:r>
      <w:r>
        <w:rPr>
          <w:rFonts w:ascii="Verdana" w:hAnsi="Verdana"/>
          <w:sz w:val="20"/>
          <w:lang w:val="es-ES_tradnl"/>
        </w:rPr>
        <w:t xml:space="preserve"> Estado peruano tiene la precisa obligación de recibir, atender y resolver esas reclamaciones como legalmente corresponda y dentro de un plazo razonable.</w:t>
      </w:r>
    </w:p>
    <w:p w:rsidR="00000000" w:rsidRDefault="00BD337A">
      <w:pPr>
        <w:ind w:right="43"/>
        <w:jc w:val="both"/>
        <w:rPr>
          <w:rFonts w:ascii="Verdana" w:hAnsi="Verdana"/>
          <w:sz w:val="20"/>
          <w:lang w:val="es-ES_tradnl"/>
        </w:rPr>
      </w:pPr>
    </w:p>
    <w:p w:rsidR="00000000" w:rsidRDefault="00BD337A">
      <w:pPr>
        <w:ind w:right="43"/>
        <w:jc w:val="both"/>
        <w:rPr>
          <w:rFonts w:ascii="Verdana" w:hAnsi="Verdana"/>
          <w:sz w:val="20"/>
          <w:lang w:val="es-ES_tradnl"/>
        </w:rPr>
      </w:pPr>
      <w:r>
        <w:rPr>
          <w:rFonts w:ascii="Verdana" w:hAnsi="Verdana"/>
          <w:sz w:val="20"/>
          <w:lang w:val="es-ES_tradnl"/>
        </w:rPr>
        <w:t>33.</w:t>
      </w:r>
      <w:r>
        <w:rPr>
          <w:rFonts w:ascii="Verdana" w:hAnsi="Verdana"/>
          <w:sz w:val="20"/>
          <w:lang w:val="es-ES_tradnl"/>
        </w:rPr>
        <w:tab/>
        <w:t>De conformidad con lo anteriormente señalado, han quedado atendidas expresamente todas las repara</w:t>
      </w:r>
      <w:r>
        <w:rPr>
          <w:rFonts w:ascii="Verdana" w:hAnsi="Verdana"/>
          <w:sz w:val="20"/>
          <w:lang w:val="es-ES_tradnl"/>
        </w:rPr>
        <w:t xml:space="preserve">ciones aplicables al presente caso y se ha establecido cuáles son. </w:t>
      </w:r>
    </w:p>
    <w:p w:rsidR="00000000" w:rsidRDefault="00BD337A">
      <w:pPr>
        <w:jc w:val="both"/>
        <w:rPr>
          <w:rFonts w:ascii="Verdana" w:hAnsi="Verdana"/>
          <w:sz w:val="20"/>
          <w:lang w:val="es-ES_tradnl"/>
        </w:rPr>
      </w:pPr>
    </w:p>
    <w:p w:rsidR="00000000" w:rsidRDefault="00BD337A">
      <w:pPr>
        <w:jc w:val="both"/>
        <w:rPr>
          <w:rFonts w:ascii="Verdana" w:hAnsi="Verdana"/>
          <w:sz w:val="20"/>
          <w:lang w:val="es-ES_tradnl"/>
        </w:rPr>
      </w:pPr>
    </w:p>
    <w:p w:rsidR="00000000" w:rsidRDefault="00BD337A">
      <w:pPr>
        <w:jc w:val="center"/>
        <w:rPr>
          <w:rFonts w:ascii="Verdana" w:hAnsi="Verdana"/>
          <w:b/>
          <w:sz w:val="20"/>
          <w:lang w:val="es-ES_tradnl"/>
        </w:rPr>
      </w:pPr>
      <w:r>
        <w:rPr>
          <w:rFonts w:ascii="Verdana" w:hAnsi="Verdana"/>
          <w:b/>
          <w:sz w:val="20"/>
          <w:lang w:val="es-ES_tradnl"/>
        </w:rPr>
        <w:t>VII</w:t>
      </w:r>
    </w:p>
    <w:p w:rsidR="00000000" w:rsidRDefault="00BD337A">
      <w:pPr>
        <w:jc w:val="both"/>
        <w:rPr>
          <w:rFonts w:ascii="Verdana" w:hAnsi="Verdana"/>
          <w:sz w:val="20"/>
          <w:lang w:val="es-ES_tradnl"/>
        </w:rPr>
      </w:pPr>
    </w:p>
    <w:p w:rsidR="00000000" w:rsidRDefault="00BD337A">
      <w:pPr>
        <w:jc w:val="both"/>
        <w:rPr>
          <w:rFonts w:ascii="Verdana" w:hAnsi="Verdana"/>
          <w:sz w:val="20"/>
          <w:lang w:val="es-ES_tradnl"/>
        </w:rPr>
      </w:pPr>
      <w:r>
        <w:rPr>
          <w:rFonts w:ascii="Verdana" w:hAnsi="Verdana"/>
          <w:sz w:val="20"/>
          <w:lang w:val="es-ES_tradnl"/>
        </w:rPr>
        <w:t>34.</w:t>
      </w:r>
      <w:r>
        <w:rPr>
          <w:rFonts w:ascii="Verdana" w:hAnsi="Verdana"/>
          <w:sz w:val="20"/>
          <w:lang w:val="es-ES_tradnl"/>
        </w:rPr>
        <w:tab/>
        <w:t>Por las razones expuestas,</w:t>
      </w:r>
    </w:p>
    <w:p w:rsidR="00000000" w:rsidRDefault="00BD337A">
      <w:pPr>
        <w:jc w:val="both"/>
        <w:rPr>
          <w:rFonts w:ascii="Verdana" w:hAnsi="Verdana"/>
          <w:sz w:val="20"/>
          <w:lang w:val="es-ES_tradnl"/>
        </w:rPr>
      </w:pPr>
    </w:p>
    <w:p w:rsidR="00000000" w:rsidRDefault="00BD337A">
      <w:pPr>
        <w:jc w:val="both"/>
        <w:rPr>
          <w:rFonts w:ascii="Verdana" w:hAnsi="Verdana"/>
          <w:b/>
          <w:sz w:val="20"/>
          <w:lang w:val="es-ES_tradnl"/>
        </w:rPr>
      </w:pPr>
      <w:r>
        <w:rPr>
          <w:rFonts w:ascii="Verdana" w:hAnsi="Verdana"/>
          <w:b/>
          <w:smallCaps/>
          <w:sz w:val="20"/>
          <w:lang w:val="es-ES_tradnl"/>
        </w:rPr>
        <w:tab/>
      </w:r>
      <w:smartTag w:uri="urn:schemas-microsoft-com:office:smarttags" w:element="PersonName">
        <w:smartTagPr>
          <w:attr w:name="ProductID" w:val="la Corte Interamericana"/>
        </w:smartTagPr>
        <w:r>
          <w:rPr>
            <w:rFonts w:ascii="Verdana" w:hAnsi="Verdana"/>
            <w:b/>
            <w:sz w:val="20"/>
            <w:lang w:val="es-ES_tradnl"/>
          </w:rPr>
          <w:t>LA CORTE INTERAMERICANA</w:t>
        </w:r>
      </w:smartTag>
      <w:r>
        <w:rPr>
          <w:rFonts w:ascii="Verdana" w:hAnsi="Verdana"/>
          <w:b/>
          <w:sz w:val="20"/>
          <w:lang w:val="es-ES_tradnl"/>
        </w:rPr>
        <w:t xml:space="preserve"> DE DERECHOS HUMANOS</w:t>
      </w:r>
    </w:p>
    <w:p w:rsidR="00000000" w:rsidRDefault="00BD337A">
      <w:pPr>
        <w:jc w:val="both"/>
        <w:rPr>
          <w:rFonts w:ascii="Verdana" w:hAnsi="Verdana"/>
          <w:b/>
          <w:smallCaps/>
          <w:sz w:val="20"/>
          <w:lang w:val="es-ES_tradnl"/>
        </w:rPr>
      </w:pPr>
    </w:p>
    <w:p w:rsidR="00000000" w:rsidRDefault="00BD337A">
      <w:pPr>
        <w:jc w:val="both"/>
        <w:rPr>
          <w:rFonts w:ascii="Verdana" w:hAnsi="Verdana"/>
          <w:smallCaps/>
          <w:sz w:val="20"/>
          <w:lang w:val="es-ES_tradnl"/>
        </w:rPr>
      </w:pPr>
      <w:proofErr w:type="gramStart"/>
      <w:r>
        <w:rPr>
          <w:rFonts w:ascii="Verdana" w:hAnsi="Verdana"/>
          <w:sz w:val="20"/>
          <w:lang w:val="es-ES_tradnl"/>
        </w:rPr>
        <w:t>de</w:t>
      </w:r>
      <w:proofErr w:type="gramEnd"/>
      <w:r>
        <w:rPr>
          <w:rFonts w:ascii="Verdana" w:hAnsi="Verdana"/>
          <w:sz w:val="20"/>
          <w:lang w:val="es-ES_tradnl"/>
        </w:rPr>
        <w:t xml:space="preserve"> conformidad con el artículo 67 de </w:t>
      </w:r>
      <w:smartTag w:uri="urn:schemas-microsoft-com:office:smarttags" w:element="PersonName">
        <w:smartTagPr>
          <w:attr w:name="ProductID" w:val="la Convenci￳n"/>
        </w:smartTagPr>
        <w:r>
          <w:rPr>
            <w:rFonts w:ascii="Verdana" w:hAnsi="Verdana"/>
            <w:sz w:val="20"/>
            <w:lang w:val="es-ES_tradnl"/>
          </w:rPr>
          <w:t>la Convención</w:t>
        </w:r>
      </w:smartTag>
      <w:r>
        <w:rPr>
          <w:rFonts w:ascii="Verdana" w:hAnsi="Verdana"/>
          <w:sz w:val="20"/>
          <w:lang w:val="es-ES_tradnl"/>
        </w:rPr>
        <w:t xml:space="preserve"> y el artículo 58 del Reglamento</w:t>
      </w:r>
    </w:p>
    <w:p w:rsidR="00000000" w:rsidRDefault="00BD337A">
      <w:pPr>
        <w:jc w:val="both"/>
        <w:rPr>
          <w:rFonts w:ascii="Verdana" w:hAnsi="Verdana"/>
          <w:b/>
          <w:smallCaps/>
          <w:sz w:val="20"/>
          <w:lang w:val="es-ES_tradnl"/>
        </w:rPr>
      </w:pPr>
    </w:p>
    <w:p w:rsidR="00000000" w:rsidRDefault="00BD337A">
      <w:pPr>
        <w:jc w:val="both"/>
        <w:rPr>
          <w:rFonts w:ascii="Verdana" w:hAnsi="Verdana"/>
          <w:b/>
          <w:smallCaps/>
          <w:sz w:val="20"/>
          <w:lang w:val="es-ES_tradnl"/>
        </w:rPr>
      </w:pPr>
    </w:p>
    <w:p w:rsidR="00000000" w:rsidRDefault="00BD337A">
      <w:pPr>
        <w:jc w:val="both"/>
        <w:rPr>
          <w:rFonts w:ascii="Verdana" w:hAnsi="Verdana"/>
          <w:b/>
          <w:caps/>
          <w:sz w:val="20"/>
          <w:lang w:val="es-ES_tradnl"/>
        </w:rPr>
      </w:pPr>
      <w:r>
        <w:rPr>
          <w:rFonts w:ascii="Verdana" w:hAnsi="Verdana"/>
          <w:b/>
          <w:smallCaps/>
          <w:sz w:val="20"/>
          <w:lang w:val="es-ES_tradnl"/>
        </w:rPr>
        <w:tab/>
      </w:r>
      <w:r>
        <w:rPr>
          <w:rFonts w:ascii="Verdana" w:hAnsi="Verdana"/>
          <w:b/>
          <w:caps/>
          <w:sz w:val="20"/>
          <w:lang w:val="es-ES_tradnl"/>
        </w:rPr>
        <w:t>Decide:</w:t>
      </w:r>
    </w:p>
    <w:p w:rsidR="00000000" w:rsidRDefault="00BD337A">
      <w:pPr>
        <w:jc w:val="both"/>
        <w:rPr>
          <w:rFonts w:ascii="Verdana" w:hAnsi="Verdana"/>
          <w:b/>
          <w:smallCaps/>
          <w:sz w:val="20"/>
          <w:lang w:val="es-ES_tradnl"/>
        </w:rPr>
      </w:pPr>
    </w:p>
    <w:p w:rsidR="00000000" w:rsidRDefault="00BD337A">
      <w:pPr>
        <w:pStyle w:val="Encabezado"/>
        <w:tabs>
          <w:tab w:val="clear" w:pos="4320"/>
          <w:tab w:val="clear" w:pos="8640"/>
        </w:tabs>
        <w:rPr>
          <w:rFonts w:ascii="Verdana" w:hAnsi="Verdana"/>
          <w:sz w:val="20"/>
          <w:lang w:val="es-ES_tradnl"/>
        </w:rPr>
      </w:pPr>
      <w:proofErr w:type="gramStart"/>
      <w:r>
        <w:rPr>
          <w:rFonts w:ascii="Verdana" w:hAnsi="Verdana"/>
          <w:sz w:val="20"/>
          <w:lang w:val="es-ES_tradnl"/>
        </w:rPr>
        <w:t>por</w:t>
      </w:r>
      <w:proofErr w:type="gramEnd"/>
      <w:r>
        <w:rPr>
          <w:rFonts w:ascii="Verdana" w:hAnsi="Verdana"/>
          <w:sz w:val="20"/>
          <w:lang w:val="es-ES_tradnl"/>
        </w:rPr>
        <w:t xml:space="preserve"> unan</w:t>
      </w:r>
      <w:r>
        <w:rPr>
          <w:rFonts w:ascii="Verdana" w:hAnsi="Verdana"/>
          <w:sz w:val="20"/>
          <w:lang w:val="es-ES_tradnl"/>
        </w:rPr>
        <w:t>imidad,</w:t>
      </w:r>
    </w:p>
    <w:p w:rsidR="00000000" w:rsidRDefault="00BD337A">
      <w:pPr>
        <w:pStyle w:val="Encabezado"/>
        <w:tabs>
          <w:tab w:val="clear" w:pos="4320"/>
          <w:tab w:val="clear" w:pos="8640"/>
        </w:tabs>
        <w:rPr>
          <w:rFonts w:ascii="Verdana" w:hAnsi="Verdana"/>
          <w:sz w:val="20"/>
          <w:lang w:val="es-ES_tradnl"/>
        </w:rPr>
      </w:pPr>
    </w:p>
    <w:p w:rsidR="00000000" w:rsidRDefault="00BD337A">
      <w:pPr>
        <w:jc w:val="both"/>
        <w:rPr>
          <w:rFonts w:ascii="Verdana" w:hAnsi="Verdana"/>
          <w:sz w:val="20"/>
          <w:lang w:val="es-ES_tradnl"/>
        </w:rPr>
      </w:pPr>
      <w:r>
        <w:rPr>
          <w:rFonts w:ascii="Verdana" w:hAnsi="Verdana"/>
          <w:sz w:val="20"/>
          <w:lang w:val="es-ES_tradnl"/>
        </w:rPr>
        <w:t>1.</w:t>
      </w:r>
      <w:r>
        <w:rPr>
          <w:rFonts w:ascii="Verdana" w:hAnsi="Verdana"/>
          <w:sz w:val="20"/>
          <w:lang w:val="es-ES_tradnl"/>
        </w:rPr>
        <w:tab/>
        <w:t xml:space="preserve">Que es admisible la demanda de interpretación de la sentencia de 31 de mayo de 2001 en el caso Cesti Hurtado, </w:t>
      </w:r>
      <w:proofErr w:type="gramStart"/>
      <w:r>
        <w:rPr>
          <w:rFonts w:ascii="Verdana" w:hAnsi="Verdana"/>
          <w:sz w:val="20"/>
          <w:lang w:val="es-ES_tradnl"/>
        </w:rPr>
        <w:t>interpuesta</w:t>
      </w:r>
      <w:proofErr w:type="gramEnd"/>
      <w:r>
        <w:rPr>
          <w:rFonts w:ascii="Verdana" w:hAnsi="Verdana"/>
          <w:sz w:val="20"/>
          <w:lang w:val="es-ES_tradnl"/>
        </w:rPr>
        <w:t xml:space="preserve"> por el señor Gustavo Adolfo Cesti Hurtado.</w:t>
      </w:r>
    </w:p>
    <w:p w:rsidR="00000000" w:rsidRDefault="00BD337A">
      <w:pPr>
        <w:jc w:val="both"/>
        <w:rPr>
          <w:rFonts w:ascii="Verdana" w:hAnsi="Verdana"/>
          <w:sz w:val="20"/>
          <w:lang w:val="es-ES_tradnl"/>
        </w:rPr>
      </w:pPr>
    </w:p>
    <w:p w:rsidR="00000000" w:rsidRDefault="00BD337A">
      <w:pPr>
        <w:pStyle w:val="Textoindependiente"/>
        <w:widowControl/>
        <w:rPr>
          <w:rFonts w:ascii="Verdana" w:hAnsi="Verdana"/>
          <w:sz w:val="20"/>
          <w:lang w:val="es-ES_tradnl"/>
        </w:rPr>
      </w:pPr>
      <w:r>
        <w:rPr>
          <w:rFonts w:ascii="Verdana" w:hAnsi="Verdana"/>
          <w:sz w:val="20"/>
          <w:lang w:val="es-ES_tradnl"/>
        </w:rPr>
        <w:lastRenderedPageBreak/>
        <w:t>2.</w:t>
      </w:r>
      <w:r>
        <w:rPr>
          <w:rFonts w:ascii="Verdana" w:hAnsi="Verdana"/>
          <w:sz w:val="20"/>
          <w:lang w:val="es-ES_tradnl"/>
        </w:rPr>
        <w:tab/>
        <w:t>Que es improcedente la solicitud del señor Cesti para la realización de una</w:t>
      </w:r>
      <w:r>
        <w:rPr>
          <w:rFonts w:ascii="Verdana" w:hAnsi="Verdana"/>
          <w:sz w:val="20"/>
          <w:lang w:val="es-ES_tradnl"/>
        </w:rPr>
        <w:t xml:space="preserve"> audiencia pública sobre la demanda de interpretación de la sentencia de reparaciones.  </w:t>
      </w:r>
    </w:p>
    <w:p w:rsidR="00000000" w:rsidRDefault="00BD337A">
      <w:pPr>
        <w:jc w:val="both"/>
        <w:rPr>
          <w:rFonts w:ascii="Verdana" w:hAnsi="Verdana"/>
          <w:sz w:val="20"/>
          <w:lang w:val="es-ES_tradnl"/>
        </w:rPr>
      </w:pPr>
    </w:p>
    <w:p w:rsidR="00000000" w:rsidRDefault="00BD337A">
      <w:pPr>
        <w:jc w:val="both"/>
        <w:rPr>
          <w:rFonts w:ascii="Verdana" w:hAnsi="Verdana"/>
          <w:sz w:val="20"/>
          <w:lang w:val="es-ES_tradnl"/>
        </w:rPr>
      </w:pPr>
      <w:r>
        <w:rPr>
          <w:rFonts w:ascii="Verdana" w:hAnsi="Verdana"/>
          <w:sz w:val="20"/>
          <w:lang w:val="es-ES_tradnl"/>
        </w:rPr>
        <w:t>3.</w:t>
      </w:r>
      <w:r>
        <w:rPr>
          <w:rFonts w:ascii="Verdana" w:hAnsi="Verdana"/>
          <w:sz w:val="20"/>
          <w:lang w:val="es-ES_tradnl"/>
        </w:rPr>
        <w:tab/>
        <w:t>Que el Estado del Perú debe proceder a fijar la indemnización que pudiera corresponderle al señor Gustavo Adolfo Cesti Hurtado por los daños materiales causados, a</w:t>
      </w:r>
      <w:r>
        <w:rPr>
          <w:rFonts w:ascii="Verdana" w:hAnsi="Verdana"/>
          <w:sz w:val="20"/>
          <w:lang w:val="es-ES_tradnl"/>
        </w:rPr>
        <w:t xml:space="preserve"> efectos de lo cual deberá facilitar de buena fe el acceso del señor Cesti a los procedimientos pertinentes de derecho interno con el fin de que la víctima obtenga la mencionada indemnización, si hubiere lugar a ella, dentro de un plazo razonable.</w:t>
      </w:r>
    </w:p>
    <w:p w:rsidR="00000000" w:rsidRDefault="00BD337A">
      <w:pPr>
        <w:jc w:val="both"/>
        <w:rPr>
          <w:rFonts w:ascii="Verdana" w:hAnsi="Verdana"/>
          <w:sz w:val="20"/>
          <w:lang w:val="es-ES_tradnl"/>
        </w:rPr>
      </w:pPr>
    </w:p>
    <w:p w:rsidR="00000000" w:rsidRDefault="00BD337A">
      <w:pPr>
        <w:jc w:val="both"/>
        <w:rPr>
          <w:rFonts w:ascii="Verdana" w:hAnsi="Verdana"/>
          <w:sz w:val="20"/>
          <w:lang w:val="es-ES_tradnl"/>
        </w:rPr>
      </w:pPr>
    </w:p>
    <w:p w:rsidR="00000000" w:rsidRDefault="00BD337A">
      <w:pPr>
        <w:jc w:val="both"/>
        <w:rPr>
          <w:rFonts w:ascii="Verdana" w:hAnsi="Verdana"/>
          <w:b/>
          <w:sz w:val="20"/>
          <w:lang w:val="es-ES_tradnl"/>
        </w:rPr>
      </w:pPr>
      <w:r>
        <w:rPr>
          <w:rFonts w:ascii="Verdana" w:hAnsi="Verdana"/>
          <w:sz w:val="20"/>
          <w:lang w:val="es-ES_tradnl"/>
        </w:rPr>
        <w:t>Redact</w:t>
      </w:r>
      <w:r>
        <w:rPr>
          <w:rFonts w:ascii="Verdana" w:hAnsi="Verdana"/>
          <w:sz w:val="20"/>
          <w:lang w:val="es-ES_tradnl"/>
        </w:rPr>
        <w:t xml:space="preserve">ada en español e inglés haciendo fe el texto en español, en la sede de </w:t>
      </w:r>
      <w:smartTag w:uri="urn:schemas-microsoft-com:office:smarttags" w:element="PersonName">
        <w:smartTagPr>
          <w:attr w:name="ProductID" w:val="la Corte"/>
        </w:smartTagPr>
        <w:r>
          <w:rPr>
            <w:rFonts w:ascii="Verdana" w:hAnsi="Verdana"/>
            <w:sz w:val="20"/>
            <w:lang w:val="es-ES_tradnl"/>
          </w:rPr>
          <w:t>la Corte</w:t>
        </w:r>
      </w:smartTag>
      <w:r>
        <w:rPr>
          <w:rFonts w:ascii="Verdana" w:hAnsi="Verdana"/>
          <w:sz w:val="20"/>
          <w:lang w:val="es-ES_tradnl"/>
        </w:rPr>
        <w:t xml:space="preserve"> en San José, Costa Rica, el día 27 de noviembre 2001.</w:t>
      </w:r>
    </w:p>
    <w:p w:rsidR="00000000" w:rsidRDefault="00BD337A">
      <w:pPr>
        <w:jc w:val="both"/>
        <w:rPr>
          <w:rFonts w:ascii="Verdana" w:hAnsi="Verdana"/>
          <w:b/>
          <w:sz w:val="20"/>
          <w:lang w:val="es-ES_tradnl"/>
        </w:rPr>
      </w:pPr>
    </w:p>
    <w:p w:rsidR="00000000" w:rsidRDefault="00BD337A">
      <w:pPr>
        <w:pStyle w:val="Epgrafe"/>
        <w:rPr>
          <w:rFonts w:ascii="Verdana" w:hAnsi="Verdana"/>
          <w:b w:val="0"/>
          <w:smallCaps w:val="0"/>
          <w:sz w:val="20"/>
          <w:lang w:val="es-ES_tradnl"/>
        </w:rPr>
      </w:pPr>
    </w:p>
    <w:p w:rsidR="00000000" w:rsidRDefault="00BD337A">
      <w:pPr>
        <w:pStyle w:val="Epgrafe"/>
        <w:rPr>
          <w:rFonts w:ascii="Verdana" w:hAnsi="Verdana"/>
          <w:b w:val="0"/>
          <w:smallCaps w:val="0"/>
          <w:sz w:val="20"/>
          <w:lang w:val="es-ES_tradnl"/>
        </w:rPr>
      </w:pPr>
    </w:p>
    <w:p w:rsidR="00000000" w:rsidRDefault="00BD337A">
      <w:pPr>
        <w:tabs>
          <w:tab w:val="left" w:pos="0"/>
        </w:tabs>
        <w:jc w:val="center"/>
        <w:rPr>
          <w:rFonts w:ascii="Verdana" w:hAnsi="Verdana"/>
          <w:sz w:val="20"/>
          <w:lang w:val="es-ES_tradnl"/>
        </w:rPr>
      </w:pPr>
      <w:r>
        <w:rPr>
          <w:rFonts w:ascii="Verdana" w:hAnsi="Verdana"/>
          <w:sz w:val="20"/>
          <w:lang w:val="es-ES_tradnl"/>
        </w:rPr>
        <w:t>Antônio A. Cançado Trindade</w:t>
      </w:r>
    </w:p>
    <w:p w:rsidR="00000000" w:rsidRDefault="00BD337A">
      <w:pPr>
        <w:jc w:val="center"/>
        <w:rPr>
          <w:rFonts w:ascii="Verdana" w:hAnsi="Verdana"/>
          <w:sz w:val="20"/>
          <w:lang w:val="es-ES_tradnl"/>
        </w:rPr>
      </w:pPr>
      <w:r>
        <w:rPr>
          <w:rFonts w:ascii="Verdana" w:hAnsi="Verdana"/>
          <w:sz w:val="20"/>
          <w:lang w:val="es-ES_tradnl"/>
        </w:rPr>
        <w:t>Presidente</w:t>
      </w:r>
    </w:p>
    <w:p w:rsidR="00000000" w:rsidRDefault="00BD337A">
      <w:pPr>
        <w:pStyle w:val="Encabezado"/>
        <w:tabs>
          <w:tab w:val="clear" w:pos="4320"/>
          <w:tab w:val="clear" w:pos="8640"/>
          <w:tab w:val="right" w:pos="8550"/>
        </w:tabs>
        <w:rPr>
          <w:rFonts w:ascii="Verdana" w:hAnsi="Verdana"/>
          <w:sz w:val="20"/>
          <w:lang w:val="es-ES_tradnl"/>
        </w:rPr>
      </w:pPr>
      <w:r>
        <w:rPr>
          <w:rFonts w:ascii="Verdana" w:hAnsi="Verdana"/>
          <w:sz w:val="20"/>
          <w:lang w:val="es-ES_tradnl"/>
        </w:rPr>
        <w:tab/>
      </w:r>
    </w:p>
    <w:p w:rsidR="00000000" w:rsidRDefault="00BD337A">
      <w:pPr>
        <w:pStyle w:val="Init1"/>
        <w:tabs>
          <w:tab w:val="clear" w:pos="600"/>
          <w:tab w:val="clear" w:pos="1200"/>
          <w:tab w:val="clear" w:pos="1800"/>
          <w:tab w:val="clear" w:pos="4320"/>
          <w:tab w:val="clear" w:pos="6240"/>
          <w:tab w:val="clear" w:pos="8760"/>
          <w:tab w:val="right" w:pos="8010"/>
        </w:tabs>
        <w:spacing w:line="240" w:lineRule="auto"/>
        <w:rPr>
          <w:rFonts w:ascii="Verdana" w:hAnsi="Verdana"/>
          <w:sz w:val="20"/>
          <w:lang w:val="es-ES_tradnl"/>
        </w:rPr>
      </w:pPr>
      <w:r>
        <w:rPr>
          <w:rFonts w:ascii="Verdana" w:hAnsi="Verdana"/>
          <w:sz w:val="20"/>
          <w:lang w:val="es-ES_tradnl"/>
        </w:rPr>
        <w:t>Hernán Salgado Pesantes</w:t>
      </w:r>
      <w:r>
        <w:rPr>
          <w:rFonts w:ascii="Verdana" w:hAnsi="Verdana"/>
          <w:sz w:val="20"/>
          <w:lang w:val="es-ES_tradnl"/>
        </w:rPr>
        <w:tab/>
        <w:t>Alirio Abreu Burelli</w:t>
      </w:r>
    </w:p>
    <w:p w:rsidR="00000000" w:rsidRDefault="00BD337A">
      <w:pPr>
        <w:tabs>
          <w:tab w:val="right" w:pos="8640"/>
        </w:tabs>
        <w:jc w:val="both"/>
        <w:rPr>
          <w:rFonts w:ascii="Verdana" w:hAnsi="Verdana"/>
          <w:sz w:val="20"/>
          <w:lang w:val="es-ES_tradnl"/>
        </w:rPr>
      </w:pPr>
      <w:r>
        <w:rPr>
          <w:rFonts w:ascii="Verdana" w:hAnsi="Verdana"/>
          <w:sz w:val="20"/>
          <w:lang w:val="es-ES_tradnl"/>
        </w:rPr>
        <w:tab/>
      </w:r>
    </w:p>
    <w:p w:rsidR="00000000" w:rsidRDefault="00BD337A">
      <w:pPr>
        <w:pStyle w:val="Init1"/>
        <w:tabs>
          <w:tab w:val="clear" w:pos="600"/>
          <w:tab w:val="clear" w:pos="1200"/>
          <w:tab w:val="clear" w:pos="1800"/>
          <w:tab w:val="clear" w:pos="4320"/>
          <w:tab w:val="clear" w:pos="6240"/>
          <w:tab w:val="clear" w:pos="8760"/>
          <w:tab w:val="right" w:pos="8550"/>
        </w:tabs>
        <w:spacing w:line="240" w:lineRule="auto"/>
        <w:rPr>
          <w:rFonts w:ascii="Verdana" w:hAnsi="Verdana"/>
          <w:sz w:val="20"/>
          <w:lang w:val="es-ES_tradnl"/>
        </w:rPr>
      </w:pPr>
      <w:r>
        <w:rPr>
          <w:rFonts w:ascii="Verdana" w:hAnsi="Verdana"/>
          <w:sz w:val="20"/>
          <w:lang w:val="es-ES_tradnl"/>
        </w:rPr>
        <w:t>Sergio García Ramírez</w:t>
      </w:r>
      <w:r>
        <w:rPr>
          <w:rFonts w:ascii="Verdana" w:hAnsi="Verdana"/>
          <w:sz w:val="20"/>
          <w:lang w:val="es-ES_tradnl"/>
        </w:rPr>
        <w:tab/>
        <w:t>Carlos Vi</w:t>
      </w:r>
      <w:r>
        <w:rPr>
          <w:rFonts w:ascii="Verdana" w:hAnsi="Verdana"/>
          <w:sz w:val="20"/>
          <w:lang w:val="es-ES_tradnl"/>
        </w:rPr>
        <w:t>cente de Roux Rengifo</w:t>
      </w:r>
    </w:p>
    <w:p w:rsidR="00000000" w:rsidRDefault="00BD337A">
      <w:pPr>
        <w:tabs>
          <w:tab w:val="right" w:pos="7920"/>
        </w:tabs>
        <w:ind w:firstLine="540"/>
        <w:jc w:val="both"/>
        <w:rPr>
          <w:rFonts w:ascii="Verdana" w:hAnsi="Verdana"/>
          <w:sz w:val="20"/>
          <w:lang w:val="es-ES_tradnl"/>
        </w:rPr>
      </w:pPr>
    </w:p>
    <w:p w:rsidR="00000000" w:rsidRDefault="00BD337A">
      <w:pPr>
        <w:tabs>
          <w:tab w:val="right" w:pos="8550"/>
        </w:tabs>
        <w:jc w:val="center"/>
        <w:rPr>
          <w:rFonts w:ascii="Verdana" w:hAnsi="Verdana"/>
          <w:sz w:val="20"/>
          <w:lang w:val="es-ES_tradnl"/>
        </w:rPr>
      </w:pPr>
    </w:p>
    <w:p w:rsidR="00000000" w:rsidRDefault="00BD337A">
      <w:pPr>
        <w:tabs>
          <w:tab w:val="right" w:pos="8550"/>
        </w:tabs>
        <w:jc w:val="center"/>
        <w:rPr>
          <w:rFonts w:ascii="Verdana" w:hAnsi="Verdana"/>
          <w:sz w:val="20"/>
          <w:lang w:val="es-ES_tradnl"/>
        </w:rPr>
      </w:pPr>
    </w:p>
    <w:p w:rsidR="00000000" w:rsidRDefault="00BD337A">
      <w:pPr>
        <w:jc w:val="center"/>
        <w:rPr>
          <w:rFonts w:ascii="Verdana" w:hAnsi="Verdana"/>
          <w:sz w:val="20"/>
          <w:lang w:val="es-ES_tradnl"/>
        </w:rPr>
      </w:pPr>
      <w:r>
        <w:rPr>
          <w:rFonts w:ascii="Verdana" w:hAnsi="Verdana"/>
          <w:sz w:val="20"/>
          <w:lang w:val="es-ES_tradnl"/>
        </w:rPr>
        <w:t>Manuel E. Ventura Robles</w:t>
      </w:r>
    </w:p>
    <w:p w:rsidR="00000000" w:rsidRDefault="00BD337A">
      <w:pPr>
        <w:jc w:val="center"/>
        <w:rPr>
          <w:rFonts w:ascii="Verdana" w:hAnsi="Verdana"/>
          <w:sz w:val="20"/>
          <w:lang w:val="es-ES_tradnl"/>
        </w:rPr>
      </w:pPr>
      <w:r>
        <w:rPr>
          <w:rFonts w:ascii="Verdana" w:hAnsi="Verdana"/>
          <w:sz w:val="20"/>
          <w:lang w:val="es-ES_tradnl"/>
        </w:rPr>
        <w:t>Secretario</w:t>
      </w:r>
    </w:p>
    <w:p w:rsidR="00000000" w:rsidRDefault="00BD337A">
      <w:pPr>
        <w:jc w:val="both"/>
        <w:rPr>
          <w:rFonts w:ascii="Verdana" w:hAnsi="Verdana"/>
          <w:sz w:val="20"/>
          <w:lang w:val="es-ES_tradnl"/>
        </w:rPr>
      </w:pPr>
      <w:r>
        <w:rPr>
          <w:rFonts w:ascii="Verdana" w:hAnsi="Verdana"/>
          <w:sz w:val="20"/>
          <w:lang w:val="es-ES_tradnl"/>
        </w:rPr>
        <w:t>Comuníquese y ejecútese,</w:t>
      </w:r>
    </w:p>
    <w:p w:rsidR="00000000" w:rsidRDefault="00BD337A">
      <w:pPr>
        <w:ind w:left="5040"/>
        <w:jc w:val="center"/>
        <w:rPr>
          <w:rFonts w:ascii="Verdana" w:hAnsi="Verdana"/>
          <w:sz w:val="20"/>
          <w:lang w:val="es-ES_tradnl"/>
        </w:rPr>
      </w:pPr>
    </w:p>
    <w:p w:rsidR="00000000" w:rsidRDefault="00BD337A">
      <w:pPr>
        <w:ind w:left="5040"/>
        <w:jc w:val="center"/>
        <w:rPr>
          <w:rFonts w:ascii="Verdana" w:hAnsi="Verdana"/>
          <w:sz w:val="20"/>
          <w:lang w:val="es-ES_tradnl"/>
        </w:rPr>
      </w:pPr>
    </w:p>
    <w:p w:rsidR="00000000" w:rsidRDefault="00BD337A">
      <w:pPr>
        <w:ind w:left="5040"/>
        <w:jc w:val="center"/>
        <w:rPr>
          <w:rFonts w:ascii="Verdana" w:hAnsi="Verdana"/>
          <w:sz w:val="20"/>
          <w:lang w:val="es-ES_tradnl"/>
        </w:rPr>
      </w:pPr>
      <w:r>
        <w:rPr>
          <w:rFonts w:ascii="Verdana" w:hAnsi="Verdana"/>
          <w:sz w:val="20"/>
          <w:lang w:val="es-ES_tradnl"/>
        </w:rPr>
        <w:t>Antônio A. Cançado Trindade</w:t>
      </w:r>
    </w:p>
    <w:p w:rsidR="00000000" w:rsidRDefault="00BD337A">
      <w:pPr>
        <w:tabs>
          <w:tab w:val="left" w:pos="7620"/>
        </w:tabs>
        <w:ind w:left="5040"/>
        <w:jc w:val="center"/>
        <w:rPr>
          <w:rFonts w:ascii="Verdana" w:hAnsi="Verdana"/>
          <w:sz w:val="20"/>
          <w:lang w:val="es-ES_tradnl"/>
        </w:rPr>
      </w:pPr>
      <w:r>
        <w:rPr>
          <w:rFonts w:ascii="Verdana" w:hAnsi="Verdana"/>
          <w:sz w:val="20"/>
          <w:lang w:val="es-ES_tradnl"/>
        </w:rPr>
        <w:t>Presidente</w:t>
      </w:r>
    </w:p>
    <w:p w:rsidR="00000000" w:rsidRDefault="00BD337A">
      <w:pPr>
        <w:ind w:right="5760"/>
        <w:jc w:val="center"/>
        <w:rPr>
          <w:rFonts w:ascii="Verdana" w:hAnsi="Verdana"/>
          <w:sz w:val="20"/>
          <w:lang w:val="es-ES_tradnl"/>
        </w:rPr>
      </w:pPr>
    </w:p>
    <w:p w:rsidR="00000000" w:rsidRDefault="00BD337A">
      <w:pPr>
        <w:ind w:right="4680"/>
        <w:jc w:val="center"/>
        <w:rPr>
          <w:rFonts w:ascii="Verdana" w:hAnsi="Verdana"/>
          <w:sz w:val="20"/>
          <w:lang w:val="es-ES_tradnl"/>
        </w:rPr>
      </w:pPr>
      <w:r>
        <w:rPr>
          <w:rFonts w:ascii="Verdana" w:hAnsi="Verdana"/>
          <w:sz w:val="20"/>
          <w:lang w:val="es-ES_tradnl"/>
        </w:rPr>
        <w:t>Manuel E. Ventura Robles</w:t>
      </w:r>
    </w:p>
    <w:p w:rsidR="00BD337A" w:rsidRDefault="00BD337A">
      <w:pPr>
        <w:ind w:right="4680"/>
        <w:jc w:val="center"/>
        <w:rPr>
          <w:rFonts w:ascii="Verdana" w:hAnsi="Verdana"/>
          <w:sz w:val="20"/>
          <w:lang w:val="es-ES_tradnl"/>
        </w:rPr>
      </w:pPr>
      <w:r>
        <w:rPr>
          <w:rFonts w:ascii="Verdana" w:hAnsi="Verdana"/>
          <w:sz w:val="20"/>
          <w:lang w:val="es-ES_tradnl"/>
        </w:rPr>
        <w:t>Secretario</w:t>
      </w:r>
    </w:p>
    <w:sectPr w:rsidR="00BD337A">
      <w:headerReference w:type="default" r:id="rId7"/>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37A" w:rsidRDefault="00BD337A">
      <w:r>
        <w:separator/>
      </w:r>
    </w:p>
  </w:endnote>
  <w:endnote w:type="continuationSeparator" w:id="0">
    <w:p w:rsidR="00BD337A" w:rsidRDefault="00BD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37A" w:rsidRDefault="00BD337A">
      <w:r>
        <w:separator/>
      </w:r>
    </w:p>
  </w:footnote>
  <w:footnote w:type="continuationSeparator" w:id="0">
    <w:p w:rsidR="00BD337A" w:rsidRDefault="00BD337A">
      <w:r>
        <w:continuationSeparator/>
      </w:r>
    </w:p>
  </w:footnote>
  <w:footnote w:id="1">
    <w:p w:rsidR="00000000" w:rsidRDefault="00BD337A">
      <w:pPr>
        <w:pStyle w:val="Textonotapie"/>
        <w:jc w:val="both"/>
        <w:rPr>
          <w:rFonts w:ascii="Verdana" w:hAnsi="Verdana"/>
          <w:sz w:val="16"/>
          <w:lang w:val="es-ES_tradnl"/>
        </w:rPr>
      </w:pPr>
      <w:r>
        <w:rPr>
          <w:rStyle w:val="Refdenotaalpie"/>
          <w:rFonts w:ascii="Verdana" w:hAnsi="Verdana"/>
          <w:sz w:val="16"/>
          <w:lang w:val="es-ES_tradnl"/>
        </w:rPr>
        <w:t>*</w:t>
      </w:r>
      <w:r>
        <w:rPr>
          <w:rFonts w:ascii="Verdana" w:hAnsi="Verdana"/>
          <w:sz w:val="16"/>
          <w:lang w:val="es-ES_tradnl"/>
        </w:rPr>
        <w:t xml:space="preserve"> </w:t>
      </w:r>
      <w:r>
        <w:rPr>
          <w:rFonts w:ascii="Verdana" w:hAnsi="Verdana"/>
          <w:sz w:val="16"/>
          <w:lang w:val="es-ES_tradnl"/>
        </w:rPr>
        <w:tab/>
        <w:t>El Juez Máximo Pacheco Gómez no participó en la deliberación y firma de la sentencia de r</w:t>
      </w:r>
      <w:r>
        <w:rPr>
          <w:rFonts w:ascii="Verdana" w:hAnsi="Verdana"/>
          <w:sz w:val="16"/>
          <w:lang w:val="es-ES_tradnl"/>
        </w:rPr>
        <w:t xml:space="preserve">eparaciones en este caso y el Juez Oliver Jackman informó a </w:t>
      </w:r>
      <w:smartTag w:uri="urn:schemas-microsoft-com:office:smarttags" w:element="PersonName">
        <w:smartTagPr>
          <w:attr w:name="ProductID" w:val="la Corte"/>
        </w:smartTagPr>
        <w:r>
          <w:rPr>
            <w:rFonts w:ascii="Verdana" w:hAnsi="Verdana"/>
            <w:sz w:val="16"/>
            <w:lang w:val="es-ES_tradnl"/>
          </w:rPr>
          <w:t>la Corte</w:t>
        </w:r>
      </w:smartTag>
      <w:r>
        <w:rPr>
          <w:rFonts w:ascii="Verdana" w:hAnsi="Verdana"/>
          <w:sz w:val="16"/>
          <w:lang w:val="es-ES_tradnl"/>
        </w:rPr>
        <w:t xml:space="preserve"> que, por motivos de fuerza mayor, no podía estar presente en el LIII Período Ordinario de Sesiones del Tribunal.  Por ello, ambos no participaron en la deliberación y firma de la presente</w:t>
      </w:r>
      <w:r>
        <w:rPr>
          <w:rFonts w:ascii="Verdana" w:hAnsi="Verdana"/>
          <w:sz w:val="16"/>
          <w:lang w:val="es-ES_tradnl"/>
        </w:rPr>
        <w:t xml:space="preserve"> Sentencia.</w:t>
      </w:r>
    </w:p>
    <w:p w:rsidR="00000000" w:rsidRDefault="00BD337A">
      <w:pPr>
        <w:pStyle w:val="Textonotapie"/>
        <w:jc w:val="both"/>
        <w:rPr>
          <w:lang w:val="es-ES"/>
        </w:rPr>
      </w:pPr>
    </w:p>
  </w:footnote>
  <w:footnote w:id="2">
    <w:p w:rsidR="00000000" w:rsidRDefault="00BD337A">
      <w:pPr>
        <w:pStyle w:val="Textonotapie"/>
        <w:jc w:val="both"/>
        <w:rPr>
          <w:lang w:val="es-ES"/>
        </w:rPr>
      </w:pPr>
      <w:r>
        <w:rPr>
          <w:rStyle w:val="Refdenotaalpie"/>
          <w:rFonts w:ascii="Verdana" w:hAnsi="Verdana"/>
          <w:sz w:val="16"/>
          <w:lang w:val="es-ES_tradnl"/>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Caso Cesti Hurtado</w:t>
      </w:r>
      <w:r>
        <w:rPr>
          <w:rFonts w:ascii="Verdana" w:hAnsi="Verdana"/>
          <w:sz w:val="16"/>
          <w:lang w:val="es-ES_tradnl"/>
        </w:rPr>
        <w:t xml:space="preserve">.  </w:t>
      </w:r>
      <w:r>
        <w:rPr>
          <w:rFonts w:ascii="Verdana" w:hAnsi="Verdana"/>
          <w:i/>
          <w:sz w:val="16"/>
          <w:lang w:val="es-ES_tradnl"/>
        </w:rPr>
        <w:t>Reparaciones.</w:t>
      </w:r>
      <w:r>
        <w:rPr>
          <w:rFonts w:ascii="Verdana" w:hAnsi="Verdana"/>
          <w:sz w:val="16"/>
          <w:lang w:val="es-ES_tradnl"/>
        </w:rPr>
        <w:t xml:space="preserve">  (art. 63.1 Convención Americana sobre Derechos Humanos).  Sentencia de 31 de mayo de 2001.  Serie C No. 78. </w:t>
      </w:r>
    </w:p>
  </w:footnote>
  <w:footnote w:id="3">
    <w:p w:rsidR="00000000" w:rsidRDefault="00BD337A">
      <w:pPr>
        <w:pStyle w:val="Textonotapie"/>
        <w:jc w:val="both"/>
        <w:rPr>
          <w:lang w:val="es-ES"/>
        </w:rPr>
      </w:pPr>
      <w:r>
        <w:rPr>
          <w:rStyle w:val="Refdenotaalpie"/>
          <w:rFonts w:ascii="Verdana" w:hAnsi="Verdana"/>
          <w:sz w:val="16"/>
          <w:lang w:val="es-ES_tradnl"/>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Caso Cesti Hurtado</w:t>
      </w:r>
      <w:r>
        <w:rPr>
          <w:rFonts w:ascii="Verdana" w:hAnsi="Verdana"/>
          <w:sz w:val="16"/>
          <w:lang w:val="es-ES_tradnl"/>
        </w:rPr>
        <w:t xml:space="preserve">. </w:t>
      </w:r>
      <w:r>
        <w:rPr>
          <w:rFonts w:ascii="Verdana" w:hAnsi="Verdana"/>
          <w:i/>
          <w:sz w:val="16"/>
          <w:lang w:val="es-ES_tradnl"/>
        </w:rPr>
        <w:t xml:space="preserve"> Excepciones Preliminares.</w:t>
      </w:r>
      <w:r>
        <w:rPr>
          <w:rFonts w:ascii="Verdana" w:hAnsi="Verdana"/>
          <w:sz w:val="16"/>
          <w:lang w:val="es-ES_tradnl"/>
        </w:rPr>
        <w:t xml:space="preserve">  Sentencia de 26 de enero de 1999.  Serie C N</w:t>
      </w:r>
      <w:r>
        <w:rPr>
          <w:rFonts w:ascii="Verdana" w:hAnsi="Verdana"/>
          <w:sz w:val="16"/>
          <w:lang w:val="es-ES_tradnl"/>
        </w:rPr>
        <w:t xml:space="preserve">o. 49; </w:t>
      </w:r>
      <w:r>
        <w:rPr>
          <w:rFonts w:ascii="Verdana" w:hAnsi="Verdana"/>
          <w:i/>
          <w:sz w:val="16"/>
          <w:lang w:val="es-ES_tradnl"/>
        </w:rPr>
        <w:t>Caso Cesti Hurtado</w:t>
      </w:r>
      <w:r>
        <w:rPr>
          <w:rFonts w:ascii="Verdana" w:hAnsi="Verdana"/>
          <w:sz w:val="16"/>
          <w:lang w:val="es-ES_tradnl"/>
        </w:rPr>
        <w:t>.  Sentencia de 29 de septiembre de 1999.  Serie C No. 56;</w:t>
      </w:r>
      <w:r>
        <w:rPr>
          <w:rFonts w:ascii="Verdana" w:hAnsi="Verdana"/>
          <w:i/>
          <w:sz w:val="16"/>
          <w:lang w:val="es-ES_tradnl"/>
        </w:rPr>
        <w:t xml:space="preserve"> Caso Cesti Hurtado</w:t>
      </w:r>
      <w:r>
        <w:rPr>
          <w:rFonts w:ascii="Verdana" w:hAnsi="Verdana"/>
          <w:sz w:val="16"/>
          <w:lang w:val="es-ES_tradnl"/>
        </w:rPr>
        <w:t xml:space="preserve">. </w:t>
      </w:r>
      <w:r>
        <w:rPr>
          <w:rFonts w:ascii="Verdana" w:hAnsi="Verdana"/>
          <w:i/>
          <w:sz w:val="16"/>
          <w:lang w:val="es-ES_tradnl"/>
        </w:rPr>
        <w:t xml:space="preserve">Interpretación de </w:t>
      </w:r>
      <w:smartTag w:uri="urn:schemas-microsoft-com:office:smarttags" w:element="PersonName">
        <w:smartTagPr>
          <w:attr w:name="ProductID" w:val="la Sentencia"/>
        </w:smartTagPr>
        <w:r>
          <w:rPr>
            <w:rFonts w:ascii="Verdana" w:hAnsi="Verdana"/>
            <w:i/>
            <w:sz w:val="16"/>
            <w:lang w:val="es-ES_tradnl"/>
          </w:rPr>
          <w:t>la Sentencia</w:t>
        </w:r>
      </w:smartTag>
      <w:r>
        <w:rPr>
          <w:rFonts w:ascii="Verdana" w:hAnsi="Verdana"/>
          <w:i/>
          <w:sz w:val="16"/>
          <w:lang w:val="es-ES_tradnl"/>
        </w:rPr>
        <w:t xml:space="preserve"> de Fondo. </w:t>
      </w:r>
      <w:r>
        <w:rPr>
          <w:rFonts w:ascii="Verdana" w:hAnsi="Verdana"/>
          <w:sz w:val="16"/>
          <w:lang w:val="es-ES_tradnl"/>
        </w:rPr>
        <w:t>(Art. 67 Convención Americana sobre Derechos Humanos). Sentencia de 29 de enero de 2000.  Serie C No. 65 y</w:t>
      </w:r>
      <w:r>
        <w:rPr>
          <w:rFonts w:ascii="Verdana" w:hAnsi="Verdana"/>
          <w:i/>
          <w:sz w:val="16"/>
          <w:lang w:val="es-ES_tradnl"/>
        </w:rPr>
        <w:t xml:space="preserve"> Caso</w:t>
      </w:r>
      <w:r>
        <w:rPr>
          <w:rFonts w:ascii="Verdana" w:hAnsi="Verdana"/>
          <w:i/>
          <w:sz w:val="16"/>
          <w:lang w:val="es-ES_tradnl"/>
        </w:rPr>
        <w:t xml:space="preserve"> Cesti Hurtado</w:t>
      </w:r>
      <w:r>
        <w:rPr>
          <w:rFonts w:ascii="Verdana" w:hAnsi="Verdana"/>
          <w:sz w:val="16"/>
          <w:lang w:val="es-ES_tradnl"/>
        </w:rPr>
        <w:t xml:space="preserve">. </w:t>
      </w:r>
      <w:r>
        <w:rPr>
          <w:rFonts w:ascii="Verdana" w:hAnsi="Verdana"/>
          <w:i/>
          <w:sz w:val="16"/>
          <w:lang w:val="es-ES_tradnl"/>
        </w:rPr>
        <w:t xml:space="preserve"> Reparaciones,</w:t>
      </w:r>
      <w:r>
        <w:rPr>
          <w:rFonts w:ascii="Verdana" w:hAnsi="Verdana"/>
          <w:sz w:val="16"/>
          <w:lang w:val="es-ES_tradnl"/>
        </w:rPr>
        <w:t xml:space="preserve"> </w:t>
      </w:r>
      <w:r>
        <w:rPr>
          <w:rFonts w:ascii="Verdana" w:hAnsi="Verdana"/>
          <w:i/>
          <w:sz w:val="16"/>
          <w:lang w:val="es-ES_tradnl"/>
        </w:rPr>
        <w:t>supra</w:t>
      </w:r>
      <w:r>
        <w:rPr>
          <w:rFonts w:ascii="Verdana" w:hAnsi="Verdana"/>
          <w:sz w:val="16"/>
          <w:lang w:val="es-ES_tradnl"/>
        </w:rPr>
        <w:t xml:space="preserve"> nota 1.</w:t>
      </w:r>
    </w:p>
  </w:footnote>
  <w:footnote w:id="4">
    <w:p w:rsidR="00000000" w:rsidRDefault="00BD337A">
      <w:pPr>
        <w:pStyle w:val="Textonotapie"/>
        <w:jc w:val="both"/>
        <w:rPr>
          <w:lang w:val="es-ES"/>
        </w:rPr>
      </w:pPr>
      <w:r>
        <w:rPr>
          <w:rStyle w:val="Refdenotaalpie"/>
          <w:rFonts w:ascii="Verdana" w:hAnsi="Verdana"/>
          <w:sz w:val="16"/>
          <w:lang w:val="es-ES_tradnl"/>
        </w:rPr>
        <w:footnoteRef/>
      </w:r>
      <w:r>
        <w:rPr>
          <w:rFonts w:ascii="Verdana" w:hAnsi="Verdana"/>
          <w:sz w:val="16"/>
          <w:lang w:val="es-ES_tradnl"/>
        </w:rPr>
        <w:t xml:space="preserve"> </w:t>
      </w:r>
      <w:r>
        <w:rPr>
          <w:rFonts w:ascii="Verdana" w:hAnsi="Verdana"/>
          <w:sz w:val="16"/>
          <w:lang w:val="es-ES_tradnl"/>
        </w:rPr>
        <w:tab/>
        <w:t xml:space="preserve">El artículo 23 del Reglamento vigente de </w:t>
      </w:r>
      <w:smartTag w:uri="urn:schemas-microsoft-com:office:smarttags" w:element="PersonName">
        <w:smartTagPr>
          <w:attr w:name="ProductID" w:val="la Corte"/>
        </w:smartTagPr>
        <w:r>
          <w:rPr>
            <w:rFonts w:ascii="Verdana" w:hAnsi="Verdana"/>
            <w:sz w:val="16"/>
            <w:lang w:val="es-ES_tradnl"/>
          </w:rPr>
          <w:t>la Corte</w:t>
        </w:r>
      </w:smartTag>
      <w:r>
        <w:rPr>
          <w:rFonts w:ascii="Verdana" w:hAnsi="Verdana"/>
          <w:sz w:val="16"/>
          <w:lang w:val="es-ES_tradnl"/>
        </w:rPr>
        <w:t xml:space="preserve"> establece en lo conducente que “[d]espués de admitida la demanda, las presuntas víctimas, sus familiares o sus representantes debidamente acreditados podrán p</w:t>
      </w:r>
      <w:r>
        <w:rPr>
          <w:rFonts w:ascii="Verdana" w:hAnsi="Verdana"/>
          <w:sz w:val="16"/>
          <w:lang w:val="es-ES_tradnl"/>
        </w:rPr>
        <w:t xml:space="preserve">resentar sus solicitudes, argumentos y pruebas en forma autónoma durante todo el proceso”.  </w:t>
      </w:r>
    </w:p>
  </w:footnote>
  <w:footnote w:id="5">
    <w:p w:rsidR="00000000" w:rsidRDefault="00BD337A">
      <w:pPr>
        <w:pStyle w:val="Textonotapie"/>
        <w:jc w:val="both"/>
        <w:rPr>
          <w:lang w:val="es-ES"/>
        </w:rPr>
      </w:pPr>
      <w:r>
        <w:rPr>
          <w:rStyle w:val="Refdenotaalpie"/>
          <w:rFonts w:ascii="Verdana" w:hAnsi="Verdana"/>
          <w:sz w:val="16"/>
          <w:lang w:val="es-ES_tradnl"/>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Cfr. Caso Ivcher Bronstein</w:t>
      </w:r>
      <w:r>
        <w:rPr>
          <w:rFonts w:ascii="Verdana" w:hAnsi="Verdana"/>
          <w:sz w:val="16"/>
          <w:lang w:val="es-ES_tradnl"/>
        </w:rPr>
        <w:t xml:space="preserve">. </w:t>
      </w:r>
      <w:r>
        <w:rPr>
          <w:rFonts w:ascii="Verdana" w:hAnsi="Verdana"/>
          <w:i/>
          <w:sz w:val="16"/>
          <w:lang w:val="es-ES_tradnl"/>
        </w:rPr>
        <w:t xml:space="preserve">Interpretación de </w:t>
      </w:r>
      <w:smartTag w:uri="urn:schemas-microsoft-com:office:smarttags" w:element="PersonName">
        <w:smartTagPr>
          <w:attr w:name="ProductID" w:val="la Sentencia"/>
        </w:smartTagPr>
        <w:r>
          <w:rPr>
            <w:rFonts w:ascii="Verdana" w:hAnsi="Verdana"/>
            <w:i/>
            <w:sz w:val="16"/>
            <w:lang w:val="es-ES_tradnl"/>
          </w:rPr>
          <w:t>la Sentencia</w:t>
        </w:r>
      </w:smartTag>
      <w:r>
        <w:rPr>
          <w:rFonts w:ascii="Verdana" w:hAnsi="Verdana"/>
          <w:i/>
          <w:sz w:val="16"/>
          <w:lang w:val="es-ES_tradnl"/>
        </w:rPr>
        <w:t xml:space="preserve"> de Fondo. </w:t>
      </w:r>
      <w:r>
        <w:rPr>
          <w:rFonts w:ascii="Verdana" w:hAnsi="Verdana"/>
          <w:sz w:val="16"/>
          <w:lang w:val="es-ES_tradnl"/>
        </w:rPr>
        <w:t>(Art. 67 Convención Americana sobre Derechos Humanos).  Sentencia de 4 de septiembre de 200</w:t>
      </w:r>
      <w:r>
        <w:rPr>
          <w:rFonts w:ascii="Verdana" w:hAnsi="Verdana"/>
          <w:sz w:val="16"/>
          <w:lang w:val="es-ES_tradnl"/>
        </w:rPr>
        <w:t>1.  Serie C No. 84, párr. 11 y</w:t>
      </w:r>
      <w:r>
        <w:rPr>
          <w:rFonts w:ascii="Verdana" w:hAnsi="Verdana"/>
          <w:i/>
          <w:sz w:val="16"/>
          <w:lang w:val="es-ES_tradnl"/>
        </w:rPr>
        <w:t xml:space="preserve"> Caso Barrios Altos.  Interpretación de </w:t>
      </w:r>
      <w:smartTag w:uri="urn:schemas-microsoft-com:office:smarttags" w:element="PersonName">
        <w:smartTagPr>
          <w:attr w:name="ProductID" w:val="la Sentencia"/>
        </w:smartTagPr>
        <w:r>
          <w:rPr>
            <w:rFonts w:ascii="Verdana" w:hAnsi="Verdana"/>
            <w:i/>
            <w:sz w:val="16"/>
            <w:lang w:val="es-ES_tradnl"/>
          </w:rPr>
          <w:t>la Sentencia</w:t>
        </w:r>
      </w:smartTag>
      <w:r>
        <w:rPr>
          <w:rFonts w:ascii="Verdana" w:hAnsi="Verdana"/>
          <w:i/>
          <w:sz w:val="16"/>
          <w:lang w:val="es-ES_tradnl"/>
        </w:rPr>
        <w:t xml:space="preserve"> de Fondo. </w:t>
      </w:r>
      <w:r>
        <w:rPr>
          <w:rFonts w:ascii="Verdana" w:hAnsi="Verdana"/>
          <w:sz w:val="16"/>
          <w:lang w:val="es-ES_tradnl"/>
        </w:rPr>
        <w:t>(Art. 67 Convención Americana sobre Derechos Humanos).  Sentencia de 3 de septiembre de 2001.  Serie C No. 83, párr. 11.</w:t>
      </w:r>
    </w:p>
  </w:footnote>
  <w:footnote w:id="6">
    <w:p w:rsidR="00000000" w:rsidRDefault="00BD337A">
      <w:pPr>
        <w:pStyle w:val="Textonotapie"/>
        <w:jc w:val="both"/>
        <w:rPr>
          <w:lang w:val="es-ES"/>
        </w:rPr>
      </w:pPr>
      <w:r>
        <w:rPr>
          <w:rStyle w:val="Refdenotaalpie"/>
          <w:rFonts w:ascii="Verdana" w:hAnsi="Verdana"/>
          <w:sz w:val="16"/>
          <w:lang w:val="es-ES_tradnl"/>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Cfr. Caso Ivcher Bronstein</w:t>
      </w:r>
      <w:r>
        <w:rPr>
          <w:rFonts w:ascii="Verdana" w:hAnsi="Verdana"/>
          <w:sz w:val="16"/>
          <w:lang w:val="es-ES_tradnl"/>
        </w:rPr>
        <w:t xml:space="preserve">. </w:t>
      </w:r>
      <w:r>
        <w:rPr>
          <w:rFonts w:ascii="Verdana" w:hAnsi="Verdana"/>
          <w:i/>
          <w:sz w:val="16"/>
          <w:lang w:val="es-ES_tradnl"/>
        </w:rPr>
        <w:t>Interpretac</w:t>
      </w:r>
      <w:r>
        <w:rPr>
          <w:rFonts w:ascii="Verdana" w:hAnsi="Verdana"/>
          <w:i/>
          <w:sz w:val="16"/>
          <w:lang w:val="es-ES_tradnl"/>
        </w:rPr>
        <w:t xml:space="preserve">ión de </w:t>
      </w:r>
      <w:smartTag w:uri="urn:schemas-microsoft-com:office:smarttags" w:element="PersonName">
        <w:smartTagPr>
          <w:attr w:name="ProductID" w:val="la Sentencia"/>
        </w:smartTagPr>
        <w:r>
          <w:rPr>
            <w:rFonts w:ascii="Verdana" w:hAnsi="Verdana"/>
            <w:i/>
            <w:sz w:val="16"/>
            <w:lang w:val="es-ES_tradnl"/>
          </w:rPr>
          <w:t>la Sentencia</w:t>
        </w:r>
      </w:smartTag>
      <w:r>
        <w:rPr>
          <w:rFonts w:ascii="Verdana" w:hAnsi="Verdana"/>
          <w:i/>
          <w:sz w:val="16"/>
          <w:lang w:val="es-ES_tradnl"/>
        </w:rPr>
        <w:t xml:space="preserve"> de Fondo. </w:t>
      </w:r>
      <w:r>
        <w:rPr>
          <w:rFonts w:ascii="Verdana" w:hAnsi="Verdana"/>
          <w:sz w:val="16"/>
          <w:lang w:val="es-ES_tradnl"/>
        </w:rPr>
        <w:t>(Art. 67 Convención Americana sobre Derechos Humanos), s</w:t>
      </w:r>
      <w:r>
        <w:rPr>
          <w:rFonts w:ascii="Verdana" w:hAnsi="Verdana"/>
          <w:i/>
          <w:sz w:val="16"/>
          <w:lang w:val="es-ES_tradnl"/>
        </w:rPr>
        <w:t>upra</w:t>
      </w:r>
      <w:r>
        <w:rPr>
          <w:rFonts w:ascii="Verdana" w:hAnsi="Verdana"/>
          <w:sz w:val="16"/>
          <w:lang w:val="es-ES_tradnl"/>
        </w:rPr>
        <w:t xml:space="preserve"> 4, párr. 19; </w:t>
      </w:r>
      <w:r>
        <w:rPr>
          <w:rFonts w:ascii="Verdana" w:hAnsi="Verdana"/>
          <w:i/>
          <w:sz w:val="16"/>
          <w:lang w:val="es-ES_tradnl"/>
        </w:rPr>
        <w:t xml:space="preserve">Caso Suárez Rosero.  Interpretación de </w:t>
      </w:r>
      <w:smartTag w:uri="urn:schemas-microsoft-com:office:smarttags" w:element="PersonName">
        <w:smartTagPr>
          <w:attr w:name="ProductID" w:val="la Sentencia"/>
        </w:smartTagPr>
        <w:r>
          <w:rPr>
            <w:rFonts w:ascii="Verdana" w:hAnsi="Verdana"/>
            <w:i/>
            <w:sz w:val="16"/>
            <w:lang w:val="es-ES_tradnl"/>
          </w:rPr>
          <w:t>la Sentencia</w:t>
        </w:r>
      </w:smartTag>
      <w:r>
        <w:rPr>
          <w:rFonts w:ascii="Verdana" w:hAnsi="Verdana"/>
          <w:i/>
          <w:sz w:val="16"/>
          <w:lang w:val="es-ES_tradnl"/>
        </w:rPr>
        <w:t xml:space="preserve"> sobre Reparaciones. </w:t>
      </w:r>
      <w:r>
        <w:rPr>
          <w:rFonts w:ascii="Verdana" w:hAnsi="Verdana"/>
          <w:sz w:val="16"/>
          <w:lang w:val="es-ES_tradnl"/>
        </w:rPr>
        <w:t xml:space="preserve"> (Art. 67 Convención Americana sobre Derechos Humanos).</w:t>
      </w:r>
      <w:r>
        <w:rPr>
          <w:rFonts w:ascii="Verdana" w:hAnsi="Verdana"/>
          <w:i/>
          <w:sz w:val="16"/>
          <w:lang w:val="es-ES_tradnl"/>
        </w:rPr>
        <w:t xml:space="preserve">  </w:t>
      </w:r>
      <w:r>
        <w:rPr>
          <w:rFonts w:ascii="Verdana" w:hAnsi="Verdana"/>
          <w:sz w:val="16"/>
          <w:lang w:val="es-ES_tradnl"/>
        </w:rPr>
        <w:t>Sentencia de 29 de mayo</w:t>
      </w:r>
      <w:r>
        <w:rPr>
          <w:rFonts w:ascii="Verdana" w:hAnsi="Verdana"/>
          <w:sz w:val="16"/>
          <w:lang w:val="es-ES_tradnl"/>
        </w:rPr>
        <w:t xml:space="preserve"> de 1999</w:t>
      </w:r>
      <w:r>
        <w:rPr>
          <w:rFonts w:ascii="Verdana" w:hAnsi="Verdana"/>
          <w:i/>
          <w:sz w:val="16"/>
          <w:lang w:val="es-ES_tradnl"/>
        </w:rPr>
        <w:t>.</w:t>
      </w:r>
      <w:r>
        <w:rPr>
          <w:rFonts w:ascii="Verdana" w:hAnsi="Verdana"/>
          <w:sz w:val="16"/>
          <w:lang w:val="es-ES_tradnl"/>
        </w:rPr>
        <w:t xml:space="preserve">  Serie C No. 51, párr. 20 y</w:t>
      </w:r>
      <w:r>
        <w:rPr>
          <w:rFonts w:ascii="Verdana" w:hAnsi="Verdana"/>
          <w:i/>
          <w:sz w:val="16"/>
          <w:lang w:val="es-ES_tradnl"/>
        </w:rPr>
        <w:t xml:space="preserve"> </w:t>
      </w:r>
      <w:r>
        <w:rPr>
          <w:rFonts w:ascii="Verdana" w:hAnsi="Verdana"/>
          <w:i/>
          <w:color w:val="000000"/>
          <w:sz w:val="16"/>
          <w:lang w:val="es-ES_tradnl"/>
        </w:rPr>
        <w:t xml:space="preserve">Caso Loayza Tamayo.  Solicitud de Interpretación de </w:t>
      </w:r>
      <w:smartTag w:uri="urn:schemas-microsoft-com:office:smarttags" w:element="PersonName">
        <w:smartTagPr>
          <w:attr w:name="ProductID" w:val="la Sentencia"/>
        </w:smartTagPr>
        <w:r>
          <w:rPr>
            <w:rFonts w:ascii="Verdana" w:hAnsi="Verdana"/>
            <w:i/>
            <w:color w:val="000000"/>
            <w:sz w:val="16"/>
            <w:lang w:val="es-ES_tradnl"/>
          </w:rPr>
          <w:t>la Sentencia</w:t>
        </w:r>
      </w:smartTag>
      <w:r>
        <w:rPr>
          <w:rFonts w:ascii="Verdana" w:hAnsi="Verdana"/>
          <w:i/>
          <w:color w:val="000000"/>
          <w:sz w:val="16"/>
          <w:lang w:val="es-ES_tradnl"/>
        </w:rPr>
        <w:t xml:space="preserve"> de 17 de septiembre de 1997.  </w:t>
      </w:r>
      <w:r>
        <w:rPr>
          <w:rFonts w:ascii="Verdana" w:hAnsi="Verdana"/>
          <w:color w:val="000000"/>
          <w:sz w:val="16"/>
          <w:lang w:val="es-ES_tradnl"/>
        </w:rPr>
        <w:t xml:space="preserve">Resolución de </w:t>
      </w:r>
      <w:smartTag w:uri="urn:schemas-microsoft-com:office:smarttags" w:element="PersonName">
        <w:smartTagPr>
          <w:attr w:name="ProductID" w:val="la Corte"/>
        </w:smartTagPr>
        <w:r>
          <w:rPr>
            <w:rFonts w:ascii="Verdana" w:hAnsi="Verdana"/>
            <w:color w:val="000000"/>
            <w:sz w:val="16"/>
            <w:lang w:val="es-ES_tradnl"/>
          </w:rPr>
          <w:t>la Corte</w:t>
        </w:r>
      </w:smartTag>
      <w:r>
        <w:rPr>
          <w:rFonts w:ascii="Verdana" w:hAnsi="Verdana"/>
          <w:color w:val="000000"/>
          <w:sz w:val="16"/>
          <w:lang w:val="es-ES_tradnl"/>
        </w:rPr>
        <w:t xml:space="preserve"> de 8 de marzo de 1998</w:t>
      </w:r>
      <w:r>
        <w:rPr>
          <w:rFonts w:ascii="Verdana" w:hAnsi="Verdana"/>
          <w:i/>
          <w:color w:val="000000"/>
          <w:sz w:val="16"/>
          <w:lang w:val="es-ES_tradnl"/>
        </w:rPr>
        <w:t xml:space="preserve">.  </w:t>
      </w:r>
      <w:r>
        <w:rPr>
          <w:rFonts w:ascii="Verdana" w:hAnsi="Verdana"/>
          <w:color w:val="000000"/>
          <w:sz w:val="16"/>
          <w:lang w:val="es-ES_tradnl"/>
        </w:rPr>
        <w:t>Serie C No. 47, párr. 16.</w:t>
      </w:r>
    </w:p>
  </w:footnote>
  <w:footnote w:id="7">
    <w:p w:rsidR="00000000" w:rsidRDefault="00BD337A">
      <w:pPr>
        <w:pStyle w:val="Textonotapie"/>
        <w:jc w:val="both"/>
        <w:rPr>
          <w:rFonts w:ascii="Verdana" w:hAnsi="Verdana"/>
          <w:color w:val="000000"/>
          <w:sz w:val="16"/>
          <w:lang w:val="es-ES_tradnl"/>
        </w:rPr>
      </w:pPr>
      <w:r>
        <w:rPr>
          <w:rStyle w:val="Refdenotaalpie"/>
          <w:rFonts w:ascii="Verdana" w:hAnsi="Verdana"/>
          <w:sz w:val="16"/>
          <w:lang w:val="es-ES_tradnl"/>
        </w:rPr>
        <w:footnoteRef/>
      </w:r>
      <w:r>
        <w:rPr>
          <w:rFonts w:ascii="Verdana" w:hAnsi="Verdana"/>
          <w:sz w:val="16"/>
          <w:lang w:val="es-ES_tradnl"/>
        </w:rPr>
        <w:t xml:space="preserve"> </w:t>
      </w:r>
      <w:r>
        <w:rPr>
          <w:rFonts w:ascii="Verdana" w:hAnsi="Verdana"/>
          <w:sz w:val="16"/>
          <w:lang w:val="es-ES_tradnl"/>
        </w:rPr>
        <w:tab/>
      </w:r>
      <w:r>
        <w:rPr>
          <w:rFonts w:ascii="Verdana" w:hAnsi="Verdana"/>
          <w:color w:val="000000"/>
          <w:sz w:val="16"/>
          <w:lang w:val="es-ES_tradnl"/>
        </w:rPr>
        <w:t xml:space="preserve">En este sentido, </w:t>
      </w:r>
      <w:smartTag w:uri="urn:schemas-microsoft-com:office:smarttags" w:element="PersonName">
        <w:smartTagPr>
          <w:attr w:name="ProductID" w:val="la Corte"/>
        </w:smartTagPr>
        <w:r>
          <w:rPr>
            <w:rFonts w:ascii="Verdana" w:hAnsi="Verdana"/>
            <w:color w:val="000000"/>
            <w:sz w:val="16"/>
            <w:lang w:val="es-ES_tradnl"/>
          </w:rPr>
          <w:t>la Corte</w:t>
        </w:r>
      </w:smartTag>
      <w:r>
        <w:rPr>
          <w:rFonts w:ascii="Verdana" w:hAnsi="Verdana"/>
          <w:color w:val="000000"/>
          <w:sz w:val="16"/>
          <w:lang w:val="es-ES_tradnl"/>
        </w:rPr>
        <w:t xml:space="preserve"> ha señalado anteriorm</w:t>
      </w:r>
      <w:r>
        <w:rPr>
          <w:rFonts w:ascii="Verdana" w:hAnsi="Verdana"/>
          <w:color w:val="000000"/>
          <w:sz w:val="16"/>
          <w:lang w:val="es-ES_tradnl"/>
        </w:rPr>
        <w:t xml:space="preserve">ente que en cuanto al daño material, en el caso </w:t>
      </w:r>
      <w:r>
        <w:rPr>
          <w:rFonts w:ascii="Verdana" w:hAnsi="Verdana"/>
          <w:sz w:val="16"/>
          <w:lang w:val="es-ES_tradnl"/>
        </w:rPr>
        <w:t xml:space="preserve">de sobrevivientes a violaciones de los derechos humanos “la indemnización debe tener en cuenta, entre otros factores, el tiempo que la víctima permaneció sin trabajar”.  Cfr.  </w:t>
      </w:r>
      <w:r>
        <w:rPr>
          <w:rFonts w:ascii="Verdana" w:hAnsi="Verdana"/>
          <w:i/>
          <w:sz w:val="16"/>
          <w:lang w:val="es-ES_tradnl"/>
        </w:rPr>
        <w:t>Caso</w:t>
      </w:r>
      <w:r>
        <w:rPr>
          <w:rFonts w:ascii="Verdana" w:hAnsi="Verdana"/>
          <w:sz w:val="16"/>
          <w:lang w:val="es-ES_tradnl"/>
        </w:rPr>
        <w:t xml:space="preserve"> </w:t>
      </w:r>
      <w:r>
        <w:rPr>
          <w:rFonts w:ascii="Verdana" w:hAnsi="Verdana"/>
          <w:i/>
          <w:sz w:val="16"/>
          <w:lang w:val="es-ES_tradnl"/>
        </w:rPr>
        <w:t>Suárez Rosero. Reparaciones</w:t>
      </w:r>
      <w:r>
        <w:rPr>
          <w:rFonts w:ascii="Verdana" w:hAnsi="Verdana"/>
          <w:i/>
          <w:sz w:val="16"/>
          <w:lang w:val="es-ES_tradnl"/>
        </w:rPr>
        <w:t xml:space="preserve">. </w:t>
      </w:r>
      <w:r>
        <w:rPr>
          <w:rFonts w:ascii="Verdana" w:hAnsi="Verdana"/>
          <w:sz w:val="16"/>
          <w:lang w:val="es-ES_tradnl"/>
        </w:rPr>
        <w:t xml:space="preserve">(art. 63.1 Convención Americana sobre Derechos Humanos). </w:t>
      </w:r>
      <w:r>
        <w:rPr>
          <w:rFonts w:ascii="Verdana" w:hAnsi="Verdana"/>
          <w:i/>
          <w:sz w:val="16"/>
          <w:lang w:val="es-ES_tradnl"/>
        </w:rPr>
        <w:t xml:space="preserve"> </w:t>
      </w:r>
      <w:r>
        <w:rPr>
          <w:rFonts w:ascii="Verdana" w:hAnsi="Verdana"/>
          <w:sz w:val="16"/>
          <w:lang w:val="es-ES_tradnl"/>
        </w:rPr>
        <w:t xml:space="preserve">Sentencia de 20 de enero de 1999. Serie </w:t>
      </w:r>
      <w:r>
        <w:rPr>
          <w:rFonts w:ascii="Verdana" w:hAnsi="Verdana"/>
          <w:color w:val="000000"/>
          <w:sz w:val="16"/>
          <w:lang w:val="es-ES_tradnl"/>
        </w:rPr>
        <w:t xml:space="preserve">C No. 44, parr. 59; </w:t>
      </w:r>
      <w:r>
        <w:rPr>
          <w:rFonts w:ascii="Verdana" w:hAnsi="Verdana"/>
          <w:i/>
          <w:color w:val="000000"/>
          <w:sz w:val="16"/>
          <w:lang w:val="es-ES_tradnl"/>
        </w:rPr>
        <w:t>Caso Loayza Tamayo</w:t>
      </w:r>
      <w:r>
        <w:rPr>
          <w:rFonts w:ascii="Verdana" w:hAnsi="Verdana"/>
          <w:color w:val="000000"/>
          <w:sz w:val="16"/>
          <w:lang w:val="es-ES_tradnl"/>
        </w:rPr>
        <w:t xml:space="preserve">. </w:t>
      </w:r>
      <w:r>
        <w:rPr>
          <w:rFonts w:ascii="Verdana" w:hAnsi="Verdana"/>
          <w:i/>
          <w:color w:val="000000"/>
          <w:sz w:val="16"/>
          <w:lang w:val="es-ES_tradnl"/>
        </w:rPr>
        <w:t xml:space="preserve">Reparaciones. </w:t>
      </w:r>
      <w:r>
        <w:rPr>
          <w:rFonts w:ascii="Verdana" w:hAnsi="Verdana"/>
          <w:color w:val="000000"/>
          <w:sz w:val="16"/>
          <w:lang w:val="es-ES_tradnl"/>
        </w:rPr>
        <w:t>(art. 63.1 Convención Americana sobre Derechos Humanos). Sentencia de 27 de noviembre de 1998. Serie C</w:t>
      </w:r>
      <w:r>
        <w:rPr>
          <w:rFonts w:ascii="Verdana" w:hAnsi="Verdana"/>
          <w:color w:val="000000"/>
          <w:sz w:val="16"/>
          <w:lang w:val="es-ES_tradnl"/>
        </w:rPr>
        <w:t xml:space="preserve"> No. 42, párr. 128 y </w:t>
      </w:r>
      <w:r>
        <w:rPr>
          <w:rFonts w:ascii="Verdana" w:hAnsi="Verdana"/>
          <w:i/>
          <w:color w:val="000000"/>
          <w:sz w:val="16"/>
          <w:lang w:val="es-ES_tradnl"/>
        </w:rPr>
        <w:t>Caso El Amparo.</w:t>
      </w:r>
      <w:r>
        <w:rPr>
          <w:rFonts w:ascii="Verdana" w:hAnsi="Verdana"/>
          <w:color w:val="000000"/>
          <w:sz w:val="16"/>
          <w:lang w:val="es-ES_tradnl"/>
        </w:rPr>
        <w:t xml:space="preserve"> </w:t>
      </w:r>
      <w:r>
        <w:rPr>
          <w:rFonts w:ascii="Verdana" w:hAnsi="Verdana"/>
          <w:i/>
          <w:color w:val="000000"/>
          <w:sz w:val="16"/>
          <w:lang w:val="es-ES_tradnl"/>
        </w:rPr>
        <w:t xml:space="preserve">Reparaciones. </w:t>
      </w:r>
      <w:r>
        <w:rPr>
          <w:rFonts w:ascii="Verdana" w:hAnsi="Verdana"/>
          <w:color w:val="000000"/>
          <w:sz w:val="16"/>
          <w:lang w:val="es-ES_tradnl"/>
        </w:rPr>
        <w:t>(art. 63.1 Convención Americana sobre Derechos Humanos). Sentencia de 14 de septiembre de 1996. Serie C No. 28, párr. 28.</w:t>
      </w:r>
    </w:p>
    <w:p w:rsidR="00000000" w:rsidRDefault="00BD337A">
      <w:pPr>
        <w:pStyle w:val="Textonotapie"/>
        <w:jc w:val="both"/>
        <w:rPr>
          <w:lang w:val="es-ES"/>
        </w:rPr>
      </w:pPr>
    </w:p>
  </w:footnote>
  <w:footnote w:id="8">
    <w:p w:rsidR="00000000" w:rsidRDefault="00BD337A">
      <w:pPr>
        <w:pStyle w:val="Textonotapie"/>
        <w:jc w:val="both"/>
      </w:pPr>
      <w:r>
        <w:rPr>
          <w:rStyle w:val="Refdenotaalpie"/>
          <w:rFonts w:ascii="Verdana" w:hAnsi="Verdana"/>
          <w:sz w:val="16"/>
          <w:lang w:val="es-ES_tradnl"/>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Cfr. Caso Ivcher Bronstein</w:t>
      </w:r>
      <w:r>
        <w:rPr>
          <w:rFonts w:ascii="Verdana" w:hAnsi="Verdana"/>
          <w:sz w:val="16"/>
          <w:lang w:val="es-ES_tradnl"/>
        </w:rPr>
        <w:t xml:space="preserve">. </w:t>
      </w:r>
      <w:r>
        <w:rPr>
          <w:rFonts w:ascii="Verdana" w:hAnsi="Verdana"/>
          <w:i/>
          <w:sz w:val="16"/>
          <w:lang w:val="es-ES_tradnl"/>
        </w:rPr>
        <w:t xml:space="preserve">Interpretación de </w:t>
      </w:r>
      <w:smartTag w:uri="urn:schemas-microsoft-com:office:smarttags" w:element="PersonName">
        <w:smartTagPr>
          <w:attr w:name="ProductID" w:val="la Sentencia"/>
        </w:smartTagPr>
        <w:r>
          <w:rPr>
            <w:rFonts w:ascii="Verdana" w:hAnsi="Verdana"/>
            <w:i/>
            <w:sz w:val="16"/>
            <w:lang w:val="es-ES_tradnl"/>
          </w:rPr>
          <w:t>la Sentencia</w:t>
        </w:r>
      </w:smartTag>
      <w:r>
        <w:rPr>
          <w:rFonts w:ascii="Verdana" w:hAnsi="Verdana"/>
          <w:i/>
          <w:sz w:val="16"/>
          <w:lang w:val="es-ES_tradnl"/>
        </w:rPr>
        <w:t xml:space="preserve"> de Fondo. </w:t>
      </w:r>
      <w:r>
        <w:rPr>
          <w:rFonts w:ascii="Verdana" w:hAnsi="Verdana"/>
          <w:sz w:val="16"/>
          <w:lang w:val="es-ES_tradnl"/>
        </w:rPr>
        <w:t>(Art. 67 d</w:t>
      </w:r>
      <w:r>
        <w:rPr>
          <w:rFonts w:ascii="Verdana" w:hAnsi="Verdana"/>
          <w:sz w:val="16"/>
          <w:lang w:val="es-ES_tradnl"/>
        </w:rPr>
        <w:t xml:space="preserve">e </w:t>
      </w:r>
      <w:smartTag w:uri="urn:schemas-microsoft-com:office:smarttags" w:element="PersonName">
        <w:smartTagPr>
          <w:attr w:name="ProductID" w:val="la Convenci￳n Americana"/>
        </w:smartTagPr>
        <w:r>
          <w:rPr>
            <w:rFonts w:ascii="Verdana" w:hAnsi="Verdana"/>
            <w:sz w:val="16"/>
            <w:lang w:val="es-ES_tradnl"/>
          </w:rPr>
          <w:t>la Convención Americana</w:t>
        </w:r>
      </w:smartTag>
      <w:r>
        <w:rPr>
          <w:rFonts w:ascii="Verdana" w:hAnsi="Verdana"/>
          <w:sz w:val="16"/>
          <w:lang w:val="es-ES_tradnl"/>
        </w:rPr>
        <w:t xml:space="preserve"> sobre Derechos Humanos), </w:t>
      </w:r>
      <w:r>
        <w:rPr>
          <w:rFonts w:ascii="Verdana" w:hAnsi="Verdana"/>
          <w:i/>
          <w:sz w:val="16"/>
          <w:lang w:val="es-ES_tradnl"/>
        </w:rPr>
        <w:t>supra</w:t>
      </w:r>
      <w:r>
        <w:rPr>
          <w:rFonts w:ascii="Verdana" w:hAnsi="Verdana"/>
          <w:sz w:val="16"/>
          <w:lang w:val="es-ES_tradnl"/>
        </w:rPr>
        <w:t xml:space="preserve"> 4, párr. 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D337A">
    <w:pPr>
      <w:pStyle w:val="Encabezado"/>
      <w:framePr w:wrap="auto" w:vAnchor="text" w:hAnchor="margin" w:xAlign="center" w:y="1"/>
      <w:rPr>
        <w:rStyle w:val="Nmerodepgina"/>
        <w:rFonts w:ascii="Verdana" w:hAnsi="Verdana"/>
        <w:sz w:val="20"/>
      </w:rPr>
    </w:pPr>
    <w:r>
      <w:rPr>
        <w:rStyle w:val="Nmerodepgina"/>
        <w:rFonts w:ascii="Verdana" w:hAnsi="Verdana"/>
        <w:sz w:val="20"/>
      </w:rPr>
      <w:fldChar w:fldCharType="begin"/>
    </w:r>
    <w:r>
      <w:rPr>
        <w:rStyle w:val="Nmerodepgina"/>
        <w:rFonts w:ascii="Verdana" w:hAnsi="Verdana"/>
        <w:sz w:val="20"/>
      </w:rPr>
      <w:instrText xml:space="preserve">PAGE  </w:instrText>
    </w:r>
    <w:r>
      <w:rPr>
        <w:rStyle w:val="Nmerodepgina"/>
        <w:rFonts w:ascii="Verdana" w:hAnsi="Verdana"/>
        <w:sz w:val="20"/>
      </w:rPr>
      <w:fldChar w:fldCharType="separate"/>
    </w:r>
    <w:r w:rsidR="00C965DC">
      <w:rPr>
        <w:rStyle w:val="Nmerodepgina"/>
        <w:rFonts w:ascii="Verdana" w:hAnsi="Verdana"/>
        <w:noProof/>
        <w:sz w:val="20"/>
      </w:rPr>
      <w:t>11</w:t>
    </w:r>
    <w:r>
      <w:rPr>
        <w:rStyle w:val="Nmerodepgina"/>
        <w:rFonts w:ascii="Verdana" w:hAnsi="Verdana"/>
        <w:sz w:val="20"/>
      </w:rPr>
      <w:fldChar w:fldCharType="end"/>
    </w:r>
  </w:p>
  <w:p w:rsidR="00000000" w:rsidRDefault="00BD337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AD0EE34"/>
    <w:lvl w:ilvl="0">
      <w:start w:val="3"/>
      <w:numFmt w:val="decimal"/>
      <w:pStyle w:val="Ttulo9"/>
      <w:lvlText w:val="%1)"/>
      <w:legacy w:legacy="1" w:legacySpace="120" w:legacyIndent="360"/>
      <w:lvlJc w:val="left"/>
      <w:pPr>
        <w:ind w:left="360"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013B6C68"/>
    <w:multiLevelType w:val="multilevel"/>
    <w:tmpl w:val="4A585FC0"/>
    <w:lvl w:ilvl="0">
      <w:start w:val="1"/>
      <w:numFmt w:val="lowerLetter"/>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2">
    <w:nsid w:val="6E364FA4"/>
    <w:multiLevelType w:val="multilevel"/>
    <w:tmpl w:val="4A585FC0"/>
    <w:lvl w:ilvl="0">
      <w:start w:val="1"/>
      <w:numFmt w:val="lowerLetter"/>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15F16"/>
    <w:rsid w:val="00815F16"/>
    <w:rsid w:val="00BD337A"/>
    <w:rsid w:val="00C965D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Times" w:hAnsi="Times"/>
      <w:sz w:val="24"/>
      <w:lang w:val="en-US" w:eastAsia="es-ES"/>
    </w:rPr>
  </w:style>
  <w:style w:type="paragraph" w:styleId="Ttulo1">
    <w:name w:val="heading 1"/>
    <w:basedOn w:val="Normal"/>
    <w:next w:val="Normal"/>
    <w:qFormat/>
    <w:pPr>
      <w:keepNext/>
      <w:jc w:val="center"/>
      <w:outlineLvl w:val="0"/>
    </w:pPr>
    <w:rPr>
      <w:b/>
      <w:sz w:val="20"/>
    </w:rPr>
  </w:style>
  <w:style w:type="paragraph" w:styleId="Ttulo2">
    <w:name w:val="heading 2"/>
    <w:basedOn w:val="Normal"/>
    <w:next w:val="Normal"/>
    <w:qFormat/>
    <w:pPr>
      <w:keepNext/>
      <w:ind w:right="-720"/>
      <w:outlineLvl w:val="1"/>
    </w:pPr>
    <w:rPr>
      <w:rFonts w:ascii="Palatino" w:hAnsi="Palatino"/>
      <w:b/>
      <w:lang w:val="es-ES_tradnl"/>
    </w:rPr>
  </w:style>
  <w:style w:type="paragraph" w:styleId="Ttulo3">
    <w:name w:val="heading 3"/>
    <w:basedOn w:val="Normal"/>
    <w:next w:val="Normal"/>
    <w:qFormat/>
    <w:pPr>
      <w:keepNext/>
      <w:ind w:right="-720"/>
      <w:jc w:val="center"/>
      <w:outlineLvl w:val="2"/>
    </w:pPr>
    <w:rPr>
      <w:rFonts w:ascii="Palatino" w:hAnsi="Palatino"/>
      <w:b/>
      <w:lang w:val="es-ES_tradnl"/>
    </w:rPr>
  </w:style>
  <w:style w:type="paragraph" w:styleId="Ttulo4">
    <w:name w:val="heading 4"/>
    <w:basedOn w:val="Normal"/>
    <w:next w:val="Normal"/>
    <w:qFormat/>
    <w:pPr>
      <w:keepNext/>
      <w:ind w:right="-540"/>
      <w:jc w:val="both"/>
      <w:outlineLvl w:val="3"/>
    </w:pPr>
    <w:rPr>
      <w:b/>
    </w:rPr>
  </w:style>
  <w:style w:type="paragraph" w:styleId="Ttulo5">
    <w:name w:val="heading 5"/>
    <w:basedOn w:val="Normal"/>
    <w:next w:val="Normal"/>
    <w:qFormat/>
    <w:pPr>
      <w:keepNext/>
      <w:ind w:right="10"/>
      <w:jc w:val="center"/>
      <w:outlineLvl w:val="4"/>
    </w:pPr>
    <w:rPr>
      <w:b/>
      <w:sz w:val="20"/>
    </w:rPr>
  </w:style>
  <w:style w:type="paragraph" w:styleId="Ttulo6">
    <w:name w:val="heading 6"/>
    <w:basedOn w:val="Normal"/>
    <w:next w:val="Normal"/>
    <w:qFormat/>
    <w:pPr>
      <w:keepNext/>
      <w:ind w:right="-80"/>
      <w:outlineLvl w:val="5"/>
    </w:pPr>
    <w:rPr>
      <w:b/>
      <w:sz w:val="20"/>
    </w:rPr>
  </w:style>
  <w:style w:type="paragraph" w:styleId="Ttulo7">
    <w:name w:val="heading 7"/>
    <w:basedOn w:val="Normal"/>
    <w:next w:val="Normal"/>
    <w:qFormat/>
    <w:pPr>
      <w:keepNext/>
      <w:tabs>
        <w:tab w:val="left" w:pos="720"/>
      </w:tabs>
      <w:ind w:left="720" w:right="-720" w:hanging="720"/>
      <w:jc w:val="both"/>
      <w:outlineLvl w:val="6"/>
    </w:pPr>
    <w:rPr>
      <w:rFonts w:ascii="Palatino" w:hAnsi="Palatino"/>
      <w:b/>
      <w:smallCaps/>
      <w:lang w:val="es-ES_tradnl"/>
    </w:rPr>
  </w:style>
  <w:style w:type="paragraph" w:styleId="Ttulo8">
    <w:name w:val="heading 8"/>
    <w:basedOn w:val="Normal"/>
    <w:next w:val="Normal"/>
    <w:qFormat/>
    <w:pPr>
      <w:keepNext/>
      <w:jc w:val="center"/>
      <w:outlineLvl w:val="7"/>
    </w:pPr>
    <w:rPr>
      <w:rFonts w:ascii="Garamond" w:hAnsi="Garamond"/>
      <w:b/>
      <w:smallCaps/>
    </w:rPr>
  </w:style>
  <w:style w:type="paragraph" w:styleId="Ttulo9">
    <w:name w:val="heading 9"/>
    <w:basedOn w:val="Normal"/>
    <w:next w:val="Normal"/>
    <w:qFormat/>
    <w:pPr>
      <w:keepNext/>
      <w:numPr>
        <w:numId w:val="1"/>
      </w:numPr>
      <w:tabs>
        <w:tab w:val="left" w:pos="360"/>
      </w:tabs>
      <w:jc w:val="both"/>
      <w:outlineLvl w:val="8"/>
    </w:pPr>
    <w:rPr>
      <w:b/>
      <w:smallCaps/>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angranormal">
    <w:name w:val="Normal Indent"/>
    <w:basedOn w:val="Normal"/>
    <w:pPr>
      <w:jc w:val="center"/>
    </w:pPr>
    <w:rPr>
      <w:b/>
    </w:rPr>
  </w:style>
  <w:style w:type="paragraph" w:customStyle="1" w:styleId="BodyText2">
    <w:name w:val="Body Text 2"/>
    <w:basedOn w:val="Normal"/>
    <w:pPr>
      <w:ind w:right="-720"/>
      <w:jc w:val="both"/>
    </w:pPr>
    <w:rPr>
      <w:rFonts w:ascii="Palatino" w:hAnsi="Palatino"/>
    </w:rPr>
  </w:style>
  <w:style w:type="character" w:styleId="Refdenotaalpie">
    <w:name w:val="footnote reference"/>
    <w:semiHidden/>
    <w:rPr>
      <w:vertAlign w:val="superscript"/>
    </w:rPr>
  </w:style>
  <w:style w:type="paragraph" w:styleId="Textonotapie">
    <w:name w:val="footnote text"/>
    <w:basedOn w:val="Normal"/>
    <w:semiHidden/>
    <w:rPr>
      <w:rFonts w:ascii="New York" w:hAnsi="New York"/>
      <w:sz w:val="20"/>
    </w:rPr>
  </w:style>
  <w:style w:type="paragraph" w:styleId="Encabezado">
    <w:name w:val="header"/>
    <w:basedOn w:val="Normal"/>
    <w:pPr>
      <w:tabs>
        <w:tab w:val="center" w:pos="4320"/>
        <w:tab w:val="right" w:pos="8640"/>
      </w:tabs>
    </w:pPr>
    <w:rPr>
      <w:rFonts w:ascii="Garamond" w:hAnsi="Garamond"/>
    </w:rPr>
  </w:style>
  <w:style w:type="paragraph" w:customStyle="1" w:styleId="Init1">
    <w:name w:val="Init 1"/>
    <w:basedOn w:val="Normal"/>
    <w:pPr>
      <w:tabs>
        <w:tab w:val="left" w:pos="600"/>
        <w:tab w:val="left" w:pos="1200"/>
        <w:tab w:val="left" w:pos="1800"/>
        <w:tab w:val="left" w:pos="4320"/>
        <w:tab w:val="left" w:pos="6240"/>
        <w:tab w:val="right" w:pos="8760"/>
      </w:tabs>
      <w:spacing w:line="240" w:lineRule="atLeast"/>
      <w:jc w:val="both"/>
    </w:pPr>
    <w:rPr>
      <w:rFonts w:ascii="Courier" w:hAnsi="Courier"/>
    </w:rPr>
  </w:style>
  <w:style w:type="paragraph" w:customStyle="1" w:styleId="BlockText">
    <w:name w:val="Block Text"/>
    <w:basedOn w:val="Normal"/>
    <w:pPr>
      <w:ind w:left="720" w:right="-540" w:hanging="720"/>
      <w:jc w:val="both"/>
    </w:pPr>
    <w:rPr>
      <w:b/>
      <w:smallCaps/>
      <w:sz w:val="20"/>
    </w:rPr>
  </w:style>
  <w:style w:type="paragraph" w:styleId="Textoindependiente">
    <w:name w:val="Body Text"/>
    <w:basedOn w:val="Normal"/>
    <w:pPr>
      <w:widowControl w:val="0"/>
      <w:jc w:val="both"/>
    </w:pPr>
    <w:rPr>
      <w:rFonts w:ascii="Times New Roman" w:hAnsi="Times New Roman"/>
      <w:lang w:val="es-ES"/>
    </w:rPr>
  </w:style>
  <w:style w:type="paragraph" w:customStyle="1" w:styleId="BodyTextIndent3">
    <w:name w:val="Body Text Indent 3"/>
    <w:basedOn w:val="Normal"/>
    <w:pPr>
      <w:ind w:left="709" w:hanging="709"/>
      <w:jc w:val="both"/>
    </w:pPr>
  </w:style>
  <w:style w:type="paragraph" w:styleId="Ttulo">
    <w:name w:val="Title"/>
    <w:basedOn w:val="Normal"/>
    <w:qFormat/>
    <w:pPr>
      <w:spacing w:line="360" w:lineRule="atLeast"/>
      <w:jc w:val="center"/>
    </w:pPr>
    <w:rPr>
      <w:rFonts w:ascii="Palatino" w:hAnsi="Palatino"/>
      <w:b/>
      <w:sz w:val="28"/>
    </w:rPr>
  </w:style>
  <w:style w:type="paragraph" w:customStyle="1" w:styleId="BodyText20">
    <w:name w:val="Body Text 2"/>
    <w:basedOn w:val="Normal"/>
    <w:pPr>
      <w:ind w:left="1440"/>
      <w:jc w:val="both"/>
    </w:pPr>
    <w:rPr>
      <w:rFonts w:ascii="Palatino" w:hAnsi="Palatino"/>
      <w:lang w:val="es-ES_tradnl"/>
    </w:rPr>
  </w:style>
  <w:style w:type="paragraph" w:customStyle="1" w:styleId="BodyTextIndent2">
    <w:name w:val="Body Text Indent 2"/>
    <w:basedOn w:val="Normal"/>
    <w:pPr>
      <w:tabs>
        <w:tab w:val="left" w:pos="360"/>
        <w:tab w:val="left" w:pos="709"/>
      </w:tabs>
      <w:ind w:left="2160"/>
      <w:jc w:val="both"/>
    </w:pPr>
    <w:rPr>
      <w:rFonts w:ascii="Palatino" w:hAnsi="Palatino"/>
      <w:lang w:val="es-ES_tradnl"/>
    </w:rPr>
  </w:style>
  <w:style w:type="paragraph" w:customStyle="1" w:styleId="DocumentMap">
    <w:name w:val="Document Map"/>
    <w:basedOn w:val="Normal"/>
    <w:pPr>
      <w:shd w:val="clear" w:color="auto" w:fill="000080"/>
    </w:pPr>
    <w:rPr>
      <w:rFonts w:ascii="Geneva" w:hAnsi="Geneva"/>
    </w:rPr>
  </w:style>
  <w:style w:type="paragraph" w:customStyle="1" w:styleId="BodyText1">
    <w:name w:val="Body Text 1"/>
    <w:basedOn w:val="BodyText2"/>
    <w:rPr>
      <w:b/>
      <w:smallCaps/>
      <w:lang w:val="es-ES_tradnl"/>
    </w:rPr>
  </w:style>
  <w:style w:type="paragraph" w:customStyle="1" w:styleId="BodyText3">
    <w:name w:val="Body Text 3"/>
    <w:basedOn w:val="Normal"/>
    <w:rPr>
      <w:b/>
      <w:caps/>
    </w:r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paragraph" w:styleId="Epgrafe">
    <w:name w:val="caption"/>
    <w:basedOn w:val="Normal"/>
    <w:qFormat/>
    <w:pPr>
      <w:jc w:val="center"/>
    </w:pPr>
    <w:rPr>
      <w:rFonts w:ascii="Garamond" w:hAnsi="Garamond"/>
      <w:b/>
      <w:smallCaps/>
    </w:rPr>
  </w:style>
  <w:style w:type="paragraph" w:customStyle="1" w:styleId="Sangradetindependiente">
    <w:name w:val="SangrÌa de t. independiente"/>
    <w:basedOn w:val="Normal"/>
    <w:pPr>
      <w:ind w:right="12"/>
      <w:jc w:val="both"/>
    </w:pPr>
    <w:rPr>
      <w:rFonts w:ascii="Garamond" w:hAnsi="Garamond"/>
      <w:lang w:val="es-ES_tradnl"/>
    </w:rPr>
  </w:style>
  <w:style w:type="paragraph" w:customStyle="1" w:styleId="Sangradetindependiente0">
    <w:name w:val="Sangr’a de t. independiente"/>
    <w:basedOn w:val="Normal"/>
    <w:pPr>
      <w:widowControl w:val="0"/>
      <w:ind w:right="12"/>
      <w:jc w:val="both"/>
    </w:pPr>
    <w:rPr>
      <w:rFonts w:ascii="Garamond" w:hAnsi="Garamond"/>
      <w:lang w:val="es-ES_tradnl"/>
    </w:rPr>
  </w:style>
  <w:style w:type="paragraph" w:customStyle="1" w:styleId="Textoindependiente1">
    <w:name w:val="Texto independiente1"/>
    <w:basedOn w:val="Normal"/>
    <w:pPr>
      <w:spacing w:line="360" w:lineRule="atLeast"/>
      <w:jc w:val="both"/>
    </w:pPr>
    <w:rPr>
      <w:rFonts w:ascii="Garamond" w:hAnsi="Garamond"/>
      <w:sz w:val="28"/>
      <w:lang w:val="es-ES_tradnl"/>
    </w:rPr>
  </w:style>
  <w:style w:type="paragraph" w:customStyle="1" w:styleId="negritamayuscula">
    <w:name w:val="negrita mayuscula"/>
    <w:basedOn w:val="Normal"/>
    <w:pPr>
      <w:widowControl w:val="0"/>
      <w:tabs>
        <w:tab w:val="left" w:pos="1120"/>
      </w:tabs>
      <w:spacing w:line="360" w:lineRule="atLeast"/>
      <w:jc w:val="both"/>
    </w:pPr>
    <w:rPr>
      <w:rFonts w:ascii="Garamond" w:hAnsi="Garamond"/>
      <w:lang w:val="es-ES_tradnl"/>
    </w:rPr>
  </w:style>
  <w:style w:type="paragraph" w:customStyle="1" w:styleId="BlockText0">
    <w:name w:val="Block Text"/>
    <w:basedOn w:val="Normal"/>
    <w:pPr>
      <w:ind w:left="720" w:right="810"/>
      <w:jc w:val="both"/>
    </w:pPr>
    <w:rPr>
      <w:rFonts w:ascii="Verdana" w:hAnsi="Verdana"/>
      <w:sz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4200</Words>
  <Characters>23100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INDICE DE TEMAS:</vt:lpstr>
    </vt:vector>
  </TitlesOfParts>
  <Company>LUCIA MENDEZ</Company>
  <LinksUpToDate>false</LinksUpToDate>
  <CharactersWithSpaces>27246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 TEMAS:</dc:title>
  <dc:creator>cla</dc:creator>
  <cp:lastModifiedBy>Liliana Tojo</cp:lastModifiedBy>
  <cp:revision>3</cp:revision>
  <cp:lastPrinted>2017-06-23T21:49:00Z</cp:lastPrinted>
  <dcterms:created xsi:type="dcterms:W3CDTF">2017-06-23T21:49:00Z</dcterms:created>
  <dcterms:modified xsi:type="dcterms:W3CDTF">2017-06-23T21:49:00Z</dcterms:modified>
</cp:coreProperties>
</file>